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drawings/drawing4.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drawings/drawing7.xml" ContentType="application/vnd.openxmlformats-officedocument.drawingml.chartshapes+xml"/>
  <Override PartName="/word/charts/chart14.xml" ContentType="application/vnd.openxmlformats-officedocument.drawingml.chart+xml"/>
  <Override PartName="/word/theme/themeOverride13.xml" ContentType="application/vnd.openxmlformats-officedocument.themeOverride+xml"/>
  <Override PartName="/word/drawings/drawing8.xml" ContentType="application/vnd.openxmlformats-officedocument.drawingml.chartshapes+xml"/>
  <Override PartName="/word/charts/chart15.xml" ContentType="application/vnd.openxmlformats-officedocument.drawingml.chart+xml"/>
  <Override PartName="/word/theme/themeOverride14.xml" ContentType="application/vnd.openxmlformats-officedocument.themeOverride+xml"/>
  <Override PartName="/word/drawings/drawing9.xml" ContentType="application/vnd.openxmlformats-officedocument.drawingml.chartshapes+xml"/>
  <Override PartName="/word/charts/chart16.xml" ContentType="application/vnd.openxmlformats-officedocument.drawingml.chart+xml"/>
  <Override PartName="/word/theme/themeOverride15.xml" ContentType="application/vnd.openxmlformats-officedocument.themeOverride+xml"/>
  <Override PartName="/word/drawings/drawing10.xml" ContentType="application/vnd.openxmlformats-officedocument.drawingml.chartshapes+xml"/>
  <Override PartName="/word/charts/chart17.xml" ContentType="application/vnd.openxmlformats-officedocument.drawingml.chart+xml"/>
  <Override PartName="/word/theme/themeOverride16.xml" ContentType="application/vnd.openxmlformats-officedocument.themeOverride+xml"/>
  <Override PartName="/word/drawings/drawing11.xml" ContentType="application/vnd.openxmlformats-officedocument.drawingml.chartshapes+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drawings/drawing12.xml" ContentType="application/vnd.openxmlformats-officedocument.drawingml.chartshapes+xml"/>
  <Override PartName="/word/charts/chart20.xml" ContentType="application/vnd.openxmlformats-officedocument.drawingml.chart+xml"/>
  <Override PartName="/word/theme/themeOverride19.xml" ContentType="application/vnd.openxmlformats-officedocument.themeOverride+xml"/>
  <Override PartName="/word/drawings/drawing13.xml" ContentType="application/vnd.openxmlformats-officedocument.drawingml.chartshapes+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drawings/drawing14.xml" ContentType="application/vnd.openxmlformats-officedocument.drawingml.chartshapes+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drawings/drawing15.xml" ContentType="application/vnd.openxmlformats-officedocument.drawingml.chartshapes+xml"/>
  <Override PartName="/word/charts/chart26.xml" ContentType="application/vnd.openxmlformats-officedocument.drawingml.chart+xml"/>
  <Override PartName="/word/theme/themeOverride25.xml" ContentType="application/vnd.openxmlformats-officedocument.themeOverride+xml"/>
  <Override PartName="/word/drawings/drawing16.xml" ContentType="application/vnd.openxmlformats-officedocument.drawingml.chartshapes+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drawings/drawing17.xml" ContentType="application/vnd.openxmlformats-officedocument.drawingml.chartshapes+xml"/>
  <Override PartName="/word/charts/chart30.xml" ContentType="application/vnd.openxmlformats-officedocument.drawingml.chart+xml"/>
  <Override PartName="/word/theme/themeOverride29.xml" ContentType="application/vnd.openxmlformats-officedocument.themeOverride+xml"/>
  <Override PartName="/word/drawings/drawing18.xml" ContentType="application/vnd.openxmlformats-officedocument.drawingml.chartshapes+xml"/>
  <Override PartName="/word/charts/chart31.xml" ContentType="application/vnd.openxmlformats-officedocument.drawingml.chart+xml"/>
  <Override PartName="/word/theme/themeOverride30.xml" ContentType="application/vnd.openxmlformats-officedocument.themeOverride+xml"/>
  <Override PartName="/word/drawings/drawing19.xml" ContentType="application/vnd.openxmlformats-officedocument.drawingml.chartshapes+xml"/>
  <Override PartName="/word/charts/chart32.xml" ContentType="application/vnd.openxmlformats-officedocument.drawingml.chart+xml"/>
  <Override PartName="/word/theme/themeOverride31.xml" ContentType="application/vnd.openxmlformats-officedocument.themeOverride+xml"/>
  <Override PartName="/word/drawings/drawing20.xml" ContentType="application/vnd.openxmlformats-officedocument.drawingml.chartshapes+xml"/>
  <Override PartName="/word/charts/chart33.xml" ContentType="application/vnd.openxmlformats-officedocument.drawingml.chart+xml"/>
  <Override PartName="/word/theme/themeOverride32.xml" ContentType="application/vnd.openxmlformats-officedocument.themeOverride+xml"/>
  <Override PartName="/word/drawings/drawing21.xml" ContentType="application/vnd.openxmlformats-officedocument.drawingml.chartshapes+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drawings/drawing22.xml" ContentType="application/vnd.openxmlformats-officedocument.drawingml.chartshapes+xml"/>
  <Override PartName="/word/charts/chart39.xml" ContentType="application/vnd.openxmlformats-officedocument.drawingml.chart+xml"/>
  <Override PartName="/word/theme/themeOverride38.xml" ContentType="application/vnd.openxmlformats-officedocument.themeOverride+xml"/>
  <Override PartName="/word/charts/chart40.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0.xml" ContentType="application/vnd.openxmlformats-officedocument.themeOverride+xml"/>
  <Override PartName="/word/charts/chart42.xml" ContentType="application/vnd.openxmlformats-officedocument.drawingml.chart+xml"/>
  <Override PartName="/word/theme/themeOverride41.xml" ContentType="application/vnd.openxmlformats-officedocument.themeOverride+xml"/>
  <Override PartName="/word/charts/chart43.xml" ContentType="application/vnd.openxmlformats-officedocument.drawingml.chart+xml"/>
  <Override PartName="/word/theme/themeOverride42.xml" ContentType="application/vnd.openxmlformats-officedocument.themeOverride+xml"/>
  <Override PartName="/word/drawings/drawing23.xml" ContentType="application/vnd.openxmlformats-officedocument.drawingml.chartshapes+xml"/>
  <Override PartName="/word/charts/chart44.xml" ContentType="application/vnd.openxmlformats-officedocument.drawingml.chart+xml"/>
  <Override PartName="/word/theme/themeOverride43.xml" ContentType="application/vnd.openxmlformats-officedocument.themeOverride+xml"/>
  <Override PartName="/word/drawings/drawing24.xml" ContentType="application/vnd.openxmlformats-officedocument.drawingml.chartshapes+xml"/>
  <Override PartName="/word/charts/chart45.xml" ContentType="application/vnd.openxmlformats-officedocument.drawingml.chart+xml"/>
  <Override PartName="/word/theme/themeOverride44.xml" ContentType="application/vnd.openxmlformats-officedocument.themeOverride+xml"/>
  <Override PartName="/word/drawings/drawing25.xml" ContentType="application/vnd.openxmlformats-officedocument.drawingml.chartshapes+xml"/>
  <Override PartName="/word/charts/chart46.xml" ContentType="application/vnd.openxmlformats-officedocument.drawingml.chart+xml"/>
  <Override PartName="/word/theme/themeOverride45.xml" ContentType="application/vnd.openxmlformats-officedocument.themeOverride+xml"/>
  <Override PartName="/word/drawings/drawing26.xml" ContentType="application/vnd.openxmlformats-officedocument.drawingml.chartshapes+xml"/>
  <Override PartName="/word/charts/chart47.xml" ContentType="application/vnd.openxmlformats-officedocument.drawingml.chart+xml"/>
  <Override PartName="/word/theme/themeOverride46.xml" ContentType="application/vnd.openxmlformats-officedocument.themeOverride+xml"/>
  <Override PartName="/word/drawings/drawing27.xml" ContentType="application/vnd.openxmlformats-officedocument.drawingml.chartshapes+xml"/>
  <Override PartName="/word/charts/chart48.xml" ContentType="application/vnd.openxmlformats-officedocument.drawingml.chart+xml"/>
  <Override PartName="/word/theme/themeOverride47.xml" ContentType="application/vnd.openxmlformats-officedocument.themeOverride+xml"/>
  <Override PartName="/word/drawings/drawing28.xml" ContentType="application/vnd.openxmlformats-officedocument.drawingml.chartshapes+xml"/>
  <Override PartName="/word/charts/chart49.xml" ContentType="application/vnd.openxmlformats-officedocument.drawingml.chart+xml"/>
  <Override PartName="/word/theme/themeOverride48.xml" ContentType="application/vnd.openxmlformats-officedocument.themeOverride+xml"/>
  <Override PartName="/word/drawings/drawing29.xml" ContentType="application/vnd.openxmlformats-officedocument.drawingml.chartshapes+xml"/>
  <Override PartName="/word/charts/chart50.xml" ContentType="application/vnd.openxmlformats-officedocument.drawingml.chart+xml"/>
  <Override PartName="/word/theme/themeOverride49.xml" ContentType="application/vnd.openxmlformats-officedocument.themeOverride+xml"/>
  <Override PartName="/word/drawings/drawing30.xml" ContentType="application/vnd.openxmlformats-officedocument.drawingml.chartshapes+xml"/>
  <Override PartName="/word/charts/chart51.xml" ContentType="application/vnd.openxmlformats-officedocument.drawingml.chart+xml"/>
  <Override PartName="/word/theme/themeOverride50.xml" ContentType="application/vnd.openxmlformats-officedocument.themeOverride+xml"/>
  <Override PartName="/word/drawings/drawing31.xml" ContentType="application/vnd.openxmlformats-officedocument.drawingml.chartshapes+xml"/>
  <Override PartName="/word/charts/chart52.xml" ContentType="application/vnd.openxmlformats-officedocument.drawingml.chart+xml"/>
  <Override PartName="/word/theme/themeOverride51.xml" ContentType="application/vnd.openxmlformats-officedocument.themeOverride+xml"/>
  <Override PartName="/word/drawings/drawing32.xml" ContentType="application/vnd.openxmlformats-officedocument.drawingml.chartshapes+xml"/>
  <Override PartName="/word/charts/chart53.xml" ContentType="application/vnd.openxmlformats-officedocument.drawingml.chart+xml"/>
  <Override PartName="/word/charts/chart54.xml" ContentType="application/vnd.openxmlformats-officedocument.drawingml.chart+xml"/>
  <Override PartName="/word/theme/themeOverride52.xml" ContentType="application/vnd.openxmlformats-officedocument.themeOverride+xml"/>
  <Override PartName="/word/charts/chart55.xml" ContentType="application/vnd.openxmlformats-officedocument.drawingml.chart+xml"/>
  <Override PartName="/word/theme/themeOverride53.xml" ContentType="application/vnd.openxmlformats-officedocument.themeOverride+xml"/>
  <Override PartName="/word/drawings/drawing33.xml" ContentType="application/vnd.openxmlformats-officedocument.drawingml.chartshapes+xml"/>
  <Override PartName="/word/charts/chart56.xml" ContentType="application/vnd.openxmlformats-officedocument.drawingml.chart+xml"/>
  <Override PartName="/word/theme/themeOverride54.xml" ContentType="application/vnd.openxmlformats-officedocument.themeOverride+xml"/>
  <Override PartName="/word/drawings/drawing34.xml" ContentType="application/vnd.openxmlformats-officedocument.drawingml.chartshapes+xml"/>
  <Override PartName="/word/charts/chart57.xml" ContentType="application/vnd.openxmlformats-officedocument.drawingml.chart+xml"/>
  <Override PartName="/word/theme/themeOverride55.xml" ContentType="application/vnd.openxmlformats-officedocument.themeOverride+xml"/>
  <Override PartName="/word/charts/chart58.xml" ContentType="application/vnd.openxmlformats-officedocument.drawingml.chart+xml"/>
  <Override PartName="/word/theme/themeOverride56.xml" ContentType="application/vnd.openxmlformats-officedocument.themeOverride+xml"/>
  <Override PartName="/word/charts/chart59.xml" ContentType="application/vnd.openxmlformats-officedocument.drawingml.chart+xml"/>
  <Override PartName="/word/theme/themeOverride57.xml" ContentType="application/vnd.openxmlformats-officedocument.themeOverride+xml"/>
  <Override PartName="/word/charts/chart60.xml" ContentType="application/vnd.openxmlformats-officedocument.drawingml.chart+xml"/>
  <Override PartName="/word/theme/themeOverride58.xml" ContentType="application/vnd.openxmlformats-officedocument.themeOverride+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126A" w:rsidRPr="00B17571" w:rsidRDefault="0021126A" w:rsidP="00693C8C">
      <w:pPr>
        <w:pStyle w:val="TableTitleCharCharCharCharCharCharCharCharCharChar1"/>
        <w:rPr>
          <w:lang w:val="hy-AM"/>
        </w:rPr>
      </w:pPr>
      <w:bookmarkStart w:id="0" w:name="_GoBack"/>
      <w:bookmarkEnd w:id="0"/>
    </w:p>
    <w:p w:rsidR="004A4189" w:rsidRPr="004A4189" w:rsidRDefault="004A4189" w:rsidP="007730AA">
      <w:pPr>
        <w:spacing w:before="0" w:line="276" w:lineRule="auto"/>
        <w:ind w:firstLine="0"/>
        <w:jc w:val="center"/>
        <w:rPr>
          <w:sz w:val="52"/>
          <w:szCs w:val="52"/>
          <w:lang w:val="en-US"/>
        </w:rPr>
      </w:pPr>
    </w:p>
    <w:p w:rsidR="0021126A" w:rsidRDefault="0021126A" w:rsidP="007730AA">
      <w:pPr>
        <w:spacing w:before="0" w:line="276" w:lineRule="auto"/>
        <w:ind w:firstLine="0"/>
        <w:jc w:val="center"/>
        <w:rPr>
          <w:rFonts w:ascii="Arial Unicode" w:hAnsi="Arial Unicode"/>
          <w:sz w:val="52"/>
          <w:szCs w:val="52"/>
        </w:rPr>
      </w:pPr>
    </w:p>
    <w:p w:rsidR="0021126A" w:rsidRDefault="0021126A" w:rsidP="007730AA">
      <w:pPr>
        <w:spacing w:before="0" w:line="276" w:lineRule="auto"/>
        <w:ind w:firstLine="0"/>
        <w:jc w:val="center"/>
        <w:rPr>
          <w:b w:val="0"/>
          <w:sz w:val="52"/>
          <w:szCs w:val="52"/>
        </w:rPr>
      </w:pPr>
      <w:r w:rsidRPr="005F0AAE">
        <w:rPr>
          <w:sz w:val="52"/>
          <w:szCs w:val="52"/>
        </w:rPr>
        <w:t>ՀԱՅԱՍՏԱՆԻ</w:t>
      </w:r>
      <w:r w:rsidR="001E6978">
        <w:rPr>
          <w:sz w:val="52"/>
          <w:szCs w:val="52"/>
        </w:rPr>
        <w:t xml:space="preserve"> </w:t>
      </w:r>
      <w:r w:rsidR="00932A00">
        <w:rPr>
          <w:sz w:val="52"/>
          <w:szCs w:val="52"/>
          <w:lang w:val="en-US"/>
        </w:rPr>
        <w:t>Հ</w:t>
      </w:r>
      <w:r w:rsidRPr="005F0AAE">
        <w:rPr>
          <w:sz w:val="52"/>
          <w:szCs w:val="52"/>
        </w:rPr>
        <w:t>ԱՆՐԱՊԵՏՈՒԹՅԱՆ</w:t>
      </w:r>
    </w:p>
    <w:p w:rsidR="0021126A" w:rsidRPr="005F0AAE" w:rsidRDefault="0021126A" w:rsidP="007730AA">
      <w:pPr>
        <w:spacing w:before="0" w:line="276" w:lineRule="auto"/>
        <w:ind w:firstLine="0"/>
        <w:jc w:val="center"/>
        <w:rPr>
          <w:b w:val="0"/>
          <w:sz w:val="52"/>
          <w:szCs w:val="52"/>
        </w:rPr>
      </w:pPr>
      <w:r w:rsidRPr="005F0AAE">
        <w:rPr>
          <w:sz w:val="52"/>
          <w:szCs w:val="52"/>
        </w:rPr>
        <w:t>ԿԱՌԱՎԱՐՈՒԹՅԱՆ</w:t>
      </w:r>
    </w:p>
    <w:p w:rsidR="0021126A" w:rsidRPr="005F0AAE" w:rsidRDefault="0021126A" w:rsidP="007730AA">
      <w:pPr>
        <w:spacing w:before="0" w:line="276" w:lineRule="auto"/>
        <w:ind w:firstLine="0"/>
        <w:jc w:val="center"/>
        <w:rPr>
          <w:b w:val="0"/>
          <w:sz w:val="52"/>
          <w:szCs w:val="52"/>
        </w:rPr>
      </w:pPr>
    </w:p>
    <w:p w:rsidR="0021126A" w:rsidRPr="005F0AAE" w:rsidRDefault="0021126A" w:rsidP="007730AA">
      <w:pPr>
        <w:spacing w:before="0" w:line="276" w:lineRule="auto"/>
        <w:ind w:firstLine="0"/>
        <w:jc w:val="center"/>
        <w:rPr>
          <w:b w:val="0"/>
          <w:sz w:val="52"/>
          <w:szCs w:val="52"/>
        </w:rPr>
      </w:pPr>
      <w:r w:rsidRPr="005F0AAE">
        <w:rPr>
          <w:sz w:val="52"/>
          <w:szCs w:val="52"/>
        </w:rPr>
        <w:t>20</w:t>
      </w:r>
      <w:r w:rsidR="00216D23" w:rsidRPr="00D252CA">
        <w:rPr>
          <w:sz w:val="52"/>
          <w:szCs w:val="52"/>
        </w:rPr>
        <w:t>2</w:t>
      </w:r>
      <w:r w:rsidR="009B13A8">
        <w:rPr>
          <w:sz w:val="52"/>
          <w:szCs w:val="52"/>
          <w:lang w:val="hy-AM"/>
        </w:rPr>
        <w:t>1</w:t>
      </w:r>
      <w:r w:rsidRPr="00150088">
        <w:rPr>
          <w:sz w:val="52"/>
          <w:szCs w:val="52"/>
        </w:rPr>
        <w:t xml:space="preserve"> </w:t>
      </w:r>
      <w:r w:rsidRPr="005F0AAE">
        <w:rPr>
          <w:sz w:val="52"/>
          <w:szCs w:val="52"/>
        </w:rPr>
        <w:t>ԹՎԱԿԱՆԻ</w:t>
      </w:r>
      <w:r w:rsidRPr="00150088">
        <w:rPr>
          <w:sz w:val="52"/>
          <w:szCs w:val="52"/>
        </w:rPr>
        <w:t xml:space="preserve"> </w:t>
      </w:r>
      <w:r w:rsidRPr="005F0AAE">
        <w:rPr>
          <w:sz w:val="52"/>
          <w:szCs w:val="52"/>
        </w:rPr>
        <w:t xml:space="preserve">ԲՅՈՒՋԵՏԱՅԻՆ </w:t>
      </w:r>
    </w:p>
    <w:p w:rsidR="0021126A" w:rsidRPr="00B50547" w:rsidRDefault="0021126A" w:rsidP="007730AA">
      <w:pPr>
        <w:spacing w:before="0" w:line="276" w:lineRule="auto"/>
        <w:ind w:firstLine="0"/>
        <w:jc w:val="center"/>
        <w:rPr>
          <w:sz w:val="72"/>
          <w:szCs w:val="72"/>
        </w:rPr>
      </w:pPr>
    </w:p>
    <w:p w:rsidR="0021126A" w:rsidRPr="00B50547" w:rsidRDefault="0021126A" w:rsidP="007730AA">
      <w:pPr>
        <w:spacing w:before="0" w:line="276" w:lineRule="auto"/>
        <w:ind w:firstLine="0"/>
        <w:jc w:val="center"/>
        <w:rPr>
          <w:b w:val="0"/>
          <w:sz w:val="72"/>
          <w:szCs w:val="72"/>
        </w:rPr>
      </w:pPr>
      <w:r w:rsidRPr="00B50547">
        <w:rPr>
          <w:sz w:val="72"/>
          <w:szCs w:val="72"/>
        </w:rPr>
        <w:t>ՈՒ</w:t>
      </w:r>
      <w:r>
        <w:rPr>
          <w:sz w:val="72"/>
          <w:szCs w:val="72"/>
        </w:rPr>
        <w:t xml:space="preserve"> </w:t>
      </w:r>
      <w:r w:rsidRPr="00B50547">
        <w:rPr>
          <w:sz w:val="72"/>
          <w:szCs w:val="72"/>
        </w:rPr>
        <w:t>Ղ</w:t>
      </w:r>
      <w:r>
        <w:rPr>
          <w:sz w:val="72"/>
          <w:szCs w:val="72"/>
        </w:rPr>
        <w:t xml:space="preserve"> </w:t>
      </w:r>
      <w:r w:rsidRPr="00B50547">
        <w:rPr>
          <w:sz w:val="72"/>
          <w:szCs w:val="72"/>
        </w:rPr>
        <w:t>Ե</w:t>
      </w:r>
      <w:r>
        <w:rPr>
          <w:sz w:val="72"/>
          <w:szCs w:val="72"/>
        </w:rPr>
        <w:t xml:space="preserve"> </w:t>
      </w:r>
      <w:r w:rsidRPr="00B50547">
        <w:rPr>
          <w:sz w:val="72"/>
          <w:szCs w:val="72"/>
        </w:rPr>
        <w:t>Ր</w:t>
      </w:r>
      <w:r>
        <w:rPr>
          <w:sz w:val="72"/>
          <w:szCs w:val="72"/>
        </w:rPr>
        <w:t xml:space="preserve"> </w:t>
      </w:r>
      <w:r w:rsidRPr="00B50547">
        <w:rPr>
          <w:sz w:val="72"/>
          <w:szCs w:val="72"/>
        </w:rPr>
        <w:t>Ձ</w:t>
      </w:r>
    </w:p>
    <w:p w:rsidR="0021126A" w:rsidRDefault="0021126A" w:rsidP="007730AA">
      <w:pPr>
        <w:spacing w:before="0" w:line="276" w:lineRule="auto"/>
        <w:ind w:firstLine="0"/>
        <w:jc w:val="center"/>
        <w:rPr>
          <w:b w:val="0"/>
          <w:sz w:val="32"/>
          <w:szCs w:val="32"/>
        </w:rPr>
      </w:pPr>
    </w:p>
    <w:p w:rsidR="00140251" w:rsidRDefault="00140251" w:rsidP="007730AA">
      <w:pPr>
        <w:spacing w:before="0" w:line="276" w:lineRule="auto"/>
        <w:ind w:firstLine="0"/>
        <w:jc w:val="center"/>
        <w:rPr>
          <w:b w:val="0"/>
          <w:sz w:val="32"/>
          <w:szCs w:val="32"/>
        </w:rPr>
      </w:pPr>
    </w:p>
    <w:p w:rsidR="00140251" w:rsidRPr="005F0AAE" w:rsidRDefault="00140251" w:rsidP="007730AA">
      <w:pPr>
        <w:spacing w:before="0" w:line="276" w:lineRule="auto"/>
        <w:ind w:firstLine="0"/>
        <w:jc w:val="center"/>
        <w:rPr>
          <w:b w:val="0"/>
          <w:sz w:val="32"/>
          <w:szCs w:val="32"/>
        </w:rPr>
      </w:pPr>
    </w:p>
    <w:p w:rsidR="0021126A" w:rsidRDefault="0021126A" w:rsidP="007730AA">
      <w:pPr>
        <w:spacing w:before="0" w:line="276" w:lineRule="auto"/>
        <w:ind w:firstLine="0"/>
        <w:jc w:val="center"/>
        <w:rPr>
          <w:sz w:val="32"/>
          <w:szCs w:val="32"/>
        </w:rPr>
      </w:pPr>
    </w:p>
    <w:p w:rsidR="0021126A" w:rsidRDefault="0021126A" w:rsidP="007730AA">
      <w:pPr>
        <w:spacing w:before="0" w:line="276" w:lineRule="auto"/>
        <w:ind w:firstLine="0"/>
        <w:jc w:val="center"/>
        <w:rPr>
          <w:rFonts w:ascii="Arial Unicode" w:hAnsi="Arial Unicode"/>
          <w:sz w:val="32"/>
          <w:szCs w:val="32"/>
        </w:rPr>
      </w:pPr>
    </w:p>
    <w:p w:rsidR="0021126A" w:rsidRPr="00B50547" w:rsidRDefault="0021126A" w:rsidP="007730AA">
      <w:pPr>
        <w:spacing w:before="0" w:line="276" w:lineRule="auto"/>
        <w:ind w:firstLine="0"/>
        <w:jc w:val="center"/>
      </w:pPr>
      <w:r w:rsidRPr="00B50547">
        <w:rPr>
          <w:sz w:val="32"/>
          <w:szCs w:val="32"/>
        </w:rPr>
        <w:t>ԵՐԵՎԱՆ 20</w:t>
      </w:r>
      <w:r w:rsidR="004D7F68">
        <w:rPr>
          <w:sz w:val="32"/>
          <w:szCs w:val="32"/>
          <w:lang w:val="hy-AM"/>
        </w:rPr>
        <w:t>20</w:t>
      </w:r>
      <w:r w:rsidRPr="00B50547">
        <w:rPr>
          <w:sz w:val="32"/>
          <w:szCs w:val="32"/>
        </w:rPr>
        <w:t>թ.</w:t>
      </w:r>
    </w:p>
    <w:p w:rsidR="0021126A" w:rsidRDefault="0021126A" w:rsidP="007730AA">
      <w:pPr>
        <w:spacing w:before="0" w:line="276" w:lineRule="auto"/>
        <w:ind w:firstLine="0"/>
        <w:contextualSpacing w:val="0"/>
        <w:jc w:val="left"/>
        <w:rPr>
          <w:b w:val="0"/>
          <w:sz w:val="32"/>
          <w:szCs w:val="32"/>
        </w:rPr>
      </w:pPr>
      <w:r>
        <w:rPr>
          <w:sz w:val="32"/>
          <w:szCs w:val="32"/>
        </w:rPr>
        <w:br w:type="page"/>
      </w:r>
    </w:p>
    <w:p w:rsidR="00925FDB" w:rsidRPr="00BA2D53" w:rsidRDefault="00925FDB" w:rsidP="007730AA">
      <w:pPr>
        <w:spacing w:before="0" w:line="276" w:lineRule="auto"/>
        <w:jc w:val="center"/>
        <w:rPr>
          <w:b w:val="0"/>
          <w:sz w:val="32"/>
          <w:szCs w:val="32"/>
        </w:rPr>
      </w:pPr>
      <w:r w:rsidRPr="00BA2D53">
        <w:rPr>
          <w:sz w:val="32"/>
          <w:szCs w:val="32"/>
        </w:rPr>
        <w:lastRenderedPageBreak/>
        <w:t>ԲՈՎԱՆԴԱԿՈՒԹՅՈՒՆ</w:t>
      </w:r>
    </w:p>
    <w:p w:rsidR="00BA2D53" w:rsidRPr="00BA2D53" w:rsidRDefault="00BA2D53" w:rsidP="007730AA">
      <w:pPr>
        <w:spacing w:before="0" w:line="276" w:lineRule="auto"/>
      </w:pPr>
    </w:p>
    <w:p w:rsidR="0044183D" w:rsidRDefault="003C3925">
      <w:pPr>
        <w:pStyle w:val="TOC3"/>
        <w:rPr>
          <w:rFonts w:asciiTheme="minorHAnsi" w:eastAsiaTheme="minorEastAsia" w:hAnsiTheme="minorHAnsi" w:cstheme="minorBidi"/>
          <w:b w:val="0"/>
          <w:noProof/>
          <w:szCs w:val="22"/>
          <w:lang w:val="en-US" w:eastAsia="en-US"/>
        </w:rPr>
      </w:pPr>
      <w:r>
        <w:rPr>
          <w:rFonts w:cs="Sylfaen"/>
          <w:szCs w:val="22"/>
        </w:rPr>
        <w:fldChar w:fldCharType="begin"/>
      </w:r>
      <w:r w:rsidR="00BA2D53">
        <w:rPr>
          <w:rFonts w:cs="Sylfaen"/>
          <w:szCs w:val="22"/>
        </w:rPr>
        <w:instrText xml:space="preserve"> TOC \o "1-4" \h \z \u </w:instrText>
      </w:r>
      <w:r>
        <w:rPr>
          <w:rFonts w:cs="Sylfaen"/>
          <w:szCs w:val="22"/>
        </w:rPr>
        <w:fldChar w:fldCharType="separate"/>
      </w:r>
      <w:hyperlink w:anchor="_Toc57655411" w:history="1">
        <w:r w:rsidR="0044183D" w:rsidRPr="00331958">
          <w:rPr>
            <w:rStyle w:val="Hyperlink"/>
            <w:noProof/>
            <w:lang w:val="en-US"/>
          </w:rPr>
          <w:t>ՆԵՐԱԾՈՒԹՅՈՒՆ</w:t>
        </w:r>
        <w:r w:rsidR="0044183D">
          <w:rPr>
            <w:noProof/>
            <w:webHidden/>
          </w:rPr>
          <w:tab/>
        </w:r>
        <w:r>
          <w:rPr>
            <w:noProof/>
            <w:webHidden/>
          </w:rPr>
          <w:fldChar w:fldCharType="begin"/>
        </w:r>
        <w:r w:rsidR="0044183D">
          <w:rPr>
            <w:noProof/>
            <w:webHidden/>
          </w:rPr>
          <w:instrText xml:space="preserve"> PAGEREF _Toc57655411 \h </w:instrText>
        </w:r>
        <w:r>
          <w:rPr>
            <w:noProof/>
            <w:webHidden/>
          </w:rPr>
        </w:r>
        <w:r>
          <w:rPr>
            <w:noProof/>
            <w:webHidden/>
          </w:rPr>
          <w:fldChar w:fldCharType="separate"/>
        </w:r>
        <w:r w:rsidR="0044183D">
          <w:rPr>
            <w:noProof/>
            <w:webHidden/>
          </w:rPr>
          <w:t>6</w:t>
        </w:r>
        <w:r>
          <w:rPr>
            <w:noProof/>
            <w:webHidden/>
          </w:rPr>
          <w:fldChar w:fldCharType="end"/>
        </w:r>
      </w:hyperlink>
    </w:p>
    <w:p w:rsidR="0044183D" w:rsidRDefault="0043500B">
      <w:pPr>
        <w:pStyle w:val="TOC1"/>
        <w:rPr>
          <w:rFonts w:asciiTheme="minorHAnsi" w:eastAsiaTheme="minorEastAsia" w:hAnsiTheme="minorHAnsi" w:cstheme="minorBidi"/>
          <w:b w:val="0"/>
          <w:noProof/>
          <w:szCs w:val="22"/>
          <w:lang w:val="en-US" w:eastAsia="en-US"/>
        </w:rPr>
      </w:pPr>
      <w:hyperlink w:anchor="_Toc57655412" w:history="1">
        <w:r w:rsidR="0044183D" w:rsidRPr="00331958">
          <w:rPr>
            <w:rStyle w:val="Hyperlink"/>
            <w:noProof/>
            <w:lang w:val="hy-AM"/>
          </w:rPr>
          <w:t>ՄԱՍ I–Ա. ՍՈՑԻԱԼ-ՏՆՏԵՍԱԿԱՆ ԶԱՐԳԱՑՄԱՆ ԵՎ ՀԱՐԿԱԲՅՈՒՋԵՏԱՅԻՆ ՔԱՂԱՔԱԿԱՆՈՒԹՅԱՆ ՀԻՄՆԱԿԱՆ ՈՒՂՂՈՒԹՅՈՒՆՆԵՐԻ ՄԱՍԻՆ</w:t>
        </w:r>
        <w:r w:rsidR="0044183D">
          <w:rPr>
            <w:noProof/>
            <w:webHidden/>
          </w:rPr>
          <w:tab/>
        </w:r>
        <w:r w:rsidR="003C3925">
          <w:rPr>
            <w:noProof/>
            <w:webHidden/>
          </w:rPr>
          <w:fldChar w:fldCharType="begin"/>
        </w:r>
        <w:r w:rsidR="0044183D">
          <w:rPr>
            <w:noProof/>
            <w:webHidden/>
          </w:rPr>
          <w:instrText xml:space="preserve"> PAGEREF _Toc57655412 \h </w:instrText>
        </w:r>
        <w:r w:rsidR="003C3925">
          <w:rPr>
            <w:noProof/>
            <w:webHidden/>
          </w:rPr>
        </w:r>
        <w:r w:rsidR="003C3925">
          <w:rPr>
            <w:noProof/>
            <w:webHidden/>
          </w:rPr>
          <w:fldChar w:fldCharType="separate"/>
        </w:r>
        <w:r w:rsidR="0044183D">
          <w:rPr>
            <w:noProof/>
            <w:webHidden/>
          </w:rPr>
          <w:t>9</w:t>
        </w:r>
        <w:r w:rsidR="003C3925">
          <w:rPr>
            <w:noProof/>
            <w:webHidden/>
          </w:rPr>
          <w:fldChar w:fldCharType="end"/>
        </w:r>
      </w:hyperlink>
    </w:p>
    <w:p w:rsidR="0044183D" w:rsidRDefault="0043500B">
      <w:pPr>
        <w:pStyle w:val="TOC1"/>
        <w:rPr>
          <w:rFonts w:asciiTheme="minorHAnsi" w:eastAsiaTheme="minorEastAsia" w:hAnsiTheme="minorHAnsi" w:cstheme="minorBidi"/>
          <w:b w:val="0"/>
          <w:noProof/>
          <w:szCs w:val="22"/>
          <w:lang w:val="en-US" w:eastAsia="en-US"/>
        </w:rPr>
      </w:pPr>
      <w:hyperlink w:anchor="_Toc57655413" w:history="1">
        <w:r w:rsidR="0044183D" w:rsidRPr="00331958">
          <w:rPr>
            <w:rStyle w:val="Hyperlink"/>
            <w:rFonts w:cs="Times LatArm"/>
            <w:noProof/>
            <w:lang w:val="hy-AM"/>
          </w:rPr>
          <w:t xml:space="preserve">2021 </w:t>
        </w:r>
        <w:r w:rsidR="0044183D" w:rsidRPr="00331958">
          <w:rPr>
            <w:rStyle w:val="Hyperlink"/>
            <w:rFonts w:cs="Sylfaen"/>
            <w:noProof/>
            <w:lang w:val="hy-AM"/>
          </w:rPr>
          <w:t>թվականի</w:t>
        </w:r>
        <w:r w:rsidR="0044183D" w:rsidRPr="00331958">
          <w:rPr>
            <w:rStyle w:val="Hyperlink"/>
            <w:rFonts w:cs="Times LatArm"/>
            <w:noProof/>
            <w:lang w:val="hy-AM"/>
          </w:rPr>
          <w:t xml:space="preserve"> </w:t>
        </w:r>
        <w:r w:rsidR="0044183D" w:rsidRPr="00331958">
          <w:rPr>
            <w:rStyle w:val="Hyperlink"/>
            <w:rFonts w:cs="Sylfaen"/>
            <w:noProof/>
            <w:lang w:val="hy-AM"/>
          </w:rPr>
          <w:t>սոցիալ</w:t>
        </w:r>
        <w:r w:rsidR="0044183D" w:rsidRPr="00331958">
          <w:rPr>
            <w:rStyle w:val="Hyperlink"/>
            <w:rFonts w:cs="Times LatArm"/>
            <w:noProof/>
            <w:lang w:val="hy-AM"/>
          </w:rPr>
          <w:t>-</w:t>
        </w:r>
        <w:r w:rsidR="0044183D" w:rsidRPr="00331958">
          <w:rPr>
            <w:rStyle w:val="Hyperlink"/>
            <w:rFonts w:cs="Sylfaen"/>
            <w:noProof/>
            <w:lang w:val="hy-AM"/>
          </w:rPr>
          <w:t>տնտեսական</w:t>
        </w:r>
        <w:r w:rsidR="0044183D" w:rsidRPr="00331958">
          <w:rPr>
            <w:rStyle w:val="Hyperlink"/>
            <w:rFonts w:cs="Times LatArm"/>
            <w:noProof/>
            <w:lang w:val="hy-AM"/>
          </w:rPr>
          <w:t xml:space="preserve"> </w:t>
        </w:r>
        <w:r w:rsidR="0044183D" w:rsidRPr="00331958">
          <w:rPr>
            <w:rStyle w:val="Hyperlink"/>
            <w:rFonts w:cs="Sylfaen"/>
            <w:noProof/>
            <w:lang w:val="hy-AM"/>
          </w:rPr>
          <w:t>զարգացման</w:t>
        </w:r>
        <w:r w:rsidR="0044183D" w:rsidRPr="00331958">
          <w:rPr>
            <w:rStyle w:val="Hyperlink"/>
            <w:rFonts w:cs="Times LatArm"/>
            <w:noProof/>
            <w:lang w:val="hy-AM"/>
          </w:rPr>
          <w:t xml:space="preserve"> </w:t>
        </w:r>
        <w:r w:rsidR="0044183D" w:rsidRPr="00331958">
          <w:rPr>
            <w:rStyle w:val="Hyperlink"/>
            <w:rFonts w:cs="Sylfaen"/>
            <w:noProof/>
            <w:lang w:val="hy-AM"/>
          </w:rPr>
          <w:t>և հարկաբյուջետային քաղաքականության հիմնական</w:t>
        </w:r>
        <w:r w:rsidR="0044183D" w:rsidRPr="00331958">
          <w:rPr>
            <w:rStyle w:val="Hyperlink"/>
            <w:rFonts w:cs="Times LatArm"/>
            <w:noProof/>
            <w:lang w:val="hy-AM"/>
          </w:rPr>
          <w:t xml:space="preserve"> </w:t>
        </w:r>
        <w:r w:rsidR="0044183D" w:rsidRPr="00331958">
          <w:rPr>
            <w:rStyle w:val="Hyperlink"/>
            <w:rFonts w:cs="Sylfaen"/>
            <w:noProof/>
            <w:lang w:val="hy-AM"/>
          </w:rPr>
          <w:t>ուղղությունները</w:t>
        </w:r>
        <w:r w:rsidR="0044183D">
          <w:rPr>
            <w:noProof/>
            <w:webHidden/>
          </w:rPr>
          <w:tab/>
        </w:r>
        <w:r w:rsidR="003C3925">
          <w:rPr>
            <w:noProof/>
            <w:webHidden/>
          </w:rPr>
          <w:fldChar w:fldCharType="begin"/>
        </w:r>
        <w:r w:rsidR="0044183D">
          <w:rPr>
            <w:noProof/>
            <w:webHidden/>
          </w:rPr>
          <w:instrText xml:space="preserve"> PAGEREF _Toc57655413 \h </w:instrText>
        </w:r>
        <w:r w:rsidR="003C3925">
          <w:rPr>
            <w:noProof/>
            <w:webHidden/>
          </w:rPr>
        </w:r>
        <w:r w:rsidR="003C3925">
          <w:rPr>
            <w:noProof/>
            <w:webHidden/>
          </w:rPr>
          <w:fldChar w:fldCharType="separate"/>
        </w:r>
        <w:r w:rsidR="0044183D">
          <w:rPr>
            <w:noProof/>
            <w:webHidden/>
          </w:rPr>
          <w:t>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14" w:history="1">
        <w:r w:rsidR="0044183D" w:rsidRPr="00331958">
          <w:rPr>
            <w:rStyle w:val="Hyperlink"/>
            <w:rFonts w:cs="Arial"/>
            <w:noProof/>
            <w:lang w:val="hy-AM" w:eastAsia="en-US"/>
          </w:rPr>
          <w:t>Տնտեսական զարգացում</w:t>
        </w:r>
        <w:r w:rsidR="0044183D">
          <w:rPr>
            <w:noProof/>
            <w:webHidden/>
          </w:rPr>
          <w:tab/>
        </w:r>
        <w:r w:rsidR="003C3925">
          <w:rPr>
            <w:noProof/>
            <w:webHidden/>
          </w:rPr>
          <w:fldChar w:fldCharType="begin"/>
        </w:r>
        <w:r w:rsidR="0044183D">
          <w:rPr>
            <w:noProof/>
            <w:webHidden/>
          </w:rPr>
          <w:instrText xml:space="preserve"> PAGEREF _Toc57655414 \h </w:instrText>
        </w:r>
        <w:r w:rsidR="003C3925">
          <w:rPr>
            <w:noProof/>
            <w:webHidden/>
          </w:rPr>
        </w:r>
        <w:r w:rsidR="003C3925">
          <w:rPr>
            <w:noProof/>
            <w:webHidden/>
          </w:rPr>
          <w:fldChar w:fldCharType="separate"/>
        </w:r>
        <w:r w:rsidR="0044183D">
          <w:rPr>
            <w:noProof/>
            <w:webHidden/>
          </w:rPr>
          <w:t>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15" w:history="1">
        <w:r w:rsidR="0044183D" w:rsidRPr="00331958">
          <w:rPr>
            <w:rStyle w:val="Hyperlink"/>
            <w:rFonts w:cs="Arial"/>
            <w:noProof/>
            <w:lang w:val="hy-AM" w:eastAsia="en-US"/>
          </w:rPr>
          <w:t>Տարածքային կառավարում և տեղական ինքնակառավարում</w:t>
        </w:r>
        <w:r w:rsidR="0044183D">
          <w:rPr>
            <w:noProof/>
            <w:webHidden/>
          </w:rPr>
          <w:tab/>
        </w:r>
        <w:r w:rsidR="003C3925">
          <w:rPr>
            <w:noProof/>
            <w:webHidden/>
          </w:rPr>
          <w:fldChar w:fldCharType="begin"/>
        </w:r>
        <w:r w:rsidR="0044183D">
          <w:rPr>
            <w:noProof/>
            <w:webHidden/>
          </w:rPr>
          <w:instrText xml:space="preserve"> PAGEREF _Toc57655415 \h </w:instrText>
        </w:r>
        <w:r w:rsidR="003C3925">
          <w:rPr>
            <w:noProof/>
            <w:webHidden/>
          </w:rPr>
        </w:r>
        <w:r w:rsidR="003C3925">
          <w:rPr>
            <w:noProof/>
            <w:webHidden/>
          </w:rPr>
          <w:fldChar w:fldCharType="separate"/>
        </w:r>
        <w:r w:rsidR="0044183D">
          <w:rPr>
            <w:noProof/>
            <w:webHidden/>
          </w:rPr>
          <w:t>13</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16" w:history="1">
        <w:r w:rsidR="0044183D" w:rsidRPr="00331958">
          <w:rPr>
            <w:rStyle w:val="Hyperlink"/>
            <w:rFonts w:cs="Arial"/>
            <w:noProof/>
            <w:lang w:val="hy-AM" w:eastAsia="en-US"/>
          </w:rPr>
          <w:t>Էներգետիկայի և բնական պաշարների կառավարման բնագավառ</w:t>
        </w:r>
        <w:r w:rsidR="0044183D">
          <w:rPr>
            <w:noProof/>
            <w:webHidden/>
          </w:rPr>
          <w:tab/>
        </w:r>
        <w:r w:rsidR="003C3925">
          <w:rPr>
            <w:noProof/>
            <w:webHidden/>
          </w:rPr>
          <w:fldChar w:fldCharType="begin"/>
        </w:r>
        <w:r w:rsidR="0044183D">
          <w:rPr>
            <w:noProof/>
            <w:webHidden/>
          </w:rPr>
          <w:instrText xml:space="preserve"> PAGEREF _Toc57655416 \h </w:instrText>
        </w:r>
        <w:r w:rsidR="003C3925">
          <w:rPr>
            <w:noProof/>
            <w:webHidden/>
          </w:rPr>
        </w:r>
        <w:r w:rsidR="003C3925">
          <w:rPr>
            <w:noProof/>
            <w:webHidden/>
          </w:rPr>
          <w:fldChar w:fldCharType="separate"/>
        </w:r>
        <w:r w:rsidR="0044183D">
          <w:rPr>
            <w:noProof/>
            <w:webHidden/>
          </w:rPr>
          <w:t>16</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17" w:history="1">
        <w:r w:rsidR="0044183D" w:rsidRPr="00331958">
          <w:rPr>
            <w:rStyle w:val="Hyperlink"/>
            <w:rFonts w:cs="Arial"/>
            <w:noProof/>
            <w:lang w:val="hy-AM" w:eastAsia="en-US"/>
          </w:rPr>
          <w:t>Միջուկային անվտանգություն</w:t>
        </w:r>
        <w:r w:rsidR="0044183D">
          <w:rPr>
            <w:noProof/>
            <w:webHidden/>
          </w:rPr>
          <w:tab/>
        </w:r>
        <w:r w:rsidR="003C3925">
          <w:rPr>
            <w:noProof/>
            <w:webHidden/>
          </w:rPr>
          <w:fldChar w:fldCharType="begin"/>
        </w:r>
        <w:r w:rsidR="0044183D">
          <w:rPr>
            <w:noProof/>
            <w:webHidden/>
          </w:rPr>
          <w:instrText xml:space="preserve"> PAGEREF _Toc57655417 \h </w:instrText>
        </w:r>
        <w:r w:rsidR="003C3925">
          <w:rPr>
            <w:noProof/>
            <w:webHidden/>
          </w:rPr>
        </w:r>
        <w:r w:rsidR="003C3925">
          <w:rPr>
            <w:noProof/>
            <w:webHidden/>
          </w:rPr>
          <w:fldChar w:fldCharType="separate"/>
        </w:r>
        <w:r w:rsidR="0044183D">
          <w:rPr>
            <w:noProof/>
            <w:webHidden/>
          </w:rPr>
          <w:t>18</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18" w:history="1">
        <w:r w:rsidR="0044183D" w:rsidRPr="00331958">
          <w:rPr>
            <w:rStyle w:val="Hyperlink"/>
            <w:rFonts w:cs="Arial"/>
            <w:noProof/>
            <w:lang w:val="hy-AM" w:eastAsia="en-US"/>
          </w:rPr>
          <w:t>Ջրային տնտեսություն</w:t>
        </w:r>
        <w:r w:rsidR="0044183D">
          <w:rPr>
            <w:noProof/>
            <w:webHidden/>
          </w:rPr>
          <w:tab/>
        </w:r>
        <w:r w:rsidR="003C3925">
          <w:rPr>
            <w:noProof/>
            <w:webHidden/>
          </w:rPr>
          <w:fldChar w:fldCharType="begin"/>
        </w:r>
        <w:r w:rsidR="0044183D">
          <w:rPr>
            <w:noProof/>
            <w:webHidden/>
          </w:rPr>
          <w:instrText xml:space="preserve"> PAGEREF _Toc57655418 \h </w:instrText>
        </w:r>
        <w:r w:rsidR="003C3925">
          <w:rPr>
            <w:noProof/>
            <w:webHidden/>
          </w:rPr>
        </w:r>
        <w:r w:rsidR="003C3925">
          <w:rPr>
            <w:noProof/>
            <w:webHidden/>
          </w:rPr>
          <w:fldChar w:fldCharType="separate"/>
        </w:r>
        <w:r w:rsidR="0044183D">
          <w:rPr>
            <w:noProof/>
            <w:webHidden/>
          </w:rPr>
          <w:t>20</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19" w:history="1">
        <w:r w:rsidR="0044183D" w:rsidRPr="00331958">
          <w:rPr>
            <w:rStyle w:val="Hyperlink"/>
            <w:rFonts w:cs="Arial"/>
            <w:noProof/>
            <w:lang w:val="hy-AM" w:eastAsia="en-US"/>
          </w:rPr>
          <w:t>Տրանսպորտ</w:t>
        </w:r>
        <w:r w:rsidR="0044183D">
          <w:rPr>
            <w:noProof/>
            <w:webHidden/>
          </w:rPr>
          <w:tab/>
        </w:r>
        <w:r w:rsidR="003C3925">
          <w:rPr>
            <w:noProof/>
            <w:webHidden/>
          </w:rPr>
          <w:fldChar w:fldCharType="begin"/>
        </w:r>
        <w:r w:rsidR="0044183D">
          <w:rPr>
            <w:noProof/>
            <w:webHidden/>
          </w:rPr>
          <w:instrText xml:space="preserve"> PAGEREF _Toc57655419 \h </w:instrText>
        </w:r>
        <w:r w:rsidR="003C3925">
          <w:rPr>
            <w:noProof/>
            <w:webHidden/>
          </w:rPr>
        </w:r>
        <w:r w:rsidR="003C3925">
          <w:rPr>
            <w:noProof/>
            <w:webHidden/>
          </w:rPr>
          <w:fldChar w:fldCharType="separate"/>
        </w:r>
        <w:r w:rsidR="0044183D">
          <w:rPr>
            <w:noProof/>
            <w:webHidden/>
          </w:rPr>
          <w:t>21</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20" w:history="1">
        <w:r w:rsidR="0044183D" w:rsidRPr="00331958">
          <w:rPr>
            <w:rStyle w:val="Hyperlink"/>
            <w:rFonts w:cs="Arial"/>
            <w:noProof/>
            <w:lang w:val="hy-AM" w:eastAsia="en-US"/>
          </w:rPr>
          <w:t>Քաղաքացիական ավիացիա</w:t>
        </w:r>
        <w:r w:rsidR="0044183D">
          <w:rPr>
            <w:noProof/>
            <w:webHidden/>
          </w:rPr>
          <w:tab/>
        </w:r>
        <w:r w:rsidR="003C3925">
          <w:rPr>
            <w:noProof/>
            <w:webHidden/>
          </w:rPr>
          <w:fldChar w:fldCharType="begin"/>
        </w:r>
        <w:r w:rsidR="0044183D">
          <w:rPr>
            <w:noProof/>
            <w:webHidden/>
          </w:rPr>
          <w:instrText xml:space="preserve"> PAGEREF _Toc57655420 \h </w:instrText>
        </w:r>
        <w:r w:rsidR="003C3925">
          <w:rPr>
            <w:noProof/>
            <w:webHidden/>
          </w:rPr>
        </w:r>
        <w:r w:rsidR="003C3925">
          <w:rPr>
            <w:noProof/>
            <w:webHidden/>
          </w:rPr>
          <w:fldChar w:fldCharType="separate"/>
        </w:r>
        <w:r w:rsidR="0044183D">
          <w:rPr>
            <w:noProof/>
            <w:webHidden/>
          </w:rPr>
          <w:t>22</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21" w:history="1">
        <w:r w:rsidR="0044183D" w:rsidRPr="00331958">
          <w:rPr>
            <w:rStyle w:val="Hyperlink"/>
            <w:rFonts w:cs="Arial"/>
            <w:noProof/>
            <w:lang w:val="hy-AM" w:eastAsia="en-US"/>
          </w:rPr>
          <w:t>Բարձր տեխնոլոգիական արդյունաբերություն</w:t>
        </w:r>
        <w:r w:rsidR="0044183D">
          <w:rPr>
            <w:noProof/>
            <w:webHidden/>
          </w:rPr>
          <w:tab/>
        </w:r>
        <w:r w:rsidR="003C3925">
          <w:rPr>
            <w:noProof/>
            <w:webHidden/>
          </w:rPr>
          <w:fldChar w:fldCharType="begin"/>
        </w:r>
        <w:r w:rsidR="0044183D">
          <w:rPr>
            <w:noProof/>
            <w:webHidden/>
          </w:rPr>
          <w:instrText xml:space="preserve"> PAGEREF _Toc57655421 \h </w:instrText>
        </w:r>
        <w:r w:rsidR="003C3925">
          <w:rPr>
            <w:noProof/>
            <w:webHidden/>
          </w:rPr>
        </w:r>
        <w:r w:rsidR="003C3925">
          <w:rPr>
            <w:noProof/>
            <w:webHidden/>
          </w:rPr>
          <w:fldChar w:fldCharType="separate"/>
        </w:r>
        <w:r w:rsidR="0044183D">
          <w:rPr>
            <w:noProof/>
            <w:webHidden/>
          </w:rPr>
          <w:t>23</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22" w:history="1">
        <w:r w:rsidR="0044183D" w:rsidRPr="00331958">
          <w:rPr>
            <w:rStyle w:val="Hyperlink"/>
            <w:rFonts w:cs="Arial"/>
            <w:noProof/>
            <w:lang w:val="hy-AM" w:eastAsia="en-US"/>
          </w:rPr>
          <w:t>Քաղաքաշինություն</w:t>
        </w:r>
        <w:r w:rsidR="0044183D">
          <w:rPr>
            <w:noProof/>
            <w:webHidden/>
          </w:rPr>
          <w:tab/>
        </w:r>
        <w:r w:rsidR="003C3925">
          <w:rPr>
            <w:noProof/>
            <w:webHidden/>
          </w:rPr>
          <w:fldChar w:fldCharType="begin"/>
        </w:r>
        <w:r w:rsidR="0044183D">
          <w:rPr>
            <w:noProof/>
            <w:webHidden/>
          </w:rPr>
          <w:instrText xml:space="preserve"> PAGEREF _Toc57655422 \h </w:instrText>
        </w:r>
        <w:r w:rsidR="003C3925">
          <w:rPr>
            <w:noProof/>
            <w:webHidden/>
          </w:rPr>
        </w:r>
        <w:r w:rsidR="003C3925">
          <w:rPr>
            <w:noProof/>
            <w:webHidden/>
          </w:rPr>
          <w:fldChar w:fldCharType="separate"/>
        </w:r>
        <w:r w:rsidR="0044183D">
          <w:rPr>
            <w:noProof/>
            <w:webHidden/>
          </w:rPr>
          <w:t>25</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23" w:history="1">
        <w:r w:rsidR="0044183D" w:rsidRPr="00331958">
          <w:rPr>
            <w:rStyle w:val="Hyperlink"/>
            <w:rFonts w:cs="Arial"/>
            <w:noProof/>
            <w:lang w:val="hy-AM" w:eastAsia="en-US"/>
          </w:rPr>
          <w:t>Արտակարգ իրավիճակների բնագավառ</w:t>
        </w:r>
        <w:r w:rsidR="0044183D">
          <w:rPr>
            <w:noProof/>
            <w:webHidden/>
          </w:rPr>
          <w:tab/>
        </w:r>
        <w:r w:rsidR="003C3925">
          <w:rPr>
            <w:noProof/>
            <w:webHidden/>
          </w:rPr>
          <w:fldChar w:fldCharType="begin"/>
        </w:r>
        <w:r w:rsidR="0044183D">
          <w:rPr>
            <w:noProof/>
            <w:webHidden/>
          </w:rPr>
          <w:instrText xml:space="preserve"> PAGEREF _Toc57655423 \h </w:instrText>
        </w:r>
        <w:r w:rsidR="003C3925">
          <w:rPr>
            <w:noProof/>
            <w:webHidden/>
          </w:rPr>
        </w:r>
        <w:r w:rsidR="003C3925">
          <w:rPr>
            <w:noProof/>
            <w:webHidden/>
          </w:rPr>
          <w:fldChar w:fldCharType="separate"/>
        </w:r>
        <w:r w:rsidR="0044183D">
          <w:rPr>
            <w:noProof/>
            <w:webHidden/>
          </w:rPr>
          <w:t>26</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24" w:history="1">
        <w:r w:rsidR="0044183D" w:rsidRPr="00331958">
          <w:rPr>
            <w:rStyle w:val="Hyperlink"/>
            <w:rFonts w:cs="Arial"/>
            <w:noProof/>
            <w:lang w:val="hy-AM" w:eastAsia="en-US"/>
          </w:rPr>
          <w:t>Արտաքին քաղաքականություն</w:t>
        </w:r>
        <w:r w:rsidR="0044183D">
          <w:rPr>
            <w:noProof/>
            <w:webHidden/>
          </w:rPr>
          <w:tab/>
        </w:r>
        <w:r w:rsidR="003C3925">
          <w:rPr>
            <w:noProof/>
            <w:webHidden/>
          </w:rPr>
          <w:fldChar w:fldCharType="begin"/>
        </w:r>
        <w:r w:rsidR="0044183D">
          <w:rPr>
            <w:noProof/>
            <w:webHidden/>
          </w:rPr>
          <w:instrText xml:space="preserve"> PAGEREF _Toc57655424 \h </w:instrText>
        </w:r>
        <w:r w:rsidR="003C3925">
          <w:rPr>
            <w:noProof/>
            <w:webHidden/>
          </w:rPr>
        </w:r>
        <w:r w:rsidR="003C3925">
          <w:rPr>
            <w:noProof/>
            <w:webHidden/>
          </w:rPr>
          <w:fldChar w:fldCharType="separate"/>
        </w:r>
        <w:r w:rsidR="0044183D">
          <w:rPr>
            <w:noProof/>
            <w:webHidden/>
          </w:rPr>
          <w:t>27</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25" w:history="1">
        <w:r w:rsidR="0044183D" w:rsidRPr="00331958">
          <w:rPr>
            <w:rStyle w:val="Hyperlink"/>
            <w:rFonts w:cs="Arial"/>
            <w:noProof/>
            <w:lang w:val="hy-AM" w:eastAsia="en-US"/>
          </w:rPr>
          <w:t>Արդարադատություն</w:t>
        </w:r>
        <w:r w:rsidR="0044183D">
          <w:rPr>
            <w:noProof/>
            <w:webHidden/>
          </w:rPr>
          <w:tab/>
        </w:r>
        <w:r w:rsidR="003C3925">
          <w:rPr>
            <w:noProof/>
            <w:webHidden/>
          </w:rPr>
          <w:fldChar w:fldCharType="begin"/>
        </w:r>
        <w:r w:rsidR="0044183D">
          <w:rPr>
            <w:noProof/>
            <w:webHidden/>
          </w:rPr>
          <w:instrText xml:space="preserve"> PAGEREF _Toc57655425 \h </w:instrText>
        </w:r>
        <w:r w:rsidR="003C3925">
          <w:rPr>
            <w:noProof/>
            <w:webHidden/>
          </w:rPr>
        </w:r>
        <w:r w:rsidR="003C3925">
          <w:rPr>
            <w:noProof/>
            <w:webHidden/>
          </w:rPr>
          <w:fldChar w:fldCharType="separate"/>
        </w:r>
        <w:r w:rsidR="0044183D">
          <w:rPr>
            <w:noProof/>
            <w:webHidden/>
          </w:rPr>
          <w:t>29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26" w:history="1">
        <w:r w:rsidR="0044183D" w:rsidRPr="00331958">
          <w:rPr>
            <w:rStyle w:val="Hyperlink"/>
            <w:rFonts w:cs="Arial"/>
            <w:noProof/>
            <w:lang w:val="hy-AM" w:eastAsia="en-US"/>
          </w:rPr>
          <w:t>Սփյուռք</w:t>
        </w:r>
        <w:r w:rsidR="0044183D">
          <w:rPr>
            <w:noProof/>
            <w:webHidden/>
          </w:rPr>
          <w:tab/>
        </w:r>
        <w:r w:rsidR="003C3925">
          <w:rPr>
            <w:noProof/>
            <w:webHidden/>
          </w:rPr>
          <w:fldChar w:fldCharType="begin"/>
        </w:r>
        <w:r w:rsidR="0044183D">
          <w:rPr>
            <w:noProof/>
            <w:webHidden/>
          </w:rPr>
          <w:instrText xml:space="preserve"> PAGEREF _Toc57655426 \h </w:instrText>
        </w:r>
        <w:r w:rsidR="003C3925">
          <w:rPr>
            <w:noProof/>
            <w:webHidden/>
          </w:rPr>
        </w:r>
        <w:r w:rsidR="003C3925">
          <w:rPr>
            <w:noProof/>
            <w:webHidden/>
          </w:rPr>
          <w:fldChar w:fldCharType="separate"/>
        </w:r>
        <w:r w:rsidR="0044183D">
          <w:rPr>
            <w:noProof/>
            <w:webHidden/>
          </w:rPr>
          <w:t>34</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27" w:history="1">
        <w:r w:rsidR="0044183D" w:rsidRPr="00331958">
          <w:rPr>
            <w:rStyle w:val="Hyperlink"/>
            <w:rFonts w:cs="Arial"/>
            <w:noProof/>
            <w:lang w:val="hy-AM" w:eastAsia="en-US"/>
          </w:rPr>
          <w:t>Կրթություն</w:t>
        </w:r>
        <w:r w:rsidR="0044183D">
          <w:rPr>
            <w:noProof/>
            <w:webHidden/>
          </w:rPr>
          <w:tab/>
        </w:r>
        <w:r w:rsidR="003C3925">
          <w:rPr>
            <w:noProof/>
            <w:webHidden/>
          </w:rPr>
          <w:fldChar w:fldCharType="begin"/>
        </w:r>
        <w:r w:rsidR="0044183D">
          <w:rPr>
            <w:noProof/>
            <w:webHidden/>
          </w:rPr>
          <w:instrText xml:space="preserve"> PAGEREF _Toc57655427 \h </w:instrText>
        </w:r>
        <w:r w:rsidR="003C3925">
          <w:rPr>
            <w:noProof/>
            <w:webHidden/>
          </w:rPr>
        </w:r>
        <w:r w:rsidR="003C3925">
          <w:rPr>
            <w:noProof/>
            <w:webHidden/>
          </w:rPr>
          <w:fldChar w:fldCharType="separate"/>
        </w:r>
        <w:r w:rsidR="0044183D">
          <w:rPr>
            <w:noProof/>
            <w:webHidden/>
          </w:rPr>
          <w:t>35</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28" w:history="1">
        <w:r w:rsidR="0044183D" w:rsidRPr="00331958">
          <w:rPr>
            <w:rStyle w:val="Hyperlink"/>
            <w:rFonts w:cs="Arial"/>
            <w:noProof/>
            <w:lang w:val="hy-AM" w:eastAsia="en-US"/>
          </w:rPr>
          <w:t>Գիտության ոլորտ</w:t>
        </w:r>
        <w:r w:rsidR="0044183D">
          <w:rPr>
            <w:noProof/>
            <w:webHidden/>
          </w:rPr>
          <w:tab/>
        </w:r>
        <w:r w:rsidR="003C3925">
          <w:rPr>
            <w:noProof/>
            <w:webHidden/>
          </w:rPr>
          <w:fldChar w:fldCharType="begin"/>
        </w:r>
        <w:r w:rsidR="0044183D">
          <w:rPr>
            <w:noProof/>
            <w:webHidden/>
          </w:rPr>
          <w:instrText xml:space="preserve"> PAGEREF _Toc57655428 \h </w:instrText>
        </w:r>
        <w:r w:rsidR="003C3925">
          <w:rPr>
            <w:noProof/>
            <w:webHidden/>
          </w:rPr>
        </w:r>
        <w:r w:rsidR="003C3925">
          <w:rPr>
            <w:noProof/>
            <w:webHidden/>
          </w:rPr>
          <w:fldChar w:fldCharType="separate"/>
        </w:r>
        <w:r w:rsidR="0044183D">
          <w:rPr>
            <w:noProof/>
            <w:webHidden/>
          </w:rPr>
          <w:t>36</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29" w:history="1">
        <w:r w:rsidR="0044183D" w:rsidRPr="00331958">
          <w:rPr>
            <w:rStyle w:val="Hyperlink"/>
            <w:rFonts w:cs="Arial"/>
            <w:noProof/>
            <w:lang w:val="hy-AM" w:eastAsia="en-US"/>
          </w:rPr>
          <w:t>Մշակույթ</w:t>
        </w:r>
        <w:r w:rsidR="0044183D">
          <w:rPr>
            <w:noProof/>
            <w:webHidden/>
          </w:rPr>
          <w:tab/>
        </w:r>
        <w:r w:rsidR="003C3925">
          <w:rPr>
            <w:noProof/>
            <w:webHidden/>
          </w:rPr>
          <w:fldChar w:fldCharType="begin"/>
        </w:r>
        <w:r w:rsidR="0044183D">
          <w:rPr>
            <w:noProof/>
            <w:webHidden/>
          </w:rPr>
          <w:instrText xml:space="preserve"> PAGEREF _Toc57655429 \h </w:instrText>
        </w:r>
        <w:r w:rsidR="003C3925">
          <w:rPr>
            <w:noProof/>
            <w:webHidden/>
          </w:rPr>
        </w:r>
        <w:r w:rsidR="003C3925">
          <w:rPr>
            <w:noProof/>
            <w:webHidden/>
          </w:rPr>
          <w:fldChar w:fldCharType="separate"/>
        </w:r>
        <w:r w:rsidR="0044183D">
          <w:rPr>
            <w:noProof/>
            <w:webHidden/>
          </w:rPr>
          <w:t>37</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30" w:history="1">
        <w:r w:rsidR="0044183D" w:rsidRPr="00331958">
          <w:rPr>
            <w:rStyle w:val="Hyperlink"/>
            <w:rFonts w:cs="Arial"/>
            <w:noProof/>
            <w:lang w:val="hy-AM" w:eastAsia="en-US"/>
          </w:rPr>
          <w:t>Սպորտ</w:t>
        </w:r>
        <w:r w:rsidR="0044183D">
          <w:rPr>
            <w:noProof/>
            <w:webHidden/>
          </w:rPr>
          <w:tab/>
        </w:r>
        <w:r w:rsidR="003C3925">
          <w:rPr>
            <w:noProof/>
            <w:webHidden/>
          </w:rPr>
          <w:fldChar w:fldCharType="begin"/>
        </w:r>
        <w:r w:rsidR="0044183D">
          <w:rPr>
            <w:noProof/>
            <w:webHidden/>
          </w:rPr>
          <w:instrText xml:space="preserve"> PAGEREF _Toc57655430 \h </w:instrText>
        </w:r>
        <w:r w:rsidR="003C3925">
          <w:rPr>
            <w:noProof/>
            <w:webHidden/>
          </w:rPr>
        </w:r>
        <w:r w:rsidR="003C3925">
          <w:rPr>
            <w:noProof/>
            <w:webHidden/>
          </w:rPr>
          <w:fldChar w:fldCharType="separate"/>
        </w:r>
        <w:r w:rsidR="0044183D">
          <w:rPr>
            <w:noProof/>
            <w:webHidden/>
          </w:rPr>
          <w:t>39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31" w:history="1">
        <w:r w:rsidR="0044183D" w:rsidRPr="00331958">
          <w:rPr>
            <w:rStyle w:val="Hyperlink"/>
            <w:rFonts w:cs="Sylfaen"/>
            <w:noProof/>
            <w:lang w:val="af-ZA" w:eastAsia="en-US"/>
          </w:rPr>
          <w:t>Երիտասարդություն</w:t>
        </w:r>
        <w:r w:rsidR="0044183D">
          <w:rPr>
            <w:noProof/>
            <w:webHidden/>
          </w:rPr>
          <w:tab/>
        </w:r>
        <w:r w:rsidR="003C3925">
          <w:rPr>
            <w:noProof/>
            <w:webHidden/>
          </w:rPr>
          <w:fldChar w:fldCharType="begin"/>
        </w:r>
        <w:r w:rsidR="0044183D">
          <w:rPr>
            <w:noProof/>
            <w:webHidden/>
          </w:rPr>
          <w:instrText xml:space="preserve"> PAGEREF _Toc57655431 \h </w:instrText>
        </w:r>
        <w:r w:rsidR="003C3925">
          <w:rPr>
            <w:noProof/>
            <w:webHidden/>
          </w:rPr>
        </w:r>
        <w:r w:rsidR="003C3925">
          <w:rPr>
            <w:noProof/>
            <w:webHidden/>
          </w:rPr>
          <w:fldChar w:fldCharType="separate"/>
        </w:r>
        <w:r w:rsidR="0044183D">
          <w:rPr>
            <w:noProof/>
            <w:webHidden/>
          </w:rPr>
          <w:t>39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32" w:history="1">
        <w:r w:rsidR="0044183D" w:rsidRPr="00331958">
          <w:rPr>
            <w:rStyle w:val="Hyperlink"/>
            <w:rFonts w:cs="Arial"/>
            <w:noProof/>
            <w:lang w:val="hy-AM" w:eastAsia="en-US"/>
          </w:rPr>
          <w:t>Առողջապահություն</w:t>
        </w:r>
        <w:r w:rsidR="0044183D">
          <w:rPr>
            <w:noProof/>
            <w:webHidden/>
          </w:rPr>
          <w:tab/>
        </w:r>
        <w:r w:rsidR="003C3925">
          <w:rPr>
            <w:noProof/>
            <w:webHidden/>
          </w:rPr>
          <w:fldChar w:fldCharType="begin"/>
        </w:r>
        <w:r w:rsidR="0044183D">
          <w:rPr>
            <w:noProof/>
            <w:webHidden/>
          </w:rPr>
          <w:instrText xml:space="preserve"> PAGEREF _Toc57655432 \h </w:instrText>
        </w:r>
        <w:r w:rsidR="003C3925">
          <w:rPr>
            <w:noProof/>
            <w:webHidden/>
          </w:rPr>
        </w:r>
        <w:r w:rsidR="003C3925">
          <w:rPr>
            <w:noProof/>
            <w:webHidden/>
          </w:rPr>
          <w:fldChar w:fldCharType="separate"/>
        </w:r>
        <w:r w:rsidR="0044183D">
          <w:rPr>
            <w:noProof/>
            <w:webHidden/>
          </w:rPr>
          <w:t>39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33" w:history="1">
        <w:r w:rsidR="0044183D" w:rsidRPr="00331958">
          <w:rPr>
            <w:rStyle w:val="Hyperlink"/>
            <w:rFonts w:cs="Arial"/>
            <w:noProof/>
            <w:lang w:val="hy-AM" w:eastAsia="en-US"/>
          </w:rPr>
          <w:t>Աշխատանք և սոցիալական պաշտպանություն</w:t>
        </w:r>
        <w:r w:rsidR="0044183D">
          <w:rPr>
            <w:noProof/>
            <w:webHidden/>
          </w:rPr>
          <w:tab/>
        </w:r>
        <w:r w:rsidR="003C3925">
          <w:rPr>
            <w:noProof/>
            <w:webHidden/>
          </w:rPr>
          <w:fldChar w:fldCharType="begin"/>
        </w:r>
        <w:r w:rsidR="0044183D">
          <w:rPr>
            <w:noProof/>
            <w:webHidden/>
          </w:rPr>
          <w:instrText xml:space="preserve"> PAGEREF _Toc57655433 \h </w:instrText>
        </w:r>
        <w:r w:rsidR="003C3925">
          <w:rPr>
            <w:noProof/>
            <w:webHidden/>
          </w:rPr>
        </w:r>
        <w:r w:rsidR="003C3925">
          <w:rPr>
            <w:noProof/>
            <w:webHidden/>
          </w:rPr>
          <w:fldChar w:fldCharType="separate"/>
        </w:r>
        <w:r w:rsidR="0044183D">
          <w:rPr>
            <w:noProof/>
            <w:webHidden/>
          </w:rPr>
          <w:t>41</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34" w:history="1">
        <w:r w:rsidR="0044183D" w:rsidRPr="00331958">
          <w:rPr>
            <w:rStyle w:val="Hyperlink"/>
            <w:rFonts w:cs="Arial"/>
            <w:noProof/>
            <w:lang w:val="hy-AM" w:eastAsia="en-US"/>
          </w:rPr>
          <w:t>Շրջակա միջավայր</w:t>
        </w:r>
        <w:r w:rsidR="0044183D">
          <w:rPr>
            <w:noProof/>
            <w:webHidden/>
          </w:rPr>
          <w:tab/>
        </w:r>
        <w:r w:rsidR="003C3925">
          <w:rPr>
            <w:noProof/>
            <w:webHidden/>
          </w:rPr>
          <w:fldChar w:fldCharType="begin"/>
        </w:r>
        <w:r w:rsidR="0044183D">
          <w:rPr>
            <w:noProof/>
            <w:webHidden/>
          </w:rPr>
          <w:instrText xml:space="preserve"> PAGEREF _Toc57655434 \h </w:instrText>
        </w:r>
        <w:r w:rsidR="003C3925">
          <w:rPr>
            <w:noProof/>
            <w:webHidden/>
          </w:rPr>
        </w:r>
        <w:r w:rsidR="003C3925">
          <w:rPr>
            <w:noProof/>
            <w:webHidden/>
          </w:rPr>
          <w:fldChar w:fldCharType="separate"/>
        </w:r>
        <w:r w:rsidR="0044183D">
          <w:rPr>
            <w:noProof/>
            <w:webHidden/>
          </w:rPr>
          <w:t>46</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35" w:history="1">
        <w:r w:rsidR="0044183D" w:rsidRPr="00331958">
          <w:rPr>
            <w:rStyle w:val="Hyperlink"/>
            <w:rFonts w:cs="Arial"/>
            <w:noProof/>
            <w:lang w:val="hy-AM" w:eastAsia="en-US"/>
          </w:rPr>
          <w:t>Բյուջեների կազմման բնագավառ</w:t>
        </w:r>
        <w:r w:rsidR="0044183D">
          <w:rPr>
            <w:noProof/>
            <w:webHidden/>
          </w:rPr>
          <w:tab/>
        </w:r>
        <w:r w:rsidR="003C3925">
          <w:rPr>
            <w:noProof/>
            <w:webHidden/>
          </w:rPr>
          <w:fldChar w:fldCharType="begin"/>
        </w:r>
        <w:r w:rsidR="0044183D">
          <w:rPr>
            <w:noProof/>
            <w:webHidden/>
          </w:rPr>
          <w:instrText xml:space="preserve"> PAGEREF _Toc57655435 \h </w:instrText>
        </w:r>
        <w:r w:rsidR="003C3925">
          <w:rPr>
            <w:noProof/>
            <w:webHidden/>
          </w:rPr>
        </w:r>
        <w:r w:rsidR="003C3925">
          <w:rPr>
            <w:noProof/>
            <w:webHidden/>
          </w:rPr>
          <w:fldChar w:fldCharType="separate"/>
        </w:r>
        <w:r w:rsidR="0044183D">
          <w:rPr>
            <w:noProof/>
            <w:webHidden/>
          </w:rPr>
          <w:t>47</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36" w:history="1">
        <w:r w:rsidR="0044183D" w:rsidRPr="00331958">
          <w:rPr>
            <w:rStyle w:val="Hyperlink"/>
            <w:rFonts w:cs="Arial"/>
            <w:noProof/>
            <w:lang w:val="hy-AM" w:eastAsia="en-US"/>
          </w:rPr>
          <w:t>Հաշվապահական հաշվառման և աուդիտորական գործունեություն</w:t>
        </w:r>
        <w:r w:rsidR="0044183D">
          <w:rPr>
            <w:noProof/>
            <w:webHidden/>
          </w:rPr>
          <w:tab/>
        </w:r>
        <w:r w:rsidR="003C3925">
          <w:rPr>
            <w:noProof/>
            <w:webHidden/>
          </w:rPr>
          <w:fldChar w:fldCharType="begin"/>
        </w:r>
        <w:r w:rsidR="0044183D">
          <w:rPr>
            <w:noProof/>
            <w:webHidden/>
          </w:rPr>
          <w:instrText xml:space="preserve"> PAGEREF _Toc57655436 \h </w:instrText>
        </w:r>
        <w:r w:rsidR="003C3925">
          <w:rPr>
            <w:noProof/>
            <w:webHidden/>
          </w:rPr>
        </w:r>
        <w:r w:rsidR="003C3925">
          <w:rPr>
            <w:noProof/>
            <w:webHidden/>
          </w:rPr>
          <w:fldChar w:fldCharType="separate"/>
        </w:r>
        <w:r w:rsidR="0044183D">
          <w:rPr>
            <w:noProof/>
            <w:webHidden/>
          </w:rPr>
          <w:t>48</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37" w:history="1">
        <w:r w:rsidR="0044183D" w:rsidRPr="00331958">
          <w:rPr>
            <w:rStyle w:val="Hyperlink"/>
            <w:rFonts w:cs="Arial"/>
            <w:noProof/>
            <w:lang w:val="hy-AM"/>
          </w:rPr>
          <w:t>Եկամուտների քաղաքականության ոլորտ</w:t>
        </w:r>
        <w:r w:rsidR="0044183D">
          <w:rPr>
            <w:noProof/>
            <w:webHidden/>
          </w:rPr>
          <w:tab/>
        </w:r>
        <w:r w:rsidR="003C3925">
          <w:rPr>
            <w:noProof/>
            <w:webHidden/>
          </w:rPr>
          <w:fldChar w:fldCharType="begin"/>
        </w:r>
        <w:r w:rsidR="0044183D">
          <w:rPr>
            <w:noProof/>
            <w:webHidden/>
          </w:rPr>
          <w:instrText xml:space="preserve"> PAGEREF _Toc57655437 \h </w:instrText>
        </w:r>
        <w:r w:rsidR="003C3925">
          <w:rPr>
            <w:noProof/>
            <w:webHidden/>
          </w:rPr>
        </w:r>
        <w:r w:rsidR="003C3925">
          <w:rPr>
            <w:noProof/>
            <w:webHidden/>
          </w:rPr>
          <w:fldChar w:fldCharType="separate"/>
        </w:r>
        <w:r w:rsidR="0044183D">
          <w:rPr>
            <w:noProof/>
            <w:webHidden/>
          </w:rPr>
          <w:t>48</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38" w:history="1">
        <w:r w:rsidR="0044183D" w:rsidRPr="00331958">
          <w:rPr>
            <w:rStyle w:val="Hyperlink"/>
            <w:rFonts w:cs="Arial"/>
            <w:noProof/>
            <w:lang w:val="hy-AM"/>
          </w:rPr>
          <w:t>Կապիտալի շուկայի զարգացում</w:t>
        </w:r>
        <w:r w:rsidR="0044183D">
          <w:rPr>
            <w:noProof/>
            <w:webHidden/>
          </w:rPr>
          <w:tab/>
        </w:r>
        <w:r w:rsidR="003C3925">
          <w:rPr>
            <w:noProof/>
            <w:webHidden/>
          </w:rPr>
          <w:fldChar w:fldCharType="begin"/>
        </w:r>
        <w:r w:rsidR="0044183D">
          <w:rPr>
            <w:noProof/>
            <w:webHidden/>
          </w:rPr>
          <w:instrText xml:space="preserve"> PAGEREF _Toc57655438 \h </w:instrText>
        </w:r>
        <w:r w:rsidR="003C3925">
          <w:rPr>
            <w:noProof/>
            <w:webHidden/>
          </w:rPr>
        </w:r>
        <w:r w:rsidR="003C3925">
          <w:rPr>
            <w:noProof/>
            <w:webHidden/>
          </w:rPr>
          <w:fldChar w:fldCharType="separate"/>
        </w:r>
        <w:r w:rsidR="0044183D">
          <w:rPr>
            <w:noProof/>
            <w:webHidden/>
          </w:rPr>
          <w:t>49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39" w:history="1">
        <w:r w:rsidR="0044183D" w:rsidRPr="00331958">
          <w:rPr>
            <w:rStyle w:val="Hyperlink"/>
            <w:rFonts w:cs="Arial"/>
            <w:noProof/>
            <w:lang w:val="hy-AM" w:eastAsia="en-US"/>
          </w:rPr>
          <w:t>Պետական եկամուտների վարչարարություն</w:t>
        </w:r>
        <w:r w:rsidR="0044183D">
          <w:rPr>
            <w:noProof/>
            <w:webHidden/>
          </w:rPr>
          <w:tab/>
        </w:r>
        <w:r w:rsidR="003C3925">
          <w:rPr>
            <w:noProof/>
            <w:webHidden/>
          </w:rPr>
          <w:fldChar w:fldCharType="begin"/>
        </w:r>
        <w:r w:rsidR="0044183D">
          <w:rPr>
            <w:noProof/>
            <w:webHidden/>
          </w:rPr>
          <w:instrText xml:space="preserve"> PAGEREF _Toc57655439 \h </w:instrText>
        </w:r>
        <w:r w:rsidR="003C3925">
          <w:rPr>
            <w:noProof/>
            <w:webHidden/>
          </w:rPr>
        </w:r>
        <w:r w:rsidR="003C3925">
          <w:rPr>
            <w:noProof/>
            <w:webHidden/>
          </w:rPr>
          <w:fldChar w:fldCharType="separate"/>
        </w:r>
        <w:r w:rsidR="0044183D">
          <w:rPr>
            <w:noProof/>
            <w:webHidden/>
          </w:rPr>
          <w:t>50</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40" w:history="1">
        <w:r w:rsidR="0044183D" w:rsidRPr="00331958">
          <w:rPr>
            <w:rStyle w:val="Hyperlink"/>
            <w:rFonts w:cs="Arial"/>
            <w:noProof/>
            <w:lang w:val="hy-AM" w:eastAsia="en-US"/>
          </w:rPr>
          <w:t>Պետական գույքի կառավարման ոլորտ</w:t>
        </w:r>
        <w:r w:rsidR="0044183D">
          <w:rPr>
            <w:noProof/>
            <w:webHidden/>
          </w:rPr>
          <w:tab/>
        </w:r>
        <w:r w:rsidR="003C3925">
          <w:rPr>
            <w:noProof/>
            <w:webHidden/>
          </w:rPr>
          <w:fldChar w:fldCharType="begin"/>
        </w:r>
        <w:r w:rsidR="0044183D">
          <w:rPr>
            <w:noProof/>
            <w:webHidden/>
          </w:rPr>
          <w:instrText xml:space="preserve"> PAGEREF _Toc57655440 \h </w:instrText>
        </w:r>
        <w:r w:rsidR="003C3925">
          <w:rPr>
            <w:noProof/>
            <w:webHidden/>
          </w:rPr>
        </w:r>
        <w:r w:rsidR="003C3925">
          <w:rPr>
            <w:noProof/>
            <w:webHidden/>
          </w:rPr>
          <w:fldChar w:fldCharType="separate"/>
        </w:r>
        <w:r w:rsidR="0044183D">
          <w:rPr>
            <w:noProof/>
            <w:webHidden/>
          </w:rPr>
          <w:t>52</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41" w:history="1">
        <w:r w:rsidR="0044183D" w:rsidRPr="00331958">
          <w:rPr>
            <w:rStyle w:val="Hyperlink"/>
            <w:rFonts w:cs="Arial"/>
            <w:noProof/>
            <w:lang w:val="hy-AM" w:eastAsia="en-US"/>
          </w:rPr>
          <w:t>Անշարժ գույքի կադաստր</w:t>
        </w:r>
        <w:r w:rsidR="0044183D">
          <w:rPr>
            <w:noProof/>
            <w:webHidden/>
          </w:rPr>
          <w:tab/>
        </w:r>
        <w:r w:rsidR="003C3925">
          <w:rPr>
            <w:noProof/>
            <w:webHidden/>
          </w:rPr>
          <w:fldChar w:fldCharType="begin"/>
        </w:r>
        <w:r w:rsidR="0044183D">
          <w:rPr>
            <w:noProof/>
            <w:webHidden/>
          </w:rPr>
          <w:instrText xml:space="preserve"> PAGEREF _Toc57655441 \h </w:instrText>
        </w:r>
        <w:r w:rsidR="003C3925">
          <w:rPr>
            <w:noProof/>
            <w:webHidden/>
          </w:rPr>
        </w:r>
        <w:r w:rsidR="003C3925">
          <w:rPr>
            <w:noProof/>
            <w:webHidden/>
          </w:rPr>
          <w:fldChar w:fldCharType="separate"/>
        </w:r>
        <w:r w:rsidR="0044183D">
          <w:rPr>
            <w:noProof/>
            <w:webHidden/>
          </w:rPr>
          <w:t>53</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42" w:history="1">
        <w:r w:rsidR="0044183D" w:rsidRPr="00331958">
          <w:rPr>
            <w:rStyle w:val="Hyperlink"/>
            <w:rFonts w:cs="Arial"/>
            <w:noProof/>
            <w:lang w:val="hy-AM" w:eastAsia="en-US"/>
          </w:rPr>
          <w:t>Հասարակական կարգի պահպանություն</w:t>
        </w:r>
        <w:r w:rsidR="0044183D">
          <w:rPr>
            <w:noProof/>
            <w:webHidden/>
          </w:rPr>
          <w:tab/>
        </w:r>
        <w:r w:rsidR="003C3925">
          <w:rPr>
            <w:noProof/>
            <w:webHidden/>
          </w:rPr>
          <w:fldChar w:fldCharType="begin"/>
        </w:r>
        <w:r w:rsidR="0044183D">
          <w:rPr>
            <w:noProof/>
            <w:webHidden/>
          </w:rPr>
          <w:instrText xml:space="preserve"> PAGEREF _Toc57655442 \h </w:instrText>
        </w:r>
        <w:r w:rsidR="003C3925">
          <w:rPr>
            <w:noProof/>
            <w:webHidden/>
          </w:rPr>
        </w:r>
        <w:r w:rsidR="003C3925">
          <w:rPr>
            <w:noProof/>
            <w:webHidden/>
          </w:rPr>
          <w:fldChar w:fldCharType="separate"/>
        </w:r>
        <w:r w:rsidR="0044183D">
          <w:rPr>
            <w:noProof/>
            <w:webHidden/>
          </w:rPr>
          <w:t>54</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43" w:history="1">
        <w:r w:rsidR="0044183D" w:rsidRPr="00331958">
          <w:rPr>
            <w:rStyle w:val="Hyperlink"/>
            <w:rFonts w:cs="Arial"/>
            <w:noProof/>
            <w:lang w:val="hy-AM" w:eastAsia="en-US"/>
          </w:rPr>
          <w:t>Գենդերազգայուն բյուջե</w:t>
        </w:r>
        <w:r w:rsidR="0044183D">
          <w:rPr>
            <w:noProof/>
            <w:webHidden/>
          </w:rPr>
          <w:tab/>
        </w:r>
        <w:r w:rsidR="003C3925">
          <w:rPr>
            <w:noProof/>
            <w:webHidden/>
          </w:rPr>
          <w:fldChar w:fldCharType="begin"/>
        </w:r>
        <w:r w:rsidR="0044183D">
          <w:rPr>
            <w:noProof/>
            <w:webHidden/>
          </w:rPr>
          <w:instrText xml:space="preserve"> PAGEREF _Toc57655443 \h </w:instrText>
        </w:r>
        <w:r w:rsidR="003C3925">
          <w:rPr>
            <w:noProof/>
            <w:webHidden/>
          </w:rPr>
        </w:r>
        <w:r w:rsidR="003C3925">
          <w:rPr>
            <w:noProof/>
            <w:webHidden/>
          </w:rPr>
          <w:fldChar w:fldCharType="separate"/>
        </w:r>
        <w:r w:rsidR="0044183D">
          <w:rPr>
            <w:noProof/>
            <w:webHidden/>
          </w:rPr>
          <w:t>57</w:t>
        </w:r>
        <w:r w:rsidR="003C3925">
          <w:rPr>
            <w:noProof/>
            <w:webHidden/>
          </w:rPr>
          <w:fldChar w:fldCharType="end"/>
        </w:r>
      </w:hyperlink>
    </w:p>
    <w:p w:rsidR="0044183D" w:rsidRDefault="0043500B">
      <w:pPr>
        <w:pStyle w:val="TOC1"/>
        <w:rPr>
          <w:rFonts w:asciiTheme="minorHAnsi" w:eastAsiaTheme="minorEastAsia" w:hAnsiTheme="minorHAnsi" w:cstheme="minorBidi"/>
          <w:b w:val="0"/>
          <w:noProof/>
          <w:szCs w:val="22"/>
          <w:lang w:val="en-US" w:eastAsia="en-US"/>
        </w:rPr>
      </w:pPr>
      <w:hyperlink w:anchor="_Toc57655444" w:history="1">
        <w:r w:rsidR="0044183D" w:rsidRPr="00331958">
          <w:rPr>
            <w:rStyle w:val="Hyperlink"/>
            <w:noProof/>
            <w:lang w:val="hy-AM"/>
          </w:rPr>
          <w:t>ՄԱՍ I - Բ. ՄԱԿՐՈՏՆՏԵՍԱԿԱՆ ԶԱՐԳԱՑՈՒՄՆԵՐ ԵՎ ԿԱՆԽԱՏԵՍՈՒՄՆԵՐ</w:t>
        </w:r>
        <w:r w:rsidR="0044183D">
          <w:rPr>
            <w:noProof/>
            <w:webHidden/>
          </w:rPr>
          <w:tab/>
        </w:r>
        <w:r w:rsidR="003C3925">
          <w:rPr>
            <w:noProof/>
            <w:webHidden/>
          </w:rPr>
          <w:fldChar w:fldCharType="begin"/>
        </w:r>
        <w:r w:rsidR="0044183D">
          <w:rPr>
            <w:noProof/>
            <w:webHidden/>
          </w:rPr>
          <w:instrText xml:space="preserve"> PAGEREF _Toc57655444 \h </w:instrText>
        </w:r>
        <w:r w:rsidR="003C3925">
          <w:rPr>
            <w:noProof/>
            <w:webHidden/>
          </w:rPr>
        </w:r>
        <w:r w:rsidR="003C3925">
          <w:rPr>
            <w:noProof/>
            <w:webHidden/>
          </w:rPr>
          <w:fldChar w:fldCharType="separate"/>
        </w:r>
        <w:r w:rsidR="0044183D">
          <w:rPr>
            <w:noProof/>
            <w:webHidden/>
          </w:rPr>
          <w:t>59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45" w:history="1">
        <w:r w:rsidR="0044183D" w:rsidRPr="00331958">
          <w:rPr>
            <w:rStyle w:val="Hyperlink"/>
            <w:bCs/>
            <w:noProof/>
            <w:lang w:val="hy-AM"/>
          </w:rPr>
          <w:t>1.1 ՄԱԿՐՈՏՆՏԵՍԱԿԱՆ ԱՄՓՈՓԱԳԻՐ ԵՎ ՇՐՋԱՆԱԿ</w:t>
        </w:r>
        <w:r w:rsidR="0044183D">
          <w:rPr>
            <w:noProof/>
            <w:webHidden/>
          </w:rPr>
          <w:tab/>
        </w:r>
        <w:r w:rsidR="003C3925">
          <w:rPr>
            <w:noProof/>
            <w:webHidden/>
          </w:rPr>
          <w:fldChar w:fldCharType="begin"/>
        </w:r>
        <w:r w:rsidR="0044183D">
          <w:rPr>
            <w:noProof/>
            <w:webHidden/>
          </w:rPr>
          <w:instrText xml:space="preserve"> PAGEREF _Toc57655445 \h </w:instrText>
        </w:r>
        <w:r w:rsidR="003C3925">
          <w:rPr>
            <w:noProof/>
            <w:webHidden/>
          </w:rPr>
        </w:r>
        <w:r w:rsidR="003C3925">
          <w:rPr>
            <w:noProof/>
            <w:webHidden/>
          </w:rPr>
          <w:fldChar w:fldCharType="separate"/>
        </w:r>
        <w:r w:rsidR="0044183D">
          <w:rPr>
            <w:noProof/>
            <w:webHidden/>
          </w:rPr>
          <w:t>59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46" w:history="1">
        <w:r w:rsidR="0044183D" w:rsidRPr="00331958">
          <w:rPr>
            <w:rStyle w:val="Hyperlink"/>
            <w:bCs/>
            <w:noProof/>
            <w:lang w:val="hy-AM"/>
          </w:rPr>
          <w:t>1.2. ՀԱՄԱՇԽԱՐՀԱՅԻՆ ՏՆՏԵՍՈՒԹՅԱՆ ԵՎ ԳՈՐԾԸՆԿԵՐ ԵՐԿՐՆԵՐԻ ԶԱՐԳԱՑՈՒՄՆԵՐ ԵՎ ԿԱՆԽԱՏԵՍՈՒՄՆԵՐ</w:t>
        </w:r>
        <w:r w:rsidR="0044183D">
          <w:rPr>
            <w:noProof/>
            <w:webHidden/>
          </w:rPr>
          <w:tab/>
        </w:r>
        <w:r w:rsidR="003C3925">
          <w:rPr>
            <w:noProof/>
            <w:webHidden/>
          </w:rPr>
          <w:fldChar w:fldCharType="begin"/>
        </w:r>
        <w:r w:rsidR="0044183D">
          <w:rPr>
            <w:noProof/>
            <w:webHidden/>
          </w:rPr>
          <w:instrText xml:space="preserve"> PAGEREF _Toc57655446 \h </w:instrText>
        </w:r>
        <w:r w:rsidR="003C3925">
          <w:rPr>
            <w:noProof/>
            <w:webHidden/>
          </w:rPr>
        </w:r>
        <w:r w:rsidR="003C3925">
          <w:rPr>
            <w:noProof/>
            <w:webHidden/>
          </w:rPr>
          <w:fldChar w:fldCharType="separate"/>
        </w:r>
        <w:r w:rsidR="0044183D">
          <w:rPr>
            <w:noProof/>
            <w:webHidden/>
          </w:rPr>
          <w:t>62</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47" w:history="1">
        <w:r w:rsidR="0044183D" w:rsidRPr="00331958">
          <w:rPr>
            <w:rStyle w:val="Hyperlink"/>
            <w:bCs/>
            <w:noProof/>
            <w:lang w:val="hy-AM"/>
          </w:rPr>
          <w:t>1.3. ՀՀ ՄԱԿՐՈՏՆՏԵՍԱԿԱՆ ԶԱՐԳԱՑՈՒՄՆԵՐ ԵՎ ԿԱՆԽԱՏԵՍՈՒՄՆԵՐ</w:t>
        </w:r>
        <w:r w:rsidR="0044183D">
          <w:rPr>
            <w:noProof/>
            <w:webHidden/>
          </w:rPr>
          <w:tab/>
        </w:r>
        <w:r w:rsidR="003C3925">
          <w:rPr>
            <w:noProof/>
            <w:webHidden/>
          </w:rPr>
          <w:fldChar w:fldCharType="begin"/>
        </w:r>
        <w:r w:rsidR="0044183D">
          <w:rPr>
            <w:noProof/>
            <w:webHidden/>
          </w:rPr>
          <w:instrText xml:space="preserve"> PAGEREF _Toc57655447 \h </w:instrText>
        </w:r>
        <w:r w:rsidR="003C3925">
          <w:rPr>
            <w:noProof/>
            <w:webHidden/>
          </w:rPr>
        </w:r>
        <w:r w:rsidR="003C3925">
          <w:rPr>
            <w:noProof/>
            <w:webHidden/>
          </w:rPr>
          <w:fldChar w:fldCharType="separate"/>
        </w:r>
        <w:r w:rsidR="0044183D">
          <w:rPr>
            <w:noProof/>
            <w:webHidden/>
          </w:rPr>
          <w:t>66</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48" w:history="1">
        <w:r w:rsidR="0044183D" w:rsidRPr="00331958">
          <w:rPr>
            <w:rStyle w:val="Hyperlink"/>
            <w:bCs/>
            <w:noProof/>
            <w:lang w:val="hy-AM"/>
          </w:rPr>
          <w:t>1.4. ԿԱՆԽԱՏԵՍՈՒՄՆԵՐԻ ՀԻՄՔՈՒՄ ԸՆԿԱԾ ԵՆԹԱԴՐՈՒԹՅՈՒՆՆԵՐԸ</w:t>
        </w:r>
        <w:r w:rsidR="0044183D">
          <w:rPr>
            <w:noProof/>
            <w:webHidden/>
          </w:rPr>
          <w:tab/>
        </w:r>
        <w:r w:rsidR="003C3925">
          <w:rPr>
            <w:noProof/>
            <w:webHidden/>
          </w:rPr>
          <w:fldChar w:fldCharType="begin"/>
        </w:r>
        <w:r w:rsidR="0044183D">
          <w:rPr>
            <w:noProof/>
            <w:webHidden/>
          </w:rPr>
          <w:instrText xml:space="preserve"> PAGEREF _Toc57655448 \h </w:instrText>
        </w:r>
        <w:r w:rsidR="003C3925">
          <w:rPr>
            <w:noProof/>
            <w:webHidden/>
          </w:rPr>
        </w:r>
        <w:r w:rsidR="003C3925">
          <w:rPr>
            <w:noProof/>
            <w:webHidden/>
          </w:rPr>
          <w:fldChar w:fldCharType="separate"/>
        </w:r>
        <w:r w:rsidR="0044183D">
          <w:rPr>
            <w:noProof/>
            <w:webHidden/>
          </w:rPr>
          <w:t>79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49" w:history="1">
        <w:r w:rsidR="0044183D" w:rsidRPr="00331958">
          <w:rPr>
            <w:rStyle w:val="Hyperlink"/>
            <w:bCs/>
            <w:noProof/>
            <w:lang w:val="hy-AM"/>
          </w:rPr>
          <w:t>1.5. ԿՈՐՈՆԱՎԻՐՈՒՍԻ ՀԱՄԱՎԱՐԱԿԻ (COVID-19) ԱԶԴԵՑՈՒԹՅԱՆ ԳՆԱՀԱՏՈՒՄԸ ՀԱՐԿԱԲՅՈՒՋԵՏԱՅԻՆ ՔԱՂԱՔԱԿԱՆՈՒԹՅԱՆ ԸՆԴՀԱՆՈՒՐ ՀԱՎԱՍԱՐԱԿՇՌՈՒԹՅԱՆ DSGE ՄՈԴԵԼՈՎ</w:t>
        </w:r>
        <w:r w:rsidR="0044183D">
          <w:rPr>
            <w:noProof/>
            <w:webHidden/>
          </w:rPr>
          <w:tab/>
        </w:r>
        <w:r w:rsidR="003C3925">
          <w:rPr>
            <w:noProof/>
            <w:webHidden/>
          </w:rPr>
          <w:fldChar w:fldCharType="begin"/>
        </w:r>
        <w:r w:rsidR="0044183D">
          <w:rPr>
            <w:noProof/>
            <w:webHidden/>
          </w:rPr>
          <w:instrText xml:space="preserve"> PAGEREF _Toc57655449 \h </w:instrText>
        </w:r>
        <w:r w:rsidR="003C3925">
          <w:rPr>
            <w:noProof/>
            <w:webHidden/>
          </w:rPr>
        </w:r>
        <w:r w:rsidR="003C3925">
          <w:rPr>
            <w:noProof/>
            <w:webHidden/>
          </w:rPr>
          <w:fldChar w:fldCharType="separate"/>
        </w:r>
        <w:r w:rsidR="0044183D">
          <w:rPr>
            <w:noProof/>
            <w:webHidden/>
          </w:rPr>
          <w:t>81</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50" w:history="1">
        <w:r w:rsidR="0044183D" w:rsidRPr="00331958">
          <w:rPr>
            <w:rStyle w:val="Hyperlink"/>
            <w:bCs/>
            <w:noProof/>
            <w:lang w:val="hy-AM" w:eastAsia="en-US"/>
          </w:rPr>
          <w:t>1.6. ՄԱԿՐՈՏՆՏԵՍԱԿԱՆ ԿԱՆԽԱՏԵՍՈՒՄՆԵՐԻ ՌԻՍԿԵՐԸ</w:t>
        </w:r>
        <w:r w:rsidR="0044183D">
          <w:rPr>
            <w:noProof/>
            <w:webHidden/>
          </w:rPr>
          <w:tab/>
        </w:r>
        <w:r w:rsidR="003C3925">
          <w:rPr>
            <w:noProof/>
            <w:webHidden/>
          </w:rPr>
          <w:fldChar w:fldCharType="begin"/>
        </w:r>
        <w:r w:rsidR="0044183D">
          <w:rPr>
            <w:noProof/>
            <w:webHidden/>
          </w:rPr>
          <w:instrText xml:space="preserve"> PAGEREF _Toc57655450 \h </w:instrText>
        </w:r>
        <w:r w:rsidR="003C3925">
          <w:rPr>
            <w:noProof/>
            <w:webHidden/>
          </w:rPr>
        </w:r>
        <w:r w:rsidR="003C3925">
          <w:rPr>
            <w:noProof/>
            <w:webHidden/>
          </w:rPr>
          <w:fldChar w:fldCharType="separate"/>
        </w:r>
        <w:r w:rsidR="0044183D">
          <w:rPr>
            <w:noProof/>
            <w:webHidden/>
          </w:rPr>
          <w:t>85</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51" w:history="1">
        <w:r w:rsidR="0044183D" w:rsidRPr="00331958">
          <w:rPr>
            <w:rStyle w:val="Hyperlink"/>
            <w:bCs/>
            <w:noProof/>
            <w:lang w:val="hy-AM"/>
          </w:rPr>
          <w:t>1.7. ՀԱՄԵՄԱՏՈՒԹՅՈՒՆ ՆԱԽՈՐԴ ԿԱՆԽԱՏԵՍՈՒՄՆԵՐԻ ՀԵՏ</w:t>
        </w:r>
        <w:r w:rsidR="0044183D">
          <w:rPr>
            <w:noProof/>
            <w:webHidden/>
          </w:rPr>
          <w:tab/>
        </w:r>
        <w:r w:rsidR="003C3925">
          <w:rPr>
            <w:noProof/>
            <w:webHidden/>
          </w:rPr>
          <w:fldChar w:fldCharType="begin"/>
        </w:r>
        <w:r w:rsidR="0044183D">
          <w:rPr>
            <w:noProof/>
            <w:webHidden/>
          </w:rPr>
          <w:instrText xml:space="preserve"> PAGEREF _Toc57655451 \h </w:instrText>
        </w:r>
        <w:r w:rsidR="003C3925">
          <w:rPr>
            <w:noProof/>
            <w:webHidden/>
          </w:rPr>
        </w:r>
        <w:r w:rsidR="003C3925">
          <w:rPr>
            <w:noProof/>
            <w:webHidden/>
          </w:rPr>
          <w:fldChar w:fldCharType="separate"/>
        </w:r>
        <w:r w:rsidR="0044183D">
          <w:rPr>
            <w:noProof/>
            <w:webHidden/>
          </w:rPr>
          <w:t>88</w:t>
        </w:r>
        <w:r w:rsidR="003C3925">
          <w:rPr>
            <w:noProof/>
            <w:webHidden/>
          </w:rPr>
          <w:fldChar w:fldCharType="end"/>
        </w:r>
      </w:hyperlink>
    </w:p>
    <w:p w:rsidR="0044183D" w:rsidRDefault="0043500B">
      <w:pPr>
        <w:pStyle w:val="TOC1"/>
        <w:rPr>
          <w:rFonts w:asciiTheme="minorHAnsi" w:eastAsiaTheme="minorEastAsia" w:hAnsiTheme="minorHAnsi" w:cstheme="minorBidi"/>
          <w:b w:val="0"/>
          <w:noProof/>
          <w:szCs w:val="22"/>
          <w:lang w:val="en-US" w:eastAsia="en-US"/>
        </w:rPr>
      </w:pPr>
      <w:hyperlink w:anchor="_Toc57655452" w:history="1">
        <w:r w:rsidR="0044183D" w:rsidRPr="00331958">
          <w:rPr>
            <w:rStyle w:val="Hyperlink"/>
            <w:noProof/>
            <w:lang w:val="hy-AM"/>
          </w:rPr>
          <w:t>ՄԱՍ I-Գ</w:t>
        </w:r>
        <w:r w:rsidR="0044183D" w:rsidRPr="00331958">
          <w:rPr>
            <w:rStyle w:val="Hyperlink"/>
            <w:rFonts w:ascii="Cambria Math" w:hAnsi="Cambria Math"/>
            <w:noProof/>
          </w:rPr>
          <w:t>.</w:t>
        </w:r>
        <w:r w:rsidR="0044183D" w:rsidRPr="00331958">
          <w:rPr>
            <w:rStyle w:val="Hyperlink"/>
            <w:noProof/>
            <w:lang w:val="hy-AM"/>
          </w:rPr>
          <w:t xml:space="preserve"> ՀԱՐԿԱԲՅՈՒՋԵՏԱՅԻՆ ՔԱՂԱՔԱԿԱՆՈՒԹՅԱՆ ՀԻՄՆԱԿԱՆ ՈՒՂՂՈՒԹՅՈՒՆՆԵՐԸ ԵՎ ԿԱՆԽԱՏԵՍՈՒՄՆԵՐԸ</w:t>
        </w:r>
        <w:r w:rsidR="0044183D">
          <w:rPr>
            <w:noProof/>
            <w:webHidden/>
          </w:rPr>
          <w:tab/>
        </w:r>
        <w:r w:rsidR="003C3925">
          <w:rPr>
            <w:noProof/>
            <w:webHidden/>
          </w:rPr>
          <w:fldChar w:fldCharType="begin"/>
        </w:r>
        <w:r w:rsidR="0044183D">
          <w:rPr>
            <w:noProof/>
            <w:webHidden/>
          </w:rPr>
          <w:instrText xml:space="preserve"> PAGEREF _Toc57655452 \h </w:instrText>
        </w:r>
        <w:r w:rsidR="003C3925">
          <w:rPr>
            <w:noProof/>
            <w:webHidden/>
          </w:rPr>
        </w:r>
        <w:r w:rsidR="003C3925">
          <w:rPr>
            <w:noProof/>
            <w:webHidden/>
          </w:rPr>
          <w:fldChar w:fldCharType="separate"/>
        </w:r>
        <w:r w:rsidR="0044183D">
          <w:rPr>
            <w:noProof/>
            <w:webHidden/>
          </w:rPr>
          <w:t>89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53" w:history="1">
        <w:r w:rsidR="0044183D" w:rsidRPr="00331958">
          <w:rPr>
            <w:rStyle w:val="Hyperlink"/>
            <w:noProof/>
            <w:lang w:val="hy-AM" w:eastAsia="en-US"/>
          </w:rPr>
          <w:t>2.1. ՀԱՐԿԱԲՅՈՒՋԵՏԱՅԻՆ ԸՆԴՀԱՆՈՒՐ ԱԿՆԱՐԿ ԵՎ ՀԱՐԿԱԲՅՈՒՋԵՏԱՅԻՆ ՇՐՋԱՆԱԿ</w:t>
        </w:r>
        <w:r w:rsidR="0044183D">
          <w:rPr>
            <w:noProof/>
            <w:webHidden/>
          </w:rPr>
          <w:tab/>
        </w:r>
        <w:r w:rsidR="003C3925">
          <w:rPr>
            <w:noProof/>
            <w:webHidden/>
          </w:rPr>
          <w:fldChar w:fldCharType="begin"/>
        </w:r>
        <w:r w:rsidR="0044183D">
          <w:rPr>
            <w:noProof/>
            <w:webHidden/>
          </w:rPr>
          <w:instrText xml:space="preserve"> PAGEREF _Toc57655453 \h </w:instrText>
        </w:r>
        <w:r w:rsidR="003C3925">
          <w:rPr>
            <w:noProof/>
            <w:webHidden/>
          </w:rPr>
        </w:r>
        <w:r w:rsidR="003C3925">
          <w:rPr>
            <w:noProof/>
            <w:webHidden/>
          </w:rPr>
          <w:fldChar w:fldCharType="separate"/>
        </w:r>
        <w:r w:rsidR="0044183D">
          <w:rPr>
            <w:noProof/>
            <w:webHidden/>
          </w:rPr>
          <w:t>89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54" w:history="1">
        <w:r w:rsidR="0044183D" w:rsidRPr="00331958">
          <w:rPr>
            <w:rStyle w:val="Hyperlink"/>
            <w:noProof/>
            <w:lang w:val="hy-AM" w:eastAsia="en-US"/>
          </w:rPr>
          <w:t>2</w:t>
        </w:r>
        <w:r w:rsidR="0044183D" w:rsidRPr="00331958">
          <w:rPr>
            <w:rStyle w:val="Hyperlink"/>
            <w:rFonts w:ascii="Cambria Math" w:hAnsi="Cambria Math" w:cs="Cambria Math"/>
            <w:noProof/>
            <w:lang w:val="en-US" w:eastAsia="en-US"/>
          </w:rPr>
          <w:t>.</w:t>
        </w:r>
        <w:r w:rsidR="0044183D" w:rsidRPr="00331958">
          <w:rPr>
            <w:rStyle w:val="Hyperlink"/>
            <w:noProof/>
            <w:lang w:val="hy-AM" w:eastAsia="en-US"/>
          </w:rPr>
          <w:t>2</w:t>
        </w:r>
        <w:r w:rsidR="0044183D" w:rsidRPr="00331958">
          <w:rPr>
            <w:rStyle w:val="Hyperlink"/>
            <w:rFonts w:ascii="Cambria Math" w:hAnsi="Cambria Math" w:cs="Cambria Math"/>
            <w:noProof/>
            <w:lang w:val="en-US" w:eastAsia="en-US"/>
          </w:rPr>
          <w:t>.</w:t>
        </w:r>
        <w:r w:rsidR="0044183D" w:rsidRPr="00331958">
          <w:rPr>
            <w:rStyle w:val="Hyperlink"/>
            <w:noProof/>
            <w:lang w:val="hy-AM" w:eastAsia="en-US"/>
          </w:rPr>
          <w:t xml:space="preserve"> ՀԱՐԿԱԲՅՈՒՋԵՏԱՅԻՆ ՔԱՂԱՔԱԿԱՆՈՒԹՅԱՆ ՄԻՏՈՒՄՆԵՐԸ ԵՎ ԿԱՆԽԱՏԵՍՈՒՄՆԵՐԸ</w:t>
        </w:r>
        <w:r w:rsidR="0044183D">
          <w:rPr>
            <w:noProof/>
            <w:webHidden/>
          </w:rPr>
          <w:tab/>
        </w:r>
        <w:r w:rsidR="003C3925">
          <w:rPr>
            <w:noProof/>
            <w:webHidden/>
          </w:rPr>
          <w:fldChar w:fldCharType="begin"/>
        </w:r>
        <w:r w:rsidR="0044183D">
          <w:rPr>
            <w:noProof/>
            <w:webHidden/>
          </w:rPr>
          <w:instrText xml:space="preserve"> PAGEREF _Toc57655454 \h </w:instrText>
        </w:r>
        <w:r w:rsidR="003C3925">
          <w:rPr>
            <w:noProof/>
            <w:webHidden/>
          </w:rPr>
        </w:r>
        <w:r w:rsidR="003C3925">
          <w:rPr>
            <w:noProof/>
            <w:webHidden/>
          </w:rPr>
          <w:fldChar w:fldCharType="separate"/>
        </w:r>
        <w:r w:rsidR="0044183D">
          <w:rPr>
            <w:noProof/>
            <w:webHidden/>
          </w:rPr>
          <w:t>91</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55" w:history="1">
        <w:r w:rsidR="0044183D" w:rsidRPr="00331958">
          <w:rPr>
            <w:rStyle w:val="Hyperlink"/>
            <w:noProof/>
            <w:lang w:val="hy-AM" w:eastAsia="en-US"/>
          </w:rPr>
          <w:t>2.3. ՀԱՐԿԱԲՅՈՒՋԵՏԱՅԻՆ ՌԻՍԿԵՐ</w:t>
        </w:r>
        <w:r w:rsidR="0044183D">
          <w:rPr>
            <w:noProof/>
            <w:webHidden/>
          </w:rPr>
          <w:tab/>
        </w:r>
        <w:r w:rsidR="003C3925">
          <w:rPr>
            <w:noProof/>
            <w:webHidden/>
          </w:rPr>
          <w:fldChar w:fldCharType="begin"/>
        </w:r>
        <w:r w:rsidR="0044183D">
          <w:rPr>
            <w:noProof/>
            <w:webHidden/>
          </w:rPr>
          <w:instrText xml:space="preserve"> PAGEREF _Toc57655455 \h </w:instrText>
        </w:r>
        <w:r w:rsidR="003C3925">
          <w:rPr>
            <w:noProof/>
            <w:webHidden/>
          </w:rPr>
        </w:r>
        <w:r w:rsidR="003C3925">
          <w:rPr>
            <w:noProof/>
            <w:webHidden/>
          </w:rPr>
          <w:fldChar w:fldCharType="separate"/>
        </w:r>
        <w:r w:rsidR="0044183D">
          <w:rPr>
            <w:noProof/>
            <w:webHidden/>
          </w:rPr>
          <w:t>100</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56" w:history="1">
        <w:r w:rsidR="0044183D" w:rsidRPr="00331958">
          <w:rPr>
            <w:rStyle w:val="Hyperlink"/>
            <w:noProof/>
            <w:lang w:val="hy-AM" w:eastAsia="en-US"/>
          </w:rPr>
          <w:t>2.4. ՀԱՐԿԱԲՅՈՒՋԵՏԱՅԻՆ ՔԱՂԱՔԱԿԱՆՈՒԹՅԱՆ ՀԱՄԱՊԱՏԱՍԽԱՆՈՒԹՅՈՒՆԸ ՀԱՐԿԱԲՅՈՒՋԵՏԱՅԻՆ ԿԱՆՈՆՆԵՐԻՆ</w:t>
        </w:r>
        <w:r w:rsidR="0044183D">
          <w:rPr>
            <w:noProof/>
            <w:webHidden/>
          </w:rPr>
          <w:tab/>
        </w:r>
        <w:r w:rsidR="003C3925">
          <w:rPr>
            <w:noProof/>
            <w:webHidden/>
          </w:rPr>
          <w:fldChar w:fldCharType="begin"/>
        </w:r>
        <w:r w:rsidR="0044183D">
          <w:rPr>
            <w:noProof/>
            <w:webHidden/>
          </w:rPr>
          <w:instrText xml:space="preserve"> PAGEREF _Toc57655456 \h </w:instrText>
        </w:r>
        <w:r w:rsidR="003C3925">
          <w:rPr>
            <w:noProof/>
            <w:webHidden/>
          </w:rPr>
        </w:r>
        <w:r w:rsidR="003C3925">
          <w:rPr>
            <w:noProof/>
            <w:webHidden/>
          </w:rPr>
          <w:fldChar w:fldCharType="separate"/>
        </w:r>
        <w:r w:rsidR="0044183D">
          <w:rPr>
            <w:noProof/>
            <w:webHidden/>
          </w:rPr>
          <w:t>102</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57" w:history="1">
        <w:r w:rsidR="0044183D" w:rsidRPr="00331958">
          <w:rPr>
            <w:rStyle w:val="Hyperlink"/>
            <w:noProof/>
            <w:lang w:val="hy-AM" w:eastAsia="en-US"/>
          </w:rPr>
          <w:t>2.5. ՊԵՏԱԿԱՆ ԲՅՈՒՋԵԻ ՑՈՒՑԱՆԻՇՆԵՐԻ ԿԱՆԽԱՏԵՍՈՒՄՆԵՐԻ ՀԱՄԵՄԱՏԱԿԱՆ ԱՂՅՈՒՍԱԿՆԵՐ</w:t>
        </w:r>
        <w:r w:rsidR="0044183D">
          <w:rPr>
            <w:noProof/>
            <w:webHidden/>
          </w:rPr>
          <w:tab/>
        </w:r>
        <w:r w:rsidR="003C3925">
          <w:rPr>
            <w:noProof/>
            <w:webHidden/>
          </w:rPr>
          <w:fldChar w:fldCharType="begin"/>
        </w:r>
        <w:r w:rsidR="0044183D">
          <w:rPr>
            <w:noProof/>
            <w:webHidden/>
          </w:rPr>
          <w:instrText xml:space="preserve"> PAGEREF _Toc57655457 \h </w:instrText>
        </w:r>
        <w:r w:rsidR="003C3925">
          <w:rPr>
            <w:noProof/>
            <w:webHidden/>
          </w:rPr>
        </w:r>
        <w:r w:rsidR="003C3925">
          <w:rPr>
            <w:noProof/>
            <w:webHidden/>
          </w:rPr>
          <w:fldChar w:fldCharType="separate"/>
        </w:r>
        <w:r w:rsidR="0044183D">
          <w:rPr>
            <w:noProof/>
            <w:webHidden/>
          </w:rPr>
          <w:t>104</w:t>
        </w:r>
        <w:r w:rsidR="003C3925">
          <w:rPr>
            <w:noProof/>
            <w:webHidden/>
          </w:rPr>
          <w:fldChar w:fldCharType="end"/>
        </w:r>
      </w:hyperlink>
    </w:p>
    <w:p w:rsidR="0044183D" w:rsidRDefault="0043500B">
      <w:pPr>
        <w:pStyle w:val="TOC1"/>
        <w:rPr>
          <w:rFonts w:asciiTheme="minorHAnsi" w:eastAsiaTheme="minorEastAsia" w:hAnsiTheme="minorHAnsi" w:cstheme="minorBidi"/>
          <w:b w:val="0"/>
          <w:noProof/>
          <w:szCs w:val="22"/>
          <w:lang w:val="en-US" w:eastAsia="en-US"/>
        </w:rPr>
      </w:pPr>
      <w:hyperlink w:anchor="_Toc57655458" w:history="1">
        <w:r w:rsidR="0044183D" w:rsidRPr="00331958">
          <w:rPr>
            <w:rStyle w:val="Hyperlink"/>
            <w:noProof/>
            <w:lang w:val="hy-AM"/>
          </w:rPr>
          <w:t>ՄԱՍ</w:t>
        </w:r>
        <w:r w:rsidR="0044183D" w:rsidRPr="00331958">
          <w:rPr>
            <w:rStyle w:val="Hyperlink"/>
            <w:noProof/>
            <w:lang w:val="sk-SK"/>
          </w:rPr>
          <w:t xml:space="preserve"> II-</w:t>
        </w:r>
        <w:r w:rsidR="0044183D" w:rsidRPr="00331958">
          <w:rPr>
            <w:rStyle w:val="Hyperlink"/>
            <w:noProof/>
            <w:lang w:val="hy-AM"/>
          </w:rPr>
          <w:t>Ա</w:t>
        </w:r>
        <w:r w:rsidR="0044183D" w:rsidRPr="00331958">
          <w:rPr>
            <w:rStyle w:val="Hyperlink"/>
            <w:noProof/>
            <w:lang w:val="sk-SK"/>
          </w:rPr>
          <w:t xml:space="preserve"> </w:t>
        </w:r>
        <w:r w:rsidR="0044183D" w:rsidRPr="00331958">
          <w:rPr>
            <w:rStyle w:val="Hyperlink"/>
            <w:noProof/>
            <w:lang w:val="hy-AM"/>
          </w:rPr>
          <w:t>ՊԵՏԱԿԱՆ</w:t>
        </w:r>
        <w:r w:rsidR="0044183D" w:rsidRPr="00331958">
          <w:rPr>
            <w:rStyle w:val="Hyperlink"/>
            <w:noProof/>
            <w:lang w:val="sk-SK"/>
          </w:rPr>
          <w:t xml:space="preserve"> </w:t>
        </w:r>
        <w:r w:rsidR="0044183D" w:rsidRPr="00331958">
          <w:rPr>
            <w:rStyle w:val="Hyperlink"/>
            <w:noProof/>
            <w:lang w:val="hy-AM"/>
          </w:rPr>
          <w:t>ԲՅՈՒՋԵԻ</w:t>
        </w:r>
        <w:r w:rsidR="0044183D" w:rsidRPr="00331958">
          <w:rPr>
            <w:rStyle w:val="Hyperlink"/>
            <w:noProof/>
            <w:lang w:val="sk-SK"/>
          </w:rPr>
          <w:t xml:space="preserve"> </w:t>
        </w:r>
        <w:r w:rsidR="0044183D" w:rsidRPr="00331958">
          <w:rPr>
            <w:rStyle w:val="Hyperlink"/>
            <w:noProof/>
            <w:lang w:val="hy-AM"/>
          </w:rPr>
          <w:t>ՑՈՒՑԱՆԻՇՆԵՐԻ</w:t>
        </w:r>
        <w:r w:rsidR="0044183D" w:rsidRPr="00331958">
          <w:rPr>
            <w:rStyle w:val="Hyperlink"/>
            <w:noProof/>
            <w:lang w:val="sk-SK"/>
          </w:rPr>
          <w:t xml:space="preserve"> </w:t>
        </w:r>
        <w:r w:rsidR="0044183D" w:rsidRPr="00331958">
          <w:rPr>
            <w:rStyle w:val="Hyperlink"/>
            <w:noProof/>
            <w:lang w:val="hy-AM"/>
          </w:rPr>
          <w:t>ԿԱՆԽԱՏԵՍՈՒՄՆԵՐ</w:t>
        </w:r>
        <w:r w:rsidR="0044183D">
          <w:rPr>
            <w:noProof/>
            <w:webHidden/>
          </w:rPr>
          <w:tab/>
        </w:r>
        <w:r w:rsidR="003C3925">
          <w:rPr>
            <w:noProof/>
            <w:webHidden/>
          </w:rPr>
          <w:fldChar w:fldCharType="begin"/>
        </w:r>
        <w:r w:rsidR="0044183D">
          <w:rPr>
            <w:noProof/>
            <w:webHidden/>
          </w:rPr>
          <w:instrText xml:space="preserve"> PAGEREF _Toc57655458 \h </w:instrText>
        </w:r>
        <w:r w:rsidR="003C3925">
          <w:rPr>
            <w:noProof/>
            <w:webHidden/>
          </w:rPr>
        </w:r>
        <w:r w:rsidR="003C3925">
          <w:rPr>
            <w:noProof/>
            <w:webHidden/>
          </w:rPr>
          <w:fldChar w:fldCharType="separate"/>
        </w:r>
        <w:r w:rsidR="0044183D">
          <w:rPr>
            <w:noProof/>
            <w:webHidden/>
          </w:rPr>
          <w:t>107</w:t>
        </w:r>
        <w:r w:rsidR="003C3925">
          <w:rPr>
            <w:noProof/>
            <w:webHidden/>
          </w:rPr>
          <w:fldChar w:fldCharType="end"/>
        </w:r>
      </w:hyperlink>
    </w:p>
    <w:p w:rsidR="0044183D" w:rsidRDefault="0043500B">
      <w:pPr>
        <w:pStyle w:val="TOC2"/>
        <w:rPr>
          <w:rFonts w:asciiTheme="minorHAnsi" w:eastAsiaTheme="minorEastAsia" w:hAnsiTheme="minorHAnsi" w:cstheme="minorBidi"/>
          <w:b w:val="0"/>
          <w:noProof/>
          <w:szCs w:val="22"/>
          <w:lang w:val="en-US" w:eastAsia="en-US"/>
        </w:rPr>
      </w:pPr>
      <w:hyperlink w:anchor="_Toc57655459" w:history="1">
        <w:r w:rsidR="0044183D" w:rsidRPr="00331958">
          <w:rPr>
            <w:rStyle w:val="Hyperlink"/>
            <w:rFonts w:eastAsia="Calibri" w:cs="Times LatArm"/>
            <w:noProof/>
            <w:lang w:val="hy-AM" w:eastAsia="en-US"/>
          </w:rPr>
          <w:t>Հարկաբյուջետային սկզբունքները և ցուցանիշները</w:t>
        </w:r>
        <w:r w:rsidR="0044183D">
          <w:rPr>
            <w:noProof/>
            <w:webHidden/>
          </w:rPr>
          <w:tab/>
        </w:r>
        <w:r w:rsidR="003C3925">
          <w:rPr>
            <w:noProof/>
            <w:webHidden/>
          </w:rPr>
          <w:fldChar w:fldCharType="begin"/>
        </w:r>
        <w:r w:rsidR="0044183D">
          <w:rPr>
            <w:noProof/>
            <w:webHidden/>
          </w:rPr>
          <w:instrText xml:space="preserve"> PAGEREF _Toc57655459 \h </w:instrText>
        </w:r>
        <w:r w:rsidR="003C3925">
          <w:rPr>
            <w:noProof/>
            <w:webHidden/>
          </w:rPr>
        </w:r>
        <w:r w:rsidR="003C3925">
          <w:rPr>
            <w:noProof/>
            <w:webHidden/>
          </w:rPr>
          <w:fldChar w:fldCharType="separate"/>
        </w:r>
        <w:r w:rsidR="0044183D">
          <w:rPr>
            <w:noProof/>
            <w:webHidden/>
          </w:rPr>
          <w:t>107</w:t>
        </w:r>
        <w:r w:rsidR="003C3925">
          <w:rPr>
            <w:noProof/>
            <w:webHidden/>
          </w:rPr>
          <w:fldChar w:fldCharType="end"/>
        </w:r>
      </w:hyperlink>
    </w:p>
    <w:p w:rsidR="0044183D" w:rsidRDefault="0043500B">
      <w:pPr>
        <w:pStyle w:val="TOC1"/>
        <w:rPr>
          <w:rFonts w:asciiTheme="minorHAnsi" w:eastAsiaTheme="minorEastAsia" w:hAnsiTheme="minorHAnsi" w:cstheme="minorBidi"/>
          <w:b w:val="0"/>
          <w:noProof/>
          <w:szCs w:val="22"/>
          <w:lang w:val="en-US" w:eastAsia="en-US"/>
        </w:rPr>
      </w:pPr>
      <w:hyperlink w:anchor="_Toc57655460" w:history="1">
        <w:r w:rsidR="0044183D" w:rsidRPr="00331958">
          <w:rPr>
            <w:rStyle w:val="Hyperlink"/>
            <w:noProof/>
          </w:rPr>
          <w:t>ՄԱՍ II – Բ. ՀԱՐԿԱԲՅՈՒՋԵՏԱՅԻՆ ՑՈՒՑԱՆԻՇՆԵՐԻ ԿԱՆԽԱՏԵՍՈՒՄ</w:t>
        </w:r>
        <w:r w:rsidR="0044183D">
          <w:rPr>
            <w:noProof/>
            <w:webHidden/>
          </w:rPr>
          <w:tab/>
        </w:r>
        <w:r w:rsidR="003C3925">
          <w:rPr>
            <w:noProof/>
            <w:webHidden/>
          </w:rPr>
          <w:fldChar w:fldCharType="begin"/>
        </w:r>
        <w:r w:rsidR="0044183D">
          <w:rPr>
            <w:noProof/>
            <w:webHidden/>
          </w:rPr>
          <w:instrText xml:space="preserve"> PAGEREF _Toc57655460 \h </w:instrText>
        </w:r>
        <w:r w:rsidR="003C3925">
          <w:rPr>
            <w:noProof/>
            <w:webHidden/>
          </w:rPr>
        </w:r>
        <w:r w:rsidR="003C3925">
          <w:rPr>
            <w:noProof/>
            <w:webHidden/>
          </w:rPr>
          <w:fldChar w:fldCharType="separate"/>
        </w:r>
        <w:r w:rsidR="0044183D">
          <w:rPr>
            <w:noProof/>
            <w:webHidden/>
          </w:rPr>
          <w:t>109</w:t>
        </w:r>
        <w:r w:rsidR="003C3925">
          <w:rPr>
            <w:noProof/>
            <w:webHidden/>
          </w:rPr>
          <w:fldChar w:fldCharType="end"/>
        </w:r>
      </w:hyperlink>
    </w:p>
    <w:p w:rsidR="0044183D" w:rsidRDefault="0043500B">
      <w:pPr>
        <w:pStyle w:val="TOC2"/>
        <w:rPr>
          <w:rFonts w:asciiTheme="minorHAnsi" w:eastAsiaTheme="minorEastAsia" w:hAnsiTheme="minorHAnsi" w:cstheme="minorBidi"/>
          <w:b w:val="0"/>
          <w:noProof/>
          <w:szCs w:val="22"/>
          <w:lang w:val="en-US" w:eastAsia="en-US"/>
        </w:rPr>
      </w:pPr>
      <w:hyperlink w:anchor="_Toc57655461" w:history="1">
        <w:r w:rsidR="0044183D" w:rsidRPr="00331958">
          <w:rPr>
            <w:rStyle w:val="Hyperlink"/>
            <w:noProof/>
          </w:rPr>
          <w:t>2021 ԹՎԱԿԱՆԻ ԾԱԽՍԵՐԻ ՄԱԿԱՐԴԱԿԸ ԵՎ ԳԵՐԱԿԱՅՈՒԹՅՈՒՆՆԵՐԸ</w:t>
        </w:r>
        <w:r w:rsidR="0044183D">
          <w:rPr>
            <w:noProof/>
            <w:webHidden/>
          </w:rPr>
          <w:tab/>
        </w:r>
        <w:r w:rsidR="003C3925">
          <w:rPr>
            <w:noProof/>
            <w:webHidden/>
          </w:rPr>
          <w:fldChar w:fldCharType="begin"/>
        </w:r>
        <w:r w:rsidR="0044183D">
          <w:rPr>
            <w:noProof/>
            <w:webHidden/>
          </w:rPr>
          <w:instrText xml:space="preserve"> PAGEREF _Toc57655461 \h </w:instrText>
        </w:r>
        <w:r w:rsidR="003C3925">
          <w:rPr>
            <w:noProof/>
            <w:webHidden/>
          </w:rPr>
        </w:r>
        <w:r w:rsidR="003C3925">
          <w:rPr>
            <w:noProof/>
            <w:webHidden/>
          </w:rPr>
          <w:fldChar w:fldCharType="separate"/>
        </w:r>
        <w:r w:rsidR="0044183D">
          <w:rPr>
            <w:noProof/>
            <w:webHidden/>
          </w:rPr>
          <w:t>109</w:t>
        </w:r>
        <w:r w:rsidR="003C3925">
          <w:rPr>
            <w:noProof/>
            <w:webHidden/>
          </w:rPr>
          <w:fldChar w:fldCharType="end"/>
        </w:r>
      </w:hyperlink>
    </w:p>
    <w:p w:rsidR="0044183D" w:rsidRDefault="0043500B">
      <w:pPr>
        <w:pStyle w:val="TOC2"/>
        <w:rPr>
          <w:rFonts w:asciiTheme="minorHAnsi" w:eastAsiaTheme="minorEastAsia" w:hAnsiTheme="minorHAnsi" w:cstheme="minorBidi"/>
          <w:b w:val="0"/>
          <w:noProof/>
          <w:szCs w:val="22"/>
          <w:lang w:val="en-US" w:eastAsia="en-US"/>
        </w:rPr>
      </w:pPr>
      <w:hyperlink w:anchor="_Toc57655462" w:history="1">
        <w:r w:rsidR="0044183D" w:rsidRPr="00331958">
          <w:rPr>
            <w:rStyle w:val="Hyperlink"/>
            <w:noProof/>
          </w:rPr>
          <w:t>ՊԵՏԱԿԱՆ</w:t>
        </w:r>
        <w:r w:rsidR="0044183D" w:rsidRPr="00331958">
          <w:rPr>
            <w:rStyle w:val="Hyperlink"/>
            <w:noProof/>
            <w:lang w:val="es-ES"/>
          </w:rPr>
          <w:t xml:space="preserve"> </w:t>
        </w:r>
        <w:r w:rsidR="0044183D" w:rsidRPr="00331958">
          <w:rPr>
            <w:rStyle w:val="Hyperlink"/>
            <w:noProof/>
          </w:rPr>
          <w:t>ԲՅՈՒՋԵԻ</w:t>
        </w:r>
        <w:r w:rsidR="0044183D" w:rsidRPr="00331958">
          <w:rPr>
            <w:rStyle w:val="Hyperlink"/>
            <w:noProof/>
            <w:lang w:val="es-ES"/>
          </w:rPr>
          <w:t xml:space="preserve"> </w:t>
        </w:r>
        <w:r w:rsidR="0044183D" w:rsidRPr="00331958">
          <w:rPr>
            <w:rStyle w:val="Hyperlink"/>
            <w:noProof/>
          </w:rPr>
          <w:t>ԴԵՖԻՑԻՏԻ</w:t>
        </w:r>
        <w:r w:rsidR="0044183D" w:rsidRPr="00331958">
          <w:rPr>
            <w:rStyle w:val="Hyperlink"/>
            <w:noProof/>
            <w:lang w:val="es-ES"/>
          </w:rPr>
          <w:t xml:space="preserve"> (</w:t>
        </w:r>
        <w:r w:rsidR="0044183D" w:rsidRPr="00331958">
          <w:rPr>
            <w:rStyle w:val="Hyperlink"/>
            <w:noProof/>
          </w:rPr>
          <w:t>ՊԱԿԱՍՈՒՐԴԻ</w:t>
        </w:r>
        <w:r w:rsidR="0044183D" w:rsidRPr="00331958">
          <w:rPr>
            <w:rStyle w:val="Hyperlink"/>
            <w:noProof/>
            <w:lang w:val="es-ES"/>
          </w:rPr>
          <w:t xml:space="preserve">) </w:t>
        </w:r>
        <w:r w:rsidR="0044183D" w:rsidRPr="00331958">
          <w:rPr>
            <w:rStyle w:val="Hyperlink"/>
            <w:noProof/>
          </w:rPr>
          <w:t>ԵՎ</w:t>
        </w:r>
        <w:r w:rsidR="0044183D" w:rsidRPr="00331958">
          <w:rPr>
            <w:rStyle w:val="Hyperlink"/>
            <w:noProof/>
            <w:lang w:val="es-ES"/>
          </w:rPr>
          <w:t xml:space="preserve"> </w:t>
        </w:r>
        <w:r w:rsidR="0044183D" w:rsidRPr="00331958">
          <w:rPr>
            <w:rStyle w:val="Hyperlink"/>
            <w:noProof/>
          </w:rPr>
          <w:t>ՊԱՐՏՔԻ</w:t>
        </w:r>
        <w:r w:rsidR="0044183D" w:rsidRPr="00331958">
          <w:rPr>
            <w:rStyle w:val="Hyperlink"/>
            <w:noProof/>
            <w:lang w:val="es-ES"/>
          </w:rPr>
          <w:t xml:space="preserve"> </w:t>
        </w:r>
        <w:r w:rsidR="0044183D" w:rsidRPr="00331958">
          <w:rPr>
            <w:rStyle w:val="Hyperlink"/>
            <w:noProof/>
          </w:rPr>
          <w:t>ՄԱԿԱՐԴԱԿԸ</w:t>
        </w:r>
        <w:r w:rsidR="0044183D">
          <w:rPr>
            <w:noProof/>
            <w:webHidden/>
          </w:rPr>
          <w:tab/>
        </w:r>
        <w:r w:rsidR="003C3925">
          <w:rPr>
            <w:noProof/>
            <w:webHidden/>
          </w:rPr>
          <w:fldChar w:fldCharType="begin"/>
        </w:r>
        <w:r w:rsidR="0044183D">
          <w:rPr>
            <w:noProof/>
            <w:webHidden/>
          </w:rPr>
          <w:instrText xml:space="preserve"> PAGEREF _Toc57655462 \h </w:instrText>
        </w:r>
        <w:r w:rsidR="003C3925">
          <w:rPr>
            <w:noProof/>
            <w:webHidden/>
          </w:rPr>
        </w:r>
        <w:r w:rsidR="003C3925">
          <w:rPr>
            <w:noProof/>
            <w:webHidden/>
          </w:rPr>
          <w:fldChar w:fldCharType="separate"/>
        </w:r>
        <w:r w:rsidR="0044183D">
          <w:rPr>
            <w:noProof/>
            <w:webHidden/>
          </w:rPr>
          <w:t>110</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63" w:history="1">
        <w:r w:rsidR="0044183D" w:rsidRPr="00331958">
          <w:rPr>
            <w:rStyle w:val="Hyperlink"/>
            <w:noProof/>
          </w:rPr>
          <w:t>Պետական բյուջեի դեֆիցիտի ֆինանսավորման աղբյուրները</w:t>
        </w:r>
        <w:r w:rsidR="0044183D">
          <w:rPr>
            <w:noProof/>
            <w:webHidden/>
          </w:rPr>
          <w:tab/>
        </w:r>
        <w:r w:rsidR="003C3925">
          <w:rPr>
            <w:noProof/>
            <w:webHidden/>
          </w:rPr>
          <w:fldChar w:fldCharType="begin"/>
        </w:r>
        <w:r w:rsidR="0044183D">
          <w:rPr>
            <w:noProof/>
            <w:webHidden/>
          </w:rPr>
          <w:instrText xml:space="preserve"> PAGEREF _Toc57655463 \h </w:instrText>
        </w:r>
        <w:r w:rsidR="003C3925">
          <w:rPr>
            <w:noProof/>
            <w:webHidden/>
          </w:rPr>
        </w:r>
        <w:r w:rsidR="003C3925">
          <w:rPr>
            <w:noProof/>
            <w:webHidden/>
          </w:rPr>
          <w:fldChar w:fldCharType="separate"/>
        </w:r>
        <w:r w:rsidR="0044183D">
          <w:rPr>
            <w:noProof/>
            <w:webHidden/>
          </w:rPr>
          <w:t>111</w:t>
        </w:r>
        <w:r w:rsidR="003C3925">
          <w:rPr>
            <w:noProof/>
            <w:webHidden/>
          </w:rPr>
          <w:fldChar w:fldCharType="end"/>
        </w:r>
      </w:hyperlink>
    </w:p>
    <w:p w:rsidR="0044183D" w:rsidRDefault="0043500B">
      <w:pPr>
        <w:pStyle w:val="TOC1"/>
        <w:rPr>
          <w:rFonts w:asciiTheme="minorHAnsi" w:eastAsiaTheme="minorEastAsia" w:hAnsiTheme="minorHAnsi" w:cstheme="minorBidi"/>
          <w:b w:val="0"/>
          <w:noProof/>
          <w:szCs w:val="22"/>
          <w:lang w:val="en-US" w:eastAsia="en-US"/>
        </w:rPr>
      </w:pPr>
      <w:hyperlink w:anchor="_Toc57655464" w:history="1">
        <w:r w:rsidR="0044183D" w:rsidRPr="00331958">
          <w:rPr>
            <w:rStyle w:val="Hyperlink"/>
            <w:noProof/>
            <w:lang w:val="hy-AM"/>
          </w:rPr>
          <w:t>ՄԱՍ III. «ՀԱՅԱՍՏԱՆԻ ՀԱՆՐԱՊԵՏՈՒԹՅԱՆ 2021 ԹՎԱԿԱՆԻ ՊԵՏԱԿԱՆ ԲՅՈՒՋԵԻ ՄԱՍԻՆ» ՀԱՅԱՍՏԱՆԻ ՀԱՆՐԱՊԵՏՈՒԹՅԱՆ ՕՐԵՆՔԻ ՆԱԽԱԳԾԻ ԲԱՑԱՏՐԱԳԻՐ</w:t>
        </w:r>
        <w:r w:rsidR="0044183D">
          <w:rPr>
            <w:noProof/>
            <w:webHidden/>
          </w:rPr>
          <w:tab/>
        </w:r>
        <w:r w:rsidR="003C3925">
          <w:rPr>
            <w:noProof/>
            <w:webHidden/>
          </w:rPr>
          <w:fldChar w:fldCharType="begin"/>
        </w:r>
        <w:r w:rsidR="0044183D">
          <w:rPr>
            <w:noProof/>
            <w:webHidden/>
          </w:rPr>
          <w:instrText xml:space="preserve"> PAGEREF _Toc57655464 \h </w:instrText>
        </w:r>
        <w:r w:rsidR="003C3925">
          <w:rPr>
            <w:noProof/>
            <w:webHidden/>
          </w:rPr>
        </w:r>
        <w:r w:rsidR="003C3925">
          <w:rPr>
            <w:noProof/>
            <w:webHidden/>
          </w:rPr>
          <w:fldChar w:fldCharType="separate"/>
        </w:r>
        <w:r w:rsidR="0044183D">
          <w:rPr>
            <w:noProof/>
            <w:webHidden/>
          </w:rPr>
          <w:t>113</w:t>
        </w:r>
        <w:r w:rsidR="003C3925">
          <w:rPr>
            <w:noProof/>
            <w:webHidden/>
          </w:rPr>
          <w:fldChar w:fldCharType="end"/>
        </w:r>
      </w:hyperlink>
    </w:p>
    <w:p w:rsidR="0044183D" w:rsidRDefault="0043500B">
      <w:pPr>
        <w:pStyle w:val="TOC1"/>
        <w:rPr>
          <w:rFonts w:asciiTheme="minorHAnsi" w:eastAsiaTheme="minorEastAsia" w:hAnsiTheme="minorHAnsi" w:cstheme="minorBidi"/>
          <w:b w:val="0"/>
          <w:noProof/>
          <w:szCs w:val="22"/>
          <w:lang w:val="en-US" w:eastAsia="en-US"/>
        </w:rPr>
      </w:pPr>
      <w:hyperlink w:anchor="_Toc57655465" w:history="1">
        <w:r w:rsidR="0044183D" w:rsidRPr="00331958">
          <w:rPr>
            <w:rStyle w:val="Hyperlink"/>
            <w:noProof/>
            <w:lang w:val="hy-AM"/>
          </w:rPr>
          <w:t>ՄԱՍ III-Ա. ԵԿԱՄՈՒՏՆԵՐԻ ԿԱՆԽԱՏԵՍՈՒՄ</w:t>
        </w:r>
        <w:r w:rsidR="0044183D">
          <w:rPr>
            <w:noProof/>
            <w:webHidden/>
          </w:rPr>
          <w:tab/>
        </w:r>
        <w:r w:rsidR="003C3925">
          <w:rPr>
            <w:noProof/>
            <w:webHidden/>
          </w:rPr>
          <w:fldChar w:fldCharType="begin"/>
        </w:r>
        <w:r w:rsidR="0044183D">
          <w:rPr>
            <w:noProof/>
            <w:webHidden/>
          </w:rPr>
          <w:instrText xml:space="preserve"> PAGEREF _Toc57655465 \h </w:instrText>
        </w:r>
        <w:r w:rsidR="003C3925">
          <w:rPr>
            <w:noProof/>
            <w:webHidden/>
          </w:rPr>
        </w:r>
        <w:r w:rsidR="003C3925">
          <w:rPr>
            <w:noProof/>
            <w:webHidden/>
          </w:rPr>
          <w:fldChar w:fldCharType="separate"/>
        </w:r>
        <w:r w:rsidR="0044183D">
          <w:rPr>
            <w:noProof/>
            <w:webHidden/>
          </w:rPr>
          <w:t>113</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66" w:history="1">
        <w:r w:rsidR="0044183D" w:rsidRPr="00331958">
          <w:rPr>
            <w:rStyle w:val="Hyperlink"/>
            <w:rFonts w:eastAsia="Calibri" w:cs="GHEA Grapalat"/>
            <w:bCs/>
            <w:noProof/>
            <w:lang w:val="hy-AM" w:eastAsia="en-US"/>
          </w:rPr>
          <w:t>Պաշտոնական դրամաշնորհներ</w:t>
        </w:r>
        <w:r w:rsidR="0044183D">
          <w:rPr>
            <w:noProof/>
            <w:webHidden/>
          </w:rPr>
          <w:tab/>
        </w:r>
        <w:r w:rsidR="003C3925">
          <w:rPr>
            <w:noProof/>
            <w:webHidden/>
          </w:rPr>
          <w:fldChar w:fldCharType="begin"/>
        </w:r>
        <w:r w:rsidR="0044183D">
          <w:rPr>
            <w:noProof/>
            <w:webHidden/>
          </w:rPr>
          <w:instrText xml:space="preserve"> PAGEREF _Toc57655466 \h </w:instrText>
        </w:r>
        <w:r w:rsidR="003C3925">
          <w:rPr>
            <w:noProof/>
            <w:webHidden/>
          </w:rPr>
        </w:r>
        <w:r w:rsidR="003C3925">
          <w:rPr>
            <w:noProof/>
            <w:webHidden/>
          </w:rPr>
          <w:fldChar w:fldCharType="separate"/>
        </w:r>
        <w:r w:rsidR="0044183D">
          <w:rPr>
            <w:noProof/>
            <w:webHidden/>
          </w:rPr>
          <w:t>119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67" w:history="1">
        <w:r w:rsidR="0044183D" w:rsidRPr="00331958">
          <w:rPr>
            <w:rStyle w:val="Hyperlink"/>
            <w:rFonts w:eastAsia="Calibri" w:cs="GHEA Grapalat"/>
            <w:bCs/>
            <w:noProof/>
            <w:lang w:val="hy-AM" w:eastAsia="en-US"/>
          </w:rPr>
          <w:t>Այլ եկամուտներ</w:t>
        </w:r>
        <w:r w:rsidR="0044183D">
          <w:rPr>
            <w:noProof/>
            <w:webHidden/>
          </w:rPr>
          <w:tab/>
        </w:r>
        <w:r w:rsidR="003C3925">
          <w:rPr>
            <w:noProof/>
            <w:webHidden/>
          </w:rPr>
          <w:fldChar w:fldCharType="begin"/>
        </w:r>
        <w:r w:rsidR="0044183D">
          <w:rPr>
            <w:noProof/>
            <w:webHidden/>
          </w:rPr>
          <w:instrText xml:space="preserve"> PAGEREF _Toc57655467 \h </w:instrText>
        </w:r>
        <w:r w:rsidR="003C3925">
          <w:rPr>
            <w:noProof/>
            <w:webHidden/>
          </w:rPr>
        </w:r>
        <w:r w:rsidR="003C3925">
          <w:rPr>
            <w:noProof/>
            <w:webHidden/>
          </w:rPr>
          <w:fldChar w:fldCharType="separate"/>
        </w:r>
        <w:r w:rsidR="0044183D">
          <w:rPr>
            <w:noProof/>
            <w:webHidden/>
          </w:rPr>
          <w:t>120</w:t>
        </w:r>
        <w:r w:rsidR="003C3925">
          <w:rPr>
            <w:noProof/>
            <w:webHidden/>
          </w:rPr>
          <w:fldChar w:fldCharType="end"/>
        </w:r>
      </w:hyperlink>
    </w:p>
    <w:p w:rsidR="0044183D" w:rsidRDefault="0043500B">
      <w:pPr>
        <w:pStyle w:val="TOC1"/>
        <w:rPr>
          <w:rFonts w:asciiTheme="minorHAnsi" w:eastAsiaTheme="minorEastAsia" w:hAnsiTheme="minorHAnsi" w:cstheme="minorBidi"/>
          <w:b w:val="0"/>
          <w:noProof/>
          <w:szCs w:val="22"/>
          <w:lang w:val="en-US" w:eastAsia="en-US"/>
        </w:rPr>
      </w:pPr>
      <w:hyperlink w:anchor="_Toc57655468" w:history="1">
        <w:r w:rsidR="0044183D" w:rsidRPr="00331958">
          <w:rPr>
            <w:rStyle w:val="Hyperlink"/>
            <w:noProof/>
          </w:rPr>
          <w:t>Մ</w:t>
        </w:r>
        <w:r w:rsidR="0044183D" w:rsidRPr="00331958">
          <w:rPr>
            <w:rStyle w:val="Hyperlink"/>
            <w:noProof/>
            <w:lang w:val="af-ZA"/>
          </w:rPr>
          <w:t xml:space="preserve"> </w:t>
        </w:r>
        <w:r w:rsidR="0044183D" w:rsidRPr="00331958">
          <w:rPr>
            <w:rStyle w:val="Hyperlink"/>
            <w:noProof/>
          </w:rPr>
          <w:t>Ա</w:t>
        </w:r>
        <w:r w:rsidR="0044183D" w:rsidRPr="00331958">
          <w:rPr>
            <w:rStyle w:val="Hyperlink"/>
            <w:noProof/>
            <w:lang w:val="af-ZA"/>
          </w:rPr>
          <w:t xml:space="preserve"> </w:t>
        </w:r>
        <w:r w:rsidR="0044183D" w:rsidRPr="00331958">
          <w:rPr>
            <w:rStyle w:val="Hyperlink"/>
            <w:noProof/>
          </w:rPr>
          <w:t>Ս</w:t>
        </w:r>
        <w:r w:rsidR="0044183D" w:rsidRPr="00331958">
          <w:rPr>
            <w:rStyle w:val="Hyperlink"/>
            <w:noProof/>
            <w:lang w:val="af-ZA"/>
          </w:rPr>
          <w:t xml:space="preserve"> III – </w:t>
        </w:r>
        <w:r w:rsidR="0044183D" w:rsidRPr="00331958">
          <w:rPr>
            <w:rStyle w:val="Hyperlink"/>
            <w:noProof/>
          </w:rPr>
          <w:t>Բ</w:t>
        </w:r>
        <w:r w:rsidR="0044183D" w:rsidRPr="00331958">
          <w:rPr>
            <w:rStyle w:val="Hyperlink"/>
            <w:noProof/>
            <w:lang w:val="af-ZA"/>
          </w:rPr>
          <w:t xml:space="preserve">. </w:t>
        </w:r>
        <w:r w:rsidR="0044183D" w:rsidRPr="00331958">
          <w:rPr>
            <w:rStyle w:val="Hyperlink"/>
            <w:noProof/>
          </w:rPr>
          <w:t>Ծ</w:t>
        </w:r>
        <w:r w:rsidR="0044183D" w:rsidRPr="00331958">
          <w:rPr>
            <w:rStyle w:val="Hyperlink"/>
            <w:noProof/>
            <w:lang w:val="af-ZA"/>
          </w:rPr>
          <w:t xml:space="preserve"> </w:t>
        </w:r>
        <w:r w:rsidR="0044183D" w:rsidRPr="00331958">
          <w:rPr>
            <w:rStyle w:val="Hyperlink"/>
            <w:noProof/>
          </w:rPr>
          <w:t>Ա</w:t>
        </w:r>
        <w:r w:rsidR="0044183D" w:rsidRPr="00331958">
          <w:rPr>
            <w:rStyle w:val="Hyperlink"/>
            <w:noProof/>
            <w:lang w:val="af-ZA"/>
          </w:rPr>
          <w:t xml:space="preserve"> </w:t>
        </w:r>
        <w:r w:rsidR="0044183D" w:rsidRPr="00331958">
          <w:rPr>
            <w:rStyle w:val="Hyperlink"/>
            <w:noProof/>
          </w:rPr>
          <w:t>Խ</w:t>
        </w:r>
        <w:r w:rsidR="0044183D" w:rsidRPr="00331958">
          <w:rPr>
            <w:rStyle w:val="Hyperlink"/>
            <w:noProof/>
            <w:lang w:val="af-ZA"/>
          </w:rPr>
          <w:t xml:space="preserve"> </w:t>
        </w:r>
        <w:r w:rsidR="0044183D" w:rsidRPr="00331958">
          <w:rPr>
            <w:rStyle w:val="Hyperlink"/>
            <w:noProof/>
          </w:rPr>
          <w:t>Ս</w:t>
        </w:r>
        <w:r w:rsidR="0044183D" w:rsidRPr="00331958">
          <w:rPr>
            <w:rStyle w:val="Hyperlink"/>
            <w:noProof/>
            <w:lang w:val="af-ZA"/>
          </w:rPr>
          <w:t xml:space="preserve"> </w:t>
        </w:r>
        <w:r w:rsidR="0044183D" w:rsidRPr="00331958">
          <w:rPr>
            <w:rStyle w:val="Hyperlink"/>
            <w:noProof/>
          </w:rPr>
          <w:t>Ե</w:t>
        </w:r>
        <w:r w:rsidR="0044183D" w:rsidRPr="00331958">
          <w:rPr>
            <w:rStyle w:val="Hyperlink"/>
            <w:noProof/>
            <w:lang w:val="af-ZA"/>
          </w:rPr>
          <w:t xml:space="preserve"> </w:t>
        </w:r>
        <w:r w:rsidR="0044183D" w:rsidRPr="00331958">
          <w:rPr>
            <w:rStyle w:val="Hyperlink"/>
            <w:noProof/>
          </w:rPr>
          <w:t>Ր</w:t>
        </w:r>
        <w:r w:rsidR="0044183D" w:rsidRPr="00331958">
          <w:rPr>
            <w:rStyle w:val="Hyperlink"/>
            <w:noProof/>
            <w:lang w:val="af-ZA"/>
          </w:rPr>
          <w:t xml:space="preserve"> </w:t>
        </w:r>
        <w:r w:rsidR="0044183D" w:rsidRPr="00331958">
          <w:rPr>
            <w:rStyle w:val="Hyperlink"/>
            <w:noProof/>
          </w:rPr>
          <w:t>Ի</w:t>
        </w:r>
        <w:r w:rsidR="0044183D" w:rsidRPr="00331958">
          <w:rPr>
            <w:rStyle w:val="Hyperlink"/>
            <w:noProof/>
            <w:lang w:val="af-ZA"/>
          </w:rPr>
          <w:t xml:space="preserve">  </w:t>
        </w:r>
        <w:r w:rsidR="0044183D" w:rsidRPr="00331958">
          <w:rPr>
            <w:rStyle w:val="Hyperlink"/>
            <w:noProof/>
          </w:rPr>
          <w:t>Կ</w:t>
        </w:r>
        <w:r w:rsidR="0044183D" w:rsidRPr="00331958">
          <w:rPr>
            <w:rStyle w:val="Hyperlink"/>
            <w:noProof/>
            <w:lang w:val="af-ZA"/>
          </w:rPr>
          <w:t xml:space="preserve"> </w:t>
        </w:r>
        <w:r w:rsidR="0044183D" w:rsidRPr="00331958">
          <w:rPr>
            <w:rStyle w:val="Hyperlink"/>
            <w:noProof/>
          </w:rPr>
          <w:t>Ա</w:t>
        </w:r>
        <w:r w:rsidR="0044183D" w:rsidRPr="00331958">
          <w:rPr>
            <w:rStyle w:val="Hyperlink"/>
            <w:noProof/>
            <w:lang w:val="af-ZA"/>
          </w:rPr>
          <w:t xml:space="preserve"> </w:t>
        </w:r>
        <w:r w:rsidR="0044183D" w:rsidRPr="00331958">
          <w:rPr>
            <w:rStyle w:val="Hyperlink"/>
            <w:noProof/>
          </w:rPr>
          <w:t>Ն</w:t>
        </w:r>
        <w:r w:rsidR="0044183D" w:rsidRPr="00331958">
          <w:rPr>
            <w:rStyle w:val="Hyperlink"/>
            <w:noProof/>
            <w:lang w:val="af-ZA"/>
          </w:rPr>
          <w:t xml:space="preserve"> </w:t>
        </w:r>
        <w:r w:rsidR="0044183D" w:rsidRPr="00331958">
          <w:rPr>
            <w:rStyle w:val="Hyperlink"/>
            <w:noProof/>
          </w:rPr>
          <w:t>Խ</w:t>
        </w:r>
        <w:r w:rsidR="0044183D" w:rsidRPr="00331958">
          <w:rPr>
            <w:rStyle w:val="Hyperlink"/>
            <w:noProof/>
            <w:lang w:val="af-ZA"/>
          </w:rPr>
          <w:t xml:space="preserve"> </w:t>
        </w:r>
        <w:r w:rsidR="0044183D" w:rsidRPr="00331958">
          <w:rPr>
            <w:rStyle w:val="Hyperlink"/>
            <w:noProof/>
          </w:rPr>
          <w:t>Ա</w:t>
        </w:r>
        <w:r w:rsidR="0044183D" w:rsidRPr="00331958">
          <w:rPr>
            <w:rStyle w:val="Hyperlink"/>
            <w:noProof/>
            <w:lang w:val="af-ZA"/>
          </w:rPr>
          <w:t xml:space="preserve"> </w:t>
        </w:r>
        <w:r w:rsidR="0044183D" w:rsidRPr="00331958">
          <w:rPr>
            <w:rStyle w:val="Hyperlink"/>
            <w:noProof/>
          </w:rPr>
          <w:t>Տ</w:t>
        </w:r>
        <w:r w:rsidR="0044183D" w:rsidRPr="00331958">
          <w:rPr>
            <w:rStyle w:val="Hyperlink"/>
            <w:noProof/>
            <w:lang w:val="af-ZA"/>
          </w:rPr>
          <w:t xml:space="preserve"> </w:t>
        </w:r>
        <w:r w:rsidR="0044183D" w:rsidRPr="00331958">
          <w:rPr>
            <w:rStyle w:val="Hyperlink"/>
            <w:noProof/>
          </w:rPr>
          <w:t>Ե</w:t>
        </w:r>
        <w:r w:rsidR="0044183D" w:rsidRPr="00331958">
          <w:rPr>
            <w:rStyle w:val="Hyperlink"/>
            <w:noProof/>
            <w:lang w:val="af-ZA"/>
          </w:rPr>
          <w:t xml:space="preserve"> </w:t>
        </w:r>
        <w:r w:rsidR="0044183D" w:rsidRPr="00331958">
          <w:rPr>
            <w:rStyle w:val="Hyperlink"/>
            <w:noProof/>
          </w:rPr>
          <w:t>Ս</w:t>
        </w:r>
        <w:r w:rsidR="0044183D" w:rsidRPr="00331958">
          <w:rPr>
            <w:rStyle w:val="Hyperlink"/>
            <w:noProof/>
            <w:lang w:val="af-ZA"/>
          </w:rPr>
          <w:t xml:space="preserve"> </w:t>
        </w:r>
        <w:r w:rsidR="0044183D" w:rsidRPr="00331958">
          <w:rPr>
            <w:rStyle w:val="Hyperlink"/>
            <w:noProof/>
          </w:rPr>
          <w:t>Ո</w:t>
        </w:r>
        <w:r w:rsidR="0044183D" w:rsidRPr="00331958">
          <w:rPr>
            <w:rStyle w:val="Hyperlink"/>
            <w:noProof/>
            <w:lang w:val="af-ZA"/>
          </w:rPr>
          <w:t xml:space="preserve"> </w:t>
        </w:r>
        <w:r w:rsidR="0044183D" w:rsidRPr="00331958">
          <w:rPr>
            <w:rStyle w:val="Hyperlink"/>
            <w:noProof/>
          </w:rPr>
          <w:t>Ւ</w:t>
        </w:r>
        <w:r w:rsidR="0044183D" w:rsidRPr="00331958">
          <w:rPr>
            <w:rStyle w:val="Hyperlink"/>
            <w:noProof/>
            <w:lang w:val="af-ZA"/>
          </w:rPr>
          <w:t xml:space="preserve"> </w:t>
        </w:r>
        <w:r w:rsidR="0044183D" w:rsidRPr="00331958">
          <w:rPr>
            <w:rStyle w:val="Hyperlink"/>
            <w:noProof/>
          </w:rPr>
          <w:t>Մ</w:t>
        </w:r>
        <w:r w:rsidR="0044183D">
          <w:rPr>
            <w:noProof/>
            <w:webHidden/>
          </w:rPr>
          <w:tab/>
        </w:r>
        <w:r w:rsidR="003C3925">
          <w:rPr>
            <w:noProof/>
            <w:webHidden/>
          </w:rPr>
          <w:fldChar w:fldCharType="begin"/>
        </w:r>
        <w:r w:rsidR="0044183D">
          <w:rPr>
            <w:noProof/>
            <w:webHidden/>
          </w:rPr>
          <w:instrText xml:space="preserve"> PAGEREF _Toc57655468 \h </w:instrText>
        </w:r>
        <w:r w:rsidR="003C3925">
          <w:rPr>
            <w:noProof/>
            <w:webHidden/>
          </w:rPr>
        </w:r>
        <w:r w:rsidR="003C3925">
          <w:rPr>
            <w:noProof/>
            <w:webHidden/>
          </w:rPr>
          <w:fldChar w:fldCharType="separate"/>
        </w:r>
        <w:r w:rsidR="0044183D">
          <w:rPr>
            <w:noProof/>
            <w:webHidden/>
          </w:rPr>
          <w:t>123</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69" w:history="1">
        <w:r w:rsidR="0044183D" w:rsidRPr="00331958">
          <w:rPr>
            <w:rStyle w:val="Hyperlink"/>
            <w:rFonts w:eastAsia="Calibri" w:cs="GHEA Grapalat"/>
            <w:bCs/>
            <w:noProof/>
            <w:lang w:val="af-ZA" w:eastAsia="en-US"/>
          </w:rPr>
          <w:t>ԾԱԽՍԵՐՆ ԸՍՏ ՏՆՏԵՍԱԳԻՏԱԿԱՆ ԴԱՍԱԿԱՐԳՄԱՆ</w:t>
        </w:r>
        <w:r w:rsidR="0044183D">
          <w:rPr>
            <w:noProof/>
            <w:webHidden/>
          </w:rPr>
          <w:tab/>
        </w:r>
        <w:r w:rsidR="003C3925">
          <w:rPr>
            <w:noProof/>
            <w:webHidden/>
          </w:rPr>
          <w:fldChar w:fldCharType="begin"/>
        </w:r>
        <w:r w:rsidR="0044183D">
          <w:rPr>
            <w:noProof/>
            <w:webHidden/>
          </w:rPr>
          <w:instrText xml:space="preserve"> PAGEREF _Toc57655469 \h </w:instrText>
        </w:r>
        <w:r w:rsidR="003C3925">
          <w:rPr>
            <w:noProof/>
            <w:webHidden/>
          </w:rPr>
        </w:r>
        <w:r w:rsidR="003C3925">
          <w:rPr>
            <w:noProof/>
            <w:webHidden/>
          </w:rPr>
          <w:fldChar w:fldCharType="separate"/>
        </w:r>
        <w:r w:rsidR="0044183D">
          <w:rPr>
            <w:noProof/>
            <w:webHidden/>
          </w:rPr>
          <w:t>123</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70" w:history="1">
        <w:r w:rsidR="0044183D" w:rsidRPr="00331958">
          <w:rPr>
            <w:rStyle w:val="Hyperlink"/>
            <w:rFonts w:eastAsia="Calibri" w:cs="GHEA Grapalat"/>
            <w:bCs/>
            <w:noProof/>
            <w:lang w:val="af-ZA" w:eastAsia="en-US"/>
          </w:rPr>
          <w:t xml:space="preserve">ԾԱԽՍԵՐՆ ԸՍՏ </w:t>
        </w:r>
        <w:r w:rsidR="0044183D" w:rsidRPr="00331958">
          <w:rPr>
            <w:rStyle w:val="Hyperlink"/>
            <w:rFonts w:eastAsia="Calibri" w:cs="GHEA Grapalat"/>
            <w:bCs/>
            <w:noProof/>
            <w:lang w:val="hy-AM" w:eastAsia="en-US"/>
          </w:rPr>
          <w:t>ԳՈՐԾԱՌԱԿԱ</w:t>
        </w:r>
        <w:r w:rsidR="0044183D" w:rsidRPr="00331958">
          <w:rPr>
            <w:rStyle w:val="Hyperlink"/>
            <w:rFonts w:eastAsia="Calibri" w:cs="GHEA Grapalat"/>
            <w:bCs/>
            <w:noProof/>
            <w:lang w:val="af-ZA" w:eastAsia="en-US"/>
          </w:rPr>
          <w:t>Ն ԴԱՍԱԿԱՐԳՄԱՆ</w:t>
        </w:r>
        <w:r w:rsidR="0044183D">
          <w:rPr>
            <w:noProof/>
            <w:webHidden/>
          </w:rPr>
          <w:tab/>
        </w:r>
        <w:r w:rsidR="003C3925">
          <w:rPr>
            <w:noProof/>
            <w:webHidden/>
          </w:rPr>
          <w:fldChar w:fldCharType="begin"/>
        </w:r>
        <w:r w:rsidR="0044183D">
          <w:rPr>
            <w:noProof/>
            <w:webHidden/>
          </w:rPr>
          <w:instrText xml:space="preserve"> PAGEREF _Toc57655470 \h </w:instrText>
        </w:r>
        <w:r w:rsidR="003C3925">
          <w:rPr>
            <w:noProof/>
            <w:webHidden/>
          </w:rPr>
        </w:r>
        <w:r w:rsidR="003C3925">
          <w:rPr>
            <w:noProof/>
            <w:webHidden/>
          </w:rPr>
          <w:fldChar w:fldCharType="separate"/>
        </w:r>
        <w:r w:rsidR="0044183D">
          <w:rPr>
            <w:noProof/>
            <w:webHidden/>
          </w:rPr>
          <w:t>130</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71" w:history="1">
        <w:r w:rsidR="0044183D" w:rsidRPr="00331958">
          <w:rPr>
            <w:rStyle w:val="Hyperlink"/>
            <w:rFonts w:eastAsia="Calibri" w:cs="GHEA Grapalat"/>
            <w:bCs/>
            <w:noProof/>
            <w:lang w:val="af-ZA" w:eastAsia="en-US"/>
          </w:rPr>
          <w:t>2021Թ.  ԿԱՊԻՏԱԼ ԾԱԽՍԵՐԻ ԵՎ ՆՈՐ ՆԱԽԱՁԵՌՆՈՒԹՅՈՒՆՆԵՐԻ ԳԾՈՎ ԱՌԱՋՆԱՀԵՐԹՈՒԹՅՈՒՆՆԵՐԸ</w:t>
        </w:r>
        <w:r w:rsidR="0044183D">
          <w:rPr>
            <w:noProof/>
            <w:webHidden/>
          </w:rPr>
          <w:tab/>
        </w:r>
        <w:r w:rsidR="003C3925">
          <w:rPr>
            <w:noProof/>
            <w:webHidden/>
          </w:rPr>
          <w:fldChar w:fldCharType="begin"/>
        </w:r>
        <w:r w:rsidR="0044183D">
          <w:rPr>
            <w:noProof/>
            <w:webHidden/>
          </w:rPr>
          <w:instrText xml:space="preserve"> PAGEREF _Toc57655471 \h </w:instrText>
        </w:r>
        <w:r w:rsidR="003C3925">
          <w:rPr>
            <w:noProof/>
            <w:webHidden/>
          </w:rPr>
        </w:r>
        <w:r w:rsidR="003C3925">
          <w:rPr>
            <w:noProof/>
            <w:webHidden/>
          </w:rPr>
          <w:fldChar w:fldCharType="separate"/>
        </w:r>
        <w:r w:rsidR="0044183D">
          <w:rPr>
            <w:noProof/>
            <w:webHidden/>
          </w:rPr>
          <w:t>135</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72" w:history="1">
        <w:r w:rsidR="0044183D" w:rsidRPr="00331958">
          <w:rPr>
            <w:rStyle w:val="Hyperlink"/>
            <w:rFonts w:eastAsia="Calibri" w:cs="GHEA Grapalat"/>
            <w:bCs/>
            <w:noProof/>
            <w:lang w:val="af-ZA" w:eastAsia="en-US"/>
          </w:rPr>
          <w:t xml:space="preserve">ԾԱԽՍԵՐՆ ԸՍՏ </w:t>
        </w:r>
        <w:r w:rsidR="0044183D" w:rsidRPr="00331958">
          <w:rPr>
            <w:rStyle w:val="Hyperlink"/>
            <w:rFonts w:eastAsia="Calibri" w:cs="GHEA Grapalat"/>
            <w:bCs/>
            <w:noProof/>
            <w:lang w:val="hy-AM" w:eastAsia="en-US"/>
          </w:rPr>
          <w:t>ԲՅՈՒՋԵՏԱՅԻՆ ԳԼԽԱՎՈՐ ԿԱՐԳԱԴՐԻՉՆԵՐԻ</w:t>
        </w:r>
        <w:r w:rsidR="0044183D">
          <w:rPr>
            <w:noProof/>
            <w:webHidden/>
          </w:rPr>
          <w:tab/>
        </w:r>
        <w:r w:rsidR="003C3925">
          <w:rPr>
            <w:noProof/>
            <w:webHidden/>
          </w:rPr>
          <w:fldChar w:fldCharType="begin"/>
        </w:r>
        <w:r w:rsidR="0044183D">
          <w:rPr>
            <w:noProof/>
            <w:webHidden/>
          </w:rPr>
          <w:instrText xml:space="preserve"> PAGEREF _Toc57655472 \h </w:instrText>
        </w:r>
        <w:r w:rsidR="003C3925">
          <w:rPr>
            <w:noProof/>
            <w:webHidden/>
          </w:rPr>
        </w:r>
        <w:r w:rsidR="003C3925">
          <w:rPr>
            <w:noProof/>
            <w:webHidden/>
          </w:rPr>
          <w:fldChar w:fldCharType="separate"/>
        </w:r>
        <w:r w:rsidR="0044183D">
          <w:rPr>
            <w:noProof/>
            <w:webHidden/>
          </w:rPr>
          <w:t>137</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73" w:history="1">
        <w:r w:rsidR="0044183D" w:rsidRPr="00331958">
          <w:rPr>
            <w:rStyle w:val="Hyperlink"/>
            <w:rFonts w:eastAsia="Calibri" w:cs="GHEA Grapalat"/>
            <w:bCs/>
            <w:noProof/>
            <w:lang w:val="af-ZA" w:eastAsia="en-US"/>
          </w:rPr>
          <w:t>Պետական իշխանության մարմինների պահպանման ծախսեր</w:t>
        </w:r>
        <w:r w:rsidR="0044183D">
          <w:rPr>
            <w:noProof/>
            <w:webHidden/>
          </w:rPr>
          <w:tab/>
        </w:r>
        <w:r w:rsidR="003C3925">
          <w:rPr>
            <w:noProof/>
            <w:webHidden/>
          </w:rPr>
          <w:fldChar w:fldCharType="begin"/>
        </w:r>
        <w:r w:rsidR="0044183D">
          <w:rPr>
            <w:noProof/>
            <w:webHidden/>
          </w:rPr>
          <w:instrText xml:space="preserve"> PAGEREF _Toc57655473 \h </w:instrText>
        </w:r>
        <w:r w:rsidR="003C3925">
          <w:rPr>
            <w:noProof/>
            <w:webHidden/>
          </w:rPr>
        </w:r>
        <w:r w:rsidR="003C3925">
          <w:rPr>
            <w:noProof/>
            <w:webHidden/>
          </w:rPr>
          <w:fldChar w:fldCharType="separate"/>
        </w:r>
        <w:r w:rsidR="0044183D">
          <w:rPr>
            <w:noProof/>
            <w:webHidden/>
          </w:rPr>
          <w:t>137</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74" w:history="1">
        <w:r w:rsidR="0044183D" w:rsidRPr="00331958">
          <w:rPr>
            <w:rStyle w:val="Hyperlink"/>
            <w:noProof/>
          </w:rPr>
          <w:t>ՀՀ առողջապահության նախարարություն</w:t>
        </w:r>
        <w:r w:rsidR="0044183D">
          <w:rPr>
            <w:noProof/>
            <w:webHidden/>
          </w:rPr>
          <w:tab/>
        </w:r>
        <w:r w:rsidR="003C3925">
          <w:rPr>
            <w:noProof/>
            <w:webHidden/>
          </w:rPr>
          <w:fldChar w:fldCharType="begin"/>
        </w:r>
        <w:r w:rsidR="0044183D">
          <w:rPr>
            <w:noProof/>
            <w:webHidden/>
          </w:rPr>
          <w:instrText xml:space="preserve"> PAGEREF _Toc57655474 \h </w:instrText>
        </w:r>
        <w:r w:rsidR="003C3925">
          <w:rPr>
            <w:noProof/>
            <w:webHidden/>
          </w:rPr>
        </w:r>
        <w:r w:rsidR="003C3925">
          <w:rPr>
            <w:noProof/>
            <w:webHidden/>
          </w:rPr>
          <w:fldChar w:fldCharType="separate"/>
        </w:r>
        <w:r w:rsidR="0044183D">
          <w:rPr>
            <w:noProof/>
            <w:webHidden/>
          </w:rPr>
          <w:t>144</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75" w:history="1">
        <w:r w:rsidR="0044183D" w:rsidRPr="00331958">
          <w:rPr>
            <w:rStyle w:val="Hyperlink"/>
            <w:noProof/>
          </w:rPr>
          <w:t>ՀՀ կրթության, գիտության, մշակույթի և սպորտի նախարարություն</w:t>
        </w:r>
        <w:r w:rsidR="0044183D">
          <w:rPr>
            <w:noProof/>
            <w:webHidden/>
          </w:rPr>
          <w:tab/>
        </w:r>
        <w:r w:rsidR="003C3925">
          <w:rPr>
            <w:noProof/>
            <w:webHidden/>
          </w:rPr>
          <w:fldChar w:fldCharType="begin"/>
        </w:r>
        <w:r w:rsidR="0044183D">
          <w:rPr>
            <w:noProof/>
            <w:webHidden/>
          </w:rPr>
          <w:instrText xml:space="preserve"> PAGEREF _Toc57655475 \h </w:instrText>
        </w:r>
        <w:r w:rsidR="003C3925">
          <w:rPr>
            <w:noProof/>
            <w:webHidden/>
          </w:rPr>
        </w:r>
        <w:r w:rsidR="003C3925">
          <w:rPr>
            <w:noProof/>
            <w:webHidden/>
          </w:rPr>
          <w:fldChar w:fldCharType="separate"/>
        </w:r>
        <w:r w:rsidR="0044183D">
          <w:rPr>
            <w:noProof/>
            <w:webHidden/>
          </w:rPr>
          <w:t>154</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76" w:history="1">
        <w:r w:rsidR="0044183D" w:rsidRPr="00331958">
          <w:rPr>
            <w:rStyle w:val="Hyperlink"/>
            <w:noProof/>
          </w:rPr>
          <w:t>ՀՀ աշխատանքի և սոցիալական հարցերի նախարարություն</w:t>
        </w:r>
        <w:r w:rsidR="0044183D">
          <w:rPr>
            <w:noProof/>
            <w:webHidden/>
          </w:rPr>
          <w:tab/>
        </w:r>
        <w:r w:rsidR="003C3925">
          <w:rPr>
            <w:noProof/>
            <w:webHidden/>
          </w:rPr>
          <w:fldChar w:fldCharType="begin"/>
        </w:r>
        <w:r w:rsidR="0044183D">
          <w:rPr>
            <w:noProof/>
            <w:webHidden/>
          </w:rPr>
          <w:instrText xml:space="preserve"> PAGEREF _Toc57655476 \h </w:instrText>
        </w:r>
        <w:r w:rsidR="003C3925">
          <w:rPr>
            <w:noProof/>
            <w:webHidden/>
          </w:rPr>
        </w:r>
        <w:r w:rsidR="003C3925">
          <w:rPr>
            <w:noProof/>
            <w:webHidden/>
          </w:rPr>
          <w:fldChar w:fldCharType="separate"/>
        </w:r>
        <w:r w:rsidR="0044183D">
          <w:rPr>
            <w:noProof/>
            <w:webHidden/>
          </w:rPr>
          <w:t>166</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77" w:history="1">
        <w:r w:rsidR="0044183D" w:rsidRPr="00331958">
          <w:rPr>
            <w:rStyle w:val="Hyperlink"/>
            <w:noProof/>
          </w:rPr>
          <w:t>ՀՀ</w:t>
        </w:r>
        <w:r w:rsidR="0044183D" w:rsidRPr="00331958">
          <w:rPr>
            <w:rStyle w:val="Hyperlink"/>
            <w:noProof/>
            <w:lang w:val="fr-FR"/>
          </w:rPr>
          <w:t xml:space="preserve"> </w:t>
        </w:r>
        <w:r w:rsidR="0044183D" w:rsidRPr="00331958">
          <w:rPr>
            <w:rStyle w:val="Hyperlink"/>
            <w:noProof/>
            <w:lang w:val="hy-AM"/>
          </w:rPr>
          <w:t>տարածքային</w:t>
        </w:r>
        <w:r w:rsidR="0044183D" w:rsidRPr="00331958">
          <w:rPr>
            <w:rStyle w:val="Hyperlink"/>
            <w:noProof/>
          </w:rPr>
          <w:t xml:space="preserve"> </w:t>
        </w:r>
        <w:r w:rsidR="0044183D" w:rsidRPr="00331958">
          <w:rPr>
            <w:rStyle w:val="Hyperlink"/>
            <w:noProof/>
            <w:lang w:val="hy-AM"/>
          </w:rPr>
          <w:t>կառավարման</w:t>
        </w:r>
        <w:r w:rsidR="0044183D" w:rsidRPr="00331958">
          <w:rPr>
            <w:rStyle w:val="Hyperlink"/>
            <w:noProof/>
          </w:rPr>
          <w:t xml:space="preserve"> </w:t>
        </w:r>
        <w:r w:rsidR="0044183D" w:rsidRPr="00331958">
          <w:rPr>
            <w:rStyle w:val="Hyperlink"/>
            <w:noProof/>
            <w:lang w:val="hy-AM"/>
          </w:rPr>
          <w:t>և</w:t>
        </w:r>
        <w:r w:rsidR="0044183D" w:rsidRPr="00331958">
          <w:rPr>
            <w:rStyle w:val="Hyperlink"/>
            <w:noProof/>
            <w:lang w:val="fr-FR"/>
          </w:rPr>
          <w:t xml:space="preserve"> </w:t>
        </w:r>
        <w:r w:rsidR="0044183D" w:rsidRPr="00331958">
          <w:rPr>
            <w:rStyle w:val="Hyperlink"/>
            <w:noProof/>
          </w:rPr>
          <w:t>ենթակառուցվածքների</w:t>
        </w:r>
        <w:r w:rsidR="0044183D" w:rsidRPr="00331958">
          <w:rPr>
            <w:rStyle w:val="Hyperlink"/>
            <w:noProof/>
            <w:lang w:val="fr-FR"/>
          </w:rPr>
          <w:t xml:space="preserve"> </w:t>
        </w:r>
        <w:r w:rsidR="0044183D" w:rsidRPr="00331958">
          <w:rPr>
            <w:rStyle w:val="Hyperlink"/>
            <w:noProof/>
          </w:rPr>
          <w:t>նախարարություն</w:t>
        </w:r>
        <w:r w:rsidR="0044183D">
          <w:rPr>
            <w:noProof/>
            <w:webHidden/>
          </w:rPr>
          <w:tab/>
        </w:r>
        <w:r w:rsidR="003C3925">
          <w:rPr>
            <w:noProof/>
            <w:webHidden/>
          </w:rPr>
          <w:fldChar w:fldCharType="begin"/>
        </w:r>
        <w:r w:rsidR="0044183D">
          <w:rPr>
            <w:noProof/>
            <w:webHidden/>
          </w:rPr>
          <w:instrText xml:space="preserve"> PAGEREF _Toc57655477 \h </w:instrText>
        </w:r>
        <w:r w:rsidR="003C3925">
          <w:rPr>
            <w:noProof/>
            <w:webHidden/>
          </w:rPr>
        </w:r>
        <w:r w:rsidR="003C3925">
          <w:rPr>
            <w:noProof/>
            <w:webHidden/>
          </w:rPr>
          <w:fldChar w:fldCharType="separate"/>
        </w:r>
        <w:r w:rsidR="0044183D">
          <w:rPr>
            <w:noProof/>
            <w:webHidden/>
          </w:rPr>
          <w:t>175</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78" w:history="1">
        <w:r w:rsidR="0044183D" w:rsidRPr="00331958">
          <w:rPr>
            <w:rStyle w:val="Hyperlink"/>
            <w:rFonts w:cs="Arial"/>
            <w:noProof/>
            <w:lang w:val="hy-AM" w:eastAsia="en-US"/>
          </w:rPr>
          <w:t>ՀՀ բարձր տեխնոլոգիական արդյունաբերության նախարարություն</w:t>
        </w:r>
        <w:r w:rsidR="0044183D">
          <w:rPr>
            <w:noProof/>
            <w:webHidden/>
          </w:rPr>
          <w:tab/>
        </w:r>
        <w:r w:rsidR="003C3925">
          <w:rPr>
            <w:noProof/>
            <w:webHidden/>
          </w:rPr>
          <w:fldChar w:fldCharType="begin"/>
        </w:r>
        <w:r w:rsidR="0044183D">
          <w:rPr>
            <w:noProof/>
            <w:webHidden/>
          </w:rPr>
          <w:instrText xml:space="preserve"> PAGEREF _Toc57655478 \h </w:instrText>
        </w:r>
        <w:r w:rsidR="003C3925">
          <w:rPr>
            <w:noProof/>
            <w:webHidden/>
          </w:rPr>
        </w:r>
        <w:r w:rsidR="003C3925">
          <w:rPr>
            <w:noProof/>
            <w:webHidden/>
          </w:rPr>
          <w:fldChar w:fldCharType="separate"/>
        </w:r>
        <w:r w:rsidR="0044183D">
          <w:rPr>
            <w:noProof/>
            <w:webHidden/>
          </w:rPr>
          <w:t>193</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79" w:history="1">
        <w:r w:rsidR="0044183D" w:rsidRPr="00331958">
          <w:rPr>
            <w:rStyle w:val="Hyperlink"/>
            <w:rFonts w:cs="Arial"/>
            <w:noProof/>
            <w:lang w:val="hy-AM" w:eastAsia="en-US"/>
          </w:rPr>
          <w:t>ՀՀ շրջակա միջավայրի նախարարություն</w:t>
        </w:r>
        <w:r w:rsidR="0044183D">
          <w:rPr>
            <w:noProof/>
            <w:webHidden/>
          </w:rPr>
          <w:tab/>
        </w:r>
        <w:r w:rsidR="003C3925">
          <w:rPr>
            <w:noProof/>
            <w:webHidden/>
          </w:rPr>
          <w:fldChar w:fldCharType="begin"/>
        </w:r>
        <w:r w:rsidR="0044183D">
          <w:rPr>
            <w:noProof/>
            <w:webHidden/>
          </w:rPr>
          <w:instrText xml:space="preserve"> PAGEREF _Toc57655479 \h </w:instrText>
        </w:r>
        <w:r w:rsidR="003C3925">
          <w:rPr>
            <w:noProof/>
            <w:webHidden/>
          </w:rPr>
        </w:r>
        <w:r w:rsidR="003C3925">
          <w:rPr>
            <w:noProof/>
            <w:webHidden/>
          </w:rPr>
          <w:fldChar w:fldCharType="separate"/>
        </w:r>
        <w:r w:rsidR="0044183D">
          <w:rPr>
            <w:noProof/>
            <w:webHidden/>
          </w:rPr>
          <w:t>196</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80" w:history="1">
        <w:r w:rsidR="0044183D" w:rsidRPr="00331958">
          <w:rPr>
            <w:rStyle w:val="Hyperlink"/>
            <w:rFonts w:cs="Sylfaen"/>
            <w:bCs/>
            <w:noProof/>
            <w:lang w:val="hy-AM" w:eastAsia="en-US"/>
          </w:rPr>
          <w:t xml:space="preserve">ՀՀ </w:t>
        </w:r>
        <w:r w:rsidR="0044183D" w:rsidRPr="00331958">
          <w:rPr>
            <w:rStyle w:val="Hyperlink"/>
            <w:rFonts w:cs="Sylfaen"/>
            <w:bCs/>
            <w:noProof/>
            <w:lang w:eastAsia="en-US"/>
          </w:rPr>
          <w:t>էկոնոմիկայի</w:t>
        </w:r>
        <w:r w:rsidR="0044183D" w:rsidRPr="00331958">
          <w:rPr>
            <w:rStyle w:val="Hyperlink"/>
            <w:rFonts w:cs="Sylfaen"/>
            <w:bCs/>
            <w:noProof/>
            <w:lang w:val="hy-AM" w:eastAsia="en-US"/>
          </w:rPr>
          <w:t xml:space="preserve"> նախարարություն</w:t>
        </w:r>
        <w:r w:rsidR="0044183D">
          <w:rPr>
            <w:noProof/>
            <w:webHidden/>
          </w:rPr>
          <w:tab/>
        </w:r>
        <w:r w:rsidR="003C3925">
          <w:rPr>
            <w:noProof/>
            <w:webHidden/>
          </w:rPr>
          <w:fldChar w:fldCharType="begin"/>
        </w:r>
        <w:r w:rsidR="0044183D">
          <w:rPr>
            <w:noProof/>
            <w:webHidden/>
          </w:rPr>
          <w:instrText xml:space="preserve"> PAGEREF _Toc57655480 \h </w:instrText>
        </w:r>
        <w:r w:rsidR="003C3925">
          <w:rPr>
            <w:noProof/>
            <w:webHidden/>
          </w:rPr>
        </w:r>
        <w:r w:rsidR="003C3925">
          <w:rPr>
            <w:noProof/>
            <w:webHidden/>
          </w:rPr>
          <w:fldChar w:fldCharType="separate"/>
        </w:r>
        <w:r w:rsidR="0044183D">
          <w:rPr>
            <w:noProof/>
            <w:webHidden/>
          </w:rPr>
          <w:t>199</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81" w:history="1">
        <w:r w:rsidR="0044183D" w:rsidRPr="00331958">
          <w:rPr>
            <w:rStyle w:val="Hyperlink"/>
            <w:rFonts w:cs="Arial"/>
            <w:noProof/>
            <w:lang w:val="hy-AM" w:eastAsia="en-US"/>
          </w:rPr>
          <w:t>ՀՀ արտակարգ իրավիճակների նախարարություն</w:t>
        </w:r>
        <w:r w:rsidR="0044183D">
          <w:rPr>
            <w:noProof/>
            <w:webHidden/>
          </w:rPr>
          <w:tab/>
        </w:r>
        <w:r w:rsidR="003C3925">
          <w:rPr>
            <w:noProof/>
            <w:webHidden/>
          </w:rPr>
          <w:fldChar w:fldCharType="begin"/>
        </w:r>
        <w:r w:rsidR="0044183D">
          <w:rPr>
            <w:noProof/>
            <w:webHidden/>
          </w:rPr>
          <w:instrText xml:space="preserve"> PAGEREF _Toc57655481 \h </w:instrText>
        </w:r>
        <w:r w:rsidR="003C3925">
          <w:rPr>
            <w:noProof/>
            <w:webHidden/>
          </w:rPr>
        </w:r>
        <w:r w:rsidR="003C3925">
          <w:rPr>
            <w:noProof/>
            <w:webHidden/>
          </w:rPr>
          <w:fldChar w:fldCharType="separate"/>
        </w:r>
        <w:r w:rsidR="0044183D">
          <w:rPr>
            <w:noProof/>
            <w:webHidden/>
          </w:rPr>
          <w:t>211</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82" w:history="1">
        <w:r w:rsidR="0044183D" w:rsidRPr="00331958">
          <w:rPr>
            <w:rStyle w:val="Hyperlink"/>
            <w:rFonts w:cs="Arial"/>
            <w:noProof/>
            <w:lang w:val="hy-AM" w:eastAsia="en-US"/>
          </w:rPr>
          <w:t>ՀՀ արդարադատության նախարարություն</w:t>
        </w:r>
        <w:r w:rsidR="0044183D">
          <w:rPr>
            <w:noProof/>
            <w:webHidden/>
          </w:rPr>
          <w:tab/>
        </w:r>
        <w:r w:rsidR="003C3925">
          <w:rPr>
            <w:noProof/>
            <w:webHidden/>
          </w:rPr>
          <w:fldChar w:fldCharType="begin"/>
        </w:r>
        <w:r w:rsidR="0044183D">
          <w:rPr>
            <w:noProof/>
            <w:webHidden/>
          </w:rPr>
          <w:instrText xml:space="preserve"> PAGEREF _Toc57655482 \h </w:instrText>
        </w:r>
        <w:r w:rsidR="003C3925">
          <w:rPr>
            <w:noProof/>
            <w:webHidden/>
          </w:rPr>
        </w:r>
        <w:r w:rsidR="003C3925">
          <w:rPr>
            <w:noProof/>
            <w:webHidden/>
          </w:rPr>
          <w:fldChar w:fldCharType="separate"/>
        </w:r>
        <w:r w:rsidR="0044183D">
          <w:rPr>
            <w:noProof/>
            <w:webHidden/>
          </w:rPr>
          <w:t>212</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83" w:history="1">
        <w:r w:rsidR="0044183D" w:rsidRPr="00331958">
          <w:rPr>
            <w:rStyle w:val="Hyperlink"/>
            <w:rFonts w:cs="Sylfaen"/>
            <w:noProof/>
            <w:lang w:val="hy-AM"/>
          </w:rPr>
          <w:t>«Քրեակատարողական ծառայություններ»</w:t>
        </w:r>
        <w:r w:rsidR="0044183D" w:rsidRPr="00331958">
          <w:rPr>
            <w:rStyle w:val="Hyperlink"/>
            <w:noProof/>
            <w:lang w:val="hy-AM"/>
          </w:rPr>
          <w:t xml:space="preserve"> ծրագրի շրջանակներում`</w:t>
        </w:r>
        <w:r w:rsidR="0044183D">
          <w:rPr>
            <w:noProof/>
            <w:webHidden/>
          </w:rPr>
          <w:tab/>
        </w:r>
        <w:r w:rsidR="003C3925">
          <w:rPr>
            <w:noProof/>
            <w:webHidden/>
          </w:rPr>
          <w:fldChar w:fldCharType="begin"/>
        </w:r>
        <w:r w:rsidR="0044183D">
          <w:rPr>
            <w:noProof/>
            <w:webHidden/>
          </w:rPr>
          <w:instrText xml:space="preserve"> PAGEREF _Toc57655483 \h </w:instrText>
        </w:r>
        <w:r w:rsidR="003C3925">
          <w:rPr>
            <w:noProof/>
            <w:webHidden/>
          </w:rPr>
        </w:r>
        <w:r w:rsidR="003C3925">
          <w:rPr>
            <w:noProof/>
            <w:webHidden/>
          </w:rPr>
          <w:fldChar w:fldCharType="separate"/>
        </w:r>
        <w:r w:rsidR="0044183D">
          <w:rPr>
            <w:noProof/>
            <w:webHidden/>
          </w:rPr>
          <w:t>212</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84" w:history="1">
        <w:r w:rsidR="0044183D" w:rsidRPr="00331958">
          <w:rPr>
            <w:rStyle w:val="Hyperlink"/>
            <w:rFonts w:cs="Arial"/>
            <w:noProof/>
            <w:lang w:val="hy-AM" w:eastAsia="en-US"/>
          </w:rPr>
          <w:t>ՀՀ պաշտպանության նախարարություն</w:t>
        </w:r>
        <w:r w:rsidR="0044183D">
          <w:rPr>
            <w:noProof/>
            <w:webHidden/>
          </w:rPr>
          <w:tab/>
        </w:r>
        <w:r w:rsidR="003C3925">
          <w:rPr>
            <w:noProof/>
            <w:webHidden/>
          </w:rPr>
          <w:fldChar w:fldCharType="begin"/>
        </w:r>
        <w:r w:rsidR="0044183D">
          <w:rPr>
            <w:noProof/>
            <w:webHidden/>
          </w:rPr>
          <w:instrText xml:space="preserve"> PAGEREF _Toc57655484 \h </w:instrText>
        </w:r>
        <w:r w:rsidR="003C3925">
          <w:rPr>
            <w:noProof/>
            <w:webHidden/>
          </w:rPr>
        </w:r>
        <w:r w:rsidR="003C3925">
          <w:rPr>
            <w:noProof/>
            <w:webHidden/>
          </w:rPr>
          <w:fldChar w:fldCharType="separate"/>
        </w:r>
        <w:r w:rsidR="0044183D">
          <w:rPr>
            <w:noProof/>
            <w:webHidden/>
          </w:rPr>
          <w:t>214</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85" w:history="1">
        <w:r w:rsidR="0044183D" w:rsidRPr="00331958">
          <w:rPr>
            <w:rStyle w:val="Hyperlink"/>
            <w:noProof/>
          </w:rPr>
          <w:t>ՀՀ Ոստիկանություն</w:t>
        </w:r>
        <w:r w:rsidR="0044183D">
          <w:rPr>
            <w:noProof/>
            <w:webHidden/>
          </w:rPr>
          <w:tab/>
        </w:r>
        <w:r w:rsidR="003C3925">
          <w:rPr>
            <w:noProof/>
            <w:webHidden/>
          </w:rPr>
          <w:fldChar w:fldCharType="begin"/>
        </w:r>
        <w:r w:rsidR="0044183D">
          <w:rPr>
            <w:noProof/>
            <w:webHidden/>
          </w:rPr>
          <w:instrText xml:space="preserve"> PAGEREF _Toc57655485 \h </w:instrText>
        </w:r>
        <w:r w:rsidR="003C3925">
          <w:rPr>
            <w:noProof/>
            <w:webHidden/>
          </w:rPr>
        </w:r>
        <w:r w:rsidR="003C3925">
          <w:rPr>
            <w:noProof/>
            <w:webHidden/>
          </w:rPr>
          <w:fldChar w:fldCharType="separate"/>
        </w:r>
        <w:r w:rsidR="0044183D">
          <w:rPr>
            <w:noProof/>
            <w:webHidden/>
          </w:rPr>
          <w:t>216</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86" w:history="1">
        <w:r w:rsidR="0044183D" w:rsidRPr="00331958">
          <w:rPr>
            <w:rStyle w:val="Hyperlink"/>
            <w:noProof/>
          </w:rPr>
          <w:t>ՀՀ ազգային անվտանգության ծառայություն</w:t>
        </w:r>
        <w:r w:rsidR="0044183D">
          <w:rPr>
            <w:noProof/>
            <w:webHidden/>
          </w:rPr>
          <w:tab/>
        </w:r>
        <w:r w:rsidR="003C3925">
          <w:rPr>
            <w:noProof/>
            <w:webHidden/>
          </w:rPr>
          <w:fldChar w:fldCharType="begin"/>
        </w:r>
        <w:r w:rsidR="0044183D">
          <w:rPr>
            <w:noProof/>
            <w:webHidden/>
          </w:rPr>
          <w:instrText xml:space="preserve"> PAGEREF _Toc57655486 \h </w:instrText>
        </w:r>
        <w:r w:rsidR="003C3925">
          <w:rPr>
            <w:noProof/>
            <w:webHidden/>
          </w:rPr>
        </w:r>
        <w:r w:rsidR="003C3925">
          <w:rPr>
            <w:noProof/>
            <w:webHidden/>
          </w:rPr>
          <w:fldChar w:fldCharType="separate"/>
        </w:r>
        <w:r w:rsidR="0044183D">
          <w:rPr>
            <w:noProof/>
            <w:webHidden/>
          </w:rPr>
          <w:t>217</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87" w:history="1">
        <w:r w:rsidR="0044183D" w:rsidRPr="00331958">
          <w:rPr>
            <w:rStyle w:val="Hyperlink"/>
            <w:noProof/>
          </w:rPr>
          <w:t>ՀՀ վարչապետի աշխատակազմ</w:t>
        </w:r>
        <w:r w:rsidR="0044183D">
          <w:rPr>
            <w:noProof/>
            <w:webHidden/>
          </w:rPr>
          <w:tab/>
        </w:r>
        <w:r w:rsidR="003C3925">
          <w:rPr>
            <w:noProof/>
            <w:webHidden/>
          </w:rPr>
          <w:fldChar w:fldCharType="begin"/>
        </w:r>
        <w:r w:rsidR="0044183D">
          <w:rPr>
            <w:noProof/>
            <w:webHidden/>
          </w:rPr>
          <w:instrText xml:space="preserve"> PAGEREF _Toc57655487 \h </w:instrText>
        </w:r>
        <w:r w:rsidR="003C3925">
          <w:rPr>
            <w:noProof/>
            <w:webHidden/>
          </w:rPr>
        </w:r>
        <w:r w:rsidR="003C3925">
          <w:rPr>
            <w:noProof/>
            <w:webHidden/>
          </w:rPr>
          <w:fldChar w:fldCharType="separate"/>
        </w:r>
        <w:r w:rsidR="0044183D">
          <w:rPr>
            <w:noProof/>
            <w:webHidden/>
          </w:rPr>
          <w:t>218</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88" w:history="1">
        <w:r w:rsidR="0044183D" w:rsidRPr="00331958">
          <w:rPr>
            <w:rStyle w:val="Hyperlink"/>
            <w:noProof/>
          </w:rPr>
          <w:t>Հ</w:t>
        </w:r>
        <w:r w:rsidR="0044183D" w:rsidRPr="00331958">
          <w:rPr>
            <w:rStyle w:val="Hyperlink"/>
            <w:noProof/>
            <w:lang w:val="hy-AM"/>
          </w:rPr>
          <w:t>անրային հեռարձակողի</w:t>
        </w:r>
        <w:r w:rsidR="0044183D" w:rsidRPr="00331958">
          <w:rPr>
            <w:rStyle w:val="Hyperlink"/>
            <w:noProof/>
          </w:rPr>
          <w:t xml:space="preserve"> խորհուրդ</w:t>
        </w:r>
        <w:r w:rsidR="0044183D">
          <w:rPr>
            <w:noProof/>
            <w:webHidden/>
          </w:rPr>
          <w:tab/>
        </w:r>
        <w:r w:rsidR="003C3925">
          <w:rPr>
            <w:noProof/>
            <w:webHidden/>
          </w:rPr>
          <w:fldChar w:fldCharType="begin"/>
        </w:r>
        <w:r w:rsidR="0044183D">
          <w:rPr>
            <w:noProof/>
            <w:webHidden/>
          </w:rPr>
          <w:instrText xml:space="preserve"> PAGEREF _Toc57655488 \h </w:instrText>
        </w:r>
        <w:r w:rsidR="003C3925">
          <w:rPr>
            <w:noProof/>
            <w:webHidden/>
          </w:rPr>
        </w:r>
        <w:r w:rsidR="003C3925">
          <w:rPr>
            <w:noProof/>
            <w:webHidden/>
          </w:rPr>
          <w:fldChar w:fldCharType="separate"/>
        </w:r>
        <w:r w:rsidR="0044183D">
          <w:rPr>
            <w:noProof/>
            <w:webHidden/>
          </w:rPr>
          <w:t>223</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89" w:history="1">
        <w:r w:rsidR="0044183D" w:rsidRPr="00331958">
          <w:rPr>
            <w:rStyle w:val="Hyperlink"/>
            <w:noProof/>
          </w:rPr>
          <w:t>ՀՀ քաղաքաշինության կոմիտե</w:t>
        </w:r>
        <w:r w:rsidR="0044183D">
          <w:rPr>
            <w:noProof/>
            <w:webHidden/>
          </w:rPr>
          <w:tab/>
        </w:r>
        <w:r w:rsidR="003C3925">
          <w:rPr>
            <w:noProof/>
            <w:webHidden/>
          </w:rPr>
          <w:fldChar w:fldCharType="begin"/>
        </w:r>
        <w:r w:rsidR="0044183D">
          <w:rPr>
            <w:noProof/>
            <w:webHidden/>
          </w:rPr>
          <w:instrText xml:space="preserve"> PAGEREF _Toc57655489 \h </w:instrText>
        </w:r>
        <w:r w:rsidR="003C3925">
          <w:rPr>
            <w:noProof/>
            <w:webHidden/>
          </w:rPr>
        </w:r>
        <w:r w:rsidR="003C3925">
          <w:rPr>
            <w:noProof/>
            <w:webHidden/>
          </w:rPr>
          <w:fldChar w:fldCharType="separate"/>
        </w:r>
        <w:r w:rsidR="0044183D">
          <w:rPr>
            <w:noProof/>
            <w:webHidden/>
          </w:rPr>
          <w:t>223</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90" w:history="1">
        <w:r w:rsidR="0044183D" w:rsidRPr="00331958">
          <w:rPr>
            <w:rStyle w:val="Hyperlink"/>
            <w:noProof/>
          </w:rPr>
          <w:t>ՀՀ կադաստրի կոմիտե</w:t>
        </w:r>
        <w:r w:rsidR="0044183D">
          <w:rPr>
            <w:noProof/>
            <w:webHidden/>
          </w:rPr>
          <w:tab/>
        </w:r>
        <w:r w:rsidR="003C3925">
          <w:rPr>
            <w:noProof/>
            <w:webHidden/>
          </w:rPr>
          <w:fldChar w:fldCharType="begin"/>
        </w:r>
        <w:r w:rsidR="0044183D">
          <w:rPr>
            <w:noProof/>
            <w:webHidden/>
          </w:rPr>
          <w:instrText xml:space="preserve"> PAGEREF _Toc57655490 \h </w:instrText>
        </w:r>
        <w:r w:rsidR="003C3925">
          <w:rPr>
            <w:noProof/>
            <w:webHidden/>
          </w:rPr>
        </w:r>
        <w:r w:rsidR="003C3925">
          <w:rPr>
            <w:noProof/>
            <w:webHidden/>
          </w:rPr>
          <w:fldChar w:fldCharType="separate"/>
        </w:r>
        <w:r w:rsidR="0044183D">
          <w:rPr>
            <w:noProof/>
            <w:webHidden/>
          </w:rPr>
          <w:t>224</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91" w:history="1">
        <w:r w:rsidR="0044183D" w:rsidRPr="00331958">
          <w:rPr>
            <w:rStyle w:val="Hyperlink"/>
            <w:noProof/>
          </w:rPr>
          <w:t>ՀՀ պետական եկամուտների կոմիտե</w:t>
        </w:r>
        <w:r w:rsidR="0044183D">
          <w:rPr>
            <w:noProof/>
            <w:webHidden/>
          </w:rPr>
          <w:tab/>
        </w:r>
        <w:r w:rsidR="003C3925">
          <w:rPr>
            <w:noProof/>
            <w:webHidden/>
          </w:rPr>
          <w:fldChar w:fldCharType="begin"/>
        </w:r>
        <w:r w:rsidR="0044183D">
          <w:rPr>
            <w:noProof/>
            <w:webHidden/>
          </w:rPr>
          <w:instrText xml:space="preserve"> PAGEREF _Toc57655491 \h </w:instrText>
        </w:r>
        <w:r w:rsidR="003C3925">
          <w:rPr>
            <w:noProof/>
            <w:webHidden/>
          </w:rPr>
        </w:r>
        <w:r w:rsidR="003C3925">
          <w:rPr>
            <w:noProof/>
            <w:webHidden/>
          </w:rPr>
          <w:fldChar w:fldCharType="separate"/>
        </w:r>
        <w:r w:rsidR="0044183D">
          <w:rPr>
            <w:noProof/>
            <w:webHidden/>
          </w:rPr>
          <w:t>225</w:t>
        </w:r>
        <w:r w:rsidR="003C3925">
          <w:rPr>
            <w:noProof/>
            <w:webHidden/>
          </w:rPr>
          <w:fldChar w:fldCharType="end"/>
        </w:r>
      </w:hyperlink>
    </w:p>
    <w:p w:rsidR="0044183D" w:rsidRDefault="0043500B">
      <w:pPr>
        <w:pStyle w:val="TOC2"/>
        <w:rPr>
          <w:rFonts w:asciiTheme="minorHAnsi" w:eastAsiaTheme="minorEastAsia" w:hAnsiTheme="minorHAnsi" w:cstheme="minorBidi"/>
          <w:b w:val="0"/>
          <w:noProof/>
          <w:szCs w:val="22"/>
          <w:lang w:val="en-US" w:eastAsia="en-US"/>
        </w:rPr>
      </w:pPr>
      <w:hyperlink w:anchor="_Toc57655492" w:history="1">
        <w:r w:rsidR="0044183D" w:rsidRPr="00331958">
          <w:rPr>
            <w:rStyle w:val="Hyperlink"/>
            <w:noProof/>
          </w:rPr>
          <w:t>ՎԵՐԼՈՒԾՈՒԹՅՈՒՆՆԵՐ</w:t>
        </w:r>
        <w:r w:rsidR="0044183D">
          <w:rPr>
            <w:noProof/>
            <w:webHidden/>
          </w:rPr>
          <w:tab/>
        </w:r>
        <w:r w:rsidR="003C3925">
          <w:rPr>
            <w:noProof/>
            <w:webHidden/>
          </w:rPr>
          <w:fldChar w:fldCharType="begin"/>
        </w:r>
        <w:r w:rsidR="0044183D">
          <w:rPr>
            <w:noProof/>
            <w:webHidden/>
          </w:rPr>
          <w:instrText xml:space="preserve"> PAGEREF _Toc57655492 \h </w:instrText>
        </w:r>
        <w:r w:rsidR="003C3925">
          <w:rPr>
            <w:noProof/>
            <w:webHidden/>
          </w:rPr>
        </w:r>
        <w:r w:rsidR="003C3925">
          <w:rPr>
            <w:noProof/>
            <w:webHidden/>
          </w:rPr>
          <w:fldChar w:fldCharType="separate"/>
        </w:r>
        <w:r w:rsidR="0044183D">
          <w:rPr>
            <w:noProof/>
            <w:webHidden/>
          </w:rPr>
          <w:t>227</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93" w:history="1">
        <w:r w:rsidR="0044183D" w:rsidRPr="00331958">
          <w:rPr>
            <w:rStyle w:val="Hyperlink"/>
            <w:noProof/>
          </w:rPr>
          <w:t>1. ՀԱՅԱՍՏԱՆԻ ՀԱՆՐԱՊԵՏՈՒԹՅԱՆ ՊԵՏԱԿԱՆ ՊԱՐՏՔԸ</w:t>
        </w:r>
        <w:r w:rsidR="0044183D">
          <w:rPr>
            <w:noProof/>
            <w:webHidden/>
          </w:rPr>
          <w:tab/>
        </w:r>
        <w:r w:rsidR="003C3925">
          <w:rPr>
            <w:noProof/>
            <w:webHidden/>
          </w:rPr>
          <w:fldChar w:fldCharType="begin"/>
        </w:r>
        <w:r w:rsidR="0044183D">
          <w:rPr>
            <w:noProof/>
            <w:webHidden/>
          </w:rPr>
          <w:instrText xml:space="preserve"> PAGEREF _Toc57655493 \h </w:instrText>
        </w:r>
        <w:r w:rsidR="003C3925">
          <w:rPr>
            <w:noProof/>
            <w:webHidden/>
          </w:rPr>
        </w:r>
        <w:r w:rsidR="003C3925">
          <w:rPr>
            <w:noProof/>
            <w:webHidden/>
          </w:rPr>
          <w:fldChar w:fldCharType="separate"/>
        </w:r>
        <w:r w:rsidR="0044183D">
          <w:rPr>
            <w:noProof/>
            <w:webHidden/>
          </w:rPr>
          <w:t>227</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94" w:history="1">
        <w:r w:rsidR="0044183D" w:rsidRPr="00331958">
          <w:rPr>
            <w:rStyle w:val="Hyperlink"/>
            <w:noProof/>
            <w:lang w:val="en-US" w:eastAsia="en-US"/>
          </w:rPr>
          <w:t>2</w:t>
        </w:r>
        <w:r w:rsidR="0044183D" w:rsidRPr="00331958">
          <w:rPr>
            <w:rStyle w:val="Hyperlink"/>
            <w:noProof/>
            <w:lang w:val="hy-AM" w:eastAsia="en-US"/>
          </w:rPr>
          <w:t>. ՊԵՏԱԿԱՆ ԲՅՈՒՋԵԻ ՎՐԱ ՄԱԿՐՈՏՆՏԵՍԱԿԱՆ ԿԱՆԽԱՏԵՍՎԱԾ ՑՈՒՑԱՆԻՇՆԵՐԻՑ ՇԵՂՄԱՆ ՌԻՍԿԵՐԻ ԱԶԴԵՑՈՒԹՅԱՆ ՔԱՆԱԿԱԿԱՆ ԳՆԱՀԱՏՈՒՄ</w:t>
        </w:r>
        <w:r w:rsidR="0044183D">
          <w:rPr>
            <w:noProof/>
            <w:webHidden/>
          </w:rPr>
          <w:tab/>
        </w:r>
        <w:r w:rsidR="003C3925">
          <w:rPr>
            <w:noProof/>
            <w:webHidden/>
          </w:rPr>
          <w:fldChar w:fldCharType="begin"/>
        </w:r>
        <w:r w:rsidR="0044183D">
          <w:rPr>
            <w:noProof/>
            <w:webHidden/>
          </w:rPr>
          <w:instrText xml:space="preserve"> PAGEREF _Toc57655494 \h </w:instrText>
        </w:r>
        <w:r w:rsidR="003C3925">
          <w:rPr>
            <w:noProof/>
            <w:webHidden/>
          </w:rPr>
        </w:r>
        <w:r w:rsidR="003C3925">
          <w:rPr>
            <w:noProof/>
            <w:webHidden/>
          </w:rPr>
          <w:fldChar w:fldCharType="separate"/>
        </w:r>
        <w:r w:rsidR="0044183D">
          <w:rPr>
            <w:noProof/>
            <w:webHidden/>
          </w:rPr>
          <w:t>236</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95" w:history="1">
        <w:r w:rsidR="0044183D" w:rsidRPr="00331958">
          <w:rPr>
            <w:rStyle w:val="Hyperlink"/>
            <w:noProof/>
            <w:lang w:val="hy-AM" w:eastAsia="en-US"/>
          </w:rPr>
          <w:t>3. ԱՅԼ ԿԱՌՈՒՅՑՆԵՐԻ ԿՈՂՄԻՑ ՀՀ ՏՆՏԵՍԱԿԱՆ ԱՃԻ ԿԱՆԽԱՏԵՍՈՒՄՆԵՐԻ ՀԵՏ ՀԱՄԵՄԱՏԱԿԱՆ</w:t>
        </w:r>
        <w:r w:rsidR="0044183D">
          <w:rPr>
            <w:noProof/>
            <w:webHidden/>
          </w:rPr>
          <w:tab/>
        </w:r>
        <w:r w:rsidR="003C3925">
          <w:rPr>
            <w:noProof/>
            <w:webHidden/>
          </w:rPr>
          <w:fldChar w:fldCharType="begin"/>
        </w:r>
        <w:r w:rsidR="0044183D">
          <w:rPr>
            <w:noProof/>
            <w:webHidden/>
          </w:rPr>
          <w:instrText xml:space="preserve"> PAGEREF _Toc57655495 \h </w:instrText>
        </w:r>
        <w:r w:rsidR="003C3925">
          <w:rPr>
            <w:noProof/>
            <w:webHidden/>
          </w:rPr>
        </w:r>
        <w:r w:rsidR="003C3925">
          <w:rPr>
            <w:noProof/>
            <w:webHidden/>
          </w:rPr>
          <w:fldChar w:fldCharType="separate"/>
        </w:r>
        <w:r w:rsidR="0044183D">
          <w:rPr>
            <w:noProof/>
            <w:webHidden/>
          </w:rPr>
          <w:t>242</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96" w:history="1">
        <w:r w:rsidR="0044183D" w:rsidRPr="00331958">
          <w:rPr>
            <w:rStyle w:val="Hyperlink"/>
            <w:noProof/>
            <w:lang w:val="hy-AM" w:eastAsia="en-US"/>
          </w:rPr>
          <w:t>4. ԵՆԹԱԿԱՌՈՒՑՎԱԾՔԱՅԻՆ (ԷՆԵՐԳԵՏԻԿԱ, ՏՐԱՆՍՊՈՐՏ ԵՎ ՋՐԱՅԻՆ ՏՆՏԵՍՈՒԹՅՈՒՆ) ՈԼՈՐՏՆԵՐՈՒՄ ԳՈՐԾՈՂ ԿԱԶՄԱԿԵՐՊՈՒԹՅՈՒՆՆԵՐԻ ԳՈՐԾՈՒՆԵՈՒԹՅԱՆՆ ԱՌՆՉՎՈՂ ՀԱՐԿԱԲՅՈՒՋԵՏԱՅԻՆ ՌԻՍԿԵՐԻ ԳՆԱՀԱՏԱԿԱՆԸ</w:t>
        </w:r>
        <w:r w:rsidR="0044183D">
          <w:rPr>
            <w:noProof/>
            <w:webHidden/>
          </w:rPr>
          <w:tab/>
        </w:r>
        <w:r w:rsidR="003C3925">
          <w:rPr>
            <w:noProof/>
            <w:webHidden/>
          </w:rPr>
          <w:fldChar w:fldCharType="begin"/>
        </w:r>
        <w:r w:rsidR="0044183D">
          <w:rPr>
            <w:noProof/>
            <w:webHidden/>
          </w:rPr>
          <w:instrText xml:space="preserve"> PAGEREF _Toc57655496 \h </w:instrText>
        </w:r>
        <w:r w:rsidR="003C3925">
          <w:rPr>
            <w:noProof/>
            <w:webHidden/>
          </w:rPr>
        </w:r>
        <w:r w:rsidR="003C3925">
          <w:rPr>
            <w:noProof/>
            <w:webHidden/>
          </w:rPr>
          <w:fldChar w:fldCharType="separate"/>
        </w:r>
        <w:r w:rsidR="0044183D">
          <w:rPr>
            <w:noProof/>
            <w:webHidden/>
          </w:rPr>
          <w:t>244</w:t>
        </w:r>
        <w:r w:rsidR="003C3925">
          <w:rPr>
            <w:noProof/>
            <w:webHidden/>
          </w:rPr>
          <w:fldChar w:fldCharType="end"/>
        </w:r>
      </w:hyperlink>
    </w:p>
    <w:p w:rsidR="0044183D" w:rsidRDefault="0043500B">
      <w:pPr>
        <w:pStyle w:val="TOC3"/>
        <w:rPr>
          <w:rFonts w:asciiTheme="minorHAnsi" w:eastAsiaTheme="minorEastAsia" w:hAnsiTheme="minorHAnsi" w:cstheme="minorBidi"/>
          <w:b w:val="0"/>
          <w:noProof/>
          <w:szCs w:val="22"/>
          <w:lang w:val="en-US" w:eastAsia="en-US"/>
        </w:rPr>
      </w:pPr>
      <w:hyperlink w:anchor="_Toc57655497" w:history="1">
        <w:r w:rsidR="0044183D" w:rsidRPr="00331958">
          <w:rPr>
            <w:rStyle w:val="Hyperlink"/>
            <w:noProof/>
            <w:lang w:val="hy-AM" w:eastAsia="en-US"/>
          </w:rPr>
          <w:t>5.</w:t>
        </w:r>
        <w:r w:rsidR="0044183D">
          <w:rPr>
            <w:rFonts w:asciiTheme="minorHAnsi" w:eastAsiaTheme="minorEastAsia" w:hAnsiTheme="minorHAnsi" w:cstheme="minorBidi"/>
            <w:b w:val="0"/>
            <w:noProof/>
            <w:szCs w:val="22"/>
            <w:lang w:val="en-US" w:eastAsia="en-US"/>
          </w:rPr>
          <w:tab/>
        </w:r>
        <w:r w:rsidR="0044183D" w:rsidRPr="00331958">
          <w:rPr>
            <w:rStyle w:val="Hyperlink"/>
            <w:noProof/>
            <w:lang w:val="hy-AM" w:eastAsia="en-US"/>
          </w:rPr>
          <w:t>2021 ԹՎԱԿԱՆԻ ՀԱՐԿԱՅԻՆ ԾԱԽՍԵՐԻ ԳՆԱՀԱՏԱԿԱՆԻ ՎԵՐԼՈՒԾՈՒԹՅՈՒՆ</w:t>
        </w:r>
        <w:r w:rsidR="0044183D">
          <w:rPr>
            <w:noProof/>
            <w:webHidden/>
          </w:rPr>
          <w:tab/>
        </w:r>
        <w:r w:rsidR="003C3925">
          <w:rPr>
            <w:noProof/>
            <w:webHidden/>
          </w:rPr>
          <w:fldChar w:fldCharType="begin"/>
        </w:r>
        <w:r w:rsidR="0044183D">
          <w:rPr>
            <w:noProof/>
            <w:webHidden/>
          </w:rPr>
          <w:instrText xml:space="preserve"> PAGEREF _Toc57655497 \h </w:instrText>
        </w:r>
        <w:r w:rsidR="003C3925">
          <w:rPr>
            <w:noProof/>
            <w:webHidden/>
          </w:rPr>
        </w:r>
        <w:r w:rsidR="003C3925">
          <w:rPr>
            <w:noProof/>
            <w:webHidden/>
          </w:rPr>
          <w:fldChar w:fldCharType="separate"/>
        </w:r>
        <w:r w:rsidR="0044183D">
          <w:rPr>
            <w:noProof/>
            <w:webHidden/>
          </w:rPr>
          <w:t>268</w:t>
        </w:r>
        <w:r w:rsidR="003C3925">
          <w:rPr>
            <w:noProof/>
            <w:webHidden/>
          </w:rPr>
          <w:fldChar w:fldCharType="end"/>
        </w:r>
      </w:hyperlink>
    </w:p>
    <w:p w:rsidR="0044183D" w:rsidRDefault="0043500B">
      <w:pPr>
        <w:pStyle w:val="TOC1"/>
        <w:rPr>
          <w:rFonts w:asciiTheme="minorHAnsi" w:eastAsiaTheme="minorEastAsia" w:hAnsiTheme="minorHAnsi" w:cstheme="minorBidi"/>
          <w:b w:val="0"/>
          <w:noProof/>
          <w:szCs w:val="22"/>
          <w:lang w:val="en-US" w:eastAsia="en-US"/>
        </w:rPr>
      </w:pPr>
      <w:hyperlink w:anchor="_Toc57655498" w:history="1">
        <w:r w:rsidR="0044183D" w:rsidRPr="00331958">
          <w:rPr>
            <w:rStyle w:val="Hyperlink"/>
            <w:bCs/>
            <w:noProof/>
            <w:kern w:val="28"/>
          </w:rPr>
          <w:t>ԱՂՅՈՒՍԱԿՆԵՐ</w:t>
        </w:r>
        <w:r w:rsidR="0044183D">
          <w:rPr>
            <w:noProof/>
            <w:webHidden/>
          </w:rPr>
          <w:tab/>
        </w:r>
        <w:r w:rsidR="003C3925">
          <w:rPr>
            <w:noProof/>
            <w:webHidden/>
          </w:rPr>
          <w:fldChar w:fldCharType="begin"/>
        </w:r>
        <w:r w:rsidR="0044183D">
          <w:rPr>
            <w:noProof/>
            <w:webHidden/>
          </w:rPr>
          <w:instrText xml:space="preserve"> PAGEREF _Toc57655498 \h </w:instrText>
        </w:r>
        <w:r w:rsidR="003C3925">
          <w:rPr>
            <w:noProof/>
            <w:webHidden/>
          </w:rPr>
        </w:r>
        <w:r w:rsidR="003C3925">
          <w:rPr>
            <w:noProof/>
            <w:webHidden/>
          </w:rPr>
          <w:fldChar w:fldCharType="separate"/>
        </w:r>
        <w:r w:rsidR="0044183D">
          <w:rPr>
            <w:noProof/>
            <w:webHidden/>
          </w:rPr>
          <w:t>282</w:t>
        </w:r>
        <w:r w:rsidR="003C3925">
          <w:rPr>
            <w:noProof/>
            <w:webHidden/>
          </w:rPr>
          <w:fldChar w:fldCharType="end"/>
        </w:r>
      </w:hyperlink>
    </w:p>
    <w:p w:rsidR="0044183D" w:rsidRDefault="0043500B">
      <w:pPr>
        <w:pStyle w:val="TOC1"/>
        <w:rPr>
          <w:rFonts w:asciiTheme="minorHAnsi" w:eastAsiaTheme="minorEastAsia" w:hAnsiTheme="minorHAnsi" w:cstheme="minorBidi"/>
          <w:b w:val="0"/>
          <w:noProof/>
          <w:szCs w:val="22"/>
          <w:lang w:val="en-US" w:eastAsia="en-US"/>
        </w:rPr>
      </w:pPr>
      <w:hyperlink w:anchor="_Toc57655499" w:history="1">
        <w:r w:rsidR="0044183D" w:rsidRPr="00331958">
          <w:rPr>
            <w:rStyle w:val="Hyperlink"/>
            <w:bCs/>
            <w:noProof/>
            <w:kern w:val="28"/>
          </w:rPr>
          <w:t>ԳԾԱՊԱՏԿԵՐՆԵՐ</w:t>
        </w:r>
        <w:r w:rsidR="0044183D">
          <w:rPr>
            <w:noProof/>
            <w:webHidden/>
          </w:rPr>
          <w:tab/>
        </w:r>
        <w:r w:rsidR="003C3925">
          <w:rPr>
            <w:noProof/>
            <w:webHidden/>
          </w:rPr>
          <w:fldChar w:fldCharType="begin"/>
        </w:r>
        <w:r w:rsidR="0044183D">
          <w:rPr>
            <w:noProof/>
            <w:webHidden/>
          </w:rPr>
          <w:instrText xml:space="preserve"> PAGEREF _Toc57655499 \h </w:instrText>
        </w:r>
        <w:r w:rsidR="003C3925">
          <w:rPr>
            <w:noProof/>
            <w:webHidden/>
          </w:rPr>
        </w:r>
        <w:r w:rsidR="003C3925">
          <w:rPr>
            <w:noProof/>
            <w:webHidden/>
          </w:rPr>
          <w:fldChar w:fldCharType="separate"/>
        </w:r>
        <w:r w:rsidR="0044183D">
          <w:rPr>
            <w:noProof/>
            <w:webHidden/>
          </w:rPr>
          <w:t>284</w:t>
        </w:r>
        <w:r w:rsidR="003C3925">
          <w:rPr>
            <w:noProof/>
            <w:webHidden/>
          </w:rPr>
          <w:fldChar w:fldCharType="end"/>
        </w:r>
      </w:hyperlink>
    </w:p>
    <w:p w:rsidR="00EA08C6" w:rsidRPr="00C65A09" w:rsidRDefault="003C3925" w:rsidP="007730AA">
      <w:pPr>
        <w:pStyle w:val="TOC1"/>
        <w:spacing w:before="0" w:after="0" w:line="276" w:lineRule="auto"/>
        <w:rPr>
          <w:rFonts w:asciiTheme="minorHAnsi" w:eastAsiaTheme="minorEastAsia" w:hAnsiTheme="minorHAnsi" w:cstheme="minorBidi"/>
          <w:b w:val="0"/>
          <w:noProof/>
          <w:szCs w:val="22"/>
          <w:lang w:val="en-US" w:eastAsia="en-US"/>
        </w:rPr>
      </w:pPr>
      <w:r>
        <w:rPr>
          <w:rFonts w:cs="Sylfaen"/>
          <w:szCs w:val="22"/>
        </w:rPr>
        <w:fldChar w:fldCharType="end"/>
      </w:r>
      <w:r w:rsidR="001B485B" w:rsidRPr="00C65A09">
        <w:rPr>
          <w:rFonts w:asciiTheme="minorHAnsi" w:eastAsiaTheme="minorEastAsia" w:hAnsiTheme="minorHAnsi" w:cstheme="minorBidi"/>
          <w:b w:val="0"/>
          <w:noProof/>
          <w:szCs w:val="22"/>
          <w:lang w:val="en-US" w:eastAsia="en-US"/>
        </w:rPr>
        <w:t xml:space="preserve"> </w:t>
      </w:r>
    </w:p>
    <w:p w:rsidR="00AB23B9" w:rsidRPr="00C65A09" w:rsidRDefault="00CE662E" w:rsidP="007730AA">
      <w:pPr>
        <w:spacing w:before="0" w:line="276" w:lineRule="auto"/>
        <w:ind w:firstLine="0"/>
        <w:contextualSpacing w:val="0"/>
        <w:jc w:val="left"/>
        <w:rPr>
          <w:rFonts w:cs="Sylfaen"/>
          <w:b w:val="0"/>
          <w:bCs/>
          <w:kern w:val="28"/>
          <w:szCs w:val="22"/>
          <w:lang w:val="en-US"/>
        </w:rPr>
      </w:pPr>
      <w:r w:rsidRPr="00C65A09">
        <w:rPr>
          <w:rFonts w:cs="Sylfaen"/>
          <w:b w:val="0"/>
          <w:bCs/>
          <w:kern w:val="28"/>
          <w:szCs w:val="22"/>
          <w:lang w:val="en-US"/>
        </w:rPr>
        <w:br w:type="page"/>
      </w:r>
    </w:p>
    <w:p w:rsidR="002E585F" w:rsidRPr="00C65A09" w:rsidRDefault="002E585F" w:rsidP="007730AA">
      <w:pPr>
        <w:spacing w:before="0" w:line="276" w:lineRule="auto"/>
        <w:jc w:val="center"/>
        <w:rPr>
          <w:b w:val="0"/>
          <w:sz w:val="32"/>
          <w:szCs w:val="32"/>
          <w:lang w:val="en-US"/>
        </w:rPr>
      </w:pPr>
      <w:r w:rsidRPr="00EF3B8C">
        <w:rPr>
          <w:sz w:val="32"/>
          <w:szCs w:val="32"/>
        </w:rPr>
        <w:lastRenderedPageBreak/>
        <w:t>ՀԱՅԱՍՏԱՆԻ</w:t>
      </w:r>
      <w:r w:rsidR="00454241" w:rsidRPr="00C65A09">
        <w:rPr>
          <w:sz w:val="32"/>
          <w:szCs w:val="32"/>
          <w:lang w:val="en-US"/>
        </w:rPr>
        <w:t xml:space="preserve"> </w:t>
      </w:r>
      <w:r w:rsidRPr="00EF3B8C">
        <w:rPr>
          <w:sz w:val="32"/>
          <w:szCs w:val="32"/>
        </w:rPr>
        <w:t>ՀԱՆՐԱՊԵՏՈՒԹՅԱՆ</w:t>
      </w:r>
      <w:r w:rsidR="00DD1B33" w:rsidRPr="00C65A09">
        <w:rPr>
          <w:sz w:val="32"/>
          <w:szCs w:val="32"/>
          <w:lang w:val="en-US"/>
        </w:rPr>
        <w:t xml:space="preserve"> </w:t>
      </w:r>
      <w:r w:rsidRPr="00EF3B8C">
        <w:rPr>
          <w:sz w:val="32"/>
          <w:szCs w:val="32"/>
        </w:rPr>
        <w:t>ԿԱՌԱՎԱՐՈՒԹՅԱՆ</w:t>
      </w:r>
      <w:r w:rsidR="00DD1B33" w:rsidRPr="00C65A09">
        <w:rPr>
          <w:sz w:val="32"/>
          <w:szCs w:val="32"/>
          <w:lang w:val="en-US"/>
        </w:rPr>
        <w:t xml:space="preserve"> </w:t>
      </w:r>
      <w:r w:rsidR="00DD1B33" w:rsidRPr="00EF3B8C">
        <w:rPr>
          <w:sz w:val="32"/>
          <w:szCs w:val="32"/>
        </w:rPr>
        <w:t>ԶԵԿՈՒՅՑԸ</w:t>
      </w:r>
    </w:p>
    <w:p w:rsidR="00922CF5" w:rsidRPr="00C65A09" w:rsidRDefault="00922CF5" w:rsidP="007730AA">
      <w:pPr>
        <w:widowControl w:val="0"/>
        <w:tabs>
          <w:tab w:val="left" w:pos="851"/>
          <w:tab w:val="left" w:pos="993"/>
        </w:tabs>
        <w:spacing w:before="0" w:line="276" w:lineRule="auto"/>
        <w:ind w:firstLine="450"/>
        <w:contextualSpacing w:val="0"/>
        <w:rPr>
          <w:b w:val="0"/>
          <w:szCs w:val="22"/>
          <w:lang w:val="en-US"/>
        </w:rPr>
      </w:pPr>
    </w:p>
    <w:p w:rsidR="00922CF5" w:rsidRPr="00C65A09" w:rsidRDefault="00922CF5" w:rsidP="007730AA">
      <w:pPr>
        <w:keepNext/>
        <w:spacing w:before="0" w:line="276" w:lineRule="auto"/>
        <w:ind w:firstLine="450"/>
        <w:contextualSpacing w:val="0"/>
        <w:jc w:val="left"/>
        <w:outlineLvl w:val="2"/>
        <w:rPr>
          <w:szCs w:val="22"/>
          <w:lang w:val="en-US"/>
        </w:rPr>
      </w:pPr>
      <w:bookmarkStart w:id="1" w:name="_Toc57655411"/>
      <w:r w:rsidRPr="00EF3B8C">
        <w:rPr>
          <w:szCs w:val="22"/>
          <w:lang w:val="en-US"/>
        </w:rPr>
        <w:t>ՆԵՐԱԾՈՒԹՅՈՒՆ</w:t>
      </w:r>
      <w:bookmarkEnd w:id="1"/>
    </w:p>
    <w:p w:rsidR="00922CF5" w:rsidRPr="00C65A09" w:rsidRDefault="00922CF5" w:rsidP="007730AA">
      <w:pPr>
        <w:widowControl w:val="0"/>
        <w:tabs>
          <w:tab w:val="left" w:pos="851"/>
          <w:tab w:val="left" w:pos="993"/>
        </w:tabs>
        <w:spacing w:before="0" w:line="276" w:lineRule="auto"/>
        <w:ind w:firstLine="450"/>
        <w:contextualSpacing w:val="0"/>
        <w:rPr>
          <w:b w:val="0"/>
          <w:szCs w:val="22"/>
          <w:lang w:val="en-US"/>
        </w:rPr>
      </w:pPr>
    </w:p>
    <w:p w:rsidR="00155BC3" w:rsidRPr="00847165" w:rsidRDefault="00155BC3" w:rsidP="007730AA">
      <w:pPr>
        <w:pStyle w:val="BodyText2"/>
        <w:ind w:left="0"/>
      </w:pPr>
      <w:r w:rsidRPr="00847165">
        <w:t>202</w:t>
      </w:r>
      <w:r w:rsidRPr="00C65A09">
        <w:rPr>
          <w:lang w:val="en-US"/>
        </w:rPr>
        <w:t>1</w:t>
      </w:r>
      <w:r w:rsidRPr="00847165">
        <w:t xml:space="preserve"> թվականին տնտեսական զարգացման քաղաքականության շրջանակը կառուցվում է ՀՀ կառավարության` 2019 թվականի փետրվարի </w:t>
      </w:r>
      <w:r w:rsidRPr="00C65A09">
        <w:rPr>
          <w:lang w:val="en-US"/>
        </w:rPr>
        <w:t>8</w:t>
      </w:r>
      <w:r w:rsidRPr="00847165">
        <w:t>-ի թիվ 65-Ա որոշմամբ հաստատված ծրագրի առաջնահերթությունն</w:t>
      </w:r>
      <w:r>
        <w:tab/>
      </w:r>
      <w:r w:rsidRPr="00847165">
        <w:t xml:space="preserve">երի շուրջ: </w:t>
      </w:r>
    </w:p>
    <w:p w:rsidR="00155BC3" w:rsidRPr="00847165" w:rsidRDefault="00155BC3" w:rsidP="007730AA">
      <w:pPr>
        <w:pStyle w:val="BodyText2"/>
        <w:ind w:left="0"/>
      </w:pPr>
      <w:r w:rsidRPr="00847165">
        <w:t xml:space="preserve">Կառավարության գործունեության առանցքային նպատակը 2018 թվականի ապրիլ-մայիս ամիսներին Հայաստանում տեղի ունեցած ժողովրդական հեղափոխության արժեքների ամրագրումն է՝ որպես հանրային և ազգային հարաբերությունների հիմք և հեղափոխության գաղափարների իրագործում, որպես մշտական քաղաքական իրողություն: </w:t>
      </w:r>
    </w:p>
    <w:p w:rsidR="00155BC3" w:rsidRPr="00785394" w:rsidRDefault="00155BC3" w:rsidP="007730AA">
      <w:pPr>
        <w:pStyle w:val="BodyText2"/>
        <w:ind w:left="0"/>
      </w:pPr>
      <w:r w:rsidRPr="00847165">
        <w:t>Ակնհայտ է, որ այսպիսի քաղաքական նպատակի իրագործումը հնարավոր է միայն ամուր տնտեսական հենքի առկայության դեպքում՝ որպես նպատակ ունենալով նաև մրցակցային տնտեսության զարգացումը և հանրային միջոցների արդար բաշխումը։ Այս տեսակետից Կառավարության տնտեսական զարգացման քաղաքականությունն էական նշանակություն ունի: Հետևաբար, տնտեսական զարգացման քաղաքականությունը կմշակվի բոլոր շահագրգիռ և կարող ուժերի ներգրավմամբ, ինչպես նաև լավագույնս կօգտագործվեն ժամանակակից աշխարհում կուտակված հսկայածավալ գիտելիքն ու փորձը՝ նպատակ ունենալով լայն հանրային քննարկում</w:t>
      </w:r>
      <w:r w:rsidRPr="00847165">
        <w:softHyphen/>
        <w:t>ների արդյունքում ձևավորել տնտեսական քաղաքակա</w:t>
      </w:r>
      <w:r w:rsidRPr="00847165">
        <w:softHyphen/>
        <w:t xml:space="preserve">նության նոր մոդել: </w:t>
      </w:r>
    </w:p>
    <w:p w:rsidR="00155BC3" w:rsidRPr="00847165" w:rsidRDefault="00155BC3" w:rsidP="007730AA">
      <w:pPr>
        <w:pStyle w:val="BodyText2"/>
        <w:ind w:left="0"/>
      </w:pPr>
      <w:r w:rsidRPr="00847165">
        <w:t>Ակներև է նաև այն, որ որևէ տնտեսական քաղաքականության հաջողության գրավականը հանրային միջոցների այնպիսի բաշխման համակարգի առկայությունն է, որը կերաշխավորի մի կողմից տնտեսության զարգացման և մյուս կողմից՝ պետության անվտանգության ու հասարա</w:t>
      </w:r>
      <w:r w:rsidRPr="00847165">
        <w:softHyphen/>
        <w:t>կության սոցիալական կարիքների հավասարակշռված իրականացման նախադրյալ</w:t>
      </w:r>
      <w:r w:rsidRPr="00847165">
        <w:softHyphen/>
        <w:t>ների ստեղծումը: Այդ կապակցությամբ Կառավարությունը նախատեսում է լայն հանրային քննարկումների ճանա</w:t>
      </w:r>
      <w:r w:rsidRPr="00847165">
        <w:softHyphen/>
        <w:t xml:space="preserve">պարհով ախտորոշել պետության հանրային միջոցների բաշխմանը կոչված հարկային համակարգը, ինչպես նաև բյուջետային ծախսերի միջոցառումները և նախաձեռնել դրանից բխող անհրաժեշտ գործողությունների իրականացումը: </w:t>
      </w:r>
    </w:p>
    <w:p w:rsidR="00155BC3" w:rsidRPr="00847165" w:rsidRDefault="00155BC3" w:rsidP="007730AA">
      <w:pPr>
        <w:pStyle w:val="BodyText2"/>
        <w:ind w:left="0"/>
      </w:pPr>
      <w:r w:rsidRPr="00847165">
        <w:t>Վերոթվարկյալը ժամանակի ընթացքում, հասարակության բոլոր շերտերի պատշաճ ներգրավմամբ, անշուշտ, կտա իր արդյունքները: Սակայն մինչ այդ պետք է նկատի ունենալ, որ հնարավոր չէ հասարակական կյանքի ընթացքը կանգնեցնել, նոր ծրագրերի քննարկում նախաձեռնել և դրանց ընդունումից հետո միայն շարունակել այդ ընթացքը: Պետության արդեն իսկ ստանձնած պարտավորությունների կատարումը և նոր ծրագրերով տնտեսական զարգացման ապահովումը պետք է դիտարկվեն որպես միմյանց լրացնող գործընթացներ:</w:t>
      </w:r>
    </w:p>
    <w:p w:rsidR="00155BC3" w:rsidRPr="00847165" w:rsidRDefault="00155BC3" w:rsidP="007730AA">
      <w:pPr>
        <w:pStyle w:val="BodyText2"/>
        <w:ind w:left="0"/>
      </w:pPr>
      <w:r w:rsidRPr="00847165">
        <w:t>Հաշվի առնելով, որ պետական մարմիններն առաջիկայում ձեռնամուխ են լինելու ծախսերի արդյունավետության մանրազն</w:t>
      </w:r>
      <w:r>
        <w:t>ն</w:t>
      </w:r>
      <w:r w:rsidRPr="00847165">
        <w:t>ին ուսումնասիրմանը և ոլորտային առաջնահեր</w:t>
      </w:r>
      <w:r w:rsidRPr="00847165">
        <w:softHyphen/>
        <w:t>թությունների վերանայմանը՝ հիմնվելով տարբեր ոլորտներում իրականացվող քաղաքակա</w:t>
      </w:r>
      <w:r w:rsidRPr="00847165">
        <w:softHyphen/>
        <w:t xml:space="preserve">նությունների ախտորոշման արդյունքների վրա, ինչն անպայմանորեն իր արտացոլումն է </w:t>
      </w:r>
      <w:r w:rsidRPr="00847165">
        <w:lastRenderedPageBreak/>
        <w:t xml:space="preserve">ստանալու ինչպես ՀՀ 2021 թվականի պետական բյուջեի կատարման ընթացքում, այնպես էլ առաջիկա տարիների պետական բյուջեների նախագծերում։ </w:t>
      </w:r>
    </w:p>
    <w:p w:rsidR="00155BC3" w:rsidRPr="00847165" w:rsidRDefault="00155BC3" w:rsidP="007730AA">
      <w:pPr>
        <w:pStyle w:val="BodyText2"/>
        <w:ind w:left="0"/>
      </w:pPr>
      <w:bookmarkStart w:id="2" w:name="_Toc296702339"/>
      <w:r w:rsidRPr="00847165">
        <w:t>ՀՀ կառավարության գործունեության ծրագրով նախանշված հիմնական ուղենիշը՝ Հայաստանի Հանրապետությունում բարձր տեխնոլոգիական, արդյունաբերական, ինչպես նաև բնապահպանական բարձր չափանիշներին համապատասխանող, արտահանմանը միտված մրցունակ և ներառական տնտեսության կառուցումը, շարունակում է մնալ արդիական։ Այդ ճանապարհին արձանագրվել են հետևյալ հիմնական խնդիրները՝ մարդկային ներուժի զարգացման և հուսալի ենթակառուցվածքների ձևավորման անհրաժեշտությունը, ինչպես նաև պետական կառավարման արդյունավետության բարձրացման ու տնտեսական գործունեությամբ զբաղվելու իրական հնարավորությունների համար նախադրյալների ստեղծումը։ Մշտապես փոփոխվող արտաքին և ներքին մարտահրավերների միջավայրում՝ հենց այս առանցքային խնդիրների լուծմանն են միտված կառավարության լիազորությունների շրջանակում իրականացվող բոլոր միջոցառումները։</w:t>
      </w:r>
    </w:p>
    <w:p w:rsidR="00155BC3" w:rsidRPr="00F229D3" w:rsidRDefault="00155BC3" w:rsidP="007730AA">
      <w:pPr>
        <w:pStyle w:val="BodyText2"/>
        <w:ind w:left="0"/>
      </w:pPr>
      <w:r w:rsidRPr="00847165">
        <w:t xml:space="preserve">Պետական բյուջեի կարևորագույն հատկանիշ է համարվում դրա իրատեսականությունը։ Կարճաժամկետ «արդյունք» ստանալու համար հնարավոր է բոլոր ծրագրերը կամ նույնիսկ դրանց բացակայության դեպքում մտադրությունների հայտարարությունները ներառել ծախսերի ծրագրերում (բյուջետավորել), բայց ակնհայտ է, որ ծախսերի իրականացման համար գնահատված հնարավորությունների իրատեսական չլինելու պարագայում, այդ նույն ծրագրերի շրջանակում վճարումների կատարման փուլում, ձախողումն անխուսափելի կլինի՝ դրամական միջոցների անբավարարությամբ պայմանավորված։ </w:t>
      </w:r>
    </w:p>
    <w:p w:rsidR="00155BC3" w:rsidRPr="00F229D3" w:rsidRDefault="00155BC3" w:rsidP="007730AA">
      <w:pPr>
        <w:pStyle w:val="BodyText2"/>
        <w:ind w:left="0"/>
      </w:pPr>
      <w:r w:rsidRPr="00F229D3">
        <w:t xml:space="preserve">Մյուս կողմից, ակնհայտ է նաև, որ արդարացված չէ այն մոտեցումը, ըստ որի պետք է հնարավորինս ցածր նշաձող թիրախավորվի միջոցառումների իրականացման տեսակետից, որպեսզի նվազագույնի հասցվի </w:t>
      </w:r>
      <w:r>
        <w:t>կատարման</w:t>
      </w:r>
      <w:r w:rsidRPr="00F229D3">
        <w:t xml:space="preserve"> ռիսկը։ Այս մոտեցումը խնդրահարույց է հատկապես հավակնոտ զարգացում ենթադրող նպատակադրումների իմաստով, հետևաբար, ճշմարտությունն այս երկու մոտեցումների հավասարակշռության կետում է։ Այսինքն, նշաձողը պետք է լինի բարձր, բայց իրատեսական, ինչպիսին դրված է 2021-2023 թվականների միջնաժամկետ ծախսերի ծրագրի հիմքում։ </w:t>
      </w:r>
    </w:p>
    <w:p w:rsidR="00155BC3" w:rsidRPr="00F229D3" w:rsidRDefault="00155BC3" w:rsidP="007730AA">
      <w:pPr>
        <w:pStyle w:val="BodyText2"/>
        <w:ind w:left="0"/>
      </w:pPr>
      <w:r w:rsidRPr="00F229D3">
        <w:t xml:space="preserve">Բյուջետային ցուցանիշների պատմական շարքերի ուսումնասիրությունը թույլ է տալիս եզրակացնել, որ բյուջեների ծրագրավորման փուլում հավակնությունները </w:t>
      </w:r>
      <w:r>
        <w:t>հաճախ</w:t>
      </w:r>
      <w:r w:rsidRPr="00F229D3">
        <w:t xml:space="preserve"> գերագնահատվում են, մինչդեռ բյուջեների կատարման գործընթացը՝ բազմագործոն ազդեցություններով պայմանավորված, տեղի է ունենում ՀՀ-ում ձևավորված կարողություններին համահունչ։ Արդյունքում, ստացվում է իրավիճակ, երբ բյուջեի ծրագրավորման փուլում հայտարարված մտադրությունները, որոնք արտահայտում են հարկաբյուջետային և ոլորտային քաղաքականությունները, հնարավոր է նաև՝ բնականոն իրավիճակում պատշաճ կերպով արտացոլվում են բյուջեում, բայց ծրագրավորման որակի և ծրագրավորվածից</w:t>
      </w:r>
      <w:r>
        <w:t>, երբեմն</w:t>
      </w:r>
      <w:r w:rsidRPr="00F229D3">
        <w:t xml:space="preserve"> էականորեն շեղվող բյուջեի կատարման պատճառով հայտարարված քաղաքականությունների նպատակադրումները շարունակում են մնալ չկատարված։ Բնականաբար, վերոնշյալ ձևակերպումը չի ներկայացվում բացարձակ իմաստով, որովհետև այն՝ քաղաքականություններին վերաբերելի է մասնակիորեն և ամենևին չի հերքվում, որ տարեց տարի առկա է բարելավում թե՜ բյուջեի ծրագրավորման և թե՜ կատարման ուղղությամբ կարողությունների կատարելագործման տեսակետից։ Վերջինս սակայն չի նշանակում, որ բյուջետային գործընթացի որակի բարելավման խնդիրն այլևս արդիական չէ, մանավանդ, որ </w:t>
      </w:r>
      <w:r w:rsidRPr="00F229D3">
        <w:lastRenderedPageBreak/>
        <w:t xml:space="preserve">միջազգային փորձի ուսումնասիրությունը թույլ է տալիս ենթադրել, որ այսպիսի խնդրի բախվում են, գործնականում, բոլոր պետությունները և մշտապես։ </w:t>
      </w:r>
    </w:p>
    <w:p w:rsidR="00155BC3" w:rsidRPr="00F229D3" w:rsidRDefault="00155BC3" w:rsidP="007730AA">
      <w:pPr>
        <w:pStyle w:val="BodyText2"/>
        <w:ind w:left="0"/>
      </w:pPr>
      <w:r w:rsidRPr="00F229D3">
        <w:t xml:space="preserve">Ընդունված է բյուջետային գործընթացը գնահատել որպես անխուսափելիորեն տեղի ունենալու ենթակա գործընթաց՝ անկախ կոնկրետ ժամանակահատվածի և տվյալ երկրի առանձնահատկություններից։ </w:t>
      </w:r>
      <w:r>
        <w:t>Ինչը</w:t>
      </w:r>
      <w:r w:rsidRPr="00F229D3">
        <w:t xml:space="preserve"> նշանակում է, որ նույնիսկ համավարակային ներկա իրավիճակում, որը բնորոշվում է որպես անորոշության զգալի աստիճան ունեցող, </w:t>
      </w:r>
      <w:r>
        <w:t>այլընտրանք չունի առկա կանխատեսումների և դրանց ռիսկերի հաշվառմամբ բյուջեի նախագծումը</w:t>
      </w:r>
      <w:r w:rsidRPr="00F229D3">
        <w:t>։</w:t>
      </w:r>
    </w:p>
    <w:p w:rsidR="00155BC3" w:rsidRPr="00A9077A" w:rsidRDefault="00155BC3" w:rsidP="007730AA">
      <w:pPr>
        <w:pStyle w:val="BodyText2"/>
        <w:ind w:left="0"/>
      </w:pPr>
      <w:r>
        <w:t xml:space="preserve">Նկատի ունենալով վերոնկարագրյալը, ՀՀ </w:t>
      </w:r>
      <w:r w:rsidRPr="00847165">
        <w:t xml:space="preserve">2021 թվականի պետական բյուջեն </w:t>
      </w:r>
      <w:r>
        <w:t xml:space="preserve">նախագծվել </w:t>
      </w:r>
      <w:r w:rsidRPr="00847165">
        <w:t>է</w:t>
      </w:r>
      <w:r>
        <w:t xml:space="preserve"> այն տրամաբանությամբ, որ հարկաբյուջետային քաղաքականությունն առավելագույնս համարժեք լինի կանխատեսվող տնտեսական զարգացումներին և նպաստի տնտեսական աճի վերականգնմանը, ինչպես նաև տնտեսական աճի պոտենցիալի մեծացման նախադրյալներ ձևավորի՝ պահպանելով ոլորտային քաղաքականությունների իրականացման համար հատկացումների անհրաժեշտ չափաքանակները։</w:t>
      </w:r>
      <w:bookmarkEnd w:id="2"/>
    </w:p>
    <w:p w:rsidR="00BA2D53" w:rsidRPr="00847165" w:rsidRDefault="00BA2D53" w:rsidP="007730AA">
      <w:pPr>
        <w:pStyle w:val="BodyText2"/>
        <w:ind w:left="0"/>
      </w:pPr>
    </w:p>
    <w:p w:rsidR="00922CF5" w:rsidRPr="00DB1FB2" w:rsidRDefault="00922CF5" w:rsidP="007730AA">
      <w:pPr>
        <w:spacing w:before="0" w:line="276" w:lineRule="auto"/>
        <w:ind w:firstLine="0"/>
        <w:contextualSpacing w:val="0"/>
        <w:jc w:val="left"/>
        <w:rPr>
          <w:sz w:val="28"/>
          <w:szCs w:val="20"/>
          <w:lang w:val="hy-AM"/>
        </w:rPr>
      </w:pPr>
      <w:r w:rsidRPr="00DB1FB2">
        <w:rPr>
          <w:lang w:val="hy-AM"/>
        </w:rPr>
        <w:br w:type="page"/>
      </w:r>
    </w:p>
    <w:p w:rsidR="007A5F0F" w:rsidRPr="004C6A24" w:rsidRDefault="007A5F0F" w:rsidP="007730AA">
      <w:pPr>
        <w:pStyle w:val="Heading1"/>
        <w:spacing w:after="0"/>
        <w:rPr>
          <w:lang w:val="hy-AM"/>
        </w:rPr>
      </w:pPr>
      <w:bookmarkStart w:id="3" w:name="_Toc26174882"/>
      <w:bookmarkStart w:id="4" w:name="_Toc57655412"/>
      <w:r w:rsidRPr="004C6A24">
        <w:rPr>
          <w:lang w:val="hy-AM"/>
        </w:rPr>
        <w:lastRenderedPageBreak/>
        <w:t>ՄԱՍ I–Ա. ՍՈՑԻԱԼ-ՏՆՏԵՍԱԿԱՆ ԶԱՐԳԱՑՄԱՆ ԵՎ ՀԱՐԿԱԲՅՈՒՋԵՏԱՅԻՆ ՔԱՂԱՔԱԿԱՆՈՒԹՅԱՆ ՀԻՄՆԱԿԱՆ ՈՒՂՂՈՒԹՅՈՒՆՆԵՐԻ ՄԱՍԻՆ</w:t>
      </w:r>
      <w:bookmarkEnd w:id="3"/>
      <w:bookmarkEnd w:id="4"/>
    </w:p>
    <w:p w:rsidR="007A5F0F" w:rsidRPr="007B1F29" w:rsidRDefault="007A5F0F" w:rsidP="007730AA">
      <w:pPr>
        <w:keepNext/>
        <w:tabs>
          <w:tab w:val="left" w:pos="567"/>
          <w:tab w:val="left" w:pos="851"/>
          <w:tab w:val="left" w:pos="993"/>
        </w:tabs>
        <w:spacing w:before="0" w:line="276" w:lineRule="auto"/>
        <w:ind w:firstLine="426"/>
        <w:contextualSpacing w:val="0"/>
        <w:jc w:val="center"/>
        <w:outlineLvl w:val="0"/>
        <w:rPr>
          <w:rFonts w:cs="Sylfaen"/>
          <w:szCs w:val="22"/>
          <w:lang w:val="hy-AM"/>
        </w:rPr>
      </w:pPr>
      <w:bookmarkStart w:id="5" w:name="_Toc26174883"/>
      <w:bookmarkStart w:id="6" w:name="_Toc57655413"/>
      <w:r w:rsidRPr="007B1F29">
        <w:rPr>
          <w:rFonts w:cs="Times LatArm"/>
          <w:szCs w:val="22"/>
          <w:lang w:val="hy-AM"/>
        </w:rPr>
        <w:t xml:space="preserve">2021 </w:t>
      </w:r>
      <w:r w:rsidRPr="007B1F29">
        <w:rPr>
          <w:rFonts w:cs="Sylfaen"/>
          <w:szCs w:val="22"/>
          <w:lang w:val="hy-AM"/>
        </w:rPr>
        <w:t>թվականի</w:t>
      </w:r>
      <w:r w:rsidRPr="007B1F29">
        <w:rPr>
          <w:rFonts w:cs="Times LatArm"/>
          <w:szCs w:val="22"/>
          <w:lang w:val="hy-AM"/>
        </w:rPr>
        <w:t xml:space="preserve"> </w:t>
      </w:r>
      <w:r w:rsidRPr="007B1F29">
        <w:rPr>
          <w:rFonts w:cs="Sylfaen"/>
          <w:szCs w:val="22"/>
          <w:lang w:val="hy-AM"/>
        </w:rPr>
        <w:t>սոցիալ</w:t>
      </w:r>
      <w:r w:rsidRPr="007B1F29">
        <w:rPr>
          <w:rFonts w:cs="Times LatArm"/>
          <w:szCs w:val="22"/>
          <w:lang w:val="hy-AM"/>
        </w:rPr>
        <w:t>-</w:t>
      </w:r>
      <w:r w:rsidRPr="007B1F29">
        <w:rPr>
          <w:rFonts w:cs="Sylfaen"/>
          <w:szCs w:val="22"/>
          <w:lang w:val="hy-AM"/>
        </w:rPr>
        <w:t>տնտեսական</w:t>
      </w:r>
      <w:r w:rsidRPr="007B1F29">
        <w:rPr>
          <w:rFonts w:cs="Times LatArm"/>
          <w:szCs w:val="22"/>
          <w:lang w:val="hy-AM"/>
        </w:rPr>
        <w:t xml:space="preserve"> </w:t>
      </w:r>
      <w:r w:rsidRPr="007B1F29">
        <w:rPr>
          <w:rFonts w:cs="Sylfaen"/>
          <w:szCs w:val="22"/>
          <w:lang w:val="hy-AM"/>
        </w:rPr>
        <w:t>զարգացման</w:t>
      </w:r>
      <w:r w:rsidRPr="007B1F29">
        <w:rPr>
          <w:rFonts w:cs="Times LatArm"/>
          <w:szCs w:val="22"/>
          <w:lang w:val="hy-AM"/>
        </w:rPr>
        <w:t xml:space="preserve"> </w:t>
      </w:r>
      <w:r w:rsidRPr="007B1F29">
        <w:rPr>
          <w:rFonts w:cs="Sylfaen"/>
          <w:szCs w:val="22"/>
          <w:lang w:val="hy-AM"/>
        </w:rPr>
        <w:t>և հարկաբյուջետային քաղաքականության հիմնական</w:t>
      </w:r>
      <w:r w:rsidRPr="007B1F29">
        <w:rPr>
          <w:rFonts w:cs="Times LatArm"/>
          <w:szCs w:val="22"/>
          <w:lang w:val="hy-AM"/>
        </w:rPr>
        <w:t xml:space="preserve"> </w:t>
      </w:r>
      <w:r w:rsidRPr="007B1F29">
        <w:rPr>
          <w:rFonts w:cs="Sylfaen"/>
          <w:szCs w:val="22"/>
          <w:lang w:val="hy-AM"/>
        </w:rPr>
        <w:t>ուղղությունները</w:t>
      </w:r>
      <w:bookmarkEnd w:id="5"/>
      <w:bookmarkEnd w:id="6"/>
    </w:p>
    <w:p w:rsidR="007A5F0F" w:rsidRPr="00DF48E4" w:rsidRDefault="007A5F0F" w:rsidP="007730AA">
      <w:pPr>
        <w:widowControl w:val="0"/>
        <w:tabs>
          <w:tab w:val="left" w:pos="567"/>
          <w:tab w:val="left" w:pos="851"/>
          <w:tab w:val="left" w:pos="993"/>
        </w:tabs>
        <w:spacing w:before="0" w:line="276" w:lineRule="auto"/>
        <w:ind w:firstLine="426"/>
        <w:contextualSpacing w:val="0"/>
        <w:rPr>
          <w:b w:val="0"/>
          <w:szCs w:val="22"/>
          <w:highlight w:val="yellow"/>
          <w:lang w:val="hy-AM"/>
        </w:rPr>
      </w:pPr>
    </w:p>
    <w:p w:rsidR="007A5F0F" w:rsidRPr="00382F09" w:rsidRDefault="007A5F0F" w:rsidP="007730AA">
      <w:pPr>
        <w:keepNext/>
        <w:tabs>
          <w:tab w:val="left" w:pos="567"/>
        </w:tabs>
        <w:spacing w:before="0" w:line="276" w:lineRule="auto"/>
        <w:ind w:firstLine="426"/>
        <w:contextualSpacing w:val="0"/>
        <w:outlineLvl w:val="2"/>
        <w:rPr>
          <w:rFonts w:cs="Arial"/>
          <w:szCs w:val="22"/>
          <w:lang w:val="hy-AM" w:eastAsia="en-US"/>
        </w:rPr>
      </w:pPr>
      <w:bookmarkStart w:id="7" w:name="_Toc26174884"/>
      <w:bookmarkStart w:id="8" w:name="_Toc57655414"/>
      <w:r w:rsidRPr="000B58DE">
        <w:rPr>
          <w:rFonts w:cs="Arial"/>
          <w:szCs w:val="22"/>
          <w:lang w:val="hy-AM" w:eastAsia="en-US"/>
        </w:rPr>
        <w:t>Տնտեսական զարգացում</w:t>
      </w:r>
      <w:bookmarkEnd w:id="7"/>
      <w:bookmarkEnd w:id="8"/>
    </w:p>
    <w:p w:rsidR="007A5F0F" w:rsidRDefault="007A5F0F" w:rsidP="007730AA">
      <w:pPr>
        <w:pStyle w:val="BodyText2"/>
        <w:ind w:left="0"/>
      </w:pPr>
      <w:r w:rsidRPr="0035182D">
        <w:t xml:space="preserve">2021 թվականին տնտեսական զարգացման քաղաքականության շրջանակը կառուցվում է ՀՀ կառավարության` 2019 թվականի փետրվարի 8-ի թիվ 65-Ա որոշմամբ հաստատված ծրագրի առաջնահերթությունների շուրջ: Իրականացվելիք միջոցառումների հիմնական նպատակը  լինելու </w:t>
      </w:r>
      <w:r w:rsidRPr="00DE069C">
        <w:t xml:space="preserve">է </w:t>
      </w:r>
      <w:r w:rsidRPr="0035182D">
        <w:t>տնտեսության մրցունակության և արտադրողականության աճ</w:t>
      </w:r>
      <w:r w:rsidRPr="00DE069C">
        <w:t>ը</w:t>
      </w:r>
      <w:r w:rsidRPr="0035182D">
        <w:t>:</w:t>
      </w:r>
    </w:p>
    <w:p w:rsidR="007A5F0F" w:rsidRDefault="007A5F0F" w:rsidP="007730AA">
      <w:pPr>
        <w:pStyle w:val="BodyText2"/>
        <w:ind w:left="0"/>
        <w:rPr>
          <w:rFonts w:cs="Arial"/>
        </w:rPr>
      </w:pPr>
      <w:r w:rsidRPr="0035182D">
        <w:t>Տնտեսական քաղաքականությունը հիմնված է լինելու ռազմավարական փաստաթղթերով նախատեսված գործողությունների իրականացման վրա այնպիսի կարևորագույն ուղղություններով, ինչպիսիք են ձեռներեցության զարգացումը, գործարար և ներդրումային միջավայրի բարելավումը, զբոսաշրջության, արդյունաբերության և գյուղատնտեսության մրցունակության աճը։ Միաժամանակ թիրախավորվելու են նաև հանրային ներդրումների արդյունավետության բարձրացում</w:t>
      </w:r>
      <w:r w:rsidRPr="00DE069C">
        <w:t>ն</w:t>
      </w:r>
      <w:r w:rsidRPr="0035182D">
        <w:t xml:space="preserve"> ու որակի ենթակառուցվածքների բարելավումը։ </w:t>
      </w:r>
    </w:p>
    <w:p w:rsidR="007A5F0F" w:rsidRDefault="007A5F0F" w:rsidP="007730AA">
      <w:pPr>
        <w:pStyle w:val="BodyText2"/>
        <w:ind w:left="0"/>
        <w:rPr>
          <w:rFonts w:cs="Arial"/>
        </w:rPr>
      </w:pPr>
      <w:r w:rsidRPr="0035182D">
        <w:t xml:space="preserve">Տնտեսության մրցունակության բարձրացման տեսանկյունից կառավարության կողմից կարևորվելու է արտադրողականության աճը՝ տեխնոլոգիաների կլանման և կարողությունների զարգացման միջոցով, ՀՀ քաղաքացիների նորարարական ներուժի իրացումը՝ գործարար նախաձեռնողականության խրախուսման միջոցով։ Հատուկ ուշադրության է արժանանալու օտարերկրյա ներդրումների ներգրավումը՝ որպես տնտեսության որակական փոփոխության շարժիչ ուժ:  </w:t>
      </w:r>
    </w:p>
    <w:p w:rsidR="007A5F0F" w:rsidRDefault="007A5F0F" w:rsidP="007730AA">
      <w:pPr>
        <w:pStyle w:val="BodyText2"/>
        <w:ind w:left="0"/>
        <w:rPr>
          <w:rFonts w:cs="Arial"/>
        </w:rPr>
      </w:pPr>
      <w:r w:rsidRPr="0035182D">
        <w:t>Տնտեսական զարգացման քաղաքականությունը խարսխվելու է հինգ հենասյուների վրա, որոնք ուղենշում են կառավարության տնտեսական առաջնահերթությունները։ Այսպես, թիրախավորվում է մրցունակ՝ առավել արտադրողական և տեխնոլոգիատար արդյունաբերության զարգացումը։ Երկրորդ հենասյունը ՀՀ-ում ՓՄՁ ոլորտի ակտիվության բարձրացումն է, որի շնորհիվ հնարավոր կլինի ապահովել ներառական տնտեսական աճ։ Երրորդ հենասյունը գործարար միջավայրի շարունակական բարելավումն է, որը ՀՀ քաղաքացիների ստեղծարար ներուժի իրացման առաջնային նախապայման</w:t>
      </w:r>
      <w:r w:rsidRPr="00DE069C">
        <w:t>ն</w:t>
      </w:r>
      <w:r w:rsidRPr="0035182D">
        <w:t xml:space="preserve"> է։ Չորրորդը զբոսաշրջության զարգացումն է։ Չնայած առկա մարտահրավերներին՝ զբոսաշրջությունը շարունակում է պահպանել իր ե</w:t>
      </w:r>
      <w:r w:rsidR="00D46B1D">
        <w:t>ր</w:t>
      </w:r>
      <w:r w:rsidRPr="0035182D">
        <w:t>կ</w:t>
      </w:r>
      <w:r w:rsidR="00D46B1D">
        <w:t>ա</w:t>
      </w:r>
      <w:r w:rsidRPr="0035182D">
        <w:t>րաժամկետ մրցունակությունը և աճի ներուժը։ Միևնույն ժամանակ, ոլորտի մրցունակության աճը դրական է ազդելու տարածքային համաչափ զարգացման վրա: Հինգերորդ հենասյունը գյուղատնտեսության արդյունավետության բարձրացումն է և գյուղատնտեսական ամբողջ արժեշղթայում ընդգրկված սուբյեկտների՝ գյուղացիական տնտեսությունների, կոոպերատիվների, գյուղատնտեսական մթերքներ վերամշակողների, սպասարկող ենթակառուցվածքների եկամուտների ավելացումը։ Առանձ</w:t>
      </w:r>
      <w:r>
        <w:t>ն</w:t>
      </w:r>
      <w:r w:rsidRPr="0035182D">
        <w:t xml:space="preserve">ահատուկ թիրախ է հանդիսանալու պարենային և սննդամթերքի անվտանգության մակարդակի բարձրացումը։ Այս համատեքստում մեծապես կարևորվում է նաև գյուղատնտեսության ռեսուրսային ներուժի արդյունավետ օգտագործումը, առաջադիմական </w:t>
      </w:r>
      <w:r w:rsidRPr="0035182D">
        <w:lastRenderedPageBreak/>
        <w:t xml:space="preserve">տեխնոլոգիաների ներդրումը և բնակլիմայական ռիսկերի մեղմումը։ Այս ուղղություններով արդեն իսկ մշակված են առանցքային ռազմավարական փաստաթղթեր, որոնք հիմնված են խորքային վերլուծությունների և հետազոտությունների վրա: </w:t>
      </w:r>
    </w:p>
    <w:p w:rsidR="007A5F0F" w:rsidRPr="00AF7E05" w:rsidRDefault="007A5F0F" w:rsidP="007730AA">
      <w:pPr>
        <w:pStyle w:val="BodyText2"/>
        <w:ind w:left="0"/>
        <w:rPr>
          <w:rFonts w:cs="Arial"/>
        </w:rPr>
      </w:pPr>
      <w:r w:rsidRPr="00AF7E05">
        <w:rPr>
          <w:b/>
        </w:rPr>
        <w:t>Արդյունաբերության մրցունակության աճի</w:t>
      </w:r>
      <w:r w:rsidRPr="0035182D">
        <w:t xml:space="preserve"> առաջնային աղբյուր է դիտարկվում   արտադրողականության աճը՝ տեխնոլոգիաների կլանման, կարողությունների բարձրացման, լոգիստիկ խնդիրների մեղմման և</w:t>
      </w:r>
      <w:r>
        <w:t>՛</w:t>
      </w:r>
      <w:r w:rsidRPr="0035182D">
        <w:t xml:space="preserve"> ներքին</w:t>
      </w:r>
      <w:r>
        <w:t>,</w:t>
      </w:r>
      <w:r w:rsidRPr="0035182D">
        <w:t xml:space="preserve"> և</w:t>
      </w:r>
      <w:r>
        <w:t>՛</w:t>
      </w:r>
      <w:r w:rsidRPr="0035182D">
        <w:t xml:space="preserve"> միջազգային թիրախային շուկաների մուտքի</w:t>
      </w:r>
      <w:r>
        <w:t>,</w:t>
      </w:r>
      <w:r w:rsidRPr="0035182D">
        <w:t xml:space="preserve"> և</w:t>
      </w:r>
      <w:r>
        <w:t>՛</w:t>
      </w:r>
      <w:r w:rsidRPr="0035182D">
        <w:t xml:space="preserve"> տեղեկատվության հասանելիության ապահովման միջոցով: Ծրագրված գործողությունները միտված են հնարավորություն ընձեռելու Հայաստանի Հանրապետությունում արտադրվող ապրանքները (ծառայությունները), մտավոր գործունեության արդյունքներ</w:t>
      </w:r>
      <w:r w:rsidRPr="00DE069C">
        <w:t>ն</w:t>
      </w:r>
      <w:r w:rsidRPr="0035182D">
        <w:t xml:space="preserve"> արտահանել օտարերկրյա պետությունների շուկաներ՝ ստեղծելով առավել բարենպաստ պայմաններ արտաքին տնտեսական գործունեություն իրականացնող տնտեսավարող սուբյեկտների համար։</w:t>
      </w:r>
    </w:p>
    <w:p w:rsidR="007A5F0F" w:rsidRDefault="007A5F0F" w:rsidP="007730AA">
      <w:pPr>
        <w:pStyle w:val="BodyText2"/>
        <w:ind w:left="0"/>
        <w:rPr>
          <w:rFonts w:cs="Arial"/>
        </w:rPr>
      </w:pPr>
      <w:r w:rsidRPr="00AF7E05">
        <w:rPr>
          <w:b/>
        </w:rPr>
        <w:t>Գործարար միջավայրի բարելավման</w:t>
      </w:r>
      <w:r w:rsidRPr="00303D44">
        <w:rPr>
          <w:bCs/>
        </w:rPr>
        <w:t xml:space="preserve"> </w:t>
      </w:r>
      <w:r w:rsidRPr="00303D44">
        <w:t>համար</w:t>
      </w:r>
      <w:r w:rsidRPr="0035182D">
        <w:t xml:space="preserve"> մեծապես կարևորվում են պարզ, թափանցիկ, արագ, կանխատեսելի և հնարավորինս քիչ ծախսատար պետական կարգավորումներն ու վարչական ընթացակարգերը, հավասար մրցակցային պայմաններ, տեղեկատվության առավելագույն հասանելիություն և գործարարությանն օժանդակող զարգացած շուկայական ենթակառուցվածքներ ապահովելու քաղաքականությունը: Գործարար միջավայրի բարելավման նպատակով իրականացվող ծրագրերը թիրախավորելու են գործարարությամբ զբաղվելուն խոչընդոտող վարչարարական բնույթի խնդիրների լուծումը՝ նպաստելով գործարար գաղափարների իրագործմանը տնտեսության բոլոր ճյուղերում:  </w:t>
      </w:r>
    </w:p>
    <w:p w:rsidR="007A5F0F" w:rsidRDefault="007A5F0F" w:rsidP="007730AA">
      <w:pPr>
        <w:pStyle w:val="BodyText2"/>
        <w:ind w:left="0"/>
        <w:rPr>
          <w:rFonts w:cs="Arial"/>
        </w:rPr>
      </w:pPr>
      <w:r w:rsidRPr="0035182D">
        <w:t xml:space="preserve">Ակնկալվում է առաջին հերթին թեթևացնել այլ երկրների համեմատությամբ առկա վարչարարական բեռը: Թիրախային գործողությունների իրականացման արդյունքում կբարձրացվի նաև գործարարներին ծառայություններ մատուցող մարմինների գործունեության թափանցիկությունը: Նախատեսված գործողությունները կնպաստեն Հայաստանում ազատ և մրցակցային գործարար միջավայրի կայացմանը և ամրապնդմանը, որը երկիրն ավելի գրավիչ կդարձնի օտարերկրյա ներդրողների համար։ Զուգահեռաբար, շարունակական աշխատանք կտարվի նաև իրականացված բարեփոխումների արդյունքները միջազգայնորեն ընդունված և ճանաչում ունեցող ինդեքսներում արտացոլելու և դրանցում ՀՀ դիրքը բարելավելու ուղղությամբ՝ բարձրացնելով Հայաստանի ճանաչելիությունը: </w:t>
      </w:r>
    </w:p>
    <w:p w:rsidR="007A5F0F" w:rsidRDefault="007A5F0F" w:rsidP="007730AA">
      <w:pPr>
        <w:pStyle w:val="BodyText2"/>
        <w:ind w:left="0"/>
        <w:rPr>
          <w:rFonts w:cs="Arial"/>
        </w:rPr>
      </w:pPr>
      <w:r w:rsidRPr="00AF7E05">
        <w:rPr>
          <w:b/>
        </w:rPr>
        <w:t>Փոքր և միջին ձեռնարկատիրության (ՓՄՁ) զարգացման</w:t>
      </w:r>
      <w:r w:rsidRPr="0035182D">
        <w:t xml:space="preserve"> համար նախատեսված հիմնական աշխատանքները ենթադրում են ՓՄՁ-ի սուբյեկտների ֆինանսական և ներդրումային հնարավորությունների, նորարարությունների և ժամանակակից տեխնոլոգիաների ներդրման հնարավորությունների, գործարար ուսուցողական, տեղեկատվական, տեխնիկական և խորհրդատվական ծառայությունների մատուցման հնարավորությունների, ինչպես նաև ՓՄՁ-ի սուբյեկտների գործունեության շրջանակների ընդլայնում և նրանց մրցունակության բարձրացում։ Նոր ապրանքատեսակների արտադրության և ծառայությունների մատուցման քանակական ու որակական աճը և դրանց արտահանման ծավալների ավելացումը, սկսնակ գործարարներին աջակցության ցուցաբերումը, ՓՄՁ-ի սուբյեկտների թվաքանակի ավելացումն ու դրանց հաշվին նոր աշխատատեղերի ստեղծումը տնտեսական քաղաքականության թիրախներից են։ Վերջինս կնպաստի ցածր տնտեսական ակտիվությամբ առանձնացող տարածաշրջաններում ձեռնարկատիրական գործունեության զարգացմանը, երկրում գործազրկության կրճատմանը, հասարակության միջին խավի ձևավորմանը և աղքատության հաղթահարմանը: Կորոնավիրուսի համավարակի հետևանքները </w:t>
      </w:r>
      <w:r w:rsidRPr="0035182D">
        <w:lastRenderedPageBreak/>
        <w:t xml:space="preserve">մեղմելու նպատակով այս ոլորտում առավել մեծ կարևորություն է տրվելու սնանկության գործընթացի և երկրորդ հնարավորության մեխանիզմների բարելավմանը, ֆինանսների հասանելիության հետ կապված լրացուցիչ բարդությունների հաղթահարմանը, ՓՄՁ-ների՝ խոշոր արժեշղթաներում ներգրավման անհրաժեշտությանը։ Իրականացվող գործողությունների արդյունքում ոչ միայն էապես բարելավվելու է ՓՄՁ-ների արտադրողականությունը և աճելու է զբաղվածների թիվը, այլ նաև փոխանցվող հմտությունների և բարելավված միջավայրի շնորհիվ ձեռներեցությամբ զբաղվելը դառնալու է արտագնա աշխատանքի, կորցրած աշխատատեղերի և եկամուտների վերականգնման այլընտրանք։  </w:t>
      </w:r>
    </w:p>
    <w:p w:rsidR="007A5F0F" w:rsidRDefault="007A5F0F" w:rsidP="007730AA">
      <w:pPr>
        <w:pStyle w:val="BodyText2"/>
        <w:ind w:left="0"/>
        <w:rPr>
          <w:rFonts w:cs="Arial"/>
        </w:rPr>
      </w:pPr>
      <w:r w:rsidRPr="005C6DF1">
        <w:rPr>
          <w:b/>
        </w:rPr>
        <w:t>Զբոսաշրջության ոլորտի զարգացման քաղաքականությունն</w:t>
      </w:r>
      <w:r w:rsidRPr="0035182D">
        <w:t xml:space="preserve"> ուղղված է լինելու Հայաստանի ճանաչելիության և հայկական զբոսաշրջային արդյունքի մրցունակության բարձրացմանը։ Բյուջետային տարվա հիմնական միջոցառումները վերաբերում են ակտիվ մարքեթինգային քաղաքականության իրականացմանը, համայնքային ռեսուրսների հիման վրա զբոսաշրջային արդյունքի բազմազանեցմանը, զբոսաշրջային ենթակառուցվածքների և կարողությունների զարգացման աջակցությանը, միջազգային համագործակցության զարգացմանը, վիճակագրական համակարգի կատարելագործմանը։ Կորոնավիրուսի համավարակի հետևանքները մեղմելու նպատակով հատկապես մեծ ուշադրություն է դարձվելու Հայաստանի զբոսաշրջային գրավչության վերականգնման մարքեթինգային միջոցառումների իրականացմանը։   </w:t>
      </w:r>
    </w:p>
    <w:p w:rsidR="007A5F0F" w:rsidRDefault="007A5F0F" w:rsidP="007730AA">
      <w:pPr>
        <w:pStyle w:val="BodyText2"/>
        <w:ind w:left="0"/>
        <w:rPr>
          <w:rFonts w:cs="Arial"/>
        </w:rPr>
      </w:pPr>
      <w:r w:rsidRPr="005C6DF1">
        <w:rPr>
          <w:b/>
        </w:rPr>
        <w:t>Գյուղատնտեսությունը</w:t>
      </w:r>
      <w:r w:rsidRPr="0035182D">
        <w:t xml:space="preserve"> երկրի տնտեսության առանցքային ոլորտներից մեկն է։ Երկրի գյուղատնտեսական քաղաքականության հիմքում 2019 թվականին ընդունված գյուղատնտեսության ոլորտի տնտեսական զարգացման ռազմավարական փաստաթղթով սահմանված միջոցառումներն են։ Հայաստանի Հանրապետության գյուղատնտեսության ոլորտի տնտեսական զարգացումն ապահովող հիմնական ուղղությունների 2020-2030 թվականների ռազմավարությունը առանձնացնում է յոթ հիմնական գերակայություններ, որոնք վերաբերում են հողային բարեփոխումներին, արտահանման դիվերսիֆիկացմանը, գյուղատնտեսության ոլորտում ավելացված արժեքի բարձրացմանը, տեխնոլոգիական արդիականացմանը, նորորարություններին, մարդկային հմտությունների և ինստիտուցիոնալ կարողությունների զարգացմանը։ </w:t>
      </w:r>
    </w:p>
    <w:p w:rsidR="007A5F0F" w:rsidRDefault="007A5F0F" w:rsidP="007730AA">
      <w:pPr>
        <w:pStyle w:val="BodyText2"/>
        <w:ind w:left="0"/>
        <w:rPr>
          <w:rFonts w:cs="Arial"/>
        </w:rPr>
      </w:pPr>
      <w:r w:rsidRPr="0035182D">
        <w:t xml:space="preserve">Վերոնշյալի իրականացման համար մեծ կարևորություն ունեն ագրոպարենային ոլորտի արդյունավետ բարեփոխումների իրականացումը։ Դրանցով նախատեսվում է պետության և մասնավոր հատվածի միջև համագործակցության արդյունքում մի շարք պետական աջակցության ծրագրերի համատեղ իրականացում, գյուղատնտեսության հիմնական ռեսուրսների, հատկապես՝ հողային ռեսուրսների նպատակային օգտագործման վիճակի բարելավում, տնտեսավարող սուբյեկտների համար գործունեության նպաստավոր պայմանների ստեղծում և մրցունակության բարձրացում, գյուղատնտեսության տնտեսավարման ձևերի զարգացում, հատկապես կոոպերացիայի խթանում, մատչելի մեխանիզմների կիրառմամբ ագրոպարենային ոլորտի տեխնիկական հագեցվածության վիճակի բարելավում, խորհրդատվական համակարգի կատարելագործում, գյուղատնտեսական մթերքների իրացման պայմանների բարելավում, գյուղատնտեսական մթերքների արտադրողների և վերամշակողների փոխհարաբերությունների կատարելագործում, ագրարային արտադրական և սպասարկման գործընթացներում արդիական մեթոդների և տեխնոլոգիաների ներդրման </w:t>
      </w:r>
      <w:r w:rsidRPr="0035182D">
        <w:lastRenderedPageBreak/>
        <w:t>աջակցություն, գյուղատնտեսությունում ապահովագրական համակարգի ամբողջական ներդրման համար նախադրյալների ստեղծում:</w:t>
      </w:r>
    </w:p>
    <w:p w:rsidR="007A5F0F" w:rsidRDefault="007A5F0F" w:rsidP="007730AA">
      <w:pPr>
        <w:pStyle w:val="BodyText2"/>
        <w:ind w:left="0"/>
        <w:rPr>
          <w:rFonts w:cs="Arial"/>
        </w:rPr>
      </w:pPr>
      <w:r w:rsidRPr="0035182D">
        <w:t>Գյուղատնտեսության զարգացման տեսանկյունից ՀՀ-ում միջնաժամկետ ժամանակահատվածում պետական բյուջեով</w:t>
      </w:r>
      <w:r>
        <w:t xml:space="preserve"> նախատեսվող ծախսերը առաջնահերթ </w:t>
      </w:r>
      <w:r w:rsidRPr="0035182D">
        <w:t>նպատակաուղղվ</w:t>
      </w:r>
      <w:r w:rsidRPr="00DE069C">
        <w:t>ած կլինեն</w:t>
      </w:r>
      <w:r w:rsidRPr="0035182D">
        <w:t xml:space="preserve"> գյուղատնտեսության ոլորտում տնտեսվարողներին և գյուղատնտեսական մթերքներ վերամշակող սուբյեկտներին վարկերի տոկոսադրույքների սուբսիդավորման և փոխհատուցման մեխանիզմների կիրառմանը, մատչելի մեխանիզմներով՝ ֆինանսական վարձակալությամբ (լիզինգով) գյուղատնտեսական և ագրոպարենային ոլորտի տեխնիկական միջոցների մատակարարմանը, ժամանակակից տեխնոլոգիայով մշակվող ինտենսիվ այգեգործության խթանմանը, ոռոգման արդիական տեխնոլոգիաների, կարկտապաշտպան ցանցերի, փոքր և միջին ջերմատնային տնտեսությունների, «խելացի» անասնաշենքերի ներդրմանը։ Կթիրախավորվեն նաև խաղողագործության և գինեգործության զարգացումը, անասնաբուծության զարգացումը անասնապահության ոլորտում առաջադիմական տեխնոլոգիաների ներդրումը, գյուղատնտեսությունում ապահովագրական փորձնական ծրագրի իրականացումը, տեղեկատվական և խորհրդատվական ոլորտի ամրապնդումն ու զարգացումը։ Կորոնավիրուսի պայմաններում գյուղատնտեսությամբ զբաղվելը խթանելու նպատակով արդեն իսկ էապես բարելավվել են ոլորտում պետական աջակցության ծրագրերը։ Ըստ անհրաժեշտության՝ ձեռնարկվելու են նաև համապատասխան փոփոխություններ՝ ստեղծված իրավիճակում աջակցության արդյունավետությունը բարձրացնելու նպատակով։ </w:t>
      </w:r>
    </w:p>
    <w:p w:rsidR="007A5F0F" w:rsidRDefault="007A5F0F" w:rsidP="007730AA">
      <w:pPr>
        <w:pStyle w:val="BodyText2"/>
        <w:ind w:left="0"/>
        <w:rPr>
          <w:rFonts w:cs="Arial"/>
        </w:rPr>
      </w:pPr>
      <w:r w:rsidRPr="005C6DF1">
        <w:rPr>
          <w:b/>
        </w:rPr>
        <w:t>Հանրային ներդրումներ.</w:t>
      </w:r>
      <w:r>
        <w:t xml:space="preserve"> </w:t>
      </w:r>
      <w:r w:rsidRPr="0035182D">
        <w:t xml:space="preserve">Կորոնավիրուսի համավարակի հետևանքները մեղմելու նպատակով հատկապես կարևորվելու է հանրային կապիտալ ներդրումների արդյունավետության բարձրացումն ու կատարողականի աճը, որի արդյունքում hանրային ներդրումային միջոցներն օգտագործվելու են առավել արդյունավետ և նպատակային։ Ապահովվելու է հանրային ներդրումային ծրագրերի համապատասխանությունը ՀՀ կառավարության գերակայություններին և ռազմավարական առաջնահերթություններին, ինչն իր հերթին նպաստելու է ծրագրերի իրականացման արդյունավետության աճին։ Հանրային սահմանափակ միջոցների արդյունավետ օգտագործման հիմնախնդրին համակարգային հանգուցալուծում տալու նպատակով վարվող քաղաքականության հիմքում դրվելու են ներդրումային առաջնահերթությունների որոշման համակարգը և ինստիտուցիոնալ կարողությունների շարունակական զարգացումը: </w:t>
      </w:r>
    </w:p>
    <w:p w:rsidR="007A5F0F" w:rsidRDefault="007A5F0F" w:rsidP="007730AA">
      <w:pPr>
        <w:pStyle w:val="BodyText2"/>
        <w:ind w:left="0"/>
        <w:rPr>
          <w:rFonts w:cs="Arial"/>
        </w:rPr>
      </w:pPr>
      <w:r w:rsidRPr="0035182D">
        <w:t>Պետություն-մասնավոր գործընկերության (ՊՄԳ) տեսակետից կարևորվելու է մասնավոր հատվածի մարդկային, ֆինանսական ռեսուրսների, մասնագիտական փորձի և հնարավորությունների ներգրավումը հանրային բարիքի ստեղծման գործընթացում։ Կառավարության նպատակն է լինելու ապահովել ռիսկերի այնպիսի բաշխում մասնավոր և հանրային գործընկերիների միջև, որը հնարավորություն կընձեռի ստեղծել ծրագրերին հատուկ ռիսկերի կառավարման առավել արդյունավետ համակարգ՝ հիմնվելով ռիսկերի լավագույն կառավարչի ընտրության սկզբունքի վրա։</w:t>
      </w:r>
    </w:p>
    <w:p w:rsidR="007A5F0F" w:rsidRDefault="007A5F0F" w:rsidP="007730AA">
      <w:pPr>
        <w:pStyle w:val="BodyText2"/>
        <w:ind w:left="0"/>
        <w:rPr>
          <w:rFonts w:cs="Arial"/>
        </w:rPr>
      </w:pPr>
      <w:r w:rsidRPr="00395CC5">
        <w:rPr>
          <w:b/>
        </w:rPr>
        <w:t>Արտաքին տնտեսական քաղաքականություն.</w:t>
      </w:r>
      <w:r w:rsidRPr="00395CC5">
        <w:t xml:space="preserve"> Եվրամիության հետ համագործակցությունը կշարունակի մնալ Հայաստանի առաջնայնությունների շարքում: Կշարունակվի ՀՀ-ԵՄ Համապարփակ և ընդլայնված</w:t>
      </w:r>
      <w:r w:rsidRPr="0035182D">
        <w:t xml:space="preserve"> գործընկերության hամաձայնագրի</w:t>
      </w:r>
      <w:r w:rsidR="0085621A">
        <w:t>ն</w:t>
      </w:r>
      <w:r w:rsidRPr="0035182D">
        <w:t xml:space="preserve"> և </w:t>
      </w:r>
      <w:r w:rsidRPr="0035182D">
        <w:lastRenderedPageBreak/>
        <w:t>առևտրին առնչվող հարցերի և ոլորտային համագործակցոթյան ուղղություններով ամրագրված դրույթների իրականացումը:</w:t>
      </w:r>
    </w:p>
    <w:p w:rsidR="007A5F0F" w:rsidRPr="00B33528" w:rsidRDefault="007A5F0F" w:rsidP="007730AA">
      <w:pPr>
        <w:pStyle w:val="BodyText2"/>
        <w:ind w:left="0"/>
        <w:rPr>
          <w:rFonts w:cs="Arial"/>
        </w:rPr>
      </w:pPr>
      <w:r w:rsidRPr="0035182D">
        <w:t>Կձեռնարկվեն անհրաժեշտ բոլոր միջոցառումները ԵՄ «Արտոնությունների ընդհանրացված և համալրված համակարգ (GSP+)» արտոնյալ առևտրային ռեժիմի ներքո ներդրված «Գրանցված արտահանողների համակարգ»-ում ընկերությունների շարունակական գրանցումներն իրականացնելու ուղղությամբ: Կապահովվի հայկական կողմի ակտիվ մասնակցությունը ԵՄ Արևելյան գործընկերության շրջանակներում առևտրատնտեսական համագործակցության խորացմանը։ Առևտրի համաշխարհային կազմակերպության հետ համագործակցությունը և ՀՀ ստանձնած պարտավորությունների իրականացումը ևս կշարունակեն թիրախային լինել Հայաստանի համար:</w:t>
      </w:r>
    </w:p>
    <w:p w:rsidR="007A5F0F" w:rsidRDefault="007A5F0F" w:rsidP="007730AA">
      <w:pPr>
        <w:keepNext/>
        <w:tabs>
          <w:tab w:val="left" w:pos="360"/>
        </w:tabs>
        <w:spacing w:before="0" w:line="276" w:lineRule="auto"/>
        <w:ind w:firstLine="426"/>
        <w:contextualSpacing w:val="0"/>
        <w:outlineLvl w:val="2"/>
        <w:rPr>
          <w:rFonts w:cs="Arial"/>
          <w:szCs w:val="22"/>
          <w:lang w:val="hy-AM" w:eastAsia="en-US"/>
        </w:rPr>
      </w:pPr>
      <w:r w:rsidRPr="00255E1C">
        <w:rPr>
          <w:rFonts w:ascii="Arial" w:hAnsi="Arial" w:cs="Arial"/>
          <w:bCs/>
          <w:szCs w:val="22"/>
          <w:lang w:val="hy-AM" w:eastAsia="en-US"/>
        </w:rPr>
        <w:tab/>
      </w:r>
      <w:bookmarkStart w:id="9" w:name="_Toc26174885"/>
      <w:bookmarkStart w:id="10" w:name="_Toc57655415"/>
      <w:r w:rsidRPr="00255E1C">
        <w:rPr>
          <w:rFonts w:cs="Arial"/>
          <w:szCs w:val="22"/>
          <w:lang w:val="hy-AM" w:eastAsia="en-US"/>
        </w:rPr>
        <w:t>Տարածքային կառավարում և տեղական ինքնակառավարում</w:t>
      </w:r>
      <w:bookmarkEnd w:id="9"/>
      <w:bookmarkEnd w:id="10"/>
    </w:p>
    <w:p w:rsidR="007A5F0F" w:rsidRPr="001F061A" w:rsidRDefault="007A5F0F" w:rsidP="007730AA">
      <w:pPr>
        <w:pStyle w:val="BodyText2"/>
        <w:ind w:left="0"/>
        <w:rPr>
          <w:rFonts w:cs="Arial"/>
        </w:rPr>
      </w:pPr>
      <w:r w:rsidRPr="001F061A">
        <w:t xml:space="preserve">Տարածքային զարգացման նպատակով նախատեսվում է` </w:t>
      </w:r>
    </w:p>
    <w:p w:rsidR="007A5F0F" w:rsidRDefault="007A5F0F" w:rsidP="007730AA">
      <w:pPr>
        <w:pStyle w:val="ListParagraph"/>
        <w:numPr>
          <w:ilvl w:val="0"/>
          <w:numId w:val="36"/>
        </w:numPr>
        <w:tabs>
          <w:tab w:val="left" w:pos="540"/>
          <w:tab w:val="left" w:pos="567"/>
        </w:tabs>
        <w:spacing w:before="0" w:line="276" w:lineRule="auto"/>
        <w:ind w:left="0" w:firstLine="426"/>
        <w:contextualSpacing w:val="0"/>
        <w:rPr>
          <w:rFonts w:cs="Sylfaen"/>
          <w:b w:val="0"/>
          <w:bCs/>
          <w:iCs/>
          <w:szCs w:val="22"/>
          <w:lang w:val="hy-AM" w:eastAsia="en-US"/>
        </w:rPr>
      </w:pPr>
      <w:r w:rsidRPr="000825D1">
        <w:rPr>
          <w:rFonts w:cs="Sylfaen"/>
          <w:b w:val="0"/>
          <w:bCs/>
          <w:iCs/>
          <w:szCs w:val="22"/>
          <w:lang w:val="hy-AM" w:eastAsia="en-US"/>
        </w:rPr>
        <w:t>մարզերի տնտեսական զարգացման անհամամասնությունների մեղմում,</w:t>
      </w:r>
    </w:p>
    <w:p w:rsidR="007A5F0F" w:rsidRDefault="007A5F0F" w:rsidP="007730AA">
      <w:pPr>
        <w:pStyle w:val="ListParagraph"/>
        <w:numPr>
          <w:ilvl w:val="0"/>
          <w:numId w:val="36"/>
        </w:numPr>
        <w:tabs>
          <w:tab w:val="left" w:pos="540"/>
          <w:tab w:val="left" w:pos="567"/>
        </w:tabs>
        <w:spacing w:before="0" w:line="276" w:lineRule="auto"/>
        <w:ind w:left="0" w:firstLine="426"/>
        <w:contextualSpacing w:val="0"/>
        <w:rPr>
          <w:rFonts w:cs="Sylfaen"/>
          <w:b w:val="0"/>
          <w:bCs/>
          <w:iCs/>
          <w:szCs w:val="22"/>
          <w:lang w:val="hy-AM" w:eastAsia="en-US"/>
        </w:rPr>
      </w:pPr>
      <w:r w:rsidRPr="00502D78">
        <w:rPr>
          <w:rFonts w:cs="Sylfaen"/>
          <w:b w:val="0"/>
          <w:bCs/>
          <w:iCs/>
          <w:szCs w:val="22"/>
          <w:lang w:val="hy-AM" w:eastAsia="en-US"/>
        </w:rPr>
        <w:t>hանրապետական գործադիր մարմինների կողմից ՀՀ մարզերում իրականացվող ծրագրերի ազդեցության և արդյունավետության գնահատման համակարգի ներդնում,</w:t>
      </w:r>
    </w:p>
    <w:p w:rsidR="007A5F0F" w:rsidRDefault="007A5F0F" w:rsidP="007730AA">
      <w:pPr>
        <w:pStyle w:val="ListParagraph"/>
        <w:numPr>
          <w:ilvl w:val="0"/>
          <w:numId w:val="36"/>
        </w:numPr>
        <w:tabs>
          <w:tab w:val="left" w:pos="540"/>
          <w:tab w:val="left" w:pos="567"/>
        </w:tabs>
        <w:spacing w:before="0" w:line="276" w:lineRule="auto"/>
        <w:ind w:left="0" w:firstLine="426"/>
        <w:contextualSpacing w:val="0"/>
        <w:rPr>
          <w:rFonts w:cs="Sylfaen"/>
          <w:b w:val="0"/>
          <w:bCs/>
          <w:iCs/>
          <w:szCs w:val="22"/>
          <w:lang w:val="hy-AM" w:eastAsia="en-US"/>
        </w:rPr>
      </w:pPr>
      <w:r w:rsidRPr="00502D78">
        <w:rPr>
          <w:rFonts w:cs="Sylfaen"/>
          <w:b w:val="0"/>
          <w:bCs/>
          <w:iCs/>
          <w:szCs w:val="22"/>
          <w:lang w:val="hy-AM" w:eastAsia="en-US"/>
        </w:rPr>
        <w:t>մարզերում հանրային ծառայությունների տեղայնացման աստիճանի և ֆինանսների, ապրանքների ու ծառայությունների հասանելիության աճ, համայնքային ենթակառուցվածքների (ճանապարհներ, ջրամատակարարում) գնահատում, դրանց կարգաբերում ու զարգացում,</w:t>
      </w:r>
    </w:p>
    <w:p w:rsidR="007A5F0F" w:rsidRPr="00FF4508" w:rsidRDefault="007A5F0F" w:rsidP="007730AA">
      <w:pPr>
        <w:pStyle w:val="ListParagraph"/>
        <w:numPr>
          <w:ilvl w:val="0"/>
          <w:numId w:val="36"/>
        </w:numPr>
        <w:tabs>
          <w:tab w:val="left" w:pos="540"/>
          <w:tab w:val="left" w:pos="567"/>
        </w:tabs>
        <w:spacing w:before="0" w:line="276" w:lineRule="auto"/>
        <w:ind w:left="0" w:firstLine="426"/>
        <w:contextualSpacing w:val="0"/>
        <w:rPr>
          <w:rFonts w:cs="Sylfaen"/>
          <w:b w:val="0"/>
          <w:bCs/>
          <w:iCs/>
          <w:szCs w:val="22"/>
          <w:lang w:val="hy-AM" w:eastAsia="en-US"/>
        </w:rPr>
      </w:pPr>
      <w:r w:rsidRPr="00FF4508">
        <w:rPr>
          <w:rFonts w:cs="Sylfaen"/>
          <w:b w:val="0"/>
          <w:bCs/>
          <w:iCs/>
          <w:szCs w:val="22"/>
          <w:lang w:val="hy-AM" w:eastAsia="en-US"/>
        </w:rPr>
        <w:t>ՀՀ պետական բյուջեով տարածքային զարգացման բաղադրիչով նախատեսված միջոցների շրջանակներում ծրագրերի ընտրության մեխանիզմների ներդնում,</w:t>
      </w:r>
    </w:p>
    <w:p w:rsidR="007A5F0F" w:rsidRDefault="007A5F0F" w:rsidP="007730AA">
      <w:pPr>
        <w:pStyle w:val="ListParagraph"/>
        <w:numPr>
          <w:ilvl w:val="0"/>
          <w:numId w:val="36"/>
        </w:numPr>
        <w:tabs>
          <w:tab w:val="left" w:pos="540"/>
          <w:tab w:val="left" w:pos="567"/>
        </w:tabs>
        <w:spacing w:before="0" w:line="276" w:lineRule="auto"/>
        <w:ind w:left="0" w:firstLine="426"/>
        <w:contextualSpacing w:val="0"/>
        <w:rPr>
          <w:rFonts w:cs="Sylfaen"/>
          <w:b w:val="0"/>
          <w:bCs/>
          <w:iCs/>
          <w:szCs w:val="22"/>
          <w:lang w:val="hy-AM" w:eastAsia="en-US"/>
        </w:rPr>
      </w:pPr>
      <w:r w:rsidRPr="00502D78">
        <w:rPr>
          <w:rFonts w:cs="Sylfaen"/>
          <w:b w:val="0"/>
          <w:bCs/>
          <w:iCs/>
          <w:szCs w:val="22"/>
          <w:lang w:val="hy-AM" w:eastAsia="en-US"/>
        </w:rPr>
        <w:t>այնպիսի համակարգի մշակում և ներդրում, որը կապահովի տարածքային համաչափ զարգացումը, այսինքն` պետական բյուջեի և այլ միջոցների հաշվին ցանկացած ներդրում իրականացնելիս հստակ հնարավոր կլինի տեսնել դրա արդյունավետությունը տվյալ համայնքի, համայնքների խմբերի և մարզի համար,</w:t>
      </w:r>
    </w:p>
    <w:p w:rsidR="007A5F0F" w:rsidRDefault="007A5F0F" w:rsidP="007730AA">
      <w:pPr>
        <w:pStyle w:val="ListParagraph"/>
        <w:numPr>
          <w:ilvl w:val="0"/>
          <w:numId w:val="36"/>
        </w:numPr>
        <w:tabs>
          <w:tab w:val="left" w:pos="540"/>
          <w:tab w:val="left" w:pos="567"/>
        </w:tabs>
        <w:spacing w:before="0" w:line="276" w:lineRule="auto"/>
        <w:ind w:left="0" w:firstLine="426"/>
        <w:contextualSpacing w:val="0"/>
        <w:rPr>
          <w:rFonts w:cs="Sylfaen"/>
          <w:b w:val="0"/>
          <w:bCs/>
          <w:iCs/>
          <w:szCs w:val="22"/>
          <w:lang w:val="hy-AM" w:eastAsia="en-US"/>
        </w:rPr>
      </w:pPr>
      <w:r w:rsidRPr="00502D78">
        <w:rPr>
          <w:rFonts w:cs="Sylfaen"/>
          <w:b w:val="0"/>
          <w:bCs/>
          <w:iCs/>
          <w:szCs w:val="22"/>
          <w:lang w:val="hy-AM" w:eastAsia="en-US"/>
        </w:rPr>
        <w:t>տարածքային զարգացման հիմնադրամի կողմից իրականացվող մարզերի զարգացման անհամաչափությունների մեղմանն ուղղված ծրագրերի շրջանակի ընդլայնում,</w:t>
      </w:r>
    </w:p>
    <w:p w:rsidR="007A5F0F" w:rsidRDefault="007A5F0F" w:rsidP="007730AA">
      <w:pPr>
        <w:pStyle w:val="ListParagraph"/>
        <w:numPr>
          <w:ilvl w:val="0"/>
          <w:numId w:val="36"/>
        </w:numPr>
        <w:tabs>
          <w:tab w:val="left" w:pos="540"/>
          <w:tab w:val="left" w:pos="567"/>
        </w:tabs>
        <w:spacing w:before="0" w:line="276" w:lineRule="auto"/>
        <w:ind w:left="0" w:firstLine="426"/>
        <w:contextualSpacing w:val="0"/>
        <w:rPr>
          <w:rFonts w:cs="Sylfaen"/>
          <w:b w:val="0"/>
          <w:bCs/>
          <w:iCs/>
          <w:szCs w:val="22"/>
          <w:lang w:val="hy-AM" w:eastAsia="en-US"/>
        </w:rPr>
      </w:pPr>
      <w:r w:rsidRPr="00502D78">
        <w:rPr>
          <w:rFonts w:cs="Sylfaen"/>
          <w:b w:val="0"/>
          <w:bCs/>
          <w:iCs/>
          <w:szCs w:val="22"/>
          <w:lang w:val="hy-AM" w:eastAsia="en-US"/>
        </w:rPr>
        <w:t>մարզպետարաններում և խոշորացված ու խոշոր համայնքներում ներդրված տնտեսական ծրագրերի պատասխանատուների համակարգի զարգացում, մարզերի (տարածաշրջանների, համայնքների) սոցիալ-տնտեսական զարգացման կոնկրետ հնարավորությունների վերհանում և դրանց իրագործմանն ուղղված համապատասխան ծրագրերի մշակում և իրականացում,</w:t>
      </w:r>
      <w:r w:rsidRPr="00502D78">
        <w:rPr>
          <w:rFonts w:cs="Sylfaen"/>
          <w:b w:val="0"/>
          <w:bCs/>
          <w:iCs/>
          <w:szCs w:val="22"/>
          <w:lang w:val="hy-AM" w:eastAsia="en-US"/>
        </w:rPr>
        <w:tab/>
      </w:r>
    </w:p>
    <w:p w:rsidR="007A5F0F" w:rsidRPr="00502D78" w:rsidRDefault="007A5F0F" w:rsidP="007730AA">
      <w:pPr>
        <w:pStyle w:val="ListParagraph"/>
        <w:numPr>
          <w:ilvl w:val="0"/>
          <w:numId w:val="36"/>
        </w:numPr>
        <w:tabs>
          <w:tab w:val="left" w:pos="540"/>
          <w:tab w:val="left" w:pos="567"/>
        </w:tabs>
        <w:spacing w:before="0" w:line="276" w:lineRule="auto"/>
        <w:ind w:left="0" w:firstLine="426"/>
        <w:contextualSpacing w:val="0"/>
        <w:rPr>
          <w:rFonts w:cs="Sylfaen"/>
          <w:b w:val="0"/>
          <w:bCs/>
          <w:iCs/>
          <w:szCs w:val="22"/>
          <w:lang w:val="hy-AM" w:eastAsia="en-US"/>
        </w:rPr>
      </w:pPr>
      <w:r w:rsidRPr="00502D78">
        <w:rPr>
          <w:rFonts w:cs="Sylfaen"/>
          <w:b w:val="0"/>
          <w:bCs/>
          <w:iCs/>
          <w:szCs w:val="22"/>
          <w:lang w:val="hy-AM" w:eastAsia="en-US"/>
        </w:rPr>
        <w:t>մարզային զարգացման ծրագրերի համապատասխանեցում ՀՀ կառավարության կողմից հավանության արժանացած Հայաստանի Հանրապետության 2016-2025 թվականների տարածքային զարգացման ռազմավարության հետ:</w:t>
      </w:r>
    </w:p>
    <w:p w:rsidR="007A5F0F" w:rsidRPr="00255E1C" w:rsidRDefault="007A5F0F" w:rsidP="007730AA">
      <w:pPr>
        <w:tabs>
          <w:tab w:val="left" w:pos="567"/>
        </w:tabs>
        <w:spacing w:before="0" w:line="276" w:lineRule="auto"/>
        <w:ind w:firstLine="426"/>
        <w:contextualSpacing w:val="0"/>
        <w:rPr>
          <w:rFonts w:cs="Sylfaen"/>
          <w:b w:val="0"/>
          <w:bCs/>
          <w:iCs/>
          <w:szCs w:val="22"/>
          <w:lang w:val="hy-AM" w:eastAsia="en-US"/>
        </w:rPr>
      </w:pPr>
      <w:r w:rsidRPr="0002372B">
        <w:rPr>
          <w:rFonts w:cs="Sylfaen"/>
          <w:iCs/>
          <w:szCs w:val="22"/>
          <w:lang w:val="hy-AM" w:eastAsia="en-US"/>
        </w:rPr>
        <w:t>Տեղական ինքնակառավարման համակարգի, տարածքային, տնտեսական, ֆինասական և քաղաքական դերի բարձրացման նպատակով</w:t>
      </w:r>
      <w:r w:rsidRPr="00255E1C">
        <w:rPr>
          <w:rFonts w:cs="Sylfaen"/>
          <w:b w:val="0"/>
          <w:bCs/>
          <w:iCs/>
          <w:szCs w:val="22"/>
          <w:lang w:val="hy-AM" w:eastAsia="en-US"/>
        </w:rPr>
        <w:t xml:space="preserve"> նախատեսվում է՝</w:t>
      </w:r>
    </w:p>
    <w:p w:rsidR="007A5F0F" w:rsidRPr="008D3262" w:rsidRDefault="007A5F0F" w:rsidP="007730AA">
      <w:pPr>
        <w:pStyle w:val="ListParagraph"/>
        <w:numPr>
          <w:ilvl w:val="0"/>
          <w:numId w:val="37"/>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8D3262">
        <w:rPr>
          <w:rFonts w:cs="Sylfaen"/>
          <w:b w:val="0"/>
          <w:bCs/>
          <w:iCs/>
          <w:szCs w:val="22"/>
          <w:lang w:val="hy-AM" w:eastAsia="en-US"/>
        </w:rPr>
        <w:t xml:space="preserve">տեղական ինքնակառավարման համակարգի զարգացման և իշխանության ապակենտրոնացման քաղաքականության գերակա խնդիրների համաչափ լուծում՝ վարչական (համայնքների խոշորացման գործընթացի ավարտից հետո՝ համայքների ղեկավարներին նոր լիազորությունների փոխանցում) և ֆիսկալ ապակենտրոնացում, տեղական ինքնակառավարման մարմինների հզորացում ու տեղական ժողովրդավարության զարգացում՝ օրենսդրության կատարելագործման և ինստիտուցիոնալ բարեփոխումների ու իրավական նորմերի հետևողական կիրարկման միջոցով, </w:t>
      </w:r>
    </w:p>
    <w:p w:rsidR="007A5F0F" w:rsidRPr="008D3262" w:rsidRDefault="007A5F0F" w:rsidP="007730AA">
      <w:pPr>
        <w:pStyle w:val="ListParagraph"/>
        <w:numPr>
          <w:ilvl w:val="0"/>
          <w:numId w:val="37"/>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lastRenderedPageBreak/>
        <w:t xml:space="preserve">  </w:t>
      </w:r>
      <w:r w:rsidRPr="008D3262">
        <w:rPr>
          <w:rFonts w:cs="Sylfaen"/>
          <w:b w:val="0"/>
          <w:bCs/>
          <w:iCs/>
          <w:szCs w:val="22"/>
          <w:lang w:val="hy-AM" w:eastAsia="en-US"/>
        </w:rPr>
        <w:t>ՏԻՄ-երի գործունեության թափանցիկության և հաշվետվողականության, համայնքում ներքին և արտաքին վերահսկողության ընթացակարգերի հստակեցման զգալի բարձրացում, համայնքի հնգամյա զարգացման ծրագրի կատարման վերաբերյալ համայնքի ղեկավարի հաշվետվությունը կազմելու, ավագանու քննարկմանն ու հաստատմանը ներկայացնելու և հրապարակելու օրենսդրական պարտադիր պահանջի կատարում,</w:t>
      </w:r>
    </w:p>
    <w:p w:rsidR="007A5F0F" w:rsidRPr="008D3262" w:rsidRDefault="007A5F0F" w:rsidP="007730AA">
      <w:pPr>
        <w:pStyle w:val="ListParagraph"/>
        <w:numPr>
          <w:ilvl w:val="0"/>
          <w:numId w:val="37"/>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8D3262">
        <w:rPr>
          <w:rFonts w:cs="Sylfaen"/>
          <w:b w:val="0"/>
          <w:bCs/>
          <w:iCs/>
          <w:szCs w:val="22"/>
          <w:lang w:val="hy-AM" w:eastAsia="en-US"/>
        </w:rPr>
        <w:t xml:space="preserve">տեղական մակարդակում որոշումների կայացմանը և հանրային կառավարմանը քաղաքացիների մասնակցության խթանում, ՏԻՄ-երի գործունեության հրապարակայնության բարձրացման նպատակով համայնքի անդամների և համայնքային քաղաքացիական հասարակության ինստիտուտների իրազեկման, նրանց հետ խորհրդակցությունների և հետադարձ կապի մեխանիզմների ներդրում, ինչպես նաև հանրային վերահսկողության ինստիտուտի ամբողջական կայացում, </w:t>
      </w:r>
    </w:p>
    <w:p w:rsidR="007A5F0F" w:rsidRPr="008D3262" w:rsidRDefault="007A5F0F" w:rsidP="007730AA">
      <w:pPr>
        <w:pStyle w:val="ListParagraph"/>
        <w:numPr>
          <w:ilvl w:val="0"/>
          <w:numId w:val="37"/>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8D3262">
        <w:rPr>
          <w:rFonts w:cs="Sylfaen"/>
          <w:b w:val="0"/>
          <w:bCs/>
          <w:iCs/>
          <w:szCs w:val="22"/>
          <w:lang w:val="hy-AM" w:eastAsia="en-US"/>
        </w:rPr>
        <w:t>համայնքների միավորման ծրագրերի իրականացում,</w:t>
      </w:r>
    </w:p>
    <w:p w:rsidR="007A5F0F" w:rsidRPr="008D3262" w:rsidRDefault="007A5F0F" w:rsidP="007730AA">
      <w:pPr>
        <w:pStyle w:val="ListParagraph"/>
        <w:numPr>
          <w:ilvl w:val="0"/>
          <w:numId w:val="37"/>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8D3262">
        <w:rPr>
          <w:rFonts w:cs="Sylfaen"/>
          <w:b w:val="0"/>
          <w:bCs/>
          <w:iCs/>
          <w:szCs w:val="22"/>
          <w:lang w:val="hy-AM" w:eastAsia="en-US"/>
        </w:rPr>
        <w:t>համայնքների ֆինանսական հնարավորությունների բարձրացում՝ ապահովելով նրանց բյուջեների մուտքերի կայունությունը, այդ թվում՝ տեղական տուրքերի և վճարների հայեցակարգի ընդունում, հայեցակարգի կիրարկման համար անհրաժեշտ իրավական ակտերի մշակում և ընդունում, ինչպես նաև նվազագույն աշխատավարձի շեմի հետևողական բարձրացմամբ պայմանավորված` համայնքներին համապատասխան ֆինանսական օժանդակության տրամադրում,</w:t>
      </w:r>
    </w:p>
    <w:p w:rsidR="007A5F0F" w:rsidRPr="008D3262" w:rsidRDefault="007A5F0F" w:rsidP="007730AA">
      <w:pPr>
        <w:pStyle w:val="ListParagraph"/>
        <w:numPr>
          <w:ilvl w:val="0"/>
          <w:numId w:val="37"/>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8D3262">
        <w:rPr>
          <w:rFonts w:cs="Sylfaen"/>
          <w:b w:val="0"/>
          <w:bCs/>
          <w:iCs/>
          <w:szCs w:val="22"/>
          <w:lang w:val="hy-AM" w:eastAsia="en-US"/>
        </w:rPr>
        <w:t>ՏԻՄ-երի սեփական և պետության կողմից պատվիրակված լիազորությունների և դրանց իրականացման համար անհրաժեշտ ֆինանսական միջոցների համապատասխանության ապահովում,</w:t>
      </w:r>
    </w:p>
    <w:p w:rsidR="007A5F0F" w:rsidRPr="008D3262" w:rsidRDefault="007A5F0F" w:rsidP="007730AA">
      <w:pPr>
        <w:pStyle w:val="ListParagraph"/>
        <w:numPr>
          <w:ilvl w:val="0"/>
          <w:numId w:val="37"/>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8D3262">
        <w:rPr>
          <w:rFonts w:cs="Sylfaen"/>
          <w:b w:val="0"/>
          <w:bCs/>
          <w:iCs/>
          <w:szCs w:val="22"/>
          <w:lang w:val="hy-AM" w:eastAsia="en-US"/>
        </w:rPr>
        <w:t>համայնքների ֆինանսական կառավարման օրինականության, արդյունավետության, թափանցիկության, հրապարակայնության և հաշվետվողականության բարձրացում,</w:t>
      </w:r>
    </w:p>
    <w:p w:rsidR="007A5F0F" w:rsidRPr="008D3262" w:rsidRDefault="007A5F0F" w:rsidP="007730AA">
      <w:pPr>
        <w:pStyle w:val="ListParagraph"/>
        <w:numPr>
          <w:ilvl w:val="0"/>
          <w:numId w:val="37"/>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8D3262">
        <w:rPr>
          <w:rFonts w:cs="Sylfaen"/>
          <w:b w:val="0"/>
          <w:bCs/>
          <w:iCs/>
          <w:szCs w:val="22"/>
          <w:lang w:val="hy-AM" w:eastAsia="en-US"/>
        </w:rPr>
        <w:t>ֆինանսական համահարթեցման բազմագործոն համակարգի կիրարկման նախապատրաստում,</w:t>
      </w:r>
    </w:p>
    <w:p w:rsidR="007A5F0F" w:rsidRPr="008D3262" w:rsidRDefault="007A5F0F" w:rsidP="007730AA">
      <w:pPr>
        <w:pStyle w:val="ListParagraph"/>
        <w:numPr>
          <w:ilvl w:val="0"/>
          <w:numId w:val="37"/>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8D3262">
        <w:rPr>
          <w:rFonts w:cs="Sylfaen"/>
          <w:b w:val="0"/>
          <w:bCs/>
          <w:iCs/>
          <w:szCs w:val="22"/>
          <w:lang w:val="hy-AM" w:eastAsia="en-US"/>
        </w:rPr>
        <w:t>տեղեկատվական տեխնոլոգիաների ներդրման նպատակով ՏԻՄ-երի կարողությունների զարգացում, համայնքներում տեղեկատվական հասարակության ձևավորում և էլեկտրոնային մասնակցության խթանում, համայնքներում ՏՀՏ ներդրման գործում պետական, մասնավոր և միջազգային ռեսուրսների ներգրավում, համայնքներում ՏՀՏ ներդրման օրենսդրական, նորմատիվ և մեթոդական կարգավորում, տեխնիկական ենթակառուցվածքների ապահովում, ՏԻՄ-երում կառավարման տեղեկատվական համակարգերի ներդրում, 3000 և ավելի բնակիչ ունեցող համայնքների համար պարտադիր ինտերնետային պաշտոնական կայքերի ներդրում՝ օրենքով, 10000 և ավելի բնակիչ ունեցող համայնքներում, ավագանու դռնբաց նիստեր</w:t>
      </w:r>
      <w:r w:rsidRPr="0094460E">
        <w:rPr>
          <w:rFonts w:cs="Sylfaen"/>
          <w:b w:val="0"/>
          <w:bCs/>
          <w:iCs/>
          <w:szCs w:val="22"/>
          <w:lang w:val="hy-AM" w:eastAsia="en-US"/>
        </w:rPr>
        <w:t>ի</w:t>
      </w:r>
      <w:r w:rsidRPr="008D3262">
        <w:rPr>
          <w:rFonts w:cs="Sylfaen"/>
          <w:b w:val="0"/>
          <w:bCs/>
          <w:iCs/>
          <w:szCs w:val="22"/>
          <w:lang w:val="hy-AM" w:eastAsia="en-US"/>
        </w:rPr>
        <w:t xml:space="preserve"> պաշտոնական ինտերնետային կայքում առցանց հեռարձակման ապահովում, </w:t>
      </w:r>
    </w:p>
    <w:p w:rsidR="007A5F0F" w:rsidRPr="008D3262" w:rsidRDefault="007A5F0F" w:rsidP="007730AA">
      <w:pPr>
        <w:pStyle w:val="ListParagraph"/>
        <w:numPr>
          <w:ilvl w:val="0"/>
          <w:numId w:val="37"/>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8D3262">
        <w:rPr>
          <w:rFonts w:cs="Sylfaen"/>
          <w:b w:val="0"/>
          <w:bCs/>
          <w:iCs/>
          <w:szCs w:val="22"/>
          <w:lang w:val="hy-AM" w:eastAsia="en-US"/>
        </w:rPr>
        <w:t>տեղական ինքնակառավարման մարմինների լիազորությունների իրականացման նկատմամբ իրավական և մասնագիտական հսկողության արդյունավետության բարձրացում,</w:t>
      </w:r>
    </w:p>
    <w:p w:rsidR="007A5F0F" w:rsidRPr="008D3262" w:rsidRDefault="007A5F0F" w:rsidP="007730AA">
      <w:pPr>
        <w:pStyle w:val="ListParagraph"/>
        <w:numPr>
          <w:ilvl w:val="0"/>
          <w:numId w:val="37"/>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8D3262">
        <w:rPr>
          <w:rFonts w:cs="Sylfaen"/>
          <w:b w:val="0"/>
          <w:bCs/>
          <w:iCs/>
          <w:szCs w:val="22"/>
          <w:lang w:val="hy-AM" w:eastAsia="en-US"/>
        </w:rPr>
        <w:t>համայնքային ծառայողների կարողությունների կատարելագործում,</w:t>
      </w:r>
    </w:p>
    <w:p w:rsidR="007A5F0F" w:rsidRPr="008D3262" w:rsidRDefault="007A5F0F" w:rsidP="007730AA">
      <w:pPr>
        <w:pStyle w:val="ListParagraph"/>
        <w:numPr>
          <w:ilvl w:val="0"/>
          <w:numId w:val="37"/>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8D3262">
        <w:rPr>
          <w:rFonts w:cs="Sylfaen"/>
          <w:b w:val="0"/>
          <w:bCs/>
          <w:iCs/>
          <w:szCs w:val="22"/>
          <w:lang w:val="hy-AM" w:eastAsia="en-US"/>
        </w:rPr>
        <w:t>համայնքների միավորման արդյունքում համայնքային ծառայության ոլորտում առաջացած նոր հմտությունների գույքագրում և մասնագիտական ունակությունների զարգացում,</w:t>
      </w:r>
    </w:p>
    <w:p w:rsidR="007A5F0F" w:rsidRPr="008D3262" w:rsidRDefault="007A5F0F" w:rsidP="007730AA">
      <w:pPr>
        <w:pStyle w:val="ListParagraph"/>
        <w:numPr>
          <w:ilvl w:val="0"/>
          <w:numId w:val="37"/>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8D3262">
        <w:rPr>
          <w:rFonts w:cs="Sylfaen"/>
          <w:b w:val="0"/>
          <w:bCs/>
          <w:iCs/>
          <w:szCs w:val="22"/>
          <w:lang w:val="hy-AM" w:eastAsia="en-US"/>
        </w:rPr>
        <w:t>համայնքային ծառայողների վերապատրաստման նկատմամբ վերահսկողության, զբաղեցված պաշտոնին համապատասխանության ստուգման մեխանիզմի ներդրում:</w:t>
      </w:r>
    </w:p>
    <w:p w:rsidR="007A5F0F" w:rsidRDefault="007A5F0F" w:rsidP="007730AA">
      <w:pPr>
        <w:tabs>
          <w:tab w:val="left" w:pos="567"/>
        </w:tabs>
        <w:spacing w:before="0" w:line="276" w:lineRule="auto"/>
        <w:ind w:firstLine="426"/>
        <w:contextualSpacing w:val="0"/>
        <w:rPr>
          <w:rFonts w:cs="Sylfaen"/>
          <w:b w:val="0"/>
          <w:bCs/>
          <w:iCs/>
          <w:szCs w:val="22"/>
          <w:lang w:val="hy-AM" w:eastAsia="en-US"/>
        </w:rPr>
      </w:pPr>
      <w:r w:rsidRPr="00B76D67">
        <w:rPr>
          <w:rFonts w:cs="Sylfaen"/>
          <w:iCs/>
          <w:szCs w:val="22"/>
          <w:lang w:val="hy-AM" w:eastAsia="en-US"/>
        </w:rPr>
        <w:lastRenderedPageBreak/>
        <w:t>Դպրոցների սեյսմիկ անվտանգության բարելավում ծրագիր:</w:t>
      </w:r>
      <w:r w:rsidRPr="00255E1C">
        <w:rPr>
          <w:rFonts w:cs="Sylfaen"/>
          <w:b w:val="0"/>
          <w:bCs/>
          <w:iCs/>
          <w:szCs w:val="22"/>
          <w:lang w:val="hy-AM" w:eastAsia="en-US"/>
        </w:rPr>
        <w:t xml:space="preserve"> Առավելագույն սեյսմիկ խոցելիություն ունեցող 46 դպրոցների ցանկը հաստատվել է ՀՀ կառավարության</w:t>
      </w:r>
      <w:r>
        <w:rPr>
          <w:rFonts w:cs="Sylfaen"/>
          <w:b w:val="0"/>
          <w:bCs/>
          <w:iCs/>
          <w:szCs w:val="22"/>
          <w:lang w:val="hy-AM" w:eastAsia="en-US"/>
        </w:rPr>
        <w:t xml:space="preserve"> 2017 թվականի հուլիսի 13-ի</w:t>
      </w:r>
      <w:r w:rsidRPr="00255E1C">
        <w:rPr>
          <w:rFonts w:cs="Sylfaen"/>
          <w:b w:val="0"/>
          <w:bCs/>
          <w:iCs/>
          <w:szCs w:val="22"/>
          <w:lang w:val="hy-AM" w:eastAsia="en-US"/>
        </w:rPr>
        <w:t xml:space="preserve"> </w:t>
      </w:r>
      <w:r>
        <w:rPr>
          <w:rFonts w:cs="Sylfaen"/>
          <w:b w:val="0"/>
          <w:bCs/>
          <w:iCs/>
          <w:szCs w:val="22"/>
          <w:lang w:val="hy-AM" w:eastAsia="en-US"/>
        </w:rPr>
        <w:t xml:space="preserve">թիվ </w:t>
      </w:r>
      <w:r w:rsidRPr="00255E1C">
        <w:rPr>
          <w:rFonts w:cs="Sylfaen"/>
          <w:b w:val="0"/>
          <w:bCs/>
          <w:iCs/>
          <w:szCs w:val="22"/>
          <w:lang w:val="hy-AM" w:eastAsia="en-US"/>
        </w:rPr>
        <w:t xml:space="preserve">805-Ն և </w:t>
      </w:r>
      <w:r>
        <w:rPr>
          <w:rFonts w:cs="Sylfaen"/>
          <w:b w:val="0"/>
          <w:bCs/>
          <w:iCs/>
          <w:szCs w:val="22"/>
          <w:lang w:val="hy-AM" w:eastAsia="en-US"/>
        </w:rPr>
        <w:t xml:space="preserve">2018 թվականի դեկտեմբերի 13-ի թիվ </w:t>
      </w:r>
      <w:r w:rsidRPr="00255E1C">
        <w:rPr>
          <w:rFonts w:cs="Sylfaen"/>
          <w:b w:val="0"/>
          <w:bCs/>
          <w:iCs/>
          <w:szCs w:val="22"/>
          <w:lang w:val="hy-AM" w:eastAsia="en-US"/>
        </w:rPr>
        <w:t>1438-Ն որոշումներով։ 2020 թվականին արդեն իսկ ավարտվել են թվով 5 դպրոցների շինարարական աշխատանքները: Միաժամանակ շինարարություն է ընթանում թվով 6 դպրոցներում, թվով 2 դպրոցների համար հայտարար</w:t>
      </w:r>
      <w:r>
        <w:rPr>
          <w:rFonts w:cs="Sylfaen"/>
          <w:b w:val="0"/>
          <w:bCs/>
          <w:iCs/>
          <w:szCs w:val="22"/>
          <w:lang w:val="hy-AM" w:eastAsia="en-US"/>
        </w:rPr>
        <w:t>ված են շինարարության մրցույթներ</w:t>
      </w:r>
      <w:r w:rsidRPr="00255E1C">
        <w:rPr>
          <w:rFonts w:cs="Sylfaen"/>
          <w:b w:val="0"/>
          <w:bCs/>
          <w:iCs/>
          <w:szCs w:val="22"/>
          <w:lang w:val="hy-AM" w:eastAsia="en-US"/>
        </w:rPr>
        <w:t>, 15 դպրոցների համար ընթանում են նախագծային աշխատանքներ, իսկ թվով 7 դպրոցներում՝ տեղական ու միջազգային փորձաքննության աշխատանքներ։ 2021 թվականին նախատեսվում է սկսել շուրջ 11 դպրոցների շինարարական աշխատանքներ:</w:t>
      </w:r>
    </w:p>
    <w:p w:rsidR="007A5F0F" w:rsidRPr="00255E1C" w:rsidRDefault="007A5F0F" w:rsidP="007730AA">
      <w:pPr>
        <w:tabs>
          <w:tab w:val="left" w:pos="567"/>
        </w:tabs>
        <w:spacing w:before="0" w:line="276" w:lineRule="auto"/>
        <w:ind w:firstLine="426"/>
        <w:contextualSpacing w:val="0"/>
        <w:rPr>
          <w:rFonts w:cs="Sylfaen"/>
          <w:b w:val="0"/>
          <w:bCs/>
          <w:iCs/>
          <w:szCs w:val="22"/>
          <w:lang w:val="hy-AM" w:eastAsia="en-US"/>
        </w:rPr>
      </w:pPr>
      <w:r w:rsidRPr="00F55790">
        <w:rPr>
          <w:rFonts w:cs="Sylfaen"/>
          <w:iCs/>
          <w:szCs w:val="22"/>
          <w:lang w:val="hy-AM" w:eastAsia="en-US"/>
        </w:rPr>
        <w:t>Կոշտ կենցաղային թափոնների կառավարման (ԿԿԹԿ) ծրագրի</w:t>
      </w:r>
      <w:r w:rsidRPr="00255E1C">
        <w:rPr>
          <w:rFonts w:cs="Sylfaen"/>
          <w:b w:val="0"/>
          <w:bCs/>
          <w:iCs/>
          <w:szCs w:val="22"/>
          <w:lang w:val="hy-AM" w:eastAsia="en-US"/>
        </w:rPr>
        <w:t xml:space="preserve"> շրջանակներում նախատեսվում է՝ </w:t>
      </w:r>
    </w:p>
    <w:p w:rsidR="007A5F0F" w:rsidRPr="00F55790" w:rsidRDefault="007A5F0F" w:rsidP="007730AA">
      <w:pPr>
        <w:pStyle w:val="ListParagraph"/>
        <w:numPr>
          <w:ilvl w:val="0"/>
          <w:numId w:val="40"/>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F55790">
        <w:rPr>
          <w:rFonts w:cs="Sylfaen"/>
          <w:b w:val="0"/>
          <w:bCs/>
          <w:iCs/>
          <w:szCs w:val="22"/>
          <w:lang w:val="hy-AM" w:eastAsia="en-US"/>
        </w:rPr>
        <w:t xml:space="preserve">ՀՀ Կոտայք և Գեղարքունիք մարզերում </w:t>
      </w:r>
      <w:r w:rsidR="00294FB3">
        <w:rPr>
          <w:rFonts w:cs="Sylfaen"/>
          <w:b w:val="0"/>
          <w:bCs/>
          <w:iCs/>
          <w:szCs w:val="22"/>
          <w:lang w:val="hy-AM" w:eastAsia="en-US"/>
        </w:rPr>
        <w:t xml:space="preserve">2020 թվականին մեկնարկած </w:t>
      </w:r>
      <w:r w:rsidRPr="00F55790">
        <w:rPr>
          <w:rFonts w:cs="Sylfaen"/>
          <w:b w:val="0"/>
          <w:bCs/>
          <w:iCs/>
          <w:szCs w:val="22"/>
          <w:lang w:val="hy-AM" w:eastAsia="en-US"/>
        </w:rPr>
        <w:t xml:space="preserve">ԿԿԹԿ ծրագրով կառուցապատման աշխատանքները շարունակել 2021-2022 թվականներին, </w:t>
      </w:r>
    </w:p>
    <w:p w:rsidR="007A5F0F" w:rsidRDefault="007A5F0F" w:rsidP="007730AA">
      <w:pPr>
        <w:pStyle w:val="ListParagraph"/>
        <w:numPr>
          <w:ilvl w:val="0"/>
          <w:numId w:val="38"/>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F55790">
        <w:rPr>
          <w:rFonts w:cs="Sylfaen"/>
          <w:b w:val="0"/>
          <w:bCs/>
          <w:iCs/>
          <w:szCs w:val="22"/>
          <w:lang w:val="hy-AM" w:eastAsia="en-US"/>
        </w:rPr>
        <w:t>միջոցներ ձեռնարկել հանրապետությունում աղբահանության համակարգի բարելավման և աղբի վերամշ</w:t>
      </w:r>
      <w:r w:rsidR="00294FB3">
        <w:rPr>
          <w:rFonts w:cs="Sylfaen"/>
          <w:b w:val="0"/>
          <w:bCs/>
          <w:iCs/>
          <w:szCs w:val="22"/>
          <w:lang w:val="hy-AM" w:eastAsia="en-US"/>
        </w:rPr>
        <w:t>ա</w:t>
      </w:r>
      <w:r w:rsidRPr="00F55790">
        <w:rPr>
          <w:rFonts w:cs="Sylfaen"/>
          <w:b w:val="0"/>
          <w:bCs/>
          <w:iCs/>
          <w:szCs w:val="22"/>
          <w:lang w:val="hy-AM" w:eastAsia="en-US"/>
        </w:rPr>
        <w:t xml:space="preserve">կման համակարգի ներդրման ուղղությամբ, </w:t>
      </w:r>
    </w:p>
    <w:p w:rsidR="007A5F0F" w:rsidRPr="00212F60" w:rsidRDefault="007A5F0F" w:rsidP="007730AA">
      <w:pPr>
        <w:pStyle w:val="ListParagraph"/>
        <w:numPr>
          <w:ilvl w:val="0"/>
          <w:numId w:val="38"/>
        </w:numPr>
        <w:tabs>
          <w:tab w:val="left" w:pos="567"/>
        </w:tabs>
        <w:spacing w:before="0" w:line="276" w:lineRule="auto"/>
        <w:ind w:left="0" w:firstLine="426"/>
        <w:contextualSpacing w:val="0"/>
        <w:rPr>
          <w:rFonts w:cs="Sylfaen"/>
          <w:b w:val="0"/>
          <w:bCs/>
          <w:iCs/>
          <w:szCs w:val="22"/>
          <w:lang w:val="hy-AM" w:eastAsia="en-US"/>
        </w:rPr>
      </w:pPr>
      <w:r>
        <w:rPr>
          <w:rFonts w:cs="Sylfaen"/>
          <w:b w:val="0"/>
          <w:bCs/>
          <w:iCs/>
          <w:szCs w:val="22"/>
          <w:lang w:val="hy-AM" w:eastAsia="en-US"/>
        </w:rPr>
        <w:t xml:space="preserve">  </w:t>
      </w:r>
      <w:r w:rsidRPr="00212F60">
        <w:rPr>
          <w:rFonts w:cs="Sylfaen"/>
          <w:b w:val="0"/>
          <w:bCs/>
          <w:iCs/>
          <w:szCs w:val="22"/>
          <w:lang w:val="hy-AM" w:eastAsia="en-US"/>
        </w:rPr>
        <w:t>ՀՀ տարածքում փակման ենթակա աղբավայրերի փակում և շահագործվող աղբավայրերի բարեկարգում:</w:t>
      </w:r>
    </w:p>
    <w:p w:rsidR="007A5F0F" w:rsidRDefault="007A5F0F" w:rsidP="007730AA">
      <w:pPr>
        <w:tabs>
          <w:tab w:val="left" w:pos="567"/>
        </w:tabs>
        <w:spacing w:before="0" w:line="276" w:lineRule="auto"/>
        <w:ind w:firstLine="426"/>
        <w:contextualSpacing w:val="0"/>
        <w:rPr>
          <w:rFonts w:cs="Sylfaen"/>
          <w:i/>
          <w:szCs w:val="22"/>
          <w:lang w:val="hy-AM" w:eastAsia="en-US"/>
        </w:rPr>
      </w:pPr>
      <w:r w:rsidRPr="00221789">
        <w:rPr>
          <w:rFonts w:cs="Sylfaen"/>
          <w:i/>
          <w:szCs w:val="22"/>
          <w:lang w:val="hy-AM" w:eastAsia="en-US"/>
        </w:rPr>
        <w:t>ՀՀ-ում միգրացիոն ոլորտի զարգացման նպատակով</w:t>
      </w:r>
      <w:r w:rsidRPr="0094460E">
        <w:rPr>
          <w:rFonts w:cs="Sylfaen"/>
          <w:i/>
          <w:szCs w:val="22"/>
          <w:lang w:val="hy-AM" w:eastAsia="en-US"/>
        </w:rPr>
        <w:t xml:space="preserve"> նախատեսվում է</w:t>
      </w:r>
      <w:r w:rsidRPr="00221789">
        <w:rPr>
          <w:rFonts w:cs="Sylfaen"/>
          <w:i/>
          <w:szCs w:val="22"/>
          <w:lang w:val="hy-AM" w:eastAsia="en-US"/>
        </w:rPr>
        <w:t xml:space="preserve">՝ </w:t>
      </w:r>
    </w:p>
    <w:p w:rsidR="007A5F0F" w:rsidRPr="0094460E" w:rsidRDefault="007A5F0F" w:rsidP="007730AA">
      <w:pPr>
        <w:pStyle w:val="ListParagraph"/>
        <w:numPr>
          <w:ilvl w:val="0"/>
          <w:numId w:val="31"/>
        </w:numPr>
        <w:tabs>
          <w:tab w:val="left" w:pos="567"/>
        </w:tabs>
        <w:spacing w:before="0" w:line="276" w:lineRule="auto"/>
        <w:ind w:left="0" w:firstLine="426"/>
        <w:contextualSpacing w:val="0"/>
        <w:rPr>
          <w:rFonts w:ascii="Cambria Math" w:hAnsi="Cambria Math" w:cs="Sylfaen"/>
          <w:i/>
          <w:szCs w:val="22"/>
          <w:lang w:val="hy-AM" w:eastAsia="en-US"/>
        </w:rPr>
      </w:pPr>
      <w:r w:rsidRPr="0094460E">
        <w:rPr>
          <w:rFonts w:cs="Sylfaen"/>
          <w:b w:val="0"/>
          <w:szCs w:val="22"/>
          <w:lang w:val="hy-AM" w:eastAsia="en-US"/>
        </w:rPr>
        <w:t xml:space="preserve"> Հայաստանի Հանրապետությունում միգրացիոն քաղաքականության ռազմավարության 2017-2021 թվականների գործողությունների  ծրագրով  2021 թվականի  համար  նախատեսված  միջոցառումների իրականացում, «Փախստականների  և  ապաստանի  մասին»  ՀՀ  օրենքում փոփոխություններ  և լրացումներ  կատարելու մասին» ՀՀ  օրենքի նախագծի մշակում,</w:t>
      </w:r>
    </w:p>
    <w:p w:rsidR="007A5F0F" w:rsidRDefault="007A5F0F" w:rsidP="007730AA">
      <w:pPr>
        <w:pStyle w:val="ListParagraph"/>
        <w:numPr>
          <w:ilvl w:val="0"/>
          <w:numId w:val="31"/>
        </w:numPr>
        <w:tabs>
          <w:tab w:val="left" w:pos="567"/>
        </w:tabs>
        <w:spacing w:before="0" w:line="276" w:lineRule="auto"/>
        <w:ind w:left="0" w:firstLine="426"/>
        <w:contextualSpacing w:val="0"/>
        <w:rPr>
          <w:rFonts w:cs="Sylfaen"/>
          <w:b w:val="0"/>
          <w:szCs w:val="22"/>
          <w:lang w:val="hy-AM" w:eastAsia="en-US"/>
        </w:rPr>
      </w:pPr>
      <w:r>
        <w:rPr>
          <w:rFonts w:cs="Sylfaen"/>
          <w:b w:val="0"/>
          <w:szCs w:val="22"/>
          <w:lang w:val="hy-AM" w:eastAsia="en-US"/>
        </w:rPr>
        <w:t xml:space="preserve"> </w:t>
      </w:r>
      <w:r w:rsidRPr="00C7241B">
        <w:rPr>
          <w:rFonts w:cs="Sylfaen"/>
          <w:b w:val="0"/>
          <w:szCs w:val="22"/>
          <w:lang w:val="hy-AM" w:eastAsia="en-US"/>
        </w:rPr>
        <w:t>1988-1992 թ</w:t>
      </w:r>
      <w:r>
        <w:rPr>
          <w:rFonts w:cs="Sylfaen"/>
          <w:b w:val="0"/>
          <w:szCs w:val="22"/>
          <w:lang w:val="hy-AM" w:eastAsia="en-US"/>
        </w:rPr>
        <w:t xml:space="preserve">վականներին </w:t>
      </w:r>
      <w:r w:rsidRPr="00C7241B">
        <w:rPr>
          <w:rFonts w:cs="Sylfaen"/>
          <w:b w:val="0"/>
          <w:szCs w:val="22"/>
          <w:lang w:val="hy-AM" w:eastAsia="en-US"/>
        </w:rPr>
        <w:t>Ադրբեջանից բռնի տեղահանված անձանց բնակարանների գնման վկայագրերի տրամադրման միջոցով բնակարանային ապահովման ծրագրի  իրականացում,</w:t>
      </w:r>
    </w:p>
    <w:p w:rsidR="007A5F0F" w:rsidRDefault="007A5F0F" w:rsidP="007730AA">
      <w:pPr>
        <w:pStyle w:val="ListParagraph"/>
        <w:numPr>
          <w:ilvl w:val="0"/>
          <w:numId w:val="31"/>
        </w:numPr>
        <w:tabs>
          <w:tab w:val="left" w:pos="567"/>
        </w:tabs>
        <w:spacing w:before="0" w:line="276" w:lineRule="auto"/>
        <w:ind w:left="0" w:firstLine="426"/>
        <w:contextualSpacing w:val="0"/>
        <w:rPr>
          <w:rFonts w:cs="Sylfaen"/>
          <w:b w:val="0"/>
          <w:szCs w:val="22"/>
          <w:lang w:val="hy-AM" w:eastAsia="en-US"/>
        </w:rPr>
      </w:pPr>
      <w:r>
        <w:rPr>
          <w:rFonts w:cs="Sylfaen"/>
          <w:b w:val="0"/>
          <w:szCs w:val="22"/>
          <w:lang w:val="hy-AM" w:eastAsia="en-US"/>
        </w:rPr>
        <w:t xml:space="preserve">  </w:t>
      </w:r>
      <w:r w:rsidRPr="00C7241B">
        <w:rPr>
          <w:rFonts w:cs="Sylfaen"/>
          <w:b w:val="0"/>
          <w:szCs w:val="22"/>
          <w:lang w:val="hy-AM" w:eastAsia="en-US"/>
        </w:rPr>
        <w:t>միջազգային պաշտպանության կարիք ունեցող օտարերկրյա քաղաքացիներին և  քաղաքացիություն չունեցող անձանց ՀՀ-ում ապաստանի տրամադրման ուղղությամբ աշխատանքների իրականացում,</w:t>
      </w:r>
    </w:p>
    <w:p w:rsidR="007A5F0F" w:rsidRDefault="007A5F0F" w:rsidP="007730AA">
      <w:pPr>
        <w:pStyle w:val="ListParagraph"/>
        <w:numPr>
          <w:ilvl w:val="0"/>
          <w:numId w:val="31"/>
        </w:numPr>
        <w:tabs>
          <w:tab w:val="left" w:pos="567"/>
        </w:tabs>
        <w:spacing w:before="0" w:line="276" w:lineRule="auto"/>
        <w:ind w:left="0" w:firstLine="426"/>
        <w:contextualSpacing w:val="0"/>
        <w:rPr>
          <w:rFonts w:cs="Sylfaen"/>
          <w:b w:val="0"/>
          <w:szCs w:val="22"/>
          <w:lang w:val="hy-AM" w:eastAsia="en-US"/>
        </w:rPr>
      </w:pPr>
      <w:r>
        <w:rPr>
          <w:rFonts w:cs="Sylfaen"/>
          <w:b w:val="0"/>
          <w:szCs w:val="22"/>
          <w:lang w:val="hy-AM" w:eastAsia="en-US"/>
        </w:rPr>
        <w:t xml:space="preserve">  </w:t>
      </w:r>
      <w:r w:rsidRPr="00267671">
        <w:rPr>
          <w:rFonts w:cs="Sylfaen"/>
          <w:b w:val="0"/>
          <w:szCs w:val="22"/>
          <w:lang w:val="hy-AM" w:eastAsia="en-US"/>
        </w:rPr>
        <w:t>ՀՀ-ում փախստական ճանաչված և ապաստան ստացած անձանց, ինչպես նաև երկարաժամկետ միգրանտների ինտեգրման քաղաքականության հայեցակարգի կիրարկմանն ուղղված գործողութ</w:t>
      </w:r>
      <w:r>
        <w:rPr>
          <w:rFonts w:cs="Sylfaen"/>
          <w:b w:val="0"/>
          <w:szCs w:val="22"/>
          <w:lang w:val="hy-AM" w:eastAsia="en-US"/>
        </w:rPr>
        <w:t>յ</w:t>
      </w:r>
      <w:r w:rsidRPr="00267671">
        <w:rPr>
          <w:rFonts w:cs="Sylfaen"/>
          <w:b w:val="0"/>
          <w:szCs w:val="22"/>
          <w:lang w:val="hy-AM" w:eastAsia="en-US"/>
        </w:rPr>
        <w:t>ունների իրականացում,</w:t>
      </w:r>
    </w:p>
    <w:p w:rsidR="007A5F0F" w:rsidRDefault="007A5F0F" w:rsidP="007730AA">
      <w:pPr>
        <w:pStyle w:val="ListParagraph"/>
        <w:numPr>
          <w:ilvl w:val="0"/>
          <w:numId w:val="31"/>
        </w:numPr>
        <w:tabs>
          <w:tab w:val="left" w:pos="567"/>
        </w:tabs>
        <w:spacing w:before="0" w:line="276" w:lineRule="auto"/>
        <w:ind w:left="0" w:firstLine="426"/>
        <w:contextualSpacing w:val="0"/>
        <w:rPr>
          <w:rFonts w:cs="Sylfaen"/>
          <w:b w:val="0"/>
          <w:szCs w:val="22"/>
          <w:lang w:val="hy-AM" w:eastAsia="en-US"/>
        </w:rPr>
      </w:pPr>
      <w:r>
        <w:rPr>
          <w:rFonts w:cs="Sylfaen"/>
          <w:b w:val="0"/>
          <w:szCs w:val="22"/>
          <w:lang w:val="hy-AM" w:eastAsia="en-US"/>
        </w:rPr>
        <w:t xml:space="preserve">  </w:t>
      </w:r>
      <w:r w:rsidRPr="00267671">
        <w:rPr>
          <w:rFonts w:cs="Sylfaen"/>
          <w:b w:val="0"/>
          <w:szCs w:val="22"/>
          <w:lang w:val="hy-AM" w:eastAsia="en-US"/>
        </w:rPr>
        <w:t xml:space="preserve">ՀՀ վերադարձի մտադրություն ունեցող քաղաքացիներին, ինչպես նաև արտերկիր մեկնել ցանկացողներին մեկնման, վերադարձի և հայրենիքում վերաինտեգրման գործընթացների վերաբերյալ «Տունդարձ» կայքի միջոցով խորհրդատվության տրամադրում, օտարերկրյա  պետություններից հարկադիր վերադարձող  ՀՀ քաղաքացիներին վերաինտեգրման առաջնային աջակցության տրամադրում, </w:t>
      </w:r>
    </w:p>
    <w:p w:rsidR="007A5F0F" w:rsidRDefault="007A5F0F" w:rsidP="007730AA">
      <w:pPr>
        <w:pStyle w:val="ListParagraph"/>
        <w:numPr>
          <w:ilvl w:val="0"/>
          <w:numId w:val="31"/>
        </w:numPr>
        <w:tabs>
          <w:tab w:val="left" w:pos="567"/>
        </w:tabs>
        <w:spacing w:before="0" w:line="276" w:lineRule="auto"/>
        <w:ind w:left="0" w:firstLine="426"/>
        <w:contextualSpacing w:val="0"/>
        <w:rPr>
          <w:rFonts w:cs="Sylfaen"/>
          <w:b w:val="0"/>
          <w:szCs w:val="22"/>
          <w:lang w:val="hy-AM" w:eastAsia="en-US"/>
        </w:rPr>
      </w:pPr>
      <w:r>
        <w:rPr>
          <w:rFonts w:cs="Sylfaen"/>
          <w:b w:val="0"/>
          <w:szCs w:val="22"/>
          <w:lang w:val="hy-AM" w:eastAsia="en-US"/>
        </w:rPr>
        <w:t xml:space="preserve">  </w:t>
      </w:r>
      <w:r w:rsidRPr="00267671">
        <w:rPr>
          <w:rFonts w:cs="Sylfaen"/>
          <w:b w:val="0"/>
          <w:szCs w:val="22"/>
          <w:lang w:val="hy-AM" w:eastAsia="en-US"/>
        </w:rPr>
        <w:t>օտարերկրացիներին աշխատանքի թույլտվության տրամադրում և օտարերկրացիների հետ կնքված աշխատանքային պայմանագրերի հաշվառման էլեկտրոնային կառավարման համակարգի ներդրմանն ուղղված աշխատանքների իրականացում,</w:t>
      </w:r>
    </w:p>
    <w:p w:rsidR="007A5F0F" w:rsidRDefault="007A5F0F" w:rsidP="007730AA">
      <w:pPr>
        <w:pStyle w:val="ListParagraph"/>
        <w:numPr>
          <w:ilvl w:val="0"/>
          <w:numId w:val="31"/>
        </w:numPr>
        <w:tabs>
          <w:tab w:val="left" w:pos="567"/>
        </w:tabs>
        <w:spacing w:before="0" w:line="276" w:lineRule="auto"/>
        <w:ind w:left="0" w:firstLine="426"/>
        <w:contextualSpacing w:val="0"/>
        <w:rPr>
          <w:rFonts w:cs="Sylfaen"/>
          <w:b w:val="0"/>
          <w:szCs w:val="22"/>
          <w:lang w:val="hy-AM" w:eastAsia="en-US"/>
        </w:rPr>
      </w:pPr>
      <w:r>
        <w:rPr>
          <w:rFonts w:cs="Sylfaen"/>
          <w:b w:val="0"/>
          <w:szCs w:val="22"/>
          <w:lang w:val="hy-AM" w:eastAsia="en-US"/>
        </w:rPr>
        <w:t xml:space="preserve">  </w:t>
      </w:r>
      <w:r w:rsidRPr="00267671">
        <w:rPr>
          <w:rFonts w:cs="Sylfaen"/>
          <w:b w:val="0"/>
          <w:szCs w:val="22"/>
          <w:lang w:val="hy-AM" w:eastAsia="en-US"/>
        </w:rPr>
        <w:t xml:space="preserve">միգրանտների, այդ  թվում՝  վերադարձած, ինչպես  նաև  աշխատանքային միգրանտների  և  նրանց ընտանքիների  անդամների ներդրումների համար համահավասար ֆինանսավորմամբ փորձնական ծրագրի իրականացում ԵՄ-ի՝ «Տեղական դերակատարների </w:t>
      </w:r>
      <w:r w:rsidRPr="00267671">
        <w:rPr>
          <w:rFonts w:cs="Sylfaen"/>
          <w:b w:val="0"/>
          <w:szCs w:val="22"/>
          <w:lang w:val="hy-AM" w:eastAsia="en-US"/>
        </w:rPr>
        <w:lastRenderedPageBreak/>
        <w:t>հզորացում հանուն զարգացման» («Local Empowerment of Actors for Development (LEAD)») ծրագրի շրջանակներում,</w:t>
      </w:r>
    </w:p>
    <w:p w:rsidR="007A5F0F" w:rsidRDefault="007A5F0F" w:rsidP="007730AA">
      <w:pPr>
        <w:pStyle w:val="ListParagraph"/>
        <w:numPr>
          <w:ilvl w:val="0"/>
          <w:numId w:val="31"/>
        </w:numPr>
        <w:tabs>
          <w:tab w:val="left" w:pos="567"/>
        </w:tabs>
        <w:spacing w:before="0" w:line="276" w:lineRule="auto"/>
        <w:ind w:left="0" w:firstLine="426"/>
        <w:contextualSpacing w:val="0"/>
        <w:rPr>
          <w:rFonts w:cs="Sylfaen"/>
          <w:b w:val="0"/>
          <w:szCs w:val="22"/>
          <w:lang w:val="hy-AM" w:eastAsia="en-US"/>
        </w:rPr>
      </w:pPr>
      <w:r w:rsidRPr="00267671">
        <w:rPr>
          <w:rFonts w:cs="Sylfaen"/>
          <w:b w:val="0"/>
          <w:szCs w:val="22"/>
          <w:lang w:val="hy-AM" w:eastAsia="en-US"/>
        </w:rPr>
        <w:t xml:space="preserve">  ՀՀ-ԵՄ միջև առանց թույլտվության բնակվող անձանց հետընդունման (ռեադմիսիայի) մասին համաձայնագրի շրջանակներում ստացվող հայցերի ընթացքի ապահվում, </w:t>
      </w:r>
    </w:p>
    <w:p w:rsidR="007A5F0F" w:rsidRDefault="007A5F0F" w:rsidP="007730AA">
      <w:pPr>
        <w:pStyle w:val="ListParagraph"/>
        <w:numPr>
          <w:ilvl w:val="0"/>
          <w:numId w:val="31"/>
        </w:numPr>
        <w:tabs>
          <w:tab w:val="left" w:pos="567"/>
        </w:tabs>
        <w:spacing w:before="0" w:line="276" w:lineRule="auto"/>
        <w:ind w:left="0" w:firstLine="426"/>
        <w:contextualSpacing w:val="0"/>
        <w:rPr>
          <w:rFonts w:cs="Sylfaen"/>
          <w:b w:val="0"/>
          <w:szCs w:val="22"/>
          <w:lang w:val="hy-AM" w:eastAsia="en-US"/>
        </w:rPr>
      </w:pPr>
      <w:r w:rsidRPr="00267671">
        <w:rPr>
          <w:rFonts w:cs="Sylfaen"/>
          <w:b w:val="0"/>
          <w:szCs w:val="22"/>
          <w:lang w:val="hy-AM" w:eastAsia="en-US"/>
        </w:rPr>
        <w:t xml:space="preserve">  ԵԱՏՄ շրջանակներում  միգրացիոն  ոլորտի օրենսդրական կարգավորումների մշակմանը և Եվրասիական տնտեսական հանձնաժողովի միգրացիոն քաղաքականության հարցերով խորհրդատվական կոմիտեի աշխատանքներին մասնակցություն,</w:t>
      </w:r>
    </w:p>
    <w:p w:rsidR="007A5F0F" w:rsidRDefault="007A5F0F" w:rsidP="007730AA">
      <w:pPr>
        <w:pStyle w:val="ListParagraph"/>
        <w:numPr>
          <w:ilvl w:val="0"/>
          <w:numId w:val="31"/>
        </w:numPr>
        <w:tabs>
          <w:tab w:val="left" w:pos="567"/>
        </w:tabs>
        <w:spacing w:before="0" w:line="276" w:lineRule="auto"/>
        <w:ind w:left="0" w:firstLine="426"/>
        <w:contextualSpacing w:val="0"/>
        <w:rPr>
          <w:rFonts w:cs="Sylfaen"/>
          <w:b w:val="0"/>
          <w:szCs w:val="22"/>
          <w:lang w:val="hy-AM" w:eastAsia="en-US"/>
        </w:rPr>
      </w:pPr>
      <w:r w:rsidRPr="00267671">
        <w:rPr>
          <w:rFonts w:cs="Sylfaen"/>
          <w:b w:val="0"/>
          <w:szCs w:val="22"/>
          <w:lang w:val="hy-AM" w:eastAsia="en-US"/>
        </w:rPr>
        <w:t xml:space="preserve">  ՌԴ ՆԳՆ միգրացիայի հարցերով գլխավոր վարչության հետ` ՌԴ մուտքի արգելք ունեցող ՀՀ քաղաքացիների մուտքի արգելքի վերացման նպատակով աշխատանքների իրականացում,</w:t>
      </w:r>
    </w:p>
    <w:p w:rsidR="007A5F0F" w:rsidRPr="00267671" w:rsidRDefault="007A5F0F" w:rsidP="007730AA">
      <w:pPr>
        <w:pStyle w:val="ListParagraph"/>
        <w:numPr>
          <w:ilvl w:val="0"/>
          <w:numId w:val="31"/>
        </w:numPr>
        <w:tabs>
          <w:tab w:val="left" w:pos="567"/>
        </w:tabs>
        <w:spacing w:before="0" w:line="276" w:lineRule="auto"/>
        <w:ind w:left="0" w:firstLine="426"/>
        <w:contextualSpacing w:val="0"/>
        <w:rPr>
          <w:rFonts w:cs="Sylfaen"/>
          <w:b w:val="0"/>
          <w:szCs w:val="22"/>
          <w:lang w:val="hy-AM" w:eastAsia="en-US"/>
        </w:rPr>
      </w:pPr>
      <w:r w:rsidRPr="00267671">
        <w:rPr>
          <w:rFonts w:cs="Sylfaen"/>
          <w:b w:val="0"/>
          <w:szCs w:val="22"/>
          <w:lang w:val="hy-AM" w:eastAsia="en-US"/>
        </w:rPr>
        <w:t xml:space="preserve">  </w:t>
      </w:r>
      <w:r w:rsidRPr="00267671">
        <w:rPr>
          <w:rFonts w:cs="Sylfaen"/>
          <w:b w:val="0"/>
          <w:szCs w:val="22"/>
          <w:lang w:val="hy-AM" w:eastAsia="en-US"/>
        </w:rPr>
        <w:tab/>
        <w:t>միգրացիոն ծառայությանը դիմող ինչպես ՀՀ, այնպես էլ օտարերկրյա քաղաքացիներին միգրացիոն տարբեր հիմնախնդիրների շուրջ խորհրդատվության տրամադրում։</w:t>
      </w:r>
    </w:p>
    <w:p w:rsidR="007A5F0F" w:rsidRPr="0094460E" w:rsidRDefault="007A5F0F" w:rsidP="007730AA">
      <w:pPr>
        <w:keepNext/>
        <w:tabs>
          <w:tab w:val="left" w:pos="567"/>
        </w:tabs>
        <w:spacing w:before="0" w:line="276" w:lineRule="auto"/>
        <w:ind w:firstLine="426"/>
        <w:contextualSpacing w:val="0"/>
        <w:outlineLvl w:val="2"/>
        <w:rPr>
          <w:rFonts w:cs="Arial"/>
          <w:szCs w:val="22"/>
          <w:lang w:val="hy-AM" w:eastAsia="en-US"/>
        </w:rPr>
      </w:pPr>
      <w:bookmarkStart w:id="11" w:name="_Toc26174886"/>
      <w:bookmarkStart w:id="12" w:name="_Toc57655416"/>
      <w:r w:rsidRPr="00060A96">
        <w:rPr>
          <w:rFonts w:cs="Arial"/>
          <w:szCs w:val="22"/>
          <w:lang w:val="hy-AM" w:eastAsia="en-US"/>
        </w:rPr>
        <w:t>Էներգետիկայի և բնական պաշարների կառավարման բնագավառ</w:t>
      </w:r>
      <w:bookmarkEnd w:id="11"/>
      <w:bookmarkEnd w:id="12"/>
    </w:p>
    <w:p w:rsidR="007A5F0F" w:rsidRDefault="007A5F0F" w:rsidP="007730AA">
      <w:pPr>
        <w:pStyle w:val="BodyText2"/>
        <w:ind w:left="0"/>
        <w:rPr>
          <w:rFonts w:cs="Arial"/>
        </w:rPr>
      </w:pPr>
      <w:r w:rsidRPr="00FF4508">
        <w:rPr>
          <w:b/>
        </w:rPr>
        <w:t>Էներգետիկայի բնագավառում</w:t>
      </w:r>
      <w:r w:rsidRPr="00060A96">
        <w:t xml:space="preserve"> իրականացվող պետական քաղաքականությունը հետևողականորեն շարունակվելու է նպատակաուղղվել երկրի էներգետիկ անկախության ապահովմանն ու անվտանգության բարձրացմանը, տարածաշրջանային ինտեգրման գործընթացի ապահովմանը, էներգետիկ ոլորտի կայուն զարգացմանը` հենվելով տեղական առաջնային (վերականգնվող) էներգապաշարների լիիրավ և արդյունավետ օգտագործման, ատոմային էներգետիկայի հետագա զարգացման, էներգակիրների մատակարարման տարատեսականացման և էներգաարդյունավետ ու նոր տեխնոլոգիաների ներդրման վրա: </w:t>
      </w:r>
    </w:p>
    <w:p w:rsidR="007A5F0F" w:rsidRDefault="007A5F0F" w:rsidP="007730AA">
      <w:pPr>
        <w:pStyle w:val="BodyText2"/>
        <w:ind w:left="0"/>
        <w:rPr>
          <w:rFonts w:cs="Arial"/>
        </w:rPr>
      </w:pPr>
      <w:r w:rsidRPr="00060A96">
        <w:t>Էներգետիկայի բնագավառի զարգացման հիմնարար ուղղություններն են լինելու` սեփական վերականգնվող էներգապաշարների տնտեսապես հիմնավորված պոտենցիալի իրացումը, արտահանման կողմնորոշում ունեցող կայուն ու հուսալի էներգահամակարգի կառուցումը, ժամանակակից տեխնոլոգիաներով հագեցած նոր արտադրող հզորությունների կառուցումը, ատոմային էներգետիկայի պահպանումը և զարգացումը, այդ թվում` գործող ատոմային էներգաբլոկի շահագործման ժամկետի երկարացման հետ կապված աշխատանքների իրականացումը, էներգաբլոկի անվտանգության և հուսալիության աստիճանի բարձրացմանն ուղղված աշխատանքների իրականացումը, նոր ատոմային էներգաբլոկի կառուցման նախապատրաստական աշխատանքների իրականացումը և տարածաշրջանային էներգահամակարգերի հետ ինտեգրումը:</w:t>
      </w:r>
    </w:p>
    <w:p w:rsidR="007A5F0F" w:rsidRDefault="007A5F0F" w:rsidP="007730AA">
      <w:pPr>
        <w:pStyle w:val="BodyText2"/>
        <w:ind w:left="0"/>
        <w:rPr>
          <w:rFonts w:cs="Arial"/>
        </w:rPr>
      </w:pPr>
      <w:r w:rsidRPr="00060A96">
        <w:t>Հայաստանի Հանրապետության 2021 թվականի պետական բյուջեի հատկացումների, օտարերկրյա պետությունների և միջազգային վարկատու կազմակերպությունների կողմից տրամադրվող վարկային և դրամաշնորհային միջոցների հաշվին կշարունակվեն` «Աշնակ», «Չարենցավան-3» և «Վանաձոր-1» 110 կՎ ենթակայանների վերակառուցման, կարգավարման կառավարման ավտոմատացված համակարգի (SCADA) ընդլայնման աշխատանքները: Կիրականացվեն Հայաստան-Վրաստան 400 կՎ լարման էլեկտրահաղորդման օդային գծերի և համապատասխան ենթակայանների կառուցման, «Արարատ-2» և «Զովունի» 220 կՎ ենթակայանների վերակառուցման գլխավոր կապալառուների ընտրության և գլխավոր կապալառուների հետ համապատասխան պայմանագրերի կնքման աշխատանքները:</w:t>
      </w:r>
    </w:p>
    <w:p w:rsidR="007A5F0F" w:rsidRDefault="007A5F0F" w:rsidP="007730AA">
      <w:pPr>
        <w:pStyle w:val="BodyText2"/>
        <w:ind w:left="0"/>
        <w:rPr>
          <w:rFonts w:cs="Arial"/>
        </w:rPr>
      </w:pPr>
      <w:r w:rsidRPr="00060A96">
        <w:t xml:space="preserve">«Հայկական ատոմային էլեկտրակայան» ՓԲԸ-ին տրամադրվող բյուջետային վարկի միջոցներով կշարունակվի Հայկական ԱԷԿ-ի № 2 էներգաբլոկի շահագործման նախագծային ժամկետի երկարաձգման աշխատանքների իրականացումը, սեփական միջոցների և դոնոր </w:t>
      </w:r>
      <w:r w:rsidRPr="00060A96">
        <w:lastRenderedPageBreak/>
        <w:t>երկրների կողմից հատկացվող միջոցների հաշվին կիրականացվեն Հայկական ատոմային էլեկտրակայանի 2-րդ էներգաբլոկի անվտանգության մակարդակի բարձրացման աշխատանքները:</w:t>
      </w:r>
    </w:p>
    <w:p w:rsidR="007A5F0F" w:rsidRDefault="007A5F0F" w:rsidP="007730AA">
      <w:pPr>
        <w:pStyle w:val="BodyText2"/>
        <w:ind w:left="0"/>
        <w:rPr>
          <w:rFonts w:cs="Arial"/>
        </w:rPr>
      </w:pPr>
      <w:r w:rsidRPr="00060A96">
        <w:t xml:space="preserve">Կշարունակվեն ՀՀ Գեղարքունիքի մարզի Մասրիկ տեղանքում 55 ՄՎտ պիկային հզորությամբ Մասրիկ-1 արդյունաբերական մասշտաբի արևային ֆոտովոլտային կայանի կառուցման աշխատանքները: </w:t>
      </w:r>
    </w:p>
    <w:p w:rsidR="007A5F0F" w:rsidRDefault="007A5F0F" w:rsidP="007730AA">
      <w:pPr>
        <w:pStyle w:val="BodyText2"/>
        <w:ind w:left="0"/>
        <w:rPr>
          <w:rFonts w:cs="Arial"/>
        </w:rPr>
      </w:pPr>
      <w:r w:rsidRPr="00060A96">
        <w:t xml:space="preserve">Միաժամանակ կիրականացվի գումարային մոտ 120 ՄՎտ հզորությամբ ևս 5 արևային ֆոտովոլտային կայանների կառուցման աշխատանքները: Ներկայում ծրագրերի համար պատրաստ են նախնական տեխնիկա-տնտեսական հիմնավորումները: 5 արևային ֆոտովոլտային կայանների կառուցման ծրագրերն իրականացվելու են մրցութային կարգով: </w:t>
      </w:r>
    </w:p>
    <w:p w:rsidR="007A5F0F" w:rsidRDefault="007A5F0F" w:rsidP="007730AA">
      <w:pPr>
        <w:pStyle w:val="BodyText2"/>
        <w:ind w:left="0"/>
        <w:rPr>
          <w:rFonts w:cs="Arial"/>
        </w:rPr>
      </w:pPr>
      <w:r w:rsidRPr="00060A96">
        <w:t>ՀՀ կառավարության 2019</w:t>
      </w:r>
      <w:r>
        <w:t xml:space="preserve"> </w:t>
      </w:r>
      <w:r w:rsidRPr="00060A96">
        <w:t>թ</w:t>
      </w:r>
      <w:r>
        <w:t>վականի</w:t>
      </w:r>
      <w:r w:rsidRPr="00060A96">
        <w:t xml:space="preserve"> դեկտեմբերի 26-ի թիվ 1922-Լ որոշմամբ հավանություն է տրվել «Մասդար Արմենիա ծրագիր» ներդրումային ծրագրին, որի շրջանակներում ՀՀ Արագածոտնի և ՀՀ Կոտայքի մարզերի վարչական սահմաններում նախատեսվում է երկու փուլով՝ «Այգ-1» (200 ՄՎտ) և «Այգ-2» (200 ՄՎտ), իրականացնել 400 ՄՎտ արևային ֆոտովոլտային կայանների կառուցում: </w:t>
      </w:r>
    </w:p>
    <w:p w:rsidR="007A5F0F" w:rsidRDefault="007A5F0F" w:rsidP="007730AA">
      <w:pPr>
        <w:pStyle w:val="BodyText2"/>
        <w:ind w:left="0"/>
        <w:rPr>
          <w:rFonts w:cs="Arial"/>
        </w:rPr>
      </w:pPr>
      <w:r w:rsidRPr="00060A96">
        <w:t>ՀՀ հանրային ծառայությունները կարգավորող հանձնաժողովի կողմից տրված լիցենզիաների համաձայն կառուցման փուլում են գտնվում էլեկտրական էներգիա արտադրող մինչև 5 ՄՎտ դրվածքային հզորությամբ 48 արևային էլեկտրակայաններ՝ գումարային շուրջ 198</w:t>
      </w:r>
      <w:r w:rsidRPr="00060A96">
        <w:rPr>
          <w:rFonts w:ascii="Cambria Math" w:hAnsi="Cambria Math" w:cs="Cambria Math"/>
        </w:rPr>
        <w:t>․</w:t>
      </w:r>
      <w:r w:rsidRPr="00060A96">
        <w:t xml:space="preserve">9 </w:t>
      </w:r>
      <w:r w:rsidRPr="00060A96">
        <w:rPr>
          <w:rFonts w:cs="GHEA Grapalat"/>
        </w:rPr>
        <w:t>ՄՎտ</w:t>
      </w:r>
      <w:r w:rsidRPr="00060A96">
        <w:t xml:space="preserve"> </w:t>
      </w:r>
      <w:r w:rsidRPr="00060A96">
        <w:rPr>
          <w:rFonts w:cs="GHEA Grapalat"/>
        </w:rPr>
        <w:t>դրվածքային</w:t>
      </w:r>
      <w:r w:rsidRPr="00060A96">
        <w:t xml:space="preserve"> </w:t>
      </w:r>
      <w:r w:rsidRPr="00060A96">
        <w:rPr>
          <w:rFonts w:cs="GHEA Grapalat"/>
        </w:rPr>
        <w:t>հզորությամբ</w:t>
      </w:r>
      <w:r w:rsidRPr="00060A96">
        <w:t xml:space="preserve">: </w:t>
      </w:r>
    </w:p>
    <w:p w:rsidR="007A5F0F" w:rsidRDefault="007A5F0F" w:rsidP="007730AA">
      <w:pPr>
        <w:pStyle w:val="BodyText2"/>
        <w:ind w:left="0"/>
        <w:rPr>
          <w:rFonts w:cs="Arial"/>
        </w:rPr>
      </w:pPr>
      <w:r w:rsidRPr="00060A96">
        <w:t>Շարունակվում են ՀՀ էլեկտրաէներգետիկ շուկայի փուլային ազատականացման գործընթացին ուղղված աշխատանքները, որի հիմնական նպատակն է էլեկտրաէներգետիկական շուկայի ամբողջությամբ կարգավորվող մոդելից նոր՝ ազատական մոդելին անցումը, առևտրի ժամանակակից կանոնների ներդրումը, սակագնային համակարգի հետագա կատարելագործումը և միջպետական առևտրի խթանումը:</w:t>
      </w:r>
    </w:p>
    <w:p w:rsidR="007A5F0F" w:rsidRDefault="007A5F0F" w:rsidP="007730AA">
      <w:pPr>
        <w:pStyle w:val="BodyText2"/>
        <w:ind w:left="0"/>
        <w:rPr>
          <w:rFonts w:cs="Arial"/>
        </w:rPr>
      </w:pPr>
      <w:r w:rsidRPr="00060A96">
        <w:t xml:space="preserve">Մշակվել է Հայաստանի Հանրապետության էներգետիկայի բնագավառի զարգացման ռազմավարական ծրագիրը (մինչև 2040թ.) և դրա կատարումն ապահովող միջոցառումների ցանկը: Կիրականացվեն միջոցառումներով նախատեսված աշխատանքները: </w:t>
      </w:r>
    </w:p>
    <w:p w:rsidR="007A5F0F" w:rsidRDefault="007A5F0F" w:rsidP="007730AA">
      <w:pPr>
        <w:pStyle w:val="BodyText2"/>
        <w:ind w:left="0"/>
        <w:rPr>
          <w:rFonts w:cs="Arial"/>
        </w:rPr>
      </w:pPr>
      <w:r w:rsidRPr="00060A96">
        <w:t>Կշարունակվեն էներգետիկայի բնագավառի տեխնիկական կանոնակարգերի վերամշակման և ազգային ստանդարտների մշակման աշխատանքները` միջազգային համապատասխան ստանդարտներին ու նորմերին դրանց աստիճանական մոտարկման մեթոդների կիրառմամբ:</w:t>
      </w:r>
    </w:p>
    <w:p w:rsidR="007A5F0F" w:rsidRDefault="007A5F0F" w:rsidP="007730AA">
      <w:pPr>
        <w:pStyle w:val="BodyText2"/>
        <w:ind w:left="0"/>
        <w:rPr>
          <w:rFonts w:cs="Arial"/>
        </w:rPr>
      </w:pPr>
      <w:r w:rsidRPr="00060A96">
        <w:t>Կշարունակվեն Հայաստանի չգազիֆիկացված համայնքներում մաքուր էներգիայի զարգացմանն աջակցելու և արևի, կենսազանգվածի, քամու և այլ վերականգնվող աղբյուրներից էներգիայի և կենսավառելիքի ստացման ծրագրերն իրականացնելու նպատակով 2017 թվականի օգոստոսից մեկնարկած  «Էներգաարդյունավետ» վարկային ծրագրի աշխատանքները:</w:t>
      </w:r>
    </w:p>
    <w:p w:rsidR="007A5F0F" w:rsidRPr="00A8535B" w:rsidRDefault="007A5F0F" w:rsidP="007730AA">
      <w:pPr>
        <w:pStyle w:val="BodyText2"/>
        <w:ind w:left="0"/>
        <w:rPr>
          <w:rFonts w:cs="Arial"/>
        </w:rPr>
      </w:pPr>
      <w:r w:rsidRPr="00060A96">
        <w:t xml:space="preserve">Կշարունակվեն հանրապետության </w:t>
      </w:r>
      <w:r w:rsidRPr="00FF4508">
        <w:rPr>
          <w:b/>
        </w:rPr>
        <w:t>գազամատակարարման համակարգի</w:t>
      </w:r>
      <w:r w:rsidRPr="00060A96">
        <w:t xml:space="preserve"> անվտանգության ապահովմանն և շարունակական բարձրացմանն ուղղված աշխատանքները:</w:t>
      </w:r>
      <w:r w:rsidRPr="00060A96">
        <w:rPr>
          <w:rFonts w:cs="Times Armenian"/>
          <w:highlight w:val="yellow"/>
        </w:rPr>
        <w:t xml:space="preserve"> </w:t>
      </w:r>
    </w:p>
    <w:p w:rsidR="007A5F0F" w:rsidRPr="0091785E" w:rsidRDefault="007A5F0F" w:rsidP="007730AA">
      <w:pPr>
        <w:tabs>
          <w:tab w:val="left" w:pos="450"/>
        </w:tabs>
        <w:spacing w:before="0" w:line="276" w:lineRule="auto"/>
        <w:ind w:firstLine="720"/>
        <w:contextualSpacing w:val="0"/>
        <w:rPr>
          <w:rFonts w:cs="Times Armenian"/>
          <w:b w:val="0"/>
          <w:bCs/>
          <w:szCs w:val="22"/>
          <w:highlight w:val="yellow"/>
          <w:lang w:val="hy-AM"/>
        </w:rPr>
      </w:pPr>
      <w:r w:rsidRPr="009330B2">
        <w:rPr>
          <w:iCs/>
          <w:szCs w:val="22"/>
          <w:lang w:val="hy-AM"/>
        </w:rPr>
        <w:t xml:space="preserve">Ընդերքի բնական պաշարների </w:t>
      </w:r>
      <w:r w:rsidRPr="009330B2">
        <w:rPr>
          <w:rFonts w:cs="Sylfaen"/>
          <w:bCs/>
          <w:iCs/>
          <w:szCs w:val="22"/>
          <w:lang w:val="hy-AM"/>
        </w:rPr>
        <w:t>բնագավառում</w:t>
      </w:r>
      <w:r w:rsidRPr="009355F8">
        <w:rPr>
          <w:b w:val="0"/>
          <w:szCs w:val="22"/>
          <w:lang w:val="hy-AM"/>
        </w:rPr>
        <w:t xml:space="preserve"> </w:t>
      </w:r>
      <w:bookmarkStart w:id="13" w:name="_Toc26174887"/>
      <w:r w:rsidRPr="009C0C4B">
        <w:rPr>
          <w:b w:val="0"/>
          <w:szCs w:val="22"/>
          <w:lang w:val="hy-AM"/>
        </w:rPr>
        <w:t>2021</w:t>
      </w:r>
      <w:r>
        <w:rPr>
          <w:b w:val="0"/>
          <w:szCs w:val="22"/>
          <w:lang w:val="hy-AM"/>
        </w:rPr>
        <w:t xml:space="preserve"> </w:t>
      </w:r>
      <w:r w:rsidRPr="009C0C4B">
        <w:rPr>
          <w:b w:val="0"/>
          <w:szCs w:val="22"/>
          <w:lang w:val="hy-AM"/>
        </w:rPr>
        <w:t>թ</w:t>
      </w:r>
      <w:r>
        <w:rPr>
          <w:b w:val="0"/>
          <w:szCs w:val="22"/>
          <w:lang w:val="hy-AM"/>
        </w:rPr>
        <w:t>վականին</w:t>
      </w:r>
      <w:r w:rsidRPr="009C0C4B">
        <w:rPr>
          <w:b w:val="0"/>
          <w:szCs w:val="22"/>
          <w:lang w:val="hy-AM"/>
        </w:rPr>
        <w:t xml:space="preserve"> իրականացվող պետական քաղաքականության հիմնախնդիրն է</w:t>
      </w:r>
      <w:r>
        <w:rPr>
          <w:b w:val="0"/>
          <w:szCs w:val="22"/>
          <w:lang w:val="hy-AM"/>
        </w:rPr>
        <w:t xml:space="preserve"> բ</w:t>
      </w:r>
      <w:r w:rsidRPr="009C0C4B">
        <w:rPr>
          <w:b w:val="0"/>
          <w:szCs w:val="22"/>
          <w:lang w:val="hy-AM"/>
        </w:rPr>
        <w:t xml:space="preserve">նական պաշարների արդյունավետ և թափանցիկ կառավարման, հանքարդյունաբերության ոլորտի կայուն զարգացմանը նպաստելու, ինչպես նաև ոլորտի քաղաքականության օրենսդրական նոր հենքի ստեղծման նպատակով </w:t>
      </w:r>
      <w:r w:rsidRPr="009C0C4B">
        <w:rPr>
          <w:b w:val="0"/>
          <w:szCs w:val="22"/>
          <w:lang w:val="hy-AM"/>
        </w:rPr>
        <w:lastRenderedPageBreak/>
        <w:t>ինստիտուցիոնալ համակարգի ուսումնասիրության իրականացումը և նախկինում իրականացված ախտորոշիչ ուսումնասիրությունների հիման վրա հանքարդյունաբերության ոլորտի զարգացման ռազմավարության մշակումը: Ոլորտի համապարփակ քաղաքականության մշակումը հնարավորություն կտա ապահովելու ոլորտի կայուն զարգացում, որը կհավասարակշռի տնտեսական, սոցիալական և բնապահպանական կայունությունը, ինչպես նաև կապահովի ոլորտի թափանցիկությունը, հաշվետվողականությունը և հրապարակայնությունը:</w:t>
      </w:r>
    </w:p>
    <w:p w:rsidR="007A5F0F" w:rsidRPr="009C0C4B" w:rsidRDefault="007A5F0F" w:rsidP="007730AA">
      <w:pPr>
        <w:tabs>
          <w:tab w:val="left" w:pos="567"/>
        </w:tabs>
        <w:spacing w:before="0" w:line="276" w:lineRule="auto"/>
        <w:ind w:firstLine="720"/>
        <w:contextualSpacing w:val="0"/>
        <w:rPr>
          <w:b w:val="0"/>
          <w:szCs w:val="22"/>
          <w:lang w:val="hy-AM"/>
        </w:rPr>
      </w:pPr>
      <w:r w:rsidRPr="009C0C4B">
        <w:rPr>
          <w:b w:val="0"/>
          <w:szCs w:val="22"/>
          <w:lang w:val="hy-AM"/>
        </w:rPr>
        <w:t>2021</w:t>
      </w:r>
      <w:r>
        <w:rPr>
          <w:b w:val="0"/>
          <w:szCs w:val="22"/>
          <w:lang w:val="hy-AM"/>
        </w:rPr>
        <w:t xml:space="preserve"> </w:t>
      </w:r>
      <w:r w:rsidRPr="009C0C4B">
        <w:rPr>
          <w:b w:val="0"/>
          <w:szCs w:val="22"/>
          <w:lang w:val="hy-AM"/>
        </w:rPr>
        <w:t>թ</w:t>
      </w:r>
      <w:r>
        <w:rPr>
          <w:b w:val="0"/>
          <w:szCs w:val="22"/>
          <w:lang w:val="hy-AM"/>
        </w:rPr>
        <w:t>վականին</w:t>
      </w:r>
      <w:r w:rsidRPr="009C0C4B">
        <w:rPr>
          <w:b w:val="0"/>
          <w:szCs w:val="22"/>
          <w:lang w:val="hy-AM"/>
        </w:rPr>
        <w:t xml:space="preserve"> իրական</w:t>
      </w:r>
      <w:r>
        <w:rPr>
          <w:b w:val="0"/>
          <w:szCs w:val="22"/>
          <w:lang w:val="hy-AM"/>
        </w:rPr>
        <w:t>ացվող պետական քաղաքականությունը</w:t>
      </w:r>
      <w:r w:rsidRPr="00686440">
        <w:rPr>
          <w:b w:val="0"/>
          <w:szCs w:val="22"/>
          <w:lang w:val="hy-AM"/>
        </w:rPr>
        <w:t xml:space="preserve"> </w:t>
      </w:r>
      <w:r w:rsidRPr="009C0C4B">
        <w:rPr>
          <w:b w:val="0"/>
          <w:szCs w:val="22"/>
          <w:lang w:val="hy-AM"/>
        </w:rPr>
        <w:t>լինել</w:t>
      </w:r>
      <w:r w:rsidRPr="00686440">
        <w:rPr>
          <w:b w:val="0"/>
          <w:szCs w:val="22"/>
          <w:lang w:val="hy-AM"/>
        </w:rPr>
        <w:t>ու է`</w:t>
      </w:r>
      <w:r w:rsidRPr="009C0C4B">
        <w:rPr>
          <w:b w:val="0"/>
          <w:szCs w:val="22"/>
          <w:lang w:val="hy-AM"/>
        </w:rPr>
        <w:t xml:space="preserve"> </w:t>
      </w:r>
    </w:p>
    <w:p w:rsidR="007A5F0F" w:rsidRDefault="007A5F0F" w:rsidP="007730AA">
      <w:pPr>
        <w:pStyle w:val="ListParagraph"/>
        <w:numPr>
          <w:ilvl w:val="0"/>
          <w:numId w:val="22"/>
        </w:numPr>
        <w:tabs>
          <w:tab w:val="left" w:pos="567"/>
        </w:tabs>
        <w:spacing w:before="0" w:line="276" w:lineRule="auto"/>
        <w:ind w:left="0" w:firstLine="426"/>
        <w:contextualSpacing w:val="0"/>
        <w:rPr>
          <w:b w:val="0"/>
          <w:szCs w:val="22"/>
          <w:lang w:val="hy-AM"/>
        </w:rPr>
      </w:pPr>
      <w:r>
        <w:rPr>
          <w:b w:val="0"/>
          <w:szCs w:val="22"/>
          <w:lang w:val="hy-AM"/>
        </w:rPr>
        <w:t xml:space="preserve">  </w:t>
      </w:r>
      <w:r w:rsidRPr="00E932D1">
        <w:rPr>
          <w:b w:val="0"/>
          <w:szCs w:val="22"/>
          <w:lang w:val="hy-AM"/>
        </w:rPr>
        <w:t xml:space="preserve">միջազգային չափորոշիչներին համահունչ հետախուզված և գնահատված ընդերքի պաշարների սահմանված կարգով փորձաքննության ապահովումը, </w:t>
      </w:r>
    </w:p>
    <w:p w:rsidR="007A5F0F" w:rsidRDefault="007A5F0F" w:rsidP="007730AA">
      <w:pPr>
        <w:pStyle w:val="ListParagraph"/>
        <w:numPr>
          <w:ilvl w:val="0"/>
          <w:numId w:val="22"/>
        </w:numPr>
        <w:tabs>
          <w:tab w:val="left" w:pos="567"/>
        </w:tabs>
        <w:spacing w:before="0" w:line="276" w:lineRule="auto"/>
        <w:ind w:left="0" w:firstLine="426"/>
        <w:contextualSpacing w:val="0"/>
        <w:rPr>
          <w:b w:val="0"/>
          <w:szCs w:val="22"/>
          <w:lang w:val="hy-AM"/>
        </w:rPr>
      </w:pPr>
      <w:r>
        <w:rPr>
          <w:b w:val="0"/>
          <w:szCs w:val="22"/>
          <w:lang w:val="hy-AM"/>
        </w:rPr>
        <w:t xml:space="preserve">  </w:t>
      </w:r>
      <w:r w:rsidRPr="00B17876">
        <w:rPr>
          <w:b w:val="0"/>
          <w:szCs w:val="22"/>
          <w:lang w:val="hy-AM"/>
        </w:rPr>
        <w:t>ՀՀ Ընդերքի մասին օրենսգրքի պահանջներին համապատասխան oգտակար հանածոների պաշարների պետական հաշվեկշռի վարումը, oգտակար հանածոների արդյունահանման նպատակով տրամադրված ընդերքի տեղամաuերի պետական հաշվառման իրականացումը, հանքավայրերի և օգտակար հանածոների երևակումների պետական կադաuտրի վարումը,</w:t>
      </w:r>
    </w:p>
    <w:p w:rsidR="007A5F0F" w:rsidRDefault="007A5F0F" w:rsidP="007730AA">
      <w:pPr>
        <w:pStyle w:val="ListParagraph"/>
        <w:numPr>
          <w:ilvl w:val="0"/>
          <w:numId w:val="22"/>
        </w:numPr>
        <w:tabs>
          <w:tab w:val="left" w:pos="567"/>
        </w:tabs>
        <w:spacing w:before="0" w:line="276" w:lineRule="auto"/>
        <w:ind w:left="0" w:firstLine="426"/>
        <w:contextualSpacing w:val="0"/>
        <w:rPr>
          <w:b w:val="0"/>
          <w:szCs w:val="22"/>
          <w:lang w:val="hy-AM"/>
        </w:rPr>
      </w:pPr>
      <w:r>
        <w:rPr>
          <w:b w:val="0"/>
          <w:szCs w:val="22"/>
          <w:lang w:val="hy-AM"/>
        </w:rPr>
        <w:t xml:space="preserve">  </w:t>
      </w:r>
      <w:r w:rsidRPr="00B17876">
        <w:rPr>
          <w:b w:val="0"/>
          <w:szCs w:val="22"/>
          <w:lang w:val="hy-AM"/>
        </w:rPr>
        <w:t>երկրաբանական տեղեկության թափանցիկության և պոտենցիալ ներդրողների համար վերջինիս հասանելիության ապահովումը,</w:t>
      </w:r>
    </w:p>
    <w:p w:rsidR="007A5F0F" w:rsidRDefault="007A5F0F" w:rsidP="007730AA">
      <w:pPr>
        <w:pStyle w:val="ListParagraph"/>
        <w:numPr>
          <w:ilvl w:val="0"/>
          <w:numId w:val="22"/>
        </w:numPr>
        <w:tabs>
          <w:tab w:val="left" w:pos="567"/>
        </w:tabs>
        <w:spacing w:before="0" w:line="276" w:lineRule="auto"/>
        <w:ind w:left="0" w:firstLine="426"/>
        <w:contextualSpacing w:val="0"/>
        <w:rPr>
          <w:b w:val="0"/>
          <w:szCs w:val="22"/>
          <w:lang w:val="hy-AM"/>
        </w:rPr>
      </w:pPr>
      <w:r>
        <w:rPr>
          <w:b w:val="0"/>
          <w:szCs w:val="22"/>
          <w:lang w:val="hy-AM"/>
        </w:rPr>
        <w:t xml:space="preserve">  </w:t>
      </w:r>
      <w:r w:rsidRPr="00B17876">
        <w:rPr>
          <w:b w:val="0"/>
          <w:szCs w:val="22"/>
          <w:lang w:val="hy-AM"/>
        </w:rPr>
        <w:t>«Հանրապետական երկրաբանական ֆոնդ» ՊՈԱԿ-ում նոր հաշվառվող տվյալների  թվայնացումը և հրապարակումը,</w:t>
      </w:r>
    </w:p>
    <w:p w:rsidR="007A5F0F" w:rsidRDefault="007A5F0F" w:rsidP="007730AA">
      <w:pPr>
        <w:pStyle w:val="ListParagraph"/>
        <w:numPr>
          <w:ilvl w:val="0"/>
          <w:numId w:val="22"/>
        </w:numPr>
        <w:tabs>
          <w:tab w:val="left" w:pos="567"/>
        </w:tabs>
        <w:spacing w:before="0" w:line="276" w:lineRule="auto"/>
        <w:ind w:left="0" w:firstLine="426"/>
        <w:contextualSpacing w:val="0"/>
        <w:rPr>
          <w:b w:val="0"/>
          <w:szCs w:val="22"/>
          <w:lang w:val="hy-AM"/>
        </w:rPr>
      </w:pPr>
      <w:r>
        <w:rPr>
          <w:b w:val="0"/>
          <w:szCs w:val="22"/>
          <w:lang w:val="hy-AM"/>
        </w:rPr>
        <w:t xml:space="preserve">  </w:t>
      </w:r>
      <w:r w:rsidRPr="00B17876">
        <w:rPr>
          <w:b w:val="0"/>
          <w:szCs w:val="22"/>
          <w:lang w:val="hy-AM"/>
        </w:rPr>
        <w:t xml:space="preserve">ՀՀ կողմից ԱՃԹՆ/EITI-ի (Արդյունահանող ճյուղերի թափանցիկության նախաձեռնություն) շրջանակներում՝ հանքարդյունաբերության ոլորտում իրականացվող միջոցառումների վերաբերյալ տարեկան ազգային զեկույցի (հաշվետու տարվա) կազմումը և հրապարակումը, </w:t>
      </w:r>
    </w:p>
    <w:p w:rsidR="007A5F0F" w:rsidRDefault="007A5F0F" w:rsidP="007730AA">
      <w:pPr>
        <w:pStyle w:val="ListParagraph"/>
        <w:numPr>
          <w:ilvl w:val="0"/>
          <w:numId w:val="22"/>
        </w:numPr>
        <w:tabs>
          <w:tab w:val="left" w:pos="567"/>
        </w:tabs>
        <w:spacing w:before="0" w:line="276" w:lineRule="auto"/>
        <w:ind w:left="0" w:firstLine="426"/>
        <w:contextualSpacing w:val="0"/>
        <w:rPr>
          <w:b w:val="0"/>
          <w:szCs w:val="22"/>
          <w:lang w:val="hy-AM"/>
        </w:rPr>
      </w:pPr>
      <w:r>
        <w:rPr>
          <w:b w:val="0"/>
          <w:szCs w:val="22"/>
          <w:lang w:val="hy-AM"/>
        </w:rPr>
        <w:t xml:space="preserve">  </w:t>
      </w:r>
      <w:r w:rsidRPr="003C66E2">
        <w:rPr>
          <w:b w:val="0"/>
          <w:szCs w:val="22"/>
          <w:lang w:val="hy-AM"/>
        </w:rPr>
        <w:t>Հանքարդյունաբերության ոլորտի բարեփոխումներից, այդ թվում հանքարդյունաբերության ոլորտի ռազմավարությունից բխող` ոլորտը կարգավորող օրենքների, ինչպես նաև դրանցից բխող իրավական այլ ակտերի մշակումը և ինստիտուցիոնալ կարգավորումների իրականացումը,</w:t>
      </w:r>
    </w:p>
    <w:p w:rsidR="007A5F0F" w:rsidRDefault="007A5F0F" w:rsidP="007730AA">
      <w:pPr>
        <w:pStyle w:val="ListParagraph"/>
        <w:numPr>
          <w:ilvl w:val="0"/>
          <w:numId w:val="22"/>
        </w:numPr>
        <w:tabs>
          <w:tab w:val="left" w:pos="567"/>
        </w:tabs>
        <w:spacing w:before="0" w:line="276" w:lineRule="auto"/>
        <w:ind w:left="0" w:firstLine="426"/>
        <w:contextualSpacing w:val="0"/>
        <w:rPr>
          <w:b w:val="0"/>
          <w:szCs w:val="22"/>
          <w:lang w:val="hy-AM"/>
        </w:rPr>
      </w:pPr>
      <w:r>
        <w:rPr>
          <w:b w:val="0"/>
          <w:szCs w:val="22"/>
          <w:lang w:val="hy-AM"/>
        </w:rPr>
        <w:t xml:space="preserve">  </w:t>
      </w:r>
      <w:r w:rsidRPr="003C66E2">
        <w:rPr>
          <w:b w:val="0"/>
          <w:szCs w:val="22"/>
          <w:lang w:val="hy-AM"/>
        </w:rPr>
        <w:t>ընդերքօգտագործման իրավունքով տրամադրված տեղամասերի կոորդինատների ճշգրտման նպատակով ՀՀ տարածքում գործող WGS-84 համաշխարհային գեոդեզիական կոորդիանատային համակարգին համահունչ ընդերքի տեղամասերի կոորդինատների փոփոխության իրականացումը</w:t>
      </w:r>
      <w:r>
        <w:rPr>
          <w:b w:val="0"/>
          <w:szCs w:val="22"/>
          <w:lang w:val="hy-AM"/>
        </w:rPr>
        <w:t>,</w:t>
      </w:r>
    </w:p>
    <w:p w:rsidR="007A5F0F" w:rsidRPr="003C66E2" w:rsidRDefault="007A5F0F" w:rsidP="007730AA">
      <w:pPr>
        <w:pStyle w:val="ListParagraph"/>
        <w:numPr>
          <w:ilvl w:val="0"/>
          <w:numId w:val="22"/>
        </w:numPr>
        <w:tabs>
          <w:tab w:val="left" w:pos="567"/>
        </w:tabs>
        <w:spacing w:before="0" w:line="276" w:lineRule="auto"/>
        <w:ind w:left="0" w:firstLine="426"/>
        <w:contextualSpacing w:val="0"/>
        <w:rPr>
          <w:b w:val="0"/>
          <w:szCs w:val="22"/>
          <w:lang w:val="hy-AM"/>
        </w:rPr>
      </w:pPr>
      <w:r>
        <w:rPr>
          <w:b w:val="0"/>
          <w:szCs w:val="22"/>
          <w:lang w:val="hy-AM"/>
        </w:rPr>
        <w:t xml:space="preserve">  </w:t>
      </w:r>
      <w:r w:rsidRPr="003C66E2">
        <w:rPr>
          <w:b w:val="0"/>
          <w:szCs w:val="22"/>
          <w:lang w:val="hy-AM"/>
        </w:rPr>
        <w:t>արտահանվող խտանյութի որակի նկատմամբ հսկողություն սահմանելու, Հայաստանի Հանրապետության պետական բյուջե վճարվող ռոյալթիի հաշվարկման ճշտությունը, օգտակար հանածոյի արդյունահանման, լրահետախուզման և շահագործական հետախուզման աշխատանքների ընթացքում օգտակար հանածոյի որակի, քանակի և այլ հատկությունների վերաբերյալ տեղեկատվության արժանահավատությունը ապահովելու նպատակով պետական վերահսկողական ֆունկցիայի ներդրման համար Լաբորատորիայի վերազինման ծրագրի իրականացման նպատակով իրագործելիության ծրագրի իրականացումը:</w:t>
      </w:r>
    </w:p>
    <w:p w:rsidR="007A5F0F"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14" w:name="_Toc57655417"/>
      <w:r w:rsidRPr="009A058A">
        <w:rPr>
          <w:rFonts w:cs="Arial"/>
          <w:szCs w:val="22"/>
          <w:lang w:val="hy-AM" w:eastAsia="en-US"/>
        </w:rPr>
        <w:t>Միջուկային անվտանգություն</w:t>
      </w:r>
      <w:bookmarkEnd w:id="13"/>
      <w:bookmarkEnd w:id="14"/>
    </w:p>
    <w:p w:rsidR="007A5F0F" w:rsidRPr="00BE054B" w:rsidRDefault="007A5F0F" w:rsidP="007730AA">
      <w:pPr>
        <w:tabs>
          <w:tab w:val="left" w:pos="567"/>
        </w:tabs>
        <w:spacing w:before="0" w:line="276" w:lineRule="auto"/>
        <w:ind w:firstLine="720"/>
        <w:contextualSpacing w:val="0"/>
        <w:rPr>
          <w:rFonts w:cs="Arial"/>
          <w:szCs w:val="22"/>
          <w:lang w:val="hy-AM" w:eastAsia="en-US"/>
        </w:rPr>
      </w:pPr>
      <w:r w:rsidRPr="00BE054B">
        <w:rPr>
          <w:rFonts w:cs="Sylfaen"/>
          <w:bCs/>
          <w:iCs/>
          <w:szCs w:val="22"/>
          <w:lang w:val="hy-AM"/>
        </w:rPr>
        <w:t xml:space="preserve">Միջուկային օրենսդրության, միջուկային ու ռադիացիոն անվտանգության    կարգավորման համակարգի զարգացում և կատարելագործում. </w:t>
      </w:r>
      <w:r w:rsidRPr="00FF4508">
        <w:rPr>
          <w:rFonts w:cs="Sylfaen"/>
          <w:b w:val="0"/>
          <w:bCs/>
          <w:iCs/>
          <w:szCs w:val="22"/>
          <w:lang w:val="hy-AM"/>
        </w:rPr>
        <w:t>Այս ուղղությամբ</w:t>
      </w:r>
      <w:r w:rsidRPr="00FF4508">
        <w:rPr>
          <w:rFonts w:cs="Sylfaen"/>
          <w:bCs/>
          <w:iCs/>
          <w:szCs w:val="22"/>
          <w:lang w:val="hy-AM"/>
        </w:rPr>
        <w:t xml:space="preserve"> </w:t>
      </w:r>
      <w:r w:rsidRPr="00BE054B">
        <w:rPr>
          <w:rFonts w:cs="Sylfaen"/>
          <w:b w:val="0"/>
          <w:iCs/>
          <w:szCs w:val="22"/>
          <w:lang w:val="hy-AM"/>
        </w:rPr>
        <w:t>Կառավարության գործունեության առաջնահերթ ուղղություններն են</w:t>
      </w:r>
      <w:r w:rsidRPr="00FF4508">
        <w:rPr>
          <w:rFonts w:cs="Sylfaen"/>
          <w:b w:val="0"/>
          <w:iCs/>
          <w:szCs w:val="22"/>
          <w:lang w:val="hy-AM"/>
        </w:rPr>
        <w:t xml:space="preserve"> լինելու</w:t>
      </w:r>
      <w:r w:rsidRPr="00BE054B">
        <w:rPr>
          <w:rFonts w:cs="Sylfaen"/>
          <w:b w:val="0"/>
          <w:iCs/>
          <w:szCs w:val="22"/>
          <w:lang w:val="hy-AM"/>
        </w:rPr>
        <w:t>.</w:t>
      </w:r>
    </w:p>
    <w:p w:rsidR="007A5F0F" w:rsidRPr="005E2AEB" w:rsidRDefault="007A5F0F" w:rsidP="007730AA">
      <w:pPr>
        <w:pStyle w:val="ListParagraph"/>
        <w:numPr>
          <w:ilvl w:val="0"/>
          <w:numId w:val="40"/>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lastRenderedPageBreak/>
        <w:t xml:space="preserve"> </w:t>
      </w:r>
      <w:r w:rsidRPr="005E2AEB">
        <w:rPr>
          <w:rFonts w:cs="Sylfaen"/>
          <w:b w:val="0"/>
          <w:iCs/>
          <w:szCs w:val="22"/>
          <w:lang w:val="hy-AM"/>
        </w:rPr>
        <w:t>ՀՀ միջուկային օրենսդրության համապատասխանեցումը Ատոմային էներգիայի միջազգային գործակալության (ԱԷՄԳ) անվտանգության ստանդարտներին, Եվրոպական միության անվտանգության դիրեկտիվների</w:t>
      </w:r>
      <w:r>
        <w:rPr>
          <w:rFonts w:cs="Sylfaen"/>
          <w:b w:val="0"/>
          <w:iCs/>
          <w:szCs w:val="22"/>
          <w:lang w:val="hy-AM"/>
        </w:rPr>
        <w:t>,</w:t>
      </w:r>
      <w:r w:rsidRPr="005E2AEB">
        <w:rPr>
          <w:rFonts w:cs="Sylfaen"/>
          <w:b w:val="0"/>
          <w:iCs/>
          <w:szCs w:val="22"/>
          <w:lang w:val="hy-AM"/>
        </w:rPr>
        <w:t xml:space="preserve"> այդ թվում</w:t>
      </w:r>
      <w:r>
        <w:rPr>
          <w:rFonts w:cs="Sylfaen"/>
          <w:b w:val="0"/>
          <w:iCs/>
          <w:szCs w:val="22"/>
          <w:lang w:val="hy-AM"/>
        </w:rPr>
        <w:t>՝</w:t>
      </w:r>
      <w:r w:rsidRPr="005E2AEB">
        <w:rPr>
          <w:rFonts w:cs="Sylfaen"/>
          <w:b w:val="0"/>
          <w:iCs/>
          <w:szCs w:val="22"/>
          <w:lang w:val="hy-AM"/>
        </w:rPr>
        <w:t xml:space="preserve"> Արևմտաեվրոպական երկրների կարգավորող մարմինների ասոցիացիայի (WE</w:t>
      </w:r>
      <w:r w:rsidR="00A34375">
        <w:rPr>
          <w:rFonts w:cs="Sylfaen"/>
          <w:b w:val="0"/>
          <w:iCs/>
          <w:szCs w:val="22"/>
          <w:lang w:val="hy-AM"/>
        </w:rPr>
        <w:t>NRA) անվտանգության պահանջներին,</w:t>
      </w:r>
    </w:p>
    <w:p w:rsidR="007A5F0F" w:rsidRPr="005E2AEB" w:rsidRDefault="007A5F0F" w:rsidP="007730AA">
      <w:pPr>
        <w:pStyle w:val="ListParagraph"/>
        <w:numPr>
          <w:ilvl w:val="0"/>
          <w:numId w:val="40"/>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5E2AEB">
        <w:rPr>
          <w:rFonts w:cs="Sylfaen"/>
          <w:b w:val="0"/>
          <w:iCs/>
          <w:szCs w:val="22"/>
          <w:lang w:val="hy-AM"/>
        </w:rPr>
        <w:t>ատոմային էներգիայի օգտագործման բնագավառի` ՀՀ կողմից վավերացրած  միջազգային 10 պայմանագրերից բխո</w:t>
      </w:r>
      <w:r w:rsidR="00A34375">
        <w:rPr>
          <w:rFonts w:cs="Sylfaen"/>
          <w:b w:val="0"/>
          <w:iCs/>
          <w:szCs w:val="22"/>
          <w:lang w:val="hy-AM"/>
        </w:rPr>
        <w:t>ղ պարտավորությունների կատարումը,</w:t>
      </w:r>
    </w:p>
    <w:p w:rsidR="007A5F0F" w:rsidRPr="005E2AEB" w:rsidRDefault="007A5F0F" w:rsidP="007730AA">
      <w:pPr>
        <w:pStyle w:val="ListParagraph"/>
        <w:numPr>
          <w:ilvl w:val="0"/>
          <w:numId w:val="40"/>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5E2AEB">
        <w:rPr>
          <w:rFonts w:cs="Sylfaen"/>
          <w:b w:val="0"/>
          <w:iCs/>
          <w:szCs w:val="22"/>
          <w:lang w:val="hy-AM"/>
        </w:rPr>
        <w:t>ատոմային էներգիայի օգտագործման օբյեկտների կարգավորող վերահսկողության և տեսչական ստուգումների անցկացումը, շրջակա միջավայրի ճառագայթային մոնիթորինգի ժամանակակից համակարգի ներդրումը՝ շրջակա միջավայրի հնարավոր ռադիոակտիվ աղտոտմամբ պայմանավորված բնակչության ճառագայթահարումը վերահսկելու համար,</w:t>
      </w:r>
    </w:p>
    <w:p w:rsidR="007A5F0F" w:rsidRPr="005E2AEB" w:rsidRDefault="007A5F0F" w:rsidP="007730AA">
      <w:pPr>
        <w:pStyle w:val="ListParagraph"/>
        <w:numPr>
          <w:ilvl w:val="0"/>
          <w:numId w:val="40"/>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5E2AEB">
        <w:rPr>
          <w:rFonts w:cs="Sylfaen"/>
          <w:b w:val="0"/>
          <w:iCs/>
          <w:szCs w:val="22"/>
          <w:lang w:val="hy-AM"/>
        </w:rPr>
        <w:t>մասնագիտական և տեսչական անձնակազմի որակավորման բարձրացումը (փորձի փոխանակում, վերապատրաստում, դասընթացներ),</w:t>
      </w:r>
    </w:p>
    <w:p w:rsidR="007A5F0F" w:rsidRPr="005E2AEB" w:rsidRDefault="007A5F0F" w:rsidP="007730AA">
      <w:pPr>
        <w:pStyle w:val="ListParagraph"/>
        <w:numPr>
          <w:ilvl w:val="0"/>
          <w:numId w:val="40"/>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5E2AEB">
        <w:rPr>
          <w:rFonts w:cs="Sylfaen"/>
          <w:b w:val="0"/>
          <w:iCs/>
          <w:szCs w:val="22"/>
          <w:lang w:val="hy-AM"/>
        </w:rPr>
        <w:t>միջուկային և ճառագայթային անվտանգության վերաբերյալ տեղեկատվական համակարգի (ներքին և արտաքին) կատարելագործումը,</w:t>
      </w:r>
    </w:p>
    <w:p w:rsidR="007A5F0F" w:rsidRPr="005E2AEB" w:rsidRDefault="007A5F0F" w:rsidP="007730AA">
      <w:pPr>
        <w:pStyle w:val="ListParagraph"/>
        <w:numPr>
          <w:ilvl w:val="0"/>
          <w:numId w:val="40"/>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5E2AEB">
        <w:rPr>
          <w:rFonts w:cs="Sylfaen"/>
          <w:b w:val="0"/>
          <w:iCs/>
          <w:szCs w:val="22"/>
          <w:lang w:val="hy-AM"/>
        </w:rPr>
        <w:t>կոմիտեի գործունեության որակի ապահովման ծրագրի կատարելագործումը,</w:t>
      </w:r>
    </w:p>
    <w:p w:rsidR="007A5F0F" w:rsidRPr="005E2AEB" w:rsidRDefault="007A5F0F" w:rsidP="007730AA">
      <w:pPr>
        <w:pStyle w:val="ListParagraph"/>
        <w:numPr>
          <w:ilvl w:val="0"/>
          <w:numId w:val="40"/>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5E2AEB">
        <w:rPr>
          <w:rFonts w:cs="Sylfaen"/>
          <w:b w:val="0"/>
          <w:iCs/>
          <w:szCs w:val="22"/>
          <w:lang w:val="hy-AM"/>
        </w:rPr>
        <w:t>վթարային հակազդման կենտրոնի համապատասխանեցում</w:t>
      </w:r>
      <w:r w:rsidRPr="00A67622">
        <w:rPr>
          <w:rFonts w:cs="Sylfaen"/>
          <w:b w:val="0"/>
          <w:iCs/>
          <w:szCs w:val="22"/>
          <w:lang w:val="hy-AM"/>
        </w:rPr>
        <w:t>ը</w:t>
      </w:r>
      <w:r w:rsidRPr="005E2AEB">
        <w:rPr>
          <w:rFonts w:cs="Sylfaen"/>
          <w:b w:val="0"/>
          <w:iCs/>
          <w:szCs w:val="22"/>
          <w:lang w:val="hy-AM"/>
        </w:rPr>
        <w:t xml:space="preserve"> ժամանակակից պահանջներին,</w:t>
      </w:r>
    </w:p>
    <w:p w:rsidR="007A5F0F" w:rsidRPr="005E2AEB" w:rsidRDefault="007A5F0F" w:rsidP="007730AA">
      <w:pPr>
        <w:pStyle w:val="ListParagraph"/>
        <w:numPr>
          <w:ilvl w:val="0"/>
          <w:numId w:val="40"/>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5E2AEB">
        <w:rPr>
          <w:rFonts w:cs="Sylfaen"/>
          <w:b w:val="0"/>
          <w:iCs/>
          <w:szCs w:val="22"/>
          <w:lang w:val="hy-AM"/>
        </w:rPr>
        <w:t>միջազգային համագործակցության զարգացումը:</w:t>
      </w:r>
    </w:p>
    <w:p w:rsidR="007A5F0F" w:rsidRPr="00BE054B" w:rsidRDefault="007A5F0F" w:rsidP="007730AA">
      <w:pPr>
        <w:tabs>
          <w:tab w:val="left" w:pos="567"/>
        </w:tabs>
        <w:spacing w:before="0" w:line="276" w:lineRule="auto"/>
        <w:ind w:firstLine="720"/>
        <w:contextualSpacing w:val="0"/>
        <w:rPr>
          <w:rFonts w:cs="Sylfaen"/>
          <w:bCs/>
          <w:iCs/>
          <w:szCs w:val="22"/>
          <w:lang w:val="hy-AM"/>
        </w:rPr>
      </w:pPr>
      <w:r w:rsidRPr="00BE054B">
        <w:rPr>
          <w:rFonts w:cs="Sylfaen"/>
          <w:bCs/>
          <w:iCs/>
          <w:szCs w:val="22"/>
          <w:lang w:val="hy-AM"/>
        </w:rPr>
        <w:t xml:space="preserve">Տեսչական գործունեություն. </w:t>
      </w:r>
      <w:r w:rsidRPr="00BE054B">
        <w:rPr>
          <w:rFonts w:cs="Sylfaen"/>
          <w:b w:val="0"/>
          <w:iCs/>
          <w:szCs w:val="22"/>
          <w:lang w:val="hy-AM"/>
        </w:rPr>
        <w:t>Կարգավորող մարմնի տեսչական գործունեության կատարելագործման համար նախատեսվում է.</w:t>
      </w:r>
    </w:p>
    <w:p w:rsidR="007A5F0F" w:rsidRDefault="007A5F0F" w:rsidP="007730AA">
      <w:pPr>
        <w:pStyle w:val="ListParagraph"/>
        <w:numPr>
          <w:ilvl w:val="0"/>
          <w:numId w:val="41"/>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8D32B3">
        <w:rPr>
          <w:rFonts w:cs="Sylfaen"/>
          <w:b w:val="0"/>
          <w:iCs/>
          <w:szCs w:val="22"/>
          <w:lang w:val="hy-AM"/>
        </w:rPr>
        <w:t>համապատասխանեցնել տեսչական գործունեության վերաբերյալ գործող կարգավորող և ղեկավարող փաստաթղթերը ժամանակակից պահանջներին,</w:t>
      </w:r>
    </w:p>
    <w:p w:rsidR="007A5F0F" w:rsidRPr="00EE4B6D" w:rsidRDefault="007A5F0F" w:rsidP="007730AA">
      <w:pPr>
        <w:pStyle w:val="ListParagraph"/>
        <w:numPr>
          <w:ilvl w:val="0"/>
          <w:numId w:val="41"/>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EE4B6D">
        <w:rPr>
          <w:rFonts w:cs="Sylfaen"/>
          <w:b w:val="0"/>
          <w:iCs/>
          <w:szCs w:val="22"/>
          <w:lang w:val="hy-AM"/>
        </w:rPr>
        <w:t>կատարելագործել միջուկային տեղակայանքների և ռադիոակտիվ թափոնների տեղակայանքների, ատոմային էներգիայի օգտագործման այլ օբյեկտների տեսչական ստուգումների անցկացման աշխատակարգերը (համապատասխանեցնել ժամանակակից մոտեցումներին),</w:t>
      </w:r>
    </w:p>
    <w:p w:rsidR="007A5F0F" w:rsidRPr="008D32B3" w:rsidRDefault="007A5F0F" w:rsidP="007730AA">
      <w:pPr>
        <w:pStyle w:val="ListParagraph"/>
        <w:numPr>
          <w:ilvl w:val="0"/>
          <w:numId w:val="41"/>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8D32B3">
        <w:rPr>
          <w:rFonts w:cs="Sylfaen"/>
          <w:b w:val="0"/>
          <w:iCs/>
          <w:szCs w:val="22"/>
          <w:lang w:val="hy-AM"/>
        </w:rPr>
        <w:t>բարձրացնել  տեսուչների աշխատանքի որակը,</w:t>
      </w:r>
    </w:p>
    <w:p w:rsidR="007A5F0F" w:rsidRPr="008D32B3" w:rsidRDefault="007A5F0F" w:rsidP="007730AA">
      <w:pPr>
        <w:pStyle w:val="ListParagraph"/>
        <w:numPr>
          <w:ilvl w:val="0"/>
          <w:numId w:val="41"/>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8D32B3">
        <w:rPr>
          <w:rFonts w:cs="Sylfaen"/>
          <w:b w:val="0"/>
          <w:iCs/>
          <w:szCs w:val="22"/>
          <w:lang w:val="hy-AM"/>
        </w:rPr>
        <w:t>կատարելագործել ռիսկի գնահատման հիման վրա իրականացվող տեսչական գործունեությունը:</w:t>
      </w:r>
    </w:p>
    <w:p w:rsidR="007A5F0F" w:rsidRPr="00306EDA" w:rsidRDefault="007A5F0F" w:rsidP="007730AA">
      <w:pPr>
        <w:pStyle w:val="ListParagraph"/>
        <w:tabs>
          <w:tab w:val="left" w:pos="567"/>
        </w:tabs>
        <w:spacing w:before="0" w:line="276" w:lineRule="auto"/>
        <w:ind w:left="0" w:firstLine="720"/>
        <w:contextualSpacing w:val="0"/>
        <w:rPr>
          <w:rFonts w:cs="Sylfaen"/>
          <w:bCs/>
          <w:iCs/>
          <w:szCs w:val="22"/>
          <w:lang w:val="hy-AM"/>
        </w:rPr>
      </w:pPr>
      <w:r w:rsidRPr="00306EDA">
        <w:rPr>
          <w:rFonts w:cs="Sylfaen"/>
          <w:bCs/>
          <w:iCs/>
          <w:szCs w:val="22"/>
          <w:lang w:val="hy-AM"/>
        </w:rPr>
        <w:t>Վթարային հակազդման համակարգի զարգացում</w:t>
      </w:r>
      <w:r w:rsidRPr="00BE054B">
        <w:rPr>
          <w:rFonts w:cs="Sylfaen"/>
          <w:bCs/>
          <w:iCs/>
          <w:szCs w:val="22"/>
          <w:lang w:val="hy-AM"/>
        </w:rPr>
        <w:t>.</w:t>
      </w:r>
      <w:r>
        <w:rPr>
          <w:rFonts w:cs="Sylfaen"/>
          <w:bCs/>
          <w:iCs/>
          <w:szCs w:val="22"/>
          <w:lang w:val="hy-AM"/>
        </w:rPr>
        <w:t xml:space="preserve"> </w:t>
      </w:r>
      <w:r>
        <w:rPr>
          <w:rFonts w:cs="Sylfaen"/>
          <w:b w:val="0"/>
          <w:iCs/>
          <w:szCs w:val="22"/>
          <w:lang w:val="hy-AM"/>
        </w:rPr>
        <w:t xml:space="preserve">Վթարային հակազդման համակարգը </w:t>
      </w:r>
      <w:r w:rsidRPr="00306EDA">
        <w:rPr>
          <w:rFonts w:cs="Sylfaen"/>
          <w:b w:val="0"/>
          <w:iCs/>
          <w:szCs w:val="22"/>
          <w:lang w:val="hy-AM"/>
        </w:rPr>
        <w:t>ՀՀ միջազգային պայմանագրերի և ԱԷՄԳ պահանջներին համապատասխանեցնելու համար նախատեսվում է.</w:t>
      </w:r>
    </w:p>
    <w:p w:rsidR="007A5F0F" w:rsidRPr="009150EC" w:rsidRDefault="007A5F0F" w:rsidP="007730AA">
      <w:pPr>
        <w:pStyle w:val="ListParagraph"/>
        <w:numPr>
          <w:ilvl w:val="0"/>
          <w:numId w:val="42"/>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9150EC">
        <w:rPr>
          <w:rFonts w:cs="Sylfaen"/>
          <w:b w:val="0"/>
          <w:iCs/>
          <w:szCs w:val="22"/>
          <w:lang w:val="hy-AM"/>
        </w:rPr>
        <w:t>զարգացնել և կատարելագործել գործող ճառագայթային մոնիթորինգի և տեղեկատվության համակարգը,</w:t>
      </w:r>
    </w:p>
    <w:p w:rsidR="007A5F0F" w:rsidRPr="009150EC" w:rsidRDefault="007A5F0F" w:rsidP="007730AA">
      <w:pPr>
        <w:pStyle w:val="ListParagraph"/>
        <w:numPr>
          <w:ilvl w:val="0"/>
          <w:numId w:val="42"/>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9150EC">
        <w:rPr>
          <w:rFonts w:cs="Sylfaen"/>
          <w:b w:val="0"/>
          <w:iCs/>
          <w:szCs w:val="22"/>
          <w:lang w:val="hy-AM"/>
        </w:rPr>
        <w:t>համապատասխանեցնել վթարային հակազդման կենտրոնը, ներառյալ կենտրոնի գործունեության հրահանգները, ժամանակակից պահանջներին՝ հաշվի առնելով Ֆուկուշիմայի ԱԷԿ-ի վթարի ուսումնասիրության արդյունքները,</w:t>
      </w:r>
    </w:p>
    <w:p w:rsidR="007A5F0F" w:rsidRPr="009150EC" w:rsidRDefault="007A5F0F" w:rsidP="007730AA">
      <w:pPr>
        <w:pStyle w:val="ListParagraph"/>
        <w:numPr>
          <w:ilvl w:val="0"/>
          <w:numId w:val="42"/>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9150EC">
        <w:rPr>
          <w:rFonts w:cs="Sylfaen"/>
          <w:b w:val="0"/>
          <w:iCs/>
          <w:szCs w:val="22"/>
          <w:lang w:val="hy-AM"/>
        </w:rPr>
        <w:t>ԱԷՄԳ պահանջներին համապատասխան անցկացնել վթարային վարժանքներ,</w:t>
      </w:r>
    </w:p>
    <w:p w:rsidR="007A5F0F" w:rsidRPr="009150EC" w:rsidRDefault="007A5F0F" w:rsidP="007730AA">
      <w:pPr>
        <w:pStyle w:val="ListParagraph"/>
        <w:numPr>
          <w:ilvl w:val="0"/>
          <w:numId w:val="42"/>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9150EC">
        <w:rPr>
          <w:rFonts w:cs="Sylfaen"/>
          <w:b w:val="0"/>
          <w:iCs/>
          <w:szCs w:val="22"/>
          <w:lang w:val="hy-AM"/>
        </w:rPr>
        <w:t>վերանայել վթարային հակազդման ազգային համակարգի մեջ մտնող նախարարությունների և գերատեսչությունների հետ համագործակցության մասին համաձայնագրերը,</w:t>
      </w:r>
    </w:p>
    <w:p w:rsidR="007A5F0F" w:rsidRPr="009150EC" w:rsidRDefault="007A5F0F" w:rsidP="007730AA">
      <w:pPr>
        <w:pStyle w:val="ListParagraph"/>
        <w:numPr>
          <w:ilvl w:val="0"/>
          <w:numId w:val="42"/>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9150EC">
        <w:rPr>
          <w:rFonts w:cs="Sylfaen"/>
          <w:b w:val="0"/>
          <w:iCs/>
          <w:szCs w:val="22"/>
          <w:lang w:val="hy-AM"/>
        </w:rPr>
        <w:t>կատարելագործել ներքին և արտաքին տեղեկատվական համակարգերը:</w:t>
      </w:r>
    </w:p>
    <w:p w:rsidR="007A5F0F" w:rsidRPr="00BE054B" w:rsidRDefault="007A5F0F" w:rsidP="007730AA">
      <w:pPr>
        <w:tabs>
          <w:tab w:val="left" w:pos="567"/>
        </w:tabs>
        <w:spacing w:before="0" w:line="276" w:lineRule="auto"/>
        <w:ind w:firstLine="720"/>
        <w:contextualSpacing w:val="0"/>
        <w:rPr>
          <w:rFonts w:cs="Sylfaen"/>
          <w:b w:val="0"/>
          <w:iCs/>
          <w:szCs w:val="22"/>
          <w:lang w:val="hy-AM"/>
        </w:rPr>
      </w:pPr>
      <w:r w:rsidRPr="00BE054B">
        <w:rPr>
          <w:rFonts w:cs="Sylfaen"/>
          <w:bCs/>
          <w:iCs/>
          <w:szCs w:val="22"/>
          <w:lang w:val="hy-AM"/>
        </w:rPr>
        <w:lastRenderedPageBreak/>
        <w:t>Միջուկային զենքի չտարածման ռեժիմի ամրապնդում.</w:t>
      </w:r>
      <w:r w:rsidRPr="00BE054B">
        <w:rPr>
          <w:rFonts w:ascii="Cambria Math" w:hAnsi="Cambria Math" w:cs="Sylfaen"/>
          <w:b w:val="0"/>
          <w:iCs/>
          <w:szCs w:val="22"/>
          <w:lang w:val="hy-AM"/>
        </w:rPr>
        <w:t xml:space="preserve"> </w:t>
      </w:r>
      <w:r w:rsidRPr="00BE054B">
        <w:rPr>
          <w:rFonts w:cs="Sylfaen"/>
          <w:b w:val="0"/>
          <w:iCs/>
          <w:szCs w:val="22"/>
          <w:lang w:val="hy-AM"/>
        </w:rPr>
        <w:tab/>
        <w:t xml:space="preserve"> Միջուկային</w:t>
      </w:r>
      <w:r w:rsidR="00FC544C">
        <w:rPr>
          <w:rFonts w:cs="Sylfaen"/>
          <w:b w:val="0"/>
          <w:iCs/>
          <w:szCs w:val="22"/>
          <w:lang w:val="hy-AM"/>
        </w:rPr>
        <w:t xml:space="preserve"> </w:t>
      </w:r>
      <w:r w:rsidRPr="00BE054B">
        <w:rPr>
          <w:rFonts w:cs="Sylfaen"/>
          <w:b w:val="0"/>
          <w:iCs/>
          <w:szCs w:val="22"/>
          <w:lang w:val="hy-AM"/>
        </w:rPr>
        <w:t>նյութերի չտարածման երաշխիքների, հաշվառման և հսկման պետական համակարգի զարգաց</w:t>
      </w:r>
      <w:r w:rsidRPr="00A67622">
        <w:rPr>
          <w:rFonts w:cs="Sylfaen"/>
          <w:b w:val="0"/>
          <w:iCs/>
          <w:szCs w:val="22"/>
          <w:lang w:val="hy-AM"/>
        </w:rPr>
        <w:t xml:space="preserve">ման </w:t>
      </w:r>
      <w:r w:rsidRPr="00BE054B">
        <w:rPr>
          <w:rFonts w:cs="Sylfaen"/>
          <w:b w:val="0"/>
          <w:iCs/>
          <w:szCs w:val="22"/>
          <w:lang w:val="hy-AM"/>
        </w:rPr>
        <w:t>շրջանակներում նախատեսվում է.</w:t>
      </w:r>
    </w:p>
    <w:p w:rsidR="007A5F0F" w:rsidRPr="004E5E24" w:rsidRDefault="007A5F0F" w:rsidP="007730AA">
      <w:pPr>
        <w:pStyle w:val="ListParagraph"/>
        <w:numPr>
          <w:ilvl w:val="0"/>
          <w:numId w:val="43"/>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4E5E24">
        <w:rPr>
          <w:rFonts w:cs="Sylfaen"/>
          <w:b w:val="0"/>
          <w:iCs/>
          <w:szCs w:val="22"/>
          <w:lang w:val="hy-AM"/>
        </w:rPr>
        <w:t>վերամշակել նորմերը և կանոնները` համաձայն ԱԷՄԳ առաջարկությունների և ստանդարտների,</w:t>
      </w:r>
    </w:p>
    <w:p w:rsidR="007A5F0F" w:rsidRPr="004E5E24" w:rsidRDefault="007A5F0F" w:rsidP="007730AA">
      <w:pPr>
        <w:pStyle w:val="ListParagraph"/>
        <w:numPr>
          <w:ilvl w:val="0"/>
          <w:numId w:val="43"/>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4E5E24">
        <w:rPr>
          <w:rFonts w:cs="Sylfaen"/>
          <w:b w:val="0"/>
          <w:iCs/>
          <w:szCs w:val="22"/>
          <w:lang w:val="hy-AM"/>
        </w:rPr>
        <w:t>կատարելագործել միջուկային և ռադիոակտիվ նյութերի հաշվառման և վերահսկման պետական համակարգը,</w:t>
      </w:r>
    </w:p>
    <w:p w:rsidR="007A5F0F" w:rsidRPr="004E5E24" w:rsidRDefault="007A5F0F" w:rsidP="007730AA">
      <w:pPr>
        <w:pStyle w:val="ListParagraph"/>
        <w:numPr>
          <w:ilvl w:val="0"/>
          <w:numId w:val="43"/>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4E5E24">
        <w:rPr>
          <w:rFonts w:cs="Sylfaen"/>
          <w:b w:val="0"/>
          <w:iCs/>
          <w:szCs w:val="22"/>
          <w:lang w:val="hy-AM"/>
        </w:rPr>
        <w:t>մշակել և ներդնել միջուկային և ռադիոակտիվ նյութերի պետական հաշվառման արդիական համակարգեր, ներառյալ ծրագրային միջոցներ:</w:t>
      </w:r>
    </w:p>
    <w:p w:rsidR="007A5F0F" w:rsidRPr="00BC30C6" w:rsidRDefault="007A5F0F" w:rsidP="007730AA">
      <w:pPr>
        <w:tabs>
          <w:tab w:val="left" w:pos="567"/>
        </w:tabs>
        <w:spacing w:before="0" w:line="276" w:lineRule="auto"/>
        <w:ind w:firstLine="426"/>
        <w:contextualSpacing w:val="0"/>
        <w:rPr>
          <w:rFonts w:cs="Sylfaen"/>
          <w:b w:val="0"/>
          <w:iCs/>
          <w:szCs w:val="22"/>
          <w:lang w:val="hy-AM"/>
        </w:rPr>
      </w:pPr>
      <w:r w:rsidRPr="00BC30C6">
        <w:rPr>
          <w:rFonts w:cs="Sylfaen"/>
          <w:b w:val="0"/>
          <w:iCs/>
          <w:szCs w:val="22"/>
          <w:lang w:val="hy-AM"/>
        </w:rPr>
        <w:t>Միջուկային և ռադիոակտիվ նյութերի ու տեղակայանքների ֆիզիկական պաշտպանության  կարգավոր</w:t>
      </w:r>
      <w:r w:rsidRPr="00BE054B">
        <w:rPr>
          <w:rFonts w:cs="Sylfaen"/>
          <w:b w:val="0"/>
          <w:iCs/>
          <w:szCs w:val="22"/>
          <w:lang w:val="hy-AM"/>
        </w:rPr>
        <w:t xml:space="preserve">ման </w:t>
      </w:r>
      <w:r w:rsidRPr="00BC30C6">
        <w:rPr>
          <w:rFonts w:cs="Sylfaen"/>
          <w:b w:val="0"/>
          <w:iCs/>
          <w:szCs w:val="22"/>
          <w:lang w:val="hy-AM"/>
        </w:rPr>
        <w:t xml:space="preserve">շրջանակներում նախատեսվում է.  </w:t>
      </w:r>
    </w:p>
    <w:p w:rsidR="007A5F0F" w:rsidRPr="00151124" w:rsidRDefault="007A5F0F" w:rsidP="007730AA">
      <w:pPr>
        <w:pStyle w:val="ListParagraph"/>
        <w:numPr>
          <w:ilvl w:val="0"/>
          <w:numId w:val="44"/>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151124">
        <w:rPr>
          <w:rFonts w:cs="Sylfaen"/>
          <w:b w:val="0"/>
          <w:iCs/>
          <w:szCs w:val="22"/>
          <w:lang w:val="hy-AM"/>
        </w:rPr>
        <w:t>լրամշակել  նորմատիվ-տեխնիկական փաստաթղթերը,</w:t>
      </w:r>
    </w:p>
    <w:p w:rsidR="007A5F0F" w:rsidRPr="00151124" w:rsidRDefault="007A5F0F" w:rsidP="007730AA">
      <w:pPr>
        <w:pStyle w:val="ListParagraph"/>
        <w:numPr>
          <w:ilvl w:val="0"/>
          <w:numId w:val="44"/>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151124">
        <w:rPr>
          <w:rFonts w:cs="Sylfaen"/>
          <w:b w:val="0"/>
          <w:iCs/>
          <w:szCs w:val="22"/>
          <w:lang w:val="hy-AM"/>
        </w:rPr>
        <w:t>միջուկային տեղակայանքների ֆիզիկական պաշտպանության վիճակը գնահատելու համար ՀՀ այլ պատասխանատու գերատեսչությունների և միջազգային կազմակերպությունների հետ համատեղ անցկացնել միջուկային տեղակայանքների և միջուկային նյութերի տեսչական ստուգումներ, անհրաժեշտության դեպքում, հաշվի առնելով նոր մարտահրավերները, վերանայել նախագծային սպառնալիքը,</w:t>
      </w:r>
    </w:p>
    <w:p w:rsidR="007A5F0F" w:rsidRPr="00151124" w:rsidRDefault="007A5F0F" w:rsidP="007730AA">
      <w:pPr>
        <w:pStyle w:val="ListParagraph"/>
        <w:numPr>
          <w:ilvl w:val="0"/>
          <w:numId w:val="44"/>
        </w:numPr>
        <w:tabs>
          <w:tab w:val="left" w:pos="567"/>
        </w:tabs>
        <w:spacing w:before="0" w:line="276" w:lineRule="auto"/>
        <w:ind w:left="0" w:firstLine="426"/>
        <w:contextualSpacing w:val="0"/>
        <w:rPr>
          <w:rFonts w:cs="Sylfaen"/>
          <w:b w:val="0"/>
          <w:iCs/>
          <w:szCs w:val="22"/>
          <w:lang w:val="hy-AM"/>
        </w:rPr>
      </w:pPr>
      <w:r>
        <w:rPr>
          <w:rFonts w:cs="Sylfaen"/>
          <w:b w:val="0"/>
          <w:iCs/>
          <w:szCs w:val="22"/>
          <w:lang w:val="hy-AM"/>
        </w:rPr>
        <w:t xml:space="preserve"> </w:t>
      </w:r>
      <w:r w:rsidRPr="00151124">
        <w:rPr>
          <w:rFonts w:cs="Sylfaen"/>
          <w:b w:val="0"/>
          <w:iCs/>
          <w:szCs w:val="22"/>
          <w:lang w:val="hy-AM"/>
        </w:rPr>
        <w:t>ստեղծել պաշտպանված կապուղիներ:</w:t>
      </w:r>
    </w:p>
    <w:p w:rsidR="007A5F0F" w:rsidRPr="009F49B8" w:rsidRDefault="007A5F0F" w:rsidP="007730AA">
      <w:pPr>
        <w:pStyle w:val="ListParagraph"/>
        <w:tabs>
          <w:tab w:val="left" w:pos="567"/>
        </w:tabs>
        <w:spacing w:before="0" w:line="276" w:lineRule="auto"/>
        <w:ind w:left="0" w:firstLine="720"/>
        <w:contextualSpacing w:val="0"/>
        <w:rPr>
          <w:rFonts w:cs="Sylfaen"/>
          <w:b w:val="0"/>
          <w:iCs/>
          <w:szCs w:val="22"/>
          <w:lang w:val="hy-AM"/>
        </w:rPr>
      </w:pPr>
      <w:r w:rsidRPr="009F49B8">
        <w:rPr>
          <w:rFonts w:cs="Sylfaen"/>
          <w:bCs/>
          <w:iCs/>
          <w:szCs w:val="22"/>
          <w:lang w:val="hy-AM"/>
        </w:rPr>
        <w:t>Միջազգային համագործակցությունը.</w:t>
      </w:r>
      <w:r w:rsidRPr="009F49B8">
        <w:rPr>
          <w:rFonts w:cs="Sylfaen"/>
          <w:b w:val="0"/>
          <w:iCs/>
          <w:szCs w:val="22"/>
          <w:lang w:val="hy-AM"/>
        </w:rPr>
        <w:t xml:space="preserve"> Տեխնիկական աջակցության ծրագրերի շրջանակներում կառավարությունը կշարունակի համագործակցությունն ԱԷՄԳ-ի, Եվրոպական հանձնաժողովի, ԱՄՆ-ի, Չեխիայի, ՌԴ և այլ երկրների միջուկային կարգավորող մարմինների և տեխնիկական աջակցության կազմակերպությունների հետ:</w:t>
      </w:r>
      <w:r w:rsidRPr="009F49B8">
        <w:rPr>
          <w:rFonts w:cs="Arial Armenian"/>
          <w:b w:val="0"/>
          <w:iCs/>
          <w:szCs w:val="22"/>
          <w:highlight w:val="yellow"/>
          <w:lang w:val="hy-AM"/>
        </w:rPr>
        <w:t xml:space="preserve"> </w:t>
      </w:r>
    </w:p>
    <w:p w:rsidR="007A5F0F" w:rsidRPr="001327AA"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15" w:name="_Toc26174888"/>
      <w:bookmarkStart w:id="16" w:name="_Toc57655418"/>
      <w:r w:rsidRPr="001327AA">
        <w:rPr>
          <w:rFonts w:cs="Arial"/>
          <w:szCs w:val="22"/>
          <w:lang w:val="hy-AM" w:eastAsia="en-US"/>
        </w:rPr>
        <w:t>Ջրային տնտեսություն</w:t>
      </w:r>
      <w:bookmarkEnd w:id="15"/>
      <w:bookmarkEnd w:id="16"/>
    </w:p>
    <w:p w:rsidR="007A5F0F" w:rsidRDefault="007A5F0F" w:rsidP="007730AA">
      <w:pPr>
        <w:tabs>
          <w:tab w:val="left" w:pos="567"/>
        </w:tabs>
        <w:spacing w:before="0" w:line="276" w:lineRule="auto"/>
        <w:ind w:firstLine="720"/>
        <w:contextualSpacing w:val="0"/>
        <w:rPr>
          <w:b w:val="0"/>
          <w:szCs w:val="22"/>
          <w:lang w:val="hy-AM"/>
        </w:rPr>
      </w:pPr>
      <w:r w:rsidRPr="006207C2">
        <w:rPr>
          <w:b w:val="0"/>
          <w:szCs w:val="22"/>
          <w:lang w:val="hy-AM"/>
        </w:rPr>
        <w:t>Ջրային տնտեսության ոլորտում էապես կարևորվում է անցած տարիների ընթացքում կատարված բարեփոխումների շարունակման գործընթացի ապահովումը, նոր գաղափարների իրացումն ու ոլորտի զարգացման քաղաքականությունից բխող հիմնախնդիրների լուծումը՝ մասնավորապես, ջրամատակարարման որակի բարձրացումը, յուրաքանչյուր սոցիալական խմբի և շահառուի համար ծառայությունների հասանելության ապահովումը, ոռոգվող հողատարածքների ընդլայնումը և այլն:</w:t>
      </w:r>
    </w:p>
    <w:p w:rsidR="007A5F0F" w:rsidRDefault="007A5F0F" w:rsidP="007730AA">
      <w:pPr>
        <w:tabs>
          <w:tab w:val="left" w:pos="567"/>
        </w:tabs>
        <w:spacing w:before="0" w:line="276" w:lineRule="auto"/>
        <w:ind w:firstLine="720"/>
        <w:contextualSpacing w:val="0"/>
        <w:rPr>
          <w:b w:val="0"/>
          <w:szCs w:val="22"/>
          <w:lang w:val="hy-AM"/>
        </w:rPr>
      </w:pPr>
      <w:r w:rsidRPr="006207C2">
        <w:rPr>
          <w:b w:val="0"/>
          <w:szCs w:val="22"/>
          <w:lang w:val="hy-AM"/>
        </w:rPr>
        <w:t>ՀՀ 2021 թվականի պետական բյուջեում նախատեսվում է ապահովել խմելու և ոռոգման ջրի համակարգերի բարեփոխումների երկարաժամկետ ծրագրերի իրականացումը՝ հիմնականում նպատակ դնելով բարձրացնել համակարգերի շահագործման հուսալիությունը և արդյունավետությունը: Առաջնահերթ խնդիր է համակարգերի կազմակերպությունների գործունեության արդյունավետության բարձրացումը՝ ներառելով մասնավոր կառավարման բաղադրիչը, ինչպես նաև կրճատել ջրի կորուստները և բարելավել ջրամատակարարման ու ջրահեռացման ծառայությունների որակը:</w:t>
      </w:r>
    </w:p>
    <w:p w:rsidR="007A5F0F" w:rsidRDefault="007A5F0F" w:rsidP="007730AA">
      <w:pPr>
        <w:tabs>
          <w:tab w:val="left" w:pos="567"/>
        </w:tabs>
        <w:spacing w:before="0" w:line="276" w:lineRule="auto"/>
        <w:ind w:firstLine="720"/>
        <w:contextualSpacing w:val="0"/>
        <w:rPr>
          <w:b w:val="0"/>
          <w:szCs w:val="22"/>
          <w:lang w:val="hy-AM"/>
        </w:rPr>
      </w:pPr>
      <w:r w:rsidRPr="006207C2">
        <w:rPr>
          <w:b w:val="0"/>
          <w:szCs w:val="22"/>
          <w:lang w:val="hy-AM"/>
        </w:rPr>
        <w:t>Միաժամանակ, անհրաժեշտ է շարունակել կարևորագույն հիդրոտեխնիկական կառուցվածքների, այդ թվում` ջրամբարների պատվարների ամրապնդման ու նորոգման աշխատանքները՝ երաշխավորելով դրանց անվտանգ ու անխափան շահագործումը:</w:t>
      </w:r>
    </w:p>
    <w:p w:rsidR="007A5F0F" w:rsidRDefault="007A5F0F" w:rsidP="007730AA">
      <w:pPr>
        <w:tabs>
          <w:tab w:val="left" w:pos="567"/>
        </w:tabs>
        <w:spacing w:before="0" w:line="276" w:lineRule="auto"/>
        <w:ind w:firstLine="720"/>
        <w:contextualSpacing w:val="0"/>
        <w:rPr>
          <w:b w:val="0"/>
          <w:szCs w:val="22"/>
          <w:lang w:val="hy-AM"/>
        </w:rPr>
      </w:pPr>
      <w:r w:rsidRPr="000840C9">
        <w:rPr>
          <w:b w:val="0"/>
          <w:szCs w:val="22"/>
          <w:lang w:val="hy-AM"/>
        </w:rPr>
        <w:t>2021</w:t>
      </w:r>
      <w:r>
        <w:rPr>
          <w:b w:val="0"/>
          <w:szCs w:val="22"/>
          <w:lang w:val="hy-AM"/>
        </w:rPr>
        <w:t xml:space="preserve"> </w:t>
      </w:r>
      <w:r w:rsidRPr="000840C9">
        <w:rPr>
          <w:b w:val="0"/>
          <w:szCs w:val="22"/>
          <w:lang w:val="hy-AM"/>
        </w:rPr>
        <w:t xml:space="preserve">թվականին խմելու և ոռոգման ջրերի մատակարարման, ջրահեռացման և կեղտաջրերի մաքրման աշխատանքների բարելավման գերակա ուղղությունները կլինեն համակարգերում ջրամատակարարման շարունակականության և ջրի որակի բարելավման ապահովումը, համակարգերում կառավարման բարեփոխումների խորացումն ու ամրապնդումը, կատարելագործումը, ներդրումների անհրաժեշտ ծավալների ներգրավումը և իրականացումը, ջրային համակարգերի վերականգնմանը և զարգացմանն ուղղված համալիր միջոցառումների իրականացումը, համակարգերի օգտագործման տնտեսական արդյունավետության և հուսալիության բարձրացումը, համակարգում առկա և նոր գործարկվող հզորությունների պատշաճ շահագործումը և պահպանումը, մատուցված ծառայությունների դիմաց վարձավճարների հավաքագրման մակարդակի բարձրացման և ջրի կորուստների նվազեցման նպատակով հաշվառման համակարգի կատարելագործման համալիր ծրագրերի ներդրումը, ինչպես նաև ընկերությունների ինքնածախսածածկման ապահովման շարունակումը: </w:t>
      </w:r>
    </w:p>
    <w:p w:rsidR="007A5F0F" w:rsidRDefault="007A5F0F" w:rsidP="007730AA">
      <w:pPr>
        <w:tabs>
          <w:tab w:val="left" w:pos="567"/>
        </w:tabs>
        <w:spacing w:before="0" w:line="276" w:lineRule="auto"/>
        <w:ind w:firstLine="720"/>
        <w:contextualSpacing w:val="0"/>
        <w:rPr>
          <w:b w:val="0"/>
          <w:szCs w:val="22"/>
          <w:lang w:val="hy-AM"/>
        </w:rPr>
      </w:pPr>
      <w:r w:rsidRPr="006207C2">
        <w:rPr>
          <w:b w:val="0"/>
          <w:szCs w:val="22"/>
          <w:lang w:val="hy-AM"/>
        </w:rPr>
        <w:t>Աշխատանքները կիրականացվեն կառուցվածքային բարեփոխումների, ջրամատակարարման տևողության ավելացման, ջրի որակի բարելավման, ինստիտուցիոնալ բարեփոխումների խորացման, վարձակալության պայմանագրերի վերահսկման, մատակարարված ոռոգման ջրի դիմաց վճարների հավաքագրման մակարդակի բարձրացման, համակարգի ընկերությունների գործունեության արդյունավետության բարձրացման, բյուջետային, վարկային և դրամաշնորհային միջոցների արդյունավետ օգտագործման և այլ ուղղություններով։</w:t>
      </w:r>
    </w:p>
    <w:p w:rsidR="007A5F0F" w:rsidRDefault="007A5F0F" w:rsidP="007730AA">
      <w:pPr>
        <w:tabs>
          <w:tab w:val="left" w:pos="567"/>
        </w:tabs>
        <w:spacing w:before="0" w:line="276" w:lineRule="auto"/>
        <w:ind w:firstLine="720"/>
        <w:contextualSpacing w:val="0"/>
        <w:rPr>
          <w:b w:val="0"/>
          <w:szCs w:val="22"/>
          <w:lang w:val="hy-AM"/>
        </w:rPr>
      </w:pPr>
      <w:r w:rsidRPr="006207C2">
        <w:rPr>
          <w:b w:val="0"/>
          <w:szCs w:val="22"/>
          <w:lang w:val="hy-AM"/>
        </w:rPr>
        <w:t>Հասանելի և որակյալ ծառայությունների մատուցման ապահովման նպատակով 2021 թվականի ընթացքում անհրաժեշտ է շարունակել համապատասխան ներդրումների կատարումը ջրային ոլորտում: Ներդրումային քաղաքականությունը պետք է նպատակաուղղված լինի համակարգերի պահպանմանը և վերականգնմանը, առկա ենթակառուցվածքների արդիականացման և նորերի կառուցմամբ ծառայությունների մատուցման էներգատար կառուցվածքների փոփոխմանը, համակարգերում հաշվառելիության համակարգի բարելավմանը և արդիականացմանը:</w:t>
      </w:r>
    </w:p>
    <w:p w:rsidR="007A5F0F" w:rsidRPr="006207C2" w:rsidRDefault="007A5F0F" w:rsidP="007730AA">
      <w:pPr>
        <w:tabs>
          <w:tab w:val="left" w:pos="567"/>
        </w:tabs>
        <w:spacing w:before="0" w:line="276" w:lineRule="auto"/>
        <w:ind w:firstLine="720"/>
        <w:contextualSpacing w:val="0"/>
        <w:rPr>
          <w:b w:val="0"/>
          <w:szCs w:val="22"/>
          <w:lang w:val="hy-AM"/>
        </w:rPr>
      </w:pPr>
      <w:r w:rsidRPr="006207C2">
        <w:rPr>
          <w:b w:val="0"/>
          <w:szCs w:val="22"/>
          <w:lang w:val="hy-AM"/>
        </w:rPr>
        <w:t>Հայաստանի Հանրապետության ջրային տնտեսության ոլորտում նախատեսվում է իրականացնել հետևյալ հիմնական աշխատանքները՝</w:t>
      </w:r>
    </w:p>
    <w:p w:rsidR="007A5F0F" w:rsidRDefault="007A5F0F" w:rsidP="007730AA">
      <w:pPr>
        <w:pStyle w:val="ListParagraph"/>
        <w:numPr>
          <w:ilvl w:val="0"/>
          <w:numId w:val="26"/>
        </w:numPr>
        <w:tabs>
          <w:tab w:val="left" w:pos="567"/>
        </w:tabs>
        <w:spacing w:before="0" w:line="276" w:lineRule="auto"/>
        <w:ind w:left="0" w:firstLine="426"/>
        <w:contextualSpacing w:val="0"/>
        <w:rPr>
          <w:b w:val="0"/>
          <w:szCs w:val="22"/>
          <w:lang w:val="hy-AM"/>
        </w:rPr>
      </w:pPr>
      <w:r>
        <w:rPr>
          <w:b w:val="0"/>
          <w:szCs w:val="22"/>
          <w:lang w:val="hy-AM"/>
        </w:rPr>
        <w:t xml:space="preserve">  </w:t>
      </w:r>
      <w:r w:rsidRPr="00CE4AAC">
        <w:rPr>
          <w:b w:val="0"/>
          <w:szCs w:val="22"/>
          <w:lang w:val="hy-AM"/>
        </w:rPr>
        <w:t>ջրամատակարար կազմակերպությունների սպասարկման տարածքներից դուրս գտնվող բնակավայրերում ջրամատակարարման ներդրումային աշխատանքներ,</w:t>
      </w:r>
    </w:p>
    <w:p w:rsidR="007A5F0F" w:rsidRDefault="007A5F0F" w:rsidP="007730AA">
      <w:pPr>
        <w:pStyle w:val="ListParagraph"/>
        <w:numPr>
          <w:ilvl w:val="0"/>
          <w:numId w:val="26"/>
        </w:numPr>
        <w:tabs>
          <w:tab w:val="left" w:pos="567"/>
        </w:tabs>
        <w:spacing w:before="0" w:line="276" w:lineRule="auto"/>
        <w:ind w:left="0" w:firstLine="426"/>
        <w:contextualSpacing w:val="0"/>
        <w:rPr>
          <w:b w:val="0"/>
          <w:szCs w:val="22"/>
          <w:lang w:val="hy-AM"/>
        </w:rPr>
      </w:pPr>
      <w:r>
        <w:rPr>
          <w:b w:val="0"/>
          <w:szCs w:val="22"/>
          <w:lang w:val="hy-AM"/>
        </w:rPr>
        <w:t xml:space="preserve">  </w:t>
      </w:r>
      <w:r w:rsidRPr="004D4449">
        <w:rPr>
          <w:b w:val="0"/>
          <w:szCs w:val="22"/>
          <w:lang w:val="hy-AM"/>
        </w:rPr>
        <w:t>կոյուղու մաքրման կայանների կառուցման նախապատրաստման և իրականացման աշխատանքներ,</w:t>
      </w:r>
    </w:p>
    <w:p w:rsidR="007A5F0F" w:rsidRDefault="007A5F0F" w:rsidP="007730AA">
      <w:pPr>
        <w:pStyle w:val="ListParagraph"/>
        <w:numPr>
          <w:ilvl w:val="0"/>
          <w:numId w:val="26"/>
        </w:numPr>
        <w:tabs>
          <w:tab w:val="left" w:pos="567"/>
        </w:tabs>
        <w:spacing w:before="0" w:line="276" w:lineRule="auto"/>
        <w:ind w:left="0" w:firstLine="426"/>
        <w:contextualSpacing w:val="0"/>
        <w:rPr>
          <w:b w:val="0"/>
          <w:szCs w:val="22"/>
          <w:lang w:val="hy-AM"/>
        </w:rPr>
      </w:pPr>
      <w:r>
        <w:rPr>
          <w:b w:val="0"/>
          <w:szCs w:val="22"/>
          <w:lang w:val="hy-AM"/>
        </w:rPr>
        <w:t xml:space="preserve">  </w:t>
      </w:r>
      <w:r w:rsidRPr="004D4449">
        <w:rPr>
          <w:b w:val="0"/>
          <w:szCs w:val="22"/>
          <w:lang w:val="hy-AM"/>
        </w:rPr>
        <w:t>ոռոգման ջրանցքների, ջրատարների և պոմպակայանների վերականգնման և նորոգման, ինչպես նաև ինքնահոս համակարգերի կառուցման աշխատանքներ,</w:t>
      </w:r>
    </w:p>
    <w:p w:rsidR="007A5F0F" w:rsidRDefault="007A5F0F" w:rsidP="007730AA">
      <w:pPr>
        <w:pStyle w:val="ListParagraph"/>
        <w:numPr>
          <w:ilvl w:val="0"/>
          <w:numId w:val="26"/>
        </w:numPr>
        <w:tabs>
          <w:tab w:val="left" w:pos="567"/>
        </w:tabs>
        <w:spacing w:before="0" w:line="276" w:lineRule="auto"/>
        <w:ind w:left="0" w:firstLine="426"/>
        <w:contextualSpacing w:val="0"/>
        <w:rPr>
          <w:b w:val="0"/>
          <w:szCs w:val="22"/>
          <w:lang w:val="hy-AM"/>
        </w:rPr>
      </w:pPr>
      <w:r>
        <w:rPr>
          <w:b w:val="0"/>
          <w:szCs w:val="22"/>
          <w:lang w:val="hy-AM"/>
        </w:rPr>
        <w:t xml:space="preserve">  </w:t>
      </w:r>
      <w:r w:rsidRPr="004D4449">
        <w:rPr>
          <w:b w:val="0"/>
          <w:szCs w:val="22"/>
          <w:lang w:val="hy-AM"/>
        </w:rPr>
        <w:t>ջրամբարաշինության ծրագրերի նախապատրաստման և ջրամբարաշինական ծրագրերի իրականացման աշխատանքներ,</w:t>
      </w:r>
    </w:p>
    <w:p w:rsidR="007A5F0F" w:rsidRDefault="007A5F0F" w:rsidP="007730AA">
      <w:pPr>
        <w:pStyle w:val="ListParagraph"/>
        <w:numPr>
          <w:ilvl w:val="0"/>
          <w:numId w:val="26"/>
        </w:numPr>
        <w:tabs>
          <w:tab w:val="left" w:pos="567"/>
        </w:tabs>
        <w:spacing w:before="0" w:line="276" w:lineRule="auto"/>
        <w:ind w:left="0" w:firstLine="426"/>
        <w:contextualSpacing w:val="0"/>
        <w:rPr>
          <w:b w:val="0"/>
          <w:szCs w:val="22"/>
          <w:lang w:val="hy-AM"/>
        </w:rPr>
      </w:pPr>
      <w:r>
        <w:rPr>
          <w:b w:val="0"/>
          <w:szCs w:val="22"/>
          <w:lang w:val="hy-AM"/>
        </w:rPr>
        <w:t xml:space="preserve">  </w:t>
      </w:r>
      <w:r w:rsidRPr="004D4449">
        <w:rPr>
          <w:b w:val="0"/>
          <w:szCs w:val="22"/>
          <w:lang w:val="hy-AM"/>
        </w:rPr>
        <w:t>Եվրասիական բանկի, Գերմանիայի Դաշնային Հանրապետության տնտեսական զարգացման բանկի, Եվրոպական ներդրումային բանկի կողմից ֆինանսավորվող, ինչպես նաև Ֆրանսիայի Հանրապետության կառավարության աջակցությամբ իրականացվող վարկային և դրամաշնորհային ծրագրերի իրականացման ապահովման աշխատանքներ,</w:t>
      </w:r>
    </w:p>
    <w:p w:rsidR="007A5F0F" w:rsidRPr="00845585" w:rsidRDefault="007A5F0F" w:rsidP="007730AA">
      <w:pPr>
        <w:pStyle w:val="ListParagraph"/>
        <w:numPr>
          <w:ilvl w:val="0"/>
          <w:numId w:val="26"/>
        </w:numPr>
        <w:tabs>
          <w:tab w:val="left" w:pos="567"/>
        </w:tabs>
        <w:spacing w:before="0" w:line="276" w:lineRule="auto"/>
        <w:ind w:left="0" w:firstLine="426"/>
        <w:contextualSpacing w:val="0"/>
        <w:rPr>
          <w:b w:val="0"/>
          <w:szCs w:val="22"/>
          <w:lang w:val="hy-AM"/>
        </w:rPr>
      </w:pPr>
      <w:r w:rsidRPr="00845585">
        <w:rPr>
          <w:b w:val="0"/>
          <w:szCs w:val="22"/>
          <w:lang w:val="hy-AM"/>
        </w:rPr>
        <w:t xml:space="preserve">  սակավաջուր տարածքներում ջրամատակարարման կազմակերպման աշխատանքներ,</w:t>
      </w:r>
    </w:p>
    <w:p w:rsidR="007A5F0F" w:rsidRDefault="007A5F0F" w:rsidP="007730AA">
      <w:pPr>
        <w:pStyle w:val="ListParagraph"/>
        <w:numPr>
          <w:ilvl w:val="0"/>
          <w:numId w:val="26"/>
        </w:numPr>
        <w:tabs>
          <w:tab w:val="left" w:pos="567"/>
        </w:tabs>
        <w:spacing w:before="0" w:line="276" w:lineRule="auto"/>
        <w:ind w:left="0" w:firstLine="426"/>
        <w:contextualSpacing w:val="0"/>
        <w:rPr>
          <w:b w:val="0"/>
          <w:szCs w:val="22"/>
          <w:lang w:val="hy-AM"/>
        </w:rPr>
      </w:pPr>
      <w:r>
        <w:rPr>
          <w:b w:val="0"/>
          <w:szCs w:val="22"/>
          <w:lang w:val="hy-AM"/>
        </w:rPr>
        <w:t xml:space="preserve">  </w:t>
      </w:r>
      <w:r w:rsidRPr="004D4449">
        <w:rPr>
          <w:b w:val="0"/>
          <w:szCs w:val="22"/>
          <w:lang w:val="hy-AM"/>
        </w:rPr>
        <w:t>ջր</w:t>
      </w:r>
      <w:r>
        <w:rPr>
          <w:b w:val="0"/>
          <w:szCs w:val="22"/>
          <w:lang w:val="hy-AM"/>
        </w:rPr>
        <w:t xml:space="preserve">ի և էլեկտրաէներգիայի խնայողության խրախուսման, </w:t>
      </w:r>
      <w:r w:rsidRPr="004D4449">
        <w:rPr>
          <w:b w:val="0"/>
          <w:szCs w:val="22"/>
          <w:lang w:val="hy-AM"/>
        </w:rPr>
        <w:t>ջրամատակարարման տևողության ավելաց</w:t>
      </w:r>
      <w:r w:rsidRPr="00735B4D">
        <w:rPr>
          <w:b w:val="0"/>
          <w:szCs w:val="22"/>
          <w:lang w:val="hy-AM"/>
        </w:rPr>
        <w:t>ման</w:t>
      </w:r>
      <w:r>
        <w:rPr>
          <w:b w:val="0"/>
          <w:szCs w:val="22"/>
          <w:lang w:val="hy-AM"/>
        </w:rPr>
        <w:t xml:space="preserve"> և ջրի որակի բարելավման</w:t>
      </w:r>
      <w:r w:rsidRPr="004D4449">
        <w:rPr>
          <w:b w:val="0"/>
          <w:szCs w:val="22"/>
          <w:lang w:val="hy-AM"/>
        </w:rPr>
        <w:t>, ինչպես նաև հաշվառման համակարգ</w:t>
      </w:r>
      <w:r w:rsidRPr="00735B4D">
        <w:rPr>
          <w:b w:val="0"/>
          <w:szCs w:val="22"/>
          <w:lang w:val="hy-AM"/>
        </w:rPr>
        <w:t xml:space="preserve">ի </w:t>
      </w:r>
      <w:r w:rsidRPr="004D4449">
        <w:rPr>
          <w:b w:val="0"/>
          <w:szCs w:val="22"/>
          <w:lang w:val="hy-AM"/>
        </w:rPr>
        <w:t>շարունակ</w:t>
      </w:r>
      <w:r w:rsidRPr="00735B4D">
        <w:rPr>
          <w:b w:val="0"/>
          <w:szCs w:val="22"/>
          <w:lang w:val="hy-AM"/>
        </w:rPr>
        <w:t xml:space="preserve">ական </w:t>
      </w:r>
      <w:r>
        <w:rPr>
          <w:b w:val="0"/>
          <w:szCs w:val="22"/>
          <w:lang w:val="hy-AM"/>
        </w:rPr>
        <w:t xml:space="preserve"> կատարելագործման աշխատանքներ,</w:t>
      </w:r>
    </w:p>
    <w:p w:rsidR="007A5F0F" w:rsidRPr="004D4449" w:rsidRDefault="007A5F0F" w:rsidP="007730AA">
      <w:pPr>
        <w:pStyle w:val="ListParagraph"/>
        <w:numPr>
          <w:ilvl w:val="0"/>
          <w:numId w:val="26"/>
        </w:numPr>
        <w:tabs>
          <w:tab w:val="left" w:pos="567"/>
        </w:tabs>
        <w:spacing w:before="0" w:line="276" w:lineRule="auto"/>
        <w:ind w:left="0" w:firstLine="426"/>
        <w:contextualSpacing w:val="0"/>
        <w:rPr>
          <w:b w:val="0"/>
          <w:szCs w:val="22"/>
          <w:lang w:val="hy-AM"/>
        </w:rPr>
      </w:pPr>
      <w:r w:rsidRPr="00C24EB3">
        <w:rPr>
          <w:b w:val="0"/>
          <w:szCs w:val="22"/>
          <w:lang w:val="hy-AM"/>
        </w:rPr>
        <w:t xml:space="preserve"> </w:t>
      </w:r>
      <w:r w:rsidRPr="004D4449">
        <w:rPr>
          <w:b w:val="0"/>
          <w:szCs w:val="22"/>
          <w:lang w:val="hy-AM"/>
        </w:rPr>
        <w:t>ջրամատակարարման և ջրահեռացման ոլորտներում ապօրինությունների կանխարգելման ուղղությամբ</w:t>
      </w:r>
      <w:r w:rsidRPr="00C24EB3">
        <w:rPr>
          <w:b w:val="0"/>
          <w:szCs w:val="22"/>
          <w:lang w:val="hy-AM"/>
        </w:rPr>
        <w:t xml:space="preserve"> </w:t>
      </w:r>
      <w:r>
        <w:rPr>
          <w:b w:val="0"/>
          <w:szCs w:val="22"/>
          <w:lang w:val="hy-AM"/>
        </w:rPr>
        <w:t>վերահսկողոական աշխատանքներ</w:t>
      </w:r>
      <w:r w:rsidRPr="004D4449">
        <w:rPr>
          <w:b w:val="0"/>
          <w:szCs w:val="22"/>
          <w:lang w:val="hy-AM"/>
        </w:rPr>
        <w:t>:</w:t>
      </w:r>
    </w:p>
    <w:p w:rsidR="007A5F0F" w:rsidRPr="00C02DFC"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17" w:name="_Toc26174889"/>
      <w:bookmarkStart w:id="18" w:name="_Toc57655419"/>
      <w:r w:rsidRPr="00C02DFC">
        <w:rPr>
          <w:rFonts w:cs="Arial"/>
          <w:szCs w:val="22"/>
          <w:lang w:val="hy-AM" w:eastAsia="en-US"/>
        </w:rPr>
        <w:t>Տրանսպորտ</w:t>
      </w:r>
      <w:bookmarkEnd w:id="17"/>
      <w:bookmarkEnd w:id="18"/>
    </w:p>
    <w:p w:rsidR="007A5F0F" w:rsidRDefault="007A5F0F" w:rsidP="007730AA">
      <w:pPr>
        <w:widowControl w:val="0"/>
        <w:tabs>
          <w:tab w:val="left" w:pos="567"/>
        </w:tabs>
        <w:spacing w:before="0" w:line="276" w:lineRule="auto"/>
        <w:ind w:firstLine="720"/>
        <w:contextualSpacing w:val="0"/>
        <w:rPr>
          <w:rFonts w:cs="Sylfaen"/>
          <w:szCs w:val="22"/>
          <w:lang w:val="hy-AM"/>
        </w:rPr>
      </w:pPr>
      <w:r w:rsidRPr="00C02DFC">
        <w:rPr>
          <w:rFonts w:cs="Sylfaen"/>
          <w:szCs w:val="22"/>
          <w:lang w:val="hy-AM"/>
        </w:rPr>
        <w:t>Լիցենզավորում և լիցենզավորման և հսկողության էլեկտրոնային համակարգի արդիականացում և սպասարկում</w:t>
      </w:r>
      <w:r w:rsidRPr="00735B4D">
        <w:rPr>
          <w:rFonts w:cs="Sylfaen"/>
          <w:szCs w:val="22"/>
          <w:lang w:val="hy-AM"/>
        </w:rPr>
        <w:t>.</w:t>
      </w:r>
      <w:r>
        <w:rPr>
          <w:rFonts w:cs="Sylfaen"/>
          <w:szCs w:val="22"/>
          <w:lang w:val="hy-AM"/>
        </w:rPr>
        <w:t xml:space="preserve"> </w:t>
      </w:r>
      <w:r w:rsidRPr="00265376">
        <w:rPr>
          <w:rFonts w:cs="Sylfaen"/>
          <w:b w:val="0"/>
          <w:bCs/>
          <w:szCs w:val="22"/>
          <w:lang w:val="hy-AM"/>
        </w:rPr>
        <w:t>ՀՀ</w:t>
      </w:r>
      <w:r>
        <w:rPr>
          <w:rFonts w:cs="Sylfaen"/>
          <w:szCs w:val="22"/>
          <w:lang w:val="hy-AM"/>
        </w:rPr>
        <w:t xml:space="preserve"> </w:t>
      </w:r>
      <w:r>
        <w:rPr>
          <w:rFonts w:cs="Sylfaen"/>
          <w:b w:val="0"/>
          <w:bCs/>
          <w:szCs w:val="22"/>
          <w:lang w:val="hy-AM"/>
        </w:rPr>
        <w:t>կառավ</w:t>
      </w:r>
      <w:r w:rsidRPr="00C02DFC">
        <w:rPr>
          <w:rFonts w:cs="Sylfaen"/>
          <w:b w:val="0"/>
          <w:bCs/>
          <w:szCs w:val="22"/>
          <w:lang w:val="hy-AM"/>
        </w:rPr>
        <w:t xml:space="preserve">արության կողմից տրամադրվող՝ </w:t>
      </w:r>
      <w:r w:rsidRPr="00735B4D">
        <w:rPr>
          <w:rFonts w:cs="Sylfaen"/>
          <w:b w:val="0"/>
          <w:bCs/>
          <w:szCs w:val="22"/>
          <w:lang w:val="hy-AM"/>
        </w:rPr>
        <w:t>ա</w:t>
      </w:r>
      <w:r w:rsidRPr="00C02DFC">
        <w:rPr>
          <w:rFonts w:cs="Sylfaen"/>
          <w:b w:val="0"/>
          <w:bCs/>
          <w:szCs w:val="22"/>
          <w:lang w:val="hy-AM"/>
        </w:rPr>
        <w:t>նհատ ձեռնարկատերերի և կազմակերպությունների կողմից մարդատար-տաքսի ավտոմոբիլներով ուղևորափոխադրումների կազմակերպման, տրանսպորտային միջոցների տեխնիկական զննության գործունեության կազմակերպման, երկաթուղային տրանսպորտի գործունեության կազմակերպման լիցենզիաների տրամադրման գործընթացի կազմակերպումը իրականացվում է թղթային եղանակով: Հիմք ընդունելով լիցենզավորման գործընթացների թվայնացմանն ուղղված ՀՀ կառավարության  մարտավարությունը՝ ֆինանսական միջոցների առկայության դեպ</w:t>
      </w:r>
      <w:r>
        <w:rPr>
          <w:rFonts w:cs="Sylfaen"/>
          <w:b w:val="0"/>
          <w:bCs/>
          <w:szCs w:val="22"/>
          <w:lang w:val="hy-AM"/>
        </w:rPr>
        <w:t>ք</w:t>
      </w:r>
      <w:r w:rsidRPr="00C02DFC">
        <w:rPr>
          <w:rFonts w:cs="Sylfaen"/>
          <w:b w:val="0"/>
          <w:bCs/>
          <w:szCs w:val="22"/>
          <w:lang w:val="hy-AM"/>
        </w:rPr>
        <w:t>ում, ըստ ՀՀ կառավարության կողմից սահմանված առաջնահերթությունների, նախատեսվում է ստեղծել էլեկտրոնային շտեմարաններ, որոնք կարող են ներառվել փոխգործելիության հարթակներում և հիմք հանդիսանալ գործընթացների թվայնացման համար:</w:t>
      </w:r>
    </w:p>
    <w:p w:rsidR="007A5F0F" w:rsidRPr="00C02DFC" w:rsidRDefault="007A5F0F" w:rsidP="007730AA">
      <w:pPr>
        <w:widowControl w:val="0"/>
        <w:tabs>
          <w:tab w:val="left" w:pos="567"/>
        </w:tabs>
        <w:spacing w:before="0" w:line="276" w:lineRule="auto"/>
        <w:ind w:firstLine="720"/>
        <w:contextualSpacing w:val="0"/>
        <w:rPr>
          <w:rFonts w:cs="Sylfaen"/>
          <w:szCs w:val="22"/>
          <w:lang w:val="hy-AM"/>
        </w:rPr>
      </w:pPr>
      <w:r w:rsidRPr="00C02DFC">
        <w:rPr>
          <w:rFonts w:cs="Sylfaen"/>
          <w:b w:val="0"/>
          <w:bCs/>
          <w:szCs w:val="22"/>
          <w:lang w:val="hy-AM"/>
        </w:rPr>
        <w:t>Միաժամանակ նախատեսվում է արդիականացնել գոյություն ունեցող լիցենզավորման և հսկողության էլեկտրոնային համակարգը:</w:t>
      </w:r>
    </w:p>
    <w:p w:rsidR="007A5F0F" w:rsidRDefault="007A5F0F" w:rsidP="007730AA">
      <w:pPr>
        <w:widowControl w:val="0"/>
        <w:tabs>
          <w:tab w:val="left" w:pos="567"/>
        </w:tabs>
        <w:spacing w:before="0" w:line="276" w:lineRule="auto"/>
        <w:ind w:firstLine="720"/>
        <w:contextualSpacing w:val="0"/>
        <w:rPr>
          <w:rFonts w:cs="Sylfaen"/>
          <w:b w:val="0"/>
          <w:bCs/>
          <w:szCs w:val="22"/>
          <w:lang w:val="hy-AM"/>
        </w:rPr>
      </w:pPr>
      <w:r w:rsidRPr="00C02DFC">
        <w:rPr>
          <w:rFonts w:cs="Sylfaen"/>
          <w:szCs w:val="22"/>
          <w:lang w:val="hy-AM"/>
        </w:rPr>
        <w:t>Միջպետական բեռնափոխադրումների թույլտվությունների տրամադրում</w:t>
      </w:r>
      <w:r w:rsidRPr="00EA2C1D">
        <w:rPr>
          <w:rFonts w:cs="Sylfaen"/>
          <w:szCs w:val="22"/>
          <w:lang w:val="hy-AM"/>
        </w:rPr>
        <w:t>.</w:t>
      </w:r>
      <w:r>
        <w:rPr>
          <w:rFonts w:cs="Sylfaen"/>
          <w:szCs w:val="22"/>
          <w:lang w:val="hy-AM"/>
        </w:rPr>
        <w:t xml:space="preserve"> </w:t>
      </w:r>
      <w:r w:rsidRPr="00704EA5">
        <w:rPr>
          <w:rFonts w:cs="Sylfaen"/>
          <w:b w:val="0"/>
          <w:bCs/>
          <w:szCs w:val="22"/>
          <w:lang w:val="hy-AM"/>
        </w:rPr>
        <w:t xml:space="preserve">2021 թվականի ընթացքում շարունակվելու է իրականացվել Հայաստանի Հանրապետության և թվով 20 երկրների միջև կնքված միջպետական պայմանագրերով նախատեսված՝ ուղևորափոխադրումների և բեռնափոխադրումների թույլտվությունների, ինչպես նաև ՏՆԵԿ, Տրասսեկա և Սևծովյան տնտեսական համագործակցության շրջանակներում տրամադրվող՝ փոխադրումների թույլտվությունների տրամադրման գործընթացները:          </w:t>
      </w:r>
    </w:p>
    <w:p w:rsidR="007A5F0F" w:rsidRDefault="007A5F0F" w:rsidP="007730AA">
      <w:pPr>
        <w:widowControl w:val="0"/>
        <w:tabs>
          <w:tab w:val="left" w:pos="567"/>
        </w:tabs>
        <w:spacing w:before="0" w:line="276" w:lineRule="auto"/>
        <w:ind w:firstLine="720"/>
        <w:contextualSpacing w:val="0"/>
        <w:rPr>
          <w:rFonts w:cs="Sylfaen"/>
          <w:b w:val="0"/>
          <w:bCs/>
          <w:szCs w:val="22"/>
          <w:lang w:val="hy-AM"/>
        </w:rPr>
      </w:pPr>
      <w:r w:rsidRPr="00704EA5">
        <w:rPr>
          <w:rFonts w:cs="Sylfaen"/>
          <w:b w:val="0"/>
          <w:bCs/>
          <w:szCs w:val="22"/>
          <w:lang w:val="hy-AM"/>
        </w:rPr>
        <w:t>Միաժամանակ՝ նախատեսվում է նշված թույլտվությունների էլեկտրոնային շտեմարանները ներառել պետական մարմինների փոխգործելիության հարթակում, իսկ ՏՆԵԿ թույլտվությունների տրամադրման համար համագործակցել ՏՆԵԿ կենտրոնակայանի նախաձեռնած՝ թույլտվությունների տրամադրումը թվայնացնելու նախաձեռնությանը:</w:t>
      </w:r>
    </w:p>
    <w:p w:rsidR="007A5F0F" w:rsidRDefault="007A5F0F" w:rsidP="007730AA">
      <w:pPr>
        <w:widowControl w:val="0"/>
        <w:tabs>
          <w:tab w:val="left" w:pos="567"/>
        </w:tabs>
        <w:spacing w:before="0" w:line="276" w:lineRule="auto"/>
        <w:ind w:firstLine="720"/>
        <w:contextualSpacing w:val="0"/>
        <w:rPr>
          <w:rFonts w:cs="Sylfaen"/>
          <w:szCs w:val="22"/>
          <w:lang w:val="hy-AM"/>
        </w:rPr>
      </w:pPr>
      <w:r w:rsidRPr="00C02DFC">
        <w:rPr>
          <w:rFonts w:cs="Sylfaen"/>
          <w:szCs w:val="22"/>
          <w:lang w:val="hy-AM"/>
        </w:rPr>
        <w:t>Տեխնիկական զննություն</w:t>
      </w:r>
      <w:r>
        <w:rPr>
          <w:rFonts w:cs="Sylfaen"/>
          <w:szCs w:val="22"/>
          <w:lang w:val="hy-AM"/>
        </w:rPr>
        <w:t xml:space="preserve">. </w:t>
      </w:r>
      <w:r w:rsidRPr="00704EA5">
        <w:rPr>
          <w:rFonts w:cs="Sylfaen"/>
          <w:b w:val="0"/>
          <w:bCs/>
          <w:szCs w:val="22"/>
          <w:lang w:val="hy-AM"/>
        </w:rPr>
        <w:t>Տեխնիկական զննության գործընթացը կանոնակարգելու նպատակով շարունակվելու են օրենսդրական բարեփոխումները: Նախատեսվում  է ստեղծել վերահսկման էլեկտրոնային համակարգ, որը կփոխարինի ներկայումն շրջանառվող կտրոններին, կստեղծվի էլեկտրոնային շտեմարան, որին միացված կլինեն բոլոր կայանները: Շտերամանի տվյալները հասնելի կլինեն տեսչական մարմնին</w:t>
      </w:r>
      <w:r w:rsidRPr="00277D21">
        <w:rPr>
          <w:rFonts w:cs="Sylfaen"/>
          <w:b w:val="0"/>
          <w:bCs/>
          <w:szCs w:val="22"/>
          <w:lang w:val="hy-AM"/>
        </w:rPr>
        <w:t xml:space="preserve"> և</w:t>
      </w:r>
      <w:r w:rsidRPr="00704EA5">
        <w:rPr>
          <w:rFonts w:cs="Sylfaen"/>
          <w:b w:val="0"/>
          <w:bCs/>
          <w:szCs w:val="22"/>
          <w:lang w:val="hy-AM"/>
        </w:rPr>
        <w:t xml:space="preserve"> ճանապարհային ոստիկանությանը:</w:t>
      </w:r>
    </w:p>
    <w:p w:rsidR="007A5F0F" w:rsidRDefault="007A5F0F" w:rsidP="007730AA">
      <w:pPr>
        <w:widowControl w:val="0"/>
        <w:tabs>
          <w:tab w:val="left" w:pos="567"/>
        </w:tabs>
        <w:spacing w:before="0" w:line="276" w:lineRule="auto"/>
        <w:ind w:firstLine="720"/>
        <w:contextualSpacing w:val="0"/>
        <w:rPr>
          <w:rFonts w:cs="Sylfaen"/>
          <w:b w:val="0"/>
          <w:bCs/>
          <w:szCs w:val="22"/>
          <w:lang w:val="hy-AM"/>
        </w:rPr>
      </w:pPr>
      <w:r w:rsidRPr="00C02DFC">
        <w:rPr>
          <w:rFonts w:cs="Sylfaen"/>
          <w:szCs w:val="22"/>
          <w:lang w:val="hy-AM"/>
        </w:rPr>
        <w:t>Գազաբալոնային համակարգեր</w:t>
      </w:r>
      <w:r w:rsidRPr="00277D21">
        <w:rPr>
          <w:rFonts w:cs="Sylfaen"/>
          <w:szCs w:val="22"/>
          <w:lang w:val="hy-AM"/>
        </w:rPr>
        <w:t>.</w:t>
      </w:r>
      <w:r>
        <w:rPr>
          <w:rFonts w:cs="Sylfaen"/>
          <w:szCs w:val="22"/>
          <w:lang w:val="hy-AM"/>
        </w:rPr>
        <w:t xml:space="preserve"> </w:t>
      </w:r>
      <w:r w:rsidRPr="0023020E">
        <w:rPr>
          <w:rFonts w:cs="Sylfaen"/>
          <w:b w:val="0"/>
          <w:bCs/>
          <w:szCs w:val="22"/>
          <w:lang w:val="hy-AM"/>
        </w:rPr>
        <w:t>2021 թվականի ընթացքում կշարունակվեն գազաբալոնային համակարգերով վերասարքավորված տրանսպորտային միջոցների շահագործման անվտանգությունը բարձրացնելու ուղղությամբ իրականացվող բարեփոխումները: Կլիցենզավորվեն գազաբալոնային համակարգեր տեղադրող և վկայագրում իրականացնող բոլոր տնտեսվարողները: Կներդրվի էլեկտրոնային համակարգ՝</w:t>
      </w:r>
      <w:r>
        <w:rPr>
          <w:rFonts w:cs="Sylfaen"/>
          <w:b w:val="0"/>
          <w:bCs/>
          <w:szCs w:val="22"/>
          <w:lang w:val="hy-AM"/>
        </w:rPr>
        <w:t xml:space="preserve"> </w:t>
      </w:r>
      <w:r w:rsidRPr="0023020E">
        <w:rPr>
          <w:rFonts w:cs="Sylfaen"/>
          <w:b w:val="0"/>
          <w:bCs/>
          <w:szCs w:val="22"/>
          <w:lang w:val="hy-AM"/>
        </w:rPr>
        <w:t>վերահսկելու ժամկետանց կամ չվկայագրված բալոնները հայտնաբերելու և լիցքավորումը արգելելու համար:</w:t>
      </w:r>
    </w:p>
    <w:p w:rsidR="007A5F0F" w:rsidRPr="0087574D"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19" w:name="_Toc26174890"/>
      <w:bookmarkStart w:id="20" w:name="_Toc57655420"/>
      <w:r w:rsidRPr="0087574D">
        <w:rPr>
          <w:rFonts w:cs="Arial"/>
          <w:szCs w:val="22"/>
          <w:lang w:val="hy-AM" w:eastAsia="en-US"/>
        </w:rPr>
        <w:t>Քաղաքացիական ավիացիա</w:t>
      </w:r>
      <w:bookmarkEnd w:id="19"/>
      <w:bookmarkEnd w:id="20"/>
      <w:r w:rsidRPr="0087574D">
        <w:rPr>
          <w:rFonts w:cs="Arial"/>
          <w:szCs w:val="22"/>
          <w:lang w:val="hy-AM" w:eastAsia="en-US"/>
        </w:rPr>
        <w:t xml:space="preserve"> </w:t>
      </w:r>
    </w:p>
    <w:p w:rsidR="007A5F0F" w:rsidRPr="00E84EF4" w:rsidRDefault="007A5F0F" w:rsidP="007730AA">
      <w:pPr>
        <w:shd w:val="clear" w:color="auto" w:fill="FFFFFF"/>
        <w:tabs>
          <w:tab w:val="left" w:pos="426"/>
          <w:tab w:val="left" w:pos="567"/>
        </w:tabs>
        <w:spacing w:before="0" w:line="276" w:lineRule="auto"/>
        <w:ind w:firstLine="720"/>
        <w:contextualSpacing w:val="0"/>
        <w:rPr>
          <w:rFonts w:cs="AK Courier"/>
          <w:b w:val="0"/>
          <w:szCs w:val="22"/>
          <w:lang w:val="hy-AM"/>
        </w:rPr>
      </w:pPr>
      <w:r w:rsidRPr="00E84EF4">
        <w:rPr>
          <w:rFonts w:cs="AK Courier"/>
          <w:b w:val="0"/>
          <w:szCs w:val="22"/>
          <w:lang w:val="hy-AM"/>
        </w:rPr>
        <w:t xml:space="preserve">Քաղաքացիական ավիացիայի ոլորտի կառավարման արդյունավետության բարձրացման նպատակով բնագավառում իրականացվում է թռիչքային և ավիացիոն անվտանգության մակարդակների համապատասխանեցում եվրոպական և միջազգային ստանդարտներին: Շարունակվում են արդիականացվել Երևանի «Զվարթնոց» միջազգային օդանավակայանը և նրա ենթակառուցվածքները՝ ուղևորների օդանավակայանային սպասարկման ներկայիս մակարդակը պահպանելու և բարձրացնելու նպատակով: Հավասար մրցակցային պայմաններ են ապահովվում Հայաստանի Հանրապետությունից և դեպի Հայաստանի Հանրապետություն օդային փոխադրումներ իրականացնող ավիափոխադրողների համար: </w:t>
      </w:r>
    </w:p>
    <w:p w:rsidR="007A5F0F" w:rsidRPr="00E84EF4" w:rsidRDefault="007A5F0F" w:rsidP="007730AA">
      <w:pPr>
        <w:shd w:val="clear" w:color="auto" w:fill="FFFFFF"/>
        <w:tabs>
          <w:tab w:val="left" w:pos="426"/>
          <w:tab w:val="left" w:pos="567"/>
        </w:tabs>
        <w:spacing w:before="0" w:line="276" w:lineRule="auto"/>
        <w:ind w:firstLine="720"/>
        <w:contextualSpacing w:val="0"/>
        <w:rPr>
          <w:rFonts w:cs="AK Courier"/>
          <w:b w:val="0"/>
          <w:szCs w:val="22"/>
          <w:lang w:val="hy-AM"/>
        </w:rPr>
      </w:pPr>
      <w:r w:rsidRPr="00E84EF4">
        <w:rPr>
          <w:rFonts w:cs="AK Courier"/>
          <w:b w:val="0"/>
          <w:szCs w:val="22"/>
          <w:lang w:val="hy-AM"/>
        </w:rPr>
        <w:t xml:space="preserve">Այս բնագավառում </w:t>
      </w:r>
      <w:r>
        <w:rPr>
          <w:rFonts w:cs="AK Courier"/>
          <w:b w:val="0"/>
          <w:szCs w:val="22"/>
          <w:lang w:val="hy-AM"/>
        </w:rPr>
        <w:t xml:space="preserve">ՀՀ </w:t>
      </w:r>
      <w:r w:rsidRPr="00E84EF4">
        <w:rPr>
          <w:rFonts w:cs="AK Courier"/>
          <w:b w:val="0"/>
          <w:szCs w:val="22"/>
          <w:lang w:val="hy-AM"/>
        </w:rPr>
        <w:t>կառավարության 2021 թվականի գործունեության հիմնական ուղղություններն են՝</w:t>
      </w:r>
    </w:p>
    <w:p w:rsidR="007A5F0F" w:rsidRDefault="007A5F0F" w:rsidP="007730AA">
      <w:pPr>
        <w:pStyle w:val="ListParagraph"/>
        <w:numPr>
          <w:ilvl w:val="0"/>
          <w:numId w:val="32"/>
        </w:numPr>
        <w:shd w:val="clear" w:color="auto" w:fill="FFFFFF"/>
        <w:tabs>
          <w:tab w:val="left" w:pos="567"/>
          <w:tab w:val="left" w:pos="630"/>
        </w:tabs>
        <w:spacing w:before="0" w:line="276" w:lineRule="auto"/>
        <w:ind w:left="0" w:firstLine="426"/>
        <w:contextualSpacing w:val="0"/>
        <w:rPr>
          <w:rFonts w:cs="AK Courier"/>
          <w:b w:val="0"/>
          <w:szCs w:val="22"/>
          <w:lang w:val="hy-AM"/>
        </w:rPr>
      </w:pPr>
      <w:r w:rsidRPr="001C4172">
        <w:rPr>
          <w:rFonts w:cs="AK Courier"/>
          <w:b w:val="0"/>
          <w:szCs w:val="22"/>
          <w:lang w:val="hy-AM"/>
        </w:rPr>
        <w:t>օդային տրանսպորտի բնագավառում վարվող քաղաքականության շրջանակներում, ներքին և միջազգային օդային հաղորդակցությունների իրավունքների և այդ իրավունքներին վերաբերող, ինչպես նաև քաղաքացիական ավիացիայի բնագավառում թռիչքային և ավիացիոն անվտանգության, օդային երթևեկության սպասարկման նպատակով միջազգային օդային հաղորդակցություններին վերաբերող միջազգային պայմանագրերի նախապատրաստմանը, քննարկմանը, բանակցությունների վարմանը մասնակցությունը,</w:t>
      </w:r>
    </w:p>
    <w:p w:rsidR="007A5F0F" w:rsidRDefault="007A5F0F" w:rsidP="007730AA">
      <w:pPr>
        <w:pStyle w:val="ListParagraph"/>
        <w:numPr>
          <w:ilvl w:val="0"/>
          <w:numId w:val="32"/>
        </w:numPr>
        <w:shd w:val="clear" w:color="auto" w:fill="FFFFFF"/>
        <w:tabs>
          <w:tab w:val="left" w:pos="567"/>
          <w:tab w:val="left" w:pos="630"/>
        </w:tabs>
        <w:spacing w:before="0" w:line="276" w:lineRule="auto"/>
        <w:ind w:left="0" w:firstLine="426"/>
        <w:contextualSpacing w:val="0"/>
        <w:rPr>
          <w:rFonts w:cs="AK Courier"/>
          <w:b w:val="0"/>
          <w:szCs w:val="22"/>
          <w:lang w:val="hy-AM"/>
        </w:rPr>
      </w:pPr>
      <w:r w:rsidRPr="00DC514D">
        <w:rPr>
          <w:rFonts w:cs="AK Courier"/>
          <w:b w:val="0"/>
          <w:szCs w:val="22"/>
          <w:lang w:val="hy-AM"/>
        </w:rPr>
        <w:t xml:space="preserve">օդանավակայանային գործունեության և օդային երթևեկության կազմակերպման, ինչպես նաև ավիացիայի բնագավառում շահագործվող վերգետնյա միջոցների և մատուցվող ծառայությունների ապահովության ու անվտանգության կանոնակարգումը և վերահսկողությունը, </w:t>
      </w:r>
    </w:p>
    <w:p w:rsidR="007A5F0F" w:rsidRDefault="007A5F0F" w:rsidP="007730AA">
      <w:pPr>
        <w:pStyle w:val="ListParagraph"/>
        <w:numPr>
          <w:ilvl w:val="0"/>
          <w:numId w:val="32"/>
        </w:numPr>
        <w:shd w:val="clear" w:color="auto" w:fill="FFFFFF"/>
        <w:tabs>
          <w:tab w:val="left" w:pos="567"/>
          <w:tab w:val="left" w:pos="630"/>
        </w:tabs>
        <w:spacing w:before="0" w:line="276" w:lineRule="auto"/>
        <w:ind w:left="0" w:firstLine="426"/>
        <w:contextualSpacing w:val="0"/>
        <w:rPr>
          <w:rFonts w:cs="AK Courier"/>
          <w:b w:val="0"/>
          <w:szCs w:val="22"/>
          <w:lang w:val="hy-AM"/>
        </w:rPr>
      </w:pPr>
      <w:r w:rsidRPr="00DC514D">
        <w:rPr>
          <w:rFonts w:cs="AK Courier"/>
          <w:b w:val="0"/>
          <w:szCs w:val="22"/>
          <w:lang w:val="hy-AM"/>
        </w:rPr>
        <w:t>Հայաստանի Հանրապետության օրենսդությամբ սահմանված կարգով ավիացիայի համակարգում գործունեություն իրականացնելու համար համապատասխան սերտիֆիկատների, լիցենզիաների, վկայականների և թույլտվությունների տրամադրում</w:t>
      </w:r>
      <w:r w:rsidRPr="00606958">
        <w:rPr>
          <w:rFonts w:cs="AK Courier"/>
          <w:b w:val="0"/>
          <w:szCs w:val="22"/>
          <w:lang w:val="hy-AM"/>
        </w:rPr>
        <w:t>ը</w:t>
      </w:r>
      <w:r w:rsidRPr="00DC514D">
        <w:rPr>
          <w:rFonts w:cs="AK Courier"/>
          <w:b w:val="0"/>
          <w:szCs w:val="22"/>
          <w:lang w:val="hy-AM"/>
        </w:rPr>
        <w:t>, օդանավերի թռիչքային պիտանության, աերոնավիգացիոն միջոցների և այլ ավիացիոն սարքավորումների, թռիչքային անձնակազմերի, օդային երթևեկության կարգավարների և օդանավերի տեխնիկական սպասարկման անձնակազմերի վկայականների տրամադրումը և վավերացումը,</w:t>
      </w:r>
    </w:p>
    <w:p w:rsidR="007A5F0F" w:rsidRDefault="007A5F0F" w:rsidP="007730AA">
      <w:pPr>
        <w:pStyle w:val="ListParagraph"/>
        <w:numPr>
          <w:ilvl w:val="0"/>
          <w:numId w:val="32"/>
        </w:numPr>
        <w:shd w:val="clear" w:color="auto" w:fill="FFFFFF"/>
        <w:tabs>
          <w:tab w:val="left" w:pos="567"/>
          <w:tab w:val="left" w:pos="630"/>
        </w:tabs>
        <w:spacing w:before="0" w:line="276" w:lineRule="auto"/>
        <w:ind w:left="0" w:firstLine="426"/>
        <w:contextualSpacing w:val="0"/>
        <w:rPr>
          <w:rFonts w:cs="AK Courier"/>
          <w:b w:val="0"/>
          <w:szCs w:val="22"/>
          <w:lang w:val="hy-AM"/>
        </w:rPr>
      </w:pPr>
      <w:r w:rsidRPr="00DC514D">
        <w:rPr>
          <w:rFonts w:cs="AK Courier"/>
          <w:b w:val="0"/>
          <w:szCs w:val="22"/>
          <w:lang w:val="hy-AM"/>
        </w:rPr>
        <w:t>օտարերկրյա պետության ավիացիոն իշխանությունների կողմից տրված օդանավի անձնակազմի անդամների վկայականների ճանաչումը,</w:t>
      </w:r>
    </w:p>
    <w:p w:rsidR="007A5F0F" w:rsidRDefault="007A5F0F" w:rsidP="007730AA">
      <w:pPr>
        <w:pStyle w:val="ListParagraph"/>
        <w:numPr>
          <w:ilvl w:val="0"/>
          <w:numId w:val="32"/>
        </w:numPr>
        <w:shd w:val="clear" w:color="auto" w:fill="FFFFFF"/>
        <w:tabs>
          <w:tab w:val="left" w:pos="567"/>
          <w:tab w:val="left" w:pos="630"/>
        </w:tabs>
        <w:spacing w:before="0" w:line="276" w:lineRule="auto"/>
        <w:ind w:left="0" w:firstLine="426"/>
        <w:contextualSpacing w:val="0"/>
        <w:rPr>
          <w:rFonts w:cs="AK Courier"/>
          <w:b w:val="0"/>
          <w:szCs w:val="22"/>
          <w:lang w:val="hy-AM"/>
        </w:rPr>
      </w:pPr>
      <w:r w:rsidRPr="00DC514D">
        <w:rPr>
          <w:rFonts w:cs="AK Courier"/>
          <w:b w:val="0"/>
          <w:szCs w:val="22"/>
          <w:lang w:val="hy-AM"/>
        </w:rPr>
        <w:t>քաղաքացիական ավիացիայի համակարգում գործունեություն իրականացնող բոլոր շահագործողների, կազմակերպությունների ու ընկերությունների շարունակական վերահսկողությունը և դրանց կողմից կատարվող աշխատանքների ու մատուցվող ծառայությունների որակի վերահսկողության տեսչական ստուգումների անցկացումը,</w:t>
      </w:r>
    </w:p>
    <w:p w:rsidR="007A5F0F" w:rsidRDefault="007A5F0F" w:rsidP="007730AA">
      <w:pPr>
        <w:pStyle w:val="ListParagraph"/>
        <w:numPr>
          <w:ilvl w:val="0"/>
          <w:numId w:val="32"/>
        </w:numPr>
        <w:shd w:val="clear" w:color="auto" w:fill="FFFFFF"/>
        <w:tabs>
          <w:tab w:val="left" w:pos="567"/>
          <w:tab w:val="left" w:pos="630"/>
        </w:tabs>
        <w:spacing w:before="0" w:line="276" w:lineRule="auto"/>
        <w:ind w:left="0" w:firstLine="426"/>
        <w:contextualSpacing w:val="0"/>
        <w:rPr>
          <w:rFonts w:cs="AK Courier"/>
          <w:b w:val="0"/>
          <w:szCs w:val="22"/>
          <w:lang w:val="hy-AM"/>
        </w:rPr>
      </w:pPr>
      <w:r w:rsidRPr="00692559">
        <w:rPr>
          <w:rFonts w:cs="AK Courier"/>
          <w:b w:val="0"/>
          <w:szCs w:val="22"/>
          <w:lang w:val="hy-AM"/>
        </w:rPr>
        <w:t>Հայաստանի Հանրապետությունում օդանավերի երկրորդային հետևանքներ չառաջացրած աղետների դեպքում որոնողափրկարարական աշխատանքների համակարգումը,</w:t>
      </w:r>
    </w:p>
    <w:p w:rsidR="007A5F0F" w:rsidRDefault="007A5F0F" w:rsidP="007730AA">
      <w:pPr>
        <w:pStyle w:val="ListParagraph"/>
        <w:numPr>
          <w:ilvl w:val="0"/>
          <w:numId w:val="32"/>
        </w:numPr>
        <w:shd w:val="clear" w:color="auto" w:fill="FFFFFF"/>
        <w:tabs>
          <w:tab w:val="left" w:pos="567"/>
          <w:tab w:val="left" w:pos="630"/>
        </w:tabs>
        <w:spacing w:before="0" w:line="276" w:lineRule="auto"/>
        <w:ind w:left="0" w:firstLine="426"/>
        <w:contextualSpacing w:val="0"/>
        <w:rPr>
          <w:rFonts w:cs="AK Courier"/>
          <w:b w:val="0"/>
          <w:szCs w:val="22"/>
          <w:lang w:val="hy-AM"/>
        </w:rPr>
      </w:pPr>
      <w:r w:rsidRPr="00692559">
        <w:rPr>
          <w:rFonts w:cs="AK Courier"/>
          <w:b w:val="0"/>
          <w:szCs w:val="22"/>
          <w:lang w:val="hy-AM"/>
        </w:rPr>
        <w:t>օդանավ շահագործողի վկայականի տրամադրումը,</w:t>
      </w:r>
    </w:p>
    <w:p w:rsidR="007A5F0F" w:rsidRDefault="007A5F0F" w:rsidP="007730AA">
      <w:pPr>
        <w:pStyle w:val="ListParagraph"/>
        <w:numPr>
          <w:ilvl w:val="0"/>
          <w:numId w:val="32"/>
        </w:numPr>
        <w:shd w:val="clear" w:color="auto" w:fill="FFFFFF"/>
        <w:tabs>
          <w:tab w:val="left" w:pos="567"/>
          <w:tab w:val="left" w:pos="630"/>
        </w:tabs>
        <w:spacing w:before="0" w:line="276" w:lineRule="auto"/>
        <w:ind w:left="0" w:firstLine="426"/>
        <w:contextualSpacing w:val="0"/>
        <w:rPr>
          <w:rFonts w:cs="AK Courier"/>
          <w:b w:val="0"/>
          <w:szCs w:val="22"/>
          <w:lang w:val="hy-AM"/>
        </w:rPr>
      </w:pPr>
      <w:r w:rsidRPr="00692559">
        <w:rPr>
          <w:rFonts w:cs="AK Courier"/>
          <w:b w:val="0"/>
          <w:szCs w:val="22"/>
          <w:lang w:val="hy-AM"/>
        </w:rPr>
        <w:t>Հայաստանի Հանրապետության քաղաքացիական օդանավերի պետական ռեգիստրների վարումը,</w:t>
      </w:r>
    </w:p>
    <w:p w:rsidR="007A5F0F" w:rsidRDefault="007A5F0F" w:rsidP="007730AA">
      <w:pPr>
        <w:pStyle w:val="ListParagraph"/>
        <w:numPr>
          <w:ilvl w:val="0"/>
          <w:numId w:val="32"/>
        </w:numPr>
        <w:shd w:val="clear" w:color="auto" w:fill="FFFFFF"/>
        <w:tabs>
          <w:tab w:val="left" w:pos="567"/>
          <w:tab w:val="left" w:pos="630"/>
        </w:tabs>
        <w:spacing w:before="0" w:line="276" w:lineRule="auto"/>
        <w:ind w:left="0" w:firstLine="426"/>
        <w:contextualSpacing w:val="0"/>
        <w:rPr>
          <w:rFonts w:cs="AK Courier"/>
          <w:b w:val="0"/>
          <w:szCs w:val="22"/>
          <w:lang w:val="hy-AM"/>
        </w:rPr>
      </w:pPr>
      <w:r w:rsidRPr="00692559">
        <w:rPr>
          <w:rFonts w:cs="AK Courier"/>
          <w:b w:val="0"/>
          <w:szCs w:val="22"/>
          <w:lang w:val="hy-AM"/>
        </w:rPr>
        <w:t>Հայաստանի Հանրապետության քաղաքացիական ավիացիայի ավիացիոն անվտանգության ազգային ծրագրի վարումը,</w:t>
      </w:r>
    </w:p>
    <w:p w:rsidR="007A5F0F" w:rsidRDefault="007A5F0F" w:rsidP="007730AA">
      <w:pPr>
        <w:pStyle w:val="ListParagraph"/>
        <w:numPr>
          <w:ilvl w:val="0"/>
          <w:numId w:val="32"/>
        </w:numPr>
        <w:shd w:val="clear" w:color="auto" w:fill="FFFFFF"/>
        <w:tabs>
          <w:tab w:val="left" w:pos="567"/>
          <w:tab w:val="left" w:pos="630"/>
        </w:tabs>
        <w:spacing w:before="0" w:line="276" w:lineRule="auto"/>
        <w:ind w:left="0" w:firstLine="426"/>
        <w:contextualSpacing w:val="0"/>
        <w:rPr>
          <w:rFonts w:cs="AK Courier"/>
          <w:b w:val="0"/>
          <w:szCs w:val="22"/>
          <w:lang w:val="hy-AM"/>
        </w:rPr>
      </w:pPr>
      <w:r w:rsidRPr="00692559">
        <w:rPr>
          <w:rFonts w:cs="AK Courier"/>
          <w:b w:val="0"/>
          <w:szCs w:val="22"/>
          <w:lang w:val="hy-AM"/>
        </w:rPr>
        <w:t xml:space="preserve">ոլորտը կանոնակարգող իրավական ակտերի մշակումը և լրամշակումը, </w:t>
      </w:r>
    </w:p>
    <w:p w:rsidR="007A5F0F" w:rsidRPr="00692559" w:rsidRDefault="007A5F0F" w:rsidP="007730AA">
      <w:pPr>
        <w:pStyle w:val="ListParagraph"/>
        <w:numPr>
          <w:ilvl w:val="0"/>
          <w:numId w:val="32"/>
        </w:numPr>
        <w:shd w:val="clear" w:color="auto" w:fill="FFFFFF"/>
        <w:tabs>
          <w:tab w:val="left" w:pos="567"/>
          <w:tab w:val="left" w:pos="630"/>
        </w:tabs>
        <w:spacing w:before="0" w:line="276" w:lineRule="auto"/>
        <w:ind w:left="0" w:firstLine="426"/>
        <w:contextualSpacing w:val="0"/>
        <w:rPr>
          <w:rFonts w:cs="AK Courier"/>
          <w:b w:val="0"/>
          <w:szCs w:val="22"/>
          <w:lang w:val="hy-AM"/>
        </w:rPr>
      </w:pPr>
      <w:r w:rsidRPr="00692559">
        <w:rPr>
          <w:rFonts w:cs="AK Courier"/>
          <w:b w:val="0"/>
          <w:szCs w:val="22"/>
          <w:lang w:val="hy-AM"/>
        </w:rPr>
        <w:t>օդային տարածքի ճկուն օգտագործման նպատակով ռազմաքաղաքացիական համագործակցությունը:</w:t>
      </w:r>
    </w:p>
    <w:p w:rsidR="007A5F0F" w:rsidRPr="00F916B7" w:rsidRDefault="00C10199" w:rsidP="007730AA">
      <w:pPr>
        <w:shd w:val="clear" w:color="auto" w:fill="FFFFFF"/>
        <w:tabs>
          <w:tab w:val="left" w:pos="426"/>
          <w:tab w:val="left" w:pos="567"/>
        </w:tabs>
        <w:spacing w:before="0" w:line="276" w:lineRule="auto"/>
        <w:ind w:firstLine="426"/>
        <w:contextualSpacing w:val="0"/>
        <w:rPr>
          <w:rFonts w:cs="AK Courier"/>
          <w:b w:val="0"/>
          <w:szCs w:val="22"/>
          <w:lang w:val="hy-AM"/>
        </w:rPr>
      </w:pPr>
      <w:r w:rsidRPr="000C0823">
        <w:rPr>
          <w:rFonts w:cs="AK Courier"/>
          <w:b w:val="0"/>
          <w:szCs w:val="22"/>
          <w:lang w:val="hy-AM"/>
        </w:rPr>
        <w:tab/>
      </w:r>
      <w:r w:rsidR="007A5F0F" w:rsidRPr="00F916B7">
        <w:rPr>
          <w:rFonts w:cs="AK Courier"/>
          <w:b w:val="0"/>
          <w:szCs w:val="22"/>
          <w:lang w:val="hy-AM"/>
        </w:rPr>
        <w:t>2021 թվականին նախատեսվում է իրականացնել՝</w:t>
      </w:r>
    </w:p>
    <w:p w:rsidR="007A5F0F" w:rsidRPr="00F916B7" w:rsidRDefault="007A5F0F" w:rsidP="007730AA">
      <w:pPr>
        <w:pStyle w:val="ListParagraph"/>
        <w:numPr>
          <w:ilvl w:val="0"/>
          <w:numId w:val="47"/>
        </w:numPr>
        <w:shd w:val="clear" w:color="auto" w:fill="FFFFFF"/>
        <w:tabs>
          <w:tab w:val="left" w:pos="360"/>
          <w:tab w:val="left" w:pos="567"/>
        </w:tabs>
        <w:spacing w:before="0" w:line="276" w:lineRule="auto"/>
        <w:ind w:left="0" w:firstLine="426"/>
        <w:contextualSpacing w:val="0"/>
        <w:rPr>
          <w:rFonts w:cs="AK Courier"/>
          <w:b w:val="0"/>
          <w:szCs w:val="22"/>
          <w:lang w:val="hy-AM"/>
        </w:rPr>
      </w:pPr>
      <w:r w:rsidRPr="00F916B7">
        <w:rPr>
          <w:rFonts w:cs="AK Courier"/>
          <w:b w:val="0"/>
          <w:szCs w:val="22"/>
          <w:lang w:val="hy-AM"/>
        </w:rPr>
        <w:t>միջին մասնագիտական կրթության ծրագիրը, որով «Ավիաուսումնական կենտրոն» փակ բաժնետիրական ընկերությանը միջին մասնագիտական կրթության համար հատկացվելու են անվճար տեղեր կարգավարներ, վերգետնյա և ինժեներատեխնիկական սպասարկման մասնագետներ պատրաստելու համար,</w:t>
      </w:r>
    </w:p>
    <w:p w:rsidR="001B0A03" w:rsidRPr="001B0A03" w:rsidRDefault="001B0A03" w:rsidP="007730AA">
      <w:pPr>
        <w:spacing w:before="0" w:line="276" w:lineRule="auto"/>
        <w:rPr>
          <w:b w:val="0"/>
          <w:lang w:val="hy-AM"/>
        </w:rPr>
      </w:pPr>
      <w:r w:rsidRPr="001B0A03">
        <w:rPr>
          <w:b w:val="0"/>
          <w:lang w:val="fr-FR"/>
        </w:rPr>
        <w:t xml:space="preserve"> -</w:t>
      </w:r>
      <w:r w:rsidRPr="001B0A03">
        <w:rPr>
          <w:b w:val="0"/>
          <w:lang w:val="hy-AM"/>
        </w:rPr>
        <w:t>Ավիացիայի</w:t>
      </w:r>
      <w:r w:rsidRPr="001B0A03">
        <w:rPr>
          <w:b w:val="0"/>
          <w:lang w:val="fr-FR"/>
        </w:rPr>
        <w:t xml:space="preserve"> </w:t>
      </w:r>
      <w:r w:rsidRPr="001B0A03">
        <w:rPr>
          <w:b w:val="0"/>
          <w:lang w:val="hy-AM"/>
        </w:rPr>
        <w:t>բնագավառում</w:t>
      </w:r>
      <w:r w:rsidRPr="001B0A03">
        <w:rPr>
          <w:b w:val="0"/>
          <w:lang w:val="fr-FR"/>
        </w:rPr>
        <w:t xml:space="preserve"> </w:t>
      </w:r>
      <w:r w:rsidRPr="001B0A03">
        <w:rPr>
          <w:b w:val="0"/>
          <w:lang w:val="hy-AM"/>
        </w:rPr>
        <w:t>վերահսկողության,</w:t>
      </w:r>
      <w:r w:rsidRPr="001B0A03">
        <w:rPr>
          <w:b w:val="0"/>
          <w:lang w:val="fr-FR"/>
        </w:rPr>
        <w:t xml:space="preserve"> </w:t>
      </w:r>
      <w:r w:rsidRPr="001B0A03">
        <w:rPr>
          <w:b w:val="0"/>
          <w:lang w:val="hy-AM"/>
        </w:rPr>
        <w:t>կանոնակարգման</w:t>
      </w:r>
      <w:r w:rsidRPr="001B0A03">
        <w:rPr>
          <w:b w:val="0"/>
          <w:lang w:val="fr-FR"/>
        </w:rPr>
        <w:t xml:space="preserve"> </w:t>
      </w:r>
      <w:r w:rsidRPr="001B0A03">
        <w:rPr>
          <w:b w:val="0"/>
          <w:lang w:val="hy-AM"/>
        </w:rPr>
        <w:t xml:space="preserve">և զարգացման </w:t>
      </w:r>
      <w:r w:rsidRPr="001B0A03">
        <w:rPr>
          <w:b w:val="0"/>
          <w:lang w:val="fr-FR"/>
        </w:rPr>
        <w:t xml:space="preserve"> </w:t>
      </w:r>
      <w:r w:rsidRPr="001B0A03">
        <w:rPr>
          <w:b w:val="0"/>
          <w:lang w:val="hy-AM"/>
        </w:rPr>
        <w:t>ապահովում</w:t>
      </w:r>
      <w:r w:rsidRPr="001B0A03">
        <w:rPr>
          <w:b w:val="0"/>
          <w:lang w:val="fr-FR"/>
        </w:rPr>
        <w:t xml:space="preserve"> </w:t>
      </w:r>
      <w:r w:rsidRPr="001B0A03">
        <w:rPr>
          <w:b w:val="0"/>
          <w:lang w:val="hy-AM"/>
        </w:rPr>
        <w:t>ծրագիրը, որով նախատեսվում</w:t>
      </w:r>
      <w:r w:rsidRPr="001B0A03">
        <w:rPr>
          <w:b w:val="0"/>
          <w:lang w:val="fr-FR"/>
        </w:rPr>
        <w:t xml:space="preserve"> </w:t>
      </w:r>
      <w:r w:rsidRPr="001B0A03">
        <w:rPr>
          <w:b w:val="0"/>
          <w:lang w:val="hy-AM"/>
        </w:rPr>
        <w:t>է</w:t>
      </w:r>
      <w:r w:rsidRPr="001B0A03">
        <w:rPr>
          <w:b w:val="0"/>
          <w:lang w:val="fr-FR"/>
        </w:rPr>
        <w:t xml:space="preserve"> </w:t>
      </w:r>
      <w:r w:rsidRPr="001B0A03">
        <w:rPr>
          <w:b w:val="0"/>
          <w:lang w:val="hy-AM"/>
        </w:rPr>
        <w:t>քաղաքացիական</w:t>
      </w:r>
      <w:r w:rsidRPr="001B0A03">
        <w:rPr>
          <w:b w:val="0"/>
          <w:lang w:val="fr-FR"/>
        </w:rPr>
        <w:t xml:space="preserve"> </w:t>
      </w:r>
      <w:r w:rsidRPr="001B0A03">
        <w:rPr>
          <w:b w:val="0"/>
          <w:lang w:val="hy-AM"/>
        </w:rPr>
        <w:t>ավիացիայի</w:t>
      </w:r>
      <w:r w:rsidRPr="001B0A03">
        <w:rPr>
          <w:b w:val="0"/>
          <w:lang w:val="fr-FR"/>
        </w:rPr>
        <w:t xml:space="preserve"> </w:t>
      </w:r>
      <w:r w:rsidRPr="001B0A03">
        <w:rPr>
          <w:b w:val="0"/>
          <w:lang w:val="hy-AM"/>
        </w:rPr>
        <w:t>կոմիտե</w:t>
      </w:r>
      <w:r w:rsidRPr="001B0A03">
        <w:rPr>
          <w:b w:val="0"/>
          <w:lang w:val="fr-FR"/>
        </w:rPr>
        <w:t xml:space="preserve"> աշխատակիցների վերապատրաստում:</w:t>
      </w:r>
    </w:p>
    <w:p w:rsidR="007A5F0F" w:rsidRDefault="00C10199" w:rsidP="007730AA">
      <w:pPr>
        <w:keepNext/>
        <w:tabs>
          <w:tab w:val="left" w:pos="-2160"/>
        </w:tabs>
        <w:spacing w:before="0" w:line="276" w:lineRule="auto"/>
        <w:ind w:firstLine="720"/>
        <w:contextualSpacing w:val="0"/>
        <w:outlineLvl w:val="2"/>
        <w:rPr>
          <w:rFonts w:cs="Arial"/>
          <w:szCs w:val="22"/>
          <w:lang w:val="hy-AM" w:eastAsia="en-US"/>
        </w:rPr>
      </w:pPr>
      <w:bookmarkStart w:id="21" w:name="_Toc26174892"/>
      <w:r w:rsidRPr="000C0823">
        <w:rPr>
          <w:rFonts w:cs="Arial"/>
          <w:szCs w:val="22"/>
          <w:lang w:val="fr-FR" w:eastAsia="en-US"/>
        </w:rPr>
        <w:tab/>
      </w:r>
      <w:r w:rsidRPr="000C0823">
        <w:rPr>
          <w:rFonts w:cs="Arial"/>
          <w:szCs w:val="22"/>
          <w:lang w:val="fr-FR" w:eastAsia="en-US"/>
        </w:rPr>
        <w:tab/>
      </w:r>
      <w:r w:rsidRPr="000C0823">
        <w:rPr>
          <w:rFonts w:cs="Arial"/>
          <w:szCs w:val="22"/>
          <w:lang w:val="fr-FR" w:eastAsia="en-US"/>
        </w:rPr>
        <w:tab/>
      </w:r>
      <w:bookmarkStart w:id="22" w:name="_Toc57655421"/>
      <w:r w:rsidR="007A5F0F" w:rsidRPr="00806313">
        <w:rPr>
          <w:rFonts w:cs="Arial"/>
          <w:szCs w:val="22"/>
          <w:lang w:val="hy-AM" w:eastAsia="en-US"/>
        </w:rPr>
        <w:t>Բարձր տեխնոլոգիական արդյունաբերություն</w:t>
      </w:r>
      <w:bookmarkEnd w:id="21"/>
      <w:bookmarkEnd w:id="22"/>
    </w:p>
    <w:p w:rsidR="007A5F0F" w:rsidRDefault="007A5F0F" w:rsidP="007730AA">
      <w:pPr>
        <w:pStyle w:val="BodyText2"/>
        <w:ind w:left="0"/>
        <w:rPr>
          <w:rFonts w:cs="Arial"/>
        </w:rPr>
      </w:pPr>
      <w:r w:rsidRPr="00AA4447">
        <w:rPr>
          <w:noProof/>
        </w:rPr>
        <w:t>ՀՀ Կառավարությունը նպատակադրվել է Հայաստանը դարձնել բարձր տեխնոլոգիական, արդյունաբերական երկիր, որին հասնելու ուղիներից է բարձր տեխնոլոգիաների, կապի, թվայնացման և ռազմարդյունաբերական համալիրի զարգացումը` զինված ուժերի մարտունակության ու պաշտպանունակության բարձրացումը, տնտեսական աճը, գիտական և տեխնոլոգիական առաջընթացը։</w:t>
      </w:r>
    </w:p>
    <w:p w:rsidR="007A5F0F" w:rsidRPr="00C43EED" w:rsidRDefault="007A5F0F" w:rsidP="007730AA">
      <w:pPr>
        <w:pStyle w:val="BodyText2"/>
        <w:ind w:left="0"/>
        <w:rPr>
          <w:rFonts w:cs="Arial"/>
        </w:rPr>
      </w:pPr>
      <w:r w:rsidRPr="00AA4447">
        <w:rPr>
          <w:noProof/>
        </w:rPr>
        <w:t>2021 թվականին ոլորտի աշխատանքն ուղղված է լինելու հետևյալ երեք հիմնական նպատակների  (ուղենիշների) կատարմանը`</w:t>
      </w:r>
    </w:p>
    <w:p w:rsidR="007A5F0F" w:rsidRDefault="007A5F0F" w:rsidP="007730AA">
      <w:pPr>
        <w:pStyle w:val="ListParagraph"/>
        <w:numPr>
          <w:ilvl w:val="0"/>
          <w:numId w:val="48"/>
        </w:numPr>
        <w:tabs>
          <w:tab w:val="left" w:pos="567"/>
        </w:tabs>
        <w:spacing w:before="0" w:line="276" w:lineRule="auto"/>
        <w:ind w:left="0" w:firstLine="426"/>
        <w:contextualSpacing w:val="0"/>
        <w:rPr>
          <w:b w:val="0"/>
          <w:noProof/>
          <w:color w:val="000000"/>
          <w:szCs w:val="22"/>
          <w:lang w:val="hy-AM"/>
        </w:rPr>
      </w:pPr>
      <w:r w:rsidRPr="00606958">
        <w:rPr>
          <w:b w:val="0"/>
          <w:noProof/>
          <w:color w:val="000000"/>
          <w:szCs w:val="22"/>
          <w:lang w:val="hy-AM"/>
        </w:rPr>
        <w:t xml:space="preserve"> </w:t>
      </w:r>
      <w:r w:rsidRPr="00C43EED">
        <w:rPr>
          <w:b w:val="0"/>
          <w:noProof/>
          <w:color w:val="000000"/>
          <w:szCs w:val="22"/>
          <w:lang w:val="hy-AM"/>
        </w:rPr>
        <w:t>Պաշտպանական տեխնոլոգիաների զարգացում` ռազմարդյունաբերություն, գիտահետազոտական ծրագրեր, տեխնոլոգիաների ներդրում,</w:t>
      </w:r>
    </w:p>
    <w:p w:rsidR="007A5F0F" w:rsidRDefault="007A5F0F" w:rsidP="007730AA">
      <w:pPr>
        <w:pStyle w:val="ListParagraph"/>
        <w:numPr>
          <w:ilvl w:val="0"/>
          <w:numId w:val="48"/>
        </w:numPr>
        <w:tabs>
          <w:tab w:val="left" w:pos="567"/>
        </w:tabs>
        <w:spacing w:before="0" w:line="276" w:lineRule="auto"/>
        <w:ind w:left="0" w:firstLine="426"/>
        <w:contextualSpacing w:val="0"/>
        <w:rPr>
          <w:b w:val="0"/>
          <w:noProof/>
          <w:color w:val="000000"/>
          <w:szCs w:val="22"/>
          <w:lang w:val="hy-AM"/>
        </w:rPr>
      </w:pPr>
      <w:r w:rsidRPr="00606958">
        <w:rPr>
          <w:b w:val="0"/>
          <w:noProof/>
          <w:color w:val="000000"/>
          <w:szCs w:val="22"/>
          <w:lang w:val="hy-AM"/>
        </w:rPr>
        <w:t xml:space="preserve"> </w:t>
      </w:r>
      <w:r w:rsidRPr="00CB6BA6">
        <w:rPr>
          <w:b w:val="0"/>
          <w:noProof/>
          <w:color w:val="000000"/>
          <w:szCs w:val="22"/>
          <w:lang w:val="hy-AM"/>
        </w:rPr>
        <w:t>Տաղանդի արտահոսքի կանխում և ներհոսքի հարուցում` բարձր տեխնոլոգիական արդյունաբերության զարգացում, ստարտափ և ինժեներական էկոհամակարգի զարգացում, Հայաստանը տարածաշրջանային կենտրոնի վերածում</w:t>
      </w:r>
      <w:r>
        <w:rPr>
          <w:b w:val="0"/>
          <w:noProof/>
          <w:color w:val="000000"/>
          <w:szCs w:val="22"/>
          <w:lang w:val="hy-AM"/>
        </w:rPr>
        <w:t>,</w:t>
      </w:r>
    </w:p>
    <w:p w:rsidR="007A5F0F" w:rsidRPr="00CB6BA6" w:rsidRDefault="007A5F0F" w:rsidP="007730AA">
      <w:pPr>
        <w:pStyle w:val="ListParagraph"/>
        <w:numPr>
          <w:ilvl w:val="0"/>
          <w:numId w:val="48"/>
        </w:numPr>
        <w:tabs>
          <w:tab w:val="left" w:pos="567"/>
        </w:tabs>
        <w:spacing w:before="0" w:line="276" w:lineRule="auto"/>
        <w:ind w:left="0" w:firstLine="426"/>
        <w:contextualSpacing w:val="0"/>
        <w:rPr>
          <w:b w:val="0"/>
          <w:noProof/>
          <w:color w:val="000000"/>
          <w:szCs w:val="22"/>
          <w:lang w:val="hy-AM"/>
        </w:rPr>
      </w:pPr>
      <w:r w:rsidRPr="00606958">
        <w:rPr>
          <w:b w:val="0"/>
          <w:noProof/>
          <w:color w:val="000000"/>
          <w:szCs w:val="22"/>
          <w:lang w:val="hy-AM"/>
        </w:rPr>
        <w:t xml:space="preserve"> </w:t>
      </w:r>
      <w:r w:rsidRPr="00CB6BA6">
        <w:rPr>
          <w:b w:val="0"/>
          <w:noProof/>
          <w:color w:val="000000"/>
          <w:szCs w:val="22"/>
          <w:lang w:val="hy-AM"/>
        </w:rPr>
        <w:t>ՀՀ քաղաքացիների կենսամակարդակի աճի նպաստում` արտաքին շուկաներում պրոյեկտների և արտադրանքի ներկայացման,  տնտեսության և կառավարման համակարգի թվայնացման, արտահանման ծավալների ավելացման և տնտեսական աճի ապահովման միջոցով:</w:t>
      </w:r>
    </w:p>
    <w:p w:rsidR="007A5F0F" w:rsidRPr="00AA4447" w:rsidRDefault="007A5F0F" w:rsidP="007730AA">
      <w:pPr>
        <w:tabs>
          <w:tab w:val="left" w:pos="540"/>
          <w:tab w:val="left" w:pos="567"/>
        </w:tabs>
        <w:spacing w:before="0" w:line="276" w:lineRule="auto"/>
        <w:ind w:firstLine="720"/>
        <w:contextualSpacing w:val="0"/>
        <w:rPr>
          <w:b w:val="0"/>
          <w:noProof/>
          <w:color w:val="000000"/>
          <w:szCs w:val="22"/>
          <w:lang w:val="hy-AM"/>
        </w:rPr>
      </w:pPr>
      <w:r w:rsidRPr="00AA4447">
        <w:rPr>
          <w:b w:val="0"/>
          <w:noProof/>
          <w:color w:val="000000"/>
          <w:szCs w:val="22"/>
          <w:lang w:val="hy-AM"/>
        </w:rPr>
        <w:t>2021</w:t>
      </w:r>
      <w:r>
        <w:rPr>
          <w:b w:val="0"/>
          <w:noProof/>
          <w:color w:val="000000"/>
          <w:szCs w:val="22"/>
          <w:lang w:val="hy-AM"/>
        </w:rPr>
        <w:t xml:space="preserve"> </w:t>
      </w:r>
      <w:r w:rsidRPr="00AA4447">
        <w:rPr>
          <w:b w:val="0"/>
          <w:noProof/>
          <w:color w:val="000000"/>
          <w:szCs w:val="22"/>
          <w:lang w:val="hy-AM"/>
        </w:rPr>
        <w:t>թ</w:t>
      </w:r>
      <w:r>
        <w:rPr>
          <w:b w:val="0"/>
          <w:noProof/>
          <w:color w:val="000000"/>
          <w:szCs w:val="22"/>
          <w:lang w:val="hy-AM"/>
        </w:rPr>
        <w:t>վականին</w:t>
      </w:r>
      <w:r w:rsidRPr="00AA4447">
        <w:rPr>
          <w:b w:val="0"/>
          <w:noProof/>
          <w:color w:val="000000"/>
          <w:szCs w:val="22"/>
          <w:lang w:val="hy-AM"/>
        </w:rPr>
        <w:t xml:space="preserve"> նախատեսում է իրականացնել հետ</w:t>
      </w:r>
      <w:r>
        <w:rPr>
          <w:b w:val="0"/>
          <w:noProof/>
          <w:color w:val="000000"/>
          <w:szCs w:val="22"/>
          <w:lang w:val="hy-AM"/>
        </w:rPr>
        <w:t>ևյալ ծրագրերն ու միջոցառումները.</w:t>
      </w:r>
    </w:p>
    <w:p w:rsidR="007A5F0F" w:rsidRPr="00606958" w:rsidRDefault="007A5F0F" w:rsidP="007730AA">
      <w:pPr>
        <w:tabs>
          <w:tab w:val="left" w:pos="567"/>
          <w:tab w:val="left" w:pos="630"/>
        </w:tabs>
        <w:spacing w:before="0" w:line="276" w:lineRule="auto"/>
        <w:ind w:firstLine="720"/>
        <w:contextualSpacing w:val="0"/>
        <w:rPr>
          <w:bCs/>
          <w:noProof/>
          <w:color w:val="000000"/>
          <w:szCs w:val="22"/>
          <w:lang w:val="hy-AM"/>
        </w:rPr>
      </w:pPr>
      <w:r w:rsidRPr="00606958">
        <w:rPr>
          <w:bCs/>
          <w:noProof/>
          <w:color w:val="000000"/>
          <w:szCs w:val="22"/>
          <w:lang w:val="hy-AM"/>
        </w:rPr>
        <w:t>Ռազմարդյունաբերության ոլորտ</w:t>
      </w:r>
    </w:p>
    <w:p w:rsidR="007A5F0F" w:rsidRPr="00934CDC" w:rsidRDefault="007A5F0F" w:rsidP="007730AA">
      <w:pPr>
        <w:tabs>
          <w:tab w:val="left" w:pos="540"/>
          <w:tab w:val="left" w:pos="567"/>
        </w:tabs>
        <w:spacing w:before="0" w:line="276" w:lineRule="auto"/>
        <w:ind w:firstLine="720"/>
        <w:contextualSpacing w:val="0"/>
        <w:rPr>
          <w:b w:val="0"/>
          <w:noProof/>
          <w:color w:val="000000"/>
          <w:szCs w:val="22"/>
          <w:lang w:val="hy-AM"/>
        </w:rPr>
      </w:pPr>
      <w:r w:rsidRPr="00934CDC">
        <w:rPr>
          <w:b w:val="0"/>
          <w:noProof/>
          <w:color w:val="000000"/>
          <w:szCs w:val="22"/>
          <w:lang w:val="hy-AM"/>
        </w:rPr>
        <w:t xml:space="preserve">Ռազմարդյունաբերության զարգացման ուղղությամբ պլանավորվում է 2021 թվականին </w:t>
      </w:r>
      <w:r w:rsidR="00934CDC" w:rsidRPr="00934CDC">
        <w:rPr>
          <w:b w:val="0"/>
          <w:noProof/>
          <w:color w:val="000000"/>
          <w:szCs w:val="22"/>
          <w:lang w:val="hy-AM"/>
        </w:rPr>
        <w:t xml:space="preserve">ավելի քան </w:t>
      </w:r>
      <w:r w:rsidRPr="00934CDC">
        <w:rPr>
          <w:b w:val="0"/>
          <w:noProof/>
          <w:color w:val="000000"/>
          <w:szCs w:val="22"/>
          <w:lang w:val="hy-AM"/>
        </w:rPr>
        <w:t>18</w:t>
      </w:r>
      <w:r w:rsidR="00934CDC" w:rsidRPr="00934CDC">
        <w:rPr>
          <w:b w:val="0"/>
          <w:noProof/>
          <w:color w:val="000000"/>
          <w:szCs w:val="22"/>
          <w:lang w:val="hy-AM"/>
        </w:rPr>
        <w:t>.0</w:t>
      </w:r>
      <w:r w:rsidRPr="00934CDC">
        <w:rPr>
          <w:b w:val="0"/>
          <w:noProof/>
          <w:color w:val="000000"/>
          <w:szCs w:val="22"/>
          <w:lang w:val="hy-AM"/>
        </w:rPr>
        <w:t>%-ով ավելացնել  նոր տեխնոլոգիական ուղղություններով գիտահետազոտական աշխատանքների ֆինանսավորումը, ինչպես նաև ապահովել արտադրական կարողությունների զարգացումը:</w:t>
      </w:r>
    </w:p>
    <w:p w:rsidR="007A5F0F" w:rsidRPr="00FB400A" w:rsidRDefault="00C10199" w:rsidP="007730AA">
      <w:pPr>
        <w:tabs>
          <w:tab w:val="left" w:pos="540"/>
          <w:tab w:val="left" w:pos="567"/>
        </w:tabs>
        <w:spacing w:before="0" w:line="276" w:lineRule="auto"/>
        <w:ind w:firstLine="720"/>
        <w:contextualSpacing w:val="0"/>
        <w:rPr>
          <w:b w:val="0"/>
          <w:noProof/>
          <w:color w:val="000000"/>
          <w:szCs w:val="22"/>
          <w:lang w:val="hy-AM"/>
        </w:rPr>
      </w:pPr>
      <w:r w:rsidRPr="000C0823">
        <w:rPr>
          <w:b w:val="0"/>
          <w:noProof/>
          <w:color w:val="000000"/>
          <w:szCs w:val="22"/>
          <w:lang w:val="hy-AM"/>
        </w:rPr>
        <w:tab/>
      </w:r>
      <w:r w:rsidRPr="000C0823">
        <w:rPr>
          <w:b w:val="0"/>
          <w:noProof/>
          <w:color w:val="000000"/>
          <w:szCs w:val="22"/>
          <w:lang w:val="hy-AM"/>
        </w:rPr>
        <w:tab/>
      </w:r>
      <w:r w:rsidRPr="000C0823">
        <w:rPr>
          <w:b w:val="0"/>
          <w:noProof/>
          <w:color w:val="000000"/>
          <w:szCs w:val="22"/>
          <w:lang w:val="hy-AM"/>
        </w:rPr>
        <w:tab/>
      </w:r>
      <w:r w:rsidRPr="000C0823">
        <w:rPr>
          <w:b w:val="0"/>
          <w:noProof/>
          <w:color w:val="000000"/>
          <w:szCs w:val="22"/>
          <w:lang w:val="hy-AM"/>
        </w:rPr>
        <w:tab/>
      </w:r>
      <w:r w:rsidR="007A5F0F">
        <w:rPr>
          <w:b w:val="0"/>
          <w:noProof/>
          <w:color w:val="000000"/>
          <w:szCs w:val="22"/>
          <w:lang w:val="hy-AM"/>
        </w:rPr>
        <w:t>«</w:t>
      </w:r>
      <w:r w:rsidR="007A5F0F" w:rsidRPr="00AA4447">
        <w:rPr>
          <w:b w:val="0"/>
          <w:noProof/>
          <w:color w:val="000000"/>
          <w:szCs w:val="22"/>
          <w:lang w:val="hy-AM"/>
        </w:rPr>
        <w:t>Հետազոտական և նախագծային աշխատանքներ պաշտպանության ոլորտում</w:t>
      </w:r>
      <w:r w:rsidR="007A5F0F">
        <w:rPr>
          <w:b w:val="0"/>
          <w:noProof/>
          <w:color w:val="000000"/>
          <w:szCs w:val="22"/>
          <w:lang w:val="hy-AM"/>
        </w:rPr>
        <w:t>»</w:t>
      </w:r>
      <w:r w:rsidR="007A5F0F" w:rsidRPr="00AA4447">
        <w:rPr>
          <w:b w:val="0"/>
          <w:noProof/>
          <w:color w:val="000000"/>
          <w:szCs w:val="22"/>
          <w:lang w:val="hy-AM"/>
        </w:rPr>
        <w:t xml:space="preserve"> ծրագիրն իր մեջ ներառում է «Գիտական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 միջոցառումը: Միջոցառման ֆինանսավորման ծավալները 2019</w:t>
      </w:r>
      <w:r w:rsidR="007A5F0F">
        <w:rPr>
          <w:b w:val="0"/>
          <w:noProof/>
          <w:color w:val="000000"/>
          <w:szCs w:val="22"/>
          <w:lang w:val="hy-AM"/>
        </w:rPr>
        <w:t xml:space="preserve"> </w:t>
      </w:r>
      <w:r w:rsidR="007A5F0F" w:rsidRPr="00AA4447">
        <w:rPr>
          <w:b w:val="0"/>
          <w:noProof/>
          <w:color w:val="000000"/>
          <w:szCs w:val="22"/>
          <w:lang w:val="hy-AM"/>
        </w:rPr>
        <w:t>թ</w:t>
      </w:r>
      <w:r w:rsidR="007A5F0F">
        <w:rPr>
          <w:b w:val="0"/>
          <w:noProof/>
          <w:color w:val="000000"/>
          <w:szCs w:val="22"/>
          <w:lang w:val="hy-AM"/>
        </w:rPr>
        <w:t>վականի</w:t>
      </w:r>
      <w:r w:rsidR="007A5F0F" w:rsidRPr="00AA4447">
        <w:rPr>
          <w:b w:val="0"/>
          <w:noProof/>
          <w:color w:val="000000"/>
          <w:szCs w:val="22"/>
          <w:lang w:val="hy-AM"/>
        </w:rPr>
        <w:t xml:space="preserve"> փետրվարի 8-ի N 65-Ա որոշմամբ ՀՀ կառավարության որդեգրած քաղաքականության համաձայն նախատեսվում է շեշտակի ավելացնել 2020 թվականից սկսած: Արդյունքում նախատեսվում է`</w:t>
      </w:r>
      <w:r w:rsidR="007A5F0F" w:rsidRPr="00606958">
        <w:rPr>
          <w:b w:val="0"/>
          <w:noProof/>
          <w:color w:val="000000"/>
          <w:szCs w:val="22"/>
          <w:lang w:val="hy-AM"/>
        </w:rPr>
        <w:t xml:space="preserve"> </w:t>
      </w:r>
      <w:r w:rsidR="007A5F0F">
        <w:rPr>
          <w:b w:val="0"/>
          <w:noProof/>
          <w:color w:val="000000"/>
          <w:szCs w:val="22"/>
          <w:lang w:val="hy-AM"/>
        </w:rPr>
        <w:t>ն</w:t>
      </w:r>
      <w:r w:rsidR="007A5F0F" w:rsidRPr="00FB400A">
        <w:rPr>
          <w:b w:val="0"/>
          <w:noProof/>
          <w:color w:val="000000"/>
          <w:szCs w:val="22"/>
          <w:lang w:val="hy-AM"/>
        </w:rPr>
        <w:t>որ նմուշների մշակում</w:t>
      </w:r>
      <w:r w:rsidR="007A5F0F">
        <w:rPr>
          <w:b w:val="0"/>
          <w:noProof/>
          <w:color w:val="000000"/>
          <w:szCs w:val="22"/>
          <w:lang w:val="hy-AM"/>
        </w:rPr>
        <w:t>,</w:t>
      </w:r>
      <w:r w:rsidR="007A5F0F" w:rsidRPr="00606958">
        <w:rPr>
          <w:b w:val="0"/>
          <w:noProof/>
          <w:color w:val="000000"/>
          <w:szCs w:val="22"/>
          <w:lang w:val="hy-AM"/>
        </w:rPr>
        <w:t xml:space="preserve"> ն</w:t>
      </w:r>
      <w:r w:rsidR="007A5F0F" w:rsidRPr="00FB400A">
        <w:rPr>
          <w:b w:val="0"/>
          <w:noProof/>
          <w:color w:val="000000"/>
          <w:szCs w:val="22"/>
          <w:lang w:val="hy-AM"/>
        </w:rPr>
        <w:t>որ և արդիականացված նմուշների փորձնական խմբաքանակների արտադրություն</w:t>
      </w:r>
      <w:r w:rsidR="007A5F0F">
        <w:rPr>
          <w:b w:val="0"/>
          <w:noProof/>
          <w:color w:val="000000"/>
          <w:szCs w:val="22"/>
          <w:lang w:val="hy-AM"/>
        </w:rPr>
        <w:t>,</w:t>
      </w:r>
      <w:r w:rsidR="007A5F0F" w:rsidRPr="00606958">
        <w:rPr>
          <w:b w:val="0"/>
          <w:noProof/>
          <w:color w:val="000000"/>
          <w:szCs w:val="22"/>
          <w:lang w:val="hy-AM"/>
        </w:rPr>
        <w:t xml:space="preserve"> </w:t>
      </w:r>
      <w:r w:rsidR="007A5F0F" w:rsidRPr="00FB400A">
        <w:rPr>
          <w:b w:val="0"/>
          <w:noProof/>
          <w:color w:val="000000"/>
          <w:szCs w:val="22"/>
          <w:lang w:val="hy-AM"/>
        </w:rPr>
        <w:t>սպառազինության և ռազմական տեխնիկայի և ռազմատեխնիկական ունեցվածքի արդիականացում:</w:t>
      </w:r>
    </w:p>
    <w:p w:rsidR="007A5F0F" w:rsidRPr="006A0680" w:rsidRDefault="007A5F0F" w:rsidP="007730AA">
      <w:pPr>
        <w:tabs>
          <w:tab w:val="left" w:pos="540"/>
          <w:tab w:val="left" w:pos="567"/>
        </w:tabs>
        <w:spacing w:before="0" w:line="276" w:lineRule="auto"/>
        <w:ind w:firstLine="720"/>
        <w:contextualSpacing w:val="0"/>
        <w:rPr>
          <w:bCs/>
          <w:noProof/>
          <w:color w:val="000000"/>
          <w:szCs w:val="22"/>
          <w:lang w:val="hy-AM"/>
        </w:rPr>
      </w:pPr>
      <w:r w:rsidRPr="00606958">
        <w:rPr>
          <w:bCs/>
          <w:noProof/>
          <w:color w:val="000000"/>
          <w:szCs w:val="22"/>
          <w:lang w:val="hy-AM"/>
        </w:rPr>
        <w:t xml:space="preserve">Բարձր տեխնոլոգիական արդյունաբերության </w:t>
      </w:r>
      <w:r w:rsidR="006A0680">
        <w:rPr>
          <w:bCs/>
          <w:noProof/>
          <w:color w:val="000000"/>
          <w:szCs w:val="22"/>
          <w:lang w:val="hy-AM"/>
        </w:rPr>
        <w:t>ոլորտ</w:t>
      </w:r>
    </w:p>
    <w:p w:rsidR="007A5F0F" w:rsidRPr="00AA4447" w:rsidRDefault="007A5F0F" w:rsidP="007730AA">
      <w:pPr>
        <w:tabs>
          <w:tab w:val="left" w:pos="540"/>
          <w:tab w:val="left" w:pos="567"/>
        </w:tabs>
        <w:spacing w:before="0" w:line="276" w:lineRule="auto"/>
        <w:ind w:firstLine="720"/>
        <w:contextualSpacing w:val="0"/>
        <w:rPr>
          <w:b w:val="0"/>
          <w:noProof/>
          <w:color w:val="000000"/>
          <w:szCs w:val="22"/>
          <w:lang w:val="hy-AM"/>
        </w:rPr>
      </w:pPr>
      <w:r w:rsidRPr="00AA4447">
        <w:rPr>
          <w:b w:val="0"/>
          <w:noProof/>
          <w:color w:val="000000"/>
          <w:szCs w:val="22"/>
          <w:lang w:val="hy-AM"/>
        </w:rPr>
        <w:t>2021</w:t>
      </w:r>
      <w:r>
        <w:rPr>
          <w:b w:val="0"/>
          <w:noProof/>
          <w:color w:val="000000"/>
          <w:szCs w:val="22"/>
          <w:lang w:val="hy-AM"/>
        </w:rPr>
        <w:t xml:space="preserve"> </w:t>
      </w:r>
      <w:r w:rsidRPr="00AA4447">
        <w:rPr>
          <w:b w:val="0"/>
          <w:noProof/>
          <w:color w:val="000000"/>
          <w:szCs w:val="22"/>
          <w:lang w:val="hy-AM"/>
        </w:rPr>
        <w:t>թ</w:t>
      </w:r>
      <w:r>
        <w:rPr>
          <w:b w:val="0"/>
          <w:noProof/>
          <w:color w:val="000000"/>
          <w:szCs w:val="22"/>
          <w:lang w:val="hy-AM"/>
        </w:rPr>
        <w:t>վականին</w:t>
      </w:r>
      <w:r w:rsidRPr="00AA4447">
        <w:rPr>
          <w:b w:val="0"/>
          <w:noProof/>
          <w:color w:val="000000"/>
          <w:szCs w:val="22"/>
          <w:lang w:val="hy-AM"/>
        </w:rPr>
        <w:t xml:space="preserve"> նախատեսվում է իրա</w:t>
      </w:r>
      <w:r>
        <w:rPr>
          <w:b w:val="0"/>
          <w:noProof/>
          <w:color w:val="000000"/>
          <w:szCs w:val="22"/>
          <w:lang w:val="hy-AM"/>
        </w:rPr>
        <w:t>կանացնել բա</w:t>
      </w:r>
      <w:r w:rsidRPr="00AA4447">
        <w:rPr>
          <w:b w:val="0"/>
          <w:noProof/>
          <w:color w:val="000000"/>
          <w:szCs w:val="22"/>
          <w:lang w:val="hy-AM"/>
        </w:rPr>
        <w:t>րձր տեխնոլոգիական արդյունաբերության էկոհամակարգի և շուկայի զարգացման ծրագիրը, որի նպատակն է`</w:t>
      </w:r>
    </w:p>
    <w:p w:rsidR="007A5F0F" w:rsidRDefault="007A5F0F" w:rsidP="007730AA">
      <w:pPr>
        <w:pStyle w:val="ListParagraph"/>
        <w:numPr>
          <w:ilvl w:val="0"/>
          <w:numId w:val="48"/>
        </w:numPr>
        <w:tabs>
          <w:tab w:val="left" w:pos="567"/>
        </w:tabs>
        <w:spacing w:before="0" w:line="276" w:lineRule="auto"/>
        <w:ind w:left="0" w:firstLine="426"/>
        <w:contextualSpacing w:val="0"/>
        <w:rPr>
          <w:b w:val="0"/>
          <w:noProof/>
          <w:color w:val="000000"/>
          <w:szCs w:val="22"/>
          <w:lang w:val="hy-AM"/>
        </w:rPr>
      </w:pPr>
      <w:r w:rsidRPr="00F5275B">
        <w:rPr>
          <w:b w:val="0"/>
          <w:noProof/>
          <w:color w:val="000000"/>
          <w:szCs w:val="22"/>
          <w:lang w:val="hy-AM"/>
        </w:rPr>
        <w:t>Իրականացնել կադրերի թիրախավորված պատրաստում և վերապատրաստում</w:t>
      </w:r>
      <w:r>
        <w:rPr>
          <w:b w:val="0"/>
          <w:noProof/>
          <w:color w:val="000000"/>
          <w:szCs w:val="22"/>
          <w:lang w:val="hy-AM"/>
        </w:rPr>
        <w:t>՝</w:t>
      </w:r>
      <w:r w:rsidRPr="00F5275B">
        <w:rPr>
          <w:b w:val="0"/>
          <w:noProof/>
          <w:color w:val="000000"/>
          <w:szCs w:val="22"/>
          <w:lang w:val="hy-AM"/>
        </w:rPr>
        <w:t xml:space="preserve"> հաշվի առնելով շուկայի կտրուկ զարգացումն ու կադրերի նկատմամբ շուկայի պահանջարկի կտրուկ աճը,</w:t>
      </w:r>
    </w:p>
    <w:p w:rsidR="007A5F0F" w:rsidRDefault="007A5F0F" w:rsidP="007730AA">
      <w:pPr>
        <w:pStyle w:val="ListParagraph"/>
        <w:numPr>
          <w:ilvl w:val="0"/>
          <w:numId w:val="48"/>
        </w:numPr>
        <w:tabs>
          <w:tab w:val="left" w:pos="567"/>
        </w:tabs>
        <w:spacing w:before="0" w:line="276" w:lineRule="auto"/>
        <w:ind w:left="0" w:firstLine="426"/>
        <w:contextualSpacing w:val="0"/>
        <w:rPr>
          <w:b w:val="0"/>
          <w:noProof/>
          <w:color w:val="000000"/>
          <w:szCs w:val="22"/>
          <w:lang w:val="hy-AM"/>
        </w:rPr>
      </w:pPr>
      <w:r w:rsidRPr="00430281">
        <w:rPr>
          <w:b w:val="0"/>
          <w:noProof/>
          <w:color w:val="000000"/>
          <w:szCs w:val="22"/>
          <w:lang w:val="hy-AM"/>
        </w:rPr>
        <w:t>Զարգացնել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 և այլն,</w:t>
      </w:r>
    </w:p>
    <w:p w:rsidR="007A5F0F" w:rsidRDefault="007A5F0F" w:rsidP="007730AA">
      <w:pPr>
        <w:pStyle w:val="ListParagraph"/>
        <w:numPr>
          <w:ilvl w:val="0"/>
          <w:numId w:val="48"/>
        </w:numPr>
        <w:tabs>
          <w:tab w:val="left" w:pos="567"/>
        </w:tabs>
        <w:spacing w:before="0" w:line="276" w:lineRule="auto"/>
        <w:ind w:left="0" w:firstLine="426"/>
        <w:contextualSpacing w:val="0"/>
        <w:rPr>
          <w:b w:val="0"/>
          <w:noProof/>
          <w:color w:val="000000"/>
          <w:szCs w:val="22"/>
          <w:lang w:val="hy-AM"/>
        </w:rPr>
      </w:pPr>
      <w:r w:rsidRPr="00430281">
        <w:rPr>
          <w:b w:val="0"/>
          <w:noProof/>
          <w:color w:val="000000"/>
          <w:szCs w:val="22"/>
          <w:lang w:val="hy-AM"/>
        </w:rPr>
        <w:t>Հայկական Սփյուռքի ներգրավվածությունն ապահովելու նպատակով նախատեսվում է տարբեր ֆորմատներում շարունակական համագործակցության հարթակ ստեղծել հայկական ընկերությունների, կազմակերպությունների և անհատների հ</w:t>
      </w:r>
      <w:r w:rsidRPr="00606958">
        <w:rPr>
          <w:b w:val="0"/>
          <w:noProof/>
          <w:color w:val="000000"/>
          <w:szCs w:val="22"/>
          <w:lang w:val="hy-AM"/>
        </w:rPr>
        <w:t>ամար</w:t>
      </w:r>
      <w:r>
        <w:rPr>
          <w:b w:val="0"/>
          <w:noProof/>
          <w:color w:val="000000"/>
          <w:szCs w:val="22"/>
          <w:lang w:val="hy-AM"/>
        </w:rPr>
        <w:t>,</w:t>
      </w:r>
    </w:p>
    <w:p w:rsidR="007A5F0F" w:rsidRPr="00430281" w:rsidRDefault="007A5F0F" w:rsidP="007730AA">
      <w:pPr>
        <w:pStyle w:val="ListParagraph"/>
        <w:numPr>
          <w:ilvl w:val="0"/>
          <w:numId w:val="48"/>
        </w:numPr>
        <w:tabs>
          <w:tab w:val="left" w:pos="567"/>
        </w:tabs>
        <w:spacing w:before="0" w:line="276" w:lineRule="auto"/>
        <w:ind w:left="0" w:firstLine="426"/>
        <w:contextualSpacing w:val="0"/>
        <w:rPr>
          <w:b w:val="0"/>
          <w:noProof/>
          <w:color w:val="000000"/>
          <w:szCs w:val="22"/>
          <w:lang w:val="hy-AM"/>
        </w:rPr>
      </w:pPr>
      <w:r w:rsidRPr="00430281">
        <w:rPr>
          <w:b w:val="0"/>
          <w:noProof/>
          <w:color w:val="000000"/>
          <w:szCs w:val="22"/>
          <w:lang w:val="hy-AM"/>
        </w:rPr>
        <w:t>Զանգվածաբար կիրառել և զարգացնել թվային տեխնոլոգիաներ</w:t>
      </w:r>
      <w:r w:rsidRPr="00606958">
        <w:rPr>
          <w:b w:val="0"/>
          <w:noProof/>
          <w:color w:val="000000"/>
          <w:szCs w:val="22"/>
          <w:lang w:val="hy-AM"/>
        </w:rPr>
        <w:t>ը</w:t>
      </w:r>
      <w:r w:rsidRPr="00430281">
        <w:rPr>
          <w:b w:val="0"/>
          <w:noProof/>
          <w:color w:val="000000"/>
          <w:szCs w:val="22"/>
          <w:lang w:val="hy-AM"/>
        </w:rPr>
        <w:t>։ Զուգահեռաբար նախատեսվում է բարձրացնել կիբեռանվտանգության և ինտերնետ հասանելիության մակարդակը Հայաստանում։</w:t>
      </w:r>
    </w:p>
    <w:p w:rsidR="007A5F0F" w:rsidRPr="00AA4447" w:rsidRDefault="007A5F0F" w:rsidP="007730AA">
      <w:pPr>
        <w:tabs>
          <w:tab w:val="left" w:pos="540"/>
          <w:tab w:val="left" w:pos="567"/>
        </w:tabs>
        <w:spacing w:before="0" w:line="276" w:lineRule="auto"/>
        <w:ind w:firstLine="720"/>
        <w:contextualSpacing w:val="0"/>
        <w:rPr>
          <w:b w:val="0"/>
          <w:noProof/>
          <w:color w:val="000000"/>
          <w:szCs w:val="22"/>
          <w:lang w:val="hy-AM"/>
        </w:rPr>
      </w:pPr>
      <w:r w:rsidRPr="00AA4447">
        <w:rPr>
          <w:b w:val="0"/>
          <w:noProof/>
          <w:color w:val="000000"/>
          <w:szCs w:val="22"/>
          <w:lang w:val="hy-AM"/>
        </w:rPr>
        <w:t>Նշված նպատակների իրականացման համար վերոհիշյալ ծրագրի շրջանակներում իրականացվելու են հետևյալ միջոցառումները.</w:t>
      </w:r>
    </w:p>
    <w:p w:rsidR="007A5F0F" w:rsidRPr="006C56F8" w:rsidRDefault="007A5F0F" w:rsidP="007730AA">
      <w:pPr>
        <w:pStyle w:val="ListParagraph"/>
        <w:numPr>
          <w:ilvl w:val="0"/>
          <w:numId w:val="28"/>
        </w:numPr>
        <w:tabs>
          <w:tab w:val="left" w:pos="567"/>
        </w:tabs>
        <w:spacing w:before="0" w:line="276" w:lineRule="auto"/>
        <w:ind w:left="0" w:firstLine="426"/>
        <w:contextualSpacing w:val="0"/>
        <w:rPr>
          <w:b w:val="0"/>
          <w:noProof/>
          <w:color w:val="000000"/>
          <w:szCs w:val="22"/>
          <w:lang w:val="hy-AM"/>
        </w:rPr>
      </w:pPr>
      <w:r w:rsidRPr="006C56F8">
        <w:rPr>
          <w:b w:val="0"/>
          <w:noProof/>
          <w:color w:val="000000"/>
          <w:szCs w:val="22"/>
          <w:lang w:val="hy-AM"/>
        </w:rPr>
        <w:t>Մասնագետների պատրաստման ԲՈՒՀ</w:t>
      </w:r>
      <w:r>
        <w:rPr>
          <w:b w:val="0"/>
          <w:noProof/>
          <w:color w:val="000000"/>
          <w:szCs w:val="22"/>
          <w:lang w:val="hy-AM"/>
        </w:rPr>
        <w:t xml:space="preserve"> </w:t>
      </w:r>
      <w:r w:rsidRPr="006C56F8">
        <w:rPr>
          <w:b w:val="0"/>
          <w:noProof/>
          <w:color w:val="000000"/>
          <w:szCs w:val="22"/>
          <w:lang w:val="hy-AM"/>
        </w:rPr>
        <w:t>- մասնավոր համագործակցություն</w:t>
      </w:r>
      <w:r w:rsidRPr="00606958">
        <w:rPr>
          <w:b w:val="0"/>
          <w:noProof/>
          <w:color w:val="000000"/>
          <w:szCs w:val="22"/>
          <w:lang w:val="hy-AM"/>
        </w:rPr>
        <w:t>,</w:t>
      </w:r>
    </w:p>
    <w:p w:rsidR="007A5F0F" w:rsidRPr="006C56F8" w:rsidRDefault="007A5F0F" w:rsidP="007730AA">
      <w:pPr>
        <w:pStyle w:val="ListParagraph"/>
        <w:numPr>
          <w:ilvl w:val="0"/>
          <w:numId w:val="28"/>
        </w:numPr>
        <w:tabs>
          <w:tab w:val="left" w:pos="567"/>
        </w:tabs>
        <w:spacing w:before="0" w:line="276" w:lineRule="auto"/>
        <w:ind w:left="0" w:firstLine="426"/>
        <w:contextualSpacing w:val="0"/>
        <w:rPr>
          <w:b w:val="0"/>
          <w:noProof/>
          <w:color w:val="000000"/>
          <w:szCs w:val="22"/>
          <w:lang w:val="hy-AM"/>
        </w:rPr>
      </w:pPr>
      <w:r w:rsidRPr="006C56F8">
        <w:rPr>
          <w:b w:val="0"/>
          <w:noProof/>
          <w:color w:val="000000"/>
          <w:szCs w:val="22"/>
          <w:lang w:val="hy-AM"/>
        </w:rPr>
        <w:t>«Գաղափարից մինչև բիզնես դրամաշնորհներ»</w:t>
      </w:r>
      <w:r w:rsidRPr="00606958">
        <w:rPr>
          <w:b w:val="0"/>
          <w:noProof/>
          <w:color w:val="000000"/>
          <w:szCs w:val="22"/>
          <w:lang w:val="hy-AM"/>
        </w:rPr>
        <w:t>,</w:t>
      </w:r>
    </w:p>
    <w:p w:rsidR="007A5F0F" w:rsidRPr="006C56F8" w:rsidRDefault="007A5F0F" w:rsidP="007730AA">
      <w:pPr>
        <w:pStyle w:val="ListParagraph"/>
        <w:numPr>
          <w:ilvl w:val="0"/>
          <w:numId w:val="28"/>
        </w:numPr>
        <w:tabs>
          <w:tab w:val="left" w:pos="567"/>
        </w:tabs>
        <w:spacing w:before="0" w:line="276" w:lineRule="auto"/>
        <w:ind w:left="0" w:firstLine="426"/>
        <w:contextualSpacing w:val="0"/>
        <w:rPr>
          <w:b w:val="0"/>
          <w:noProof/>
          <w:color w:val="000000"/>
          <w:szCs w:val="22"/>
          <w:lang w:val="hy-AM"/>
        </w:rPr>
      </w:pPr>
      <w:r w:rsidRPr="006C56F8">
        <w:rPr>
          <w:b w:val="0"/>
          <w:noProof/>
          <w:color w:val="000000"/>
          <w:szCs w:val="22"/>
          <w:lang w:val="hy-AM"/>
        </w:rPr>
        <w:t>«Հայկական վիրտուալ կամուրջ»</w:t>
      </w:r>
      <w:r w:rsidRPr="00606958">
        <w:rPr>
          <w:b w:val="0"/>
          <w:noProof/>
          <w:color w:val="000000"/>
          <w:szCs w:val="22"/>
          <w:lang w:val="hy-AM"/>
        </w:rPr>
        <w:t>,</w:t>
      </w:r>
    </w:p>
    <w:p w:rsidR="007A5F0F" w:rsidRPr="00294FB3" w:rsidRDefault="007A5F0F" w:rsidP="007730AA">
      <w:pPr>
        <w:pStyle w:val="ListParagraph"/>
        <w:numPr>
          <w:ilvl w:val="0"/>
          <w:numId w:val="28"/>
        </w:numPr>
        <w:tabs>
          <w:tab w:val="left" w:pos="567"/>
        </w:tabs>
        <w:spacing w:before="0" w:line="276" w:lineRule="auto"/>
        <w:ind w:left="0" w:firstLine="426"/>
        <w:contextualSpacing w:val="0"/>
        <w:rPr>
          <w:b w:val="0"/>
          <w:noProof/>
          <w:color w:val="000000"/>
          <w:szCs w:val="22"/>
          <w:lang w:val="hy-AM"/>
        </w:rPr>
      </w:pPr>
      <w:r w:rsidRPr="006C56F8">
        <w:rPr>
          <w:b w:val="0"/>
          <w:noProof/>
          <w:color w:val="000000"/>
          <w:szCs w:val="22"/>
          <w:lang w:val="hy-AM"/>
        </w:rPr>
        <w:t>Շուկաների զարգացում և միջազգային համագործակցություն</w:t>
      </w:r>
      <w:r w:rsidRPr="00294FB3">
        <w:rPr>
          <w:b w:val="0"/>
          <w:noProof/>
          <w:color w:val="000000"/>
          <w:szCs w:val="22"/>
          <w:lang w:val="hy-AM"/>
        </w:rPr>
        <w:t>:</w:t>
      </w:r>
    </w:p>
    <w:p w:rsidR="007A5F0F" w:rsidRPr="00AA4447" w:rsidRDefault="007A5F0F" w:rsidP="007730AA">
      <w:pPr>
        <w:tabs>
          <w:tab w:val="left" w:pos="540"/>
          <w:tab w:val="left" w:pos="567"/>
        </w:tabs>
        <w:spacing w:before="0" w:line="276" w:lineRule="auto"/>
        <w:ind w:firstLine="426"/>
        <w:contextualSpacing w:val="0"/>
        <w:rPr>
          <w:b w:val="0"/>
          <w:noProof/>
          <w:color w:val="000000"/>
          <w:szCs w:val="22"/>
          <w:lang w:val="hy-AM"/>
        </w:rPr>
      </w:pPr>
      <w:r w:rsidRPr="00AA4447">
        <w:rPr>
          <w:b w:val="0"/>
          <w:noProof/>
          <w:color w:val="000000"/>
          <w:szCs w:val="22"/>
          <w:lang w:val="hy-AM"/>
        </w:rPr>
        <w:t>Նշված միջոցառումների իրականացումը կապահովի հետևյալ արդյունքային ցուցանիշները.</w:t>
      </w:r>
    </w:p>
    <w:p w:rsidR="007A5F0F" w:rsidRPr="00A23C86" w:rsidRDefault="007A5F0F" w:rsidP="007730AA">
      <w:pPr>
        <w:pStyle w:val="ListParagraph"/>
        <w:numPr>
          <w:ilvl w:val="0"/>
          <w:numId w:val="29"/>
        </w:numPr>
        <w:tabs>
          <w:tab w:val="left" w:pos="540"/>
          <w:tab w:val="left" w:pos="567"/>
        </w:tabs>
        <w:spacing w:before="0" w:line="276" w:lineRule="auto"/>
        <w:ind w:left="0" w:firstLine="426"/>
        <w:contextualSpacing w:val="0"/>
        <w:rPr>
          <w:b w:val="0"/>
          <w:noProof/>
          <w:color w:val="000000"/>
          <w:szCs w:val="22"/>
          <w:lang w:val="hy-AM"/>
        </w:rPr>
      </w:pPr>
      <w:r w:rsidRPr="00A23C86">
        <w:rPr>
          <w:b w:val="0"/>
          <w:noProof/>
          <w:color w:val="000000"/>
          <w:szCs w:val="22"/>
          <w:lang w:val="hy-AM"/>
        </w:rPr>
        <w:t>Դրամաշնորհային ծրագրի շրջանակներում կտրամադրվեն դրամաշնորհներ հետևյալ փաթեթներով` Տաղանդի ձևավորման փաթեթ, դրամաշնորհային հրավերների Մարզային համաչափ զարգացման փաթեթ, Բաց նորարարության (օգտակար) փաթեթ  և Հեռանկարային փաթեթ,</w:t>
      </w:r>
    </w:p>
    <w:p w:rsidR="007A5F0F" w:rsidRPr="00A23C86" w:rsidRDefault="007A5F0F" w:rsidP="007730AA">
      <w:pPr>
        <w:pStyle w:val="ListParagraph"/>
        <w:numPr>
          <w:ilvl w:val="0"/>
          <w:numId w:val="29"/>
        </w:numPr>
        <w:tabs>
          <w:tab w:val="left" w:pos="540"/>
          <w:tab w:val="left" w:pos="567"/>
        </w:tabs>
        <w:spacing w:before="0" w:line="276" w:lineRule="auto"/>
        <w:ind w:left="0" w:firstLine="426"/>
        <w:contextualSpacing w:val="0"/>
        <w:rPr>
          <w:b w:val="0"/>
          <w:noProof/>
          <w:color w:val="000000"/>
          <w:szCs w:val="22"/>
          <w:lang w:val="hy-AM"/>
        </w:rPr>
      </w:pPr>
      <w:r w:rsidRPr="00A23C86">
        <w:rPr>
          <w:b w:val="0"/>
          <w:noProof/>
          <w:color w:val="000000"/>
          <w:szCs w:val="22"/>
          <w:lang w:val="hy-AM"/>
        </w:rPr>
        <w:t xml:space="preserve">30 ուսանողների համար կիրականացվեն ձեռնարկատիրական ինկուբացիոն դասընթացներ, 60 ուսանող </w:t>
      </w:r>
      <w:r>
        <w:rPr>
          <w:b w:val="0"/>
          <w:noProof/>
          <w:color w:val="000000"/>
          <w:szCs w:val="22"/>
          <w:lang w:val="hy-AM"/>
        </w:rPr>
        <w:t>կմասնակցեն բ</w:t>
      </w:r>
      <w:r w:rsidRPr="00A23C86">
        <w:rPr>
          <w:b w:val="0"/>
          <w:noProof/>
          <w:color w:val="000000"/>
          <w:szCs w:val="22"/>
          <w:lang w:val="hy-AM"/>
        </w:rPr>
        <w:t>արձր տեխնոլոգիական ոլորտում գործող ձեռներեցների համար արտասահմանում անցկացվելիք աքսելերացիոն վերապատրաստման միջոցառումներին, կի</w:t>
      </w:r>
      <w:r>
        <w:rPr>
          <w:b w:val="0"/>
          <w:noProof/>
          <w:color w:val="000000"/>
          <w:szCs w:val="22"/>
          <w:lang w:val="hy-AM"/>
        </w:rPr>
        <w:t>ր</w:t>
      </w:r>
      <w:r w:rsidRPr="00A23C86">
        <w:rPr>
          <w:b w:val="0"/>
          <w:noProof/>
          <w:color w:val="000000"/>
          <w:szCs w:val="22"/>
          <w:lang w:val="hy-AM"/>
        </w:rPr>
        <w:t>ականացվեն աշխատանքներ սիլիկոնյան հովտում հայկական հաբ-ի ստեղծման ուղղությամբ</w:t>
      </w:r>
      <w:r>
        <w:rPr>
          <w:b w:val="0"/>
          <w:noProof/>
          <w:color w:val="000000"/>
          <w:szCs w:val="22"/>
          <w:lang w:val="hy-AM"/>
        </w:rPr>
        <w:t>,</w:t>
      </w:r>
      <w:r w:rsidRPr="00A23C86">
        <w:rPr>
          <w:b w:val="0"/>
          <w:noProof/>
          <w:color w:val="000000"/>
          <w:szCs w:val="22"/>
          <w:lang w:val="hy-AM"/>
        </w:rPr>
        <w:t xml:space="preserve"> </w:t>
      </w:r>
    </w:p>
    <w:p w:rsidR="007A5F0F" w:rsidRPr="00A23C86" w:rsidRDefault="007A5F0F" w:rsidP="007730AA">
      <w:pPr>
        <w:pStyle w:val="ListParagraph"/>
        <w:numPr>
          <w:ilvl w:val="0"/>
          <w:numId w:val="29"/>
        </w:numPr>
        <w:tabs>
          <w:tab w:val="left" w:pos="540"/>
          <w:tab w:val="left" w:pos="567"/>
        </w:tabs>
        <w:spacing w:before="0" w:line="276" w:lineRule="auto"/>
        <w:ind w:left="0" w:firstLine="426"/>
        <w:contextualSpacing w:val="0"/>
        <w:rPr>
          <w:b w:val="0"/>
          <w:noProof/>
          <w:color w:val="000000"/>
          <w:szCs w:val="22"/>
          <w:lang w:val="hy-AM"/>
        </w:rPr>
      </w:pPr>
      <w:r w:rsidRPr="00A23C86">
        <w:rPr>
          <w:b w:val="0"/>
          <w:noProof/>
          <w:color w:val="000000"/>
          <w:szCs w:val="22"/>
          <w:lang w:val="hy-AM"/>
        </w:rPr>
        <w:t>Ոլորտի բարձրակարգ մասնագետների և ընտրված լավագույն ծրագրերի միջոցով կվերապատրաստվեն  շուրջ 6000 շահառուներ</w:t>
      </w:r>
      <w:r>
        <w:rPr>
          <w:b w:val="0"/>
          <w:noProof/>
          <w:color w:val="000000"/>
          <w:szCs w:val="22"/>
          <w:lang w:val="hy-AM"/>
        </w:rPr>
        <w:t>,</w:t>
      </w:r>
    </w:p>
    <w:p w:rsidR="007A5F0F" w:rsidRPr="00A23C86" w:rsidRDefault="007A5F0F" w:rsidP="007730AA">
      <w:pPr>
        <w:pStyle w:val="ListParagraph"/>
        <w:numPr>
          <w:ilvl w:val="0"/>
          <w:numId w:val="29"/>
        </w:numPr>
        <w:tabs>
          <w:tab w:val="left" w:pos="540"/>
          <w:tab w:val="left" w:pos="567"/>
        </w:tabs>
        <w:spacing w:before="0" w:line="276" w:lineRule="auto"/>
        <w:ind w:left="0" w:firstLine="426"/>
        <w:contextualSpacing w:val="0"/>
        <w:rPr>
          <w:b w:val="0"/>
          <w:noProof/>
          <w:color w:val="000000"/>
          <w:szCs w:val="22"/>
          <w:lang w:val="hy-AM"/>
        </w:rPr>
      </w:pPr>
      <w:r w:rsidRPr="00A23C86">
        <w:rPr>
          <w:b w:val="0"/>
          <w:noProof/>
          <w:color w:val="000000"/>
          <w:szCs w:val="22"/>
          <w:lang w:val="hy-AM"/>
        </w:rPr>
        <w:t xml:space="preserve">Սփյուռքի կարողությունների ներգրավման համար </w:t>
      </w:r>
      <w:r w:rsidRPr="00A84606">
        <w:rPr>
          <w:b w:val="0"/>
          <w:noProof/>
          <w:color w:val="000000"/>
          <w:szCs w:val="22"/>
          <w:lang w:val="hy-AM"/>
        </w:rPr>
        <w:t xml:space="preserve">կստեղծվեն </w:t>
      </w:r>
      <w:r w:rsidRPr="00A23C86">
        <w:rPr>
          <w:b w:val="0"/>
          <w:noProof/>
          <w:color w:val="000000"/>
          <w:szCs w:val="22"/>
          <w:lang w:val="hy-AM"/>
        </w:rPr>
        <w:t xml:space="preserve">մեխանիզմներ, </w:t>
      </w:r>
      <w:r w:rsidRPr="00A84606">
        <w:rPr>
          <w:b w:val="0"/>
          <w:noProof/>
          <w:color w:val="000000"/>
          <w:szCs w:val="22"/>
          <w:lang w:val="hy-AM"/>
        </w:rPr>
        <w:t xml:space="preserve">կկառուցվի </w:t>
      </w:r>
      <w:r w:rsidRPr="00A23C86">
        <w:rPr>
          <w:b w:val="0"/>
          <w:noProof/>
          <w:color w:val="000000"/>
          <w:szCs w:val="22"/>
          <w:lang w:val="hy-AM"/>
        </w:rPr>
        <w:t>ինժեներական քաղաք</w:t>
      </w:r>
      <w:r w:rsidRPr="00A84606">
        <w:rPr>
          <w:b w:val="0"/>
          <w:noProof/>
          <w:color w:val="000000"/>
          <w:szCs w:val="22"/>
          <w:lang w:val="hy-AM"/>
        </w:rPr>
        <w:t>ը</w:t>
      </w:r>
      <w:r w:rsidRPr="00A23C86">
        <w:rPr>
          <w:b w:val="0"/>
          <w:noProof/>
          <w:color w:val="000000"/>
          <w:szCs w:val="22"/>
          <w:lang w:val="hy-AM"/>
        </w:rPr>
        <w:t xml:space="preserve">, որը կբերի 1500 նոր աշխատատեղերի ստեղծման, </w:t>
      </w:r>
      <w:r w:rsidRPr="00A84606">
        <w:rPr>
          <w:b w:val="0"/>
          <w:noProof/>
          <w:color w:val="000000"/>
          <w:szCs w:val="22"/>
          <w:lang w:val="hy-AM"/>
        </w:rPr>
        <w:t xml:space="preserve">կստեղծվի </w:t>
      </w:r>
      <w:r w:rsidRPr="00A23C86">
        <w:rPr>
          <w:b w:val="0"/>
          <w:noProof/>
          <w:color w:val="000000"/>
          <w:szCs w:val="22"/>
          <w:lang w:val="hy-AM"/>
        </w:rPr>
        <w:t xml:space="preserve">ազգային վենչուրային ֆոնդ, մարզերում </w:t>
      </w:r>
      <w:r w:rsidRPr="00A84606">
        <w:rPr>
          <w:b w:val="0"/>
          <w:noProof/>
          <w:color w:val="000000"/>
          <w:szCs w:val="22"/>
          <w:lang w:val="hy-AM"/>
        </w:rPr>
        <w:t xml:space="preserve">կզարգանան </w:t>
      </w:r>
      <w:r w:rsidRPr="00A23C86">
        <w:rPr>
          <w:b w:val="0"/>
          <w:noProof/>
          <w:color w:val="000000"/>
          <w:szCs w:val="22"/>
          <w:lang w:val="hy-AM"/>
        </w:rPr>
        <w:t xml:space="preserve">տեխնոպարկեր և </w:t>
      </w:r>
      <w:r w:rsidRPr="00A84606">
        <w:rPr>
          <w:b w:val="0"/>
          <w:noProof/>
          <w:color w:val="000000"/>
          <w:szCs w:val="22"/>
          <w:lang w:val="hy-AM"/>
        </w:rPr>
        <w:t>կիրականացվեն</w:t>
      </w:r>
      <w:r w:rsidRPr="00A23C86">
        <w:rPr>
          <w:b w:val="0"/>
          <w:noProof/>
          <w:color w:val="000000"/>
          <w:szCs w:val="22"/>
          <w:lang w:val="hy-AM"/>
        </w:rPr>
        <w:t xml:space="preserve"> նոր ծրագրեր: </w:t>
      </w:r>
    </w:p>
    <w:p w:rsidR="007A5F0F" w:rsidRPr="00A84606" w:rsidRDefault="00C10199" w:rsidP="007730AA">
      <w:pPr>
        <w:tabs>
          <w:tab w:val="left" w:pos="450"/>
        </w:tabs>
        <w:spacing w:before="0" w:line="276" w:lineRule="auto"/>
        <w:ind w:firstLine="720"/>
        <w:contextualSpacing w:val="0"/>
        <w:rPr>
          <w:bCs/>
          <w:noProof/>
          <w:color w:val="000000"/>
          <w:szCs w:val="22"/>
          <w:lang w:val="hy-AM"/>
        </w:rPr>
      </w:pPr>
      <w:r w:rsidRPr="000C0823">
        <w:rPr>
          <w:bCs/>
          <w:noProof/>
          <w:color w:val="000000"/>
          <w:szCs w:val="22"/>
          <w:lang w:val="hy-AM"/>
        </w:rPr>
        <w:tab/>
      </w:r>
      <w:r w:rsidRPr="000C0823">
        <w:rPr>
          <w:bCs/>
          <w:noProof/>
          <w:color w:val="000000"/>
          <w:szCs w:val="22"/>
          <w:lang w:val="hy-AM"/>
        </w:rPr>
        <w:tab/>
      </w:r>
      <w:r w:rsidRPr="000C0823">
        <w:rPr>
          <w:bCs/>
          <w:noProof/>
          <w:color w:val="000000"/>
          <w:szCs w:val="22"/>
          <w:lang w:val="hy-AM"/>
        </w:rPr>
        <w:tab/>
      </w:r>
      <w:r w:rsidR="007A5F0F">
        <w:rPr>
          <w:bCs/>
          <w:noProof/>
          <w:color w:val="000000"/>
          <w:szCs w:val="22"/>
          <w:lang w:val="hy-AM"/>
        </w:rPr>
        <w:tab/>
      </w:r>
      <w:r w:rsidR="007A5F0F" w:rsidRPr="00A84606">
        <w:rPr>
          <w:bCs/>
          <w:noProof/>
          <w:color w:val="000000"/>
          <w:szCs w:val="22"/>
          <w:lang w:val="hy-AM"/>
        </w:rPr>
        <w:t>Հեռահաղորդակցության ապահովում</w:t>
      </w:r>
    </w:p>
    <w:p w:rsidR="007A5F0F" w:rsidRDefault="007A5F0F" w:rsidP="007730AA">
      <w:pPr>
        <w:tabs>
          <w:tab w:val="left" w:pos="540"/>
          <w:tab w:val="left" w:pos="567"/>
        </w:tabs>
        <w:spacing w:before="0" w:line="276" w:lineRule="auto"/>
        <w:ind w:firstLine="720"/>
        <w:contextualSpacing w:val="0"/>
        <w:rPr>
          <w:b w:val="0"/>
          <w:noProof/>
          <w:color w:val="000000"/>
          <w:szCs w:val="22"/>
          <w:lang w:val="hy-AM"/>
        </w:rPr>
      </w:pPr>
      <w:r w:rsidRPr="00AA4447">
        <w:rPr>
          <w:b w:val="0"/>
          <w:noProof/>
          <w:color w:val="000000"/>
          <w:szCs w:val="22"/>
          <w:lang w:val="hy-AM"/>
        </w:rPr>
        <w:t>Ծրագրի նպատակն է ապահովել Հայաստանի Հանրապետությունում հեռահաղորդակցության և կապի ծառայությունների որակի կանոնակարգումն ու բարելավումը, մասնավորապես` ՀՀ հաճախականությունների բաշխման աղյուսակի կազմումը, ռադիոեթերի մոնիթորինգի և ազդանշանների տեխնիկական պարամետրերի չափումների անցկացումը, ռադիոէլեկտրոնային միջոցների և բարձր հաճախության սարքավորումների տեղորոշումը, ինչպես նաև Հայաստանի Հանրապետությունում թվային հեռուստահեռարձակման ապահովման շրջանակներում հանրապետական սփռման մուլտիպլեքսի և արբանյակային տարածման համար արբանյակային ունակության վարձակալումը:</w:t>
      </w:r>
      <w:r w:rsidRPr="00A84606">
        <w:rPr>
          <w:b w:val="0"/>
          <w:noProof/>
          <w:color w:val="000000"/>
          <w:szCs w:val="22"/>
          <w:lang w:val="hy-AM"/>
        </w:rPr>
        <w:t xml:space="preserve"> </w:t>
      </w:r>
      <w:r w:rsidRPr="00AA4447">
        <w:rPr>
          <w:b w:val="0"/>
          <w:noProof/>
          <w:color w:val="000000"/>
          <w:szCs w:val="22"/>
          <w:lang w:val="hy-AM"/>
        </w:rPr>
        <w:t xml:space="preserve">Ծրագիրն իր մեջ ընդգրկում է </w:t>
      </w:r>
      <w:r w:rsidRPr="00A84606">
        <w:rPr>
          <w:b w:val="0"/>
          <w:noProof/>
          <w:color w:val="000000"/>
          <w:szCs w:val="22"/>
          <w:lang w:val="hy-AM"/>
        </w:rPr>
        <w:t>երկու</w:t>
      </w:r>
      <w:r w:rsidRPr="00AA4447">
        <w:rPr>
          <w:b w:val="0"/>
          <w:noProof/>
          <w:color w:val="000000"/>
          <w:szCs w:val="22"/>
          <w:lang w:val="hy-AM"/>
        </w:rPr>
        <w:t xml:space="preserve"> գործող միջոցառում</w:t>
      </w:r>
      <w:r w:rsidRPr="00A84606">
        <w:rPr>
          <w:b w:val="0"/>
          <w:noProof/>
          <w:color w:val="000000"/>
          <w:szCs w:val="22"/>
          <w:lang w:val="hy-AM"/>
        </w:rPr>
        <w:t>`</w:t>
      </w:r>
      <w:r w:rsidRPr="00AA4447">
        <w:rPr>
          <w:b w:val="0"/>
          <w:noProof/>
          <w:color w:val="000000"/>
          <w:szCs w:val="22"/>
          <w:lang w:val="hy-AM"/>
        </w:rPr>
        <w:t xml:space="preserve"> </w:t>
      </w:r>
    </w:p>
    <w:p w:rsidR="007A5F0F" w:rsidRPr="00A84606" w:rsidRDefault="007A5F0F" w:rsidP="007730AA">
      <w:pPr>
        <w:pStyle w:val="ListParagraph"/>
        <w:numPr>
          <w:ilvl w:val="0"/>
          <w:numId w:val="29"/>
        </w:numPr>
        <w:tabs>
          <w:tab w:val="left" w:pos="540"/>
          <w:tab w:val="left" w:pos="567"/>
        </w:tabs>
        <w:spacing w:before="0" w:line="276" w:lineRule="auto"/>
        <w:ind w:left="0" w:firstLine="426"/>
        <w:contextualSpacing w:val="0"/>
        <w:rPr>
          <w:b w:val="0"/>
          <w:noProof/>
          <w:color w:val="000000"/>
          <w:szCs w:val="22"/>
          <w:lang w:val="hy-AM"/>
        </w:rPr>
      </w:pPr>
      <w:r w:rsidRPr="00A84606">
        <w:rPr>
          <w:bCs/>
          <w:noProof/>
          <w:color w:val="000000"/>
          <w:szCs w:val="22"/>
          <w:lang w:val="hy-AM"/>
        </w:rPr>
        <w:t xml:space="preserve"> Հեռահաղորդակցության և կապի կանոնակարգում.</w:t>
      </w:r>
      <w:r w:rsidRPr="00A84606">
        <w:rPr>
          <w:b w:val="0"/>
          <w:noProof/>
          <w:color w:val="000000"/>
          <w:szCs w:val="22"/>
          <w:lang w:val="hy-AM"/>
        </w:rPr>
        <w:t xml:space="preserve"> Միջոցառումը կապահովի հեռահաղորդակցության և կապի ծառայությունների որակի կանոնակարգումն ու բարելավումը, մասնավորապես ՀՀ հաճախականությունների բաշխումների աղյուսակի կազմումը, ռադիոեթերի մոնիթորինգի և ազդանշանների տեխնիկական պարամետրերի չափումների անցկացումը, ռադիոէլեկտրոնային միջոցների և բարձր հաճախության սարքավորումների տեղորոշումը: Միջոցառումն իրականացվում է «Հեռահաղորդակցության հանրապետական կենտրոն» ՊՈԱԿ-ի կողմից: </w:t>
      </w:r>
    </w:p>
    <w:p w:rsidR="007A5F0F" w:rsidRPr="00A84606" w:rsidRDefault="007A5F0F" w:rsidP="007730AA">
      <w:pPr>
        <w:pStyle w:val="ListParagraph"/>
        <w:numPr>
          <w:ilvl w:val="0"/>
          <w:numId w:val="29"/>
        </w:numPr>
        <w:tabs>
          <w:tab w:val="left" w:pos="540"/>
          <w:tab w:val="left" w:pos="567"/>
        </w:tabs>
        <w:spacing w:before="0" w:line="276" w:lineRule="auto"/>
        <w:ind w:left="0" w:firstLine="426"/>
        <w:contextualSpacing w:val="0"/>
        <w:rPr>
          <w:b w:val="0"/>
          <w:noProof/>
          <w:color w:val="000000"/>
          <w:szCs w:val="22"/>
          <w:lang w:val="hy-AM"/>
        </w:rPr>
      </w:pPr>
      <w:r w:rsidRPr="00A84606">
        <w:rPr>
          <w:bCs/>
          <w:noProof/>
          <w:color w:val="000000"/>
          <w:szCs w:val="22"/>
          <w:lang w:val="hy-AM"/>
        </w:rPr>
        <w:t xml:space="preserve"> Թվային հեռուստահեռարձակման ապահովման ծառայություններ</w:t>
      </w:r>
      <w:r w:rsidRPr="0087082E">
        <w:rPr>
          <w:bCs/>
          <w:noProof/>
          <w:color w:val="000000"/>
          <w:szCs w:val="22"/>
          <w:lang w:val="hy-AM"/>
        </w:rPr>
        <w:t>.</w:t>
      </w:r>
      <w:r w:rsidRPr="00A84606">
        <w:rPr>
          <w:b w:val="0"/>
          <w:noProof/>
          <w:color w:val="000000"/>
          <w:szCs w:val="22"/>
          <w:lang w:val="hy-AM"/>
        </w:rPr>
        <w:t xml:space="preserve"> Միջոցառման նպատակը Հանրապետական սփռման մուլտիպլեքսի արբանյակային տարածման համար արբանյակային ունակության վարձակալումն է` համաձայն կնքված պայմանագրի: </w:t>
      </w:r>
    </w:p>
    <w:p w:rsidR="007A5F0F" w:rsidRPr="00950307"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23" w:name="_Toc26174893"/>
      <w:bookmarkStart w:id="24" w:name="_Toc57655422"/>
      <w:r w:rsidRPr="00950307">
        <w:rPr>
          <w:rFonts w:cs="Arial"/>
          <w:szCs w:val="22"/>
          <w:lang w:val="hy-AM" w:eastAsia="en-US"/>
        </w:rPr>
        <w:t>Քաղաքաշինություն</w:t>
      </w:r>
      <w:bookmarkEnd w:id="23"/>
      <w:bookmarkEnd w:id="24"/>
    </w:p>
    <w:p w:rsidR="007A5F0F" w:rsidRPr="00682397" w:rsidRDefault="007A5F0F" w:rsidP="007730AA">
      <w:pPr>
        <w:pStyle w:val="BodyText2"/>
        <w:ind w:left="0"/>
        <w:rPr>
          <w:rFonts w:cs="Arial"/>
        </w:rPr>
      </w:pPr>
      <w:r w:rsidRPr="0088512F">
        <w:rPr>
          <w:bCs/>
        </w:rPr>
        <w:t>2021 թվականի</w:t>
      </w:r>
      <w:r w:rsidRPr="00682397">
        <w:rPr>
          <w:noProof/>
        </w:rPr>
        <w:t xml:space="preserve"> բյուջետային հայտի ծախսային ծրագրերում ներառվել են. </w:t>
      </w:r>
    </w:p>
    <w:p w:rsidR="007A5F0F" w:rsidRDefault="007A5F0F" w:rsidP="007730AA">
      <w:pPr>
        <w:pStyle w:val="ListParagraph"/>
        <w:numPr>
          <w:ilvl w:val="0"/>
          <w:numId w:val="49"/>
        </w:numPr>
        <w:tabs>
          <w:tab w:val="left" w:pos="567"/>
          <w:tab w:val="left" w:pos="720"/>
        </w:tabs>
        <w:spacing w:before="0" w:line="276" w:lineRule="auto"/>
        <w:ind w:left="0" w:firstLine="426"/>
        <w:contextualSpacing w:val="0"/>
        <w:rPr>
          <w:rFonts w:eastAsia="Calibri" w:cs="Sylfaen"/>
          <w:b w:val="0"/>
          <w:noProof/>
          <w:szCs w:val="22"/>
          <w:lang w:val="hy-AM"/>
        </w:rPr>
      </w:pPr>
      <w:r w:rsidRPr="00682397">
        <w:rPr>
          <w:rFonts w:eastAsia="Calibri" w:cs="Sylfaen"/>
          <w:b w:val="0"/>
          <w:noProof/>
          <w:szCs w:val="22"/>
          <w:lang w:val="hy-AM"/>
        </w:rPr>
        <w:t>նորմատիվատեխնիկական փաստաթղթերի համակարգի բարեփոխման և արդիականացման նպատակով  նորմատիվատեխնիկական փաստաթղթերի մշակման  (տեղայնացման) աշխատանքները,</w:t>
      </w:r>
    </w:p>
    <w:p w:rsidR="007A5F0F" w:rsidRDefault="007A5F0F" w:rsidP="007730AA">
      <w:pPr>
        <w:pStyle w:val="ListParagraph"/>
        <w:numPr>
          <w:ilvl w:val="0"/>
          <w:numId w:val="49"/>
        </w:numPr>
        <w:tabs>
          <w:tab w:val="left" w:pos="567"/>
          <w:tab w:val="left" w:pos="720"/>
        </w:tabs>
        <w:spacing w:before="0" w:line="276" w:lineRule="auto"/>
        <w:ind w:left="0" w:firstLine="426"/>
        <w:contextualSpacing w:val="0"/>
        <w:rPr>
          <w:rFonts w:eastAsia="Calibri" w:cs="Sylfaen"/>
          <w:b w:val="0"/>
          <w:noProof/>
          <w:szCs w:val="22"/>
          <w:lang w:val="hy-AM"/>
        </w:rPr>
      </w:pPr>
      <w:r w:rsidRPr="00682397">
        <w:rPr>
          <w:rFonts w:eastAsia="Calibri" w:cs="Sylfaen"/>
          <w:b w:val="0"/>
          <w:noProof/>
          <w:szCs w:val="22"/>
          <w:lang w:val="hy-AM"/>
        </w:rPr>
        <w:t>ՀՀ համայնքների միկրոռեգիոնալ մակարդակի տարածական պլանավորման փաստաթղթերի նախագծերի մշակման աշխատանքները</w:t>
      </w:r>
      <w:r w:rsidRPr="00786717">
        <w:rPr>
          <w:rFonts w:eastAsia="Calibri" w:cs="Sylfaen"/>
          <w:b w:val="0"/>
          <w:noProof/>
          <w:szCs w:val="22"/>
          <w:lang w:val="hy-AM"/>
        </w:rPr>
        <w:t>,</w:t>
      </w:r>
    </w:p>
    <w:p w:rsidR="007A5F0F" w:rsidRDefault="007A5F0F" w:rsidP="007730AA">
      <w:pPr>
        <w:pStyle w:val="ListParagraph"/>
        <w:numPr>
          <w:ilvl w:val="0"/>
          <w:numId w:val="49"/>
        </w:numPr>
        <w:tabs>
          <w:tab w:val="left" w:pos="567"/>
          <w:tab w:val="left" w:pos="720"/>
        </w:tabs>
        <w:spacing w:before="0" w:line="276" w:lineRule="auto"/>
        <w:ind w:left="0" w:firstLine="426"/>
        <w:contextualSpacing w:val="0"/>
        <w:rPr>
          <w:rFonts w:eastAsia="Calibri" w:cs="Sylfaen"/>
          <w:b w:val="0"/>
          <w:noProof/>
          <w:szCs w:val="22"/>
          <w:lang w:val="hy-AM"/>
        </w:rPr>
      </w:pPr>
      <w:r w:rsidRPr="00682397">
        <w:rPr>
          <w:rFonts w:eastAsia="Calibri" w:cs="Sylfaen"/>
          <w:b w:val="0"/>
          <w:noProof/>
          <w:szCs w:val="22"/>
          <w:lang w:val="hy-AM"/>
        </w:rPr>
        <w:t xml:space="preserve">Ապարատի պահպանման և կարողությունների զարգացման </w:t>
      </w:r>
      <w:r w:rsidRPr="00625B04">
        <w:rPr>
          <w:rFonts w:eastAsia="Calibri" w:cs="Sylfaen"/>
          <w:b w:val="0"/>
          <w:noProof/>
          <w:szCs w:val="22"/>
          <w:lang w:val="hy-AM"/>
        </w:rPr>
        <w:t>աշխատանքները</w:t>
      </w:r>
      <w:r w:rsidRPr="00682397">
        <w:rPr>
          <w:rFonts w:eastAsia="Calibri" w:cs="Sylfaen"/>
          <w:b w:val="0"/>
          <w:noProof/>
          <w:szCs w:val="22"/>
          <w:lang w:val="hy-AM"/>
        </w:rPr>
        <w:t>:</w:t>
      </w:r>
    </w:p>
    <w:p w:rsidR="007A5F0F" w:rsidRPr="006B753A" w:rsidRDefault="006B753A" w:rsidP="007730AA">
      <w:pPr>
        <w:tabs>
          <w:tab w:val="left" w:pos="567"/>
          <w:tab w:val="left" w:pos="720"/>
        </w:tabs>
        <w:spacing w:before="0" w:line="276" w:lineRule="auto"/>
        <w:ind w:firstLine="720"/>
        <w:contextualSpacing w:val="0"/>
        <w:rPr>
          <w:rFonts w:eastAsia="Calibri" w:cs="Sylfaen"/>
          <w:b w:val="0"/>
          <w:noProof/>
          <w:szCs w:val="22"/>
          <w:lang w:val="hy-AM"/>
        </w:rPr>
      </w:pPr>
      <w:r>
        <w:rPr>
          <w:rFonts w:eastAsia="Calibri" w:cs="Sylfaen"/>
          <w:b w:val="0"/>
          <w:noProof/>
          <w:szCs w:val="22"/>
          <w:lang w:val="hy-AM"/>
        </w:rPr>
        <w:tab/>
      </w:r>
      <w:r w:rsidR="007A5F0F" w:rsidRPr="006B753A">
        <w:rPr>
          <w:rFonts w:eastAsia="Calibri" w:cs="Sylfaen"/>
          <w:b w:val="0"/>
          <w:noProof/>
          <w:szCs w:val="22"/>
          <w:lang w:val="hy-AM"/>
        </w:rPr>
        <w:t>Քաղաքաշինության և ճարտարապետության բնագավառում պետական քաղաքականության ծրագրում ներառված են հետևյալ միջոցառումները</w:t>
      </w:r>
      <w:r w:rsidR="007A5F0F" w:rsidRPr="006B753A">
        <w:rPr>
          <w:rFonts w:ascii="Cambria Math" w:eastAsia="Calibri" w:hAnsi="Cambria Math" w:cs="Cambria Math"/>
          <w:b w:val="0"/>
          <w:noProof/>
          <w:szCs w:val="22"/>
          <w:lang w:val="hy-AM"/>
        </w:rPr>
        <w:t>․</w:t>
      </w:r>
    </w:p>
    <w:p w:rsidR="007A5F0F" w:rsidRPr="00625B04" w:rsidRDefault="007A5F0F" w:rsidP="007730AA">
      <w:pPr>
        <w:pStyle w:val="ListParagraph"/>
        <w:tabs>
          <w:tab w:val="left" w:pos="567"/>
          <w:tab w:val="left" w:pos="720"/>
        </w:tabs>
        <w:spacing w:before="0" w:line="276" w:lineRule="auto"/>
        <w:ind w:left="0" w:firstLine="426"/>
        <w:contextualSpacing w:val="0"/>
        <w:rPr>
          <w:rFonts w:eastAsia="Calibri" w:cs="Sylfaen"/>
          <w:b w:val="0"/>
          <w:noProof/>
          <w:szCs w:val="22"/>
          <w:lang w:val="hy-AM"/>
        </w:rPr>
      </w:pPr>
      <w:r w:rsidRPr="00625B04">
        <w:rPr>
          <w:rFonts w:eastAsia="Calibri" w:cs="Sylfaen"/>
          <w:b w:val="0"/>
          <w:noProof/>
          <w:szCs w:val="22"/>
          <w:lang w:val="hy-AM"/>
        </w:rPr>
        <w:t>«Միկրոռեգիոնալ մակարդակի համակցված տարածական պլանավորման փաստաթղթերի մշակում» միջոցառման շրջանակներում նախատեսվում է իրականացնել հետևյալ աշխատանքները՝</w:t>
      </w:r>
    </w:p>
    <w:p w:rsidR="007A5F0F" w:rsidRPr="00781F09" w:rsidRDefault="007A5F0F" w:rsidP="007730AA">
      <w:pPr>
        <w:pStyle w:val="ListParagraph"/>
        <w:numPr>
          <w:ilvl w:val="0"/>
          <w:numId w:val="25"/>
        </w:numPr>
        <w:tabs>
          <w:tab w:val="left" w:pos="567"/>
        </w:tabs>
        <w:spacing w:before="0" w:line="276" w:lineRule="auto"/>
        <w:ind w:left="0" w:firstLine="426"/>
        <w:contextualSpacing w:val="0"/>
        <w:rPr>
          <w:rFonts w:eastAsia="Calibri" w:cs="Sylfaen"/>
          <w:b w:val="0"/>
          <w:noProof/>
          <w:szCs w:val="22"/>
          <w:lang w:val="hy-AM"/>
        </w:rPr>
      </w:pPr>
      <w:r w:rsidRPr="00625B04">
        <w:rPr>
          <w:rFonts w:eastAsia="Calibri" w:cs="Sylfaen"/>
          <w:b w:val="0"/>
          <w:noProof/>
          <w:szCs w:val="22"/>
          <w:lang w:val="hy-AM"/>
        </w:rPr>
        <w:t xml:space="preserve"> </w:t>
      </w:r>
      <w:r w:rsidRPr="00781F09">
        <w:rPr>
          <w:rFonts w:eastAsia="Calibri" w:cs="Sylfaen"/>
          <w:b w:val="0"/>
          <w:noProof/>
          <w:szCs w:val="22"/>
          <w:lang w:val="hy-AM"/>
        </w:rPr>
        <w:t>ՀՀ Լոռու մարզ - 118 բնակավայր - 12 փաստաթուղթ</w:t>
      </w:r>
      <w:r w:rsidRPr="00625B04">
        <w:rPr>
          <w:rFonts w:eastAsia="Calibri" w:cs="Sylfaen"/>
          <w:b w:val="0"/>
          <w:noProof/>
          <w:szCs w:val="22"/>
          <w:lang w:val="hy-AM"/>
        </w:rPr>
        <w:t>,</w:t>
      </w:r>
    </w:p>
    <w:p w:rsidR="007A5F0F" w:rsidRPr="00781F09" w:rsidRDefault="007A5F0F" w:rsidP="007730AA">
      <w:pPr>
        <w:pStyle w:val="ListParagraph"/>
        <w:numPr>
          <w:ilvl w:val="0"/>
          <w:numId w:val="25"/>
        </w:numPr>
        <w:tabs>
          <w:tab w:val="left" w:pos="567"/>
        </w:tabs>
        <w:spacing w:before="0" w:line="276" w:lineRule="auto"/>
        <w:ind w:left="0" w:firstLine="426"/>
        <w:contextualSpacing w:val="0"/>
        <w:rPr>
          <w:rFonts w:eastAsia="Calibri" w:cs="Sylfaen"/>
          <w:b w:val="0"/>
          <w:noProof/>
          <w:szCs w:val="22"/>
          <w:lang w:val="hy-AM"/>
        </w:rPr>
      </w:pPr>
      <w:r w:rsidRPr="00625B04">
        <w:rPr>
          <w:rFonts w:eastAsia="Calibri" w:cs="Sylfaen"/>
          <w:b w:val="0"/>
          <w:noProof/>
          <w:szCs w:val="22"/>
          <w:lang w:val="hy-AM"/>
        </w:rPr>
        <w:t xml:space="preserve"> </w:t>
      </w:r>
      <w:r w:rsidRPr="00781F09">
        <w:rPr>
          <w:rFonts w:eastAsia="Calibri" w:cs="Sylfaen"/>
          <w:b w:val="0"/>
          <w:noProof/>
          <w:szCs w:val="22"/>
          <w:lang w:val="hy-AM"/>
        </w:rPr>
        <w:t>ՀՀ Կոտայքի մարզ (մասնակի) - 12 բնակավայր - 1 փաստաթուղթ</w:t>
      </w:r>
      <w:r w:rsidRPr="00625B04">
        <w:rPr>
          <w:rFonts w:eastAsia="Calibri" w:cs="Sylfaen"/>
          <w:b w:val="0"/>
          <w:noProof/>
          <w:szCs w:val="22"/>
          <w:lang w:val="hy-AM"/>
        </w:rPr>
        <w:t>,</w:t>
      </w:r>
    </w:p>
    <w:p w:rsidR="007A5F0F" w:rsidRDefault="007A5F0F" w:rsidP="007730AA">
      <w:pPr>
        <w:pStyle w:val="ListParagraph"/>
        <w:numPr>
          <w:ilvl w:val="0"/>
          <w:numId w:val="25"/>
        </w:numPr>
        <w:tabs>
          <w:tab w:val="left" w:pos="567"/>
        </w:tabs>
        <w:spacing w:before="0" w:line="276" w:lineRule="auto"/>
        <w:ind w:left="0" w:firstLine="426"/>
        <w:contextualSpacing w:val="0"/>
        <w:rPr>
          <w:rFonts w:eastAsia="Calibri" w:cs="Sylfaen"/>
          <w:b w:val="0"/>
          <w:noProof/>
          <w:szCs w:val="22"/>
          <w:lang w:val="hy-AM"/>
        </w:rPr>
      </w:pPr>
      <w:r w:rsidRPr="00625B04">
        <w:rPr>
          <w:rFonts w:eastAsia="Calibri" w:cs="Sylfaen"/>
          <w:b w:val="0"/>
          <w:noProof/>
          <w:szCs w:val="22"/>
          <w:lang w:val="hy-AM"/>
        </w:rPr>
        <w:t xml:space="preserve"> </w:t>
      </w:r>
      <w:r w:rsidRPr="00781F09">
        <w:rPr>
          <w:rFonts w:eastAsia="Calibri" w:cs="Sylfaen"/>
          <w:b w:val="0"/>
          <w:noProof/>
          <w:szCs w:val="22"/>
          <w:lang w:val="hy-AM"/>
        </w:rPr>
        <w:t>ՀՀ Շիրակի մարզ (մասնակի) - 34 բնակավայր - 4 փաստաթուղթ</w:t>
      </w:r>
      <w:r w:rsidRPr="00625B04">
        <w:rPr>
          <w:rFonts w:eastAsia="Calibri" w:cs="Sylfaen"/>
          <w:b w:val="0"/>
          <w:noProof/>
          <w:szCs w:val="22"/>
          <w:lang w:val="hy-AM"/>
        </w:rPr>
        <w:t>,</w:t>
      </w:r>
    </w:p>
    <w:p w:rsidR="007A5F0F" w:rsidRPr="00625B04" w:rsidRDefault="007A5F0F" w:rsidP="007730AA">
      <w:pPr>
        <w:pStyle w:val="ListParagraph"/>
        <w:numPr>
          <w:ilvl w:val="0"/>
          <w:numId w:val="25"/>
        </w:numPr>
        <w:tabs>
          <w:tab w:val="left" w:pos="567"/>
        </w:tabs>
        <w:spacing w:before="0" w:line="276" w:lineRule="auto"/>
        <w:ind w:left="0" w:firstLine="426"/>
        <w:contextualSpacing w:val="0"/>
        <w:rPr>
          <w:rFonts w:eastAsia="Calibri" w:cs="Sylfaen"/>
          <w:b w:val="0"/>
          <w:noProof/>
          <w:szCs w:val="22"/>
          <w:lang w:val="hy-AM"/>
        </w:rPr>
      </w:pPr>
      <w:r w:rsidRPr="00625B04">
        <w:rPr>
          <w:rFonts w:eastAsia="Calibri" w:cs="Sylfaen"/>
          <w:b w:val="0"/>
          <w:noProof/>
          <w:szCs w:val="22"/>
          <w:lang w:val="hy-AM"/>
        </w:rPr>
        <w:t xml:space="preserve"> ՀՀ Գեղարքունիքի մարզ (մասնակի) - 11 բնակավայր - 1 փաստաթուղթ: </w:t>
      </w:r>
    </w:p>
    <w:p w:rsidR="007A5F0F" w:rsidRPr="00625B04" w:rsidRDefault="007A5F0F" w:rsidP="007730AA">
      <w:pPr>
        <w:tabs>
          <w:tab w:val="left" w:pos="567"/>
        </w:tabs>
        <w:spacing w:before="0" w:line="276" w:lineRule="auto"/>
        <w:ind w:firstLine="720"/>
        <w:contextualSpacing w:val="0"/>
        <w:rPr>
          <w:rFonts w:eastAsia="Calibri" w:cs="Sylfaen"/>
          <w:b w:val="0"/>
          <w:noProof/>
          <w:szCs w:val="22"/>
          <w:lang w:val="hy-AM"/>
        </w:rPr>
      </w:pPr>
      <w:r w:rsidRPr="00625B04">
        <w:rPr>
          <w:rFonts w:eastAsia="Calibri" w:cs="Sylfaen"/>
          <w:b w:val="0"/>
          <w:noProof/>
          <w:szCs w:val="22"/>
          <w:lang w:val="hy-AM"/>
        </w:rPr>
        <w:t>«Նորմատիվատեխնիկական փաստաթղթերի մշակում և տեղայնացում» միջոցառմա</w:t>
      </w:r>
      <w:r w:rsidRPr="00845585">
        <w:rPr>
          <w:rFonts w:eastAsia="Calibri" w:cs="Sylfaen"/>
          <w:b w:val="0"/>
          <w:noProof/>
          <w:szCs w:val="22"/>
          <w:lang w:val="hy-AM"/>
        </w:rPr>
        <w:t>մբ</w:t>
      </w:r>
      <w:r w:rsidRPr="00625B04">
        <w:rPr>
          <w:rFonts w:eastAsia="Calibri" w:cs="Sylfaen"/>
          <w:b w:val="0"/>
          <w:noProof/>
          <w:szCs w:val="22"/>
          <w:lang w:val="hy-AM"/>
        </w:rPr>
        <w:t xml:space="preserve"> </w:t>
      </w:r>
      <w:r>
        <w:rPr>
          <w:rFonts w:eastAsia="Calibri" w:cs="Sylfaen"/>
          <w:b w:val="0"/>
          <w:noProof/>
          <w:szCs w:val="22"/>
          <w:lang w:val="hy-AM"/>
        </w:rPr>
        <w:t>ն</w:t>
      </w:r>
      <w:r w:rsidRPr="00625B04">
        <w:rPr>
          <w:rFonts w:eastAsia="Calibri" w:cs="Sylfaen"/>
          <w:b w:val="0"/>
          <w:noProof/>
          <w:szCs w:val="22"/>
          <w:lang w:val="hy-AM"/>
        </w:rPr>
        <w:t>ախատեսվում է թվով 20 նորմատիվատեխնիկական փաստաթղթերի մշակում, որոնցից 8-ը կավարտվեն 2021 թվականին:</w:t>
      </w:r>
    </w:p>
    <w:p w:rsidR="007A5F0F" w:rsidRPr="00CC231A" w:rsidRDefault="007A5F0F" w:rsidP="007730AA">
      <w:pPr>
        <w:tabs>
          <w:tab w:val="left" w:pos="567"/>
        </w:tabs>
        <w:spacing w:before="0" w:line="276" w:lineRule="auto"/>
        <w:ind w:firstLine="720"/>
        <w:contextualSpacing w:val="0"/>
        <w:rPr>
          <w:rFonts w:eastAsia="Calibri" w:cs="Sylfaen"/>
          <w:b w:val="0"/>
          <w:noProof/>
          <w:szCs w:val="22"/>
          <w:lang w:val="hy-AM"/>
        </w:rPr>
      </w:pPr>
      <w:r w:rsidRPr="00014A3A">
        <w:rPr>
          <w:rFonts w:eastAsia="Calibri" w:cs="Sylfaen"/>
          <w:b w:val="0"/>
          <w:noProof/>
          <w:szCs w:val="22"/>
          <w:lang w:val="hy-AM"/>
        </w:rPr>
        <w:t>Ոլորտում իրագործվող ծախսային ծրագրերն ունեն ռազմավարական նշանակություն, որոնց արդյունքում նշված մարզերի ՀՀ համայնքներն ու բնակավայրերը կապահովվեն տարածական պլանավորման փաստաթղթերով:</w:t>
      </w:r>
    </w:p>
    <w:p w:rsidR="007A5F0F"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25" w:name="_Toc26174894"/>
      <w:bookmarkStart w:id="26" w:name="_Toc57655423"/>
      <w:r w:rsidRPr="005C34CC">
        <w:rPr>
          <w:rFonts w:cs="Arial"/>
          <w:szCs w:val="22"/>
          <w:lang w:val="hy-AM" w:eastAsia="en-US"/>
        </w:rPr>
        <w:t>Արտակարգ իրավիճակների բնագավառ</w:t>
      </w:r>
      <w:bookmarkEnd w:id="25"/>
      <w:bookmarkEnd w:id="26"/>
      <w:r w:rsidRPr="005C34CC">
        <w:rPr>
          <w:rFonts w:cs="Arial"/>
          <w:szCs w:val="22"/>
          <w:lang w:val="hy-AM" w:eastAsia="en-US"/>
        </w:rPr>
        <w:t xml:space="preserve"> </w:t>
      </w:r>
    </w:p>
    <w:p w:rsidR="007A5F0F" w:rsidRDefault="007A5F0F" w:rsidP="007730AA">
      <w:pPr>
        <w:pStyle w:val="BodyText2"/>
        <w:ind w:left="0" w:firstLine="720"/>
        <w:rPr>
          <w:rFonts w:cs="Arial"/>
        </w:rPr>
      </w:pPr>
      <w:r w:rsidRPr="00D210D0">
        <w:t>Արտակարգ իրավիճակներում բնակչության պաշտպանության բնագավառում ՀՀ կառավարության կողմից իրականացվող քաղաքականությունը նպատակաուղղված է լինելու բնական և մարդածին աղետների ռիսկի նվազեցմանը, հնարավոր հետևանքների կանխարգելմանը և վերացմանը՝ հանդիսանալով պետության անվտանգության ապահովման բաղկացուցիչ տարր նպաստելու է երկրի կայուն զարգացմանը:</w:t>
      </w:r>
    </w:p>
    <w:p w:rsidR="007A5F0F" w:rsidRPr="00FF4508" w:rsidRDefault="007A5F0F" w:rsidP="007730AA">
      <w:pPr>
        <w:pStyle w:val="BodyText2"/>
        <w:ind w:left="0" w:firstLine="720"/>
        <w:rPr>
          <w:lang w:eastAsia="ru-RU"/>
        </w:rPr>
      </w:pPr>
      <w:r w:rsidRPr="00FF4508">
        <w:rPr>
          <w:bCs/>
        </w:rPr>
        <w:t>2021 թ</w:t>
      </w:r>
      <w:r w:rsidRPr="00FF4508">
        <w:t>վականին ոլորտի հիմնական խնդիրներն են լինելու.</w:t>
      </w:r>
    </w:p>
    <w:p w:rsidR="007A5F0F" w:rsidRDefault="007A5F0F" w:rsidP="007730AA">
      <w:pPr>
        <w:pStyle w:val="ListParagraph"/>
        <w:numPr>
          <w:ilvl w:val="0"/>
          <w:numId w:val="45"/>
        </w:numPr>
        <w:tabs>
          <w:tab w:val="left" w:pos="567"/>
        </w:tabs>
        <w:spacing w:before="0" w:line="276" w:lineRule="auto"/>
        <w:ind w:left="0" w:firstLine="426"/>
        <w:contextualSpacing w:val="0"/>
        <w:rPr>
          <w:b w:val="0"/>
          <w:szCs w:val="22"/>
          <w:lang w:val="pt-BR"/>
        </w:rPr>
      </w:pPr>
      <w:r w:rsidRPr="00625B04">
        <w:rPr>
          <w:szCs w:val="22"/>
          <w:lang w:val="hy-AM"/>
        </w:rPr>
        <w:t xml:space="preserve">  </w:t>
      </w:r>
      <w:r w:rsidRPr="00625B04">
        <w:rPr>
          <w:szCs w:val="22"/>
          <w:lang w:val="pt-BR"/>
        </w:rPr>
        <w:t>Փրկարար ծառայությունում փրկարարական համակարգի կատարելագործումը և զարգացումը</w:t>
      </w:r>
      <w:r w:rsidRPr="00625B04">
        <w:rPr>
          <w:szCs w:val="22"/>
          <w:lang w:val="hy-AM"/>
        </w:rPr>
        <w:t>՝</w:t>
      </w:r>
      <w:r w:rsidRPr="009422FA">
        <w:rPr>
          <w:b w:val="0"/>
          <w:szCs w:val="22"/>
          <w:lang w:val="pt-BR"/>
        </w:rPr>
        <w:t xml:space="preserve"> աստիճանաբար համապատասխանեցնելով ժամանակակից ընդունված պահանջներին, զուգահեռաբար պետական փրկարարական կառույցի շուրջ ձևավորելով կամավորական փրկարարական ուժեր, փրկարար ծառայողների մասնագիտական, արագ արձագանքման փրկարար ուժերի պատրաստականության բարձրացում</w:t>
      </w:r>
      <w:r>
        <w:rPr>
          <w:b w:val="0"/>
          <w:szCs w:val="22"/>
          <w:lang w:val="pt-BR"/>
        </w:rPr>
        <w:t>ը</w:t>
      </w:r>
      <w:r w:rsidRPr="009422FA">
        <w:rPr>
          <w:b w:val="0"/>
          <w:szCs w:val="22"/>
          <w:lang w:val="pt-BR"/>
        </w:rPr>
        <w:t xml:space="preserve"> և տեխնիկական հագեցվածության ապահովում</w:t>
      </w:r>
      <w:r>
        <w:rPr>
          <w:b w:val="0"/>
          <w:szCs w:val="22"/>
          <w:lang w:val="pt-BR"/>
        </w:rPr>
        <w:t>ը</w:t>
      </w:r>
      <w:r w:rsidRPr="009422FA">
        <w:rPr>
          <w:b w:val="0"/>
          <w:szCs w:val="22"/>
          <w:lang w:val="pt-BR"/>
        </w:rPr>
        <w:t>,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w:t>
      </w:r>
      <w:r>
        <w:rPr>
          <w:b w:val="0"/>
          <w:szCs w:val="22"/>
          <w:lang w:val="pt-BR"/>
        </w:rPr>
        <w:t>ը</w:t>
      </w:r>
      <w:r w:rsidRPr="009422FA">
        <w:rPr>
          <w:b w:val="0"/>
          <w:szCs w:val="22"/>
          <w:lang w:val="pt-BR"/>
        </w:rPr>
        <w:t>, սահմանամերձ բնակավայրերում փրկարարական և արագ արձագանքման այլ ուժերի ստեղծում</w:t>
      </w:r>
      <w:r>
        <w:rPr>
          <w:b w:val="0"/>
          <w:szCs w:val="22"/>
          <w:lang w:val="pt-BR"/>
        </w:rPr>
        <w:t>ը</w:t>
      </w:r>
      <w:r w:rsidRPr="009422FA">
        <w:rPr>
          <w:b w:val="0"/>
          <w:szCs w:val="22"/>
          <w:lang w:val="pt-BR"/>
        </w:rPr>
        <w:t xml:space="preserve"> և զարգացում</w:t>
      </w:r>
      <w:r>
        <w:rPr>
          <w:b w:val="0"/>
          <w:szCs w:val="22"/>
          <w:lang w:val="pt-BR"/>
        </w:rPr>
        <w:t>ը</w:t>
      </w:r>
      <w:r w:rsidRPr="009422FA">
        <w:rPr>
          <w:b w:val="0"/>
          <w:szCs w:val="22"/>
          <w:lang w:val="pt-BR"/>
        </w:rPr>
        <w:t>:</w:t>
      </w:r>
    </w:p>
    <w:p w:rsidR="007A5F0F" w:rsidRDefault="007A5F0F" w:rsidP="007730AA">
      <w:pPr>
        <w:pStyle w:val="ListParagraph"/>
        <w:numPr>
          <w:ilvl w:val="0"/>
          <w:numId w:val="45"/>
        </w:numPr>
        <w:tabs>
          <w:tab w:val="left" w:pos="567"/>
        </w:tabs>
        <w:spacing w:before="0" w:line="276" w:lineRule="auto"/>
        <w:ind w:left="0" w:firstLine="426"/>
        <w:contextualSpacing w:val="0"/>
        <w:rPr>
          <w:b w:val="0"/>
          <w:szCs w:val="22"/>
          <w:lang w:val="pt-BR"/>
        </w:rPr>
      </w:pPr>
      <w:r>
        <w:rPr>
          <w:b w:val="0"/>
          <w:szCs w:val="22"/>
          <w:lang w:val="hy-AM"/>
        </w:rPr>
        <w:t xml:space="preserve">  </w:t>
      </w:r>
      <w:r w:rsidRPr="00625B04">
        <w:rPr>
          <w:szCs w:val="22"/>
          <w:lang w:val="pt-BR"/>
        </w:rPr>
        <w:t>Սեյսմիկ պաշտպանության ոլորտում սեյսմիկ վտանգի գնահատման հուսալիությունը</w:t>
      </w:r>
      <w:r w:rsidRPr="00246190">
        <w:rPr>
          <w:b w:val="0"/>
          <w:szCs w:val="22"/>
          <w:lang w:val="pt-BR"/>
        </w:rPr>
        <w:t xml:space="preserve"> բարձրացնելու նպատակով սեյսմիկ պաշտպանության </w:t>
      </w:r>
      <w:r>
        <w:rPr>
          <w:b w:val="0"/>
          <w:szCs w:val="22"/>
          <w:lang w:val="pt-BR"/>
        </w:rPr>
        <w:t xml:space="preserve">ազգային դիտացանցի արդիականացումը </w:t>
      </w:r>
      <w:r w:rsidRPr="00246190">
        <w:rPr>
          <w:b w:val="0"/>
          <w:szCs w:val="22"/>
          <w:lang w:val="pt-BR"/>
        </w:rPr>
        <w:t>և թվայնացում</w:t>
      </w:r>
      <w:r>
        <w:rPr>
          <w:b w:val="0"/>
          <w:szCs w:val="22"/>
          <w:lang w:val="pt-BR"/>
        </w:rPr>
        <w:t>ը</w:t>
      </w:r>
      <w:r w:rsidRPr="00246190">
        <w:rPr>
          <w:b w:val="0"/>
          <w:szCs w:val="22"/>
          <w:lang w:val="pt-BR"/>
        </w:rPr>
        <w:t>: Շենքերի, շինությունների նախագծման, բնակավայրերի տարաբնակեցման և զարգացման ծրագրերում դրանց հնարավոր անվտանգ վայրի ընտրությ</w:t>
      </w:r>
      <w:r>
        <w:rPr>
          <w:b w:val="0"/>
          <w:szCs w:val="22"/>
          <w:lang w:val="pt-BR"/>
        </w:rPr>
        <w:t>ան և</w:t>
      </w:r>
      <w:r w:rsidRPr="00246190">
        <w:rPr>
          <w:b w:val="0"/>
          <w:szCs w:val="22"/>
          <w:lang w:val="pt-BR"/>
        </w:rPr>
        <w:t xml:space="preserve"> սեյսմիկ անվտանգությ</w:t>
      </w:r>
      <w:r>
        <w:rPr>
          <w:b w:val="0"/>
          <w:szCs w:val="22"/>
          <w:lang w:val="pt-BR"/>
        </w:rPr>
        <w:t>ան հաշվի առնելը</w:t>
      </w:r>
      <w:r w:rsidRPr="00246190">
        <w:rPr>
          <w:b w:val="0"/>
          <w:szCs w:val="22"/>
          <w:lang w:val="pt-BR"/>
        </w:rPr>
        <w:t>:</w:t>
      </w:r>
      <w:r w:rsidRPr="00246190">
        <w:rPr>
          <w:b w:val="0"/>
          <w:szCs w:val="22"/>
          <w:lang w:val="pt-BR"/>
        </w:rPr>
        <w:tab/>
      </w:r>
      <w:r w:rsidRPr="00246190">
        <w:rPr>
          <w:b w:val="0"/>
          <w:szCs w:val="22"/>
          <w:lang w:val="pt-BR"/>
        </w:rPr>
        <w:tab/>
      </w:r>
      <w:r w:rsidRPr="00246190">
        <w:rPr>
          <w:b w:val="0"/>
          <w:szCs w:val="22"/>
          <w:lang w:val="pt-BR"/>
        </w:rPr>
        <w:tab/>
      </w:r>
      <w:r w:rsidRPr="00246190">
        <w:rPr>
          <w:b w:val="0"/>
          <w:szCs w:val="22"/>
          <w:lang w:val="pt-BR"/>
        </w:rPr>
        <w:tab/>
      </w:r>
      <w:r w:rsidRPr="00246190">
        <w:rPr>
          <w:b w:val="0"/>
          <w:szCs w:val="22"/>
          <w:lang w:val="pt-BR"/>
        </w:rPr>
        <w:tab/>
      </w:r>
    </w:p>
    <w:p w:rsidR="007A5F0F" w:rsidRDefault="007A5F0F" w:rsidP="007730AA">
      <w:pPr>
        <w:pStyle w:val="ListParagraph"/>
        <w:tabs>
          <w:tab w:val="left" w:pos="567"/>
        </w:tabs>
        <w:spacing w:before="0" w:line="276" w:lineRule="auto"/>
        <w:ind w:left="0" w:firstLine="720"/>
        <w:contextualSpacing w:val="0"/>
        <w:rPr>
          <w:b w:val="0"/>
          <w:szCs w:val="22"/>
          <w:lang w:val="pt-BR"/>
        </w:rPr>
      </w:pPr>
      <w:r w:rsidRPr="001A33C9">
        <w:rPr>
          <w:szCs w:val="22"/>
          <w:lang w:val="pt-BR"/>
        </w:rPr>
        <w:t xml:space="preserve">Ճգնաժամային կառավարման </w:t>
      </w:r>
      <w:r>
        <w:rPr>
          <w:szCs w:val="22"/>
          <w:lang w:val="pt-BR"/>
        </w:rPr>
        <w:t xml:space="preserve">ոլորտի </w:t>
      </w:r>
      <w:r w:rsidRPr="001A33C9">
        <w:rPr>
          <w:b w:val="0"/>
          <w:szCs w:val="22"/>
          <w:lang w:val="pt-BR"/>
        </w:rPr>
        <w:t>հիմնական խնդիրն</w:t>
      </w:r>
      <w:r>
        <w:rPr>
          <w:b w:val="0"/>
          <w:szCs w:val="22"/>
          <w:lang w:val="pt-BR"/>
        </w:rPr>
        <w:t>երն են լինելու`</w:t>
      </w:r>
      <w:r w:rsidRPr="001A33C9">
        <w:rPr>
          <w:b w:val="0"/>
          <w:szCs w:val="22"/>
          <w:lang w:val="pt-BR"/>
        </w:rPr>
        <w:t xml:space="preserve"> </w:t>
      </w:r>
    </w:p>
    <w:p w:rsidR="007A5F0F" w:rsidRPr="001A33C9" w:rsidRDefault="007A5F0F" w:rsidP="007730AA">
      <w:pPr>
        <w:pStyle w:val="ListParagraph"/>
        <w:tabs>
          <w:tab w:val="left" w:pos="567"/>
        </w:tabs>
        <w:spacing w:before="0" w:line="276" w:lineRule="auto"/>
        <w:ind w:left="0" w:firstLine="426"/>
        <w:contextualSpacing w:val="0"/>
        <w:rPr>
          <w:b w:val="0"/>
          <w:szCs w:val="22"/>
          <w:lang w:val="pt-BR"/>
        </w:rPr>
      </w:pPr>
      <w:r>
        <w:rPr>
          <w:b w:val="0"/>
          <w:szCs w:val="22"/>
          <w:lang w:val="pt-BR"/>
        </w:rPr>
        <w:t>- Ա</w:t>
      </w:r>
      <w:r w:rsidRPr="001A33C9">
        <w:rPr>
          <w:b w:val="0"/>
          <w:szCs w:val="22"/>
          <w:lang w:val="pt-BR"/>
        </w:rPr>
        <w:t>կադեմիայի հնարավորություններ</w:t>
      </w:r>
      <w:r>
        <w:rPr>
          <w:b w:val="0"/>
          <w:szCs w:val="22"/>
          <w:lang w:val="pt-BR"/>
        </w:rPr>
        <w:t>ի զարգացումը</w:t>
      </w:r>
      <w:r w:rsidRPr="001A33C9">
        <w:rPr>
          <w:b w:val="0"/>
          <w:szCs w:val="22"/>
          <w:lang w:val="pt-BR"/>
        </w:rPr>
        <w:t>` դարձնելով այն արտակարգ իրավիճակների և քաղաքացիական պաշտպանության մասնագետների պատրաստման ու վերապատրաստման  կենտրոն</w:t>
      </w:r>
      <w:r>
        <w:rPr>
          <w:b w:val="0"/>
          <w:szCs w:val="22"/>
          <w:lang w:val="pt-BR"/>
        </w:rPr>
        <w:tab/>
      </w:r>
      <w:r w:rsidRPr="001A33C9">
        <w:rPr>
          <w:b w:val="0"/>
          <w:szCs w:val="22"/>
          <w:lang w:val="pt-BR"/>
        </w:rPr>
        <w:tab/>
      </w:r>
      <w:r>
        <w:rPr>
          <w:b w:val="0"/>
          <w:szCs w:val="22"/>
          <w:lang w:val="pt-BR"/>
        </w:rPr>
        <w:t>:</w:t>
      </w:r>
    </w:p>
    <w:p w:rsidR="007A5F0F" w:rsidRDefault="007A5F0F" w:rsidP="007730AA">
      <w:pPr>
        <w:pStyle w:val="ListParagraph"/>
        <w:numPr>
          <w:ilvl w:val="0"/>
          <w:numId w:val="45"/>
        </w:numPr>
        <w:tabs>
          <w:tab w:val="left" w:pos="567"/>
        </w:tabs>
        <w:spacing w:before="0" w:line="276" w:lineRule="auto"/>
        <w:ind w:left="0" w:firstLine="426"/>
        <w:contextualSpacing w:val="0"/>
        <w:rPr>
          <w:b w:val="0"/>
          <w:szCs w:val="22"/>
          <w:lang w:val="pt-BR"/>
        </w:rPr>
      </w:pPr>
      <w:r>
        <w:rPr>
          <w:b w:val="0"/>
          <w:szCs w:val="22"/>
          <w:lang w:val="hy-AM"/>
        </w:rPr>
        <w:t xml:space="preserve"> </w:t>
      </w:r>
      <w:r w:rsidRPr="00246190">
        <w:rPr>
          <w:b w:val="0"/>
          <w:szCs w:val="22"/>
          <w:lang w:val="pt-BR"/>
        </w:rPr>
        <w:t xml:space="preserve">Ճգնաժամային կառավարման ազգային կենտրոնում մարդուն հրատապ օգնության համապետական համակարգի </w:t>
      </w:r>
      <w:r>
        <w:rPr>
          <w:b w:val="0"/>
          <w:szCs w:val="22"/>
          <w:lang w:val="hy-AM"/>
        </w:rPr>
        <w:t>«</w:t>
      </w:r>
      <w:r w:rsidRPr="00246190">
        <w:rPr>
          <w:b w:val="0"/>
          <w:szCs w:val="22"/>
          <w:lang w:val="pt-BR"/>
        </w:rPr>
        <w:t>911</w:t>
      </w:r>
      <w:r>
        <w:rPr>
          <w:b w:val="0"/>
          <w:szCs w:val="22"/>
          <w:lang w:val="hy-AM"/>
        </w:rPr>
        <w:t>»</w:t>
      </w:r>
      <w:r w:rsidRPr="00246190">
        <w:rPr>
          <w:b w:val="0"/>
          <w:szCs w:val="22"/>
          <w:lang w:val="pt-BR"/>
        </w:rPr>
        <w:t xml:space="preserve"> դիսպետչերական ծառայության զարգացում</w:t>
      </w:r>
      <w:r>
        <w:rPr>
          <w:b w:val="0"/>
          <w:szCs w:val="22"/>
          <w:lang w:val="pt-BR"/>
        </w:rPr>
        <w:t>ը</w:t>
      </w:r>
      <w:r w:rsidRPr="00246190">
        <w:rPr>
          <w:b w:val="0"/>
          <w:szCs w:val="22"/>
          <w:lang w:val="pt-BR"/>
        </w:rPr>
        <w:t xml:space="preserve">` ծառայության մատուցումը  հնարավորինս մոտեցնելով միջազգային չափանիշներին: </w:t>
      </w:r>
    </w:p>
    <w:p w:rsidR="007A5F0F" w:rsidRDefault="007A5F0F" w:rsidP="007730AA">
      <w:pPr>
        <w:pStyle w:val="ListParagraph"/>
        <w:numPr>
          <w:ilvl w:val="0"/>
          <w:numId w:val="45"/>
        </w:numPr>
        <w:tabs>
          <w:tab w:val="left" w:pos="567"/>
        </w:tabs>
        <w:spacing w:before="0" w:line="276" w:lineRule="auto"/>
        <w:ind w:left="0" w:firstLine="426"/>
        <w:contextualSpacing w:val="0"/>
        <w:rPr>
          <w:b w:val="0"/>
          <w:szCs w:val="22"/>
          <w:lang w:val="pt-BR"/>
        </w:rPr>
      </w:pPr>
      <w:r>
        <w:rPr>
          <w:b w:val="0"/>
          <w:szCs w:val="22"/>
          <w:lang w:val="pt-BR"/>
        </w:rPr>
        <w:t xml:space="preserve"> </w:t>
      </w:r>
      <w:r w:rsidRPr="00246190">
        <w:rPr>
          <w:b w:val="0"/>
          <w:szCs w:val="22"/>
          <w:lang w:val="pt-BR"/>
        </w:rPr>
        <w:t>Իրավիճակների վերաբերյալ օպերատիվ տեղեկատվության հավաքման, մշակման, վերլուծության և առաջարկությունների նախապատրաստման համակարգի կատարելագործում</w:t>
      </w:r>
      <w:r>
        <w:rPr>
          <w:b w:val="0"/>
          <w:szCs w:val="22"/>
          <w:lang w:val="pt-BR"/>
        </w:rPr>
        <w:t>ը</w:t>
      </w:r>
      <w:r w:rsidRPr="00246190">
        <w:rPr>
          <w:b w:val="0"/>
          <w:szCs w:val="22"/>
          <w:lang w:val="pt-BR"/>
        </w:rPr>
        <w:t xml:space="preserve">: </w:t>
      </w:r>
      <w:r w:rsidRPr="00246190">
        <w:rPr>
          <w:b w:val="0"/>
          <w:szCs w:val="22"/>
          <w:lang w:val="pt-BR"/>
        </w:rPr>
        <w:tab/>
      </w:r>
      <w:r w:rsidRPr="00246190">
        <w:rPr>
          <w:b w:val="0"/>
          <w:szCs w:val="22"/>
          <w:lang w:val="pt-BR"/>
        </w:rPr>
        <w:tab/>
      </w:r>
      <w:r w:rsidRPr="00246190">
        <w:rPr>
          <w:b w:val="0"/>
          <w:szCs w:val="22"/>
          <w:lang w:val="pt-BR"/>
        </w:rPr>
        <w:tab/>
      </w:r>
      <w:r w:rsidRPr="00246190">
        <w:rPr>
          <w:b w:val="0"/>
          <w:szCs w:val="22"/>
          <w:lang w:val="pt-BR"/>
        </w:rPr>
        <w:tab/>
      </w:r>
    </w:p>
    <w:p w:rsidR="007A5F0F" w:rsidRDefault="007A5F0F" w:rsidP="007730AA">
      <w:pPr>
        <w:pStyle w:val="ListParagraph"/>
        <w:numPr>
          <w:ilvl w:val="0"/>
          <w:numId w:val="45"/>
        </w:numPr>
        <w:tabs>
          <w:tab w:val="left" w:pos="567"/>
        </w:tabs>
        <w:spacing w:before="0" w:line="276" w:lineRule="auto"/>
        <w:ind w:left="0" w:firstLine="426"/>
        <w:contextualSpacing w:val="0"/>
        <w:rPr>
          <w:b w:val="0"/>
          <w:szCs w:val="22"/>
          <w:lang w:val="pt-BR"/>
        </w:rPr>
      </w:pPr>
      <w:r>
        <w:rPr>
          <w:b w:val="0"/>
          <w:szCs w:val="22"/>
          <w:lang w:val="hy-AM"/>
        </w:rPr>
        <w:t xml:space="preserve">  </w:t>
      </w:r>
      <w:r w:rsidRPr="00246190">
        <w:rPr>
          <w:b w:val="0"/>
          <w:szCs w:val="22"/>
          <w:lang w:val="pt-BR"/>
        </w:rPr>
        <w:t>ՀՀ կառավարության կողմից հաստատված պետական պահուստի համակարգի զարգացման և բարեփոխումների հայեցակարգի դրույթների իրականացում</w:t>
      </w:r>
      <w:r>
        <w:rPr>
          <w:b w:val="0"/>
          <w:szCs w:val="22"/>
          <w:lang w:val="pt-BR"/>
        </w:rPr>
        <w:t>ը</w:t>
      </w:r>
      <w:r w:rsidRPr="00246190">
        <w:rPr>
          <w:b w:val="0"/>
          <w:szCs w:val="22"/>
          <w:lang w:val="pt-BR"/>
        </w:rPr>
        <w:t>, նյութական արժեքների կուտակում</w:t>
      </w:r>
      <w:r>
        <w:rPr>
          <w:b w:val="0"/>
          <w:szCs w:val="22"/>
          <w:lang w:val="pt-BR"/>
        </w:rPr>
        <w:t>ը</w:t>
      </w:r>
      <w:r w:rsidRPr="00246190">
        <w:rPr>
          <w:b w:val="0"/>
          <w:szCs w:val="22"/>
          <w:lang w:val="pt-BR"/>
        </w:rPr>
        <w:t>, թարմացում</w:t>
      </w:r>
      <w:r>
        <w:rPr>
          <w:b w:val="0"/>
          <w:szCs w:val="22"/>
          <w:lang w:val="pt-BR"/>
        </w:rPr>
        <w:t>ը</w:t>
      </w:r>
      <w:r w:rsidRPr="00246190">
        <w:rPr>
          <w:b w:val="0"/>
          <w:szCs w:val="22"/>
          <w:lang w:val="pt-BR"/>
        </w:rPr>
        <w:t>, փոխարինում</w:t>
      </w:r>
      <w:r>
        <w:rPr>
          <w:b w:val="0"/>
          <w:szCs w:val="22"/>
          <w:lang w:val="pt-BR"/>
        </w:rPr>
        <w:t>ը</w:t>
      </w:r>
      <w:r w:rsidRPr="00246190">
        <w:rPr>
          <w:b w:val="0"/>
          <w:szCs w:val="22"/>
          <w:lang w:val="pt-BR"/>
        </w:rPr>
        <w:t xml:space="preserve"> և պահպանում</w:t>
      </w:r>
      <w:r>
        <w:rPr>
          <w:b w:val="0"/>
          <w:szCs w:val="22"/>
          <w:lang w:val="pt-BR"/>
        </w:rPr>
        <w:t>ը</w:t>
      </w:r>
      <w:r w:rsidRPr="00246190">
        <w:rPr>
          <w:b w:val="0"/>
          <w:szCs w:val="22"/>
          <w:lang w:val="pt-BR"/>
        </w:rPr>
        <w:t>: Այս ոլորտում նոր քաղաքականության մշակում</w:t>
      </w:r>
      <w:r>
        <w:rPr>
          <w:b w:val="0"/>
          <w:szCs w:val="22"/>
          <w:lang w:val="pt-BR"/>
        </w:rPr>
        <w:t>ը</w:t>
      </w:r>
      <w:r w:rsidRPr="00246190">
        <w:rPr>
          <w:b w:val="0"/>
          <w:szCs w:val="22"/>
          <w:lang w:val="pt-BR"/>
        </w:rPr>
        <w:t>՝ ընդգրկելով մասնավոր սեկտորի հնարավորություններն ու կարողությունները:</w:t>
      </w:r>
      <w:r w:rsidRPr="00246190">
        <w:rPr>
          <w:b w:val="0"/>
          <w:szCs w:val="22"/>
          <w:lang w:val="pt-BR"/>
        </w:rPr>
        <w:tab/>
      </w:r>
      <w:r w:rsidRPr="00246190">
        <w:rPr>
          <w:b w:val="0"/>
          <w:szCs w:val="22"/>
          <w:lang w:val="pt-BR"/>
        </w:rPr>
        <w:tab/>
      </w:r>
      <w:r w:rsidRPr="00246190">
        <w:rPr>
          <w:b w:val="0"/>
          <w:szCs w:val="22"/>
          <w:lang w:val="pt-BR"/>
        </w:rPr>
        <w:tab/>
      </w:r>
    </w:p>
    <w:p w:rsidR="007A5F0F" w:rsidRPr="00246190" w:rsidRDefault="007A5F0F" w:rsidP="007730AA">
      <w:pPr>
        <w:pStyle w:val="ListParagraph"/>
        <w:numPr>
          <w:ilvl w:val="0"/>
          <w:numId w:val="45"/>
        </w:numPr>
        <w:tabs>
          <w:tab w:val="left" w:pos="567"/>
        </w:tabs>
        <w:spacing w:before="0" w:line="276" w:lineRule="auto"/>
        <w:ind w:left="0" w:firstLine="426"/>
        <w:contextualSpacing w:val="0"/>
        <w:rPr>
          <w:b w:val="0"/>
          <w:szCs w:val="22"/>
          <w:lang w:val="pt-BR"/>
        </w:rPr>
      </w:pPr>
      <w:r>
        <w:rPr>
          <w:b w:val="0"/>
          <w:szCs w:val="22"/>
          <w:lang w:val="hy-AM"/>
        </w:rPr>
        <w:t xml:space="preserve">  </w:t>
      </w:r>
      <w:r w:rsidRPr="00246190">
        <w:rPr>
          <w:b w:val="0"/>
          <w:szCs w:val="22"/>
          <w:lang w:val="pt-BR"/>
        </w:rPr>
        <w:t>Աղետների ռիսկի վերաբերյալ տվյալների հավաքագրման, վերլուծության, համայնքներում աղետների ռիսկի բացահայտման և գնահատման համակարգի փուլային ներդրում</w:t>
      </w:r>
      <w:r>
        <w:rPr>
          <w:b w:val="0"/>
          <w:szCs w:val="22"/>
          <w:lang w:val="pt-BR"/>
        </w:rPr>
        <w:t>ը</w:t>
      </w:r>
      <w:r w:rsidRPr="00246190">
        <w:rPr>
          <w:b w:val="0"/>
          <w:szCs w:val="22"/>
          <w:lang w:val="pt-BR"/>
        </w:rPr>
        <w:t>, սողանքային աղետի կառավարման միասնական համակարգի ներդրում</w:t>
      </w:r>
      <w:r>
        <w:rPr>
          <w:b w:val="0"/>
          <w:szCs w:val="22"/>
          <w:lang w:val="pt-BR"/>
        </w:rPr>
        <w:t>ը</w:t>
      </w:r>
      <w:r w:rsidRPr="00246190">
        <w:rPr>
          <w:b w:val="0"/>
          <w:szCs w:val="22"/>
          <w:lang w:val="pt-BR"/>
        </w:rPr>
        <w:t>:</w:t>
      </w:r>
    </w:p>
    <w:p w:rsidR="007A5F0F"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27" w:name="_Toc26174895"/>
      <w:bookmarkStart w:id="28" w:name="_Toc57655424"/>
      <w:r w:rsidRPr="00C617F6">
        <w:rPr>
          <w:rFonts w:cs="Arial"/>
          <w:szCs w:val="22"/>
          <w:lang w:val="hy-AM" w:eastAsia="en-US"/>
        </w:rPr>
        <w:t>Արտաքին քաղաքականություն</w:t>
      </w:r>
      <w:bookmarkEnd w:id="27"/>
      <w:bookmarkEnd w:id="28"/>
      <w:r w:rsidRPr="00C617F6">
        <w:rPr>
          <w:rFonts w:cs="Arial"/>
          <w:szCs w:val="22"/>
          <w:lang w:val="hy-AM" w:eastAsia="en-US"/>
        </w:rPr>
        <w:t xml:space="preserve"> </w:t>
      </w:r>
    </w:p>
    <w:p w:rsidR="007A5F0F" w:rsidRDefault="007A5F0F" w:rsidP="007730AA">
      <w:pPr>
        <w:pStyle w:val="BodyText2"/>
        <w:ind w:left="0"/>
        <w:rPr>
          <w:rFonts w:cs="Arial"/>
        </w:rPr>
      </w:pPr>
      <w:r w:rsidRPr="00CF3ED5">
        <w:t xml:space="preserve">Հայկական դիվանագիտությունը գործնականում հաստատել է, որ ինքնիշխանությունը Հայաստանի արտաքին քաղաքականության կարևորագույն սկզբունքն է և երկու մյուս սկզբունքների՝ համահայկականության և փոխգործակցության հետ մեկտեղ ապահովում է միջազգային ասպարեզում հայ ժողովրդի արժեքների և շահերի հետապնդումը: </w:t>
      </w:r>
    </w:p>
    <w:p w:rsidR="007A5F0F" w:rsidRDefault="007A5F0F" w:rsidP="007730AA">
      <w:pPr>
        <w:pStyle w:val="BodyText2"/>
        <w:ind w:left="0"/>
      </w:pPr>
      <w:r w:rsidRPr="00CF3ED5">
        <w:t xml:space="preserve">Այդ սկզբունքների հիման վրա ուրվագծվում է կառավարության արտաքին քաղաքականության արդյունավետ իրականացումը տարբեր միջազգային դերակատարների և գործընկերների հետ՝ ուղղված երկրի արտաքին անվտանգության բաղադրիչի ամրապնդմանը, զարգացման համար արտաքին բարենպաստ պայմանների ապահովմանը, բարեկամ և գործընկեր պետությունների հետ փոխշահավետ համագործակցության զարգացմանը, միջազգային կազմակերպություններում և ինտեգրացիոն գործընթացներում ներգրավվածության խորացմանը: </w:t>
      </w:r>
    </w:p>
    <w:p w:rsidR="007A5F0F" w:rsidRDefault="007A5F0F" w:rsidP="007730AA">
      <w:pPr>
        <w:pStyle w:val="BodyText2"/>
        <w:ind w:left="0"/>
        <w:rPr>
          <w:rFonts w:cs="Arial"/>
        </w:rPr>
      </w:pPr>
      <w:r w:rsidRPr="00CF3ED5">
        <w:t xml:space="preserve">Հայաստանի դիվանագիտության հիմնական նպատակն է ծառայեցնել միջազգային անվտանգությունը և համագործակցությունը թե՛ երկկողմ և թե՛ բազմակողմ հարթակներում ազգային շահերի և նպատակների՝ մասնավորապես Հայաստանի ինքնիշխանության և անվտանգության, Արցախի անվտանգության երաշխավորման, լայն բարեփոխումների և զարգացման օրակարգերի իրականացմանը: </w:t>
      </w:r>
    </w:p>
    <w:p w:rsidR="007A5F0F" w:rsidRDefault="007A5F0F" w:rsidP="007730AA">
      <w:pPr>
        <w:pStyle w:val="BodyText2"/>
        <w:ind w:left="0"/>
        <w:rPr>
          <w:rFonts w:cs="Arial"/>
        </w:rPr>
      </w:pPr>
      <w:r w:rsidRPr="00CF3ED5">
        <w:t xml:space="preserve">ՀՀ արտաքին քաղաքականության իրականացման առումով կարելի է առանձնացնել երեք հիմնական ուղղություն՝ </w:t>
      </w:r>
    </w:p>
    <w:p w:rsidR="00FF48EA" w:rsidRPr="00FF48EA" w:rsidRDefault="007A5F0F" w:rsidP="007730AA">
      <w:pPr>
        <w:pStyle w:val="BodyText2"/>
        <w:ind w:left="0"/>
        <w:rPr>
          <w:bCs/>
        </w:rPr>
      </w:pPr>
      <w:r>
        <w:rPr>
          <w:bCs/>
        </w:rPr>
        <w:t xml:space="preserve"> </w:t>
      </w:r>
      <w:r w:rsidR="00353E92" w:rsidRPr="00885973">
        <w:rPr>
          <w:bCs/>
        </w:rPr>
        <w:t>-</w:t>
      </w:r>
      <w:r>
        <w:rPr>
          <w:bCs/>
        </w:rPr>
        <w:t xml:space="preserve"> </w:t>
      </w:r>
      <w:r w:rsidR="00FF48EA" w:rsidRPr="00FF48EA">
        <w:rPr>
          <w:b/>
          <w:bCs/>
        </w:rPr>
        <w:t>Տարածաշրջանային և գլոբալ անվտանգային առաջնահերթություններ, Արցախյան հիմնահարց</w:t>
      </w:r>
      <w:r w:rsidR="00FF48EA" w:rsidRPr="00FF48EA">
        <w:rPr>
          <w:rFonts w:ascii="Cambria Math" w:hAnsi="Cambria Math" w:cs="Cambria Math"/>
          <w:b/>
          <w:bCs/>
        </w:rPr>
        <w:t>․</w:t>
      </w:r>
      <w:r w:rsidR="00FF48EA" w:rsidRPr="00FF48EA">
        <w:rPr>
          <w:b/>
          <w:bCs/>
        </w:rPr>
        <w:t xml:space="preserve"> </w:t>
      </w:r>
      <w:r w:rsidR="00FF48EA" w:rsidRPr="00FF48EA">
        <w:rPr>
          <w:bCs/>
        </w:rPr>
        <w:t>Հայաստանի ազգային անվտանգության ռազմավարության մեջ համապարփակ ուրվագծված են տարածաշրջանային և գլոբալ անվտանգության առաջնահերթությունները, դաշնակիցների և միջազգային գործընկերների հետ համագործակցության ուղղությունները: Տարածաշրջանային մարտահրավերների հասցեագրման, խաղաղության և անվտանգության պահպանումն օրվա հրամայական է դարձել, և դա հնարավոր է նախ և առաջ գոյություն ունեցող  համագործակցային ձևաչափերի ամրապնդման և դրանց նոր բովանդակության հաղորդելու և այդ ուղղությամբ դաշնակիցների և գործընկերների հետ փոխգործակցությունն ընդլայնելու միջոցով: Այս իրողությունը պայմանավորում է արտերկրում ՀՀ դիվանագիտական ներկայացուցչությունների առավել թիրախավորված գործողությունները, որոնց նպատակն է ավելի լսելի, ընկալելի դարձնել Հայաստանի առաջնահերթությունները, մտադրությունները և քայլերը՝ ուղղված երկկողմ և բազմակողմ համագործակցության օրակարգի ընդլայնմանն ու առաջմղմանը:</w:t>
      </w:r>
    </w:p>
    <w:p w:rsidR="00FF48EA" w:rsidRPr="00FF48EA" w:rsidRDefault="00FF48EA" w:rsidP="007730AA">
      <w:pPr>
        <w:pStyle w:val="BodyText2"/>
        <w:ind w:left="0"/>
        <w:rPr>
          <w:bCs/>
        </w:rPr>
      </w:pPr>
      <w:r w:rsidRPr="00FF48EA">
        <w:rPr>
          <w:bCs/>
        </w:rPr>
        <w:t>Թուրքիայից և Ադրբեջանից մեր տարածաշրջանին բխող սպառնալիքը, որն ամբողջովին արտահայտվեց Արցախի դեմ սեպտեմբերի 27-ին սանձազերծված թուրք-ադրբեջանական ագրեսիայով մեզ պարտադրում է առավել պրոակտիվ դերակատարում ունենալ լայն տարածաշրջանային իմաստով՝ սերտ երկխոսություն հաստատելով բոլոր այն դաշնակիցների և գործընկերների հետ, որոնք շահագրգրռված են տարածաշրջանային խաղաղության և անվտանգության պահպանման գործում: Այս տեսակետից առանձնապես կարևորվում է ՌԴ հետ անվտանգության և այլ ոլորտներում սերտ համագործակցությունը:</w:t>
      </w:r>
    </w:p>
    <w:p w:rsidR="00FF48EA" w:rsidRPr="00FF48EA" w:rsidRDefault="00FF48EA" w:rsidP="007730AA">
      <w:pPr>
        <w:pStyle w:val="BodyText2"/>
        <w:ind w:left="0"/>
        <w:rPr>
          <w:bCs/>
        </w:rPr>
      </w:pPr>
      <w:r w:rsidRPr="00FF48EA">
        <w:rPr>
          <w:bCs/>
        </w:rPr>
        <w:t xml:space="preserve">Այս տեսանկյունից է դիտարկվում նաև ԵԱՀԿ Մինսկի խմբի համանախագահության ձևաչափում ղարաբաղյան հիմնախնդրի՝ բացառապես խաղաղ կարգավորման գործընթացի վերսկսումը, որի հիմքում պետք է ընկած լինի ժողովուրդների իրավահավասարության և ինքնորոշման իրավունքը։ Արցախի կարգավիճակը և արցախահայության իրավունքների պաշտպանությունը Հայաստանի առաջնահերթ գերակայություններն են: </w:t>
      </w:r>
    </w:p>
    <w:p w:rsidR="00FF48EA" w:rsidRPr="00FF48EA" w:rsidRDefault="00FF48EA" w:rsidP="007730AA">
      <w:pPr>
        <w:pStyle w:val="BodyText2"/>
        <w:ind w:left="0"/>
        <w:rPr>
          <w:bCs/>
        </w:rPr>
      </w:pPr>
      <w:r w:rsidRPr="00FF48EA">
        <w:rPr>
          <w:bCs/>
        </w:rPr>
        <w:t>Ստեղծված իրավիճակում էական նշանակություն ունի պատերազմի արդյունքում առաջացած հումանիտար ճգնաժամի մեղմացումը և հաղթահարումը, Արցախի տեղահանված բնակչության վերադարձն իր բնակության վայրեր, կրոնական և մշակութային կոթողների պաշտպանությունը, անվտանգության միջոցների ամրապնդումը, հակամարտության սրման ռիսկերի նվազեցումը՝ այդ թվում ՌԴ խաղաղապահների հետ սերտ գործակցության միջոցով։ Հակամարտության գոտում ապրող մարդկանց խնդիրները պետք է դառնան բանակցային օրակարգի առաջնային մաս:</w:t>
      </w:r>
    </w:p>
    <w:p w:rsidR="00FF48EA" w:rsidRPr="00FF48EA" w:rsidRDefault="00FF48EA" w:rsidP="007730AA">
      <w:pPr>
        <w:pStyle w:val="BodyText2"/>
        <w:ind w:left="0"/>
        <w:rPr>
          <w:bCs/>
        </w:rPr>
      </w:pPr>
      <w:r w:rsidRPr="00FF48EA">
        <w:rPr>
          <w:bCs/>
        </w:rPr>
        <w:t xml:space="preserve">Արցախը, որպես հակամարտության հիմնական կողմ, պետք է էական ներգրավվածություն ունենա հակամարտության հետևանքների հաղթահարման իրական և տևական խաղաղության հաստատմանն ուղղված գործընթացում: </w:t>
      </w:r>
    </w:p>
    <w:p w:rsidR="00FF48EA" w:rsidRPr="00FF48EA" w:rsidRDefault="00FF48EA" w:rsidP="007730AA">
      <w:pPr>
        <w:pStyle w:val="BodyText2"/>
        <w:ind w:left="0"/>
        <w:rPr>
          <w:bCs/>
        </w:rPr>
      </w:pPr>
      <w:r w:rsidRPr="00FF48EA">
        <w:rPr>
          <w:bCs/>
        </w:rPr>
        <w:t>Ելնելով այն հանգամանքից, որ պատերազմի ընթացքում Թուրքիայի և Ադրբեջանի կողմից հակամարտության գոտի են ներմուծվել և մասնակցել են պատերազմական գործողություններից ահաբեկիչներ և վարձկաններ Մերձավոր Արևելքից, առավել կարևորվում է Հայաստանի ակտիվ ներգրավումը միջազգային ահաբեկչության դեմ պայքարում:</w:t>
      </w:r>
    </w:p>
    <w:p w:rsidR="00353E92" w:rsidRPr="00885973" w:rsidRDefault="00FF48EA" w:rsidP="007730AA">
      <w:pPr>
        <w:pStyle w:val="BodyText2"/>
        <w:ind w:left="0"/>
        <w:rPr>
          <w:bCs/>
        </w:rPr>
      </w:pPr>
      <w:r w:rsidRPr="00FF48EA">
        <w:rPr>
          <w:bCs/>
        </w:rPr>
        <w:t>Տարածաշրջանում հայ ժողովրդի համապարփակ անվտանգության պաշտպանության տեսակետից՝ կարևորվում է Հայոց ցեղասպանության հետագա միջազգային ճանաչումը և դատապարտումը, որը ՀՀ անվտանգության և մարդու իրավունքների օրակարգի առաջնահերթությունն է:</w:t>
      </w:r>
      <w:r w:rsidRPr="00885973">
        <w:rPr>
          <w:bCs/>
        </w:rPr>
        <w:t xml:space="preserve"> </w:t>
      </w:r>
    </w:p>
    <w:p w:rsidR="007A5F0F" w:rsidRPr="006B2DCC" w:rsidRDefault="00353E92" w:rsidP="007730AA">
      <w:pPr>
        <w:pStyle w:val="BodyText2"/>
        <w:ind w:left="0"/>
        <w:rPr>
          <w:b/>
        </w:rPr>
      </w:pPr>
      <w:r w:rsidRPr="00885973">
        <w:rPr>
          <w:bCs/>
        </w:rPr>
        <w:t>-</w:t>
      </w:r>
      <w:r w:rsidR="007A5F0F" w:rsidRPr="00FF48EA">
        <w:rPr>
          <w:b/>
          <w:bCs/>
        </w:rPr>
        <w:t>Աջակցություն Հայաստանի բարեփոխումների, տնտեսական և ենթակառուցվածքային զարգացմանը.</w:t>
      </w:r>
      <w:r w:rsidR="007A5F0F" w:rsidRPr="006B2DCC">
        <w:rPr>
          <w:bCs/>
        </w:rPr>
        <w:t xml:space="preserve"> </w:t>
      </w:r>
      <w:r w:rsidR="007A5F0F" w:rsidRPr="006B2DCC">
        <w:t>Հայաստանի բարեփոխումների, տնտեսական և ենթակառուցվածքային զարգացմանն աջակցելը մնում է առաջնահերթ խնդիրներից մեկը և սերտորեն կապված է մեր համապարփակ անվտանգության հետ: Այս առնչությամբ աշխատանքներն հիմնականում ուղղված են երկկողմ տնտեսական հարաբերությունների զարգացմանը, փոխկապակցվածության ենթակառուցվածքային ծրագրերի կյանքի կոչմանը, արտահանման խթանմանը, առևտրատնտեսական համագործակցության համար համապատասխան հարթակների ձևավորմանը: Կառավարության կողմից համապարփակ աջակցություն է ցուցաբերվում նաև միջկառավարական հանձնաժողովների շրջանակներում աշխատանքներին:</w:t>
      </w:r>
    </w:p>
    <w:p w:rsidR="007A5F0F" w:rsidRPr="006B2DCC" w:rsidRDefault="007A5F0F" w:rsidP="007730AA">
      <w:pPr>
        <w:pStyle w:val="ListParagraph"/>
        <w:numPr>
          <w:ilvl w:val="0"/>
          <w:numId w:val="45"/>
        </w:numPr>
        <w:tabs>
          <w:tab w:val="left" w:pos="567"/>
        </w:tabs>
        <w:spacing w:before="0" w:line="276" w:lineRule="auto"/>
        <w:ind w:left="0" w:firstLine="540"/>
        <w:contextualSpacing w:val="0"/>
        <w:rPr>
          <w:b w:val="0"/>
          <w:szCs w:val="22"/>
          <w:lang w:val="hy-AM"/>
        </w:rPr>
      </w:pPr>
      <w:r w:rsidRPr="006B2DCC">
        <w:rPr>
          <w:bCs/>
          <w:szCs w:val="22"/>
          <w:lang w:val="hy-AM"/>
        </w:rPr>
        <w:t xml:space="preserve"> Մարդու իրավունքների պաշտպանություն, հայապահպանություն և արտերկրում Հայաստանի կերպարի ներկայացում. </w:t>
      </w:r>
      <w:r w:rsidRPr="006B2DCC">
        <w:rPr>
          <w:b w:val="0"/>
          <w:szCs w:val="22"/>
          <w:lang w:val="hy-AM"/>
        </w:rPr>
        <w:t>Մարդու իրավունքների պաշտպանությունը ՀՀ արտաքին քաղաքականության առաջնահերթություններից է: 2020 թվականին ընտրվելով ՄԱԿ մարդու իրավունքների խորհրդի անդամ՝ Հայաստանը ներդրում է ունեցել Մարդու իրավունքների խորհրդի շրջանակներում ընթացող միջազգային համագործակցությանն ու երկխոսությանը՝ ուղղված մարդու բոլոր իրավունքների ու հիմնարար ազատությունների առաջմղմանը, ժողովրդավարական արժեքների ամրապնդմանը: ՄԱԿ մարդու իրավունքների խորհրդում Հայաստանի անդամակցության առաջնահերթություններից է ցեղասպանությունների կանխարգելման օրակարգի առաջմղումը, պայքարը ինքնության հիմքով խտրականության դրսևորումների, այլատյացության, անհանդուրժողականության և ատելության խոսքի և քարոզի դեմ:</w:t>
      </w:r>
    </w:p>
    <w:p w:rsidR="007A5F0F" w:rsidRDefault="007A5F0F" w:rsidP="007730AA">
      <w:pPr>
        <w:tabs>
          <w:tab w:val="left" w:pos="567"/>
        </w:tabs>
        <w:spacing w:before="0" w:line="276" w:lineRule="auto"/>
        <w:ind w:firstLine="426"/>
        <w:contextualSpacing w:val="0"/>
        <w:rPr>
          <w:b w:val="0"/>
          <w:szCs w:val="22"/>
          <w:lang w:val="hy-AM"/>
        </w:rPr>
      </w:pPr>
      <w:r w:rsidRPr="00CF3ED5">
        <w:rPr>
          <w:b w:val="0"/>
          <w:szCs w:val="22"/>
          <w:lang w:val="hy-AM"/>
        </w:rPr>
        <w:t xml:space="preserve">Արտերկրում գործող ՀՀ դիվանագիտական ներկայացուցչությունները  հայապահպանությամբ, օտարերկրյա պետություններում հայկական պատմամշակութային ժառանգության պահպանմամբ զբաղվողների խճանկարում արդեն իսկ ձեռք են բերել կարևոր միավորող դերակատարում: ՀՀ </w:t>
      </w:r>
      <w:r>
        <w:rPr>
          <w:b w:val="0"/>
          <w:szCs w:val="22"/>
          <w:lang w:val="hy-AM"/>
        </w:rPr>
        <w:t>արտաքին գործերի նախարարության</w:t>
      </w:r>
      <w:r w:rsidRPr="00CF3ED5">
        <w:rPr>
          <w:b w:val="0"/>
          <w:szCs w:val="22"/>
          <w:lang w:val="hy-AM"/>
        </w:rPr>
        <w:t xml:space="preserve"> կենտրոնական ապարատի ղեկավարությամբ, Սփյուռքի գործերի գլխավոր հանձնակատարի գրասենյակի հետ համագործակցությամբ մեր դիվանագիտական ներկայացուցչությունները որոշ դեպքերում անմիջական օգնություն են հատկացնում սփյուռքի ծանր իրավիճակում հայտնված  մեր հայրենակիցներին: </w:t>
      </w:r>
    </w:p>
    <w:p w:rsidR="007A5F0F" w:rsidRDefault="007A5F0F" w:rsidP="007730AA">
      <w:pPr>
        <w:tabs>
          <w:tab w:val="left" w:pos="567"/>
        </w:tabs>
        <w:spacing w:before="0" w:line="276" w:lineRule="auto"/>
        <w:ind w:firstLine="426"/>
        <w:contextualSpacing w:val="0"/>
        <w:rPr>
          <w:b w:val="0"/>
          <w:szCs w:val="22"/>
          <w:lang w:val="hy-AM"/>
        </w:rPr>
      </w:pPr>
      <w:r>
        <w:rPr>
          <w:b w:val="0"/>
          <w:szCs w:val="22"/>
          <w:lang w:val="hy-AM"/>
        </w:rPr>
        <w:t>Կառավարության</w:t>
      </w:r>
      <w:r w:rsidRPr="00CF3ED5">
        <w:rPr>
          <w:b w:val="0"/>
          <w:szCs w:val="22"/>
          <w:lang w:val="hy-AM"/>
        </w:rPr>
        <w:t xml:space="preserve"> գործունեության առանցքային մաս է կազմում օտարերկրյա պետություններում ՀՀ քաղաքացիների և իրավաբանական անձանց իրավունքների ու շահերի պաշտպանությունը:</w:t>
      </w:r>
    </w:p>
    <w:p w:rsidR="007A5F0F" w:rsidRPr="00D16AA2" w:rsidRDefault="007A5F0F" w:rsidP="007730AA">
      <w:pPr>
        <w:tabs>
          <w:tab w:val="left" w:pos="567"/>
        </w:tabs>
        <w:spacing w:before="0" w:line="276" w:lineRule="auto"/>
        <w:ind w:firstLine="426"/>
        <w:contextualSpacing w:val="0"/>
        <w:rPr>
          <w:b w:val="0"/>
          <w:szCs w:val="22"/>
          <w:lang w:val="hy-AM"/>
        </w:rPr>
      </w:pPr>
      <w:r>
        <w:rPr>
          <w:b w:val="0"/>
          <w:szCs w:val="22"/>
          <w:lang w:val="hy-AM"/>
        </w:rPr>
        <w:t>Կառավարության</w:t>
      </w:r>
      <w:r w:rsidRPr="00CF3ED5">
        <w:rPr>
          <w:b w:val="0"/>
          <w:szCs w:val="22"/>
          <w:lang w:val="hy-AM"/>
        </w:rPr>
        <w:t xml:space="preserve"> գործունեությունն ուղղված է նաև միջազգային ասպարեզում ՀՀ արտաքին քաղաքականության դիրքորոշումներն առավել ընկալելի դարձնելուն, բարենպաստ միջազգային հանրային կարծիք ձևավորելուն: Արտաքին քաղաքական ոլորտում զգալի մասնաբաժին ունի նաև երկկողմ և բազմակողմ ձևաչափերով խորհրդարանական դիվանագիտությունը, որի ամրապնդմանը և կապերի խթանմանն աջակցելը ևս </w:t>
      </w:r>
      <w:r>
        <w:rPr>
          <w:b w:val="0"/>
          <w:szCs w:val="22"/>
          <w:lang w:val="hy-AM"/>
        </w:rPr>
        <w:t>կառավարության</w:t>
      </w:r>
      <w:r w:rsidRPr="00CF3ED5">
        <w:rPr>
          <w:b w:val="0"/>
          <w:szCs w:val="22"/>
          <w:lang w:val="hy-AM"/>
        </w:rPr>
        <w:t xml:space="preserve"> գործառույթների շարքում է:</w:t>
      </w:r>
    </w:p>
    <w:p w:rsidR="007A5F0F" w:rsidRDefault="007A5F0F" w:rsidP="007730AA">
      <w:pPr>
        <w:keepNext/>
        <w:tabs>
          <w:tab w:val="left" w:pos="567"/>
        </w:tabs>
        <w:spacing w:before="0" w:line="276" w:lineRule="auto"/>
        <w:ind w:firstLine="720"/>
        <w:contextualSpacing w:val="0"/>
        <w:outlineLvl w:val="2"/>
        <w:rPr>
          <w:rFonts w:ascii="Arial" w:hAnsi="Arial" w:cs="Arial"/>
          <w:b w:val="0"/>
          <w:szCs w:val="22"/>
          <w:lang w:val="pt-BR" w:eastAsia="en-US"/>
        </w:rPr>
      </w:pPr>
      <w:bookmarkStart w:id="29" w:name="_Toc26174896"/>
      <w:bookmarkStart w:id="30" w:name="_Toc57655425"/>
      <w:r w:rsidRPr="00794585">
        <w:rPr>
          <w:rFonts w:cs="Arial"/>
          <w:szCs w:val="22"/>
          <w:lang w:val="hy-AM" w:eastAsia="en-US"/>
        </w:rPr>
        <w:t>Արդարադատություն</w:t>
      </w:r>
      <w:bookmarkEnd w:id="29"/>
      <w:bookmarkEnd w:id="30"/>
      <w:r w:rsidRPr="00794585">
        <w:rPr>
          <w:rFonts w:ascii="Arial" w:hAnsi="Arial" w:cs="Arial"/>
          <w:b w:val="0"/>
          <w:szCs w:val="22"/>
          <w:lang w:val="pt-BR" w:eastAsia="en-US"/>
        </w:rPr>
        <w:t xml:space="preserve"> </w:t>
      </w:r>
    </w:p>
    <w:p w:rsidR="007A5F0F" w:rsidRDefault="007A5F0F" w:rsidP="007730AA">
      <w:pPr>
        <w:pStyle w:val="BodyText2"/>
        <w:ind w:left="0"/>
        <w:rPr>
          <w:rFonts w:ascii="Arial" w:hAnsi="Arial" w:cs="Arial"/>
          <w:lang w:val="pt-BR"/>
        </w:rPr>
      </w:pPr>
      <w:r w:rsidRPr="00794585">
        <w:t>2021 թվականին ոլորտի առաջնային ռազմավարական նպատակներն են լինելու՝</w:t>
      </w:r>
    </w:p>
    <w:p w:rsidR="007A5F0F" w:rsidRDefault="007A5F0F" w:rsidP="007730AA">
      <w:pPr>
        <w:pStyle w:val="BodyText2"/>
        <w:ind w:left="0"/>
        <w:rPr>
          <w:rFonts w:ascii="Arial" w:hAnsi="Arial" w:cs="Arial"/>
          <w:lang w:val="pt-BR"/>
        </w:rPr>
      </w:pPr>
      <w:r w:rsidRPr="004E1F31">
        <w:rPr>
          <w:b/>
        </w:rPr>
        <w:t>Դատական և իրավական բարեփոխումների ոլորտ</w:t>
      </w:r>
      <w:r w:rsidRPr="004E1F31">
        <w:rPr>
          <w:b/>
          <w:lang w:val="pt-BR"/>
        </w:rPr>
        <w:t>.</w:t>
      </w:r>
      <w:r w:rsidRPr="00794585">
        <w:t xml:space="preserve"> ՀՀ կառավարությունը 2019 թվականի հոկտեմբերի 10-ին ընդունել է ՀՀ դատական և իրավական բարեփոխումների 2019-2023 թվականների ռազմավարությունը և դրանից բխող գործողությունների ծրագրերը հաստատելու մասին </w:t>
      </w:r>
      <w:r>
        <w:t>թիվ</w:t>
      </w:r>
      <w:r w:rsidRPr="00794585">
        <w:t xml:space="preserve"> 1441-Լ որոշումը: 2021 թվականի ընթացքում նախատեսվում է իրականացնել ռազմավարությունից բխող 2021-2023 թվականների գործողությունների ծրագրով սահմանված միջոցառումները, այդ թվում՝ սահմանադրական բարեփոխումների անցկացումը, դատական իշխանության հանրային հաշվետվողականության կառուցակարգերի բարելավումը, դատարանների գործունեության արդյունավետության բարձրացումը, պետական և տեղական ինքնակառավարման մարմինների կողմից մատուցվող ծառայությունների միասնական հարթակի ապահովումը, իրավապահ համակարգի բարեփոխումը, քաղաքացիական և քաղաքացիական դատավարության օրենսդրության բարեփոխումը, վարչական արդարադատության, սնանկության համակարգի, նոտարական համակարգի արդյունավետության բարձրացումը, վեճերի լուծման այլընտրանքային եղանակների զարգացումը, հարկադիր կատարման համակարգի բարեփոխումները:</w:t>
      </w:r>
    </w:p>
    <w:p w:rsidR="007A5F0F" w:rsidRDefault="007A5F0F" w:rsidP="007730AA">
      <w:pPr>
        <w:pStyle w:val="BodyText2"/>
        <w:ind w:left="0"/>
        <w:rPr>
          <w:rFonts w:ascii="Arial" w:hAnsi="Arial" w:cs="Arial"/>
          <w:lang w:val="pt-BR"/>
        </w:rPr>
      </w:pPr>
      <w:r w:rsidRPr="004E1F31">
        <w:rPr>
          <w:b/>
        </w:rPr>
        <w:t>Էլեկտրոնային արդարադատության ոլորտ.</w:t>
      </w:r>
      <w:r w:rsidRPr="00794585">
        <w:rPr>
          <w:bCs/>
        </w:rPr>
        <w:t xml:space="preserve"> </w:t>
      </w:r>
      <w:r w:rsidRPr="00794585">
        <w:t>Նախատեսվում է կառավարության կողմից ներդրված էլեկտրոնային համակարգերի և հարթակների շարունակական զարգացում, ինչպես նաև դատական գործերի էլեկտրոնային մակագրության և բաշխման կարգի կատարելագործում, ՀՀ վարչական և ՀՀ քաղաքացիական դատավարության օրենսգրքերով էլեկտրոնային եղանակով փաստաթղթ</w:t>
      </w:r>
      <w:r>
        <w:t>երի ներկայացման ընթացակարգերի, դ</w:t>
      </w:r>
      <w:r w:rsidRPr="00794585">
        <w:t>ատարաններում էլեկտրոնային փաստաթղթաշրջանառության համակարգի, սնանկության էլեկտրոնային հարթակի (e-bankruptcy), էլեկտրոնային արդարադատության միասնական համակարգի  քաղաքացիական և վարչական գործերով էլեկտրոնային մոդուլի ներդրում և գործարկում, Էլեկտրոնային նոտարական e-notary համակարգի զարգացում, նոտարի կողմից  Էլեկտրոնային եղանակով վավերացման ենթակա էլեկտրոնային պայմանագրերի և փաստաթղթերի փոխանակման համար անհրաժեշտ էլեկտրոնային համակարգի ներդրում, իրավաբանական անձանց էլեկտրոնային գրանցման e-register համակարգի արդիականացում, իրավաբանական անձանց պետական ռեգիստրի արխիվային նյութերի թվայնացում, թվային արխիվների ստեղծում, հարկադիր կատարումն ապահովող ծառայության էլեկտրոնային համակարգի զարգացում, այլընտրանքային վեճերի լուծման էլեկտրոնային համակարգի ներդրում:</w:t>
      </w:r>
    </w:p>
    <w:p w:rsidR="001203B6" w:rsidRPr="001203B6" w:rsidRDefault="007A5F0F" w:rsidP="007730AA">
      <w:pPr>
        <w:pStyle w:val="BodyText2"/>
        <w:ind w:left="0"/>
        <w:rPr>
          <w:rFonts w:ascii="Arial" w:hAnsi="Arial" w:cs="Arial"/>
          <w:highlight w:val="yellow"/>
          <w:lang w:val="pt-BR"/>
        </w:rPr>
      </w:pPr>
      <w:r w:rsidRPr="001203B6">
        <w:rPr>
          <w:b/>
        </w:rPr>
        <w:t>Անցումային արդարադատություն.</w:t>
      </w:r>
      <w:r w:rsidRPr="00794585">
        <w:t xml:space="preserve"> Նախատեսվում է ստեղծել Փաստահավաք հանձնաժողով, որն իրականացնելու է 1991 թվականի սեպտեմբերից մինչև 2018 թվականի ապրիլ ամիսը տեղի ունեցած` մարդու իրավունքների հիմնարար և պարբերական խախտումների վերաբերյալ փաստերի հավաքագրում և ուսումնասիրություն, դրանց հիման վրա միջանկյալ և եզրափակիչ զեկույցների կազմում և հրապարակում: Հանձնաժողովը ունենալու է նստավայր, համապատասխան պայմաններ Հանձնաժողովի անդամների և աշխատակազմի գործունեության, վկաներին և տուժողներին ընդունելու, իր գործունեության ընթացքում կազմակերպելու է հանրային լսումներ, քննարկումներ կազմակերպելու համար: Հանձնաժողովը կազմակերպելու է նաև այցելություններ պետական և տեղական ինքնակառավարման մարմիններ, տուժած անձանց բնակարաններ և այլն: Հանձնաժողովը պարբերաբար առաջարկություններ է ներկայացնելու Կառավարությանը և Ազգային ժողովին նշված խախտումների արդյունքում տուժած անձանց խախտված իրավունքների վերականգնման, նրանց փոխհատուցումներ տրամադրելու, ինստիտուցիոնալ և օրենսդրական բարեփոխումներ իրականացնելու վերաբերյալ: Փաստահավաք հանձնաժողովը անհրաժեշտության դեպքում ինքը ևս կարող է որոշակի փոխհատուցումներ տրամադրել տուժողներին, իրականացնել տուժողների պաշտպանություն, իրավունքների ժամանակավոր </w:t>
      </w:r>
      <w:r w:rsidRPr="001203B6">
        <w:t>վերականգնում և այլն: Փաստահավաք հանձնաժողովը հանդես է գալու որպես ինքնավար մարմին, կազմված է լինելու 9 անդամից, ունենալու է աշխատակազմ, որտեղ իրականացվելու է քաղաքացիական ծառայություն: Հանձնաժողովի աշխատակազմը պետք է աջակցի Հանձնաժողովի անդամներին՝ վերոնշյալ գործառույթների իրականացման համար: Հանձնաժողովը գործելու է 2-3 տարի ժամկետով:</w:t>
      </w:r>
      <w:r w:rsidR="001203B6" w:rsidRPr="001203B6">
        <w:t xml:space="preserve"> </w:t>
      </w:r>
    </w:p>
    <w:p w:rsidR="007A5F0F" w:rsidRPr="001203B6" w:rsidRDefault="007A5F0F" w:rsidP="007730AA">
      <w:pPr>
        <w:pStyle w:val="BodyText2"/>
        <w:ind w:left="0"/>
        <w:rPr>
          <w:rFonts w:ascii="Arial" w:hAnsi="Arial" w:cs="Arial"/>
          <w:highlight w:val="yellow"/>
          <w:lang w:val="pt-BR"/>
        </w:rPr>
      </w:pPr>
      <w:r w:rsidRPr="001203B6">
        <w:rPr>
          <w:b/>
        </w:rPr>
        <w:t>Հակակոռուպցիոն ոլորտ.</w:t>
      </w:r>
      <w:r w:rsidRPr="001203B6">
        <w:t xml:space="preserve"> ՀՀ կառավարությունը շարունակելու է իրականացնել հակակոռուպցիոն քաղաքականությունը 2019 թվականի հոկտեմբերի 3-ին ընդունած Հայաստանի Հանրապետության հակակոռուպցիոն ռազմավարության և դրա իրականացման 2019-2022 թվականների միջոցառումների ծրագրի շրջանակներում: Վերոնշյալ ռազմավարության</w:t>
      </w:r>
      <w:r w:rsidRPr="00794585">
        <w:t xml:space="preserve"> պահանջներին համապատասխան 2021 թվականի ընթացքում նախատեսվում է իրագործել հետևյալ միջոցառումները` </w:t>
      </w:r>
    </w:p>
    <w:p w:rsidR="007A5F0F" w:rsidRDefault="007A5F0F" w:rsidP="007730AA">
      <w:pPr>
        <w:pStyle w:val="ListParagraph"/>
        <w:numPr>
          <w:ilvl w:val="0"/>
          <w:numId w:val="46"/>
        </w:numPr>
        <w:tabs>
          <w:tab w:val="left" w:pos="567"/>
          <w:tab w:val="left" w:pos="630"/>
        </w:tabs>
        <w:spacing w:before="0" w:line="276" w:lineRule="auto"/>
        <w:ind w:left="0" w:firstLine="426"/>
        <w:contextualSpacing w:val="0"/>
        <w:rPr>
          <w:b w:val="0"/>
          <w:szCs w:val="22"/>
          <w:lang w:val="hy-AM"/>
        </w:rPr>
      </w:pPr>
      <w:r w:rsidRPr="00C50B27">
        <w:rPr>
          <w:b w:val="0"/>
          <w:szCs w:val="22"/>
          <w:lang w:val="hy-AM"/>
        </w:rPr>
        <w:t>ընդունված իրավական ակտերի հիման վրա նախատեսվում է ստեղծել հակակոռուպցիոն ինստիտուցիոնալ համակարգի մաս կազմող մարմիններ՝ Հակակոռուպցիոն կոմիտե և հակակոռուպցիոն դատարաններ, որոնք 2019</w:t>
      </w:r>
      <w:r>
        <w:rPr>
          <w:b w:val="0"/>
          <w:szCs w:val="22"/>
          <w:lang w:val="hy-AM"/>
        </w:rPr>
        <w:t xml:space="preserve"> </w:t>
      </w:r>
      <w:r w:rsidRPr="00C50B27">
        <w:rPr>
          <w:b w:val="0"/>
          <w:szCs w:val="22"/>
          <w:lang w:val="hy-AM"/>
        </w:rPr>
        <w:t>թ</w:t>
      </w:r>
      <w:r>
        <w:rPr>
          <w:b w:val="0"/>
          <w:szCs w:val="22"/>
          <w:lang w:val="hy-AM"/>
        </w:rPr>
        <w:t>վականին</w:t>
      </w:r>
      <w:r w:rsidRPr="00C50B27">
        <w:rPr>
          <w:b w:val="0"/>
          <w:szCs w:val="22"/>
          <w:lang w:val="hy-AM"/>
        </w:rPr>
        <w:t xml:space="preserve"> ձևավորված Կոռուպցիայի կանխարգելման հանձնաժողովի հետ մեկտեղ կկազմեն հակակոռուպցիոն ոլորտը կարգավորող համակարգ,</w:t>
      </w:r>
    </w:p>
    <w:p w:rsidR="007A5F0F" w:rsidRDefault="007A5F0F" w:rsidP="007730AA">
      <w:pPr>
        <w:pStyle w:val="ListParagraph"/>
        <w:numPr>
          <w:ilvl w:val="0"/>
          <w:numId w:val="46"/>
        </w:numPr>
        <w:tabs>
          <w:tab w:val="left" w:pos="567"/>
          <w:tab w:val="left" w:pos="630"/>
        </w:tabs>
        <w:spacing w:before="0" w:line="276" w:lineRule="auto"/>
        <w:ind w:left="0" w:firstLine="426"/>
        <w:contextualSpacing w:val="0"/>
        <w:rPr>
          <w:b w:val="0"/>
          <w:szCs w:val="22"/>
          <w:lang w:val="hy-AM"/>
        </w:rPr>
      </w:pPr>
      <w:r w:rsidRPr="007E0F24">
        <w:rPr>
          <w:b w:val="0"/>
          <w:szCs w:val="22"/>
          <w:lang w:val="hy-AM"/>
        </w:rPr>
        <w:t>նախատեսվում է ապահովել բավարար մարդկային, վարչական և նյութական ռեսուրսներ մասնագիտացված հակակոռուպցիոն մարմինների գործունեության ապահովման համար,</w:t>
      </w:r>
    </w:p>
    <w:p w:rsidR="007A5F0F" w:rsidRDefault="007A5F0F" w:rsidP="007730AA">
      <w:pPr>
        <w:pStyle w:val="ListParagraph"/>
        <w:numPr>
          <w:ilvl w:val="0"/>
          <w:numId w:val="46"/>
        </w:numPr>
        <w:tabs>
          <w:tab w:val="left" w:pos="567"/>
          <w:tab w:val="left" w:pos="630"/>
        </w:tabs>
        <w:spacing w:before="0" w:line="276" w:lineRule="auto"/>
        <w:ind w:left="0" w:firstLine="426"/>
        <w:contextualSpacing w:val="0"/>
        <w:rPr>
          <w:b w:val="0"/>
          <w:szCs w:val="22"/>
          <w:lang w:val="hy-AM"/>
        </w:rPr>
      </w:pPr>
      <w:r w:rsidRPr="007E0F24">
        <w:rPr>
          <w:b w:val="0"/>
          <w:szCs w:val="22"/>
          <w:lang w:val="hy-AM"/>
        </w:rPr>
        <w:t>ռիսկերի գնահատումների արդյունքների հիման վրա մշակել հակակոռուպցիոն միջոցառումների ծրագրեր, այդ թվում՝ կոռուպցիոն ռիսկերի վերհանում, ծրագրերի մշակում և իրականացում,</w:t>
      </w:r>
    </w:p>
    <w:p w:rsidR="007A5F0F" w:rsidRDefault="007A5F0F" w:rsidP="007730AA">
      <w:pPr>
        <w:pStyle w:val="ListParagraph"/>
        <w:numPr>
          <w:ilvl w:val="0"/>
          <w:numId w:val="46"/>
        </w:numPr>
        <w:tabs>
          <w:tab w:val="left" w:pos="567"/>
          <w:tab w:val="left" w:pos="630"/>
        </w:tabs>
        <w:spacing w:before="0" w:line="276" w:lineRule="auto"/>
        <w:ind w:left="0" w:firstLine="426"/>
        <w:contextualSpacing w:val="0"/>
        <w:rPr>
          <w:b w:val="0"/>
          <w:szCs w:val="22"/>
          <w:lang w:val="hy-AM"/>
        </w:rPr>
      </w:pPr>
      <w:r w:rsidRPr="00436C94">
        <w:rPr>
          <w:b w:val="0"/>
          <w:szCs w:val="22"/>
          <w:lang w:val="hy-AM"/>
        </w:rPr>
        <w:t>կատարելագործել դատավորների, ՍԴ դատավորի, ԲԴԽ անդամի, դատախազների թեկնածուների բարեվարքության ուսումնասիրության և դրա արդյունքում եզրակացության տրամադրման մեխանիզմները,</w:t>
      </w:r>
    </w:p>
    <w:p w:rsidR="007A5F0F" w:rsidRDefault="007A5F0F" w:rsidP="007730AA">
      <w:pPr>
        <w:pStyle w:val="ListParagraph"/>
        <w:numPr>
          <w:ilvl w:val="0"/>
          <w:numId w:val="46"/>
        </w:numPr>
        <w:tabs>
          <w:tab w:val="left" w:pos="567"/>
          <w:tab w:val="left" w:pos="630"/>
        </w:tabs>
        <w:spacing w:before="0" w:line="276" w:lineRule="auto"/>
        <w:ind w:left="0" w:firstLine="426"/>
        <w:contextualSpacing w:val="0"/>
        <w:rPr>
          <w:b w:val="0"/>
          <w:szCs w:val="22"/>
          <w:lang w:val="hy-AM"/>
        </w:rPr>
      </w:pPr>
      <w:r w:rsidRPr="00436C94">
        <w:rPr>
          <w:b w:val="0"/>
          <w:szCs w:val="22"/>
          <w:lang w:val="hy-AM"/>
        </w:rPr>
        <w:t xml:space="preserve">շարունակաբար կատարելագործել Գլխավոր դատախազության կազմում ստեղծված ապօրինի ծագում ունեցող գույքի բռնագանձման հարցերով ստորաբաժանման գործիքակազմը, </w:t>
      </w:r>
    </w:p>
    <w:p w:rsidR="007A5F0F" w:rsidRDefault="007A5F0F" w:rsidP="007730AA">
      <w:pPr>
        <w:pStyle w:val="ListParagraph"/>
        <w:numPr>
          <w:ilvl w:val="0"/>
          <w:numId w:val="46"/>
        </w:numPr>
        <w:tabs>
          <w:tab w:val="left" w:pos="567"/>
          <w:tab w:val="left" w:pos="630"/>
        </w:tabs>
        <w:spacing w:before="0" w:line="276" w:lineRule="auto"/>
        <w:ind w:left="0" w:firstLine="426"/>
        <w:contextualSpacing w:val="0"/>
        <w:rPr>
          <w:b w:val="0"/>
          <w:szCs w:val="22"/>
          <w:lang w:val="hy-AM"/>
        </w:rPr>
      </w:pPr>
      <w:r w:rsidRPr="00436C94">
        <w:rPr>
          <w:b w:val="0"/>
          <w:szCs w:val="22"/>
          <w:lang w:val="hy-AM"/>
        </w:rPr>
        <w:t>աշխատանքներ իրականացնել իրավաբանական անձանց իրական շահառուների բաց ռեգիստրի ստեղծման և կատարելագործման ուղղությամբ,</w:t>
      </w:r>
    </w:p>
    <w:p w:rsidR="007A5F0F" w:rsidRDefault="007A5F0F" w:rsidP="007730AA">
      <w:pPr>
        <w:pStyle w:val="ListParagraph"/>
        <w:numPr>
          <w:ilvl w:val="0"/>
          <w:numId w:val="46"/>
        </w:numPr>
        <w:tabs>
          <w:tab w:val="left" w:pos="567"/>
          <w:tab w:val="left" w:pos="630"/>
        </w:tabs>
        <w:spacing w:before="0" w:line="276" w:lineRule="auto"/>
        <w:ind w:left="0" w:firstLine="426"/>
        <w:contextualSpacing w:val="0"/>
        <w:rPr>
          <w:b w:val="0"/>
          <w:szCs w:val="22"/>
          <w:lang w:val="hy-AM"/>
        </w:rPr>
      </w:pPr>
      <w:r w:rsidRPr="00436C94">
        <w:rPr>
          <w:b w:val="0"/>
          <w:szCs w:val="22"/>
          <w:lang w:val="hy-AM"/>
        </w:rPr>
        <w:t>իրականացնել հակակակոռուպցիոն ռազմավարության և միջոցառումների ծրագրի կատարման նկատմամբ մշտադիտարկում, գնահատման գործընթացի համակարգում, պարբերական հաշվետվությունների կազմում,</w:t>
      </w:r>
    </w:p>
    <w:p w:rsidR="007A5F0F" w:rsidRPr="00436C94" w:rsidRDefault="007A5F0F" w:rsidP="007730AA">
      <w:pPr>
        <w:pStyle w:val="ListParagraph"/>
        <w:numPr>
          <w:ilvl w:val="0"/>
          <w:numId w:val="46"/>
        </w:numPr>
        <w:tabs>
          <w:tab w:val="left" w:pos="567"/>
          <w:tab w:val="left" w:pos="630"/>
        </w:tabs>
        <w:spacing w:before="0" w:line="276" w:lineRule="auto"/>
        <w:ind w:left="0" w:firstLine="426"/>
        <w:contextualSpacing w:val="0"/>
        <w:rPr>
          <w:b w:val="0"/>
          <w:szCs w:val="22"/>
          <w:lang w:val="hy-AM"/>
        </w:rPr>
      </w:pPr>
      <w:r w:rsidRPr="00436C94">
        <w:rPr>
          <w:b w:val="0"/>
          <w:szCs w:val="22"/>
          <w:lang w:val="hy-AM"/>
        </w:rPr>
        <w:t>շարունակել համագործակցությունը միջազգային կազմակերպությունների հետ՝ միջազգային պարտավորությունների գնահատման գործընթացներում մասնակցելու, վերջիններիս շրջանակներում Հայաստանին տրված հանձնարարականների արդյունավետ իրականացումն ապահովելու նպատակով:</w:t>
      </w:r>
    </w:p>
    <w:p w:rsidR="007A5F0F" w:rsidRPr="00794585" w:rsidRDefault="007A5F0F" w:rsidP="007730AA">
      <w:pPr>
        <w:tabs>
          <w:tab w:val="left" w:pos="0"/>
          <w:tab w:val="left" w:pos="567"/>
        </w:tabs>
        <w:spacing w:before="0" w:line="276" w:lineRule="auto"/>
        <w:ind w:firstLine="720"/>
        <w:contextualSpacing w:val="0"/>
        <w:rPr>
          <w:b w:val="0"/>
          <w:szCs w:val="22"/>
          <w:lang w:val="hy-AM"/>
        </w:rPr>
      </w:pPr>
      <w:r w:rsidRPr="00436C94">
        <w:rPr>
          <w:bCs/>
          <w:szCs w:val="22"/>
          <w:lang w:val="hy-AM"/>
        </w:rPr>
        <w:t>Քրեակատարողական և պրոբացիայի ոլորտ</w:t>
      </w:r>
      <w:r w:rsidRPr="005B2230">
        <w:rPr>
          <w:bCs/>
          <w:szCs w:val="22"/>
          <w:lang w:val="hy-AM"/>
        </w:rPr>
        <w:t>.</w:t>
      </w:r>
      <w:r w:rsidRPr="00794585">
        <w:rPr>
          <w:b w:val="0"/>
          <w:szCs w:val="22"/>
          <w:lang w:val="hy-AM"/>
        </w:rPr>
        <w:t xml:space="preserve"> Քրեակատարողական համակարգում իրավիճակը բարելավելու, ինչպես նաև ոլորտի շարունակական զարգացումն ապահովելու համար 2021 թվականի համար հիմնական թիրախային ուղղությունները լինելու են.</w:t>
      </w:r>
    </w:p>
    <w:p w:rsidR="007A5F0F" w:rsidRDefault="007A5F0F" w:rsidP="007730AA">
      <w:pPr>
        <w:pStyle w:val="ListParagraph"/>
        <w:numPr>
          <w:ilvl w:val="0"/>
          <w:numId w:val="46"/>
        </w:numPr>
        <w:tabs>
          <w:tab w:val="left" w:pos="567"/>
          <w:tab w:val="left" w:pos="720"/>
        </w:tabs>
        <w:spacing w:before="0" w:line="276" w:lineRule="auto"/>
        <w:ind w:left="0" w:firstLine="426"/>
        <w:contextualSpacing w:val="0"/>
        <w:rPr>
          <w:b w:val="0"/>
          <w:szCs w:val="22"/>
          <w:lang w:val="hy-AM"/>
        </w:rPr>
      </w:pPr>
      <w:r>
        <w:rPr>
          <w:b w:val="0"/>
          <w:szCs w:val="22"/>
          <w:lang w:val="hy-AM"/>
        </w:rPr>
        <w:t>ա</w:t>
      </w:r>
      <w:r w:rsidRPr="00724A67">
        <w:rPr>
          <w:b w:val="0"/>
          <w:szCs w:val="22"/>
          <w:lang w:val="hy-AM"/>
        </w:rPr>
        <w:t>զատությունից զրկված անձանց, այդ թվում` անչափահասների պահման պայմանների բարելավումը</w:t>
      </w:r>
      <w:r>
        <w:rPr>
          <w:b w:val="0"/>
          <w:szCs w:val="22"/>
          <w:lang w:val="hy-AM"/>
        </w:rPr>
        <w:t>,</w:t>
      </w:r>
    </w:p>
    <w:p w:rsidR="007A5F0F" w:rsidRDefault="007A5F0F" w:rsidP="007730AA">
      <w:pPr>
        <w:pStyle w:val="ListParagraph"/>
        <w:numPr>
          <w:ilvl w:val="0"/>
          <w:numId w:val="46"/>
        </w:numPr>
        <w:tabs>
          <w:tab w:val="left" w:pos="567"/>
          <w:tab w:val="left" w:pos="720"/>
        </w:tabs>
        <w:spacing w:before="0" w:line="276" w:lineRule="auto"/>
        <w:ind w:left="0" w:firstLine="426"/>
        <w:contextualSpacing w:val="0"/>
        <w:rPr>
          <w:b w:val="0"/>
          <w:szCs w:val="22"/>
          <w:lang w:val="hy-AM"/>
        </w:rPr>
      </w:pPr>
      <w:r w:rsidRPr="00724A67">
        <w:rPr>
          <w:b w:val="0"/>
          <w:szCs w:val="22"/>
          <w:lang w:val="hy-AM"/>
        </w:rPr>
        <w:t>քրեակատարողական հիմնարկներում գտնվող հաշմանդամություն ունեցող անձանց համար մատչելի պայմանների ապահովումը</w:t>
      </w:r>
      <w:r>
        <w:rPr>
          <w:b w:val="0"/>
          <w:szCs w:val="22"/>
          <w:lang w:val="hy-AM"/>
        </w:rPr>
        <w:t>,</w:t>
      </w:r>
    </w:p>
    <w:p w:rsidR="007A5F0F" w:rsidRDefault="007A5F0F" w:rsidP="007730AA">
      <w:pPr>
        <w:pStyle w:val="ListParagraph"/>
        <w:numPr>
          <w:ilvl w:val="0"/>
          <w:numId w:val="46"/>
        </w:numPr>
        <w:tabs>
          <w:tab w:val="left" w:pos="567"/>
          <w:tab w:val="left" w:pos="720"/>
        </w:tabs>
        <w:spacing w:before="0" w:line="276" w:lineRule="auto"/>
        <w:ind w:left="0" w:firstLine="426"/>
        <w:contextualSpacing w:val="0"/>
        <w:rPr>
          <w:b w:val="0"/>
          <w:szCs w:val="22"/>
          <w:lang w:val="hy-AM"/>
        </w:rPr>
      </w:pPr>
      <w:r w:rsidRPr="00724A67">
        <w:rPr>
          <w:b w:val="0"/>
          <w:szCs w:val="22"/>
          <w:lang w:val="hy-AM"/>
        </w:rPr>
        <w:t>քրեակատարողական հիմնարկներում արդի ինժեներատեխնիկական և անվտանգության ապահովման միջոցներով վերազինումը, ինչպես նաև լրակազմերի համաչափ բաշխվածության ապահովումը</w:t>
      </w:r>
      <w:r>
        <w:rPr>
          <w:b w:val="0"/>
          <w:szCs w:val="22"/>
          <w:lang w:val="hy-AM"/>
        </w:rPr>
        <w:t>,</w:t>
      </w:r>
    </w:p>
    <w:p w:rsidR="007A5F0F" w:rsidRDefault="007A5F0F" w:rsidP="007730AA">
      <w:pPr>
        <w:pStyle w:val="ListParagraph"/>
        <w:numPr>
          <w:ilvl w:val="0"/>
          <w:numId w:val="46"/>
        </w:numPr>
        <w:tabs>
          <w:tab w:val="left" w:pos="567"/>
          <w:tab w:val="left" w:pos="720"/>
        </w:tabs>
        <w:spacing w:before="0" w:line="276" w:lineRule="auto"/>
        <w:ind w:left="0" w:firstLine="426"/>
        <w:contextualSpacing w:val="0"/>
        <w:rPr>
          <w:b w:val="0"/>
          <w:szCs w:val="22"/>
          <w:lang w:val="hy-AM"/>
        </w:rPr>
      </w:pPr>
      <w:r w:rsidRPr="00587711">
        <w:rPr>
          <w:b w:val="0"/>
          <w:szCs w:val="22"/>
          <w:lang w:val="hy-AM"/>
        </w:rPr>
        <w:t>քրեակատարողական ծառայողների սոցիալական պայմանների բարելավումը, որը նախատեսվում է իրականացնել քրեակատարողական ծառայողների սոցիալական ապահովության արդյունավետ համակարգի ներդրմամբ</w:t>
      </w:r>
      <w:r>
        <w:rPr>
          <w:b w:val="0"/>
          <w:szCs w:val="22"/>
          <w:lang w:val="hy-AM"/>
        </w:rPr>
        <w:t>,</w:t>
      </w:r>
    </w:p>
    <w:p w:rsidR="007A5F0F" w:rsidRDefault="007A5F0F" w:rsidP="007730AA">
      <w:pPr>
        <w:pStyle w:val="ListParagraph"/>
        <w:numPr>
          <w:ilvl w:val="0"/>
          <w:numId w:val="46"/>
        </w:numPr>
        <w:tabs>
          <w:tab w:val="left" w:pos="567"/>
          <w:tab w:val="left" w:pos="720"/>
        </w:tabs>
        <w:spacing w:before="0" w:line="276" w:lineRule="auto"/>
        <w:ind w:left="0" w:firstLine="426"/>
        <w:contextualSpacing w:val="0"/>
        <w:rPr>
          <w:b w:val="0"/>
          <w:szCs w:val="22"/>
          <w:lang w:val="hy-AM"/>
        </w:rPr>
      </w:pPr>
      <w:r w:rsidRPr="00954F5E">
        <w:rPr>
          <w:b w:val="0"/>
          <w:szCs w:val="22"/>
          <w:lang w:val="hy-AM"/>
        </w:rPr>
        <w:t>ազատությունից զրկված անձանց, այդ թվում` անչափահասների կրթություն ստանալու իրավունքի շարունակականության ապահովումը, մասնագիտական կրթության նոր ծրագրերի ներդնումը, ինչպես նաև ազատությունից զրկված անձանց համար հանրակրթության իրականացումը՝ անկախ տարիքից</w:t>
      </w:r>
      <w:r>
        <w:rPr>
          <w:b w:val="0"/>
          <w:szCs w:val="22"/>
          <w:lang w:val="hy-AM"/>
        </w:rPr>
        <w:t>,</w:t>
      </w:r>
    </w:p>
    <w:p w:rsidR="007A5F0F" w:rsidRDefault="007A5F0F" w:rsidP="007730AA">
      <w:pPr>
        <w:pStyle w:val="ListParagraph"/>
        <w:numPr>
          <w:ilvl w:val="0"/>
          <w:numId w:val="46"/>
        </w:numPr>
        <w:tabs>
          <w:tab w:val="left" w:pos="567"/>
          <w:tab w:val="left" w:pos="720"/>
        </w:tabs>
        <w:spacing w:before="0" w:line="276" w:lineRule="auto"/>
        <w:ind w:left="0" w:firstLine="426"/>
        <w:contextualSpacing w:val="0"/>
        <w:rPr>
          <w:b w:val="0"/>
          <w:szCs w:val="22"/>
          <w:lang w:val="hy-AM"/>
        </w:rPr>
      </w:pPr>
      <w:r w:rsidRPr="00954F5E">
        <w:rPr>
          <w:b w:val="0"/>
          <w:szCs w:val="22"/>
          <w:lang w:val="hy-AM"/>
        </w:rPr>
        <w:t>ազատությունից զրկված անձանց ազատազրկման ժամկետը լրանալուց  հետո սոցիալական-իրավական հարցերով աջակցության տրամադրումը (Երևանում և այլ համայնքներում վերականգնողական կենտրոնների գործունեության մոդելով)</w:t>
      </w:r>
      <w:r>
        <w:rPr>
          <w:b w:val="0"/>
          <w:szCs w:val="22"/>
          <w:lang w:val="hy-AM"/>
        </w:rPr>
        <w:t>,</w:t>
      </w:r>
    </w:p>
    <w:p w:rsidR="007A5F0F" w:rsidRDefault="007A5F0F" w:rsidP="007730AA">
      <w:pPr>
        <w:pStyle w:val="ListParagraph"/>
        <w:numPr>
          <w:ilvl w:val="0"/>
          <w:numId w:val="46"/>
        </w:numPr>
        <w:tabs>
          <w:tab w:val="left" w:pos="567"/>
          <w:tab w:val="left" w:pos="720"/>
        </w:tabs>
        <w:spacing w:before="0" w:line="276" w:lineRule="auto"/>
        <w:ind w:left="0" w:firstLine="426"/>
        <w:contextualSpacing w:val="0"/>
        <w:rPr>
          <w:b w:val="0"/>
          <w:szCs w:val="22"/>
          <w:lang w:val="hy-AM"/>
        </w:rPr>
      </w:pPr>
      <w:r w:rsidRPr="00954F5E">
        <w:rPr>
          <w:b w:val="0"/>
          <w:szCs w:val="22"/>
          <w:lang w:val="hy-AM"/>
        </w:rPr>
        <w:t>քրեակատարողական հիմնարկներում երկրորդային (հիվանդանոցային) բժշկական օգնության և սպասարկման տրամադրման պայմանների բարելավումը</w:t>
      </w:r>
      <w:r>
        <w:rPr>
          <w:b w:val="0"/>
          <w:szCs w:val="22"/>
          <w:lang w:val="hy-AM"/>
        </w:rPr>
        <w:t>,</w:t>
      </w:r>
    </w:p>
    <w:p w:rsidR="007A5F0F" w:rsidRPr="00954F5E" w:rsidRDefault="007A5F0F" w:rsidP="007730AA">
      <w:pPr>
        <w:pStyle w:val="ListParagraph"/>
        <w:numPr>
          <w:ilvl w:val="0"/>
          <w:numId w:val="46"/>
        </w:numPr>
        <w:tabs>
          <w:tab w:val="left" w:pos="567"/>
          <w:tab w:val="left" w:pos="720"/>
        </w:tabs>
        <w:spacing w:before="0" w:line="276" w:lineRule="auto"/>
        <w:ind w:left="0" w:firstLine="426"/>
        <w:contextualSpacing w:val="0"/>
        <w:rPr>
          <w:b w:val="0"/>
          <w:szCs w:val="22"/>
          <w:lang w:val="hy-AM"/>
        </w:rPr>
      </w:pPr>
      <w:r w:rsidRPr="00954F5E">
        <w:rPr>
          <w:b w:val="0"/>
          <w:szCs w:val="22"/>
          <w:lang w:val="hy-AM"/>
        </w:rPr>
        <w:t>քրեակատարողական և Պրոբացիայի ծառայությունների արդյունավետ համագործակցության մեխանիզմների ներդնումը:</w:t>
      </w:r>
    </w:p>
    <w:p w:rsidR="007A5F0F" w:rsidRDefault="007A5F0F" w:rsidP="007730AA">
      <w:pPr>
        <w:tabs>
          <w:tab w:val="left" w:pos="0"/>
          <w:tab w:val="left" w:pos="567"/>
        </w:tabs>
        <w:spacing w:before="0" w:line="276" w:lineRule="auto"/>
        <w:ind w:firstLine="720"/>
        <w:contextualSpacing w:val="0"/>
        <w:rPr>
          <w:b w:val="0"/>
          <w:szCs w:val="22"/>
          <w:lang w:val="hy-AM"/>
        </w:rPr>
      </w:pPr>
      <w:r w:rsidRPr="00794585">
        <w:rPr>
          <w:b w:val="0"/>
          <w:szCs w:val="22"/>
          <w:lang w:val="hy-AM"/>
        </w:rPr>
        <w:t>Պրոբացիայի ինստիտուտի կենսագործման նպատակով 2021 թվականի ընթացքում կշարունակվեն իրագործվել մի շարք միջոցառումներ: Մասնավորապես՝ նախատեսվում է զարգացնել Պրոբացիայի ծառայության կարողությունները, կատարելագործել գործունեության օրենսդրական հիմքերը, ինչպես նաև խթանել պրոբացիայի համակարգում էլեկտրոնային կառավարման գործիքների կիրառումը՝ ամբողջությամբ գործարկելով E-probation էլեկտրոնային կառավարման համակարգը:</w:t>
      </w:r>
    </w:p>
    <w:p w:rsidR="007A5F0F" w:rsidRDefault="007A5F0F" w:rsidP="007730AA">
      <w:pPr>
        <w:tabs>
          <w:tab w:val="left" w:pos="0"/>
          <w:tab w:val="left" w:pos="567"/>
        </w:tabs>
        <w:spacing w:before="0" w:line="276" w:lineRule="auto"/>
        <w:ind w:firstLine="720"/>
        <w:contextualSpacing w:val="0"/>
        <w:rPr>
          <w:b w:val="0"/>
          <w:szCs w:val="22"/>
          <w:lang w:val="hy-AM"/>
        </w:rPr>
      </w:pPr>
      <w:r w:rsidRPr="00FE242B">
        <w:rPr>
          <w:bCs/>
          <w:szCs w:val="22"/>
          <w:lang w:val="hy-AM"/>
        </w:rPr>
        <w:t>Մարդու ի</w:t>
      </w:r>
      <w:r>
        <w:rPr>
          <w:bCs/>
          <w:szCs w:val="22"/>
          <w:lang w:val="hy-AM"/>
        </w:rPr>
        <w:t>րավունքների պաշտպանության ոլորտ.</w:t>
      </w:r>
      <w:r w:rsidRPr="00FE242B">
        <w:rPr>
          <w:bCs/>
          <w:szCs w:val="22"/>
          <w:lang w:val="hy-AM"/>
        </w:rPr>
        <w:t xml:space="preserve"> </w:t>
      </w:r>
      <w:r w:rsidRPr="00794585">
        <w:rPr>
          <w:b w:val="0"/>
          <w:szCs w:val="22"/>
          <w:lang w:val="hy-AM"/>
        </w:rPr>
        <w:t>2019</w:t>
      </w:r>
      <w:r>
        <w:rPr>
          <w:b w:val="0"/>
          <w:szCs w:val="22"/>
          <w:lang w:val="hy-AM"/>
        </w:rPr>
        <w:t xml:space="preserve"> </w:t>
      </w:r>
      <w:r w:rsidRPr="00794585">
        <w:rPr>
          <w:b w:val="0"/>
          <w:szCs w:val="22"/>
          <w:lang w:val="hy-AM"/>
        </w:rPr>
        <w:t>թ</w:t>
      </w:r>
      <w:r>
        <w:rPr>
          <w:b w:val="0"/>
          <w:szCs w:val="22"/>
          <w:lang w:val="hy-AM"/>
        </w:rPr>
        <w:t>վականի</w:t>
      </w:r>
      <w:r w:rsidRPr="00794585">
        <w:rPr>
          <w:b w:val="0"/>
          <w:szCs w:val="22"/>
          <w:lang w:val="hy-AM"/>
        </w:rPr>
        <w:t xml:space="preserve"> դեկտեմբերի 26-ին ընդունվել է Մարդու իրավու</w:t>
      </w:r>
      <w:r w:rsidR="00CB76EC">
        <w:rPr>
          <w:b w:val="0"/>
          <w:szCs w:val="22"/>
          <w:lang w:val="hy-AM"/>
        </w:rPr>
        <w:t>ն</w:t>
      </w:r>
      <w:r w:rsidRPr="00794585">
        <w:rPr>
          <w:b w:val="0"/>
          <w:szCs w:val="22"/>
          <w:lang w:val="hy-AM"/>
        </w:rPr>
        <w:t>քների պաշտպանության նոր ազգային ռազմավարությունն և դրանից բխող 2020-2022 թվականների Գործողությունների ծրագիրը:</w:t>
      </w:r>
    </w:p>
    <w:p w:rsidR="007A5F0F" w:rsidRDefault="007A5F0F" w:rsidP="007730AA">
      <w:pPr>
        <w:tabs>
          <w:tab w:val="left" w:pos="0"/>
          <w:tab w:val="left" w:pos="567"/>
        </w:tabs>
        <w:spacing w:before="0" w:line="276" w:lineRule="auto"/>
        <w:ind w:firstLine="720"/>
        <w:contextualSpacing w:val="0"/>
        <w:rPr>
          <w:b w:val="0"/>
          <w:szCs w:val="22"/>
          <w:lang w:val="hy-AM"/>
        </w:rPr>
      </w:pPr>
      <w:r w:rsidRPr="00794585">
        <w:rPr>
          <w:b w:val="0"/>
          <w:szCs w:val="22"/>
          <w:lang w:val="hy-AM"/>
        </w:rPr>
        <w:t>Ռազմավարության և գործողությունների ծրագրի արդյունավետ իրականացման, մշտադիտարկման և գնահատման համար ստեղծվել է Համակարգող խորհուրդ՝ կազմված հանրային իշխանության մարմինների և քաղաքացիական հասարակության ներկայացուցիչներից։ 2020</w:t>
      </w:r>
      <w:r>
        <w:rPr>
          <w:b w:val="0"/>
          <w:szCs w:val="22"/>
          <w:lang w:val="hy-AM"/>
        </w:rPr>
        <w:t xml:space="preserve"> </w:t>
      </w:r>
      <w:r w:rsidRPr="00794585">
        <w:rPr>
          <w:b w:val="0"/>
          <w:szCs w:val="22"/>
          <w:lang w:val="hy-AM"/>
        </w:rPr>
        <w:t>թ</w:t>
      </w:r>
      <w:r>
        <w:rPr>
          <w:b w:val="0"/>
          <w:szCs w:val="22"/>
          <w:lang w:val="hy-AM"/>
        </w:rPr>
        <w:t>վականի</w:t>
      </w:r>
      <w:r w:rsidRPr="00794585">
        <w:rPr>
          <w:b w:val="0"/>
          <w:szCs w:val="22"/>
          <w:lang w:val="hy-AM"/>
        </w:rPr>
        <w:t xml:space="preserve"> մարտի 2-ի թիվ 282-Ա ՀՀ վարչապետի որոշմամբ հաստատվել է մարդու իրավունքների պաշտպանության ազգային ռազմավարությունից բխող 2020-2022 թվականների գործողությունների ծրագրի կատարումը համակարգող խորհրդի անհատական կազմը, գործունեության կարգը և հաշվետվությունների ներկայացման ձևաչափը: </w:t>
      </w:r>
    </w:p>
    <w:p w:rsidR="007A5F0F" w:rsidRDefault="007A5F0F" w:rsidP="007730AA">
      <w:pPr>
        <w:tabs>
          <w:tab w:val="left" w:pos="0"/>
          <w:tab w:val="left" w:pos="567"/>
        </w:tabs>
        <w:spacing w:before="0" w:line="276" w:lineRule="auto"/>
        <w:ind w:firstLine="720"/>
        <w:contextualSpacing w:val="0"/>
        <w:rPr>
          <w:b w:val="0"/>
          <w:szCs w:val="22"/>
          <w:lang w:val="hy-AM"/>
        </w:rPr>
      </w:pPr>
      <w:r w:rsidRPr="00794585">
        <w:rPr>
          <w:b w:val="0"/>
          <w:szCs w:val="22"/>
          <w:lang w:val="hy-AM"/>
        </w:rPr>
        <w:t>Կարգի համաձայն՝ Խորհուրդն իր աշխատանքները կազմակերպում է նիստերի միջոցով, որոնք անցկացվում են առնվազն եռամսյակը մեկ անգամ: Հարկ է նշել, որ հաշվի առնելով COVID-19-ով պայմանավորված իրավիճակը` Խորհրդի առաջին նիստը անցկացվել է գրավոր ընթացակարգով, որի շրջանակներում, սահմանված կարգի համաձայն, հաշվի առնելով մարդու իրավունքների ոլորտային ներկայացվածությունն ապահովելու անհրաժեշտությունը</w:t>
      </w:r>
      <w:r>
        <w:rPr>
          <w:b w:val="0"/>
          <w:szCs w:val="22"/>
          <w:lang w:val="hy-AM"/>
        </w:rPr>
        <w:t>,</w:t>
      </w:r>
      <w:r w:rsidRPr="00794585">
        <w:rPr>
          <w:b w:val="0"/>
          <w:szCs w:val="22"/>
          <w:lang w:val="hy-AM"/>
        </w:rPr>
        <w:t xml:space="preserve"> ընտրվել են Խորհրդում Հասարակական կազմակերպությունների 7 ներկայացուցիչները:</w:t>
      </w:r>
    </w:p>
    <w:p w:rsidR="007A5F0F" w:rsidRDefault="007A5F0F" w:rsidP="007730AA">
      <w:pPr>
        <w:tabs>
          <w:tab w:val="left" w:pos="0"/>
          <w:tab w:val="left" w:pos="567"/>
        </w:tabs>
        <w:spacing w:before="0" w:line="276" w:lineRule="auto"/>
        <w:ind w:firstLine="720"/>
        <w:contextualSpacing w:val="0"/>
        <w:rPr>
          <w:b w:val="0"/>
          <w:szCs w:val="22"/>
          <w:lang w:val="hy-AM"/>
        </w:rPr>
      </w:pPr>
      <w:r w:rsidRPr="00794585">
        <w:rPr>
          <w:b w:val="0"/>
          <w:szCs w:val="22"/>
          <w:lang w:val="hy-AM"/>
        </w:rPr>
        <w:t>Ռազմավարությամբ և Գ</w:t>
      </w:r>
      <w:r w:rsidRPr="00645F02">
        <w:rPr>
          <w:b w:val="0"/>
          <w:szCs w:val="22"/>
          <w:lang w:val="hy-AM"/>
        </w:rPr>
        <w:t>ործողությունների ծրագրով</w:t>
      </w:r>
      <w:r w:rsidRPr="00794585">
        <w:rPr>
          <w:b w:val="0"/>
          <w:szCs w:val="22"/>
          <w:lang w:val="hy-AM"/>
        </w:rPr>
        <w:t xml:space="preserve"> նախատեսվել է հաշվետվողականության հստակ մեխանիզմ, համաձայն որի հաշվետվությունները ներկայացվում են ինչպես Արդարադության նախարարություն և ՀՀ վարչապետի աշխատակազմ, այնպես էլ տեղադրվում www.e-rights.am հարթակում: Հարկ է նշել, որ արդեն իսկ ամփոփվել են 2020</w:t>
      </w:r>
      <w:r>
        <w:rPr>
          <w:b w:val="0"/>
          <w:szCs w:val="22"/>
          <w:lang w:val="hy-AM"/>
        </w:rPr>
        <w:t xml:space="preserve"> </w:t>
      </w:r>
      <w:r w:rsidRPr="00794585">
        <w:rPr>
          <w:b w:val="0"/>
          <w:szCs w:val="22"/>
          <w:lang w:val="hy-AM"/>
        </w:rPr>
        <w:t>թ</w:t>
      </w:r>
      <w:r>
        <w:rPr>
          <w:b w:val="0"/>
          <w:szCs w:val="22"/>
          <w:lang w:val="hy-AM"/>
        </w:rPr>
        <w:t>վականի</w:t>
      </w:r>
      <w:r w:rsidRPr="00794585">
        <w:rPr>
          <w:b w:val="0"/>
          <w:szCs w:val="22"/>
          <w:lang w:val="hy-AM"/>
        </w:rPr>
        <w:t xml:space="preserve"> առաջին կիսամյակի ընթացքում կատարման ենթակա միջոցառումների հաշվետվությունները, համաձայն որոնց  ամբողջությամբ կատարված միջոցառումները կազմում են 42.8%, մասամբ կատարվածները՝ 57.2%, իսկ չկատարված միջոցառումներ չկան: Միջոցառումների մասնակի կատարումը մեծամասամբ պայմանավորված է եղել COVID-19-ով:</w:t>
      </w:r>
    </w:p>
    <w:p w:rsidR="007A5F0F" w:rsidRDefault="007A5F0F" w:rsidP="007730AA">
      <w:pPr>
        <w:tabs>
          <w:tab w:val="left" w:pos="0"/>
          <w:tab w:val="left" w:pos="567"/>
        </w:tabs>
        <w:spacing w:before="0" w:line="276" w:lineRule="auto"/>
        <w:ind w:firstLine="720"/>
        <w:contextualSpacing w:val="0"/>
        <w:rPr>
          <w:b w:val="0"/>
          <w:szCs w:val="22"/>
          <w:lang w:val="hy-AM"/>
        </w:rPr>
      </w:pPr>
      <w:r w:rsidRPr="00794585">
        <w:rPr>
          <w:b w:val="0"/>
          <w:szCs w:val="22"/>
          <w:lang w:val="hy-AM"/>
        </w:rPr>
        <w:t>Գ</w:t>
      </w:r>
      <w:r>
        <w:rPr>
          <w:b w:val="0"/>
          <w:szCs w:val="22"/>
          <w:lang w:val="hy-AM"/>
        </w:rPr>
        <w:t xml:space="preserve">ործողությունների ծրագրի </w:t>
      </w:r>
      <w:r w:rsidRPr="00794585">
        <w:rPr>
          <w:b w:val="0"/>
          <w:szCs w:val="22"/>
          <w:lang w:val="hy-AM"/>
        </w:rPr>
        <w:t xml:space="preserve">իրականացման շրջանակներում նախատեսվում է քրեականացնել ընտանեկան և կանանց նկատմամբ բռնությունը՝ միջազգային չափանիշներին համապատասխան, ապահովել խոշտանգումից տուժած անձանց հոգեբանական, սոցիալական և իրավական ծառայություններից օգտվելու իրավունքի արդյունավետ իրականացման մեխանիզմները, ապահովել հոգեկան, այդ թվում` մտավոր խնդիրներով հաշմանդամություն ունեցող անձանց մասնակցությունն իրենց իսկ վերաբերող բոլոր որոշումների կայացման գործընթացներում, ինչպես նաև ստեղծել երեխաների իրավունքներին առնչվող խնդիրների հաշվառման և վարման միասնական վիճակագրական համակարգ: </w:t>
      </w:r>
    </w:p>
    <w:p w:rsidR="007A5F0F" w:rsidRDefault="007A5F0F" w:rsidP="007730AA">
      <w:pPr>
        <w:tabs>
          <w:tab w:val="left" w:pos="0"/>
          <w:tab w:val="left" w:pos="567"/>
        </w:tabs>
        <w:spacing w:before="0" w:line="276" w:lineRule="auto"/>
        <w:ind w:firstLine="720"/>
        <w:contextualSpacing w:val="0"/>
        <w:rPr>
          <w:b w:val="0"/>
          <w:szCs w:val="22"/>
          <w:lang w:val="hy-AM"/>
        </w:rPr>
      </w:pPr>
      <w:r w:rsidRPr="00794585">
        <w:rPr>
          <w:b w:val="0"/>
          <w:szCs w:val="22"/>
          <w:lang w:val="hy-AM"/>
        </w:rPr>
        <w:t>Հարկ է ընդգծել, որ Եվրոպական միության ֆինանսական աջակցությամբ և ՄԱԿ-ի զարգացման ծրագրի, ՄԱԿ-ի բնակչության հիմնադրամի և ՅՈՒՆԻՍԵՖ-ի կողմից իրականացվող «Մարդու իրավունքների պաշտպանությունը Հայաստանում» ծրագրի շրջանակներում Մարդու իրավունքների պաշտպանության ոլորտում կառավարության գործունեության թափանցիկության ու հաշվետվողականության ապահովման նպատակով 2020</w:t>
      </w:r>
      <w:r>
        <w:rPr>
          <w:b w:val="0"/>
          <w:szCs w:val="22"/>
          <w:lang w:val="hy-AM"/>
        </w:rPr>
        <w:t xml:space="preserve"> </w:t>
      </w:r>
      <w:r w:rsidRPr="00794585">
        <w:rPr>
          <w:b w:val="0"/>
          <w:szCs w:val="22"/>
          <w:lang w:val="hy-AM"/>
        </w:rPr>
        <w:t>թ</w:t>
      </w:r>
      <w:r>
        <w:rPr>
          <w:b w:val="0"/>
          <w:szCs w:val="22"/>
          <w:lang w:val="hy-AM"/>
        </w:rPr>
        <w:t>վականի</w:t>
      </w:r>
      <w:r w:rsidRPr="00794585">
        <w:rPr>
          <w:b w:val="0"/>
          <w:szCs w:val="22"/>
          <w:lang w:val="hy-AM"/>
        </w:rPr>
        <w:t xml:space="preserve"> ապրիլի 1-ից հասանելի է e-rights.am հարթակը:</w:t>
      </w:r>
    </w:p>
    <w:p w:rsidR="007A5F0F" w:rsidRPr="00794585" w:rsidRDefault="007A5F0F" w:rsidP="007730AA">
      <w:pPr>
        <w:tabs>
          <w:tab w:val="left" w:pos="0"/>
          <w:tab w:val="left" w:pos="567"/>
        </w:tabs>
        <w:spacing w:before="0" w:line="276" w:lineRule="auto"/>
        <w:ind w:firstLine="720"/>
        <w:contextualSpacing w:val="0"/>
        <w:rPr>
          <w:b w:val="0"/>
          <w:szCs w:val="22"/>
          <w:lang w:val="hy-AM"/>
        </w:rPr>
      </w:pPr>
      <w:r w:rsidRPr="00794585">
        <w:rPr>
          <w:b w:val="0"/>
          <w:szCs w:val="22"/>
          <w:lang w:val="hy-AM"/>
        </w:rPr>
        <w:t>Հարթակը հնարավորություն է ընձեռում.</w:t>
      </w:r>
    </w:p>
    <w:p w:rsidR="007A5F0F" w:rsidRDefault="007A5F0F" w:rsidP="007730AA">
      <w:pPr>
        <w:pStyle w:val="ListParagraph"/>
        <w:numPr>
          <w:ilvl w:val="0"/>
          <w:numId w:val="46"/>
        </w:numPr>
        <w:tabs>
          <w:tab w:val="left" w:pos="567"/>
          <w:tab w:val="left" w:pos="630"/>
        </w:tabs>
        <w:spacing w:before="0" w:line="276" w:lineRule="auto"/>
        <w:ind w:left="0" w:firstLine="720"/>
        <w:contextualSpacing w:val="0"/>
        <w:rPr>
          <w:b w:val="0"/>
          <w:szCs w:val="22"/>
          <w:lang w:val="hy-AM"/>
        </w:rPr>
      </w:pPr>
      <w:r w:rsidRPr="000C01EC">
        <w:rPr>
          <w:b w:val="0"/>
          <w:szCs w:val="22"/>
          <w:lang w:val="hy-AM"/>
        </w:rPr>
        <w:t>առցանց ծանոթանալ Մարդու իրավունքների պաշտպանության ազգային ռազմավարությանը և դրանից բխող Գործողությունների ծրագրին,</w:t>
      </w:r>
    </w:p>
    <w:p w:rsidR="007A5F0F" w:rsidRDefault="007A5F0F" w:rsidP="007730AA">
      <w:pPr>
        <w:pStyle w:val="ListParagraph"/>
        <w:numPr>
          <w:ilvl w:val="0"/>
          <w:numId w:val="46"/>
        </w:numPr>
        <w:tabs>
          <w:tab w:val="left" w:pos="567"/>
          <w:tab w:val="left" w:pos="630"/>
        </w:tabs>
        <w:spacing w:before="0" w:line="276" w:lineRule="auto"/>
        <w:ind w:left="0" w:firstLine="720"/>
        <w:contextualSpacing w:val="0"/>
        <w:rPr>
          <w:b w:val="0"/>
          <w:szCs w:val="22"/>
          <w:lang w:val="hy-AM"/>
        </w:rPr>
      </w:pPr>
      <w:r w:rsidRPr="00291B5A">
        <w:rPr>
          <w:b w:val="0"/>
          <w:szCs w:val="22"/>
          <w:lang w:val="hy-AM"/>
        </w:rPr>
        <w:t>միջոցառումների իրականացման ընթացքին,</w:t>
      </w:r>
    </w:p>
    <w:p w:rsidR="007A5F0F" w:rsidRDefault="007A5F0F" w:rsidP="007730AA">
      <w:pPr>
        <w:pStyle w:val="ListParagraph"/>
        <w:numPr>
          <w:ilvl w:val="0"/>
          <w:numId w:val="46"/>
        </w:numPr>
        <w:tabs>
          <w:tab w:val="left" w:pos="567"/>
          <w:tab w:val="left" w:pos="630"/>
        </w:tabs>
        <w:spacing w:before="0" w:line="276" w:lineRule="auto"/>
        <w:ind w:left="0" w:firstLine="720"/>
        <w:contextualSpacing w:val="0"/>
        <w:rPr>
          <w:b w:val="0"/>
          <w:szCs w:val="22"/>
          <w:lang w:val="hy-AM"/>
        </w:rPr>
      </w:pPr>
      <w:r w:rsidRPr="00291B5A">
        <w:rPr>
          <w:b w:val="0"/>
          <w:szCs w:val="22"/>
          <w:lang w:val="hy-AM"/>
        </w:rPr>
        <w:t>հրապարակել պետական մարմինների կողմից ներկայացված հաշվետվությունները,</w:t>
      </w:r>
    </w:p>
    <w:p w:rsidR="007A5F0F" w:rsidRPr="00291B5A" w:rsidRDefault="007A5F0F" w:rsidP="007730AA">
      <w:pPr>
        <w:pStyle w:val="ListParagraph"/>
        <w:numPr>
          <w:ilvl w:val="0"/>
          <w:numId w:val="46"/>
        </w:numPr>
        <w:tabs>
          <w:tab w:val="left" w:pos="567"/>
          <w:tab w:val="left" w:pos="630"/>
        </w:tabs>
        <w:spacing w:before="0" w:line="276" w:lineRule="auto"/>
        <w:ind w:left="0" w:firstLine="720"/>
        <w:contextualSpacing w:val="0"/>
        <w:rPr>
          <w:b w:val="0"/>
          <w:szCs w:val="22"/>
          <w:lang w:val="hy-AM"/>
        </w:rPr>
      </w:pPr>
      <w:r w:rsidRPr="00291B5A">
        <w:rPr>
          <w:b w:val="0"/>
          <w:szCs w:val="22"/>
          <w:lang w:val="hy-AM"/>
        </w:rPr>
        <w:t>ներկայացնել մեկնաբանություններ միջոցառումների վերաբերյալ</w:t>
      </w:r>
      <w:r>
        <w:rPr>
          <w:b w:val="0"/>
          <w:szCs w:val="22"/>
          <w:lang w:val="hy-AM"/>
        </w:rPr>
        <w:t>։</w:t>
      </w:r>
    </w:p>
    <w:p w:rsidR="007A5F0F" w:rsidRDefault="007A5F0F" w:rsidP="007730AA">
      <w:pPr>
        <w:tabs>
          <w:tab w:val="left" w:pos="0"/>
          <w:tab w:val="left" w:pos="567"/>
        </w:tabs>
        <w:spacing w:before="0" w:line="276" w:lineRule="auto"/>
        <w:ind w:firstLine="720"/>
        <w:contextualSpacing w:val="0"/>
        <w:rPr>
          <w:b w:val="0"/>
          <w:szCs w:val="22"/>
          <w:lang w:val="hy-AM"/>
        </w:rPr>
      </w:pPr>
      <w:r w:rsidRPr="00794585">
        <w:rPr>
          <w:b w:val="0"/>
          <w:szCs w:val="22"/>
          <w:lang w:val="hy-AM"/>
        </w:rPr>
        <w:tab/>
        <w:t>Գործողություններն առավել թիրախային և հասանելի դարձնելու նպատակով դրանք առանձնացվել են ըստ իրավունքի տեսակների և Միավորված ազգերի կազմակերպության կայուն զարգացման նպատակների:</w:t>
      </w:r>
    </w:p>
    <w:p w:rsidR="007A5F0F" w:rsidRDefault="007A5F0F" w:rsidP="007730AA">
      <w:pPr>
        <w:tabs>
          <w:tab w:val="left" w:pos="0"/>
          <w:tab w:val="left" w:pos="567"/>
        </w:tabs>
        <w:spacing w:before="0" w:line="276" w:lineRule="auto"/>
        <w:ind w:firstLine="720"/>
        <w:contextualSpacing w:val="0"/>
        <w:rPr>
          <w:b w:val="0"/>
          <w:szCs w:val="22"/>
          <w:lang w:val="hy-AM"/>
        </w:rPr>
      </w:pPr>
      <w:r w:rsidRPr="00794585">
        <w:rPr>
          <w:b w:val="0"/>
          <w:szCs w:val="22"/>
          <w:lang w:val="hy-AM"/>
        </w:rPr>
        <w:t>Հարթակն ունի հատուկ ռեժիմ տեսողության հետ խնդիր ունեցող անձանց համար։ Այն հասանելի է նաև բջջային տարբերակով:</w:t>
      </w:r>
    </w:p>
    <w:p w:rsidR="007A5F0F" w:rsidRDefault="007A5F0F" w:rsidP="007730AA">
      <w:pPr>
        <w:tabs>
          <w:tab w:val="left" w:pos="0"/>
          <w:tab w:val="left" w:pos="567"/>
        </w:tabs>
        <w:spacing w:before="0" w:line="276" w:lineRule="auto"/>
        <w:ind w:firstLine="720"/>
        <w:contextualSpacing w:val="0"/>
        <w:rPr>
          <w:b w:val="0"/>
          <w:szCs w:val="22"/>
          <w:lang w:val="hy-AM"/>
        </w:rPr>
      </w:pPr>
      <w:r w:rsidRPr="000C6F46">
        <w:rPr>
          <w:bCs/>
          <w:szCs w:val="22"/>
          <w:lang w:val="hy-AM"/>
        </w:rPr>
        <w:t xml:space="preserve">Քաղաքացիական </w:t>
      </w:r>
      <w:r>
        <w:rPr>
          <w:bCs/>
          <w:szCs w:val="22"/>
          <w:lang w:val="hy-AM"/>
        </w:rPr>
        <w:t xml:space="preserve">կացության ակտերի գրանցման ոլորտ. </w:t>
      </w:r>
      <w:r w:rsidRPr="00794585">
        <w:rPr>
          <w:b w:val="0"/>
          <w:szCs w:val="22"/>
          <w:lang w:val="hy-AM"/>
        </w:rPr>
        <w:t>Նախատեսվում է նվազեցնել ոլորտում առկա վարչարարությունը</w:t>
      </w:r>
      <w:r>
        <w:rPr>
          <w:b w:val="0"/>
          <w:szCs w:val="22"/>
          <w:lang w:val="hy-AM"/>
        </w:rPr>
        <w:t>՝</w:t>
      </w:r>
      <w:r w:rsidRPr="00794585">
        <w:rPr>
          <w:b w:val="0"/>
          <w:szCs w:val="22"/>
          <w:lang w:val="hy-AM"/>
        </w:rPr>
        <w:t xml:space="preserve"> այն ամբողջովին համապատասխանեցնելով քաղաքացիական կացության ակտերի գրանցման «մեկ պատուհան» ծառայության շրջանակներում կիրառվող սկզբունքներին: Արդեն իսկ մշակված </w:t>
      </w:r>
      <w:r w:rsidRPr="00645F02">
        <w:rPr>
          <w:b w:val="0"/>
          <w:szCs w:val="22"/>
          <w:lang w:val="hy-AM"/>
        </w:rPr>
        <w:t xml:space="preserve">է </w:t>
      </w:r>
      <w:r w:rsidRPr="00794585">
        <w:rPr>
          <w:b w:val="0"/>
          <w:szCs w:val="22"/>
          <w:lang w:val="hy-AM"/>
        </w:rPr>
        <w:t>և գործում է քաղաքացիական կացության ակտերի գրանցման ոլորտում էլեկտրոնային գործիքակազմը, որը հնարավորություն կընձեռի շահառուների</w:t>
      </w:r>
      <w:r w:rsidRPr="00867968">
        <w:rPr>
          <w:b w:val="0"/>
          <w:szCs w:val="22"/>
          <w:lang w:val="hy-AM"/>
        </w:rPr>
        <w:t>ն</w:t>
      </w:r>
      <w:r w:rsidRPr="00794585">
        <w:rPr>
          <w:b w:val="0"/>
          <w:szCs w:val="22"/>
          <w:lang w:val="hy-AM"/>
        </w:rPr>
        <w:t xml:space="preserve"> դիմել և վերջնական արդյունքները ստանալ բացառապես էլեկտրոնային հարթակում՝ թվայնացնելով բոլոր ծառայությունները: Մասնավորապես՝ ՔԿԱԳ էլեկտրոնային գործիքակազմի e-cervices.moj.am միջոցով արդեն իսկ ընդունվում են ընտանեկան կարգավիճակի և վկայականների կրկնօրինակների դիմումները, իսկ վերջնական արդյունքները տրամադրվում են նաև ապոստիլով վավերացված տեսքով: Միաժամանակ արդեն մշակվել է և շրջանառության մեջ է գտնվում իրավական ակտերի նախագծերը, որոնցով ապահովվում է քաղաքացիական կացության ակտերի գրանցման սպասարկումը՝ Front և Back office սկզբունքի շրջանակներում, որի միջոցով կնվազեցվի որոշում կայացնող և դիմող շփումը, դիմումների ընդունումը հնարավոր կլինի պատվիրակել նաև մասնավոր հատվածին, այդպիսով իսկ բարելավելով քաղաքացիների սպասարկման որակը և պայմանները, այդ թվում</w:t>
      </w:r>
      <w:r>
        <w:rPr>
          <w:b w:val="0"/>
          <w:szCs w:val="22"/>
          <w:lang w:val="hy-AM"/>
        </w:rPr>
        <w:t>՝</w:t>
      </w:r>
      <w:r w:rsidRPr="00794585">
        <w:rPr>
          <w:b w:val="0"/>
          <w:szCs w:val="22"/>
          <w:lang w:val="hy-AM"/>
        </w:rPr>
        <w:t xml:space="preserve"> նաև հանրային ծառայությունների միասնական գրասենյակներում, որի առաջինը հիմնադրվեց 2020 թվականի հուլիսի 22-ից և մեկ վարչական հարկի տակ համախմբում է առանձին թվով ութ գերատեսչությունների ներկայացվածությունը, դիմողներին նույն վայրում տրամադրելով ավելի քան 97 հանրային ծառայություններ:</w:t>
      </w:r>
    </w:p>
    <w:p w:rsidR="007A5F0F" w:rsidRDefault="007A5F0F" w:rsidP="007730AA">
      <w:pPr>
        <w:tabs>
          <w:tab w:val="left" w:pos="0"/>
          <w:tab w:val="left" w:pos="567"/>
        </w:tabs>
        <w:spacing w:before="0" w:line="276" w:lineRule="auto"/>
        <w:ind w:firstLine="720"/>
        <w:contextualSpacing w:val="0"/>
        <w:rPr>
          <w:b w:val="0"/>
          <w:szCs w:val="22"/>
          <w:lang w:val="hy-AM"/>
        </w:rPr>
      </w:pPr>
      <w:r w:rsidRPr="00186CC5">
        <w:rPr>
          <w:bCs/>
          <w:szCs w:val="22"/>
          <w:lang w:val="hy-AM"/>
        </w:rPr>
        <w:t xml:space="preserve">Իրավաբանական անձանց </w:t>
      </w:r>
      <w:r>
        <w:rPr>
          <w:bCs/>
          <w:szCs w:val="22"/>
          <w:lang w:val="hy-AM"/>
        </w:rPr>
        <w:t>պետական գրանցման ռեգիստրի ոլորտ.</w:t>
      </w:r>
      <w:r w:rsidRPr="00186CC5">
        <w:rPr>
          <w:bCs/>
          <w:szCs w:val="22"/>
          <w:lang w:val="hy-AM"/>
        </w:rPr>
        <w:t xml:space="preserve"> </w:t>
      </w:r>
      <w:r w:rsidRPr="00794585">
        <w:rPr>
          <w:b w:val="0"/>
          <w:szCs w:val="22"/>
          <w:lang w:val="hy-AM"/>
        </w:rPr>
        <w:t>Նախատեսվում է իրավաբանական անձանց պետական գրանցման գործընթացի արդյունավետության բարձրացմանն ուղղված շարունակական աշխատանքների իրականացում, այդ թվում՝ էլեկտրոնային եղանակով մատուցվող ծառայությունների ընդլայնում (առցանց նույնականացման նոր մոտեցումների կիրառում, կայքի դիզայնի թարմացում, փաստաթղթերի վրա արագ արձագանքման (QR) կոդերի կիրառում, ինքնաշխատ ծառայությունների իրականացում), իրավաբանական անձանց պետական ռեգիստրի գործակալության աջակցությամբ ձեռնարկատիրական գործունեություն սկսելու համար անհրաժեշտ մի շարք գործառույթների իրականացման հնարավորության ստեղծում (պետական ռեգիստրի գործակալության հետ համագործակցող կազմակերպությունների և մարմինների միջոցով՝ բանկային հաշվի բացում, հսկիչ դրամարկղային մեքենաների և կնիքների տրամադրում, անձնական գրասենյակի ակտիվացում և լիազոր անձի ընտրություն, հարկային մարմնին ներկայացվող որոշ հաշվետվությունների ներկայացում), իրական սեփականատերերի վերաբերյալ հայտարարագրերի էլեկտրոնային հարթակի գործարկում և այդ ոլորտի օրենսրական կարգավորումների բարեփոխում, օրենսդրական բարեփոխումներ՝ ուղղված իրավաբանական անձանց պետական գրանցման ոլորտում մատուցվող ծառայությունների մատչելիության ապահովմանը։ Նախատեսվում է նաև իրավաբանական անձանց պետական ռեգիստրի գործակալության որոշ մարզային սպասարկման գրասենյակների տեղակայումը ստեղծվելիք միասնական գրասենյակներում, ինչպես նաև իրավաբանական անձանց պետական ռեգիստրի արխիվների թվայնացմանն ուղղված աշխատանքների իրականացում:</w:t>
      </w:r>
    </w:p>
    <w:p w:rsidR="007A5F0F" w:rsidRPr="00794585" w:rsidRDefault="007A5F0F" w:rsidP="007730AA">
      <w:pPr>
        <w:tabs>
          <w:tab w:val="left" w:pos="0"/>
          <w:tab w:val="left" w:pos="567"/>
        </w:tabs>
        <w:spacing w:before="0" w:line="276" w:lineRule="auto"/>
        <w:ind w:firstLine="720"/>
        <w:contextualSpacing w:val="0"/>
        <w:rPr>
          <w:b w:val="0"/>
          <w:szCs w:val="22"/>
          <w:lang w:val="hy-AM"/>
        </w:rPr>
      </w:pPr>
      <w:r w:rsidRPr="00186CC5">
        <w:rPr>
          <w:bCs/>
          <w:szCs w:val="22"/>
          <w:lang w:val="hy-AM"/>
        </w:rPr>
        <w:t>Անձնական տվյալների պաշտպանության ոլորտ</w:t>
      </w:r>
      <w:r w:rsidRPr="00867968">
        <w:rPr>
          <w:bCs/>
          <w:szCs w:val="22"/>
          <w:lang w:val="hy-AM"/>
        </w:rPr>
        <w:t>.</w:t>
      </w:r>
      <w:r w:rsidRPr="00186CC5">
        <w:rPr>
          <w:bCs/>
          <w:szCs w:val="22"/>
          <w:lang w:val="hy-AM"/>
        </w:rPr>
        <w:t xml:space="preserve"> </w:t>
      </w:r>
      <w:r w:rsidRPr="00794585">
        <w:rPr>
          <w:b w:val="0"/>
          <w:szCs w:val="22"/>
          <w:lang w:val="hy-AM"/>
        </w:rPr>
        <w:t>Նախատեսվում է ապահովել անձնական տվյալների պաշտպանության ավելի բարձր մակարդակ, մասնավորապես՝ ներդաշնակեցնել անձնական տվյալների մշակում նախատեսող օրենսդրական դաշտը, մշակել օրենսդրական փոփոխությունների նախագծեր, անձնական տվյալների մշակում նախատեսող նոր ընդունվող, ինչպես նաև գործող իրավական ակտեր</w:t>
      </w:r>
      <w:r>
        <w:rPr>
          <w:b w:val="0"/>
          <w:szCs w:val="22"/>
          <w:lang w:val="hy-AM"/>
        </w:rPr>
        <w:t>ը</w:t>
      </w:r>
      <w:r w:rsidRPr="00794585">
        <w:rPr>
          <w:b w:val="0"/>
          <w:szCs w:val="22"/>
          <w:lang w:val="hy-AM"/>
        </w:rPr>
        <w:t xml:space="preserve"> համապատասխանեց</w:t>
      </w:r>
      <w:r w:rsidRPr="00BC4385">
        <w:rPr>
          <w:b w:val="0"/>
          <w:szCs w:val="22"/>
          <w:lang w:val="hy-AM"/>
        </w:rPr>
        <w:t>նել</w:t>
      </w:r>
      <w:r w:rsidRPr="00794585">
        <w:rPr>
          <w:b w:val="0"/>
          <w:szCs w:val="22"/>
          <w:lang w:val="hy-AM"/>
        </w:rPr>
        <w:t xml:space="preserve"> «Անձնական տվյալների պաշտպանության մասին» ՀՀ օրենքով սահմանված՝ անձնական տվյալների մշակման սկզբունքներին, ավելացնել անձնական տվյալների պաշտպանության իրավունքի վերաբերյալ ինչպես անձնական տվյալներ մշակողների, այնպես էլ լայն հասարակության իրազեկվածությունը, ինչպես նաև հզորացնել անձնական տվյալների պաշտպանության լիազոր մարմնի մարդկային </w:t>
      </w:r>
      <w:r w:rsidRPr="004534BE">
        <w:rPr>
          <w:b w:val="0"/>
          <w:szCs w:val="22"/>
          <w:lang w:val="hy-AM"/>
        </w:rPr>
        <w:t>ռեսուրսների</w:t>
      </w:r>
      <w:r w:rsidRPr="00794585">
        <w:rPr>
          <w:b w:val="0"/>
          <w:szCs w:val="22"/>
          <w:lang w:val="hy-AM"/>
        </w:rPr>
        <w:t xml:space="preserve"> մասնագիտական, նյութական և տեխնիկական կարողությունները։</w:t>
      </w:r>
    </w:p>
    <w:p w:rsidR="007A5F0F" w:rsidRPr="00DF48E4" w:rsidRDefault="007A5F0F" w:rsidP="007730AA">
      <w:pPr>
        <w:keepNext/>
        <w:tabs>
          <w:tab w:val="left" w:pos="567"/>
        </w:tabs>
        <w:spacing w:before="0" w:line="276" w:lineRule="auto"/>
        <w:ind w:firstLine="720"/>
        <w:contextualSpacing w:val="0"/>
        <w:outlineLvl w:val="2"/>
        <w:rPr>
          <w:rFonts w:ascii="Arial" w:hAnsi="Arial" w:cs="Arial"/>
          <w:b w:val="0"/>
          <w:szCs w:val="22"/>
          <w:highlight w:val="yellow"/>
          <w:lang w:val="hy-AM" w:eastAsia="en-US"/>
        </w:rPr>
      </w:pPr>
      <w:bookmarkStart w:id="31" w:name="_Toc26174897"/>
      <w:bookmarkStart w:id="32" w:name="_Toc57655426"/>
      <w:r w:rsidRPr="00FE3D59">
        <w:rPr>
          <w:rFonts w:cs="Arial"/>
          <w:szCs w:val="22"/>
          <w:lang w:val="hy-AM" w:eastAsia="en-US"/>
        </w:rPr>
        <w:t>Սփյուռք</w:t>
      </w:r>
      <w:bookmarkEnd w:id="31"/>
      <w:bookmarkEnd w:id="32"/>
      <w:r w:rsidRPr="00DF48E4">
        <w:rPr>
          <w:rFonts w:ascii="Arial" w:hAnsi="Arial" w:cs="Arial"/>
          <w:b w:val="0"/>
          <w:szCs w:val="22"/>
          <w:highlight w:val="yellow"/>
          <w:lang w:val="hy-AM" w:eastAsia="en-US"/>
        </w:rPr>
        <w:t xml:space="preserve"> </w:t>
      </w:r>
    </w:p>
    <w:p w:rsidR="007A5F0F" w:rsidRDefault="007A5F0F" w:rsidP="007730AA">
      <w:pPr>
        <w:pStyle w:val="BodyText2"/>
        <w:ind w:left="0" w:firstLine="720"/>
      </w:pPr>
      <w:bookmarkStart w:id="33" w:name="_Toc26174898"/>
      <w:r w:rsidRPr="00FE3D59">
        <w:t>ՀՀ կառավարությունը կարևորում է Հայաստան-</w:t>
      </w:r>
      <w:r>
        <w:t>Ս</w:t>
      </w:r>
      <w:r w:rsidRPr="00FE3D59">
        <w:t>փյուռք գործակցության զարգացումը և ամրապնդումը:</w:t>
      </w:r>
      <w:r w:rsidRPr="0087082E">
        <w:t xml:space="preserve"> </w:t>
      </w:r>
      <w:r w:rsidRPr="00FE3D59">
        <w:t xml:space="preserve">Այսօր սփյուռքի հայության առջև ծառացած հիմնական մարտահրավերներից մեկը հայ երիտասարդների մեջ ազգային ինքնության պահպանումն է, նրանց ընդգրկմամբ համահայկական միասնական օրակարգի ձևավորումը: </w:t>
      </w:r>
    </w:p>
    <w:p w:rsidR="007A5F0F" w:rsidRPr="00FE3D59" w:rsidRDefault="007A5F0F" w:rsidP="007730AA">
      <w:pPr>
        <w:pStyle w:val="BodyText2"/>
        <w:ind w:left="0" w:firstLine="720"/>
      </w:pPr>
      <w:r w:rsidRPr="00FE3D59">
        <w:t>Հայաստան-</w:t>
      </w:r>
      <w:r>
        <w:t>Ս</w:t>
      </w:r>
      <w:r w:rsidRPr="00FE3D59">
        <w:t xml:space="preserve">փյուռք գործակցության համատեքստում անհրաժեշտ է խթանել համայնքային կառույցների </w:t>
      </w:r>
      <w:r>
        <w:t>գործունեությու</w:t>
      </w:r>
      <w:r w:rsidRPr="00FE3D59">
        <w:t>նը, դրանցում սփյուռքահայ երիտասարդների ներգրավվածությ</w:t>
      </w:r>
      <w:r w:rsidRPr="0087082E">
        <w:t>ուն</w:t>
      </w:r>
      <w:r w:rsidRPr="00FE3D59">
        <w:t xml:space="preserve">ը և աջակցել երիտասարդական նոր կազմակերպությունների ստեղծմանը: </w:t>
      </w:r>
    </w:p>
    <w:p w:rsidR="007A5F0F" w:rsidRPr="00FE3D59" w:rsidRDefault="007A5F0F" w:rsidP="007730AA">
      <w:pPr>
        <w:pStyle w:val="BodyText2"/>
        <w:ind w:left="0" w:firstLine="720"/>
      </w:pPr>
      <w:r w:rsidRPr="00FE3D59">
        <w:t>Հայաստան-</w:t>
      </w:r>
      <w:r>
        <w:t>Ս</w:t>
      </w:r>
      <w:r w:rsidRPr="00FE3D59">
        <w:t>փյուռք սահմանների վերացման և համահայկական օրակարգերի ստեղծման հարցում կենսական է համայնքային գործիչների պատրաստումը:</w:t>
      </w:r>
    </w:p>
    <w:p w:rsidR="007A5F0F" w:rsidRPr="00FE3D59" w:rsidRDefault="007A5F0F" w:rsidP="007730AA">
      <w:pPr>
        <w:pStyle w:val="BodyText2"/>
        <w:ind w:left="0" w:firstLine="720"/>
      </w:pPr>
      <w:r w:rsidRPr="00FE3D59">
        <w:t>Սփյուռքի հետ աշխատանքի հետհեղափոխական շրջանի պատկերացումներում կարևորվում է Հայաստան-</w:t>
      </w:r>
      <w:r>
        <w:t>Ս</w:t>
      </w:r>
      <w:r w:rsidRPr="00FE3D59">
        <w:t xml:space="preserve">փյուռք սահմանների միասնականացումը, ողջ հայության ներուժի ներգրավումը և հայրենադարձության իրագործումը: Այս առումով մեծ դերակատարություն ունեն սփյուռքահայ երիտասարդների մեջ ազգային ինքնության պահպանմանն ուղղված բազմաբնույթ ծրագրերի իրականացումը, Հայաստանը՝ որպես հնարավորությունների, անձնական և մասնագիտական աճի երկիր դիտարկելու նախադրյալների ապահովումը: </w:t>
      </w:r>
    </w:p>
    <w:p w:rsidR="007A5F0F" w:rsidRPr="00FE3D59" w:rsidRDefault="007A5F0F" w:rsidP="007730AA">
      <w:pPr>
        <w:pStyle w:val="BodyText2"/>
        <w:ind w:left="0" w:firstLine="720"/>
      </w:pPr>
      <w:r w:rsidRPr="00FE3D59">
        <w:t>Հայաստան-</w:t>
      </w:r>
      <w:r>
        <w:t>Ս</w:t>
      </w:r>
      <w:r w:rsidRPr="00FE3D59">
        <w:t xml:space="preserve">փյուռք գործակցության մեջ մեծ կարևորություն ունեն նաև հանրային կապերն ու աշխարհասփյուռ հայության իրազեկվածության ապահովումը: Այս համագործակցության հանրայնացումն ունի թիրախային երկու լսարան՝ ներքին կամ ներհայաստանյան և արտաքին կամ նպատակաուղղված </w:t>
      </w:r>
      <w:r>
        <w:t>Ս</w:t>
      </w:r>
      <w:r w:rsidRPr="00FE3D59">
        <w:t xml:space="preserve">փյուռքին՝ հայ համայնքներին և միջազգային հանրությանը: </w:t>
      </w:r>
    </w:p>
    <w:p w:rsidR="007A5F0F" w:rsidRPr="00FE3D59" w:rsidRDefault="007A5F0F" w:rsidP="007730AA">
      <w:pPr>
        <w:pStyle w:val="BodyText2"/>
        <w:ind w:left="0" w:firstLine="720"/>
      </w:pPr>
      <w:r w:rsidRPr="00FE3D59">
        <w:t>Տեղեկատվությունը լսարանին ճիշտ հասցեագրելու համար կարևոր է լրագրողական հանրույթի հետ գործընկերային կայուն կապերի ստեղծումն ու առողջ աշխատանքը, լրատվադաշտում Հայաստան-</w:t>
      </w:r>
      <w:r>
        <w:t>Ս</w:t>
      </w:r>
      <w:r w:rsidRPr="00FE3D59">
        <w:t xml:space="preserve">փյուռք գործակցության ու ամրապնդմանն ուղղված ծրագրերի, սոցիալական մեդիայի բոլոր հարթակների ակտիվ գործածումը, մեդիա արշավների իրականացումը, ներգրավվածությունը սոցիալական նախաձեռնություններում և այլն: </w:t>
      </w:r>
    </w:p>
    <w:p w:rsidR="007A5F0F" w:rsidRPr="00FE3D59" w:rsidRDefault="007A5F0F" w:rsidP="007730AA">
      <w:pPr>
        <w:pStyle w:val="BodyText2"/>
        <w:ind w:left="0" w:firstLine="720"/>
      </w:pPr>
      <w:r w:rsidRPr="00FE3D59">
        <w:t xml:space="preserve">Հայրենադարձության պետական քաղաքականության խթանումն ու իրականացումը Հայաստանի Հանրապետության առաջնահերթություններից մեկն է, որը լուծում է պետության առջև ծառացած դեմոգրաֆիական, անվտանգության, տարածքային համաչափ զարգացման, տնտեսական առաջադիմության, հայապահպանության, համազգային ներուժի համախմբման և այլ ռազմավարական խնդիրներ: </w:t>
      </w:r>
    </w:p>
    <w:p w:rsidR="007A5F0F" w:rsidRPr="00FE3D59" w:rsidRDefault="007A5F0F" w:rsidP="007730AA">
      <w:pPr>
        <w:pStyle w:val="BodyText2"/>
        <w:ind w:left="0" w:firstLine="720"/>
      </w:pPr>
      <w:r w:rsidRPr="00FE3D59">
        <w:t xml:space="preserve">ՀՀ պետական քաղաքականությունը միտված է մշակել և իրականացնել միջոցառումներ, որոնք նպատակաուղղված կլինեն Հայաստանի զարգացման գործընթացում </w:t>
      </w:r>
      <w:r>
        <w:t>Ս</w:t>
      </w:r>
      <w:r w:rsidRPr="00FE3D59">
        <w:t>փյուռքի ներգրավմանը:</w:t>
      </w:r>
    </w:p>
    <w:p w:rsidR="007A5F0F" w:rsidRPr="00755319"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34" w:name="_Toc57655427"/>
      <w:r w:rsidRPr="00755319">
        <w:rPr>
          <w:rFonts w:cs="Arial"/>
          <w:szCs w:val="22"/>
          <w:lang w:val="hy-AM" w:eastAsia="en-US"/>
        </w:rPr>
        <w:t>Կրթություն</w:t>
      </w:r>
      <w:bookmarkEnd w:id="33"/>
      <w:bookmarkEnd w:id="34"/>
    </w:p>
    <w:p w:rsidR="007A5F0F" w:rsidRDefault="007A5F0F" w:rsidP="007730AA">
      <w:pPr>
        <w:pStyle w:val="BodyText2"/>
        <w:ind w:left="0" w:firstLine="720"/>
      </w:pPr>
      <w:bookmarkStart w:id="35" w:name="_Toc26174899"/>
      <w:r w:rsidRPr="00755319">
        <w:t>Պետական քաղաքականության մեջ կրթությունը գերակայությունների շարքում շարունակում է մնալ որպես ազգային արժեք և երկրի սոցիալ-տնտեսական առաջընթացն ապահովող հիմնարար գործոն:  Մարդկային կապիտալի կայուն զարգացումը հնարավոր է ապահովել կրթության որակի, արդյունավետության և մատչելիության բարձրացման միջոցով:</w:t>
      </w:r>
    </w:p>
    <w:p w:rsidR="007A5F0F" w:rsidRDefault="007A5F0F" w:rsidP="007730AA">
      <w:pPr>
        <w:pStyle w:val="BodyText2"/>
        <w:ind w:left="0" w:firstLine="720"/>
      </w:pPr>
      <w:r w:rsidRPr="00755319">
        <w:t xml:space="preserve">Հանրակրթության ոլորտում կշարունակվեն հիմնական բարեփոխումները, որոնց նպատակն է միջնակարգ կրթության որակի բարձրացումը, բնակչության բոլոր խավերի համար որակյալ կրթության հավասար մատչելիության ապահովումը միջնակարգ դպրոցի բոլոր (ինչպես նաև` նախադպրոցական) մակարդակներում և համակարգի արդյունավետության շարունակական բարձրացումը: </w:t>
      </w:r>
    </w:p>
    <w:p w:rsidR="007A5F0F" w:rsidRDefault="007A5F0F" w:rsidP="007730AA">
      <w:pPr>
        <w:pStyle w:val="BodyText2"/>
        <w:ind w:left="0" w:firstLine="720"/>
      </w:pPr>
      <w:r w:rsidRPr="00755319">
        <w:t>Համաշխարհային բանկի աջակցությամբ իրականացվող Կրթության բարելավման ծրագրի շրջանակներում նախատեսվում է շարունակել աջակցել կրթության ոլորտում իրականացվող բարեփոխումներին, այդ թվում՝ նախադպրոցական հաստատությունների հիմնմանը այն համայնքերում, որտեղ չեն գործում մանկապարտեզներ: Մշակվել են նախադպրոցական կրթության տրամադրման այլընտրանքային մոդելներ,  որոնց արդյունքում հաշվի կառնվեն տվյալ համայնքի առանձնահատկությունները:</w:t>
      </w:r>
    </w:p>
    <w:p w:rsidR="007A5F0F" w:rsidRDefault="007A5F0F" w:rsidP="007730AA">
      <w:pPr>
        <w:pStyle w:val="BodyText2"/>
        <w:ind w:left="0" w:firstLine="720"/>
      </w:pPr>
      <w:r w:rsidRPr="00755319">
        <w:t>Շարունակվելու են տարրական դասարանների աշակերտներին, ինչպես նաև սոցիալապես անապահով ընտանիքների երեխաներին և սահմանամերձ համայնքների սովորողներին անվճար դասագրքերով ապահովելու քաղաքականությունը, հանրապետության դպրոցների ինտերնետային ցանցի սպասարկման և համակարգչային սարքավորումների պահպանման, շարժական ինտերնետային կայանի շահագործման աշխատանքները, իրականացվելու են հեռավար կրթության լիարժեք ներդրմանն ուղղված քայլեր:</w:t>
      </w:r>
    </w:p>
    <w:p w:rsidR="007A5F0F" w:rsidRDefault="007A5F0F" w:rsidP="007730AA">
      <w:pPr>
        <w:pStyle w:val="BodyText2"/>
        <w:ind w:left="0" w:firstLine="720"/>
      </w:pPr>
      <w:r w:rsidRPr="00755319">
        <w:t>Սովորողների մոտ ճարտարագիտական, գիտական և համակարգային մտածողության զարգացման նպատակով դպրոցներում կիրականացվեն մի շարք միջոցառումներ:</w:t>
      </w:r>
    </w:p>
    <w:p w:rsidR="007A5F0F" w:rsidRDefault="007A5F0F" w:rsidP="007730AA">
      <w:pPr>
        <w:pStyle w:val="BodyText2"/>
        <w:ind w:left="0" w:firstLine="720"/>
      </w:pPr>
      <w:r w:rsidRPr="00755319">
        <w:t>«Դպրոցահասակ երեխաներին սննդով ապահովում» ծրագրի շրջանակում սննդով կապահովվեն ՀՀ Արարատի, Սյունիքի, Վայոց Ձորի, Տավուշի, Շիրակի, Արագածոտնի, Գեղարքունիքի մարզերի և 2021 թվականի սեպտեմբերից՝ Լոռու մարզի հանրակրթական դպրոց</w:t>
      </w:r>
      <w:r>
        <w:t>ն</w:t>
      </w:r>
      <w:r w:rsidRPr="00755319">
        <w:t>երի տարրական դասարաններում և դպրոցի նախապատրաստման խմբերում (նախակրթարաններում) ընդգրկված երեխաները:</w:t>
      </w:r>
    </w:p>
    <w:p w:rsidR="007A5F0F" w:rsidRDefault="007A5F0F" w:rsidP="007730AA">
      <w:pPr>
        <w:pStyle w:val="BodyText2"/>
        <w:ind w:left="0" w:firstLine="720"/>
      </w:pPr>
      <w:r w:rsidRPr="00755319">
        <w:t>Շարունակվելու են ՀՀ հեռավոր, սահմանամերձ, լեռնային և բարձր լեռնային բնակավայրերը մանկավարժական կադրերով համալրելու աշխատանքները, ինչպես նաև տրանսպորտային ծախսերի փոխհատուցման գումարների տրամադրումը մարզերի՝ իրենց բնակավայրերից դուրս աշխատող մանկավարժներին և սովորողներին:</w:t>
      </w:r>
    </w:p>
    <w:p w:rsidR="007A5F0F" w:rsidRDefault="007A5F0F" w:rsidP="007730AA">
      <w:pPr>
        <w:pStyle w:val="BodyText2"/>
        <w:ind w:left="0" w:firstLine="720"/>
      </w:pPr>
      <w:r w:rsidRPr="00755319">
        <w:t>Սեյսմիկ և այլ վտանգների տեսանկյունից իրականացվելու են աշխատանքներ կապված դպրոցների շենքերի բարելավման, աղետների պատրաստվածության ու արձագանքման կարողությունների հզորացման ուղղություններով, բարելավվելու են փոքրաթիվ աշակերտակազմ ունեցող հանրակրթական դպրոցների ուսումնական գործընթացի բնականոն և համակողմանի կազմակերպմանն առնչվող հարցերը:</w:t>
      </w:r>
    </w:p>
    <w:p w:rsidR="007A5F0F" w:rsidRDefault="007A5F0F" w:rsidP="007730AA">
      <w:pPr>
        <w:pStyle w:val="BodyText2"/>
        <w:ind w:left="0" w:firstLine="720"/>
      </w:pPr>
      <w:r w:rsidRPr="00755319">
        <w:t xml:space="preserve">Համընդհանուր ներառական կրթության համակարգի ներդրման նպատակով ՀՀ  Արարատի և Վայոց Ձորի մարզերում կստեղծվեն տարածքային մանկավարժահոգեբանական աջակցության կենտրոններ կամ այդ ծառայությունները  կպատվիրակվեն:  </w:t>
      </w:r>
    </w:p>
    <w:p w:rsidR="007A5F0F" w:rsidRDefault="007A5F0F" w:rsidP="007730AA">
      <w:pPr>
        <w:pStyle w:val="BodyText2"/>
        <w:ind w:left="0" w:firstLine="720"/>
      </w:pPr>
      <w:r w:rsidRPr="00755319">
        <w:t>Մասնագիտական կրթության բնագավառում կիրականացվեն մի շարք միջոցառումներ` ուղղված մասնագիտական կրթության որակի բարելավմանը, աշխատաշուկայի և միջազգային չափանիշներին ու պահանջներին համապատասխան կադրերի պատրաստման կարողությունների հզորացմանը, եվրոպական կրթական տարածքին ինտեգրմանը, կրթության որակի ապահովմանը, սոցիալապես խոցելի խավերի համար մասնագիտական կրթության մատչելիության և հասանելիությանը:</w:t>
      </w:r>
    </w:p>
    <w:p w:rsidR="007A5F0F" w:rsidRDefault="007A5F0F" w:rsidP="007730AA">
      <w:pPr>
        <w:pStyle w:val="BodyText2"/>
        <w:ind w:left="0" w:firstLine="720"/>
      </w:pPr>
      <w:r w:rsidRPr="00755319">
        <w:t>Նախնական (արհեստագործական) և միջին մասնագիտական կրթության ոլորտում շարունակվելու են ուսուցման կազմակերպման նոր մոդելների ներդրումը (աշխատանքի վրա հիմնված), համակարգի բովանդակային արդիականացումը, ուսումնական հաստատությունների բարեկարգումը և ժամանակակից ուսումնական միջավայրի ստեղծումը:</w:t>
      </w:r>
    </w:p>
    <w:p w:rsidR="007A5F0F" w:rsidRDefault="007A5F0F" w:rsidP="007730AA">
      <w:pPr>
        <w:pStyle w:val="BodyText2"/>
        <w:ind w:left="0" w:firstLine="720"/>
      </w:pPr>
      <w:r w:rsidRPr="00755319">
        <w:t xml:space="preserve">Բարձրագույն մասնագիտական կրթության ոլորտում կարևորվելու են պետական ֆինանսավորման մեխանիզմների մշակումը և զուգահեռ ներդնումը` կախված բուհերի հավատարմագրման արդյունքներից, ՀՀ պետական և ոչ պետական բուհերի գործունեության համար արդար մրցակցային դաշտի և հավասար հնարավորությունների ստեղծումը: </w:t>
      </w:r>
    </w:p>
    <w:p w:rsidR="007A5F0F" w:rsidRDefault="007A5F0F" w:rsidP="007730AA">
      <w:pPr>
        <w:pStyle w:val="BodyText2"/>
        <w:ind w:left="0" w:firstLine="720"/>
      </w:pPr>
      <w:r w:rsidRPr="00755319">
        <w:t xml:space="preserve">Սփյուռքի հետ տարվող աշխատանքները հիմնականում ուղղված կլինեն աջակցելու Սփյուռքի կրթօջախների գործունեությանը` նպաստելով հայապահպանման խնդիրների լուծմանն ու միջմշակութային երկխոսության զարգացմանը: </w:t>
      </w:r>
    </w:p>
    <w:p w:rsidR="007A5F0F" w:rsidRDefault="007A5F0F" w:rsidP="007730AA">
      <w:pPr>
        <w:pStyle w:val="BodyText2"/>
        <w:ind w:left="0" w:firstLine="720"/>
      </w:pPr>
      <w:r w:rsidRPr="00755319">
        <w:t>Առաջնային են լինելու նախադպրոցականից մինչև հետբուհական կրթության որակի, մասնավորապես` սովորողների, միջավայրի, ծրագրերի և ուսումնական նյութերի բովանդակության, գործընթացների, ինչպես նաև վերջնարդյունքների որակի բարելավումն ըստ ներպետական և միջազգային ցուցիչների:</w:t>
      </w:r>
    </w:p>
    <w:p w:rsidR="007A5F0F" w:rsidRPr="00246339"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36" w:name="_Toc57655428"/>
      <w:r w:rsidRPr="00246339">
        <w:rPr>
          <w:rFonts w:cs="Arial"/>
          <w:szCs w:val="22"/>
          <w:lang w:val="hy-AM" w:eastAsia="en-US"/>
        </w:rPr>
        <w:t>Գիտության ոլորտ</w:t>
      </w:r>
      <w:bookmarkEnd w:id="35"/>
      <w:bookmarkEnd w:id="36"/>
    </w:p>
    <w:p w:rsidR="007A5F0F" w:rsidRDefault="007A5F0F" w:rsidP="007730AA">
      <w:pPr>
        <w:tabs>
          <w:tab w:val="left" w:pos="567"/>
        </w:tabs>
        <w:spacing w:before="0" w:line="276" w:lineRule="auto"/>
        <w:ind w:firstLine="720"/>
        <w:contextualSpacing w:val="0"/>
        <w:rPr>
          <w:rFonts w:cs="Sylfaen"/>
          <w:b w:val="0"/>
          <w:szCs w:val="22"/>
          <w:lang w:val="hy-AM"/>
        </w:rPr>
      </w:pPr>
      <w:r w:rsidRPr="00246339">
        <w:rPr>
          <w:rFonts w:cs="Sylfaen"/>
          <w:b w:val="0"/>
          <w:szCs w:val="22"/>
          <w:lang w:val="hy-AM"/>
        </w:rPr>
        <w:t>Հայաuտանի Հանրապետության գիտության ոլորտը պետք է լինի միջազգայնորեն մրցունակ, միջազգային հետազոտական տարածքի հետ ինտեգրված, տնտեսության պահանջներից բխող, ինչպես նաև՝ երկակի նշանակության բարձր տեխնոլոգիական հետազոտություններում գերազանցությունը խթանող, հանրապետության տնտեսության մրցունակության բարձրացմանը և անվտանգության ապահովմանը նպաստող համակարգ: Այդ նպատակակետի ձեռքբերման համար անհրաժեշտ է իրականացնել գիտության ոլորտի բարեփոխումներ՝ ռեսուրսների օգտագործման արդյունավետության բարձրացմամբ և այդ արդյունավետության գնահատման հստակ, արդի պահանջներին համապատասխան չափանիշների ներդրմամբ:</w:t>
      </w:r>
    </w:p>
    <w:p w:rsidR="007A5F0F" w:rsidRPr="00994F5D" w:rsidRDefault="007A5F0F" w:rsidP="007730AA">
      <w:pPr>
        <w:tabs>
          <w:tab w:val="left" w:pos="567"/>
        </w:tabs>
        <w:spacing w:before="0" w:line="276" w:lineRule="auto"/>
        <w:ind w:firstLine="720"/>
        <w:contextualSpacing w:val="0"/>
        <w:rPr>
          <w:rFonts w:cs="Sylfaen"/>
          <w:b w:val="0"/>
          <w:szCs w:val="22"/>
          <w:lang w:val="hy-AM"/>
        </w:rPr>
      </w:pPr>
      <w:r w:rsidRPr="00994F5D">
        <w:rPr>
          <w:rFonts w:cs="Sylfaen"/>
          <w:b w:val="0"/>
          <w:szCs w:val="22"/>
          <w:lang w:val="hy-AM"/>
        </w:rPr>
        <w:t>Ոլորտի առաջնահերթ գերակա խնդիրներն են.</w:t>
      </w:r>
    </w:p>
    <w:p w:rsidR="007A5F0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1F1A36">
        <w:rPr>
          <w:rFonts w:cs="Sylfaen"/>
          <w:b w:val="0"/>
          <w:szCs w:val="22"/>
          <w:lang w:val="hy-AM"/>
        </w:rPr>
        <w:t>գիտության ֆինանսավորման արդյունավետության բարձրացում</w:t>
      </w:r>
      <w:r w:rsidRPr="00994F5D">
        <w:rPr>
          <w:rFonts w:cs="Sylfaen"/>
          <w:b w:val="0"/>
          <w:szCs w:val="22"/>
          <w:lang w:val="hy-AM"/>
        </w:rPr>
        <w:t>ը</w:t>
      </w:r>
      <w:r w:rsidRPr="001F1A36">
        <w:rPr>
          <w:rFonts w:cs="Sylfaen"/>
          <w:b w:val="0"/>
          <w:szCs w:val="22"/>
          <w:lang w:val="hy-AM"/>
        </w:rPr>
        <w:t>, կատարողականի վրա հիմնված ֆինանսավորման մեխանիզմների ներդրում</w:t>
      </w:r>
      <w:r w:rsidRPr="00994F5D">
        <w:rPr>
          <w:rFonts w:cs="Sylfaen"/>
          <w:b w:val="0"/>
          <w:szCs w:val="22"/>
          <w:lang w:val="hy-AM"/>
        </w:rPr>
        <w:t>ը</w:t>
      </w:r>
      <w:r w:rsidRPr="001F1A36">
        <w:rPr>
          <w:rFonts w:cs="Sylfaen"/>
          <w:b w:val="0"/>
          <w:szCs w:val="22"/>
          <w:lang w:val="hy-AM"/>
        </w:rPr>
        <w:t>,</w:t>
      </w:r>
    </w:p>
    <w:p w:rsidR="007A5F0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DD1ABC">
        <w:rPr>
          <w:rFonts w:cs="Sylfaen"/>
          <w:b w:val="0"/>
          <w:szCs w:val="22"/>
          <w:lang w:val="hy-AM"/>
        </w:rPr>
        <w:t>միջազգայնորեն մրցունակ հիմնարար ուսումնասիրությունների, տնտեսության պահանջներից բխող կիրառական հետազոտությունների, ինչպես նաև երկակի նշանակություն ունեցող գիտելիքների ձեռքբերմանն ուղղված գիտահետազոտական աշխատանքների իրականացում</w:t>
      </w:r>
      <w:r w:rsidRPr="00994F5D">
        <w:rPr>
          <w:rFonts w:cs="Sylfaen"/>
          <w:b w:val="0"/>
          <w:szCs w:val="22"/>
          <w:lang w:val="hy-AM"/>
        </w:rPr>
        <w:t>ը</w:t>
      </w:r>
      <w:r w:rsidRPr="00DD1ABC">
        <w:rPr>
          <w:rFonts w:cs="Sylfaen"/>
          <w:b w:val="0"/>
          <w:szCs w:val="22"/>
          <w:lang w:val="hy-AM"/>
        </w:rPr>
        <w:t>,</w:t>
      </w:r>
    </w:p>
    <w:p w:rsidR="007A5F0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DD1ABC">
        <w:rPr>
          <w:rFonts w:cs="Sylfaen"/>
          <w:b w:val="0"/>
          <w:szCs w:val="22"/>
          <w:lang w:val="hy-AM"/>
        </w:rPr>
        <w:t>գիտական կադրերի վերարտադրության արդյունավետ համակարգի ներդրում</w:t>
      </w:r>
      <w:r w:rsidRPr="00994F5D">
        <w:rPr>
          <w:rFonts w:cs="Sylfaen"/>
          <w:b w:val="0"/>
          <w:szCs w:val="22"/>
          <w:lang w:val="hy-AM"/>
        </w:rPr>
        <w:t>ը</w:t>
      </w:r>
      <w:r w:rsidRPr="00DD1ABC">
        <w:rPr>
          <w:rFonts w:cs="Sylfaen"/>
          <w:b w:val="0"/>
          <w:szCs w:val="22"/>
          <w:lang w:val="hy-AM"/>
        </w:rPr>
        <w:t>, գիտության ենթակառուցվածքների արդիականացում</w:t>
      </w:r>
      <w:r w:rsidRPr="00994F5D">
        <w:rPr>
          <w:rFonts w:cs="Sylfaen"/>
          <w:b w:val="0"/>
          <w:szCs w:val="22"/>
          <w:lang w:val="hy-AM"/>
        </w:rPr>
        <w:t>ը</w:t>
      </w:r>
      <w:r w:rsidRPr="00DD1ABC">
        <w:rPr>
          <w:rFonts w:cs="Sylfaen"/>
          <w:b w:val="0"/>
          <w:szCs w:val="22"/>
          <w:lang w:val="hy-AM"/>
        </w:rPr>
        <w:t>,</w:t>
      </w:r>
    </w:p>
    <w:p w:rsidR="007A5F0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DD1ABC">
        <w:rPr>
          <w:rFonts w:cs="Sylfaen"/>
          <w:b w:val="0"/>
          <w:szCs w:val="22"/>
          <w:lang w:val="hy-AM"/>
        </w:rPr>
        <w:t>գիտական, գիտակրթական և գիտատեխնոլոգիական գերազանցության կենտրոնների ստեղծում</w:t>
      </w:r>
      <w:r w:rsidRPr="00994F5D">
        <w:rPr>
          <w:rFonts w:cs="Sylfaen"/>
          <w:b w:val="0"/>
          <w:szCs w:val="22"/>
          <w:lang w:val="hy-AM"/>
        </w:rPr>
        <w:t>ը</w:t>
      </w:r>
      <w:r w:rsidRPr="00DD1ABC">
        <w:rPr>
          <w:rFonts w:cs="Sylfaen"/>
          <w:b w:val="0"/>
          <w:szCs w:val="22"/>
          <w:lang w:val="hy-AM"/>
        </w:rPr>
        <w:t xml:space="preserve">՝ բեկումնային զարգացում ապահովող որոշ տեխնոլոգիական ոլորտներում, </w:t>
      </w:r>
    </w:p>
    <w:p w:rsidR="007A5F0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DD1ABC">
        <w:rPr>
          <w:rFonts w:cs="Sylfaen"/>
          <w:b w:val="0"/>
          <w:szCs w:val="22"/>
          <w:lang w:val="hy-AM"/>
        </w:rPr>
        <w:t>կրթութուն-գիտություն կապի ամրապնդում</w:t>
      </w:r>
      <w:r w:rsidRPr="00994F5D">
        <w:rPr>
          <w:rFonts w:cs="Sylfaen"/>
          <w:b w:val="0"/>
          <w:szCs w:val="22"/>
          <w:lang w:val="hy-AM"/>
        </w:rPr>
        <w:t>ը</w:t>
      </w:r>
      <w:r w:rsidRPr="00DD1ABC">
        <w:rPr>
          <w:rFonts w:cs="Sylfaen"/>
          <w:b w:val="0"/>
          <w:szCs w:val="22"/>
          <w:lang w:val="hy-AM"/>
        </w:rPr>
        <w:t>՝ ձևավորելով բարձրագույն ուսումնական հաստատությունների և գիտական կազմակերպությունների ցանցեր՝ ապահովելով ուսանողների, պրոֆեսորադասախոսական կազմի և գիտաշխատողների ազատ տեղաշարժի իրավունքը ցանցի կազմակերպությունների մեջ</w:t>
      </w:r>
      <w:r w:rsidRPr="00433121">
        <w:rPr>
          <w:rFonts w:cs="Sylfaen"/>
          <w:b w:val="0"/>
          <w:szCs w:val="22"/>
          <w:lang w:val="hy-AM"/>
        </w:rPr>
        <w:t>,</w:t>
      </w:r>
    </w:p>
    <w:p w:rsidR="007A5F0F" w:rsidRPr="00433121"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433121">
        <w:rPr>
          <w:rFonts w:cs="Sylfaen"/>
          <w:b w:val="0"/>
          <w:szCs w:val="22"/>
          <w:lang w:val="hy-AM"/>
        </w:rPr>
        <w:t>հայագիտական հետազոտությունների առաջանցիկ զարգացման ապահովում</w:t>
      </w:r>
      <w:r w:rsidRPr="00994F5D">
        <w:rPr>
          <w:rFonts w:cs="Sylfaen"/>
          <w:b w:val="0"/>
          <w:szCs w:val="22"/>
          <w:lang w:val="hy-AM"/>
        </w:rPr>
        <w:t>ը</w:t>
      </w:r>
      <w:r w:rsidRPr="00433121">
        <w:rPr>
          <w:rFonts w:cs="Sylfaen"/>
          <w:b w:val="0"/>
          <w:szCs w:val="22"/>
          <w:lang w:val="hy-AM"/>
        </w:rPr>
        <w:t>, այդ թվում` միջազգային համագործակցության զարգացում</w:t>
      </w:r>
      <w:r w:rsidRPr="00994F5D">
        <w:rPr>
          <w:rFonts w:cs="Sylfaen"/>
          <w:b w:val="0"/>
          <w:szCs w:val="22"/>
          <w:lang w:val="hy-AM"/>
        </w:rPr>
        <w:t>ը</w:t>
      </w:r>
      <w:r w:rsidRPr="00433121">
        <w:rPr>
          <w:rFonts w:cs="Sylfaen"/>
          <w:b w:val="0"/>
          <w:szCs w:val="22"/>
          <w:lang w:val="hy-AM"/>
        </w:rPr>
        <w:t>:</w:t>
      </w:r>
    </w:p>
    <w:p w:rsidR="007A5F0F" w:rsidRPr="00246339" w:rsidRDefault="007A5F0F" w:rsidP="007730AA">
      <w:pPr>
        <w:tabs>
          <w:tab w:val="left" w:pos="567"/>
        </w:tabs>
        <w:spacing w:before="0" w:line="276" w:lineRule="auto"/>
        <w:ind w:firstLine="720"/>
        <w:contextualSpacing w:val="0"/>
        <w:rPr>
          <w:rFonts w:cs="Sylfaen"/>
          <w:b w:val="0"/>
          <w:szCs w:val="22"/>
          <w:lang w:val="hy-AM"/>
        </w:rPr>
      </w:pPr>
      <w:r w:rsidRPr="00246339">
        <w:rPr>
          <w:rFonts w:cs="Sylfaen"/>
          <w:b w:val="0"/>
          <w:szCs w:val="22"/>
          <w:lang w:val="hy-AM"/>
        </w:rPr>
        <w:t>Վերոնշյալ գերակա խնդիրների լուծմանն ուղղված միջոցառումներն են.</w:t>
      </w:r>
    </w:p>
    <w:p w:rsidR="007A5F0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A13E78">
        <w:rPr>
          <w:rFonts w:cs="Sylfaen"/>
          <w:b w:val="0"/>
          <w:szCs w:val="22"/>
          <w:lang w:val="hy-AM"/>
        </w:rPr>
        <w:t>գիտական և գիտատեխնիկական գործունեության բնագավառում կատարողականի վրա հիմնված պետական ֆինանսավորման մեխանիզմների ներդրում</w:t>
      </w:r>
      <w:r w:rsidRPr="00994F5D">
        <w:rPr>
          <w:rFonts w:cs="Sylfaen"/>
          <w:b w:val="0"/>
          <w:szCs w:val="22"/>
          <w:lang w:val="hy-AM"/>
        </w:rPr>
        <w:t>ը</w:t>
      </w:r>
      <w:r w:rsidRPr="00A13E78">
        <w:rPr>
          <w:rFonts w:cs="Sylfaen"/>
          <w:b w:val="0"/>
          <w:szCs w:val="22"/>
          <w:lang w:val="hy-AM"/>
        </w:rPr>
        <w:t>,</w:t>
      </w:r>
    </w:p>
    <w:p w:rsidR="007A5F0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6E07D5">
        <w:rPr>
          <w:rFonts w:cs="Sylfaen"/>
          <w:b w:val="0"/>
          <w:szCs w:val="22"/>
          <w:lang w:val="hy-AM"/>
        </w:rPr>
        <w:t>գիտության ոլորտի օպտիմալացման և կառուցվածքային բարեփոխումների ծրագրի մշակում</w:t>
      </w:r>
      <w:r w:rsidRPr="00994F5D">
        <w:rPr>
          <w:rFonts w:cs="Sylfaen"/>
          <w:b w:val="0"/>
          <w:szCs w:val="22"/>
          <w:lang w:val="hy-AM"/>
        </w:rPr>
        <w:t>ը</w:t>
      </w:r>
      <w:r w:rsidRPr="006E07D5">
        <w:rPr>
          <w:rFonts w:cs="Sylfaen"/>
          <w:b w:val="0"/>
          <w:szCs w:val="22"/>
          <w:lang w:val="hy-AM"/>
        </w:rPr>
        <w:t xml:space="preserve"> և ներդրում</w:t>
      </w:r>
      <w:r w:rsidRPr="00994F5D">
        <w:rPr>
          <w:rFonts w:cs="Sylfaen"/>
          <w:b w:val="0"/>
          <w:szCs w:val="22"/>
          <w:lang w:val="hy-AM"/>
        </w:rPr>
        <w:t>ը</w:t>
      </w:r>
      <w:r w:rsidRPr="006E07D5">
        <w:rPr>
          <w:rFonts w:cs="Sylfaen"/>
          <w:b w:val="0"/>
          <w:szCs w:val="22"/>
          <w:lang w:val="hy-AM"/>
        </w:rPr>
        <w:t>,</w:t>
      </w:r>
    </w:p>
    <w:p w:rsidR="007A5F0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6E07D5">
        <w:rPr>
          <w:rFonts w:cs="Sylfaen"/>
          <w:b w:val="0"/>
          <w:szCs w:val="22"/>
          <w:lang w:val="hy-AM"/>
        </w:rPr>
        <w:t>տնտեսության պահանջներից բխող հետազոտությունների պատվերների ձևավորման մեխանիզմների մշակում</w:t>
      </w:r>
      <w:r w:rsidRPr="00994F5D">
        <w:rPr>
          <w:rFonts w:cs="Sylfaen"/>
          <w:b w:val="0"/>
          <w:szCs w:val="22"/>
          <w:lang w:val="hy-AM"/>
        </w:rPr>
        <w:t>ը</w:t>
      </w:r>
      <w:r w:rsidRPr="006E07D5">
        <w:rPr>
          <w:rFonts w:cs="Sylfaen"/>
          <w:b w:val="0"/>
          <w:szCs w:val="22"/>
          <w:lang w:val="hy-AM"/>
        </w:rPr>
        <w:t xml:space="preserve"> և ներդրում</w:t>
      </w:r>
      <w:r w:rsidRPr="00994F5D">
        <w:rPr>
          <w:rFonts w:cs="Sylfaen"/>
          <w:b w:val="0"/>
          <w:szCs w:val="22"/>
          <w:lang w:val="hy-AM"/>
        </w:rPr>
        <w:t>ը</w:t>
      </w:r>
      <w:r w:rsidRPr="006E07D5">
        <w:rPr>
          <w:rFonts w:cs="Sylfaen"/>
          <w:b w:val="0"/>
          <w:szCs w:val="22"/>
          <w:lang w:val="hy-AM"/>
        </w:rPr>
        <w:t>,</w:t>
      </w:r>
    </w:p>
    <w:p w:rsidR="007A5F0F" w:rsidRPr="006E07D5"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6E07D5">
        <w:rPr>
          <w:rFonts w:cs="Sylfaen"/>
          <w:b w:val="0"/>
          <w:szCs w:val="22"/>
        </w:rPr>
        <w:t>երկակի նշանակության ծրագրերի իրականացում</w:t>
      </w:r>
      <w:r>
        <w:rPr>
          <w:rFonts w:cs="Sylfaen"/>
          <w:b w:val="0"/>
          <w:szCs w:val="22"/>
          <w:lang w:val="en-US"/>
        </w:rPr>
        <w:t>ը</w:t>
      </w:r>
      <w:r w:rsidRPr="006E07D5">
        <w:rPr>
          <w:rFonts w:cs="Sylfaen"/>
          <w:b w:val="0"/>
          <w:szCs w:val="22"/>
        </w:rPr>
        <w:t>,</w:t>
      </w:r>
    </w:p>
    <w:p w:rsidR="007A5F0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6E07D5">
        <w:rPr>
          <w:rFonts w:cs="Sylfaen"/>
          <w:b w:val="0"/>
          <w:szCs w:val="22"/>
          <w:lang w:val="hy-AM"/>
        </w:rPr>
        <w:t>գիտության ոլորտ</w:t>
      </w:r>
      <w:r w:rsidRPr="00994F5D">
        <w:rPr>
          <w:rFonts w:cs="Sylfaen"/>
          <w:b w:val="0"/>
          <w:szCs w:val="22"/>
          <w:lang w:val="hy-AM"/>
        </w:rPr>
        <w:t>ի</w:t>
      </w:r>
      <w:r w:rsidRPr="006E07D5">
        <w:rPr>
          <w:rFonts w:cs="Sylfaen"/>
          <w:b w:val="0"/>
          <w:szCs w:val="22"/>
          <w:lang w:val="hy-AM"/>
        </w:rPr>
        <w:t xml:space="preserve"> երիտասարդ կադրերի ներգրավման ծրագրի իրականացում</w:t>
      </w:r>
      <w:r w:rsidRPr="00994F5D">
        <w:rPr>
          <w:rFonts w:cs="Sylfaen"/>
          <w:b w:val="0"/>
          <w:szCs w:val="22"/>
          <w:lang w:val="hy-AM"/>
        </w:rPr>
        <w:t>ը</w:t>
      </w:r>
      <w:r w:rsidRPr="006E07D5">
        <w:rPr>
          <w:rFonts w:cs="Sylfaen"/>
          <w:b w:val="0"/>
          <w:szCs w:val="22"/>
          <w:lang w:val="hy-AM"/>
        </w:rPr>
        <w:t>,</w:t>
      </w:r>
    </w:p>
    <w:p w:rsidR="007A5F0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6E07D5">
        <w:rPr>
          <w:rFonts w:cs="Sylfaen"/>
          <w:b w:val="0"/>
          <w:szCs w:val="22"/>
          <w:lang w:val="hy-AM"/>
        </w:rPr>
        <w:t>օտարերկրյա պետություններում աշխատող գիտական և (կամ) գիտակրթական կադրերի վերաինտեգրման ծրագրերի իրականացում</w:t>
      </w:r>
      <w:r w:rsidRPr="00994F5D">
        <w:rPr>
          <w:rFonts w:cs="Sylfaen"/>
          <w:b w:val="0"/>
          <w:szCs w:val="22"/>
          <w:lang w:val="hy-AM"/>
        </w:rPr>
        <w:t>ը</w:t>
      </w:r>
      <w:r w:rsidRPr="006E07D5">
        <w:rPr>
          <w:rFonts w:cs="Sylfaen"/>
          <w:b w:val="0"/>
          <w:szCs w:val="22"/>
          <w:lang w:val="hy-AM"/>
        </w:rPr>
        <w:t>,</w:t>
      </w:r>
    </w:p>
    <w:p w:rsidR="007A5F0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6E07D5">
        <w:rPr>
          <w:rFonts w:cs="Sylfaen"/>
          <w:b w:val="0"/>
          <w:szCs w:val="22"/>
          <w:lang w:val="hy-AM"/>
        </w:rPr>
        <w:t>միջազգային չափանիշներին համապատասխան գիտական հետազոտություններ իրականացնելու պայմանների ձևավորման մեխանիզմների մշակում</w:t>
      </w:r>
      <w:r w:rsidRPr="00994F5D">
        <w:rPr>
          <w:rFonts w:cs="Sylfaen"/>
          <w:b w:val="0"/>
          <w:szCs w:val="22"/>
          <w:lang w:val="hy-AM"/>
        </w:rPr>
        <w:t>ը</w:t>
      </w:r>
      <w:r w:rsidRPr="006E07D5">
        <w:rPr>
          <w:rFonts w:cs="Sylfaen"/>
          <w:b w:val="0"/>
          <w:szCs w:val="22"/>
          <w:lang w:val="hy-AM"/>
        </w:rPr>
        <w:t xml:space="preserve"> և ներդրում</w:t>
      </w:r>
      <w:r w:rsidRPr="00994F5D">
        <w:rPr>
          <w:rFonts w:cs="Sylfaen"/>
          <w:b w:val="0"/>
          <w:szCs w:val="22"/>
          <w:lang w:val="hy-AM"/>
        </w:rPr>
        <w:t>ը</w:t>
      </w:r>
      <w:r w:rsidRPr="006E07D5">
        <w:rPr>
          <w:rFonts w:cs="Sylfaen"/>
          <w:b w:val="0"/>
          <w:szCs w:val="22"/>
          <w:lang w:val="hy-AM"/>
        </w:rPr>
        <w:t>,</w:t>
      </w:r>
    </w:p>
    <w:p w:rsidR="007A5F0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6E07D5">
        <w:rPr>
          <w:rFonts w:cs="Sylfaen"/>
          <w:b w:val="0"/>
          <w:szCs w:val="22"/>
          <w:lang w:val="hy-AM"/>
        </w:rPr>
        <w:t>գիտանորարարական ենթակառուցվածքների ստեղծման աջակցության մեխանիզմներ</w:t>
      </w:r>
      <w:r>
        <w:rPr>
          <w:rFonts w:cs="Sylfaen"/>
          <w:b w:val="0"/>
          <w:szCs w:val="22"/>
          <w:lang w:val="hy-AM"/>
        </w:rPr>
        <w:t>ի</w:t>
      </w:r>
      <w:r w:rsidRPr="006E07D5">
        <w:rPr>
          <w:rFonts w:cs="Sylfaen"/>
          <w:b w:val="0"/>
          <w:szCs w:val="22"/>
          <w:lang w:val="hy-AM"/>
        </w:rPr>
        <w:t xml:space="preserve"> ներդրում</w:t>
      </w:r>
      <w:r w:rsidRPr="00994F5D">
        <w:rPr>
          <w:rFonts w:cs="Sylfaen"/>
          <w:b w:val="0"/>
          <w:szCs w:val="22"/>
          <w:lang w:val="hy-AM"/>
        </w:rPr>
        <w:t>ը</w:t>
      </w:r>
      <w:r w:rsidRPr="006E07D5">
        <w:rPr>
          <w:rFonts w:cs="Sylfaen"/>
          <w:b w:val="0"/>
          <w:szCs w:val="22"/>
          <w:lang w:val="hy-AM"/>
        </w:rPr>
        <w:t>,</w:t>
      </w:r>
    </w:p>
    <w:p w:rsidR="007A5F0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6E07D5">
        <w:rPr>
          <w:rFonts w:cs="Sylfaen"/>
          <w:b w:val="0"/>
          <w:szCs w:val="22"/>
          <w:lang w:val="hy-AM"/>
        </w:rPr>
        <w:t>Եվրոպական հետազոտական տարածքում խելացի մասնագիտացման տիրույթի ձեռքբերմանն ուղղված ծրագրերի իրականացում</w:t>
      </w:r>
      <w:r w:rsidRPr="00994F5D">
        <w:rPr>
          <w:rFonts w:cs="Sylfaen"/>
          <w:b w:val="0"/>
          <w:szCs w:val="22"/>
          <w:lang w:val="hy-AM"/>
        </w:rPr>
        <w:t>ը</w:t>
      </w:r>
      <w:r w:rsidRPr="006E07D5">
        <w:rPr>
          <w:rFonts w:cs="Sylfaen"/>
          <w:b w:val="0"/>
          <w:szCs w:val="22"/>
          <w:lang w:val="hy-AM"/>
        </w:rPr>
        <w:t>,</w:t>
      </w:r>
    </w:p>
    <w:p w:rsidR="007A5F0F" w:rsidRPr="00914F3F" w:rsidRDefault="007A5F0F" w:rsidP="007730AA">
      <w:pPr>
        <w:pStyle w:val="ListParagraph"/>
        <w:numPr>
          <w:ilvl w:val="0"/>
          <w:numId w:val="27"/>
        </w:numPr>
        <w:tabs>
          <w:tab w:val="left" w:pos="450"/>
          <w:tab w:val="left" w:pos="567"/>
        </w:tabs>
        <w:spacing w:before="0" w:line="276" w:lineRule="auto"/>
        <w:ind w:left="0" w:firstLine="720"/>
        <w:contextualSpacing w:val="0"/>
        <w:rPr>
          <w:rFonts w:cs="Sylfaen"/>
          <w:b w:val="0"/>
          <w:szCs w:val="22"/>
          <w:lang w:val="hy-AM"/>
        </w:rPr>
      </w:pPr>
      <w:r w:rsidRPr="00914F3F">
        <w:rPr>
          <w:rFonts w:cs="Sylfaen"/>
          <w:b w:val="0"/>
          <w:szCs w:val="22"/>
          <w:lang w:val="hy-AM"/>
        </w:rPr>
        <w:t>հայագիտական հետազոտությունների առաջանցիկ զարգացման ապահովում</w:t>
      </w:r>
      <w:r w:rsidRPr="00994F5D">
        <w:rPr>
          <w:rFonts w:cs="Sylfaen"/>
          <w:b w:val="0"/>
          <w:szCs w:val="22"/>
          <w:lang w:val="hy-AM"/>
        </w:rPr>
        <w:t>ը</w:t>
      </w:r>
      <w:r w:rsidRPr="00914F3F">
        <w:rPr>
          <w:rFonts w:cs="Sylfaen"/>
          <w:b w:val="0"/>
          <w:szCs w:val="22"/>
          <w:lang w:val="hy-AM"/>
        </w:rPr>
        <w:t>, այդ թվում` միջազգային համագործակցության զարգացման մակարդակի բարձրացում</w:t>
      </w:r>
      <w:r w:rsidRPr="00994F5D">
        <w:rPr>
          <w:rFonts w:cs="Sylfaen"/>
          <w:b w:val="0"/>
          <w:szCs w:val="22"/>
          <w:lang w:val="hy-AM"/>
        </w:rPr>
        <w:t>ը</w:t>
      </w:r>
      <w:r w:rsidRPr="00914F3F">
        <w:rPr>
          <w:rFonts w:cs="Sylfaen"/>
          <w:b w:val="0"/>
          <w:szCs w:val="22"/>
          <w:lang w:val="hy-AM"/>
        </w:rPr>
        <w:t>:</w:t>
      </w:r>
    </w:p>
    <w:p w:rsidR="007A5F0F" w:rsidRPr="00D17D63"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37" w:name="_Toc26174900"/>
      <w:bookmarkStart w:id="38" w:name="_Toc57655429"/>
      <w:r w:rsidRPr="00D17D63">
        <w:rPr>
          <w:rFonts w:cs="Arial"/>
          <w:szCs w:val="22"/>
          <w:lang w:val="hy-AM" w:eastAsia="en-US"/>
        </w:rPr>
        <w:t>Մշակույթ</w:t>
      </w:r>
      <w:bookmarkEnd w:id="37"/>
      <w:bookmarkEnd w:id="38"/>
    </w:p>
    <w:p w:rsidR="007A5F0F" w:rsidRDefault="007A5F0F" w:rsidP="007730AA">
      <w:pPr>
        <w:tabs>
          <w:tab w:val="left" w:pos="450"/>
          <w:tab w:val="left" w:pos="567"/>
        </w:tabs>
        <w:spacing w:before="0" w:line="276" w:lineRule="auto"/>
        <w:ind w:firstLine="720"/>
        <w:contextualSpacing w:val="0"/>
        <w:rPr>
          <w:b w:val="0"/>
          <w:szCs w:val="22"/>
          <w:lang w:val="af-ZA"/>
        </w:rPr>
      </w:pPr>
      <w:r w:rsidRPr="00DE7FBE">
        <w:rPr>
          <w:b w:val="0"/>
          <w:szCs w:val="22"/>
          <w:lang w:val="af-ZA"/>
        </w:rPr>
        <w:t>2021 թվականին մշակութային ժառանգության ծրագրի շրջանակներում կշարունակվեն պահպանության և հանրահռչակման աշխատանքները` ուղղված ՀՀ տարածքում և արտերկրում գտնվող մշակութային արժեքների և պատմամշակութային հուշարձանների հաշվառմանն ու գիտական ուսումնասիրությունների իրականացմանը, մշակութային ժառանգության (նյութական և ոչ նյութական) անխաթար պահպանմանը,  վերականգնմանն ու սերունդներին փոխանցմանը:</w:t>
      </w:r>
    </w:p>
    <w:p w:rsidR="007A5F0F" w:rsidRDefault="007A5F0F" w:rsidP="007730AA">
      <w:pPr>
        <w:tabs>
          <w:tab w:val="left" w:pos="450"/>
          <w:tab w:val="left" w:pos="567"/>
        </w:tabs>
        <w:spacing w:before="0" w:line="276" w:lineRule="auto"/>
        <w:ind w:firstLine="720"/>
        <w:contextualSpacing w:val="0"/>
        <w:rPr>
          <w:b w:val="0"/>
          <w:szCs w:val="22"/>
          <w:lang w:val="af-ZA"/>
        </w:rPr>
      </w:pPr>
      <w:r w:rsidRPr="00DE7FBE">
        <w:rPr>
          <w:b w:val="0"/>
          <w:szCs w:val="22"/>
          <w:lang w:val="af-ZA"/>
        </w:rPr>
        <w:t>Գրահրատարակչության և գրադարանների ծրագրի շրջանակում իրականացվող ծրագրերն ուղղված կլինեն գրականության զարգացմանն ու տարածմանը, տպագիր արտադրանքի միջոցով հոգևոր-մշակութային ժառանգության փոխանցմանը, ՀՀ տարածքում բնակվող ազգային փոքրամասնությունների համար լույս տեսնող լրատվամիջոցների և պարբերականների գործունեության շարունակականությանը, գրքի միջազգային ցուցահանդեսներին մեր երկրի մասնակցությանը, հանրապետական գրական ծրագրերի կազմակերպմանը, ստեղծագործողների և մշակութային հետազոտողների աշխատանքների խթանմանը, գրադարանների հավաքածուների համալրմանն ու պահպանմանը, ժամանակակից տեղեկատվական տեխնոլոգիաների կիրառմամբ գրավոր ժառանգության (անձեռնմխելի հավաքածուներ) թվայնացմանը, տեղեկատվական շտեմարանների շարունակական զարգացմանը, գրադարանային հավաքածուների օգտագործման մատչելիության ապահովմանը, ոլորտի մասնագետների վերապատրաստմանը, միջազգային համագործակցության ընդլայնմանը, մատենագիտական տվյալների կազմմանն ու հրապարակմանը, հանրությանը մատուցվող ծառայությունների որակի բարձրացմանը:</w:t>
      </w:r>
    </w:p>
    <w:p w:rsidR="007A5F0F" w:rsidRDefault="007A5F0F" w:rsidP="007730AA">
      <w:pPr>
        <w:tabs>
          <w:tab w:val="left" w:pos="450"/>
          <w:tab w:val="left" w:pos="567"/>
        </w:tabs>
        <w:spacing w:before="0" w:line="276" w:lineRule="auto"/>
        <w:ind w:firstLine="720"/>
        <w:contextualSpacing w:val="0"/>
        <w:rPr>
          <w:b w:val="0"/>
          <w:szCs w:val="22"/>
          <w:lang w:val="af-ZA"/>
        </w:rPr>
      </w:pPr>
      <w:r w:rsidRPr="00DE7FBE">
        <w:rPr>
          <w:b w:val="0"/>
          <w:szCs w:val="22"/>
          <w:lang w:val="af-ZA"/>
        </w:rPr>
        <w:t>Կինեմատոգրաֆիայի ծրագրի շրջանակներում իրականացվող գործընթացներն ուղղված կլինեն խաղարկային, մուլտիպլիկացիոն և վավերագրական կինոնկարների արտադրության աջակցմանը, կինո-ֆոտո-ֆոնո հավաքածուի պահպանմանը, կինոարվեստի պրոպագանդմանը, տարածմանը, մատչելիության ապահովմանը, հայկական կինոյի ավանդույթների շարունակականության ապահովմանը:</w:t>
      </w:r>
    </w:p>
    <w:p w:rsidR="007A5F0F" w:rsidRDefault="007A5F0F" w:rsidP="007730AA">
      <w:pPr>
        <w:tabs>
          <w:tab w:val="left" w:pos="450"/>
          <w:tab w:val="left" w:pos="567"/>
        </w:tabs>
        <w:spacing w:before="0" w:line="276" w:lineRule="auto"/>
        <w:ind w:firstLine="720"/>
        <w:contextualSpacing w:val="0"/>
        <w:rPr>
          <w:b w:val="0"/>
          <w:szCs w:val="22"/>
          <w:lang w:val="af-ZA"/>
        </w:rPr>
      </w:pPr>
      <w:r w:rsidRPr="00DE7FBE">
        <w:rPr>
          <w:b w:val="0"/>
          <w:szCs w:val="22"/>
          <w:lang w:val="af-ZA"/>
        </w:rPr>
        <w:t xml:space="preserve">Արվեստների ծրագրի շրջանակներում իրականացվող ծրագրերը նպատակաուղղված կլինեն ազգային արժեհամակարգի հիման վրա ստեղծված հայ ժամանակակից թատերարվեստի, երաժշտարվեստի, պարարվեստի և կերպարվեստի զարգացմանն ու միջազգային ասպարեզում հանրահռչակմանը, ստեղծագործական և գեղարվեստական բարձր նշաձողի պահպանմամբ և հանրության տարբեր շերտերի մշակութային պահանջարկին համապատասխան մշակութային արտադրանքի և ծառայությունների մատուցման գործընթացի ապահովմանը, մշակութային ենթակառուցվածքների արդիականացմանը, մշակութային ծառայությունների որակի բարելավմանն ու մատչելիության ապահովմանը,  ստեղծագործական ներուժ ունեցող անհատների  դրսևորմանը և նրանց գործունեության համար բարենպաստ դաշտի ստեղծմանը, նորարարական մտահղացումների խթանմանը, երիտասարդ ստեղծագործողներին միջազգային մշակութային գործընթացներին ինտեգրման աջակցմանը, ոլորտում գործող ստեղծագործական միությունների և հասարակական կազմակերպությունների հետ համագործակցության ընդլայնմանը և մրցակցային դաշտի ձևավորմանը: </w:t>
      </w:r>
    </w:p>
    <w:p w:rsidR="007A5F0F" w:rsidRDefault="007A5F0F" w:rsidP="007730AA">
      <w:pPr>
        <w:tabs>
          <w:tab w:val="left" w:pos="450"/>
          <w:tab w:val="left" w:pos="567"/>
        </w:tabs>
        <w:spacing w:before="0" w:line="276" w:lineRule="auto"/>
        <w:ind w:firstLine="720"/>
        <w:contextualSpacing w:val="0"/>
        <w:rPr>
          <w:b w:val="0"/>
          <w:szCs w:val="22"/>
          <w:lang w:val="af-ZA"/>
        </w:rPr>
      </w:pPr>
      <w:r w:rsidRPr="00DE7FBE">
        <w:rPr>
          <w:b w:val="0"/>
          <w:szCs w:val="22"/>
          <w:lang w:val="af-ZA"/>
        </w:rPr>
        <w:t>Մշակութային և գեղագիտական դաստիարակության ծրագիրը նպատակաուղղված է կադրերի պատրաստման պետպատվերի համակարգի կատարելագործմանը, մշակութային կրթության որակի բարձրացմանը, մասնագետների կրթության շարունակականության և մատչելիության ապահովմանը, ՀՀ ապագա քաղաքացիների գեղագիտական դաստիարակության ձևավորմանը նպաստող ծրագրերի իրականացմանը, ներառական ծրագրերի աջակցմանը, մանկապատանեկան տարիքի երեխաների, կրթության իրականացման պայմանների մատչելիության և որակի ապահովմանը</w:t>
      </w:r>
      <w:r>
        <w:rPr>
          <w:b w:val="0"/>
          <w:szCs w:val="22"/>
          <w:lang w:val="hy-AM"/>
        </w:rPr>
        <w:t>։</w:t>
      </w:r>
      <w:r w:rsidRPr="00DE7FBE">
        <w:rPr>
          <w:b w:val="0"/>
          <w:szCs w:val="22"/>
          <w:lang w:val="af-ZA"/>
        </w:rPr>
        <w:t xml:space="preserve"> </w:t>
      </w:r>
    </w:p>
    <w:p w:rsidR="007A5F0F" w:rsidRDefault="007A5F0F" w:rsidP="007730AA">
      <w:pPr>
        <w:tabs>
          <w:tab w:val="left" w:pos="450"/>
          <w:tab w:val="left" w:pos="567"/>
        </w:tabs>
        <w:spacing w:before="0" w:line="276" w:lineRule="auto"/>
        <w:ind w:firstLine="720"/>
        <w:contextualSpacing w:val="0"/>
        <w:rPr>
          <w:b w:val="0"/>
          <w:szCs w:val="22"/>
          <w:lang w:val="af-ZA"/>
        </w:rPr>
      </w:pPr>
      <w:r w:rsidRPr="00DE7FBE">
        <w:rPr>
          <w:b w:val="0"/>
          <w:szCs w:val="22"/>
          <w:lang w:val="af-ZA"/>
        </w:rPr>
        <w:t>Մարզերի մշակութային զարգացման ծրագրի շրջանակներում իրականացվող գործընթացներն ուղղված կլինեն մարզերում մշակութային կյանքի և մշակութաստեղծ գործունեության ակտիվացմանը, համայնքներում մշակույթի հասանելիության և մշակութային կյանքին մարզային բնակչության ընդգրկվածության ընդլայնմանը, մշակութային միջոցառումների կազմակերպմանն ու իրականացմանը, մշակույթի և ազատ ժամանցի կազմակերպմանը, համայնքային ենթակայության մշակույթի տներում և կենտրոններում  ստեղծագործական ծրագրերի և նախագծերի աջակցմանը:</w:t>
      </w:r>
    </w:p>
    <w:p w:rsidR="007A5F0F" w:rsidRPr="009C714E" w:rsidRDefault="007A5F0F" w:rsidP="007730AA">
      <w:pPr>
        <w:tabs>
          <w:tab w:val="left" w:pos="450"/>
          <w:tab w:val="left" w:pos="567"/>
        </w:tabs>
        <w:spacing w:before="0" w:line="276" w:lineRule="auto"/>
        <w:ind w:firstLine="720"/>
        <w:contextualSpacing w:val="0"/>
        <w:rPr>
          <w:b w:val="0"/>
          <w:szCs w:val="22"/>
          <w:lang w:val="af-ZA"/>
        </w:rPr>
      </w:pPr>
      <w:r w:rsidRPr="00DE7FBE">
        <w:rPr>
          <w:b w:val="0"/>
          <w:szCs w:val="22"/>
          <w:lang w:val="af-ZA"/>
        </w:rPr>
        <w:t>Ազգային արխիվի ծրագրի շրջանակներում իրականացվող գործընթացները նպատակաուղղված են ՀՀ ազգային արխիվային հավաքածուի պահպանության, համալրմանը, հաշվառմանը, արխիվային փաստաթղթերի վերանորոգմանը, փաստաթղթերի գիտատեխնիկական մշակմանը, ՀՀ արխիվային հավաքածուի փաստաթղթերի թվայնացման աշխատանքների իրականացմանը, ֆիլմերի թվայնացմանը, նորագույն տեղեկատվական տեխնոլոգիաների կիրառմամբ տեղեկությունների էլեկտրոնային շտեմարանի ստեղծման աշխատանքների իրականացմանը, հանրության կողմից արխիվային նյութերի օգտագործման ապահովմանը:</w:t>
      </w:r>
    </w:p>
    <w:p w:rsidR="007A5F0F" w:rsidRDefault="007A5F0F" w:rsidP="007730AA">
      <w:pPr>
        <w:keepNext/>
        <w:tabs>
          <w:tab w:val="left" w:pos="567"/>
        </w:tabs>
        <w:spacing w:before="0" w:line="276" w:lineRule="auto"/>
        <w:ind w:firstLine="720"/>
        <w:contextualSpacing w:val="0"/>
        <w:outlineLvl w:val="2"/>
        <w:rPr>
          <w:rFonts w:cs="Sylfaen"/>
          <w:b w:val="0"/>
          <w:bCs/>
          <w:szCs w:val="22"/>
          <w:lang w:val="af-ZA" w:eastAsia="en-US"/>
        </w:rPr>
      </w:pPr>
      <w:bookmarkStart w:id="39" w:name="_Toc26174901"/>
      <w:bookmarkStart w:id="40" w:name="_Toc57655430"/>
      <w:r w:rsidRPr="00162F93">
        <w:rPr>
          <w:rFonts w:cs="Arial"/>
          <w:szCs w:val="22"/>
          <w:lang w:val="hy-AM" w:eastAsia="en-US"/>
        </w:rPr>
        <w:t>Սպորտ</w:t>
      </w:r>
      <w:bookmarkEnd w:id="39"/>
      <w:bookmarkEnd w:id="40"/>
    </w:p>
    <w:p w:rsidR="007A5F0F" w:rsidRDefault="007A5F0F" w:rsidP="007730AA">
      <w:pPr>
        <w:pStyle w:val="BodyText2"/>
        <w:ind w:left="0" w:firstLine="720"/>
        <w:rPr>
          <w:rFonts w:cs="Sylfaen"/>
          <w:bCs/>
        </w:rPr>
      </w:pPr>
      <w:r w:rsidRPr="00162F93">
        <w:t>Մեծ նվաճումների սպորտի ծրագրի շրջանակում կշարունակվեն օլիմպիական հերթափոխի և բարձրակարգ մարզիկների պատրաստման, բնակչության ֆիզիկական դաստիարակության ապահովման, Հայաստանի Հանրապետությունում գործող մանկապատանեկան մարզադպրոցներում աշխատող մարզիչ-մանկավարժների վերապատրաստման, ֆիզկուլտուրային-առողջարարական զանգվածային, հանրապետական և մարզային միջոցառումների անցկացման, հաշմանդամային սպորտին, մարզական-հասարակական կազմակերպություններին պետական աջակցության գործընթացները:</w:t>
      </w:r>
    </w:p>
    <w:p w:rsidR="007A5F0F" w:rsidRDefault="007A5F0F" w:rsidP="007730AA">
      <w:pPr>
        <w:pStyle w:val="BodyText2"/>
        <w:ind w:left="0" w:firstLine="720"/>
      </w:pPr>
      <w:r w:rsidRPr="00162F93">
        <w:t>Մասսայական սպորտին ուղղված միջոցառումների շրջանակում կշարունակվեն ֆիզիկական կուլտուրայի և սպորտի ոլորտի իրավական դաշտի կատարելագործումը, ՀՀ մարզերում և ԱՀ-ում հանրապետական մարզական փառատոնների նախազորակոչային և զորակոչային տարիքի երիտասարդության հանրապետական ռազմամարզական, հանրապետական ուսանողական մարզական, ՀՀ գյուղական մարզական, տարեցների հանրապետական խաղերի կազմակերպումը:</w:t>
      </w:r>
    </w:p>
    <w:p w:rsidR="00BD3F6A" w:rsidRDefault="007A5F0F" w:rsidP="007730AA">
      <w:pPr>
        <w:keepNext/>
        <w:tabs>
          <w:tab w:val="left" w:pos="567"/>
        </w:tabs>
        <w:spacing w:before="0" w:line="276" w:lineRule="auto"/>
        <w:ind w:firstLine="720"/>
        <w:contextualSpacing w:val="0"/>
        <w:outlineLvl w:val="2"/>
        <w:rPr>
          <w:rFonts w:cs="Sylfaen"/>
          <w:szCs w:val="22"/>
          <w:lang w:val="af-ZA" w:eastAsia="en-US"/>
        </w:rPr>
      </w:pPr>
      <w:bookmarkStart w:id="41" w:name="_Toc57655431"/>
      <w:r w:rsidRPr="00A46992">
        <w:rPr>
          <w:rFonts w:cs="Sylfaen"/>
          <w:szCs w:val="22"/>
          <w:lang w:val="af-ZA" w:eastAsia="en-US"/>
        </w:rPr>
        <w:t>Երիտասարդություն</w:t>
      </w:r>
      <w:bookmarkEnd w:id="41"/>
    </w:p>
    <w:p w:rsidR="007A5F0F" w:rsidRPr="00BD3F6A" w:rsidRDefault="007A5F0F" w:rsidP="007730AA">
      <w:pPr>
        <w:pStyle w:val="BodyText2"/>
        <w:ind w:left="0" w:firstLine="720"/>
      </w:pPr>
      <w:r w:rsidRPr="00B806F1">
        <w:t>Երիտասարդության</w:t>
      </w:r>
      <w:r w:rsidRPr="00BD3F6A">
        <w:t xml:space="preserve"> </w:t>
      </w:r>
      <w:r w:rsidRPr="00B806F1">
        <w:t>հարցերի</w:t>
      </w:r>
      <w:r w:rsidRPr="00BD3F6A">
        <w:t xml:space="preserve"> </w:t>
      </w:r>
      <w:r w:rsidRPr="00B806F1">
        <w:t>ոլորտում</w:t>
      </w:r>
      <w:r w:rsidRPr="00BD3F6A">
        <w:t xml:space="preserve"> </w:t>
      </w:r>
      <w:r w:rsidRPr="00B806F1">
        <w:t>կառավարության</w:t>
      </w:r>
      <w:r w:rsidRPr="00BD3F6A">
        <w:t xml:space="preserve"> </w:t>
      </w:r>
      <w:r w:rsidRPr="00B806F1">
        <w:t>կողմից</w:t>
      </w:r>
      <w:r w:rsidRPr="00BD3F6A">
        <w:t xml:space="preserve"> </w:t>
      </w:r>
      <w:r w:rsidRPr="00B806F1">
        <w:t>վարվող</w:t>
      </w:r>
      <w:r w:rsidRPr="00BD3F6A">
        <w:t xml:space="preserve"> </w:t>
      </w:r>
      <w:r w:rsidRPr="00B806F1">
        <w:t>պետական</w:t>
      </w:r>
      <w:r w:rsidRPr="00BD3F6A">
        <w:t xml:space="preserve"> </w:t>
      </w:r>
      <w:r w:rsidRPr="00B806F1">
        <w:t>քաղաքականությունը</w:t>
      </w:r>
      <w:r w:rsidRPr="00BD3F6A">
        <w:t xml:space="preserve"> </w:t>
      </w:r>
      <w:r w:rsidRPr="00B806F1">
        <w:t>միտված</w:t>
      </w:r>
      <w:r w:rsidRPr="00BD3F6A">
        <w:t xml:space="preserve"> </w:t>
      </w:r>
      <w:r w:rsidRPr="00B806F1">
        <w:t>է</w:t>
      </w:r>
      <w:r w:rsidRPr="00BD3F6A">
        <w:t xml:space="preserve"> </w:t>
      </w:r>
      <w:r w:rsidRPr="00B806F1">
        <w:t>հասարակական</w:t>
      </w:r>
      <w:r w:rsidRPr="00BD3F6A">
        <w:t>-</w:t>
      </w:r>
      <w:r w:rsidRPr="00B806F1">
        <w:t>քաղաքական</w:t>
      </w:r>
      <w:r w:rsidRPr="00BD3F6A">
        <w:t xml:space="preserve"> </w:t>
      </w:r>
      <w:r w:rsidRPr="00B806F1">
        <w:t>զարգացումներին</w:t>
      </w:r>
      <w:r w:rsidRPr="00BD3F6A">
        <w:t xml:space="preserve"> </w:t>
      </w:r>
      <w:r w:rsidRPr="00B806F1">
        <w:t>նրանց</w:t>
      </w:r>
      <w:r w:rsidRPr="00BD3F6A">
        <w:t xml:space="preserve"> </w:t>
      </w:r>
      <w:r w:rsidRPr="00B806F1">
        <w:t>մասնակցության</w:t>
      </w:r>
      <w:r w:rsidRPr="00BD3F6A">
        <w:t xml:space="preserve"> </w:t>
      </w:r>
      <w:r w:rsidRPr="00B806F1">
        <w:t>աստիճանի</w:t>
      </w:r>
      <w:r w:rsidRPr="00BD3F6A">
        <w:t xml:space="preserve"> </w:t>
      </w:r>
      <w:r w:rsidRPr="00B806F1">
        <w:t>բարձրացմանը</w:t>
      </w:r>
      <w:r w:rsidRPr="00BD3F6A">
        <w:t xml:space="preserve">, </w:t>
      </w:r>
      <w:r w:rsidRPr="00B806F1">
        <w:t>երիտասարդության</w:t>
      </w:r>
      <w:r w:rsidRPr="00BD3F6A">
        <w:t xml:space="preserve"> </w:t>
      </w:r>
      <w:r w:rsidRPr="00B806F1">
        <w:t>գործունեությունն</w:t>
      </w:r>
      <w:r w:rsidRPr="00BD3F6A">
        <w:t xml:space="preserve"> </w:t>
      </w:r>
      <w:r w:rsidRPr="00B806F1">
        <w:t>ապահովող</w:t>
      </w:r>
      <w:r w:rsidRPr="00BD3F6A">
        <w:t xml:space="preserve"> </w:t>
      </w:r>
      <w:r w:rsidRPr="00B806F1">
        <w:t>իրավական</w:t>
      </w:r>
      <w:r w:rsidRPr="00BD3F6A">
        <w:t xml:space="preserve"> </w:t>
      </w:r>
      <w:r w:rsidRPr="00B806F1">
        <w:t>դաշտի</w:t>
      </w:r>
      <w:r w:rsidRPr="00BD3F6A">
        <w:t xml:space="preserve"> </w:t>
      </w:r>
      <w:r w:rsidRPr="00B806F1">
        <w:t>բարելավմանը</w:t>
      </w:r>
      <w:r w:rsidRPr="00BD3F6A">
        <w:t xml:space="preserve">, </w:t>
      </w:r>
      <w:r w:rsidRPr="00B806F1">
        <w:t>երիտասարդության</w:t>
      </w:r>
      <w:r w:rsidRPr="00BD3F6A">
        <w:t xml:space="preserve"> </w:t>
      </w:r>
      <w:r w:rsidRPr="00B806F1">
        <w:t>շրջանում</w:t>
      </w:r>
      <w:r w:rsidRPr="00BD3F6A">
        <w:t xml:space="preserve"> </w:t>
      </w:r>
      <w:r w:rsidRPr="00B806F1">
        <w:t>հոգևոր</w:t>
      </w:r>
      <w:r w:rsidRPr="00BD3F6A">
        <w:t>-</w:t>
      </w:r>
      <w:r w:rsidRPr="00B806F1">
        <w:t>մշակութային</w:t>
      </w:r>
      <w:r w:rsidRPr="00BD3F6A">
        <w:t xml:space="preserve"> </w:t>
      </w:r>
      <w:r w:rsidRPr="00B806F1">
        <w:t>դաստիարակության</w:t>
      </w:r>
      <w:r w:rsidRPr="00BD3F6A">
        <w:t xml:space="preserve"> </w:t>
      </w:r>
      <w:r w:rsidRPr="00B806F1">
        <w:t>խթանմանը</w:t>
      </w:r>
      <w:r w:rsidRPr="00BD3F6A">
        <w:t xml:space="preserve">, </w:t>
      </w:r>
      <w:r w:rsidRPr="00B806F1">
        <w:t>գիտության</w:t>
      </w:r>
      <w:r w:rsidRPr="00BD3F6A">
        <w:t xml:space="preserve"> </w:t>
      </w:r>
      <w:r w:rsidRPr="00B806F1">
        <w:t>ոլորտում</w:t>
      </w:r>
      <w:r w:rsidRPr="00BD3F6A">
        <w:t xml:space="preserve"> </w:t>
      </w:r>
      <w:r w:rsidRPr="00B806F1">
        <w:t>երիտասարդների</w:t>
      </w:r>
      <w:r w:rsidRPr="00BD3F6A">
        <w:t xml:space="preserve"> </w:t>
      </w:r>
      <w:r w:rsidRPr="00B806F1">
        <w:t>ընդգրկվածության</w:t>
      </w:r>
      <w:r w:rsidRPr="00BD3F6A">
        <w:t xml:space="preserve"> </w:t>
      </w:r>
      <w:r w:rsidRPr="00B806F1">
        <w:t>մակարդակի</w:t>
      </w:r>
      <w:r w:rsidRPr="00BD3F6A">
        <w:t xml:space="preserve"> </w:t>
      </w:r>
      <w:r w:rsidRPr="00B806F1">
        <w:t>բարձրացմանը</w:t>
      </w:r>
      <w:r w:rsidRPr="00BD3F6A">
        <w:t xml:space="preserve">, </w:t>
      </w:r>
      <w:r w:rsidRPr="00B806F1">
        <w:t>ազատ</w:t>
      </w:r>
      <w:r w:rsidRPr="00BD3F6A">
        <w:t xml:space="preserve"> </w:t>
      </w:r>
      <w:r w:rsidRPr="00B806F1">
        <w:t>ժամանցի</w:t>
      </w:r>
      <w:r w:rsidRPr="00BD3F6A">
        <w:t xml:space="preserve"> </w:t>
      </w:r>
      <w:r w:rsidRPr="00B806F1">
        <w:t>ակտիվ</w:t>
      </w:r>
      <w:r w:rsidRPr="00BD3F6A">
        <w:t xml:space="preserve"> </w:t>
      </w:r>
      <w:r w:rsidRPr="00B806F1">
        <w:t>և</w:t>
      </w:r>
      <w:r w:rsidRPr="00BD3F6A">
        <w:t xml:space="preserve"> </w:t>
      </w:r>
      <w:r w:rsidRPr="00B806F1">
        <w:t>նպատակային</w:t>
      </w:r>
      <w:r w:rsidRPr="00BD3F6A">
        <w:t xml:space="preserve"> </w:t>
      </w:r>
      <w:r w:rsidRPr="00B806F1">
        <w:t>կազմակերպմանը</w:t>
      </w:r>
      <w:r w:rsidRPr="00BD3F6A">
        <w:t xml:space="preserve">, </w:t>
      </w:r>
      <w:r w:rsidRPr="00B806F1">
        <w:t>առկա</w:t>
      </w:r>
      <w:r w:rsidRPr="00BD3F6A">
        <w:t xml:space="preserve"> </w:t>
      </w:r>
      <w:r w:rsidRPr="00B806F1">
        <w:t>սոցիալ</w:t>
      </w:r>
      <w:r w:rsidRPr="00BD3F6A">
        <w:t>-</w:t>
      </w:r>
      <w:r w:rsidRPr="00B806F1">
        <w:t>տնտեսական</w:t>
      </w:r>
      <w:r w:rsidRPr="00BD3F6A">
        <w:t xml:space="preserve"> </w:t>
      </w:r>
      <w:r w:rsidRPr="00B806F1">
        <w:t>հիմնախնդիրների</w:t>
      </w:r>
      <w:r w:rsidRPr="00BD3F6A">
        <w:t xml:space="preserve"> </w:t>
      </w:r>
      <w:r w:rsidRPr="00B806F1">
        <w:t>ուսումնասիրմանը</w:t>
      </w:r>
      <w:r w:rsidRPr="00BD3F6A">
        <w:t xml:space="preserve"> </w:t>
      </w:r>
      <w:r w:rsidRPr="00B806F1">
        <w:t>և</w:t>
      </w:r>
      <w:r w:rsidRPr="00BD3F6A">
        <w:t xml:space="preserve"> </w:t>
      </w:r>
      <w:r w:rsidRPr="00B806F1">
        <w:t>երիտասարդների</w:t>
      </w:r>
      <w:r w:rsidRPr="00BD3F6A">
        <w:t xml:space="preserve"> </w:t>
      </w:r>
      <w:r w:rsidRPr="00B806F1">
        <w:t>կենսապայմանների</w:t>
      </w:r>
      <w:r w:rsidRPr="00BD3F6A">
        <w:t xml:space="preserve"> </w:t>
      </w:r>
      <w:r w:rsidRPr="00B806F1">
        <w:t>բարելավմանը</w:t>
      </w:r>
      <w:r w:rsidRPr="00BD3F6A">
        <w:t xml:space="preserve">, </w:t>
      </w:r>
      <w:r w:rsidRPr="00B806F1">
        <w:t>տաղանդավոր</w:t>
      </w:r>
      <w:r w:rsidRPr="00BD3F6A">
        <w:t xml:space="preserve"> </w:t>
      </w:r>
      <w:r w:rsidRPr="00B806F1">
        <w:t>երիտասարդների</w:t>
      </w:r>
      <w:r w:rsidRPr="00BD3F6A">
        <w:t xml:space="preserve"> </w:t>
      </w:r>
      <w:r w:rsidRPr="00B806F1">
        <w:t>հայտնաբերմանը</w:t>
      </w:r>
      <w:r w:rsidRPr="00BD3F6A">
        <w:t xml:space="preserve"> </w:t>
      </w:r>
      <w:r w:rsidRPr="00B806F1">
        <w:t>և</w:t>
      </w:r>
      <w:r w:rsidRPr="00BD3F6A">
        <w:t xml:space="preserve"> </w:t>
      </w:r>
      <w:r w:rsidRPr="00B806F1">
        <w:t>խրախուսմանը</w:t>
      </w:r>
      <w:r w:rsidRPr="00BD3F6A">
        <w:t xml:space="preserve">, </w:t>
      </w:r>
      <w:r w:rsidRPr="00B806F1">
        <w:t>երիտասարդության</w:t>
      </w:r>
      <w:r w:rsidRPr="00BD3F6A">
        <w:t xml:space="preserve"> </w:t>
      </w:r>
      <w:r w:rsidRPr="00B806F1">
        <w:t>շրջանում</w:t>
      </w:r>
      <w:r w:rsidRPr="00BD3F6A">
        <w:t xml:space="preserve"> </w:t>
      </w:r>
      <w:r w:rsidRPr="00B806F1">
        <w:t>հայրենասիրական</w:t>
      </w:r>
      <w:r w:rsidRPr="00BD3F6A">
        <w:t xml:space="preserve"> </w:t>
      </w:r>
      <w:r w:rsidRPr="00B806F1">
        <w:t>դաստիարակության</w:t>
      </w:r>
      <w:r w:rsidRPr="00BD3F6A">
        <w:t xml:space="preserve"> </w:t>
      </w:r>
      <w:r w:rsidRPr="00B806F1">
        <w:t>խթանմանը</w:t>
      </w:r>
      <w:r w:rsidRPr="00BD3F6A">
        <w:t xml:space="preserve">, </w:t>
      </w:r>
      <w:r w:rsidRPr="00B806F1">
        <w:t>քաղաքացիական</w:t>
      </w:r>
      <w:r w:rsidRPr="00BD3F6A">
        <w:t xml:space="preserve"> </w:t>
      </w:r>
      <w:r w:rsidRPr="00B806F1">
        <w:t>գիտակցության</w:t>
      </w:r>
      <w:r w:rsidRPr="00BD3F6A">
        <w:t xml:space="preserve"> </w:t>
      </w:r>
      <w:r w:rsidRPr="00B806F1">
        <w:t>բարձրացմանը</w:t>
      </w:r>
      <w:r w:rsidRPr="00BD3F6A">
        <w:t xml:space="preserve">, </w:t>
      </w:r>
      <w:r w:rsidRPr="00B806F1">
        <w:t>միջազգային</w:t>
      </w:r>
      <w:r w:rsidRPr="00BD3F6A">
        <w:t xml:space="preserve"> </w:t>
      </w:r>
      <w:r w:rsidRPr="00B806F1">
        <w:t>երիտասարդական</w:t>
      </w:r>
      <w:r w:rsidRPr="00BD3F6A">
        <w:t xml:space="preserve"> </w:t>
      </w:r>
      <w:r w:rsidRPr="00B806F1">
        <w:t>կառույցների</w:t>
      </w:r>
      <w:r w:rsidRPr="00BD3F6A">
        <w:t xml:space="preserve"> </w:t>
      </w:r>
      <w:r w:rsidRPr="00B806F1">
        <w:t>հետ</w:t>
      </w:r>
      <w:r w:rsidRPr="00BD3F6A">
        <w:t xml:space="preserve"> </w:t>
      </w:r>
      <w:r w:rsidRPr="00B806F1">
        <w:t>համագործակցության</w:t>
      </w:r>
      <w:r w:rsidRPr="00BD3F6A">
        <w:t xml:space="preserve"> </w:t>
      </w:r>
      <w:r w:rsidRPr="00B806F1">
        <w:t>ընդլայնմանը</w:t>
      </w:r>
      <w:r w:rsidRPr="00BD3F6A">
        <w:t xml:space="preserve">, </w:t>
      </w:r>
      <w:r w:rsidRPr="00B806F1">
        <w:t>երիտասարդությանը</w:t>
      </w:r>
      <w:r w:rsidRPr="00BD3F6A">
        <w:t xml:space="preserve"> </w:t>
      </w:r>
      <w:r w:rsidRPr="00B806F1">
        <w:t>լիակատար</w:t>
      </w:r>
      <w:r w:rsidRPr="00BD3F6A">
        <w:t xml:space="preserve"> </w:t>
      </w:r>
      <w:r w:rsidRPr="00B806F1">
        <w:t>ինքնադրսևորման</w:t>
      </w:r>
      <w:r w:rsidRPr="00BD3F6A">
        <w:t xml:space="preserve"> </w:t>
      </w:r>
      <w:r w:rsidRPr="00B806F1">
        <w:t>և</w:t>
      </w:r>
      <w:r w:rsidRPr="00BD3F6A">
        <w:t xml:space="preserve"> </w:t>
      </w:r>
      <w:r w:rsidRPr="00B806F1">
        <w:t>անհրաժեշտ</w:t>
      </w:r>
      <w:r w:rsidRPr="00BD3F6A">
        <w:t xml:space="preserve"> </w:t>
      </w:r>
      <w:r w:rsidRPr="00B806F1">
        <w:t>տեղեկատվությամբ</w:t>
      </w:r>
      <w:r w:rsidRPr="00BD3F6A">
        <w:t xml:space="preserve"> </w:t>
      </w:r>
      <w:r w:rsidRPr="00B806F1">
        <w:t>ապահովմանը</w:t>
      </w:r>
      <w:r w:rsidRPr="00BD3F6A">
        <w:t>:</w:t>
      </w:r>
    </w:p>
    <w:p w:rsidR="007A5F0F"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42" w:name="_Toc26174902"/>
      <w:bookmarkStart w:id="43" w:name="_Toc57655432"/>
      <w:r w:rsidRPr="001B5ACB">
        <w:rPr>
          <w:rFonts w:cs="Arial"/>
          <w:szCs w:val="22"/>
          <w:lang w:val="hy-AM" w:eastAsia="en-US"/>
        </w:rPr>
        <w:t>Առողջապահություն</w:t>
      </w:r>
      <w:bookmarkEnd w:id="42"/>
      <w:bookmarkEnd w:id="43"/>
    </w:p>
    <w:p w:rsidR="007A5F0F" w:rsidRDefault="007A5F0F" w:rsidP="007730AA">
      <w:pPr>
        <w:pStyle w:val="BodyText2"/>
        <w:ind w:left="0" w:firstLine="720"/>
        <w:rPr>
          <w:rFonts w:cs="Arial"/>
        </w:rPr>
      </w:pPr>
      <w:r w:rsidRPr="006914BE">
        <w:t>Բնակչության առողջության պահպանման և բարելավման հիմնախնդիրները դիտարկվում են որպես պետության կայուն զարգացումը պայմանավորող հիմնական գործոններից և ազգային անվտանգության ապահովման առաջնահերթություններից մեկը: Առողջապահության ոլորտի գործունեության բարելավման և զարգացման քաղաքականությ</w:t>
      </w:r>
      <w:r>
        <w:t xml:space="preserve">ունը որդեգրել </w:t>
      </w:r>
      <w:r w:rsidRPr="006914BE">
        <w:t>է ապահովել յուրաքանչյուր քաղաքացու առողջության պահպանման սահմանադրական իրավունքը` բուժօգնության տրամադրման հավասարություն</w:t>
      </w:r>
      <w:r>
        <w:t>ը</w:t>
      </w:r>
      <w:r w:rsidRPr="006914BE">
        <w:t>, արդարություն</w:t>
      </w:r>
      <w:r>
        <w:t>ը</w:t>
      </w:r>
      <w:r w:rsidRPr="006914BE">
        <w:t>, մատչելիություն</w:t>
      </w:r>
      <w:r>
        <w:t>ը</w:t>
      </w:r>
      <w:r w:rsidRPr="006914BE">
        <w:t>, բժշկական օգնության որակի ապահովում</w:t>
      </w:r>
      <w:r>
        <w:t>ը</w:t>
      </w:r>
      <w:r w:rsidRPr="006914BE">
        <w:t xml:space="preserve">: </w:t>
      </w:r>
    </w:p>
    <w:p w:rsidR="007A5F0F" w:rsidRDefault="007A5F0F" w:rsidP="007730AA">
      <w:pPr>
        <w:pStyle w:val="BodyText2"/>
        <w:ind w:left="0" w:firstLine="720"/>
        <w:rPr>
          <w:rFonts w:cs="Arial"/>
        </w:rPr>
      </w:pPr>
      <w:r w:rsidRPr="006914BE">
        <w:t xml:space="preserve">Ոլորտում իրականացվող քաղաքականությունն ուղղված է լինելու հանրային առողջապահական ծառայությունների հզորացմանը, հիվանդությունների կանխարգելմանը, առողջ կենսակերպի համար պայմանների ստեղծմանը: </w:t>
      </w:r>
    </w:p>
    <w:p w:rsidR="007A5F0F" w:rsidRDefault="007A5F0F" w:rsidP="007730AA">
      <w:pPr>
        <w:pStyle w:val="BodyText2"/>
        <w:ind w:left="0" w:firstLine="720"/>
      </w:pPr>
      <w:r w:rsidRPr="006914BE">
        <w:t>Պետական առողջապահական ծախսերի նպա</w:t>
      </w:r>
      <w:r>
        <w:t>տակայնության հետևողական բարձրաց</w:t>
      </w:r>
      <w:r w:rsidRPr="006914BE">
        <w:t>ման, հատկացվող ֆինանսական միջոցների վերահսկման և մատուցվող ծառայությունների որակի կառավարման գործուն մեխանիզմների շարունակական բարելավման շնորհիվ առողջապահական համակարգի շահառուն ստիպված չի լինի հավելյալ վճարել պետության կողմից անվճար և արտոնյալ պայմաններով մատուցվող ծառայությունների համար և կստանա որակյալ բժշկական օգնություն և ծառայություններ: Անվճար բժշկական օգնությունը պետք է տրամադրվի միայն սոցիալական արդարության սկզբունքի հիման վրա: Միաժամանակ պետությունը պետք է կանգնած լինի անհետաձգելի բժշկական օգնության կարիք ունեցող ցանկացած մարդու կողքին:</w:t>
      </w:r>
    </w:p>
    <w:p w:rsidR="007A5F0F" w:rsidRDefault="007A5F0F" w:rsidP="007730AA">
      <w:pPr>
        <w:pStyle w:val="BodyText2"/>
        <w:ind w:left="0" w:firstLine="720"/>
        <w:rPr>
          <w:rFonts w:cs="Arial"/>
        </w:rPr>
      </w:pPr>
      <w:r w:rsidRPr="006914BE">
        <w:t xml:space="preserve">Առողջության առաջնային պահպանման, մոր և մանկան առողջապահական, վերարտադրողական առողջության պահպանման ծառայությունները լինելու են պետության առաջնահերթությունը: </w:t>
      </w:r>
    </w:p>
    <w:p w:rsidR="007A5F0F" w:rsidRDefault="007A5F0F" w:rsidP="007730AA">
      <w:pPr>
        <w:pStyle w:val="BodyText2"/>
        <w:ind w:left="0" w:firstLine="720"/>
        <w:rPr>
          <w:rFonts w:cs="Arial"/>
        </w:rPr>
      </w:pPr>
      <w:r w:rsidRPr="006914BE">
        <w:t xml:space="preserve">Հանրային առողջապահական ծառայությունների հզորացման ոլորտում </w:t>
      </w:r>
      <w:r>
        <w:t>ՀՀ</w:t>
      </w:r>
      <w:r w:rsidRPr="006914BE">
        <w:t xml:space="preserve"> կառավարությունն ապահովելու է հանրային առողջապահության միասնական պետական քաղաքականության մշակումը և իրականացումը, օրենսդրական դաշտի բարելավումը, վարակիչ և ոչ վարակիչ հիվանդությունների առաջացման և տարածման պատճառների ուսումնասիրությունը և դրանց կանխարգելմանն ուղղված միջոցառումների իրականացումը: Բնակչության հիգիենիկ և հակահամաճարակային անվտանգության բնագավառում տարվող քաղաքականության հիմնական նպատակն է բնակչության սանիտարահամաճարակային անվտանգության ապահովումը, մարդու օրգանիզմի վրա շրջակա միջավայրի վնասակար ու վտանգավոր գործոնների ազդեցության նվազեցումը` սանիտարահամաճարակային կանոնների և նորմերի, հիգիենիկ նորմատիվների պահանջների կատարման նկատմամբ վերահսկողության միջոցով: </w:t>
      </w:r>
    </w:p>
    <w:p w:rsidR="007A5F0F" w:rsidRDefault="007A5F0F" w:rsidP="007730AA">
      <w:pPr>
        <w:pStyle w:val="BodyText2"/>
        <w:ind w:left="0" w:firstLine="720"/>
        <w:rPr>
          <w:rFonts w:cs="Arial"/>
        </w:rPr>
      </w:pPr>
      <w:r w:rsidRPr="006914BE">
        <w:t>Շարունակվելու են աշխատանքները հանրային առողջության համար վտանգ ներկայացնող իրավիճակներին արձագանքման կատարելագործման, համընդհանուր լաբորատոր ցանցի և լաբորատոր համակարգի շարունակական զարգացման, առողջ ապրելակերպի քարոզչության, աշխատողների առողջության պահպանման հիմնական կանոնների ու նորմերի սահմանման և կիրառման ուղղություններով:</w:t>
      </w:r>
    </w:p>
    <w:p w:rsidR="007A5F0F" w:rsidRDefault="007A5F0F" w:rsidP="007730AA">
      <w:pPr>
        <w:pStyle w:val="BodyText2"/>
        <w:ind w:left="0" w:firstLine="720"/>
        <w:rPr>
          <w:rFonts w:cs="Arial"/>
        </w:rPr>
      </w:pPr>
      <w:r w:rsidRPr="006914BE">
        <w:t xml:space="preserve">Արտահիվանդանոցային և հիվանդանոցային առողջապահական ծառայությունների որակի, մատչելիության, հասանելիության ապահովման ոլորտում բժշկական օգնության կազմակերպման որակի բարձրացման առումով` բժշկական ծառայությունների որակի կառավարման նպատակով փուլ առ փուլ ներդրվելու են ապացուցողական բժշկության վրա հիմնված բժշկական օգնության տրամադրման չափորոշիչները: </w:t>
      </w:r>
    </w:p>
    <w:p w:rsidR="007A5F0F" w:rsidRDefault="007A5F0F" w:rsidP="007730AA">
      <w:pPr>
        <w:pStyle w:val="BodyText2"/>
        <w:ind w:left="0" w:firstLine="720"/>
        <w:rPr>
          <w:rFonts w:cs="Arial"/>
        </w:rPr>
      </w:pPr>
      <w:r w:rsidRPr="006914BE">
        <w:t xml:space="preserve">Առողջության առաջնային պահպանման ծառայություններ մատուցող բժշկի (տեղամասային թերապևտ, մանկաբույժ, ընտանեկան բժիշկ) գործառույթները առավելագույնս ուղղվելու են հիվանդությունների կանխարգելմանն ու վաղ հայտնաբերմանը: </w:t>
      </w:r>
    </w:p>
    <w:p w:rsidR="007A5F0F" w:rsidRDefault="007A5F0F" w:rsidP="007730AA">
      <w:pPr>
        <w:pStyle w:val="BodyText2"/>
        <w:ind w:left="0" w:firstLine="720"/>
        <w:rPr>
          <w:rFonts w:cs="Arial"/>
        </w:rPr>
      </w:pPr>
      <w:r w:rsidRPr="006914BE">
        <w:t xml:space="preserve">Մոր ու մանկան առողջության պահպանման ծառայությունների բարելավման ոլորտում կառավարությունը նպաստելու է մոր և մանկան առողջության ցուցանիշների բարելավմանը` ուղղորդված առողջապահական ծրագրային միջոցառումների իրականացման միջոցով ապահովելու է մոր ու մանկան առողջության առաջնային պահպանման համակարգում կանխարգելիչ ծրագրային ուղղությունների ուժեղացումը: </w:t>
      </w:r>
    </w:p>
    <w:p w:rsidR="007A5F0F" w:rsidRDefault="007A5F0F" w:rsidP="007730AA">
      <w:pPr>
        <w:pStyle w:val="BodyText2"/>
        <w:ind w:left="0" w:firstLine="720"/>
        <w:rPr>
          <w:rFonts w:cs="Arial"/>
        </w:rPr>
      </w:pPr>
      <w:r w:rsidRPr="006914BE">
        <w:t xml:space="preserve">Առողջապահական կադրային ներուժի ապահովման ոլորտում իրականացվելու են աշխատանքներ բուժաշխատողների մասնագիտական գիտելիքների և հմտությունների շարունակական բարելավման ուղղությամբ: Ներդրվելու են մեխանիզմներ առողջապահական կադրային ներուժի տարածքային օպտիմալ բաշխման, մարզային առողջապահական կազմակերպությունները որակյալ կադրերով ապահովելու և բժշկի աշխատանքը մարզում հնարավորինս խրախուսելու համար: </w:t>
      </w:r>
    </w:p>
    <w:p w:rsidR="007A5F0F" w:rsidRDefault="007A5F0F" w:rsidP="007730AA">
      <w:pPr>
        <w:pStyle w:val="BodyText2"/>
        <w:ind w:left="0" w:firstLine="720"/>
        <w:rPr>
          <w:rFonts w:cs="Arial"/>
        </w:rPr>
      </w:pPr>
      <w:r w:rsidRPr="006914BE">
        <w:t xml:space="preserve">Դեղերի անվտանգության, արդյունավետության և որակի ապահովման ոլորտում աշխատանքներ կիրականացվեն հանրապետությունում անվտանգ, արդյունավետ, որակյալ և մատչելի դեղեր ունենալու ուղղությամբ` դեղային ազգային քաղաքականության մշակման, դեղերի շրջանառության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դեղարտադրության խրախուսման միջոցով: </w:t>
      </w:r>
    </w:p>
    <w:p w:rsidR="007A5F0F" w:rsidRDefault="007A5F0F" w:rsidP="007730AA">
      <w:pPr>
        <w:pStyle w:val="BodyText2"/>
        <w:ind w:left="0" w:firstLine="720"/>
        <w:rPr>
          <w:rFonts w:cs="Arial"/>
        </w:rPr>
      </w:pPr>
      <w:r w:rsidRPr="006914BE">
        <w:t>Շարունակվելու են լրացուցիչ միջոցներ ուղղվել պետության կողմից երաշխավորված անվճար բժշկական օգնության և սպասարկման շրջանակներում կյանք փրկող գլխուղեղի սուր և/կամ ենթասուր իշեմիկ կաթվածների թրոմբոլիտիկ բուժման և մեխանիկական թրոմբէկտոմիա ծառայության զարգացմանը:</w:t>
      </w:r>
    </w:p>
    <w:p w:rsidR="007A5F0F" w:rsidRDefault="007A5F0F" w:rsidP="007730AA">
      <w:pPr>
        <w:pStyle w:val="BodyText2"/>
        <w:ind w:left="0" w:firstLine="720"/>
        <w:rPr>
          <w:rFonts w:cs="Arial"/>
        </w:rPr>
      </w:pPr>
      <w:r w:rsidRPr="006914BE">
        <w:t>Վարակիչ և ոչ վարակիչ հիվանդությունների կանխարգելումը ռազմավարական մեկ այլ կարևոր նպատակ է, որի շրջանակներում ապահովվելու է առավել տարածված ոչ վարակիչ հի-վանդությունների վաղ հայտնաբերման, ախտորոշման ու կանխարգելման ճանապարհով բնակչության առողջության հիմնական ցուցանիշների բարելավում և այդ հիվանդությունների բարդությունների, հաշմանդամության և մահացության ցուցանիշների կրճատում, ինչպես նաև վարակիչ հիվանդություններով հիվանդացության նվազեցում, կառավարելի վարակիչ հիվան-դություններից մահվան դեպքերի կանխում և վարակիչ հիվանդությունների նկատմամբ բնակչության անընկալության ապահովում:</w:t>
      </w:r>
    </w:p>
    <w:p w:rsidR="007A5F0F" w:rsidRDefault="007A5F0F" w:rsidP="007730AA">
      <w:pPr>
        <w:pStyle w:val="BodyText2"/>
        <w:ind w:left="0" w:firstLine="720"/>
        <w:rPr>
          <w:rFonts w:cs="Arial"/>
        </w:rPr>
      </w:pPr>
      <w:r>
        <w:t>Կառավար</w:t>
      </w:r>
      <w:r w:rsidRPr="006914BE">
        <w:t>ության հիմնական խնդիրներից է հանրապետությունում ուռուցքաբանական ծառայությունների շարունակական բարելավումը: Ուռուցքաբանական վիրահատությունների գների վերանայման, ճառագայթային բուժման դեպքերի, քիմիաթերապիայի դեղերի ցանկի ընդլայնման և պետության կողմից երաշխավորված անվճար պալիատիվ ծառայության ներդրման միջոցով ուռուցքաբանական հիվանդություններով հիվանդ քաղաքացիներին մատուցվելու են որակյալ բժշկական օգնության և սպասարկման ծառայություններ, միաժամանակ վերջիններիս «փրկելով» հիվանդության բուժման հետ կապված կործանարար ծախսեր կատարելու վտանգներից:</w:t>
      </w:r>
    </w:p>
    <w:p w:rsidR="007A5F0F" w:rsidRPr="00B2481A" w:rsidRDefault="007A5F0F" w:rsidP="007730AA">
      <w:pPr>
        <w:pStyle w:val="BodyText2"/>
        <w:ind w:left="0" w:firstLine="720"/>
        <w:rPr>
          <w:rFonts w:cs="Arial"/>
        </w:rPr>
      </w:pPr>
      <w:r w:rsidRPr="006914BE">
        <w:t>Նախատեսվում է նոր տեխնոլոգիաների կիրառմամբ իրականացնել մարդու օրգանների (երիկամ) և ոսկրածուծի/ցողունային բջիջների փոխպատվաստման ծառայություններ, որոնք կբարելավեն քրոնիկ երիկամային անբավարությամբ և արյան չարորակ հիվանդություններով տառապող անձանց կյանքի որակը և ապրելիության ցուցանիշը:</w:t>
      </w:r>
    </w:p>
    <w:p w:rsidR="007A5F0F" w:rsidRPr="00FC544C" w:rsidRDefault="007A5F0F" w:rsidP="007730AA">
      <w:pPr>
        <w:keepNext/>
        <w:tabs>
          <w:tab w:val="left" w:pos="567"/>
        </w:tabs>
        <w:spacing w:before="0" w:line="276" w:lineRule="auto"/>
        <w:ind w:firstLine="720"/>
        <w:contextualSpacing w:val="0"/>
        <w:outlineLvl w:val="2"/>
        <w:rPr>
          <w:rFonts w:ascii="Arial" w:hAnsi="Arial" w:cs="Arial"/>
          <w:b w:val="0"/>
          <w:szCs w:val="22"/>
          <w:lang w:val="hy-AM" w:eastAsia="en-US"/>
        </w:rPr>
      </w:pPr>
      <w:bookmarkStart w:id="44" w:name="_Toc26174903"/>
      <w:bookmarkStart w:id="45" w:name="_Toc57655433"/>
      <w:r w:rsidRPr="00FC544C">
        <w:rPr>
          <w:rFonts w:cs="Arial"/>
          <w:szCs w:val="22"/>
          <w:lang w:val="hy-AM" w:eastAsia="en-US"/>
        </w:rPr>
        <w:t>Աշխատանք և սոցիալական պաշտպանություն</w:t>
      </w:r>
      <w:bookmarkEnd w:id="44"/>
      <w:bookmarkEnd w:id="45"/>
    </w:p>
    <w:p w:rsidR="00292E7F" w:rsidRPr="00FC544C" w:rsidRDefault="00292E7F" w:rsidP="007730AA">
      <w:pPr>
        <w:spacing w:before="0" w:line="276" w:lineRule="auto"/>
        <w:ind w:firstLine="720"/>
        <w:rPr>
          <w:rFonts w:ascii="Arial" w:eastAsia="Calibri" w:hAnsi="Arial" w:cs="Arial"/>
          <w:b w:val="0"/>
          <w:szCs w:val="22"/>
          <w:lang w:val="hy-AM" w:eastAsia="en-US"/>
        </w:rPr>
      </w:pPr>
      <w:bookmarkStart w:id="46" w:name="_Toc26174904"/>
      <w:r w:rsidRPr="00FC544C">
        <w:rPr>
          <w:rFonts w:eastAsia="Calibri"/>
          <w:bCs/>
          <w:noProof/>
          <w:szCs w:val="22"/>
          <w:lang w:val="hy-AM" w:eastAsia="en-US"/>
        </w:rPr>
        <w:t>Աշխատանքի և սոցիալական պաշտպանության ոլորտում</w:t>
      </w:r>
      <w:r w:rsidRPr="00FC544C">
        <w:rPr>
          <w:rFonts w:eastAsia="Calibri"/>
          <w:b w:val="0"/>
          <w:noProof/>
          <w:szCs w:val="22"/>
          <w:lang w:val="hy-AM" w:eastAsia="en-US"/>
        </w:rPr>
        <w:t xml:space="preserve"> 2021 թվականին կառավարության համար գերակա վերջնական արդյունք է հանդիսա</w:t>
      </w:r>
      <w:r w:rsidR="004534BE" w:rsidRPr="00FC544C">
        <w:rPr>
          <w:rFonts w:eastAsia="Calibri"/>
          <w:b w:val="0"/>
          <w:noProof/>
          <w:szCs w:val="22"/>
          <w:lang w:val="hy-AM" w:eastAsia="en-US"/>
        </w:rPr>
        <w:t>ն</w:t>
      </w:r>
      <w:r w:rsidRPr="00FC544C">
        <w:rPr>
          <w:rFonts w:eastAsia="Calibri"/>
          <w:b w:val="0"/>
          <w:noProof/>
          <w:szCs w:val="22"/>
          <w:lang w:val="hy-AM" w:eastAsia="en-US"/>
        </w:rPr>
        <w:t>ալու պետական միջոցների շրջանակում շահառուներին մատուցվող ծառայությունների շարունակականության ապահովումը` խրախուսելով ծառայությունների հասարակական կազմակերպություններին մրցութային եղանակով պատվիրակումը, շահառուներին մատուցվող ծառայությունների որակի բարելավումը, ծառայությունների ապաինստիտուցիոնալացման գործընթացի համատեքստում համայնքային այլընտրանքային ծառայությունների ընդլայնումը` ներգրավելով համայնքի ներուժը:</w:t>
      </w:r>
    </w:p>
    <w:p w:rsidR="00292E7F" w:rsidRPr="00FC544C" w:rsidRDefault="00292E7F" w:rsidP="007730AA">
      <w:pPr>
        <w:spacing w:before="0" w:line="276" w:lineRule="auto"/>
        <w:ind w:firstLine="720"/>
        <w:rPr>
          <w:rFonts w:ascii="Arial" w:eastAsia="Calibri" w:hAnsi="Arial" w:cs="Arial"/>
          <w:b w:val="0"/>
          <w:szCs w:val="22"/>
          <w:lang w:val="hy-AM" w:eastAsia="en-US"/>
        </w:rPr>
      </w:pPr>
      <w:r w:rsidRPr="00FC544C">
        <w:rPr>
          <w:rFonts w:eastAsia="Calibri"/>
          <w:bCs/>
          <w:noProof/>
          <w:szCs w:val="22"/>
          <w:lang w:val="hy-AM" w:eastAsia="en-US"/>
        </w:rPr>
        <w:t>Ժողովրդագրության և ընտանիքի սոցիալական երաշխիքների բնագավառում</w:t>
      </w:r>
      <w:r w:rsidRPr="00FC544C">
        <w:rPr>
          <w:rFonts w:eastAsia="Calibri"/>
          <w:b w:val="0"/>
          <w:noProof/>
          <w:szCs w:val="22"/>
          <w:lang w:val="hy-AM" w:eastAsia="en-US"/>
        </w:rPr>
        <w:t xml:space="preserve"> 2021 թվականին նախատեսվում է պետական նպաստների քաղաքականության մեջ շարունակել ընտանիքների անապահովության գնահատման ծրագրի հասցեականության բարձրացմանն ուղղված միջոցառումների իրականացումը, մասնավորապես՝ առցանց եղանակով ստացվող անհրաժեշտ տվյալների շրջանակի հնարավոր ընդլայնումը, համադրումներ տարբեր տեղեկատվական բազաների տվյալների հետ` նպաստառության ոչ ենթակա ընտանիքների հայտնաբերման նպատակով: Քննարկվում են ընտանիքների անապահովության գնահատման կարգում նոր բնութագրիչների ներառման, դրանց կիրառման հետ կապված հարցադրումների, ինչպես նաև համակարգի հասցեականության և արդյունավետության բարձրացման ու նպաստառուների համար կայուն եկամտի ստեղծմանն ուղղված քայլերի մշակման ու ներդրման հարցերը: </w:t>
      </w:r>
    </w:p>
    <w:p w:rsidR="00292E7F" w:rsidRPr="00FC544C" w:rsidRDefault="00292E7F" w:rsidP="007730AA">
      <w:pPr>
        <w:spacing w:before="0" w:line="276" w:lineRule="auto"/>
        <w:ind w:firstLine="720"/>
        <w:rPr>
          <w:rFonts w:ascii="Arial" w:eastAsia="Calibri" w:hAnsi="Arial" w:cs="Arial"/>
          <w:b w:val="0"/>
          <w:szCs w:val="22"/>
          <w:lang w:val="hy-AM" w:eastAsia="en-US"/>
        </w:rPr>
      </w:pPr>
      <w:r w:rsidRPr="00FC544C">
        <w:rPr>
          <w:rFonts w:eastAsia="Calibri"/>
          <w:b w:val="0"/>
          <w:noProof/>
          <w:szCs w:val="22"/>
          <w:lang w:val="hy-AM" w:eastAsia="en-US"/>
        </w:rPr>
        <w:t>2021 թվականին հաշվի առնելով ընտանիքի կենսամակարդակի բարձրացմանն ուղղված նպաստի գծով երեխաներին սոցիալական աջակցություն տրամադրելու առաջնահերթության սկզբունքը` հաշվարկներում կանխատեսվել է, որ ընտանիքների մոտ 75%-ը կկազմեն երեխա ունեցող ընտանիքները: ՀՀ վիճակագրական կոմիտեի 2018 թվականի տնային տնտեսությունների կենսամակարդակի ամբողջացված հետազոտության տվյալների համաձայն, եթե հանրապետությունում 2018 թվականին չիրականացվեր ընտանեկան նպաստի ծրագիրը, ապա ծայրահեղ աղքատությունը կավելանար շուրջ 3.6 անգամ` կազմելով 3.6%՝ փաստացի 1.0%-ի դիմաց և աղքատության մակարդակը` 25.8%՝ փաստացի 23.5%-ի դիմաց:</w:t>
      </w:r>
    </w:p>
    <w:p w:rsidR="00292E7F" w:rsidRPr="00FC544C" w:rsidRDefault="00292E7F" w:rsidP="007730AA">
      <w:pPr>
        <w:spacing w:before="0" w:line="276" w:lineRule="auto"/>
        <w:ind w:firstLine="720"/>
        <w:rPr>
          <w:rFonts w:ascii="Arial" w:eastAsia="Calibri" w:hAnsi="Arial" w:cs="Arial"/>
          <w:b w:val="0"/>
          <w:szCs w:val="22"/>
          <w:lang w:val="hy-AM" w:eastAsia="en-US"/>
        </w:rPr>
      </w:pPr>
      <w:r w:rsidRPr="00FC544C">
        <w:rPr>
          <w:rFonts w:eastAsia="Calibri"/>
          <w:b w:val="0"/>
          <w:noProof/>
          <w:szCs w:val="22"/>
          <w:lang w:val="hy-AM" w:eastAsia="en-US"/>
        </w:rPr>
        <w:t xml:space="preserve">Ընթացքի մեջ է ինտեգրված սոցիալական ծառայությունների համակարգի ներդրումը. շարունակվելու են հանրապետության մնացած տարածաշրջաններում համալիր սոցիալական ծառայությունների տարածքային կենտրոնների համար հատկացված շինությունների վերանորոգման ու վերազինման աշխատանքները: </w:t>
      </w:r>
    </w:p>
    <w:p w:rsidR="00292E7F" w:rsidRPr="00FC544C" w:rsidRDefault="00292E7F" w:rsidP="007730AA">
      <w:pPr>
        <w:spacing w:before="0" w:line="276" w:lineRule="auto"/>
        <w:ind w:firstLine="720"/>
        <w:rPr>
          <w:rFonts w:ascii="Arial" w:eastAsia="Calibri" w:hAnsi="Arial" w:cs="Arial"/>
          <w:b w:val="0"/>
          <w:szCs w:val="22"/>
          <w:lang w:val="hy-AM" w:eastAsia="en-US"/>
        </w:rPr>
      </w:pPr>
      <w:r w:rsidRPr="00FC544C">
        <w:rPr>
          <w:rFonts w:eastAsia="Calibri"/>
          <w:b w:val="0"/>
          <w:noProof/>
          <w:szCs w:val="22"/>
          <w:lang w:val="hy-AM" w:eastAsia="en-US"/>
        </w:rPr>
        <w:t>Ներկայում շարունակվում են սոցիալական դեպքի վարման գործառնական հենքի ձևավորման, ինչպես նաև տեղեկատվական համակարգի կատարելագործման աշխատանքները: Ինտեգրված սոցիալական ծառայությունների համակարգի ներդրման գործընթացում կարևորվում է համագործակցության ապահովման միջոցով աշխատանքների իրականացումը, և այդ համակարգի հիմնական բաղադրիչներից են միջգերատեսչական սոցիալական համագործակցության կողմերը և ոչ պետական կազմակերպությունները: Շարունակվելու են սոցիալական աջակցության տարածքային մարմինների և համագործակցող կողմերի ներկայացուցիչների վերապատրաստման, անհրաժեշտ հմտությունների և ունակությունների ուսուցման ծրագրերը:</w:t>
      </w:r>
    </w:p>
    <w:p w:rsidR="00292E7F" w:rsidRPr="00FC544C" w:rsidRDefault="00292E7F" w:rsidP="007730AA">
      <w:pPr>
        <w:spacing w:before="0" w:line="276" w:lineRule="auto"/>
        <w:ind w:firstLine="720"/>
        <w:rPr>
          <w:rFonts w:ascii="Arial" w:eastAsia="Calibri" w:hAnsi="Arial" w:cs="Arial"/>
          <w:b w:val="0"/>
          <w:szCs w:val="22"/>
          <w:lang w:val="hy-AM" w:eastAsia="en-US"/>
        </w:rPr>
      </w:pPr>
      <w:r w:rsidRPr="00FC544C">
        <w:rPr>
          <w:rFonts w:eastAsia="Calibri"/>
          <w:b w:val="0"/>
          <w:noProof/>
          <w:szCs w:val="22"/>
          <w:lang w:val="hy-AM" w:eastAsia="en-US"/>
        </w:rPr>
        <w:t xml:space="preserve">Շարունակվելու են սոցիալապես անապահով և հատուկ խմբերին դասված անձանց կացարանի խնդրի լուծման նպատակով սոցիալական բնակարանային ֆոնդի ձևավորման, կացարանի և այլ սոցիալական ծառայությունների տրամադրման հասցեական </w:t>
      </w:r>
      <w:r w:rsidRPr="00FC544C">
        <w:rPr>
          <w:rFonts w:eastAsia="Calibri" w:cs="Sylfaen"/>
          <w:b w:val="0"/>
          <w:szCs w:val="22"/>
          <w:lang w:val="hy-AM" w:eastAsia="en-US"/>
        </w:rPr>
        <w:t>միջոցառումների</w:t>
      </w:r>
      <w:r w:rsidRPr="00FC544C">
        <w:rPr>
          <w:rFonts w:eastAsia="Calibri"/>
          <w:b w:val="0"/>
          <w:noProof/>
          <w:szCs w:val="22"/>
          <w:lang w:val="hy-AM" w:eastAsia="en-US"/>
        </w:rPr>
        <w:t xml:space="preserve"> իրականացման աշխատանքները:</w:t>
      </w:r>
    </w:p>
    <w:p w:rsidR="00292E7F" w:rsidRPr="00FC544C" w:rsidRDefault="00292E7F" w:rsidP="007730AA">
      <w:pPr>
        <w:spacing w:before="0" w:line="276" w:lineRule="auto"/>
        <w:ind w:firstLine="720"/>
        <w:rPr>
          <w:rFonts w:ascii="Arial" w:eastAsia="Calibri" w:hAnsi="Arial" w:cs="Arial"/>
          <w:b w:val="0"/>
          <w:szCs w:val="22"/>
          <w:lang w:val="hy-AM" w:eastAsia="en-US"/>
        </w:rPr>
      </w:pPr>
      <w:r w:rsidRPr="00FC544C">
        <w:rPr>
          <w:rFonts w:eastAsia="Calibri"/>
          <w:b w:val="0"/>
          <w:noProof/>
          <w:szCs w:val="22"/>
          <w:lang w:val="hy-AM" w:eastAsia="en-US"/>
        </w:rPr>
        <w:t>2021 թվականին շարունակվելու է «Երեխա ունեցող ընտանիքների բնակարանային ապահովության 2020-2023 թվականների պետական աջակցության ծրագրերի» իրականացումը, որի հիմնական նպատակն է աջակցել երեխա ունեցող ընտանիքների բնակարանային պայմանների բարելավմանը՝ համապատասխան պայմաններ ապահովելով ընտանիքների կայուն զարգացման համար, ինչպես նաև խթանել երեխա ունեցող ընտանիքների բնակարանային պայմանների բարելավման գործընթացը մարզային բնակավայրերում։</w:t>
      </w:r>
    </w:p>
    <w:p w:rsidR="00292E7F" w:rsidRPr="00FC544C" w:rsidRDefault="00292E7F" w:rsidP="007730AA">
      <w:pPr>
        <w:spacing w:before="0" w:line="276" w:lineRule="auto"/>
        <w:ind w:firstLine="720"/>
        <w:rPr>
          <w:rFonts w:ascii="Arial" w:eastAsia="Calibri" w:hAnsi="Arial" w:cs="Arial"/>
          <w:b w:val="0"/>
          <w:szCs w:val="22"/>
          <w:lang w:val="hy-AM" w:eastAsia="en-US"/>
        </w:rPr>
      </w:pPr>
      <w:r w:rsidRPr="00FC544C">
        <w:rPr>
          <w:rFonts w:eastAsia="Calibri"/>
          <w:bCs/>
          <w:noProof/>
          <w:szCs w:val="22"/>
          <w:lang w:val="hy-AM" w:eastAsia="en-US"/>
        </w:rPr>
        <w:t>Աշխատանքի և զբաղվածության բնագավառում</w:t>
      </w:r>
      <w:r w:rsidRPr="00FC544C">
        <w:rPr>
          <w:rFonts w:eastAsia="Calibri"/>
          <w:b w:val="0"/>
          <w:noProof/>
          <w:szCs w:val="22"/>
          <w:lang w:val="hy-AM" w:eastAsia="en-US"/>
        </w:rPr>
        <w:t xml:space="preserve"> 2021 թվականին պետական քաղաքականությունը կշարունակվի ուղղվել աշխատաշուկայի լարվածությունը մեղմելուն, զբաղվածության ակտիվ ծրագրերի միջոցով աշխատաշուկայում անմրցունակ անձանց, ըստ առաջնահերթությունների, կայուն զբաղվածության ապահովմանը և ինքնազբաղվածության խթանմանը, աշխատանք փնտրողների, հատկապես` հաշմանդամություն ունեցող անձանց, երիտասարդների զբաղվածության մակարդակի բարձրացմանը, կայուն զբաղվածություն ապահովող պետական ծրագրերին գործատուների շահագրգիռ ներգրավվածության խթանմանը, գործատուների կողմից ներկայացված թափուր աշխատատեղերը որակյալ մասնագետներով համալրելուն, ինտեգրված սոցիալական ծառայությունների տրամադրման շրջանակներում աշխատաշուկայում անմրցունակ խմբերի արդյունավետ և կայուն զբաղվածության ապահովմանը, ինչպես նաև սոցիալ-աշխատանքային հարաբերությունները կարգավորող իրավական դրույթների համապատասխանեցմանը Հայաստանի Հանրապետության կողմից ստանձնած միջազգային պարտավորություններին: Այս համատեքստում առանձնապես կարևորվում են`</w:t>
      </w:r>
    </w:p>
    <w:p w:rsidR="00292E7F" w:rsidRPr="00FC544C" w:rsidRDefault="00292E7F" w:rsidP="007730AA">
      <w:pPr>
        <w:numPr>
          <w:ilvl w:val="0"/>
          <w:numId w:val="50"/>
        </w:numPr>
        <w:tabs>
          <w:tab w:val="left" w:pos="360"/>
          <w:tab w:val="left" w:pos="567"/>
        </w:tabs>
        <w:spacing w:before="0" w:line="276" w:lineRule="auto"/>
        <w:ind w:left="0" w:firstLine="720"/>
        <w:contextualSpacing w:val="0"/>
        <w:rPr>
          <w:rFonts w:eastAsia="Calibri" w:cs="Sylfaen"/>
          <w:b w:val="0"/>
          <w:noProof/>
          <w:szCs w:val="22"/>
          <w:lang w:val="hy-AM"/>
        </w:rPr>
      </w:pPr>
      <w:r w:rsidRPr="00FC544C">
        <w:rPr>
          <w:rFonts w:eastAsia="Calibri" w:cs="Sylfaen"/>
          <w:b w:val="0"/>
          <w:noProof/>
          <w:szCs w:val="22"/>
          <w:lang w:val="hy-AM"/>
        </w:rPr>
        <w:t>զբաղվածության կարգավորման պետական ծրագրերի հասցեականության մեծացմանը և կառավարման արդյունավետության բարձրացմանն ուղղված միջացառումների իրականացումը,</w:t>
      </w:r>
    </w:p>
    <w:p w:rsidR="00292E7F" w:rsidRPr="00FC544C" w:rsidRDefault="00292E7F" w:rsidP="007730AA">
      <w:pPr>
        <w:numPr>
          <w:ilvl w:val="0"/>
          <w:numId w:val="50"/>
        </w:numPr>
        <w:tabs>
          <w:tab w:val="left" w:pos="360"/>
          <w:tab w:val="left" w:pos="567"/>
        </w:tabs>
        <w:spacing w:before="0" w:line="276" w:lineRule="auto"/>
        <w:ind w:left="0" w:firstLine="720"/>
        <w:contextualSpacing w:val="0"/>
        <w:rPr>
          <w:rFonts w:eastAsia="Calibri" w:cs="Sylfaen"/>
          <w:b w:val="0"/>
          <w:noProof/>
          <w:szCs w:val="22"/>
          <w:lang w:val="hy-AM"/>
        </w:rPr>
      </w:pPr>
      <w:r w:rsidRPr="00FC544C">
        <w:rPr>
          <w:rFonts w:eastAsia="Calibri" w:cs="Sylfaen"/>
          <w:b w:val="0"/>
          <w:noProof/>
          <w:szCs w:val="22"/>
          <w:lang w:val="hy-AM"/>
        </w:rPr>
        <w:t xml:space="preserve"> </w:t>
      </w:r>
      <w:r w:rsidRPr="00FC544C">
        <w:rPr>
          <w:rFonts w:eastAsia="Calibri" w:cs="Sylfaen"/>
          <w:b w:val="0"/>
          <w:noProof/>
          <w:szCs w:val="22"/>
          <w:lang w:val="hy-AM"/>
        </w:rPr>
        <w:tab/>
        <w:t>կայուն և ժամանակավոր զբաղվածության ապահովմանն ուղղված միջոցառումների արդյունավետության բարձրացումը, ինչպես նաև աշխատաշուկայի կարգավորման նպատակային ծրագրերի և արդյունավետ գործիքների ներդրումը,</w:t>
      </w:r>
    </w:p>
    <w:p w:rsidR="00292E7F" w:rsidRPr="00FC544C" w:rsidRDefault="00292E7F" w:rsidP="007730AA">
      <w:pPr>
        <w:numPr>
          <w:ilvl w:val="0"/>
          <w:numId w:val="50"/>
        </w:numPr>
        <w:tabs>
          <w:tab w:val="left" w:pos="360"/>
          <w:tab w:val="left" w:pos="567"/>
        </w:tabs>
        <w:spacing w:before="0" w:line="276" w:lineRule="auto"/>
        <w:ind w:left="0" w:firstLine="720"/>
        <w:contextualSpacing w:val="0"/>
        <w:rPr>
          <w:rFonts w:eastAsia="Calibri" w:cs="Sylfaen"/>
          <w:b w:val="0"/>
          <w:noProof/>
          <w:szCs w:val="22"/>
          <w:lang w:val="hy-AM"/>
        </w:rPr>
      </w:pPr>
      <w:r w:rsidRPr="00FC544C">
        <w:rPr>
          <w:rFonts w:eastAsia="Calibri" w:cs="Sylfaen"/>
          <w:b w:val="0"/>
          <w:noProof/>
          <w:szCs w:val="22"/>
          <w:lang w:val="hy-AM"/>
        </w:rPr>
        <w:t>սոցիալ-աշխատանքային երաշխիքների հետևողական կատարելագործումը, այդ թվում` ՀՀ աշխատանքային օրենսդրության փոփոխություններ` ՀՀ կողմից ստանձնած միջազգային պարտավորությունների համապատասխանեցման, ինչպես նաև իրավակիրառական պրակտիկայից բխող խնդիրների լուծման նպատակով,</w:t>
      </w:r>
    </w:p>
    <w:p w:rsidR="00292E7F" w:rsidRPr="00FC544C" w:rsidRDefault="00292E7F" w:rsidP="007730AA">
      <w:pPr>
        <w:numPr>
          <w:ilvl w:val="0"/>
          <w:numId w:val="50"/>
        </w:numPr>
        <w:tabs>
          <w:tab w:val="left" w:pos="360"/>
          <w:tab w:val="left" w:pos="567"/>
        </w:tabs>
        <w:spacing w:before="0" w:line="276" w:lineRule="auto"/>
        <w:ind w:left="0" w:firstLine="720"/>
        <w:contextualSpacing w:val="0"/>
        <w:rPr>
          <w:rFonts w:eastAsia="Calibri" w:cs="Sylfaen"/>
          <w:b w:val="0"/>
          <w:noProof/>
          <w:szCs w:val="22"/>
          <w:lang w:val="hy-AM"/>
        </w:rPr>
      </w:pPr>
      <w:r w:rsidRPr="00FC544C">
        <w:rPr>
          <w:rFonts w:eastAsia="Calibri" w:cs="Sylfaen"/>
          <w:b w:val="0"/>
          <w:noProof/>
          <w:szCs w:val="22"/>
          <w:lang w:val="hy-AM"/>
        </w:rPr>
        <w:t>սոցիալական գործընկերության զարգացումը և ամրապնդումը, մասնավորապես՝  ճյուղային, տարածքային ու կազմակերպությունների մակարդակում,</w:t>
      </w:r>
    </w:p>
    <w:p w:rsidR="00292E7F" w:rsidRPr="00FC544C" w:rsidRDefault="00292E7F" w:rsidP="007730AA">
      <w:pPr>
        <w:numPr>
          <w:ilvl w:val="0"/>
          <w:numId w:val="50"/>
        </w:numPr>
        <w:tabs>
          <w:tab w:val="left" w:pos="360"/>
          <w:tab w:val="left" w:pos="567"/>
        </w:tabs>
        <w:spacing w:before="0" w:line="276" w:lineRule="auto"/>
        <w:ind w:left="0" w:firstLine="720"/>
        <w:contextualSpacing w:val="0"/>
        <w:rPr>
          <w:rFonts w:eastAsia="Calibri" w:cs="Sylfaen"/>
          <w:b w:val="0"/>
          <w:noProof/>
          <w:szCs w:val="22"/>
          <w:lang w:val="hy-AM"/>
        </w:rPr>
      </w:pPr>
      <w:r w:rsidRPr="00FC544C">
        <w:rPr>
          <w:rFonts w:eastAsia="Calibri" w:cs="Sylfaen"/>
          <w:b w:val="0"/>
          <w:noProof/>
          <w:szCs w:val="22"/>
          <w:lang w:val="hy-AM"/>
        </w:rPr>
        <w:t>2021 թվականին նախատեսվում է զբաղվածության պետական կարգավորման թվով 16 միջոցառումների իրականացում: Ընդհանուր առմամբ, զբաղվածության պետական գրասենյակի տարածքային կենտրոնների միջնորդությամբ 2021 թվականին աշխատանքի կտեղավորվի 12868 անձ: Զբաղվածության պետական կարգավորման ծրագրում նախատեսվում է ընդգրկել 5268 շահառու (որոնցից` 199-ը հաշմանդամություն ունեցող), ընդ որում 1758–ը` ժամանակավոր բնույթ ունեցող՝ սեզոնային և վարձատրվող հասարակական աշխատանքներում: 3719 անձի համար կապահովվի կայուն զբաղվածություն:</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 xml:space="preserve">Երեխաների հիմնահարցերի բնագավառում 2021 թվականին աշխատանքներն ուղղված են լինելու կյանքի դժվարին իրավիճակում հայտնված երեխաների և նրանց ընտանիքների սոցիալական պաշտպանությանը, հաստատություններում նրանց խնամքի, դաստիարակության, ուսման և ֆիզիկական զարգացման համար նպաստավոր պայմանների ստեղծմանը, ինչպես նաև թրաֆիքինգի և սեռի հատկանիշով բռնության երևույթի կանխարգելմանը: </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 xml:space="preserve">Վերջին տարիներին երեխաների պաշտպանության համակարգի բարեփոխումների արդյունքում կրճատվել է համակարգի մանկատներում խնամվող երեխաների թիվը: </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Մանկատների շրջանավարտների համար կշարունակվեն «Երեխաների շուրջօրյա խնամքի բնակչության սոցիալական պաշտպանության հաստատությունների շրջանավարտներին միանվագ դրամական օգնության տրամադրում» և «Երեխաների շուրջօրյա խնամքի բնակչության սոցիալական պաշտպանության հաստատությունների 18-23 տարեկան շրջանավարտների համար բնակարանների վարձակալություն» միջոցառումները:</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Կյանքի դժվարին իրավիճակում հայտնված երեխայի ընտանիքում ապրելու իրավունքը ապահովելու, նրանց խնամքի այլընտրանքային ծառայություններ տրամադրելու նպատակով շարունակվելու է իրականացվել «Երեխաների և ընտանիքների աջակցության տրամադրման ծառայություններ» միջոցառումը, որի շրջանակում վեց աջակցության կենտրոնում սոցիալ-հոգեբանական ծառայություններ կտրամադրվեն կյանքի դժվարին իրավիճակում հայտնված երեխայի և նրանց ընտանիքներին:</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Մրցութային կարգով ընտրված հասարակական կազմակերպությունների կողմից հանրապետության բոլոր մարզերում կիրականացվի «Երեխաների խնամքի ցերեկային ծառայությունների տրամադրում» միջոցառումը, որի շրջանակում երեխաներ խնամքի շուրջօրյա հաստատություններից ընտանիքներ կվերադառնան և կկանխարգելվի նրանց մուտքը այդ հաստատություններ: Կշարունակվեն «Խնամատար ընտանիքում երեխայի խնամքի և դաստիարակության աջակցության տրամադրում», «ՀՀ երեխաների շուրջօրյա խնամք և պաշտպանություն իրականացնող հաստատություններում խնամվող երեխաններին ընտանիքներ վերադարձնելու, մուտքը հաստատություններ կանխարգելելու և աջակցության տրամադրման ծառայություններ» միջոցառումները:</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Մանկատներում խնամվող 7-18 տարեկան դպրոցահասակ երեխաների համար ընտանեկան միջավայրին մոտ միջավայր ապահովելու և կենցաղային որոշակի հմտությունների ձեռքբերման նպատակով կշարունակվի «Երեխաների շուրջօրյա խնամքի բնակչության սոցիալական պաշտպանության հաստատություններում խնամվող դպրոցական տարիքի երեխաներին դրամական աջակցության տրամադրում» միջոցառումը:</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noProof/>
          <w:szCs w:val="22"/>
          <w:lang w:val="hy-AM"/>
        </w:rPr>
        <w:t>Մարդկանց թրաֆիքինգի և կանանց հիմնահարցերի բնագավառում</w:t>
      </w:r>
      <w:r w:rsidRPr="00FC544C">
        <w:rPr>
          <w:rFonts w:eastAsia="Calibri" w:cs="Sylfaen"/>
          <w:b w:val="0"/>
          <w:noProof/>
          <w:szCs w:val="22"/>
          <w:lang w:val="hy-AM"/>
        </w:rPr>
        <w:t xml:space="preserve"> Հանրապետությունում մարդկանց շահագործման երևույթի կանխարգելմանն ուղղված քաղաքականության շարունակականության ապահովման նպատակով կշարունակվեն նաև «Թրաֆիքինգի և շահագործման, սեռական բռնության ենթարկված անձանց սոցիալ-հոգեբանական վերականգնողական ծառայություններ», ինչպես նաև «Մարդկանց թրաֆիքինգի և/կամ շահագործման զոհերին միանվագ դրամական փոխհատուցման տրամադրում» միջոցառումները:</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Ընտանիքում բռնության ենթարկված անձանց օրենսդրությամբ սահմանված աջակցության տրամադրման նպատակով «Ընտանիքին, կանանց և երեխաներին աջակցության ծրագրի» շրջանակներում կիրականացվեն՝ «Ընտանիքում բռնության ենթարկված անձանց ապաստարանի ծառայություններ», «Ընտանիքում բռնության ենթարկված անձանց աջակցության կենտրոնների ծառայություններ» և «Ընտանիքում բռնության ենթարկվածների ժամանակավոր աջակցություն» միջոցառումները:</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noProof/>
          <w:szCs w:val="22"/>
          <w:lang w:val="hy-AM"/>
        </w:rPr>
        <w:t>Հաշմանդամություն ունեցող անձանց հիմնահարցերի բնագավառում</w:t>
      </w:r>
      <w:r w:rsidRPr="00FC544C">
        <w:rPr>
          <w:rFonts w:eastAsia="Calibri" w:cs="Sylfaen"/>
          <w:b w:val="0"/>
          <w:noProof/>
          <w:szCs w:val="22"/>
          <w:lang w:val="hy-AM"/>
        </w:rPr>
        <w:t xml:space="preserve"> 2021 թվականին շարունակվելու են աշխատանքներն ուղղված հաշմանդամություն ունեցող անձանց իրավունքների պաշտպանությանը և հավասար հնարավորությունների ապահովմանը` բնագավառի օրենսդրության կատարելագործման և հաշմանդամություն ունեցող անձի կարիքին համարժեք ծառայությունների մատուցման միջոցով:</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Շարունակվելու են աշխատանքները հաշմանդամություն ունեցող անձի կարիքի բազմակողմանի գնահատման և գնահատման արդյունքներով համապատասխան ծառայությունների որոշարկման նոր մոդել ներդնելու ուղղությամբ:</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Պետական նպատակային ծրագրերի շրջանակներում հաշմանդամություն ունեցող անձանց պետական հավաստագրերի հիման վրա տրամադրվելու են աջակցող միջոցներ (այդ թվում՝ պրոթեզներ, օրթեզներ, քայլակներ, անվասայլակներ, լսողական սարքեր և այլն աջակցող միջոց)՝ հասարակական կյանքում նրանց մասնակցությունը խթանելու նպատակով: Աջակցող միջոցների տրամադրման գործընթացում պետական հավաստագրերի ներդրման արդյունքում ընդլայնվել է աջակցող միջոցների տեսականին, մեծացել է ծառայություն մատուցող կազմակերպությունների մրցակցությունը, որի արդյունքում բարձրացել է նաև աջակցող միջոցների որակը:</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 xml:space="preserve">Շարունակվելու է պետական աջակցությունը </w:t>
      </w:r>
      <w:r w:rsidRPr="00FC544C">
        <w:rPr>
          <w:rFonts w:cs="Browallia New"/>
          <w:b w:val="0"/>
          <w:sz w:val="24"/>
          <w:lang w:val="fr-FR"/>
        </w:rPr>
        <w:t>մրցութային կարգով ընտրված</w:t>
      </w:r>
      <w:r w:rsidRPr="00FC544C">
        <w:rPr>
          <w:rFonts w:eastAsia="Calibri" w:cs="Sylfaen"/>
          <w:b w:val="0"/>
          <w:noProof/>
          <w:szCs w:val="22"/>
          <w:lang w:val="hy-AM"/>
        </w:rPr>
        <w:t xml:space="preserve"> հասարակական կազմակերպություններին` ցերեկային կենտրոններում հաշմանդամություն ունեցող անձանց խնամք և սոցիալ-վերականգնողական ծառայություններ մատուցելու նպատակով: </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noProof/>
          <w:szCs w:val="22"/>
          <w:lang w:val="hy-AM"/>
        </w:rPr>
        <w:t>Տարեցների հիմնահարցերի բնագավառում</w:t>
      </w:r>
      <w:r w:rsidRPr="00FC544C">
        <w:rPr>
          <w:rFonts w:eastAsia="Calibri" w:cs="Sylfaen"/>
          <w:b w:val="0"/>
          <w:noProof/>
          <w:szCs w:val="22"/>
          <w:lang w:val="hy-AM"/>
        </w:rPr>
        <w:t xml:space="preserve"> 2021 թվականին կշարունակվեն իրականացվել «Տարեցներին մատուցվող խնամքի ծառայությունների բարելավման և համայնքահենք ծառայությունների ներդրման ու զարգացման ծրագիրը և ծրագրի իրականացումն ապահովող միջոցառումների 2020-2023 թվականների պլան-ժամանակացույցով» 2021 թվականի համար նախատեսված միջոցառումները: </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Շարունակվելու է պետական միջոցների շրջանակում շահառուներին մատուցվող խնամքի ծառայությունների տրամադրումը՝ խրախուսելով ծառայությունների պատվիրակումը հասարակական կազմակերպություններին մրցութային եղանակով, բարելավվելու է շահառուներին մատուցվող ծառայությունների որակը, ընդլայնվելու են տարեցներին մատուցվող համայնքահենք ծառայությունները՝ ներգրավելով համայնքի ներուժը, և այս ամենն իրականացվելու է զուգորդված իրավական դաշտի կատարելագործման հետ:</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 xml:space="preserve">Ըստ ծառայությունների տեսակների տրամադրվելու են շուրջօրյա խնամքի ծառայություններ, տնային պայմաններում խնամքի ծառայություններ, ցերեկային կենտրոններում, անօթևան մարդկանց ժամանակավոր կացարանում, հատուկ բնակելի տանը կացարանով ապահովման ծառայություններ և կոմունալ ծառայությունների փոխհատուցում՝ սոցիալական տներում բնակվող  անձանց: </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Վերանայվելու են ծառայությունների մատուցման չափորոշիչները, արդյունքում բարելավվելու է մատուցվող ծառայությունների որակն ու մեծանալու է հասցեականությունը, ներդրվող համայնքահենք ծառայություններում կարևորվություն է տրվում համայնքի մասնակցությանը և ավելի մեծ թվով հասարակական կազմակերպությունների ընդգրկվածությանը:</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noProof/>
          <w:szCs w:val="22"/>
          <w:lang w:val="hy-AM"/>
        </w:rPr>
        <w:t>Կենսաթոշակային ապահովության բնագավառում</w:t>
      </w:r>
      <w:r w:rsidRPr="00FC544C">
        <w:rPr>
          <w:rFonts w:eastAsia="Calibri" w:cs="Sylfaen"/>
          <w:b w:val="0"/>
          <w:noProof/>
          <w:szCs w:val="22"/>
          <w:lang w:val="hy-AM"/>
        </w:rPr>
        <w:t xml:space="preserve"> պահպանվելու են 2020 թվականի համար սահմանված պետական կենսաթոշակների չափերը: </w:t>
      </w:r>
    </w:p>
    <w:p w:rsidR="00292E7F" w:rsidRPr="00FC544C" w:rsidRDefault="00292E7F" w:rsidP="007730AA">
      <w:pPr>
        <w:tabs>
          <w:tab w:val="left" w:pos="567"/>
        </w:tabs>
        <w:spacing w:before="0" w:line="276" w:lineRule="auto"/>
        <w:ind w:firstLine="720"/>
        <w:contextualSpacing w:val="0"/>
        <w:rPr>
          <w:rFonts w:eastAsia="Calibri" w:cs="Sylfaen"/>
          <w:b w:val="0"/>
          <w:noProof/>
          <w:szCs w:val="22"/>
          <w:lang w:val="hy-AM"/>
        </w:rPr>
      </w:pPr>
      <w:r w:rsidRPr="00FC544C">
        <w:rPr>
          <w:rFonts w:eastAsia="Calibri" w:cs="Sylfaen"/>
          <w:b w:val="0"/>
          <w:noProof/>
          <w:szCs w:val="22"/>
          <w:lang w:val="hy-AM"/>
        </w:rPr>
        <w:t>Կշարունակվեն «Էլեկտրոնային կենսաթոշակ» տեղեկատվական համակարգի արդիականացման (կատարելագործման) աշխատանքները` որոշումների կայացման գործընթացի ավտոմատացման, այլ տեղեկատվական համակարգերից ինքնաշխատ եղանակով ստացվող և կիրառվող տեղեկատվության (տվյալների) շրջանակի ընդլայնման, կենսաթոշակային ապահովության և պետական նպաստների բնագավառի կառավարման համակարգի արդյունավետության բարելավման նպատակով: 2021 թվականին երեխայի ծննդյան կապակցությամբ տրվող մայրության, երեխայի ծննդյան միանվագ, մինչև 2 տարեկան երեխայի խնամքի նպաստի չափերի փոփոխություն չի նախատեսվում:</w:t>
      </w:r>
    </w:p>
    <w:p w:rsidR="007A5F0F" w:rsidRPr="00FC544C"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47" w:name="_Toc57655434"/>
      <w:r w:rsidRPr="00FC544C">
        <w:rPr>
          <w:rFonts w:cs="Arial"/>
          <w:szCs w:val="22"/>
          <w:lang w:val="hy-AM" w:eastAsia="en-US"/>
        </w:rPr>
        <w:t>Շրջակա միջավայր</w:t>
      </w:r>
      <w:bookmarkEnd w:id="46"/>
      <w:bookmarkEnd w:id="47"/>
    </w:p>
    <w:p w:rsidR="007A5F0F" w:rsidRPr="00850307" w:rsidRDefault="007A5F0F" w:rsidP="007730AA">
      <w:pPr>
        <w:pStyle w:val="BodyText2"/>
        <w:ind w:left="0" w:firstLine="720"/>
        <w:rPr>
          <w:rFonts w:cs="Arial"/>
        </w:rPr>
      </w:pPr>
      <w:r w:rsidRPr="00850307">
        <w:t>Հիմնական ռազմավարության նպատակները և գերակա վերջնական արդյունքներն են՝</w:t>
      </w:r>
    </w:p>
    <w:p w:rsidR="007A5F0F" w:rsidRPr="002A4984" w:rsidRDefault="007A5F0F" w:rsidP="007730AA">
      <w:pPr>
        <w:pStyle w:val="ListParagraph"/>
        <w:numPr>
          <w:ilvl w:val="0"/>
          <w:numId w:val="33"/>
        </w:numPr>
        <w:tabs>
          <w:tab w:val="left" w:pos="567"/>
          <w:tab w:val="left" w:pos="720"/>
        </w:tabs>
        <w:spacing w:before="0" w:line="276" w:lineRule="auto"/>
        <w:ind w:left="0" w:firstLine="720"/>
        <w:contextualSpacing w:val="0"/>
        <w:rPr>
          <w:rFonts w:cs="Arial Armenian"/>
          <w:b w:val="0"/>
          <w:iCs/>
          <w:szCs w:val="22"/>
          <w:lang w:val="hy-AM"/>
        </w:rPr>
      </w:pPr>
      <w:r w:rsidRPr="002A4984">
        <w:rPr>
          <w:rFonts w:cs="Arial Armenian"/>
          <w:b w:val="0"/>
          <w:iCs/>
          <w:szCs w:val="22"/>
          <w:lang w:val="hy-AM"/>
        </w:rPr>
        <w:t>Շրջակա միջավայրի վերաբերյալ տեղեկատվության հրապարակում</w:t>
      </w:r>
    </w:p>
    <w:p w:rsidR="007A5F0F" w:rsidRPr="002A4984" w:rsidRDefault="007A5F0F" w:rsidP="007730AA">
      <w:pPr>
        <w:pStyle w:val="ListParagraph"/>
        <w:numPr>
          <w:ilvl w:val="0"/>
          <w:numId w:val="33"/>
        </w:numPr>
        <w:tabs>
          <w:tab w:val="left" w:pos="567"/>
          <w:tab w:val="left" w:pos="720"/>
        </w:tabs>
        <w:spacing w:before="0" w:line="276" w:lineRule="auto"/>
        <w:ind w:left="0" w:firstLine="720"/>
        <w:contextualSpacing w:val="0"/>
        <w:rPr>
          <w:rFonts w:cs="Arial Armenian"/>
          <w:b w:val="0"/>
          <w:iCs/>
          <w:szCs w:val="22"/>
          <w:lang w:val="hy-AM"/>
        </w:rPr>
      </w:pPr>
      <w:r w:rsidRPr="002A4984">
        <w:rPr>
          <w:rFonts w:cs="Arial Armenian"/>
          <w:b w:val="0"/>
          <w:iCs/>
          <w:szCs w:val="22"/>
          <w:lang w:val="hy-AM"/>
        </w:rPr>
        <w:t>Ազդակիր համայնքներում բարելավված շրջակա միջավայր</w:t>
      </w:r>
    </w:p>
    <w:p w:rsidR="007A5F0F" w:rsidRPr="002A4984" w:rsidRDefault="007A5F0F" w:rsidP="007730AA">
      <w:pPr>
        <w:pStyle w:val="ListParagraph"/>
        <w:numPr>
          <w:ilvl w:val="0"/>
          <w:numId w:val="33"/>
        </w:numPr>
        <w:tabs>
          <w:tab w:val="left" w:pos="567"/>
          <w:tab w:val="left" w:pos="720"/>
        </w:tabs>
        <w:spacing w:before="0" w:line="276" w:lineRule="auto"/>
        <w:ind w:left="0" w:firstLine="720"/>
        <w:contextualSpacing w:val="0"/>
        <w:rPr>
          <w:rFonts w:cs="Arial Armenian"/>
          <w:b w:val="0"/>
          <w:iCs/>
          <w:szCs w:val="22"/>
          <w:lang w:val="hy-AM"/>
        </w:rPr>
      </w:pPr>
      <w:r w:rsidRPr="002A4984">
        <w:rPr>
          <w:rFonts w:cs="Arial Armenian"/>
          <w:b w:val="0"/>
          <w:iCs/>
          <w:szCs w:val="22"/>
          <w:lang w:val="hy-AM"/>
        </w:rPr>
        <w:t>Բնական պաշարների և կենսաբազմազանության վերարտադրության աճի ապահովում</w:t>
      </w:r>
    </w:p>
    <w:p w:rsidR="007A5F0F" w:rsidRPr="002A4984" w:rsidRDefault="007A5F0F" w:rsidP="007730AA">
      <w:pPr>
        <w:pStyle w:val="ListParagraph"/>
        <w:numPr>
          <w:ilvl w:val="0"/>
          <w:numId w:val="33"/>
        </w:numPr>
        <w:tabs>
          <w:tab w:val="left" w:pos="567"/>
          <w:tab w:val="left" w:pos="720"/>
        </w:tabs>
        <w:spacing w:before="0" w:line="276" w:lineRule="auto"/>
        <w:ind w:left="0" w:firstLine="720"/>
        <w:contextualSpacing w:val="0"/>
        <w:rPr>
          <w:rFonts w:cs="Arial Armenian"/>
          <w:b w:val="0"/>
          <w:iCs/>
          <w:szCs w:val="22"/>
          <w:lang w:val="hy-AM"/>
        </w:rPr>
      </w:pPr>
      <w:r w:rsidRPr="002A4984">
        <w:rPr>
          <w:rFonts w:cs="Arial Armenian"/>
          <w:b w:val="0"/>
          <w:iCs/>
          <w:szCs w:val="22"/>
          <w:lang w:val="hy-AM"/>
        </w:rPr>
        <w:t>Կայուն կառավարվող անտառային տարածքների աճ</w:t>
      </w:r>
    </w:p>
    <w:p w:rsidR="007A5F0F" w:rsidRPr="002A4984" w:rsidRDefault="007A5F0F" w:rsidP="007730AA">
      <w:pPr>
        <w:pStyle w:val="ListParagraph"/>
        <w:numPr>
          <w:ilvl w:val="0"/>
          <w:numId w:val="33"/>
        </w:numPr>
        <w:tabs>
          <w:tab w:val="left" w:pos="567"/>
          <w:tab w:val="left" w:pos="720"/>
        </w:tabs>
        <w:spacing w:before="0" w:line="276" w:lineRule="auto"/>
        <w:ind w:left="0" w:firstLine="720"/>
        <w:contextualSpacing w:val="0"/>
        <w:rPr>
          <w:rFonts w:cs="Arial Armenian"/>
          <w:b w:val="0"/>
          <w:iCs/>
          <w:szCs w:val="22"/>
          <w:lang w:val="hy-AM"/>
        </w:rPr>
      </w:pPr>
      <w:r w:rsidRPr="002A4984">
        <w:rPr>
          <w:rFonts w:cs="Arial Armenian"/>
          <w:b w:val="0"/>
          <w:iCs/>
          <w:szCs w:val="22"/>
          <w:lang w:val="hy-AM"/>
        </w:rPr>
        <w:t>Մշտական և ժամանակավոր ցուցահանդեսների միջոցով հավաքածուները ներկայացնել հանրությանը և իրականացնել բնապահպանական քարոզչություն</w:t>
      </w:r>
    </w:p>
    <w:p w:rsidR="007A5F0F" w:rsidRPr="00777693" w:rsidRDefault="007A5F0F" w:rsidP="007730AA">
      <w:pPr>
        <w:tabs>
          <w:tab w:val="left" w:pos="567"/>
          <w:tab w:val="left" w:pos="720"/>
        </w:tabs>
        <w:spacing w:before="0" w:line="276" w:lineRule="auto"/>
        <w:ind w:firstLine="720"/>
        <w:contextualSpacing w:val="0"/>
        <w:rPr>
          <w:rFonts w:cs="Arial Armenian"/>
          <w:b w:val="0"/>
          <w:szCs w:val="22"/>
          <w:lang w:val="hy-AM"/>
        </w:rPr>
      </w:pPr>
      <w:r w:rsidRPr="00777693">
        <w:rPr>
          <w:rFonts w:cs="Arial Armenian"/>
          <w:b w:val="0"/>
          <w:szCs w:val="22"/>
          <w:lang w:val="hy-AM"/>
        </w:rPr>
        <w:t>Շրջակա միջավայրի ոլորտի զարգացման կարևորագույն նպատակների իրագործման շրջանակներում 2021 թվականին ՀՀ կառավարության կողմից կիրականացվեն հետ</w:t>
      </w:r>
      <w:r>
        <w:rPr>
          <w:rFonts w:cs="Arial Armenian"/>
          <w:b w:val="0"/>
          <w:szCs w:val="22"/>
          <w:lang w:val="hy-AM"/>
        </w:rPr>
        <w:t xml:space="preserve">ևյալ  ծրագրերն </w:t>
      </w:r>
      <w:r w:rsidRPr="002A4984">
        <w:rPr>
          <w:rFonts w:cs="Arial Armenian"/>
          <w:b w:val="0"/>
          <w:szCs w:val="22"/>
          <w:lang w:val="hy-AM"/>
        </w:rPr>
        <w:t>ու</w:t>
      </w:r>
      <w:r>
        <w:rPr>
          <w:rFonts w:cs="Arial Armenian"/>
          <w:b w:val="0"/>
          <w:szCs w:val="22"/>
          <w:lang w:val="hy-AM"/>
        </w:rPr>
        <w:t xml:space="preserve"> միջոցառումները.</w:t>
      </w:r>
    </w:p>
    <w:p w:rsidR="007A5F0F" w:rsidRPr="002A4984" w:rsidRDefault="007A5F0F" w:rsidP="007730AA">
      <w:pPr>
        <w:pStyle w:val="ListParagraph"/>
        <w:tabs>
          <w:tab w:val="left" w:pos="284"/>
          <w:tab w:val="left" w:pos="720"/>
        </w:tabs>
        <w:spacing w:before="0" w:line="276" w:lineRule="auto"/>
        <w:ind w:left="0" w:firstLine="720"/>
        <w:contextualSpacing w:val="0"/>
        <w:rPr>
          <w:rFonts w:cs="Arial Armenian"/>
          <w:b w:val="0"/>
          <w:szCs w:val="22"/>
          <w:lang w:val="hy-AM"/>
        </w:rPr>
      </w:pPr>
      <w:r w:rsidRPr="002A4984">
        <w:rPr>
          <w:rFonts w:cs="Arial Armenian"/>
          <w:b w:val="0"/>
          <w:szCs w:val="22"/>
          <w:lang w:val="hy-AM"/>
        </w:rPr>
        <w:t>«Բնապահպանական ծրագրերի իրականացում համայնքներում» ծրագրի շրջանակներում  իրականացվելու է «Բնապահպանական սուբվենցիաներ համայնքներին» միջոցառումը:</w:t>
      </w:r>
    </w:p>
    <w:p w:rsidR="007A5F0F" w:rsidRPr="002A4984" w:rsidRDefault="007A5F0F" w:rsidP="007730AA">
      <w:pPr>
        <w:pStyle w:val="ListParagraph"/>
        <w:tabs>
          <w:tab w:val="left" w:pos="284"/>
          <w:tab w:val="left" w:pos="720"/>
        </w:tabs>
        <w:spacing w:before="0" w:line="276" w:lineRule="auto"/>
        <w:ind w:left="0" w:firstLine="720"/>
        <w:contextualSpacing w:val="0"/>
        <w:rPr>
          <w:rFonts w:cs="Arial Armenian"/>
          <w:b w:val="0"/>
          <w:szCs w:val="22"/>
          <w:lang w:val="hy-AM"/>
        </w:rPr>
      </w:pPr>
      <w:r w:rsidRPr="002A4984">
        <w:rPr>
          <w:rFonts w:cs="Arial Armenian"/>
          <w:b w:val="0"/>
          <w:szCs w:val="22"/>
          <w:lang w:val="hy-AM"/>
        </w:rPr>
        <w:t>«Բնական պաշարների և բնության հատուկ պահպանվող տարածքների կառավարում» ծրագրի շրջանակներում իրականացվելու են ներքոհիշյալ միջոցառումները՝</w:t>
      </w:r>
    </w:p>
    <w:p w:rsidR="007A5F0F" w:rsidRDefault="007A5F0F" w:rsidP="007730AA">
      <w:pPr>
        <w:pStyle w:val="ListParagraph"/>
        <w:numPr>
          <w:ilvl w:val="0"/>
          <w:numId w:val="34"/>
        </w:numPr>
        <w:tabs>
          <w:tab w:val="left" w:pos="284"/>
          <w:tab w:val="left" w:pos="630"/>
        </w:tabs>
        <w:spacing w:before="0" w:line="276" w:lineRule="auto"/>
        <w:ind w:left="0" w:firstLine="720"/>
        <w:contextualSpacing w:val="0"/>
        <w:rPr>
          <w:rFonts w:cs="Arial Armenian"/>
          <w:b w:val="0"/>
          <w:szCs w:val="22"/>
          <w:lang w:val="hy-AM"/>
        </w:rPr>
      </w:pPr>
      <w:r w:rsidRPr="002D7316">
        <w:rPr>
          <w:rFonts w:cs="Arial Armenian"/>
          <w:b w:val="0"/>
          <w:szCs w:val="22"/>
          <w:lang w:val="hy-AM"/>
        </w:rPr>
        <w:t>Սևանա լճի համալիր ծրագրով նախատեսված համապատասխան միջոցառումների կատարում,</w:t>
      </w:r>
    </w:p>
    <w:p w:rsidR="007A5F0F" w:rsidRDefault="007A5F0F" w:rsidP="007730AA">
      <w:pPr>
        <w:pStyle w:val="ListParagraph"/>
        <w:numPr>
          <w:ilvl w:val="0"/>
          <w:numId w:val="34"/>
        </w:numPr>
        <w:tabs>
          <w:tab w:val="left" w:pos="567"/>
          <w:tab w:val="left" w:pos="630"/>
        </w:tabs>
        <w:spacing w:before="0" w:line="276" w:lineRule="auto"/>
        <w:ind w:left="0" w:firstLine="720"/>
        <w:contextualSpacing w:val="0"/>
        <w:rPr>
          <w:rFonts w:cs="Arial Armenian"/>
          <w:b w:val="0"/>
          <w:szCs w:val="22"/>
          <w:lang w:val="hy-AM"/>
        </w:rPr>
      </w:pPr>
      <w:r w:rsidRPr="002D7316">
        <w:rPr>
          <w:rFonts w:cs="Arial Armenian"/>
          <w:b w:val="0"/>
          <w:szCs w:val="22"/>
          <w:lang w:val="hy-AM"/>
        </w:rPr>
        <w:t>2021 թվականին բյուջետային հատկացումները նպատակաուղղվելու են հանրապետության բնության հատուկ պահպանվող տարածքների («Սևան», «Դիլիջան», «Արևիկ» և «Արփի լիճ» ազգային պարկեր, «Խոսրովի անտառ» և «Շիկահող» պետարգելոցներ, «Սոսիների պուրակ», «Խուստուփ», «Զանգեզուր» և «Զիկատար» պետական արգելավայրեր, դենդրոպարկեր և բնության հատուկ պահպանվող այլ տարածքներ) պահպանությանը, անտառային տարածքների խնամքի և բնապահպանական այլ աշխատանքների և գիտական ուսումնասիրությունների իրականացմանը, ինչպես նաև Կովկասյան տարածաշրջանային կենտրոնի հայաստանյան մասնաճյուղի գրասենյակի վարձակալության ծառայությունների ֆինանսավորմանը:</w:t>
      </w:r>
    </w:p>
    <w:p w:rsidR="007A5F0F" w:rsidRDefault="007A5F0F" w:rsidP="007730AA">
      <w:pPr>
        <w:pStyle w:val="ListParagraph"/>
        <w:tabs>
          <w:tab w:val="left" w:pos="284"/>
          <w:tab w:val="left" w:pos="630"/>
        </w:tabs>
        <w:spacing w:before="0" w:line="276" w:lineRule="auto"/>
        <w:ind w:left="0" w:firstLine="720"/>
        <w:contextualSpacing w:val="0"/>
        <w:rPr>
          <w:rFonts w:cs="Arial Armenian"/>
          <w:b w:val="0"/>
          <w:szCs w:val="22"/>
          <w:lang w:val="hy-AM"/>
        </w:rPr>
      </w:pPr>
      <w:r w:rsidRPr="002A4984">
        <w:rPr>
          <w:rFonts w:cs="Arial Armenian"/>
          <w:b w:val="0"/>
          <w:szCs w:val="22"/>
          <w:lang w:val="hy-AM"/>
        </w:rPr>
        <w:t>«Շրջակա միջավայրի վրա ազդեցության գնահատում և մոնիթորինգ» ծրագրի  շրջանակներում իրականացվելու են «Շրջակա միջավայրի վրա ազդեցության գնահատում և փորձաքննություն» ու «Հիդրոօդերևութաբանության, շրջակա  միջավայրի մոնիտորինգ  և տեղեկատվության ապահովում» միջոցառումները, որոնց շրջանակներում իրականացվելու է նաև թափոնների ուսումնասիրության աշխատանքներ:</w:t>
      </w:r>
    </w:p>
    <w:p w:rsidR="007A5F0F" w:rsidRPr="002A4984" w:rsidRDefault="007A5F0F" w:rsidP="007730AA">
      <w:pPr>
        <w:pStyle w:val="ListParagraph"/>
        <w:tabs>
          <w:tab w:val="left" w:pos="284"/>
          <w:tab w:val="left" w:pos="630"/>
        </w:tabs>
        <w:spacing w:before="0" w:line="276" w:lineRule="auto"/>
        <w:ind w:left="0" w:firstLine="720"/>
        <w:contextualSpacing w:val="0"/>
        <w:rPr>
          <w:rFonts w:cs="Arial Armenian"/>
          <w:b w:val="0"/>
          <w:szCs w:val="22"/>
          <w:lang w:val="hy-AM"/>
        </w:rPr>
      </w:pPr>
      <w:r w:rsidRPr="002A4984">
        <w:rPr>
          <w:rFonts w:cs="Arial Armenian"/>
          <w:b w:val="0"/>
          <w:szCs w:val="22"/>
          <w:lang w:val="hy-AM"/>
        </w:rPr>
        <w:t>«Անտառների կառավարում» ծրագրի շրջանակներում իրականացվելու են ներքոհիշյալ  միջոցառումները`</w:t>
      </w:r>
    </w:p>
    <w:p w:rsidR="007A5F0F" w:rsidRPr="004060EA" w:rsidRDefault="007A5F0F" w:rsidP="007730AA">
      <w:pPr>
        <w:pStyle w:val="ListParagraph"/>
        <w:numPr>
          <w:ilvl w:val="0"/>
          <w:numId w:val="35"/>
        </w:numPr>
        <w:tabs>
          <w:tab w:val="left" w:pos="284"/>
          <w:tab w:val="left" w:pos="567"/>
          <w:tab w:val="left" w:pos="720"/>
        </w:tabs>
        <w:spacing w:before="0" w:line="276" w:lineRule="auto"/>
        <w:ind w:left="0" w:firstLine="720"/>
        <w:contextualSpacing w:val="0"/>
        <w:rPr>
          <w:rFonts w:cs="Arial Armenian"/>
          <w:b w:val="0"/>
          <w:szCs w:val="22"/>
          <w:lang w:val="hy-AM"/>
        </w:rPr>
      </w:pPr>
      <w:r w:rsidRPr="004060EA">
        <w:rPr>
          <w:rFonts w:cs="Arial Armenian"/>
          <w:b w:val="0"/>
          <w:szCs w:val="22"/>
          <w:lang w:val="hy-AM"/>
        </w:rPr>
        <w:t>«Անտառների կադաստրի վարում»</w:t>
      </w:r>
      <w:r>
        <w:rPr>
          <w:rFonts w:cs="Arial Armenian"/>
          <w:b w:val="0"/>
          <w:szCs w:val="22"/>
          <w:lang w:val="hy-AM"/>
        </w:rPr>
        <w:t>,</w:t>
      </w:r>
    </w:p>
    <w:p w:rsidR="007A5F0F" w:rsidRPr="004060EA" w:rsidRDefault="007A5F0F" w:rsidP="007730AA">
      <w:pPr>
        <w:pStyle w:val="ListParagraph"/>
        <w:numPr>
          <w:ilvl w:val="0"/>
          <w:numId w:val="35"/>
        </w:numPr>
        <w:tabs>
          <w:tab w:val="left" w:pos="284"/>
          <w:tab w:val="left" w:pos="567"/>
          <w:tab w:val="left" w:pos="720"/>
        </w:tabs>
        <w:spacing w:before="0" w:line="276" w:lineRule="auto"/>
        <w:ind w:left="0" w:firstLine="720"/>
        <w:contextualSpacing w:val="0"/>
        <w:rPr>
          <w:rFonts w:cs="Arial Armenian"/>
          <w:b w:val="0"/>
          <w:szCs w:val="22"/>
          <w:lang w:val="hy-AM"/>
        </w:rPr>
      </w:pPr>
      <w:r w:rsidRPr="004060EA">
        <w:rPr>
          <w:rFonts w:cs="Arial Armenian"/>
          <w:b w:val="0"/>
          <w:szCs w:val="22"/>
          <w:lang w:val="hy-AM"/>
        </w:rPr>
        <w:t>«Անտառների վնասակար օրգանիզմների դեմ պայքար»</w:t>
      </w:r>
      <w:r>
        <w:rPr>
          <w:rFonts w:cs="Arial Armenian"/>
          <w:b w:val="0"/>
          <w:szCs w:val="22"/>
          <w:lang w:val="hy-AM"/>
        </w:rPr>
        <w:t>,</w:t>
      </w:r>
    </w:p>
    <w:p w:rsidR="007A5F0F" w:rsidRPr="004060EA" w:rsidRDefault="007A5F0F" w:rsidP="007730AA">
      <w:pPr>
        <w:pStyle w:val="ListParagraph"/>
        <w:numPr>
          <w:ilvl w:val="0"/>
          <w:numId w:val="35"/>
        </w:numPr>
        <w:tabs>
          <w:tab w:val="left" w:pos="284"/>
          <w:tab w:val="left" w:pos="567"/>
          <w:tab w:val="left" w:pos="720"/>
        </w:tabs>
        <w:spacing w:before="0" w:line="276" w:lineRule="auto"/>
        <w:ind w:left="0" w:firstLine="720"/>
        <w:contextualSpacing w:val="0"/>
        <w:rPr>
          <w:rFonts w:cs="Arial Armenian"/>
          <w:b w:val="0"/>
          <w:szCs w:val="22"/>
          <w:lang w:val="hy-AM"/>
        </w:rPr>
      </w:pPr>
      <w:r w:rsidRPr="004060EA">
        <w:rPr>
          <w:rFonts w:cs="Arial Armenian"/>
          <w:b w:val="0"/>
          <w:szCs w:val="22"/>
          <w:lang w:val="hy-AM"/>
        </w:rPr>
        <w:t>«Անտառպահպանական ծառայություններ»</w:t>
      </w:r>
      <w:r>
        <w:rPr>
          <w:rFonts w:cs="Arial Armenian"/>
          <w:b w:val="0"/>
          <w:szCs w:val="22"/>
          <w:lang w:val="hy-AM"/>
        </w:rPr>
        <w:t>,</w:t>
      </w:r>
    </w:p>
    <w:p w:rsidR="007A5F0F" w:rsidRPr="004060EA" w:rsidRDefault="007A5F0F" w:rsidP="007730AA">
      <w:pPr>
        <w:pStyle w:val="ListParagraph"/>
        <w:numPr>
          <w:ilvl w:val="0"/>
          <w:numId w:val="35"/>
        </w:numPr>
        <w:tabs>
          <w:tab w:val="left" w:pos="284"/>
          <w:tab w:val="left" w:pos="567"/>
          <w:tab w:val="left" w:pos="720"/>
        </w:tabs>
        <w:spacing w:before="0" w:line="276" w:lineRule="auto"/>
        <w:ind w:left="0" w:firstLine="720"/>
        <w:contextualSpacing w:val="0"/>
        <w:rPr>
          <w:rFonts w:cs="Arial Armenian"/>
          <w:b w:val="0"/>
          <w:szCs w:val="22"/>
          <w:lang w:val="hy-AM"/>
        </w:rPr>
      </w:pPr>
      <w:r w:rsidRPr="004060EA">
        <w:rPr>
          <w:rFonts w:cs="Arial Armenian"/>
          <w:b w:val="0"/>
          <w:szCs w:val="22"/>
          <w:lang w:val="hy-AM"/>
        </w:rPr>
        <w:t>«Անտառվերականգնման և անտառապատման աշխատանքներ»</w:t>
      </w:r>
      <w:r>
        <w:rPr>
          <w:rFonts w:cs="Arial Armenian"/>
          <w:b w:val="0"/>
          <w:szCs w:val="22"/>
          <w:lang w:val="hy-AM"/>
        </w:rPr>
        <w:t>,</w:t>
      </w:r>
    </w:p>
    <w:p w:rsidR="007A5F0F" w:rsidRPr="004060EA" w:rsidRDefault="007A5F0F" w:rsidP="007730AA">
      <w:pPr>
        <w:pStyle w:val="ListParagraph"/>
        <w:numPr>
          <w:ilvl w:val="0"/>
          <w:numId w:val="35"/>
        </w:numPr>
        <w:tabs>
          <w:tab w:val="left" w:pos="284"/>
          <w:tab w:val="left" w:pos="567"/>
          <w:tab w:val="left" w:pos="720"/>
        </w:tabs>
        <w:spacing w:before="0" w:line="276" w:lineRule="auto"/>
        <w:ind w:left="0" w:firstLine="720"/>
        <w:contextualSpacing w:val="0"/>
        <w:rPr>
          <w:rFonts w:cs="Arial Armenian"/>
          <w:b w:val="0"/>
          <w:szCs w:val="22"/>
          <w:lang w:val="hy-AM"/>
        </w:rPr>
      </w:pPr>
      <w:r w:rsidRPr="004060EA">
        <w:rPr>
          <w:rFonts w:cs="Arial Armenian"/>
          <w:b w:val="0"/>
          <w:szCs w:val="22"/>
          <w:lang w:val="hy-AM"/>
        </w:rPr>
        <w:t>«Անտառկառավարման պլանների կազմում»</w:t>
      </w:r>
      <w:r>
        <w:rPr>
          <w:rFonts w:cs="Arial Armenian"/>
          <w:b w:val="0"/>
          <w:szCs w:val="22"/>
          <w:lang w:val="hy-AM"/>
        </w:rPr>
        <w:t>։</w:t>
      </w:r>
    </w:p>
    <w:p w:rsidR="007A5F0F" w:rsidRPr="002A4984" w:rsidRDefault="007A5F0F" w:rsidP="007730AA">
      <w:pPr>
        <w:tabs>
          <w:tab w:val="left" w:pos="284"/>
          <w:tab w:val="left" w:pos="567"/>
          <w:tab w:val="left" w:pos="810"/>
        </w:tabs>
        <w:spacing w:before="0" w:line="276" w:lineRule="auto"/>
        <w:ind w:firstLine="720"/>
        <w:contextualSpacing w:val="0"/>
        <w:rPr>
          <w:rFonts w:cs="Arial Armenian"/>
          <w:b w:val="0"/>
          <w:szCs w:val="22"/>
          <w:lang w:val="hy-AM"/>
        </w:rPr>
      </w:pPr>
      <w:r w:rsidRPr="002A4984">
        <w:rPr>
          <w:rFonts w:cs="Arial Armenian"/>
          <w:b w:val="0"/>
          <w:szCs w:val="22"/>
          <w:lang w:val="hy-AM"/>
        </w:rPr>
        <w:t>«Բնագիտական նմուշների պահպանություն և ցուցադրություն» ծրագրի շրջանակներում իրականացվելու են «Բնագիտական նմուշների պահպանություն և ցուցադրություն» ու «Կենդանաբանական այգու ցուցադրություններ» միջոցառումները:</w:t>
      </w:r>
    </w:p>
    <w:p w:rsidR="007A5F0F" w:rsidRPr="0028600E" w:rsidRDefault="007A5F0F" w:rsidP="007730AA">
      <w:pPr>
        <w:tabs>
          <w:tab w:val="left" w:pos="284"/>
          <w:tab w:val="left" w:pos="567"/>
          <w:tab w:val="left" w:pos="720"/>
        </w:tabs>
        <w:spacing w:before="0" w:line="276" w:lineRule="auto"/>
        <w:ind w:firstLine="720"/>
        <w:contextualSpacing w:val="0"/>
        <w:rPr>
          <w:rFonts w:cs="Arial Armenian"/>
          <w:b w:val="0"/>
          <w:szCs w:val="22"/>
          <w:lang w:val="hy-AM"/>
        </w:rPr>
      </w:pPr>
      <w:r w:rsidRPr="008C1A44">
        <w:rPr>
          <w:rFonts w:cs="Arial Armenian"/>
          <w:bCs/>
          <w:szCs w:val="22"/>
          <w:lang w:val="hy-AM"/>
        </w:rPr>
        <w:t xml:space="preserve"> </w:t>
      </w:r>
      <w:r w:rsidRPr="0028600E">
        <w:rPr>
          <w:rFonts w:cs="Arial Armenian"/>
          <w:b w:val="0"/>
          <w:szCs w:val="22"/>
          <w:lang w:val="hy-AM"/>
        </w:rPr>
        <w:t>2021 թվականի ընթացքում «Անտառների կառավարում» ծրագրով նախատեսվում է իրականացնել «Անտառվերականգնման և անտառապատման աշխատանքներ» ու «Անտառկառավարման պլանների կազմում» կապիտալ բնույթի միջոցառումները:</w:t>
      </w:r>
    </w:p>
    <w:p w:rsidR="007A5F0F" w:rsidRPr="00850307"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48" w:name="_Toc26174905"/>
      <w:bookmarkStart w:id="49" w:name="_Toc57655435"/>
      <w:r w:rsidRPr="00563D38">
        <w:rPr>
          <w:rFonts w:cs="Arial"/>
          <w:szCs w:val="22"/>
          <w:lang w:val="hy-AM" w:eastAsia="en-US"/>
        </w:rPr>
        <w:t>Բյուջեների կազմման բնագավառ</w:t>
      </w:r>
      <w:bookmarkEnd w:id="48"/>
      <w:bookmarkEnd w:id="49"/>
    </w:p>
    <w:p w:rsidR="005150E5" w:rsidRPr="008634E1" w:rsidRDefault="005150E5" w:rsidP="007730AA">
      <w:pPr>
        <w:tabs>
          <w:tab w:val="left" w:pos="-7020"/>
        </w:tabs>
        <w:spacing w:before="0" w:line="276" w:lineRule="auto"/>
        <w:ind w:firstLine="720"/>
        <w:contextualSpacing w:val="0"/>
        <w:rPr>
          <w:b w:val="0"/>
          <w:szCs w:val="22"/>
          <w:lang w:val="hy-AM"/>
        </w:rPr>
      </w:pPr>
      <w:r w:rsidRPr="008634E1">
        <w:rPr>
          <w:b w:val="0"/>
          <w:szCs w:val="22"/>
          <w:lang w:val="hy-AM"/>
        </w:rPr>
        <w:t>Պետական կառավարման համակարգում պատասխանատվության համախմբման և ռեսուրսների դիմաց առավելագույն արդյունքի ստացման նպատակով պետական բյուջեի կազմման բնագավառում իրականացվում են մի շարք քայլեր, որոնց իրագործումը թույլ կտա ապահովել հանրային կառավարման թափանցիկության, հաշվետվողականության և հսկողության բարձրացումը, ինչպես նաև պետության կողմից մատուցվող ծառայությունների որակի բարելավումը՝ հանրային բարիքի արդյունավետ, օգտավետ և խնայողաբար հասցեական օգտագործման հաշվին: Մասնավորապես՝</w:t>
      </w:r>
    </w:p>
    <w:p w:rsidR="005150E5" w:rsidRPr="008634E1" w:rsidRDefault="005150E5" w:rsidP="007730AA">
      <w:pPr>
        <w:numPr>
          <w:ilvl w:val="0"/>
          <w:numId w:val="23"/>
        </w:numPr>
        <w:tabs>
          <w:tab w:val="left" w:pos="-7020"/>
        </w:tabs>
        <w:spacing w:before="0" w:line="276" w:lineRule="auto"/>
        <w:ind w:left="0" w:firstLine="720"/>
        <w:contextualSpacing w:val="0"/>
        <w:rPr>
          <w:b w:val="0"/>
          <w:szCs w:val="22"/>
          <w:lang w:val="hy-AM"/>
        </w:rPr>
      </w:pPr>
      <w:r w:rsidRPr="008634E1">
        <w:rPr>
          <w:b w:val="0"/>
          <w:szCs w:val="22"/>
          <w:lang w:val="hy-AM"/>
        </w:rPr>
        <w:t xml:space="preserve"> </w:t>
      </w:r>
      <w:r w:rsidRPr="008634E1">
        <w:rPr>
          <w:b w:val="0"/>
          <w:szCs w:val="22"/>
          <w:lang w:val="es-ES" w:eastAsia="en-US"/>
        </w:rPr>
        <w:t>հարկաբյուջետային կարգապահության և ֆինանսական համապատախանության</w:t>
      </w:r>
      <w:r w:rsidRPr="008634E1">
        <w:rPr>
          <w:b w:val="0"/>
          <w:szCs w:val="22"/>
          <w:lang w:val="hy-AM" w:eastAsia="en-US"/>
        </w:rPr>
        <w:t xml:space="preserve"> </w:t>
      </w:r>
      <w:r w:rsidRPr="008634E1">
        <w:rPr>
          <w:b w:val="0"/>
          <w:szCs w:val="22"/>
          <w:lang w:val="es-ES" w:eastAsia="en-US"/>
        </w:rPr>
        <w:t>ապահովման նպատակով ՀՀ կառավարության 28.11.2019թ</w:t>
      </w:r>
      <w:r w:rsidRPr="008634E1">
        <w:rPr>
          <w:rFonts w:ascii="MS Mincho" w:eastAsia="MS Mincho" w:hAnsi="MS Mincho" w:cs="MS Mincho" w:hint="eastAsia"/>
          <w:b w:val="0"/>
          <w:szCs w:val="22"/>
          <w:lang w:val="es-ES" w:eastAsia="en-US"/>
        </w:rPr>
        <w:t>․</w:t>
      </w:r>
      <w:r w:rsidRPr="008634E1">
        <w:rPr>
          <w:b w:val="0"/>
          <w:szCs w:val="22"/>
          <w:lang w:val="es-ES" w:eastAsia="en-US"/>
        </w:rPr>
        <w:t xml:space="preserve"> N 1716-Լ որոշմամբ հաստատվել է «Պետական ֆինանսների կառավարման համակարգի 2019-2023 թվականների բարեփոխումների» ռազմավարությունը</w:t>
      </w:r>
      <w:r w:rsidRPr="008634E1">
        <w:rPr>
          <w:b w:val="0"/>
          <w:szCs w:val="22"/>
          <w:lang w:val="hy-AM" w:eastAsia="en-US"/>
        </w:rPr>
        <w:t>։ Վերջինիս</w:t>
      </w:r>
      <w:r w:rsidRPr="008634E1">
        <w:rPr>
          <w:b w:val="0"/>
          <w:szCs w:val="22"/>
          <w:lang w:val="es-ES" w:eastAsia="en-US"/>
        </w:rPr>
        <w:t xml:space="preserve"> գործողությունների ծրագրով նախատեսված են 27 ոլորտների 56 թիրախների ուղղությամբ թվով 93 միջոցառումներ։ Ռազմավարության </w:t>
      </w:r>
      <w:r w:rsidRPr="008634E1">
        <w:rPr>
          <w:b w:val="0"/>
          <w:szCs w:val="22"/>
          <w:lang w:val="hy-AM" w:eastAsia="en-US"/>
        </w:rPr>
        <w:t>բազմատար և բազմապրոֆիլ միջոցառումներ</w:t>
      </w:r>
      <w:r>
        <w:rPr>
          <w:b w:val="0"/>
          <w:szCs w:val="22"/>
          <w:lang w:val="en-US" w:eastAsia="en-US"/>
        </w:rPr>
        <w:t>ի</w:t>
      </w:r>
      <w:r w:rsidRPr="008634E1">
        <w:rPr>
          <w:b w:val="0"/>
          <w:szCs w:val="22"/>
          <w:lang w:val="hy-AM" w:eastAsia="en-US"/>
        </w:rPr>
        <w:t xml:space="preserve"> կատարումը 2019-2023 թվականներին մեծապես </w:t>
      </w:r>
      <w:r>
        <w:rPr>
          <w:b w:val="0"/>
          <w:szCs w:val="22"/>
          <w:lang w:val="en-US" w:eastAsia="en-US"/>
        </w:rPr>
        <w:t>կ</w:t>
      </w:r>
      <w:r w:rsidRPr="008634E1">
        <w:rPr>
          <w:b w:val="0"/>
          <w:szCs w:val="22"/>
          <w:lang w:val="hy-AM" w:eastAsia="en-US"/>
        </w:rPr>
        <w:t>բարձրացն</w:t>
      </w:r>
      <w:r>
        <w:rPr>
          <w:b w:val="0"/>
          <w:szCs w:val="22"/>
          <w:lang w:val="en-US" w:eastAsia="en-US"/>
        </w:rPr>
        <w:t>ի</w:t>
      </w:r>
      <w:r w:rsidRPr="008634E1">
        <w:rPr>
          <w:b w:val="0"/>
          <w:szCs w:val="22"/>
          <w:lang w:val="hy-AM" w:eastAsia="en-US"/>
        </w:rPr>
        <w:t xml:space="preserve"> պետական ծախսերի կառավարման արդյունավետությունը՝ հարկաբյուջետային գործիքների ազդեցության շրջանակը և դրանց թափանացիկությունը</w:t>
      </w:r>
      <w:r w:rsidRPr="008634E1">
        <w:rPr>
          <w:b w:val="0"/>
          <w:szCs w:val="22"/>
          <w:lang w:val="es-ES" w:eastAsia="en-US"/>
        </w:rPr>
        <w:t>,</w:t>
      </w:r>
    </w:p>
    <w:p w:rsidR="005150E5" w:rsidRPr="008634E1" w:rsidRDefault="005150E5" w:rsidP="007730AA">
      <w:pPr>
        <w:numPr>
          <w:ilvl w:val="0"/>
          <w:numId w:val="23"/>
        </w:numPr>
        <w:tabs>
          <w:tab w:val="left" w:pos="-7020"/>
        </w:tabs>
        <w:spacing w:before="0" w:line="276" w:lineRule="auto"/>
        <w:ind w:left="0" w:firstLine="720"/>
        <w:contextualSpacing w:val="0"/>
        <w:rPr>
          <w:b w:val="0"/>
          <w:szCs w:val="22"/>
          <w:lang w:val="hy-AM"/>
        </w:rPr>
      </w:pPr>
      <w:r w:rsidRPr="008634E1">
        <w:rPr>
          <w:b w:val="0"/>
          <w:szCs w:val="22"/>
          <w:lang w:val="hy-AM"/>
        </w:rPr>
        <w:t xml:space="preserve"> ՖՆ կողմից նախաձեռնված բյուջետային ծրագրերի ծախ</w:t>
      </w:r>
      <w:r w:rsidRPr="00CF6C51">
        <w:rPr>
          <w:b w:val="0"/>
          <w:szCs w:val="22"/>
          <w:lang w:val="hy-AM"/>
        </w:rPr>
        <w:t>ս</w:t>
      </w:r>
      <w:r w:rsidRPr="008634E1">
        <w:rPr>
          <w:b w:val="0"/>
          <w:szCs w:val="22"/>
          <w:lang w:val="hy-AM"/>
        </w:rPr>
        <w:t>ակազմման ավտոմատացված համակարգի մշակման և թեստավորման աշխատանքները ավարտվել են 2019 թվականի դեկտեմբերին</w:t>
      </w:r>
      <w:r w:rsidRPr="00CF6C51">
        <w:rPr>
          <w:b w:val="0"/>
          <w:szCs w:val="22"/>
          <w:lang w:val="hy-AM"/>
        </w:rPr>
        <w:t>, համակարգ</w:t>
      </w:r>
      <w:r w:rsidR="00FC544C">
        <w:rPr>
          <w:b w:val="0"/>
          <w:szCs w:val="22"/>
          <w:lang w:val="hy-AM"/>
        </w:rPr>
        <w:t xml:space="preserve">ն ամբողջությամբ </w:t>
      </w:r>
      <w:r w:rsidRPr="00CF6C51">
        <w:rPr>
          <w:b w:val="0"/>
          <w:szCs w:val="22"/>
          <w:lang w:val="hy-AM"/>
        </w:rPr>
        <w:t>կփորձարկվի սույն թվականի դեկտեմբերին՝ 2021 թվականի բյուջեի հիման վրա:</w:t>
      </w:r>
      <w:r w:rsidRPr="008634E1">
        <w:rPr>
          <w:b w:val="0"/>
          <w:szCs w:val="22"/>
          <w:lang w:val="hy-AM"/>
        </w:rPr>
        <w:t xml:space="preserve"> Համակարգը Հայտատու մարմիններին թույլ </w:t>
      </w:r>
      <w:r w:rsidRPr="00CF6C51">
        <w:rPr>
          <w:b w:val="0"/>
          <w:szCs w:val="22"/>
          <w:lang w:val="hy-AM"/>
        </w:rPr>
        <w:t>կտա</w:t>
      </w:r>
      <w:r w:rsidRPr="008634E1">
        <w:rPr>
          <w:b w:val="0"/>
          <w:szCs w:val="22"/>
          <w:lang w:val="hy-AM"/>
        </w:rPr>
        <w:t xml:space="preserve"> առցանց ներկայացնել բյուջետային ֆինանսավորման հայտերի բաղկացուցիչ մաս կազմող </w:t>
      </w:r>
      <w:r>
        <w:rPr>
          <w:b w:val="0"/>
          <w:szCs w:val="22"/>
          <w:lang w:val="hy-AM"/>
        </w:rPr>
        <w:t xml:space="preserve">ծախսերի հաշվարկ-հիմնավորումները, </w:t>
      </w:r>
      <w:r w:rsidRPr="008634E1">
        <w:rPr>
          <w:b w:val="0"/>
          <w:szCs w:val="22"/>
          <w:lang w:val="hy-AM"/>
        </w:rPr>
        <w:t xml:space="preserve">ամփոփել ստացված հայտերի տվյալներն ըստ ծրագրային, գործառնական և տնտեսագիտական դասակարգիչների՝ թույլ տալով անհրաժեշտ մանրամասնությամբ ստանալ ծրագրերի/միջոցառումների </w:t>
      </w:r>
      <w:r>
        <w:rPr>
          <w:b w:val="0"/>
          <w:szCs w:val="22"/>
          <w:lang w:val="hy-AM"/>
        </w:rPr>
        <w:t>ցուցանիշներ</w:t>
      </w:r>
      <w:r w:rsidRPr="008634E1">
        <w:rPr>
          <w:b w:val="0"/>
          <w:szCs w:val="22"/>
          <w:lang w:val="hy-AM"/>
        </w:rPr>
        <w:t>ը։</w:t>
      </w:r>
    </w:p>
    <w:p w:rsidR="005150E5" w:rsidRPr="008634E1" w:rsidRDefault="005150E5" w:rsidP="007730AA">
      <w:pPr>
        <w:numPr>
          <w:ilvl w:val="0"/>
          <w:numId w:val="23"/>
        </w:numPr>
        <w:tabs>
          <w:tab w:val="left" w:pos="-7020"/>
        </w:tabs>
        <w:spacing w:before="0" w:line="276" w:lineRule="auto"/>
        <w:ind w:left="0" w:firstLine="720"/>
        <w:contextualSpacing w:val="0"/>
        <w:rPr>
          <w:b w:val="0"/>
          <w:szCs w:val="22"/>
          <w:lang w:val="hy-AM"/>
        </w:rPr>
      </w:pPr>
      <w:r w:rsidRPr="008634E1">
        <w:rPr>
          <w:b w:val="0"/>
          <w:szCs w:val="22"/>
          <w:lang w:val="hy-AM"/>
        </w:rPr>
        <w:t xml:space="preserve">ՖՆ կողմից նախաձեռնվել են ՄԺԾԾ և տարեկան բյուջեի կազմման մեկ միասնական գործընթացի ապահովման համար իրավական հիմքերի ստեղծման և մեթոդաբանության մշակման աշխատանքներ։ </w:t>
      </w:r>
    </w:p>
    <w:p w:rsidR="005150E5" w:rsidRPr="008634E1" w:rsidRDefault="005150E5" w:rsidP="007730AA">
      <w:pPr>
        <w:numPr>
          <w:ilvl w:val="0"/>
          <w:numId w:val="23"/>
        </w:numPr>
        <w:tabs>
          <w:tab w:val="left" w:pos="-7020"/>
        </w:tabs>
        <w:spacing w:before="0" w:line="276" w:lineRule="auto"/>
        <w:ind w:left="0" w:firstLine="720"/>
        <w:contextualSpacing w:val="0"/>
        <w:rPr>
          <w:b w:val="0"/>
          <w:szCs w:val="22"/>
          <w:lang w:val="hy-AM"/>
        </w:rPr>
      </w:pPr>
      <w:r w:rsidRPr="008634E1">
        <w:rPr>
          <w:b w:val="0"/>
          <w:szCs w:val="22"/>
          <w:lang w:val="hy-AM"/>
        </w:rPr>
        <w:t xml:space="preserve">2021-2023թթ. ՄԺԾԾ և 2021թ. բյուջետային հայտերի կազմման և ներկայացման մեթոդական ցուցումներն արդեն իսկ պարունակում են պետության պարտադիր պարտավորություններից բխող ծրագրերի/ միջոցառումների նույնականացման և հաշվառման  մեթոդաբանություն: </w:t>
      </w:r>
    </w:p>
    <w:p w:rsidR="005150E5" w:rsidRPr="008634E1" w:rsidRDefault="005150E5" w:rsidP="007730AA">
      <w:pPr>
        <w:numPr>
          <w:ilvl w:val="0"/>
          <w:numId w:val="23"/>
        </w:numPr>
        <w:tabs>
          <w:tab w:val="left" w:pos="-7020"/>
        </w:tabs>
        <w:spacing w:before="0" w:line="276" w:lineRule="auto"/>
        <w:ind w:left="0" w:firstLine="720"/>
        <w:contextualSpacing w:val="0"/>
        <w:rPr>
          <w:b w:val="0"/>
          <w:szCs w:val="22"/>
          <w:lang w:val="hy-AM"/>
        </w:rPr>
      </w:pPr>
      <w:r w:rsidRPr="008634E1">
        <w:rPr>
          <w:b w:val="0"/>
          <w:szCs w:val="22"/>
          <w:lang w:val="hy-AM"/>
        </w:rPr>
        <w:t xml:space="preserve"> 2021թ. պետական բյուջեի մասին օրենքն ընդունելուց հետո </w:t>
      </w:r>
      <w:r>
        <w:rPr>
          <w:b w:val="0"/>
          <w:szCs w:val="22"/>
          <w:lang w:val="hy-AM"/>
        </w:rPr>
        <w:t>նախատեսվում է</w:t>
      </w:r>
      <w:r w:rsidRPr="008634E1">
        <w:rPr>
          <w:b w:val="0"/>
          <w:szCs w:val="22"/>
          <w:lang w:val="hy-AM"/>
        </w:rPr>
        <w:t xml:space="preserve"> </w:t>
      </w:r>
      <w:r>
        <w:rPr>
          <w:b w:val="0"/>
          <w:szCs w:val="22"/>
          <w:lang w:val="hy-AM"/>
        </w:rPr>
        <w:t>2021թ քաղաքացու բյուջեի հրապարակում</w:t>
      </w:r>
      <w:r w:rsidRPr="008634E1">
        <w:rPr>
          <w:b w:val="0"/>
          <w:szCs w:val="22"/>
          <w:lang w:val="hy-AM"/>
        </w:rPr>
        <w:t>: Այդ նպատակով մշակվել է պետական մարմինների կողմից քաղաքացու բյուջեի ոլորտային նախագծերի կազմման մեթոդական ցուցումները, որոնք տեղադրվել են ՀՀ ՖՆ պաշտոնական ինտերնետային կայքում, ինչպես նաև պաշտոնապես տրամադրվել է հանրային իշխանության մարմիններին:</w:t>
      </w:r>
    </w:p>
    <w:p w:rsidR="005150E5" w:rsidRPr="008634E1" w:rsidRDefault="005150E5" w:rsidP="007730AA">
      <w:pPr>
        <w:numPr>
          <w:ilvl w:val="0"/>
          <w:numId w:val="23"/>
        </w:numPr>
        <w:tabs>
          <w:tab w:val="left" w:pos="-7020"/>
        </w:tabs>
        <w:spacing w:before="0" w:line="276" w:lineRule="auto"/>
        <w:ind w:left="0" w:firstLine="720"/>
        <w:contextualSpacing w:val="0"/>
        <w:rPr>
          <w:b w:val="0"/>
          <w:szCs w:val="22"/>
          <w:lang w:val="hy-AM"/>
        </w:rPr>
      </w:pPr>
      <w:r w:rsidRPr="008634E1">
        <w:rPr>
          <w:b w:val="0"/>
          <w:szCs w:val="22"/>
          <w:lang w:val="hy-AM"/>
        </w:rPr>
        <w:t xml:space="preserve">2021թ. պետական բյուջեի մշակման գործընթացում ամբողջապես </w:t>
      </w:r>
      <w:r w:rsidRPr="00CF6C51">
        <w:rPr>
          <w:b w:val="0"/>
          <w:szCs w:val="22"/>
          <w:lang w:val="hy-AM"/>
        </w:rPr>
        <w:t>կ</w:t>
      </w:r>
      <w:r w:rsidRPr="008634E1">
        <w:rPr>
          <w:b w:val="0"/>
          <w:szCs w:val="22"/>
          <w:lang w:val="hy-AM"/>
        </w:rPr>
        <w:t>ներդրվեն գենդերային զգայուն բյուջետավորման տարրերը: Այդ նպատակով մշակվել է «Գենդերային զգայուն բյուջետային ծրագրեր</w:t>
      </w:r>
      <w:r>
        <w:rPr>
          <w:b w:val="0"/>
          <w:szCs w:val="22"/>
          <w:lang w:val="hy-AM"/>
        </w:rPr>
        <w:t>ի սահմանման» մեթոդական ձեռնարկը</w:t>
      </w:r>
      <w:r w:rsidRPr="008634E1">
        <w:rPr>
          <w:b w:val="0"/>
          <w:szCs w:val="22"/>
          <w:lang w:val="hy-AM"/>
        </w:rPr>
        <w:t>: ՀՀ կառավարությունը 19.09.2019թ. N 1334-Լ որոշմամբ հաստատել է 2019-2023թթ. գենդերային քաղաքականության ռազմավարությունը և գործողությունների ծրագիրը, որը պետք է արտացոլվի պետական բյուջեում՝ ապահովելով սերտ կապ ՀՀ կառավարության ռազմավարությունների և պետական բյուջեի միջև: Ելնելով այս սկզբունքից՝ բյուջետային ծրագրերը, միջոցառումները, դրանց նպատակները, նկարագրությունները և արդյունքային ցուցանիշները պետք է սերտորեն կապված լինեն նաև գենդերային քաղաքականության ռազմավարության միջոցառումների, նպատակների, գերակայությունների և արդյունքների հետ:</w:t>
      </w:r>
    </w:p>
    <w:p w:rsidR="005150E5" w:rsidRPr="00FC544C" w:rsidRDefault="005150E5" w:rsidP="007730AA">
      <w:pPr>
        <w:numPr>
          <w:ilvl w:val="0"/>
          <w:numId w:val="23"/>
        </w:numPr>
        <w:tabs>
          <w:tab w:val="left" w:pos="-7020"/>
        </w:tabs>
        <w:spacing w:before="0" w:line="276" w:lineRule="auto"/>
        <w:ind w:left="0" w:firstLine="720"/>
        <w:contextualSpacing w:val="0"/>
        <w:rPr>
          <w:b w:val="0"/>
          <w:szCs w:val="22"/>
          <w:lang w:val="hy-AM"/>
        </w:rPr>
      </w:pPr>
      <w:r w:rsidRPr="008634E1">
        <w:rPr>
          <w:b w:val="0"/>
          <w:szCs w:val="22"/>
          <w:lang w:val="hy-AM"/>
        </w:rPr>
        <w:t xml:space="preserve">Պետական մարմինների բյուջետային հայտերի շուրջ հանրային քննարկումների գործընթացն ապահովելու նպատակով մշակվել է պետական մարմինների բյուջետային ծրագրերի մշակման գործընթացին հանրային մասնակցության ապահովման </w:t>
      </w:r>
      <w:r w:rsidRPr="00FC544C">
        <w:rPr>
          <w:b w:val="0"/>
          <w:szCs w:val="22"/>
          <w:lang w:val="hy-AM"/>
        </w:rPr>
        <w:t>մեթոդական ցու</w:t>
      </w:r>
      <w:r w:rsidR="00FC544C">
        <w:rPr>
          <w:b w:val="0"/>
          <w:szCs w:val="22"/>
          <w:lang w:val="hy-AM"/>
        </w:rPr>
        <w:t xml:space="preserve">ցումներ </w:t>
      </w:r>
      <w:r w:rsidR="00FC544C" w:rsidRPr="00FC544C">
        <w:rPr>
          <w:b w:val="0"/>
          <w:szCs w:val="22"/>
          <w:lang w:val="hy-AM"/>
        </w:rPr>
        <w:t>(</w:t>
      </w:r>
      <w:r w:rsidRPr="008634E1">
        <w:rPr>
          <w:b w:val="0"/>
          <w:szCs w:val="22"/>
          <w:lang w:val="hy-AM"/>
        </w:rPr>
        <w:t xml:space="preserve">տեղադրվել </w:t>
      </w:r>
      <w:r w:rsidR="0023395F">
        <w:rPr>
          <w:b w:val="0"/>
          <w:szCs w:val="22"/>
          <w:lang w:val="hy-AM"/>
        </w:rPr>
        <w:t>է</w:t>
      </w:r>
      <w:r w:rsidRPr="008634E1">
        <w:rPr>
          <w:b w:val="0"/>
          <w:szCs w:val="22"/>
          <w:lang w:val="hy-AM"/>
        </w:rPr>
        <w:t xml:space="preserve"> ՀՀ ՖՆ պաշտոնական ինտերնետային կայքում և տրամադրվել բոլոր պետական մարմիններին</w:t>
      </w:r>
      <w:r w:rsidR="0023395F" w:rsidRPr="0023395F">
        <w:rPr>
          <w:b w:val="0"/>
          <w:szCs w:val="22"/>
          <w:lang w:val="hy-AM"/>
        </w:rPr>
        <w:t>)</w:t>
      </w:r>
      <w:r w:rsidRPr="008634E1">
        <w:rPr>
          <w:b w:val="0"/>
          <w:szCs w:val="22"/>
          <w:lang w:val="hy-AM"/>
        </w:rPr>
        <w:t>:</w:t>
      </w:r>
    </w:p>
    <w:p w:rsidR="007A5F0F" w:rsidRPr="00DF48E4" w:rsidRDefault="007A5F0F" w:rsidP="007730AA">
      <w:pPr>
        <w:keepNext/>
        <w:tabs>
          <w:tab w:val="left" w:pos="567"/>
        </w:tabs>
        <w:spacing w:before="0" w:line="276" w:lineRule="auto"/>
        <w:ind w:firstLine="720"/>
        <w:contextualSpacing w:val="0"/>
        <w:outlineLvl w:val="2"/>
        <w:rPr>
          <w:rFonts w:cs="Arial"/>
          <w:szCs w:val="22"/>
          <w:highlight w:val="yellow"/>
          <w:lang w:val="hy-AM" w:eastAsia="en-US"/>
        </w:rPr>
      </w:pPr>
      <w:bookmarkStart w:id="50" w:name="_Toc57655436"/>
      <w:r w:rsidRPr="00AA47F6">
        <w:rPr>
          <w:rFonts w:cs="Arial"/>
          <w:szCs w:val="22"/>
          <w:lang w:val="hy-AM" w:eastAsia="en-US"/>
        </w:rPr>
        <w:t>Հաշվապահական հաշվառման և աուդիտորական գործունեությ</w:t>
      </w:r>
      <w:r>
        <w:rPr>
          <w:rFonts w:cs="Arial"/>
          <w:szCs w:val="22"/>
          <w:lang w:val="hy-AM" w:eastAsia="en-US"/>
        </w:rPr>
        <w:t>ու</w:t>
      </w:r>
      <w:r w:rsidRPr="00AA47F6">
        <w:rPr>
          <w:rFonts w:cs="Arial"/>
          <w:szCs w:val="22"/>
          <w:lang w:val="hy-AM" w:eastAsia="en-US"/>
        </w:rPr>
        <w:t>ն</w:t>
      </w:r>
      <w:bookmarkEnd w:id="50"/>
    </w:p>
    <w:p w:rsidR="007A5F0F" w:rsidRDefault="007A5F0F" w:rsidP="007730AA">
      <w:pPr>
        <w:tabs>
          <w:tab w:val="left" w:pos="567"/>
        </w:tabs>
        <w:spacing w:before="0" w:line="276" w:lineRule="auto"/>
        <w:ind w:firstLine="720"/>
        <w:contextualSpacing w:val="0"/>
        <w:rPr>
          <w:b w:val="0"/>
          <w:szCs w:val="22"/>
          <w:lang w:val="hy-AM" w:eastAsia="en-US"/>
        </w:rPr>
      </w:pPr>
      <w:r w:rsidRPr="00AA47F6">
        <w:rPr>
          <w:b w:val="0"/>
          <w:szCs w:val="22"/>
          <w:lang w:val="hy-AM" w:eastAsia="en-US"/>
        </w:rPr>
        <w:t xml:space="preserve">Հայաստանի Հանրապետության կառավարության նախաձեռնած հաշվապահական հաշվառման և աուդիտորական գործունեության ոլորտներում իրականացվող բարեփոխումների շրջանակում՝ 2019 թվականի դեկտեմբերի 4-ին ՀՀ Ազգային ժողովի կողմից ընդունվել և 2020 թվականի հունվարի 1-ից ուժի մեջ են մտել «Հաշվապահական հաշվառման մասին», «Աուդիտորական գործունեության մասին», «Հաշվապահական հաշվառման և աուդիտորական գործունեության կարգավորման և հանրային վերահսկողության մասին» ՀՀ օրենքները։ Ընդունված օրենսդրական փաթեթով պետական կարգավորման որոշակի գործառույթներ պատվիրակվել են մասնագիտացված կառույցներին՝ ներդնելով մասնագիտացված կառույցներ–հանրային վերահսկողության խորհուրդ մոդելը։ 2021 թվականի ընթացքում նախատեսվում է շարունակել և ամբողջականացնել վերը նշված օրենքներով նախատեսված կառուցակարգերի ներդրման աշխատանքները։ </w:t>
      </w:r>
    </w:p>
    <w:p w:rsidR="007A5F0F" w:rsidRPr="00C5304D" w:rsidRDefault="007A5F0F" w:rsidP="007730AA">
      <w:pPr>
        <w:tabs>
          <w:tab w:val="left" w:pos="567"/>
        </w:tabs>
        <w:spacing w:before="0" w:line="276" w:lineRule="auto"/>
        <w:ind w:firstLine="720"/>
        <w:contextualSpacing w:val="0"/>
        <w:rPr>
          <w:b w:val="0"/>
          <w:szCs w:val="22"/>
          <w:lang w:val="hy-AM" w:eastAsia="en-US"/>
        </w:rPr>
      </w:pPr>
      <w:r w:rsidRPr="00AA47F6">
        <w:rPr>
          <w:b w:val="0"/>
          <w:szCs w:val="22"/>
          <w:lang w:val="hy-AM" w:eastAsia="en-US"/>
        </w:rPr>
        <w:t xml:space="preserve">Հանրային հատվածի հաշվապահական հաշվառման ոլորտում՝ 2021 թվականի ընթացքում շարունակվելու է հանրային հատվածի հաշվապահների որակավորման գործընթացը՝ հաշվապահի որակավորման քննությունների կազմակերպման միջոցով։ Միաժամանակ, շարունակվելու են հանրային հատվածի կազմակերպությունների կողմից ներկայացված հաշվապահական հաշվառման գրանցամատյանների և ֆինանսական հաշվետվությունների փաթեթների մշտադիտարկման աշխատանքները, որոնց արդյունքում վեր հանված անճշտությունների և սխալների ուղղման ուղղությամբ մասնագիտական տեղեկատու պարբերականների միջոցով գործնական առաջարկներ են ներկայացվելու հանրային հատվածի կազմակերպություններին։ </w:t>
      </w:r>
      <w:r w:rsidRPr="00DF48E4">
        <w:rPr>
          <w:b w:val="0"/>
          <w:szCs w:val="22"/>
          <w:highlight w:val="yellow"/>
          <w:lang w:val="hy-AM" w:eastAsia="en-US"/>
        </w:rPr>
        <w:t xml:space="preserve"> </w:t>
      </w:r>
    </w:p>
    <w:p w:rsidR="007A5F0F" w:rsidRDefault="007A5F0F" w:rsidP="007730AA">
      <w:pPr>
        <w:keepNext/>
        <w:tabs>
          <w:tab w:val="left" w:pos="567"/>
        </w:tabs>
        <w:spacing w:before="0" w:line="276" w:lineRule="auto"/>
        <w:ind w:firstLine="720"/>
        <w:contextualSpacing w:val="0"/>
        <w:outlineLvl w:val="2"/>
        <w:rPr>
          <w:rFonts w:cs="Arial"/>
          <w:szCs w:val="22"/>
          <w:lang w:val="hy-AM"/>
        </w:rPr>
      </w:pPr>
      <w:bookmarkStart w:id="51" w:name="_Toc530663240"/>
      <w:bookmarkStart w:id="52" w:name="_Toc26174908"/>
      <w:bookmarkStart w:id="53" w:name="_Toc57655437"/>
      <w:r w:rsidRPr="00BC100A">
        <w:rPr>
          <w:rFonts w:cs="Arial"/>
          <w:szCs w:val="22"/>
          <w:lang w:val="hy-AM"/>
        </w:rPr>
        <w:t>Եկամուտների քաղաքականության ոլորտ</w:t>
      </w:r>
      <w:bookmarkEnd w:id="51"/>
      <w:bookmarkEnd w:id="52"/>
      <w:bookmarkEnd w:id="53"/>
    </w:p>
    <w:p w:rsidR="007A5F0F" w:rsidRPr="00850307" w:rsidRDefault="007A5F0F" w:rsidP="007730AA">
      <w:pPr>
        <w:pStyle w:val="BodyText2"/>
        <w:ind w:left="0" w:firstLine="720"/>
        <w:rPr>
          <w:rFonts w:cs="Arial"/>
        </w:rPr>
      </w:pPr>
      <w:r w:rsidRPr="00850307">
        <w:t xml:space="preserve">Եկամուտների քաղաքականության ոլորտում իրականացվելիք միջոցառումները բխելու են ՀՀ կառավարության ծրագրից, Պետական ֆինանսների կառավարման համակարգի 2019-2023 թվականների բարեփոխումների ռազմավարությունից, ինչպես նաև Հայաստանի Հանրապետությունում հարկային բարեփոխումների իրականացման հայեցակարգով ամրագրված հայեցակարգային դրույթներից: </w:t>
      </w:r>
    </w:p>
    <w:p w:rsidR="007A5F0F" w:rsidRPr="00850307" w:rsidRDefault="007A5F0F" w:rsidP="007730AA">
      <w:pPr>
        <w:pStyle w:val="BodyText2"/>
        <w:ind w:left="0" w:firstLine="720"/>
        <w:rPr>
          <w:rFonts w:cs="Arial"/>
        </w:rPr>
      </w:pPr>
      <w:r w:rsidRPr="00850307">
        <w:t>ՀՀ կառավարության ծրագրում ամրագրված ծրագրային դրույթների իրագործման մասով աշխատանքների մի մասն արդեն իսկ կատարված է: Մասնավորապես, 2020 թվականի հունիսի 25-ին ՀՀ Ազգային ժողովի կողմից ընդունվել է «Հայաստանի Հանրապետության հարկային օրենսգրքում փոփոխություններ և լրացումներ կատարելու մասին» ՀՀ օրենքի նախագիծը, որով համակարգային փոփոխություններ են կատարվել անշարժ գույքի հարկման ոլորտում: Կատարված փոփոխությունների հիմնական նպատակը անշարժ գույքի, այդ թվում՝ տեսանելի հարստության և բարձրարժեք գույքի համարժեք հարկումն է՝ հիմքում ունենալով շուկայական արժեքին մոտարկված արժեքը՝ որպես հարկման բազա:</w:t>
      </w:r>
    </w:p>
    <w:p w:rsidR="007A5F0F" w:rsidRPr="00850307" w:rsidRDefault="007A5F0F" w:rsidP="007730AA">
      <w:pPr>
        <w:pStyle w:val="BodyText2"/>
        <w:ind w:left="0" w:firstLine="720"/>
        <w:rPr>
          <w:rFonts w:cs="Arial"/>
        </w:rPr>
      </w:pPr>
      <w:r w:rsidRPr="00850307">
        <w:t xml:space="preserve">Հարկային քաղաքականության ոլորտում Կառավարության առաջիկայում կատարվելիք աշխատանքներն ուղղված են լինելու՝ </w:t>
      </w:r>
    </w:p>
    <w:p w:rsidR="007A5F0F" w:rsidRDefault="007A5F0F" w:rsidP="007730AA">
      <w:pPr>
        <w:pStyle w:val="ListParagraph"/>
        <w:numPr>
          <w:ilvl w:val="0"/>
          <w:numId w:val="23"/>
        </w:numPr>
        <w:tabs>
          <w:tab w:val="left" w:pos="567"/>
        </w:tabs>
        <w:spacing w:before="0" w:line="276" w:lineRule="auto"/>
        <w:ind w:left="0" w:firstLine="720"/>
        <w:contextualSpacing w:val="0"/>
        <w:rPr>
          <w:rFonts w:cs="Sylfaen"/>
          <w:b w:val="0"/>
          <w:szCs w:val="22"/>
          <w:lang w:val="hy-AM"/>
        </w:rPr>
      </w:pPr>
      <w:r>
        <w:rPr>
          <w:rFonts w:cs="Sylfaen"/>
          <w:b w:val="0"/>
          <w:szCs w:val="22"/>
          <w:lang w:val="hy-AM"/>
        </w:rPr>
        <w:t xml:space="preserve"> </w:t>
      </w:r>
      <w:r w:rsidRPr="000641BD">
        <w:rPr>
          <w:rFonts w:cs="Sylfaen"/>
          <w:b w:val="0"/>
          <w:szCs w:val="22"/>
          <w:lang w:val="hy-AM"/>
        </w:rPr>
        <w:t xml:space="preserve">հարկային արտոնությունների շրջանակի և հարկային ծախսերի կրճատման ուղղությամբ վերլուծությունների իրականացմանը և </w:t>
      </w:r>
      <w:r w:rsidRPr="00DF3878">
        <w:rPr>
          <w:rFonts w:cs="Sylfaen"/>
          <w:b w:val="0"/>
          <w:szCs w:val="22"/>
          <w:lang w:val="hy-AM"/>
        </w:rPr>
        <w:t xml:space="preserve">ոչ </w:t>
      </w:r>
      <w:r w:rsidRPr="000641BD">
        <w:rPr>
          <w:rFonts w:cs="Sylfaen"/>
          <w:b w:val="0"/>
          <w:szCs w:val="22"/>
          <w:lang w:val="hy-AM"/>
        </w:rPr>
        <w:t>արդյունավետ գնահատված հարկային արտոնությունները վերացնելու նպատակով առաջարկությունների ներկայացմանը,</w:t>
      </w:r>
    </w:p>
    <w:p w:rsidR="007A5F0F" w:rsidRDefault="007A5F0F" w:rsidP="007730AA">
      <w:pPr>
        <w:pStyle w:val="ListParagraph"/>
        <w:numPr>
          <w:ilvl w:val="0"/>
          <w:numId w:val="23"/>
        </w:numPr>
        <w:tabs>
          <w:tab w:val="left" w:pos="567"/>
        </w:tabs>
        <w:spacing w:before="0" w:line="276" w:lineRule="auto"/>
        <w:ind w:left="0" w:firstLine="720"/>
        <w:contextualSpacing w:val="0"/>
        <w:rPr>
          <w:rFonts w:cs="Sylfaen"/>
          <w:b w:val="0"/>
          <w:szCs w:val="22"/>
          <w:lang w:val="hy-AM"/>
        </w:rPr>
      </w:pPr>
      <w:r>
        <w:rPr>
          <w:rFonts w:cs="Sylfaen"/>
          <w:b w:val="0"/>
          <w:szCs w:val="22"/>
          <w:lang w:val="hy-AM"/>
        </w:rPr>
        <w:t xml:space="preserve"> </w:t>
      </w:r>
      <w:r w:rsidRPr="000641BD">
        <w:rPr>
          <w:rFonts w:cs="Sylfaen"/>
          <w:b w:val="0"/>
          <w:szCs w:val="22"/>
          <w:lang w:val="hy-AM"/>
        </w:rPr>
        <w:t>շրջանառության հարկի գծով հարկային բեռի վերանայմանը՝ նպատակ ունենալով վերացնել հարկման տարբեր համակարգերի միջև գոյություն ունեցող հարկային բեռի տարբերությունները,</w:t>
      </w:r>
    </w:p>
    <w:p w:rsidR="007A5F0F" w:rsidRDefault="007A5F0F" w:rsidP="007730AA">
      <w:pPr>
        <w:pStyle w:val="ListParagraph"/>
        <w:numPr>
          <w:ilvl w:val="0"/>
          <w:numId w:val="23"/>
        </w:numPr>
        <w:tabs>
          <w:tab w:val="left" w:pos="567"/>
        </w:tabs>
        <w:spacing w:before="0" w:line="276" w:lineRule="auto"/>
        <w:ind w:left="0" w:firstLine="720"/>
        <w:contextualSpacing w:val="0"/>
        <w:rPr>
          <w:rFonts w:cs="Sylfaen"/>
          <w:b w:val="0"/>
          <w:szCs w:val="22"/>
          <w:lang w:val="hy-AM"/>
        </w:rPr>
      </w:pPr>
      <w:r>
        <w:rPr>
          <w:rFonts w:cs="Sylfaen"/>
          <w:b w:val="0"/>
          <w:szCs w:val="22"/>
          <w:lang w:val="hy-AM"/>
        </w:rPr>
        <w:t xml:space="preserve"> </w:t>
      </w:r>
      <w:r w:rsidRPr="000641BD">
        <w:rPr>
          <w:rFonts w:cs="Sylfaen"/>
          <w:b w:val="0"/>
          <w:szCs w:val="22"/>
          <w:lang w:val="hy-AM"/>
        </w:rPr>
        <w:t>գյուղատնտեսական արտադրանքի իրացման գործարքների փաստաթղթավորման հետ կապված խնդիրների կարգավորմանը՝ նպատակ ունենալով ստեղծել գյուղատնտեսական արտադրանքի իրացման գործարքների փաստաթղթավորման համար նոր՝ գործնականում կիրառելի փաստաթղթավորման համակարգ,</w:t>
      </w:r>
    </w:p>
    <w:p w:rsidR="007A5F0F" w:rsidRPr="000641BD" w:rsidRDefault="007A5F0F" w:rsidP="007730AA">
      <w:pPr>
        <w:pStyle w:val="ListParagraph"/>
        <w:numPr>
          <w:ilvl w:val="0"/>
          <w:numId w:val="23"/>
        </w:numPr>
        <w:tabs>
          <w:tab w:val="left" w:pos="567"/>
        </w:tabs>
        <w:spacing w:before="0" w:line="276" w:lineRule="auto"/>
        <w:ind w:left="0" w:firstLine="720"/>
        <w:contextualSpacing w:val="0"/>
        <w:rPr>
          <w:rFonts w:cs="Sylfaen"/>
          <w:b w:val="0"/>
          <w:szCs w:val="22"/>
          <w:lang w:val="hy-AM"/>
        </w:rPr>
      </w:pPr>
      <w:r>
        <w:rPr>
          <w:rFonts w:cs="Sylfaen"/>
          <w:b w:val="0"/>
          <w:szCs w:val="22"/>
          <w:lang w:val="hy-AM"/>
        </w:rPr>
        <w:t xml:space="preserve"> </w:t>
      </w:r>
      <w:r w:rsidRPr="000641BD">
        <w:rPr>
          <w:rFonts w:cs="Sylfaen"/>
          <w:b w:val="0"/>
          <w:szCs w:val="22"/>
          <w:lang w:val="hy-AM"/>
        </w:rPr>
        <w:t>տնտեսական շարժառիթների հիման վրա գործող՝ եկամուտների հայտարարագրման համակարգի ներդրմանը, որի շրջանակներում ֆիզիկական անձինք, հարկման բազայից որոշակի նվազեցումներ կատարելու և տարվա ընթացքում այսպես կոչված «ավել վճարված» հարկի գումարը հետ ստանալու իրենց իրավունքից օգտվելու համար, տարեկան մեկ անգամ կներկայացնեն իրենց համախառն եկամուտների (այդ թվում՝ տարվա ընթացքում հարկային գործակալի կողմից հարկված) վերաբերյալ համախմբված հայտարարագիր:</w:t>
      </w:r>
    </w:p>
    <w:p w:rsidR="007A5F0F" w:rsidRPr="00850307" w:rsidRDefault="007A5F0F" w:rsidP="007730AA">
      <w:pPr>
        <w:keepNext/>
        <w:tabs>
          <w:tab w:val="left" w:pos="567"/>
        </w:tabs>
        <w:spacing w:before="0" w:line="276" w:lineRule="auto"/>
        <w:ind w:firstLine="720"/>
        <w:contextualSpacing w:val="0"/>
        <w:outlineLvl w:val="2"/>
        <w:rPr>
          <w:rFonts w:cs="Arial"/>
          <w:szCs w:val="22"/>
          <w:lang w:val="hy-AM"/>
        </w:rPr>
      </w:pPr>
      <w:bookmarkStart w:id="54" w:name="_Toc57655438"/>
      <w:r w:rsidRPr="00843049">
        <w:rPr>
          <w:rFonts w:cs="Arial"/>
          <w:szCs w:val="22"/>
          <w:lang w:val="hy-AM"/>
        </w:rPr>
        <w:t>Կապիտալի շուկայի զարգացում</w:t>
      </w:r>
      <w:bookmarkEnd w:id="54"/>
    </w:p>
    <w:p w:rsidR="007A5F0F" w:rsidRPr="00B929F0" w:rsidRDefault="007A5F0F" w:rsidP="007730AA">
      <w:pPr>
        <w:tabs>
          <w:tab w:val="left" w:pos="567"/>
        </w:tabs>
        <w:spacing w:before="0" w:line="276" w:lineRule="auto"/>
        <w:ind w:firstLine="720"/>
        <w:contextualSpacing w:val="0"/>
        <w:rPr>
          <w:b w:val="0"/>
          <w:szCs w:val="22"/>
          <w:highlight w:val="yellow"/>
          <w:lang w:val="hy-AM"/>
        </w:rPr>
      </w:pPr>
      <w:r w:rsidRPr="00843049">
        <w:rPr>
          <w:b w:val="0"/>
          <w:szCs w:val="22"/>
          <w:lang w:val="hy-AM"/>
        </w:rPr>
        <w:t xml:space="preserve">Հայաստանի կապիտալի շուկայի զարգացման ուղղությամբ թիրախավորված, կոորդինացված և արդյունավետ գործողություններ իրականացնելու համար 2021 թվականին նախատեսվում </w:t>
      </w:r>
      <w:r w:rsidRPr="00DF3878">
        <w:rPr>
          <w:b w:val="0"/>
          <w:szCs w:val="22"/>
          <w:lang w:val="hy-AM"/>
        </w:rPr>
        <w:t>է</w:t>
      </w:r>
      <w:r w:rsidRPr="00843049">
        <w:rPr>
          <w:b w:val="0"/>
          <w:szCs w:val="22"/>
          <w:lang w:val="hy-AM"/>
        </w:rPr>
        <w:t>.</w:t>
      </w:r>
    </w:p>
    <w:p w:rsidR="007A5F0F" w:rsidRDefault="007A5F0F" w:rsidP="007730AA">
      <w:pPr>
        <w:pStyle w:val="ListParagraph"/>
        <w:numPr>
          <w:ilvl w:val="0"/>
          <w:numId w:val="30"/>
        </w:numPr>
        <w:tabs>
          <w:tab w:val="left" w:pos="567"/>
        </w:tabs>
        <w:spacing w:before="0" w:line="276" w:lineRule="auto"/>
        <w:ind w:left="0" w:firstLine="720"/>
        <w:contextualSpacing w:val="0"/>
        <w:rPr>
          <w:b w:val="0"/>
          <w:szCs w:val="22"/>
          <w:lang w:val="hy-AM"/>
        </w:rPr>
      </w:pPr>
      <w:r w:rsidRPr="00B929F0">
        <w:rPr>
          <w:b w:val="0"/>
          <w:szCs w:val="22"/>
          <w:lang w:val="hy-AM"/>
        </w:rPr>
        <w:t xml:space="preserve">  </w:t>
      </w:r>
      <w:r>
        <w:rPr>
          <w:b w:val="0"/>
          <w:szCs w:val="22"/>
          <w:lang w:val="hy-AM"/>
        </w:rPr>
        <w:t>վ</w:t>
      </w:r>
      <w:r w:rsidRPr="00B929F0">
        <w:rPr>
          <w:b w:val="0"/>
          <w:szCs w:val="22"/>
          <w:lang w:val="hy-AM"/>
        </w:rPr>
        <w:t>երլուծել ներդրումային և բանկային ծառայությունների առավել խիստ գործառնական տարանջատման առավելությունները և թերությունները, առաջարկել տարանջատման իրականացման համար անհրաժեշտ մեխանիզմներ</w:t>
      </w:r>
      <w:r w:rsidRPr="005C6804">
        <w:rPr>
          <w:b w:val="0"/>
          <w:szCs w:val="22"/>
          <w:lang w:val="hy-AM"/>
        </w:rPr>
        <w:t>,</w:t>
      </w:r>
    </w:p>
    <w:p w:rsidR="007A5F0F" w:rsidRDefault="007A5F0F" w:rsidP="007730AA">
      <w:pPr>
        <w:pStyle w:val="ListParagraph"/>
        <w:numPr>
          <w:ilvl w:val="0"/>
          <w:numId w:val="30"/>
        </w:numPr>
        <w:tabs>
          <w:tab w:val="left" w:pos="567"/>
        </w:tabs>
        <w:spacing w:before="0" w:line="276" w:lineRule="auto"/>
        <w:ind w:left="0" w:firstLine="720"/>
        <w:contextualSpacing w:val="0"/>
        <w:rPr>
          <w:b w:val="0"/>
          <w:szCs w:val="22"/>
          <w:lang w:val="hy-AM"/>
        </w:rPr>
      </w:pPr>
      <w:r>
        <w:rPr>
          <w:b w:val="0"/>
          <w:szCs w:val="22"/>
          <w:lang w:val="hy-AM"/>
        </w:rPr>
        <w:t xml:space="preserve">  </w:t>
      </w:r>
      <w:r w:rsidRPr="005C6804">
        <w:rPr>
          <w:b w:val="0"/>
          <w:szCs w:val="22"/>
          <w:lang w:val="hy-AM"/>
        </w:rPr>
        <w:t>առաջնային դիլերների հետ կնքվող համաձայնագրի վերանայում՝ առաջնային և երկրորդային շուկաներում մասնակիցների իրավունքներն ու պարտավորությունները հավասարակշռելու և լրացուցիչ խթաններ նախատեսելու համար</w:t>
      </w:r>
      <w:r>
        <w:rPr>
          <w:b w:val="0"/>
          <w:szCs w:val="22"/>
          <w:lang w:val="hy-AM"/>
        </w:rPr>
        <w:t>,</w:t>
      </w:r>
    </w:p>
    <w:p w:rsidR="007A5F0F" w:rsidRDefault="007A5F0F" w:rsidP="007730AA">
      <w:pPr>
        <w:pStyle w:val="ListParagraph"/>
        <w:numPr>
          <w:ilvl w:val="0"/>
          <w:numId w:val="30"/>
        </w:numPr>
        <w:tabs>
          <w:tab w:val="left" w:pos="567"/>
        </w:tabs>
        <w:spacing w:before="0" w:line="276" w:lineRule="auto"/>
        <w:ind w:left="0" w:firstLine="720"/>
        <w:contextualSpacing w:val="0"/>
        <w:rPr>
          <w:b w:val="0"/>
          <w:szCs w:val="22"/>
          <w:lang w:val="hy-AM"/>
        </w:rPr>
      </w:pPr>
      <w:r>
        <w:rPr>
          <w:b w:val="0"/>
          <w:szCs w:val="22"/>
          <w:lang w:val="hy-AM"/>
        </w:rPr>
        <w:t xml:space="preserve">  </w:t>
      </w:r>
      <w:r w:rsidRPr="00A52485">
        <w:rPr>
          <w:b w:val="0"/>
          <w:szCs w:val="22"/>
          <w:lang w:val="hy-AM"/>
        </w:rPr>
        <w:t>աշխատանքներ ռեպո շուկայի խորացման, այդ թվում՝ ֆինանսական շուկայի մասնակիցների հետ գլոբալ գլխավոր ռեպո համաձայնագրերի (ICMA Global Master Repurchase Agreements) ներդրման ուղղությամբ, որը հնարավորություն կտա ստանդարտացնել ռեպո գործառնությունների պայմանագրերը</w:t>
      </w:r>
      <w:r>
        <w:rPr>
          <w:b w:val="0"/>
          <w:szCs w:val="22"/>
          <w:lang w:val="hy-AM"/>
        </w:rPr>
        <w:t>,</w:t>
      </w:r>
    </w:p>
    <w:p w:rsidR="007A5F0F" w:rsidRDefault="007A5F0F" w:rsidP="007730AA">
      <w:pPr>
        <w:pStyle w:val="ListParagraph"/>
        <w:numPr>
          <w:ilvl w:val="0"/>
          <w:numId w:val="30"/>
        </w:numPr>
        <w:tabs>
          <w:tab w:val="left" w:pos="567"/>
        </w:tabs>
        <w:spacing w:before="0" w:line="276" w:lineRule="auto"/>
        <w:ind w:left="0" w:firstLine="720"/>
        <w:contextualSpacing w:val="0"/>
        <w:rPr>
          <w:b w:val="0"/>
          <w:szCs w:val="22"/>
          <w:lang w:val="hy-AM"/>
        </w:rPr>
      </w:pPr>
      <w:r>
        <w:rPr>
          <w:b w:val="0"/>
          <w:szCs w:val="22"/>
          <w:lang w:val="hy-AM"/>
        </w:rPr>
        <w:t xml:space="preserve">  </w:t>
      </w:r>
      <w:r w:rsidRPr="00A52485">
        <w:rPr>
          <w:b w:val="0"/>
          <w:szCs w:val="22"/>
          <w:lang w:val="hy-AM"/>
        </w:rPr>
        <w:t>խոշոր համայնքների (մասնավորապես՝ Երևան քաղաքի) կողմից պարտատոմսերի շուկայի միջոցով ֆինանսավորման իրականացում</w:t>
      </w:r>
      <w:r>
        <w:rPr>
          <w:b w:val="0"/>
          <w:szCs w:val="22"/>
          <w:lang w:val="hy-AM"/>
        </w:rPr>
        <w:t>,</w:t>
      </w:r>
    </w:p>
    <w:p w:rsidR="007A5F0F" w:rsidRDefault="007A5F0F" w:rsidP="007730AA">
      <w:pPr>
        <w:pStyle w:val="ListParagraph"/>
        <w:numPr>
          <w:ilvl w:val="0"/>
          <w:numId w:val="30"/>
        </w:numPr>
        <w:tabs>
          <w:tab w:val="left" w:pos="567"/>
        </w:tabs>
        <w:spacing w:before="0" w:line="276" w:lineRule="auto"/>
        <w:ind w:left="0" w:firstLine="720"/>
        <w:contextualSpacing w:val="0"/>
        <w:rPr>
          <w:b w:val="0"/>
          <w:szCs w:val="22"/>
          <w:lang w:val="hy-AM"/>
        </w:rPr>
      </w:pPr>
      <w:r>
        <w:rPr>
          <w:b w:val="0"/>
          <w:szCs w:val="22"/>
          <w:lang w:val="hy-AM"/>
        </w:rPr>
        <w:t xml:space="preserve">  </w:t>
      </w:r>
      <w:r w:rsidRPr="00A52485">
        <w:rPr>
          <w:b w:val="0"/>
          <w:szCs w:val="22"/>
          <w:lang w:val="hy-AM"/>
        </w:rPr>
        <w:t>աճի պոտենցիալ ունեցող պետական մասնակցությամբ մի քանի ընկերությունների կամ դրանց բաժնետոմսերի առնվազն մի մասի մասնավորեցում ֆոնդային բորսայում հրապարակային առաջարկի միջոցով</w:t>
      </w:r>
      <w:r>
        <w:rPr>
          <w:b w:val="0"/>
          <w:szCs w:val="22"/>
          <w:lang w:val="hy-AM"/>
        </w:rPr>
        <w:t>,</w:t>
      </w:r>
    </w:p>
    <w:p w:rsidR="007A5F0F" w:rsidRDefault="007A5F0F" w:rsidP="007730AA">
      <w:pPr>
        <w:pStyle w:val="ListParagraph"/>
        <w:numPr>
          <w:ilvl w:val="0"/>
          <w:numId w:val="30"/>
        </w:numPr>
        <w:tabs>
          <w:tab w:val="left" w:pos="567"/>
        </w:tabs>
        <w:spacing w:before="0" w:line="276" w:lineRule="auto"/>
        <w:ind w:left="0" w:firstLine="720"/>
        <w:contextualSpacing w:val="0"/>
        <w:rPr>
          <w:b w:val="0"/>
          <w:szCs w:val="22"/>
          <w:lang w:val="hy-AM"/>
        </w:rPr>
      </w:pPr>
      <w:r>
        <w:rPr>
          <w:b w:val="0"/>
          <w:szCs w:val="22"/>
          <w:lang w:val="hy-AM"/>
        </w:rPr>
        <w:t xml:space="preserve">  </w:t>
      </w:r>
      <w:r w:rsidRPr="00A52485">
        <w:rPr>
          <w:b w:val="0"/>
          <w:szCs w:val="22"/>
          <w:lang w:val="hy-AM"/>
        </w:rPr>
        <w:t>խոշոր ընկերությունների կողմից կապիտալի շուկայի միջոցով ներդրումների ներգրավմանն աջակցություն</w:t>
      </w:r>
      <w:r>
        <w:rPr>
          <w:b w:val="0"/>
          <w:szCs w:val="22"/>
          <w:lang w:val="hy-AM"/>
        </w:rPr>
        <w:t>,</w:t>
      </w:r>
    </w:p>
    <w:p w:rsidR="007A5F0F" w:rsidRDefault="007A5F0F" w:rsidP="007730AA">
      <w:pPr>
        <w:pStyle w:val="ListParagraph"/>
        <w:numPr>
          <w:ilvl w:val="0"/>
          <w:numId w:val="30"/>
        </w:numPr>
        <w:tabs>
          <w:tab w:val="left" w:pos="567"/>
        </w:tabs>
        <w:spacing w:before="0" w:line="276" w:lineRule="auto"/>
        <w:ind w:left="0" w:firstLine="720"/>
        <w:contextualSpacing w:val="0"/>
        <w:rPr>
          <w:b w:val="0"/>
          <w:szCs w:val="22"/>
          <w:lang w:val="hy-AM"/>
        </w:rPr>
      </w:pPr>
      <w:r>
        <w:rPr>
          <w:b w:val="0"/>
          <w:szCs w:val="22"/>
          <w:lang w:val="hy-AM"/>
        </w:rPr>
        <w:t xml:space="preserve">  </w:t>
      </w:r>
      <w:r w:rsidRPr="00A52485">
        <w:rPr>
          <w:b w:val="0"/>
          <w:szCs w:val="22"/>
          <w:lang w:val="hy-AM"/>
        </w:rPr>
        <w:t>Standard&amp;Poor's-ի սուվերեն վարկանիշի ստացում</w:t>
      </w:r>
      <w:r>
        <w:rPr>
          <w:b w:val="0"/>
          <w:szCs w:val="22"/>
          <w:lang w:val="hy-AM"/>
        </w:rPr>
        <w:t>,</w:t>
      </w:r>
    </w:p>
    <w:p w:rsidR="007A5F0F" w:rsidRDefault="007A5F0F" w:rsidP="007730AA">
      <w:pPr>
        <w:pStyle w:val="ListParagraph"/>
        <w:numPr>
          <w:ilvl w:val="0"/>
          <w:numId w:val="30"/>
        </w:numPr>
        <w:tabs>
          <w:tab w:val="left" w:pos="567"/>
        </w:tabs>
        <w:spacing w:before="0" w:line="276" w:lineRule="auto"/>
        <w:ind w:left="0" w:firstLine="720"/>
        <w:contextualSpacing w:val="0"/>
        <w:rPr>
          <w:b w:val="0"/>
          <w:szCs w:val="22"/>
          <w:lang w:val="hy-AM"/>
        </w:rPr>
      </w:pPr>
      <w:r>
        <w:rPr>
          <w:b w:val="0"/>
          <w:szCs w:val="22"/>
          <w:lang w:val="hy-AM"/>
        </w:rPr>
        <w:t xml:space="preserve">  </w:t>
      </w:r>
      <w:r w:rsidRPr="00C71AE2">
        <w:rPr>
          <w:b w:val="0"/>
          <w:szCs w:val="22"/>
          <w:lang w:val="hy-AM"/>
        </w:rPr>
        <w:t>հեջավորման</w:t>
      </w:r>
      <w:r w:rsidRPr="00A52485">
        <w:rPr>
          <w:b w:val="0"/>
          <w:szCs w:val="22"/>
          <w:lang w:val="hy-AM"/>
        </w:rPr>
        <w:t xml:space="preserve"> հնարավորությունների ընդլայնման համար ածանցյալների շուկայի զարգացման ուղղությամբ աշխատանքներ</w:t>
      </w:r>
      <w:r>
        <w:rPr>
          <w:b w:val="0"/>
          <w:szCs w:val="22"/>
          <w:lang w:val="hy-AM"/>
        </w:rPr>
        <w:t>,</w:t>
      </w:r>
    </w:p>
    <w:p w:rsidR="007A5F0F" w:rsidRDefault="007A5F0F" w:rsidP="007730AA">
      <w:pPr>
        <w:pStyle w:val="ListParagraph"/>
        <w:numPr>
          <w:ilvl w:val="0"/>
          <w:numId w:val="30"/>
        </w:numPr>
        <w:tabs>
          <w:tab w:val="left" w:pos="567"/>
        </w:tabs>
        <w:spacing w:before="0" w:line="276" w:lineRule="auto"/>
        <w:ind w:left="0" w:firstLine="720"/>
        <w:contextualSpacing w:val="0"/>
        <w:rPr>
          <w:b w:val="0"/>
          <w:szCs w:val="22"/>
          <w:lang w:val="hy-AM"/>
        </w:rPr>
      </w:pPr>
      <w:r>
        <w:rPr>
          <w:b w:val="0"/>
          <w:szCs w:val="22"/>
          <w:lang w:val="hy-AM"/>
        </w:rPr>
        <w:t xml:space="preserve">  </w:t>
      </w:r>
      <w:r w:rsidRPr="00A52485">
        <w:rPr>
          <w:b w:val="0"/>
          <w:szCs w:val="22"/>
          <w:lang w:val="hy-AM"/>
        </w:rPr>
        <w:t>կապիտալի շուկայի, դրա ռիսկերի վերաբերյալ կրթական և իրազեկման աշխատանքների իրականացում</w:t>
      </w:r>
      <w:r>
        <w:rPr>
          <w:b w:val="0"/>
          <w:szCs w:val="22"/>
          <w:lang w:val="hy-AM"/>
        </w:rPr>
        <w:t>,</w:t>
      </w:r>
    </w:p>
    <w:p w:rsidR="007A5F0F" w:rsidRDefault="007A5F0F" w:rsidP="007730AA">
      <w:pPr>
        <w:pStyle w:val="ListParagraph"/>
        <w:numPr>
          <w:ilvl w:val="0"/>
          <w:numId w:val="30"/>
        </w:numPr>
        <w:tabs>
          <w:tab w:val="left" w:pos="567"/>
        </w:tabs>
        <w:spacing w:before="0" w:line="276" w:lineRule="auto"/>
        <w:ind w:left="0" w:firstLine="720"/>
        <w:contextualSpacing w:val="0"/>
        <w:rPr>
          <w:b w:val="0"/>
          <w:szCs w:val="22"/>
          <w:lang w:val="hy-AM"/>
        </w:rPr>
      </w:pPr>
      <w:r>
        <w:rPr>
          <w:b w:val="0"/>
          <w:szCs w:val="22"/>
          <w:lang w:val="hy-AM"/>
        </w:rPr>
        <w:t xml:space="preserve">  </w:t>
      </w:r>
      <w:r w:rsidRPr="00A52485">
        <w:rPr>
          <w:b w:val="0"/>
          <w:szCs w:val="22"/>
          <w:lang w:val="hy-AM"/>
        </w:rPr>
        <w:t>քրաուդֆանդինգի կարգավորումների ներդրում</w:t>
      </w:r>
      <w:r>
        <w:rPr>
          <w:b w:val="0"/>
          <w:szCs w:val="22"/>
          <w:lang w:val="hy-AM"/>
        </w:rPr>
        <w:t>,</w:t>
      </w:r>
    </w:p>
    <w:p w:rsidR="007A5F0F" w:rsidRDefault="007A5F0F" w:rsidP="007730AA">
      <w:pPr>
        <w:pStyle w:val="ListParagraph"/>
        <w:numPr>
          <w:ilvl w:val="0"/>
          <w:numId w:val="30"/>
        </w:numPr>
        <w:tabs>
          <w:tab w:val="left" w:pos="567"/>
        </w:tabs>
        <w:spacing w:before="0" w:line="276" w:lineRule="auto"/>
        <w:ind w:left="0" w:firstLine="720"/>
        <w:contextualSpacing w:val="0"/>
        <w:rPr>
          <w:b w:val="0"/>
          <w:szCs w:val="22"/>
          <w:lang w:val="hy-AM"/>
        </w:rPr>
      </w:pPr>
      <w:r>
        <w:rPr>
          <w:b w:val="0"/>
          <w:szCs w:val="22"/>
          <w:lang w:val="hy-AM"/>
        </w:rPr>
        <w:t xml:space="preserve">  թ</w:t>
      </w:r>
      <w:r w:rsidRPr="00A52485">
        <w:rPr>
          <w:b w:val="0"/>
          <w:szCs w:val="22"/>
          <w:lang w:val="hy-AM"/>
        </w:rPr>
        <w:t>ափանցիկության բարձրացում՝ թողարկողների, արժեթղթերի, արժեթղթերով գործարքների վերաբերյալ առավել ամբողջական տեղեկատվության հրապարակման միջոցով</w:t>
      </w:r>
      <w:r>
        <w:rPr>
          <w:b w:val="0"/>
          <w:szCs w:val="22"/>
          <w:lang w:val="hy-AM"/>
        </w:rPr>
        <w:t>,</w:t>
      </w:r>
    </w:p>
    <w:p w:rsidR="007A5F0F" w:rsidRDefault="007A5F0F" w:rsidP="007730AA">
      <w:pPr>
        <w:pStyle w:val="ListParagraph"/>
        <w:numPr>
          <w:ilvl w:val="0"/>
          <w:numId w:val="30"/>
        </w:numPr>
        <w:tabs>
          <w:tab w:val="left" w:pos="567"/>
        </w:tabs>
        <w:spacing w:before="0" w:line="276" w:lineRule="auto"/>
        <w:ind w:left="0" w:firstLine="720"/>
        <w:contextualSpacing w:val="0"/>
        <w:rPr>
          <w:b w:val="0"/>
          <w:szCs w:val="22"/>
          <w:lang w:val="hy-AM"/>
        </w:rPr>
      </w:pPr>
      <w:r>
        <w:rPr>
          <w:b w:val="0"/>
          <w:szCs w:val="22"/>
          <w:lang w:val="hy-AM"/>
        </w:rPr>
        <w:t xml:space="preserve">  մ</w:t>
      </w:r>
      <w:r w:rsidRPr="00A9575F">
        <w:rPr>
          <w:b w:val="0"/>
          <w:szCs w:val="22"/>
          <w:lang w:val="hy-AM"/>
        </w:rPr>
        <w:t>իջազգային հարթակներում երկրի ներդրումային միջավայրի ներկայացման, խթանման և ճանաչելիության բարձրացման ծրագրի մշակում</w:t>
      </w:r>
      <w:r>
        <w:rPr>
          <w:b w:val="0"/>
          <w:szCs w:val="22"/>
          <w:lang w:val="hy-AM"/>
        </w:rPr>
        <w:t>,</w:t>
      </w:r>
    </w:p>
    <w:p w:rsidR="007A5F0F" w:rsidRPr="00A9575F" w:rsidRDefault="007A5F0F" w:rsidP="007730AA">
      <w:pPr>
        <w:pStyle w:val="ListParagraph"/>
        <w:numPr>
          <w:ilvl w:val="0"/>
          <w:numId w:val="30"/>
        </w:numPr>
        <w:tabs>
          <w:tab w:val="left" w:pos="567"/>
        </w:tabs>
        <w:spacing w:before="0" w:line="276" w:lineRule="auto"/>
        <w:ind w:left="0" w:firstLine="720"/>
        <w:contextualSpacing w:val="0"/>
        <w:rPr>
          <w:b w:val="0"/>
          <w:szCs w:val="22"/>
          <w:lang w:val="hy-AM"/>
        </w:rPr>
      </w:pPr>
      <w:r>
        <w:rPr>
          <w:b w:val="0"/>
          <w:szCs w:val="22"/>
          <w:lang w:val="hy-AM"/>
        </w:rPr>
        <w:t xml:space="preserve">  ա</w:t>
      </w:r>
      <w:r w:rsidRPr="00A9575F">
        <w:rPr>
          <w:b w:val="0"/>
          <w:szCs w:val="22"/>
          <w:lang w:val="hy-AM"/>
        </w:rPr>
        <w:t>շխատ</w:t>
      </w:r>
      <w:r w:rsidRPr="00DF3878">
        <w:rPr>
          <w:b w:val="0"/>
          <w:szCs w:val="22"/>
          <w:lang w:val="hy-AM"/>
        </w:rPr>
        <w:t>անքներ իրականացնել</w:t>
      </w:r>
      <w:r w:rsidRPr="00A9575F">
        <w:rPr>
          <w:b w:val="0"/>
          <w:szCs w:val="22"/>
          <w:lang w:val="hy-AM"/>
        </w:rPr>
        <w:t xml:space="preserve"> օտարերկրյա ներդրումային ծառայություններ մատուցող անձանց՝ ՀՀ շուկա ներգրավելու ուղղությամբ</w:t>
      </w:r>
      <w:r>
        <w:rPr>
          <w:b w:val="0"/>
          <w:szCs w:val="22"/>
          <w:lang w:val="hy-AM"/>
        </w:rPr>
        <w:t xml:space="preserve"> </w:t>
      </w:r>
      <w:r w:rsidRPr="00A9575F">
        <w:rPr>
          <w:b w:val="0"/>
          <w:szCs w:val="22"/>
          <w:lang w:val="hy-AM"/>
        </w:rPr>
        <w:t>(այդ թվում՝ կարգավորումների վերանայման և երկրի խթանման միջոցառումների իրականացման միջոցով)։</w:t>
      </w:r>
    </w:p>
    <w:p w:rsidR="007A5F0F"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55" w:name="_Toc26174909"/>
      <w:bookmarkStart w:id="56" w:name="_Toc57655439"/>
      <w:r w:rsidRPr="00025074">
        <w:rPr>
          <w:rFonts w:cs="Arial"/>
          <w:szCs w:val="22"/>
          <w:lang w:val="hy-AM" w:eastAsia="en-US"/>
        </w:rPr>
        <w:t>Պետական եկամուտների վարչարարություն</w:t>
      </w:r>
      <w:bookmarkEnd w:id="55"/>
      <w:bookmarkEnd w:id="56"/>
    </w:p>
    <w:p w:rsidR="007A5F0F" w:rsidRPr="00850307" w:rsidRDefault="007A5F0F" w:rsidP="007730AA">
      <w:pPr>
        <w:pStyle w:val="BodyText2"/>
        <w:ind w:left="0" w:firstLine="720"/>
        <w:rPr>
          <w:rFonts w:cs="Arial"/>
        </w:rPr>
      </w:pPr>
      <w:r w:rsidRPr="00850307">
        <w:t>Պետական եկամուտների վարչարարության ոլորտում իրականացվելիք միջոցառումները բխելու են ՀՀ կառավարության 2019 թվականի մայիսի 16-ի N 650-Լ որոշմամբ հաստատված Հայաստանի Հանրապետության կառավարության 2019-2023 թվականների գործունեության միջոցառումների ծրագրից, ՀՀ կառավարության 2020 թվականի հուլիսի 10-ի N 1212-Ն որոշմամբ հաստատված Հայաստանի Հանրապետության 2021-2023 թվականների պետական միջնաժամկետ ծախսերի ծրագրից և Հայաստանի Հանրապետության պետական եկամուտների կոմիտեի զարգացման և վարչարարության բարելավման ռազմավարական ծրագրից: Միևնույն ժամանակ, հաշվի առնելով տնտեսության վրա COVID-19 կորոնավիրուսային համավարակի ունեցած բացասական ազդեցությունը և դրա մեղմմանն ուղղված կառավարության ձեռնարկած միջոցառումները (այդ թվում՝ նաև հարկման մեխանիզմների վերանայման միջոցով), կառավարությունն առաջնային է համարում հարկային կարգապահության բարձրացմանն ուղղված միջոցառումների իրականացումը: Այդ նպատակով, հաշվի առնելով ձեռք բերված փորձը, վարչարարական աշխատանքները կկազմակերպվեն.</w:t>
      </w:r>
    </w:p>
    <w:p w:rsidR="007A5F0F" w:rsidRDefault="007A5F0F" w:rsidP="007730AA">
      <w:pPr>
        <w:tabs>
          <w:tab w:val="left" w:pos="567"/>
          <w:tab w:val="left" w:pos="720"/>
          <w:tab w:val="left" w:pos="900"/>
          <w:tab w:val="left" w:pos="1080"/>
        </w:tabs>
        <w:spacing w:before="0" w:line="276" w:lineRule="auto"/>
        <w:ind w:firstLine="720"/>
        <w:contextualSpacing w:val="0"/>
        <w:rPr>
          <w:rFonts w:cs="Sylfaen"/>
          <w:b w:val="0"/>
          <w:szCs w:val="22"/>
          <w:lang w:val="hy-AM"/>
        </w:rPr>
      </w:pPr>
      <w:r>
        <w:rPr>
          <w:rFonts w:cs="Sylfaen"/>
          <w:b w:val="0"/>
          <w:szCs w:val="22"/>
          <w:lang w:val="hy-AM"/>
        </w:rPr>
        <w:t xml:space="preserve">- </w:t>
      </w:r>
      <w:r w:rsidRPr="00BB59F3">
        <w:rPr>
          <w:rFonts w:cs="Sylfaen"/>
          <w:b w:val="0"/>
          <w:szCs w:val="22"/>
          <w:lang w:val="hy-AM"/>
        </w:rPr>
        <w:t>հարկ վճարողներին մատուցվող ծառայությունների թվայնացման ընդլանման միջոցով,</w:t>
      </w:r>
    </w:p>
    <w:p w:rsidR="007A5F0F" w:rsidRDefault="007A5F0F" w:rsidP="007730AA">
      <w:pPr>
        <w:tabs>
          <w:tab w:val="left" w:pos="567"/>
          <w:tab w:val="left" w:pos="720"/>
          <w:tab w:val="left" w:pos="900"/>
          <w:tab w:val="left" w:pos="1080"/>
        </w:tabs>
        <w:spacing w:before="0" w:line="276" w:lineRule="auto"/>
        <w:ind w:firstLine="720"/>
        <w:contextualSpacing w:val="0"/>
        <w:rPr>
          <w:rFonts w:cs="Sylfaen"/>
          <w:b w:val="0"/>
          <w:szCs w:val="22"/>
          <w:lang w:val="hy-AM"/>
        </w:rPr>
      </w:pPr>
      <w:r w:rsidRPr="008843DC">
        <w:rPr>
          <w:rFonts w:cs="Sylfaen"/>
          <w:b w:val="0"/>
          <w:szCs w:val="22"/>
          <w:lang w:val="hy-AM"/>
        </w:rPr>
        <w:t xml:space="preserve">- </w:t>
      </w:r>
      <w:r w:rsidRPr="00BB59F3">
        <w:rPr>
          <w:rFonts w:cs="Sylfaen"/>
          <w:b w:val="0"/>
          <w:szCs w:val="22"/>
          <w:lang w:val="hy-AM"/>
        </w:rPr>
        <w:t>ՀՀ պետական եկամուտների կոմիտեի կողմից հաստատված հարկային և մաքսային կարգապահության բարելավման ռազմավարական ծրագրին համահունչ՝ հարկային վարչարարությունն առավել ռիսկային հարկ վճարողների խմբերին կամ տնտեսական գործունեության ոլորտներին ուղղելու միջոցով: Արդյունքում իրականացվող միջոցառումներն ուղղված են լինելու հարկ վճարողների խմբերի կամ տնտեսական գործունեության ոլորտների ուղղությամբ ռիսկերի բացահայտմանն ու այդ ռիսկերի վերլուծության արդյունքներով ռիսկային հարկ վճարողների խմբերի կարգապահության մակարդակի բարձրացմանը:</w:t>
      </w:r>
    </w:p>
    <w:p w:rsidR="007A5F0F" w:rsidRPr="00941A5D" w:rsidRDefault="007A5F0F" w:rsidP="007730AA">
      <w:pPr>
        <w:tabs>
          <w:tab w:val="left" w:pos="567"/>
          <w:tab w:val="left" w:pos="720"/>
          <w:tab w:val="left" w:pos="900"/>
          <w:tab w:val="left" w:pos="1080"/>
        </w:tabs>
        <w:spacing w:before="0" w:line="276" w:lineRule="auto"/>
        <w:ind w:firstLine="720"/>
        <w:contextualSpacing w:val="0"/>
        <w:rPr>
          <w:rFonts w:cs="Sylfaen"/>
          <w:b w:val="0"/>
          <w:szCs w:val="22"/>
          <w:lang w:val="hy-AM"/>
        </w:rPr>
      </w:pPr>
      <w:r w:rsidRPr="00BB59F3">
        <w:rPr>
          <w:rFonts w:cs="Sylfaen"/>
          <w:b w:val="0"/>
          <w:szCs w:val="22"/>
          <w:lang w:val="hy-AM"/>
        </w:rPr>
        <w:t>2021 թվականի ընթացքում պետական եկամուտների վարչարա</w:t>
      </w:r>
      <w:r>
        <w:rPr>
          <w:rFonts w:cs="Sylfaen"/>
          <w:b w:val="0"/>
          <w:szCs w:val="22"/>
          <w:lang w:val="hy-AM"/>
        </w:rPr>
        <w:t xml:space="preserve">րության ոլորտում նախատեսվում </w:t>
      </w:r>
      <w:r w:rsidRPr="00941A5D">
        <w:rPr>
          <w:rFonts w:cs="Sylfaen"/>
          <w:b w:val="0"/>
          <w:szCs w:val="22"/>
          <w:lang w:val="hy-AM"/>
        </w:rPr>
        <w:t xml:space="preserve">է` </w:t>
      </w:r>
    </w:p>
    <w:p w:rsidR="007A5F0F" w:rsidRPr="00941A5D" w:rsidRDefault="007A5F0F" w:rsidP="007730AA">
      <w:pPr>
        <w:tabs>
          <w:tab w:val="left" w:pos="567"/>
          <w:tab w:val="left" w:pos="720"/>
          <w:tab w:val="left" w:pos="900"/>
          <w:tab w:val="left" w:pos="1080"/>
        </w:tabs>
        <w:spacing w:before="0" w:line="276" w:lineRule="auto"/>
        <w:ind w:firstLine="720"/>
        <w:contextualSpacing w:val="0"/>
        <w:rPr>
          <w:rFonts w:cs="Sylfaen"/>
          <w:b w:val="0"/>
          <w:szCs w:val="22"/>
          <w:lang w:val="hy-AM"/>
        </w:rPr>
      </w:pPr>
      <w:r w:rsidRPr="00941A5D">
        <w:rPr>
          <w:rFonts w:cs="Sylfaen"/>
          <w:szCs w:val="22"/>
          <w:lang w:val="hy-AM"/>
        </w:rPr>
        <w:t xml:space="preserve">Վարչարարության արդյունավետության բարձրացման և հարկային ճեղքի կրճատման նպատակով </w:t>
      </w:r>
      <w:r w:rsidRPr="00941A5D">
        <w:rPr>
          <w:rFonts w:cs="Sylfaen"/>
          <w:b w:val="0"/>
          <w:szCs w:val="22"/>
          <w:lang w:val="hy-AM"/>
        </w:rPr>
        <w:t>իրականացնել աշխատանքներ՝ ուղղված ինչպես կամավոր կարգապահության բարձրացմանը, այնպես էլ հարկային և մաքսային իրավախախտումների կանխարգելմանն ու այդ խախտումների համար պատասխանատվության անխուսափելիության սկզբունքի ապահովմանը: Նշված ուղղությունների իրագործման նպատակով նախատեսվում է.</w:t>
      </w:r>
    </w:p>
    <w:p w:rsidR="007A5F0F" w:rsidRDefault="007A5F0F" w:rsidP="007730AA">
      <w:pPr>
        <w:pStyle w:val="ListParagraph"/>
        <w:numPr>
          <w:ilvl w:val="0"/>
          <w:numId w:val="30"/>
        </w:numPr>
        <w:tabs>
          <w:tab w:val="left" w:pos="567"/>
          <w:tab w:val="left" w:pos="630"/>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զարգացնել ռիսկերի կառավարման համակարգի կարողությունները՝ ռիսկերի շրջանակի ընդլայնման և դրանց բացահայտման վերլուծական գործիքների ավտոմատացման միջոցով,</w:t>
      </w:r>
    </w:p>
    <w:p w:rsidR="007A5F0F" w:rsidRDefault="007A5F0F" w:rsidP="007730AA">
      <w:pPr>
        <w:pStyle w:val="ListParagraph"/>
        <w:numPr>
          <w:ilvl w:val="0"/>
          <w:numId w:val="30"/>
        </w:numPr>
        <w:tabs>
          <w:tab w:val="left" w:pos="567"/>
          <w:tab w:val="left" w:pos="630"/>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կատարելագործել և ընդլայնել ռիսկային չափանիշներով հարկ վճարողների գնահատման և ինքնաշխատ ծանուցման համակարգերը,</w:t>
      </w:r>
    </w:p>
    <w:p w:rsidR="007A5F0F" w:rsidRDefault="007A5F0F" w:rsidP="007730AA">
      <w:pPr>
        <w:pStyle w:val="ListParagraph"/>
        <w:numPr>
          <w:ilvl w:val="0"/>
          <w:numId w:val="30"/>
        </w:numPr>
        <w:tabs>
          <w:tab w:val="left" w:pos="567"/>
          <w:tab w:val="left" w:pos="630"/>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մաքսային գործառնությունների պարզեցման միջոցով ապահովել մաքսային հսկողության առավել արագ և դյուրին իրականացումը,</w:t>
      </w:r>
    </w:p>
    <w:p w:rsidR="007A5F0F" w:rsidRDefault="007A5F0F" w:rsidP="007730AA">
      <w:pPr>
        <w:pStyle w:val="ListParagraph"/>
        <w:numPr>
          <w:ilvl w:val="0"/>
          <w:numId w:val="30"/>
        </w:numPr>
        <w:tabs>
          <w:tab w:val="left" w:pos="567"/>
          <w:tab w:val="left" w:pos="630"/>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ԵԱՏՄ հարթակում ստանձնած պարտավորություններին համապատասխան՝ ակտիվորեն գործարկել ԵԱՏՄ շրջանակներում ապրանքների հետագծելիության ապահովման մեխանիզմները,</w:t>
      </w:r>
    </w:p>
    <w:p w:rsidR="007A5F0F" w:rsidRDefault="007A5F0F" w:rsidP="007730AA">
      <w:pPr>
        <w:pStyle w:val="ListParagraph"/>
        <w:numPr>
          <w:ilvl w:val="0"/>
          <w:numId w:val="30"/>
        </w:numPr>
        <w:tabs>
          <w:tab w:val="left" w:pos="567"/>
          <w:tab w:val="left" w:pos="630"/>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կատարելագործել էլեկտրոնային առևտրի վերահսկողության մեխանիզմներն ու կարողությունները,</w:t>
      </w:r>
    </w:p>
    <w:p w:rsidR="007A5F0F" w:rsidRDefault="007A5F0F" w:rsidP="007730AA">
      <w:pPr>
        <w:pStyle w:val="ListParagraph"/>
        <w:numPr>
          <w:ilvl w:val="0"/>
          <w:numId w:val="30"/>
        </w:numPr>
        <w:tabs>
          <w:tab w:val="left" w:pos="567"/>
          <w:tab w:val="left" w:pos="630"/>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ներդնել օրինապահության և կամավոր կարգապահության խրախուսական համակարգեր,</w:t>
      </w:r>
    </w:p>
    <w:p w:rsidR="007A5F0F" w:rsidRPr="00941A5D" w:rsidRDefault="007A5F0F" w:rsidP="007730AA">
      <w:pPr>
        <w:pStyle w:val="ListParagraph"/>
        <w:numPr>
          <w:ilvl w:val="0"/>
          <w:numId w:val="30"/>
        </w:numPr>
        <w:tabs>
          <w:tab w:val="left" w:pos="567"/>
          <w:tab w:val="left" w:pos="630"/>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բարելավել միջազգային համագործակցության շրջանակներում հարկային տեղեկատվության փոխանակման գործընթացները և համապատասխանեցնել դրանք միջազգային ստանդարտներին:</w:t>
      </w:r>
    </w:p>
    <w:p w:rsidR="007A5F0F" w:rsidRPr="00941A5D" w:rsidRDefault="007A5F0F" w:rsidP="007730AA">
      <w:pPr>
        <w:tabs>
          <w:tab w:val="left" w:pos="567"/>
          <w:tab w:val="left" w:pos="720"/>
          <w:tab w:val="left" w:pos="1080"/>
        </w:tabs>
        <w:spacing w:before="0" w:line="276" w:lineRule="auto"/>
        <w:ind w:firstLine="720"/>
        <w:contextualSpacing w:val="0"/>
        <w:rPr>
          <w:rFonts w:cs="Sylfaen"/>
          <w:b w:val="0"/>
          <w:szCs w:val="22"/>
          <w:lang w:val="hy-AM"/>
        </w:rPr>
      </w:pPr>
      <w:r w:rsidRPr="00941A5D">
        <w:rPr>
          <w:rFonts w:cs="Sylfaen"/>
          <w:szCs w:val="22"/>
          <w:lang w:val="hy-AM"/>
        </w:rPr>
        <w:t>Հարկ վճարողներին սպասարկման և որակյալ ծառայությունների մատուցման, ինչպես նաև տեղեկատվության փոխանակման անվտանգության ապահովման նպատակով</w:t>
      </w:r>
      <w:r w:rsidRPr="00941A5D">
        <w:rPr>
          <w:rFonts w:cs="Sylfaen"/>
          <w:b w:val="0"/>
          <w:szCs w:val="22"/>
          <w:lang w:val="hy-AM"/>
        </w:rPr>
        <w:t xml:space="preserve"> կատարելագործել կառավարման համակարգերը՝ դրանց հնարավորինս թվայնացման միջոցով: Նշված ուղղությունների իրագործման նպատակով նախատեսվում է.</w:t>
      </w:r>
    </w:p>
    <w:p w:rsidR="007A5F0F" w:rsidRPr="00941A5D" w:rsidRDefault="007A5F0F" w:rsidP="007730AA">
      <w:pPr>
        <w:pStyle w:val="ListParagraph"/>
        <w:numPr>
          <w:ilvl w:val="0"/>
          <w:numId w:val="30"/>
        </w:numPr>
        <w:tabs>
          <w:tab w:val="left" w:pos="360"/>
          <w:tab w:val="left" w:pos="567"/>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զարգացնել և արդիականացնել սերվերային և օպերացիոն համակարգերը՝ օպտիմալացնելով տեղեկատվական շտեմարանների կառուցվածքը,</w:t>
      </w:r>
    </w:p>
    <w:p w:rsidR="007A5F0F" w:rsidRPr="00941A5D" w:rsidRDefault="007A5F0F" w:rsidP="007730AA">
      <w:pPr>
        <w:pStyle w:val="ListParagraph"/>
        <w:numPr>
          <w:ilvl w:val="0"/>
          <w:numId w:val="30"/>
        </w:numPr>
        <w:tabs>
          <w:tab w:val="left" w:pos="360"/>
          <w:tab w:val="left" w:pos="567"/>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կատարելագործել հարկ վճարողների սպասարկման կենտրոնների հաղորդակցման համակարգերը,</w:t>
      </w:r>
    </w:p>
    <w:p w:rsidR="007A5F0F" w:rsidRPr="00941A5D" w:rsidRDefault="007A5F0F" w:rsidP="007730AA">
      <w:pPr>
        <w:pStyle w:val="ListParagraph"/>
        <w:numPr>
          <w:ilvl w:val="0"/>
          <w:numId w:val="30"/>
        </w:numPr>
        <w:tabs>
          <w:tab w:val="left" w:pos="360"/>
          <w:tab w:val="left" w:pos="567"/>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ներդնել հարկային ստուգումներին և ուսումնասիրություններին վերաբերող բոլոր փաստաթղթերի էլեկտրոնային եղանակով փոխանակման համակարգը,</w:t>
      </w:r>
    </w:p>
    <w:p w:rsidR="007A5F0F" w:rsidRPr="00941A5D" w:rsidRDefault="007A5F0F" w:rsidP="007730AA">
      <w:pPr>
        <w:pStyle w:val="ListParagraph"/>
        <w:numPr>
          <w:ilvl w:val="0"/>
          <w:numId w:val="30"/>
        </w:numPr>
        <w:tabs>
          <w:tab w:val="left" w:pos="360"/>
          <w:tab w:val="left" w:pos="567"/>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զարգացնել մեծ ծավալի տվյալների (Big Data) վերլուծական և մեքենայական ուսուցման (machine learning) գործիքակազմերը,</w:t>
      </w:r>
    </w:p>
    <w:p w:rsidR="007A5F0F" w:rsidRPr="00941A5D" w:rsidRDefault="007A5F0F" w:rsidP="007730AA">
      <w:pPr>
        <w:pStyle w:val="ListParagraph"/>
        <w:numPr>
          <w:ilvl w:val="0"/>
          <w:numId w:val="30"/>
        </w:numPr>
        <w:tabs>
          <w:tab w:val="left" w:pos="360"/>
          <w:tab w:val="left" w:pos="567"/>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ավտոմատացնել պետական գնումների գործընթացին առնչվող պետական եկամուտների կոմիտեի գործառույթները,</w:t>
      </w:r>
    </w:p>
    <w:p w:rsidR="007A5F0F" w:rsidRPr="00941A5D" w:rsidRDefault="007A5F0F" w:rsidP="007730AA">
      <w:pPr>
        <w:pStyle w:val="ListParagraph"/>
        <w:numPr>
          <w:ilvl w:val="0"/>
          <w:numId w:val="30"/>
        </w:numPr>
        <w:tabs>
          <w:tab w:val="left" w:pos="360"/>
          <w:tab w:val="left" w:pos="567"/>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ստեղծել հիփոթեքային վարկի սպասարկման համար վճարվող տոկոսների գումարների վերադարձի էլեկտրոնային հարթակ,</w:t>
      </w:r>
    </w:p>
    <w:p w:rsidR="007A5F0F" w:rsidRPr="00941A5D" w:rsidRDefault="007A5F0F" w:rsidP="007730AA">
      <w:pPr>
        <w:pStyle w:val="ListParagraph"/>
        <w:numPr>
          <w:ilvl w:val="0"/>
          <w:numId w:val="30"/>
        </w:numPr>
        <w:tabs>
          <w:tab w:val="left" w:pos="360"/>
          <w:tab w:val="left" w:pos="567"/>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նախագծել և ներդնել էլեկտրոնային հաշվարկային փաստաթղթեր և գրքեր (e-invoicing) համակարգի «վեբ» տարբերակը,</w:t>
      </w:r>
    </w:p>
    <w:p w:rsidR="007A5F0F" w:rsidRPr="00941A5D" w:rsidRDefault="007A5F0F" w:rsidP="007730AA">
      <w:pPr>
        <w:pStyle w:val="ListParagraph"/>
        <w:numPr>
          <w:ilvl w:val="0"/>
          <w:numId w:val="30"/>
        </w:numPr>
        <w:tabs>
          <w:tab w:val="left" w:pos="360"/>
          <w:tab w:val="left" w:pos="567"/>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ԵԱՏՄ շրջանակներում մաքսային ընդհանուր գործընթացների իրականացման և տեղեկատվության  փոխանակման համար ներդնել և արդիականացնել ավտոմատացված համակարգեր,</w:t>
      </w:r>
    </w:p>
    <w:p w:rsidR="007A5F0F" w:rsidRPr="00941A5D" w:rsidRDefault="007A5F0F" w:rsidP="007730AA">
      <w:pPr>
        <w:pStyle w:val="ListParagraph"/>
        <w:numPr>
          <w:ilvl w:val="0"/>
          <w:numId w:val="30"/>
        </w:numPr>
        <w:tabs>
          <w:tab w:val="left" w:pos="360"/>
          <w:tab w:val="left" w:pos="567"/>
          <w:tab w:val="left" w:pos="1080"/>
        </w:tabs>
        <w:spacing w:before="0" w:line="276" w:lineRule="auto"/>
        <w:ind w:left="0" w:firstLine="720"/>
        <w:contextualSpacing w:val="0"/>
        <w:rPr>
          <w:rFonts w:cs="Sylfaen"/>
          <w:b w:val="0"/>
          <w:szCs w:val="22"/>
          <w:lang w:val="hy-AM"/>
        </w:rPr>
      </w:pPr>
      <w:r w:rsidRPr="00941A5D">
        <w:rPr>
          <w:rFonts w:cs="Sylfaen"/>
          <w:b w:val="0"/>
          <w:szCs w:val="22"/>
          <w:lang w:val="hy-AM"/>
        </w:rPr>
        <w:t>Մեկ կանգառ, մեկ պատուհան սկզբունքի ամբողջական կիրառմամբ ստեղծել էլեկտրոնային կառավարման համակարգերի և թվային լուծումների վրա հիմնված ԱՏԳ մասնակիցների սպասարկման կենտրոններ: Մասնավորապես, Հայաստանի Հանրապետության և Վերակառուցման և զարգացման եվրոպական բանկի միջև ստորագրված «Մեղրիի սահմանային անցակետի ծրագիր» վարկային և դրամաշնորհային համաձայնագրերի շրջանակներում արդիականացնել Մեղրիի սահմանային անցակետը,</w:t>
      </w:r>
    </w:p>
    <w:p w:rsidR="007A5F0F" w:rsidRPr="00941A5D" w:rsidRDefault="007A5F0F" w:rsidP="007730AA">
      <w:pPr>
        <w:pStyle w:val="ListParagraph"/>
        <w:numPr>
          <w:ilvl w:val="0"/>
          <w:numId w:val="30"/>
        </w:numPr>
        <w:tabs>
          <w:tab w:val="left" w:pos="360"/>
          <w:tab w:val="left" w:pos="567"/>
          <w:tab w:val="left" w:pos="720"/>
        </w:tabs>
        <w:spacing w:before="0" w:line="276" w:lineRule="auto"/>
        <w:ind w:left="0" w:firstLine="720"/>
        <w:contextualSpacing w:val="0"/>
        <w:rPr>
          <w:rFonts w:cs="Sylfaen"/>
          <w:b w:val="0"/>
          <w:szCs w:val="22"/>
          <w:lang w:val="hy-AM"/>
        </w:rPr>
      </w:pPr>
      <w:r w:rsidRPr="00941A5D">
        <w:rPr>
          <w:rFonts w:cs="Sylfaen"/>
          <w:b w:val="0"/>
          <w:szCs w:val="22"/>
          <w:lang w:val="hy-AM"/>
        </w:rPr>
        <w:t>կատարելագործել մաքսային վճարների վարչարարությունը` հնարավորություններ ստեղծելով էլեկտրոնային համակարգերի միջոցով վճարումների կատարման համար,</w:t>
      </w:r>
    </w:p>
    <w:p w:rsidR="007A5F0F" w:rsidRPr="00941A5D" w:rsidRDefault="007A5F0F" w:rsidP="007730AA">
      <w:pPr>
        <w:pStyle w:val="ListParagraph"/>
        <w:numPr>
          <w:ilvl w:val="0"/>
          <w:numId w:val="30"/>
        </w:numPr>
        <w:tabs>
          <w:tab w:val="left" w:pos="360"/>
          <w:tab w:val="left" w:pos="567"/>
          <w:tab w:val="left" w:pos="720"/>
        </w:tabs>
        <w:spacing w:before="0" w:line="276" w:lineRule="auto"/>
        <w:ind w:left="0" w:firstLine="720"/>
        <w:contextualSpacing w:val="0"/>
        <w:rPr>
          <w:rFonts w:cs="Sylfaen"/>
          <w:b w:val="0"/>
          <w:szCs w:val="22"/>
          <w:lang w:val="hy-AM"/>
        </w:rPr>
      </w:pPr>
      <w:r w:rsidRPr="00941A5D">
        <w:rPr>
          <w:rFonts w:cs="Sylfaen"/>
          <w:b w:val="0"/>
          <w:szCs w:val="22"/>
          <w:lang w:val="hy-AM"/>
        </w:rPr>
        <w:t>կշեռքների համակարգը ինտեգրել մաքսային մարմնի միասնական տեղեկատվական համակարգին՝ ներառելով մաքսային պահեստների կշեռքները,</w:t>
      </w:r>
    </w:p>
    <w:p w:rsidR="007A5F0F" w:rsidRPr="00941A5D" w:rsidRDefault="007A5F0F" w:rsidP="007730AA">
      <w:pPr>
        <w:pStyle w:val="ListParagraph"/>
        <w:numPr>
          <w:ilvl w:val="0"/>
          <w:numId w:val="30"/>
        </w:numPr>
        <w:tabs>
          <w:tab w:val="left" w:pos="360"/>
          <w:tab w:val="left" w:pos="567"/>
          <w:tab w:val="left" w:pos="720"/>
        </w:tabs>
        <w:spacing w:before="0" w:line="276" w:lineRule="auto"/>
        <w:ind w:left="0" w:firstLine="720"/>
        <w:contextualSpacing w:val="0"/>
        <w:rPr>
          <w:rFonts w:cs="Sylfaen"/>
          <w:b w:val="0"/>
          <w:szCs w:val="22"/>
          <w:lang w:val="hy-AM"/>
        </w:rPr>
      </w:pPr>
      <w:r w:rsidRPr="00941A5D">
        <w:rPr>
          <w:rFonts w:cs="Sylfaen"/>
          <w:b w:val="0"/>
          <w:szCs w:val="22"/>
          <w:lang w:val="hy-AM"/>
        </w:rPr>
        <w:t>ապահովել մաքսակետերի տեխնիկական հագեցվածությունը ռենտգենյան, մաքսային հսկողության և օպերատիվ հետախուզական միջոցառումների անցկացման համար անհրաժեշտ սարքավորումներով,</w:t>
      </w:r>
    </w:p>
    <w:p w:rsidR="007A5F0F" w:rsidRDefault="007A5F0F" w:rsidP="007730AA">
      <w:pPr>
        <w:pStyle w:val="ListParagraph"/>
        <w:numPr>
          <w:ilvl w:val="0"/>
          <w:numId w:val="30"/>
        </w:numPr>
        <w:tabs>
          <w:tab w:val="left" w:pos="360"/>
          <w:tab w:val="left" w:pos="567"/>
          <w:tab w:val="left" w:pos="720"/>
        </w:tabs>
        <w:spacing w:before="0" w:line="276" w:lineRule="auto"/>
        <w:ind w:left="0" w:firstLine="720"/>
        <w:contextualSpacing w:val="0"/>
        <w:rPr>
          <w:rFonts w:cs="Sylfaen"/>
          <w:b w:val="0"/>
          <w:szCs w:val="22"/>
          <w:lang w:val="hy-AM"/>
        </w:rPr>
      </w:pPr>
      <w:r w:rsidRPr="00941A5D">
        <w:rPr>
          <w:rFonts w:cs="Sylfaen"/>
          <w:b w:val="0"/>
          <w:szCs w:val="22"/>
          <w:lang w:val="hy-AM"/>
        </w:rPr>
        <w:t>նախագծել և ներդնել էքսպրես-բեռների կառավարման ավտոմատացված համակարգ և այն ինտեգրել մաքսային մարմնի ավտոմատացված այլ համակարգերին։</w:t>
      </w:r>
    </w:p>
    <w:p w:rsidR="007A5F0F" w:rsidRDefault="007A5F0F" w:rsidP="007730AA">
      <w:pPr>
        <w:tabs>
          <w:tab w:val="left" w:pos="360"/>
          <w:tab w:val="left" w:pos="567"/>
          <w:tab w:val="left" w:pos="720"/>
        </w:tabs>
        <w:spacing w:before="0" w:line="276" w:lineRule="auto"/>
        <w:ind w:firstLine="720"/>
        <w:contextualSpacing w:val="0"/>
        <w:rPr>
          <w:rFonts w:cs="Sylfaen"/>
          <w:b w:val="0"/>
          <w:szCs w:val="22"/>
          <w:lang w:val="hy-AM"/>
        </w:rPr>
      </w:pPr>
      <w:r w:rsidRPr="00941A5D">
        <w:rPr>
          <w:rFonts w:cs="Sylfaen"/>
          <w:b w:val="0"/>
          <w:szCs w:val="22"/>
          <w:lang w:val="hy-AM"/>
        </w:rPr>
        <w:t>Կարևորելով բանիմաց, մասնագիտական և գործնական գիտելիքներով ու հմտություններով օժտված անձնակազմի դերը ՀՀ պետական եկամուտների կոմիտեի գործառույթներն ու նախատեսվող բարեփոխումներն իրականացման գործում՝ միջոցներ ձեռնարկել աշխատակիցների մասնագիտական կարողությունների շարունակական բարձրացման, ինչպես նաև աշխատանքային անվտանգ և բարենպաստ միջավայրի ապահովման ուղղությամբ:</w:t>
      </w:r>
    </w:p>
    <w:p w:rsidR="007A5F0F" w:rsidRDefault="007A5F0F" w:rsidP="007730AA">
      <w:pPr>
        <w:tabs>
          <w:tab w:val="left" w:pos="360"/>
          <w:tab w:val="left" w:pos="567"/>
          <w:tab w:val="left" w:pos="720"/>
        </w:tabs>
        <w:spacing w:before="0" w:line="276" w:lineRule="auto"/>
        <w:ind w:firstLine="720"/>
        <w:contextualSpacing w:val="0"/>
        <w:rPr>
          <w:rFonts w:cs="Sylfaen"/>
          <w:b w:val="0"/>
          <w:szCs w:val="22"/>
          <w:lang w:val="hy-AM"/>
        </w:rPr>
      </w:pPr>
      <w:r w:rsidRPr="00941A5D">
        <w:rPr>
          <w:rFonts w:cs="Sylfaen"/>
          <w:b w:val="0"/>
          <w:szCs w:val="22"/>
          <w:lang w:val="hy-AM"/>
        </w:rPr>
        <w:t>ՀՀ պետական եկամուտների կոմիտեի գործունեության նկատմամբ վստահության բարձրացման նպատակով իրականացնել հասարակության հետ երկխոսության և փոխշահավետ համագործակցության ամրապնդմանն ուղղված աշխատանքներ, մասնավորապես՝ մշտապես թարմացնել ՀՀ պետական եկամուտների կոմիտեի կայքէջում ներկայացվող տեղեկատվությունը՝ այն դարձնելով հարկ վճարողների կողմից պահանջված, վստահելի և օգտակար տեղեկատվական աղբյուր, ինչպես նաև ԶԼՄ-ներով և տեղեկատվական այլ հարթակներով լուսաբանել ՀՀ պետական եկամուտների կոմիտեի գործունեությունը:</w:t>
      </w:r>
    </w:p>
    <w:p w:rsidR="007A5F0F" w:rsidRPr="00941A5D" w:rsidRDefault="007A5F0F" w:rsidP="007730AA">
      <w:pPr>
        <w:tabs>
          <w:tab w:val="left" w:pos="360"/>
          <w:tab w:val="left" w:pos="567"/>
          <w:tab w:val="left" w:pos="720"/>
        </w:tabs>
        <w:spacing w:before="0" w:line="276" w:lineRule="auto"/>
        <w:ind w:firstLine="720"/>
        <w:contextualSpacing w:val="0"/>
        <w:rPr>
          <w:rFonts w:cs="Sylfaen"/>
          <w:b w:val="0"/>
          <w:szCs w:val="22"/>
          <w:lang w:val="hy-AM"/>
        </w:rPr>
      </w:pPr>
      <w:r w:rsidRPr="00941A5D">
        <w:rPr>
          <w:rFonts w:cs="Sylfaen"/>
          <w:b w:val="0"/>
          <w:szCs w:val="22"/>
          <w:lang w:val="hy-AM"/>
        </w:rPr>
        <w:t>Վերը նշված միջոցառումների իրականացմամբ բարձրացնել հարկային եկամուտների հավաքագրման արդյունավետությունը և ապահովել 2021 թվականի ՀՀ պետական բյուջեով նախատեսված հարկային եկամուտները:</w:t>
      </w:r>
    </w:p>
    <w:p w:rsidR="007A5F0F"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57" w:name="_Toc26174910"/>
      <w:bookmarkStart w:id="58" w:name="_Toc57655440"/>
      <w:r w:rsidRPr="005B2DB1">
        <w:rPr>
          <w:rFonts w:cs="Arial"/>
          <w:szCs w:val="22"/>
          <w:lang w:val="hy-AM" w:eastAsia="en-US"/>
        </w:rPr>
        <w:t>Պետական գույքի կառավարման ոլորտ</w:t>
      </w:r>
      <w:bookmarkEnd w:id="57"/>
      <w:bookmarkEnd w:id="58"/>
    </w:p>
    <w:p w:rsidR="007A5F0F" w:rsidRDefault="007A5F0F" w:rsidP="007730AA">
      <w:pPr>
        <w:pStyle w:val="BodyText2"/>
        <w:ind w:left="0" w:firstLine="720"/>
        <w:rPr>
          <w:rFonts w:cs="Arial"/>
        </w:rPr>
      </w:pPr>
      <w:r w:rsidRPr="005B2DB1">
        <w:t>Կառավարության քաղաքականությունը պետական գույքի կառավարման ոլորտում նպատակ ունի պետական գույքի կառավարման արդյունավետության բարձրացման շնորհիվ նպաստել պետական գույքի մասնավորեցումից, օտարումից, օգտագործումից և սպասարկումից ներկայումս ստացվող և ապագայում՝ ներդրումների իրականացման շնորհիվ եկամուտների և սոցիալական արդյունքների ավելացմանը և գույքի հանրային օգտակարության և տնտեսական շրջանառության մեջ ներգրավվածության բարձրացմանը։</w:t>
      </w:r>
    </w:p>
    <w:p w:rsidR="007A5F0F" w:rsidRDefault="007A5F0F" w:rsidP="007730AA">
      <w:pPr>
        <w:pStyle w:val="BodyText2"/>
        <w:ind w:left="0" w:firstLine="720"/>
        <w:rPr>
          <w:rFonts w:cs="Arial"/>
        </w:rPr>
      </w:pPr>
      <w:r w:rsidRPr="005B2DB1">
        <w:t>Պետական գույքի կառավարման ոլորտում կարևորվում է պետական գույքի կառավարման հայեցակարգից բխող իրավական ակտերի մշակումը և իրագործման ապահովումը, այդ թվում</w:t>
      </w:r>
      <w:r>
        <w:t>՝</w:t>
      </w:r>
      <w:r w:rsidRPr="005B2DB1">
        <w:t xml:space="preserve"> անշարժ գույքի վիճակի վերաբերյալ դիտարկումների (մոնիթորինգի) ներդրումը, պետական գույքի օտարման գործընթացներում հրապարակայնություն և թափանցիկություն ապահովող վաճառքի կազմակերպման ժամանակակից ձևերի և մեթոդների կիրառումը, պետական կառավարման համակարգի մարմինների տիրապետմանը և օգտագործմանը հանձնված (ամրացված), պետական ոչ առևտրային կազմակերպություններին, պետական մասնակցությամբ առևտրային կազմակերպություններին և հիմնադրամներին անհատույց օգտագործման իրավունքով տրամադրված պետական սեփականություն հանդիսացող գույքի վաճառքի գործընթացի միասնական կանոնակարգումը, անհատույց օգտագործման տրամադրման գործընթացում մրցակցային դաշտի ապահովումը, որի արդյունքում կվերացվեն պետական գույքի անհատույց օգտագործման հանձնելու գործընթացում վարչարարական քաշքշուկները, կսահմանվեն տարածքների անհատույց տրամադրման կիրառելի, արդար և բոլոր շահառուների գործունեության արդյունավետության բարձրացմանը նպաստող և գործունեության համար լիարժեք աջակցություն ապահովող չափանիշներ և պայմաններ, բոլոր սուբյեկտների համար հստակ և միասնական պահանջներ, որի շնորհիվ կբարձրացվի գործընթացի արդյունավետությունը և ծառայությունների մատուցման որակը, ի</w:t>
      </w:r>
      <w:r>
        <w:t>նչպես նաև կշտկվեն պետական գույքի</w:t>
      </w:r>
      <w:r w:rsidRPr="005B2DB1">
        <w:t xml:space="preserve"> մրցույթով մասնավորեցման գործընթացի առկա բացթողումները։</w:t>
      </w:r>
    </w:p>
    <w:p w:rsidR="007A5F0F" w:rsidRPr="007317C3" w:rsidRDefault="007A5F0F" w:rsidP="007730AA">
      <w:pPr>
        <w:pStyle w:val="BodyText2"/>
        <w:ind w:left="0" w:firstLine="720"/>
        <w:rPr>
          <w:rFonts w:cs="Arial"/>
        </w:rPr>
      </w:pPr>
      <w:r w:rsidRPr="005B2DB1">
        <w:t>Ընդհանուր առմամբ օրենսդրական բարեփոխումների նպատակով 2021</w:t>
      </w:r>
      <w:r>
        <w:t xml:space="preserve"> </w:t>
      </w:r>
      <w:r w:rsidRPr="005B2DB1">
        <w:t>թ</w:t>
      </w:r>
      <w:r>
        <w:t>վական</w:t>
      </w:r>
      <w:r w:rsidRPr="005B2DB1">
        <w:t>ի ընթացքում կշարունակվեն պետական գույքի կառավարման ոլորտում մեթոդական բնույթի օրենսդրական փոփոխությունները, որոնց հիմնական նպատակն է կանոնակարգել, հստակեցնել կառավարման գործառույթները և լրացնել այն բացերը, որոնք առաջանում են նոր իրավական ակտերի կիրառման արդյունքում:</w:t>
      </w:r>
      <w:r w:rsidRPr="00DF48E4">
        <w:rPr>
          <w:highlight w:val="yellow"/>
          <w:lang w:val="af-ZA"/>
        </w:rPr>
        <w:t xml:space="preserve"> </w:t>
      </w:r>
    </w:p>
    <w:p w:rsidR="007A5F0F" w:rsidRPr="0054155A"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59" w:name="_Toc26174911"/>
      <w:bookmarkStart w:id="60" w:name="_Toc57655441"/>
      <w:r w:rsidRPr="0054155A">
        <w:rPr>
          <w:rFonts w:cs="Arial"/>
          <w:szCs w:val="22"/>
          <w:lang w:val="hy-AM" w:eastAsia="en-US"/>
        </w:rPr>
        <w:t>Անշարժ գույքի կադաստր</w:t>
      </w:r>
      <w:bookmarkEnd w:id="59"/>
      <w:bookmarkEnd w:id="60"/>
      <w:r w:rsidRPr="0054155A">
        <w:rPr>
          <w:rFonts w:cs="Arial"/>
          <w:szCs w:val="22"/>
          <w:lang w:val="hy-AM" w:eastAsia="en-US"/>
        </w:rPr>
        <w:t xml:space="preserve"> </w:t>
      </w:r>
    </w:p>
    <w:p w:rsidR="007A5F0F" w:rsidRDefault="007A5F0F" w:rsidP="007730AA">
      <w:pPr>
        <w:pStyle w:val="BodyText2"/>
        <w:ind w:left="0" w:firstLine="720"/>
        <w:rPr>
          <w:rFonts w:cs="Arial"/>
        </w:rPr>
      </w:pPr>
      <w:r w:rsidRPr="005E6B53">
        <w:t>Հայաստանի Հանրապետությունում անշարժ գույքի պետական միասնական կադաստրի վարման համակարգի արդիական և հասարակության տեղեկատվական պահանջները բավարարելու նպատակով կառավարությունը կփորձի ամբողջապես անցնել առցանց ծառայությունների ինքնաշխատ համակարգի՝ հրաժարվելով թղթային փաստաթղթաշրջա</w:t>
      </w:r>
      <w:r w:rsidR="00C71AE2">
        <w:softHyphen/>
      </w:r>
      <w:r w:rsidRPr="005E6B53">
        <w:t>ն</w:t>
      </w:r>
      <w:r w:rsidR="00C71AE2">
        <w:t>առ</w:t>
      </w:r>
      <w:r w:rsidRPr="005E6B53">
        <w:t>ությունից։ Նշված փոփոխությունները նպաստելու են տեղեկատվության տրամադրման գործընթացի դյուրացմանը, առցանց տրամադրվող տեղեկատվության նկատմամբ պահանջարկի խթանմանը, տրամադրման ժամկետների կրճատմանը և պահպանման ծախսերի զգալի նվազեցմանը:</w:t>
      </w:r>
    </w:p>
    <w:p w:rsidR="007A5F0F" w:rsidRDefault="007A5F0F" w:rsidP="007730AA">
      <w:pPr>
        <w:pStyle w:val="BodyText2"/>
        <w:ind w:left="0" w:firstLine="720"/>
        <w:rPr>
          <w:rFonts w:cs="Arial"/>
        </w:rPr>
      </w:pPr>
      <w:r w:rsidRPr="003474FA">
        <w:t>Անշարժ գույքի հարկման համակարգի բարեփոխումների շրջանակներում Հայաստանի Հանրապետությունում կներդրվի անշարժ գույքի միասնական գնահատման և հարկման համակարգ, որը հնարավորություն կընձեռի անշարժ գույքի հարկով արդարա</w:t>
      </w:r>
      <w:r>
        <w:t>ցի հարկման մեխանիզմների ներդրմամբ</w:t>
      </w:r>
      <w:r w:rsidRPr="003474FA">
        <w:t xml:space="preserve"> ապահովել անշարժ գույքի շուկայի գնային իրավիճակի վերաբերյալ վերլուծական տեղեկատվական բազայի ստեղծումը, խթանել պարապուրդում գտնվող գույքի մասնակցությունը անշարժ գույքի շուկայում և նպաստել ավե</w:t>
      </w:r>
      <w:r>
        <w:t xml:space="preserve">լացված արժեքի աճին, ինչպես նաև </w:t>
      </w:r>
      <w:r w:rsidRPr="003474FA">
        <w:t>նպաստ</w:t>
      </w:r>
      <w:r w:rsidRPr="00845585">
        <w:t>ել</w:t>
      </w:r>
      <w:r w:rsidRPr="003474FA">
        <w:t xml:space="preserve"> անշարժ գույքի հարկման առավել արդարացի դաշտի ձևավորմանը, վարչարարության պարզեցմանը:</w:t>
      </w:r>
    </w:p>
    <w:p w:rsidR="007A5F0F" w:rsidRDefault="007A5F0F" w:rsidP="007730AA">
      <w:pPr>
        <w:pStyle w:val="BodyText2"/>
        <w:ind w:left="0" w:firstLine="720"/>
        <w:rPr>
          <w:rFonts w:cs="Arial"/>
        </w:rPr>
      </w:pPr>
      <w:r w:rsidRPr="002244CA">
        <w:t>Բարեփոխումներ են նախատեսվում իրականացնել նաև գույքի շուկայական գնահատման ոլորտում, մասնավորապես՝ օրենսդրական փոփոխություններով կկարգավորվի ոչ միայն անշարժ գույքի, այլ նաև գույքի մյուս տեսակների</w:t>
      </w:r>
      <w:r w:rsidR="007B580D" w:rsidRPr="007B580D">
        <w:t xml:space="preserve"> </w:t>
      </w:r>
      <w:r w:rsidR="007B580D" w:rsidRPr="002244CA">
        <w:t>շուկայական գնահատու</w:t>
      </w:r>
      <w:r w:rsidR="007B580D">
        <w:t>մ</w:t>
      </w:r>
      <w:r w:rsidR="007B580D" w:rsidRPr="002244CA">
        <w:t>ը</w:t>
      </w:r>
      <w:r w:rsidR="007B580D">
        <w:t>, այդ թվում</w:t>
      </w:r>
      <w:r w:rsidRPr="002244CA">
        <w:t>՝ շարժական</w:t>
      </w:r>
      <w:r w:rsidR="007B580D">
        <w:t xml:space="preserve"> գույքի</w:t>
      </w:r>
      <w:r w:rsidRPr="002244CA">
        <w:t>, բիզնեսի, ոչ նյութական ակտիվների և այլ</w:t>
      </w:r>
      <w:r w:rsidR="007B580D">
        <w:t>ն</w:t>
      </w:r>
      <w:r w:rsidRPr="002244CA">
        <w:t xml:space="preserve">: Նշված բարեփոխումները հնարավորություն </w:t>
      </w:r>
      <w:r w:rsidR="007B580D">
        <w:t>կստեղծեն</w:t>
      </w:r>
      <w:r w:rsidRPr="002244CA">
        <w:t xml:space="preserve"> գնահատման ոլորտի ինքնակարգավորման ինստիտուտի ներդրման</w:t>
      </w:r>
      <w:r w:rsidR="007B580D">
        <w:t>, ինչպես նա</w:t>
      </w:r>
      <w:r w:rsidRPr="002244CA">
        <w:t>և անշարժ գույքի գործակալների գործունեության կարգավորման ու զարգացման</w:t>
      </w:r>
      <w:r w:rsidR="007B580D">
        <w:t xml:space="preserve"> համար</w:t>
      </w:r>
      <w:r w:rsidRPr="002244CA">
        <w:t>:</w:t>
      </w:r>
    </w:p>
    <w:p w:rsidR="007A5F0F" w:rsidRDefault="007A5F0F" w:rsidP="007730AA">
      <w:pPr>
        <w:pStyle w:val="BodyText2"/>
        <w:ind w:left="0" w:firstLine="720"/>
        <w:rPr>
          <w:rFonts w:cs="Arial"/>
        </w:rPr>
      </w:pPr>
      <w:r w:rsidRPr="00106F2D">
        <w:t>Նշված ռազմավարության պահանջների խթանումը գեոդեզիական, քարտեզագրական և երկրատեղեկատվական համակարգի հիման վրա Հայաստանի Հանրապետության ինտեգրված, միասնական կադաստրի ստեղծումն է, որի նպատակը տեղեկատվական տեխնոլոգիաների նորագույն լուծումներով ոլորտի համակարգի արդիականացումն է, որն էլ իր հերթին կնպաստի տարածական որոշումների օպերատիվության բարձրացմանը և հողային քաղաքականության պատշաճ և արդյունավետ վարմանը։</w:t>
      </w:r>
    </w:p>
    <w:p w:rsidR="007A5F0F" w:rsidRDefault="007A5F0F" w:rsidP="007730AA">
      <w:pPr>
        <w:pStyle w:val="BodyText2"/>
        <w:ind w:left="0" w:firstLine="720"/>
        <w:rPr>
          <w:rFonts w:cs="Arial"/>
        </w:rPr>
      </w:pPr>
      <w:r w:rsidRPr="00C65275">
        <w:t xml:space="preserve">Շարունակվում են իրականացվել Հայաստանի Հանրապետության քաղաքների բազային երկրատեղեկատվական համակարգի քարտեզագրական հիմքի ստեղծման աշխատանքները, որոնք </w:t>
      </w:r>
      <w:r w:rsidRPr="00845585">
        <w:t xml:space="preserve">կհանդիսանան </w:t>
      </w:r>
      <w:r w:rsidRPr="00C65275">
        <w:t>տնտեսության տարբեր բնագավառներում աշխատանքների արդյունավետության բարձրացման կարևոր նախադրյալ:</w:t>
      </w:r>
    </w:p>
    <w:p w:rsidR="007A5F0F" w:rsidRPr="00BD3F6A" w:rsidRDefault="007A5F0F" w:rsidP="007730AA">
      <w:pPr>
        <w:pStyle w:val="BodyText2"/>
        <w:ind w:left="0" w:firstLine="720"/>
      </w:pPr>
      <w:r w:rsidRPr="00BD3F6A">
        <w:t>Ստեղծված քարտեզագեոդեզիական հիմքով երկրատեղեկատվական համակարգը հանդիսանալու է գերատեսչական տարբեր ոլորտների, այդ թվում՝ քաղաքաշինական, բնապահպանական, արդյունաբերական, անշարժ գույքի կադաստրի, տարածքների պլանավորման, գյուղատնտեսական հողերի հաշվառման, հողերի միավորման, հողերի օգտագործման և գոտիավորման սխեմաների կազմման, գույքահարկի և գնահատման բազաների ճշգրտման, վարչական և տնտեսական գործունեության, մելիորացիայի, երկրաբանական հետախուզական աշխատանքների, անտառտնտեսության, արտակարգ իրավիճակների ժամանակ օպտիմալ և օպերատիվ որոշումների կայացման, հանրապետության մարզերի, համայնքների և առանձին տարածքների զարգացման ու արդյունավետ պլանավորման համար որպես բազա:</w:t>
      </w:r>
    </w:p>
    <w:p w:rsidR="007A5F0F" w:rsidRPr="00BD3F6A" w:rsidRDefault="007A5F0F" w:rsidP="007730AA">
      <w:pPr>
        <w:keepNext/>
        <w:tabs>
          <w:tab w:val="left" w:pos="567"/>
        </w:tabs>
        <w:spacing w:before="0" w:line="276" w:lineRule="auto"/>
        <w:ind w:firstLine="720"/>
        <w:contextualSpacing w:val="0"/>
        <w:outlineLvl w:val="2"/>
        <w:rPr>
          <w:rFonts w:cs="Arial"/>
          <w:szCs w:val="22"/>
          <w:lang w:val="hy-AM" w:eastAsia="en-US"/>
        </w:rPr>
      </w:pPr>
      <w:bookmarkStart w:id="61" w:name="_Toc26174912"/>
      <w:bookmarkStart w:id="62" w:name="_Toc57655442"/>
      <w:r w:rsidRPr="00BD3F6A">
        <w:rPr>
          <w:rFonts w:cs="Arial"/>
          <w:szCs w:val="22"/>
          <w:lang w:val="hy-AM" w:eastAsia="en-US"/>
        </w:rPr>
        <w:t>Հասարակական կարգի պահպանություն</w:t>
      </w:r>
      <w:bookmarkEnd w:id="61"/>
      <w:bookmarkEnd w:id="62"/>
    </w:p>
    <w:p w:rsidR="007A5F0F" w:rsidRPr="00BD3F6A" w:rsidRDefault="00A34375" w:rsidP="007730AA">
      <w:pPr>
        <w:pStyle w:val="BodyText2"/>
        <w:ind w:left="0" w:firstLine="720"/>
        <w:rPr>
          <w:rFonts w:cs="Arial"/>
        </w:rPr>
      </w:pPr>
      <w:r w:rsidRPr="00BD3F6A">
        <w:t>Ո</w:t>
      </w:r>
      <w:r w:rsidR="007A5F0F" w:rsidRPr="00BD3F6A">
        <w:t xml:space="preserve">ստիկանությունում մեկնարկած բարեփոխումների նպատակը ժամանակակից մարտահրավերներին դիմակայող, մասնագիտացված ու տեխնիկապես հագեցած, բարեվարք և հարգանքի արժանի ոստիկանության վերափոխումն ու ժողովրդավարական իրավակարգին բնորոշ նոր ոստիկանի կերպարի ստեղծումն է։ </w:t>
      </w:r>
    </w:p>
    <w:p w:rsidR="007A5F0F" w:rsidRPr="00BD3F6A" w:rsidRDefault="007A5F0F" w:rsidP="007730AA">
      <w:pPr>
        <w:pStyle w:val="BodyText2"/>
        <w:ind w:left="0" w:firstLine="720"/>
        <w:rPr>
          <w:rFonts w:cs="Arial"/>
        </w:rPr>
      </w:pPr>
      <w:r w:rsidRPr="00BD3F6A">
        <w:t>Նշված նպատակադրումների իրականացմանն ուղղված միջոցառումները, որոնք ներառվելու են ոստիկանության բարեփոխումների ռազմավարությունում և դրա իրականացման 2020-2022 թվականների գործողությունների ծրագրում, հանդիսանալու են ոստիկանության գործունեության ոլորտում առաջիկա տարիներին նախատեսվող բոլոր բարեփոխումների հիմքը: Մասնավորապես նախատեսվում է՝</w:t>
      </w:r>
    </w:p>
    <w:p w:rsidR="007A5F0F" w:rsidRPr="00BD3F6A" w:rsidRDefault="007A5F0F" w:rsidP="007730AA">
      <w:pPr>
        <w:pStyle w:val="ListParagraph"/>
        <w:numPr>
          <w:ilvl w:val="0"/>
          <w:numId w:val="51"/>
        </w:numPr>
        <w:tabs>
          <w:tab w:val="left" w:pos="567"/>
        </w:tabs>
        <w:spacing w:before="0" w:line="276" w:lineRule="auto"/>
        <w:ind w:left="0" w:firstLine="720"/>
        <w:rPr>
          <w:b w:val="0"/>
          <w:szCs w:val="22"/>
          <w:lang w:val="hy-AM"/>
        </w:rPr>
      </w:pPr>
      <w:r w:rsidRPr="00BD3F6A">
        <w:rPr>
          <w:b w:val="0"/>
          <w:szCs w:val="22"/>
          <w:lang w:val="hy-AM"/>
        </w:rPr>
        <w:t xml:space="preserve"> վերանայել ու ըստ մասնագիտական կարիքների բարեփոխել ոստիկանության ծառայողների պատրաստման ու շարունակական մասնագիտական վերապատրաստման համակարգը՝ թե ծրագրերի բովանդակության և թե պատրաստման մեթոդի տեսանկյունից,</w:t>
      </w:r>
    </w:p>
    <w:p w:rsidR="007A5F0F" w:rsidRDefault="007A5F0F" w:rsidP="007730AA">
      <w:pPr>
        <w:pStyle w:val="ListParagraph"/>
        <w:numPr>
          <w:ilvl w:val="0"/>
          <w:numId w:val="51"/>
        </w:numPr>
        <w:tabs>
          <w:tab w:val="left" w:pos="567"/>
        </w:tabs>
        <w:spacing w:before="0" w:line="276" w:lineRule="auto"/>
        <w:ind w:left="0" w:firstLine="720"/>
        <w:rPr>
          <w:b w:val="0"/>
          <w:szCs w:val="22"/>
          <w:lang w:val="hy-AM"/>
        </w:rPr>
      </w:pPr>
      <w:r w:rsidRPr="00BD3F6A">
        <w:rPr>
          <w:b w:val="0"/>
          <w:szCs w:val="22"/>
          <w:lang w:val="hy-AM"/>
        </w:rPr>
        <w:t xml:space="preserve">ստեղծել ոլորտի քաղաքականություն մշակող և իրականացնող, հաշվետվողականության ու քաղաքացիական վերահսողության մեխանիզմներ ունեցող </w:t>
      </w:r>
      <w:r w:rsidR="00A34375" w:rsidRPr="00BD3F6A">
        <w:rPr>
          <w:b w:val="0"/>
          <w:szCs w:val="22"/>
          <w:lang w:val="hy-AM"/>
        </w:rPr>
        <w:t>պետական կառավարման</w:t>
      </w:r>
      <w:r w:rsidRPr="00BD3F6A">
        <w:rPr>
          <w:b w:val="0"/>
          <w:szCs w:val="22"/>
          <w:lang w:val="hy-AM"/>
        </w:rPr>
        <w:t xml:space="preserve"> մարմին</w:t>
      </w:r>
      <w:r w:rsidRPr="00A34375">
        <w:rPr>
          <w:b w:val="0"/>
          <w:szCs w:val="22"/>
          <w:lang w:val="hy-AM"/>
        </w:rPr>
        <w:t>, ինչպես</w:t>
      </w:r>
      <w:r w:rsidRPr="00C91B3F">
        <w:rPr>
          <w:b w:val="0"/>
          <w:szCs w:val="22"/>
          <w:lang w:val="hy-AM"/>
        </w:rPr>
        <w:t xml:space="preserve"> նաև իրականացնել ոստիկանության ծառայության կառուցվածքային ու գործառութային վերանայում՝ ըստ բարեփոխումների հիմնական ուղղություններով իրականացվելիք փոփոխությունների,</w:t>
      </w:r>
    </w:p>
    <w:p w:rsidR="007A5F0F" w:rsidRDefault="007A5F0F" w:rsidP="007730AA">
      <w:pPr>
        <w:pStyle w:val="ListParagraph"/>
        <w:numPr>
          <w:ilvl w:val="0"/>
          <w:numId w:val="51"/>
        </w:numPr>
        <w:tabs>
          <w:tab w:val="left" w:pos="567"/>
        </w:tabs>
        <w:spacing w:before="0" w:line="276" w:lineRule="auto"/>
        <w:ind w:left="0" w:firstLine="720"/>
        <w:rPr>
          <w:b w:val="0"/>
          <w:szCs w:val="22"/>
          <w:lang w:val="hy-AM"/>
        </w:rPr>
      </w:pPr>
      <w:r w:rsidRPr="00C91B3F">
        <w:rPr>
          <w:b w:val="0"/>
          <w:szCs w:val="22"/>
          <w:lang w:val="hy-AM"/>
        </w:rPr>
        <w:t>ապահովել բարեփոխումների իրականացման համար անհրաժեշտ օրենսդրական բազան,</w:t>
      </w:r>
    </w:p>
    <w:p w:rsidR="007A5F0F" w:rsidRDefault="007A5F0F" w:rsidP="007730AA">
      <w:pPr>
        <w:pStyle w:val="ListParagraph"/>
        <w:numPr>
          <w:ilvl w:val="0"/>
          <w:numId w:val="51"/>
        </w:numPr>
        <w:tabs>
          <w:tab w:val="left" w:pos="567"/>
        </w:tabs>
        <w:spacing w:before="0" w:line="276" w:lineRule="auto"/>
        <w:ind w:left="0" w:firstLine="720"/>
        <w:rPr>
          <w:b w:val="0"/>
          <w:szCs w:val="22"/>
          <w:lang w:val="hy-AM"/>
        </w:rPr>
      </w:pPr>
      <w:r w:rsidRPr="00C91B3F">
        <w:rPr>
          <w:b w:val="0"/>
          <w:szCs w:val="22"/>
          <w:lang w:val="hy-AM"/>
        </w:rPr>
        <w:t>հանրային երկխոսություն իրականացնել նաև մասնագիտացված շրջանակների հետ ոչ միայն բարեփոխումների պլանավորման, այլև իրականացման փուլում,</w:t>
      </w:r>
    </w:p>
    <w:p w:rsidR="007A5F0F" w:rsidRDefault="007A5F0F" w:rsidP="007730AA">
      <w:pPr>
        <w:pStyle w:val="ListParagraph"/>
        <w:numPr>
          <w:ilvl w:val="0"/>
          <w:numId w:val="51"/>
        </w:numPr>
        <w:tabs>
          <w:tab w:val="left" w:pos="567"/>
        </w:tabs>
        <w:spacing w:before="0" w:line="276" w:lineRule="auto"/>
        <w:ind w:left="0" w:firstLine="720"/>
        <w:rPr>
          <w:b w:val="0"/>
          <w:szCs w:val="22"/>
          <w:lang w:val="hy-AM"/>
        </w:rPr>
      </w:pPr>
      <w:r w:rsidRPr="00C91B3F">
        <w:rPr>
          <w:b w:val="0"/>
          <w:szCs w:val="22"/>
          <w:lang w:val="hy-AM"/>
        </w:rPr>
        <w:t>հանրությանը մատչելի ու ժամանակին ներկայացնել բարեփոխումների ընթացքի վերաբերյալ տեղեկատվությունը, ինչպես նաև հարգանքի արժանի նոր ոստիկանի կերպարը,</w:t>
      </w:r>
    </w:p>
    <w:p w:rsidR="007A5F0F" w:rsidRDefault="007A5F0F" w:rsidP="007730AA">
      <w:pPr>
        <w:pStyle w:val="ListParagraph"/>
        <w:numPr>
          <w:ilvl w:val="0"/>
          <w:numId w:val="51"/>
        </w:numPr>
        <w:tabs>
          <w:tab w:val="left" w:pos="567"/>
        </w:tabs>
        <w:spacing w:before="0" w:line="276" w:lineRule="auto"/>
        <w:ind w:left="0" w:firstLine="720"/>
        <w:rPr>
          <w:b w:val="0"/>
          <w:szCs w:val="22"/>
          <w:lang w:val="hy-AM"/>
        </w:rPr>
      </w:pPr>
      <w:r w:rsidRPr="00C91B3F">
        <w:rPr>
          <w:b w:val="0"/>
          <w:szCs w:val="22"/>
          <w:lang w:val="hy-AM"/>
        </w:rPr>
        <w:t>բարձրացնել հանրային ծառայության այս տեսակի նկատմամբ գրավչությունը՝ նաև նախատեսելով սոցիալական լրացուցիչ երաշխիքներ՝ պետության բոլոր մարզերում ու ծառայության բոլոր տեսակներում պրոֆեսիոնալների համաչափ ներգրավման նպատակով,</w:t>
      </w:r>
    </w:p>
    <w:p w:rsidR="007A5F0F" w:rsidRPr="00C91B3F" w:rsidRDefault="007A5F0F" w:rsidP="007730AA">
      <w:pPr>
        <w:pStyle w:val="ListParagraph"/>
        <w:numPr>
          <w:ilvl w:val="0"/>
          <w:numId w:val="51"/>
        </w:numPr>
        <w:tabs>
          <w:tab w:val="left" w:pos="567"/>
        </w:tabs>
        <w:spacing w:before="0" w:line="276" w:lineRule="auto"/>
        <w:ind w:left="0" w:firstLine="720"/>
        <w:rPr>
          <w:b w:val="0"/>
          <w:szCs w:val="22"/>
          <w:lang w:val="hy-AM"/>
        </w:rPr>
      </w:pPr>
      <w:r w:rsidRPr="00C91B3F">
        <w:rPr>
          <w:b w:val="0"/>
          <w:szCs w:val="22"/>
          <w:lang w:val="hy-AM"/>
        </w:rPr>
        <w:t>արդյունավետ համագործակցության հիմքեր ստեղծել կամ զարգացնել տարածաշրջանային ու գլոբալ մակարդակներում գործող միջազգային մասնագիտացված կազմակերպությունների ու ցանցերի հետ՝ միտված լավագույն փորձառության շարունակական փոխանակմանը, ինչպես նաև միասնական ջանքերով կազմակերպված հանցավորության դեմ արդյունավետ պայքարին։</w:t>
      </w:r>
    </w:p>
    <w:p w:rsidR="007A5F0F" w:rsidRDefault="007A5F0F" w:rsidP="007730AA">
      <w:pPr>
        <w:tabs>
          <w:tab w:val="left" w:pos="567"/>
        </w:tabs>
        <w:spacing w:before="0" w:line="276" w:lineRule="auto"/>
        <w:ind w:firstLine="720"/>
        <w:rPr>
          <w:b w:val="0"/>
          <w:szCs w:val="22"/>
          <w:lang w:val="hy-AM"/>
        </w:rPr>
      </w:pPr>
      <w:r w:rsidRPr="00A256F7">
        <w:rPr>
          <w:b w:val="0"/>
          <w:szCs w:val="22"/>
          <w:lang w:val="hy-AM"/>
        </w:rPr>
        <w:t>Նշված ռազմավարական նպատակադրումների իրականացման առաջին քայլը հանդիսանալու է տուժ</w:t>
      </w:r>
      <w:r>
        <w:rPr>
          <w:b w:val="0"/>
          <w:szCs w:val="22"/>
          <w:lang w:val="hy-AM"/>
        </w:rPr>
        <w:t xml:space="preserve">ողներին արագ օգնության հասնելու, </w:t>
      </w:r>
      <w:r w:rsidRPr="00A256F7">
        <w:rPr>
          <w:b w:val="0"/>
          <w:szCs w:val="22"/>
          <w:lang w:val="hy-AM"/>
        </w:rPr>
        <w:t>որակյալ, անհետաձգելի բժշկական, հոգեբանական օգնություն ցուցաբերելու, իրավախախտումները կանխելու ու խափանելու, սահմանային ռեժիմի կառավարումն իրականացնող, իրավախախտների հայտնաբեր</w:t>
      </w:r>
      <w:r w:rsidRPr="00E5668D">
        <w:rPr>
          <w:b w:val="0"/>
          <w:szCs w:val="22"/>
          <w:lang w:val="hy-AM"/>
        </w:rPr>
        <w:t>մանն ա</w:t>
      </w:r>
      <w:r w:rsidRPr="00A256F7">
        <w:rPr>
          <w:b w:val="0"/>
          <w:szCs w:val="22"/>
          <w:lang w:val="hy-AM"/>
        </w:rPr>
        <w:t>ջակց</w:t>
      </w:r>
      <w:r w:rsidRPr="00E5668D">
        <w:rPr>
          <w:b w:val="0"/>
          <w:szCs w:val="22"/>
          <w:lang w:val="hy-AM"/>
        </w:rPr>
        <w:t>ող</w:t>
      </w:r>
      <w:r w:rsidRPr="00A256F7">
        <w:rPr>
          <w:b w:val="0"/>
          <w:szCs w:val="22"/>
          <w:lang w:val="hy-AM"/>
        </w:rPr>
        <w:t>, նրանց կողմից ցուցաբերվող դիմադրությանը համարժեք ֆիզիկական ուժ, հատուկ միջոցներ կիրառելու հմտություններ ունեցող Պարեկային ծառայության ստեղծումը, որի կառավարումը նախատեսվում է իրականացնել ոստիկանության Երևան քաղաքի և մարզային վարչությունների կառուցվածքում ներկայումս գործող հերթապահ մասերի հենքի վրա ստեղծվելիք Օպերատիվ կառավարման կենտրոնների (ՕԿԿ) միջոցով։</w:t>
      </w:r>
    </w:p>
    <w:p w:rsidR="007A5F0F" w:rsidRPr="00E5668D" w:rsidRDefault="007A5F0F" w:rsidP="007730AA">
      <w:pPr>
        <w:tabs>
          <w:tab w:val="left" w:pos="567"/>
        </w:tabs>
        <w:spacing w:before="0" w:line="276" w:lineRule="auto"/>
        <w:ind w:firstLine="720"/>
        <w:rPr>
          <w:szCs w:val="22"/>
          <w:lang w:val="hy-AM"/>
        </w:rPr>
      </w:pPr>
      <w:r w:rsidRPr="00E5668D">
        <w:rPr>
          <w:szCs w:val="22"/>
          <w:lang w:val="hy-AM"/>
        </w:rPr>
        <w:t>Պարեկային ծառայության հիմնական գործառույթներն են հանդիսանալու.</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Pr>
          <w:b w:val="0"/>
          <w:szCs w:val="22"/>
          <w:lang w:val="hy-AM"/>
        </w:rPr>
        <w:t xml:space="preserve"> </w:t>
      </w:r>
      <w:r w:rsidRPr="006769D2">
        <w:rPr>
          <w:b w:val="0"/>
          <w:szCs w:val="22"/>
          <w:lang w:val="hy-AM"/>
        </w:rPr>
        <w:t>հասարակական կարգի պահպանությունը և հասարակական անվտանգության ապահովումը,</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ճանապարհային երթևեկության անվտանգության ապահովումը,</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իրավախախտումների նախականխումը, կանխումը և խափանումը,</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հետախուզվող հանցագործների, անհետ կորած անձանց և հետախուզվող տրանսպորտային միջոցների հայտնաբերումը,</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վարչական իրավախախտումների արձանագրումն ու փաստաթղթավորումը,</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երթևեկության տեխնիկական և կազմակերպական կարգավորումը խցանումների, զանգվածային հասարակական միջոցառումների, դժբախտ պատահարների, այդ թվում՝ տեխնածին աղետների և արտակարգ այլ իրավիճակների ընթացքում,</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աջակցությունը հավաքը սպասարկող ոստիկանական ուժերին,</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հանցագործությունների ու այլ իրավախախտումների, պատահարների վերաբերյալ դիմումների ու հաղորդումների ընդունումը,</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իրավախախտումների ու պատահարների մասին հաղորդումներին ու ահազանգերին օպերատիվ արձագանքումն ու դեպքի վայրում հաղորդումների ստուգումը,</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դեպքի վայրի պահպանությունը,</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ականատես վկաների հայտնաբերումը,</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անհետաձգելի քննչական գործողություններին և օպերատիվ հետախուզական միջոցառումներին աջակցությունը, ներառյալ իրավախախտում կատարած անձի հետապնդումն ու հայտնաբերումը,</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սահմանային անցակետերում սահմանային ռեժիմի պահպանությունը,</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տուժած անձանց անհետաձգելի բժշկական, հոգեբանական օգնության ցուցաբերումը,</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քաղաքացիներին աջակցության ցուցաբերումը,</w:t>
      </w:r>
    </w:p>
    <w:p w:rsidR="007A5F0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բնակչությանն անհետաձգելի օգնություն ցուցաբերող ծառայություններին աջակցելը,</w:t>
      </w:r>
    </w:p>
    <w:p w:rsidR="007A5F0F" w:rsidRPr="00C91B3F" w:rsidRDefault="007A5F0F" w:rsidP="007730AA">
      <w:pPr>
        <w:pStyle w:val="ListParagraph"/>
        <w:numPr>
          <w:ilvl w:val="0"/>
          <w:numId w:val="39"/>
        </w:numPr>
        <w:tabs>
          <w:tab w:val="left" w:pos="567"/>
        </w:tabs>
        <w:spacing w:before="0" w:line="276" w:lineRule="auto"/>
        <w:ind w:left="0" w:firstLine="720"/>
        <w:rPr>
          <w:b w:val="0"/>
          <w:szCs w:val="22"/>
          <w:lang w:val="hy-AM"/>
        </w:rPr>
      </w:pPr>
      <w:r w:rsidRPr="00C91B3F">
        <w:rPr>
          <w:b w:val="0"/>
          <w:szCs w:val="22"/>
          <w:lang w:val="hy-AM"/>
        </w:rPr>
        <w:t>իրավախախտումների դեմ պայքարի ոլորտում ոստիկանության ստորաբաժանումների և շահագրգիռ այլ մարմինների հետ համագործակցությունը։</w:t>
      </w:r>
    </w:p>
    <w:p w:rsidR="007A5F0F" w:rsidRPr="00E5668D" w:rsidRDefault="007A5F0F" w:rsidP="007730AA">
      <w:pPr>
        <w:tabs>
          <w:tab w:val="left" w:pos="567"/>
        </w:tabs>
        <w:spacing w:before="0" w:line="276" w:lineRule="auto"/>
        <w:ind w:firstLine="720"/>
        <w:rPr>
          <w:b w:val="0"/>
          <w:szCs w:val="22"/>
          <w:lang w:val="hy-AM"/>
        </w:rPr>
      </w:pPr>
      <w:r w:rsidRPr="00E5668D">
        <w:rPr>
          <w:szCs w:val="22"/>
          <w:lang w:val="hy-AM"/>
        </w:rPr>
        <w:t>ՀՀ ռազմավարական նշանակության օբյեկտների և ենթակառուցվածքների անվտանգության պատշաճ ապահովման, ինչպես նաև ՀՀ ներքին ու արտաքին սպառնալիքներին դիմագրավելու կարողությունների բարձրացման համատեքստում</w:t>
      </w:r>
      <w:r w:rsidRPr="00E5668D">
        <w:rPr>
          <w:b w:val="0"/>
          <w:szCs w:val="22"/>
          <w:lang w:val="hy-AM"/>
        </w:rPr>
        <w:t xml:space="preserve">  ոստիկանության կողմից նախապատրաստվել է «ՀՀ ոստիկանության կողմից պետական պահպանության ենթակա պետական մարմինների և կազմակերպությունների շենքերի և շինությունների, ինչպես նաև կարևորագույն նշանակության օբյեկտների ցանկերը հաստատելու մասին և ՀՀ կառավարության 2004 թվականի ապրիլի 29-ի թիվ 1008-Ն որոշումն ուժը կորցրած ճանաչելու մասին» ՀՀ կառավարության որոշման նախագիծ, որով նախատեսվում է ամբողջացնել պետական պահպանության ենթակա ռազմավարական նշանակության կարևորագույն օբյեկտների ցանկը: Ներկայում ՀՀ-ում առկա մի շարք ռազմավարական նշանակության կարևորագույն օբյեկտներ դուրս են մնացել ՀՀ կառավարության 2004 թվականի ապրիլի 29-ի թիվ 1008-Ն որոշմամբ հաստատված հավելվածներից, ընդ որում, դրանց մեծ մասն իրենց տեսակով և բնույթով չեն տարբերվում որոշման հավելվածներում ընդգրկվածներից: Դրանց մի մասը ներկայումս պահպանվում են մասնավոր պահնորդական կազմակերպությունների, մի մասը՝ տնօրինող կազմակերպությունների ոչ մասնագիտացված ուժերի /պահակների/ կողմից, իսկ մի մասը չեն պահպանվում ընդհանրապես: Նախագիծը գտնվում է արտաքին շրջանառության փուլում:</w:t>
      </w:r>
    </w:p>
    <w:p w:rsidR="007A5F0F" w:rsidRDefault="007A5F0F" w:rsidP="007730AA">
      <w:pPr>
        <w:tabs>
          <w:tab w:val="left" w:pos="567"/>
        </w:tabs>
        <w:spacing w:before="0" w:line="276" w:lineRule="auto"/>
        <w:ind w:firstLine="720"/>
        <w:rPr>
          <w:b w:val="0"/>
          <w:szCs w:val="22"/>
          <w:lang w:val="hy-AM"/>
        </w:rPr>
      </w:pPr>
      <w:r w:rsidRPr="00A256F7">
        <w:rPr>
          <w:b w:val="0"/>
          <w:szCs w:val="22"/>
          <w:lang w:val="hy-AM"/>
        </w:rPr>
        <w:t>Այս համատեքստում նաև նախատեսվում է ոչ ռազմավարական նշանակության օբյեկտների պահակային պահպանությունը աստիճանաբար թողնել մասնավոր պահնորդական կազմակերպություններին, իսկ ոստիկանության պետական պահպանության գլխավոր վարչության ստորաբաժանումները մասնավոր օբյեկտների պաշտպանությունը կիրականացնեն բացառապես տեխնիկական միջոցներով՝ ոստիկանության ստորաբաժանումներին միացված ահազանգման համակարգերով: Ընդ որում, տեխնիկական միջոցներով մասնավոր օբյեկտներից ստացված ահազանգերի արձագանքմանն ու «տաք հետքերով» սեփականության դեմ ոտնձգող անձանց հետապնդման աշխատանքներում օգտագործվելու են նոր ստեղծվող պարեկային ծառայության կարգախմբերի և ՕԿԿ-ի հնարավորությունները:</w:t>
      </w:r>
    </w:p>
    <w:p w:rsidR="007A5F0F" w:rsidRDefault="007A5F0F" w:rsidP="007730AA">
      <w:pPr>
        <w:tabs>
          <w:tab w:val="left" w:pos="567"/>
        </w:tabs>
        <w:spacing w:before="0" w:line="276" w:lineRule="auto"/>
        <w:ind w:firstLine="720"/>
        <w:rPr>
          <w:b w:val="0"/>
          <w:szCs w:val="22"/>
          <w:lang w:val="hy-AM"/>
        </w:rPr>
      </w:pPr>
      <w:r w:rsidRPr="00E5668D">
        <w:rPr>
          <w:szCs w:val="22"/>
          <w:lang w:val="hy-AM"/>
        </w:rPr>
        <w:t>Ոստիկանության կողմից պաշտպանության ենթակա անձանց նկատմամբ պաշտպանության միջոցներն իրականացնելու հետ կապված հարաբերությունները</w:t>
      </w:r>
      <w:r w:rsidRPr="00E5668D">
        <w:rPr>
          <w:b w:val="0"/>
          <w:szCs w:val="22"/>
          <w:lang w:val="hy-AM"/>
        </w:rPr>
        <w:t xml:space="preserve"> կանոնակարգող «Ոստիկանության մասին» օրենքում փոփոխություն և լրացումներ կատարելու մասին» օրենքի ընդունմամբ պայմանավորված՝ մշակվել և շրջանառվել է «Պաշտպանության ենթակա անձանց նկատմամբ ոստիկանության կողմից պաշտպանության միջոցների </w:t>
      </w:r>
      <w:r w:rsidRPr="00A34375">
        <w:rPr>
          <w:b w:val="0"/>
          <w:szCs w:val="22"/>
          <w:lang w:val="hy-AM"/>
        </w:rPr>
        <w:t>իրականացման կարգը և պայմանները սահմանելու մասին» ՀՀ</w:t>
      </w:r>
      <w:r w:rsidR="00A34375" w:rsidRPr="00A34375">
        <w:rPr>
          <w:b w:val="0"/>
          <w:szCs w:val="22"/>
          <w:lang w:val="hy-AM"/>
        </w:rPr>
        <w:t xml:space="preserve"> կառավարության որոշման նախագիծը</w:t>
      </w:r>
      <w:r w:rsidRPr="00A34375">
        <w:rPr>
          <w:b w:val="0"/>
          <w:szCs w:val="22"/>
          <w:lang w:val="hy-AM"/>
        </w:rPr>
        <w:t>: Նախագծի ընդունումից հետո ՀՀ ոստիկանության պետական պահպանության գլխավոր վարչությանն է վերապահվելու քրեական դատավարության մասնակիցների, պետական պաշտոնատար անձանց, օրենքով նախատեսված դեպքերում՝ այլ անձանց անձնական անվտանգության պաշտպանության ապահովումը, որի կազմում նախատեսվում է ստեղծել նշված գործառ</w:t>
      </w:r>
      <w:r w:rsidR="00A34375" w:rsidRPr="00A34375">
        <w:rPr>
          <w:b w:val="0"/>
          <w:szCs w:val="22"/>
          <w:lang w:val="hy-AM"/>
        </w:rPr>
        <w:t xml:space="preserve">ույթների իրականացումն ապահովող </w:t>
      </w:r>
      <w:r w:rsidRPr="00A34375">
        <w:rPr>
          <w:b w:val="0"/>
          <w:szCs w:val="22"/>
          <w:lang w:val="hy-AM"/>
        </w:rPr>
        <w:t>մասնագիտական ստորաբաժանում:</w:t>
      </w:r>
    </w:p>
    <w:p w:rsidR="007A5F0F" w:rsidRDefault="007A5F0F" w:rsidP="007730AA">
      <w:pPr>
        <w:tabs>
          <w:tab w:val="left" w:pos="567"/>
        </w:tabs>
        <w:spacing w:before="0" w:line="276" w:lineRule="auto"/>
        <w:ind w:firstLine="720"/>
        <w:rPr>
          <w:b w:val="0"/>
          <w:szCs w:val="22"/>
          <w:lang w:val="hy-AM"/>
        </w:rPr>
      </w:pPr>
      <w:r w:rsidRPr="00E5668D">
        <w:rPr>
          <w:szCs w:val="22"/>
          <w:lang w:val="hy-AM"/>
        </w:rPr>
        <w:t>Խոշտանգումները կանխելու և բացահայտելու նպատակով</w:t>
      </w:r>
      <w:r w:rsidRPr="00E5668D">
        <w:rPr>
          <w:b w:val="0"/>
          <w:szCs w:val="22"/>
          <w:lang w:val="hy-AM"/>
        </w:rPr>
        <w:t xml:space="preserve"> ոստիկանության շենքերի մուտքերին և ելքերին, ինչպես  նաև ոստիկանության ստորաբաժանումների՝ հարցաքննության համար նախատեսված տարածքներում տեսաձայնագրող տեխնիկական միջոցներ տեղադրելու և տեսաձայնագրում իրականացնելու համար իրավական հիմքեր նախատեսող «Ոստիկանության մասին» օրենքում լրացում և փոփոխություններ կատարելու մասին» օրենքի ընդունմամբ պայմանավորված՝ պիլոտային ծրագրի շրջանակներում նման համակարգեր արդեն իսկ ներդրվել են ոստիկանության Երևան քաղաքի և մի շարք մարզային վարչությունների ենթակա որոշ տարածքային բաժիններում: Գործընթացը պետք է ավարտին հասցվի հիշյալ օրենքն ուժի մեջ մտնելուց հետո 3 տարվա ընթացքում: </w:t>
      </w:r>
    </w:p>
    <w:p w:rsidR="00E206A5" w:rsidRDefault="00E206A5" w:rsidP="007730AA">
      <w:pPr>
        <w:tabs>
          <w:tab w:val="left" w:pos="567"/>
        </w:tabs>
        <w:spacing w:before="0" w:line="276" w:lineRule="auto"/>
        <w:ind w:firstLine="720"/>
        <w:rPr>
          <w:b w:val="0"/>
          <w:szCs w:val="22"/>
          <w:lang w:val="hy-AM"/>
        </w:rPr>
      </w:pPr>
    </w:p>
    <w:p w:rsidR="00E206A5" w:rsidRDefault="00E206A5" w:rsidP="007730AA">
      <w:pPr>
        <w:tabs>
          <w:tab w:val="left" w:pos="567"/>
        </w:tabs>
        <w:spacing w:before="0" w:line="276" w:lineRule="auto"/>
        <w:ind w:firstLine="720"/>
        <w:rPr>
          <w:b w:val="0"/>
          <w:szCs w:val="22"/>
          <w:lang w:val="hy-AM"/>
        </w:rPr>
      </w:pPr>
    </w:p>
    <w:p w:rsidR="00E206A5" w:rsidRPr="00E206A5" w:rsidRDefault="00E206A5" w:rsidP="007730AA">
      <w:pPr>
        <w:keepNext/>
        <w:tabs>
          <w:tab w:val="left" w:pos="567"/>
        </w:tabs>
        <w:spacing w:before="0" w:line="276" w:lineRule="auto"/>
        <w:ind w:firstLine="720"/>
        <w:contextualSpacing w:val="0"/>
        <w:outlineLvl w:val="2"/>
        <w:rPr>
          <w:rFonts w:cs="Arial"/>
          <w:szCs w:val="22"/>
          <w:lang w:val="hy-AM" w:eastAsia="en-US"/>
        </w:rPr>
      </w:pPr>
      <w:bookmarkStart w:id="63" w:name="_Toc57655443"/>
      <w:r w:rsidRPr="00E206A5">
        <w:rPr>
          <w:rFonts w:cs="Arial"/>
          <w:szCs w:val="22"/>
          <w:lang w:val="hy-AM" w:eastAsia="en-US"/>
        </w:rPr>
        <w:t>Գենդերազգայուն բյուջե</w:t>
      </w:r>
      <w:bookmarkEnd w:id="63"/>
    </w:p>
    <w:p w:rsidR="00E206A5" w:rsidRPr="00E206A5" w:rsidRDefault="00E206A5" w:rsidP="007730AA">
      <w:pPr>
        <w:tabs>
          <w:tab w:val="left" w:pos="567"/>
        </w:tabs>
        <w:spacing w:before="0" w:line="276" w:lineRule="auto"/>
        <w:ind w:firstLine="720"/>
        <w:rPr>
          <w:b w:val="0"/>
          <w:szCs w:val="22"/>
          <w:lang w:val="hy-AM"/>
        </w:rPr>
      </w:pPr>
      <w:r w:rsidRPr="00E206A5">
        <w:rPr>
          <w:b w:val="0"/>
          <w:szCs w:val="22"/>
          <w:lang w:val="hy-AM"/>
        </w:rPr>
        <w:t xml:space="preserve">Շարունակվում են պետական կառավարման համակարգի բարեփոխումները բյուջետային ոլորտում: Սկսած 2020թ. ՀՀ պետական բյուջեից՝ քայլեր են ձեռնարկվում ծրագրային բյուջետավորման շրջանակներում գենդերազգայուն բյուջետավորման ներդրման ուղղությամբ: Սա ենթադրում է գենդերային հիմնահարցերի, խնդիրների և հավասար հնարավորությունների ապահովման կարևորումը ՀՀ պետական բյուջեի պլանավորման և կատարման բոլոր փուլերում՝ սկսած իրավիճակային վերլուծությունից մինչև ծրագրերի ու միջոցառումների և նրանց ֆինանսական ու ոչ-ֆինանսական ցուցանիշների պլանավորումն ու կատարման մոնիտորինգը: </w:t>
      </w:r>
    </w:p>
    <w:p w:rsidR="007938F6" w:rsidRDefault="00E206A5" w:rsidP="007730AA">
      <w:pPr>
        <w:tabs>
          <w:tab w:val="left" w:pos="567"/>
        </w:tabs>
        <w:spacing w:before="0" w:line="276" w:lineRule="auto"/>
        <w:ind w:firstLine="720"/>
        <w:rPr>
          <w:b w:val="0"/>
          <w:szCs w:val="22"/>
          <w:lang w:val="hy-AM"/>
        </w:rPr>
      </w:pPr>
      <w:r w:rsidRPr="00E206A5">
        <w:rPr>
          <w:b w:val="0"/>
          <w:szCs w:val="22"/>
          <w:lang w:val="hy-AM"/>
        </w:rPr>
        <w:t>2019  թվականի</w:t>
      </w:r>
      <w:r w:rsidRPr="00E206A5">
        <w:rPr>
          <w:b w:val="0"/>
          <w:szCs w:val="22"/>
          <w:lang w:val="hy-AM"/>
        </w:rPr>
        <w:tab/>
      </w:r>
      <w:r w:rsidR="007938F6">
        <w:rPr>
          <w:b w:val="0"/>
          <w:szCs w:val="22"/>
          <w:lang w:val="hy-AM"/>
        </w:rPr>
        <w:t xml:space="preserve"> </w:t>
      </w:r>
      <w:r w:rsidRPr="00E206A5">
        <w:rPr>
          <w:b w:val="0"/>
          <w:szCs w:val="22"/>
          <w:lang w:val="hy-AM"/>
        </w:rPr>
        <w:t>սեպտեմբերի 19-ին ՀՀ կառավարությունն ընդունեց ՀՀ 2019-2023թթ. գենդերային քաղաքականության իրականացման ռազմավարությունը և գործողությունների ծրագիրը (ՀՀ  կառավարության  2019  թվականի</w:t>
      </w:r>
      <w:r w:rsidR="002F2ED2">
        <w:rPr>
          <w:b w:val="0"/>
          <w:szCs w:val="22"/>
          <w:lang w:val="hy-AM"/>
        </w:rPr>
        <w:t xml:space="preserve"> </w:t>
      </w:r>
      <w:r w:rsidRPr="00E206A5">
        <w:rPr>
          <w:b w:val="0"/>
          <w:szCs w:val="22"/>
          <w:lang w:val="hy-AM"/>
        </w:rPr>
        <w:tab/>
        <w:t xml:space="preserve">սեպտեմբերի 19-ի N  1334-Լ  որոշում): Ծրագրի գերակայություններն են </w:t>
      </w:r>
    </w:p>
    <w:p w:rsidR="007938F6" w:rsidRDefault="00E206A5" w:rsidP="007730AA">
      <w:pPr>
        <w:tabs>
          <w:tab w:val="left" w:pos="567"/>
        </w:tabs>
        <w:spacing w:before="0" w:line="276" w:lineRule="auto"/>
        <w:ind w:firstLine="720"/>
        <w:rPr>
          <w:b w:val="0"/>
          <w:szCs w:val="22"/>
          <w:lang w:val="hy-AM"/>
        </w:rPr>
      </w:pPr>
      <w:r w:rsidRPr="00E206A5">
        <w:rPr>
          <w:b w:val="0"/>
          <w:szCs w:val="22"/>
          <w:lang w:val="hy-AM"/>
        </w:rPr>
        <w:t xml:space="preserve">1) Կանանց առաջխաղացման ազգային մեխանիզմի կատարելագործում, կանանց և տղամարդկանց հավասար մասնակցություն կառավարման ոլորտում և որոշումների ընդունման մակարդակում, </w:t>
      </w:r>
    </w:p>
    <w:p w:rsidR="007938F6" w:rsidRDefault="00E206A5" w:rsidP="007730AA">
      <w:pPr>
        <w:tabs>
          <w:tab w:val="left" w:pos="567"/>
        </w:tabs>
        <w:spacing w:before="0" w:line="276" w:lineRule="auto"/>
        <w:ind w:firstLine="720"/>
        <w:rPr>
          <w:b w:val="0"/>
          <w:szCs w:val="22"/>
          <w:lang w:val="hy-AM"/>
        </w:rPr>
      </w:pPr>
      <w:r w:rsidRPr="00E206A5">
        <w:rPr>
          <w:b w:val="0"/>
          <w:szCs w:val="22"/>
          <w:lang w:val="hy-AM"/>
        </w:rPr>
        <w:t xml:space="preserve">2) Սոցիալ-տնտեսական ոլորտում գենդերային խտրականության հաղթահարում, կանանց տնտեսական հնարավորությունների ընդյալնում, </w:t>
      </w:r>
    </w:p>
    <w:p w:rsidR="007938F6" w:rsidRDefault="00E206A5" w:rsidP="007730AA">
      <w:pPr>
        <w:tabs>
          <w:tab w:val="left" w:pos="567"/>
        </w:tabs>
        <w:spacing w:before="0" w:line="276" w:lineRule="auto"/>
        <w:ind w:firstLine="720"/>
        <w:rPr>
          <w:b w:val="0"/>
          <w:szCs w:val="22"/>
          <w:lang w:val="hy-AM"/>
        </w:rPr>
      </w:pPr>
      <w:r w:rsidRPr="00E206A5">
        <w:rPr>
          <w:b w:val="0"/>
          <w:szCs w:val="22"/>
          <w:lang w:val="hy-AM"/>
        </w:rPr>
        <w:t>3)  Կանանց և տղամարդկանց լիարժեք ու արդյունավետ մասնակցություն և հավասար հնարավորությունների ընդյալնում</w:t>
      </w:r>
      <w:r w:rsidR="007938F6">
        <w:rPr>
          <w:b w:val="0"/>
          <w:szCs w:val="22"/>
          <w:lang w:val="hy-AM"/>
        </w:rPr>
        <w:t xml:space="preserve"> </w:t>
      </w:r>
      <w:r w:rsidRPr="00E206A5">
        <w:rPr>
          <w:b w:val="0"/>
          <w:szCs w:val="22"/>
          <w:lang w:val="hy-AM"/>
        </w:rPr>
        <w:t>կրթության ու գիտության ոլորտում,</w:t>
      </w:r>
    </w:p>
    <w:p w:rsidR="007938F6" w:rsidRDefault="00E206A5" w:rsidP="007730AA">
      <w:pPr>
        <w:tabs>
          <w:tab w:val="left" w:pos="567"/>
        </w:tabs>
        <w:spacing w:before="0" w:line="276" w:lineRule="auto"/>
        <w:ind w:firstLine="720"/>
        <w:rPr>
          <w:b w:val="0"/>
          <w:szCs w:val="22"/>
          <w:lang w:val="hy-AM"/>
        </w:rPr>
      </w:pPr>
      <w:r w:rsidRPr="00E206A5">
        <w:rPr>
          <w:b w:val="0"/>
          <w:szCs w:val="22"/>
          <w:lang w:val="hy-AM"/>
        </w:rPr>
        <w:t xml:space="preserve">4) Առողջապահության ոլորտում կանանց և տղամարդկանց հավասար հնարավորությունների ընդլայնում, </w:t>
      </w:r>
    </w:p>
    <w:p w:rsidR="00E206A5" w:rsidRPr="00E206A5" w:rsidRDefault="00E206A5" w:rsidP="007730AA">
      <w:pPr>
        <w:tabs>
          <w:tab w:val="left" w:pos="567"/>
        </w:tabs>
        <w:spacing w:before="0" w:line="276" w:lineRule="auto"/>
        <w:ind w:firstLine="720"/>
        <w:rPr>
          <w:b w:val="0"/>
          <w:szCs w:val="22"/>
          <w:lang w:val="hy-AM"/>
        </w:rPr>
      </w:pPr>
      <w:r w:rsidRPr="00E206A5">
        <w:rPr>
          <w:b w:val="0"/>
          <w:szCs w:val="22"/>
          <w:lang w:val="hy-AM"/>
        </w:rPr>
        <w:t xml:space="preserve">5) Գենդերային խտրականության կանխարգելում:  </w:t>
      </w:r>
    </w:p>
    <w:p w:rsidR="00E206A5" w:rsidRPr="00E206A5" w:rsidRDefault="00E206A5" w:rsidP="007730AA">
      <w:pPr>
        <w:tabs>
          <w:tab w:val="left" w:pos="567"/>
        </w:tabs>
        <w:spacing w:before="0" w:line="276" w:lineRule="auto"/>
        <w:ind w:firstLine="720"/>
        <w:rPr>
          <w:b w:val="0"/>
          <w:szCs w:val="22"/>
          <w:lang w:val="hy-AM"/>
        </w:rPr>
      </w:pPr>
      <w:r w:rsidRPr="00E206A5">
        <w:rPr>
          <w:b w:val="0"/>
          <w:szCs w:val="22"/>
          <w:lang w:val="hy-AM"/>
        </w:rPr>
        <w:t>Գենդերային զգայուն բյուջետավորման (ԳԶԲ) մոտեցման ներդրումը փորձարկվեց 2020թ. պետական բյուջեի պատրաստման գործընթացում: Մասնավորապես, ՀՀ ԱՍՀՆ «Զբաղվածություն» և «Ընտանիքներին՝ կանանց և երեխաներին աջակցություն» ծրագրերի շրջանակներում մշակվեցին լրացուցիչ միջոցառումներ և գենդերային զգայուն ցուցանիշներ, ինչպես նաև վերանայվեցին վերջնական արդյունքների, նպատակների և միջոցառումների նկարագրությունները՝ հաշվի առնելով ՀՀ գենդերային քաղաքականության ռազմավարությունը և դրանից բխող արդյունքները, ինչպես նաև բյուջետային ծրագրերի, միջոցառումների և դրանց գծով արդյունքային ցուցանիշների սահմանման վերաբերյալ ընդունված ծրագրային բյուջետավորման մեթոդաբանության պահանջները:</w:t>
      </w:r>
    </w:p>
    <w:p w:rsidR="00E206A5" w:rsidRPr="00E206A5" w:rsidRDefault="00E206A5" w:rsidP="007730AA">
      <w:pPr>
        <w:tabs>
          <w:tab w:val="left" w:pos="567"/>
        </w:tabs>
        <w:spacing w:before="0" w:line="276" w:lineRule="auto"/>
        <w:ind w:firstLine="720"/>
        <w:rPr>
          <w:b w:val="0"/>
          <w:szCs w:val="22"/>
          <w:lang w:val="hy-AM"/>
        </w:rPr>
      </w:pPr>
      <w:r w:rsidRPr="00E206A5">
        <w:rPr>
          <w:b w:val="0"/>
          <w:szCs w:val="22"/>
          <w:lang w:val="hy-AM"/>
        </w:rPr>
        <w:t>2021-2023թթ. ՄԺԾԾ և 2021թ. պետական բյուջեի մշակման գործընթացում գենդերային զգայուն բյուջետավորման տարրերը ներդրվել են ամբողջապես: Այդ նպատակով մշակվել է «Գենդերային զգայուն բյուջետային ծրագրերի սահմանման» մեթոդական ձեռնարկը, որը կցվել է ՀՀ 2021-2023թթ. պետական միջնաժամկետ ծախսերի ծրագրի և ՀՀ 2021թ. պետական բյուջեի նախագծերի մշակման շրջանակներում պետական մարմինների բյուջետային հայտերի կազմման և դրանք ՀՀ ֆինանսների նախարարություն ներկայացման մեթոդական ցուցումներին: ՀՀ 2019-2023թթ. գենդերային քաղաքականության ռազմավարության գերակայությունները արտացոլվել են ՀՀ 2021թ. պետական բյուջեի նախագծում և դրա շրջականերում պետական մարմինների կողմից նախատեսվող ծրագրերի և միջոցառումների նպատակներում և արդյունքային ցուցանիշներում: Նշվածը հատկապես վերաբերում է այն պետական մարմիններին, որոնք հանդես են գալիս որպես 2019-2023թթ. գենդերային քաղաքականության ռազմավարության կամ գենդերային հավասարության / կանանց և երեխաների իրավունքների պաշտապանությանն ուղղված և ՀՀ կառավարության հավանությանն արժանացած այլ ծրագրերի և ռազմավարությունների գործողությունների ծրագրերի համար պատասխանատու մարմիններ: Այսպիսով, ՀՀ պետական բյուջեի մասին օրենքի նախագիծը գենդերային զգայուն է՝ ներառելով համապատասխան չափելի արդյունքային ցուցանիշներ, որոնք կապված են գենդերային հավասարության ռազմավարության իրականացումն ապահովող ծրագրերի հետ:</w:t>
      </w:r>
    </w:p>
    <w:p w:rsidR="00E206A5" w:rsidRPr="00130243" w:rsidRDefault="00E206A5" w:rsidP="007730AA">
      <w:pPr>
        <w:pStyle w:val="Bullet"/>
        <w:spacing w:after="0" w:line="276" w:lineRule="auto"/>
        <w:ind w:left="0" w:firstLine="426"/>
        <w:rPr>
          <w:rFonts w:ascii="GHEA Grapalat" w:hAnsi="GHEA Grapalat" w:cs="Sylfaen"/>
          <w:szCs w:val="22"/>
          <w:lang w:val="hy-AM"/>
        </w:rPr>
      </w:pPr>
    </w:p>
    <w:p w:rsidR="00E206A5" w:rsidRPr="00130243" w:rsidRDefault="00E206A5" w:rsidP="007730AA">
      <w:pPr>
        <w:tabs>
          <w:tab w:val="left" w:pos="567"/>
        </w:tabs>
        <w:spacing w:before="0" w:line="276" w:lineRule="auto"/>
        <w:ind w:firstLine="426"/>
        <w:rPr>
          <w:b w:val="0"/>
          <w:szCs w:val="22"/>
          <w:lang w:val="hy-AM"/>
        </w:rPr>
      </w:pPr>
    </w:p>
    <w:p w:rsidR="0047224A" w:rsidRDefault="0047224A" w:rsidP="007730AA">
      <w:pPr>
        <w:spacing w:before="0" w:line="276" w:lineRule="auto"/>
        <w:ind w:firstLine="0"/>
        <w:contextualSpacing w:val="0"/>
        <w:jc w:val="left"/>
        <w:rPr>
          <w:b w:val="0"/>
          <w:szCs w:val="22"/>
          <w:lang w:val="hy-AM"/>
        </w:rPr>
      </w:pPr>
      <w:r>
        <w:rPr>
          <w:b w:val="0"/>
          <w:szCs w:val="22"/>
          <w:lang w:val="hy-AM"/>
        </w:rPr>
        <w:br w:type="page"/>
      </w:r>
    </w:p>
    <w:p w:rsidR="009F0A25" w:rsidRPr="00BB575A" w:rsidRDefault="009F0A25" w:rsidP="007730AA">
      <w:pPr>
        <w:pStyle w:val="Heading1"/>
        <w:spacing w:after="0"/>
        <w:rPr>
          <w:bCs/>
          <w:lang w:val="hy-AM"/>
        </w:rPr>
      </w:pPr>
      <w:bookmarkStart w:id="64" w:name="_Toc51947410"/>
      <w:bookmarkStart w:id="65" w:name="_Toc52452083"/>
      <w:bookmarkStart w:id="66" w:name="_Toc45838512"/>
      <w:bookmarkStart w:id="67" w:name="_Toc46154342"/>
      <w:bookmarkStart w:id="68" w:name="_Toc57559411"/>
      <w:bookmarkStart w:id="69" w:name="_Toc57655444"/>
      <w:bookmarkStart w:id="70" w:name="_Toc46760415"/>
      <w:r w:rsidRPr="00BB575A">
        <w:rPr>
          <w:lang w:val="hy-AM"/>
        </w:rPr>
        <w:t>ՄԱՍ I - Բ. ՄԱԿՐՈՏՆՏԵՍԱԿԱՆ ԶԱՐԳԱՑՈՒՄՆԵՐ ԵՎ ԿԱՆԽԱՏԵՍՈՒՄՆԵՐ</w:t>
      </w:r>
      <w:bookmarkEnd w:id="64"/>
      <w:bookmarkEnd w:id="65"/>
      <w:bookmarkEnd w:id="66"/>
      <w:bookmarkEnd w:id="67"/>
      <w:bookmarkEnd w:id="68"/>
      <w:bookmarkEnd w:id="69"/>
    </w:p>
    <w:p w:rsidR="009F0A25" w:rsidRPr="00C86F6C" w:rsidRDefault="009F0A25" w:rsidP="007730AA">
      <w:pPr>
        <w:keepNext/>
        <w:keepLines/>
        <w:spacing w:before="0" w:line="276" w:lineRule="auto"/>
        <w:outlineLvl w:val="2"/>
        <w:rPr>
          <w:b w:val="0"/>
          <w:bCs/>
          <w:sz w:val="28"/>
          <w:szCs w:val="28"/>
          <w:lang w:val="hy-AM"/>
        </w:rPr>
      </w:pPr>
      <w:bookmarkStart w:id="71" w:name="_Toc51947412"/>
      <w:bookmarkStart w:id="72" w:name="_Toc52452085"/>
      <w:bookmarkStart w:id="73" w:name="_Toc57559412"/>
      <w:bookmarkStart w:id="74" w:name="_Toc57655445"/>
      <w:r w:rsidRPr="00C86F6C">
        <w:rPr>
          <w:bCs/>
          <w:sz w:val="28"/>
          <w:szCs w:val="28"/>
          <w:lang w:val="hy-AM"/>
        </w:rPr>
        <w:t>1.1 ՄԱԿՐՈՏՆՏԵՍԱԿԱՆ ԱՄՓՈՓԱԳԻՐ ԵՎ ՇՐՋԱՆԱԿ</w:t>
      </w:r>
      <w:bookmarkEnd w:id="71"/>
      <w:bookmarkEnd w:id="72"/>
      <w:bookmarkEnd w:id="73"/>
      <w:bookmarkEnd w:id="74"/>
      <w:r w:rsidRPr="00C86F6C">
        <w:rPr>
          <w:bCs/>
          <w:sz w:val="28"/>
          <w:szCs w:val="28"/>
          <w:lang w:val="hy-AM"/>
        </w:rPr>
        <w:t xml:space="preserve"> </w:t>
      </w:r>
    </w:p>
    <w:p w:rsidR="00034178" w:rsidRPr="00034178" w:rsidRDefault="00034178" w:rsidP="00034178">
      <w:pPr>
        <w:numPr>
          <w:ilvl w:val="0"/>
          <w:numId w:val="58"/>
        </w:numPr>
        <w:tabs>
          <w:tab w:val="right" w:pos="0"/>
        </w:tabs>
        <w:spacing w:before="40" w:after="120" w:line="276" w:lineRule="auto"/>
        <w:contextualSpacing w:val="0"/>
        <w:rPr>
          <w:rFonts w:cs="Times Armenian"/>
          <w:b w:val="0"/>
          <w:bCs/>
          <w:szCs w:val="22"/>
          <w:lang w:val="hy-AM" w:eastAsia="en-US"/>
        </w:rPr>
      </w:pPr>
      <w:r w:rsidRPr="00034178">
        <w:rPr>
          <w:rFonts w:cs="Times Armenian"/>
          <w:b w:val="0"/>
          <w:bCs/>
          <w:szCs w:val="22"/>
          <w:lang w:val="hy-AM" w:eastAsia="en-US"/>
        </w:rPr>
        <w:t xml:space="preserve">Դեռևս 2019թ. վերջին կանխատեսվում էր, որ աշխարհի ավելի քան 170 երկրների տնտեսությունները 2020թ. կաճեն։ Մինչդեռ, կորոնավիրուսի համավարակի (COVID 19) ազդեցության գնահատականների ձևավորմանը զուգընթաց վերանայվեցին նաև հենց այդ նույն թվով երկրների տնտեսական զարգացումների կանխատեսումները՝ անկման ուղղությամբ։ Ներկայում, ամբողջ աշխարհը շարունակելով կրել համավարակի առաջին ալիքի բացասական հետևանքները, պայքարում է բռնկված երկրոդ ալիքի առողջապահական և տնտեսական ազդեցությունների դեմ: Այս պայմաններում հատկանշական է, որ զգալի անկում է կանխատեսվում ՀՀ գործընկեր երկրների տնտեսությունների համար, որի էական բացասական ազդեցությունը ՀՀ տնտեսության վրա անխուսափելի է։  </w:t>
      </w:r>
    </w:p>
    <w:p w:rsidR="00034178" w:rsidRPr="00034178" w:rsidRDefault="00034178" w:rsidP="00034178">
      <w:pPr>
        <w:numPr>
          <w:ilvl w:val="0"/>
          <w:numId w:val="58"/>
        </w:numPr>
        <w:tabs>
          <w:tab w:val="right" w:pos="0"/>
        </w:tabs>
        <w:spacing w:before="40" w:after="120" w:line="276" w:lineRule="auto"/>
        <w:contextualSpacing w:val="0"/>
        <w:rPr>
          <w:rFonts w:cs="Times Armenian"/>
          <w:b w:val="0"/>
          <w:bCs/>
          <w:szCs w:val="22"/>
          <w:lang w:val="hy-AM" w:eastAsia="en-US"/>
        </w:rPr>
      </w:pPr>
      <w:r w:rsidRPr="00034178">
        <w:rPr>
          <w:rFonts w:cs="Times Armenian"/>
          <w:b w:val="0"/>
          <w:bCs/>
          <w:szCs w:val="22"/>
          <w:lang w:val="hy-AM" w:eastAsia="en-US"/>
        </w:rPr>
        <w:t>Կորոնավիրուսի համավարակով պայմանավորված արտակարգ դրության, կիրառվող սահմանափակումների պայմաններում ՀՀ-ում նվազել է ինչպես պահանջարկը, այնպես էլ առաջարկը: Առավելապես տուժել են ծառայությունների, շինարարության և մշակող արդյունաբերության ճյուղերը։ Վերոնշյալ ընթացիկ իրավիճակի, ՀՀ գործընկեր երկրների ընթացիկ և կանխատեսված տնտեսական զարգացումների</w:t>
      </w:r>
      <w:bookmarkStart w:id="75" w:name="_Hlk57389409"/>
      <w:r w:rsidRPr="00034178">
        <w:rPr>
          <w:rFonts w:cs="Times Armenian"/>
          <w:b w:val="0"/>
          <w:bCs/>
          <w:szCs w:val="22"/>
          <w:lang w:val="hy-AM" w:eastAsia="en-US"/>
        </w:rPr>
        <w:t xml:space="preserve">, համավարակի երկրորդ ալիքի և 2020թ. սեպտեմբերի 27-ին Ադրբեջանի կողմից Արցախի Հանրապետության դեմ սանձազերծած լայնամասշտաբ պատերազմական գործողությունների (այսուհետ՝ Արցախյան պատերազմ) գնահատվող  ազդեցությունների պայմաններում 2020թ. սպասվում է 7.9% տնտեսական անկում, իսկ 2021թ.՝ 3.2% տնտեսական աճ: </w:t>
      </w:r>
    </w:p>
    <w:bookmarkEnd w:id="75"/>
    <w:p w:rsidR="00034178" w:rsidRPr="00034178" w:rsidRDefault="00034178" w:rsidP="00034178">
      <w:pPr>
        <w:numPr>
          <w:ilvl w:val="0"/>
          <w:numId w:val="58"/>
        </w:numPr>
        <w:tabs>
          <w:tab w:val="right" w:pos="0"/>
        </w:tabs>
        <w:spacing w:before="40" w:after="120" w:line="276" w:lineRule="auto"/>
        <w:contextualSpacing w:val="0"/>
        <w:rPr>
          <w:rFonts w:cs="Times Armenian"/>
          <w:b w:val="0"/>
          <w:bCs/>
          <w:szCs w:val="22"/>
          <w:lang w:val="hy-AM" w:eastAsia="en-US"/>
        </w:rPr>
      </w:pPr>
      <w:r w:rsidRPr="00034178">
        <w:rPr>
          <w:rFonts w:cs="Times Armenian"/>
          <w:b w:val="0"/>
          <w:bCs/>
          <w:szCs w:val="22"/>
          <w:lang w:val="hy-AM" w:eastAsia="en-US"/>
        </w:rPr>
        <w:t>Տնտեսական ակտիվության դանդաղման և թուլացող ներքին ու արտաքին պահանջարկի պայմաններում 2020թ. կանխատեսվում է արտահանման և ներմուծման դոլարային ծավալների անկում, որի պատճառով առևտրային բացասական պակասուրդը կկրճատվի, իսկ ընթացիկ հաշիվը կբարելավվի: 2021թ. ընթացիկ հաշվի պակասուրդը, լինելով շեղված իր երկարաժամկետ հավասարակշիռ մակարդակից, փոքր-ինչ կխորանա:</w:t>
      </w:r>
    </w:p>
    <w:p w:rsidR="00034178" w:rsidRPr="00034178" w:rsidRDefault="00034178" w:rsidP="00034178">
      <w:pPr>
        <w:numPr>
          <w:ilvl w:val="0"/>
          <w:numId w:val="58"/>
        </w:numPr>
        <w:tabs>
          <w:tab w:val="right" w:pos="0"/>
        </w:tabs>
        <w:spacing w:before="40" w:after="120" w:line="276" w:lineRule="auto"/>
        <w:contextualSpacing w:val="0"/>
        <w:rPr>
          <w:rFonts w:cs="Times Armenian"/>
          <w:b w:val="0"/>
          <w:bCs/>
          <w:szCs w:val="22"/>
          <w:lang w:val="hy-AM" w:eastAsia="en-US"/>
        </w:rPr>
      </w:pPr>
      <w:r w:rsidRPr="00034178">
        <w:rPr>
          <w:rFonts w:cs="Times Armenian"/>
          <w:b w:val="0"/>
          <w:bCs/>
          <w:szCs w:val="22"/>
          <w:lang w:val="hy-AM" w:eastAsia="en-US"/>
        </w:rPr>
        <w:t>Հարկաբյուջետային կանոններին համահունչ՝ 2020թ</w:t>
      </w:r>
      <w:r w:rsidRPr="00034178">
        <w:rPr>
          <w:rFonts w:cs="Cambria Math"/>
          <w:b w:val="0"/>
          <w:bCs/>
          <w:szCs w:val="22"/>
          <w:lang w:val="hy-AM" w:eastAsia="en-US"/>
        </w:rPr>
        <w:t>.</w:t>
      </w:r>
      <w:r w:rsidRPr="00034178">
        <w:rPr>
          <w:rFonts w:cs="Times Armenian"/>
          <w:b w:val="0"/>
          <w:bCs/>
          <w:szCs w:val="22"/>
          <w:lang w:val="hy-AM" w:eastAsia="en-US"/>
        </w:rPr>
        <w:t xml:space="preserve"> հարկաբյուջետային քաղաքականությունը կլինի խթանող: Պետական բյուջեի ծախսերը կաճեն՝ մի կողմից համավարակի հետևանքով առաջացած տնտեսական շոկերին հակազդելուն ուղղված հակաճգնաժամային միջոցառումների իրականացման, մյուս կողմից՝ Արցախյան պատերազմական գործողություններով պայմանավորված ծախսերը ֆինանսավորելու նպատակով։ Ընդ որում, 215 մլրդ դրամ կամ ՀՆԱ-ում 3.5% հակաճգնաժամային միջոցառումները, այդ թվում՝ կորոնավիրուսի սոցիալ-տնտեսական հետևանքների կանխարգելմանն ուղղված փաթեթի (150 մլրդ դրամ) ամբողջական օգտագործումը, ինչպես նաև հարկային քաղաքականության ոլորտում կատարված բարեփոխումները (շահութահարկի գծով՝ 65 մլրդ դրամ)  թույլ կտան մեղմել տնտեսական անկումը։ </w:t>
      </w:r>
    </w:p>
    <w:p w:rsidR="00034178" w:rsidRDefault="00034178" w:rsidP="00034178">
      <w:pPr>
        <w:numPr>
          <w:ilvl w:val="0"/>
          <w:numId w:val="58"/>
        </w:numPr>
        <w:tabs>
          <w:tab w:val="right" w:pos="0"/>
        </w:tabs>
        <w:spacing w:before="40" w:after="120" w:line="276" w:lineRule="auto"/>
        <w:contextualSpacing w:val="0"/>
        <w:rPr>
          <w:rFonts w:cs="Times Armenian"/>
          <w:b w:val="0"/>
          <w:bCs/>
          <w:szCs w:val="22"/>
          <w:lang w:val="hy-AM" w:eastAsia="en-US"/>
        </w:rPr>
      </w:pPr>
      <w:r w:rsidRPr="00034178">
        <w:rPr>
          <w:rFonts w:cs="Times Armenian"/>
          <w:b w:val="0"/>
          <w:bCs/>
          <w:szCs w:val="22"/>
          <w:lang w:val="hy-AM" w:eastAsia="en-US"/>
        </w:rPr>
        <w:t>ԿԲ-ն կարճաժամկետ հատվածում կշարունակի վարել խթանող դրամավարկային քաղաքականություն, և, անհրաժեշտության դեպքում, կպահպանի քաղաքականության խթանող դիրքը նաև 2021թ.։</w:t>
      </w:r>
    </w:p>
    <w:p w:rsidR="009F0A25" w:rsidRPr="00034178" w:rsidRDefault="00034178" w:rsidP="00034178">
      <w:pPr>
        <w:numPr>
          <w:ilvl w:val="0"/>
          <w:numId w:val="58"/>
        </w:numPr>
        <w:tabs>
          <w:tab w:val="right" w:pos="0"/>
        </w:tabs>
        <w:spacing w:before="40" w:after="120" w:line="276" w:lineRule="auto"/>
        <w:contextualSpacing w:val="0"/>
        <w:rPr>
          <w:rFonts w:cs="Times Armenian"/>
          <w:b w:val="0"/>
          <w:bCs/>
          <w:szCs w:val="22"/>
          <w:lang w:val="hy-AM" w:eastAsia="en-US"/>
        </w:rPr>
      </w:pPr>
      <w:r w:rsidRPr="00034178">
        <w:rPr>
          <w:rFonts w:cs="Times Armenian"/>
          <w:b w:val="0"/>
          <w:bCs/>
          <w:szCs w:val="22"/>
          <w:lang w:val="hy-AM" w:eastAsia="en-US"/>
        </w:rPr>
        <w:t>Պետք է նշել, որ համավարակի տարածման և տևողության մեծ անորոշություններով պայմանավորված, համաշխարհային տնտեսության զարգացման ընթացքը մեծապես կախված է COVID-19 համավարակի հաղթահարմանն ուղղված առողջապահական միջոցառումներից։ Այս պայմաններում, անորոշության մեծ աստիճանից ելնելով՝  2021թ., ինչպես աշխարհի և ՀՀ գործընկերների, այնպես էլ ՀՀ տնտեսական աճի կանխատեսումներում գերակշռում են դեպի ներքև ռիսկերը։ Դեպի ներքև ռիսկեր կարող են ի հայտ գալ Արցախյան պատերազմի հետագա ազդեցությունների և հակամարտության հետագա ընթացքի հետ կապված անորոշություններից։  Բացի այդ, ՀՀ տնտեսական զարգացումների հետագա ընթացքի մասով էական դերակատարում ունի ՀՀ կառավարության՝ համավարակի տնտեսական հետևանքների կանխարգելմանն, Արցախյան պատերազմի հետևանքների մեղմանն ու տնտեսության վերականգմանն ուղղված միջոցառումների ընթացքը։</w:t>
      </w:r>
    </w:p>
    <w:p w:rsidR="009F0A25" w:rsidRPr="005D4C87" w:rsidRDefault="009F0A25" w:rsidP="007730AA">
      <w:pPr>
        <w:tabs>
          <w:tab w:val="right" w:pos="0"/>
        </w:tabs>
        <w:spacing w:before="0" w:line="276" w:lineRule="auto"/>
        <w:ind w:firstLine="284"/>
        <w:rPr>
          <w:rFonts w:cs="Times Armenian"/>
          <w:bCs/>
          <w:szCs w:val="22"/>
          <w:lang w:val="hy-AM"/>
        </w:rPr>
      </w:pPr>
      <w:r w:rsidRPr="007E7F38">
        <w:rPr>
          <w:rFonts w:eastAsia="Calibri" w:cs="Sylfaen"/>
          <w:bCs/>
          <w:i/>
          <w:iCs/>
          <w:color w:val="000000"/>
          <w:szCs w:val="22"/>
          <w:lang w:val="hy-AM"/>
        </w:rPr>
        <w:t>Աղյուսակ</w:t>
      </w:r>
      <w:r w:rsidRPr="007E7F38">
        <w:rPr>
          <w:rFonts w:eastAsia="Calibri"/>
          <w:bCs/>
          <w:i/>
          <w:iCs/>
          <w:color w:val="000000"/>
          <w:szCs w:val="22"/>
          <w:lang w:val="hy-AM"/>
        </w:rPr>
        <w:t xml:space="preserve"> 1.1. </w:t>
      </w:r>
      <w:r w:rsidRPr="009F0A25">
        <w:rPr>
          <w:rFonts w:eastAsia="Calibri"/>
          <w:b w:val="0"/>
          <w:i/>
          <w:iCs/>
          <w:color w:val="000000"/>
          <w:szCs w:val="22"/>
          <w:lang w:val="hy-AM"/>
        </w:rPr>
        <w:t>2021թ. պետական բյուջեի մակրոտնտեսական շրջանակ</w:t>
      </w:r>
    </w:p>
    <w:tbl>
      <w:tblPr>
        <w:tblStyle w:val="GridTable1Light-Accent51112"/>
        <w:tblpPr w:leftFromText="180" w:rightFromText="180" w:vertAnchor="text" w:horzAnchor="margin" w:tblpXSpec="right" w:tblpY="107"/>
        <w:tblW w:w="9322" w:type="dxa"/>
        <w:tblBorders>
          <w:top w:val="single" w:sz="12" w:space="0" w:color="4472C4"/>
          <w:left w:val="single" w:sz="12" w:space="0" w:color="4472C4"/>
          <w:bottom w:val="single" w:sz="12" w:space="0" w:color="4472C4"/>
          <w:right w:val="single" w:sz="12" w:space="0" w:color="4472C4"/>
          <w:insideH w:val="single" w:sz="6" w:space="0" w:color="4472C4"/>
          <w:insideV w:val="single" w:sz="6" w:space="0" w:color="4472C4"/>
        </w:tblBorders>
        <w:tblLayout w:type="fixed"/>
        <w:tblLook w:val="0000" w:firstRow="0" w:lastRow="0" w:firstColumn="0" w:lastColumn="0" w:noHBand="0" w:noVBand="0"/>
      </w:tblPr>
      <w:tblGrid>
        <w:gridCol w:w="3510"/>
        <w:gridCol w:w="1276"/>
        <w:gridCol w:w="1134"/>
        <w:gridCol w:w="992"/>
        <w:gridCol w:w="1134"/>
        <w:gridCol w:w="1276"/>
      </w:tblGrid>
      <w:tr w:rsidR="009F0A25" w:rsidRPr="005D4C87" w:rsidTr="009F0A25">
        <w:trPr>
          <w:trHeight w:val="258"/>
          <w:tblHeader/>
        </w:trPr>
        <w:tc>
          <w:tcPr>
            <w:tcW w:w="3510" w:type="dxa"/>
            <w:vMerge w:val="restart"/>
            <w:noWrap/>
          </w:tcPr>
          <w:p w:rsidR="009F0A25" w:rsidRPr="009F0A25" w:rsidRDefault="009F0A25" w:rsidP="007730AA">
            <w:pPr>
              <w:spacing w:before="0" w:line="276" w:lineRule="auto"/>
              <w:rPr>
                <w:rFonts w:cs="Sylfaen"/>
                <w:b w:val="0"/>
                <w:i/>
                <w:iCs/>
                <w:sz w:val="20"/>
                <w:szCs w:val="20"/>
              </w:rPr>
            </w:pPr>
            <w:r w:rsidRPr="009F0A25">
              <w:rPr>
                <w:rFonts w:cs="Sylfaen"/>
                <w:b w:val="0"/>
                <w:i/>
                <w:iCs/>
                <w:sz w:val="20"/>
                <w:szCs w:val="20"/>
              </w:rPr>
              <w:t>Հիմնական մակրոտնտեսական ցուցանիշներ</w:t>
            </w:r>
          </w:p>
        </w:tc>
        <w:tc>
          <w:tcPr>
            <w:tcW w:w="1276" w:type="dxa"/>
          </w:tcPr>
          <w:p w:rsidR="009F0A25" w:rsidRPr="009F0A25" w:rsidRDefault="009F0A25" w:rsidP="007730AA">
            <w:pPr>
              <w:spacing w:before="0" w:line="276" w:lineRule="auto"/>
              <w:jc w:val="center"/>
              <w:rPr>
                <w:rFonts w:cs="Arial"/>
                <w:b w:val="0"/>
                <w:bCs/>
                <w:sz w:val="20"/>
                <w:szCs w:val="20"/>
              </w:rPr>
            </w:pPr>
            <w:r w:rsidRPr="009F0A25">
              <w:rPr>
                <w:rFonts w:cs="Arial"/>
                <w:b w:val="0"/>
                <w:bCs/>
                <w:sz w:val="20"/>
                <w:szCs w:val="20"/>
              </w:rPr>
              <w:t>2017</w:t>
            </w:r>
          </w:p>
        </w:tc>
        <w:tc>
          <w:tcPr>
            <w:tcW w:w="1134" w:type="dxa"/>
          </w:tcPr>
          <w:p w:rsidR="009F0A25" w:rsidRPr="009F0A25" w:rsidRDefault="009F0A25" w:rsidP="007730AA">
            <w:pPr>
              <w:spacing w:before="0" w:line="276" w:lineRule="auto"/>
              <w:ind w:firstLine="0"/>
              <w:jc w:val="center"/>
              <w:rPr>
                <w:rFonts w:cs="Arial"/>
                <w:b w:val="0"/>
                <w:bCs/>
                <w:sz w:val="20"/>
                <w:szCs w:val="20"/>
              </w:rPr>
            </w:pPr>
            <w:r w:rsidRPr="009F0A25">
              <w:rPr>
                <w:rFonts w:cs="Arial"/>
                <w:b w:val="0"/>
                <w:bCs/>
                <w:sz w:val="20"/>
                <w:szCs w:val="20"/>
              </w:rPr>
              <w:t>2018</w:t>
            </w:r>
          </w:p>
        </w:tc>
        <w:tc>
          <w:tcPr>
            <w:tcW w:w="992" w:type="dxa"/>
          </w:tcPr>
          <w:p w:rsidR="009F0A25" w:rsidRPr="009F0A25" w:rsidRDefault="009F0A25" w:rsidP="007730AA">
            <w:pPr>
              <w:spacing w:before="0" w:line="276" w:lineRule="auto"/>
              <w:ind w:firstLine="0"/>
              <w:jc w:val="center"/>
              <w:rPr>
                <w:rFonts w:cs="Arial"/>
                <w:b w:val="0"/>
                <w:bCs/>
                <w:sz w:val="20"/>
                <w:szCs w:val="20"/>
              </w:rPr>
            </w:pPr>
            <w:r w:rsidRPr="009F0A25">
              <w:rPr>
                <w:rFonts w:cs="Arial"/>
                <w:b w:val="0"/>
                <w:bCs/>
                <w:sz w:val="20"/>
                <w:szCs w:val="20"/>
              </w:rPr>
              <w:t>2019</w:t>
            </w:r>
          </w:p>
        </w:tc>
        <w:tc>
          <w:tcPr>
            <w:tcW w:w="1134" w:type="dxa"/>
            <w:shd w:val="clear" w:color="auto" w:fill="D9E2F3"/>
          </w:tcPr>
          <w:p w:rsidR="009F0A25" w:rsidRPr="009F0A25" w:rsidRDefault="009F0A25" w:rsidP="007730AA">
            <w:pPr>
              <w:spacing w:before="0" w:line="276" w:lineRule="auto"/>
              <w:ind w:firstLine="0"/>
              <w:jc w:val="center"/>
              <w:rPr>
                <w:rFonts w:cs="Arial"/>
                <w:b w:val="0"/>
                <w:bCs/>
                <w:sz w:val="20"/>
                <w:szCs w:val="20"/>
              </w:rPr>
            </w:pPr>
            <w:r w:rsidRPr="009F0A25">
              <w:rPr>
                <w:rFonts w:cs="Arial"/>
                <w:b w:val="0"/>
                <w:bCs/>
                <w:sz w:val="20"/>
                <w:szCs w:val="20"/>
              </w:rPr>
              <w:t>2020</w:t>
            </w:r>
          </w:p>
        </w:tc>
        <w:tc>
          <w:tcPr>
            <w:tcW w:w="1276" w:type="dxa"/>
            <w:shd w:val="clear" w:color="auto" w:fill="D9E2F3"/>
          </w:tcPr>
          <w:p w:rsidR="009F0A25" w:rsidRPr="009F0A25" w:rsidRDefault="009F0A25" w:rsidP="007730AA">
            <w:pPr>
              <w:spacing w:before="0" w:line="276" w:lineRule="auto"/>
              <w:ind w:firstLine="0"/>
              <w:jc w:val="center"/>
              <w:rPr>
                <w:rFonts w:cs="Arial"/>
                <w:b w:val="0"/>
                <w:bCs/>
                <w:sz w:val="20"/>
                <w:szCs w:val="20"/>
              </w:rPr>
            </w:pPr>
            <w:r w:rsidRPr="009F0A25">
              <w:rPr>
                <w:rFonts w:cs="Arial"/>
                <w:b w:val="0"/>
                <w:bCs/>
                <w:sz w:val="20"/>
                <w:szCs w:val="20"/>
              </w:rPr>
              <w:t>2021</w:t>
            </w:r>
          </w:p>
        </w:tc>
      </w:tr>
      <w:tr w:rsidR="009F0A25" w:rsidRPr="005D4C87" w:rsidTr="009F0A25">
        <w:trPr>
          <w:trHeight w:val="272"/>
          <w:tblHeader/>
        </w:trPr>
        <w:tc>
          <w:tcPr>
            <w:tcW w:w="3510" w:type="dxa"/>
            <w:vMerge/>
            <w:noWrap/>
          </w:tcPr>
          <w:p w:rsidR="009F0A25" w:rsidRPr="009F0A25" w:rsidRDefault="009F0A25" w:rsidP="007730AA">
            <w:pPr>
              <w:spacing w:before="0" w:line="276" w:lineRule="auto"/>
              <w:rPr>
                <w:rFonts w:cs="Sylfaen"/>
                <w:b w:val="0"/>
                <w:sz w:val="20"/>
                <w:szCs w:val="20"/>
              </w:rPr>
            </w:pPr>
          </w:p>
        </w:tc>
        <w:tc>
          <w:tcPr>
            <w:tcW w:w="1276" w:type="dxa"/>
          </w:tcPr>
          <w:p w:rsidR="009F0A25" w:rsidRPr="009F0A25" w:rsidRDefault="009F0A25" w:rsidP="007730AA">
            <w:pPr>
              <w:spacing w:before="0" w:line="276" w:lineRule="auto"/>
              <w:ind w:firstLine="0"/>
              <w:jc w:val="center"/>
              <w:rPr>
                <w:rFonts w:cs="Arial"/>
                <w:b w:val="0"/>
                <w:bCs/>
                <w:sz w:val="20"/>
                <w:szCs w:val="20"/>
              </w:rPr>
            </w:pPr>
            <w:r w:rsidRPr="009F0A25">
              <w:rPr>
                <w:rFonts w:cs="Sylfaen"/>
                <w:b w:val="0"/>
                <w:sz w:val="20"/>
                <w:szCs w:val="20"/>
              </w:rPr>
              <w:t>փաստ</w:t>
            </w:r>
          </w:p>
        </w:tc>
        <w:tc>
          <w:tcPr>
            <w:tcW w:w="1134" w:type="dxa"/>
          </w:tcPr>
          <w:p w:rsidR="009F0A25" w:rsidRPr="009F0A25" w:rsidRDefault="009F0A25" w:rsidP="007730AA">
            <w:pPr>
              <w:spacing w:before="0" w:line="276" w:lineRule="auto"/>
              <w:ind w:firstLine="0"/>
              <w:jc w:val="center"/>
              <w:rPr>
                <w:rFonts w:cs="Arial"/>
                <w:b w:val="0"/>
                <w:bCs/>
                <w:sz w:val="20"/>
                <w:szCs w:val="20"/>
              </w:rPr>
            </w:pPr>
            <w:r w:rsidRPr="009F0A25">
              <w:rPr>
                <w:rFonts w:cs="Sylfaen"/>
                <w:b w:val="0"/>
                <w:sz w:val="20"/>
                <w:szCs w:val="20"/>
              </w:rPr>
              <w:t>փաստ</w:t>
            </w:r>
          </w:p>
        </w:tc>
        <w:tc>
          <w:tcPr>
            <w:tcW w:w="992" w:type="dxa"/>
          </w:tcPr>
          <w:p w:rsidR="009F0A25" w:rsidRPr="009F0A25" w:rsidRDefault="009F0A25" w:rsidP="007730AA">
            <w:pPr>
              <w:spacing w:before="0" w:line="276" w:lineRule="auto"/>
              <w:ind w:firstLine="0"/>
              <w:jc w:val="center"/>
              <w:rPr>
                <w:rFonts w:cs="Arial"/>
                <w:b w:val="0"/>
                <w:bCs/>
                <w:sz w:val="20"/>
                <w:szCs w:val="20"/>
              </w:rPr>
            </w:pPr>
            <w:r w:rsidRPr="009F0A25">
              <w:rPr>
                <w:rFonts w:cs="Sylfaen"/>
                <w:b w:val="0"/>
                <w:sz w:val="20"/>
                <w:szCs w:val="20"/>
              </w:rPr>
              <w:t>փաստ</w:t>
            </w:r>
          </w:p>
        </w:tc>
        <w:tc>
          <w:tcPr>
            <w:tcW w:w="1134" w:type="dxa"/>
            <w:shd w:val="clear" w:color="auto" w:fill="D9E2F3"/>
          </w:tcPr>
          <w:p w:rsidR="009F0A25" w:rsidRPr="009F0A25" w:rsidRDefault="009F0A25" w:rsidP="007730AA">
            <w:pPr>
              <w:spacing w:before="0" w:line="276" w:lineRule="auto"/>
              <w:ind w:firstLine="0"/>
              <w:jc w:val="center"/>
              <w:rPr>
                <w:rFonts w:cs="Arial"/>
                <w:b w:val="0"/>
                <w:bCs/>
                <w:sz w:val="20"/>
                <w:szCs w:val="20"/>
              </w:rPr>
            </w:pPr>
            <w:r w:rsidRPr="009F0A25">
              <w:rPr>
                <w:rFonts w:cs="Sylfaen"/>
                <w:b w:val="0"/>
                <w:sz w:val="20"/>
                <w:szCs w:val="20"/>
              </w:rPr>
              <w:t>սպասում</w:t>
            </w:r>
          </w:p>
        </w:tc>
        <w:tc>
          <w:tcPr>
            <w:tcW w:w="1276" w:type="dxa"/>
            <w:shd w:val="clear" w:color="auto" w:fill="D9E2F3"/>
          </w:tcPr>
          <w:p w:rsidR="009F0A25" w:rsidRPr="009F0A25" w:rsidRDefault="009F0A25" w:rsidP="007730AA">
            <w:pPr>
              <w:spacing w:before="0" w:line="276" w:lineRule="auto"/>
              <w:ind w:firstLine="0"/>
              <w:jc w:val="center"/>
              <w:rPr>
                <w:rFonts w:cs="Arial"/>
                <w:b w:val="0"/>
                <w:bCs/>
                <w:sz w:val="20"/>
                <w:szCs w:val="20"/>
              </w:rPr>
            </w:pPr>
            <w:r w:rsidRPr="009F0A25">
              <w:rPr>
                <w:b w:val="0"/>
                <w:sz w:val="20"/>
                <w:szCs w:val="20"/>
              </w:rPr>
              <w:t>ծրագիր</w:t>
            </w:r>
          </w:p>
        </w:tc>
      </w:tr>
      <w:tr w:rsidR="009F0A25" w:rsidRPr="005D4C87" w:rsidTr="009F0A25">
        <w:trPr>
          <w:trHeight w:val="258"/>
        </w:trPr>
        <w:tc>
          <w:tcPr>
            <w:tcW w:w="3510" w:type="dxa"/>
            <w:noWrap/>
          </w:tcPr>
          <w:p w:rsidR="009F0A25" w:rsidRPr="009F0A25" w:rsidRDefault="009F0A25" w:rsidP="007730AA">
            <w:pPr>
              <w:spacing w:before="0" w:line="276" w:lineRule="auto"/>
              <w:rPr>
                <w:rFonts w:cs="Sylfaen"/>
                <w:bCs/>
                <w:sz w:val="20"/>
                <w:szCs w:val="20"/>
              </w:rPr>
            </w:pPr>
            <w:r w:rsidRPr="009F0A25">
              <w:rPr>
                <w:rFonts w:cs="Sylfaen"/>
                <w:bCs/>
                <w:sz w:val="20"/>
                <w:szCs w:val="20"/>
              </w:rPr>
              <w:t>Անվանական ՀՆԱ, մլրդ դրամ</w:t>
            </w:r>
          </w:p>
        </w:tc>
        <w:tc>
          <w:tcPr>
            <w:tcW w:w="1276" w:type="dxa"/>
          </w:tcPr>
          <w:p w:rsidR="009F0A25" w:rsidRPr="009F0A25" w:rsidRDefault="009F0A25" w:rsidP="00034178">
            <w:pPr>
              <w:spacing w:before="0" w:line="276" w:lineRule="auto"/>
              <w:ind w:firstLine="0"/>
              <w:jc w:val="right"/>
              <w:rPr>
                <w:rFonts w:cs="Arial"/>
                <w:bCs/>
                <w:sz w:val="20"/>
                <w:szCs w:val="20"/>
              </w:rPr>
            </w:pPr>
            <w:r w:rsidRPr="009F0A25">
              <w:rPr>
                <w:rFonts w:cs="Arial"/>
                <w:bCs/>
                <w:sz w:val="20"/>
                <w:szCs w:val="20"/>
              </w:rPr>
              <w:t>5,564.5</w:t>
            </w:r>
          </w:p>
        </w:tc>
        <w:tc>
          <w:tcPr>
            <w:tcW w:w="1134" w:type="dxa"/>
          </w:tcPr>
          <w:p w:rsidR="009F0A25" w:rsidRPr="009F0A25" w:rsidRDefault="009F0A25" w:rsidP="00034178">
            <w:pPr>
              <w:spacing w:before="0" w:line="276" w:lineRule="auto"/>
              <w:ind w:firstLine="0"/>
              <w:jc w:val="right"/>
              <w:rPr>
                <w:sz w:val="20"/>
                <w:szCs w:val="20"/>
              </w:rPr>
            </w:pPr>
            <w:r w:rsidRPr="009F0A25">
              <w:rPr>
                <w:sz w:val="20"/>
                <w:szCs w:val="20"/>
              </w:rPr>
              <w:t>6,017.0</w:t>
            </w:r>
          </w:p>
        </w:tc>
        <w:tc>
          <w:tcPr>
            <w:tcW w:w="992" w:type="dxa"/>
          </w:tcPr>
          <w:p w:rsidR="009F0A25" w:rsidRPr="009F0A25" w:rsidRDefault="009F0A25" w:rsidP="00034178">
            <w:pPr>
              <w:spacing w:before="0" w:line="276" w:lineRule="auto"/>
              <w:ind w:firstLine="0"/>
              <w:jc w:val="right"/>
              <w:rPr>
                <w:sz w:val="20"/>
                <w:szCs w:val="20"/>
              </w:rPr>
            </w:pPr>
            <w:r w:rsidRPr="009F0A25">
              <w:rPr>
                <w:sz w:val="20"/>
                <w:szCs w:val="20"/>
              </w:rPr>
              <w:t>6,569.0</w:t>
            </w:r>
          </w:p>
        </w:tc>
        <w:tc>
          <w:tcPr>
            <w:tcW w:w="1134" w:type="dxa"/>
            <w:shd w:val="clear" w:color="auto" w:fill="D9E2F3"/>
          </w:tcPr>
          <w:p w:rsidR="009F0A25" w:rsidRPr="009F0A25" w:rsidRDefault="009F0A25" w:rsidP="00034178">
            <w:pPr>
              <w:spacing w:before="0" w:line="276" w:lineRule="auto"/>
              <w:ind w:firstLine="0"/>
              <w:jc w:val="right"/>
              <w:rPr>
                <w:sz w:val="20"/>
                <w:szCs w:val="20"/>
              </w:rPr>
            </w:pPr>
            <w:r w:rsidRPr="009F0A25">
              <w:rPr>
                <w:sz w:val="20"/>
                <w:szCs w:val="20"/>
              </w:rPr>
              <w:t>6,075.9</w:t>
            </w:r>
          </w:p>
        </w:tc>
        <w:tc>
          <w:tcPr>
            <w:tcW w:w="1276" w:type="dxa"/>
            <w:shd w:val="clear" w:color="auto" w:fill="D9E2F3"/>
          </w:tcPr>
          <w:p w:rsidR="009F0A25" w:rsidRPr="009F0A25" w:rsidRDefault="009F0A25" w:rsidP="00034178">
            <w:pPr>
              <w:spacing w:before="0" w:line="276" w:lineRule="auto"/>
              <w:ind w:firstLine="0"/>
              <w:jc w:val="right"/>
              <w:rPr>
                <w:sz w:val="20"/>
                <w:szCs w:val="20"/>
              </w:rPr>
            </w:pPr>
            <w:r w:rsidRPr="009F0A25">
              <w:rPr>
                <w:sz w:val="20"/>
                <w:szCs w:val="20"/>
              </w:rPr>
              <w:t>6,395.3</w:t>
            </w:r>
          </w:p>
        </w:tc>
      </w:tr>
      <w:tr w:rsidR="009F0A25" w:rsidRPr="005D4C87" w:rsidTr="009F0A25">
        <w:trPr>
          <w:trHeight w:val="258"/>
        </w:trPr>
        <w:tc>
          <w:tcPr>
            <w:tcW w:w="351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Տնտեսական աճ, %</w:t>
            </w:r>
          </w:p>
        </w:tc>
        <w:tc>
          <w:tcPr>
            <w:tcW w:w="1276" w:type="dxa"/>
          </w:tcPr>
          <w:p w:rsidR="009F0A25" w:rsidRPr="009F0A25" w:rsidRDefault="009F0A25" w:rsidP="00034178">
            <w:pPr>
              <w:spacing w:before="0" w:line="276" w:lineRule="auto"/>
              <w:jc w:val="right"/>
              <w:rPr>
                <w:rFonts w:cs="Arial"/>
                <w:b w:val="0"/>
                <w:bCs/>
                <w:sz w:val="20"/>
                <w:szCs w:val="20"/>
              </w:rPr>
            </w:pPr>
            <w:r w:rsidRPr="009F0A25">
              <w:rPr>
                <w:rFonts w:cs="Arial"/>
                <w:b w:val="0"/>
                <w:bCs/>
                <w:sz w:val="20"/>
                <w:szCs w:val="20"/>
              </w:rPr>
              <w:t>7.5</w:t>
            </w:r>
          </w:p>
        </w:tc>
        <w:tc>
          <w:tcPr>
            <w:tcW w:w="1134" w:type="dxa"/>
          </w:tcPr>
          <w:p w:rsidR="009F0A25" w:rsidRPr="009F0A25" w:rsidRDefault="009F0A25" w:rsidP="00034178">
            <w:pPr>
              <w:spacing w:before="0" w:line="276" w:lineRule="auto"/>
              <w:jc w:val="right"/>
              <w:rPr>
                <w:b w:val="0"/>
                <w:sz w:val="20"/>
                <w:szCs w:val="20"/>
              </w:rPr>
            </w:pPr>
            <w:r w:rsidRPr="009F0A25">
              <w:rPr>
                <w:b w:val="0"/>
                <w:sz w:val="20"/>
                <w:szCs w:val="20"/>
              </w:rPr>
              <w:t>5.2</w:t>
            </w:r>
          </w:p>
        </w:tc>
        <w:tc>
          <w:tcPr>
            <w:tcW w:w="992" w:type="dxa"/>
          </w:tcPr>
          <w:p w:rsidR="009F0A25" w:rsidRPr="009F0A25" w:rsidRDefault="009F0A25" w:rsidP="00034178">
            <w:pPr>
              <w:spacing w:before="0" w:line="276" w:lineRule="auto"/>
              <w:ind w:firstLine="0"/>
              <w:jc w:val="right"/>
              <w:rPr>
                <w:b w:val="0"/>
                <w:sz w:val="20"/>
                <w:szCs w:val="20"/>
              </w:rPr>
            </w:pPr>
            <w:r w:rsidRPr="009F0A25">
              <w:rPr>
                <w:b w:val="0"/>
                <w:sz w:val="20"/>
                <w:szCs w:val="20"/>
              </w:rPr>
              <w:t>7.6</w:t>
            </w:r>
          </w:p>
        </w:tc>
        <w:tc>
          <w:tcPr>
            <w:tcW w:w="1134" w:type="dxa"/>
            <w:shd w:val="clear" w:color="auto" w:fill="D9E2F3"/>
          </w:tcPr>
          <w:p w:rsidR="009F0A25" w:rsidRPr="009F0A25" w:rsidRDefault="009F0A25" w:rsidP="00034178">
            <w:pPr>
              <w:spacing w:before="0" w:line="276" w:lineRule="auto"/>
              <w:ind w:firstLine="0"/>
              <w:jc w:val="right"/>
              <w:rPr>
                <w:b w:val="0"/>
                <w:sz w:val="20"/>
                <w:szCs w:val="20"/>
              </w:rPr>
            </w:pPr>
            <w:r w:rsidRPr="009F0A25">
              <w:rPr>
                <w:b w:val="0"/>
                <w:sz w:val="20"/>
                <w:szCs w:val="20"/>
              </w:rPr>
              <w:t>-7.9</w:t>
            </w:r>
          </w:p>
        </w:tc>
        <w:tc>
          <w:tcPr>
            <w:tcW w:w="1276"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3.2</w:t>
            </w:r>
          </w:p>
        </w:tc>
      </w:tr>
      <w:tr w:rsidR="009F0A25" w:rsidRPr="005D4C87" w:rsidTr="009F0A25">
        <w:trPr>
          <w:trHeight w:val="268"/>
        </w:trPr>
        <w:tc>
          <w:tcPr>
            <w:tcW w:w="351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ՀՆԱ դեֆլյատորի աճ, %</w:t>
            </w:r>
          </w:p>
        </w:tc>
        <w:tc>
          <w:tcPr>
            <w:tcW w:w="1276" w:type="dxa"/>
          </w:tcPr>
          <w:p w:rsidR="009F0A25" w:rsidRPr="009F0A25" w:rsidRDefault="009F0A25" w:rsidP="00034178">
            <w:pPr>
              <w:spacing w:before="0" w:line="276" w:lineRule="auto"/>
              <w:jc w:val="right"/>
              <w:rPr>
                <w:rFonts w:cs="Arial"/>
                <w:b w:val="0"/>
                <w:bCs/>
                <w:sz w:val="20"/>
                <w:szCs w:val="20"/>
              </w:rPr>
            </w:pPr>
            <w:r w:rsidRPr="009F0A25">
              <w:rPr>
                <w:rFonts w:cs="Arial"/>
                <w:b w:val="0"/>
                <w:bCs/>
                <w:sz w:val="20"/>
                <w:szCs w:val="20"/>
              </w:rPr>
              <w:t>2.1</w:t>
            </w:r>
          </w:p>
        </w:tc>
        <w:tc>
          <w:tcPr>
            <w:tcW w:w="1134" w:type="dxa"/>
          </w:tcPr>
          <w:p w:rsidR="009F0A25" w:rsidRPr="009F0A25" w:rsidRDefault="009F0A25" w:rsidP="00034178">
            <w:pPr>
              <w:spacing w:before="0" w:line="276" w:lineRule="auto"/>
              <w:jc w:val="right"/>
              <w:rPr>
                <w:b w:val="0"/>
                <w:sz w:val="20"/>
                <w:szCs w:val="20"/>
              </w:rPr>
            </w:pPr>
            <w:r w:rsidRPr="009F0A25">
              <w:rPr>
                <w:b w:val="0"/>
                <w:sz w:val="20"/>
                <w:szCs w:val="20"/>
              </w:rPr>
              <w:t>2.8</w:t>
            </w:r>
          </w:p>
        </w:tc>
        <w:tc>
          <w:tcPr>
            <w:tcW w:w="992" w:type="dxa"/>
          </w:tcPr>
          <w:p w:rsidR="009F0A25" w:rsidRPr="009F0A25" w:rsidRDefault="009F0A25" w:rsidP="00034178">
            <w:pPr>
              <w:spacing w:before="0" w:line="276" w:lineRule="auto"/>
              <w:ind w:firstLine="0"/>
              <w:jc w:val="right"/>
              <w:rPr>
                <w:b w:val="0"/>
                <w:sz w:val="20"/>
                <w:szCs w:val="20"/>
              </w:rPr>
            </w:pPr>
            <w:r w:rsidRPr="009F0A25">
              <w:rPr>
                <w:b w:val="0"/>
                <w:sz w:val="20"/>
                <w:szCs w:val="20"/>
              </w:rPr>
              <w:t>1.5</w:t>
            </w:r>
          </w:p>
        </w:tc>
        <w:tc>
          <w:tcPr>
            <w:tcW w:w="1134"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0.4</w:t>
            </w:r>
          </w:p>
        </w:tc>
        <w:tc>
          <w:tcPr>
            <w:tcW w:w="1276"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2.0</w:t>
            </w:r>
          </w:p>
        </w:tc>
      </w:tr>
      <w:tr w:rsidR="009F0A25" w:rsidRPr="005D4C87" w:rsidTr="009F0A25">
        <w:trPr>
          <w:trHeight w:val="258"/>
        </w:trPr>
        <w:tc>
          <w:tcPr>
            <w:tcW w:w="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Գնաճ (ժամանակաշրջանի վերջ), %</w:t>
            </w:r>
          </w:p>
        </w:tc>
        <w:tc>
          <w:tcPr>
            <w:tcW w:w="0" w:type="dxa"/>
          </w:tcPr>
          <w:p w:rsidR="009F0A25" w:rsidRPr="009F0A25" w:rsidRDefault="009F0A25" w:rsidP="00034178">
            <w:pPr>
              <w:spacing w:before="0" w:line="276" w:lineRule="auto"/>
              <w:jc w:val="right"/>
              <w:rPr>
                <w:rFonts w:cs="Arial"/>
                <w:b w:val="0"/>
                <w:bCs/>
                <w:sz w:val="20"/>
                <w:szCs w:val="20"/>
              </w:rPr>
            </w:pPr>
            <w:r w:rsidRPr="009F0A25">
              <w:rPr>
                <w:rFonts w:cs="Arial"/>
                <w:b w:val="0"/>
                <w:bCs/>
                <w:sz w:val="20"/>
                <w:szCs w:val="20"/>
              </w:rPr>
              <w:t>2.6</w:t>
            </w:r>
          </w:p>
        </w:tc>
        <w:tc>
          <w:tcPr>
            <w:tcW w:w="0" w:type="dxa"/>
          </w:tcPr>
          <w:p w:rsidR="009F0A25" w:rsidRPr="009F0A25" w:rsidRDefault="009F0A25" w:rsidP="00034178">
            <w:pPr>
              <w:spacing w:before="0" w:line="276" w:lineRule="auto"/>
              <w:jc w:val="right"/>
              <w:rPr>
                <w:b w:val="0"/>
                <w:sz w:val="20"/>
                <w:szCs w:val="20"/>
              </w:rPr>
            </w:pPr>
            <w:r w:rsidRPr="009F0A25">
              <w:rPr>
                <w:b w:val="0"/>
                <w:sz w:val="20"/>
                <w:szCs w:val="20"/>
              </w:rPr>
              <w:t>1.8</w:t>
            </w:r>
          </w:p>
        </w:tc>
        <w:tc>
          <w:tcPr>
            <w:tcW w:w="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0A25" w:rsidRPr="009F0A25" w:rsidRDefault="009F0A25" w:rsidP="00034178">
            <w:pPr>
              <w:spacing w:before="0" w:line="276" w:lineRule="auto"/>
              <w:ind w:firstLine="0"/>
              <w:jc w:val="right"/>
              <w:rPr>
                <w:b w:val="0"/>
                <w:sz w:val="20"/>
                <w:szCs w:val="20"/>
              </w:rPr>
            </w:pPr>
            <w:r w:rsidRPr="009F0A25">
              <w:rPr>
                <w:b w:val="0"/>
                <w:sz w:val="20"/>
                <w:szCs w:val="20"/>
              </w:rPr>
              <w:t>0.7</w:t>
            </w:r>
          </w:p>
        </w:tc>
        <w:tc>
          <w:tcPr>
            <w:tcW w:w="0"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1.9</w:t>
            </w:r>
          </w:p>
        </w:tc>
        <w:tc>
          <w:tcPr>
            <w:tcW w:w="0"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1.7</w:t>
            </w:r>
          </w:p>
        </w:tc>
      </w:tr>
      <w:tr w:rsidR="009F0A25" w:rsidRPr="005D4C87" w:rsidTr="009F0A25">
        <w:trPr>
          <w:trHeight w:val="265"/>
        </w:trPr>
        <w:tc>
          <w:tcPr>
            <w:tcW w:w="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Գնաճ (միջին), %</w:t>
            </w:r>
          </w:p>
        </w:tc>
        <w:tc>
          <w:tcPr>
            <w:tcW w:w="0" w:type="dxa"/>
          </w:tcPr>
          <w:p w:rsidR="009F0A25" w:rsidRPr="009F0A25" w:rsidRDefault="009F0A25" w:rsidP="00034178">
            <w:pPr>
              <w:spacing w:before="0" w:line="276" w:lineRule="auto"/>
              <w:jc w:val="right"/>
              <w:rPr>
                <w:rFonts w:cs="Arial"/>
                <w:b w:val="0"/>
                <w:bCs/>
                <w:sz w:val="20"/>
                <w:szCs w:val="20"/>
              </w:rPr>
            </w:pPr>
            <w:r w:rsidRPr="009F0A25">
              <w:rPr>
                <w:rFonts w:cs="Arial"/>
                <w:b w:val="0"/>
                <w:bCs/>
                <w:sz w:val="20"/>
                <w:szCs w:val="20"/>
              </w:rPr>
              <w:t>1.0</w:t>
            </w:r>
          </w:p>
        </w:tc>
        <w:tc>
          <w:tcPr>
            <w:tcW w:w="0" w:type="dxa"/>
          </w:tcPr>
          <w:p w:rsidR="009F0A25" w:rsidRPr="009F0A25" w:rsidRDefault="009F0A25" w:rsidP="00034178">
            <w:pPr>
              <w:spacing w:before="0" w:line="276" w:lineRule="auto"/>
              <w:jc w:val="right"/>
              <w:rPr>
                <w:b w:val="0"/>
                <w:sz w:val="20"/>
                <w:szCs w:val="20"/>
              </w:rPr>
            </w:pPr>
            <w:r w:rsidRPr="009F0A25">
              <w:rPr>
                <w:b w:val="0"/>
                <w:sz w:val="20"/>
                <w:szCs w:val="20"/>
              </w:rPr>
              <w:t>2.5</w:t>
            </w:r>
          </w:p>
        </w:tc>
        <w:tc>
          <w:tcPr>
            <w:tcW w:w="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0A25" w:rsidRPr="009F0A25" w:rsidRDefault="009F0A25" w:rsidP="00034178">
            <w:pPr>
              <w:spacing w:before="0" w:line="276" w:lineRule="auto"/>
              <w:ind w:firstLine="0"/>
              <w:jc w:val="right"/>
              <w:rPr>
                <w:b w:val="0"/>
                <w:sz w:val="20"/>
                <w:szCs w:val="20"/>
              </w:rPr>
            </w:pPr>
            <w:r w:rsidRPr="009F0A25">
              <w:rPr>
                <w:b w:val="0"/>
                <w:sz w:val="20"/>
                <w:szCs w:val="20"/>
              </w:rPr>
              <w:t>1.4</w:t>
            </w:r>
          </w:p>
        </w:tc>
        <w:tc>
          <w:tcPr>
            <w:tcW w:w="0"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1.2</w:t>
            </w:r>
          </w:p>
        </w:tc>
        <w:tc>
          <w:tcPr>
            <w:tcW w:w="0" w:type="dxa"/>
            <w:shd w:val="clear" w:color="auto" w:fill="D9E2F3"/>
          </w:tcPr>
          <w:p w:rsidR="009F0A25" w:rsidRPr="009F0A25" w:rsidRDefault="009F0A25" w:rsidP="00034178">
            <w:pPr>
              <w:spacing w:before="0" w:line="276" w:lineRule="auto"/>
              <w:jc w:val="right"/>
              <w:rPr>
                <w:b w:val="0"/>
                <w:sz w:val="20"/>
                <w:szCs w:val="20"/>
              </w:rPr>
            </w:pPr>
            <w:r w:rsidRPr="009F0A25">
              <w:rPr>
                <w:b w:val="0"/>
                <w:sz w:val="20"/>
                <w:szCs w:val="20"/>
              </w:rPr>
              <w:t>1.9</w:t>
            </w:r>
          </w:p>
        </w:tc>
      </w:tr>
      <w:tr w:rsidR="009F0A25" w:rsidRPr="005D4C87" w:rsidTr="009F0A25">
        <w:trPr>
          <w:trHeight w:val="258"/>
        </w:trPr>
        <w:tc>
          <w:tcPr>
            <w:tcW w:w="9322" w:type="dxa"/>
            <w:gridSpan w:val="6"/>
            <w:shd w:val="clear" w:color="auto" w:fill="auto"/>
            <w:noWrap/>
          </w:tcPr>
          <w:p w:rsidR="009F0A25" w:rsidRPr="009F0A25" w:rsidRDefault="009F0A25" w:rsidP="007730AA">
            <w:pPr>
              <w:spacing w:before="0" w:line="276" w:lineRule="auto"/>
              <w:jc w:val="left"/>
              <w:rPr>
                <w:rFonts w:cs="Arial"/>
                <w:bCs/>
                <w:sz w:val="20"/>
                <w:szCs w:val="20"/>
              </w:rPr>
            </w:pPr>
            <w:r w:rsidRPr="009F0A25">
              <w:rPr>
                <w:rFonts w:cs="Sylfaen"/>
                <w:sz w:val="20"/>
                <w:szCs w:val="20"/>
                <w:u w:val="single"/>
              </w:rPr>
              <w:t>ՀՆԱ իրական աճն ըստ ճյուղերի ավելացված արժեքների, %</w:t>
            </w:r>
          </w:p>
        </w:tc>
      </w:tr>
      <w:tr w:rsidR="009F0A25" w:rsidRPr="005D4C87" w:rsidTr="009F0A25">
        <w:trPr>
          <w:trHeight w:val="258"/>
        </w:trPr>
        <w:tc>
          <w:tcPr>
            <w:tcW w:w="351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Արդյունաբերություն</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11.8</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4.9</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8.3</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-0.6</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3.6</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 xml:space="preserve">Գյուղատնտեսություն </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-5.1</w:t>
            </w:r>
          </w:p>
        </w:tc>
        <w:tc>
          <w:tcPr>
            <w:tcW w:w="1134" w:type="dxa"/>
          </w:tcPr>
          <w:p w:rsidR="009F0A25" w:rsidRPr="009F0A25" w:rsidRDefault="009F0A25" w:rsidP="007730AA">
            <w:pPr>
              <w:spacing w:before="0" w:line="276" w:lineRule="auto"/>
              <w:ind w:firstLine="0"/>
              <w:jc w:val="right"/>
              <w:rPr>
                <w:b w:val="0"/>
                <w:sz w:val="20"/>
                <w:szCs w:val="20"/>
              </w:rPr>
            </w:pPr>
            <w:r w:rsidRPr="009F0A25">
              <w:rPr>
                <w:b w:val="0"/>
                <w:sz w:val="20"/>
                <w:szCs w:val="20"/>
              </w:rPr>
              <w:t>-6.9</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-2.6</w:t>
            </w:r>
          </w:p>
        </w:tc>
        <w:tc>
          <w:tcPr>
            <w:tcW w:w="1134"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0.7</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2.3</w:t>
            </w:r>
          </w:p>
        </w:tc>
      </w:tr>
      <w:tr w:rsidR="009F0A25" w:rsidRPr="005D4C87" w:rsidTr="009F0A25">
        <w:trPr>
          <w:trHeight w:val="258"/>
        </w:trPr>
        <w:tc>
          <w:tcPr>
            <w:tcW w:w="351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 xml:space="preserve">Շինարարություն </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2.8</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0.6</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3.7</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-17.6</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3.3</w:t>
            </w:r>
          </w:p>
        </w:tc>
      </w:tr>
      <w:tr w:rsidR="009F0A25" w:rsidRPr="005D4C87" w:rsidTr="009F0A25">
        <w:trPr>
          <w:trHeight w:val="258"/>
        </w:trPr>
        <w:tc>
          <w:tcPr>
            <w:tcW w:w="351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Ծառայություններ</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10.6</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9.1</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10.7</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-10.5</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3.0</w:t>
            </w:r>
          </w:p>
        </w:tc>
      </w:tr>
      <w:tr w:rsidR="009F0A25" w:rsidRPr="005D4C87" w:rsidTr="009F0A25">
        <w:trPr>
          <w:trHeight w:val="258"/>
        </w:trPr>
        <w:tc>
          <w:tcPr>
            <w:tcW w:w="3510" w:type="dxa"/>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Զուտ հարկեր</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9.7</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8.0</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7.1</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-11.1</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4.6</w:t>
            </w:r>
          </w:p>
        </w:tc>
      </w:tr>
      <w:tr w:rsidR="009F0A25" w:rsidRPr="005D4C87" w:rsidTr="009F0A25">
        <w:trPr>
          <w:trHeight w:val="258"/>
        </w:trPr>
        <w:tc>
          <w:tcPr>
            <w:tcW w:w="9322" w:type="dxa"/>
            <w:gridSpan w:val="6"/>
            <w:shd w:val="clear" w:color="auto" w:fill="auto"/>
            <w:noWrap/>
          </w:tcPr>
          <w:p w:rsidR="009F0A25" w:rsidRPr="009F0A25" w:rsidRDefault="009F0A25" w:rsidP="007730AA">
            <w:pPr>
              <w:spacing w:before="0" w:line="276" w:lineRule="auto"/>
              <w:jc w:val="left"/>
              <w:rPr>
                <w:rFonts w:cs="Arial"/>
                <w:bCs/>
                <w:sz w:val="20"/>
                <w:szCs w:val="20"/>
                <w:highlight w:val="yellow"/>
              </w:rPr>
            </w:pPr>
            <w:r w:rsidRPr="009F0A25">
              <w:rPr>
                <w:rFonts w:cs="Sylfaen"/>
                <w:sz w:val="20"/>
                <w:szCs w:val="20"/>
                <w:u w:val="single"/>
              </w:rPr>
              <w:t>ՀՆԱ ծախսային բաղադրիչների իրական աճերը, %</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Վերջնական սպառում</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11.6</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3.8</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11.8</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-8.5</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4.3</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Պետական</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-2.1</w:t>
            </w:r>
          </w:p>
        </w:tc>
        <w:tc>
          <w:tcPr>
            <w:tcW w:w="1134" w:type="dxa"/>
          </w:tcPr>
          <w:p w:rsidR="009F0A25" w:rsidRPr="009F0A25" w:rsidRDefault="009F0A25" w:rsidP="007730AA">
            <w:pPr>
              <w:spacing w:before="0" w:line="276" w:lineRule="auto"/>
              <w:ind w:firstLine="0"/>
              <w:jc w:val="right"/>
              <w:rPr>
                <w:b w:val="0"/>
                <w:sz w:val="20"/>
                <w:szCs w:val="20"/>
              </w:rPr>
            </w:pPr>
            <w:r w:rsidRPr="009F0A25">
              <w:rPr>
                <w:b w:val="0"/>
                <w:sz w:val="20"/>
                <w:szCs w:val="20"/>
              </w:rPr>
              <w:t>-3.0</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12.5</w:t>
            </w:r>
          </w:p>
        </w:tc>
        <w:tc>
          <w:tcPr>
            <w:tcW w:w="1134"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5.6</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1.1</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Մասնավոր</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14.0</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4.8</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11.7</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-10.6</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4.9</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Հիմնական միջոցներում ներդրումներ</w:t>
            </w:r>
            <w:r w:rsidRPr="009F0A25">
              <w:rPr>
                <w:rFonts w:cs="Sylfaen"/>
                <w:b w:val="0"/>
                <w:sz w:val="20"/>
                <w:szCs w:val="20"/>
                <w:vertAlign w:val="superscript"/>
              </w:rPr>
              <w:footnoteReference w:id="1"/>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9.7</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4.8</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4.4</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-10.5</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3.0</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Պետական</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9.9</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3.4</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38.9</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38.9</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-25.5</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Մասնավոր</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9.7</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5.1</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-2.2</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-20.9</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13.6</w:t>
            </w:r>
          </w:p>
        </w:tc>
      </w:tr>
      <w:tr w:rsidR="009F0A25" w:rsidRPr="005D4C87" w:rsidTr="009F0A25">
        <w:trPr>
          <w:trHeight w:val="258"/>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 xml:space="preserve">Արտահանում </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19.3</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5.0</w:t>
            </w:r>
          </w:p>
        </w:tc>
        <w:tc>
          <w:tcPr>
            <w:tcW w:w="992" w:type="dxa"/>
          </w:tcPr>
          <w:p w:rsidR="009F0A25" w:rsidRPr="009F0A25" w:rsidRDefault="009F0A25" w:rsidP="007730AA">
            <w:pPr>
              <w:spacing w:before="0" w:line="276" w:lineRule="auto"/>
              <w:ind w:firstLine="0"/>
              <w:rPr>
                <w:b w:val="0"/>
                <w:sz w:val="20"/>
                <w:szCs w:val="20"/>
              </w:rPr>
            </w:pPr>
            <w:r w:rsidRPr="009F0A25">
              <w:rPr>
                <w:b w:val="0"/>
                <w:sz w:val="20"/>
                <w:szCs w:val="20"/>
              </w:rPr>
              <w:t>16.0</w:t>
            </w:r>
          </w:p>
        </w:tc>
        <w:tc>
          <w:tcPr>
            <w:tcW w:w="1134" w:type="dxa"/>
            <w:shd w:val="clear" w:color="auto" w:fill="D9E2F3"/>
          </w:tcPr>
          <w:p w:rsidR="009F0A25" w:rsidRPr="009F0A25" w:rsidRDefault="009F0A25" w:rsidP="007730AA">
            <w:pPr>
              <w:spacing w:before="0" w:line="276" w:lineRule="auto"/>
              <w:ind w:firstLine="0"/>
              <w:rPr>
                <w:b w:val="0"/>
                <w:sz w:val="20"/>
                <w:szCs w:val="20"/>
              </w:rPr>
            </w:pPr>
            <w:r w:rsidRPr="009F0A25">
              <w:rPr>
                <w:b w:val="0"/>
                <w:sz w:val="20"/>
                <w:szCs w:val="20"/>
              </w:rPr>
              <w:t>-28.7</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7.4</w:t>
            </w:r>
          </w:p>
        </w:tc>
      </w:tr>
      <w:tr w:rsidR="009F0A25" w:rsidRPr="005D4C87" w:rsidTr="009F0A25">
        <w:trPr>
          <w:trHeight w:val="272"/>
        </w:trPr>
        <w:tc>
          <w:tcPr>
            <w:tcW w:w="3510" w:type="dxa"/>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 xml:space="preserve">Ներմուծում </w:t>
            </w:r>
          </w:p>
        </w:tc>
        <w:tc>
          <w:tcPr>
            <w:tcW w:w="1276" w:type="dxa"/>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24.6</w:t>
            </w:r>
          </w:p>
        </w:tc>
        <w:tc>
          <w:tcPr>
            <w:tcW w:w="1134" w:type="dxa"/>
          </w:tcPr>
          <w:p w:rsidR="009F0A25" w:rsidRPr="009F0A25" w:rsidRDefault="009F0A25" w:rsidP="007730AA">
            <w:pPr>
              <w:spacing w:before="0" w:line="276" w:lineRule="auto"/>
              <w:ind w:firstLine="0"/>
              <w:jc w:val="right"/>
              <w:rPr>
                <w:b w:val="0"/>
                <w:sz w:val="20"/>
                <w:szCs w:val="20"/>
              </w:rPr>
            </w:pPr>
            <w:r w:rsidRPr="009F0A25">
              <w:rPr>
                <w:b w:val="0"/>
                <w:sz w:val="20"/>
                <w:szCs w:val="20"/>
              </w:rPr>
              <w:t>13.3</w:t>
            </w:r>
          </w:p>
        </w:tc>
        <w:tc>
          <w:tcPr>
            <w:tcW w:w="992" w:type="dxa"/>
          </w:tcPr>
          <w:p w:rsidR="009F0A25" w:rsidRPr="009F0A25" w:rsidRDefault="009F0A25" w:rsidP="007730AA">
            <w:pPr>
              <w:spacing w:before="0" w:line="276" w:lineRule="auto"/>
              <w:ind w:firstLine="0"/>
              <w:jc w:val="right"/>
              <w:rPr>
                <w:b w:val="0"/>
                <w:sz w:val="20"/>
                <w:szCs w:val="20"/>
              </w:rPr>
            </w:pPr>
            <w:r w:rsidRPr="009F0A25">
              <w:rPr>
                <w:b w:val="0"/>
                <w:sz w:val="20"/>
                <w:szCs w:val="20"/>
              </w:rPr>
              <w:t>12.0</w:t>
            </w:r>
          </w:p>
        </w:tc>
        <w:tc>
          <w:tcPr>
            <w:tcW w:w="1134" w:type="dxa"/>
            <w:shd w:val="clear" w:color="auto" w:fill="D9E2F3"/>
          </w:tcPr>
          <w:p w:rsidR="009F0A25" w:rsidRPr="009F0A25" w:rsidRDefault="009F0A25" w:rsidP="007730AA">
            <w:pPr>
              <w:spacing w:before="0" w:line="276" w:lineRule="auto"/>
              <w:ind w:firstLine="0"/>
              <w:jc w:val="right"/>
              <w:rPr>
                <w:b w:val="0"/>
                <w:sz w:val="20"/>
                <w:szCs w:val="20"/>
              </w:rPr>
            </w:pPr>
            <w:r w:rsidRPr="009F0A25">
              <w:rPr>
                <w:b w:val="0"/>
                <w:sz w:val="20"/>
                <w:szCs w:val="20"/>
              </w:rPr>
              <w:t>-27.7</w:t>
            </w:r>
          </w:p>
        </w:tc>
        <w:tc>
          <w:tcPr>
            <w:tcW w:w="1276" w:type="dxa"/>
            <w:shd w:val="clear" w:color="auto" w:fill="D9E2F3"/>
          </w:tcPr>
          <w:p w:rsidR="009F0A25" w:rsidRPr="009F0A25" w:rsidRDefault="009F0A25" w:rsidP="007730AA">
            <w:pPr>
              <w:spacing w:before="0" w:line="276" w:lineRule="auto"/>
              <w:jc w:val="right"/>
              <w:rPr>
                <w:b w:val="0"/>
                <w:sz w:val="20"/>
                <w:szCs w:val="20"/>
              </w:rPr>
            </w:pPr>
            <w:r w:rsidRPr="009F0A25">
              <w:rPr>
                <w:b w:val="0"/>
                <w:sz w:val="20"/>
                <w:szCs w:val="20"/>
              </w:rPr>
              <w:t>6.0</w:t>
            </w:r>
          </w:p>
        </w:tc>
      </w:tr>
      <w:tr w:rsidR="009F0A25" w:rsidRPr="005D4C87" w:rsidTr="009F0A25">
        <w:trPr>
          <w:trHeight w:val="258"/>
        </w:trPr>
        <w:tc>
          <w:tcPr>
            <w:tcW w:w="9322" w:type="dxa"/>
            <w:gridSpan w:val="6"/>
            <w:shd w:val="clear" w:color="auto" w:fill="auto"/>
            <w:noWrap/>
          </w:tcPr>
          <w:p w:rsidR="009F0A25" w:rsidRPr="009F0A25" w:rsidRDefault="009F0A25" w:rsidP="007730AA">
            <w:pPr>
              <w:spacing w:before="0" w:line="276" w:lineRule="auto"/>
              <w:jc w:val="left"/>
              <w:rPr>
                <w:rFonts w:cs="Arial"/>
                <w:bCs/>
                <w:sz w:val="20"/>
                <w:szCs w:val="20"/>
              </w:rPr>
            </w:pPr>
            <w:r w:rsidRPr="009F0A25">
              <w:rPr>
                <w:rFonts w:cs="Sylfaen"/>
                <w:sz w:val="20"/>
                <w:szCs w:val="20"/>
                <w:u w:val="single"/>
              </w:rPr>
              <w:t>Արտաքին հատված (մլն ԱՄՆ դոլար)</w:t>
            </w:r>
          </w:p>
        </w:tc>
      </w:tr>
      <w:tr w:rsidR="009F0A25" w:rsidRPr="005D4C87" w:rsidTr="009F0A25">
        <w:trPr>
          <w:trHeight w:val="258"/>
        </w:trPr>
        <w:tc>
          <w:tcPr>
            <w:tcW w:w="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Ընթացիկ հաշիվ</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-173.9</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-860.0</w:t>
            </w:r>
          </w:p>
        </w:tc>
        <w:tc>
          <w:tcPr>
            <w:tcW w:w="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-987.5</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b w:val="0"/>
                <w:sz w:val="20"/>
                <w:szCs w:val="20"/>
                <w:lang w:val="en-US"/>
              </w:rPr>
              <w:t>-</w:t>
            </w:r>
            <w:r w:rsidRPr="009F0A25">
              <w:rPr>
                <w:b w:val="0"/>
                <w:sz w:val="20"/>
                <w:szCs w:val="20"/>
              </w:rPr>
              <w:t>731.7</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lang w:val="en-US"/>
              </w:rPr>
            </w:pPr>
            <w:r w:rsidRPr="009F0A25">
              <w:rPr>
                <w:b w:val="0"/>
                <w:sz w:val="20"/>
                <w:szCs w:val="20"/>
                <w:lang w:val="en-US"/>
              </w:rPr>
              <w:t>-772.3</w:t>
            </w:r>
          </w:p>
        </w:tc>
      </w:tr>
      <w:tr w:rsidR="009F0A25" w:rsidRPr="005D4C87" w:rsidTr="009F0A25">
        <w:trPr>
          <w:trHeight w:val="258"/>
        </w:trPr>
        <w:tc>
          <w:tcPr>
            <w:tcW w:w="3510" w:type="dxa"/>
            <w:shd w:val="clear" w:color="auto" w:fill="auto"/>
          </w:tcPr>
          <w:p w:rsidR="009F0A25" w:rsidRPr="009F0A25" w:rsidRDefault="009F0A25" w:rsidP="007730AA">
            <w:pPr>
              <w:spacing w:before="0" w:line="276" w:lineRule="auto"/>
              <w:ind w:firstLine="0"/>
              <w:jc w:val="left"/>
              <w:rPr>
                <w:rFonts w:cs="Sylfaen"/>
                <w:b w:val="0"/>
                <w:sz w:val="20"/>
                <w:szCs w:val="20"/>
              </w:rPr>
            </w:pPr>
            <w:r w:rsidRPr="009F0A25">
              <w:rPr>
                <w:rFonts w:cs="Sylfaen"/>
                <w:b w:val="0"/>
                <w:sz w:val="20"/>
                <w:szCs w:val="20"/>
              </w:rPr>
              <w:t>Ապրանքների և ծառայությունների հաշվեկշիռ</w:t>
            </w:r>
          </w:p>
        </w:tc>
        <w:tc>
          <w:tcPr>
            <w:tcW w:w="1276" w:type="dxa"/>
          </w:tcPr>
          <w:p w:rsidR="009F0A25" w:rsidRPr="009F0A25" w:rsidRDefault="009F0A25" w:rsidP="007730AA">
            <w:pPr>
              <w:spacing w:before="0" w:line="276" w:lineRule="auto"/>
              <w:ind w:firstLine="0"/>
              <w:jc w:val="right"/>
              <w:rPr>
                <w:b w:val="0"/>
                <w:sz w:val="20"/>
                <w:szCs w:val="20"/>
              </w:rPr>
            </w:pPr>
            <w:r w:rsidRPr="009F0A25">
              <w:rPr>
                <w:b w:val="0"/>
                <w:sz w:val="20"/>
                <w:szCs w:val="20"/>
              </w:rPr>
              <w:t>-1,241.5</w:t>
            </w:r>
          </w:p>
        </w:tc>
        <w:tc>
          <w:tcPr>
            <w:tcW w:w="1134" w:type="dxa"/>
          </w:tcPr>
          <w:p w:rsidR="009F0A25" w:rsidRPr="009F0A25" w:rsidRDefault="009F0A25" w:rsidP="007730AA">
            <w:pPr>
              <w:spacing w:before="0" w:line="276" w:lineRule="auto"/>
              <w:ind w:firstLine="0"/>
              <w:jc w:val="right"/>
              <w:rPr>
                <w:b w:val="0"/>
                <w:sz w:val="20"/>
                <w:szCs w:val="20"/>
              </w:rPr>
            </w:pPr>
            <w:r w:rsidRPr="009F0A25">
              <w:rPr>
                <w:b w:val="0"/>
                <w:sz w:val="20"/>
                <w:szCs w:val="20"/>
              </w:rPr>
              <w:t>-1,702.3</w:t>
            </w:r>
          </w:p>
        </w:tc>
        <w:tc>
          <w:tcPr>
            <w:tcW w:w="992"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-1,828.8</w:t>
            </w:r>
          </w:p>
        </w:tc>
        <w:tc>
          <w:tcPr>
            <w:tcW w:w="1134"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-1,539.3</w:t>
            </w:r>
          </w:p>
        </w:tc>
        <w:tc>
          <w:tcPr>
            <w:tcW w:w="1276"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-1,673.5</w:t>
            </w:r>
          </w:p>
        </w:tc>
      </w:tr>
      <w:tr w:rsidR="009F0A25" w:rsidRPr="005D4C87" w:rsidTr="009F0A25">
        <w:trPr>
          <w:trHeight w:val="258"/>
        </w:trPr>
        <w:tc>
          <w:tcPr>
            <w:tcW w:w="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Արտահանում</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4,409.1</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4,907.2</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5,640.7</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3,867.2</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4,231.1</w:t>
            </w:r>
          </w:p>
        </w:tc>
      </w:tr>
      <w:tr w:rsidR="009F0A25" w:rsidRPr="005D4C87" w:rsidTr="009F0A25">
        <w:trPr>
          <w:trHeight w:val="258"/>
        </w:trPr>
        <w:tc>
          <w:tcPr>
            <w:tcW w:w="351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Փոփոխություն, %</w:t>
            </w:r>
          </w:p>
        </w:tc>
        <w:tc>
          <w:tcPr>
            <w:tcW w:w="1276" w:type="dxa"/>
          </w:tcPr>
          <w:p w:rsidR="009F0A25" w:rsidRPr="009F0A25" w:rsidRDefault="009F0A25" w:rsidP="007730AA">
            <w:pPr>
              <w:spacing w:before="0" w:line="276" w:lineRule="auto"/>
              <w:jc w:val="right"/>
              <w:rPr>
                <w:b w:val="0"/>
                <w:sz w:val="20"/>
                <w:szCs w:val="20"/>
              </w:rPr>
            </w:pPr>
            <w:r w:rsidRPr="009F0A25">
              <w:rPr>
                <w:b w:val="0"/>
                <w:sz w:val="20"/>
                <w:szCs w:val="20"/>
              </w:rPr>
              <w:t>23.7</w:t>
            </w:r>
          </w:p>
        </w:tc>
        <w:tc>
          <w:tcPr>
            <w:tcW w:w="1134" w:type="dxa"/>
          </w:tcPr>
          <w:p w:rsidR="009F0A25" w:rsidRPr="009F0A25" w:rsidRDefault="009F0A25" w:rsidP="007730AA">
            <w:pPr>
              <w:spacing w:before="0" w:line="276" w:lineRule="auto"/>
              <w:jc w:val="right"/>
              <w:rPr>
                <w:b w:val="0"/>
                <w:sz w:val="20"/>
                <w:szCs w:val="20"/>
              </w:rPr>
            </w:pPr>
            <w:r w:rsidRPr="009F0A25">
              <w:rPr>
                <w:b w:val="0"/>
                <w:sz w:val="20"/>
                <w:szCs w:val="20"/>
              </w:rPr>
              <w:t>11.3</w:t>
            </w:r>
          </w:p>
        </w:tc>
        <w:tc>
          <w:tcPr>
            <w:tcW w:w="992"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14.9</w:t>
            </w:r>
          </w:p>
        </w:tc>
        <w:tc>
          <w:tcPr>
            <w:tcW w:w="1134"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-31.4</w:t>
            </w:r>
          </w:p>
        </w:tc>
        <w:tc>
          <w:tcPr>
            <w:tcW w:w="1276"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9.4</w:t>
            </w:r>
          </w:p>
        </w:tc>
      </w:tr>
      <w:tr w:rsidR="009F0A25" w:rsidRPr="005D4C87" w:rsidTr="009F0A25">
        <w:trPr>
          <w:trHeight w:val="258"/>
        </w:trPr>
        <w:tc>
          <w:tcPr>
            <w:tcW w:w="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Ներմուծում</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5,650.6</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6,609.5</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7,469.5</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5,406.5</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5,904.5</w:t>
            </w:r>
          </w:p>
        </w:tc>
      </w:tr>
      <w:tr w:rsidR="009F0A25" w:rsidRPr="005D4C87" w:rsidTr="009F0A25">
        <w:trPr>
          <w:trHeight w:val="258"/>
        </w:trPr>
        <w:tc>
          <w:tcPr>
            <w:tcW w:w="0" w:type="dxa"/>
            <w:shd w:val="clear" w:color="auto" w:fill="auto"/>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Փոփոխություն, %</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26.4</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17.0</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13.0</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-27.6</w:t>
            </w:r>
          </w:p>
        </w:tc>
        <w:tc>
          <w:tcPr>
            <w:tcW w:w="0"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9.2</w:t>
            </w:r>
          </w:p>
        </w:tc>
      </w:tr>
      <w:tr w:rsidR="009F0A25" w:rsidRPr="005D4C87" w:rsidTr="009F0A25">
        <w:trPr>
          <w:trHeight w:val="258"/>
        </w:trPr>
        <w:tc>
          <w:tcPr>
            <w:tcW w:w="0" w:type="dxa"/>
            <w:shd w:val="clear" w:color="auto" w:fill="auto"/>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Դրամական փոխանցումներ</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1,179.3</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1,136.2</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1,143.8</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1,119.7</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1,188.1</w:t>
            </w:r>
          </w:p>
        </w:tc>
      </w:tr>
      <w:tr w:rsidR="009F0A25" w:rsidRPr="005D4C87" w:rsidTr="009F0A25">
        <w:trPr>
          <w:trHeight w:val="258"/>
        </w:trPr>
        <w:tc>
          <w:tcPr>
            <w:tcW w:w="9322" w:type="dxa"/>
            <w:gridSpan w:val="6"/>
            <w:shd w:val="clear" w:color="auto" w:fill="auto"/>
            <w:noWrap/>
          </w:tcPr>
          <w:p w:rsidR="009F0A25" w:rsidRPr="009F0A25" w:rsidRDefault="009F0A25" w:rsidP="007730AA">
            <w:pPr>
              <w:spacing w:before="0" w:line="276" w:lineRule="auto"/>
              <w:jc w:val="left"/>
              <w:rPr>
                <w:sz w:val="20"/>
                <w:szCs w:val="20"/>
              </w:rPr>
            </w:pPr>
            <w:r w:rsidRPr="009F0A25">
              <w:rPr>
                <w:rFonts w:cs="Sylfaen"/>
                <w:sz w:val="20"/>
                <w:szCs w:val="20"/>
                <w:u w:val="single"/>
              </w:rPr>
              <w:t>ՀՆԱ-ի նկատմամբ %</w:t>
            </w:r>
          </w:p>
        </w:tc>
      </w:tr>
      <w:tr w:rsidR="009F0A25" w:rsidRPr="005D4C87" w:rsidTr="009F0A25">
        <w:trPr>
          <w:trHeight w:val="258"/>
        </w:trPr>
        <w:tc>
          <w:tcPr>
            <w:tcW w:w="0" w:type="dxa"/>
            <w:shd w:val="clear" w:color="auto" w:fill="auto"/>
            <w:noWrap/>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 xml:space="preserve">Ընթացիկ հաշիվ </w:t>
            </w:r>
          </w:p>
        </w:tc>
        <w:tc>
          <w:tcPr>
            <w:tcW w:w="0" w:type="dxa"/>
          </w:tcPr>
          <w:p w:rsidR="009F0A25" w:rsidRPr="009F0A25" w:rsidRDefault="009F0A25" w:rsidP="007730AA">
            <w:pPr>
              <w:spacing w:before="0" w:line="276" w:lineRule="auto"/>
              <w:jc w:val="right"/>
              <w:rPr>
                <w:b w:val="0"/>
                <w:sz w:val="20"/>
                <w:szCs w:val="20"/>
              </w:rPr>
            </w:pPr>
            <w:r w:rsidRPr="009F0A25">
              <w:rPr>
                <w:b w:val="0"/>
                <w:sz w:val="20"/>
                <w:szCs w:val="20"/>
              </w:rPr>
              <w:t>-1.5</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-6.9</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-7.2</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-5.9</w:t>
            </w:r>
          </w:p>
        </w:tc>
        <w:tc>
          <w:tcPr>
            <w:tcW w:w="0" w:type="dxa"/>
            <w:shd w:val="clear" w:color="auto" w:fill="D9E2F3"/>
          </w:tcPr>
          <w:p w:rsidR="009F0A25" w:rsidRPr="009F0A25" w:rsidRDefault="009F0A25" w:rsidP="007730AA">
            <w:pPr>
              <w:spacing w:before="0" w:line="276" w:lineRule="auto"/>
              <w:jc w:val="right"/>
              <w:rPr>
                <w:rFonts w:cs="Arial"/>
                <w:b w:val="0"/>
                <w:bCs/>
                <w:sz w:val="20"/>
                <w:szCs w:val="20"/>
                <w:lang w:val="en-US"/>
              </w:rPr>
            </w:pPr>
            <w:r w:rsidRPr="009F0A25">
              <w:rPr>
                <w:rFonts w:cs="Arial"/>
                <w:b w:val="0"/>
                <w:bCs/>
                <w:sz w:val="20"/>
                <w:szCs w:val="20"/>
              </w:rPr>
              <w:t>-6.</w:t>
            </w:r>
            <w:r w:rsidRPr="009F0A25">
              <w:rPr>
                <w:rFonts w:cs="Arial"/>
                <w:b w:val="0"/>
                <w:bCs/>
                <w:sz w:val="20"/>
                <w:szCs w:val="20"/>
                <w:lang w:val="en-US"/>
              </w:rPr>
              <w:t>1</w:t>
            </w:r>
          </w:p>
        </w:tc>
      </w:tr>
      <w:tr w:rsidR="009F0A25" w:rsidRPr="005D4C87" w:rsidTr="009F0A25">
        <w:trPr>
          <w:trHeight w:val="258"/>
        </w:trPr>
        <w:tc>
          <w:tcPr>
            <w:tcW w:w="0" w:type="dxa"/>
            <w:shd w:val="clear" w:color="auto" w:fill="auto"/>
            <w:noWrap/>
          </w:tcPr>
          <w:p w:rsidR="009F0A25" w:rsidRPr="009F0A25" w:rsidRDefault="009F0A25" w:rsidP="007730AA">
            <w:pPr>
              <w:spacing w:before="0" w:line="276" w:lineRule="auto"/>
              <w:ind w:firstLine="0"/>
              <w:jc w:val="left"/>
              <w:rPr>
                <w:rFonts w:cs="Sylfaen"/>
                <w:b w:val="0"/>
                <w:sz w:val="20"/>
                <w:szCs w:val="20"/>
                <w:u w:val="single"/>
              </w:rPr>
            </w:pPr>
            <w:r w:rsidRPr="009F0A25">
              <w:rPr>
                <w:rFonts w:cs="Sylfaen"/>
                <w:b w:val="0"/>
                <w:sz w:val="20"/>
                <w:szCs w:val="20"/>
              </w:rPr>
              <w:t>Ապրանքների և ծառայությունների հաշվեկշիռ</w:t>
            </w:r>
          </w:p>
        </w:tc>
        <w:tc>
          <w:tcPr>
            <w:tcW w:w="0" w:type="dxa"/>
          </w:tcPr>
          <w:p w:rsidR="009F0A25" w:rsidRPr="009F0A25" w:rsidRDefault="009F0A25" w:rsidP="007730AA">
            <w:pPr>
              <w:spacing w:before="0" w:line="276" w:lineRule="auto"/>
              <w:jc w:val="right"/>
              <w:rPr>
                <w:b w:val="0"/>
                <w:sz w:val="20"/>
                <w:szCs w:val="20"/>
              </w:rPr>
            </w:pPr>
            <w:r w:rsidRPr="009F0A25">
              <w:rPr>
                <w:b w:val="0"/>
                <w:sz w:val="20"/>
                <w:szCs w:val="20"/>
              </w:rPr>
              <w:t>-10.8</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-13.7</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-13.4</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-12.4</w:t>
            </w:r>
          </w:p>
        </w:tc>
        <w:tc>
          <w:tcPr>
            <w:tcW w:w="0"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-13.3</w:t>
            </w:r>
          </w:p>
        </w:tc>
      </w:tr>
      <w:tr w:rsidR="009F0A25" w:rsidRPr="005D4C87" w:rsidTr="009F0A25">
        <w:trPr>
          <w:trHeight w:val="258"/>
        </w:trPr>
        <w:tc>
          <w:tcPr>
            <w:tcW w:w="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Արտահանում</w:t>
            </w:r>
          </w:p>
        </w:tc>
        <w:tc>
          <w:tcPr>
            <w:tcW w:w="0" w:type="dxa"/>
          </w:tcPr>
          <w:p w:rsidR="009F0A25" w:rsidRPr="009F0A25" w:rsidRDefault="009F0A25" w:rsidP="007730AA">
            <w:pPr>
              <w:spacing w:before="0" w:line="276" w:lineRule="auto"/>
              <w:jc w:val="right"/>
              <w:rPr>
                <w:b w:val="0"/>
                <w:sz w:val="20"/>
                <w:szCs w:val="20"/>
              </w:rPr>
            </w:pPr>
            <w:r w:rsidRPr="009F0A25">
              <w:rPr>
                <w:b w:val="0"/>
                <w:sz w:val="20"/>
                <w:szCs w:val="20"/>
              </w:rPr>
              <w:t>38.2</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39.4</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41.3</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31.0</w:t>
            </w:r>
          </w:p>
        </w:tc>
        <w:tc>
          <w:tcPr>
            <w:tcW w:w="0"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33.7</w:t>
            </w:r>
          </w:p>
        </w:tc>
      </w:tr>
      <w:tr w:rsidR="009F0A25" w:rsidRPr="005D4C87" w:rsidTr="009F0A25">
        <w:trPr>
          <w:trHeight w:val="258"/>
        </w:trPr>
        <w:tc>
          <w:tcPr>
            <w:tcW w:w="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Ներմուծում</w:t>
            </w:r>
          </w:p>
        </w:tc>
        <w:tc>
          <w:tcPr>
            <w:tcW w:w="0" w:type="dxa"/>
          </w:tcPr>
          <w:p w:rsidR="009F0A25" w:rsidRPr="009F0A25" w:rsidRDefault="009F0A25" w:rsidP="007730AA">
            <w:pPr>
              <w:spacing w:before="0" w:line="276" w:lineRule="auto"/>
              <w:jc w:val="right"/>
              <w:rPr>
                <w:b w:val="0"/>
                <w:sz w:val="20"/>
                <w:szCs w:val="20"/>
              </w:rPr>
            </w:pPr>
            <w:r w:rsidRPr="009F0A25">
              <w:rPr>
                <w:b w:val="0"/>
                <w:sz w:val="20"/>
                <w:szCs w:val="20"/>
              </w:rPr>
              <w:t>49.0</w:t>
            </w:r>
          </w:p>
        </w:tc>
        <w:tc>
          <w:tcPr>
            <w:tcW w:w="0" w:type="dxa"/>
          </w:tcPr>
          <w:p w:rsidR="009F0A25" w:rsidRPr="009F0A25" w:rsidRDefault="009F0A25" w:rsidP="007730AA">
            <w:pPr>
              <w:spacing w:before="0" w:line="276" w:lineRule="auto"/>
              <w:ind w:firstLine="0"/>
              <w:jc w:val="right"/>
              <w:rPr>
                <w:b w:val="0"/>
                <w:sz w:val="20"/>
                <w:szCs w:val="20"/>
              </w:rPr>
            </w:pPr>
            <w:r w:rsidRPr="009F0A25">
              <w:rPr>
                <w:b w:val="0"/>
                <w:sz w:val="20"/>
                <w:szCs w:val="20"/>
              </w:rPr>
              <w:t>53.1</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54.7</w:t>
            </w:r>
          </w:p>
        </w:tc>
        <w:tc>
          <w:tcPr>
            <w:tcW w:w="0" w:type="dxa"/>
            <w:shd w:val="clear" w:color="auto" w:fill="D9E2F3"/>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43.4</w:t>
            </w:r>
          </w:p>
        </w:tc>
        <w:tc>
          <w:tcPr>
            <w:tcW w:w="0"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47.0</w:t>
            </w:r>
          </w:p>
        </w:tc>
      </w:tr>
      <w:tr w:rsidR="009F0A25" w:rsidRPr="005D4C87" w:rsidTr="009F0A25">
        <w:trPr>
          <w:trHeight w:val="258"/>
        </w:trPr>
        <w:tc>
          <w:tcPr>
            <w:tcW w:w="0" w:type="dxa"/>
            <w:shd w:val="clear" w:color="auto" w:fill="auto"/>
          </w:tcPr>
          <w:p w:rsidR="009F0A25" w:rsidRPr="009F0A25" w:rsidRDefault="009F0A25" w:rsidP="007730AA">
            <w:pPr>
              <w:spacing w:before="0" w:line="276" w:lineRule="auto"/>
              <w:ind w:firstLine="0"/>
              <w:rPr>
                <w:rFonts w:cs="Sylfaen"/>
                <w:b w:val="0"/>
                <w:sz w:val="20"/>
                <w:szCs w:val="20"/>
              </w:rPr>
            </w:pPr>
            <w:r w:rsidRPr="009F0A25">
              <w:rPr>
                <w:rFonts w:cs="Sylfaen"/>
                <w:b w:val="0"/>
                <w:sz w:val="20"/>
                <w:szCs w:val="20"/>
              </w:rPr>
              <w:t>Դրամական փոխանցումներ</w:t>
            </w:r>
          </w:p>
        </w:tc>
        <w:tc>
          <w:tcPr>
            <w:tcW w:w="0" w:type="dxa"/>
          </w:tcPr>
          <w:p w:rsidR="009F0A25" w:rsidRPr="009F0A25" w:rsidRDefault="009F0A25" w:rsidP="007730AA">
            <w:pPr>
              <w:spacing w:before="0" w:line="276" w:lineRule="auto"/>
              <w:jc w:val="right"/>
              <w:rPr>
                <w:b w:val="0"/>
                <w:sz w:val="20"/>
                <w:szCs w:val="20"/>
              </w:rPr>
            </w:pPr>
            <w:r w:rsidRPr="009F0A25">
              <w:rPr>
                <w:b w:val="0"/>
                <w:sz w:val="20"/>
                <w:szCs w:val="20"/>
              </w:rPr>
              <w:t>10.2</w:t>
            </w:r>
          </w:p>
        </w:tc>
        <w:tc>
          <w:tcPr>
            <w:tcW w:w="0" w:type="dxa"/>
          </w:tcPr>
          <w:p w:rsidR="009F0A25" w:rsidRPr="009F0A25" w:rsidRDefault="009F0A25" w:rsidP="007730AA">
            <w:pPr>
              <w:spacing w:before="0" w:line="276" w:lineRule="auto"/>
              <w:jc w:val="right"/>
              <w:rPr>
                <w:b w:val="0"/>
                <w:sz w:val="20"/>
                <w:szCs w:val="20"/>
              </w:rPr>
            </w:pPr>
            <w:r w:rsidRPr="009F0A25">
              <w:rPr>
                <w:b w:val="0"/>
                <w:sz w:val="20"/>
                <w:szCs w:val="20"/>
              </w:rPr>
              <w:t>9.1</w:t>
            </w:r>
          </w:p>
        </w:tc>
        <w:tc>
          <w:tcPr>
            <w:tcW w:w="0" w:type="dxa"/>
          </w:tcPr>
          <w:p w:rsidR="009F0A25" w:rsidRPr="009F0A25" w:rsidRDefault="009F0A25" w:rsidP="007730AA">
            <w:pPr>
              <w:spacing w:before="0" w:line="276" w:lineRule="auto"/>
              <w:ind w:firstLine="0"/>
              <w:jc w:val="right"/>
              <w:rPr>
                <w:rFonts w:cs="Arial"/>
                <w:b w:val="0"/>
                <w:bCs/>
                <w:sz w:val="20"/>
                <w:szCs w:val="20"/>
              </w:rPr>
            </w:pPr>
            <w:r w:rsidRPr="009F0A25">
              <w:rPr>
                <w:rFonts w:cs="Arial"/>
                <w:b w:val="0"/>
                <w:bCs/>
                <w:sz w:val="20"/>
                <w:szCs w:val="20"/>
              </w:rPr>
              <w:t>8.4</w:t>
            </w:r>
          </w:p>
        </w:tc>
        <w:tc>
          <w:tcPr>
            <w:tcW w:w="0"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9.0</w:t>
            </w:r>
          </w:p>
        </w:tc>
        <w:tc>
          <w:tcPr>
            <w:tcW w:w="0" w:type="dxa"/>
            <w:shd w:val="clear" w:color="auto" w:fill="D9E2F3"/>
          </w:tcPr>
          <w:p w:rsidR="009F0A25" w:rsidRPr="009F0A25" w:rsidRDefault="009F0A25" w:rsidP="007730AA">
            <w:pPr>
              <w:spacing w:before="0" w:line="276" w:lineRule="auto"/>
              <w:jc w:val="right"/>
              <w:rPr>
                <w:rFonts w:cs="Arial"/>
                <w:b w:val="0"/>
                <w:bCs/>
                <w:sz w:val="20"/>
                <w:szCs w:val="20"/>
              </w:rPr>
            </w:pPr>
            <w:r w:rsidRPr="009F0A25">
              <w:rPr>
                <w:rFonts w:cs="Arial"/>
                <w:b w:val="0"/>
                <w:bCs/>
                <w:sz w:val="20"/>
                <w:szCs w:val="20"/>
              </w:rPr>
              <w:t>9.5</w:t>
            </w:r>
          </w:p>
        </w:tc>
      </w:tr>
    </w:tbl>
    <w:p w:rsidR="009F0A25" w:rsidRPr="005D4C87" w:rsidRDefault="009F0A25" w:rsidP="007730AA">
      <w:pPr>
        <w:tabs>
          <w:tab w:val="right" w:pos="0"/>
        </w:tabs>
        <w:spacing w:before="0" w:line="276" w:lineRule="auto"/>
        <w:rPr>
          <w:rFonts w:cs="Times Armenian"/>
          <w:bCs/>
          <w:szCs w:val="22"/>
          <w:lang w:val="hy-AM"/>
        </w:rPr>
      </w:pPr>
    </w:p>
    <w:p w:rsidR="009F0A25" w:rsidRPr="005D4C87" w:rsidRDefault="009F0A25" w:rsidP="007730AA">
      <w:pPr>
        <w:keepNext/>
        <w:keepLines/>
        <w:spacing w:before="0" w:line="276" w:lineRule="auto"/>
        <w:outlineLvl w:val="2"/>
        <w:rPr>
          <w:b w:val="0"/>
          <w:bCs/>
          <w:color w:val="1F497D"/>
          <w:sz w:val="28"/>
          <w:szCs w:val="28"/>
          <w:lang w:val="hy-AM"/>
        </w:rPr>
      </w:pPr>
    </w:p>
    <w:p w:rsidR="009F0A25" w:rsidRPr="005D4C87" w:rsidRDefault="009F0A25" w:rsidP="007730AA">
      <w:pPr>
        <w:keepNext/>
        <w:keepLines/>
        <w:spacing w:before="0" w:line="276" w:lineRule="auto"/>
        <w:outlineLvl w:val="2"/>
        <w:rPr>
          <w:b w:val="0"/>
          <w:bCs/>
          <w:color w:val="1F497D"/>
          <w:sz w:val="28"/>
          <w:szCs w:val="28"/>
          <w:lang w:val="hy-AM"/>
        </w:rPr>
      </w:pPr>
    </w:p>
    <w:p w:rsidR="009F0A25" w:rsidRPr="005D4C87" w:rsidRDefault="009F0A25" w:rsidP="007730AA">
      <w:pPr>
        <w:spacing w:before="0" w:line="259" w:lineRule="auto"/>
        <w:rPr>
          <w:b w:val="0"/>
          <w:bCs/>
          <w:color w:val="1F497D"/>
          <w:sz w:val="28"/>
          <w:szCs w:val="28"/>
          <w:lang w:val="hy-AM"/>
        </w:rPr>
      </w:pPr>
      <w:r w:rsidRPr="005D4C87">
        <w:rPr>
          <w:bCs/>
          <w:color w:val="1F497D"/>
          <w:sz w:val="28"/>
          <w:szCs w:val="28"/>
          <w:lang w:val="hy-AM"/>
        </w:rPr>
        <w:br w:type="page"/>
      </w:r>
    </w:p>
    <w:p w:rsidR="009F0A25" w:rsidRPr="000B6441" w:rsidRDefault="009F0A25" w:rsidP="000B6441">
      <w:pPr>
        <w:keepNext/>
        <w:keepLines/>
        <w:spacing w:before="0" w:line="276" w:lineRule="auto"/>
        <w:outlineLvl w:val="2"/>
        <w:rPr>
          <w:bCs/>
          <w:sz w:val="28"/>
          <w:szCs w:val="28"/>
          <w:lang w:val="hy-AM"/>
        </w:rPr>
      </w:pPr>
      <w:bookmarkStart w:id="76" w:name="_Toc51947413"/>
      <w:bookmarkStart w:id="77" w:name="_Toc52452086"/>
      <w:bookmarkStart w:id="78" w:name="_Toc57559413"/>
      <w:bookmarkStart w:id="79" w:name="_Toc57655446"/>
      <w:r w:rsidRPr="000B6441">
        <w:rPr>
          <w:bCs/>
          <w:sz w:val="28"/>
          <w:szCs w:val="28"/>
          <w:lang w:val="hy-AM"/>
        </w:rPr>
        <w:t>1.2. ՀԱՄԱՇԽԱՐՀԱՅԻՆ ՏՆՏԵՍՈՒԹՅԱՆ ԵՎ ԳՈՐԾԸՆԿԵՐ ԵՐԿՐՆԵՐԻ ԶԱՐԳԱՑՈՒՄՆԵՐ ԵՎ ԿԱՆԽԱՏԵՍՈՒՄՆԵՐ</w:t>
      </w:r>
      <w:bookmarkEnd w:id="76"/>
      <w:bookmarkEnd w:id="77"/>
      <w:bookmarkEnd w:id="78"/>
      <w:bookmarkEnd w:id="79"/>
    </w:p>
    <w:p w:rsidR="00993526" w:rsidRPr="00033370" w:rsidRDefault="009F0A25" w:rsidP="00005BEA">
      <w:pPr>
        <w:spacing w:before="0" w:line="276" w:lineRule="auto"/>
        <w:rPr>
          <w:rFonts w:cs="Sylfaen"/>
          <w:b w:val="0"/>
          <w:szCs w:val="22"/>
          <w:lang w:val="hy-AM"/>
        </w:rPr>
      </w:pPr>
      <w:r w:rsidRPr="005D4C87">
        <w:rPr>
          <w:rFonts w:eastAsia="Calibri"/>
          <w:szCs w:val="22"/>
          <w:lang w:val="hy-AM"/>
        </w:rPr>
        <w:t>Կորոնավիրուսի համավարակի (COVID-19) հետևանքով համաշխարհային տնտեսությունն ապրում է այնպիսի անկում, որը չի դիտվել 1930-ականների «Մեծ Դեպրեսիայից» ի վեր</w:t>
      </w:r>
      <w:r w:rsidRPr="005D4C87">
        <w:rPr>
          <w:rFonts w:cs="Courier New"/>
          <w:szCs w:val="22"/>
          <w:lang w:val="hy-AM"/>
        </w:rPr>
        <w:t xml:space="preserve">: </w:t>
      </w:r>
      <w:r w:rsidRPr="009F0A25">
        <w:rPr>
          <w:rFonts w:cs="Courier New"/>
          <w:b w:val="0"/>
          <w:szCs w:val="22"/>
          <w:lang w:val="hy-AM"/>
        </w:rPr>
        <w:t xml:space="preserve">Համավարակը խաթարել է </w:t>
      </w:r>
      <w:r w:rsidRPr="009F0A25">
        <w:rPr>
          <w:rFonts w:eastAsia="Calibri"/>
          <w:b w:val="0"/>
          <w:szCs w:val="22"/>
          <w:lang w:val="hy-AM"/>
        </w:rPr>
        <w:t>համաշխարհային տնտեսության բնականոն զարգացումն</w:t>
      </w:r>
      <w:r w:rsidRPr="009F0A25">
        <w:rPr>
          <w:rFonts w:cs="Sylfaen"/>
          <w:b w:val="0"/>
          <w:szCs w:val="22"/>
          <w:lang w:val="hy-AM"/>
        </w:rPr>
        <w:t xml:space="preserve"> ինչպես</w:t>
      </w:r>
      <w:r w:rsidRPr="009F0A25">
        <w:rPr>
          <w:rFonts w:cs="Courier New"/>
          <w:b w:val="0"/>
          <w:szCs w:val="22"/>
          <w:lang w:val="hy-AM"/>
        </w:rPr>
        <w:t xml:space="preserve"> </w:t>
      </w:r>
      <w:r w:rsidRPr="009F0A25">
        <w:rPr>
          <w:rFonts w:cs="Sylfaen"/>
          <w:b w:val="0"/>
          <w:szCs w:val="22"/>
          <w:lang w:val="hy-AM"/>
        </w:rPr>
        <w:t>զարգացած</w:t>
      </w:r>
      <w:r w:rsidRPr="009F0A25">
        <w:rPr>
          <w:rFonts w:cs="Courier New"/>
          <w:b w:val="0"/>
          <w:szCs w:val="22"/>
          <w:lang w:val="hy-AM"/>
        </w:rPr>
        <w:t xml:space="preserve">, </w:t>
      </w:r>
      <w:r w:rsidRPr="009F0A25">
        <w:rPr>
          <w:rFonts w:cs="Sylfaen"/>
          <w:b w:val="0"/>
          <w:szCs w:val="22"/>
          <w:lang w:val="hy-AM"/>
        </w:rPr>
        <w:t>այնպես</w:t>
      </w:r>
      <w:r w:rsidRPr="009F0A25">
        <w:rPr>
          <w:rFonts w:cs="Courier New"/>
          <w:b w:val="0"/>
          <w:szCs w:val="22"/>
          <w:lang w:val="hy-AM"/>
        </w:rPr>
        <w:t xml:space="preserve"> </w:t>
      </w:r>
      <w:r w:rsidRPr="009F0A25">
        <w:rPr>
          <w:rFonts w:cs="Sylfaen"/>
          <w:b w:val="0"/>
          <w:szCs w:val="22"/>
          <w:lang w:val="hy-AM"/>
        </w:rPr>
        <w:t>էլ</w:t>
      </w:r>
      <w:r w:rsidRPr="009F0A25">
        <w:rPr>
          <w:rFonts w:cs="Courier New"/>
          <w:b w:val="0"/>
          <w:szCs w:val="22"/>
          <w:lang w:val="hy-AM"/>
        </w:rPr>
        <w:t xml:space="preserve"> </w:t>
      </w:r>
      <w:r w:rsidRPr="009F0A25">
        <w:rPr>
          <w:rFonts w:cs="Sylfaen"/>
          <w:b w:val="0"/>
          <w:szCs w:val="22"/>
          <w:lang w:val="hy-AM"/>
        </w:rPr>
        <w:t>զարգացող երկրներում</w:t>
      </w:r>
      <w:r w:rsidRPr="009F0A25">
        <w:rPr>
          <w:rFonts w:eastAsia="Calibri"/>
          <w:b w:val="0"/>
          <w:szCs w:val="22"/>
          <w:lang w:val="hy-AM"/>
        </w:rPr>
        <w:t xml:space="preserve">՝ հանգեցնելով ամբողջ աշխարհում առողջապահական և տնտեսական ճգնաժամի։ </w:t>
      </w:r>
      <w:r w:rsidRPr="009F0A25">
        <w:rPr>
          <w:rFonts w:cs="Sylfaen"/>
          <w:b w:val="0"/>
          <w:szCs w:val="22"/>
          <w:lang w:val="hy-AM"/>
        </w:rPr>
        <w:t>ԱՄՀ-ի</w:t>
      </w:r>
      <w:r w:rsidRPr="009F0A25">
        <w:rPr>
          <w:rFonts w:cs="Courier New"/>
          <w:b w:val="0"/>
          <w:szCs w:val="22"/>
          <w:lang w:val="hy-AM"/>
        </w:rPr>
        <w:t xml:space="preserve"> հոկտեմբերի </w:t>
      </w:r>
      <w:r w:rsidRPr="009F0A25">
        <w:rPr>
          <w:rFonts w:cs="Sylfaen"/>
          <w:b w:val="0"/>
          <w:szCs w:val="22"/>
          <w:lang w:val="hy-AM"/>
        </w:rPr>
        <w:t xml:space="preserve">գնահատականներով </w:t>
      </w:r>
      <w:r w:rsidRPr="009F0A25">
        <w:rPr>
          <w:rFonts w:cs="Courier New"/>
          <w:b w:val="0"/>
          <w:szCs w:val="22"/>
          <w:lang w:val="hy-AM"/>
        </w:rPr>
        <w:t xml:space="preserve">2020թ. համաշխարհային տնտեսական անկումը </w:t>
      </w:r>
      <w:r w:rsidRPr="009F0A25">
        <w:rPr>
          <w:rFonts w:cs="Sylfaen"/>
          <w:b w:val="0"/>
          <w:szCs w:val="22"/>
          <w:lang w:val="hy-AM"/>
        </w:rPr>
        <w:t xml:space="preserve">կկազմի 4.4%, որը հունիսի կանխատեսումների համեմատ վերանայվել է դրական ուղղությամբ՝  պայմանավորված շատ երկրների սպասվածից ավելի լավ զարգացումներով: Վերանայումների համաձայն </w:t>
      </w:r>
      <w:r w:rsidRPr="009F0A25">
        <w:rPr>
          <w:rFonts w:cs="Courier New"/>
          <w:b w:val="0"/>
          <w:szCs w:val="22"/>
          <w:lang w:val="hy-AM"/>
        </w:rPr>
        <w:t>ՀՀ հիմնական գործընկեր երկրներում նույնպես</w:t>
      </w:r>
      <w:r w:rsidRPr="009F0A25" w:rsidDel="00B2442F">
        <w:rPr>
          <w:rFonts w:cs="Courier New"/>
          <w:b w:val="0"/>
          <w:szCs w:val="22"/>
          <w:lang w:val="hy-AM"/>
        </w:rPr>
        <w:t xml:space="preserve"> </w:t>
      </w:r>
      <w:r w:rsidRPr="009F0A25">
        <w:rPr>
          <w:rFonts w:cs="Courier New"/>
          <w:b w:val="0"/>
          <w:szCs w:val="22"/>
          <w:lang w:val="hy-AM"/>
        </w:rPr>
        <w:t>անկումը կլինի ավելի մեղմ. 2020թ. ՌԴ-ում կանխատեսվում է 4.1% անկում, Եվրոգոտում՝ -8.3, ԱՄՆ-ում՝ -4.3, իսկ Չինաստանում կանխատեսվում է 1.9% աճ: Այդուհանդերձ, կորոնավիրուսի</w:t>
      </w:r>
      <w:r w:rsidRPr="009F0A25">
        <w:rPr>
          <w:rFonts w:eastAsia="Calibri" w:cs="Sylfaen"/>
          <w:b w:val="0"/>
          <w:szCs w:val="22"/>
          <w:lang w:val="hy-AM"/>
        </w:rPr>
        <w:t xml:space="preserve"> համավարակի երկրորդ ալիքի հետ կապված անորոշությունները պահպանվում եմ:</w:t>
      </w:r>
      <w:r w:rsidRPr="009F0A25" w:rsidDel="00325FEF">
        <w:rPr>
          <w:rFonts w:cs="Sylfaen"/>
          <w:b w:val="0"/>
          <w:szCs w:val="22"/>
          <w:lang w:val="hy-AM"/>
        </w:rPr>
        <w:t xml:space="preserve"> </w:t>
      </w:r>
      <w:r w:rsidRPr="009F0A25">
        <w:rPr>
          <w:rFonts w:cs="Sylfaen"/>
          <w:b w:val="0"/>
          <w:szCs w:val="22"/>
          <w:lang w:val="hy-AM"/>
        </w:rPr>
        <w:t>Համաշխարհային ՀՆԱ-ի մակարդակի 2021թ. ընթացքում վերականգնման գնահատականների հետ մեկտեղ՝ ինչպես համաշխարհային տնտեսության, այնպես էլ ՀՀ հիմնական գործընկեր երկրների տնտեսական աճերի 2021թ. կանխատեսումները հունիսի կանխատեսումների համեմ</w:t>
      </w:r>
      <w:r w:rsidR="00005BEA">
        <w:rPr>
          <w:rFonts w:cs="Sylfaen"/>
          <w:b w:val="0"/>
          <w:szCs w:val="22"/>
          <w:lang w:val="hy-AM"/>
        </w:rPr>
        <w:t>ատ վերանայվել են դեպի ներքև</w:t>
      </w:r>
    </w:p>
    <w:p w:rsidR="00993526" w:rsidRPr="00646BCB" w:rsidRDefault="00993526" w:rsidP="00646BCB">
      <w:pPr>
        <w:keepNext/>
        <w:keepLines/>
        <w:spacing w:before="0" w:line="276" w:lineRule="auto"/>
        <w:rPr>
          <w:rFonts w:cs="Sylfaen"/>
          <w:bCs/>
          <w:i/>
          <w:color w:val="000000"/>
          <w:szCs w:val="22"/>
          <w:lang w:val="hy-AM"/>
        </w:rPr>
      </w:pPr>
      <w:r w:rsidRPr="00646BCB">
        <w:rPr>
          <w:rFonts w:cs="Sylfaen"/>
          <w:bCs/>
          <w:i/>
          <w:color w:val="000000"/>
          <w:szCs w:val="22"/>
          <w:lang w:val="hy-AM"/>
        </w:rPr>
        <w:t xml:space="preserve">Աղյուսակ 1.2. </w:t>
      </w:r>
      <w:r w:rsidRPr="00646BCB">
        <w:rPr>
          <w:rFonts w:cs="Sylfaen"/>
          <w:b w:val="0"/>
          <w:bCs/>
          <w:i/>
          <w:color w:val="000000"/>
          <w:szCs w:val="22"/>
          <w:lang w:val="hy-AM"/>
        </w:rPr>
        <w:t>ԱՄՀ կանխատեսումներ</w:t>
      </w:r>
    </w:p>
    <w:tbl>
      <w:tblPr>
        <w:tblpPr w:leftFromText="180" w:rightFromText="180" w:vertAnchor="text" w:horzAnchor="margin" w:tblpY="40"/>
        <w:tblW w:w="921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592"/>
        <w:gridCol w:w="857"/>
        <w:gridCol w:w="835"/>
        <w:gridCol w:w="833"/>
        <w:gridCol w:w="889"/>
        <w:gridCol w:w="835"/>
        <w:gridCol w:w="836"/>
        <w:gridCol w:w="830"/>
        <w:gridCol w:w="889"/>
        <w:gridCol w:w="823"/>
      </w:tblGrid>
      <w:tr w:rsidR="001378BB" w:rsidRPr="005D4C87" w:rsidTr="001378BB">
        <w:trPr>
          <w:trHeight w:val="284"/>
        </w:trPr>
        <w:tc>
          <w:tcPr>
            <w:tcW w:w="1592" w:type="dxa"/>
            <w:tcBorders>
              <w:top w:val="single" w:sz="4" w:space="0" w:color="4472C4"/>
              <w:left w:val="single" w:sz="4" w:space="0" w:color="4472C4"/>
              <w:bottom w:val="single" w:sz="4" w:space="0" w:color="4472C4"/>
              <w:right w:val="nil"/>
            </w:tcBorders>
            <w:shd w:val="clear" w:color="auto" w:fill="4472C4"/>
          </w:tcPr>
          <w:p w:rsidR="001378BB" w:rsidRPr="005D4C87" w:rsidRDefault="001378BB" w:rsidP="001378BB">
            <w:pPr>
              <w:spacing w:before="0" w:line="276" w:lineRule="auto"/>
              <w:rPr>
                <w:rFonts w:eastAsia="Calibri" w:cs="Sylfaen"/>
                <w:b w:val="0"/>
                <w:bCs/>
                <w:color w:val="FFFFFF"/>
                <w:sz w:val="16"/>
                <w:szCs w:val="16"/>
                <w:lang w:val="hy-AM"/>
              </w:rPr>
            </w:pPr>
          </w:p>
        </w:tc>
        <w:tc>
          <w:tcPr>
            <w:tcW w:w="857" w:type="dxa"/>
            <w:tcBorders>
              <w:top w:val="single" w:sz="4" w:space="0" w:color="4472C4"/>
              <w:left w:val="nil"/>
              <w:bottom w:val="single" w:sz="4" w:space="0" w:color="4472C4"/>
              <w:right w:val="nil"/>
            </w:tcBorders>
            <w:shd w:val="clear" w:color="auto" w:fill="4472C4"/>
          </w:tcPr>
          <w:p w:rsidR="001378BB" w:rsidRPr="00882B34" w:rsidRDefault="001378BB" w:rsidP="001378BB">
            <w:pPr>
              <w:spacing w:before="0" w:line="276" w:lineRule="auto"/>
              <w:ind w:firstLine="0"/>
              <w:jc w:val="center"/>
              <w:rPr>
                <w:rFonts w:eastAsia="Calibri" w:cs="Sylfaen"/>
                <w:b w:val="0"/>
                <w:bCs/>
                <w:color w:val="FFFFFF"/>
                <w:sz w:val="20"/>
                <w:szCs w:val="20"/>
                <w:lang w:val="hy-AM"/>
              </w:rPr>
            </w:pPr>
            <w:r w:rsidRPr="00882B34">
              <w:rPr>
                <w:rFonts w:eastAsia="Calibri"/>
                <w:bCs/>
                <w:color w:val="FFFFFF"/>
                <w:sz w:val="20"/>
                <w:szCs w:val="20"/>
                <w:lang w:val="hy-AM"/>
              </w:rPr>
              <w:t>2019</w:t>
            </w:r>
          </w:p>
        </w:tc>
        <w:tc>
          <w:tcPr>
            <w:tcW w:w="3392" w:type="dxa"/>
            <w:gridSpan w:val="4"/>
            <w:tcBorders>
              <w:top w:val="single" w:sz="4" w:space="0" w:color="4472C4"/>
              <w:left w:val="nil"/>
              <w:bottom w:val="single" w:sz="4" w:space="0" w:color="4472C4"/>
              <w:right w:val="nil"/>
            </w:tcBorders>
            <w:shd w:val="clear" w:color="auto" w:fill="4472C4"/>
          </w:tcPr>
          <w:p w:rsidR="001378BB" w:rsidRPr="00882B34" w:rsidRDefault="001378BB" w:rsidP="001378BB">
            <w:pPr>
              <w:spacing w:before="0" w:line="276" w:lineRule="auto"/>
              <w:ind w:firstLine="0"/>
              <w:jc w:val="center"/>
              <w:rPr>
                <w:rFonts w:eastAsia="Calibri"/>
                <w:b w:val="0"/>
                <w:bCs/>
                <w:sz w:val="20"/>
                <w:szCs w:val="20"/>
                <w:lang w:val="hy-AM"/>
              </w:rPr>
            </w:pPr>
            <w:r w:rsidRPr="00882B34">
              <w:rPr>
                <w:rFonts w:eastAsia="Calibri"/>
                <w:bCs/>
                <w:color w:val="FFFFFF"/>
                <w:sz w:val="20"/>
                <w:szCs w:val="20"/>
                <w:lang w:val="hy-AM"/>
              </w:rPr>
              <w:t>2020 թ.-ի կանխատեսում</w:t>
            </w:r>
          </w:p>
        </w:tc>
        <w:tc>
          <w:tcPr>
            <w:tcW w:w="3378" w:type="dxa"/>
            <w:gridSpan w:val="4"/>
            <w:tcBorders>
              <w:top w:val="single" w:sz="4" w:space="0" w:color="4472C4"/>
              <w:left w:val="nil"/>
              <w:bottom w:val="single" w:sz="4" w:space="0" w:color="4472C4"/>
              <w:right w:val="single" w:sz="4" w:space="0" w:color="4472C4"/>
            </w:tcBorders>
            <w:shd w:val="clear" w:color="auto" w:fill="4472C4"/>
          </w:tcPr>
          <w:p w:rsidR="001378BB" w:rsidRPr="00882B34" w:rsidRDefault="001378BB" w:rsidP="001378BB">
            <w:pPr>
              <w:spacing w:before="0" w:line="276" w:lineRule="auto"/>
              <w:ind w:firstLine="0"/>
              <w:jc w:val="center"/>
              <w:rPr>
                <w:rFonts w:eastAsia="Calibri"/>
                <w:b w:val="0"/>
                <w:bCs/>
                <w:sz w:val="20"/>
                <w:szCs w:val="20"/>
                <w:lang w:val="hy-AM"/>
              </w:rPr>
            </w:pPr>
            <w:r w:rsidRPr="00882B34">
              <w:rPr>
                <w:rFonts w:eastAsia="Calibri"/>
                <w:bCs/>
                <w:color w:val="FFFFFF"/>
                <w:sz w:val="20"/>
                <w:szCs w:val="20"/>
                <w:lang w:val="hy-AM"/>
              </w:rPr>
              <w:t>2021 թ.-ի կանխատեսում</w:t>
            </w:r>
          </w:p>
        </w:tc>
      </w:tr>
      <w:tr w:rsidR="001378BB" w:rsidRPr="005D4C87" w:rsidTr="001378BB">
        <w:trPr>
          <w:trHeight w:val="536"/>
        </w:trPr>
        <w:tc>
          <w:tcPr>
            <w:tcW w:w="1592" w:type="dxa"/>
            <w:shd w:val="clear" w:color="auto" w:fill="D9E2F3"/>
            <w:vAlign w:val="center"/>
          </w:tcPr>
          <w:p w:rsidR="001378BB" w:rsidRPr="005D4C87" w:rsidRDefault="001378BB" w:rsidP="001378BB">
            <w:pPr>
              <w:spacing w:before="0" w:line="276" w:lineRule="auto"/>
              <w:jc w:val="center"/>
              <w:rPr>
                <w:rFonts w:eastAsia="Calibri" w:cs="Sylfaen"/>
                <w:b w:val="0"/>
                <w:bCs/>
                <w:sz w:val="16"/>
                <w:szCs w:val="16"/>
                <w:lang w:val="hy-AM"/>
              </w:rPr>
            </w:pPr>
          </w:p>
        </w:tc>
        <w:tc>
          <w:tcPr>
            <w:tcW w:w="857"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Փաստ</w:t>
            </w:r>
          </w:p>
        </w:tc>
        <w:tc>
          <w:tcPr>
            <w:tcW w:w="835"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2020 Հունվ.</w:t>
            </w:r>
          </w:p>
        </w:tc>
        <w:tc>
          <w:tcPr>
            <w:tcW w:w="833"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2020 Ապրիլ</w:t>
            </w:r>
          </w:p>
        </w:tc>
        <w:tc>
          <w:tcPr>
            <w:tcW w:w="889"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2020 Հունիս</w:t>
            </w:r>
          </w:p>
        </w:tc>
        <w:tc>
          <w:tcPr>
            <w:tcW w:w="835"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rPr>
              <w:t xml:space="preserve">2020 </w:t>
            </w:r>
            <w:r w:rsidRPr="00033C8B">
              <w:rPr>
                <w:rFonts w:eastAsia="Calibri"/>
                <w:b w:val="0"/>
                <w:sz w:val="20"/>
                <w:szCs w:val="20"/>
                <w:lang w:val="hy-AM"/>
              </w:rPr>
              <w:t>Հոկտ.</w:t>
            </w:r>
          </w:p>
        </w:tc>
        <w:tc>
          <w:tcPr>
            <w:tcW w:w="836"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2020 Հունվ.</w:t>
            </w:r>
          </w:p>
        </w:tc>
        <w:tc>
          <w:tcPr>
            <w:tcW w:w="830"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w:t>
            </w:r>
            <w:r w:rsidRPr="00033C8B">
              <w:rPr>
                <w:rFonts w:eastAsia="Calibri"/>
                <w:b w:val="0"/>
                <w:sz w:val="20"/>
                <w:szCs w:val="20"/>
              </w:rPr>
              <w:t>020 Ապրիլ</w:t>
            </w:r>
          </w:p>
        </w:tc>
        <w:tc>
          <w:tcPr>
            <w:tcW w:w="889"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rPr>
            </w:pPr>
            <w:r w:rsidRPr="00033C8B">
              <w:rPr>
                <w:rFonts w:eastAsia="Calibri"/>
                <w:b w:val="0"/>
                <w:sz w:val="20"/>
                <w:szCs w:val="20"/>
              </w:rPr>
              <w:t>2020</w:t>
            </w:r>
            <w:r w:rsidRPr="00033C8B">
              <w:rPr>
                <w:rFonts w:eastAsia="Calibri"/>
                <w:b w:val="0"/>
                <w:sz w:val="20"/>
                <w:szCs w:val="20"/>
                <w:lang w:val="en-US"/>
              </w:rPr>
              <w:t xml:space="preserve"> </w:t>
            </w:r>
            <w:r w:rsidRPr="00033C8B">
              <w:rPr>
                <w:rFonts w:eastAsia="Calibri"/>
                <w:b w:val="0"/>
                <w:sz w:val="20"/>
                <w:szCs w:val="20"/>
              </w:rPr>
              <w:t>Հունիս</w:t>
            </w:r>
          </w:p>
        </w:tc>
        <w:tc>
          <w:tcPr>
            <w:tcW w:w="823" w:type="dxa"/>
            <w:shd w:val="clear" w:color="auto" w:fill="D9E2F3"/>
            <w:vAlign w:val="center"/>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2020 Հոկտ.</w:t>
            </w:r>
          </w:p>
        </w:tc>
      </w:tr>
      <w:tr w:rsidR="001378BB" w:rsidRPr="005D4C87" w:rsidTr="001378BB">
        <w:trPr>
          <w:trHeight w:val="15"/>
        </w:trPr>
        <w:tc>
          <w:tcPr>
            <w:tcW w:w="1592" w:type="dxa"/>
            <w:shd w:val="clear" w:color="auto" w:fill="auto"/>
          </w:tcPr>
          <w:p w:rsidR="001378BB" w:rsidRPr="005D4C87" w:rsidRDefault="001378BB" w:rsidP="001378BB">
            <w:pPr>
              <w:spacing w:before="0" w:line="276" w:lineRule="auto"/>
              <w:ind w:firstLine="0"/>
              <w:jc w:val="left"/>
              <w:rPr>
                <w:rFonts w:eastAsia="Calibri" w:cs="Sylfaen"/>
                <w:b w:val="0"/>
                <w:bCs/>
                <w:sz w:val="16"/>
                <w:szCs w:val="16"/>
              </w:rPr>
            </w:pPr>
            <w:r w:rsidRPr="005D4C87">
              <w:rPr>
                <w:rFonts w:eastAsia="Calibri"/>
                <w:bCs/>
                <w:color w:val="000000"/>
                <w:sz w:val="16"/>
                <w:szCs w:val="16"/>
              </w:rPr>
              <w:t>Աշխարհ</w:t>
            </w:r>
            <w:r w:rsidRPr="005D4C87">
              <w:rPr>
                <w:rFonts w:eastAsia="Calibri"/>
                <w:bCs/>
                <w:color w:val="000000"/>
                <w:sz w:val="16"/>
                <w:szCs w:val="16"/>
                <w:lang w:val="hy-AM"/>
              </w:rPr>
              <w:t xml:space="preserve">ի տնտեսական աճ, </w:t>
            </w:r>
            <w:r w:rsidRPr="005D4C87">
              <w:rPr>
                <w:rFonts w:eastAsia="Calibri"/>
                <w:bCs/>
                <w:color w:val="000000"/>
                <w:sz w:val="16"/>
                <w:szCs w:val="16"/>
              </w:rPr>
              <w:t>%</w:t>
            </w:r>
          </w:p>
        </w:tc>
        <w:tc>
          <w:tcPr>
            <w:tcW w:w="857"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2.</w:t>
            </w:r>
            <w:r w:rsidRPr="00033C8B">
              <w:rPr>
                <w:rFonts w:eastAsia="Calibri"/>
                <w:b w:val="0"/>
                <w:sz w:val="20"/>
                <w:szCs w:val="20"/>
                <w:lang w:val="hy-AM"/>
              </w:rPr>
              <w:t>8</w:t>
            </w:r>
          </w:p>
        </w:tc>
        <w:tc>
          <w:tcPr>
            <w:tcW w:w="835"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3.3</w:t>
            </w:r>
          </w:p>
        </w:tc>
        <w:tc>
          <w:tcPr>
            <w:tcW w:w="833"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–3.0</w:t>
            </w:r>
          </w:p>
        </w:tc>
        <w:tc>
          <w:tcPr>
            <w:tcW w:w="889"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–4.9</w:t>
            </w:r>
          </w:p>
        </w:tc>
        <w:tc>
          <w:tcPr>
            <w:tcW w:w="835" w:type="dxa"/>
            <w:shd w:val="clear" w:color="auto" w:fill="auto"/>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cs="Sylfaen"/>
                <w:b w:val="0"/>
                <w:sz w:val="20"/>
                <w:szCs w:val="20"/>
                <w:lang w:val="hy-AM"/>
              </w:rPr>
              <w:t>-4.4</w:t>
            </w:r>
          </w:p>
        </w:tc>
        <w:tc>
          <w:tcPr>
            <w:tcW w:w="836"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3.4</w:t>
            </w:r>
          </w:p>
        </w:tc>
        <w:tc>
          <w:tcPr>
            <w:tcW w:w="830"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5.8</w:t>
            </w:r>
          </w:p>
        </w:tc>
        <w:tc>
          <w:tcPr>
            <w:tcW w:w="889"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5.4</w:t>
            </w:r>
          </w:p>
        </w:tc>
        <w:tc>
          <w:tcPr>
            <w:tcW w:w="823"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5.2</w:t>
            </w:r>
          </w:p>
        </w:tc>
      </w:tr>
      <w:tr w:rsidR="001378BB" w:rsidRPr="005D4C87" w:rsidTr="001378BB">
        <w:trPr>
          <w:trHeight w:val="283"/>
        </w:trPr>
        <w:tc>
          <w:tcPr>
            <w:tcW w:w="1592" w:type="dxa"/>
            <w:shd w:val="clear" w:color="auto" w:fill="D9E2F3"/>
          </w:tcPr>
          <w:p w:rsidR="001378BB" w:rsidRPr="005D4C87" w:rsidRDefault="001378BB" w:rsidP="001378BB">
            <w:pPr>
              <w:spacing w:before="0" w:line="276" w:lineRule="auto"/>
              <w:ind w:firstLine="0"/>
              <w:jc w:val="left"/>
              <w:rPr>
                <w:rFonts w:eastAsia="Calibri" w:cs="Sylfaen"/>
                <w:b w:val="0"/>
                <w:bCs/>
                <w:sz w:val="16"/>
                <w:szCs w:val="16"/>
              </w:rPr>
            </w:pPr>
            <w:r w:rsidRPr="005D4C87">
              <w:rPr>
                <w:rFonts w:eastAsia="Calibri"/>
                <w:bCs/>
                <w:sz w:val="16"/>
                <w:szCs w:val="16"/>
              </w:rPr>
              <w:t>ՌԴ</w:t>
            </w:r>
          </w:p>
        </w:tc>
        <w:tc>
          <w:tcPr>
            <w:tcW w:w="857"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1.3</w:t>
            </w:r>
          </w:p>
        </w:tc>
        <w:tc>
          <w:tcPr>
            <w:tcW w:w="835" w:type="dxa"/>
            <w:shd w:val="clear" w:color="auto" w:fill="D9E2F3"/>
          </w:tcPr>
          <w:p w:rsidR="001378BB" w:rsidRPr="00033C8B" w:rsidRDefault="001378BB" w:rsidP="001378BB">
            <w:pPr>
              <w:spacing w:before="0" w:line="276" w:lineRule="auto"/>
              <w:ind w:firstLine="0"/>
              <w:jc w:val="center"/>
              <w:rPr>
                <w:rFonts w:eastAsia="Calibri"/>
                <w:b w:val="0"/>
                <w:sz w:val="20"/>
                <w:szCs w:val="20"/>
              </w:rPr>
            </w:pPr>
            <w:r w:rsidRPr="00033C8B">
              <w:rPr>
                <w:rFonts w:eastAsia="Calibri"/>
                <w:b w:val="0"/>
                <w:sz w:val="20"/>
                <w:szCs w:val="20"/>
              </w:rPr>
              <w:t>1.9</w:t>
            </w:r>
          </w:p>
        </w:tc>
        <w:tc>
          <w:tcPr>
            <w:tcW w:w="833"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–5.5</w:t>
            </w:r>
          </w:p>
        </w:tc>
        <w:tc>
          <w:tcPr>
            <w:tcW w:w="889"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–6.6</w:t>
            </w:r>
          </w:p>
        </w:tc>
        <w:tc>
          <w:tcPr>
            <w:tcW w:w="835" w:type="dxa"/>
            <w:shd w:val="clear" w:color="auto" w:fill="D9E2F3"/>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cs="Sylfaen"/>
                <w:b w:val="0"/>
                <w:sz w:val="20"/>
                <w:szCs w:val="20"/>
                <w:lang w:val="hy-AM"/>
              </w:rPr>
              <w:t>-4.1</w:t>
            </w:r>
          </w:p>
        </w:tc>
        <w:tc>
          <w:tcPr>
            <w:tcW w:w="836" w:type="dxa"/>
            <w:shd w:val="clear" w:color="auto" w:fill="D9E2F3"/>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w:t>
            </w:r>
          </w:p>
        </w:tc>
        <w:tc>
          <w:tcPr>
            <w:tcW w:w="830"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3.5</w:t>
            </w:r>
          </w:p>
        </w:tc>
        <w:tc>
          <w:tcPr>
            <w:tcW w:w="889"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4.1</w:t>
            </w:r>
          </w:p>
        </w:tc>
        <w:tc>
          <w:tcPr>
            <w:tcW w:w="823" w:type="dxa"/>
            <w:shd w:val="clear" w:color="auto" w:fill="D9E2F3"/>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2.8</w:t>
            </w:r>
          </w:p>
        </w:tc>
      </w:tr>
      <w:tr w:rsidR="001378BB" w:rsidRPr="005D4C87" w:rsidTr="001378BB">
        <w:trPr>
          <w:trHeight w:val="376"/>
        </w:trPr>
        <w:tc>
          <w:tcPr>
            <w:tcW w:w="1592" w:type="dxa"/>
            <w:shd w:val="clear" w:color="auto" w:fill="auto"/>
          </w:tcPr>
          <w:p w:rsidR="001378BB" w:rsidRPr="005D4C87" w:rsidRDefault="001378BB" w:rsidP="001378BB">
            <w:pPr>
              <w:spacing w:before="0" w:line="276" w:lineRule="auto"/>
              <w:ind w:firstLine="0"/>
              <w:jc w:val="left"/>
              <w:rPr>
                <w:rFonts w:eastAsia="Calibri" w:cs="Sylfaen"/>
                <w:b w:val="0"/>
                <w:bCs/>
                <w:sz w:val="16"/>
                <w:szCs w:val="16"/>
              </w:rPr>
            </w:pPr>
            <w:r w:rsidRPr="005D4C87">
              <w:rPr>
                <w:rFonts w:eastAsia="Calibri"/>
                <w:bCs/>
                <w:color w:val="000000"/>
                <w:sz w:val="16"/>
                <w:szCs w:val="16"/>
              </w:rPr>
              <w:t>Եվրոգոտի</w:t>
            </w:r>
          </w:p>
        </w:tc>
        <w:tc>
          <w:tcPr>
            <w:tcW w:w="857"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1.</w:t>
            </w:r>
            <w:r w:rsidRPr="00033C8B">
              <w:rPr>
                <w:rFonts w:eastAsia="Calibri"/>
                <w:b w:val="0"/>
                <w:sz w:val="20"/>
                <w:szCs w:val="20"/>
                <w:lang w:val="hy-AM"/>
              </w:rPr>
              <w:t>3</w:t>
            </w:r>
          </w:p>
        </w:tc>
        <w:tc>
          <w:tcPr>
            <w:tcW w:w="835"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1.3</w:t>
            </w:r>
          </w:p>
        </w:tc>
        <w:tc>
          <w:tcPr>
            <w:tcW w:w="833"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–7.5</w:t>
            </w:r>
          </w:p>
        </w:tc>
        <w:tc>
          <w:tcPr>
            <w:tcW w:w="889"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–10.2</w:t>
            </w:r>
          </w:p>
        </w:tc>
        <w:tc>
          <w:tcPr>
            <w:tcW w:w="835" w:type="dxa"/>
            <w:shd w:val="clear" w:color="auto" w:fill="auto"/>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cs="Sylfaen"/>
                <w:b w:val="0"/>
                <w:sz w:val="20"/>
                <w:szCs w:val="20"/>
                <w:lang w:val="hy-AM"/>
              </w:rPr>
              <w:t>-8.3</w:t>
            </w:r>
          </w:p>
        </w:tc>
        <w:tc>
          <w:tcPr>
            <w:tcW w:w="836"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1.4</w:t>
            </w:r>
          </w:p>
        </w:tc>
        <w:tc>
          <w:tcPr>
            <w:tcW w:w="830"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4.7</w:t>
            </w:r>
          </w:p>
        </w:tc>
        <w:tc>
          <w:tcPr>
            <w:tcW w:w="889"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6.0</w:t>
            </w:r>
          </w:p>
        </w:tc>
        <w:tc>
          <w:tcPr>
            <w:tcW w:w="823"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5.2</w:t>
            </w:r>
          </w:p>
        </w:tc>
      </w:tr>
      <w:tr w:rsidR="001378BB" w:rsidRPr="005D4C87" w:rsidTr="001378BB">
        <w:trPr>
          <w:trHeight w:val="285"/>
        </w:trPr>
        <w:tc>
          <w:tcPr>
            <w:tcW w:w="1592" w:type="dxa"/>
            <w:shd w:val="clear" w:color="auto" w:fill="D9E2F3"/>
          </w:tcPr>
          <w:p w:rsidR="001378BB" w:rsidRPr="005D4C87" w:rsidRDefault="001378BB" w:rsidP="001378BB">
            <w:pPr>
              <w:spacing w:before="0" w:line="276" w:lineRule="auto"/>
              <w:ind w:firstLine="0"/>
              <w:jc w:val="left"/>
              <w:rPr>
                <w:rFonts w:eastAsia="Calibri" w:cs="Sylfaen"/>
                <w:b w:val="0"/>
                <w:bCs/>
                <w:sz w:val="16"/>
                <w:szCs w:val="16"/>
              </w:rPr>
            </w:pPr>
            <w:r w:rsidRPr="005D4C87">
              <w:rPr>
                <w:rFonts w:eastAsia="Calibri"/>
                <w:bCs/>
                <w:color w:val="000000"/>
                <w:sz w:val="16"/>
                <w:szCs w:val="16"/>
              </w:rPr>
              <w:t>Չինաստան</w:t>
            </w:r>
          </w:p>
        </w:tc>
        <w:tc>
          <w:tcPr>
            <w:tcW w:w="857"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6.1</w:t>
            </w:r>
          </w:p>
        </w:tc>
        <w:tc>
          <w:tcPr>
            <w:tcW w:w="835" w:type="dxa"/>
            <w:shd w:val="clear" w:color="auto" w:fill="D9E2F3"/>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5.6</w:t>
            </w:r>
          </w:p>
        </w:tc>
        <w:tc>
          <w:tcPr>
            <w:tcW w:w="833"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1.2</w:t>
            </w:r>
          </w:p>
        </w:tc>
        <w:tc>
          <w:tcPr>
            <w:tcW w:w="889"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1.0</w:t>
            </w:r>
          </w:p>
        </w:tc>
        <w:tc>
          <w:tcPr>
            <w:tcW w:w="835" w:type="dxa"/>
            <w:shd w:val="clear" w:color="auto" w:fill="D9E2F3"/>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cs="Sylfaen"/>
                <w:b w:val="0"/>
                <w:sz w:val="20"/>
                <w:szCs w:val="20"/>
                <w:lang w:val="hy-AM"/>
              </w:rPr>
              <w:t>1.9</w:t>
            </w:r>
          </w:p>
        </w:tc>
        <w:tc>
          <w:tcPr>
            <w:tcW w:w="836" w:type="dxa"/>
            <w:shd w:val="clear" w:color="auto" w:fill="D9E2F3"/>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5.8</w:t>
            </w:r>
          </w:p>
        </w:tc>
        <w:tc>
          <w:tcPr>
            <w:tcW w:w="830"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9.2</w:t>
            </w:r>
          </w:p>
        </w:tc>
        <w:tc>
          <w:tcPr>
            <w:tcW w:w="889"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8.2</w:t>
            </w:r>
          </w:p>
        </w:tc>
        <w:tc>
          <w:tcPr>
            <w:tcW w:w="823" w:type="dxa"/>
            <w:shd w:val="clear" w:color="auto" w:fill="D9E2F3"/>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8.2</w:t>
            </w:r>
          </w:p>
        </w:tc>
      </w:tr>
      <w:tr w:rsidR="001378BB" w:rsidRPr="005D4C87" w:rsidTr="001378BB">
        <w:trPr>
          <w:trHeight w:val="249"/>
        </w:trPr>
        <w:tc>
          <w:tcPr>
            <w:tcW w:w="1592" w:type="dxa"/>
            <w:shd w:val="clear" w:color="auto" w:fill="auto"/>
          </w:tcPr>
          <w:p w:rsidR="001378BB" w:rsidRPr="005D4C87" w:rsidRDefault="001378BB" w:rsidP="001378BB">
            <w:pPr>
              <w:spacing w:before="0" w:line="276" w:lineRule="auto"/>
              <w:ind w:firstLine="0"/>
              <w:jc w:val="left"/>
              <w:rPr>
                <w:rFonts w:eastAsia="Calibri" w:cs="Sylfaen"/>
                <w:b w:val="0"/>
                <w:bCs/>
                <w:sz w:val="16"/>
                <w:szCs w:val="16"/>
              </w:rPr>
            </w:pPr>
            <w:r w:rsidRPr="005D4C87">
              <w:rPr>
                <w:rFonts w:eastAsia="Calibri"/>
                <w:bCs/>
                <w:color w:val="000000"/>
                <w:sz w:val="16"/>
                <w:szCs w:val="16"/>
              </w:rPr>
              <w:t>ԱՄՆ</w:t>
            </w:r>
          </w:p>
        </w:tc>
        <w:tc>
          <w:tcPr>
            <w:tcW w:w="857"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2.</w:t>
            </w:r>
            <w:r w:rsidRPr="00033C8B">
              <w:rPr>
                <w:rFonts w:eastAsia="Calibri"/>
                <w:b w:val="0"/>
                <w:sz w:val="20"/>
                <w:szCs w:val="20"/>
                <w:lang w:val="hy-AM"/>
              </w:rPr>
              <w:t>2</w:t>
            </w:r>
          </w:p>
        </w:tc>
        <w:tc>
          <w:tcPr>
            <w:tcW w:w="835"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2.0</w:t>
            </w:r>
          </w:p>
        </w:tc>
        <w:tc>
          <w:tcPr>
            <w:tcW w:w="833"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–5.9</w:t>
            </w:r>
          </w:p>
        </w:tc>
        <w:tc>
          <w:tcPr>
            <w:tcW w:w="889"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–8.0</w:t>
            </w:r>
          </w:p>
        </w:tc>
        <w:tc>
          <w:tcPr>
            <w:tcW w:w="835" w:type="dxa"/>
            <w:shd w:val="clear" w:color="auto" w:fill="auto"/>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cs="Sylfaen"/>
                <w:b w:val="0"/>
                <w:sz w:val="20"/>
                <w:szCs w:val="20"/>
                <w:lang w:val="hy-AM"/>
              </w:rPr>
              <w:t>-4.3</w:t>
            </w:r>
          </w:p>
        </w:tc>
        <w:tc>
          <w:tcPr>
            <w:tcW w:w="836"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1.7</w:t>
            </w:r>
          </w:p>
        </w:tc>
        <w:tc>
          <w:tcPr>
            <w:tcW w:w="830"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4.7</w:t>
            </w:r>
          </w:p>
        </w:tc>
        <w:tc>
          <w:tcPr>
            <w:tcW w:w="889" w:type="dxa"/>
            <w:shd w:val="clear" w:color="auto" w:fill="auto"/>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4.5</w:t>
            </w:r>
          </w:p>
        </w:tc>
        <w:tc>
          <w:tcPr>
            <w:tcW w:w="823" w:type="dxa"/>
            <w:shd w:val="clear" w:color="auto" w:fill="auto"/>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3.1</w:t>
            </w:r>
          </w:p>
        </w:tc>
      </w:tr>
      <w:tr w:rsidR="001378BB" w:rsidRPr="005D4C87" w:rsidTr="001378BB">
        <w:trPr>
          <w:trHeight w:val="15"/>
        </w:trPr>
        <w:tc>
          <w:tcPr>
            <w:tcW w:w="1592" w:type="dxa"/>
            <w:shd w:val="clear" w:color="auto" w:fill="D9E2F3"/>
          </w:tcPr>
          <w:p w:rsidR="001378BB" w:rsidRPr="005D4C87" w:rsidRDefault="001378BB" w:rsidP="001378BB">
            <w:pPr>
              <w:spacing w:before="0" w:line="276" w:lineRule="auto"/>
              <w:ind w:firstLine="0"/>
              <w:jc w:val="left"/>
              <w:rPr>
                <w:rFonts w:eastAsia="Calibri" w:cs="Sylfaen"/>
                <w:b w:val="0"/>
                <w:bCs/>
                <w:sz w:val="16"/>
                <w:szCs w:val="16"/>
              </w:rPr>
            </w:pPr>
            <w:r w:rsidRPr="005D4C87">
              <w:rPr>
                <w:rFonts w:eastAsia="Calibri"/>
                <w:bCs/>
                <w:color w:val="000000"/>
                <w:sz w:val="16"/>
                <w:szCs w:val="16"/>
              </w:rPr>
              <w:t>Համաշխարհային առևտ</w:t>
            </w:r>
            <w:r w:rsidRPr="005D4C87">
              <w:rPr>
                <w:rFonts w:eastAsia="Calibri"/>
                <w:bCs/>
                <w:color w:val="000000"/>
                <w:sz w:val="16"/>
                <w:szCs w:val="16"/>
                <w:lang w:val="hy-AM"/>
              </w:rPr>
              <w:t xml:space="preserve">րի աճ, </w:t>
            </w:r>
            <w:r w:rsidRPr="005D4C87">
              <w:rPr>
                <w:rFonts w:eastAsia="Calibri"/>
                <w:bCs/>
                <w:color w:val="000000"/>
                <w:sz w:val="16"/>
                <w:szCs w:val="16"/>
              </w:rPr>
              <w:t>%</w:t>
            </w:r>
          </w:p>
        </w:tc>
        <w:tc>
          <w:tcPr>
            <w:tcW w:w="857" w:type="dxa"/>
            <w:shd w:val="clear" w:color="auto" w:fill="D9E2F3"/>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b w:val="0"/>
                <w:sz w:val="20"/>
                <w:szCs w:val="20"/>
                <w:lang w:val="hy-AM"/>
              </w:rPr>
              <w:t>1.0</w:t>
            </w:r>
          </w:p>
        </w:tc>
        <w:tc>
          <w:tcPr>
            <w:tcW w:w="835" w:type="dxa"/>
            <w:shd w:val="clear" w:color="auto" w:fill="D9E2F3"/>
          </w:tcPr>
          <w:p w:rsidR="001378BB" w:rsidRPr="00033C8B" w:rsidRDefault="001378BB" w:rsidP="001378BB">
            <w:pPr>
              <w:spacing w:before="0" w:line="276" w:lineRule="auto"/>
              <w:ind w:firstLine="0"/>
              <w:jc w:val="center"/>
              <w:rPr>
                <w:rFonts w:eastAsia="Calibri"/>
                <w:b w:val="0"/>
                <w:sz w:val="20"/>
                <w:szCs w:val="20"/>
              </w:rPr>
            </w:pPr>
            <w:r w:rsidRPr="00033C8B">
              <w:rPr>
                <w:rFonts w:eastAsia="Calibri"/>
                <w:b w:val="0"/>
                <w:sz w:val="20"/>
                <w:szCs w:val="20"/>
              </w:rPr>
              <w:t>2.9</w:t>
            </w:r>
          </w:p>
        </w:tc>
        <w:tc>
          <w:tcPr>
            <w:tcW w:w="833"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lang w:val="hy-AM"/>
              </w:rPr>
              <w:t>-</w:t>
            </w:r>
            <w:r w:rsidRPr="00033C8B">
              <w:rPr>
                <w:rFonts w:eastAsia="Calibri"/>
                <w:b w:val="0"/>
                <w:sz w:val="20"/>
                <w:szCs w:val="20"/>
              </w:rPr>
              <w:t>11.0</w:t>
            </w:r>
          </w:p>
        </w:tc>
        <w:tc>
          <w:tcPr>
            <w:tcW w:w="889"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-11.9</w:t>
            </w:r>
          </w:p>
        </w:tc>
        <w:tc>
          <w:tcPr>
            <w:tcW w:w="835" w:type="dxa"/>
            <w:shd w:val="clear" w:color="auto" w:fill="D9E2F3"/>
          </w:tcPr>
          <w:p w:rsidR="001378BB" w:rsidRPr="00033C8B" w:rsidRDefault="001378BB" w:rsidP="001378BB">
            <w:pPr>
              <w:spacing w:before="0" w:line="276" w:lineRule="auto"/>
              <w:ind w:firstLine="0"/>
              <w:jc w:val="center"/>
              <w:rPr>
                <w:rFonts w:eastAsia="Calibri" w:cs="Sylfaen"/>
                <w:b w:val="0"/>
                <w:sz w:val="20"/>
                <w:szCs w:val="20"/>
                <w:lang w:val="hy-AM"/>
              </w:rPr>
            </w:pPr>
            <w:r w:rsidRPr="00033C8B">
              <w:rPr>
                <w:rFonts w:eastAsia="Calibri" w:cs="Sylfaen"/>
                <w:b w:val="0"/>
                <w:sz w:val="20"/>
                <w:szCs w:val="20"/>
                <w:lang w:val="hy-AM"/>
              </w:rPr>
              <w:t>-10.4</w:t>
            </w:r>
          </w:p>
        </w:tc>
        <w:tc>
          <w:tcPr>
            <w:tcW w:w="836" w:type="dxa"/>
            <w:shd w:val="clear" w:color="auto" w:fill="D9E2F3"/>
          </w:tcPr>
          <w:p w:rsidR="001378BB" w:rsidRPr="00033C8B" w:rsidRDefault="001378BB" w:rsidP="001378BB">
            <w:pPr>
              <w:spacing w:before="0" w:line="276" w:lineRule="auto"/>
              <w:ind w:firstLine="0"/>
              <w:jc w:val="center"/>
              <w:rPr>
                <w:rFonts w:eastAsia="Calibri"/>
                <w:b w:val="0"/>
                <w:sz w:val="20"/>
                <w:szCs w:val="20"/>
              </w:rPr>
            </w:pPr>
            <w:r w:rsidRPr="00033C8B">
              <w:rPr>
                <w:rFonts w:eastAsia="Calibri"/>
                <w:b w:val="0"/>
                <w:sz w:val="20"/>
                <w:szCs w:val="20"/>
              </w:rPr>
              <w:t>3.7</w:t>
            </w:r>
          </w:p>
        </w:tc>
        <w:tc>
          <w:tcPr>
            <w:tcW w:w="830"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8.4</w:t>
            </w:r>
          </w:p>
        </w:tc>
        <w:tc>
          <w:tcPr>
            <w:tcW w:w="889" w:type="dxa"/>
            <w:shd w:val="clear" w:color="auto" w:fill="D9E2F3"/>
          </w:tcPr>
          <w:p w:rsidR="001378BB" w:rsidRPr="00033C8B" w:rsidRDefault="001378BB" w:rsidP="001378BB">
            <w:pPr>
              <w:spacing w:before="0" w:line="276" w:lineRule="auto"/>
              <w:ind w:firstLine="0"/>
              <w:jc w:val="center"/>
              <w:rPr>
                <w:rFonts w:eastAsia="Calibri" w:cs="Sylfaen"/>
                <w:b w:val="0"/>
                <w:sz w:val="20"/>
                <w:szCs w:val="20"/>
              </w:rPr>
            </w:pPr>
            <w:r w:rsidRPr="00033C8B">
              <w:rPr>
                <w:rFonts w:eastAsia="Calibri"/>
                <w:b w:val="0"/>
                <w:sz w:val="20"/>
                <w:szCs w:val="20"/>
              </w:rPr>
              <w:t>8.0</w:t>
            </w:r>
          </w:p>
        </w:tc>
        <w:tc>
          <w:tcPr>
            <w:tcW w:w="823" w:type="dxa"/>
            <w:shd w:val="clear" w:color="auto" w:fill="D9E2F3"/>
          </w:tcPr>
          <w:p w:rsidR="001378BB" w:rsidRPr="00033C8B" w:rsidRDefault="001378BB" w:rsidP="001378BB">
            <w:pPr>
              <w:spacing w:before="0" w:line="276" w:lineRule="auto"/>
              <w:ind w:firstLine="0"/>
              <w:jc w:val="center"/>
              <w:rPr>
                <w:rFonts w:eastAsia="Calibri"/>
                <w:b w:val="0"/>
                <w:sz w:val="20"/>
                <w:szCs w:val="20"/>
                <w:lang w:val="hy-AM"/>
              </w:rPr>
            </w:pPr>
            <w:r w:rsidRPr="00033C8B">
              <w:rPr>
                <w:rFonts w:eastAsia="Calibri"/>
                <w:b w:val="0"/>
                <w:sz w:val="20"/>
                <w:szCs w:val="20"/>
                <w:lang w:val="hy-AM"/>
              </w:rPr>
              <w:t>8.3</w:t>
            </w:r>
          </w:p>
        </w:tc>
      </w:tr>
    </w:tbl>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1378BB" w:rsidRDefault="001378BB" w:rsidP="00DE6C7D">
      <w:pPr>
        <w:spacing w:before="0" w:line="276" w:lineRule="auto"/>
        <w:rPr>
          <w:rFonts w:cs="Sylfaen"/>
          <w:i/>
          <w:sz w:val="16"/>
          <w:szCs w:val="16"/>
          <w:lang w:val="en-US"/>
        </w:rPr>
      </w:pPr>
    </w:p>
    <w:p w:rsidR="00DE6C7D" w:rsidRDefault="009F0A25" w:rsidP="00DE6C7D">
      <w:pPr>
        <w:spacing w:before="0" w:line="276" w:lineRule="auto"/>
        <w:rPr>
          <w:rFonts w:cs="Sylfaen"/>
          <w:i/>
          <w:sz w:val="16"/>
          <w:szCs w:val="16"/>
          <w:lang w:val="hy-AM"/>
        </w:rPr>
      </w:pPr>
      <w:r w:rsidRPr="005D4C87">
        <w:rPr>
          <w:rFonts w:cs="Sylfaen"/>
          <w:i/>
          <w:sz w:val="16"/>
          <w:szCs w:val="16"/>
        </w:rPr>
        <w:t>Աղբյուրը</w:t>
      </w:r>
      <w:r w:rsidRPr="009F0A25">
        <w:rPr>
          <w:rFonts w:cs="Sylfaen"/>
          <w:i/>
          <w:sz w:val="16"/>
          <w:szCs w:val="16"/>
          <w:lang w:val="en-US"/>
        </w:rPr>
        <w:t xml:space="preserve">` </w:t>
      </w:r>
      <w:r w:rsidRPr="005D4C87">
        <w:rPr>
          <w:rFonts w:cs="Sylfaen"/>
          <w:i/>
          <w:sz w:val="16"/>
          <w:szCs w:val="16"/>
          <w:lang w:val="hy-AM"/>
        </w:rPr>
        <w:t>ԱՄՀ «</w:t>
      </w:r>
      <w:r w:rsidRPr="009F0A25">
        <w:rPr>
          <w:rFonts w:cs="Sylfaen"/>
          <w:i/>
          <w:sz w:val="16"/>
          <w:szCs w:val="16"/>
          <w:lang w:val="en-US"/>
        </w:rPr>
        <w:t>World Economic Outlook</w:t>
      </w:r>
      <w:r w:rsidRPr="005D4C87">
        <w:rPr>
          <w:rFonts w:cs="Sylfaen"/>
          <w:i/>
          <w:sz w:val="16"/>
          <w:szCs w:val="16"/>
          <w:lang w:val="hy-AM"/>
        </w:rPr>
        <w:t>»</w:t>
      </w:r>
    </w:p>
    <w:p w:rsidR="00DE6C7D" w:rsidRPr="00005BEA" w:rsidRDefault="00DE6C7D" w:rsidP="00DE6C7D">
      <w:pPr>
        <w:spacing w:before="0" w:line="276" w:lineRule="auto"/>
        <w:rPr>
          <w:rFonts w:cs="Sylfaen"/>
          <w:i/>
          <w:sz w:val="16"/>
          <w:szCs w:val="16"/>
          <w:lang w:val="hy-AM"/>
        </w:rPr>
      </w:pPr>
    </w:p>
    <w:p w:rsidR="009F0A25" w:rsidRPr="00033C8B" w:rsidRDefault="009F0A25" w:rsidP="007730AA">
      <w:pPr>
        <w:spacing w:before="0" w:line="276" w:lineRule="auto"/>
        <w:rPr>
          <w:rFonts w:eastAsia="Calibri"/>
          <w:b w:val="0"/>
          <w:szCs w:val="22"/>
          <w:lang w:val="hy-AM"/>
        </w:rPr>
      </w:pPr>
      <w:r w:rsidRPr="005D4C87">
        <w:rPr>
          <w:rFonts w:eastAsia="Calibri"/>
          <w:color w:val="000000"/>
          <w:szCs w:val="22"/>
          <w:lang w:val="hy-AM"/>
        </w:rPr>
        <w:t>Հումքային ապրանքների համաշխարհային գները կտրուկ նվազում են</w:t>
      </w:r>
      <w:r w:rsidRPr="005D4C87">
        <w:rPr>
          <w:rFonts w:eastAsia="Calibri"/>
          <w:szCs w:val="22"/>
          <w:lang w:val="hy-AM"/>
        </w:rPr>
        <w:t xml:space="preserve">։ </w:t>
      </w:r>
      <w:r w:rsidRPr="00033C8B">
        <w:rPr>
          <w:rFonts w:eastAsia="Calibri"/>
          <w:b w:val="0"/>
          <w:szCs w:val="22"/>
          <w:lang w:val="hy-AM"/>
        </w:rPr>
        <w:t>Համավարակով պայմանավորված ամբողջ աշխարհում պահանջարկի անկումը, անորոշության բարձրացումը և նավթի շուկայում հիմնական խաղացողների միջև տարաձայնությունները հանգեցրել են նավթի գների նվազման, սակայն պղնձի միջազգային գները խոր անկումից հետո տարվա երկրորդ կեսից սկսել են արագ տեմպերով վերականգնվել: 2020թ. հունվար-հոկտեմբեր ամիսներին նավթի միջազգային գները նվազել են 35.2%-ով, պղնձի գները՝ 1.6%-ով: Վերջին կանխատեսումներով (Բլումբերգ, 2020թ. նոյեմբեր) 2020թ. նավթի բորսային գները կնվազեն 36.7%-ով, իսկ պղնձի գները կաճեն 3.2%</w:t>
      </w:r>
      <w:r w:rsidRPr="00033C8B">
        <w:rPr>
          <w:rFonts w:eastAsia="Calibri"/>
          <w:b w:val="0"/>
          <w:szCs w:val="22"/>
          <w:lang w:val="hy-AM"/>
        </w:rPr>
        <w:noBreakHyphen/>
        <w:t>ով, ընդ որում՝ 2021թ. նավթի գները նույնպես կսկսեն վերականգնվել:</w:t>
      </w:r>
    </w:p>
    <w:p w:rsidR="00033C8B" w:rsidRPr="00033C8B" w:rsidRDefault="009F0A25" w:rsidP="00005BEA">
      <w:pPr>
        <w:spacing w:before="0" w:line="276" w:lineRule="auto"/>
        <w:rPr>
          <w:rFonts w:eastAsia="Calibri"/>
          <w:b w:val="0"/>
          <w:szCs w:val="22"/>
          <w:lang w:val="hy-AM"/>
        </w:rPr>
      </w:pPr>
      <w:r w:rsidRPr="005D4C87">
        <w:rPr>
          <w:rFonts w:eastAsia="Calibri"/>
          <w:szCs w:val="22"/>
          <w:lang w:val="hy-AM"/>
        </w:rPr>
        <w:t>Զարգացող երկրներում ազգային արժույթները թուլ</w:t>
      </w:r>
      <w:r>
        <w:rPr>
          <w:rFonts w:eastAsia="Calibri"/>
          <w:szCs w:val="22"/>
          <w:lang w:val="hy-AM"/>
        </w:rPr>
        <w:t>ացել են</w:t>
      </w:r>
      <w:r w:rsidRPr="005D4C87">
        <w:rPr>
          <w:rFonts w:eastAsia="Calibri"/>
          <w:szCs w:val="22"/>
          <w:lang w:val="hy-AM"/>
        </w:rPr>
        <w:t>, իսկ երկրների ռիսկի հավելավճարները</w:t>
      </w:r>
      <w:r w:rsidRPr="000E6B55">
        <w:rPr>
          <w:rFonts w:eastAsia="Calibri"/>
          <w:szCs w:val="22"/>
          <w:lang w:val="hy-AM"/>
        </w:rPr>
        <w:t>՝</w:t>
      </w:r>
      <w:r w:rsidRPr="005D4C87">
        <w:rPr>
          <w:rFonts w:eastAsia="Calibri"/>
          <w:szCs w:val="22"/>
          <w:lang w:val="hy-AM"/>
        </w:rPr>
        <w:t xml:space="preserve"> բարձ</w:t>
      </w:r>
      <w:r>
        <w:rPr>
          <w:rFonts w:eastAsia="Calibri"/>
          <w:szCs w:val="22"/>
          <w:lang w:val="hy-AM"/>
        </w:rPr>
        <w:t>րացել</w:t>
      </w:r>
      <w:r w:rsidRPr="005D4C87">
        <w:rPr>
          <w:rFonts w:eastAsia="Calibri"/>
          <w:szCs w:val="22"/>
          <w:lang w:val="hy-AM"/>
        </w:rPr>
        <w:t>:</w:t>
      </w:r>
      <w:r w:rsidRPr="005D4C87" w:rsidDel="00F227B8">
        <w:rPr>
          <w:rFonts w:eastAsia="Calibri"/>
          <w:szCs w:val="22"/>
          <w:lang w:val="hy-AM"/>
        </w:rPr>
        <w:t xml:space="preserve"> </w:t>
      </w:r>
      <w:r w:rsidRPr="00033C8B">
        <w:rPr>
          <w:rFonts w:eastAsia="Calibri"/>
          <w:b w:val="0"/>
          <w:szCs w:val="22"/>
          <w:lang w:val="hy-AM"/>
        </w:rPr>
        <w:t>Համավարակն իր բացասական ազդեցությունն է թողել նաև միջազգային ֆինանսական շուկաների վրա, երկրների միջև առևտրային սահմանափակումները, ներդրումային միջավայրի բարձր անորոշությունը թուլացրել են զարգացող երկրների ազգային արժույթները և բարձրացրել երկրների ռիսկի հավելավճարները</w:t>
      </w:r>
      <w:r w:rsidRPr="00033C8B">
        <w:rPr>
          <w:rStyle w:val="FootnoteReference"/>
          <w:rFonts w:eastAsia="Calibri"/>
          <w:b w:val="0"/>
          <w:sz w:val="22"/>
          <w:szCs w:val="22"/>
          <w:lang w:val="hy-AM"/>
        </w:rPr>
        <w:footnoteReference w:id="2"/>
      </w:r>
      <w:r w:rsidRPr="00033C8B">
        <w:rPr>
          <w:rFonts w:eastAsia="Calibri"/>
          <w:b w:val="0"/>
          <w:szCs w:val="22"/>
          <w:lang w:val="hy-AM"/>
        </w:rPr>
        <w:t>։</w:t>
      </w:r>
    </w:p>
    <w:p w:rsidR="009F0A25" w:rsidRPr="005D4C87" w:rsidRDefault="009F0A25" w:rsidP="007730AA">
      <w:pPr>
        <w:keepNext/>
        <w:keepLines/>
        <w:spacing w:before="0" w:line="276" w:lineRule="auto"/>
        <w:rPr>
          <w:rFonts w:eastAsia="Calibri"/>
          <w:b w:val="0"/>
          <w:color w:val="000000"/>
          <w:szCs w:val="22"/>
          <w:lang w:val="hy-AM"/>
        </w:rPr>
      </w:pPr>
      <w:r w:rsidRPr="005D4C87">
        <w:rPr>
          <w:rFonts w:eastAsia="Calibri"/>
          <w:color w:val="000000"/>
          <w:szCs w:val="22"/>
          <w:lang w:val="hy-AM"/>
        </w:rPr>
        <w:t>Միջազգային տնտեսական և ֆինանսական զարգացումները և կանխատեսումները</w:t>
      </w:r>
    </w:p>
    <w:tbl>
      <w:tblPr>
        <w:tblStyle w:val="TableGrid2214"/>
        <w:tblW w:w="10173" w:type="dxa"/>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4A0" w:firstRow="1" w:lastRow="0" w:firstColumn="1" w:lastColumn="0" w:noHBand="0" w:noVBand="1"/>
      </w:tblPr>
      <w:tblGrid>
        <w:gridCol w:w="5070"/>
        <w:gridCol w:w="5103"/>
      </w:tblGrid>
      <w:tr w:rsidR="009F0A25" w:rsidRPr="00BD0C63" w:rsidTr="009F0A25">
        <w:trPr>
          <w:trHeight w:val="3820"/>
        </w:trPr>
        <w:tc>
          <w:tcPr>
            <w:tcW w:w="5070" w:type="dxa"/>
          </w:tcPr>
          <w:p w:rsidR="009F0A25" w:rsidRPr="00005BEA" w:rsidRDefault="009F0A25" w:rsidP="00005BEA">
            <w:pPr>
              <w:spacing w:before="0" w:line="240" w:lineRule="auto"/>
              <w:ind w:firstLine="0"/>
              <w:jc w:val="left"/>
              <w:rPr>
                <w:b w:val="0"/>
                <w:bCs/>
                <w:i/>
                <w:sz w:val="18"/>
                <w:szCs w:val="18"/>
                <w:lang w:val="hy-AM"/>
              </w:rPr>
            </w:pPr>
            <w:r w:rsidRPr="00005BEA">
              <w:rPr>
                <w:bCs/>
                <w:i/>
                <w:sz w:val="18"/>
                <w:szCs w:val="18"/>
                <w:lang w:val="hy-AM"/>
              </w:rPr>
              <w:t>Գծապատկեր 1.1</w:t>
            </w:r>
            <w:r w:rsidRPr="00005BEA">
              <w:rPr>
                <w:b w:val="0"/>
                <w:bCs/>
                <w:i/>
                <w:sz w:val="18"/>
                <w:szCs w:val="18"/>
                <w:lang w:val="hy-AM"/>
              </w:rPr>
              <w:t xml:space="preserve"> Համաշխարհային ամենախոր </w:t>
            </w:r>
          </w:p>
          <w:p w:rsidR="009F0A25" w:rsidRPr="00005BEA" w:rsidRDefault="009F0A25" w:rsidP="00005BEA">
            <w:pPr>
              <w:spacing w:before="0" w:line="240" w:lineRule="auto"/>
              <w:ind w:firstLine="0"/>
              <w:jc w:val="left"/>
              <w:rPr>
                <w:b w:val="0"/>
                <w:bCs/>
                <w:i/>
                <w:sz w:val="18"/>
                <w:szCs w:val="18"/>
                <w:lang w:val="hy-AM"/>
              </w:rPr>
            </w:pPr>
            <w:r w:rsidRPr="00005BEA">
              <w:rPr>
                <w:b w:val="0"/>
                <w:bCs/>
                <w:i/>
                <w:sz w:val="18"/>
                <w:szCs w:val="18"/>
                <w:lang w:val="hy-AM"/>
              </w:rPr>
              <w:t xml:space="preserve">անկումը «Մեծ Դեպրեսիայից» հետո և թույլ </w:t>
            </w:r>
          </w:p>
          <w:p w:rsidR="009F0A25" w:rsidRPr="005D4C87" w:rsidRDefault="009F0A25" w:rsidP="00005BEA">
            <w:pPr>
              <w:spacing w:before="0" w:line="240" w:lineRule="auto"/>
              <w:ind w:firstLine="0"/>
              <w:jc w:val="left"/>
              <w:rPr>
                <w:bCs/>
                <w:i/>
                <w:lang w:val="hy-AM"/>
              </w:rPr>
            </w:pPr>
            <w:r w:rsidRPr="00005BEA">
              <w:rPr>
                <w:b w:val="0"/>
                <w:i/>
                <w:noProof/>
                <w:sz w:val="18"/>
                <w:szCs w:val="18"/>
                <w:lang w:val="en-US" w:eastAsia="en-US"/>
              </w:rPr>
              <w:drawing>
                <wp:anchor distT="0" distB="0" distL="114300" distR="114300" simplePos="0" relativeHeight="251733504" behindDoc="1" locked="0" layoutInCell="1" allowOverlap="1">
                  <wp:simplePos x="0" y="0"/>
                  <wp:positionH relativeFrom="column">
                    <wp:posOffset>-7620</wp:posOffset>
                  </wp:positionH>
                  <wp:positionV relativeFrom="paragraph">
                    <wp:posOffset>191770</wp:posOffset>
                  </wp:positionV>
                  <wp:extent cx="3133725" cy="1800225"/>
                  <wp:effectExtent l="0" t="0" r="9525" b="9525"/>
                  <wp:wrapTight wrapText="bothSides">
                    <wp:wrapPolygon edited="0">
                      <wp:start x="0" y="0"/>
                      <wp:lineTo x="0" y="21486"/>
                      <wp:lineTo x="21534" y="21486"/>
                      <wp:lineTo x="21534" y="0"/>
                      <wp:lineTo x="0" y="0"/>
                    </wp:wrapPolygon>
                  </wp:wrapTight>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005BEA">
              <w:rPr>
                <w:b w:val="0"/>
                <w:bCs/>
                <w:i/>
                <w:sz w:val="18"/>
                <w:szCs w:val="18"/>
                <w:lang w:val="hy-AM"/>
              </w:rPr>
              <w:t>վերականգնումը հաջորդ տարի, տնտեսական աճեր</w:t>
            </w:r>
          </w:p>
          <w:p w:rsidR="009F0A25" w:rsidRPr="00005BEA" w:rsidRDefault="009F0A25" w:rsidP="00005BEA">
            <w:pPr>
              <w:spacing w:before="0" w:line="240" w:lineRule="auto"/>
              <w:ind w:firstLine="0"/>
              <w:rPr>
                <w:b w:val="0"/>
                <w:i/>
                <w:sz w:val="16"/>
                <w:szCs w:val="16"/>
                <w:lang w:val="hy-AM"/>
              </w:rPr>
            </w:pPr>
            <w:r w:rsidRPr="005D4C87">
              <w:rPr>
                <w:i/>
                <w:sz w:val="16"/>
                <w:szCs w:val="16"/>
                <w:lang w:val="hy-AM"/>
              </w:rPr>
              <w:t xml:space="preserve"> </w:t>
            </w:r>
            <w:r w:rsidRPr="00005BEA">
              <w:rPr>
                <w:b w:val="0"/>
                <w:i/>
                <w:sz w:val="16"/>
                <w:szCs w:val="16"/>
                <w:lang w:val="hy-AM"/>
              </w:rPr>
              <w:t>Աղբյուրը՝ ԱՄՀ</w:t>
            </w:r>
          </w:p>
        </w:tc>
        <w:tc>
          <w:tcPr>
            <w:tcW w:w="5103" w:type="dxa"/>
          </w:tcPr>
          <w:p w:rsidR="009F0A25" w:rsidRPr="005D4C87" w:rsidRDefault="009F0A25" w:rsidP="00005BEA">
            <w:pPr>
              <w:spacing w:before="0" w:line="240" w:lineRule="auto"/>
              <w:ind w:firstLine="0"/>
              <w:rPr>
                <w:bCs/>
                <w:i/>
                <w:sz w:val="18"/>
                <w:szCs w:val="18"/>
                <w:lang w:val="hy-AM"/>
              </w:rPr>
            </w:pPr>
            <w:r w:rsidRPr="005D4C87">
              <w:rPr>
                <w:bCs/>
                <w:i/>
                <w:sz w:val="18"/>
                <w:szCs w:val="18"/>
                <w:lang w:val="hy-AM"/>
              </w:rPr>
              <w:t xml:space="preserve">Գծապատկեր 1.2 </w:t>
            </w:r>
            <w:r w:rsidRPr="00005BEA">
              <w:rPr>
                <w:b w:val="0"/>
                <w:bCs/>
                <w:i/>
                <w:sz w:val="18"/>
                <w:szCs w:val="18"/>
                <w:lang w:val="hy-AM"/>
              </w:rPr>
              <w:t>Հումքային ապրանքների գների դինամիկան</w:t>
            </w:r>
          </w:p>
          <w:p w:rsidR="009F0A25" w:rsidRPr="005D4C87" w:rsidRDefault="009F0A25" w:rsidP="00005BEA">
            <w:pPr>
              <w:spacing w:before="0" w:line="240" w:lineRule="auto"/>
              <w:rPr>
                <w:bCs/>
                <w:i/>
                <w:sz w:val="18"/>
                <w:szCs w:val="18"/>
                <w:lang w:val="hy-AM"/>
              </w:rPr>
            </w:pPr>
            <w:r w:rsidRPr="005D4C87">
              <w:rPr>
                <w:b w:val="0"/>
                <w:noProof/>
                <w:lang w:val="en-US" w:eastAsia="en-US"/>
              </w:rPr>
              <w:drawing>
                <wp:anchor distT="0" distB="0" distL="114300" distR="114300" simplePos="0" relativeHeight="251735552" behindDoc="1" locked="0" layoutInCell="1" allowOverlap="1">
                  <wp:simplePos x="0" y="0"/>
                  <wp:positionH relativeFrom="column">
                    <wp:posOffset>-64135</wp:posOffset>
                  </wp:positionH>
                  <wp:positionV relativeFrom="paragraph">
                    <wp:posOffset>182245</wp:posOffset>
                  </wp:positionV>
                  <wp:extent cx="3171825" cy="1800225"/>
                  <wp:effectExtent l="0" t="0" r="9525" b="9525"/>
                  <wp:wrapTight wrapText="bothSides">
                    <wp:wrapPolygon edited="0">
                      <wp:start x="0" y="0"/>
                      <wp:lineTo x="0" y="21486"/>
                      <wp:lineTo x="21535" y="21486"/>
                      <wp:lineTo x="21535"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9F0A25" w:rsidRPr="00005BEA" w:rsidRDefault="009F0A25" w:rsidP="00005BEA">
            <w:pPr>
              <w:spacing w:before="0" w:line="240" w:lineRule="auto"/>
              <w:ind w:firstLine="0"/>
              <w:rPr>
                <w:b w:val="0"/>
                <w:sz w:val="16"/>
                <w:szCs w:val="16"/>
                <w:lang w:val="hy-AM"/>
              </w:rPr>
            </w:pPr>
            <w:r w:rsidRPr="00005BEA">
              <w:rPr>
                <w:b w:val="0"/>
                <w:i/>
                <w:sz w:val="16"/>
                <w:szCs w:val="16"/>
                <w:lang w:val="hy-AM"/>
              </w:rPr>
              <w:t xml:space="preserve">Աղբյուրը՝ կանխատեսումները ըստ Բլումբերգի </w:t>
            </w:r>
          </w:p>
        </w:tc>
      </w:tr>
      <w:tr w:rsidR="009F0A25" w:rsidRPr="00BD0C63" w:rsidTr="009F0A25">
        <w:trPr>
          <w:trHeight w:val="206"/>
        </w:trPr>
        <w:tc>
          <w:tcPr>
            <w:tcW w:w="5070" w:type="dxa"/>
          </w:tcPr>
          <w:p w:rsidR="009F0A25" w:rsidRPr="00005BEA" w:rsidRDefault="009F0A25" w:rsidP="00005BEA">
            <w:pPr>
              <w:spacing w:before="0" w:line="240" w:lineRule="auto"/>
              <w:ind w:firstLine="0"/>
              <w:rPr>
                <w:b w:val="0"/>
                <w:bCs/>
                <w:i/>
                <w:sz w:val="18"/>
                <w:szCs w:val="18"/>
                <w:lang w:val="hy-AM"/>
              </w:rPr>
            </w:pPr>
            <w:r w:rsidRPr="005D4C87">
              <w:rPr>
                <w:bCs/>
                <w:i/>
                <w:sz w:val="18"/>
                <w:szCs w:val="18"/>
                <w:lang w:val="hy-AM"/>
              </w:rPr>
              <w:t xml:space="preserve">Գծապատկեր 1.3. </w:t>
            </w:r>
            <w:r w:rsidRPr="00005BEA">
              <w:rPr>
                <w:b w:val="0"/>
                <w:bCs/>
                <w:i/>
                <w:sz w:val="18"/>
                <w:szCs w:val="18"/>
                <w:lang w:val="hy-AM"/>
              </w:rPr>
              <w:t>Թույլ պահանջարկի և սահմանափակումների արտացոլումը</w:t>
            </w:r>
            <w:r w:rsidRPr="00005BEA">
              <w:rPr>
                <w:b w:val="0"/>
                <w:i/>
                <w:sz w:val="18"/>
                <w:szCs w:val="18"/>
                <w:lang w:val="hy-AM"/>
              </w:rPr>
              <w:t xml:space="preserve"> </w:t>
            </w:r>
          </w:p>
          <w:p w:rsidR="009F0A25" w:rsidRPr="00005BEA" w:rsidRDefault="009F0A25" w:rsidP="00005BEA">
            <w:pPr>
              <w:spacing w:before="0" w:line="240" w:lineRule="auto"/>
              <w:ind w:firstLine="0"/>
              <w:rPr>
                <w:b w:val="0"/>
                <w:i/>
                <w:lang w:val="hy-AM"/>
              </w:rPr>
            </w:pPr>
            <w:r w:rsidRPr="00005BEA">
              <w:rPr>
                <w:b w:val="0"/>
                <w:i/>
                <w:noProof/>
                <w:sz w:val="18"/>
                <w:szCs w:val="18"/>
                <w:lang w:val="en-US" w:eastAsia="en-US"/>
              </w:rPr>
              <w:drawing>
                <wp:anchor distT="0" distB="0" distL="114300" distR="114300" simplePos="0" relativeHeight="251736576" behindDoc="1" locked="0" layoutInCell="1" allowOverlap="1">
                  <wp:simplePos x="0" y="0"/>
                  <wp:positionH relativeFrom="column">
                    <wp:posOffset>-64135</wp:posOffset>
                  </wp:positionH>
                  <wp:positionV relativeFrom="paragraph">
                    <wp:posOffset>203200</wp:posOffset>
                  </wp:positionV>
                  <wp:extent cx="3096260" cy="1743075"/>
                  <wp:effectExtent l="0" t="0" r="8890" b="9525"/>
                  <wp:wrapTight wrapText="bothSides">
                    <wp:wrapPolygon edited="0">
                      <wp:start x="0" y="0"/>
                      <wp:lineTo x="0" y="21482"/>
                      <wp:lineTo x="21529" y="21482"/>
                      <wp:lineTo x="21529"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005BEA">
              <w:rPr>
                <w:b w:val="0"/>
                <w:i/>
                <w:sz w:val="18"/>
                <w:szCs w:val="18"/>
                <w:lang w:val="hy-AM"/>
              </w:rPr>
              <w:t>համաշխարհային առևտրում</w:t>
            </w:r>
            <w:r w:rsidRPr="00005BEA">
              <w:rPr>
                <w:b w:val="0"/>
                <w:i/>
                <w:lang w:val="hy-AM"/>
              </w:rPr>
              <w:t xml:space="preserve"> </w:t>
            </w:r>
          </w:p>
          <w:p w:rsidR="009F0A25" w:rsidRPr="00005BEA" w:rsidRDefault="009F0A25" w:rsidP="00005BEA">
            <w:pPr>
              <w:spacing w:before="0" w:line="240" w:lineRule="auto"/>
              <w:ind w:firstLine="0"/>
              <w:rPr>
                <w:b w:val="0"/>
                <w:i/>
                <w:sz w:val="16"/>
                <w:szCs w:val="16"/>
                <w:lang w:val="hy-AM"/>
              </w:rPr>
            </w:pPr>
            <w:r w:rsidRPr="00005BEA">
              <w:rPr>
                <w:b w:val="0"/>
                <w:i/>
                <w:sz w:val="16"/>
                <w:szCs w:val="16"/>
                <w:lang w:val="hy-AM"/>
              </w:rPr>
              <w:t>Աղբյուրը՝ ԱՄՀ</w:t>
            </w:r>
          </w:p>
        </w:tc>
        <w:tc>
          <w:tcPr>
            <w:tcW w:w="5103" w:type="dxa"/>
          </w:tcPr>
          <w:p w:rsidR="009F0A25" w:rsidRDefault="009F0A25" w:rsidP="00005BEA">
            <w:pPr>
              <w:spacing w:before="0" w:line="240" w:lineRule="auto"/>
              <w:ind w:firstLine="0"/>
              <w:rPr>
                <w:bCs/>
                <w:i/>
                <w:sz w:val="18"/>
                <w:szCs w:val="18"/>
                <w:lang w:val="hy-AM"/>
              </w:rPr>
            </w:pPr>
            <w:r w:rsidRPr="005D4C87">
              <w:rPr>
                <w:b w:val="0"/>
                <w:noProof/>
                <w:sz w:val="18"/>
                <w:szCs w:val="18"/>
                <w:lang w:val="en-US" w:eastAsia="en-US"/>
              </w:rPr>
              <w:drawing>
                <wp:anchor distT="0" distB="0" distL="114300" distR="114300" simplePos="0" relativeHeight="251734528" behindDoc="1" locked="0" layoutInCell="1" allowOverlap="1">
                  <wp:simplePos x="0" y="0"/>
                  <wp:positionH relativeFrom="column">
                    <wp:posOffset>-55245</wp:posOffset>
                  </wp:positionH>
                  <wp:positionV relativeFrom="paragraph">
                    <wp:posOffset>421640</wp:posOffset>
                  </wp:positionV>
                  <wp:extent cx="3123565" cy="1828800"/>
                  <wp:effectExtent l="0" t="0" r="635" b="0"/>
                  <wp:wrapTight wrapText="bothSides">
                    <wp:wrapPolygon edited="0">
                      <wp:start x="0" y="0"/>
                      <wp:lineTo x="0" y="21375"/>
                      <wp:lineTo x="21473" y="21375"/>
                      <wp:lineTo x="21473"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5D4C87">
              <w:rPr>
                <w:i/>
                <w:sz w:val="18"/>
                <w:szCs w:val="18"/>
                <w:lang w:val="hy-AM"/>
              </w:rPr>
              <w:t xml:space="preserve">Գծապատկեր 1.4. </w:t>
            </w:r>
            <w:r w:rsidRPr="00005BEA">
              <w:rPr>
                <w:b w:val="0"/>
                <w:bCs/>
                <w:i/>
                <w:sz w:val="18"/>
                <w:szCs w:val="18"/>
                <w:lang w:val="hy-AM"/>
              </w:rPr>
              <w:t>Զարգացող երկրներում ազգային արժույթները  դոլարի նկատմամբ թուլացել են</w:t>
            </w:r>
          </w:p>
          <w:p w:rsidR="009F0A25" w:rsidRPr="00005BEA" w:rsidRDefault="009F0A25" w:rsidP="00005BEA">
            <w:pPr>
              <w:spacing w:before="0" w:line="240" w:lineRule="auto"/>
              <w:ind w:firstLine="0"/>
              <w:rPr>
                <w:b w:val="0"/>
                <w:i/>
                <w:sz w:val="16"/>
                <w:szCs w:val="16"/>
                <w:lang w:val="hy-AM"/>
              </w:rPr>
            </w:pPr>
            <w:r w:rsidRPr="00005BEA">
              <w:rPr>
                <w:b w:val="0"/>
                <w:i/>
                <w:sz w:val="16"/>
                <w:szCs w:val="16"/>
                <w:lang w:val="hy-AM"/>
              </w:rPr>
              <w:t>Աղբյուրը՝ Բլումբերգ, ՀՀ ԿԲ, ՀՀ ՖՆ հաշվարկներ</w:t>
            </w:r>
          </w:p>
        </w:tc>
      </w:tr>
      <w:tr w:rsidR="009F0A25" w:rsidRPr="00D751BF" w:rsidTr="002958DC">
        <w:trPr>
          <w:trHeight w:val="3576"/>
        </w:trPr>
        <w:tc>
          <w:tcPr>
            <w:tcW w:w="5070" w:type="dxa"/>
          </w:tcPr>
          <w:p w:rsidR="002958DC" w:rsidRPr="00005BEA" w:rsidRDefault="009F0A25" w:rsidP="00005BEA">
            <w:pPr>
              <w:spacing w:before="0" w:line="240" w:lineRule="auto"/>
              <w:ind w:firstLine="0"/>
              <w:rPr>
                <w:b w:val="0"/>
                <w:bCs/>
                <w:i/>
                <w:sz w:val="18"/>
                <w:szCs w:val="18"/>
                <w:lang w:val="hy-AM"/>
              </w:rPr>
            </w:pPr>
            <w:r w:rsidRPr="00005BEA">
              <w:rPr>
                <w:i/>
                <w:sz w:val="18"/>
                <w:szCs w:val="18"/>
                <w:lang w:val="hy-AM"/>
              </w:rPr>
              <w:t>Գծապատկեր 1.5</w:t>
            </w:r>
            <w:r w:rsidRPr="00005BEA">
              <w:rPr>
                <w:b w:val="0"/>
                <w:i/>
                <w:sz w:val="18"/>
                <w:szCs w:val="18"/>
                <w:lang w:val="hy-AM"/>
              </w:rPr>
              <w:t xml:space="preserve">. </w:t>
            </w:r>
            <w:r w:rsidRPr="00005BEA">
              <w:rPr>
                <w:b w:val="0"/>
                <w:bCs/>
                <w:i/>
                <w:sz w:val="18"/>
                <w:szCs w:val="18"/>
                <w:lang w:val="hy-AM"/>
              </w:rPr>
              <w:t>Բաժնետոմսերի միջազգային</w:t>
            </w:r>
          </w:p>
          <w:p w:rsidR="002958DC" w:rsidRPr="00005BEA" w:rsidRDefault="00005BEA" w:rsidP="00005BEA">
            <w:pPr>
              <w:spacing w:before="0" w:line="240" w:lineRule="auto"/>
              <w:ind w:firstLine="0"/>
              <w:rPr>
                <w:b w:val="0"/>
                <w:bCs/>
                <w:i/>
                <w:sz w:val="18"/>
                <w:szCs w:val="18"/>
                <w:lang w:val="hy-AM"/>
              </w:rPr>
            </w:pPr>
            <w:r w:rsidRPr="00005BEA">
              <w:rPr>
                <w:b w:val="0"/>
                <w:i/>
                <w:noProof/>
                <w:sz w:val="18"/>
                <w:szCs w:val="18"/>
                <w:lang w:val="en-US" w:eastAsia="en-US"/>
              </w:rPr>
              <w:drawing>
                <wp:anchor distT="0" distB="0" distL="114300" distR="114300" simplePos="0" relativeHeight="251732480" behindDoc="1" locked="0" layoutInCell="1" allowOverlap="1">
                  <wp:simplePos x="0" y="0"/>
                  <wp:positionH relativeFrom="column">
                    <wp:posOffset>-43180</wp:posOffset>
                  </wp:positionH>
                  <wp:positionV relativeFrom="paragraph">
                    <wp:posOffset>184150</wp:posOffset>
                  </wp:positionV>
                  <wp:extent cx="3157855" cy="1752600"/>
                  <wp:effectExtent l="0" t="0" r="23495" b="19050"/>
                  <wp:wrapTight wrapText="bothSides">
                    <wp:wrapPolygon edited="0">
                      <wp:start x="0" y="0"/>
                      <wp:lineTo x="0" y="21600"/>
                      <wp:lineTo x="21630" y="21600"/>
                      <wp:lineTo x="21630" y="0"/>
                      <wp:lineTo x="0" y="0"/>
                    </wp:wrapPolygon>
                  </wp:wrapTight>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2958DC" w:rsidRPr="00005BEA">
              <w:rPr>
                <w:b w:val="0"/>
                <w:bCs/>
                <w:i/>
                <w:sz w:val="18"/>
                <w:szCs w:val="18"/>
                <w:lang w:val="hy-AM"/>
              </w:rPr>
              <w:t xml:space="preserve">շուկան  վերականգնվում է                            </w:t>
            </w:r>
          </w:p>
          <w:p w:rsidR="009F0A25" w:rsidRPr="00D751BF" w:rsidRDefault="009F0A25" w:rsidP="00005BEA">
            <w:pPr>
              <w:spacing w:before="0" w:line="240" w:lineRule="auto"/>
              <w:ind w:firstLine="0"/>
              <w:rPr>
                <w:i/>
                <w:sz w:val="18"/>
                <w:szCs w:val="18"/>
                <w:lang w:val="hy-AM"/>
              </w:rPr>
            </w:pPr>
            <w:r w:rsidRPr="00005BEA">
              <w:rPr>
                <w:b w:val="0"/>
                <w:i/>
                <w:sz w:val="16"/>
                <w:szCs w:val="16"/>
                <w:lang w:val="hy-AM"/>
              </w:rPr>
              <w:t>Աղբյուրը՝ Բլումբերգ, ՀՀ ՖՆ հաշվարկներ</w:t>
            </w:r>
          </w:p>
        </w:tc>
        <w:tc>
          <w:tcPr>
            <w:tcW w:w="5103" w:type="dxa"/>
          </w:tcPr>
          <w:p w:rsidR="009F0A25" w:rsidRDefault="009F0A25" w:rsidP="00005BEA">
            <w:pPr>
              <w:spacing w:before="0" w:line="240" w:lineRule="auto"/>
              <w:ind w:firstLine="0"/>
              <w:rPr>
                <w:i/>
                <w:sz w:val="18"/>
                <w:szCs w:val="18"/>
                <w:lang w:val="hy-AM"/>
              </w:rPr>
            </w:pPr>
            <w:r w:rsidRPr="005D4C87">
              <w:rPr>
                <w:i/>
                <w:sz w:val="18"/>
                <w:szCs w:val="18"/>
                <w:lang w:val="hy-AM"/>
              </w:rPr>
              <w:t xml:space="preserve">Գծապատկեր 1.6. </w:t>
            </w:r>
            <w:r w:rsidRPr="00005BEA">
              <w:rPr>
                <w:b w:val="0"/>
                <w:i/>
                <w:sz w:val="18"/>
                <w:szCs w:val="18"/>
                <w:lang w:val="hy-AM"/>
              </w:rPr>
              <w:t>Զարգացող երկրներում ռիսկի</w:t>
            </w:r>
            <w:r w:rsidRPr="00005BEA">
              <w:rPr>
                <w:b w:val="0"/>
                <w:sz w:val="18"/>
                <w:szCs w:val="18"/>
                <w:lang w:val="hy-AM"/>
              </w:rPr>
              <w:t xml:space="preserve"> </w:t>
            </w:r>
            <w:r w:rsidRPr="00005BEA">
              <w:rPr>
                <w:b w:val="0"/>
                <w:i/>
                <w:sz w:val="18"/>
                <w:szCs w:val="18"/>
                <w:lang w:val="hy-AM"/>
              </w:rPr>
              <w:t>հավելավճարները</w:t>
            </w:r>
            <w:r w:rsidRPr="00005BEA">
              <w:rPr>
                <w:rStyle w:val="FootnoteReference"/>
                <w:b w:val="0"/>
                <w:i/>
                <w:sz w:val="18"/>
                <w:szCs w:val="18"/>
                <w:lang w:val="hy-AM"/>
              </w:rPr>
              <w:footnoteReference w:id="3"/>
            </w:r>
            <w:r w:rsidRPr="00005BEA">
              <w:rPr>
                <w:b w:val="0"/>
                <w:i/>
                <w:sz w:val="18"/>
                <w:szCs w:val="18"/>
                <w:lang w:val="hy-AM"/>
              </w:rPr>
              <w:t xml:space="preserve"> կայունացել են բարձր մակարդակում</w:t>
            </w:r>
          </w:p>
          <w:p w:rsidR="009F0A25" w:rsidRPr="005D4C87" w:rsidRDefault="009F0A25" w:rsidP="00005BEA">
            <w:pPr>
              <w:spacing w:before="0" w:line="240" w:lineRule="auto"/>
              <w:ind w:firstLine="0"/>
              <w:jc w:val="left"/>
              <w:rPr>
                <w:b w:val="0"/>
                <w:sz w:val="18"/>
                <w:szCs w:val="18"/>
                <w:lang w:val="hy-AM"/>
              </w:rPr>
            </w:pPr>
            <w:r w:rsidRPr="000E6B55">
              <w:rPr>
                <w:b w:val="0"/>
                <w:noProof/>
                <w:sz w:val="18"/>
                <w:szCs w:val="18"/>
                <w:lang w:val="en-US" w:eastAsia="en-US"/>
              </w:rPr>
              <w:drawing>
                <wp:inline distT="0" distB="0" distL="0" distR="0">
                  <wp:extent cx="2933700" cy="1743075"/>
                  <wp:effectExtent l="0" t="0" r="0" b="9525"/>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F0A25" w:rsidRPr="00005BEA" w:rsidRDefault="009F0A25" w:rsidP="00005BEA">
            <w:pPr>
              <w:spacing w:before="0" w:line="240" w:lineRule="auto"/>
              <w:ind w:firstLine="0"/>
              <w:rPr>
                <w:b w:val="0"/>
                <w:i/>
                <w:sz w:val="16"/>
                <w:szCs w:val="16"/>
                <w:lang w:val="hy-AM"/>
              </w:rPr>
            </w:pPr>
            <w:r w:rsidRPr="00005BEA">
              <w:rPr>
                <w:b w:val="0"/>
                <w:i/>
                <w:sz w:val="16"/>
                <w:szCs w:val="16"/>
                <w:lang w:val="hy-AM"/>
              </w:rPr>
              <w:t>Աղբյուրը՝ Բլումբերգ</w:t>
            </w:r>
          </w:p>
        </w:tc>
      </w:tr>
    </w:tbl>
    <w:p w:rsidR="00033C8B" w:rsidRDefault="009F0A25" w:rsidP="007730AA">
      <w:pPr>
        <w:spacing w:before="0" w:line="276" w:lineRule="auto"/>
        <w:rPr>
          <w:rFonts w:eastAsia="Calibri"/>
          <w:i/>
          <w:iCs/>
          <w:color w:val="000000"/>
          <w:szCs w:val="22"/>
          <w:lang w:val="hy-AM"/>
        </w:rPr>
      </w:pPr>
      <w:r w:rsidRPr="005D4C87">
        <w:rPr>
          <w:rFonts w:eastAsia="Calibri"/>
          <w:szCs w:val="22"/>
          <w:lang w:val="hy-AM"/>
        </w:rPr>
        <w:t>Առողջապահական և տնտեսական ճգնաժամին հակազդելու համար աշխարհում Կառավարությունները և Կենտրոնական բանկերը ավելի ագրեսիվ են խթանում տնտեսություններին, քան իրականացրել են համաշխարհային ֆինանսական ճգնաճամի ժամանակ</w:t>
      </w:r>
      <w:r w:rsidRPr="005D4C87">
        <w:rPr>
          <w:rFonts w:cs="Sylfaen"/>
          <w:szCs w:val="22"/>
          <w:lang w:val="hy-AM"/>
        </w:rPr>
        <w:t>։</w:t>
      </w:r>
      <w:r w:rsidRPr="005D4C87">
        <w:rPr>
          <w:rFonts w:eastAsia="Calibri"/>
          <w:szCs w:val="22"/>
          <w:lang w:val="hy-AM"/>
        </w:rPr>
        <w:t xml:space="preserve"> </w:t>
      </w:r>
      <w:r w:rsidRPr="00033C8B">
        <w:rPr>
          <w:rFonts w:eastAsia="Calibri"/>
          <w:b w:val="0"/>
          <w:szCs w:val="22"/>
          <w:lang w:val="hy-AM"/>
        </w:rPr>
        <w:t>COVID-19 համարավարակի հետևանքները հաղթահարելու համար հարկաբյուջետային քաղաքականությունը առանցքային դերակատարում ունի։ ԱՄՀ գնահատումներով</w:t>
      </w:r>
      <w:r w:rsidRPr="00033C8B">
        <w:rPr>
          <w:rStyle w:val="FootnoteReference"/>
          <w:rFonts w:eastAsia="Calibri"/>
          <w:b w:val="0"/>
          <w:szCs w:val="22"/>
          <w:lang w:val="hy-AM"/>
        </w:rPr>
        <w:footnoteReference w:id="4"/>
      </w:r>
      <w:r w:rsidRPr="00033C8B">
        <w:rPr>
          <w:rFonts w:eastAsia="Calibri"/>
          <w:b w:val="0"/>
          <w:szCs w:val="22"/>
          <w:lang w:val="hy-AM"/>
        </w:rPr>
        <w:t xml:space="preserve"> հարկաբյուջետային փաթեթներն աշխարհի մակարդակով սեպտեմբերի 11-ի դրությամբ գնահատվում են 11.7 տրիլիոն դոլար, կամ համաշխարհային ՀՆԱ շուրջ 12%-ը։ Դրանց շուրջ կեսը ծախսային կամ հարկային (բյուջեի վրա ուղղակի ազդեցություն ունեցող) միջոցառումներն են, մյուս կեսը՝ վարկերի և վարկային երաշխիքների տրամադրումը</w:t>
      </w:r>
      <w:r w:rsidRPr="00033C8B">
        <w:rPr>
          <w:b w:val="0"/>
          <w:szCs w:val="22"/>
          <w:lang w:val="hy-AM"/>
        </w:rPr>
        <w:t xml:space="preserve">։ </w:t>
      </w:r>
      <w:r w:rsidRPr="00033C8B">
        <w:rPr>
          <w:rFonts w:eastAsia="Calibri"/>
          <w:b w:val="0"/>
          <w:szCs w:val="22"/>
          <w:lang w:val="hy-AM"/>
        </w:rPr>
        <w:t>Կենտրոնական բանկերը ևս խթանող դրամավարկային քաղաքականությամբ հակազդում են համավարակի տարածման տնտեսական ազդեցություններին՝ նվազեցնելով տոկոսադրույքները և ներդնելով ֆինանսական շուկայից ակտիվների ձեռք բերման աննախադեպ ծրագրեր։</w:t>
      </w:r>
    </w:p>
    <w:p w:rsidR="009F0A25" w:rsidRPr="00551865" w:rsidRDefault="009F0A25" w:rsidP="007730AA">
      <w:pPr>
        <w:spacing w:before="0" w:line="276" w:lineRule="auto"/>
        <w:rPr>
          <w:rFonts w:eastAsia="Calibri"/>
          <w:sz w:val="20"/>
          <w:szCs w:val="20"/>
          <w:lang w:val="hy-AM"/>
        </w:rPr>
      </w:pPr>
      <w:r w:rsidRPr="005D4C87">
        <w:rPr>
          <w:rFonts w:eastAsia="Calibri"/>
          <w:i/>
          <w:iCs/>
          <w:color w:val="000000"/>
          <w:szCs w:val="22"/>
          <w:lang w:val="hy-AM"/>
        </w:rPr>
        <w:t>Գծապատկեր 1.7.</w:t>
      </w:r>
      <w:r w:rsidRPr="005D4C87">
        <w:rPr>
          <w:rFonts w:eastAsia="Calibri"/>
          <w:i/>
          <w:iCs/>
          <w:color w:val="000000"/>
          <w:sz w:val="20"/>
          <w:szCs w:val="20"/>
          <w:lang w:val="hy-AM"/>
        </w:rPr>
        <w:t xml:space="preserve"> </w:t>
      </w:r>
      <w:r w:rsidRPr="00033C8B">
        <w:rPr>
          <w:rFonts w:eastAsia="Calibri"/>
          <w:b w:val="0"/>
          <w:bCs/>
          <w:i/>
          <w:iCs/>
          <w:color w:val="000000"/>
          <w:sz w:val="20"/>
          <w:szCs w:val="20"/>
          <w:lang w:val="hy-AM"/>
        </w:rPr>
        <w:t>Համաշխարհային տնտեսության և հարկաբյուջետային քաղաքականության արձագանքը (% ՀՆԱ-ում) ճգնաժամերի տարիներին</w:t>
      </w:r>
      <w:r w:rsidRPr="005D4C87">
        <w:rPr>
          <w:rFonts w:eastAsia="Calibri"/>
          <w:sz w:val="20"/>
          <w:szCs w:val="20"/>
          <w:lang w:val="hy-AM"/>
        </w:rPr>
        <w:t xml:space="preserve"> </w:t>
      </w:r>
    </w:p>
    <w:p w:rsidR="000B6441" w:rsidRPr="00551865" w:rsidRDefault="000B6441" w:rsidP="007730AA">
      <w:pPr>
        <w:spacing w:before="0" w:line="276" w:lineRule="auto"/>
        <w:rPr>
          <w:rFonts w:eastAsia="Calibri"/>
          <w:sz w:val="20"/>
          <w:szCs w:val="20"/>
          <w:lang w:val="hy-AM"/>
        </w:rPr>
      </w:pPr>
    </w:p>
    <w:tbl>
      <w:tblPr>
        <w:tblStyle w:val="TableGrid4113"/>
        <w:tblW w:w="10366"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3404"/>
        <w:gridCol w:w="3528"/>
        <w:gridCol w:w="3434"/>
      </w:tblGrid>
      <w:tr w:rsidR="009F0A25" w:rsidRPr="00BD0C63" w:rsidTr="00034178">
        <w:trPr>
          <w:trHeight w:val="1555"/>
        </w:trPr>
        <w:tc>
          <w:tcPr>
            <w:tcW w:w="3404" w:type="dxa"/>
          </w:tcPr>
          <w:p w:rsidR="009F0A25" w:rsidRPr="00513DF0" w:rsidRDefault="009F0A25" w:rsidP="00034178">
            <w:pPr>
              <w:spacing w:before="0" w:line="276" w:lineRule="auto"/>
              <w:ind w:firstLine="0"/>
              <w:rPr>
                <w:i/>
                <w:sz w:val="16"/>
                <w:szCs w:val="16"/>
                <w:lang w:val="hy-AM"/>
              </w:rPr>
            </w:pPr>
            <w:r w:rsidRPr="005D4C87">
              <w:rPr>
                <w:i/>
                <w:noProof/>
                <w:sz w:val="16"/>
                <w:szCs w:val="16"/>
                <w:lang w:val="en-US" w:eastAsia="en-US"/>
              </w:rPr>
              <w:drawing>
                <wp:anchor distT="0" distB="0" distL="114300" distR="114300" simplePos="0" relativeHeight="251738624" behindDoc="1" locked="0" layoutInCell="1" allowOverlap="1">
                  <wp:simplePos x="0" y="0"/>
                  <wp:positionH relativeFrom="column">
                    <wp:posOffset>-3175</wp:posOffset>
                  </wp:positionH>
                  <wp:positionV relativeFrom="paragraph">
                    <wp:posOffset>21590</wp:posOffset>
                  </wp:positionV>
                  <wp:extent cx="1943735" cy="2409825"/>
                  <wp:effectExtent l="0" t="0" r="18415" b="9525"/>
                  <wp:wrapTight wrapText="bothSides">
                    <wp:wrapPolygon edited="0">
                      <wp:start x="0" y="0"/>
                      <wp:lineTo x="0" y="21515"/>
                      <wp:lineTo x="21593" y="21515"/>
                      <wp:lineTo x="21593"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c>
        <w:tc>
          <w:tcPr>
            <w:tcW w:w="3528" w:type="dxa"/>
          </w:tcPr>
          <w:p w:rsidR="009F0A25" w:rsidRPr="005D4C87" w:rsidRDefault="009F0A25" w:rsidP="00034178">
            <w:pPr>
              <w:spacing w:before="0" w:line="276" w:lineRule="auto"/>
              <w:ind w:firstLine="0"/>
              <w:rPr>
                <w:lang w:val="hy-AM"/>
              </w:rPr>
            </w:pPr>
            <w:r w:rsidRPr="005D4C87">
              <w:rPr>
                <w:noProof/>
                <w:lang w:val="en-US" w:eastAsia="en-US"/>
              </w:rPr>
              <w:drawing>
                <wp:anchor distT="0" distB="0" distL="114300" distR="114300" simplePos="0" relativeHeight="251740672" behindDoc="1" locked="0" layoutInCell="1" allowOverlap="1">
                  <wp:simplePos x="0" y="0"/>
                  <wp:positionH relativeFrom="column">
                    <wp:posOffset>-6350</wp:posOffset>
                  </wp:positionH>
                  <wp:positionV relativeFrom="paragraph">
                    <wp:posOffset>40640</wp:posOffset>
                  </wp:positionV>
                  <wp:extent cx="2038350" cy="2390775"/>
                  <wp:effectExtent l="0" t="0" r="0" b="9525"/>
                  <wp:wrapTight wrapText="bothSides">
                    <wp:wrapPolygon edited="0">
                      <wp:start x="0" y="0"/>
                      <wp:lineTo x="0" y="21514"/>
                      <wp:lineTo x="21398" y="21514"/>
                      <wp:lineTo x="21398" y="0"/>
                      <wp:lineTo x="0" y="0"/>
                    </wp:wrapPolygon>
                  </wp:wrapTight>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c>
        <w:tc>
          <w:tcPr>
            <w:tcW w:w="3434" w:type="dxa"/>
          </w:tcPr>
          <w:p w:rsidR="009F0A25" w:rsidRPr="005D4C87" w:rsidRDefault="009F0A25" w:rsidP="00034178">
            <w:pPr>
              <w:spacing w:before="0" w:line="276" w:lineRule="auto"/>
              <w:ind w:firstLine="0"/>
              <w:rPr>
                <w:lang w:val="hy-AM"/>
              </w:rPr>
            </w:pPr>
            <w:r w:rsidRPr="005D4C87">
              <w:rPr>
                <w:noProof/>
                <w:lang w:val="en-US" w:eastAsia="en-US"/>
              </w:rPr>
              <w:drawing>
                <wp:anchor distT="0" distB="0" distL="114300" distR="114300" simplePos="0" relativeHeight="251741696" behindDoc="1" locked="0" layoutInCell="1" allowOverlap="1">
                  <wp:simplePos x="0" y="0"/>
                  <wp:positionH relativeFrom="column">
                    <wp:posOffset>-59690</wp:posOffset>
                  </wp:positionH>
                  <wp:positionV relativeFrom="paragraph">
                    <wp:posOffset>59690</wp:posOffset>
                  </wp:positionV>
                  <wp:extent cx="1979930" cy="2390775"/>
                  <wp:effectExtent l="0" t="0" r="1270" b="9525"/>
                  <wp:wrapTight wrapText="bothSides">
                    <wp:wrapPolygon edited="0">
                      <wp:start x="0" y="0"/>
                      <wp:lineTo x="0" y="21514"/>
                      <wp:lineTo x="21406" y="21514"/>
                      <wp:lineTo x="21406" y="0"/>
                      <wp:lineTo x="0" y="0"/>
                    </wp:wrapPolygon>
                  </wp:wrapTight>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c>
      </w:tr>
    </w:tbl>
    <w:p w:rsidR="000B6441" w:rsidRPr="00551865" w:rsidRDefault="000B6441" w:rsidP="00C253FE">
      <w:pPr>
        <w:keepNext/>
        <w:keepLines/>
        <w:spacing w:before="0" w:line="276" w:lineRule="auto"/>
        <w:jc w:val="left"/>
        <w:outlineLvl w:val="2"/>
        <w:rPr>
          <w:rFonts w:cs="Sylfaen"/>
          <w:i/>
          <w:sz w:val="16"/>
          <w:szCs w:val="16"/>
          <w:lang w:val="hy-AM"/>
        </w:rPr>
      </w:pPr>
      <w:bookmarkStart w:id="80" w:name="_Toc51947414"/>
      <w:bookmarkStart w:id="81" w:name="_Toc52452087"/>
    </w:p>
    <w:p w:rsidR="009F0A25" w:rsidRPr="00BB575A" w:rsidRDefault="009F0A25" w:rsidP="00C253FE">
      <w:pPr>
        <w:keepNext/>
        <w:keepLines/>
        <w:spacing w:before="0" w:line="276" w:lineRule="auto"/>
        <w:jc w:val="left"/>
        <w:outlineLvl w:val="2"/>
        <w:rPr>
          <w:b w:val="0"/>
          <w:bCs/>
          <w:sz w:val="28"/>
          <w:szCs w:val="28"/>
          <w:lang w:val="hy-AM"/>
        </w:rPr>
      </w:pPr>
      <w:r>
        <w:rPr>
          <w:bCs/>
          <w:sz w:val="28"/>
          <w:szCs w:val="28"/>
          <w:lang w:val="hy-AM"/>
        </w:rPr>
        <w:br w:type="page"/>
      </w:r>
      <w:bookmarkStart w:id="82" w:name="_Toc57559414"/>
      <w:bookmarkStart w:id="83" w:name="_Toc57655447"/>
      <w:r w:rsidRPr="00553709">
        <w:rPr>
          <w:bCs/>
          <w:sz w:val="28"/>
          <w:szCs w:val="28"/>
          <w:lang w:val="hy-AM"/>
        </w:rPr>
        <w:t>1.3. ՀՀ ՄԱԿՐՈՏՆՏԵՍԱԿԱՆ ԶԱՐԳԱՑՈՒՄՆԵՐ ԵՎ ԿԱՆԽԱՏԵՍՈՒՄՆԵՐ</w:t>
      </w:r>
      <w:bookmarkEnd w:id="80"/>
      <w:bookmarkEnd w:id="81"/>
      <w:bookmarkEnd w:id="82"/>
      <w:bookmarkEnd w:id="83"/>
    </w:p>
    <w:p w:rsidR="00005BEA" w:rsidRPr="00005BEA" w:rsidRDefault="00005BEA" w:rsidP="00005BEA">
      <w:pPr>
        <w:spacing w:before="0" w:after="120" w:line="240" w:lineRule="auto"/>
        <w:ind w:firstLine="0"/>
        <w:contextualSpacing w:val="0"/>
        <w:jc w:val="left"/>
        <w:rPr>
          <w:rFonts w:eastAsia="Calibri"/>
          <w:bCs/>
          <w:sz w:val="24"/>
          <w:lang w:val="hy-AM" w:eastAsia="en-US"/>
        </w:rPr>
      </w:pPr>
      <w:bookmarkStart w:id="84" w:name="_Toc45705385"/>
      <w:bookmarkStart w:id="85" w:name="_Toc51360523"/>
      <w:bookmarkStart w:id="86" w:name="_Toc45705389"/>
      <w:r w:rsidRPr="00005BEA">
        <w:rPr>
          <w:rFonts w:eastAsia="Calibri"/>
          <w:bCs/>
          <w:sz w:val="24"/>
          <w:lang w:val="hy-AM" w:eastAsia="en-US"/>
        </w:rPr>
        <w:t>1.3.1. ՀՆԱ և տնտեսական աճ</w:t>
      </w:r>
      <w:bookmarkEnd w:id="84"/>
      <w:bookmarkEnd w:id="85"/>
    </w:p>
    <w:p w:rsidR="00005BEA" w:rsidRPr="00005BEA" w:rsidRDefault="00005BEA" w:rsidP="00005BEA">
      <w:pPr>
        <w:spacing w:before="40" w:after="120" w:line="276" w:lineRule="auto"/>
        <w:ind w:firstLine="360"/>
        <w:rPr>
          <w:rFonts w:cs="Sylfaen"/>
          <w:b w:val="0"/>
          <w:szCs w:val="22"/>
          <w:lang w:val="hy-AM" w:eastAsia="en-US"/>
        </w:rPr>
      </w:pPr>
      <w:r w:rsidRPr="00005BEA">
        <w:rPr>
          <w:rFonts w:cs="Sylfaen"/>
          <w:bCs/>
          <w:szCs w:val="22"/>
          <w:lang w:val="hy-AM" w:eastAsia="en-US"/>
        </w:rPr>
        <w:t>2019թ. ՀՀ տնտեսությունը շարունակեց աճել ավելի արագ տեմպերով և գրանցվեց 7.6% տնտեսական աճ՝ համաշխարհային տնտեսության 2.9% աճի պայմաններում,</w:t>
      </w:r>
      <w:r w:rsidRPr="00005BEA">
        <w:rPr>
          <w:rFonts w:cs="Sylfaen"/>
          <w:b w:val="0"/>
          <w:szCs w:val="22"/>
          <w:lang w:val="hy-AM" w:eastAsia="en-US"/>
        </w:rPr>
        <w:t xml:space="preserve"> </w:t>
      </w:r>
      <w:r w:rsidRPr="00005BEA">
        <w:rPr>
          <w:rFonts w:eastAsia="Calibri" w:cs="Sylfaen"/>
          <w:szCs w:val="22"/>
          <w:lang w:val="hy-AM" w:eastAsia="en-US"/>
        </w:rPr>
        <w:t>ինչի շարժիչ ուժ են հանդիսացել ծառայությունների և արդյունաբերության ճյուղերը</w:t>
      </w:r>
      <w:r w:rsidRPr="00005BEA">
        <w:rPr>
          <w:rFonts w:eastAsia="Calibri" w:cs="Sylfaen"/>
          <w:b w:val="0"/>
          <w:szCs w:val="22"/>
          <w:lang w:val="hy-AM" w:eastAsia="en-US"/>
        </w:rPr>
        <w:t>, ընդ որում՝ աճ է արձանագրվել տնտեսության բոլոր ճյուղերում,</w:t>
      </w:r>
      <w:r w:rsidRPr="00005BEA">
        <w:rPr>
          <w:rFonts w:eastAsia="Calibri" w:cs="Sylfaen"/>
          <w:b w:val="0"/>
          <w:szCs w:val="22"/>
          <w:lang w:val="es-ES" w:eastAsia="en-US"/>
        </w:rPr>
        <w:t xml:space="preserve"> </w:t>
      </w:r>
      <w:r w:rsidRPr="00005BEA">
        <w:rPr>
          <w:rFonts w:eastAsia="Calibri" w:cs="Sylfaen"/>
          <w:b w:val="0"/>
          <w:szCs w:val="22"/>
          <w:lang w:val="hy-AM" w:eastAsia="en-US"/>
        </w:rPr>
        <w:t>բացառությամբ գյուղատնտեսության:</w:t>
      </w:r>
      <w:r w:rsidRPr="00005BEA">
        <w:rPr>
          <w:rFonts w:eastAsia="Calibri" w:cs="Sylfaen"/>
          <w:b w:val="0"/>
          <w:bCs/>
          <w:szCs w:val="22"/>
          <w:lang w:val="hy-AM" w:eastAsia="en-US"/>
        </w:rPr>
        <w:t xml:space="preserve"> Պահանջարկի տեսանկյունից աճին նպաստել է ներքին պահանջարկը, ինչը պայ</w:t>
      </w:r>
      <w:r w:rsidRPr="00005BEA">
        <w:rPr>
          <w:rFonts w:eastAsia="Calibri" w:cs="Sylfaen"/>
          <w:b w:val="0"/>
          <w:szCs w:val="22"/>
          <w:lang w:val="hy-AM" w:eastAsia="en-US"/>
        </w:rPr>
        <w:t xml:space="preserve">մանվորված է եղել հիմնականում վերջնական սպառման բարձր աճով։ </w:t>
      </w:r>
      <w:r w:rsidRPr="00005BEA">
        <w:rPr>
          <w:rFonts w:cs="Sylfaen"/>
          <w:b w:val="0"/>
          <w:szCs w:val="22"/>
          <w:lang w:val="hy-AM" w:eastAsia="en-US"/>
        </w:rPr>
        <w:t xml:space="preserve"> </w:t>
      </w:r>
    </w:p>
    <w:p w:rsidR="00005BEA" w:rsidRPr="00005BEA" w:rsidRDefault="00005BEA" w:rsidP="00005BEA">
      <w:pPr>
        <w:spacing w:before="40" w:line="276" w:lineRule="auto"/>
        <w:ind w:firstLine="634"/>
        <w:contextualSpacing w:val="0"/>
        <w:rPr>
          <w:rFonts w:cs="Sylfaen"/>
          <w:b w:val="0"/>
          <w:szCs w:val="22"/>
          <w:lang w:val="hy-AM" w:eastAsia="en-US"/>
        </w:rPr>
      </w:pPr>
      <w:r w:rsidRPr="00005BEA">
        <w:rPr>
          <w:rFonts w:cs="Sylfaen"/>
          <w:szCs w:val="22"/>
          <w:lang w:val="hy-AM" w:eastAsia="en-US"/>
        </w:rPr>
        <w:t>Կորոնավիրուսի համավարակի և դրա</w:t>
      </w:r>
      <w:r w:rsidRPr="00005BEA">
        <w:rPr>
          <w:rFonts w:cs="Sylfaen"/>
          <w:bCs/>
          <w:szCs w:val="22"/>
          <w:lang w:val="hy-AM" w:eastAsia="en-US"/>
        </w:rPr>
        <w:t xml:space="preserve"> երկրորդ ալիքի բացասական ազդեցություններից անմասն չմնաց նաև ՀՀ տնտեսությունը։</w:t>
      </w:r>
      <w:r w:rsidRPr="00005BEA">
        <w:rPr>
          <w:rFonts w:cs="Sylfaen"/>
          <w:b w:val="0"/>
          <w:szCs w:val="22"/>
          <w:lang w:val="hy-AM" w:eastAsia="en-US"/>
        </w:rPr>
        <w:t xml:space="preserve"> Չնայած 2020թ. տարեսկզբի աճի բարձր տեմպերին՝ ՀՀ-ում և գործընկեր երկրներում բռնկված համավարակի բացասական ազդեցությամբ պայմանավորված, մարտ ամսից սկիզբ առան բացասական զարգացումներ, որոնք համավարակի տարածման կանխարգելման նպատակով կիրառված սահմանափակումների (առավել մանրամասն տես՛ ներդիր 1-ում) հետևանքով ապրիլին կտրուկ վատթարացան, ինչը՝ մայիս ամսին սահմանափակումների մեծ մասի վերացման արդյունքում հետագա ամիսներին սկսեց որոշակի տատանումներով բարելավվել: </w:t>
      </w:r>
    </w:p>
    <w:tbl>
      <w:tblPr>
        <w:tblStyle w:val="TableGrid11131122"/>
        <w:tblW w:w="9918" w:type="dxa"/>
        <w:shd w:val="clear" w:color="auto" w:fill="D9D9D9"/>
        <w:tblLook w:val="04A0" w:firstRow="1" w:lastRow="0" w:firstColumn="1" w:lastColumn="0" w:noHBand="0" w:noVBand="1"/>
      </w:tblPr>
      <w:tblGrid>
        <w:gridCol w:w="3312"/>
        <w:gridCol w:w="6606"/>
      </w:tblGrid>
      <w:tr w:rsidR="00005BEA" w:rsidRPr="00BD0C63" w:rsidTr="00005BEA">
        <w:tc>
          <w:tcPr>
            <w:tcW w:w="9918" w:type="dxa"/>
            <w:gridSpan w:val="2"/>
            <w:shd w:val="clear" w:color="auto" w:fill="D9D9D9"/>
          </w:tcPr>
          <w:p w:rsidR="00005BEA" w:rsidRPr="00005BEA" w:rsidRDefault="00005BEA" w:rsidP="00005BEA">
            <w:pPr>
              <w:tabs>
                <w:tab w:val="right" w:pos="0"/>
              </w:tabs>
              <w:spacing w:before="0" w:line="276" w:lineRule="auto"/>
              <w:ind w:firstLine="0"/>
              <w:jc w:val="center"/>
              <w:rPr>
                <w:rFonts w:cs="Sylfaen"/>
                <w:b w:val="0"/>
                <w:sz w:val="24"/>
                <w:lang w:val="hy-AM" w:eastAsia="en-US"/>
              </w:rPr>
            </w:pPr>
            <w:bookmarkStart w:id="87" w:name="_Toc107052575"/>
            <w:bookmarkStart w:id="88" w:name="_Hlk44618099"/>
            <w:r w:rsidRPr="00005BEA">
              <w:rPr>
                <w:rFonts w:cs="Sylfaen"/>
                <w:sz w:val="18"/>
                <w:szCs w:val="18"/>
                <w:lang w:val="hy-AM" w:eastAsia="en-US"/>
              </w:rPr>
              <w:t xml:space="preserve">Ներդիր 1. Կորոնավիրուսային համավարակի </w:t>
            </w:r>
            <w:r w:rsidRPr="00005BEA">
              <w:rPr>
                <w:rFonts w:cs="Sylfaen"/>
                <w:sz w:val="18"/>
                <w:szCs w:val="18"/>
                <w:lang w:val="sk-SK" w:eastAsia="en-US"/>
              </w:rPr>
              <w:t>(COVID-19)</w:t>
            </w:r>
            <w:r w:rsidRPr="00005BEA">
              <w:rPr>
                <w:rFonts w:cs="Sylfaen"/>
                <w:sz w:val="18"/>
                <w:szCs w:val="18"/>
                <w:lang w:val="hy-AM" w:eastAsia="en-US"/>
              </w:rPr>
              <w:t xml:space="preserve"> զարգացման դինամիկան ՀՀ-ում, կորոնավիրուսի կանխարգելման նպատակով տնտեսական գործունեության տեսակների սահմանափակումները</w:t>
            </w:r>
          </w:p>
        </w:tc>
      </w:tr>
      <w:tr w:rsidR="00005BEA" w:rsidRPr="00005BEA" w:rsidTr="00005BEA">
        <w:tc>
          <w:tcPr>
            <w:tcW w:w="3312" w:type="dxa"/>
            <w:shd w:val="clear" w:color="auto" w:fill="D9D9D9"/>
          </w:tcPr>
          <w:p w:rsidR="00005BEA" w:rsidRPr="00005BEA" w:rsidRDefault="00005BEA" w:rsidP="00005BEA">
            <w:pPr>
              <w:tabs>
                <w:tab w:val="left" w:pos="270"/>
              </w:tabs>
              <w:spacing w:before="0" w:line="240" w:lineRule="auto"/>
              <w:ind w:firstLine="360"/>
              <w:contextualSpacing w:val="0"/>
              <w:jc w:val="left"/>
              <w:rPr>
                <w:rFonts w:cs="Sylfaen"/>
                <w:b w:val="0"/>
                <w:sz w:val="18"/>
                <w:szCs w:val="18"/>
                <w:lang w:val="hy-AM" w:eastAsia="en-US"/>
              </w:rPr>
            </w:pPr>
            <w:r w:rsidRPr="00005BEA">
              <w:rPr>
                <w:rFonts w:cs="Sylfaen"/>
                <w:b w:val="0"/>
                <w:sz w:val="18"/>
                <w:szCs w:val="18"/>
                <w:lang w:val="hy-AM" w:eastAsia="en-US"/>
              </w:rPr>
              <w:t>2020թ. մարտի 1-ին ՀՀ-ում գրանցվեց կորոնավիրուսով հիվանդության առաջին դեպքը, որից հետո վարակը շատ արագ տարածվեց։</w:t>
            </w:r>
          </w:p>
          <w:p w:rsidR="00005BEA" w:rsidRPr="00005BEA" w:rsidRDefault="00005BEA" w:rsidP="00005BEA">
            <w:pPr>
              <w:tabs>
                <w:tab w:val="left" w:pos="0"/>
              </w:tabs>
              <w:spacing w:before="0" w:line="240" w:lineRule="auto"/>
              <w:ind w:firstLine="165"/>
              <w:contextualSpacing w:val="0"/>
              <w:jc w:val="left"/>
              <w:rPr>
                <w:rFonts w:cs="Sylfaen"/>
                <w:b w:val="0"/>
                <w:sz w:val="24"/>
                <w:lang w:val="hy-AM" w:eastAsia="en-US"/>
              </w:rPr>
            </w:pPr>
            <w:r w:rsidRPr="00005BEA">
              <w:rPr>
                <w:rFonts w:cs="Sylfaen"/>
                <w:b w:val="0"/>
                <w:sz w:val="18"/>
                <w:szCs w:val="18"/>
                <w:lang w:val="hy-AM" w:eastAsia="en-US"/>
              </w:rPr>
              <w:t xml:space="preserve">Կորոնավիրուսային համավարակի տարածման կանխարգելման նպատակով 2020թ. մարտի 16-ից ՀՀ-ում հայտարարվեց </w:t>
            </w:r>
            <w:r w:rsidRPr="00005BEA">
              <w:rPr>
                <w:rFonts w:cs="Sylfaen"/>
                <w:bCs/>
                <w:sz w:val="18"/>
                <w:szCs w:val="18"/>
                <w:lang w:val="hy-AM" w:eastAsia="en-US"/>
              </w:rPr>
              <w:t>արտակարգ դրություն</w:t>
            </w:r>
            <w:r w:rsidRPr="00005BEA">
              <w:rPr>
                <w:rFonts w:cs="Sylfaen"/>
                <w:b w:val="0"/>
                <w:sz w:val="18"/>
                <w:szCs w:val="18"/>
                <w:lang w:val="hy-AM" w:eastAsia="en-US"/>
              </w:rPr>
              <w:t xml:space="preserve"> և պարետի որոշումներով արգելվեց տնտեսական գործունեության որոշ տեսակների գործունեությունը, մասնավորապես </w:t>
            </w:r>
            <w:r w:rsidRPr="00005BEA">
              <w:rPr>
                <w:rFonts w:cs="Sylfaen"/>
                <w:bCs/>
                <w:sz w:val="18"/>
                <w:szCs w:val="18"/>
                <w:lang w:val="hy-AM" w:eastAsia="en-US"/>
              </w:rPr>
              <w:t>արգելվեցին՝</w:t>
            </w:r>
          </w:p>
        </w:tc>
        <w:tc>
          <w:tcPr>
            <w:tcW w:w="6606" w:type="dxa"/>
            <w:shd w:val="clear" w:color="auto" w:fill="D9D9D9"/>
          </w:tcPr>
          <w:p w:rsidR="00005BEA" w:rsidRPr="00005BEA" w:rsidRDefault="00005BEA" w:rsidP="00005BEA">
            <w:pPr>
              <w:spacing w:before="0" w:line="240" w:lineRule="auto"/>
              <w:ind w:firstLine="0"/>
              <w:contextualSpacing w:val="0"/>
              <w:jc w:val="left"/>
              <w:rPr>
                <w:b w:val="0"/>
                <w:i/>
                <w:iCs/>
                <w:color w:val="000000"/>
                <w:sz w:val="18"/>
                <w:szCs w:val="18"/>
                <w:lang w:val="hy-AM" w:eastAsia="en-US"/>
              </w:rPr>
            </w:pPr>
            <w:r w:rsidRPr="00005BEA">
              <w:rPr>
                <w:bCs/>
                <w:i/>
                <w:iCs/>
                <w:color w:val="000000"/>
                <w:sz w:val="18"/>
                <w:szCs w:val="18"/>
                <w:lang w:val="hy-AM" w:eastAsia="en-US"/>
              </w:rPr>
              <w:t>Գծապատկեր</w:t>
            </w:r>
            <w:r w:rsidRPr="00005BEA">
              <w:rPr>
                <w:rFonts w:ascii="Cambria Math" w:eastAsia="MS Gothic" w:hAnsi="Cambria Math" w:cs="Cambria Math"/>
                <w:bCs/>
                <w:i/>
                <w:iCs/>
                <w:color w:val="000000"/>
                <w:sz w:val="18"/>
                <w:szCs w:val="18"/>
                <w:lang w:val="hy-AM" w:eastAsia="en-US"/>
              </w:rPr>
              <w:t>․</w:t>
            </w:r>
            <w:r w:rsidRPr="00005BEA">
              <w:rPr>
                <w:bCs/>
                <w:i/>
                <w:iCs/>
                <w:color w:val="000000"/>
                <w:sz w:val="18"/>
                <w:szCs w:val="18"/>
                <w:lang w:val="hy-AM" w:eastAsia="en-US"/>
              </w:rPr>
              <w:t xml:space="preserve"> </w:t>
            </w:r>
            <w:r w:rsidRPr="00005BEA">
              <w:rPr>
                <w:b w:val="0"/>
                <w:i/>
                <w:iCs/>
                <w:color w:val="000000"/>
                <w:sz w:val="18"/>
                <w:szCs w:val="18"/>
                <w:lang w:val="hy-AM" w:eastAsia="en-US"/>
              </w:rPr>
              <w:t>ՀՀ-ում</w:t>
            </w:r>
            <w:r w:rsidRPr="00005BEA">
              <w:rPr>
                <w:bCs/>
                <w:i/>
                <w:iCs/>
                <w:color w:val="000000"/>
                <w:sz w:val="18"/>
                <w:szCs w:val="18"/>
                <w:lang w:val="hy-AM" w:eastAsia="en-US"/>
              </w:rPr>
              <w:t xml:space="preserve"> </w:t>
            </w:r>
            <w:r w:rsidRPr="00005BEA">
              <w:rPr>
                <w:b w:val="0"/>
                <w:i/>
                <w:iCs/>
                <w:color w:val="000000"/>
                <w:sz w:val="18"/>
                <w:szCs w:val="18"/>
                <w:lang w:val="hy-AM" w:eastAsia="en-US"/>
              </w:rPr>
              <w:t>կորոնավիրուսի հաստատված դեպքերը</w:t>
            </w:r>
          </w:p>
          <w:p w:rsidR="00005BEA" w:rsidRPr="00005BEA" w:rsidRDefault="00005BEA" w:rsidP="00005BEA">
            <w:pPr>
              <w:tabs>
                <w:tab w:val="right" w:pos="0"/>
              </w:tabs>
              <w:spacing w:before="0" w:line="276" w:lineRule="auto"/>
              <w:ind w:firstLine="0"/>
              <w:jc w:val="left"/>
              <w:rPr>
                <w:rFonts w:cs="Sylfaen"/>
                <w:b w:val="0"/>
                <w:sz w:val="24"/>
                <w:lang w:val="hy-AM" w:eastAsia="en-US"/>
              </w:rPr>
            </w:pPr>
            <w:r w:rsidRPr="00005BEA">
              <w:rPr>
                <w:rFonts w:ascii="Calibri" w:hAnsi="Calibri"/>
                <w:b w:val="0"/>
                <w:noProof/>
                <w:sz w:val="18"/>
                <w:szCs w:val="18"/>
                <w:shd w:val="clear" w:color="auto" w:fill="D9D9D9"/>
                <w:lang w:val="en-US" w:eastAsia="en-US"/>
              </w:rPr>
              <w:drawing>
                <wp:inline distT="0" distB="0" distL="0" distR="0">
                  <wp:extent cx="4057650" cy="1920240"/>
                  <wp:effectExtent l="0" t="0" r="0" b="381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005BEA" w:rsidRPr="00BD0C63" w:rsidTr="00005BEA">
        <w:trPr>
          <w:trHeight w:val="2609"/>
        </w:trPr>
        <w:tc>
          <w:tcPr>
            <w:tcW w:w="9918" w:type="dxa"/>
            <w:gridSpan w:val="2"/>
            <w:shd w:val="clear" w:color="auto" w:fill="D9D9D9"/>
          </w:tcPr>
          <w:p w:rsidR="00005BEA" w:rsidRPr="00034178" w:rsidRDefault="00005BEA" w:rsidP="00005BEA">
            <w:pPr>
              <w:tabs>
                <w:tab w:val="left" w:pos="510"/>
              </w:tabs>
              <w:spacing w:before="0" w:line="240" w:lineRule="auto"/>
              <w:ind w:firstLine="240"/>
              <w:contextualSpacing w:val="0"/>
              <w:jc w:val="left"/>
              <w:rPr>
                <w:b w:val="0"/>
                <w:i/>
                <w:iCs/>
                <w:color w:val="000000"/>
                <w:sz w:val="18"/>
                <w:szCs w:val="18"/>
                <w:lang w:eastAsia="en-US"/>
              </w:rPr>
            </w:pPr>
            <w:r w:rsidRPr="00034178">
              <w:rPr>
                <w:bCs/>
                <w:i/>
                <w:iCs/>
                <w:color w:val="000000"/>
                <w:sz w:val="18"/>
                <w:szCs w:val="18"/>
                <w:lang w:eastAsia="en-US"/>
              </w:rPr>
              <w:t xml:space="preserve">  1. </w:t>
            </w:r>
            <w:r w:rsidRPr="00005BEA">
              <w:rPr>
                <w:bCs/>
                <w:i/>
                <w:iCs/>
                <w:color w:val="000000"/>
                <w:sz w:val="18"/>
                <w:szCs w:val="18"/>
                <w:lang w:val="en-US" w:eastAsia="en-US"/>
              </w:rPr>
              <w:t>մարտի</w:t>
            </w:r>
            <w:r w:rsidRPr="00034178">
              <w:rPr>
                <w:bCs/>
                <w:i/>
                <w:iCs/>
                <w:color w:val="000000"/>
                <w:sz w:val="18"/>
                <w:szCs w:val="18"/>
                <w:lang w:eastAsia="en-US"/>
              </w:rPr>
              <w:t xml:space="preserve"> 16-</w:t>
            </w:r>
            <w:r w:rsidRPr="00005BEA">
              <w:rPr>
                <w:bCs/>
                <w:i/>
                <w:iCs/>
                <w:color w:val="000000"/>
                <w:sz w:val="18"/>
                <w:szCs w:val="18"/>
                <w:lang w:val="en-US" w:eastAsia="en-US"/>
              </w:rPr>
              <w:t>ից՝</w:t>
            </w:r>
            <w:r w:rsidRPr="00034178">
              <w:rPr>
                <w:bCs/>
                <w:i/>
                <w:iCs/>
                <w:color w:val="000000"/>
                <w:sz w:val="18"/>
                <w:szCs w:val="18"/>
                <w:lang w:eastAsia="en-US"/>
              </w:rPr>
              <w:t xml:space="preserve"> </w:t>
            </w:r>
            <w:r w:rsidRPr="00034178">
              <w:rPr>
                <w:b w:val="0"/>
                <w:i/>
                <w:iCs/>
                <w:color w:val="000000"/>
                <w:sz w:val="18"/>
                <w:szCs w:val="18"/>
                <w:lang w:eastAsia="en-US"/>
              </w:rPr>
              <w:t xml:space="preserve">20 </w:t>
            </w:r>
            <w:r w:rsidRPr="00005BEA">
              <w:rPr>
                <w:b w:val="0"/>
                <w:i/>
                <w:iCs/>
                <w:color w:val="000000"/>
                <w:sz w:val="18"/>
                <w:szCs w:val="18"/>
                <w:lang w:val="en-US" w:eastAsia="en-US"/>
              </w:rPr>
              <w:t>և</w:t>
            </w:r>
            <w:r w:rsidRPr="00034178">
              <w:rPr>
                <w:b w:val="0"/>
                <w:i/>
                <w:iCs/>
                <w:color w:val="000000"/>
                <w:sz w:val="18"/>
                <w:szCs w:val="18"/>
                <w:lang w:eastAsia="en-US"/>
              </w:rPr>
              <w:t xml:space="preserve"> </w:t>
            </w:r>
            <w:r w:rsidRPr="00005BEA">
              <w:rPr>
                <w:b w:val="0"/>
                <w:i/>
                <w:iCs/>
                <w:color w:val="000000"/>
                <w:sz w:val="18"/>
                <w:szCs w:val="18"/>
                <w:lang w:val="en-US" w:eastAsia="en-US"/>
              </w:rPr>
              <w:t>ավելի</w:t>
            </w:r>
            <w:r w:rsidRPr="00034178">
              <w:rPr>
                <w:b w:val="0"/>
                <w:i/>
                <w:iCs/>
                <w:color w:val="000000"/>
                <w:sz w:val="18"/>
                <w:szCs w:val="18"/>
                <w:lang w:eastAsia="en-US"/>
              </w:rPr>
              <w:t xml:space="preserve"> </w:t>
            </w:r>
            <w:r w:rsidRPr="00005BEA">
              <w:rPr>
                <w:b w:val="0"/>
                <w:i/>
                <w:iCs/>
                <w:color w:val="000000"/>
                <w:sz w:val="18"/>
                <w:szCs w:val="18"/>
                <w:lang w:val="en-US" w:eastAsia="en-US"/>
              </w:rPr>
              <w:t>անձանց</w:t>
            </w:r>
            <w:r w:rsidRPr="00034178">
              <w:rPr>
                <w:b w:val="0"/>
                <w:i/>
                <w:iCs/>
                <w:color w:val="000000"/>
                <w:sz w:val="18"/>
                <w:szCs w:val="18"/>
                <w:lang w:eastAsia="en-US"/>
              </w:rPr>
              <w:t xml:space="preserve"> </w:t>
            </w:r>
            <w:r w:rsidRPr="00005BEA">
              <w:rPr>
                <w:b w:val="0"/>
                <w:i/>
                <w:iCs/>
                <w:color w:val="000000"/>
                <w:sz w:val="18"/>
                <w:szCs w:val="18"/>
                <w:lang w:val="en-US" w:eastAsia="en-US"/>
              </w:rPr>
              <w:t>մասնակցությամբ</w:t>
            </w:r>
            <w:r w:rsidRPr="00034178">
              <w:rPr>
                <w:b w:val="0"/>
                <w:i/>
                <w:iCs/>
                <w:color w:val="000000"/>
                <w:sz w:val="18"/>
                <w:szCs w:val="18"/>
                <w:lang w:eastAsia="en-US"/>
              </w:rPr>
              <w:t xml:space="preserve"> </w:t>
            </w:r>
            <w:r w:rsidRPr="00005BEA">
              <w:rPr>
                <w:b w:val="0"/>
                <w:i/>
                <w:iCs/>
                <w:color w:val="000000"/>
                <w:sz w:val="18"/>
                <w:szCs w:val="18"/>
                <w:lang w:val="en-US" w:eastAsia="en-US"/>
              </w:rPr>
              <w:t>համերգները</w:t>
            </w:r>
            <w:r w:rsidRPr="00034178">
              <w:rPr>
                <w:b w:val="0"/>
                <w:i/>
                <w:iCs/>
                <w:color w:val="000000"/>
                <w:sz w:val="18"/>
                <w:szCs w:val="18"/>
                <w:lang w:eastAsia="en-US"/>
              </w:rPr>
              <w:t xml:space="preserve">, </w:t>
            </w:r>
            <w:r w:rsidRPr="00005BEA">
              <w:rPr>
                <w:b w:val="0"/>
                <w:i/>
                <w:iCs/>
                <w:color w:val="000000"/>
                <w:sz w:val="18"/>
                <w:szCs w:val="18"/>
                <w:lang w:val="en-US" w:eastAsia="en-US"/>
              </w:rPr>
              <w:t>ցուցադրությունները</w:t>
            </w:r>
            <w:r w:rsidRPr="00034178">
              <w:rPr>
                <w:b w:val="0"/>
                <w:i/>
                <w:iCs/>
                <w:color w:val="000000"/>
                <w:sz w:val="18"/>
                <w:szCs w:val="18"/>
                <w:lang w:eastAsia="en-US"/>
              </w:rPr>
              <w:t xml:space="preserve">, </w:t>
            </w:r>
            <w:r w:rsidRPr="00005BEA">
              <w:rPr>
                <w:b w:val="0"/>
                <w:i/>
                <w:iCs/>
                <w:color w:val="000000"/>
                <w:sz w:val="18"/>
                <w:szCs w:val="18"/>
                <w:lang w:val="en-US" w:eastAsia="en-US"/>
              </w:rPr>
              <w:t>թատերական</w:t>
            </w:r>
            <w:r w:rsidRPr="00034178">
              <w:rPr>
                <w:b w:val="0"/>
                <w:i/>
                <w:iCs/>
                <w:color w:val="000000"/>
                <w:sz w:val="18"/>
                <w:szCs w:val="18"/>
                <w:lang w:eastAsia="en-US"/>
              </w:rPr>
              <w:t xml:space="preserve"> </w:t>
            </w:r>
            <w:r w:rsidRPr="00005BEA">
              <w:rPr>
                <w:b w:val="0"/>
                <w:i/>
                <w:iCs/>
                <w:color w:val="000000"/>
                <w:sz w:val="18"/>
                <w:szCs w:val="18"/>
                <w:lang w:val="en-US" w:eastAsia="en-US"/>
              </w:rPr>
              <w:t>ներկայացումները</w:t>
            </w:r>
            <w:r w:rsidRPr="00034178">
              <w:rPr>
                <w:b w:val="0"/>
                <w:i/>
                <w:iCs/>
                <w:color w:val="000000"/>
                <w:sz w:val="18"/>
                <w:szCs w:val="18"/>
                <w:lang w:eastAsia="en-US"/>
              </w:rPr>
              <w:t xml:space="preserve">, </w:t>
            </w:r>
            <w:r w:rsidRPr="00005BEA">
              <w:rPr>
                <w:b w:val="0"/>
                <w:i/>
                <w:iCs/>
                <w:color w:val="000000"/>
                <w:sz w:val="18"/>
                <w:szCs w:val="18"/>
                <w:lang w:val="en-US" w:eastAsia="en-US"/>
              </w:rPr>
              <w:t>սպորտային</w:t>
            </w:r>
            <w:r w:rsidRPr="00034178">
              <w:rPr>
                <w:b w:val="0"/>
                <w:i/>
                <w:iCs/>
                <w:color w:val="000000"/>
                <w:sz w:val="18"/>
                <w:szCs w:val="18"/>
                <w:lang w:eastAsia="en-US"/>
              </w:rPr>
              <w:t xml:space="preserve">, </w:t>
            </w:r>
            <w:r w:rsidRPr="00005BEA">
              <w:rPr>
                <w:b w:val="0"/>
                <w:i/>
                <w:iCs/>
                <w:color w:val="000000"/>
                <w:sz w:val="18"/>
                <w:szCs w:val="18"/>
                <w:lang w:val="en-US" w:eastAsia="en-US"/>
              </w:rPr>
              <w:t>մշակութային</w:t>
            </w:r>
            <w:r w:rsidRPr="00034178">
              <w:rPr>
                <w:b w:val="0"/>
                <w:i/>
                <w:iCs/>
                <w:color w:val="000000"/>
                <w:sz w:val="18"/>
                <w:szCs w:val="18"/>
                <w:lang w:eastAsia="en-US"/>
              </w:rPr>
              <w:t xml:space="preserve">, </w:t>
            </w:r>
            <w:r w:rsidRPr="00005BEA">
              <w:rPr>
                <w:b w:val="0"/>
                <w:i/>
                <w:iCs/>
                <w:color w:val="000000"/>
                <w:sz w:val="18"/>
                <w:szCs w:val="18"/>
                <w:lang w:val="en-US" w:eastAsia="en-US"/>
              </w:rPr>
              <w:t>կրթական</w:t>
            </w:r>
            <w:r w:rsidRPr="00034178">
              <w:rPr>
                <w:b w:val="0"/>
                <w:i/>
                <w:iCs/>
                <w:color w:val="000000"/>
                <w:sz w:val="18"/>
                <w:szCs w:val="18"/>
                <w:lang w:eastAsia="en-US"/>
              </w:rPr>
              <w:t xml:space="preserve">, </w:t>
            </w:r>
            <w:r w:rsidRPr="00005BEA">
              <w:rPr>
                <w:b w:val="0"/>
                <w:i/>
                <w:iCs/>
                <w:color w:val="000000"/>
                <w:sz w:val="18"/>
                <w:szCs w:val="18"/>
                <w:lang w:val="en-US" w:eastAsia="en-US"/>
              </w:rPr>
              <w:t>ժամանցային</w:t>
            </w:r>
            <w:r w:rsidRPr="00034178">
              <w:rPr>
                <w:b w:val="0"/>
                <w:i/>
                <w:iCs/>
                <w:color w:val="000000"/>
                <w:sz w:val="18"/>
                <w:szCs w:val="18"/>
                <w:lang w:eastAsia="en-US"/>
              </w:rPr>
              <w:t xml:space="preserve">, </w:t>
            </w:r>
            <w:r w:rsidRPr="00005BEA">
              <w:rPr>
                <w:b w:val="0"/>
                <w:i/>
                <w:iCs/>
                <w:color w:val="000000"/>
                <w:sz w:val="18"/>
                <w:szCs w:val="18"/>
                <w:lang w:val="en-US" w:eastAsia="en-US"/>
              </w:rPr>
              <w:t>տոնական</w:t>
            </w:r>
            <w:r w:rsidRPr="00034178">
              <w:rPr>
                <w:b w:val="0"/>
                <w:i/>
                <w:iCs/>
                <w:color w:val="000000"/>
                <w:sz w:val="18"/>
                <w:szCs w:val="18"/>
                <w:lang w:eastAsia="en-US"/>
              </w:rPr>
              <w:t xml:space="preserve">, </w:t>
            </w:r>
            <w:r w:rsidRPr="00005BEA">
              <w:rPr>
                <w:b w:val="0"/>
                <w:i/>
                <w:iCs/>
                <w:color w:val="000000"/>
                <w:sz w:val="18"/>
                <w:szCs w:val="18"/>
                <w:lang w:val="en-US" w:eastAsia="en-US"/>
              </w:rPr>
              <w:t>հիշատակի</w:t>
            </w:r>
            <w:r w:rsidRPr="00034178">
              <w:rPr>
                <w:b w:val="0"/>
                <w:i/>
                <w:iCs/>
                <w:color w:val="000000"/>
                <w:sz w:val="18"/>
                <w:szCs w:val="18"/>
                <w:lang w:eastAsia="en-US"/>
              </w:rPr>
              <w:t xml:space="preserve"> </w:t>
            </w:r>
            <w:r w:rsidRPr="00005BEA">
              <w:rPr>
                <w:b w:val="0"/>
                <w:i/>
                <w:iCs/>
                <w:color w:val="000000"/>
                <w:sz w:val="18"/>
                <w:szCs w:val="18"/>
                <w:lang w:val="en-US" w:eastAsia="en-US"/>
              </w:rPr>
              <w:t>և</w:t>
            </w:r>
            <w:r w:rsidRPr="00034178">
              <w:rPr>
                <w:b w:val="0"/>
                <w:i/>
                <w:iCs/>
                <w:color w:val="000000"/>
                <w:sz w:val="18"/>
                <w:szCs w:val="18"/>
                <w:lang w:eastAsia="en-US"/>
              </w:rPr>
              <w:t xml:space="preserve"> </w:t>
            </w:r>
            <w:r w:rsidRPr="00005BEA">
              <w:rPr>
                <w:b w:val="0"/>
                <w:i/>
                <w:iCs/>
                <w:color w:val="000000"/>
                <w:sz w:val="18"/>
                <w:szCs w:val="18"/>
                <w:lang w:val="en-US" w:eastAsia="en-US"/>
              </w:rPr>
              <w:t>այլ</w:t>
            </w:r>
            <w:r w:rsidRPr="00034178">
              <w:rPr>
                <w:b w:val="0"/>
                <w:i/>
                <w:iCs/>
                <w:color w:val="000000"/>
                <w:sz w:val="18"/>
                <w:szCs w:val="18"/>
                <w:lang w:eastAsia="en-US"/>
              </w:rPr>
              <w:t xml:space="preserve"> </w:t>
            </w:r>
            <w:r w:rsidRPr="00005BEA">
              <w:rPr>
                <w:b w:val="0"/>
                <w:i/>
                <w:iCs/>
                <w:color w:val="000000"/>
                <w:sz w:val="18"/>
                <w:szCs w:val="18"/>
                <w:lang w:val="en-US" w:eastAsia="en-US"/>
              </w:rPr>
              <w:t>միջոցառումները</w:t>
            </w:r>
            <w:r w:rsidRPr="00034178">
              <w:rPr>
                <w:b w:val="0"/>
                <w:i/>
                <w:iCs/>
                <w:color w:val="000000"/>
                <w:sz w:val="18"/>
                <w:szCs w:val="18"/>
                <w:lang w:eastAsia="en-US"/>
              </w:rPr>
              <w:t xml:space="preserve">, </w:t>
            </w:r>
            <w:r w:rsidRPr="00005BEA">
              <w:rPr>
                <w:b w:val="0"/>
                <w:i/>
                <w:iCs/>
                <w:color w:val="000000"/>
                <w:sz w:val="18"/>
                <w:szCs w:val="18"/>
                <w:lang w:val="en-US" w:eastAsia="en-US"/>
              </w:rPr>
              <w:t>ուսումնական</w:t>
            </w:r>
            <w:r w:rsidRPr="00034178">
              <w:rPr>
                <w:b w:val="0"/>
                <w:i/>
                <w:iCs/>
                <w:color w:val="000000"/>
                <w:sz w:val="18"/>
                <w:szCs w:val="18"/>
                <w:lang w:eastAsia="en-US"/>
              </w:rPr>
              <w:t xml:space="preserve"> </w:t>
            </w:r>
            <w:r w:rsidRPr="00005BEA">
              <w:rPr>
                <w:b w:val="0"/>
                <w:i/>
                <w:iCs/>
                <w:color w:val="000000"/>
                <w:sz w:val="18"/>
                <w:szCs w:val="18"/>
                <w:lang w:val="en-US" w:eastAsia="en-US"/>
              </w:rPr>
              <w:t>գործընթացը</w:t>
            </w:r>
            <w:r w:rsidRPr="00034178">
              <w:rPr>
                <w:b w:val="0"/>
                <w:i/>
                <w:iCs/>
                <w:color w:val="000000"/>
                <w:sz w:val="18"/>
                <w:szCs w:val="18"/>
                <w:lang w:eastAsia="en-US"/>
              </w:rPr>
              <w:t xml:space="preserve"> (</w:t>
            </w:r>
            <w:r w:rsidRPr="00005BEA">
              <w:rPr>
                <w:b w:val="0"/>
                <w:i/>
                <w:iCs/>
                <w:color w:val="000000"/>
                <w:sz w:val="18"/>
                <w:szCs w:val="18"/>
                <w:lang w:val="en-US" w:eastAsia="en-US"/>
              </w:rPr>
              <w:t>բացառությամբ՝</w:t>
            </w:r>
            <w:r w:rsidRPr="00034178">
              <w:rPr>
                <w:b w:val="0"/>
                <w:i/>
                <w:iCs/>
                <w:color w:val="000000"/>
                <w:sz w:val="18"/>
                <w:szCs w:val="18"/>
                <w:lang w:eastAsia="en-US"/>
              </w:rPr>
              <w:t xml:space="preserve"> </w:t>
            </w:r>
            <w:r w:rsidRPr="00005BEA">
              <w:rPr>
                <w:b w:val="0"/>
                <w:i/>
                <w:iCs/>
                <w:color w:val="000000"/>
                <w:sz w:val="18"/>
                <w:szCs w:val="18"/>
                <w:lang w:val="en-US" w:eastAsia="en-US"/>
              </w:rPr>
              <w:t>հեռավար</w:t>
            </w:r>
            <w:r w:rsidRPr="00034178">
              <w:rPr>
                <w:b w:val="0"/>
                <w:i/>
                <w:iCs/>
                <w:color w:val="000000"/>
                <w:sz w:val="18"/>
                <w:szCs w:val="18"/>
                <w:lang w:eastAsia="en-US"/>
              </w:rPr>
              <w:t xml:space="preserve"> </w:t>
            </w:r>
            <w:r w:rsidRPr="00005BEA">
              <w:rPr>
                <w:b w:val="0"/>
                <w:i/>
                <w:iCs/>
                <w:color w:val="000000"/>
                <w:sz w:val="18"/>
                <w:szCs w:val="18"/>
                <w:lang w:val="en-US" w:eastAsia="en-US"/>
              </w:rPr>
              <w:t>ուսուցման</w:t>
            </w:r>
            <w:r w:rsidRPr="00034178">
              <w:rPr>
                <w:b w:val="0"/>
                <w:i/>
                <w:iCs/>
                <w:color w:val="000000"/>
                <w:sz w:val="18"/>
                <w:szCs w:val="18"/>
                <w:lang w:eastAsia="en-US"/>
              </w:rPr>
              <w:t xml:space="preserve">) </w:t>
            </w:r>
            <w:r w:rsidRPr="00005BEA">
              <w:rPr>
                <w:b w:val="0"/>
                <w:i/>
                <w:iCs/>
                <w:color w:val="000000"/>
                <w:sz w:val="18"/>
                <w:szCs w:val="18"/>
                <w:lang w:val="en-US" w:eastAsia="en-US"/>
              </w:rPr>
              <w:t>և</w:t>
            </w:r>
            <w:r w:rsidRPr="00034178">
              <w:rPr>
                <w:b w:val="0"/>
                <w:i/>
                <w:iCs/>
                <w:color w:val="000000"/>
                <w:sz w:val="18"/>
                <w:szCs w:val="18"/>
                <w:lang w:eastAsia="en-US"/>
              </w:rPr>
              <w:t xml:space="preserve"> </w:t>
            </w:r>
            <w:r w:rsidRPr="00005BEA">
              <w:rPr>
                <w:b w:val="0"/>
                <w:i/>
                <w:iCs/>
                <w:color w:val="000000"/>
                <w:sz w:val="18"/>
                <w:szCs w:val="18"/>
                <w:lang w:val="en-US" w:eastAsia="en-US"/>
              </w:rPr>
              <w:t>այլ</w:t>
            </w:r>
            <w:r w:rsidRPr="00034178">
              <w:rPr>
                <w:b w:val="0"/>
                <w:i/>
                <w:iCs/>
                <w:color w:val="000000"/>
                <w:sz w:val="18"/>
                <w:szCs w:val="18"/>
                <w:lang w:eastAsia="en-US"/>
              </w:rPr>
              <w:t xml:space="preserve"> </w:t>
            </w:r>
            <w:r w:rsidRPr="00005BEA">
              <w:rPr>
                <w:b w:val="0"/>
                <w:i/>
                <w:iCs/>
                <w:color w:val="000000"/>
                <w:sz w:val="18"/>
                <w:szCs w:val="18"/>
                <w:lang w:val="en-US" w:eastAsia="en-US"/>
              </w:rPr>
              <w:t>գործունեություններ</w:t>
            </w:r>
            <w:r w:rsidRPr="00034178">
              <w:rPr>
                <w:b w:val="0"/>
                <w:i/>
                <w:iCs/>
                <w:color w:val="000000"/>
                <w:sz w:val="18"/>
                <w:szCs w:val="18"/>
                <w:lang w:eastAsia="en-US"/>
              </w:rPr>
              <w:t>,</w:t>
            </w:r>
          </w:p>
          <w:p w:rsidR="00005BEA" w:rsidRPr="00513DF0" w:rsidRDefault="00005BEA" w:rsidP="00005BEA">
            <w:pPr>
              <w:tabs>
                <w:tab w:val="left" w:pos="510"/>
              </w:tabs>
              <w:spacing w:before="0" w:line="240" w:lineRule="auto"/>
              <w:ind w:firstLine="240"/>
              <w:contextualSpacing w:val="0"/>
              <w:jc w:val="left"/>
              <w:rPr>
                <w:b w:val="0"/>
                <w:i/>
                <w:iCs/>
                <w:color w:val="000000"/>
                <w:sz w:val="18"/>
                <w:szCs w:val="18"/>
                <w:lang w:eastAsia="en-US"/>
              </w:rPr>
            </w:pPr>
            <w:r w:rsidRPr="00513DF0">
              <w:rPr>
                <w:bCs/>
                <w:i/>
                <w:iCs/>
                <w:color w:val="000000"/>
                <w:sz w:val="18"/>
                <w:szCs w:val="18"/>
                <w:lang w:eastAsia="en-US"/>
              </w:rPr>
              <w:t>2.</w:t>
            </w:r>
            <w:r w:rsidRPr="00513DF0">
              <w:rPr>
                <w:bCs/>
                <w:i/>
                <w:iCs/>
                <w:color w:val="000000"/>
                <w:sz w:val="18"/>
                <w:szCs w:val="18"/>
                <w:lang w:eastAsia="en-US"/>
              </w:rPr>
              <w:tab/>
            </w:r>
            <w:r w:rsidRPr="00005BEA">
              <w:rPr>
                <w:bCs/>
                <w:i/>
                <w:iCs/>
                <w:color w:val="000000"/>
                <w:sz w:val="18"/>
                <w:szCs w:val="18"/>
                <w:lang w:val="en-US" w:eastAsia="en-US"/>
              </w:rPr>
              <w:t>մարտի</w:t>
            </w:r>
            <w:r w:rsidRPr="00513DF0">
              <w:rPr>
                <w:bCs/>
                <w:i/>
                <w:iCs/>
                <w:color w:val="000000"/>
                <w:sz w:val="18"/>
                <w:szCs w:val="18"/>
                <w:lang w:eastAsia="en-US"/>
              </w:rPr>
              <w:t xml:space="preserve"> 22-</w:t>
            </w:r>
            <w:r w:rsidRPr="00005BEA">
              <w:rPr>
                <w:bCs/>
                <w:i/>
                <w:iCs/>
                <w:color w:val="000000"/>
                <w:sz w:val="18"/>
                <w:szCs w:val="18"/>
                <w:lang w:val="en-US" w:eastAsia="en-US"/>
              </w:rPr>
              <w:t>ից</w:t>
            </w:r>
            <w:r w:rsidRPr="00005BEA">
              <w:rPr>
                <w:b w:val="0"/>
                <w:i/>
                <w:iCs/>
                <w:color w:val="000000"/>
                <w:sz w:val="18"/>
                <w:szCs w:val="18"/>
                <w:lang w:val="en-US" w:eastAsia="en-US"/>
              </w:rPr>
              <w:t>՝</w:t>
            </w:r>
            <w:r w:rsidRPr="00513DF0">
              <w:rPr>
                <w:b w:val="0"/>
                <w:i/>
                <w:iCs/>
                <w:color w:val="000000"/>
                <w:sz w:val="18"/>
                <w:szCs w:val="18"/>
                <w:lang w:eastAsia="en-US"/>
              </w:rPr>
              <w:t xml:space="preserve"> </w:t>
            </w:r>
            <w:r w:rsidRPr="00005BEA">
              <w:rPr>
                <w:b w:val="0"/>
                <w:i/>
                <w:iCs/>
                <w:color w:val="000000"/>
                <w:sz w:val="18"/>
                <w:szCs w:val="18"/>
                <w:lang w:val="en-US" w:eastAsia="en-US"/>
              </w:rPr>
              <w:t>առևտրի</w:t>
            </w:r>
            <w:r w:rsidRPr="00513DF0">
              <w:rPr>
                <w:b w:val="0"/>
                <w:i/>
                <w:iCs/>
                <w:color w:val="000000"/>
                <w:sz w:val="18"/>
                <w:szCs w:val="18"/>
                <w:lang w:eastAsia="en-US"/>
              </w:rPr>
              <w:t xml:space="preserve"> </w:t>
            </w:r>
            <w:r w:rsidRPr="00005BEA">
              <w:rPr>
                <w:b w:val="0"/>
                <w:i/>
                <w:iCs/>
                <w:color w:val="000000"/>
                <w:sz w:val="18"/>
                <w:szCs w:val="18"/>
                <w:lang w:val="en-US" w:eastAsia="en-US"/>
              </w:rPr>
              <w:t>կենտրոնների</w:t>
            </w:r>
            <w:r w:rsidRPr="00513DF0">
              <w:rPr>
                <w:b w:val="0"/>
                <w:i/>
                <w:iCs/>
                <w:color w:val="000000"/>
                <w:sz w:val="18"/>
                <w:szCs w:val="18"/>
                <w:lang w:eastAsia="en-US"/>
              </w:rPr>
              <w:t xml:space="preserve"> (</w:t>
            </w:r>
            <w:r w:rsidRPr="00005BEA">
              <w:rPr>
                <w:b w:val="0"/>
                <w:i/>
                <w:iCs/>
                <w:color w:val="000000"/>
                <w:sz w:val="18"/>
                <w:szCs w:val="18"/>
                <w:lang w:val="en-US" w:eastAsia="en-US"/>
              </w:rPr>
              <w:t>բացառությամբ՝</w:t>
            </w:r>
            <w:r w:rsidRPr="00513DF0">
              <w:rPr>
                <w:b w:val="0"/>
                <w:i/>
                <w:iCs/>
                <w:color w:val="000000"/>
                <w:sz w:val="18"/>
                <w:szCs w:val="18"/>
                <w:lang w:eastAsia="en-US"/>
              </w:rPr>
              <w:t xml:space="preserve"> </w:t>
            </w:r>
            <w:r w:rsidRPr="00005BEA">
              <w:rPr>
                <w:b w:val="0"/>
                <w:i/>
                <w:iCs/>
                <w:color w:val="000000"/>
                <w:sz w:val="18"/>
                <w:szCs w:val="18"/>
                <w:lang w:val="en-US" w:eastAsia="en-US"/>
              </w:rPr>
              <w:t>սննդի</w:t>
            </w:r>
            <w:r w:rsidRPr="00513DF0">
              <w:rPr>
                <w:b w:val="0"/>
                <w:i/>
                <w:iCs/>
                <w:color w:val="000000"/>
                <w:sz w:val="18"/>
                <w:szCs w:val="18"/>
                <w:lang w:eastAsia="en-US"/>
              </w:rPr>
              <w:t xml:space="preserve">, </w:t>
            </w:r>
            <w:r w:rsidRPr="00005BEA">
              <w:rPr>
                <w:b w:val="0"/>
                <w:i/>
                <w:iCs/>
                <w:color w:val="000000"/>
                <w:sz w:val="18"/>
                <w:szCs w:val="18"/>
                <w:lang w:val="en-US" w:eastAsia="en-US"/>
              </w:rPr>
              <w:t>խմիչքների</w:t>
            </w:r>
            <w:r w:rsidRPr="00513DF0">
              <w:rPr>
                <w:b w:val="0"/>
                <w:i/>
                <w:iCs/>
                <w:color w:val="000000"/>
                <w:sz w:val="18"/>
                <w:szCs w:val="18"/>
                <w:lang w:eastAsia="en-US"/>
              </w:rPr>
              <w:t xml:space="preserve">, </w:t>
            </w:r>
            <w:r w:rsidRPr="00005BEA">
              <w:rPr>
                <w:b w:val="0"/>
                <w:i/>
                <w:iCs/>
                <w:color w:val="000000"/>
                <w:sz w:val="18"/>
                <w:szCs w:val="18"/>
                <w:lang w:val="en-US" w:eastAsia="en-US"/>
              </w:rPr>
              <w:t>ծխախոտի</w:t>
            </w:r>
            <w:r w:rsidRPr="00513DF0">
              <w:rPr>
                <w:b w:val="0"/>
                <w:i/>
                <w:iCs/>
                <w:color w:val="000000"/>
                <w:sz w:val="18"/>
                <w:szCs w:val="18"/>
                <w:lang w:eastAsia="en-US"/>
              </w:rPr>
              <w:t xml:space="preserve"> </w:t>
            </w:r>
            <w:r w:rsidRPr="00005BEA">
              <w:rPr>
                <w:b w:val="0"/>
                <w:i/>
                <w:iCs/>
                <w:color w:val="000000"/>
                <w:sz w:val="18"/>
                <w:szCs w:val="18"/>
                <w:lang w:val="en-US" w:eastAsia="en-US"/>
              </w:rPr>
              <w:t>մանրածախ</w:t>
            </w:r>
            <w:r w:rsidRPr="00513DF0">
              <w:rPr>
                <w:b w:val="0"/>
                <w:i/>
                <w:iCs/>
                <w:color w:val="000000"/>
                <w:sz w:val="18"/>
                <w:szCs w:val="18"/>
                <w:lang w:eastAsia="en-US"/>
              </w:rPr>
              <w:t xml:space="preserve"> </w:t>
            </w:r>
            <w:r w:rsidRPr="00005BEA">
              <w:rPr>
                <w:b w:val="0"/>
                <w:i/>
                <w:iCs/>
                <w:color w:val="000000"/>
                <w:sz w:val="18"/>
                <w:szCs w:val="18"/>
                <w:lang w:val="en-US" w:eastAsia="en-US"/>
              </w:rPr>
              <w:t>առևտրի</w:t>
            </w:r>
            <w:r w:rsidRPr="00513DF0">
              <w:rPr>
                <w:b w:val="0"/>
                <w:i/>
                <w:iCs/>
                <w:color w:val="000000"/>
                <w:sz w:val="18"/>
                <w:szCs w:val="18"/>
                <w:lang w:eastAsia="en-US"/>
              </w:rPr>
              <w:t xml:space="preserve">), </w:t>
            </w:r>
            <w:r w:rsidRPr="00005BEA">
              <w:rPr>
                <w:b w:val="0"/>
                <w:i/>
                <w:iCs/>
                <w:color w:val="000000"/>
                <w:sz w:val="18"/>
                <w:szCs w:val="18"/>
                <w:lang w:val="en-US" w:eastAsia="en-US"/>
              </w:rPr>
              <w:t>բարերի</w:t>
            </w:r>
            <w:r w:rsidRPr="00513DF0">
              <w:rPr>
                <w:b w:val="0"/>
                <w:i/>
                <w:iCs/>
                <w:color w:val="000000"/>
                <w:sz w:val="18"/>
                <w:szCs w:val="18"/>
                <w:lang w:eastAsia="en-US"/>
              </w:rPr>
              <w:t xml:space="preserve">, </w:t>
            </w:r>
            <w:r w:rsidRPr="00005BEA">
              <w:rPr>
                <w:b w:val="0"/>
                <w:i/>
                <w:iCs/>
                <w:color w:val="000000"/>
                <w:sz w:val="18"/>
                <w:szCs w:val="18"/>
                <w:lang w:val="en-US" w:eastAsia="en-US"/>
              </w:rPr>
              <w:t>գիշերային</w:t>
            </w:r>
            <w:r w:rsidRPr="00513DF0">
              <w:rPr>
                <w:b w:val="0"/>
                <w:i/>
                <w:iCs/>
                <w:color w:val="000000"/>
                <w:sz w:val="18"/>
                <w:szCs w:val="18"/>
                <w:lang w:eastAsia="en-US"/>
              </w:rPr>
              <w:t xml:space="preserve"> </w:t>
            </w:r>
            <w:r w:rsidRPr="00005BEA">
              <w:rPr>
                <w:b w:val="0"/>
                <w:i/>
                <w:iCs/>
                <w:color w:val="000000"/>
                <w:sz w:val="18"/>
                <w:szCs w:val="18"/>
                <w:lang w:val="en-US" w:eastAsia="en-US"/>
              </w:rPr>
              <w:t>ակումբների</w:t>
            </w:r>
            <w:r w:rsidRPr="00513DF0">
              <w:rPr>
                <w:b w:val="0"/>
                <w:i/>
                <w:iCs/>
                <w:color w:val="000000"/>
                <w:sz w:val="18"/>
                <w:szCs w:val="18"/>
                <w:lang w:eastAsia="en-US"/>
              </w:rPr>
              <w:t xml:space="preserve">, </w:t>
            </w:r>
            <w:r w:rsidRPr="00005BEA">
              <w:rPr>
                <w:b w:val="0"/>
                <w:i/>
                <w:iCs/>
                <w:color w:val="000000"/>
                <w:sz w:val="18"/>
                <w:szCs w:val="18"/>
                <w:lang w:val="en-US" w:eastAsia="en-US"/>
              </w:rPr>
              <w:t>պարահրապարակների</w:t>
            </w:r>
            <w:r w:rsidRPr="00513DF0">
              <w:rPr>
                <w:b w:val="0"/>
                <w:i/>
                <w:iCs/>
                <w:color w:val="000000"/>
                <w:sz w:val="18"/>
                <w:szCs w:val="18"/>
                <w:lang w:eastAsia="en-US"/>
              </w:rPr>
              <w:t xml:space="preserve">, </w:t>
            </w:r>
            <w:r w:rsidRPr="00005BEA">
              <w:rPr>
                <w:b w:val="0"/>
                <w:i/>
                <w:iCs/>
                <w:color w:val="000000"/>
                <w:sz w:val="18"/>
                <w:szCs w:val="18"/>
                <w:lang w:val="en-US" w:eastAsia="en-US"/>
              </w:rPr>
              <w:t>կինոֆիլմերի</w:t>
            </w:r>
            <w:r w:rsidRPr="00513DF0">
              <w:rPr>
                <w:b w:val="0"/>
                <w:i/>
                <w:iCs/>
                <w:color w:val="000000"/>
                <w:sz w:val="18"/>
                <w:szCs w:val="18"/>
                <w:lang w:eastAsia="en-US"/>
              </w:rPr>
              <w:t xml:space="preserve"> </w:t>
            </w:r>
            <w:r w:rsidRPr="00005BEA">
              <w:rPr>
                <w:b w:val="0"/>
                <w:i/>
                <w:iCs/>
                <w:color w:val="000000"/>
                <w:sz w:val="18"/>
                <w:szCs w:val="18"/>
                <w:lang w:val="en-US" w:eastAsia="en-US"/>
              </w:rPr>
              <w:t>ցուցադրման</w:t>
            </w:r>
            <w:r w:rsidRPr="00513DF0">
              <w:rPr>
                <w:b w:val="0"/>
                <w:i/>
                <w:iCs/>
                <w:color w:val="000000"/>
                <w:sz w:val="18"/>
                <w:szCs w:val="18"/>
                <w:lang w:eastAsia="en-US"/>
              </w:rPr>
              <w:t xml:space="preserve">, </w:t>
            </w:r>
            <w:r w:rsidRPr="00005BEA">
              <w:rPr>
                <w:b w:val="0"/>
                <w:i/>
                <w:iCs/>
                <w:color w:val="000000"/>
                <w:sz w:val="18"/>
                <w:szCs w:val="18"/>
                <w:lang w:val="en-US" w:eastAsia="en-US"/>
              </w:rPr>
              <w:t>խաղատների</w:t>
            </w:r>
            <w:r w:rsidRPr="00513DF0">
              <w:rPr>
                <w:b w:val="0"/>
                <w:i/>
                <w:iCs/>
                <w:color w:val="000000"/>
                <w:sz w:val="18"/>
                <w:szCs w:val="18"/>
                <w:lang w:eastAsia="en-US"/>
              </w:rPr>
              <w:t xml:space="preserve">, </w:t>
            </w:r>
            <w:r w:rsidRPr="00005BEA">
              <w:rPr>
                <w:b w:val="0"/>
                <w:i/>
                <w:iCs/>
                <w:color w:val="000000"/>
                <w:sz w:val="18"/>
                <w:szCs w:val="18"/>
                <w:lang w:val="en-US" w:eastAsia="en-US"/>
              </w:rPr>
              <w:t>բուքմեյքերական</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խաղագումարով</w:t>
            </w:r>
            <w:r w:rsidRPr="00513DF0">
              <w:rPr>
                <w:b w:val="0"/>
                <w:i/>
                <w:iCs/>
                <w:color w:val="000000"/>
                <w:sz w:val="18"/>
                <w:szCs w:val="18"/>
                <w:lang w:eastAsia="en-US"/>
              </w:rPr>
              <w:t xml:space="preserve"> </w:t>
            </w:r>
            <w:r w:rsidRPr="00005BEA">
              <w:rPr>
                <w:b w:val="0"/>
                <w:i/>
                <w:iCs/>
                <w:color w:val="000000"/>
                <w:sz w:val="18"/>
                <w:szCs w:val="18"/>
                <w:lang w:val="en-US" w:eastAsia="en-US"/>
              </w:rPr>
              <w:t>գրազի</w:t>
            </w:r>
            <w:r w:rsidRPr="00513DF0">
              <w:rPr>
                <w:b w:val="0"/>
                <w:i/>
                <w:iCs/>
                <w:color w:val="000000"/>
                <w:sz w:val="18"/>
                <w:szCs w:val="18"/>
                <w:lang w:eastAsia="en-US"/>
              </w:rPr>
              <w:t xml:space="preserve"> </w:t>
            </w:r>
            <w:r w:rsidRPr="00005BEA">
              <w:rPr>
                <w:b w:val="0"/>
                <w:i/>
                <w:iCs/>
                <w:color w:val="000000"/>
                <w:sz w:val="18"/>
                <w:szCs w:val="18"/>
                <w:lang w:val="en-US" w:eastAsia="en-US"/>
              </w:rPr>
              <w:t>կազմակերպման</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գործունեության</w:t>
            </w:r>
            <w:r w:rsidRPr="00513DF0">
              <w:rPr>
                <w:b w:val="0"/>
                <w:i/>
                <w:iCs/>
                <w:color w:val="000000"/>
                <w:sz w:val="18"/>
                <w:szCs w:val="18"/>
                <w:lang w:eastAsia="en-US"/>
              </w:rPr>
              <w:t xml:space="preserve"> </w:t>
            </w:r>
            <w:r w:rsidRPr="00005BEA">
              <w:rPr>
                <w:b w:val="0"/>
                <w:i/>
                <w:iCs/>
                <w:color w:val="000000"/>
                <w:sz w:val="18"/>
                <w:szCs w:val="18"/>
                <w:lang w:val="en-US" w:eastAsia="en-US"/>
              </w:rPr>
              <w:t>սպասարկման</w:t>
            </w:r>
            <w:r w:rsidRPr="00513DF0">
              <w:rPr>
                <w:b w:val="0"/>
                <w:i/>
                <w:iCs/>
                <w:color w:val="000000"/>
                <w:sz w:val="18"/>
                <w:szCs w:val="18"/>
                <w:lang w:eastAsia="en-US"/>
              </w:rPr>
              <w:t xml:space="preserve"> </w:t>
            </w:r>
            <w:r w:rsidRPr="00005BEA">
              <w:rPr>
                <w:b w:val="0"/>
                <w:i/>
                <w:iCs/>
                <w:color w:val="000000"/>
                <w:sz w:val="18"/>
                <w:szCs w:val="18"/>
                <w:lang w:val="en-US" w:eastAsia="en-US"/>
              </w:rPr>
              <w:t>գրասենյակների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w:t>
            </w:r>
          </w:p>
          <w:p w:rsidR="00005BEA" w:rsidRPr="00513DF0" w:rsidRDefault="00005BEA" w:rsidP="00005BEA">
            <w:pPr>
              <w:tabs>
                <w:tab w:val="left" w:pos="510"/>
              </w:tabs>
              <w:spacing w:before="0" w:line="240" w:lineRule="auto"/>
              <w:ind w:firstLine="240"/>
              <w:contextualSpacing w:val="0"/>
              <w:jc w:val="left"/>
              <w:rPr>
                <w:b w:val="0"/>
                <w:i/>
                <w:iCs/>
                <w:color w:val="000000"/>
                <w:sz w:val="18"/>
                <w:szCs w:val="18"/>
                <w:lang w:eastAsia="en-US"/>
              </w:rPr>
            </w:pPr>
            <w:r w:rsidRPr="00513DF0">
              <w:rPr>
                <w:bCs/>
                <w:i/>
                <w:iCs/>
                <w:color w:val="000000"/>
                <w:sz w:val="18"/>
                <w:szCs w:val="18"/>
                <w:lang w:eastAsia="en-US"/>
              </w:rPr>
              <w:t>3.</w:t>
            </w:r>
            <w:r w:rsidRPr="00513DF0">
              <w:rPr>
                <w:bCs/>
                <w:i/>
                <w:iCs/>
                <w:color w:val="000000"/>
                <w:sz w:val="18"/>
                <w:szCs w:val="18"/>
                <w:lang w:eastAsia="en-US"/>
              </w:rPr>
              <w:tab/>
            </w:r>
            <w:r w:rsidRPr="00005BEA">
              <w:rPr>
                <w:bCs/>
                <w:i/>
                <w:iCs/>
                <w:color w:val="000000"/>
                <w:sz w:val="18"/>
                <w:szCs w:val="18"/>
                <w:lang w:val="en-US" w:eastAsia="en-US"/>
              </w:rPr>
              <w:t>մարտի</w:t>
            </w:r>
            <w:r w:rsidRPr="00513DF0">
              <w:rPr>
                <w:bCs/>
                <w:i/>
                <w:iCs/>
                <w:color w:val="000000"/>
                <w:sz w:val="18"/>
                <w:szCs w:val="18"/>
                <w:lang w:eastAsia="en-US"/>
              </w:rPr>
              <w:t xml:space="preserve"> 27-</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en-US" w:eastAsia="en-US"/>
              </w:rPr>
              <w:t>գյուղատնտեսության</w:t>
            </w:r>
            <w:r w:rsidRPr="00513DF0">
              <w:rPr>
                <w:b w:val="0"/>
                <w:i/>
                <w:iCs/>
                <w:color w:val="000000"/>
                <w:sz w:val="18"/>
                <w:szCs w:val="18"/>
                <w:lang w:eastAsia="en-US"/>
              </w:rPr>
              <w:t xml:space="preserve"> </w:t>
            </w:r>
            <w:r w:rsidRPr="00005BEA">
              <w:rPr>
                <w:b w:val="0"/>
                <w:i/>
                <w:iCs/>
                <w:color w:val="000000"/>
                <w:sz w:val="18"/>
                <w:szCs w:val="18"/>
                <w:lang w:val="en-US" w:eastAsia="en-US"/>
              </w:rPr>
              <w:t>բնագավառում</w:t>
            </w:r>
            <w:r w:rsidRPr="00513DF0">
              <w:rPr>
                <w:b w:val="0"/>
                <w:i/>
                <w:iCs/>
                <w:color w:val="000000"/>
                <w:sz w:val="18"/>
                <w:szCs w:val="18"/>
                <w:lang w:eastAsia="en-US"/>
              </w:rPr>
              <w:t xml:space="preserve"> </w:t>
            </w:r>
            <w:r w:rsidRPr="00005BEA">
              <w:rPr>
                <w:b w:val="0"/>
                <w:i/>
                <w:iCs/>
                <w:color w:val="000000"/>
                <w:sz w:val="18"/>
                <w:szCs w:val="18"/>
                <w:lang w:val="en-US" w:eastAsia="en-US"/>
              </w:rPr>
              <w:t>օժանդակ</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ծառայությունների</w:t>
            </w:r>
            <w:r w:rsidRPr="00513DF0">
              <w:rPr>
                <w:b w:val="0"/>
                <w:i/>
                <w:iCs/>
                <w:color w:val="000000"/>
                <w:sz w:val="18"/>
                <w:szCs w:val="18"/>
                <w:lang w:eastAsia="en-US"/>
              </w:rPr>
              <w:t xml:space="preserve"> </w:t>
            </w:r>
            <w:r w:rsidRPr="00005BEA">
              <w:rPr>
                <w:b w:val="0"/>
                <w:i/>
                <w:iCs/>
                <w:color w:val="000000"/>
                <w:sz w:val="18"/>
                <w:szCs w:val="18"/>
                <w:lang w:val="en-US" w:eastAsia="en-US"/>
              </w:rPr>
              <w:t>մատուցումը</w:t>
            </w:r>
            <w:r w:rsidRPr="00513DF0">
              <w:rPr>
                <w:b w:val="0"/>
                <w:i/>
                <w:iCs/>
                <w:color w:val="000000"/>
                <w:sz w:val="18"/>
                <w:szCs w:val="18"/>
                <w:lang w:eastAsia="en-US"/>
              </w:rPr>
              <w:t xml:space="preserve">, </w:t>
            </w:r>
            <w:r w:rsidRPr="00005BEA">
              <w:rPr>
                <w:b w:val="0"/>
                <w:i/>
                <w:iCs/>
                <w:color w:val="000000"/>
                <w:sz w:val="18"/>
                <w:szCs w:val="18"/>
                <w:lang w:val="en-US" w:eastAsia="en-US"/>
              </w:rPr>
              <w:t>շինարարությունը</w:t>
            </w:r>
            <w:r w:rsidRPr="00513DF0">
              <w:rPr>
                <w:b w:val="0"/>
                <w:i/>
                <w:iCs/>
                <w:color w:val="000000"/>
                <w:sz w:val="18"/>
                <w:szCs w:val="18"/>
                <w:lang w:eastAsia="en-US"/>
              </w:rPr>
              <w:t xml:space="preserve">, </w:t>
            </w:r>
            <w:r w:rsidRPr="00005BEA">
              <w:rPr>
                <w:b w:val="0"/>
                <w:i/>
                <w:iCs/>
                <w:color w:val="000000"/>
                <w:sz w:val="18"/>
                <w:szCs w:val="18"/>
                <w:lang w:val="en-US" w:eastAsia="en-US"/>
              </w:rPr>
              <w:t>առևտուրը</w:t>
            </w:r>
            <w:r w:rsidRPr="00513DF0">
              <w:rPr>
                <w:b w:val="0"/>
                <w:i/>
                <w:iCs/>
                <w:color w:val="000000"/>
                <w:sz w:val="18"/>
                <w:szCs w:val="18"/>
                <w:lang w:eastAsia="en-US"/>
              </w:rPr>
              <w:t xml:space="preserve"> (</w:t>
            </w:r>
            <w:r w:rsidRPr="00005BEA">
              <w:rPr>
                <w:b w:val="0"/>
                <w:i/>
                <w:iCs/>
                <w:color w:val="000000"/>
                <w:sz w:val="18"/>
                <w:szCs w:val="18"/>
                <w:lang w:val="en-US" w:eastAsia="en-US"/>
              </w:rPr>
              <w:t>բացառությամբ՝</w:t>
            </w:r>
            <w:r w:rsidRPr="00513DF0">
              <w:rPr>
                <w:b w:val="0"/>
                <w:i/>
                <w:iCs/>
                <w:color w:val="000000"/>
                <w:sz w:val="18"/>
                <w:szCs w:val="18"/>
                <w:lang w:eastAsia="en-US"/>
              </w:rPr>
              <w:t xml:space="preserve"> </w:t>
            </w:r>
            <w:r w:rsidRPr="00005BEA">
              <w:rPr>
                <w:b w:val="0"/>
                <w:i/>
                <w:iCs/>
                <w:color w:val="000000"/>
                <w:sz w:val="18"/>
                <w:szCs w:val="18"/>
                <w:lang w:val="en-US" w:eastAsia="en-US"/>
              </w:rPr>
              <w:t>սննդամթերքի</w:t>
            </w:r>
            <w:r w:rsidRPr="00513DF0">
              <w:rPr>
                <w:b w:val="0"/>
                <w:i/>
                <w:iCs/>
                <w:color w:val="000000"/>
                <w:sz w:val="18"/>
                <w:szCs w:val="18"/>
                <w:lang w:eastAsia="en-US"/>
              </w:rPr>
              <w:t xml:space="preserve">, </w:t>
            </w:r>
            <w:r w:rsidRPr="00005BEA">
              <w:rPr>
                <w:b w:val="0"/>
                <w:i/>
                <w:iCs/>
                <w:color w:val="000000"/>
                <w:sz w:val="18"/>
                <w:szCs w:val="18"/>
                <w:lang w:val="en-US" w:eastAsia="en-US"/>
              </w:rPr>
              <w:t>խմիչքների</w:t>
            </w:r>
            <w:r w:rsidRPr="00513DF0">
              <w:rPr>
                <w:b w:val="0"/>
                <w:i/>
                <w:iCs/>
                <w:color w:val="000000"/>
                <w:sz w:val="18"/>
                <w:szCs w:val="18"/>
                <w:lang w:eastAsia="en-US"/>
              </w:rPr>
              <w:t xml:space="preserve">, </w:t>
            </w:r>
            <w:r w:rsidRPr="00005BEA">
              <w:rPr>
                <w:b w:val="0"/>
                <w:i/>
                <w:iCs/>
                <w:color w:val="000000"/>
                <w:sz w:val="18"/>
                <w:szCs w:val="18"/>
                <w:lang w:val="en-US" w:eastAsia="en-US"/>
              </w:rPr>
              <w:t>դեղատների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գործունեության</w:t>
            </w:r>
            <w:r w:rsidRPr="00513DF0">
              <w:rPr>
                <w:b w:val="0"/>
                <w:i/>
                <w:iCs/>
                <w:color w:val="000000"/>
                <w:sz w:val="18"/>
                <w:szCs w:val="18"/>
                <w:lang w:eastAsia="en-US"/>
              </w:rPr>
              <w:t xml:space="preserve">), </w:t>
            </w:r>
            <w:r w:rsidRPr="00005BEA">
              <w:rPr>
                <w:b w:val="0"/>
                <w:i/>
                <w:iCs/>
                <w:color w:val="000000"/>
                <w:sz w:val="18"/>
                <w:szCs w:val="18"/>
                <w:lang w:val="en-US" w:eastAsia="en-US"/>
              </w:rPr>
              <w:t>կանոնավոր</w:t>
            </w:r>
            <w:r w:rsidRPr="00513DF0">
              <w:rPr>
                <w:b w:val="0"/>
                <w:i/>
                <w:iCs/>
                <w:color w:val="000000"/>
                <w:sz w:val="18"/>
                <w:szCs w:val="18"/>
                <w:lang w:eastAsia="en-US"/>
              </w:rPr>
              <w:t xml:space="preserve"> </w:t>
            </w:r>
            <w:r w:rsidRPr="00005BEA">
              <w:rPr>
                <w:b w:val="0"/>
                <w:i/>
                <w:iCs/>
                <w:color w:val="000000"/>
                <w:sz w:val="18"/>
                <w:szCs w:val="18"/>
                <w:lang w:val="en-US" w:eastAsia="en-US"/>
              </w:rPr>
              <w:t>ուղևորափոխադրումները</w:t>
            </w:r>
            <w:r w:rsidRPr="00513DF0">
              <w:rPr>
                <w:b w:val="0"/>
                <w:i/>
                <w:iCs/>
                <w:color w:val="000000"/>
                <w:sz w:val="18"/>
                <w:szCs w:val="18"/>
                <w:lang w:eastAsia="en-US"/>
              </w:rPr>
              <w:t xml:space="preserve">, </w:t>
            </w:r>
            <w:r w:rsidRPr="00005BEA">
              <w:rPr>
                <w:b w:val="0"/>
                <w:i/>
                <w:iCs/>
                <w:color w:val="000000"/>
                <w:sz w:val="18"/>
                <w:szCs w:val="18"/>
                <w:lang w:val="en-US" w:eastAsia="en-US"/>
              </w:rPr>
              <w:t>անշարժ</w:t>
            </w:r>
            <w:r w:rsidRPr="00513DF0">
              <w:rPr>
                <w:b w:val="0"/>
                <w:i/>
                <w:iCs/>
                <w:color w:val="000000"/>
                <w:sz w:val="18"/>
                <w:szCs w:val="18"/>
                <w:lang w:eastAsia="en-US"/>
              </w:rPr>
              <w:t xml:space="preserve"> </w:t>
            </w:r>
            <w:r w:rsidRPr="00005BEA">
              <w:rPr>
                <w:b w:val="0"/>
                <w:i/>
                <w:iCs/>
                <w:color w:val="000000"/>
                <w:sz w:val="18"/>
                <w:szCs w:val="18"/>
                <w:lang w:val="en-US" w:eastAsia="en-US"/>
              </w:rPr>
              <w:t>գույքի</w:t>
            </w:r>
            <w:r w:rsidRPr="00513DF0">
              <w:rPr>
                <w:b w:val="0"/>
                <w:i/>
                <w:iCs/>
                <w:color w:val="000000"/>
                <w:sz w:val="18"/>
                <w:szCs w:val="18"/>
                <w:lang w:eastAsia="en-US"/>
              </w:rPr>
              <w:t xml:space="preserve"> </w:t>
            </w:r>
            <w:r w:rsidRPr="00005BEA">
              <w:rPr>
                <w:b w:val="0"/>
                <w:i/>
                <w:iCs/>
                <w:color w:val="000000"/>
                <w:sz w:val="18"/>
                <w:szCs w:val="18"/>
                <w:lang w:val="en-US" w:eastAsia="en-US"/>
              </w:rPr>
              <w:t>հետ</w:t>
            </w:r>
            <w:r w:rsidRPr="00513DF0">
              <w:rPr>
                <w:b w:val="0"/>
                <w:i/>
                <w:iCs/>
                <w:color w:val="000000"/>
                <w:sz w:val="18"/>
                <w:szCs w:val="18"/>
                <w:lang w:eastAsia="en-US"/>
              </w:rPr>
              <w:t xml:space="preserve"> </w:t>
            </w:r>
            <w:r w:rsidRPr="00005BEA">
              <w:rPr>
                <w:b w:val="0"/>
                <w:i/>
                <w:iCs/>
                <w:color w:val="000000"/>
                <w:sz w:val="18"/>
                <w:szCs w:val="18"/>
                <w:lang w:val="en-US" w:eastAsia="en-US"/>
              </w:rPr>
              <w:t>կապված</w:t>
            </w:r>
            <w:r w:rsidRPr="00513DF0">
              <w:rPr>
                <w:b w:val="0"/>
                <w:i/>
                <w:iCs/>
                <w:color w:val="000000"/>
                <w:sz w:val="18"/>
                <w:szCs w:val="18"/>
                <w:lang w:eastAsia="en-US"/>
              </w:rPr>
              <w:t xml:space="preserve">, </w:t>
            </w:r>
            <w:r w:rsidRPr="00005BEA">
              <w:rPr>
                <w:b w:val="0"/>
                <w:i/>
                <w:iCs/>
                <w:color w:val="000000"/>
                <w:sz w:val="18"/>
                <w:szCs w:val="18"/>
                <w:lang w:val="en-US" w:eastAsia="en-US"/>
              </w:rPr>
              <w:t>մշակույթի</w:t>
            </w:r>
            <w:r w:rsidRPr="00513DF0">
              <w:rPr>
                <w:b w:val="0"/>
                <w:i/>
                <w:iCs/>
                <w:color w:val="000000"/>
                <w:sz w:val="18"/>
                <w:szCs w:val="18"/>
                <w:lang w:eastAsia="en-US"/>
              </w:rPr>
              <w:t xml:space="preserve">, </w:t>
            </w:r>
            <w:r w:rsidRPr="00005BEA">
              <w:rPr>
                <w:b w:val="0"/>
                <w:i/>
                <w:iCs/>
                <w:color w:val="000000"/>
                <w:sz w:val="18"/>
                <w:szCs w:val="18"/>
                <w:lang w:val="en-US" w:eastAsia="en-US"/>
              </w:rPr>
              <w:t>զվարճությունների</w:t>
            </w:r>
            <w:r w:rsidRPr="00513DF0">
              <w:rPr>
                <w:b w:val="0"/>
                <w:i/>
                <w:iCs/>
                <w:color w:val="000000"/>
                <w:sz w:val="18"/>
                <w:szCs w:val="18"/>
                <w:lang w:eastAsia="en-US"/>
              </w:rPr>
              <w:t xml:space="preserve">, </w:t>
            </w:r>
            <w:r w:rsidRPr="00005BEA">
              <w:rPr>
                <w:b w:val="0"/>
                <w:i/>
                <w:iCs/>
                <w:color w:val="000000"/>
                <w:sz w:val="18"/>
                <w:szCs w:val="18"/>
                <w:lang w:val="en-US" w:eastAsia="en-US"/>
              </w:rPr>
              <w:t>հանգստի</w:t>
            </w:r>
            <w:r w:rsidRPr="00513DF0">
              <w:rPr>
                <w:b w:val="0"/>
                <w:i/>
                <w:iCs/>
                <w:color w:val="000000"/>
                <w:sz w:val="18"/>
                <w:szCs w:val="18"/>
                <w:lang w:eastAsia="en-US"/>
              </w:rPr>
              <w:t xml:space="preserve">, </w:t>
            </w:r>
            <w:r w:rsidRPr="00005BEA">
              <w:rPr>
                <w:b w:val="0"/>
                <w:i/>
                <w:iCs/>
                <w:color w:val="000000"/>
                <w:sz w:val="18"/>
                <w:szCs w:val="18"/>
                <w:lang w:val="en-US" w:eastAsia="en-US"/>
              </w:rPr>
              <w:t>կացության</w:t>
            </w:r>
            <w:r w:rsidRPr="00513DF0">
              <w:rPr>
                <w:b w:val="0"/>
                <w:i/>
                <w:iCs/>
                <w:color w:val="000000"/>
                <w:sz w:val="18"/>
                <w:szCs w:val="18"/>
                <w:lang w:eastAsia="en-US"/>
              </w:rPr>
              <w:t xml:space="preserve">, </w:t>
            </w:r>
            <w:r w:rsidRPr="00005BEA">
              <w:rPr>
                <w:b w:val="0"/>
                <w:i/>
                <w:iCs/>
                <w:color w:val="000000"/>
                <w:sz w:val="18"/>
                <w:szCs w:val="18"/>
                <w:lang w:val="en-US" w:eastAsia="en-US"/>
              </w:rPr>
              <w:t>հանրային</w:t>
            </w:r>
            <w:r w:rsidRPr="00513DF0">
              <w:rPr>
                <w:b w:val="0"/>
                <w:i/>
                <w:iCs/>
                <w:color w:val="000000"/>
                <w:sz w:val="18"/>
                <w:szCs w:val="18"/>
                <w:lang w:eastAsia="en-US"/>
              </w:rPr>
              <w:t xml:space="preserve"> </w:t>
            </w:r>
            <w:r w:rsidRPr="00005BEA">
              <w:rPr>
                <w:b w:val="0"/>
                <w:i/>
                <w:iCs/>
                <w:color w:val="000000"/>
                <w:sz w:val="18"/>
                <w:szCs w:val="18"/>
                <w:lang w:val="en-US" w:eastAsia="en-US"/>
              </w:rPr>
              <w:t>սննդի</w:t>
            </w:r>
            <w:r w:rsidRPr="00513DF0">
              <w:rPr>
                <w:b w:val="0"/>
                <w:i/>
                <w:iCs/>
                <w:color w:val="000000"/>
                <w:sz w:val="18"/>
                <w:szCs w:val="18"/>
                <w:lang w:eastAsia="en-US"/>
              </w:rPr>
              <w:t xml:space="preserve">, </w:t>
            </w:r>
            <w:r w:rsidRPr="00005BEA">
              <w:rPr>
                <w:b w:val="0"/>
                <w:i/>
                <w:iCs/>
                <w:color w:val="000000"/>
                <w:sz w:val="18"/>
                <w:szCs w:val="18"/>
                <w:lang w:val="en-US" w:eastAsia="en-US"/>
              </w:rPr>
              <w:t>տեղեկատվության</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կապի</w:t>
            </w:r>
            <w:r w:rsidRPr="00513DF0">
              <w:rPr>
                <w:b w:val="0"/>
                <w:i/>
                <w:iCs/>
                <w:color w:val="000000"/>
                <w:sz w:val="18"/>
                <w:szCs w:val="18"/>
                <w:lang w:eastAsia="en-US"/>
              </w:rPr>
              <w:t xml:space="preserve">, </w:t>
            </w:r>
            <w:r w:rsidRPr="00005BEA">
              <w:rPr>
                <w:b w:val="0"/>
                <w:i/>
                <w:iCs/>
                <w:color w:val="000000"/>
                <w:sz w:val="18"/>
                <w:szCs w:val="18"/>
                <w:lang w:val="en-US" w:eastAsia="en-US"/>
              </w:rPr>
              <w:t>նորոգման</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մի</w:t>
            </w:r>
            <w:r w:rsidRPr="00513DF0">
              <w:rPr>
                <w:b w:val="0"/>
                <w:i/>
                <w:iCs/>
                <w:color w:val="000000"/>
                <w:sz w:val="18"/>
                <w:szCs w:val="18"/>
                <w:lang w:eastAsia="en-US"/>
              </w:rPr>
              <w:t xml:space="preserve"> </w:t>
            </w:r>
            <w:r w:rsidRPr="00005BEA">
              <w:rPr>
                <w:b w:val="0"/>
                <w:i/>
                <w:iCs/>
                <w:color w:val="000000"/>
                <w:sz w:val="18"/>
                <w:szCs w:val="18"/>
                <w:lang w:val="en-US" w:eastAsia="en-US"/>
              </w:rPr>
              <w:t>շարք</w:t>
            </w:r>
            <w:r w:rsidRPr="00513DF0">
              <w:rPr>
                <w:b w:val="0"/>
                <w:i/>
                <w:iCs/>
                <w:color w:val="000000"/>
                <w:sz w:val="18"/>
                <w:szCs w:val="18"/>
                <w:lang w:eastAsia="en-US"/>
              </w:rPr>
              <w:t xml:space="preserve"> </w:t>
            </w:r>
            <w:r w:rsidRPr="00005BEA">
              <w:rPr>
                <w:b w:val="0"/>
                <w:i/>
                <w:iCs/>
                <w:color w:val="000000"/>
                <w:sz w:val="18"/>
                <w:szCs w:val="18"/>
                <w:lang w:val="en-US" w:eastAsia="en-US"/>
              </w:rPr>
              <w:t>այլ</w:t>
            </w:r>
            <w:r w:rsidRPr="00513DF0">
              <w:rPr>
                <w:b w:val="0"/>
                <w:i/>
                <w:iCs/>
                <w:color w:val="000000"/>
                <w:sz w:val="18"/>
                <w:szCs w:val="18"/>
                <w:lang w:eastAsia="en-US"/>
              </w:rPr>
              <w:t xml:space="preserve"> </w:t>
            </w:r>
            <w:r w:rsidRPr="00005BEA">
              <w:rPr>
                <w:b w:val="0"/>
                <w:i/>
                <w:iCs/>
                <w:color w:val="000000"/>
                <w:sz w:val="18"/>
                <w:szCs w:val="18"/>
                <w:lang w:val="en-US" w:eastAsia="en-US"/>
              </w:rPr>
              <w:t>ծառայությունների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w:t>
            </w:r>
          </w:p>
          <w:p w:rsidR="00005BEA" w:rsidRPr="00513DF0" w:rsidRDefault="00005BEA" w:rsidP="00005BEA">
            <w:pPr>
              <w:tabs>
                <w:tab w:val="left" w:pos="510"/>
              </w:tabs>
              <w:spacing w:before="0" w:line="240" w:lineRule="auto"/>
              <w:ind w:firstLine="240"/>
              <w:contextualSpacing w:val="0"/>
              <w:jc w:val="left"/>
              <w:rPr>
                <w:bCs/>
                <w:i/>
                <w:iCs/>
                <w:color w:val="000000"/>
                <w:sz w:val="18"/>
                <w:szCs w:val="18"/>
                <w:lang w:eastAsia="en-US"/>
              </w:rPr>
            </w:pPr>
            <w:r w:rsidRPr="00513DF0">
              <w:rPr>
                <w:bCs/>
                <w:i/>
                <w:iCs/>
                <w:color w:val="000000"/>
                <w:sz w:val="18"/>
                <w:szCs w:val="18"/>
                <w:lang w:eastAsia="en-US"/>
              </w:rPr>
              <w:t>4.</w:t>
            </w:r>
            <w:r w:rsidRPr="00513DF0">
              <w:rPr>
                <w:bCs/>
                <w:i/>
                <w:iCs/>
                <w:color w:val="000000"/>
                <w:sz w:val="18"/>
                <w:szCs w:val="18"/>
                <w:lang w:eastAsia="en-US"/>
              </w:rPr>
              <w:tab/>
            </w:r>
            <w:r w:rsidRPr="00005BEA">
              <w:rPr>
                <w:bCs/>
                <w:i/>
                <w:iCs/>
                <w:color w:val="000000"/>
                <w:sz w:val="18"/>
                <w:szCs w:val="18"/>
                <w:lang w:val="en-US" w:eastAsia="en-US"/>
              </w:rPr>
              <w:t>մարտի</w:t>
            </w:r>
            <w:r w:rsidRPr="00513DF0">
              <w:rPr>
                <w:bCs/>
                <w:i/>
                <w:iCs/>
                <w:color w:val="000000"/>
                <w:sz w:val="18"/>
                <w:szCs w:val="18"/>
                <w:lang w:eastAsia="en-US"/>
              </w:rPr>
              <w:t xml:space="preserve"> 31-</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en-US" w:eastAsia="en-US"/>
              </w:rPr>
              <w:t>մշակող</w:t>
            </w:r>
            <w:r w:rsidRPr="00513DF0">
              <w:rPr>
                <w:b w:val="0"/>
                <w:i/>
                <w:iCs/>
                <w:color w:val="000000"/>
                <w:sz w:val="18"/>
                <w:szCs w:val="18"/>
                <w:lang w:eastAsia="en-US"/>
              </w:rPr>
              <w:t xml:space="preserve"> </w:t>
            </w:r>
            <w:r w:rsidRPr="00005BEA">
              <w:rPr>
                <w:b w:val="0"/>
                <w:i/>
                <w:iCs/>
                <w:color w:val="000000"/>
                <w:sz w:val="18"/>
                <w:szCs w:val="18"/>
                <w:lang w:val="en-US" w:eastAsia="en-US"/>
              </w:rPr>
              <w:t>արդյունաբերության</w:t>
            </w:r>
            <w:r w:rsidRPr="00513DF0">
              <w:rPr>
                <w:b w:val="0"/>
                <w:i/>
                <w:iCs/>
                <w:color w:val="000000"/>
                <w:sz w:val="18"/>
                <w:szCs w:val="18"/>
                <w:lang w:eastAsia="en-US"/>
              </w:rPr>
              <w:t xml:space="preserve"> (</w:t>
            </w:r>
            <w:r w:rsidRPr="00005BEA">
              <w:rPr>
                <w:b w:val="0"/>
                <w:i/>
                <w:iCs/>
                <w:color w:val="000000"/>
                <w:sz w:val="18"/>
                <w:szCs w:val="18"/>
                <w:lang w:val="en-US" w:eastAsia="en-US"/>
              </w:rPr>
              <w:t>բացառությամբ՝</w:t>
            </w:r>
            <w:r w:rsidRPr="00513DF0">
              <w:rPr>
                <w:b w:val="0"/>
                <w:i/>
                <w:iCs/>
                <w:color w:val="000000"/>
                <w:sz w:val="18"/>
                <w:szCs w:val="18"/>
                <w:lang w:eastAsia="en-US"/>
              </w:rPr>
              <w:t xml:space="preserve"> </w:t>
            </w:r>
            <w:r w:rsidRPr="00005BEA">
              <w:rPr>
                <w:b w:val="0"/>
                <w:i/>
                <w:iCs/>
                <w:color w:val="000000"/>
                <w:sz w:val="18"/>
                <w:szCs w:val="18"/>
                <w:lang w:val="en-US" w:eastAsia="en-US"/>
              </w:rPr>
              <w:t>սննդամթերքի</w:t>
            </w:r>
            <w:r w:rsidRPr="00513DF0">
              <w:rPr>
                <w:b w:val="0"/>
                <w:i/>
                <w:iCs/>
                <w:color w:val="000000"/>
                <w:sz w:val="18"/>
                <w:szCs w:val="18"/>
                <w:lang w:eastAsia="en-US"/>
              </w:rPr>
              <w:t xml:space="preserve">, </w:t>
            </w:r>
            <w:r w:rsidRPr="00005BEA">
              <w:rPr>
                <w:b w:val="0"/>
                <w:i/>
                <w:iCs/>
                <w:color w:val="000000"/>
                <w:sz w:val="18"/>
                <w:szCs w:val="18"/>
                <w:lang w:val="en-US" w:eastAsia="en-US"/>
              </w:rPr>
              <w:t>խմիչքների</w:t>
            </w:r>
            <w:r w:rsidRPr="00513DF0">
              <w:rPr>
                <w:b w:val="0"/>
                <w:i/>
                <w:iCs/>
                <w:color w:val="000000"/>
                <w:sz w:val="18"/>
                <w:szCs w:val="18"/>
                <w:lang w:eastAsia="en-US"/>
              </w:rPr>
              <w:t xml:space="preserve">, </w:t>
            </w:r>
            <w:r w:rsidRPr="00005BEA">
              <w:rPr>
                <w:b w:val="0"/>
                <w:i/>
                <w:iCs/>
                <w:color w:val="000000"/>
                <w:sz w:val="18"/>
                <w:szCs w:val="18"/>
                <w:lang w:val="en-US" w:eastAsia="en-US"/>
              </w:rPr>
              <w:t>դեղերի</w:t>
            </w:r>
            <w:r w:rsidRPr="00513DF0">
              <w:rPr>
                <w:b w:val="0"/>
                <w:i/>
                <w:iCs/>
                <w:color w:val="000000"/>
                <w:sz w:val="18"/>
                <w:szCs w:val="18"/>
                <w:lang w:eastAsia="en-US"/>
              </w:rPr>
              <w:t xml:space="preserve">, </w:t>
            </w:r>
            <w:r w:rsidRPr="00005BEA">
              <w:rPr>
                <w:b w:val="0"/>
                <w:i/>
                <w:iCs/>
                <w:color w:val="000000"/>
                <w:sz w:val="18"/>
                <w:szCs w:val="18"/>
                <w:lang w:val="en-US" w:eastAsia="en-US"/>
              </w:rPr>
              <w:t>զենքի</w:t>
            </w:r>
            <w:r w:rsidRPr="00513DF0">
              <w:rPr>
                <w:b w:val="0"/>
                <w:i/>
                <w:iCs/>
                <w:color w:val="000000"/>
                <w:sz w:val="18"/>
                <w:szCs w:val="18"/>
                <w:lang w:eastAsia="en-US"/>
              </w:rPr>
              <w:t xml:space="preserve">, </w:t>
            </w:r>
            <w:r w:rsidRPr="00005BEA">
              <w:rPr>
                <w:b w:val="0"/>
                <w:i/>
                <w:iCs/>
                <w:color w:val="000000"/>
                <w:sz w:val="18"/>
                <w:szCs w:val="18"/>
                <w:lang w:val="en-US" w:eastAsia="en-US"/>
              </w:rPr>
              <w:t>զինամթերքի</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տնտեսական</w:t>
            </w:r>
            <w:r w:rsidRPr="00513DF0">
              <w:rPr>
                <w:b w:val="0"/>
                <w:i/>
                <w:iCs/>
                <w:color w:val="000000"/>
                <w:sz w:val="18"/>
                <w:szCs w:val="18"/>
                <w:lang w:eastAsia="en-US"/>
              </w:rPr>
              <w:t xml:space="preserve"> </w:t>
            </w:r>
            <w:r w:rsidRPr="00005BEA">
              <w:rPr>
                <w:b w:val="0"/>
                <w:i/>
                <w:iCs/>
                <w:color w:val="000000"/>
                <w:sz w:val="18"/>
                <w:szCs w:val="18"/>
                <w:lang w:val="en-US" w:eastAsia="en-US"/>
              </w:rPr>
              <w:t>որոշ</w:t>
            </w:r>
            <w:r w:rsidRPr="00513DF0">
              <w:rPr>
                <w:b w:val="0"/>
                <w:i/>
                <w:iCs/>
                <w:color w:val="000000"/>
                <w:sz w:val="18"/>
                <w:szCs w:val="18"/>
                <w:lang w:eastAsia="en-US"/>
              </w:rPr>
              <w:t xml:space="preserve"> </w:t>
            </w:r>
            <w:r w:rsidRPr="00005BEA">
              <w:rPr>
                <w:b w:val="0"/>
                <w:i/>
                <w:iCs/>
                <w:color w:val="000000"/>
                <w:sz w:val="18"/>
                <w:szCs w:val="18"/>
                <w:lang w:val="en-US" w:eastAsia="en-US"/>
              </w:rPr>
              <w:t>ապրանքատեսակների</w:t>
            </w:r>
            <w:r w:rsidRPr="00513DF0">
              <w:rPr>
                <w:b w:val="0"/>
                <w:i/>
                <w:iCs/>
                <w:color w:val="000000"/>
                <w:sz w:val="18"/>
                <w:szCs w:val="18"/>
                <w:lang w:eastAsia="en-US"/>
              </w:rPr>
              <w:t xml:space="preserve"> </w:t>
            </w:r>
            <w:r w:rsidRPr="00005BEA">
              <w:rPr>
                <w:b w:val="0"/>
                <w:i/>
                <w:iCs/>
                <w:color w:val="000000"/>
                <w:sz w:val="18"/>
                <w:szCs w:val="18"/>
                <w:lang w:val="en-US" w:eastAsia="en-US"/>
              </w:rPr>
              <w:t>արտադրության</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ցամաքային</w:t>
            </w:r>
            <w:r w:rsidRPr="00513DF0">
              <w:rPr>
                <w:b w:val="0"/>
                <w:i/>
                <w:iCs/>
                <w:color w:val="000000"/>
                <w:sz w:val="18"/>
                <w:szCs w:val="18"/>
                <w:lang w:eastAsia="en-US"/>
              </w:rPr>
              <w:t xml:space="preserve">, </w:t>
            </w:r>
            <w:r w:rsidRPr="00005BEA">
              <w:rPr>
                <w:b w:val="0"/>
                <w:i/>
                <w:iCs/>
                <w:color w:val="000000"/>
                <w:sz w:val="18"/>
                <w:szCs w:val="18"/>
                <w:lang w:val="en-US" w:eastAsia="en-US"/>
              </w:rPr>
              <w:t>քաղաքային</w:t>
            </w:r>
            <w:r w:rsidRPr="00513DF0">
              <w:rPr>
                <w:b w:val="0"/>
                <w:i/>
                <w:iCs/>
                <w:color w:val="000000"/>
                <w:sz w:val="18"/>
                <w:szCs w:val="18"/>
                <w:lang w:eastAsia="en-US"/>
              </w:rPr>
              <w:t xml:space="preserve">, </w:t>
            </w:r>
            <w:r w:rsidRPr="00005BEA">
              <w:rPr>
                <w:b w:val="0"/>
                <w:i/>
                <w:iCs/>
                <w:color w:val="000000"/>
                <w:sz w:val="18"/>
                <w:szCs w:val="18"/>
                <w:lang w:val="en-US" w:eastAsia="en-US"/>
              </w:rPr>
              <w:t>մերձքաղաքային</w:t>
            </w:r>
            <w:r w:rsidRPr="00513DF0">
              <w:rPr>
                <w:b w:val="0"/>
                <w:i/>
                <w:iCs/>
                <w:color w:val="000000"/>
                <w:sz w:val="18"/>
                <w:szCs w:val="18"/>
                <w:lang w:eastAsia="en-US"/>
              </w:rPr>
              <w:t xml:space="preserve"> </w:t>
            </w:r>
            <w:r w:rsidRPr="00005BEA">
              <w:rPr>
                <w:b w:val="0"/>
                <w:i/>
                <w:iCs/>
                <w:color w:val="000000"/>
                <w:sz w:val="18"/>
                <w:szCs w:val="18"/>
                <w:lang w:val="en-US" w:eastAsia="en-US"/>
              </w:rPr>
              <w:t>տրանսպորտի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Cs/>
                <w:i/>
                <w:iCs/>
                <w:color w:val="000000"/>
                <w:sz w:val="18"/>
                <w:szCs w:val="18"/>
                <w:lang w:eastAsia="en-US"/>
              </w:rPr>
              <w:t xml:space="preserve"> </w:t>
            </w:r>
          </w:p>
          <w:p w:rsidR="00005BEA" w:rsidRPr="00513DF0" w:rsidRDefault="00005BEA" w:rsidP="00005BEA">
            <w:pPr>
              <w:tabs>
                <w:tab w:val="left" w:pos="510"/>
              </w:tabs>
              <w:spacing w:before="0" w:line="240" w:lineRule="auto"/>
              <w:ind w:firstLine="240"/>
              <w:contextualSpacing w:val="0"/>
              <w:jc w:val="left"/>
              <w:rPr>
                <w:bCs/>
                <w:i/>
                <w:iCs/>
                <w:color w:val="000000"/>
                <w:sz w:val="18"/>
                <w:szCs w:val="18"/>
                <w:lang w:eastAsia="en-US"/>
              </w:rPr>
            </w:pPr>
            <w:r w:rsidRPr="00005BEA">
              <w:rPr>
                <w:bCs/>
                <w:i/>
                <w:iCs/>
                <w:color w:val="000000"/>
                <w:sz w:val="18"/>
                <w:szCs w:val="18"/>
                <w:lang w:val="en-US" w:eastAsia="en-US"/>
              </w:rPr>
              <w:t>Տնտեսական</w:t>
            </w:r>
            <w:r w:rsidRPr="00513DF0">
              <w:rPr>
                <w:bCs/>
                <w:i/>
                <w:iCs/>
                <w:color w:val="000000"/>
                <w:sz w:val="18"/>
                <w:szCs w:val="18"/>
                <w:lang w:eastAsia="en-US"/>
              </w:rPr>
              <w:t xml:space="preserve"> </w:t>
            </w:r>
            <w:r w:rsidRPr="00005BEA">
              <w:rPr>
                <w:bCs/>
                <w:i/>
                <w:iCs/>
                <w:color w:val="000000"/>
                <w:sz w:val="18"/>
                <w:szCs w:val="18"/>
                <w:lang w:val="en-US" w:eastAsia="en-US"/>
              </w:rPr>
              <w:t>գործունեության</w:t>
            </w:r>
            <w:r w:rsidRPr="00513DF0">
              <w:rPr>
                <w:bCs/>
                <w:i/>
                <w:iCs/>
                <w:color w:val="000000"/>
                <w:sz w:val="18"/>
                <w:szCs w:val="18"/>
                <w:lang w:eastAsia="en-US"/>
              </w:rPr>
              <w:t xml:space="preserve"> </w:t>
            </w:r>
            <w:r w:rsidRPr="00005BEA">
              <w:rPr>
                <w:bCs/>
                <w:i/>
                <w:iCs/>
                <w:color w:val="000000"/>
                <w:sz w:val="18"/>
                <w:szCs w:val="18"/>
                <w:lang w:val="en-US" w:eastAsia="en-US"/>
              </w:rPr>
              <w:t>որոշ</w:t>
            </w:r>
            <w:r w:rsidRPr="00513DF0">
              <w:rPr>
                <w:bCs/>
                <w:i/>
                <w:iCs/>
                <w:color w:val="000000"/>
                <w:sz w:val="18"/>
                <w:szCs w:val="18"/>
                <w:lang w:eastAsia="en-US"/>
              </w:rPr>
              <w:t xml:space="preserve"> </w:t>
            </w:r>
            <w:r w:rsidRPr="00005BEA">
              <w:rPr>
                <w:bCs/>
                <w:i/>
                <w:iCs/>
                <w:color w:val="000000"/>
                <w:sz w:val="18"/>
                <w:szCs w:val="18"/>
                <w:lang w:val="en-US" w:eastAsia="en-US"/>
              </w:rPr>
              <w:t>տեսակների</w:t>
            </w:r>
            <w:r w:rsidRPr="00513DF0">
              <w:rPr>
                <w:bCs/>
                <w:i/>
                <w:iCs/>
                <w:color w:val="000000"/>
                <w:sz w:val="18"/>
                <w:szCs w:val="18"/>
                <w:lang w:eastAsia="en-US"/>
              </w:rPr>
              <w:t xml:space="preserve"> </w:t>
            </w:r>
            <w:r w:rsidRPr="00005BEA">
              <w:rPr>
                <w:bCs/>
                <w:i/>
                <w:iCs/>
                <w:color w:val="000000"/>
                <w:sz w:val="18"/>
                <w:szCs w:val="18"/>
                <w:lang w:val="en-US" w:eastAsia="en-US"/>
              </w:rPr>
              <w:t>նկատմամբ</w:t>
            </w:r>
            <w:r w:rsidRPr="00513DF0">
              <w:rPr>
                <w:bCs/>
                <w:i/>
                <w:iCs/>
                <w:color w:val="000000"/>
                <w:sz w:val="18"/>
                <w:szCs w:val="18"/>
                <w:lang w:eastAsia="en-US"/>
              </w:rPr>
              <w:t xml:space="preserve"> </w:t>
            </w:r>
            <w:r w:rsidRPr="00005BEA">
              <w:rPr>
                <w:bCs/>
                <w:i/>
                <w:iCs/>
                <w:color w:val="000000"/>
                <w:sz w:val="18"/>
                <w:szCs w:val="18"/>
                <w:lang w:val="en-US" w:eastAsia="en-US"/>
              </w:rPr>
              <w:t>գործող</w:t>
            </w:r>
            <w:r w:rsidRPr="00513DF0">
              <w:rPr>
                <w:bCs/>
                <w:i/>
                <w:iCs/>
                <w:color w:val="000000"/>
                <w:sz w:val="18"/>
                <w:szCs w:val="18"/>
                <w:lang w:eastAsia="en-US"/>
              </w:rPr>
              <w:t xml:space="preserve"> </w:t>
            </w:r>
            <w:r w:rsidRPr="00005BEA">
              <w:rPr>
                <w:bCs/>
                <w:i/>
                <w:iCs/>
                <w:color w:val="000000"/>
                <w:sz w:val="18"/>
                <w:szCs w:val="18"/>
                <w:lang w:val="en-US" w:eastAsia="en-US"/>
              </w:rPr>
              <w:t>սահմանափակումները</w:t>
            </w:r>
            <w:r w:rsidRPr="00513DF0">
              <w:rPr>
                <w:bCs/>
                <w:i/>
                <w:iCs/>
                <w:color w:val="000000"/>
                <w:sz w:val="18"/>
                <w:szCs w:val="18"/>
                <w:lang w:eastAsia="en-US"/>
              </w:rPr>
              <w:t xml:space="preserve"> </w:t>
            </w:r>
            <w:r w:rsidRPr="00005BEA">
              <w:rPr>
                <w:bCs/>
                <w:i/>
                <w:iCs/>
                <w:color w:val="000000"/>
                <w:sz w:val="18"/>
                <w:szCs w:val="18"/>
                <w:lang w:val="en-US" w:eastAsia="en-US"/>
              </w:rPr>
              <w:t>աստիճանաբար</w:t>
            </w:r>
            <w:r w:rsidRPr="00513DF0">
              <w:rPr>
                <w:bCs/>
                <w:i/>
                <w:iCs/>
                <w:color w:val="000000"/>
                <w:sz w:val="18"/>
                <w:szCs w:val="18"/>
                <w:lang w:eastAsia="en-US"/>
              </w:rPr>
              <w:t xml:space="preserve"> </w:t>
            </w:r>
            <w:r w:rsidRPr="00005BEA">
              <w:rPr>
                <w:bCs/>
                <w:i/>
                <w:iCs/>
                <w:color w:val="000000"/>
                <w:sz w:val="18"/>
                <w:szCs w:val="18"/>
                <w:lang w:val="en-US" w:eastAsia="en-US"/>
              </w:rPr>
              <w:t>սկսեցին</w:t>
            </w:r>
            <w:r w:rsidRPr="00513DF0">
              <w:rPr>
                <w:bCs/>
                <w:i/>
                <w:iCs/>
                <w:color w:val="000000"/>
                <w:sz w:val="18"/>
                <w:szCs w:val="18"/>
                <w:lang w:eastAsia="en-US"/>
              </w:rPr>
              <w:t xml:space="preserve"> </w:t>
            </w:r>
            <w:r w:rsidRPr="00005BEA">
              <w:rPr>
                <w:bCs/>
                <w:i/>
                <w:iCs/>
                <w:color w:val="000000"/>
                <w:sz w:val="18"/>
                <w:szCs w:val="18"/>
                <w:lang w:val="en-US" w:eastAsia="en-US"/>
              </w:rPr>
              <w:t>հանվել՝</w:t>
            </w:r>
            <w:r w:rsidRPr="00513DF0">
              <w:rPr>
                <w:bCs/>
                <w:i/>
                <w:iCs/>
                <w:color w:val="000000"/>
                <w:sz w:val="18"/>
                <w:szCs w:val="18"/>
                <w:lang w:eastAsia="en-US"/>
              </w:rPr>
              <w:t xml:space="preserve"> </w:t>
            </w:r>
            <w:r w:rsidRPr="00005BEA">
              <w:rPr>
                <w:bCs/>
                <w:i/>
                <w:iCs/>
                <w:color w:val="000000"/>
                <w:sz w:val="18"/>
                <w:szCs w:val="18"/>
                <w:lang w:val="en-US" w:eastAsia="en-US"/>
              </w:rPr>
              <w:t>սկսած</w:t>
            </w:r>
            <w:r w:rsidRPr="00513DF0">
              <w:rPr>
                <w:bCs/>
                <w:i/>
                <w:iCs/>
                <w:color w:val="000000"/>
                <w:sz w:val="18"/>
                <w:szCs w:val="18"/>
                <w:lang w:eastAsia="en-US"/>
              </w:rPr>
              <w:t xml:space="preserve"> </w:t>
            </w:r>
            <w:r w:rsidRPr="00005BEA">
              <w:rPr>
                <w:bCs/>
                <w:i/>
                <w:iCs/>
                <w:color w:val="000000"/>
                <w:sz w:val="18"/>
                <w:szCs w:val="18"/>
                <w:lang w:val="en-US" w:eastAsia="en-US"/>
              </w:rPr>
              <w:t>ապրիլ</w:t>
            </w:r>
            <w:r w:rsidRPr="00513DF0">
              <w:rPr>
                <w:bCs/>
                <w:i/>
                <w:iCs/>
                <w:color w:val="000000"/>
                <w:sz w:val="18"/>
                <w:szCs w:val="18"/>
                <w:lang w:eastAsia="en-US"/>
              </w:rPr>
              <w:t xml:space="preserve"> </w:t>
            </w:r>
            <w:r w:rsidRPr="00005BEA">
              <w:rPr>
                <w:bCs/>
                <w:i/>
                <w:iCs/>
                <w:color w:val="000000"/>
                <w:sz w:val="18"/>
                <w:szCs w:val="18"/>
                <w:lang w:val="en-US" w:eastAsia="en-US"/>
              </w:rPr>
              <w:t>ամսվա</w:t>
            </w:r>
            <w:r w:rsidRPr="00513DF0">
              <w:rPr>
                <w:bCs/>
                <w:i/>
                <w:iCs/>
                <w:color w:val="000000"/>
                <w:sz w:val="18"/>
                <w:szCs w:val="18"/>
                <w:lang w:eastAsia="en-US"/>
              </w:rPr>
              <w:t xml:space="preserve"> </w:t>
            </w:r>
            <w:r w:rsidRPr="00005BEA">
              <w:rPr>
                <w:bCs/>
                <w:i/>
                <w:iCs/>
                <w:color w:val="000000"/>
                <w:sz w:val="18"/>
                <w:szCs w:val="18"/>
                <w:lang w:val="en-US" w:eastAsia="en-US"/>
              </w:rPr>
              <w:t>կեսերից</w:t>
            </w:r>
            <w:r w:rsidRPr="00513DF0">
              <w:rPr>
                <w:bCs/>
                <w:i/>
                <w:iCs/>
                <w:color w:val="000000"/>
                <w:sz w:val="18"/>
                <w:szCs w:val="18"/>
                <w:lang w:eastAsia="en-US"/>
              </w:rPr>
              <w:t xml:space="preserve">, </w:t>
            </w:r>
            <w:r w:rsidRPr="00005BEA">
              <w:rPr>
                <w:bCs/>
                <w:i/>
                <w:iCs/>
                <w:color w:val="000000"/>
                <w:sz w:val="18"/>
                <w:szCs w:val="18"/>
                <w:lang w:val="en-US" w:eastAsia="en-US"/>
              </w:rPr>
              <w:t>մասնավորապես</w:t>
            </w:r>
            <w:r w:rsidRPr="00513DF0">
              <w:rPr>
                <w:bCs/>
                <w:i/>
                <w:iCs/>
                <w:color w:val="000000"/>
                <w:sz w:val="18"/>
                <w:szCs w:val="18"/>
                <w:lang w:eastAsia="en-US"/>
              </w:rPr>
              <w:t xml:space="preserve"> </w:t>
            </w:r>
            <w:r w:rsidRPr="00005BEA">
              <w:rPr>
                <w:bCs/>
                <w:i/>
                <w:iCs/>
                <w:color w:val="000000"/>
                <w:sz w:val="18"/>
                <w:szCs w:val="18"/>
                <w:lang w:val="en-US" w:eastAsia="en-US"/>
              </w:rPr>
              <w:t>թույլատրվեց՝</w:t>
            </w:r>
          </w:p>
          <w:p w:rsidR="00005BEA" w:rsidRPr="00513DF0" w:rsidRDefault="00005BEA" w:rsidP="00005BEA">
            <w:pPr>
              <w:tabs>
                <w:tab w:val="left" w:pos="510"/>
              </w:tabs>
              <w:spacing w:before="0" w:line="240" w:lineRule="auto"/>
              <w:ind w:firstLine="240"/>
              <w:contextualSpacing w:val="0"/>
              <w:jc w:val="left"/>
              <w:rPr>
                <w:bCs/>
                <w:i/>
                <w:iCs/>
                <w:color w:val="000000"/>
                <w:sz w:val="18"/>
                <w:szCs w:val="18"/>
                <w:lang w:eastAsia="en-US"/>
              </w:rPr>
            </w:pPr>
            <w:r w:rsidRPr="00513DF0">
              <w:rPr>
                <w:bCs/>
                <w:i/>
                <w:iCs/>
                <w:color w:val="000000"/>
                <w:sz w:val="18"/>
                <w:szCs w:val="18"/>
                <w:lang w:eastAsia="en-US"/>
              </w:rPr>
              <w:t>1.</w:t>
            </w:r>
            <w:r w:rsidRPr="00513DF0">
              <w:rPr>
                <w:bCs/>
                <w:i/>
                <w:iCs/>
                <w:color w:val="000000"/>
                <w:sz w:val="18"/>
                <w:szCs w:val="18"/>
                <w:lang w:eastAsia="en-US"/>
              </w:rPr>
              <w:tab/>
            </w:r>
            <w:r w:rsidRPr="00005BEA">
              <w:rPr>
                <w:bCs/>
                <w:i/>
                <w:iCs/>
                <w:color w:val="000000"/>
                <w:sz w:val="18"/>
                <w:szCs w:val="18"/>
                <w:lang w:val="en-US" w:eastAsia="en-US"/>
              </w:rPr>
              <w:t>ապրիլի</w:t>
            </w:r>
            <w:r w:rsidRPr="00513DF0">
              <w:rPr>
                <w:bCs/>
                <w:i/>
                <w:iCs/>
                <w:color w:val="000000"/>
                <w:sz w:val="18"/>
                <w:szCs w:val="18"/>
                <w:lang w:eastAsia="en-US"/>
              </w:rPr>
              <w:t xml:space="preserve"> 13-</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en-US" w:eastAsia="en-US"/>
              </w:rPr>
              <w:t>ծխախոտի</w:t>
            </w:r>
            <w:r w:rsidRPr="00513DF0">
              <w:rPr>
                <w:b w:val="0"/>
                <w:i/>
                <w:iCs/>
                <w:color w:val="000000"/>
                <w:sz w:val="18"/>
                <w:szCs w:val="18"/>
                <w:lang w:eastAsia="en-US"/>
              </w:rPr>
              <w:t xml:space="preserve">, </w:t>
            </w:r>
            <w:r w:rsidRPr="00005BEA">
              <w:rPr>
                <w:b w:val="0"/>
                <w:i/>
                <w:iCs/>
                <w:color w:val="000000"/>
                <w:sz w:val="18"/>
                <w:szCs w:val="18"/>
                <w:lang w:val="en-US" w:eastAsia="en-US"/>
              </w:rPr>
              <w:t>շինարարական</w:t>
            </w:r>
            <w:r w:rsidRPr="00513DF0">
              <w:rPr>
                <w:b w:val="0"/>
                <w:i/>
                <w:iCs/>
                <w:color w:val="000000"/>
                <w:sz w:val="18"/>
                <w:szCs w:val="18"/>
                <w:lang w:eastAsia="en-US"/>
              </w:rPr>
              <w:t xml:space="preserve"> </w:t>
            </w:r>
            <w:r w:rsidRPr="00005BEA">
              <w:rPr>
                <w:b w:val="0"/>
                <w:i/>
                <w:iCs/>
                <w:color w:val="000000"/>
                <w:sz w:val="18"/>
                <w:szCs w:val="18"/>
                <w:lang w:val="en-US" w:eastAsia="en-US"/>
              </w:rPr>
              <w:t>որոշ</w:t>
            </w:r>
            <w:r w:rsidRPr="00513DF0">
              <w:rPr>
                <w:b w:val="0"/>
                <w:i/>
                <w:iCs/>
                <w:color w:val="000000"/>
                <w:sz w:val="18"/>
                <w:szCs w:val="18"/>
                <w:lang w:eastAsia="en-US"/>
              </w:rPr>
              <w:t xml:space="preserve"> </w:t>
            </w:r>
            <w:r w:rsidRPr="00005BEA">
              <w:rPr>
                <w:b w:val="0"/>
                <w:i/>
                <w:iCs/>
                <w:color w:val="000000"/>
                <w:sz w:val="18"/>
                <w:szCs w:val="18"/>
                <w:lang w:val="en-US" w:eastAsia="en-US"/>
              </w:rPr>
              <w:t>նյութերի</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կոնստրուկցիաների</w:t>
            </w:r>
            <w:r w:rsidRPr="00513DF0">
              <w:rPr>
                <w:b w:val="0"/>
                <w:i/>
                <w:iCs/>
                <w:color w:val="000000"/>
                <w:sz w:val="18"/>
                <w:szCs w:val="18"/>
                <w:lang w:eastAsia="en-US"/>
              </w:rPr>
              <w:t xml:space="preserve"> </w:t>
            </w:r>
            <w:r w:rsidRPr="00005BEA">
              <w:rPr>
                <w:b w:val="0"/>
                <w:i/>
                <w:iCs/>
                <w:color w:val="000000"/>
                <w:sz w:val="18"/>
                <w:szCs w:val="18"/>
                <w:lang w:val="en-US" w:eastAsia="en-US"/>
              </w:rPr>
              <w:t>արտադրությունը</w:t>
            </w:r>
            <w:r w:rsidRPr="00513DF0">
              <w:rPr>
                <w:b w:val="0"/>
                <w:i/>
                <w:iCs/>
                <w:color w:val="000000"/>
                <w:sz w:val="18"/>
                <w:szCs w:val="18"/>
                <w:lang w:eastAsia="en-US"/>
              </w:rPr>
              <w:t xml:space="preserve">, </w:t>
            </w:r>
            <w:r w:rsidRPr="00005BEA">
              <w:rPr>
                <w:b w:val="0"/>
                <w:i/>
                <w:iCs/>
                <w:color w:val="000000"/>
                <w:sz w:val="18"/>
                <w:szCs w:val="18"/>
                <w:lang w:val="en-US" w:eastAsia="en-US"/>
              </w:rPr>
              <w:t>շինարարությունը</w:t>
            </w:r>
            <w:r w:rsidRPr="00513DF0">
              <w:rPr>
                <w:b w:val="0"/>
                <w:i/>
                <w:iCs/>
                <w:color w:val="000000"/>
                <w:sz w:val="18"/>
                <w:szCs w:val="18"/>
                <w:lang w:eastAsia="en-US"/>
              </w:rPr>
              <w:t xml:space="preserve"> (</w:t>
            </w:r>
            <w:r w:rsidRPr="00005BEA">
              <w:rPr>
                <w:b w:val="0"/>
                <w:i/>
                <w:iCs/>
                <w:color w:val="000000"/>
                <w:sz w:val="18"/>
                <w:szCs w:val="18"/>
                <w:lang w:val="en-US" w:eastAsia="en-US"/>
              </w:rPr>
              <w:t>բացառությամբ</w:t>
            </w:r>
            <w:r w:rsidRPr="00513DF0">
              <w:rPr>
                <w:b w:val="0"/>
                <w:i/>
                <w:iCs/>
                <w:color w:val="000000"/>
                <w:sz w:val="18"/>
                <w:szCs w:val="18"/>
                <w:lang w:eastAsia="en-US"/>
              </w:rPr>
              <w:t xml:space="preserve"> </w:t>
            </w:r>
            <w:r w:rsidRPr="00005BEA">
              <w:rPr>
                <w:b w:val="0"/>
                <w:i/>
                <w:iCs/>
                <w:color w:val="000000"/>
                <w:sz w:val="18"/>
                <w:szCs w:val="18"/>
                <w:lang w:val="en-US" w:eastAsia="en-US"/>
              </w:rPr>
              <w:t>ավարտական</w:t>
            </w:r>
            <w:r w:rsidRPr="00513DF0">
              <w:rPr>
                <w:b w:val="0"/>
                <w:i/>
                <w:iCs/>
                <w:color w:val="000000"/>
                <w:sz w:val="18"/>
                <w:szCs w:val="18"/>
                <w:lang w:eastAsia="en-US"/>
              </w:rPr>
              <w:t xml:space="preserve"> </w:t>
            </w:r>
            <w:r w:rsidRPr="00005BEA">
              <w:rPr>
                <w:b w:val="0"/>
                <w:i/>
                <w:iCs/>
                <w:color w:val="000000"/>
                <w:sz w:val="18"/>
                <w:szCs w:val="18"/>
                <w:lang w:val="en-US" w:eastAsia="en-US"/>
              </w:rPr>
              <w:t>փուլի</w:t>
            </w:r>
            <w:r w:rsidRPr="00513DF0">
              <w:rPr>
                <w:b w:val="0"/>
                <w:i/>
                <w:iCs/>
                <w:color w:val="000000"/>
                <w:sz w:val="18"/>
                <w:szCs w:val="18"/>
                <w:lang w:eastAsia="en-US"/>
              </w:rPr>
              <w:t xml:space="preserve"> </w:t>
            </w:r>
            <w:r w:rsidRPr="00005BEA">
              <w:rPr>
                <w:b w:val="0"/>
                <w:i/>
                <w:iCs/>
                <w:color w:val="000000"/>
                <w:sz w:val="18"/>
                <w:szCs w:val="18"/>
                <w:lang w:val="en-US" w:eastAsia="en-US"/>
              </w:rPr>
              <w:t>աշխատանքների</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մի</w:t>
            </w:r>
            <w:r w:rsidRPr="00513DF0">
              <w:rPr>
                <w:b w:val="0"/>
                <w:i/>
                <w:iCs/>
                <w:color w:val="000000"/>
                <w:sz w:val="18"/>
                <w:szCs w:val="18"/>
                <w:lang w:eastAsia="en-US"/>
              </w:rPr>
              <w:t xml:space="preserve"> </w:t>
            </w:r>
            <w:r w:rsidRPr="00005BEA">
              <w:rPr>
                <w:b w:val="0"/>
                <w:i/>
                <w:iCs/>
                <w:color w:val="000000"/>
                <w:sz w:val="18"/>
                <w:szCs w:val="18"/>
                <w:lang w:val="en-US" w:eastAsia="en-US"/>
              </w:rPr>
              <w:t>շարք</w:t>
            </w:r>
            <w:r w:rsidRPr="00513DF0">
              <w:rPr>
                <w:b w:val="0"/>
                <w:i/>
                <w:iCs/>
                <w:color w:val="000000"/>
                <w:sz w:val="18"/>
                <w:szCs w:val="18"/>
                <w:lang w:eastAsia="en-US"/>
              </w:rPr>
              <w:t xml:space="preserve"> </w:t>
            </w:r>
            <w:r w:rsidRPr="00005BEA">
              <w:rPr>
                <w:b w:val="0"/>
                <w:i/>
                <w:iCs/>
                <w:color w:val="000000"/>
                <w:sz w:val="18"/>
                <w:szCs w:val="18"/>
                <w:lang w:val="en-US" w:eastAsia="en-US"/>
              </w:rPr>
              <w:t>այլ</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գործունեություններ</w:t>
            </w:r>
            <w:r w:rsidRPr="00513DF0">
              <w:rPr>
                <w:b w:val="0"/>
                <w:i/>
                <w:iCs/>
                <w:color w:val="000000"/>
                <w:sz w:val="18"/>
                <w:szCs w:val="18"/>
                <w:lang w:eastAsia="en-US"/>
              </w:rPr>
              <w:t>,</w:t>
            </w:r>
            <w:r w:rsidRPr="00513DF0">
              <w:rPr>
                <w:bCs/>
                <w:i/>
                <w:iCs/>
                <w:color w:val="000000"/>
                <w:sz w:val="18"/>
                <w:szCs w:val="18"/>
                <w:lang w:eastAsia="en-US"/>
              </w:rPr>
              <w:t xml:space="preserve"> </w:t>
            </w:r>
          </w:p>
          <w:p w:rsidR="00005BEA" w:rsidRPr="00513DF0" w:rsidRDefault="00005BEA" w:rsidP="00005BEA">
            <w:pPr>
              <w:tabs>
                <w:tab w:val="left" w:pos="510"/>
              </w:tabs>
              <w:spacing w:before="0" w:line="240" w:lineRule="auto"/>
              <w:ind w:firstLine="240"/>
              <w:contextualSpacing w:val="0"/>
              <w:jc w:val="left"/>
              <w:rPr>
                <w:bCs/>
                <w:i/>
                <w:iCs/>
                <w:color w:val="000000"/>
                <w:sz w:val="18"/>
                <w:szCs w:val="18"/>
                <w:lang w:eastAsia="en-US"/>
              </w:rPr>
            </w:pPr>
            <w:r w:rsidRPr="00513DF0">
              <w:rPr>
                <w:bCs/>
                <w:i/>
                <w:iCs/>
                <w:color w:val="000000"/>
                <w:sz w:val="18"/>
                <w:szCs w:val="18"/>
                <w:lang w:eastAsia="en-US"/>
              </w:rPr>
              <w:t>2.</w:t>
            </w:r>
            <w:r w:rsidRPr="00513DF0">
              <w:rPr>
                <w:bCs/>
                <w:i/>
                <w:iCs/>
                <w:color w:val="000000"/>
                <w:sz w:val="18"/>
                <w:szCs w:val="18"/>
                <w:lang w:eastAsia="en-US"/>
              </w:rPr>
              <w:tab/>
            </w:r>
            <w:r w:rsidRPr="00005BEA">
              <w:rPr>
                <w:bCs/>
                <w:i/>
                <w:iCs/>
                <w:color w:val="000000"/>
                <w:sz w:val="18"/>
                <w:szCs w:val="18"/>
                <w:lang w:val="en-US" w:eastAsia="en-US"/>
              </w:rPr>
              <w:t>ապրիլի</w:t>
            </w:r>
            <w:r w:rsidRPr="00513DF0">
              <w:rPr>
                <w:bCs/>
                <w:i/>
                <w:iCs/>
                <w:color w:val="000000"/>
                <w:sz w:val="18"/>
                <w:szCs w:val="18"/>
                <w:lang w:eastAsia="en-US"/>
              </w:rPr>
              <w:t xml:space="preserve"> 23-</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en-US" w:eastAsia="en-US"/>
              </w:rPr>
              <w:t>մի</w:t>
            </w:r>
            <w:r w:rsidRPr="00513DF0">
              <w:rPr>
                <w:b w:val="0"/>
                <w:i/>
                <w:iCs/>
                <w:color w:val="000000"/>
                <w:sz w:val="18"/>
                <w:szCs w:val="18"/>
                <w:lang w:eastAsia="en-US"/>
              </w:rPr>
              <w:t xml:space="preserve"> </w:t>
            </w:r>
            <w:r w:rsidRPr="00005BEA">
              <w:rPr>
                <w:b w:val="0"/>
                <w:i/>
                <w:iCs/>
                <w:color w:val="000000"/>
                <w:sz w:val="18"/>
                <w:szCs w:val="18"/>
                <w:lang w:val="en-US" w:eastAsia="en-US"/>
              </w:rPr>
              <w:t>շարք</w:t>
            </w:r>
            <w:r w:rsidRPr="00513DF0">
              <w:rPr>
                <w:b w:val="0"/>
                <w:i/>
                <w:iCs/>
                <w:color w:val="000000"/>
                <w:sz w:val="18"/>
                <w:szCs w:val="18"/>
                <w:lang w:eastAsia="en-US"/>
              </w:rPr>
              <w:t xml:space="preserve"> </w:t>
            </w:r>
            <w:r w:rsidRPr="00005BEA">
              <w:rPr>
                <w:b w:val="0"/>
                <w:i/>
                <w:iCs/>
                <w:color w:val="000000"/>
                <w:sz w:val="18"/>
                <w:szCs w:val="18"/>
                <w:lang w:val="en-US" w:eastAsia="en-US"/>
              </w:rPr>
              <w:t>արտադրությունների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 xml:space="preserve">, </w:t>
            </w:r>
            <w:r w:rsidRPr="00005BEA">
              <w:rPr>
                <w:b w:val="0"/>
                <w:i/>
                <w:iCs/>
                <w:color w:val="000000"/>
                <w:sz w:val="18"/>
                <w:szCs w:val="18"/>
                <w:lang w:val="en-US" w:eastAsia="en-US"/>
              </w:rPr>
              <w:t>բացառությամբ</w:t>
            </w:r>
            <w:r w:rsidRPr="00513DF0">
              <w:rPr>
                <w:b w:val="0"/>
                <w:i/>
                <w:iCs/>
                <w:color w:val="000000"/>
                <w:sz w:val="18"/>
                <w:szCs w:val="18"/>
                <w:lang w:eastAsia="en-US"/>
              </w:rPr>
              <w:t xml:space="preserve"> </w:t>
            </w:r>
            <w:r w:rsidRPr="00005BEA">
              <w:rPr>
                <w:b w:val="0"/>
                <w:i/>
                <w:iCs/>
                <w:color w:val="000000"/>
                <w:sz w:val="18"/>
                <w:szCs w:val="18"/>
                <w:lang w:val="en-US" w:eastAsia="en-US"/>
              </w:rPr>
              <w:t>մեծածախ</w:t>
            </w:r>
            <w:r w:rsidRPr="00513DF0">
              <w:rPr>
                <w:b w:val="0"/>
                <w:i/>
                <w:iCs/>
                <w:color w:val="000000"/>
                <w:sz w:val="18"/>
                <w:szCs w:val="18"/>
                <w:lang w:eastAsia="en-US"/>
              </w:rPr>
              <w:t xml:space="preserve"> </w:t>
            </w:r>
            <w:r w:rsidRPr="00005BEA">
              <w:rPr>
                <w:b w:val="0"/>
                <w:i/>
                <w:iCs/>
                <w:color w:val="000000"/>
                <w:sz w:val="18"/>
                <w:szCs w:val="18"/>
                <w:lang w:val="en-US" w:eastAsia="en-US"/>
              </w:rPr>
              <w:t>առևտրի</w:t>
            </w:r>
            <w:r w:rsidRPr="00513DF0">
              <w:rPr>
                <w:b w:val="0"/>
                <w:i/>
                <w:iCs/>
                <w:color w:val="000000"/>
                <w:sz w:val="18"/>
                <w:szCs w:val="18"/>
                <w:lang w:eastAsia="en-US"/>
              </w:rPr>
              <w:t xml:space="preserve">, </w:t>
            </w:r>
            <w:r w:rsidRPr="00005BEA">
              <w:rPr>
                <w:b w:val="0"/>
                <w:i/>
                <w:iCs/>
                <w:color w:val="000000"/>
                <w:sz w:val="18"/>
                <w:szCs w:val="18"/>
                <w:lang w:val="en-US" w:eastAsia="en-US"/>
              </w:rPr>
              <w:t>անշարժ</w:t>
            </w:r>
            <w:r w:rsidRPr="00513DF0">
              <w:rPr>
                <w:b w:val="0"/>
                <w:i/>
                <w:iCs/>
                <w:color w:val="000000"/>
                <w:sz w:val="18"/>
                <w:szCs w:val="18"/>
                <w:lang w:eastAsia="en-US"/>
              </w:rPr>
              <w:t xml:space="preserve"> </w:t>
            </w:r>
            <w:r w:rsidRPr="00005BEA">
              <w:rPr>
                <w:b w:val="0"/>
                <w:i/>
                <w:iCs/>
                <w:color w:val="000000"/>
                <w:sz w:val="18"/>
                <w:szCs w:val="18"/>
                <w:lang w:val="en-US" w:eastAsia="en-US"/>
              </w:rPr>
              <w:t>գույքի</w:t>
            </w:r>
            <w:r w:rsidRPr="00513DF0">
              <w:rPr>
                <w:b w:val="0"/>
                <w:i/>
                <w:iCs/>
                <w:color w:val="000000"/>
                <w:sz w:val="18"/>
                <w:szCs w:val="18"/>
                <w:lang w:eastAsia="en-US"/>
              </w:rPr>
              <w:t xml:space="preserve"> </w:t>
            </w:r>
            <w:r w:rsidRPr="00005BEA">
              <w:rPr>
                <w:b w:val="0"/>
                <w:i/>
                <w:iCs/>
                <w:color w:val="000000"/>
                <w:sz w:val="18"/>
                <w:szCs w:val="18"/>
                <w:lang w:val="en-US" w:eastAsia="en-US"/>
              </w:rPr>
              <w:t>հետ</w:t>
            </w:r>
            <w:r w:rsidRPr="00513DF0">
              <w:rPr>
                <w:b w:val="0"/>
                <w:i/>
                <w:iCs/>
                <w:color w:val="000000"/>
                <w:sz w:val="18"/>
                <w:szCs w:val="18"/>
                <w:lang w:eastAsia="en-US"/>
              </w:rPr>
              <w:t xml:space="preserve"> </w:t>
            </w:r>
            <w:r w:rsidRPr="00005BEA">
              <w:rPr>
                <w:b w:val="0"/>
                <w:i/>
                <w:iCs/>
                <w:color w:val="000000"/>
                <w:sz w:val="18"/>
                <w:szCs w:val="18"/>
                <w:lang w:val="en-US" w:eastAsia="en-US"/>
              </w:rPr>
              <w:t>կապված</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գործունեության</w:t>
            </w:r>
            <w:r w:rsidRPr="00513DF0">
              <w:rPr>
                <w:b w:val="0"/>
                <w:i/>
                <w:iCs/>
                <w:color w:val="000000"/>
                <w:sz w:val="18"/>
                <w:szCs w:val="18"/>
                <w:lang w:eastAsia="en-US"/>
              </w:rPr>
              <w:t xml:space="preserve">, </w:t>
            </w:r>
            <w:r w:rsidRPr="00005BEA">
              <w:rPr>
                <w:b w:val="0"/>
                <w:i/>
                <w:iCs/>
                <w:color w:val="000000"/>
                <w:sz w:val="18"/>
                <w:szCs w:val="18"/>
                <w:lang w:val="en-US" w:eastAsia="en-US"/>
              </w:rPr>
              <w:t>նորոգման</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մի</w:t>
            </w:r>
            <w:r w:rsidRPr="00513DF0">
              <w:rPr>
                <w:b w:val="0"/>
                <w:i/>
                <w:iCs/>
                <w:color w:val="000000"/>
                <w:sz w:val="18"/>
                <w:szCs w:val="18"/>
                <w:lang w:eastAsia="en-US"/>
              </w:rPr>
              <w:t xml:space="preserve"> </w:t>
            </w:r>
            <w:r w:rsidRPr="00005BEA">
              <w:rPr>
                <w:b w:val="0"/>
                <w:i/>
                <w:iCs/>
                <w:color w:val="000000"/>
                <w:sz w:val="18"/>
                <w:szCs w:val="18"/>
                <w:lang w:val="en-US" w:eastAsia="en-US"/>
              </w:rPr>
              <w:t>շարք</w:t>
            </w:r>
            <w:r w:rsidRPr="00513DF0">
              <w:rPr>
                <w:b w:val="0"/>
                <w:i/>
                <w:iCs/>
                <w:color w:val="000000"/>
                <w:sz w:val="18"/>
                <w:szCs w:val="18"/>
                <w:lang w:eastAsia="en-US"/>
              </w:rPr>
              <w:t xml:space="preserve"> </w:t>
            </w:r>
            <w:r w:rsidRPr="00005BEA">
              <w:rPr>
                <w:b w:val="0"/>
                <w:i/>
                <w:iCs/>
                <w:color w:val="000000"/>
                <w:sz w:val="18"/>
                <w:szCs w:val="18"/>
                <w:lang w:val="en-US" w:eastAsia="en-US"/>
              </w:rPr>
              <w:t>այլ</w:t>
            </w:r>
            <w:r w:rsidRPr="00513DF0">
              <w:rPr>
                <w:b w:val="0"/>
                <w:i/>
                <w:iCs/>
                <w:color w:val="000000"/>
                <w:sz w:val="18"/>
                <w:szCs w:val="18"/>
                <w:lang w:eastAsia="en-US"/>
              </w:rPr>
              <w:t xml:space="preserve"> </w:t>
            </w:r>
            <w:r w:rsidRPr="00005BEA">
              <w:rPr>
                <w:b w:val="0"/>
                <w:i/>
                <w:iCs/>
                <w:color w:val="000000"/>
                <w:sz w:val="18"/>
                <w:szCs w:val="18"/>
                <w:lang w:val="en-US" w:eastAsia="en-US"/>
              </w:rPr>
              <w:t>ծառայությունների</w:t>
            </w:r>
            <w:r w:rsidRPr="00513DF0">
              <w:rPr>
                <w:b w:val="0"/>
                <w:i/>
                <w:iCs/>
                <w:color w:val="000000"/>
                <w:sz w:val="18"/>
                <w:szCs w:val="18"/>
                <w:lang w:eastAsia="en-US"/>
              </w:rPr>
              <w:t xml:space="preserve"> </w:t>
            </w:r>
            <w:r w:rsidRPr="00005BEA">
              <w:rPr>
                <w:b w:val="0"/>
                <w:i/>
                <w:iCs/>
                <w:color w:val="000000"/>
                <w:sz w:val="18"/>
                <w:szCs w:val="18"/>
                <w:lang w:val="en-US" w:eastAsia="en-US"/>
              </w:rPr>
              <w:t>մատուցումը</w:t>
            </w:r>
            <w:r w:rsidRPr="00513DF0">
              <w:rPr>
                <w:bCs/>
                <w:i/>
                <w:iCs/>
                <w:color w:val="000000"/>
                <w:sz w:val="18"/>
                <w:szCs w:val="18"/>
                <w:lang w:eastAsia="en-US"/>
              </w:rPr>
              <w:t xml:space="preserve">, </w:t>
            </w:r>
          </w:p>
          <w:p w:rsidR="00005BEA" w:rsidRPr="00513DF0" w:rsidRDefault="00005BEA" w:rsidP="00005BEA">
            <w:pPr>
              <w:tabs>
                <w:tab w:val="left" w:pos="510"/>
              </w:tabs>
              <w:spacing w:before="0" w:line="240" w:lineRule="auto"/>
              <w:ind w:firstLine="240"/>
              <w:contextualSpacing w:val="0"/>
              <w:jc w:val="left"/>
              <w:rPr>
                <w:b w:val="0"/>
                <w:i/>
                <w:iCs/>
                <w:color w:val="000000"/>
                <w:sz w:val="18"/>
                <w:szCs w:val="18"/>
                <w:lang w:eastAsia="en-US"/>
              </w:rPr>
            </w:pPr>
            <w:r w:rsidRPr="00513DF0">
              <w:rPr>
                <w:bCs/>
                <w:i/>
                <w:iCs/>
                <w:color w:val="000000"/>
                <w:sz w:val="18"/>
                <w:szCs w:val="18"/>
                <w:lang w:eastAsia="en-US"/>
              </w:rPr>
              <w:t>3.</w:t>
            </w:r>
            <w:r w:rsidRPr="00513DF0">
              <w:rPr>
                <w:bCs/>
                <w:i/>
                <w:iCs/>
                <w:color w:val="000000"/>
                <w:sz w:val="18"/>
                <w:szCs w:val="18"/>
                <w:lang w:eastAsia="en-US"/>
              </w:rPr>
              <w:tab/>
            </w:r>
            <w:r w:rsidRPr="00005BEA">
              <w:rPr>
                <w:bCs/>
                <w:i/>
                <w:iCs/>
                <w:color w:val="000000"/>
                <w:sz w:val="18"/>
                <w:szCs w:val="18"/>
                <w:lang w:val="en-US" w:eastAsia="en-US"/>
              </w:rPr>
              <w:t>մայիսի</w:t>
            </w:r>
            <w:r w:rsidRPr="00513DF0">
              <w:rPr>
                <w:bCs/>
                <w:i/>
                <w:iCs/>
                <w:color w:val="000000"/>
                <w:sz w:val="18"/>
                <w:szCs w:val="18"/>
                <w:lang w:eastAsia="en-US"/>
              </w:rPr>
              <w:t xml:space="preserve"> 4-</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en-US" w:eastAsia="en-US"/>
              </w:rPr>
              <w:t>ամբողջ</w:t>
            </w:r>
            <w:r w:rsidRPr="00513DF0">
              <w:rPr>
                <w:b w:val="0"/>
                <w:i/>
                <w:iCs/>
                <w:color w:val="000000"/>
                <w:sz w:val="18"/>
                <w:szCs w:val="18"/>
                <w:lang w:eastAsia="en-US"/>
              </w:rPr>
              <w:t xml:space="preserve"> </w:t>
            </w:r>
            <w:r w:rsidRPr="00005BEA">
              <w:rPr>
                <w:b w:val="0"/>
                <w:i/>
                <w:iCs/>
                <w:color w:val="000000"/>
                <w:sz w:val="18"/>
                <w:szCs w:val="18"/>
                <w:lang w:val="en-US" w:eastAsia="en-US"/>
              </w:rPr>
              <w:t>մշակող</w:t>
            </w:r>
            <w:r w:rsidRPr="00513DF0">
              <w:rPr>
                <w:b w:val="0"/>
                <w:i/>
                <w:iCs/>
                <w:color w:val="000000"/>
                <w:sz w:val="18"/>
                <w:szCs w:val="18"/>
                <w:lang w:eastAsia="en-US"/>
              </w:rPr>
              <w:t xml:space="preserve"> </w:t>
            </w:r>
            <w:r w:rsidRPr="00005BEA">
              <w:rPr>
                <w:b w:val="0"/>
                <w:i/>
                <w:iCs/>
                <w:color w:val="000000"/>
                <w:sz w:val="18"/>
                <w:szCs w:val="18"/>
                <w:lang w:val="en-US" w:eastAsia="en-US"/>
              </w:rPr>
              <w:t>արդյունաբերությունը</w:t>
            </w:r>
            <w:r w:rsidRPr="00513DF0">
              <w:rPr>
                <w:b w:val="0"/>
                <w:i/>
                <w:iCs/>
                <w:color w:val="000000"/>
                <w:sz w:val="18"/>
                <w:szCs w:val="18"/>
                <w:lang w:eastAsia="en-US"/>
              </w:rPr>
              <w:t xml:space="preserve">, </w:t>
            </w:r>
            <w:r w:rsidRPr="00005BEA">
              <w:rPr>
                <w:b w:val="0"/>
                <w:i/>
                <w:iCs/>
                <w:color w:val="000000"/>
                <w:sz w:val="18"/>
                <w:szCs w:val="18"/>
                <w:lang w:val="en-US" w:eastAsia="en-US"/>
              </w:rPr>
              <w:t>շինարարությունը</w:t>
            </w:r>
            <w:r w:rsidRPr="00513DF0">
              <w:rPr>
                <w:b w:val="0"/>
                <w:i/>
                <w:iCs/>
                <w:color w:val="000000"/>
                <w:sz w:val="18"/>
                <w:szCs w:val="18"/>
                <w:lang w:eastAsia="en-US"/>
              </w:rPr>
              <w:t xml:space="preserve">, </w:t>
            </w:r>
            <w:r w:rsidRPr="00005BEA">
              <w:rPr>
                <w:b w:val="0"/>
                <w:i/>
                <w:iCs/>
                <w:color w:val="000000"/>
                <w:sz w:val="18"/>
                <w:szCs w:val="18"/>
                <w:lang w:val="en-US" w:eastAsia="en-US"/>
              </w:rPr>
              <w:t>առևտուրը</w:t>
            </w:r>
            <w:r w:rsidRPr="00513DF0">
              <w:rPr>
                <w:b w:val="0"/>
                <w:i/>
                <w:iCs/>
                <w:color w:val="000000"/>
                <w:sz w:val="18"/>
                <w:szCs w:val="18"/>
                <w:lang w:eastAsia="en-US"/>
              </w:rPr>
              <w:t xml:space="preserve"> (</w:t>
            </w:r>
            <w:r w:rsidRPr="00005BEA">
              <w:rPr>
                <w:b w:val="0"/>
                <w:i/>
                <w:iCs/>
                <w:color w:val="000000"/>
                <w:sz w:val="18"/>
                <w:szCs w:val="18"/>
                <w:lang w:val="en-US" w:eastAsia="en-US"/>
              </w:rPr>
              <w:t>բացառությամբ՝</w:t>
            </w:r>
            <w:r w:rsidRPr="00513DF0">
              <w:rPr>
                <w:b w:val="0"/>
                <w:i/>
                <w:iCs/>
                <w:color w:val="000000"/>
                <w:sz w:val="18"/>
                <w:szCs w:val="18"/>
                <w:lang w:eastAsia="en-US"/>
              </w:rPr>
              <w:t xml:space="preserve"> </w:t>
            </w:r>
            <w:r w:rsidRPr="00005BEA">
              <w:rPr>
                <w:b w:val="0"/>
                <w:i/>
                <w:iCs/>
                <w:color w:val="000000"/>
                <w:sz w:val="18"/>
                <w:szCs w:val="18"/>
                <w:lang w:val="en-US" w:eastAsia="en-US"/>
              </w:rPr>
              <w:t>մոլերի</w:t>
            </w:r>
            <w:r w:rsidRPr="00513DF0">
              <w:rPr>
                <w:b w:val="0"/>
                <w:i/>
                <w:iCs/>
                <w:color w:val="000000"/>
                <w:sz w:val="18"/>
                <w:szCs w:val="18"/>
                <w:lang w:eastAsia="en-US"/>
              </w:rPr>
              <w:t xml:space="preserve">, </w:t>
            </w:r>
            <w:r w:rsidRPr="00005BEA">
              <w:rPr>
                <w:b w:val="0"/>
                <w:i/>
                <w:iCs/>
                <w:color w:val="000000"/>
                <w:sz w:val="18"/>
                <w:szCs w:val="18"/>
                <w:lang w:val="en-US" w:eastAsia="en-US"/>
              </w:rPr>
              <w:t>առևտրի</w:t>
            </w:r>
            <w:r w:rsidRPr="00513DF0">
              <w:rPr>
                <w:b w:val="0"/>
                <w:i/>
                <w:iCs/>
                <w:color w:val="000000"/>
                <w:sz w:val="18"/>
                <w:szCs w:val="18"/>
                <w:lang w:eastAsia="en-US"/>
              </w:rPr>
              <w:t xml:space="preserve"> </w:t>
            </w:r>
            <w:r w:rsidRPr="00005BEA">
              <w:rPr>
                <w:b w:val="0"/>
                <w:i/>
                <w:iCs/>
                <w:color w:val="000000"/>
                <w:sz w:val="18"/>
                <w:szCs w:val="18"/>
                <w:lang w:val="en-US" w:eastAsia="en-US"/>
              </w:rPr>
              <w:t>կենտրոնների</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շուկաների</w:t>
            </w:r>
            <w:r w:rsidRPr="00513DF0">
              <w:rPr>
                <w:b w:val="0"/>
                <w:i/>
                <w:iCs/>
                <w:color w:val="000000"/>
                <w:sz w:val="18"/>
                <w:szCs w:val="18"/>
                <w:lang w:eastAsia="en-US"/>
              </w:rPr>
              <w:t xml:space="preserve">), </w:t>
            </w:r>
            <w:r w:rsidRPr="00005BEA">
              <w:rPr>
                <w:b w:val="0"/>
                <w:i/>
                <w:iCs/>
                <w:color w:val="000000"/>
                <w:sz w:val="18"/>
                <w:szCs w:val="18"/>
                <w:lang w:val="en-US" w:eastAsia="en-US"/>
              </w:rPr>
              <w:t>տեղեկատվության</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կապի</w:t>
            </w:r>
            <w:r w:rsidRPr="00513DF0">
              <w:rPr>
                <w:b w:val="0"/>
                <w:i/>
                <w:iCs/>
                <w:color w:val="000000"/>
                <w:sz w:val="18"/>
                <w:szCs w:val="18"/>
                <w:lang w:eastAsia="en-US"/>
              </w:rPr>
              <w:t xml:space="preserve"> </w:t>
            </w:r>
            <w:r w:rsidRPr="00005BEA">
              <w:rPr>
                <w:b w:val="0"/>
                <w:i/>
                <w:iCs/>
                <w:color w:val="000000"/>
                <w:sz w:val="18"/>
                <w:szCs w:val="18"/>
                <w:lang w:val="en-US" w:eastAsia="en-US"/>
              </w:rPr>
              <w:t>ոլորտի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 xml:space="preserve">, </w:t>
            </w:r>
            <w:r w:rsidRPr="00005BEA">
              <w:rPr>
                <w:b w:val="0"/>
                <w:i/>
                <w:iCs/>
                <w:color w:val="000000"/>
                <w:sz w:val="18"/>
                <w:szCs w:val="18"/>
                <w:lang w:val="en-US" w:eastAsia="en-US"/>
              </w:rPr>
              <w:t>ռեստորանների</w:t>
            </w:r>
            <w:r w:rsidRPr="00513DF0">
              <w:rPr>
                <w:b w:val="0"/>
                <w:i/>
                <w:iCs/>
                <w:color w:val="000000"/>
                <w:sz w:val="18"/>
                <w:szCs w:val="18"/>
                <w:lang w:eastAsia="en-US"/>
              </w:rPr>
              <w:t xml:space="preserve">, </w:t>
            </w:r>
            <w:r w:rsidRPr="00005BEA">
              <w:rPr>
                <w:b w:val="0"/>
                <w:i/>
                <w:iCs/>
                <w:color w:val="000000"/>
                <w:sz w:val="18"/>
                <w:szCs w:val="18"/>
                <w:lang w:val="en-US" w:eastAsia="en-US"/>
              </w:rPr>
              <w:t>բարերի</w:t>
            </w:r>
            <w:r w:rsidRPr="00513DF0">
              <w:rPr>
                <w:b w:val="0"/>
                <w:i/>
                <w:iCs/>
                <w:color w:val="000000"/>
                <w:sz w:val="18"/>
                <w:szCs w:val="18"/>
                <w:lang w:eastAsia="en-US"/>
              </w:rPr>
              <w:t xml:space="preserve">, </w:t>
            </w:r>
            <w:r w:rsidRPr="00005BEA">
              <w:rPr>
                <w:b w:val="0"/>
                <w:i/>
                <w:iCs/>
                <w:color w:val="000000"/>
                <w:sz w:val="18"/>
                <w:szCs w:val="18"/>
                <w:lang w:val="en-US" w:eastAsia="en-US"/>
              </w:rPr>
              <w:t>սրճարանների</w:t>
            </w:r>
            <w:r w:rsidRPr="00513DF0">
              <w:rPr>
                <w:b w:val="0"/>
                <w:i/>
                <w:iCs/>
                <w:color w:val="000000"/>
                <w:sz w:val="18"/>
                <w:szCs w:val="18"/>
                <w:lang w:eastAsia="en-US"/>
              </w:rPr>
              <w:t xml:space="preserve">, </w:t>
            </w:r>
            <w:r w:rsidRPr="00005BEA">
              <w:rPr>
                <w:b w:val="0"/>
                <w:i/>
                <w:iCs/>
                <w:color w:val="000000"/>
                <w:sz w:val="18"/>
                <w:szCs w:val="18"/>
                <w:lang w:val="en-US" w:eastAsia="en-US"/>
              </w:rPr>
              <w:t>պանդոկների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 xml:space="preserve"> </w:t>
            </w:r>
            <w:r w:rsidRPr="00005BEA">
              <w:rPr>
                <w:b w:val="0"/>
                <w:i/>
                <w:iCs/>
                <w:color w:val="000000"/>
                <w:sz w:val="18"/>
                <w:szCs w:val="18"/>
                <w:lang w:val="en-US" w:eastAsia="en-US"/>
              </w:rPr>
              <w:t>բացառապես</w:t>
            </w:r>
            <w:r w:rsidRPr="00513DF0">
              <w:rPr>
                <w:b w:val="0"/>
                <w:i/>
                <w:iCs/>
                <w:color w:val="000000"/>
                <w:sz w:val="18"/>
                <w:szCs w:val="18"/>
                <w:lang w:eastAsia="en-US"/>
              </w:rPr>
              <w:t xml:space="preserve"> </w:t>
            </w:r>
            <w:r w:rsidRPr="00005BEA">
              <w:rPr>
                <w:b w:val="0"/>
                <w:i/>
                <w:iCs/>
                <w:color w:val="000000"/>
                <w:sz w:val="18"/>
                <w:szCs w:val="18"/>
                <w:lang w:val="en-US" w:eastAsia="en-US"/>
              </w:rPr>
              <w:t>բացօթյա</w:t>
            </w:r>
            <w:r w:rsidRPr="00513DF0">
              <w:rPr>
                <w:b w:val="0"/>
                <w:i/>
                <w:iCs/>
                <w:color w:val="000000"/>
                <w:sz w:val="18"/>
                <w:szCs w:val="18"/>
                <w:lang w:eastAsia="en-US"/>
              </w:rPr>
              <w:t xml:space="preserve"> </w:t>
            </w:r>
            <w:r w:rsidRPr="00005BEA">
              <w:rPr>
                <w:b w:val="0"/>
                <w:i/>
                <w:iCs/>
                <w:color w:val="000000"/>
                <w:sz w:val="18"/>
                <w:szCs w:val="18"/>
                <w:lang w:val="en-US" w:eastAsia="en-US"/>
              </w:rPr>
              <w:t>տարածքում</w:t>
            </w:r>
            <w:r w:rsidRPr="00513DF0">
              <w:rPr>
                <w:b w:val="0"/>
                <w:i/>
                <w:iCs/>
                <w:color w:val="000000"/>
                <w:sz w:val="18"/>
                <w:szCs w:val="18"/>
                <w:lang w:eastAsia="en-US"/>
              </w:rPr>
              <w:t xml:space="preserve"> </w:t>
            </w:r>
            <w:r w:rsidRPr="00005BEA">
              <w:rPr>
                <w:b w:val="0"/>
                <w:i/>
                <w:iCs/>
                <w:color w:val="000000"/>
                <w:sz w:val="18"/>
                <w:szCs w:val="18"/>
                <w:lang w:val="en-US" w:eastAsia="en-US"/>
              </w:rPr>
              <w:t>և</w:t>
            </w:r>
            <w:r w:rsidRPr="00513DF0">
              <w:rPr>
                <w:b w:val="0"/>
                <w:i/>
                <w:iCs/>
                <w:color w:val="000000"/>
                <w:sz w:val="18"/>
                <w:szCs w:val="18"/>
                <w:lang w:eastAsia="en-US"/>
              </w:rPr>
              <w:t xml:space="preserve"> </w:t>
            </w:r>
            <w:r w:rsidRPr="00005BEA">
              <w:rPr>
                <w:b w:val="0"/>
                <w:i/>
                <w:iCs/>
                <w:color w:val="000000"/>
                <w:sz w:val="18"/>
                <w:szCs w:val="18"/>
                <w:lang w:val="en-US" w:eastAsia="en-US"/>
              </w:rPr>
              <w:t>մի</w:t>
            </w:r>
            <w:r w:rsidRPr="00513DF0">
              <w:rPr>
                <w:b w:val="0"/>
                <w:i/>
                <w:iCs/>
                <w:color w:val="000000"/>
                <w:sz w:val="18"/>
                <w:szCs w:val="18"/>
                <w:lang w:eastAsia="en-US"/>
              </w:rPr>
              <w:t xml:space="preserve"> </w:t>
            </w:r>
            <w:r w:rsidRPr="00005BEA">
              <w:rPr>
                <w:b w:val="0"/>
                <w:i/>
                <w:iCs/>
                <w:color w:val="000000"/>
                <w:sz w:val="18"/>
                <w:szCs w:val="18"/>
                <w:lang w:val="en-US" w:eastAsia="en-US"/>
              </w:rPr>
              <w:t>շարք</w:t>
            </w:r>
            <w:r w:rsidRPr="00513DF0">
              <w:rPr>
                <w:b w:val="0"/>
                <w:i/>
                <w:iCs/>
                <w:color w:val="000000"/>
                <w:sz w:val="18"/>
                <w:szCs w:val="18"/>
                <w:lang w:eastAsia="en-US"/>
              </w:rPr>
              <w:t xml:space="preserve"> </w:t>
            </w:r>
            <w:r w:rsidRPr="00005BEA">
              <w:rPr>
                <w:b w:val="0"/>
                <w:i/>
                <w:iCs/>
                <w:color w:val="000000"/>
                <w:sz w:val="18"/>
                <w:szCs w:val="18"/>
                <w:lang w:val="en-US" w:eastAsia="en-US"/>
              </w:rPr>
              <w:t>այլ</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գործունեություններ</w:t>
            </w:r>
            <w:r w:rsidRPr="00513DF0">
              <w:rPr>
                <w:b w:val="0"/>
                <w:i/>
                <w:iCs/>
                <w:color w:val="000000"/>
                <w:sz w:val="18"/>
                <w:szCs w:val="18"/>
                <w:lang w:eastAsia="en-US"/>
              </w:rPr>
              <w:t xml:space="preserve">, </w:t>
            </w:r>
          </w:p>
          <w:p w:rsidR="00005BEA" w:rsidRPr="00513DF0" w:rsidRDefault="00005BEA" w:rsidP="00005BEA">
            <w:pPr>
              <w:tabs>
                <w:tab w:val="left" w:pos="510"/>
              </w:tabs>
              <w:spacing w:before="0" w:line="240" w:lineRule="auto"/>
              <w:ind w:firstLine="240"/>
              <w:contextualSpacing w:val="0"/>
              <w:jc w:val="left"/>
              <w:rPr>
                <w:b w:val="0"/>
                <w:i/>
                <w:iCs/>
                <w:color w:val="000000"/>
                <w:sz w:val="18"/>
                <w:szCs w:val="18"/>
                <w:lang w:eastAsia="en-US"/>
              </w:rPr>
            </w:pPr>
            <w:r w:rsidRPr="00513DF0">
              <w:rPr>
                <w:bCs/>
                <w:i/>
                <w:iCs/>
                <w:color w:val="000000"/>
                <w:sz w:val="18"/>
                <w:szCs w:val="18"/>
                <w:lang w:eastAsia="en-US"/>
              </w:rPr>
              <w:t xml:space="preserve">4. </w:t>
            </w:r>
            <w:r w:rsidRPr="00005BEA">
              <w:rPr>
                <w:bCs/>
                <w:i/>
                <w:iCs/>
                <w:color w:val="000000"/>
                <w:sz w:val="18"/>
                <w:szCs w:val="18"/>
                <w:lang w:val="en-US" w:eastAsia="en-US"/>
              </w:rPr>
              <w:t>մայիսի</w:t>
            </w:r>
            <w:r w:rsidRPr="00513DF0">
              <w:rPr>
                <w:bCs/>
                <w:i/>
                <w:iCs/>
                <w:color w:val="000000"/>
                <w:sz w:val="18"/>
                <w:szCs w:val="18"/>
                <w:lang w:eastAsia="en-US"/>
              </w:rPr>
              <w:t xml:space="preserve"> 18-</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en-US" w:eastAsia="en-US"/>
              </w:rPr>
              <w:t>տնտեսական</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գործունեության</w:t>
            </w:r>
            <w:r w:rsidRPr="00513DF0">
              <w:rPr>
                <w:b w:val="0"/>
                <w:i/>
                <w:iCs/>
                <w:color w:val="000000"/>
                <w:sz w:val="18"/>
                <w:szCs w:val="18"/>
                <w:lang w:eastAsia="en-US"/>
              </w:rPr>
              <w:t xml:space="preserve"> </w:t>
            </w:r>
            <w:r w:rsidRPr="00005BEA">
              <w:rPr>
                <w:b w:val="0"/>
                <w:i/>
                <w:iCs/>
                <w:color w:val="000000"/>
                <w:sz w:val="18"/>
                <w:szCs w:val="18"/>
                <w:lang w:val="en-US" w:eastAsia="en-US"/>
              </w:rPr>
              <w:t>բոլոր</w:t>
            </w:r>
            <w:r w:rsidRPr="00513DF0">
              <w:rPr>
                <w:b w:val="0"/>
                <w:i/>
                <w:iCs/>
                <w:color w:val="000000"/>
                <w:sz w:val="18"/>
                <w:szCs w:val="18"/>
                <w:lang w:eastAsia="en-US"/>
              </w:rPr>
              <w:t xml:space="preserve"> </w:t>
            </w:r>
            <w:r w:rsidRPr="00005BEA">
              <w:rPr>
                <w:b w:val="0"/>
                <w:i/>
                <w:iCs/>
                <w:color w:val="000000"/>
                <w:sz w:val="18"/>
                <w:szCs w:val="18"/>
                <w:lang w:val="en-US" w:eastAsia="en-US"/>
              </w:rPr>
              <w:t>տեսակների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 xml:space="preserve">, </w:t>
            </w:r>
            <w:r w:rsidRPr="00005BEA">
              <w:rPr>
                <w:b w:val="0"/>
                <w:i/>
                <w:iCs/>
                <w:color w:val="000000"/>
                <w:sz w:val="18"/>
                <w:szCs w:val="18"/>
                <w:lang w:val="en-US" w:eastAsia="en-US"/>
              </w:rPr>
              <w:t>սակայն</w:t>
            </w:r>
            <w:r w:rsidRPr="00513DF0">
              <w:rPr>
                <w:b w:val="0"/>
                <w:i/>
                <w:iCs/>
                <w:color w:val="000000"/>
                <w:sz w:val="18"/>
                <w:szCs w:val="18"/>
                <w:lang w:eastAsia="en-US"/>
              </w:rPr>
              <w:t xml:space="preserve"> </w:t>
            </w:r>
            <w:r w:rsidRPr="00005BEA">
              <w:rPr>
                <w:b w:val="0"/>
                <w:i/>
                <w:iCs/>
                <w:color w:val="000000"/>
                <w:sz w:val="18"/>
                <w:szCs w:val="18"/>
                <w:lang w:val="en-US" w:eastAsia="en-US"/>
              </w:rPr>
              <w:t>շարունակեցին</w:t>
            </w:r>
            <w:r w:rsidRPr="00513DF0">
              <w:rPr>
                <w:b w:val="0"/>
                <w:i/>
                <w:iCs/>
                <w:color w:val="000000"/>
                <w:sz w:val="18"/>
                <w:szCs w:val="18"/>
                <w:lang w:eastAsia="en-US"/>
              </w:rPr>
              <w:t xml:space="preserve"> </w:t>
            </w:r>
            <w:r w:rsidRPr="00005BEA">
              <w:rPr>
                <w:b w:val="0"/>
                <w:i/>
                <w:iCs/>
                <w:color w:val="000000"/>
                <w:sz w:val="18"/>
                <w:szCs w:val="18"/>
                <w:lang w:val="en-US" w:eastAsia="en-US"/>
              </w:rPr>
              <w:t>գործել</w:t>
            </w:r>
            <w:r w:rsidRPr="00513DF0">
              <w:rPr>
                <w:b w:val="0"/>
                <w:i/>
                <w:iCs/>
                <w:color w:val="000000"/>
                <w:sz w:val="18"/>
                <w:szCs w:val="18"/>
                <w:lang w:eastAsia="en-US"/>
              </w:rPr>
              <w:t xml:space="preserve"> </w:t>
            </w:r>
            <w:r w:rsidRPr="00005BEA">
              <w:rPr>
                <w:b w:val="0"/>
                <w:i/>
                <w:iCs/>
                <w:color w:val="000000"/>
                <w:sz w:val="18"/>
                <w:szCs w:val="18"/>
                <w:lang w:val="en-US" w:eastAsia="en-US"/>
              </w:rPr>
              <w:t>հեռավար</w:t>
            </w:r>
            <w:r w:rsidRPr="00513DF0">
              <w:rPr>
                <w:b w:val="0"/>
                <w:i/>
                <w:iCs/>
                <w:color w:val="000000"/>
                <w:sz w:val="18"/>
                <w:szCs w:val="18"/>
                <w:lang w:eastAsia="en-US"/>
              </w:rPr>
              <w:t xml:space="preserve"> </w:t>
            </w:r>
            <w:r w:rsidRPr="00005BEA">
              <w:rPr>
                <w:b w:val="0"/>
                <w:i/>
                <w:iCs/>
                <w:color w:val="000000"/>
                <w:sz w:val="18"/>
                <w:szCs w:val="18"/>
                <w:lang w:val="en-US" w:eastAsia="en-US"/>
              </w:rPr>
              <w:t>ուսուցումը</w:t>
            </w:r>
            <w:r w:rsidRPr="00005BEA">
              <w:rPr>
                <w:b w:val="0"/>
                <w:i/>
                <w:iCs/>
                <w:color w:val="000000"/>
                <w:sz w:val="18"/>
                <w:szCs w:val="18"/>
                <w:lang w:val="hy-AM" w:eastAsia="en-US"/>
              </w:rPr>
              <w:t>,</w:t>
            </w:r>
            <w:r w:rsidRPr="00513DF0">
              <w:rPr>
                <w:b w:val="0"/>
                <w:i/>
                <w:iCs/>
                <w:color w:val="000000"/>
                <w:sz w:val="18"/>
                <w:szCs w:val="18"/>
                <w:lang w:eastAsia="en-US"/>
              </w:rPr>
              <w:t xml:space="preserve"> </w:t>
            </w:r>
            <w:r w:rsidRPr="00005BEA">
              <w:rPr>
                <w:b w:val="0"/>
                <w:i/>
                <w:iCs/>
                <w:color w:val="000000"/>
                <w:sz w:val="18"/>
                <w:szCs w:val="18"/>
                <w:lang w:val="en-US" w:eastAsia="en-US"/>
              </w:rPr>
              <w:t>հեռավար</w:t>
            </w:r>
            <w:r w:rsidRPr="00513DF0">
              <w:rPr>
                <w:b w:val="0"/>
                <w:i/>
                <w:iCs/>
                <w:color w:val="000000"/>
                <w:sz w:val="18"/>
                <w:szCs w:val="18"/>
                <w:lang w:eastAsia="en-US"/>
              </w:rPr>
              <w:t xml:space="preserve"> </w:t>
            </w:r>
            <w:r w:rsidRPr="00005BEA">
              <w:rPr>
                <w:b w:val="0"/>
                <w:i/>
                <w:iCs/>
                <w:color w:val="000000"/>
                <w:sz w:val="18"/>
                <w:szCs w:val="18"/>
                <w:lang w:val="en-US" w:eastAsia="en-US"/>
              </w:rPr>
              <w:t>կազմակերպման</w:t>
            </w:r>
            <w:r w:rsidRPr="00513DF0">
              <w:rPr>
                <w:b w:val="0"/>
                <w:i/>
                <w:iCs/>
                <w:color w:val="000000"/>
                <w:sz w:val="18"/>
                <w:szCs w:val="18"/>
                <w:lang w:eastAsia="en-US"/>
              </w:rPr>
              <w:t xml:space="preserve"> </w:t>
            </w:r>
            <w:r w:rsidRPr="00005BEA">
              <w:rPr>
                <w:b w:val="0"/>
                <w:i/>
                <w:iCs/>
                <w:color w:val="000000"/>
                <w:sz w:val="18"/>
                <w:szCs w:val="18"/>
                <w:lang w:val="en-US" w:eastAsia="en-US"/>
              </w:rPr>
              <w:t>հնարավորություն</w:t>
            </w:r>
            <w:r w:rsidRPr="00513DF0">
              <w:rPr>
                <w:b w:val="0"/>
                <w:i/>
                <w:iCs/>
                <w:color w:val="000000"/>
                <w:sz w:val="18"/>
                <w:szCs w:val="18"/>
                <w:lang w:eastAsia="en-US"/>
              </w:rPr>
              <w:t xml:space="preserve"> </w:t>
            </w:r>
            <w:r w:rsidRPr="00005BEA">
              <w:rPr>
                <w:b w:val="0"/>
                <w:i/>
                <w:iCs/>
                <w:color w:val="000000"/>
                <w:sz w:val="18"/>
                <w:szCs w:val="18"/>
                <w:lang w:val="en-US" w:eastAsia="en-US"/>
              </w:rPr>
              <w:t>ունեցող</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գործունեության</w:t>
            </w:r>
            <w:r w:rsidRPr="00513DF0">
              <w:rPr>
                <w:b w:val="0"/>
                <w:i/>
                <w:iCs/>
                <w:color w:val="000000"/>
                <w:sz w:val="18"/>
                <w:szCs w:val="18"/>
                <w:lang w:eastAsia="en-US"/>
              </w:rPr>
              <w:t xml:space="preserve"> </w:t>
            </w:r>
            <w:r w:rsidRPr="00005BEA">
              <w:rPr>
                <w:b w:val="0"/>
                <w:i/>
                <w:iCs/>
                <w:color w:val="000000"/>
                <w:sz w:val="18"/>
                <w:szCs w:val="18"/>
                <w:lang w:val="en-US" w:eastAsia="en-US"/>
              </w:rPr>
              <w:t>այլ</w:t>
            </w:r>
            <w:r w:rsidRPr="00513DF0">
              <w:rPr>
                <w:b w:val="0"/>
                <w:i/>
                <w:iCs/>
                <w:color w:val="000000"/>
                <w:sz w:val="18"/>
                <w:szCs w:val="18"/>
                <w:lang w:eastAsia="en-US"/>
              </w:rPr>
              <w:t xml:space="preserve"> </w:t>
            </w:r>
            <w:r w:rsidRPr="00005BEA">
              <w:rPr>
                <w:b w:val="0"/>
                <w:i/>
                <w:iCs/>
                <w:color w:val="000000"/>
                <w:sz w:val="18"/>
                <w:szCs w:val="18"/>
                <w:lang w:val="en-US" w:eastAsia="en-US"/>
              </w:rPr>
              <w:t>տեսակները</w:t>
            </w:r>
            <w:r w:rsidRPr="00005BEA">
              <w:rPr>
                <w:b w:val="0"/>
                <w:i/>
                <w:iCs/>
                <w:color w:val="000000"/>
                <w:sz w:val="18"/>
                <w:szCs w:val="18"/>
                <w:lang w:val="hy-AM" w:eastAsia="en-US"/>
              </w:rPr>
              <w:t xml:space="preserve">, հանրային միջոցառումների և որոշ բժշկական նշանակության ապրանքների և դեղորայքի հետ կապված որոշակի սահմանափակումներ, </w:t>
            </w:r>
            <w:r w:rsidRPr="00005BEA">
              <w:rPr>
                <w:b w:val="0"/>
                <w:i/>
                <w:iCs/>
                <w:color w:val="000000"/>
                <w:sz w:val="18"/>
                <w:szCs w:val="18"/>
                <w:lang w:val="en-US" w:eastAsia="en-US"/>
              </w:rPr>
              <w:t>ինչպես</w:t>
            </w:r>
            <w:r w:rsidRPr="00513DF0">
              <w:rPr>
                <w:b w:val="0"/>
                <w:i/>
                <w:iCs/>
                <w:color w:val="000000"/>
                <w:sz w:val="18"/>
                <w:szCs w:val="18"/>
                <w:lang w:eastAsia="en-US"/>
              </w:rPr>
              <w:t xml:space="preserve"> </w:t>
            </w:r>
            <w:r w:rsidRPr="00005BEA">
              <w:rPr>
                <w:b w:val="0"/>
                <w:i/>
                <w:iCs/>
                <w:color w:val="000000"/>
                <w:sz w:val="18"/>
                <w:szCs w:val="18"/>
                <w:lang w:val="en-US" w:eastAsia="en-US"/>
              </w:rPr>
              <w:t>նաև</w:t>
            </w:r>
            <w:r w:rsidRPr="00513DF0">
              <w:rPr>
                <w:b w:val="0"/>
                <w:i/>
                <w:iCs/>
                <w:color w:val="000000"/>
                <w:sz w:val="18"/>
                <w:szCs w:val="18"/>
                <w:lang w:eastAsia="en-US"/>
              </w:rPr>
              <w:t xml:space="preserve"> </w:t>
            </w:r>
            <w:r w:rsidRPr="00005BEA">
              <w:rPr>
                <w:b w:val="0"/>
                <w:i/>
                <w:iCs/>
                <w:color w:val="000000"/>
                <w:sz w:val="18"/>
                <w:szCs w:val="18"/>
                <w:lang w:val="en-US" w:eastAsia="en-US"/>
              </w:rPr>
              <w:t>որոշակի</w:t>
            </w:r>
            <w:r w:rsidRPr="00513DF0">
              <w:rPr>
                <w:b w:val="0"/>
                <w:i/>
                <w:iCs/>
                <w:color w:val="000000"/>
                <w:sz w:val="18"/>
                <w:szCs w:val="18"/>
                <w:lang w:eastAsia="en-US"/>
              </w:rPr>
              <w:t xml:space="preserve"> </w:t>
            </w:r>
            <w:r w:rsidRPr="00005BEA">
              <w:rPr>
                <w:b w:val="0"/>
                <w:i/>
                <w:iCs/>
                <w:color w:val="000000"/>
                <w:sz w:val="18"/>
                <w:szCs w:val="18"/>
                <w:lang w:val="en-US" w:eastAsia="en-US"/>
              </w:rPr>
              <w:t>ժամանակահատվածով</w:t>
            </w:r>
            <w:r w:rsidRPr="00513DF0">
              <w:rPr>
                <w:b w:val="0"/>
                <w:i/>
                <w:iCs/>
                <w:color w:val="000000"/>
                <w:sz w:val="18"/>
                <w:szCs w:val="18"/>
                <w:lang w:eastAsia="en-US"/>
              </w:rPr>
              <w:t xml:space="preserve"> </w:t>
            </w:r>
            <w:r w:rsidRPr="00005BEA">
              <w:rPr>
                <w:b w:val="0"/>
                <w:i/>
                <w:iCs/>
                <w:color w:val="000000"/>
                <w:sz w:val="18"/>
                <w:szCs w:val="18"/>
                <w:lang w:val="en-US" w:eastAsia="en-US"/>
              </w:rPr>
              <w:t>ըստ</w:t>
            </w:r>
            <w:r w:rsidRPr="00513DF0">
              <w:rPr>
                <w:b w:val="0"/>
                <w:i/>
                <w:iCs/>
                <w:color w:val="000000"/>
                <w:sz w:val="18"/>
                <w:szCs w:val="18"/>
                <w:lang w:eastAsia="en-US"/>
              </w:rPr>
              <w:t xml:space="preserve"> </w:t>
            </w:r>
            <w:r w:rsidRPr="00005BEA">
              <w:rPr>
                <w:b w:val="0"/>
                <w:i/>
                <w:iCs/>
                <w:color w:val="000000"/>
                <w:sz w:val="18"/>
                <w:szCs w:val="18"/>
                <w:lang w:val="en-US" w:eastAsia="en-US"/>
              </w:rPr>
              <w:t>անհրաժեշտության</w:t>
            </w:r>
            <w:r w:rsidRPr="00513DF0">
              <w:rPr>
                <w:b w:val="0"/>
                <w:i/>
                <w:iCs/>
                <w:color w:val="000000"/>
                <w:sz w:val="18"/>
                <w:szCs w:val="18"/>
                <w:lang w:eastAsia="en-US"/>
              </w:rPr>
              <w:t xml:space="preserve"> </w:t>
            </w:r>
            <w:r w:rsidRPr="00005BEA">
              <w:rPr>
                <w:b w:val="0"/>
                <w:i/>
                <w:iCs/>
                <w:color w:val="000000"/>
                <w:sz w:val="18"/>
                <w:szCs w:val="18"/>
                <w:lang w:val="en-US" w:eastAsia="en-US"/>
              </w:rPr>
              <w:t>շարունակվեց</w:t>
            </w:r>
            <w:r w:rsidRPr="00513DF0">
              <w:rPr>
                <w:b w:val="0"/>
                <w:i/>
                <w:iCs/>
                <w:color w:val="000000"/>
                <w:sz w:val="18"/>
                <w:szCs w:val="18"/>
                <w:lang w:eastAsia="en-US"/>
              </w:rPr>
              <w:t xml:space="preserve"> </w:t>
            </w:r>
            <w:r w:rsidRPr="00005BEA">
              <w:rPr>
                <w:b w:val="0"/>
                <w:i/>
                <w:iCs/>
                <w:color w:val="000000"/>
                <w:sz w:val="18"/>
                <w:szCs w:val="18"/>
                <w:lang w:val="en-US" w:eastAsia="en-US"/>
              </w:rPr>
              <w:t>կասեցվել</w:t>
            </w:r>
            <w:r w:rsidRPr="00513DF0">
              <w:rPr>
                <w:b w:val="0"/>
                <w:i/>
                <w:iCs/>
                <w:color w:val="000000"/>
                <w:sz w:val="18"/>
                <w:szCs w:val="18"/>
                <w:lang w:eastAsia="en-US"/>
              </w:rPr>
              <w:t xml:space="preserve"> </w:t>
            </w:r>
            <w:r w:rsidRPr="00005BEA">
              <w:rPr>
                <w:b w:val="0"/>
                <w:i/>
                <w:iCs/>
                <w:color w:val="000000"/>
                <w:sz w:val="18"/>
                <w:szCs w:val="18"/>
                <w:lang w:val="en-US" w:eastAsia="en-US"/>
              </w:rPr>
              <w:t>առանձին</w:t>
            </w:r>
            <w:r w:rsidRPr="00513DF0">
              <w:rPr>
                <w:b w:val="0"/>
                <w:i/>
                <w:iCs/>
                <w:color w:val="000000"/>
                <w:sz w:val="18"/>
                <w:szCs w:val="18"/>
                <w:lang w:eastAsia="en-US"/>
              </w:rPr>
              <w:t xml:space="preserve"> </w:t>
            </w:r>
            <w:r w:rsidRPr="00005BEA">
              <w:rPr>
                <w:b w:val="0"/>
                <w:i/>
                <w:iCs/>
                <w:color w:val="000000"/>
                <w:sz w:val="18"/>
                <w:szCs w:val="18"/>
                <w:lang w:val="en-US" w:eastAsia="en-US"/>
              </w:rPr>
              <w:t>տնտեսավարողների</w:t>
            </w:r>
            <w:r w:rsidRPr="00513DF0">
              <w:rPr>
                <w:b w:val="0"/>
                <w:i/>
                <w:iCs/>
                <w:color w:val="000000"/>
                <w:sz w:val="18"/>
                <w:szCs w:val="18"/>
                <w:lang w:eastAsia="en-US"/>
              </w:rPr>
              <w:t xml:space="preserve"> </w:t>
            </w:r>
            <w:r w:rsidRPr="00005BEA">
              <w:rPr>
                <w:b w:val="0"/>
                <w:i/>
                <w:iCs/>
                <w:color w:val="000000"/>
                <w:sz w:val="18"/>
                <w:szCs w:val="18"/>
                <w:lang w:val="en-US" w:eastAsia="en-US"/>
              </w:rPr>
              <w:t>գործունեությունը</w:t>
            </w:r>
            <w:r w:rsidRPr="00513DF0">
              <w:rPr>
                <w:b w:val="0"/>
                <w:i/>
                <w:iCs/>
                <w:color w:val="000000"/>
                <w:sz w:val="18"/>
                <w:szCs w:val="18"/>
                <w:lang w:eastAsia="en-US"/>
              </w:rPr>
              <w:t>,</w:t>
            </w:r>
          </w:p>
          <w:p w:rsidR="00005BEA" w:rsidRPr="00513DF0" w:rsidRDefault="00005BEA" w:rsidP="00005BEA">
            <w:pPr>
              <w:tabs>
                <w:tab w:val="left" w:pos="510"/>
              </w:tabs>
              <w:spacing w:before="0" w:line="240" w:lineRule="auto"/>
              <w:ind w:firstLine="240"/>
              <w:contextualSpacing w:val="0"/>
              <w:jc w:val="left"/>
              <w:rPr>
                <w:b w:val="0"/>
                <w:i/>
                <w:iCs/>
                <w:color w:val="000000"/>
                <w:sz w:val="18"/>
                <w:szCs w:val="18"/>
                <w:lang w:eastAsia="en-US"/>
              </w:rPr>
            </w:pPr>
            <w:r w:rsidRPr="00005BEA">
              <w:rPr>
                <w:bCs/>
                <w:i/>
                <w:iCs/>
                <w:color w:val="000000"/>
                <w:sz w:val="18"/>
                <w:szCs w:val="18"/>
                <w:lang w:val="hy-AM" w:eastAsia="en-US"/>
              </w:rPr>
              <w:t>5</w:t>
            </w:r>
            <w:r w:rsidRPr="00005BEA">
              <w:rPr>
                <w:rFonts w:ascii="Cambria Math" w:hAnsi="Cambria Math" w:cs="Cambria Math"/>
                <w:bCs/>
                <w:i/>
                <w:iCs/>
                <w:color w:val="000000"/>
                <w:sz w:val="18"/>
                <w:szCs w:val="18"/>
                <w:lang w:val="hy-AM" w:eastAsia="en-US"/>
              </w:rPr>
              <w:t>․</w:t>
            </w:r>
            <w:r w:rsidRPr="00005BEA">
              <w:rPr>
                <w:b w:val="0"/>
                <w:i/>
                <w:iCs/>
                <w:color w:val="000000"/>
                <w:sz w:val="18"/>
                <w:szCs w:val="18"/>
                <w:lang w:val="hy-AM" w:eastAsia="en-US"/>
              </w:rPr>
              <w:t xml:space="preserve"> </w:t>
            </w:r>
            <w:r w:rsidRPr="00005BEA">
              <w:rPr>
                <w:bCs/>
                <w:i/>
                <w:iCs/>
                <w:color w:val="000000"/>
                <w:sz w:val="18"/>
                <w:szCs w:val="18"/>
                <w:lang w:val="hy-AM" w:eastAsia="en-US"/>
              </w:rPr>
              <w:t>օգոստո</w:t>
            </w:r>
            <w:r w:rsidRPr="00005BEA">
              <w:rPr>
                <w:bCs/>
                <w:i/>
                <w:iCs/>
                <w:color w:val="000000"/>
                <w:sz w:val="18"/>
                <w:szCs w:val="18"/>
                <w:lang w:val="en-US" w:eastAsia="en-US"/>
              </w:rPr>
              <w:t>սի</w:t>
            </w:r>
            <w:r w:rsidRPr="00513DF0">
              <w:rPr>
                <w:bCs/>
                <w:i/>
                <w:iCs/>
                <w:color w:val="000000"/>
                <w:sz w:val="18"/>
                <w:szCs w:val="18"/>
                <w:lang w:eastAsia="en-US"/>
              </w:rPr>
              <w:t xml:space="preserve"> 1</w:t>
            </w:r>
            <w:r w:rsidRPr="00005BEA">
              <w:rPr>
                <w:bCs/>
                <w:i/>
                <w:iCs/>
                <w:color w:val="000000"/>
                <w:sz w:val="18"/>
                <w:szCs w:val="18"/>
                <w:lang w:val="hy-AM" w:eastAsia="en-US"/>
              </w:rPr>
              <w:t>2</w:t>
            </w:r>
            <w:r w:rsidRPr="00513DF0">
              <w:rPr>
                <w:bCs/>
                <w:i/>
                <w:iCs/>
                <w:color w:val="000000"/>
                <w:sz w:val="18"/>
                <w:szCs w:val="18"/>
                <w:lang w:eastAsia="en-US"/>
              </w:rPr>
              <w:t>-</w:t>
            </w:r>
            <w:r w:rsidRPr="00005BEA">
              <w:rPr>
                <w:bCs/>
                <w:i/>
                <w:iCs/>
                <w:color w:val="000000"/>
                <w:sz w:val="18"/>
                <w:szCs w:val="18"/>
                <w:lang w:val="en-US" w:eastAsia="en-US"/>
              </w:rPr>
              <w:t>ից՝</w:t>
            </w:r>
            <w:r w:rsidRPr="00513DF0">
              <w:rPr>
                <w:bCs/>
                <w:i/>
                <w:iCs/>
                <w:color w:val="000000"/>
                <w:sz w:val="18"/>
                <w:szCs w:val="18"/>
                <w:lang w:eastAsia="en-US"/>
              </w:rPr>
              <w:t xml:space="preserve"> </w:t>
            </w:r>
            <w:r w:rsidRPr="00005BEA">
              <w:rPr>
                <w:b w:val="0"/>
                <w:i/>
                <w:iCs/>
                <w:color w:val="000000"/>
                <w:sz w:val="18"/>
                <w:szCs w:val="18"/>
                <w:lang w:val="hy-AM" w:eastAsia="en-US"/>
              </w:rPr>
              <w:t xml:space="preserve">ընտանեկան արարողությունների և ժամանցային բնույթի միջոցառումների անցկացումը </w:t>
            </w:r>
            <w:r w:rsidRPr="00513DF0">
              <w:rPr>
                <w:b w:val="0"/>
                <w:i/>
                <w:iCs/>
                <w:color w:val="000000"/>
                <w:sz w:val="18"/>
                <w:szCs w:val="18"/>
                <w:lang w:eastAsia="en-US"/>
              </w:rPr>
              <w:t>(</w:t>
            </w:r>
            <w:r w:rsidRPr="00005BEA">
              <w:rPr>
                <w:b w:val="0"/>
                <w:i/>
                <w:iCs/>
                <w:color w:val="000000"/>
                <w:sz w:val="18"/>
                <w:szCs w:val="18"/>
                <w:lang w:val="hy-AM" w:eastAsia="en-US"/>
              </w:rPr>
              <w:t>ոչ ավել քան 40 հոգու մասնակցությամբ</w:t>
            </w:r>
            <w:r w:rsidRPr="00513DF0">
              <w:rPr>
                <w:b w:val="0"/>
                <w:i/>
                <w:iCs/>
                <w:color w:val="000000"/>
                <w:sz w:val="18"/>
                <w:szCs w:val="18"/>
                <w:lang w:eastAsia="en-US"/>
              </w:rPr>
              <w:t>)</w:t>
            </w:r>
            <w:r w:rsidRPr="00005BEA">
              <w:rPr>
                <w:b w:val="0"/>
                <w:i/>
                <w:iCs/>
                <w:color w:val="000000"/>
                <w:sz w:val="18"/>
                <w:szCs w:val="18"/>
                <w:lang w:val="hy-AM" w:eastAsia="en-US"/>
              </w:rPr>
              <w:t>, օդային ճանապարհով ՀՀ քաղաքացի չհանդիսացող անձանց մուտքը ՀՀ, որոշ բժշկական նշանակության ապրանքների և դեղորայքի ՀՀ-ից արտահանումը</w:t>
            </w:r>
            <w:r w:rsidRPr="00513DF0">
              <w:rPr>
                <w:b w:val="0"/>
                <w:i/>
                <w:iCs/>
                <w:color w:val="000000"/>
                <w:sz w:val="18"/>
                <w:szCs w:val="18"/>
                <w:lang w:eastAsia="en-US"/>
              </w:rPr>
              <w:t>,</w:t>
            </w:r>
          </w:p>
          <w:p w:rsidR="00005BEA" w:rsidRPr="00005BEA" w:rsidRDefault="00005BEA" w:rsidP="00005BEA">
            <w:pPr>
              <w:tabs>
                <w:tab w:val="left" w:pos="510"/>
              </w:tabs>
              <w:spacing w:before="0" w:line="240" w:lineRule="auto"/>
              <w:ind w:firstLine="240"/>
              <w:contextualSpacing w:val="0"/>
              <w:jc w:val="left"/>
              <w:rPr>
                <w:b w:val="0"/>
                <w:i/>
                <w:iCs/>
                <w:color w:val="000000"/>
                <w:sz w:val="18"/>
                <w:szCs w:val="18"/>
                <w:lang w:val="hy-AM" w:eastAsia="en-US"/>
              </w:rPr>
            </w:pPr>
            <w:r w:rsidRPr="00005BEA">
              <w:rPr>
                <w:bCs/>
                <w:i/>
                <w:iCs/>
                <w:color w:val="000000"/>
                <w:sz w:val="18"/>
                <w:szCs w:val="18"/>
                <w:lang w:val="hy-AM" w:eastAsia="en-US"/>
              </w:rPr>
              <w:t>6</w:t>
            </w:r>
            <w:r w:rsidRPr="00005BEA">
              <w:rPr>
                <w:rFonts w:ascii="Cambria Math" w:hAnsi="Cambria Math" w:cs="Cambria Math"/>
                <w:bCs/>
                <w:i/>
                <w:iCs/>
                <w:color w:val="000000"/>
                <w:sz w:val="18"/>
                <w:szCs w:val="18"/>
                <w:lang w:val="hy-AM" w:eastAsia="en-US"/>
              </w:rPr>
              <w:t>․</w:t>
            </w:r>
            <w:r w:rsidRPr="00005BEA">
              <w:rPr>
                <w:b w:val="0"/>
                <w:i/>
                <w:iCs/>
                <w:color w:val="000000"/>
                <w:sz w:val="18"/>
                <w:szCs w:val="18"/>
                <w:lang w:val="hy-AM" w:eastAsia="en-US"/>
              </w:rPr>
              <w:t xml:space="preserve"> </w:t>
            </w:r>
            <w:r w:rsidRPr="00005BEA">
              <w:rPr>
                <w:bCs/>
                <w:i/>
                <w:iCs/>
                <w:color w:val="000000"/>
                <w:sz w:val="18"/>
                <w:szCs w:val="18"/>
                <w:lang w:val="hy-AM" w:eastAsia="en-US"/>
              </w:rPr>
              <w:t>օգոստո</w:t>
            </w:r>
            <w:r w:rsidRPr="00005BEA">
              <w:rPr>
                <w:bCs/>
                <w:i/>
                <w:iCs/>
                <w:color w:val="000000"/>
                <w:sz w:val="18"/>
                <w:szCs w:val="18"/>
                <w:lang w:val="en-US" w:eastAsia="en-US"/>
              </w:rPr>
              <w:t>սի</w:t>
            </w:r>
            <w:r w:rsidRPr="00513DF0">
              <w:rPr>
                <w:bCs/>
                <w:i/>
                <w:iCs/>
                <w:color w:val="000000"/>
                <w:sz w:val="18"/>
                <w:szCs w:val="18"/>
                <w:lang w:eastAsia="en-US"/>
              </w:rPr>
              <w:t xml:space="preserve"> 1</w:t>
            </w:r>
            <w:r w:rsidRPr="00005BEA">
              <w:rPr>
                <w:bCs/>
                <w:i/>
                <w:iCs/>
                <w:color w:val="000000"/>
                <w:sz w:val="18"/>
                <w:szCs w:val="18"/>
                <w:lang w:val="hy-AM" w:eastAsia="en-US"/>
              </w:rPr>
              <w:t>8</w:t>
            </w:r>
            <w:r w:rsidRPr="00513DF0">
              <w:rPr>
                <w:bCs/>
                <w:i/>
                <w:iCs/>
                <w:color w:val="000000"/>
                <w:sz w:val="18"/>
                <w:szCs w:val="18"/>
                <w:lang w:eastAsia="en-US"/>
              </w:rPr>
              <w:t>-</w:t>
            </w:r>
            <w:r w:rsidRPr="00005BEA">
              <w:rPr>
                <w:bCs/>
                <w:i/>
                <w:iCs/>
                <w:color w:val="000000"/>
                <w:sz w:val="18"/>
                <w:szCs w:val="18"/>
                <w:lang w:val="en-US" w:eastAsia="en-US"/>
              </w:rPr>
              <w:t>ից՝</w:t>
            </w:r>
            <w:r w:rsidRPr="00005BEA">
              <w:rPr>
                <w:bCs/>
                <w:i/>
                <w:iCs/>
                <w:color w:val="000000"/>
                <w:sz w:val="18"/>
                <w:szCs w:val="18"/>
                <w:lang w:val="hy-AM" w:eastAsia="en-US"/>
              </w:rPr>
              <w:t xml:space="preserve"> </w:t>
            </w:r>
            <w:r w:rsidRPr="00005BEA">
              <w:rPr>
                <w:b w:val="0"/>
                <w:i/>
                <w:iCs/>
                <w:color w:val="000000"/>
                <w:sz w:val="18"/>
                <w:szCs w:val="18"/>
                <w:lang w:val="hy-AM" w:eastAsia="en-US"/>
              </w:rPr>
              <w:t xml:space="preserve">գրադարանների, թանգարանների, մշակույթի ոլորտի </w:t>
            </w:r>
            <w:r w:rsidRPr="00513DF0">
              <w:rPr>
                <w:b w:val="0"/>
                <w:i/>
                <w:iCs/>
                <w:color w:val="000000"/>
                <w:sz w:val="18"/>
                <w:szCs w:val="18"/>
                <w:lang w:eastAsia="en-US"/>
              </w:rPr>
              <w:t>(</w:t>
            </w:r>
            <w:r w:rsidRPr="00005BEA">
              <w:rPr>
                <w:b w:val="0"/>
                <w:i/>
                <w:iCs/>
                <w:color w:val="000000"/>
                <w:sz w:val="18"/>
                <w:szCs w:val="18"/>
                <w:lang w:val="hy-AM" w:eastAsia="en-US"/>
              </w:rPr>
              <w:t>այդ թվում՝ թատերահամերգային միջոցառումները և կինոցուցադրությունները, որոնք պետք է անցկացվեն բացառապես բացօթյա տարածքներում</w:t>
            </w:r>
            <w:r w:rsidRPr="00513DF0">
              <w:rPr>
                <w:b w:val="0"/>
                <w:i/>
                <w:iCs/>
                <w:color w:val="000000"/>
                <w:sz w:val="18"/>
                <w:szCs w:val="18"/>
                <w:lang w:eastAsia="en-US"/>
              </w:rPr>
              <w:t xml:space="preserve">) </w:t>
            </w:r>
            <w:r w:rsidRPr="00005BEA">
              <w:rPr>
                <w:b w:val="0"/>
                <w:i/>
                <w:iCs/>
                <w:color w:val="000000"/>
                <w:sz w:val="18"/>
                <w:szCs w:val="18"/>
                <w:lang w:val="hy-AM" w:eastAsia="en-US"/>
              </w:rPr>
              <w:t>գործունեությունը</w:t>
            </w:r>
            <w:r w:rsidRPr="00513DF0">
              <w:rPr>
                <w:b w:val="0"/>
                <w:i/>
                <w:iCs/>
                <w:color w:val="000000"/>
                <w:sz w:val="18"/>
                <w:szCs w:val="18"/>
                <w:lang w:eastAsia="en-US"/>
              </w:rPr>
              <w:t>,</w:t>
            </w:r>
            <w:r w:rsidRPr="00005BEA">
              <w:rPr>
                <w:b w:val="0"/>
                <w:i/>
                <w:iCs/>
                <w:color w:val="000000"/>
                <w:sz w:val="18"/>
                <w:szCs w:val="18"/>
                <w:lang w:val="hy-AM" w:eastAsia="en-US"/>
              </w:rPr>
              <w:t xml:space="preserve"> ոչ ֆորմալ և շարունակական կրթությունը մի շարք ուղղություններով, սակայն դեռևս շարունակվեց պահպանվել սահմանափակումները արտադպրոցական սպորտային, արվեստի և մշակութային խմբակների մասով,</w:t>
            </w:r>
          </w:p>
          <w:p w:rsidR="00005BEA" w:rsidRPr="00005BEA" w:rsidRDefault="00005BEA" w:rsidP="00005BEA">
            <w:pPr>
              <w:tabs>
                <w:tab w:val="left" w:pos="510"/>
              </w:tabs>
              <w:spacing w:before="0" w:line="240" w:lineRule="auto"/>
              <w:ind w:firstLine="240"/>
              <w:contextualSpacing w:val="0"/>
              <w:jc w:val="left"/>
              <w:rPr>
                <w:b w:val="0"/>
                <w:i/>
                <w:iCs/>
                <w:color w:val="000000"/>
                <w:sz w:val="18"/>
                <w:szCs w:val="18"/>
                <w:lang w:val="hy-AM" w:eastAsia="en-US"/>
              </w:rPr>
            </w:pPr>
            <w:r w:rsidRPr="00005BEA">
              <w:rPr>
                <w:bCs/>
                <w:i/>
                <w:iCs/>
                <w:color w:val="000000"/>
                <w:sz w:val="18"/>
                <w:szCs w:val="18"/>
                <w:lang w:val="hy-AM" w:eastAsia="en-US"/>
              </w:rPr>
              <w:t xml:space="preserve">6. սեպտեմբերի 1-ից՝ </w:t>
            </w:r>
            <w:r w:rsidRPr="00005BEA">
              <w:rPr>
                <w:b w:val="0"/>
                <w:i/>
                <w:iCs/>
                <w:color w:val="000000"/>
                <w:sz w:val="18"/>
                <w:szCs w:val="18"/>
                <w:lang w:val="hy-AM" w:eastAsia="en-US"/>
              </w:rPr>
              <w:t>բուհական կրթությունը միայն բակալավրիատի 1-ի կուրսի ուսանողների համար, իսկ մնացածի մասով՝ սահմանվեց հիբրիդային (հեռավար տեսական և առկա գործնական պարապմունքներ) եղանակով ուսումնական գործընթաց,</w:t>
            </w:r>
          </w:p>
          <w:p w:rsidR="00005BEA" w:rsidRPr="00005BEA" w:rsidRDefault="00005BEA" w:rsidP="00005BEA">
            <w:pPr>
              <w:tabs>
                <w:tab w:val="left" w:pos="510"/>
              </w:tabs>
              <w:spacing w:before="0" w:line="240" w:lineRule="auto"/>
              <w:ind w:firstLine="240"/>
              <w:contextualSpacing w:val="0"/>
              <w:jc w:val="left"/>
              <w:rPr>
                <w:b w:val="0"/>
                <w:i/>
                <w:iCs/>
                <w:color w:val="000000"/>
                <w:sz w:val="18"/>
                <w:szCs w:val="18"/>
                <w:lang w:val="hy-AM" w:eastAsia="en-US"/>
              </w:rPr>
            </w:pPr>
            <w:r w:rsidRPr="00005BEA">
              <w:rPr>
                <w:b w:val="0"/>
                <w:i/>
                <w:iCs/>
                <w:color w:val="000000"/>
                <w:sz w:val="18"/>
                <w:szCs w:val="18"/>
                <w:lang w:val="hy-AM" w:eastAsia="en-US"/>
              </w:rPr>
              <w:t>7</w:t>
            </w:r>
            <w:r w:rsidRPr="00005BEA">
              <w:rPr>
                <w:rFonts w:ascii="Cambria Math" w:hAnsi="Cambria Math" w:cs="Cambria Math"/>
                <w:b w:val="0"/>
                <w:i/>
                <w:iCs/>
                <w:color w:val="000000"/>
                <w:sz w:val="18"/>
                <w:szCs w:val="18"/>
                <w:lang w:val="hy-AM" w:eastAsia="en-US"/>
              </w:rPr>
              <w:t>․</w:t>
            </w:r>
            <w:r w:rsidRPr="00005BEA">
              <w:rPr>
                <w:b w:val="0"/>
                <w:i/>
                <w:iCs/>
                <w:color w:val="000000"/>
                <w:sz w:val="18"/>
                <w:szCs w:val="18"/>
                <w:lang w:val="hy-AM" w:eastAsia="en-US"/>
              </w:rPr>
              <w:t xml:space="preserve">  </w:t>
            </w:r>
            <w:r w:rsidRPr="00005BEA">
              <w:rPr>
                <w:bCs/>
                <w:i/>
                <w:iCs/>
                <w:color w:val="000000"/>
                <w:sz w:val="18"/>
                <w:szCs w:val="18"/>
                <w:lang w:val="hy-AM" w:eastAsia="en-US"/>
              </w:rPr>
              <w:t>սեպտեմբերի 15-ից՝</w:t>
            </w:r>
            <w:r w:rsidRPr="00005BEA">
              <w:rPr>
                <w:b w:val="0"/>
                <w:i/>
                <w:iCs/>
                <w:color w:val="000000"/>
                <w:sz w:val="18"/>
                <w:szCs w:val="18"/>
                <w:lang w:val="hy-AM" w:eastAsia="en-US"/>
              </w:rPr>
              <w:t xml:space="preserve"> հանրակրթությունը, սակայն պայմանավորված համավարակի ահագնացող տեմպերով, նոյեմբերի 13-ից որոշակիորեն (ոչ ամբողջությամբ) անցում կատարվեց հեռավար ուսուցման։   </w:t>
            </w:r>
          </w:p>
          <w:p w:rsidR="00005BEA" w:rsidRPr="00005BEA" w:rsidRDefault="00005BEA" w:rsidP="00005BEA">
            <w:pPr>
              <w:tabs>
                <w:tab w:val="left" w:pos="510"/>
              </w:tabs>
              <w:spacing w:before="0" w:line="240" w:lineRule="auto"/>
              <w:ind w:firstLine="240"/>
              <w:contextualSpacing w:val="0"/>
              <w:jc w:val="left"/>
              <w:rPr>
                <w:b w:val="0"/>
                <w:i/>
                <w:iCs/>
                <w:color w:val="000000"/>
                <w:sz w:val="18"/>
                <w:szCs w:val="18"/>
                <w:lang w:val="hy-AM" w:eastAsia="en-US"/>
              </w:rPr>
            </w:pPr>
            <w:r w:rsidRPr="00005BEA">
              <w:rPr>
                <w:b w:val="0"/>
                <w:i/>
                <w:iCs/>
                <w:color w:val="000000"/>
                <w:sz w:val="18"/>
                <w:szCs w:val="18"/>
                <w:lang w:val="hy-AM" w:eastAsia="en-US"/>
              </w:rPr>
              <w:t xml:space="preserve">2020թ. սեպտեմբերի 11-ից մինչև 2021թ. հունվարի 11-ը կորոնավիրուսային հիվանդությամբ պայմանավորված հայտարարվեց </w:t>
            </w:r>
            <w:r w:rsidRPr="00005BEA">
              <w:rPr>
                <w:bCs/>
                <w:i/>
                <w:iCs/>
                <w:color w:val="000000"/>
                <w:sz w:val="18"/>
                <w:szCs w:val="18"/>
                <w:lang w:val="hy-AM" w:eastAsia="en-US"/>
              </w:rPr>
              <w:t>կարանտին</w:t>
            </w:r>
            <w:r w:rsidRPr="00005BEA">
              <w:rPr>
                <w:b w:val="0"/>
                <w:i/>
                <w:iCs/>
                <w:color w:val="000000"/>
                <w:sz w:val="18"/>
                <w:szCs w:val="18"/>
                <w:lang w:val="hy-AM" w:eastAsia="en-US"/>
              </w:rPr>
              <w:t xml:space="preserve"> (մինչ այդ գործող արտակարգ դրության փոխարեն) և սահմանվեց ՀՀ մուտքի և ելքի հատուկ ռեժիմ, մասնավորապես՝ ցամաքային սահմանի անցակետերով արգելվեց ՀՀ քաղաքացիություն չունեցող անձանց մուտքը ՀՀ (բացառությամբ սահմանված դեպքերի), իսկ հանրային միջոցառումները թույլատրվեցին միայն որոշակի սահմանափակումներով, մասնավորապես՝ տոնական, հիշատակի, սոցիալական, մշակութային, կրթական, սպորտային և այլ ժամանցային միջոցառումների (որոնք չեն հանդիսանում տնտեսական գործունեության տեսակ) մասնակիցների առավելագույն քանակ սահմանվեց 60 հոգին։</w:t>
            </w:r>
          </w:p>
          <w:p w:rsidR="00005BEA" w:rsidRPr="00005BEA" w:rsidRDefault="00005BEA" w:rsidP="00005BEA">
            <w:pPr>
              <w:tabs>
                <w:tab w:val="left" w:pos="510"/>
              </w:tabs>
              <w:spacing w:before="0" w:line="240" w:lineRule="auto"/>
              <w:ind w:firstLine="240"/>
              <w:contextualSpacing w:val="0"/>
              <w:jc w:val="left"/>
              <w:rPr>
                <w:bCs/>
                <w:i/>
                <w:iCs/>
                <w:color w:val="000000"/>
                <w:sz w:val="18"/>
                <w:szCs w:val="18"/>
                <w:lang w:val="hy-AM" w:eastAsia="en-US"/>
              </w:rPr>
            </w:pPr>
          </w:p>
        </w:tc>
      </w:tr>
    </w:tbl>
    <w:bookmarkEnd w:id="87"/>
    <w:bookmarkEnd w:id="88"/>
    <w:p w:rsidR="00005BEA" w:rsidRPr="00005BEA" w:rsidRDefault="00005BEA" w:rsidP="00005BEA">
      <w:pPr>
        <w:spacing w:before="40" w:after="120" w:line="276" w:lineRule="auto"/>
        <w:ind w:firstLine="630"/>
        <w:contextualSpacing w:val="0"/>
        <w:rPr>
          <w:rFonts w:cs="Sylfaen"/>
          <w:b w:val="0"/>
          <w:szCs w:val="22"/>
          <w:lang w:val="hy-AM" w:eastAsia="en-US"/>
        </w:rPr>
      </w:pPr>
      <w:r w:rsidRPr="00005BEA">
        <w:rPr>
          <w:rFonts w:cs="Sylfaen"/>
          <w:b w:val="0"/>
          <w:szCs w:val="22"/>
          <w:lang w:val="hy-AM" w:eastAsia="en-US"/>
        </w:rPr>
        <w:t xml:space="preserve"> Արդյունքում 2020թ. հունվար-սեպտեմբերին ՀՆԱ-ն կրճատվեց 7.1%-ով: Տնտեսության բոլոր ճյուղերում արձանագրվեց անկում, ընդ որում՝ տնտեսության անկումն առավելապես պայմանավորված էր ծառայությունների և շինարարության ճյուղերի նվազումներով՝ համապատասխանաբար՝ 4.3 և 1.1 տոկոսային կետերով։ </w:t>
      </w:r>
    </w:p>
    <w:tbl>
      <w:tblPr>
        <w:tblStyle w:val="TableGrid142121"/>
        <w:tblW w:w="0" w:type="auto"/>
        <w:tblLook w:val="04A0" w:firstRow="1" w:lastRow="0" w:firstColumn="1" w:lastColumn="0" w:noHBand="0" w:noVBand="1"/>
      </w:tblPr>
      <w:tblGrid>
        <w:gridCol w:w="4963"/>
        <w:gridCol w:w="4963"/>
      </w:tblGrid>
      <w:tr w:rsidR="00005BEA" w:rsidRPr="00BD0C63" w:rsidTr="00005BEA">
        <w:trPr>
          <w:trHeight w:val="3827"/>
        </w:trPr>
        <w:tc>
          <w:tcPr>
            <w:tcW w:w="4963" w:type="dxa"/>
          </w:tcPr>
          <w:p w:rsidR="00005BEA" w:rsidRPr="00005BEA" w:rsidRDefault="00005BEA" w:rsidP="00005BEA">
            <w:pPr>
              <w:spacing w:before="40" w:after="120" w:line="276" w:lineRule="auto"/>
              <w:ind w:firstLine="0"/>
              <w:contextualSpacing w:val="0"/>
              <w:rPr>
                <w:rFonts w:cs="Sylfaen"/>
                <w:bCs/>
                <w:sz w:val="16"/>
                <w:lang w:val="hy-AM" w:eastAsia="en-US"/>
              </w:rPr>
            </w:pPr>
            <w:r w:rsidRPr="00005BEA">
              <w:rPr>
                <w:rFonts w:cs="Sylfaen"/>
                <w:bCs/>
                <w:i/>
                <w:iCs/>
                <w:sz w:val="16"/>
                <w:lang w:val="hy-AM" w:eastAsia="en-US"/>
              </w:rPr>
              <w:t xml:space="preserve">Գծապատկեր 1.8. </w:t>
            </w:r>
            <w:r w:rsidRPr="00DE6C7D">
              <w:rPr>
                <w:rFonts w:cs="Sylfaen"/>
                <w:b w:val="0"/>
                <w:bCs/>
                <w:i/>
                <w:iCs/>
                <w:sz w:val="16"/>
                <w:lang w:val="hy-AM" w:eastAsia="en-US"/>
              </w:rPr>
              <w:t>ՀՆԱ աճ (%) և ճ</w:t>
            </w:r>
            <w:r w:rsidRPr="00DE6C7D">
              <w:rPr>
                <w:rFonts w:cs="Sylfaen"/>
                <w:b w:val="0"/>
                <w:bCs/>
                <w:sz w:val="16"/>
                <w:lang w:val="hy-AM" w:eastAsia="en-US"/>
              </w:rPr>
              <w:t>յուղերի նպաստումները ՀՆԱ աճին, ( տ. կ.)</w:t>
            </w:r>
          </w:p>
          <w:p w:rsidR="00005BEA" w:rsidRPr="00005BEA" w:rsidRDefault="00005BEA" w:rsidP="00005BEA">
            <w:pPr>
              <w:spacing w:before="40" w:after="120" w:line="276" w:lineRule="auto"/>
              <w:ind w:firstLine="0"/>
              <w:contextualSpacing w:val="0"/>
              <w:rPr>
                <w:rFonts w:cs="Sylfaen"/>
                <w:bCs/>
                <w:lang w:val="hy-AM" w:eastAsia="en-US"/>
              </w:rPr>
            </w:pPr>
            <w:r w:rsidRPr="00005BEA">
              <w:rPr>
                <w:rFonts w:cs="Sylfaen"/>
                <w:noProof/>
                <w:lang w:val="en-US" w:eastAsia="en-US"/>
              </w:rPr>
              <w:drawing>
                <wp:inline distT="0" distB="0" distL="0" distR="0">
                  <wp:extent cx="2910840" cy="2207895"/>
                  <wp:effectExtent l="0" t="0" r="0" b="0"/>
                  <wp:docPr id="91" name="Chart 91">
                    <a:extLst xmlns:a="http://schemas.openxmlformats.org/drawingml/2006/main">
                      <a:ext uri="{FF2B5EF4-FFF2-40B4-BE49-F238E27FC236}">
                        <a16:creationId xmlns:a16="http://schemas.microsoft.com/office/drawing/2014/main" id="{B706C3B2-915B-4C24-A125-9A8A708CD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963" w:type="dxa"/>
          </w:tcPr>
          <w:p w:rsidR="00005BEA" w:rsidRPr="00005BEA" w:rsidRDefault="00005BEA" w:rsidP="00005BEA">
            <w:pPr>
              <w:spacing w:before="40" w:after="120" w:line="276" w:lineRule="auto"/>
              <w:ind w:firstLine="0"/>
              <w:contextualSpacing w:val="0"/>
              <w:jc w:val="left"/>
              <w:rPr>
                <w:rFonts w:cs="Sylfaen"/>
                <w:bCs/>
                <w:lang w:val="hy-AM" w:eastAsia="en-US"/>
              </w:rPr>
            </w:pPr>
            <w:r w:rsidRPr="00005BEA">
              <w:rPr>
                <w:rFonts w:cs="Sylfaen"/>
                <w:bCs/>
                <w:i/>
                <w:iCs/>
                <w:sz w:val="16"/>
                <w:lang w:val="hy-AM" w:eastAsia="en-US"/>
              </w:rPr>
              <w:t xml:space="preserve">Գծապատկեր 1.9. </w:t>
            </w:r>
            <w:r w:rsidRPr="00DE6C7D">
              <w:rPr>
                <w:rFonts w:cs="Sylfaen"/>
                <w:b w:val="0"/>
                <w:bCs/>
                <w:i/>
                <w:iCs/>
                <w:sz w:val="16"/>
                <w:lang w:val="hy-AM" w:eastAsia="en-US"/>
              </w:rPr>
              <w:t>ՀՆԱ աճ (%) և պ</w:t>
            </w:r>
            <w:r w:rsidRPr="00DE6C7D">
              <w:rPr>
                <w:rFonts w:cs="Sylfaen"/>
                <w:b w:val="0"/>
                <w:bCs/>
                <w:sz w:val="16"/>
                <w:lang w:val="hy-AM" w:eastAsia="en-US"/>
              </w:rPr>
              <w:t>ահանջարկի բաղադրիչների նպաստումները ՀՆԱ աճին, ( տ. կ.)</w:t>
            </w:r>
            <w:r w:rsidRPr="00005BEA">
              <w:rPr>
                <w:rFonts w:cs="Sylfaen"/>
                <w:bCs/>
                <w:sz w:val="16"/>
                <w:lang w:val="hy-AM" w:eastAsia="en-US"/>
              </w:rPr>
              <w:t xml:space="preserve">  </w:t>
            </w:r>
            <w:r w:rsidRPr="00005BEA">
              <w:rPr>
                <w:rFonts w:cs="Sylfaen"/>
                <w:noProof/>
                <w:lang w:val="en-US" w:eastAsia="en-US"/>
              </w:rPr>
              <w:drawing>
                <wp:inline distT="0" distB="0" distL="0" distR="0">
                  <wp:extent cx="2964180" cy="2266950"/>
                  <wp:effectExtent l="0" t="0" r="0" b="0"/>
                  <wp:docPr id="3" name="Chart 3">
                    <a:extLst xmlns:a="http://schemas.openxmlformats.org/drawingml/2006/main">
                      <a:ext uri="{FF2B5EF4-FFF2-40B4-BE49-F238E27FC236}">
                        <a16:creationId xmlns:a16="http://schemas.microsoft.com/office/drawing/2014/main" id="{9315E2B3-D3AE-476A-B7C4-ACF3898E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rsidR="00005BEA" w:rsidRPr="00005BEA" w:rsidRDefault="00005BEA" w:rsidP="00005BEA">
      <w:pPr>
        <w:spacing w:before="40" w:line="276" w:lineRule="auto"/>
        <w:ind w:firstLine="634"/>
        <w:contextualSpacing w:val="0"/>
        <w:rPr>
          <w:rFonts w:cs="Sylfaen"/>
          <w:b w:val="0"/>
          <w:szCs w:val="22"/>
          <w:lang w:val="hy-AM" w:eastAsia="en-US"/>
        </w:rPr>
      </w:pPr>
    </w:p>
    <w:p w:rsidR="00005BEA" w:rsidRPr="00005BEA" w:rsidRDefault="00005BEA" w:rsidP="00005BEA">
      <w:pPr>
        <w:spacing w:before="40" w:line="276" w:lineRule="auto"/>
        <w:ind w:firstLine="634"/>
        <w:contextualSpacing w:val="0"/>
        <w:rPr>
          <w:rFonts w:cs="Sylfaen"/>
          <w:b w:val="0"/>
          <w:szCs w:val="22"/>
          <w:lang w:val="hy-AM" w:eastAsia="en-US"/>
        </w:rPr>
      </w:pPr>
      <w:r w:rsidRPr="00005BEA">
        <w:rPr>
          <w:rFonts w:cs="Sylfaen"/>
          <w:b w:val="0"/>
          <w:szCs w:val="22"/>
          <w:lang w:val="hy-AM" w:eastAsia="en-US"/>
        </w:rPr>
        <w:t>Հոկտեմբերի կեսերից համավարակի երկրորդ ալիքի տարածման տեմպերի կտրուկ արագացման, ինչպես նաև Արցախյան պատերազմի բացասական ազդեցությունների ա</w:t>
      </w:r>
      <w:r w:rsidRPr="00005BEA">
        <w:rPr>
          <w:rFonts w:cs="Sylfaen"/>
          <w:b w:val="0"/>
          <w:bCs/>
          <w:szCs w:val="22"/>
          <w:lang w:val="hy-AM" w:eastAsia="en-US"/>
        </w:rPr>
        <w:t>րդյունքում տնտեսական ակտիվության անկումը հոկտեմբեր ամսին կրկին խորացավ։</w:t>
      </w:r>
      <w:r w:rsidRPr="00005BEA">
        <w:rPr>
          <w:rFonts w:cs="Sylfaen"/>
          <w:bCs/>
          <w:szCs w:val="22"/>
          <w:lang w:val="hy-AM" w:eastAsia="en-US"/>
        </w:rPr>
        <w:t xml:space="preserve"> </w:t>
      </w:r>
      <w:r w:rsidRPr="00005BEA">
        <w:rPr>
          <w:rFonts w:cs="Sylfaen"/>
          <w:b w:val="0"/>
          <w:szCs w:val="22"/>
          <w:lang w:val="hy-AM" w:eastAsia="en-US"/>
        </w:rPr>
        <w:t>Արդյունքում</w:t>
      </w:r>
      <w:r w:rsidRPr="00005BEA">
        <w:rPr>
          <w:rFonts w:cs="Sylfaen"/>
          <w:bCs/>
          <w:szCs w:val="22"/>
          <w:lang w:val="hy-AM" w:eastAsia="en-US"/>
        </w:rPr>
        <w:t xml:space="preserve"> </w:t>
      </w:r>
      <w:r w:rsidRPr="00005BEA">
        <w:rPr>
          <w:rFonts w:cs="Sylfaen"/>
          <w:b w:val="0"/>
          <w:szCs w:val="22"/>
          <w:lang w:val="hy-AM" w:eastAsia="en-US"/>
        </w:rPr>
        <w:t>2020թ. հունվար-հոկտեմբերին արձանագրվեց տնտեսական ակտիվության (ՏԱՑ) 6.7% նվազում, ինչը զիջում է նախորդ տարվա ցուցանիշը 13.8 տոկոսային կետով: Տնտեսական ակտիվության նվազումը պայմանավորված է եղել ծառայությունների (6.0 տոկոսային կետ), առևտրի (1.6 տոկոսային կետ) և շինարարության (0.9 տոկոսային կետ) համախառն թողարկումների իրական անկումներով, իսկ արդյունաբերությունը 0.1 տոկոսային կետով հակազդել է</w:t>
      </w:r>
      <w:r w:rsidRPr="00005BEA">
        <w:rPr>
          <w:rFonts w:cs="Sylfaen"/>
          <w:b w:val="0"/>
          <w:szCs w:val="22"/>
          <w:vertAlign w:val="superscript"/>
          <w:lang w:eastAsia="en-US"/>
        </w:rPr>
        <w:footnoteReference w:id="5"/>
      </w:r>
      <w:r w:rsidRPr="00005BEA">
        <w:rPr>
          <w:rFonts w:cs="Sylfaen"/>
          <w:b w:val="0"/>
          <w:szCs w:val="22"/>
          <w:lang w:val="hy-AM" w:eastAsia="en-US"/>
        </w:rPr>
        <w:t xml:space="preserve"> տնտեսական ակտիվության անկմանը:</w:t>
      </w:r>
    </w:p>
    <w:p w:rsidR="00005BEA" w:rsidRPr="00005BEA" w:rsidRDefault="00005BEA" w:rsidP="00005BEA">
      <w:pPr>
        <w:spacing w:before="0" w:after="120" w:line="276" w:lineRule="auto"/>
        <w:ind w:firstLine="539"/>
        <w:contextualSpacing w:val="0"/>
        <w:rPr>
          <w:rFonts w:cs="Times Armenian"/>
          <w:b w:val="0"/>
          <w:bCs/>
          <w:noProof/>
          <w:szCs w:val="22"/>
          <w:lang w:val="hy-AM" w:eastAsia="en-US"/>
        </w:rPr>
      </w:pPr>
      <w:r w:rsidRPr="00005BEA">
        <w:rPr>
          <w:rFonts w:cs="Sylfaen"/>
          <w:b w:val="0"/>
          <w:noProof/>
          <w:szCs w:val="22"/>
          <w:lang w:val="hy-AM" w:eastAsia="en-US"/>
        </w:rPr>
        <w:t xml:space="preserve">Զգալի թվով պոտենցիալ հիվանդ մարդկանց առկայության, մեկուսացման, կարանտինի, արտակարգ դրության հետևանքով աշխատելու անհնարինության, կիրառվող սահմանափակումների, պատերազմական գործողությունների, ինչպես նաև առկա անորոշությունների բացասական ազդեցություներն առավելապես կրեց ծառայությունների ճյուղը: </w:t>
      </w:r>
    </w:p>
    <w:p w:rsidR="00005BEA" w:rsidRPr="00005BEA" w:rsidRDefault="00005BEA" w:rsidP="00005BEA">
      <w:pPr>
        <w:spacing w:before="0" w:after="120" w:line="276" w:lineRule="auto"/>
        <w:ind w:firstLine="539"/>
        <w:contextualSpacing w:val="0"/>
        <w:rPr>
          <w:rFonts w:cs="Times Armenian"/>
          <w:b w:val="0"/>
          <w:bCs/>
          <w:noProof/>
          <w:szCs w:val="22"/>
          <w:lang w:val="hy-AM" w:eastAsia="en-US"/>
        </w:rPr>
      </w:pPr>
      <w:r w:rsidRPr="00005BEA" w:rsidDel="00676F4B">
        <w:rPr>
          <w:rFonts w:eastAsia="GHEA Grapalat" w:cs="GHEA Grapalat"/>
          <w:szCs w:val="22"/>
          <w:lang w:val="hy-AM"/>
        </w:rPr>
        <w:t xml:space="preserve"> </w:t>
      </w:r>
    </w:p>
    <w:tbl>
      <w:tblPr>
        <w:tblStyle w:val="TableGrid142121"/>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045"/>
        <w:gridCol w:w="4927"/>
      </w:tblGrid>
      <w:tr w:rsidR="00005BEA" w:rsidRPr="00005BEA" w:rsidTr="00005BEA">
        <w:trPr>
          <w:trHeight w:val="3846"/>
        </w:trPr>
        <w:tc>
          <w:tcPr>
            <w:tcW w:w="5122" w:type="dxa"/>
          </w:tcPr>
          <w:p w:rsidR="00005BEA" w:rsidRPr="00005BEA" w:rsidRDefault="00005BEA" w:rsidP="00005BEA">
            <w:pPr>
              <w:tabs>
                <w:tab w:val="right" w:pos="0"/>
              </w:tabs>
              <w:spacing w:after="60" w:line="240" w:lineRule="auto"/>
              <w:ind w:firstLine="0"/>
              <w:jc w:val="left"/>
              <w:rPr>
                <w:sz w:val="16"/>
                <w:szCs w:val="16"/>
                <w:lang w:val="hy-AM" w:eastAsia="en-US"/>
              </w:rPr>
            </w:pPr>
            <w:r w:rsidRPr="00005BEA">
              <w:rPr>
                <w:rFonts w:cs="Sylfaen"/>
                <w:bCs/>
                <w:i/>
                <w:sz w:val="16"/>
                <w:szCs w:val="16"/>
                <w:lang w:val="hy-AM" w:eastAsia="en-US"/>
              </w:rPr>
              <w:t>Գծապատկեր 1.10.</w:t>
            </w:r>
            <w:r w:rsidRPr="00005BEA">
              <w:rPr>
                <w:rFonts w:cs="Sylfaen"/>
                <w:i/>
                <w:sz w:val="16"/>
                <w:szCs w:val="16"/>
                <w:lang w:val="hy-AM" w:eastAsia="en-US"/>
              </w:rPr>
              <w:t xml:space="preserve"> </w:t>
            </w:r>
            <w:r w:rsidRPr="00DE6C7D">
              <w:rPr>
                <w:rFonts w:cs="Sylfaen"/>
                <w:b w:val="0"/>
                <w:i/>
                <w:sz w:val="16"/>
                <w:szCs w:val="16"/>
                <w:lang w:val="hy-AM" w:eastAsia="en-US"/>
              </w:rPr>
              <w:t xml:space="preserve">ՏԱՑ և տնտեսության ճյուղերի իրական աճերը նախորդ տարվա նույն ժամանակահատվածի նկատմամբ, (%) </w:t>
            </w:r>
            <w:r w:rsidRPr="00005BEA">
              <w:rPr>
                <w:noProof/>
                <w:lang w:val="en-US" w:eastAsia="en-US"/>
              </w:rPr>
              <w:drawing>
                <wp:inline distT="0" distB="0" distL="0" distR="0">
                  <wp:extent cx="3064510" cy="1756934"/>
                  <wp:effectExtent l="0" t="0" r="2540" b="1524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5BEA" w:rsidRPr="00DE6C7D" w:rsidRDefault="00005BEA" w:rsidP="00005BEA">
            <w:pPr>
              <w:tabs>
                <w:tab w:val="right" w:pos="0"/>
              </w:tabs>
              <w:spacing w:after="60"/>
              <w:ind w:firstLine="0"/>
              <w:rPr>
                <w:rFonts w:cs="Sylfaen"/>
                <w:b w:val="0"/>
                <w:i/>
                <w:sz w:val="16"/>
                <w:szCs w:val="16"/>
                <w:lang w:val="hy-AM" w:eastAsia="en-US"/>
              </w:rPr>
            </w:pPr>
            <w:r w:rsidRPr="00DE6C7D">
              <w:rPr>
                <w:b w:val="0"/>
                <w:i/>
                <w:sz w:val="16"/>
                <w:szCs w:val="16"/>
                <w:lang w:val="hy-AM" w:eastAsia="en-US"/>
              </w:rPr>
              <w:t>Աղբյուրը՝ ՀՀ ՎԿ</w:t>
            </w:r>
          </w:p>
        </w:tc>
        <w:tc>
          <w:tcPr>
            <w:tcW w:w="5123" w:type="dxa"/>
          </w:tcPr>
          <w:p w:rsidR="00005BEA" w:rsidRPr="00005BEA" w:rsidRDefault="00005BEA" w:rsidP="00005BEA">
            <w:pPr>
              <w:tabs>
                <w:tab w:val="right" w:pos="0"/>
              </w:tabs>
              <w:spacing w:after="60" w:line="240" w:lineRule="auto"/>
              <w:ind w:firstLine="0"/>
              <w:rPr>
                <w:rFonts w:cs="Sylfaen"/>
                <w:i/>
                <w:sz w:val="16"/>
                <w:szCs w:val="16"/>
                <w:lang w:val="hy-AM" w:eastAsia="en-US"/>
              </w:rPr>
            </w:pPr>
            <w:r w:rsidRPr="00005BEA">
              <w:rPr>
                <w:noProof/>
                <w:sz w:val="16"/>
                <w:szCs w:val="16"/>
                <w:lang w:val="en-US" w:eastAsia="en-US"/>
              </w:rPr>
              <w:drawing>
                <wp:anchor distT="0" distB="0" distL="114300" distR="114300" simplePos="0" relativeHeight="251779584" behindDoc="1" locked="0" layoutInCell="1" allowOverlap="1">
                  <wp:simplePos x="0" y="0"/>
                  <wp:positionH relativeFrom="column">
                    <wp:posOffset>-63501</wp:posOffset>
                  </wp:positionH>
                  <wp:positionV relativeFrom="paragraph">
                    <wp:posOffset>301100</wp:posOffset>
                  </wp:positionV>
                  <wp:extent cx="3020999" cy="1820849"/>
                  <wp:effectExtent l="0" t="0" r="8255" b="8255"/>
                  <wp:wrapTight wrapText="bothSides">
                    <wp:wrapPolygon edited="0">
                      <wp:start x="0" y="0"/>
                      <wp:lineTo x="0" y="21472"/>
                      <wp:lineTo x="21523" y="21472"/>
                      <wp:lineTo x="21523"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005BEA">
              <w:rPr>
                <w:rFonts w:cs="Sylfaen"/>
                <w:i/>
                <w:sz w:val="16"/>
                <w:szCs w:val="16"/>
                <w:lang w:val="hy-AM" w:eastAsia="en-US"/>
              </w:rPr>
              <w:t xml:space="preserve">Գծապատկեր 1.11. </w:t>
            </w:r>
            <w:r w:rsidRPr="00DE6C7D">
              <w:rPr>
                <w:rFonts w:cs="Sylfaen"/>
                <w:b w:val="0"/>
                <w:i/>
                <w:sz w:val="16"/>
                <w:szCs w:val="16"/>
                <w:lang w:val="hy-AM" w:eastAsia="en-US"/>
              </w:rPr>
              <w:t>ՏԱՑ և տնտեսության ճյուղերի իրական աճերը նախորդ տարվա նույն ամսվա նկատմամբ, (%)</w:t>
            </w:r>
          </w:p>
          <w:p w:rsidR="00005BEA" w:rsidRPr="00DE6C7D" w:rsidRDefault="00005BEA" w:rsidP="00005BEA">
            <w:pPr>
              <w:spacing w:before="40" w:after="60" w:line="312" w:lineRule="auto"/>
              <w:ind w:firstLine="0"/>
              <w:contextualSpacing w:val="0"/>
              <w:rPr>
                <w:b w:val="0"/>
                <w:i/>
                <w:sz w:val="16"/>
                <w:szCs w:val="16"/>
                <w:lang w:val="hy-AM" w:eastAsia="en-US"/>
              </w:rPr>
            </w:pPr>
            <w:r w:rsidRPr="00DE6C7D">
              <w:rPr>
                <w:b w:val="0"/>
                <w:i/>
                <w:sz w:val="16"/>
                <w:szCs w:val="16"/>
                <w:lang w:val="hy-AM" w:eastAsia="en-US"/>
              </w:rPr>
              <w:t>Աղբյուրը՝ ՀՀ ՎԿ</w:t>
            </w:r>
            <w:r w:rsidRPr="00DE6C7D" w:rsidDel="00DA0563">
              <w:rPr>
                <w:b w:val="0"/>
                <w:i/>
                <w:sz w:val="16"/>
                <w:szCs w:val="16"/>
                <w:lang w:val="hy-AM" w:eastAsia="en-US"/>
              </w:rPr>
              <w:t xml:space="preserve"> </w:t>
            </w:r>
          </w:p>
        </w:tc>
      </w:tr>
      <w:tr w:rsidR="00005BEA" w:rsidRPr="00BD0C63" w:rsidTr="00005BEA">
        <w:trPr>
          <w:trHeight w:val="411"/>
        </w:trPr>
        <w:tc>
          <w:tcPr>
            <w:tcW w:w="5122" w:type="dxa"/>
          </w:tcPr>
          <w:p w:rsidR="00005BEA" w:rsidRPr="00005BEA" w:rsidRDefault="00005BEA" w:rsidP="00005BEA">
            <w:pPr>
              <w:tabs>
                <w:tab w:val="right" w:pos="0"/>
              </w:tabs>
              <w:spacing w:after="60" w:line="240" w:lineRule="auto"/>
              <w:ind w:firstLine="0"/>
              <w:jc w:val="left"/>
              <w:rPr>
                <w:rFonts w:cs="Sylfaen"/>
                <w:bCs/>
                <w:i/>
                <w:sz w:val="6"/>
                <w:szCs w:val="6"/>
                <w:lang w:val="hy-AM" w:eastAsia="en-US"/>
              </w:rPr>
            </w:pPr>
          </w:p>
          <w:p w:rsidR="00005BEA" w:rsidRPr="00005BEA" w:rsidRDefault="00005BEA" w:rsidP="00005BEA">
            <w:pPr>
              <w:tabs>
                <w:tab w:val="right" w:pos="0"/>
              </w:tabs>
              <w:spacing w:after="60" w:line="240" w:lineRule="auto"/>
              <w:ind w:firstLine="0"/>
              <w:jc w:val="left"/>
              <w:rPr>
                <w:rFonts w:cs="Sylfaen"/>
                <w:i/>
                <w:sz w:val="16"/>
                <w:szCs w:val="16"/>
                <w:lang w:val="hy-AM" w:eastAsia="en-US"/>
              </w:rPr>
            </w:pPr>
            <w:r w:rsidRPr="00005BEA">
              <w:rPr>
                <w:rFonts w:cs="Sylfaen"/>
                <w:bCs/>
                <w:i/>
                <w:sz w:val="16"/>
                <w:szCs w:val="16"/>
                <w:lang w:val="hy-AM" w:eastAsia="en-US"/>
              </w:rPr>
              <w:t>Գծապատկեր 1.</w:t>
            </w:r>
            <w:r w:rsidRPr="00034178">
              <w:rPr>
                <w:rFonts w:cs="Sylfaen"/>
                <w:bCs/>
                <w:i/>
                <w:sz w:val="16"/>
                <w:szCs w:val="16"/>
                <w:lang w:eastAsia="en-US"/>
              </w:rPr>
              <w:t>12.</w:t>
            </w:r>
            <w:r w:rsidRPr="005514DD">
              <w:rPr>
                <w:rFonts w:cs="Sylfaen"/>
                <w:i/>
                <w:sz w:val="16"/>
                <w:szCs w:val="16"/>
                <w:lang w:val="hy-AM" w:eastAsia="en-US"/>
              </w:rPr>
              <w:t xml:space="preserve"> </w:t>
            </w:r>
            <w:r w:rsidRPr="00DE6C7D">
              <w:rPr>
                <w:rFonts w:cs="Sylfaen"/>
                <w:b w:val="0"/>
                <w:i/>
                <w:sz w:val="16"/>
                <w:szCs w:val="16"/>
                <w:lang w:val="hy-AM" w:eastAsia="en-US"/>
              </w:rPr>
              <w:t>Տնտեսության ճյուղերի</w:t>
            </w:r>
            <w:r w:rsidRPr="00DE6C7D">
              <w:rPr>
                <w:rFonts w:cs="Sylfaen"/>
                <w:b w:val="0"/>
                <w:i/>
                <w:sz w:val="16"/>
                <w:szCs w:val="16"/>
                <w:lang w:eastAsia="en-US"/>
              </w:rPr>
              <w:t xml:space="preserve"> </w:t>
            </w:r>
            <w:r w:rsidRPr="00DE6C7D">
              <w:rPr>
                <w:rFonts w:cs="Sylfaen"/>
                <w:b w:val="0"/>
                <w:i/>
                <w:sz w:val="16"/>
                <w:szCs w:val="16"/>
                <w:lang w:val="hy-AM" w:eastAsia="en-US"/>
              </w:rPr>
              <w:t xml:space="preserve">նպաստումները ՏԱՑ-ին (տ.կ.) </w:t>
            </w:r>
            <w:r w:rsidRPr="00005BEA">
              <w:rPr>
                <w:i/>
                <w:noProof/>
                <w:sz w:val="16"/>
                <w:szCs w:val="16"/>
                <w:lang w:val="en-US" w:eastAsia="en-US"/>
              </w:rPr>
              <w:drawing>
                <wp:inline distT="0" distB="0" distL="0" distR="0">
                  <wp:extent cx="3095625" cy="1929283"/>
                  <wp:effectExtent l="0" t="0" r="9525" b="1397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5BEA" w:rsidRPr="00DE6C7D" w:rsidRDefault="00005BEA" w:rsidP="00005BEA">
            <w:pPr>
              <w:tabs>
                <w:tab w:val="right" w:pos="0"/>
              </w:tabs>
              <w:spacing w:after="60"/>
              <w:ind w:firstLine="0"/>
              <w:rPr>
                <w:rFonts w:cs="Sylfaen"/>
                <w:b w:val="0"/>
                <w:lang w:val="hy-AM" w:eastAsia="en-US"/>
              </w:rPr>
            </w:pPr>
            <w:r w:rsidRPr="00DE6C7D">
              <w:rPr>
                <w:b w:val="0"/>
                <w:i/>
                <w:sz w:val="16"/>
                <w:szCs w:val="16"/>
                <w:lang w:val="hy-AM" w:eastAsia="en-US"/>
              </w:rPr>
              <w:t>Աղբյուրը՝ ՀՀ ՎԿ, ՀՀ ՖՆ հաշվարկներ</w:t>
            </w:r>
            <w:r w:rsidRPr="00DE6C7D">
              <w:rPr>
                <w:b w:val="0"/>
                <w:noProof/>
                <w:lang w:val="hy-AM" w:eastAsia="en-US"/>
              </w:rPr>
              <w:t xml:space="preserve"> </w:t>
            </w:r>
          </w:p>
        </w:tc>
        <w:tc>
          <w:tcPr>
            <w:tcW w:w="5123" w:type="dxa"/>
          </w:tcPr>
          <w:p w:rsidR="00005BEA" w:rsidRPr="00005BEA" w:rsidRDefault="00005BEA" w:rsidP="00005BEA">
            <w:pPr>
              <w:tabs>
                <w:tab w:val="right" w:pos="0"/>
              </w:tabs>
              <w:spacing w:after="60" w:line="312" w:lineRule="auto"/>
              <w:ind w:firstLine="0"/>
              <w:rPr>
                <w:rFonts w:cs="Sylfaen"/>
                <w:i/>
                <w:sz w:val="4"/>
                <w:szCs w:val="4"/>
                <w:lang w:val="hy-AM" w:eastAsia="en-US"/>
              </w:rPr>
            </w:pPr>
          </w:p>
          <w:p w:rsidR="00005BEA" w:rsidRPr="00005BEA" w:rsidRDefault="00005BEA" w:rsidP="00005BEA">
            <w:pPr>
              <w:tabs>
                <w:tab w:val="right" w:pos="0"/>
              </w:tabs>
              <w:spacing w:after="60" w:line="240" w:lineRule="auto"/>
              <w:ind w:firstLine="0"/>
              <w:rPr>
                <w:noProof/>
                <w:lang w:val="hy-AM" w:eastAsia="en-US"/>
              </w:rPr>
            </w:pPr>
            <w:r w:rsidRPr="00005BEA">
              <w:rPr>
                <w:rFonts w:cs="Sylfaen"/>
                <w:i/>
                <w:sz w:val="16"/>
                <w:szCs w:val="16"/>
                <w:lang w:val="hy-AM" w:eastAsia="en-US"/>
              </w:rPr>
              <w:t xml:space="preserve">Գծապատկեր 1.13. </w:t>
            </w:r>
            <w:r w:rsidRPr="00DE6C7D">
              <w:rPr>
                <w:rFonts w:cs="Sylfaen"/>
                <w:b w:val="0"/>
                <w:i/>
                <w:sz w:val="16"/>
                <w:szCs w:val="16"/>
                <w:lang w:val="hy-AM" w:eastAsia="en-US"/>
              </w:rPr>
              <w:t>Տնտեսության ճյուղերի նպաստումները ՏԱՑ-ին նախորդ տարվա նույն ամսվա նկատմամբ,</w:t>
            </w:r>
            <w:r w:rsidRPr="00DE6C7D">
              <w:rPr>
                <w:rFonts w:cs="Sylfaen"/>
                <w:b w:val="0"/>
                <w:i/>
                <w:sz w:val="18"/>
                <w:szCs w:val="18"/>
                <w:lang w:val="hy-AM" w:eastAsia="en-US"/>
              </w:rPr>
              <w:t xml:space="preserve"> </w:t>
            </w:r>
            <w:r w:rsidRPr="00DE6C7D">
              <w:rPr>
                <w:rFonts w:cs="Sylfaen"/>
                <w:b w:val="0"/>
                <w:i/>
                <w:sz w:val="16"/>
                <w:szCs w:val="18"/>
                <w:lang w:val="hy-AM" w:eastAsia="en-US"/>
              </w:rPr>
              <w:t>(տ.կ.)</w:t>
            </w:r>
            <w:r w:rsidRPr="00005BEA">
              <w:rPr>
                <w:noProof/>
                <w:lang w:val="en-US" w:eastAsia="en-US"/>
              </w:rPr>
              <w:drawing>
                <wp:inline distT="0" distB="0" distL="0" distR="0">
                  <wp:extent cx="3019425" cy="1959429"/>
                  <wp:effectExtent l="0" t="0" r="9525" b="317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5BEA" w:rsidRPr="00DE6C7D" w:rsidRDefault="00005BEA" w:rsidP="00005BEA">
            <w:pPr>
              <w:spacing w:before="40" w:after="60" w:line="312" w:lineRule="auto"/>
              <w:ind w:firstLine="0"/>
              <w:contextualSpacing w:val="0"/>
              <w:rPr>
                <w:b w:val="0"/>
                <w:i/>
                <w:sz w:val="16"/>
                <w:szCs w:val="16"/>
                <w:lang w:val="hy-AM" w:eastAsia="en-US"/>
              </w:rPr>
            </w:pPr>
            <w:r w:rsidRPr="00DE6C7D">
              <w:rPr>
                <w:b w:val="0"/>
                <w:i/>
                <w:sz w:val="16"/>
                <w:szCs w:val="16"/>
                <w:lang w:val="hy-AM" w:eastAsia="en-US"/>
              </w:rPr>
              <w:t>Աղբյուրը՝ ՀՀ ՎԿ, ՀՀ ՖՆ հաշվարկներ</w:t>
            </w:r>
          </w:p>
        </w:tc>
      </w:tr>
    </w:tbl>
    <w:p w:rsidR="00005BEA" w:rsidRPr="00005BEA" w:rsidRDefault="00005BEA" w:rsidP="00005BEA">
      <w:pPr>
        <w:tabs>
          <w:tab w:val="right" w:pos="0"/>
        </w:tabs>
        <w:spacing w:line="276" w:lineRule="auto"/>
        <w:rPr>
          <w:rFonts w:eastAsia="Calibri" w:cs="Sylfaen"/>
          <w:szCs w:val="22"/>
          <w:lang w:val="hy-AM" w:eastAsia="en-US"/>
        </w:rPr>
      </w:pPr>
      <w:r w:rsidRPr="00005BEA">
        <w:rPr>
          <w:rFonts w:eastAsia="Calibri" w:cs="Sylfaen"/>
          <w:bCs/>
          <w:szCs w:val="22"/>
          <w:lang w:val="hy-AM" w:eastAsia="en-US"/>
        </w:rPr>
        <w:t xml:space="preserve">Համավարակի բացասական ազդեցությամբ պայմանավորված նվազեց նաև </w:t>
      </w:r>
      <w:r w:rsidRPr="00005BEA">
        <w:rPr>
          <w:rFonts w:cs="Sylfaen"/>
          <w:bCs/>
          <w:noProof/>
          <w:szCs w:val="22"/>
          <w:lang w:val="hy-AM" w:eastAsia="en-US"/>
        </w:rPr>
        <w:t>ներքին պահանջարկը:</w:t>
      </w:r>
      <w:r w:rsidRPr="00005BEA">
        <w:rPr>
          <w:rFonts w:cs="Sylfaen"/>
          <w:b w:val="0"/>
          <w:noProof/>
          <w:szCs w:val="22"/>
          <w:lang w:val="hy-AM" w:eastAsia="en-US"/>
        </w:rPr>
        <w:t xml:space="preserve"> Արդեն 2020թ. առաջին ինն ամիսներին կրելով համավարակի բացասական հետևանքները՝ առկա անորոշությունների պայմաններում վերջնական սպառումը</w:t>
      </w:r>
      <w:r w:rsidRPr="00005BEA">
        <w:rPr>
          <w:rFonts w:eastAsia="Calibri" w:cs="Sylfaen"/>
          <w:b w:val="0"/>
          <w:szCs w:val="22"/>
          <w:lang w:val="hy-AM" w:eastAsia="en-US"/>
        </w:rPr>
        <w:t>, կապիտալ ներդրումները, արտահանումն ու ներմուծումը նվազեցին: Այս միտումները շարունակվեցին նաև հոկտեմբեր ամսին. դա է վկայում տնտեսությունում առկա թույլ գնաճային միջավայրը, առևտրի շրջանառության զգալի նվազումը և աշխատավարձերի աճի դանդաղումը։</w:t>
      </w:r>
      <w:r w:rsidRPr="00005BEA">
        <w:rPr>
          <w:rFonts w:eastAsia="Calibri" w:cs="Sylfaen"/>
          <w:szCs w:val="22"/>
          <w:lang w:val="hy-AM" w:eastAsia="en-US"/>
        </w:rPr>
        <w:t xml:space="preserve"> </w:t>
      </w:r>
    </w:p>
    <w:p w:rsidR="00005BEA" w:rsidRPr="00005BEA" w:rsidRDefault="00005BEA" w:rsidP="00005BEA">
      <w:pPr>
        <w:spacing w:before="40" w:after="120" w:line="276" w:lineRule="auto"/>
        <w:ind w:firstLine="360"/>
        <w:contextualSpacing w:val="0"/>
        <w:rPr>
          <w:rFonts w:eastAsia="GHEA Grapalat" w:cs="GHEA Grapalat"/>
          <w:b w:val="0"/>
          <w:szCs w:val="22"/>
          <w:lang w:val="hy-AM" w:eastAsia="en-US"/>
        </w:rPr>
      </w:pPr>
      <w:r w:rsidRPr="00005BEA">
        <w:rPr>
          <w:rFonts w:cs="Sylfaen"/>
          <w:bCs/>
          <w:szCs w:val="22"/>
          <w:u w:val="single"/>
          <w:lang w:val="hy-AM" w:eastAsia="en-US"/>
        </w:rPr>
        <w:t>Կանխատեսում։</w:t>
      </w:r>
      <w:r w:rsidRPr="00005BEA">
        <w:rPr>
          <w:rFonts w:cs="Sylfaen"/>
          <w:bCs/>
          <w:szCs w:val="22"/>
          <w:lang w:val="hy-AM" w:eastAsia="en-US"/>
        </w:rPr>
        <w:t xml:space="preserve"> </w:t>
      </w:r>
      <w:r w:rsidRPr="00005BEA">
        <w:rPr>
          <w:rFonts w:cs="Sylfaen"/>
          <w:szCs w:val="22"/>
          <w:lang w:val="hy-AM" w:eastAsia="en-US"/>
        </w:rPr>
        <w:t xml:space="preserve">Կորոնավիրուսի համաշխարհային ճգնաժամի և դրա երկրորդ ալիքի հետևանքով շարունակվող բացասական ազդեցությունների, ինչպես նաև սեպտեմբեր-նոյեմբեր ամիսներին տեղի ունեցած Արցախյան պատերազմի բացասական տնտեսական ազդեցությունների պայմաններում </w:t>
      </w:r>
      <w:r w:rsidRPr="00005BEA">
        <w:rPr>
          <w:rFonts w:eastAsia="Calibri" w:cs="Sylfaen"/>
          <w:szCs w:val="22"/>
          <w:lang w:val="hy-AM" w:eastAsia="en-US"/>
        </w:rPr>
        <w:t xml:space="preserve">2020թ. կանխատեսվում է ՀՀ տնտեսության 7.9% տնտեսական անկում, իսկ 2021թ.՝ 3.2% աճ: </w:t>
      </w:r>
      <w:r w:rsidRPr="00005BEA">
        <w:rPr>
          <w:rFonts w:eastAsia="Calibri" w:cs="Sylfaen"/>
          <w:b w:val="0"/>
          <w:szCs w:val="22"/>
          <w:lang w:val="hy-AM" w:eastAsia="en-US"/>
        </w:rPr>
        <w:t>2020թ. ա</w:t>
      </w:r>
      <w:r w:rsidRPr="00005BEA">
        <w:rPr>
          <w:rFonts w:eastAsia="Calibri" w:cs="GHEA Grapalat"/>
          <w:b w:val="0"/>
          <w:szCs w:val="22"/>
          <w:lang w:val="hy-AM" w:eastAsia="en-US"/>
        </w:rPr>
        <w:t>նկումը</w:t>
      </w:r>
      <w:r w:rsidRPr="00005BEA">
        <w:rPr>
          <w:rFonts w:eastAsia="Calibri" w:cs="Sylfaen"/>
          <w:b w:val="0"/>
          <w:szCs w:val="22"/>
          <w:lang w:val="hy-AM" w:eastAsia="en-US"/>
        </w:rPr>
        <w:t xml:space="preserve"> </w:t>
      </w:r>
      <w:r w:rsidRPr="00005BEA">
        <w:rPr>
          <w:rFonts w:eastAsia="Calibri" w:cs="GHEA Grapalat"/>
          <w:b w:val="0"/>
          <w:szCs w:val="22"/>
          <w:lang w:val="hy-AM" w:eastAsia="en-US"/>
        </w:rPr>
        <w:t>պայմանավորված</w:t>
      </w:r>
      <w:r w:rsidRPr="00005BEA">
        <w:rPr>
          <w:rFonts w:eastAsia="Calibri" w:cs="Sylfaen"/>
          <w:b w:val="0"/>
          <w:szCs w:val="22"/>
          <w:lang w:val="hy-AM" w:eastAsia="en-US"/>
        </w:rPr>
        <w:t xml:space="preserve"> </w:t>
      </w:r>
      <w:r w:rsidRPr="00005BEA">
        <w:rPr>
          <w:rFonts w:eastAsia="Calibri" w:cs="GHEA Grapalat"/>
          <w:b w:val="0"/>
          <w:szCs w:val="22"/>
          <w:lang w:val="hy-AM" w:eastAsia="en-US"/>
        </w:rPr>
        <w:t>կլինի</w:t>
      </w:r>
      <w:r w:rsidRPr="00005BEA">
        <w:rPr>
          <w:rFonts w:eastAsia="Calibri" w:cs="Sylfaen"/>
          <w:b w:val="0"/>
          <w:szCs w:val="22"/>
          <w:lang w:val="hy-AM" w:eastAsia="en-US"/>
        </w:rPr>
        <w:t xml:space="preserve"> </w:t>
      </w:r>
      <w:r w:rsidRPr="00005BEA">
        <w:rPr>
          <w:rFonts w:eastAsia="Calibri" w:cs="GHEA Grapalat"/>
          <w:b w:val="0"/>
          <w:szCs w:val="22"/>
          <w:lang w:val="hy-AM" w:eastAsia="en-US"/>
        </w:rPr>
        <w:t>առաջարկի</w:t>
      </w:r>
      <w:r w:rsidRPr="00005BEA">
        <w:rPr>
          <w:rFonts w:eastAsia="Calibri" w:cs="Sylfaen"/>
          <w:b w:val="0"/>
          <w:szCs w:val="22"/>
          <w:lang w:val="hy-AM" w:eastAsia="en-US"/>
        </w:rPr>
        <w:t xml:space="preserve"> </w:t>
      </w:r>
      <w:r w:rsidRPr="00005BEA">
        <w:rPr>
          <w:rFonts w:eastAsia="Calibri" w:cs="GHEA Grapalat"/>
          <w:b w:val="0"/>
          <w:szCs w:val="22"/>
          <w:lang w:val="hy-AM" w:eastAsia="en-US"/>
        </w:rPr>
        <w:t>և</w:t>
      </w:r>
      <w:r w:rsidRPr="00005BEA">
        <w:rPr>
          <w:rFonts w:eastAsia="Calibri" w:cs="Sylfaen"/>
          <w:b w:val="0"/>
          <w:szCs w:val="22"/>
          <w:lang w:val="hy-AM" w:eastAsia="en-US"/>
        </w:rPr>
        <w:t xml:space="preserve"> </w:t>
      </w:r>
      <w:r w:rsidRPr="00005BEA">
        <w:rPr>
          <w:rFonts w:eastAsia="Calibri" w:cs="GHEA Grapalat"/>
          <w:b w:val="0"/>
          <w:szCs w:val="22"/>
          <w:lang w:val="hy-AM" w:eastAsia="en-US"/>
        </w:rPr>
        <w:t>պահանջարկի</w:t>
      </w:r>
      <w:r w:rsidRPr="00005BEA">
        <w:rPr>
          <w:rFonts w:eastAsia="Calibri" w:cs="Sylfaen"/>
          <w:b w:val="0"/>
          <w:szCs w:val="22"/>
          <w:lang w:val="hy-AM" w:eastAsia="en-US"/>
        </w:rPr>
        <w:t xml:space="preserve"> (</w:t>
      </w:r>
      <w:r w:rsidRPr="00005BEA">
        <w:rPr>
          <w:rFonts w:eastAsia="Calibri" w:cs="GHEA Grapalat"/>
          <w:b w:val="0"/>
          <w:szCs w:val="22"/>
          <w:lang w:val="hy-AM" w:eastAsia="en-US"/>
        </w:rPr>
        <w:t>ինչպես</w:t>
      </w:r>
      <w:r w:rsidRPr="00005BEA">
        <w:rPr>
          <w:rFonts w:eastAsia="Calibri" w:cs="Sylfaen"/>
          <w:b w:val="0"/>
          <w:szCs w:val="22"/>
          <w:lang w:val="hy-AM" w:eastAsia="en-US"/>
        </w:rPr>
        <w:t xml:space="preserve"> </w:t>
      </w:r>
      <w:r w:rsidRPr="00005BEA">
        <w:rPr>
          <w:rFonts w:eastAsia="Calibri" w:cs="GHEA Grapalat"/>
          <w:b w:val="0"/>
          <w:szCs w:val="22"/>
          <w:lang w:val="hy-AM" w:eastAsia="en-US"/>
        </w:rPr>
        <w:t>ներքին,</w:t>
      </w:r>
      <w:r w:rsidRPr="00005BEA">
        <w:rPr>
          <w:rFonts w:eastAsia="Calibri" w:cs="Sylfaen"/>
          <w:b w:val="0"/>
          <w:szCs w:val="22"/>
          <w:lang w:val="hy-AM" w:eastAsia="en-US"/>
        </w:rPr>
        <w:t xml:space="preserve"> </w:t>
      </w:r>
      <w:r w:rsidRPr="00005BEA">
        <w:rPr>
          <w:rFonts w:eastAsia="Calibri" w:cs="GHEA Grapalat"/>
          <w:b w:val="0"/>
          <w:szCs w:val="22"/>
          <w:lang w:val="hy-AM" w:eastAsia="en-US"/>
        </w:rPr>
        <w:t>այնպես</w:t>
      </w:r>
      <w:r w:rsidRPr="00005BEA">
        <w:rPr>
          <w:rFonts w:eastAsia="Calibri" w:cs="Sylfaen"/>
          <w:b w:val="0"/>
          <w:szCs w:val="22"/>
          <w:lang w:val="hy-AM" w:eastAsia="en-US"/>
        </w:rPr>
        <w:t xml:space="preserve"> </w:t>
      </w:r>
      <w:r w:rsidRPr="00005BEA">
        <w:rPr>
          <w:rFonts w:eastAsia="Calibri" w:cs="GHEA Grapalat"/>
          <w:b w:val="0"/>
          <w:szCs w:val="22"/>
          <w:lang w:val="hy-AM" w:eastAsia="en-US"/>
        </w:rPr>
        <w:t>էլ</w:t>
      </w:r>
      <w:r w:rsidRPr="00005BEA">
        <w:rPr>
          <w:rFonts w:eastAsia="Calibri" w:cs="Sylfaen"/>
          <w:b w:val="0"/>
          <w:szCs w:val="22"/>
          <w:lang w:val="hy-AM" w:eastAsia="en-US"/>
        </w:rPr>
        <w:t xml:space="preserve"> </w:t>
      </w:r>
      <w:r w:rsidRPr="00005BEA">
        <w:rPr>
          <w:rFonts w:eastAsia="Calibri" w:cs="GHEA Grapalat"/>
          <w:b w:val="0"/>
          <w:szCs w:val="22"/>
          <w:lang w:val="hy-AM" w:eastAsia="en-US"/>
        </w:rPr>
        <w:t>արտաքին</w:t>
      </w:r>
      <w:r w:rsidRPr="00005BEA">
        <w:rPr>
          <w:rFonts w:eastAsia="Calibri" w:cs="Sylfaen"/>
          <w:b w:val="0"/>
          <w:szCs w:val="22"/>
          <w:lang w:val="hy-AM" w:eastAsia="en-US"/>
        </w:rPr>
        <w:t xml:space="preserve">) </w:t>
      </w:r>
      <w:r w:rsidRPr="00005BEA">
        <w:rPr>
          <w:rFonts w:eastAsia="Calibri" w:cs="GHEA Grapalat"/>
          <w:b w:val="0"/>
          <w:szCs w:val="22"/>
          <w:lang w:val="hy-AM" w:eastAsia="en-US"/>
        </w:rPr>
        <w:t>բացասական</w:t>
      </w:r>
      <w:r w:rsidRPr="00005BEA">
        <w:rPr>
          <w:rFonts w:eastAsia="Calibri" w:cs="Sylfaen"/>
          <w:b w:val="0"/>
          <w:szCs w:val="22"/>
          <w:lang w:val="hy-AM" w:eastAsia="en-US"/>
        </w:rPr>
        <w:t xml:space="preserve"> </w:t>
      </w:r>
      <w:r w:rsidRPr="00005BEA">
        <w:rPr>
          <w:rFonts w:eastAsia="Calibri" w:cs="GHEA Grapalat"/>
          <w:b w:val="0"/>
          <w:szCs w:val="22"/>
          <w:lang w:val="hy-AM" w:eastAsia="en-US"/>
        </w:rPr>
        <w:t>շոկերով</w:t>
      </w:r>
      <w:r w:rsidRPr="00005BEA">
        <w:rPr>
          <w:rFonts w:eastAsia="GHEA Grapalat" w:cs="GHEA Grapalat"/>
          <w:b w:val="0"/>
          <w:szCs w:val="22"/>
          <w:lang w:val="hy-AM" w:eastAsia="en-US"/>
        </w:rPr>
        <w:t>։ ՀՀ կառավարության և ԿԲ կողմից վարվող խթանող հարկաբյուջետային և դրամավարկային քաղաքականության արդյունքում 2020թ.</w:t>
      </w:r>
      <w:r w:rsidRPr="00005BEA" w:rsidDel="00301E27">
        <w:rPr>
          <w:rFonts w:eastAsia="GHEA Grapalat" w:cs="GHEA Grapalat"/>
          <w:b w:val="0"/>
          <w:szCs w:val="22"/>
          <w:lang w:val="hy-AM" w:eastAsia="en-US"/>
        </w:rPr>
        <w:t xml:space="preserve"> </w:t>
      </w:r>
      <w:r w:rsidRPr="00005BEA">
        <w:rPr>
          <w:rFonts w:eastAsia="GHEA Grapalat" w:cs="GHEA Grapalat"/>
          <w:b w:val="0"/>
          <w:szCs w:val="22"/>
          <w:lang w:val="hy-AM" w:eastAsia="en-US"/>
        </w:rPr>
        <w:t xml:space="preserve">ՀՆԱ անկումը որոշակիորեն կմեղմվի։ Բացասական ազդեցությունների աստիճանական չեզոքացման հետ մեկտեղ տնտեսական աճը կվերականգնվի և </w:t>
      </w:r>
      <w:r w:rsidRPr="00005BEA">
        <w:rPr>
          <w:rFonts w:eastAsia="Calibri" w:cs="Sylfaen"/>
          <w:b w:val="0"/>
          <w:szCs w:val="22"/>
          <w:lang w:val="hy-AM" w:eastAsia="en-US"/>
        </w:rPr>
        <w:t xml:space="preserve">2021թ. </w:t>
      </w:r>
      <w:r w:rsidRPr="00005BEA">
        <w:rPr>
          <w:rFonts w:eastAsia="MS Mincho" w:cs="Sylfaen"/>
          <w:b w:val="0"/>
          <w:szCs w:val="22"/>
          <w:lang w:val="hy-AM" w:eastAsia="en-US"/>
        </w:rPr>
        <w:t>տնտեսական աճը կլինի իր ներուժային մակարդակին մոտ</w:t>
      </w:r>
      <w:r w:rsidRPr="00005BEA">
        <w:rPr>
          <w:rFonts w:eastAsia="Calibri" w:cs="Sylfaen"/>
          <w:b w:val="0"/>
          <w:szCs w:val="22"/>
          <w:lang w:val="hy-AM" w:eastAsia="en-US"/>
        </w:rPr>
        <w:t xml:space="preserve">: </w:t>
      </w:r>
      <w:r w:rsidRPr="00005BEA">
        <w:rPr>
          <w:rFonts w:eastAsia="GHEA Grapalat" w:cs="GHEA Grapalat"/>
          <w:b w:val="0"/>
          <w:szCs w:val="22"/>
          <w:lang w:val="hy-AM" w:eastAsia="en-US"/>
        </w:rPr>
        <w:t xml:space="preserve">Տնտեսական աճը պայմանավորված կլինի հիմնականում ծառայությունների և արդյունաբերության ճյուղերի աճերով: Տնտեսության մյուս ճյուղերը նույնպես դրական ազդեցություն կունենան տնտեսական աճի վրա: Ամբողջական պահանջարկը նույնպես կաճի՝ պայմանավորված հիմնականում ներքին սպառողական և ներդրումային պահանջարկի աճերով: </w:t>
      </w:r>
    </w:p>
    <w:p w:rsidR="00005BEA" w:rsidRPr="00005BEA" w:rsidRDefault="00005BEA" w:rsidP="00005BEA">
      <w:pPr>
        <w:spacing w:before="40" w:after="120" w:line="276" w:lineRule="auto"/>
        <w:ind w:firstLine="360"/>
        <w:contextualSpacing w:val="0"/>
        <w:rPr>
          <w:rFonts w:cs="Sylfaen"/>
          <w:b w:val="0"/>
          <w:szCs w:val="22"/>
          <w:lang w:val="hy-AM" w:eastAsia="en-US"/>
        </w:rPr>
      </w:pPr>
      <w:r w:rsidRPr="00005BEA">
        <w:rPr>
          <w:rFonts w:cs="Sylfaen"/>
          <w:b w:val="0"/>
          <w:szCs w:val="22"/>
          <w:lang w:val="it-IT" w:eastAsia="en-US"/>
        </w:rPr>
        <w:t>2020</w:t>
      </w:r>
      <w:r w:rsidRPr="00005BEA">
        <w:rPr>
          <w:rFonts w:cs="Sylfaen"/>
          <w:b w:val="0"/>
          <w:szCs w:val="22"/>
          <w:lang w:val="hy-AM" w:eastAsia="en-US"/>
        </w:rPr>
        <w:t>թ.</w:t>
      </w:r>
      <w:r w:rsidRPr="00005BEA">
        <w:rPr>
          <w:rFonts w:cs="Sylfaen"/>
          <w:b w:val="0"/>
          <w:szCs w:val="22"/>
          <w:lang w:val="it-IT" w:eastAsia="en-US"/>
        </w:rPr>
        <w:t xml:space="preserve"> </w:t>
      </w:r>
      <w:r w:rsidRPr="00005BEA">
        <w:rPr>
          <w:rFonts w:cs="Times Armenian"/>
          <w:b w:val="0"/>
          <w:szCs w:val="22"/>
          <w:lang w:val="it-IT" w:eastAsia="en-US"/>
        </w:rPr>
        <w:t>դեֆլյատորը կաճի</w:t>
      </w:r>
      <w:r w:rsidRPr="00005BEA">
        <w:rPr>
          <w:rFonts w:cs="Times Armenian"/>
          <w:b w:val="0"/>
          <w:szCs w:val="22"/>
          <w:lang w:val="hy-AM" w:eastAsia="en-US"/>
        </w:rPr>
        <w:t>՝</w:t>
      </w:r>
      <w:r w:rsidRPr="00005BEA">
        <w:rPr>
          <w:rFonts w:cs="Times Armenian"/>
          <w:b w:val="0"/>
          <w:szCs w:val="22"/>
          <w:lang w:val="it-IT" w:eastAsia="en-US"/>
        </w:rPr>
        <w:t xml:space="preserve"> </w:t>
      </w:r>
      <w:r w:rsidRPr="00005BEA">
        <w:rPr>
          <w:rFonts w:cs="Times Armenian"/>
          <w:b w:val="0"/>
          <w:szCs w:val="22"/>
          <w:lang w:val="hy-AM" w:eastAsia="en-US"/>
        </w:rPr>
        <w:t>պայմանավորված</w:t>
      </w:r>
      <w:r w:rsidRPr="00005BEA">
        <w:rPr>
          <w:rFonts w:cs="Sylfaen"/>
          <w:b w:val="0"/>
          <w:szCs w:val="22"/>
          <w:lang w:val="hy-AM" w:eastAsia="en-US"/>
        </w:rPr>
        <w:t xml:space="preserve"> ՍԳԻ-ի և</w:t>
      </w:r>
      <w:r w:rsidRPr="00005BEA">
        <w:rPr>
          <w:rFonts w:cs="Sylfaen"/>
          <w:b w:val="0"/>
          <w:szCs w:val="22"/>
          <w:lang w:val="it-IT" w:eastAsia="en-US"/>
        </w:rPr>
        <w:t xml:space="preserve"> </w:t>
      </w:r>
      <w:r w:rsidRPr="00005BEA">
        <w:rPr>
          <w:rFonts w:cs="Sylfaen"/>
          <w:b w:val="0"/>
          <w:szCs w:val="22"/>
          <w:lang w:val="hy-AM" w:eastAsia="en-US"/>
        </w:rPr>
        <w:t>ապրանքների միջազգային գների զարգացումներով, իսկ 2021թ.՝ ՍԳԻ-ին համահունչ կարագանա:</w:t>
      </w:r>
    </w:p>
    <w:p w:rsidR="00005BEA" w:rsidRPr="00005BEA" w:rsidRDefault="00005BEA" w:rsidP="00005BEA">
      <w:pPr>
        <w:tabs>
          <w:tab w:val="right" w:pos="0"/>
        </w:tabs>
        <w:spacing w:before="40" w:after="120" w:line="276" w:lineRule="auto"/>
        <w:rPr>
          <w:rFonts w:cs="Sylfaen"/>
          <w:szCs w:val="22"/>
          <w:lang w:val="hy-AM" w:eastAsia="en-US"/>
        </w:rPr>
      </w:pPr>
      <w:r w:rsidRPr="00005BEA">
        <w:rPr>
          <w:rFonts w:cs="Sylfaen"/>
          <w:szCs w:val="22"/>
          <w:lang w:val="hy-AM" w:eastAsia="en-US"/>
        </w:rPr>
        <w:t>Վերոնշյալ զարգացումների պայմաններում անվանական ՀՆԱ-ն 2020թ. կկազմի 6,075.9 մլրդ դրամ՝ 1,019.2 մլրդ դրամով պակաս լինելով 2020թ. պետական բյուջեով ծրագրված ցուցանիշից, և 429.2 մլրդ դրամով` 2021-2023թթ. ՄԺԾԾ ցուցանիշից: Իսկ 2021թ. անվանական ՀՆԱ-ն կաճի՝ կազմելով 6,395.3 մլրդ դրամ։</w:t>
      </w:r>
    </w:p>
    <w:tbl>
      <w:tblPr>
        <w:tblStyle w:val="TableGrid73121"/>
        <w:tblW w:w="0" w:type="auto"/>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4986"/>
        <w:gridCol w:w="4986"/>
      </w:tblGrid>
      <w:tr w:rsidR="00005BEA" w:rsidRPr="00BD0C63" w:rsidTr="00005BEA">
        <w:trPr>
          <w:trHeight w:val="3489"/>
        </w:trPr>
        <w:tc>
          <w:tcPr>
            <w:tcW w:w="4825" w:type="dxa"/>
          </w:tcPr>
          <w:p w:rsidR="00005BEA" w:rsidRPr="00005BEA" w:rsidRDefault="00005BEA" w:rsidP="00005BEA">
            <w:pPr>
              <w:spacing w:before="0" w:line="240" w:lineRule="auto"/>
              <w:ind w:firstLine="0"/>
              <w:contextualSpacing w:val="0"/>
              <w:rPr>
                <w:sz w:val="2"/>
                <w:szCs w:val="2"/>
                <w:lang w:val="hy-AM" w:eastAsia="en-US"/>
              </w:rPr>
            </w:pPr>
          </w:p>
          <w:p w:rsidR="00005BEA" w:rsidRPr="00DE6C7D" w:rsidRDefault="00005BEA" w:rsidP="00005BEA">
            <w:pPr>
              <w:spacing w:before="0" w:line="240" w:lineRule="auto"/>
              <w:ind w:firstLine="0"/>
              <w:contextualSpacing w:val="0"/>
              <w:rPr>
                <w:b w:val="0"/>
                <w:i/>
                <w:sz w:val="18"/>
                <w:szCs w:val="18"/>
                <w:lang w:val="hy-AM" w:eastAsia="en-US"/>
              </w:rPr>
            </w:pPr>
            <w:r w:rsidRPr="00005BEA">
              <w:rPr>
                <w:i/>
                <w:sz w:val="18"/>
                <w:szCs w:val="18"/>
                <w:lang w:val="hy-AM" w:eastAsia="en-US"/>
              </w:rPr>
              <w:t>Գծապատկեր 1.14.</w:t>
            </w:r>
            <w:r w:rsidRPr="00005BEA">
              <w:rPr>
                <w:sz w:val="16"/>
                <w:szCs w:val="16"/>
                <w:lang w:val="hy-AM" w:eastAsia="en-US"/>
              </w:rPr>
              <w:t xml:space="preserve"> </w:t>
            </w:r>
            <w:r w:rsidRPr="00DE6C7D">
              <w:rPr>
                <w:b w:val="0"/>
                <w:i/>
                <w:sz w:val="18"/>
                <w:szCs w:val="18"/>
                <w:lang w:val="hy-AM" w:eastAsia="en-US"/>
              </w:rPr>
              <w:t>Անվանական ՀՆԱ և տնտեսական աճ</w:t>
            </w:r>
          </w:p>
          <w:p w:rsidR="00005BEA" w:rsidRPr="00005BEA" w:rsidRDefault="00005BEA" w:rsidP="00005BEA">
            <w:pPr>
              <w:spacing w:before="0" w:line="240" w:lineRule="auto"/>
              <w:ind w:firstLine="0"/>
              <w:contextualSpacing w:val="0"/>
              <w:rPr>
                <w:sz w:val="16"/>
                <w:szCs w:val="16"/>
                <w:lang w:val="hy-AM" w:eastAsia="en-US"/>
              </w:rPr>
            </w:pPr>
            <w:r w:rsidRPr="00005BEA">
              <w:rPr>
                <w:i/>
                <w:noProof/>
                <w:sz w:val="18"/>
                <w:szCs w:val="18"/>
                <w:lang w:val="en-US" w:eastAsia="en-US"/>
              </w:rPr>
              <w:drawing>
                <wp:anchor distT="0" distB="0" distL="114300" distR="114300" simplePos="0" relativeHeight="251777536" behindDoc="0" locked="0" layoutInCell="1" allowOverlap="1">
                  <wp:simplePos x="0" y="0"/>
                  <wp:positionH relativeFrom="column">
                    <wp:posOffset>-32385</wp:posOffset>
                  </wp:positionH>
                  <wp:positionV relativeFrom="paragraph">
                    <wp:posOffset>156845</wp:posOffset>
                  </wp:positionV>
                  <wp:extent cx="3123565" cy="1697990"/>
                  <wp:effectExtent l="0" t="0" r="635" b="1651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005BEA" w:rsidRPr="0095510F" w:rsidRDefault="00005BEA" w:rsidP="00005BEA">
            <w:pPr>
              <w:spacing w:before="0" w:line="259" w:lineRule="auto"/>
              <w:ind w:firstLine="0"/>
              <w:contextualSpacing w:val="0"/>
              <w:rPr>
                <w:b w:val="0"/>
                <w:i/>
                <w:sz w:val="16"/>
                <w:szCs w:val="16"/>
                <w:lang w:val="hy-AM" w:eastAsia="en-US"/>
              </w:rPr>
            </w:pPr>
            <w:r w:rsidRPr="0095510F">
              <w:rPr>
                <w:b w:val="0"/>
                <w:i/>
                <w:sz w:val="16"/>
                <w:szCs w:val="16"/>
                <w:lang w:val="hy-AM" w:eastAsia="en-US"/>
              </w:rPr>
              <w:t>Աղբյուրը՝ ՀՀ ՎԿ, ՀՀ ՖՆ հաշվարկներ և կանխատեսումներ</w:t>
            </w:r>
          </w:p>
        </w:tc>
        <w:tc>
          <w:tcPr>
            <w:tcW w:w="4825" w:type="dxa"/>
          </w:tcPr>
          <w:p w:rsidR="00005BEA" w:rsidRPr="00005BEA" w:rsidRDefault="00005BEA" w:rsidP="00005BEA">
            <w:pPr>
              <w:spacing w:before="0" w:line="240" w:lineRule="auto"/>
              <w:ind w:firstLine="0"/>
              <w:contextualSpacing w:val="0"/>
              <w:jc w:val="left"/>
              <w:rPr>
                <w:sz w:val="2"/>
                <w:szCs w:val="2"/>
                <w:lang w:val="hy-AM" w:eastAsia="en-US"/>
              </w:rPr>
            </w:pPr>
          </w:p>
          <w:p w:rsidR="00005BEA" w:rsidRPr="00005BEA" w:rsidRDefault="00005BEA" w:rsidP="00005BEA">
            <w:pPr>
              <w:spacing w:before="0" w:line="240" w:lineRule="auto"/>
              <w:ind w:firstLine="0"/>
              <w:contextualSpacing w:val="0"/>
              <w:jc w:val="left"/>
              <w:rPr>
                <w:i/>
                <w:sz w:val="18"/>
                <w:szCs w:val="18"/>
                <w:lang w:val="hy-AM" w:eastAsia="en-US"/>
              </w:rPr>
            </w:pPr>
            <w:r w:rsidRPr="00005BEA">
              <w:rPr>
                <w:i/>
                <w:sz w:val="18"/>
                <w:szCs w:val="18"/>
                <w:lang w:val="hy-AM" w:eastAsia="en-US"/>
              </w:rPr>
              <w:t>Գծապատկեր 1.15.</w:t>
            </w:r>
            <w:r w:rsidRPr="00005BEA">
              <w:rPr>
                <w:color w:val="FF0000"/>
                <w:sz w:val="16"/>
                <w:szCs w:val="16"/>
                <w:lang w:val="hy-AM" w:eastAsia="en-US"/>
              </w:rPr>
              <w:t xml:space="preserve"> </w:t>
            </w:r>
            <w:r w:rsidRPr="00DE6C7D">
              <w:rPr>
                <w:b w:val="0"/>
                <w:i/>
                <w:sz w:val="18"/>
                <w:szCs w:val="18"/>
                <w:lang w:val="hy-AM" w:eastAsia="en-US"/>
              </w:rPr>
              <w:t>Իրական ՀՆԱ անկումը/աճը տնտեսական ճգնաժամերի տարիներին, (%)</w:t>
            </w:r>
          </w:p>
          <w:p w:rsidR="00005BEA" w:rsidRPr="00005BEA" w:rsidRDefault="00005BEA" w:rsidP="00005BEA">
            <w:pPr>
              <w:spacing w:before="0" w:line="240" w:lineRule="auto"/>
              <w:ind w:firstLine="0"/>
              <w:contextualSpacing w:val="0"/>
              <w:jc w:val="left"/>
              <w:rPr>
                <w:sz w:val="16"/>
                <w:szCs w:val="16"/>
                <w:lang w:val="hy-AM" w:eastAsia="en-US"/>
              </w:rPr>
            </w:pPr>
          </w:p>
          <w:p w:rsidR="00005BEA" w:rsidRPr="00005BEA" w:rsidRDefault="00005BEA" w:rsidP="00005BEA">
            <w:pPr>
              <w:spacing w:before="0" w:line="240" w:lineRule="auto"/>
              <w:ind w:firstLine="0"/>
              <w:contextualSpacing w:val="0"/>
              <w:jc w:val="left"/>
              <w:rPr>
                <w:sz w:val="16"/>
                <w:szCs w:val="16"/>
                <w:lang w:val="hy-AM" w:eastAsia="en-US"/>
              </w:rPr>
            </w:pPr>
            <w:r w:rsidRPr="00005BEA">
              <w:rPr>
                <w:noProof/>
                <w:lang w:val="en-US" w:eastAsia="en-US"/>
              </w:rPr>
              <w:drawing>
                <wp:inline distT="0" distB="0" distL="0" distR="0">
                  <wp:extent cx="2944091" cy="1800225"/>
                  <wp:effectExtent l="0" t="0" r="8890" b="9525"/>
                  <wp:docPr id="7" name="Chart 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5BEA" w:rsidRPr="0095510F" w:rsidRDefault="00005BEA" w:rsidP="00005BEA">
            <w:pPr>
              <w:spacing w:before="0" w:line="259" w:lineRule="auto"/>
              <w:ind w:firstLine="0"/>
              <w:contextualSpacing w:val="0"/>
              <w:rPr>
                <w:b w:val="0"/>
                <w:i/>
                <w:sz w:val="16"/>
                <w:szCs w:val="16"/>
                <w:lang w:val="hy-AM" w:eastAsia="en-US"/>
              </w:rPr>
            </w:pPr>
            <w:r w:rsidRPr="0095510F">
              <w:rPr>
                <w:b w:val="0"/>
                <w:i/>
                <w:sz w:val="16"/>
                <w:szCs w:val="16"/>
                <w:lang w:val="hy-AM" w:eastAsia="en-US"/>
              </w:rPr>
              <w:t>Աղբյուրը՝ ՀՀ ՎԿ, ՀՀ ՖՆ կանխատեսում</w:t>
            </w:r>
          </w:p>
        </w:tc>
      </w:tr>
      <w:tr w:rsidR="00005BEA" w:rsidRPr="00BD0C63" w:rsidTr="00005BEA">
        <w:trPr>
          <w:trHeight w:val="3182"/>
        </w:trPr>
        <w:tc>
          <w:tcPr>
            <w:tcW w:w="4825" w:type="dxa"/>
          </w:tcPr>
          <w:p w:rsidR="00005BEA" w:rsidRPr="00005BEA" w:rsidRDefault="00005BEA" w:rsidP="00005BEA">
            <w:pPr>
              <w:spacing w:before="0" w:line="240" w:lineRule="auto"/>
              <w:ind w:firstLine="0"/>
              <w:contextualSpacing w:val="0"/>
              <w:jc w:val="left"/>
              <w:rPr>
                <w:sz w:val="2"/>
                <w:szCs w:val="2"/>
                <w:lang w:val="hy-AM" w:eastAsia="en-US"/>
              </w:rPr>
            </w:pPr>
          </w:p>
          <w:p w:rsidR="00005BEA" w:rsidRPr="00005BEA" w:rsidRDefault="00005BEA" w:rsidP="00005BEA">
            <w:pPr>
              <w:spacing w:before="0" w:line="240" w:lineRule="auto"/>
              <w:ind w:firstLine="0"/>
              <w:contextualSpacing w:val="0"/>
              <w:jc w:val="left"/>
              <w:rPr>
                <w:i/>
                <w:sz w:val="18"/>
                <w:szCs w:val="18"/>
                <w:lang w:val="hy-AM" w:eastAsia="en-US"/>
              </w:rPr>
            </w:pPr>
            <w:r w:rsidRPr="00005BEA">
              <w:rPr>
                <w:i/>
                <w:sz w:val="18"/>
                <w:szCs w:val="18"/>
                <w:lang w:val="hy-AM" w:eastAsia="en-US"/>
              </w:rPr>
              <w:t xml:space="preserve">Գծապատկեր 1.16. </w:t>
            </w:r>
            <w:r w:rsidRPr="00DE6C7D">
              <w:rPr>
                <w:b w:val="0"/>
                <w:i/>
                <w:sz w:val="18"/>
                <w:szCs w:val="18"/>
                <w:lang w:val="hy-AM" w:eastAsia="en-US"/>
              </w:rPr>
              <w:t>Տնտեսության առանձին ճյուղերի նպաստումը տնտեսական աճին</w:t>
            </w:r>
            <w:r w:rsidRPr="00005BEA">
              <w:rPr>
                <w:i/>
                <w:sz w:val="18"/>
                <w:szCs w:val="18"/>
                <w:lang w:val="hy-AM" w:eastAsia="en-US"/>
              </w:rPr>
              <w:t xml:space="preserve">  </w:t>
            </w:r>
          </w:p>
          <w:p w:rsidR="00005BEA" w:rsidRPr="00005BEA" w:rsidRDefault="00005BEA" w:rsidP="00005BEA">
            <w:pPr>
              <w:spacing w:before="0" w:line="240" w:lineRule="auto"/>
              <w:ind w:firstLine="0"/>
              <w:contextualSpacing w:val="0"/>
              <w:jc w:val="left"/>
              <w:rPr>
                <w:sz w:val="4"/>
                <w:szCs w:val="4"/>
                <w:lang w:val="hy-AM" w:eastAsia="en-US"/>
              </w:rPr>
            </w:pPr>
          </w:p>
          <w:p w:rsidR="00005BEA" w:rsidRPr="00005BEA" w:rsidRDefault="00005BEA" w:rsidP="00005BEA">
            <w:pPr>
              <w:spacing w:before="0" w:line="240" w:lineRule="auto"/>
              <w:ind w:firstLine="0"/>
              <w:contextualSpacing w:val="0"/>
              <w:jc w:val="left"/>
              <w:rPr>
                <w:sz w:val="20"/>
                <w:szCs w:val="20"/>
                <w:lang w:val="hy-AM" w:eastAsia="en-US"/>
              </w:rPr>
            </w:pPr>
            <w:r w:rsidRPr="00005BEA">
              <w:rPr>
                <w:noProof/>
                <w:sz w:val="16"/>
                <w:szCs w:val="16"/>
                <w:shd w:val="clear" w:color="auto" w:fill="B4C6E7"/>
                <w:lang w:val="en-US" w:eastAsia="en-US"/>
              </w:rPr>
              <w:drawing>
                <wp:inline distT="0" distB="0" distL="0" distR="0">
                  <wp:extent cx="3093720" cy="1704975"/>
                  <wp:effectExtent l="0" t="0" r="11430"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5BEA" w:rsidRPr="00DE6C7D" w:rsidRDefault="00005BEA" w:rsidP="00005BEA">
            <w:pPr>
              <w:spacing w:before="0" w:after="160" w:line="259" w:lineRule="auto"/>
              <w:ind w:firstLine="0"/>
              <w:contextualSpacing w:val="0"/>
              <w:rPr>
                <w:b w:val="0"/>
                <w:i/>
                <w:sz w:val="16"/>
                <w:szCs w:val="16"/>
                <w:lang w:val="hy-AM" w:eastAsia="en-US"/>
              </w:rPr>
            </w:pPr>
            <w:r w:rsidRPr="00DE6C7D">
              <w:rPr>
                <w:b w:val="0"/>
                <w:i/>
                <w:sz w:val="16"/>
                <w:szCs w:val="16"/>
                <w:lang w:val="hy-AM" w:eastAsia="en-US"/>
              </w:rPr>
              <w:t>Աղբյուրը՝ ՀՀ ՎԿ, ՀՀ ՖՆ հաշվարկներ և կանխատեսումներ</w:t>
            </w:r>
          </w:p>
        </w:tc>
        <w:tc>
          <w:tcPr>
            <w:tcW w:w="4825" w:type="dxa"/>
          </w:tcPr>
          <w:p w:rsidR="00005BEA" w:rsidRPr="00005BEA" w:rsidRDefault="00005BEA" w:rsidP="00005BEA">
            <w:pPr>
              <w:spacing w:before="0" w:line="240" w:lineRule="auto"/>
              <w:ind w:firstLine="0"/>
              <w:contextualSpacing w:val="0"/>
              <w:jc w:val="left"/>
              <w:rPr>
                <w:sz w:val="2"/>
                <w:szCs w:val="2"/>
                <w:lang w:val="hy-AM" w:eastAsia="en-US"/>
              </w:rPr>
            </w:pPr>
          </w:p>
          <w:p w:rsidR="00005BEA" w:rsidRPr="00005BEA" w:rsidRDefault="00005BEA" w:rsidP="00005BEA">
            <w:pPr>
              <w:spacing w:before="0" w:line="240" w:lineRule="auto"/>
              <w:ind w:firstLine="0"/>
              <w:contextualSpacing w:val="0"/>
              <w:jc w:val="left"/>
              <w:rPr>
                <w:i/>
                <w:sz w:val="18"/>
                <w:szCs w:val="18"/>
                <w:lang w:val="hy-AM" w:eastAsia="en-US"/>
              </w:rPr>
            </w:pPr>
            <w:r w:rsidRPr="00005BEA">
              <w:rPr>
                <w:i/>
                <w:sz w:val="18"/>
                <w:szCs w:val="18"/>
                <w:lang w:val="hy-AM" w:eastAsia="en-US"/>
              </w:rPr>
              <w:t xml:space="preserve">Գծապատկեր 1.17. </w:t>
            </w:r>
            <w:r w:rsidRPr="00DE6C7D">
              <w:rPr>
                <w:b w:val="0"/>
                <w:i/>
                <w:sz w:val="18"/>
                <w:szCs w:val="18"/>
                <w:lang w:val="hy-AM" w:eastAsia="en-US"/>
              </w:rPr>
              <w:t>Տնտեսական աճին պահանջարկի բաղադրիչների նպաստումները</w:t>
            </w:r>
          </w:p>
          <w:p w:rsidR="00005BEA" w:rsidRPr="00005BEA" w:rsidRDefault="00005BEA" w:rsidP="00005BEA">
            <w:pPr>
              <w:spacing w:before="0" w:line="240" w:lineRule="auto"/>
              <w:ind w:firstLine="0"/>
              <w:contextualSpacing w:val="0"/>
              <w:jc w:val="left"/>
              <w:rPr>
                <w:sz w:val="6"/>
                <w:szCs w:val="6"/>
                <w:lang w:val="hy-AM" w:eastAsia="en-US"/>
              </w:rPr>
            </w:pPr>
          </w:p>
          <w:p w:rsidR="00005BEA" w:rsidRPr="00005BEA" w:rsidRDefault="00005BEA" w:rsidP="00005BEA">
            <w:pPr>
              <w:spacing w:before="0" w:line="240" w:lineRule="auto"/>
              <w:ind w:firstLine="0"/>
              <w:contextualSpacing w:val="0"/>
              <w:jc w:val="left"/>
              <w:rPr>
                <w:sz w:val="4"/>
                <w:szCs w:val="4"/>
                <w:lang w:val="hy-AM" w:eastAsia="en-US"/>
              </w:rPr>
            </w:pPr>
          </w:p>
          <w:p w:rsidR="00005BEA" w:rsidRPr="00005BEA" w:rsidRDefault="00005BEA" w:rsidP="00005BEA">
            <w:pPr>
              <w:spacing w:before="0" w:line="240" w:lineRule="auto"/>
              <w:ind w:firstLine="0"/>
              <w:contextualSpacing w:val="0"/>
              <w:rPr>
                <w:sz w:val="16"/>
                <w:szCs w:val="16"/>
                <w:lang w:val="hy-AM" w:eastAsia="en-US"/>
              </w:rPr>
            </w:pPr>
            <w:r w:rsidRPr="00005BEA">
              <w:rPr>
                <w:rFonts w:cs="Sylfaen"/>
                <w:noProof/>
                <w:sz w:val="16"/>
                <w:szCs w:val="16"/>
                <w:lang w:val="en-US" w:eastAsia="en-US"/>
              </w:rPr>
              <w:drawing>
                <wp:inline distT="0" distB="0" distL="0" distR="0">
                  <wp:extent cx="3123565" cy="1672108"/>
                  <wp:effectExtent l="0" t="0" r="635" b="444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5BEA" w:rsidRPr="00DE6C7D" w:rsidRDefault="00005BEA" w:rsidP="00005BEA">
            <w:pPr>
              <w:spacing w:before="0" w:after="160" w:line="259" w:lineRule="auto"/>
              <w:ind w:firstLine="0"/>
              <w:contextualSpacing w:val="0"/>
              <w:rPr>
                <w:b w:val="0"/>
                <w:sz w:val="16"/>
                <w:szCs w:val="16"/>
                <w:lang w:val="hy-AM" w:eastAsia="en-US"/>
              </w:rPr>
            </w:pPr>
            <w:r w:rsidRPr="00DE6C7D">
              <w:rPr>
                <w:b w:val="0"/>
                <w:i/>
                <w:sz w:val="16"/>
                <w:szCs w:val="16"/>
                <w:lang w:val="hy-AM" w:eastAsia="en-US"/>
              </w:rPr>
              <w:t>Աղբյուրը՝ ՀՀ ՎԿ, ՀՀ ՖՆ հաշվարկներ և կանխատեսումներ</w:t>
            </w:r>
          </w:p>
        </w:tc>
      </w:tr>
    </w:tbl>
    <w:p w:rsidR="00005BEA" w:rsidRPr="00005BEA" w:rsidRDefault="00005BEA" w:rsidP="00005BEA">
      <w:pPr>
        <w:spacing w:before="0" w:after="120" w:line="276" w:lineRule="auto"/>
        <w:contextualSpacing w:val="0"/>
        <w:rPr>
          <w:rFonts w:cs="Sylfaen"/>
          <w:b w:val="0"/>
          <w:noProof/>
          <w:szCs w:val="22"/>
          <w:lang w:val="hy-AM" w:eastAsia="en-US"/>
        </w:rPr>
      </w:pPr>
      <w:r w:rsidRPr="00005BEA">
        <w:rPr>
          <w:rFonts w:cs="Sylfaen"/>
          <w:bCs/>
          <w:noProof/>
          <w:szCs w:val="22"/>
          <w:u w:val="single"/>
          <w:lang w:val="hy-AM" w:eastAsia="en-US"/>
        </w:rPr>
        <w:t>Համախառն առաջարկի կանխատեսում</w:t>
      </w:r>
      <w:r w:rsidRPr="00005BEA">
        <w:rPr>
          <w:rFonts w:cs="Sylfaen"/>
          <w:bCs/>
          <w:noProof/>
          <w:szCs w:val="22"/>
          <w:lang w:val="hy-AM" w:eastAsia="en-US"/>
        </w:rPr>
        <w:t xml:space="preserve">. </w:t>
      </w:r>
      <w:r w:rsidRPr="00005BEA">
        <w:rPr>
          <w:rFonts w:cs="Sylfaen"/>
          <w:b w:val="0"/>
          <w:noProof/>
          <w:szCs w:val="22"/>
          <w:lang w:val="hy-AM" w:eastAsia="en-US"/>
        </w:rPr>
        <w:t xml:space="preserve">2020թ. համավարակի և հոկտեմբերին սկիզբ առած դրա երկրորդ ալիքի բացասական ազդեցության հետևանքով առաջարկի կրճատմամբ, ներքին և արտաքին պահանջարկի անկմամբ, ինչպես նաև Արցախյան պատերազմի բացասական հետևանքներով պայմանավորված սպասվում է տնտեսական անկում: Մասնավորապես, </w:t>
      </w:r>
      <w:r w:rsidRPr="00005BEA">
        <w:rPr>
          <w:rFonts w:eastAsia="Calibri" w:cs="Sylfaen"/>
          <w:b w:val="0"/>
          <w:bCs/>
          <w:szCs w:val="22"/>
          <w:lang w:val="hy-AM" w:eastAsia="en-US"/>
        </w:rPr>
        <w:t>ծառայությունների (ներառյալ առևտուրը), շինարարության և արդյունաբերության ճյուղերը կնվազեն համապատասխանաբար 10.5%-ով, 17.6%-ով և 0.6%-ով: Գյուղատնտեսությունը կաճի 0.7%-ով:</w:t>
      </w:r>
      <w:r w:rsidRPr="00005BEA">
        <w:rPr>
          <w:rFonts w:cs="Sylfaen"/>
          <w:b w:val="0"/>
          <w:szCs w:val="22"/>
          <w:lang w:val="hy-AM" w:eastAsia="en-US"/>
        </w:rPr>
        <w:t xml:space="preserve"> </w:t>
      </w:r>
    </w:p>
    <w:p w:rsidR="00005BEA" w:rsidRPr="00005BEA" w:rsidRDefault="00005BEA" w:rsidP="00005BEA">
      <w:pPr>
        <w:spacing w:before="0" w:after="120" w:line="276" w:lineRule="auto"/>
        <w:contextualSpacing w:val="0"/>
        <w:rPr>
          <w:rFonts w:eastAsia="Calibri" w:cs="Sylfaen"/>
          <w:b w:val="0"/>
          <w:bCs/>
          <w:szCs w:val="22"/>
          <w:lang w:val="hy-AM" w:eastAsia="en-US"/>
        </w:rPr>
      </w:pPr>
      <w:r w:rsidRPr="00005BEA">
        <w:rPr>
          <w:rFonts w:eastAsia="Calibri" w:cs="Sylfaen"/>
          <w:b w:val="0"/>
          <w:bCs/>
          <w:szCs w:val="22"/>
          <w:lang w:val="hy-AM" w:eastAsia="en-US"/>
        </w:rPr>
        <w:t xml:space="preserve">2021թ. համավարակի և Արցախյան պատերազմի բացասական ազդեցությունների աստիճանական չեզոքացման հետ մեկտեղ, </w:t>
      </w:r>
      <w:r w:rsidRPr="00005BEA">
        <w:rPr>
          <w:rFonts w:cs="Sylfaen"/>
          <w:b w:val="0"/>
          <w:noProof/>
          <w:szCs w:val="22"/>
          <w:lang w:val="hy-AM" w:eastAsia="en-US"/>
        </w:rPr>
        <w:t xml:space="preserve">պայմանավորված արտադրության բնականոն աշխատանքների վերագործարկմամբ, արտաքին և ներքին պահանջարկի վերականգնմամբ, տնտեսությունում իրականացվող ներդրումներով, ինչպես նաև ՀՀ կառավարության կողմից համավարակի ազդեցությունների, ինչպես նաև </w:t>
      </w:r>
      <w:r w:rsidRPr="00005BEA">
        <w:rPr>
          <w:b w:val="0"/>
          <w:szCs w:val="22"/>
          <w:lang w:val="hy-AM" w:eastAsia="en-US"/>
        </w:rPr>
        <w:t>Արցախյան պատերազմի հետևանքների</w:t>
      </w:r>
      <w:r w:rsidRPr="00005BEA">
        <w:rPr>
          <w:rFonts w:cs="Sylfaen"/>
          <w:b w:val="0"/>
          <w:noProof/>
          <w:szCs w:val="22"/>
          <w:lang w:val="hy-AM" w:eastAsia="en-US"/>
        </w:rPr>
        <w:t xml:space="preserve"> </w:t>
      </w:r>
      <w:r w:rsidRPr="00005BEA">
        <w:rPr>
          <w:b w:val="0"/>
          <w:szCs w:val="22"/>
          <w:lang w:val="hy-AM" w:eastAsia="en-US"/>
        </w:rPr>
        <w:t xml:space="preserve">մեղմանը </w:t>
      </w:r>
      <w:r w:rsidRPr="00005BEA">
        <w:rPr>
          <w:rFonts w:cs="Sylfaen"/>
          <w:b w:val="0"/>
          <w:noProof/>
          <w:szCs w:val="22"/>
          <w:lang w:val="hy-AM" w:eastAsia="en-US"/>
        </w:rPr>
        <w:t>և արտահանման ու ներդրումների խթանմանն ուղղված քաղաքականություններով`</w:t>
      </w:r>
      <w:r w:rsidRPr="00005BEA">
        <w:rPr>
          <w:rFonts w:cs="Sylfaen"/>
          <w:b w:val="0"/>
          <w:bCs/>
          <w:noProof/>
          <w:szCs w:val="22"/>
          <w:lang w:val="hy-AM" w:eastAsia="en-US"/>
        </w:rPr>
        <w:t xml:space="preserve"> </w:t>
      </w:r>
      <w:r w:rsidRPr="00005BEA">
        <w:rPr>
          <w:rFonts w:eastAsia="Calibri" w:cs="Sylfaen"/>
          <w:b w:val="0"/>
          <w:bCs/>
          <w:szCs w:val="22"/>
          <w:lang w:val="hy-AM" w:eastAsia="en-US"/>
        </w:rPr>
        <w:t>ծառայությունները կաճեն 3.0%-ով, ա</w:t>
      </w:r>
      <w:r w:rsidRPr="00005BEA">
        <w:rPr>
          <w:rFonts w:cs="Sylfaen"/>
          <w:b w:val="0"/>
          <w:noProof/>
          <w:szCs w:val="22"/>
          <w:lang w:val="hy-AM" w:eastAsia="en-US"/>
        </w:rPr>
        <w:t>րդյունաբերությունը՝ 3.6%-ով</w:t>
      </w:r>
      <w:r w:rsidRPr="00005BEA">
        <w:rPr>
          <w:rFonts w:cs="Sylfaen"/>
          <w:b w:val="0"/>
          <w:szCs w:val="22"/>
          <w:lang w:val="hy-AM" w:eastAsia="en-US"/>
        </w:rPr>
        <w:t>, շ</w:t>
      </w:r>
      <w:r w:rsidRPr="00005BEA">
        <w:rPr>
          <w:rFonts w:eastAsia="Calibri" w:cs="Sylfaen"/>
          <w:b w:val="0"/>
          <w:bCs/>
          <w:szCs w:val="22"/>
          <w:lang w:val="hy-AM" w:eastAsia="en-US"/>
        </w:rPr>
        <w:t>ինարարության ճյուղը՝ 3.3%-ով, իսկ գյուղատնտեսությունը՝ 2.3%</w:t>
      </w:r>
      <w:r w:rsidRPr="00005BEA">
        <w:rPr>
          <w:rFonts w:eastAsia="Calibri" w:cs="Sylfaen"/>
          <w:b w:val="0"/>
          <w:bCs/>
          <w:szCs w:val="22"/>
          <w:lang w:val="hy-AM" w:eastAsia="en-US"/>
        </w:rPr>
        <w:noBreakHyphen/>
        <w:t xml:space="preserve">ով:  </w:t>
      </w:r>
    </w:p>
    <w:tbl>
      <w:tblPr>
        <w:tblStyle w:val="TableGrid142121"/>
        <w:tblW w:w="0" w:type="auto"/>
        <w:tblLook w:val="04A0" w:firstRow="1" w:lastRow="0" w:firstColumn="1" w:lastColumn="0" w:noHBand="0" w:noVBand="1"/>
      </w:tblPr>
      <w:tblGrid>
        <w:gridCol w:w="5001"/>
        <w:gridCol w:w="4971"/>
      </w:tblGrid>
      <w:tr w:rsidR="00005BEA" w:rsidRPr="00BD0C63" w:rsidTr="00005BEA">
        <w:tc>
          <w:tcPr>
            <w:tcW w:w="4963" w:type="dxa"/>
          </w:tcPr>
          <w:p w:rsidR="00005BEA" w:rsidRPr="00005BEA" w:rsidRDefault="00005BEA" w:rsidP="00005BEA">
            <w:pPr>
              <w:spacing w:before="0" w:line="240" w:lineRule="auto"/>
              <w:ind w:firstLine="0"/>
              <w:contextualSpacing w:val="0"/>
              <w:jc w:val="left"/>
              <w:rPr>
                <w:bCs/>
                <w:sz w:val="16"/>
                <w:szCs w:val="16"/>
                <w:lang w:val="hy-AM" w:eastAsia="en-US"/>
              </w:rPr>
            </w:pPr>
            <w:r w:rsidRPr="00005BEA">
              <w:rPr>
                <w:rFonts w:ascii="Calibri" w:hAnsi="Calibri"/>
                <w:i/>
                <w:noProof/>
                <w:sz w:val="18"/>
                <w:szCs w:val="18"/>
                <w:lang w:val="en-US" w:eastAsia="en-US"/>
              </w:rPr>
              <w:drawing>
                <wp:anchor distT="0" distB="0" distL="114300" distR="114300" simplePos="0" relativeHeight="251776512" behindDoc="0" locked="0" layoutInCell="1" allowOverlap="1">
                  <wp:simplePos x="0" y="0"/>
                  <wp:positionH relativeFrom="column">
                    <wp:posOffset>-87630</wp:posOffset>
                  </wp:positionH>
                  <wp:positionV relativeFrom="paragraph">
                    <wp:posOffset>483870</wp:posOffset>
                  </wp:positionV>
                  <wp:extent cx="3112135" cy="1868805"/>
                  <wp:effectExtent l="0" t="0" r="12065" b="10795"/>
                  <wp:wrapSquare wrapText="bothSides"/>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8239DE">
              <w:rPr>
                <w:rFonts w:ascii="Times New Roman" w:hAnsi="Times New Roman"/>
                <w:noProof/>
                <w:sz w:val="24"/>
                <w:lang w:val="en-US" w:eastAsia="en-US"/>
              </w:rPr>
              <mc:AlternateContent>
                <mc:Choice Requires="wps">
                  <w:drawing>
                    <wp:anchor distT="0" distB="0" distL="114300" distR="114300" simplePos="0" relativeHeight="251778560" behindDoc="0" locked="0" layoutInCell="1" allowOverlap="1">
                      <wp:simplePos x="0" y="0"/>
                      <wp:positionH relativeFrom="column">
                        <wp:posOffset>2038350</wp:posOffset>
                      </wp:positionH>
                      <wp:positionV relativeFrom="paragraph">
                        <wp:posOffset>378460</wp:posOffset>
                      </wp:positionV>
                      <wp:extent cx="796925" cy="1333500"/>
                      <wp:effectExtent l="0" t="0" r="22225" b="19050"/>
                      <wp:wrapNone/>
                      <wp:docPr id="1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25" cy="1333500"/>
                              </a:xfrm>
                              <a:prstGeom prst="rect">
                                <a:avLst/>
                              </a:prstGeom>
                              <a:solidFill>
                                <a:srgbClr val="D8E2F4">
                                  <a:alpha val="21176"/>
                                </a:srgbClr>
                              </a:solidFill>
                              <a:ln w="12700" cap="flat" cmpd="sng" algn="ctr">
                                <a:solidFill>
                                  <a:srgbClr val="5B9BD5">
                                    <a:shade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27D6CBE4" id="Rectangle 1" o:spid="_x0000_s1026" style="position:absolute;margin-left:160.5pt;margin-top:29.8pt;width:62.75pt;height:1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" fillcolor="#d8e2f4" strokecolor="#41719c" strokeweight="1pt">
                      <v:fill opacity="13878f"/>
                      <v:path arrowok="t"/>
                    </v:rect>
                  </w:pict>
                </mc:Fallback>
              </mc:AlternateContent>
            </w:r>
            <w:r w:rsidRPr="00005BEA">
              <w:rPr>
                <w:i/>
                <w:sz w:val="18"/>
                <w:szCs w:val="18"/>
                <w:lang w:val="hy-AM" w:eastAsia="en-US"/>
              </w:rPr>
              <w:t xml:space="preserve">Գծապատկեր 1.18. </w:t>
            </w:r>
            <w:r w:rsidRPr="00961432">
              <w:rPr>
                <w:b w:val="0"/>
                <w:bCs/>
                <w:i/>
                <w:sz w:val="18"/>
                <w:szCs w:val="18"/>
                <w:lang w:val="hy-AM" w:eastAsia="en-US"/>
              </w:rPr>
              <w:t>Ճյուղերի տեսակարար կշիռները ՀՆԱ-ի կազմու</w:t>
            </w:r>
            <w:r w:rsidRPr="00961432">
              <w:rPr>
                <w:b w:val="0"/>
                <w:bCs/>
                <w:i/>
                <w:sz w:val="16"/>
                <w:szCs w:val="16"/>
                <w:lang w:val="hy-AM" w:eastAsia="en-US"/>
              </w:rPr>
              <w:t>մ</w:t>
            </w:r>
          </w:p>
          <w:p w:rsidR="00005BEA" w:rsidRPr="00961432" w:rsidRDefault="00005BEA" w:rsidP="00005BEA">
            <w:pPr>
              <w:spacing w:before="0" w:after="120" w:line="276" w:lineRule="auto"/>
              <w:ind w:firstLine="0"/>
              <w:contextualSpacing w:val="0"/>
              <w:rPr>
                <w:rFonts w:eastAsia="Calibri" w:cs="Sylfaen"/>
                <w:b w:val="0"/>
                <w:bCs/>
                <w:lang w:val="hy-AM" w:eastAsia="en-US"/>
              </w:rPr>
            </w:pPr>
            <w:r w:rsidRPr="00961432">
              <w:rPr>
                <w:b w:val="0"/>
                <w:i/>
                <w:sz w:val="16"/>
                <w:szCs w:val="16"/>
                <w:lang w:val="hy-AM" w:eastAsia="en-US"/>
              </w:rPr>
              <w:t>Աղբյուրը՝ ՀՀ ՎԿ, ՀՀ ՖՆ հաշվարկներ և կանխատեսումներ</w:t>
            </w:r>
          </w:p>
        </w:tc>
        <w:tc>
          <w:tcPr>
            <w:tcW w:w="4963" w:type="dxa"/>
          </w:tcPr>
          <w:p w:rsidR="00005BEA" w:rsidRPr="00005BEA" w:rsidRDefault="00005BEA" w:rsidP="00005BEA">
            <w:pPr>
              <w:spacing w:before="0" w:line="240" w:lineRule="auto"/>
              <w:ind w:firstLine="0"/>
              <w:contextualSpacing w:val="0"/>
              <w:jc w:val="left"/>
              <w:rPr>
                <w:bCs/>
                <w:sz w:val="18"/>
                <w:szCs w:val="16"/>
                <w:lang w:val="hy-AM" w:eastAsia="en-US"/>
              </w:rPr>
            </w:pPr>
            <w:r w:rsidRPr="00005BEA">
              <w:rPr>
                <w:rFonts w:ascii="Calibri" w:hAnsi="Calibri"/>
                <w:i/>
                <w:noProof/>
                <w:lang w:val="en-US" w:eastAsia="en-US"/>
              </w:rPr>
              <w:drawing>
                <wp:anchor distT="0" distB="0" distL="114300" distR="114300" simplePos="0" relativeHeight="251780608" behindDoc="0" locked="0" layoutInCell="1" allowOverlap="1">
                  <wp:simplePos x="0" y="0"/>
                  <wp:positionH relativeFrom="column">
                    <wp:posOffset>-114935</wp:posOffset>
                  </wp:positionH>
                  <wp:positionV relativeFrom="paragraph">
                    <wp:posOffset>455295</wp:posOffset>
                  </wp:positionV>
                  <wp:extent cx="3102610" cy="1858645"/>
                  <wp:effectExtent l="0" t="0" r="2540" b="8255"/>
                  <wp:wrapSquare wrapText="bothSides"/>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005BEA">
              <w:rPr>
                <w:i/>
                <w:sz w:val="18"/>
                <w:szCs w:val="16"/>
                <w:lang w:val="hy-AM" w:eastAsia="en-US"/>
              </w:rPr>
              <w:t xml:space="preserve">Գծապատկեր 1.19. </w:t>
            </w:r>
            <w:r w:rsidRPr="00961432">
              <w:rPr>
                <w:b w:val="0"/>
                <w:bCs/>
                <w:i/>
                <w:sz w:val="18"/>
                <w:szCs w:val="16"/>
                <w:lang w:val="hy-AM" w:eastAsia="en-US"/>
              </w:rPr>
              <w:t>Ծախսային բաղադրիչների</w:t>
            </w:r>
            <w:r w:rsidRPr="00961432">
              <w:rPr>
                <w:b w:val="0"/>
                <w:bCs/>
                <w:sz w:val="18"/>
                <w:szCs w:val="16"/>
                <w:lang w:val="hy-AM" w:eastAsia="en-US"/>
              </w:rPr>
              <w:t xml:space="preserve"> </w:t>
            </w:r>
            <w:r w:rsidRPr="00961432">
              <w:rPr>
                <w:b w:val="0"/>
                <w:bCs/>
                <w:i/>
                <w:sz w:val="18"/>
                <w:szCs w:val="16"/>
                <w:lang w:val="hy-AM" w:eastAsia="en-US"/>
              </w:rPr>
              <w:t>տեսակարար կշիռները ՀՆԱ-ի կազմում</w:t>
            </w:r>
          </w:p>
          <w:p w:rsidR="00005BEA" w:rsidRPr="00961432" w:rsidRDefault="00005BEA" w:rsidP="00005BEA">
            <w:pPr>
              <w:spacing w:before="0" w:after="120" w:line="276" w:lineRule="auto"/>
              <w:ind w:firstLine="0"/>
              <w:contextualSpacing w:val="0"/>
              <w:rPr>
                <w:rFonts w:eastAsia="Calibri" w:cs="Sylfaen"/>
                <w:b w:val="0"/>
                <w:bCs/>
                <w:lang w:val="hy-AM" w:eastAsia="en-US"/>
              </w:rPr>
            </w:pPr>
            <w:r w:rsidRPr="00961432">
              <w:rPr>
                <w:b w:val="0"/>
                <w:i/>
                <w:sz w:val="16"/>
                <w:szCs w:val="16"/>
                <w:lang w:val="hy-AM" w:eastAsia="en-US"/>
              </w:rPr>
              <w:t>Աղբյուրը՝ ՀՀ ՎԿ, ՀՀ ՖՆ հաշվարկներ և կանխատեսումներ</w:t>
            </w:r>
          </w:p>
        </w:tc>
      </w:tr>
    </w:tbl>
    <w:p w:rsidR="00005BEA" w:rsidRPr="00005BEA" w:rsidRDefault="00005BEA" w:rsidP="00005BEA">
      <w:pPr>
        <w:spacing w:before="0" w:after="120" w:line="276" w:lineRule="auto"/>
        <w:contextualSpacing w:val="0"/>
        <w:rPr>
          <w:rFonts w:eastAsia="Calibri" w:cs="Sylfaen"/>
          <w:b w:val="0"/>
          <w:bCs/>
          <w:szCs w:val="22"/>
          <w:lang w:val="hy-AM" w:eastAsia="en-US"/>
        </w:rPr>
      </w:pPr>
    </w:p>
    <w:p w:rsidR="00005BEA" w:rsidRPr="00005BEA" w:rsidRDefault="00005BEA" w:rsidP="00005BEA">
      <w:pPr>
        <w:spacing w:before="0" w:after="120" w:line="276" w:lineRule="auto"/>
        <w:contextualSpacing w:val="0"/>
        <w:rPr>
          <w:rFonts w:eastAsia="Calibri" w:cs="Sylfaen"/>
          <w:b w:val="0"/>
          <w:bCs/>
          <w:szCs w:val="22"/>
          <w:lang w:val="hy-AM" w:eastAsia="en-US"/>
        </w:rPr>
      </w:pPr>
      <w:r w:rsidRPr="00005BEA">
        <w:rPr>
          <w:rFonts w:eastAsia="Calibri"/>
          <w:bCs/>
          <w:szCs w:val="22"/>
          <w:u w:val="single"/>
          <w:lang w:val="hy-AM" w:eastAsia="en-US"/>
        </w:rPr>
        <w:t>Համախառն պահանջարկ</w:t>
      </w:r>
      <w:r w:rsidRPr="00005BEA">
        <w:rPr>
          <w:rFonts w:eastAsia="Calibri" w:cs="Times Armenian"/>
          <w:szCs w:val="22"/>
          <w:u w:val="single"/>
          <w:lang w:val="hy-AM" w:eastAsia="en-US"/>
        </w:rPr>
        <w:t xml:space="preserve">ի </w:t>
      </w:r>
      <w:r w:rsidRPr="00005BEA">
        <w:rPr>
          <w:rFonts w:eastAsia="Calibri" w:cs="Sylfaen"/>
          <w:szCs w:val="22"/>
          <w:u w:val="single"/>
          <w:lang w:val="hy-AM" w:eastAsia="en-US"/>
        </w:rPr>
        <w:t>կանխատեսում.</w:t>
      </w:r>
      <w:r w:rsidRPr="00005BEA">
        <w:rPr>
          <w:rFonts w:eastAsia="Calibri" w:cs="Sylfaen"/>
          <w:szCs w:val="22"/>
          <w:lang w:val="hy-AM" w:eastAsia="en-US"/>
        </w:rPr>
        <w:t xml:space="preserve"> </w:t>
      </w:r>
      <w:r w:rsidRPr="00005BEA">
        <w:rPr>
          <w:rFonts w:eastAsia="Calibri" w:cs="Sylfaen"/>
          <w:b w:val="0"/>
          <w:bCs/>
          <w:szCs w:val="22"/>
          <w:lang w:val="hy-AM" w:eastAsia="en-US"/>
        </w:rPr>
        <w:t>Կրելով համավարակի և Արցախյան պատերազմի  պայմաններում եկամուտների և տրանսֆերտների նվազման  ազդեցությունը՝</w:t>
      </w:r>
      <w:r w:rsidRPr="00005BEA">
        <w:rPr>
          <w:rFonts w:eastAsia="Calibri" w:cs="Times Armenian"/>
          <w:b w:val="0"/>
          <w:bCs/>
          <w:szCs w:val="22"/>
          <w:lang w:val="hy-AM" w:eastAsia="en-US"/>
        </w:rPr>
        <w:t xml:space="preserve"> 2020թ. վերջնական սպառումը կնվազի </w:t>
      </w:r>
      <w:r w:rsidRPr="00005BEA">
        <w:rPr>
          <w:rFonts w:eastAsia="Calibri" w:cs="Sylfaen"/>
          <w:b w:val="0"/>
          <w:bCs/>
          <w:szCs w:val="22"/>
          <w:lang w:val="hy-AM" w:eastAsia="en-US"/>
        </w:rPr>
        <w:t>8.5%-ով</w:t>
      </w:r>
      <w:r w:rsidRPr="00005BEA">
        <w:rPr>
          <w:rFonts w:eastAsia="Calibri" w:cs="Times Armenian"/>
          <w:b w:val="0"/>
          <w:bCs/>
          <w:szCs w:val="22"/>
          <w:lang w:val="hy-AM" w:eastAsia="en-US"/>
        </w:rPr>
        <w:t>, իսկ ներդրումները՝ 10.5</w:t>
      </w:r>
      <w:r w:rsidRPr="00005BEA">
        <w:rPr>
          <w:rFonts w:eastAsia="Calibri" w:cs="Sylfaen"/>
          <w:b w:val="0"/>
          <w:bCs/>
          <w:szCs w:val="22"/>
          <w:lang w:val="hy-AM" w:eastAsia="en-US"/>
        </w:rPr>
        <w:t>%-ով</w:t>
      </w:r>
      <w:r w:rsidRPr="00005BEA">
        <w:rPr>
          <w:rFonts w:eastAsia="Calibri" w:cs="Sylfaen"/>
          <w:b w:val="0"/>
          <w:szCs w:val="22"/>
          <w:lang w:val="hy-AM" w:eastAsia="en-US"/>
        </w:rPr>
        <w:t xml:space="preserve">։ Սպառման և ներդրումների նվազումը կմեղմվի ՀՀ կառավարության և ԿԲ կողմից վարվող </w:t>
      </w:r>
      <w:r w:rsidRPr="00005BEA">
        <w:rPr>
          <w:rFonts w:eastAsia="Calibri" w:cs="Sylfaen"/>
          <w:b w:val="0"/>
          <w:bCs/>
          <w:szCs w:val="22"/>
          <w:lang w:val="hy-AM" w:eastAsia="en-US"/>
        </w:rPr>
        <w:t xml:space="preserve">համավարակի կանխարգելմանն ուղղված խթանող հարկաբյուջետային և դրամավարկային քաղաքականությունների, ինչպես նաև </w:t>
      </w:r>
      <w:r w:rsidRPr="00005BEA">
        <w:rPr>
          <w:b w:val="0"/>
          <w:szCs w:val="22"/>
          <w:lang w:val="hy-AM" w:eastAsia="en-US"/>
        </w:rPr>
        <w:t xml:space="preserve">Արցախյան պատերազմի հետևանքների մեղմանն ու </w:t>
      </w:r>
      <w:r w:rsidRPr="00005BEA">
        <w:rPr>
          <w:rFonts w:eastAsia="Calibri" w:cs="Sylfaen"/>
          <w:b w:val="0"/>
          <w:szCs w:val="22"/>
          <w:lang w:val="hy-AM" w:eastAsia="en-US"/>
        </w:rPr>
        <w:t>ներդրումային միջավայրը խթանող ՀՀ կառավարության քաղաքա</w:t>
      </w:r>
      <w:r w:rsidRPr="00005BEA">
        <w:rPr>
          <w:rFonts w:eastAsia="Calibri" w:cs="Sylfaen"/>
          <w:b w:val="0"/>
          <w:szCs w:val="22"/>
          <w:lang w:val="hy-AM" w:eastAsia="en-US"/>
        </w:rPr>
        <w:softHyphen/>
        <w:t>կանության</w:t>
      </w:r>
      <w:r w:rsidRPr="00005BEA">
        <w:rPr>
          <w:rFonts w:eastAsia="Calibri" w:cs="Sylfaen"/>
          <w:b w:val="0"/>
          <w:bCs/>
          <w:szCs w:val="22"/>
          <w:lang w:val="hy-AM" w:eastAsia="en-US"/>
        </w:rPr>
        <w:t xml:space="preserve"> արդյունքում։ 2021թ. պահանջարկը աստիճանաբար կվերականգնվի՝ սպառումը կաճի 4.3%-ով, իսկ ներդրումները՝ 3.0%-ով: </w:t>
      </w:r>
    </w:p>
    <w:p w:rsidR="00005BEA" w:rsidRPr="005514DD" w:rsidRDefault="00005BEA" w:rsidP="005514DD">
      <w:pPr>
        <w:spacing w:before="0" w:after="120" w:line="276" w:lineRule="auto"/>
        <w:contextualSpacing w:val="0"/>
        <w:rPr>
          <w:rFonts w:eastAsia="Calibri" w:cs="Sylfaen"/>
          <w:b w:val="0"/>
          <w:bCs/>
          <w:szCs w:val="22"/>
          <w:lang w:val="hy-AM" w:eastAsia="en-US"/>
        </w:rPr>
      </w:pPr>
      <w:r w:rsidRPr="00005BEA">
        <w:rPr>
          <w:rFonts w:eastAsia="Calibri" w:cs="Sylfaen"/>
          <w:b w:val="0"/>
          <w:bCs/>
          <w:szCs w:val="22"/>
          <w:lang w:val="hy-AM" w:eastAsia="en-US"/>
        </w:rPr>
        <w:t>Արտահանումը և ներմուծումը 2020թ. կնվազեն 28.7%-ով և 27.7%-ով՝ պայմանավորված հիմնականում համավարակի ներքին և արտաքին բացասական ազդեցություններով, ինչպես նաև պատերազմական գործողությունների հետևանքով, իսկ ՀՀ տնտեսական ակտիվության, համաշխարհային տնտեսության վերականգնման և տնօրինվող եկամտի աճի պայմաններում 2021թ. կաճեն համապատասխանաբար` 7.4%-ով և 6.0%-ով:</w:t>
      </w:r>
      <w:bookmarkStart w:id="89" w:name="_Toc45705386"/>
    </w:p>
    <w:p w:rsidR="00005BEA" w:rsidRPr="00005BEA" w:rsidRDefault="00005BEA" w:rsidP="00005BEA">
      <w:pPr>
        <w:spacing w:before="0" w:after="120" w:line="240" w:lineRule="auto"/>
        <w:ind w:firstLine="0"/>
        <w:contextualSpacing w:val="0"/>
        <w:jc w:val="left"/>
        <w:rPr>
          <w:rFonts w:eastAsia="Calibri"/>
          <w:bCs/>
          <w:sz w:val="24"/>
          <w:lang w:val="hy-AM" w:eastAsia="en-US"/>
        </w:rPr>
      </w:pPr>
      <w:bookmarkStart w:id="90" w:name="_Toc51360524"/>
      <w:r w:rsidRPr="00005BEA">
        <w:rPr>
          <w:rFonts w:eastAsia="Calibri"/>
          <w:bCs/>
          <w:sz w:val="24"/>
          <w:lang w:val="hy-AM" w:eastAsia="en-US"/>
        </w:rPr>
        <w:t>1.3.2. Աշխատանքի շուկա</w:t>
      </w:r>
      <w:bookmarkEnd w:id="89"/>
      <w:bookmarkEnd w:id="90"/>
    </w:p>
    <w:p w:rsidR="00005BEA" w:rsidRPr="00005BEA" w:rsidRDefault="00005BEA" w:rsidP="00005BEA">
      <w:pPr>
        <w:tabs>
          <w:tab w:val="num" w:pos="720"/>
          <w:tab w:val="left" w:pos="9450"/>
        </w:tabs>
        <w:spacing w:before="40" w:line="276" w:lineRule="auto"/>
        <w:ind w:firstLine="357"/>
        <w:contextualSpacing w:val="0"/>
        <w:rPr>
          <w:rFonts w:cs="Times Armenian"/>
          <w:b w:val="0"/>
          <w:szCs w:val="22"/>
          <w:lang w:val="hy-AM" w:eastAsia="en-US"/>
        </w:rPr>
      </w:pPr>
      <w:r w:rsidRPr="00005BEA">
        <w:rPr>
          <w:rFonts w:cs="Times Armenian"/>
          <w:bCs/>
          <w:szCs w:val="22"/>
          <w:lang w:val="hy-AM" w:eastAsia="en-US"/>
        </w:rPr>
        <w:t>Տնտեսական աճին զուգահեռ, 2019թ. գործազրկության մակարդակը նվազել է՝ 20.5%-ից հասնելով 18.9%-ի, իսկ աշխատուժի մասնակցության մակարդակն աճել՝ 56.9%-ից հասնելով 57.7%-ի:</w:t>
      </w:r>
      <w:r w:rsidRPr="00005BEA">
        <w:rPr>
          <w:rFonts w:cs="Times Armenian"/>
          <w:b w:val="0"/>
          <w:szCs w:val="22"/>
          <w:lang w:val="hy-AM" w:eastAsia="en-US"/>
        </w:rPr>
        <w:t xml:space="preserve"> Նույն ժամանակաշրջանում զբաղվածների թիվն աճել է 4.3%-ով, իսկ գործազուրկներինը՝ կրճատվել 5.8%-ով, ինչը վկայում է տնտեսական աճի որակի բարելավման մասին: Ավելին, նույն ժամանակահատվածում իրական արտադրողականությունն աճել է 3.2%-ով: Միաժամանակ, ՀՀ ՎԿ կողմից աշխատանքի շուկայի վիճակագրության վերանայված մեթոդաբանության համաձայն գործազրկության մակարդակը 2019թ. կազմել է 17.9%, իսկ աշխատուժի մասնակցության մակարդակը՝ 58.9%: Նույն ժամանակաշրջանում զբաղվածների թիվը կազմել է 1,009.8 հազ. մարդ, իսկ գործազուրկների թիվը՝ 220.8 հազ, մարդ:</w:t>
      </w:r>
      <w:r w:rsidRPr="00005BEA">
        <w:rPr>
          <w:rFonts w:cs="Times Armenian"/>
          <w:b w:val="0"/>
          <w:szCs w:val="22"/>
          <w:vertAlign w:val="superscript"/>
          <w:lang w:val="hy-AM" w:eastAsia="en-US"/>
        </w:rPr>
        <w:footnoteReference w:id="6"/>
      </w:r>
    </w:p>
    <w:p w:rsidR="00005BEA" w:rsidRPr="00005BEA" w:rsidRDefault="00005BEA" w:rsidP="00005BEA">
      <w:pPr>
        <w:tabs>
          <w:tab w:val="num" w:pos="720"/>
          <w:tab w:val="left" w:pos="9450"/>
        </w:tabs>
        <w:spacing w:before="40" w:line="276" w:lineRule="auto"/>
        <w:ind w:firstLine="357"/>
        <w:contextualSpacing w:val="0"/>
        <w:rPr>
          <w:rFonts w:cs="Times Armenian"/>
          <w:b w:val="0"/>
          <w:szCs w:val="22"/>
          <w:lang w:val="hy-AM" w:eastAsia="en-US"/>
        </w:rPr>
      </w:pPr>
      <w:r w:rsidRPr="00005BEA">
        <w:rPr>
          <w:rFonts w:cs="Times Armenian"/>
          <w:b w:val="0"/>
          <w:szCs w:val="22"/>
          <w:lang w:val="hy-AM" w:eastAsia="en-US"/>
        </w:rPr>
        <w:t>Միջին ամսական անվանական աշխատավարձը 2019թ. աճել է 5.8%-ով, միաժամանակ իրական աշխատավարձը` 1.4% միջին գնաճի պայմաններում ավելացել է 4.3%-ով:</w:t>
      </w:r>
    </w:p>
    <w:p w:rsidR="00005BEA" w:rsidRPr="00005BEA" w:rsidRDefault="00005BEA" w:rsidP="00005BEA">
      <w:pPr>
        <w:spacing w:before="40" w:after="120" w:line="276" w:lineRule="auto"/>
        <w:ind w:firstLine="448"/>
        <w:rPr>
          <w:b w:val="0"/>
          <w:szCs w:val="22"/>
          <w:lang w:val="hy-AM" w:eastAsia="en-US"/>
        </w:rPr>
      </w:pPr>
      <w:r w:rsidRPr="00005BEA">
        <w:rPr>
          <w:rFonts w:cs="Times Armenian"/>
          <w:bCs/>
          <w:szCs w:val="22"/>
          <w:lang w:val="hy-AM" w:eastAsia="en-US"/>
        </w:rPr>
        <w:t>2020թ. երկրորդ եռամսյակում գործազրկության մակարդակը նախորդ տարվա նույն ժամանակաշրջանի նկատմամբ աճել է 1.1 տոկոսային կետով՝ կազմելով 17.5%, պայմանավորված ընթացիկ տարվա առաջին կիսամյակում գրանցված 5.7% տնտեսական անկումով:</w:t>
      </w:r>
      <w:r w:rsidRPr="00005BEA">
        <w:rPr>
          <w:rFonts w:cs="Times Armenian"/>
          <w:b w:val="0"/>
          <w:bCs/>
          <w:szCs w:val="22"/>
          <w:lang w:val="hy-AM" w:eastAsia="en-US"/>
        </w:rPr>
        <w:t xml:space="preserve"> Երկրորդ եռամսյակի գործազրկության մակարդակի վրա ակնհայտ է նաև համավարակի բացասական ազդեցությունը:</w:t>
      </w:r>
      <w:r w:rsidRPr="00005BEA">
        <w:rPr>
          <w:b w:val="0"/>
          <w:szCs w:val="22"/>
          <w:lang w:val="hy-AM" w:eastAsia="en-US"/>
        </w:rPr>
        <w:t xml:space="preserve"> </w:t>
      </w:r>
    </w:p>
    <w:p w:rsidR="00005BEA" w:rsidRPr="005514DD" w:rsidRDefault="00005BEA" w:rsidP="005514DD">
      <w:pPr>
        <w:spacing w:before="40" w:after="120" w:line="276" w:lineRule="auto"/>
        <w:ind w:firstLine="448"/>
        <w:rPr>
          <w:rFonts w:cs="Times Armenian"/>
          <w:b w:val="0"/>
          <w:szCs w:val="22"/>
          <w:lang w:val="hy-AM" w:eastAsia="en-US"/>
        </w:rPr>
      </w:pPr>
      <w:r w:rsidRPr="00005BEA">
        <w:rPr>
          <w:b w:val="0"/>
          <w:szCs w:val="22"/>
          <w:lang w:val="hy-AM" w:eastAsia="en-US"/>
        </w:rPr>
        <w:t xml:space="preserve">Աշխատանքի շուկայի հետագա զարգացումների վրա էական դերակատարում ունի Արցախյան պատերազմական գործողություններին ՀՀ քաղաքացիների մասնակցությունը: </w:t>
      </w:r>
      <w:r w:rsidRPr="00005BEA">
        <w:rPr>
          <w:rFonts w:eastAsia="Calibri" w:cs="Sylfaen"/>
          <w:b w:val="0"/>
          <w:szCs w:val="22"/>
          <w:lang w:val="hy-AM" w:eastAsia="en-US"/>
        </w:rPr>
        <w:t>2020թ. տնտեսական ա</w:t>
      </w:r>
      <w:r w:rsidRPr="00005BEA">
        <w:rPr>
          <w:rFonts w:eastAsia="Calibri" w:cs="GHEA Grapalat"/>
          <w:b w:val="0"/>
          <w:szCs w:val="22"/>
          <w:lang w:val="hy-AM" w:eastAsia="en-US"/>
        </w:rPr>
        <w:t>նկումը</w:t>
      </w:r>
      <w:r w:rsidRPr="00005BEA">
        <w:rPr>
          <w:rFonts w:eastAsia="Calibri" w:cs="Sylfaen"/>
          <w:b w:val="0"/>
          <w:szCs w:val="22"/>
          <w:lang w:val="hy-AM" w:eastAsia="en-US"/>
        </w:rPr>
        <w:t xml:space="preserve"> գնահատվում է, որ </w:t>
      </w:r>
      <w:r w:rsidRPr="00005BEA">
        <w:rPr>
          <w:rFonts w:eastAsia="Calibri" w:cs="GHEA Grapalat"/>
          <w:b w:val="0"/>
          <w:szCs w:val="22"/>
          <w:lang w:val="hy-AM" w:eastAsia="en-US"/>
        </w:rPr>
        <w:t>պայմանավորված</w:t>
      </w:r>
      <w:r w:rsidRPr="00005BEA">
        <w:rPr>
          <w:rFonts w:eastAsia="Calibri" w:cs="Sylfaen"/>
          <w:b w:val="0"/>
          <w:szCs w:val="22"/>
          <w:lang w:val="hy-AM" w:eastAsia="en-US"/>
        </w:rPr>
        <w:t xml:space="preserve"> </w:t>
      </w:r>
      <w:r w:rsidRPr="00005BEA">
        <w:rPr>
          <w:rFonts w:eastAsia="Calibri" w:cs="GHEA Grapalat"/>
          <w:b w:val="0"/>
          <w:szCs w:val="22"/>
          <w:lang w:val="hy-AM" w:eastAsia="en-US"/>
        </w:rPr>
        <w:t>կլինի</w:t>
      </w:r>
      <w:r w:rsidRPr="00005BEA">
        <w:rPr>
          <w:rFonts w:eastAsia="Calibri" w:cs="Sylfaen"/>
          <w:b w:val="0"/>
          <w:szCs w:val="22"/>
          <w:lang w:val="hy-AM" w:eastAsia="en-US"/>
        </w:rPr>
        <w:t xml:space="preserve"> նաև աշխատանքի </w:t>
      </w:r>
      <w:r w:rsidRPr="00005BEA">
        <w:rPr>
          <w:rFonts w:eastAsia="Calibri" w:cs="GHEA Grapalat"/>
          <w:b w:val="0"/>
          <w:szCs w:val="22"/>
          <w:lang w:val="hy-AM" w:eastAsia="en-US"/>
        </w:rPr>
        <w:t>առաջարկի</w:t>
      </w:r>
      <w:r w:rsidRPr="00005BEA">
        <w:rPr>
          <w:rFonts w:eastAsia="Calibri" w:cs="Sylfaen"/>
          <w:b w:val="0"/>
          <w:szCs w:val="22"/>
          <w:lang w:val="hy-AM" w:eastAsia="en-US"/>
        </w:rPr>
        <w:t xml:space="preserve"> </w:t>
      </w:r>
      <w:r w:rsidRPr="00005BEA">
        <w:rPr>
          <w:rFonts w:eastAsia="Calibri" w:cs="GHEA Grapalat"/>
          <w:b w:val="0"/>
          <w:szCs w:val="22"/>
          <w:lang w:val="hy-AM" w:eastAsia="en-US"/>
        </w:rPr>
        <w:t>բացասական</w:t>
      </w:r>
      <w:r w:rsidRPr="00005BEA">
        <w:rPr>
          <w:rFonts w:eastAsia="Calibri" w:cs="Sylfaen"/>
          <w:b w:val="0"/>
          <w:szCs w:val="22"/>
          <w:lang w:val="hy-AM" w:eastAsia="en-US"/>
        </w:rPr>
        <w:t xml:space="preserve"> </w:t>
      </w:r>
      <w:r w:rsidRPr="00005BEA">
        <w:rPr>
          <w:rFonts w:eastAsia="Calibri" w:cs="GHEA Grapalat"/>
          <w:b w:val="0"/>
          <w:szCs w:val="22"/>
          <w:lang w:val="hy-AM" w:eastAsia="en-US"/>
        </w:rPr>
        <w:t>շոկով</w:t>
      </w:r>
      <w:r w:rsidRPr="00005BEA">
        <w:rPr>
          <w:rFonts w:eastAsia="GHEA Grapalat" w:cs="GHEA Grapalat"/>
          <w:b w:val="0"/>
          <w:szCs w:val="22"/>
          <w:lang w:val="hy-AM" w:eastAsia="en-US"/>
        </w:rPr>
        <w:t xml:space="preserve">։ </w:t>
      </w:r>
    </w:p>
    <w:tbl>
      <w:tblPr>
        <w:tblStyle w:val="TableGrid14212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048"/>
        <w:gridCol w:w="4924"/>
      </w:tblGrid>
      <w:tr w:rsidR="00005BEA" w:rsidRPr="00005BEA" w:rsidTr="00005BEA">
        <w:trPr>
          <w:trHeight w:val="3144"/>
        </w:trPr>
        <w:tc>
          <w:tcPr>
            <w:tcW w:w="5063" w:type="dxa"/>
          </w:tcPr>
          <w:p w:rsidR="00005BEA" w:rsidRPr="00005BEA" w:rsidRDefault="00005BEA" w:rsidP="00005BEA">
            <w:pPr>
              <w:spacing w:before="40" w:after="60" w:line="240" w:lineRule="auto"/>
              <w:ind w:left="158" w:firstLine="0"/>
              <w:rPr>
                <w:rFonts w:cs="Times Armenian"/>
                <w:bCs/>
                <w:i/>
                <w:sz w:val="18"/>
                <w:szCs w:val="18"/>
                <w:lang w:val="hy-AM" w:eastAsia="en-US"/>
              </w:rPr>
            </w:pPr>
            <w:r w:rsidRPr="00005BEA">
              <w:rPr>
                <w:rFonts w:cs="Times Armenian"/>
                <w:bCs/>
                <w:i/>
                <w:sz w:val="18"/>
                <w:szCs w:val="18"/>
                <w:lang w:val="hy-AM" w:eastAsia="en-US"/>
              </w:rPr>
              <w:t>Գծապատկեր 1.</w:t>
            </w:r>
            <w:r w:rsidRPr="00005BEA">
              <w:rPr>
                <w:rFonts w:cs="Times Armenian"/>
                <w:bCs/>
                <w:i/>
                <w:sz w:val="18"/>
                <w:szCs w:val="18"/>
                <w:lang w:val="en-US" w:eastAsia="en-US"/>
              </w:rPr>
              <w:t>20.</w:t>
            </w:r>
            <w:r w:rsidRPr="00005BEA">
              <w:rPr>
                <w:rFonts w:cs="Times Armenian"/>
                <w:bCs/>
                <w:i/>
                <w:sz w:val="18"/>
                <w:szCs w:val="18"/>
                <w:lang w:val="hy-AM" w:eastAsia="en-US"/>
              </w:rPr>
              <w:t xml:space="preserve"> </w:t>
            </w:r>
            <w:r w:rsidRPr="00136A8C">
              <w:rPr>
                <w:rFonts w:cs="Times Armenian"/>
                <w:b w:val="0"/>
                <w:bCs/>
                <w:i/>
                <w:sz w:val="18"/>
                <w:szCs w:val="18"/>
                <w:lang w:val="hy-AM" w:eastAsia="en-US"/>
              </w:rPr>
              <w:t xml:space="preserve">Գործազրկություն և զբաղվածություն </w:t>
            </w:r>
          </w:p>
          <w:p w:rsidR="00005BEA" w:rsidRPr="005514DD" w:rsidRDefault="00005BEA" w:rsidP="005514DD">
            <w:pPr>
              <w:spacing w:before="40" w:after="60"/>
              <w:ind w:left="155" w:firstLine="0"/>
              <w:rPr>
                <w:rFonts w:cs="Times Armenian"/>
                <w:bCs/>
                <w:sz w:val="12"/>
                <w:szCs w:val="12"/>
                <w:lang w:val="en-US" w:eastAsia="en-US"/>
              </w:rPr>
            </w:pPr>
            <w:r w:rsidRPr="00005BEA">
              <w:rPr>
                <w:rFonts w:cs="Times Armenian"/>
                <w:bCs/>
                <w:noProof/>
                <w:sz w:val="12"/>
                <w:szCs w:val="12"/>
                <w:lang w:val="en-US" w:eastAsia="en-US"/>
              </w:rPr>
              <w:drawing>
                <wp:inline distT="0" distB="0" distL="0" distR="0">
                  <wp:extent cx="2962275" cy="2105025"/>
                  <wp:effectExtent l="0" t="0" r="9525" b="9525"/>
                  <wp:docPr id="8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5BEA" w:rsidRPr="00136A8C" w:rsidRDefault="00005BEA" w:rsidP="00005BEA">
            <w:pPr>
              <w:spacing w:before="40" w:after="60"/>
              <w:ind w:left="155" w:firstLine="0"/>
              <w:rPr>
                <w:rFonts w:cs="Times Armenian"/>
                <w:b w:val="0"/>
                <w:bCs/>
                <w:i/>
                <w:sz w:val="16"/>
                <w:szCs w:val="16"/>
                <w:lang w:val="hy-AM" w:eastAsia="en-US"/>
              </w:rPr>
            </w:pPr>
            <w:r w:rsidRPr="00136A8C">
              <w:rPr>
                <w:rFonts w:cs="Times Armenian"/>
                <w:b w:val="0"/>
                <w:i/>
                <w:sz w:val="16"/>
                <w:szCs w:val="16"/>
                <w:lang w:val="en-US" w:eastAsia="en-US"/>
              </w:rPr>
              <w:t>Աղբյուրը՝ ՀՀ ՎԿ</w:t>
            </w:r>
          </w:p>
        </w:tc>
        <w:tc>
          <w:tcPr>
            <w:tcW w:w="4961" w:type="dxa"/>
          </w:tcPr>
          <w:p w:rsidR="00005BEA" w:rsidRPr="00005BEA" w:rsidRDefault="00005BEA" w:rsidP="00005BEA">
            <w:pPr>
              <w:spacing w:before="40" w:after="60" w:line="240" w:lineRule="auto"/>
              <w:ind w:left="169" w:firstLine="0"/>
              <w:rPr>
                <w:rFonts w:cs="Times Armenian"/>
                <w:noProof/>
                <w:sz w:val="18"/>
                <w:szCs w:val="18"/>
                <w:lang w:val="hy-AM"/>
              </w:rPr>
            </w:pPr>
            <w:r w:rsidRPr="00005BEA">
              <w:rPr>
                <w:rFonts w:cs="Times Armenian"/>
                <w:bCs/>
                <w:i/>
                <w:iCs/>
                <w:sz w:val="18"/>
                <w:szCs w:val="18"/>
                <w:lang w:val="hy-AM" w:eastAsia="en-US"/>
              </w:rPr>
              <w:t xml:space="preserve">Գծապատկեր 1.21. </w:t>
            </w:r>
            <w:r w:rsidRPr="00136A8C">
              <w:rPr>
                <w:rFonts w:cs="Times Armenian"/>
                <w:b w:val="0"/>
                <w:bCs/>
                <w:i/>
                <w:iCs/>
                <w:sz w:val="18"/>
                <w:szCs w:val="18"/>
                <w:lang w:val="hy-AM" w:eastAsia="en-US"/>
              </w:rPr>
              <w:t>Միջին ամսական անվանական աշխատավարձի կուտակային աճ</w:t>
            </w:r>
            <w:r w:rsidRPr="00136A8C">
              <w:rPr>
                <w:rFonts w:cs="Times Armenian"/>
                <w:b w:val="0"/>
                <w:noProof/>
                <w:sz w:val="18"/>
                <w:szCs w:val="18"/>
                <w:lang w:val="hy-AM"/>
              </w:rPr>
              <w:t>, 2020թ., %</w:t>
            </w:r>
            <w:r w:rsidRPr="00005BEA">
              <w:rPr>
                <w:rFonts w:cs="Times Armenian"/>
                <w:noProof/>
                <w:sz w:val="18"/>
                <w:szCs w:val="18"/>
                <w:lang w:val="hy-AM"/>
              </w:rPr>
              <w:t xml:space="preserve"> </w:t>
            </w:r>
          </w:p>
          <w:p w:rsidR="00005BEA" w:rsidRPr="00005BEA" w:rsidRDefault="00005BEA" w:rsidP="00005BEA">
            <w:pPr>
              <w:spacing w:before="40" w:after="60" w:line="240" w:lineRule="auto"/>
              <w:ind w:left="169" w:firstLine="0"/>
              <w:rPr>
                <w:rFonts w:cs="Times Armenian"/>
                <w:noProof/>
                <w:sz w:val="18"/>
                <w:szCs w:val="18"/>
                <w:lang w:val="hy-AM"/>
              </w:rPr>
            </w:pPr>
            <w:r w:rsidRPr="00005BEA">
              <w:rPr>
                <w:rFonts w:cs="Times Armenian"/>
                <w:noProof/>
                <w:sz w:val="12"/>
                <w:szCs w:val="12"/>
                <w:lang w:val="en-US" w:eastAsia="en-US"/>
              </w:rPr>
              <w:drawing>
                <wp:anchor distT="0" distB="0" distL="114300" distR="114300" simplePos="0" relativeHeight="251781632" behindDoc="1" locked="0" layoutInCell="1" allowOverlap="1">
                  <wp:simplePos x="0" y="0"/>
                  <wp:positionH relativeFrom="column">
                    <wp:posOffset>-5080</wp:posOffset>
                  </wp:positionH>
                  <wp:positionV relativeFrom="paragraph">
                    <wp:posOffset>164465</wp:posOffset>
                  </wp:positionV>
                  <wp:extent cx="2987040" cy="1908810"/>
                  <wp:effectExtent l="0" t="0" r="3810" b="15240"/>
                  <wp:wrapTight wrapText="bothSides">
                    <wp:wrapPolygon edited="0">
                      <wp:start x="0" y="0"/>
                      <wp:lineTo x="0" y="21557"/>
                      <wp:lineTo x="21490" y="21557"/>
                      <wp:lineTo x="21490" y="0"/>
                      <wp:lineTo x="0" y="0"/>
                    </wp:wrapPolygon>
                  </wp:wrapTight>
                  <wp:docPr id="1"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005BEA" w:rsidRPr="00136A8C" w:rsidRDefault="00005BEA" w:rsidP="00005BEA">
            <w:pPr>
              <w:spacing w:before="40" w:after="60"/>
              <w:ind w:firstLine="0"/>
              <w:rPr>
                <w:rFonts w:cs="Times Armenian"/>
                <w:b w:val="0"/>
                <w:bCs/>
                <w:i/>
                <w:sz w:val="16"/>
                <w:szCs w:val="16"/>
                <w:lang w:val="hy-AM" w:eastAsia="en-US"/>
              </w:rPr>
            </w:pPr>
            <w:r w:rsidRPr="00136A8C">
              <w:rPr>
                <w:rFonts w:cs="Times Armenian"/>
                <w:b w:val="0"/>
                <w:i/>
                <w:sz w:val="16"/>
                <w:szCs w:val="16"/>
                <w:lang w:val="hy-AM" w:eastAsia="en-US"/>
              </w:rPr>
              <w:t>Աղբյուրը՝ ՀՀ ՎԿ</w:t>
            </w:r>
          </w:p>
        </w:tc>
      </w:tr>
    </w:tbl>
    <w:p w:rsidR="00005BEA" w:rsidRPr="00005BEA" w:rsidRDefault="00005BEA" w:rsidP="00005BEA">
      <w:pPr>
        <w:spacing w:before="40" w:after="60"/>
        <w:contextualSpacing w:val="0"/>
        <w:rPr>
          <w:rFonts w:cs="Times Armenian"/>
          <w:b w:val="0"/>
          <w:bCs/>
          <w:sz w:val="6"/>
          <w:szCs w:val="6"/>
          <w:lang w:val="hy-AM" w:eastAsia="en-US"/>
        </w:rPr>
      </w:pPr>
    </w:p>
    <w:p w:rsidR="005514DD" w:rsidRDefault="00005BEA" w:rsidP="005514DD">
      <w:pPr>
        <w:spacing w:before="40" w:after="120" w:line="276" w:lineRule="auto"/>
        <w:ind w:firstLine="448"/>
        <w:rPr>
          <w:rFonts w:cs="Times Armenian"/>
          <w:b w:val="0"/>
          <w:szCs w:val="22"/>
          <w:lang w:val="hy-AM" w:eastAsia="en-US"/>
        </w:rPr>
      </w:pPr>
      <w:r w:rsidRPr="00005BEA">
        <w:rPr>
          <w:rFonts w:cs="Times Armenian"/>
          <w:szCs w:val="22"/>
          <w:lang w:val="hy-AM" w:eastAsia="en-US"/>
        </w:rPr>
        <w:t>2020թ. տարեսկզբին արձանագրված աշխատավարձի աճի բարձր տեմպերը կրելով համավարակի բացասական ազդեցությունները գնալով դանդաղեցին:</w:t>
      </w:r>
      <w:r w:rsidRPr="00005BEA">
        <w:rPr>
          <w:rFonts w:cs="Times Armenian"/>
          <w:b w:val="0"/>
          <w:szCs w:val="22"/>
          <w:lang w:val="hy-AM" w:eastAsia="en-US"/>
        </w:rPr>
        <w:t xml:space="preserve"> 2020թ. հունվար-հոկտեմբերին միջին ամսական անվանական աշխատավարձն աճել է 4.3%-ով՝ կազմելով 186,428 դրամ: Ընդ որում՝ սպառողական գների ինդեքսի 0.9% աճի պարագայում իրական աշխատավարձն աճել է 3.4%-ով: Պետական հատվածում միջին ամսական անվանական աշխատավարձն աճել է 6.3%-ով՝ կազմելով  165,514 դրամ, իսկ մասնավոր հատվածում՝ 3.1%-ով՝ կազմելով 196,386 դրամ:</w:t>
      </w:r>
    </w:p>
    <w:p w:rsidR="005514DD" w:rsidRPr="00005BEA" w:rsidRDefault="005514DD" w:rsidP="005514DD">
      <w:pPr>
        <w:spacing w:before="40" w:after="120" w:line="276" w:lineRule="auto"/>
        <w:ind w:firstLine="448"/>
        <w:rPr>
          <w:rFonts w:cs="Times Armenian"/>
          <w:b w:val="0"/>
          <w:szCs w:val="22"/>
          <w:lang w:val="hy-AM" w:eastAsia="en-US"/>
        </w:rPr>
      </w:pPr>
    </w:p>
    <w:p w:rsidR="00005BEA" w:rsidRPr="00005BEA" w:rsidRDefault="00005BEA" w:rsidP="00005BEA">
      <w:pPr>
        <w:spacing w:before="0" w:after="120" w:line="240" w:lineRule="auto"/>
        <w:ind w:firstLine="0"/>
        <w:contextualSpacing w:val="0"/>
        <w:jc w:val="left"/>
        <w:rPr>
          <w:rFonts w:eastAsia="Calibri"/>
          <w:bCs/>
          <w:sz w:val="24"/>
          <w:lang w:val="hy-AM" w:eastAsia="en-US"/>
        </w:rPr>
      </w:pPr>
      <w:r w:rsidRPr="00005BEA">
        <w:rPr>
          <w:rFonts w:eastAsia="Calibri"/>
          <w:bCs/>
          <w:sz w:val="24"/>
          <w:lang w:val="hy-AM" w:eastAsia="en-US"/>
        </w:rPr>
        <w:t xml:space="preserve">1.3.3. ՀՀ վճարային հաշվեկշիռ, արտահանում և ներմուծում </w:t>
      </w:r>
    </w:p>
    <w:p w:rsidR="00005BEA" w:rsidRPr="00005BEA" w:rsidRDefault="00005BEA" w:rsidP="00005BEA">
      <w:pPr>
        <w:tabs>
          <w:tab w:val="num" w:pos="720"/>
        </w:tabs>
        <w:spacing w:before="0" w:after="120" w:line="276" w:lineRule="auto"/>
        <w:ind w:firstLine="720"/>
        <w:contextualSpacing w:val="0"/>
        <w:rPr>
          <w:rFonts w:eastAsia="Calibri" w:cs="Sylfaen"/>
          <w:b w:val="0"/>
          <w:szCs w:val="22"/>
          <w:lang w:val="hy-AM" w:eastAsia="en-US"/>
        </w:rPr>
      </w:pPr>
      <w:r w:rsidRPr="00005BEA">
        <w:rPr>
          <w:rFonts w:eastAsia="Calibri" w:cs="Sylfaen"/>
          <w:szCs w:val="22"/>
          <w:lang w:val="hy-AM" w:eastAsia="en-US"/>
        </w:rPr>
        <w:t xml:space="preserve">2019թ. վճարային հաշվեկշռի ընթացիկ հաշվի պակասուրդը նախորդ տարվա համեմատ վատթարացել է 0.3 տոկոսային կետով և կազմել ՀՆԱ-ի 7.2%-ը:  </w:t>
      </w:r>
      <w:r w:rsidRPr="00005BEA">
        <w:rPr>
          <w:rFonts w:eastAsia="Calibri" w:cs="Times Armenian"/>
          <w:b w:val="0"/>
          <w:szCs w:val="22"/>
          <w:lang w:val="hy-AM" w:eastAsia="en-US"/>
        </w:rPr>
        <w:t>Ընթացիկ հաշիվը բնութագրվել է ապրանքների և ծառայությունների բացասական հաշվեկշռի խորացմամբ և դրամական փոխանցումների ծավալների  նախորդ տարվա համեմատ թույլ աճով։</w:t>
      </w:r>
      <w:r w:rsidRPr="00005BEA">
        <w:rPr>
          <w:rFonts w:eastAsia="Calibri" w:cs="Sylfaen"/>
          <w:b w:val="0"/>
          <w:szCs w:val="22"/>
          <w:lang w:val="hy-AM" w:eastAsia="en-US"/>
        </w:rPr>
        <w:t xml:space="preserve"> </w:t>
      </w:r>
    </w:p>
    <w:p w:rsidR="00005BEA" w:rsidRPr="00005BEA" w:rsidRDefault="00005BEA" w:rsidP="00005BEA">
      <w:pPr>
        <w:spacing w:before="0" w:after="120" w:line="276" w:lineRule="auto"/>
        <w:ind w:firstLine="0"/>
        <w:contextualSpacing w:val="0"/>
        <w:rPr>
          <w:rFonts w:eastAsia="Calibri" w:cs="Sylfaen"/>
          <w:b w:val="0"/>
          <w:szCs w:val="22"/>
          <w:lang w:val="hy-AM" w:eastAsia="en-US"/>
        </w:rPr>
      </w:pPr>
      <w:r w:rsidRPr="00005BEA">
        <w:rPr>
          <w:rFonts w:eastAsia="Calibri" w:cs="Sylfaen"/>
          <w:b w:val="0"/>
          <w:szCs w:val="22"/>
          <w:lang w:val="hy-AM" w:eastAsia="en-US"/>
        </w:rPr>
        <w:t xml:space="preserve">        </w:t>
      </w:r>
      <w:r w:rsidRPr="00005BEA">
        <w:rPr>
          <w:rFonts w:eastAsia="Calibri" w:cs="Sylfaen"/>
          <w:bCs/>
          <w:szCs w:val="22"/>
          <w:u w:val="single"/>
          <w:lang w:val="hy-AM" w:eastAsia="en-US"/>
        </w:rPr>
        <w:t>Կանխատեսում։</w:t>
      </w:r>
      <w:r w:rsidRPr="00005BEA">
        <w:rPr>
          <w:rFonts w:eastAsia="Calibri" w:cs="Sylfaen"/>
          <w:b w:val="0"/>
          <w:szCs w:val="22"/>
          <w:lang w:val="hy-AM" w:eastAsia="en-US"/>
        </w:rPr>
        <w:t xml:space="preserve"> </w:t>
      </w:r>
      <w:r w:rsidRPr="00005BEA">
        <w:rPr>
          <w:rFonts w:cs="Sylfaen"/>
          <w:b w:val="0"/>
          <w:noProof/>
          <w:szCs w:val="22"/>
          <w:lang w:val="hy-AM" w:eastAsia="en-US"/>
        </w:rPr>
        <w:t xml:space="preserve">Արցախյան պատերազմի, </w:t>
      </w:r>
      <w:r w:rsidRPr="00005BEA">
        <w:rPr>
          <w:rFonts w:eastAsia="Calibri" w:cs="Sylfaen"/>
          <w:b w:val="0"/>
          <w:szCs w:val="22"/>
          <w:lang w:val="hy-AM" w:eastAsia="en-US"/>
        </w:rPr>
        <w:t xml:space="preserve">համավարակի երկրորդ ալիքի բռնկման արդյունքում ներքին և արտաքին թույլ պահանջարկի, ինչպես նաև զբոսաշրջության կրճատման </w:t>
      </w:r>
      <w:r w:rsidRPr="00005BEA">
        <w:rPr>
          <w:rFonts w:cs="Sylfaen"/>
          <w:b w:val="0"/>
          <w:noProof/>
          <w:szCs w:val="22"/>
          <w:lang w:val="hy-AM" w:eastAsia="en-US"/>
        </w:rPr>
        <w:t>հետևանքներով</w:t>
      </w:r>
      <w:r w:rsidRPr="00005BEA">
        <w:rPr>
          <w:rFonts w:eastAsia="Calibri" w:cs="Sylfaen"/>
          <w:b w:val="0"/>
          <w:szCs w:val="22"/>
          <w:lang w:val="hy-AM" w:eastAsia="en-US"/>
        </w:rPr>
        <w:t xml:space="preserve"> 2020թ. ընթացիկ հաշվի պակասուրդը կփոքրանա՝ մոտենալով ՀՆԱ-ի 5.9% մակարդակի: Ընթացիկ հաշվի պակասուրդի նվազումը պայմանավորված կլինի ներմուծման նվազման հետևանքով առևտրային հաշվեկշռի բարելավմամբ։ ՀՀ տնտեսական ակտիվության վերականգնման պայմաններում 2021թ. ակնկալվում է ընթացիկ հաշվի պակասուրդի վատթարացում՝ պայմանավորված</w:t>
      </w:r>
      <w:r w:rsidRPr="00005BEA">
        <w:rPr>
          <w:rFonts w:eastAsia="Calibri" w:cs="Times Armenian"/>
          <w:b w:val="0"/>
          <w:szCs w:val="22"/>
          <w:lang w:val="hy-AM" w:eastAsia="en-US"/>
        </w:rPr>
        <w:t xml:space="preserve"> ապրանքների և ծառայությունների բացասական հաշվեկշռի խորացմամբ</w:t>
      </w:r>
      <w:r w:rsidRPr="00005BEA">
        <w:rPr>
          <w:rFonts w:eastAsia="Calibri" w:cs="Sylfaen"/>
          <w:b w:val="0"/>
          <w:szCs w:val="22"/>
          <w:lang w:val="hy-AM" w:eastAsia="en-US"/>
        </w:rPr>
        <w:t xml:space="preserve">: </w:t>
      </w:r>
    </w:p>
    <w:p w:rsidR="00005BEA" w:rsidRPr="00005BEA" w:rsidRDefault="00005BEA" w:rsidP="00005BEA">
      <w:pPr>
        <w:keepNext/>
        <w:keepLines/>
        <w:tabs>
          <w:tab w:val="left" w:pos="0"/>
        </w:tabs>
        <w:spacing w:before="0" w:line="276" w:lineRule="auto"/>
        <w:ind w:firstLine="0"/>
        <w:contextualSpacing w:val="0"/>
        <w:jc w:val="left"/>
        <w:rPr>
          <w:rFonts w:eastAsia="Calibri"/>
          <w:b w:val="0"/>
          <w:i/>
          <w:sz w:val="18"/>
          <w:szCs w:val="18"/>
          <w:lang w:val="hy-AM" w:eastAsia="en-US"/>
        </w:rPr>
      </w:pPr>
      <w:r w:rsidRPr="00005BEA">
        <w:rPr>
          <w:rFonts w:eastAsia="Calibri"/>
          <w:b w:val="0"/>
          <w:i/>
          <w:noProof/>
          <w:sz w:val="18"/>
          <w:szCs w:val="18"/>
          <w:lang w:val="en-US" w:eastAsia="en-US"/>
        </w:rPr>
        <w:drawing>
          <wp:anchor distT="0" distB="0" distL="114300" distR="114300" simplePos="0" relativeHeight="251769344" behindDoc="1" locked="0" layoutInCell="1" allowOverlap="1">
            <wp:simplePos x="0" y="0"/>
            <wp:positionH relativeFrom="column">
              <wp:posOffset>3154680</wp:posOffset>
            </wp:positionH>
            <wp:positionV relativeFrom="paragraph">
              <wp:posOffset>284480</wp:posOffset>
            </wp:positionV>
            <wp:extent cx="3218815" cy="2266950"/>
            <wp:effectExtent l="0" t="0" r="635" b="0"/>
            <wp:wrapTight wrapText="bothSides">
              <wp:wrapPolygon edited="0">
                <wp:start x="0" y="0"/>
                <wp:lineTo x="0" y="21418"/>
                <wp:lineTo x="21476" y="21418"/>
                <wp:lineTo x="21476"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Pr="00005BEA">
        <w:rPr>
          <w:rFonts w:eastAsia="Calibri" w:cs="Sylfaen"/>
          <w:i/>
          <w:szCs w:val="22"/>
          <w:lang w:val="hy-AM" w:eastAsia="en-US"/>
        </w:rPr>
        <w:t>Գծապատկեր</w:t>
      </w:r>
      <w:r w:rsidRPr="00005BEA">
        <w:rPr>
          <w:rFonts w:eastAsia="Calibri" w:cs="Times Armenian"/>
          <w:i/>
          <w:szCs w:val="22"/>
          <w:lang w:val="hy-AM" w:eastAsia="en-US"/>
        </w:rPr>
        <w:t xml:space="preserve"> 1.22.</w:t>
      </w:r>
      <w:r w:rsidRPr="00005BEA">
        <w:rPr>
          <w:rFonts w:eastAsia="Calibri" w:cs="Times Armenian"/>
          <w:b w:val="0"/>
          <w:i/>
          <w:sz w:val="21"/>
          <w:szCs w:val="20"/>
          <w:lang w:val="hy-AM" w:eastAsia="en-US"/>
        </w:rPr>
        <w:t xml:space="preserve"> </w:t>
      </w:r>
      <w:r w:rsidRPr="00005BEA">
        <w:rPr>
          <w:rFonts w:eastAsia="Calibri" w:cs="Sylfaen"/>
          <w:b w:val="0"/>
          <w:i/>
          <w:sz w:val="20"/>
          <w:szCs w:val="20"/>
          <w:lang w:val="hy-AM" w:eastAsia="en-US"/>
        </w:rPr>
        <w:t>Ընթացիկ հաշվի պակասուրդը և բաղադրատարրերը (ՀՆԱ-ում %)</w:t>
      </w:r>
    </w:p>
    <w:p w:rsidR="00005BEA" w:rsidRPr="005514DD" w:rsidRDefault="00005BEA" w:rsidP="00005BEA">
      <w:pPr>
        <w:spacing w:before="0" w:line="276" w:lineRule="auto"/>
        <w:ind w:firstLine="0"/>
        <w:contextualSpacing w:val="0"/>
        <w:rPr>
          <w:rFonts w:eastAsia="Calibri" w:cs="Sylfaen"/>
          <w:b w:val="0"/>
          <w:sz w:val="16"/>
          <w:szCs w:val="16"/>
          <w:lang w:val="hy-AM" w:eastAsia="en-US"/>
        </w:rPr>
      </w:pPr>
      <w:r w:rsidRPr="00005BEA">
        <w:rPr>
          <w:rFonts w:eastAsia="Calibri"/>
          <w:b w:val="0"/>
          <w:i/>
          <w:noProof/>
          <w:sz w:val="16"/>
          <w:szCs w:val="16"/>
          <w:lang w:val="en-US" w:eastAsia="en-US"/>
        </w:rPr>
        <w:drawing>
          <wp:anchor distT="0" distB="0" distL="114300" distR="114300" simplePos="0" relativeHeight="251768320" behindDoc="1" locked="0" layoutInCell="1" allowOverlap="1">
            <wp:simplePos x="0" y="0"/>
            <wp:positionH relativeFrom="column">
              <wp:posOffset>-2540</wp:posOffset>
            </wp:positionH>
            <wp:positionV relativeFrom="paragraph">
              <wp:posOffset>66040</wp:posOffset>
            </wp:positionV>
            <wp:extent cx="3077210" cy="2266950"/>
            <wp:effectExtent l="0" t="0" r="8890" b="0"/>
            <wp:wrapTight wrapText="bothSides">
              <wp:wrapPolygon edited="0">
                <wp:start x="0" y="0"/>
                <wp:lineTo x="0" y="21418"/>
                <wp:lineTo x="21529" y="21418"/>
                <wp:lineTo x="21529"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005BEA">
        <w:rPr>
          <w:rFonts w:eastAsia="Calibri"/>
          <w:b w:val="0"/>
          <w:i/>
          <w:sz w:val="18"/>
          <w:szCs w:val="18"/>
          <w:lang w:val="hy-AM" w:eastAsia="en-US"/>
        </w:rPr>
        <w:t>Աղբյուրը՝ ՀՀ ՎԿ, ՀՀ ՖՆ հաշվարկներ և  կանխատեսումներ</w:t>
      </w:r>
    </w:p>
    <w:p w:rsidR="00005BEA" w:rsidRPr="00005BEA" w:rsidRDefault="00005BEA" w:rsidP="00005BEA">
      <w:pPr>
        <w:spacing w:before="0" w:after="120" w:line="276" w:lineRule="auto"/>
        <w:ind w:firstLine="720"/>
        <w:contextualSpacing w:val="0"/>
        <w:rPr>
          <w:rFonts w:eastAsia="Calibri" w:cs="Sylfaen"/>
          <w:b w:val="0"/>
          <w:szCs w:val="22"/>
          <w:lang w:val="hy-AM" w:eastAsia="en-US"/>
        </w:rPr>
      </w:pPr>
      <w:r w:rsidRPr="00005BEA">
        <w:rPr>
          <w:rFonts w:eastAsia="Calibri" w:cs="Sylfaen"/>
          <w:szCs w:val="22"/>
          <w:u w:val="single"/>
          <w:lang w:val="hy-AM" w:eastAsia="en-US"/>
        </w:rPr>
        <w:t>Արտահանում:</w:t>
      </w:r>
      <w:r w:rsidRPr="00005BEA">
        <w:rPr>
          <w:rFonts w:eastAsia="Calibri" w:cs="Sylfaen"/>
          <w:szCs w:val="22"/>
          <w:lang w:val="hy-AM" w:eastAsia="en-US"/>
        </w:rPr>
        <w:t xml:space="preserve"> 2019թ. արձանագրվել է ապրանքների և ծառայությունների դոլարային արտահանման երկնիշ՝ 14.9% աճ: </w:t>
      </w:r>
      <w:r w:rsidRPr="00005BEA">
        <w:rPr>
          <w:rFonts w:eastAsia="Calibri" w:cs="Sylfaen"/>
          <w:b w:val="0"/>
          <w:szCs w:val="22"/>
          <w:lang w:val="hy-AM" w:eastAsia="en-US"/>
        </w:rPr>
        <w:t xml:space="preserve">2019թ. ապրանքների արտահանումն աճել է 19.4%-ով և հիմնականում պայմանավորված է եղել մշակող և հանքագործական արդյունաբերության աճերով։ </w:t>
      </w:r>
      <w:r w:rsidRPr="00005BEA">
        <w:rPr>
          <w:rFonts w:eastAsia="Calibri" w:cs="Sylfaen"/>
          <w:b w:val="0"/>
          <w:szCs w:val="22"/>
          <w:lang w:val="hy-AM"/>
        </w:rPr>
        <w:t>Ընդ որում մշակող արդյունաբերության դերը արտահանման կառուցվածքում բարձրացել է, որը տնտեսության կառուցվածքում բարելավման և այդ ոլորտի կշռի մեծացման հետևանք է:</w:t>
      </w:r>
      <w:r w:rsidRPr="00005BEA">
        <w:rPr>
          <w:rFonts w:eastAsia="Calibri" w:cs="Sylfaen"/>
          <w:b w:val="0"/>
          <w:szCs w:val="22"/>
          <w:lang w:val="hy-AM" w:eastAsia="en-US"/>
        </w:rPr>
        <w:t xml:space="preserve"> Ծառայությունների արտահանման աճը պայմանավորվել է զբոսաշրջության նախորդ տարվա համեմատ ավելի բարձր՝ շուրջ 15% աճով: </w:t>
      </w:r>
    </w:p>
    <w:p w:rsidR="00005BEA" w:rsidRPr="00005BEA" w:rsidRDefault="00005BEA" w:rsidP="00005BEA">
      <w:pPr>
        <w:spacing w:before="0" w:after="120" w:line="276" w:lineRule="auto"/>
        <w:ind w:firstLine="720"/>
        <w:contextualSpacing w:val="0"/>
        <w:rPr>
          <w:rFonts w:eastAsia="Calibri" w:cs="Sylfaen"/>
          <w:b w:val="0"/>
          <w:szCs w:val="22"/>
          <w:lang w:val="hy-AM" w:eastAsia="en-US"/>
        </w:rPr>
      </w:pPr>
      <w:r w:rsidRPr="00005BEA">
        <w:rPr>
          <w:rFonts w:eastAsia="Calibri" w:cs="Sylfaen"/>
          <w:szCs w:val="22"/>
          <w:lang w:val="hy-AM" w:eastAsia="en-US"/>
        </w:rPr>
        <w:t xml:space="preserve">2020թ. համավարակի հետևանքով առավել մեծ վնասներ է կրել ծառայությունների արտահանման ոլորտը. </w:t>
      </w:r>
      <w:r w:rsidRPr="00005BEA">
        <w:rPr>
          <w:rFonts w:eastAsia="Calibri" w:cs="Sylfaen"/>
          <w:b w:val="0"/>
          <w:szCs w:val="22"/>
          <w:lang w:val="hy-AM" w:eastAsia="en-US"/>
        </w:rPr>
        <w:t>2020թ. առաջին կիսամյակում ծառայությունների արտահանումը կրճատվել է 38.9%-ով, որին հիմնականում նպաստել է զբոսաշրջության արտահանման 61.1% անկումը։ Ծառայությունների արտահանման նվազման տեմպերը երրորդ եռամսյակի ընթացքում խորացել են</w:t>
      </w:r>
      <w:r w:rsidRPr="00005BEA">
        <w:rPr>
          <w:rFonts w:eastAsia="Calibri" w:cs="Sylfaen"/>
          <w:b w:val="0"/>
          <w:szCs w:val="22"/>
          <w:vertAlign w:val="superscript"/>
          <w:lang w:val="hy-AM" w:eastAsia="en-US"/>
        </w:rPr>
        <w:footnoteReference w:id="7"/>
      </w:r>
      <w:r w:rsidRPr="00005BEA">
        <w:rPr>
          <w:rFonts w:eastAsia="Calibri" w:cs="Sylfaen"/>
          <w:b w:val="0"/>
          <w:szCs w:val="22"/>
          <w:lang w:val="hy-AM" w:eastAsia="en-US"/>
        </w:rPr>
        <w:t>:</w:t>
      </w:r>
    </w:p>
    <w:p w:rsidR="00005BEA" w:rsidRPr="00005BEA" w:rsidRDefault="00005BEA" w:rsidP="00005BEA">
      <w:pPr>
        <w:spacing w:before="0" w:after="120" w:line="276" w:lineRule="auto"/>
        <w:ind w:firstLine="720"/>
        <w:contextualSpacing w:val="0"/>
        <w:rPr>
          <w:rFonts w:eastAsia="Calibri" w:cs="Sylfaen"/>
          <w:b w:val="0"/>
          <w:szCs w:val="22"/>
          <w:lang w:val="hy-AM" w:eastAsia="en-US"/>
        </w:rPr>
      </w:pPr>
      <w:r w:rsidRPr="00005BEA">
        <w:rPr>
          <w:rFonts w:eastAsia="Calibri" w:cs="Sylfaen"/>
          <w:b w:val="0"/>
          <w:szCs w:val="22"/>
          <w:lang w:val="hy-AM" w:eastAsia="en-US"/>
        </w:rPr>
        <w:t xml:space="preserve"> </w:t>
      </w:r>
      <w:r w:rsidRPr="00005BEA">
        <w:rPr>
          <w:rFonts w:eastAsia="Calibri" w:cs="Sylfaen"/>
          <w:szCs w:val="22"/>
          <w:lang w:val="hy-AM" w:eastAsia="en-US"/>
        </w:rPr>
        <w:t>Չնայած 2020թ. տարեսկզբի աճի բարձր տեմպերին՝ 2020թ. հունվար-հոկտեմբեր ամիսներին ՀՀ ապրանքների արտահանումը կրճատվել է 4.4%-ով, ինչը պայմանավորվել է տնտեսական սահմանափակումների, զբաղվածության կրճատման պայմաններում արտահանելի հատվածի արտադրության կրճատման, ինչպես նաև արտաքին պահանջարկի նվազմամբ: Հոկտեմբեր ամիսն իր վրա կրել է նաև Արցախյան պատերազմի և կորոնավիրուսի համավարակի երկրորդ ալիքի բռնկման տնտեսական ազդեցությունները՝ վերջին հինգ ամիսների ընթացքում գրանցելով ամենախորը տ/տ անկումը:</w:t>
      </w:r>
    </w:p>
    <w:p w:rsidR="00005BEA" w:rsidRPr="00005BEA" w:rsidRDefault="00005BEA" w:rsidP="00005BEA">
      <w:pPr>
        <w:keepNext/>
        <w:keepLines/>
        <w:spacing w:before="0" w:line="276" w:lineRule="auto"/>
        <w:ind w:firstLine="0"/>
        <w:contextualSpacing w:val="0"/>
        <w:rPr>
          <w:rFonts w:eastAsia="Calibri" w:cs="Sylfaen"/>
          <w:b w:val="0"/>
          <w:bCs/>
          <w:i/>
          <w:sz w:val="20"/>
          <w:szCs w:val="20"/>
          <w:lang w:val="hy-AM" w:eastAsia="en-US"/>
        </w:rPr>
      </w:pPr>
      <w:r w:rsidRPr="00005BEA">
        <w:rPr>
          <w:rFonts w:eastAsia="Calibri"/>
          <w:i/>
          <w:noProof/>
          <w:szCs w:val="22"/>
          <w:lang w:val="en-US" w:eastAsia="en-US"/>
        </w:rPr>
        <w:drawing>
          <wp:anchor distT="0" distB="0" distL="114300" distR="114300" simplePos="0" relativeHeight="251772416" behindDoc="1" locked="0" layoutInCell="1" allowOverlap="1">
            <wp:simplePos x="0" y="0"/>
            <wp:positionH relativeFrom="margin">
              <wp:align>left</wp:align>
            </wp:positionH>
            <wp:positionV relativeFrom="paragraph">
              <wp:posOffset>318770</wp:posOffset>
            </wp:positionV>
            <wp:extent cx="3295650" cy="2028825"/>
            <wp:effectExtent l="0" t="0" r="0" b="9525"/>
            <wp:wrapTight wrapText="bothSides">
              <wp:wrapPolygon edited="0">
                <wp:start x="0" y="0"/>
                <wp:lineTo x="0" y="21499"/>
                <wp:lineTo x="21475" y="21499"/>
                <wp:lineTo x="21475"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005BEA">
        <w:rPr>
          <w:rFonts w:eastAsia="Calibri"/>
          <w:i/>
          <w:noProof/>
          <w:szCs w:val="22"/>
          <w:lang w:val="en-US" w:eastAsia="en-US"/>
        </w:rPr>
        <w:drawing>
          <wp:anchor distT="0" distB="0" distL="114300" distR="114300" simplePos="0" relativeHeight="251773440" behindDoc="1" locked="0" layoutInCell="1" allowOverlap="1">
            <wp:simplePos x="0" y="0"/>
            <wp:positionH relativeFrom="margin">
              <wp:posOffset>3409315</wp:posOffset>
            </wp:positionH>
            <wp:positionV relativeFrom="paragraph">
              <wp:posOffset>319405</wp:posOffset>
            </wp:positionV>
            <wp:extent cx="3076575" cy="2019300"/>
            <wp:effectExtent l="0" t="0" r="9525" b="0"/>
            <wp:wrapTight wrapText="bothSides">
              <wp:wrapPolygon edited="0">
                <wp:start x="0" y="0"/>
                <wp:lineTo x="0" y="21396"/>
                <wp:lineTo x="21533" y="21396"/>
                <wp:lineTo x="21533"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005BEA">
        <w:rPr>
          <w:rFonts w:eastAsia="Calibri" w:cs="Sylfaen"/>
          <w:i/>
          <w:szCs w:val="22"/>
          <w:lang w:val="hy-AM" w:eastAsia="en-US"/>
        </w:rPr>
        <w:t>Գծապատկեր 1.23</w:t>
      </w:r>
      <w:r w:rsidRPr="00005BEA">
        <w:rPr>
          <w:rFonts w:ascii="MS Gothic" w:eastAsia="MS Gothic" w:hAnsi="MS Gothic" w:cs="MS Gothic" w:hint="eastAsia"/>
          <w:i/>
          <w:szCs w:val="22"/>
          <w:lang w:val="hy-AM" w:eastAsia="en-US"/>
        </w:rPr>
        <w:t>․</w:t>
      </w:r>
      <w:r w:rsidRPr="00005BEA">
        <w:rPr>
          <w:rFonts w:eastAsia="Calibri" w:cs="Sylfaen"/>
          <w:b w:val="0"/>
          <w:bCs/>
          <w:i/>
          <w:sz w:val="20"/>
          <w:szCs w:val="20"/>
          <w:lang w:val="hy-AM" w:eastAsia="en-US"/>
        </w:rPr>
        <w:t xml:space="preserve"> 2020թ. ապրանքների արտահանման միտումները, %</w:t>
      </w:r>
    </w:p>
    <w:p w:rsidR="00005BEA" w:rsidRPr="00005BEA" w:rsidRDefault="00005BEA" w:rsidP="00005BEA">
      <w:pPr>
        <w:spacing w:before="0" w:line="276" w:lineRule="auto"/>
        <w:ind w:firstLine="540"/>
        <w:contextualSpacing w:val="0"/>
        <w:rPr>
          <w:rFonts w:eastAsia="Calibri"/>
          <w:b w:val="0"/>
          <w:i/>
          <w:sz w:val="18"/>
          <w:szCs w:val="18"/>
          <w:lang w:val="hy-AM" w:eastAsia="en-US"/>
        </w:rPr>
      </w:pPr>
      <w:r w:rsidRPr="00005BEA">
        <w:rPr>
          <w:rFonts w:eastAsia="Calibri"/>
          <w:b w:val="0"/>
          <w:i/>
          <w:sz w:val="18"/>
          <w:szCs w:val="18"/>
          <w:lang w:val="hy-AM" w:eastAsia="en-US"/>
        </w:rPr>
        <w:t>Աղբյուրը՝ ՀՀ ՎԿ և ՀՀ ՖՆ հաշվարկներ:</w:t>
      </w:r>
    </w:p>
    <w:p w:rsidR="00005BEA" w:rsidRPr="00005BEA" w:rsidRDefault="00005BEA" w:rsidP="00005BEA">
      <w:pPr>
        <w:spacing w:before="0" w:line="276" w:lineRule="auto"/>
        <w:ind w:firstLine="0"/>
        <w:contextualSpacing w:val="0"/>
        <w:rPr>
          <w:rFonts w:eastAsia="Calibri" w:cs="Sylfaen"/>
          <w:szCs w:val="22"/>
          <w:u w:val="single"/>
          <w:lang w:val="hy-AM" w:eastAsia="en-US"/>
        </w:rPr>
      </w:pPr>
    </w:p>
    <w:p w:rsidR="00005BEA" w:rsidRPr="00005BEA" w:rsidRDefault="00005BEA" w:rsidP="00005BEA">
      <w:pPr>
        <w:tabs>
          <w:tab w:val="left" w:pos="0"/>
        </w:tabs>
        <w:spacing w:before="0" w:after="120" w:line="276" w:lineRule="auto"/>
        <w:ind w:firstLine="539"/>
        <w:contextualSpacing w:val="0"/>
        <w:rPr>
          <w:rFonts w:eastAsia="Calibri" w:cs="Sylfaen"/>
          <w:b w:val="0"/>
          <w:szCs w:val="22"/>
          <w:lang w:val="hy-AM" w:eastAsia="en-US"/>
        </w:rPr>
      </w:pPr>
      <w:r w:rsidRPr="00005BEA">
        <w:rPr>
          <w:rFonts w:eastAsia="Calibri" w:cs="Sylfaen"/>
          <w:bCs/>
          <w:szCs w:val="22"/>
          <w:u w:val="single"/>
          <w:lang w:val="hy-AM" w:eastAsia="en-US"/>
        </w:rPr>
        <w:t>Կանխատեսում։</w:t>
      </w:r>
      <w:r w:rsidRPr="00005BEA">
        <w:rPr>
          <w:rFonts w:eastAsia="Calibri" w:cs="Sylfaen"/>
          <w:b w:val="0"/>
          <w:szCs w:val="22"/>
          <w:lang w:val="hy-AM" w:eastAsia="en-US"/>
        </w:rPr>
        <w:t xml:space="preserve"> </w:t>
      </w:r>
      <w:r w:rsidRPr="00005BEA">
        <w:rPr>
          <w:rFonts w:eastAsia="Calibri" w:cs="Sylfaen"/>
          <w:bCs/>
          <w:szCs w:val="22"/>
          <w:lang w:val="hy-AM" w:eastAsia="en-US"/>
        </w:rPr>
        <w:t>Համավարակի ներքին և արտաքին բացասական ազդեցություններով</w:t>
      </w:r>
      <w:r w:rsidRPr="00005BEA">
        <w:rPr>
          <w:rFonts w:eastAsia="Calibri" w:cs="Sylfaen"/>
          <w:b w:val="0"/>
          <w:bCs/>
          <w:szCs w:val="22"/>
          <w:lang w:val="hy-AM" w:eastAsia="en-US"/>
        </w:rPr>
        <w:t xml:space="preserve"> </w:t>
      </w:r>
      <w:r w:rsidRPr="00005BEA">
        <w:rPr>
          <w:rFonts w:eastAsia="Calibri" w:cs="Sylfaen"/>
          <w:bCs/>
          <w:szCs w:val="22"/>
          <w:lang w:val="hy-AM" w:eastAsia="en-US"/>
        </w:rPr>
        <w:t>և Արցախյան</w:t>
      </w:r>
      <w:r w:rsidRPr="00005BEA">
        <w:rPr>
          <w:rFonts w:eastAsia="Calibri" w:cs="Sylfaen"/>
          <w:b w:val="0"/>
          <w:bCs/>
          <w:szCs w:val="22"/>
          <w:lang w:val="hy-AM" w:eastAsia="en-US"/>
        </w:rPr>
        <w:t xml:space="preserve"> </w:t>
      </w:r>
      <w:r w:rsidRPr="00005BEA">
        <w:rPr>
          <w:rFonts w:eastAsia="Calibri" w:cs="Sylfaen"/>
          <w:bCs/>
          <w:szCs w:val="22"/>
          <w:lang w:val="hy-AM" w:eastAsia="en-US"/>
        </w:rPr>
        <w:t xml:space="preserve">պատերազմի </w:t>
      </w:r>
      <w:r w:rsidRPr="00005BEA">
        <w:rPr>
          <w:rFonts w:eastAsia="Calibri" w:cs="Sylfaen"/>
          <w:szCs w:val="22"/>
          <w:lang w:val="hy-AM" w:eastAsia="en-US"/>
        </w:rPr>
        <w:t>տնտեսական հետևանքներով</w:t>
      </w:r>
      <w:r w:rsidRPr="00005BEA">
        <w:rPr>
          <w:rFonts w:eastAsia="Calibri" w:cs="Sylfaen"/>
          <w:bCs/>
          <w:szCs w:val="22"/>
          <w:lang w:val="hy-AM" w:eastAsia="en-US"/>
        </w:rPr>
        <w:t xml:space="preserve"> պայմանավորված</w:t>
      </w:r>
      <w:r w:rsidRPr="00005BEA" w:rsidDel="004503FE">
        <w:rPr>
          <w:rFonts w:eastAsia="Calibri" w:cs="Sylfaen"/>
          <w:bCs/>
          <w:szCs w:val="22"/>
          <w:lang w:val="hy-AM" w:eastAsia="en-US"/>
        </w:rPr>
        <w:t xml:space="preserve"> </w:t>
      </w:r>
      <w:r w:rsidRPr="00005BEA">
        <w:rPr>
          <w:rFonts w:eastAsia="Calibri" w:cs="Sylfaen"/>
          <w:bCs/>
          <w:szCs w:val="22"/>
          <w:lang w:val="hy-AM" w:eastAsia="en-US"/>
        </w:rPr>
        <w:t>2020թ. սպասվում է շուրջ 31.4% արտահանման նվազում:</w:t>
      </w:r>
      <w:r w:rsidRPr="00005BEA">
        <w:rPr>
          <w:rFonts w:eastAsia="Calibri" w:cs="Sylfaen"/>
          <w:b w:val="0"/>
          <w:szCs w:val="22"/>
          <w:lang w:val="hy-AM" w:eastAsia="en-US"/>
        </w:rPr>
        <w:t xml:space="preserve"> 2021թ. համաշխարհային և ՀՀ տնտեսական ակտիվության վերականգման, արտահանման ու ներդրումների խրախուսմանն ուղղված ՀՀ կառավարության քաղաքականության պայմաններում ակնկալվում է արտահանման 9.4</w:t>
      </w:r>
      <w:r w:rsidRPr="00005BEA">
        <w:rPr>
          <w:rFonts w:eastAsia="Calibri" w:cs="Sylfaen"/>
          <w:bCs/>
          <w:szCs w:val="22"/>
          <w:lang w:val="hy-AM" w:eastAsia="en-US"/>
        </w:rPr>
        <w:t xml:space="preserve">% </w:t>
      </w:r>
      <w:r w:rsidRPr="00005BEA">
        <w:rPr>
          <w:rFonts w:eastAsia="Calibri" w:cs="Sylfaen"/>
          <w:b w:val="0"/>
          <w:bCs/>
          <w:szCs w:val="22"/>
          <w:lang w:val="hy-AM" w:eastAsia="en-US"/>
        </w:rPr>
        <w:t>աճ</w:t>
      </w:r>
      <w:r w:rsidRPr="00005BEA">
        <w:rPr>
          <w:rFonts w:eastAsia="Calibri" w:cs="Sylfaen"/>
          <w:b w:val="0"/>
          <w:szCs w:val="22"/>
          <w:lang w:val="hy-AM" w:eastAsia="en-US"/>
        </w:rPr>
        <w:t xml:space="preserve">։ </w:t>
      </w:r>
    </w:p>
    <w:p w:rsidR="00005BEA" w:rsidRPr="00005BEA" w:rsidRDefault="00005BEA" w:rsidP="00005BEA">
      <w:pPr>
        <w:tabs>
          <w:tab w:val="left" w:pos="0"/>
        </w:tabs>
        <w:spacing w:before="0" w:after="120" w:line="276" w:lineRule="auto"/>
        <w:ind w:firstLine="539"/>
        <w:contextualSpacing w:val="0"/>
        <w:rPr>
          <w:rFonts w:eastAsia="Calibri" w:cs="Sylfaen"/>
          <w:b w:val="0"/>
          <w:szCs w:val="22"/>
          <w:lang w:val="hy-AM" w:eastAsia="en-US"/>
        </w:rPr>
      </w:pPr>
      <w:r w:rsidRPr="00005BEA">
        <w:rPr>
          <w:rFonts w:eastAsia="Calibri" w:cs="Sylfaen"/>
          <w:szCs w:val="22"/>
          <w:u w:val="single"/>
          <w:lang w:val="hy-AM" w:eastAsia="en-US"/>
        </w:rPr>
        <w:t>Ներմուծում:</w:t>
      </w:r>
      <w:r w:rsidRPr="00005BEA">
        <w:rPr>
          <w:rFonts w:eastAsia="Calibri" w:cs="Sylfaen"/>
          <w:szCs w:val="22"/>
          <w:lang w:val="hy-AM" w:eastAsia="en-US"/>
        </w:rPr>
        <w:t xml:space="preserve"> 2019թ. արձանագրվել է ապրանքների և ծառայությունների դոլարային ներմուծման 13% աճ: </w:t>
      </w:r>
      <w:r w:rsidRPr="00005BEA">
        <w:rPr>
          <w:rFonts w:eastAsia="Calibri" w:cs="Sylfaen"/>
          <w:b w:val="0"/>
          <w:szCs w:val="22"/>
          <w:lang w:val="hy-AM" w:eastAsia="en-US"/>
        </w:rPr>
        <w:t>Ապրանքների ներմուծման ծավալներն աճել են 12.8%-ով՝ պայմանավորված տնտեսական ակտիվության, ներքին պահանջարկի, բնակչության տնօրինվող եկամուտների աճերով, ինչպես նաև մեծ քանակով ավտոմեքենաների ներկրմամբ: 2019թ. ընթացքում ներմուծման աճին մեծամասամբ նպաստել են վերջնական և միջանկյալ սպառման ապրանքները, դրական էր նաև կապիտալ բնույթի ապրանքների նպաստումը։ 2019թ. ծառայությունների ներմուծման աճը կազմել է 13</w:t>
      </w:r>
      <w:r w:rsidRPr="00005BEA">
        <w:rPr>
          <w:rFonts w:eastAsia="MS Mincho" w:cs="MS Mincho"/>
          <w:b w:val="0"/>
          <w:szCs w:val="22"/>
          <w:lang w:val="hy-AM" w:eastAsia="en-US"/>
        </w:rPr>
        <w:t>.</w:t>
      </w:r>
      <w:r w:rsidRPr="00005BEA">
        <w:rPr>
          <w:rFonts w:eastAsia="Calibri" w:cs="Sylfaen"/>
          <w:b w:val="0"/>
          <w:szCs w:val="22"/>
          <w:lang w:val="hy-AM" w:eastAsia="en-US"/>
        </w:rPr>
        <w:t xml:space="preserve">5% և հիմնականում պայմանավորվել է ճանապարհորդության հետ կապված ծառայությունների աճով: </w:t>
      </w:r>
    </w:p>
    <w:p w:rsidR="00005BEA" w:rsidRPr="00005BEA" w:rsidRDefault="00005BEA" w:rsidP="00005BEA">
      <w:pPr>
        <w:tabs>
          <w:tab w:val="left" w:pos="0"/>
        </w:tabs>
        <w:spacing w:before="0" w:after="120" w:line="276" w:lineRule="auto"/>
        <w:ind w:firstLine="539"/>
        <w:rPr>
          <w:rFonts w:eastAsia="Calibri" w:cs="Sylfaen"/>
          <w:b w:val="0"/>
          <w:szCs w:val="22"/>
          <w:lang w:val="hy-AM" w:eastAsia="en-US"/>
        </w:rPr>
      </w:pPr>
      <w:r w:rsidRPr="00005BEA">
        <w:rPr>
          <w:rFonts w:eastAsia="Calibri" w:cs="Sylfaen"/>
          <w:szCs w:val="22"/>
          <w:lang w:val="hy-AM" w:eastAsia="en-US"/>
        </w:rPr>
        <w:t xml:space="preserve">2020թ. համավարակի պայմաններում տնտեսական ակտիվության և ներքին պահանջարկի նվազման, ինչպես նաև զբոսաշրջության սահմանափակումների հետևանքով ապրանքների և ծառայությունների ներմուծումը նվազել է։ </w:t>
      </w:r>
      <w:r w:rsidRPr="00005BEA">
        <w:rPr>
          <w:rFonts w:eastAsia="GHEA Grapalat" w:cs="GHEA Grapalat"/>
          <w:b w:val="0"/>
          <w:szCs w:val="22"/>
          <w:lang w:val="hy-AM" w:eastAsia="en-US"/>
        </w:rPr>
        <w:t>Չնայած տարեսկզբի աճի տեմպերին՝ 2020թ</w:t>
      </w:r>
      <w:r w:rsidRPr="00005BEA">
        <w:rPr>
          <w:rFonts w:eastAsia="Calibri" w:cs="Sylfaen"/>
          <w:b w:val="0"/>
          <w:szCs w:val="22"/>
          <w:lang w:val="hy-AM" w:eastAsia="en-US"/>
        </w:rPr>
        <w:t xml:space="preserve">. հունվար-հոկտեմբերին արձանագրվել է 14.9% ապրանքների ներմուծման անկում, որին հիմնական ազդեցությունն է ունեցել </w:t>
      </w:r>
      <w:r w:rsidRPr="00005BEA">
        <w:rPr>
          <w:rFonts w:eastAsia="GHEA Grapalat" w:cs="GHEA Grapalat"/>
          <w:b w:val="0"/>
          <w:szCs w:val="22"/>
          <w:lang w:val="hy-AM" w:eastAsia="en-US"/>
        </w:rPr>
        <w:t>մաքսատուրքերի փոփոխությամբ պայմանավորված</w:t>
      </w:r>
      <w:r w:rsidRPr="00005BEA">
        <w:rPr>
          <w:rFonts w:eastAsia="Calibri" w:cs="Sylfaen"/>
          <w:b w:val="0"/>
          <w:szCs w:val="22"/>
          <w:lang w:val="hy-AM" w:eastAsia="en-US"/>
        </w:rPr>
        <w:t xml:space="preserve"> մարդատար ավտոմեքենաների ներկրման կտրուկ նվազումը</w:t>
      </w:r>
      <w:r w:rsidRPr="00005BEA">
        <w:rPr>
          <w:rFonts w:eastAsia="GHEA Grapalat" w:cs="GHEA Grapalat"/>
          <w:b w:val="0"/>
          <w:szCs w:val="22"/>
          <w:lang w:val="hy-AM" w:eastAsia="en-US"/>
        </w:rPr>
        <w:t xml:space="preserve">: </w:t>
      </w:r>
      <w:r w:rsidRPr="00005BEA">
        <w:rPr>
          <w:rFonts w:eastAsia="Calibri" w:cs="Sylfaen"/>
          <w:b w:val="0"/>
          <w:szCs w:val="22"/>
          <w:lang w:val="hy-AM" w:eastAsia="en-US"/>
        </w:rPr>
        <w:t>Ներմուծման կրճատմանը նպաստել է նաև միջանկյալ և վերջնական սպառման ապրանքների, ինչպես նաև կապիտալ բնույթի ապրանքների ներմուծման նվազումը։ Հոկտեմբեր ամիսն իր վրա կրել է նաև Արցախյան պատերազմի և կորոնավիրուսի համավարակի երկրորդ ալիքի բռնկման տնտեսական ազդեցությունները՝ վերջին վեց ամիսների ընթացքում գրանցելով ամենախորը տ/տ անկումը:</w:t>
      </w:r>
    </w:p>
    <w:p w:rsidR="00005BEA" w:rsidRPr="00005BEA" w:rsidRDefault="00005BEA" w:rsidP="00005BEA">
      <w:pPr>
        <w:tabs>
          <w:tab w:val="left" w:pos="0"/>
        </w:tabs>
        <w:spacing w:before="0" w:after="120" w:line="276" w:lineRule="auto"/>
        <w:ind w:firstLine="0"/>
        <w:contextualSpacing w:val="0"/>
        <w:rPr>
          <w:rFonts w:eastAsia="Calibri" w:cs="Sylfaen"/>
          <w:b w:val="0"/>
          <w:szCs w:val="22"/>
          <w:lang w:val="hy-AM" w:eastAsia="en-US"/>
        </w:rPr>
      </w:pPr>
      <w:r w:rsidRPr="00005BEA">
        <w:rPr>
          <w:rFonts w:eastAsia="Calibri" w:cs="Sylfaen"/>
          <w:b w:val="0"/>
          <w:szCs w:val="22"/>
          <w:lang w:val="hy-AM" w:eastAsia="en-US"/>
        </w:rPr>
        <w:tab/>
        <w:t>2020թ. առաջին կիսամյակի տվյալներով ծառայությունների ներմուծումը կրճատվել է 40.8%</w:t>
      </w:r>
      <w:r w:rsidRPr="00005BEA">
        <w:rPr>
          <w:rFonts w:eastAsia="Calibri" w:cs="Sylfaen"/>
          <w:b w:val="0"/>
          <w:szCs w:val="22"/>
          <w:lang w:val="hy-AM" w:eastAsia="en-US"/>
        </w:rPr>
        <w:noBreakHyphen/>
        <w:t>ով՝ հիմնականում պայմանավորված ճանապարհորդության և մարդատար տրանսպորտով զբոսաշրջության հետ կապված ծառայությունների 59% անկմամբ։ Ծառայությունների ներմուծման երկրորդ եռամսյակի նվազման տեմպերը երրորդ եռամսյակում խորացել են</w:t>
      </w:r>
      <w:r w:rsidRPr="00005BEA">
        <w:rPr>
          <w:rFonts w:eastAsia="Calibri" w:cs="Sylfaen"/>
          <w:b w:val="0"/>
          <w:szCs w:val="22"/>
          <w:vertAlign w:val="superscript"/>
          <w:lang w:val="hy-AM" w:eastAsia="en-US"/>
        </w:rPr>
        <w:footnoteReference w:id="8"/>
      </w:r>
      <w:r w:rsidRPr="00005BEA">
        <w:rPr>
          <w:rFonts w:eastAsia="Calibri" w:cs="Sylfaen"/>
          <w:b w:val="0"/>
          <w:szCs w:val="22"/>
          <w:lang w:val="hy-AM" w:eastAsia="en-US"/>
        </w:rPr>
        <w:t>։</w:t>
      </w:r>
    </w:p>
    <w:p w:rsidR="00005BEA" w:rsidRPr="00005BEA" w:rsidRDefault="005514DD" w:rsidP="00005BEA">
      <w:pPr>
        <w:tabs>
          <w:tab w:val="left" w:pos="0"/>
        </w:tabs>
        <w:spacing w:before="0" w:after="120" w:line="276" w:lineRule="auto"/>
        <w:ind w:firstLine="539"/>
        <w:contextualSpacing w:val="0"/>
        <w:jc w:val="left"/>
        <w:rPr>
          <w:rFonts w:eastAsia="Calibri" w:cs="Sylfaen"/>
          <w:b w:val="0"/>
          <w:bCs/>
          <w:i/>
          <w:iCs/>
          <w:szCs w:val="22"/>
          <w:lang w:val="hy-AM" w:eastAsia="en-US"/>
        </w:rPr>
      </w:pPr>
      <w:r w:rsidRPr="00005BEA">
        <w:rPr>
          <w:rFonts w:eastAsia="Calibri"/>
          <w:bCs/>
          <w:i/>
          <w:iCs/>
          <w:noProof/>
          <w:szCs w:val="22"/>
          <w:lang w:val="en-US" w:eastAsia="en-US"/>
        </w:rPr>
        <w:drawing>
          <wp:anchor distT="0" distB="0" distL="114300" distR="114300" simplePos="0" relativeHeight="251771392" behindDoc="1" locked="0" layoutInCell="1" allowOverlap="1">
            <wp:simplePos x="0" y="0"/>
            <wp:positionH relativeFrom="margin">
              <wp:posOffset>3356610</wp:posOffset>
            </wp:positionH>
            <wp:positionV relativeFrom="paragraph">
              <wp:posOffset>300355</wp:posOffset>
            </wp:positionV>
            <wp:extent cx="3162300" cy="1943100"/>
            <wp:effectExtent l="0" t="0" r="0" b="0"/>
            <wp:wrapTight wrapText="bothSides">
              <wp:wrapPolygon edited="0">
                <wp:start x="0" y="0"/>
                <wp:lineTo x="0" y="21388"/>
                <wp:lineTo x="21470" y="21388"/>
                <wp:lineTo x="2147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005BEA">
        <w:rPr>
          <w:rFonts w:eastAsia="Calibri" w:cs="Sylfaen"/>
          <w:bCs/>
          <w:i/>
          <w:iCs/>
          <w:noProof/>
          <w:szCs w:val="22"/>
          <w:lang w:val="en-US" w:eastAsia="en-US"/>
        </w:rPr>
        <w:drawing>
          <wp:anchor distT="0" distB="0" distL="114300" distR="114300" simplePos="0" relativeHeight="251767296" behindDoc="1" locked="0" layoutInCell="1" allowOverlap="1">
            <wp:simplePos x="0" y="0"/>
            <wp:positionH relativeFrom="margin">
              <wp:posOffset>-62865</wp:posOffset>
            </wp:positionH>
            <wp:positionV relativeFrom="paragraph">
              <wp:posOffset>328930</wp:posOffset>
            </wp:positionV>
            <wp:extent cx="3238500" cy="1962150"/>
            <wp:effectExtent l="0" t="0" r="0" b="0"/>
            <wp:wrapTight wrapText="bothSides">
              <wp:wrapPolygon edited="0">
                <wp:start x="0" y="0"/>
                <wp:lineTo x="0" y="21390"/>
                <wp:lineTo x="21473" y="21390"/>
                <wp:lineTo x="21473"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005BEA" w:rsidRPr="00005BEA">
        <w:rPr>
          <w:rFonts w:eastAsia="Calibri" w:cs="Sylfaen"/>
          <w:bCs/>
          <w:i/>
          <w:iCs/>
          <w:szCs w:val="22"/>
          <w:lang w:val="hy-AM" w:eastAsia="en-US"/>
        </w:rPr>
        <w:t>Գծապատկեր 1.24</w:t>
      </w:r>
      <w:r w:rsidR="00005BEA" w:rsidRPr="00005BEA">
        <w:rPr>
          <w:rFonts w:ascii="MS Gothic" w:eastAsia="MS Gothic" w:hAnsi="MS Gothic" w:cs="MS Gothic" w:hint="eastAsia"/>
          <w:bCs/>
          <w:i/>
          <w:iCs/>
          <w:szCs w:val="22"/>
          <w:lang w:val="hy-AM" w:eastAsia="en-US"/>
        </w:rPr>
        <w:t>․</w:t>
      </w:r>
      <w:r w:rsidR="00005BEA" w:rsidRPr="00005BEA">
        <w:rPr>
          <w:rFonts w:eastAsia="Calibri" w:cs="Sylfaen"/>
          <w:b w:val="0"/>
          <w:bCs/>
          <w:i/>
          <w:iCs/>
          <w:sz w:val="21"/>
          <w:szCs w:val="21"/>
          <w:lang w:val="hy-AM" w:eastAsia="en-US"/>
        </w:rPr>
        <w:t xml:space="preserve"> </w:t>
      </w:r>
      <w:r w:rsidR="00005BEA" w:rsidRPr="00005BEA">
        <w:rPr>
          <w:rFonts w:eastAsia="Calibri" w:cs="Sylfaen"/>
          <w:b w:val="0"/>
          <w:bCs/>
          <w:i/>
          <w:iCs/>
          <w:sz w:val="20"/>
          <w:szCs w:val="20"/>
          <w:lang w:val="hy-AM" w:eastAsia="en-US"/>
        </w:rPr>
        <w:t>2020թ. ապրանքների ներմուծման միտումները, %</w:t>
      </w:r>
    </w:p>
    <w:p w:rsidR="00005BEA" w:rsidRPr="00005BEA" w:rsidRDefault="00005BEA" w:rsidP="00005BEA">
      <w:pPr>
        <w:tabs>
          <w:tab w:val="left" w:pos="0"/>
        </w:tabs>
        <w:spacing w:before="0" w:line="276" w:lineRule="auto"/>
        <w:ind w:firstLine="0"/>
        <w:contextualSpacing w:val="0"/>
        <w:rPr>
          <w:rFonts w:eastAsia="Calibri" w:cs="Sylfaen"/>
          <w:b w:val="0"/>
          <w:i/>
          <w:sz w:val="18"/>
          <w:szCs w:val="18"/>
          <w:lang w:val="hy-AM" w:eastAsia="en-US"/>
        </w:rPr>
      </w:pPr>
      <w:r w:rsidRPr="00005BEA">
        <w:rPr>
          <w:rFonts w:eastAsia="Calibri" w:cs="Sylfaen"/>
          <w:b w:val="0"/>
          <w:i/>
          <w:sz w:val="18"/>
          <w:szCs w:val="18"/>
          <w:lang w:val="hy-AM" w:eastAsia="en-US"/>
        </w:rPr>
        <w:t xml:space="preserve">Աղբյուրը՝ ՀՀ ՎԿ և ՀՀ ՖՆ հաշվարկներ:  </w:t>
      </w:r>
    </w:p>
    <w:p w:rsidR="00005BEA" w:rsidRPr="00005BEA" w:rsidRDefault="00005BEA" w:rsidP="00005BEA">
      <w:pPr>
        <w:tabs>
          <w:tab w:val="left" w:pos="0"/>
          <w:tab w:val="num" w:pos="720"/>
        </w:tabs>
        <w:spacing w:before="0" w:after="120" w:line="276" w:lineRule="auto"/>
        <w:ind w:firstLine="539"/>
        <w:contextualSpacing w:val="0"/>
        <w:rPr>
          <w:rFonts w:eastAsia="Calibri" w:cs="Sylfaen"/>
          <w:b w:val="0"/>
          <w:szCs w:val="22"/>
          <w:lang w:val="hy-AM" w:eastAsia="en-US"/>
        </w:rPr>
      </w:pPr>
      <w:r w:rsidRPr="00005BEA">
        <w:rPr>
          <w:rFonts w:eastAsia="Calibri" w:cs="Sylfaen"/>
          <w:bCs/>
          <w:szCs w:val="22"/>
          <w:u w:val="single"/>
          <w:lang w:val="hy-AM" w:eastAsia="en-US"/>
        </w:rPr>
        <w:t>Կանխատեսում։</w:t>
      </w:r>
      <w:r w:rsidRPr="00005BEA">
        <w:rPr>
          <w:rFonts w:eastAsia="Calibri" w:cs="Sylfaen"/>
          <w:b w:val="0"/>
          <w:szCs w:val="22"/>
          <w:lang w:val="hy-AM" w:eastAsia="en-US"/>
        </w:rPr>
        <w:t xml:space="preserve"> </w:t>
      </w:r>
      <w:r w:rsidRPr="00005BEA">
        <w:rPr>
          <w:rFonts w:eastAsia="Calibri" w:cs="Sylfaen"/>
          <w:szCs w:val="22"/>
          <w:lang w:val="hy-AM" w:eastAsia="en-US"/>
        </w:rPr>
        <w:t>Համավարակի և պատերազմի պայմաններում տնտեսական զարգացումներով և դրանց հետագա ազդեցություններով պայմանավորված 2020թ. սպասվում է 27.6% ներմուծման կրճատում:</w:t>
      </w:r>
      <w:r w:rsidRPr="00005BEA">
        <w:rPr>
          <w:rFonts w:eastAsia="Calibri" w:cs="Sylfaen"/>
          <w:b w:val="0"/>
          <w:szCs w:val="22"/>
          <w:lang w:val="hy-AM" w:eastAsia="en-US"/>
        </w:rPr>
        <w:t xml:space="preserve"> Ներմուծման նվազմանը կնպաստի նաև ավտոմեքենաների ներմուծման նախորդ տարվա համեմատ կտրուկ նվազումը՝ պայմանավորված օրենսդրական կարգավորումներով: 2021թ. ՀՀ ներքին պահանջարկի որոշակի վերականգման և երկրների միջև սահմանափակումների վերացման պայմաններում ներմուծման աճը կվերականգնվի՝ կազմելով 9.2%:</w:t>
      </w:r>
    </w:p>
    <w:p w:rsidR="00005BEA" w:rsidRPr="00005BEA" w:rsidRDefault="005514DD" w:rsidP="00005BEA">
      <w:pPr>
        <w:tabs>
          <w:tab w:val="left" w:pos="0"/>
        </w:tabs>
        <w:spacing w:before="0" w:line="276" w:lineRule="auto"/>
        <w:ind w:firstLine="0"/>
        <w:rPr>
          <w:rFonts w:eastAsia="Calibri" w:cs="Sylfaen"/>
          <w:b w:val="0"/>
          <w:i/>
          <w:sz w:val="18"/>
          <w:szCs w:val="18"/>
          <w:lang w:val="hy-AM" w:eastAsia="en-US"/>
        </w:rPr>
      </w:pPr>
      <w:r w:rsidRPr="00005BEA">
        <w:rPr>
          <w:rFonts w:eastAsia="Calibri" w:cs="Sylfaen"/>
          <w:b w:val="0"/>
          <w:noProof/>
          <w:szCs w:val="22"/>
          <w:lang w:val="en-US" w:eastAsia="en-US"/>
        </w:rPr>
        <w:drawing>
          <wp:anchor distT="0" distB="0" distL="114300" distR="114300" simplePos="0" relativeHeight="251774464" behindDoc="1" locked="0" layoutInCell="1" allowOverlap="1">
            <wp:simplePos x="0" y="0"/>
            <wp:positionH relativeFrom="column">
              <wp:posOffset>3232785</wp:posOffset>
            </wp:positionH>
            <wp:positionV relativeFrom="paragraph">
              <wp:posOffset>473710</wp:posOffset>
            </wp:positionV>
            <wp:extent cx="3066415" cy="2009775"/>
            <wp:effectExtent l="0" t="0" r="635" b="9525"/>
            <wp:wrapTight wrapText="bothSides">
              <wp:wrapPolygon edited="0">
                <wp:start x="0" y="0"/>
                <wp:lineTo x="0" y="21498"/>
                <wp:lineTo x="21470" y="21498"/>
                <wp:lineTo x="21470"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005BEA">
        <w:rPr>
          <w:rFonts w:eastAsia="Calibri" w:cs="Sylfaen"/>
          <w:b w:val="0"/>
          <w:noProof/>
          <w:szCs w:val="22"/>
          <w:lang w:val="en-US" w:eastAsia="en-US"/>
        </w:rPr>
        <w:drawing>
          <wp:anchor distT="0" distB="0" distL="114300" distR="114300" simplePos="0" relativeHeight="251775488" behindDoc="1" locked="0" layoutInCell="1" allowOverlap="1">
            <wp:simplePos x="0" y="0"/>
            <wp:positionH relativeFrom="margin">
              <wp:align>left</wp:align>
            </wp:positionH>
            <wp:positionV relativeFrom="paragraph">
              <wp:posOffset>469900</wp:posOffset>
            </wp:positionV>
            <wp:extent cx="3171825" cy="2009775"/>
            <wp:effectExtent l="0" t="0" r="9525" b="9525"/>
            <wp:wrapTight wrapText="bothSides">
              <wp:wrapPolygon edited="0">
                <wp:start x="0" y="0"/>
                <wp:lineTo x="0" y="21498"/>
                <wp:lineTo x="21535" y="21498"/>
                <wp:lineTo x="21535"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005BEA" w:rsidRPr="00005BEA">
        <w:rPr>
          <w:rFonts w:eastAsia="Calibri" w:cs="Sylfaen"/>
          <w:i/>
          <w:szCs w:val="22"/>
          <w:lang w:val="hy-AM" w:eastAsia="en-US"/>
        </w:rPr>
        <w:t>Գծապարկեր 1.25</w:t>
      </w:r>
      <w:r w:rsidR="00005BEA" w:rsidRPr="00005BEA">
        <w:rPr>
          <w:rFonts w:ascii="MS Gothic" w:eastAsia="MS Gothic" w:hAnsi="MS Gothic" w:cs="MS Gothic" w:hint="eastAsia"/>
          <w:i/>
          <w:szCs w:val="22"/>
          <w:lang w:val="hy-AM" w:eastAsia="en-US"/>
        </w:rPr>
        <w:t>․</w:t>
      </w:r>
      <w:r w:rsidR="00005BEA" w:rsidRPr="00005BEA">
        <w:rPr>
          <w:rFonts w:eastAsia="Calibri" w:cs="Sylfaen"/>
          <w:b w:val="0"/>
          <w:bCs/>
          <w:sz w:val="21"/>
          <w:szCs w:val="21"/>
          <w:lang w:val="hy-AM" w:eastAsia="en-US"/>
        </w:rPr>
        <w:t xml:space="preserve"> </w:t>
      </w:r>
      <w:r w:rsidR="00005BEA" w:rsidRPr="00005BEA">
        <w:rPr>
          <w:rFonts w:eastAsia="Calibri" w:cs="Sylfaen"/>
          <w:b w:val="0"/>
          <w:bCs/>
          <w:i/>
          <w:sz w:val="20"/>
          <w:szCs w:val="20"/>
          <w:lang w:val="hy-AM" w:eastAsia="en-US"/>
        </w:rPr>
        <w:t>ՀՀ ապրանքների և ծառայությունների արտահանման և ներմուծման միտումները ՀՖՃ տարիներին և 2017-2021թթ., %</w:t>
      </w:r>
      <w:r w:rsidR="00005BEA" w:rsidRPr="00005BEA">
        <w:rPr>
          <w:rFonts w:eastAsia="Calibri" w:cs="Sylfaen"/>
          <w:b w:val="0"/>
          <w:bCs/>
          <w:sz w:val="21"/>
          <w:szCs w:val="21"/>
          <w:lang w:val="hy-AM" w:eastAsia="en-US"/>
        </w:rPr>
        <w:t xml:space="preserve">  </w:t>
      </w:r>
    </w:p>
    <w:p w:rsidR="00005BEA" w:rsidRPr="00005BEA" w:rsidRDefault="00005BEA" w:rsidP="00005BEA">
      <w:pPr>
        <w:tabs>
          <w:tab w:val="left" w:pos="0"/>
          <w:tab w:val="num" w:pos="720"/>
        </w:tabs>
        <w:spacing w:before="0" w:line="276" w:lineRule="auto"/>
        <w:ind w:firstLine="0"/>
        <w:rPr>
          <w:rFonts w:eastAsia="Calibri" w:cs="Sylfaen"/>
          <w:b w:val="0"/>
          <w:i/>
          <w:sz w:val="18"/>
          <w:szCs w:val="18"/>
          <w:lang w:val="hy-AM" w:eastAsia="en-US"/>
        </w:rPr>
      </w:pPr>
      <w:r w:rsidRPr="00005BEA">
        <w:rPr>
          <w:rFonts w:eastAsia="Calibri" w:cs="Sylfaen"/>
          <w:b w:val="0"/>
          <w:i/>
          <w:sz w:val="18"/>
          <w:szCs w:val="18"/>
          <w:lang w:val="hy-AM" w:eastAsia="en-US"/>
        </w:rPr>
        <w:t>Աղբյուր՝ ՀՀ ՎԿ և  ՀՀ ՖՆ հաշվարկներ և կանխաեսումներ:</w:t>
      </w:r>
    </w:p>
    <w:p w:rsidR="00D132CA" w:rsidRPr="00AE0F80" w:rsidRDefault="00D132CA" w:rsidP="00005BEA">
      <w:pPr>
        <w:spacing w:before="0" w:after="120" w:line="240" w:lineRule="auto"/>
        <w:ind w:firstLine="0"/>
        <w:contextualSpacing w:val="0"/>
        <w:jc w:val="left"/>
        <w:rPr>
          <w:rFonts w:eastAsia="Calibri"/>
          <w:bCs/>
          <w:sz w:val="24"/>
          <w:lang w:val="hy-AM" w:eastAsia="en-US"/>
        </w:rPr>
      </w:pPr>
    </w:p>
    <w:p w:rsidR="00005BEA" w:rsidRPr="00005BEA" w:rsidRDefault="00005BEA" w:rsidP="00005BEA">
      <w:pPr>
        <w:spacing w:before="0" w:after="120" w:line="240" w:lineRule="auto"/>
        <w:ind w:firstLine="0"/>
        <w:contextualSpacing w:val="0"/>
        <w:jc w:val="left"/>
        <w:rPr>
          <w:rFonts w:eastAsia="Calibri"/>
          <w:bCs/>
          <w:sz w:val="24"/>
          <w:lang w:val="hy-AM" w:eastAsia="en-US"/>
        </w:rPr>
      </w:pPr>
      <w:r w:rsidRPr="00005BEA">
        <w:rPr>
          <w:rFonts w:eastAsia="Calibri"/>
          <w:bCs/>
          <w:sz w:val="24"/>
          <w:lang w:val="hy-AM" w:eastAsia="en-US"/>
        </w:rPr>
        <w:t>1.3.4. Փոխարժեքներ</w:t>
      </w:r>
    </w:p>
    <w:p w:rsidR="00005BEA" w:rsidRPr="00005BEA" w:rsidRDefault="00005BEA" w:rsidP="00005BEA">
      <w:pPr>
        <w:spacing w:before="0" w:after="120" w:line="276" w:lineRule="auto"/>
        <w:ind w:right="-31" w:firstLine="539"/>
        <w:contextualSpacing w:val="0"/>
        <w:rPr>
          <w:rFonts w:eastAsia="Calibri" w:cs="Sylfaen"/>
          <w:b w:val="0"/>
          <w:szCs w:val="22"/>
          <w:lang w:val="hy-AM" w:eastAsia="en-US"/>
        </w:rPr>
      </w:pPr>
      <w:r w:rsidRPr="00005BEA">
        <w:rPr>
          <w:rFonts w:eastAsia="Calibri" w:cs="Sylfaen"/>
          <w:szCs w:val="22"/>
          <w:lang w:val="hy-AM" w:eastAsia="en-US"/>
        </w:rPr>
        <w:t xml:space="preserve">2019թ. նախորդ տարվա միջինի համեմատ դրամն արժևորվել է բոլոր հիմնական արժույթների նկատմամբ: </w:t>
      </w:r>
      <w:r w:rsidRPr="00005BEA">
        <w:rPr>
          <w:rFonts w:eastAsia="Calibri" w:cs="Sylfaen"/>
          <w:b w:val="0"/>
          <w:szCs w:val="22"/>
          <w:lang w:val="hy-AM" w:eastAsia="en-US"/>
        </w:rPr>
        <w:t>ԱՄՆ դոլարի նկատմամբ ՀՀ դրամը դրսևորել է հարաբերականորեն կայուն վարքագիծ. գրանցվել է ՀՀ դրամի անվանական արժեքի շուրջ 0.5% արժևորում: Եվրոյի և ՌԴ ռուբլու նկատմամբ ՀՀ դրամը նույնպես արժևորվել է, համապատասխանաբար՝ 6.1% և 4.0%</w:t>
      </w:r>
      <w:r w:rsidRPr="00005BEA">
        <w:rPr>
          <w:rFonts w:eastAsia="Calibri" w:cs="Sylfaen"/>
          <w:b w:val="0"/>
          <w:szCs w:val="22"/>
          <w:lang w:val="hy-AM" w:eastAsia="en-US"/>
        </w:rPr>
        <w:noBreakHyphen/>
        <w:t xml:space="preserve">ով: </w:t>
      </w:r>
    </w:p>
    <w:p w:rsidR="00005BEA" w:rsidRPr="00005BEA" w:rsidRDefault="00005BEA" w:rsidP="00005BEA">
      <w:pPr>
        <w:spacing w:before="0" w:after="120" w:line="276" w:lineRule="auto"/>
        <w:ind w:firstLine="539"/>
        <w:contextualSpacing w:val="0"/>
        <w:rPr>
          <w:rFonts w:eastAsia="Calibri" w:cs="Sylfaen"/>
          <w:b w:val="0"/>
          <w:szCs w:val="22"/>
          <w:lang w:val="hy-AM" w:eastAsia="en-US"/>
        </w:rPr>
      </w:pPr>
      <w:r w:rsidRPr="00005BEA">
        <w:rPr>
          <w:rFonts w:eastAsia="Calibri" w:cs="Sylfaen"/>
          <w:bCs/>
          <w:szCs w:val="22"/>
          <w:lang w:val="hy-AM" w:eastAsia="en-US"/>
        </w:rPr>
        <w:t>Չնայած 2020թ. ընթացքում արժեզրկման որոշ ճնշումներին՝ ՀՀ դրամը համավարակի պայմաններում դրսևորել է կայուն վարքագիծ։</w:t>
      </w:r>
      <w:r w:rsidRPr="00005BEA">
        <w:rPr>
          <w:rFonts w:eastAsia="Calibri" w:cs="Sylfaen"/>
          <w:b w:val="0"/>
          <w:szCs w:val="22"/>
          <w:lang w:val="hy-AM" w:eastAsia="en-US"/>
        </w:rPr>
        <w:t xml:space="preserve"> 2020թ. հունվար-հոկտեմբեր ամիսներին ՀՀ դրամի միջին փոխարժեքը  կազմել է մոտ 485.0 ՀՀ դրամ 1 ԱՄՆ դոլարի դիմաց՝ նախորդ տարվա նույն ժամանակահատվածի միջինի նկատմամբ արժեզրկվելով մոտ 0.8%-ով: </w:t>
      </w:r>
      <w:r w:rsidRPr="00005BEA">
        <w:rPr>
          <w:rFonts w:eastAsia="Calibri" w:cs="Sylfaen"/>
          <w:szCs w:val="22"/>
          <w:lang w:val="hy-AM" w:eastAsia="en-US"/>
        </w:rPr>
        <w:t>Համավարակով պայմանավորված ՀՀ փոխարժեքի շուկայում մարտ ամսին նկատվել են արժեզրկման ճնշումներ, որն իր առավելագույն արժեքին հասել է ապրիլի 1-ին</w:t>
      </w:r>
      <w:r w:rsidRPr="00005BEA">
        <w:rPr>
          <w:rFonts w:eastAsia="Calibri" w:cs="Sylfaen"/>
          <w:b w:val="0"/>
          <w:szCs w:val="22"/>
          <w:lang w:val="hy-AM" w:eastAsia="en-US"/>
        </w:rPr>
        <w:t>՝ կազմելով 505 ՀՀ դրամ մեկ ԱՄՆ դոլարի դիմաց: Ստեղծված իրավիճակին ՀՀ ԿԲ-ի համարժեք արձագանքման արդյունքում դրամն աստիճանաբար կայունացել է: 2020թ. հունվար-հոկտեմբեր ամիսներին ՀՀ դրամն եվրոյի նկատմամբ արժեզրկվել է  շուրջ 1.5%-ով, իսկ ռուսական ռուբլու նկատմամբ արժևորվել՝ 8.9%-ով:</w:t>
      </w:r>
    </w:p>
    <w:p w:rsidR="00005BEA" w:rsidRPr="00005BEA" w:rsidRDefault="00005BEA" w:rsidP="00005BEA">
      <w:pPr>
        <w:spacing w:before="0" w:after="120" w:line="276" w:lineRule="auto"/>
        <w:contextualSpacing w:val="0"/>
        <w:rPr>
          <w:rFonts w:eastAsia="Calibri"/>
          <w:b w:val="0"/>
          <w:szCs w:val="22"/>
          <w:lang w:val="hy-AM" w:eastAsia="en-US"/>
        </w:rPr>
      </w:pPr>
      <w:r w:rsidRPr="00005BEA">
        <w:rPr>
          <w:rFonts w:eastAsia="Calibri"/>
          <w:b w:val="0"/>
          <w:szCs w:val="22"/>
          <w:lang w:val="hy-AM" w:eastAsia="en-US"/>
        </w:rPr>
        <w:t>ՀՀ արտաքին առևտրի տեսանկյունից առավել կարևոր արժույթներից բաղկացած զամբյուղի նկատմամբ ՀՀ ազգային արժույթն</w:t>
      </w:r>
      <w:r w:rsidRPr="00005BEA">
        <w:rPr>
          <w:rFonts w:eastAsia="Calibri" w:cs="Sylfaen"/>
          <w:b w:val="0"/>
          <w:szCs w:val="22"/>
          <w:lang w:val="hy-AM" w:eastAsia="en-US"/>
        </w:rPr>
        <w:t xml:space="preserve"> իրական արտահայտությամբ 2019թ. արժևորվել է 3.5%-ով, իսկ անվանական արտահայտությամբ՝ 7.2%-ով: 2020թ. հունվար-սեպտեմբեր ամիսներին ՀՀ դրամի իրական արդյունավետ փոխարժեքի արժևորումը կազմել է 2.0%, իսկ անվանականի արժևորումը՝ 4.7%՝ իր</w:t>
      </w:r>
      <w:r w:rsidRPr="00005BEA">
        <w:rPr>
          <w:rFonts w:eastAsia="Calibri"/>
          <w:b w:val="0"/>
          <w:szCs w:val="22"/>
          <w:lang w:val="hy-AM" w:eastAsia="en-US"/>
        </w:rPr>
        <w:t xml:space="preserve"> բացասական ազդեցությունը թողնելով տեղական ապրանքների արտաքին մրցունակության վրա:</w:t>
      </w:r>
    </w:p>
    <w:tbl>
      <w:tblPr>
        <w:tblStyle w:val="TableGrid9121"/>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1"/>
        <w:gridCol w:w="5090"/>
      </w:tblGrid>
      <w:tr w:rsidR="00005BEA" w:rsidRPr="00130243" w:rsidTr="00005BEA">
        <w:trPr>
          <w:trHeight w:val="309"/>
        </w:trPr>
        <w:tc>
          <w:tcPr>
            <w:tcW w:w="5181" w:type="dxa"/>
          </w:tcPr>
          <w:p w:rsidR="00005BEA" w:rsidRPr="00005BEA" w:rsidRDefault="00005BEA" w:rsidP="00005BEA">
            <w:pPr>
              <w:spacing w:before="0" w:line="240" w:lineRule="auto"/>
              <w:ind w:right="-267" w:firstLine="0"/>
              <w:contextualSpacing w:val="0"/>
              <w:rPr>
                <w:rFonts w:cs="Sylfaen"/>
                <w:b w:val="0"/>
                <w:i/>
                <w:sz w:val="18"/>
                <w:szCs w:val="18"/>
                <w:lang w:val="hy-AM" w:eastAsia="en-US"/>
              </w:rPr>
            </w:pPr>
            <w:r w:rsidRPr="00005BEA">
              <w:rPr>
                <w:rFonts w:cs="Sylfaen"/>
                <w:i/>
                <w:sz w:val="18"/>
                <w:szCs w:val="18"/>
                <w:lang w:val="hy-AM" w:eastAsia="en-US"/>
              </w:rPr>
              <w:t xml:space="preserve">Գծապատկեր 1.26. </w:t>
            </w:r>
            <w:r w:rsidRPr="00005BEA">
              <w:rPr>
                <w:rFonts w:cs="Sylfaen"/>
                <w:b w:val="0"/>
                <w:i/>
                <w:sz w:val="18"/>
                <w:szCs w:val="18"/>
                <w:lang w:val="hy-AM" w:eastAsia="en-US"/>
              </w:rPr>
              <w:t xml:space="preserve">ՀՀ դրամի անվանական </w:t>
            </w:r>
          </w:p>
          <w:p w:rsidR="00005BEA" w:rsidRPr="00005BEA" w:rsidRDefault="00005BEA" w:rsidP="00005BEA">
            <w:pPr>
              <w:spacing w:before="0" w:line="240" w:lineRule="auto"/>
              <w:ind w:right="-267" w:firstLine="0"/>
              <w:contextualSpacing w:val="0"/>
              <w:rPr>
                <w:rFonts w:cs="Sylfaen"/>
                <w:b w:val="0"/>
                <w:i/>
                <w:sz w:val="18"/>
                <w:szCs w:val="18"/>
                <w:lang w:val="hy-AM" w:eastAsia="en-US"/>
              </w:rPr>
            </w:pPr>
            <w:r w:rsidRPr="00005BEA">
              <w:rPr>
                <w:rFonts w:cs="Sylfaen"/>
                <w:b w:val="0"/>
                <w:i/>
                <w:sz w:val="18"/>
                <w:szCs w:val="18"/>
                <w:lang w:val="hy-AM" w:eastAsia="en-US"/>
              </w:rPr>
              <w:t xml:space="preserve">փոխարժեքի օրական դինամիկան </w:t>
            </w:r>
          </w:p>
          <w:p w:rsidR="00005BEA" w:rsidRPr="00005BEA" w:rsidRDefault="008239DE" w:rsidP="00005BEA">
            <w:pPr>
              <w:spacing w:before="0" w:line="240" w:lineRule="auto"/>
              <w:ind w:right="-267" w:firstLine="0"/>
              <w:contextualSpacing w:val="0"/>
              <w:rPr>
                <w:rFonts w:cs="Sylfaen"/>
                <w:b w:val="0"/>
                <w:i/>
                <w:sz w:val="18"/>
                <w:szCs w:val="18"/>
                <w:lang w:val="hy-AM" w:eastAsia="en-US"/>
              </w:rPr>
            </w:pPr>
            <w:r>
              <w:rPr>
                <w:rFonts w:cs="Sylfaen"/>
                <w:b w:val="0"/>
                <w:i/>
                <w:noProof/>
                <w:sz w:val="18"/>
                <w:szCs w:val="18"/>
                <w:lang w:val="en-US" w:eastAsia="en-US"/>
              </w:rPr>
              <mc:AlternateContent>
                <mc:Choice Requires="wps">
                  <w:drawing>
                    <wp:anchor distT="0" distB="0" distL="114300" distR="114300" simplePos="0" relativeHeight="251766272" behindDoc="0" locked="0" layoutInCell="1" allowOverlap="1">
                      <wp:simplePos x="0" y="0"/>
                      <wp:positionH relativeFrom="column">
                        <wp:posOffset>2195195</wp:posOffset>
                      </wp:positionH>
                      <wp:positionV relativeFrom="paragraph">
                        <wp:posOffset>227330</wp:posOffset>
                      </wp:positionV>
                      <wp:extent cx="19050" cy="2019300"/>
                      <wp:effectExtent l="0" t="0" r="19050"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20193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46C082" id="Straight Connector 16" o:spid="_x0000_s1026" style="position:absolute;flip:x;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85pt,17.9pt" to="174.35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" strokecolor="windowText" strokeweight=".5pt">
                      <v:stroke joinstyle="miter"/>
                      <o:lock v:ext="edit" shapetype="f"/>
                    </v:line>
                  </w:pict>
                </mc:Fallback>
              </mc:AlternateContent>
            </w:r>
            <w:r w:rsidR="00005BEA" w:rsidRPr="00005BEA">
              <w:rPr>
                <w:rFonts w:cs="Sylfaen"/>
                <w:b w:val="0"/>
                <w:i/>
                <w:noProof/>
                <w:sz w:val="18"/>
                <w:szCs w:val="18"/>
                <w:lang w:val="en-US" w:eastAsia="en-US"/>
              </w:rPr>
              <w:drawing>
                <wp:anchor distT="0" distB="0" distL="114300" distR="114300" simplePos="0" relativeHeight="251765248" behindDoc="1" locked="0" layoutInCell="1" allowOverlap="1">
                  <wp:simplePos x="0" y="0"/>
                  <wp:positionH relativeFrom="margin">
                    <wp:posOffset>-26670</wp:posOffset>
                  </wp:positionH>
                  <wp:positionV relativeFrom="paragraph">
                    <wp:posOffset>230505</wp:posOffset>
                  </wp:positionV>
                  <wp:extent cx="3133725" cy="2114550"/>
                  <wp:effectExtent l="0" t="0" r="9525" b="9525"/>
                  <wp:wrapTight wrapText="bothSides">
                    <wp:wrapPolygon edited="0">
                      <wp:start x="0" y="0"/>
                      <wp:lineTo x="0" y="21405"/>
                      <wp:lineTo x="21534" y="21405"/>
                      <wp:lineTo x="21534" y="0"/>
                      <wp:lineTo x="0" y="0"/>
                    </wp:wrapPolygon>
                  </wp:wrapTight>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005BEA" w:rsidRPr="00005BEA">
              <w:rPr>
                <w:rFonts w:cs="Sylfaen"/>
                <w:b w:val="0"/>
                <w:i/>
                <w:sz w:val="18"/>
                <w:szCs w:val="18"/>
                <w:lang w:val="hy-AM" w:eastAsia="en-US"/>
              </w:rPr>
              <w:t>հիմնական արժույթների նկատմամբ (աճ՝ արժեզրկում)</w:t>
            </w:r>
          </w:p>
          <w:p w:rsidR="00005BEA" w:rsidRPr="00005BEA" w:rsidRDefault="00005BEA" w:rsidP="00005BEA">
            <w:pPr>
              <w:spacing w:before="0" w:line="276" w:lineRule="auto"/>
              <w:ind w:right="-268" w:firstLine="0"/>
              <w:contextualSpacing w:val="0"/>
              <w:rPr>
                <w:rFonts w:cs="Sylfaen"/>
                <w:b w:val="0"/>
                <w:i/>
                <w:sz w:val="18"/>
                <w:szCs w:val="18"/>
                <w:lang w:val="hy-AM" w:eastAsia="en-US"/>
              </w:rPr>
            </w:pPr>
            <w:r w:rsidRPr="00005BEA">
              <w:rPr>
                <w:rFonts w:cs="Sylfaen"/>
                <w:b w:val="0"/>
                <w:i/>
                <w:sz w:val="18"/>
                <w:szCs w:val="18"/>
                <w:lang w:val="hy-AM" w:eastAsia="en-US"/>
              </w:rPr>
              <w:t>Աղբյուրը՝ ՀՀ ԿԲ, ՀՀ ՖՆ հաշվարկներ</w:t>
            </w:r>
          </w:p>
        </w:tc>
        <w:tc>
          <w:tcPr>
            <w:tcW w:w="5090" w:type="dxa"/>
          </w:tcPr>
          <w:p w:rsidR="00005BEA" w:rsidRPr="00005BEA" w:rsidRDefault="00005BEA" w:rsidP="00005BEA">
            <w:pPr>
              <w:spacing w:before="0" w:line="240" w:lineRule="auto"/>
              <w:ind w:right="217" w:firstLine="0"/>
              <w:contextualSpacing w:val="0"/>
              <w:rPr>
                <w:rFonts w:cs="Sylfaen"/>
                <w:b w:val="0"/>
                <w:i/>
                <w:sz w:val="18"/>
                <w:szCs w:val="18"/>
                <w:lang w:val="hy-AM" w:eastAsia="en-US"/>
              </w:rPr>
            </w:pPr>
            <w:r w:rsidRPr="00005BEA">
              <w:rPr>
                <w:rFonts w:cs="Sylfaen"/>
                <w:b w:val="0"/>
                <w:i/>
                <w:noProof/>
                <w:sz w:val="18"/>
                <w:szCs w:val="18"/>
                <w:lang w:val="en-US" w:eastAsia="en-US"/>
              </w:rPr>
              <w:drawing>
                <wp:anchor distT="0" distB="0" distL="114300" distR="114300" simplePos="0" relativeHeight="251770368" behindDoc="1" locked="0" layoutInCell="1" allowOverlap="1">
                  <wp:simplePos x="0" y="0"/>
                  <wp:positionH relativeFrom="column">
                    <wp:posOffset>-27940</wp:posOffset>
                  </wp:positionH>
                  <wp:positionV relativeFrom="paragraph">
                    <wp:posOffset>546735</wp:posOffset>
                  </wp:positionV>
                  <wp:extent cx="3076575" cy="2114550"/>
                  <wp:effectExtent l="0" t="0" r="9525" b="0"/>
                  <wp:wrapTight wrapText="bothSides">
                    <wp:wrapPolygon edited="0">
                      <wp:start x="0" y="0"/>
                      <wp:lineTo x="0" y="21405"/>
                      <wp:lineTo x="21533" y="21405"/>
                      <wp:lineTo x="21533"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005BEA">
              <w:rPr>
                <w:rFonts w:cs="Sylfaen"/>
                <w:i/>
                <w:sz w:val="18"/>
                <w:szCs w:val="18"/>
                <w:lang w:val="hy-AM" w:eastAsia="en-US"/>
              </w:rPr>
              <w:t>Գծապատկեր 1.27.</w:t>
            </w:r>
            <w:r w:rsidRPr="00005BEA">
              <w:rPr>
                <w:rFonts w:cs="Sylfaen"/>
                <w:b w:val="0"/>
                <w:i/>
                <w:sz w:val="18"/>
                <w:szCs w:val="18"/>
                <w:lang w:val="hy-AM" w:eastAsia="en-US"/>
              </w:rPr>
              <w:t xml:space="preserve"> ՀՀ իրական և անվանական արդյունավետ փոխարժեքների կուտակային տ/տ աճերի դինամիկան (աճ՝ արժևորում)</w:t>
            </w:r>
          </w:p>
          <w:p w:rsidR="00005BEA" w:rsidRPr="00005BEA" w:rsidRDefault="00005BEA" w:rsidP="00005BEA">
            <w:pPr>
              <w:spacing w:before="0" w:line="276" w:lineRule="auto"/>
              <w:ind w:right="-268" w:firstLine="0"/>
              <w:contextualSpacing w:val="0"/>
              <w:rPr>
                <w:rFonts w:cs="Sylfaen"/>
                <w:b w:val="0"/>
                <w:sz w:val="16"/>
                <w:szCs w:val="16"/>
                <w:lang w:val="hy-AM" w:eastAsia="en-US"/>
              </w:rPr>
            </w:pPr>
            <w:r w:rsidRPr="00005BEA">
              <w:rPr>
                <w:rFonts w:cs="Sylfaen"/>
                <w:b w:val="0"/>
                <w:i/>
                <w:sz w:val="18"/>
                <w:szCs w:val="18"/>
                <w:lang w:val="hy-AM" w:eastAsia="en-US"/>
              </w:rPr>
              <w:t>Աղբյուրը՝ ՀՀ ԿԲ, ՀՀ ՖՆ հաշվարկներ</w:t>
            </w:r>
          </w:p>
        </w:tc>
      </w:tr>
      <w:tr w:rsidR="00005BEA" w:rsidRPr="00130243" w:rsidTr="00005BEA">
        <w:trPr>
          <w:trHeight w:val="309"/>
        </w:trPr>
        <w:tc>
          <w:tcPr>
            <w:tcW w:w="5181" w:type="dxa"/>
          </w:tcPr>
          <w:p w:rsidR="00005BEA" w:rsidRPr="00005BEA" w:rsidRDefault="00005BEA" w:rsidP="005514DD">
            <w:pPr>
              <w:spacing w:before="0" w:line="240" w:lineRule="auto"/>
              <w:ind w:firstLine="0"/>
              <w:contextualSpacing w:val="0"/>
              <w:jc w:val="left"/>
              <w:rPr>
                <w:rFonts w:cs="Sylfaen"/>
                <w:b w:val="0"/>
                <w:sz w:val="18"/>
                <w:szCs w:val="18"/>
                <w:lang w:val="hy-AM" w:eastAsia="en-US"/>
              </w:rPr>
            </w:pPr>
          </w:p>
        </w:tc>
        <w:tc>
          <w:tcPr>
            <w:tcW w:w="5090" w:type="dxa"/>
          </w:tcPr>
          <w:p w:rsidR="00005BEA" w:rsidRPr="00005BEA" w:rsidRDefault="00005BEA" w:rsidP="00005BEA">
            <w:pPr>
              <w:spacing w:before="0" w:line="240" w:lineRule="auto"/>
              <w:ind w:right="217" w:firstLine="0"/>
              <w:contextualSpacing w:val="0"/>
              <w:rPr>
                <w:rFonts w:cs="Sylfaen"/>
                <w:b w:val="0"/>
                <w:i/>
                <w:noProof/>
                <w:sz w:val="18"/>
                <w:szCs w:val="18"/>
                <w:lang w:val="hy-AM" w:eastAsia="en-US"/>
              </w:rPr>
            </w:pPr>
          </w:p>
        </w:tc>
      </w:tr>
    </w:tbl>
    <w:p w:rsidR="00005BEA" w:rsidRPr="00005BEA" w:rsidRDefault="00005BEA" w:rsidP="00005BEA">
      <w:pPr>
        <w:spacing w:before="0" w:after="120" w:line="240" w:lineRule="auto"/>
        <w:ind w:firstLine="0"/>
        <w:contextualSpacing w:val="0"/>
        <w:jc w:val="left"/>
        <w:rPr>
          <w:rFonts w:eastAsia="Calibri"/>
          <w:bCs/>
          <w:sz w:val="24"/>
          <w:lang w:val="hy-AM" w:eastAsia="en-US"/>
        </w:rPr>
      </w:pPr>
      <w:r w:rsidRPr="00005BEA">
        <w:rPr>
          <w:rFonts w:eastAsia="Calibri"/>
          <w:bCs/>
          <w:sz w:val="24"/>
          <w:lang w:val="hy-AM" w:eastAsia="en-US"/>
        </w:rPr>
        <w:t xml:space="preserve">1.3.5. Գնաճ և դրամավարկային քաղաքականություն </w:t>
      </w:r>
    </w:p>
    <w:p w:rsidR="00005BEA" w:rsidRPr="00005BEA" w:rsidRDefault="00005BEA" w:rsidP="00005BEA">
      <w:pPr>
        <w:spacing w:before="0" w:after="120" w:line="276" w:lineRule="auto"/>
        <w:ind w:firstLine="720"/>
        <w:contextualSpacing w:val="0"/>
        <w:rPr>
          <w:rFonts w:cs="Sylfaen"/>
          <w:b w:val="0"/>
          <w:szCs w:val="22"/>
          <w:lang w:val="hy-AM" w:eastAsia="en-US"/>
        </w:rPr>
      </w:pPr>
      <w:r w:rsidRPr="00005BEA">
        <w:rPr>
          <w:rFonts w:cs="Sylfaen"/>
          <w:szCs w:val="22"/>
          <w:lang w:val="hy-AM" w:eastAsia="en-US"/>
        </w:rPr>
        <w:t>2019թ</w:t>
      </w:r>
      <w:r w:rsidRPr="00005BEA">
        <w:rPr>
          <w:rFonts w:eastAsia="MS Mincho" w:cs="Cambria Math"/>
          <w:szCs w:val="22"/>
          <w:lang w:val="hy-AM" w:eastAsia="en-US"/>
        </w:rPr>
        <w:t>.</w:t>
      </w:r>
      <w:r w:rsidRPr="00005BEA">
        <w:rPr>
          <w:rFonts w:cs="Sylfaen"/>
          <w:szCs w:val="22"/>
          <w:lang w:val="hy-AM" w:eastAsia="en-US"/>
        </w:rPr>
        <w:t xml:space="preserve"> ընթացքում տնտեսությունը գտնվել է չափավոր գնաճային միջավայրում։  </w:t>
      </w:r>
      <w:r w:rsidRPr="00005BEA">
        <w:rPr>
          <w:rFonts w:cs="Sylfaen"/>
          <w:b w:val="0"/>
          <w:szCs w:val="22"/>
          <w:lang w:val="hy-AM" w:eastAsia="en-US"/>
        </w:rPr>
        <w:t>2019թ. գնաճային միջավայրը թուլացել է՝ տարվա առաջին կեսին 12-ամսյա գնաճի փոքր ինչ արագացման, իսկ երկրորդ կեսին՝ էական դանդաղման արդյունքում։ 12-ամսյա գնաճը դեկտեմբերին կազմել է 0.7%, իսկ միջին գնաճը՝ 1.4%։ Գնաճի դանդաղմանը նպաստել են ապրանքային շուկաներում մրցակցության ավելացումը և սպառողական պահանջարկի կառուցվածքի փոփոխությունն ի հաշիվ երկարաժամկետ սպառման ապրանքների։</w:t>
      </w:r>
    </w:p>
    <w:p w:rsidR="00005BEA" w:rsidRPr="00005BEA" w:rsidRDefault="00005BEA" w:rsidP="00005BEA">
      <w:pPr>
        <w:spacing w:before="0" w:after="120" w:line="276" w:lineRule="auto"/>
        <w:ind w:firstLine="720"/>
        <w:contextualSpacing w:val="0"/>
        <w:rPr>
          <w:rFonts w:cs="Sylfaen"/>
          <w:b w:val="0"/>
          <w:szCs w:val="22"/>
          <w:lang w:val="hy-AM" w:eastAsia="en-US"/>
        </w:rPr>
      </w:pPr>
      <w:r w:rsidRPr="00005BEA">
        <w:rPr>
          <w:rFonts w:cs="Sylfaen"/>
          <w:b w:val="0"/>
          <w:szCs w:val="22"/>
          <w:lang w:val="hy-AM" w:eastAsia="en-US"/>
        </w:rPr>
        <w:t xml:space="preserve"> </w:t>
      </w:r>
      <w:r w:rsidRPr="00005BEA">
        <w:rPr>
          <w:rFonts w:cs="Sylfaen"/>
          <w:bCs/>
          <w:szCs w:val="22"/>
          <w:lang w:val="hy-AM" w:eastAsia="en-US"/>
        </w:rPr>
        <w:t>2020թ. հունվար-հոկտեմբեր ամիսներին գնաճը նախորդ տարվա նույն ժամանակահատվածի համեմատ դանդաղել է՝ կազմելով 0.9%, 1.6%-ի համեմատ։</w:t>
      </w:r>
      <w:r w:rsidRPr="00005BEA">
        <w:rPr>
          <w:rFonts w:cs="Sylfaen"/>
          <w:b w:val="0"/>
          <w:szCs w:val="22"/>
          <w:lang w:val="hy-AM" w:eastAsia="en-US"/>
        </w:rPr>
        <w:t xml:space="preserve"> Դանդաղումը պայմանավորված է համավարակի բռնկման և տնտեսական գործունեության սահմանափակումների պայմաններում մի կողմից արտաքին հատվածից եկող գնանկումային ազդեցություններով, և մյուս կողմից՝ ներքին մասնավոր պահանջարկի թուլացմամբ։ </w:t>
      </w:r>
    </w:p>
    <w:p w:rsidR="00005BEA" w:rsidRPr="00005BEA" w:rsidRDefault="00005BEA" w:rsidP="00005BEA">
      <w:pPr>
        <w:spacing w:before="0" w:after="120" w:line="276" w:lineRule="auto"/>
        <w:ind w:firstLine="720"/>
        <w:contextualSpacing w:val="0"/>
        <w:rPr>
          <w:rFonts w:eastAsia="Calibri"/>
          <w:b w:val="0"/>
          <w:szCs w:val="22"/>
          <w:lang w:val="hy-AM" w:eastAsia="en-US"/>
        </w:rPr>
      </w:pPr>
      <w:r w:rsidRPr="00005BEA">
        <w:rPr>
          <w:rFonts w:eastAsia="Calibri"/>
          <w:szCs w:val="22"/>
          <w:lang w:val="hy-AM" w:eastAsia="en-US"/>
        </w:rPr>
        <w:t>2019թ</w:t>
      </w:r>
      <w:r w:rsidRPr="00005BEA">
        <w:rPr>
          <w:rFonts w:eastAsia="Calibri" w:cs="Cambria Math"/>
          <w:szCs w:val="22"/>
          <w:lang w:val="hy-AM" w:eastAsia="en-US"/>
        </w:rPr>
        <w:t>.</w:t>
      </w:r>
      <w:r w:rsidRPr="00005BEA">
        <w:rPr>
          <w:rFonts w:eastAsia="Calibri"/>
          <w:szCs w:val="22"/>
          <w:lang w:val="hy-AM" w:eastAsia="en-US"/>
        </w:rPr>
        <w:t xml:space="preserve"> ՀՀ կենտրոնական բանկի դրամավարկային քաղաքականությունն ունեցել է խթանող ուղղվածություն։ </w:t>
      </w:r>
      <w:r w:rsidRPr="00005BEA">
        <w:rPr>
          <w:rFonts w:eastAsia="Calibri"/>
          <w:b w:val="0"/>
          <w:szCs w:val="22"/>
          <w:lang w:val="hy-AM" w:eastAsia="en-US"/>
        </w:rPr>
        <w:t xml:space="preserve">ԿԲ-ն նվազեցրել է վերաֆինանսավորման (ռեպո) տոկոսադրույքը 0.5 տոկոսային կետով, ինչպես նաև ֆինանսական շուկայում հանդես է եկել որպես իրացվելիության զուտ տրամադրող։ Ֆինանսական շուկայի կարճաժամկետ տոկոսադրույքների՝ վերաֆինանսավորման տոկոսադրույքի շուրջ ձևավորումն ապահովելու համար հիմնականում ամբողջությամբ բավարարվել է իրացվելիության նկատմամբ բանկային համակարգի պահանջարկը։ </w:t>
      </w:r>
    </w:p>
    <w:p w:rsidR="00005BEA" w:rsidRPr="00005BEA" w:rsidRDefault="00005BEA" w:rsidP="00005BEA">
      <w:pPr>
        <w:spacing w:before="40" w:after="120" w:line="276" w:lineRule="auto"/>
        <w:contextualSpacing w:val="0"/>
        <w:rPr>
          <w:b w:val="0"/>
          <w:szCs w:val="22"/>
          <w:lang w:val="hy-AM" w:eastAsia="en-US"/>
        </w:rPr>
      </w:pPr>
      <w:r w:rsidRPr="00005BEA">
        <w:rPr>
          <w:rFonts w:eastAsia="Calibri"/>
          <w:bCs/>
          <w:szCs w:val="22"/>
          <w:lang w:val="hy-AM" w:eastAsia="en-US"/>
        </w:rPr>
        <w:t>Համավարակի հետևանքով պահանջարկի նվազմանը հակազդելու նպատակով ՀՀ ԿԲ-ն թուլացրել է դրամավարկային պայմանները։</w:t>
      </w:r>
      <w:r w:rsidRPr="00005BEA">
        <w:rPr>
          <w:rFonts w:eastAsia="Calibri"/>
          <w:b w:val="0"/>
          <w:szCs w:val="22"/>
          <w:lang w:val="hy-AM" w:eastAsia="en-US"/>
        </w:rPr>
        <w:t xml:space="preserve"> 2020թ</w:t>
      </w:r>
      <w:r w:rsidRPr="00005BEA">
        <w:rPr>
          <w:rFonts w:eastAsia="Calibri" w:cs="Cambria Math"/>
          <w:b w:val="0"/>
          <w:szCs w:val="22"/>
          <w:lang w:val="hy-AM" w:eastAsia="en-US"/>
        </w:rPr>
        <w:t>.</w:t>
      </w:r>
      <w:r w:rsidRPr="00005BEA">
        <w:rPr>
          <w:rFonts w:eastAsia="Calibri"/>
          <w:b w:val="0"/>
          <w:szCs w:val="22"/>
          <w:lang w:val="hy-AM" w:eastAsia="en-US"/>
        </w:rPr>
        <w:t xml:space="preserve"> </w:t>
      </w:r>
      <w:r w:rsidRPr="00005BEA">
        <w:rPr>
          <w:rFonts w:eastAsia="Calibri" w:cs="GHEA Grapalat"/>
          <w:b w:val="0"/>
          <w:szCs w:val="22"/>
          <w:lang w:val="hy-AM" w:eastAsia="en-US"/>
        </w:rPr>
        <w:t>հունվար</w:t>
      </w:r>
      <w:r w:rsidRPr="00005BEA">
        <w:rPr>
          <w:rFonts w:eastAsia="Calibri"/>
          <w:b w:val="0"/>
          <w:szCs w:val="22"/>
          <w:lang w:val="hy-AM" w:eastAsia="en-US"/>
        </w:rPr>
        <w:t>–հոկտեմբեր ամիսներին ՀՀ ԿԲ-ն վերաֆինանսավորման տոկոսադրույքը նվազեցրել է ընդհանուր առմամբ 1</w:t>
      </w:r>
      <w:r w:rsidRPr="00005BEA">
        <w:rPr>
          <w:rFonts w:ascii="Cambria Math" w:eastAsia="Calibri" w:hAnsi="Cambria Math" w:cs="Cambria Math"/>
          <w:b w:val="0"/>
          <w:szCs w:val="22"/>
          <w:lang w:val="hy-AM" w:eastAsia="en-US"/>
        </w:rPr>
        <w:t>․</w:t>
      </w:r>
      <w:r w:rsidRPr="00005BEA">
        <w:rPr>
          <w:rFonts w:eastAsia="Calibri"/>
          <w:b w:val="0"/>
          <w:szCs w:val="22"/>
          <w:lang w:val="hy-AM" w:eastAsia="en-US"/>
        </w:rPr>
        <w:t xml:space="preserve">25 տոկոսային կետով` ցածր գնաճային միջավայրում ավելացնելով դրամավարկային խթանման չափը։ Փողի շուկայի տոկոսադրույքների ձևավորումը վերաֆինանսավորման տոկոսադրույքի շուրջ ապահովելու համար ԿԲ-ն շարունակել է բավարարել իրացվելիության նկատմամբ բանկային համակարգի պահանջարկը՝ ռեպո գործարքների միջոցով ավելացնելով զուտ իրացվելիության ներարկման չափը։ </w:t>
      </w:r>
      <w:r w:rsidRPr="00005BEA">
        <w:rPr>
          <w:b w:val="0"/>
          <w:szCs w:val="22"/>
          <w:lang w:val="hy-AM" w:eastAsia="en-US"/>
        </w:rPr>
        <w:t xml:space="preserve"> Բացի դրանից, COVID-19-ի տարածմամբ պայմանավորված անորոշությունների բացասական հետևանքները մեղմելու նպատակով ԿԲ-ն հիմնական կապիտալի համարժեքության նորմատիվը 10%-ից իջեցնել 9%-ի, ինչպես նաև իրականացրել մակրոպրուդենցիալ քաղաքականության այլ միջոցառումներ</w:t>
      </w:r>
      <w:r w:rsidRPr="00005BEA">
        <w:rPr>
          <w:rFonts w:ascii="Arial Armenian" w:hAnsi="Arial Armenian"/>
          <w:b w:val="0"/>
          <w:sz w:val="20"/>
          <w:szCs w:val="20"/>
          <w:vertAlign w:val="superscript"/>
          <w:lang w:val="hy-AM" w:eastAsia="en-US"/>
        </w:rPr>
        <w:footnoteReference w:id="9"/>
      </w:r>
      <w:r w:rsidRPr="00005BEA">
        <w:rPr>
          <w:b w:val="0"/>
          <w:szCs w:val="22"/>
          <w:lang w:val="hy-AM" w:eastAsia="en-US"/>
        </w:rPr>
        <w:t xml:space="preserve">։ </w:t>
      </w:r>
    </w:p>
    <w:p w:rsidR="00005BEA" w:rsidRPr="00005BEA" w:rsidRDefault="00005BEA" w:rsidP="00005BEA">
      <w:pPr>
        <w:spacing w:before="0" w:after="120" w:line="276" w:lineRule="auto"/>
        <w:contextualSpacing w:val="0"/>
        <w:rPr>
          <w:rFonts w:eastAsia="Calibri" w:cs="Sylfaen"/>
          <w:b w:val="0"/>
          <w:szCs w:val="22"/>
          <w:lang w:val="es-ES" w:eastAsia="en-US"/>
        </w:rPr>
      </w:pPr>
      <w:r w:rsidRPr="00005BEA">
        <w:rPr>
          <w:rFonts w:eastAsia="Calibri" w:cs="Sylfaen"/>
          <w:szCs w:val="22"/>
          <w:u w:val="single"/>
          <w:lang w:val="hy-AM" w:eastAsia="en-US"/>
        </w:rPr>
        <w:t>Կանխատեսում</w:t>
      </w:r>
      <w:r w:rsidRPr="00005BEA">
        <w:rPr>
          <w:rFonts w:eastAsia="Calibri" w:cs="Sylfaen"/>
          <w:szCs w:val="22"/>
          <w:u w:val="single"/>
          <w:lang w:val="es-ES" w:eastAsia="en-US"/>
        </w:rPr>
        <w:t>.</w:t>
      </w:r>
      <w:r w:rsidRPr="00005BEA">
        <w:rPr>
          <w:rFonts w:eastAsia="Calibri" w:cs="Sylfaen"/>
          <w:b w:val="0"/>
          <w:szCs w:val="22"/>
          <w:lang w:val="es-ES" w:eastAsia="en-US"/>
        </w:rPr>
        <w:t xml:space="preserve"> </w:t>
      </w:r>
      <w:r w:rsidRPr="00005BEA">
        <w:rPr>
          <w:rFonts w:eastAsia="Calibri" w:cs="Sylfaen"/>
          <w:b w:val="0"/>
          <w:szCs w:val="22"/>
          <w:lang w:val="hy-AM" w:eastAsia="en-US"/>
        </w:rPr>
        <w:t>ԿԲ-ն միջնաժամկետ հատվածում կշարունակի պահպանել դրամավարկային քաղաքականության խթանող դիրքը։ Հաշվի առնելով 2020թ</w:t>
      </w:r>
      <w:r w:rsidRPr="00005BEA">
        <w:rPr>
          <w:rFonts w:ascii="Cambria Math" w:eastAsia="Calibri" w:hAnsi="Cambria Math" w:cs="Cambria Math"/>
          <w:b w:val="0"/>
          <w:szCs w:val="22"/>
          <w:lang w:val="hy-AM" w:eastAsia="en-US"/>
        </w:rPr>
        <w:t>․</w:t>
      </w:r>
      <w:r w:rsidRPr="00005BEA">
        <w:rPr>
          <w:rFonts w:eastAsia="Calibri" w:cs="Sylfaen"/>
          <w:b w:val="0"/>
          <w:szCs w:val="22"/>
          <w:lang w:val="hy-AM" w:eastAsia="en-US"/>
        </w:rPr>
        <w:t>-ի չորրորդ եռամսյակում համավարակի տարածման տեմպերի արագացման</w:t>
      </w:r>
      <w:r w:rsidRPr="00005BEA">
        <w:rPr>
          <w:rFonts w:ascii="Cambria Math" w:eastAsia="Calibri" w:hAnsi="Cambria Math" w:cs="Sylfaen"/>
          <w:b w:val="0"/>
          <w:szCs w:val="22"/>
          <w:lang w:val="hy-AM" w:eastAsia="en-US"/>
        </w:rPr>
        <w:t>,</w:t>
      </w:r>
      <w:r w:rsidRPr="00005BEA">
        <w:rPr>
          <w:rFonts w:eastAsia="Calibri" w:cs="Sylfaen"/>
          <w:b w:val="0"/>
          <w:szCs w:val="22"/>
          <w:lang w:val="hy-AM" w:eastAsia="en-US"/>
        </w:rPr>
        <w:t xml:space="preserve"> 2020թ</w:t>
      </w:r>
      <w:r w:rsidRPr="00005BEA">
        <w:rPr>
          <w:rFonts w:ascii="Cambria Math" w:eastAsia="Calibri" w:hAnsi="Cambria Math" w:cs="Cambria Math"/>
          <w:b w:val="0"/>
          <w:szCs w:val="22"/>
          <w:lang w:val="hy-AM" w:eastAsia="en-US"/>
        </w:rPr>
        <w:t>․</w:t>
      </w:r>
      <w:r w:rsidRPr="00005BEA">
        <w:rPr>
          <w:rFonts w:eastAsia="Calibri" w:cs="Sylfaen"/>
          <w:b w:val="0"/>
          <w:szCs w:val="22"/>
          <w:lang w:val="hy-AM" w:eastAsia="en-US"/>
        </w:rPr>
        <w:t>-ի սեպտեմբերի վերջից Արցախյան պատերազմական գործողությունների, ինչպես նաև դրանց հետևանքով խորացած անորոշությունների հնարավոր բացասական ազդեցությունը ամբողջական պահանջարկի վրա, գնահատվում է, որ 2020 և 2021թթ կպահպանվի ցածր գնաճային միջավայրը և գնաճը մոտ կլինի նպատակային թիրախի ստորին շեմին</w:t>
      </w:r>
      <w:r w:rsidRPr="00005BEA">
        <w:rPr>
          <w:rFonts w:eastAsia="Calibri" w:cs="Sylfaen"/>
          <w:b w:val="0"/>
          <w:szCs w:val="22"/>
          <w:lang w:val="es-ES" w:eastAsia="en-US"/>
        </w:rPr>
        <w:t>:</w:t>
      </w:r>
    </w:p>
    <w:p w:rsidR="00005BEA" w:rsidRPr="00005BEA" w:rsidRDefault="00005BEA" w:rsidP="00005BEA">
      <w:pPr>
        <w:keepNext/>
        <w:keepLines/>
        <w:spacing w:before="0" w:after="120" w:line="276" w:lineRule="auto"/>
        <w:ind w:firstLine="0"/>
        <w:contextualSpacing w:val="0"/>
        <w:rPr>
          <w:rFonts w:cs="Sylfaen"/>
          <w:b w:val="0"/>
          <w:i/>
          <w:sz w:val="20"/>
          <w:szCs w:val="20"/>
          <w:lang w:val="hy-AM" w:eastAsia="en-US"/>
        </w:rPr>
      </w:pPr>
      <w:r w:rsidRPr="00005BEA">
        <w:rPr>
          <w:rFonts w:cs="Sylfaen"/>
          <w:i/>
          <w:szCs w:val="22"/>
          <w:lang w:val="hy-AM" w:eastAsia="en-US"/>
        </w:rPr>
        <w:t>Գծապատկեր 1.2</w:t>
      </w:r>
      <w:r w:rsidRPr="00005BEA">
        <w:rPr>
          <w:rFonts w:cs="Sylfaen"/>
          <w:i/>
          <w:szCs w:val="22"/>
          <w:lang w:val="es-ES" w:eastAsia="en-US"/>
        </w:rPr>
        <w:t>8</w:t>
      </w:r>
      <w:r w:rsidRPr="00005BEA">
        <w:rPr>
          <w:rFonts w:cs="Sylfaen"/>
          <w:i/>
          <w:szCs w:val="22"/>
          <w:lang w:val="hy-AM" w:eastAsia="en-US"/>
        </w:rPr>
        <w:t>.</w:t>
      </w:r>
      <w:r w:rsidRPr="00005BEA">
        <w:rPr>
          <w:rFonts w:cs="Sylfaen"/>
          <w:i/>
          <w:sz w:val="21"/>
          <w:szCs w:val="21"/>
          <w:lang w:val="hy-AM" w:eastAsia="en-US"/>
        </w:rPr>
        <w:t xml:space="preserve"> </w:t>
      </w:r>
      <w:r w:rsidRPr="00005BEA">
        <w:rPr>
          <w:rFonts w:cs="Sylfaen"/>
          <w:b w:val="0"/>
          <w:i/>
          <w:sz w:val="20"/>
          <w:szCs w:val="20"/>
          <w:lang w:val="hy-AM" w:eastAsia="en-US"/>
        </w:rPr>
        <w:t>Սպառողական գների աճը, դրամավարկային քաղաքականության հիմնական ցուցանիշները 2017-2020թթ</w:t>
      </w:r>
      <w:r w:rsidRPr="00005BEA">
        <w:rPr>
          <w:rFonts w:cs="Sylfaen"/>
          <w:b w:val="0"/>
          <w:i/>
          <w:sz w:val="20"/>
          <w:szCs w:val="20"/>
          <w:lang w:val="es-ES" w:eastAsia="en-US"/>
        </w:rPr>
        <w:t>.</w:t>
      </w:r>
      <w:r w:rsidRPr="00005BEA">
        <w:rPr>
          <w:rFonts w:cs="Sylfaen"/>
          <w:b w:val="0"/>
          <w:i/>
          <w:sz w:val="20"/>
          <w:szCs w:val="20"/>
          <w:lang w:val="hy-AM" w:eastAsia="en-US"/>
        </w:rPr>
        <w:t xml:space="preserve"> սեպտեմբեր/հոկտեմբերին և գնաճի կանխատեսումները </w:t>
      </w:r>
      <w:r w:rsidRPr="00005BEA">
        <w:rPr>
          <w:rFonts w:cs="Sylfaen"/>
          <w:b w:val="0"/>
          <w:i/>
          <w:sz w:val="20"/>
          <w:szCs w:val="20"/>
          <w:lang w:val="es-ES" w:eastAsia="en-US"/>
        </w:rPr>
        <w:t>2020-2021</w:t>
      </w:r>
      <w:r w:rsidRPr="00005BEA">
        <w:rPr>
          <w:rFonts w:cs="Sylfaen"/>
          <w:b w:val="0"/>
          <w:i/>
          <w:sz w:val="20"/>
          <w:szCs w:val="20"/>
          <w:lang w:val="hy-AM" w:eastAsia="en-US"/>
        </w:rPr>
        <w:t>թթ.</w:t>
      </w:r>
    </w:p>
    <w:p w:rsidR="00005BEA" w:rsidRPr="00005BEA" w:rsidRDefault="00005BEA" w:rsidP="00005BEA">
      <w:pPr>
        <w:spacing w:before="0" w:line="240" w:lineRule="auto"/>
        <w:ind w:firstLine="0"/>
        <w:contextualSpacing w:val="0"/>
        <w:jc w:val="left"/>
        <w:rPr>
          <w:rFonts w:cs="Sylfaen"/>
          <w:noProof/>
          <w:sz w:val="24"/>
          <w:lang w:val="hy-AM" w:eastAsia="en-US"/>
        </w:rPr>
      </w:pPr>
      <w:r w:rsidRPr="00005BEA">
        <w:rPr>
          <w:rFonts w:cs="Sylfaen"/>
          <w:noProof/>
          <w:sz w:val="24"/>
          <w:lang w:val="en-US" w:eastAsia="en-US"/>
        </w:rPr>
        <w:drawing>
          <wp:inline distT="0" distB="0" distL="0" distR="0">
            <wp:extent cx="3024000" cy="1980000"/>
            <wp:effectExtent l="0" t="0" r="5080" b="127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005BEA">
        <w:rPr>
          <w:rFonts w:cs="Sylfaen"/>
          <w:noProof/>
          <w:sz w:val="24"/>
          <w:lang w:val="hy-AM" w:eastAsia="en-US"/>
        </w:rPr>
        <w:t xml:space="preserve"> </w:t>
      </w:r>
      <w:r w:rsidRPr="00005BEA">
        <w:rPr>
          <w:rFonts w:cs="Sylfaen"/>
          <w:noProof/>
          <w:sz w:val="24"/>
          <w:lang w:val="en-US" w:eastAsia="en-US"/>
        </w:rPr>
        <w:drawing>
          <wp:inline distT="0" distB="0" distL="0" distR="0">
            <wp:extent cx="3024000" cy="1980000"/>
            <wp:effectExtent l="0" t="0" r="5080" b="127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005BEA">
        <w:rPr>
          <w:rFonts w:cs="Sylfaen"/>
          <w:noProof/>
          <w:sz w:val="24"/>
          <w:lang w:val="en-US" w:eastAsia="en-US"/>
        </w:rPr>
        <w:drawing>
          <wp:inline distT="0" distB="0" distL="0" distR="0">
            <wp:extent cx="6102000" cy="485775"/>
            <wp:effectExtent l="0" t="0" r="1333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05BEA" w:rsidRPr="00005BEA" w:rsidRDefault="00005BEA" w:rsidP="00005BEA">
      <w:pPr>
        <w:spacing w:before="0" w:line="240" w:lineRule="auto"/>
        <w:ind w:firstLine="0"/>
        <w:contextualSpacing w:val="0"/>
        <w:jc w:val="left"/>
        <w:rPr>
          <w:rFonts w:eastAsia="Calibri" w:cs="Sylfaen"/>
          <w:b w:val="0"/>
          <w:i/>
          <w:sz w:val="24"/>
          <w:lang w:val="en-US" w:eastAsia="en-US"/>
        </w:rPr>
      </w:pPr>
      <w:r w:rsidRPr="00005BEA">
        <w:rPr>
          <w:rFonts w:cs="Sylfaen"/>
          <w:noProof/>
          <w:sz w:val="24"/>
          <w:lang w:val="en-US" w:eastAsia="en-US"/>
        </w:rPr>
        <w:drawing>
          <wp:inline distT="0" distB="0" distL="0" distR="0">
            <wp:extent cx="6102000" cy="2160000"/>
            <wp:effectExtent l="0" t="0" r="13335"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05BEA" w:rsidRPr="00005BEA" w:rsidRDefault="00005BEA" w:rsidP="00005BEA">
      <w:pPr>
        <w:spacing w:before="0" w:line="240" w:lineRule="auto"/>
        <w:ind w:firstLine="0"/>
        <w:contextualSpacing w:val="0"/>
        <w:jc w:val="left"/>
        <w:rPr>
          <w:rFonts w:eastAsia="Calibri" w:cs="Sylfaen"/>
          <w:b w:val="0"/>
          <w:i/>
          <w:sz w:val="24"/>
          <w:lang w:val="hy-AM" w:eastAsia="en-US"/>
        </w:rPr>
      </w:pPr>
      <w:r w:rsidRPr="00005BEA">
        <w:rPr>
          <w:rFonts w:ascii="Times New Roman" w:hAnsi="Times New Roman"/>
          <w:b w:val="0"/>
          <w:noProof/>
          <w:sz w:val="24"/>
          <w:lang w:val="en-US" w:eastAsia="en-US"/>
        </w:rPr>
        <w:drawing>
          <wp:inline distT="0" distB="0" distL="0" distR="0">
            <wp:extent cx="3024000" cy="1980000"/>
            <wp:effectExtent l="0" t="0" r="5080" b="127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005BEA">
        <w:rPr>
          <w:rFonts w:eastAsia="Calibri" w:cs="Sylfaen"/>
          <w:b w:val="0"/>
          <w:i/>
          <w:sz w:val="24"/>
          <w:lang w:val="en-US" w:eastAsia="en-US"/>
        </w:rPr>
        <w:t xml:space="preserve"> </w:t>
      </w:r>
      <w:r w:rsidRPr="00005BEA">
        <w:rPr>
          <w:rFonts w:ascii="Times New Roman" w:hAnsi="Times New Roman"/>
          <w:b w:val="0"/>
          <w:noProof/>
          <w:sz w:val="24"/>
          <w:lang w:val="en-US" w:eastAsia="en-US"/>
        </w:rPr>
        <w:drawing>
          <wp:inline distT="0" distB="0" distL="0" distR="0">
            <wp:extent cx="3024000" cy="1980000"/>
            <wp:effectExtent l="0" t="0" r="5080" b="127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F0A25" w:rsidRPr="00F76E85" w:rsidRDefault="00005BEA" w:rsidP="00005BEA">
      <w:pPr>
        <w:spacing w:before="0"/>
        <w:rPr>
          <w:rFonts w:eastAsia="Calibri" w:cs="Sylfaen"/>
          <w:b w:val="0"/>
          <w:i/>
          <w:sz w:val="18"/>
          <w:szCs w:val="18"/>
          <w:lang w:val="hy-AM"/>
        </w:rPr>
      </w:pPr>
      <w:r w:rsidRPr="00005BEA">
        <w:rPr>
          <w:rFonts w:eastAsia="Calibri" w:cs="Sylfaen"/>
          <w:b w:val="0"/>
          <w:i/>
          <w:sz w:val="18"/>
          <w:szCs w:val="18"/>
          <w:lang w:val="hy-AM" w:eastAsia="en-US"/>
        </w:rPr>
        <w:t>Աղբյուրը՝ ՀՀ ԿԲ, ՀՀ ՖՆ հաշվարկներ և կանխատեսումներ</w:t>
      </w:r>
      <w:r w:rsidRPr="00F76E85">
        <w:rPr>
          <w:rFonts w:eastAsia="Calibri"/>
          <w:b w:val="0"/>
          <w:bCs/>
          <w:lang w:val="hy-AM"/>
        </w:rPr>
        <w:t xml:space="preserve"> </w:t>
      </w:r>
      <w:r w:rsidR="009F0A25" w:rsidRPr="00F76E85">
        <w:rPr>
          <w:rFonts w:eastAsia="Calibri"/>
          <w:b w:val="0"/>
          <w:bCs/>
          <w:lang w:val="hy-AM"/>
        </w:rPr>
        <w:br w:type="page"/>
      </w:r>
    </w:p>
    <w:p w:rsidR="009F0A25" w:rsidRDefault="009F0A25" w:rsidP="007730AA">
      <w:pPr>
        <w:keepNext/>
        <w:keepLines/>
        <w:spacing w:before="0" w:line="276" w:lineRule="auto"/>
        <w:outlineLvl w:val="2"/>
        <w:rPr>
          <w:b w:val="0"/>
          <w:bCs/>
          <w:sz w:val="28"/>
          <w:szCs w:val="28"/>
          <w:lang w:val="hy-AM"/>
        </w:rPr>
      </w:pPr>
      <w:bookmarkStart w:id="91" w:name="_Toc46760406"/>
      <w:bookmarkStart w:id="92" w:name="_Toc51947415"/>
      <w:bookmarkStart w:id="93" w:name="_Toc52452088"/>
      <w:bookmarkStart w:id="94" w:name="_Toc57559415"/>
      <w:bookmarkStart w:id="95" w:name="_Toc57655448"/>
      <w:bookmarkEnd w:id="86"/>
      <w:r w:rsidRPr="005D4C87">
        <w:rPr>
          <w:bCs/>
          <w:sz w:val="28"/>
          <w:szCs w:val="28"/>
          <w:lang w:val="hy-AM"/>
        </w:rPr>
        <w:t>1.4. ԿԱՆԽԱՏԵՍՈՒՄՆԵՐԻ ՀԻՄՔՈՒՄ ԸՆԿԱԾ ԵՆԹԱԴՐՈՒԹՅՈՒՆՆԵՐԸ</w:t>
      </w:r>
      <w:bookmarkEnd w:id="91"/>
      <w:bookmarkEnd w:id="92"/>
      <w:bookmarkEnd w:id="93"/>
      <w:bookmarkEnd w:id="94"/>
      <w:bookmarkEnd w:id="95"/>
    </w:p>
    <w:p w:rsidR="004E6953" w:rsidRPr="004E6953" w:rsidRDefault="004E6953" w:rsidP="004E6953">
      <w:pPr>
        <w:spacing w:after="120" w:line="276" w:lineRule="auto"/>
        <w:ind w:firstLine="709"/>
        <w:rPr>
          <w:rFonts w:eastAsia="Calibri" w:cs="Sylfaen"/>
          <w:b w:val="0"/>
          <w:bCs/>
          <w:szCs w:val="22"/>
          <w:lang w:val="hy-AM" w:eastAsia="en-US"/>
        </w:rPr>
      </w:pPr>
      <w:r w:rsidRPr="004E6953">
        <w:rPr>
          <w:rFonts w:eastAsia="Calibri" w:cs="Sylfaen"/>
          <w:b w:val="0"/>
          <w:bCs/>
          <w:szCs w:val="22"/>
          <w:lang w:val="hy-AM" w:eastAsia="en-US"/>
        </w:rPr>
        <w:t>2021թ. Պետական բյուջեի մակրոտնտեսական շրջանակի կանխատեսումներն իրականացվել են ՀՀ ՖՆ կողմից՝ կիրառելով  տնտեսաչափական մոդելներ և համադրելով ՀՀ ՖՆ հարկաբյուջետային քաղաքականության դինամիկ ստոխաստիկ ընդհանուր հավասարակշռության (Fiscal Policy Strategy</w:t>
      </w:r>
      <w:r w:rsidRPr="004E6953">
        <w:rPr>
          <w:rFonts w:eastAsia="Calibri"/>
          <w:b w:val="0"/>
          <w:bCs/>
          <w:szCs w:val="22"/>
          <w:lang w:val="hy-AM" w:eastAsia="en-US"/>
        </w:rPr>
        <w:t xml:space="preserve"> </w:t>
      </w:r>
      <w:r w:rsidRPr="004E6953">
        <w:rPr>
          <w:rFonts w:eastAsia="Calibri" w:cs="Sylfaen"/>
          <w:b w:val="0"/>
          <w:bCs/>
          <w:szCs w:val="22"/>
          <w:lang w:val="hy-AM" w:eastAsia="en-US"/>
        </w:rPr>
        <w:t>Dynamic Stochastic General Equilibrium</w:t>
      </w:r>
      <w:r w:rsidRPr="004E6953">
        <w:rPr>
          <w:rFonts w:eastAsia="Calibri"/>
          <w:b w:val="0"/>
          <w:bCs/>
          <w:szCs w:val="22"/>
          <w:lang w:val="hy-AM" w:eastAsia="en-US"/>
        </w:rPr>
        <w:t xml:space="preserve"> (</w:t>
      </w:r>
      <w:r w:rsidRPr="004E6953">
        <w:rPr>
          <w:rFonts w:eastAsia="Calibri" w:cs="Sylfaen"/>
          <w:b w:val="0"/>
          <w:bCs/>
          <w:szCs w:val="22"/>
          <w:lang w:val="hy-AM" w:eastAsia="en-US"/>
        </w:rPr>
        <w:t>DSGE)) մոդելի</w:t>
      </w:r>
      <w:r w:rsidRPr="004E6953">
        <w:rPr>
          <w:rFonts w:eastAsia="GHEA Grapalat" w:cs="GHEA Grapalat"/>
          <w:b w:val="0"/>
          <w:szCs w:val="22"/>
          <w:vertAlign w:val="superscript"/>
          <w:lang w:val="en-US" w:eastAsia="en-US"/>
        </w:rPr>
        <w:footnoteReference w:id="10"/>
      </w:r>
      <w:r w:rsidRPr="004E6953">
        <w:rPr>
          <w:rFonts w:eastAsia="Calibri" w:cs="Sylfaen"/>
          <w:b w:val="0"/>
          <w:bCs/>
          <w:szCs w:val="22"/>
          <w:lang w:val="hy-AM" w:eastAsia="en-US"/>
        </w:rPr>
        <w:t>՝ համավարակի հետևանքով առաջացած արտաքին, ներքին մի շարք շոկերի և հարկաբյուջետային միջոցառումների ազդեցությունների գնահատումների հետ:</w:t>
      </w:r>
      <w:r w:rsidRPr="004E6953">
        <w:rPr>
          <w:rFonts w:eastAsia="GHEA Grapalat" w:cs="GHEA Grapalat"/>
          <w:b w:val="0"/>
          <w:i/>
          <w:color w:val="000000"/>
          <w:szCs w:val="22"/>
          <w:lang w:val="hy-AM" w:eastAsia="en-US"/>
        </w:rPr>
        <w:t xml:space="preserve"> </w:t>
      </w:r>
      <w:r w:rsidRPr="004E6953">
        <w:rPr>
          <w:rFonts w:eastAsia="Calibri" w:cs="Sylfaen"/>
          <w:b w:val="0"/>
          <w:bCs/>
          <w:szCs w:val="22"/>
          <w:lang w:val="hy-AM" w:eastAsia="en-US"/>
        </w:rPr>
        <w:t>Սկզբնական կանխատեսումներն</w:t>
      </w:r>
      <w:r w:rsidRPr="004E6953">
        <w:rPr>
          <w:rFonts w:eastAsia="Calibri" w:cs="Sylfaen"/>
          <w:b w:val="0"/>
          <w:bCs/>
          <w:szCs w:val="22"/>
          <w:vertAlign w:val="superscript"/>
          <w:lang w:val="hy-AM" w:eastAsia="en-US"/>
        </w:rPr>
        <w:footnoteReference w:id="11"/>
      </w:r>
      <w:r w:rsidRPr="004E6953">
        <w:rPr>
          <w:rFonts w:eastAsia="Calibri" w:cs="Sylfaen"/>
          <w:b w:val="0"/>
          <w:bCs/>
          <w:szCs w:val="22"/>
          <w:lang w:val="hy-AM" w:eastAsia="en-US"/>
        </w:rPr>
        <w:t xml:space="preserve"> իրականացվել են  օգոստոսի դրությամբ հասանելի տեղեկատվության հիման վրա, ապա այն վերանայվել է՝ հաշվի առնելով Արցախյան պատերազմի, կորոնավիրուսի համավարակի երկրորդ ալիքի, ընթացիկ տնտեսական զարգացումների և նոյեմբերի դրությամբ՝ ՀՀ գործընկեր երկրների տնտեսական,  հումքային ապրանքների համաշխարհային գների ընթացիկ և կանխատեսվող զարգացումների, ինչպես նաև իրականացված և նախատեսվող հարկաբյուջետային միջոցառումների ՀՀ տնտեսության վրա ՀՀ ՖՆ կողմից գնահատված ազդեցությունները: </w:t>
      </w:r>
    </w:p>
    <w:p w:rsidR="004E6953" w:rsidRPr="004E6953" w:rsidRDefault="004E6953" w:rsidP="004E6953">
      <w:pPr>
        <w:spacing w:after="120" w:line="276" w:lineRule="auto"/>
        <w:ind w:firstLine="709"/>
        <w:rPr>
          <w:rFonts w:eastAsia="Calibri" w:cs="Sylfaen"/>
          <w:b w:val="0"/>
          <w:bCs/>
          <w:szCs w:val="22"/>
          <w:lang w:val="hy-AM" w:eastAsia="en-US"/>
        </w:rPr>
      </w:pPr>
      <w:r w:rsidRPr="004E6953">
        <w:rPr>
          <w:rFonts w:eastAsia="Calibri" w:cs="Sylfaen"/>
          <w:b w:val="0"/>
          <w:bCs/>
          <w:szCs w:val="22"/>
          <w:lang w:val="hy-AM" w:eastAsia="en-US"/>
        </w:rPr>
        <w:t xml:space="preserve">Սկզբնական կանխատեսումների հիմքում ընկած էր նաև այն ենթադրությունը, որ ՀՀ և գործընկեր երկրների տնտեսությունները եռամսյակային կտրվածքով «V-աձև» զարգացում են ունենալու՝ ամենամեծ անկումը գրանցելով 2020թ. երկրորդ եռամսյակում և սկսելով վերականգնվել դրանից հետո, սակայն վերջին զարգացումների արդյունքում 2020թ. չորրորդ եռամսյակում կանխատեսվում է վատթարացում՝   նախանշելով տնտեսությունների  «W-աձև» զարգացում:  </w:t>
      </w:r>
    </w:p>
    <w:p w:rsidR="004E6953" w:rsidRPr="004E6953" w:rsidRDefault="004E6953" w:rsidP="004E6953">
      <w:pPr>
        <w:spacing w:after="120" w:line="276" w:lineRule="auto"/>
        <w:ind w:firstLine="709"/>
        <w:rPr>
          <w:rFonts w:eastAsia="Calibri" w:cs="Sylfaen"/>
          <w:b w:val="0"/>
          <w:bCs/>
          <w:szCs w:val="22"/>
          <w:lang w:val="hy-AM" w:eastAsia="en-US"/>
        </w:rPr>
      </w:pPr>
      <w:r w:rsidRPr="004E6953">
        <w:rPr>
          <w:rFonts w:eastAsia="Calibri" w:cs="Sylfaen"/>
          <w:b w:val="0"/>
          <w:bCs/>
          <w:szCs w:val="22"/>
          <w:lang w:val="hy-AM" w:eastAsia="en-US"/>
        </w:rPr>
        <w:t>Մասնավորապես՝</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cs="Sylfaen"/>
          <w:b w:val="0"/>
          <w:bCs/>
          <w:szCs w:val="22"/>
          <w:lang w:val="hy-AM" w:eastAsia="en-US"/>
        </w:rPr>
        <w:t xml:space="preserve">Մարտ ամսին հայտարարված արտակարգ դրության պայմաններում կիրառվեցին տնտեսական ակտիվության համատարած սահմանափակումներ, որոնք աստիճանաբար հանվեցին մինչև հունիս՝ առաջացնելով, հիմնականում երկրորդ եռամսյակում, առաջարկի և պահանջարկի էական բացասական շոկեր, երրորդ եռամսյակի հարաբերական կայուն իրավիճակից հետո, հոկտեմբերից սկիզբ առավ կորոնավիրուսի երկրորդ ալիքը և չնայած տնտեսական սահմանափակումների բացակայությանը, այնուամենայնիվ, այն իր բացասական ազդեցությունն է թողնելու տնտեսության վրա՝ կրճատելով աշխատուժի առաջարկը: </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cs="Sylfaen"/>
          <w:b w:val="0"/>
          <w:bCs/>
          <w:szCs w:val="22"/>
          <w:lang w:val="hy-AM" w:eastAsia="en-US"/>
        </w:rPr>
        <w:t>Արցախյան պատերազմական գործողություններն իրենց բացասական արտացոլումն են գնտելու 2020թ. չորրորդ եռամսյակի, ինչպես նաև 2021թ. տնտեսական աճերի վրա:</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cs="Sylfaen"/>
          <w:b w:val="0"/>
          <w:bCs/>
          <w:szCs w:val="22"/>
          <w:lang w:val="hy-AM" w:eastAsia="en-US"/>
        </w:rPr>
        <w:t>Համաձայն ԱՄՀ կանխատեսումների Հայաստանի հիմ</w:t>
      </w:r>
      <w:r w:rsidRPr="004E6953">
        <w:rPr>
          <w:rFonts w:eastAsia="Calibri" w:cs="Sylfaen"/>
          <w:b w:val="0"/>
          <w:bCs/>
          <w:szCs w:val="22"/>
          <w:lang w:val="hy-AM" w:eastAsia="en-US"/>
        </w:rPr>
        <w:softHyphen/>
        <w:t>նական գործընկեր երկրների, այդ թվում` Ռուսաստանի, ԱՄՆ-ի, Չինաստանի և Եվրոգոտու արտաքին պահանջարկը 2020թ. կկրճատվի 5.4%-ով, իսկ 2021թ. կաճի 4.3%-ով</w:t>
      </w:r>
      <w:r w:rsidRPr="004E6953">
        <w:rPr>
          <w:rFonts w:eastAsia="Calibri"/>
          <w:b w:val="0"/>
          <w:szCs w:val="22"/>
          <w:vertAlign w:val="superscript"/>
          <w:lang w:val="en-US" w:eastAsia="en-US"/>
        </w:rPr>
        <w:footnoteReference w:id="12"/>
      </w:r>
      <w:r w:rsidRPr="004E6953">
        <w:rPr>
          <w:rFonts w:eastAsia="Calibri" w:cs="Sylfaen"/>
          <w:b w:val="0"/>
          <w:bCs/>
          <w:szCs w:val="22"/>
          <w:lang w:val="hy-AM" w:eastAsia="en-US"/>
        </w:rPr>
        <w:t>:</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cs="Sylfaen"/>
          <w:b w:val="0"/>
          <w:bCs/>
          <w:szCs w:val="22"/>
          <w:lang w:val="hy-AM" w:eastAsia="en-US"/>
        </w:rPr>
        <w:t xml:space="preserve">Բլումբերգի ներկայացրած կանխատեսումների համաձայն </w:t>
      </w:r>
      <w:r w:rsidRPr="004E6953">
        <w:rPr>
          <w:rFonts w:eastAsia="Calibri"/>
          <w:b w:val="0"/>
          <w:szCs w:val="22"/>
          <w:lang w:val="hy-AM" w:eastAsia="en-US"/>
        </w:rPr>
        <w:t>2020թ. նավթի համաշխարհային  գները կնվազեն 36.7%-ով, իսկ 2021թ. կսկսեն վերականգնվել:</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b w:val="0"/>
          <w:szCs w:val="22"/>
          <w:lang w:val="hy-AM" w:eastAsia="en-US"/>
        </w:rPr>
        <w:t>Պղնձի համաշխարհային գները երրորդ եռամսյակից սկսել են վերականգնվել: Համաձայն Բլումբերգի գնահատականների պղնձի գները 2020 թ. կաճեն 3.2%</w:t>
      </w:r>
      <w:r w:rsidRPr="004E6953">
        <w:rPr>
          <w:rFonts w:eastAsia="Calibri"/>
          <w:b w:val="0"/>
          <w:szCs w:val="22"/>
          <w:lang w:val="hy-AM" w:eastAsia="en-US"/>
        </w:rPr>
        <w:noBreakHyphen/>
        <w:t>ով, աճը կշարունակվի նաև 2021թ.:</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cs="Sylfaen"/>
          <w:b w:val="0"/>
          <w:bCs/>
          <w:szCs w:val="22"/>
          <w:lang w:val="hy-AM" w:eastAsia="en-US"/>
        </w:rPr>
        <w:t xml:space="preserve">Արտաքին զարգացումներով, մասնավորապես Ռուսաստանի տնտեսական անկմամբ </w:t>
      </w:r>
      <w:r>
        <w:rPr>
          <w:rFonts w:eastAsia="Calibri" w:cs="Sylfaen"/>
          <w:b w:val="0"/>
          <w:bCs/>
          <w:szCs w:val="22"/>
          <w:lang w:val="hy-AM" w:eastAsia="en-US"/>
        </w:rPr>
        <w:t xml:space="preserve">և երկրների միջև սահմանափակումներով </w:t>
      </w:r>
      <w:r w:rsidRPr="004E6953">
        <w:rPr>
          <w:rFonts w:eastAsia="Calibri" w:cs="Sylfaen"/>
          <w:b w:val="0"/>
          <w:bCs/>
          <w:szCs w:val="22"/>
          <w:lang w:val="hy-AM" w:eastAsia="en-US"/>
        </w:rPr>
        <w:t>պայմանավորված՝ 2020թ. գնահատվում է Ռուսաստանից դրամական փոխանցումների կրճատում, իսկ այլ երկրներից՝ աճ, արդյունքում 2020թ. գնահատվում է դրամական փոխանցումների փոքր անկում, իսկ 2021թ.՝ որոշակի վերականգնում:</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eastAsia="Calibri" w:cs="Sylfaen"/>
          <w:b w:val="0"/>
          <w:bCs/>
          <w:szCs w:val="22"/>
          <w:lang w:val="hy-AM" w:eastAsia="en-US"/>
        </w:rPr>
        <w:t xml:space="preserve">2020թ. ենթադրվել է համավարկի հետևանքների չեզոքացմանն ուղղված խթանող հարկաբյուջետային միջոցառումների՝ </w:t>
      </w:r>
      <w:r w:rsidRPr="004E6953">
        <w:rPr>
          <w:rFonts w:eastAsia="Calibri" w:cs="Sylfaen"/>
          <w:b w:val="0"/>
          <w:bCs/>
          <w:szCs w:val="22"/>
          <w:lang w:val="af-ZA" w:eastAsia="en-US"/>
        </w:rPr>
        <w:t xml:space="preserve">150 </w:t>
      </w:r>
      <w:r w:rsidRPr="004E6953">
        <w:rPr>
          <w:rFonts w:eastAsia="Calibri" w:cs="Sylfaen"/>
          <w:b w:val="0"/>
          <w:bCs/>
          <w:szCs w:val="22"/>
          <w:lang w:val="hy-AM" w:eastAsia="en-US"/>
        </w:rPr>
        <w:t xml:space="preserve">մլրդ դրամի ամբողջական օգտագործում, ինչպես նաև հաշվի են առնվել շահութահարկի կանխավճարների համակարգում իրականացված բարեփոխումների հետևանքով մոտ </w:t>
      </w:r>
      <w:r w:rsidRPr="004E6953">
        <w:rPr>
          <w:rFonts w:eastAsia="Calibri" w:cs="Sylfaen"/>
          <w:b w:val="0"/>
          <w:bCs/>
          <w:szCs w:val="22"/>
          <w:lang w:val="hy-AM"/>
        </w:rPr>
        <w:t xml:space="preserve">տնտեսավարող սուբյեկտների մոտ խնայված շրջանառու շուրջ 65 մլրդ դրամ միջոցները, </w:t>
      </w:r>
      <w:r w:rsidRPr="004E6953">
        <w:rPr>
          <w:rFonts w:eastAsia="Calibri" w:cs="Sylfaen"/>
          <w:b w:val="0"/>
          <w:bCs/>
          <w:szCs w:val="22"/>
          <w:lang w:val="af-ZA"/>
        </w:rPr>
        <w:t>(</w:t>
      </w:r>
      <w:r w:rsidRPr="004E6953">
        <w:rPr>
          <w:rFonts w:eastAsia="Calibri" w:cs="Sylfaen"/>
          <w:b w:val="0"/>
          <w:bCs/>
          <w:szCs w:val="22"/>
          <w:lang w:val="hy-AM"/>
        </w:rPr>
        <w:t>ինչը նշանակում է, որ, այլ հավասար պայմաններում, այդ նույն չափով պակաս հարկային եկամուտներ են հավաքագրվելու</w:t>
      </w:r>
      <w:r w:rsidRPr="004E6953">
        <w:rPr>
          <w:rFonts w:eastAsia="Calibri" w:cs="Sylfaen"/>
          <w:b w:val="0"/>
          <w:bCs/>
          <w:szCs w:val="22"/>
          <w:lang w:val="af-ZA"/>
        </w:rPr>
        <w:t>)</w:t>
      </w:r>
      <w:r w:rsidRPr="004E6953">
        <w:rPr>
          <w:rFonts w:eastAsia="Calibri" w:cs="Sylfaen"/>
          <w:b w:val="0"/>
          <w:bCs/>
          <w:szCs w:val="22"/>
          <w:vertAlign w:val="superscript"/>
          <w:lang w:val="af-ZA"/>
        </w:rPr>
        <w:footnoteReference w:id="13"/>
      </w:r>
      <w:r w:rsidRPr="004E6953">
        <w:rPr>
          <w:rFonts w:eastAsia="Calibri" w:cs="Sylfaen"/>
          <w:b w:val="0"/>
          <w:bCs/>
          <w:szCs w:val="22"/>
          <w:lang w:val="hy-AM"/>
        </w:rPr>
        <w:t xml:space="preserve"> </w:t>
      </w:r>
      <w:r w:rsidRPr="004E6953">
        <w:rPr>
          <w:rFonts w:eastAsia="Calibri" w:cs="Sylfaen"/>
          <w:b w:val="0"/>
          <w:bCs/>
          <w:szCs w:val="22"/>
          <w:lang w:val="hy-AM" w:eastAsia="en-US"/>
        </w:rPr>
        <w:t xml:space="preserve">և COVID-19-ի կանխարգելման և բուժման նպատակով առողջապահության ոլորտին հատկացված ծախսերի աճը, որը ըստ առկա վերջին տվյալների (նոյեմբերի 24-ի դրությամբ) կազմել է 22.9 մլրդ դրամ: Բացի այդ, հաշվի է առնվել նաև </w:t>
      </w:r>
      <w:r w:rsidRPr="004E6953">
        <w:rPr>
          <w:rFonts w:eastAsia="Calibri" w:cs="Sylfaen"/>
          <w:b w:val="0"/>
          <w:bCs/>
          <w:szCs w:val="22"/>
          <w:lang w:val="hy-AM"/>
        </w:rPr>
        <w:t>Արցախյան պատերազմական գործողություններով պայմանավորված պետական բյուջեի ծախսերի աճը:</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cs="Cambria Math"/>
          <w:b w:val="0"/>
          <w:bCs/>
          <w:szCs w:val="22"/>
          <w:lang w:val="hy-AM" w:eastAsia="en-US"/>
        </w:rPr>
        <w:t>2021թ. տնտեսության վերականգնման պայմաններում</w:t>
      </w:r>
      <w:r w:rsidRPr="004E6953">
        <w:rPr>
          <w:rFonts w:cs="Times Armenian"/>
          <w:b w:val="0"/>
          <w:bCs/>
          <w:szCs w:val="22"/>
          <w:lang w:val="hy-AM" w:eastAsia="en-US"/>
        </w:rPr>
        <w:t xml:space="preserve"> հարկաբյուջետային քաղաքականությունը կունենա փոքր զսպող ուղղվածություն` պայմաններ ստեղծելով միջնաժամկետում ՀՀ կառավարության պարտքի նվազման և հարկաբյուջետային կայնության ապահովման համար</w:t>
      </w:r>
      <w:r w:rsidRPr="004E6953">
        <w:rPr>
          <w:rFonts w:eastAsia="Calibri" w:cs="Sylfaen"/>
          <w:b w:val="0"/>
          <w:bCs/>
          <w:szCs w:val="22"/>
          <w:lang w:val="hy-AM" w:eastAsia="en-US"/>
        </w:rPr>
        <w:t>:</w:t>
      </w:r>
    </w:p>
    <w:p w:rsidR="004E6953" w:rsidRPr="004E6953" w:rsidRDefault="004E6953" w:rsidP="004E6953">
      <w:pPr>
        <w:numPr>
          <w:ilvl w:val="0"/>
          <w:numId w:val="55"/>
        </w:numPr>
        <w:spacing w:before="40" w:after="120" w:line="276" w:lineRule="auto"/>
        <w:contextualSpacing w:val="0"/>
        <w:rPr>
          <w:rFonts w:eastAsia="Calibri" w:cs="Sylfaen"/>
          <w:b w:val="0"/>
          <w:bCs/>
          <w:szCs w:val="22"/>
          <w:lang w:val="hy-AM" w:eastAsia="en-US"/>
        </w:rPr>
      </w:pPr>
      <w:r w:rsidRPr="004E6953">
        <w:rPr>
          <w:rFonts w:cs="Times Armenian"/>
          <w:b w:val="0"/>
          <w:bCs/>
          <w:szCs w:val="22"/>
          <w:lang w:val="hy-AM" w:eastAsia="en-US"/>
        </w:rPr>
        <w:t>ԿԲ-ն կարճաժամկետ հատվածում կշարունակի վարել խթանող դրամավարկային քաղաքականություն, և անհրաժեշտության դեպքում, կպահպանի քաղաքականության խթանող դիրքը նաև 2021թ.</w:t>
      </w:r>
      <w:r w:rsidRPr="004E6953">
        <w:rPr>
          <w:rFonts w:eastAsia="Calibri" w:cs="Sylfaen"/>
          <w:b w:val="0"/>
          <w:bCs/>
          <w:szCs w:val="22"/>
          <w:lang w:val="hy-AM" w:eastAsia="en-US"/>
        </w:rPr>
        <w:t>։</w:t>
      </w:r>
    </w:p>
    <w:p w:rsidR="009F0A25" w:rsidRDefault="009F0A25" w:rsidP="007730AA">
      <w:pPr>
        <w:keepNext/>
        <w:keepLines/>
        <w:spacing w:before="0" w:line="276" w:lineRule="auto"/>
        <w:outlineLvl w:val="2"/>
        <w:rPr>
          <w:b w:val="0"/>
          <w:sz w:val="28"/>
          <w:szCs w:val="28"/>
          <w:lang w:val="hy-AM"/>
        </w:rPr>
      </w:pPr>
      <w:r w:rsidRPr="00F76E85">
        <w:rPr>
          <w:rFonts w:eastAsia="Calibri" w:cs="Sylfaen"/>
          <w:b w:val="0"/>
          <w:bCs/>
          <w:color w:val="C00000"/>
          <w:szCs w:val="22"/>
          <w:lang w:val="hy-AM"/>
        </w:rPr>
        <w:br w:type="page"/>
      </w:r>
      <w:bookmarkStart w:id="96" w:name="_Toc46760407"/>
      <w:bookmarkStart w:id="97" w:name="_Toc51947416"/>
      <w:bookmarkStart w:id="98" w:name="_Toc52452089"/>
      <w:bookmarkStart w:id="99" w:name="_Toc57559416"/>
      <w:bookmarkStart w:id="100" w:name="_Toc57655449"/>
      <w:r w:rsidRPr="001A41E1">
        <w:rPr>
          <w:bCs/>
          <w:sz w:val="28"/>
          <w:szCs w:val="28"/>
          <w:lang w:val="hy-AM"/>
        </w:rPr>
        <w:t>1.5. ԿՈՐՈՆԱՎԻՐՈՒՍԻ ՀԱՄԱՎԱՐԱԿԻ (COVID-19) ԱԶԴԵՑՈՒԹՅԱՆ ԳՆԱՀԱՏՈՒՄԸ ՀԱՐԿԱԲՅՈՒՋԵՏԱՅԻՆ ՔԱՂԱՔԱԿԱՆՈՒԹՅԱՆ ԸՆԴՀԱՆՈՒՐ ՀԱՎԱՍԱՐԱԿՇՌՈՒԹՅԱՆ DSGE ՄՈԴԵԼՈՎ</w:t>
      </w:r>
      <w:bookmarkEnd w:id="96"/>
      <w:bookmarkEnd w:id="97"/>
      <w:bookmarkEnd w:id="98"/>
      <w:bookmarkEnd w:id="99"/>
      <w:bookmarkEnd w:id="100"/>
      <w:r w:rsidRPr="001A41E1">
        <w:rPr>
          <w:sz w:val="28"/>
          <w:szCs w:val="28"/>
          <w:lang w:val="hy-AM"/>
        </w:rPr>
        <w:t xml:space="preserve">  </w:t>
      </w:r>
    </w:p>
    <w:p w:rsidR="009F0A25" w:rsidRPr="00F76E85" w:rsidRDefault="009F0A25" w:rsidP="007730AA">
      <w:pPr>
        <w:tabs>
          <w:tab w:val="left" w:pos="10605"/>
        </w:tabs>
        <w:spacing w:before="0" w:line="276" w:lineRule="auto"/>
        <w:ind w:firstLine="709"/>
        <w:rPr>
          <w:rFonts w:eastAsia="Calibri" w:cs="Sylfaen"/>
          <w:b w:val="0"/>
          <w:bCs/>
          <w:szCs w:val="22"/>
          <w:lang w:val="hy-AM"/>
        </w:rPr>
      </w:pPr>
      <w:r w:rsidRPr="00F76E85">
        <w:rPr>
          <w:rFonts w:eastAsia="Calibri" w:cs="Sylfaen"/>
          <w:b w:val="0"/>
          <w:bCs/>
          <w:szCs w:val="22"/>
          <w:lang w:val="hy-AM"/>
        </w:rPr>
        <w:t>ՀՀ տնտեսության վրա կորոնավիրուսի համավարակի ազդեցությունը, դրա փոխանցումային մեխանիզմները, ինչպես նաև համավարակի տնտեսական հետևանքները մեղմելու նպատակով ՀՀ կառավարության կողմից իրականացվող միջոցառումների ազդեցությունը գնահատելու նպատակով կառուցվել է COVID-19 hամավարակի սցենար՝ կիրառելով ՀՀ ՖՆ հարկաբյուջետային քաղաքականության DSGE մոդելը։ Կառուցվել են արտաքին և ներքին շոկերի ազդեցության, ինչպես նաև հարկաբյուջետային քաղաքականության ազդեցության սցենարներ, որոնց արդյունքների հիման վրա մշակվել է 2021թ. Պետական բյուջեի մակրոտնտեսական և հարկաբյուջետային շրջանակները։ Ինչպես «ՄԺԾԾ 2021-2023» սցենարում, այնպես էլ «Բյուջե-2021» սկզբնական սցենարում ենթադրվում էր, որ ՀՀ տնտեսությունն, այսպես կոչված, «V-աձև» զարգացում է ունենալու, ավելի խորը անկմամբ և դանդաղ վերականգմամբ, ամենամեծ տնտեսական անկումը գրանցվելու է երկրորդ եռամսյակում, որից հետո երրորդ եռամսյակից սկսած տնտեսությունը սկսելու է վերականգնվել, սակայն հաշվի առնելով Արցախյան պատերազմի և կորոնավիրուսի համավարակի երկրորդ ալիքի ազդեցությունները, ընթացիկ տնտեսական զարգացումները և ՀՀ գործընկեր երկրների ԱՄՀ կողմից կանխատեսված տնտեսական աճերը՝ 2020թ. չորրորդ եռամսյակում կանխատեսվում է վատթարացում՝   նախանշելով տնտեսության  «W-աձև» զարգացում և առավել դանդաղ վերականգնում՝ բացասական ազդեցություն թողնելով տնտեսության ներուժի վրա:</w:t>
      </w:r>
    </w:p>
    <w:p w:rsidR="00F76E85" w:rsidRDefault="00F76E85" w:rsidP="007730AA">
      <w:pPr>
        <w:tabs>
          <w:tab w:val="left" w:pos="10605"/>
        </w:tabs>
        <w:spacing w:before="0" w:line="276" w:lineRule="auto"/>
        <w:ind w:firstLine="709"/>
        <w:rPr>
          <w:rFonts w:cs="Sylfaen"/>
          <w:i/>
          <w:szCs w:val="22"/>
          <w:lang w:val="hy-AM"/>
        </w:rPr>
      </w:pPr>
    </w:p>
    <w:p w:rsidR="009F0A25" w:rsidRPr="00F76E85" w:rsidRDefault="009F0A25" w:rsidP="007730AA">
      <w:pPr>
        <w:tabs>
          <w:tab w:val="left" w:pos="10605"/>
        </w:tabs>
        <w:spacing w:before="0" w:line="276" w:lineRule="auto"/>
        <w:ind w:firstLine="709"/>
        <w:rPr>
          <w:rFonts w:eastAsia="Calibri" w:cs="Sylfaen"/>
          <w:b w:val="0"/>
          <w:bCs/>
          <w:szCs w:val="22"/>
          <w:lang w:val="hy-AM"/>
        </w:rPr>
      </w:pPr>
      <w:r w:rsidRPr="00F76E85">
        <w:rPr>
          <w:rFonts w:cs="Sylfaen"/>
          <w:i/>
          <w:szCs w:val="22"/>
          <w:lang w:val="hy-AM"/>
        </w:rPr>
        <w:t>Գծապատկեր 1.29.</w:t>
      </w:r>
      <w:r w:rsidRPr="00F76E85">
        <w:rPr>
          <w:rFonts w:cs="Sylfaen"/>
          <w:b w:val="0"/>
          <w:i/>
          <w:szCs w:val="22"/>
          <w:lang w:val="hy-AM"/>
        </w:rPr>
        <w:t xml:space="preserve"> «</w:t>
      </w:r>
      <w:r w:rsidRPr="00F76E85">
        <w:rPr>
          <w:rFonts w:eastAsia="MS Mincho" w:cs="Arial"/>
          <w:b w:val="0"/>
          <w:i/>
          <w:szCs w:val="22"/>
          <w:lang w:val="hy-AM"/>
        </w:rPr>
        <w:t>ՄԺԾԾ-2021-2023», «Այլընտրանքային»</w:t>
      </w:r>
      <w:r w:rsidRPr="00F76E85">
        <w:rPr>
          <w:rStyle w:val="FootnoteReference"/>
          <w:rFonts w:ascii="GHEA Grapalat" w:eastAsia="MS Mincho" w:hAnsi="GHEA Grapalat" w:cs="Arial"/>
          <w:b w:val="0"/>
          <w:i/>
          <w:sz w:val="22"/>
          <w:szCs w:val="22"/>
          <w:lang w:val="hy-AM"/>
        </w:rPr>
        <w:footnoteReference w:id="14"/>
      </w:r>
      <w:r w:rsidRPr="00F76E85">
        <w:rPr>
          <w:rFonts w:eastAsia="MS Mincho" w:cs="Arial"/>
          <w:b w:val="0"/>
          <w:i/>
          <w:szCs w:val="22"/>
          <w:lang w:val="hy-AM"/>
        </w:rPr>
        <w:t xml:space="preserve"> և «Բյուջե-2021 Սկզբնական» և  «Բյուջե-2021»    սցենարներում ՀՆԱ կորուստները</w:t>
      </w:r>
    </w:p>
    <w:p w:rsidR="009F0A25" w:rsidRPr="00205A17" w:rsidRDefault="009F0A25" w:rsidP="007730AA">
      <w:pPr>
        <w:tabs>
          <w:tab w:val="left" w:pos="10605"/>
        </w:tabs>
        <w:spacing w:before="0" w:line="276" w:lineRule="auto"/>
        <w:ind w:firstLine="709"/>
        <w:rPr>
          <w:rFonts w:eastAsia="Calibri" w:cs="Sylfaen"/>
          <w:bCs/>
          <w:noProof/>
          <w:szCs w:val="22"/>
          <w:u w:val="single"/>
          <w:lang w:val="hy-AM"/>
        </w:rPr>
      </w:pPr>
      <w:r w:rsidRPr="000E6B55">
        <w:rPr>
          <w:rFonts w:eastAsia="Calibri" w:cs="Sylfaen"/>
          <w:bCs/>
          <w:noProof/>
          <w:szCs w:val="22"/>
          <w:u w:val="single"/>
          <w:lang w:val="en-US" w:eastAsia="en-US"/>
        </w:rPr>
        <w:drawing>
          <wp:inline distT="0" distB="0" distL="0" distR="0">
            <wp:extent cx="5686425" cy="28670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86425" cy="2867025"/>
                    </a:xfrm>
                    <a:prstGeom prst="rect">
                      <a:avLst/>
                    </a:prstGeom>
                    <a:noFill/>
                    <a:ln>
                      <a:noFill/>
                    </a:ln>
                  </pic:spPr>
                </pic:pic>
              </a:graphicData>
            </a:graphic>
          </wp:inline>
        </w:drawing>
      </w:r>
    </w:p>
    <w:p w:rsidR="009F0A25" w:rsidRPr="00F76E85" w:rsidRDefault="009F0A25" w:rsidP="007730AA">
      <w:pPr>
        <w:spacing w:before="0" w:line="312" w:lineRule="auto"/>
        <w:ind w:firstLine="709"/>
        <w:rPr>
          <w:rFonts w:eastAsia="GHEA Grapalat" w:cs="GHEA Grapalat"/>
          <w:b w:val="0"/>
          <w:i/>
          <w:szCs w:val="22"/>
          <w:lang w:val="hy-AM"/>
        </w:rPr>
      </w:pPr>
      <w:r w:rsidRPr="00F76E85">
        <w:rPr>
          <w:rFonts w:eastAsia="Calibri" w:cs="Sylfaen"/>
          <w:b w:val="0"/>
          <w:i/>
          <w:sz w:val="18"/>
          <w:szCs w:val="18"/>
          <w:lang w:val="hy-AM"/>
        </w:rPr>
        <w:t>Աղբյուրը՝ ՀՀ ՖՆ գնահատումներ և կանխատեսումներ:</w:t>
      </w:r>
    </w:p>
    <w:p w:rsidR="009F0A25" w:rsidRDefault="009F0A25" w:rsidP="007730AA">
      <w:pPr>
        <w:spacing w:before="0" w:line="312" w:lineRule="auto"/>
        <w:ind w:firstLine="709"/>
        <w:rPr>
          <w:rFonts w:eastAsia="GHEA Grapalat" w:cs="GHEA Grapalat"/>
          <w:szCs w:val="22"/>
          <w:lang w:val="hy-AM"/>
        </w:rPr>
      </w:pPr>
      <w:r w:rsidRPr="001A41E1">
        <w:rPr>
          <w:rFonts w:eastAsia="GHEA Grapalat" w:cs="GHEA Grapalat"/>
          <w:i/>
          <w:szCs w:val="22"/>
          <w:lang w:val="hy-AM"/>
        </w:rPr>
        <w:t xml:space="preserve">Գծապատկեր 1.30. </w:t>
      </w:r>
      <w:r w:rsidRPr="00F76E85">
        <w:rPr>
          <w:rFonts w:eastAsia="MS Mincho" w:cs="Arial"/>
          <w:b w:val="0"/>
          <w:i/>
          <w:sz w:val="20"/>
          <w:szCs w:val="20"/>
          <w:lang w:val="hy-AM"/>
        </w:rPr>
        <w:t>Տնտեսության արձագանքը ներքին և արտաքին շոկերին, հարկաբյուջետային քաղաքականության խթանող ազդեցությունը</w:t>
      </w:r>
      <w:r w:rsidRPr="001A41E1">
        <w:rPr>
          <w:rFonts w:eastAsia="GHEA Grapalat" w:cs="GHEA Grapalat"/>
          <w:szCs w:val="22"/>
          <w:lang w:val="hy-AM"/>
        </w:rPr>
        <w:t xml:space="preserve"> </w:t>
      </w:r>
    </w:p>
    <w:p w:rsidR="009F0A25" w:rsidRPr="001A41E1" w:rsidRDefault="009F0A25" w:rsidP="007730AA">
      <w:pPr>
        <w:spacing w:before="0" w:line="312" w:lineRule="auto"/>
        <w:ind w:firstLine="709"/>
        <w:rPr>
          <w:rFonts w:eastAsia="GHEA Grapalat" w:cs="GHEA Grapalat"/>
          <w:u w:val="single"/>
          <w:lang w:val="hy-AM"/>
        </w:rPr>
      </w:pPr>
      <w:r w:rsidRPr="001A41E1">
        <w:rPr>
          <w:rFonts w:eastAsia="GHEA Grapalat" w:cs="GHEA Grapalat"/>
          <w:noProof/>
          <w:u w:val="single"/>
          <w:lang w:val="en-US" w:eastAsia="en-US"/>
        </w:rPr>
        <w:drawing>
          <wp:inline distT="0" distB="0" distL="0" distR="0">
            <wp:extent cx="5972175" cy="65716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8553" cy="6578688"/>
                    </a:xfrm>
                    <a:prstGeom prst="rect">
                      <a:avLst/>
                    </a:prstGeom>
                    <a:noFill/>
                    <a:ln>
                      <a:noFill/>
                    </a:ln>
                  </pic:spPr>
                </pic:pic>
              </a:graphicData>
            </a:graphic>
          </wp:inline>
        </w:drawing>
      </w:r>
    </w:p>
    <w:p w:rsidR="009F0A25" w:rsidRPr="00F76E85" w:rsidRDefault="009F0A25" w:rsidP="007730AA">
      <w:pPr>
        <w:spacing w:before="0" w:line="276" w:lineRule="auto"/>
        <w:rPr>
          <w:rFonts w:eastAsia="Calibri" w:cs="Sylfaen"/>
          <w:b w:val="0"/>
          <w:i/>
          <w:sz w:val="18"/>
          <w:szCs w:val="18"/>
          <w:lang w:val="hy-AM"/>
        </w:rPr>
      </w:pPr>
      <w:r w:rsidRPr="00F76E85">
        <w:rPr>
          <w:rFonts w:eastAsia="Calibri" w:cs="Sylfaen"/>
          <w:b w:val="0"/>
          <w:i/>
          <w:sz w:val="18"/>
          <w:szCs w:val="18"/>
          <w:lang w:val="hy-AM"/>
        </w:rPr>
        <w:t>Աղբյուրը՝ ՀՀ ՖՆ գնահատումներ և կանխատեսումներ: Գծապատկերներում ցուցանիշները ներկայացված են որպես իրենց հավասարակշիռ մակարդակներից, համապատասխանաբար,  տոկոս կամ տոկոսային կետ շեղումներով</w:t>
      </w:r>
    </w:p>
    <w:p w:rsidR="009F0A25" w:rsidRDefault="009F0A25" w:rsidP="007730AA">
      <w:pPr>
        <w:spacing w:before="0"/>
        <w:rPr>
          <w:rFonts w:eastAsia="Calibri" w:cs="Sylfaen"/>
          <w:i/>
          <w:sz w:val="18"/>
          <w:szCs w:val="18"/>
          <w:lang w:val="hy-AM"/>
        </w:rPr>
      </w:pPr>
    </w:p>
    <w:p w:rsidR="009F0A25" w:rsidRDefault="009F0A25" w:rsidP="007730AA">
      <w:pPr>
        <w:spacing w:before="0"/>
        <w:rPr>
          <w:rFonts w:eastAsia="Calibri" w:cs="Sylfaen"/>
          <w:i/>
          <w:sz w:val="18"/>
          <w:szCs w:val="18"/>
          <w:lang w:val="hy-AM"/>
        </w:rPr>
      </w:pPr>
    </w:p>
    <w:p w:rsidR="00F76E85" w:rsidRDefault="00F76E85" w:rsidP="007730AA">
      <w:pPr>
        <w:spacing w:before="0"/>
        <w:rPr>
          <w:rFonts w:eastAsia="Calibri" w:cs="Sylfaen"/>
          <w:i/>
          <w:sz w:val="18"/>
          <w:szCs w:val="18"/>
          <w:lang w:val="hy-AM"/>
        </w:rPr>
      </w:pPr>
    </w:p>
    <w:p w:rsidR="009F0A25" w:rsidRDefault="009F0A25" w:rsidP="007730AA">
      <w:pPr>
        <w:spacing w:before="0"/>
        <w:rPr>
          <w:rFonts w:eastAsia="Calibri" w:cs="Sylfaen"/>
          <w:i/>
          <w:sz w:val="18"/>
          <w:szCs w:val="18"/>
          <w:lang w:val="hy-AM"/>
        </w:rPr>
      </w:pPr>
    </w:p>
    <w:p w:rsidR="009F0A25" w:rsidRDefault="009F0A25" w:rsidP="007730AA">
      <w:pPr>
        <w:spacing w:before="0"/>
        <w:rPr>
          <w:rFonts w:eastAsia="Calibri" w:cs="Sylfaen"/>
          <w:i/>
          <w:sz w:val="18"/>
          <w:szCs w:val="18"/>
          <w:lang w:val="hy-AM"/>
        </w:rPr>
      </w:pPr>
    </w:p>
    <w:p w:rsidR="009F0A25" w:rsidRDefault="009F0A25" w:rsidP="007730AA">
      <w:pPr>
        <w:spacing w:before="0"/>
        <w:rPr>
          <w:rFonts w:eastAsia="Calibri" w:cs="Sylfaen"/>
          <w:i/>
          <w:sz w:val="18"/>
          <w:szCs w:val="18"/>
          <w:lang w:val="hy-AM"/>
        </w:rPr>
      </w:pPr>
    </w:p>
    <w:p w:rsidR="005578F9" w:rsidRPr="001A41E1" w:rsidRDefault="005578F9" w:rsidP="007730AA">
      <w:pPr>
        <w:spacing w:before="0"/>
        <w:rPr>
          <w:rFonts w:eastAsia="Calibri" w:cs="Sylfaen"/>
          <w:i/>
          <w:sz w:val="18"/>
          <w:szCs w:val="18"/>
          <w:lang w:val="hy-AM"/>
        </w:rPr>
      </w:pPr>
    </w:p>
    <w:p w:rsidR="009F0A25" w:rsidRPr="00853619" w:rsidRDefault="009F0A25" w:rsidP="007730AA">
      <w:pPr>
        <w:spacing w:before="0" w:line="276" w:lineRule="auto"/>
        <w:rPr>
          <w:rFonts w:cs="Sylfaen"/>
          <w:b w:val="0"/>
          <w:i/>
          <w:sz w:val="21"/>
          <w:szCs w:val="21"/>
          <w:lang w:val="hy-AM"/>
        </w:rPr>
      </w:pPr>
      <w:r w:rsidRPr="001A41E1">
        <w:rPr>
          <w:rFonts w:cs="Sylfaen"/>
          <w:i/>
          <w:lang w:val="hy-AM"/>
        </w:rPr>
        <w:t>Գծապատկեր 1.31.</w:t>
      </w:r>
      <w:r w:rsidRPr="001A41E1">
        <w:rPr>
          <w:rFonts w:cs="Sylfaen"/>
          <w:i/>
          <w:sz w:val="21"/>
          <w:szCs w:val="21"/>
          <w:lang w:val="hy-AM"/>
        </w:rPr>
        <w:t xml:space="preserve"> </w:t>
      </w:r>
      <w:r w:rsidRPr="00F76E85">
        <w:rPr>
          <w:rFonts w:cs="Sylfaen"/>
          <w:b w:val="0"/>
          <w:i/>
          <w:sz w:val="20"/>
          <w:szCs w:val="20"/>
          <w:lang w:val="hy-AM"/>
        </w:rPr>
        <w:t>Հարկաբյուջետային միջավայրը  շոկերի ազդեցության ներքո և քաղաքականության իրականացումից հետո</w:t>
      </w:r>
      <w:r w:rsidRPr="001A41E1">
        <w:rPr>
          <w:rFonts w:cs="Sylfaen"/>
          <w:i/>
          <w:sz w:val="21"/>
          <w:szCs w:val="21"/>
          <w:lang w:val="hy-AM"/>
        </w:rPr>
        <w:t xml:space="preserve"> </w:t>
      </w:r>
    </w:p>
    <w:p w:rsidR="009F0A25" w:rsidRPr="001A41E1" w:rsidRDefault="009F0A25" w:rsidP="007730AA">
      <w:pPr>
        <w:spacing w:before="0" w:line="276" w:lineRule="auto"/>
        <w:rPr>
          <w:rFonts w:cs="Sylfaen"/>
          <w:i/>
          <w:sz w:val="18"/>
          <w:szCs w:val="18"/>
          <w:u w:val="single"/>
          <w:lang w:val="hy-AM"/>
        </w:rPr>
      </w:pPr>
      <w:r w:rsidRPr="000E6B55">
        <w:rPr>
          <w:rFonts w:cs="Sylfaen"/>
          <w:i/>
          <w:noProof/>
          <w:sz w:val="18"/>
          <w:szCs w:val="18"/>
          <w:u w:val="single"/>
          <w:lang w:val="en-US" w:eastAsia="en-US"/>
        </w:rPr>
        <w:drawing>
          <wp:inline distT="0" distB="0" distL="0" distR="0">
            <wp:extent cx="6370320" cy="245745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0320" cy="2457450"/>
                    </a:xfrm>
                    <a:prstGeom prst="rect">
                      <a:avLst/>
                    </a:prstGeom>
                    <a:noFill/>
                    <a:ln>
                      <a:noFill/>
                    </a:ln>
                  </pic:spPr>
                </pic:pic>
              </a:graphicData>
            </a:graphic>
          </wp:inline>
        </w:drawing>
      </w:r>
    </w:p>
    <w:p w:rsidR="009F0A25" w:rsidRPr="00F76E85" w:rsidRDefault="009F0A25" w:rsidP="007730AA">
      <w:pPr>
        <w:spacing w:before="0" w:line="276" w:lineRule="auto"/>
        <w:rPr>
          <w:rFonts w:cs="Sylfaen"/>
          <w:b w:val="0"/>
          <w:i/>
          <w:sz w:val="18"/>
          <w:szCs w:val="18"/>
          <w:lang w:val="hy-AM"/>
        </w:rPr>
      </w:pPr>
      <w:r w:rsidRPr="00F76E85">
        <w:rPr>
          <w:rFonts w:cs="Sylfaen"/>
          <w:b w:val="0"/>
          <w:i/>
          <w:sz w:val="18"/>
          <w:szCs w:val="18"/>
          <w:lang w:val="hy-AM"/>
        </w:rPr>
        <w:t>Աղբյուրը՝ ՀՀ ՖՆ գնահատումներ և կանխատեսումներ: Գծապատկերներում ցուցանիշները ներկայացված են որպես իրենց հավասարակշիռ մակարդակներից տոկոսային կետ շեղումներով</w:t>
      </w:r>
    </w:p>
    <w:p w:rsidR="009F0A25" w:rsidRPr="001A41E1" w:rsidRDefault="008239DE" w:rsidP="007730AA">
      <w:pPr>
        <w:spacing w:before="0"/>
        <w:ind w:firstLine="0"/>
        <w:rPr>
          <w:lang w:val="hy-AM"/>
        </w:rPr>
      </w:pPr>
      <w:r>
        <w:rPr>
          <w:rFonts w:eastAsia="Calibri"/>
          <w:noProof/>
          <w:lang w:val="en-US" w:eastAsia="en-US"/>
        </w:rPr>
        <mc:AlternateContent>
          <mc:Choice Requires="wps">
            <w:drawing>
              <wp:inline distT="0" distB="0" distL="0" distR="0">
                <wp:extent cx="6467475" cy="5953125"/>
                <wp:effectExtent l="9525" t="9525" r="9525" b="9525"/>
                <wp:docPr id="1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5953125"/>
                        </a:xfrm>
                        <a:prstGeom prst="rect">
                          <a:avLst/>
                        </a:prstGeom>
                        <a:solidFill>
                          <a:srgbClr val="D8E2F4"/>
                        </a:solidFill>
                        <a:ln w="6350">
                          <a:solidFill>
                            <a:srgbClr val="000000"/>
                          </a:solidFill>
                          <a:miter lim="800000"/>
                          <a:headEnd/>
                          <a:tailEnd/>
                        </a:ln>
                      </wps:spPr>
                      <wps:txbx>
                        <w:txbxContent>
                          <w:p w:rsidR="002026A8" w:rsidRPr="00F76E85" w:rsidRDefault="002026A8" w:rsidP="00F76E85">
                            <w:pPr>
                              <w:spacing w:line="276" w:lineRule="auto"/>
                              <w:ind w:firstLine="720"/>
                              <w:rPr>
                                <w:rFonts w:eastAsia="GHEA Grapalat" w:cs="GHEA Grapalat"/>
                                <w:b w:val="0"/>
                                <w:bCs/>
                                <w:i/>
                                <w:sz w:val="18"/>
                                <w:szCs w:val="18"/>
                                <w:lang w:val="hy-AM"/>
                              </w:rPr>
                            </w:pPr>
                            <w:r w:rsidRPr="00F76E85">
                              <w:rPr>
                                <w:rFonts w:eastAsia="GHEA Grapalat" w:cs="GHEA Grapalat"/>
                                <w:b w:val="0"/>
                                <w:bCs/>
                                <w:i/>
                                <w:sz w:val="18"/>
                                <w:szCs w:val="18"/>
                                <w:lang w:val="hy-AM"/>
                              </w:rPr>
                              <w:t>Ներդիր</w:t>
                            </w:r>
                            <w:r w:rsidRPr="00F76E85">
                              <w:rPr>
                                <w:rFonts w:eastAsia="GHEA Grapalat" w:cs="GHEA Grapalat"/>
                                <w:b w:val="0"/>
                                <w:bCs/>
                                <w:i/>
                                <w:sz w:val="18"/>
                                <w:szCs w:val="18"/>
                              </w:rPr>
                              <w:t xml:space="preserve"> 2. </w:t>
                            </w:r>
                            <w:r w:rsidRPr="00F76E85">
                              <w:rPr>
                                <w:rFonts w:eastAsia="GHEA Grapalat" w:cs="GHEA Grapalat"/>
                                <w:b w:val="0"/>
                                <w:bCs/>
                                <w:i/>
                                <w:sz w:val="18"/>
                                <w:szCs w:val="18"/>
                                <w:lang w:val="hy-AM"/>
                              </w:rPr>
                              <w:t xml:space="preserve">ՀՀ ՖՆ հարկաբյուջետային քաղաքականության </w:t>
                            </w:r>
                            <w:r w:rsidRPr="00F76E85">
                              <w:rPr>
                                <w:rFonts w:eastAsia="GHEA Grapalat" w:cs="GHEA Grapalat"/>
                                <w:b w:val="0"/>
                                <w:bCs/>
                                <w:i/>
                                <w:sz w:val="18"/>
                                <w:szCs w:val="18"/>
                              </w:rPr>
                              <w:t>DSGE</w:t>
                            </w:r>
                            <w:r w:rsidRPr="00F76E85">
                              <w:rPr>
                                <w:rFonts w:eastAsia="GHEA Grapalat" w:cs="GHEA Grapalat"/>
                                <w:b w:val="0"/>
                                <w:bCs/>
                                <w:i/>
                                <w:sz w:val="18"/>
                                <w:szCs w:val="18"/>
                                <w:lang w:val="hy-AM"/>
                              </w:rPr>
                              <w:t xml:space="preserve"> մոդելը </w:t>
                            </w:r>
                            <w:r w:rsidRPr="00F76E85">
                              <w:rPr>
                                <w:b w:val="0"/>
                                <w:bCs/>
                                <w:sz w:val="18"/>
                                <w:szCs w:val="18"/>
                                <w:lang w:val="hy-AM"/>
                              </w:rPr>
                              <w:t>(Fiscal Policy Strategy</w:t>
                            </w:r>
                            <w:r w:rsidRPr="00F76E85">
                              <w:rPr>
                                <w:b w:val="0"/>
                                <w:bCs/>
                                <w:sz w:val="18"/>
                                <w:szCs w:val="18"/>
                              </w:rPr>
                              <w:t xml:space="preserve"> DSGE</w:t>
                            </w:r>
                            <w:r w:rsidRPr="00F76E85">
                              <w:rPr>
                                <w:b w:val="0"/>
                                <w:bCs/>
                                <w:sz w:val="18"/>
                                <w:szCs w:val="18"/>
                                <w:lang w:val="hy-AM"/>
                              </w:rPr>
                              <w:t>)</w:t>
                            </w:r>
                          </w:p>
                          <w:p w:rsidR="002026A8" w:rsidRPr="00F76E85" w:rsidRDefault="002026A8" w:rsidP="00F76E85">
                            <w:pPr>
                              <w:tabs>
                                <w:tab w:val="left" w:pos="720"/>
                              </w:tabs>
                              <w:spacing w:line="276" w:lineRule="auto"/>
                              <w:rPr>
                                <w:b w:val="0"/>
                                <w:bCs/>
                                <w:sz w:val="18"/>
                                <w:szCs w:val="18"/>
                                <w:lang w:val="hy-AM"/>
                              </w:rPr>
                            </w:pPr>
                            <w:r w:rsidRPr="00F76E85">
                              <w:rPr>
                                <w:b w:val="0"/>
                                <w:bCs/>
                                <w:sz w:val="18"/>
                                <w:szCs w:val="18"/>
                                <w:lang w:val="hy-AM"/>
                              </w:rPr>
                              <w:tab/>
                              <w:t>FPS DSGE մոդելը իր տեսակի մեջ առաջինն է, որը մշակվել է ՀՀ ՖՆ-ում և պատկանում է նախարարությանը: Մոդելի մշակումը կարևորագույն քայլ է ՀՀ ՖՆ-ում քանակական մակրոտնտեսական մոդելավորման ավանդույթի ձևավորման ուղղությամբ: Հարկաբյուջետային քաղաքականության մշակմանն ու իրականացմանն աջակցելու համար ՀՀ ՖՆ մակրոտնտեսական կանխատեսման և վերլուծության համակարգը անցել է զարգացման որոշ փուլեր` պարզ մեթոդներից մինչև կիսակառուցվածքային վիճակագրական մեթոդներ, ինչը սակայն, բավարար չէ հարկաբյուջետային քաղաքականության միջնաժամկետ և երկարաժամկետ բազմակողմանի հետևանքները վերլուծելու, ինչպես նաև արդյունավետ ու հետևողական ձևով քաղաքականության սցենարներ մշակելու համար։ Նշված խնդրին ինստիտուցիոնալ լուծում տալու նպատակով ՀՀ ՖՆ և ԱՄՀ համատեղ ջանքերով մշակվել է հարկաբյուջետային քաղաքականության ռազմավարության մոդելը, որը լիովին կալիբրացված, ստուգված և համապատասխանեցված է Հայաստանի տնտեսական զարգացումներին և մակրոտնտեսական քաղաքականությունների միտումներին, պատկանում է նախարարությանը և կարող է օգտագործվել հարկաբյուջետային և այլ մակրոտմտեսական քաղաքականությունների խնդիրների լայն դասի վերլուծության համար:</w:t>
                            </w:r>
                          </w:p>
                          <w:p w:rsidR="002026A8" w:rsidRPr="00F76E85" w:rsidRDefault="002026A8" w:rsidP="00F76E85">
                            <w:pPr>
                              <w:tabs>
                                <w:tab w:val="left" w:pos="720"/>
                              </w:tabs>
                              <w:spacing w:line="276" w:lineRule="auto"/>
                              <w:rPr>
                                <w:b w:val="0"/>
                                <w:bCs/>
                                <w:sz w:val="18"/>
                                <w:szCs w:val="18"/>
                                <w:lang w:val="hy-AM"/>
                              </w:rPr>
                            </w:pPr>
                            <w:r w:rsidRPr="00F76E85">
                              <w:rPr>
                                <w:b w:val="0"/>
                                <w:bCs/>
                                <w:sz w:val="18"/>
                                <w:szCs w:val="18"/>
                                <w:lang w:val="hy-AM"/>
                              </w:rPr>
                              <w:tab/>
                              <w:t xml:space="preserve">Այսպիսով, հարկաբյուջետային քաղաքականության ռազմավարության մոդելը ամբողջությամբ միկրո հիմքերով փոքր բաց տնտեսության դինամիկ ստոխաստիկ ընդհանուր հավասարակշռության (DSGE) մոդել է, որտեղ շեշտադրվում է հարկաբյուջետային քաղաքականությունը։ </w:t>
                            </w:r>
                          </w:p>
                          <w:p w:rsidR="002026A8" w:rsidRPr="00F76E85" w:rsidRDefault="002026A8" w:rsidP="00F76E85">
                            <w:pPr>
                              <w:tabs>
                                <w:tab w:val="left" w:pos="720"/>
                              </w:tabs>
                              <w:spacing w:line="276" w:lineRule="auto"/>
                              <w:rPr>
                                <w:b w:val="0"/>
                                <w:bCs/>
                                <w:sz w:val="18"/>
                                <w:szCs w:val="18"/>
                                <w:lang w:val="hy-AM"/>
                              </w:rPr>
                            </w:pPr>
                            <w:r w:rsidRPr="00F76E85">
                              <w:rPr>
                                <w:b w:val="0"/>
                                <w:bCs/>
                                <w:sz w:val="18"/>
                                <w:szCs w:val="18"/>
                                <w:lang w:val="hy-AM"/>
                              </w:rPr>
                              <w:tab/>
                              <w:t>Մոդելի հիմնական կառուցվածքային հատկանիշներն են՝</w:t>
                            </w:r>
                          </w:p>
                          <w:p w:rsidR="002026A8" w:rsidRPr="00F76E85" w:rsidRDefault="002026A8"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հարկաբյուջետային քաղաքականության գործիքների՝ հարկերի, պետական ծախսերի և պետական տրանսֆերտների առկայություն</w:t>
                            </w:r>
                          </w:p>
                          <w:p w:rsidR="002026A8" w:rsidRPr="00F76E85" w:rsidRDefault="002026A8"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դրամավարկային քաղաքականության գործիքների առկայություն</w:t>
                            </w:r>
                          </w:p>
                          <w:p w:rsidR="002026A8" w:rsidRPr="00F76E85" w:rsidRDefault="002026A8"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երկու խմբի տնային տնտեսություններ՝ համատեղ գոյատևող/խնայող (OLG) և սահմանափակ իրացվելիությամբ (ROT)</w:t>
                            </w:r>
                          </w:p>
                          <w:p w:rsidR="002026A8" w:rsidRPr="00F76E85" w:rsidRDefault="002026A8"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տնտեսության արտահանելի և ոչ արտահանելի հատվածներ</w:t>
                            </w:r>
                          </w:p>
                          <w:p w:rsidR="002026A8" w:rsidRPr="00F76E85" w:rsidRDefault="002026A8"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կապիտալ արտադրող ֆիրմաներ, վերավաճառողներ, արհմիություններ։</w:t>
                            </w:r>
                          </w:p>
                          <w:p w:rsidR="002026A8" w:rsidRPr="00F76E85" w:rsidRDefault="002026A8" w:rsidP="00F76E85">
                            <w:pPr>
                              <w:tabs>
                                <w:tab w:val="left" w:pos="720"/>
                              </w:tabs>
                              <w:spacing w:line="276" w:lineRule="auto"/>
                              <w:rPr>
                                <w:b w:val="0"/>
                                <w:sz w:val="18"/>
                                <w:szCs w:val="18"/>
                                <w:lang w:val="hy-AM"/>
                              </w:rPr>
                            </w:pPr>
                            <w:r w:rsidRPr="00F76E85">
                              <w:rPr>
                                <w:b w:val="0"/>
                                <w:bCs/>
                                <w:sz w:val="18"/>
                                <w:szCs w:val="18"/>
                                <w:lang w:val="hy-AM"/>
                              </w:rPr>
                              <w:tab/>
                              <w:t>Մոդելում կան նաև վարքագծային հատկանիշներ,</w:t>
                            </w:r>
                            <w:r w:rsidRPr="00F76E85">
                              <w:rPr>
                                <w:b w:val="0"/>
                                <w:sz w:val="18"/>
                                <w:szCs w:val="18"/>
                                <w:lang w:val="hy-AM"/>
                              </w:rPr>
                              <w:t xml:space="preserve"> որոնց շնորհիվ տարբեր խմբերի տնային տնտեսություններն ու ֆիրմաները որոշակի ձևով են արձագանքում հարկաբյուջետային քաղաքականության փոփոխություններին:</w:t>
                            </w:r>
                            <w:r w:rsidRPr="00F76E85">
                              <w:rPr>
                                <w:b w:val="0"/>
                                <w:bCs/>
                                <w:sz w:val="18"/>
                                <w:szCs w:val="18"/>
                                <w:lang w:val="hy-AM"/>
                              </w:rPr>
                              <w:t xml:space="preserve"> </w:t>
                            </w:r>
                            <w:r w:rsidRPr="00F76E85">
                              <w:rPr>
                                <w:b w:val="0"/>
                                <w:sz w:val="18"/>
                                <w:szCs w:val="18"/>
                                <w:lang w:val="hy-AM"/>
                              </w:rPr>
                              <w:t xml:space="preserve">Մոդելը հիմնվում է տնտեսական գործակալների վարքագծի վրա և թույլ է տալիս բացահայտել հարկաբյուջետային քաղաքականության բազմակողմանի ազդեցությունները, ինչը դժվար է իրագործել վիճակագրական մոդելների միջոցով։ Այսպիսով, նշված գործիքի միջոցով հնարավոր է դառնում  հասկանալ քաղաքականության փոփոխությունների մակրոտնտեսական ազդեցությունները, դրանց փոխանցումային մեխանիզմը և քանակապես գնահատել հարկաբյուջետային քաղաքականության ազդեցությունները տնտեսական զարգացումների վրա միջին և երակարաժամկետ հատվածներում: </w:t>
                            </w:r>
                          </w:p>
                          <w:p w:rsidR="002026A8" w:rsidRPr="0059524A" w:rsidRDefault="002026A8" w:rsidP="00F76E85">
                            <w:pPr>
                              <w:spacing w:line="276" w:lineRule="auto"/>
                              <w:rPr>
                                <w:sz w:val="18"/>
                                <w:szCs w:val="18"/>
                                <w:lang w:val="hy-AM"/>
                              </w:rPr>
                            </w:pPr>
                          </w:p>
                          <w:p w:rsidR="002026A8" w:rsidRPr="0059524A" w:rsidRDefault="002026A8" w:rsidP="009F0A25">
                            <w:pPr>
                              <w:rPr>
                                <w:sz w:val="18"/>
                                <w:szCs w:val="18"/>
                                <w:lang w:val="hy-AM"/>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02" o:spid="_x0000_s1026" type="#_x0000_t202" style="width:509.25pt;height:46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" fillcolor="#d8e2f4" strokeweight=".5pt">
                <v:textbox>
                  <w:txbxContent>
                    <w:p w:rsidR="002026A8" w:rsidRPr="00F76E85" w:rsidRDefault="002026A8" w:rsidP="00F76E85">
                      <w:pPr>
                        <w:spacing w:line="276" w:lineRule="auto"/>
                        <w:ind w:firstLine="720"/>
                        <w:rPr>
                          <w:rFonts w:eastAsia="GHEA Grapalat" w:cs="GHEA Grapalat"/>
                          <w:b w:val="0"/>
                          <w:bCs/>
                          <w:i/>
                          <w:sz w:val="18"/>
                          <w:szCs w:val="18"/>
                          <w:lang w:val="hy-AM"/>
                        </w:rPr>
                      </w:pPr>
                      <w:r w:rsidRPr="00F76E85">
                        <w:rPr>
                          <w:rFonts w:eastAsia="GHEA Grapalat" w:cs="GHEA Grapalat"/>
                          <w:b w:val="0"/>
                          <w:bCs/>
                          <w:i/>
                          <w:sz w:val="18"/>
                          <w:szCs w:val="18"/>
                          <w:lang w:val="hy-AM"/>
                        </w:rPr>
                        <w:t>Ներդիր</w:t>
                      </w:r>
                      <w:r w:rsidRPr="00F76E85">
                        <w:rPr>
                          <w:rFonts w:eastAsia="GHEA Grapalat" w:cs="GHEA Grapalat"/>
                          <w:b w:val="0"/>
                          <w:bCs/>
                          <w:i/>
                          <w:sz w:val="18"/>
                          <w:szCs w:val="18"/>
                        </w:rPr>
                        <w:t xml:space="preserve"> 2. </w:t>
                      </w:r>
                      <w:r w:rsidRPr="00F76E85">
                        <w:rPr>
                          <w:rFonts w:eastAsia="GHEA Grapalat" w:cs="GHEA Grapalat"/>
                          <w:b w:val="0"/>
                          <w:bCs/>
                          <w:i/>
                          <w:sz w:val="18"/>
                          <w:szCs w:val="18"/>
                          <w:lang w:val="hy-AM"/>
                        </w:rPr>
                        <w:t xml:space="preserve">ՀՀ ՖՆ հարկաբյուջետային քաղաքականության </w:t>
                      </w:r>
                      <w:r w:rsidRPr="00F76E85">
                        <w:rPr>
                          <w:rFonts w:eastAsia="GHEA Grapalat" w:cs="GHEA Grapalat"/>
                          <w:b w:val="0"/>
                          <w:bCs/>
                          <w:i/>
                          <w:sz w:val="18"/>
                          <w:szCs w:val="18"/>
                        </w:rPr>
                        <w:t>DSGE</w:t>
                      </w:r>
                      <w:r w:rsidRPr="00F76E85">
                        <w:rPr>
                          <w:rFonts w:eastAsia="GHEA Grapalat" w:cs="GHEA Grapalat"/>
                          <w:b w:val="0"/>
                          <w:bCs/>
                          <w:i/>
                          <w:sz w:val="18"/>
                          <w:szCs w:val="18"/>
                          <w:lang w:val="hy-AM"/>
                        </w:rPr>
                        <w:t xml:space="preserve"> մոդելը </w:t>
                      </w:r>
                      <w:r w:rsidRPr="00F76E85">
                        <w:rPr>
                          <w:b w:val="0"/>
                          <w:bCs/>
                          <w:sz w:val="18"/>
                          <w:szCs w:val="18"/>
                          <w:lang w:val="hy-AM"/>
                        </w:rPr>
                        <w:t>(Fiscal Policy Strategy</w:t>
                      </w:r>
                      <w:r w:rsidRPr="00F76E85">
                        <w:rPr>
                          <w:b w:val="0"/>
                          <w:bCs/>
                          <w:sz w:val="18"/>
                          <w:szCs w:val="18"/>
                        </w:rPr>
                        <w:t xml:space="preserve"> DSGE</w:t>
                      </w:r>
                      <w:r w:rsidRPr="00F76E85">
                        <w:rPr>
                          <w:b w:val="0"/>
                          <w:bCs/>
                          <w:sz w:val="18"/>
                          <w:szCs w:val="18"/>
                          <w:lang w:val="hy-AM"/>
                        </w:rPr>
                        <w:t>)</w:t>
                      </w:r>
                    </w:p>
                    <w:p w:rsidR="002026A8" w:rsidRPr="00F76E85" w:rsidRDefault="002026A8" w:rsidP="00F76E85">
                      <w:pPr>
                        <w:tabs>
                          <w:tab w:val="left" w:pos="720"/>
                        </w:tabs>
                        <w:spacing w:line="276" w:lineRule="auto"/>
                        <w:rPr>
                          <w:b w:val="0"/>
                          <w:bCs/>
                          <w:sz w:val="18"/>
                          <w:szCs w:val="18"/>
                          <w:lang w:val="hy-AM"/>
                        </w:rPr>
                      </w:pPr>
                      <w:r w:rsidRPr="00F76E85">
                        <w:rPr>
                          <w:b w:val="0"/>
                          <w:bCs/>
                          <w:sz w:val="18"/>
                          <w:szCs w:val="18"/>
                          <w:lang w:val="hy-AM"/>
                        </w:rPr>
                        <w:tab/>
                        <w:t>FPS DSGE մոդելը իր տեսակի մեջ առաջինն է, որը մշակվել է ՀՀ ՖՆ-ում և պատկանում է նախարարությանը: Մոդելի մշակումը կարևորագույն քայլ է ՀՀ ՖՆ-ում քանակական մակրոտնտեսական մոդելավորման ավանդույթի ձևավորման ուղղությամբ: Հարկաբյուջետային քաղաքականության մշակմանն ու իրականացմանն աջակցելու համար ՀՀ ՖՆ մակրոտնտեսական կանխատեսման և վերլուծության համակարգը անցել է զարգացման որոշ փուլեր` պարզ մեթոդներից մինչև կիսակառուցվածքային վիճակագրական մեթոդներ, ինչը սակայն, բավարար չէ հարկաբյուջետային քաղաքականության միջնաժամկետ և երկարաժամկետ բազմակողմանի հետևանքները վերլուծելու, ինչպես նաև արդյունավետ ու հետևողական ձևով քաղաքականության սցենարներ մշակելու համար։ Նշված խնդրին ինստիտուցիոնալ լուծում տալու նպատակով ՀՀ ՖՆ և ԱՄՀ համատեղ ջանքերով մշակվել է հարկաբյուջետային քաղաքականության ռազմավարության մոդելը, որը լիովին կալիբրացված, ստուգված և համապատասխանեցված է Հայաստանի տնտեսական զարգացումներին և մակրոտնտեսական քաղաքականությունների միտումներին, պատկանում է նախարարությանը և կարող է օգտագործվել հարկաբյուջետային և այլ մակրոտմտեսական քաղաքականությունների խնդիրների լայն դասի վերլուծության համար:</w:t>
                      </w:r>
                    </w:p>
                    <w:p w:rsidR="002026A8" w:rsidRPr="00F76E85" w:rsidRDefault="002026A8" w:rsidP="00F76E85">
                      <w:pPr>
                        <w:tabs>
                          <w:tab w:val="left" w:pos="720"/>
                        </w:tabs>
                        <w:spacing w:line="276" w:lineRule="auto"/>
                        <w:rPr>
                          <w:b w:val="0"/>
                          <w:bCs/>
                          <w:sz w:val="18"/>
                          <w:szCs w:val="18"/>
                          <w:lang w:val="hy-AM"/>
                        </w:rPr>
                      </w:pPr>
                      <w:r w:rsidRPr="00F76E85">
                        <w:rPr>
                          <w:b w:val="0"/>
                          <w:bCs/>
                          <w:sz w:val="18"/>
                          <w:szCs w:val="18"/>
                          <w:lang w:val="hy-AM"/>
                        </w:rPr>
                        <w:tab/>
                        <w:t xml:space="preserve">Այսպիսով, հարկաբյուջետային քաղաքականության ռազմավարության մոդելը ամբողջությամբ միկրո հիմքերով փոքր բաց տնտեսության դինամիկ ստոխաստիկ ընդհանուր հավասարակշռության (DSGE) մոդել է, որտեղ շեշտադրվում է հարկաբյուջետային քաղաքականությունը։ </w:t>
                      </w:r>
                    </w:p>
                    <w:p w:rsidR="002026A8" w:rsidRPr="00F76E85" w:rsidRDefault="002026A8" w:rsidP="00F76E85">
                      <w:pPr>
                        <w:tabs>
                          <w:tab w:val="left" w:pos="720"/>
                        </w:tabs>
                        <w:spacing w:line="276" w:lineRule="auto"/>
                        <w:rPr>
                          <w:b w:val="0"/>
                          <w:bCs/>
                          <w:sz w:val="18"/>
                          <w:szCs w:val="18"/>
                          <w:lang w:val="hy-AM"/>
                        </w:rPr>
                      </w:pPr>
                      <w:r w:rsidRPr="00F76E85">
                        <w:rPr>
                          <w:b w:val="0"/>
                          <w:bCs/>
                          <w:sz w:val="18"/>
                          <w:szCs w:val="18"/>
                          <w:lang w:val="hy-AM"/>
                        </w:rPr>
                        <w:tab/>
                        <w:t>Մոդելի հիմնական կառուցվածքային հատկանիշներն են՝</w:t>
                      </w:r>
                    </w:p>
                    <w:p w:rsidR="002026A8" w:rsidRPr="00F76E85" w:rsidRDefault="002026A8"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հարկաբյուջետային քաղաքականության գործիքների՝ հարկերի, պետական ծախսերի և պետական տրանսֆերտների առկայություն</w:t>
                      </w:r>
                    </w:p>
                    <w:p w:rsidR="002026A8" w:rsidRPr="00F76E85" w:rsidRDefault="002026A8"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դրամավարկային քաղաքականության գործիքների առկայություն</w:t>
                      </w:r>
                    </w:p>
                    <w:p w:rsidR="002026A8" w:rsidRPr="00F76E85" w:rsidRDefault="002026A8"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երկու խմբի տնային տնտեսություններ՝ համատեղ գոյատևող/խնայող (OLG) և սահմանափակ իրացվելիությամբ (ROT)</w:t>
                      </w:r>
                    </w:p>
                    <w:p w:rsidR="002026A8" w:rsidRPr="00F76E85" w:rsidRDefault="002026A8"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տնտեսության արտահանելի և ոչ արտահանելի հատվածներ</w:t>
                      </w:r>
                    </w:p>
                    <w:p w:rsidR="002026A8" w:rsidRPr="00F76E85" w:rsidRDefault="002026A8" w:rsidP="00F76E85">
                      <w:pPr>
                        <w:numPr>
                          <w:ilvl w:val="0"/>
                          <w:numId w:val="56"/>
                        </w:numPr>
                        <w:tabs>
                          <w:tab w:val="left" w:pos="720"/>
                        </w:tabs>
                        <w:spacing w:before="0" w:line="276" w:lineRule="auto"/>
                        <w:contextualSpacing w:val="0"/>
                        <w:rPr>
                          <w:b w:val="0"/>
                          <w:bCs/>
                          <w:sz w:val="18"/>
                          <w:szCs w:val="18"/>
                          <w:lang w:val="hy-AM"/>
                        </w:rPr>
                      </w:pPr>
                      <w:r w:rsidRPr="00F76E85">
                        <w:rPr>
                          <w:b w:val="0"/>
                          <w:bCs/>
                          <w:sz w:val="18"/>
                          <w:szCs w:val="18"/>
                          <w:lang w:val="hy-AM"/>
                        </w:rPr>
                        <w:t>կապիտալ արտադրող ֆիրմաներ, վերավաճառողներ, արհմիություններ։</w:t>
                      </w:r>
                    </w:p>
                    <w:p w:rsidR="002026A8" w:rsidRPr="00F76E85" w:rsidRDefault="002026A8" w:rsidP="00F76E85">
                      <w:pPr>
                        <w:tabs>
                          <w:tab w:val="left" w:pos="720"/>
                        </w:tabs>
                        <w:spacing w:line="276" w:lineRule="auto"/>
                        <w:rPr>
                          <w:b w:val="0"/>
                          <w:sz w:val="18"/>
                          <w:szCs w:val="18"/>
                          <w:lang w:val="hy-AM"/>
                        </w:rPr>
                      </w:pPr>
                      <w:r w:rsidRPr="00F76E85">
                        <w:rPr>
                          <w:b w:val="0"/>
                          <w:bCs/>
                          <w:sz w:val="18"/>
                          <w:szCs w:val="18"/>
                          <w:lang w:val="hy-AM"/>
                        </w:rPr>
                        <w:tab/>
                        <w:t>Մոդելում կան նաև վարքագծային հատկանիշներ,</w:t>
                      </w:r>
                      <w:r w:rsidRPr="00F76E85">
                        <w:rPr>
                          <w:b w:val="0"/>
                          <w:sz w:val="18"/>
                          <w:szCs w:val="18"/>
                          <w:lang w:val="hy-AM"/>
                        </w:rPr>
                        <w:t xml:space="preserve"> որոնց շնորհիվ տարբեր խմբերի տնային տնտեսություններն ու ֆիրմաները որոշակի ձևով են արձագանքում հարկաբյուջետային քաղաքականության փոփոխություններին:</w:t>
                      </w:r>
                      <w:r w:rsidRPr="00F76E85">
                        <w:rPr>
                          <w:b w:val="0"/>
                          <w:bCs/>
                          <w:sz w:val="18"/>
                          <w:szCs w:val="18"/>
                          <w:lang w:val="hy-AM"/>
                        </w:rPr>
                        <w:t xml:space="preserve"> </w:t>
                      </w:r>
                      <w:r w:rsidRPr="00F76E85">
                        <w:rPr>
                          <w:b w:val="0"/>
                          <w:sz w:val="18"/>
                          <w:szCs w:val="18"/>
                          <w:lang w:val="hy-AM"/>
                        </w:rPr>
                        <w:t xml:space="preserve">Մոդելը հիմնվում է տնտեսական գործակալների վարքագծի վրա և թույլ է տալիս բացահայտել հարկաբյուջետային քաղաքականության բազմակողմանի ազդեցությունները, ինչը դժվար է իրագործել վիճակագրական մոդելների միջոցով։ Այսպիսով, նշված գործիքի միջոցով հնարավոր է դառնում  հասկանալ քաղաքականության փոփոխությունների մակրոտնտեսական ազդեցությունները, դրանց փոխանցումային մեխանիզմը և քանակապես գնահատել հարկաբյուջետային քաղաքականության ազդեցությունները տնտեսական զարգացումների վրա միջին և երակարաժամկետ հատվածներում: </w:t>
                      </w:r>
                    </w:p>
                    <w:p w:rsidR="002026A8" w:rsidRPr="0059524A" w:rsidRDefault="002026A8" w:rsidP="00F76E85">
                      <w:pPr>
                        <w:spacing w:line="276" w:lineRule="auto"/>
                        <w:rPr>
                          <w:sz w:val="18"/>
                          <w:szCs w:val="18"/>
                          <w:lang w:val="hy-AM"/>
                        </w:rPr>
                      </w:pPr>
                    </w:p>
                    <w:p w:rsidR="002026A8" w:rsidRPr="0059524A" w:rsidRDefault="002026A8" w:rsidP="009F0A25">
                      <w:pPr>
                        <w:rPr>
                          <w:sz w:val="18"/>
                          <w:szCs w:val="18"/>
                          <w:lang w:val="hy-AM"/>
                        </w:rPr>
                      </w:pPr>
                    </w:p>
                  </w:txbxContent>
                </v:textbox>
                <w10:anchorlock/>
              </v:shape>
            </w:pict>
          </mc:Fallback>
        </mc:AlternateContent>
      </w:r>
    </w:p>
    <w:p w:rsidR="009F0A25" w:rsidRPr="00F76E85" w:rsidRDefault="009F0A25" w:rsidP="007730AA">
      <w:pPr>
        <w:spacing w:before="0" w:line="276" w:lineRule="auto"/>
        <w:rPr>
          <w:rFonts w:eastAsia="Calibri"/>
          <w:bCs/>
          <w:szCs w:val="22"/>
          <w:lang w:val="hy-AM"/>
        </w:rPr>
      </w:pPr>
      <w:r w:rsidRPr="00F76E85">
        <w:rPr>
          <w:rFonts w:eastAsia="Calibri"/>
          <w:bCs/>
          <w:szCs w:val="22"/>
          <w:lang w:val="hy-AM"/>
        </w:rPr>
        <w:t>1.5.1. Ներքին շոկերի ազդեցությունը</w:t>
      </w:r>
    </w:p>
    <w:p w:rsidR="009F0A25" w:rsidRPr="00F76E85" w:rsidRDefault="009F0A25" w:rsidP="007730AA">
      <w:pPr>
        <w:tabs>
          <w:tab w:val="left" w:pos="9923"/>
        </w:tabs>
        <w:spacing w:before="0" w:line="276" w:lineRule="auto"/>
        <w:ind w:firstLine="720"/>
        <w:rPr>
          <w:rFonts w:eastAsia="GHEA Grapalat" w:cs="GHEA Grapalat"/>
          <w:b w:val="0"/>
          <w:szCs w:val="22"/>
          <w:lang w:val="hy-AM"/>
        </w:rPr>
      </w:pPr>
      <w:r w:rsidRPr="00F76E85">
        <w:rPr>
          <w:rFonts w:eastAsia="GHEA Grapalat" w:cs="GHEA Grapalat"/>
          <w:b w:val="0"/>
          <w:szCs w:val="22"/>
          <w:lang w:val="hy-AM"/>
        </w:rPr>
        <w:t>Համաճարակի կանխարգելման նպատակով կիրառված ներքին սահմանափակումների, կորոնավիրուսով վարակման արդյունքում զբաղվածների կրճատման, Արցախյան պատերազմական գործողությունների</w:t>
      </w:r>
      <w:r w:rsidRPr="00F76E85" w:rsidDel="00311C81">
        <w:rPr>
          <w:rFonts w:eastAsia="GHEA Grapalat" w:cs="GHEA Grapalat"/>
          <w:b w:val="0"/>
          <w:szCs w:val="22"/>
          <w:lang w:val="hy-AM"/>
        </w:rPr>
        <w:t xml:space="preserve"> </w:t>
      </w:r>
      <w:r w:rsidRPr="00F76E85">
        <w:rPr>
          <w:rFonts w:eastAsia="GHEA Grapalat" w:cs="GHEA Grapalat"/>
          <w:b w:val="0"/>
          <w:szCs w:val="22"/>
          <w:lang w:val="hy-AM"/>
        </w:rPr>
        <w:t xml:space="preserve">հետևանքով տնտեսությունում ձևավորվում են և՛ առաջարկի, և՛ պահանջարկի բացասական շոկեր: </w:t>
      </w:r>
    </w:p>
    <w:p w:rsidR="009F0A25" w:rsidRPr="00F76E85" w:rsidRDefault="009F0A25" w:rsidP="007730AA">
      <w:pPr>
        <w:spacing w:before="0" w:line="276" w:lineRule="auto"/>
        <w:ind w:firstLine="720"/>
        <w:rPr>
          <w:b w:val="0"/>
          <w:szCs w:val="22"/>
          <w:lang w:val="hy-AM"/>
        </w:rPr>
      </w:pPr>
      <w:r w:rsidRPr="00F76E85">
        <w:rPr>
          <w:rFonts w:eastAsia="GHEA Grapalat" w:cs="GHEA Grapalat"/>
          <w:b w:val="0"/>
          <w:szCs w:val="22"/>
          <w:lang w:val="hy-AM"/>
        </w:rPr>
        <w:t>Շոկերը կալիբրացվել են վերոնշյալ գործոնների ազդեցությունների վերաբերյալ կատարված առանձին ՀՀ ՖՆ գնահատումների հիման վրա (2020թ համար ՀՆԱ-ի շուրջ 6.7% կորուստ</w:t>
      </w:r>
      <w:r w:rsidRPr="00F76E85">
        <w:rPr>
          <w:rStyle w:val="FootnoteReference"/>
          <w:rFonts w:ascii="GHEA Grapalat" w:eastAsia="GHEA Grapalat" w:hAnsi="GHEA Grapalat" w:cs="GHEA Grapalat"/>
          <w:b w:val="0"/>
          <w:sz w:val="22"/>
          <w:szCs w:val="22"/>
          <w:lang w:val="hy-AM"/>
        </w:rPr>
        <w:footnoteReference w:id="15"/>
      </w:r>
      <w:r w:rsidRPr="00F76E85">
        <w:rPr>
          <w:rFonts w:eastAsia="GHEA Grapalat" w:cs="GHEA Grapalat"/>
          <w:b w:val="0"/>
          <w:szCs w:val="22"/>
          <w:lang w:val="hy-AM"/>
        </w:rPr>
        <w:t xml:space="preserve">)։ Այսպիսով, կիրառվող սահմանափակումների, վարակման հետևանքվ զբաղվածության կրճատման, պատերազմական գործողությունների հետևանքով խաթարվում է տնտեսությունում արտադրանքի թողարկման գործընթացը, բարձրանում են արտադրական ծախսերը, որոնք հանգեցնում են աշխատուժի և ներդրումների նկատմամբ պահանջարկի նվազման, ինչն էլ իր հերթին առաջացնում է հավելյալ զբաղվածության կրճատում և աշխատավարձերի նվազում, արդյունքում տնտեսությունում կրճատվում է տնօրինվող եկամտի մակարդակը՝ առաջացնելով  նաև մասնավոր պահանջարկի անկում, արդյունքում տնտեսությունը կրում է ոչ միայն ցիկլային անկում, այլ նաև ներուժային:  </w:t>
      </w:r>
    </w:p>
    <w:p w:rsidR="009F0A25" w:rsidRPr="00F76E85" w:rsidRDefault="009F0A25" w:rsidP="007730AA">
      <w:pPr>
        <w:spacing w:before="0" w:line="276" w:lineRule="auto"/>
        <w:rPr>
          <w:rFonts w:eastAsia="Calibri"/>
          <w:bCs/>
          <w:szCs w:val="22"/>
          <w:lang w:val="hy-AM"/>
        </w:rPr>
      </w:pPr>
      <w:r w:rsidRPr="00F76E85">
        <w:rPr>
          <w:rFonts w:eastAsia="Calibri"/>
          <w:bCs/>
          <w:szCs w:val="22"/>
          <w:lang w:val="hy-AM"/>
        </w:rPr>
        <w:t>1.5.2. Արտաքին շոկերի ազդեցությունը</w:t>
      </w:r>
    </w:p>
    <w:p w:rsidR="009F0A25" w:rsidRPr="00F76E85" w:rsidRDefault="009F0A25" w:rsidP="007730AA">
      <w:pPr>
        <w:spacing w:before="0" w:line="276" w:lineRule="auto"/>
        <w:ind w:firstLine="284"/>
        <w:rPr>
          <w:rFonts w:eastAsia="Calibri" w:cs="Sylfaen"/>
          <w:b w:val="0"/>
          <w:bCs/>
          <w:szCs w:val="22"/>
          <w:lang w:val="hy-AM"/>
        </w:rPr>
      </w:pPr>
      <w:r w:rsidRPr="00F76E85">
        <w:rPr>
          <w:rFonts w:eastAsia="GHEA Grapalat" w:cs="GHEA Grapalat"/>
          <w:b w:val="0"/>
          <w:szCs w:val="22"/>
          <w:lang w:val="hy-AM"/>
        </w:rPr>
        <w:t xml:space="preserve">    Հ</w:t>
      </w:r>
      <w:r w:rsidRPr="00F76E85">
        <w:rPr>
          <w:rFonts w:eastAsia="Calibri" w:cs="Sylfaen"/>
          <w:b w:val="0"/>
          <w:bCs/>
          <w:szCs w:val="22"/>
          <w:lang w:val="hy-AM"/>
        </w:rPr>
        <w:t>ամաճարակի հետևանքով առաջացած արտաքին տնտեսական շոկերի ազդեցությունները ՀՀ տնտեսության վրա գնահատելու համար դիտարկվել են արտաքին պահանջարկի նվազման, դրամական փոխանցումների կրճատման և երկրի ռիսկ պրեմիայի բարձրացման շոկեր, որոնց կալիբրացման համար հիմք են հանդիսացել ԱՄՀ կանխատեսումները և ՀՀ ՖՆ գնահատումները։ Մասնավորապես, 2020թ. համար ենթադրվել է ՀՀ գործընկեր երկրներում տնտեսական աճերի միջինում 7.4 տոկոսային կետ դանդաղում</w:t>
      </w:r>
      <w:r w:rsidRPr="00F76E85">
        <w:rPr>
          <w:rFonts w:eastAsia="Calibri" w:cs="Sylfaen"/>
          <w:b w:val="0"/>
          <w:bCs/>
          <w:szCs w:val="22"/>
        </w:rPr>
        <w:footnoteReference w:id="16"/>
      </w:r>
      <w:r w:rsidRPr="00F76E85">
        <w:rPr>
          <w:rFonts w:eastAsia="Calibri" w:cs="Sylfaen"/>
          <w:b w:val="0"/>
          <w:bCs/>
          <w:szCs w:val="22"/>
          <w:lang w:val="hy-AM"/>
        </w:rPr>
        <w:t>, ամենամեծ անկումն ենթադրվել է 2020թ. երկրորդ եռամսյակում, որոշակի կայունացում երրորդ եռամսյակում և վատթարացում չորրորդ եռամսյակում,  2021 թ. դանդաղ վերականգնում, դրամական փոխանցումների շուրջ 2.1% կրճատում և երկրի ռիսկ պրեմիայի (1.1 տոկոսային կետ</w:t>
      </w:r>
      <w:r w:rsidRPr="00F76E85">
        <w:rPr>
          <w:rStyle w:val="FootnoteReference"/>
          <w:rFonts w:ascii="GHEA Grapalat" w:hAnsi="GHEA Grapalat"/>
          <w:b w:val="0"/>
          <w:sz w:val="22"/>
          <w:szCs w:val="22"/>
        </w:rPr>
        <w:footnoteReference w:id="17"/>
      </w:r>
      <w:r w:rsidRPr="00F76E85">
        <w:rPr>
          <w:rStyle w:val="FootnoteReference"/>
          <w:rFonts w:ascii="GHEA Grapalat" w:hAnsi="GHEA Grapalat"/>
          <w:b w:val="0"/>
          <w:sz w:val="22"/>
          <w:szCs w:val="22"/>
          <w:lang w:val="hy-AM"/>
        </w:rPr>
        <w:t xml:space="preserve">) </w:t>
      </w:r>
      <w:r w:rsidRPr="00F76E85">
        <w:rPr>
          <w:rFonts w:eastAsia="Calibri" w:cs="Sylfaen"/>
          <w:b w:val="0"/>
          <w:bCs/>
          <w:szCs w:val="22"/>
          <w:lang w:val="hy-AM"/>
        </w:rPr>
        <w:t xml:space="preserve"> բարձրացում: </w:t>
      </w:r>
    </w:p>
    <w:p w:rsidR="009F0A25" w:rsidRPr="00F76E85" w:rsidRDefault="009F0A25" w:rsidP="007730AA">
      <w:pPr>
        <w:spacing w:before="0" w:line="276" w:lineRule="auto"/>
        <w:ind w:firstLine="284"/>
        <w:rPr>
          <w:rFonts w:eastAsia="Calibri" w:cs="Sylfaen"/>
          <w:b w:val="0"/>
          <w:bCs/>
          <w:szCs w:val="22"/>
          <w:lang w:val="hy-AM"/>
        </w:rPr>
      </w:pPr>
      <w:r w:rsidRPr="00F76E85">
        <w:rPr>
          <w:rFonts w:eastAsia="Calibri" w:cs="Sylfaen"/>
          <w:b w:val="0"/>
          <w:bCs/>
          <w:szCs w:val="22"/>
          <w:lang w:val="hy-AM"/>
        </w:rPr>
        <w:t>Այսպիսով, արտաքին շոկերի ազդեցության արդյունքում նվազում է արտահանման պահանջարկը և կրճատվում դրամական փոխանցումների ներհոսքը: Արտահանման պահանջարկի նվազման հետևանքով կրճատվում են արտահանելի հատվածում արտադրության ծավալները և զբաղվածության մակարդակը՝ հանգեցնելով նաև ներքին պահանջարկի թուլացման: Դրամական փոխանցումների կրճատումը հանգեցնում է տնօրինվող եկամտի կրճատման, և հետևաբար՝ տնտեսությունում մասնավոր պահանջարկի նվազման: Ներքին և արտաքին պահանջարկի թուլացումը ստիպում է կրճատել ընդհանուր թողարկման ծավալները և ներդրումային ծախսերը: Արդյունքում տնտեսությունում առաջանում են միաժամանակ առաջարկի և պահանջարկի անկում, որն Էլ իր հերթին նվազեցնում է ինչպես ՀՆԱ փաստացի մակարդակը, այնպես էլ երկարաժամկետ ներուժային մակարդակը:</w:t>
      </w:r>
    </w:p>
    <w:p w:rsidR="009F0A25" w:rsidRPr="00F76E85" w:rsidRDefault="009F0A25" w:rsidP="007730AA">
      <w:pPr>
        <w:spacing w:before="0" w:line="276" w:lineRule="auto"/>
        <w:rPr>
          <w:rFonts w:eastAsia="Calibri"/>
          <w:bCs/>
          <w:szCs w:val="22"/>
          <w:lang w:val="hy-AM"/>
        </w:rPr>
      </w:pPr>
      <w:r w:rsidRPr="00F76E85">
        <w:rPr>
          <w:rFonts w:eastAsia="Calibri"/>
          <w:bCs/>
          <w:szCs w:val="22"/>
          <w:lang w:val="hy-AM"/>
        </w:rPr>
        <w:t>1.5.3. Հարկաբյուջետային շոկերի ազդեցությունը</w:t>
      </w:r>
    </w:p>
    <w:p w:rsidR="009F0A25" w:rsidRPr="000E6B55" w:rsidRDefault="009F0A25" w:rsidP="007730AA">
      <w:pPr>
        <w:spacing w:before="0" w:line="276" w:lineRule="auto"/>
        <w:ind w:firstLine="720"/>
        <w:rPr>
          <w:rFonts w:eastAsia="GHEA Grapalat" w:cs="GHEA Grapalat"/>
          <w:szCs w:val="22"/>
          <w:lang w:val="hy-AM"/>
        </w:rPr>
      </w:pPr>
      <w:r w:rsidRPr="00F76E85">
        <w:rPr>
          <w:rFonts w:eastAsia="GHEA Grapalat" w:cs="GHEA Grapalat"/>
          <w:b w:val="0"/>
          <w:szCs w:val="22"/>
          <w:lang w:val="hy-AM"/>
        </w:rPr>
        <w:t>Կորոնավիրուսի ազդեցությունների մեղմանն ուղղված հարկաբյուջետային քաղաքականության (ՀՀ կառավարության աջակցության փաթեթներ) արձագանքը պարունակում է սոցիալական և տնտեսական աջակցության, ինչպես նաև մասնավոր ներդրումների խթանմանն ուղղված միջոցառումներ՝ 150 մլրդ դրամ ընդհանուր ծավալով: Բացի այդ, կառավարության հակաճգնաժամային ծրագրերը ներառում են նաև մի շարք հարկային քաղաքականության ոլորտի միջոցառումներ (առավել մանրամասն ներկայացված է ներդիր 3-ում), որոնք հաշվի առնելով, ընդհանուր հակաճգնաժամային փաթեթը (առանց COVID-19 կանխարգելման և բուժմանն ուղղված առողջապահական ծախսերի) կազմում է 215.0 մլրդ դրամ</w:t>
      </w:r>
      <w:r w:rsidRPr="00F76E85">
        <w:rPr>
          <w:rFonts w:eastAsia="GHEA Grapalat" w:cs="GHEA Grapalat"/>
          <w:b w:val="0"/>
          <w:szCs w:val="22"/>
          <w:vertAlign w:val="superscript"/>
          <w:lang w:val="hy-AM"/>
        </w:rPr>
        <w:footnoteReference w:id="18"/>
      </w:r>
      <w:r w:rsidRPr="00F76E85">
        <w:rPr>
          <w:rFonts w:eastAsia="GHEA Grapalat" w:cs="GHEA Grapalat"/>
          <w:b w:val="0"/>
          <w:szCs w:val="22"/>
          <w:lang w:val="hy-AM"/>
        </w:rPr>
        <w:t>, կամ 2020թ.-ի սպասվող ՀՆԱ-ի շուրջ 3.5%-ը:</w:t>
      </w:r>
    </w:p>
    <w:p w:rsidR="00F76E85" w:rsidRDefault="00F76E85" w:rsidP="007730AA">
      <w:pPr>
        <w:keepNext/>
        <w:keepLines/>
        <w:spacing w:before="0" w:line="276" w:lineRule="auto"/>
        <w:rPr>
          <w:rFonts w:cs="Sylfaen"/>
          <w:bCs/>
          <w:color w:val="000000"/>
          <w:szCs w:val="22"/>
          <w:lang w:val="hy-AM"/>
        </w:rPr>
      </w:pPr>
    </w:p>
    <w:p w:rsidR="009F0A25" w:rsidRPr="001A41E1" w:rsidRDefault="009F0A25" w:rsidP="007730AA">
      <w:pPr>
        <w:keepNext/>
        <w:keepLines/>
        <w:spacing w:before="0" w:line="276" w:lineRule="auto"/>
        <w:rPr>
          <w:rFonts w:cs="Sylfaen"/>
          <w:bCs/>
          <w:color w:val="000000"/>
          <w:sz w:val="20"/>
          <w:szCs w:val="20"/>
          <w:lang w:val="hy-AM"/>
        </w:rPr>
      </w:pPr>
      <w:r w:rsidRPr="001A41E1">
        <w:rPr>
          <w:rFonts w:cs="Sylfaen"/>
          <w:bCs/>
          <w:color w:val="000000"/>
          <w:szCs w:val="22"/>
          <w:lang w:val="hy-AM"/>
        </w:rPr>
        <w:t xml:space="preserve">Աղյուսակ 1.3. </w:t>
      </w:r>
      <w:r w:rsidRPr="00F76E85">
        <w:rPr>
          <w:rFonts w:cs="Sylfaen"/>
          <w:b w:val="0"/>
          <w:bCs/>
          <w:color w:val="000000"/>
          <w:sz w:val="20"/>
          <w:szCs w:val="20"/>
          <w:lang w:val="hy-AM"/>
        </w:rPr>
        <w:t>Կորոնավիրուսի ազդեցությունների մեղմանն ուղղված միջոցառումների հիմնական ուղղությունները</w:t>
      </w:r>
    </w:p>
    <w:tbl>
      <w:tblPr>
        <w:tblStyle w:val="GridTable1Light-Accent51211"/>
        <w:tblW w:w="0" w:type="auto"/>
        <w:tblLook w:val="04A0" w:firstRow="1" w:lastRow="0" w:firstColumn="1" w:lastColumn="0" w:noHBand="0" w:noVBand="1"/>
      </w:tblPr>
      <w:tblGrid>
        <w:gridCol w:w="1828"/>
        <w:gridCol w:w="2878"/>
        <w:gridCol w:w="10"/>
        <w:gridCol w:w="2701"/>
        <w:gridCol w:w="2555"/>
      </w:tblGrid>
      <w:tr w:rsidR="009F0A25" w:rsidRPr="001A41E1" w:rsidTr="009F0A25">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920" w:type="dxa"/>
            <w:gridSpan w:val="3"/>
            <w:shd w:val="clear" w:color="auto" w:fill="4BACC6"/>
            <w:vAlign w:val="center"/>
          </w:tcPr>
          <w:p w:rsidR="009F0A25" w:rsidRPr="001A41E1" w:rsidRDefault="009F0A25" w:rsidP="007730AA">
            <w:pPr>
              <w:spacing w:before="0" w:after="0" w:line="312" w:lineRule="auto"/>
              <w:jc w:val="center"/>
              <w:rPr>
                <w:rFonts w:cs="GHEA Grapalat"/>
                <w:color w:val="000000"/>
                <w:sz w:val="18"/>
                <w:szCs w:val="18"/>
              </w:rPr>
            </w:pPr>
            <w:r w:rsidRPr="001A41E1">
              <w:rPr>
                <w:rFonts w:cs="GHEA Grapalat"/>
                <w:color w:val="000000"/>
                <w:sz w:val="18"/>
                <w:szCs w:val="18"/>
              </w:rPr>
              <w:t>Օժանդակության ծրագրեր</w:t>
            </w:r>
          </w:p>
        </w:tc>
        <w:tc>
          <w:tcPr>
            <w:tcW w:w="2842" w:type="dxa"/>
            <w:shd w:val="clear" w:color="auto" w:fill="4BACC6"/>
            <w:vAlign w:val="center"/>
          </w:tcPr>
          <w:p w:rsidR="009F0A25" w:rsidRPr="001A41E1" w:rsidRDefault="009F0A25" w:rsidP="007730AA">
            <w:pPr>
              <w:spacing w:before="0" w:after="0" w:line="312" w:lineRule="auto"/>
              <w:jc w:val="center"/>
              <w:cnfStyle w:val="100000000000" w:firstRow="1" w:lastRow="0" w:firstColumn="0" w:lastColumn="0" w:oddVBand="0" w:evenVBand="0" w:oddHBand="0" w:evenHBand="0" w:firstRowFirstColumn="0" w:firstRowLastColumn="0" w:lastRowFirstColumn="0" w:lastRowLastColumn="0"/>
              <w:rPr>
                <w:rFonts w:cs="GHEA Grapalat"/>
                <w:color w:val="000000"/>
                <w:sz w:val="18"/>
                <w:szCs w:val="18"/>
              </w:rPr>
            </w:pPr>
            <w:r w:rsidRPr="001A41E1">
              <w:rPr>
                <w:rFonts w:cs="GHEA Grapalat"/>
                <w:color w:val="000000"/>
                <w:sz w:val="18"/>
                <w:szCs w:val="18"/>
              </w:rPr>
              <w:t>Հարկաբյուջետային ազդեցություններ</w:t>
            </w:r>
          </w:p>
        </w:tc>
        <w:tc>
          <w:tcPr>
            <w:tcW w:w="2570" w:type="dxa"/>
            <w:shd w:val="clear" w:color="auto" w:fill="4BACC6"/>
            <w:vAlign w:val="center"/>
          </w:tcPr>
          <w:p w:rsidR="009F0A25" w:rsidRPr="001A41E1" w:rsidRDefault="009F0A25" w:rsidP="007730AA">
            <w:pPr>
              <w:spacing w:before="0" w:after="0" w:line="312" w:lineRule="auto"/>
              <w:jc w:val="center"/>
              <w:cnfStyle w:val="100000000000" w:firstRow="1" w:lastRow="0" w:firstColumn="0" w:lastColumn="0" w:oddVBand="0" w:evenVBand="0" w:oddHBand="0" w:evenHBand="0" w:firstRowFirstColumn="0" w:firstRowLastColumn="0" w:lastRowFirstColumn="0" w:lastRowLastColumn="0"/>
              <w:rPr>
                <w:rFonts w:cs="GHEA Grapalat"/>
                <w:color w:val="000000"/>
                <w:sz w:val="18"/>
                <w:szCs w:val="18"/>
              </w:rPr>
            </w:pPr>
            <w:r w:rsidRPr="001A41E1">
              <w:rPr>
                <w:rFonts w:cs="GHEA Grapalat"/>
                <w:color w:val="000000"/>
                <w:sz w:val="18"/>
                <w:szCs w:val="18"/>
              </w:rPr>
              <w:t>Սպասվող արդյունքներ</w:t>
            </w:r>
          </w:p>
        </w:tc>
      </w:tr>
      <w:tr w:rsidR="009F0A25" w:rsidRPr="00D350A3" w:rsidTr="009F0A25">
        <w:trPr>
          <w:trHeight w:val="458"/>
        </w:trPr>
        <w:tc>
          <w:tcPr>
            <w:cnfStyle w:val="001000000000" w:firstRow="0" w:lastRow="0" w:firstColumn="1" w:lastColumn="0" w:oddVBand="0" w:evenVBand="0" w:oddHBand="0" w:evenHBand="0" w:firstRowFirstColumn="0" w:firstRowLastColumn="0" w:lastRowFirstColumn="0" w:lastRowLastColumn="0"/>
            <w:tcW w:w="1908" w:type="dxa"/>
            <w:vMerge w:val="restart"/>
            <w:vAlign w:val="center"/>
          </w:tcPr>
          <w:p w:rsidR="009F0A25" w:rsidRPr="00F76E85" w:rsidRDefault="009F0A25" w:rsidP="007730AA">
            <w:pPr>
              <w:spacing w:before="0" w:after="0"/>
              <w:ind w:firstLine="41"/>
              <w:rPr>
                <w:rFonts w:cs="GHEA Grapalat"/>
                <w:color w:val="000000"/>
                <w:sz w:val="18"/>
                <w:szCs w:val="18"/>
              </w:rPr>
            </w:pPr>
            <w:r w:rsidRPr="00F76E85">
              <w:rPr>
                <w:rFonts w:cs="GHEA Grapalat"/>
                <w:color w:val="000000"/>
                <w:sz w:val="18"/>
                <w:szCs w:val="18"/>
              </w:rPr>
              <w:t>Տնտեսական աջակցության ծրագրեր</w:t>
            </w:r>
          </w:p>
        </w:tc>
        <w:tc>
          <w:tcPr>
            <w:tcW w:w="3001"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20 մլրդ դրամ ծավալով սուբսիդավորման ծրագրեր</w:t>
            </w:r>
          </w:p>
        </w:tc>
        <w:tc>
          <w:tcPr>
            <w:tcW w:w="2853" w:type="dxa"/>
            <w:gridSpan w:val="2"/>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Ընթացիկ ծախսերի աճ</w:t>
            </w:r>
          </w:p>
        </w:tc>
        <w:tc>
          <w:tcPr>
            <w:tcW w:w="2570" w:type="dxa"/>
            <w:vMerge w:val="restart"/>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Ամբողջական պահանջարկի խթանում և մասնավո</w:t>
            </w:r>
            <w:r w:rsidRPr="00F76E85">
              <w:rPr>
                <w:rFonts w:cs="GHEA Grapalat"/>
                <w:b w:val="0"/>
                <w:color w:val="000000"/>
                <w:sz w:val="18"/>
                <w:szCs w:val="18"/>
              </w:rPr>
              <w:cr/>
              <w:t xml:space="preserve"> հատվածի իրացվելիության խնդիրների մեղմում</w:t>
            </w:r>
          </w:p>
        </w:tc>
      </w:tr>
      <w:tr w:rsidR="009F0A25" w:rsidRPr="00D350A3" w:rsidTr="009F0A25">
        <w:trPr>
          <w:trHeight w:val="753"/>
        </w:trPr>
        <w:tc>
          <w:tcPr>
            <w:cnfStyle w:val="001000000000" w:firstRow="0" w:lastRow="0" w:firstColumn="1" w:lastColumn="0" w:oddVBand="0" w:evenVBand="0" w:oddHBand="0" w:evenHBand="0" w:firstRowFirstColumn="0" w:firstRowLastColumn="0" w:lastRowFirstColumn="0" w:lastRowLastColumn="0"/>
            <w:tcW w:w="1908" w:type="dxa"/>
            <w:vMerge/>
            <w:vAlign w:val="center"/>
          </w:tcPr>
          <w:p w:rsidR="009F0A25" w:rsidRPr="00F76E85" w:rsidRDefault="009F0A25" w:rsidP="007730AA">
            <w:pPr>
              <w:spacing w:before="0" w:after="0"/>
              <w:rPr>
                <w:rFonts w:cs="GHEA Grapalat"/>
                <w:color w:val="000000"/>
                <w:sz w:val="18"/>
                <w:szCs w:val="18"/>
              </w:rPr>
            </w:pPr>
          </w:p>
        </w:tc>
        <w:tc>
          <w:tcPr>
            <w:tcW w:w="3001"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10 մլրդ դրամ ծավալով համաֆինանսավորման և վերաֆինանսավորման ծրագրեր</w:t>
            </w:r>
          </w:p>
        </w:tc>
        <w:tc>
          <w:tcPr>
            <w:tcW w:w="2853" w:type="dxa"/>
            <w:gridSpan w:val="2"/>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Պետական վարկավորման աճ (պակասուրդի գործառնություններ)</w:t>
            </w:r>
          </w:p>
        </w:tc>
        <w:tc>
          <w:tcPr>
            <w:tcW w:w="2570" w:type="dxa"/>
            <w:vMerge/>
          </w:tcPr>
          <w:p w:rsidR="009F0A25" w:rsidRPr="00F76E85" w:rsidRDefault="009F0A25" w:rsidP="007730AA">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p>
        </w:tc>
      </w:tr>
      <w:tr w:rsidR="009F0A25" w:rsidRPr="001A41E1" w:rsidTr="009F0A25">
        <w:trPr>
          <w:trHeight w:val="182"/>
        </w:trPr>
        <w:tc>
          <w:tcPr>
            <w:cnfStyle w:val="001000000000" w:firstRow="0" w:lastRow="0" w:firstColumn="1" w:lastColumn="0" w:oddVBand="0" w:evenVBand="0" w:oddHBand="0" w:evenHBand="0" w:firstRowFirstColumn="0" w:firstRowLastColumn="0" w:lastRowFirstColumn="0" w:lastRowLastColumn="0"/>
            <w:tcW w:w="4920" w:type="dxa"/>
            <w:gridSpan w:val="3"/>
            <w:vAlign w:val="center"/>
          </w:tcPr>
          <w:p w:rsidR="009F0A25" w:rsidRPr="00F76E85" w:rsidRDefault="009F0A25" w:rsidP="007730AA">
            <w:pPr>
              <w:spacing w:before="0" w:after="0" w:line="276" w:lineRule="auto"/>
              <w:ind w:firstLine="0"/>
              <w:jc w:val="left"/>
              <w:rPr>
                <w:rFonts w:cs="GHEA Grapalat"/>
                <w:color w:val="000000"/>
                <w:sz w:val="18"/>
                <w:szCs w:val="18"/>
                <w:lang w:val="hy-AM"/>
              </w:rPr>
            </w:pPr>
            <w:r w:rsidRPr="00F76E85">
              <w:rPr>
                <w:rFonts w:cs="GHEA Grapalat"/>
                <w:color w:val="000000"/>
                <w:sz w:val="18"/>
                <w:szCs w:val="18"/>
                <w:lang w:val="hy-AM"/>
              </w:rPr>
              <w:t>30 մլրդ դրամ սոցիալական աջակցության ծրագրեր</w:t>
            </w:r>
          </w:p>
        </w:tc>
        <w:tc>
          <w:tcPr>
            <w:tcW w:w="2842"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Ընթացիկ ծախսերի աճ</w:t>
            </w:r>
          </w:p>
        </w:tc>
        <w:tc>
          <w:tcPr>
            <w:tcW w:w="2570" w:type="dxa"/>
            <w:vMerge/>
          </w:tcPr>
          <w:p w:rsidR="009F0A25" w:rsidRPr="00F76E85" w:rsidRDefault="009F0A25" w:rsidP="007730AA">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p>
        </w:tc>
      </w:tr>
      <w:tr w:rsidR="009F0A25" w:rsidRPr="001A41E1" w:rsidTr="009F0A25">
        <w:trPr>
          <w:trHeight w:val="374"/>
        </w:trPr>
        <w:tc>
          <w:tcPr>
            <w:cnfStyle w:val="001000000000" w:firstRow="0" w:lastRow="0" w:firstColumn="1" w:lastColumn="0" w:oddVBand="0" w:evenVBand="0" w:oddHBand="0" w:evenHBand="0" w:firstRowFirstColumn="0" w:firstRowLastColumn="0" w:lastRowFirstColumn="0" w:lastRowLastColumn="0"/>
            <w:tcW w:w="4920" w:type="dxa"/>
            <w:gridSpan w:val="3"/>
            <w:vAlign w:val="center"/>
          </w:tcPr>
          <w:p w:rsidR="009F0A25" w:rsidRPr="00F76E85" w:rsidRDefault="009F0A25" w:rsidP="007730AA">
            <w:pPr>
              <w:spacing w:before="0" w:after="0" w:line="276" w:lineRule="auto"/>
              <w:ind w:firstLine="0"/>
              <w:jc w:val="left"/>
              <w:rPr>
                <w:rFonts w:cs="GHEA Grapalat"/>
                <w:color w:val="000000"/>
                <w:sz w:val="18"/>
                <w:szCs w:val="18"/>
              </w:rPr>
            </w:pPr>
            <w:r w:rsidRPr="00F76E85">
              <w:rPr>
                <w:rFonts w:cs="GHEA Grapalat"/>
                <w:color w:val="000000"/>
                <w:sz w:val="18"/>
                <w:szCs w:val="18"/>
              </w:rPr>
              <w:t>10 մլրդ</w:t>
            </w:r>
            <w:r w:rsidRPr="00F76E85">
              <w:rPr>
                <w:rFonts w:cs="GHEA Grapalat"/>
                <w:color w:val="000000"/>
                <w:sz w:val="18"/>
                <w:szCs w:val="18"/>
              </w:rPr>
              <w:cr/>
              <w:t>դրամ պահուստային գումարներ՝ հնարավոր վերաբաշխումների համար</w:t>
            </w:r>
          </w:p>
        </w:tc>
        <w:tc>
          <w:tcPr>
            <w:tcW w:w="2842"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Ընթացիկ ծախսերի աճ</w:t>
            </w:r>
          </w:p>
        </w:tc>
        <w:tc>
          <w:tcPr>
            <w:tcW w:w="2570" w:type="dxa"/>
            <w:vMerge/>
          </w:tcPr>
          <w:p w:rsidR="009F0A25" w:rsidRPr="00F76E85" w:rsidRDefault="009F0A25" w:rsidP="007730AA">
            <w:pPr>
              <w:spacing w:before="0" w:after="0" w:line="276" w:lineRule="auto"/>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p>
        </w:tc>
      </w:tr>
      <w:tr w:rsidR="009F0A25" w:rsidRPr="001A41E1" w:rsidTr="009F0A25">
        <w:trPr>
          <w:trHeight w:val="556"/>
        </w:trPr>
        <w:tc>
          <w:tcPr>
            <w:cnfStyle w:val="001000000000" w:firstRow="0" w:lastRow="0" w:firstColumn="1" w:lastColumn="0" w:oddVBand="0" w:evenVBand="0" w:oddHBand="0" w:evenHBand="0" w:firstRowFirstColumn="0" w:firstRowLastColumn="0" w:lastRowFirstColumn="0" w:lastRowLastColumn="0"/>
            <w:tcW w:w="4920" w:type="dxa"/>
            <w:gridSpan w:val="3"/>
            <w:vAlign w:val="center"/>
          </w:tcPr>
          <w:p w:rsidR="009F0A25" w:rsidRPr="00F76E85" w:rsidRDefault="009F0A25" w:rsidP="007730AA">
            <w:pPr>
              <w:spacing w:before="0" w:after="0" w:line="276" w:lineRule="auto"/>
              <w:ind w:firstLine="0"/>
              <w:jc w:val="left"/>
              <w:rPr>
                <w:rFonts w:cs="GHEA Grapalat"/>
                <w:color w:val="000000"/>
                <w:sz w:val="18"/>
                <w:szCs w:val="18"/>
              </w:rPr>
            </w:pPr>
            <w:r w:rsidRPr="00F76E85">
              <w:rPr>
                <w:rFonts w:cs="GHEA Grapalat"/>
                <w:color w:val="000000"/>
                <w:sz w:val="18"/>
                <w:szCs w:val="18"/>
              </w:rPr>
              <w:t>80 մլրդ դրամ մասնավոր ներդրումների խթանման ծրագրեր</w:t>
            </w:r>
          </w:p>
        </w:tc>
        <w:tc>
          <w:tcPr>
            <w:tcW w:w="2842"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Պետական վարկավորման աճ (պակասուրդի գործառնություններ)</w:t>
            </w:r>
          </w:p>
        </w:tc>
        <w:tc>
          <w:tcPr>
            <w:tcW w:w="2570"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Մասնավոր ներդրումների աճ</w:t>
            </w:r>
          </w:p>
        </w:tc>
      </w:tr>
      <w:tr w:rsidR="009F0A25" w:rsidRPr="00D350A3" w:rsidTr="009F0A25">
        <w:trPr>
          <w:trHeight w:val="556"/>
        </w:trPr>
        <w:tc>
          <w:tcPr>
            <w:cnfStyle w:val="001000000000" w:firstRow="0" w:lastRow="0" w:firstColumn="1" w:lastColumn="0" w:oddVBand="0" w:evenVBand="0" w:oddHBand="0" w:evenHBand="0" w:firstRowFirstColumn="0" w:firstRowLastColumn="0" w:lastRowFirstColumn="0" w:lastRowLastColumn="0"/>
            <w:tcW w:w="4920" w:type="dxa"/>
            <w:gridSpan w:val="3"/>
            <w:vAlign w:val="center"/>
          </w:tcPr>
          <w:p w:rsidR="009F0A25" w:rsidRPr="00F76E85" w:rsidRDefault="009F0A25" w:rsidP="007730AA">
            <w:pPr>
              <w:spacing w:before="0" w:after="0" w:line="276" w:lineRule="auto"/>
              <w:ind w:firstLine="41"/>
              <w:jc w:val="left"/>
              <w:rPr>
                <w:rFonts w:cs="GHEA Grapalat"/>
                <w:color w:val="000000"/>
                <w:sz w:val="18"/>
                <w:szCs w:val="18"/>
              </w:rPr>
            </w:pPr>
            <w:r w:rsidRPr="00F76E85">
              <w:rPr>
                <w:rFonts w:cs="GHEA Grapalat"/>
                <w:color w:val="000000"/>
                <w:sz w:val="18"/>
                <w:szCs w:val="18"/>
              </w:rPr>
              <w:t>Շահութահարկի կանխավճարների համակարգի բարեփոխում և 2020թ.-ի երկրորդ եռամսյակի համար հարկատուներին շահութահարկի կանխավճարների վճարումից ազատում</w:t>
            </w:r>
          </w:p>
        </w:tc>
        <w:tc>
          <w:tcPr>
            <w:tcW w:w="2842"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Հարկային եկամուտների նվազում</w:t>
            </w:r>
          </w:p>
        </w:tc>
        <w:tc>
          <w:tcPr>
            <w:tcW w:w="2570" w:type="dxa"/>
            <w:vAlign w:val="center"/>
          </w:tcPr>
          <w:p w:rsidR="009F0A25" w:rsidRPr="00F76E85" w:rsidRDefault="009F0A25" w:rsidP="007730AA">
            <w:pPr>
              <w:spacing w:before="0" w:after="0" w:line="276" w:lineRule="auto"/>
              <w:ind w:firstLine="0"/>
              <w:jc w:val="left"/>
              <w:cnfStyle w:val="000000000000" w:firstRow="0" w:lastRow="0" w:firstColumn="0" w:lastColumn="0" w:oddVBand="0" w:evenVBand="0" w:oddHBand="0" w:evenHBand="0" w:firstRowFirstColumn="0" w:firstRowLastColumn="0" w:lastRowFirstColumn="0" w:lastRowLastColumn="0"/>
              <w:rPr>
                <w:rFonts w:cs="GHEA Grapalat"/>
                <w:b w:val="0"/>
                <w:color w:val="000000"/>
                <w:sz w:val="18"/>
                <w:szCs w:val="18"/>
              </w:rPr>
            </w:pPr>
            <w:r w:rsidRPr="00F76E85">
              <w:rPr>
                <w:rFonts w:cs="GHEA Grapalat"/>
                <w:b w:val="0"/>
                <w:color w:val="000000"/>
                <w:sz w:val="18"/>
                <w:szCs w:val="18"/>
              </w:rPr>
              <w:t>2020թ. հարկատուների ընթացիկ իրավցելիության խնդիրների մեղմում և շահութահարկի՝ որպես հակապարբերաշրջանային ազդեցության գործիքի դերի մեծացում</w:t>
            </w:r>
          </w:p>
        </w:tc>
      </w:tr>
    </w:tbl>
    <w:p w:rsidR="009F0A25" w:rsidRPr="001A41E1" w:rsidRDefault="009F0A25" w:rsidP="007730AA">
      <w:pPr>
        <w:spacing w:before="0" w:line="276" w:lineRule="auto"/>
        <w:rPr>
          <w:rFonts w:cs="Sylfaen"/>
          <w:b w:val="0"/>
          <w:bCs/>
          <w:color w:val="000000"/>
          <w:szCs w:val="22"/>
          <w:lang w:val="hy-AM"/>
        </w:rPr>
      </w:pPr>
    </w:p>
    <w:p w:rsidR="009F0A25" w:rsidRPr="00F76E85" w:rsidRDefault="009F0A25" w:rsidP="007730AA">
      <w:pPr>
        <w:spacing w:before="0" w:line="276" w:lineRule="auto"/>
        <w:ind w:firstLine="284"/>
        <w:rPr>
          <w:rFonts w:eastAsia="GHEA Grapalat" w:cs="GHEA Grapalat"/>
          <w:b w:val="0"/>
          <w:color w:val="000000"/>
          <w:szCs w:val="22"/>
          <w:lang w:val="hy-AM"/>
        </w:rPr>
      </w:pPr>
      <w:r w:rsidRPr="00F76E85">
        <w:rPr>
          <w:rFonts w:eastAsia="GHEA Grapalat" w:cs="GHEA Grapalat"/>
          <w:b w:val="0"/>
          <w:color w:val="000000"/>
          <w:szCs w:val="22"/>
          <w:lang w:val="hy-AM"/>
        </w:rPr>
        <w:t>Վերոնշյալ միջոցառումների իրականացումը նպաստում է մասնավոր սպառման և ներդրումների վերականգնմանը, ինչի արդյունքում զբաղվածության և իրական աշխատավարձի անկումը լինում է ավելի փոքր, տնտեսական աճի անկումը մեղմվում է մոտ 2.2 տոկոսային կետով և տնտեսության վերականգնումը տեղի է ունենում ավելի արագ:</w:t>
      </w:r>
    </w:p>
    <w:p w:rsidR="00CF2B2C" w:rsidRPr="00CF2B2C" w:rsidRDefault="00CF2B2C" w:rsidP="00CF2B2C">
      <w:pPr>
        <w:keepNext/>
        <w:keepLines/>
        <w:spacing w:before="240" w:after="60" w:line="276" w:lineRule="auto"/>
        <w:ind w:firstLine="0"/>
        <w:outlineLvl w:val="2"/>
        <w:rPr>
          <w:bCs/>
          <w:sz w:val="28"/>
          <w:szCs w:val="28"/>
          <w:lang w:val="hy-AM" w:eastAsia="en-US"/>
        </w:rPr>
      </w:pPr>
      <w:bookmarkStart w:id="101" w:name="_Toc46154348"/>
      <w:bookmarkStart w:id="102" w:name="_Toc51360534"/>
      <w:bookmarkStart w:id="103" w:name="_Toc51947417"/>
      <w:bookmarkStart w:id="104" w:name="_Toc52452090"/>
      <w:bookmarkStart w:id="105" w:name="_Toc57559417"/>
      <w:bookmarkStart w:id="106" w:name="_Toc57655450"/>
      <w:r w:rsidRPr="00CF2B2C">
        <w:rPr>
          <w:bCs/>
          <w:sz w:val="28"/>
          <w:szCs w:val="28"/>
          <w:lang w:val="hy-AM" w:eastAsia="en-US"/>
        </w:rPr>
        <w:t>1.6. ՄԱԿՐՈՏՆՏԵՍԱԿԱՆ ԿԱՆԽԱՏԵՍՈՒՄՆԵՐԻ ՌԻՍԿԵՐԸ</w:t>
      </w:r>
      <w:bookmarkEnd w:id="101"/>
      <w:bookmarkEnd w:id="102"/>
      <w:bookmarkEnd w:id="103"/>
      <w:bookmarkEnd w:id="104"/>
      <w:bookmarkEnd w:id="105"/>
      <w:bookmarkEnd w:id="106"/>
    </w:p>
    <w:p w:rsidR="00CF2B2C" w:rsidRPr="00CF2B2C" w:rsidRDefault="00CF2B2C" w:rsidP="00CF2B2C">
      <w:pPr>
        <w:tabs>
          <w:tab w:val="left" w:pos="9356"/>
        </w:tabs>
        <w:spacing w:before="0" w:after="120" w:line="276" w:lineRule="auto"/>
        <w:ind w:right="111" w:firstLine="360"/>
        <w:contextualSpacing w:val="0"/>
        <w:rPr>
          <w:rFonts w:eastAsia="Calibri"/>
          <w:b w:val="0"/>
          <w:szCs w:val="22"/>
          <w:lang w:val="hy-AM" w:eastAsia="en-US"/>
        </w:rPr>
      </w:pPr>
      <w:r w:rsidRPr="00CF2B2C">
        <w:rPr>
          <w:rFonts w:eastAsia="Calibri"/>
          <w:b w:val="0"/>
          <w:szCs w:val="22"/>
          <w:lang w:val="es-ES" w:eastAsia="en-US"/>
        </w:rPr>
        <w:t>Կանխատեսման առկա ռիսկերը պայմանավորվում են ինչպես արտաքին, այնպես էլ ներքին տնտեսական գործոններով, որոնք կարող են հանգեցնել ինչպես տնտեսական աճի տեմպերի ավելացմանը, այնպես էլ նվազմանը՝ ներկայացված կենտրոնական</w:t>
      </w:r>
      <w:r w:rsidRPr="00CF2B2C">
        <w:rPr>
          <w:rFonts w:eastAsia="Calibri"/>
          <w:b w:val="0"/>
          <w:szCs w:val="22"/>
          <w:lang w:val="hy-AM" w:eastAsia="en-US"/>
        </w:rPr>
        <w:t xml:space="preserve"> </w:t>
      </w:r>
      <w:r w:rsidRPr="00CF2B2C">
        <w:rPr>
          <w:rFonts w:eastAsia="Calibri"/>
          <w:b w:val="0"/>
          <w:szCs w:val="22"/>
          <w:lang w:val="es-ES" w:eastAsia="en-US"/>
        </w:rPr>
        <w:t>կանխատեսումների համեմատ:</w:t>
      </w:r>
      <w:r w:rsidRPr="00CF2B2C">
        <w:rPr>
          <w:rFonts w:eastAsia="Calibri"/>
          <w:b w:val="0"/>
          <w:szCs w:val="22"/>
          <w:lang w:val="hy-AM" w:eastAsia="en-US"/>
        </w:rPr>
        <w:t xml:space="preserve"> Ռիսկերի տեղի ունենալու դեպքում շեղումներ կարձանագրվեն սույն փաստաթղթի 1.4 բաժնում ներկայացված ենթադրություններից՝ հանգեցնելով մակրոտնտեսական կանխատեսումներից շեղումների և դրա հետևանքով էլ հարկաբյուջետային շրջանակի ցուցանիշների շեղման։</w:t>
      </w:r>
    </w:p>
    <w:p w:rsidR="00CF2B2C" w:rsidRPr="00CF2B2C" w:rsidRDefault="00CF2B2C" w:rsidP="00CF2B2C">
      <w:pPr>
        <w:tabs>
          <w:tab w:val="left" w:pos="9356"/>
        </w:tabs>
        <w:spacing w:before="0" w:after="120" w:line="276" w:lineRule="auto"/>
        <w:ind w:right="111" w:firstLine="360"/>
        <w:contextualSpacing w:val="0"/>
        <w:rPr>
          <w:rFonts w:eastAsia="Calibri" w:cs="Sylfaen"/>
          <w:b w:val="0"/>
          <w:szCs w:val="22"/>
          <w:lang w:val="hy-AM" w:eastAsia="en-US"/>
        </w:rPr>
      </w:pPr>
      <w:r w:rsidRPr="00CF2B2C">
        <w:rPr>
          <w:rFonts w:eastAsia="Calibri"/>
          <w:b w:val="0"/>
          <w:szCs w:val="22"/>
          <w:lang w:val="hy-AM" w:eastAsia="en-US"/>
        </w:rPr>
        <w:t>Պետք է նշել, որ համաշխարհային տնտեսության զարգացման ընթացքը մեծապես կախված է COVID-19 համավարակի հաղթահարմանն ուղղված առողջապահական միջոցառումներից։ Այս պայմաններում, անորոշության մեծ աստիճանից ելնելով՝ ինչպես աշխարհի և ՀՀ գործընկերների, այնպես էլ ՀՀ տնտեսական աճի կանխատեսումներում առկա են դեպի ներքև ռիսկեր։</w:t>
      </w:r>
    </w:p>
    <w:p w:rsidR="00CF2B2C" w:rsidRPr="00CF2B2C" w:rsidRDefault="00CF2B2C" w:rsidP="00CF2B2C">
      <w:pPr>
        <w:numPr>
          <w:ilvl w:val="0"/>
          <w:numId w:val="59"/>
        </w:numPr>
        <w:spacing w:before="40" w:after="120" w:line="276" w:lineRule="auto"/>
        <w:ind w:right="540"/>
        <w:contextualSpacing w:val="0"/>
        <w:jc w:val="left"/>
        <w:rPr>
          <w:rFonts w:ascii="Calibri" w:eastAsia="Calibri" w:hAnsi="Calibri"/>
          <w:b w:val="0"/>
          <w:sz w:val="24"/>
          <w:lang w:val="hy-AM" w:eastAsia="en-US"/>
        </w:rPr>
      </w:pPr>
      <w:r w:rsidRPr="00CF2B2C">
        <w:rPr>
          <w:rFonts w:eastAsia="Calibri" w:cs="Sylfaen"/>
          <w:bCs/>
          <w:szCs w:val="22"/>
          <w:lang w:val="hy-AM" w:eastAsia="en-US"/>
        </w:rPr>
        <w:t>ՀՀ</w:t>
      </w:r>
      <w:r w:rsidRPr="00CF2B2C">
        <w:rPr>
          <w:rFonts w:eastAsia="Calibri"/>
          <w:bCs/>
          <w:szCs w:val="22"/>
          <w:lang w:val="hy-AM" w:eastAsia="en-US"/>
        </w:rPr>
        <w:t xml:space="preserve"> </w:t>
      </w:r>
      <w:r w:rsidRPr="00CF2B2C">
        <w:rPr>
          <w:rFonts w:eastAsia="Calibri" w:cs="Sylfaen"/>
          <w:bCs/>
          <w:szCs w:val="22"/>
          <w:lang w:val="hy-AM" w:eastAsia="en-US"/>
        </w:rPr>
        <w:t>տնտեսական</w:t>
      </w:r>
      <w:r w:rsidRPr="00CF2B2C">
        <w:rPr>
          <w:rFonts w:eastAsia="Calibri"/>
          <w:bCs/>
          <w:szCs w:val="22"/>
          <w:lang w:val="hy-AM" w:eastAsia="en-US"/>
        </w:rPr>
        <w:t xml:space="preserve"> </w:t>
      </w:r>
      <w:r w:rsidRPr="00CF2B2C">
        <w:rPr>
          <w:rFonts w:eastAsia="Calibri" w:cs="Sylfaen"/>
          <w:bCs/>
          <w:szCs w:val="22"/>
          <w:lang w:val="hy-AM" w:eastAsia="en-US"/>
        </w:rPr>
        <w:t>աճի</w:t>
      </w:r>
      <w:r w:rsidRPr="00CF2B2C">
        <w:rPr>
          <w:rFonts w:eastAsia="Calibri"/>
          <w:bCs/>
          <w:szCs w:val="22"/>
          <w:lang w:val="hy-AM" w:eastAsia="en-US"/>
        </w:rPr>
        <w:t xml:space="preserve"> </w:t>
      </w:r>
      <w:r w:rsidRPr="00CF2B2C">
        <w:rPr>
          <w:rFonts w:eastAsia="Calibri" w:cs="Sylfaen"/>
          <w:bCs/>
          <w:szCs w:val="22"/>
          <w:lang w:val="hy-AM" w:eastAsia="en-US"/>
        </w:rPr>
        <w:t>դեպի</w:t>
      </w:r>
      <w:r w:rsidRPr="00CF2B2C">
        <w:rPr>
          <w:rFonts w:eastAsia="Calibri"/>
          <w:bCs/>
          <w:szCs w:val="22"/>
          <w:lang w:val="hy-AM" w:eastAsia="en-US"/>
        </w:rPr>
        <w:t xml:space="preserve"> </w:t>
      </w:r>
      <w:r w:rsidRPr="00CF2B2C">
        <w:rPr>
          <w:rFonts w:eastAsia="Calibri" w:cs="Sylfaen"/>
          <w:bCs/>
          <w:szCs w:val="22"/>
          <w:lang w:val="hy-AM" w:eastAsia="en-US"/>
        </w:rPr>
        <w:t>ներքև</w:t>
      </w:r>
      <w:r w:rsidRPr="00CF2B2C">
        <w:rPr>
          <w:rFonts w:eastAsia="Calibri"/>
          <w:bCs/>
          <w:szCs w:val="22"/>
          <w:lang w:val="hy-AM" w:eastAsia="en-US"/>
        </w:rPr>
        <w:t xml:space="preserve"> </w:t>
      </w:r>
      <w:r w:rsidRPr="00CF2B2C">
        <w:rPr>
          <w:rFonts w:eastAsia="Calibri" w:cs="Sylfaen"/>
          <w:bCs/>
          <w:szCs w:val="22"/>
          <w:lang w:val="hy-AM" w:eastAsia="en-US"/>
        </w:rPr>
        <w:t>ուղղությամբ</w:t>
      </w:r>
      <w:r w:rsidRPr="00CF2B2C">
        <w:rPr>
          <w:rFonts w:eastAsia="Calibri"/>
          <w:bCs/>
          <w:szCs w:val="22"/>
          <w:lang w:val="hy-AM" w:eastAsia="en-US"/>
        </w:rPr>
        <w:t xml:space="preserve"> </w:t>
      </w:r>
      <w:r w:rsidRPr="00CF2B2C">
        <w:rPr>
          <w:rFonts w:eastAsia="Calibri" w:cs="Sylfaen"/>
          <w:bCs/>
          <w:szCs w:val="22"/>
          <w:lang w:val="hy-AM" w:eastAsia="en-US"/>
        </w:rPr>
        <w:t>ռիսկեր՝</w:t>
      </w:r>
    </w:p>
    <w:p w:rsidR="00CF2B2C" w:rsidRPr="00CF2B2C" w:rsidRDefault="00CF2B2C" w:rsidP="00CF2B2C">
      <w:pPr>
        <w:numPr>
          <w:ilvl w:val="0"/>
          <w:numId w:val="57"/>
        </w:numPr>
        <w:spacing w:before="40" w:after="120" w:line="276" w:lineRule="auto"/>
        <w:ind w:left="850" w:right="111" w:hanging="357"/>
        <w:contextualSpacing w:val="0"/>
        <w:rPr>
          <w:rFonts w:eastAsia="Calibri" w:cs="Sylfaen"/>
          <w:b w:val="0"/>
          <w:bCs/>
          <w:szCs w:val="22"/>
          <w:lang w:val="hy-AM" w:eastAsia="en-US"/>
        </w:rPr>
      </w:pPr>
      <w:r w:rsidRPr="00CF2B2C">
        <w:rPr>
          <w:rFonts w:eastAsia="Calibri" w:cs="Sylfaen"/>
          <w:b w:val="0"/>
          <w:bCs/>
          <w:szCs w:val="22"/>
          <w:lang w:val="hy-AM" w:eastAsia="en-US"/>
        </w:rPr>
        <w:t>Արտաքին միջավայրից բխող դեպի ներքև ռիսկերը կապված են համաշխարհային տնտեսական ավելի խորը անկման և</w:t>
      </w:r>
      <w:r w:rsidRPr="00CF2B2C">
        <w:rPr>
          <w:rFonts w:eastAsia="Calibri" w:cs="Sylfaen"/>
          <w:b w:val="0"/>
          <w:bCs/>
          <w:szCs w:val="22"/>
          <w:lang w:val="es-ES" w:eastAsia="en-US"/>
        </w:rPr>
        <w:t xml:space="preserve"> </w:t>
      </w:r>
      <w:r w:rsidRPr="00CF2B2C">
        <w:rPr>
          <w:rFonts w:eastAsia="Calibri" w:cs="Sylfaen"/>
          <w:b w:val="0"/>
          <w:bCs/>
          <w:szCs w:val="22"/>
          <w:lang w:val="hy-AM" w:eastAsia="en-US"/>
        </w:rPr>
        <w:t>կորոնավիրուսի համավարակի երկրորդ ալիքի տարածման ու նոր հնարավոր սահմանափակումների կիրառման հետևանքով տնտեսական կորուստների, երկրների սահմանների բացման և փոխադրումների սահմանափակումների վերացման ընթացքի անորոշությունների, ինչպես</w:t>
      </w:r>
      <w:r w:rsidRPr="00CF2B2C">
        <w:rPr>
          <w:rFonts w:eastAsia="Calibri" w:cs="Sylfaen"/>
          <w:b w:val="0"/>
          <w:bCs/>
          <w:szCs w:val="22"/>
          <w:lang w:val="es-ES" w:eastAsia="en-US"/>
        </w:rPr>
        <w:t xml:space="preserve"> </w:t>
      </w:r>
      <w:r w:rsidRPr="00CF2B2C">
        <w:rPr>
          <w:rFonts w:eastAsia="Calibri" w:cs="Sylfaen"/>
          <w:b w:val="0"/>
          <w:bCs/>
          <w:szCs w:val="22"/>
          <w:lang w:val="hy-AM" w:eastAsia="en-US"/>
        </w:rPr>
        <w:t>նաև</w:t>
      </w:r>
      <w:r w:rsidRPr="00CF2B2C">
        <w:rPr>
          <w:rFonts w:eastAsia="Calibri" w:cs="Sylfaen"/>
          <w:b w:val="0"/>
          <w:bCs/>
          <w:szCs w:val="22"/>
          <w:lang w:val="es-ES" w:eastAsia="en-US"/>
        </w:rPr>
        <w:t xml:space="preserve"> </w:t>
      </w:r>
      <w:r w:rsidRPr="00CF2B2C">
        <w:rPr>
          <w:rFonts w:eastAsia="Calibri" w:cs="Sylfaen"/>
          <w:b w:val="0"/>
          <w:bCs/>
          <w:szCs w:val="22"/>
          <w:lang w:val="hy-AM" w:eastAsia="en-US"/>
        </w:rPr>
        <w:t xml:space="preserve">հումքային ապրանքների գների ոչ բարենպաստ տատանումների հետ։ </w:t>
      </w:r>
    </w:p>
    <w:p w:rsidR="00CF2B2C" w:rsidRPr="00CF2B2C" w:rsidRDefault="00CF2B2C" w:rsidP="00CF2B2C">
      <w:pPr>
        <w:numPr>
          <w:ilvl w:val="0"/>
          <w:numId w:val="57"/>
        </w:numPr>
        <w:spacing w:before="40" w:after="120" w:line="276" w:lineRule="auto"/>
        <w:ind w:left="850" w:right="111" w:hanging="357"/>
        <w:contextualSpacing w:val="0"/>
        <w:rPr>
          <w:rFonts w:ascii="Calibri" w:eastAsia="Calibri" w:hAnsi="Calibri" w:cs="Sylfaen"/>
          <w:b w:val="0"/>
          <w:sz w:val="24"/>
          <w:lang w:val="it-IT" w:eastAsia="en-US"/>
        </w:rPr>
      </w:pPr>
      <w:r w:rsidRPr="00CF2B2C">
        <w:rPr>
          <w:rFonts w:eastAsia="Calibri" w:cs="Sylfaen"/>
          <w:b w:val="0"/>
          <w:szCs w:val="22"/>
          <w:lang w:val="hy-AM" w:eastAsia="en-US"/>
        </w:rPr>
        <w:t>Ներքին միջավայրից բխող դեպի ներքև ռիսկերը կապված են ՀՀ-ում</w:t>
      </w:r>
      <w:r w:rsidRPr="00CF2B2C">
        <w:rPr>
          <w:rFonts w:eastAsia="Calibri" w:cs="Sylfaen"/>
          <w:i/>
          <w:szCs w:val="22"/>
          <w:lang w:val="hy-AM" w:eastAsia="en-US"/>
        </w:rPr>
        <w:t xml:space="preserve"> </w:t>
      </w:r>
      <w:r w:rsidRPr="00CF2B2C">
        <w:rPr>
          <w:rFonts w:eastAsia="Calibri" w:cs="Sylfaen"/>
          <w:b w:val="0"/>
          <w:szCs w:val="22"/>
          <w:lang w:val="hy-AM" w:eastAsia="en-US"/>
        </w:rPr>
        <w:t xml:space="preserve">կորոնավիրուսի համավարակի տարածման անորոշությունների, երկրորդ ալիքի </w:t>
      </w:r>
      <w:bookmarkStart w:id="107" w:name="_Hlk57326882"/>
      <w:r w:rsidRPr="00CF2B2C">
        <w:rPr>
          <w:rFonts w:eastAsia="Calibri" w:cs="Sylfaen"/>
          <w:b w:val="0"/>
          <w:szCs w:val="22"/>
          <w:lang w:val="hy-AM" w:eastAsia="en-US"/>
        </w:rPr>
        <w:t>հետևանքով հետագա տնտեսական կորուստների</w:t>
      </w:r>
      <w:bookmarkEnd w:id="107"/>
      <w:r w:rsidRPr="00CF2B2C">
        <w:rPr>
          <w:rFonts w:eastAsia="Calibri" w:cs="Sylfaen"/>
          <w:b w:val="0"/>
          <w:szCs w:val="22"/>
          <w:lang w:val="hy-AM" w:eastAsia="en-US"/>
        </w:rPr>
        <w:t>, ՀՀ կառավարության աջակցության փաթեթների (մասնավորապես ներդրումների խթանմանն ուղղված՝ 80 մլրդ դրամ փաթեթի) ազդեցության ավելի դանդաղ դրսևորման, ՀՀ կառավարության կառուցվածքային</w:t>
      </w:r>
      <w:r w:rsidRPr="00CF2B2C">
        <w:rPr>
          <w:rFonts w:eastAsia="Calibri" w:cs="Sylfaen"/>
          <w:b w:val="0"/>
          <w:szCs w:val="22"/>
          <w:lang w:val="it-IT" w:eastAsia="en-US"/>
        </w:rPr>
        <w:t xml:space="preserve"> </w:t>
      </w:r>
      <w:r w:rsidRPr="00CF2B2C">
        <w:rPr>
          <w:rFonts w:eastAsia="Calibri" w:cs="Sylfaen"/>
          <w:b w:val="0"/>
          <w:szCs w:val="22"/>
          <w:lang w:val="hy-AM" w:eastAsia="en-US"/>
        </w:rPr>
        <w:t xml:space="preserve">բարեփոխումների և ներդրումների խթանման քաղաքականության ակնկալվող արդյունքների սպասվածից ավելի ուշ արտահայտման </w:t>
      </w:r>
      <w:r w:rsidRPr="00CF2B2C">
        <w:rPr>
          <w:rFonts w:eastAsia="Calibri" w:cs="Sylfaen"/>
          <w:b w:val="0"/>
          <w:szCs w:val="22"/>
          <w:lang w:val="it-IT" w:eastAsia="en-US"/>
        </w:rPr>
        <w:t>հետ:</w:t>
      </w:r>
    </w:p>
    <w:p w:rsidR="00CF2B2C" w:rsidRPr="00CF2B2C" w:rsidRDefault="00CF2B2C" w:rsidP="00CF2B2C">
      <w:pPr>
        <w:numPr>
          <w:ilvl w:val="0"/>
          <w:numId w:val="57"/>
        </w:numPr>
        <w:spacing w:before="40" w:after="120" w:line="276" w:lineRule="auto"/>
        <w:ind w:left="850" w:right="111" w:hanging="357"/>
        <w:contextualSpacing w:val="0"/>
        <w:rPr>
          <w:rFonts w:ascii="Calibri" w:eastAsia="Calibri" w:hAnsi="Calibri" w:cs="Sylfaen"/>
          <w:b w:val="0"/>
          <w:sz w:val="24"/>
          <w:lang w:val="it-IT" w:eastAsia="en-US"/>
        </w:rPr>
      </w:pPr>
      <w:r w:rsidRPr="00CF2B2C">
        <w:rPr>
          <w:rFonts w:eastAsia="Calibri" w:cs="Sylfaen"/>
          <w:b w:val="0"/>
          <w:szCs w:val="22"/>
          <w:lang w:val="hy-AM" w:eastAsia="en-US"/>
        </w:rPr>
        <w:t xml:space="preserve">Դեպի ներքև ռիսկեր կարող են առաջանալ </w:t>
      </w:r>
      <w:bookmarkStart w:id="108" w:name="_Hlk57326638"/>
      <w:r w:rsidRPr="00CF2B2C">
        <w:rPr>
          <w:rFonts w:eastAsia="Calibri" w:cs="Sylfaen"/>
          <w:b w:val="0"/>
          <w:szCs w:val="22"/>
          <w:lang w:val="it-IT" w:eastAsia="en-US"/>
        </w:rPr>
        <w:t xml:space="preserve">Արցախյան պատերազմի հետագա </w:t>
      </w:r>
      <w:r w:rsidRPr="00CF2B2C">
        <w:rPr>
          <w:rFonts w:eastAsia="Calibri" w:cs="Sylfaen"/>
          <w:b w:val="0"/>
          <w:szCs w:val="22"/>
          <w:lang w:val="hy-AM" w:eastAsia="en-US"/>
        </w:rPr>
        <w:t xml:space="preserve">սոցիալ-տնտեսական </w:t>
      </w:r>
      <w:r w:rsidRPr="00CF2B2C">
        <w:rPr>
          <w:rFonts w:eastAsia="Calibri" w:cs="Sylfaen"/>
          <w:b w:val="0"/>
          <w:szCs w:val="22"/>
          <w:lang w:val="it-IT" w:eastAsia="en-US"/>
        </w:rPr>
        <w:t xml:space="preserve">ազդեցությունների, </w:t>
      </w:r>
      <w:r w:rsidRPr="00CF2B2C">
        <w:rPr>
          <w:rFonts w:eastAsia="Calibri" w:cs="Sylfaen"/>
          <w:b w:val="0"/>
          <w:szCs w:val="22"/>
          <w:lang w:val="hy-AM" w:eastAsia="en-US"/>
        </w:rPr>
        <w:t>ինչպես նաև   Արցախյան հակամարտության</w:t>
      </w:r>
      <w:r w:rsidRPr="00CF2B2C">
        <w:rPr>
          <w:rFonts w:eastAsia="Calibri" w:cs="Sylfaen"/>
          <w:b w:val="0"/>
          <w:szCs w:val="22"/>
          <w:lang w:val="it-IT" w:eastAsia="en-US"/>
        </w:rPr>
        <w:t xml:space="preserve"> հետ կապված</w:t>
      </w:r>
      <w:r w:rsidRPr="00CF2B2C">
        <w:rPr>
          <w:rFonts w:eastAsia="Calibri" w:cs="Sylfaen"/>
          <w:b w:val="0"/>
          <w:szCs w:val="22"/>
          <w:lang w:val="hy-AM" w:eastAsia="en-US"/>
        </w:rPr>
        <w:t xml:space="preserve"> անորոշություններից</w:t>
      </w:r>
      <w:r w:rsidRPr="00CF2B2C">
        <w:rPr>
          <w:rFonts w:eastAsia="Calibri" w:cs="Sylfaen"/>
          <w:b w:val="0"/>
          <w:szCs w:val="22"/>
          <w:lang w:val="it-IT" w:eastAsia="en-US"/>
        </w:rPr>
        <w:t>:</w:t>
      </w:r>
    </w:p>
    <w:bookmarkEnd w:id="108"/>
    <w:p w:rsidR="00CF2B2C" w:rsidRPr="00CF2B2C" w:rsidRDefault="00CF2B2C" w:rsidP="00CF2B2C">
      <w:pPr>
        <w:numPr>
          <w:ilvl w:val="0"/>
          <w:numId w:val="59"/>
        </w:numPr>
        <w:spacing w:before="40" w:after="120" w:line="276" w:lineRule="auto"/>
        <w:ind w:right="111"/>
        <w:contextualSpacing w:val="0"/>
        <w:jc w:val="left"/>
        <w:rPr>
          <w:rFonts w:ascii="Calibri" w:eastAsia="Calibri" w:hAnsi="Calibri"/>
          <w:b w:val="0"/>
          <w:sz w:val="24"/>
          <w:lang w:val="it-IT" w:eastAsia="en-US"/>
        </w:rPr>
      </w:pPr>
      <w:r w:rsidRPr="00CF2B2C">
        <w:rPr>
          <w:rFonts w:eastAsia="Calibri" w:cs="Sylfaen"/>
          <w:bCs/>
          <w:szCs w:val="22"/>
          <w:lang w:val="hy-AM" w:eastAsia="en-US"/>
        </w:rPr>
        <w:t>Տնտեսական</w:t>
      </w:r>
      <w:r w:rsidRPr="00CF2B2C">
        <w:rPr>
          <w:rFonts w:eastAsia="Calibri"/>
          <w:bCs/>
          <w:szCs w:val="22"/>
          <w:lang w:val="hy-AM" w:eastAsia="en-US"/>
        </w:rPr>
        <w:t xml:space="preserve"> </w:t>
      </w:r>
      <w:r w:rsidRPr="00CF2B2C">
        <w:rPr>
          <w:rFonts w:eastAsia="Calibri" w:cs="Sylfaen"/>
          <w:bCs/>
          <w:szCs w:val="22"/>
          <w:lang w:val="hy-AM" w:eastAsia="en-US"/>
        </w:rPr>
        <w:t>աճի</w:t>
      </w:r>
      <w:r w:rsidRPr="00CF2B2C">
        <w:rPr>
          <w:rFonts w:eastAsia="Calibri"/>
          <w:bCs/>
          <w:szCs w:val="22"/>
          <w:lang w:val="hy-AM" w:eastAsia="en-US"/>
        </w:rPr>
        <w:t xml:space="preserve"> </w:t>
      </w:r>
      <w:r w:rsidRPr="00CF2B2C">
        <w:rPr>
          <w:rFonts w:eastAsia="Calibri" w:cs="Sylfaen"/>
          <w:bCs/>
          <w:szCs w:val="22"/>
          <w:lang w:val="hy-AM" w:eastAsia="en-US"/>
        </w:rPr>
        <w:t>դեպի</w:t>
      </w:r>
      <w:r w:rsidRPr="00CF2B2C">
        <w:rPr>
          <w:rFonts w:eastAsia="Calibri"/>
          <w:bCs/>
          <w:szCs w:val="22"/>
          <w:lang w:val="hy-AM" w:eastAsia="en-US"/>
        </w:rPr>
        <w:t xml:space="preserve"> </w:t>
      </w:r>
      <w:r w:rsidRPr="00CF2B2C">
        <w:rPr>
          <w:rFonts w:eastAsia="Calibri" w:cs="Sylfaen"/>
          <w:bCs/>
          <w:szCs w:val="22"/>
          <w:lang w:val="hy-AM" w:eastAsia="en-US"/>
        </w:rPr>
        <w:t>վերև</w:t>
      </w:r>
      <w:r w:rsidRPr="00CF2B2C">
        <w:rPr>
          <w:rFonts w:eastAsia="Calibri"/>
          <w:bCs/>
          <w:szCs w:val="22"/>
          <w:lang w:val="it-IT" w:eastAsia="en-US"/>
        </w:rPr>
        <w:t xml:space="preserve"> </w:t>
      </w:r>
      <w:r w:rsidRPr="00CF2B2C">
        <w:rPr>
          <w:rFonts w:eastAsia="Calibri" w:cs="Sylfaen"/>
          <w:bCs/>
          <w:szCs w:val="22"/>
          <w:lang w:val="en-US" w:eastAsia="en-US"/>
        </w:rPr>
        <w:t>ուղղությամբ</w:t>
      </w:r>
      <w:r w:rsidRPr="00CF2B2C">
        <w:rPr>
          <w:rFonts w:eastAsia="Calibri"/>
          <w:bCs/>
          <w:szCs w:val="22"/>
          <w:lang w:val="it-IT" w:eastAsia="en-US"/>
        </w:rPr>
        <w:t xml:space="preserve"> </w:t>
      </w:r>
      <w:r w:rsidRPr="00CF2B2C">
        <w:rPr>
          <w:rFonts w:eastAsia="Calibri" w:cs="Sylfaen"/>
          <w:bCs/>
          <w:szCs w:val="22"/>
          <w:lang w:val="en-US" w:eastAsia="en-US"/>
        </w:rPr>
        <w:t>ռիսկեր</w:t>
      </w:r>
      <w:r w:rsidRPr="00CF2B2C">
        <w:rPr>
          <w:rFonts w:eastAsia="Calibri" w:cs="Sylfaen"/>
          <w:bCs/>
          <w:szCs w:val="22"/>
          <w:lang w:val="hy-AM" w:eastAsia="en-US"/>
        </w:rPr>
        <w:t>՝</w:t>
      </w:r>
      <w:r w:rsidRPr="00CF2B2C">
        <w:rPr>
          <w:rFonts w:eastAsia="Calibri"/>
          <w:bCs/>
          <w:szCs w:val="22"/>
          <w:lang w:val="it-IT" w:eastAsia="en-US"/>
        </w:rPr>
        <w:t xml:space="preserve"> </w:t>
      </w:r>
    </w:p>
    <w:p w:rsidR="00CF2B2C" w:rsidRPr="00CF2B2C" w:rsidRDefault="00CF2B2C" w:rsidP="00CF2B2C">
      <w:pPr>
        <w:spacing w:before="0" w:after="120" w:line="276" w:lineRule="auto"/>
        <w:ind w:right="111" w:firstLine="227"/>
        <w:rPr>
          <w:rFonts w:eastAsia="Calibri" w:cs="Sylfaen"/>
          <w:b w:val="0"/>
          <w:szCs w:val="22"/>
          <w:lang w:val="hy-AM" w:eastAsia="en-US"/>
        </w:rPr>
      </w:pPr>
      <w:r w:rsidRPr="00CF2B2C">
        <w:rPr>
          <w:rFonts w:eastAsia="Calibri" w:cs="Sylfaen"/>
          <w:b w:val="0"/>
          <w:szCs w:val="22"/>
          <w:lang w:val="hy-AM" w:eastAsia="en-US"/>
        </w:rPr>
        <w:t xml:space="preserve">երքին միջավայրից բխող դեպի վերև ռիսկերը կապված են տնտեսության վերականգմանը </w:t>
      </w:r>
      <w:r w:rsidRPr="00CF2B2C">
        <w:rPr>
          <w:rFonts w:eastAsia="Calibri" w:cs="Sylfaen"/>
          <w:b w:val="0"/>
          <w:szCs w:val="22"/>
          <w:lang w:val="it-IT" w:eastAsia="en-US"/>
        </w:rPr>
        <w:t>(</w:t>
      </w:r>
      <w:r w:rsidRPr="00CF2B2C">
        <w:rPr>
          <w:rFonts w:eastAsia="Calibri" w:cs="Sylfaen"/>
          <w:b w:val="0"/>
          <w:szCs w:val="22"/>
          <w:lang w:val="hy-AM" w:eastAsia="en-US"/>
        </w:rPr>
        <w:t>մասնավորապես՝ արտահանման և ներդրումների խթանման ուղղությամբ</w:t>
      </w:r>
      <w:r w:rsidRPr="00CF2B2C">
        <w:rPr>
          <w:rFonts w:eastAsia="Calibri" w:cs="Sylfaen"/>
          <w:b w:val="0"/>
          <w:szCs w:val="22"/>
          <w:lang w:val="it-IT" w:eastAsia="en-US"/>
        </w:rPr>
        <w:t>)</w:t>
      </w:r>
      <w:r w:rsidRPr="00CF2B2C">
        <w:rPr>
          <w:rFonts w:eastAsia="Calibri" w:cs="Sylfaen"/>
          <w:b w:val="0"/>
          <w:szCs w:val="22"/>
          <w:lang w:val="hy-AM" w:eastAsia="en-US"/>
        </w:rPr>
        <w:t xml:space="preserve"> և Արցախյան պատերազմի բացասական սոցիալ-տնտեսական հետևանքների մեղմանն ուղղված ՀՀ կառավարության միջոցառումների հետ, ։ </w:t>
      </w:r>
    </w:p>
    <w:p w:rsidR="00CF2B2C" w:rsidRPr="00CF2B2C" w:rsidRDefault="00CF2B2C" w:rsidP="00CF2B2C">
      <w:pPr>
        <w:spacing w:before="0" w:line="276" w:lineRule="auto"/>
        <w:ind w:right="111" w:firstLine="426"/>
        <w:rPr>
          <w:rFonts w:eastAsia="Calibri" w:cs="Sylfaen"/>
          <w:b w:val="0"/>
          <w:bCs/>
          <w:szCs w:val="22"/>
          <w:lang w:val="hy-AM" w:eastAsia="en-US"/>
        </w:rPr>
      </w:pPr>
      <w:r w:rsidRPr="00CF2B2C">
        <w:rPr>
          <w:rFonts w:eastAsia="Calibri" w:cs="Sylfaen"/>
          <w:b w:val="0"/>
          <w:bCs/>
          <w:szCs w:val="22"/>
          <w:lang w:val="hy-AM" w:eastAsia="en-US"/>
        </w:rPr>
        <w:t>Տնտեսական աճի ռիսկերը ներկայացված են ներքոնշյալ Գծապատկեր 1.32-ում և Աղյուսակ 1.4-ում:</w:t>
      </w:r>
    </w:p>
    <w:p w:rsidR="00CF2B2C" w:rsidRPr="00CF2B2C" w:rsidRDefault="00CF2B2C" w:rsidP="00CF2B2C">
      <w:pPr>
        <w:spacing w:before="0" w:line="276" w:lineRule="auto"/>
        <w:ind w:right="111" w:firstLine="426"/>
        <w:rPr>
          <w:rFonts w:eastAsia="Calibri" w:cs="Sylfaen"/>
          <w:b w:val="0"/>
          <w:bCs/>
          <w:szCs w:val="22"/>
          <w:highlight w:val="yellow"/>
          <w:lang w:val="hy-AM" w:eastAsia="en-US"/>
        </w:rPr>
      </w:pPr>
    </w:p>
    <w:p w:rsidR="00CF2B2C" w:rsidRPr="00CF2B2C" w:rsidRDefault="00CF2B2C" w:rsidP="00CF2B2C">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CF2B2C">
        <w:rPr>
          <w:rFonts w:eastAsia="Calibri" w:cs="Sylfaen"/>
          <w:bCs/>
          <w:i/>
          <w:iCs/>
          <w:color w:val="000000"/>
          <w:szCs w:val="22"/>
          <w:lang w:val="hy-AM" w:eastAsia="en-US"/>
        </w:rPr>
        <w:t>Գծապատկեր 1.32</w:t>
      </w:r>
      <w:r w:rsidRPr="00CF2B2C">
        <w:rPr>
          <w:rFonts w:eastAsia="Calibri" w:cs="Sylfaen"/>
          <w:bCs/>
          <w:i/>
          <w:iCs/>
          <w:color w:val="000000"/>
          <w:sz w:val="20"/>
          <w:szCs w:val="20"/>
          <w:lang w:val="hy-AM" w:eastAsia="en-US"/>
        </w:rPr>
        <w:t xml:space="preserve">. </w:t>
      </w:r>
      <w:r w:rsidRPr="00CF2B2C">
        <w:rPr>
          <w:rFonts w:eastAsia="Calibri" w:cs="Sylfaen"/>
          <w:b w:val="0"/>
          <w:bCs/>
          <w:i/>
          <w:iCs/>
          <w:color w:val="000000"/>
          <w:sz w:val="20"/>
          <w:szCs w:val="20"/>
          <w:lang w:val="hy-AM" w:eastAsia="en-US"/>
        </w:rPr>
        <w:t>Իրական ՀՆԱ աճի կանխատեսման հավանականությունների բաշխումը (Fan Chart)</w:t>
      </w:r>
    </w:p>
    <w:p w:rsidR="00CF2B2C" w:rsidRPr="00CF2B2C" w:rsidRDefault="00CF2B2C" w:rsidP="00CF2B2C">
      <w:pPr>
        <w:keepNext/>
        <w:keepLines/>
        <w:spacing w:before="0" w:line="276" w:lineRule="auto"/>
        <w:ind w:right="111" w:firstLine="0"/>
        <w:contextualSpacing w:val="0"/>
        <w:jc w:val="left"/>
        <w:rPr>
          <w:rFonts w:ascii="Times New Roman" w:eastAsia="Calibri" w:hAnsi="Times New Roman" w:cs="Sylfaen"/>
          <w:b w:val="0"/>
          <w:bCs/>
          <w:i/>
          <w:iCs/>
          <w:color w:val="000000"/>
          <w:sz w:val="20"/>
          <w:szCs w:val="20"/>
          <w:lang w:val="hy-AM" w:eastAsia="en-US"/>
        </w:rPr>
      </w:pPr>
      <w:r w:rsidRPr="00CF2B2C">
        <w:rPr>
          <w:rFonts w:ascii="Sylfaen" w:eastAsia="Calibri" w:hAnsi="Sylfaen"/>
          <w:noProof/>
          <w:sz w:val="18"/>
          <w:szCs w:val="18"/>
          <w:lang w:val="en-US" w:eastAsia="en-US"/>
        </w:rPr>
        <w:drawing>
          <wp:inline distT="0" distB="0" distL="0" distR="0">
            <wp:extent cx="5940425" cy="2412980"/>
            <wp:effectExtent l="19050" t="0" r="22225" b="63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F2B2C" w:rsidRPr="00CF2B2C" w:rsidRDefault="00CF2B2C" w:rsidP="00CF2B2C">
      <w:pPr>
        <w:spacing w:before="0" w:line="276" w:lineRule="auto"/>
        <w:ind w:right="111" w:firstLine="709"/>
        <w:contextualSpacing w:val="0"/>
        <w:jc w:val="left"/>
        <w:rPr>
          <w:rFonts w:ascii="Times New Roman" w:eastAsia="Calibri" w:hAnsi="Times New Roman" w:cs="Sylfaen"/>
          <w:b w:val="0"/>
          <w:bCs/>
          <w:i/>
          <w:iCs/>
          <w:color w:val="000000"/>
          <w:sz w:val="20"/>
          <w:szCs w:val="20"/>
          <w:lang w:val="hy-AM" w:eastAsia="en-US"/>
        </w:rPr>
      </w:pPr>
    </w:p>
    <w:p w:rsidR="00CF2B2C" w:rsidRPr="00CF2B2C" w:rsidRDefault="00CF2B2C" w:rsidP="00CF2B2C">
      <w:pPr>
        <w:spacing w:before="0" w:line="240" w:lineRule="auto"/>
        <w:ind w:right="111" w:firstLine="0"/>
        <w:contextualSpacing w:val="0"/>
        <w:jc w:val="left"/>
        <w:rPr>
          <w:rFonts w:eastAsia="Calibri"/>
          <w:b w:val="0"/>
          <w:sz w:val="18"/>
          <w:szCs w:val="18"/>
          <w:lang w:val="hy-AM" w:eastAsia="en-US"/>
        </w:rPr>
      </w:pPr>
      <w:r w:rsidRPr="00CF2B2C">
        <w:rPr>
          <w:rFonts w:eastAsia="Calibri"/>
          <w:b w:val="0"/>
          <w:sz w:val="18"/>
          <w:szCs w:val="18"/>
          <w:lang w:val="hy-AM" w:eastAsia="en-US"/>
        </w:rPr>
        <w:t>Աղբյուրը՝ ՀՀ ՖՆ գնահատումներ և կանխատեսումներ</w:t>
      </w:r>
    </w:p>
    <w:p w:rsidR="00CF2B2C" w:rsidRPr="00CF2B2C" w:rsidRDefault="00CF2B2C" w:rsidP="00CF2B2C">
      <w:pPr>
        <w:spacing w:before="0" w:line="240" w:lineRule="auto"/>
        <w:ind w:right="111" w:firstLine="0"/>
        <w:contextualSpacing w:val="0"/>
        <w:jc w:val="left"/>
        <w:rPr>
          <w:rFonts w:eastAsia="Calibri"/>
          <w:b w:val="0"/>
          <w:sz w:val="18"/>
          <w:szCs w:val="18"/>
          <w:lang w:val="hy-AM" w:eastAsia="en-US"/>
        </w:rPr>
      </w:pPr>
    </w:p>
    <w:p w:rsidR="00CF2B2C" w:rsidRPr="00CF2B2C" w:rsidRDefault="00CF2B2C" w:rsidP="00CF2B2C">
      <w:pPr>
        <w:ind w:right="111"/>
        <w:rPr>
          <w:rFonts w:ascii="Sylfaen" w:hAnsi="Sylfaen"/>
          <w:lang w:val="hy-AM"/>
        </w:rPr>
      </w:pPr>
      <w:r w:rsidRPr="00CF2B2C">
        <w:rPr>
          <w:rFonts w:eastAsia="Calibri" w:cs="Sylfaen"/>
          <w:bCs/>
          <w:i/>
          <w:iCs/>
          <w:color w:val="000000"/>
          <w:szCs w:val="22"/>
          <w:lang w:val="hy-AM" w:eastAsia="en-US"/>
        </w:rPr>
        <w:t>Աղյուսակ</w:t>
      </w:r>
      <w:r w:rsidRPr="00CF2B2C">
        <w:rPr>
          <w:rFonts w:eastAsia="Calibri"/>
          <w:bCs/>
          <w:i/>
          <w:iCs/>
          <w:color w:val="000000"/>
          <w:szCs w:val="22"/>
          <w:lang w:val="hy-AM" w:eastAsia="en-US"/>
        </w:rPr>
        <w:t xml:space="preserve"> 1.4.</w:t>
      </w:r>
      <w:r w:rsidRPr="00CF2B2C">
        <w:rPr>
          <w:rFonts w:eastAsia="Calibri"/>
          <w:bCs/>
          <w:i/>
          <w:iCs/>
          <w:color w:val="000000"/>
          <w:sz w:val="20"/>
          <w:szCs w:val="20"/>
          <w:lang w:val="hy-AM" w:eastAsia="en-US"/>
        </w:rPr>
        <w:t xml:space="preserve"> </w:t>
      </w:r>
      <w:r w:rsidRPr="00CF2B2C">
        <w:rPr>
          <w:rFonts w:eastAsia="Calibri" w:cs="Sylfaen"/>
          <w:b w:val="0"/>
          <w:bCs/>
          <w:i/>
          <w:iCs/>
          <w:color w:val="000000"/>
          <w:sz w:val="20"/>
          <w:szCs w:val="20"/>
          <w:lang w:val="hy-AM" w:eastAsia="en-US"/>
        </w:rPr>
        <w:t>Իրական</w:t>
      </w:r>
      <w:r w:rsidRPr="00CF2B2C">
        <w:rPr>
          <w:rFonts w:eastAsia="Calibri"/>
          <w:b w:val="0"/>
          <w:bCs/>
          <w:i/>
          <w:iCs/>
          <w:color w:val="000000"/>
          <w:sz w:val="20"/>
          <w:szCs w:val="20"/>
          <w:lang w:val="hy-AM" w:eastAsia="en-US"/>
        </w:rPr>
        <w:t xml:space="preserve"> </w:t>
      </w:r>
      <w:r w:rsidRPr="00CF2B2C">
        <w:rPr>
          <w:rFonts w:eastAsia="Calibri" w:cs="Sylfaen"/>
          <w:b w:val="0"/>
          <w:bCs/>
          <w:i/>
          <w:iCs/>
          <w:color w:val="000000"/>
          <w:sz w:val="20"/>
          <w:szCs w:val="20"/>
          <w:lang w:val="hy-AM" w:eastAsia="en-US"/>
        </w:rPr>
        <w:t>ՀՆԱ-ի աճի կանխատեսման</w:t>
      </w:r>
      <w:r w:rsidRPr="00CF2B2C">
        <w:rPr>
          <w:rFonts w:eastAsia="Calibri"/>
          <w:b w:val="0"/>
          <w:bCs/>
          <w:i/>
          <w:iCs/>
          <w:color w:val="000000"/>
          <w:sz w:val="20"/>
          <w:szCs w:val="20"/>
          <w:lang w:val="hy-AM" w:eastAsia="en-US"/>
        </w:rPr>
        <w:t xml:space="preserve"> </w:t>
      </w:r>
      <w:r w:rsidRPr="00CF2B2C">
        <w:rPr>
          <w:rFonts w:eastAsia="Calibri" w:cs="Sylfaen"/>
          <w:b w:val="0"/>
          <w:bCs/>
          <w:i/>
          <w:iCs/>
          <w:color w:val="000000"/>
          <w:sz w:val="20"/>
          <w:szCs w:val="20"/>
          <w:lang w:val="hy-AM" w:eastAsia="en-US"/>
        </w:rPr>
        <w:t>հավանականությունների</w:t>
      </w:r>
      <w:r w:rsidRPr="00CF2B2C">
        <w:rPr>
          <w:rFonts w:eastAsia="Calibri"/>
          <w:b w:val="0"/>
          <w:bCs/>
          <w:i/>
          <w:iCs/>
          <w:color w:val="000000"/>
          <w:sz w:val="20"/>
          <w:szCs w:val="20"/>
          <w:lang w:val="hy-AM" w:eastAsia="en-US"/>
        </w:rPr>
        <w:t xml:space="preserve"> </w:t>
      </w:r>
      <w:r w:rsidRPr="00CF2B2C">
        <w:rPr>
          <w:rFonts w:eastAsia="Calibri" w:cs="Sylfaen"/>
          <w:b w:val="0"/>
          <w:bCs/>
          <w:i/>
          <w:iCs/>
          <w:color w:val="000000"/>
          <w:sz w:val="20"/>
          <w:szCs w:val="20"/>
          <w:lang w:val="hy-AM" w:eastAsia="en-US"/>
        </w:rPr>
        <w:t>բաշխումը, (կուտակային</w:t>
      </w:r>
      <w:r w:rsidRPr="00CF2B2C">
        <w:rPr>
          <w:rFonts w:cs="Sylfaen"/>
          <w:b w:val="0"/>
          <w:szCs w:val="22"/>
          <w:u w:val="single"/>
          <w:lang w:val="es-ES" w:eastAsia="en-US"/>
        </w:rPr>
        <w:t>)</w:t>
      </w:r>
      <w:bookmarkStart w:id="109" w:name="_Hlk56530504"/>
      <w:r w:rsidRPr="00CF2B2C">
        <w:rPr>
          <w:rFonts w:ascii="Sylfaen" w:eastAsia="Calibri" w:hAnsi="Sylfaen"/>
          <w:vertAlign w:val="superscript"/>
          <w:lang w:val="hy-AM"/>
        </w:rPr>
        <w:footnoteReference w:id="19"/>
      </w:r>
    </w:p>
    <w:tbl>
      <w:tblPr>
        <w:tblW w:w="8433" w:type="dxa"/>
        <w:tblInd w:w="67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1474"/>
        <w:gridCol w:w="1440"/>
        <w:gridCol w:w="1530"/>
        <w:gridCol w:w="1710"/>
      </w:tblGrid>
      <w:tr w:rsidR="00CF2B2C" w:rsidRPr="00130243" w:rsidTr="00A03FB4">
        <w:trPr>
          <w:trHeight w:val="459"/>
        </w:trPr>
        <w:tc>
          <w:tcPr>
            <w:tcW w:w="2279" w:type="dxa"/>
            <w:vMerge w:val="restart"/>
            <w:shd w:val="clear" w:color="auto" w:fill="auto"/>
            <w:vAlign w:val="center"/>
            <w:hideMark/>
          </w:tcPr>
          <w:p w:rsidR="00CF2B2C" w:rsidRPr="00CF2B2C" w:rsidRDefault="00CF2B2C" w:rsidP="00CF2B2C">
            <w:pPr>
              <w:tabs>
                <w:tab w:val="center" w:pos="4677"/>
                <w:tab w:val="right" w:pos="9355"/>
              </w:tabs>
              <w:spacing w:before="0" w:line="240" w:lineRule="auto"/>
              <w:ind w:right="111" w:firstLine="152"/>
              <w:jc w:val="center"/>
              <w:rPr>
                <w:rFonts w:eastAsia="Calibri" w:cs="Calibri"/>
                <w:color w:val="000000"/>
                <w:sz w:val="18"/>
                <w:szCs w:val="18"/>
                <w:lang w:val="hy-AM"/>
              </w:rPr>
            </w:pPr>
            <w:bookmarkStart w:id="110" w:name="_Hlk56530454"/>
            <w:bookmarkEnd w:id="109"/>
            <w:r w:rsidRPr="00CF2B2C">
              <w:rPr>
                <w:rFonts w:eastAsia="Calibri" w:cs="Sylfaen"/>
                <w:color w:val="000000"/>
                <w:sz w:val="18"/>
                <w:szCs w:val="18"/>
              </w:rPr>
              <w:t>Տնտեսական</w:t>
            </w:r>
            <w:r w:rsidRPr="00CF2B2C">
              <w:rPr>
                <w:rFonts w:eastAsia="Calibri" w:cs="Calibri"/>
                <w:color w:val="000000"/>
                <w:sz w:val="18"/>
                <w:szCs w:val="18"/>
              </w:rPr>
              <w:t xml:space="preserve"> </w:t>
            </w:r>
            <w:r w:rsidRPr="00CF2B2C">
              <w:rPr>
                <w:rFonts w:eastAsia="Calibri" w:cs="Sylfaen"/>
                <w:color w:val="000000"/>
                <w:sz w:val="18"/>
                <w:szCs w:val="18"/>
              </w:rPr>
              <w:t>աճի</w:t>
            </w:r>
            <w:r w:rsidRPr="00CF2B2C">
              <w:rPr>
                <w:rFonts w:eastAsia="Calibri" w:cs="Calibri"/>
                <w:color w:val="000000"/>
                <w:sz w:val="18"/>
                <w:szCs w:val="18"/>
              </w:rPr>
              <w:t xml:space="preserve"> </w:t>
            </w:r>
            <w:r w:rsidRPr="00CF2B2C">
              <w:rPr>
                <w:rFonts w:eastAsia="Calibri" w:cs="Sylfaen"/>
                <w:color w:val="000000"/>
                <w:sz w:val="18"/>
                <w:szCs w:val="18"/>
              </w:rPr>
              <w:t>միջակայքը</w:t>
            </w:r>
            <w:r w:rsidRPr="00CF2B2C">
              <w:rPr>
                <w:rFonts w:eastAsia="Calibri" w:cs="Calibri"/>
                <w:color w:val="000000"/>
                <w:sz w:val="18"/>
                <w:szCs w:val="18"/>
                <w:lang w:val="hy-AM"/>
              </w:rPr>
              <w:t xml:space="preserve">, </w:t>
            </w:r>
            <w:r w:rsidRPr="00CF2B2C">
              <w:rPr>
                <w:rFonts w:eastAsia="Calibri" w:cs="Calibri"/>
                <w:color w:val="000000"/>
                <w:sz w:val="18"/>
                <w:szCs w:val="18"/>
              </w:rPr>
              <w:t>%</w:t>
            </w:r>
          </w:p>
        </w:tc>
        <w:tc>
          <w:tcPr>
            <w:tcW w:w="6154" w:type="dxa"/>
            <w:gridSpan w:val="4"/>
            <w:shd w:val="clear" w:color="auto" w:fill="auto"/>
            <w:vAlign w:val="center"/>
            <w:hideMark/>
          </w:tcPr>
          <w:p w:rsidR="00CF2B2C" w:rsidRPr="00CF2B2C" w:rsidRDefault="00CF2B2C" w:rsidP="00CF2B2C">
            <w:pPr>
              <w:tabs>
                <w:tab w:val="center" w:pos="4677"/>
                <w:tab w:val="right" w:pos="9355"/>
              </w:tabs>
              <w:spacing w:before="0" w:line="240" w:lineRule="auto"/>
              <w:ind w:right="111" w:firstLine="0"/>
              <w:jc w:val="center"/>
              <w:rPr>
                <w:rFonts w:eastAsia="Calibri" w:cs="Calibri"/>
                <w:color w:val="000000"/>
                <w:sz w:val="18"/>
                <w:szCs w:val="18"/>
                <w:lang w:val="hy-AM"/>
              </w:rPr>
            </w:pPr>
            <w:r w:rsidRPr="00CF2B2C">
              <w:rPr>
                <w:rFonts w:eastAsia="Calibri" w:cs="Sylfaen"/>
                <w:color w:val="000000"/>
                <w:sz w:val="18"/>
                <w:szCs w:val="18"/>
                <w:lang w:val="hy-AM"/>
              </w:rPr>
              <w:t>Տնտեսական</w:t>
            </w:r>
            <w:r w:rsidRPr="00CF2B2C">
              <w:rPr>
                <w:rFonts w:eastAsia="Calibri" w:cs="Calibri"/>
                <w:color w:val="000000"/>
                <w:sz w:val="18"/>
                <w:szCs w:val="18"/>
                <w:lang w:val="hy-AM"/>
              </w:rPr>
              <w:t xml:space="preserve"> </w:t>
            </w:r>
            <w:r w:rsidRPr="00CF2B2C">
              <w:rPr>
                <w:rFonts w:eastAsia="Calibri" w:cs="Sylfaen"/>
                <w:color w:val="000000"/>
                <w:sz w:val="18"/>
                <w:szCs w:val="18"/>
                <w:lang w:val="hy-AM"/>
              </w:rPr>
              <w:t>աճի</w:t>
            </w:r>
            <w:r w:rsidRPr="00CF2B2C">
              <w:rPr>
                <w:rFonts w:eastAsia="Calibri" w:cs="Calibri"/>
                <w:color w:val="000000"/>
                <w:sz w:val="18"/>
                <w:szCs w:val="18"/>
                <w:lang w:val="hy-AM"/>
              </w:rPr>
              <w:t xml:space="preserve">` </w:t>
            </w:r>
            <w:r w:rsidRPr="00CF2B2C">
              <w:rPr>
                <w:rFonts w:eastAsia="Calibri" w:cs="Sylfaen"/>
                <w:color w:val="000000"/>
                <w:sz w:val="18"/>
                <w:szCs w:val="18"/>
                <w:lang w:val="hy-AM"/>
              </w:rPr>
              <w:t>տվյալ</w:t>
            </w:r>
            <w:r w:rsidRPr="00CF2B2C">
              <w:rPr>
                <w:rFonts w:eastAsia="Calibri" w:cs="Calibri"/>
                <w:color w:val="000000"/>
                <w:sz w:val="18"/>
                <w:szCs w:val="18"/>
                <w:lang w:val="hy-AM"/>
              </w:rPr>
              <w:t xml:space="preserve"> </w:t>
            </w:r>
            <w:r w:rsidRPr="00CF2B2C">
              <w:rPr>
                <w:rFonts w:eastAsia="Calibri" w:cs="Sylfaen"/>
                <w:color w:val="000000"/>
                <w:sz w:val="18"/>
                <w:szCs w:val="18"/>
                <w:lang w:val="hy-AM"/>
              </w:rPr>
              <w:t>միջակայքում</w:t>
            </w:r>
            <w:r w:rsidRPr="00CF2B2C">
              <w:rPr>
                <w:rFonts w:eastAsia="Calibri" w:cs="Calibri"/>
                <w:color w:val="000000"/>
                <w:sz w:val="18"/>
                <w:szCs w:val="18"/>
                <w:lang w:val="hy-AM"/>
              </w:rPr>
              <w:t xml:space="preserve"> </w:t>
            </w:r>
            <w:r w:rsidRPr="00CF2B2C">
              <w:rPr>
                <w:rFonts w:eastAsia="Calibri" w:cs="Sylfaen"/>
                <w:color w:val="000000"/>
                <w:sz w:val="18"/>
                <w:szCs w:val="18"/>
                <w:lang w:val="hy-AM"/>
              </w:rPr>
              <w:t>ձևավորվելու</w:t>
            </w:r>
            <w:r w:rsidRPr="00CF2B2C">
              <w:rPr>
                <w:rFonts w:eastAsia="Calibri" w:cs="Calibri"/>
                <w:color w:val="000000"/>
                <w:sz w:val="18"/>
                <w:szCs w:val="18"/>
                <w:lang w:val="hy-AM"/>
              </w:rPr>
              <w:t xml:space="preserve"> </w:t>
            </w:r>
            <w:r w:rsidRPr="00CF2B2C">
              <w:rPr>
                <w:rFonts w:eastAsia="Calibri" w:cs="Sylfaen"/>
                <w:color w:val="000000"/>
                <w:sz w:val="18"/>
                <w:szCs w:val="18"/>
                <w:lang w:val="hy-AM"/>
              </w:rPr>
              <w:t>հավանականությունը</w:t>
            </w:r>
            <w:r w:rsidRPr="00CF2B2C">
              <w:rPr>
                <w:rFonts w:eastAsia="Calibri" w:cs="Calibri"/>
                <w:color w:val="000000"/>
                <w:sz w:val="18"/>
                <w:szCs w:val="18"/>
                <w:lang w:val="hy-AM"/>
              </w:rPr>
              <w:t>, %</w:t>
            </w:r>
          </w:p>
        </w:tc>
      </w:tr>
      <w:tr w:rsidR="00CF2B2C" w:rsidRPr="00CF2B2C" w:rsidTr="00A03FB4">
        <w:trPr>
          <w:trHeight w:val="930"/>
        </w:trPr>
        <w:tc>
          <w:tcPr>
            <w:tcW w:w="2279" w:type="dxa"/>
            <w:vMerge/>
            <w:vAlign w:val="center"/>
            <w:hideMark/>
          </w:tcPr>
          <w:p w:rsidR="00CF2B2C" w:rsidRPr="00CF2B2C" w:rsidRDefault="00CF2B2C" w:rsidP="00CF2B2C">
            <w:pPr>
              <w:spacing w:before="0" w:line="240" w:lineRule="auto"/>
              <w:ind w:right="111" w:firstLine="0"/>
              <w:jc w:val="left"/>
              <w:rPr>
                <w:rFonts w:eastAsia="Calibri" w:cs="Calibri"/>
                <w:color w:val="000000"/>
                <w:sz w:val="18"/>
                <w:szCs w:val="18"/>
                <w:lang w:val="hy-AM"/>
              </w:rPr>
            </w:pPr>
          </w:p>
        </w:tc>
        <w:tc>
          <w:tcPr>
            <w:tcW w:w="1474" w:type="dxa"/>
            <w:shd w:val="clear" w:color="auto" w:fill="auto"/>
            <w:noWrap/>
            <w:vAlign w:val="center"/>
            <w:hideMark/>
          </w:tcPr>
          <w:p w:rsidR="00CF2B2C" w:rsidRPr="00CF2B2C" w:rsidRDefault="00CF2B2C" w:rsidP="00CF2B2C">
            <w:pPr>
              <w:ind w:right="111" w:firstLine="106"/>
              <w:jc w:val="center"/>
              <w:rPr>
                <w:rFonts w:eastAsia="Calibri" w:cs="Calibri"/>
                <w:color w:val="000000"/>
                <w:sz w:val="20"/>
                <w:szCs w:val="20"/>
                <w:lang w:val="hy-AM"/>
              </w:rPr>
            </w:pPr>
            <w:r w:rsidRPr="00CF2B2C">
              <w:rPr>
                <w:color w:val="000000"/>
                <w:sz w:val="20"/>
                <w:szCs w:val="20"/>
              </w:rPr>
              <w:t xml:space="preserve">2021 I </w:t>
            </w:r>
            <w:r w:rsidRPr="00CF2B2C">
              <w:rPr>
                <w:rFonts w:cs="Sylfaen"/>
                <w:color w:val="000000"/>
                <w:sz w:val="20"/>
                <w:szCs w:val="20"/>
              </w:rPr>
              <w:t>եռ</w:t>
            </w:r>
            <w:r w:rsidRPr="00CF2B2C">
              <w:rPr>
                <w:color w:val="000000"/>
                <w:sz w:val="20"/>
                <w:szCs w:val="20"/>
              </w:rPr>
              <w:t>.</w:t>
            </w:r>
          </w:p>
        </w:tc>
        <w:tc>
          <w:tcPr>
            <w:tcW w:w="1440" w:type="dxa"/>
            <w:shd w:val="clear" w:color="auto" w:fill="auto"/>
            <w:vAlign w:val="center"/>
            <w:hideMark/>
          </w:tcPr>
          <w:p w:rsidR="00CF2B2C" w:rsidRPr="00CF2B2C" w:rsidRDefault="00CF2B2C" w:rsidP="00CF2B2C">
            <w:pPr>
              <w:ind w:right="111" w:firstLine="106"/>
              <w:jc w:val="center"/>
              <w:rPr>
                <w:rFonts w:eastAsia="Calibri" w:cs="Calibri"/>
                <w:color w:val="000000"/>
                <w:sz w:val="20"/>
                <w:szCs w:val="20"/>
                <w:lang w:val="hy-AM"/>
              </w:rPr>
            </w:pPr>
            <w:r w:rsidRPr="00CF2B2C">
              <w:rPr>
                <w:color w:val="000000"/>
                <w:sz w:val="20"/>
                <w:szCs w:val="20"/>
              </w:rPr>
              <w:t xml:space="preserve">2021 II </w:t>
            </w:r>
            <w:r w:rsidRPr="00CF2B2C">
              <w:rPr>
                <w:rFonts w:cs="Sylfaen"/>
                <w:color w:val="000000"/>
                <w:sz w:val="20"/>
                <w:szCs w:val="20"/>
              </w:rPr>
              <w:t>եռ</w:t>
            </w:r>
            <w:r w:rsidRPr="00CF2B2C">
              <w:rPr>
                <w:color w:val="000000"/>
                <w:sz w:val="20"/>
                <w:szCs w:val="20"/>
              </w:rPr>
              <w:t>.</w:t>
            </w:r>
          </w:p>
        </w:tc>
        <w:tc>
          <w:tcPr>
            <w:tcW w:w="1530" w:type="dxa"/>
            <w:shd w:val="clear" w:color="auto" w:fill="auto"/>
            <w:noWrap/>
            <w:vAlign w:val="center"/>
            <w:hideMark/>
          </w:tcPr>
          <w:p w:rsidR="00CF2B2C" w:rsidRPr="00CF2B2C" w:rsidRDefault="00CF2B2C" w:rsidP="00CF2B2C">
            <w:pPr>
              <w:ind w:right="111" w:firstLine="106"/>
              <w:jc w:val="center"/>
              <w:rPr>
                <w:rFonts w:eastAsia="Calibri" w:cs="Calibri"/>
                <w:color w:val="000000"/>
                <w:sz w:val="20"/>
                <w:szCs w:val="20"/>
                <w:lang w:val="hy-AM"/>
              </w:rPr>
            </w:pPr>
            <w:r w:rsidRPr="00CF2B2C">
              <w:rPr>
                <w:color w:val="000000"/>
                <w:sz w:val="20"/>
                <w:szCs w:val="20"/>
              </w:rPr>
              <w:t xml:space="preserve">2021 III </w:t>
            </w:r>
            <w:r w:rsidRPr="00CF2B2C">
              <w:rPr>
                <w:rFonts w:cs="Sylfaen"/>
                <w:color w:val="000000"/>
                <w:sz w:val="20"/>
                <w:szCs w:val="20"/>
              </w:rPr>
              <w:t>եռ</w:t>
            </w:r>
            <w:r w:rsidRPr="00CF2B2C">
              <w:rPr>
                <w:color w:val="000000"/>
                <w:sz w:val="20"/>
                <w:szCs w:val="20"/>
              </w:rPr>
              <w:t>.</w:t>
            </w:r>
          </w:p>
        </w:tc>
        <w:tc>
          <w:tcPr>
            <w:tcW w:w="1710" w:type="dxa"/>
            <w:shd w:val="clear" w:color="auto" w:fill="auto"/>
            <w:vAlign w:val="center"/>
            <w:hideMark/>
          </w:tcPr>
          <w:p w:rsidR="00CF2B2C" w:rsidRPr="00CF2B2C" w:rsidRDefault="00CF2B2C" w:rsidP="00CF2B2C">
            <w:pPr>
              <w:ind w:right="111" w:firstLine="106"/>
              <w:jc w:val="center"/>
              <w:rPr>
                <w:rFonts w:eastAsia="Calibri" w:cs="Calibri"/>
                <w:color w:val="000000"/>
                <w:sz w:val="20"/>
                <w:szCs w:val="20"/>
                <w:lang w:val="hy-AM"/>
              </w:rPr>
            </w:pPr>
            <w:r w:rsidRPr="00CF2B2C">
              <w:rPr>
                <w:color w:val="000000"/>
                <w:sz w:val="20"/>
                <w:szCs w:val="20"/>
              </w:rPr>
              <w:t xml:space="preserve">2021 IV </w:t>
            </w:r>
            <w:r w:rsidRPr="00CF2B2C">
              <w:rPr>
                <w:rFonts w:cs="Sylfaen"/>
                <w:color w:val="000000"/>
                <w:sz w:val="20"/>
                <w:szCs w:val="20"/>
              </w:rPr>
              <w:t>եռ</w:t>
            </w:r>
            <w:r w:rsidRPr="00CF2B2C">
              <w:rPr>
                <w:color w:val="000000"/>
                <w:sz w:val="20"/>
                <w:szCs w:val="20"/>
              </w:rPr>
              <w:t>.</w:t>
            </w:r>
          </w:p>
        </w:tc>
      </w:tr>
      <w:tr w:rsidR="00CF2B2C" w:rsidRPr="00CF2B2C" w:rsidTr="00A03FB4">
        <w:trPr>
          <w:trHeight w:val="257"/>
        </w:trPr>
        <w:tc>
          <w:tcPr>
            <w:tcW w:w="2279" w:type="dxa"/>
            <w:shd w:val="clear" w:color="auto" w:fill="auto"/>
            <w:noWrap/>
            <w:vAlign w:val="bottom"/>
            <w:hideMark/>
          </w:tcPr>
          <w:p w:rsidR="00CF2B2C" w:rsidRPr="00CF2B2C" w:rsidRDefault="00CF2B2C" w:rsidP="00CF2B2C">
            <w:pPr>
              <w:ind w:right="111" w:hanging="45"/>
              <w:jc w:val="center"/>
              <w:rPr>
                <w:b w:val="0"/>
                <w:bCs/>
                <w:color w:val="000000"/>
              </w:rPr>
            </w:pPr>
            <w:r w:rsidRPr="00CF2B2C">
              <w:rPr>
                <w:b w:val="0"/>
                <w:bCs/>
                <w:color w:val="000000"/>
              </w:rPr>
              <w:t>(-2)-0</w:t>
            </w:r>
          </w:p>
        </w:tc>
        <w:tc>
          <w:tcPr>
            <w:tcW w:w="1474" w:type="dxa"/>
            <w:shd w:val="clear" w:color="auto" w:fill="auto"/>
            <w:noWrap/>
            <w:vAlign w:val="bottom"/>
            <w:hideMark/>
          </w:tcPr>
          <w:p w:rsidR="00CF2B2C" w:rsidRPr="00CF2B2C" w:rsidRDefault="00CF2B2C" w:rsidP="00CF2B2C">
            <w:pPr>
              <w:ind w:right="111"/>
              <w:jc w:val="center"/>
              <w:rPr>
                <w:color w:val="000000"/>
              </w:rPr>
            </w:pPr>
            <w:r w:rsidRPr="00CF2B2C">
              <w:rPr>
                <w:color w:val="000000"/>
              </w:rPr>
              <w:t>22.6</w:t>
            </w:r>
          </w:p>
        </w:tc>
        <w:tc>
          <w:tcPr>
            <w:tcW w:w="144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18.0</w:t>
            </w:r>
          </w:p>
        </w:tc>
        <w:tc>
          <w:tcPr>
            <w:tcW w:w="153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16.4</w:t>
            </w:r>
          </w:p>
        </w:tc>
        <w:tc>
          <w:tcPr>
            <w:tcW w:w="171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15.8</w:t>
            </w:r>
          </w:p>
        </w:tc>
      </w:tr>
      <w:tr w:rsidR="00CF2B2C" w:rsidRPr="00CF2B2C" w:rsidTr="00A03FB4">
        <w:trPr>
          <w:trHeight w:val="275"/>
        </w:trPr>
        <w:tc>
          <w:tcPr>
            <w:tcW w:w="2279" w:type="dxa"/>
            <w:shd w:val="clear" w:color="auto" w:fill="auto"/>
            <w:noWrap/>
            <w:vAlign w:val="bottom"/>
            <w:hideMark/>
          </w:tcPr>
          <w:p w:rsidR="00CF2B2C" w:rsidRPr="00CF2B2C" w:rsidRDefault="00CF2B2C" w:rsidP="00CF2B2C">
            <w:pPr>
              <w:ind w:right="111" w:hanging="45"/>
              <w:jc w:val="center"/>
              <w:rPr>
                <w:b w:val="0"/>
                <w:bCs/>
                <w:color w:val="000000"/>
              </w:rPr>
            </w:pPr>
            <w:r w:rsidRPr="00CF2B2C">
              <w:rPr>
                <w:b w:val="0"/>
                <w:bCs/>
                <w:color w:val="000000"/>
              </w:rPr>
              <w:t>0-2</w:t>
            </w:r>
          </w:p>
        </w:tc>
        <w:tc>
          <w:tcPr>
            <w:tcW w:w="1474"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10.3</w:t>
            </w:r>
          </w:p>
        </w:tc>
        <w:tc>
          <w:tcPr>
            <w:tcW w:w="1440" w:type="dxa"/>
            <w:shd w:val="clear" w:color="auto" w:fill="auto"/>
            <w:noWrap/>
            <w:vAlign w:val="bottom"/>
            <w:hideMark/>
          </w:tcPr>
          <w:p w:rsidR="00CF2B2C" w:rsidRPr="00CF2B2C" w:rsidRDefault="00CF2B2C" w:rsidP="00CF2B2C">
            <w:pPr>
              <w:ind w:right="111"/>
              <w:jc w:val="center"/>
              <w:rPr>
                <w:color w:val="000000"/>
              </w:rPr>
            </w:pPr>
            <w:r w:rsidRPr="00CF2B2C">
              <w:rPr>
                <w:color w:val="000000"/>
              </w:rPr>
              <w:t>21.2</w:t>
            </w:r>
          </w:p>
        </w:tc>
        <w:tc>
          <w:tcPr>
            <w:tcW w:w="153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19.9</w:t>
            </w:r>
          </w:p>
        </w:tc>
        <w:tc>
          <w:tcPr>
            <w:tcW w:w="171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19.3</w:t>
            </w:r>
          </w:p>
        </w:tc>
      </w:tr>
      <w:tr w:rsidR="00CF2B2C" w:rsidRPr="00CF2B2C" w:rsidTr="00A03FB4">
        <w:trPr>
          <w:trHeight w:val="279"/>
        </w:trPr>
        <w:tc>
          <w:tcPr>
            <w:tcW w:w="2279" w:type="dxa"/>
            <w:shd w:val="clear" w:color="auto" w:fill="auto"/>
            <w:noWrap/>
            <w:vAlign w:val="bottom"/>
            <w:hideMark/>
          </w:tcPr>
          <w:p w:rsidR="00CF2B2C" w:rsidRPr="00CF2B2C" w:rsidRDefault="00CF2B2C" w:rsidP="00CF2B2C">
            <w:pPr>
              <w:ind w:right="111" w:hanging="45"/>
              <w:jc w:val="center"/>
              <w:rPr>
                <w:b w:val="0"/>
                <w:bCs/>
                <w:color w:val="000000"/>
              </w:rPr>
            </w:pPr>
            <w:r w:rsidRPr="00CF2B2C">
              <w:rPr>
                <w:b w:val="0"/>
                <w:bCs/>
                <w:color w:val="000000"/>
              </w:rPr>
              <w:t>2-4</w:t>
            </w:r>
          </w:p>
        </w:tc>
        <w:tc>
          <w:tcPr>
            <w:tcW w:w="1474"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1.0</w:t>
            </w:r>
          </w:p>
        </w:tc>
        <w:tc>
          <w:tcPr>
            <w:tcW w:w="144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20.3</w:t>
            </w:r>
          </w:p>
        </w:tc>
        <w:tc>
          <w:tcPr>
            <w:tcW w:w="1530" w:type="dxa"/>
            <w:shd w:val="clear" w:color="auto" w:fill="auto"/>
            <w:noWrap/>
            <w:vAlign w:val="bottom"/>
            <w:hideMark/>
          </w:tcPr>
          <w:p w:rsidR="00CF2B2C" w:rsidRPr="00CF2B2C" w:rsidRDefault="00CF2B2C" w:rsidP="00CF2B2C">
            <w:pPr>
              <w:ind w:right="111"/>
              <w:jc w:val="center"/>
              <w:rPr>
                <w:color w:val="000000"/>
              </w:rPr>
            </w:pPr>
            <w:r w:rsidRPr="00CF2B2C">
              <w:rPr>
                <w:color w:val="000000"/>
              </w:rPr>
              <w:t>20.8</w:t>
            </w:r>
          </w:p>
        </w:tc>
        <w:tc>
          <w:tcPr>
            <w:tcW w:w="1710" w:type="dxa"/>
            <w:shd w:val="clear" w:color="auto" w:fill="auto"/>
            <w:noWrap/>
            <w:vAlign w:val="bottom"/>
            <w:hideMark/>
          </w:tcPr>
          <w:p w:rsidR="00CF2B2C" w:rsidRPr="00CF2B2C" w:rsidRDefault="00CF2B2C" w:rsidP="00CF2B2C">
            <w:pPr>
              <w:ind w:right="111"/>
              <w:jc w:val="center"/>
              <w:rPr>
                <w:color w:val="000000"/>
              </w:rPr>
            </w:pPr>
            <w:r w:rsidRPr="00CF2B2C">
              <w:rPr>
                <w:color w:val="000000"/>
              </w:rPr>
              <w:t>20.5</w:t>
            </w:r>
          </w:p>
        </w:tc>
      </w:tr>
      <w:tr w:rsidR="00CF2B2C" w:rsidRPr="00CF2B2C" w:rsidTr="00A03FB4">
        <w:trPr>
          <w:trHeight w:val="283"/>
        </w:trPr>
        <w:tc>
          <w:tcPr>
            <w:tcW w:w="2279" w:type="dxa"/>
            <w:shd w:val="clear" w:color="auto" w:fill="auto"/>
            <w:noWrap/>
            <w:vAlign w:val="bottom"/>
            <w:hideMark/>
          </w:tcPr>
          <w:p w:rsidR="00CF2B2C" w:rsidRPr="00CF2B2C" w:rsidRDefault="00CF2B2C" w:rsidP="00CF2B2C">
            <w:pPr>
              <w:ind w:right="111" w:hanging="45"/>
              <w:jc w:val="center"/>
              <w:rPr>
                <w:b w:val="0"/>
                <w:bCs/>
                <w:color w:val="000000"/>
              </w:rPr>
            </w:pPr>
            <w:r w:rsidRPr="00CF2B2C">
              <w:rPr>
                <w:b w:val="0"/>
                <w:bCs/>
                <w:color w:val="000000"/>
              </w:rPr>
              <w:t>4-6</w:t>
            </w:r>
          </w:p>
        </w:tc>
        <w:tc>
          <w:tcPr>
            <w:tcW w:w="1474"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0.0</w:t>
            </w:r>
          </w:p>
        </w:tc>
        <w:tc>
          <w:tcPr>
            <w:tcW w:w="144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8.2</w:t>
            </w:r>
          </w:p>
        </w:tc>
        <w:tc>
          <w:tcPr>
            <w:tcW w:w="153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12.3</w:t>
            </w:r>
          </w:p>
        </w:tc>
        <w:tc>
          <w:tcPr>
            <w:tcW w:w="1710" w:type="dxa"/>
            <w:shd w:val="clear" w:color="auto" w:fill="auto"/>
            <w:noWrap/>
            <w:vAlign w:val="bottom"/>
            <w:hideMark/>
          </w:tcPr>
          <w:p w:rsidR="00CF2B2C" w:rsidRPr="00CF2B2C" w:rsidRDefault="00CF2B2C" w:rsidP="00CF2B2C">
            <w:pPr>
              <w:ind w:right="111"/>
              <w:jc w:val="center"/>
              <w:rPr>
                <w:b w:val="0"/>
                <w:bCs/>
                <w:color w:val="000000"/>
              </w:rPr>
            </w:pPr>
            <w:r w:rsidRPr="00CF2B2C">
              <w:rPr>
                <w:b w:val="0"/>
                <w:bCs/>
                <w:color w:val="000000"/>
              </w:rPr>
              <w:t>13.5</w:t>
            </w:r>
          </w:p>
        </w:tc>
      </w:tr>
      <w:bookmarkEnd w:id="110"/>
    </w:tbl>
    <w:p w:rsidR="00CF2B2C" w:rsidRPr="00CF2B2C" w:rsidRDefault="00CF2B2C" w:rsidP="00CF2B2C">
      <w:pPr>
        <w:ind w:right="111"/>
        <w:rPr>
          <w:rFonts w:ascii="Sylfaen" w:hAnsi="Sylfaen"/>
          <w:lang w:val="hy-AM"/>
        </w:rPr>
      </w:pPr>
    </w:p>
    <w:p w:rsidR="00CF2B2C" w:rsidRPr="00CF2B2C" w:rsidRDefault="00CF2B2C" w:rsidP="00CF2B2C">
      <w:pPr>
        <w:spacing w:before="0"/>
        <w:ind w:right="111"/>
        <w:contextualSpacing w:val="0"/>
        <w:rPr>
          <w:rFonts w:eastAsia="Calibri" w:cs="Sylfaen"/>
          <w:b w:val="0"/>
          <w:sz w:val="2"/>
          <w:szCs w:val="2"/>
          <w:highlight w:val="yellow"/>
          <w:lang w:val="hy-AM" w:eastAsia="en-US"/>
        </w:rPr>
      </w:pPr>
    </w:p>
    <w:p w:rsidR="00CF2B2C" w:rsidRPr="00CF2B2C" w:rsidRDefault="00CF2B2C" w:rsidP="00CF2B2C">
      <w:pPr>
        <w:spacing w:before="0" w:line="276" w:lineRule="auto"/>
        <w:ind w:right="111"/>
        <w:contextualSpacing w:val="0"/>
        <w:rPr>
          <w:rFonts w:eastAsia="Calibri" w:cs="Sylfaen"/>
          <w:b w:val="0"/>
          <w:szCs w:val="22"/>
          <w:lang w:val="hy-AM" w:eastAsia="en-US"/>
        </w:rPr>
      </w:pPr>
      <w:r w:rsidRPr="00CF2B2C">
        <w:rPr>
          <w:rFonts w:eastAsia="Calibri" w:cs="Sylfaen"/>
          <w:b w:val="0"/>
          <w:szCs w:val="22"/>
          <w:lang w:val="hy-AM" w:eastAsia="en-US"/>
        </w:rPr>
        <w:t>Ինչպես</w:t>
      </w:r>
      <w:r w:rsidRPr="00CF2B2C">
        <w:rPr>
          <w:rFonts w:eastAsia="Calibri" w:cs="Sylfaen"/>
          <w:b w:val="0"/>
          <w:szCs w:val="22"/>
          <w:lang w:val="it-IT" w:eastAsia="en-US"/>
        </w:rPr>
        <w:t xml:space="preserve"> </w:t>
      </w:r>
      <w:r w:rsidRPr="00CF2B2C">
        <w:rPr>
          <w:rFonts w:eastAsia="Calibri" w:cs="Sylfaen"/>
          <w:b w:val="0"/>
          <w:szCs w:val="22"/>
          <w:lang w:val="hy-AM" w:eastAsia="en-US"/>
        </w:rPr>
        <w:t>երևում</w:t>
      </w:r>
      <w:r w:rsidRPr="00CF2B2C">
        <w:rPr>
          <w:rFonts w:eastAsia="Calibri" w:cs="Sylfaen"/>
          <w:b w:val="0"/>
          <w:szCs w:val="22"/>
          <w:lang w:val="it-IT" w:eastAsia="en-US"/>
        </w:rPr>
        <w:t xml:space="preserve"> </w:t>
      </w:r>
      <w:r w:rsidRPr="00CF2B2C">
        <w:rPr>
          <w:rFonts w:eastAsia="Calibri" w:cs="Sylfaen"/>
          <w:b w:val="0"/>
          <w:szCs w:val="22"/>
          <w:lang w:val="hy-AM" w:eastAsia="en-US"/>
        </w:rPr>
        <w:t>է</w:t>
      </w:r>
      <w:r w:rsidRPr="00CF2B2C">
        <w:rPr>
          <w:rFonts w:eastAsia="Calibri" w:cs="Sylfaen"/>
          <w:b w:val="0"/>
          <w:szCs w:val="22"/>
          <w:lang w:val="it-IT" w:eastAsia="en-US"/>
        </w:rPr>
        <w:t xml:space="preserve"> </w:t>
      </w:r>
      <w:r w:rsidRPr="00CF2B2C">
        <w:rPr>
          <w:rFonts w:eastAsia="Calibri" w:cs="Sylfaen"/>
          <w:b w:val="0"/>
          <w:szCs w:val="22"/>
          <w:lang w:val="hy-AM" w:eastAsia="en-US"/>
        </w:rPr>
        <w:t>Գծապատկեր</w:t>
      </w:r>
      <w:r w:rsidRPr="00CF2B2C">
        <w:rPr>
          <w:rFonts w:eastAsia="Calibri" w:cs="Sylfaen"/>
          <w:b w:val="0"/>
          <w:szCs w:val="22"/>
          <w:lang w:val="it-IT" w:eastAsia="en-US"/>
        </w:rPr>
        <w:t xml:space="preserve"> </w:t>
      </w:r>
      <w:r w:rsidRPr="00CF2B2C">
        <w:rPr>
          <w:rFonts w:eastAsia="Calibri" w:cs="Sylfaen"/>
          <w:b w:val="0"/>
          <w:szCs w:val="22"/>
          <w:lang w:val="hy-AM" w:eastAsia="en-US"/>
        </w:rPr>
        <w:t>1.32-ից, 2021թ.</w:t>
      </w:r>
      <w:r w:rsidRPr="00CF2B2C" w:rsidDel="00301E27">
        <w:rPr>
          <w:rFonts w:eastAsia="Calibri" w:cs="Sylfaen"/>
          <w:b w:val="0"/>
          <w:szCs w:val="22"/>
          <w:lang w:val="hy-AM" w:eastAsia="en-US"/>
        </w:rPr>
        <w:t xml:space="preserve"> </w:t>
      </w:r>
      <w:r w:rsidRPr="00CF2B2C">
        <w:rPr>
          <w:rFonts w:eastAsia="Calibri" w:cs="Sylfaen"/>
          <w:b w:val="0"/>
          <w:szCs w:val="22"/>
          <w:lang w:val="hy-AM" w:eastAsia="en-US"/>
        </w:rPr>
        <w:t xml:space="preserve">տնտեսական աճի ձևավորման ամենաբարձր հավանականությունը գտնվում է կենտրոնական կանխատեսումները պարունակող համապատասխան միջակայքում (Գծապատկեր 1.32-ում այն մուգ կարմիր է, իսկ Աղյուսակ 1.4-ում՝ հոծ նշումով), իսկ իրական ՀՆԱ-ի տարեկան աճի կենտրոնական կանխատեսումներից շեղման ռիսկերում ավելի մեծ են դեպի ներքև ռիսկերը: </w:t>
      </w:r>
    </w:p>
    <w:p w:rsidR="00CF2B2C" w:rsidRPr="00CF2B2C" w:rsidRDefault="00CF2B2C" w:rsidP="00CF2B2C">
      <w:pPr>
        <w:spacing w:before="0" w:after="160" w:line="259" w:lineRule="auto"/>
        <w:ind w:right="111" w:firstLine="0"/>
        <w:contextualSpacing w:val="0"/>
        <w:jc w:val="left"/>
        <w:rPr>
          <w:rFonts w:ascii="Times New Roman" w:hAnsi="Times New Roman"/>
          <w:b w:val="0"/>
          <w:sz w:val="24"/>
          <w:lang w:val="hy-AM" w:eastAsia="en-US"/>
        </w:rPr>
      </w:pPr>
      <w:r w:rsidRPr="00CF2B2C">
        <w:rPr>
          <w:rFonts w:ascii="Times New Roman" w:hAnsi="Times New Roman"/>
          <w:b w:val="0"/>
          <w:sz w:val="24"/>
          <w:lang w:val="hy-AM" w:eastAsia="en-US"/>
        </w:rPr>
        <w:br w:type="page"/>
      </w:r>
    </w:p>
    <w:tbl>
      <w:tblPr>
        <w:tblStyle w:val="TableGrid1213"/>
        <w:tblW w:w="10931"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1"/>
      </w:tblGrid>
      <w:tr w:rsidR="009F0A25" w:rsidRPr="00553709" w:rsidTr="009F0A25">
        <w:trPr>
          <w:trHeight w:val="9147"/>
        </w:trPr>
        <w:tc>
          <w:tcPr>
            <w:tcW w:w="10931" w:type="dxa"/>
          </w:tcPr>
          <w:p w:rsidR="009F0A25" w:rsidRPr="00553709" w:rsidRDefault="009F0A25" w:rsidP="007730AA">
            <w:pPr>
              <w:keepNext/>
              <w:keepLines/>
              <w:spacing w:before="0" w:after="0" w:line="276" w:lineRule="auto"/>
              <w:outlineLvl w:val="2"/>
              <w:rPr>
                <w:b w:val="0"/>
                <w:bCs/>
                <w:sz w:val="28"/>
                <w:szCs w:val="28"/>
                <w:lang w:val="hy-AM"/>
              </w:rPr>
            </w:pPr>
            <w:r w:rsidRPr="00553709">
              <w:rPr>
                <w:rFonts w:eastAsia="GHEA Grapalat" w:cs="GHEA Grapalat"/>
                <w:lang w:val="hy-AM"/>
              </w:rPr>
              <w:br w:type="page"/>
            </w:r>
            <w:bookmarkStart w:id="111" w:name="_Toc51360535"/>
            <w:bookmarkStart w:id="112" w:name="_Toc51947418"/>
            <w:bookmarkStart w:id="113" w:name="_Toc57559418"/>
            <w:bookmarkStart w:id="114" w:name="_Toc57655451"/>
            <w:r w:rsidRPr="00553709">
              <w:rPr>
                <w:bCs/>
                <w:sz w:val="28"/>
                <w:szCs w:val="28"/>
                <w:lang w:val="hy-AM"/>
              </w:rPr>
              <w:t>1.7. ՀԱՄԵՄԱՏՈՒԹՅՈՒՆ ՆԱԽՈՐԴ ԿԱՆԽԱՏԵՍՈՒՄՆԵՐԻ ՀԵՏ</w:t>
            </w:r>
            <w:bookmarkEnd w:id="111"/>
            <w:bookmarkEnd w:id="112"/>
            <w:bookmarkEnd w:id="113"/>
            <w:bookmarkEnd w:id="114"/>
          </w:p>
          <w:p w:rsidR="009F0A25" w:rsidRPr="00EE7164" w:rsidRDefault="009F0A25" w:rsidP="007730AA">
            <w:pPr>
              <w:keepNext/>
              <w:keepLines/>
              <w:spacing w:before="0" w:after="0" w:line="276" w:lineRule="auto"/>
              <w:rPr>
                <w:rFonts w:eastAsia="Calibri" w:cs="Sylfaen"/>
                <w:b w:val="0"/>
                <w:bCs/>
                <w:i/>
                <w:iCs/>
                <w:color w:val="4F81BD"/>
                <w:lang w:val="hy-AM"/>
              </w:rPr>
            </w:pPr>
            <w:r w:rsidRPr="00EE7164">
              <w:rPr>
                <w:rFonts w:eastAsia="Calibri" w:cs="Sylfaen"/>
                <w:bCs/>
                <w:i/>
                <w:iCs/>
                <w:color w:val="000000"/>
                <w:lang w:val="hy-AM"/>
              </w:rPr>
              <w:t xml:space="preserve">Աղյուսակ 1.5. </w:t>
            </w:r>
            <w:r w:rsidRPr="00EE7164">
              <w:rPr>
                <w:rFonts w:eastAsia="Calibri" w:cs="Sylfaen"/>
                <w:bCs/>
                <w:i/>
                <w:iCs/>
                <w:color w:val="000000"/>
                <w:sz w:val="20"/>
                <w:szCs w:val="20"/>
                <w:lang w:val="hy-AM"/>
              </w:rPr>
              <w:t>ՀՆԱ-ի կանխատեսումները</w:t>
            </w:r>
            <w:r w:rsidRPr="00EE7164">
              <w:rPr>
                <w:rFonts w:eastAsia="Calibri"/>
                <w:bCs/>
                <w:i/>
                <w:iCs/>
                <w:color w:val="000000"/>
                <w:sz w:val="20"/>
                <w:szCs w:val="20"/>
                <w:lang w:val="hy-AM"/>
              </w:rPr>
              <w:t xml:space="preserve"> </w:t>
            </w:r>
            <w:r w:rsidRPr="00EE7164">
              <w:rPr>
                <w:rFonts w:eastAsia="Calibri" w:cs="Sylfaen"/>
                <w:bCs/>
                <w:i/>
                <w:iCs/>
                <w:color w:val="000000"/>
                <w:sz w:val="20"/>
                <w:szCs w:val="20"/>
                <w:lang w:val="hy-AM"/>
              </w:rPr>
              <w:t>2021-2023 թթ. ՄԺԾԾ-ով  և 2020թ. և 2021թ. պետական բյուջեներով</w:t>
            </w:r>
          </w:p>
          <w:tbl>
            <w:tblPr>
              <w:tblW w:w="8922" w:type="dxa"/>
              <w:tblInd w:w="50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052"/>
              <w:gridCol w:w="2324"/>
              <w:gridCol w:w="1527"/>
              <w:gridCol w:w="1890"/>
              <w:gridCol w:w="1129"/>
            </w:tblGrid>
            <w:tr w:rsidR="005037D0" w:rsidRPr="00EE7164" w:rsidTr="005037D0">
              <w:trPr>
                <w:trHeight w:val="303"/>
              </w:trPr>
              <w:tc>
                <w:tcPr>
                  <w:tcW w:w="2052" w:type="dxa"/>
                  <w:vMerge w:val="restart"/>
                  <w:shd w:val="clear" w:color="auto" w:fill="9CC2E5"/>
                  <w:noWrap/>
                  <w:vAlign w:val="center"/>
                  <w:hideMark/>
                </w:tcPr>
                <w:p w:rsidR="009F0A25" w:rsidRPr="00EE7164" w:rsidRDefault="009F0A25" w:rsidP="007730AA">
                  <w:pPr>
                    <w:spacing w:before="0"/>
                    <w:ind w:firstLine="0"/>
                    <w:jc w:val="center"/>
                    <w:rPr>
                      <w:rFonts w:cs="Calibri"/>
                      <w:b w:val="0"/>
                      <w:bCs/>
                      <w:color w:val="000000"/>
                      <w:sz w:val="18"/>
                      <w:szCs w:val="18"/>
                    </w:rPr>
                  </w:pPr>
                  <w:r w:rsidRPr="00EE7164">
                    <w:rPr>
                      <w:rFonts w:cs="Calibri"/>
                      <w:bCs/>
                      <w:color w:val="000000"/>
                      <w:sz w:val="18"/>
                      <w:szCs w:val="18"/>
                      <w:lang w:val="hy-AM"/>
                    </w:rPr>
                    <w:t>Ցուցանիշներ</w:t>
                  </w:r>
                </w:p>
              </w:tc>
              <w:tc>
                <w:tcPr>
                  <w:tcW w:w="2460" w:type="dxa"/>
                  <w:vMerge w:val="restart"/>
                  <w:shd w:val="clear" w:color="auto" w:fill="9CC2E5"/>
                  <w:vAlign w:val="center"/>
                  <w:hideMark/>
                </w:tcPr>
                <w:p w:rsidR="009F0A25" w:rsidRPr="00EE7164" w:rsidRDefault="009F0A25" w:rsidP="007730AA">
                  <w:pPr>
                    <w:spacing w:before="0"/>
                    <w:ind w:firstLine="0"/>
                    <w:jc w:val="center"/>
                    <w:rPr>
                      <w:rFonts w:cs="Calibri"/>
                      <w:b w:val="0"/>
                      <w:bCs/>
                      <w:color w:val="000000"/>
                      <w:sz w:val="18"/>
                      <w:szCs w:val="18"/>
                    </w:rPr>
                  </w:pPr>
                  <w:r w:rsidRPr="00EE7164">
                    <w:rPr>
                      <w:rFonts w:cs="Calibri"/>
                      <w:bCs/>
                      <w:color w:val="000000"/>
                      <w:sz w:val="18"/>
                      <w:szCs w:val="18"/>
                      <w:lang w:val="hy-AM"/>
                    </w:rPr>
                    <w:t>Ծրագիր</w:t>
                  </w:r>
                </w:p>
              </w:tc>
              <w:tc>
                <w:tcPr>
                  <w:tcW w:w="1360" w:type="dxa"/>
                  <w:shd w:val="clear" w:color="auto" w:fill="9CC2E5"/>
                  <w:vAlign w:val="center"/>
                </w:tcPr>
                <w:p w:rsidR="009F0A25" w:rsidRPr="00EE7164" w:rsidRDefault="009F0A25" w:rsidP="007730AA">
                  <w:pPr>
                    <w:spacing w:before="0"/>
                    <w:ind w:firstLine="0"/>
                    <w:jc w:val="center"/>
                    <w:rPr>
                      <w:rFonts w:cs="Calibri"/>
                      <w:b w:val="0"/>
                      <w:bCs/>
                      <w:color w:val="000000"/>
                      <w:sz w:val="18"/>
                      <w:szCs w:val="18"/>
                    </w:rPr>
                  </w:pPr>
                  <w:r w:rsidRPr="00EE7164">
                    <w:rPr>
                      <w:rFonts w:cs="Calibri"/>
                      <w:bCs/>
                      <w:color w:val="000000"/>
                      <w:sz w:val="18"/>
                      <w:szCs w:val="18"/>
                      <w:lang w:val="hy-AM"/>
                    </w:rPr>
                    <w:t>20</w:t>
                  </w:r>
                  <w:r w:rsidRPr="00EE7164">
                    <w:rPr>
                      <w:rFonts w:cs="Calibri"/>
                      <w:bCs/>
                      <w:color w:val="000000"/>
                      <w:sz w:val="18"/>
                      <w:szCs w:val="18"/>
                    </w:rPr>
                    <w:t>19</w:t>
                  </w:r>
                </w:p>
              </w:tc>
              <w:tc>
                <w:tcPr>
                  <w:tcW w:w="1890" w:type="dxa"/>
                  <w:shd w:val="clear" w:color="auto" w:fill="9CC2E5"/>
                  <w:vAlign w:val="center"/>
                  <w:hideMark/>
                </w:tcPr>
                <w:p w:rsidR="009F0A25" w:rsidRPr="00EE7164" w:rsidRDefault="009F0A25" w:rsidP="007730AA">
                  <w:pPr>
                    <w:spacing w:before="0"/>
                    <w:ind w:firstLine="0"/>
                    <w:jc w:val="center"/>
                    <w:rPr>
                      <w:rFonts w:cs="Calibri"/>
                      <w:b w:val="0"/>
                      <w:bCs/>
                      <w:color w:val="000000"/>
                      <w:sz w:val="18"/>
                      <w:szCs w:val="18"/>
                    </w:rPr>
                  </w:pPr>
                  <w:r w:rsidRPr="00EE7164">
                    <w:rPr>
                      <w:rFonts w:cs="Calibri"/>
                      <w:bCs/>
                      <w:color w:val="000000"/>
                      <w:sz w:val="18"/>
                      <w:szCs w:val="18"/>
                      <w:lang w:val="hy-AM"/>
                    </w:rPr>
                    <w:t>2020</w:t>
                  </w:r>
                </w:p>
              </w:tc>
              <w:tc>
                <w:tcPr>
                  <w:tcW w:w="1160" w:type="dxa"/>
                  <w:shd w:val="clear" w:color="auto" w:fill="9CC2E5"/>
                  <w:vAlign w:val="center"/>
                  <w:hideMark/>
                </w:tcPr>
                <w:p w:rsidR="009F0A25" w:rsidRPr="00EE7164" w:rsidRDefault="009F0A25" w:rsidP="007730AA">
                  <w:pPr>
                    <w:spacing w:before="0"/>
                    <w:ind w:firstLine="0"/>
                    <w:jc w:val="center"/>
                    <w:rPr>
                      <w:rFonts w:cs="Calibri"/>
                      <w:b w:val="0"/>
                      <w:bCs/>
                      <w:color w:val="000000"/>
                      <w:sz w:val="18"/>
                      <w:szCs w:val="18"/>
                    </w:rPr>
                  </w:pPr>
                  <w:r w:rsidRPr="00EE7164">
                    <w:rPr>
                      <w:rFonts w:cs="Calibri"/>
                      <w:bCs/>
                      <w:color w:val="000000"/>
                      <w:sz w:val="18"/>
                      <w:szCs w:val="18"/>
                      <w:lang w:val="hy-AM"/>
                    </w:rPr>
                    <w:t>2021</w:t>
                  </w:r>
                </w:p>
              </w:tc>
            </w:tr>
            <w:tr w:rsidR="005037D0" w:rsidRPr="00EE7164" w:rsidTr="005037D0">
              <w:trPr>
                <w:trHeight w:val="303"/>
              </w:trPr>
              <w:tc>
                <w:tcPr>
                  <w:tcW w:w="2052" w:type="dxa"/>
                  <w:vMerge/>
                  <w:vAlign w:val="center"/>
                  <w:hideMark/>
                </w:tcPr>
                <w:p w:rsidR="009F0A25" w:rsidRPr="00EE7164" w:rsidRDefault="009F0A25" w:rsidP="007730AA">
                  <w:pPr>
                    <w:spacing w:before="0"/>
                    <w:jc w:val="center"/>
                    <w:rPr>
                      <w:rFonts w:cs="Calibri"/>
                      <w:b w:val="0"/>
                      <w:bCs/>
                      <w:color w:val="000000"/>
                      <w:sz w:val="18"/>
                      <w:szCs w:val="18"/>
                    </w:rPr>
                  </w:pPr>
                </w:p>
              </w:tc>
              <w:tc>
                <w:tcPr>
                  <w:tcW w:w="2460" w:type="dxa"/>
                  <w:vMerge/>
                  <w:vAlign w:val="center"/>
                  <w:hideMark/>
                </w:tcPr>
                <w:p w:rsidR="009F0A25" w:rsidRPr="00EE7164" w:rsidRDefault="009F0A25" w:rsidP="007730AA">
                  <w:pPr>
                    <w:spacing w:before="0"/>
                    <w:jc w:val="center"/>
                    <w:rPr>
                      <w:rFonts w:cs="Calibri"/>
                      <w:b w:val="0"/>
                      <w:bCs/>
                      <w:color w:val="000000"/>
                      <w:sz w:val="18"/>
                      <w:szCs w:val="18"/>
                    </w:rPr>
                  </w:pPr>
                </w:p>
              </w:tc>
              <w:tc>
                <w:tcPr>
                  <w:tcW w:w="1360" w:type="dxa"/>
                  <w:shd w:val="clear" w:color="auto" w:fill="9CC2E5"/>
                  <w:vAlign w:val="center"/>
                </w:tcPr>
                <w:p w:rsidR="009F0A25" w:rsidRPr="00EE7164" w:rsidRDefault="009F0A25" w:rsidP="007730AA">
                  <w:pPr>
                    <w:spacing w:before="0"/>
                    <w:ind w:firstLine="0"/>
                    <w:jc w:val="center"/>
                    <w:rPr>
                      <w:rFonts w:cs="Calibri"/>
                      <w:i/>
                      <w:iCs/>
                      <w:color w:val="000000"/>
                      <w:sz w:val="18"/>
                      <w:szCs w:val="18"/>
                      <w:lang w:val="hy-AM"/>
                    </w:rPr>
                  </w:pPr>
                  <w:r w:rsidRPr="00EE7164">
                    <w:rPr>
                      <w:rFonts w:cs="Calibri"/>
                      <w:i/>
                      <w:iCs/>
                      <w:color w:val="000000"/>
                      <w:sz w:val="18"/>
                      <w:szCs w:val="18"/>
                      <w:lang w:val="hy-AM"/>
                    </w:rPr>
                    <w:t>փաստ</w:t>
                  </w:r>
                  <w:r w:rsidRPr="00EE7164">
                    <w:rPr>
                      <w:rFonts w:cs="Calibri"/>
                      <w:i/>
                      <w:iCs/>
                      <w:color w:val="000000"/>
                      <w:sz w:val="18"/>
                      <w:szCs w:val="18"/>
                    </w:rPr>
                    <w:t>*</w:t>
                  </w:r>
                  <w:r w:rsidRPr="00EE7164">
                    <w:rPr>
                      <w:rFonts w:cs="Calibri"/>
                      <w:i/>
                      <w:iCs/>
                      <w:color w:val="000000"/>
                      <w:sz w:val="18"/>
                      <w:szCs w:val="18"/>
                      <w:lang w:val="hy-AM"/>
                    </w:rPr>
                    <w:t>/կանխ.</w:t>
                  </w:r>
                </w:p>
              </w:tc>
              <w:tc>
                <w:tcPr>
                  <w:tcW w:w="1890" w:type="dxa"/>
                  <w:shd w:val="clear" w:color="auto" w:fill="9CC2E5"/>
                  <w:vAlign w:val="center"/>
                  <w:hideMark/>
                </w:tcPr>
                <w:p w:rsidR="009F0A25" w:rsidRPr="00EE7164" w:rsidRDefault="009F0A25" w:rsidP="007730AA">
                  <w:pPr>
                    <w:spacing w:before="0"/>
                    <w:ind w:firstLine="0"/>
                    <w:jc w:val="center"/>
                    <w:rPr>
                      <w:rFonts w:cs="Calibri"/>
                      <w:i/>
                      <w:iCs/>
                      <w:color w:val="000000"/>
                      <w:sz w:val="18"/>
                      <w:szCs w:val="18"/>
                    </w:rPr>
                  </w:pPr>
                  <w:r w:rsidRPr="00EE7164">
                    <w:rPr>
                      <w:rFonts w:cs="Calibri"/>
                      <w:i/>
                      <w:iCs/>
                      <w:color w:val="000000"/>
                      <w:sz w:val="18"/>
                      <w:szCs w:val="18"/>
                      <w:lang w:val="hy-AM"/>
                    </w:rPr>
                    <w:t>կանխ.</w:t>
                  </w:r>
                </w:p>
              </w:tc>
              <w:tc>
                <w:tcPr>
                  <w:tcW w:w="1160" w:type="dxa"/>
                  <w:shd w:val="clear" w:color="auto" w:fill="9CC2E5"/>
                  <w:vAlign w:val="center"/>
                  <w:hideMark/>
                </w:tcPr>
                <w:p w:rsidR="009F0A25" w:rsidRPr="00EE7164" w:rsidRDefault="009F0A25" w:rsidP="007730AA">
                  <w:pPr>
                    <w:spacing w:before="0"/>
                    <w:ind w:firstLine="0"/>
                    <w:jc w:val="center"/>
                    <w:rPr>
                      <w:rFonts w:cs="Calibri"/>
                      <w:i/>
                      <w:iCs/>
                      <w:color w:val="000000"/>
                      <w:sz w:val="18"/>
                      <w:szCs w:val="18"/>
                    </w:rPr>
                  </w:pPr>
                  <w:r w:rsidRPr="00EE7164">
                    <w:rPr>
                      <w:rFonts w:cs="Calibri"/>
                      <w:i/>
                      <w:iCs/>
                      <w:color w:val="000000"/>
                      <w:sz w:val="18"/>
                      <w:szCs w:val="18"/>
                      <w:lang w:val="hy-AM"/>
                    </w:rPr>
                    <w:t>կանխ.</w:t>
                  </w:r>
                </w:p>
              </w:tc>
            </w:tr>
            <w:tr w:rsidR="005037D0" w:rsidRPr="00EE7164" w:rsidTr="005037D0">
              <w:trPr>
                <w:trHeight w:val="303"/>
              </w:trPr>
              <w:tc>
                <w:tcPr>
                  <w:tcW w:w="2052" w:type="dxa"/>
                  <w:vMerge w:val="restart"/>
                  <w:shd w:val="clear" w:color="auto" w:fill="auto"/>
                  <w:vAlign w:val="center"/>
                </w:tcPr>
                <w:p w:rsidR="009F0A25" w:rsidRPr="005037D0" w:rsidRDefault="009F0A25" w:rsidP="007730AA">
                  <w:pPr>
                    <w:spacing w:before="0" w:line="276" w:lineRule="auto"/>
                    <w:ind w:firstLine="0"/>
                    <w:rPr>
                      <w:rFonts w:cs="Calibri"/>
                      <w:bCs/>
                      <w:color w:val="000000"/>
                      <w:sz w:val="18"/>
                      <w:szCs w:val="18"/>
                      <w:highlight w:val="yellow"/>
                    </w:rPr>
                  </w:pPr>
                  <w:r w:rsidRPr="005037D0">
                    <w:rPr>
                      <w:rFonts w:cs="Calibri"/>
                      <w:bCs/>
                      <w:color w:val="000000"/>
                      <w:sz w:val="18"/>
                      <w:szCs w:val="18"/>
                    </w:rPr>
                    <w:t>Անվանական ՀՆԱ, մլրդ դրամ</w:t>
                  </w:r>
                </w:p>
              </w:tc>
              <w:tc>
                <w:tcPr>
                  <w:tcW w:w="2460" w:type="dxa"/>
                  <w:shd w:val="clear" w:color="auto" w:fill="auto"/>
                  <w:vAlign w:val="center"/>
                </w:tcPr>
                <w:p w:rsidR="009F0A25" w:rsidRPr="005037D0" w:rsidRDefault="009F0A25" w:rsidP="007730AA">
                  <w:pPr>
                    <w:spacing w:before="0" w:line="276" w:lineRule="auto"/>
                    <w:ind w:firstLine="0"/>
                    <w:rPr>
                      <w:rFonts w:cs="Calibri"/>
                      <w:b w:val="0"/>
                      <w:i/>
                      <w:iCs/>
                      <w:color w:val="000000"/>
                      <w:sz w:val="18"/>
                      <w:szCs w:val="18"/>
                      <w:highlight w:val="yellow"/>
                    </w:rPr>
                  </w:pPr>
                  <w:r w:rsidRPr="005037D0">
                    <w:rPr>
                      <w:rFonts w:cs="Calibri"/>
                      <w:b w:val="0"/>
                      <w:i/>
                      <w:iCs/>
                      <w:color w:val="000000"/>
                      <w:sz w:val="18"/>
                      <w:szCs w:val="18"/>
                    </w:rPr>
                    <w:t>202</w:t>
                  </w:r>
                  <w:r w:rsidRPr="005037D0">
                    <w:rPr>
                      <w:rFonts w:cs="Calibri"/>
                      <w:b w:val="0"/>
                      <w:i/>
                      <w:iCs/>
                      <w:color w:val="000000"/>
                      <w:sz w:val="18"/>
                      <w:szCs w:val="18"/>
                      <w:lang w:val="hy-AM"/>
                    </w:rPr>
                    <w:t>1</w:t>
                  </w:r>
                  <w:r w:rsidRPr="005037D0">
                    <w:rPr>
                      <w:rFonts w:cs="Calibri"/>
                      <w:b w:val="0"/>
                      <w:i/>
                      <w:iCs/>
                      <w:color w:val="000000"/>
                      <w:sz w:val="18"/>
                      <w:szCs w:val="18"/>
                    </w:rPr>
                    <w:t xml:space="preserve"> Պետական բյուջե</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highlight w:val="yellow"/>
                    </w:rPr>
                  </w:pPr>
                  <w:r w:rsidRPr="005037D0">
                    <w:rPr>
                      <w:b w:val="0"/>
                      <w:sz w:val="18"/>
                      <w:szCs w:val="18"/>
                    </w:rPr>
                    <w:t>6,569.0</w:t>
                  </w:r>
                </w:p>
              </w:tc>
              <w:tc>
                <w:tcPr>
                  <w:tcW w:w="1890" w:type="dxa"/>
                  <w:shd w:val="clear" w:color="auto" w:fill="auto"/>
                  <w:noWrap/>
                  <w:vAlign w:val="center"/>
                </w:tcPr>
                <w:p w:rsidR="009F0A25" w:rsidRPr="005037D0" w:rsidRDefault="009F0A25" w:rsidP="007730AA">
                  <w:pPr>
                    <w:spacing w:before="0" w:line="276" w:lineRule="auto"/>
                    <w:ind w:firstLine="0"/>
                    <w:jc w:val="center"/>
                    <w:rPr>
                      <w:rFonts w:cs="Calibri"/>
                      <w:b w:val="0"/>
                      <w:color w:val="000000"/>
                      <w:sz w:val="18"/>
                      <w:szCs w:val="18"/>
                    </w:rPr>
                  </w:pPr>
                  <w:r w:rsidRPr="005037D0">
                    <w:rPr>
                      <w:b w:val="0"/>
                      <w:sz w:val="18"/>
                      <w:szCs w:val="18"/>
                    </w:rPr>
                    <w:t>6,</w:t>
                  </w:r>
                  <w:r w:rsidRPr="005037D0">
                    <w:rPr>
                      <w:b w:val="0"/>
                      <w:sz w:val="18"/>
                      <w:szCs w:val="18"/>
                      <w:lang w:val="hy-AM"/>
                    </w:rPr>
                    <w:t>075</w:t>
                  </w:r>
                  <w:r w:rsidRPr="005037D0">
                    <w:rPr>
                      <w:b w:val="0"/>
                      <w:sz w:val="18"/>
                      <w:szCs w:val="18"/>
                    </w:rPr>
                    <w:t>.9</w:t>
                  </w:r>
                </w:p>
              </w:tc>
              <w:tc>
                <w:tcPr>
                  <w:tcW w:w="1160" w:type="dxa"/>
                  <w:shd w:val="clear" w:color="auto" w:fill="auto"/>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b w:val="0"/>
                      <w:sz w:val="18"/>
                      <w:szCs w:val="18"/>
                    </w:rPr>
                    <w:t>6,</w:t>
                  </w:r>
                  <w:r w:rsidRPr="005037D0">
                    <w:rPr>
                      <w:b w:val="0"/>
                      <w:sz w:val="18"/>
                      <w:szCs w:val="18"/>
                      <w:lang w:val="hy-AM"/>
                    </w:rPr>
                    <w:t>395</w:t>
                  </w:r>
                  <w:r w:rsidRPr="005037D0">
                    <w:rPr>
                      <w:b w:val="0"/>
                      <w:sz w:val="18"/>
                      <w:szCs w:val="18"/>
                    </w:rPr>
                    <w:t>.</w:t>
                  </w:r>
                  <w:r w:rsidRPr="005037D0">
                    <w:rPr>
                      <w:b w:val="0"/>
                      <w:sz w:val="18"/>
                      <w:szCs w:val="18"/>
                      <w:lang w:val="hy-AM"/>
                    </w:rPr>
                    <w:t>3</w:t>
                  </w:r>
                </w:p>
              </w:tc>
            </w:tr>
            <w:tr w:rsidR="005037D0" w:rsidRPr="00EE7164" w:rsidTr="005037D0">
              <w:trPr>
                <w:trHeight w:val="303"/>
              </w:trPr>
              <w:tc>
                <w:tcPr>
                  <w:tcW w:w="2052" w:type="dxa"/>
                  <w:vMerge/>
                  <w:shd w:val="clear" w:color="auto" w:fill="auto"/>
                  <w:vAlign w:val="center"/>
                  <w:hideMark/>
                </w:tcPr>
                <w:p w:rsidR="009F0A25" w:rsidRPr="005037D0" w:rsidRDefault="009F0A25" w:rsidP="007730AA">
                  <w:pPr>
                    <w:spacing w:before="0" w:line="276" w:lineRule="auto"/>
                    <w:rPr>
                      <w:rFonts w:cs="Calibri"/>
                      <w:bCs/>
                      <w:color w:val="000000"/>
                      <w:sz w:val="18"/>
                      <w:szCs w:val="18"/>
                      <w:highlight w:val="yellow"/>
                    </w:rPr>
                  </w:pPr>
                </w:p>
              </w:tc>
              <w:tc>
                <w:tcPr>
                  <w:tcW w:w="2460" w:type="dxa"/>
                  <w:shd w:val="clear" w:color="auto" w:fill="auto"/>
                  <w:vAlign w:val="center"/>
                  <w:hideMark/>
                </w:tcPr>
                <w:p w:rsidR="009F0A25" w:rsidRPr="005037D0" w:rsidRDefault="009F0A25" w:rsidP="007730AA">
                  <w:pPr>
                    <w:spacing w:before="0" w:line="276" w:lineRule="auto"/>
                    <w:ind w:firstLine="0"/>
                    <w:rPr>
                      <w:rFonts w:cs="Calibri"/>
                      <w:b w:val="0"/>
                      <w:i/>
                      <w:iCs/>
                      <w:color w:val="000000"/>
                      <w:sz w:val="18"/>
                      <w:szCs w:val="18"/>
                      <w:highlight w:val="yellow"/>
                    </w:rPr>
                  </w:pPr>
                  <w:r w:rsidRPr="005037D0">
                    <w:rPr>
                      <w:rFonts w:cs="Calibri"/>
                      <w:b w:val="0"/>
                      <w:i/>
                      <w:iCs/>
                      <w:color w:val="000000"/>
                      <w:sz w:val="18"/>
                      <w:szCs w:val="18"/>
                    </w:rPr>
                    <w:t>2021-2023 ՄԺԾԾ</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highlight w:val="yellow"/>
                    </w:rPr>
                  </w:pPr>
                  <w:r w:rsidRPr="005037D0">
                    <w:rPr>
                      <w:rFonts w:cs="Calibri"/>
                      <w:b w:val="0"/>
                      <w:color w:val="000000"/>
                      <w:sz w:val="18"/>
                      <w:szCs w:val="18"/>
                    </w:rPr>
                    <w:t>6569.0</w:t>
                  </w:r>
                </w:p>
              </w:tc>
              <w:tc>
                <w:tcPr>
                  <w:tcW w:w="1890" w:type="dxa"/>
                  <w:shd w:val="clear" w:color="auto" w:fill="auto"/>
                  <w:noWrap/>
                  <w:vAlign w:val="center"/>
                  <w:hideMark/>
                </w:tcPr>
                <w:p w:rsidR="009F0A25" w:rsidRPr="005037D0" w:rsidRDefault="009F0A25" w:rsidP="007730AA">
                  <w:pPr>
                    <w:spacing w:before="0" w:line="276" w:lineRule="auto"/>
                    <w:ind w:firstLine="0"/>
                    <w:jc w:val="center"/>
                    <w:rPr>
                      <w:rFonts w:cs="Calibri"/>
                      <w:b w:val="0"/>
                      <w:color w:val="000000"/>
                      <w:sz w:val="18"/>
                      <w:szCs w:val="18"/>
                    </w:rPr>
                  </w:pPr>
                  <w:r w:rsidRPr="005037D0">
                    <w:rPr>
                      <w:rFonts w:cs="Calibri"/>
                      <w:b w:val="0"/>
                      <w:color w:val="000000"/>
                      <w:sz w:val="18"/>
                      <w:szCs w:val="18"/>
                    </w:rPr>
                    <w:t>6,505.1</w:t>
                  </w:r>
                </w:p>
              </w:tc>
              <w:tc>
                <w:tcPr>
                  <w:tcW w:w="1160" w:type="dxa"/>
                  <w:shd w:val="clear" w:color="auto" w:fill="auto"/>
                  <w:vAlign w:val="center"/>
                  <w:hideMark/>
                </w:tcPr>
                <w:p w:rsidR="009F0A25" w:rsidRPr="005037D0" w:rsidRDefault="009F0A25" w:rsidP="007730AA">
                  <w:pPr>
                    <w:spacing w:before="0" w:line="276" w:lineRule="auto"/>
                    <w:ind w:firstLine="0"/>
                    <w:jc w:val="center"/>
                    <w:rPr>
                      <w:rFonts w:cs="Calibri"/>
                      <w:b w:val="0"/>
                      <w:color w:val="000000"/>
                      <w:sz w:val="18"/>
                      <w:szCs w:val="18"/>
                    </w:rPr>
                  </w:pPr>
                  <w:r w:rsidRPr="005037D0">
                    <w:rPr>
                      <w:rFonts w:cs="Calibri"/>
                      <w:b w:val="0"/>
                      <w:color w:val="000000"/>
                      <w:sz w:val="18"/>
                      <w:szCs w:val="18"/>
                    </w:rPr>
                    <w:t>7,143.0</w:t>
                  </w:r>
                </w:p>
              </w:tc>
            </w:tr>
            <w:tr w:rsidR="005037D0" w:rsidRPr="00EE7164" w:rsidTr="005037D0">
              <w:trPr>
                <w:trHeight w:val="303"/>
              </w:trPr>
              <w:tc>
                <w:tcPr>
                  <w:tcW w:w="2052" w:type="dxa"/>
                  <w:vMerge/>
                  <w:vAlign w:val="center"/>
                  <w:hideMark/>
                </w:tcPr>
                <w:p w:rsidR="009F0A25" w:rsidRPr="005037D0" w:rsidRDefault="009F0A25" w:rsidP="007730AA">
                  <w:pPr>
                    <w:spacing w:before="0" w:line="276" w:lineRule="auto"/>
                    <w:rPr>
                      <w:rFonts w:cs="Calibri"/>
                      <w:bCs/>
                      <w:color w:val="000000"/>
                      <w:sz w:val="18"/>
                      <w:szCs w:val="18"/>
                      <w:highlight w:val="yellow"/>
                    </w:rPr>
                  </w:pPr>
                </w:p>
              </w:tc>
              <w:tc>
                <w:tcPr>
                  <w:tcW w:w="2460" w:type="dxa"/>
                  <w:shd w:val="clear" w:color="auto" w:fill="auto"/>
                  <w:vAlign w:val="center"/>
                  <w:hideMark/>
                </w:tcPr>
                <w:p w:rsidR="009F0A25" w:rsidRPr="005037D0" w:rsidRDefault="005037D0" w:rsidP="007730AA">
                  <w:pPr>
                    <w:spacing w:before="0" w:line="276" w:lineRule="auto"/>
                    <w:ind w:firstLine="0"/>
                    <w:rPr>
                      <w:rFonts w:cs="Calibri"/>
                      <w:b w:val="0"/>
                      <w:i/>
                      <w:iCs/>
                      <w:color w:val="000000"/>
                      <w:sz w:val="18"/>
                      <w:szCs w:val="18"/>
                      <w:highlight w:val="yellow"/>
                    </w:rPr>
                  </w:pPr>
                  <w:r>
                    <w:rPr>
                      <w:rFonts w:cs="Calibri"/>
                      <w:b w:val="0"/>
                      <w:i/>
                      <w:iCs/>
                      <w:color w:val="000000"/>
                      <w:sz w:val="18"/>
                      <w:szCs w:val="18"/>
                    </w:rPr>
                    <w:t>2020</w:t>
                  </w:r>
                  <w:r>
                    <w:rPr>
                      <w:rFonts w:cs="Calibri"/>
                      <w:b w:val="0"/>
                      <w:i/>
                      <w:iCs/>
                      <w:color w:val="000000"/>
                      <w:sz w:val="18"/>
                      <w:szCs w:val="18"/>
                      <w:lang w:val="en-US"/>
                    </w:rPr>
                    <w:t xml:space="preserve"> </w:t>
                  </w:r>
                  <w:r w:rsidR="009F0A25" w:rsidRPr="005037D0">
                    <w:rPr>
                      <w:rFonts w:cs="Calibri"/>
                      <w:b w:val="0"/>
                      <w:i/>
                      <w:iCs/>
                      <w:color w:val="000000"/>
                      <w:sz w:val="18"/>
                      <w:szCs w:val="18"/>
                    </w:rPr>
                    <w:t>Պետական բյուջե</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rPr>
                  </w:pPr>
                  <w:r w:rsidRPr="005037D0">
                    <w:rPr>
                      <w:rFonts w:cs="Calibri"/>
                      <w:b w:val="0"/>
                      <w:color w:val="000000"/>
                      <w:sz w:val="18"/>
                      <w:szCs w:val="18"/>
                    </w:rPr>
                    <w:t>6,566.5</w:t>
                  </w:r>
                </w:p>
              </w:tc>
              <w:tc>
                <w:tcPr>
                  <w:tcW w:w="1890" w:type="dxa"/>
                  <w:shd w:val="clear" w:color="auto" w:fill="auto"/>
                  <w:noWrap/>
                  <w:vAlign w:val="center"/>
                  <w:hideMark/>
                </w:tcPr>
                <w:p w:rsidR="009F0A25" w:rsidRPr="005037D0" w:rsidRDefault="009F0A25" w:rsidP="007730AA">
                  <w:pPr>
                    <w:spacing w:before="0" w:line="276" w:lineRule="auto"/>
                    <w:ind w:firstLine="0"/>
                    <w:jc w:val="center"/>
                    <w:rPr>
                      <w:rFonts w:cs="Calibri"/>
                      <w:b w:val="0"/>
                      <w:color w:val="000000"/>
                      <w:sz w:val="18"/>
                      <w:szCs w:val="18"/>
                    </w:rPr>
                  </w:pPr>
                  <w:r w:rsidRPr="005037D0">
                    <w:rPr>
                      <w:rFonts w:cs="Calibri"/>
                      <w:b w:val="0"/>
                      <w:color w:val="000000"/>
                      <w:sz w:val="18"/>
                      <w:szCs w:val="18"/>
                    </w:rPr>
                    <w:t>7,095.1</w:t>
                  </w:r>
                </w:p>
              </w:tc>
              <w:tc>
                <w:tcPr>
                  <w:tcW w:w="1160" w:type="dxa"/>
                  <w:shd w:val="clear" w:color="auto" w:fill="auto"/>
                  <w:vAlign w:val="center"/>
                  <w:hideMark/>
                </w:tcPr>
                <w:p w:rsidR="009F0A25" w:rsidRPr="005037D0" w:rsidRDefault="009F0A25" w:rsidP="007730AA">
                  <w:pPr>
                    <w:spacing w:before="0" w:line="276" w:lineRule="auto"/>
                    <w:ind w:firstLine="0"/>
                    <w:jc w:val="center"/>
                    <w:rPr>
                      <w:rFonts w:cs="Calibri"/>
                      <w:b w:val="0"/>
                      <w:color w:val="000000"/>
                      <w:sz w:val="18"/>
                      <w:szCs w:val="18"/>
                    </w:rPr>
                  </w:pPr>
                  <w:r w:rsidRPr="005037D0">
                    <w:rPr>
                      <w:rFonts w:cs="Calibri"/>
                      <w:b w:val="0"/>
                      <w:color w:val="000000"/>
                      <w:sz w:val="18"/>
                      <w:szCs w:val="18"/>
                    </w:rPr>
                    <w:t>-</w:t>
                  </w:r>
                </w:p>
              </w:tc>
            </w:tr>
            <w:tr w:rsidR="005037D0" w:rsidRPr="00130243" w:rsidTr="005037D0">
              <w:trPr>
                <w:trHeight w:val="303"/>
              </w:trPr>
              <w:tc>
                <w:tcPr>
                  <w:tcW w:w="2052" w:type="dxa"/>
                  <w:vMerge w:val="restart"/>
                  <w:shd w:val="clear" w:color="auto" w:fill="auto"/>
                  <w:vAlign w:val="center"/>
                </w:tcPr>
                <w:p w:rsidR="009F0A25" w:rsidRPr="005037D0" w:rsidRDefault="009F0A25" w:rsidP="007730AA">
                  <w:pPr>
                    <w:spacing w:before="0" w:line="276" w:lineRule="auto"/>
                    <w:ind w:firstLine="0"/>
                    <w:rPr>
                      <w:rFonts w:cs="Calibri"/>
                      <w:bCs/>
                      <w:color w:val="000000"/>
                      <w:sz w:val="18"/>
                      <w:szCs w:val="18"/>
                      <w:lang w:val="hy-AM"/>
                    </w:rPr>
                  </w:pPr>
                  <w:r w:rsidRPr="005037D0">
                    <w:rPr>
                      <w:rFonts w:cs="Calibri"/>
                      <w:bCs/>
                      <w:color w:val="000000"/>
                      <w:sz w:val="18"/>
                      <w:szCs w:val="18"/>
                      <w:lang w:val="hy-AM"/>
                    </w:rPr>
                    <w:t>Տնտեսական</w:t>
                  </w:r>
                  <w:r w:rsidRPr="005037D0">
                    <w:rPr>
                      <w:rFonts w:cs="Calibri"/>
                      <w:bCs/>
                      <w:color w:val="000000"/>
                      <w:sz w:val="18"/>
                      <w:szCs w:val="18"/>
                    </w:rPr>
                    <w:t xml:space="preserve"> (</w:t>
                  </w:r>
                  <w:r w:rsidRPr="005037D0">
                    <w:rPr>
                      <w:rFonts w:cs="Calibri"/>
                      <w:bCs/>
                      <w:color w:val="000000"/>
                      <w:sz w:val="18"/>
                      <w:szCs w:val="18"/>
                      <w:lang w:val="hy-AM"/>
                    </w:rPr>
                    <w:t>իրական ՀՆԱ-ի</w:t>
                  </w:r>
                  <w:r w:rsidRPr="005037D0">
                    <w:rPr>
                      <w:rFonts w:cs="Calibri"/>
                      <w:bCs/>
                      <w:color w:val="000000"/>
                      <w:sz w:val="18"/>
                      <w:szCs w:val="18"/>
                    </w:rPr>
                    <w:t>)</w:t>
                  </w:r>
                  <w:r w:rsidRPr="005037D0">
                    <w:rPr>
                      <w:rFonts w:cs="Calibri"/>
                      <w:bCs/>
                      <w:color w:val="000000"/>
                      <w:sz w:val="18"/>
                      <w:szCs w:val="18"/>
                      <w:lang w:val="hy-AM"/>
                    </w:rPr>
                    <w:t xml:space="preserve"> աճ, </w:t>
                  </w:r>
                  <w:r w:rsidRPr="005037D0">
                    <w:rPr>
                      <w:rFonts w:cs="Calibri"/>
                      <w:bCs/>
                      <w:color w:val="000000"/>
                      <w:sz w:val="18"/>
                      <w:szCs w:val="18"/>
                    </w:rPr>
                    <w:t>%</w:t>
                  </w:r>
                </w:p>
              </w:tc>
              <w:tc>
                <w:tcPr>
                  <w:tcW w:w="2460" w:type="dxa"/>
                  <w:shd w:val="clear" w:color="auto" w:fill="auto"/>
                  <w:vAlign w:val="center"/>
                </w:tcPr>
                <w:p w:rsidR="009F0A25" w:rsidRPr="005037D0" w:rsidRDefault="009F0A25" w:rsidP="007730AA">
                  <w:pPr>
                    <w:spacing w:before="0" w:line="276" w:lineRule="auto"/>
                    <w:ind w:firstLine="0"/>
                    <w:rPr>
                      <w:rFonts w:cs="Calibri"/>
                      <w:b w:val="0"/>
                      <w:i/>
                      <w:iCs/>
                      <w:color w:val="000000"/>
                      <w:sz w:val="18"/>
                      <w:szCs w:val="18"/>
                      <w:highlight w:val="yellow"/>
                      <w:lang w:val="hy-AM"/>
                    </w:rPr>
                  </w:pPr>
                  <w:r w:rsidRPr="005037D0">
                    <w:rPr>
                      <w:rFonts w:cs="Calibri"/>
                      <w:b w:val="0"/>
                      <w:i/>
                      <w:iCs/>
                      <w:color w:val="000000"/>
                      <w:sz w:val="18"/>
                      <w:szCs w:val="18"/>
                      <w:lang w:val="hy-AM"/>
                    </w:rPr>
                    <w:t>2021 Պետական բյուջե</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highlight w:val="yellow"/>
                      <w:lang w:val="hy-AM"/>
                    </w:rPr>
                  </w:pPr>
                  <w:r w:rsidRPr="005037D0">
                    <w:rPr>
                      <w:b w:val="0"/>
                      <w:sz w:val="18"/>
                      <w:szCs w:val="18"/>
                      <w:lang w:val="hy-AM"/>
                    </w:rPr>
                    <w:t>7.6</w:t>
                  </w:r>
                </w:p>
              </w:tc>
              <w:tc>
                <w:tcPr>
                  <w:tcW w:w="1890" w:type="dxa"/>
                  <w:shd w:val="clear" w:color="auto" w:fill="auto"/>
                  <w:noWrap/>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b w:val="0"/>
                      <w:sz w:val="18"/>
                      <w:szCs w:val="18"/>
                      <w:lang w:val="hy-AM"/>
                    </w:rPr>
                    <w:t>-7.9</w:t>
                  </w:r>
                </w:p>
              </w:tc>
              <w:tc>
                <w:tcPr>
                  <w:tcW w:w="1160" w:type="dxa"/>
                  <w:shd w:val="clear" w:color="auto" w:fill="auto"/>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b w:val="0"/>
                      <w:sz w:val="18"/>
                      <w:szCs w:val="18"/>
                      <w:lang w:val="hy-AM"/>
                    </w:rPr>
                    <w:t>3.2</w:t>
                  </w:r>
                </w:p>
              </w:tc>
            </w:tr>
            <w:tr w:rsidR="005037D0" w:rsidRPr="00130243" w:rsidTr="005037D0">
              <w:trPr>
                <w:trHeight w:val="303"/>
              </w:trPr>
              <w:tc>
                <w:tcPr>
                  <w:tcW w:w="2052" w:type="dxa"/>
                  <w:vMerge/>
                  <w:shd w:val="clear" w:color="auto" w:fill="auto"/>
                  <w:vAlign w:val="center"/>
                  <w:hideMark/>
                </w:tcPr>
                <w:p w:rsidR="009F0A25" w:rsidRPr="005037D0" w:rsidRDefault="009F0A25" w:rsidP="007730AA">
                  <w:pPr>
                    <w:spacing w:before="0" w:line="276" w:lineRule="auto"/>
                    <w:rPr>
                      <w:rFonts w:cs="Calibri"/>
                      <w:bCs/>
                      <w:color w:val="000000"/>
                      <w:sz w:val="18"/>
                      <w:szCs w:val="18"/>
                      <w:highlight w:val="yellow"/>
                      <w:lang w:val="hy-AM"/>
                    </w:rPr>
                  </w:pPr>
                </w:p>
              </w:tc>
              <w:tc>
                <w:tcPr>
                  <w:tcW w:w="2460" w:type="dxa"/>
                  <w:shd w:val="clear" w:color="auto" w:fill="auto"/>
                  <w:vAlign w:val="center"/>
                  <w:hideMark/>
                </w:tcPr>
                <w:p w:rsidR="009F0A25" w:rsidRPr="005037D0" w:rsidRDefault="009F0A25" w:rsidP="007730AA">
                  <w:pPr>
                    <w:spacing w:before="0" w:line="276" w:lineRule="auto"/>
                    <w:ind w:firstLine="0"/>
                    <w:rPr>
                      <w:rFonts w:cs="Calibri"/>
                      <w:b w:val="0"/>
                      <w:i/>
                      <w:iCs/>
                      <w:color w:val="000000"/>
                      <w:sz w:val="18"/>
                      <w:szCs w:val="18"/>
                      <w:highlight w:val="yellow"/>
                      <w:lang w:val="hy-AM"/>
                    </w:rPr>
                  </w:pPr>
                  <w:r w:rsidRPr="005037D0">
                    <w:rPr>
                      <w:rFonts w:cs="Calibri"/>
                      <w:b w:val="0"/>
                      <w:i/>
                      <w:iCs/>
                      <w:color w:val="000000"/>
                      <w:sz w:val="18"/>
                      <w:szCs w:val="18"/>
                      <w:lang w:val="hy-AM"/>
                    </w:rPr>
                    <w:t>2021-2023 ՄԺԾԾ</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7.6</w:t>
                  </w:r>
                </w:p>
              </w:tc>
              <w:tc>
                <w:tcPr>
                  <w:tcW w:w="1890" w:type="dxa"/>
                  <w:shd w:val="clear" w:color="auto" w:fill="auto"/>
                  <w:noWrap/>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-2.6</w:t>
                  </w:r>
                </w:p>
              </w:tc>
              <w:tc>
                <w:tcPr>
                  <w:tcW w:w="1160" w:type="dxa"/>
                  <w:shd w:val="clear" w:color="auto" w:fill="auto"/>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7.0</w:t>
                  </w:r>
                </w:p>
              </w:tc>
            </w:tr>
            <w:tr w:rsidR="005037D0" w:rsidRPr="00130243" w:rsidTr="005037D0">
              <w:trPr>
                <w:trHeight w:val="303"/>
              </w:trPr>
              <w:tc>
                <w:tcPr>
                  <w:tcW w:w="2052" w:type="dxa"/>
                  <w:vMerge/>
                  <w:vAlign w:val="center"/>
                  <w:hideMark/>
                </w:tcPr>
                <w:p w:rsidR="009F0A25" w:rsidRPr="005037D0" w:rsidRDefault="009F0A25" w:rsidP="007730AA">
                  <w:pPr>
                    <w:spacing w:before="0" w:line="276" w:lineRule="auto"/>
                    <w:rPr>
                      <w:rFonts w:cs="Calibri"/>
                      <w:bCs/>
                      <w:color w:val="000000"/>
                      <w:sz w:val="18"/>
                      <w:szCs w:val="18"/>
                      <w:highlight w:val="yellow"/>
                      <w:lang w:val="hy-AM"/>
                    </w:rPr>
                  </w:pPr>
                </w:p>
              </w:tc>
              <w:tc>
                <w:tcPr>
                  <w:tcW w:w="2460" w:type="dxa"/>
                  <w:shd w:val="clear" w:color="auto" w:fill="auto"/>
                  <w:vAlign w:val="center"/>
                  <w:hideMark/>
                </w:tcPr>
                <w:p w:rsidR="009F0A25" w:rsidRPr="005037D0" w:rsidRDefault="009F0A25" w:rsidP="007730AA">
                  <w:pPr>
                    <w:spacing w:before="0" w:line="276" w:lineRule="auto"/>
                    <w:ind w:firstLine="0"/>
                    <w:rPr>
                      <w:rFonts w:cs="Calibri"/>
                      <w:b w:val="0"/>
                      <w:i/>
                      <w:iCs/>
                      <w:color w:val="000000"/>
                      <w:sz w:val="18"/>
                      <w:szCs w:val="18"/>
                      <w:lang w:val="hy-AM"/>
                    </w:rPr>
                  </w:pPr>
                  <w:r w:rsidRPr="005037D0">
                    <w:rPr>
                      <w:rFonts w:cs="Calibri"/>
                      <w:b w:val="0"/>
                      <w:i/>
                      <w:iCs/>
                      <w:color w:val="000000"/>
                      <w:sz w:val="18"/>
                      <w:szCs w:val="18"/>
                      <w:lang w:val="hy-AM"/>
                    </w:rPr>
                    <w:t>2020 Պետական բյուջե</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6.3</w:t>
                  </w:r>
                </w:p>
              </w:tc>
              <w:tc>
                <w:tcPr>
                  <w:tcW w:w="1890" w:type="dxa"/>
                  <w:shd w:val="clear" w:color="auto" w:fill="auto"/>
                  <w:noWrap/>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4.9</w:t>
                  </w:r>
                </w:p>
              </w:tc>
              <w:tc>
                <w:tcPr>
                  <w:tcW w:w="1160" w:type="dxa"/>
                  <w:shd w:val="clear" w:color="auto" w:fill="auto"/>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w:t>
                  </w:r>
                </w:p>
              </w:tc>
            </w:tr>
            <w:tr w:rsidR="005037D0" w:rsidRPr="00130243" w:rsidTr="005037D0">
              <w:trPr>
                <w:trHeight w:val="303"/>
              </w:trPr>
              <w:tc>
                <w:tcPr>
                  <w:tcW w:w="2052" w:type="dxa"/>
                  <w:vMerge w:val="restart"/>
                  <w:shd w:val="clear" w:color="auto" w:fill="auto"/>
                  <w:vAlign w:val="center"/>
                </w:tcPr>
                <w:p w:rsidR="009F0A25" w:rsidRPr="005037D0" w:rsidRDefault="009F0A25" w:rsidP="007730AA">
                  <w:pPr>
                    <w:spacing w:before="0" w:line="276" w:lineRule="auto"/>
                    <w:ind w:firstLine="0"/>
                    <w:rPr>
                      <w:rFonts w:cs="Calibri"/>
                      <w:bCs/>
                      <w:color w:val="000000"/>
                      <w:sz w:val="18"/>
                      <w:szCs w:val="18"/>
                      <w:highlight w:val="yellow"/>
                      <w:lang w:val="hy-AM"/>
                    </w:rPr>
                  </w:pPr>
                  <w:r w:rsidRPr="005037D0">
                    <w:rPr>
                      <w:rFonts w:cs="Calibri"/>
                      <w:bCs/>
                      <w:color w:val="000000"/>
                      <w:sz w:val="18"/>
                      <w:szCs w:val="18"/>
                      <w:lang w:val="hy-AM"/>
                    </w:rPr>
                    <w:t>ՀՆԱ-ի դեֆլյատորի աճ, %</w:t>
                  </w:r>
                </w:p>
              </w:tc>
              <w:tc>
                <w:tcPr>
                  <w:tcW w:w="2460" w:type="dxa"/>
                  <w:shd w:val="clear" w:color="auto" w:fill="auto"/>
                  <w:vAlign w:val="center"/>
                </w:tcPr>
                <w:p w:rsidR="009F0A25" w:rsidRPr="005037D0" w:rsidRDefault="009F0A25" w:rsidP="007730AA">
                  <w:pPr>
                    <w:spacing w:before="0" w:line="276" w:lineRule="auto"/>
                    <w:ind w:firstLine="0"/>
                    <w:rPr>
                      <w:rFonts w:cs="Calibri"/>
                      <w:b w:val="0"/>
                      <w:i/>
                      <w:iCs/>
                      <w:color w:val="000000"/>
                      <w:sz w:val="18"/>
                      <w:szCs w:val="18"/>
                      <w:highlight w:val="yellow"/>
                      <w:lang w:val="hy-AM"/>
                    </w:rPr>
                  </w:pPr>
                  <w:r w:rsidRPr="005037D0">
                    <w:rPr>
                      <w:rFonts w:cs="Calibri"/>
                      <w:b w:val="0"/>
                      <w:i/>
                      <w:iCs/>
                      <w:color w:val="000000"/>
                      <w:sz w:val="18"/>
                      <w:szCs w:val="18"/>
                      <w:lang w:val="hy-AM"/>
                    </w:rPr>
                    <w:t>2021 Պետական բյուջե</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highlight w:val="yellow"/>
                      <w:lang w:val="hy-AM"/>
                    </w:rPr>
                  </w:pPr>
                  <w:r w:rsidRPr="005037D0">
                    <w:rPr>
                      <w:b w:val="0"/>
                      <w:sz w:val="18"/>
                      <w:szCs w:val="18"/>
                      <w:lang w:val="hy-AM"/>
                    </w:rPr>
                    <w:t>1.5</w:t>
                  </w:r>
                </w:p>
              </w:tc>
              <w:tc>
                <w:tcPr>
                  <w:tcW w:w="1890" w:type="dxa"/>
                  <w:shd w:val="clear" w:color="auto" w:fill="auto"/>
                  <w:noWrap/>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b w:val="0"/>
                      <w:sz w:val="18"/>
                      <w:szCs w:val="18"/>
                      <w:lang w:val="hy-AM"/>
                    </w:rPr>
                    <w:t>0.4</w:t>
                  </w:r>
                </w:p>
              </w:tc>
              <w:tc>
                <w:tcPr>
                  <w:tcW w:w="1160" w:type="dxa"/>
                  <w:shd w:val="clear" w:color="auto" w:fill="auto"/>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b w:val="0"/>
                      <w:sz w:val="18"/>
                      <w:szCs w:val="18"/>
                      <w:lang w:val="hy-AM"/>
                    </w:rPr>
                    <w:t>2.0</w:t>
                  </w:r>
                </w:p>
              </w:tc>
            </w:tr>
            <w:tr w:rsidR="005037D0" w:rsidRPr="00130243" w:rsidTr="005037D0">
              <w:trPr>
                <w:trHeight w:val="303"/>
              </w:trPr>
              <w:tc>
                <w:tcPr>
                  <w:tcW w:w="2052" w:type="dxa"/>
                  <w:vMerge/>
                  <w:shd w:val="clear" w:color="auto" w:fill="auto"/>
                  <w:vAlign w:val="center"/>
                  <w:hideMark/>
                </w:tcPr>
                <w:p w:rsidR="009F0A25" w:rsidRPr="00EE7164" w:rsidRDefault="009F0A25" w:rsidP="007730AA">
                  <w:pPr>
                    <w:spacing w:before="0" w:line="276" w:lineRule="auto"/>
                    <w:rPr>
                      <w:rFonts w:cs="Calibri"/>
                      <w:b w:val="0"/>
                      <w:bCs/>
                      <w:color w:val="000000"/>
                      <w:sz w:val="18"/>
                      <w:szCs w:val="18"/>
                      <w:highlight w:val="yellow"/>
                      <w:lang w:val="hy-AM"/>
                    </w:rPr>
                  </w:pPr>
                </w:p>
              </w:tc>
              <w:tc>
                <w:tcPr>
                  <w:tcW w:w="2460" w:type="dxa"/>
                  <w:shd w:val="clear" w:color="auto" w:fill="auto"/>
                  <w:vAlign w:val="center"/>
                  <w:hideMark/>
                </w:tcPr>
                <w:p w:rsidR="009F0A25" w:rsidRPr="005037D0" w:rsidRDefault="009F0A25" w:rsidP="007730AA">
                  <w:pPr>
                    <w:spacing w:before="0" w:line="276" w:lineRule="auto"/>
                    <w:ind w:firstLine="0"/>
                    <w:rPr>
                      <w:rFonts w:cs="Calibri"/>
                      <w:b w:val="0"/>
                      <w:i/>
                      <w:iCs/>
                      <w:color w:val="000000"/>
                      <w:sz w:val="18"/>
                      <w:szCs w:val="18"/>
                      <w:lang w:val="hy-AM"/>
                    </w:rPr>
                  </w:pPr>
                  <w:r w:rsidRPr="005037D0">
                    <w:rPr>
                      <w:rFonts w:cs="Calibri"/>
                      <w:b w:val="0"/>
                      <w:i/>
                      <w:iCs/>
                      <w:color w:val="000000"/>
                      <w:sz w:val="18"/>
                      <w:szCs w:val="18"/>
                      <w:lang w:val="hy-AM"/>
                    </w:rPr>
                    <w:t>2021-2023 ՄԺԾԾ</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1.5</w:t>
                  </w:r>
                </w:p>
              </w:tc>
              <w:tc>
                <w:tcPr>
                  <w:tcW w:w="1890" w:type="dxa"/>
                  <w:shd w:val="clear" w:color="auto" w:fill="auto"/>
                  <w:noWrap/>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1.7</w:t>
                  </w:r>
                </w:p>
              </w:tc>
              <w:tc>
                <w:tcPr>
                  <w:tcW w:w="1160" w:type="dxa"/>
                  <w:shd w:val="clear" w:color="auto" w:fill="auto"/>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2.7</w:t>
                  </w:r>
                </w:p>
              </w:tc>
            </w:tr>
            <w:tr w:rsidR="005037D0" w:rsidRPr="00130243" w:rsidTr="005037D0">
              <w:trPr>
                <w:trHeight w:val="303"/>
              </w:trPr>
              <w:tc>
                <w:tcPr>
                  <w:tcW w:w="2052" w:type="dxa"/>
                  <w:vMerge/>
                  <w:vAlign w:val="center"/>
                  <w:hideMark/>
                </w:tcPr>
                <w:p w:rsidR="009F0A25" w:rsidRPr="00EE7164" w:rsidRDefault="009F0A25" w:rsidP="007730AA">
                  <w:pPr>
                    <w:spacing w:before="0" w:line="276" w:lineRule="auto"/>
                    <w:rPr>
                      <w:rFonts w:cs="Calibri"/>
                      <w:b w:val="0"/>
                      <w:bCs/>
                      <w:color w:val="000000"/>
                      <w:sz w:val="18"/>
                      <w:szCs w:val="18"/>
                      <w:highlight w:val="yellow"/>
                      <w:lang w:val="hy-AM"/>
                    </w:rPr>
                  </w:pPr>
                </w:p>
              </w:tc>
              <w:tc>
                <w:tcPr>
                  <w:tcW w:w="2460" w:type="dxa"/>
                  <w:shd w:val="clear" w:color="auto" w:fill="auto"/>
                  <w:vAlign w:val="center"/>
                  <w:hideMark/>
                </w:tcPr>
                <w:p w:rsidR="009F0A25" w:rsidRPr="005037D0" w:rsidRDefault="009F0A25" w:rsidP="007730AA">
                  <w:pPr>
                    <w:spacing w:before="0" w:line="276" w:lineRule="auto"/>
                    <w:ind w:firstLine="0"/>
                    <w:rPr>
                      <w:rFonts w:cs="Calibri"/>
                      <w:b w:val="0"/>
                      <w:i/>
                      <w:iCs/>
                      <w:color w:val="000000"/>
                      <w:sz w:val="18"/>
                      <w:szCs w:val="18"/>
                      <w:lang w:val="hy-AM"/>
                    </w:rPr>
                  </w:pPr>
                  <w:r w:rsidRPr="005037D0">
                    <w:rPr>
                      <w:rFonts w:cs="Calibri"/>
                      <w:b w:val="0"/>
                      <w:i/>
                      <w:iCs/>
                      <w:color w:val="000000"/>
                      <w:sz w:val="18"/>
                      <w:szCs w:val="18"/>
                      <w:lang w:val="hy-AM"/>
                    </w:rPr>
                    <w:t>2020 Պետական բյուջե</w:t>
                  </w:r>
                </w:p>
              </w:tc>
              <w:tc>
                <w:tcPr>
                  <w:tcW w:w="1360" w:type="dxa"/>
                  <w:vAlign w:val="center"/>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2.9</w:t>
                  </w:r>
                </w:p>
              </w:tc>
              <w:tc>
                <w:tcPr>
                  <w:tcW w:w="1890" w:type="dxa"/>
                  <w:shd w:val="clear" w:color="auto" w:fill="auto"/>
                  <w:noWrap/>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3.0</w:t>
                  </w:r>
                </w:p>
              </w:tc>
              <w:tc>
                <w:tcPr>
                  <w:tcW w:w="1160" w:type="dxa"/>
                  <w:shd w:val="clear" w:color="auto" w:fill="auto"/>
                  <w:vAlign w:val="center"/>
                  <w:hideMark/>
                </w:tcPr>
                <w:p w:rsidR="009F0A25" w:rsidRPr="005037D0" w:rsidRDefault="009F0A25" w:rsidP="007730AA">
                  <w:pPr>
                    <w:spacing w:before="0" w:line="276" w:lineRule="auto"/>
                    <w:ind w:firstLine="0"/>
                    <w:jc w:val="center"/>
                    <w:rPr>
                      <w:rFonts w:cs="Calibri"/>
                      <w:b w:val="0"/>
                      <w:color w:val="000000"/>
                      <w:sz w:val="18"/>
                      <w:szCs w:val="18"/>
                      <w:lang w:val="hy-AM"/>
                    </w:rPr>
                  </w:pPr>
                  <w:r w:rsidRPr="005037D0">
                    <w:rPr>
                      <w:rFonts w:cs="Calibri"/>
                      <w:b w:val="0"/>
                      <w:color w:val="000000"/>
                      <w:sz w:val="18"/>
                      <w:szCs w:val="18"/>
                      <w:lang w:val="hy-AM"/>
                    </w:rPr>
                    <w:t>-</w:t>
                  </w:r>
                </w:p>
              </w:tc>
            </w:tr>
          </w:tbl>
          <w:p w:rsidR="009F0A25" w:rsidRPr="005037D0" w:rsidRDefault="009F0A25" w:rsidP="007730AA">
            <w:pPr>
              <w:spacing w:before="0" w:after="0" w:line="276" w:lineRule="auto"/>
              <w:rPr>
                <w:rFonts w:eastAsia="Calibri"/>
                <w:b w:val="0"/>
                <w:sz w:val="18"/>
                <w:szCs w:val="18"/>
                <w:lang w:val="hy-AM"/>
              </w:rPr>
            </w:pPr>
            <w:r w:rsidRPr="005037D0">
              <w:rPr>
                <w:rFonts w:eastAsia="Calibri"/>
                <w:b w:val="0"/>
                <w:sz w:val="18"/>
                <w:szCs w:val="18"/>
                <w:lang w:val="hy-AM"/>
              </w:rPr>
              <w:t xml:space="preserve">* </w:t>
            </w:r>
            <w:r w:rsidRPr="005037D0">
              <w:rPr>
                <w:rFonts w:cs="Calibri"/>
                <w:b w:val="0"/>
                <w:i/>
                <w:iCs/>
                <w:color w:val="000000"/>
                <w:sz w:val="18"/>
                <w:szCs w:val="18"/>
                <w:lang w:val="hy-AM"/>
              </w:rPr>
              <w:t xml:space="preserve">2021-2023 ՄԺԾԾ և 2021 պետական բյուջեի համար 2019թ. ցուցանիշները փաստացի են </w:t>
            </w:r>
          </w:p>
          <w:p w:rsidR="009F0A25" w:rsidRPr="005037D0" w:rsidRDefault="009F0A25" w:rsidP="007730AA">
            <w:pPr>
              <w:spacing w:before="0" w:after="0"/>
              <w:rPr>
                <w:rFonts w:eastAsia="Calibri"/>
                <w:b w:val="0"/>
                <w:sz w:val="18"/>
                <w:szCs w:val="18"/>
                <w:lang w:val="hy-AM"/>
              </w:rPr>
            </w:pPr>
            <w:r w:rsidRPr="005037D0">
              <w:rPr>
                <w:rFonts w:eastAsia="Calibri"/>
                <w:b w:val="0"/>
                <w:sz w:val="18"/>
                <w:szCs w:val="18"/>
                <w:lang w:val="hy-AM"/>
              </w:rPr>
              <w:t>Աղբյուրը ՝ ՀՀ ՖՆ կանխատեսումներ</w:t>
            </w:r>
          </w:p>
          <w:p w:rsidR="009F0A25" w:rsidRPr="00553709" w:rsidRDefault="009F0A25" w:rsidP="007730AA">
            <w:pPr>
              <w:spacing w:before="0" w:after="0" w:line="276" w:lineRule="auto"/>
              <w:rPr>
                <w:rFonts w:eastAsia="Calibri" w:cs="Sylfaen"/>
                <w:b w:val="0"/>
                <w:bCs/>
                <w:i/>
                <w:iCs/>
                <w:color w:val="4F81BD"/>
                <w:lang w:val="hy-AM"/>
              </w:rPr>
            </w:pPr>
          </w:p>
          <w:p w:rsidR="009F0A25" w:rsidRPr="005037D0" w:rsidRDefault="009F0A25" w:rsidP="007730AA">
            <w:pPr>
              <w:keepNext/>
              <w:keepLines/>
              <w:spacing w:before="0" w:after="0" w:line="276" w:lineRule="auto"/>
              <w:rPr>
                <w:rFonts w:eastAsia="Calibri" w:cs="Sylfaen"/>
                <w:b w:val="0"/>
                <w:bCs/>
                <w:i/>
                <w:iCs/>
                <w:color w:val="000000"/>
                <w:sz w:val="20"/>
                <w:szCs w:val="20"/>
                <w:lang w:val="hy-AM"/>
              </w:rPr>
            </w:pPr>
            <w:r w:rsidRPr="00553709">
              <w:rPr>
                <w:rFonts w:eastAsia="Calibri" w:cs="Sylfaen"/>
                <w:bCs/>
                <w:i/>
                <w:iCs/>
                <w:color w:val="000000"/>
                <w:lang w:val="hy-AM"/>
              </w:rPr>
              <w:t>Աղյուսակ</w:t>
            </w:r>
            <w:r w:rsidRPr="00553709">
              <w:rPr>
                <w:rFonts w:eastAsia="Calibri"/>
                <w:bCs/>
                <w:i/>
                <w:iCs/>
                <w:color w:val="000000"/>
                <w:lang w:val="hy-AM"/>
              </w:rPr>
              <w:t xml:space="preserve"> 1.6.</w:t>
            </w:r>
            <w:r w:rsidRPr="00553709">
              <w:rPr>
                <w:rFonts w:eastAsia="Calibri"/>
                <w:bCs/>
                <w:i/>
                <w:iCs/>
                <w:color w:val="000000"/>
                <w:sz w:val="20"/>
                <w:szCs w:val="20"/>
                <w:lang w:val="hy-AM"/>
              </w:rPr>
              <w:t xml:space="preserve"> </w:t>
            </w:r>
            <w:r w:rsidRPr="005037D0">
              <w:rPr>
                <w:rFonts w:eastAsia="Calibri" w:cs="Sylfaen"/>
                <w:b w:val="0"/>
                <w:bCs/>
                <w:i/>
                <w:iCs/>
                <w:color w:val="000000"/>
                <w:sz w:val="20"/>
                <w:szCs w:val="20"/>
                <w:lang w:val="hy-AM"/>
              </w:rPr>
              <w:t>Ընթացիկ</w:t>
            </w:r>
            <w:r w:rsidRPr="005037D0">
              <w:rPr>
                <w:rFonts w:eastAsia="Calibri"/>
                <w:b w:val="0"/>
                <w:bCs/>
                <w:i/>
                <w:iCs/>
                <w:color w:val="000000"/>
                <w:sz w:val="20"/>
                <w:szCs w:val="20"/>
                <w:lang w:val="hy-AM"/>
              </w:rPr>
              <w:t xml:space="preserve"> </w:t>
            </w:r>
            <w:r w:rsidRPr="005037D0">
              <w:rPr>
                <w:rFonts w:eastAsia="Calibri" w:cs="Sylfaen"/>
                <w:b w:val="0"/>
                <w:bCs/>
                <w:i/>
                <w:iCs/>
                <w:color w:val="000000"/>
                <w:sz w:val="20"/>
                <w:szCs w:val="20"/>
                <w:lang w:val="hy-AM"/>
              </w:rPr>
              <w:t>հաշվի</w:t>
            </w:r>
            <w:r w:rsidRPr="005037D0">
              <w:rPr>
                <w:rFonts w:eastAsia="Calibri"/>
                <w:b w:val="0"/>
                <w:bCs/>
                <w:i/>
                <w:iCs/>
                <w:color w:val="000000"/>
                <w:sz w:val="20"/>
                <w:szCs w:val="20"/>
                <w:lang w:val="hy-AM"/>
              </w:rPr>
              <w:t xml:space="preserve"> </w:t>
            </w:r>
            <w:r w:rsidRPr="005037D0">
              <w:rPr>
                <w:rFonts w:eastAsia="Calibri" w:cs="Sylfaen"/>
                <w:b w:val="0"/>
                <w:bCs/>
                <w:i/>
                <w:iCs/>
                <w:color w:val="000000"/>
                <w:sz w:val="20"/>
                <w:szCs w:val="20"/>
                <w:lang w:val="hy-AM"/>
              </w:rPr>
              <w:t>կանխատեսումները</w:t>
            </w:r>
            <w:r w:rsidRPr="005037D0">
              <w:rPr>
                <w:rFonts w:eastAsia="Calibri"/>
                <w:b w:val="0"/>
                <w:bCs/>
                <w:i/>
                <w:iCs/>
                <w:color w:val="000000"/>
                <w:sz w:val="20"/>
                <w:szCs w:val="20"/>
                <w:lang w:val="hy-AM"/>
              </w:rPr>
              <w:t xml:space="preserve"> </w:t>
            </w:r>
            <w:r w:rsidRPr="005037D0">
              <w:rPr>
                <w:rFonts w:eastAsia="Calibri" w:cs="Sylfaen"/>
                <w:b w:val="0"/>
                <w:bCs/>
                <w:i/>
                <w:iCs/>
                <w:color w:val="000000"/>
                <w:sz w:val="20"/>
                <w:szCs w:val="20"/>
                <w:lang w:val="hy-AM"/>
              </w:rPr>
              <w:t>2021-2023 թթ. ՄԺԾԾ-ով և  2020թ. և 2021թ. պետական բյուջեներով</w:t>
            </w:r>
          </w:p>
          <w:tbl>
            <w:tblPr>
              <w:tblW w:w="9807" w:type="dxa"/>
              <w:tblInd w:w="39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2361"/>
              <w:gridCol w:w="1527"/>
              <w:gridCol w:w="1685"/>
              <w:gridCol w:w="1955"/>
            </w:tblGrid>
            <w:tr w:rsidR="009F0A25" w:rsidRPr="00553709" w:rsidTr="005037D0">
              <w:trPr>
                <w:trHeight w:val="384"/>
              </w:trPr>
              <w:tc>
                <w:tcPr>
                  <w:tcW w:w="2279" w:type="dxa"/>
                  <w:vMerge w:val="restart"/>
                  <w:shd w:val="clear" w:color="auto" w:fill="9CC2E5"/>
                  <w:noWrap/>
                  <w:vAlign w:val="center"/>
                  <w:hideMark/>
                </w:tcPr>
                <w:p w:rsidR="009F0A25" w:rsidRPr="00553709" w:rsidRDefault="009F0A25" w:rsidP="007730AA">
                  <w:pPr>
                    <w:spacing w:before="0"/>
                    <w:jc w:val="center"/>
                    <w:rPr>
                      <w:rFonts w:cs="Calibri"/>
                      <w:b w:val="0"/>
                      <w:bCs/>
                      <w:color w:val="000000"/>
                      <w:sz w:val="18"/>
                      <w:szCs w:val="18"/>
                    </w:rPr>
                  </w:pPr>
                  <w:r w:rsidRPr="00553709">
                    <w:rPr>
                      <w:rFonts w:cs="Calibri"/>
                      <w:bCs/>
                      <w:color w:val="000000"/>
                      <w:sz w:val="18"/>
                      <w:szCs w:val="18"/>
                      <w:lang w:val="hy-AM"/>
                    </w:rPr>
                    <w:t>Ցուցանիշներ</w:t>
                  </w:r>
                </w:p>
              </w:tc>
              <w:tc>
                <w:tcPr>
                  <w:tcW w:w="2441" w:type="dxa"/>
                  <w:vMerge w:val="restart"/>
                  <w:shd w:val="clear" w:color="auto" w:fill="9CC2E5"/>
                  <w:vAlign w:val="center"/>
                  <w:hideMark/>
                </w:tcPr>
                <w:p w:rsidR="009F0A25" w:rsidRPr="00553709" w:rsidRDefault="009F0A25" w:rsidP="007730AA">
                  <w:pPr>
                    <w:spacing w:before="0"/>
                    <w:ind w:firstLine="0"/>
                    <w:rPr>
                      <w:rFonts w:cs="Calibri"/>
                      <w:b w:val="0"/>
                      <w:bCs/>
                      <w:color w:val="000000"/>
                      <w:sz w:val="18"/>
                      <w:szCs w:val="18"/>
                    </w:rPr>
                  </w:pPr>
                  <w:r w:rsidRPr="00553709">
                    <w:rPr>
                      <w:rFonts w:cs="Calibri"/>
                      <w:bCs/>
                      <w:color w:val="000000"/>
                      <w:sz w:val="18"/>
                      <w:szCs w:val="18"/>
                      <w:lang w:val="hy-AM"/>
                    </w:rPr>
                    <w:t>Ծրագիր</w:t>
                  </w:r>
                </w:p>
              </w:tc>
              <w:tc>
                <w:tcPr>
                  <w:tcW w:w="1375" w:type="dxa"/>
                  <w:shd w:val="clear" w:color="auto" w:fill="9CC2E5"/>
                  <w:vAlign w:val="center"/>
                </w:tcPr>
                <w:p w:rsidR="009F0A25" w:rsidRPr="00553709" w:rsidRDefault="009F0A25" w:rsidP="007730AA">
                  <w:pPr>
                    <w:spacing w:before="0"/>
                    <w:ind w:firstLine="0"/>
                    <w:rPr>
                      <w:rFonts w:cs="Calibri"/>
                      <w:b w:val="0"/>
                      <w:bCs/>
                      <w:color w:val="000000"/>
                      <w:sz w:val="18"/>
                      <w:szCs w:val="18"/>
                    </w:rPr>
                  </w:pPr>
                  <w:r w:rsidRPr="00553709">
                    <w:rPr>
                      <w:rFonts w:cs="Calibri"/>
                      <w:bCs/>
                      <w:color w:val="000000"/>
                      <w:sz w:val="18"/>
                      <w:szCs w:val="18"/>
                      <w:lang w:val="hy-AM"/>
                    </w:rPr>
                    <w:t>20</w:t>
                  </w:r>
                  <w:r w:rsidRPr="00553709">
                    <w:rPr>
                      <w:rFonts w:cs="Calibri"/>
                      <w:bCs/>
                      <w:color w:val="000000"/>
                      <w:sz w:val="18"/>
                      <w:szCs w:val="18"/>
                    </w:rPr>
                    <w:t>19</w:t>
                  </w:r>
                </w:p>
              </w:tc>
              <w:tc>
                <w:tcPr>
                  <w:tcW w:w="1685" w:type="dxa"/>
                  <w:shd w:val="clear" w:color="auto" w:fill="9CC2E5"/>
                  <w:vAlign w:val="center"/>
                  <w:hideMark/>
                </w:tcPr>
                <w:p w:rsidR="009F0A25" w:rsidRPr="00553709" w:rsidRDefault="009F0A25" w:rsidP="007730AA">
                  <w:pPr>
                    <w:spacing w:before="0"/>
                    <w:ind w:firstLine="0"/>
                    <w:rPr>
                      <w:rFonts w:cs="Calibri"/>
                      <w:b w:val="0"/>
                      <w:bCs/>
                      <w:color w:val="000000"/>
                      <w:sz w:val="18"/>
                      <w:szCs w:val="18"/>
                    </w:rPr>
                  </w:pPr>
                  <w:r w:rsidRPr="00553709">
                    <w:rPr>
                      <w:rFonts w:cs="Calibri"/>
                      <w:bCs/>
                      <w:color w:val="000000"/>
                      <w:sz w:val="18"/>
                      <w:szCs w:val="18"/>
                      <w:lang w:val="hy-AM"/>
                    </w:rPr>
                    <w:t>2020</w:t>
                  </w:r>
                </w:p>
              </w:tc>
              <w:tc>
                <w:tcPr>
                  <w:tcW w:w="2027" w:type="dxa"/>
                  <w:shd w:val="clear" w:color="auto" w:fill="9CC2E5"/>
                  <w:vAlign w:val="center"/>
                  <w:hideMark/>
                </w:tcPr>
                <w:p w:rsidR="009F0A25" w:rsidRPr="00553709" w:rsidRDefault="009F0A25" w:rsidP="007730AA">
                  <w:pPr>
                    <w:spacing w:before="0"/>
                    <w:ind w:firstLine="0"/>
                    <w:rPr>
                      <w:rFonts w:cs="Calibri"/>
                      <w:b w:val="0"/>
                      <w:bCs/>
                      <w:color w:val="000000"/>
                      <w:sz w:val="18"/>
                      <w:szCs w:val="18"/>
                    </w:rPr>
                  </w:pPr>
                  <w:r w:rsidRPr="00553709">
                    <w:rPr>
                      <w:rFonts w:cs="Calibri"/>
                      <w:bCs/>
                      <w:color w:val="000000"/>
                      <w:sz w:val="18"/>
                      <w:szCs w:val="18"/>
                      <w:lang w:val="hy-AM"/>
                    </w:rPr>
                    <w:t>2021</w:t>
                  </w:r>
                </w:p>
              </w:tc>
            </w:tr>
            <w:tr w:rsidR="009F0A25" w:rsidRPr="00553709" w:rsidTr="005037D0">
              <w:trPr>
                <w:trHeight w:val="384"/>
              </w:trPr>
              <w:tc>
                <w:tcPr>
                  <w:tcW w:w="2279" w:type="dxa"/>
                  <w:vMerge/>
                  <w:shd w:val="clear" w:color="auto" w:fill="9CC2E5"/>
                  <w:vAlign w:val="center"/>
                  <w:hideMark/>
                </w:tcPr>
                <w:p w:rsidR="009F0A25" w:rsidRPr="00553709" w:rsidRDefault="009F0A25" w:rsidP="007730AA">
                  <w:pPr>
                    <w:spacing w:before="0"/>
                    <w:rPr>
                      <w:rFonts w:cs="Calibri"/>
                      <w:b w:val="0"/>
                      <w:bCs/>
                      <w:color w:val="000000"/>
                      <w:sz w:val="18"/>
                      <w:szCs w:val="18"/>
                    </w:rPr>
                  </w:pPr>
                </w:p>
              </w:tc>
              <w:tc>
                <w:tcPr>
                  <w:tcW w:w="2441" w:type="dxa"/>
                  <w:vMerge/>
                  <w:shd w:val="clear" w:color="auto" w:fill="9CC2E5"/>
                  <w:vAlign w:val="center"/>
                  <w:hideMark/>
                </w:tcPr>
                <w:p w:rsidR="009F0A25" w:rsidRPr="00553709" w:rsidRDefault="009F0A25" w:rsidP="007730AA">
                  <w:pPr>
                    <w:spacing w:before="0"/>
                    <w:rPr>
                      <w:rFonts w:cs="Calibri"/>
                      <w:b w:val="0"/>
                      <w:bCs/>
                      <w:color w:val="000000"/>
                      <w:sz w:val="18"/>
                      <w:szCs w:val="18"/>
                    </w:rPr>
                  </w:pPr>
                </w:p>
              </w:tc>
              <w:tc>
                <w:tcPr>
                  <w:tcW w:w="1375" w:type="dxa"/>
                  <w:shd w:val="clear" w:color="auto" w:fill="9CC2E5"/>
                  <w:vAlign w:val="center"/>
                </w:tcPr>
                <w:p w:rsidR="009F0A25" w:rsidRPr="00553709" w:rsidRDefault="009F0A25" w:rsidP="007730AA">
                  <w:pPr>
                    <w:spacing w:before="0"/>
                    <w:ind w:firstLine="0"/>
                    <w:rPr>
                      <w:rFonts w:cs="Calibri"/>
                      <w:i/>
                      <w:iCs/>
                      <w:color w:val="000000"/>
                      <w:sz w:val="18"/>
                      <w:szCs w:val="18"/>
                      <w:lang w:val="hy-AM"/>
                    </w:rPr>
                  </w:pPr>
                  <w:r w:rsidRPr="00553709">
                    <w:rPr>
                      <w:rFonts w:cs="Calibri"/>
                      <w:i/>
                      <w:iCs/>
                      <w:color w:val="000000"/>
                      <w:sz w:val="18"/>
                      <w:szCs w:val="18"/>
                      <w:lang w:val="hy-AM"/>
                    </w:rPr>
                    <w:t>փաստ</w:t>
                  </w:r>
                  <w:r w:rsidRPr="00553709">
                    <w:rPr>
                      <w:rFonts w:cs="Calibri"/>
                      <w:i/>
                      <w:iCs/>
                      <w:color w:val="000000"/>
                      <w:sz w:val="18"/>
                      <w:szCs w:val="18"/>
                    </w:rPr>
                    <w:t>*</w:t>
                  </w:r>
                  <w:r w:rsidRPr="00553709">
                    <w:rPr>
                      <w:rFonts w:cs="Calibri"/>
                      <w:i/>
                      <w:iCs/>
                      <w:color w:val="000000"/>
                      <w:sz w:val="18"/>
                      <w:szCs w:val="18"/>
                      <w:lang w:val="hy-AM"/>
                    </w:rPr>
                    <w:t>/կանխ.</w:t>
                  </w:r>
                </w:p>
              </w:tc>
              <w:tc>
                <w:tcPr>
                  <w:tcW w:w="1685" w:type="dxa"/>
                  <w:shd w:val="clear" w:color="auto" w:fill="9CC2E5"/>
                  <w:vAlign w:val="center"/>
                  <w:hideMark/>
                </w:tcPr>
                <w:p w:rsidR="009F0A25" w:rsidRPr="00553709" w:rsidRDefault="009F0A25" w:rsidP="007730AA">
                  <w:pPr>
                    <w:spacing w:before="0"/>
                    <w:ind w:firstLine="0"/>
                    <w:rPr>
                      <w:rFonts w:cs="Calibri"/>
                      <w:i/>
                      <w:iCs/>
                      <w:color w:val="000000"/>
                      <w:sz w:val="18"/>
                      <w:szCs w:val="18"/>
                    </w:rPr>
                  </w:pPr>
                  <w:r w:rsidRPr="00553709">
                    <w:rPr>
                      <w:rFonts w:cs="Calibri"/>
                      <w:i/>
                      <w:iCs/>
                      <w:color w:val="000000"/>
                      <w:sz w:val="18"/>
                      <w:szCs w:val="18"/>
                      <w:lang w:val="hy-AM"/>
                    </w:rPr>
                    <w:t>կանխ.</w:t>
                  </w:r>
                </w:p>
              </w:tc>
              <w:tc>
                <w:tcPr>
                  <w:tcW w:w="2027" w:type="dxa"/>
                  <w:shd w:val="clear" w:color="auto" w:fill="9CC2E5"/>
                  <w:vAlign w:val="center"/>
                  <w:hideMark/>
                </w:tcPr>
                <w:p w:rsidR="009F0A25" w:rsidRPr="00553709" w:rsidRDefault="009F0A25" w:rsidP="007730AA">
                  <w:pPr>
                    <w:spacing w:before="0"/>
                    <w:ind w:firstLine="0"/>
                    <w:rPr>
                      <w:rFonts w:cs="Calibri"/>
                      <w:i/>
                      <w:iCs/>
                      <w:color w:val="000000"/>
                      <w:sz w:val="18"/>
                      <w:szCs w:val="18"/>
                    </w:rPr>
                  </w:pPr>
                  <w:r w:rsidRPr="00553709">
                    <w:rPr>
                      <w:rFonts w:cs="Calibri"/>
                      <w:i/>
                      <w:iCs/>
                      <w:color w:val="000000"/>
                      <w:sz w:val="18"/>
                      <w:szCs w:val="18"/>
                      <w:lang w:val="hy-AM"/>
                    </w:rPr>
                    <w:t>կանխ.</w:t>
                  </w:r>
                </w:p>
              </w:tc>
            </w:tr>
            <w:tr w:rsidR="009F0A25" w:rsidRPr="00553709" w:rsidTr="005037D0">
              <w:trPr>
                <w:trHeight w:val="384"/>
              </w:trPr>
              <w:tc>
                <w:tcPr>
                  <w:tcW w:w="2279" w:type="dxa"/>
                  <w:vMerge w:val="restart"/>
                  <w:shd w:val="clear" w:color="auto" w:fill="auto"/>
                  <w:vAlign w:val="center"/>
                  <w:hideMark/>
                </w:tcPr>
                <w:p w:rsidR="009F0A25" w:rsidRPr="006A5644" w:rsidRDefault="009F0A25" w:rsidP="007730AA">
                  <w:pPr>
                    <w:spacing w:before="0"/>
                    <w:ind w:firstLine="0"/>
                    <w:rPr>
                      <w:rFonts w:cs="Calibri"/>
                      <w:b w:val="0"/>
                      <w:bCs/>
                      <w:color w:val="000000"/>
                      <w:sz w:val="18"/>
                      <w:szCs w:val="18"/>
                    </w:rPr>
                  </w:pPr>
                  <w:r w:rsidRPr="00553709">
                    <w:rPr>
                      <w:rFonts w:cs="Calibri"/>
                      <w:bCs/>
                      <w:color w:val="000000"/>
                      <w:sz w:val="18"/>
                      <w:szCs w:val="18"/>
                    </w:rPr>
                    <w:t>Ընթացիկ</w:t>
                  </w:r>
                  <w:r w:rsidRPr="006A5644">
                    <w:rPr>
                      <w:rFonts w:cs="Calibri"/>
                      <w:bCs/>
                      <w:color w:val="000000"/>
                      <w:sz w:val="18"/>
                      <w:szCs w:val="18"/>
                    </w:rPr>
                    <w:t xml:space="preserve"> </w:t>
                  </w:r>
                  <w:r w:rsidRPr="00553709">
                    <w:rPr>
                      <w:rFonts w:cs="Calibri"/>
                      <w:bCs/>
                      <w:color w:val="000000"/>
                      <w:sz w:val="18"/>
                      <w:szCs w:val="18"/>
                    </w:rPr>
                    <w:t>հաշիվ</w:t>
                  </w:r>
                  <w:r w:rsidRPr="006A5644">
                    <w:rPr>
                      <w:rFonts w:cs="Calibri"/>
                      <w:bCs/>
                      <w:color w:val="000000"/>
                      <w:sz w:val="18"/>
                      <w:szCs w:val="18"/>
                    </w:rPr>
                    <w:t xml:space="preserve">, </w:t>
                  </w:r>
                  <w:r w:rsidRPr="00553709">
                    <w:rPr>
                      <w:rFonts w:cs="Calibri"/>
                      <w:bCs/>
                      <w:color w:val="000000"/>
                      <w:sz w:val="18"/>
                      <w:szCs w:val="18"/>
                    </w:rPr>
                    <w:t>մլն</w:t>
                  </w:r>
                  <w:r w:rsidRPr="006A5644">
                    <w:rPr>
                      <w:rFonts w:cs="Calibri"/>
                      <w:bCs/>
                      <w:color w:val="000000"/>
                      <w:sz w:val="18"/>
                      <w:szCs w:val="18"/>
                    </w:rPr>
                    <w:t xml:space="preserve"> </w:t>
                  </w:r>
                  <w:r w:rsidRPr="00553709">
                    <w:rPr>
                      <w:rFonts w:cs="Calibri"/>
                      <w:bCs/>
                      <w:color w:val="000000"/>
                      <w:sz w:val="18"/>
                      <w:szCs w:val="18"/>
                    </w:rPr>
                    <w:t>ԱՄՆ</w:t>
                  </w:r>
                  <w:r w:rsidRPr="006A5644">
                    <w:rPr>
                      <w:rFonts w:cs="Calibri"/>
                      <w:bCs/>
                      <w:color w:val="000000"/>
                      <w:sz w:val="18"/>
                      <w:szCs w:val="18"/>
                    </w:rPr>
                    <w:t xml:space="preserve"> </w:t>
                  </w:r>
                  <w:r w:rsidRPr="00553709">
                    <w:rPr>
                      <w:rFonts w:cs="Calibri"/>
                      <w:bCs/>
                      <w:color w:val="000000"/>
                      <w:sz w:val="18"/>
                      <w:szCs w:val="18"/>
                    </w:rPr>
                    <w:t>դոլար</w:t>
                  </w:r>
                </w:p>
              </w:tc>
              <w:tc>
                <w:tcPr>
                  <w:tcW w:w="2441" w:type="dxa"/>
                  <w:shd w:val="clear" w:color="auto" w:fill="auto"/>
                  <w:vAlign w:val="center"/>
                </w:tcPr>
                <w:p w:rsidR="009F0A25" w:rsidRPr="005037D0" w:rsidRDefault="009F0A25" w:rsidP="007730AA">
                  <w:pPr>
                    <w:spacing w:before="0"/>
                    <w:ind w:firstLine="0"/>
                    <w:jc w:val="left"/>
                    <w:rPr>
                      <w:rFonts w:cs="Calibri"/>
                      <w:b w:val="0"/>
                      <w:i/>
                      <w:iCs/>
                      <w:color w:val="000000"/>
                      <w:sz w:val="18"/>
                      <w:szCs w:val="18"/>
                    </w:rPr>
                  </w:pPr>
                  <w:r w:rsidRPr="005037D0">
                    <w:rPr>
                      <w:rFonts w:cs="Calibri"/>
                      <w:b w:val="0"/>
                      <w:i/>
                      <w:iCs/>
                      <w:color w:val="000000"/>
                      <w:sz w:val="18"/>
                      <w:szCs w:val="18"/>
                    </w:rPr>
                    <w:t xml:space="preserve">2021 </w:t>
                  </w:r>
                  <w:r w:rsidRPr="005037D0">
                    <w:rPr>
                      <w:rFonts w:cs="Calibri"/>
                      <w:b w:val="0"/>
                      <w:i/>
                      <w:iCs/>
                      <w:color w:val="000000"/>
                      <w:sz w:val="18"/>
                      <w:szCs w:val="18"/>
                      <w:lang w:val="hy-AM"/>
                    </w:rPr>
                    <w:t>Պետական բյուջե</w:t>
                  </w:r>
                </w:p>
              </w:tc>
              <w:tc>
                <w:tcPr>
                  <w:tcW w:w="1375" w:type="dxa"/>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lang w:val="hy-AM"/>
                    </w:rPr>
                    <w:t>-987.5</w:t>
                  </w:r>
                </w:p>
              </w:tc>
              <w:tc>
                <w:tcPr>
                  <w:tcW w:w="1685" w:type="dxa"/>
                  <w:shd w:val="clear" w:color="auto" w:fill="auto"/>
                  <w:noWrap/>
                </w:tcPr>
                <w:p w:rsidR="009F0A25" w:rsidRPr="005037D0" w:rsidRDefault="009F0A25" w:rsidP="007730AA">
                  <w:pPr>
                    <w:spacing w:before="0"/>
                    <w:ind w:firstLine="0"/>
                    <w:jc w:val="center"/>
                    <w:rPr>
                      <w:rFonts w:cs="Calibri"/>
                      <w:b w:val="0"/>
                      <w:color w:val="000000"/>
                      <w:sz w:val="18"/>
                      <w:szCs w:val="18"/>
                      <w:lang w:val="hy-AM"/>
                    </w:rPr>
                  </w:pPr>
                  <w:r w:rsidRPr="005037D0">
                    <w:rPr>
                      <w:rFonts w:cs="Calibri"/>
                      <w:b w:val="0"/>
                      <w:color w:val="000000"/>
                      <w:sz w:val="18"/>
                      <w:szCs w:val="18"/>
                      <w:lang w:val="hy-AM"/>
                    </w:rPr>
                    <w:t>-731.7</w:t>
                  </w:r>
                </w:p>
              </w:tc>
              <w:tc>
                <w:tcPr>
                  <w:tcW w:w="2027" w:type="dxa"/>
                  <w:shd w:val="clear" w:color="auto" w:fill="auto"/>
                </w:tcPr>
                <w:p w:rsidR="009F0A25" w:rsidRPr="005037D0" w:rsidRDefault="009F0A25" w:rsidP="007730AA">
                  <w:pPr>
                    <w:spacing w:before="0"/>
                    <w:ind w:firstLine="0"/>
                    <w:jc w:val="center"/>
                    <w:rPr>
                      <w:rFonts w:cs="Calibri"/>
                      <w:b w:val="0"/>
                      <w:color w:val="000000"/>
                      <w:sz w:val="18"/>
                      <w:szCs w:val="18"/>
                      <w:lang w:val="hy-AM"/>
                    </w:rPr>
                  </w:pPr>
                  <w:r w:rsidRPr="005037D0">
                    <w:rPr>
                      <w:rFonts w:cs="Calibri"/>
                      <w:b w:val="0"/>
                      <w:color w:val="000000"/>
                      <w:sz w:val="18"/>
                      <w:szCs w:val="18"/>
                      <w:lang w:val="hy-AM"/>
                    </w:rPr>
                    <w:t>-7</w:t>
                  </w:r>
                  <w:r w:rsidRPr="005037D0">
                    <w:rPr>
                      <w:rFonts w:cs="Calibri"/>
                      <w:b w:val="0"/>
                      <w:color w:val="000000"/>
                      <w:sz w:val="18"/>
                      <w:szCs w:val="18"/>
                    </w:rPr>
                    <w:t>72.3</w:t>
                  </w:r>
                </w:p>
              </w:tc>
            </w:tr>
            <w:tr w:rsidR="009F0A25" w:rsidRPr="00553709" w:rsidTr="005037D0">
              <w:trPr>
                <w:trHeight w:val="384"/>
              </w:trPr>
              <w:tc>
                <w:tcPr>
                  <w:tcW w:w="2279" w:type="dxa"/>
                  <w:vMerge/>
                  <w:vAlign w:val="center"/>
                  <w:hideMark/>
                </w:tcPr>
                <w:p w:rsidR="009F0A25" w:rsidRPr="00553709" w:rsidRDefault="009F0A25" w:rsidP="007730AA">
                  <w:pPr>
                    <w:spacing w:before="0"/>
                    <w:rPr>
                      <w:rFonts w:cs="Calibri"/>
                      <w:b w:val="0"/>
                      <w:bCs/>
                      <w:color w:val="000000"/>
                      <w:sz w:val="18"/>
                      <w:szCs w:val="18"/>
                    </w:rPr>
                  </w:pPr>
                </w:p>
              </w:tc>
              <w:tc>
                <w:tcPr>
                  <w:tcW w:w="2441" w:type="dxa"/>
                  <w:shd w:val="clear" w:color="auto" w:fill="auto"/>
                  <w:vAlign w:val="center"/>
                  <w:hideMark/>
                </w:tcPr>
                <w:p w:rsidR="009F0A25" w:rsidRPr="005037D0" w:rsidRDefault="009F0A25" w:rsidP="007730AA">
                  <w:pPr>
                    <w:spacing w:before="0"/>
                    <w:ind w:firstLine="0"/>
                    <w:jc w:val="left"/>
                    <w:rPr>
                      <w:rFonts w:cs="Calibri"/>
                      <w:b w:val="0"/>
                      <w:i/>
                      <w:iCs/>
                      <w:color w:val="000000"/>
                      <w:sz w:val="18"/>
                      <w:szCs w:val="18"/>
                    </w:rPr>
                  </w:pPr>
                  <w:r w:rsidRPr="005037D0">
                    <w:rPr>
                      <w:rFonts w:cs="Calibri"/>
                      <w:b w:val="0"/>
                      <w:i/>
                      <w:iCs/>
                      <w:color w:val="000000"/>
                      <w:sz w:val="18"/>
                      <w:szCs w:val="18"/>
                    </w:rPr>
                    <w:t>2021-2023 ՄԺԾԾ</w:t>
                  </w:r>
                </w:p>
              </w:tc>
              <w:tc>
                <w:tcPr>
                  <w:tcW w:w="1375" w:type="dxa"/>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-987.5</w:t>
                  </w:r>
                </w:p>
              </w:tc>
              <w:tc>
                <w:tcPr>
                  <w:tcW w:w="1685" w:type="dxa"/>
                  <w:shd w:val="clear" w:color="auto" w:fill="auto"/>
                  <w:noWrap/>
                  <w:hideMark/>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-1,247.3</w:t>
                  </w:r>
                </w:p>
              </w:tc>
              <w:tc>
                <w:tcPr>
                  <w:tcW w:w="2027" w:type="dxa"/>
                  <w:shd w:val="clear" w:color="auto" w:fill="auto"/>
                  <w:hideMark/>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-1,020.0</w:t>
                  </w:r>
                </w:p>
              </w:tc>
            </w:tr>
            <w:tr w:rsidR="009F0A25" w:rsidRPr="00553709" w:rsidTr="005037D0">
              <w:trPr>
                <w:trHeight w:val="384"/>
              </w:trPr>
              <w:tc>
                <w:tcPr>
                  <w:tcW w:w="2279" w:type="dxa"/>
                  <w:vMerge/>
                  <w:vAlign w:val="center"/>
                  <w:hideMark/>
                </w:tcPr>
                <w:p w:rsidR="009F0A25" w:rsidRPr="00553709" w:rsidRDefault="009F0A25" w:rsidP="007730AA">
                  <w:pPr>
                    <w:spacing w:before="0"/>
                    <w:rPr>
                      <w:rFonts w:cs="Calibri"/>
                      <w:b w:val="0"/>
                      <w:bCs/>
                      <w:color w:val="000000"/>
                      <w:sz w:val="18"/>
                      <w:szCs w:val="18"/>
                    </w:rPr>
                  </w:pPr>
                </w:p>
              </w:tc>
              <w:tc>
                <w:tcPr>
                  <w:tcW w:w="2441" w:type="dxa"/>
                  <w:shd w:val="clear" w:color="auto" w:fill="auto"/>
                  <w:vAlign w:val="center"/>
                </w:tcPr>
                <w:p w:rsidR="009F0A25" w:rsidRPr="005037D0" w:rsidRDefault="009F0A25" w:rsidP="007730AA">
                  <w:pPr>
                    <w:spacing w:before="0"/>
                    <w:ind w:firstLine="0"/>
                    <w:jc w:val="left"/>
                    <w:rPr>
                      <w:rFonts w:cs="Calibri"/>
                      <w:b w:val="0"/>
                      <w:i/>
                      <w:iCs/>
                      <w:color w:val="000000"/>
                      <w:sz w:val="18"/>
                      <w:szCs w:val="18"/>
                    </w:rPr>
                  </w:pPr>
                  <w:r w:rsidRPr="005037D0">
                    <w:rPr>
                      <w:rFonts w:cs="Calibri"/>
                      <w:b w:val="0"/>
                      <w:i/>
                      <w:iCs/>
                      <w:color w:val="000000"/>
                      <w:sz w:val="18"/>
                      <w:szCs w:val="18"/>
                    </w:rPr>
                    <w:t>2020 Պետական բյուջե</w:t>
                  </w:r>
                </w:p>
              </w:tc>
              <w:tc>
                <w:tcPr>
                  <w:tcW w:w="1375" w:type="dxa"/>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-943.9</w:t>
                  </w:r>
                </w:p>
              </w:tc>
              <w:tc>
                <w:tcPr>
                  <w:tcW w:w="1685" w:type="dxa"/>
                  <w:shd w:val="clear" w:color="auto" w:fill="auto"/>
                  <w:noWrap/>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-862.5</w:t>
                  </w:r>
                </w:p>
              </w:tc>
              <w:tc>
                <w:tcPr>
                  <w:tcW w:w="2027" w:type="dxa"/>
                  <w:shd w:val="clear" w:color="auto" w:fill="auto"/>
                  <w:vAlign w:val="center"/>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w:t>
                  </w:r>
                </w:p>
              </w:tc>
            </w:tr>
            <w:tr w:rsidR="009F0A25" w:rsidRPr="00553709" w:rsidTr="005037D0">
              <w:trPr>
                <w:trHeight w:val="384"/>
              </w:trPr>
              <w:tc>
                <w:tcPr>
                  <w:tcW w:w="2279" w:type="dxa"/>
                  <w:vMerge w:val="restart"/>
                  <w:shd w:val="clear" w:color="auto" w:fill="auto"/>
                  <w:vAlign w:val="center"/>
                  <w:hideMark/>
                </w:tcPr>
                <w:p w:rsidR="009F0A25" w:rsidRPr="006A5644" w:rsidRDefault="009F0A25" w:rsidP="007730AA">
                  <w:pPr>
                    <w:spacing w:before="0"/>
                    <w:ind w:firstLine="0"/>
                    <w:rPr>
                      <w:rFonts w:cs="Calibri"/>
                      <w:b w:val="0"/>
                      <w:bCs/>
                      <w:color w:val="000000"/>
                      <w:sz w:val="18"/>
                      <w:szCs w:val="18"/>
                    </w:rPr>
                  </w:pPr>
                  <w:r w:rsidRPr="00553709">
                    <w:rPr>
                      <w:rFonts w:cs="Calibri"/>
                      <w:bCs/>
                      <w:color w:val="000000"/>
                      <w:sz w:val="18"/>
                      <w:szCs w:val="18"/>
                    </w:rPr>
                    <w:t>Ընթացիկ</w:t>
                  </w:r>
                  <w:r w:rsidRPr="006A5644">
                    <w:rPr>
                      <w:rFonts w:cs="Calibri"/>
                      <w:bCs/>
                      <w:color w:val="000000"/>
                      <w:sz w:val="18"/>
                      <w:szCs w:val="18"/>
                    </w:rPr>
                    <w:t xml:space="preserve"> </w:t>
                  </w:r>
                  <w:r w:rsidRPr="00553709">
                    <w:rPr>
                      <w:rFonts w:cs="Calibri"/>
                      <w:bCs/>
                      <w:color w:val="000000"/>
                      <w:sz w:val="18"/>
                      <w:szCs w:val="18"/>
                    </w:rPr>
                    <w:t>հաշիվ</w:t>
                  </w:r>
                  <w:r w:rsidRPr="006A5644">
                    <w:rPr>
                      <w:rFonts w:cs="Calibri"/>
                      <w:bCs/>
                      <w:color w:val="000000"/>
                      <w:sz w:val="18"/>
                      <w:szCs w:val="18"/>
                    </w:rPr>
                    <w:t>, %-</w:t>
                  </w:r>
                  <w:r w:rsidRPr="00553709">
                    <w:rPr>
                      <w:rFonts w:cs="Calibri"/>
                      <w:bCs/>
                      <w:color w:val="000000"/>
                      <w:sz w:val="18"/>
                      <w:szCs w:val="18"/>
                    </w:rPr>
                    <w:t>ով՝</w:t>
                  </w:r>
                  <w:r w:rsidRPr="006A5644">
                    <w:rPr>
                      <w:rFonts w:cs="Calibri"/>
                      <w:bCs/>
                      <w:color w:val="000000"/>
                      <w:sz w:val="18"/>
                      <w:szCs w:val="18"/>
                    </w:rPr>
                    <w:t xml:space="preserve"> </w:t>
                  </w:r>
                  <w:r w:rsidRPr="00553709">
                    <w:rPr>
                      <w:rFonts w:cs="Calibri"/>
                      <w:bCs/>
                      <w:color w:val="000000"/>
                      <w:sz w:val="18"/>
                      <w:szCs w:val="18"/>
                    </w:rPr>
                    <w:t>ՀՆԱ</w:t>
                  </w:r>
                  <w:r w:rsidRPr="006A5644">
                    <w:rPr>
                      <w:rFonts w:cs="Calibri"/>
                      <w:bCs/>
                      <w:color w:val="000000"/>
                      <w:sz w:val="18"/>
                      <w:szCs w:val="18"/>
                    </w:rPr>
                    <w:t>-</w:t>
                  </w:r>
                  <w:r w:rsidRPr="00553709">
                    <w:rPr>
                      <w:rFonts w:cs="Calibri"/>
                      <w:bCs/>
                      <w:color w:val="000000"/>
                      <w:sz w:val="18"/>
                      <w:szCs w:val="18"/>
                    </w:rPr>
                    <w:t>ի</w:t>
                  </w:r>
                  <w:r w:rsidRPr="006A5644">
                    <w:rPr>
                      <w:rFonts w:cs="Calibri"/>
                      <w:bCs/>
                      <w:color w:val="000000"/>
                      <w:sz w:val="18"/>
                      <w:szCs w:val="18"/>
                    </w:rPr>
                    <w:t xml:space="preserve"> </w:t>
                  </w:r>
                  <w:r w:rsidRPr="00553709">
                    <w:rPr>
                      <w:rFonts w:cs="Calibri"/>
                      <w:bCs/>
                      <w:color w:val="000000"/>
                      <w:sz w:val="18"/>
                      <w:szCs w:val="18"/>
                    </w:rPr>
                    <w:t>նկատմամբ</w:t>
                  </w:r>
                </w:p>
              </w:tc>
              <w:tc>
                <w:tcPr>
                  <w:tcW w:w="2441" w:type="dxa"/>
                  <w:shd w:val="clear" w:color="auto" w:fill="auto"/>
                  <w:vAlign w:val="center"/>
                </w:tcPr>
                <w:p w:rsidR="009F0A25" w:rsidRPr="005037D0" w:rsidRDefault="009F0A25" w:rsidP="007730AA">
                  <w:pPr>
                    <w:spacing w:before="0"/>
                    <w:ind w:firstLine="0"/>
                    <w:jc w:val="left"/>
                    <w:rPr>
                      <w:rFonts w:cs="Calibri"/>
                      <w:b w:val="0"/>
                      <w:i/>
                      <w:iCs/>
                      <w:color w:val="000000"/>
                      <w:sz w:val="18"/>
                      <w:szCs w:val="18"/>
                    </w:rPr>
                  </w:pPr>
                  <w:r w:rsidRPr="005037D0">
                    <w:rPr>
                      <w:rFonts w:cs="Calibri"/>
                      <w:b w:val="0"/>
                      <w:i/>
                      <w:iCs/>
                      <w:color w:val="000000"/>
                      <w:sz w:val="18"/>
                      <w:szCs w:val="18"/>
                      <w:lang w:val="hy-AM"/>
                    </w:rPr>
                    <w:t>2021 պետկան բյուջե</w:t>
                  </w:r>
                </w:p>
              </w:tc>
              <w:tc>
                <w:tcPr>
                  <w:tcW w:w="1375" w:type="dxa"/>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lang w:val="hy-AM"/>
                    </w:rPr>
                    <w:t>-7.2</w:t>
                  </w:r>
                </w:p>
              </w:tc>
              <w:tc>
                <w:tcPr>
                  <w:tcW w:w="1685" w:type="dxa"/>
                  <w:shd w:val="clear" w:color="auto" w:fill="auto"/>
                  <w:noWrap/>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lang w:val="hy-AM"/>
                    </w:rPr>
                    <w:t>-5.</w:t>
                  </w:r>
                  <w:r w:rsidRPr="005037D0">
                    <w:rPr>
                      <w:rFonts w:cs="Calibri"/>
                      <w:b w:val="0"/>
                      <w:color w:val="000000"/>
                      <w:sz w:val="18"/>
                      <w:szCs w:val="18"/>
                    </w:rPr>
                    <w:t>9</w:t>
                  </w:r>
                </w:p>
              </w:tc>
              <w:tc>
                <w:tcPr>
                  <w:tcW w:w="2027" w:type="dxa"/>
                  <w:shd w:val="clear" w:color="auto" w:fill="auto"/>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-6.1</w:t>
                  </w:r>
                </w:p>
              </w:tc>
            </w:tr>
            <w:tr w:rsidR="009F0A25" w:rsidRPr="00553709" w:rsidTr="005037D0">
              <w:trPr>
                <w:trHeight w:val="384"/>
              </w:trPr>
              <w:tc>
                <w:tcPr>
                  <w:tcW w:w="2279" w:type="dxa"/>
                  <w:vMerge/>
                  <w:vAlign w:val="center"/>
                  <w:hideMark/>
                </w:tcPr>
                <w:p w:rsidR="009F0A25" w:rsidRPr="006A5644" w:rsidRDefault="009F0A25" w:rsidP="007730AA">
                  <w:pPr>
                    <w:spacing w:before="0"/>
                    <w:rPr>
                      <w:rFonts w:cs="Calibri"/>
                      <w:b w:val="0"/>
                      <w:bCs/>
                      <w:color w:val="000000"/>
                      <w:sz w:val="18"/>
                      <w:szCs w:val="18"/>
                    </w:rPr>
                  </w:pPr>
                </w:p>
              </w:tc>
              <w:tc>
                <w:tcPr>
                  <w:tcW w:w="2441" w:type="dxa"/>
                  <w:shd w:val="clear" w:color="auto" w:fill="auto"/>
                  <w:vAlign w:val="center"/>
                  <w:hideMark/>
                </w:tcPr>
                <w:p w:rsidR="009F0A25" w:rsidRPr="005037D0" w:rsidRDefault="009F0A25" w:rsidP="007730AA">
                  <w:pPr>
                    <w:spacing w:before="0"/>
                    <w:ind w:firstLine="0"/>
                    <w:jc w:val="left"/>
                    <w:rPr>
                      <w:rFonts w:cs="Calibri"/>
                      <w:b w:val="0"/>
                      <w:i/>
                      <w:iCs/>
                      <w:color w:val="000000"/>
                      <w:sz w:val="18"/>
                      <w:szCs w:val="18"/>
                    </w:rPr>
                  </w:pPr>
                  <w:r w:rsidRPr="005037D0">
                    <w:rPr>
                      <w:rFonts w:cs="Calibri"/>
                      <w:b w:val="0"/>
                      <w:i/>
                      <w:iCs/>
                      <w:color w:val="000000"/>
                      <w:sz w:val="18"/>
                      <w:szCs w:val="18"/>
                    </w:rPr>
                    <w:t>2021-2023 ՄԺԾԾ</w:t>
                  </w:r>
                </w:p>
              </w:tc>
              <w:tc>
                <w:tcPr>
                  <w:tcW w:w="1375" w:type="dxa"/>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-7.2</w:t>
                  </w:r>
                </w:p>
              </w:tc>
              <w:tc>
                <w:tcPr>
                  <w:tcW w:w="1685" w:type="dxa"/>
                  <w:shd w:val="clear" w:color="auto" w:fill="auto"/>
                  <w:noWrap/>
                  <w:hideMark/>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-9.7</w:t>
                  </w:r>
                </w:p>
              </w:tc>
              <w:tc>
                <w:tcPr>
                  <w:tcW w:w="2027" w:type="dxa"/>
                  <w:shd w:val="clear" w:color="auto" w:fill="auto"/>
                  <w:hideMark/>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-7.3</w:t>
                  </w:r>
                </w:p>
              </w:tc>
            </w:tr>
            <w:tr w:rsidR="009F0A25" w:rsidRPr="00553709" w:rsidTr="005037D0">
              <w:trPr>
                <w:trHeight w:val="384"/>
              </w:trPr>
              <w:tc>
                <w:tcPr>
                  <w:tcW w:w="2279" w:type="dxa"/>
                  <w:vMerge/>
                  <w:vAlign w:val="center"/>
                  <w:hideMark/>
                </w:tcPr>
                <w:p w:rsidR="009F0A25" w:rsidRPr="006A5644" w:rsidRDefault="009F0A25" w:rsidP="007730AA">
                  <w:pPr>
                    <w:spacing w:before="0"/>
                    <w:rPr>
                      <w:rFonts w:cs="Calibri"/>
                      <w:b w:val="0"/>
                      <w:bCs/>
                      <w:color w:val="000000"/>
                      <w:sz w:val="18"/>
                      <w:szCs w:val="18"/>
                    </w:rPr>
                  </w:pPr>
                </w:p>
              </w:tc>
              <w:tc>
                <w:tcPr>
                  <w:tcW w:w="2441" w:type="dxa"/>
                  <w:shd w:val="clear" w:color="auto" w:fill="auto"/>
                  <w:vAlign w:val="center"/>
                </w:tcPr>
                <w:p w:rsidR="009F0A25" w:rsidRPr="005037D0" w:rsidRDefault="009F0A25" w:rsidP="007730AA">
                  <w:pPr>
                    <w:spacing w:before="0"/>
                    <w:ind w:firstLine="0"/>
                    <w:jc w:val="left"/>
                    <w:rPr>
                      <w:rFonts w:cs="Calibri"/>
                      <w:b w:val="0"/>
                      <w:i/>
                      <w:iCs/>
                      <w:color w:val="000000"/>
                      <w:sz w:val="18"/>
                      <w:szCs w:val="18"/>
                    </w:rPr>
                  </w:pPr>
                  <w:r w:rsidRPr="005037D0">
                    <w:rPr>
                      <w:rFonts w:cs="Calibri"/>
                      <w:b w:val="0"/>
                      <w:i/>
                      <w:iCs/>
                      <w:color w:val="000000"/>
                      <w:sz w:val="18"/>
                      <w:szCs w:val="18"/>
                    </w:rPr>
                    <w:t>2020 Պետական բյուջե</w:t>
                  </w:r>
                </w:p>
              </w:tc>
              <w:tc>
                <w:tcPr>
                  <w:tcW w:w="1375" w:type="dxa"/>
                </w:tcPr>
                <w:p w:rsidR="009F0A25" w:rsidRPr="00003D9B" w:rsidRDefault="009F0A25" w:rsidP="007730AA">
                  <w:pPr>
                    <w:spacing w:before="0"/>
                    <w:ind w:firstLine="0"/>
                    <w:jc w:val="center"/>
                    <w:rPr>
                      <w:rFonts w:cs="Calibri"/>
                      <w:b w:val="0"/>
                      <w:color w:val="000000"/>
                      <w:sz w:val="18"/>
                      <w:szCs w:val="18"/>
                      <w:lang w:val="hy-AM"/>
                    </w:rPr>
                  </w:pPr>
                  <w:r w:rsidRPr="005037D0">
                    <w:rPr>
                      <w:rFonts w:cs="Calibri"/>
                      <w:b w:val="0"/>
                      <w:color w:val="000000"/>
                      <w:sz w:val="18"/>
                      <w:szCs w:val="18"/>
                    </w:rPr>
                    <w:t>-7.</w:t>
                  </w:r>
                  <w:r w:rsidR="00003D9B">
                    <w:rPr>
                      <w:rFonts w:cs="Calibri"/>
                      <w:b w:val="0"/>
                      <w:color w:val="000000"/>
                      <w:sz w:val="18"/>
                      <w:szCs w:val="18"/>
                      <w:lang w:val="hy-AM"/>
                    </w:rPr>
                    <w:t>0</w:t>
                  </w:r>
                </w:p>
              </w:tc>
              <w:tc>
                <w:tcPr>
                  <w:tcW w:w="1685" w:type="dxa"/>
                  <w:shd w:val="clear" w:color="auto" w:fill="auto"/>
                  <w:noWrap/>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-6.0</w:t>
                  </w:r>
                </w:p>
              </w:tc>
              <w:tc>
                <w:tcPr>
                  <w:tcW w:w="2027" w:type="dxa"/>
                  <w:shd w:val="clear" w:color="auto" w:fill="auto"/>
                  <w:vAlign w:val="center"/>
                </w:tcPr>
                <w:p w:rsidR="009F0A25" w:rsidRPr="005037D0" w:rsidRDefault="009F0A25" w:rsidP="007730AA">
                  <w:pPr>
                    <w:spacing w:before="0"/>
                    <w:ind w:firstLine="0"/>
                    <w:jc w:val="center"/>
                    <w:rPr>
                      <w:rFonts w:cs="Calibri"/>
                      <w:b w:val="0"/>
                      <w:color w:val="000000"/>
                      <w:sz w:val="18"/>
                      <w:szCs w:val="18"/>
                    </w:rPr>
                  </w:pPr>
                  <w:r w:rsidRPr="005037D0">
                    <w:rPr>
                      <w:rFonts w:cs="Calibri"/>
                      <w:b w:val="0"/>
                      <w:color w:val="000000"/>
                      <w:sz w:val="18"/>
                      <w:szCs w:val="18"/>
                    </w:rPr>
                    <w:t>-</w:t>
                  </w:r>
                </w:p>
              </w:tc>
            </w:tr>
          </w:tbl>
          <w:p w:rsidR="009F0A25" w:rsidRPr="005037D0" w:rsidRDefault="009F0A25" w:rsidP="007730AA">
            <w:pPr>
              <w:spacing w:before="0" w:after="0" w:line="276" w:lineRule="auto"/>
              <w:rPr>
                <w:rFonts w:eastAsia="Calibri"/>
                <w:b w:val="0"/>
                <w:sz w:val="18"/>
                <w:szCs w:val="18"/>
                <w:lang w:val="hy-AM"/>
              </w:rPr>
            </w:pPr>
            <w:r w:rsidRPr="005037D0">
              <w:rPr>
                <w:rFonts w:eastAsia="Calibri"/>
                <w:b w:val="0"/>
                <w:sz w:val="18"/>
                <w:szCs w:val="18"/>
              </w:rPr>
              <w:t xml:space="preserve">* </w:t>
            </w:r>
            <w:r w:rsidRPr="005037D0">
              <w:rPr>
                <w:rFonts w:cs="Calibri"/>
                <w:b w:val="0"/>
                <w:i/>
                <w:iCs/>
                <w:color w:val="000000"/>
                <w:sz w:val="18"/>
                <w:szCs w:val="18"/>
              </w:rPr>
              <w:t>2021-2023 ՄԺԾԾ</w:t>
            </w:r>
            <w:r w:rsidRPr="005037D0">
              <w:rPr>
                <w:rFonts w:cs="Calibri"/>
                <w:b w:val="0"/>
                <w:i/>
                <w:iCs/>
                <w:color w:val="000000"/>
                <w:sz w:val="18"/>
                <w:szCs w:val="18"/>
                <w:lang w:val="hy-AM"/>
              </w:rPr>
              <w:t xml:space="preserve"> և 2021 պետական բյուջեի</w:t>
            </w:r>
            <w:r w:rsidRPr="005037D0">
              <w:rPr>
                <w:rFonts w:cs="Calibri"/>
                <w:b w:val="0"/>
                <w:i/>
                <w:iCs/>
                <w:color w:val="000000"/>
                <w:sz w:val="18"/>
                <w:szCs w:val="18"/>
              </w:rPr>
              <w:t xml:space="preserve"> </w:t>
            </w:r>
            <w:r w:rsidRPr="005037D0">
              <w:rPr>
                <w:rFonts w:cs="Calibri"/>
                <w:b w:val="0"/>
                <w:i/>
                <w:iCs/>
                <w:color w:val="000000"/>
                <w:sz w:val="18"/>
                <w:szCs w:val="18"/>
                <w:lang w:val="hy-AM"/>
              </w:rPr>
              <w:t xml:space="preserve">համար </w:t>
            </w:r>
            <w:r w:rsidRPr="005037D0">
              <w:rPr>
                <w:rFonts w:cs="Calibri"/>
                <w:b w:val="0"/>
                <w:i/>
                <w:iCs/>
                <w:color w:val="000000"/>
                <w:sz w:val="18"/>
                <w:szCs w:val="18"/>
              </w:rPr>
              <w:t>2019</w:t>
            </w:r>
            <w:r w:rsidRPr="005037D0">
              <w:rPr>
                <w:rFonts w:cs="Calibri"/>
                <w:b w:val="0"/>
                <w:i/>
                <w:iCs/>
                <w:color w:val="000000"/>
                <w:sz w:val="18"/>
                <w:szCs w:val="18"/>
                <w:lang w:val="hy-AM"/>
              </w:rPr>
              <w:t xml:space="preserve">թ. ցուցանիշները փաստացի են </w:t>
            </w:r>
            <w:r w:rsidRPr="005037D0">
              <w:rPr>
                <w:rFonts w:eastAsia="Calibri"/>
                <w:b w:val="0"/>
                <w:lang w:val="hy-AM"/>
              </w:rPr>
              <w:t xml:space="preserve">  </w:t>
            </w:r>
          </w:p>
          <w:p w:rsidR="009F0A25" w:rsidRPr="005037D0" w:rsidRDefault="009F0A25" w:rsidP="007730AA">
            <w:pPr>
              <w:spacing w:before="0" w:after="0" w:line="276" w:lineRule="auto"/>
              <w:rPr>
                <w:rFonts w:eastAsia="Calibri"/>
                <w:b w:val="0"/>
                <w:sz w:val="18"/>
                <w:szCs w:val="18"/>
                <w:lang w:val="hy-AM"/>
              </w:rPr>
            </w:pPr>
            <w:r w:rsidRPr="005037D0">
              <w:rPr>
                <w:rFonts w:eastAsia="Calibri"/>
                <w:b w:val="0"/>
                <w:sz w:val="18"/>
                <w:szCs w:val="18"/>
                <w:lang w:val="hy-AM"/>
              </w:rPr>
              <w:t>Աղբյուրը ՝ ՀՀ ՖՆ կանխատեսումներ</w:t>
            </w:r>
          </w:p>
          <w:p w:rsidR="009F0A25" w:rsidRPr="00553709" w:rsidRDefault="009F0A25" w:rsidP="007730AA">
            <w:pPr>
              <w:spacing w:before="0" w:after="0" w:line="276" w:lineRule="auto"/>
              <w:ind w:hanging="824"/>
              <w:rPr>
                <w:rFonts w:eastAsia="GHEA Grapalat" w:cs="GHEA Grapalat"/>
                <w:lang w:val="hy-AM"/>
              </w:rPr>
            </w:pPr>
          </w:p>
        </w:tc>
      </w:tr>
    </w:tbl>
    <w:p w:rsidR="009F0A25" w:rsidRPr="00553709" w:rsidRDefault="009F0A25" w:rsidP="007730AA">
      <w:pPr>
        <w:spacing w:before="0"/>
        <w:rPr>
          <w:lang w:val="hy-AM"/>
        </w:rPr>
      </w:pPr>
    </w:p>
    <w:p w:rsidR="009F0A25" w:rsidRDefault="009F0A25" w:rsidP="007730AA">
      <w:pPr>
        <w:spacing w:before="0" w:line="259" w:lineRule="auto"/>
        <w:rPr>
          <w:b w:val="0"/>
          <w:bCs/>
          <w:color w:val="1F497D"/>
          <w:sz w:val="28"/>
          <w:szCs w:val="28"/>
        </w:rPr>
      </w:pPr>
    </w:p>
    <w:p w:rsidR="009F0A25" w:rsidRDefault="009F0A25" w:rsidP="007730AA">
      <w:pPr>
        <w:spacing w:before="0" w:line="259" w:lineRule="auto"/>
        <w:rPr>
          <w:b w:val="0"/>
          <w:bCs/>
          <w:color w:val="1F497D"/>
          <w:sz w:val="28"/>
          <w:szCs w:val="28"/>
        </w:rPr>
      </w:pPr>
    </w:p>
    <w:p w:rsidR="009F0A25" w:rsidRDefault="009F0A25" w:rsidP="007730AA">
      <w:pPr>
        <w:spacing w:before="0" w:line="259" w:lineRule="auto"/>
        <w:rPr>
          <w:b w:val="0"/>
          <w:bCs/>
          <w:color w:val="1F497D"/>
          <w:sz w:val="28"/>
          <w:szCs w:val="28"/>
        </w:rPr>
      </w:pPr>
    </w:p>
    <w:p w:rsidR="009F0A25" w:rsidRDefault="009F0A25" w:rsidP="007730AA">
      <w:pPr>
        <w:spacing w:before="0" w:line="259" w:lineRule="auto"/>
        <w:rPr>
          <w:b w:val="0"/>
          <w:bCs/>
          <w:color w:val="1F497D"/>
          <w:sz w:val="28"/>
          <w:szCs w:val="28"/>
        </w:rPr>
      </w:pPr>
    </w:p>
    <w:p w:rsidR="009F0A25" w:rsidRDefault="009F0A25" w:rsidP="007730AA">
      <w:pPr>
        <w:keepNext/>
        <w:keepLines/>
        <w:spacing w:before="0" w:line="276" w:lineRule="auto"/>
        <w:outlineLvl w:val="2"/>
        <w:rPr>
          <w:b w:val="0"/>
          <w:bCs/>
          <w:color w:val="1F497D"/>
          <w:sz w:val="28"/>
          <w:szCs w:val="28"/>
        </w:rPr>
      </w:pPr>
      <w:r>
        <w:rPr>
          <w:bCs/>
          <w:color w:val="1F497D"/>
          <w:sz w:val="28"/>
          <w:szCs w:val="28"/>
        </w:rPr>
        <w:br w:type="page"/>
      </w:r>
    </w:p>
    <w:p w:rsidR="004E12E8" w:rsidRPr="009F0A25" w:rsidRDefault="004E12E8" w:rsidP="007730AA">
      <w:pPr>
        <w:pStyle w:val="Heading1"/>
        <w:spacing w:after="0"/>
        <w:rPr>
          <w:lang w:val="hy-AM"/>
        </w:rPr>
      </w:pPr>
      <w:bookmarkStart w:id="115" w:name="_Toc57655452"/>
      <w:bookmarkEnd w:id="70"/>
      <w:r w:rsidRPr="009F0A25">
        <w:rPr>
          <w:lang w:val="hy-AM"/>
        </w:rPr>
        <w:t>ՄԱՍ I-Գ</w:t>
      </w:r>
      <w:bookmarkStart w:id="116" w:name="_Toc46154350"/>
      <w:r w:rsidR="00D132CA" w:rsidRPr="00AE0F80">
        <w:rPr>
          <w:rFonts w:ascii="Cambria Math" w:hAnsi="Cambria Math"/>
          <w:lang w:val="ru-RU"/>
        </w:rPr>
        <w:t>.</w:t>
      </w:r>
      <w:r>
        <w:rPr>
          <w:lang w:val="hy-AM"/>
        </w:rPr>
        <w:t xml:space="preserve"> </w:t>
      </w:r>
      <w:r w:rsidRPr="009F0A25">
        <w:rPr>
          <w:lang w:val="hy-AM"/>
        </w:rPr>
        <w:t>ՀԱՐԿԱԲՅՈՒՋԵՏԱՅԻՆ ՔԱՂԱՔԱԿԱՆՈՒԹՅԱՆ ՀԻՄՆԱԿԱՆ ՈՒՂՂՈՒԹՅՈՒՆՆԵՐԸ ԵՎ ԿԱՆԽԱՏԵՍՈՒՄՆԵՐԸ</w:t>
      </w:r>
      <w:bookmarkEnd w:id="115"/>
      <w:bookmarkEnd w:id="116"/>
    </w:p>
    <w:p w:rsidR="004E12E8" w:rsidRPr="004E12E8" w:rsidRDefault="004E12E8" w:rsidP="007730AA">
      <w:pPr>
        <w:keepNext/>
        <w:keepLines/>
        <w:spacing w:before="0" w:line="312" w:lineRule="auto"/>
        <w:ind w:firstLine="0"/>
        <w:outlineLvl w:val="2"/>
        <w:rPr>
          <w:sz w:val="28"/>
          <w:szCs w:val="28"/>
          <w:lang w:val="hy-AM" w:eastAsia="en-US"/>
        </w:rPr>
      </w:pPr>
      <w:bookmarkStart w:id="117" w:name="_Toc46154351"/>
      <w:bookmarkStart w:id="118" w:name="_Toc57655453"/>
      <w:r w:rsidRPr="004E12E8">
        <w:rPr>
          <w:sz w:val="28"/>
          <w:szCs w:val="28"/>
          <w:lang w:val="hy-AM" w:eastAsia="en-US"/>
        </w:rPr>
        <w:t xml:space="preserve">2.1. </w:t>
      </w:r>
      <w:bookmarkStart w:id="119" w:name="_Toc45838522"/>
      <w:r w:rsidRPr="004E12E8">
        <w:rPr>
          <w:sz w:val="28"/>
          <w:szCs w:val="28"/>
          <w:lang w:val="hy-AM" w:eastAsia="en-US"/>
        </w:rPr>
        <w:t>ՀԱՐԿԱԲՅՈՒՋԵՏԱՅԻՆ ԸՆԴՀԱՆՈՒՐ ԱԿՆԱՐԿ ԵՎ ՀԱՐԿԱԲՅՈՒՋԵՏԱՅԻՆ ՇՐՋԱՆԱԿ</w:t>
      </w:r>
      <w:bookmarkEnd w:id="117"/>
      <w:bookmarkEnd w:id="118"/>
      <w:bookmarkEnd w:id="119"/>
    </w:p>
    <w:p w:rsidR="00A03FB4" w:rsidRPr="00A03FB4" w:rsidRDefault="00A03FB4" w:rsidP="00A03FB4">
      <w:pPr>
        <w:numPr>
          <w:ilvl w:val="0"/>
          <w:numId w:val="69"/>
        </w:numPr>
        <w:spacing w:before="0" w:after="120" w:line="276" w:lineRule="auto"/>
        <w:ind w:left="851" w:hanging="284"/>
        <w:contextualSpacing w:val="0"/>
        <w:rPr>
          <w:rFonts w:cs="Arial"/>
          <w:b w:val="0"/>
          <w:szCs w:val="22"/>
          <w:lang w:val="hy-AM" w:eastAsia="en-US"/>
        </w:rPr>
      </w:pPr>
      <w:r w:rsidRPr="00A03FB4">
        <w:rPr>
          <w:rFonts w:cs="Arial"/>
          <w:b w:val="0"/>
          <w:szCs w:val="22"/>
          <w:lang w:val="hy-AM" w:eastAsia="en-US"/>
        </w:rPr>
        <w:t>Վերջին տարիների բարձր տնտեսական աճի պայմաններում իրականացված հարկաբյուջետային քաղաքականությունը միտված է եղել ՀՀ կառավարության պարտքի կայունության ապահովմանը, ինչի արդյունքում 2019թ. արձանագրվել է կառավարության պարտք/ՀՆԱ հարաբերակցության 50%-ից ցածր մակարդակ:</w:t>
      </w:r>
    </w:p>
    <w:p w:rsidR="00A03FB4" w:rsidRPr="00A03FB4" w:rsidRDefault="00A03FB4" w:rsidP="00A03FB4">
      <w:pPr>
        <w:numPr>
          <w:ilvl w:val="0"/>
          <w:numId w:val="69"/>
        </w:numPr>
        <w:spacing w:before="0" w:after="120" w:line="276" w:lineRule="auto"/>
        <w:ind w:left="851" w:hanging="284"/>
        <w:contextualSpacing w:val="0"/>
        <w:rPr>
          <w:rFonts w:cs="Arial"/>
          <w:b w:val="0"/>
          <w:szCs w:val="22"/>
          <w:lang w:val="hy-AM" w:eastAsia="en-US"/>
        </w:rPr>
      </w:pPr>
      <w:r w:rsidRPr="00A03FB4">
        <w:rPr>
          <w:rFonts w:cs="Sylfaen"/>
          <w:b w:val="0"/>
          <w:szCs w:val="22"/>
          <w:lang w:val="hy-AM" w:eastAsia="en-US"/>
        </w:rPr>
        <w:t>ՀՀ կառավարության կողմից իրականացվող ստվերի դեմ պայքարով, հարկային վարչարարության բարելավմամբ և 2019թ. համար նշանակալի՝ ավտոմեքենաների ներմուծման ծավալների աճով պայմանավորված արձանագրվել է հարկեր/ՀՆԱ ցուցանիշի աննախադեպ բարելավվում՝ որը հասել է 22.3%-ի:</w:t>
      </w:r>
    </w:p>
    <w:p w:rsidR="00A03FB4" w:rsidRPr="00A03FB4" w:rsidRDefault="00A03FB4" w:rsidP="00A03FB4">
      <w:pPr>
        <w:numPr>
          <w:ilvl w:val="0"/>
          <w:numId w:val="69"/>
        </w:numPr>
        <w:spacing w:before="0" w:after="120" w:line="276" w:lineRule="auto"/>
        <w:ind w:left="851" w:hanging="284"/>
        <w:contextualSpacing w:val="0"/>
        <w:rPr>
          <w:rFonts w:cs="Arial"/>
          <w:b w:val="0"/>
          <w:szCs w:val="22"/>
          <w:lang w:val="hy-AM" w:eastAsia="en-US"/>
        </w:rPr>
      </w:pPr>
      <w:r w:rsidRPr="00A03FB4">
        <w:rPr>
          <w:rFonts w:cs="Arial"/>
          <w:b w:val="0"/>
          <w:szCs w:val="22"/>
          <w:lang w:val="hy-AM" w:eastAsia="en-US"/>
        </w:rPr>
        <w:t>2020 թվականի պետական բյուջեի ընթացիկ զարգացումների վրա զգալի ազդեցություն են ունեցել COVID-19 համավարակի (կորոնավիրուսի) արագ տարածումը, դրա կանխման նպատակով կիրառված ինչպես ներքին, այնպես էլ արտաքին աշխարհի տնտեսական և աշխարհագրական սահմանափակումները, ՀՀ կառավարության հակաճգնաժամային գործողությունները, ինչպես նաև 2020 թվականի սեպտեմբերի 27-ին սկսված պատերազմական գործողությունները՝ հանգեցնելով հարկային եկամուտների նվազմանը և պետական բյուջեի ծախսերի աճին: Արդյունքում  2020թ.-ին սպասվում է պետական բյուջեի պակասուրդի՝ նախորդ տարվա համեմատ 6.1 և կառավարության պարտքի՝ 11.6 տոկոսային կետով (ՀՆԱ-ի նկատմամբ) աճ:</w:t>
      </w:r>
    </w:p>
    <w:p w:rsidR="00A03FB4" w:rsidRPr="00A03FB4" w:rsidRDefault="00A03FB4" w:rsidP="00A03FB4">
      <w:pPr>
        <w:numPr>
          <w:ilvl w:val="0"/>
          <w:numId w:val="69"/>
        </w:numPr>
        <w:spacing w:before="0" w:after="120" w:line="276" w:lineRule="auto"/>
        <w:ind w:left="851" w:hanging="284"/>
        <w:contextualSpacing w:val="0"/>
        <w:rPr>
          <w:rFonts w:cs="Arial"/>
          <w:b w:val="0"/>
          <w:szCs w:val="22"/>
          <w:lang w:val="hy-AM" w:eastAsia="en-US"/>
        </w:rPr>
      </w:pPr>
      <w:r w:rsidRPr="00A03FB4">
        <w:rPr>
          <w:rFonts w:cs="Arial"/>
          <w:b w:val="0"/>
          <w:szCs w:val="22"/>
          <w:lang w:val="hy-AM" w:eastAsia="en-US"/>
        </w:rPr>
        <w:t>COVID-19 համավարակի հետևանքներով առաջացած իրավիճակը և Արցախյան պատերազմը հարկաբյուջետային կանոններով սահմանված կարգով դիտարկվել են որպես բացառիկ դեպքեր, ինչն արտացոլվել է «2020թ. պետական բյուջեի մասին օրենքում փոփոխություններ և լրացումներ կատարելու մասին» օրենքի նախագծին հավանություն տալու վերաբերյալ կառավարության՝ 2020թ. ապրիլի 23-ի (587-Ա) և սեպտեմբերի 29-ի (N 1600-Ա) որոշումներում:</w:t>
      </w:r>
    </w:p>
    <w:p w:rsidR="00A03FB4" w:rsidRPr="00A03FB4" w:rsidRDefault="00A03FB4" w:rsidP="00A03FB4">
      <w:pPr>
        <w:numPr>
          <w:ilvl w:val="0"/>
          <w:numId w:val="69"/>
        </w:numPr>
        <w:spacing w:before="0" w:after="120" w:line="276" w:lineRule="auto"/>
        <w:ind w:left="851" w:hanging="284"/>
        <w:contextualSpacing w:val="0"/>
        <w:rPr>
          <w:rFonts w:cs="Arial"/>
          <w:b w:val="0"/>
          <w:szCs w:val="22"/>
          <w:lang w:val="hy-AM" w:eastAsia="en-US"/>
        </w:rPr>
      </w:pPr>
      <w:r w:rsidRPr="00A03FB4">
        <w:rPr>
          <w:rFonts w:cs="Arial"/>
          <w:b w:val="0"/>
          <w:szCs w:val="22"/>
          <w:lang w:val="hy-AM" w:eastAsia="en-US"/>
        </w:rPr>
        <w:t>Կորոնովիրուսի հետևանքների մեղման նպատակով կառավարությունը մշակել է հակաճգնաժամային միջոցառումներ մոտ 215 մլրդ դրամ կամ ՀՆԱ-ում 3.5%-ի չափով, այդ թվում՝ կորոնավիրուսի սոցիալ-տնտեսական հետևանքների կանխարգելմանն ուղղված փաթեթը (150 մլրդ դրամ), ինչպես նաև հարկային քաղաքականության ոլորտում կատարված բարեփոխումները (շահութահարկի գծով՝ 65 մլրդ դրամ), որոնք թույլ կտան նվազեցնել ճգնաժամի բացասական հետևանքները և մեղմել տնտեսական անկումը։ Բացի այդ, ռազմական ակտիվ գործողությունների պայմաններում կառավարությունն ավելացրել է նաև ռազմական ծախսերը:</w:t>
      </w:r>
    </w:p>
    <w:p w:rsidR="00A03FB4" w:rsidRPr="00A03FB4" w:rsidRDefault="00A03FB4" w:rsidP="00A03FB4">
      <w:pPr>
        <w:numPr>
          <w:ilvl w:val="0"/>
          <w:numId w:val="69"/>
        </w:numPr>
        <w:spacing w:before="0" w:after="120" w:line="276" w:lineRule="auto"/>
        <w:ind w:left="851" w:hanging="284"/>
        <w:contextualSpacing w:val="0"/>
        <w:rPr>
          <w:rFonts w:cs="Arial"/>
          <w:b w:val="0"/>
          <w:szCs w:val="22"/>
          <w:lang w:val="hy-AM" w:eastAsia="en-US"/>
        </w:rPr>
      </w:pPr>
      <w:r w:rsidRPr="00A03FB4">
        <w:rPr>
          <w:rFonts w:cs="Times Armenian"/>
          <w:b w:val="0"/>
          <w:bCs/>
          <w:szCs w:val="22"/>
          <w:lang w:val="hy-AM" w:eastAsia="en-US"/>
        </w:rPr>
        <w:t>2021թ</w:t>
      </w:r>
      <w:r w:rsidRPr="00A03FB4">
        <w:rPr>
          <w:rFonts w:cs="Cambria Math"/>
          <w:b w:val="0"/>
          <w:bCs/>
          <w:szCs w:val="22"/>
          <w:lang w:val="hy-AM" w:eastAsia="en-US"/>
        </w:rPr>
        <w:t>. տնտեսության վերականգնման պայմաններում</w:t>
      </w:r>
      <w:r w:rsidRPr="00A03FB4">
        <w:rPr>
          <w:rFonts w:cs="Times Armenian"/>
          <w:b w:val="0"/>
          <w:bCs/>
          <w:szCs w:val="22"/>
          <w:lang w:val="hy-AM" w:eastAsia="en-US"/>
        </w:rPr>
        <w:t xml:space="preserve"> հարկաբյուջետային քաղաքականությունը կունենա փոքր զսպող ուղղվածություն` ապահովելով հարկաբյուջետային կայունությունը և պայմաններ ստեղծելով ՀՀ կառավարության պարտքի նվազման համար։ </w:t>
      </w:r>
      <w:r w:rsidRPr="00A03FB4">
        <w:rPr>
          <w:rFonts w:cs="Arial"/>
          <w:b w:val="0"/>
          <w:szCs w:val="22"/>
          <w:lang w:val="hy-AM" w:eastAsia="en-US"/>
        </w:rPr>
        <w:t>Իսկ միջնաժամկետում՝ տնտեսության վերականգնմանը զուգահեռ հարկաբյուջետային քաղաքականությունն ուղղված է լինելու պարտքի մակարդակի նվազեցմանը և կայունություն պահպանմանը, ինչպես նաև երկարաժամկետ տնտեսական աճի խթանմանը՝ շեշտադրվելով պետական ներդրումների մասնաբաժնի մեծացումը և ծախսերի իրականացման արդյունավետության բարձրացումը:</w:t>
      </w:r>
    </w:p>
    <w:p w:rsidR="00A03FB4" w:rsidRPr="00A03FB4" w:rsidRDefault="00A03FB4" w:rsidP="00A03FB4">
      <w:pPr>
        <w:numPr>
          <w:ilvl w:val="0"/>
          <w:numId w:val="69"/>
        </w:numPr>
        <w:spacing w:before="0" w:after="120" w:line="276" w:lineRule="auto"/>
        <w:ind w:left="851" w:hanging="284"/>
        <w:contextualSpacing w:val="0"/>
        <w:rPr>
          <w:rFonts w:cs="Arial"/>
          <w:b w:val="0"/>
          <w:szCs w:val="22"/>
          <w:lang w:val="hy-AM" w:eastAsia="en-US"/>
        </w:rPr>
      </w:pPr>
      <w:r w:rsidRPr="00A03FB4">
        <w:rPr>
          <w:b w:val="0"/>
          <w:szCs w:val="22"/>
          <w:lang w:val="hy-AM" w:eastAsia="en-US"/>
        </w:rPr>
        <w:t>2021 թվականին կանխատեսվող տնտեսական վերականգնման, հարկային վարչարարության բարելավման և ստվերի դեմ պայքարի արդյունքում ակնկալվում է հարկեր/</w:t>
      </w:r>
      <w:r w:rsidRPr="00A03FB4">
        <w:rPr>
          <w:rFonts w:cs="Sylfaen"/>
          <w:b w:val="0"/>
          <w:szCs w:val="22"/>
          <w:lang w:val="hy-AM" w:eastAsia="en-US"/>
        </w:rPr>
        <w:t>ՀՆԱ-ի բարելավում շուրջ 0.3 տոկոսային կետով:</w:t>
      </w:r>
    </w:p>
    <w:p w:rsidR="00A03FB4" w:rsidRPr="00A03FB4" w:rsidRDefault="00A03FB4" w:rsidP="00A03FB4">
      <w:pPr>
        <w:numPr>
          <w:ilvl w:val="0"/>
          <w:numId w:val="69"/>
        </w:numPr>
        <w:spacing w:before="0" w:after="120" w:line="276" w:lineRule="auto"/>
        <w:ind w:left="851" w:hanging="284"/>
        <w:contextualSpacing w:val="0"/>
        <w:rPr>
          <w:b w:val="0"/>
          <w:szCs w:val="22"/>
          <w:lang w:val="hy-AM" w:eastAsia="en-US"/>
        </w:rPr>
      </w:pPr>
      <w:r w:rsidRPr="00A03FB4">
        <w:rPr>
          <w:b w:val="0"/>
          <w:szCs w:val="22"/>
          <w:lang w:val="hy-AM" w:eastAsia="en-US"/>
        </w:rPr>
        <w:t>Կորոնավիրուսի տարածման հետ կապված բացասական իրադարձությունները և անորոշությունները տնտեսության վրա կարող են ունենալ կանխատեսվածից ավելի մեծ բացասական ազդեցություն (գերակշռում են տնտեսական աճի դեպի ներքև ռիսկերը), ինչի արդյունքում առկա են պետական բյուջեի հարկային եկամուտների՝ կանխատեսված մակարդակից դեպի ներքև շեղման ռիսկեր:</w:t>
      </w:r>
    </w:p>
    <w:p w:rsidR="005A2924" w:rsidRPr="005A2924" w:rsidRDefault="005A2924" w:rsidP="007730AA">
      <w:pPr>
        <w:spacing w:before="0" w:line="276" w:lineRule="auto"/>
        <w:ind w:firstLine="0"/>
        <w:contextualSpacing w:val="0"/>
        <w:rPr>
          <w:rFonts w:eastAsia="Calibri" w:cs="Arial"/>
          <w:b w:val="0"/>
          <w:bCs/>
          <w:i/>
          <w:iCs/>
          <w:sz w:val="20"/>
          <w:szCs w:val="20"/>
          <w:lang w:val="hy-AM" w:eastAsia="en-US"/>
        </w:rPr>
      </w:pPr>
      <w:r w:rsidRPr="005A2924">
        <w:rPr>
          <w:rFonts w:eastAsia="Calibri" w:cs="Arial"/>
          <w:i/>
          <w:iCs/>
          <w:sz w:val="20"/>
          <w:szCs w:val="20"/>
          <w:lang w:val="hy-AM" w:eastAsia="en-US"/>
        </w:rPr>
        <w:t xml:space="preserve">Աղյուսակ 2.1. </w:t>
      </w:r>
      <w:r w:rsidRPr="005A2924">
        <w:rPr>
          <w:rFonts w:eastAsia="Calibri" w:cs="Arial"/>
          <w:b w:val="0"/>
          <w:bCs/>
          <w:i/>
          <w:iCs/>
          <w:sz w:val="20"/>
          <w:szCs w:val="20"/>
          <w:lang w:val="hy-AM" w:eastAsia="en-US"/>
        </w:rPr>
        <w:t>2021թ. պետական բյուջեի հարկաբյուջետային շրջանակ</w:t>
      </w:r>
    </w:p>
    <w:tbl>
      <w:tblPr>
        <w:tblW w:w="8596" w:type="dxa"/>
        <w:jc w:val="center"/>
        <w:tblLook w:val="04A0" w:firstRow="1" w:lastRow="0" w:firstColumn="1" w:lastColumn="0" w:noHBand="0" w:noVBand="1"/>
      </w:tblPr>
      <w:tblGrid>
        <w:gridCol w:w="3140"/>
        <w:gridCol w:w="1080"/>
        <w:gridCol w:w="1080"/>
        <w:gridCol w:w="1080"/>
        <w:gridCol w:w="1108"/>
        <w:gridCol w:w="1108"/>
      </w:tblGrid>
      <w:tr w:rsidR="005A2924" w:rsidRPr="004E12E8" w:rsidTr="009F0A25">
        <w:trPr>
          <w:trHeight w:val="300"/>
          <w:jc w:val="center"/>
        </w:trPr>
        <w:tc>
          <w:tcPr>
            <w:tcW w:w="3140" w:type="dxa"/>
            <w:tcBorders>
              <w:top w:val="single" w:sz="8" w:space="0" w:color="4472C4"/>
              <w:left w:val="single" w:sz="8" w:space="0" w:color="4472C4"/>
              <w:bottom w:val="single" w:sz="12" w:space="0" w:color="4472C4"/>
              <w:right w:val="nil"/>
            </w:tcBorders>
            <w:shd w:val="clear" w:color="000000" w:fill="8EA9DB"/>
            <w:noWrap/>
            <w:vAlign w:val="center"/>
            <w:hideMark/>
          </w:tcPr>
          <w:p w:rsidR="005A2924" w:rsidRPr="004E12E8" w:rsidRDefault="005A2924" w:rsidP="007730AA">
            <w:pPr>
              <w:spacing w:before="0" w:line="240" w:lineRule="auto"/>
              <w:ind w:firstLine="0"/>
              <w:contextualSpacing w:val="0"/>
              <w:jc w:val="center"/>
              <w:rPr>
                <w:rFonts w:cs="Arial"/>
                <w:bCs/>
                <w:color w:val="FFFFFF"/>
                <w:sz w:val="20"/>
                <w:szCs w:val="20"/>
                <w:lang w:val="hy-AM" w:eastAsia="en-US"/>
              </w:rPr>
            </w:pPr>
            <w:r w:rsidRPr="004E12E8">
              <w:rPr>
                <w:rFonts w:ascii="Calibri" w:hAnsi="Calibri" w:cs="Calibri"/>
                <w:bCs/>
                <w:color w:val="FFFFFF"/>
                <w:sz w:val="20"/>
                <w:szCs w:val="20"/>
                <w:lang w:val="hy-AM" w:eastAsia="en-US"/>
              </w:rPr>
              <w:t> </w:t>
            </w:r>
          </w:p>
        </w:tc>
        <w:tc>
          <w:tcPr>
            <w:tcW w:w="1080" w:type="dxa"/>
            <w:tcBorders>
              <w:top w:val="single" w:sz="8" w:space="0" w:color="4472C4"/>
              <w:left w:val="single" w:sz="8" w:space="0" w:color="4472C4"/>
              <w:bottom w:val="single" w:sz="12" w:space="0" w:color="4472C4"/>
              <w:right w:val="nil"/>
            </w:tcBorders>
            <w:shd w:val="clear" w:color="000000" w:fill="8EA9DB"/>
            <w:noWrap/>
            <w:vAlign w:val="center"/>
            <w:hideMark/>
          </w:tcPr>
          <w:p w:rsidR="005A2924" w:rsidRPr="004E12E8" w:rsidRDefault="005A2924" w:rsidP="007730AA">
            <w:pPr>
              <w:spacing w:before="0" w:line="240" w:lineRule="auto"/>
              <w:ind w:firstLine="0"/>
              <w:contextualSpacing w:val="0"/>
              <w:jc w:val="center"/>
              <w:rPr>
                <w:rFonts w:cs="Arial"/>
                <w:bCs/>
                <w:color w:val="FFFFFF"/>
                <w:sz w:val="20"/>
                <w:szCs w:val="20"/>
                <w:lang w:val="hy-AM" w:eastAsia="en-US"/>
              </w:rPr>
            </w:pPr>
            <w:r w:rsidRPr="004E12E8">
              <w:rPr>
                <w:rFonts w:cs="Arial"/>
                <w:bCs/>
                <w:color w:val="FFFFFF"/>
                <w:sz w:val="20"/>
                <w:szCs w:val="20"/>
                <w:lang w:val="hy-AM" w:eastAsia="en-US"/>
              </w:rPr>
              <w:t>2017</w:t>
            </w:r>
          </w:p>
        </w:tc>
        <w:tc>
          <w:tcPr>
            <w:tcW w:w="1080" w:type="dxa"/>
            <w:tcBorders>
              <w:top w:val="single" w:sz="8" w:space="0" w:color="4472C4"/>
              <w:left w:val="single" w:sz="8" w:space="0" w:color="4472C4"/>
              <w:bottom w:val="single" w:sz="12" w:space="0" w:color="4472C4"/>
              <w:right w:val="nil"/>
            </w:tcBorders>
            <w:shd w:val="clear" w:color="000000" w:fill="8EA9DB"/>
            <w:noWrap/>
            <w:vAlign w:val="center"/>
            <w:hideMark/>
          </w:tcPr>
          <w:p w:rsidR="005A2924" w:rsidRPr="004E12E8" w:rsidRDefault="005A2924" w:rsidP="007730AA">
            <w:pPr>
              <w:spacing w:before="0" w:line="240" w:lineRule="auto"/>
              <w:ind w:firstLine="0"/>
              <w:contextualSpacing w:val="0"/>
              <w:jc w:val="center"/>
              <w:rPr>
                <w:rFonts w:cs="Arial"/>
                <w:bCs/>
                <w:color w:val="FFFFFF"/>
                <w:sz w:val="20"/>
                <w:szCs w:val="20"/>
                <w:lang w:val="hy-AM" w:eastAsia="en-US"/>
              </w:rPr>
            </w:pPr>
            <w:r w:rsidRPr="004E12E8">
              <w:rPr>
                <w:rFonts w:cs="Arial"/>
                <w:bCs/>
                <w:color w:val="FFFFFF"/>
                <w:sz w:val="20"/>
                <w:szCs w:val="20"/>
                <w:lang w:val="hy-AM" w:eastAsia="en-US"/>
              </w:rPr>
              <w:t>2018</w:t>
            </w:r>
          </w:p>
        </w:tc>
        <w:tc>
          <w:tcPr>
            <w:tcW w:w="1080" w:type="dxa"/>
            <w:tcBorders>
              <w:top w:val="single" w:sz="8" w:space="0" w:color="4472C4"/>
              <w:left w:val="single" w:sz="8" w:space="0" w:color="4472C4"/>
              <w:bottom w:val="single" w:sz="12" w:space="0" w:color="4472C4"/>
              <w:right w:val="nil"/>
            </w:tcBorders>
            <w:shd w:val="clear" w:color="000000" w:fill="8EA9DB"/>
            <w:noWrap/>
            <w:vAlign w:val="center"/>
            <w:hideMark/>
          </w:tcPr>
          <w:p w:rsidR="005A2924" w:rsidRPr="004E12E8" w:rsidRDefault="005A2924" w:rsidP="007730AA">
            <w:pPr>
              <w:spacing w:before="0" w:line="240" w:lineRule="auto"/>
              <w:ind w:firstLine="0"/>
              <w:contextualSpacing w:val="0"/>
              <w:jc w:val="center"/>
              <w:rPr>
                <w:rFonts w:cs="Arial"/>
                <w:bCs/>
                <w:color w:val="FFFFFF"/>
                <w:sz w:val="20"/>
                <w:szCs w:val="20"/>
                <w:lang w:val="hy-AM" w:eastAsia="en-US"/>
              </w:rPr>
            </w:pPr>
            <w:r w:rsidRPr="004E12E8">
              <w:rPr>
                <w:rFonts w:cs="Arial"/>
                <w:bCs/>
                <w:color w:val="FFFFFF"/>
                <w:sz w:val="20"/>
                <w:szCs w:val="20"/>
                <w:lang w:val="hy-AM" w:eastAsia="en-US"/>
              </w:rPr>
              <w:t>2019</w:t>
            </w:r>
          </w:p>
        </w:tc>
        <w:tc>
          <w:tcPr>
            <w:tcW w:w="1108" w:type="dxa"/>
            <w:tcBorders>
              <w:top w:val="single" w:sz="8" w:space="0" w:color="4472C4"/>
              <w:left w:val="single" w:sz="8" w:space="0" w:color="4472C4"/>
              <w:bottom w:val="single" w:sz="12" w:space="0" w:color="4472C4"/>
              <w:right w:val="single" w:sz="12" w:space="0" w:color="4472C4"/>
            </w:tcBorders>
            <w:shd w:val="clear" w:color="000000" w:fill="8EA9DB"/>
            <w:noWrap/>
            <w:vAlign w:val="center"/>
            <w:hideMark/>
          </w:tcPr>
          <w:p w:rsidR="005A2924" w:rsidRPr="004E12E8" w:rsidRDefault="005A2924" w:rsidP="007730AA">
            <w:pPr>
              <w:spacing w:before="0" w:line="240" w:lineRule="auto"/>
              <w:ind w:firstLine="0"/>
              <w:contextualSpacing w:val="0"/>
              <w:jc w:val="center"/>
              <w:rPr>
                <w:rFonts w:cs="Arial"/>
                <w:bCs/>
                <w:color w:val="FFFFFF"/>
                <w:sz w:val="20"/>
                <w:szCs w:val="20"/>
                <w:lang w:val="hy-AM" w:eastAsia="en-US"/>
              </w:rPr>
            </w:pPr>
            <w:r w:rsidRPr="004E12E8">
              <w:rPr>
                <w:rFonts w:cs="Arial"/>
                <w:bCs/>
                <w:color w:val="FFFFFF"/>
                <w:sz w:val="20"/>
                <w:szCs w:val="20"/>
                <w:lang w:val="hy-AM" w:eastAsia="en-US"/>
              </w:rPr>
              <w:t>2020</w:t>
            </w:r>
          </w:p>
        </w:tc>
        <w:tc>
          <w:tcPr>
            <w:tcW w:w="1108" w:type="dxa"/>
            <w:tcBorders>
              <w:top w:val="single" w:sz="8" w:space="0" w:color="4472C4"/>
              <w:left w:val="single" w:sz="8" w:space="0" w:color="4472C4"/>
              <w:bottom w:val="single" w:sz="12" w:space="0" w:color="4472C4"/>
              <w:right w:val="single" w:sz="12" w:space="0" w:color="4472C4"/>
            </w:tcBorders>
            <w:shd w:val="clear" w:color="000000" w:fill="8EA9DB"/>
          </w:tcPr>
          <w:p w:rsidR="005A2924" w:rsidRPr="004E12E8" w:rsidRDefault="005A2924" w:rsidP="007730AA">
            <w:pPr>
              <w:spacing w:before="0" w:line="240" w:lineRule="auto"/>
              <w:ind w:firstLine="0"/>
              <w:contextualSpacing w:val="0"/>
              <w:jc w:val="center"/>
              <w:rPr>
                <w:rFonts w:cs="Arial"/>
                <w:bCs/>
                <w:color w:val="FFFFFF"/>
                <w:sz w:val="20"/>
                <w:szCs w:val="20"/>
                <w:lang w:val="hy-AM" w:eastAsia="en-US"/>
              </w:rPr>
            </w:pPr>
            <w:r w:rsidRPr="004E12E8">
              <w:rPr>
                <w:rFonts w:cs="Arial"/>
                <w:bCs/>
                <w:color w:val="FFFFFF"/>
                <w:sz w:val="20"/>
                <w:szCs w:val="20"/>
                <w:lang w:val="hy-AM" w:eastAsia="en-US"/>
              </w:rPr>
              <w:t>2021</w:t>
            </w:r>
          </w:p>
        </w:tc>
      </w:tr>
      <w:tr w:rsidR="005A2924" w:rsidRPr="004E12E8" w:rsidTr="009F0A25">
        <w:trPr>
          <w:trHeight w:val="249"/>
          <w:jc w:val="center"/>
        </w:trPr>
        <w:tc>
          <w:tcPr>
            <w:tcW w:w="3140" w:type="dxa"/>
            <w:tcBorders>
              <w:top w:val="nil"/>
              <w:left w:val="single" w:sz="8" w:space="0" w:color="4472C4"/>
              <w:bottom w:val="single" w:sz="8" w:space="0" w:color="5B9BD5"/>
              <w:right w:val="nil"/>
            </w:tcBorders>
            <w:shd w:val="clear" w:color="000000" w:fill="8EA9DB"/>
            <w:noWrap/>
            <w:vAlign w:val="center"/>
            <w:hideMark/>
          </w:tcPr>
          <w:p w:rsidR="005A2924" w:rsidRPr="004E12E8" w:rsidRDefault="005A2924" w:rsidP="007730AA">
            <w:pPr>
              <w:spacing w:before="0" w:line="240" w:lineRule="auto"/>
              <w:ind w:firstLine="0"/>
              <w:contextualSpacing w:val="0"/>
              <w:jc w:val="center"/>
              <w:rPr>
                <w:rFonts w:cs="Arial"/>
                <w:bCs/>
                <w:color w:val="FFFFFF"/>
                <w:sz w:val="20"/>
                <w:szCs w:val="20"/>
                <w:lang w:val="hy-AM" w:eastAsia="en-US"/>
              </w:rPr>
            </w:pPr>
            <w:r w:rsidRPr="004E12E8">
              <w:rPr>
                <w:rFonts w:cs="Arial"/>
                <w:bCs/>
                <w:color w:val="FFFFFF"/>
                <w:sz w:val="20"/>
                <w:szCs w:val="20"/>
                <w:lang w:val="hy-AM" w:eastAsia="en-US"/>
              </w:rPr>
              <w:t>մլրդ դրամ</w:t>
            </w:r>
          </w:p>
        </w:tc>
        <w:tc>
          <w:tcPr>
            <w:tcW w:w="3240" w:type="dxa"/>
            <w:gridSpan w:val="3"/>
            <w:tcBorders>
              <w:top w:val="single" w:sz="12" w:space="0" w:color="4472C4"/>
              <w:left w:val="single" w:sz="8" w:space="0" w:color="4472C4"/>
              <w:bottom w:val="single" w:sz="8" w:space="0" w:color="5B9BD5"/>
              <w:right w:val="single" w:sz="8" w:space="0" w:color="4472C4"/>
            </w:tcBorders>
            <w:shd w:val="clear" w:color="000000" w:fill="8EA9DB"/>
            <w:noWrap/>
            <w:vAlign w:val="center"/>
            <w:hideMark/>
          </w:tcPr>
          <w:p w:rsidR="005A2924" w:rsidRPr="004E12E8" w:rsidRDefault="005A2924" w:rsidP="007730AA">
            <w:pPr>
              <w:spacing w:before="0" w:line="240" w:lineRule="auto"/>
              <w:ind w:firstLine="0"/>
              <w:contextualSpacing w:val="0"/>
              <w:jc w:val="center"/>
              <w:rPr>
                <w:rFonts w:cs="Arial"/>
                <w:bCs/>
                <w:color w:val="FFFFFF"/>
                <w:sz w:val="20"/>
                <w:szCs w:val="20"/>
                <w:lang w:val="hy-AM" w:eastAsia="en-US"/>
              </w:rPr>
            </w:pPr>
            <w:r w:rsidRPr="004E12E8">
              <w:rPr>
                <w:rFonts w:cs="Arial"/>
                <w:bCs/>
                <w:color w:val="FFFFFF"/>
                <w:sz w:val="20"/>
                <w:szCs w:val="20"/>
                <w:lang w:val="hy-AM" w:eastAsia="en-US"/>
              </w:rPr>
              <w:t>Փաստացի</w:t>
            </w:r>
          </w:p>
        </w:tc>
        <w:tc>
          <w:tcPr>
            <w:tcW w:w="1108" w:type="dxa"/>
            <w:tcBorders>
              <w:top w:val="nil"/>
              <w:left w:val="nil"/>
              <w:bottom w:val="single" w:sz="8" w:space="0" w:color="5B9BD5"/>
              <w:right w:val="nil"/>
            </w:tcBorders>
            <w:shd w:val="clear" w:color="000000" w:fill="8EA9DB"/>
            <w:vAlign w:val="center"/>
            <w:hideMark/>
          </w:tcPr>
          <w:p w:rsidR="005A2924" w:rsidRPr="004E12E8" w:rsidRDefault="005A2924" w:rsidP="007730AA">
            <w:pPr>
              <w:spacing w:before="0" w:line="240" w:lineRule="auto"/>
              <w:ind w:firstLine="0"/>
              <w:contextualSpacing w:val="0"/>
              <w:jc w:val="center"/>
              <w:rPr>
                <w:rFonts w:cs="Arial"/>
                <w:bCs/>
                <w:color w:val="FFFFFF"/>
                <w:sz w:val="20"/>
                <w:szCs w:val="20"/>
                <w:lang w:val="hy-AM" w:eastAsia="en-US"/>
              </w:rPr>
            </w:pPr>
            <w:r w:rsidRPr="004E12E8">
              <w:rPr>
                <w:rFonts w:cs="Arial"/>
                <w:bCs/>
                <w:color w:val="FFFFFF"/>
                <w:sz w:val="20"/>
                <w:szCs w:val="20"/>
                <w:lang w:val="hy-AM" w:eastAsia="en-US"/>
              </w:rPr>
              <w:t xml:space="preserve">Սպասում </w:t>
            </w:r>
          </w:p>
        </w:tc>
        <w:tc>
          <w:tcPr>
            <w:tcW w:w="1108" w:type="dxa"/>
            <w:tcBorders>
              <w:top w:val="nil"/>
              <w:left w:val="single" w:sz="8" w:space="0" w:color="4472C4"/>
              <w:bottom w:val="single" w:sz="8" w:space="0" w:color="5B9BD5"/>
              <w:right w:val="single" w:sz="8" w:space="0" w:color="4472C4"/>
            </w:tcBorders>
            <w:shd w:val="clear" w:color="000000" w:fill="8EA9DB"/>
            <w:vAlign w:val="center"/>
          </w:tcPr>
          <w:p w:rsidR="005A2924" w:rsidRPr="004E12E8" w:rsidRDefault="005A2924" w:rsidP="007730AA">
            <w:pPr>
              <w:spacing w:before="0" w:line="240" w:lineRule="auto"/>
              <w:ind w:firstLine="0"/>
              <w:contextualSpacing w:val="0"/>
              <w:jc w:val="center"/>
              <w:rPr>
                <w:rFonts w:cs="Arial"/>
                <w:bCs/>
                <w:color w:val="FFFFFF"/>
                <w:sz w:val="20"/>
                <w:szCs w:val="20"/>
                <w:lang w:val="hy-AM" w:eastAsia="en-US"/>
              </w:rPr>
            </w:pPr>
            <w:r w:rsidRPr="004E12E8">
              <w:rPr>
                <w:rFonts w:cs="Arial"/>
                <w:bCs/>
                <w:color w:val="FFFFFF"/>
                <w:sz w:val="20"/>
                <w:szCs w:val="20"/>
                <w:lang w:val="hy-AM" w:eastAsia="en-US"/>
              </w:rPr>
              <w:t>Բյուջե</w:t>
            </w:r>
          </w:p>
        </w:tc>
      </w:tr>
      <w:tr w:rsidR="005A2924" w:rsidRPr="004E12E8" w:rsidTr="009F0A25">
        <w:trPr>
          <w:trHeight w:val="825"/>
          <w:jc w:val="center"/>
        </w:trPr>
        <w:tc>
          <w:tcPr>
            <w:tcW w:w="3140" w:type="dxa"/>
            <w:tcBorders>
              <w:top w:val="nil"/>
              <w:left w:val="single" w:sz="8" w:space="0" w:color="4472C4"/>
              <w:bottom w:val="single" w:sz="8" w:space="0" w:color="5B9BD5"/>
              <w:right w:val="nil"/>
            </w:tcBorders>
            <w:shd w:val="clear" w:color="000000" w:fill="FFFFFF"/>
            <w:vAlign w:val="center"/>
            <w:hideMark/>
          </w:tcPr>
          <w:p w:rsidR="005A2924" w:rsidRPr="004E12E8" w:rsidRDefault="005A2924" w:rsidP="007730AA">
            <w:pPr>
              <w:spacing w:before="0" w:line="240" w:lineRule="auto"/>
              <w:ind w:firstLine="0"/>
              <w:contextualSpacing w:val="0"/>
              <w:jc w:val="left"/>
              <w:rPr>
                <w:rFonts w:cs="Arial"/>
                <w:b w:val="0"/>
                <w:color w:val="000000"/>
                <w:sz w:val="20"/>
                <w:szCs w:val="20"/>
                <w:lang w:val="hy-AM" w:eastAsia="en-US"/>
              </w:rPr>
            </w:pPr>
            <w:r w:rsidRPr="004E12E8">
              <w:rPr>
                <w:rFonts w:cs="Arial"/>
                <w:b w:val="0"/>
                <w:color w:val="000000"/>
                <w:sz w:val="20"/>
                <w:szCs w:val="20"/>
                <w:lang w:val="hy-AM" w:eastAsia="en-US"/>
              </w:rPr>
              <w:t>Պետական բյուջեի եկամուտներ  և պաշտոնական տրանսֆերտներ</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1237.8</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1341.7</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B30AA6">
              <w:rPr>
                <w:rFonts w:cs="Arial"/>
                <w:bCs/>
                <w:color w:val="000000"/>
                <w:sz w:val="20"/>
                <w:szCs w:val="20"/>
                <w:lang w:val="hy-AM"/>
              </w:rPr>
              <w:t>1565.5</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1477.7</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1509.5</w:t>
            </w:r>
          </w:p>
        </w:tc>
      </w:tr>
      <w:tr w:rsidR="005A2924" w:rsidRPr="004E12E8" w:rsidTr="009F0A25">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rsidR="005A2924" w:rsidRPr="004E12E8" w:rsidRDefault="005A2924" w:rsidP="007730AA">
            <w:pPr>
              <w:spacing w:before="0" w:line="240" w:lineRule="auto"/>
              <w:ind w:firstLineChars="100" w:firstLine="200"/>
              <w:contextualSpacing w:val="0"/>
              <w:jc w:val="left"/>
              <w:rPr>
                <w:rFonts w:cs="Arial"/>
                <w:b w:val="0"/>
                <w:color w:val="000000"/>
                <w:sz w:val="20"/>
                <w:szCs w:val="20"/>
                <w:lang w:val="hy-AM" w:eastAsia="en-US"/>
              </w:rPr>
            </w:pPr>
            <w:r w:rsidRPr="004E12E8">
              <w:rPr>
                <w:rFonts w:cs="Arial"/>
                <w:b w:val="0"/>
                <w:color w:val="000000"/>
                <w:sz w:val="20"/>
                <w:szCs w:val="20"/>
                <w:lang w:val="hy-AM" w:eastAsia="en-US"/>
              </w:rPr>
              <w:t>Հարկային եկամուտներ և տուրքեր</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1158.0</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1258.1</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B30AA6">
              <w:rPr>
                <w:rFonts w:cs="Arial"/>
                <w:bCs/>
                <w:color w:val="000000"/>
                <w:sz w:val="20"/>
                <w:szCs w:val="20"/>
                <w:lang w:val="hy-AM"/>
              </w:rPr>
              <w:t>1464.3</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1349.8</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1440.1</w:t>
            </w:r>
          </w:p>
        </w:tc>
      </w:tr>
      <w:tr w:rsidR="005A2924" w:rsidRPr="004E12E8" w:rsidTr="009F0A25">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rsidR="005A2924" w:rsidRPr="004E12E8" w:rsidRDefault="005A2924" w:rsidP="007730AA">
            <w:pPr>
              <w:spacing w:before="0" w:line="240" w:lineRule="auto"/>
              <w:ind w:firstLine="0"/>
              <w:contextualSpacing w:val="0"/>
              <w:jc w:val="left"/>
              <w:rPr>
                <w:rFonts w:cs="Arial"/>
                <w:b w:val="0"/>
                <w:color w:val="000000"/>
                <w:sz w:val="20"/>
                <w:szCs w:val="20"/>
                <w:lang w:val="hy-AM" w:eastAsia="en-US"/>
              </w:rPr>
            </w:pPr>
            <w:r w:rsidRPr="004E12E8">
              <w:rPr>
                <w:rFonts w:cs="Arial"/>
                <w:b w:val="0"/>
                <w:color w:val="000000"/>
                <w:sz w:val="20"/>
                <w:szCs w:val="20"/>
                <w:lang w:val="hy-AM" w:eastAsia="en-US"/>
              </w:rPr>
              <w:t>Պետական բյուջեի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1504.8</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1447.1</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B30AA6">
              <w:rPr>
                <w:rFonts w:cs="Arial"/>
                <w:bCs/>
                <w:color w:val="000000"/>
                <w:sz w:val="20"/>
                <w:szCs w:val="20"/>
                <w:lang w:val="hy-AM"/>
              </w:rPr>
              <w:t>1629.4</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1907.4</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sidRPr="00083DAF">
              <w:rPr>
                <w:rFonts w:cs="Arial"/>
                <w:bCs/>
                <w:color w:val="000000"/>
                <w:sz w:val="20"/>
                <w:szCs w:val="20"/>
                <w:lang w:val="hy-AM" w:eastAsia="en-US"/>
              </w:rPr>
              <w:t>1,850.9</w:t>
            </w:r>
          </w:p>
        </w:tc>
      </w:tr>
      <w:tr w:rsidR="005A2924" w:rsidRPr="004E12E8" w:rsidTr="009F0A25">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rsidR="005A2924" w:rsidRPr="004E12E8" w:rsidRDefault="005A2924" w:rsidP="007730AA">
            <w:pPr>
              <w:spacing w:before="0" w:line="240" w:lineRule="auto"/>
              <w:ind w:firstLineChars="100" w:firstLine="200"/>
              <w:contextualSpacing w:val="0"/>
              <w:jc w:val="left"/>
              <w:rPr>
                <w:rFonts w:cs="Arial"/>
                <w:b w:val="0"/>
                <w:color w:val="000000"/>
                <w:sz w:val="20"/>
                <w:szCs w:val="20"/>
                <w:lang w:val="hy-AM" w:eastAsia="en-US"/>
              </w:rPr>
            </w:pPr>
            <w:r w:rsidRPr="004E12E8">
              <w:rPr>
                <w:rFonts w:cs="Arial"/>
                <w:b w:val="0"/>
                <w:color w:val="000000"/>
                <w:sz w:val="20"/>
                <w:szCs w:val="20"/>
                <w:lang w:val="hy-AM" w:eastAsia="en-US"/>
              </w:rPr>
              <w:t>Ընթացիկ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1267.4</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1299</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B30AA6">
              <w:rPr>
                <w:rFonts w:cs="Arial"/>
                <w:bCs/>
                <w:color w:val="000000"/>
                <w:sz w:val="20"/>
                <w:szCs w:val="20"/>
                <w:lang w:val="hy-AM"/>
              </w:rPr>
              <w:t>1437.1</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1622.7</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1634.6</w:t>
            </w:r>
          </w:p>
        </w:tc>
      </w:tr>
      <w:tr w:rsidR="005A2924" w:rsidRPr="004E12E8" w:rsidTr="009F0A25">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rsidR="005A2924" w:rsidRPr="004E12E8" w:rsidRDefault="005A2924" w:rsidP="007730AA">
            <w:pPr>
              <w:spacing w:before="0" w:line="240" w:lineRule="auto"/>
              <w:ind w:firstLineChars="100" w:firstLine="200"/>
              <w:contextualSpacing w:val="0"/>
              <w:jc w:val="left"/>
              <w:rPr>
                <w:rFonts w:cs="Arial"/>
                <w:b w:val="0"/>
                <w:color w:val="000000"/>
                <w:sz w:val="20"/>
                <w:szCs w:val="20"/>
                <w:lang w:val="hy-AM" w:eastAsia="en-US"/>
              </w:rPr>
            </w:pPr>
            <w:r w:rsidRPr="004E12E8">
              <w:rPr>
                <w:rFonts w:cs="Arial"/>
                <w:b w:val="0"/>
                <w:color w:val="000000"/>
                <w:sz w:val="20"/>
                <w:szCs w:val="20"/>
                <w:lang w:val="hy-AM" w:eastAsia="en-US"/>
              </w:rPr>
              <w:t>Ոչ ֆինանսական ակտիվների հետ գործառնություններ</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237.4</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148.1</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B30AA6">
              <w:rPr>
                <w:rFonts w:cs="Arial"/>
                <w:bCs/>
                <w:color w:val="000000"/>
                <w:sz w:val="20"/>
                <w:szCs w:val="20"/>
                <w:lang w:val="hy-AM"/>
              </w:rPr>
              <w:t>192.3</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284</w:t>
            </w:r>
            <w:r w:rsidRPr="00A35F45">
              <w:rPr>
                <w:color w:val="000000"/>
                <w:sz w:val="20"/>
                <w:lang w:val="en-US"/>
              </w:rPr>
              <w:t>.7</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sidRPr="004E12E8">
              <w:rPr>
                <w:rFonts w:cs="Arial"/>
                <w:bCs/>
                <w:color w:val="000000"/>
                <w:sz w:val="20"/>
                <w:szCs w:val="20"/>
                <w:lang w:val="hy-AM" w:eastAsia="en-US"/>
              </w:rPr>
              <w:t>21</w:t>
            </w:r>
            <w:r>
              <w:rPr>
                <w:rFonts w:cs="Arial"/>
                <w:bCs/>
                <w:color w:val="000000"/>
                <w:sz w:val="20"/>
                <w:szCs w:val="20"/>
                <w:lang w:val="en-US" w:eastAsia="en-US"/>
              </w:rPr>
              <w:t>6</w:t>
            </w:r>
            <w:r w:rsidRPr="004E12E8">
              <w:rPr>
                <w:rFonts w:cs="Arial"/>
                <w:bCs/>
                <w:color w:val="000000"/>
                <w:sz w:val="20"/>
                <w:szCs w:val="20"/>
                <w:lang w:val="hy-AM" w:eastAsia="en-US"/>
              </w:rPr>
              <w:t>.</w:t>
            </w:r>
            <w:r>
              <w:rPr>
                <w:rFonts w:cs="Arial"/>
                <w:bCs/>
                <w:color w:val="000000"/>
                <w:sz w:val="20"/>
                <w:szCs w:val="20"/>
                <w:lang w:val="en-US" w:eastAsia="en-US"/>
              </w:rPr>
              <w:t>3</w:t>
            </w:r>
          </w:p>
        </w:tc>
      </w:tr>
      <w:tr w:rsidR="005A2924" w:rsidRPr="004E12E8" w:rsidTr="009F0A25">
        <w:trPr>
          <w:trHeight w:val="585"/>
          <w:jc w:val="center"/>
        </w:trPr>
        <w:tc>
          <w:tcPr>
            <w:tcW w:w="3140" w:type="dxa"/>
            <w:tcBorders>
              <w:top w:val="nil"/>
              <w:left w:val="single" w:sz="8" w:space="0" w:color="4472C4"/>
              <w:bottom w:val="single" w:sz="8" w:space="0" w:color="5B9BD5"/>
              <w:right w:val="nil"/>
            </w:tcBorders>
            <w:shd w:val="clear" w:color="000000" w:fill="FFFFFF"/>
            <w:vAlign w:val="center"/>
            <w:hideMark/>
          </w:tcPr>
          <w:p w:rsidR="005A2924" w:rsidRPr="004E12E8" w:rsidRDefault="005A2924" w:rsidP="007730AA">
            <w:pPr>
              <w:spacing w:before="0" w:line="240" w:lineRule="auto"/>
              <w:ind w:firstLine="0"/>
              <w:contextualSpacing w:val="0"/>
              <w:jc w:val="left"/>
              <w:rPr>
                <w:rFonts w:cs="Arial"/>
                <w:bCs/>
                <w:color w:val="000000"/>
                <w:sz w:val="20"/>
                <w:szCs w:val="20"/>
                <w:lang w:val="hy-AM" w:eastAsia="en-US"/>
              </w:rPr>
            </w:pPr>
            <w:r w:rsidRPr="004E12E8">
              <w:rPr>
                <w:rFonts w:cs="Arial"/>
                <w:bCs/>
                <w:color w:val="000000"/>
                <w:sz w:val="20"/>
                <w:szCs w:val="20"/>
                <w:lang w:val="hy-AM" w:eastAsia="en-US"/>
              </w:rPr>
              <w:t>Պետական բյուջեի դեֆիցիտ (-) / պրոֆիցիտ (+)</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-267.0</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B111F2" w:rsidRDefault="005A2924" w:rsidP="007730AA">
            <w:pPr>
              <w:spacing w:before="0" w:line="240" w:lineRule="auto"/>
              <w:ind w:firstLine="0"/>
              <w:contextualSpacing w:val="0"/>
              <w:jc w:val="center"/>
              <w:rPr>
                <w:rFonts w:cs="Arial"/>
                <w:bCs/>
                <w:color w:val="000000"/>
                <w:sz w:val="20"/>
                <w:szCs w:val="20"/>
                <w:lang w:val="en-US" w:eastAsia="en-US"/>
              </w:rPr>
            </w:pPr>
            <w:r w:rsidRPr="004E12E8">
              <w:rPr>
                <w:rFonts w:cs="Arial"/>
                <w:bCs/>
                <w:color w:val="000000"/>
                <w:sz w:val="20"/>
                <w:szCs w:val="20"/>
                <w:lang w:val="hy-AM" w:eastAsia="en-US"/>
              </w:rPr>
              <w:t>-105.4</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B30AA6">
              <w:rPr>
                <w:rFonts w:cs="Arial"/>
                <w:bCs/>
                <w:color w:val="000000"/>
                <w:sz w:val="20"/>
                <w:szCs w:val="20"/>
                <w:lang w:val="hy-AM"/>
              </w:rPr>
              <w:t>-64.0</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A35F45" w:rsidRDefault="005A2924" w:rsidP="007730AA">
            <w:pPr>
              <w:spacing w:before="0" w:line="240" w:lineRule="auto"/>
              <w:ind w:firstLine="0"/>
              <w:contextualSpacing w:val="0"/>
              <w:jc w:val="center"/>
              <w:rPr>
                <w:color w:val="000000"/>
                <w:sz w:val="20"/>
                <w:lang w:val="en-US"/>
              </w:rPr>
            </w:pPr>
            <w:r w:rsidRPr="004E12E8">
              <w:rPr>
                <w:rFonts w:cs="Arial"/>
                <w:bCs/>
                <w:color w:val="000000"/>
                <w:sz w:val="20"/>
                <w:szCs w:val="20"/>
                <w:lang w:val="hy-AM" w:eastAsia="en-US"/>
              </w:rPr>
              <w:t>-</w:t>
            </w:r>
            <w:r>
              <w:rPr>
                <w:rFonts w:cs="Arial"/>
                <w:bCs/>
                <w:color w:val="000000"/>
                <w:sz w:val="20"/>
                <w:szCs w:val="20"/>
                <w:lang w:val="en-US" w:eastAsia="en-US"/>
              </w:rPr>
              <w:t>429.7</w:t>
            </w:r>
          </w:p>
        </w:tc>
        <w:tc>
          <w:tcPr>
            <w:tcW w:w="1108" w:type="dxa"/>
            <w:tcBorders>
              <w:top w:val="nil"/>
              <w:left w:val="single" w:sz="8" w:space="0" w:color="4472C4"/>
              <w:bottom w:val="single" w:sz="4" w:space="0" w:color="4472C4"/>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sidRPr="004E12E8">
              <w:rPr>
                <w:rFonts w:cs="Arial"/>
                <w:bCs/>
                <w:color w:val="000000"/>
                <w:sz w:val="20"/>
                <w:szCs w:val="20"/>
                <w:lang w:val="hy-AM" w:eastAsia="en-US"/>
              </w:rPr>
              <w:t>-</w:t>
            </w:r>
            <w:r>
              <w:rPr>
                <w:rFonts w:cs="Arial"/>
                <w:bCs/>
                <w:color w:val="000000"/>
                <w:sz w:val="20"/>
                <w:szCs w:val="20"/>
                <w:lang w:val="hy-AM" w:eastAsia="en-US"/>
              </w:rPr>
              <w:t>34</w:t>
            </w:r>
            <w:r>
              <w:rPr>
                <w:rFonts w:cs="Arial"/>
                <w:bCs/>
                <w:color w:val="000000"/>
                <w:sz w:val="20"/>
                <w:szCs w:val="20"/>
                <w:lang w:val="en-US" w:eastAsia="en-US"/>
              </w:rPr>
              <w:t>1.4</w:t>
            </w:r>
          </w:p>
        </w:tc>
      </w:tr>
      <w:tr w:rsidR="005A2924" w:rsidRPr="004E12E8" w:rsidTr="009F0A25">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rsidR="005A2924" w:rsidRPr="004E12E8" w:rsidRDefault="005A2924" w:rsidP="007730AA">
            <w:pPr>
              <w:spacing w:before="0" w:line="240" w:lineRule="auto"/>
              <w:ind w:firstLine="0"/>
              <w:contextualSpacing w:val="0"/>
              <w:jc w:val="left"/>
              <w:rPr>
                <w:rFonts w:cs="Arial"/>
                <w:bCs/>
                <w:color w:val="000000"/>
                <w:sz w:val="20"/>
                <w:szCs w:val="20"/>
                <w:lang w:val="hy-AM" w:eastAsia="en-US"/>
              </w:rPr>
            </w:pPr>
            <w:r w:rsidRPr="004E12E8">
              <w:rPr>
                <w:rFonts w:cs="Arial"/>
                <w:bCs/>
                <w:color w:val="000000"/>
                <w:sz w:val="20"/>
                <w:szCs w:val="20"/>
                <w:lang w:val="hy-AM" w:eastAsia="en-US"/>
              </w:rPr>
              <w:t>Կառավարության պարտք</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2988.4</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3082.9</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B30AA6">
              <w:rPr>
                <w:rFonts w:cs="Arial"/>
                <w:bCs/>
                <w:color w:val="000000"/>
                <w:sz w:val="20"/>
                <w:szCs w:val="20"/>
                <w:lang w:val="hy-AM"/>
              </w:rPr>
              <w:t>3277.3</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A35F45" w:rsidRDefault="005A2924" w:rsidP="007730AA">
            <w:pPr>
              <w:spacing w:before="0" w:line="240" w:lineRule="auto"/>
              <w:ind w:firstLine="0"/>
              <w:contextualSpacing w:val="0"/>
              <w:jc w:val="center"/>
              <w:rPr>
                <w:color w:val="000000"/>
                <w:sz w:val="20"/>
                <w:lang w:val="en-US"/>
              </w:rPr>
            </w:pPr>
            <w:r w:rsidRPr="00083DAF">
              <w:rPr>
                <w:rFonts w:cs="Arial"/>
                <w:bCs/>
                <w:color w:val="000000"/>
                <w:sz w:val="20"/>
                <w:szCs w:val="20"/>
                <w:lang w:val="en-US" w:eastAsia="en-US"/>
              </w:rPr>
              <w:t>3,738.9</w:t>
            </w:r>
          </w:p>
        </w:tc>
        <w:tc>
          <w:tcPr>
            <w:tcW w:w="1108" w:type="dxa"/>
            <w:tcBorders>
              <w:top w:val="single" w:sz="8" w:space="0" w:color="5B9BD5"/>
              <w:left w:val="single" w:sz="8" w:space="0" w:color="4472C4"/>
              <w:bottom w:val="single" w:sz="4" w:space="0" w:color="4472C4"/>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sidRPr="00083DAF">
              <w:rPr>
                <w:rFonts w:cs="Arial"/>
                <w:bCs/>
                <w:color w:val="000000"/>
                <w:sz w:val="20"/>
                <w:szCs w:val="20"/>
                <w:lang w:val="en-US" w:eastAsia="en-US"/>
              </w:rPr>
              <w:t>4,221.9</w:t>
            </w:r>
          </w:p>
        </w:tc>
      </w:tr>
      <w:tr w:rsidR="005A2924" w:rsidRPr="004E12E8" w:rsidTr="009F0A25">
        <w:trPr>
          <w:trHeight w:val="300"/>
          <w:jc w:val="center"/>
        </w:trPr>
        <w:tc>
          <w:tcPr>
            <w:tcW w:w="4220" w:type="dxa"/>
            <w:gridSpan w:val="2"/>
            <w:tcBorders>
              <w:top w:val="single" w:sz="8" w:space="0" w:color="5B9BD5"/>
              <w:left w:val="single" w:sz="8" w:space="0" w:color="4472C4"/>
              <w:bottom w:val="single" w:sz="8" w:space="0" w:color="5B9BD5"/>
              <w:right w:val="single" w:sz="8" w:space="0" w:color="4472C4"/>
            </w:tcBorders>
            <w:shd w:val="clear" w:color="000000" w:fill="FFFFFF"/>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կշիռը ՀՆԱ-ում, %</w:t>
            </w:r>
          </w:p>
        </w:tc>
        <w:tc>
          <w:tcPr>
            <w:tcW w:w="1080" w:type="dxa"/>
            <w:tcBorders>
              <w:top w:val="nil"/>
              <w:left w:val="nil"/>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ascii="Calibri" w:hAnsi="Calibri" w:cs="Calibri"/>
                <w:bCs/>
                <w:color w:val="000000"/>
                <w:sz w:val="20"/>
                <w:szCs w:val="20"/>
                <w:lang w:val="hy-AM" w:eastAsia="en-US"/>
              </w:rPr>
              <w:t> </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ascii="Calibri" w:hAnsi="Calibri" w:cs="Calibri"/>
                <w:bCs/>
                <w:color w:val="000000"/>
                <w:sz w:val="20"/>
                <w:szCs w:val="20"/>
                <w:lang w:val="hy-AM" w:eastAsia="en-US"/>
              </w:rPr>
              <w:t> </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ascii="Calibri" w:hAnsi="Calibri" w:cs="Calibri"/>
                <w:bCs/>
                <w:color w:val="000000"/>
                <w:sz w:val="20"/>
                <w:szCs w:val="20"/>
                <w:lang w:val="hy-AM" w:eastAsia="en-US"/>
              </w:rPr>
              <w:t> </w:t>
            </w:r>
          </w:p>
        </w:tc>
        <w:tc>
          <w:tcPr>
            <w:tcW w:w="1108" w:type="dxa"/>
            <w:tcBorders>
              <w:top w:val="nil"/>
              <w:left w:val="single" w:sz="8" w:space="0" w:color="4472C4"/>
              <w:bottom w:val="single" w:sz="8" w:space="0" w:color="5B9BD5"/>
              <w:right w:val="single" w:sz="8" w:space="0" w:color="4472C4"/>
            </w:tcBorders>
            <w:shd w:val="clear" w:color="000000" w:fill="DEEAF6"/>
          </w:tcPr>
          <w:p w:rsidR="005A2924" w:rsidRPr="004E12E8" w:rsidRDefault="005A2924" w:rsidP="007730AA">
            <w:pPr>
              <w:spacing w:before="0" w:line="240" w:lineRule="auto"/>
              <w:ind w:firstLine="0"/>
              <w:contextualSpacing w:val="0"/>
              <w:jc w:val="center"/>
              <w:rPr>
                <w:rFonts w:ascii="Calibri" w:hAnsi="Calibri" w:cs="Calibri"/>
                <w:bCs/>
                <w:color w:val="000000"/>
                <w:sz w:val="20"/>
                <w:szCs w:val="20"/>
                <w:lang w:val="hy-AM" w:eastAsia="en-US"/>
              </w:rPr>
            </w:pPr>
          </w:p>
        </w:tc>
      </w:tr>
      <w:tr w:rsidR="005A2924" w:rsidRPr="004E12E8" w:rsidTr="009F0A25">
        <w:trPr>
          <w:trHeight w:val="825"/>
          <w:jc w:val="center"/>
        </w:trPr>
        <w:tc>
          <w:tcPr>
            <w:tcW w:w="3140" w:type="dxa"/>
            <w:tcBorders>
              <w:top w:val="nil"/>
              <w:left w:val="single" w:sz="8" w:space="0" w:color="4472C4"/>
              <w:bottom w:val="single" w:sz="8" w:space="0" w:color="5B9BD5"/>
              <w:right w:val="nil"/>
            </w:tcBorders>
            <w:shd w:val="clear" w:color="000000" w:fill="FFFFFF"/>
            <w:vAlign w:val="center"/>
            <w:hideMark/>
          </w:tcPr>
          <w:p w:rsidR="005A2924" w:rsidRPr="004E12E8" w:rsidRDefault="005A2924" w:rsidP="007730AA">
            <w:pPr>
              <w:spacing w:before="0" w:line="240" w:lineRule="auto"/>
              <w:ind w:firstLine="0"/>
              <w:contextualSpacing w:val="0"/>
              <w:jc w:val="left"/>
              <w:rPr>
                <w:rFonts w:cs="Arial"/>
                <w:b w:val="0"/>
                <w:color w:val="000000"/>
                <w:sz w:val="20"/>
                <w:szCs w:val="20"/>
                <w:lang w:val="hy-AM" w:eastAsia="en-US"/>
              </w:rPr>
            </w:pPr>
            <w:r w:rsidRPr="004E12E8">
              <w:rPr>
                <w:rFonts w:cs="Arial"/>
                <w:b w:val="0"/>
                <w:color w:val="000000"/>
                <w:sz w:val="20"/>
                <w:szCs w:val="20"/>
                <w:lang w:val="hy-AM" w:eastAsia="en-US"/>
              </w:rPr>
              <w:t>Պետական բյուջեի եկամուտներ և պաշտոնական տրանսֆերտներ</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22.2</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22.3</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Pr>
                <w:rFonts w:cs="Arial"/>
                <w:bCs/>
                <w:color w:val="000000"/>
                <w:sz w:val="20"/>
                <w:szCs w:val="20"/>
                <w:lang w:val="hy-AM" w:eastAsia="en-US"/>
              </w:rPr>
              <w:t>23.8</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24.3</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sidRPr="004E12E8">
              <w:rPr>
                <w:rFonts w:cs="Arial"/>
                <w:bCs/>
                <w:color w:val="000000"/>
                <w:sz w:val="20"/>
                <w:szCs w:val="20"/>
                <w:lang w:val="hy-AM" w:eastAsia="en-US"/>
              </w:rPr>
              <w:t>23.</w:t>
            </w:r>
            <w:r>
              <w:rPr>
                <w:rFonts w:cs="Arial"/>
                <w:bCs/>
                <w:color w:val="000000"/>
                <w:sz w:val="20"/>
                <w:szCs w:val="20"/>
                <w:lang w:val="en-US" w:eastAsia="en-US"/>
              </w:rPr>
              <w:t>6</w:t>
            </w:r>
          </w:p>
        </w:tc>
      </w:tr>
      <w:tr w:rsidR="005A2924" w:rsidRPr="004E12E8" w:rsidTr="009F0A25">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rsidR="005A2924" w:rsidRPr="004E12E8" w:rsidRDefault="005A2924" w:rsidP="007730AA">
            <w:pPr>
              <w:spacing w:before="0" w:line="240" w:lineRule="auto"/>
              <w:ind w:firstLineChars="100" w:firstLine="200"/>
              <w:contextualSpacing w:val="0"/>
              <w:jc w:val="left"/>
              <w:rPr>
                <w:rFonts w:cs="Arial"/>
                <w:b w:val="0"/>
                <w:color w:val="000000"/>
                <w:sz w:val="20"/>
                <w:szCs w:val="20"/>
                <w:lang w:val="hy-AM" w:eastAsia="en-US"/>
              </w:rPr>
            </w:pPr>
            <w:r w:rsidRPr="004E12E8">
              <w:rPr>
                <w:rFonts w:cs="Arial"/>
                <w:b w:val="0"/>
                <w:color w:val="000000"/>
                <w:sz w:val="20"/>
                <w:szCs w:val="20"/>
                <w:lang w:val="hy-AM" w:eastAsia="en-US"/>
              </w:rPr>
              <w:t>Հարկային եկամուտներ և տուրքեր</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20.8</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20.9</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22.3</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22.2</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sidRPr="004E12E8">
              <w:rPr>
                <w:rFonts w:cs="Arial"/>
                <w:bCs/>
                <w:color w:val="000000"/>
                <w:sz w:val="20"/>
                <w:szCs w:val="20"/>
                <w:lang w:val="hy-AM" w:eastAsia="en-US"/>
              </w:rPr>
              <w:t>22.</w:t>
            </w:r>
            <w:r>
              <w:rPr>
                <w:rFonts w:cs="Arial"/>
                <w:bCs/>
                <w:color w:val="000000"/>
                <w:sz w:val="20"/>
                <w:szCs w:val="20"/>
                <w:lang w:val="en-US" w:eastAsia="en-US"/>
              </w:rPr>
              <w:t>5</w:t>
            </w:r>
          </w:p>
        </w:tc>
      </w:tr>
      <w:tr w:rsidR="005A2924" w:rsidRPr="004E12E8" w:rsidTr="009F0A25">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rsidR="005A2924" w:rsidRPr="004E12E8" w:rsidRDefault="005A2924" w:rsidP="007730AA">
            <w:pPr>
              <w:spacing w:before="0" w:line="240" w:lineRule="auto"/>
              <w:ind w:firstLine="0"/>
              <w:contextualSpacing w:val="0"/>
              <w:jc w:val="left"/>
              <w:rPr>
                <w:rFonts w:cs="Arial"/>
                <w:b w:val="0"/>
                <w:color w:val="000000"/>
                <w:sz w:val="20"/>
                <w:szCs w:val="20"/>
                <w:lang w:val="hy-AM" w:eastAsia="en-US"/>
              </w:rPr>
            </w:pPr>
            <w:r w:rsidRPr="004E12E8">
              <w:rPr>
                <w:rFonts w:cs="Arial"/>
                <w:b w:val="0"/>
                <w:color w:val="000000"/>
                <w:sz w:val="20"/>
                <w:szCs w:val="20"/>
                <w:lang w:val="hy-AM" w:eastAsia="en-US"/>
              </w:rPr>
              <w:t>Պետական բյուջեի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27.0</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24.0</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24.8</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31.4</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28.9</w:t>
            </w:r>
          </w:p>
        </w:tc>
      </w:tr>
      <w:tr w:rsidR="005A2924" w:rsidRPr="004E12E8" w:rsidTr="009F0A25">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rsidR="005A2924" w:rsidRPr="004E12E8" w:rsidRDefault="005A2924" w:rsidP="007730AA">
            <w:pPr>
              <w:spacing w:before="0" w:line="240" w:lineRule="auto"/>
              <w:ind w:firstLineChars="100" w:firstLine="200"/>
              <w:contextualSpacing w:val="0"/>
              <w:jc w:val="left"/>
              <w:rPr>
                <w:rFonts w:cs="Arial"/>
                <w:b w:val="0"/>
                <w:color w:val="000000"/>
                <w:sz w:val="20"/>
                <w:szCs w:val="20"/>
                <w:lang w:val="hy-AM" w:eastAsia="en-US"/>
              </w:rPr>
            </w:pPr>
            <w:r w:rsidRPr="004E12E8">
              <w:rPr>
                <w:rFonts w:cs="Arial"/>
                <w:b w:val="0"/>
                <w:color w:val="000000"/>
                <w:sz w:val="20"/>
                <w:szCs w:val="20"/>
                <w:lang w:val="hy-AM" w:eastAsia="en-US"/>
              </w:rPr>
              <w:t>Ընթացիկ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22.8</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21.6</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21.9</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26.7</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25.6</w:t>
            </w:r>
          </w:p>
        </w:tc>
      </w:tr>
      <w:tr w:rsidR="005A2924" w:rsidRPr="004E12E8" w:rsidTr="009F0A25">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rsidR="005A2924" w:rsidRPr="004E12E8" w:rsidRDefault="005A2924" w:rsidP="007730AA">
            <w:pPr>
              <w:spacing w:before="0" w:line="240" w:lineRule="auto"/>
              <w:ind w:firstLineChars="100" w:firstLine="200"/>
              <w:contextualSpacing w:val="0"/>
              <w:jc w:val="left"/>
              <w:rPr>
                <w:rFonts w:cs="Arial"/>
                <w:b w:val="0"/>
                <w:color w:val="000000"/>
                <w:sz w:val="20"/>
                <w:szCs w:val="20"/>
                <w:lang w:val="hy-AM" w:eastAsia="en-US"/>
              </w:rPr>
            </w:pPr>
            <w:r w:rsidRPr="004E12E8">
              <w:rPr>
                <w:rFonts w:cs="Arial"/>
                <w:b w:val="0"/>
                <w:color w:val="000000"/>
                <w:sz w:val="20"/>
                <w:szCs w:val="20"/>
                <w:lang w:val="hy-AM" w:eastAsia="en-US"/>
              </w:rPr>
              <w:t>Ոչ ֆինանսական ակտիվների հետ գործառնություններ</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4.3</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2.5</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2.9</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4.7</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sidRPr="004E12E8">
              <w:rPr>
                <w:rFonts w:cs="Arial"/>
                <w:bCs/>
                <w:color w:val="000000"/>
                <w:sz w:val="20"/>
                <w:szCs w:val="20"/>
                <w:lang w:val="hy-AM" w:eastAsia="en-US"/>
              </w:rPr>
              <w:t>3.</w:t>
            </w:r>
            <w:r>
              <w:rPr>
                <w:rFonts w:cs="Arial"/>
                <w:bCs/>
                <w:color w:val="000000"/>
                <w:sz w:val="20"/>
                <w:szCs w:val="20"/>
                <w:lang w:val="en-US" w:eastAsia="en-US"/>
              </w:rPr>
              <w:t>4</w:t>
            </w:r>
          </w:p>
        </w:tc>
      </w:tr>
      <w:tr w:rsidR="005A2924" w:rsidRPr="004E12E8" w:rsidTr="009F0A25">
        <w:trPr>
          <w:trHeight w:val="585"/>
          <w:jc w:val="center"/>
        </w:trPr>
        <w:tc>
          <w:tcPr>
            <w:tcW w:w="3140" w:type="dxa"/>
            <w:tcBorders>
              <w:top w:val="nil"/>
              <w:left w:val="single" w:sz="8" w:space="0" w:color="4472C4"/>
              <w:bottom w:val="single" w:sz="8" w:space="0" w:color="5B9BD5"/>
              <w:right w:val="nil"/>
            </w:tcBorders>
            <w:shd w:val="clear" w:color="000000" w:fill="FFFFFF"/>
            <w:vAlign w:val="center"/>
            <w:hideMark/>
          </w:tcPr>
          <w:p w:rsidR="005A2924" w:rsidRPr="004E12E8" w:rsidRDefault="005A2924" w:rsidP="007730AA">
            <w:pPr>
              <w:spacing w:before="0" w:line="240" w:lineRule="auto"/>
              <w:ind w:firstLine="0"/>
              <w:contextualSpacing w:val="0"/>
              <w:jc w:val="left"/>
              <w:rPr>
                <w:rFonts w:cs="Arial"/>
                <w:bCs/>
                <w:color w:val="000000"/>
                <w:sz w:val="20"/>
                <w:szCs w:val="20"/>
                <w:lang w:val="hy-AM" w:eastAsia="en-US"/>
              </w:rPr>
            </w:pPr>
            <w:r w:rsidRPr="004E12E8">
              <w:rPr>
                <w:rFonts w:cs="Arial"/>
                <w:bCs/>
                <w:color w:val="000000"/>
                <w:sz w:val="20"/>
                <w:szCs w:val="20"/>
                <w:lang w:val="hy-AM" w:eastAsia="en-US"/>
              </w:rPr>
              <w:t>Պետական բյուջեի դեֆիցիտ (-) / պրոֆիցիտ (+)</w:t>
            </w:r>
            <w:r w:rsidRPr="004E12E8">
              <w:rPr>
                <w:rFonts w:ascii="Arial Armenian" w:hAnsi="Arial Armenian" w:cs="Arial"/>
                <w:bCs/>
                <w:color w:val="000000"/>
                <w:sz w:val="16"/>
                <w:szCs w:val="16"/>
                <w:lang w:val="hy-AM" w:eastAsia="en-US"/>
              </w:rPr>
              <w:t> </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-4.8</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-1.8</w:t>
            </w:r>
          </w:p>
        </w:tc>
        <w:tc>
          <w:tcPr>
            <w:tcW w:w="1080" w:type="dxa"/>
            <w:tcBorders>
              <w:top w:val="nil"/>
              <w:left w:val="single" w:sz="8" w:space="0" w:color="4472C4"/>
              <w:bottom w:val="single" w:sz="8" w:space="0" w:color="5B9BD5"/>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-1.0</w:t>
            </w:r>
          </w:p>
        </w:tc>
        <w:tc>
          <w:tcPr>
            <w:tcW w:w="1108" w:type="dxa"/>
            <w:tcBorders>
              <w:top w:val="nil"/>
              <w:left w:val="single" w:sz="8" w:space="0" w:color="4472C4"/>
              <w:bottom w:val="single" w:sz="8" w:space="0" w:color="5B9BD5"/>
              <w:right w:val="nil"/>
            </w:tcBorders>
            <w:shd w:val="clear" w:color="000000" w:fill="DEEAF6"/>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Pr>
                <w:rFonts w:cs="Arial"/>
                <w:bCs/>
                <w:color w:val="000000"/>
                <w:sz w:val="20"/>
                <w:szCs w:val="20"/>
                <w:lang w:val="hy-AM" w:eastAsia="en-US"/>
              </w:rPr>
              <w:t>-7</w:t>
            </w:r>
            <w:r w:rsidRPr="004E12E8">
              <w:rPr>
                <w:rFonts w:cs="Arial"/>
                <w:bCs/>
                <w:color w:val="000000"/>
                <w:sz w:val="20"/>
                <w:szCs w:val="20"/>
                <w:lang w:val="hy-AM" w:eastAsia="en-US"/>
              </w:rPr>
              <w:t>.1</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sidRPr="004E12E8">
              <w:rPr>
                <w:rFonts w:cs="Arial"/>
                <w:bCs/>
                <w:color w:val="000000"/>
                <w:sz w:val="20"/>
                <w:szCs w:val="20"/>
                <w:lang w:val="hy-AM" w:eastAsia="en-US"/>
              </w:rPr>
              <w:t>-</w:t>
            </w:r>
            <w:r>
              <w:rPr>
                <w:rFonts w:cs="Arial"/>
                <w:bCs/>
                <w:color w:val="000000"/>
                <w:sz w:val="20"/>
                <w:szCs w:val="20"/>
                <w:lang w:val="en-US" w:eastAsia="en-US"/>
              </w:rPr>
              <w:t>5.</w:t>
            </w:r>
            <w:r>
              <w:rPr>
                <w:color w:val="000000"/>
                <w:sz w:val="20"/>
                <w:lang w:val="en-US"/>
              </w:rPr>
              <w:t>3</w:t>
            </w:r>
          </w:p>
        </w:tc>
      </w:tr>
      <w:tr w:rsidR="005A2924" w:rsidRPr="004E12E8" w:rsidTr="009F0A25">
        <w:trPr>
          <w:trHeight w:val="300"/>
          <w:jc w:val="center"/>
        </w:trPr>
        <w:tc>
          <w:tcPr>
            <w:tcW w:w="3140" w:type="dxa"/>
            <w:tcBorders>
              <w:top w:val="nil"/>
              <w:left w:val="single" w:sz="8" w:space="0" w:color="4472C4"/>
              <w:bottom w:val="single" w:sz="8" w:space="0" w:color="4472C4"/>
              <w:right w:val="nil"/>
            </w:tcBorders>
            <w:shd w:val="clear" w:color="000000" w:fill="FFFFFF"/>
            <w:vAlign w:val="center"/>
            <w:hideMark/>
          </w:tcPr>
          <w:p w:rsidR="005A2924" w:rsidRPr="004E12E8" w:rsidRDefault="005A2924" w:rsidP="007730AA">
            <w:pPr>
              <w:spacing w:before="0" w:line="240" w:lineRule="auto"/>
              <w:ind w:firstLine="0"/>
              <w:contextualSpacing w:val="0"/>
              <w:jc w:val="left"/>
              <w:rPr>
                <w:rFonts w:cs="Arial"/>
                <w:bCs/>
                <w:color w:val="000000"/>
                <w:sz w:val="20"/>
                <w:szCs w:val="20"/>
                <w:lang w:val="hy-AM" w:eastAsia="en-US"/>
              </w:rPr>
            </w:pPr>
            <w:r w:rsidRPr="004E12E8">
              <w:rPr>
                <w:rFonts w:cs="Arial"/>
                <w:bCs/>
                <w:color w:val="000000"/>
                <w:sz w:val="20"/>
                <w:szCs w:val="20"/>
                <w:lang w:val="hy-AM" w:eastAsia="en-US"/>
              </w:rPr>
              <w:t>Կառավարության պարտք</w:t>
            </w:r>
          </w:p>
        </w:tc>
        <w:tc>
          <w:tcPr>
            <w:tcW w:w="1080" w:type="dxa"/>
            <w:tcBorders>
              <w:top w:val="nil"/>
              <w:left w:val="single" w:sz="8" w:space="0" w:color="4472C4"/>
              <w:bottom w:val="single" w:sz="8" w:space="0" w:color="4472C4"/>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53.7</w:t>
            </w:r>
          </w:p>
        </w:tc>
        <w:tc>
          <w:tcPr>
            <w:tcW w:w="1080" w:type="dxa"/>
            <w:tcBorders>
              <w:top w:val="nil"/>
              <w:left w:val="single" w:sz="8" w:space="0" w:color="4472C4"/>
              <w:bottom w:val="single" w:sz="8" w:space="0" w:color="4472C4"/>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51.2</w:t>
            </w:r>
          </w:p>
        </w:tc>
        <w:tc>
          <w:tcPr>
            <w:tcW w:w="1080" w:type="dxa"/>
            <w:tcBorders>
              <w:top w:val="nil"/>
              <w:left w:val="single" w:sz="8" w:space="0" w:color="4472C4"/>
              <w:bottom w:val="single" w:sz="8" w:space="0" w:color="4472C4"/>
              <w:right w:val="nil"/>
            </w:tcBorders>
            <w:shd w:val="clear" w:color="000000" w:fill="FFFFFF"/>
            <w:noWrap/>
            <w:vAlign w:val="center"/>
            <w:hideMark/>
          </w:tcPr>
          <w:p w:rsidR="005A2924" w:rsidRPr="004E12E8" w:rsidRDefault="005A2924" w:rsidP="007730AA">
            <w:pPr>
              <w:spacing w:before="0" w:line="240" w:lineRule="auto"/>
              <w:ind w:firstLine="0"/>
              <w:contextualSpacing w:val="0"/>
              <w:jc w:val="center"/>
              <w:rPr>
                <w:rFonts w:cs="Arial"/>
                <w:bCs/>
                <w:color w:val="000000"/>
                <w:sz w:val="20"/>
                <w:szCs w:val="20"/>
                <w:lang w:val="hy-AM" w:eastAsia="en-US"/>
              </w:rPr>
            </w:pPr>
            <w:r w:rsidRPr="004E12E8">
              <w:rPr>
                <w:rFonts w:cs="Arial"/>
                <w:bCs/>
                <w:color w:val="000000"/>
                <w:sz w:val="20"/>
                <w:szCs w:val="20"/>
                <w:lang w:val="hy-AM" w:eastAsia="en-US"/>
              </w:rPr>
              <w:t>49.9</w:t>
            </w:r>
          </w:p>
        </w:tc>
        <w:tc>
          <w:tcPr>
            <w:tcW w:w="1108" w:type="dxa"/>
            <w:tcBorders>
              <w:top w:val="nil"/>
              <w:left w:val="single" w:sz="8" w:space="0" w:color="4472C4"/>
              <w:bottom w:val="single" w:sz="8" w:space="0" w:color="4472C4"/>
              <w:right w:val="nil"/>
            </w:tcBorders>
            <w:shd w:val="clear" w:color="000000" w:fill="DEEAF6"/>
            <w:noWrap/>
            <w:vAlign w:val="center"/>
            <w:hideMark/>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61.5</w:t>
            </w:r>
          </w:p>
        </w:tc>
        <w:tc>
          <w:tcPr>
            <w:tcW w:w="1108" w:type="dxa"/>
            <w:tcBorders>
              <w:top w:val="nil"/>
              <w:left w:val="single" w:sz="8" w:space="0" w:color="4472C4"/>
              <w:bottom w:val="single" w:sz="8" w:space="0" w:color="4472C4"/>
              <w:right w:val="single" w:sz="8" w:space="0" w:color="4472C4"/>
            </w:tcBorders>
            <w:shd w:val="clear" w:color="000000" w:fill="DEEAF6"/>
            <w:vAlign w:val="center"/>
          </w:tcPr>
          <w:p w:rsidR="005A2924" w:rsidRPr="00A35F45" w:rsidRDefault="005A2924" w:rsidP="007730AA">
            <w:pPr>
              <w:spacing w:before="0" w:line="240" w:lineRule="auto"/>
              <w:ind w:firstLine="0"/>
              <w:contextualSpacing w:val="0"/>
              <w:jc w:val="center"/>
              <w:rPr>
                <w:color w:val="000000"/>
                <w:sz w:val="20"/>
                <w:lang w:val="en-US"/>
              </w:rPr>
            </w:pPr>
            <w:r>
              <w:rPr>
                <w:rFonts w:cs="Arial"/>
                <w:bCs/>
                <w:color w:val="000000"/>
                <w:sz w:val="20"/>
                <w:szCs w:val="20"/>
                <w:lang w:val="en-US" w:eastAsia="en-US"/>
              </w:rPr>
              <w:t>66.0</w:t>
            </w:r>
          </w:p>
        </w:tc>
      </w:tr>
    </w:tbl>
    <w:p w:rsidR="00AC0979" w:rsidRPr="00DE6C7D" w:rsidRDefault="005A2924" w:rsidP="00DE6C7D">
      <w:pPr>
        <w:spacing w:before="0" w:line="276" w:lineRule="auto"/>
        <w:ind w:firstLine="0"/>
        <w:contextualSpacing w:val="0"/>
        <w:rPr>
          <w:rFonts w:eastAsia="Calibri" w:cs="Arial"/>
          <w:b w:val="0"/>
          <w:bCs/>
          <w:sz w:val="20"/>
          <w:szCs w:val="20"/>
          <w:lang w:val="hy-AM" w:eastAsia="en-US"/>
        </w:rPr>
      </w:pPr>
      <w:r w:rsidRPr="005A2924">
        <w:rPr>
          <w:rFonts w:eastAsia="Calibri" w:cs="Arial"/>
          <w:b w:val="0"/>
          <w:bCs/>
          <w:sz w:val="20"/>
          <w:szCs w:val="20"/>
          <w:lang w:val="hy-AM" w:eastAsia="en-US"/>
        </w:rPr>
        <w:t>Աղբյուրը՝ ՀՀ ՖՆ կանխատեսումներ</w:t>
      </w:r>
      <w:bookmarkStart w:id="120" w:name="_Toc45838524"/>
      <w:bookmarkStart w:id="121" w:name="_Toc46154353"/>
    </w:p>
    <w:p w:rsidR="004E12E8" w:rsidRPr="004E12E8" w:rsidRDefault="004E12E8" w:rsidP="007730AA">
      <w:pPr>
        <w:keepNext/>
        <w:keepLines/>
        <w:spacing w:before="0" w:line="312" w:lineRule="auto"/>
        <w:ind w:firstLine="0"/>
        <w:outlineLvl w:val="2"/>
        <w:rPr>
          <w:sz w:val="28"/>
          <w:szCs w:val="28"/>
          <w:lang w:val="hy-AM" w:eastAsia="en-US"/>
        </w:rPr>
      </w:pPr>
      <w:bookmarkStart w:id="122" w:name="_Toc57655454"/>
      <w:r>
        <w:rPr>
          <w:sz w:val="28"/>
          <w:szCs w:val="28"/>
          <w:lang w:val="hy-AM" w:eastAsia="en-US"/>
        </w:rPr>
        <w:t>2</w:t>
      </w:r>
      <w:r w:rsidR="00087A4B">
        <w:rPr>
          <w:rFonts w:ascii="Cambria Math" w:hAnsi="Cambria Math" w:cs="Cambria Math"/>
          <w:sz w:val="28"/>
          <w:szCs w:val="28"/>
          <w:lang w:val="en-US" w:eastAsia="en-US"/>
        </w:rPr>
        <w:t>.</w:t>
      </w:r>
      <w:r w:rsidRPr="004E12E8">
        <w:rPr>
          <w:sz w:val="28"/>
          <w:szCs w:val="28"/>
          <w:lang w:val="hy-AM" w:eastAsia="en-US"/>
        </w:rPr>
        <w:t>2</w:t>
      </w:r>
      <w:r w:rsidR="00087A4B">
        <w:rPr>
          <w:rFonts w:ascii="Cambria Math" w:hAnsi="Cambria Math" w:cs="Cambria Math"/>
          <w:sz w:val="28"/>
          <w:szCs w:val="28"/>
          <w:lang w:val="en-US" w:eastAsia="en-US"/>
        </w:rPr>
        <w:t>.</w:t>
      </w:r>
      <w:r w:rsidRPr="004E12E8">
        <w:rPr>
          <w:sz w:val="28"/>
          <w:szCs w:val="28"/>
          <w:lang w:val="hy-AM" w:eastAsia="en-US"/>
        </w:rPr>
        <w:t xml:space="preserve"> ՀԱՐԿԱԲՅՈՒՋԵՏԱՅԻՆ ՔԱՂԱՔԱԿԱՆՈՒԹՅԱՆ ՄԻՏՈՒՄՆԵՐԸ ԵՎ ԿԱՆԽԱՏԵՍՈՒՄՆԵՐԸ</w:t>
      </w:r>
      <w:bookmarkEnd w:id="120"/>
      <w:bookmarkEnd w:id="121"/>
      <w:bookmarkEnd w:id="122"/>
    </w:p>
    <w:p w:rsidR="00D1025D" w:rsidRPr="004E12E8" w:rsidRDefault="00D1025D" w:rsidP="002026A8">
      <w:pPr>
        <w:spacing w:before="0" w:after="120" w:line="276" w:lineRule="auto"/>
        <w:ind w:firstLine="0"/>
        <w:contextualSpacing w:val="0"/>
        <w:rPr>
          <w:rFonts w:eastAsia="Calibri" w:cs="Arial"/>
          <w:bCs/>
          <w:szCs w:val="22"/>
          <w:u w:val="single"/>
          <w:lang w:val="hy-AM" w:eastAsia="en-US"/>
        </w:rPr>
      </w:pPr>
      <w:r w:rsidRPr="004E12E8">
        <w:rPr>
          <w:rFonts w:eastAsia="Calibri" w:cs="Arial"/>
          <w:bCs/>
          <w:szCs w:val="22"/>
          <w:u w:val="single"/>
          <w:lang w:val="hy-AM" w:eastAsia="en-US"/>
        </w:rPr>
        <w:t>2019 թվականի զարգացումները</w:t>
      </w:r>
    </w:p>
    <w:p w:rsidR="00D1025D" w:rsidRPr="004E12E8" w:rsidRDefault="00D1025D" w:rsidP="002026A8">
      <w:pPr>
        <w:spacing w:before="0" w:after="120" w:line="276" w:lineRule="auto"/>
        <w:ind w:firstLine="709"/>
        <w:contextualSpacing w:val="0"/>
        <w:rPr>
          <w:rFonts w:eastAsia="Calibri" w:cs="Sylfaen"/>
          <w:b w:val="0"/>
          <w:szCs w:val="22"/>
          <w:lang w:val="hy-AM" w:eastAsia="en-US"/>
        </w:rPr>
      </w:pPr>
      <w:r w:rsidRPr="004E12E8">
        <w:rPr>
          <w:rFonts w:eastAsia="Calibri" w:cs="Arial"/>
          <w:bCs/>
          <w:szCs w:val="22"/>
          <w:lang w:val="hy-AM" w:eastAsia="en-US"/>
        </w:rPr>
        <w:t>2019 թվականին իրականացված հարկաբյուջետային քաղաքականությունը միտված է եղել ՀՀ կառավարության պարտքի կայունության ապահովմանը՝</w:t>
      </w:r>
      <w:r w:rsidRPr="004E12E8">
        <w:rPr>
          <w:rFonts w:eastAsia="Calibri" w:cs="Sylfaen"/>
          <w:bCs/>
          <w:szCs w:val="22"/>
          <w:lang w:val="hy-AM" w:eastAsia="en-US"/>
        </w:rPr>
        <w:t xml:space="preserve"> զուգահեռաբար նպաստելով բարձր տնտեսական աճի և մակրոտնտեսական կայունության ապահովմանը:</w:t>
      </w:r>
      <w:r w:rsidRPr="004E12E8">
        <w:rPr>
          <w:rFonts w:eastAsia="Calibri" w:cs="Sylfaen"/>
          <w:b w:val="0"/>
          <w:szCs w:val="22"/>
          <w:lang w:val="hy-AM" w:eastAsia="en-US"/>
        </w:rPr>
        <w:t xml:space="preserve"> 2019 թվականին ՀՀ պետական բյուջեի եկամուտները ՀՆԱ-ում կազմել է 23.8%: Ընդ որում՝ եկամուտների կշիռը 2019 թվականին 2018-ի նկատմամբ բարելավվել է աննախադեպ 1.53 տոկոսային կետով: Հարկային եկամուտները և տուրքերը 2019 թ.-ին 2018 թ.-ի ՀՆԱ-ի նկատմամբ բարելավվել են 1.38 տոկոսային կետով՝ 20.9%-ից դառնալով 22.3%: Հարկեր/ՀՆԱ ցուցանիշի բարելավումը պայմանավորվել է ՀՀ կառավարության ստվերի դեմ իրականացվող պայքարով, հարկային վարչարարության բարելավմամբ և ավտոմեքենաների ներմուծման ծավալների աճով։  </w:t>
      </w:r>
    </w:p>
    <w:p w:rsidR="00D1025D" w:rsidRPr="004E12E8" w:rsidRDefault="00D1025D" w:rsidP="002026A8">
      <w:pPr>
        <w:spacing w:before="0" w:after="120" w:line="276" w:lineRule="auto"/>
        <w:ind w:firstLine="709"/>
        <w:contextualSpacing w:val="0"/>
        <w:rPr>
          <w:rFonts w:eastAsia="Calibri"/>
          <w:b w:val="0"/>
          <w:szCs w:val="22"/>
          <w:lang w:val="hy-AM" w:eastAsia="en-US"/>
        </w:rPr>
      </w:pPr>
      <w:r w:rsidRPr="004E12E8">
        <w:rPr>
          <w:rFonts w:eastAsia="Calibri"/>
          <w:b w:val="0"/>
          <w:szCs w:val="22"/>
          <w:lang w:val="hy-AM" w:eastAsia="en-US"/>
        </w:rPr>
        <w:t>2019 թվականին պետական բյուջեի ընդամենը ծախսերը կազմել են ՀՆԱ-ի 24.8%-ը՝ 2018 թվականի նկատմամբ բարելավելով 0.8 տոկոսային կետով, որում ընթացիկ ծախսերը ՀՆԱ-ի նկատմա</w:t>
      </w:r>
      <w:r>
        <w:rPr>
          <w:rFonts w:eastAsia="Calibri"/>
          <w:b w:val="0"/>
          <w:szCs w:val="22"/>
          <w:lang w:val="hy-AM" w:eastAsia="en-US"/>
        </w:rPr>
        <w:t>մ</w:t>
      </w:r>
      <w:r w:rsidRPr="004E12E8">
        <w:rPr>
          <w:rFonts w:eastAsia="Calibri"/>
          <w:b w:val="0"/>
          <w:szCs w:val="22"/>
          <w:lang w:val="hy-AM" w:eastAsia="en-US"/>
        </w:rPr>
        <w:t>բ կազմել են 21.9%՝ բարելավվելով 0.3 տոկոսային կետով, իսկ ոչ ֆինանսական ակտիվների հետ գործառնությունները ՀՆԱ-ի նկատմա</w:t>
      </w:r>
      <w:r>
        <w:rPr>
          <w:rFonts w:eastAsia="Calibri"/>
          <w:b w:val="0"/>
          <w:szCs w:val="22"/>
          <w:lang w:val="hy-AM" w:eastAsia="en-US"/>
        </w:rPr>
        <w:t>մ</w:t>
      </w:r>
      <w:r w:rsidRPr="004E12E8">
        <w:rPr>
          <w:rFonts w:eastAsia="Calibri"/>
          <w:b w:val="0"/>
          <w:szCs w:val="22"/>
          <w:lang w:val="hy-AM" w:eastAsia="en-US"/>
        </w:rPr>
        <w:t>բ կազմել է 2.9%՝ բարելավվելով 0.47 տոկոսային կետով</w:t>
      </w:r>
      <w:r w:rsidRPr="004E12E8">
        <w:rPr>
          <w:rFonts w:eastAsia="Calibri" w:cs="GHEA Grapalat"/>
          <w:b w:val="0"/>
          <w:szCs w:val="22"/>
          <w:lang w:val="hy-AM" w:eastAsia="en-US"/>
        </w:rPr>
        <w:t>:</w:t>
      </w:r>
      <w:r w:rsidRPr="004E12E8">
        <w:rPr>
          <w:rFonts w:eastAsia="Calibri"/>
          <w:b w:val="0"/>
          <w:szCs w:val="22"/>
          <w:lang w:val="hy-AM" w:eastAsia="en-US"/>
        </w:rPr>
        <w:t xml:space="preserve">  </w:t>
      </w:r>
    </w:p>
    <w:p w:rsidR="00D1025D" w:rsidRPr="004E12E8" w:rsidRDefault="00D1025D" w:rsidP="002026A8">
      <w:pPr>
        <w:spacing w:before="0" w:after="120" w:line="276" w:lineRule="auto"/>
        <w:ind w:firstLine="709"/>
        <w:contextualSpacing w:val="0"/>
        <w:rPr>
          <w:rFonts w:eastAsia="Calibri"/>
          <w:b w:val="0"/>
          <w:szCs w:val="22"/>
          <w:lang w:val="hy-AM" w:eastAsia="en-US"/>
        </w:rPr>
      </w:pPr>
      <w:r w:rsidRPr="004E12E8">
        <w:rPr>
          <w:rFonts w:eastAsia="Calibri" w:cs="Sylfaen"/>
          <w:szCs w:val="22"/>
          <w:lang w:val="hy-AM" w:eastAsia="en-US"/>
        </w:rPr>
        <w:t xml:space="preserve">Արդյունքում, 2019 թվականներին հարկաբյուջետային քաղաքականությունն ամբողջական պահանջարկի վրա ունեցել է չեզոք ազդեցություն: </w:t>
      </w:r>
      <w:r w:rsidRPr="004E12E8">
        <w:rPr>
          <w:rFonts w:eastAsia="Calibri" w:cs="Sylfaen"/>
          <w:b w:val="0"/>
          <w:szCs w:val="22"/>
          <w:lang w:val="hy-AM" w:eastAsia="en-US"/>
        </w:rPr>
        <w:t>Ընդ որում ուշադրության կենտրոնում է պահվել ՀՀ կառավարության պարտքի կայունության ապահովումը՝ զուգահեռաբար նպատակ դնելով նպաստել տնտեսական աճի վերականգնմանը և մակրոտնտեսական կայունության ապահովմանը:</w:t>
      </w:r>
      <w:r w:rsidRPr="004E12E8">
        <w:rPr>
          <w:rFonts w:eastAsia="Calibri"/>
          <w:b w:val="0"/>
          <w:szCs w:val="22"/>
          <w:lang w:val="hy-AM" w:eastAsia="en-US"/>
        </w:rPr>
        <w:t xml:space="preserve"> Հարկաբյուջետային ազդակը 2019 թվականին գնահատվել է 0.2 չեզոք՝ եկամուտների 1.1 զսպող և ծախսերի 1.3 ընդլայնող ազդեցություններով:</w:t>
      </w:r>
    </w:p>
    <w:p w:rsidR="00D1025D" w:rsidRPr="004E12E8" w:rsidRDefault="00D1025D" w:rsidP="002026A8">
      <w:pPr>
        <w:spacing w:before="0" w:after="120" w:line="276" w:lineRule="auto"/>
        <w:ind w:firstLine="709"/>
        <w:contextualSpacing w:val="0"/>
        <w:rPr>
          <w:rFonts w:eastAsia="Calibri"/>
          <w:b w:val="0"/>
          <w:szCs w:val="22"/>
          <w:lang w:val="hy-AM" w:eastAsia="en-US"/>
        </w:rPr>
      </w:pPr>
      <w:r w:rsidRPr="004E12E8">
        <w:rPr>
          <w:rFonts w:eastAsia="Calibri"/>
          <w:b w:val="0"/>
          <w:szCs w:val="22"/>
          <w:lang w:val="hy-AM" w:eastAsia="en-US"/>
        </w:rPr>
        <w:t>2019 թվականին հարկաբյուջետային քաղաքականությունն իրականացվել է «ոսկյա կանոնի» և նոր հարկաբյուջետային կանոնների տրամաբանության պահպանմամբ, ինչի արդյունքում կապիտալ ծախսերի չափը գերազանցել է պակասուրդի մեծությունը, իսկ հարկային եկամուտները գերազանցել են ընթացիկ ծախսերը:</w:t>
      </w:r>
    </w:p>
    <w:p w:rsidR="00D1025D" w:rsidRPr="004E12E8" w:rsidRDefault="00D1025D" w:rsidP="002026A8">
      <w:pPr>
        <w:spacing w:before="0" w:after="120" w:line="276" w:lineRule="auto"/>
        <w:ind w:firstLine="709"/>
        <w:contextualSpacing w:val="0"/>
        <w:rPr>
          <w:rFonts w:eastAsia="Calibri"/>
          <w:b w:val="0"/>
          <w:szCs w:val="22"/>
          <w:lang w:val="hy-AM" w:eastAsia="en-US"/>
        </w:rPr>
      </w:pPr>
      <w:r w:rsidRPr="004E12E8">
        <w:rPr>
          <w:rFonts w:eastAsia="Calibri"/>
          <w:bCs/>
          <w:szCs w:val="22"/>
          <w:lang w:val="hy-AM" w:eastAsia="en-US"/>
        </w:rPr>
        <w:t>2019թ. հարկաբյուջետային կանոններին համահունչ իրականացված հարկաբյուջետային կոնսոլիդացիայի արդյունքում ՀՀ կառավարության պարտքի բեռը նվազել է։</w:t>
      </w:r>
      <w:r w:rsidRPr="004E12E8">
        <w:rPr>
          <w:rFonts w:eastAsia="Calibri"/>
          <w:b w:val="0"/>
          <w:szCs w:val="22"/>
          <w:lang w:val="hy-AM" w:eastAsia="en-US"/>
        </w:rPr>
        <w:t xml:space="preserve">  2019թ</w:t>
      </w:r>
      <w:r w:rsidRPr="004E12E8">
        <w:rPr>
          <w:rFonts w:ascii="Cambria Math" w:eastAsia="Calibri" w:hAnsi="Cambria Math" w:cs="Cambria Math"/>
          <w:b w:val="0"/>
          <w:szCs w:val="22"/>
          <w:lang w:val="hy-AM" w:eastAsia="en-US"/>
        </w:rPr>
        <w:t>․</w:t>
      </w:r>
      <w:r w:rsidRPr="004E12E8">
        <w:rPr>
          <w:rFonts w:eastAsia="Calibri"/>
          <w:b w:val="0"/>
          <w:szCs w:val="22"/>
          <w:lang w:val="hy-AM" w:eastAsia="en-US"/>
        </w:rPr>
        <w:t xml:space="preserve"> ՀՀ կառավարության պարտք/ՀՆԱ հարաբերակցությունը ցածր է գտնվել 50% շեմային ցուցանիշից, որը, ըստ 2019-2023թթ</w:t>
      </w:r>
      <w:r w:rsidRPr="004E12E8">
        <w:rPr>
          <w:rFonts w:ascii="Cambria Math" w:eastAsia="Calibri" w:hAnsi="Cambria Math" w:cs="Cambria Math"/>
          <w:b w:val="0"/>
          <w:szCs w:val="22"/>
          <w:lang w:val="hy-AM" w:eastAsia="en-US"/>
        </w:rPr>
        <w:t>․</w:t>
      </w:r>
      <w:r w:rsidRPr="004E12E8">
        <w:rPr>
          <w:rFonts w:eastAsia="Calibri"/>
          <w:b w:val="0"/>
          <w:szCs w:val="22"/>
          <w:lang w:val="hy-AM" w:eastAsia="en-US"/>
        </w:rPr>
        <w:t xml:space="preserve"> ՀՀ կառավարության պարտքի նվազեցման վերանայված ծրագրի (2020-2022թթ. ՄԺԾԾ մաս կազմող), նախատեսվել էր արձանագրել 2023թ</w:t>
      </w:r>
      <w:r w:rsidRPr="004E12E8">
        <w:rPr>
          <w:rFonts w:ascii="Cambria Math" w:eastAsia="Calibri" w:hAnsi="Cambria Math" w:cs="Cambria Math"/>
          <w:b w:val="0"/>
          <w:szCs w:val="22"/>
          <w:lang w:val="hy-AM" w:eastAsia="en-US"/>
        </w:rPr>
        <w:t>․</w:t>
      </w:r>
      <w:r w:rsidRPr="004E12E8">
        <w:rPr>
          <w:rFonts w:eastAsia="Calibri"/>
          <w:b w:val="0"/>
          <w:szCs w:val="22"/>
          <w:lang w:val="hy-AM" w:eastAsia="en-US"/>
        </w:rPr>
        <w:t>։ Կառավարության պարտք/ՀՆԱ ցուցանիշը նվազել է 1.3%-ային կետով, ինչին ամենաշատը նպաստել է տնտեսական աճը՝ -3.6%-ային կետով։ Առաջնային հաշվեկշռի նպաստումը կազմել է -1.4%-ային կետ, իսկ իրական տոկոսադրույքի դրական նպաստումը աճել է՝ հասնելով 1.7%-ային կետի (տես՝ Գծապատկեր 2.5)։</w:t>
      </w:r>
    </w:p>
    <w:p w:rsidR="00D1025D" w:rsidRPr="001D11EB" w:rsidRDefault="00D1025D" w:rsidP="002026A8">
      <w:pPr>
        <w:spacing w:before="0" w:after="120" w:line="276" w:lineRule="auto"/>
        <w:ind w:firstLine="0"/>
        <w:contextualSpacing w:val="0"/>
        <w:rPr>
          <w:rFonts w:eastAsia="Calibri" w:cs="Arial"/>
          <w:bCs/>
          <w:szCs w:val="22"/>
          <w:u w:val="single"/>
          <w:lang w:val="hy-AM" w:eastAsia="en-US"/>
        </w:rPr>
      </w:pPr>
      <w:r w:rsidRPr="001D11EB">
        <w:rPr>
          <w:rFonts w:eastAsia="Calibri" w:cs="Arial"/>
          <w:bCs/>
          <w:szCs w:val="22"/>
          <w:u w:val="single"/>
          <w:lang w:val="hy-AM" w:eastAsia="en-US"/>
        </w:rPr>
        <w:t>2020թ. ընթացիկ զարգացումներ</w:t>
      </w:r>
    </w:p>
    <w:p w:rsidR="00D1025D" w:rsidRPr="004E12E8" w:rsidRDefault="00D1025D" w:rsidP="002026A8">
      <w:pPr>
        <w:autoSpaceDE w:val="0"/>
        <w:autoSpaceDN w:val="0"/>
        <w:adjustRightInd w:val="0"/>
        <w:spacing w:before="0" w:after="120" w:line="276" w:lineRule="auto"/>
        <w:contextualSpacing w:val="0"/>
        <w:rPr>
          <w:rFonts w:eastAsia="Calibri" w:cs="GHEA Grapalat"/>
          <w:b w:val="0"/>
          <w:szCs w:val="22"/>
          <w:lang w:val="hy-AM" w:eastAsia="en-US"/>
        </w:rPr>
      </w:pPr>
      <w:r w:rsidRPr="004E12E8">
        <w:rPr>
          <w:rFonts w:eastAsia="Calibri" w:cs="GHEA Grapalat"/>
          <w:szCs w:val="22"/>
          <w:lang w:val="hy-AM" w:eastAsia="en-US"/>
        </w:rPr>
        <w:t>2020 թվականի ընթացքում COVID-19 համավարակի տարածման հետևանքով տնտեսական ակտիվության դանդաղման և թույլ պահանջարկի պայմաններում հարկաբյուջետային քաղաքականության ազդեցությունն ամբողջական պահանջարկի վրա գնահատվում է խթանող:</w:t>
      </w:r>
      <w:r w:rsidRPr="004E12E8">
        <w:rPr>
          <w:rFonts w:eastAsia="Calibri" w:cs="GHEA Grapalat"/>
          <w:b w:val="0"/>
          <w:szCs w:val="22"/>
          <w:lang w:val="hy-AM" w:eastAsia="en-US"/>
        </w:rPr>
        <w:t xml:space="preserve"> Համավարակի հետևանքով առաջացած տնտեսական ճգնաժամը հարկային եկամուտների վրա ունեցել է բացասական ազդեցութ</w:t>
      </w:r>
      <w:r>
        <w:rPr>
          <w:rFonts w:eastAsia="Calibri" w:cs="GHEA Grapalat"/>
          <w:b w:val="0"/>
          <w:szCs w:val="22"/>
          <w:lang w:val="hy-AM" w:eastAsia="en-US"/>
        </w:rPr>
        <w:t>յ</w:t>
      </w:r>
      <w:r w:rsidRPr="004E12E8">
        <w:rPr>
          <w:rFonts w:eastAsia="Calibri" w:cs="GHEA Grapalat"/>
          <w:b w:val="0"/>
          <w:szCs w:val="22"/>
          <w:lang w:val="hy-AM" w:eastAsia="en-US"/>
        </w:rPr>
        <w:t xml:space="preserve">ուն, որն վերջին ամիսների աստիճանաբար թուլանում է: </w:t>
      </w:r>
      <w:r w:rsidRPr="00722082">
        <w:rPr>
          <w:rFonts w:eastAsia="Calibri" w:cs="GHEA Grapalat"/>
          <w:b w:val="0"/>
          <w:szCs w:val="22"/>
          <w:lang w:val="hy-AM" w:eastAsia="en-US"/>
        </w:rPr>
        <w:t>2020 թվականի ապրիլ ամսից սկսված նախորդ տարվա նույն ամսվա նկատմամբ հարկային եկամուտներն աստիճանաբար սկսել են նվազել և արդեն հունիս ամսին նախորդ տարվա նույն ամսվա նկատմամբ գրանցվել է առավելագույն անկումը՝ 32.1%, իսկ հուլիս ամսից սկսված հարկային եկամուտների անկումը դանդաղել է և երրորդ եռամսյակի ամիսների միջին անկումը կազմել 7.9 տոկոս</w:t>
      </w:r>
      <w:r w:rsidRPr="00A35F45">
        <w:rPr>
          <w:rFonts w:eastAsia="Calibri" w:cs="GHEA Grapalat"/>
          <w:b w:val="0"/>
          <w:szCs w:val="22"/>
          <w:lang w:val="hy-AM" w:eastAsia="en-US"/>
        </w:rPr>
        <w:t>:</w:t>
      </w:r>
      <w:r w:rsidRPr="00F221CC">
        <w:rPr>
          <w:rFonts w:eastAsia="Calibri" w:cs="GHEA Grapalat"/>
          <w:b w:val="0"/>
          <w:szCs w:val="22"/>
          <w:lang w:val="hy-AM" w:eastAsia="en-US"/>
        </w:rPr>
        <w:t xml:space="preserve"> </w:t>
      </w:r>
      <w:r w:rsidRPr="00A35F45">
        <w:rPr>
          <w:rFonts w:eastAsia="Calibri" w:cs="GHEA Grapalat"/>
          <w:b w:val="0"/>
          <w:szCs w:val="22"/>
          <w:lang w:val="hy-AM" w:eastAsia="en-US"/>
        </w:rPr>
        <w:t>Հ</w:t>
      </w:r>
      <w:r w:rsidRPr="00F221CC">
        <w:rPr>
          <w:rFonts w:eastAsia="Calibri" w:cs="GHEA Grapalat"/>
          <w:b w:val="0"/>
          <w:szCs w:val="22"/>
          <w:lang w:val="hy-AM" w:eastAsia="en-US"/>
        </w:rPr>
        <w:t xml:space="preserve">ոկտեմբեր ամսին </w:t>
      </w:r>
      <w:r w:rsidRPr="00BA1661">
        <w:rPr>
          <w:rFonts w:eastAsia="Calibri" w:cs="GHEA Grapalat"/>
          <w:b w:val="0"/>
          <w:szCs w:val="22"/>
          <w:lang w:val="hy-AM" w:eastAsia="en-US"/>
        </w:rPr>
        <w:t>գրանցվել է</w:t>
      </w:r>
      <w:r w:rsidRPr="00A35F45">
        <w:rPr>
          <w:rFonts w:eastAsia="Calibri" w:cs="GHEA Grapalat"/>
          <w:b w:val="0"/>
          <w:szCs w:val="22"/>
          <w:lang w:val="hy-AM" w:eastAsia="en-US"/>
        </w:rPr>
        <w:t xml:space="preserve"> հարկային եկամուտների փոքր</w:t>
      </w:r>
      <w:r w:rsidRPr="00BA1661">
        <w:rPr>
          <w:rFonts w:eastAsia="Calibri" w:cs="GHEA Grapalat"/>
          <w:b w:val="0"/>
          <w:szCs w:val="22"/>
          <w:lang w:val="hy-AM" w:eastAsia="en-US"/>
        </w:rPr>
        <w:t xml:space="preserve"> աճ</w:t>
      </w:r>
      <w:r w:rsidRPr="00A35F45">
        <w:rPr>
          <w:rFonts w:eastAsia="Calibri" w:cs="GHEA Grapalat"/>
          <w:b w:val="0"/>
          <w:szCs w:val="22"/>
          <w:lang w:val="hy-AM" w:eastAsia="en-US"/>
        </w:rPr>
        <w:t>՝</w:t>
      </w:r>
      <w:r w:rsidRPr="00BA1661">
        <w:rPr>
          <w:rFonts w:eastAsia="Calibri" w:cs="GHEA Grapalat"/>
          <w:b w:val="0"/>
          <w:szCs w:val="22"/>
          <w:lang w:val="hy-AM" w:eastAsia="en-US"/>
        </w:rPr>
        <w:t xml:space="preserve"> 0.4 տոկոս</w:t>
      </w:r>
      <w:r w:rsidRPr="00A35F45">
        <w:rPr>
          <w:rFonts w:eastAsia="Calibri" w:cs="GHEA Grapalat"/>
          <w:b w:val="0"/>
          <w:szCs w:val="22"/>
          <w:lang w:val="hy-AM" w:eastAsia="en-US"/>
        </w:rPr>
        <w:t>ի չափով</w:t>
      </w:r>
      <w:r w:rsidRPr="00BA1661">
        <w:rPr>
          <w:rFonts w:eastAsia="Calibri" w:cs="GHEA Grapalat"/>
          <w:b w:val="0"/>
          <w:szCs w:val="22"/>
          <w:lang w:val="hy-AM" w:eastAsia="en-US"/>
        </w:rPr>
        <w:t>:</w:t>
      </w:r>
      <w:r w:rsidRPr="00722082">
        <w:rPr>
          <w:rFonts w:eastAsia="Calibri" w:cs="GHEA Grapalat"/>
          <w:b w:val="0"/>
          <w:szCs w:val="22"/>
          <w:lang w:val="hy-AM" w:eastAsia="en-US"/>
        </w:rPr>
        <w:t xml:space="preserve"> Արդյունքում՝ 2020 թվականի </w:t>
      </w:r>
      <w:r>
        <w:rPr>
          <w:rFonts w:eastAsia="Calibri" w:cs="GHEA Grapalat"/>
          <w:b w:val="0"/>
          <w:szCs w:val="22"/>
          <w:lang w:val="hy-AM" w:eastAsia="en-US"/>
        </w:rPr>
        <w:t>հունվար-հոկտեմբեր</w:t>
      </w:r>
      <w:r w:rsidRPr="00722082">
        <w:rPr>
          <w:rFonts w:eastAsia="Calibri" w:cs="GHEA Grapalat"/>
          <w:b w:val="0"/>
          <w:szCs w:val="22"/>
          <w:lang w:val="hy-AM" w:eastAsia="en-US"/>
        </w:rPr>
        <w:t xml:space="preserve"> ամիսներին  պետական բյուջեի ընդհանուր եկամուտները կազմել են </w:t>
      </w:r>
      <w:r w:rsidRPr="00BA1661">
        <w:rPr>
          <w:rFonts w:eastAsia="Calibri" w:cs="GHEA Grapalat"/>
          <w:b w:val="0"/>
          <w:szCs w:val="22"/>
          <w:lang w:val="hy-AM" w:eastAsia="en-US"/>
        </w:rPr>
        <w:t>1248.0</w:t>
      </w:r>
      <w:r w:rsidRPr="00722082">
        <w:rPr>
          <w:rFonts w:eastAsia="Calibri" w:cs="GHEA Grapalat"/>
          <w:b w:val="0"/>
          <w:szCs w:val="22"/>
          <w:lang w:val="hy-AM" w:eastAsia="en-US"/>
        </w:rPr>
        <w:t xml:space="preserve"> մլրդ դրամ՝ նախորդ տարվա նույն ժամանակահատվածի համեմատ նվազելով </w:t>
      </w:r>
      <w:r w:rsidRPr="00BA1661">
        <w:rPr>
          <w:rFonts w:eastAsia="Calibri" w:cs="GHEA Grapalat"/>
          <w:b w:val="0"/>
          <w:szCs w:val="22"/>
          <w:lang w:val="hy-AM" w:eastAsia="en-US"/>
        </w:rPr>
        <w:t>1.9</w:t>
      </w:r>
      <w:r w:rsidRPr="00722082">
        <w:rPr>
          <w:rFonts w:eastAsia="Calibri" w:cs="GHEA Grapalat"/>
          <w:b w:val="0"/>
          <w:szCs w:val="22"/>
          <w:lang w:val="hy-AM" w:eastAsia="en-US"/>
        </w:rPr>
        <w:t xml:space="preserve">%-ով, իսկ հարկեր և տուրքերը կազմել են </w:t>
      </w:r>
      <w:r w:rsidRPr="00BA1661">
        <w:rPr>
          <w:rFonts w:eastAsia="Calibri" w:cs="GHEA Grapalat"/>
          <w:b w:val="0"/>
          <w:szCs w:val="22"/>
          <w:lang w:val="hy-AM" w:eastAsia="en-US"/>
        </w:rPr>
        <w:t>1134.8</w:t>
      </w:r>
      <w:r w:rsidRPr="00722082">
        <w:rPr>
          <w:rFonts w:eastAsia="Calibri" w:cs="GHEA Grapalat"/>
          <w:b w:val="0"/>
          <w:szCs w:val="22"/>
          <w:lang w:val="hy-AM" w:eastAsia="en-US"/>
        </w:rPr>
        <w:t xml:space="preserve"> մլրդ դրամ՝ նախորդ տարվա նույն ժամանակահատվածի համեմատ նվազելով 5.</w:t>
      </w:r>
      <w:r w:rsidRPr="00BA1661">
        <w:rPr>
          <w:rFonts w:eastAsia="Calibri" w:cs="GHEA Grapalat"/>
          <w:b w:val="0"/>
          <w:szCs w:val="22"/>
          <w:lang w:val="hy-AM" w:eastAsia="en-US"/>
        </w:rPr>
        <w:t>2</w:t>
      </w:r>
      <w:r w:rsidRPr="00722082">
        <w:rPr>
          <w:rFonts w:eastAsia="Calibri" w:cs="GHEA Grapalat"/>
          <w:b w:val="0"/>
          <w:szCs w:val="22"/>
          <w:lang w:val="hy-AM" w:eastAsia="en-US"/>
        </w:rPr>
        <w:t>%-ով: Հարկային եկամուտների նվազմանը նպաստել են նաև ընթացիկ տարվա երկրորդ եռամսյակում իրականացված շահութահարկի գծով հիմնարար փոփոխությունները, որոնց նպատակն է շահութահարկի կարգավորումները դարձնել տնտեսական շրջափուլի կոնկրետ տարվա զարգացումներին համարժեք արձագանքող, ինչը համավարակի ազդեցությամբ բնորոշվող այս տարվա համար նշանակում է նաև օժանդակություն շահութահարկ վճարող տնտեսավարող սուբյեկտների շրջանառու ֆինանսական միջոցների հետ կապված խնդիրների լուծմանը: Ըստ կատարված փոփոխությունների՝ ամբողջությամբ վերանայվել է շահութահարկի կանխավճարների համակարգը, և, բացի այդ, սահմանվել է, որ 2020 թվականի երկրորդ եռամսյակի համար տնտեսավարող սուբյեկտները շահութահարկի կանխավճարներ առհասարակ չեն իրականաց</w:t>
      </w:r>
      <w:r w:rsidRPr="00BA1661">
        <w:rPr>
          <w:rFonts w:eastAsia="Calibri" w:cs="GHEA Grapalat"/>
          <w:b w:val="0"/>
          <w:szCs w:val="22"/>
          <w:lang w:val="hy-AM" w:eastAsia="en-US"/>
        </w:rPr>
        <w:t>վ</w:t>
      </w:r>
      <w:r w:rsidRPr="00722082">
        <w:rPr>
          <w:rFonts w:eastAsia="Calibri" w:cs="GHEA Grapalat"/>
          <w:b w:val="0"/>
          <w:szCs w:val="22"/>
          <w:lang w:val="hy-AM" w:eastAsia="en-US"/>
        </w:rPr>
        <w:t>ել</w:t>
      </w:r>
      <w:r w:rsidRPr="004E12E8">
        <w:rPr>
          <w:rFonts w:eastAsia="Calibri" w:cs="GHEA Grapalat"/>
          <w:b w:val="0"/>
          <w:szCs w:val="22"/>
          <w:lang w:val="hy-AM" w:eastAsia="en-US"/>
        </w:rPr>
        <w:t xml:space="preserve"> (տես ներդիր` </w:t>
      </w:r>
      <w:r w:rsidRPr="00A84783">
        <w:rPr>
          <w:rFonts w:eastAsia="Calibri" w:cs="GHEA Grapalat"/>
          <w:b w:val="0"/>
          <w:szCs w:val="22"/>
          <w:lang w:val="hy-AM" w:eastAsia="en-US"/>
        </w:rPr>
        <w:t>3</w:t>
      </w:r>
      <w:r w:rsidRPr="004E12E8">
        <w:rPr>
          <w:rFonts w:eastAsia="Calibri" w:cs="GHEA Grapalat"/>
          <w:b w:val="0"/>
          <w:szCs w:val="22"/>
          <w:lang w:val="hy-AM" w:eastAsia="en-US"/>
        </w:rPr>
        <w:t>):</w:t>
      </w:r>
    </w:p>
    <w:p w:rsidR="00D1025D" w:rsidRDefault="00D1025D" w:rsidP="002026A8">
      <w:pPr>
        <w:autoSpaceDE w:val="0"/>
        <w:autoSpaceDN w:val="0"/>
        <w:adjustRightInd w:val="0"/>
        <w:spacing w:before="0" w:after="120" w:line="276" w:lineRule="auto"/>
        <w:contextualSpacing w:val="0"/>
        <w:rPr>
          <w:rFonts w:eastAsia="Calibri" w:cs="GHEA Grapalat"/>
          <w:b w:val="0"/>
          <w:szCs w:val="22"/>
          <w:lang w:val="hy-AM" w:eastAsia="en-US"/>
        </w:rPr>
      </w:pPr>
      <w:r w:rsidRPr="00731B5C">
        <w:rPr>
          <w:rFonts w:eastAsia="Calibri" w:cs="GHEA Grapalat"/>
          <w:b w:val="0"/>
          <w:szCs w:val="22"/>
          <w:lang w:val="hy-AM" w:eastAsia="en-US"/>
        </w:rPr>
        <w:t xml:space="preserve">2020 թվականի </w:t>
      </w:r>
      <w:r w:rsidRPr="00BA1661">
        <w:rPr>
          <w:rFonts w:eastAsia="Calibri" w:cs="GHEA Grapalat"/>
          <w:b w:val="0"/>
          <w:szCs w:val="22"/>
          <w:lang w:val="hy-AM" w:eastAsia="en-US"/>
        </w:rPr>
        <w:t>հունվար-հոկտեմբեր</w:t>
      </w:r>
      <w:r w:rsidRPr="00731B5C">
        <w:rPr>
          <w:rFonts w:eastAsia="Calibri" w:cs="GHEA Grapalat"/>
          <w:b w:val="0"/>
          <w:szCs w:val="22"/>
          <w:lang w:val="hy-AM" w:eastAsia="en-US"/>
        </w:rPr>
        <w:t xml:space="preserve"> ամիսների արդյունքներով պետական բյուջեի ծախսերը կազմել են </w:t>
      </w:r>
      <w:r w:rsidRPr="00BA1661">
        <w:rPr>
          <w:rFonts w:eastAsia="Calibri" w:cs="GHEA Grapalat"/>
          <w:b w:val="0"/>
          <w:szCs w:val="22"/>
          <w:lang w:val="hy-AM" w:eastAsia="en-US"/>
        </w:rPr>
        <w:t>1453.9</w:t>
      </w:r>
      <w:r w:rsidRPr="00731B5C">
        <w:rPr>
          <w:rFonts w:eastAsia="Calibri" w:cs="GHEA Grapalat"/>
          <w:b w:val="0"/>
          <w:szCs w:val="22"/>
          <w:lang w:val="hy-AM" w:eastAsia="en-US"/>
        </w:rPr>
        <w:t xml:space="preserve"> մլրդ դրամ՝ նախորդ տարվա նույն ժամանակահատվածի համեմատ աճելով 1</w:t>
      </w:r>
      <w:r w:rsidRPr="00BA1661">
        <w:rPr>
          <w:rFonts w:eastAsia="Calibri" w:cs="GHEA Grapalat"/>
          <w:b w:val="0"/>
          <w:szCs w:val="22"/>
          <w:lang w:val="hy-AM" w:eastAsia="en-US"/>
        </w:rPr>
        <w:t>9</w:t>
      </w:r>
      <w:r w:rsidRPr="00731B5C">
        <w:rPr>
          <w:rFonts w:eastAsia="Calibri" w:cs="GHEA Grapalat"/>
          <w:b w:val="0"/>
          <w:szCs w:val="22"/>
          <w:lang w:val="hy-AM" w:eastAsia="en-US"/>
        </w:rPr>
        <w:t xml:space="preserve">.8%-ով: </w:t>
      </w:r>
      <w:r w:rsidRPr="00A35F45">
        <w:rPr>
          <w:rFonts w:eastAsia="Calibri" w:cs="GHEA Grapalat"/>
          <w:b w:val="0"/>
          <w:szCs w:val="22"/>
          <w:lang w:val="hy-AM" w:eastAsia="en-US"/>
        </w:rPr>
        <w:t>Ը</w:t>
      </w:r>
      <w:r w:rsidRPr="00731B5C">
        <w:rPr>
          <w:rFonts w:eastAsia="Calibri" w:cs="GHEA Grapalat"/>
          <w:b w:val="0"/>
          <w:szCs w:val="22"/>
          <w:lang w:val="hy-AM" w:eastAsia="en-US"/>
        </w:rPr>
        <w:t xml:space="preserve">նթացիկ ծախսերը կազմել են </w:t>
      </w:r>
      <w:r w:rsidRPr="00BA1661">
        <w:rPr>
          <w:rFonts w:eastAsia="Calibri" w:cs="GHEA Grapalat"/>
          <w:b w:val="0"/>
          <w:szCs w:val="22"/>
          <w:lang w:val="hy-AM" w:eastAsia="en-US"/>
        </w:rPr>
        <w:t>1293.4</w:t>
      </w:r>
      <w:r w:rsidRPr="00731B5C">
        <w:rPr>
          <w:rFonts w:eastAsia="Calibri" w:cs="GHEA Grapalat"/>
          <w:b w:val="0"/>
          <w:szCs w:val="22"/>
          <w:lang w:val="hy-AM" w:eastAsia="en-US"/>
        </w:rPr>
        <w:t xml:space="preserve"> մլրդ դրամ` նախորդ տարվա նույն ժամանակահատվածի համեմատ աճելով 15.0%-ով, որն իր մեջ ներառում է նաև կորոնավիրուսի տարածմամբ պայմանավորված հակաճգնաժամային ծրագրերի իրականացումը և առողջապահական ծախսերի աճը</w:t>
      </w:r>
      <w:r w:rsidRPr="00A35F45">
        <w:rPr>
          <w:rFonts w:eastAsia="Calibri" w:cs="GHEA Grapalat"/>
          <w:b w:val="0"/>
          <w:szCs w:val="22"/>
          <w:lang w:val="hy-AM" w:eastAsia="en-US"/>
        </w:rPr>
        <w:t xml:space="preserve"> </w:t>
      </w:r>
      <w:r w:rsidRPr="004E12E8">
        <w:rPr>
          <w:rFonts w:eastAsia="Calibri" w:cs="GHEA Grapalat"/>
          <w:b w:val="0"/>
          <w:szCs w:val="22"/>
          <w:lang w:val="hy-AM" w:eastAsia="en-US"/>
        </w:rPr>
        <w:t xml:space="preserve">(COVID-19 արձագանքման ծախսերի առավել ամբողջական տեղեկատվությունը ներկայացված է ներդիր </w:t>
      </w:r>
      <w:r w:rsidRPr="00A84783">
        <w:rPr>
          <w:rFonts w:eastAsia="Calibri" w:cs="GHEA Grapalat"/>
          <w:b w:val="0"/>
          <w:szCs w:val="22"/>
          <w:lang w:val="hy-AM" w:eastAsia="en-US"/>
        </w:rPr>
        <w:t>3</w:t>
      </w:r>
      <w:r w:rsidRPr="004E12E8">
        <w:rPr>
          <w:rFonts w:eastAsia="Calibri" w:cs="GHEA Grapalat"/>
          <w:b w:val="0"/>
          <w:szCs w:val="22"/>
          <w:lang w:val="hy-AM" w:eastAsia="en-US"/>
        </w:rPr>
        <w:t>-ում)</w:t>
      </w:r>
      <w:r w:rsidRPr="00731B5C">
        <w:rPr>
          <w:rFonts w:eastAsia="Calibri" w:cs="GHEA Grapalat"/>
          <w:b w:val="0"/>
          <w:szCs w:val="22"/>
          <w:lang w:val="hy-AM" w:eastAsia="en-US"/>
        </w:rPr>
        <w:t xml:space="preserve">: Ոչ ֆինանսական ակտիվների հետ գործառնությունները կազմել են </w:t>
      </w:r>
      <w:r w:rsidRPr="00BA1661">
        <w:rPr>
          <w:rFonts w:eastAsia="Calibri" w:cs="GHEA Grapalat"/>
          <w:b w:val="0"/>
          <w:szCs w:val="22"/>
          <w:lang w:val="hy-AM" w:eastAsia="en-US"/>
        </w:rPr>
        <w:t>160.5</w:t>
      </w:r>
      <w:r w:rsidRPr="00731B5C">
        <w:rPr>
          <w:rFonts w:eastAsia="Calibri" w:cs="GHEA Grapalat"/>
          <w:b w:val="0"/>
          <w:szCs w:val="22"/>
          <w:lang w:val="hy-AM" w:eastAsia="en-US"/>
        </w:rPr>
        <w:t xml:space="preserve"> մլրդ դրամ, որում ոչ ֆինանսական ակտիվների գծով ծախսերը կազմել են </w:t>
      </w:r>
      <w:r w:rsidRPr="00BA1661">
        <w:rPr>
          <w:rFonts w:eastAsia="Calibri" w:cs="GHEA Grapalat"/>
          <w:b w:val="0"/>
          <w:szCs w:val="22"/>
          <w:lang w:val="hy-AM" w:eastAsia="en-US"/>
        </w:rPr>
        <w:t>161.9</w:t>
      </w:r>
      <w:r w:rsidRPr="00731B5C">
        <w:rPr>
          <w:rFonts w:eastAsia="Calibri" w:cs="GHEA Grapalat"/>
          <w:b w:val="0"/>
          <w:szCs w:val="22"/>
          <w:lang w:val="hy-AM" w:eastAsia="en-US"/>
        </w:rPr>
        <w:t xml:space="preserve"> մլրդ դրամ` նախորդ տարվա նույն ժամանակահատվածի համեմատ աճելով </w:t>
      </w:r>
      <w:r>
        <w:rPr>
          <w:rFonts w:eastAsia="Calibri" w:cs="GHEA Grapalat"/>
          <w:b w:val="0"/>
          <w:szCs w:val="22"/>
          <w:lang w:val="hy-AM" w:eastAsia="en-US"/>
        </w:rPr>
        <w:t>81.0</w:t>
      </w:r>
      <w:r w:rsidRPr="00731B5C">
        <w:rPr>
          <w:rFonts w:eastAsia="Calibri" w:cs="GHEA Grapalat"/>
          <w:b w:val="0"/>
          <w:szCs w:val="22"/>
          <w:lang w:val="hy-AM" w:eastAsia="en-US"/>
        </w:rPr>
        <w:t xml:space="preserve">%-ով կամ </w:t>
      </w:r>
      <w:r w:rsidRPr="00BA1661">
        <w:rPr>
          <w:rFonts w:eastAsia="Calibri" w:cs="GHEA Grapalat"/>
          <w:b w:val="0"/>
          <w:szCs w:val="22"/>
          <w:lang w:val="hy-AM" w:eastAsia="en-US"/>
        </w:rPr>
        <w:t>71.5</w:t>
      </w:r>
      <w:r w:rsidRPr="00731B5C">
        <w:rPr>
          <w:rFonts w:eastAsia="Calibri" w:cs="GHEA Grapalat"/>
          <w:b w:val="0"/>
          <w:szCs w:val="22"/>
          <w:lang w:val="hy-AM" w:eastAsia="en-US"/>
        </w:rPr>
        <w:t xml:space="preserve"> մլրդ դրամով: </w:t>
      </w:r>
      <w:r w:rsidRPr="00A35F45">
        <w:rPr>
          <w:rFonts w:eastAsia="Calibri" w:cs="GHEA Grapalat"/>
          <w:b w:val="0"/>
          <w:szCs w:val="22"/>
          <w:lang w:val="hy-AM" w:eastAsia="en-US"/>
        </w:rPr>
        <w:t>Ընդ որում, պետական բյուջեի ծախսերի</w:t>
      </w:r>
      <w:r w:rsidRPr="00FB6214">
        <w:rPr>
          <w:rFonts w:eastAsia="Calibri" w:cs="GHEA Grapalat"/>
          <w:b w:val="0"/>
          <w:szCs w:val="22"/>
          <w:lang w:val="hy-AM" w:eastAsia="en-US"/>
        </w:rPr>
        <w:t xml:space="preserve"> </w:t>
      </w:r>
      <w:r w:rsidRPr="00A35F45">
        <w:rPr>
          <w:rFonts w:eastAsia="Calibri" w:cs="GHEA Grapalat"/>
          <w:b w:val="0"/>
          <w:szCs w:val="22"/>
          <w:lang w:val="hy-AM" w:eastAsia="en-US"/>
        </w:rPr>
        <w:t xml:space="preserve">աճը ներառում է նաև սեպտեմբերի 27-ից սկսված Արցախյան պատերազմի հետ կապված </w:t>
      </w:r>
      <w:r w:rsidRPr="00FB6214">
        <w:rPr>
          <w:rFonts w:eastAsia="Calibri" w:cs="GHEA Grapalat"/>
          <w:b w:val="0"/>
          <w:szCs w:val="22"/>
          <w:lang w:val="hy-AM" w:eastAsia="en-US"/>
        </w:rPr>
        <w:t>ծախսերը</w:t>
      </w:r>
      <w:r w:rsidRPr="00A35F45">
        <w:rPr>
          <w:rFonts w:eastAsia="Calibri" w:cs="GHEA Grapalat"/>
          <w:b w:val="0"/>
          <w:szCs w:val="22"/>
          <w:lang w:val="hy-AM" w:eastAsia="en-US"/>
        </w:rPr>
        <w:t xml:space="preserve">: </w:t>
      </w:r>
    </w:p>
    <w:p w:rsidR="00DE6C7D" w:rsidRPr="00FB6214" w:rsidRDefault="00DE6C7D" w:rsidP="00DE6C7D">
      <w:pPr>
        <w:spacing w:before="0" w:line="240" w:lineRule="auto"/>
        <w:ind w:firstLine="0"/>
        <w:contextualSpacing w:val="0"/>
        <w:jc w:val="left"/>
        <w:rPr>
          <w:rFonts w:eastAsia="Calibri" w:cs="GHEA Grapalat"/>
          <w:b w:val="0"/>
          <w:szCs w:val="22"/>
          <w:lang w:val="hy-AM" w:eastAsia="en-US"/>
        </w:rPr>
      </w:pPr>
      <w:r>
        <w:rPr>
          <w:rFonts w:eastAsia="Calibri" w:cs="GHEA Grapalat"/>
          <w:b w:val="0"/>
          <w:szCs w:val="22"/>
          <w:lang w:val="hy-AM" w:eastAsia="en-US"/>
        </w:rPr>
        <w:br w:type="page"/>
      </w:r>
    </w:p>
    <w:p w:rsidR="00D1025D" w:rsidRPr="004E12E8" w:rsidRDefault="00D1025D" w:rsidP="007730AA">
      <w:pPr>
        <w:autoSpaceDE w:val="0"/>
        <w:autoSpaceDN w:val="0"/>
        <w:adjustRightInd w:val="0"/>
        <w:spacing w:before="0" w:line="276" w:lineRule="auto"/>
        <w:ind w:firstLine="709"/>
        <w:contextualSpacing w:val="0"/>
        <w:rPr>
          <w:rFonts w:eastAsia="Calibri" w:cs="Arial"/>
          <w:b w:val="0"/>
          <w:i/>
          <w:iCs/>
          <w:sz w:val="21"/>
          <w:szCs w:val="21"/>
          <w:lang w:val="hy-AM" w:eastAsia="en-US"/>
        </w:rPr>
      </w:pPr>
      <w:r w:rsidRPr="004E12E8">
        <w:rPr>
          <w:rFonts w:eastAsia="Calibri" w:cs="Arial"/>
          <w:bCs/>
          <w:i/>
          <w:iCs/>
          <w:sz w:val="21"/>
          <w:szCs w:val="21"/>
          <w:lang w:val="hy-AM" w:eastAsia="en-US"/>
        </w:rPr>
        <w:t xml:space="preserve">Գծապատկեր 2.1. </w:t>
      </w:r>
      <w:r w:rsidRPr="004E12E8">
        <w:rPr>
          <w:rFonts w:eastAsia="Calibri" w:cs="Arial"/>
          <w:b w:val="0"/>
          <w:i/>
          <w:iCs/>
          <w:sz w:val="21"/>
          <w:szCs w:val="21"/>
          <w:lang w:val="hy-AM" w:eastAsia="en-US"/>
        </w:rPr>
        <w:t>Պետական բյուջեի հարկային եկամուտները 2019-2020 թվականներին ըստ ամիսների</w:t>
      </w:r>
    </w:p>
    <w:p w:rsidR="00D1025D" w:rsidRPr="004E12E8" w:rsidRDefault="00D1025D" w:rsidP="007730AA">
      <w:pPr>
        <w:autoSpaceDE w:val="0"/>
        <w:autoSpaceDN w:val="0"/>
        <w:adjustRightInd w:val="0"/>
        <w:spacing w:before="0" w:line="276" w:lineRule="auto"/>
        <w:ind w:firstLine="0"/>
        <w:contextualSpacing w:val="0"/>
        <w:rPr>
          <w:rFonts w:eastAsia="Calibri" w:cs="Arial"/>
          <w:b w:val="0"/>
          <w:szCs w:val="22"/>
          <w:lang w:val="hy-AM" w:eastAsia="en-US"/>
        </w:rPr>
      </w:pPr>
      <w:r w:rsidRPr="004E12E8">
        <w:rPr>
          <w:rFonts w:eastAsia="Calibri" w:cs="GHEA Grapalat"/>
          <w:b w:val="0"/>
          <w:noProof/>
          <w:sz w:val="20"/>
          <w:szCs w:val="20"/>
          <w:lang w:val="en-US" w:eastAsia="en-US"/>
        </w:rPr>
        <w:drawing>
          <wp:inline distT="0" distB="0" distL="0" distR="0">
            <wp:extent cx="6022340" cy="2501900"/>
            <wp:effectExtent l="0" t="0" r="16510" b="1270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1025D" w:rsidRPr="004E12E8" w:rsidRDefault="00D1025D" w:rsidP="0077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18"/>
          <w:szCs w:val="18"/>
          <w:lang w:val="hy-AM" w:eastAsia="en-US"/>
        </w:rPr>
      </w:pPr>
      <w:r w:rsidRPr="004E12E8">
        <w:rPr>
          <w:rFonts w:eastAsia="Calibri" w:cs="Arial"/>
          <w:b w:val="0"/>
          <w:bCs/>
          <w:i/>
          <w:iCs/>
          <w:sz w:val="18"/>
          <w:szCs w:val="18"/>
          <w:lang w:val="hy-AM" w:eastAsia="en-US"/>
        </w:rPr>
        <w:t>Աղբյուրը՝ ՀՀ ՖՆ</w:t>
      </w:r>
    </w:p>
    <w:p w:rsidR="00D1025D" w:rsidRPr="006F0BDC" w:rsidRDefault="00D1025D" w:rsidP="002026A8">
      <w:pPr>
        <w:autoSpaceDE w:val="0"/>
        <w:autoSpaceDN w:val="0"/>
        <w:adjustRightInd w:val="0"/>
        <w:spacing w:before="0" w:after="120" w:line="276" w:lineRule="auto"/>
        <w:contextualSpacing w:val="0"/>
        <w:rPr>
          <w:rFonts w:eastAsia="GHEA Grapalat" w:cs="GHEA Grapalat"/>
          <w:b w:val="0"/>
          <w:szCs w:val="22"/>
          <w:lang w:val="hy-AM"/>
        </w:rPr>
      </w:pPr>
      <w:r w:rsidRPr="006F0BDC">
        <w:rPr>
          <w:rFonts w:eastAsia="GHEA Grapalat" w:cs="GHEA Grapalat"/>
          <w:b w:val="0"/>
          <w:szCs w:val="22"/>
          <w:lang w:val="hy-AM"/>
        </w:rPr>
        <w:t xml:space="preserve">Արդյունքում 2020 թվականի </w:t>
      </w:r>
      <w:r w:rsidRPr="00BA1661">
        <w:rPr>
          <w:rFonts w:eastAsia="GHEA Grapalat" w:cs="GHEA Grapalat"/>
          <w:b w:val="0"/>
          <w:szCs w:val="22"/>
          <w:lang w:val="hy-AM"/>
        </w:rPr>
        <w:t>հունվար-հոկտեմբեր</w:t>
      </w:r>
      <w:r w:rsidRPr="006F0BDC">
        <w:rPr>
          <w:rFonts w:eastAsia="GHEA Grapalat" w:cs="GHEA Grapalat"/>
          <w:b w:val="0"/>
          <w:szCs w:val="22"/>
          <w:lang w:val="hy-AM"/>
        </w:rPr>
        <w:t xml:space="preserve"> ամիսների ընթացքում ձևավ</w:t>
      </w:r>
      <w:sdt>
        <w:sdtPr>
          <w:rPr>
            <w:rFonts w:eastAsia="GHEA Grapalat" w:cs="GHEA Grapalat"/>
            <w:b w:val="0"/>
            <w:szCs w:val="22"/>
          </w:rPr>
          <w:tag w:val="goog_rdk_109"/>
          <w:id w:val="308217281"/>
        </w:sdtPr>
        <w:sdtEndPr/>
        <w:sdtContent>
          <w:r w:rsidRPr="006F0BDC">
            <w:rPr>
              <w:rFonts w:eastAsia="GHEA Grapalat" w:cs="GHEA Grapalat"/>
              <w:b w:val="0"/>
              <w:szCs w:val="22"/>
              <w:lang w:val="hy-AM"/>
            </w:rPr>
            <w:t>ո</w:t>
          </w:r>
        </w:sdtContent>
      </w:sdt>
      <w:r w:rsidRPr="006F0BDC">
        <w:rPr>
          <w:rFonts w:eastAsia="GHEA Grapalat" w:cs="GHEA Grapalat"/>
          <w:b w:val="0"/>
          <w:szCs w:val="22"/>
          <w:lang w:val="hy-AM"/>
        </w:rPr>
        <w:t xml:space="preserve">րվել է պետական բյուջեի </w:t>
      </w:r>
      <w:r w:rsidRPr="00BA1661">
        <w:rPr>
          <w:rFonts w:eastAsia="GHEA Grapalat" w:cs="GHEA Grapalat"/>
          <w:b w:val="0"/>
          <w:szCs w:val="22"/>
          <w:lang w:val="hy-AM"/>
        </w:rPr>
        <w:t>205.9</w:t>
      </w:r>
      <w:r w:rsidRPr="006F0BDC">
        <w:rPr>
          <w:rFonts w:eastAsia="GHEA Grapalat" w:cs="GHEA Grapalat"/>
          <w:b w:val="0"/>
          <w:szCs w:val="22"/>
          <w:lang w:val="hy-AM"/>
        </w:rPr>
        <w:t xml:space="preserve"> մլրդ դրամ </w:t>
      </w:r>
      <w:r w:rsidRPr="006F0BDC">
        <w:rPr>
          <w:rFonts w:cs="GHEA Grapalat"/>
          <w:b w:val="0"/>
          <w:szCs w:val="22"/>
          <w:lang w:val="hy-AM"/>
        </w:rPr>
        <w:t>դեֆիցիտ</w:t>
      </w:r>
      <w:r w:rsidRPr="006F0BDC">
        <w:rPr>
          <w:rFonts w:eastAsia="GHEA Grapalat" w:cs="GHEA Grapalat"/>
          <w:b w:val="0"/>
          <w:szCs w:val="22"/>
          <w:lang w:val="hy-AM"/>
        </w:rPr>
        <w:t xml:space="preserve">՝ </w:t>
      </w:r>
      <w:sdt>
        <w:sdtPr>
          <w:rPr>
            <w:rFonts w:eastAsia="GHEA Grapalat" w:cs="GHEA Grapalat"/>
            <w:b w:val="0"/>
            <w:szCs w:val="22"/>
          </w:rPr>
          <w:tag w:val="goog_rdk_113"/>
          <w:id w:val="1612310961"/>
        </w:sdtPr>
        <w:sdtEndPr/>
        <w:sdtContent>
          <w:r w:rsidRPr="006F0BDC">
            <w:rPr>
              <w:rFonts w:eastAsia="GHEA Grapalat" w:cs="GHEA Grapalat"/>
              <w:b w:val="0"/>
              <w:szCs w:val="22"/>
              <w:lang w:val="hy-AM"/>
            </w:rPr>
            <w:t>ն</w:t>
          </w:r>
        </w:sdtContent>
      </w:sdt>
      <w:r w:rsidRPr="006F0BDC">
        <w:rPr>
          <w:rFonts w:eastAsia="GHEA Grapalat" w:cs="GHEA Grapalat"/>
          <w:b w:val="0"/>
          <w:szCs w:val="22"/>
          <w:lang w:val="hy-AM"/>
        </w:rPr>
        <w:t xml:space="preserve">ախորդ տարվա նույն ժամանակահատվածում ձևավորված </w:t>
      </w:r>
      <w:r w:rsidRPr="00BA1661">
        <w:rPr>
          <w:rFonts w:eastAsia="GHEA Grapalat" w:cs="GHEA Grapalat"/>
          <w:b w:val="0"/>
          <w:szCs w:val="22"/>
          <w:lang w:val="hy-AM"/>
        </w:rPr>
        <w:t>58.6</w:t>
      </w:r>
      <w:r w:rsidRPr="006F0BDC">
        <w:rPr>
          <w:rFonts w:eastAsia="GHEA Grapalat" w:cs="GHEA Grapalat"/>
          <w:b w:val="0"/>
          <w:szCs w:val="22"/>
          <w:lang w:val="hy-AM"/>
        </w:rPr>
        <w:t xml:space="preserve"> մլրդ դրամ պետական բյուջեի հավելուրդի դիմաց: </w:t>
      </w:r>
    </w:p>
    <w:p w:rsidR="00D1025D" w:rsidRPr="001D11EB" w:rsidRDefault="00D1025D" w:rsidP="002026A8">
      <w:pPr>
        <w:spacing w:before="0" w:after="120" w:line="276" w:lineRule="auto"/>
        <w:ind w:firstLine="0"/>
        <w:contextualSpacing w:val="0"/>
        <w:rPr>
          <w:rFonts w:eastAsia="Calibri" w:cs="Arial"/>
          <w:bCs/>
          <w:szCs w:val="22"/>
          <w:u w:val="single"/>
          <w:lang w:val="hy-AM" w:eastAsia="en-US"/>
        </w:rPr>
      </w:pPr>
      <w:r w:rsidRPr="001D11EB">
        <w:rPr>
          <w:rFonts w:eastAsia="Calibri" w:cs="Arial"/>
          <w:bCs/>
          <w:szCs w:val="22"/>
          <w:u w:val="single"/>
          <w:lang w:val="hy-AM" w:eastAsia="en-US"/>
        </w:rPr>
        <w:t xml:space="preserve">Կարճաժամկետ կանխատեսումներ </w:t>
      </w:r>
    </w:p>
    <w:p w:rsidR="00D1025D" w:rsidRPr="004E12E8" w:rsidRDefault="00D1025D" w:rsidP="002026A8">
      <w:pPr>
        <w:autoSpaceDE w:val="0"/>
        <w:autoSpaceDN w:val="0"/>
        <w:adjustRightInd w:val="0"/>
        <w:spacing w:before="0" w:after="120" w:line="276" w:lineRule="auto"/>
        <w:ind w:firstLine="709"/>
        <w:contextualSpacing w:val="0"/>
        <w:rPr>
          <w:rFonts w:eastAsia="Calibri" w:cs="GHEA Grapalat"/>
          <w:b w:val="0"/>
          <w:szCs w:val="22"/>
          <w:lang w:val="hy-AM" w:eastAsia="en-US"/>
        </w:rPr>
      </w:pPr>
      <w:r w:rsidRPr="004E12E8">
        <w:rPr>
          <w:rFonts w:eastAsia="Calibri" w:cs="GHEA Grapalat"/>
          <w:bCs/>
          <w:szCs w:val="22"/>
          <w:lang w:val="hy-AM" w:eastAsia="en-US"/>
        </w:rPr>
        <w:t>Ելնելով համավարակի տարածման տեմպից և արդեն իսկ տնտեսության վրա ունեցած ազդեցություններից</w:t>
      </w:r>
      <w:r w:rsidRPr="006C178B">
        <w:rPr>
          <w:rFonts w:eastAsia="Calibri" w:cs="GHEA Grapalat"/>
          <w:bCs/>
          <w:szCs w:val="22"/>
          <w:lang w:val="hy-AM" w:eastAsia="en-US"/>
        </w:rPr>
        <w:t>, ինչպես նաև</w:t>
      </w:r>
      <w:r w:rsidRPr="00A35F45">
        <w:rPr>
          <w:rFonts w:eastAsia="Calibri" w:cs="GHEA Grapalat"/>
          <w:bCs/>
          <w:szCs w:val="22"/>
          <w:lang w:val="hy-AM" w:eastAsia="en-US"/>
        </w:rPr>
        <w:t xml:space="preserve"> հաշվի առնելով համավարակի երկրորդ ալիքը և Արցախյան պատերազմի ա</w:t>
      </w:r>
      <w:r w:rsidRPr="00CE473F">
        <w:rPr>
          <w:rFonts w:eastAsia="Calibri" w:cs="GHEA Grapalat"/>
          <w:bCs/>
          <w:szCs w:val="22"/>
          <w:lang w:val="hy-AM" w:eastAsia="en-US"/>
        </w:rPr>
        <w:t>զ</w:t>
      </w:r>
      <w:r w:rsidRPr="00A35F45">
        <w:rPr>
          <w:rFonts w:eastAsia="Calibri" w:cs="GHEA Grapalat"/>
          <w:bCs/>
          <w:szCs w:val="22"/>
          <w:lang w:val="hy-AM" w:eastAsia="en-US"/>
        </w:rPr>
        <w:t>դեցությունները,</w:t>
      </w:r>
      <w:r w:rsidRPr="004E12E8">
        <w:rPr>
          <w:rFonts w:eastAsia="Calibri" w:cs="GHEA Grapalat"/>
          <w:bCs/>
          <w:szCs w:val="22"/>
          <w:lang w:val="hy-AM" w:eastAsia="en-US"/>
        </w:rPr>
        <w:t xml:space="preserve"> գնահատվում է, որ 2020թ.-ին տեղի կունենա հարկային եկամուտների նվազում, ինչպես նաև ընթացիկ </w:t>
      </w:r>
      <w:r w:rsidRPr="006C178B">
        <w:rPr>
          <w:rFonts w:eastAsia="Calibri" w:cs="GHEA Grapalat"/>
          <w:bCs/>
          <w:szCs w:val="22"/>
          <w:lang w:val="hy-AM" w:eastAsia="en-US"/>
        </w:rPr>
        <w:t xml:space="preserve">և կապիտալ </w:t>
      </w:r>
      <w:r w:rsidRPr="004E12E8">
        <w:rPr>
          <w:rFonts w:eastAsia="Calibri" w:cs="GHEA Grapalat"/>
          <w:bCs/>
          <w:szCs w:val="22"/>
          <w:lang w:val="hy-AM" w:eastAsia="en-US"/>
        </w:rPr>
        <w:t>ծախսերի աճ՝ պայմանավորված</w:t>
      </w:r>
      <w:r w:rsidRPr="00A35F45">
        <w:rPr>
          <w:rFonts w:eastAsia="Calibri" w:cs="GHEA Grapalat"/>
          <w:bCs/>
          <w:szCs w:val="22"/>
          <w:lang w:val="hy-AM" w:eastAsia="en-US"/>
        </w:rPr>
        <w:t xml:space="preserve"> ինչպես</w:t>
      </w:r>
      <w:r w:rsidRPr="004E12E8">
        <w:rPr>
          <w:rFonts w:eastAsia="Calibri" w:cs="GHEA Grapalat"/>
          <w:bCs/>
          <w:szCs w:val="22"/>
          <w:lang w:val="hy-AM" w:eastAsia="en-US"/>
        </w:rPr>
        <w:t xml:space="preserve"> հակաճգնաժամային միջոցառումների իրականացմամբ</w:t>
      </w:r>
      <w:r w:rsidRPr="006C178B">
        <w:rPr>
          <w:rFonts w:eastAsia="Calibri" w:cs="GHEA Grapalat"/>
          <w:bCs/>
          <w:szCs w:val="22"/>
          <w:lang w:val="hy-AM" w:eastAsia="en-US"/>
        </w:rPr>
        <w:t xml:space="preserve"> </w:t>
      </w:r>
      <w:r w:rsidRPr="004E12E8">
        <w:rPr>
          <w:rFonts w:eastAsia="Calibri" w:cs="GHEA Grapalat"/>
          <w:bCs/>
          <w:szCs w:val="22"/>
          <w:lang w:val="hy-AM" w:eastAsia="en-US"/>
        </w:rPr>
        <w:t>(հակաճգնաժամային միջոցառումների մանրամասն նկարագրությունը ներկայացված է ստորև՝ ներդիրում)</w:t>
      </w:r>
      <w:r w:rsidRPr="00A35F45">
        <w:rPr>
          <w:rFonts w:eastAsia="Calibri" w:cs="GHEA Grapalat"/>
          <w:bCs/>
          <w:szCs w:val="22"/>
          <w:lang w:val="hy-AM" w:eastAsia="en-US"/>
        </w:rPr>
        <w:t>, այնպես էլ</w:t>
      </w:r>
      <w:r w:rsidRPr="006C178B">
        <w:rPr>
          <w:rFonts w:eastAsia="Calibri" w:cs="GHEA Grapalat"/>
          <w:bCs/>
          <w:szCs w:val="22"/>
          <w:lang w:val="hy-AM" w:eastAsia="en-US"/>
        </w:rPr>
        <w:t xml:space="preserve"> </w:t>
      </w:r>
      <w:r>
        <w:rPr>
          <w:rFonts w:eastAsia="Calibri" w:cs="GHEA Grapalat"/>
          <w:bCs/>
          <w:szCs w:val="22"/>
          <w:lang w:val="hy-AM" w:eastAsia="en-US"/>
        </w:rPr>
        <w:t>ռ</w:t>
      </w:r>
      <w:r w:rsidRPr="006C178B">
        <w:rPr>
          <w:rFonts w:eastAsia="Calibri" w:cs="GHEA Grapalat"/>
          <w:bCs/>
          <w:szCs w:val="22"/>
          <w:lang w:val="hy-AM" w:eastAsia="en-US"/>
        </w:rPr>
        <w:t xml:space="preserve">ազմական ծախսերի </w:t>
      </w:r>
      <w:r w:rsidRPr="00A35F45">
        <w:rPr>
          <w:rFonts w:eastAsia="Calibri" w:cs="GHEA Grapalat"/>
          <w:bCs/>
          <w:szCs w:val="22"/>
          <w:lang w:val="hy-AM" w:eastAsia="en-US"/>
        </w:rPr>
        <w:t>աճով</w:t>
      </w:r>
      <w:r w:rsidRPr="004E12E8">
        <w:rPr>
          <w:rFonts w:eastAsia="Calibri" w:cs="GHEA Grapalat"/>
          <w:bCs/>
          <w:szCs w:val="22"/>
          <w:lang w:val="hy-AM" w:eastAsia="en-US"/>
        </w:rPr>
        <w:t xml:space="preserve">: </w:t>
      </w:r>
      <w:r w:rsidRPr="004E12E8">
        <w:rPr>
          <w:rFonts w:eastAsia="Calibri" w:cs="GHEA Grapalat"/>
          <w:b w:val="0"/>
          <w:szCs w:val="22"/>
          <w:lang w:val="hy-AM" w:eastAsia="en-US"/>
        </w:rPr>
        <w:t>2019թ.-ի համեմատ հարկ</w:t>
      </w:r>
      <w:r w:rsidRPr="00A35F45">
        <w:rPr>
          <w:rFonts w:eastAsia="Calibri" w:cs="GHEA Grapalat"/>
          <w:b w:val="0"/>
          <w:szCs w:val="22"/>
          <w:lang w:val="hy-AM" w:eastAsia="en-US"/>
        </w:rPr>
        <w:t>ային եկամուտները կնվազեն շուրջ 114.5 մլրդ դրամով</w:t>
      </w:r>
      <w:r w:rsidRPr="004E12E8">
        <w:rPr>
          <w:rFonts w:eastAsia="Calibri" w:cs="GHEA Grapalat"/>
          <w:b w:val="0"/>
          <w:szCs w:val="22"/>
          <w:lang w:val="hy-AM" w:eastAsia="en-US"/>
        </w:rPr>
        <w:t xml:space="preserve"> </w:t>
      </w:r>
      <w:r w:rsidRPr="00A35F45">
        <w:rPr>
          <w:rFonts w:eastAsia="Calibri" w:cs="GHEA Grapalat"/>
          <w:b w:val="0"/>
          <w:szCs w:val="22"/>
          <w:lang w:val="hy-AM" w:eastAsia="en-US"/>
        </w:rPr>
        <w:t>(</w:t>
      </w:r>
      <w:r w:rsidRPr="004E12E8">
        <w:rPr>
          <w:rFonts w:eastAsia="Calibri" w:cs="GHEA Grapalat"/>
          <w:b w:val="0"/>
          <w:szCs w:val="22"/>
          <w:lang w:val="hy-AM" w:eastAsia="en-US"/>
        </w:rPr>
        <w:t>ՀՆԱ-ի շուրջ 0.</w:t>
      </w:r>
      <w:r w:rsidRPr="006C178B">
        <w:rPr>
          <w:rFonts w:eastAsia="Calibri" w:cs="GHEA Grapalat"/>
          <w:b w:val="0"/>
          <w:szCs w:val="22"/>
          <w:lang w:val="hy-AM" w:eastAsia="en-US"/>
        </w:rPr>
        <w:t>1</w:t>
      </w:r>
      <w:r w:rsidRPr="004E12E8">
        <w:rPr>
          <w:rFonts w:eastAsia="Calibri" w:cs="GHEA Grapalat"/>
          <w:b w:val="0"/>
          <w:szCs w:val="22"/>
          <w:lang w:val="hy-AM" w:eastAsia="en-US"/>
        </w:rPr>
        <w:t xml:space="preserve"> տոկոսի չափով</w:t>
      </w:r>
      <w:r w:rsidRPr="00A35F45">
        <w:rPr>
          <w:rFonts w:eastAsia="Calibri" w:cs="GHEA Grapalat"/>
          <w:b w:val="0"/>
          <w:szCs w:val="22"/>
          <w:lang w:val="hy-AM" w:eastAsia="en-US"/>
        </w:rPr>
        <w:t>)</w:t>
      </w:r>
      <w:r w:rsidRPr="004E12E8">
        <w:rPr>
          <w:rFonts w:eastAsia="Calibri" w:cs="GHEA Grapalat"/>
          <w:b w:val="0"/>
          <w:szCs w:val="22"/>
          <w:lang w:val="hy-AM" w:eastAsia="en-US"/>
        </w:rPr>
        <w:t>, իսկ ընդհանուր ծախսերը կաճեն</w:t>
      </w:r>
      <w:r w:rsidRPr="00A35F45">
        <w:rPr>
          <w:rFonts w:eastAsia="Calibri" w:cs="GHEA Grapalat"/>
          <w:b w:val="0"/>
          <w:szCs w:val="22"/>
          <w:lang w:val="hy-AM" w:eastAsia="en-US"/>
        </w:rPr>
        <w:t xml:space="preserve"> շուրջ 278.0 մլրդ դրամով</w:t>
      </w:r>
      <w:r w:rsidRPr="004E12E8">
        <w:rPr>
          <w:rFonts w:eastAsia="Calibri" w:cs="GHEA Grapalat"/>
          <w:b w:val="0"/>
          <w:szCs w:val="22"/>
          <w:lang w:val="hy-AM" w:eastAsia="en-US"/>
        </w:rPr>
        <w:t xml:space="preserve"> </w:t>
      </w:r>
      <w:r w:rsidRPr="00A35F45">
        <w:rPr>
          <w:rFonts w:eastAsia="Calibri" w:cs="GHEA Grapalat"/>
          <w:b w:val="0"/>
          <w:szCs w:val="22"/>
          <w:lang w:val="hy-AM" w:eastAsia="en-US"/>
        </w:rPr>
        <w:t>(</w:t>
      </w:r>
      <w:r w:rsidRPr="004E12E8">
        <w:rPr>
          <w:rFonts w:eastAsia="Calibri" w:cs="GHEA Grapalat"/>
          <w:b w:val="0"/>
          <w:szCs w:val="22"/>
          <w:lang w:val="hy-AM" w:eastAsia="en-US"/>
        </w:rPr>
        <w:t xml:space="preserve">ՀՆԱ-ի մոտ </w:t>
      </w:r>
      <w:r w:rsidRPr="006C178B">
        <w:rPr>
          <w:rFonts w:eastAsia="Calibri" w:cs="GHEA Grapalat"/>
          <w:b w:val="0"/>
          <w:szCs w:val="22"/>
          <w:lang w:val="hy-AM" w:eastAsia="en-US"/>
        </w:rPr>
        <w:t>6.6</w:t>
      </w:r>
      <w:r w:rsidRPr="004E12E8">
        <w:rPr>
          <w:rFonts w:eastAsia="Calibri" w:cs="GHEA Grapalat"/>
          <w:b w:val="0"/>
          <w:szCs w:val="22"/>
          <w:lang w:val="hy-AM" w:eastAsia="en-US"/>
        </w:rPr>
        <w:t xml:space="preserve"> տոկոսի չափով</w:t>
      </w:r>
      <w:r w:rsidRPr="00A35F45">
        <w:rPr>
          <w:rFonts w:eastAsia="Calibri" w:cs="GHEA Grapalat"/>
          <w:b w:val="0"/>
          <w:szCs w:val="22"/>
          <w:lang w:val="hy-AM" w:eastAsia="en-US"/>
        </w:rPr>
        <w:t>)</w:t>
      </w:r>
      <w:r w:rsidRPr="004E12E8">
        <w:rPr>
          <w:rFonts w:eastAsia="Calibri" w:cs="GHEA Grapalat"/>
          <w:b w:val="0"/>
          <w:szCs w:val="22"/>
          <w:lang w:val="hy-AM" w:eastAsia="en-US"/>
        </w:rPr>
        <w:t>: Արդյունքում, պետական բյուջեի պակասուրդը կաճի՝ կազմելով</w:t>
      </w:r>
      <w:r w:rsidRPr="00A35F45">
        <w:rPr>
          <w:rFonts w:eastAsia="Calibri" w:cs="GHEA Grapalat"/>
          <w:b w:val="0"/>
          <w:szCs w:val="22"/>
          <w:lang w:val="hy-AM" w:eastAsia="en-US"/>
        </w:rPr>
        <w:t xml:space="preserve"> շուրջ 429.7 մլրդ դրամ</w:t>
      </w:r>
      <w:r w:rsidRPr="004E12E8">
        <w:rPr>
          <w:rFonts w:eastAsia="Calibri" w:cs="GHEA Grapalat"/>
          <w:b w:val="0"/>
          <w:szCs w:val="22"/>
          <w:lang w:val="hy-AM" w:eastAsia="en-US"/>
        </w:rPr>
        <w:t xml:space="preserve"> </w:t>
      </w:r>
      <w:r w:rsidRPr="00A35F45">
        <w:rPr>
          <w:rFonts w:eastAsia="Calibri" w:cs="GHEA Grapalat"/>
          <w:b w:val="0"/>
          <w:szCs w:val="22"/>
          <w:lang w:val="hy-AM" w:eastAsia="en-US"/>
        </w:rPr>
        <w:t>(</w:t>
      </w:r>
      <w:r w:rsidRPr="004E12E8">
        <w:rPr>
          <w:rFonts w:eastAsia="Calibri" w:cs="GHEA Grapalat"/>
          <w:b w:val="0"/>
          <w:szCs w:val="22"/>
          <w:lang w:val="hy-AM" w:eastAsia="en-US"/>
        </w:rPr>
        <w:t xml:space="preserve">ՀՆԱ-ի շուրջ </w:t>
      </w:r>
      <w:r w:rsidRPr="003914B6">
        <w:rPr>
          <w:rFonts w:eastAsia="Calibri" w:cs="GHEA Grapalat"/>
          <w:b w:val="0"/>
          <w:szCs w:val="22"/>
          <w:lang w:val="hy-AM" w:eastAsia="en-US"/>
        </w:rPr>
        <w:t>7</w:t>
      </w:r>
      <w:r w:rsidRPr="004E12E8">
        <w:rPr>
          <w:rFonts w:eastAsia="Calibri" w:cs="GHEA Grapalat"/>
          <w:b w:val="0"/>
          <w:szCs w:val="22"/>
          <w:lang w:val="hy-AM" w:eastAsia="en-US"/>
        </w:rPr>
        <w:t>.1 տոկոսը</w:t>
      </w:r>
      <w:r w:rsidRPr="00A35F45">
        <w:rPr>
          <w:rFonts w:eastAsia="Calibri" w:cs="GHEA Grapalat"/>
          <w:b w:val="0"/>
          <w:szCs w:val="22"/>
          <w:lang w:val="hy-AM" w:eastAsia="en-US"/>
        </w:rPr>
        <w:t>)</w:t>
      </w:r>
      <w:r w:rsidRPr="004E12E8">
        <w:rPr>
          <w:rFonts w:eastAsia="Calibri" w:cs="GHEA Grapalat"/>
          <w:b w:val="0"/>
          <w:szCs w:val="22"/>
          <w:lang w:val="hy-AM" w:eastAsia="en-US"/>
        </w:rPr>
        <w:t xml:space="preserve">, իսկ կառավարության պարտք/ՀՆԱ ցուցանիշը կկազմի շուրջ </w:t>
      </w:r>
      <w:r w:rsidR="009206BE" w:rsidRPr="009206BE">
        <w:rPr>
          <w:rFonts w:eastAsia="Calibri" w:cs="GHEA Grapalat"/>
          <w:b w:val="0"/>
          <w:szCs w:val="22"/>
          <w:lang w:val="hy-AM" w:eastAsia="en-US"/>
        </w:rPr>
        <w:t>61.5</w:t>
      </w:r>
      <w:r w:rsidRPr="004E12E8">
        <w:rPr>
          <w:rFonts w:eastAsia="Calibri" w:cs="GHEA Grapalat"/>
          <w:b w:val="0"/>
          <w:szCs w:val="22"/>
          <w:lang w:val="hy-AM" w:eastAsia="en-US"/>
        </w:rPr>
        <w:t xml:space="preserve"> տոկոս: Այս առումով,</w:t>
      </w:r>
      <w:r w:rsidRPr="00A35F45">
        <w:rPr>
          <w:lang w:val="hy-AM"/>
        </w:rPr>
        <w:t xml:space="preserve"> </w:t>
      </w:r>
      <w:r w:rsidRPr="00CE473F">
        <w:rPr>
          <w:rFonts w:eastAsia="Calibri" w:cs="GHEA Grapalat"/>
          <w:b w:val="0"/>
          <w:szCs w:val="22"/>
          <w:lang w:val="hy-AM" w:eastAsia="en-US"/>
        </w:rPr>
        <w:t xml:space="preserve">համավարակի հետևանքներով առաջացած իրավիճակը և Արցախյան պատերազմը </w:t>
      </w:r>
      <w:r w:rsidRPr="004E12E8">
        <w:rPr>
          <w:rFonts w:eastAsia="Calibri" w:cs="GHEA Grapalat"/>
          <w:b w:val="0"/>
          <w:szCs w:val="22"/>
          <w:lang w:val="hy-AM" w:eastAsia="en-US"/>
        </w:rPr>
        <w:t>համարելով բացառիկ դեպք</w:t>
      </w:r>
      <w:r w:rsidRPr="00A35F45">
        <w:rPr>
          <w:rFonts w:eastAsia="Calibri" w:cs="GHEA Grapalat"/>
          <w:b w:val="0"/>
          <w:szCs w:val="22"/>
          <w:lang w:val="hy-AM" w:eastAsia="en-US"/>
        </w:rPr>
        <w:t xml:space="preserve"> (</w:t>
      </w:r>
      <w:r w:rsidRPr="00CE473F">
        <w:rPr>
          <w:rFonts w:eastAsia="Calibri" w:cs="GHEA Grapalat"/>
          <w:b w:val="0"/>
          <w:szCs w:val="22"/>
          <w:lang w:val="hy-AM" w:eastAsia="en-US"/>
        </w:rPr>
        <w:t>ինչն արտացոլվել է «2020թ. պետական բյուջեի մասին օրենքում փոփոխություններ և լրացումներ կատարելու մասին»</w:t>
      </w:r>
      <w:r w:rsidRPr="00A35F45">
        <w:rPr>
          <w:rFonts w:eastAsia="Calibri" w:cs="GHEA Grapalat"/>
          <w:b w:val="0"/>
          <w:szCs w:val="22"/>
          <w:lang w:val="hy-AM" w:eastAsia="en-US"/>
        </w:rPr>
        <w:t xml:space="preserve"> </w:t>
      </w:r>
      <w:r w:rsidRPr="00CE473F">
        <w:rPr>
          <w:rFonts w:eastAsia="Calibri" w:cs="GHEA Grapalat"/>
          <w:b w:val="0"/>
          <w:szCs w:val="22"/>
          <w:lang w:val="hy-AM" w:eastAsia="en-US"/>
        </w:rPr>
        <w:t>օրենքի նախագծին հավանություն տալու վերաբերյալ կառավարության՝ 2020թ. ապրիլի 23-ի (587-Ա) և սեպտեմբերի 29-ի (N 1600-Ա) որոշումներում</w:t>
      </w:r>
      <w:r w:rsidRPr="00A35F45">
        <w:rPr>
          <w:rFonts w:eastAsia="Calibri" w:cs="GHEA Grapalat"/>
          <w:b w:val="0"/>
          <w:szCs w:val="22"/>
          <w:lang w:val="hy-AM" w:eastAsia="en-US"/>
        </w:rPr>
        <w:t>),</w:t>
      </w:r>
      <w:r w:rsidRPr="004E12E8">
        <w:rPr>
          <w:rFonts w:eastAsia="Calibri" w:cs="GHEA Grapalat"/>
          <w:b w:val="0"/>
          <w:szCs w:val="22"/>
          <w:lang w:val="hy-AM" w:eastAsia="en-US"/>
        </w:rPr>
        <w:t xml:space="preserve"> հարկաբյուջետային կանոնների համակարգին համահունչ (Բյուջետային համակարգի մասին ՀՀ օրենքի 21-րդ հոդվածի 8.3 կետի համապատասխան)</w:t>
      </w:r>
      <w:r w:rsidRPr="00A35F45">
        <w:rPr>
          <w:rFonts w:eastAsia="Calibri" w:cs="GHEA Grapalat"/>
          <w:b w:val="0"/>
          <w:szCs w:val="22"/>
          <w:lang w:val="hy-AM" w:eastAsia="en-US"/>
        </w:rPr>
        <w:t xml:space="preserve"> </w:t>
      </w:r>
      <w:r w:rsidRPr="004E12E8">
        <w:rPr>
          <w:rFonts w:eastAsia="Calibri" w:cs="GHEA Grapalat"/>
          <w:b w:val="0"/>
          <w:szCs w:val="22"/>
          <w:lang w:val="hy-AM" w:eastAsia="en-US"/>
        </w:rPr>
        <w:t>2020թ.-ին հնարավոր կլինի շեղվել պարտքի և ծախսերի կանոններից. բյուջեի պակասուրդը կլինի ավելի մեծ քան կապիտալ ծախսերն են, իսկ ընթացիկ առաջնային ծախսերի աճը կգերազանցի նախորդ 7 տարիների անվանական ՀՆԱ-ի աճի միջին տեմպը:</w:t>
      </w:r>
    </w:p>
    <w:p w:rsidR="00DE6C7D" w:rsidRDefault="00DE6C7D" w:rsidP="007730AA">
      <w:pPr>
        <w:spacing w:before="0" w:line="276" w:lineRule="auto"/>
        <w:ind w:firstLine="709"/>
        <w:contextualSpacing w:val="0"/>
        <w:rPr>
          <w:rFonts w:eastAsia="Calibri"/>
          <w:bCs/>
          <w:i/>
          <w:iCs/>
          <w:sz w:val="21"/>
          <w:szCs w:val="21"/>
          <w:lang w:val="hy-AM" w:eastAsia="en-US"/>
        </w:rPr>
      </w:pPr>
    </w:p>
    <w:p w:rsidR="00DE6C7D" w:rsidRDefault="00DE6C7D" w:rsidP="007730AA">
      <w:pPr>
        <w:spacing w:before="0" w:line="276" w:lineRule="auto"/>
        <w:ind w:firstLine="709"/>
        <w:contextualSpacing w:val="0"/>
        <w:rPr>
          <w:rFonts w:eastAsia="Calibri"/>
          <w:bCs/>
          <w:i/>
          <w:iCs/>
          <w:sz w:val="21"/>
          <w:szCs w:val="21"/>
          <w:lang w:val="hy-AM" w:eastAsia="en-US"/>
        </w:rPr>
      </w:pPr>
    </w:p>
    <w:p w:rsidR="00DE6C7D" w:rsidRDefault="00DE6C7D" w:rsidP="002026A8">
      <w:pPr>
        <w:spacing w:before="0" w:line="276" w:lineRule="auto"/>
        <w:ind w:firstLine="0"/>
        <w:contextualSpacing w:val="0"/>
        <w:rPr>
          <w:rFonts w:eastAsia="Calibri"/>
          <w:bCs/>
          <w:i/>
          <w:iCs/>
          <w:sz w:val="21"/>
          <w:szCs w:val="21"/>
          <w:lang w:val="hy-AM" w:eastAsia="en-US"/>
        </w:rPr>
      </w:pPr>
    </w:p>
    <w:p w:rsidR="00D1025D" w:rsidRPr="004E12E8" w:rsidRDefault="00D1025D" w:rsidP="00DE6C7D">
      <w:pPr>
        <w:spacing w:before="0" w:line="276" w:lineRule="auto"/>
        <w:ind w:firstLine="0"/>
        <w:contextualSpacing w:val="0"/>
        <w:jc w:val="left"/>
        <w:rPr>
          <w:rFonts w:eastAsia="Calibri"/>
          <w:b w:val="0"/>
          <w:i/>
          <w:iCs/>
          <w:sz w:val="21"/>
          <w:szCs w:val="21"/>
          <w:lang w:val="hy-AM" w:eastAsia="en-US"/>
        </w:rPr>
      </w:pPr>
      <w:r w:rsidRPr="004E12E8">
        <w:rPr>
          <w:rFonts w:eastAsia="Calibri"/>
          <w:bCs/>
          <w:i/>
          <w:iCs/>
          <w:sz w:val="21"/>
          <w:szCs w:val="21"/>
          <w:lang w:val="hy-AM" w:eastAsia="en-US"/>
        </w:rPr>
        <w:t>Գծապատկեր 2.2.</w:t>
      </w:r>
      <w:r w:rsidRPr="004E12E8">
        <w:rPr>
          <w:rFonts w:eastAsia="Calibri"/>
          <w:b w:val="0"/>
          <w:i/>
          <w:iCs/>
          <w:sz w:val="21"/>
          <w:szCs w:val="21"/>
          <w:lang w:val="hy-AM" w:eastAsia="en-US"/>
        </w:rPr>
        <w:t xml:space="preserve"> Պետական բյուջեի եկամուտները, ծախսերը և պակասուրդը, մլրդ դրամ</w:t>
      </w:r>
    </w:p>
    <w:p w:rsidR="00D1025D" w:rsidRPr="004E12E8" w:rsidRDefault="00D1025D" w:rsidP="007730AA">
      <w:pPr>
        <w:spacing w:before="0" w:line="276" w:lineRule="auto"/>
        <w:ind w:firstLine="0"/>
        <w:contextualSpacing w:val="0"/>
        <w:rPr>
          <w:rFonts w:eastAsia="Calibri"/>
          <w:szCs w:val="22"/>
          <w:lang w:val="hy-AM" w:eastAsia="en-US"/>
        </w:rPr>
      </w:pPr>
      <w:r w:rsidRPr="004E12E8">
        <w:rPr>
          <w:rFonts w:eastAsia="Calibri"/>
          <w:b w:val="0"/>
          <w:noProof/>
          <w:sz w:val="20"/>
          <w:szCs w:val="20"/>
          <w:lang w:val="en-US" w:eastAsia="en-US"/>
        </w:rPr>
        <w:drawing>
          <wp:inline distT="0" distB="0" distL="0" distR="0">
            <wp:extent cx="3060000" cy="2886075"/>
            <wp:effectExtent l="0" t="0" r="7620" b="9525"/>
            <wp:docPr id="103" name="Chart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4E12E8">
        <w:rPr>
          <w:rFonts w:eastAsia="Calibri"/>
          <w:szCs w:val="22"/>
          <w:lang w:val="hy-AM" w:eastAsia="en-US"/>
        </w:rPr>
        <w:t xml:space="preserve"> </w:t>
      </w:r>
      <w:r w:rsidRPr="004E12E8">
        <w:rPr>
          <w:rFonts w:eastAsia="Calibri"/>
          <w:b w:val="0"/>
          <w:noProof/>
          <w:sz w:val="20"/>
          <w:szCs w:val="20"/>
          <w:lang w:val="en-US" w:eastAsia="en-US"/>
        </w:rPr>
        <w:drawing>
          <wp:inline distT="0" distB="0" distL="0" distR="0">
            <wp:extent cx="3060000" cy="2879725"/>
            <wp:effectExtent l="0" t="0" r="7620" b="15875"/>
            <wp:docPr id="104"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1025D" w:rsidRPr="004E12E8" w:rsidRDefault="00D1025D" w:rsidP="0077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18"/>
          <w:szCs w:val="18"/>
          <w:lang w:val="hy-AM" w:eastAsia="en-US"/>
        </w:rPr>
      </w:pPr>
      <w:r w:rsidRPr="004E12E8">
        <w:rPr>
          <w:rFonts w:eastAsia="Calibri" w:cs="Arial"/>
          <w:b w:val="0"/>
          <w:bCs/>
          <w:i/>
          <w:iCs/>
          <w:sz w:val="18"/>
          <w:szCs w:val="18"/>
          <w:lang w:val="hy-AM" w:eastAsia="en-US"/>
        </w:rPr>
        <w:t>Աղբյուրը՝ ՀՀ ՖՆ</w:t>
      </w:r>
    </w:p>
    <w:p w:rsidR="00D1025D" w:rsidRPr="004E12E8" w:rsidRDefault="00D1025D" w:rsidP="007730AA">
      <w:pPr>
        <w:autoSpaceDE w:val="0"/>
        <w:autoSpaceDN w:val="0"/>
        <w:adjustRightInd w:val="0"/>
        <w:spacing w:before="0" w:line="276" w:lineRule="auto"/>
        <w:ind w:firstLine="709"/>
        <w:contextualSpacing w:val="0"/>
        <w:rPr>
          <w:rFonts w:eastAsia="Calibri"/>
          <w:b w:val="0"/>
          <w:szCs w:val="22"/>
          <w:lang w:val="hy-AM" w:eastAsia="en-US"/>
        </w:rPr>
      </w:pPr>
      <w:r w:rsidRPr="004E12E8">
        <w:rPr>
          <w:rFonts w:eastAsia="Calibri"/>
          <w:szCs w:val="22"/>
          <w:lang w:val="hy-AM" w:eastAsia="en-US"/>
        </w:rPr>
        <w:t xml:space="preserve">Հարկաբյուջետային և պարտքային կայուն միջավայր ձևավորելու անհրաժեշտությունից ելնելով՝ 2021 </w:t>
      </w:r>
      <w:r w:rsidRPr="0011262E">
        <w:rPr>
          <w:rFonts w:eastAsia="Calibri"/>
          <w:szCs w:val="22"/>
          <w:lang w:val="hy-AM" w:eastAsia="en-US"/>
        </w:rPr>
        <w:t>թվականին ծրագրավորվում է իրականացնել զսպող հարկաբյուջետային քաղաքականություն:</w:t>
      </w:r>
      <w:r w:rsidRPr="0011262E">
        <w:rPr>
          <w:rFonts w:eastAsia="Calibri"/>
          <w:b w:val="0"/>
          <w:szCs w:val="22"/>
          <w:lang w:val="hy-AM" w:eastAsia="en-US"/>
        </w:rPr>
        <w:t xml:space="preserve"> 2020թ.-ին տնտեսության վերականգնմանը զուգահեռ կիրականացվի խթանող հարկաբյուջետային</w:t>
      </w:r>
      <w:r w:rsidRPr="004E12E8">
        <w:rPr>
          <w:rFonts w:eastAsia="Calibri"/>
          <w:b w:val="0"/>
          <w:szCs w:val="22"/>
          <w:lang w:val="hy-AM" w:eastAsia="en-US"/>
        </w:rPr>
        <w:t xml:space="preserve"> քաղաքականություն, որի ազդեցությունն ամբողջական պահանջարկի վրա գնահատվում է </w:t>
      </w:r>
      <w:r w:rsidRPr="0011262E">
        <w:rPr>
          <w:rFonts w:eastAsia="Calibri"/>
          <w:b w:val="0"/>
          <w:szCs w:val="22"/>
          <w:lang w:val="hy-AM" w:eastAsia="en-US"/>
        </w:rPr>
        <w:t>6.8</w:t>
      </w:r>
      <w:r w:rsidRPr="004E12E8">
        <w:rPr>
          <w:rFonts w:eastAsia="Calibri"/>
          <w:b w:val="0"/>
          <w:szCs w:val="22"/>
          <w:lang w:val="hy-AM" w:eastAsia="en-US"/>
        </w:rPr>
        <w:t xml:space="preserve"> տոկոս ընդլայնող, իսկ զուտ վարկավորման ցուցանիշները (որն իր մեջ ներառում է 2020թ.-ին կորոնովիրուսի հաղթահարման տնտեսական հետևանքները չեզոքացնող միջոցառումների զգալի մասը) հաշվի առնելու դեպքում, ընդլայնող ազդեցությունը կկազմի </w:t>
      </w:r>
      <w:r w:rsidRPr="0011262E">
        <w:rPr>
          <w:rFonts w:eastAsia="Calibri"/>
          <w:b w:val="0"/>
          <w:szCs w:val="22"/>
          <w:lang w:val="hy-AM" w:eastAsia="en-US"/>
        </w:rPr>
        <w:t>8.1</w:t>
      </w:r>
      <w:r w:rsidRPr="004E12E8">
        <w:rPr>
          <w:rFonts w:eastAsia="Calibri"/>
          <w:b w:val="0"/>
          <w:szCs w:val="22"/>
          <w:lang w:val="hy-AM" w:eastAsia="en-US"/>
        </w:rPr>
        <w:t xml:space="preserve"> տոկոս: 2021 թվականին, պետական բյուջեի դեֆիցիտը կնվազի՝ կազմելով ՀՆԱ-ի </w:t>
      </w:r>
      <w:r w:rsidRPr="0011262E">
        <w:rPr>
          <w:rFonts w:eastAsia="Calibri"/>
          <w:b w:val="0"/>
          <w:szCs w:val="22"/>
          <w:lang w:val="hy-AM" w:eastAsia="en-US"/>
        </w:rPr>
        <w:t>5.</w:t>
      </w:r>
      <w:r>
        <w:rPr>
          <w:rFonts w:eastAsia="Calibri"/>
          <w:b w:val="0"/>
          <w:szCs w:val="22"/>
          <w:lang w:val="hy-AM" w:eastAsia="en-US"/>
        </w:rPr>
        <w:t>3</w:t>
      </w:r>
      <w:r w:rsidRPr="004E12E8">
        <w:rPr>
          <w:rFonts w:eastAsia="Calibri" w:cs="Sylfaen"/>
          <w:b w:val="0"/>
          <w:szCs w:val="22"/>
          <w:lang w:val="hy-AM" w:eastAsia="en-US"/>
        </w:rPr>
        <w:t>%-</w:t>
      </w:r>
      <w:r w:rsidRPr="004E12E8">
        <w:rPr>
          <w:rFonts w:eastAsia="Calibri"/>
          <w:b w:val="0"/>
          <w:szCs w:val="22"/>
          <w:lang w:val="hy-AM" w:eastAsia="en-US"/>
        </w:rPr>
        <w:t xml:space="preserve">ի չափ, իսկ հարկաբյուջետային քաղաքականությունը կլինի զսպող՝ </w:t>
      </w:r>
      <w:r w:rsidRPr="004E12E8">
        <w:rPr>
          <w:rFonts w:eastAsia="Calibri" w:cs="Times Armenian"/>
          <w:b w:val="0"/>
          <w:bCs/>
          <w:szCs w:val="22"/>
          <w:lang w:val="hy-AM" w:eastAsia="en-US"/>
        </w:rPr>
        <w:t>պայմաններ ստեղծելով միջնաժամկետում ՀՀ կառավարության պարտքի նվազման և հարկաբյուջետային կայունության ապահովման համար</w:t>
      </w:r>
      <w:r w:rsidRPr="004E12E8">
        <w:rPr>
          <w:rFonts w:eastAsia="Calibri"/>
          <w:b w:val="0"/>
          <w:szCs w:val="22"/>
          <w:lang w:val="hy-AM" w:eastAsia="en-US"/>
        </w:rPr>
        <w:t xml:space="preserve">: </w:t>
      </w:r>
    </w:p>
    <w:p w:rsidR="00D1025D" w:rsidRPr="004E12E8" w:rsidRDefault="00D1025D" w:rsidP="007730AA">
      <w:pPr>
        <w:spacing w:before="0" w:line="276" w:lineRule="auto"/>
        <w:ind w:firstLine="709"/>
        <w:contextualSpacing w:val="0"/>
        <w:rPr>
          <w:rFonts w:eastAsia="Calibri"/>
          <w:b w:val="0"/>
          <w:i/>
          <w:iCs/>
          <w:sz w:val="21"/>
          <w:szCs w:val="21"/>
          <w:lang w:val="hy-AM" w:eastAsia="en-US"/>
        </w:rPr>
      </w:pPr>
      <w:r w:rsidRPr="004E12E8">
        <w:rPr>
          <w:rFonts w:eastAsia="Calibri"/>
          <w:bCs/>
          <w:i/>
          <w:iCs/>
          <w:sz w:val="21"/>
          <w:szCs w:val="21"/>
          <w:lang w:val="hy-AM" w:eastAsia="en-US"/>
        </w:rPr>
        <w:t>Գծապատկեր 2.3.</w:t>
      </w:r>
      <w:r w:rsidRPr="004E12E8">
        <w:rPr>
          <w:rFonts w:eastAsia="Calibri"/>
          <w:b w:val="0"/>
          <w:i/>
          <w:iCs/>
          <w:sz w:val="21"/>
          <w:szCs w:val="21"/>
          <w:lang w:val="hy-AM" w:eastAsia="en-US"/>
        </w:rPr>
        <w:t xml:space="preserve"> </w:t>
      </w:r>
      <w:r w:rsidRPr="0011262E">
        <w:rPr>
          <w:rFonts w:eastAsia="Calibri"/>
          <w:b w:val="0"/>
          <w:i/>
          <w:iCs/>
          <w:sz w:val="21"/>
          <w:szCs w:val="21"/>
          <w:lang w:val="hy-AM" w:eastAsia="en-US"/>
        </w:rPr>
        <w:t>Հարկաբյուջետային ազդակը</w:t>
      </w:r>
    </w:p>
    <w:p w:rsidR="00D1025D" w:rsidRPr="004E12E8" w:rsidRDefault="00D1025D" w:rsidP="007730AA">
      <w:pPr>
        <w:spacing w:before="0" w:line="276" w:lineRule="auto"/>
        <w:ind w:firstLine="0"/>
        <w:contextualSpacing w:val="0"/>
        <w:rPr>
          <w:rFonts w:eastAsia="Calibri"/>
          <w:b w:val="0"/>
          <w:szCs w:val="22"/>
          <w:lang w:val="hy-AM" w:eastAsia="en-US"/>
        </w:rPr>
      </w:pPr>
      <w:r w:rsidRPr="004E12E8">
        <w:rPr>
          <w:rFonts w:eastAsia="Calibri"/>
          <w:b w:val="0"/>
          <w:noProof/>
          <w:sz w:val="20"/>
          <w:szCs w:val="20"/>
          <w:lang w:val="en-US" w:eastAsia="en-US"/>
        </w:rPr>
        <w:drawing>
          <wp:inline distT="0" distB="0" distL="0" distR="0">
            <wp:extent cx="6385560" cy="2641600"/>
            <wp:effectExtent l="0" t="0" r="15240" b="6350"/>
            <wp:docPr id="105" name="Chart 1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1025D" w:rsidRPr="004E12E8" w:rsidRDefault="00D1025D" w:rsidP="007730AA">
      <w:pPr>
        <w:autoSpaceDE w:val="0"/>
        <w:autoSpaceDN w:val="0"/>
        <w:adjustRightInd w:val="0"/>
        <w:spacing w:before="0" w:line="276" w:lineRule="auto"/>
        <w:ind w:firstLine="709"/>
        <w:contextualSpacing w:val="0"/>
        <w:rPr>
          <w:rFonts w:eastAsia="Calibri"/>
          <w:b w:val="0"/>
          <w:sz w:val="21"/>
          <w:szCs w:val="21"/>
          <w:lang w:val="hy-AM" w:eastAsia="en-US"/>
        </w:rPr>
      </w:pPr>
      <w:r w:rsidRPr="004E12E8">
        <w:rPr>
          <w:rFonts w:eastAsia="Calibri" w:cs="Arial"/>
          <w:b w:val="0"/>
          <w:bCs/>
          <w:i/>
          <w:iCs/>
          <w:sz w:val="18"/>
          <w:szCs w:val="18"/>
          <w:lang w:val="hy-AM" w:eastAsia="en-US"/>
        </w:rPr>
        <w:t>Աղբյուրը՝ ՀՀ ՖՆ գնահատականներ</w:t>
      </w:r>
    </w:p>
    <w:p w:rsidR="00D1025D" w:rsidRPr="004E12E8" w:rsidRDefault="00D1025D" w:rsidP="002026A8">
      <w:pPr>
        <w:spacing w:before="0" w:after="120" w:line="276" w:lineRule="auto"/>
        <w:ind w:firstLine="709"/>
        <w:contextualSpacing w:val="0"/>
        <w:rPr>
          <w:rFonts w:eastAsia="Calibri"/>
          <w:b w:val="0"/>
          <w:szCs w:val="22"/>
          <w:lang w:val="hy-AM" w:eastAsia="en-US"/>
        </w:rPr>
      </w:pPr>
      <w:r w:rsidRPr="004E12E8">
        <w:rPr>
          <w:rFonts w:eastAsia="Calibri"/>
          <w:bCs/>
          <w:szCs w:val="22"/>
          <w:lang w:val="hy-AM" w:eastAsia="en-US"/>
        </w:rPr>
        <w:t>2021թ.-ին, հաշվի առնելով տնտեսական ճգնաժամի հետևանքով տնտեսության վերականգնման սպասվածից ավելի դանդաղ կանխատեսումները, նախատեսվում է ևս մեկ տարի օգտագործել հարկաբյուջետային կանոնների համակարգով նախատեսված բացառիկ դեպքի կարգավորումներից</w:t>
      </w:r>
      <w:r w:rsidRPr="004E12E8">
        <w:rPr>
          <w:rFonts w:eastAsia="Calibri"/>
          <w:bCs/>
          <w:szCs w:val="22"/>
          <w:vertAlign w:val="superscript"/>
          <w:lang w:val="hy-AM" w:eastAsia="en-US"/>
        </w:rPr>
        <w:footnoteReference w:id="20"/>
      </w:r>
      <w:r w:rsidRPr="004E12E8">
        <w:rPr>
          <w:rFonts w:eastAsia="Calibri"/>
          <w:bCs/>
          <w:szCs w:val="22"/>
          <w:lang w:val="hy-AM" w:eastAsia="en-US"/>
        </w:rPr>
        <w:t xml:space="preserve"> և պետական ֆինանսների «ոսկե կանոնների» տրամաբանությանը վերադառնալ միջնաժամկետ հատվածում՝ վերականգնման արդյունավետ ընթացքն ապահովելու նպատակով:</w:t>
      </w:r>
      <w:r w:rsidRPr="004E12E8">
        <w:rPr>
          <w:rFonts w:eastAsia="Calibri"/>
          <w:b w:val="0"/>
          <w:szCs w:val="22"/>
          <w:lang w:val="hy-AM" w:eastAsia="en-US"/>
        </w:rPr>
        <w:t xml:space="preserve"> Այդ տրամաբանությամբ, 2021թ.-ին տնտեսության վերականգնումը չխաթարելու և մակրոտնտեսական կայունությանը նպաստելու նպատակով, նախատեսվում է իրականացնել հարկաբյուջետային սահուն կոնսոլիդացիա, ինչի արդյունքում պետական բյուջեի կապիտալ ծախսերը ևս մեկ տարի կլինեն ավելի փոքր, քան բյուջեի պակասուրդը:</w:t>
      </w:r>
    </w:p>
    <w:p w:rsidR="00D1025D" w:rsidRPr="004E12E8" w:rsidRDefault="00D1025D" w:rsidP="002026A8">
      <w:pPr>
        <w:spacing w:before="0" w:after="120" w:line="276" w:lineRule="auto"/>
        <w:ind w:firstLine="709"/>
        <w:contextualSpacing w:val="0"/>
        <w:rPr>
          <w:rFonts w:eastAsia="Calibri"/>
          <w:b w:val="0"/>
          <w:szCs w:val="22"/>
          <w:lang w:val="hy-AM" w:eastAsia="en-US"/>
        </w:rPr>
      </w:pPr>
      <w:r w:rsidRPr="004E12E8">
        <w:rPr>
          <w:rFonts w:eastAsia="Calibri"/>
          <w:b w:val="0"/>
          <w:szCs w:val="22"/>
          <w:lang w:val="hy-AM" w:eastAsia="en-US"/>
        </w:rPr>
        <w:t>Միջնաժամկետում, տնտեսության վերականգնմանը զուգահեռ, վերադարձ կկատարվի հարկաբյուջետային կանոններով սահմանված պետական ֆինանսների «ոսկե կանոնների» տրամաբանությանը՝ ապահովելով պարտք/ՀՆԱ հարաբերակցության նվազող հետագիծը և ծախսերի կառուցվածքի բարելավումը, ինչպես նաև հետևողական քայլեր կատարելով ծախսերի գծով խնայողությունների և եկամուտների ավելացման ուղղությամբ (Հարկաբյուջետային քաղաքականության միջնաժամկետ առաջնահերթությունները և նպատակները առավել մանրամասն ներկայացված են ՀՀ կառավարության 2021-2023թթ. միջնաժամկետ ծախսերի ծրագրի 2-րդ գլխի 2.2 կետում):</w:t>
      </w:r>
    </w:p>
    <w:p w:rsidR="00D1025D" w:rsidRPr="004E12E8" w:rsidRDefault="00D1025D" w:rsidP="007730AA">
      <w:pPr>
        <w:spacing w:before="0" w:line="276" w:lineRule="auto"/>
        <w:ind w:firstLine="709"/>
        <w:contextualSpacing w:val="0"/>
        <w:rPr>
          <w:rFonts w:eastAsia="Calibri"/>
          <w:b w:val="0"/>
          <w:i/>
          <w:iCs/>
          <w:sz w:val="21"/>
          <w:szCs w:val="21"/>
          <w:lang w:val="hy-AM" w:eastAsia="en-US"/>
        </w:rPr>
      </w:pPr>
      <w:r w:rsidRPr="004E12E8">
        <w:rPr>
          <w:rFonts w:eastAsia="Calibri"/>
          <w:bCs/>
          <w:i/>
          <w:iCs/>
          <w:sz w:val="21"/>
          <w:szCs w:val="21"/>
          <w:lang w:val="hy-AM" w:eastAsia="en-US"/>
        </w:rPr>
        <w:t>Գծապատկեր 2.4.</w:t>
      </w:r>
      <w:r w:rsidRPr="004E12E8">
        <w:rPr>
          <w:rFonts w:eastAsia="Calibri"/>
          <w:b w:val="0"/>
          <w:i/>
          <w:iCs/>
          <w:sz w:val="21"/>
          <w:szCs w:val="21"/>
          <w:lang w:val="hy-AM" w:eastAsia="en-US"/>
        </w:rPr>
        <w:t xml:space="preserve"> Ոսկե կանոններից շեղումը 2020-2021թվականներին </w:t>
      </w:r>
    </w:p>
    <w:p w:rsidR="00D1025D" w:rsidRPr="004E12E8" w:rsidRDefault="00D1025D" w:rsidP="00EE3383">
      <w:pPr>
        <w:spacing w:before="0" w:line="240" w:lineRule="auto"/>
        <w:ind w:firstLine="0"/>
        <w:contextualSpacing w:val="0"/>
        <w:jc w:val="center"/>
        <w:rPr>
          <w:rFonts w:eastAsia="Calibri"/>
          <w:b w:val="0"/>
          <w:noProof/>
          <w:sz w:val="20"/>
          <w:szCs w:val="20"/>
          <w:lang w:val="hy-AM" w:eastAsia="en-US"/>
        </w:rPr>
      </w:pPr>
      <w:r w:rsidRPr="004E12E8">
        <w:rPr>
          <w:rFonts w:eastAsia="Calibri"/>
          <w:b w:val="0"/>
          <w:noProof/>
          <w:sz w:val="20"/>
          <w:szCs w:val="20"/>
          <w:lang w:val="en-US" w:eastAsia="en-US"/>
        </w:rPr>
        <w:drawing>
          <wp:inline distT="0" distB="0" distL="0" distR="0">
            <wp:extent cx="3024000" cy="2700000"/>
            <wp:effectExtent l="0" t="0" r="5080" b="5715"/>
            <wp:docPr id="106"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4E12E8">
        <w:rPr>
          <w:rFonts w:eastAsia="Calibri"/>
          <w:b w:val="0"/>
          <w:noProof/>
          <w:sz w:val="20"/>
          <w:szCs w:val="20"/>
          <w:lang w:val="en-US" w:eastAsia="en-US"/>
        </w:rPr>
        <w:drawing>
          <wp:inline distT="0" distB="0" distL="0" distR="0">
            <wp:extent cx="3024000" cy="2700000"/>
            <wp:effectExtent l="0" t="0" r="5080" b="5715"/>
            <wp:docPr id="107"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1025D" w:rsidRPr="004E12E8" w:rsidRDefault="00D1025D" w:rsidP="007730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r w:rsidRPr="004E12E8">
        <w:rPr>
          <w:rFonts w:eastAsia="Calibri" w:cs="Arial"/>
          <w:b w:val="0"/>
          <w:bCs/>
          <w:i/>
          <w:iCs/>
          <w:sz w:val="20"/>
          <w:szCs w:val="20"/>
          <w:lang w:val="hy-AM" w:eastAsia="en-US"/>
        </w:rPr>
        <w:t>Աղբյուրը՝ ՀՀ ՖՆ</w:t>
      </w:r>
    </w:p>
    <w:p w:rsidR="00D1025D" w:rsidRPr="004E12E8" w:rsidRDefault="00D1025D" w:rsidP="002026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76" w:lineRule="auto"/>
        <w:ind w:firstLine="709"/>
        <w:contextualSpacing w:val="0"/>
        <w:rPr>
          <w:rFonts w:eastAsia="Calibri" w:cs="Arial"/>
          <w:b w:val="0"/>
          <w:bCs/>
          <w:i/>
          <w:iCs/>
          <w:sz w:val="20"/>
          <w:szCs w:val="20"/>
          <w:lang w:val="hy-AM" w:eastAsia="en-US"/>
        </w:rPr>
      </w:pPr>
      <w:r w:rsidRPr="004E12E8">
        <w:rPr>
          <w:rFonts w:eastAsia="Calibri"/>
          <w:b w:val="0"/>
          <w:szCs w:val="22"/>
          <w:lang w:val="hy-AM" w:eastAsia="en-US"/>
        </w:rPr>
        <w:t>Վերոնշյալի հետևանքով 2021թ.-ին կապիտալ ծախսերի համար պետական ֆինանսների «ոսկե կանոնը» ևս մեկ տարի չի պահպանվի և բյուջեի պակասուրդը կլինի ավելի մեծ, քան կապիտալ ծախսերի ծավալն է:</w:t>
      </w:r>
    </w:p>
    <w:p w:rsidR="00D1025D" w:rsidRDefault="00D1025D" w:rsidP="002026A8">
      <w:pPr>
        <w:spacing w:before="0" w:after="120" w:line="276" w:lineRule="auto"/>
        <w:ind w:firstLine="709"/>
        <w:contextualSpacing w:val="0"/>
        <w:rPr>
          <w:rFonts w:eastAsia="Calibri"/>
          <w:b w:val="0"/>
          <w:bCs/>
          <w:szCs w:val="22"/>
          <w:lang w:val="hy-AM" w:eastAsia="en-US"/>
        </w:rPr>
      </w:pPr>
      <w:r w:rsidRPr="004E12E8">
        <w:rPr>
          <w:rFonts w:eastAsia="Calibri"/>
          <w:b w:val="0"/>
          <w:bCs/>
          <w:szCs w:val="22"/>
          <w:lang w:val="hy-AM" w:eastAsia="en-US"/>
        </w:rPr>
        <w:t>COVID-19 համավարակով պայմանավորված տնտեսական ցնցման և վերջինիս խթանող հարկաբյուջետային քաղաքականությամբ հակազդելու պատճառով ՀՀ կառավարության պարտքի բեռը 2018-2019թթ</w:t>
      </w:r>
      <w:r w:rsidRPr="004E12E8">
        <w:rPr>
          <w:rFonts w:ascii="Cambria Math" w:eastAsia="Calibri" w:hAnsi="Cambria Math" w:cs="Cambria Math"/>
          <w:b w:val="0"/>
          <w:bCs/>
          <w:szCs w:val="22"/>
          <w:lang w:val="hy-AM" w:eastAsia="en-US"/>
        </w:rPr>
        <w:t>․</w:t>
      </w:r>
      <w:r w:rsidRPr="004E12E8">
        <w:rPr>
          <w:rFonts w:eastAsia="Calibri"/>
          <w:b w:val="0"/>
          <w:bCs/>
          <w:szCs w:val="22"/>
          <w:lang w:val="hy-AM" w:eastAsia="en-US"/>
        </w:rPr>
        <w:t xml:space="preserve"> արձանագրված հարկաբյուջետային կոնսոլիդացիայից հետո կտրուկ կաճի՝ գերազանցելով սահմանային շեմ հանդիսացնող 60% ցուցանիշը և 2021 թ.-ին կկազմի 6</w:t>
      </w:r>
      <w:r w:rsidRPr="00A35F45">
        <w:rPr>
          <w:rFonts w:eastAsia="Calibri"/>
          <w:b w:val="0"/>
          <w:bCs/>
          <w:szCs w:val="22"/>
          <w:lang w:val="hy-AM" w:eastAsia="en-US"/>
        </w:rPr>
        <w:t>6</w:t>
      </w:r>
      <w:r w:rsidRPr="004E12E8">
        <w:rPr>
          <w:rFonts w:eastAsia="Calibri"/>
          <w:b w:val="0"/>
          <w:bCs/>
          <w:szCs w:val="22"/>
          <w:lang w:val="hy-AM" w:eastAsia="en-US"/>
        </w:rPr>
        <w:t xml:space="preserve">%, որից հետո միջնաժամկետում </w:t>
      </w:r>
      <w:r>
        <w:rPr>
          <w:rFonts w:eastAsia="Calibri"/>
          <w:b w:val="0"/>
          <w:bCs/>
          <w:szCs w:val="22"/>
          <w:lang w:val="hy-AM" w:eastAsia="en-US"/>
        </w:rPr>
        <w:t xml:space="preserve">հարկաբյուջետային կանոններին համահունչ </w:t>
      </w:r>
      <w:r w:rsidRPr="004E12E8">
        <w:rPr>
          <w:rFonts w:eastAsia="Calibri"/>
          <w:b w:val="0"/>
          <w:bCs/>
          <w:szCs w:val="22"/>
          <w:lang w:val="hy-AM" w:eastAsia="en-US"/>
        </w:rPr>
        <w:t>աստիճանաբար կնվազի</w:t>
      </w:r>
      <w:r w:rsidRPr="00A35F45">
        <w:rPr>
          <w:rFonts w:eastAsia="Calibri"/>
          <w:b w:val="0"/>
          <w:bCs/>
          <w:szCs w:val="22"/>
          <w:lang w:val="hy-AM" w:eastAsia="en-US"/>
        </w:rPr>
        <w:t>`</w:t>
      </w:r>
      <w:r w:rsidRPr="004E12E8">
        <w:rPr>
          <w:rFonts w:eastAsia="Calibri"/>
          <w:b w:val="0"/>
          <w:bCs/>
          <w:szCs w:val="22"/>
          <w:lang w:val="hy-AM" w:eastAsia="en-US"/>
        </w:rPr>
        <w:t xml:space="preserve"> 202</w:t>
      </w:r>
      <w:r w:rsidRPr="00CB431C">
        <w:rPr>
          <w:rFonts w:eastAsia="Calibri"/>
          <w:b w:val="0"/>
          <w:bCs/>
          <w:szCs w:val="22"/>
          <w:lang w:val="hy-AM" w:eastAsia="en-US"/>
        </w:rPr>
        <w:t>6</w:t>
      </w:r>
      <w:r w:rsidRPr="004E12E8">
        <w:rPr>
          <w:rFonts w:eastAsia="Calibri"/>
          <w:b w:val="0"/>
          <w:bCs/>
          <w:szCs w:val="22"/>
          <w:lang w:val="hy-AM" w:eastAsia="en-US"/>
        </w:rPr>
        <w:t xml:space="preserve">թ.-ին </w:t>
      </w:r>
      <w:r>
        <w:rPr>
          <w:rFonts w:eastAsia="Calibri"/>
          <w:b w:val="0"/>
          <w:bCs/>
          <w:szCs w:val="22"/>
          <w:lang w:val="hy-AM" w:eastAsia="en-US"/>
        </w:rPr>
        <w:t>արդեն ցածր լինելով</w:t>
      </w:r>
      <w:r w:rsidRPr="004E12E8">
        <w:rPr>
          <w:rFonts w:eastAsia="Calibri"/>
          <w:b w:val="0"/>
          <w:bCs/>
          <w:szCs w:val="22"/>
          <w:lang w:val="hy-AM" w:eastAsia="en-US"/>
        </w:rPr>
        <w:t xml:space="preserve"> 60% շեմային ցուցանիշից։ Միջնաժամկետում ՀՀ կառավարության պարտք/ՀՆԱ ցուցանիշի նվազմանը նպաստող հիմնական գործոնը կլինի տնտեսական աճը։  </w:t>
      </w:r>
    </w:p>
    <w:p w:rsidR="00D1025D" w:rsidRPr="004E12E8" w:rsidRDefault="00D1025D" w:rsidP="007730AA">
      <w:pPr>
        <w:spacing w:before="0" w:line="276" w:lineRule="auto"/>
        <w:ind w:firstLine="709"/>
        <w:contextualSpacing w:val="0"/>
        <w:rPr>
          <w:rFonts w:eastAsia="Calibri"/>
          <w:b w:val="0"/>
          <w:bCs/>
          <w:i/>
          <w:iCs/>
          <w:sz w:val="21"/>
          <w:szCs w:val="21"/>
          <w:lang w:val="hy-AM" w:eastAsia="en-US"/>
        </w:rPr>
      </w:pPr>
      <w:r w:rsidRPr="004E12E8">
        <w:rPr>
          <w:rFonts w:eastAsia="Calibri"/>
          <w:i/>
          <w:iCs/>
          <w:sz w:val="21"/>
          <w:szCs w:val="21"/>
          <w:lang w:val="hy-AM" w:eastAsia="en-US"/>
        </w:rPr>
        <w:t>Գծապատկեր 2.5.</w:t>
      </w:r>
      <w:r w:rsidRPr="004E12E8">
        <w:rPr>
          <w:rFonts w:eastAsia="Calibri"/>
          <w:b w:val="0"/>
          <w:bCs/>
          <w:i/>
          <w:iCs/>
          <w:sz w:val="21"/>
          <w:szCs w:val="21"/>
          <w:lang w:val="hy-AM" w:eastAsia="en-US"/>
        </w:rPr>
        <w:t xml:space="preserve"> ՀՀ կառավարության պարտքի դինամիկան և այն պայմանավորող գործոնները</w:t>
      </w:r>
      <w:r w:rsidRPr="004E12E8">
        <w:rPr>
          <w:rFonts w:eastAsia="Calibri"/>
          <w:b w:val="0"/>
          <w:i/>
          <w:iCs/>
          <w:sz w:val="21"/>
          <w:szCs w:val="21"/>
          <w:vertAlign w:val="superscript"/>
          <w:lang w:val="hy-AM" w:eastAsia="en-US"/>
        </w:rPr>
        <w:footnoteReference w:id="21"/>
      </w:r>
    </w:p>
    <w:p w:rsidR="00D1025D" w:rsidRPr="003476CA" w:rsidRDefault="00D1025D" w:rsidP="007730AA">
      <w:pPr>
        <w:spacing w:before="0" w:line="276" w:lineRule="auto"/>
        <w:ind w:hanging="142"/>
        <w:contextualSpacing w:val="0"/>
        <w:rPr>
          <w:rFonts w:eastAsia="Calibri"/>
          <w:b w:val="0"/>
          <w:bCs/>
          <w:i/>
          <w:iCs/>
          <w:sz w:val="21"/>
          <w:szCs w:val="21"/>
          <w:lang w:val="en-US" w:eastAsia="en-US"/>
        </w:rPr>
      </w:pPr>
      <w:r w:rsidRPr="004E12E8">
        <w:rPr>
          <w:rFonts w:eastAsia="Calibri"/>
          <w:b w:val="0"/>
          <w:noProof/>
          <w:szCs w:val="22"/>
          <w:lang w:val="en-US" w:eastAsia="en-US"/>
        </w:rPr>
        <w:drawing>
          <wp:inline distT="0" distB="0" distL="0" distR="0">
            <wp:extent cx="2844000" cy="2879725"/>
            <wp:effectExtent l="0" t="0" r="13970" b="15875"/>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4E12E8">
        <w:rPr>
          <w:rFonts w:eastAsia="Calibri"/>
          <w:b w:val="0"/>
          <w:noProof/>
          <w:szCs w:val="22"/>
          <w:lang w:val="en-US" w:eastAsia="en-US"/>
        </w:rPr>
        <w:drawing>
          <wp:inline distT="0" distB="0" distL="0" distR="0">
            <wp:extent cx="3357349" cy="2879725"/>
            <wp:effectExtent l="0" t="0" r="14605" b="15875"/>
            <wp:docPr id="109"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1025D" w:rsidRDefault="00D1025D" w:rsidP="007730AA">
      <w:pPr>
        <w:spacing w:before="0" w:line="276" w:lineRule="auto"/>
        <w:ind w:firstLine="0"/>
        <w:contextualSpacing w:val="0"/>
        <w:rPr>
          <w:rFonts w:eastAsia="Calibri"/>
          <w:i/>
          <w:iCs/>
          <w:sz w:val="21"/>
          <w:szCs w:val="21"/>
          <w:lang w:val="hy-AM" w:eastAsia="en-US"/>
        </w:rPr>
      </w:pPr>
      <w:r w:rsidRPr="004E12E8">
        <w:rPr>
          <w:rFonts w:eastAsia="Calibri" w:cs="Arial"/>
          <w:b w:val="0"/>
          <w:bCs/>
          <w:i/>
          <w:iCs/>
          <w:sz w:val="20"/>
          <w:szCs w:val="20"/>
          <w:lang w:val="hy-AM" w:eastAsia="en-US"/>
        </w:rPr>
        <w:t>Աղբյուրը՝ ՀՀ ՖՆ</w:t>
      </w:r>
      <w:r w:rsidRPr="004E12E8" w:rsidDel="00833704">
        <w:rPr>
          <w:rFonts w:eastAsia="Calibri"/>
          <w:i/>
          <w:iCs/>
          <w:sz w:val="21"/>
          <w:szCs w:val="21"/>
          <w:lang w:val="hy-AM" w:eastAsia="en-US"/>
        </w:rPr>
        <w:t xml:space="preserve"> </w:t>
      </w:r>
    </w:p>
    <w:p w:rsidR="00D1025D" w:rsidRPr="004E12E8" w:rsidRDefault="00D1025D" w:rsidP="007730AA">
      <w:pPr>
        <w:spacing w:before="0" w:line="276" w:lineRule="auto"/>
        <w:ind w:firstLine="709"/>
        <w:contextualSpacing w:val="0"/>
        <w:rPr>
          <w:rFonts w:eastAsia="Calibri" w:cs="Arial"/>
          <w:b w:val="0"/>
          <w:bCs/>
          <w:i/>
          <w:iCs/>
          <w:sz w:val="20"/>
          <w:szCs w:val="20"/>
          <w:lang w:val="hy-AM" w:eastAsia="en-US"/>
        </w:rPr>
      </w:pP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0"/>
        <w:contextualSpacing w:val="0"/>
        <w:rPr>
          <w:rFonts w:eastAsia="Calibri" w:cs="Arial"/>
          <w:b w:val="0"/>
          <w:bCs/>
          <w:i/>
          <w:iCs/>
          <w:sz w:val="20"/>
          <w:lang w:val="hy-AM" w:eastAsia="en-US"/>
        </w:rPr>
      </w:pPr>
      <w:bookmarkStart w:id="123" w:name="_Toc45840842"/>
      <w:bookmarkStart w:id="124" w:name="_Toc45841159"/>
      <w:bookmarkEnd w:id="123"/>
      <w:bookmarkEnd w:id="124"/>
      <w:r w:rsidRPr="004E12E8">
        <w:rPr>
          <w:rFonts w:eastAsia="Calibri"/>
          <w:bCs/>
          <w:color w:val="000000"/>
          <w:sz w:val="20"/>
          <w:lang w:val="hy-AM" w:eastAsia="en-US"/>
        </w:rPr>
        <w:t xml:space="preserve">Ներդիր </w:t>
      </w:r>
      <w:r w:rsidRPr="00A84783">
        <w:rPr>
          <w:rFonts w:eastAsia="Calibri"/>
          <w:bCs/>
          <w:color w:val="000000"/>
          <w:sz w:val="20"/>
          <w:lang w:val="hy-AM" w:eastAsia="en-US"/>
        </w:rPr>
        <w:t>3</w:t>
      </w:r>
      <w:r w:rsidRPr="004E12E8">
        <w:rPr>
          <w:rFonts w:eastAsia="Calibri"/>
          <w:bCs/>
          <w:color w:val="000000"/>
          <w:sz w:val="20"/>
          <w:lang w:val="hy-AM" w:eastAsia="en-US"/>
        </w:rPr>
        <w:t>։ Կորոնավիրուսի ճգնաժամի հաղթահարմանն ուղղված հարկաբյուջետային քաղաքականության միջոցառումները</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COVID-19 համավարակի տարածման բացասական ազդեցությունները ՀՀ տնտեսության վրա արտացոլվել են ինչպես արտաքին աշխարհից փոխանցվող շոկերի այնպես էլ ներքին տնտեսական սահմանափակումների տեսքով: Տնտեսական խորը անկումը կանխելու, ինչպես նաև հետագա վերականգնումը խթանելու համար, կառավարությունը 2020 թվականին իրականացնելու է 150 մլրդ դրամ ընդհանուր գումարի չափով սոցիալ տնտեսական աջակցության միջոցառումների ծրագիր՝ հետևյալ հիմնական ուղղություններով.</w:t>
      </w:r>
    </w:p>
    <w:p w:rsidR="00D1025D" w:rsidRPr="004E12E8" w:rsidRDefault="00D1025D" w:rsidP="007730AA">
      <w:pPr>
        <w:numPr>
          <w:ilvl w:val="0"/>
          <w:numId w:val="71"/>
        </w:numPr>
        <w:pBdr>
          <w:top w:val="single" w:sz="4" w:space="1" w:color="auto"/>
          <w:left w:val="single" w:sz="4" w:space="4" w:color="auto"/>
          <w:bottom w:val="single" w:sz="4" w:space="1" w:color="auto"/>
          <w:right w:val="single" w:sz="4" w:space="4" w:color="auto"/>
        </w:pBdr>
        <w:shd w:val="clear" w:color="auto" w:fill="D9E2F3"/>
        <w:spacing w:before="0" w:line="240" w:lineRule="auto"/>
        <w:ind w:left="0" w:firstLine="425"/>
        <w:contextualSpacing w:val="0"/>
        <w:jc w:val="left"/>
        <w:rPr>
          <w:b w:val="0"/>
          <w:color w:val="000000"/>
          <w:sz w:val="20"/>
          <w:lang w:val="hy-AM" w:eastAsia="en-US"/>
        </w:rPr>
      </w:pPr>
      <w:r w:rsidRPr="004E12E8">
        <w:rPr>
          <w:b w:val="0"/>
          <w:color w:val="000000"/>
          <w:sz w:val="20"/>
          <w:lang w:val="hy-AM" w:eastAsia="en-US"/>
        </w:rPr>
        <w:t>30 մլրդ դրամ՝ տնտեսավարողներին աջակցության ծրագրեր, որոնք ուղղված են ընթացիկ իրացվելիության խնդիրների լուծմանը,</w:t>
      </w:r>
    </w:p>
    <w:p w:rsidR="00D1025D" w:rsidRPr="004E12E8" w:rsidRDefault="00D1025D" w:rsidP="007730AA">
      <w:pPr>
        <w:numPr>
          <w:ilvl w:val="0"/>
          <w:numId w:val="70"/>
        </w:numPr>
        <w:pBdr>
          <w:top w:val="single" w:sz="4" w:space="1" w:color="auto"/>
          <w:left w:val="single" w:sz="4" w:space="4" w:color="auto"/>
          <w:bottom w:val="single" w:sz="4" w:space="1" w:color="auto"/>
          <w:right w:val="single" w:sz="4" w:space="4" w:color="auto"/>
        </w:pBdr>
        <w:shd w:val="clear" w:color="auto" w:fill="D9E2F3"/>
        <w:spacing w:before="0" w:line="240" w:lineRule="auto"/>
        <w:ind w:left="0" w:firstLine="425"/>
        <w:contextualSpacing w:val="0"/>
        <w:jc w:val="left"/>
        <w:rPr>
          <w:b w:val="0"/>
          <w:color w:val="000000"/>
          <w:sz w:val="20"/>
          <w:lang w:val="hy-AM" w:eastAsia="en-US"/>
        </w:rPr>
      </w:pPr>
      <w:r w:rsidRPr="004E12E8">
        <w:rPr>
          <w:b w:val="0"/>
          <w:color w:val="000000"/>
          <w:sz w:val="20"/>
          <w:lang w:val="hy-AM" w:eastAsia="en-US"/>
        </w:rPr>
        <w:t>30 մլրդ դրամ՝ սոցիալական աջակցության ծրագրեր,</w:t>
      </w:r>
    </w:p>
    <w:p w:rsidR="00D1025D" w:rsidRPr="004E12E8" w:rsidRDefault="00D1025D" w:rsidP="007730AA">
      <w:pPr>
        <w:numPr>
          <w:ilvl w:val="0"/>
          <w:numId w:val="70"/>
        </w:numPr>
        <w:pBdr>
          <w:top w:val="single" w:sz="4" w:space="1" w:color="auto"/>
          <w:left w:val="single" w:sz="4" w:space="4" w:color="auto"/>
          <w:bottom w:val="single" w:sz="4" w:space="1" w:color="auto"/>
          <w:right w:val="single" w:sz="4" w:space="4" w:color="auto"/>
        </w:pBdr>
        <w:shd w:val="clear" w:color="auto" w:fill="D9E2F3"/>
        <w:spacing w:before="0" w:line="240" w:lineRule="auto"/>
        <w:ind w:left="0" w:firstLine="425"/>
        <w:contextualSpacing w:val="0"/>
        <w:jc w:val="left"/>
        <w:rPr>
          <w:b w:val="0"/>
          <w:color w:val="000000"/>
          <w:sz w:val="20"/>
          <w:lang w:val="hy-AM" w:eastAsia="en-US"/>
        </w:rPr>
      </w:pPr>
      <w:r w:rsidRPr="004E12E8">
        <w:rPr>
          <w:b w:val="0"/>
          <w:color w:val="000000"/>
          <w:sz w:val="20"/>
          <w:lang w:val="hy-AM" w:eastAsia="en-US"/>
        </w:rPr>
        <w:t>80 մլրդ դրամ՝ տնտեսության վերականգնման և երկարաժամկետ զարգացմանն ուղղված ծրագրեր,</w:t>
      </w:r>
    </w:p>
    <w:p w:rsidR="00D1025D" w:rsidRPr="004E12E8" w:rsidRDefault="00D1025D" w:rsidP="007730AA">
      <w:pPr>
        <w:numPr>
          <w:ilvl w:val="0"/>
          <w:numId w:val="70"/>
        </w:numPr>
        <w:pBdr>
          <w:top w:val="single" w:sz="4" w:space="1" w:color="auto"/>
          <w:left w:val="single" w:sz="4" w:space="4" w:color="auto"/>
          <w:bottom w:val="single" w:sz="4" w:space="1" w:color="auto"/>
          <w:right w:val="single" w:sz="4" w:space="4" w:color="auto"/>
        </w:pBdr>
        <w:shd w:val="clear" w:color="auto" w:fill="D9E2F3"/>
        <w:spacing w:before="0" w:line="240" w:lineRule="auto"/>
        <w:ind w:left="0" w:firstLine="425"/>
        <w:contextualSpacing w:val="0"/>
        <w:jc w:val="left"/>
        <w:rPr>
          <w:b w:val="0"/>
          <w:color w:val="000000"/>
          <w:sz w:val="20"/>
          <w:lang w:val="hy-AM" w:eastAsia="en-US"/>
        </w:rPr>
      </w:pPr>
      <w:r w:rsidRPr="004E12E8">
        <w:rPr>
          <w:b w:val="0"/>
          <w:color w:val="000000"/>
          <w:sz w:val="20"/>
          <w:lang w:val="hy-AM" w:eastAsia="en-US"/>
        </w:rPr>
        <w:t>10 մլրդ դրամ՝ պահուստային միջոցներ անհրաժեշտ վերաբաշխումներ իրականացնելու համար:</w:t>
      </w:r>
    </w:p>
    <w:p w:rsidR="00D1025D" w:rsidRPr="00DB0B67"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DB0B67">
        <w:rPr>
          <w:rFonts w:eastAsia="Calibri"/>
          <w:b w:val="0"/>
          <w:color w:val="000000"/>
          <w:sz w:val="20"/>
          <w:lang w:val="hy-AM" w:eastAsia="en-US"/>
        </w:rPr>
        <w:t xml:space="preserve">2020 թվականի </w:t>
      </w:r>
      <w:r w:rsidRPr="001C0939">
        <w:rPr>
          <w:rFonts w:eastAsia="Calibri"/>
          <w:b w:val="0"/>
          <w:color w:val="000000"/>
          <w:sz w:val="20"/>
          <w:lang w:val="hy-AM" w:eastAsia="en-US"/>
        </w:rPr>
        <w:t>նոյեմբերի 24-ի դրությամբ</w:t>
      </w:r>
      <w:r w:rsidRPr="00DB0B67">
        <w:rPr>
          <w:rFonts w:eastAsia="Calibri"/>
          <w:b w:val="0"/>
          <w:color w:val="000000"/>
          <w:sz w:val="20"/>
          <w:lang w:val="hy-AM" w:eastAsia="en-US"/>
        </w:rPr>
        <w:t xml:space="preserve"> ՀՀ կորոնավիրուսի համավարակի (COVID-19) կանխարգելման միջոցառումների շրջանակներում պետական բյուջեից փաստացի ծախսվել է </w:t>
      </w:r>
      <w:r w:rsidRPr="001C0939">
        <w:rPr>
          <w:rFonts w:eastAsia="Calibri"/>
          <w:b w:val="0"/>
          <w:color w:val="000000"/>
          <w:sz w:val="20"/>
          <w:lang w:val="hy-AM" w:eastAsia="en-US"/>
        </w:rPr>
        <w:t>61.6</w:t>
      </w:r>
      <w:r w:rsidRPr="00DB0B67">
        <w:rPr>
          <w:rFonts w:ascii="Calibri" w:eastAsia="Calibri" w:hAnsi="Calibri" w:cs="Calibri"/>
          <w:b w:val="0"/>
          <w:color w:val="000000"/>
          <w:sz w:val="20"/>
          <w:lang w:val="hy-AM" w:eastAsia="en-US"/>
        </w:rPr>
        <w:t> </w:t>
      </w:r>
      <w:r w:rsidRPr="00DB0B67">
        <w:rPr>
          <w:rFonts w:eastAsia="Calibri"/>
          <w:b w:val="0"/>
          <w:color w:val="000000"/>
          <w:sz w:val="20"/>
          <w:lang w:val="hy-AM" w:eastAsia="en-US"/>
        </w:rPr>
        <w:t xml:space="preserve">մլրդ դրամ, որից սոցիալական աջակցության ծրագրերի գծով հատկացվել է </w:t>
      </w:r>
      <w:r w:rsidRPr="001C0939">
        <w:rPr>
          <w:rFonts w:eastAsia="Calibri"/>
          <w:b w:val="0"/>
          <w:color w:val="000000"/>
          <w:sz w:val="20"/>
          <w:lang w:val="hy-AM" w:eastAsia="en-US"/>
        </w:rPr>
        <w:t>25.9</w:t>
      </w:r>
      <w:r w:rsidRPr="00DB0B67">
        <w:rPr>
          <w:rFonts w:eastAsia="Calibri"/>
          <w:b w:val="0"/>
          <w:color w:val="000000"/>
          <w:sz w:val="20"/>
          <w:lang w:val="hy-AM" w:eastAsia="en-US"/>
        </w:rPr>
        <w:t xml:space="preserve"> մլրդ դրամ, իսկ տնտեսական հետևանքների չեզոքացման նպատակով տրամադրվել է </w:t>
      </w:r>
      <w:r w:rsidRPr="00033CEE">
        <w:rPr>
          <w:rFonts w:eastAsia="Calibri"/>
          <w:b w:val="0"/>
          <w:color w:val="000000"/>
          <w:sz w:val="20"/>
          <w:lang w:val="hy-AM" w:eastAsia="en-US"/>
        </w:rPr>
        <w:t>29.2</w:t>
      </w:r>
      <w:r w:rsidRPr="00DB0B67">
        <w:rPr>
          <w:rFonts w:eastAsia="Calibri"/>
          <w:b w:val="0"/>
          <w:color w:val="000000"/>
          <w:sz w:val="20"/>
          <w:lang w:val="hy-AM" w:eastAsia="en-US"/>
        </w:rPr>
        <w:t xml:space="preserve"> մլրդ դրամ (որից </w:t>
      </w:r>
      <w:r w:rsidRPr="00033CEE">
        <w:rPr>
          <w:rFonts w:eastAsia="Calibri"/>
          <w:b w:val="0"/>
          <w:color w:val="000000"/>
          <w:sz w:val="20"/>
          <w:lang w:val="hy-AM" w:eastAsia="en-US"/>
        </w:rPr>
        <w:t>14.4</w:t>
      </w:r>
      <w:r w:rsidRPr="00DB0B67">
        <w:rPr>
          <w:rFonts w:eastAsia="Calibri"/>
          <w:b w:val="0"/>
          <w:color w:val="000000"/>
          <w:sz w:val="20"/>
          <w:lang w:val="hy-AM" w:eastAsia="en-US"/>
        </w:rPr>
        <w:t xml:space="preserve"> մլրդ դրամը ծախսերի աճի միջոցով, իսկ </w:t>
      </w:r>
      <w:r w:rsidRPr="00033CEE">
        <w:rPr>
          <w:rFonts w:eastAsia="Calibri"/>
          <w:b w:val="0"/>
          <w:color w:val="000000"/>
          <w:sz w:val="20"/>
          <w:lang w:val="hy-AM" w:eastAsia="en-US"/>
        </w:rPr>
        <w:t>14.8</w:t>
      </w:r>
      <w:r w:rsidRPr="00DB0B67">
        <w:rPr>
          <w:rFonts w:eastAsia="Calibri"/>
          <w:b w:val="0"/>
          <w:color w:val="000000"/>
          <w:sz w:val="20"/>
          <w:lang w:val="hy-AM" w:eastAsia="en-US"/>
        </w:rPr>
        <w:t xml:space="preserve"> մլրդ դրամը դեֆիցիտի ֆինանսավորման վարկավորում հոդվածով): COVID-19 համավարակի տարածման կանխարգելման նպատակով կառավարությունն իրականացրել է նաև առողջապահական ծախսեր, որոնց ծավալը </w:t>
      </w:r>
      <w:r w:rsidRPr="00033CEE">
        <w:rPr>
          <w:rFonts w:eastAsia="Calibri"/>
          <w:b w:val="0"/>
          <w:color w:val="000000"/>
          <w:sz w:val="20"/>
          <w:lang w:val="hy-AM" w:eastAsia="en-US"/>
        </w:rPr>
        <w:t>նոյեմբերի 24-ի</w:t>
      </w:r>
      <w:r w:rsidRPr="00DB0B67">
        <w:rPr>
          <w:rFonts w:eastAsia="Calibri"/>
          <w:b w:val="0"/>
          <w:color w:val="000000"/>
          <w:sz w:val="20"/>
          <w:lang w:val="hy-AM" w:eastAsia="en-US"/>
        </w:rPr>
        <w:t xml:space="preserve"> դրությամբ կազմել է մոտ </w:t>
      </w:r>
      <w:r w:rsidRPr="00033CEE">
        <w:rPr>
          <w:rFonts w:eastAsia="Calibri"/>
          <w:b w:val="0"/>
          <w:color w:val="000000"/>
          <w:sz w:val="20"/>
          <w:lang w:val="hy-AM" w:eastAsia="en-US"/>
        </w:rPr>
        <w:t>22.9</w:t>
      </w:r>
      <w:r w:rsidRPr="00DB0B67">
        <w:rPr>
          <w:rFonts w:eastAsia="Calibri"/>
          <w:b w:val="0"/>
          <w:color w:val="000000"/>
          <w:sz w:val="20"/>
          <w:lang w:val="hy-AM" w:eastAsia="en-US"/>
        </w:rPr>
        <w:t xml:space="preserve"> մլրդ դրամ (ներառյալ Համաշխարհային բանկի աջակցությամբ իրականացվող ծրագրերը): </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 xml:space="preserve">Բացի վերոնշյալ միջոցառումներից, կառավարության հակաճգնաժամային ծրագրերը ներառում են նաև մի շարք հարկային քաղաքականության ոլորտի միջոցառումներ (առավել մանրամասն ներկայացված է ներքևում), որոնք հաշվի առնելով, ընդհանուր հակաճգնաժամային փաթեթը կազմում է </w:t>
      </w:r>
      <w:r w:rsidRPr="00A35F45">
        <w:rPr>
          <w:rFonts w:eastAsia="Calibri"/>
          <w:b w:val="0"/>
          <w:color w:val="000000"/>
          <w:sz w:val="20"/>
          <w:lang w:val="hy-AM" w:eastAsia="en-US"/>
        </w:rPr>
        <w:t>237.9</w:t>
      </w:r>
      <w:r w:rsidRPr="004E12E8">
        <w:rPr>
          <w:rFonts w:eastAsia="Calibri"/>
          <w:b w:val="0"/>
          <w:color w:val="000000"/>
          <w:sz w:val="20"/>
          <w:lang w:val="hy-AM" w:eastAsia="en-US"/>
        </w:rPr>
        <w:t xml:space="preserve"> մլրդ դրամ</w:t>
      </w:r>
      <w:r w:rsidRPr="004E12E8">
        <w:rPr>
          <w:rFonts w:eastAsia="Calibri"/>
          <w:b w:val="0"/>
          <w:color w:val="000000"/>
          <w:sz w:val="20"/>
          <w:vertAlign w:val="superscript"/>
          <w:lang w:val="hy-AM" w:eastAsia="en-US"/>
        </w:rPr>
        <w:footnoteReference w:id="22"/>
      </w:r>
      <w:r w:rsidRPr="004E12E8">
        <w:rPr>
          <w:rFonts w:eastAsia="Calibri"/>
          <w:b w:val="0"/>
          <w:color w:val="000000"/>
          <w:sz w:val="20"/>
          <w:lang w:val="hy-AM" w:eastAsia="en-US"/>
        </w:rPr>
        <w:t>, կամ 2020թ.-ի սպասվող ՀՆԱ-ի շուրջ 3.</w:t>
      </w:r>
      <w:r w:rsidRPr="00A35F45">
        <w:rPr>
          <w:rFonts w:eastAsia="Calibri"/>
          <w:b w:val="0"/>
          <w:color w:val="000000"/>
          <w:sz w:val="20"/>
          <w:lang w:val="hy-AM" w:eastAsia="en-US"/>
        </w:rPr>
        <w:t>9</w:t>
      </w:r>
      <w:r w:rsidRPr="004E12E8">
        <w:rPr>
          <w:rFonts w:eastAsia="Calibri"/>
          <w:b w:val="0"/>
          <w:color w:val="000000"/>
          <w:sz w:val="20"/>
          <w:lang w:val="hy-AM" w:eastAsia="en-US"/>
        </w:rPr>
        <w:t>%-ը:</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 xml:space="preserve">Կառավարության հակաճգնաժամային միջոցառումների իրականացմամբ, ինչպես նաև տնտեսական անկման հետևանքով հարկային եկամուտների նվազմամբ պայմանավորված 2020թ.-ին պետական բյուջեի պակասուրդը կաճի՝ կազմելով ՀՆԱ-ի շուրջ </w:t>
      </w:r>
      <w:r w:rsidRPr="00AD55EE">
        <w:rPr>
          <w:rFonts w:eastAsia="Calibri"/>
          <w:b w:val="0"/>
          <w:color w:val="000000"/>
          <w:sz w:val="20"/>
          <w:lang w:val="hy-AM" w:eastAsia="en-US"/>
        </w:rPr>
        <w:t>7</w:t>
      </w:r>
      <w:r w:rsidRPr="004E12E8">
        <w:rPr>
          <w:rFonts w:eastAsia="Calibri"/>
          <w:b w:val="0"/>
          <w:color w:val="000000"/>
          <w:sz w:val="20"/>
          <w:lang w:val="hy-AM" w:eastAsia="en-US"/>
        </w:rPr>
        <w:t xml:space="preserve">.1 տոկոսը, իսկ կառավարության պարտք/ՀՆԱ ցուցանիշը կկազմի շուրջ </w:t>
      </w:r>
      <w:r w:rsidR="009206BE" w:rsidRPr="009206BE">
        <w:rPr>
          <w:rFonts w:eastAsia="Calibri"/>
          <w:b w:val="0"/>
          <w:color w:val="000000"/>
          <w:sz w:val="20"/>
          <w:lang w:val="hy-AM" w:eastAsia="en-US"/>
        </w:rPr>
        <w:t>61.5</w:t>
      </w:r>
      <w:r w:rsidRPr="004E12E8">
        <w:rPr>
          <w:rFonts w:eastAsia="Calibri"/>
          <w:b w:val="0"/>
          <w:color w:val="000000"/>
          <w:sz w:val="20"/>
          <w:lang w:val="hy-AM" w:eastAsia="en-US"/>
        </w:rPr>
        <w:t xml:space="preserve"> տոկոս:</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Cs/>
          <w:sz w:val="20"/>
          <w:lang w:val="hy-AM" w:eastAsia="en-US"/>
        </w:rPr>
      </w:pPr>
      <w:r w:rsidRPr="004E12E8">
        <w:rPr>
          <w:rFonts w:eastAsia="Calibri"/>
          <w:bCs/>
          <w:sz w:val="20"/>
          <w:lang w:val="hy-AM" w:eastAsia="en-US"/>
        </w:rPr>
        <w:t>Գծապատկեր 2.6. Հարկաբյուջետային քաղաքականությունների արձագանքը տնտեսական ճգնաժամերին</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0"/>
        <w:contextualSpacing w:val="0"/>
        <w:jc w:val="center"/>
        <w:rPr>
          <w:rFonts w:eastAsia="Calibri"/>
          <w:b w:val="0"/>
          <w:color w:val="000000"/>
          <w:sz w:val="20"/>
          <w:lang w:val="hy-AM" w:eastAsia="en-US"/>
        </w:rPr>
      </w:pPr>
      <w:r w:rsidRPr="004E12E8">
        <w:rPr>
          <w:rFonts w:eastAsia="Calibri"/>
          <w:b w:val="0"/>
          <w:noProof/>
          <w:sz w:val="20"/>
          <w:lang w:val="en-US" w:eastAsia="en-US"/>
        </w:rPr>
        <w:drawing>
          <wp:inline distT="0" distB="0" distL="0" distR="0">
            <wp:extent cx="3009900" cy="2520000"/>
            <wp:effectExtent l="0" t="0" r="0" b="1397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4E12E8">
        <w:rPr>
          <w:rFonts w:eastAsia="Calibri"/>
          <w:b w:val="0"/>
          <w:noProof/>
          <w:sz w:val="20"/>
          <w:lang w:val="en-US" w:eastAsia="en-US"/>
        </w:rPr>
        <w:drawing>
          <wp:inline distT="0" distB="0" distL="0" distR="0">
            <wp:extent cx="2926080" cy="2520000"/>
            <wp:effectExtent l="0" t="0" r="7620" b="1397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20"/>
        <w:contextualSpacing w:val="0"/>
        <w:rPr>
          <w:rFonts w:eastAsia="Calibri"/>
          <w:b w:val="0"/>
          <w:sz w:val="20"/>
          <w:lang w:val="hy-AM" w:eastAsia="en-US"/>
        </w:rPr>
      </w:pPr>
      <w:r w:rsidRPr="004E12E8">
        <w:rPr>
          <w:rFonts w:eastAsia="Calibri"/>
          <w:b w:val="0"/>
          <w:sz w:val="20"/>
          <w:lang w:val="hy-AM" w:eastAsia="en-US"/>
        </w:rPr>
        <w:t>Համավարակին հակազդելու համար մշակված հարկաբյուջետային փաթեթները աշխարհի մակարդակով գնահատվում են 11 տրիլիոն դոլար</w:t>
      </w:r>
      <w:r w:rsidRPr="004E12E8">
        <w:rPr>
          <w:rFonts w:eastAsia="Calibri"/>
          <w:b w:val="0"/>
          <w:sz w:val="20"/>
          <w:vertAlign w:val="superscript"/>
          <w:lang w:val="hy-AM" w:eastAsia="en-US"/>
        </w:rPr>
        <w:footnoteReference w:id="23"/>
      </w:r>
      <w:r w:rsidRPr="004E12E8">
        <w:rPr>
          <w:rFonts w:eastAsia="Calibri"/>
          <w:b w:val="0"/>
          <w:sz w:val="20"/>
          <w:lang w:val="hy-AM" w:eastAsia="en-US"/>
        </w:rPr>
        <w:t>։ Դրանք ներառում են ոչ միայն ուղղակի ծախսային կամ հարկային միջոցառումներ, այլև վարկերի և վարկային երաշխիքների տրամադրում, որոնք ներկայացվել են Գծապատկերում՝ որպես պակասուրդի գործառնություններ և պայմանական պարտավորությունների ստանձնում։ Հատկանշական է, որ երկրների մեծ մասը կիրառում է պետական վարկավորումը կամ երաշխիքները՝ որպես աջակցության հիմնական գործիքներ:</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0"/>
        <w:contextualSpacing w:val="0"/>
        <w:rPr>
          <w:rFonts w:eastAsia="Calibri"/>
          <w:sz w:val="20"/>
          <w:lang w:val="hy-AM" w:eastAsia="en-US"/>
        </w:rPr>
      </w:pPr>
      <w:r w:rsidRPr="004E12E8">
        <w:rPr>
          <w:rFonts w:eastAsia="Calibri"/>
          <w:sz w:val="20"/>
          <w:lang w:val="hy-AM" w:eastAsia="en-US"/>
        </w:rPr>
        <w:t>Գծապատկեր 1. Հարկաբյուջետային քաղաքականության արձագանքը համավարակի տնտեսական հետևանքներին առանձին երկրներում</w:t>
      </w:r>
      <w:r w:rsidRPr="004E12E8">
        <w:rPr>
          <w:rFonts w:eastAsia="Calibri"/>
          <w:b w:val="0"/>
          <w:sz w:val="20"/>
          <w:vertAlign w:val="superscript"/>
          <w:lang w:val="hy-AM" w:eastAsia="en-US"/>
        </w:rPr>
        <w:footnoteReference w:id="24"/>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0"/>
        <w:contextualSpacing w:val="0"/>
        <w:rPr>
          <w:rFonts w:eastAsia="Calibri"/>
          <w:b w:val="0"/>
          <w:sz w:val="20"/>
          <w:lang w:val="hy-AM" w:eastAsia="en-US"/>
        </w:rPr>
      </w:pPr>
      <w:r w:rsidRPr="004E12E8">
        <w:rPr>
          <w:rFonts w:eastAsia="Calibri"/>
          <w:b w:val="0"/>
          <w:sz w:val="20"/>
          <w:lang w:val="hy-AM" w:eastAsia="en-US"/>
        </w:rPr>
        <w:t xml:space="preserve">  </w:t>
      </w:r>
    </w:p>
    <w:p w:rsidR="00D1025D" w:rsidRPr="004E12E8" w:rsidRDefault="008239DE"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0"/>
        <w:contextualSpacing w:val="0"/>
        <w:rPr>
          <w:rFonts w:eastAsia="Calibri"/>
          <w:b w:val="0"/>
          <w:sz w:val="20"/>
          <w:lang w:val="hy-AM" w:eastAsia="en-US"/>
        </w:rPr>
      </w:pPr>
      <w:r>
        <w:rPr>
          <w:rFonts w:eastAsia="Calibri"/>
          <w:b w:val="0"/>
          <w:noProof/>
          <w:sz w:val="20"/>
          <w:lang w:val="en-US" w:eastAsia="en-US"/>
        </w:rPr>
        <mc:AlternateContent>
          <mc:Choice Requires="wps">
            <w:drawing>
              <wp:anchor distT="0" distB="0" distL="114300" distR="114300" simplePos="0" relativeHeight="251727360" behindDoc="0" locked="0" layoutInCell="1" allowOverlap="1">
                <wp:simplePos x="0" y="0"/>
                <wp:positionH relativeFrom="column">
                  <wp:posOffset>3375660</wp:posOffset>
                </wp:positionH>
                <wp:positionV relativeFrom="paragraph">
                  <wp:posOffset>19050</wp:posOffset>
                </wp:positionV>
                <wp:extent cx="228600" cy="1852295"/>
                <wp:effectExtent l="0" t="0" r="19050" b="1460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852295"/>
                        </a:xfrm>
                        <a:prstGeom prst="rect">
                          <a:avLst/>
                        </a:prstGeom>
                        <a:noFill/>
                        <a:ln w="15875" cap="flat" cmpd="sng" algn="ctr">
                          <a:solidFill>
                            <a:srgbClr val="C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9EEAE79" id="Rectangle 101" o:spid="_x0000_s1026" style="position:absolute;margin-left:265.8pt;margin-top:1.5pt;width:18pt;height:145.8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" filled="f" strokecolor="#c00000" strokeweight="1.25pt">
                <v:stroke dashstyle="dash"/>
                <v:path arrowok="t"/>
              </v:rect>
            </w:pict>
          </mc:Fallback>
        </mc:AlternateContent>
      </w:r>
      <w:r w:rsidR="00D1025D" w:rsidRPr="004E12E8">
        <w:rPr>
          <w:rFonts w:eastAsia="Calibri"/>
          <w:b w:val="0"/>
          <w:noProof/>
          <w:sz w:val="18"/>
          <w:szCs w:val="22"/>
          <w:lang w:val="en-US" w:eastAsia="en-US"/>
        </w:rPr>
        <w:drawing>
          <wp:inline distT="0" distB="0" distL="0" distR="0">
            <wp:extent cx="5943600" cy="3085676"/>
            <wp:effectExtent l="0" t="0" r="0" b="63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20"/>
        <w:contextualSpacing w:val="0"/>
        <w:rPr>
          <w:rFonts w:eastAsia="Calibri"/>
          <w:b w:val="0"/>
          <w:sz w:val="20"/>
          <w:lang w:val="hy-AM" w:eastAsia="en-US"/>
        </w:rPr>
      </w:pPr>
      <w:r w:rsidRPr="004E12E8">
        <w:rPr>
          <w:rFonts w:eastAsia="Calibri"/>
          <w:b w:val="0"/>
          <w:sz w:val="20"/>
          <w:lang w:val="hy-AM" w:eastAsia="en-US"/>
        </w:rPr>
        <w:t xml:space="preserve">Առավել խոշոր հակազդման փաթեթներով առանձնանում են Գերմանիան և Իտալիան, որոնց մշակած միջոցառումների ամբողջական փաթեթները ՀՆԱ 40%-ի շուրջ են։ Սակայն ընդհանուր առմամբ զարգացած երկրների միջինացված ցուցանիշները չեն գերազանցում 20%-ը, որից 9%-ային կետը բաժին է ընկնում ծախսերին և հարկերին։ Զարգացող շուկաների (Emerging markets) միջոցառումների միջինացված փաթեթները սակայն ՀՆԱ 5%-ը չեն գերազանցում, որից շուրջ 3%-ային կետը ծախսային և հարկային միջոցառումներին է բաժին ընկնում։  </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ՀՀ դեպքում աջակցության փաթեթի զգալի մասը (3.</w:t>
      </w:r>
      <w:r>
        <w:rPr>
          <w:rFonts w:eastAsia="Calibri"/>
          <w:b w:val="0"/>
          <w:color w:val="000000"/>
          <w:sz w:val="20"/>
          <w:lang w:val="hy-AM" w:eastAsia="en-US"/>
        </w:rPr>
        <w:t>9</w:t>
      </w:r>
      <w:r w:rsidRPr="004E12E8">
        <w:rPr>
          <w:rFonts w:eastAsia="Calibri"/>
          <w:b w:val="0"/>
          <w:color w:val="000000"/>
          <w:sz w:val="20"/>
          <w:lang w:val="hy-AM" w:eastAsia="en-US"/>
        </w:rPr>
        <w:t>%-ից 1.</w:t>
      </w:r>
      <w:r>
        <w:rPr>
          <w:rFonts w:eastAsia="Calibri"/>
          <w:b w:val="0"/>
          <w:color w:val="000000"/>
          <w:sz w:val="20"/>
          <w:lang w:val="hy-AM" w:eastAsia="en-US"/>
        </w:rPr>
        <w:t>5</w:t>
      </w:r>
      <w:r w:rsidRPr="004E12E8">
        <w:rPr>
          <w:rFonts w:eastAsia="Calibri"/>
          <w:b w:val="0"/>
          <w:color w:val="000000"/>
          <w:sz w:val="20"/>
          <w:lang w:val="hy-AM" w:eastAsia="en-US"/>
        </w:rPr>
        <w:t xml:space="preserve">%-ը) նախատեսվում է ուղղել երկարաժամկետ տնտեսական ծրագրերի իրականացմանը՝ օգտագործելով պետական վարկավորման գործիքը (պակասուրդի գործառնությունների միջոցով): Ընդհանուր առմամբ, միջոցառումների քննարկման գործընթացը շարունակվում է, բայց արդեն ընթացքի մեջ են գտնվում կամ իրենց բովանդակությամբ պայմանավորված՝ ավարտվել են </w:t>
      </w:r>
      <w:r>
        <w:rPr>
          <w:rFonts w:eastAsia="Calibri"/>
          <w:b w:val="0"/>
          <w:color w:val="000000"/>
          <w:sz w:val="20"/>
          <w:lang w:val="hy-AM" w:eastAsia="en-US"/>
        </w:rPr>
        <w:t>25</w:t>
      </w:r>
      <w:r w:rsidRPr="004E12E8">
        <w:rPr>
          <w:rFonts w:eastAsia="Calibri"/>
          <w:b w:val="0"/>
          <w:color w:val="000000"/>
          <w:sz w:val="20"/>
          <w:lang w:val="hy-AM" w:eastAsia="en-US"/>
        </w:rPr>
        <w:t xml:space="preserve"> միջոցառումներ: Դրանցից </w:t>
      </w:r>
      <w:r>
        <w:rPr>
          <w:rFonts w:eastAsia="Calibri"/>
          <w:b w:val="0"/>
          <w:color w:val="000000"/>
          <w:sz w:val="20"/>
          <w:lang w:val="hy-AM" w:eastAsia="en-US"/>
        </w:rPr>
        <w:t>12-</w:t>
      </w:r>
      <w:r w:rsidRPr="004E12E8">
        <w:rPr>
          <w:rFonts w:eastAsia="Calibri"/>
          <w:b w:val="0"/>
          <w:color w:val="000000"/>
          <w:sz w:val="20"/>
          <w:lang w:val="hy-AM" w:eastAsia="en-US"/>
        </w:rPr>
        <w:t>ը հանդիսանում են տնտեսական</w:t>
      </w:r>
      <w:r w:rsidRPr="004E12E8">
        <w:rPr>
          <w:rFonts w:eastAsia="Calibri"/>
          <w:b w:val="0"/>
          <w:color w:val="000000"/>
          <w:sz w:val="20"/>
          <w:vertAlign w:val="superscript"/>
          <w:lang w:val="hy-AM" w:eastAsia="en-US"/>
        </w:rPr>
        <w:footnoteReference w:id="25"/>
      </w:r>
      <w:r w:rsidRPr="004E12E8">
        <w:rPr>
          <w:rFonts w:eastAsia="Calibri"/>
          <w:b w:val="0"/>
          <w:color w:val="000000"/>
          <w:sz w:val="20"/>
          <w:lang w:val="hy-AM" w:eastAsia="en-US"/>
        </w:rPr>
        <w:t xml:space="preserve"> աջակցության (վարկերի համաֆինանսավորում, վերաֆինանսավորում և տոկոսադրույքների մասամբ կամ ամբողջությամբ սուբսիդավորում, առանձին ոլորտներում օժանդակություն և դրամաշնորհների տրամադրում և այլն), իսկ 1</w:t>
      </w:r>
      <w:r>
        <w:rPr>
          <w:rFonts w:eastAsia="Calibri"/>
          <w:b w:val="0"/>
          <w:color w:val="000000"/>
          <w:sz w:val="20"/>
          <w:lang w:val="hy-AM" w:eastAsia="en-US"/>
        </w:rPr>
        <w:t>3</w:t>
      </w:r>
      <w:r w:rsidRPr="004E12E8">
        <w:rPr>
          <w:rFonts w:eastAsia="Calibri"/>
          <w:b w:val="0"/>
          <w:color w:val="000000"/>
          <w:sz w:val="20"/>
          <w:lang w:val="hy-AM" w:eastAsia="en-US"/>
        </w:rPr>
        <w:t>-ը սոցիալական</w:t>
      </w:r>
      <w:r w:rsidRPr="004E12E8">
        <w:rPr>
          <w:rFonts w:eastAsia="Calibri"/>
          <w:b w:val="0"/>
          <w:color w:val="000000"/>
          <w:sz w:val="20"/>
          <w:vertAlign w:val="superscript"/>
          <w:lang w:val="hy-AM" w:eastAsia="en-US"/>
        </w:rPr>
        <w:footnoteReference w:id="26"/>
      </w:r>
      <w:r w:rsidRPr="004E12E8">
        <w:rPr>
          <w:rFonts w:eastAsia="Calibri"/>
          <w:b w:val="0"/>
          <w:color w:val="000000"/>
          <w:sz w:val="20"/>
          <w:lang w:val="hy-AM" w:eastAsia="en-US"/>
        </w:rPr>
        <w:t xml:space="preserve"> աջակցության (միանվագ աջակցություն բնակչությանն ըստ տարբեր սոցիալական հատկանիշների, աջակցություն կոմունալ վճարների, ուսման վճարների հարցում, օգնության տրամադրում տուժած ոլորտներում աշխատողներին և այլ) միջոցառումներ: </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Cs/>
          <w:color w:val="000000"/>
          <w:sz w:val="20"/>
          <w:lang w:val="hy-AM" w:eastAsia="en-US"/>
        </w:rPr>
      </w:pPr>
      <w:bookmarkStart w:id="125" w:name="_Toc45831964"/>
      <w:bookmarkStart w:id="126" w:name="_Toc45832180"/>
      <w:bookmarkStart w:id="127" w:name="_Toc45832449"/>
      <w:bookmarkStart w:id="128" w:name="_Toc45834102"/>
      <w:bookmarkStart w:id="129" w:name="_Toc45835172"/>
      <w:bookmarkStart w:id="130" w:name="_Toc45835353"/>
      <w:bookmarkStart w:id="131" w:name="_Toc45835637"/>
      <w:bookmarkStart w:id="132" w:name="_Toc45836361"/>
      <w:bookmarkStart w:id="133" w:name="_Toc45836840"/>
      <w:bookmarkStart w:id="134" w:name="_Toc45837348"/>
      <w:bookmarkStart w:id="135" w:name="_Toc45838525"/>
      <w:bookmarkEnd w:id="125"/>
      <w:bookmarkEnd w:id="126"/>
      <w:bookmarkEnd w:id="127"/>
      <w:bookmarkEnd w:id="128"/>
      <w:bookmarkEnd w:id="129"/>
      <w:bookmarkEnd w:id="130"/>
      <w:bookmarkEnd w:id="131"/>
      <w:bookmarkEnd w:id="132"/>
      <w:bookmarkEnd w:id="133"/>
      <w:bookmarkEnd w:id="134"/>
      <w:bookmarkEnd w:id="135"/>
      <w:r w:rsidRPr="004E12E8">
        <w:rPr>
          <w:rFonts w:eastAsia="Calibri"/>
          <w:bCs/>
          <w:color w:val="000000"/>
          <w:sz w:val="20"/>
          <w:lang w:val="hy-AM" w:eastAsia="en-US"/>
        </w:rPr>
        <w:t>Հարկային քաղաքականության տեսանկյունից Կառավարության քայլերն ուղղված են եղել տնտեսական ճգնաժամի պայմաններում հարկ վճարողների իրացվելիության խնդիրների լուծմանը, տնտեսական ճգնաժամի պայմաններում հարկային օրենսդրությամբ սահմանված կարգավորումների գործարար միջավայրի վրա հնարավոր բացասական ազդեցության մեղմմանը և տնտեսության հետագա վերականգնման համար տնտեսական ներուժի ստեղծման համար հարկային կարգավորումների բ</w:t>
      </w:r>
      <w:r>
        <w:rPr>
          <w:rFonts w:eastAsia="Calibri"/>
          <w:bCs/>
          <w:color w:val="000000"/>
          <w:sz w:val="20"/>
          <w:lang w:val="hy-AM" w:eastAsia="en-US"/>
        </w:rPr>
        <w:t>ա</w:t>
      </w:r>
      <w:r w:rsidRPr="004E12E8">
        <w:rPr>
          <w:rFonts w:eastAsia="Calibri"/>
          <w:bCs/>
          <w:color w:val="000000"/>
          <w:sz w:val="20"/>
          <w:lang w:val="hy-AM" w:eastAsia="en-US"/>
        </w:rPr>
        <w:t>ր</w:t>
      </w:r>
      <w:r>
        <w:rPr>
          <w:rFonts w:eastAsia="Calibri"/>
          <w:bCs/>
          <w:color w:val="000000"/>
          <w:sz w:val="20"/>
          <w:lang w:val="hy-AM" w:eastAsia="en-US"/>
        </w:rPr>
        <w:t>ե</w:t>
      </w:r>
      <w:r w:rsidRPr="004E12E8">
        <w:rPr>
          <w:rFonts w:eastAsia="Calibri"/>
          <w:bCs/>
          <w:color w:val="000000"/>
          <w:sz w:val="20"/>
          <w:lang w:val="hy-AM" w:eastAsia="en-US"/>
        </w:rPr>
        <w:t xml:space="preserve">լավմանը։ </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 xml:space="preserve">Համավարակի հետևանքով առաջացած տնտեսական ճգնաժամն ընդհանուր իրացվելիության տեսանկյունից բավական լուրջ խնդիրներ էր ստեղծել տնտեսավարող սուբյեկտների համար։ Ստեղծված իրավիճակում իր բացասական ազդեցությունն էր թողնում նաև շահութահարկի կանխավճարների համակարգը, որը բավարար չափով ճկուն չլինելու պատճառով ընթացիկ տարվա ընթացքում տնտեսավարող սուբյեկտների համար բավական լուրջ խնդիրներ էր ստեղծել։ </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Մաս</w:t>
      </w:r>
      <w:r w:rsidRPr="004E12E8">
        <w:rPr>
          <w:rFonts w:eastAsia="Calibri"/>
          <w:b w:val="0"/>
          <w:color w:val="000000"/>
          <w:sz w:val="20"/>
          <w:lang w:val="hy-AM" w:eastAsia="en-US"/>
        </w:rPr>
        <w:softHyphen/>
      </w:r>
      <w:r w:rsidRPr="004E12E8">
        <w:rPr>
          <w:rFonts w:eastAsia="Calibri"/>
          <w:b w:val="0"/>
          <w:color w:val="000000"/>
          <w:sz w:val="20"/>
          <w:lang w:val="hy-AM" w:eastAsia="en-US"/>
        </w:rPr>
        <w:softHyphen/>
        <w:t>նա</w:t>
      </w:r>
      <w:r w:rsidRPr="004E12E8">
        <w:rPr>
          <w:rFonts w:eastAsia="Calibri"/>
          <w:b w:val="0"/>
          <w:color w:val="000000"/>
          <w:sz w:val="20"/>
          <w:lang w:val="hy-AM" w:eastAsia="en-US"/>
        </w:rPr>
        <w:softHyphen/>
        <w:t>վո</w:t>
      </w:r>
      <w:r w:rsidRPr="004E12E8">
        <w:rPr>
          <w:rFonts w:eastAsia="Calibri"/>
          <w:b w:val="0"/>
          <w:color w:val="000000"/>
          <w:sz w:val="20"/>
          <w:lang w:val="hy-AM" w:eastAsia="en-US"/>
        </w:rPr>
        <w:softHyphen/>
        <w:t>րա</w:t>
      </w:r>
      <w:r w:rsidRPr="004E12E8">
        <w:rPr>
          <w:rFonts w:eastAsia="Calibri"/>
          <w:b w:val="0"/>
          <w:color w:val="000000"/>
          <w:sz w:val="20"/>
          <w:lang w:val="hy-AM" w:eastAsia="en-US"/>
        </w:rPr>
        <w:softHyphen/>
        <w:t>պես, տնտեսավարող սուբյեկտներից շատերը, մինչև ընթացիկ տարվա մարտի 20-ը չկարողա</w:t>
      </w:r>
      <w:r w:rsidRPr="004E12E8">
        <w:rPr>
          <w:b w:val="0"/>
          <w:color w:val="000000"/>
          <w:sz w:val="20"/>
          <w:lang w:val="hy-AM" w:eastAsia="en-US"/>
        </w:rPr>
        <w:softHyphen/>
      </w:r>
      <w:r w:rsidRPr="004E12E8">
        <w:rPr>
          <w:rFonts w:eastAsia="Calibri"/>
          <w:b w:val="0"/>
          <w:color w:val="000000"/>
          <w:sz w:val="20"/>
          <w:lang w:val="hy-AM" w:eastAsia="en-US"/>
        </w:rPr>
        <w:t>նալով կանխատեսել իրացման շրջանառության ծավալների անկումն ու հնարավոր տնտեսական դժվարությունները, հարկային մար</w:t>
      </w:r>
      <w:r w:rsidRPr="004E12E8">
        <w:rPr>
          <w:b w:val="0"/>
          <w:color w:val="000000"/>
          <w:sz w:val="20"/>
          <w:lang w:val="hy-AM" w:eastAsia="en-US"/>
        </w:rPr>
        <w:softHyphen/>
      </w:r>
      <w:r w:rsidRPr="004E12E8">
        <w:rPr>
          <w:rFonts w:eastAsia="Calibri"/>
          <w:b w:val="0"/>
          <w:color w:val="000000"/>
          <w:sz w:val="20"/>
          <w:lang w:val="hy-AM" w:eastAsia="en-US"/>
        </w:rPr>
        <w:t>մին չէին ներ</w:t>
      </w:r>
      <w:r w:rsidRPr="004E12E8">
        <w:rPr>
          <w:rFonts w:eastAsia="Calibri"/>
          <w:b w:val="0"/>
          <w:color w:val="000000"/>
          <w:sz w:val="20"/>
          <w:lang w:val="hy-AM" w:eastAsia="en-US"/>
        </w:rPr>
        <w:softHyphen/>
        <w:t>կա</w:t>
      </w:r>
      <w:r w:rsidRPr="004E12E8">
        <w:rPr>
          <w:rFonts w:eastAsia="Calibri"/>
          <w:b w:val="0"/>
          <w:color w:val="000000"/>
          <w:sz w:val="20"/>
          <w:lang w:val="hy-AM" w:eastAsia="en-US"/>
        </w:rPr>
        <w:softHyphen/>
        <w:t>յացրել շահութահարկի կանխավճարներն այլընտրանքային եղանակով կատա</w:t>
      </w:r>
      <w:r w:rsidRPr="004E12E8">
        <w:rPr>
          <w:rFonts w:eastAsia="Calibri"/>
          <w:b w:val="0"/>
          <w:color w:val="000000"/>
          <w:sz w:val="20"/>
          <w:lang w:val="hy-AM" w:eastAsia="en-US"/>
        </w:rPr>
        <w:softHyphen/>
        <w:t>րելու հայտա</w:t>
      </w:r>
      <w:r w:rsidRPr="004E12E8">
        <w:rPr>
          <w:rFonts w:eastAsia="Calibri"/>
          <w:b w:val="0"/>
          <w:color w:val="000000"/>
          <w:sz w:val="20"/>
          <w:lang w:val="hy-AM" w:eastAsia="en-US"/>
        </w:rPr>
        <w:softHyphen/>
        <w:t>րա</w:t>
      </w:r>
      <w:r w:rsidRPr="004E12E8">
        <w:rPr>
          <w:rFonts w:eastAsia="Calibri"/>
          <w:b w:val="0"/>
          <w:color w:val="000000"/>
          <w:sz w:val="20"/>
          <w:lang w:val="hy-AM" w:eastAsia="en-US"/>
        </w:rPr>
        <w:softHyphen/>
        <w:t>րություններ, ինչի արդյունքում ստիպված էին ընթացիկ տարվա ընթաց</w:t>
      </w:r>
      <w:r w:rsidRPr="004E12E8">
        <w:rPr>
          <w:rFonts w:eastAsia="Calibri"/>
          <w:b w:val="0"/>
          <w:color w:val="000000"/>
          <w:sz w:val="20"/>
          <w:lang w:val="hy-AM" w:eastAsia="en-US"/>
        </w:rPr>
        <w:softHyphen/>
        <w:t>քում յուրա</w:t>
      </w:r>
      <w:r w:rsidRPr="004E12E8">
        <w:rPr>
          <w:rFonts w:eastAsia="Calibri"/>
          <w:b w:val="0"/>
          <w:color w:val="000000"/>
          <w:sz w:val="20"/>
          <w:lang w:val="hy-AM" w:eastAsia="en-US"/>
        </w:rPr>
        <w:softHyphen/>
        <w:t>քանչյուր եռամսյակի շահութահարկի կանխավճարները կատարել նախորդ տարվա շահու</w:t>
      </w:r>
      <w:r w:rsidRPr="004E12E8">
        <w:rPr>
          <w:b w:val="0"/>
          <w:color w:val="000000"/>
          <w:sz w:val="20"/>
          <w:lang w:val="hy-AM" w:eastAsia="en-US"/>
        </w:rPr>
        <w:softHyphen/>
      </w:r>
      <w:r w:rsidRPr="004E12E8">
        <w:rPr>
          <w:rFonts w:eastAsia="Calibri"/>
          <w:b w:val="0"/>
          <w:color w:val="000000"/>
          <w:sz w:val="20"/>
          <w:lang w:val="hy-AM" w:eastAsia="en-US"/>
        </w:rPr>
        <w:t>թա</w:t>
      </w:r>
      <w:r w:rsidRPr="004E12E8">
        <w:rPr>
          <w:rFonts w:eastAsia="Calibri"/>
          <w:b w:val="0"/>
          <w:color w:val="000000"/>
          <w:sz w:val="20"/>
          <w:lang w:val="hy-AM" w:eastAsia="en-US"/>
        </w:rPr>
        <w:softHyphen/>
        <w:t>հարկի գումարի 20 տոկոսի չափով։</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Միաժամանակ, պետք է նկատի ունենալ, որ ցան</w:t>
      </w:r>
      <w:r w:rsidRPr="004E12E8">
        <w:rPr>
          <w:rFonts w:eastAsia="Calibri"/>
          <w:b w:val="0"/>
          <w:color w:val="000000"/>
          <w:sz w:val="20"/>
          <w:lang w:val="hy-AM" w:eastAsia="en-US"/>
        </w:rPr>
        <w:softHyphen/>
        <w:t>կացած տնտեսություն զարգանում է պարբերա</w:t>
      </w:r>
      <w:r w:rsidRPr="004E12E8">
        <w:rPr>
          <w:rFonts w:eastAsia="Calibri"/>
          <w:b w:val="0"/>
          <w:color w:val="000000"/>
          <w:sz w:val="20"/>
          <w:lang w:val="hy-AM" w:eastAsia="en-US"/>
        </w:rPr>
        <w:softHyphen/>
        <w:t>շրջաններով, ինչը նշանակում է, որ զար</w:t>
      </w:r>
      <w:r w:rsidRPr="004E12E8">
        <w:rPr>
          <w:rFonts w:eastAsia="Calibri"/>
          <w:b w:val="0"/>
          <w:color w:val="000000"/>
          <w:sz w:val="20"/>
          <w:lang w:val="hy-AM" w:eastAsia="en-US"/>
        </w:rPr>
        <w:softHyphen/>
        <w:t>գաց</w:t>
      </w:r>
      <w:r w:rsidRPr="004E12E8">
        <w:rPr>
          <w:rFonts w:eastAsia="Calibri"/>
          <w:b w:val="0"/>
          <w:color w:val="000000"/>
          <w:sz w:val="20"/>
          <w:lang w:val="hy-AM" w:eastAsia="en-US"/>
        </w:rPr>
        <w:softHyphen/>
        <w:t>ման այս կամ այն փուլում տնտեսական և այլ շոկերը անխուսափելի են ինչպես ամբողջ տնտե</w:t>
      </w:r>
      <w:r w:rsidRPr="004E12E8">
        <w:rPr>
          <w:rFonts w:eastAsia="Calibri"/>
          <w:b w:val="0"/>
          <w:color w:val="000000"/>
          <w:sz w:val="20"/>
          <w:lang w:val="hy-AM" w:eastAsia="en-US"/>
        </w:rPr>
        <w:softHyphen/>
        <w:t>սու</w:t>
      </w:r>
      <w:r w:rsidRPr="004E12E8">
        <w:rPr>
          <w:rFonts w:eastAsia="Calibri"/>
          <w:b w:val="0"/>
          <w:color w:val="000000"/>
          <w:sz w:val="20"/>
          <w:lang w:val="hy-AM" w:eastAsia="en-US"/>
        </w:rPr>
        <w:softHyphen/>
        <w:t>թյան համար, այնպես էլ առանձին ճյու</w:t>
      </w:r>
      <w:r w:rsidRPr="004E12E8">
        <w:rPr>
          <w:rFonts w:eastAsia="Calibri"/>
          <w:b w:val="0"/>
          <w:color w:val="000000"/>
          <w:sz w:val="20"/>
          <w:lang w:val="hy-AM" w:eastAsia="en-US"/>
        </w:rPr>
        <w:softHyphen/>
        <w:t>ղե</w:t>
      </w:r>
      <w:r w:rsidRPr="004E12E8">
        <w:rPr>
          <w:rFonts w:eastAsia="Calibri"/>
          <w:b w:val="0"/>
          <w:color w:val="000000"/>
          <w:sz w:val="20"/>
          <w:lang w:val="hy-AM" w:eastAsia="en-US"/>
        </w:rPr>
        <w:softHyphen/>
        <w:t>րում և նույնիսկ առանձին տնտեսավարող սուբյեկտների մոտ։ Այդ շոկերը հանգեցնում են տնտեսվարող սուբ</w:t>
      </w:r>
      <w:r w:rsidRPr="004E12E8">
        <w:rPr>
          <w:rFonts w:eastAsia="Calibri"/>
          <w:b w:val="0"/>
          <w:color w:val="000000"/>
          <w:sz w:val="20"/>
          <w:lang w:val="hy-AM" w:eastAsia="en-US"/>
        </w:rPr>
        <w:softHyphen/>
        <w:t>յեկտների (այս դեպքում՝ շահութահարկ վճա</w:t>
      </w:r>
      <w:r w:rsidRPr="004E12E8">
        <w:rPr>
          <w:rFonts w:eastAsia="Calibri"/>
          <w:b w:val="0"/>
          <w:color w:val="000000"/>
          <w:sz w:val="20"/>
          <w:lang w:val="hy-AM" w:eastAsia="en-US"/>
        </w:rPr>
        <w:softHyphen/>
        <w:t>րող</w:t>
      </w:r>
      <w:r w:rsidRPr="004E12E8">
        <w:rPr>
          <w:rFonts w:eastAsia="Calibri"/>
          <w:b w:val="0"/>
          <w:color w:val="000000"/>
          <w:sz w:val="20"/>
          <w:lang w:val="hy-AM" w:eastAsia="en-US"/>
        </w:rPr>
        <w:softHyphen/>
        <w:t>ների) իրացվելիության տատա</w:t>
      </w:r>
      <w:r w:rsidRPr="004E12E8">
        <w:rPr>
          <w:rFonts w:eastAsia="Calibri"/>
          <w:b w:val="0"/>
          <w:color w:val="000000"/>
          <w:sz w:val="20"/>
          <w:lang w:val="hy-AM" w:eastAsia="en-US"/>
        </w:rPr>
        <w:softHyphen/>
        <w:t>նումների և կանխիկ հոսքերի կառավարման խնդիրների։ Ընդ որում, նշված շոկերը և մաս</w:t>
      </w:r>
      <w:r w:rsidRPr="004E12E8">
        <w:rPr>
          <w:rFonts w:eastAsia="Calibri"/>
          <w:b w:val="0"/>
          <w:color w:val="000000"/>
          <w:sz w:val="20"/>
          <w:lang w:val="hy-AM" w:eastAsia="en-US"/>
        </w:rPr>
        <w:softHyphen/>
        <w:t>նավորապես՝ խոշոր շոկերի (անկումներ և ճգնաժամեր) տեղի ունե</w:t>
      </w:r>
      <w:r w:rsidRPr="004E12E8">
        <w:rPr>
          <w:rFonts w:eastAsia="Calibri"/>
          <w:b w:val="0"/>
          <w:color w:val="000000"/>
          <w:sz w:val="20"/>
          <w:lang w:val="hy-AM" w:eastAsia="en-US"/>
        </w:rPr>
        <w:softHyphen/>
        <w:t>նալու ժամանակա</w:t>
      </w:r>
      <w:r w:rsidRPr="004E12E8">
        <w:rPr>
          <w:rFonts w:eastAsia="Calibri"/>
          <w:b w:val="0"/>
          <w:color w:val="000000"/>
          <w:sz w:val="20"/>
          <w:lang w:val="hy-AM" w:eastAsia="en-US"/>
        </w:rPr>
        <w:softHyphen/>
        <w:t>հատ</w:t>
      </w:r>
      <w:r w:rsidRPr="004E12E8">
        <w:rPr>
          <w:rFonts w:eastAsia="Calibri"/>
          <w:b w:val="0"/>
          <w:color w:val="000000"/>
          <w:sz w:val="20"/>
          <w:lang w:val="hy-AM" w:eastAsia="en-US"/>
        </w:rPr>
        <w:softHyphen/>
        <w:t>վածը հիմնականում անկանխատեսելի է, այդ իսկ պատճառով շատ տնտեսա</w:t>
      </w:r>
      <w:r w:rsidRPr="004E12E8">
        <w:rPr>
          <w:rFonts w:eastAsia="Calibri"/>
          <w:b w:val="0"/>
          <w:color w:val="000000"/>
          <w:sz w:val="20"/>
          <w:lang w:val="hy-AM" w:eastAsia="en-US"/>
        </w:rPr>
        <w:softHyphen/>
        <w:t>վարող սուբ</w:t>
      </w:r>
      <w:r w:rsidRPr="004E12E8">
        <w:rPr>
          <w:rFonts w:eastAsia="Calibri"/>
          <w:b w:val="0"/>
          <w:color w:val="000000"/>
          <w:sz w:val="20"/>
          <w:lang w:val="hy-AM" w:eastAsia="en-US"/>
        </w:rPr>
        <w:softHyphen/>
        <w:t>յեկտ</w:t>
      </w:r>
      <w:r w:rsidRPr="004E12E8">
        <w:rPr>
          <w:rFonts w:eastAsia="Calibri"/>
          <w:b w:val="0"/>
          <w:color w:val="000000"/>
          <w:sz w:val="20"/>
          <w:lang w:val="hy-AM" w:eastAsia="en-US"/>
        </w:rPr>
        <w:softHyphen/>
        <w:t>ներ դժվարությամբ կարող են կանխատեսել, թե շոկերը տվյալ տարվա որ եռամսյակում են տեղի ունենալու։ Հետևա</w:t>
      </w:r>
      <w:r w:rsidRPr="004E12E8">
        <w:rPr>
          <w:rFonts w:eastAsia="Calibri"/>
          <w:b w:val="0"/>
          <w:color w:val="000000"/>
          <w:sz w:val="20"/>
          <w:lang w:val="hy-AM" w:eastAsia="en-US"/>
        </w:rPr>
        <w:softHyphen/>
        <w:t>բար, այս պայմաններում կարևոր է շահութահարկի կանխավճարների ճկուն համա</w:t>
      </w:r>
      <w:r w:rsidRPr="004E12E8">
        <w:rPr>
          <w:rFonts w:eastAsia="Calibri"/>
          <w:b w:val="0"/>
          <w:color w:val="000000"/>
          <w:sz w:val="20"/>
          <w:lang w:val="hy-AM" w:eastAsia="en-US"/>
        </w:rPr>
        <w:softHyphen/>
        <w:t>կարգի առկայությունը, որը հնարավորություն կտա տնտեսա</w:t>
      </w:r>
      <w:r w:rsidRPr="004E12E8">
        <w:rPr>
          <w:rFonts w:eastAsia="Calibri"/>
          <w:b w:val="0"/>
          <w:color w:val="000000"/>
          <w:sz w:val="20"/>
          <w:lang w:val="hy-AM" w:eastAsia="en-US"/>
        </w:rPr>
        <w:softHyphen/>
        <w:t>վարող սուբյեկտներին ճկուն կերպով արձագանքել այդ շոկերին և իրացվելիության տատա</w:t>
      </w:r>
      <w:r w:rsidRPr="004E12E8">
        <w:rPr>
          <w:rFonts w:eastAsia="Calibri"/>
          <w:b w:val="0"/>
          <w:color w:val="000000"/>
          <w:sz w:val="20"/>
          <w:lang w:val="hy-AM" w:eastAsia="en-US"/>
        </w:rPr>
        <w:softHyphen/>
        <w:t>նում</w:t>
      </w:r>
      <w:r w:rsidRPr="004E12E8">
        <w:rPr>
          <w:rFonts w:eastAsia="Calibri"/>
          <w:b w:val="0"/>
          <w:color w:val="000000"/>
          <w:sz w:val="20"/>
          <w:lang w:val="hy-AM" w:eastAsia="en-US"/>
        </w:rPr>
        <w:softHyphen/>
        <w:t>ներին՝ ապահովելու համար այդ շոկերի սահուն հաղթահարումը և վերադարձը դեպի բնականոն զարգացման։</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b w:val="0"/>
          <w:color w:val="000000"/>
          <w:sz w:val="20"/>
          <w:lang w:val="hy-AM" w:eastAsia="en-US"/>
        </w:rPr>
      </w:pPr>
      <w:r w:rsidRPr="004E12E8">
        <w:rPr>
          <w:rFonts w:eastAsia="Calibri"/>
          <w:b w:val="0"/>
          <w:color w:val="000000"/>
          <w:sz w:val="20"/>
          <w:lang w:val="hy-AM" w:eastAsia="en-US"/>
        </w:rPr>
        <w:t>Շահութահարկի կանխավճարների ճկուն համակարգի առկայությունը կարևոր է նաև մակրո մակարդակում հարկաբյուջետային քաղաքականության արդյունավետ իրականացման տեսանկյունից։ Մասնավորապես, դրա կիրառումը հնարավորություն կտա ապագայում ավելի արդյու</w:t>
      </w:r>
      <w:r w:rsidRPr="004E12E8">
        <w:rPr>
          <w:b w:val="0"/>
          <w:color w:val="000000"/>
          <w:sz w:val="20"/>
          <w:lang w:val="hy-AM" w:eastAsia="en-US"/>
        </w:rPr>
        <w:softHyphen/>
      </w:r>
      <w:r w:rsidRPr="004E12E8">
        <w:rPr>
          <w:rFonts w:eastAsia="Calibri"/>
          <w:b w:val="0"/>
          <w:color w:val="000000"/>
          <w:sz w:val="20"/>
          <w:lang w:val="hy-AM" w:eastAsia="en-US"/>
        </w:rPr>
        <w:t>նավետ կերպով մեղմել տնտեսական տատանումները՝ ավտոմատ կերպով արձագան</w:t>
      </w:r>
      <w:r w:rsidRPr="004E12E8">
        <w:rPr>
          <w:b w:val="0"/>
          <w:color w:val="000000"/>
          <w:sz w:val="20"/>
          <w:lang w:val="hy-AM" w:eastAsia="en-US"/>
        </w:rPr>
        <w:softHyphen/>
      </w:r>
      <w:r w:rsidRPr="004E12E8">
        <w:rPr>
          <w:rFonts w:eastAsia="Calibri"/>
          <w:b w:val="0"/>
          <w:color w:val="000000"/>
          <w:sz w:val="20"/>
          <w:lang w:val="hy-AM" w:eastAsia="en-US"/>
        </w:rPr>
        <w:t>քե</w:t>
      </w:r>
      <w:r w:rsidRPr="004E12E8">
        <w:rPr>
          <w:rFonts w:eastAsia="Calibri"/>
          <w:b w:val="0"/>
          <w:color w:val="000000"/>
          <w:sz w:val="20"/>
          <w:lang w:val="hy-AM" w:eastAsia="en-US"/>
        </w:rPr>
        <w:softHyphen/>
        <w:t xml:space="preserve">լով շոկերին և դրանց հետևանքով առաջացող իրացվելիության խնդիրներին։   </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 xml:space="preserve">Հաշվի առնելով վերոգրյալը՝ Կառավարության նախաձեռնությամբ վերանայվել է շահութահարկի կանխավճարների համակարգը և սահմանվել, որ՝ </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ա) տնտեսավարող սուբյեկտները պարտավոր են ընթացիկ հարկային տարվա յուրաքանչյուր եռամսյակի համար՝ մինչև տվյալ եռամսյակի վերջին ամսվա 20-ը ներառյալ, կատարել շահութահարկի կան</w:t>
      </w:r>
      <w:r w:rsidRPr="004E12E8">
        <w:rPr>
          <w:rFonts w:eastAsia="Calibri"/>
          <w:b w:val="0"/>
          <w:color w:val="000000"/>
          <w:sz w:val="20"/>
          <w:lang w:val="hy-AM" w:eastAsia="en-US"/>
        </w:rPr>
        <w:softHyphen/>
        <w:t>խա</w:t>
      </w:r>
      <w:r w:rsidRPr="004E12E8">
        <w:rPr>
          <w:rFonts w:eastAsia="Calibri"/>
          <w:b w:val="0"/>
          <w:color w:val="000000"/>
          <w:sz w:val="20"/>
          <w:lang w:val="hy-AM" w:eastAsia="en-US"/>
        </w:rPr>
        <w:softHyphen/>
        <w:t>վճար</w:t>
      </w:r>
      <w:r w:rsidRPr="004E12E8">
        <w:rPr>
          <w:rFonts w:eastAsia="Calibri"/>
          <w:b w:val="0"/>
          <w:color w:val="000000"/>
          <w:sz w:val="20"/>
          <w:lang w:val="hy-AM" w:eastAsia="en-US"/>
        </w:rPr>
        <w:softHyphen/>
        <w:t>ներ նախորդ հար</w:t>
      </w:r>
      <w:r w:rsidRPr="004E12E8">
        <w:rPr>
          <w:rFonts w:eastAsia="Calibri"/>
          <w:b w:val="0"/>
          <w:color w:val="000000"/>
          <w:sz w:val="20"/>
          <w:lang w:val="hy-AM" w:eastAsia="en-US"/>
        </w:rPr>
        <w:softHyphen/>
        <w:t>կա</w:t>
      </w:r>
      <w:r w:rsidRPr="004E12E8">
        <w:rPr>
          <w:rFonts w:eastAsia="Calibri"/>
          <w:b w:val="0"/>
          <w:color w:val="000000"/>
          <w:sz w:val="20"/>
          <w:lang w:val="hy-AM" w:eastAsia="en-US"/>
        </w:rPr>
        <w:softHyphen/>
        <w:t>յին տարվա շահութահարկի գումարի 20 տոկոսով հաշվարկվող գումարի և նախորդ եռամ</w:t>
      </w:r>
      <w:r w:rsidRPr="004E12E8">
        <w:rPr>
          <w:rFonts w:eastAsia="Calibri"/>
          <w:b w:val="0"/>
          <w:color w:val="000000"/>
          <w:sz w:val="20"/>
          <w:lang w:val="hy-AM" w:eastAsia="en-US"/>
        </w:rPr>
        <w:softHyphen/>
        <w:t>սյակի ընթացքում ստացվող եկամուտների երկու տոկոսով հաշվարկ</w:t>
      </w:r>
      <w:r w:rsidRPr="004E12E8">
        <w:rPr>
          <w:rFonts w:eastAsia="Calibri"/>
          <w:b w:val="0"/>
          <w:color w:val="000000"/>
          <w:sz w:val="20"/>
          <w:lang w:val="hy-AM" w:eastAsia="en-US"/>
        </w:rPr>
        <w:softHyphen/>
        <w:t>վող գումարի նվազագույնի չափով՝ զուգա</w:t>
      </w:r>
      <w:r w:rsidRPr="004E12E8">
        <w:rPr>
          <w:rFonts w:eastAsia="Calibri"/>
          <w:b w:val="0"/>
          <w:color w:val="000000"/>
          <w:sz w:val="20"/>
          <w:lang w:val="hy-AM" w:eastAsia="en-US"/>
        </w:rPr>
        <w:softHyphen/>
        <w:t>հեռա</w:t>
      </w:r>
      <w:r w:rsidRPr="004E12E8">
        <w:rPr>
          <w:rFonts w:eastAsia="Calibri"/>
          <w:b w:val="0"/>
          <w:color w:val="000000"/>
          <w:sz w:val="20"/>
          <w:lang w:val="hy-AM" w:eastAsia="en-US"/>
        </w:rPr>
        <w:softHyphen/>
        <w:t>բ</w:t>
      </w:r>
      <w:r w:rsidRPr="004E12E8">
        <w:rPr>
          <w:rFonts w:eastAsia="Calibri"/>
          <w:b w:val="0"/>
          <w:color w:val="000000"/>
          <w:sz w:val="20"/>
          <w:lang w:val="hy-AM" w:eastAsia="en-US"/>
        </w:rPr>
        <w:softHyphen/>
        <w:t>ար վերաց</w:t>
      </w:r>
      <w:r w:rsidRPr="004E12E8">
        <w:rPr>
          <w:rFonts w:eastAsia="Calibri"/>
          <w:b w:val="0"/>
          <w:color w:val="000000"/>
          <w:sz w:val="20"/>
          <w:lang w:val="hy-AM" w:eastAsia="en-US"/>
        </w:rPr>
        <w:softHyphen/>
        <w:t>նելով նաև կանխա</w:t>
      </w:r>
      <w:r w:rsidRPr="004E12E8">
        <w:rPr>
          <w:rFonts w:eastAsia="Calibri"/>
          <w:b w:val="0"/>
          <w:color w:val="000000"/>
          <w:sz w:val="20"/>
          <w:lang w:val="hy-AM" w:eastAsia="en-US"/>
        </w:rPr>
        <w:softHyphen/>
        <w:t>վճարի որևէ եղանակի ընտրության համար հայտա</w:t>
      </w:r>
      <w:r w:rsidRPr="004E12E8">
        <w:rPr>
          <w:rFonts w:eastAsia="Calibri"/>
          <w:b w:val="0"/>
          <w:color w:val="000000"/>
          <w:sz w:val="20"/>
          <w:lang w:val="hy-AM" w:eastAsia="en-US"/>
        </w:rPr>
        <w:softHyphen/>
        <w:t>րա</w:t>
      </w:r>
      <w:r w:rsidRPr="004E12E8">
        <w:rPr>
          <w:rFonts w:eastAsia="Calibri"/>
          <w:b w:val="0"/>
          <w:color w:val="000000"/>
          <w:sz w:val="20"/>
          <w:lang w:val="hy-AM" w:eastAsia="en-US"/>
        </w:rPr>
        <w:softHyphen/>
        <w:t>րու</w:t>
      </w:r>
      <w:r w:rsidRPr="004E12E8">
        <w:rPr>
          <w:rFonts w:eastAsia="Calibri"/>
          <w:b w:val="0"/>
          <w:color w:val="000000"/>
          <w:sz w:val="20"/>
          <w:lang w:val="hy-AM" w:eastAsia="en-US"/>
        </w:rPr>
        <w:softHyphen/>
        <w:t>թյուն ներ</w:t>
      </w:r>
      <w:r w:rsidRPr="004E12E8">
        <w:rPr>
          <w:rFonts w:eastAsia="Calibri"/>
          <w:b w:val="0"/>
          <w:color w:val="000000"/>
          <w:sz w:val="20"/>
          <w:lang w:val="hy-AM" w:eastAsia="en-US"/>
        </w:rPr>
        <w:softHyphen/>
        <w:t>կա</w:t>
      </w:r>
      <w:r w:rsidRPr="004E12E8">
        <w:rPr>
          <w:rFonts w:eastAsia="Calibri"/>
          <w:b w:val="0"/>
          <w:color w:val="000000"/>
          <w:sz w:val="20"/>
          <w:lang w:val="hy-AM" w:eastAsia="en-US"/>
        </w:rPr>
        <w:softHyphen/>
        <w:t>յաց</w:t>
      </w:r>
      <w:r w:rsidRPr="004E12E8">
        <w:rPr>
          <w:rFonts w:eastAsia="Calibri"/>
          <w:b w:val="0"/>
          <w:color w:val="000000"/>
          <w:sz w:val="20"/>
          <w:lang w:val="hy-AM" w:eastAsia="en-US"/>
        </w:rPr>
        <w:softHyphen/>
        <w:t>նելու պահանջը,</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բ) 2020 թվականի երկրորդ եռամսյակի համար շահութահարկի կանխավճարներ չեն հաշվարկվում և չեն վճարվում,</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գ) 2020 թվականի 1-ին եռամսյակի ընթացքում հաշվարկված շահութահարկի կանխավճարի և 2019 թվա</w:t>
      </w:r>
      <w:r w:rsidRPr="004E12E8">
        <w:rPr>
          <w:rFonts w:eastAsia="Calibri"/>
          <w:b w:val="0"/>
          <w:color w:val="000000"/>
          <w:sz w:val="20"/>
          <w:lang w:val="hy-AM" w:eastAsia="en-US"/>
        </w:rPr>
        <w:softHyphen/>
        <w:t>կանի շահութահարկի գումարի 20 տոկոսով հաշվարկվող գումարի տարբերության չափով ճշգրտ</w:t>
      </w:r>
      <w:r w:rsidRPr="004E12E8">
        <w:rPr>
          <w:rFonts w:eastAsia="Calibri"/>
          <w:b w:val="0"/>
          <w:color w:val="000000"/>
          <w:sz w:val="20"/>
          <w:lang w:val="hy-AM" w:eastAsia="en-US"/>
        </w:rPr>
        <w:softHyphen/>
        <w:t>վում է 2020 թվականի հուլիսի 1-ից հետո առաջիկա եռամսյակի շահութա</w:t>
      </w:r>
      <w:r w:rsidRPr="004E12E8">
        <w:rPr>
          <w:rFonts w:eastAsia="Calibri"/>
          <w:b w:val="0"/>
          <w:color w:val="000000"/>
          <w:sz w:val="20"/>
          <w:lang w:val="hy-AM" w:eastAsia="en-US"/>
        </w:rPr>
        <w:softHyphen/>
        <w:t>հարկի կան</w:t>
      </w:r>
      <w:r w:rsidRPr="004E12E8">
        <w:rPr>
          <w:rFonts w:eastAsia="Calibri"/>
          <w:b w:val="0"/>
          <w:color w:val="000000"/>
          <w:sz w:val="20"/>
          <w:lang w:val="hy-AM" w:eastAsia="en-US"/>
        </w:rPr>
        <w:softHyphen/>
        <w:t>խա</w:t>
      </w:r>
      <w:r w:rsidRPr="004E12E8">
        <w:rPr>
          <w:rFonts w:eastAsia="Calibri"/>
          <w:b w:val="0"/>
          <w:color w:val="000000"/>
          <w:sz w:val="20"/>
          <w:lang w:val="hy-AM" w:eastAsia="en-US"/>
        </w:rPr>
        <w:softHyphen/>
        <w:t>վճարի գումարը։</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Կատարված հաշվարկները ցույց են տալիս, որ օրեն</w:t>
      </w:r>
      <w:r>
        <w:rPr>
          <w:rFonts w:eastAsia="Calibri"/>
          <w:b w:val="0"/>
          <w:color w:val="000000"/>
          <w:sz w:val="20"/>
          <w:lang w:val="hy-AM" w:eastAsia="en-US"/>
        </w:rPr>
        <w:t>ս</w:t>
      </w:r>
      <w:r w:rsidRPr="004E12E8">
        <w:rPr>
          <w:rFonts w:eastAsia="Calibri"/>
          <w:b w:val="0"/>
          <w:color w:val="000000"/>
          <w:sz w:val="20"/>
          <w:lang w:val="hy-AM" w:eastAsia="en-US"/>
        </w:rPr>
        <w:t xml:space="preserve">դրական վերոնշյալ փոփոխությունը դրականորեն է ազդելու 2020 թվականին՝ շուրջ 7650, իսկ հետագա տարիներին՝ շուրջ 8300 տնտեսավարող սուբյեկտների հարկային միջավայրի վրա (հաշվի առնելով այն, որ կատարված փոփոխությունը ժամանակավոր բնույթ չի կրում և ուղղված է նաև երկարաժամկետ հատվածում հարկային միջավայրի բարելավմանը), իսկ օրենսդրական փոփոխության արդյունքում 2020 թվականին տնտեսավարող սուբյեկտների մոտ խնայված շրջանառու միջոցները կազմում են շուրջ 65 մլրդ դրամ, ինչը նշանակում է, որ, այլ հավասար պայմաններում, այդ նույն չափով պակաս հարկային եկամուտներ են հավաքագրվելու։ </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Համավարակի հետևանքով առաջացած տնտեսական ճգնաժամի հնարավոր բացասական հետևանքները մեղմելու և հարկային պարտավորությունները չկատարելու հետևանքով տնտեսավարող սուբյեկտների հնարավոր սնանկացման ռիսկերը չեզոքացնելու նպատակով 2020 թվականի ապրիլի 22-ին ՀՀ Ազգային Ժողովի կողմից ընդուն</w:t>
      </w:r>
      <w:r w:rsidRPr="004E12E8">
        <w:rPr>
          <w:rFonts w:eastAsia="Calibri"/>
          <w:b w:val="0"/>
          <w:color w:val="000000"/>
          <w:sz w:val="20"/>
          <w:lang w:val="hy-AM" w:eastAsia="en-US"/>
        </w:rPr>
        <w:softHyphen/>
        <w:t>վել է Հայաստանի Հան</w:t>
      </w:r>
      <w:r w:rsidRPr="004E12E8">
        <w:rPr>
          <w:rFonts w:eastAsia="Calibri"/>
          <w:b w:val="0"/>
          <w:color w:val="000000"/>
          <w:sz w:val="20"/>
          <w:lang w:val="hy-AM" w:eastAsia="en-US"/>
        </w:rPr>
        <w:softHyphen/>
        <w:t>րա</w:t>
      </w:r>
      <w:r w:rsidRPr="004E12E8">
        <w:rPr>
          <w:rFonts w:eastAsia="Calibri"/>
          <w:b w:val="0"/>
          <w:color w:val="000000"/>
          <w:sz w:val="20"/>
          <w:lang w:val="hy-AM" w:eastAsia="en-US"/>
        </w:rPr>
        <w:softHyphen/>
        <w:t>պե</w:t>
      </w:r>
      <w:r w:rsidRPr="004E12E8">
        <w:rPr>
          <w:rFonts w:eastAsia="Calibri"/>
          <w:b w:val="0"/>
          <w:color w:val="000000"/>
          <w:sz w:val="20"/>
          <w:lang w:val="hy-AM" w:eastAsia="en-US"/>
        </w:rPr>
        <w:softHyphen/>
        <w:t>տության հարկային օրենս</w:t>
      </w:r>
      <w:r w:rsidRPr="004E12E8">
        <w:rPr>
          <w:rFonts w:eastAsia="Calibri"/>
          <w:b w:val="0"/>
          <w:color w:val="000000"/>
          <w:sz w:val="20"/>
          <w:lang w:val="hy-AM" w:eastAsia="en-US"/>
        </w:rPr>
        <w:softHyphen/>
        <w:t>գրքում փոփոխություն և լրա</w:t>
      </w:r>
      <w:r w:rsidRPr="004E12E8">
        <w:rPr>
          <w:rFonts w:eastAsia="Calibri"/>
          <w:b w:val="0"/>
          <w:color w:val="000000"/>
          <w:sz w:val="20"/>
          <w:lang w:val="hy-AM" w:eastAsia="en-US"/>
        </w:rPr>
        <w:softHyphen/>
        <w:t>ցում կատա</w:t>
      </w:r>
      <w:r w:rsidRPr="004E12E8">
        <w:rPr>
          <w:rFonts w:eastAsia="Calibri"/>
          <w:b w:val="0"/>
          <w:color w:val="000000"/>
          <w:sz w:val="20"/>
          <w:lang w:val="hy-AM" w:eastAsia="en-US"/>
        </w:rPr>
        <w:softHyphen/>
        <w:t>րելու մասին ՀՀ օրենքը, որով, մասնա</w:t>
      </w:r>
      <w:r w:rsidRPr="004E12E8">
        <w:rPr>
          <w:rFonts w:eastAsia="Calibri"/>
          <w:b w:val="0"/>
          <w:color w:val="000000"/>
          <w:sz w:val="20"/>
          <w:lang w:val="hy-AM" w:eastAsia="en-US"/>
        </w:rPr>
        <w:softHyphen/>
        <w:t>վորապես, նվազեցվել է հարկի վճարումը սահ</w:t>
      </w:r>
      <w:r w:rsidRPr="004E12E8">
        <w:rPr>
          <w:rFonts w:eastAsia="Calibri"/>
          <w:b w:val="0"/>
          <w:color w:val="000000"/>
          <w:sz w:val="20"/>
          <w:lang w:val="hy-AM" w:eastAsia="en-US"/>
        </w:rPr>
        <w:softHyphen/>
      </w:r>
      <w:r w:rsidRPr="004E12E8">
        <w:rPr>
          <w:rFonts w:eastAsia="Calibri"/>
          <w:b w:val="0"/>
          <w:color w:val="000000"/>
          <w:sz w:val="20"/>
          <w:lang w:val="hy-AM" w:eastAsia="en-US"/>
        </w:rPr>
        <w:softHyphen/>
      </w:r>
      <w:r w:rsidRPr="004E12E8">
        <w:rPr>
          <w:rFonts w:eastAsia="Calibri"/>
          <w:b w:val="0"/>
          <w:color w:val="000000"/>
          <w:sz w:val="20"/>
          <w:lang w:val="hy-AM" w:eastAsia="en-US"/>
        </w:rPr>
        <w:softHyphen/>
        <w:t>մանված ժամ</w:t>
      </w:r>
      <w:r w:rsidRPr="004E12E8">
        <w:rPr>
          <w:rFonts w:eastAsia="Calibri"/>
          <w:b w:val="0"/>
          <w:color w:val="000000"/>
          <w:sz w:val="20"/>
          <w:lang w:val="hy-AM" w:eastAsia="en-US"/>
        </w:rPr>
        <w:softHyphen/>
        <w:t>կետներից ուշաց</w:t>
      </w:r>
      <w:r w:rsidRPr="004E12E8">
        <w:rPr>
          <w:rFonts w:eastAsia="Calibri"/>
          <w:b w:val="0"/>
          <w:color w:val="000000"/>
          <w:sz w:val="20"/>
          <w:lang w:val="hy-AM" w:eastAsia="en-US"/>
        </w:rPr>
        <w:softHyphen/>
      </w:r>
      <w:r w:rsidRPr="004E12E8">
        <w:rPr>
          <w:rFonts w:eastAsia="Calibri"/>
          <w:b w:val="0"/>
          <w:color w:val="000000"/>
          <w:sz w:val="20"/>
          <w:lang w:val="hy-AM" w:eastAsia="en-US"/>
        </w:rPr>
        <w:softHyphen/>
        <w:t>նելու դեպ</w:t>
      </w:r>
      <w:r w:rsidRPr="004E12E8">
        <w:rPr>
          <w:rFonts w:eastAsia="Calibri"/>
          <w:b w:val="0"/>
          <w:color w:val="000000"/>
          <w:sz w:val="20"/>
          <w:lang w:val="hy-AM" w:eastAsia="en-US"/>
        </w:rPr>
        <w:softHyphen/>
        <w:t>քում ժամ</w:t>
      </w:r>
      <w:r w:rsidRPr="004E12E8">
        <w:rPr>
          <w:rFonts w:eastAsia="Calibri"/>
          <w:b w:val="0"/>
          <w:color w:val="000000"/>
          <w:sz w:val="20"/>
          <w:lang w:val="hy-AM" w:eastAsia="en-US"/>
        </w:rPr>
        <w:softHyphen/>
        <w:t>կե</w:t>
      </w:r>
      <w:r w:rsidRPr="004E12E8">
        <w:rPr>
          <w:rFonts w:eastAsia="Calibri"/>
          <w:b w:val="0"/>
          <w:color w:val="000000"/>
          <w:sz w:val="20"/>
          <w:lang w:val="hy-AM" w:eastAsia="en-US"/>
        </w:rPr>
        <w:softHyphen/>
        <w:t>տանց յուրաքանչյուր օրվա համար հաշ</w:t>
      </w:r>
      <w:r w:rsidRPr="004E12E8">
        <w:rPr>
          <w:rFonts w:eastAsia="Calibri"/>
          <w:b w:val="0"/>
          <w:color w:val="000000"/>
          <w:sz w:val="20"/>
          <w:lang w:val="hy-AM" w:eastAsia="en-US"/>
        </w:rPr>
        <w:softHyphen/>
      </w:r>
      <w:r w:rsidRPr="004E12E8">
        <w:rPr>
          <w:rFonts w:eastAsia="Calibri"/>
          <w:b w:val="0"/>
          <w:color w:val="000000"/>
          <w:sz w:val="20"/>
          <w:lang w:val="hy-AM" w:eastAsia="en-US"/>
        </w:rPr>
        <w:softHyphen/>
      </w:r>
      <w:r w:rsidRPr="004E12E8">
        <w:rPr>
          <w:rFonts w:eastAsia="Calibri"/>
          <w:b w:val="0"/>
          <w:color w:val="000000"/>
          <w:sz w:val="20"/>
          <w:lang w:val="hy-AM" w:eastAsia="en-US"/>
        </w:rPr>
        <w:softHyphen/>
        <w:t>վարկվող տույժի դրույ</w:t>
      </w:r>
      <w:r w:rsidRPr="004E12E8">
        <w:rPr>
          <w:rFonts w:eastAsia="Calibri"/>
          <w:b w:val="0"/>
          <w:color w:val="000000"/>
          <w:sz w:val="20"/>
          <w:lang w:val="hy-AM" w:eastAsia="en-US"/>
        </w:rPr>
        <w:softHyphen/>
        <w:t>քա</w:t>
      </w:r>
      <w:r w:rsidRPr="004E12E8">
        <w:rPr>
          <w:rFonts w:eastAsia="Calibri"/>
          <w:b w:val="0"/>
          <w:color w:val="000000"/>
          <w:sz w:val="20"/>
          <w:lang w:val="hy-AM" w:eastAsia="en-US"/>
        </w:rPr>
        <w:softHyphen/>
        <w:t>չափը և 0,075 տոկոսի փոխա</w:t>
      </w:r>
      <w:r w:rsidRPr="004E12E8">
        <w:rPr>
          <w:rFonts w:eastAsia="Calibri"/>
          <w:b w:val="0"/>
          <w:color w:val="000000"/>
          <w:sz w:val="20"/>
          <w:lang w:val="hy-AM" w:eastAsia="en-US"/>
        </w:rPr>
        <w:softHyphen/>
        <w:t>րեն սահմանվել է 0,04 տոկոս։ Նշյալ օրենքն ուժի մեջ է մտել 2020 թվականի մայիսի 14-ից և տարածվում է 2020 թվականի ապրիլի 21-ից ծագած հարա</w:t>
      </w:r>
      <w:r w:rsidRPr="004E12E8">
        <w:rPr>
          <w:rFonts w:eastAsia="Calibri"/>
          <w:b w:val="0"/>
          <w:color w:val="000000"/>
          <w:sz w:val="20"/>
          <w:lang w:val="hy-AM" w:eastAsia="en-US"/>
        </w:rPr>
        <w:softHyphen/>
      </w:r>
      <w:r w:rsidRPr="004E12E8">
        <w:rPr>
          <w:rFonts w:eastAsia="Calibri"/>
          <w:b w:val="0"/>
          <w:color w:val="000000"/>
          <w:sz w:val="20"/>
          <w:lang w:val="hy-AM" w:eastAsia="en-US"/>
        </w:rPr>
        <w:softHyphen/>
      </w:r>
      <w:r w:rsidRPr="004E12E8">
        <w:rPr>
          <w:rFonts w:eastAsia="Calibri"/>
          <w:b w:val="0"/>
          <w:color w:val="000000"/>
          <w:sz w:val="20"/>
          <w:lang w:val="hy-AM" w:eastAsia="en-US"/>
        </w:rPr>
        <w:softHyphen/>
        <w:t>բերու</w:t>
      </w:r>
      <w:r w:rsidRPr="004E12E8">
        <w:rPr>
          <w:rFonts w:eastAsia="Calibri"/>
          <w:b w:val="0"/>
          <w:color w:val="000000"/>
          <w:sz w:val="20"/>
          <w:lang w:val="hy-AM" w:eastAsia="en-US"/>
        </w:rPr>
        <w:softHyphen/>
        <w:t>թյունների վրա: Այսինքն, 2020 թվականի ապրիլի 21-ից տույժերը հաշվարկվում են նվա</w:t>
      </w:r>
      <w:r w:rsidRPr="004E12E8">
        <w:rPr>
          <w:rFonts w:eastAsia="Calibri"/>
          <w:b w:val="0"/>
          <w:color w:val="000000"/>
          <w:sz w:val="20"/>
          <w:lang w:val="hy-AM" w:eastAsia="en-US"/>
        </w:rPr>
        <w:softHyphen/>
        <w:t>զեց</w:t>
      </w:r>
      <w:r w:rsidRPr="004E12E8">
        <w:rPr>
          <w:rFonts w:eastAsia="Calibri"/>
          <w:b w:val="0"/>
          <w:color w:val="000000"/>
          <w:sz w:val="20"/>
          <w:lang w:val="hy-AM" w:eastAsia="en-US"/>
        </w:rPr>
        <w:softHyphen/>
        <w:t>ված դրույ</w:t>
      </w:r>
      <w:r w:rsidRPr="004E12E8">
        <w:rPr>
          <w:rFonts w:eastAsia="Calibri"/>
          <w:b w:val="0"/>
          <w:color w:val="000000"/>
          <w:sz w:val="20"/>
          <w:lang w:val="hy-AM" w:eastAsia="en-US"/>
        </w:rPr>
        <w:softHyphen/>
        <w:t>քա</w:t>
      </w:r>
      <w:r w:rsidRPr="004E12E8">
        <w:rPr>
          <w:rFonts w:eastAsia="Calibri"/>
          <w:b w:val="0"/>
          <w:color w:val="000000"/>
          <w:sz w:val="20"/>
          <w:lang w:val="hy-AM" w:eastAsia="en-US"/>
        </w:rPr>
        <w:softHyphen/>
        <w:t>չափով։ Ընդ որում, 2020 թվականի ապրիլի 21-ից տույժերը նվազեցված դրույքաչափով հաշ</w:t>
      </w:r>
      <w:r w:rsidRPr="004E12E8">
        <w:rPr>
          <w:rFonts w:eastAsia="Calibri"/>
          <w:b w:val="0"/>
          <w:color w:val="000000"/>
          <w:sz w:val="20"/>
          <w:lang w:val="hy-AM" w:eastAsia="en-US"/>
        </w:rPr>
        <w:softHyphen/>
        <w:t>վարկվում են նաև այն դեպ</w:t>
      </w:r>
      <w:r w:rsidRPr="004E12E8">
        <w:rPr>
          <w:rFonts w:eastAsia="Calibri"/>
          <w:b w:val="0"/>
          <w:color w:val="000000"/>
          <w:sz w:val="20"/>
          <w:lang w:val="hy-AM" w:eastAsia="en-US"/>
        </w:rPr>
        <w:softHyphen/>
      </w:r>
      <w:r w:rsidRPr="004E12E8">
        <w:rPr>
          <w:rFonts w:eastAsia="Calibri"/>
          <w:b w:val="0"/>
          <w:color w:val="000000"/>
          <w:sz w:val="20"/>
          <w:lang w:val="hy-AM" w:eastAsia="en-US"/>
        </w:rPr>
        <w:softHyphen/>
        <w:t>քերում, երբ տույժերի հաշ</w:t>
      </w:r>
      <w:r w:rsidRPr="004E12E8">
        <w:rPr>
          <w:rFonts w:eastAsia="Calibri"/>
          <w:b w:val="0"/>
          <w:color w:val="000000"/>
          <w:sz w:val="20"/>
          <w:lang w:val="hy-AM" w:eastAsia="en-US"/>
        </w:rPr>
        <w:softHyphen/>
        <w:t>վարկը սկսվել է մինչև նշյալ օրենքն ուժի մեջ մտնելը։</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Վերոգրյալը նշանակում է, որ հարկի վճարումը սահման</w:t>
      </w:r>
      <w:r w:rsidRPr="004E12E8">
        <w:rPr>
          <w:rFonts w:eastAsia="Calibri"/>
          <w:b w:val="0"/>
          <w:color w:val="000000"/>
          <w:sz w:val="20"/>
          <w:lang w:val="hy-AM" w:eastAsia="en-US"/>
        </w:rPr>
        <w:softHyphen/>
        <w:t>ված ժամկետներից ուշացնելու դեպ</w:t>
      </w:r>
      <w:r w:rsidRPr="004E12E8">
        <w:rPr>
          <w:rFonts w:eastAsia="Calibri"/>
          <w:b w:val="0"/>
          <w:color w:val="000000"/>
          <w:sz w:val="20"/>
          <w:lang w:val="hy-AM" w:eastAsia="en-US"/>
        </w:rPr>
        <w:softHyphen/>
        <w:t>քում ժամ</w:t>
      </w:r>
      <w:r w:rsidRPr="004E12E8">
        <w:rPr>
          <w:rFonts w:eastAsia="Calibri"/>
          <w:b w:val="0"/>
          <w:color w:val="000000"/>
          <w:sz w:val="20"/>
          <w:lang w:val="hy-AM" w:eastAsia="en-US"/>
        </w:rPr>
        <w:softHyphen/>
        <w:t>կե</w:t>
      </w:r>
      <w:r w:rsidRPr="004E12E8">
        <w:rPr>
          <w:rFonts w:eastAsia="Calibri"/>
          <w:b w:val="0"/>
          <w:color w:val="000000"/>
          <w:sz w:val="20"/>
          <w:lang w:val="hy-AM" w:eastAsia="en-US"/>
        </w:rPr>
        <w:softHyphen/>
        <w:t>տանց յուրաքանչյուր օրվա համար հաշ</w:t>
      </w:r>
      <w:r w:rsidRPr="004E12E8">
        <w:rPr>
          <w:rFonts w:eastAsia="Calibri"/>
          <w:b w:val="0"/>
          <w:color w:val="000000"/>
          <w:sz w:val="20"/>
          <w:lang w:val="hy-AM" w:eastAsia="en-US"/>
        </w:rPr>
        <w:softHyphen/>
        <w:t>վարկ</w:t>
      </w:r>
      <w:r w:rsidRPr="004E12E8">
        <w:rPr>
          <w:rFonts w:eastAsia="Calibri"/>
          <w:b w:val="0"/>
          <w:color w:val="000000"/>
          <w:sz w:val="20"/>
          <w:lang w:val="hy-AM" w:eastAsia="en-US"/>
        </w:rPr>
        <w:softHyphen/>
        <w:t>վող տույժի հաշվարկային մեծու</w:t>
      </w:r>
      <w:r w:rsidRPr="004E12E8">
        <w:rPr>
          <w:rFonts w:eastAsia="Calibri"/>
          <w:b w:val="0"/>
          <w:color w:val="000000"/>
          <w:sz w:val="20"/>
          <w:lang w:val="hy-AM" w:eastAsia="en-US"/>
        </w:rPr>
        <w:softHyphen/>
      </w:r>
      <w:r w:rsidRPr="004E12E8">
        <w:rPr>
          <w:rFonts w:eastAsia="Calibri"/>
          <w:b w:val="0"/>
          <w:color w:val="000000"/>
          <w:sz w:val="20"/>
          <w:lang w:val="hy-AM" w:eastAsia="en-US"/>
        </w:rPr>
        <w:softHyphen/>
      </w:r>
      <w:r w:rsidRPr="004E12E8">
        <w:rPr>
          <w:rFonts w:eastAsia="Calibri"/>
          <w:b w:val="0"/>
          <w:color w:val="000000"/>
          <w:sz w:val="20"/>
          <w:lang w:val="hy-AM" w:eastAsia="en-US"/>
        </w:rPr>
        <w:softHyphen/>
      </w:r>
      <w:r w:rsidRPr="004E12E8">
        <w:rPr>
          <w:rFonts w:eastAsia="Calibri"/>
          <w:b w:val="0"/>
          <w:color w:val="000000"/>
          <w:sz w:val="20"/>
          <w:lang w:val="hy-AM" w:eastAsia="en-US"/>
        </w:rPr>
        <w:softHyphen/>
      </w:r>
      <w:r w:rsidRPr="004E12E8">
        <w:rPr>
          <w:rFonts w:eastAsia="Calibri"/>
          <w:b w:val="0"/>
          <w:color w:val="000000"/>
          <w:sz w:val="20"/>
          <w:lang w:val="hy-AM" w:eastAsia="en-US"/>
        </w:rPr>
        <w:softHyphen/>
      </w:r>
      <w:r w:rsidRPr="004E12E8">
        <w:rPr>
          <w:rFonts w:eastAsia="Calibri"/>
          <w:b w:val="0"/>
          <w:color w:val="000000"/>
          <w:sz w:val="20"/>
          <w:lang w:val="hy-AM" w:eastAsia="en-US"/>
        </w:rPr>
        <w:softHyphen/>
        <w:t>թյունը գրեթե հավասարվում է ֆինան</w:t>
      </w:r>
      <w:r w:rsidRPr="004E12E8">
        <w:rPr>
          <w:rFonts w:eastAsia="Calibri"/>
          <w:b w:val="0"/>
          <w:color w:val="000000"/>
          <w:sz w:val="20"/>
          <w:lang w:val="hy-AM" w:eastAsia="en-US"/>
        </w:rPr>
        <w:softHyphen/>
        <w:t>սա</w:t>
      </w:r>
      <w:r w:rsidRPr="004E12E8">
        <w:rPr>
          <w:rFonts w:eastAsia="Calibri"/>
          <w:b w:val="0"/>
          <w:color w:val="000000"/>
          <w:sz w:val="20"/>
          <w:lang w:val="hy-AM" w:eastAsia="en-US"/>
        </w:rPr>
        <w:softHyphen/>
        <w:t>կան կազմակերպություն</w:t>
      </w:r>
      <w:r w:rsidRPr="004E12E8">
        <w:rPr>
          <w:rFonts w:eastAsia="Calibri"/>
          <w:b w:val="0"/>
          <w:color w:val="000000"/>
          <w:sz w:val="20"/>
          <w:lang w:val="hy-AM" w:eastAsia="en-US"/>
        </w:rPr>
        <w:softHyphen/>
        <w:t>ների կողմից տրա</w:t>
      </w:r>
      <w:r w:rsidRPr="004E12E8">
        <w:rPr>
          <w:rFonts w:eastAsia="Calibri"/>
          <w:b w:val="0"/>
          <w:color w:val="000000"/>
          <w:sz w:val="20"/>
          <w:lang w:val="hy-AM" w:eastAsia="en-US"/>
        </w:rPr>
        <w:softHyphen/>
        <w:t>մա</w:t>
      </w:r>
      <w:r w:rsidRPr="004E12E8">
        <w:rPr>
          <w:rFonts w:eastAsia="Calibri"/>
          <w:b w:val="0"/>
          <w:color w:val="000000"/>
          <w:sz w:val="20"/>
          <w:lang w:val="hy-AM" w:eastAsia="en-US"/>
        </w:rPr>
        <w:softHyphen/>
        <w:t>դր</w:t>
      </w:r>
      <w:r w:rsidRPr="004E12E8">
        <w:rPr>
          <w:rFonts w:eastAsia="Calibri"/>
          <w:b w:val="0"/>
          <w:color w:val="000000"/>
          <w:sz w:val="20"/>
          <w:lang w:val="hy-AM" w:eastAsia="en-US"/>
        </w:rPr>
        <w:softHyphen/>
      </w:r>
      <w:r w:rsidRPr="004E12E8">
        <w:rPr>
          <w:rFonts w:eastAsia="Calibri"/>
          <w:b w:val="0"/>
          <w:color w:val="000000"/>
          <w:sz w:val="20"/>
          <w:lang w:val="hy-AM" w:eastAsia="en-US"/>
        </w:rPr>
        <w:softHyphen/>
        <w:t>վող վար</w:t>
      </w:r>
      <w:r w:rsidRPr="004E12E8">
        <w:rPr>
          <w:rFonts w:eastAsia="Calibri"/>
          <w:b w:val="0"/>
          <w:color w:val="000000"/>
          <w:sz w:val="20"/>
          <w:lang w:val="hy-AM" w:eastAsia="en-US"/>
        </w:rPr>
        <w:softHyphen/>
        <w:t>կերի տոկոսա</w:t>
      </w:r>
      <w:r w:rsidRPr="004E12E8">
        <w:rPr>
          <w:rFonts w:eastAsia="Calibri"/>
          <w:b w:val="0"/>
          <w:color w:val="000000"/>
          <w:sz w:val="20"/>
          <w:lang w:val="hy-AM" w:eastAsia="en-US"/>
        </w:rPr>
        <w:softHyphen/>
        <w:t>դրույքին:</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Ավելին, վերոնշյալ օրենքով բարձրացվել է չկատարված հարկային պար</w:t>
      </w:r>
      <w:r w:rsidRPr="004E12E8">
        <w:rPr>
          <w:rFonts w:eastAsia="Calibri"/>
          <w:b w:val="0"/>
          <w:color w:val="000000"/>
          <w:sz w:val="20"/>
          <w:lang w:val="hy-AM" w:eastAsia="en-US"/>
        </w:rPr>
        <w:softHyphen/>
        <w:t>տա</w:t>
      </w:r>
      <w:r w:rsidRPr="004E12E8">
        <w:rPr>
          <w:rFonts w:eastAsia="Calibri"/>
          <w:b w:val="0"/>
          <w:color w:val="000000"/>
          <w:sz w:val="20"/>
          <w:lang w:val="hy-AM" w:eastAsia="en-US"/>
        </w:rPr>
        <w:softHyphen/>
        <w:t>վո</w:t>
      </w:r>
      <w:r w:rsidRPr="004E12E8">
        <w:rPr>
          <w:rFonts w:eastAsia="Calibri"/>
          <w:b w:val="0"/>
          <w:color w:val="000000"/>
          <w:sz w:val="20"/>
          <w:lang w:val="hy-AM" w:eastAsia="en-US"/>
        </w:rPr>
        <w:softHyphen/>
        <w:t>րու</w:t>
      </w:r>
      <w:r w:rsidRPr="004E12E8">
        <w:rPr>
          <w:rFonts w:eastAsia="Calibri"/>
          <w:b w:val="0"/>
          <w:color w:val="000000"/>
          <w:sz w:val="20"/>
          <w:lang w:val="hy-AM" w:eastAsia="en-US"/>
        </w:rPr>
        <w:softHyphen/>
        <w:t>թյուն</w:t>
      </w:r>
      <w:r w:rsidRPr="004E12E8">
        <w:rPr>
          <w:rFonts w:eastAsia="Calibri"/>
          <w:b w:val="0"/>
          <w:color w:val="000000"/>
          <w:sz w:val="20"/>
          <w:lang w:val="hy-AM" w:eastAsia="en-US"/>
        </w:rPr>
        <w:softHyphen/>
        <w:t>ների շեմը, որը գերա</w:t>
      </w:r>
      <w:r w:rsidRPr="004E12E8">
        <w:rPr>
          <w:rFonts w:eastAsia="Calibri"/>
          <w:b w:val="0"/>
          <w:color w:val="000000"/>
          <w:sz w:val="20"/>
          <w:lang w:val="hy-AM" w:eastAsia="en-US"/>
        </w:rPr>
        <w:softHyphen/>
        <w:t>զան</w:t>
      </w:r>
      <w:r w:rsidRPr="004E12E8">
        <w:rPr>
          <w:rFonts w:eastAsia="Calibri"/>
          <w:b w:val="0"/>
          <w:color w:val="000000"/>
          <w:sz w:val="20"/>
          <w:lang w:val="hy-AM" w:eastAsia="en-US"/>
        </w:rPr>
        <w:softHyphen/>
        <w:t>ցելու դեպքում հարկային մարմնի ղեկավարի որոշմամբ հարկ վճա</w:t>
      </w:r>
      <w:r w:rsidRPr="004E12E8">
        <w:rPr>
          <w:rFonts w:eastAsia="Calibri"/>
          <w:b w:val="0"/>
          <w:color w:val="000000"/>
          <w:sz w:val="20"/>
          <w:lang w:val="hy-AM" w:eastAsia="en-US"/>
        </w:rPr>
        <w:softHyphen/>
      </w:r>
      <w:r w:rsidRPr="004E12E8">
        <w:rPr>
          <w:rFonts w:eastAsia="Calibri"/>
          <w:b w:val="0"/>
          <w:color w:val="000000"/>
          <w:sz w:val="20"/>
          <w:lang w:val="hy-AM" w:eastAsia="en-US"/>
        </w:rPr>
        <w:softHyphen/>
        <w:t>րողի գույքի վրա կարող է արգելանք դրվել։ Մասնավորապես, չկատարված հարկային պար</w:t>
      </w:r>
      <w:r w:rsidRPr="004E12E8">
        <w:rPr>
          <w:rFonts w:eastAsia="Calibri"/>
          <w:b w:val="0"/>
          <w:color w:val="000000"/>
          <w:sz w:val="20"/>
          <w:lang w:val="hy-AM" w:eastAsia="en-US"/>
        </w:rPr>
        <w:softHyphen/>
        <w:t>տա</w:t>
      </w:r>
      <w:r w:rsidRPr="004E12E8">
        <w:rPr>
          <w:rFonts w:eastAsia="Calibri"/>
          <w:b w:val="0"/>
          <w:color w:val="000000"/>
          <w:sz w:val="20"/>
          <w:lang w:val="hy-AM" w:eastAsia="en-US"/>
        </w:rPr>
        <w:softHyphen/>
      </w:r>
      <w:r w:rsidRPr="004E12E8">
        <w:rPr>
          <w:rFonts w:eastAsia="Calibri"/>
          <w:b w:val="0"/>
          <w:color w:val="000000"/>
          <w:sz w:val="20"/>
          <w:lang w:val="hy-AM" w:eastAsia="en-US"/>
        </w:rPr>
        <w:softHyphen/>
        <w:t>վո</w:t>
      </w:r>
      <w:r w:rsidRPr="004E12E8">
        <w:rPr>
          <w:rFonts w:eastAsia="Calibri"/>
          <w:b w:val="0"/>
          <w:color w:val="000000"/>
          <w:sz w:val="20"/>
          <w:lang w:val="hy-AM" w:eastAsia="en-US"/>
        </w:rPr>
        <w:softHyphen/>
        <w:t>րու</w:t>
      </w:r>
      <w:r w:rsidRPr="004E12E8">
        <w:rPr>
          <w:rFonts w:eastAsia="Calibri"/>
          <w:b w:val="0"/>
          <w:color w:val="000000"/>
          <w:sz w:val="20"/>
          <w:lang w:val="hy-AM" w:eastAsia="en-US"/>
        </w:rPr>
        <w:softHyphen/>
        <w:t>թյուն</w:t>
      </w:r>
      <w:r w:rsidRPr="004E12E8">
        <w:rPr>
          <w:rFonts w:eastAsia="Calibri"/>
          <w:b w:val="0"/>
          <w:color w:val="000000"/>
          <w:sz w:val="20"/>
          <w:lang w:val="hy-AM" w:eastAsia="en-US"/>
        </w:rPr>
        <w:softHyphen/>
        <w:t>ների շեմը 500 հազար դրամի փոխարեն սահմանվել է 1</w:t>
      </w:r>
      <w:r w:rsidRPr="004E12E8">
        <w:rPr>
          <w:rFonts w:ascii="Cambria Math" w:eastAsia="Calibri" w:hAnsi="Cambria Math" w:cs="Cambria Math"/>
          <w:b w:val="0"/>
          <w:color w:val="000000"/>
          <w:sz w:val="20"/>
          <w:lang w:val="hy-AM" w:eastAsia="en-US"/>
        </w:rPr>
        <w:t>․</w:t>
      </w:r>
      <w:r w:rsidRPr="004E12E8">
        <w:rPr>
          <w:rFonts w:eastAsia="Calibri"/>
          <w:b w:val="0"/>
          <w:color w:val="000000"/>
          <w:sz w:val="20"/>
          <w:lang w:val="hy-AM" w:eastAsia="en-US"/>
        </w:rPr>
        <w:t>5 միլիոն դրամ:</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709"/>
        <w:contextualSpacing w:val="0"/>
        <w:rPr>
          <w:rFonts w:eastAsia="Calibri"/>
          <w:b w:val="0"/>
          <w:color w:val="000000"/>
          <w:sz w:val="20"/>
          <w:lang w:val="hy-AM" w:eastAsia="en-US"/>
        </w:rPr>
      </w:pPr>
      <w:r w:rsidRPr="004E12E8">
        <w:rPr>
          <w:rFonts w:eastAsia="Calibri"/>
          <w:b w:val="0"/>
          <w:color w:val="000000"/>
          <w:sz w:val="20"/>
          <w:lang w:val="hy-AM" w:eastAsia="en-US"/>
        </w:rPr>
        <w:t>Ինչ վերաբերում է տնտեսության հետագա վերականգնման, ներդրումային ակտիվության մակարդակի բարձրացման և տնտեսական ներուժի ստեղծման համար հարկային կարգավորումների բ</w:t>
      </w:r>
      <w:r>
        <w:rPr>
          <w:rFonts w:eastAsia="Calibri"/>
          <w:b w:val="0"/>
          <w:color w:val="000000"/>
          <w:sz w:val="20"/>
          <w:lang w:val="hy-AM" w:eastAsia="en-US"/>
        </w:rPr>
        <w:t>ա</w:t>
      </w:r>
      <w:r w:rsidRPr="004E12E8">
        <w:rPr>
          <w:rFonts w:eastAsia="Calibri"/>
          <w:b w:val="0"/>
          <w:color w:val="000000"/>
          <w:sz w:val="20"/>
          <w:lang w:val="hy-AM" w:eastAsia="en-US"/>
        </w:rPr>
        <w:t>ր</w:t>
      </w:r>
      <w:r>
        <w:rPr>
          <w:rFonts w:eastAsia="Calibri"/>
          <w:b w:val="0"/>
          <w:color w:val="000000"/>
          <w:sz w:val="20"/>
          <w:lang w:val="hy-AM" w:eastAsia="en-US"/>
        </w:rPr>
        <w:t>ե</w:t>
      </w:r>
      <w:r w:rsidRPr="004E12E8">
        <w:rPr>
          <w:rFonts w:eastAsia="Calibri"/>
          <w:b w:val="0"/>
          <w:color w:val="000000"/>
          <w:sz w:val="20"/>
          <w:lang w:val="hy-AM" w:eastAsia="en-US"/>
        </w:rPr>
        <w:t>լավմանը, ապա այդ կապակցությամբ կատարված օրենսդրական փոփոխությունների արդյունքում հարկային օրենսդրությամբ սահմանվել է, որ 2020 թվականի հուլիսի 1-ից մինչև 2020 թվականի դեկտեմ</w:t>
      </w:r>
      <w:r w:rsidRPr="004E12E8">
        <w:rPr>
          <w:rFonts w:eastAsia="Calibri"/>
          <w:b w:val="0"/>
          <w:color w:val="000000"/>
          <w:sz w:val="20"/>
          <w:lang w:val="hy-AM" w:eastAsia="en-US"/>
        </w:rPr>
        <w:softHyphen/>
        <w:t>բերի 31-ն ընկած ժամանակահատվածում ներմուծվող կամ ձեռք բեր</w:t>
      </w:r>
      <w:r w:rsidRPr="004E12E8">
        <w:rPr>
          <w:rFonts w:eastAsia="Calibri"/>
          <w:b w:val="0"/>
          <w:color w:val="000000"/>
          <w:sz w:val="20"/>
          <w:lang w:val="hy-AM" w:eastAsia="en-US"/>
        </w:rPr>
        <w:softHyphen/>
        <w:t>վող (կառուցվող, մշակ</w:t>
      </w:r>
      <w:r w:rsidRPr="004E12E8">
        <w:rPr>
          <w:rFonts w:eastAsia="Calibri"/>
          <w:b w:val="0"/>
          <w:color w:val="000000"/>
          <w:sz w:val="20"/>
          <w:lang w:val="hy-AM" w:eastAsia="en-US"/>
        </w:rPr>
        <w:softHyphen/>
        <w:t>վող) հիմնական միջոցների ամորտիզացիոն նվազագույն ժամկետը սահ</w:t>
      </w:r>
      <w:r w:rsidRPr="004E12E8">
        <w:rPr>
          <w:rFonts w:eastAsia="Calibri"/>
          <w:b w:val="0"/>
          <w:color w:val="000000"/>
          <w:sz w:val="20"/>
          <w:lang w:val="hy-AM" w:eastAsia="en-US"/>
        </w:rPr>
        <w:softHyphen/>
        <w:t>մանվում է տնտեսավարող սուբյեկտի հայե</w:t>
      </w:r>
      <w:r w:rsidRPr="004E12E8">
        <w:rPr>
          <w:rFonts w:eastAsia="Calibri"/>
          <w:b w:val="0"/>
          <w:color w:val="000000"/>
          <w:sz w:val="20"/>
          <w:lang w:val="hy-AM" w:eastAsia="en-US"/>
        </w:rPr>
        <w:softHyphen/>
        <w:t>ցո</w:t>
      </w:r>
      <w:r w:rsidRPr="004E12E8">
        <w:rPr>
          <w:rFonts w:eastAsia="Calibri"/>
          <w:b w:val="0"/>
          <w:color w:val="000000"/>
          <w:sz w:val="20"/>
          <w:lang w:val="hy-AM" w:eastAsia="en-US"/>
        </w:rPr>
        <w:softHyphen/>
        <w:t>ղությամբ, բայց ոչ պակաս, քան մեկ տարի:</w:t>
      </w:r>
    </w:p>
    <w:p w:rsidR="00D1025D" w:rsidRPr="004E12E8" w:rsidRDefault="00D1025D" w:rsidP="007730AA">
      <w:pPr>
        <w:pBdr>
          <w:top w:val="single" w:sz="4" w:space="1" w:color="auto"/>
          <w:left w:val="single" w:sz="4" w:space="4" w:color="auto"/>
          <w:bottom w:val="single" w:sz="4" w:space="1" w:color="auto"/>
          <w:right w:val="single" w:sz="4" w:space="4" w:color="auto"/>
        </w:pBdr>
        <w:shd w:val="clear" w:color="auto" w:fill="D9E2F3"/>
        <w:spacing w:before="0" w:line="240" w:lineRule="auto"/>
        <w:ind w:firstLine="0"/>
        <w:contextualSpacing w:val="0"/>
        <w:rPr>
          <w:rFonts w:eastAsia="Calibri"/>
          <w:b w:val="0"/>
          <w:sz w:val="20"/>
          <w:lang w:val="hy-AM" w:eastAsia="en-US"/>
        </w:rPr>
      </w:pPr>
    </w:p>
    <w:p w:rsidR="00D1025D" w:rsidRPr="00A35F45" w:rsidRDefault="00D1025D" w:rsidP="007730AA">
      <w:pPr>
        <w:spacing w:before="0"/>
        <w:rPr>
          <w:lang w:val="hy-AM"/>
        </w:rPr>
      </w:pPr>
    </w:p>
    <w:p w:rsidR="00D1025D" w:rsidRPr="004E12E8" w:rsidRDefault="00D1025D" w:rsidP="007730AA">
      <w:pPr>
        <w:keepNext/>
        <w:keepLines/>
        <w:spacing w:before="0" w:line="312" w:lineRule="auto"/>
        <w:contextualSpacing w:val="0"/>
        <w:jc w:val="left"/>
        <w:outlineLvl w:val="2"/>
        <w:rPr>
          <w:sz w:val="28"/>
          <w:szCs w:val="28"/>
          <w:lang w:val="hy-AM" w:eastAsia="en-US"/>
        </w:rPr>
      </w:pPr>
      <w:bookmarkStart w:id="136" w:name="_Toc45838526"/>
      <w:bookmarkStart w:id="137" w:name="_Toc46154354"/>
      <w:bookmarkStart w:id="138" w:name="_Toc52452094"/>
      <w:bookmarkStart w:id="139" w:name="_Toc52188795"/>
      <w:bookmarkStart w:id="140" w:name="_Toc57655455"/>
      <w:r>
        <w:rPr>
          <w:sz w:val="28"/>
          <w:szCs w:val="28"/>
          <w:lang w:val="hy-AM" w:eastAsia="en-US"/>
        </w:rPr>
        <w:t>2</w:t>
      </w:r>
      <w:r w:rsidRPr="004C6A24">
        <w:rPr>
          <w:sz w:val="28"/>
          <w:szCs w:val="28"/>
          <w:lang w:val="hy-AM" w:eastAsia="en-US"/>
        </w:rPr>
        <w:t>.</w:t>
      </w:r>
      <w:r>
        <w:rPr>
          <w:sz w:val="28"/>
          <w:szCs w:val="28"/>
          <w:lang w:val="hy-AM" w:eastAsia="en-US"/>
        </w:rPr>
        <w:t>3</w:t>
      </w:r>
      <w:r w:rsidRPr="004C6A24">
        <w:rPr>
          <w:sz w:val="28"/>
          <w:szCs w:val="28"/>
          <w:lang w:val="hy-AM" w:eastAsia="en-US"/>
        </w:rPr>
        <w:t>.</w:t>
      </w:r>
      <w:r>
        <w:rPr>
          <w:sz w:val="28"/>
          <w:szCs w:val="28"/>
          <w:lang w:val="hy-AM" w:eastAsia="en-US"/>
        </w:rPr>
        <w:t xml:space="preserve"> </w:t>
      </w:r>
      <w:r w:rsidRPr="004E12E8">
        <w:rPr>
          <w:sz w:val="28"/>
          <w:szCs w:val="28"/>
          <w:lang w:val="hy-AM" w:eastAsia="en-US"/>
        </w:rPr>
        <w:t>ՀԱՐԿԱԲՅՈՒՋԵՏԱՅԻՆ ՌԻՍԿԵՐ</w:t>
      </w:r>
      <w:bookmarkEnd w:id="136"/>
      <w:bookmarkEnd w:id="137"/>
      <w:bookmarkEnd w:id="138"/>
      <w:bookmarkEnd w:id="139"/>
      <w:bookmarkEnd w:id="140"/>
    </w:p>
    <w:p w:rsidR="00D1025D" w:rsidRPr="004E12E8" w:rsidRDefault="00D1025D" w:rsidP="002026A8">
      <w:pPr>
        <w:spacing w:before="0" w:after="120" w:line="276" w:lineRule="auto"/>
        <w:ind w:firstLine="709"/>
        <w:contextualSpacing w:val="0"/>
        <w:rPr>
          <w:rFonts w:eastAsia="Calibri"/>
          <w:b w:val="0"/>
          <w:szCs w:val="22"/>
          <w:lang w:val="hy-AM" w:eastAsia="en-US"/>
        </w:rPr>
      </w:pPr>
      <w:r w:rsidRPr="004E12E8">
        <w:rPr>
          <w:rFonts w:eastAsia="Calibri"/>
          <w:b w:val="0"/>
          <w:szCs w:val="22"/>
          <w:lang w:val="hy-AM" w:eastAsia="en-US"/>
        </w:rPr>
        <w:t>Հարկաբյուջետային կանխատեսումները հիմնված են մի շարք ենթադրությունների և հիմնական դատողությունների վրա,  որոնց համար օգտագործվել է տվյալ պահի դրությամբ առկա և հասանելի ամբողջ տեղեկատվությունը</w:t>
      </w:r>
      <w:r w:rsidRPr="004E12E8">
        <w:rPr>
          <w:rFonts w:eastAsia="Calibri"/>
          <w:b w:val="0"/>
          <w:szCs w:val="22"/>
          <w:vertAlign w:val="superscript"/>
          <w:lang w:val="hy-AM" w:eastAsia="en-US"/>
        </w:rPr>
        <w:footnoteReference w:id="27"/>
      </w:r>
      <w:r w:rsidRPr="004E12E8">
        <w:rPr>
          <w:rFonts w:eastAsia="Calibri"/>
          <w:b w:val="0"/>
          <w:szCs w:val="22"/>
          <w:lang w:val="hy-AM" w:eastAsia="en-US"/>
        </w:rPr>
        <w:t>: Ինչպես ցանկացած կանխատեսում, հարկաբյուջետային կանխատեսումները նույնպես պարունակում են ռիսկեր առ այն, որ փաստացի իրադարձությունները կարող են տարբերվել սպասումներից: 2021 թվականի պետական բյուջեի հիմքում ընկած հիմնական մակրոտնտեսական հարկաբյուջետային ռիսկերը հետևյալն են՝</w:t>
      </w:r>
    </w:p>
    <w:p w:rsidR="00D1025D" w:rsidRPr="004E12E8" w:rsidRDefault="00EE3383" w:rsidP="002026A8">
      <w:pPr>
        <w:numPr>
          <w:ilvl w:val="0"/>
          <w:numId w:val="72"/>
        </w:numPr>
        <w:spacing w:before="0" w:after="120" w:line="276" w:lineRule="auto"/>
        <w:ind w:left="0" w:firstLine="709"/>
        <w:contextualSpacing w:val="0"/>
        <w:rPr>
          <w:b w:val="0"/>
          <w:szCs w:val="22"/>
          <w:lang w:val="hy-AM" w:eastAsia="en-US"/>
        </w:rPr>
      </w:pPr>
      <w:r w:rsidRPr="00EE3383">
        <w:rPr>
          <w:bCs/>
          <w:szCs w:val="22"/>
          <w:lang w:val="hy-AM" w:eastAsia="en-US"/>
        </w:rPr>
        <w:t xml:space="preserve"> </w:t>
      </w:r>
      <w:r w:rsidR="00D1025D" w:rsidRPr="004E12E8">
        <w:rPr>
          <w:bCs/>
          <w:szCs w:val="22"/>
          <w:lang w:val="hy-AM" w:eastAsia="en-US"/>
        </w:rPr>
        <w:t>COVID-19 համավարակի անորոշություններ։</w:t>
      </w:r>
      <w:r w:rsidR="00D1025D" w:rsidRPr="004E12E8">
        <w:rPr>
          <w:b w:val="0"/>
          <w:szCs w:val="22"/>
          <w:lang w:val="hy-AM" w:eastAsia="en-US"/>
        </w:rPr>
        <w:t xml:space="preserve"> Կորոնավիրուսի տարածման և տևողության անորոշությունների հետևանքով տնտեսական աճի ռիսկերը գնահատվում են առավելապես դեպի ներքև, որը պայմանավորված է ճգնաժամից տնտեսության վերականգնման անորոշությունների՝ ավելի ուշ դուրս գալու ռիսկերով: Տնտեսական բացասական ռիսկերի ի հայտ գալու պարագայում հարկային եկամուտները պետական բյուջեի հարկաբյուջետային շրջանակից ավելի ցածր կլինեն: Այս պարագայում 2021 թվականին տնտեսության ավելի դանդաղ վերականգնման պայմաններում ծախսային ծրագրերով ընթացիկ ծախսերի նվազման հնարավորություններ առկա չեն: </w:t>
      </w:r>
    </w:p>
    <w:p w:rsidR="00D1025D" w:rsidRPr="004E12E8" w:rsidRDefault="00EE3383" w:rsidP="002026A8">
      <w:pPr>
        <w:numPr>
          <w:ilvl w:val="0"/>
          <w:numId w:val="72"/>
        </w:numPr>
        <w:spacing w:before="0" w:after="120" w:line="276" w:lineRule="auto"/>
        <w:ind w:left="0" w:firstLine="709"/>
        <w:contextualSpacing w:val="0"/>
        <w:rPr>
          <w:b w:val="0"/>
          <w:szCs w:val="22"/>
          <w:lang w:val="hy-AM" w:eastAsia="en-US"/>
        </w:rPr>
      </w:pPr>
      <w:r w:rsidRPr="00EE3383">
        <w:rPr>
          <w:bCs/>
          <w:szCs w:val="22"/>
          <w:lang w:val="hy-AM" w:eastAsia="en-US"/>
        </w:rPr>
        <w:t xml:space="preserve"> </w:t>
      </w:r>
      <w:r w:rsidR="00D1025D" w:rsidRPr="004E12E8">
        <w:rPr>
          <w:bCs/>
          <w:szCs w:val="22"/>
          <w:lang w:val="hy-AM" w:eastAsia="en-US"/>
        </w:rPr>
        <w:t xml:space="preserve">ՀՀ կառավարության հակաճգնաժամային և տնտեսության հետագա վերականգնմանն ուղղված միջոցառումների ընթացք։ </w:t>
      </w:r>
      <w:r w:rsidR="00D1025D" w:rsidRPr="004E12E8">
        <w:rPr>
          <w:b w:val="0"/>
          <w:szCs w:val="22"/>
          <w:lang w:val="hy-AM" w:eastAsia="en-US"/>
        </w:rPr>
        <w:t>ՀՀ կառավարության կողմից իրականացվող COVID 19-ի հետևանքների չեզոքացման և տնտեսական վերականգնման միջոցառումների դրական ազդեցությունները տնտեսության վրա կարող են լինել սպասվածից ավելի փոքր՝ չնպաստելով պետական բյուջեի սպասվող ցուցանիշների արձագանքմանը: Վերջինս կապված է նաև ծրագրերի իրականացման ժամկետների անորոշությամբ, հատկապես մասնավոր ներդրումների խթանման ուղղված ծրագրի մասով, քանի որ այդ փաթեթի գծով փաստացի ծախսերը դեռևս բավականին փոքր են և դրանք 2020թ. ընթացքում ամբողջ ծավալով իրականացման ռիսկեր կան (չնայած բյուջեի կանխատեսումների հիմքում ընկած է այս տարի դրա ամբողջական օգտագործման ենթադրությունը): Բացի այդ, տնտեսության աջակցության միջոցառումներում հնարավոր է նախատեսվեն աջակցության նոր ծրագրեր, որոնց արդյունքում հարկաբյուջետային շրջանակի ցուցանիշները վերանայման կարիք կունենան:</w:t>
      </w:r>
    </w:p>
    <w:p w:rsidR="00D1025D" w:rsidRPr="004E12E8" w:rsidRDefault="00EE3383" w:rsidP="002026A8">
      <w:pPr>
        <w:numPr>
          <w:ilvl w:val="0"/>
          <w:numId w:val="72"/>
        </w:numPr>
        <w:spacing w:before="0" w:after="120" w:line="276" w:lineRule="auto"/>
        <w:ind w:left="0" w:firstLine="709"/>
        <w:contextualSpacing w:val="0"/>
        <w:rPr>
          <w:b w:val="0"/>
          <w:szCs w:val="22"/>
          <w:lang w:val="hy-AM" w:eastAsia="en-US"/>
        </w:rPr>
      </w:pPr>
      <w:r w:rsidRPr="00EE3383">
        <w:rPr>
          <w:bCs/>
          <w:szCs w:val="22"/>
          <w:lang w:val="hy-AM" w:eastAsia="en-US"/>
        </w:rPr>
        <w:t xml:space="preserve"> </w:t>
      </w:r>
      <w:r w:rsidR="00D1025D" w:rsidRPr="004E12E8">
        <w:rPr>
          <w:bCs/>
          <w:szCs w:val="22"/>
          <w:lang w:val="hy-AM" w:eastAsia="en-US"/>
        </w:rPr>
        <w:t>Հարկաբյուջետային շրջանակի հնարավոր փոփոխությունները մակրոտնտեսական կանխատեսումների շեղումների դեպքում և սթրես թեստերի ներքո</w:t>
      </w:r>
      <w:r w:rsidR="00D1025D" w:rsidRPr="004E12E8">
        <w:rPr>
          <w:b w:val="0"/>
          <w:szCs w:val="22"/>
          <w:vertAlign w:val="superscript"/>
          <w:lang w:val="hy-AM" w:eastAsia="en-US"/>
        </w:rPr>
        <w:footnoteReference w:id="28"/>
      </w:r>
      <w:r w:rsidR="00D1025D" w:rsidRPr="004E12E8">
        <w:rPr>
          <w:bCs/>
          <w:szCs w:val="22"/>
          <w:lang w:val="hy-AM" w:eastAsia="en-US"/>
        </w:rPr>
        <w:t>.</w:t>
      </w:r>
    </w:p>
    <w:p w:rsidR="00D1025D" w:rsidRPr="004E12E8" w:rsidRDefault="00D1025D" w:rsidP="002026A8">
      <w:pPr>
        <w:numPr>
          <w:ilvl w:val="1"/>
          <w:numId w:val="72"/>
        </w:numPr>
        <w:spacing w:before="0" w:after="120" w:line="276" w:lineRule="auto"/>
        <w:ind w:left="709" w:hanging="425"/>
        <w:contextualSpacing w:val="0"/>
        <w:rPr>
          <w:rFonts w:eastAsia="Calibri"/>
          <w:b w:val="0"/>
          <w:szCs w:val="22"/>
          <w:lang w:val="hy-AM" w:eastAsia="en-US"/>
        </w:rPr>
      </w:pPr>
      <w:r w:rsidRPr="004E12E8">
        <w:rPr>
          <w:bCs/>
          <w:szCs w:val="22"/>
          <w:lang w:val="hy-AM" w:eastAsia="en-US"/>
        </w:rPr>
        <w:t xml:space="preserve">Հարկային եկամուտներ: </w:t>
      </w:r>
      <w:r w:rsidRPr="004E12E8">
        <w:rPr>
          <w:b w:val="0"/>
          <w:szCs w:val="22"/>
          <w:lang w:val="hy-AM" w:eastAsia="en-US"/>
        </w:rPr>
        <w:t>2021 թվականի ՀՀ պետական բյուջեի հարկային եկամուտների վրա գնահատված է մակրոտնտեսական ցուցանիշների՝ իրական ՀՆԱ-ի աճի, գնաճի, փոխարժեքի տատանողականության և ներմուծման ռիսկերի շեղման ամփոփ գնահատականը: Հարկային եկամուտների վրա ազդող վերոնշյալ ռիսկերի միաժամանակյա ի հայտ գալու պարագայում հարկային եկամուտների ծրագրված մակա</w:t>
      </w:r>
      <w:r>
        <w:rPr>
          <w:b w:val="0"/>
          <w:szCs w:val="22"/>
          <w:lang w:val="hy-AM" w:eastAsia="en-US"/>
        </w:rPr>
        <w:t>րդակից շեղումը կկազմի շուրջ 18.</w:t>
      </w:r>
      <w:r w:rsidRPr="00DE1367">
        <w:rPr>
          <w:b w:val="0"/>
          <w:szCs w:val="22"/>
          <w:lang w:val="hy-AM" w:eastAsia="en-US"/>
        </w:rPr>
        <w:t>8</w:t>
      </w:r>
      <w:r w:rsidRPr="004E12E8">
        <w:rPr>
          <w:b w:val="0"/>
          <w:szCs w:val="22"/>
          <w:lang w:val="hy-AM" w:eastAsia="en-US"/>
        </w:rPr>
        <w:t xml:space="preserve"> մլրդ ՀՀ դրամ:</w:t>
      </w:r>
    </w:p>
    <w:p w:rsidR="00D1025D" w:rsidRPr="00B111F2" w:rsidRDefault="00D1025D" w:rsidP="002026A8">
      <w:pPr>
        <w:numPr>
          <w:ilvl w:val="1"/>
          <w:numId w:val="72"/>
        </w:numPr>
        <w:spacing w:before="0" w:after="120" w:line="276" w:lineRule="auto"/>
        <w:ind w:left="709" w:hanging="425"/>
        <w:contextualSpacing w:val="0"/>
        <w:rPr>
          <w:b w:val="0"/>
          <w:szCs w:val="22"/>
          <w:lang w:val="hy-AM" w:eastAsia="en-US"/>
        </w:rPr>
      </w:pPr>
      <w:r w:rsidRPr="00B111F2">
        <w:rPr>
          <w:rFonts w:cs="Sylfaen"/>
          <w:szCs w:val="22"/>
          <w:lang w:val="hy-AM" w:eastAsia="en-US"/>
        </w:rPr>
        <w:t>Պետական բյուջեի դրամաշնորհներ:</w:t>
      </w:r>
      <w:r w:rsidRPr="00B111F2">
        <w:rPr>
          <w:rFonts w:cs="Sylfaen"/>
          <w:b w:val="0"/>
          <w:szCs w:val="22"/>
          <w:lang w:val="hy-AM" w:eastAsia="en-US"/>
        </w:rPr>
        <w:t xml:space="preserve"> 2020-2021թթ. սպասվում է շուրջ </w:t>
      </w:r>
      <w:r w:rsidRPr="00B111F2">
        <w:rPr>
          <w:b w:val="0"/>
          <w:lang w:val="hy-AM"/>
        </w:rPr>
        <w:t>68 մլն Եվրոի չափով ԵՄ բյուջետային աջակցության դրամաշնորհի ստա</w:t>
      </w:r>
      <w:r w:rsidRPr="00B111F2">
        <w:rPr>
          <w:rFonts w:cs="Sylfaen"/>
          <w:b w:val="0"/>
          <w:szCs w:val="22"/>
          <w:lang w:val="hy-AM" w:eastAsia="en-US"/>
        </w:rPr>
        <w:t>ցում, որի մի մասը կարող է ստացվել 2020, իսկ մյուս մասը 2021 թվականին: Սակայն, վերջինս պարունակում է անորոշությունություններ, այդ իսկ պատճառով ներառված չէ հիմնական սցենարի կանխատեսումներում: Դրամաշնորհի ստացումը հանդիսանում է դրական ռիսկ, և դրա ստացման պարագայում փոփոխություններ կառաջանան ինչպես բյուջեի եկամուտների, այնպես էլ պակասուրդի և պարտքի ցուցանիշներում:</w:t>
      </w:r>
    </w:p>
    <w:p w:rsidR="00D1025D" w:rsidRPr="004E12E8" w:rsidRDefault="00D1025D" w:rsidP="002026A8">
      <w:pPr>
        <w:numPr>
          <w:ilvl w:val="1"/>
          <w:numId w:val="72"/>
        </w:numPr>
        <w:spacing w:before="0" w:after="120" w:line="276" w:lineRule="auto"/>
        <w:ind w:left="709" w:hanging="425"/>
        <w:contextualSpacing w:val="0"/>
        <w:rPr>
          <w:b w:val="0"/>
          <w:szCs w:val="22"/>
          <w:lang w:val="hy-AM" w:eastAsia="en-US"/>
        </w:rPr>
      </w:pPr>
      <w:r w:rsidRPr="004E12E8">
        <w:rPr>
          <w:bCs/>
          <w:szCs w:val="22"/>
          <w:lang w:val="hy-AM" w:eastAsia="en-US"/>
        </w:rPr>
        <w:t>Պետական բյուջեի ծախսեր</w:t>
      </w:r>
      <w:r w:rsidRPr="004E12E8">
        <w:rPr>
          <w:b w:val="0"/>
          <w:szCs w:val="22"/>
          <w:lang w:val="hy-AM" w:eastAsia="en-US"/>
        </w:rPr>
        <w:t>: 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 ՀՀ պետական բյուջեի ծախսերի վրա գնահատված է մակրոտնտեսական ցուցանիշների՝ իրական ՀՆԱ-ի աճի, գնաճի, փոխարժեքի տատանողականության և ներմուծման ռիսկերի շեղման ամփոփ գնահատականը, որոնց միաժամանակյա ի հայտ գալու պարագայում 2021թվականին ՀՀ պետական բյուջեի դեֆիցիտի լրացուցիչ ֆինանսավորման պահանջը կկազմի շուրջ 1</w:t>
      </w:r>
      <w:r w:rsidRPr="00240543">
        <w:rPr>
          <w:b w:val="0"/>
          <w:szCs w:val="22"/>
          <w:lang w:val="hy-AM" w:eastAsia="en-US"/>
        </w:rPr>
        <w:t>4</w:t>
      </w:r>
      <w:r w:rsidRPr="004E12E8">
        <w:rPr>
          <w:b w:val="0"/>
          <w:szCs w:val="22"/>
          <w:lang w:val="hy-AM" w:eastAsia="en-US"/>
        </w:rPr>
        <w:t>.0 մլրդ ՀՀ դրամ կամ ՀՆԱ-ի 0.2%-ը: Ընդ որում` ՀՀ կառա</w:t>
      </w:r>
      <w:r w:rsidRPr="004E12E8">
        <w:rPr>
          <w:b w:val="0"/>
          <w:szCs w:val="22"/>
          <w:lang w:val="hy-AM" w:eastAsia="en-US"/>
        </w:rPr>
        <w:softHyphen/>
        <w:t>վարու</w:t>
      </w:r>
      <w:r w:rsidRPr="004E12E8">
        <w:rPr>
          <w:b w:val="0"/>
          <w:szCs w:val="22"/>
          <w:lang w:val="hy-AM" w:eastAsia="en-US"/>
        </w:rPr>
        <w:softHyphen/>
        <w:t>թյան տնտեսական քաղաքականության հիմնական նպատակադրումը լինելու է սոցիալական բնույթի ծախսերի կրճատման բացառումը, իսկ հնարավորության դեպքում` բյուջեի ծախսերի ամբողջական իրականացումը:</w:t>
      </w:r>
    </w:p>
    <w:p w:rsidR="002958DC" w:rsidRPr="00A1115D" w:rsidRDefault="00D1025D" w:rsidP="002026A8">
      <w:pPr>
        <w:spacing w:before="0" w:after="120" w:line="276" w:lineRule="auto"/>
        <w:ind w:firstLine="709"/>
        <w:contextualSpacing w:val="0"/>
        <w:rPr>
          <w:rFonts w:eastAsia="Calibri" w:cs="Sylfaen"/>
          <w:b w:val="0"/>
          <w:szCs w:val="22"/>
          <w:lang w:val="hy-AM" w:eastAsia="en-US"/>
        </w:rPr>
      </w:pPr>
      <w:r w:rsidRPr="004E12E8">
        <w:rPr>
          <w:rFonts w:eastAsia="Calibri" w:cs="Sylfaen"/>
          <w:b w:val="0"/>
          <w:szCs w:val="22"/>
          <w:lang w:val="hy-AM" w:eastAsia="en-US"/>
        </w:rPr>
        <w:t>Ամփոփելով հարկաբյուջետային ռիսկերի նկարագրությունը կարող ենք նշել, որ ճգնաժամային իրավիճակով պայմանավորված դրանք առավելապես ուղղված են դեպի ներքև: Առկա են անորոշություններ ինչպես ճգնաժամի տևողության հետ կապված, այնպես էլ հարկաբյուջետային արձագանքի չափի և ժամկետների, ինչպես նաև վերջիններիս արդյունավետության գծով: Նշված ռիսկերի ի հայտ գալու կամ անորոշությունների վերաբերյալ նոր տեղեկատվության առկայության պայմաններում, առաջիկա տարվա հարկաբյուջետային շրջանակը վերանայման կարիք կունենա։</w:t>
      </w:r>
    </w:p>
    <w:p w:rsidR="00D1025D" w:rsidRPr="004E12E8" w:rsidRDefault="00D1025D" w:rsidP="007730AA">
      <w:pPr>
        <w:keepNext/>
        <w:keepLines/>
        <w:spacing w:before="0" w:line="312" w:lineRule="auto"/>
        <w:contextualSpacing w:val="0"/>
        <w:jc w:val="left"/>
        <w:outlineLvl w:val="2"/>
        <w:rPr>
          <w:sz w:val="28"/>
          <w:szCs w:val="28"/>
          <w:lang w:val="hy-AM" w:eastAsia="en-US"/>
        </w:rPr>
      </w:pPr>
      <w:bookmarkStart w:id="141" w:name="_Toc57655456"/>
      <w:r>
        <w:rPr>
          <w:sz w:val="28"/>
          <w:szCs w:val="28"/>
          <w:lang w:val="hy-AM" w:eastAsia="en-US"/>
        </w:rPr>
        <w:t>2.4</w:t>
      </w:r>
      <w:r w:rsidRPr="004E12E8">
        <w:rPr>
          <w:sz w:val="28"/>
          <w:szCs w:val="28"/>
          <w:lang w:val="hy-AM" w:eastAsia="en-US"/>
        </w:rPr>
        <w:t>. ՀԱՐԿԱԲՅՈՒՋԵՏԱՅԻՆ ՔԱՂԱՔԱԿԱՆՈՒԹՅԱՆ ՀԱՄԱՊԱՏԱՍԽԱՆՈՒԹՅՈՒՆԸ ՀԱՐԿԱԲՅՈՒՋԵՏԱՅԻՆ ԿԱՆՈՆՆԵՐԻՆ</w:t>
      </w:r>
      <w:bookmarkEnd w:id="141"/>
    </w:p>
    <w:p w:rsidR="00D1025D" w:rsidRPr="004E12E8" w:rsidRDefault="00D1025D" w:rsidP="002026A8">
      <w:pPr>
        <w:spacing w:before="0" w:after="120" w:line="276" w:lineRule="auto"/>
        <w:ind w:firstLine="720"/>
        <w:contextualSpacing w:val="0"/>
        <w:rPr>
          <w:b w:val="0"/>
          <w:szCs w:val="22"/>
          <w:lang w:val="hy-AM" w:eastAsia="en-US"/>
        </w:rPr>
      </w:pPr>
      <w:r w:rsidRPr="004E12E8">
        <w:rPr>
          <w:rFonts w:eastAsia="Calibri"/>
          <w:b w:val="0"/>
          <w:szCs w:val="22"/>
          <w:lang w:val="hy-AM" w:eastAsia="en-US"/>
        </w:rPr>
        <w:t>ՀՀ հարկաբյուջետային կանոնների ներկա համակարգը գործարկվել է ՀՀ Ազգային ժողովի կողմից 2017 թվականի դեկտեմբերի 20-ին ՀՀ բյուջետային համակարգի մասին և Պետական պա</w:t>
      </w:r>
      <w:r>
        <w:rPr>
          <w:rFonts w:eastAsia="Calibri"/>
          <w:b w:val="0"/>
          <w:szCs w:val="22"/>
          <w:lang w:val="hy-AM" w:eastAsia="en-US"/>
        </w:rPr>
        <w:t>ր</w:t>
      </w:r>
      <w:r w:rsidRPr="004E12E8">
        <w:rPr>
          <w:rFonts w:eastAsia="Calibri"/>
          <w:b w:val="0"/>
          <w:szCs w:val="22"/>
          <w:lang w:val="hy-AM" w:eastAsia="en-US"/>
        </w:rPr>
        <w:t>տքի մասին ՀՀ օրենքներում փոփոխություններ և լրացումն</w:t>
      </w:r>
      <w:r w:rsidRPr="004E12E8">
        <w:rPr>
          <w:rFonts w:eastAsia="Calibri"/>
          <w:b w:val="0"/>
          <w:szCs w:val="22"/>
          <w:lang w:val="hy-AM" w:eastAsia="en-US"/>
        </w:rPr>
        <w:softHyphen/>
        <w:t>եր կատարող օրենքների, ինչպես նաև են ՀՀ Կառավարության՝ 2018 թվականի օգոստոսի 23-ի N 942-Ն որոշման ընդունմամբ: Կանոնների համակարգը ներառում է ծախսային կանոններ, որոնք ուժի մեջ են մտնում պարտքի սահմանված շեմերը գերազանցելիս։ Մասնավորապես</w:t>
      </w:r>
      <w:r w:rsidRPr="004E12E8">
        <w:rPr>
          <w:rFonts w:ascii="Cambria Math" w:eastAsia="Calibri" w:hAnsi="Cambria Math" w:cs="Cambria Math"/>
          <w:b w:val="0"/>
          <w:szCs w:val="22"/>
          <w:lang w:val="hy-AM" w:eastAsia="en-US"/>
        </w:rPr>
        <w:t>․</w:t>
      </w:r>
    </w:p>
    <w:p w:rsidR="00D1025D" w:rsidRPr="004E12E8" w:rsidRDefault="00D1025D" w:rsidP="002026A8">
      <w:pPr>
        <w:numPr>
          <w:ilvl w:val="0"/>
          <w:numId w:val="73"/>
        </w:numPr>
        <w:spacing w:before="0" w:after="120" w:line="276" w:lineRule="auto"/>
        <w:ind w:left="709" w:hanging="283"/>
        <w:contextualSpacing w:val="0"/>
        <w:rPr>
          <w:b w:val="0"/>
          <w:szCs w:val="22"/>
          <w:lang w:val="hy-AM" w:eastAsia="en-US"/>
        </w:rPr>
      </w:pPr>
      <w:bookmarkStart w:id="142" w:name="_Hlk51661740"/>
      <w:r w:rsidRPr="004E12E8">
        <w:rPr>
          <w:b w:val="0"/>
          <w:szCs w:val="22"/>
          <w:lang w:val="hy-AM" w:eastAsia="en-US"/>
        </w:rPr>
        <w:t>Երբ կառավարության պարտք/ՀՆԱ հարաբերակցությունը գերազանցում է 40%-ը, պետական բյուջեի կապիտալ ծախսերը չպետք է փոքր լինեն բյուջեի պակասուրդից:</w:t>
      </w:r>
    </w:p>
    <w:bookmarkEnd w:id="142"/>
    <w:p w:rsidR="00D1025D" w:rsidRPr="004E12E8" w:rsidRDefault="00D1025D" w:rsidP="002026A8">
      <w:pPr>
        <w:numPr>
          <w:ilvl w:val="0"/>
          <w:numId w:val="73"/>
        </w:numPr>
        <w:spacing w:before="0" w:after="120" w:line="276" w:lineRule="auto"/>
        <w:ind w:left="709" w:hanging="283"/>
        <w:contextualSpacing w:val="0"/>
        <w:rPr>
          <w:b w:val="0"/>
          <w:szCs w:val="22"/>
          <w:lang w:val="hy-AM" w:eastAsia="en-US"/>
        </w:rPr>
      </w:pPr>
      <w:r w:rsidRPr="004E12E8">
        <w:rPr>
          <w:b w:val="0"/>
          <w:szCs w:val="22"/>
          <w:lang w:val="hy-AM" w:eastAsia="en-US"/>
        </w:rPr>
        <w:t>Կառավարության պարտք/ՀՆԱ հարաբերակցության՝ 50-60% միջակայքում գտնվելու դեպքում, ընթացիկ առաջնային ծախսերի աճի տեմպը սահմանափակվում է նախորդ 7 տարիների ՀՆԱ-ների միջին աճով, ինչպես նաև հաջորդ տարում կազմվող պետական միջնաժամկետ ծախսերի ծրագրում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rsidR="00D1025D" w:rsidRPr="004E12E8" w:rsidRDefault="00D1025D" w:rsidP="002026A8">
      <w:pPr>
        <w:numPr>
          <w:ilvl w:val="0"/>
          <w:numId w:val="73"/>
        </w:numPr>
        <w:spacing w:before="0" w:after="120" w:line="276" w:lineRule="auto"/>
        <w:ind w:left="709" w:hanging="283"/>
        <w:contextualSpacing w:val="0"/>
        <w:rPr>
          <w:b w:val="0"/>
          <w:szCs w:val="22"/>
          <w:lang w:val="hy-AM" w:eastAsia="en-US"/>
        </w:rPr>
      </w:pPr>
      <w:r w:rsidRPr="004E12E8">
        <w:rPr>
          <w:b w:val="0"/>
          <w:szCs w:val="22"/>
          <w:lang w:val="hy-AM" w:eastAsia="en-US"/>
        </w:rPr>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rsidR="00D1025D" w:rsidRPr="004E12E8" w:rsidRDefault="00D1025D" w:rsidP="002026A8">
      <w:pPr>
        <w:numPr>
          <w:ilvl w:val="0"/>
          <w:numId w:val="73"/>
        </w:numPr>
        <w:spacing w:before="0" w:after="120" w:line="276" w:lineRule="auto"/>
        <w:ind w:left="709" w:hanging="283"/>
        <w:contextualSpacing w:val="0"/>
        <w:rPr>
          <w:b w:val="0"/>
          <w:szCs w:val="22"/>
          <w:lang w:val="hy-AM" w:eastAsia="en-US"/>
        </w:rPr>
      </w:pPr>
      <w:r w:rsidRPr="004E12E8">
        <w:rPr>
          <w:b w:val="0"/>
          <w:szCs w:val="22"/>
          <w:lang w:val="hy-AM" w:eastAsia="en-US"/>
        </w:rPr>
        <w:t>Ներկայացված սահմանափակումները չեն գործում կառավարության որոշմամբ սահմանված բացառիկ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պարագայում:</w:t>
      </w:r>
    </w:p>
    <w:p w:rsidR="00D1025D" w:rsidRPr="004E12E8" w:rsidRDefault="00D1025D" w:rsidP="002026A8">
      <w:pPr>
        <w:spacing w:before="0" w:after="120" w:line="276" w:lineRule="auto"/>
        <w:ind w:firstLine="709"/>
        <w:contextualSpacing w:val="0"/>
        <w:rPr>
          <w:rFonts w:eastAsia="Calibri"/>
          <w:b w:val="0"/>
          <w:szCs w:val="22"/>
          <w:lang w:val="hy-AM" w:eastAsia="en-US"/>
        </w:rPr>
      </w:pPr>
      <w:r w:rsidRPr="004E12E8">
        <w:rPr>
          <w:rFonts w:eastAsia="Calibri"/>
          <w:szCs w:val="22"/>
          <w:lang w:val="hy-AM" w:eastAsia="en-US"/>
        </w:rPr>
        <w:t>2019 թվականի պետական բյուջեի կատարումը համապատասխանել է հարկաբյուջետային կանոններով սահմանված չափանիշներին։</w:t>
      </w:r>
      <w:r w:rsidRPr="004E12E8">
        <w:rPr>
          <w:rFonts w:eastAsia="Calibri"/>
          <w:b w:val="0"/>
          <w:szCs w:val="22"/>
          <w:lang w:val="hy-AM" w:eastAsia="en-US"/>
        </w:rPr>
        <w:t xml:space="preserve"> Պետական բյուջեի ոչ ֆինանսական ակտիվների գծով ծախսերը (կապիտալ ծախսերը) գերազանցել են պետական բյուջեի պակասուրդի մեծությանը, իսկ ընթացիկ առաջնային ծախսերի աճի տեմպը ցածր է եղել անվանական ՀՆԱ աճի պատմական միտումների հիման վրա հաշվարկված ցուցանիշից։ Քանի որ կառավարության պարտք/ՀՆԱ ցուցանիշը ցածր է եղել 60% շեմից, պետական բյուջեի ընթացիկ ծախսերի ծավալի սահմանափակման դրույթը չի գործել։</w:t>
      </w:r>
    </w:p>
    <w:p w:rsidR="00D1025D" w:rsidRPr="004E12E8" w:rsidRDefault="00D1025D" w:rsidP="002026A8">
      <w:pPr>
        <w:keepNext/>
        <w:keepLines/>
        <w:spacing w:before="0" w:after="120" w:line="276" w:lineRule="auto"/>
        <w:ind w:firstLine="0"/>
        <w:contextualSpacing w:val="0"/>
        <w:rPr>
          <w:rFonts w:eastAsia="Calibri"/>
          <w:i/>
          <w:iCs/>
          <w:szCs w:val="22"/>
          <w:lang w:val="hy-AM" w:eastAsia="en-US"/>
        </w:rPr>
      </w:pPr>
      <w:r w:rsidRPr="004E12E8">
        <w:rPr>
          <w:rFonts w:eastAsia="Calibri"/>
          <w:i/>
          <w:iCs/>
          <w:szCs w:val="22"/>
          <w:lang w:val="hy-AM" w:eastAsia="en-US"/>
        </w:rPr>
        <w:t xml:space="preserve">Աղյուսակ </w:t>
      </w:r>
      <w:r w:rsidRPr="00E10C87">
        <w:rPr>
          <w:rFonts w:eastAsia="Calibri"/>
          <w:i/>
          <w:iCs/>
          <w:szCs w:val="22"/>
          <w:lang w:val="hy-AM" w:eastAsia="en-US"/>
        </w:rPr>
        <w:t>2</w:t>
      </w:r>
      <w:r w:rsidRPr="004E12E8">
        <w:rPr>
          <w:rFonts w:eastAsia="Calibri"/>
          <w:i/>
          <w:iCs/>
          <w:szCs w:val="22"/>
          <w:lang w:val="hy-AM" w:eastAsia="en-US"/>
        </w:rPr>
        <w:t>.</w:t>
      </w:r>
      <w:r w:rsidRPr="00E10C87">
        <w:rPr>
          <w:rFonts w:eastAsia="Calibri"/>
          <w:i/>
          <w:iCs/>
          <w:szCs w:val="22"/>
          <w:lang w:val="hy-AM" w:eastAsia="en-US"/>
        </w:rPr>
        <w:t>4</w:t>
      </w:r>
      <w:r>
        <w:rPr>
          <w:rFonts w:eastAsia="Calibri"/>
          <w:i/>
          <w:iCs/>
          <w:szCs w:val="22"/>
          <w:lang w:val="hy-AM" w:eastAsia="en-US"/>
        </w:rPr>
        <w:t>.</w:t>
      </w:r>
      <w:r w:rsidRPr="004E12E8">
        <w:rPr>
          <w:rFonts w:eastAsia="Calibri"/>
          <w:i/>
          <w:iCs/>
          <w:szCs w:val="22"/>
          <w:lang w:val="hy-AM" w:eastAsia="en-US"/>
        </w:rPr>
        <w:t xml:space="preserve"> </w:t>
      </w:r>
      <w:r w:rsidRPr="004E12E8">
        <w:rPr>
          <w:rFonts w:eastAsia="Calibri"/>
          <w:b w:val="0"/>
          <w:bCs/>
          <w:i/>
          <w:iCs/>
          <w:szCs w:val="22"/>
          <w:lang w:val="hy-AM" w:eastAsia="en-US"/>
        </w:rPr>
        <w:t>Փաստացի և ծրագրավորված հարկաբյուջետային քաղաքականության համապատասխանությունը հարկաբյուջետային կանոններին</w:t>
      </w:r>
    </w:p>
    <w:tbl>
      <w:tblPr>
        <w:tblW w:w="9360" w:type="dxa"/>
        <w:jc w:val="center"/>
        <w:tblBorders>
          <w:top w:val="single" w:sz="18" w:space="0" w:color="4F81BD"/>
          <w:left w:val="single" w:sz="18" w:space="0" w:color="4F81BD"/>
          <w:bottom w:val="single" w:sz="18" w:space="0" w:color="4F81BD"/>
          <w:right w:val="single" w:sz="18" w:space="0" w:color="4F81BD"/>
          <w:insideH w:val="single" w:sz="6" w:space="0" w:color="4F81BD"/>
          <w:insideV w:val="single" w:sz="6" w:space="0" w:color="4F81BD"/>
        </w:tblBorders>
        <w:tblLook w:val="04A0" w:firstRow="1" w:lastRow="0" w:firstColumn="1" w:lastColumn="0" w:noHBand="0" w:noVBand="1"/>
      </w:tblPr>
      <w:tblGrid>
        <w:gridCol w:w="1789"/>
        <w:gridCol w:w="1907"/>
        <w:gridCol w:w="952"/>
        <w:gridCol w:w="1056"/>
        <w:gridCol w:w="952"/>
        <w:gridCol w:w="867"/>
        <w:gridCol w:w="952"/>
        <w:gridCol w:w="885"/>
      </w:tblGrid>
      <w:tr w:rsidR="00D1025D" w:rsidRPr="00E10C87" w:rsidTr="009F0A25">
        <w:trPr>
          <w:trHeight w:val="466"/>
          <w:jc w:val="center"/>
        </w:trPr>
        <w:tc>
          <w:tcPr>
            <w:tcW w:w="1962" w:type="dxa"/>
            <w:vMerge w:val="restart"/>
            <w:tcBorders>
              <w:top w:val="single" w:sz="18" w:space="0" w:color="4F81BD"/>
              <w:bottom w:val="single" w:sz="6" w:space="0" w:color="4F81BD"/>
            </w:tcBorders>
            <w:shd w:val="clear" w:color="auto" w:fill="0070C0"/>
            <w:vAlign w:val="center"/>
            <w:hideMark/>
          </w:tcPr>
          <w:p w:rsidR="00D1025D" w:rsidRPr="004E12E8" w:rsidRDefault="00D1025D" w:rsidP="007730AA">
            <w:pPr>
              <w:spacing w:before="0" w:line="259" w:lineRule="auto"/>
              <w:ind w:firstLine="0"/>
              <w:contextualSpacing w:val="0"/>
              <w:rPr>
                <w:rFonts w:eastAsia="Calibri" w:cs="Arial"/>
                <w:bCs/>
                <w:color w:val="FFFFFF"/>
                <w:szCs w:val="22"/>
                <w:lang w:val="hy-AM" w:eastAsia="en-US"/>
              </w:rPr>
            </w:pPr>
            <w:r w:rsidRPr="004E12E8">
              <w:rPr>
                <w:rFonts w:eastAsia="Calibri" w:cs="Arial"/>
                <w:bCs/>
                <w:color w:val="FFFFFF"/>
                <w:szCs w:val="22"/>
                <w:lang w:val="hy-AM" w:eastAsia="en-US"/>
              </w:rPr>
              <w:t>Կանոնի ցուցանիշ</w:t>
            </w:r>
          </w:p>
        </w:tc>
        <w:tc>
          <w:tcPr>
            <w:tcW w:w="2126" w:type="dxa"/>
            <w:vMerge w:val="restart"/>
            <w:tcBorders>
              <w:top w:val="single" w:sz="18" w:space="0" w:color="4F81BD"/>
              <w:bottom w:val="single" w:sz="6" w:space="0" w:color="4F81BD"/>
            </w:tcBorders>
            <w:shd w:val="clear" w:color="auto" w:fill="0070C0"/>
            <w:vAlign w:val="center"/>
            <w:hideMark/>
          </w:tcPr>
          <w:p w:rsidR="00D1025D" w:rsidRPr="004E12E8" w:rsidRDefault="00D1025D" w:rsidP="007730AA">
            <w:pPr>
              <w:spacing w:before="0" w:line="259" w:lineRule="auto"/>
              <w:ind w:firstLine="0"/>
              <w:contextualSpacing w:val="0"/>
              <w:rPr>
                <w:rFonts w:cs="Arial"/>
                <w:bCs/>
                <w:color w:val="FFFFFF"/>
                <w:szCs w:val="22"/>
                <w:lang w:val="hy-AM" w:eastAsia="en-US"/>
              </w:rPr>
            </w:pPr>
            <w:r w:rsidRPr="004E12E8">
              <w:rPr>
                <w:rFonts w:eastAsia="Calibri" w:cs="Arial"/>
                <w:bCs/>
                <w:color w:val="FFFFFF"/>
                <w:szCs w:val="22"/>
                <w:lang w:val="hy-AM" w:eastAsia="en-US"/>
              </w:rPr>
              <w:t>Ուղենիշային ցուցանիշ</w:t>
            </w:r>
          </w:p>
        </w:tc>
        <w:tc>
          <w:tcPr>
            <w:tcW w:w="1814" w:type="dxa"/>
            <w:gridSpan w:val="2"/>
            <w:tcBorders>
              <w:top w:val="single" w:sz="18" w:space="0" w:color="4F81BD"/>
              <w:bottom w:val="single" w:sz="6" w:space="0" w:color="4F81BD"/>
            </w:tcBorders>
            <w:shd w:val="clear" w:color="auto" w:fill="0070C0"/>
            <w:noWrap/>
            <w:vAlign w:val="center"/>
            <w:hideMark/>
          </w:tcPr>
          <w:p w:rsidR="00D1025D" w:rsidRPr="004E12E8" w:rsidRDefault="00D1025D" w:rsidP="007730AA">
            <w:pPr>
              <w:spacing w:before="0" w:line="259" w:lineRule="auto"/>
              <w:ind w:firstLine="0"/>
              <w:contextualSpacing w:val="0"/>
              <w:jc w:val="center"/>
              <w:rPr>
                <w:rFonts w:cs="Arial"/>
                <w:color w:val="FFFFFF"/>
                <w:szCs w:val="22"/>
                <w:lang w:val="hy-AM" w:eastAsia="en-US"/>
              </w:rPr>
            </w:pPr>
            <w:r w:rsidRPr="004E12E8">
              <w:rPr>
                <w:rFonts w:eastAsia="Calibri" w:cs="Arial"/>
                <w:color w:val="FFFFFF"/>
                <w:szCs w:val="22"/>
                <w:lang w:val="hy-AM" w:eastAsia="en-US"/>
              </w:rPr>
              <w:t>2019</w:t>
            </w:r>
          </w:p>
        </w:tc>
        <w:tc>
          <w:tcPr>
            <w:tcW w:w="1722" w:type="dxa"/>
            <w:gridSpan w:val="2"/>
            <w:tcBorders>
              <w:top w:val="single" w:sz="18" w:space="0" w:color="4F81BD"/>
              <w:bottom w:val="single" w:sz="6" w:space="0" w:color="4F81BD"/>
            </w:tcBorders>
            <w:shd w:val="clear" w:color="auto" w:fill="0070C0"/>
            <w:noWrap/>
            <w:vAlign w:val="center"/>
            <w:hideMark/>
          </w:tcPr>
          <w:p w:rsidR="00D1025D" w:rsidRPr="004E12E8" w:rsidRDefault="00D1025D" w:rsidP="007730AA">
            <w:pPr>
              <w:spacing w:before="0" w:line="259" w:lineRule="auto"/>
              <w:ind w:firstLine="0"/>
              <w:contextualSpacing w:val="0"/>
              <w:jc w:val="center"/>
              <w:rPr>
                <w:rFonts w:cs="Arial"/>
                <w:color w:val="FFFFFF"/>
                <w:szCs w:val="22"/>
                <w:lang w:val="hy-AM" w:eastAsia="en-US"/>
              </w:rPr>
            </w:pPr>
            <w:r w:rsidRPr="004E12E8">
              <w:rPr>
                <w:rFonts w:eastAsia="Calibri" w:cs="Arial"/>
                <w:color w:val="FFFFFF"/>
                <w:szCs w:val="22"/>
                <w:lang w:val="hy-AM" w:eastAsia="en-US"/>
              </w:rPr>
              <w:t>2020</w:t>
            </w:r>
          </w:p>
        </w:tc>
        <w:tc>
          <w:tcPr>
            <w:tcW w:w="1736" w:type="dxa"/>
            <w:gridSpan w:val="2"/>
            <w:tcBorders>
              <w:top w:val="single" w:sz="18" w:space="0" w:color="4F81BD"/>
              <w:bottom w:val="single" w:sz="6" w:space="0" w:color="4F81BD"/>
            </w:tcBorders>
            <w:shd w:val="clear" w:color="auto" w:fill="0070C0"/>
            <w:noWrap/>
            <w:vAlign w:val="center"/>
            <w:hideMark/>
          </w:tcPr>
          <w:p w:rsidR="00D1025D" w:rsidRPr="004E12E8" w:rsidRDefault="00D1025D" w:rsidP="007730AA">
            <w:pPr>
              <w:spacing w:before="0" w:line="259" w:lineRule="auto"/>
              <w:ind w:firstLine="0"/>
              <w:contextualSpacing w:val="0"/>
              <w:jc w:val="center"/>
              <w:rPr>
                <w:rFonts w:cs="Arial"/>
                <w:color w:val="FFFFFF"/>
                <w:szCs w:val="22"/>
                <w:lang w:val="hy-AM" w:eastAsia="en-US"/>
              </w:rPr>
            </w:pPr>
            <w:r w:rsidRPr="004E12E8">
              <w:rPr>
                <w:rFonts w:eastAsia="Calibri" w:cs="Arial"/>
                <w:color w:val="FFFFFF"/>
                <w:szCs w:val="22"/>
                <w:lang w:val="hy-AM" w:eastAsia="en-US"/>
              </w:rPr>
              <w:t>2021</w:t>
            </w:r>
          </w:p>
        </w:tc>
      </w:tr>
      <w:tr w:rsidR="00D1025D" w:rsidRPr="00E10C87" w:rsidTr="009F0A25">
        <w:trPr>
          <w:cantSplit/>
          <w:trHeight w:val="1025"/>
          <w:jc w:val="center"/>
        </w:trPr>
        <w:tc>
          <w:tcPr>
            <w:tcW w:w="1962" w:type="dxa"/>
            <w:vMerge/>
            <w:tcBorders>
              <w:top w:val="single" w:sz="6" w:space="0" w:color="4F81BD"/>
              <w:bottom w:val="single" w:sz="6" w:space="0" w:color="4F81BD"/>
            </w:tcBorders>
            <w:shd w:val="clear" w:color="auto" w:fill="0070C0"/>
            <w:vAlign w:val="center"/>
            <w:hideMark/>
          </w:tcPr>
          <w:p w:rsidR="00D1025D" w:rsidRPr="004E12E8" w:rsidRDefault="00D1025D" w:rsidP="007730AA">
            <w:pPr>
              <w:spacing w:before="0" w:line="259" w:lineRule="auto"/>
              <w:ind w:firstLine="0"/>
              <w:contextualSpacing w:val="0"/>
              <w:rPr>
                <w:rFonts w:eastAsia="Calibri" w:cs="Arial"/>
                <w:bCs/>
                <w:color w:val="FFFFFF"/>
                <w:szCs w:val="22"/>
                <w:lang w:val="hy-AM" w:eastAsia="en-US"/>
              </w:rPr>
            </w:pPr>
          </w:p>
        </w:tc>
        <w:tc>
          <w:tcPr>
            <w:tcW w:w="2126" w:type="dxa"/>
            <w:vMerge/>
            <w:tcBorders>
              <w:top w:val="single" w:sz="6" w:space="0" w:color="4F81BD"/>
              <w:bottom w:val="single" w:sz="6" w:space="0" w:color="4F81BD"/>
            </w:tcBorders>
            <w:shd w:val="clear" w:color="auto" w:fill="0070C0"/>
            <w:vAlign w:val="center"/>
            <w:hideMark/>
          </w:tcPr>
          <w:p w:rsidR="00D1025D" w:rsidRPr="004E12E8" w:rsidRDefault="00D1025D" w:rsidP="007730AA">
            <w:pPr>
              <w:spacing w:before="0" w:line="259" w:lineRule="auto"/>
              <w:ind w:firstLine="0"/>
              <w:contextualSpacing w:val="0"/>
              <w:rPr>
                <w:rFonts w:eastAsia="Calibri" w:cs="Arial"/>
                <w:bCs/>
                <w:color w:val="FFFFFF"/>
                <w:szCs w:val="22"/>
                <w:lang w:val="hy-AM" w:eastAsia="en-US"/>
              </w:rPr>
            </w:pPr>
          </w:p>
        </w:tc>
        <w:tc>
          <w:tcPr>
            <w:tcW w:w="855" w:type="dxa"/>
            <w:tcBorders>
              <w:top w:val="single" w:sz="6" w:space="0" w:color="4F81BD"/>
              <w:bottom w:val="single" w:sz="6" w:space="0" w:color="4F81BD"/>
            </w:tcBorders>
            <w:shd w:val="clear" w:color="auto" w:fill="0070C0"/>
            <w:vAlign w:val="center"/>
            <w:hideMark/>
          </w:tcPr>
          <w:p w:rsidR="00D1025D" w:rsidRPr="004E12E8" w:rsidRDefault="00D1025D" w:rsidP="007730AA">
            <w:pPr>
              <w:spacing w:before="0" w:line="259" w:lineRule="auto"/>
              <w:ind w:firstLine="0"/>
              <w:contextualSpacing w:val="0"/>
              <w:rPr>
                <w:rFonts w:cs="Arial"/>
                <w:bCs/>
                <w:color w:val="FFFFFF"/>
                <w:szCs w:val="22"/>
                <w:lang w:val="hy-AM" w:eastAsia="en-US"/>
              </w:rPr>
            </w:pPr>
            <w:r w:rsidRPr="004E12E8">
              <w:rPr>
                <w:rFonts w:eastAsia="Calibri" w:cs="Arial"/>
                <w:bCs/>
                <w:color w:val="FFFFFF"/>
                <w:szCs w:val="22"/>
                <w:lang w:val="hy-AM" w:eastAsia="en-US"/>
              </w:rPr>
              <w:t>Սահմ</w:t>
            </w:r>
            <w:r w:rsidRPr="004E12E8">
              <w:rPr>
                <w:rFonts w:ascii="Cambria Math" w:eastAsia="Calibri" w:hAnsi="Cambria Math" w:cs="Cambria Math"/>
                <w:bCs/>
                <w:color w:val="FFFFFF"/>
                <w:szCs w:val="22"/>
                <w:lang w:val="hy-AM" w:eastAsia="en-US"/>
              </w:rPr>
              <w:t>․</w:t>
            </w:r>
          </w:p>
        </w:tc>
        <w:tc>
          <w:tcPr>
            <w:tcW w:w="959" w:type="dxa"/>
            <w:tcBorders>
              <w:top w:val="single" w:sz="6" w:space="0" w:color="4F81BD"/>
              <w:bottom w:val="single" w:sz="6" w:space="0" w:color="4F81BD"/>
            </w:tcBorders>
            <w:shd w:val="clear" w:color="auto" w:fill="0070C0"/>
            <w:vAlign w:val="center"/>
            <w:hideMark/>
          </w:tcPr>
          <w:p w:rsidR="00D1025D" w:rsidRPr="004E12E8" w:rsidRDefault="00D1025D" w:rsidP="007730AA">
            <w:pPr>
              <w:spacing w:before="0" w:line="259" w:lineRule="auto"/>
              <w:ind w:firstLine="0"/>
              <w:contextualSpacing w:val="0"/>
              <w:rPr>
                <w:rFonts w:cs="Arial"/>
                <w:bCs/>
                <w:color w:val="FFFFFF"/>
                <w:szCs w:val="22"/>
                <w:lang w:val="hy-AM" w:eastAsia="en-US"/>
              </w:rPr>
            </w:pPr>
            <w:r w:rsidRPr="004E12E8">
              <w:rPr>
                <w:rFonts w:eastAsia="Calibri" w:cs="Arial"/>
                <w:bCs/>
                <w:color w:val="FFFFFF"/>
                <w:szCs w:val="22"/>
                <w:lang w:val="hy-AM" w:eastAsia="en-US"/>
              </w:rPr>
              <w:t>Փաստ</w:t>
            </w:r>
            <w:r w:rsidRPr="004E12E8">
              <w:rPr>
                <w:rFonts w:ascii="Cambria Math" w:eastAsia="Calibri" w:hAnsi="Cambria Math" w:cs="Cambria Math"/>
                <w:bCs/>
                <w:color w:val="FFFFFF"/>
                <w:szCs w:val="22"/>
                <w:lang w:val="hy-AM" w:eastAsia="en-US"/>
              </w:rPr>
              <w:t>․</w:t>
            </w:r>
          </w:p>
        </w:tc>
        <w:tc>
          <w:tcPr>
            <w:tcW w:w="855" w:type="dxa"/>
            <w:tcBorders>
              <w:top w:val="single" w:sz="6" w:space="0" w:color="4F81BD"/>
              <w:bottom w:val="single" w:sz="6" w:space="0" w:color="4F81BD"/>
            </w:tcBorders>
            <w:shd w:val="clear" w:color="auto" w:fill="0070C0"/>
            <w:vAlign w:val="center"/>
            <w:hideMark/>
          </w:tcPr>
          <w:p w:rsidR="00D1025D" w:rsidRPr="004E12E8" w:rsidRDefault="00D1025D" w:rsidP="007730AA">
            <w:pPr>
              <w:spacing w:before="0" w:line="259" w:lineRule="auto"/>
              <w:ind w:firstLine="0"/>
              <w:contextualSpacing w:val="0"/>
              <w:rPr>
                <w:rFonts w:cs="Arial"/>
                <w:bCs/>
                <w:color w:val="FFFFFF"/>
                <w:szCs w:val="22"/>
                <w:lang w:val="hy-AM" w:eastAsia="en-US"/>
              </w:rPr>
            </w:pPr>
            <w:r w:rsidRPr="004E12E8">
              <w:rPr>
                <w:rFonts w:eastAsia="Calibri" w:cs="Arial"/>
                <w:bCs/>
                <w:color w:val="FFFFFF"/>
                <w:szCs w:val="22"/>
                <w:lang w:val="hy-AM" w:eastAsia="en-US"/>
              </w:rPr>
              <w:t>Սահմ</w:t>
            </w:r>
            <w:r w:rsidRPr="004E12E8">
              <w:rPr>
                <w:rFonts w:ascii="Cambria Math" w:eastAsia="Calibri" w:hAnsi="Cambria Math" w:cs="Cambria Math"/>
                <w:bCs/>
                <w:color w:val="FFFFFF"/>
                <w:szCs w:val="22"/>
                <w:lang w:val="hy-AM" w:eastAsia="en-US"/>
              </w:rPr>
              <w:t>․</w:t>
            </w:r>
          </w:p>
        </w:tc>
        <w:tc>
          <w:tcPr>
            <w:tcW w:w="867" w:type="dxa"/>
            <w:tcBorders>
              <w:top w:val="single" w:sz="6" w:space="0" w:color="4F81BD"/>
              <w:bottom w:val="single" w:sz="6" w:space="0" w:color="4F81BD"/>
            </w:tcBorders>
            <w:shd w:val="clear" w:color="auto" w:fill="0070C0"/>
            <w:vAlign w:val="center"/>
            <w:hideMark/>
          </w:tcPr>
          <w:p w:rsidR="00D1025D" w:rsidRPr="004E12E8" w:rsidRDefault="00D1025D" w:rsidP="007730AA">
            <w:pPr>
              <w:spacing w:before="0" w:line="259" w:lineRule="auto"/>
              <w:ind w:firstLine="0"/>
              <w:contextualSpacing w:val="0"/>
              <w:rPr>
                <w:rFonts w:cs="Arial"/>
                <w:bCs/>
                <w:color w:val="FFFFFF"/>
                <w:szCs w:val="22"/>
                <w:lang w:val="hy-AM" w:eastAsia="en-US"/>
              </w:rPr>
            </w:pPr>
            <w:r w:rsidRPr="004E12E8">
              <w:rPr>
                <w:rFonts w:eastAsia="Calibri" w:cs="Arial"/>
                <w:bCs/>
                <w:color w:val="FFFFFF"/>
                <w:szCs w:val="22"/>
                <w:lang w:val="hy-AM" w:eastAsia="en-US"/>
              </w:rPr>
              <w:t>Պլան</w:t>
            </w:r>
          </w:p>
        </w:tc>
        <w:tc>
          <w:tcPr>
            <w:tcW w:w="855" w:type="dxa"/>
            <w:tcBorders>
              <w:top w:val="single" w:sz="6" w:space="0" w:color="4F81BD"/>
              <w:bottom w:val="single" w:sz="6" w:space="0" w:color="4F81BD"/>
            </w:tcBorders>
            <w:shd w:val="clear" w:color="auto" w:fill="0070C0"/>
            <w:vAlign w:val="center"/>
            <w:hideMark/>
          </w:tcPr>
          <w:p w:rsidR="00D1025D" w:rsidRPr="004E12E8" w:rsidRDefault="00D1025D" w:rsidP="007730AA">
            <w:pPr>
              <w:spacing w:before="0" w:line="259" w:lineRule="auto"/>
              <w:ind w:firstLine="0"/>
              <w:contextualSpacing w:val="0"/>
              <w:rPr>
                <w:rFonts w:cs="Arial"/>
                <w:bCs/>
                <w:color w:val="FFFFFF"/>
                <w:szCs w:val="22"/>
                <w:lang w:val="hy-AM" w:eastAsia="en-US"/>
              </w:rPr>
            </w:pPr>
            <w:r w:rsidRPr="004E12E8">
              <w:rPr>
                <w:rFonts w:eastAsia="Calibri" w:cs="Arial"/>
                <w:bCs/>
                <w:color w:val="FFFFFF"/>
                <w:szCs w:val="22"/>
                <w:lang w:val="hy-AM" w:eastAsia="en-US"/>
              </w:rPr>
              <w:t>Սահմ</w:t>
            </w:r>
            <w:r w:rsidRPr="004E12E8">
              <w:rPr>
                <w:rFonts w:ascii="Cambria Math" w:eastAsia="Calibri" w:hAnsi="Cambria Math" w:cs="Cambria Math"/>
                <w:bCs/>
                <w:color w:val="FFFFFF"/>
                <w:szCs w:val="22"/>
                <w:lang w:val="hy-AM" w:eastAsia="en-US"/>
              </w:rPr>
              <w:t>․</w:t>
            </w:r>
          </w:p>
        </w:tc>
        <w:tc>
          <w:tcPr>
            <w:tcW w:w="881" w:type="dxa"/>
            <w:tcBorders>
              <w:top w:val="single" w:sz="6" w:space="0" w:color="4F81BD"/>
              <w:bottom w:val="single" w:sz="6" w:space="0" w:color="4F81BD"/>
            </w:tcBorders>
            <w:shd w:val="clear" w:color="auto" w:fill="0070C0"/>
            <w:vAlign w:val="center"/>
            <w:hideMark/>
          </w:tcPr>
          <w:p w:rsidR="00D1025D" w:rsidRPr="004E12E8" w:rsidRDefault="00D1025D" w:rsidP="007730AA">
            <w:pPr>
              <w:spacing w:before="0" w:line="259" w:lineRule="auto"/>
              <w:ind w:firstLine="0"/>
              <w:contextualSpacing w:val="0"/>
              <w:rPr>
                <w:rFonts w:cs="Arial"/>
                <w:bCs/>
                <w:color w:val="FFFFFF"/>
                <w:szCs w:val="22"/>
                <w:lang w:val="hy-AM" w:eastAsia="en-US"/>
              </w:rPr>
            </w:pPr>
            <w:r w:rsidRPr="004E12E8">
              <w:rPr>
                <w:rFonts w:eastAsia="Calibri" w:cs="Arial"/>
                <w:bCs/>
                <w:color w:val="FFFFFF"/>
                <w:szCs w:val="22"/>
                <w:lang w:val="hy-AM" w:eastAsia="en-US"/>
              </w:rPr>
              <w:t>Պլան</w:t>
            </w:r>
          </w:p>
        </w:tc>
      </w:tr>
      <w:tr w:rsidR="00D1025D" w:rsidRPr="004E12E8" w:rsidTr="009F0A25">
        <w:trPr>
          <w:trHeight w:val="954"/>
          <w:jc w:val="center"/>
        </w:trPr>
        <w:tc>
          <w:tcPr>
            <w:tcW w:w="1962" w:type="dxa"/>
            <w:tcBorders>
              <w:top w:val="single" w:sz="6" w:space="0" w:color="4F81BD"/>
            </w:tcBorders>
            <w:shd w:val="clear" w:color="auto" w:fill="auto"/>
            <w:vAlign w:val="center"/>
            <w:hideMark/>
          </w:tcPr>
          <w:p w:rsidR="00D1025D" w:rsidRPr="004E12E8" w:rsidRDefault="00D1025D" w:rsidP="007730AA">
            <w:pPr>
              <w:spacing w:before="0" w:line="240" w:lineRule="auto"/>
              <w:ind w:firstLine="0"/>
              <w:contextualSpacing w:val="0"/>
              <w:rPr>
                <w:rFonts w:eastAsia="Calibri" w:cs="Arial"/>
                <w:b w:val="0"/>
                <w:color w:val="000000"/>
                <w:sz w:val="20"/>
                <w:szCs w:val="20"/>
                <w:lang w:val="hy-AM" w:eastAsia="en-US"/>
              </w:rPr>
            </w:pPr>
            <w:r w:rsidRPr="004E12E8">
              <w:rPr>
                <w:rFonts w:eastAsia="Calibri" w:cs="Arial"/>
                <w:b w:val="0"/>
                <w:color w:val="000000"/>
                <w:sz w:val="20"/>
                <w:szCs w:val="20"/>
                <w:lang w:val="hy-AM" w:eastAsia="en-US"/>
              </w:rPr>
              <w:t>Պետական բյուջեի ոչ ֆինանսական ակտիվների գծով ծախսեր</w:t>
            </w:r>
          </w:p>
        </w:tc>
        <w:tc>
          <w:tcPr>
            <w:tcW w:w="2126" w:type="dxa"/>
            <w:tcBorders>
              <w:top w:val="single" w:sz="6" w:space="0" w:color="4F81BD"/>
            </w:tcBorders>
            <w:shd w:val="clear" w:color="auto" w:fill="auto"/>
            <w:vAlign w:val="center"/>
            <w:hideMark/>
          </w:tcPr>
          <w:p w:rsidR="00D1025D" w:rsidRPr="004E12E8" w:rsidRDefault="00D1025D" w:rsidP="007730AA">
            <w:pPr>
              <w:spacing w:before="0" w:line="240" w:lineRule="auto"/>
              <w:ind w:firstLine="0"/>
              <w:contextualSpacing w:val="0"/>
              <w:rPr>
                <w:rFonts w:eastAsia="Calibri" w:cs="Arial"/>
                <w:b w:val="0"/>
                <w:color w:val="000000"/>
                <w:sz w:val="20"/>
                <w:szCs w:val="20"/>
                <w:lang w:val="hy-AM" w:eastAsia="en-US"/>
              </w:rPr>
            </w:pPr>
            <w:r w:rsidRPr="004E12E8">
              <w:rPr>
                <w:rFonts w:eastAsia="Calibri" w:cs="Arial"/>
                <w:b w:val="0"/>
                <w:color w:val="000000"/>
                <w:sz w:val="20"/>
                <w:szCs w:val="20"/>
                <w:lang w:val="hy-AM" w:eastAsia="en-US"/>
              </w:rPr>
              <w:t>&gt;/= պետական բյուջեի պակասուրդ, մլրդ դրամ</w:t>
            </w:r>
          </w:p>
        </w:tc>
        <w:tc>
          <w:tcPr>
            <w:tcW w:w="855" w:type="dxa"/>
            <w:tcBorders>
              <w:top w:val="single" w:sz="6" w:space="0" w:color="4F81BD"/>
            </w:tcBorders>
            <w:shd w:val="clear" w:color="auto" w:fill="auto"/>
            <w:vAlign w:val="center"/>
            <w:hideMark/>
          </w:tcPr>
          <w:p w:rsidR="00D1025D" w:rsidRPr="004E12E8" w:rsidRDefault="00D1025D" w:rsidP="007730AA">
            <w:pPr>
              <w:spacing w:before="0" w:line="240" w:lineRule="auto"/>
              <w:ind w:firstLine="0"/>
              <w:contextualSpacing w:val="0"/>
              <w:jc w:val="right"/>
              <w:rPr>
                <w:rFonts w:eastAsia="Calibri" w:cs="Arial"/>
                <w:b w:val="0"/>
                <w:color w:val="000000"/>
                <w:szCs w:val="22"/>
                <w:lang w:val="hy-AM" w:eastAsia="en-US"/>
              </w:rPr>
            </w:pPr>
            <w:r w:rsidRPr="004E12E8">
              <w:rPr>
                <w:rFonts w:eastAsia="Calibri" w:cs="Arial"/>
                <w:b w:val="0"/>
                <w:color w:val="000000"/>
                <w:szCs w:val="22"/>
                <w:lang w:val="hy-AM" w:eastAsia="en-US"/>
              </w:rPr>
              <w:t>64.0</w:t>
            </w:r>
          </w:p>
        </w:tc>
        <w:tc>
          <w:tcPr>
            <w:tcW w:w="959" w:type="dxa"/>
            <w:tcBorders>
              <w:top w:val="single" w:sz="6" w:space="0" w:color="4F81BD"/>
            </w:tcBorders>
            <w:shd w:val="clear" w:color="auto" w:fill="auto"/>
            <w:vAlign w:val="center"/>
            <w:hideMark/>
          </w:tcPr>
          <w:p w:rsidR="00D1025D" w:rsidRPr="004E12E8" w:rsidRDefault="00D1025D" w:rsidP="007730AA">
            <w:pPr>
              <w:spacing w:before="0" w:line="240" w:lineRule="auto"/>
              <w:ind w:firstLine="0"/>
              <w:contextualSpacing w:val="0"/>
              <w:jc w:val="right"/>
              <w:rPr>
                <w:rFonts w:eastAsia="Calibri" w:cs="Arial"/>
                <w:b w:val="0"/>
                <w:color w:val="000000"/>
                <w:szCs w:val="22"/>
                <w:lang w:val="hy-AM" w:eastAsia="en-US"/>
              </w:rPr>
            </w:pPr>
            <w:r w:rsidRPr="004E12E8">
              <w:rPr>
                <w:rFonts w:eastAsia="Calibri" w:cs="Arial"/>
                <w:b w:val="0"/>
                <w:color w:val="000000"/>
                <w:szCs w:val="22"/>
                <w:lang w:val="hy-AM" w:eastAsia="en-US"/>
              </w:rPr>
              <w:t>193.0</w:t>
            </w:r>
          </w:p>
        </w:tc>
        <w:tc>
          <w:tcPr>
            <w:tcW w:w="855" w:type="dxa"/>
            <w:tcBorders>
              <w:top w:val="single" w:sz="6" w:space="0" w:color="4F81BD"/>
            </w:tcBorders>
            <w:shd w:val="clear" w:color="auto" w:fill="DBE5F1"/>
            <w:vAlign w:val="center"/>
          </w:tcPr>
          <w:p w:rsidR="00D1025D" w:rsidRPr="00A35F45" w:rsidRDefault="00D1025D" w:rsidP="007730AA">
            <w:pPr>
              <w:spacing w:before="0" w:line="240" w:lineRule="auto"/>
              <w:ind w:firstLine="0"/>
              <w:contextualSpacing w:val="0"/>
              <w:jc w:val="right"/>
              <w:rPr>
                <w:rFonts w:eastAsia="Calibri"/>
                <w:b w:val="0"/>
                <w:color w:val="000000"/>
                <w:lang w:val="en-US"/>
              </w:rPr>
            </w:pPr>
            <w:r>
              <w:rPr>
                <w:rFonts w:eastAsia="Calibri" w:cs="Arial"/>
                <w:b w:val="0"/>
                <w:color w:val="000000"/>
                <w:szCs w:val="22"/>
                <w:lang w:val="en-US" w:eastAsia="en-US"/>
              </w:rPr>
              <w:t>429.7</w:t>
            </w:r>
          </w:p>
        </w:tc>
        <w:tc>
          <w:tcPr>
            <w:tcW w:w="867" w:type="dxa"/>
            <w:tcBorders>
              <w:top w:val="single" w:sz="6" w:space="0" w:color="4F81BD"/>
            </w:tcBorders>
            <w:shd w:val="clear" w:color="auto" w:fill="DBE5F1"/>
            <w:vAlign w:val="center"/>
          </w:tcPr>
          <w:p w:rsidR="00D1025D" w:rsidRPr="004E12E8" w:rsidRDefault="00D1025D" w:rsidP="007730AA">
            <w:pPr>
              <w:spacing w:before="0" w:line="240" w:lineRule="auto"/>
              <w:ind w:firstLine="0"/>
              <w:contextualSpacing w:val="0"/>
              <w:jc w:val="right"/>
              <w:rPr>
                <w:rFonts w:eastAsia="Calibri" w:cs="Arial"/>
                <w:b w:val="0"/>
                <w:color w:val="000000"/>
                <w:szCs w:val="22"/>
                <w:lang w:val="hy-AM" w:eastAsia="en-US"/>
              </w:rPr>
            </w:pPr>
            <w:r w:rsidRPr="004E12E8">
              <w:rPr>
                <w:rFonts w:eastAsia="Calibri" w:cs="Arial"/>
                <w:b w:val="0"/>
                <w:color w:val="000000"/>
                <w:szCs w:val="22"/>
                <w:lang w:val="hy-AM" w:eastAsia="en-US"/>
              </w:rPr>
              <w:t>2</w:t>
            </w:r>
            <w:r>
              <w:rPr>
                <w:rFonts w:eastAsia="Calibri" w:cs="Arial"/>
                <w:b w:val="0"/>
                <w:color w:val="000000"/>
                <w:szCs w:val="22"/>
                <w:lang w:val="en-US" w:eastAsia="en-US"/>
              </w:rPr>
              <w:t>84</w:t>
            </w:r>
            <w:r w:rsidRPr="004E12E8">
              <w:rPr>
                <w:rFonts w:eastAsia="Calibri" w:cs="Arial"/>
                <w:b w:val="0"/>
                <w:color w:val="000000"/>
                <w:szCs w:val="22"/>
                <w:lang w:val="hy-AM" w:eastAsia="en-US"/>
              </w:rPr>
              <w:t>.7</w:t>
            </w:r>
          </w:p>
        </w:tc>
        <w:tc>
          <w:tcPr>
            <w:tcW w:w="855" w:type="dxa"/>
            <w:tcBorders>
              <w:top w:val="single" w:sz="6" w:space="0" w:color="4F81BD"/>
            </w:tcBorders>
            <w:shd w:val="clear" w:color="auto" w:fill="DBE5F1"/>
            <w:vAlign w:val="center"/>
          </w:tcPr>
          <w:p w:rsidR="00D1025D" w:rsidRPr="004E12E8" w:rsidRDefault="00D1025D" w:rsidP="007730AA">
            <w:pPr>
              <w:spacing w:before="0" w:line="240" w:lineRule="auto"/>
              <w:ind w:firstLine="0"/>
              <w:contextualSpacing w:val="0"/>
              <w:jc w:val="right"/>
              <w:rPr>
                <w:rFonts w:eastAsia="Calibri" w:cs="Arial"/>
                <w:b w:val="0"/>
                <w:color w:val="000000"/>
                <w:szCs w:val="22"/>
                <w:lang w:val="hy-AM" w:eastAsia="en-US"/>
              </w:rPr>
            </w:pPr>
            <w:r>
              <w:rPr>
                <w:rFonts w:eastAsia="Calibri" w:cs="Arial"/>
                <w:b w:val="0"/>
                <w:color w:val="000000"/>
                <w:szCs w:val="22"/>
                <w:lang w:val="en-US" w:eastAsia="en-US"/>
              </w:rPr>
              <w:t>347.7</w:t>
            </w:r>
            <w:r w:rsidRPr="004E12E8">
              <w:rPr>
                <w:rFonts w:eastAsia="Calibri" w:cs="Arial"/>
                <w:b w:val="0"/>
                <w:color w:val="000000"/>
                <w:szCs w:val="22"/>
                <w:lang w:val="hy-AM" w:eastAsia="en-US"/>
              </w:rPr>
              <w:t xml:space="preserve"> </w:t>
            </w:r>
          </w:p>
        </w:tc>
        <w:tc>
          <w:tcPr>
            <w:tcW w:w="881" w:type="dxa"/>
            <w:tcBorders>
              <w:top w:val="single" w:sz="6" w:space="0" w:color="4F81BD"/>
            </w:tcBorders>
            <w:shd w:val="clear" w:color="auto" w:fill="DBE5F1"/>
            <w:vAlign w:val="center"/>
          </w:tcPr>
          <w:p w:rsidR="00D1025D" w:rsidRPr="00A35F45" w:rsidRDefault="00D1025D" w:rsidP="007730AA">
            <w:pPr>
              <w:spacing w:before="0" w:line="240" w:lineRule="auto"/>
              <w:ind w:firstLine="0"/>
              <w:contextualSpacing w:val="0"/>
              <w:jc w:val="right"/>
              <w:rPr>
                <w:rFonts w:eastAsia="Calibri"/>
                <w:b w:val="0"/>
                <w:color w:val="000000"/>
                <w:lang w:val="en-US"/>
              </w:rPr>
            </w:pPr>
            <w:r w:rsidRPr="004E12E8">
              <w:rPr>
                <w:rFonts w:eastAsia="Calibri" w:cs="Arial"/>
                <w:b w:val="0"/>
                <w:color w:val="000000"/>
                <w:szCs w:val="22"/>
                <w:lang w:val="hy-AM" w:eastAsia="en-US"/>
              </w:rPr>
              <w:t>21</w:t>
            </w:r>
            <w:r>
              <w:rPr>
                <w:rFonts w:eastAsia="Calibri" w:cs="Arial"/>
                <w:b w:val="0"/>
                <w:color w:val="000000"/>
                <w:szCs w:val="22"/>
                <w:lang w:val="en-US" w:eastAsia="en-US"/>
              </w:rPr>
              <w:t>6</w:t>
            </w:r>
            <w:r w:rsidRPr="004E12E8">
              <w:rPr>
                <w:rFonts w:eastAsia="Calibri" w:cs="Arial"/>
                <w:b w:val="0"/>
                <w:color w:val="000000"/>
                <w:szCs w:val="22"/>
                <w:lang w:val="hy-AM" w:eastAsia="en-US"/>
              </w:rPr>
              <w:t>.</w:t>
            </w:r>
            <w:r>
              <w:rPr>
                <w:rFonts w:eastAsia="Calibri" w:cs="Arial"/>
                <w:b w:val="0"/>
                <w:color w:val="000000"/>
                <w:szCs w:val="22"/>
                <w:lang w:val="en-US" w:eastAsia="en-US"/>
              </w:rPr>
              <w:t>3</w:t>
            </w:r>
          </w:p>
        </w:tc>
      </w:tr>
      <w:tr w:rsidR="00D1025D" w:rsidRPr="004E12E8" w:rsidTr="009F0A25">
        <w:trPr>
          <w:trHeight w:val="954"/>
          <w:jc w:val="center"/>
        </w:trPr>
        <w:tc>
          <w:tcPr>
            <w:tcW w:w="1962" w:type="dxa"/>
            <w:shd w:val="clear" w:color="auto" w:fill="auto"/>
            <w:vAlign w:val="center"/>
            <w:hideMark/>
          </w:tcPr>
          <w:p w:rsidR="00D1025D" w:rsidRPr="004E12E8" w:rsidRDefault="00D1025D" w:rsidP="007730AA">
            <w:pPr>
              <w:spacing w:before="0" w:line="240" w:lineRule="auto"/>
              <w:ind w:firstLine="0"/>
              <w:contextualSpacing w:val="0"/>
              <w:rPr>
                <w:rFonts w:eastAsia="Calibri" w:cs="Arial"/>
                <w:b w:val="0"/>
                <w:color w:val="000000"/>
                <w:sz w:val="20"/>
                <w:szCs w:val="20"/>
                <w:lang w:val="hy-AM" w:eastAsia="en-US"/>
              </w:rPr>
            </w:pPr>
            <w:r w:rsidRPr="004E12E8">
              <w:rPr>
                <w:rFonts w:eastAsia="Calibri" w:cs="Arial"/>
                <w:b w:val="0"/>
                <w:color w:val="000000"/>
                <w:sz w:val="20"/>
                <w:szCs w:val="20"/>
                <w:lang w:val="hy-AM" w:eastAsia="en-US"/>
              </w:rPr>
              <w:t>Պետական բյուջեի ընթացիկ առաջնային ծախսերի աճի տեմպ*</w:t>
            </w:r>
          </w:p>
        </w:tc>
        <w:tc>
          <w:tcPr>
            <w:tcW w:w="2126" w:type="dxa"/>
            <w:shd w:val="clear" w:color="auto" w:fill="auto"/>
            <w:vAlign w:val="center"/>
            <w:hideMark/>
          </w:tcPr>
          <w:p w:rsidR="00D1025D" w:rsidRPr="004E12E8" w:rsidRDefault="00D1025D" w:rsidP="007730AA">
            <w:pPr>
              <w:spacing w:before="0" w:line="240" w:lineRule="auto"/>
              <w:ind w:firstLine="0"/>
              <w:contextualSpacing w:val="0"/>
              <w:rPr>
                <w:rFonts w:eastAsia="Calibri" w:cs="Arial"/>
                <w:b w:val="0"/>
                <w:color w:val="000000"/>
                <w:sz w:val="20"/>
                <w:szCs w:val="20"/>
                <w:lang w:val="hy-AM" w:eastAsia="en-US"/>
              </w:rPr>
            </w:pPr>
            <w:r w:rsidRPr="004E12E8">
              <w:rPr>
                <w:rFonts w:eastAsia="Calibri" w:cs="Arial"/>
                <w:b w:val="0"/>
                <w:color w:val="000000"/>
                <w:sz w:val="20"/>
                <w:szCs w:val="20"/>
                <w:lang w:val="hy-AM" w:eastAsia="en-US"/>
              </w:rPr>
              <w:t>&lt;/= նախորդ 7 տարիների անվանական ՀՆԱ աճի միջին տեմպ, %</w:t>
            </w:r>
          </w:p>
        </w:tc>
        <w:tc>
          <w:tcPr>
            <w:tcW w:w="855" w:type="dxa"/>
            <w:shd w:val="clear" w:color="auto" w:fill="auto"/>
            <w:vAlign w:val="center"/>
            <w:hideMark/>
          </w:tcPr>
          <w:p w:rsidR="00D1025D" w:rsidRPr="004E12E8" w:rsidRDefault="00D1025D" w:rsidP="007730AA">
            <w:pPr>
              <w:spacing w:before="0" w:line="240" w:lineRule="auto"/>
              <w:ind w:firstLine="0"/>
              <w:contextualSpacing w:val="0"/>
              <w:jc w:val="right"/>
              <w:rPr>
                <w:rFonts w:eastAsia="Calibri" w:cs="Arial"/>
                <w:b w:val="0"/>
                <w:color w:val="000000"/>
                <w:szCs w:val="22"/>
                <w:lang w:val="hy-AM" w:eastAsia="en-US"/>
              </w:rPr>
            </w:pPr>
            <w:r w:rsidRPr="004E12E8">
              <w:rPr>
                <w:rFonts w:eastAsia="Calibri" w:cs="Arial"/>
                <w:b w:val="0"/>
                <w:color w:val="000000"/>
                <w:szCs w:val="22"/>
                <w:lang w:val="hy-AM" w:eastAsia="en-US"/>
              </w:rPr>
              <w:t>6.1</w:t>
            </w:r>
          </w:p>
        </w:tc>
        <w:tc>
          <w:tcPr>
            <w:tcW w:w="959" w:type="dxa"/>
            <w:shd w:val="clear" w:color="000000" w:fill="FFFFFF"/>
            <w:vAlign w:val="center"/>
            <w:hideMark/>
          </w:tcPr>
          <w:p w:rsidR="00D1025D" w:rsidRPr="004E12E8" w:rsidRDefault="00D1025D" w:rsidP="007730AA">
            <w:pPr>
              <w:spacing w:before="0" w:line="240" w:lineRule="auto"/>
              <w:ind w:firstLine="0"/>
              <w:contextualSpacing w:val="0"/>
              <w:jc w:val="right"/>
              <w:rPr>
                <w:rFonts w:eastAsia="Calibri" w:cs="Arial"/>
                <w:b w:val="0"/>
                <w:color w:val="000000"/>
                <w:szCs w:val="22"/>
                <w:lang w:val="hy-AM" w:eastAsia="en-US"/>
              </w:rPr>
            </w:pPr>
            <w:r w:rsidRPr="004E12E8">
              <w:rPr>
                <w:rFonts w:eastAsia="Calibri" w:cs="Arial"/>
                <w:b w:val="0"/>
                <w:color w:val="000000"/>
                <w:szCs w:val="22"/>
                <w:lang w:val="hy-AM" w:eastAsia="en-US"/>
              </w:rPr>
              <w:t>5.9</w:t>
            </w:r>
          </w:p>
        </w:tc>
        <w:tc>
          <w:tcPr>
            <w:tcW w:w="855" w:type="dxa"/>
            <w:shd w:val="clear" w:color="auto" w:fill="DBE5F1"/>
            <w:vAlign w:val="center"/>
          </w:tcPr>
          <w:p w:rsidR="00D1025D" w:rsidRPr="000C797C" w:rsidRDefault="00D1025D" w:rsidP="007730AA">
            <w:pPr>
              <w:spacing w:before="0" w:line="240" w:lineRule="auto"/>
              <w:ind w:firstLine="0"/>
              <w:contextualSpacing w:val="0"/>
              <w:jc w:val="right"/>
              <w:rPr>
                <w:rFonts w:eastAsia="Calibri" w:cs="Arial"/>
                <w:b w:val="0"/>
                <w:color w:val="000000"/>
                <w:szCs w:val="22"/>
                <w:lang w:val="en-US" w:eastAsia="en-US"/>
              </w:rPr>
            </w:pPr>
            <w:r w:rsidRPr="004E12E8">
              <w:rPr>
                <w:rFonts w:eastAsia="Calibri" w:cs="Arial"/>
                <w:b w:val="0"/>
                <w:color w:val="000000"/>
                <w:szCs w:val="22"/>
                <w:lang w:val="hy-AM" w:eastAsia="en-US"/>
              </w:rPr>
              <w:t>5.9</w:t>
            </w:r>
          </w:p>
        </w:tc>
        <w:tc>
          <w:tcPr>
            <w:tcW w:w="867" w:type="dxa"/>
            <w:shd w:val="clear" w:color="auto" w:fill="DBE5F1"/>
            <w:vAlign w:val="center"/>
          </w:tcPr>
          <w:p w:rsidR="00D1025D" w:rsidRPr="00A35F45" w:rsidRDefault="00D1025D" w:rsidP="007730AA">
            <w:pPr>
              <w:spacing w:before="0" w:line="240" w:lineRule="auto"/>
              <w:ind w:firstLine="0"/>
              <w:contextualSpacing w:val="0"/>
              <w:jc w:val="right"/>
              <w:rPr>
                <w:rFonts w:eastAsia="Calibri"/>
                <w:b w:val="0"/>
                <w:color w:val="000000"/>
                <w:lang w:val="en-US"/>
              </w:rPr>
            </w:pPr>
            <w:r w:rsidRPr="004E12E8">
              <w:rPr>
                <w:rFonts w:eastAsia="Calibri" w:cs="Arial"/>
                <w:b w:val="0"/>
                <w:color w:val="000000"/>
                <w:szCs w:val="22"/>
                <w:lang w:val="hy-AM" w:eastAsia="en-US"/>
              </w:rPr>
              <w:t>1</w:t>
            </w:r>
            <w:r>
              <w:rPr>
                <w:rFonts w:eastAsia="Calibri" w:cs="Arial"/>
                <w:b w:val="0"/>
                <w:color w:val="000000"/>
                <w:szCs w:val="22"/>
                <w:lang w:val="en-US" w:eastAsia="en-US"/>
              </w:rPr>
              <w:t>2</w:t>
            </w:r>
            <w:r w:rsidRPr="004E12E8">
              <w:rPr>
                <w:rFonts w:eastAsia="Calibri" w:cs="Arial"/>
                <w:b w:val="0"/>
                <w:color w:val="000000"/>
                <w:szCs w:val="22"/>
                <w:lang w:val="hy-AM" w:eastAsia="en-US"/>
              </w:rPr>
              <w:t>.</w:t>
            </w:r>
            <w:r>
              <w:rPr>
                <w:rFonts w:eastAsia="Calibri" w:cs="Arial"/>
                <w:b w:val="0"/>
                <w:color w:val="000000"/>
                <w:szCs w:val="22"/>
                <w:lang w:val="en-US" w:eastAsia="en-US"/>
              </w:rPr>
              <w:t>8</w:t>
            </w:r>
          </w:p>
        </w:tc>
        <w:tc>
          <w:tcPr>
            <w:tcW w:w="855" w:type="dxa"/>
            <w:shd w:val="clear" w:color="auto" w:fill="DBE5F1"/>
            <w:vAlign w:val="center"/>
          </w:tcPr>
          <w:p w:rsidR="00D1025D" w:rsidRPr="004E12E8" w:rsidRDefault="00D1025D" w:rsidP="007730AA">
            <w:pPr>
              <w:spacing w:before="0" w:line="240" w:lineRule="auto"/>
              <w:ind w:firstLine="0"/>
              <w:contextualSpacing w:val="0"/>
              <w:jc w:val="right"/>
              <w:rPr>
                <w:rFonts w:eastAsia="Calibri" w:cs="Arial"/>
                <w:b w:val="0"/>
                <w:color w:val="000000"/>
                <w:szCs w:val="22"/>
                <w:lang w:val="hy-AM" w:eastAsia="en-US"/>
              </w:rPr>
            </w:pPr>
            <w:r w:rsidRPr="004E12E8">
              <w:rPr>
                <w:rFonts w:eastAsia="Calibri" w:cs="Arial"/>
                <w:b w:val="0"/>
                <w:color w:val="000000"/>
                <w:szCs w:val="22"/>
                <w:lang w:val="hy-AM" w:eastAsia="en-US"/>
              </w:rPr>
              <w:t>6.4</w:t>
            </w:r>
          </w:p>
        </w:tc>
        <w:tc>
          <w:tcPr>
            <w:tcW w:w="881" w:type="dxa"/>
            <w:shd w:val="clear" w:color="auto" w:fill="DBE5F1"/>
            <w:vAlign w:val="center"/>
          </w:tcPr>
          <w:p w:rsidR="00D1025D" w:rsidRPr="00A35F45" w:rsidRDefault="00D1025D" w:rsidP="007730AA">
            <w:pPr>
              <w:spacing w:before="0" w:line="240" w:lineRule="auto"/>
              <w:ind w:firstLine="0"/>
              <w:contextualSpacing w:val="0"/>
              <w:jc w:val="right"/>
              <w:rPr>
                <w:rFonts w:eastAsia="Calibri"/>
                <w:b w:val="0"/>
                <w:color w:val="000000"/>
                <w:lang w:val="en-US"/>
              </w:rPr>
            </w:pPr>
            <w:r w:rsidRPr="004E12E8">
              <w:rPr>
                <w:rFonts w:eastAsia="Calibri" w:cs="Arial"/>
                <w:b w:val="0"/>
                <w:color w:val="000000"/>
                <w:szCs w:val="22"/>
                <w:lang w:val="hy-AM" w:eastAsia="en-US"/>
              </w:rPr>
              <w:t>6.</w:t>
            </w:r>
            <w:r>
              <w:rPr>
                <w:rFonts w:eastAsia="Calibri" w:cs="Arial"/>
                <w:b w:val="0"/>
                <w:color w:val="000000"/>
                <w:szCs w:val="22"/>
                <w:lang w:val="en-US" w:eastAsia="en-US"/>
              </w:rPr>
              <w:t>2</w:t>
            </w:r>
          </w:p>
        </w:tc>
      </w:tr>
      <w:tr w:rsidR="00D1025D" w:rsidRPr="004E12E8" w:rsidTr="009F0A25">
        <w:trPr>
          <w:trHeight w:val="954"/>
          <w:jc w:val="center"/>
        </w:trPr>
        <w:tc>
          <w:tcPr>
            <w:tcW w:w="1962" w:type="dxa"/>
            <w:shd w:val="clear" w:color="auto" w:fill="auto"/>
            <w:vAlign w:val="center"/>
            <w:hideMark/>
          </w:tcPr>
          <w:p w:rsidR="00D1025D" w:rsidRPr="004E12E8" w:rsidRDefault="00D1025D" w:rsidP="007730AA">
            <w:pPr>
              <w:spacing w:before="0" w:line="240" w:lineRule="auto"/>
              <w:ind w:firstLine="0"/>
              <w:contextualSpacing w:val="0"/>
              <w:rPr>
                <w:rFonts w:eastAsia="Calibri" w:cs="Arial"/>
                <w:b w:val="0"/>
                <w:color w:val="000000"/>
                <w:sz w:val="20"/>
                <w:szCs w:val="20"/>
                <w:lang w:val="hy-AM" w:eastAsia="en-US"/>
              </w:rPr>
            </w:pPr>
            <w:r w:rsidRPr="004E12E8">
              <w:rPr>
                <w:rFonts w:eastAsia="Calibri" w:cs="Arial"/>
                <w:b w:val="0"/>
                <w:color w:val="000000"/>
                <w:sz w:val="20"/>
                <w:szCs w:val="20"/>
                <w:lang w:val="hy-AM" w:eastAsia="en-US"/>
              </w:rPr>
              <w:t>Պետական բյուջեի ընթացիկ ծախսեր</w:t>
            </w:r>
          </w:p>
        </w:tc>
        <w:tc>
          <w:tcPr>
            <w:tcW w:w="2126" w:type="dxa"/>
            <w:shd w:val="clear" w:color="auto" w:fill="auto"/>
            <w:vAlign w:val="center"/>
            <w:hideMark/>
          </w:tcPr>
          <w:p w:rsidR="00D1025D" w:rsidRPr="004E12E8" w:rsidRDefault="00D1025D" w:rsidP="007730AA">
            <w:pPr>
              <w:spacing w:before="0" w:line="240" w:lineRule="auto"/>
              <w:ind w:firstLine="0"/>
              <w:contextualSpacing w:val="0"/>
              <w:rPr>
                <w:rFonts w:eastAsia="Calibri" w:cs="Arial"/>
                <w:b w:val="0"/>
                <w:color w:val="000000"/>
                <w:sz w:val="20"/>
                <w:szCs w:val="20"/>
                <w:lang w:val="hy-AM" w:eastAsia="en-US"/>
              </w:rPr>
            </w:pPr>
            <w:r w:rsidRPr="004E12E8">
              <w:rPr>
                <w:rFonts w:eastAsia="Calibri" w:cs="Arial"/>
                <w:b w:val="0"/>
                <w:color w:val="000000"/>
                <w:sz w:val="20"/>
                <w:szCs w:val="20"/>
                <w:lang w:val="hy-AM" w:eastAsia="en-US"/>
              </w:rPr>
              <w:t>&lt;/= հարկային եկամուտների և տուրքերի ծավալ, մլրդ դրամ**</w:t>
            </w:r>
          </w:p>
        </w:tc>
        <w:tc>
          <w:tcPr>
            <w:tcW w:w="855" w:type="dxa"/>
            <w:shd w:val="clear" w:color="auto" w:fill="auto"/>
            <w:vAlign w:val="center"/>
            <w:hideMark/>
          </w:tcPr>
          <w:p w:rsidR="00D1025D" w:rsidRPr="004E12E8" w:rsidRDefault="00D1025D" w:rsidP="007730AA">
            <w:pPr>
              <w:spacing w:before="0" w:line="240" w:lineRule="auto"/>
              <w:ind w:firstLine="0"/>
              <w:contextualSpacing w:val="0"/>
              <w:jc w:val="right"/>
              <w:rPr>
                <w:rFonts w:eastAsia="Calibri" w:cs="Arial"/>
                <w:b w:val="0"/>
                <w:color w:val="000000"/>
                <w:szCs w:val="22"/>
                <w:lang w:val="hy-AM" w:eastAsia="en-US"/>
              </w:rPr>
            </w:pPr>
            <w:r w:rsidRPr="004E12E8">
              <w:rPr>
                <w:rFonts w:eastAsia="Calibri" w:cs="Arial"/>
                <w:b w:val="0"/>
                <w:color w:val="000000"/>
                <w:szCs w:val="22"/>
                <w:lang w:val="hy-AM" w:eastAsia="en-US"/>
              </w:rPr>
              <w:t>-**</w:t>
            </w:r>
          </w:p>
        </w:tc>
        <w:tc>
          <w:tcPr>
            <w:tcW w:w="959" w:type="dxa"/>
            <w:shd w:val="clear" w:color="auto" w:fill="auto"/>
            <w:vAlign w:val="center"/>
            <w:hideMark/>
          </w:tcPr>
          <w:p w:rsidR="00D1025D" w:rsidRPr="004E12E8" w:rsidRDefault="00D1025D" w:rsidP="007730AA">
            <w:pPr>
              <w:spacing w:before="0" w:line="240" w:lineRule="auto"/>
              <w:ind w:firstLine="0"/>
              <w:contextualSpacing w:val="0"/>
              <w:jc w:val="right"/>
              <w:rPr>
                <w:rFonts w:eastAsia="Calibri" w:cs="Arial"/>
                <w:b w:val="0"/>
                <w:color w:val="000000"/>
                <w:szCs w:val="22"/>
                <w:lang w:val="hy-AM" w:eastAsia="en-US"/>
              </w:rPr>
            </w:pPr>
            <w:r w:rsidRPr="004E12E8">
              <w:rPr>
                <w:rFonts w:eastAsia="Calibri" w:cs="Arial"/>
                <w:b w:val="0"/>
                <w:color w:val="000000"/>
                <w:szCs w:val="22"/>
                <w:lang w:val="hy-AM" w:eastAsia="en-US"/>
              </w:rPr>
              <w:t>1437.1</w:t>
            </w:r>
          </w:p>
        </w:tc>
        <w:tc>
          <w:tcPr>
            <w:tcW w:w="855" w:type="dxa"/>
            <w:shd w:val="clear" w:color="auto" w:fill="DBE5F1"/>
            <w:vAlign w:val="center"/>
          </w:tcPr>
          <w:p w:rsidR="00D1025D" w:rsidRPr="004E12E8" w:rsidRDefault="00D1025D" w:rsidP="007730AA">
            <w:pPr>
              <w:spacing w:before="0" w:line="240" w:lineRule="auto"/>
              <w:ind w:firstLine="0"/>
              <w:contextualSpacing w:val="0"/>
              <w:jc w:val="right"/>
              <w:rPr>
                <w:rFonts w:eastAsia="Calibri" w:cs="Arial"/>
                <w:b w:val="0"/>
                <w:color w:val="000000"/>
                <w:szCs w:val="22"/>
                <w:lang w:val="hy-AM" w:eastAsia="en-US"/>
              </w:rPr>
            </w:pPr>
            <w:r w:rsidRPr="004E12E8">
              <w:rPr>
                <w:rFonts w:eastAsia="Calibri" w:cs="Arial"/>
                <w:b w:val="0"/>
                <w:color w:val="000000"/>
                <w:szCs w:val="22"/>
                <w:lang w:val="hy-AM" w:eastAsia="en-US"/>
              </w:rPr>
              <w:t>-</w:t>
            </w:r>
          </w:p>
        </w:tc>
        <w:tc>
          <w:tcPr>
            <w:tcW w:w="867" w:type="dxa"/>
            <w:shd w:val="clear" w:color="auto" w:fill="DBE5F1"/>
            <w:noWrap/>
            <w:vAlign w:val="center"/>
          </w:tcPr>
          <w:p w:rsidR="00D1025D" w:rsidRPr="00A35F45" w:rsidRDefault="00D1025D" w:rsidP="007730AA">
            <w:pPr>
              <w:spacing w:before="0" w:line="240" w:lineRule="auto"/>
              <w:ind w:firstLine="0"/>
              <w:contextualSpacing w:val="0"/>
              <w:jc w:val="right"/>
              <w:rPr>
                <w:rFonts w:eastAsia="Calibri"/>
                <w:b w:val="0"/>
                <w:color w:val="000000"/>
                <w:lang w:val="en-US"/>
              </w:rPr>
            </w:pPr>
            <w:r w:rsidRPr="005D1E27">
              <w:rPr>
                <w:rFonts w:eastAsia="Calibri" w:cs="Arial"/>
                <w:b w:val="0"/>
                <w:color w:val="000000"/>
                <w:szCs w:val="22"/>
                <w:lang w:val="hy-AM" w:eastAsia="en-US"/>
              </w:rPr>
              <w:t>1622.</w:t>
            </w:r>
            <w:r>
              <w:rPr>
                <w:rFonts w:eastAsia="Calibri" w:cs="Arial"/>
                <w:b w:val="0"/>
                <w:color w:val="000000"/>
                <w:szCs w:val="22"/>
                <w:lang w:val="en-US" w:eastAsia="en-US"/>
              </w:rPr>
              <w:t>7</w:t>
            </w:r>
          </w:p>
        </w:tc>
        <w:tc>
          <w:tcPr>
            <w:tcW w:w="855" w:type="dxa"/>
            <w:shd w:val="clear" w:color="auto" w:fill="DBE5F1"/>
            <w:vAlign w:val="center"/>
          </w:tcPr>
          <w:p w:rsidR="00D1025D" w:rsidRPr="004E12E8" w:rsidRDefault="00D1025D" w:rsidP="007730AA">
            <w:pPr>
              <w:spacing w:before="0" w:line="240" w:lineRule="auto"/>
              <w:ind w:firstLine="0"/>
              <w:contextualSpacing w:val="0"/>
              <w:jc w:val="right"/>
              <w:rPr>
                <w:rFonts w:eastAsia="Calibri" w:cs="Arial"/>
                <w:b w:val="0"/>
                <w:color w:val="000000"/>
                <w:szCs w:val="22"/>
                <w:lang w:val="hy-AM" w:eastAsia="en-US"/>
              </w:rPr>
            </w:pPr>
            <w:r w:rsidRPr="004E12E8">
              <w:rPr>
                <w:rFonts w:eastAsia="Calibri" w:cs="Arial"/>
                <w:b w:val="0"/>
                <w:color w:val="000000"/>
                <w:szCs w:val="22"/>
                <w:lang w:val="hy-AM" w:eastAsia="en-US"/>
              </w:rPr>
              <w:t>-</w:t>
            </w:r>
          </w:p>
        </w:tc>
        <w:tc>
          <w:tcPr>
            <w:tcW w:w="881" w:type="dxa"/>
            <w:shd w:val="clear" w:color="auto" w:fill="DBE5F1"/>
            <w:noWrap/>
            <w:vAlign w:val="center"/>
          </w:tcPr>
          <w:p w:rsidR="00D1025D" w:rsidRPr="004E12E8" w:rsidRDefault="00D1025D" w:rsidP="007730AA">
            <w:pPr>
              <w:spacing w:before="0" w:line="240" w:lineRule="auto"/>
              <w:ind w:firstLine="0"/>
              <w:contextualSpacing w:val="0"/>
              <w:jc w:val="right"/>
              <w:rPr>
                <w:rFonts w:eastAsia="Calibri" w:cs="Arial"/>
                <w:b w:val="0"/>
                <w:color w:val="000000"/>
                <w:szCs w:val="22"/>
                <w:lang w:val="hy-AM" w:eastAsia="en-US"/>
              </w:rPr>
            </w:pPr>
            <w:r>
              <w:rPr>
                <w:rFonts w:eastAsia="Calibri" w:cs="Arial"/>
                <w:b w:val="0"/>
                <w:color w:val="000000"/>
                <w:szCs w:val="22"/>
                <w:lang w:val="hy-AM" w:eastAsia="en-US"/>
              </w:rPr>
              <w:t>1634.6</w:t>
            </w:r>
          </w:p>
        </w:tc>
      </w:tr>
      <w:tr w:rsidR="00D1025D" w:rsidRPr="004E12E8" w:rsidTr="009F0A25">
        <w:trPr>
          <w:trHeight w:val="477"/>
          <w:jc w:val="center"/>
        </w:trPr>
        <w:tc>
          <w:tcPr>
            <w:tcW w:w="4088" w:type="dxa"/>
            <w:gridSpan w:val="2"/>
            <w:shd w:val="clear" w:color="auto" w:fill="auto"/>
            <w:vAlign w:val="center"/>
            <w:hideMark/>
          </w:tcPr>
          <w:p w:rsidR="00D1025D" w:rsidRPr="004E12E8" w:rsidRDefault="00D1025D" w:rsidP="007730AA">
            <w:pPr>
              <w:spacing w:before="0" w:line="240" w:lineRule="auto"/>
              <w:ind w:firstLine="0"/>
              <w:contextualSpacing w:val="0"/>
              <w:rPr>
                <w:rFonts w:eastAsia="Calibri" w:cs="Arial"/>
                <w:b w:val="0"/>
                <w:color w:val="000000"/>
                <w:sz w:val="20"/>
                <w:szCs w:val="20"/>
                <w:lang w:val="hy-AM" w:eastAsia="en-US"/>
              </w:rPr>
            </w:pPr>
            <w:r w:rsidRPr="004E12E8">
              <w:rPr>
                <w:rFonts w:eastAsia="Calibri" w:cs="Arial"/>
                <w:b w:val="0"/>
                <w:color w:val="000000"/>
                <w:sz w:val="20"/>
                <w:szCs w:val="20"/>
                <w:lang w:val="hy-AM" w:eastAsia="en-US"/>
              </w:rPr>
              <w:t>Կառավարության պարտք/ՀՆԱ, %</w:t>
            </w:r>
          </w:p>
        </w:tc>
        <w:tc>
          <w:tcPr>
            <w:tcW w:w="1814" w:type="dxa"/>
            <w:gridSpan w:val="2"/>
            <w:shd w:val="clear" w:color="auto" w:fill="auto"/>
            <w:vAlign w:val="center"/>
            <w:hideMark/>
          </w:tcPr>
          <w:p w:rsidR="00D1025D" w:rsidRPr="004E12E8" w:rsidRDefault="00D1025D" w:rsidP="007730AA">
            <w:pPr>
              <w:spacing w:before="0" w:line="240" w:lineRule="auto"/>
              <w:ind w:firstLine="0"/>
              <w:contextualSpacing w:val="0"/>
              <w:jc w:val="center"/>
              <w:rPr>
                <w:rFonts w:eastAsia="Calibri" w:cs="Arial"/>
                <w:b w:val="0"/>
                <w:color w:val="000000"/>
                <w:szCs w:val="22"/>
                <w:lang w:val="hy-AM" w:eastAsia="en-US"/>
              </w:rPr>
            </w:pPr>
            <w:r w:rsidRPr="004E12E8">
              <w:rPr>
                <w:rFonts w:eastAsia="Calibri" w:cs="Arial"/>
                <w:b w:val="0"/>
                <w:color w:val="000000"/>
                <w:szCs w:val="22"/>
                <w:lang w:val="hy-AM" w:eastAsia="en-US"/>
              </w:rPr>
              <w:t>49.9</w:t>
            </w:r>
          </w:p>
        </w:tc>
        <w:tc>
          <w:tcPr>
            <w:tcW w:w="1722" w:type="dxa"/>
            <w:gridSpan w:val="2"/>
            <w:shd w:val="clear" w:color="auto" w:fill="DBE5F1"/>
            <w:noWrap/>
            <w:vAlign w:val="center"/>
          </w:tcPr>
          <w:p w:rsidR="00D1025D" w:rsidRPr="00A35F45" w:rsidRDefault="00D1025D" w:rsidP="007730AA">
            <w:pPr>
              <w:spacing w:before="0" w:line="240" w:lineRule="auto"/>
              <w:ind w:firstLine="0"/>
              <w:contextualSpacing w:val="0"/>
              <w:jc w:val="center"/>
              <w:rPr>
                <w:rFonts w:eastAsia="Calibri"/>
                <w:b w:val="0"/>
                <w:color w:val="000000"/>
                <w:lang w:val="en-US"/>
              </w:rPr>
            </w:pPr>
            <w:r>
              <w:rPr>
                <w:rFonts w:eastAsia="Calibri" w:cs="Arial"/>
                <w:b w:val="0"/>
                <w:color w:val="000000"/>
                <w:szCs w:val="22"/>
                <w:lang w:val="hy-AM" w:eastAsia="en-US"/>
              </w:rPr>
              <w:t>61.5</w:t>
            </w:r>
          </w:p>
        </w:tc>
        <w:tc>
          <w:tcPr>
            <w:tcW w:w="1736" w:type="dxa"/>
            <w:gridSpan w:val="2"/>
            <w:shd w:val="clear" w:color="auto" w:fill="DBE5F1"/>
            <w:noWrap/>
            <w:vAlign w:val="center"/>
          </w:tcPr>
          <w:p w:rsidR="00D1025D" w:rsidRPr="00A35F45" w:rsidRDefault="00D1025D" w:rsidP="007730AA">
            <w:pPr>
              <w:spacing w:before="0" w:line="240" w:lineRule="auto"/>
              <w:ind w:firstLine="0"/>
              <w:contextualSpacing w:val="0"/>
              <w:jc w:val="center"/>
              <w:rPr>
                <w:rFonts w:eastAsia="Calibri"/>
                <w:b w:val="0"/>
                <w:color w:val="000000"/>
                <w:lang w:val="en-US"/>
              </w:rPr>
            </w:pPr>
            <w:r w:rsidRPr="004E12E8">
              <w:rPr>
                <w:rFonts w:eastAsia="Calibri" w:cs="Arial"/>
                <w:b w:val="0"/>
                <w:color w:val="000000"/>
                <w:szCs w:val="22"/>
                <w:lang w:val="hy-AM" w:eastAsia="en-US"/>
              </w:rPr>
              <w:t>6</w:t>
            </w:r>
            <w:r>
              <w:rPr>
                <w:rFonts w:eastAsia="Calibri" w:cs="Arial"/>
                <w:b w:val="0"/>
                <w:color w:val="000000"/>
                <w:szCs w:val="22"/>
                <w:lang w:val="en-US" w:eastAsia="en-US"/>
              </w:rPr>
              <w:t>6</w:t>
            </w:r>
            <w:r w:rsidRPr="004E12E8">
              <w:rPr>
                <w:rFonts w:eastAsia="Calibri" w:cs="Arial"/>
                <w:b w:val="0"/>
                <w:color w:val="000000"/>
                <w:szCs w:val="22"/>
                <w:lang w:val="hy-AM" w:eastAsia="en-US"/>
              </w:rPr>
              <w:t>.</w:t>
            </w:r>
            <w:r>
              <w:rPr>
                <w:rFonts w:eastAsia="Calibri" w:cs="Arial"/>
                <w:b w:val="0"/>
                <w:color w:val="000000"/>
                <w:szCs w:val="22"/>
                <w:lang w:val="en-US" w:eastAsia="en-US"/>
              </w:rPr>
              <w:t>0</w:t>
            </w:r>
          </w:p>
        </w:tc>
      </w:tr>
    </w:tbl>
    <w:p w:rsidR="00D1025D" w:rsidRPr="004E12E8" w:rsidRDefault="00D1025D" w:rsidP="00506A15">
      <w:pPr>
        <w:spacing w:before="0" w:line="259" w:lineRule="auto"/>
        <w:ind w:left="284" w:firstLine="0"/>
        <w:contextualSpacing w:val="0"/>
        <w:rPr>
          <w:rFonts w:eastAsia="Calibri"/>
          <w:b w:val="0"/>
          <w:i/>
          <w:szCs w:val="22"/>
          <w:lang w:val="hy-AM" w:eastAsia="en-US"/>
        </w:rPr>
      </w:pPr>
      <w:r w:rsidRPr="004E12E8">
        <w:rPr>
          <w:rFonts w:eastAsia="Calibri"/>
          <w:b w:val="0"/>
          <w:i/>
          <w:szCs w:val="22"/>
          <w:lang w:val="hy-AM" w:eastAsia="en-US"/>
        </w:rPr>
        <w:t>*Հաշվարկված է որպես երկու տարի առաջ (t-2) արձանագրված ցուցանիշի նկատմամբ համապատասխան տարվա (t) հավելաճի տեմպի կես</w:t>
      </w:r>
    </w:p>
    <w:p w:rsidR="00D1025D" w:rsidRPr="004E12E8" w:rsidRDefault="00D1025D" w:rsidP="00506A15">
      <w:pPr>
        <w:spacing w:before="0" w:after="120" w:line="259" w:lineRule="auto"/>
        <w:ind w:left="284" w:firstLine="0"/>
        <w:contextualSpacing w:val="0"/>
        <w:rPr>
          <w:rFonts w:eastAsia="Calibri"/>
          <w:b w:val="0"/>
          <w:szCs w:val="22"/>
          <w:lang w:val="hy-AM" w:eastAsia="en-US"/>
        </w:rPr>
      </w:pPr>
      <w:r w:rsidRPr="004E12E8">
        <w:rPr>
          <w:rFonts w:eastAsia="Calibri"/>
          <w:b w:val="0"/>
          <w:i/>
          <w:szCs w:val="22"/>
          <w:lang w:val="hy-AM" w:eastAsia="en-US"/>
        </w:rPr>
        <w:t>**Պետական պարտքի առկա չափի դեպքում կիրառելի չէ</w:t>
      </w:r>
    </w:p>
    <w:p w:rsidR="00D1025D" w:rsidRPr="004E12E8" w:rsidRDefault="00D1025D" w:rsidP="002026A8">
      <w:pPr>
        <w:spacing w:before="0" w:after="120" w:line="276" w:lineRule="auto"/>
        <w:ind w:firstLine="720"/>
        <w:contextualSpacing w:val="0"/>
        <w:rPr>
          <w:rFonts w:eastAsia="Calibri"/>
          <w:b w:val="0"/>
          <w:szCs w:val="22"/>
          <w:lang w:val="hy-AM" w:eastAsia="en-US"/>
        </w:rPr>
      </w:pPr>
      <w:r w:rsidRPr="004E12E8">
        <w:rPr>
          <w:rFonts w:eastAsia="Calibri"/>
          <w:szCs w:val="22"/>
          <w:lang w:val="hy-AM" w:eastAsia="en-US"/>
        </w:rPr>
        <w:t>2020թ</w:t>
      </w:r>
      <w:r w:rsidRPr="004E12E8">
        <w:rPr>
          <w:rFonts w:ascii="Cambria Math" w:eastAsia="Calibri" w:hAnsi="Cambria Math" w:cs="Cambria Math"/>
          <w:szCs w:val="22"/>
          <w:lang w:val="hy-AM" w:eastAsia="en-US"/>
        </w:rPr>
        <w:t>․</w:t>
      </w:r>
      <w:r w:rsidRPr="004E12E8">
        <w:rPr>
          <w:rFonts w:eastAsia="Calibri"/>
          <w:szCs w:val="22"/>
          <w:lang w:val="hy-AM" w:eastAsia="en-US"/>
        </w:rPr>
        <w:t>-ի ծրագրային ցուցանիշները շեղվում են ծախսային կանոններով պահանջվող սահմանագծերից,</w:t>
      </w:r>
      <w:r w:rsidRPr="004E12E8">
        <w:rPr>
          <w:rFonts w:eastAsia="Calibri"/>
          <w:b w:val="0"/>
          <w:szCs w:val="22"/>
          <w:lang w:val="hy-AM" w:eastAsia="en-US"/>
        </w:rPr>
        <w:t xml:space="preserve"> ինչը բացատրվում է կորոնավիրուսի համավարակով պայմանավորված տնտեսական ցնցմամբ, և «ՀՀ բյուջետային համակարգի մասին» ՀՀ օրենքի 21-րդ հոդվածի 8.3 կետով և ՀՀ կառավարության՝ 2018թ. օգոստոսի 23-ի N 942-Ն որոշման 3-րդ կետով նախատեսված դրույթներով և 2020թ</w:t>
      </w:r>
      <w:r w:rsidRPr="004E12E8">
        <w:rPr>
          <w:rFonts w:ascii="Cambria Math" w:eastAsia="Calibri" w:hAnsi="Cambria Math" w:cs="Cambria Math"/>
          <w:b w:val="0"/>
          <w:szCs w:val="22"/>
          <w:lang w:val="hy-AM" w:eastAsia="en-US"/>
        </w:rPr>
        <w:t>․</w:t>
      </w:r>
      <w:r w:rsidRPr="004E12E8">
        <w:rPr>
          <w:rFonts w:eastAsia="Calibri"/>
          <w:b w:val="0"/>
          <w:szCs w:val="22"/>
          <w:lang w:val="hy-AM" w:eastAsia="en-US"/>
        </w:rPr>
        <w:t>-ի ապրիլի 23-ի ՀՀ կառավարության որոշմամբ</w:t>
      </w:r>
      <w:r w:rsidRPr="004E12E8">
        <w:rPr>
          <w:rFonts w:eastAsia="SimSun"/>
          <w:b w:val="0"/>
          <w:szCs w:val="22"/>
          <w:vertAlign w:val="superscript"/>
          <w:lang w:val="hy-AM" w:eastAsia="en-US"/>
        </w:rPr>
        <w:footnoteReference w:id="29"/>
      </w:r>
      <w:r w:rsidRPr="004E12E8">
        <w:rPr>
          <w:rFonts w:eastAsia="Calibri"/>
          <w:b w:val="0"/>
          <w:szCs w:val="22"/>
          <w:lang w:val="hy-AM" w:eastAsia="en-US"/>
        </w:rPr>
        <w:t xml:space="preserve"> համարվում է բացառիկ իրավիճակ։ </w:t>
      </w:r>
    </w:p>
    <w:p w:rsidR="00D1025D" w:rsidRPr="004E12E8" w:rsidRDefault="00D1025D" w:rsidP="002026A8">
      <w:pPr>
        <w:spacing w:before="0" w:after="120" w:line="276" w:lineRule="auto"/>
        <w:ind w:firstLine="720"/>
        <w:contextualSpacing w:val="0"/>
        <w:rPr>
          <w:rFonts w:eastAsia="Calibri"/>
          <w:b w:val="0"/>
          <w:szCs w:val="22"/>
          <w:lang w:val="hy-AM" w:eastAsia="en-US"/>
        </w:rPr>
      </w:pPr>
      <w:r w:rsidRPr="004E12E8">
        <w:rPr>
          <w:rFonts w:eastAsia="Calibri"/>
          <w:b w:val="0"/>
          <w:szCs w:val="22"/>
          <w:lang w:val="hy-AM" w:eastAsia="en-US"/>
        </w:rPr>
        <w:t>Սպասվում է, որ COIVID-19 համավարակի պատճառով ծագած բացառիկ դեպքով պայմանավորված 2020թ</w:t>
      </w:r>
      <w:r w:rsidRPr="004E12E8">
        <w:rPr>
          <w:rFonts w:ascii="Cambria Math" w:eastAsia="Calibri" w:hAnsi="Cambria Math" w:cs="Cambria Math"/>
          <w:b w:val="0"/>
          <w:szCs w:val="22"/>
          <w:lang w:val="hy-AM" w:eastAsia="en-US"/>
        </w:rPr>
        <w:t>․</w:t>
      </w:r>
      <w:r w:rsidRPr="004E12E8">
        <w:rPr>
          <w:rFonts w:eastAsia="Calibri"/>
          <w:b w:val="0"/>
          <w:szCs w:val="22"/>
          <w:lang w:val="hy-AM" w:eastAsia="en-US"/>
        </w:rPr>
        <w:t xml:space="preserve">-ին ՀՀ կառավարության պարտքի բեռը կգերազանցի ՀՆԱ-ում 60% սահմանային շեմից, որի պայմաններում կառավարությունը պետք է ծրագրավորի հարկաբյուջետային կոնսոլիդացիա և նվազեցնի պարտքի բեռը այդ շեմային ցուցանիշից։ </w:t>
      </w:r>
    </w:p>
    <w:p w:rsidR="00D1025D" w:rsidRPr="004E12E8" w:rsidRDefault="00D1025D" w:rsidP="002026A8">
      <w:pPr>
        <w:spacing w:before="0" w:after="120" w:line="276" w:lineRule="auto"/>
        <w:ind w:firstLine="720"/>
        <w:contextualSpacing w:val="0"/>
        <w:rPr>
          <w:rFonts w:eastAsia="Calibri"/>
          <w:b w:val="0"/>
          <w:szCs w:val="22"/>
          <w:lang w:val="hy-AM" w:eastAsia="en-US"/>
        </w:rPr>
      </w:pPr>
      <w:r w:rsidRPr="004E12E8">
        <w:rPr>
          <w:rFonts w:eastAsia="Calibri"/>
          <w:szCs w:val="22"/>
          <w:lang w:val="hy-AM" w:eastAsia="en-US"/>
        </w:rPr>
        <w:t>2021թ</w:t>
      </w:r>
      <w:r w:rsidRPr="004E12E8">
        <w:rPr>
          <w:rFonts w:ascii="Cambria Math" w:eastAsia="Calibri" w:hAnsi="Cambria Math" w:cs="Cambria Math"/>
          <w:szCs w:val="22"/>
          <w:lang w:val="hy-AM" w:eastAsia="en-US"/>
        </w:rPr>
        <w:t>․</w:t>
      </w:r>
      <w:r w:rsidRPr="004E12E8">
        <w:rPr>
          <w:rFonts w:eastAsia="Calibri"/>
          <w:szCs w:val="22"/>
          <w:lang w:val="hy-AM" w:eastAsia="en-US"/>
        </w:rPr>
        <w:t>-ի</w:t>
      </w:r>
      <w:r w:rsidRPr="000C797C">
        <w:rPr>
          <w:rFonts w:eastAsia="Calibri"/>
          <w:szCs w:val="22"/>
          <w:lang w:val="hy-AM" w:eastAsia="en-US"/>
        </w:rPr>
        <w:t>ն</w:t>
      </w:r>
      <w:r w:rsidRPr="004E12E8">
        <w:rPr>
          <w:rFonts w:eastAsia="Calibri"/>
          <w:szCs w:val="22"/>
          <w:lang w:val="hy-AM" w:eastAsia="en-US"/>
        </w:rPr>
        <w:t xml:space="preserve"> նախատեսվում է իրականացնել սահուն հարկաբյուջետային կոնսոլիդացիա՝ միաժամանակ նպատակ դնելով չխաթարել վերականգնման փուլում տնտեսական ակտիվությունը և աջակցել կառուցվածքային բարեփոխումների իրականացմանը: </w:t>
      </w:r>
      <w:r w:rsidRPr="004E12E8">
        <w:rPr>
          <w:rFonts w:eastAsia="Calibri"/>
          <w:b w:val="0"/>
          <w:szCs w:val="22"/>
          <w:lang w:val="hy-AM" w:eastAsia="en-US"/>
        </w:rPr>
        <w:t>Հետևաբար, 2021թ</w:t>
      </w:r>
      <w:r w:rsidRPr="004E12E8">
        <w:rPr>
          <w:rFonts w:ascii="Cambria Math" w:eastAsia="Calibri" w:hAnsi="Cambria Math" w:cs="Cambria Math"/>
          <w:b w:val="0"/>
          <w:szCs w:val="22"/>
          <w:lang w:val="hy-AM" w:eastAsia="en-US"/>
        </w:rPr>
        <w:t>․</w:t>
      </w:r>
      <w:r w:rsidRPr="004E12E8">
        <w:rPr>
          <w:rFonts w:eastAsia="Calibri"/>
          <w:b w:val="0"/>
          <w:szCs w:val="22"/>
          <w:lang w:val="hy-AM" w:eastAsia="en-US"/>
        </w:rPr>
        <w:t xml:space="preserve">-ին նախատեսվում է </w:t>
      </w:r>
      <w:r>
        <w:rPr>
          <w:rFonts w:eastAsia="Calibri"/>
          <w:b w:val="0"/>
          <w:szCs w:val="22"/>
          <w:lang w:val="hy-AM" w:eastAsia="en-US"/>
        </w:rPr>
        <w:t>կտրուկ դանդաղեցնել</w:t>
      </w:r>
      <w:r w:rsidRPr="004E12E8">
        <w:rPr>
          <w:rFonts w:eastAsia="Calibri"/>
          <w:b w:val="0"/>
          <w:szCs w:val="22"/>
          <w:lang w:val="hy-AM" w:eastAsia="en-US"/>
        </w:rPr>
        <w:t xml:space="preserve"> կառավարության պարտքի բեռ</w:t>
      </w:r>
      <w:r>
        <w:rPr>
          <w:rFonts w:eastAsia="Calibri"/>
          <w:b w:val="0"/>
          <w:szCs w:val="22"/>
          <w:lang w:val="hy-AM" w:eastAsia="en-US"/>
        </w:rPr>
        <w:t>ի ավելացման տեմպը</w:t>
      </w:r>
      <w:r w:rsidRPr="004E12E8">
        <w:rPr>
          <w:rFonts w:eastAsia="Calibri"/>
          <w:b w:val="0"/>
          <w:szCs w:val="22"/>
          <w:lang w:val="hy-AM" w:eastAsia="en-US"/>
        </w:rPr>
        <w:t>, ինչը հիմք կհանդիսանա միջնաժամկետ հատվածում հարկաբյուջետային կանոններին համահունչ «առավել անվտանգ մակարդակներ» պարտքի բեռի նվազեցման ճանապարհով պետական պարտքի կայունության ամրապնդման համար։</w:t>
      </w:r>
    </w:p>
    <w:p w:rsidR="00D1025D" w:rsidRPr="004E12E8" w:rsidRDefault="00D1025D" w:rsidP="002026A8">
      <w:pPr>
        <w:spacing w:before="0" w:after="120" w:line="276" w:lineRule="auto"/>
        <w:ind w:firstLine="720"/>
        <w:contextualSpacing w:val="0"/>
        <w:rPr>
          <w:rFonts w:eastAsia="Calibri"/>
          <w:b w:val="0"/>
          <w:szCs w:val="22"/>
          <w:lang w:val="hy-AM" w:eastAsia="en-US"/>
        </w:rPr>
      </w:pPr>
      <w:r w:rsidRPr="004E12E8">
        <w:rPr>
          <w:rFonts w:eastAsia="Calibri"/>
          <w:szCs w:val="22"/>
          <w:lang w:val="hy-AM" w:eastAsia="en-US"/>
        </w:rPr>
        <w:t xml:space="preserve">Միևնույն ժամանակ, 2021թ.-ին ՀՀ կառավարությունը ծրագրում է պահպանել ընթացիկ առաջնային ծախսերի աճի տեմպը հարկաբյուջետային կանոններով նախատեսված՝ ՀՆԱ երկարաժամկետ աճի միտումին համահունչ մակարդակում՝ </w:t>
      </w:r>
      <w:r w:rsidRPr="004E12E8">
        <w:rPr>
          <w:rFonts w:eastAsia="Calibri"/>
          <w:b w:val="0"/>
          <w:szCs w:val="22"/>
          <w:lang w:val="hy-AM" w:eastAsia="en-US"/>
        </w:rPr>
        <w:t>միջնաժամկետ և երկարաժամկետ հատվածում էականորեն զսպելով եկամուտ գեներացնելու կարողություններին առաջանցիկ պարտավորությունների ավելացումը։</w:t>
      </w:r>
    </w:p>
    <w:p w:rsidR="002026A8" w:rsidRDefault="00D1025D" w:rsidP="002026A8">
      <w:pPr>
        <w:spacing w:before="0" w:after="120" w:line="276" w:lineRule="auto"/>
        <w:ind w:firstLine="720"/>
        <w:contextualSpacing w:val="0"/>
        <w:rPr>
          <w:rFonts w:eastAsia="Calibri"/>
          <w:b w:val="0"/>
          <w:szCs w:val="22"/>
          <w:lang w:val="hy-AM" w:eastAsia="en-US"/>
        </w:rPr>
      </w:pPr>
      <w:r w:rsidRPr="004E12E8">
        <w:rPr>
          <w:rFonts w:eastAsia="Calibri"/>
          <w:szCs w:val="22"/>
          <w:lang w:val="hy-AM" w:eastAsia="en-US"/>
        </w:rPr>
        <w:t>Սակայն պետական ֆինանսների «ոսկե կանոնի» սկզբունքով գործող հարկաբյուջետային կանոնին («երբ կառավարության պարտք/ՀՆԱ հարաբերակցությունը գերազանցում է 40%-ը, պետական բյուջեի կապիտալ ծախսերը չպետք է փոքր լինեն բյուջեի պակասուրդից») ամբողջական համապատասխանությունը ևս մեկ տարի չի պահպանվի։</w:t>
      </w:r>
      <w:r w:rsidRPr="004E12E8">
        <w:rPr>
          <w:rFonts w:eastAsia="Calibri"/>
          <w:b w:val="0"/>
          <w:szCs w:val="22"/>
          <w:lang w:val="hy-AM" w:eastAsia="en-US"/>
        </w:rPr>
        <w:t xml:space="preserve"> 2020թ.-ի տնտեսական ցնցման երկարաժամկետ ազդեցություններով պայմանավորված, վերոնշյալ օրենսդրական դրույթներին համապատասխան կարգով, 2021թ.-ին ևս կպահպանվեն բացառիկ դեպքի կարգավորումները: Միևնույն ժամանակ 2021թ.-ին ծրագրվում է կրճատել շեղման չափը</w:t>
      </w:r>
      <w:r w:rsidRPr="00597E94">
        <w:rPr>
          <w:rFonts w:eastAsia="Calibri"/>
          <w:b w:val="0"/>
          <w:szCs w:val="22"/>
          <w:lang w:val="hy-AM" w:eastAsia="en-US"/>
        </w:rPr>
        <w:t>`</w:t>
      </w:r>
      <w:r w:rsidRPr="004E12E8">
        <w:rPr>
          <w:rFonts w:eastAsia="Calibri"/>
          <w:b w:val="0"/>
          <w:szCs w:val="22"/>
          <w:lang w:val="hy-AM" w:eastAsia="en-US"/>
        </w:rPr>
        <w:t xml:space="preserve"> հիմքեր ստեղծելով հաջորդ տարում հարկաբյուջետային կանոնին ամբողջական համապատասխանության ապահովման համար։   </w:t>
      </w:r>
    </w:p>
    <w:p w:rsidR="00D1025D" w:rsidRDefault="00D1025D" w:rsidP="002026A8">
      <w:pPr>
        <w:spacing w:before="0" w:after="120" w:line="276" w:lineRule="auto"/>
        <w:ind w:firstLine="720"/>
        <w:contextualSpacing w:val="0"/>
        <w:rPr>
          <w:rFonts w:eastAsia="Calibri"/>
          <w:b w:val="0"/>
          <w:szCs w:val="22"/>
          <w:lang w:val="hy-AM" w:eastAsia="en-US"/>
        </w:rPr>
      </w:pPr>
      <w:r w:rsidRPr="004E12E8">
        <w:rPr>
          <w:rFonts w:eastAsia="Calibri"/>
          <w:szCs w:val="22"/>
          <w:lang w:val="hy-AM" w:eastAsia="en-US"/>
        </w:rPr>
        <w:t>Միջնաժամկետում նախատեսվում է վերադարձ հարկաբյուջետային կանոնների ամբողջական պահպանմանը:</w:t>
      </w:r>
      <w:r w:rsidRPr="004E12E8">
        <w:rPr>
          <w:rFonts w:eastAsia="Calibri"/>
          <w:b w:val="0"/>
          <w:szCs w:val="22"/>
          <w:lang w:val="hy-AM" w:eastAsia="en-US"/>
        </w:rPr>
        <w:t xml:space="preserve"> Տնտեսության վերականգնմանը զուգահեռ, ՀՀ Կառավարությունը վերադարձ կկատարի հարկաբյուջետային կանոններով սահմանված պետական ֆինանսների «ոսկե կանոնների» ամբողջական պահպանմանը՝ ապահովելով պարտք/ՀՆԱ հարաբերակցության նվազող հետագիծը և ծախսերի կառուցվածքի բարելավումը:</w:t>
      </w:r>
    </w:p>
    <w:p w:rsidR="00D1025D" w:rsidRDefault="00D1025D" w:rsidP="007730AA">
      <w:pPr>
        <w:spacing w:before="0"/>
        <w:ind w:firstLine="0"/>
        <w:rPr>
          <w:rFonts w:eastAsia="Calibri"/>
          <w:b w:val="0"/>
          <w:szCs w:val="22"/>
          <w:lang w:val="hy-AM" w:eastAsia="en-US"/>
        </w:rPr>
      </w:pPr>
    </w:p>
    <w:p w:rsidR="00D1025D" w:rsidRPr="004E12E8" w:rsidRDefault="00D1025D" w:rsidP="007730AA">
      <w:pPr>
        <w:keepNext/>
        <w:keepLines/>
        <w:spacing w:before="0" w:line="312" w:lineRule="auto"/>
        <w:ind w:firstLine="0"/>
        <w:outlineLvl w:val="2"/>
        <w:rPr>
          <w:sz w:val="28"/>
          <w:szCs w:val="28"/>
          <w:lang w:val="hy-AM" w:eastAsia="en-US"/>
        </w:rPr>
      </w:pPr>
      <w:bookmarkStart w:id="143" w:name="_Toc45838555"/>
      <w:bookmarkStart w:id="144" w:name="_Toc46154356"/>
      <w:bookmarkStart w:id="145" w:name="_Toc52452096"/>
      <w:bookmarkStart w:id="146" w:name="_Toc57655457"/>
      <w:r>
        <w:rPr>
          <w:sz w:val="28"/>
          <w:szCs w:val="28"/>
          <w:lang w:val="hy-AM" w:eastAsia="en-US"/>
        </w:rPr>
        <w:t>2.5</w:t>
      </w:r>
      <w:r w:rsidRPr="004E12E8">
        <w:rPr>
          <w:sz w:val="28"/>
          <w:szCs w:val="28"/>
          <w:lang w:val="hy-AM" w:eastAsia="en-US"/>
        </w:rPr>
        <w:t>. ՊԵՏԱԿԱՆ ԲՅՈՒՋԵԻ ՑՈՒՑԱՆԻՇՆԵՐԻ ԿԱՆԽԱՏԵՍՈՒՄՆԵՐԻ ՀԱՄԵՄԱՏԱԿԱՆ ԱՂՅՈՒՍԱԿՆԵՐ</w:t>
      </w:r>
      <w:bookmarkEnd w:id="143"/>
      <w:bookmarkEnd w:id="144"/>
      <w:bookmarkEnd w:id="145"/>
      <w:bookmarkEnd w:id="146"/>
    </w:p>
    <w:p w:rsidR="00D1025D" w:rsidRPr="004E12E8" w:rsidRDefault="00D1025D" w:rsidP="007730AA">
      <w:pPr>
        <w:spacing w:before="0" w:line="276" w:lineRule="auto"/>
        <w:ind w:firstLine="0"/>
        <w:contextualSpacing w:val="0"/>
        <w:rPr>
          <w:rFonts w:eastAsia="Calibri" w:cs="Sylfaen"/>
          <w:b w:val="0"/>
          <w:bCs/>
          <w:i/>
          <w:iCs/>
          <w:color w:val="000000"/>
          <w:sz w:val="20"/>
          <w:szCs w:val="20"/>
          <w:lang w:val="hy-AM" w:eastAsia="en-US"/>
        </w:rPr>
      </w:pPr>
      <w:r w:rsidRPr="004E12E8">
        <w:rPr>
          <w:rFonts w:eastAsia="Calibri"/>
          <w:bCs/>
          <w:i/>
          <w:iCs/>
          <w:color w:val="000000"/>
          <w:szCs w:val="22"/>
          <w:lang w:val="hy-AM" w:eastAsia="en-US"/>
        </w:rPr>
        <w:t>Աղյուսակ 2.</w:t>
      </w:r>
      <w:r w:rsidRPr="00E10C87">
        <w:rPr>
          <w:rFonts w:eastAsia="Calibri"/>
          <w:bCs/>
          <w:i/>
          <w:iCs/>
          <w:color w:val="000000"/>
          <w:szCs w:val="22"/>
          <w:lang w:val="hy-AM" w:eastAsia="en-US"/>
        </w:rPr>
        <w:t>5</w:t>
      </w:r>
      <w:r w:rsidRPr="004E12E8">
        <w:rPr>
          <w:rFonts w:eastAsia="Calibri"/>
          <w:bCs/>
          <w:i/>
          <w:iCs/>
          <w:color w:val="000000"/>
          <w:szCs w:val="22"/>
          <w:lang w:val="hy-AM" w:eastAsia="en-US"/>
        </w:rPr>
        <w:t>.</w:t>
      </w:r>
      <w:r w:rsidRPr="00E10C87">
        <w:rPr>
          <w:rFonts w:eastAsia="Calibri"/>
          <w:bCs/>
          <w:i/>
          <w:iCs/>
          <w:color w:val="000000"/>
          <w:szCs w:val="22"/>
          <w:lang w:val="hy-AM" w:eastAsia="en-US"/>
        </w:rPr>
        <w:t>1.</w:t>
      </w:r>
      <w:r w:rsidRPr="004E12E8">
        <w:rPr>
          <w:rFonts w:eastAsia="Calibri"/>
          <w:bCs/>
          <w:i/>
          <w:iCs/>
          <w:color w:val="000000"/>
          <w:szCs w:val="22"/>
          <w:lang w:val="hy-AM" w:eastAsia="en-US"/>
        </w:rPr>
        <w:t xml:space="preserve"> </w:t>
      </w:r>
      <w:r w:rsidRPr="004E12E8">
        <w:rPr>
          <w:rFonts w:eastAsia="Calibri" w:cs="Sylfaen"/>
          <w:b w:val="0"/>
          <w:bCs/>
          <w:i/>
          <w:iCs/>
          <w:color w:val="000000"/>
          <w:sz w:val="20"/>
          <w:szCs w:val="20"/>
          <w:lang w:val="hy-AM" w:eastAsia="en-US"/>
        </w:rPr>
        <w:t>Պետական բյուջեի եկամուտների կանխատեսումների համեմատական աղյուսակը (մլրդ դրամ)</w:t>
      </w:r>
    </w:p>
    <w:tbl>
      <w:tblPr>
        <w:tblW w:w="8100" w:type="dxa"/>
        <w:jc w:val="center"/>
        <w:tblLook w:val="04A0" w:firstRow="1" w:lastRow="0" w:firstColumn="1" w:lastColumn="0" w:noHBand="0" w:noVBand="1"/>
      </w:tblPr>
      <w:tblGrid>
        <w:gridCol w:w="1440"/>
        <w:gridCol w:w="2790"/>
        <w:gridCol w:w="1260"/>
        <w:gridCol w:w="1350"/>
        <w:gridCol w:w="1260"/>
      </w:tblGrid>
      <w:tr w:rsidR="00D1025D" w:rsidRPr="00E10C87" w:rsidTr="009F0A25">
        <w:trPr>
          <w:trHeight w:val="315"/>
          <w:jc w:val="center"/>
        </w:trPr>
        <w:tc>
          <w:tcPr>
            <w:tcW w:w="1440" w:type="dxa"/>
            <w:tcBorders>
              <w:top w:val="single" w:sz="8" w:space="0" w:color="FFFFFF"/>
              <w:left w:val="single" w:sz="8" w:space="0" w:color="FFFFFF"/>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rPr>
                <w:rFonts w:cs="Calibri"/>
                <w:bCs/>
                <w:color w:val="FFFFFF"/>
                <w:sz w:val="20"/>
                <w:szCs w:val="20"/>
                <w:lang w:val="hy-AM" w:eastAsia="en-US"/>
              </w:rPr>
            </w:pPr>
            <w:r w:rsidRPr="004E12E8">
              <w:rPr>
                <w:rFonts w:cs="Calibri"/>
                <w:bCs/>
                <w:color w:val="FFFFFF"/>
                <w:sz w:val="20"/>
                <w:szCs w:val="20"/>
                <w:lang w:val="hy-AM" w:eastAsia="en-US"/>
              </w:rPr>
              <w:t>Ընդունման տարին</w:t>
            </w:r>
          </w:p>
        </w:tc>
        <w:tc>
          <w:tcPr>
            <w:tcW w:w="279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rPr>
                <w:rFonts w:cs="Calibri"/>
                <w:bCs/>
                <w:color w:val="FFFFFF"/>
                <w:sz w:val="20"/>
                <w:szCs w:val="20"/>
                <w:lang w:val="hy-AM" w:eastAsia="en-US"/>
              </w:rPr>
            </w:pPr>
            <w:r w:rsidRPr="004E12E8">
              <w:rPr>
                <w:rFonts w:cs="Calibri"/>
                <w:bCs/>
                <w:color w:val="FFFFFF"/>
                <w:sz w:val="20"/>
                <w:szCs w:val="20"/>
                <w:lang w:val="hy-AM" w:eastAsia="en-US"/>
              </w:rPr>
              <w:t>Ծրագիր</w:t>
            </w:r>
          </w:p>
        </w:tc>
        <w:tc>
          <w:tcPr>
            <w:tcW w:w="126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2019</w:t>
            </w:r>
          </w:p>
        </w:tc>
        <w:tc>
          <w:tcPr>
            <w:tcW w:w="135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2020</w:t>
            </w:r>
          </w:p>
        </w:tc>
        <w:tc>
          <w:tcPr>
            <w:tcW w:w="126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2021</w:t>
            </w:r>
          </w:p>
        </w:tc>
      </w:tr>
      <w:tr w:rsidR="00D1025D" w:rsidRPr="00E10C87" w:rsidTr="009F0A25">
        <w:trPr>
          <w:trHeight w:val="315"/>
          <w:jc w:val="center"/>
        </w:trPr>
        <w:tc>
          <w:tcPr>
            <w:tcW w:w="144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w:t>
            </w:r>
          </w:p>
        </w:tc>
        <w:tc>
          <w:tcPr>
            <w:tcW w:w="279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Փաստացի</w:t>
            </w:r>
          </w:p>
        </w:tc>
        <w:tc>
          <w:tcPr>
            <w:tcW w:w="126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1,565.5</w:t>
            </w:r>
          </w:p>
        </w:tc>
        <w:tc>
          <w:tcPr>
            <w:tcW w:w="135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26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E10C87" w:rsidTr="009F0A25">
        <w:trPr>
          <w:trHeight w:val="315"/>
          <w:jc w:val="center"/>
        </w:trPr>
        <w:tc>
          <w:tcPr>
            <w:tcW w:w="1440" w:type="dxa"/>
            <w:vMerge/>
            <w:tcBorders>
              <w:top w:val="single" w:sz="8" w:space="0" w:color="2F75B5"/>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23.8%</w:t>
            </w: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E10C87" w:rsidTr="009F0A25">
        <w:trPr>
          <w:trHeight w:val="315"/>
          <w:jc w:val="center"/>
        </w:trPr>
        <w:tc>
          <w:tcPr>
            <w:tcW w:w="144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2019</w:t>
            </w: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ՄԺԾԾ 2020-2022</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1,710.6</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1,858.8</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24.5%</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24.4%</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2020թ. Պետական բյուջե</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1,695.0</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23.9%</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r>
      <w:tr w:rsidR="00D1025D" w:rsidRPr="004E12E8" w:rsidTr="009F0A25">
        <w:trPr>
          <w:trHeight w:val="315"/>
          <w:jc w:val="center"/>
        </w:trPr>
        <w:tc>
          <w:tcPr>
            <w:tcW w:w="144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2020</w:t>
            </w: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 xml:space="preserve"> ՄԺԾԾ 2021-2023</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1,488.7</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1,669.9</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22.9%</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23.4%</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2021թ. Պետական բյուջե</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FD71BC" w:rsidRDefault="00D1025D" w:rsidP="007730AA">
            <w:pPr>
              <w:spacing w:before="0" w:line="240" w:lineRule="auto"/>
              <w:ind w:firstLine="0"/>
              <w:contextualSpacing w:val="0"/>
              <w:jc w:val="right"/>
              <w:rPr>
                <w:rFonts w:cs="Calibri"/>
                <w:b w:val="0"/>
                <w:color w:val="000000"/>
                <w:sz w:val="20"/>
                <w:szCs w:val="20"/>
                <w:lang w:val="hy-AM" w:eastAsia="en-US"/>
              </w:rPr>
            </w:pPr>
            <w:r w:rsidRPr="00FD71BC">
              <w:rPr>
                <w:rFonts w:cs="Calibri"/>
                <w:b w:val="0"/>
                <w:color w:val="000000"/>
                <w:sz w:val="20"/>
                <w:szCs w:val="20"/>
                <w:lang w:val="hy-AM" w:eastAsia="en-US"/>
              </w:rPr>
              <w:t>1</w:t>
            </w:r>
            <w:r>
              <w:rPr>
                <w:rFonts w:cs="Calibri"/>
                <w:b w:val="0"/>
                <w:color w:val="000000"/>
                <w:sz w:val="20"/>
                <w:szCs w:val="20"/>
                <w:lang w:val="en-US" w:eastAsia="en-US"/>
              </w:rPr>
              <w:t>,</w:t>
            </w:r>
            <w:r w:rsidRPr="00FD71BC">
              <w:rPr>
                <w:rFonts w:cs="Calibri"/>
                <w:b w:val="0"/>
                <w:color w:val="000000"/>
                <w:sz w:val="20"/>
                <w:szCs w:val="20"/>
                <w:lang w:val="hy-AM" w:eastAsia="en-US"/>
              </w:rPr>
              <w:t>477.7</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5A2E81" w:rsidRDefault="00D1025D" w:rsidP="007730AA">
            <w:pPr>
              <w:spacing w:before="0" w:line="240" w:lineRule="auto"/>
              <w:ind w:firstLine="0"/>
              <w:contextualSpacing w:val="0"/>
              <w:jc w:val="right"/>
              <w:rPr>
                <w:rFonts w:cs="Calibri"/>
                <w:b w:val="0"/>
                <w:color w:val="000000"/>
                <w:sz w:val="20"/>
                <w:szCs w:val="20"/>
                <w:lang w:val="en-US" w:eastAsia="en-US"/>
              </w:rPr>
            </w:pPr>
            <w:r>
              <w:rPr>
                <w:rFonts w:cs="Calibri"/>
                <w:b w:val="0"/>
                <w:color w:val="000000"/>
                <w:sz w:val="20"/>
                <w:szCs w:val="20"/>
                <w:lang w:val="hy-AM" w:eastAsia="en-US"/>
              </w:rPr>
              <w:t>1,50</w:t>
            </w:r>
            <w:r>
              <w:rPr>
                <w:rFonts w:cs="Calibri"/>
                <w:b w:val="0"/>
                <w:color w:val="000000"/>
                <w:sz w:val="20"/>
                <w:szCs w:val="20"/>
                <w:lang w:val="en-US" w:eastAsia="en-US"/>
              </w:rPr>
              <w:t>9</w:t>
            </w:r>
            <w:r>
              <w:rPr>
                <w:rFonts w:cs="Calibri"/>
                <w:b w:val="0"/>
                <w:color w:val="000000"/>
                <w:sz w:val="20"/>
                <w:szCs w:val="20"/>
                <w:lang w:val="hy-AM" w:eastAsia="en-US"/>
              </w:rPr>
              <w:t>.</w:t>
            </w:r>
            <w:r>
              <w:rPr>
                <w:rFonts w:cs="Calibri"/>
                <w:b w:val="0"/>
                <w:color w:val="000000"/>
                <w:sz w:val="20"/>
                <w:szCs w:val="20"/>
                <w:lang w:val="en-US" w:eastAsia="en-US"/>
              </w:rPr>
              <w:t>5</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w:t>
            </w:r>
            <w:r>
              <w:rPr>
                <w:rFonts w:cs="Calibri"/>
                <w:b w:val="0"/>
                <w:i/>
                <w:iCs/>
                <w:color w:val="000000"/>
                <w:sz w:val="20"/>
                <w:szCs w:val="20"/>
                <w:lang w:val="en-US" w:eastAsia="en-US"/>
              </w:rPr>
              <w:t>4</w:t>
            </w:r>
            <w:r w:rsidRPr="004E12E8">
              <w:rPr>
                <w:rFonts w:cs="Calibri"/>
                <w:b w:val="0"/>
                <w:i/>
                <w:iCs/>
                <w:color w:val="000000"/>
                <w:sz w:val="20"/>
                <w:szCs w:val="20"/>
                <w:lang w:val="hy-AM" w:eastAsia="en-US"/>
              </w:rPr>
              <w:t>.</w:t>
            </w:r>
            <w:r>
              <w:rPr>
                <w:rFonts w:cs="Calibri"/>
                <w:b w:val="0"/>
                <w:i/>
                <w:iCs/>
                <w:color w:val="000000"/>
                <w:sz w:val="20"/>
                <w:szCs w:val="20"/>
                <w:lang w:val="en-US" w:eastAsia="en-US"/>
              </w:rPr>
              <w:t>3</w:t>
            </w:r>
            <w:r w:rsidRPr="004E12E8">
              <w:rPr>
                <w:rFonts w:cs="Calibri"/>
                <w:b w:val="0"/>
                <w:i/>
                <w:iCs/>
                <w:color w:val="000000"/>
                <w:sz w:val="20"/>
                <w:szCs w:val="20"/>
                <w:lang w:val="hy-AM" w:eastAsia="en-US"/>
              </w:rPr>
              <w:t>%</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23.</w:t>
            </w:r>
            <w:r>
              <w:rPr>
                <w:rFonts w:cs="Calibri"/>
                <w:b w:val="0"/>
                <w:i/>
                <w:iCs/>
                <w:color w:val="000000"/>
                <w:sz w:val="20"/>
                <w:szCs w:val="20"/>
                <w:lang w:val="en-US" w:eastAsia="en-US"/>
              </w:rPr>
              <w:t>6</w:t>
            </w:r>
            <w:r w:rsidRPr="004E12E8">
              <w:rPr>
                <w:rFonts w:cs="Calibri"/>
                <w:b w:val="0"/>
                <w:i/>
                <w:iCs/>
                <w:color w:val="000000"/>
                <w:sz w:val="20"/>
                <w:szCs w:val="20"/>
                <w:lang w:val="hy-AM" w:eastAsia="en-US"/>
              </w:rPr>
              <w:t>%</w:t>
            </w:r>
          </w:p>
        </w:tc>
      </w:tr>
    </w:tbl>
    <w:p w:rsidR="00D1025D" w:rsidRPr="004E12E8" w:rsidRDefault="00D1025D" w:rsidP="007730AA">
      <w:pPr>
        <w:spacing w:before="0" w:line="276" w:lineRule="auto"/>
        <w:ind w:firstLine="0"/>
        <w:contextualSpacing w:val="0"/>
        <w:rPr>
          <w:rFonts w:eastAsia="Calibri"/>
          <w:bCs/>
          <w:i/>
          <w:iCs/>
          <w:color w:val="000000"/>
          <w:szCs w:val="22"/>
          <w:lang w:val="hy-AM" w:eastAsia="en-US"/>
        </w:rPr>
      </w:pPr>
    </w:p>
    <w:p w:rsidR="00D1025D" w:rsidRPr="004E12E8" w:rsidRDefault="00D1025D" w:rsidP="007730AA">
      <w:pPr>
        <w:spacing w:before="0" w:line="259" w:lineRule="auto"/>
        <w:ind w:firstLine="0"/>
        <w:contextualSpacing w:val="0"/>
        <w:rPr>
          <w:rFonts w:eastAsia="Calibri"/>
          <w:bCs/>
          <w:i/>
          <w:iCs/>
          <w:sz w:val="20"/>
          <w:szCs w:val="20"/>
          <w:lang w:val="hy-AM" w:eastAsia="en-US"/>
        </w:rPr>
      </w:pPr>
      <w:r w:rsidRPr="004E12E8">
        <w:rPr>
          <w:rFonts w:eastAsia="Calibri"/>
          <w:bCs/>
          <w:i/>
          <w:iCs/>
          <w:color w:val="000000"/>
          <w:szCs w:val="22"/>
          <w:lang w:val="hy-AM" w:eastAsia="en-US"/>
        </w:rPr>
        <w:t>Աղյուսակ 2.</w:t>
      </w:r>
      <w:r w:rsidRPr="00E10C87">
        <w:rPr>
          <w:rFonts w:eastAsia="Calibri"/>
          <w:bCs/>
          <w:i/>
          <w:iCs/>
          <w:color w:val="000000"/>
          <w:szCs w:val="22"/>
          <w:lang w:val="hy-AM" w:eastAsia="en-US"/>
        </w:rPr>
        <w:t>5</w:t>
      </w:r>
      <w:r w:rsidRPr="004E12E8">
        <w:rPr>
          <w:rFonts w:eastAsia="Calibri"/>
          <w:bCs/>
          <w:i/>
          <w:iCs/>
          <w:color w:val="000000"/>
          <w:szCs w:val="22"/>
          <w:lang w:val="hy-AM" w:eastAsia="en-US"/>
        </w:rPr>
        <w:t>.</w:t>
      </w:r>
      <w:r w:rsidRPr="00E10C87">
        <w:rPr>
          <w:rFonts w:eastAsia="Calibri"/>
          <w:bCs/>
          <w:i/>
          <w:iCs/>
          <w:color w:val="000000"/>
          <w:szCs w:val="22"/>
          <w:lang w:val="hy-AM" w:eastAsia="en-US"/>
        </w:rPr>
        <w:t>2.</w:t>
      </w:r>
      <w:r w:rsidRPr="004E12E8">
        <w:rPr>
          <w:rFonts w:eastAsia="Calibri"/>
          <w:bCs/>
          <w:i/>
          <w:iCs/>
          <w:sz w:val="20"/>
          <w:szCs w:val="20"/>
          <w:lang w:val="hy-AM" w:eastAsia="en-US"/>
        </w:rPr>
        <w:t xml:space="preserve"> </w:t>
      </w:r>
      <w:r w:rsidRPr="004E12E8">
        <w:rPr>
          <w:rFonts w:eastAsia="Calibri" w:cs="Sylfaen"/>
          <w:b w:val="0"/>
          <w:bCs/>
          <w:i/>
          <w:iCs/>
          <w:color w:val="000000"/>
          <w:sz w:val="20"/>
          <w:szCs w:val="20"/>
          <w:lang w:val="hy-AM" w:eastAsia="en-US"/>
        </w:rPr>
        <w:t>Պետական բյուջեի հարկային եկամուտների կանխատեսումների համեմատական աղյուսակը (մլրդ դրամ)</w:t>
      </w:r>
    </w:p>
    <w:tbl>
      <w:tblPr>
        <w:tblW w:w="8100" w:type="dxa"/>
        <w:jc w:val="center"/>
        <w:tblLook w:val="04A0" w:firstRow="1" w:lastRow="0" w:firstColumn="1" w:lastColumn="0" w:noHBand="0" w:noVBand="1"/>
      </w:tblPr>
      <w:tblGrid>
        <w:gridCol w:w="1440"/>
        <w:gridCol w:w="2790"/>
        <w:gridCol w:w="1260"/>
        <w:gridCol w:w="1350"/>
        <w:gridCol w:w="1260"/>
      </w:tblGrid>
      <w:tr w:rsidR="00D1025D" w:rsidRPr="00E10C87" w:rsidTr="009F0A25">
        <w:trPr>
          <w:trHeight w:val="315"/>
          <w:jc w:val="center"/>
        </w:trPr>
        <w:tc>
          <w:tcPr>
            <w:tcW w:w="1440" w:type="dxa"/>
            <w:tcBorders>
              <w:top w:val="single" w:sz="8" w:space="0" w:color="FFFFFF"/>
              <w:left w:val="single" w:sz="8" w:space="0" w:color="FFFFFF"/>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rPr>
                <w:rFonts w:cs="Calibri"/>
                <w:bCs/>
                <w:color w:val="FFFFFF"/>
                <w:sz w:val="20"/>
                <w:szCs w:val="20"/>
                <w:lang w:val="hy-AM" w:eastAsia="en-US"/>
              </w:rPr>
            </w:pPr>
            <w:r w:rsidRPr="004E12E8">
              <w:rPr>
                <w:rFonts w:cs="Calibri"/>
                <w:bCs/>
                <w:color w:val="FFFFFF"/>
                <w:sz w:val="20"/>
                <w:szCs w:val="20"/>
                <w:lang w:val="hy-AM" w:eastAsia="en-US"/>
              </w:rPr>
              <w:t>Ընդունման տարին</w:t>
            </w:r>
          </w:p>
        </w:tc>
        <w:tc>
          <w:tcPr>
            <w:tcW w:w="279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rPr>
                <w:rFonts w:cs="Calibri"/>
                <w:bCs/>
                <w:color w:val="FFFFFF"/>
                <w:sz w:val="20"/>
                <w:szCs w:val="20"/>
                <w:lang w:val="hy-AM" w:eastAsia="en-US"/>
              </w:rPr>
            </w:pPr>
            <w:r w:rsidRPr="004E12E8">
              <w:rPr>
                <w:rFonts w:cs="Calibri"/>
                <w:bCs/>
                <w:color w:val="FFFFFF"/>
                <w:sz w:val="20"/>
                <w:szCs w:val="20"/>
                <w:lang w:val="hy-AM" w:eastAsia="en-US"/>
              </w:rPr>
              <w:t>Ծրագիր</w:t>
            </w:r>
          </w:p>
        </w:tc>
        <w:tc>
          <w:tcPr>
            <w:tcW w:w="126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2019</w:t>
            </w:r>
          </w:p>
        </w:tc>
        <w:tc>
          <w:tcPr>
            <w:tcW w:w="135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2020</w:t>
            </w:r>
          </w:p>
        </w:tc>
        <w:tc>
          <w:tcPr>
            <w:tcW w:w="126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2021</w:t>
            </w:r>
          </w:p>
        </w:tc>
      </w:tr>
      <w:tr w:rsidR="00D1025D" w:rsidRPr="00E10C87" w:rsidTr="009F0A25">
        <w:trPr>
          <w:trHeight w:val="315"/>
          <w:jc w:val="center"/>
        </w:trPr>
        <w:tc>
          <w:tcPr>
            <w:tcW w:w="144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w:t>
            </w:r>
          </w:p>
        </w:tc>
        <w:tc>
          <w:tcPr>
            <w:tcW w:w="279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Փաստացի</w:t>
            </w:r>
          </w:p>
        </w:tc>
        <w:tc>
          <w:tcPr>
            <w:tcW w:w="126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1,464.3</w:t>
            </w:r>
          </w:p>
        </w:tc>
        <w:tc>
          <w:tcPr>
            <w:tcW w:w="135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26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E10C87" w:rsidTr="009F0A25">
        <w:trPr>
          <w:trHeight w:val="315"/>
          <w:jc w:val="center"/>
        </w:trPr>
        <w:tc>
          <w:tcPr>
            <w:tcW w:w="1440" w:type="dxa"/>
            <w:vMerge/>
            <w:tcBorders>
              <w:top w:val="single" w:sz="8" w:space="0" w:color="2F75B5"/>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22.3%</w:t>
            </w: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4E12E8" w:rsidTr="009F0A25">
        <w:trPr>
          <w:trHeight w:val="315"/>
          <w:jc w:val="center"/>
        </w:trPr>
        <w:tc>
          <w:tcPr>
            <w:tcW w:w="144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2019</w:t>
            </w: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 xml:space="preserve"> ՄԺԾԾ 2020-2022</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1,621.2</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1,787.5</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23.2%</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23.5%</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2020թ. Պետական բյուջե</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1,602.3</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22.6%</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r>
      <w:tr w:rsidR="00D1025D" w:rsidRPr="004E12E8" w:rsidTr="009F0A25">
        <w:trPr>
          <w:trHeight w:val="330"/>
          <w:jc w:val="center"/>
        </w:trPr>
        <w:tc>
          <w:tcPr>
            <w:tcW w:w="144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2020</w:t>
            </w: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 xml:space="preserve"> ՄԺԾԾ 2021-2023</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1,395.9</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1,600.3</w:t>
            </w:r>
          </w:p>
        </w:tc>
      </w:tr>
      <w:tr w:rsidR="00D1025D" w:rsidRPr="004E12E8" w:rsidTr="009F0A25">
        <w:trPr>
          <w:trHeight w:val="330"/>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21.5%</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22.4%</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2021թ. Պետական բյուջե</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FD71BC" w:rsidRDefault="00D1025D" w:rsidP="007730AA">
            <w:pPr>
              <w:spacing w:before="0" w:line="240" w:lineRule="auto"/>
              <w:ind w:firstLine="0"/>
              <w:contextualSpacing w:val="0"/>
              <w:jc w:val="right"/>
              <w:rPr>
                <w:rFonts w:cs="Calibri"/>
                <w:b w:val="0"/>
                <w:color w:val="000000"/>
                <w:sz w:val="20"/>
                <w:szCs w:val="20"/>
                <w:lang w:val="en-US" w:eastAsia="en-US"/>
              </w:rPr>
            </w:pPr>
            <w:r w:rsidRPr="004E12E8">
              <w:rPr>
                <w:rFonts w:cs="Calibri"/>
                <w:b w:val="0"/>
                <w:color w:val="000000"/>
                <w:sz w:val="20"/>
                <w:szCs w:val="20"/>
                <w:lang w:val="hy-AM" w:eastAsia="en-US"/>
              </w:rPr>
              <w:t>1</w:t>
            </w:r>
            <w:r>
              <w:rPr>
                <w:rFonts w:cs="Calibri"/>
                <w:b w:val="0"/>
                <w:color w:val="000000"/>
                <w:sz w:val="20"/>
                <w:szCs w:val="20"/>
                <w:lang w:val="en-US" w:eastAsia="en-US"/>
              </w:rPr>
              <w:t>,</w:t>
            </w:r>
            <w:r w:rsidRPr="004E12E8">
              <w:rPr>
                <w:rFonts w:cs="Calibri"/>
                <w:b w:val="0"/>
                <w:color w:val="000000"/>
                <w:sz w:val="20"/>
                <w:szCs w:val="20"/>
                <w:lang w:val="hy-AM" w:eastAsia="en-US"/>
              </w:rPr>
              <w:t>3</w:t>
            </w:r>
            <w:r>
              <w:rPr>
                <w:rFonts w:cs="Calibri"/>
                <w:b w:val="0"/>
                <w:color w:val="000000"/>
                <w:sz w:val="20"/>
                <w:szCs w:val="20"/>
                <w:lang w:val="en-US" w:eastAsia="en-US"/>
              </w:rPr>
              <w:t>49</w:t>
            </w:r>
            <w:r w:rsidRPr="004E12E8">
              <w:rPr>
                <w:rFonts w:cs="Calibri"/>
                <w:b w:val="0"/>
                <w:color w:val="000000"/>
                <w:sz w:val="20"/>
                <w:szCs w:val="20"/>
                <w:lang w:val="hy-AM" w:eastAsia="en-US"/>
              </w:rPr>
              <w:t>.</w:t>
            </w:r>
            <w:r>
              <w:rPr>
                <w:rFonts w:cs="Calibri"/>
                <w:b w:val="0"/>
                <w:color w:val="000000"/>
                <w:sz w:val="20"/>
                <w:szCs w:val="20"/>
                <w:lang w:val="en-US" w:eastAsia="en-US"/>
              </w:rPr>
              <w:t>8</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FD71BC" w:rsidRDefault="00D1025D" w:rsidP="007730AA">
            <w:pPr>
              <w:spacing w:before="0" w:line="240" w:lineRule="auto"/>
              <w:ind w:firstLine="0"/>
              <w:contextualSpacing w:val="0"/>
              <w:jc w:val="right"/>
              <w:rPr>
                <w:rFonts w:cs="Calibri"/>
                <w:b w:val="0"/>
                <w:color w:val="000000"/>
                <w:sz w:val="20"/>
                <w:szCs w:val="20"/>
                <w:lang w:val="en-US" w:eastAsia="en-US"/>
              </w:rPr>
            </w:pPr>
            <w:r w:rsidRPr="004E12E8">
              <w:rPr>
                <w:rFonts w:cs="Calibri"/>
                <w:b w:val="0"/>
                <w:color w:val="000000"/>
                <w:sz w:val="20"/>
                <w:szCs w:val="20"/>
                <w:lang w:val="hy-AM" w:eastAsia="en-US"/>
              </w:rPr>
              <w:t>1,</w:t>
            </w:r>
            <w:r>
              <w:rPr>
                <w:rFonts w:cs="Calibri"/>
                <w:b w:val="0"/>
                <w:color w:val="000000"/>
                <w:sz w:val="20"/>
                <w:szCs w:val="20"/>
                <w:lang w:val="en-US" w:eastAsia="en-US"/>
              </w:rPr>
              <w:t>440</w:t>
            </w:r>
            <w:r w:rsidRPr="004E12E8">
              <w:rPr>
                <w:rFonts w:cs="Calibri"/>
                <w:b w:val="0"/>
                <w:color w:val="000000"/>
                <w:sz w:val="20"/>
                <w:szCs w:val="20"/>
                <w:lang w:val="hy-AM" w:eastAsia="en-US"/>
              </w:rPr>
              <w:t>.</w:t>
            </w:r>
            <w:r>
              <w:rPr>
                <w:rFonts w:cs="Calibri"/>
                <w:b w:val="0"/>
                <w:color w:val="000000"/>
                <w:sz w:val="20"/>
                <w:szCs w:val="20"/>
                <w:lang w:val="en-US" w:eastAsia="en-US"/>
              </w:rPr>
              <w:t>1</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FD71BC" w:rsidRDefault="00D1025D" w:rsidP="007730AA">
            <w:pPr>
              <w:spacing w:before="0" w:line="240" w:lineRule="auto"/>
              <w:ind w:firstLine="0"/>
              <w:contextualSpacing w:val="0"/>
              <w:jc w:val="right"/>
              <w:rPr>
                <w:rFonts w:cs="Calibri"/>
                <w:b w:val="0"/>
                <w:i/>
                <w:color w:val="000000"/>
                <w:sz w:val="20"/>
                <w:szCs w:val="20"/>
                <w:lang w:val="hy-AM" w:eastAsia="en-US"/>
              </w:rPr>
            </w:pPr>
            <w:r w:rsidRPr="00FD71BC">
              <w:rPr>
                <w:rFonts w:cs="Calibri"/>
                <w:b w:val="0"/>
                <w:i/>
                <w:color w:val="000000"/>
                <w:sz w:val="20"/>
                <w:szCs w:val="20"/>
                <w:lang w:val="en-US" w:eastAsia="en-US"/>
              </w:rPr>
              <w:t>22.2</w:t>
            </w:r>
            <w:r w:rsidRPr="00FD71BC">
              <w:rPr>
                <w:rFonts w:cs="Calibri"/>
                <w:b w:val="0"/>
                <w:i/>
                <w:color w:val="000000"/>
                <w:sz w:val="20"/>
                <w:szCs w:val="20"/>
                <w:lang w:val="hy-AM" w:eastAsia="en-US"/>
              </w:rPr>
              <w:t>%</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FD71BC" w:rsidRDefault="00D1025D" w:rsidP="007730AA">
            <w:pPr>
              <w:spacing w:before="0" w:line="240" w:lineRule="auto"/>
              <w:ind w:firstLine="0"/>
              <w:contextualSpacing w:val="0"/>
              <w:jc w:val="right"/>
              <w:rPr>
                <w:rFonts w:cs="Calibri"/>
                <w:b w:val="0"/>
                <w:i/>
                <w:iCs/>
                <w:color w:val="000000"/>
                <w:sz w:val="20"/>
                <w:szCs w:val="20"/>
                <w:lang w:val="hy-AM" w:eastAsia="en-US"/>
              </w:rPr>
            </w:pPr>
            <w:r w:rsidRPr="00FD71BC">
              <w:rPr>
                <w:rFonts w:cs="Calibri"/>
                <w:b w:val="0"/>
                <w:i/>
                <w:iCs/>
                <w:color w:val="000000"/>
                <w:sz w:val="20"/>
                <w:szCs w:val="20"/>
                <w:lang w:val="hy-AM" w:eastAsia="en-US"/>
              </w:rPr>
              <w:t>22.</w:t>
            </w:r>
            <w:r>
              <w:rPr>
                <w:rFonts w:cs="Calibri"/>
                <w:b w:val="0"/>
                <w:i/>
                <w:iCs/>
                <w:color w:val="000000"/>
                <w:sz w:val="20"/>
                <w:szCs w:val="20"/>
                <w:lang w:val="en-US" w:eastAsia="en-US"/>
              </w:rPr>
              <w:t>5</w:t>
            </w:r>
            <w:r w:rsidRPr="00FD71BC">
              <w:rPr>
                <w:rFonts w:cs="Calibri"/>
                <w:b w:val="0"/>
                <w:i/>
                <w:iCs/>
                <w:color w:val="000000"/>
                <w:sz w:val="20"/>
                <w:szCs w:val="20"/>
                <w:lang w:val="hy-AM" w:eastAsia="en-US"/>
              </w:rPr>
              <w:t>%</w:t>
            </w:r>
          </w:p>
        </w:tc>
      </w:tr>
    </w:tbl>
    <w:p w:rsidR="00D1025D" w:rsidRPr="004E12E8" w:rsidRDefault="00D1025D" w:rsidP="007730AA">
      <w:pPr>
        <w:spacing w:before="0" w:line="259" w:lineRule="auto"/>
        <w:ind w:firstLine="0"/>
        <w:contextualSpacing w:val="0"/>
        <w:rPr>
          <w:rFonts w:eastAsia="Calibri"/>
          <w:bCs/>
          <w:i/>
          <w:iCs/>
          <w:color w:val="000000"/>
          <w:szCs w:val="22"/>
          <w:lang w:val="hy-AM" w:eastAsia="en-US"/>
        </w:rPr>
      </w:pPr>
    </w:p>
    <w:p w:rsidR="00D1025D" w:rsidRPr="004E12E8" w:rsidRDefault="00D1025D" w:rsidP="007730AA">
      <w:pPr>
        <w:spacing w:before="0" w:line="259" w:lineRule="auto"/>
        <w:ind w:firstLine="0"/>
        <w:contextualSpacing w:val="0"/>
        <w:rPr>
          <w:rFonts w:eastAsia="Calibri" w:cs="Sylfaen"/>
          <w:b w:val="0"/>
          <w:bCs/>
          <w:i/>
          <w:iCs/>
          <w:color w:val="000000"/>
          <w:sz w:val="20"/>
          <w:szCs w:val="20"/>
          <w:lang w:val="hy-AM" w:eastAsia="en-US"/>
        </w:rPr>
      </w:pPr>
      <w:r w:rsidRPr="004E12E8">
        <w:rPr>
          <w:rFonts w:eastAsia="Calibri"/>
          <w:bCs/>
          <w:i/>
          <w:iCs/>
          <w:color w:val="000000"/>
          <w:szCs w:val="22"/>
          <w:lang w:val="hy-AM" w:eastAsia="en-US"/>
        </w:rPr>
        <w:t>Աղյուսակ 2.</w:t>
      </w:r>
      <w:r w:rsidRPr="00E10C87">
        <w:rPr>
          <w:rFonts w:eastAsia="Calibri"/>
          <w:bCs/>
          <w:i/>
          <w:iCs/>
          <w:color w:val="000000"/>
          <w:szCs w:val="22"/>
          <w:lang w:val="hy-AM" w:eastAsia="en-US"/>
        </w:rPr>
        <w:t>5.3.</w:t>
      </w:r>
      <w:r w:rsidRPr="004E12E8">
        <w:rPr>
          <w:rFonts w:eastAsia="Calibri"/>
          <w:bCs/>
          <w:i/>
          <w:iCs/>
          <w:sz w:val="20"/>
          <w:szCs w:val="20"/>
          <w:lang w:val="hy-AM" w:eastAsia="en-US"/>
        </w:rPr>
        <w:t xml:space="preserve"> </w:t>
      </w:r>
      <w:r w:rsidRPr="004E12E8">
        <w:rPr>
          <w:rFonts w:eastAsia="Calibri" w:cs="Sylfaen"/>
          <w:b w:val="0"/>
          <w:bCs/>
          <w:i/>
          <w:iCs/>
          <w:color w:val="000000"/>
          <w:sz w:val="20"/>
          <w:szCs w:val="20"/>
          <w:lang w:val="hy-AM" w:eastAsia="en-US"/>
        </w:rPr>
        <w:t>Պետական բյուջեի ծախսերի կանխատեսումների համեմատական աղյուսակը (մլրդ դրամ)</w:t>
      </w:r>
    </w:p>
    <w:tbl>
      <w:tblPr>
        <w:tblW w:w="8100" w:type="dxa"/>
        <w:jc w:val="center"/>
        <w:tblLook w:val="04A0" w:firstRow="1" w:lastRow="0" w:firstColumn="1" w:lastColumn="0" w:noHBand="0" w:noVBand="1"/>
      </w:tblPr>
      <w:tblGrid>
        <w:gridCol w:w="1440"/>
        <w:gridCol w:w="2790"/>
        <w:gridCol w:w="1260"/>
        <w:gridCol w:w="1350"/>
        <w:gridCol w:w="1260"/>
      </w:tblGrid>
      <w:tr w:rsidR="00D1025D" w:rsidRPr="00E10C87" w:rsidTr="009F0A25">
        <w:trPr>
          <w:trHeight w:val="315"/>
          <w:jc w:val="center"/>
        </w:trPr>
        <w:tc>
          <w:tcPr>
            <w:tcW w:w="1440" w:type="dxa"/>
            <w:tcBorders>
              <w:top w:val="single" w:sz="8" w:space="0" w:color="FFFFFF"/>
              <w:left w:val="single" w:sz="8" w:space="0" w:color="FFFFFF"/>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rPr>
                <w:rFonts w:cs="Calibri"/>
                <w:bCs/>
                <w:color w:val="FFFFFF"/>
                <w:sz w:val="20"/>
                <w:szCs w:val="20"/>
                <w:lang w:val="hy-AM" w:eastAsia="en-US"/>
              </w:rPr>
            </w:pPr>
            <w:r w:rsidRPr="004E12E8">
              <w:rPr>
                <w:rFonts w:cs="Calibri"/>
                <w:bCs/>
                <w:color w:val="FFFFFF"/>
                <w:sz w:val="20"/>
                <w:szCs w:val="20"/>
                <w:lang w:val="hy-AM" w:eastAsia="en-US"/>
              </w:rPr>
              <w:t>Ընդունման տարին</w:t>
            </w:r>
          </w:p>
        </w:tc>
        <w:tc>
          <w:tcPr>
            <w:tcW w:w="279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rPr>
                <w:rFonts w:cs="Calibri"/>
                <w:bCs/>
                <w:color w:val="FFFFFF"/>
                <w:sz w:val="20"/>
                <w:szCs w:val="20"/>
                <w:lang w:val="hy-AM" w:eastAsia="en-US"/>
              </w:rPr>
            </w:pPr>
            <w:r w:rsidRPr="004E12E8">
              <w:rPr>
                <w:rFonts w:cs="Calibri"/>
                <w:bCs/>
                <w:color w:val="FFFFFF"/>
                <w:sz w:val="20"/>
                <w:szCs w:val="20"/>
                <w:lang w:val="hy-AM" w:eastAsia="en-US"/>
              </w:rPr>
              <w:t>Ծրագիր</w:t>
            </w:r>
          </w:p>
        </w:tc>
        <w:tc>
          <w:tcPr>
            <w:tcW w:w="126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2019</w:t>
            </w:r>
          </w:p>
        </w:tc>
        <w:tc>
          <w:tcPr>
            <w:tcW w:w="135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2020</w:t>
            </w:r>
          </w:p>
        </w:tc>
        <w:tc>
          <w:tcPr>
            <w:tcW w:w="126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2021</w:t>
            </w:r>
          </w:p>
        </w:tc>
      </w:tr>
      <w:tr w:rsidR="00D1025D" w:rsidRPr="00E10C87" w:rsidTr="009F0A25">
        <w:trPr>
          <w:trHeight w:val="315"/>
          <w:jc w:val="center"/>
        </w:trPr>
        <w:tc>
          <w:tcPr>
            <w:tcW w:w="144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w:t>
            </w:r>
          </w:p>
        </w:tc>
        <w:tc>
          <w:tcPr>
            <w:tcW w:w="279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Փաստացի</w:t>
            </w:r>
          </w:p>
        </w:tc>
        <w:tc>
          <w:tcPr>
            <w:tcW w:w="126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1,629.4</w:t>
            </w:r>
          </w:p>
        </w:tc>
        <w:tc>
          <w:tcPr>
            <w:tcW w:w="135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26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E10C87" w:rsidTr="009F0A25">
        <w:trPr>
          <w:trHeight w:val="315"/>
          <w:jc w:val="center"/>
        </w:trPr>
        <w:tc>
          <w:tcPr>
            <w:tcW w:w="1440" w:type="dxa"/>
            <w:vMerge/>
            <w:tcBorders>
              <w:top w:val="single" w:sz="8" w:space="0" w:color="2F75B5"/>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24.8%</w:t>
            </w: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4E12E8" w:rsidTr="009F0A25">
        <w:trPr>
          <w:trHeight w:val="315"/>
          <w:jc w:val="center"/>
        </w:trPr>
        <w:tc>
          <w:tcPr>
            <w:tcW w:w="144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2019</w:t>
            </w: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 xml:space="preserve"> ՄԺԾԾ 2020-2022</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1,868.2</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2,027.7</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26.8%</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26.6%</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2020թ. Պետական բյուջե</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1,855.7</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26.2%</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r>
      <w:tr w:rsidR="00D1025D" w:rsidRPr="004E12E8" w:rsidTr="009F0A25">
        <w:trPr>
          <w:trHeight w:val="315"/>
          <w:jc w:val="center"/>
        </w:trPr>
        <w:tc>
          <w:tcPr>
            <w:tcW w:w="144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2020</w:t>
            </w: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 xml:space="preserve"> ՄԺԾԾ 2021-2023</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1,850.2</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1,879.0</w:t>
            </w:r>
          </w:p>
        </w:tc>
      </w:tr>
      <w:tr w:rsidR="00D1025D" w:rsidRPr="004E12E8" w:rsidTr="009F0A25">
        <w:trPr>
          <w:trHeight w:val="330"/>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28.4%</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26.3%</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2021թ. Պետական բյուջե</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742533" w:rsidRDefault="00D1025D" w:rsidP="007730AA">
            <w:pPr>
              <w:spacing w:before="0" w:line="240" w:lineRule="auto"/>
              <w:ind w:firstLine="0"/>
              <w:contextualSpacing w:val="0"/>
              <w:jc w:val="right"/>
              <w:rPr>
                <w:rFonts w:cs="Calibri"/>
                <w:b w:val="0"/>
                <w:color w:val="000000"/>
                <w:sz w:val="20"/>
                <w:szCs w:val="20"/>
                <w:lang w:val="en-US" w:eastAsia="en-US"/>
              </w:rPr>
            </w:pPr>
            <w:r>
              <w:rPr>
                <w:rFonts w:cs="Calibri"/>
                <w:b w:val="0"/>
                <w:color w:val="000000"/>
                <w:sz w:val="20"/>
                <w:szCs w:val="20"/>
                <w:lang w:val="en-US" w:eastAsia="en-US"/>
              </w:rPr>
              <w:t>1,907.4</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8E78EE"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w:t>
            </w:r>
            <w:r>
              <w:rPr>
                <w:rFonts w:cs="Calibri"/>
                <w:b w:val="0"/>
                <w:color w:val="000000"/>
                <w:sz w:val="20"/>
                <w:szCs w:val="20"/>
                <w:lang w:val="en-US" w:eastAsia="en-US"/>
              </w:rPr>
              <w:t>85</w:t>
            </w:r>
            <w:r>
              <w:rPr>
                <w:rFonts w:cs="Calibri"/>
                <w:b w:val="0"/>
                <w:color w:val="000000"/>
                <w:sz w:val="20"/>
                <w:szCs w:val="20"/>
                <w:lang w:val="hy-AM" w:eastAsia="en-US"/>
              </w:rPr>
              <w:t>0</w:t>
            </w:r>
            <w:r>
              <w:rPr>
                <w:rFonts w:cs="Calibri"/>
                <w:b w:val="0"/>
                <w:color w:val="000000"/>
                <w:sz w:val="20"/>
                <w:szCs w:val="20"/>
                <w:lang w:val="en-US" w:eastAsia="en-US"/>
              </w:rPr>
              <w:t>.</w:t>
            </w:r>
            <w:r>
              <w:rPr>
                <w:rFonts w:cs="Calibri"/>
                <w:b w:val="0"/>
                <w:color w:val="000000"/>
                <w:sz w:val="20"/>
                <w:szCs w:val="20"/>
                <w:lang w:val="hy-AM" w:eastAsia="en-US"/>
              </w:rPr>
              <w:t>9</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742533" w:rsidRDefault="00D1025D" w:rsidP="007730AA">
            <w:pPr>
              <w:spacing w:before="0" w:line="240" w:lineRule="auto"/>
              <w:ind w:firstLine="0"/>
              <w:contextualSpacing w:val="0"/>
              <w:jc w:val="right"/>
              <w:rPr>
                <w:rFonts w:cs="Calibri"/>
                <w:b w:val="0"/>
                <w:i/>
                <w:color w:val="000000"/>
                <w:sz w:val="20"/>
                <w:szCs w:val="20"/>
                <w:lang w:val="hy-AM" w:eastAsia="en-US"/>
              </w:rPr>
            </w:pPr>
            <w:r w:rsidRPr="00742533">
              <w:rPr>
                <w:rFonts w:cs="Calibri"/>
                <w:b w:val="0"/>
                <w:i/>
                <w:color w:val="000000"/>
                <w:sz w:val="20"/>
                <w:szCs w:val="20"/>
                <w:lang w:val="en-US" w:eastAsia="en-US"/>
              </w:rPr>
              <w:t>31.4</w:t>
            </w:r>
            <w:r w:rsidRPr="00742533">
              <w:rPr>
                <w:rFonts w:cs="Calibri"/>
                <w:b w:val="0"/>
                <w:i/>
                <w:color w:val="000000"/>
                <w:sz w:val="20"/>
                <w:szCs w:val="20"/>
                <w:lang w:val="hy-AM" w:eastAsia="en-US"/>
              </w:rPr>
              <w:t>%</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Pr>
                <w:rFonts w:cs="Calibri"/>
                <w:b w:val="0"/>
                <w:i/>
                <w:iCs/>
                <w:color w:val="000000"/>
                <w:sz w:val="20"/>
                <w:szCs w:val="20"/>
                <w:lang w:val="hy-AM" w:eastAsia="en-US"/>
              </w:rPr>
              <w:t>28.9</w:t>
            </w:r>
            <w:r w:rsidRPr="004E12E8">
              <w:rPr>
                <w:rFonts w:cs="Calibri"/>
                <w:b w:val="0"/>
                <w:i/>
                <w:iCs/>
                <w:color w:val="000000"/>
                <w:sz w:val="20"/>
                <w:szCs w:val="20"/>
                <w:lang w:val="hy-AM" w:eastAsia="en-US"/>
              </w:rPr>
              <w:t>%</w:t>
            </w:r>
          </w:p>
        </w:tc>
      </w:tr>
    </w:tbl>
    <w:p w:rsidR="00D1025D" w:rsidRPr="004E12E8" w:rsidRDefault="00D1025D" w:rsidP="007730AA">
      <w:pPr>
        <w:spacing w:before="0" w:line="259" w:lineRule="auto"/>
        <w:ind w:firstLine="0"/>
        <w:contextualSpacing w:val="0"/>
        <w:rPr>
          <w:rFonts w:eastAsia="Calibri" w:cs="Sylfaen"/>
          <w:b w:val="0"/>
          <w:bCs/>
          <w:i/>
          <w:iCs/>
          <w:color w:val="000000"/>
          <w:sz w:val="20"/>
          <w:szCs w:val="20"/>
          <w:lang w:val="hy-AM" w:eastAsia="en-US"/>
        </w:rPr>
      </w:pPr>
    </w:p>
    <w:p w:rsidR="00D1025D" w:rsidRPr="004E12E8" w:rsidRDefault="00D1025D" w:rsidP="007730AA">
      <w:pPr>
        <w:spacing w:before="0" w:line="259" w:lineRule="auto"/>
        <w:ind w:firstLine="0"/>
        <w:contextualSpacing w:val="0"/>
        <w:rPr>
          <w:rFonts w:eastAsia="Calibri" w:cs="Sylfaen"/>
          <w:b w:val="0"/>
          <w:bCs/>
          <w:i/>
          <w:iCs/>
          <w:color w:val="000000"/>
          <w:sz w:val="20"/>
          <w:szCs w:val="20"/>
          <w:lang w:val="hy-AM" w:eastAsia="en-US"/>
        </w:rPr>
      </w:pPr>
      <w:r w:rsidRPr="004E12E8">
        <w:rPr>
          <w:rFonts w:eastAsia="Calibri"/>
          <w:bCs/>
          <w:i/>
          <w:iCs/>
          <w:color w:val="000000"/>
          <w:szCs w:val="22"/>
          <w:lang w:val="hy-AM" w:eastAsia="en-US"/>
        </w:rPr>
        <w:t>Աղյուսակ 2.</w:t>
      </w:r>
      <w:r w:rsidRPr="00E10C87">
        <w:rPr>
          <w:rFonts w:eastAsia="Calibri"/>
          <w:bCs/>
          <w:i/>
          <w:iCs/>
          <w:color w:val="000000"/>
          <w:szCs w:val="22"/>
          <w:lang w:val="hy-AM" w:eastAsia="en-US"/>
        </w:rPr>
        <w:t>5</w:t>
      </w:r>
      <w:r w:rsidRPr="004E12E8">
        <w:rPr>
          <w:rFonts w:eastAsia="Calibri"/>
          <w:bCs/>
          <w:i/>
          <w:iCs/>
          <w:color w:val="000000"/>
          <w:szCs w:val="22"/>
          <w:lang w:val="hy-AM" w:eastAsia="en-US"/>
        </w:rPr>
        <w:t>.</w:t>
      </w:r>
      <w:r w:rsidRPr="00E10C87">
        <w:rPr>
          <w:rFonts w:eastAsia="Calibri"/>
          <w:bCs/>
          <w:i/>
          <w:iCs/>
          <w:color w:val="000000"/>
          <w:szCs w:val="22"/>
          <w:lang w:val="hy-AM" w:eastAsia="en-US"/>
        </w:rPr>
        <w:t>4.</w:t>
      </w:r>
      <w:r w:rsidRPr="004E12E8">
        <w:rPr>
          <w:rFonts w:eastAsia="Calibri"/>
          <w:bCs/>
          <w:i/>
          <w:iCs/>
          <w:sz w:val="20"/>
          <w:szCs w:val="20"/>
          <w:lang w:val="hy-AM" w:eastAsia="en-US"/>
        </w:rPr>
        <w:t xml:space="preserve"> </w:t>
      </w:r>
      <w:r w:rsidRPr="004E12E8">
        <w:rPr>
          <w:rFonts w:eastAsia="Calibri" w:cs="Sylfaen"/>
          <w:b w:val="0"/>
          <w:bCs/>
          <w:i/>
          <w:iCs/>
          <w:color w:val="000000"/>
          <w:sz w:val="20"/>
          <w:szCs w:val="20"/>
          <w:lang w:val="hy-AM" w:eastAsia="en-US"/>
        </w:rPr>
        <w:t>Պետական բյուջեի ընթացիկ ծախսերի կանխատեսումների համեմատական աղյուսակը (մլրդ դրամ)</w:t>
      </w:r>
    </w:p>
    <w:tbl>
      <w:tblPr>
        <w:tblW w:w="8100" w:type="dxa"/>
        <w:jc w:val="center"/>
        <w:tblLook w:val="04A0" w:firstRow="1" w:lastRow="0" w:firstColumn="1" w:lastColumn="0" w:noHBand="0" w:noVBand="1"/>
      </w:tblPr>
      <w:tblGrid>
        <w:gridCol w:w="1440"/>
        <w:gridCol w:w="2790"/>
        <w:gridCol w:w="1260"/>
        <w:gridCol w:w="1350"/>
        <w:gridCol w:w="1260"/>
      </w:tblGrid>
      <w:tr w:rsidR="00D1025D" w:rsidRPr="00E10C87" w:rsidTr="009F0A25">
        <w:trPr>
          <w:trHeight w:val="315"/>
          <w:jc w:val="center"/>
        </w:trPr>
        <w:tc>
          <w:tcPr>
            <w:tcW w:w="1440" w:type="dxa"/>
            <w:tcBorders>
              <w:top w:val="single" w:sz="8" w:space="0" w:color="FFFFFF"/>
              <w:left w:val="single" w:sz="8" w:space="0" w:color="FFFFFF"/>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rPr>
                <w:rFonts w:cs="Calibri"/>
                <w:bCs/>
                <w:color w:val="FFFFFF"/>
                <w:sz w:val="20"/>
                <w:szCs w:val="20"/>
                <w:lang w:val="hy-AM" w:eastAsia="en-US"/>
              </w:rPr>
            </w:pPr>
            <w:r w:rsidRPr="004E12E8">
              <w:rPr>
                <w:rFonts w:cs="Calibri"/>
                <w:bCs/>
                <w:color w:val="FFFFFF"/>
                <w:sz w:val="20"/>
                <w:szCs w:val="20"/>
                <w:lang w:val="hy-AM" w:eastAsia="en-US"/>
              </w:rPr>
              <w:t>Ընդունման տարին</w:t>
            </w:r>
          </w:p>
        </w:tc>
        <w:tc>
          <w:tcPr>
            <w:tcW w:w="279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rPr>
                <w:rFonts w:cs="Calibri"/>
                <w:bCs/>
                <w:color w:val="FFFFFF"/>
                <w:sz w:val="20"/>
                <w:szCs w:val="20"/>
                <w:lang w:val="hy-AM" w:eastAsia="en-US"/>
              </w:rPr>
            </w:pPr>
            <w:r w:rsidRPr="004E12E8">
              <w:rPr>
                <w:rFonts w:cs="Calibri"/>
                <w:bCs/>
                <w:color w:val="FFFFFF"/>
                <w:sz w:val="20"/>
                <w:szCs w:val="20"/>
                <w:lang w:val="hy-AM" w:eastAsia="en-US"/>
              </w:rPr>
              <w:t>Ծրագիր</w:t>
            </w:r>
          </w:p>
        </w:tc>
        <w:tc>
          <w:tcPr>
            <w:tcW w:w="126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2019</w:t>
            </w:r>
          </w:p>
        </w:tc>
        <w:tc>
          <w:tcPr>
            <w:tcW w:w="135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2020</w:t>
            </w:r>
          </w:p>
        </w:tc>
        <w:tc>
          <w:tcPr>
            <w:tcW w:w="1260" w:type="dxa"/>
            <w:tcBorders>
              <w:top w:val="single" w:sz="8" w:space="0" w:color="FFFFFF"/>
              <w:left w:val="nil"/>
              <w:bottom w:val="nil"/>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2021</w:t>
            </w:r>
          </w:p>
        </w:tc>
      </w:tr>
      <w:tr w:rsidR="00D1025D" w:rsidRPr="00E10C87" w:rsidTr="009F0A25">
        <w:trPr>
          <w:trHeight w:val="315"/>
          <w:jc w:val="center"/>
        </w:trPr>
        <w:tc>
          <w:tcPr>
            <w:tcW w:w="144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w:t>
            </w:r>
          </w:p>
        </w:tc>
        <w:tc>
          <w:tcPr>
            <w:tcW w:w="279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Փաստացի</w:t>
            </w:r>
          </w:p>
        </w:tc>
        <w:tc>
          <w:tcPr>
            <w:tcW w:w="126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1,437.1</w:t>
            </w:r>
          </w:p>
        </w:tc>
        <w:tc>
          <w:tcPr>
            <w:tcW w:w="135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260" w:type="dxa"/>
            <w:tcBorders>
              <w:top w:val="single" w:sz="8" w:space="0" w:color="2F75B5"/>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E10C87" w:rsidTr="009F0A25">
        <w:trPr>
          <w:trHeight w:val="315"/>
          <w:jc w:val="center"/>
        </w:trPr>
        <w:tc>
          <w:tcPr>
            <w:tcW w:w="1440" w:type="dxa"/>
            <w:vMerge/>
            <w:tcBorders>
              <w:top w:val="single" w:sz="8" w:space="0" w:color="2F75B5"/>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21.9%</w:t>
            </w: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4E12E8" w:rsidTr="009F0A25">
        <w:trPr>
          <w:trHeight w:val="315"/>
          <w:jc w:val="center"/>
        </w:trPr>
        <w:tc>
          <w:tcPr>
            <w:tcW w:w="144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2019</w:t>
            </w: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 xml:space="preserve"> ՄԺԾԾ 2020-2022</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1,479.9</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1,568.3</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21.2%</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20.6%</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2020թ. Պետական բյուջե</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1,568.0</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22.1%</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r>
      <w:tr w:rsidR="00D1025D" w:rsidRPr="004E12E8" w:rsidTr="009F0A25">
        <w:trPr>
          <w:trHeight w:val="330"/>
          <w:jc w:val="center"/>
        </w:trPr>
        <w:tc>
          <w:tcPr>
            <w:tcW w:w="144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2020</w:t>
            </w: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 xml:space="preserve"> ՄԺԾԾ 2021-2023</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1,628.0</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1,629.0</w:t>
            </w:r>
          </w:p>
        </w:tc>
      </w:tr>
      <w:tr w:rsidR="00D1025D" w:rsidRPr="004E12E8" w:rsidTr="009F0A25">
        <w:trPr>
          <w:trHeight w:val="330"/>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25.0%</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22.8%</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2021թ. Պետական բյուջե</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F86D63" w:rsidRDefault="00D1025D" w:rsidP="007730AA">
            <w:pPr>
              <w:spacing w:before="0" w:line="240" w:lineRule="auto"/>
              <w:ind w:firstLine="0"/>
              <w:contextualSpacing w:val="0"/>
              <w:jc w:val="right"/>
              <w:rPr>
                <w:rFonts w:cs="Calibri"/>
                <w:b w:val="0"/>
                <w:color w:val="000000"/>
                <w:sz w:val="20"/>
                <w:szCs w:val="20"/>
                <w:lang w:val="en-US" w:eastAsia="en-US"/>
              </w:rPr>
            </w:pPr>
            <w:r>
              <w:rPr>
                <w:rFonts w:cs="Calibri"/>
                <w:b w:val="0"/>
                <w:color w:val="000000"/>
                <w:sz w:val="20"/>
                <w:szCs w:val="20"/>
                <w:lang w:val="en-US" w:eastAsia="en-US"/>
              </w:rPr>
              <w:t>1,622.7</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8E78EE"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w:t>
            </w:r>
            <w:r>
              <w:rPr>
                <w:rFonts w:cs="Calibri"/>
                <w:b w:val="0"/>
                <w:color w:val="000000"/>
                <w:sz w:val="20"/>
                <w:szCs w:val="20"/>
                <w:lang w:val="en-US" w:eastAsia="en-US"/>
              </w:rPr>
              <w:t>6</w:t>
            </w:r>
            <w:r>
              <w:rPr>
                <w:rFonts w:cs="Calibri"/>
                <w:b w:val="0"/>
                <w:color w:val="000000"/>
                <w:sz w:val="20"/>
                <w:szCs w:val="20"/>
                <w:lang w:val="hy-AM" w:eastAsia="en-US"/>
              </w:rPr>
              <w:t>34</w:t>
            </w:r>
            <w:r>
              <w:rPr>
                <w:rFonts w:cs="Calibri"/>
                <w:b w:val="0"/>
                <w:color w:val="000000"/>
                <w:sz w:val="20"/>
                <w:szCs w:val="20"/>
                <w:lang w:val="en-US" w:eastAsia="en-US"/>
              </w:rPr>
              <w:t>.</w:t>
            </w:r>
            <w:r>
              <w:rPr>
                <w:rFonts w:cs="Calibri"/>
                <w:b w:val="0"/>
                <w:color w:val="000000"/>
                <w:sz w:val="20"/>
                <w:szCs w:val="20"/>
                <w:lang w:val="hy-AM" w:eastAsia="en-US"/>
              </w:rPr>
              <w:t>6</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F86D63" w:rsidRDefault="00D1025D" w:rsidP="007730AA">
            <w:pPr>
              <w:spacing w:before="0" w:line="240" w:lineRule="auto"/>
              <w:ind w:firstLine="0"/>
              <w:contextualSpacing w:val="0"/>
              <w:jc w:val="right"/>
              <w:rPr>
                <w:rFonts w:cs="Calibri"/>
                <w:b w:val="0"/>
                <w:i/>
                <w:color w:val="000000"/>
                <w:sz w:val="20"/>
                <w:szCs w:val="20"/>
                <w:lang w:val="hy-AM" w:eastAsia="en-US"/>
              </w:rPr>
            </w:pPr>
            <w:r w:rsidRPr="00F86D63">
              <w:rPr>
                <w:rFonts w:cs="Calibri"/>
                <w:b w:val="0"/>
                <w:i/>
                <w:color w:val="000000"/>
                <w:sz w:val="20"/>
                <w:szCs w:val="20"/>
                <w:lang w:val="hy-AM" w:eastAsia="en-US"/>
              </w:rPr>
              <w:t>2</w:t>
            </w:r>
            <w:r w:rsidRPr="00F86D63">
              <w:rPr>
                <w:rFonts w:cs="Calibri"/>
                <w:b w:val="0"/>
                <w:i/>
                <w:color w:val="000000"/>
                <w:sz w:val="20"/>
                <w:szCs w:val="20"/>
                <w:lang w:val="en-US" w:eastAsia="en-US"/>
              </w:rPr>
              <w:t>6</w:t>
            </w:r>
            <w:r w:rsidRPr="00F86D63">
              <w:rPr>
                <w:rFonts w:cs="Calibri"/>
                <w:b w:val="0"/>
                <w:i/>
                <w:color w:val="000000"/>
                <w:sz w:val="20"/>
                <w:szCs w:val="20"/>
                <w:lang w:val="hy-AM" w:eastAsia="en-US"/>
              </w:rPr>
              <w:t>.</w:t>
            </w:r>
            <w:r w:rsidRPr="00F86D63">
              <w:rPr>
                <w:rFonts w:cs="Calibri"/>
                <w:b w:val="0"/>
                <w:i/>
                <w:color w:val="000000"/>
                <w:sz w:val="20"/>
                <w:szCs w:val="20"/>
                <w:lang w:val="en-US" w:eastAsia="en-US"/>
              </w:rPr>
              <w:t>7</w:t>
            </w:r>
            <w:r w:rsidRPr="00F86D63">
              <w:rPr>
                <w:rFonts w:cs="Calibri"/>
                <w:b w:val="0"/>
                <w:i/>
                <w:color w:val="000000"/>
                <w:sz w:val="20"/>
                <w:szCs w:val="20"/>
                <w:lang w:val="hy-AM" w:eastAsia="en-US"/>
              </w:rPr>
              <w:t>%</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F86D63" w:rsidRDefault="00D1025D" w:rsidP="007730AA">
            <w:pPr>
              <w:spacing w:before="0" w:line="240" w:lineRule="auto"/>
              <w:ind w:firstLine="0"/>
              <w:contextualSpacing w:val="0"/>
              <w:jc w:val="right"/>
              <w:rPr>
                <w:rFonts w:cs="Calibri"/>
                <w:b w:val="0"/>
                <w:i/>
                <w:iCs/>
                <w:color w:val="000000"/>
                <w:sz w:val="20"/>
                <w:szCs w:val="20"/>
                <w:lang w:val="hy-AM" w:eastAsia="en-US"/>
              </w:rPr>
            </w:pPr>
            <w:r w:rsidRPr="00F86D63">
              <w:rPr>
                <w:rFonts w:cs="Calibri"/>
                <w:b w:val="0"/>
                <w:i/>
                <w:iCs/>
                <w:color w:val="000000"/>
                <w:sz w:val="20"/>
                <w:szCs w:val="20"/>
                <w:lang w:val="hy-AM" w:eastAsia="en-US"/>
              </w:rPr>
              <w:t>2</w:t>
            </w:r>
            <w:r w:rsidRPr="00F86D63">
              <w:rPr>
                <w:rFonts w:cs="Calibri"/>
                <w:b w:val="0"/>
                <w:i/>
                <w:iCs/>
                <w:color w:val="000000"/>
                <w:sz w:val="20"/>
                <w:szCs w:val="20"/>
                <w:lang w:val="en-US" w:eastAsia="en-US"/>
              </w:rPr>
              <w:t>5</w:t>
            </w:r>
            <w:r w:rsidRPr="00F86D63">
              <w:rPr>
                <w:rFonts w:cs="Calibri"/>
                <w:b w:val="0"/>
                <w:i/>
                <w:iCs/>
                <w:color w:val="000000"/>
                <w:sz w:val="20"/>
                <w:szCs w:val="20"/>
                <w:lang w:val="hy-AM" w:eastAsia="en-US"/>
              </w:rPr>
              <w:t>.</w:t>
            </w:r>
            <w:r>
              <w:rPr>
                <w:rFonts w:cs="Calibri"/>
                <w:b w:val="0"/>
                <w:i/>
                <w:iCs/>
                <w:color w:val="000000"/>
                <w:sz w:val="20"/>
                <w:szCs w:val="20"/>
                <w:lang w:val="hy-AM" w:eastAsia="en-US"/>
              </w:rPr>
              <w:t>6</w:t>
            </w:r>
            <w:r w:rsidRPr="00F86D63">
              <w:rPr>
                <w:rFonts w:cs="Calibri"/>
                <w:b w:val="0"/>
                <w:i/>
                <w:iCs/>
                <w:color w:val="000000"/>
                <w:sz w:val="20"/>
                <w:szCs w:val="20"/>
                <w:lang w:val="hy-AM" w:eastAsia="en-US"/>
              </w:rPr>
              <w:t>%</w:t>
            </w:r>
          </w:p>
        </w:tc>
      </w:tr>
    </w:tbl>
    <w:p w:rsidR="00D1025D" w:rsidRPr="004E12E8" w:rsidRDefault="00D1025D" w:rsidP="007730AA">
      <w:pPr>
        <w:spacing w:before="0" w:line="259" w:lineRule="auto"/>
        <w:ind w:firstLine="0"/>
        <w:contextualSpacing w:val="0"/>
        <w:rPr>
          <w:rFonts w:eastAsia="Calibri" w:cs="Sylfaen"/>
          <w:b w:val="0"/>
          <w:bCs/>
          <w:i/>
          <w:iCs/>
          <w:color w:val="000000"/>
          <w:sz w:val="20"/>
          <w:szCs w:val="20"/>
          <w:lang w:val="hy-AM" w:eastAsia="en-US"/>
        </w:rPr>
      </w:pPr>
    </w:p>
    <w:p w:rsidR="00D1025D" w:rsidRPr="004E12E8" w:rsidRDefault="00D1025D" w:rsidP="007730AA">
      <w:pPr>
        <w:spacing w:before="0" w:line="259" w:lineRule="auto"/>
        <w:ind w:firstLine="0"/>
        <w:contextualSpacing w:val="0"/>
        <w:rPr>
          <w:rFonts w:eastAsia="Calibri" w:cs="Sylfaen"/>
          <w:b w:val="0"/>
          <w:bCs/>
          <w:i/>
          <w:iCs/>
          <w:color w:val="000000"/>
          <w:sz w:val="20"/>
          <w:szCs w:val="20"/>
          <w:lang w:val="hy-AM" w:eastAsia="en-US"/>
        </w:rPr>
      </w:pPr>
      <w:r w:rsidRPr="004E12E8">
        <w:rPr>
          <w:rFonts w:eastAsia="Calibri"/>
          <w:bCs/>
          <w:i/>
          <w:iCs/>
          <w:color w:val="000000"/>
          <w:szCs w:val="22"/>
          <w:lang w:val="hy-AM" w:eastAsia="en-US"/>
        </w:rPr>
        <w:t>Աղյուսակ</w:t>
      </w:r>
      <w:r>
        <w:rPr>
          <w:rFonts w:eastAsia="Calibri"/>
          <w:bCs/>
          <w:i/>
          <w:iCs/>
          <w:color w:val="000000"/>
          <w:szCs w:val="22"/>
          <w:lang w:val="hy-AM" w:eastAsia="en-US"/>
        </w:rPr>
        <w:t xml:space="preserve"> 2.</w:t>
      </w:r>
      <w:r w:rsidRPr="00E10C87">
        <w:rPr>
          <w:rFonts w:eastAsia="Calibri"/>
          <w:bCs/>
          <w:i/>
          <w:iCs/>
          <w:color w:val="000000"/>
          <w:szCs w:val="22"/>
          <w:lang w:val="hy-AM" w:eastAsia="en-US"/>
        </w:rPr>
        <w:t>5</w:t>
      </w:r>
      <w:r w:rsidRPr="004E12E8">
        <w:rPr>
          <w:rFonts w:eastAsia="Calibri"/>
          <w:bCs/>
          <w:i/>
          <w:iCs/>
          <w:color w:val="000000"/>
          <w:szCs w:val="22"/>
          <w:lang w:val="hy-AM" w:eastAsia="en-US"/>
        </w:rPr>
        <w:t>.</w:t>
      </w:r>
      <w:r w:rsidRPr="00E10C87">
        <w:rPr>
          <w:rFonts w:eastAsia="Calibri"/>
          <w:bCs/>
          <w:i/>
          <w:iCs/>
          <w:color w:val="000000"/>
          <w:szCs w:val="22"/>
          <w:lang w:val="hy-AM" w:eastAsia="en-US"/>
        </w:rPr>
        <w:t>5.</w:t>
      </w:r>
      <w:r w:rsidRPr="004E12E8">
        <w:rPr>
          <w:rFonts w:eastAsia="Calibri"/>
          <w:bCs/>
          <w:i/>
          <w:iCs/>
          <w:sz w:val="20"/>
          <w:szCs w:val="20"/>
          <w:lang w:val="hy-AM" w:eastAsia="en-US"/>
        </w:rPr>
        <w:t xml:space="preserve"> </w:t>
      </w:r>
      <w:r w:rsidRPr="004E12E8">
        <w:rPr>
          <w:rFonts w:eastAsia="Calibri" w:cs="Sylfaen"/>
          <w:b w:val="0"/>
          <w:bCs/>
          <w:i/>
          <w:iCs/>
          <w:color w:val="000000"/>
          <w:sz w:val="20"/>
          <w:szCs w:val="20"/>
          <w:lang w:val="hy-AM" w:eastAsia="en-US"/>
        </w:rPr>
        <w:t>Պետական բյուջեի ոչ ֆինանսական ակտիվների գծով զուտ ծախսերի կանխատեսումների համեմատական աղյուսակը (մլրդ դրամ)</w:t>
      </w:r>
    </w:p>
    <w:tbl>
      <w:tblPr>
        <w:tblW w:w="8190" w:type="dxa"/>
        <w:jc w:val="center"/>
        <w:tblLook w:val="04A0" w:firstRow="1" w:lastRow="0" w:firstColumn="1" w:lastColumn="0" w:noHBand="0" w:noVBand="1"/>
      </w:tblPr>
      <w:tblGrid>
        <w:gridCol w:w="1440"/>
        <w:gridCol w:w="2790"/>
        <w:gridCol w:w="1320"/>
        <w:gridCol w:w="1320"/>
        <w:gridCol w:w="1320"/>
      </w:tblGrid>
      <w:tr w:rsidR="00D1025D" w:rsidRPr="00E10C87" w:rsidTr="009F0A25">
        <w:trPr>
          <w:trHeight w:val="390"/>
          <w:jc w:val="center"/>
        </w:trPr>
        <w:tc>
          <w:tcPr>
            <w:tcW w:w="1440" w:type="dxa"/>
            <w:tcBorders>
              <w:top w:val="single" w:sz="12" w:space="0" w:color="4472C4"/>
              <w:left w:val="single" w:sz="12" w:space="0" w:color="4472C4"/>
              <w:bottom w:val="single" w:sz="12" w:space="0" w:color="4472C4"/>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rPr>
                <w:rFonts w:cs="Calibri"/>
                <w:bCs/>
                <w:color w:val="FFFFFF"/>
                <w:sz w:val="20"/>
                <w:szCs w:val="20"/>
                <w:lang w:val="hy-AM" w:eastAsia="en-US"/>
              </w:rPr>
            </w:pPr>
            <w:r w:rsidRPr="004E12E8">
              <w:rPr>
                <w:rFonts w:cs="Calibri"/>
                <w:bCs/>
                <w:color w:val="FFFFFF"/>
                <w:sz w:val="20"/>
                <w:szCs w:val="20"/>
                <w:lang w:val="hy-AM" w:eastAsia="en-US"/>
              </w:rPr>
              <w:t>Ընդունման տարին</w:t>
            </w:r>
          </w:p>
        </w:tc>
        <w:tc>
          <w:tcPr>
            <w:tcW w:w="2790" w:type="dxa"/>
            <w:tcBorders>
              <w:top w:val="single" w:sz="12" w:space="0" w:color="4472C4"/>
              <w:left w:val="nil"/>
              <w:bottom w:val="single" w:sz="12" w:space="0" w:color="4472C4"/>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rPr>
                <w:rFonts w:cs="Calibri"/>
                <w:bCs/>
                <w:color w:val="FFFFFF"/>
                <w:sz w:val="20"/>
                <w:szCs w:val="20"/>
                <w:lang w:val="hy-AM" w:eastAsia="en-US"/>
              </w:rPr>
            </w:pPr>
            <w:r w:rsidRPr="004E12E8">
              <w:rPr>
                <w:rFonts w:cs="Calibri"/>
                <w:bCs/>
                <w:color w:val="FFFFFF"/>
                <w:sz w:val="20"/>
                <w:szCs w:val="20"/>
                <w:lang w:val="hy-AM" w:eastAsia="en-US"/>
              </w:rPr>
              <w:t>Ծրագիր</w:t>
            </w:r>
          </w:p>
        </w:tc>
        <w:tc>
          <w:tcPr>
            <w:tcW w:w="1320" w:type="dxa"/>
            <w:tcBorders>
              <w:top w:val="single" w:sz="12" w:space="0" w:color="4472C4"/>
              <w:left w:val="nil"/>
              <w:bottom w:val="single" w:sz="12" w:space="0" w:color="4472C4"/>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2019</w:t>
            </w:r>
          </w:p>
        </w:tc>
        <w:tc>
          <w:tcPr>
            <w:tcW w:w="1320" w:type="dxa"/>
            <w:tcBorders>
              <w:top w:val="single" w:sz="12" w:space="0" w:color="4472C4"/>
              <w:left w:val="nil"/>
              <w:bottom w:val="single" w:sz="12" w:space="0" w:color="4472C4"/>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2020</w:t>
            </w:r>
          </w:p>
        </w:tc>
        <w:tc>
          <w:tcPr>
            <w:tcW w:w="1320" w:type="dxa"/>
            <w:tcBorders>
              <w:top w:val="single" w:sz="12" w:space="0" w:color="4472C4"/>
              <w:left w:val="nil"/>
              <w:bottom w:val="single" w:sz="12" w:space="0" w:color="4472C4"/>
              <w:right w:val="single" w:sz="12" w:space="0" w:color="4472C4"/>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2021</w:t>
            </w:r>
          </w:p>
        </w:tc>
      </w:tr>
      <w:tr w:rsidR="00D1025D" w:rsidRPr="00E10C87" w:rsidTr="009F0A25">
        <w:trPr>
          <w:trHeight w:val="390"/>
          <w:jc w:val="center"/>
        </w:trPr>
        <w:tc>
          <w:tcPr>
            <w:tcW w:w="1440" w:type="dxa"/>
            <w:vMerge w:val="restart"/>
            <w:tcBorders>
              <w:top w:val="single" w:sz="12" w:space="0" w:color="4472C4"/>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w:t>
            </w:r>
          </w:p>
        </w:tc>
        <w:tc>
          <w:tcPr>
            <w:tcW w:w="2790" w:type="dxa"/>
            <w:tcBorders>
              <w:top w:val="single" w:sz="12" w:space="0" w:color="4472C4"/>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Փաստացի</w:t>
            </w:r>
          </w:p>
        </w:tc>
        <w:tc>
          <w:tcPr>
            <w:tcW w:w="1320" w:type="dxa"/>
            <w:tcBorders>
              <w:top w:val="single" w:sz="12" w:space="0" w:color="4472C4"/>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193.0</w:t>
            </w:r>
          </w:p>
        </w:tc>
        <w:tc>
          <w:tcPr>
            <w:tcW w:w="1320" w:type="dxa"/>
            <w:tcBorders>
              <w:top w:val="single" w:sz="12" w:space="0" w:color="4472C4"/>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20" w:type="dxa"/>
            <w:tcBorders>
              <w:top w:val="single" w:sz="12" w:space="0" w:color="4472C4"/>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E10C87" w:rsidTr="009F0A25">
        <w:trPr>
          <w:trHeight w:val="390"/>
          <w:jc w:val="center"/>
        </w:trPr>
        <w:tc>
          <w:tcPr>
            <w:tcW w:w="1440" w:type="dxa"/>
            <w:vMerge/>
            <w:tcBorders>
              <w:top w:val="single" w:sz="8" w:space="0" w:color="2F75B5"/>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2.9%</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E10C87" w:rsidTr="009F0A25">
        <w:trPr>
          <w:trHeight w:val="390"/>
          <w:jc w:val="center"/>
        </w:trPr>
        <w:tc>
          <w:tcPr>
            <w:tcW w:w="144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2019</w:t>
            </w: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 xml:space="preserve"> ՄԺԾԾ 2020-2022</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388.3</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459.4</w:t>
            </w:r>
          </w:p>
        </w:tc>
      </w:tr>
      <w:tr w:rsidR="00D1025D" w:rsidRPr="004E12E8" w:rsidTr="009F0A25">
        <w:trPr>
          <w:trHeight w:val="390"/>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5.6%</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6.0%</w:t>
            </w:r>
          </w:p>
        </w:tc>
      </w:tr>
      <w:tr w:rsidR="00D1025D" w:rsidRPr="004E12E8" w:rsidTr="009F0A25">
        <w:trPr>
          <w:trHeight w:val="390"/>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2020թ. Պետական բյուջե</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287.7</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4E12E8" w:rsidTr="009F0A25">
        <w:trPr>
          <w:trHeight w:val="390"/>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4.1%</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r>
      <w:tr w:rsidR="00D1025D" w:rsidRPr="004E12E8" w:rsidTr="009F0A25">
        <w:trPr>
          <w:trHeight w:val="390"/>
          <w:jc w:val="center"/>
        </w:trPr>
        <w:tc>
          <w:tcPr>
            <w:tcW w:w="144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2020</w:t>
            </w: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 xml:space="preserve"> ՄԺԾԾ 2021-2023</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222.2</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250.0</w:t>
            </w:r>
          </w:p>
        </w:tc>
      </w:tr>
      <w:tr w:rsidR="00D1025D" w:rsidRPr="004E12E8" w:rsidTr="009F0A25">
        <w:trPr>
          <w:trHeight w:val="390"/>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3.4%</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3.5%</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2021թ. Պետական բյուջե</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9A66AA" w:rsidRDefault="00D1025D" w:rsidP="007730AA">
            <w:pPr>
              <w:spacing w:before="0" w:line="240" w:lineRule="auto"/>
              <w:ind w:firstLine="0"/>
              <w:contextualSpacing w:val="0"/>
              <w:jc w:val="right"/>
              <w:rPr>
                <w:rFonts w:cs="Calibri"/>
                <w:b w:val="0"/>
                <w:color w:val="000000"/>
                <w:sz w:val="20"/>
                <w:szCs w:val="20"/>
                <w:lang w:val="en-US" w:eastAsia="en-US"/>
              </w:rPr>
            </w:pPr>
            <w:r>
              <w:rPr>
                <w:rFonts w:cs="Calibri"/>
                <w:b w:val="0"/>
                <w:color w:val="000000"/>
                <w:sz w:val="20"/>
                <w:szCs w:val="20"/>
                <w:lang w:val="en-US" w:eastAsia="en-US"/>
              </w:rPr>
              <w:t>284.7</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5A2E81" w:rsidRDefault="00D1025D" w:rsidP="007730AA">
            <w:pPr>
              <w:spacing w:before="0" w:line="240" w:lineRule="auto"/>
              <w:ind w:firstLine="0"/>
              <w:contextualSpacing w:val="0"/>
              <w:jc w:val="right"/>
              <w:rPr>
                <w:rFonts w:cs="Calibri"/>
                <w:b w:val="0"/>
                <w:color w:val="000000"/>
                <w:sz w:val="20"/>
                <w:szCs w:val="20"/>
                <w:lang w:val="en-US" w:eastAsia="en-US"/>
              </w:rPr>
            </w:pPr>
            <w:r w:rsidRPr="004E12E8">
              <w:rPr>
                <w:rFonts w:cs="Calibri"/>
                <w:b w:val="0"/>
                <w:color w:val="000000"/>
                <w:sz w:val="20"/>
                <w:szCs w:val="20"/>
                <w:lang w:val="hy-AM" w:eastAsia="en-US"/>
              </w:rPr>
              <w:t>21</w:t>
            </w:r>
            <w:r>
              <w:rPr>
                <w:rFonts w:cs="Calibri"/>
                <w:b w:val="0"/>
                <w:color w:val="000000"/>
                <w:sz w:val="20"/>
                <w:szCs w:val="20"/>
                <w:lang w:val="en-US" w:eastAsia="en-US"/>
              </w:rPr>
              <w:t>6</w:t>
            </w:r>
            <w:r w:rsidRPr="004E12E8">
              <w:rPr>
                <w:rFonts w:cs="Calibri"/>
                <w:b w:val="0"/>
                <w:color w:val="000000"/>
                <w:sz w:val="20"/>
                <w:szCs w:val="20"/>
                <w:lang w:val="hy-AM" w:eastAsia="en-US"/>
              </w:rPr>
              <w:t>.</w:t>
            </w:r>
            <w:r>
              <w:rPr>
                <w:rFonts w:cs="Calibri"/>
                <w:b w:val="0"/>
                <w:color w:val="000000"/>
                <w:sz w:val="20"/>
                <w:szCs w:val="20"/>
                <w:lang w:val="en-US" w:eastAsia="en-US"/>
              </w:rPr>
              <w:t>3</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79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9A66AA" w:rsidRDefault="00D1025D" w:rsidP="007730AA">
            <w:pPr>
              <w:spacing w:before="0" w:line="240" w:lineRule="auto"/>
              <w:ind w:firstLine="0"/>
              <w:contextualSpacing w:val="0"/>
              <w:jc w:val="right"/>
              <w:rPr>
                <w:rFonts w:cs="Calibri"/>
                <w:b w:val="0"/>
                <w:i/>
                <w:color w:val="000000"/>
                <w:sz w:val="20"/>
                <w:szCs w:val="20"/>
                <w:lang w:val="hy-AM" w:eastAsia="en-US"/>
              </w:rPr>
            </w:pPr>
            <w:r w:rsidRPr="009A66AA">
              <w:rPr>
                <w:rFonts w:cs="Calibri"/>
                <w:b w:val="0"/>
                <w:i/>
                <w:color w:val="000000"/>
                <w:sz w:val="20"/>
                <w:szCs w:val="20"/>
                <w:lang w:val="en-US" w:eastAsia="en-US"/>
              </w:rPr>
              <w:t>4.7</w:t>
            </w:r>
            <w:r w:rsidRPr="009A66AA">
              <w:rPr>
                <w:rFonts w:cs="Calibri"/>
                <w:b w:val="0"/>
                <w:i/>
                <w:color w:val="000000"/>
                <w:sz w:val="20"/>
                <w:szCs w:val="20"/>
                <w:lang w:val="hy-AM" w:eastAsia="en-US"/>
              </w:rPr>
              <w:t>%</w:t>
            </w:r>
          </w:p>
        </w:tc>
        <w:tc>
          <w:tcPr>
            <w:tcW w:w="1320" w:type="dxa"/>
            <w:tcBorders>
              <w:top w:val="nil"/>
              <w:left w:val="nil"/>
              <w:bottom w:val="single" w:sz="8" w:space="0" w:color="2F75B5"/>
              <w:right w:val="single" w:sz="8" w:space="0" w:color="2F75B5"/>
            </w:tcBorders>
            <w:shd w:val="clear" w:color="auto" w:fill="auto"/>
            <w:noWrap/>
            <w:vAlign w:val="center"/>
            <w:hideMark/>
          </w:tcPr>
          <w:p w:rsidR="00D1025D" w:rsidRPr="009A66AA" w:rsidRDefault="00D1025D" w:rsidP="007730AA">
            <w:pPr>
              <w:spacing w:before="0" w:line="240" w:lineRule="auto"/>
              <w:ind w:firstLine="0"/>
              <w:contextualSpacing w:val="0"/>
              <w:jc w:val="right"/>
              <w:rPr>
                <w:rFonts w:cs="Calibri"/>
                <w:b w:val="0"/>
                <w:i/>
                <w:iCs/>
                <w:color w:val="000000"/>
                <w:sz w:val="20"/>
                <w:szCs w:val="20"/>
                <w:lang w:val="hy-AM" w:eastAsia="en-US"/>
              </w:rPr>
            </w:pPr>
            <w:r w:rsidRPr="009A66AA">
              <w:rPr>
                <w:rFonts w:cs="Calibri"/>
                <w:b w:val="0"/>
                <w:i/>
                <w:iCs/>
                <w:color w:val="000000"/>
                <w:sz w:val="20"/>
                <w:szCs w:val="20"/>
                <w:lang w:val="hy-AM" w:eastAsia="en-US"/>
              </w:rPr>
              <w:t>3.</w:t>
            </w:r>
            <w:r w:rsidRPr="009A66AA">
              <w:rPr>
                <w:rFonts w:cs="Calibri"/>
                <w:b w:val="0"/>
                <w:i/>
                <w:iCs/>
                <w:color w:val="000000"/>
                <w:sz w:val="20"/>
                <w:szCs w:val="20"/>
                <w:lang w:val="en-US" w:eastAsia="en-US"/>
              </w:rPr>
              <w:t>4</w:t>
            </w:r>
            <w:r w:rsidRPr="009A66AA">
              <w:rPr>
                <w:rFonts w:cs="Calibri"/>
                <w:b w:val="0"/>
                <w:i/>
                <w:iCs/>
                <w:color w:val="000000"/>
                <w:sz w:val="20"/>
                <w:szCs w:val="20"/>
                <w:lang w:val="hy-AM" w:eastAsia="en-US"/>
              </w:rPr>
              <w:t>%</w:t>
            </w:r>
          </w:p>
        </w:tc>
      </w:tr>
    </w:tbl>
    <w:p w:rsidR="00D1025D" w:rsidRPr="004E12E8" w:rsidRDefault="00D1025D" w:rsidP="007730AA">
      <w:pPr>
        <w:spacing w:before="0" w:line="259" w:lineRule="auto"/>
        <w:ind w:firstLine="0"/>
        <w:contextualSpacing w:val="0"/>
        <w:rPr>
          <w:rFonts w:eastAsia="Calibri" w:cs="Sylfaen"/>
          <w:b w:val="0"/>
          <w:bCs/>
          <w:i/>
          <w:iCs/>
          <w:color w:val="000000"/>
          <w:sz w:val="20"/>
          <w:szCs w:val="20"/>
          <w:lang w:val="hy-AM" w:eastAsia="en-US"/>
        </w:rPr>
      </w:pPr>
      <w:r w:rsidRPr="004E12E8">
        <w:rPr>
          <w:rFonts w:eastAsia="Calibri"/>
          <w:bCs/>
          <w:i/>
          <w:iCs/>
          <w:color w:val="000000"/>
          <w:szCs w:val="22"/>
          <w:lang w:val="hy-AM" w:eastAsia="en-US"/>
        </w:rPr>
        <w:t>Աղյուսակ 2.</w:t>
      </w:r>
      <w:r w:rsidRPr="00E10C87">
        <w:rPr>
          <w:rFonts w:eastAsia="Calibri"/>
          <w:bCs/>
          <w:i/>
          <w:iCs/>
          <w:color w:val="000000"/>
          <w:szCs w:val="22"/>
          <w:lang w:val="hy-AM" w:eastAsia="en-US"/>
        </w:rPr>
        <w:t>5</w:t>
      </w:r>
      <w:r w:rsidRPr="004E12E8">
        <w:rPr>
          <w:rFonts w:eastAsia="Calibri"/>
          <w:bCs/>
          <w:i/>
          <w:iCs/>
          <w:color w:val="000000"/>
          <w:szCs w:val="22"/>
          <w:lang w:val="hy-AM" w:eastAsia="en-US"/>
        </w:rPr>
        <w:t>.</w:t>
      </w:r>
      <w:r w:rsidRPr="00E10C87">
        <w:rPr>
          <w:rFonts w:eastAsia="Calibri"/>
          <w:bCs/>
          <w:i/>
          <w:iCs/>
          <w:color w:val="000000"/>
          <w:szCs w:val="22"/>
          <w:lang w:val="hy-AM" w:eastAsia="en-US"/>
        </w:rPr>
        <w:t>6.</w:t>
      </w:r>
      <w:r w:rsidRPr="004E12E8">
        <w:rPr>
          <w:rFonts w:eastAsia="Calibri"/>
          <w:bCs/>
          <w:i/>
          <w:iCs/>
          <w:sz w:val="20"/>
          <w:szCs w:val="20"/>
          <w:lang w:val="hy-AM" w:eastAsia="en-US"/>
        </w:rPr>
        <w:t xml:space="preserve"> </w:t>
      </w:r>
      <w:r w:rsidRPr="004E12E8">
        <w:rPr>
          <w:rFonts w:eastAsia="Calibri" w:cs="Sylfaen"/>
          <w:b w:val="0"/>
          <w:bCs/>
          <w:i/>
          <w:iCs/>
          <w:color w:val="000000"/>
          <w:sz w:val="20"/>
          <w:szCs w:val="20"/>
          <w:lang w:val="hy-AM" w:eastAsia="en-US"/>
        </w:rPr>
        <w:t>Պետական բյուջեի պակասուրդի ֆինանսավորման կանխատեսումների համեմատական աղյուսակը (մլրդ դրամ)</w:t>
      </w:r>
    </w:p>
    <w:tbl>
      <w:tblPr>
        <w:tblW w:w="8190" w:type="dxa"/>
        <w:jc w:val="center"/>
        <w:tblLook w:val="04A0" w:firstRow="1" w:lastRow="0" w:firstColumn="1" w:lastColumn="0" w:noHBand="0" w:noVBand="1"/>
      </w:tblPr>
      <w:tblGrid>
        <w:gridCol w:w="1440"/>
        <w:gridCol w:w="2880"/>
        <w:gridCol w:w="1260"/>
        <w:gridCol w:w="1260"/>
        <w:gridCol w:w="1350"/>
      </w:tblGrid>
      <w:tr w:rsidR="00D1025D" w:rsidRPr="00E10C87" w:rsidTr="009F0A25">
        <w:trPr>
          <w:trHeight w:val="315"/>
          <w:jc w:val="center"/>
        </w:trPr>
        <w:tc>
          <w:tcPr>
            <w:tcW w:w="1440" w:type="dxa"/>
            <w:tcBorders>
              <w:top w:val="single" w:sz="12" w:space="0" w:color="4472C4"/>
              <w:left w:val="single" w:sz="12" w:space="0" w:color="4472C4"/>
              <w:bottom w:val="single" w:sz="12" w:space="0" w:color="4472C4"/>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rPr>
                <w:rFonts w:cs="Calibri"/>
                <w:bCs/>
                <w:color w:val="FFFFFF"/>
                <w:sz w:val="20"/>
                <w:szCs w:val="20"/>
                <w:lang w:val="hy-AM" w:eastAsia="en-US"/>
              </w:rPr>
            </w:pPr>
            <w:r w:rsidRPr="004E12E8">
              <w:rPr>
                <w:rFonts w:cs="Calibri"/>
                <w:bCs/>
                <w:color w:val="FFFFFF"/>
                <w:sz w:val="20"/>
                <w:szCs w:val="20"/>
                <w:lang w:val="hy-AM" w:eastAsia="en-US"/>
              </w:rPr>
              <w:t>Ընդունման տարին</w:t>
            </w:r>
          </w:p>
        </w:tc>
        <w:tc>
          <w:tcPr>
            <w:tcW w:w="2880" w:type="dxa"/>
            <w:tcBorders>
              <w:top w:val="single" w:sz="12" w:space="0" w:color="4472C4"/>
              <w:left w:val="nil"/>
              <w:bottom w:val="single" w:sz="12" w:space="0" w:color="4472C4"/>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rPr>
                <w:rFonts w:cs="Calibri"/>
                <w:bCs/>
                <w:color w:val="FFFFFF"/>
                <w:sz w:val="20"/>
                <w:szCs w:val="20"/>
                <w:lang w:val="hy-AM" w:eastAsia="en-US"/>
              </w:rPr>
            </w:pPr>
            <w:r w:rsidRPr="004E12E8">
              <w:rPr>
                <w:rFonts w:cs="Calibri"/>
                <w:bCs/>
                <w:color w:val="FFFFFF"/>
                <w:sz w:val="20"/>
                <w:szCs w:val="20"/>
                <w:lang w:val="hy-AM" w:eastAsia="en-US"/>
              </w:rPr>
              <w:t>Ծրագիր</w:t>
            </w:r>
          </w:p>
        </w:tc>
        <w:tc>
          <w:tcPr>
            <w:tcW w:w="1260" w:type="dxa"/>
            <w:tcBorders>
              <w:top w:val="single" w:sz="12" w:space="0" w:color="4472C4"/>
              <w:left w:val="nil"/>
              <w:bottom w:val="single" w:sz="12" w:space="0" w:color="4472C4"/>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2019</w:t>
            </w:r>
          </w:p>
        </w:tc>
        <w:tc>
          <w:tcPr>
            <w:tcW w:w="1260" w:type="dxa"/>
            <w:tcBorders>
              <w:top w:val="single" w:sz="12" w:space="0" w:color="4472C4"/>
              <w:left w:val="nil"/>
              <w:bottom w:val="single" w:sz="12" w:space="0" w:color="4472C4"/>
              <w:right w:val="single" w:sz="8" w:space="0" w:color="FFFFFF"/>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2020</w:t>
            </w:r>
          </w:p>
        </w:tc>
        <w:tc>
          <w:tcPr>
            <w:tcW w:w="1350" w:type="dxa"/>
            <w:tcBorders>
              <w:top w:val="single" w:sz="12" w:space="0" w:color="4472C4"/>
              <w:left w:val="nil"/>
              <w:bottom w:val="single" w:sz="12" w:space="0" w:color="4472C4"/>
              <w:right w:val="single" w:sz="12" w:space="0" w:color="4472C4"/>
            </w:tcBorders>
            <w:shd w:val="clear" w:color="000000" w:fill="2F75B5"/>
            <w:noWrap/>
            <w:vAlign w:val="center"/>
            <w:hideMark/>
          </w:tcPr>
          <w:p w:rsidR="00D1025D" w:rsidRPr="004E12E8" w:rsidRDefault="00D1025D" w:rsidP="007730AA">
            <w:pPr>
              <w:spacing w:before="0" w:line="240" w:lineRule="auto"/>
              <w:ind w:firstLine="0"/>
              <w:contextualSpacing w:val="0"/>
              <w:jc w:val="center"/>
              <w:rPr>
                <w:rFonts w:cs="Calibri"/>
                <w:bCs/>
                <w:color w:val="FFFFFF"/>
                <w:sz w:val="20"/>
                <w:szCs w:val="20"/>
                <w:lang w:val="hy-AM" w:eastAsia="en-US"/>
              </w:rPr>
            </w:pPr>
            <w:r w:rsidRPr="004E12E8">
              <w:rPr>
                <w:rFonts w:cs="Calibri"/>
                <w:bCs/>
                <w:color w:val="FFFFFF"/>
                <w:sz w:val="20"/>
                <w:szCs w:val="20"/>
                <w:lang w:val="hy-AM" w:eastAsia="en-US"/>
              </w:rPr>
              <w:t>2021</w:t>
            </w:r>
          </w:p>
        </w:tc>
      </w:tr>
      <w:tr w:rsidR="00D1025D" w:rsidRPr="00E10C87" w:rsidTr="009F0A25">
        <w:trPr>
          <w:trHeight w:val="315"/>
          <w:jc w:val="center"/>
        </w:trPr>
        <w:tc>
          <w:tcPr>
            <w:tcW w:w="1440" w:type="dxa"/>
            <w:vMerge w:val="restart"/>
            <w:tcBorders>
              <w:top w:val="single" w:sz="12" w:space="0" w:color="4472C4"/>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w:t>
            </w:r>
          </w:p>
        </w:tc>
        <w:tc>
          <w:tcPr>
            <w:tcW w:w="2880" w:type="dxa"/>
            <w:tcBorders>
              <w:top w:val="single" w:sz="12" w:space="0" w:color="4472C4"/>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Փաստացի</w:t>
            </w:r>
          </w:p>
        </w:tc>
        <w:tc>
          <w:tcPr>
            <w:tcW w:w="1260" w:type="dxa"/>
            <w:tcBorders>
              <w:top w:val="single" w:sz="12" w:space="0" w:color="4472C4"/>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63.9</w:t>
            </w:r>
          </w:p>
        </w:tc>
        <w:tc>
          <w:tcPr>
            <w:tcW w:w="1260" w:type="dxa"/>
            <w:tcBorders>
              <w:top w:val="single" w:sz="12" w:space="0" w:color="4472C4"/>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single" w:sz="12" w:space="0" w:color="4472C4"/>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E10C87" w:rsidTr="009F0A25">
        <w:trPr>
          <w:trHeight w:val="315"/>
          <w:jc w:val="center"/>
        </w:trPr>
        <w:tc>
          <w:tcPr>
            <w:tcW w:w="1440" w:type="dxa"/>
            <w:vMerge/>
            <w:tcBorders>
              <w:top w:val="single" w:sz="8" w:space="0" w:color="2F75B5"/>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88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1.0%</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E10C87" w:rsidTr="009F0A25">
        <w:trPr>
          <w:trHeight w:val="315"/>
          <w:jc w:val="center"/>
        </w:trPr>
        <w:tc>
          <w:tcPr>
            <w:tcW w:w="144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2019</w:t>
            </w:r>
          </w:p>
        </w:tc>
        <w:tc>
          <w:tcPr>
            <w:tcW w:w="288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 xml:space="preserve"> ՄԺԾԾ 2020-2022</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157.6</w:t>
            </w: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169.0</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88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2.3%</w:t>
            </w: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2.2%</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88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2020թ. Պետական բյուջե</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160.7</w:t>
            </w: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88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2.3%</w:t>
            </w: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r>
      <w:tr w:rsidR="00D1025D" w:rsidRPr="004E12E8" w:rsidTr="009F0A25">
        <w:trPr>
          <w:trHeight w:val="330"/>
          <w:jc w:val="center"/>
        </w:trPr>
        <w:tc>
          <w:tcPr>
            <w:tcW w:w="144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r w:rsidRPr="004E12E8">
              <w:rPr>
                <w:rFonts w:cs="Calibri"/>
                <w:bCs/>
                <w:color w:val="000000"/>
                <w:sz w:val="20"/>
                <w:szCs w:val="20"/>
                <w:lang w:val="hy-AM" w:eastAsia="en-US"/>
              </w:rPr>
              <w:t>2020</w:t>
            </w:r>
          </w:p>
        </w:tc>
        <w:tc>
          <w:tcPr>
            <w:tcW w:w="288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 xml:space="preserve"> ՄԺԾԾ 2021-2023</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361.5</w:t>
            </w: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r w:rsidRPr="004E12E8">
              <w:rPr>
                <w:rFonts w:cs="Calibri"/>
                <w:b w:val="0"/>
                <w:color w:val="000000"/>
                <w:sz w:val="20"/>
                <w:szCs w:val="20"/>
                <w:lang w:val="hy-AM" w:eastAsia="en-US"/>
              </w:rPr>
              <w:t>209.1</w:t>
            </w:r>
          </w:p>
        </w:tc>
      </w:tr>
      <w:tr w:rsidR="00D1025D" w:rsidRPr="004E12E8" w:rsidTr="009F0A25">
        <w:trPr>
          <w:trHeight w:val="330"/>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88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5.6%</w:t>
            </w: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r w:rsidRPr="004E12E8">
              <w:rPr>
                <w:rFonts w:cs="Calibri"/>
                <w:b w:val="0"/>
                <w:i/>
                <w:iCs/>
                <w:color w:val="000000"/>
                <w:sz w:val="20"/>
                <w:szCs w:val="20"/>
                <w:lang w:val="hy-AM" w:eastAsia="en-US"/>
              </w:rPr>
              <w:t>2.9%</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88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color w:val="000000"/>
                <w:sz w:val="20"/>
                <w:szCs w:val="20"/>
                <w:lang w:val="hy-AM" w:eastAsia="en-US"/>
              </w:rPr>
            </w:pPr>
            <w:r w:rsidRPr="004E12E8">
              <w:rPr>
                <w:rFonts w:cs="Calibri"/>
                <w:b w:val="0"/>
                <w:color w:val="000000"/>
                <w:sz w:val="20"/>
                <w:szCs w:val="20"/>
                <w:lang w:val="hy-AM" w:eastAsia="en-US"/>
              </w:rPr>
              <w:t>2021թ. Պետական բյուջե</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color w:val="000000"/>
                <w:sz w:val="20"/>
                <w:szCs w:val="20"/>
                <w:lang w:val="hy-AM" w:eastAsia="en-US"/>
              </w:rPr>
            </w:pP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694E83" w:rsidRDefault="00D1025D" w:rsidP="007730AA">
            <w:pPr>
              <w:spacing w:before="0" w:line="240" w:lineRule="auto"/>
              <w:ind w:firstLine="0"/>
              <w:contextualSpacing w:val="0"/>
              <w:jc w:val="right"/>
              <w:rPr>
                <w:rFonts w:cs="Calibri"/>
                <w:b w:val="0"/>
                <w:color w:val="000000"/>
                <w:sz w:val="20"/>
                <w:szCs w:val="20"/>
                <w:lang w:val="en-US" w:eastAsia="en-US"/>
              </w:rPr>
            </w:pPr>
            <w:r>
              <w:rPr>
                <w:rFonts w:cs="Calibri"/>
                <w:b w:val="0"/>
                <w:color w:val="000000"/>
                <w:sz w:val="20"/>
                <w:szCs w:val="20"/>
                <w:lang w:val="en-US" w:eastAsia="en-US"/>
              </w:rPr>
              <w:t>429.7</w:t>
            </w: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8E78EE" w:rsidRDefault="00D1025D" w:rsidP="007730AA">
            <w:pPr>
              <w:spacing w:before="0" w:line="240" w:lineRule="auto"/>
              <w:ind w:firstLine="0"/>
              <w:contextualSpacing w:val="0"/>
              <w:jc w:val="right"/>
              <w:rPr>
                <w:rFonts w:cs="Calibri"/>
                <w:b w:val="0"/>
                <w:color w:val="000000"/>
                <w:sz w:val="20"/>
                <w:szCs w:val="20"/>
                <w:lang w:val="hy-AM" w:eastAsia="en-US"/>
              </w:rPr>
            </w:pPr>
            <w:r>
              <w:rPr>
                <w:rFonts w:cs="Calibri"/>
                <w:b w:val="0"/>
                <w:color w:val="000000"/>
                <w:sz w:val="20"/>
                <w:szCs w:val="20"/>
                <w:lang w:val="hy-AM" w:eastAsia="en-US"/>
              </w:rPr>
              <w:t>341.4</w:t>
            </w:r>
          </w:p>
        </w:tc>
      </w:tr>
      <w:tr w:rsidR="00D1025D" w:rsidRPr="004E12E8" w:rsidTr="009F0A25">
        <w:trPr>
          <w:trHeight w:val="315"/>
          <w:jc w:val="center"/>
        </w:trPr>
        <w:tc>
          <w:tcPr>
            <w:tcW w:w="1440" w:type="dxa"/>
            <w:vMerge/>
            <w:tcBorders>
              <w:top w:val="nil"/>
              <w:left w:val="single" w:sz="8" w:space="0" w:color="2F75B5"/>
              <w:bottom w:val="single" w:sz="8" w:space="0" w:color="2F75B5"/>
              <w:right w:val="single" w:sz="8" w:space="0" w:color="2F75B5"/>
            </w:tcBorders>
            <w:vAlign w:val="center"/>
            <w:hideMark/>
          </w:tcPr>
          <w:p w:rsidR="00D1025D" w:rsidRPr="004E12E8" w:rsidRDefault="00D1025D" w:rsidP="007730AA">
            <w:pPr>
              <w:spacing w:before="0" w:line="240" w:lineRule="auto"/>
              <w:ind w:firstLine="0"/>
              <w:contextualSpacing w:val="0"/>
              <w:rPr>
                <w:rFonts w:cs="Calibri"/>
                <w:bCs/>
                <w:color w:val="000000"/>
                <w:sz w:val="20"/>
                <w:szCs w:val="20"/>
                <w:lang w:val="hy-AM" w:eastAsia="en-US"/>
              </w:rPr>
            </w:pPr>
          </w:p>
        </w:tc>
        <w:tc>
          <w:tcPr>
            <w:tcW w:w="288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rPr>
                <w:rFonts w:cs="Calibri"/>
                <w:b w:val="0"/>
                <w:i/>
                <w:iCs/>
                <w:color w:val="000000"/>
                <w:sz w:val="20"/>
                <w:szCs w:val="20"/>
                <w:lang w:val="hy-AM" w:eastAsia="en-US"/>
              </w:rPr>
            </w:pPr>
            <w:r w:rsidRPr="004E12E8">
              <w:rPr>
                <w:rFonts w:cs="Calibri"/>
                <w:b w:val="0"/>
                <w:i/>
                <w:iCs/>
                <w:color w:val="000000"/>
                <w:sz w:val="20"/>
                <w:szCs w:val="20"/>
                <w:lang w:val="hy-AM" w:eastAsia="en-US"/>
              </w:rPr>
              <w:t>%-ով՝ ՀՆԱ-ի նկատմամբ</w:t>
            </w: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4E12E8" w:rsidRDefault="00D1025D" w:rsidP="007730AA">
            <w:pPr>
              <w:spacing w:before="0" w:line="240" w:lineRule="auto"/>
              <w:ind w:firstLine="0"/>
              <w:contextualSpacing w:val="0"/>
              <w:jc w:val="right"/>
              <w:rPr>
                <w:rFonts w:cs="Calibri"/>
                <w:b w:val="0"/>
                <w:i/>
                <w:iCs/>
                <w:color w:val="000000"/>
                <w:sz w:val="20"/>
                <w:szCs w:val="20"/>
                <w:lang w:val="hy-AM" w:eastAsia="en-US"/>
              </w:rPr>
            </w:pPr>
          </w:p>
        </w:tc>
        <w:tc>
          <w:tcPr>
            <w:tcW w:w="1260" w:type="dxa"/>
            <w:tcBorders>
              <w:top w:val="nil"/>
              <w:left w:val="nil"/>
              <w:bottom w:val="single" w:sz="8" w:space="0" w:color="2F75B5"/>
              <w:right w:val="single" w:sz="8" w:space="0" w:color="2F75B5"/>
            </w:tcBorders>
            <w:shd w:val="clear" w:color="auto" w:fill="auto"/>
            <w:noWrap/>
            <w:vAlign w:val="center"/>
            <w:hideMark/>
          </w:tcPr>
          <w:p w:rsidR="00D1025D" w:rsidRPr="00694E83" w:rsidRDefault="00D1025D" w:rsidP="007730AA">
            <w:pPr>
              <w:spacing w:before="0" w:line="240" w:lineRule="auto"/>
              <w:ind w:firstLine="0"/>
              <w:contextualSpacing w:val="0"/>
              <w:jc w:val="right"/>
              <w:rPr>
                <w:rFonts w:cs="Calibri"/>
                <w:b w:val="0"/>
                <w:i/>
                <w:color w:val="000000"/>
                <w:sz w:val="20"/>
                <w:szCs w:val="20"/>
                <w:lang w:val="hy-AM" w:eastAsia="en-US"/>
              </w:rPr>
            </w:pPr>
            <w:r w:rsidRPr="00694E83">
              <w:rPr>
                <w:rFonts w:cs="Calibri"/>
                <w:b w:val="0"/>
                <w:i/>
                <w:color w:val="000000"/>
                <w:sz w:val="20"/>
                <w:szCs w:val="20"/>
                <w:lang w:val="en-US" w:eastAsia="en-US"/>
              </w:rPr>
              <w:t>7</w:t>
            </w:r>
            <w:r w:rsidRPr="00694E83">
              <w:rPr>
                <w:rFonts w:cs="Calibri"/>
                <w:b w:val="0"/>
                <w:i/>
                <w:color w:val="000000"/>
                <w:sz w:val="20"/>
                <w:szCs w:val="20"/>
                <w:lang w:val="hy-AM" w:eastAsia="en-US"/>
              </w:rPr>
              <w:t>.1%</w:t>
            </w:r>
          </w:p>
        </w:tc>
        <w:tc>
          <w:tcPr>
            <w:tcW w:w="1350" w:type="dxa"/>
            <w:tcBorders>
              <w:top w:val="nil"/>
              <w:left w:val="nil"/>
              <w:bottom w:val="single" w:sz="8" w:space="0" w:color="2F75B5"/>
              <w:right w:val="single" w:sz="8" w:space="0" w:color="2F75B5"/>
            </w:tcBorders>
            <w:shd w:val="clear" w:color="auto" w:fill="auto"/>
            <w:noWrap/>
            <w:vAlign w:val="center"/>
            <w:hideMark/>
          </w:tcPr>
          <w:p w:rsidR="00D1025D" w:rsidRPr="00694E83" w:rsidRDefault="00D1025D" w:rsidP="007730AA">
            <w:pPr>
              <w:spacing w:before="0" w:line="240" w:lineRule="auto"/>
              <w:ind w:firstLine="0"/>
              <w:contextualSpacing w:val="0"/>
              <w:jc w:val="right"/>
              <w:rPr>
                <w:rFonts w:cs="Calibri"/>
                <w:b w:val="0"/>
                <w:i/>
                <w:iCs/>
                <w:color w:val="000000"/>
                <w:sz w:val="20"/>
                <w:szCs w:val="20"/>
                <w:lang w:val="hy-AM" w:eastAsia="en-US"/>
              </w:rPr>
            </w:pPr>
            <w:r w:rsidRPr="00694E83">
              <w:rPr>
                <w:rFonts w:cs="Calibri"/>
                <w:b w:val="0"/>
                <w:i/>
                <w:iCs/>
                <w:color w:val="000000"/>
                <w:sz w:val="20"/>
                <w:szCs w:val="20"/>
                <w:lang w:val="en-US" w:eastAsia="en-US"/>
              </w:rPr>
              <w:t>5.</w:t>
            </w:r>
            <w:r>
              <w:rPr>
                <w:rFonts w:cs="Calibri"/>
                <w:b w:val="0"/>
                <w:i/>
                <w:iCs/>
                <w:color w:val="000000"/>
                <w:sz w:val="20"/>
                <w:szCs w:val="20"/>
                <w:lang w:val="hy-AM" w:eastAsia="en-US"/>
              </w:rPr>
              <w:t>3</w:t>
            </w:r>
            <w:r w:rsidRPr="00694E83">
              <w:rPr>
                <w:rFonts w:cs="Calibri"/>
                <w:b w:val="0"/>
                <w:i/>
                <w:iCs/>
                <w:color w:val="000000"/>
                <w:sz w:val="20"/>
                <w:szCs w:val="20"/>
                <w:lang w:val="hy-AM" w:eastAsia="en-US"/>
              </w:rPr>
              <w:t>%</w:t>
            </w:r>
          </w:p>
        </w:tc>
      </w:tr>
    </w:tbl>
    <w:p w:rsidR="009F4A0C" w:rsidRDefault="009F4A0C" w:rsidP="009F4A0C">
      <w:pPr>
        <w:rPr>
          <w:lang w:val="hy-AM"/>
        </w:rPr>
      </w:pPr>
    </w:p>
    <w:p w:rsidR="009F4A0C" w:rsidRPr="009F4A0C" w:rsidRDefault="009F4A0C" w:rsidP="009F4A0C">
      <w:pPr>
        <w:spacing w:before="0" w:line="240" w:lineRule="auto"/>
        <w:ind w:firstLine="0"/>
        <w:contextualSpacing w:val="0"/>
        <w:jc w:val="left"/>
        <w:rPr>
          <w:lang w:val="hy-AM"/>
        </w:rPr>
      </w:pPr>
      <w:r>
        <w:rPr>
          <w:lang w:val="hy-AM"/>
        </w:rPr>
        <w:br w:type="page"/>
      </w:r>
    </w:p>
    <w:p w:rsidR="007D1ED6" w:rsidRPr="00CB6CBD" w:rsidRDefault="007D1ED6" w:rsidP="007730AA">
      <w:pPr>
        <w:pStyle w:val="Heading1"/>
        <w:spacing w:after="0"/>
        <w:rPr>
          <w:lang w:val="sk-SK"/>
        </w:rPr>
      </w:pPr>
      <w:bookmarkStart w:id="147" w:name="_Toc57655458"/>
      <w:r w:rsidRPr="004C6A24">
        <w:rPr>
          <w:lang w:val="hy-AM"/>
        </w:rPr>
        <w:t>ՄԱՍ</w:t>
      </w:r>
      <w:r w:rsidRPr="00CB6CBD">
        <w:rPr>
          <w:lang w:val="sk-SK"/>
        </w:rPr>
        <w:t xml:space="preserve"> II-</w:t>
      </w:r>
      <w:r w:rsidRPr="004C6A24">
        <w:rPr>
          <w:lang w:val="hy-AM"/>
        </w:rPr>
        <w:t>Ա</w:t>
      </w:r>
      <w:r w:rsidRPr="00CB6CBD">
        <w:rPr>
          <w:lang w:val="sk-SK"/>
        </w:rPr>
        <w:t xml:space="preserve"> </w:t>
      </w:r>
      <w:r w:rsidR="00E631EE" w:rsidRPr="004C6A24">
        <w:rPr>
          <w:lang w:val="hy-AM"/>
        </w:rPr>
        <w:t>ՊԵՏԱԿԱՆ</w:t>
      </w:r>
      <w:r w:rsidR="00E631EE" w:rsidRPr="00CB6CBD">
        <w:rPr>
          <w:lang w:val="sk-SK"/>
        </w:rPr>
        <w:t xml:space="preserve"> </w:t>
      </w:r>
      <w:r w:rsidR="00E631EE" w:rsidRPr="004C6A24">
        <w:rPr>
          <w:lang w:val="hy-AM"/>
        </w:rPr>
        <w:t>ԲՅՈՒՋԵԻ</w:t>
      </w:r>
      <w:r w:rsidR="00E631EE" w:rsidRPr="00CB6CBD">
        <w:rPr>
          <w:lang w:val="sk-SK"/>
        </w:rPr>
        <w:t xml:space="preserve"> </w:t>
      </w:r>
      <w:r w:rsidR="00E631EE" w:rsidRPr="004C6A24">
        <w:rPr>
          <w:lang w:val="hy-AM"/>
        </w:rPr>
        <w:t>ՑՈՒՑԱՆԻՇՆԵՐԻ</w:t>
      </w:r>
      <w:r w:rsidR="00E631EE" w:rsidRPr="00CB6CBD">
        <w:rPr>
          <w:lang w:val="sk-SK"/>
        </w:rPr>
        <w:t xml:space="preserve"> </w:t>
      </w:r>
      <w:r w:rsidR="00E631EE" w:rsidRPr="004C6A24">
        <w:rPr>
          <w:lang w:val="hy-AM"/>
        </w:rPr>
        <w:t>ԿԱՆԽԱՏԵՍՈՒՄՆԵՐ</w:t>
      </w:r>
      <w:bookmarkEnd w:id="147"/>
    </w:p>
    <w:p w:rsidR="00487E7A" w:rsidRPr="00487E7A" w:rsidRDefault="002F2ED2" w:rsidP="007730AA">
      <w:pPr>
        <w:keepNext/>
        <w:spacing w:before="0" w:line="276" w:lineRule="auto"/>
        <w:ind w:firstLine="566"/>
        <w:outlineLvl w:val="1"/>
        <w:rPr>
          <w:rFonts w:eastAsia="Calibri" w:cs="Times LatArm"/>
          <w:sz w:val="24"/>
          <w:lang w:val="hy-AM" w:eastAsia="en-US"/>
        </w:rPr>
      </w:pPr>
      <w:bookmarkStart w:id="148" w:name="_Toc26174926"/>
      <w:bookmarkStart w:id="149" w:name="_Toc57655459"/>
      <w:r>
        <w:rPr>
          <w:rFonts w:eastAsia="Calibri" w:cs="Times LatArm"/>
          <w:sz w:val="24"/>
          <w:lang w:val="hy-AM" w:eastAsia="en-US"/>
        </w:rPr>
        <w:t>Հ</w:t>
      </w:r>
      <w:r w:rsidR="00487E7A" w:rsidRPr="00487E7A">
        <w:rPr>
          <w:rFonts w:eastAsia="Calibri" w:cs="Times LatArm"/>
          <w:sz w:val="24"/>
          <w:lang w:val="hy-AM" w:eastAsia="en-US"/>
        </w:rPr>
        <w:t>արկաբյուջետային սկզբունքները և ցուցանիշները</w:t>
      </w:r>
      <w:bookmarkEnd w:id="148"/>
      <w:bookmarkEnd w:id="149"/>
    </w:p>
    <w:p w:rsidR="008B2220" w:rsidRPr="00487E7A" w:rsidRDefault="008B2220" w:rsidP="007730AA">
      <w:pPr>
        <w:spacing w:before="0" w:line="276" w:lineRule="auto"/>
        <w:ind w:firstLine="538"/>
        <w:rPr>
          <w:rFonts w:eastAsia="Calibri"/>
          <w:b w:val="0"/>
          <w:szCs w:val="22"/>
          <w:lang w:val="hy-AM" w:eastAsia="en-US"/>
        </w:rPr>
      </w:pPr>
      <w:r w:rsidRPr="00487E7A">
        <w:rPr>
          <w:rFonts w:eastAsia="Calibri"/>
          <w:b w:val="0"/>
          <w:szCs w:val="22"/>
          <w:lang w:val="hy-AM" w:eastAsia="en-US"/>
        </w:rPr>
        <w:t>ՀՀ 2021 թվա</w:t>
      </w:r>
      <w:r w:rsidRPr="00487E7A">
        <w:rPr>
          <w:rFonts w:eastAsia="Calibri"/>
          <w:b w:val="0"/>
          <w:szCs w:val="22"/>
          <w:lang w:val="hy-AM" w:eastAsia="en-US"/>
        </w:rPr>
        <w:softHyphen/>
        <w:t>կա</w:t>
      </w:r>
      <w:r w:rsidRPr="00487E7A">
        <w:rPr>
          <w:rFonts w:eastAsia="Calibri"/>
          <w:b w:val="0"/>
          <w:szCs w:val="22"/>
          <w:lang w:val="hy-AM" w:eastAsia="en-US"/>
        </w:rPr>
        <w:softHyphen/>
      </w:r>
      <w:r w:rsidRPr="00487E7A">
        <w:rPr>
          <w:rFonts w:eastAsia="Calibri"/>
          <w:b w:val="0"/>
          <w:szCs w:val="22"/>
          <w:lang w:val="hy-AM" w:eastAsia="en-US"/>
        </w:rPr>
        <w:softHyphen/>
        <w:t>նի պետական բյուջեի նախագծի մշակման ընթացքում ՀՀ կա</w:t>
      </w:r>
      <w:r w:rsidRPr="00487E7A">
        <w:rPr>
          <w:rFonts w:eastAsia="Calibri"/>
          <w:b w:val="0"/>
          <w:szCs w:val="22"/>
          <w:lang w:val="hy-AM" w:eastAsia="en-US"/>
        </w:rPr>
        <w:softHyphen/>
        <w:t>ռա</w:t>
      </w:r>
      <w:r w:rsidRPr="00487E7A">
        <w:rPr>
          <w:rFonts w:eastAsia="Calibri"/>
          <w:b w:val="0"/>
          <w:szCs w:val="22"/>
          <w:lang w:val="hy-AM" w:eastAsia="en-US"/>
        </w:rPr>
        <w:softHyphen/>
        <w:t>վա</w:t>
      </w:r>
      <w:r w:rsidRPr="00487E7A">
        <w:rPr>
          <w:rFonts w:eastAsia="Calibri"/>
          <w:b w:val="0"/>
          <w:szCs w:val="22"/>
          <w:lang w:val="hy-AM" w:eastAsia="en-US"/>
        </w:rPr>
        <w:softHyphen/>
      </w:r>
      <w:r w:rsidRPr="00487E7A">
        <w:rPr>
          <w:rFonts w:eastAsia="Calibri"/>
          <w:b w:val="0"/>
          <w:szCs w:val="22"/>
          <w:lang w:val="hy-AM" w:eastAsia="en-US"/>
        </w:rPr>
        <w:softHyphen/>
        <w:t>րու</w:t>
      </w:r>
      <w:r w:rsidRPr="00487E7A">
        <w:rPr>
          <w:rFonts w:eastAsia="Calibri"/>
          <w:b w:val="0"/>
          <w:szCs w:val="22"/>
          <w:lang w:val="hy-AM" w:eastAsia="en-US"/>
        </w:rPr>
        <w:softHyphen/>
        <w:t xml:space="preserve">թյունն առաջնորդվել է ՀՀ 2021-2023թթ. Պետական միջնաժամկետ ծախսերի ծրագրով ամրագրված հիմնական սկզբունքներով: Ստորև բերված </w:t>
      </w:r>
      <w:r>
        <w:rPr>
          <w:rFonts w:eastAsia="Calibri"/>
          <w:b w:val="0"/>
          <w:szCs w:val="22"/>
          <w:lang w:val="hy-AM" w:eastAsia="en-US"/>
        </w:rPr>
        <w:t>Աղյուսակ 1</w:t>
      </w:r>
      <w:r w:rsidRPr="00487E7A">
        <w:rPr>
          <w:rFonts w:eastAsia="Calibri"/>
          <w:b w:val="0"/>
          <w:szCs w:val="22"/>
          <w:lang w:val="hy-AM" w:eastAsia="en-US"/>
        </w:rPr>
        <w:noBreakHyphen/>
        <w:t xml:space="preserve">ում ներկայացված են 2017-2021թթ պետական բյուջեների ցուցանիշներն  արտացոլող ամփոփ ցուցանիշները: </w:t>
      </w:r>
    </w:p>
    <w:p w:rsidR="008B2220" w:rsidRPr="00487E7A" w:rsidRDefault="008B2220" w:rsidP="007730AA">
      <w:pPr>
        <w:spacing w:before="0" w:line="276" w:lineRule="auto"/>
        <w:ind w:firstLine="538"/>
        <w:rPr>
          <w:rFonts w:eastAsia="Calibri"/>
          <w:b w:val="0"/>
          <w:szCs w:val="22"/>
          <w:lang w:val="hy-AM" w:eastAsia="en-US"/>
        </w:rPr>
      </w:pPr>
    </w:p>
    <w:p w:rsidR="008B2220" w:rsidRPr="00A2480A" w:rsidRDefault="008B2220" w:rsidP="007730AA">
      <w:pPr>
        <w:pStyle w:val="Caption"/>
        <w:spacing w:before="0" w:after="0"/>
        <w:rPr>
          <w:b/>
          <w:i/>
          <w:sz w:val="20"/>
          <w:szCs w:val="20"/>
          <w:lang w:val="hy-AM"/>
        </w:rPr>
      </w:pPr>
      <w:bookmarkStart w:id="150" w:name="_Ref496723843"/>
      <w:bookmarkStart w:id="151" w:name="_Toc525773064"/>
      <w:bookmarkStart w:id="152" w:name="_Toc20590404"/>
      <w:bookmarkStart w:id="153" w:name="_Toc57631752"/>
      <w:r w:rsidRPr="00D02A2D">
        <w:rPr>
          <w:lang w:val="hy-AM"/>
        </w:rPr>
        <w:t xml:space="preserve">Աղյուսակ </w:t>
      </w:r>
      <w:r w:rsidR="003C3925">
        <w:fldChar w:fldCharType="begin"/>
      </w:r>
      <w:r w:rsidRPr="00D02A2D">
        <w:rPr>
          <w:lang w:val="hy-AM"/>
        </w:rPr>
        <w:instrText xml:space="preserve"> SEQ Աղյուսակ \* ARABIC </w:instrText>
      </w:r>
      <w:r w:rsidR="003C3925">
        <w:fldChar w:fldCharType="separate"/>
      </w:r>
      <w:r w:rsidR="007E790B">
        <w:rPr>
          <w:noProof/>
          <w:lang w:val="hy-AM"/>
        </w:rPr>
        <w:t>1</w:t>
      </w:r>
      <w:r w:rsidR="003C3925">
        <w:fldChar w:fldCharType="end"/>
      </w:r>
      <w:r>
        <w:rPr>
          <w:rFonts w:ascii="Cambria Math" w:hAnsi="Cambria Math"/>
          <w:lang w:val="hy-AM"/>
        </w:rPr>
        <w:t xml:space="preserve">․ </w:t>
      </w:r>
      <w:r w:rsidRPr="00A2480A">
        <w:rPr>
          <w:b/>
          <w:i/>
          <w:sz w:val="20"/>
          <w:szCs w:val="20"/>
          <w:lang w:val="hy-AM"/>
        </w:rPr>
        <w:t>2017-2021թթ պետական բյուջեի ամփոփ ցուցանիշները</w:t>
      </w:r>
      <w:bookmarkEnd w:id="150"/>
      <w:bookmarkEnd w:id="151"/>
      <w:bookmarkEnd w:id="152"/>
      <w:r w:rsidRPr="00A2480A">
        <w:rPr>
          <w:b/>
          <w:i/>
          <w:sz w:val="20"/>
          <w:szCs w:val="20"/>
          <w:lang w:val="hy-AM"/>
        </w:rPr>
        <w:t xml:space="preserve"> (մլրդ դրամով)</w:t>
      </w:r>
      <w:bookmarkEnd w:id="153"/>
    </w:p>
    <w:tbl>
      <w:tblPr>
        <w:tblW w:w="10034" w:type="dxa"/>
        <w:tblInd w:w="93" w:type="dxa"/>
        <w:tblLayout w:type="fixed"/>
        <w:tblLook w:val="04A0" w:firstRow="1" w:lastRow="0" w:firstColumn="1" w:lastColumn="0" w:noHBand="0" w:noVBand="1"/>
      </w:tblPr>
      <w:tblGrid>
        <w:gridCol w:w="3435"/>
        <w:gridCol w:w="1319"/>
        <w:gridCol w:w="1320"/>
        <w:gridCol w:w="1320"/>
        <w:gridCol w:w="1320"/>
        <w:gridCol w:w="1320"/>
      </w:tblGrid>
      <w:tr w:rsidR="008B2220" w:rsidRPr="00487E7A" w:rsidTr="008B2220">
        <w:trPr>
          <w:trHeight w:val="885"/>
        </w:trPr>
        <w:tc>
          <w:tcPr>
            <w:tcW w:w="343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8B2220" w:rsidRPr="00487E7A" w:rsidRDefault="008B2220" w:rsidP="007730AA">
            <w:pPr>
              <w:spacing w:before="0" w:line="276" w:lineRule="auto"/>
              <w:ind w:firstLine="0"/>
              <w:contextualSpacing w:val="0"/>
              <w:jc w:val="center"/>
              <w:rPr>
                <w:rFonts w:cs="Calibri"/>
                <w:color w:val="FFFFFF" w:themeColor="background1"/>
                <w:sz w:val="20"/>
                <w:szCs w:val="20"/>
                <w:lang w:val="en-US" w:eastAsia="en-US"/>
              </w:rPr>
            </w:pPr>
            <w:r w:rsidRPr="00487E7A">
              <w:rPr>
                <w:rFonts w:cs="Calibri"/>
                <w:color w:val="FFFFFF" w:themeColor="background1"/>
                <w:sz w:val="20"/>
                <w:szCs w:val="20"/>
                <w:lang w:val="en-US" w:eastAsia="en-US"/>
              </w:rPr>
              <w:t>Ցուցանիշներ</w:t>
            </w:r>
          </w:p>
        </w:tc>
        <w:tc>
          <w:tcPr>
            <w:tcW w:w="1319" w:type="dxa"/>
            <w:tcBorders>
              <w:top w:val="single" w:sz="4" w:space="0" w:color="auto"/>
              <w:left w:val="nil"/>
              <w:bottom w:val="single" w:sz="4" w:space="0" w:color="auto"/>
              <w:right w:val="single" w:sz="4" w:space="0" w:color="auto"/>
            </w:tcBorders>
            <w:shd w:val="clear" w:color="auto" w:fill="4F81BD" w:themeFill="accent1"/>
            <w:vAlign w:val="center"/>
            <w:hideMark/>
          </w:tcPr>
          <w:p w:rsidR="008B2220" w:rsidRPr="00487E7A" w:rsidRDefault="008B2220" w:rsidP="007730AA">
            <w:pPr>
              <w:spacing w:before="0" w:line="276" w:lineRule="auto"/>
              <w:ind w:firstLine="0"/>
              <w:contextualSpacing w:val="0"/>
              <w:jc w:val="center"/>
              <w:rPr>
                <w:rFonts w:cs="Calibri"/>
                <w:color w:val="FFFFFF" w:themeColor="background1"/>
                <w:sz w:val="20"/>
                <w:szCs w:val="20"/>
                <w:lang w:val="en-US" w:eastAsia="en-US"/>
              </w:rPr>
            </w:pPr>
            <w:r w:rsidRPr="00487E7A">
              <w:rPr>
                <w:rFonts w:cs="Calibri"/>
                <w:color w:val="FFFFFF" w:themeColor="background1"/>
                <w:sz w:val="20"/>
                <w:szCs w:val="20"/>
                <w:lang w:val="en-US" w:eastAsia="en-US"/>
              </w:rPr>
              <w:t>2017թ</w:t>
            </w:r>
            <w:r w:rsidRPr="00487E7A">
              <w:rPr>
                <w:rFonts w:cs="Calibri"/>
                <w:color w:val="FFFFFF" w:themeColor="background1"/>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4F81BD" w:themeFill="accent1"/>
            <w:vAlign w:val="center"/>
            <w:hideMark/>
          </w:tcPr>
          <w:p w:rsidR="008B2220" w:rsidRPr="00487E7A" w:rsidRDefault="008B2220" w:rsidP="007730AA">
            <w:pPr>
              <w:spacing w:before="0" w:line="276" w:lineRule="auto"/>
              <w:ind w:firstLine="0"/>
              <w:contextualSpacing w:val="0"/>
              <w:jc w:val="center"/>
              <w:rPr>
                <w:rFonts w:cs="Calibri"/>
                <w:color w:val="FFFFFF" w:themeColor="background1"/>
                <w:sz w:val="20"/>
                <w:szCs w:val="20"/>
                <w:lang w:val="en-US" w:eastAsia="en-US"/>
              </w:rPr>
            </w:pPr>
            <w:r w:rsidRPr="00487E7A">
              <w:rPr>
                <w:rFonts w:cs="Calibri"/>
                <w:color w:val="FFFFFF" w:themeColor="background1"/>
                <w:sz w:val="20"/>
                <w:szCs w:val="20"/>
                <w:lang w:val="en-US" w:eastAsia="en-US"/>
              </w:rPr>
              <w:t>2018թ</w:t>
            </w:r>
            <w:r w:rsidRPr="00487E7A">
              <w:rPr>
                <w:rFonts w:cs="Calibri"/>
                <w:color w:val="FFFFFF" w:themeColor="background1"/>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4F81BD" w:themeFill="accent1"/>
            <w:vAlign w:val="center"/>
            <w:hideMark/>
          </w:tcPr>
          <w:p w:rsidR="008B2220" w:rsidRPr="00487E7A" w:rsidRDefault="008B2220" w:rsidP="007730AA">
            <w:pPr>
              <w:spacing w:before="0" w:line="276" w:lineRule="auto"/>
              <w:ind w:firstLine="0"/>
              <w:contextualSpacing w:val="0"/>
              <w:jc w:val="center"/>
              <w:rPr>
                <w:rFonts w:cs="Calibri"/>
                <w:color w:val="FFFFFF" w:themeColor="background1"/>
                <w:sz w:val="20"/>
                <w:szCs w:val="20"/>
                <w:lang w:val="en-US" w:eastAsia="en-US"/>
              </w:rPr>
            </w:pPr>
            <w:r w:rsidRPr="00487E7A">
              <w:rPr>
                <w:rFonts w:cs="Calibri"/>
                <w:color w:val="FFFFFF" w:themeColor="background1"/>
                <w:sz w:val="20"/>
                <w:szCs w:val="20"/>
                <w:lang w:val="en-US" w:eastAsia="en-US"/>
              </w:rPr>
              <w:t>2019թ</w:t>
            </w:r>
            <w:r w:rsidRPr="00487E7A">
              <w:rPr>
                <w:rFonts w:cs="Calibri"/>
                <w:color w:val="FFFFFF" w:themeColor="background1"/>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4F81BD" w:themeFill="accent1"/>
            <w:vAlign w:val="center"/>
            <w:hideMark/>
          </w:tcPr>
          <w:p w:rsidR="008B2220" w:rsidRPr="00487E7A" w:rsidRDefault="008B2220" w:rsidP="007730AA">
            <w:pPr>
              <w:spacing w:before="0" w:line="276" w:lineRule="auto"/>
              <w:ind w:firstLine="0"/>
              <w:contextualSpacing w:val="0"/>
              <w:jc w:val="center"/>
              <w:rPr>
                <w:rFonts w:cs="Calibri"/>
                <w:color w:val="FFFFFF" w:themeColor="background1"/>
                <w:sz w:val="20"/>
                <w:szCs w:val="20"/>
                <w:lang w:val="en-US" w:eastAsia="en-US"/>
              </w:rPr>
            </w:pPr>
            <w:r w:rsidRPr="00487E7A">
              <w:rPr>
                <w:rFonts w:cs="Calibri"/>
                <w:color w:val="FFFFFF" w:themeColor="background1"/>
                <w:sz w:val="20"/>
                <w:szCs w:val="20"/>
                <w:lang w:val="en-US" w:eastAsia="en-US"/>
              </w:rPr>
              <w:t>2020թ</w:t>
            </w:r>
            <w:r w:rsidRPr="00487E7A">
              <w:rPr>
                <w:rFonts w:cs="Calibri"/>
                <w:color w:val="FFFFFF" w:themeColor="background1"/>
                <w:sz w:val="20"/>
                <w:szCs w:val="20"/>
                <w:lang w:val="en-US" w:eastAsia="en-US"/>
              </w:rPr>
              <w:br/>
              <w:t>բյուջե</w:t>
            </w:r>
          </w:p>
        </w:tc>
        <w:tc>
          <w:tcPr>
            <w:tcW w:w="1320" w:type="dxa"/>
            <w:tcBorders>
              <w:top w:val="single" w:sz="4" w:space="0" w:color="auto"/>
              <w:left w:val="nil"/>
              <w:bottom w:val="single" w:sz="4" w:space="0" w:color="auto"/>
              <w:right w:val="single" w:sz="4" w:space="0" w:color="auto"/>
            </w:tcBorders>
            <w:shd w:val="clear" w:color="auto" w:fill="4F81BD" w:themeFill="accent1"/>
            <w:vAlign w:val="center"/>
            <w:hideMark/>
          </w:tcPr>
          <w:p w:rsidR="008B2220" w:rsidRPr="00487E7A" w:rsidRDefault="008B2220" w:rsidP="007730AA">
            <w:pPr>
              <w:spacing w:before="0" w:line="276" w:lineRule="auto"/>
              <w:ind w:firstLine="0"/>
              <w:contextualSpacing w:val="0"/>
              <w:jc w:val="center"/>
              <w:rPr>
                <w:rFonts w:cs="Calibri"/>
                <w:color w:val="FFFFFF" w:themeColor="background1"/>
                <w:sz w:val="20"/>
                <w:szCs w:val="20"/>
                <w:lang w:val="en-US" w:eastAsia="en-US"/>
              </w:rPr>
            </w:pPr>
            <w:r w:rsidRPr="00487E7A">
              <w:rPr>
                <w:rFonts w:cs="Calibri"/>
                <w:color w:val="FFFFFF" w:themeColor="background1"/>
                <w:sz w:val="20"/>
                <w:szCs w:val="20"/>
                <w:lang w:val="en-US" w:eastAsia="en-US"/>
              </w:rPr>
              <w:t>2021թ</w:t>
            </w:r>
            <w:r w:rsidRPr="00487E7A">
              <w:rPr>
                <w:rFonts w:cs="Calibri"/>
                <w:color w:val="FFFFFF" w:themeColor="background1"/>
                <w:sz w:val="20"/>
                <w:szCs w:val="20"/>
                <w:lang w:val="en-US" w:eastAsia="en-US"/>
              </w:rPr>
              <w:br/>
              <w:t>կանխատեսում</w:t>
            </w: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1. Ընդամենը եկամուտներ</w:t>
            </w:r>
          </w:p>
        </w:tc>
        <w:tc>
          <w:tcPr>
            <w:tcW w:w="1319"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1,237.8</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1,341.7</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1,565.5</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w:t>
            </w:r>
            <w:r>
              <w:rPr>
                <w:rFonts w:cs="Calibri"/>
                <w:b w:val="0"/>
                <w:color w:val="000000"/>
                <w:sz w:val="20"/>
                <w:szCs w:val="20"/>
                <w:lang w:val="en-US" w:eastAsia="en-US"/>
              </w:rPr>
              <w:t>695.0</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w:t>
            </w:r>
            <w:r>
              <w:rPr>
                <w:rFonts w:cs="Calibri"/>
                <w:b w:val="0"/>
                <w:color w:val="000000"/>
                <w:sz w:val="20"/>
                <w:szCs w:val="20"/>
                <w:lang w:val="en-US" w:eastAsia="en-US"/>
              </w:rPr>
              <w:t>509.5</w:t>
            </w: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 ներքին եկամուտներ</w:t>
            </w:r>
          </w:p>
        </w:tc>
        <w:tc>
          <w:tcPr>
            <w:tcW w:w="1319"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1,223.1</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1,330.5</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1,553.1</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w:t>
            </w:r>
            <w:r>
              <w:rPr>
                <w:rFonts w:cs="Calibri"/>
                <w:b w:val="0"/>
                <w:color w:val="000000"/>
                <w:sz w:val="20"/>
                <w:szCs w:val="20"/>
                <w:lang w:val="en-US" w:eastAsia="en-US"/>
              </w:rPr>
              <w:t>659.7</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w:t>
            </w:r>
            <w:r>
              <w:rPr>
                <w:rFonts w:cs="Calibri"/>
                <w:b w:val="0"/>
                <w:color w:val="000000"/>
                <w:sz w:val="20"/>
                <w:szCs w:val="20"/>
                <w:lang w:val="en-US" w:eastAsia="en-US"/>
              </w:rPr>
              <w:t>485.2</w:t>
            </w: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 xml:space="preserve"> - հարկեր և պետական տուրքեր </w:t>
            </w:r>
          </w:p>
        </w:tc>
        <w:tc>
          <w:tcPr>
            <w:tcW w:w="1319"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1,158.0</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1,258.1</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1,464.3</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w:t>
            </w:r>
            <w:r>
              <w:rPr>
                <w:rFonts w:cs="Calibri"/>
                <w:b w:val="0"/>
                <w:color w:val="000000"/>
                <w:sz w:val="20"/>
                <w:szCs w:val="20"/>
                <w:lang w:val="en-US" w:eastAsia="en-US"/>
              </w:rPr>
              <w:t>602.3</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487E7A" w:rsidRDefault="008B2220" w:rsidP="007730AA">
            <w:pPr>
              <w:spacing w:before="0" w:line="276" w:lineRule="auto"/>
              <w:ind w:firstLine="0"/>
              <w:contextualSpacing w:val="0"/>
              <w:jc w:val="center"/>
              <w:rPr>
                <w:rFonts w:cs="Calibri"/>
                <w:b w:val="0"/>
                <w:color w:val="000000"/>
                <w:sz w:val="20"/>
                <w:szCs w:val="20"/>
                <w:lang w:val="en-US" w:eastAsia="en-US"/>
              </w:rPr>
            </w:pPr>
            <w:r w:rsidRPr="00487E7A">
              <w:rPr>
                <w:rFonts w:cs="Calibri"/>
                <w:b w:val="0"/>
                <w:color w:val="000000"/>
                <w:sz w:val="20"/>
                <w:szCs w:val="20"/>
                <w:lang w:val="en-US" w:eastAsia="en-US"/>
              </w:rPr>
              <w:t>1,</w:t>
            </w:r>
            <w:r>
              <w:rPr>
                <w:rFonts w:cs="Calibri"/>
                <w:b w:val="0"/>
                <w:color w:val="000000"/>
                <w:sz w:val="20"/>
                <w:szCs w:val="20"/>
                <w:lang w:val="en-US" w:eastAsia="en-US"/>
              </w:rPr>
              <w:t>440.1</w:t>
            </w:r>
          </w:p>
        </w:tc>
      </w:tr>
      <w:tr w:rsidR="008B2220" w:rsidRPr="00487E7A" w:rsidTr="008B2220">
        <w:trPr>
          <w:trHeight w:val="431"/>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2. Ընդամենը ծախսեր</w:t>
            </w:r>
          </w:p>
        </w:tc>
        <w:tc>
          <w:tcPr>
            <w:tcW w:w="1319"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1,504.8</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1,447.1</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1,629.4</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1,</w:t>
            </w:r>
            <w:r>
              <w:rPr>
                <w:rFonts w:cs="Calibri"/>
                <w:b w:val="0"/>
                <w:color w:val="000000"/>
                <w:sz w:val="20"/>
                <w:szCs w:val="20"/>
                <w:lang w:val="en-US" w:eastAsia="en-US"/>
              </w:rPr>
              <w:t>855.7</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r w:rsidRPr="009F3C47">
              <w:rPr>
                <w:rFonts w:cs="Calibri"/>
                <w:b w:val="0"/>
                <w:color w:val="000000"/>
                <w:sz w:val="20"/>
                <w:szCs w:val="20"/>
                <w:lang w:val="en-US" w:eastAsia="en-US"/>
              </w:rPr>
              <w:t>1,</w:t>
            </w:r>
            <w:r>
              <w:rPr>
                <w:rFonts w:cs="Calibri"/>
                <w:b w:val="0"/>
                <w:color w:val="000000"/>
                <w:sz w:val="20"/>
                <w:szCs w:val="20"/>
                <w:lang w:val="en-US" w:eastAsia="en-US"/>
              </w:rPr>
              <w:t>850.9</w:t>
            </w: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 ընթացիկ ծախսեր</w:t>
            </w:r>
          </w:p>
        </w:tc>
        <w:tc>
          <w:tcPr>
            <w:tcW w:w="1319"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1,267.4</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1,299.0</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1,437.1</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1,</w:t>
            </w:r>
            <w:r>
              <w:rPr>
                <w:rFonts w:cs="Calibri"/>
                <w:b w:val="0"/>
                <w:color w:val="000000"/>
                <w:sz w:val="20"/>
                <w:szCs w:val="20"/>
                <w:lang w:val="en-US" w:eastAsia="en-US"/>
              </w:rPr>
              <w:t>568.0</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1,634.6</w:t>
            </w:r>
          </w:p>
        </w:tc>
      </w:tr>
      <w:tr w:rsidR="008B2220" w:rsidRPr="00487E7A" w:rsidTr="008B2220">
        <w:trPr>
          <w:trHeight w:val="710"/>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eastAsia="en-US"/>
              </w:rPr>
            </w:pPr>
            <w:r w:rsidRPr="00487E7A">
              <w:rPr>
                <w:rFonts w:cs="Calibri"/>
                <w:b w:val="0"/>
                <w:color w:val="000000"/>
                <w:sz w:val="20"/>
                <w:szCs w:val="20"/>
                <w:lang w:eastAsia="en-US"/>
              </w:rPr>
              <w:t xml:space="preserve">- </w:t>
            </w:r>
            <w:r w:rsidRPr="00487E7A">
              <w:rPr>
                <w:rFonts w:cs="Calibri"/>
                <w:b w:val="0"/>
                <w:color w:val="000000"/>
                <w:sz w:val="20"/>
                <w:szCs w:val="20"/>
                <w:lang w:val="en-US" w:eastAsia="en-US"/>
              </w:rPr>
              <w:t>ոչ</w:t>
            </w:r>
            <w:r w:rsidRPr="00487E7A">
              <w:rPr>
                <w:rFonts w:cs="Calibri"/>
                <w:b w:val="0"/>
                <w:color w:val="000000"/>
                <w:sz w:val="20"/>
                <w:szCs w:val="20"/>
                <w:lang w:eastAsia="en-US"/>
              </w:rPr>
              <w:t xml:space="preserve"> </w:t>
            </w:r>
            <w:r w:rsidRPr="00487E7A">
              <w:rPr>
                <w:rFonts w:cs="Calibri"/>
                <w:b w:val="0"/>
                <w:color w:val="000000"/>
                <w:sz w:val="20"/>
                <w:szCs w:val="20"/>
                <w:lang w:val="en-US" w:eastAsia="en-US"/>
              </w:rPr>
              <w:t>ֆինանսական</w:t>
            </w:r>
            <w:r w:rsidRPr="00487E7A">
              <w:rPr>
                <w:rFonts w:cs="Calibri"/>
                <w:b w:val="0"/>
                <w:color w:val="000000"/>
                <w:sz w:val="20"/>
                <w:szCs w:val="20"/>
                <w:lang w:eastAsia="en-US"/>
              </w:rPr>
              <w:t xml:space="preserve"> </w:t>
            </w:r>
            <w:r w:rsidRPr="00487E7A">
              <w:rPr>
                <w:rFonts w:cs="Calibri"/>
                <w:b w:val="0"/>
                <w:color w:val="000000"/>
                <w:sz w:val="20"/>
                <w:szCs w:val="20"/>
                <w:lang w:val="en-US" w:eastAsia="en-US"/>
              </w:rPr>
              <w:t>ակտիվների</w:t>
            </w:r>
            <w:r w:rsidRPr="00487E7A">
              <w:rPr>
                <w:rFonts w:cs="Calibri"/>
                <w:b w:val="0"/>
                <w:color w:val="000000"/>
                <w:sz w:val="20"/>
                <w:szCs w:val="20"/>
                <w:lang w:eastAsia="en-US"/>
              </w:rPr>
              <w:t xml:space="preserve"> </w:t>
            </w:r>
            <w:r w:rsidRPr="00487E7A">
              <w:rPr>
                <w:rFonts w:cs="Calibri"/>
                <w:b w:val="0"/>
                <w:color w:val="000000"/>
                <w:sz w:val="20"/>
                <w:szCs w:val="20"/>
                <w:lang w:val="en-US" w:eastAsia="en-US"/>
              </w:rPr>
              <w:t>հետ</w:t>
            </w:r>
            <w:r w:rsidRPr="00487E7A">
              <w:rPr>
                <w:rFonts w:cs="Calibri"/>
                <w:b w:val="0"/>
                <w:color w:val="000000"/>
                <w:sz w:val="20"/>
                <w:szCs w:val="20"/>
                <w:lang w:eastAsia="en-US"/>
              </w:rPr>
              <w:t xml:space="preserve"> </w:t>
            </w:r>
            <w:r w:rsidRPr="00487E7A">
              <w:rPr>
                <w:rFonts w:cs="Calibri"/>
                <w:b w:val="0"/>
                <w:color w:val="000000"/>
                <w:sz w:val="20"/>
                <w:szCs w:val="20"/>
                <w:lang w:val="en-US" w:eastAsia="en-US"/>
              </w:rPr>
              <w:t>գործառնություններ</w:t>
            </w:r>
          </w:p>
        </w:tc>
        <w:tc>
          <w:tcPr>
            <w:tcW w:w="1319"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237.4</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148.1</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192.3</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287.7</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r w:rsidRPr="009F3C47">
              <w:rPr>
                <w:rFonts w:cs="Calibri"/>
                <w:b w:val="0"/>
                <w:color w:val="000000"/>
                <w:sz w:val="20"/>
                <w:szCs w:val="20"/>
                <w:lang w:val="en-US" w:eastAsia="en-US"/>
              </w:rPr>
              <w:t>216.3</w:t>
            </w: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3. Դեֆիցիտ (պակասուրդ)</w:t>
            </w:r>
          </w:p>
        </w:tc>
        <w:tc>
          <w:tcPr>
            <w:tcW w:w="1319"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267.0</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105.4</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63.9</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160.7</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341.4</w:t>
            </w: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000000" w:fill="FFFFFF"/>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eastAsia="en-US"/>
              </w:rPr>
            </w:pPr>
            <w:r w:rsidRPr="00487E7A">
              <w:rPr>
                <w:rFonts w:cs="Calibri"/>
                <w:b w:val="0"/>
                <w:color w:val="000000"/>
                <w:sz w:val="20"/>
                <w:szCs w:val="20"/>
                <w:lang w:val="en-US" w:eastAsia="en-US"/>
              </w:rPr>
              <w:t>Բ</w:t>
            </w:r>
            <w:r w:rsidRPr="00487E7A">
              <w:rPr>
                <w:rFonts w:cs="Calibri"/>
                <w:b w:val="0"/>
                <w:color w:val="000000"/>
                <w:sz w:val="20"/>
                <w:szCs w:val="20"/>
                <w:lang w:eastAsia="en-US"/>
              </w:rPr>
              <w:t xml:space="preserve">. </w:t>
            </w:r>
            <w:r w:rsidRPr="00487E7A">
              <w:rPr>
                <w:rFonts w:cs="Calibri"/>
                <w:b w:val="0"/>
                <w:color w:val="000000"/>
                <w:sz w:val="20"/>
                <w:szCs w:val="20"/>
                <w:lang w:val="en-US" w:eastAsia="en-US"/>
              </w:rPr>
              <w:t>Արտահայտված</w:t>
            </w:r>
            <w:r w:rsidRPr="00487E7A">
              <w:rPr>
                <w:rFonts w:cs="Calibri"/>
                <w:b w:val="0"/>
                <w:color w:val="000000"/>
                <w:sz w:val="20"/>
                <w:szCs w:val="20"/>
                <w:lang w:eastAsia="en-US"/>
              </w:rPr>
              <w:t xml:space="preserve"> </w:t>
            </w:r>
            <w:r w:rsidRPr="00487E7A">
              <w:rPr>
                <w:rFonts w:cs="Calibri"/>
                <w:b w:val="0"/>
                <w:color w:val="000000"/>
                <w:sz w:val="20"/>
                <w:szCs w:val="20"/>
                <w:lang w:val="en-US" w:eastAsia="en-US"/>
              </w:rPr>
              <w:t>ՀՆԱ</w:t>
            </w:r>
            <w:r w:rsidRPr="00487E7A">
              <w:rPr>
                <w:rFonts w:cs="Calibri"/>
                <w:b w:val="0"/>
                <w:color w:val="000000"/>
                <w:sz w:val="20"/>
                <w:szCs w:val="20"/>
                <w:lang w:eastAsia="en-US"/>
              </w:rPr>
              <w:t>-</w:t>
            </w:r>
            <w:r w:rsidRPr="00487E7A">
              <w:rPr>
                <w:rFonts w:cs="Calibri"/>
                <w:b w:val="0"/>
                <w:color w:val="000000"/>
                <w:sz w:val="20"/>
                <w:szCs w:val="20"/>
                <w:lang w:val="en-US" w:eastAsia="en-US"/>
              </w:rPr>
              <w:t>ի</w:t>
            </w:r>
            <w:r w:rsidRPr="00487E7A">
              <w:rPr>
                <w:rFonts w:cs="Calibri"/>
                <w:b w:val="0"/>
                <w:color w:val="000000"/>
                <w:sz w:val="20"/>
                <w:szCs w:val="20"/>
                <w:lang w:eastAsia="en-US"/>
              </w:rPr>
              <w:t xml:space="preserve"> </w:t>
            </w:r>
            <w:r w:rsidRPr="00487E7A">
              <w:rPr>
                <w:rFonts w:cs="Calibri"/>
                <w:b w:val="0"/>
                <w:color w:val="000000"/>
                <w:sz w:val="20"/>
                <w:szCs w:val="20"/>
                <w:lang w:val="en-US" w:eastAsia="en-US"/>
              </w:rPr>
              <w:t>նկատմամբ</w:t>
            </w:r>
            <w:r w:rsidRPr="00487E7A">
              <w:rPr>
                <w:rFonts w:cs="Calibri"/>
                <w:b w:val="0"/>
                <w:color w:val="000000"/>
                <w:sz w:val="20"/>
                <w:szCs w:val="20"/>
                <w:lang w:eastAsia="en-US"/>
              </w:rPr>
              <w:t xml:space="preserve"> %-</w:t>
            </w:r>
            <w:r w:rsidRPr="00487E7A">
              <w:rPr>
                <w:rFonts w:cs="Calibri"/>
                <w:b w:val="0"/>
                <w:color w:val="000000"/>
                <w:sz w:val="20"/>
                <w:szCs w:val="20"/>
                <w:lang w:val="en-US" w:eastAsia="en-US"/>
              </w:rPr>
              <w:t>ով</w:t>
            </w:r>
          </w:p>
        </w:tc>
        <w:tc>
          <w:tcPr>
            <w:tcW w:w="1319" w:type="dxa"/>
            <w:tcBorders>
              <w:top w:val="nil"/>
              <w:left w:val="nil"/>
              <w:bottom w:val="single" w:sz="4" w:space="0" w:color="auto"/>
              <w:right w:val="single" w:sz="4" w:space="0" w:color="auto"/>
            </w:tcBorders>
            <w:shd w:val="clear" w:color="000000" w:fill="FFFFFF"/>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eastAsia="en-US"/>
              </w:rPr>
            </w:pPr>
          </w:p>
        </w:tc>
        <w:tc>
          <w:tcPr>
            <w:tcW w:w="1320" w:type="dxa"/>
            <w:tcBorders>
              <w:top w:val="nil"/>
              <w:left w:val="nil"/>
              <w:bottom w:val="single" w:sz="4" w:space="0" w:color="auto"/>
              <w:right w:val="single" w:sz="4" w:space="0" w:color="auto"/>
            </w:tcBorders>
            <w:shd w:val="clear" w:color="000000" w:fill="FFFFFF"/>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eastAsia="en-US"/>
              </w:rPr>
            </w:pPr>
          </w:p>
        </w:tc>
        <w:tc>
          <w:tcPr>
            <w:tcW w:w="1320" w:type="dxa"/>
            <w:tcBorders>
              <w:top w:val="nil"/>
              <w:left w:val="nil"/>
              <w:bottom w:val="single" w:sz="4" w:space="0" w:color="auto"/>
              <w:right w:val="single" w:sz="4" w:space="0" w:color="auto"/>
            </w:tcBorders>
            <w:shd w:val="clear" w:color="000000" w:fill="FFFFFF"/>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eastAsia="en-US"/>
              </w:rPr>
            </w:pPr>
          </w:p>
        </w:tc>
        <w:tc>
          <w:tcPr>
            <w:tcW w:w="1320" w:type="dxa"/>
            <w:tcBorders>
              <w:top w:val="nil"/>
              <w:left w:val="nil"/>
              <w:bottom w:val="single" w:sz="4" w:space="0" w:color="auto"/>
              <w:right w:val="single" w:sz="4" w:space="0" w:color="auto"/>
            </w:tcBorders>
            <w:shd w:val="clear" w:color="000000" w:fill="FFFFFF"/>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eastAsia="en-US"/>
              </w:rPr>
            </w:pPr>
          </w:p>
        </w:tc>
        <w:tc>
          <w:tcPr>
            <w:tcW w:w="1320" w:type="dxa"/>
            <w:tcBorders>
              <w:top w:val="nil"/>
              <w:left w:val="nil"/>
              <w:bottom w:val="single" w:sz="4" w:space="0" w:color="auto"/>
              <w:right w:val="single" w:sz="4" w:space="0" w:color="auto"/>
            </w:tcBorders>
            <w:shd w:val="clear" w:color="000000" w:fill="FFFFFF"/>
            <w:noWrap/>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eastAsia="en-US"/>
              </w:rPr>
            </w:pP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1. Ընդամենը եկամուտներ</w:t>
            </w:r>
          </w:p>
        </w:tc>
        <w:tc>
          <w:tcPr>
            <w:tcW w:w="1319"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22.2%</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22.3%</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23.8%</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23.9%</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r w:rsidRPr="009F3C47">
              <w:rPr>
                <w:rFonts w:cs="Calibri"/>
                <w:b w:val="0"/>
                <w:color w:val="000000"/>
                <w:sz w:val="20"/>
                <w:szCs w:val="20"/>
                <w:lang w:val="en-US" w:eastAsia="en-US"/>
              </w:rPr>
              <w:t>23.6%</w:t>
            </w: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 ներքին եկամուտներ</w:t>
            </w:r>
          </w:p>
        </w:tc>
        <w:tc>
          <w:tcPr>
            <w:tcW w:w="1319"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22.0%</w:t>
            </w: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22.1%</w:t>
            </w: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23.6%</w:t>
            </w: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23.4%</w:t>
            </w:r>
          </w:p>
        </w:tc>
        <w:tc>
          <w:tcPr>
            <w:tcW w:w="1320" w:type="dxa"/>
            <w:tcBorders>
              <w:top w:val="nil"/>
              <w:left w:val="nil"/>
              <w:bottom w:val="single" w:sz="4" w:space="0" w:color="auto"/>
              <w:right w:val="single" w:sz="4" w:space="0" w:color="auto"/>
            </w:tcBorders>
            <w:shd w:val="clear" w:color="auto" w:fill="auto"/>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r w:rsidRPr="009F3C47">
              <w:rPr>
                <w:rFonts w:cs="Calibri"/>
                <w:b w:val="0"/>
                <w:color w:val="000000"/>
                <w:sz w:val="20"/>
                <w:szCs w:val="20"/>
                <w:lang w:val="en-US" w:eastAsia="en-US"/>
              </w:rPr>
              <w:t>23.2%</w:t>
            </w: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p>
        </w:tc>
      </w:tr>
      <w:tr w:rsidR="008B2220" w:rsidRPr="00487E7A" w:rsidTr="008B2220">
        <w:trPr>
          <w:trHeight w:val="476"/>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 xml:space="preserve">- հարկեր և պետական տուրքեր </w:t>
            </w:r>
          </w:p>
        </w:tc>
        <w:tc>
          <w:tcPr>
            <w:tcW w:w="1319"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20.8%</w:t>
            </w: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20.9%</w:t>
            </w: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22.3%</w:t>
            </w: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22.6%</w:t>
            </w:r>
          </w:p>
        </w:tc>
        <w:tc>
          <w:tcPr>
            <w:tcW w:w="1320" w:type="dxa"/>
            <w:tcBorders>
              <w:top w:val="nil"/>
              <w:left w:val="nil"/>
              <w:bottom w:val="single" w:sz="4" w:space="0" w:color="auto"/>
              <w:right w:val="single" w:sz="4" w:space="0" w:color="auto"/>
            </w:tcBorders>
            <w:shd w:val="clear" w:color="auto" w:fill="auto"/>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r w:rsidRPr="009F3C47">
              <w:rPr>
                <w:rFonts w:cs="Calibri"/>
                <w:b w:val="0"/>
                <w:color w:val="000000"/>
                <w:sz w:val="20"/>
                <w:szCs w:val="20"/>
                <w:lang w:val="en-US" w:eastAsia="en-US"/>
              </w:rPr>
              <w:t>22.5%</w:t>
            </w:r>
          </w:p>
        </w:tc>
      </w:tr>
      <w:tr w:rsidR="008B2220" w:rsidRPr="00487E7A" w:rsidTr="008B2220">
        <w:trPr>
          <w:trHeight w:val="440"/>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2. Ընդամենը ծախսեր</w:t>
            </w:r>
          </w:p>
        </w:tc>
        <w:tc>
          <w:tcPr>
            <w:tcW w:w="1319"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27.0%</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24.0%</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24.8%</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26.2</w:t>
            </w:r>
            <w:r w:rsidRPr="00F42189">
              <w:rPr>
                <w:rFonts w:cs="Calibri"/>
                <w:b w:val="0"/>
                <w:color w:val="000000"/>
                <w:sz w:val="20"/>
                <w:szCs w:val="20"/>
                <w:lang w:val="en-US" w:eastAsia="en-US"/>
              </w:rPr>
              <w:t>%</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28.9</w:t>
            </w:r>
            <w:r w:rsidRPr="009F3C47">
              <w:rPr>
                <w:rFonts w:cs="Calibri"/>
                <w:b w:val="0"/>
                <w:color w:val="000000"/>
                <w:sz w:val="20"/>
                <w:szCs w:val="20"/>
                <w:lang w:val="en-US" w:eastAsia="en-US"/>
              </w:rPr>
              <w:t>%</w:t>
            </w: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p>
        </w:tc>
        <w:tc>
          <w:tcPr>
            <w:tcW w:w="1320" w:type="dxa"/>
            <w:tcBorders>
              <w:top w:val="nil"/>
              <w:left w:val="nil"/>
              <w:bottom w:val="single" w:sz="4" w:space="0" w:color="auto"/>
              <w:right w:val="single" w:sz="4" w:space="0" w:color="auto"/>
            </w:tcBorders>
            <w:shd w:val="clear" w:color="auto" w:fill="auto"/>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p>
        </w:tc>
      </w:tr>
      <w:tr w:rsidR="008B2220" w:rsidRPr="00487E7A" w:rsidTr="008B2220">
        <w:trPr>
          <w:trHeight w:val="449"/>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 ընթացիկ ծախսեր</w:t>
            </w:r>
          </w:p>
        </w:tc>
        <w:tc>
          <w:tcPr>
            <w:tcW w:w="1319"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22.8%</w:t>
            </w: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21.6%</w:t>
            </w: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21.9%</w:t>
            </w: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22.1</w:t>
            </w:r>
            <w:r w:rsidRPr="00F42189">
              <w:rPr>
                <w:rFonts w:cs="Calibri"/>
                <w:b w:val="0"/>
                <w:color w:val="000000"/>
                <w:sz w:val="20"/>
                <w:szCs w:val="20"/>
                <w:lang w:val="en-US" w:eastAsia="en-US"/>
              </w:rPr>
              <w:t>%</w:t>
            </w:r>
          </w:p>
        </w:tc>
        <w:tc>
          <w:tcPr>
            <w:tcW w:w="1320" w:type="dxa"/>
            <w:tcBorders>
              <w:top w:val="nil"/>
              <w:left w:val="nil"/>
              <w:bottom w:val="single" w:sz="4" w:space="0" w:color="auto"/>
              <w:right w:val="single" w:sz="4" w:space="0" w:color="auto"/>
            </w:tcBorders>
            <w:shd w:val="clear" w:color="auto" w:fill="auto"/>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25.6</w:t>
            </w:r>
            <w:r w:rsidRPr="009F3C47">
              <w:rPr>
                <w:rFonts w:cs="Calibri"/>
                <w:b w:val="0"/>
                <w:color w:val="000000"/>
                <w:sz w:val="20"/>
                <w:szCs w:val="20"/>
                <w:lang w:val="en-US" w:eastAsia="en-US"/>
              </w:rPr>
              <w:t>%</w:t>
            </w:r>
          </w:p>
        </w:tc>
      </w:tr>
      <w:tr w:rsidR="008B2220" w:rsidRPr="00487E7A" w:rsidTr="008B2220">
        <w:trPr>
          <w:trHeight w:val="629"/>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eastAsia="en-US"/>
              </w:rPr>
            </w:pPr>
            <w:r w:rsidRPr="00487E7A">
              <w:rPr>
                <w:rFonts w:cs="Calibri"/>
                <w:b w:val="0"/>
                <w:color w:val="000000"/>
                <w:sz w:val="20"/>
                <w:szCs w:val="20"/>
                <w:lang w:eastAsia="en-US"/>
              </w:rPr>
              <w:t xml:space="preserve">- </w:t>
            </w:r>
            <w:r w:rsidRPr="00487E7A">
              <w:rPr>
                <w:rFonts w:cs="Calibri"/>
                <w:b w:val="0"/>
                <w:color w:val="000000"/>
                <w:sz w:val="20"/>
                <w:szCs w:val="20"/>
                <w:lang w:val="en-US" w:eastAsia="en-US"/>
              </w:rPr>
              <w:t>ոչ</w:t>
            </w:r>
            <w:r w:rsidRPr="00487E7A">
              <w:rPr>
                <w:rFonts w:cs="Calibri"/>
                <w:b w:val="0"/>
                <w:color w:val="000000"/>
                <w:sz w:val="20"/>
                <w:szCs w:val="20"/>
                <w:lang w:eastAsia="en-US"/>
              </w:rPr>
              <w:t xml:space="preserve"> </w:t>
            </w:r>
            <w:r w:rsidRPr="00487E7A">
              <w:rPr>
                <w:rFonts w:cs="Calibri"/>
                <w:b w:val="0"/>
                <w:color w:val="000000"/>
                <w:sz w:val="20"/>
                <w:szCs w:val="20"/>
                <w:lang w:val="en-US" w:eastAsia="en-US"/>
              </w:rPr>
              <w:t>ֆինանսական</w:t>
            </w:r>
            <w:r w:rsidRPr="00487E7A">
              <w:rPr>
                <w:rFonts w:cs="Calibri"/>
                <w:b w:val="0"/>
                <w:color w:val="000000"/>
                <w:sz w:val="20"/>
                <w:szCs w:val="20"/>
                <w:lang w:eastAsia="en-US"/>
              </w:rPr>
              <w:t xml:space="preserve"> </w:t>
            </w:r>
            <w:r w:rsidRPr="00487E7A">
              <w:rPr>
                <w:rFonts w:cs="Calibri"/>
                <w:b w:val="0"/>
                <w:color w:val="000000"/>
                <w:sz w:val="20"/>
                <w:szCs w:val="20"/>
                <w:lang w:val="en-US" w:eastAsia="en-US"/>
              </w:rPr>
              <w:t>ակտիվների</w:t>
            </w:r>
            <w:r w:rsidRPr="00487E7A">
              <w:rPr>
                <w:rFonts w:cs="Calibri"/>
                <w:b w:val="0"/>
                <w:color w:val="000000"/>
                <w:sz w:val="20"/>
                <w:szCs w:val="20"/>
                <w:lang w:eastAsia="en-US"/>
              </w:rPr>
              <w:t xml:space="preserve"> </w:t>
            </w:r>
            <w:r w:rsidRPr="00487E7A">
              <w:rPr>
                <w:rFonts w:cs="Calibri"/>
                <w:b w:val="0"/>
                <w:color w:val="000000"/>
                <w:sz w:val="20"/>
                <w:szCs w:val="20"/>
                <w:lang w:val="en-US" w:eastAsia="en-US"/>
              </w:rPr>
              <w:t>հետ</w:t>
            </w:r>
            <w:r w:rsidRPr="00487E7A">
              <w:rPr>
                <w:rFonts w:cs="Calibri"/>
                <w:b w:val="0"/>
                <w:color w:val="000000"/>
                <w:sz w:val="20"/>
                <w:szCs w:val="20"/>
                <w:lang w:eastAsia="en-US"/>
              </w:rPr>
              <w:t xml:space="preserve"> </w:t>
            </w:r>
            <w:r w:rsidRPr="00487E7A">
              <w:rPr>
                <w:rFonts w:cs="Calibri"/>
                <w:b w:val="0"/>
                <w:color w:val="000000"/>
                <w:sz w:val="20"/>
                <w:szCs w:val="20"/>
                <w:lang w:val="en-US" w:eastAsia="en-US"/>
              </w:rPr>
              <w:t>գործառնություններ</w:t>
            </w:r>
          </w:p>
        </w:tc>
        <w:tc>
          <w:tcPr>
            <w:tcW w:w="1319"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4.3%</w:t>
            </w: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2.5%</w:t>
            </w: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2.9%</w:t>
            </w:r>
          </w:p>
        </w:tc>
        <w:tc>
          <w:tcPr>
            <w:tcW w:w="1320" w:type="dxa"/>
            <w:tcBorders>
              <w:top w:val="nil"/>
              <w:left w:val="nil"/>
              <w:bottom w:val="single" w:sz="4" w:space="0" w:color="auto"/>
              <w:right w:val="single" w:sz="4" w:space="0" w:color="auto"/>
            </w:tcBorders>
            <w:shd w:val="clear" w:color="auto" w:fill="auto"/>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4.1</w:t>
            </w:r>
            <w:r w:rsidRPr="00F42189">
              <w:rPr>
                <w:rFonts w:cs="Calibri"/>
                <w:b w:val="0"/>
                <w:color w:val="000000"/>
                <w:sz w:val="20"/>
                <w:szCs w:val="20"/>
                <w:lang w:val="en-US" w:eastAsia="en-US"/>
              </w:rPr>
              <w:t>%</w:t>
            </w:r>
          </w:p>
        </w:tc>
        <w:tc>
          <w:tcPr>
            <w:tcW w:w="1320" w:type="dxa"/>
            <w:tcBorders>
              <w:top w:val="nil"/>
              <w:left w:val="nil"/>
              <w:bottom w:val="single" w:sz="4" w:space="0" w:color="auto"/>
              <w:right w:val="single" w:sz="4" w:space="0" w:color="auto"/>
            </w:tcBorders>
            <w:shd w:val="clear" w:color="auto" w:fill="auto"/>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r w:rsidRPr="009F3C47">
              <w:rPr>
                <w:rFonts w:cs="Calibri"/>
                <w:b w:val="0"/>
                <w:color w:val="000000"/>
                <w:sz w:val="20"/>
                <w:szCs w:val="20"/>
                <w:lang w:val="en-US" w:eastAsia="en-US"/>
              </w:rPr>
              <w:t>3.4%</w:t>
            </w:r>
          </w:p>
        </w:tc>
      </w:tr>
      <w:tr w:rsidR="008B2220" w:rsidRPr="00487E7A" w:rsidTr="008B2220">
        <w:trPr>
          <w:trHeight w:val="440"/>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3. Դեֆիցիտ (պակասուրդ)</w:t>
            </w:r>
          </w:p>
        </w:tc>
        <w:tc>
          <w:tcPr>
            <w:tcW w:w="1319"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4.8%</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1.8%</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sidRPr="00F42189">
              <w:rPr>
                <w:rFonts w:cs="Calibri"/>
                <w:b w:val="0"/>
                <w:color w:val="000000"/>
                <w:sz w:val="20"/>
                <w:szCs w:val="20"/>
                <w:lang w:val="en-US" w:eastAsia="en-US"/>
              </w:rPr>
              <w:t>1.0%</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F42189" w:rsidRDefault="008B22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2.3</w:t>
            </w:r>
            <w:r w:rsidRPr="00F42189">
              <w:rPr>
                <w:rFonts w:cs="Calibri"/>
                <w:b w:val="0"/>
                <w:color w:val="000000"/>
                <w:sz w:val="20"/>
                <w:szCs w:val="20"/>
                <w:lang w:val="en-US" w:eastAsia="en-US"/>
              </w:rPr>
              <w:t>%</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5.3</w:t>
            </w:r>
            <w:r w:rsidRPr="009F3C47">
              <w:rPr>
                <w:rFonts w:cs="Calibri"/>
                <w:b w:val="0"/>
                <w:color w:val="000000"/>
                <w:sz w:val="20"/>
                <w:szCs w:val="20"/>
                <w:lang w:val="en-US" w:eastAsia="en-US"/>
              </w:rPr>
              <w:t>%</w:t>
            </w:r>
          </w:p>
        </w:tc>
      </w:tr>
      <w:tr w:rsidR="008B2220" w:rsidRPr="00487E7A" w:rsidTr="008B2220">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rsidR="008B2220" w:rsidRPr="00487E7A" w:rsidRDefault="008B2220" w:rsidP="007730AA">
            <w:pPr>
              <w:spacing w:before="0" w:line="276" w:lineRule="auto"/>
              <w:ind w:firstLine="0"/>
              <w:contextualSpacing w:val="0"/>
              <w:jc w:val="left"/>
              <w:rPr>
                <w:rFonts w:cs="Calibri"/>
                <w:b w:val="0"/>
                <w:color w:val="000000"/>
                <w:sz w:val="20"/>
                <w:szCs w:val="20"/>
                <w:lang w:val="en-US" w:eastAsia="en-US"/>
              </w:rPr>
            </w:pPr>
            <w:r w:rsidRPr="00487E7A">
              <w:rPr>
                <w:rFonts w:cs="Calibri"/>
                <w:b w:val="0"/>
                <w:color w:val="000000"/>
                <w:sz w:val="20"/>
                <w:szCs w:val="20"/>
                <w:lang w:val="en-US" w:eastAsia="en-US"/>
              </w:rPr>
              <w:t>Անվանական ՀՆԱ (մլրդ դրամ)</w:t>
            </w:r>
          </w:p>
        </w:tc>
        <w:tc>
          <w:tcPr>
            <w:tcW w:w="1319" w:type="dxa"/>
            <w:tcBorders>
              <w:top w:val="nil"/>
              <w:left w:val="nil"/>
              <w:bottom w:val="single" w:sz="4" w:space="0" w:color="auto"/>
              <w:right w:val="single" w:sz="4" w:space="0" w:color="auto"/>
            </w:tcBorders>
            <w:shd w:val="clear" w:color="auto" w:fill="auto"/>
            <w:noWrap/>
            <w:vAlign w:val="center"/>
            <w:hideMark/>
          </w:tcPr>
          <w:p w:rsidR="008B2220" w:rsidRPr="00367FEB" w:rsidRDefault="008B2220" w:rsidP="007730AA">
            <w:pPr>
              <w:spacing w:before="0" w:line="276" w:lineRule="auto"/>
              <w:ind w:firstLine="0"/>
              <w:contextualSpacing w:val="0"/>
              <w:jc w:val="center"/>
              <w:rPr>
                <w:rFonts w:cs="Calibri"/>
                <w:b w:val="0"/>
                <w:color w:val="000000"/>
                <w:sz w:val="20"/>
                <w:szCs w:val="20"/>
                <w:lang w:val="en-US" w:eastAsia="en-US"/>
              </w:rPr>
            </w:pPr>
            <w:r w:rsidRPr="00367FEB">
              <w:rPr>
                <w:rFonts w:cs="Calibri"/>
                <w:b w:val="0"/>
                <w:color w:val="000000"/>
                <w:sz w:val="20"/>
                <w:szCs w:val="20"/>
                <w:lang w:val="en-US" w:eastAsia="en-US"/>
              </w:rPr>
              <w:t>5,564.5</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367FEB" w:rsidRDefault="008B2220" w:rsidP="007730AA">
            <w:pPr>
              <w:spacing w:before="0" w:line="276" w:lineRule="auto"/>
              <w:ind w:firstLine="0"/>
              <w:contextualSpacing w:val="0"/>
              <w:jc w:val="center"/>
              <w:rPr>
                <w:rFonts w:cs="Calibri"/>
                <w:b w:val="0"/>
                <w:color w:val="000000"/>
                <w:sz w:val="20"/>
                <w:szCs w:val="20"/>
                <w:lang w:val="en-US" w:eastAsia="en-US"/>
              </w:rPr>
            </w:pPr>
            <w:r w:rsidRPr="00367FEB">
              <w:rPr>
                <w:rFonts w:cs="Calibri"/>
                <w:b w:val="0"/>
                <w:color w:val="000000"/>
                <w:sz w:val="20"/>
                <w:szCs w:val="20"/>
                <w:lang w:val="en-US" w:eastAsia="en-US"/>
              </w:rPr>
              <w:t>6,017.0</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367FEB" w:rsidRDefault="008B2220" w:rsidP="007730AA">
            <w:pPr>
              <w:spacing w:before="0" w:line="276" w:lineRule="auto"/>
              <w:ind w:firstLine="0"/>
              <w:contextualSpacing w:val="0"/>
              <w:jc w:val="center"/>
              <w:rPr>
                <w:rFonts w:cs="Calibri"/>
                <w:b w:val="0"/>
                <w:color w:val="000000"/>
                <w:sz w:val="20"/>
                <w:szCs w:val="20"/>
                <w:lang w:val="en-US" w:eastAsia="en-US"/>
              </w:rPr>
            </w:pPr>
            <w:r w:rsidRPr="00367FEB">
              <w:rPr>
                <w:rFonts w:cs="Calibri"/>
                <w:b w:val="0"/>
                <w:color w:val="000000"/>
                <w:sz w:val="20"/>
                <w:szCs w:val="20"/>
                <w:lang w:val="en-US" w:eastAsia="en-US"/>
              </w:rPr>
              <w:t>6,569.0</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367FEB" w:rsidRDefault="008B22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7,095.1</w:t>
            </w:r>
          </w:p>
        </w:tc>
        <w:tc>
          <w:tcPr>
            <w:tcW w:w="1320" w:type="dxa"/>
            <w:tcBorders>
              <w:top w:val="nil"/>
              <w:left w:val="nil"/>
              <w:bottom w:val="single" w:sz="4" w:space="0" w:color="auto"/>
              <w:right w:val="single" w:sz="4" w:space="0" w:color="auto"/>
            </w:tcBorders>
            <w:shd w:val="clear" w:color="auto" w:fill="auto"/>
            <w:noWrap/>
            <w:vAlign w:val="center"/>
            <w:hideMark/>
          </w:tcPr>
          <w:p w:rsidR="008B2220" w:rsidRPr="009F3C47" w:rsidRDefault="008B2220" w:rsidP="007730AA">
            <w:pPr>
              <w:spacing w:before="0" w:line="276" w:lineRule="auto"/>
              <w:ind w:firstLine="0"/>
              <w:contextualSpacing w:val="0"/>
              <w:jc w:val="center"/>
              <w:rPr>
                <w:rFonts w:cs="Calibri"/>
                <w:b w:val="0"/>
                <w:color w:val="000000"/>
                <w:sz w:val="20"/>
                <w:szCs w:val="20"/>
                <w:lang w:val="en-US" w:eastAsia="en-US"/>
              </w:rPr>
            </w:pPr>
            <w:r w:rsidRPr="009F3C47">
              <w:rPr>
                <w:rFonts w:cs="Calibri"/>
                <w:b w:val="0"/>
                <w:color w:val="000000"/>
                <w:sz w:val="20"/>
                <w:szCs w:val="20"/>
                <w:lang w:val="en-US" w:eastAsia="en-US"/>
              </w:rPr>
              <w:t>6,395.3</w:t>
            </w:r>
          </w:p>
        </w:tc>
      </w:tr>
    </w:tbl>
    <w:p w:rsidR="008B2220" w:rsidRPr="00487E7A" w:rsidRDefault="008B2220" w:rsidP="007730AA">
      <w:pPr>
        <w:spacing w:before="0" w:line="276" w:lineRule="auto"/>
        <w:ind w:firstLine="0"/>
        <w:rPr>
          <w:lang w:val="en-US"/>
        </w:rPr>
      </w:pPr>
    </w:p>
    <w:p w:rsidR="008B2220" w:rsidRPr="00487E7A" w:rsidRDefault="008B2220" w:rsidP="007730AA">
      <w:pPr>
        <w:spacing w:before="0" w:line="276" w:lineRule="auto"/>
        <w:ind w:firstLine="538"/>
        <w:rPr>
          <w:rFonts w:eastAsia="Calibri"/>
          <w:b w:val="0"/>
          <w:szCs w:val="22"/>
          <w:lang w:val="en-US" w:eastAsia="en-US"/>
        </w:rPr>
      </w:pPr>
      <w:r w:rsidRPr="00487E7A">
        <w:rPr>
          <w:rFonts w:eastAsia="Calibri"/>
          <w:b w:val="0"/>
          <w:szCs w:val="22"/>
          <w:lang w:val="hy-AM" w:eastAsia="en-US"/>
        </w:rPr>
        <w:t>Հիմք</w:t>
      </w:r>
      <w:r w:rsidRPr="00487E7A">
        <w:rPr>
          <w:rFonts w:eastAsia="Calibri"/>
          <w:b w:val="0"/>
          <w:szCs w:val="22"/>
          <w:lang w:val="en-US" w:eastAsia="en-US"/>
        </w:rPr>
        <w:t xml:space="preserve"> </w:t>
      </w:r>
      <w:r w:rsidRPr="00487E7A">
        <w:rPr>
          <w:rFonts w:eastAsia="Calibri"/>
          <w:b w:val="0"/>
          <w:szCs w:val="22"/>
          <w:lang w:val="hy-AM" w:eastAsia="en-US"/>
        </w:rPr>
        <w:t>ընդունելով</w:t>
      </w:r>
      <w:r w:rsidRPr="00487E7A">
        <w:rPr>
          <w:rFonts w:eastAsia="Calibri"/>
          <w:b w:val="0"/>
          <w:szCs w:val="22"/>
          <w:lang w:val="en-US" w:eastAsia="en-US"/>
        </w:rPr>
        <w:t xml:space="preserve"> </w:t>
      </w:r>
      <w:r w:rsidRPr="00487E7A">
        <w:rPr>
          <w:rFonts w:eastAsia="Calibri"/>
          <w:b w:val="0"/>
          <w:szCs w:val="22"/>
          <w:lang w:val="hy-AM" w:eastAsia="en-US"/>
        </w:rPr>
        <w:t>ՀՆԱ</w:t>
      </w:r>
      <w:r w:rsidRPr="00487E7A">
        <w:rPr>
          <w:rFonts w:eastAsia="Calibri"/>
          <w:b w:val="0"/>
          <w:szCs w:val="22"/>
          <w:lang w:val="en-US" w:eastAsia="en-US"/>
        </w:rPr>
        <w:t>-</w:t>
      </w:r>
      <w:r w:rsidRPr="00487E7A">
        <w:rPr>
          <w:rFonts w:eastAsia="Calibri"/>
          <w:b w:val="0"/>
          <w:szCs w:val="22"/>
          <w:lang w:val="hy-AM" w:eastAsia="en-US"/>
        </w:rPr>
        <w:t>ի</w:t>
      </w:r>
      <w:r>
        <w:rPr>
          <w:rFonts w:eastAsia="Calibri"/>
          <w:b w:val="0"/>
          <w:szCs w:val="22"/>
          <w:lang w:val="en-US" w:eastAsia="en-US"/>
        </w:rPr>
        <w:t xml:space="preserve"> 23.6</w:t>
      </w:r>
      <w:r w:rsidRPr="00487E7A">
        <w:rPr>
          <w:rFonts w:eastAsia="Calibri"/>
          <w:b w:val="0"/>
          <w:szCs w:val="22"/>
          <w:lang w:val="en-US" w:eastAsia="en-US"/>
        </w:rPr>
        <w:t xml:space="preserve"> %-</w:t>
      </w:r>
      <w:r w:rsidRPr="00487E7A">
        <w:rPr>
          <w:rFonts w:eastAsia="Calibri"/>
          <w:b w:val="0"/>
          <w:szCs w:val="22"/>
          <w:lang w:val="hy-AM" w:eastAsia="en-US"/>
        </w:rPr>
        <w:t>ի</w:t>
      </w:r>
      <w:r w:rsidRPr="00487E7A">
        <w:rPr>
          <w:rFonts w:eastAsia="Calibri"/>
          <w:b w:val="0"/>
          <w:szCs w:val="22"/>
          <w:lang w:val="en-US" w:eastAsia="en-US"/>
        </w:rPr>
        <w:t xml:space="preserve"> </w:t>
      </w:r>
      <w:r w:rsidRPr="00487E7A">
        <w:rPr>
          <w:rFonts w:eastAsia="Calibri"/>
          <w:b w:val="0"/>
          <w:szCs w:val="22"/>
          <w:lang w:val="hy-AM" w:eastAsia="en-US"/>
        </w:rPr>
        <w:t>չափով</w:t>
      </w:r>
      <w:r w:rsidRPr="00487E7A">
        <w:rPr>
          <w:rFonts w:eastAsia="Calibri"/>
          <w:b w:val="0"/>
          <w:szCs w:val="22"/>
          <w:lang w:val="en-US" w:eastAsia="en-US"/>
        </w:rPr>
        <w:t xml:space="preserve"> </w:t>
      </w:r>
      <w:r w:rsidRPr="00487E7A">
        <w:rPr>
          <w:rFonts w:eastAsia="Calibri"/>
          <w:b w:val="0"/>
          <w:szCs w:val="22"/>
          <w:lang w:val="hy-AM" w:eastAsia="en-US"/>
        </w:rPr>
        <w:t>կանխատեսված</w:t>
      </w:r>
      <w:r w:rsidRPr="00487E7A">
        <w:rPr>
          <w:rFonts w:eastAsia="Calibri"/>
          <w:b w:val="0"/>
          <w:szCs w:val="22"/>
          <w:lang w:val="en-US" w:eastAsia="en-US"/>
        </w:rPr>
        <w:t xml:space="preserve"> </w:t>
      </w:r>
      <w:r w:rsidRPr="00487E7A">
        <w:rPr>
          <w:rFonts w:eastAsia="Calibri"/>
          <w:b w:val="0"/>
          <w:szCs w:val="22"/>
          <w:lang w:val="hy-AM" w:eastAsia="en-US"/>
        </w:rPr>
        <w:t>ՀՀ</w:t>
      </w:r>
      <w:r w:rsidRPr="00487E7A">
        <w:rPr>
          <w:rFonts w:eastAsia="Calibri"/>
          <w:b w:val="0"/>
          <w:szCs w:val="22"/>
          <w:lang w:val="en-US" w:eastAsia="en-US"/>
        </w:rPr>
        <w:t xml:space="preserve"> 2021 </w:t>
      </w:r>
      <w:r w:rsidRPr="00487E7A">
        <w:rPr>
          <w:rFonts w:eastAsia="Calibri"/>
          <w:b w:val="0"/>
          <w:szCs w:val="22"/>
          <w:lang w:val="hy-AM" w:eastAsia="en-US"/>
        </w:rPr>
        <w:t>թվականի</w:t>
      </w:r>
      <w:r w:rsidRPr="00487E7A">
        <w:rPr>
          <w:rFonts w:eastAsia="Calibri"/>
          <w:b w:val="0"/>
          <w:szCs w:val="22"/>
          <w:lang w:val="en-US" w:eastAsia="en-US"/>
        </w:rPr>
        <w:t xml:space="preserve"> </w:t>
      </w:r>
      <w:r w:rsidRPr="00487E7A">
        <w:rPr>
          <w:rFonts w:eastAsia="Calibri"/>
          <w:b w:val="0"/>
          <w:szCs w:val="22"/>
          <w:lang w:val="hy-AM" w:eastAsia="en-US"/>
        </w:rPr>
        <w:t>պե</w:t>
      </w:r>
      <w:r w:rsidRPr="00487E7A">
        <w:rPr>
          <w:rFonts w:eastAsia="Calibri"/>
          <w:b w:val="0"/>
          <w:szCs w:val="22"/>
          <w:lang w:val="en-US" w:eastAsia="en-US"/>
        </w:rPr>
        <w:softHyphen/>
      </w:r>
      <w:r w:rsidRPr="00487E7A">
        <w:rPr>
          <w:rFonts w:eastAsia="Calibri"/>
          <w:b w:val="0"/>
          <w:szCs w:val="22"/>
          <w:lang w:val="hy-AM" w:eastAsia="en-US"/>
        </w:rPr>
        <w:t>տա</w:t>
      </w:r>
      <w:r w:rsidRPr="00487E7A">
        <w:rPr>
          <w:rFonts w:eastAsia="Calibri"/>
          <w:b w:val="0"/>
          <w:szCs w:val="22"/>
          <w:lang w:val="en-US" w:eastAsia="en-US"/>
        </w:rPr>
        <w:softHyphen/>
      </w:r>
      <w:r w:rsidRPr="00487E7A">
        <w:rPr>
          <w:rFonts w:eastAsia="Calibri"/>
          <w:b w:val="0"/>
          <w:szCs w:val="22"/>
          <w:lang w:val="hy-AM" w:eastAsia="en-US"/>
        </w:rPr>
        <w:t>կան</w:t>
      </w:r>
      <w:r w:rsidRPr="00487E7A">
        <w:rPr>
          <w:rFonts w:eastAsia="Calibri"/>
          <w:b w:val="0"/>
          <w:szCs w:val="22"/>
          <w:lang w:val="en-US" w:eastAsia="en-US"/>
        </w:rPr>
        <w:t xml:space="preserve"> </w:t>
      </w:r>
      <w:r w:rsidRPr="00487E7A">
        <w:rPr>
          <w:rFonts w:eastAsia="Calibri"/>
          <w:b w:val="0"/>
          <w:szCs w:val="22"/>
          <w:lang w:val="hy-AM" w:eastAsia="en-US"/>
        </w:rPr>
        <w:t>բյու</w:t>
      </w:r>
      <w:r w:rsidRPr="00487E7A">
        <w:rPr>
          <w:rFonts w:eastAsia="Calibri"/>
          <w:b w:val="0"/>
          <w:szCs w:val="22"/>
          <w:lang w:val="en-US" w:eastAsia="en-US"/>
        </w:rPr>
        <w:softHyphen/>
      </w:r>
      <w:r w:rsidRPr="00487E7A">
        <w:rPr>
          <w:rFonts w:eastAsia="Calibri"/>
          <w:b w:val="0"/>
          <w:szCs w:val="22"/>
          <w:lang w:val="hy-AM" w:eastAsia="en-US"/>
        </w:rPr>
        <w:t>ջեի</w:t>
      </w:r>
      <w:r w:rsidRPr="00487E7A">
        <w:rPr>
          <w:rFonts w:eastAsia="Calibri"/>
          <w:b w:val="0"/>
          <w:szCs w:val="22"/>
          <w:lang w:val="en-US" w:eastAsia="en-US"/>
        </w:rPr>
        <w:t xml:space="preserve"> </w:t>
      </w:r>
      <w:r w:rsidRPr="00487E7A">
        <w:rPr>
          <w:rFonts w:eastAsia="Calibri"/>
          <w:b w:val="0"/>
          <w:szCs w:val="22"/>
          <w:lang w:val="hy-AM" w:eastAsia="en-US"/>
        </w:rPr>
        <w:t>եկամուտների</w:t>
      </w:r>
      <w:r w:rsidRPr="00487E7A">
        <w:rPr>
          <w:rFonts w:eastAsia="Calibri"/>
          <w:b w:val="0"/>
          <w:szCs w:val="22"/>
          <w:lang w:val="en-US" w:eastAsia="en-US"/>
        </w:rPr>
        <w:t xml:space="preserve"> </w:t>
      </w:r>
      <w:r w:rsidRPr="00487E7A">
        <w:rPr>
          <w:rFonts w:eastAsia="Calibri"/>
          <w:b w:val="0"/>
          <w:szCs w:val="22"/>
          <w:lang w:val="hy-AM" w:eastAsia="en-US"/>
        </w:rPr>
        <w:t>մակարդակը</w:t>
      </w:r>
      <w:r w:rsidRPr="00487E7A">
        <w:rPr>
          <w:rFonts w:eastAsia="Calibri"/>
          <w:b w:val="0"/>
          <w:szCs w:val="22"/>
          <w:lang w:val="en-US" w:eastAsia="en-US"/>
        </w:rPr>
        <w:t xml:space="preserve"> </w:t>
      </w:r>
      <w:r w:rsidRPr="00487E7A">
        <w:rPr>
          <w:rFonts w:eastAsia="Calibri"/>
          <w:b w:val="0"/>
          <w:szCs w:val="22"/>
          <w:lang w:val="hy-AM" w:eastAsia="en-US"/>
        </w:rPr>
        <w:t>և</w:t>
      </w:r>
      <w:r w:rsidRPr="00487E7A">
        <w:rPr>
          <w:rFonts w:eastAsia="Calibri"/>
          <w:b w:val="0"/>
          <w:szCs w:val="22"/>
          <w:lang w:val="en-US" w:eastAsia="en-US"/>
        </w:rPr>
        <w:t xml:space="preserve"> </w:t>
      </w:r>
      <w:r w:rsidRPr="00487E7A">
        <w:rPr>
          <w:rFonts w:eastAsia="Calibri"/>
          <w:b w:val="0"/>
          <w:szCs w:val="22"/>
          <w:lang w:val="hy-AM" w:eastAsia="en-US"/>
        </w:rPr>
        <w:t>ելնելով</w:t>
      </w:r>
      <w:r w:rsidRPr="00487E7A">
        <w:rPr>
          <w:rFonts w:eastAsia="Calibri"/>
          <w:b w:val="0"/>
          <w:szCs w:val="22"/>
          <w:lang w:val="en-US" w:eastAsia="en-US"/>
        </w:rPr>
        <w:t xml:space="preserve"> </w:t>
      </w:r>
      <w:r w:rsidRPr="00487E7A">
        <w:rPr>
          <w:rFonts w:eastAsia="Calibri"/>
          <w:b w:val="0"/>
          <w:szCs w:val="22"/>
          <w:lang w:val="hy-AM" w:eastAsia="en-US"/>
        </w:rPr>
        <w:t>ՀՆԱ</w:t>
      </w:r>
      <w:r w:rsidRPr="00487E7A">
        <w:rPr>
          <w:rFonts w:eastAsia="Calibri"/>
          <w:b w:val="0"/>
          <w:szCs w:val="22"/>
          <w:lang w:val="en-US" w:eastAsia="en-US"/>
        </w:rPr>
        <w:t>-</w:t>
      </w:r>
      <w:r w:rsidRPr="00487E7A">
        <w:rPr>
          <w:rFonts w:eastAsia="Calibri"/>
          <w:b w:val="0"/>
          <w:szCs w:val="22"/>
          <w:lang w:val="hy-AM" w:eastAsia="en-US"/>
        </w:rPr>
        <w:t>ի</w:t>
      </w:r>
      <w:r w:rsidRPr="00487E7A">
        <w:rPr>
          <w:rFonts w:eastAsia="Calibri"/>
          <w:b w:val="0"/>
          <w:szCs w:val="22"/>
          <w:lang w:val="en-US" w:eastAsia="en-US"/>
        </w:rPr>
        <w:t xml:space="preserve"> </w:t>
      </w:r>
      <w:r>
        <w:rPr>
          <w:rFonts w:eastAsia="Calibri"/>
          <w:b w:val="0"/>
          <w:szCs w:val="22"/>
          <w:lang w:val="hy-AM" w:eastAsia="en-US"/>
        </w:rPr>
        <w:t>5.</w:t>
      </w:r>
      <w:r>
        <w:rPr>
          <w:rFonts w:eastAsia="Calibri"/>
          <w:b w:val="0"/>
          <w:szCs w:val="22"/>
          <w:lang w:val="en-US" w:eastAsia="en-US"/>
        </w:rPr>
        <w:t>3</w:t>
      </w:r>
      <w:r w:rsidRPr="00F42189">
        <w:rPr>
          <w:rFonts w:eastAsia="Calibri"/>
          <w:b w:val="0"/>
          <w:szCs w:val="22"/>
          <w:lang w:val="hy-AM" w:eastAsia="en-US"/>
        </w:rPr>
        <w:t xml:space="preserve"> %-</w:t>
      </w:r>
      <w:r w:rsidRPr="00487E7A">
        <w:rPr>
          <w:rFonts w:eastAsia="Calibri"/>
          <w:b w:val="0"/>
          <w:szCs w:val="22"/>
          <w:lang w:val="hy-AM" w:eastAsia="en-US"/>
        </w:rPr>
        <w:t>ի</w:t>
      </w:r>
      <w:r w:rsidRPr="00F42189">
        <w:rPr>
          <w:rFonts w:eastAsia="Calibri"/>
          <w:b w:val="0"/>
          <w:szCs w:val="22"/>
          <w:lang w:val="hy-AM" w:eastAsia="en-US"/>
        </w:rPr>
        <w:t xml:space="preserve"> </w:t>
      </w:r>
      <w:r w:rsidRPr="00487E7A">
        <w:rPr>
          <w:rFonts w:eastAsia="Calibri"/>
          <w:b w:val="0"/>
          <w:szCs w:val="22"/>
          <w:lang w:val="hy-AM" w:eastAsia="en-US"/>
        </w:rPr>
        <w:t>չափով</w:t>
      </w:r>
      <w:r w:rsidRPr="00F42189">
        <w:rPr>
          <w:rFonts w:eastAsia="Calibri"/>
          <w:b w:val="0"/>
          <w:szCs w:val="22"/>
          <w:lang w:val="hy-AM" w:eastAsia="en-US"/>
        </w:rPr>
        <w:t xml:space="preserve"> </w:t>
      </w:r>
      <w:r w:rsidRPr="00487E7A">
        <w:rPr>
          <w:rFonts w:eastAsia="Calibri"/>
          <w:b w:val="0"/>
          <w:szCs w:val="22"/>
          <w:lang w:val="hy-AM" w:eastAsia="en-US"/>
        </w:rPr>
        <w:t>դեֆի</w:t>
      </w:r>
      <w:r w:rsidRPr="00F42189">
        <w:rPr>
          <w:rFonts w:eastAsia="Calibri"/>
          <w:b w:val="0"/>
          <w:szCs w:val="22"/>
          <w:lang w:val="hy-AM" w:eastAsia="en-US"/>
        </w:rPr>
        <w:softHyphen/>
      </w:r>
      <w:r w:rsidRPr="00487E7A">
        <w:rPr>
          <w:rFonts w:eastAsia="Calibri"/>
          <w:b w:val="0"/>
          <w:szCs w:val="22"/>
          <w:lang w:val="hy-AM" w:eastAsia="en-US"/>
        </w:rPr>
        <w:t>ցի</w:t>
      </w:r>
      <w:r w:rsidRPr="00F42189">
        <w:rPr>
          <w:rFonts w:eastAsia="Calibri"/>
          <w:b w:val="0"/>
          <w:szCs w:val="22"/>
          <w:lang w:val="hy-AM" w:eastAsia="en-US"/>
        </w:rPr>
        <w:softHyphen/>
      </w:r>
      <w:r w:rsidRPr="00487E7A">
        <w:rPr>
          <w:rFonts w:eastAsia="Calibri"/>
          <w:b w:val="0"/>
          <w:szCs w:val="22"/>
          <w:lang w:val="hy-AM" w:eastAsia="en-US"/>
        </w:rPr>
        <w:t>տի</w:t>
      </w:r>
      <w:r w:rsidRPr="00487E7A">
        <w:rPr>
          <w:rFonts w:eastAsia="Calibri"/>
          <w:b w:val="0"/>
          <w:szCs w:val="22"/>
          <w:lang w:val="en-US" w:eastAsia="en-US"/>
        </w:rPr>
        <w:t xml:space="preserve"> </w:t>
      </w:r>
      <w:r w:rsidRPr="00487E7A">
        <w:rPr>
          <w:rFonts w:eastAsia="Calibri"/>
          <w:b w:val="0"/>
          <w:szCs w:val="22"/>
          <w:lang w:val="hy-AM" w:eastAsia="en-US"/>
        </w:rPr>
        <w:t>ֆինան</w:t>
      </w:r>
      <w:r w:rsidRPr="00487E7A">
        <w:rPr>
          <w:rFonts w:eastAsia="Calibri"/>
          <w:b w:val="0"/>
          <w:szCs w:val="22"/>
          <w:lang w:val="en-US" w:eastAsia="en-US"/>
        </w:rPr>
        <w:softHyphen/>
      </w:r>
      <w:r w:rsidRPr="00487E7A">
        <w:rPr>
          <w:rFonts w:eastAsia="Calibri"/>
          <w:b w:val="0"/>
          <w:szCs w:val="22"/>
          <w:lang w:val="hy-AM" w:eastAsia="en-US"/>
        </w:rPr>
        <w:t>սա</w:t>
      </w:r>
      <w:r w:rsidRPr="00487E7A">
        <w:rPr>
          <w:rFonts w:eastAsia="Calibri"/>
          <w:b w:val="0"/>
          <w:szCs w:val="22"/>
          <w:lang w:val="en-US" w:eastAsia="en-US"/>
        </w:rPr>
        <w:softHyphen/>
      </w:r>
      <w:r w:rsidRPr="00487E7A">
        <w:rPr>
          <w:rFonts w:eastAsia="Calibri"/>
          <w:b w:val="0"/>
          <w:szCs w:val="22"/>
          <w:lang w:val="hy-AM" w:eastAsia="en-US"/>
        </w:rPr>
        <w:t>վոր</w:t>
      </w:r>
      <w:r w:rsidRPr="00487E7A">
        <w:rPr>
          <w:rFonts w:eastAsia="Calibri"/>
          <w:b w:val="0"/>
          <w:szCs w:val="22"/>
          <w:lang w:val="en-US" w:eastAsia="en-US"/>
        </w:rPr>
        <w:softHyphen/>
      </w:r>
      <w:r w:rsidRPr="00487E7A">
        <w:rPr>
          <w:rFonts w:eastAsia="Calibri"/>
          <w:b w:val="0"/>
          <w:szCs w:val="22"/>
          <w:lang w:val="hy-AM" w:eastAsia="en-US"/>
        </w:rPr>
        <w:t>ման</w:t>
      </w:r>
      <w:r w:rsidRPr="00487E7A">
        <w:rPr>
          <w:rFonts w:eastAsia="Calibri"/>
          <w:b w:val="0"/>
          <w:szCs w:val="22"/>
          <w:lang w:val="en-US" w:eastAsia="en-US"/>
        </w:rPr>
        <w:t xml:space="preserve"> </w:t>
      </w:r>
      <w:r w:rsidRPr="00487E7A">
        <w:rPr>
          <w:rFonts w:eastAsia="Calibri"/>
          <w:b w:val="0"/>
          <w:szCs w:val="22"/>
          <w:lang w:val="hy-AM" w:eastAsia="en-US"/>
        </w:rPr>
        <w:t>հնարավորություններից</w:t>
      </w:r>
      <w:r w:rsidRPr="00F42189">
        <w:rPr>
          <w:rFonts w:eastAsia="Calibri"/>
          <w:b w:val="0"/>
          <w:szCs w:val="22"/>
          <w:lang w:val="hy-AM" w:eastAsia="en-US"/>
        </w:rPr>
        <w:t xml:space="preserve">, </w:t>
      </w:r>
      <w:r w:rsidRPr="00487E7A">
        <w:rPr>
          <w:rFonts w:eastAsia="Calibri"/>
          <w:b w:val="0"/>
          <w:szCs w:val="22"/>
          <w:lang w:val="hy-AM" w:eastAsia="en-US"/>
        </w:rPr>
        <w:t>ՀՀ</w:t>
      </w:r>
      <w:r w:rsidRPr="00F42189">
        <w:rPr>
          <w:rFonts w:eastAsia="Calibri"/>
          <w:b w:val="0"/>
          <w:szCs w:val="22"/>
          <w:lang w:val="hy-AM" w:eastAsia="en-US"/>
        </w:rPr>
        <w:t xml:space="preserve"> </w:t>
      </w:r>
      <w:r w:rsidRPr="00487E7A">
        <w:rPr>
          <w:rFonts w:eastAsia="Calibri"/>
          <w:b w:val="0"/>
          <w:szCs w:val="22"/>
          <w:lang w:val="hy-AM" w:eastAsia="en-US"/>
        </w:rPr>
        <w:t>կառավարությունը</w:t>
      </w:r>
      <w:r w:rsidRPr="00F42189">
        <w:rPr>
          <w:rFonts w:eastAsia="Calibri"/>
          <w:b w:val="0"/>
          <w:szCs w:val="22"/>
          <w:lang w:val="hy-AM" w:eastAsia="en-US"/>
        </w:rPr>
        <w:t xml:space="preserve"> </w:t>
      </w:r>
      <w:r w:rsidRPr="00487E7A">
        <w:rPr>
          <w:rFonts w:eastAsia="Calibri"/>
          <w:b w:val="0"/>
          <w:szCs w:val="22"/>
          <w:lang w:val="hy-AM" w:eastAsia="en-US"/>
        </w:rPr>
        <w:t>ծրագրում</w:t>
      </w:r>
      <w:r w:rsidRPr="00F42189">
        <w:rPr>
          <w:rFonts w:eastAsia="Calibri"/>
          <w:b w:val="0"/>
          <w:szCs w:val="22"/>
          <w:lang w:val="hy-AM" w:eastAsia="en-US"/>
        </w:rPr>
        <w:t xml:space="preserve"> </w:t>
      </w:r>
      <w:r w:rsidRPr="00487E7A">
        <w:rPr>
          <w:rFonts w:eastAsia="Calibri"/>
          <w:b w:val="0"/>
          <w:szCs w:val="22"/>
          <w:lang w:val="hy-AM" w:eastAsia="en-US"/>
        </w:rPr>
        <w:t>է</w:t>
      </w:r>
      <w:r w:rsidRPr="00F42189">
        <w:rPr>
          <w:rFonts w:eastAsia="Calibri"/>
          <w:b w:val="0"/>
          <w:szCs w:val="22"/>
          <w:lang w:val="hy-AM" w:eastAsia="en-US"/>
        </w:rPr>
        <w:t xml:space="preserve"> 2021 թվա</w:t>
      </w:r>
      <w:r w:rsidRPr="00F42189">
        <w:rPr>
          <w:rFonts w:eastAsia="Calibri"/>
          <w:b w:val="0"/>
          <w:szCs w:val="22"/>
          <w:lang w:val="hy-AM" w:eastAsia="en-US"/>
        </w:rPr>
        <w:softHyphen/>
        <w:t>կանին ապահովել ծախսերը ՀՆԱ-ի</w:t>
      </w:r>
      <w:r>
        <w:rPr>
          <w:rFonts w:eastAsia="Calibri"/>
          <w:b w:val="0"/>
          <w:szCs w:val="22"/>
          <w:lang w:val="hy-AM" w:eastAsia="en-US"/>
        </w:rPr>
        <w:t xml:space="preserve"> 28.</w:t>
      </w:r>
      <w:r>
        <w:rPr>
          <w:rFonts w:eastAsia="Calibri"/>
          <w:b w:val="0"/>
          <w:szCs w:val="22"/>
          <w:lang w:val="en-US" w:eastAsia="en-US"/>
        </w:rPr>
        <w:t>9</w:t>
      </w:r>
      <w:r w:rsidRPr="00F42189">
        <w:rPr>
          <w:rFonts w:eastAsia="Calibri"/>
          <w:b w:val="0"/>
          <w:szCs w:val="22"/>
          <w:lang w:val="hy-AM" w:eastAsia="en-US"/>
        </w:rPr>
        <w:t xml:space="preserve"> %-ի կամ 1,</w:t>
      </w:r>
      <w:r>
        <w:rPr>
          <w:rFonts w:eastAsia="Calibri"/>
          <w:b w:val="0"/>
          <w:szCs w:val="22"/>
          <w:lang w:val="hy-AM" w:eastAsia="en-US"/>
        </w:rPr>
        <w:t>850.</w:t>
      </w:r>
      <w:r>
        <w:rPr>
          <w:rFonts w:eastAsia="Calibri"/>
          <w:b w:val="0"/>
          <w:szCs w:val="22"/>
          <w:lang w:val="en-US" w:eastAsia="en-US"/>
        </w:rPr>
        <w:t>9</w:t>
      </w:r>
      <w:r w:rsidRPr="00F42189">
        <w:rPr>
          <w:rFonts w:eastAsia="Calibri"/>
          <w:b w:val="0"/>
          <w:szCs w:val="22"/>
          <w:lang w:val="hy-AM" w:eastAsia="en-US"/>
        </w:rPr>
        <w:t xml:space="preserve"> մլրդ դրամի չափով:</w:t>
      </w:r>
    </w:p>
    <w:p w:rsidR="00487E7A" w:rsidRDefault="00487E7A" w:rsidP="007730AA">
      <w:pPr>
        <w:spacing w:before="0" w:line="276" w:lineRule="auto"/>
        <w:rPr>
          <w:lang w:val="en-US"/>
        </w:rPr>
      </w:pPr>
    </w:p>
    <w:p w:rsidR="00DE6C7D" w:rsidRDefault="00DE6C7D">
      <w:pPr>
        <w:spacing w:before="0" w:line="240" w:lineRule="auto"/>
        <w:ind w:firstLine="0"/>
        <w:contextualSpacing w:val="0"/>
        <w:jc w:val="left"/>
        <w:rPr>
          <w:lang w:val="en-US"/>
        </w:rPr>
      </w:pPr>
      <w:r>
        <w:rPr>
          <w:lang w:val="en-US"/>
        </w:rPr>
        <w:br w:type="page"/>
      </w:r>
    </w:p>
    <w:p w:rsidR="00487E7A" w:rsidRPr="00487E7A" w:rsidRDefault="00487E7A" w:rsidP="007730AA">
      <w:pPr>
        <w:spacing w:before="0" w:line="276" w:lineRule="auto"/>
        <w:rPr>
          <w:lang w:val="en-US"/>
        </w:rPr>
      </w:pPr>
    </w:p>
    <w:p w:rsidR="00D379EC" w:rsidRPr="00487E7A" w:rsidRDefault="00D379EC" w:rsidP="007730AA">
      <w:pPr>
        <w:pStyle w:val="Heading1"/>
        <w:spacing w:after="0"/>
      </w:pPr>
      <w:bookmarkStart w:id="154" w:name="_Toc57655460"/>
      <w:r w:rsidRPr="00EF6F81">
        <w:t>ՄԱՍ</w:t>
      </w:r>
      <w:r w:rsidRPr="00487E7A">
        <w:t xml:space="preserve"> </w:t>
      </w:r>
      <w:r w:rsidRPr="00EF6F81">
        <w:t>II</w:t>
      </w:r>
      <w:r w:rsidRPr="00487E7A">
        <w:t xml:space="preserve"> – </w:t>
      </w:r>
      <w:r w:rsidRPr="00EF6F81">
        <w:t>Բ</w:t>
      </w:r>
      <w:r w:rsidRPr="00487E7A">
        <w:t>.</w:t>
      </w:r>
      <w:r w:rsidR="00311F2E">
        <w:t xml:space="preserve"> </w:t>
      </w:r>
      <w:r w:rsidRPr="00EF6F81">
        <w:t>ՀԱՐԿԱԲՅՈՒՋԵՏԱՅԻՆ</w:t>
      </w:r>
      <w:r w:rsidRPr="00487E7A">
        <w:t xml:space="preserve"> </w:t>
      </w:r>
      <w:r w:rsidRPr="00EF6F81">
        <w:t>ՑՈՒՑԱՆԻՇՆԵՐԻ</w:t>
      </w:r>
      <w:r w:rsidRPr="00487E7A">
        <w:t xml:space="preserve"> </w:t>
      </w:r>
      <w:r w:rsidRPr="00EF6F81">
        <w:t>ԿԱՆԽԱՏԵՍՈՒՄ</w:t>
      </w:r>
      <w:bookmarkEnd w:id="154"/>
    </w:p>
    <w:p w:rsidR="0064687E" w:rsidRPr="00CA0FE9" w:rsidRDefault="0064687E" w:rsidP="007730AA">
      <w:pPr>
        <w:spacing w:before="0" w:line="276" w:lineRule="auto"/>
        <w:ind w:firstLine="538"/>
        <w:rPr>
          <w:rFonts w:eastAsia="Calibri"/>
          <w:b w:val="0"/>
          <w:szCs w:val="22"/>
          <w:lang w:val="hy-AM" w:eastAsia="en-US"/>
        </w:rPr>
      </w:pPr>
      <w:r w:rsidRPr="00CA0FE9">
        <w:rPr>
          <w:rFonts w:eastAsia="Calibri"/>
          <w:b w:val="0"/>
          <w:szCs w:val="22"/>
          <w:lang w:val="hy-AM" w:eastAsia="en-US"/>
        </w:rPr>
        <w:t>ՀՀ 2021 թվականի պետական բյուջեի նախագծով նախատեսված բյուջետային եկա</w:t>
      </w:r>
      <w:r w:rsidRPr="00CA0FE9">
        <w:rPr>
          <w:rFonts w:eastAsia="Calibri"/>
          <w:b w:val="0"/>
          <w:szCs w:val="22"/>
          <w:lang w:val="hy-AM" w:eastAsia="en-US"/>
        </w:rPr>
        <w:softHyphen/>
        <w:t>մուտների կազմում, ինչպես և նախորդ տարիներին, գերակշիռ մաս են կազմում հար</w:t>
      </w:r>
      <w:r w:rsidRPr="00CA0FE9">
        <w:rPr>
          <w:rFonts w:eastAsia="Calibri"/>
          <w:b w:val="0"/>
          <w:szCs w:val="22"/>
          <w:lang w:val="hy-AM" w:eastAsia="en-US"/>
        </w:rPr>
        <w:softHyphen/>
        <w:t xml:space="preserve">կային եկամուտների և պետական տուրքերի գծով ակնկալվող մուտքերը, ինչը ներկայացված է </w:t>
      </w:r>
      <w:r w:rsidR="002025BB">
        <w:rPr>
          <w:rFonts w:eastAsia="Calibri"/>
          <w:b w:val="0"/>
          <w:szCs w:val="22"/>
          <w:lang w:val="en-US" w:eastAsia="en-US"/>
        </w:rPr>
        <w:t>գծապատկերում</w:t>
      </w:r>
      <w:r w:rsidRPr="00CA0FE9">
        <w:rPr>
          <w:rFonts w:eastAsia="Calibri"/>
          <w:b w:val="0"/>
          <w:szCs w:val="22"/>
          <w:lang w:val="hy-AM" w:eastAsia="en-US"/>
        </w:rPr>
        <w:t>:</w:t>
      </w:r>
    </w:p>
    <w:p w:rsidR="0064687E" w:rsidRPr="00CA0FE9" w:rsidRDefault="0064687E" w:rsidP="007730AA">
      <w:pPr>
        <w:spacing w:before="0" w:line="276" w:lineRule="auto"/>
        <w:ind w:firstLine="538"/>
        <w:rPr>
          <w:rFonts w:eastAsia="Calibri"/>
          <w:b w:val="0"/>
          <w:szCs w:val="22"/>
          <w:lang w:val="hy-AM" w:eastAsia="en-US"/>
        </w:rPr>
      </w:pPr>
      <w:bookmarkStart w:id="155" w:name="_Ref497897119"/>
      <w:bookmarkStart w:id="156" w:name="_Toc525773080"/>
      <w:r w:rsidRPr="00CA0FE9">
        <w:rPr>
          <w:rFonts w:eastAsia="Calibri"/>
          <w:b w:val="0"/>
          <w:szCs w:val="22"/>
          <w:lang w:val="hy-AM" w:eastAsia="en-US"/>
        </w:rPr>
        <w:t xml:space="preserve"> </w:t>
      </w:r>
      <w:bookmarkStart w:id="157" w:name="_Toc530250447"/>
      <w:r w:rsidRPr="00CA0FE9">
        <w:rPr>
          <w:rFonts w:eastAsia="Calibri"/>
          <w:b w:val="0"/>
          <w:szCs w:val="22"/>
          <w:lang w:val="hy-AM" w:eastAsia="en-US"/>
        </w:rPr>
        <w:t>ՀՀ 2021 թվականի պետական բյուջեի նախագծով նախատեսված բյուջետային եկամուտների կառուցվածքը (%-ով ընդհանուրի նկատմամբ)</w:t>
      </w:r>
      <w:bookmarkEnd w:id="155"/>
      <w:bookmarkEnd w:id="156"/>
      <w:bookmarkEnd w:id="157"/>
      <w:r w:rsidRPr="00CA0FE9">
        <w:rPr>
          <w:rFonts w:eastAsia="Calibri"/>
          <w:b w:val="0"/>
          <w:szCs w:val="22"/>
          <w:lang w:val="hy-AM" w:eastAsia="en-US"/>
        </w:rPr>
        <w:tab/>
      </w:r>
    </w:p>
    <w:p w:rsidR="0064687E" w:rsidRPr="00CA0FE9" w:rsidRDefault="0064687E" w:rsidP="007730AA">
      <w:pPr>
        <w:spacing w:before="0" w:line="276" w:lineRule="auto"/>
        <w:ind w:firstLine="538"/>
        <w:rPr>
          <w:rFonts w:eastAsia="Calibri"/>
          <w:b w:val="0"/>
          <w:szCs w:val="22"/>
          <w:lang w:val="hy-AM" w:eastAsia="en-US"/>
        </w:rPr>
      </w:pPr>
    </w:p>
    <w:p w:rsidR="0064687E" w:rsidRPr="00CA0FE9" w:rsidRDefault="0064687E" w:rsidP="007730AA">
      <w:pPr>
        <w:spacing w:before="0" w:line="276" w:lineRule="auto"/>
        <w:ind w:firstLine="538"/>
        <w:rPr>
          <w:rFonts w:eastAsia="Calibri"/>
          <w:b w:val="0"/>
          <w:szCs w:val="22"/>
          <w:lang w:val="hy-AM" w:eastAsia="en-US"/>
        </w:rPr>
      </w:pPr>
      <w:r w:rsidRPr="00CA0FE9">
        <w:rPr>
          <w:rFonts w:eastAsia="Calibri"/>
          <w:b w:val="0"/>
          <w:noProof/>
          <w:szCs w:val="22"/>
          <w:lang w:val="en-US" w:eastAsia="en-US"/>
        </w:rPr>
        <w:drawing>
          <wp:inline distT="0" distB="0" distL="0" distR="0">
            <wp:extent cx="5157989" cy="2311758"/>
            <wp:effectExtent l="0" t="0" r="508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0175E" w:rsidRPr="00CA0FE9" w:rsidRDefault="0060175E" w:rsidP="007730AA">
      <w:pPr>
        <w:spacing w:before="0" w:line="276" w:lineRule="auto"/>
        <w:ind w:firstLine="538"/>
        <w:rPr>
          <w:rFonts w:eastAsia="Calibri"/>
          <w:b w:val="0"/>
          <w:szCs w:val="22"/>
          <w:lang w:val="hy-AM" w:eastAsia="en-US"/>
        </w:rPr>
      </w:pPr>
    </w:p>
    <w:p w:rsidR="0064687E" w:rsidRPr="00CA0FE9" w:rsidRDefault="0064687E" w:rsidP="007730AA">
      <w:pPr>
        <w:spacing w:before="0" w:line="276" w:lineRule="auto"/>
        <w:ind w:firstLine="538"/>
        <w:rPr>
          <w:rFonts w:eastAsia="Calibri"/>
          <w:b w:val="0"/>
          <w:szCs w:val="22"/>
          <w:lang w:val="hy-AM" w:eastAsia="en-US"/>
        </w:rPr>
      </w:pPr>
      <w:r w:rsidRPr="00CA0FE9">
        <w:rPr>
          <w:rFonts w:eastAsia="Calibri"/>
          <w:b w:val="0"/>
          <w:szCs w:val="22"/>
          <w:lang w:val="hy-AM" w:eastAsia="en-US"/>
        </w:rPr>
        <w:t>ՀՀ 2021 թվականի պետական բյուջեի նախագծով նախատեսվել է 1,</w:t>
      </w:r>
      <w:r w:rsidR="00426B9F" w:rsidRPr="00426B9F">
        <w:rPr>
          <w:rFonts w:eastAsia="Calibri"/>
          <w:b w:val="0"/>
          <w:szCs w:val="22"/>
          <w:lang w:val="hy-AM" w:eastAsia="en-US"/>
        </w:rPr>
        <w:t>509.5</w:t>
      </w:r>
      <w:r w:rsidRPr="00CA0FE9">
        <w:rPr>
          <w:rFonts w:eastAsia="Calibri"/>
          <w:b w:val="0"/>
          <w:szCs w:val="22"/>
          <w:lang w:val="hy-AM" w:eastAsia="en-US"/>
        </w:rPr>
        <w:t xml:space="preserve"> մլրդ դրամ եկա</w:t>
      </w:r>
      <w:r w:rsidRPr="00CA0FE9">
        <w:rPr>
          <w:rFonts w:eastAsia="Calibri"/>
          <w:b w:val="0"/>
          <w:szCs w:val="22"/>
          <w:lang w:val="hy-AM" w:eastAsia="en-US"/>
        </w:rPr>
        <w:softHyphen/>
        <w:t>մուտ</w:t>
      </w:r>
      <w:r w:rsidRPr="00CA0FE9">
        <w:rPr>
          <w:rFonts w:eastAsia="Calibri"/>
          <w:b w:val="0"/>
          <w:szCs w:val="22"/>
          <w:lang w:val="hy-AM" w:eastAsia="en-US"/>
        </w:rPr>
        <w:softHyphen/>
      </w:r>
      <w:r w:rsidRPr="00CA0FE9">
        <w:rPr>
          <w:rFonts w:eastAsia="Calibri"/>
          <w:b w:val="0"/>
          <w:szCs w:val="22"/>
          <w:lang w:val="hy-AM" w:eastAsia="en-US"/>
        </w:rPr>
        <w:softHyphen/>
        <w:t>ներ, որից հարկային եկամուտների և պետական տուրքերի գծով</w:t>
      </w:r>
      <w:r w:rsidR="00426B9F">
        <w:rPr>
          <w:rFonts w:eastAsia="Calibri"/>
          <w:b w:val="0"/>
          <w:szCs w:val="22"/>
          <w:lang w:val="hy-AM" w:eastAsia="en-US"/>
        </w:rPr>
        <w:t>` 1,440.</w:t>
      </w:r>
      <w:r w:rsidR="00426B9F" w:rsidRPr="00426B9F">
        <w:rPr>
          <w:rFonts w:eastAsia="Calibri"/>
          <w:b w:val="0"/>
          <w:szCs w:val="22"/>
          <w:lang w:val="hy-AM" w:eastAsia="en-US"/>
        </w:rPr>
        <w:t>1</w:t>
      </w:r>
      <w:r w:rsidRPr="00CA0FE9">
        <w:rPr>
          <w:rFonts w:eastAsia="Calibri"/>
          <w:b w:val="0"/>
          <w:szCs w:val="22"/>
          <w:lang w:val="hy-AM" w:eastAsia="en-US"/>
        </w:rPr>
        <w:t xml:space="preserve"> մլրդ դրամ:</w:t>
      </w:r>
      <w:r w:rsidRPr="00CA0FE9">
        <w:rPr>
          <w:rFonts w:ascii="Calibri" w:eastAsia="Calibri" w:hAnsi="Calibri" w:cs="Calibri"/>
          <w:b w:val="0"/>
          <w:szCs w:val="22"/>
          <w:lang w:val="hy-AM" w:eastAsia="en-US"/>
        </w:rPr>
        <w:t> </w:t>
      </w:r>
      <w:r w:rsidRPr="00CA0FE9">
        <w:rPr>
          <w:rFonts w:eastAsia="Calibri"/>
          <w:b w:val="0"/>
          <w:szCs w:val="22"/>
          <w:lang w:val="hy-AM" w:eastAsia="en-US"/>
        </w:rPr>
        <w:t>Բյուջետային եկամուտների` ըստ առանձին եկամտատեսակների կանխա</w:t>
      </w:r>
      <w:r w:rsidRPr="00CA0FE9">
        <w:rPr>
          <w:rFonts w:eastAsia="Calibri"/>
          <w:b w:val="0"/>
          <w:szCs w:val="22"/>
          <w:lang w:val="hy-AM" w:eastAsia="en-US"/>
        </w:rPr>
        <w:softHyphen/>
        <w:t>տե</w:t>
      </w:r>
      <w:r w:rsidRPr="00CA0FE9">
        <w:rPr>
          <w:rFonts w:eastAsia="Calibri"/>
          <w:b w:val="0"/>
          <w:szCs w:val="22"/>
          <w:lang w:val="hy-AM" w:eastAsia="en-US"/>
        </w:rPr>
        <w:softHyphen/>
        <w:t>սում</w:t>
      </w:r>
      <w:r w:rsidRPr="00CA0FE9">
        <w:rPr>
          <w:rFonts w:eastAsia="Calibri"/>
          <w:b w:val="0"/>
          <w:szCs w:val="22"/>
          <w:lang w:val="hy-AM" w:eastAsia="en-US"/>
        </w:rPr>
        <w:softHyphen/>
        <w:t>ների ման</w:t>
      </w:r>
      <w:r w:rsidRPr="00CA0FE9">
        <w:rPr>
          <w:rFonts w:eastAsia="Calibri"/>
          <w:b w:val="0"/>
          <w:szCs w:val="22"/>
          <w:lang w:val="hy-AM" w:eastAsia="en-US"/>
        </w:rPr>
        <w:softHyphen/>
      </w:r>
      <w:r w:rsidRPr="00CA0FE9">
        <w:rPr>
          <w:rFonts w:eastAsia="Calibri"/>
          <w:b w:val="0"/>
          <w:szCs w:val="22"/>
          <w:lang w:val="hy-AM" w:eastAsia="en-US"/>
        </w:rPr>
        <w:softHyphen/>
        <w:t>րամասները ներկայացված են «Հայաստանի Հանրապետության 2021 թվականի պե</w:t>
      </w:r>
      <w:r w:rsidRPr="00CA0FE9">
        <w:rPr>
          <w:rFonts w:eastAsia="Calibri"/>
          <w:b w:val="0"/>
          <w:szCs w:val="22"/>
          <w:lang w:val="hy-AM" w:eastAsia="en-US"/>
        </w:rPr>
        <w:softHyphen/>
        <w:t>տա</w:t>
      </w:r>
      <w:r w:rsidRPr="00CA0FE9">
        <w:rPr>
          <w:rFonts w:eastAsia="Calibri"/>
          <w:b w:val="0"/>
          <w:szCs w:val="22"/>
          <w:lang w:val="hy-AM" w:eastAsia="en-US"/>
        </w:rPr>
        <w:softHyphen/>
      </w:r>
      <w:r w:rsidRPr="00CA0FE9">
        <w:rPr>
          <w:rFonts w:eastAsia="Calibri"/>
          <w:b w:val="0"/>
          <w:szCs w:val="22"/>
          <w:lang w:val="hy-AM" w:eastAsia="en-US"/>
        </w:rPr>
        <w:softHyphen/>
        <w:t>կան բյուջեի մասին» ՀՀ օրենքի նախագծի բացատրագրի` եկամուտների կան</w:t>
      </w:r>
      <w:r w:rsidRPr="00CA0FE9">
        <w:rPr>
          <w:rFonts w:eastAsia="Calibri"/>
          <w:b w:val="0"/>
          <w:szCs w:val="22"/>
          <w:lang w:val="hy-AM" w:eastAsia="en-US"/>
        </w:rPr>
        <w:softHyphen/>
        <w:t>խա</w:t>
      </w:r>
      <w:r w:rsidRPr="00CA0FE9">
        <w:rPr>
          <w:rFonts w:eastAsia="Calibri"/>
          <w:b w:val="0"/>
          <w:szCs w:val="22"/>
          <w:lang w:val="hy-AM" w:eastAsia="en-US"/>
        </w:rPr>
        <w:softHyphen/>
        <w:t>տես</w:t>
      </w:r>
      <w:r w:rsidRPr="00CA0FE9">
        <w:rPr>
          <w:rFonts w:eastAsia="Calibri"/>
          <w:b w:val="0"/>
          <w:szCs w:val="22"/>
          <w:lang w:val="hy-AM" w:eastAsia="en-US"/>
        </w:rPr>
        <w:softHyphen/>
        <w:t>մանը վերաբերվող մասում (սույն ուղերձի մաս 3):</w:t>
      </w:r>
    </w:p>
    <w:p w:rsidR="00BF7CB6" w:rsidRDefault="00BF7CB6" w:rsidP="007730AA">
      <w:pPr>
        <w:spacing w:before="0" w:line="276" w:lineRule="auto"/>
        <w:ind w:firstLine="538"/>
        <w:rPr>
          <w:rFonts w:eastAsia="Calibri"/>
          <w:b w:val="0"/>
          <w:szCs w:val="22"/>
          <w:lang w:val="hy-AM" w:eastAsia="en-US"/>
        </w:rPr>
      </w:pPr>
    </w:p>
    <w:p w:rsidR="00D379EC" w:rsidRPr="0060175E" w:rsidRDefault="00374E17" w:rsidP="007730AA">
      <w:pPr>
        <w:pStyle w:val="Heading2"/>
        <w:spacing w:before="0" w:after="0"/>
      </w:pPr>
      <w:r w:rsidRPr="0060175E">
        <w:t xml:space="preserve">     </w:t>
      </w:r>
      <w:bookmarkStart w:id="158" w:name="_Toc57655461"/>
      <w:r w:rsidR="00D252CA" w:rsidRPr="0060175E">
        <w:t>202</w:t>
      </w:r>
      <w:r w:rsidR="00E92054" w:rsidRPr="0060175E">
        <w:t>1</w:t>
      </w:r>
      <w:r w:rsidR="00D252CA" w:rsidRPr="0060175E">
        <w:t xml:space="preserve"> </w:t>
      </w:r>
      <w:r w:rsidR="00D379EC" w:rsidRPr="0060175E">
        <w:t xml:space="preserve">ԹՎԱԿԱՆԻ ԾԱԽՍԵՐԻ ՄԱԿԱՐԴԱԿԸ </w:t>
      </w:r>
      <w:r w:rsidR="003F3E0E" w:rsidRPr="0060175E">
        <w:t>ԵՎ</w:t>
      </w:r>
      <w:r w:rsidR="00D379EC" w:rsidRPr="0060175E">
        <w:t xml:space="preserve"> ԳԵՐԱԿԱՅՈՒԹՅՈՒՆՆԵՐԸ</w:t>
      </w:r>
      <w:bookmarkEnd w:id="158"/>
    </w:p>
    <w:p w:rsidR="008B2220" w:rsidRPr="0060175E" w:rsidRDefault="008B2220" w:rsidP="007730AA">
      <w:pPr>
        <w:pStyle w:val="BodyText2"/>
        <w:ind w:left="0"/>
      </w:pPr>
      <w:bookmarkStart w:id="159" w:name="_Toc48835701"/>
      <w:r w:rsidRPr="0060175E">
        <w:t>Հաշվի առնելով ՀՀ 2021 թվականի պետական բյուջեի եկամուտների կանխատեսվող մակարդակը և դեֆիցիտի ու պետական պարտքի նպատակային ցուցանիշները, որոնք ներկա</w:t>
      </w:r>
      <w:r w:rsidRPr="0060175E">
        <w:softHyphen/>
        <w:t>յացվում են հաջորդ բաժնում, ՀՀ կառավարությունը ՀՀ 2021 թվականի պետական բյուջեի ծախսերի ծավալը առաջարկում է սահմանել 1,8</w:t>
      </w:r>
      <w:r>
        <w:t>50.</w:t>
      </w:r>
      <w:r w:rsidRPr="007629B0">
        <w:t>9</w:t>
      </w:r>
      <w:r w:rsidRPr="0060175E">
        <w:t xml:space="preserve"> մլրդ դրամի չափով:</w:t>
      </w:r>
    </w:p>
    <w:p w:rsidR="008B2220" w:rsidRDefault="008B2220" w:rsidP="007730AA">
      <w:pPr>
        <w:pStyle w:val="BodyText2"/>
        <w:ind w:left="0"/>
      </w:pPr>
      <w:r w:rsidRPr="0060175E">
        <w:t>ՀՀ կա</w:t>
      </w:r>
      <w:r w:rsidRPr="0060175E">
        <w:softHyphen/>
        <w:t>ռա</w:t>
      </w:r>
      <w:r w:rsidRPr="0060175E">
        <w:softHyphen/>
        <w:t>վա</w:t>
      </w:r>
      <w:r w:rsidRPr="0060175E">
        <w:softHyphen/>
        <w:t>րու</w:t>
      </w:r>
      <w:r w:rsidRPr="0060175E">
        <w:softHyphen/>
        <w:t>թ</w:t>
      </w:r>
      <w:r w:rsidRPr="0060175E">
        <w:softHyphen/>
        <w:t>յունն առաջիկա տարիներին առավել կարևորում է պետական բյուջեի ծախ</w:t>
      </w:r>
      <w:r w:rsidRPr="0060175E">
        <w:softHyphen/>
        <w:t>սային հետևյալ գերա</w:t>
      </w:r>
      <w:r w:rsidRPr="0060175E">
        <w:softHyphen/>
        <w:t>կա</w:t>
      </w:r>
      <w:r w:rsidRPr="0060175E">
        <w:softHyphen/>
        <w:t>յու</w:t>
      </w:r>
      <w:r w:rsidRPr="0060175E">
        <w:softHyphen/>
        <w:t>թ</w:t>
      </w:r>
      <w:r w:rsidRPr="0060175E">
        <w:softHyphen/>
        <w:t>յուն</w:t>
      </w:r>
      <w:r w:rsidRPr="0060175E">
        <w:softHyphen/>
        <w:t>ները.</w:t>
      </w:r>
    </w:p>
    <w:p w:rsidR="008B2220" w:rsidRDefault="008B2220" w:rsidP="007730AA">
      <w:pPr>
        <w:pStyle w:val="BodyText2"/>
        <w:ind w:left="0"/>
        <w:rPr>
          <w:lang w:val="es-ES"/>
        </w:rPr>
      </w:pPr>
      <w:r w:rsidRPr="0060175E">
        <w:t>Սոցիալական</w:t>
      </w:r>
      <w:r w:rsidRPr="0060175E">
        <w:rPr>
          <w:lang w:val="es-ES"/>
        </w:rPr>
        <w:t xml:space="preserve"> </w:t>
      </w:r>
      <w:r w:rsidRPr="0060175E">
        <w:t>ոլորտի</w:t>
      </w:r>
      <w:r w:rsidRPr="0060175E">
        <w:rPr>
          <w:lang w:val="es-ES"/>
        </w:rPr>
        <w:t xml:space="preserve"> </w:t>
      </w:r>
      <w:r w:rsidRPr="0060175E">
        <w:t>առանձին</w:t>
      </w:r>
      <w:r w:rsidRPr="0060175E">
        <w:rPr>
          <w:lang w:val="es-ES"/>
        </w:rPr>
        <w:t xml:space="preserve"> </w:t>
      </w:r>
      <w:r w:rsidRPr="0060175E">
        <w:t>ճյուղերում</w:t>
      </w:r>
      <w:r w:rsidRPr="0060175E">
        <w:rPr>
          <w:lang w:val="es-ES"/>
        </w:rPr>
        <w:t xml:space="preserve"> (</w:t>
      </w:r>
      <w:r w:rsidRPr="0060175E">
        <w:t>մասնավորապես՝</w:t>
      </w:r>
      <w:r w:rsidRPr="0060175E">
        <w:rPr>
          <w:lang w:val="es-ES"/>
        </w:rPr>
        <w:t xml:space="preserve"> </w:t>
      </w:r>
      <w:r w:rsidRPr="0060175E">
        <w:t>կրթություն</w:t>
      </w:r>
      <w:r w:rsidRPr="0060175E">
        <w:rPr>
          <w:lang w:val="es-ES"/>
        </w:rPr>
        <w:t xml:space="preserve">, </w:t>
      </w:r>
      <w:r w:rsidRPr="0060175E">
        <w:t>առող</w:t>
      </w:r>
      <w:r w:rsidRPr="0060175E">
        <w:rPr>
          <w:lang w:val="es-ES"/>
        </w:rPr>
        <w:softHyphen/>
      </w:r>
      <w:r w:rsidRPr="0060175E">
        <w:t>ջա</w:t>
      </w:r>
      <w:r w:rsidRPr="0060175E">
        <w:rPr>
          <w:lang w:val="es-ES"/>
        </w:rPr>
        <w:softHyphen/>
      </w:r>
      <w:r w:rsidRPr="0060175E">
        <w:t>պա</w:t>
      </w:r>
      <w:r w:rsidRPr="0060175E">
        <w:rPr>
          <w:lang w:val="es-ES"/>
        </w:rPr>
        <w:softHyphen/>
      </w:r>
      <w:r w:rsidRPr="0060175E">
        <w:t>հու</w:t>
      </w:r>
      <w:r w:rsidRPr="0060175E">
        <w:rPr>
          <w:lang w:val="es-ES"/>
        </w:rPr>
        <w:softHyphen/>
      </w:r>
      <w:r w:rsidRPr="0060175E">
        <w:t>թ</w:t>
      </w:r>
      <w:r w:rsidRPr="0060175E">
        <w:rPr>
          <w:lang w:val="es-ES"/>
        </w:rPr>
        <w:softHyphen/>
      </w:r>
      <w:r w:rsidRPr="0060175E">
        <w:t>յուն</w:t>
      </w:r>
      <w:r w:rsidRPr="0060175E">
        <w:rPr>
          <w:lang w:val="es-ES"/>
        </w:rPr>
        <w:t xml:space="preserve">, </w:t>
      </w:r>
      <w:r w:rsidRPr="0060175E">
        <w:t>սոցիալական</w:t>
      </w:r>
      <w:r w:rsidRPr="0060175E">
        <w:rPr>
          <w:lang w:val="es-ES"/>
        </w:rPr>
        <w:t xml:space="preserve"> </w:t>
      </w:r>
      <w:r w:rsidRPr="0060175E">
        <w:t>պաշտպանություն</w:t>
      </w:r>
      <w:r w:rsidRPr="0060175E">
        <w:rPr>
          <w:lang w:val="es-ES"/>
        </w:rPr>
        <w:t xml:space="preserve">), </w:t>
      </w:r>
      <w:r w:rsidRPr="0060175E">
        <w:t>ինչպես</w:t>
      </w:r>
      <w:r w:rsidRPr="0060175E">
        <w:rPr>
          <w:lang w:val="es-ES"/>
        </w:rPr>
        <w:t xml:space="preserve"> </w:t>
      </w:r>
      <w:r w:rsidRPr="0060175E">
        <w:t>նաև</w:t>
      </w:r>
      <w:r w:rsidRPr="0060175E">
        <w:rPr>
          <w:lang w:val="es-ES"/>
        </w:rPr>
        <w:t xml:space="preserve"> </w:t>
      </w:r>
      <w:r w:rsidRPr="0060175E">
        <w:t>պետական</w:t>
      </w:r>
      <w:r w:rsidRPr="0060175E">
        <w:rPr>
          <w:lang w:val="es-ES"/>
        </w:rPr>
        <w:t xml:space="preserve"> </w:t>
      </w:r>
      <w:r w:rsidRPr="0060175E">
        <w:t>կառավարման</w:t>
      </w:r>
      <w:r w:rsidRPr="0060175E">
        <w:rPr>
          <w:lang w:val="es-ES"/>
        </w:rPr>
        <w:t xml:space="preserve"> </w:t>
      </w:r>
      <w:r w:rsidRPr="0060175E">
        <w:t>բնագա</w:t>
      </w:r>
      <w:r w:rsidRPr="0060175E">
        <w:rPr>
          <w:lang w:val="es-ES"/>
        </w:rPr>
        <w:softHyphen/>
      </w:r>
      <w:r w:rsidRPr="0060175E">
        <w:t>վա</w:t>
      </w:r>
      <w:r w:rsidRPr="0060175E">
        <w:rPr>
          <w:lang w:val="es-ES"/>
        </w:rPr>
        <w:softHyphen/>
      </w:r>
      <w:r w:rsidRPr="0060175E">
        <w:t>ռում</w:t>
      </w:r>
      <w:r w:rsidRPr="0060175E">
        <w:rPr>
          <w:lang w:val="es-ES"/>
        </w:rPr>
        <w:t xml:space="preserve"> </w:t>
      </w:r>
      <w:r w:rsidRPr="0060175E">
        <w:t>պե</w:t>
      </w:r>
      <w:r w:rsidRPr="0060175E">
        <w:rPr>
          <w:lang w:val="es-ES"/>
        </w:rPr>
        <w:softHyphen/>
      </w:r>
      <w:r w:rsidRPr="0060175E">
        <w:t>տա</w:t>
      </w:r>
      <w:r w:rsidRPr="0060175E">
        <w:rPr>
          <w:lang w:val="es-ES"/>
        </w:rPr>
        <w:softHyphen/>
      </w:r>
      <w:r w:rsidRPr="0060175E">
        <w:t>կան</w:t>
      </w:r>
      <w:r w:rsidRPr="0060175E">
        <w:rPr>
          <w:lang w:val="es-ES"/>
        </w:rPr>
        <w:t xml:space="preserve"> </w:t>
      </w:r>
      <w:r w:rsidRPr="0060175E">
        <w:t>մար</w:t>
      </w:r>
      <w:r w:rsidRPr="0060175E">
        <w:rPr>
          <w:lang w:val="es-ES"/>
        </w:rPr>
        <w:softHyphen/>
      </w:r>
      <w:r w:rsidRPr="0060175E">
        <w:t>մին</w:t>
      </w:r>
      <w:r w:rsidRPr="0060175E">
        <w:rPr>
          <w:lang w:val="es-ES"/>
        </w:rPr>
        <w:softHyphen/>
      </w:r>
      <w:r w:rsidRPr="0060175E">
        <w:t>ների</w:t>
      </w:r>
      <w:r w:rsidRPr="0060175E">
        <w:rPr>
          <w:lang w:val="es-ES"/>
        </w:rPr>
        <w:t xml:space="preserve"> </w:t>
      </w:r>
      <w:r w:rsidRPr="0060175E">
        <w:t>գործունեության</w:t>
      </w:r>
      <w:r w:rsidRPr="0060175E">
        <w:rPr>
          <w:lang w:val="es-ES"/>
        </w:rPr>
        <w:t xml:space="preserve"> </w:t>
      </w:r>
      <w:r w:rsidRPr="0060175E">
        <w:t>արդյունավետության</w:t>
      </w:r>
      <w:r w:rsidRPr="0060175E">
        <w:rPr>
          <w:lang w:val="es-ES"/>
        </w:rPr>
        <w:t xml:space="preserve">, </w:t>
      </w:r>
      <w:r w:rsidRPr="0060175E">
        <w:t>նպատա</w:t>
      </w:r>
      <w:r w:rsidRPr="0060175E">
        <w:rPr>
          <w:lang w:val="es-ES"/>
        </w:rPr>
        <w:softHyphen/>
      </w:r>
      <w:r w:rsidRPr="0060175E">
        <w:t>կաուղղվա</w:t>
      </w:r>
      <w:r w:rsidRPr="0060175E">
        <w:rPr>
          <w:lang w:val="es-ES"/>
        </w:rPr>
        <w:softHyphen/>
      </w:r>
      <w:r w:rsidRPr="0060175E">
        <w:t>ծության</w:t>
      </w:r>
      <w:r w:rsidRPr="0060175E">
        <w:rPr>
          <w:lang w:val="es-ES"/>
        </w:rPr>
        <w:t xml:space="preserve"> </w:t>
      </w:r>
      <w:r w:rsidRPr="0060175E">
        <w:t>և</w:t>
      </w:r>
      <w:r w:rsidRPr="0060175E">
        <w:rPr>
          <w:lang w:val="es-ES"/>
        </w:rPr>
        <w:t xml:space="preserve"> </w:t>
      </w:r>
      <w:r w:rsidRPr="0060175E">
        <w:t>հաս</w:t>
      </w:r>
      <w:r w:rsidRPr="0060175E">
        <w:rPr>
          <w:lang w:val="es-ES"/>
        </w:rPr>
        <w:softHyphen/>
      </w:r>
      <w:r w:rsidRPr="0060175E">
        <w:t>ցեա</w:t>
      </w:r>
      <w:r w:rsidRPr="0060175E">
        <w:rPr>
          <w:lang w:val="es-ES"/>
        </w:rPr>
        <w:softHyphen/>
      </w:r>
      <w:r w:rsidRPr="0060175E">
        <w:t>կա</w:t>
      </w:r>
      <w:r w:rsidRPr="0060175E">
        <w:rPr>
          <w:lang w:val="es-ES"/>
        </w:rPr>
        <w:softHyphen/>
      </w:r>
      <w:r w:rsidRPr="0060175E">
        <w:t>նության</w:t>
      </w:r>
      <w:r w:rsidRPr="0060175E">
        <w:rPr>
          <w:lang w:val="es-ES"/>
        </w:rPr>
        <w:t xml:space="preserve"> </w:t>
      </w:r>
      <w:r w:rsidRPr="0060175E">
        <w:t>մա</w:t>
      </w:r>
      <w:r w:rsidRPr="0060175E">
        <w:rPr>
          <w:lang w:val="es-ES"/>
        </w:rPr>
        <w:softHyphen/>
      </w:r>
      <w:r w:rsidRPr="0060175E">
        <w:t>կար</w:t>
      </w:r>
      <w:r w:rsidRPr="0060175E">
        <w:rPr>
          <w:lang w:val="es-ES"/>
        </w:rPr>
        <w:softHyphen/>
      </w:r>
      <w:r w:rsidRPr="0060175E">
        <w:t>դա</w:t>
      </w:r>
      <w:r w:rsidRPr="0060175E">
        <w:rPr>
          <w:lang w:val="es-ES"/>
        </w:rPr>
        <w:softHyphen/>
      </w:r>
      <w:r w:rsidRPr="0060175E">
        <w:t>կի</w:t>
      </w:r>
      <w:r w:rsidRPr="0060175E">
        <w:rPr>
          <w:lang w:val="es-ES"/>
        </w:rPr>
        <w:t xml:space="preserve"> </w:t>
      </w:r>
      <w:r w:rsidRPr="0060175E">
        <w:t>բարձրացման</w:t>
      </w:r>
      <w:r w:rsidRPr="0060175E">
        <w:rPr>
          <w:lang w:val="es-ES"/>
        </w:rPr>
        <w:t xml:space="preserve">, </w:t>
      </w:r>
      <w:r w:rsidRPr="0060175E">
        <w:t>նրանց</w:t>
      </w:r>
      <w:r w:rsidRPr="0060175E">
        <w:rPr>
          <w:lang w:val="es-ES"/>
        </w:rPr>
        <w:t xml:space="preserve"> </w:t>
      </w:r>
      <w:r w:rsidRPr="0060175E">
        <w:t>կողմից</w:t>
      </w:r>
      <w:r w:rsidRPr="0060175E">
        <w:rPr>
          <w:lang w:val="es-ES"/>
        </w:rPr>
        <w:t xml:space="preserve"> </w:t>
      </w:r>
      <w:r w:rsidRPr="0060175E">
        <w:t>հանրությանը</w:t>
      </w:r>
      <w:r w:rsidRPr="0060175E">
        <w:rPr>
          <w:lang w:val="es-ES"/>
        </w:rPr>
        <w:t xml:space="preserve"> </w:t>
      </w:r>
      <w:r w:rsidRPr="0060175E">
        <w:t>մատուցվող</w:t>
      </w:r>
      <w:r w:rsidRPr="0060175E">
        <w:rPr>
          <w:lang w:val="es-ES"/>
        </w:rPr>
        <w:t xml:space="preserve"> </w:t>
      </w:r>
      <w:r w:rsidRPr="0060175E">
        <w:t>ծառա</w:t>
      </w:r>
      <w:r w:rsidRPr="0060175E">
        <w:rPr>
          <w:lang w:val="es-ES"/>
        </w:rPr>
        <w:softHyphen/>
      </w:r>
      <w:r w:rsidRPr="0060175E">
        <w:t>յությունները</w:t>
      </w:r>
      <w:r w:rsidRPr="0060175E">
        <w:rPr>
          <w:lang w:val="es-ES"/>
        </w:rPr>
        <w:t xml:space="preserve"> </w:t>
      </w:r>
      <w:r w:rsidRPr="0060175E">
        <w:t>բնակչության</w:t>
      </w:r>
      <w:r w:rsidRPr="0060175E">
        <w:rPr>
          <w:lang w:val="es-ES"/>
        </w:rPr>
        <w:t xml:space="preserve"> </w:t>
      </w:r>
      <w:r w:rsidRPr="0060175E">
        <w:t>համար</w:t>
      </w:r>
      <w:r w:rsidRPr="0060175E">
        <w:rPr>
          <w:lang w:val="es-ES"/>
        </w:rPr>
        <w:t xml:space="preserve"> </w:t>
      </w:r>
      <w:r w:rsidRPr="0060175E">
        <w:t>ավե</w:t>
      </w:r>
      <w:r w:rsidRPr="0060175E">
        <w:rPr>
          <w:lang w:val="es-ES"/>
        </w:rPr>
        <w:softHyphen/>
      </w:r>
      <w:r w:rsidRPr="0060175E">
        <w:t>լի</w:t>
      </w:r>
      <w:r w:rsidRPr="0060175E">
        <w:rPr>
          <w:lang w:val="es-ES"/>
        </w:rPr>
        <w:t xml:space="preserve"> </w:t>
      </w:r>
      <w:r w:rsidRPr="0060175E">
        <w:t>մատչելի</w:t>
      </w:r>
      <w:r w:rsidRPr="0060175E">
        <w:rPr>
          <w:lang w:val="es-ES"/>
        </w:rPr>
        <w:t xml:space="preserve"> </w:t>
      </w:r>
      <w:r w:rsidRPr="0060175E">
        <w:t>դարձնելու</w:t>
      </w:r>
      <w:r w:rsidRPr="0060175E">
        <w:rPr>
          <w:lang w:val="es-ES"/>
        </w:rPr>
        <w:t xml:space="preserve"> </w:t>
      </w:r>
      <w:r w:rsidRPr="0060175E">
        <w:t>նպատակով</w:t>
      </w:r>
      <w:r w:rsidRPr="0060175E">
        <w:rPr>
          <w:lang w:val="es-ES"/>
        </w:rPr>
        <w:t xml:space="preserve"> </w:t>
      </w:r>
      <w:r w:rsidRPr="0060175E">
        <w:t>իրականացվող</w:t>
      </w:r>
      <w:r w:rsidRPr="0060175E">
        <w:rPr>
          <w:lang w:val="es-ES"/>
        </w:rPr>
        <w:t xml:space="preserve"> </w:t>
      </w:r>
      <w:r w:rsidRPr="0060175E">
        <w:t>բարեփո</w:t>
      </w:r>
      <w:r w:rsidRPr="0060175E">
        <w:rPr>
          <w:lang w:val="es-ES"/>
        </w:rPr>
        <w:softHyphen/>
      </w:r>
      <w:r w:rsidRPr="0060175E">
        <w:t>խումների</w:t>
      </w:r>
      <w:r w:rsidRPr="0060175E">
        <w:rPr>
          <w:lang w:val="es-ES"/>
        </w:rPr>
        <w:t xml:space="preserve"> </w:t>
      </w:r>
      <w:r w:rsidRPr="0060175E">
        <w:t>ֆինանսական</w:t>
      </w:r>
      <w:r w:rsidRPr="0060175E">
        <w:rPr>
          <w:lang w:val="es-ES"/>
        </w:rPr>
        <w:t xml:space="preserve"> </w:t>
      </w:r>
      <w:r w:rsidRPr="0060175E">
        <w:t>ապա</w:t>
      </w:r>
      <w:r w:rsidRPr="0060175E">
        <w:rPr>
          <w:lang w:val="es-ES"/>
        </w:rPr>
        <w:softHyphen/>
      </w:r>
      <w:r w:rsidRPr="0060175E">
        <w:t>հովում</w:t>
      </w:r>
      <w:r w:rsidRPr="0060175E">
        <w:rPr>
          <w:lang w:val="es-ES"/>
        </w:rPr>
        <w:t>.</w:t>
      </w:r>
    </w:p>
    <w:p w:rsidR="008B2220" w:rsidRDefault="008B2220" w:rsidP="007730AA">
      <w:pPr>
        <w:pStyle w:val="BodyText2"/>
        <w:ind w:left="0"/>
        <w:rPr>
          <w:lang w:val="es-ES"/>
        </w:rPr>
      </w:pPr>
      <w:r w:rsidRPr="0060175E">
        <w:t>Հանրապետության</w:t>
      </w:r>
      <w:r w:rsidRPr="0060175E">
        <w:rPr>
          <w:lang w:val="es-ES"/>
        </w:rPr>
        <w:t xml:space="preserve"> </w:t>
      </w:r>
      <w:r w:rsidRPr="0060175E">
        <w:t>տարածքային</w:t>
      </w:r>
      <w:r w:rsidRPr="0060175E">
        <w:rPr>
          <w:lang w:val="es-ES"/>
        </w:rPr>
        <w:t xml:space="preserve"> </w:t>
      </w:r>
      <w:r w:rsidRPr="0060175E">
        <w:t>ամբողջականությունը</w:t>
      </w:r>
      <w:r w:rsidRPr="0060175E">
        <w:rPr>
          <w:lang w:val="es-ES"/>
        </w:rPr>
        <w:t xml:space="preserve">, </w:t>
      </w:r>
      <w:r w:rsidRPr="0060175E">
        <w:t>տարածաշրջանում</w:t>
      </w:r>
      <w:r w:rsidRPr="0060175E">
        <w:rPr>
          <w:lang w:val="es-ES"/>
        </w:rPr>
        <w:t xml:space="preserve"> </w:t>
      </w:r>
      <w:r w:rsidRPr="0060175E">
        <w:t>կայունու</w:t>
      </w:r>
      <w:r w:rsidRPr="0060175E">
        <w:rPr>
          <w:lang w:val="es-ES"/>
        </w:rPr>
        <w:softHyphen/>
      </w:r>
      <w:r w:rsidRPr="0060175E">
        <w:t>թյու</w:t>
      </w:r>
      <w:r w:rsidRPr="0060175E">
        <w:rPr>
          <w:lang w:val="es-ES"/>
        </w:rPr>
        <w:softHyphen/>
      </w:r>
      <w:r w:rsidRPr="0060175E">
        <w:t>նը</w:t>
      </w:r>
      <w:r w:rsidRPr="0060175E">
        <w:rPr>
          <w:lang w:val="es-ES"/>
        </w:rPr>
        <w:t xml:space="preserve"> </w:t>
      </w:r>
      <w:r w:rsidRPr="0060175E">
        <w:t>և</w:t>
      </w:r>
      <w:r w:rsidRPr="0060175E">
        <w:rPr>
          <w:lang w:val="es-ES"/>
        </w:rPr>
        <w:t xml:space="preserve"> </w:t>
      </w:r>
      <w:r w:rsidRPr="0060175E">
        <w:t>Արցախյան</w:t>
      </w:r>
      <w:r w:rsidRPr="0060175E">
        <w:rPr>
          <w:lang w:val="es-ES"/>
        </w:rPr>
        <w:t xml:space="preserve"> </w:t>
      </w:r>
      <w:r w:rsidRPr="0060175E">
        <w:t>հակամարտության</w:t>
      </w:r>
      <w:r w:rsidRPr="0060175E">
        <w:rPr>
          <w:lang w:val="es-ES"/>
        </w:rPr>
        <w:t xml:space="preserve"> </w:t>
      </w:r>
      <w:r w:rsidRPr="0060175E">
        <w:t>կողմերի</w:t>
      </w:r>
      <w:r w:rsidRPr="0060175E">
        <w:rPr>
          <w:lang w:val="es-ES"/>
        </w:rPr>
        <w:t xml:space="preserve"> </w:t>
      </w:r>
      <w:r w:rsidRPr="0060175E">
        <w:t>ուժերի</w:t>
      </w:r>
      <w:r w:rsidRPr="0060175E">
        <w:rPr>
          <w:lang w:val="es-ES"/>
        </w:rPr>
        <w:t xml:space="preserve"> </w:t>
      </w:r>
      <w:r w:rsidRPr="0060175E">
        <w:t>հավասարակշռությունը</w:t>
      </w:r>
      <w:r w:rsidRPr="0060175E">
        <w:rPr>
          <w:lang w:val="es-ES"/>
        </w:rPr>
        <w:t xml:space="preserve"> </w:t>
      </w:r>
      <w:r w:rsidRPr="0060175E">
        <w:t>պահպա</w:t>
      </w:r>
      <w:r w:rsidRPr="0060175E">
        <w:rPr>
          <w:lang w:val="es-ES"/>
        </w:rPr>
        <w:softHyphen/>
      </w:r>
      <w:r w:rsidRPr="0060175E">
        <w:t>նելու</w:t>
      </w:r>
      <w:r w:rsidRPr="0060175E">
        <w:rPr>
          <w:lang w:val="es-ES"/>
        </w:rPr>
        <w:t xml:space="preserve"> </w:t>
      </w:r>
      <w:r w:rsidRPr="0060175E">
        <w:t>նպա</w:t>
      </w:r>
      <w:r w:rsidRPr="0060175E">
        <w:rPr>
          <w:lang w:val="es-ES"/>
        </w:rPr>
        <w:softHyphen/>
      </w:r>
      <w:r w:rsidRPr="0060175E">
        <w:t>տակով</w:t>
      </w:r>
      <w:r w:rsidRPr="0060175E">
        <w:rPr>
          <w:lang w:val="es-ES"/>
        </w:rPr>
        <w:t xml:space="preserve"> </w:t>
      </w:r>
      <w:r w:rsidRPr="0060175E">
        <w:t>պաշտ</w:t>
      </w:r>
      <w:r w:rsidRPr="0060175E">
        <w:rPr>
          <w:lang w:val="es-ES"/>
        </w:rPr>
        <w:softHyphen/>
      </w:r>
      <w:r w:rsidRPr="0060175E">
        <w:t>պանության</w:t>
      </w:r>
      <w:r w:rsidRPr="0060175E">
        <w:rPr>
          <w:lang w:val="es-ES"/>
        </w:rPr>
        <w:t xml:space="preserve"> </w:t>
      </w:r>
      <w:r w:rsidRPr="0060175E">
        <w:t>և</w:t>
      </w:r>
      <w:r w:rsidRPr="0060175E">
        <w:rPr>
          <w:lang w:val="es-ES"/>
        </w:rPr>
        <w:t xml:space="preserve"> </w:t>
      </w:r>
      <w:r w:rsidRPr="0060175E">
        <w:t>ազգային</w:t>
      </w:r>
      <w:r w:rsidRPr="0060175E">
        <w:rPr>
          <w:lang w:val="es-ES"/>
        </w:rPr>
        <w:t xml:space="preserve"> </w:t>
      </w:r>
      <w:r w:rsidRPr="0060175E">
        <w:t>անվտանգության</w:t>
      </w:r>
      <w:r w:rsidRPr="0060175E">
        <w:rPr>
          <w:lang w:val="es-ES"/>
        </w:rPr>
        <w:t xml:space="preserve"> </w:t>
      </w:r>
      <w:r w:rsidRPr="0060175E">
        <w:t>կառույցների</w:t>
      </w:r>
      <w:r w:rsidRPr="0060175E">
        <w:rPr>
          <w:lang w:val="es-ES"/>
        </w:rPr>
        <w:t xml:space="preserve"> </w:t>
      </w:r>
      <w:r w:rsidRPr="0060175E">
        <w:t>կենսագործու</w:t>
      </w:r>
      <w:r w:rsidRPr="0060175E">
        <w:rPr>
          <w:lang w:val="es-ES"/>
        </w:rPr>
        <w:softHyphen/>
      </w:r>
      <w:r w:rsidRPr="0060175E">
        <w:t>նեության</w:t>
      </w:r>
      <w:r w:rsidRPr="0060175E">
        <w:rPr>
          <w:lang w:val="es-ES"/>
        </w:rPr>
        <w:t xml:space="preserve"> </w:t>
      </w:r>
      <w:r w:rsidRPr="0060175E">
        <w:t>համար</w:t>
      </w:r>
      <w:r w:rsidRPr="0060175E">
        <w:rPr>
          <w:lang w:val="es-ES"/>
        </w:rPr>
        <w:t xml:space="preserve"> </w:t>
      </w:r>
      <w:r w:rsidRPr="0060175E">
        <w:t>անհրաժեշտ</w:t>
      </w:r>
      <w:r w:rsidRPr="0060175E">
        <w:rPr>
          <w:lang w:val="es-ES"/>
        </w:rPr>
        <w:t xml:space="preserve"> </w:t>
      </w:r>
      <w:r w:rsidRPr="0060175E">
        <w:t>ֆինանսական</w:t>
      </w:r>
      <w:r w:rsidRPr="0060175E">
        <w:rPr>
          <w:lang w:val="es-ES"/>
        </w:rPr>
        <w:t xml:space="preserve"> </w:t>
      </w:r>
      <w:r w:rsidRPr="0060175E">
        <w:t>ապահովում</w:t>
      </w:r>
      <w:r w:rsidRPr="0060175E">
        <w:rPr>
          <w:lang w:val="es-ES"/>
        </w:rPr>
        <w:t>.</w:t>
      </w:r>
    </w:p>
    <w:p w:rsidR="008B2220" w:rsidRPr="0060175E" w:rsidRDefault="008B2220" w:rsidP="007730AA">
      <w:pPr>
        <w:pStyle w:val="BodyText2"/>
        <w:ind w:left="0"/>
        <w:rPr>
          <w:lang w:val="es-ES"/>
        </w:rPr>
      </w:pPr>
      <w:r w:rsidRPr="0060175E">
        <w:t>Տնտեսության</w:t>
      </w:r>
      <w:r w:rsidRPr="0060175E">
        <w:rPr>
          <w:lang w:val="es-ES"/>
        </w:rPr>
        <w:t xml:space="preserve"> </w:t>
      </w:r>
      <w:r w:rsidRPr="0060175E">
        <w:t>առանձին</w:t>
      </w:r>
      <w:r w:rsidRPr="0060175E">
        <w:rPr>
          <w:lang w:val="es-ES"/>
        </w:rPr>
        <w:t xml:space="preserve"> </w:t>
      </w:r>
      <w:r w:rsidRPr="0060175E">
        <w:t>ոլորտներում</w:t>
      </w:r>
      <w:r w:rsidRPr="0060175E">
        <w:rPr>
          <w:lang w:val="es-ES"/>
        </w:rPr>
        <w:t xml:space="preserve"> (</w:t>
      </w:r>
      <w:r w:rsidRPr="0060175E">
        <w:t>մասնավորապես և հիմնականում՝</w:t>
      </w:r>
      <w:r w:rsidRPr="0060175E">
        <w:rPr>
          <w:lang w:val="es-ES"/>
        </w:rPr>
        <w:t xml:space="preserve"> </w:t>
      </w:r>
      <w:r w:rsidRPr="0060175E">
        <w:t>գյուղատնտե</w:t>
      </w:r>
      <w:r w:rsidRPr="0060175E">
        <w:softHyphen/>
        <w:t>սություն</w:t>
      </w:r>
      <w:r w:rsidRPr="0060175E">
        <w:rPr>
          <w:lang w:val="es-ES"/>
        </w:rPr>
        <w:t xml:space="preserve">, </w:t>
      </w:r>
      <w:r w:rsidRPr="0060175E">
        <w:t>ջրային</w:t>
      </w:r>
      <w:r w:rsidRPr="0060175E">
        <w:rPr>
          <w:lang w:val="es-ES"/>
        </w:rPr>
        <w:t xml:space="preserve"> </w:t>
      </w:r>
      <w:r w:rsidRPr="0060175E">
        <w:t>տնտե</w:t>
      </w:r>
      <w:r w:rsidRPr="0060175E">
        <w:rPr>
          <w:lang w:val="es-ES"/>
        </w:rPr>
        <w:softHyphen/>
      </w:r>
      <w:r w:rsidRPr="0060175E">
        <w:rPr>
          <w:lang w:val="es-ES"/>
        </w:rPr>
        <w:softHyphen/>
      </w:r>
      <w:r w:rsidRPr="0060175E">
        <w:rPr>
          <w:lang w:val="es-ES"/>
        </w:rPr>
        <w:softHyphen/>
      </w:r>
      <w:r w:rsidRPr="0060175E">
        <w:t>սու</w:t>
      </w:r>
      <w:r w:rsidRPr="0060175E">
        <w:rPr>
          <w:lang w:val="es-ES"/>
        </w:rPr>
        <w:softHyphen/>
      </w:r>
      <w:r w:rsidRPr="0060175E">
        <w:t>թյուն</w:t>
      </w:r>
      <w:r w:rsidRPr="0060175E">
        <w:rPr>
          <w:lang w:val="es-ES"/>
        </w:rPr>
        <w:t xml:space="preserve">, </w:t>
      </w:r>
      <w:r w:rsidRPr="0060175E">
        <w:t>ճանապարհային</w:t>
      </w:r>
      <w:r w:rsidRPr="0060175E">
        <w:rPr>
          <w:lang w:val="es-ES"/>
        </w:rPr>
        <w:t xml:space="preserve"> </w:t>
      </w:r>
      <w:r w:rsidRPr="0060175E">
        <w:t>տնտեսություն</w:t>
      </w:r>
      <w:r w:rsidRPr="0060175E">
        <w:rPr>
          <w:lang w:val="es-ES"/>
        </w:rPr>
        <w:t xml:space="preserve"> </w:t>
      </w:r>
      <w:r w:rsidRPr="0060175E">
        <w:t>և</w:t>
      </w:r>
      <w:r w:rsidRPr="0060175E">
        <w:rPr>
          <w:lang w:val="es-ES"/>
        </w:rPr>
        <w:t xml:space="preserve"> </w:t>
      </w:r>
      <w:r w:rsidRPr="0060175E">
        <w:t>էներգետիկա</w:t>
      </w:r>
      <w:r w:rsidRPr="0060175E">
        <w:rPr>
          <w:lang w:val="es-ES"/>
        </w:rPr>
        <w:t xml:space="preserve">) </w:t>
      </w:r>
      <w:r w:rsidRPr="0060175E">
        <w:t>ենթակա</w:t>
      </w:r>
      <w:r w:rsidRPr="0060175E">
        <w:rPr>
          <w:lang w:val="es-ES"/>
        </w:rPr>
        <w:softHyphen/>
      </w:r>
      <w:r w:rsidRPr="0060175E">
        <w:t>ռուց</w:t>
      </w:r>
      <w:r w:rsidRPr="0060175E">
        <w:rPr>
          <w:lang w:val="es-ES"/>
        </w:rPr>
        <w:softHyphen/>
      </w:r>
      <w:r w:rsidRPr="0060175E">
        <w:t>վածքների</w:t>
      </w:r>
      <w:r w:rsidRPr="0060175E">
        <w:rPr>
          <w:lang w:val="es-ES"/>
        </w:rPr>
        <w:t xml:space="preserve"> </w:t>
      </w:r>
      <w:r w:rsidRPr="0060175E">
        <w:t>վերա</w:t>
      </w:r>
      <w:r w:rsidRPr="0060175E">
        <w:rPr>
          <w:lang w:val="es-ES"/>
        </w:rPr>
        <w:softHyphen/>
      </w:r>
      <w:r w:rsidRPr="0060175E">
        <w:t>կանգնման</w:t>
      </w:r>
      <w:r w:rsidRPr="0060175E">
        <w:rPr>
          <w:lang w:val="es-ES"/>
        </w:rPr>
        <w:t xml:space="preserve"> </w:t>
      </w:r>
      <w:r w:rsidRPr="0060175E">
        <w:t>և</w:t>
      </w:r>
      <w:r w:rsidRPr="0060175E">
        <w:rPr>
          <w:lang w:val="es-ES"/>
        </w:rPr>
        <w:t xml:space="preserve"> </w:t>
      </w:r>
      <w:r w:rsidRPr="0060175E">
        <w:t>զար</w:t>
      </w:r>
      <w:r w:rsidRPr="0060175E">
        <w:rPr>
          <w:lang w:val="es-ES"/>
        </w:rPr>
        <w:softHyphen/>
      </w:r>
      <w:r w:rsidRPr="0060175E">
        <w:t>գաց</w:t>
      </w:r>
      <w:r w:rsidRPr="0060175E">
        <w:rPr>
          <w:lang w:val="es-ES"/>
        </w:rPr>
        <w:softHyphen/>
      </w:r>
      <w:r w:rsidRPr="0060175E">
        <w:t>ման</w:t>
      </w:r>
      <w:r w:rsidRPr="0060175E">
        <w:rPr>
          <w:lang w:val="es-ES"/>
        </w:rPr>
        <w:t xml:space="preserve"> </w:t>
      </w:r>
      <w:r w:rsidRPr="0060175E">
        <w:t>ծրագրերի</w:t>
      </w:r>
      <w:r w:rsidRPr="0060175E">
        <w:rPr>
          <w:lang w:val="es-ES"/>
        </w:rPr>
        <w:t xml:space="preserve"> </w:t>
      </w:r>
      <w:r w:rsidRPr="0060175E">
        <w:t>իրականացում</w:t>
      </w:r>
      <w:r w:rsidRPr="0060175E">
        <w:rPr>
          <w:lang w:val="es-ES"/>
        </w:rPr>
        <w:t xml:space="preserve">: </w:t>
      </w:r>
    </w:p>
    <w:p w:rsidR="00D379EC" w:rsidRPr="008D6AED" w:rsidRDefault="00F523A4" w:rsidP="007730AA">
      <w:pPr>
        <w:pStyle w:val="Heading2"/>
        <w:spacing w:before="0" w:after="0"/>
        <w:rPr>
          <w:lang w:val="es-ES"/>
        </w:rPr>
      </w:pPr>
      <w:bookmarkStart w:id="160" w:name="_Toc57655462"/>
      <w:r w:rsidRPr="008D6AED">
        <w:t>ՊԵՏԱԿԱՆ</w:t>
      </w:r>
      <w:r w:rsidRPr="008D6AED">
        <w:rPr>
          <w:lang w:val="es-ES"/>
        </w:rPr>
        <w:t xml:space="preserve"> </w:t>
      </w:r>
      <w:r w:rsidRPr="008D6AED">
        <w:t>ԲՅՈՒՋԵԻ</w:t>
      </w:r>
      <w:r w:rsidRPr="008D6AED">
        <w:rPr>
          <w:lang w:val="es-ES"/>
        </w:rPr>
        <w:t xml:space="preserve"> </w:t>
      </w:r>
      <w:r w:rsidRPr="008D6AED">
        <w:t>ԴԵՖԻՑԻՏԻ</w:t>
      </w:r>
      <w:r w:rsidRPr="008D6AED">
        <w:rPr>
          <w:lang w:val="es-ES"/>
        </w:rPr>
        <w:t xml:space="preserve"> (</w:t>
      </w:r>
      <w:r w:rsidRPr="008D6AED">
        <w:t>ՊԱԿԱՍՈՒՐԴԻ</w:t>
      </w:r>
      <w:r w:rsidRPr="008D6AED">
        <w:rPr>
          <w:lang w:val="es-ES"/>
        </w:rPr>
        <w:t xml:space="preserve">) </w:t>
      </w:r>
      <w:r w:rsidRPr="008D6AED">
        <w:t>ԵՎ</w:t>
      </w:r>
      <w:r w:rsidRPr="008D6AED">
        <w:rPr>
          <w:lang w:val="es-ES"/>
        </w:rPr>
        <w:t xml:space="preserve"> </w:t>
      </w:r>
      <w:r w:rsidRPr="008D6AED">
        <w:t>ՊԱՐՏՔԻ</w:t>
      </w:r>
      <w:r w:rsidRPr="008D6AED">
        <w:rPr>
          <w:lang w:val="es-ES"/>
        </w:rPr>
        <w:t xml:space="preserve"> </w:t>
      </w:r>
      <w:r w:rsidRPr="008D6AED">
        <w:t>ՄԱԿԱՐԴԱԿԸ</w:t>
      </w:r>
      <w:bookmarkEnd w:id="160"/>
    </w:p>
    <w:p w:rsidR="008B2220" w:rsidRPr="00EF6F81" w:rsidRDefault="008B2220" w:rsidP="007730AA">
      <w:pPr>
        <w:pStyle w:val="BodyText2"/>
        <w:ind w:left="0"/>
        <w:rPr>
          <w:lang w:val="es-ES"/>
        </w:rPr>
      </w:pPr>
      <w:bookmarkStart w:id="161" w:name="_Toc76556774"/>
      <w:bookmarkStart w:id="162" w:name="_Toc76456833"/>
      <w:bookmarkEnd w:id="159"/>
      <w:r w:rsidRPr="00EF6F81">
        <w:t>ՀՀ</w:t>
      </w:r>
      <w:r w:rsidRPr="00EF6F81">
        <w:rPr>
          <w:lang w:val="es-ES"/>
        </w:rPr>
        <w:t xml:space="preserve"> </w:t>
      </w:r>
      <w:r w:rsidRPr="00EF6F81">
        <w:t>202</w:t>
      </w:r>
      <w:r w:rsidRPr="008D6AED">
        <w:rPr>
          <w:lang w:val="es-ES"/>
        </w:rPr>
        <w:t>1</w:t>
      </w:r>
      <w:r w:rsidRPr="00EF6F81">
        <w:rPr>
          <w:lang w:val="es-ES"/>
        </w:rPr>
        <w:t xml:space="preserve"> </w:t>
      </w:r>
      <w:r w:rsidRPr="00EF6F81">
        <w:t>թվականի</w:t>
      </w:r>
      <w:r w:rsidRPr="00EF6F81">
        <w:rPr>
          <w:lang w:val="es-ES"/>
        </w:rPr>
        <w:t xml:space="preserve"> </w:t>
      </w:r>
      <w:r w:rsidRPr="00EF6F81">
        <w:t>պետական</w:t>
      </w:r>
      <w:r w:rsidRPr="00EF6F81">
        <w:rPr>
          <w:lang w:val="es-ES"/>
        </w:rPr>
        <w:t xml:space="preserve"> </w:t>
      </w:r>
      <w:r w:rsidRPr="00EF6F81">
        <w:t>բյուջեի</w:t>
      </w:r>
      <w:r w:rsidRPr="00EF6F81">
        <w:rPr>
          <w:lang w:val="es-ES"/>
        </w:rPr>
        <w:t xml:space="preserve"> </w:t>
      </w:r>
      <w:r w:rsidRPr="00EF6F81">
        <w:t>դեֆիցիտը</w:t>
      </w:r>
      <w:r w:rsidRPr="00EF6F81">
        <w:rPr>
          <w:lang w:val="es-ES"/>
        </w:rPr>
        <w:t xml:space="preserve"> </w:t>
      </w:r>
      <w:r w:rsidRPr="00EF6F81">
        <w:t xml:space="preserve">ծրագրավորվել է ՀՆԱ-ի </w:t>
      </w:r>
      <w:r w:rsidRPr="000761B0">
        <w:rPr>
          <w:lang w:val="es-ES"/>
        </w:rPr>
        <w:t>5</w:t>
      </w:r>
      <w:r>
        <w:rPr>
          <w:lang w:val="es-ES"/>
        </w:rPr>
        <w:t>.3</w:t>
      </w:r>
      <w:r w:rsidRPr="00EF6F81">
        <w:t xml:space="preserve"> %-ի չա</w:t>
      </w:r>
      <w:r w:rsidRPr="00EF6F81">
        <w:softHyphen/>
        <w:t xml:space="preserve">փով և կազմում է </w:t>
      </w:r>
      <w:r>
        <w:rPr>
          <w:lang w:val="es-ES"/>
        </w:rPr>
        <w:t>341.4</w:t>
      </w:r>
      <w:r w:rsidRPr="00EF6F81">
        <w:t xml:space="preserve"> մլրդ դրամ: Դեֆիցիտի ֆինանսավորման ներքին աղբյուրների հիմ</w:t>
      </w:r>
      <w:r w:rsidRPr="00EF6F81">
        <w:softHyphen/>
        <w:t>նա</w:t>
      </w:r>
      <w:r w:rsidRPr="00EF6F81">
        <w:softHyphen/>
        <w:t>կան մասը ՀՀ 202</w:t>
      </w:r>
      <w:r w:rsidRPr="008D6AED">
        <w:rPr>
          <w:lang w:val="es-ES"/>
        </w:rPr>
        <w:t>1</w:t>
      </w:r>
      <w:r w:rsidRPr="00EF6F81">
        <w:t xml:space="preserve"> թվականին ձևավորվելու է պե</w:t>
      </w:r>
      <w:r w:rsidRPr="00EF6F81">
        <w:softHyphen/>
      </w:r>
      <w:r w:rsidRPr="00EF6F81">
        <w:softHyphen/>
        <w:t>տական արժեթղթերի տեղաբաշխումից գոյացող մուտքերից, ելքերի ֆինան</w:t>
      </w:r>
      <w:r w:rsidRPr="00EF6F81">
        <w:softHyphen/>
        <w:t>սա</w:t>
      </w:r>
      <w:r w:rsidRPr="00EF6F81">
        <w:softHyphen/>
        <w:t>վոր</w:t>
      </w:r>
      <w:r w:rsidRPr="00EF6F81">
        <w:softHyphen/>
        <w:t>մանն ուղղվող ՀՀ 202</w:t>
      </w:r>
      <w:r w:rsidRPr="008D6AED">
        <w:rPr>
          <w:lang w:val="es-ES"/>
        </w:rPr>
        <w:t>1</w:t>
      </w:r>
      <w:r w:rsidRPr="00EF6F81">
        <w:t xml:space="preserve"> թվականի պետական</w:t>
      </w:r>
      <w:r w:rsidRPr="00EF6F81">
        <w:rPr>
          <w:lang w:val="es-ES"/>
        </w:rPr>
        <w:t xml:space="preserve"> </w:t>
      </w:r>
      <w:r w:rsidRPr="00EF6F81">
        <w:t>բյուջեի</w:t>
      </w:r>
      <w:r w:rsidRPr="00EF6F81">
        <w:rPr>
          <w:lang w:val="es-ES"/>
        </w:rPr>
        <w:t xml:space="preserve"> </w:t>
      </w:r>
      <w:r w:rsidRPr="00EF6F81">
        <w:t>տարեսկզբի</w:t>
      </w:r>
      <w:r w:rsidRPr="0083330F">
        <w:rPr>
          <w:lang w:val="es-ES"/>
        </w:rPr>
        <w:t xml:space="preserve">, </w:t>
      </w:r>
      <w:r w:rsidRPr="0083330F">
        <w:t>կայունացման</w:t>
      </w:r>
      <w:r w:rsidRPr="0083330F">
        <w:rPr>
          <w:lang w:val="es-ES"/>
        </w:rPr>
        <w:t xml:space="preserve"> </w:t>
      </w:r>
      <w:r w:rsidRPr="0083330F">
        <w:t>դեպոզիտային</w:t>
      </w:r>
      <w:r w:rsidRPr="0083330F">
        <w:rPr>
          <w:lang w:val="es-ES"/>
        </w:rPr>
        <w:t xml:space="preserve"> </w:t>
      </w:r>
      <w:r w:rsidRPr="0083330F">
        <w:t>հաշվի</w:t>
      </w:r>
      <w:r w:rsidRPr="0083330F">
        <w:rPr>
          <w:lang w:val="es-ES"/>
        </w:rPr>
        <w:t xml:space="preserve"> </w:t>
      </w:r>
      <w:r w:rsidRPr="0083330F">
        <w:t>միջոցներից</w:t>
      </w:r>
      <w:r w:rsidRPr="0083330F">
        <w:rPr>
          <w:lang w:val="es-ES"/>
        </w:rPr>
        <w:t xml:space="preserve">, </w:t>
      </w:r>
      <w:r w:rsidRPr="0083330F">
        <w:t>ինչպես</w:t>
      </w:r>
      <w:r w:rsidRPr="008D6AED">
        <w:t xml:space="preserve"> նաև տնտեսվարող սուբյեկտներին տրա</w:t>
      </w:r>
      <w:r w:rsidRPr="008D6AED">
        <w:softHyphen/>
        <w:t>մադրված բյուջետային վարկերի</w:t>
      </w:r>
      <w:r w:rsidRPr="008D6AED">
        <w:rPr>
          <w:lang w:val="es-ES"/>
        </w:rPr>
        <w:t xml:space="preserve"> </w:t>
      </w:r>
      <w:r w:rsidRPr="008D6AED">
        <w:t>զուտ</w:t>
      </w:r>
      <w:r w:rsidRPr="008D6AED">
        <w:rPr>
          <w:lang w:val="es-ES"/>
        </w:rPr>
        <w:t xml:space="preserve"> </w:t>
      </w:r>
      <w:r w:rsidRPr="008D6AED">
        <w:t>մուտքերից</w:t>
      </w:r>
      <w:r w:rsidRPr="008D6AED">
        <w:rPr>
          <w:lang w:val="es-ES"/>
        </w:rPr>
        <w:t xml:space="preserve"> (</w:t>
      </w:r>
      <w:r w:rsidRPr="008D6AED">
        <w:t>տրամադրվածից</w:t>
      </w:r>
      <w:r w:rsidRPr="008D6AED">
        <w:rPr>
          <w:lang w:val="es-ES"/>
        </w:rPr>
        <w:t xml:space="preserve"> </w:t>
      </w:r>
      <w:r w:rsidRPr="008D6AED">
        <w:t>հանած</w:t>
      </w:r>
      <w:r w:rsidRPr="008D6AED">
        <w:rPr>
          <w:lang w:val="es-ES"/>
        </w:rPr>
        <w:t xml:space="preserve"> </w:t>
      </w:r>
      <w:r w:rsidRPr="008D6AED">
        <w:t>մարումները</w:t>
      </w:r>
      <w:r w:rsidRPr="008D6AED">
        <w:rPr>
          <w:lang w:val="es-ES"/>
        </w:rPr>
        <w:t>):</w:t>
      </w:r>
    </w:p>
    <w:p w:rsidR="008B2220" w:rsidRPr="005E2A8C" w:rsidRDefault="008B2220" w:rsidP="007730AA">
      <w:pPr>
        <w:pStyle w:val="BodyText2"/>
        <w:ind w:left="0"/>
        <w:rPr>
          <w:lang w:val="es-ES"/>
        </w:rPr>
      </w:pPr>
      <w:r w:rsidRPr="00EF6F81">
        <w:t>Դեռևս</w:t>
      </w:r>
      <w:r w:rsidRPr="00EF6F81">
        <w:rPr>
          <w:lang w:val="es-ES"/>
        </w:rPr>
        <w:t xml:space="preserve"> </w:t>
      </w:r>
      <w:r w:rsidRPr="00EF6F81">
        <w:t>զգալի</w:t>
      </w:r>
      <w:r w:rsidRPr="00EF6F81">
        <w:rPr>
          <w:lang w:val="es-ES"/>
        </w:rPr>
        <w:t xml:space="preserve"> </w:t>
      </w:r>
      <w:r w:rsidRPr="00EF6F81">
        <w:t>են</w:t>
      </w:r>
      <w:r w:rsidRPr="00EF6F81">
        <w:rPr>
          <w:lang w:val="es-ES"/>
        </w:rPr>
        <w:t xml:space="preserve"> </w:t>
      </w:r>
      <w:r w:rsidRPr="00EF6F81">
        <w:t>արտաքին</w:t>
      </w:r>
      <w:r w:rsidRPr="00EF6F81">
        <w:rPr>
          <w:lang w:val="es-ES"/>
        </w:rPr>
        <w:t xml:space="preserve"> </w:t>
      </w:r>
      <w:r w:rsidRPr="00EF6F81">
        <w:t>աղբյուրներից</w:t>
      </w:r>
      <w:r w:rsidRPr="00EF6F81">
        <w:rPr>
          <w:lang w:val="es-ES"/>
        </w:rPr>
        <w:t xml:space="preserve">` </w:t>
      </w:r>
      <w:r w:rsidRPr="00EF6F81">
        <w:t>միջազգային</w:t>
      </w:r>
      <w:r w:rsidRPr="00EF6F81">
        <w:rPr>
          <w:lang w:val="es-ES"/>
        </w:rPr>
        <w:t xml:space="preserve"> </w:t>
      </w:r>
      <w:r w:rsidRPr="00EF6F81">
        <w:t>կազմակերպություններից</w:t>
      </w:r>
      <w:r w:rsidRPr="00EF6F81">
        <w:rPr>
          <w:lang w:val="es-ES"/>
        </w:rPr>
        <w:t xml:space="preserve"> </w:t>
      </w:r>
      <w:r w:rsidRPr="00EF6F81">
        <w:t>և</w:t>
      </w:r>
      <w:r w:rsidRPr="00EF6F81">
        <w:rPr>
          <w:lang w:val="es-ES"/>
        </w:rPr>
        <w:t xml:space="preserve"> </w:t>
      </w:r>
      <w:r w:rsidRPr="00EF6F81">
        <w:t>օտարեր</w:t>
      </w:r>
      <w:r w:rsidRPr="00EF6F81">
        <w:rPr>
          <w:lang w:val="es-ES"/>
        </w:rPr>
        <w:softHyphen/>
      </w:r>
      <w:r w:rsidRPr="00EF6F81">
        <w:t>կր</w:t>
      </w:r>
      <w:r w:rsidRPr="00EF6F81">
        <w:rPr>
          <w:lang w:val="es-ES"/>
        </w:rPr>
        <w:softHyphen/>
      </w:r>
      <w:r w:rsidRPr="00EF6F81">
        <w:t>յա</w:t>
      </w:r>
      <w:r w:rsidRPr="00EF6F81">
        <w:rPr>
          <w:lang w:val="es-ES"/>
        </w:rPr>
        <w:t xml:space="preserve"> </w:t>
      </w:r>
      <w:r w:rsidRPr="00EF6F81">
        <w:t>պետություն</w:t>
      </w:r>
      <w:r w:rsidRPr="00EF6F81">
        <w:rPr>
          <w:lang w:val="es-ES"/>
        </w:rPr>
        <w:softHyphen/>
      </w:r>
      <w:r w:rsidRPr="00EF6F81">
        <w:t>նե</w:t>
      </w:r>
      <w:r w:rsidRPr="00EF6F81">
        <w:rPr>
          <w:lang w:val="es-ES"/>
        </w:rPr>
        <w:softHyphen/>
      </w:r>
      <w:r w:rsidRPr="00EF6F81">
        <w:t>րից</w:t>
      </w:r>
      <w:r w:rsidRPr="00EF6F81">
        <w:rPr>
          <w:lang w:val="es-ES"/>
        </w:rPr>
        <w:t xml:space="preserve"> </w:t>
      </w:r>
      <w:r w:rsidRPr="00EF6F81">
        <w:t>ստաց</w:t>
      </w:r>
      <w:r w:rsidRPr="00EF6F81">
        <w:rPr>
          <w:lang w:val="es-ES"/>
        </w:rPr>
        <w:softHyphen/>
      </w:r>
      <w:r w:rsidRPr="00EF6F81">
        <w:t>վելիք</w:t>
      </w:r>
      <w:r w:rsidRPr="00EF6F81">
        <w:rPr>
          <w:lang w:val="es-ES"/>
        </w:rPr>
        <w:t xml:space="preserve"> </w:t>
      </w:r>
      <w:r w:rsidRPr="00EF6F81">
        <w:t>վարկերի</w:t>
      </w:r>
      <w:r w:rsidRPr="00EF6F81">
        <w:rPr>
          <w:lang w:val="es-ES"/>
        </w:rPr>
        <w:t xml:space="preserve"> </w:t>
      </w:r>
      <w:r w:rsidRPr="00EF6F81">
        <w:t>հաշվին</w:t>
      </w:r>
      <w:r w:rsidRPr="00EF6F81">
        <w:rPr>
          <w:lang w:val="es-ES"/>
        </w:rPr>
        <w:t xml:space="preserve"> </w:t>
      </w:r>
      <w:r w:rsidRPr="00EF6F81">
        <w:t>պետական</w:t>
      </w:r>
      <w:r w:rsidRPr="00EF6F81">
        <w:rPr>
          <w:lang w:val="es-ES"/>
        </w:rPr>
        <w:t xml:space="preserve"> </w:t>
      </w:r>
      <w:r w:rsidRPr="00EF6F81">
        <w:t>բյուջեի</w:t>
      </w:r>
      <w:r w:rsidRPr="00EF6F81">
        <w:rPr>
          <w:lang w:val="es-ES"/>
        </w:rPr>
        <w:t xml:space="preserve"> </w:t>
      </w:r>
      <w:r w:rsidRPr="00EF6F81">
        <w:t>դեֆիցիտի</w:t>
      </w:r>
      <w:r w:rsidRPr="00EF6F81">
        <w:rPr>
          <w:lang w:val="es-ES"/>
        </w:rPr>
        <w:t xml:space="preserve"> </w:t>
      </w:r>
      <w:r w:rsidRPr="00EF6F81">
        <w:t>ֆի</w:t>
      </w:r>
      <w:r w:rsidRPr="00EF6F81">
        <w:rPr>
          <w:lang w:val="es-ES"/>
        </w:rPr>
        <w:softHyphen/>
      </w:r>
      <w:r w:rsidRPr="00EF6F81">
        <w:t>նան</w:t>
      </w:r>
      <w:r w:rsidRPr="00EF6F81">
        <w:rPr>
          <w:lang w:val="es-ES"/>
        </w:rPr>
        <w:softHyphen/>
      </w:r>
      <w:r w:rsidRPr="00EF6F81">
        <w:t>սա</w:t>
      </w:r>
      <w:r w:rsidRPr="00EF6F81">
        <w:rPr>
          <w:lang w:val="es-ES"/>
        </w:rPr>
        <w:softHyphen/>
      </w:r>
      <w:r w:rsidRPr="00EF6F81">
        <w:t>վորմանն</w:t>
      </w:r>
      <w:r w:rsidRPr="00EF6F81">
        <w:rPr>
          <w:lang w:val="es-ES"/>
        </w:rPr>
        <w:t xml:space="preserve"> </w:t>
      </w:r>
      <w:r w:rsidRPr="00EF6F81">
        <w:t>ուղղվող</w:t>
      </w:r>
      <w:r w:rsidRPr="00EF6F81">
        <w:rPr>
          <w:lang w:val="es-ES"/>
        </w:rPr>
        <w:t xml:space="preserve"> </w:t>
      </w:r>
      <w:r w:rsidRPr="00EF6F81">
        <w:t>միջոց</w:t>
      </w:r>
      <w:r w:rsidRPr="00EF6F81">
        <w:rPr>
          <w:lang w:val="es-ES"/>
        </w:rPr>
        <w:softHyphen/>
      </w:r>
      <w:r w:rsidRPr="00EF6F81">
        <w:t>ները</w:t>
      </w:r>
      <w:r w:rsidRPr="00EF6F81">
        <w:rPr>
          <w:lang w:val="es-ES"/>
        </w:rPr>
        <w:t xml:space="preserve">: </w:t>
      </w:r>
    </w:p>
    <w:p w:rsidR="008B2220" w:rsidRDefault="008B2220" w:rsidP="007730AA">
      <w:pPr>
        <w:pStyle w:val="BodyText2"/>
        <w:ind w:left="0"/>
        <w:rPr>
          <w:lang w:val="es-ES"/>
        </w:rPr>
      </w:pPr>
      <w:r w:rsidRPr="00CE1547">
        <w:t>Համաձայն</w:t>
      </w:r>
      <w:r w:rsidRPr="00CE1547">
        <w:rPr>
          <w:lang w:val="es-ES"/>
        </w:rPr>
        <w:t xml:space="preserve"> </w:t>
      </w:r>
      <w:r w:rsidRPr="00CE1547">
        <w:t>կանխատեսումների</w:t>
      </w:r>
      <w:r w:rsidRPr="00CE1547">
        <w:rPr>
          <w:lang w:val="es-ES"/>
        </w:rPr>
        <w:t xml:space="preserve">, </w:t>
      </w:r>
      <w:r w:rsidRPr="00CE1547">
        <w:t>ծրագրային</w:t>
      </w:r>
      <w:r w:rsidRPr="00CE1547">
        <w:rPr>
          <w:lang w:val="es-ES"/>
        </w:rPr>
        <w:t xml:space="preserve"> </w:t>
      </w:r>
      <w:r w:rsidRPr="00CE1547">
        <w:t>ժամանակահատվածում</w:t>
      </w:r>
      <w:r w:rsidRPr="00CE1547">
        <w:rPr>
          <w:lang w:val="es-ES"/>
        </w:rPr>
        <w:t xml:space="preserve">, </w:t>
      </w:r>
      <w:r w:rsidRPr="00CE1547">
        <w:t>ի</w:t>
      </w:r>
      <w:r w:rsidRPr="00CE1547">
        <w:rPr>
          <w:lang w:val="es-ES"/>
        </w:rPr>
        <w:t xml:space="preserve"> </w:t>
      </w:r>
      <w:r w:rsidRPr="00CE1547">
        <w:t>տարբե</w:t>
      </w:r>
      <w:r w:rsidRPr="00CE1547">
        <w:rPr>
          <w:lang w:val="es-ES"/>
        </w:rPr>
        <w:softHyphen/>
      </w:r>
      <w:r w:rsidRPr="00CE1547">
        <w:t>րու</w:t>
      </w:r>
      <w:r w:rsidRPr="00CE1547">
        <w:rPr>
          <w:lang w:val="es-ES"/>
        </w:rPr>
        <w:softHyphen/>
      </w:r>
      <w:r w:rsidRPr="00CE1547">
        <w:t>թյուն</w:t>
      </w:r>
      <w:r w:rsidRPr="00CE1547">
        <w:rPr>
          <w:lang w:val="es-ES"/>
        </w:rPr>
        <w:t xml:space="preserve"> </w:t>
      </w:r>
      <w:r w:rsidRPr="00CE1547">
        <w:t>նախորդ</w:t>
      </w:r>
      <w:r w:rsidRPr="00CE1547">
        <w:rPr>
          <w:lang w:val="es-ES"/>
        </w:rPr>
        <w:t xml:space="preserve"> </w:t>
      </w:r>
      <w:r w:rsidRPr="00CE1547">
        <w:t>տարիների</w:t>
      </w:r>
      <w:r w:rsidRPr="00CE1547">
        <w:rPr>
          <w:lang w:val="es-ES"/>
        </w:rPr>
        <w:t xml:space="preserve">, </w:t>
      </w:r>
      <w:r w:rsidRPr="00CE1547">
        <w:t>արտաքին</w:t>
      </w:r>
      <w:r w:rsidRPr="00CE1547">
        <w:rPr>
          <w:lang w:val="es-ES"/>
        </w:rPr>
        <w:t xml:space="preserve"> </w:t>
      </w:r>
      <w:r w:rsidRPr="00CE1547">
        <w:t>օժան</w:t>
      </w:r>
      <w:r w:rsidRPr="00CE1547">
        <w:rPr>
          <w:lang w:val="es-ES"/>
        </w:rPr>
        <w:softHyphen/>
      </w:r>
      <w:r w:rsidRPr="00CE1547">
        <w:t>դա</w:t>
      </w:r>
      <w:r w:rsidRPr="00CE1547">
        <w:rPr>
          <w:lang w:val="es-ES"/>
        </w:rPr>
        <w:softHyphen/>
      </w:r>
      <w:r w:rsidRPr="00CE1547">
        <w:rPr>
          <w:lang w:val="es-ES"/>
        </w:rPr>
        <w:softHyphen/>
      </w:r>
      <w:r w:rsidRPr="00CE1547">
        <w:t>կության</w:t>
      </w:r>
      <w:r w:rsidRPr="00CE1547">
        <w:rPr>
          <w:lang w:val="es-ES"/>
        </w:rPr>
        <w:t xml:space="preserve"> </w:t>
      </w:r>
      <w:r w:rsidRPr="00CE1547">
        <w:t>կառուցվածքում</w:t>
      </w:r>
      <w:r w:rsidRPr="00CE1547">
        <w:rPr>
          <w:lang w:val="es-ES"/>
        </w:rPr>
        <w:t xml:space="preserve"> </w:t>
      </w:r>
      <w:r w:rsidRPr="00CE1547">
        <w:t>գերակշռելու</w:t>
      </w:r>
      <w:r w:rsidRPr="00CE1547">
        <w:rPr>
          <w:lang w:val="es-ES"/>
        </w:rPr>
        <w:t xml:space="preserve"> </w:t>
      </w:r>
      <w:r w:rsidRPr="00CE1547">
        <w:t>են</w:t>
      </w:r>
      <w:r w:rsidRPr="00CE1547">
        <w:rPr>
          <w:lang w:val="es-ES"/>
        </w:rPr>
        <w:t xml:space="preserve"> </w:t>
      </w:r>
      <w:r w:rsidRPr="00CE1547">
        <w:t>նպատա</w:t>
      </w:r>
      <w:r w:rsidRPr="00CE1547">
        <w:rPr>
          <w:lang w:val="es-ES"/>
        </w:rPr>
        <w:softHyphen/>
      </w:r>
      <w:r w:rsidRPr="00CE1547">
        <w:t>կային</w:t>
      </w:r>
      <w:r w:rsidRPr="00CE1547">
        <w:rPr>
          <w:lang w:val="es-ES"/>
        </w:rPr>
        <w:t xml:space="preserve"> </w:t>
      </w:r>
      <w:r w:rsidRPr="00CE1547">
        <w:t>ծրագրերի</w:t>
      </w:r>
      <w:r w:rsidRPr="00CE1547">
        <w:rPr>
          <w:lang w:val="es-ES"/>
        </w:rPr>
        <w:t xml:space="preserve"> </w:t>
      </w:r>
      <w:r w:rsidRPr="00CE1547">
        <w:t>ֆինանսավորման</w:t>
      </w:r>
      <w:r w:rsidRPr="00CE1547">
        <w:rPr>
          <w:lang w:val="es-ES"/>
        </w:rPr>
        <w:t xml:space="preserve"> </w:t>
      </w:r>
      <w:r w:rsidRPr="00CE1547">
        <w:t>համար</w:t>
      </w:r>
      <w:r w:rsidRPr="00CE1547">
        <w:rPr>
          <w:lang w:val="es-ES"/>
        </w:rPr>
        <w:t xml:space="preserve"> </w:t>
      </w:r>
      <w:r w:rsidRPr="00CE1547">
        <w:t>նախատեսված</w:t>
      </w:r>
      <w:r w:rsidRPr="00CE1547">
        <w:rPr>
          <w:lang w:val="es-ES"/>
        </w:rPr>
        <w:t xml:space="preserve"> </w:t>
      </w:r>
      <w:r w:rsidRPr="00CE1547">
        <w:t>բյուջետային</w:t>
      </w:r>
      <w:r w:rsidRPr="00CE1547">
        <w:rPr>
          <w:lang w:val="es-ES"/>
        </w:rPr>
        <w:t xml:space="preserve"> </w:t>
      </w:r>
      <w:r w:rsidRPr="00CE1547">
        <w:t>աջակցության</w:t>
      </w:r>
      <w:r w:rsidRPr="00CE1547">
        <w:rPr>
          <w:lang w:val="es-ES"/>
        </w:rPr>
        <w:t xml:space="preserve"> </w:t>
      </w:r>
      <w:r w:rsidRPr="00CE1547">
        <w:t>պաշ</w:t>
      </w:r>
      <w:r w:rsidRPr="00CE1547">
        <w:rPr>
          <w:lang w:val="es-ES"/>
        </w:rPr>
        <w:softHyphen/>
      </w:r>
      <w:r w:rsidRPr="00CE1547">
        <w:t>տո</w:t>
      </w:r>
      <w:r w:rsidRPr="00CE1547">
        <w:rPr>
          <w:lang w:val="es-ES"/>
        </w:rPr>
        <w:softHyphen/>
      </w:r>
      <w:r w:rsidRPr="00CE1547">
        <w:t>նա</w:t>
      </w:r>
      <w:r w:rsidRPr="00CE1547">
        <w:rPr>
          <w:lang w:val="es-ES"/>
        </w:rPr>
        <w:softHyphen/>
      </w:r>
      <w:r w:rsidRPr="00CE1547">
        <w:t>կան</w:t>
      </w:r>
      <w:r w:rsidRPr="00CE1547">
        <w:rPr>
          <w:lang w:val="es-ES"/>
        </w:rPr>
        <w:t xml:space="preserve"> </w:t>
      </w:r>
      <w:r w:rsidRPr="00CE1547">
        <w:t>դրամաշնորհներն</w:t>
      </w:r>
      <w:r w:rsidRPr="00CE1547">
        <w:rPr>
          <w:lang w:val="es-ES"/>
        </w:rPr>
        <w:t xml:space="preserve"> </w:t>
      </w:r>
      <w:r w:rsidRPr="00CE1547">
        <w:t>ու</w:t>
      </w:r>
      <w:r w:rsidRPr="00CE1547">
        <w:rPr>
          <w:lang w:val="es-ES"/>
        </w:rPr>
        <w:t xml:space="preserve"> </w:t>
      </w:r>
      <w:r w:rsidRPr="00CE1547">
        <w:t>վարկ</w:t>
      </w:r>
      <w:r w:rsidRPr="00472C29">
        <w:t>երը</w:t>
      </w:r>
      <w:r w:rsidRPr="00472C29">
        <w:rPr>
          <w:lang w:val="es-ES"/>
        </w:rPr>
        <w:t xml:space="preserve"> (98.7%):</w:t>
      </w:r>
    </w:p>
    <w:p w:rsidR="0011656D" w:rsidRPr="008B2220" w:rsidRDefault="0011656D" w:rsidP="007730AA">
      <w:pPr>
        <w:pStyle w:val="BodyText2"/>
        <w:ind w:left="0"/>
        <w:rPr>
          <w:lang w:val="es-ES"/>
        </w:rPr>
      </w:pPr>
    </w:p>
    <w:p w:rsidR="00D379EC" w:rsidRPr="00D02A2D" w:rsidRDefault="00D02A2D" w:rsidP="007730AA">
      <w:pPr>
        <w:pStyle w:val="Caption"/>
        <w:spacing w:before="0" w:after="0"/>
        <w:rPr>
          <w:lang w:val="es-ES"/>
        </w:rPr>
      </w:pPr>
      <w:bookmarkStart w:id="163" w:name="_Ref497916450"/>
      <w:bookmarkStart w:id="164" w:name="_Toc525773066"/>
      <w:bookmarkStart w:id="165" w:name="_Toc20590406"/>
      <w:bookmarkStart w:id="166" w:name="_Toc57631753"/>
      <w:bookmarkEnd w:id="161"/>
      <w:r w:rsidRPr="00A95E22">
        <w:rPr>
          <w:lang w:val="hy-AM"/>
        </w:rPr>
        <w:t>Աղյուսակ</w:t>
      </w:r>
      <w:r w:rsidRPr="00D02A2D">
        <w:rPr>
          <w:lang w:val="es-ES"/>
        </w:rPr>
        <w:t xml:space="preserve"> </w:t>
      </w:r>
      <w:r w:rsidR="003C3925">
        <w:fldChar w:fldCharType="begin"/>
      </w:r>
      <w:r w:rsidRPr="00D02A2D">
        <w:rPr>
          <w:lang w:val="es-ES"/>
        </w:rPr>
        <w:instrText xml:space="preserve"> SEQ </w:instrText>
      </w:r>
      <w:r w:rsidRPr="00A95E22">
        <w:rPr>
          <w:lang w:val="hy-AM"/>
        </w:rPr>
        <w:instrText>Աղյուսակ</w:instrText>
      </w:r>
      <w:r w:rsidRPr="00D02A2D">
        <w:rPr>
          <w:lang w:val="es-ES"/>
        </w:rPr>
        <w:instrText xml:space="preserve"> \* ARABIC </w:instrText>
      </w:r>
      <w:r w:rsidR="003C3925">
        <w:fldChar w:fldCharType="separate"/>
      </w:r>
      <w:r w:rsidR="007E790B">
        <w:rPr>
          <w:noProof/>
          <w:lang w:val="es-ES"/>
        </w:rPr>
        <w:t>2</w:t>
      </w:r>
      <w:r w:rsidR="003C3925">
        <w:fldChar w:fldCharType="end"/>
      </w:r>
      <w:r w:rsidR="00A2480A">
        <w:rPr>
          <w:rFonts w:ascii="Cambria Math" w:hAnsi="Cambria Math"/>
          <w:lang w:val="hy-AM"/>
        </w:rPr>
        <w:t>․</w:t>
      </w:r>
      <w:r w:rsidRPr="00A2480A">
        <w:rPr>
          <w:b/>
          <w:i/>
          <w:sz w:val="20"/>
          <w:szCs w:val="20"/>
          <w:lang w:val="hy-AM"/>
        </w:rPr>
        <w:t xml:space="preserve"> </w:t>
      </w:r>
      <w:r w:rsidR="00116E97" w:rsidRPr="00A2480A">
        <w:rPr>
          <w:b/>
          <w:i/>
          <w:sz w:val="20"/>
          <w:szCs w:val="20"/>
          <w:lang w:val="hy-AM"/>
        </w:rPr>
        <w:t>202</w:t>
      </w:r>
      <w:r w:rsidR="00CE1547" w:rsidRPr="00A2480A">
        <w:rPr>
          <w:b/>
          <w:i/>
          <w:sz w:val="20"/>
          <w:szCs w:val="20"/>
          <w:lang w:val="hy-AM"/>
        </w:rPr>
        <w:t>1</w:t>
      </w:r>
      <w:r w:rsidR="00D379EC" w:rsidRPr="00A2480A">
        <w:rPr>
          <w:b/>
          <w:i/>
          <w:sz w:val="20"/>
          <w:szCs w:val="20"/>
          <w:lang w:val="hy-AM"/>
        </w:rPr>
        <w:t>թ ակնկալվող արտաքին օժանդակությունն ըստ բնույթի</w:t>
      </w:r>
      <w:bookmarkEnd w:id="163"/>
      <w:bookmarkEnd w:id="164"/>
      <w:bookmarkEnd w:id="165"/>
      <w:bookmarkEnd w:id="166"/>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997"/>
        <w:gridCol w:w="1583"/>
        <w:gridCol w:w="3241"/>
      </w:tblGrid>
      <w:tr w:rsidR="00D379EC" w:rsidRPr="00130243" w:rsidTr="00FE7AE9">
        <w:trPr>
          <w:trHeight w:val="551"/>
        </w:trPr>
        <w:tc>
          <w:tcPr>
            <w:tcW w:w="2544" w:type="pct"/>
            <w:shd w:val="clear" w:color="auto" w:fill="548DD4" w:themeFill="text2" w:themeFillTint="99"/>
            <w:noWrap/>
            <w:tcMar>
              <w:top w:w="0" w:type="dxa"/>
              <w:left w:w="57" w:type="dxa"/>
              <w:bottom w:w="0" w:type="dxa"/>
              <w:right w:w="113" w:type="dxa"/>
            </w:tcMar>
            <w:vAlign w:val="center"/>
          </w:tcPr>
          <w:bookmarkEnd w:id="162"/>
          <w:p w:rsidR="00D379EC" w:rsidRPr="0011656D" w:rsidRDefault="00D379EC" w:rsidP="007730AA">
            <w:pPr>
              <w:pStyle w:val="1fa"/>
              <w:spacing w:line="276" w:lineRule="auto"/>
              <w:rPr>
                <w:b/>
                <w:color w:val="FFFFFF" w:themeColor="background1"/>
                <w:szCs w:val="20"/>
              </w:rPr>
            </w:pPr>
            <w:r w:rsidRPr="0011656D">
              <w:rPr>
                <w:b/>
                <w:color w:val="FFFFFF" w:themeColor="background1"/>
                <w:szCs w:val="20"/>
              </w:rPr>
              <w:t>Ցուցանիշներ</w:t>
            </w:r>
          </w:p>
        </w:tc>
        <w:tc>
          <w:tcPr>
            <w:tcW w:w="806" w:type="pct"/>
            <w:shd w:val="clear" w:color="auto" w:fill="548DD4" w:themeFill="text2" w:themeFillTint="99"/>
            <w:vAlign w:val="center"/>
          </w:tcPr>
          <w:p w:rsidR="00D379EC" w:rsidRPr="0011656D" w:rsidRDefault="00D379EC" w:rsidP="007730AA">
            <w:pPr>
              <w:pStyle w:val="1fa"/>
              <w:spacing w:line="276" w:lineRule="auto"/>
              <w:rPr>
                <w:b/>
                <w:color w:val="FFFFFF" w:themeColor="background1"/>
                <w:szCs w:val="20"/>
              </w:rPr>
            </w:pPr>
            <w:r w:rsidRPr="0011656D">
              <w:rPr>
                <w:b/>
                <w:color w:val="FFFFFF" w:themeColor="background1"/>
                <w:szCs w:val="20"/>
              </w:rPr>
              <w:t>Գումարը (մլրդ դրամներով)</w:t>
            </w:r>
          </w:p>
        </w:tc>
        <w:tc>
          <w:tcPr>
            <w:tcW w:w="1650" w:type="pct"/>
            <w:shd w:val="clear" w:color="auto" w:fill="548DD4" w:themeFill="text2" w:themeFillTint="99"/>
            <w:vAlign w:val="center"/>
          </w:tcPr>
          <w:p w:rsidR="00D379EC" w:rsidRPr="0011656D" w:rsidRDefault="00D379EC" w:rsidP="007730AA">
            <w:pPr>
              <w:pStyle w:val="1fa"/>
              <w:spacing w:line="276" w:lineRule="auto"/>
              <w:rPr>
                <w:b/>
                <w:color w:val="FFFFFF" w:themeColor="background1"/>
                <w:szCs w:val="20"/>
              </w:rPr>
            </w:pPr>
            <w:r w:rsidRPr="0011656D">
              <w:rPr>
                <w:b/>
                <w:color w:val="FFFFFF" w:themeColor="background1"/>
                <w:szCs w:val="20"/>
              </w:rPr>
              <w:t>Տեսակարար կշիռը արտաքին օժան</w:t>
            </w:r>
            <w:r w:rsidRPr="0011656D">
              <w:rPr>
                <w:b/>
                <w:color w:val="FFFFFF" w:themeColor="background1"/>
                <w:szCs w:val="20"/>
              </w:rPr>
              <w:softHyphen/>
              <w:t>դա</w:t>
            </w:r>
            <w:r w:rsidRPr="0011656D">
              <w:rPr>
                <w:b/>
                <w:color w:val="FFFFFF" w:themeColor="background1"/>
                <w:szCs w:val="20"/>
              </w:rPr>
              <w:softHyphen/>
              <w:t>կութ</w:t>
            </w:r>
            <w:r w:rsidRPr="0011656D">
              <w:rPr>
                <w:b/>
                <w:color w:val="FFFFFF" w:themeColor="background1"/>
                <w:szCs w:val="20"/>
              </w:rPr>
              <w:softHyphen/>
              <w:t>յան ընդհանուր գումարում (%)</w:t>
            </w:r>
          </w:p>
        </w:tc>
      </w:tr>
      <w:tr w:rsidR="00D379EC" w:rsidRPr="00CE1547" w:rsidTr="0011656D">
        <w:tc>
          <w:tcPr>
            <w:tcW w:w="2544" w:type="pct"/>
            <w:shd w:val="clear" w:color="auto" w:fill="DBE5F1" w:themeFill="accent1" w:themeFillTint="33"/>
            <w:noWrap/>
            <w:tcMar>
              <w:top w:w="0" w:type="dxa"/>
              <w:left w:w="57" w:type="dxa"/>
              <w:bottom w:w="0" w:type="dxa"/>
              <w:right w:w="113" w:type="dxa"/>
            </w:tcMar>
          </w:tcPr>
          <w:p w:rsidR="00D379EC" w:rsidRPr="00CE1547" w:rsidRDefault="00D379EC" w:rsidP="007730AA">
            <w:pPr>
              <w:pStyle w:val="1fa"/>
              <w:spacing w:line="276" w:lineRule="auto"/>
              <w:jc w:val="left"/>
              <w:rPr>
                <w:b/>
                <w:color w:val="auto"/>
                <w:szCs w:val="20"/>
              </w:rPr>
            </w:pPr>
            <w:r w:rsidRPr="00CE1547">
              <w:rPr>
                <w:color w:val="auto"/>
                <w:szCs w:val="20"/>
              </w:rPr>
              <w:t>1.</w:t>
            </w:r>
            <w:r w:rsidR="007705D1" w:rsidRPr="00CE1547">
              <w:rPr>
                <w:color w:val="auto"/>
                <w:szCs w:val="20"/>
              </w:rPr>
              <w:t xml:space="preserve"> </w:t>
            </w:r>
            <w:r w:rsidRPr="00CE1547">
              <w:rPr>
                <w:rFonts w:cs="Arial"/>
                <w:color w:val="auto"/>
                <w:szCs w:val="20"/>
              </w:rPr>
              <w:t>Ընդհանուր</w:t>
            </w:r>
            <w:r w:rsidRPr="00CE1547">
              <w:rPr>
                <w:color w:val="auto"/>
                <w:szCs w:val="20"/>
              </w:rPr>
              <w:t xml:space="preserve"> </w:t>
            </w:r>
            <w:r w:rsidRPr="00CE1547">
              <w:rPr>
                <w:rFonts w:cs="Arial"/>
                <w:color w:val="auto"/>
                <w:szCs w:val="20"/>
              </w:rPr>
              <w:t>բնույթի</w:t>
            </w:r>
            <w:r w:rsidRPr="00CE1547">
              <w:rPr>
                <w:color w:val="auto"/>
                <w:szCs w:val="20"/>
              </w:rPr>
              <w:t xml:space="preserve"> </w:t>
            </w:r>
            <w:r w:rsidRPr="00CE1547">
              <w:rPr>
                <w:rFonts w:cs="Arial"/>
                <w:color w:val="auto"/>
                <w:szCs w:val="20"/>
              </w:rPr>
              <w:t>բյուջետային</w:t>
            </w:r>
            <w:r w:rsidRPr="00CE1547">
              <w:rPr>
                <w:color w:val="auto"/>
                <w:szCs w:val="20"/>
              </w:rPr>
              <w:t xml:space="preserve"> </w:t>
            </w:r>
            <w:r w:rsidRPr="00CE1547">
              <w:rPr>
                <w:rFonts w:cs="Arial"/>
                <w:color w:val="auto"/>
                <w:szCs w:val="20"/>
              </w:rPr>
              <w:t>օժանդակություն</w:t>
            </w:r>
          </w:p>
        </w:tc>
        <w:tc>
          <w:tcPr>
            <w:tcW w:w="806" w:type="pct"/>
            <w:shd w:val="clear" w:color="auto" w:fill="DBE5F1" w:themeFill="accent1" w:themeFillTint="33"/>
            <w:vAlign w:val="center"/>
          </w:tcPr>
          <w:p w:rsidR="00D379EC" w:rsidRPr="00472C29" w:rsidRDefault="00471BB8" w:rsidP="007730AA">
            <w:pPr>
              <w:pStyle w:val="1fa"/>
              <w:spacing w:line="276" w:lineRule="auto"/>
              <w:rPr>
                <w:color w:val="auto"/>
                <w:szCs w:val="20"/>
              </w:rPr>
            </w:pPr>
            <w:r w:rsidRPr="00472C29">
              <w:rPr>
                <w:color w:val="auto"/>
                <w:szCs w:val="20"/>
              </w:rPr>
              <w:t>1.7</w:t>
            </w:r>
          </w:p>
        </w:tc>
        <w:tc>
          <w:tcPr>
            <w:tcW w:w="1650" w:type="pct"/>
            <w:shd w:val="clear" w:color="auto" w:fill="DBE5F1" w:themeFill="accent1" w:themeFillTint="33"/>
            <w:vAlign w:val="center"/>
          </w:tcPr>
          <w:p w:rsidR="00CE1547" w:rsidRPr="00472C29" w:rsidRDefault="00472C29" w:rsidP="007730AA">
            <w:pPr>
              <w:pStyle w:val="1fa"/>
              <w:spacing w:line="276" w:lineRule="auto"/>
              <w:rPr>
                <w:color w:val="auto"/>
                <w:szCs w:val="20"/>
              </w:rPr>
            </w:pPr>
            <w:r w:rsidRPr="00472C29">
              <w:rPr>
                <w:color w:val="auto"/>
                <w:szCs w:val="20"/>
              </w:rPr>
              <w:t>1</w:t>
            </w:r>
            <w:r w:rsidR="001E4747" w:rsidRPr="00472C29">
              <w:rPr>
                <w:color w:val="auto"/>
                <w:szCs w:val="20"/>
              </w:rPr>
              <w:t>.</w:t>
            </w:r>
            <w:r w:rsidRPr="00472C29">
              <w:rPr>
                <w:color w:val="auto"/>
                <w:szCs w:val="20"/>
              </w:rPr>
              <w:t>3</w:t>
            </w:r>
          </w:p>
        </w:tc>
      </w:tr>
      <w:tr w:rsidR="00D379EC" w:rsidRPr="00CE1547" w:rsidTr="00E31E26">
        <w:tc>
          <w:tcPr>
            <w:tcW w:w="2544" w:type="pct"/>
            <w:noWrap/>
            <w:tcMar>
              <w:top w:w="0" w:type="dxa"/>
              <w:left w:w="57" w:type="dxa"/>
              <w:bottom w:w="0" w:type="dxa"/>
              <w:right w:w="113" w:type="dxa"/>
            </w:tcMar>
          </w:tcPr>
          <w:p w:rsidR="00D379EC" w:rsidRPr="00CE1547" w:rsidRDefault="00D379EC" w:rsidP="007730AA">
            <w:pPr>
              <w:pStyle w:val="1fa"/>
              <w:spacing w:line="276" w:lineRule="auto"/>
              <w:jc w:val="left"/>
              <w:rPr>
                <w:color w:val="auto"/>
                <w:szCs w:val="20"/>
              </w:rPr>
            </w:pPr>
            <w:r w:rsidRPr="00CE1547">
              <w:rPr>
                <w:color w:val="auto"/>
                <w:szCs w:val="20"/>
              </w:rPr>
              <w:t>1.1 Պաշտոնական դրամաշնորհներ</w:t>
            </w:r>
          </w:p>
        </w:tc>
        <w:tc>
          <w:tcPr>
            <w:tcW w:w="806" w:type="pct"/>
            <w:vAlign w:val="center"/>
          </w:tcPr>
          <w:p w:rsidR="00D379EC" w:rsidRPr="00472C29" w:rsidRDefault="00471BB8" w:rsidP="007730AA">
            <w:pPr>
              <w:pStyle w:val="1fa"/>
              <w:spacing w:line="276" w:lineRule="auto"/>
              <w:rPr>
                <w:color w:val="auto"/>
                <w:szCs w:val="20"/>
              </w:rPr>
            </w:pPr>
            <w:r w:rsidRPr="00472C29">
              <w:rPr>
                <w:color w:val="auto"/>
                <w:szCs w:val="20"/>
              </w:rPr>
              <w:t>1.7</w:t>
            </w:r>
          </w:p>
        </w:tc>
        <w:tc>
          <w:tcPr>
            <w:tcW w:w="1650" w:type="pct"/>
            <w:vAlign w:val="center"/>
          </w:tcPr>
          <w:p w:rsidR="00D379EC" w:rsidRPr="00472C29" w:rsidRDefault="00015BFA" w:rsidP="007730AA">
            <w:pPr>
              <w:pStyle w:val="1fa"/>
              <w:spacing w:line="276" w:lineRule="auto"/>
              <w:rPr>
                <w:color w:val="auto"/>
                <w:szCs w:val="20"/>
              </w:rPr>
            </w:pPr>
            <w:r w:rsidRPr="00472C29">
              <w:rPr>
                <w:color w:val="auto"/>
                <w:szCs w:val="20"/>
              </w:rPr>
              <w:t>X</w:t>
            </w:r>
          </w:p>
        </w:tc>
      </w:tr>
      <w:tr w:rsidR="00D379EC" w:rsidRPr="00CE1547" w:rsidTr="0011656D">
        <w:trPr>
          <w:trHeight w:val="291"/>
        </w:trPr>
        <w:tc>
          <w:tcPr>
            <w:tcW w:w="2544" w:type="pct"/>
            <w:shd w:val="clear" w:color="auto" w:fill="DBE5F1" w:themeFill="accent1" w:themeFillTint="33"/>
            <w:noWrap/>
            <w:tcMar>
              <w:top w:w="0" w:type="dxa"/>
              <w:left w:w="57" w:type="dxa"/>
              <w:bottom w:w="0" w:type="dxa"/>
              <w:right w:w="113" w:type="dxa"/>
            </w:tcMar>
          </w:tcPr>
          <w:p w:rsidR="00D379EC" w:rsidRPr="00CE1547" w:rsidRDefault="00D379EC" w:rsidP="007730AA">
            <w:pPr>
              <w:pStyle w:val="1fa"/>
              <w:spacing w:line="276" w:lineRule="auto"/>
              <w:jc w:val="left"/>
              <w:rPr>
                <w:b/>
                <w:color w:val="auto"/>
                <w:szCs w:val="20"/>
              </w:rPr>
            </w:pPr>
            <w:r w:rsidRPr="00CE1547">
              <w:rPr>
                <w:color w:val="auto"/>
                <w:szCs w:val="20"/>
              </w:rPr>
              <w:t>2. Ծրագրային (նպատակային) օժանդակություն</w:t>
            </w:r>
          </w:p>
        </w:tc>
        <w:tc>
          <w:tcPr>
            <w:tcW w:w="806" w:type="pct"/>
            <w:shd w:val="clear" w:color="auto" w:fill="DBE5F1" w:themeFill="accent1" w:themeFillTint="33"/>
            <w:vAlign w:val="center"/>
          </w:tcPr>
          <w:p w:rsidR="00D379EC" w:rsidRPr="00472C29" w:rsidRDefault="00423DAC" w:rsidP="007730AA">
            <w:pPr>
              <w:pStyle w:val="1fa"/>
              <w:spacing w:line="276" w:lineRule="auto"/>
              <w:rPr>
                <w:color w:val="auto"/>
                <w:szCs w:val="20"/>
              </w:rPr>
            </w:pPr>
            <w:r w:rsidRPr="00472C29">
              <w:rPr>
                <w:color w:val="auto"/>
                <w:szCs w:val="20"/>
              </w:rPr>
              <w:t>1</w:t>
            </w:r>
            <w:r w:rsidR="00471BB8" w:rsidRPr="00472C29">
              <w:rPr>
                <w:color w:val="auto"/>
                <w:szCs w:val="20"/>
              </w:rPr>
              <w:t>2</w:t>
            </w:r>
            <w:r w:rsidR="00472C29" w:rsidRPr="00472C29">
              <w:rPr>
                <w:color w:val="auto"/>
                <w:szCs w:val="20"/>
              </w:rPr>
              <w:t>5</w:t>
            </w:r>
            <w:r w:rsidRPr="00472C29">
              <w:rPr>
                <w:color w:val="auto"/>
                <w:szCs w:val="20"/>
              </w:rPr>
              <w:t>.</w:t>
            </w:r>
            <w:r w:rsidR="00472C29" w:rsidRPr="00472C29">
              <w:rPr>
                <w:color w:val="auto"/>
                <w:szCs w:val="20"/>
              </w:rPr>
              <w:t>4</w:t>
            </w:r>
          </w:p>
        </w:tc>
        <w:tc>
          <w:tcPr>
            <w:tcW w:w="1650" w:type="pct"/>
            <w:shd w:val="clear" w:color="auto" w:fill="DBE5F1" w:themeFill="accent1" w:themeFillTint="33"/>
            <w:vAlign w:val="center"/>
          </w:tcPr>
          <w:p w:rsidR="00D379EC" w:rsidRPr="00472C29" w:rsidRDefault="006E2163" w:rsidP="007730AA">
            <w:pPr>
              <w:pStyle w:val="1fa"/>
              <w:spacing w:line="276" w:lineRule="auto"/>
              <w:rPr>
                <w:color w:val="auto"/>
                <w:szCs w:val="20"/>
              </w:rPr>
            </w:pPr>
            <w:r w:rsidRPr="00472C29">
              <w:rPr>
                <w:color w:val="auto"/>
                <w:szCs w:val="20"/>
              </w:rPr>
              <w:t>9</w:t>
            </w:r>
            <w:r w:rsidR="00471BB8" w:rsidRPr="00472C29">
              <w:rPr>
                <w:color w:val="auto"/>
                <w:szCs w:val="20"/>
              </w:rPr>
              <w:t>8.</w:t>
            </w:r>
            <w:r w:rsidR="00472C29" w:rsidRPr="00472C29">
              <w:rPr>
                <w:color w:val="auto"/>
                <w:szCs w:val="20"/>
              </w:rPr>
              <w:t>7</w:t>
            </w:r>
          </w:p>
        </w:tc>
      </w:tr>
      <w:tr w:rsidR="00D379EC" w:rsidRPr="00CE1547" w:rsidTr="00E31E26">
        <w:tc>
          <w:tcPr>
            <w:tcW w:w="2544" w:type="pct"/>
            <w:noWrap/>
            <w:tcMar>
              <w:top w:w="0" w:type="dxa"/>
              <w:left w:w="57" w:type="dxa"/>
              <w:bottom w:w="0" w:type="dxa"/>
              <w:right w:w="113" w:type="dxa"/>
            </w:tcMar>
          </w:tcPr>
          <w:p w:rsidR="00D379EC" w:rsidRPr="00CE1547" w:rsidRDefault="00D379EC" w:rsidP="007730AA">
            <w:pPr>
              <w:pStyle w:val="1fa"/>
              <w:spacing w:line="276" w:lineRule="auto"/>
              <w:jc w:val="left"/>
              <w:rPr>
                <w:color w:val="auto"/>
                <w:szCs w:val="20"/>
              </w:rPr>
            </w:pPr>
            <w:r w:rsidRPr="00CE1547">
              <w:rPr>
                <w:color w:val="auto"/>
                <w:szCs w:val="20"/>
              </w:rPr>
              <w:t>2.1 Պաշտոնական դրամաշնորհներ</w:t>
            </w:r>
          </w:p>
        </w:tc>
        <w:tc>
          <w:tcPr>
            <w:tcW w:w="806" w:type="pct"/>
            <w:vAlign w:val="center"/>
          </w:tcPr>
          <w:p w:rsidR="00D379EC" w:rsidRPr="00472C29" w:rsidRDefault="000902F4" w:rsidP="007730AA">
            <w:pPr>
              <w:pStyle w:val="1fa"/>
              <w:spacing w:line="276" w:lineRule="auto"/>
              <w:rPr>
                <w:color w:val="auto"/>
                <w:szCs w:val="20"/>
              </w:rPr>
            </w:pPr>
            <w:r w:rsidRPr="00472C29">
              <w:rPr>
                <w:color w:val="auto"/>
                <w:szCs w:val="20"/>
              </w:rPr>
              <w:t>22.6</w:t>
            </w:r>
          </w:p>
        </w:tc>
        <w:tc>
          <w:tcPr>
            <w:tcW w:w="1650" w:type="pct"/>
            <w:vAlign w:val="center"/>
          </w:tcPr>
          <w:p w:rsidR="00D379EC" w:rsidRPr="00472C29" w:rsidRDefault="00015BFA" w:rsidP="007730AA">
            <w:pPr>
              <w:pStyle w:val="1fa"/>
              <w:spacing w:line="276" w:lineRule="auto"/>
              <w:rPr>
                <w:color w:val="auto"/>
                <w:szCs w:val="20"/>
              </w:rPr>
            </w:pPr>
            <w:r w:rsidRPr="00472C29">
              <w:rPr>
                <w:color w:val="auto"/>
                <w:szCs w:val="20"/>
              </w:rPr>
              <w:t>X</w:t>
            </w:r>
          </w:p>
        </w:tc>
      </w:tr>
      <w:tr w:rsidR="00D379EC" w:rsidRPr="00CE1547" w:rsidTr="00E31E26">
        <w:trPr>
          <w:trHeight w:val="244"/>
        </w:trPr>
        <w:tc>
          <w:tcPr>
            <w:tcW w:w="2544" w:type="pct"/>
            <w:tcBorders>
              <w:bottom w:val="single" w:sz="6" w:space="0" w:color="auto"/>
            </w:tcBorders>
            <w:noWrap/>
            <w:tcMar>
              <w:top w:w="0" w:type="dxa"/>
              <w:left w:w="57" w:type="dxa"/>
              <w:bottom w:w="0" w:type="dxa"/>
              <w:right w:w="113" w:type="dxa"/>
            </w:tcMar>
          </w:tcPr>
          <w:p w:rsidR="00D379EC" w:rsidRPr="00CE1547" w:rsidRDefault="00D379EC" w:rsidP="007730AA">
            <w:pPr>
              <w:pStyle w:val="1fa"/>
              <w:spacing w:line="276" w:lineRule="auto"/>
              <w:jc w:val="left"/>
              <w:rPr>
                <w:color w:val="auto"/>
                <w:szCs w:val="20"/>
              </w:rPr>
            </w:pPr>
            <w:r w:rsidRPr="00CE1547">
              <w:rPr>
                <w:color w:val="auto"/>
                <w:szCs w:val="20"/>
              </w:rPr>
              <w:t>2.2 Վարկեր</w:t>
            </w:r>
          </w:p>
        </w:tc>
        <w:tc>
          <w:tcPr>
            <w:tcW w:w="806" w:type="pct"/>
            <w:tcBorders>
              <w:bottom w:val="single" w:sz="6" w:space="0" w:color="auto"/>
            </w:tcBorders>
            <w:vAlign w:val="center"/>
          </w:tcPr>
          <w:p w:rsidR="00D379EC" w:rsidRPr="00472C29" w:rsidRDefault="00471BB8" w:rsidP="007730AA">
            <w:pPr>
              <w:pStyle w:val="1fa"/>
              <w:spacing w:line="276" w:lineRule="auto"/>
              <w:rPr>
                <w:color w:val="auto"/>
                <w:szCs w:val="20"/>
              </w:rPr>
            </w:pPr>
            <w:r w:rsidRPr="00472C29">
              <w:rPr>
                <w:color w:val="auto"/>
                <w:szCs w:val="20"/>
              </w:rPr>
              <w:t>102</w:t>
            </w:r>
            <w:r w:rsidR="002049F3" w:rsidRPr="00472C29">
              <w:rPr>
                <w:color w:val="auto"/>
                <w:szCs w:val="20"/>
              </w:rPr>
              <w:t>.</w:t>
            </w:r>
            <w:r w:rsidR="00472C29" w:rsidRPr="00472C29">
              <w:rPr>
                <w:color w:val="auto"/>
                <w:szCs w:val="20"/>
              </w:rPr>
              <w:t>8</w:t>
            </w:r>
          </w:p>
        </w:tc>
        <w:tc>
          <w:tcPr>
            <w:tcW w:w="1650" w:type="pct"/>
            <w:tcBorders>
              <w:bottom w:val="single" w:sz="6" w:space="0" w:color="auto"/>
            </w:tcBorders>
            <w:vAlign w:val="center"/>
          </w:tcPr>
          <w:p w:rsidR="00D379EC" w:rsidRPr="00472C29" w:rsidRDefault="00015BFA" w:rsidP="007730AA">
            <w:pPr>
              <w:pStyle w:val="1fa"/>
              <w:spacing w:line="276" w:lineRule="auto"/>
              <w:rPr>
                <w:color w:val="auto"/>
                <w:szCs w:val="20"/>
              </w:rPr>
            </w:pPr>
            <w:r w:rsidRPr="00472C29">
              <w:rPr>
                <w:color w:val="auto"/>
                <w:szCs w:val="20"/>
              </w:rPr>
              <w:t>X</w:t>
            </w:r>
          </w:p>
        </w:tc>
      </w:tr>
      <w:tr w:rsidR="00D379EC" w:rsidRPr="00CE1547" w:rsidTr="0011656D">
        <w:tc>
          <w:tcPr>
            <w:tcW w:w="2544" w:type="pct"/>
            <w:shd w:val="clear" w:color="auto" w:fill="DBE5F1" w:themeFill="accent1" w:themeFillTint="33"/>
            <w:noWrap/>
            <w:tcMar>
              <w:top w:w="0" w:type="dxa"/>
              <w:left w:w="57" w:type="dxa"/>
              <w:bottom w:w="0" w:type="dxa"/>
              <w:right w:w="113" w:type="dxa"/>
            </w:tcMar>
          </w:tcPr>
          <w:p w:rsidR="00D379EC" w:rsidRPr="00CE1547" w:rsidRDefault="00D379EC" w:rsidP="007730AA">
            <w:pPr>
              <w:pStyle w:val="1fa"/>
              <w:spacing w:line="276" w:lineRule="auto"/>
              <w:jc w:val="left"/>
              <w:rPr>
                <w:b/>
                <w:color w:val="auto"/>
                <w:szCs w:val="20"/>
              </w:rPr>
            </w:pPr>
            <w:r w:rsidRPr="00CE1547">
              <w:rPr>
                <w:color w:val="auto"/>
                <w:szCs w:val="20"/>
              </w:rPr>
              <w:t>Ընդամենը արտաքին օժանդակություն</w:t>
            </w:r>
          </w:p>
        </w:tc>
        <w:tc>
          <w:tcPr>
            <w:tcW w:w="806" w:type="pct"/>
            <w:shd w:val="clear" w:color="auto" w:fill="DBE5F1" w:themeFill="accent1" w:themeFillTint="33"/>
            <w:vAlign w:val="center"/>
          </w:tcPr>
          <w:p w:rsidR="00D379EC" w:rsidRPr="00472C29" w:rsidRDefault="00471BB8" w:rsidP="007730AA">
            <w:pPr>
              <w:pStyle w:val="1fa"/>
              <w:spacing w:line="276" w:lineRule="auto"/>
              <w:rPr>
                <w:color w:val="auto"/>
                <w:szCs w:val="20"/>
              </w:rPr>
            </w:pPr>
            <w:r w:rsidRPr="00472C29">
              <w:rPr>
                <w:color w:val="auto"/>
                <w:szCs w:val="20"/>
              </w:rPr>
              <w:t>1</w:t>
            </w:r>
            <w:r w:rsidR="00423DAC" w:rsidRPr="00472C29">
              <w:rPr>
                <w:color w:val="auto"/>
                <w:szCs w:val="20"/>
              </w:rPr>
              <w:t>2</w:t>
            </w:r>
            <w:r w:rsidR="00472C29" w:rsidRPr="00472C29">
              <w:rPr>
                <w:color w:val="auto"/>
                <w:szCs w:val="20"/>
              </w:rPr>
              <w:t>7</w:t>
            </w:r>
            <w:r w:rsidR="00423DAC" w:rsidRPr="00472C29">
              <w:rPr>
                <w:color w:val="auto"/>
                <w:szCs w:val="20"/>
              </w:rPr>
              <w:t>.</w:t>
            </w:r>
            <w:r w:rsidR="00472C29" w:rsidRPr="00472C29">
              <w:rPr>
                <w:color w:val="auto"/>
                <w:szCs w:val="20"/>
              </w:rPr>
              <w:t>1</w:t>
            </w:r>
          </w:p>
        </w:tc>
        <w:tc>
          <w:tcPr>
            <w:tcW w:w="1650" w:type="pct"/>
            <w:shd w:val="clear" w:color="auto" w:fill="DBE5F1" w:themeFill="accent1" w:themeFillTint="33"/>
            <w:vAlign w:val="center"/>
          </w:tcPr>
          <w:p w:rsidR="00D379EC" w:rsidRPr="00472C29" w:rsidRDefault="00D379EC" w:rsidP="007730AA">
            <w:pPr>
              <w:pStyle w:val="1fa"/>
              <w:spacing w:line="276" w:lineRule="auto"/>
              <w:rPr>
                <w:color w:val="auto"/>
                <w:szCs w:val="20"/>
              </w:rPr>
            </w:pPr>
          </w:p>
        </w:tc>
      </w:tr>
    </w:tbl>
    <w:p w:rsidR="00D379EC" w:rsidRPr="00EF6F81" w:rsidRDefault="00D379EC" w:rsidP="007730AA">
      <w:pPr>
        <w:spacing w:before="0" w:line="276" w:lineRule="auto"/>
        <w:rPr>
          <w:lang w:val="en-US"/>
        </w:rPr>
      </w:pPr>
    </w:p>
    <w:p w:rsidR="00D379EC" w:rsidRPr="00EF6F81" w:rsidRDefault="00D379EC" w:rsidP="007730AA">
      <w:pPr>
        <w:pStyle w:val="BodyText2"/>
        <w:ind w:left="0"/>
      </w:pPr>
      <w:r w:rsidRPr="00EF6F81">
        <w:t>Բյուջետային փաթեթում ընդհանուր բնույթի բյուջետային օժանդակության թերստաց</w:t>
      </w:r>
      <w:r w:rsidRPr="00EF6F81">
        <w:softHyphen/>
        <w:t>ման պայ</w:t>
      </w:r>
      <w:r w:rsidRPr="00EF6F81">
        <w:softHyphen/>
      </w:r>
      <w:r w:rsidRPr="00EF6F81">
        <w:softHyphen/>
        <w:t>մաններում ծախսերի վերանայման անհրաժեշտության առաջացման դեպ</w:t>
      </w:r>
      <w:r w:rsidRPr="00EF6F81">
        <w:softHyphen/>
        <w:t>քում այդ վերանայումն իրականացվելու է` ելնելով ծախսերի գե</w:t>
      </w:r>
      <w:r w:rsidRPr="00EF6F81">
        <w:softHyphen/>
        <w:t>րա</w:t>
      </w:r>
      <w:r w:rsidRPr="00EF6F81">
        <w:softHyphen/>
      </w:r>
      <w:r w:rsidRPr="00EF6F81">
        <w:softHyphen/>
      </w:r>
      <w:r w:rsidRPr="00EF6F81">
        <w:softHyphen/>
        <w:t>կա</w:t>
      </w:r>
      <w:r w:rsidRPr="00EF6F81">
        <w:softHyphen/>
        <w:t>յու</w:t>
      </w:r>
      <w:r w:rsidRPr="00EF6F81">
        <w:softHyphen/>
        <w:t>թյան աստիճանից: Ծրագրային (նպատակային) պաշտոնական դրամաշ</w:t>
      </w:r>
      <w:r w:rsidRPr="00EF6F81">
        <w:softHyphen/>
        <w:t>նորհ</w:t>
      </w:r>
      <w:r w:rsidRPr="00EF6F81">
        <w:softHyphen/>
        <w:t>ների և վար</w:t>
      </w:r>
      <w:r w:rsidRPr="00EF6F81">
        <w:softHyphen/>
      </w:r>
      <w:r w:rsidRPr="00EF6F81">
        <w:softHyphen/>
        <w:t>կերի թերս</w:t>
      </w:r>
      <w:r w:rsidRPr="00EF6F81">
        <w:softHyphen/>
        <w:t>տացումը հանգեցնելու է այն ծրագրերի գծով ծախսերի կրճատ</w:t>
      </w:r>
      <w:r w:rsidRPr="00EF6F81">
        <w:softHyphen/>
        <w:t>մա</w:t>
      </w:r>
      <w:r w:rsidRPr="00EF6F81">
        <w:softHyphen/>
        <w:t>նը, որոնք ան</w:t>
      </w:r>
      <w:r w:rsidRPr="00EF6F81">
        <w:softHyphen/>
        <w:t>մի</w:t>
      </w:r>
      <w:r w:rsidRPr="00EF6F81">
        <w:softHyphen/>
        <w:t>ջա</w:t>
      </w:r>
      <w:r w:rsidRPr="00EF6F81">
        <w:softHyphen/>
      </w:r>
      <w:r w:rsidRPr="00EF6F81">
        <w:softHyphen/>
        <w:t xml:space="preserve">կանորեն </w:t>
      </w:r>
      <w:r w:rsidRPr="00EF6F81">
        <w:softHyphen/>
        <w:t>կապակցված են ֆինանսավորման այդ աղբյուրներին</w:t>
      </w:r>
      <w:r w:rsidR="00BE34C6" w:rsidRPr="00EF6F81">
        <w:t>:</w:t>
      </w:r>
      <w:r w:rsidRPr="00EF6F81">
        <w:t xml:space="preserve"> </w:t>
      </w:r>
    </w:p>
    <w:p w:rsidR="00D379EC" w:rsidRPr="00EF6F81" w:rsidRDefault="00D379EC" w:rsidP="007730AA">
      <w:pPr>
        <w:pStyle w:val="BodyText2"/>
        <w:ind w:left="0"/>
      </w:pPr>
      <w:r w:rsidRPr="00EF6F81">
        <w:t>ՀՀ 20</w:t>
      </w:r>
      <w:r w:rsidR="000E1796" w:rsidRPr="00EF6F81">
        <w:t>2</w:t>
      </w:r>
      <w:r w:rsidR="005E2A8C" w:rsidRPr="005E2A8C">
        <w:t>1</w:t>
      </w:r>
      <w:r w:rsidRPr="00EF6F81">
        <w:t xml:space="preserve"> թվականի պետական բյուջեի նախագծի հաշվարկներում «Հայաստանի Հան</w:t>
      </w:r>
      <w:r w:rsidRPr="00EF6F81">
        <w:softHyphen/>
        <w:t>րա</w:t>
      </w:r>
      <w:r w:rsidRPr="00EF6F81">
        <w:softHyphen/>
        <w:t>պետության բյուջետային հա</w:t>
      </w:r>
      <w:r w:rsidRPr="00EF6F81">
        <w:softHyphen/>
        <w:t>մակարգի մասին» ՀՀ օրենքի 21-րդ հոդվածի 8.1-րդ մա</w:t>
      </w:r>
      <w:r w:rsidRPr="00EF6F81">
        <w:softHyphen/>
        <w:t>սի պա</w:t>
      </w:r>
      <w:r w:rsidRPr="00EF6F81">
        <w:softHyphen/>
      </w:r>
      <w:r w:rsidRPr="00EF6F81">
        <w:softHyphen/>
        <w:t>հան</w:t>
      </w:r>
      <w:r w:rsidRPr="00EF6F81">
        <w:softHyphen/>
        <w:t>ջի համաձայն կիրառ</w:t>
      </w:r>
      <w:r w:rsidRPr="00EF6F81">
        <w:softHyphen/>
        <w:t>վել են ս.թ</w:t>
      </w:r>
      <w:r w:rsidR="00EA2106" w:rsidRPr="00EF6F81">
        <w:t xml:space="preserve">. </w:t>
      </w:r>
      <w:r w:rsidR="009F6ED5">
        <w:t>նոյեմբ</w:t>
      </w:r>
      <w:r w:rsidR="00FC5B0B" w:rsidRPr="00EF6F81">
        <w:t>ե</w:t>
      </w:r>
      <w:r w:rsidR="009F6ED5">
        <w:t>ր</w:t>
      </w:r>
      <w:r w:rsidR="00EA2106" w:rsidRPr="00EF6F81">
        <w:t>ի</w:t>
      </w:r>
      <w:r w:rsidRPr="00EF6F81">
        <w:t xml:space="preserve"> </w:t>
      </w:r>
      <w:r w:rsidR="003278EA">
        <w:t>2</w:t>
      </w:r>
      <w:r w:rsidR="00F46255" w:rsidRPr="00EF6F81">
        <w:t xml:space="preserve">-ի </w:t>
      </w:r>
      <w:r w:rsidRPr="00EF6F81">
        <w:t>դրությամբ ՀՀ արտար</w:t>
      </w:r>
      <w:r w:rsidRPr="00EF6F81">
        <w:softHyphen/>
        <w:t>ժու</w:t>
      </w:r>
      <w:r w:rsidRPr="00EF6F81">
        <w:softHyphen/>
        <w:t>թա</w:t>
      </w:r>
      <w:r w:rsidRPr="00EF6F81">
        <w:softHyphen/>
        <w:t>յին շու</w:t>
      </w:r>
      <w:r w:rsidRPr="00EF6F81">
        <w:softHyphen/>
      </w:r>
      <w:r w:rsidRPr="00EF6F81">
        <w:softHyphen/>
        <w:t>կա</w:t>
      </w:r>
      <w:r w:rsidRPr="00EF6F81">
        <w:softHyphen/>
        <w:t>յում ձևավորված տա</w:t>
      </w:r>
      <w:r w:rsidRPr="00EF6F81">
        <w:softHyphen/>
        <w:t>րա</w:t>
      </w:r>
      <w:r w:rsidRPr="00EF6F81">
        <w:softHyphen/>
        <w:t>դրա</w:t>
      </w:r>
      <w:r w:rsidRPr="00EF6F81">
        <w:softHyphen/>
        <w:t>մի փոխարժեքները ՀՀ դրամով:</w:t>
      </w:r>
    </w:p>
    <w:p w:rsidR="00D379EC" w:rsidRPr="00A2480A" w:rsidRDefault="00D02A2D" w:rsidP="007730AA">
      <w:pPr>
        <w:pStyle w:val="Caption"/>
        <w:spacing w:before="0" w:after="0"/>
        <w:rPr>
          <w:b/>
          <w:i/>
          <w:sz w:val="20"/>
          <w:szCs w:val="20"/>
          <w:lang w:val="hy-AM"/>
        </w:rPr>
      </w:pPr>
      <w:bookmarkStart w:id="167" w:name="_Toc525773067"/>
      <w:bookmarkStart w:id="168" w:name="_Toc20590407"/>
      <w:bookmarkStart w:id="169" w:name="_Toc57631754"/>
      <w:r w:rsidRPr="00D02A2D">
        <w:rPr>
          <w:lang w:val="hy-AM"/>
        </w:rPr>
        <w:t xml:space="preserve">Աղյուսակ </w:t>
      </w:r>
      <w:r w:rsidR="003C3925">
        <w:fldChar w:fldCharType="begin"/>
      </w:r>
      <w:r w:rsidRPr="00D02A2D">
        <w:rPr>
          <w:lang w:val="hy-AM"/>
        </w:rPr>
        <w:instrText xml:space="preserve"> SEQ Աղյուսակ \* ARABIC </w:instrText>
      </w:r>
      <w:r w:rsidR="003C3925">
        <w:fldChar w:fldCharType="separate"/>
      </w:r>
      <w:r w:rsidR="007E790B">
        <w:rPr>
          <w:noProof/>
          <w:lang w:val="hy-AM"/>
        </w:rPr>
        <w:t>3</w:t>
      </w:r>
      <w:r w:rsidR="003C3925">
        <w:fldChar w:fldCharType="end"/>
      </w:r>
      <w:r>
        <w:rPr>
          <w:rFonts w:ascii="Cambria Math" w:hAnsi="Cambria Math"/>
          <w:lang w:val="hy-AM"/>
        </w:rPr>
        <w:t xml:space="preserve">․ </w:t>
      </w:r>
      <w:r w:rsidR="000E1796" w:rsidRPr="00A2480A">
        <w:rPr>
          <w:b/>
          <w:i/>
          <w:sz w:val="20"/>
          <w:szCs w:val="20"/>
          <w:lang w:val="hy-AM"/>
        </w:rPr>
        <w:t>ՀՀ 202</w:t>
      </w:r>
      <w:r w:rsidR="00FC5B0B" w:rsidRPr="00A2480A">
        <w:rPr>
          <w:b/>
          <w:i/>
          <w:sz w:val="20"/>
          <w:szCs w:val="20"/>
          <w:lang w:val="hy-AM"/>
        </w:rPr>
        <w:t>1</w:t>
      </w:r>
      <w:r w:rsidR="00D379EC" w:rsidRPr="00A2480A">
        <w:rPr>
          <w:b/>
          <w:i/>
          <w:sz w:val="20"/>
          <w:szCs w:val="20"/>
          <w:lang w:val="hy-AM"/>
        </w:rPr>
        <w:t xml:space="preserve"> թվականի պետական բյուջեի նախագծի հաշվարկներում կիրառված տարադրամների փոխարժեք</w:t>
      </w:r>
      <w:r w:rsidR="00D379EC" w:rsidRPr="00A2480A">
        <w:rPr>
          <w:b/>
          <w:i/>
          <w:sz w:val="20"/>
          <w:szCs w:val="20"/>
          <w:lang w:val="hy-AM"/>
        </w:rPr>
        <w:softHyphen/>
        <w:t>ները ՀՀ դրամով</w:t>
      </w:r>
      <w:bookmarkEnd w:id="167"/>
      <w:bookmarkEnd w:id="168"/>
      <w:bookmarkEnd w:id="169"/>
    </w:p>
    <w:tbl>
      <w:tblPr>
        <w:tblW w:w="7215" w:type="dxa"/>
        <w:tblInd w:w="93" w:type="dxa"/>
        <w:tblLayout w:type="fixed"/>
        <w:tblLook w:val="0000" w:firstRow="0" w:lastRow="0" w:firstColumn="0" w:lastColumn="0" w:noHBand="0" w:noVBand="0"/>
      </w:tblPr>
      <w:tblGrid>
        <w:gridCol w:w="5235"/>
        <w:gridCol w:w="1980"/>
      </w:tblGrid>
      <w:tr w:rsidR="00BF7CB6" w:rsidRPr="00BF7CB6" w:rsidTr="00BF7CB6">
        <w:trPr>
          <w:trHeight w:val="334"/>
          <w:tblHeader/>
        </w:trPr>
        <w:tc>
          <w:tcPr>
            <w:tcW w:w="5235" w:type="dxa"/>
            <w:tcBorders>
              <w:top w:val="single" w:sz="4" w:space="0" w:color="auto"/>
              <w:left w:val="single" w:sz="4" w:space="0" w:color="auto"/>
              <w:bottom w:val="single" w:sz="4" w:space="0" w:color="auto"/>
              <w:right w:val="single" w:sz="6" w:space="0" w:color="auto"/>
            </w:tcBorders>
            <w:shd w:val="clear" w:color="auto" w:fill="4F81BD" w:themeFill="accent1"/>
            <w:noWrap/>
            <w:vAlign w:val="center"/>
          </w:tcPr>
          <w:p w:rsidR="00D379EC" w:rsidRPr="00BF7CB6" w:rsidRDefault="00D379EC" w:rsidP="007730AA">
            <w:pPr>
              <w:pStyle w:val="1fa"/>
              <w:spacing w:line="276" w:lineRule="auto"/>
              <w:rPr>
                <w:b/>
                <w:color w:val="FFFFFF" w:themeColor="background1"/>
              </w:rPr>
            </w:pPr>
            <w:r w:rsidRPr="00BF7CB6">
              <w:rPr>
                <w:b/>
                <w:color w:val="FFFFFF" w:themeColor="background1"/>
              </w:rPr>
              <w:t>Տարադրամի տեսակը</w:t>
            </w:r>
          </w:p>
        </w:tc>
        <w:tc>
          <w:tcPr>
            <w:tcW w:w="1980" w:type="dxa"/>
            <w:tcBorders>
              <w:top w:val="single" w:sz="6" w:space="0" w:color="auto"/>
              <w:left w:val="single" w:sz="6" w:space="0" w:color="auto"/>
              <w:bottom w:val="single" w:sz="6" w:space="0" w:color="auto"/>
              <w:right w:val="single" w:sz="6" w:space="0" w:color="auto"/>
            </w:tcBorders>
            <w:shd w:val="clear" w:color="auto" w:fill="4F81BD" w:themeFill="accent1"/>
            <w:noWrap/>
            <w:vAlign w:val="center"/>
          </w:tcPr>
          <w:p w:rsidR="00D379EC" w:rsidRPr="00BF7CB6" w:rsidRDefault="00D379EC" w:rsidP="007730AA">
            <w:pPr>
              <w:pStyle w:val="1fa"/>
              <w:spacing w:line="276" w:lineRule="auto"/>
              <w:rPr>
                <w:b/>
                <w:color w:val="FFFFFF" w:themeColor="background1"/>
              </w:rPr>
            </w:pPr>
            <w:r w:rsidRPr="00BF7CB6">
              <w:rPr>
                <w:b/>
                <w:color w:val="FFFFFF" w:themeColor="background1"/>
              </w:rPr>
              <w:t>Փոխարժեքը</w:t>
            </w:r>
            <w:r w:rsidR="007705D1" w:rsidRPr="00BF7CB6">
              <w:rPr>
                <w:b/>
                <w:color w:val="FFFFFF" w:themeColor="background1"/>
              </w:rPr>
              <w:t xml:space="preserve"> </w:t>
            </w:r>
            <w:r w:rsidRPr="00BF7CB6">
              <w:rPr>
                <w:b/>
                <w:color w:val="FFFFFF" w:themeColor="background1"/>
              </w:rPr>
              <w:t>ՀՀ դրամով</w:t>
            </w:r>
          </w:p>
        </w:tc>
      </w:tr>
      <w:tr w:rsidR="00D379EC" w:rsidRPr="00EF6F81" w:rsidTr="00C51185">
        <w:trPr>
          <w:trHeight w:val="307"/>
        </w:trPr>
        <w:tc>
          <w:tcPr>
            <w:tcW w:w="5235" w:type="dxa"/>
            <w:tcBorders>
              <w:top w:val="nil"/>
              <w:left w:val="single" w:sz="4" w:space="0" w:color="auto"/>
              <w:bottom w:val="single" w:sz="4" w:space="0" w:color="auto"/>
              <w:right w:val="single" w:sz="6" w:space="0" w:color="auto"/>
            </w:tcBorders>
            <w:shd w:val="clear" w:color="auto" w:fill="auto"/>
            <w:noWrap/>
            <w:vAlign w:val="center"/>
          </w:tcPr>
          <w:p w:rsidR="00D379EC" w:rsidRPr="00EF6F81" w:rsidRDefault="00D379EC" w:rsidP="007730AA">
            <w:pPr>
              <w:pStyle w:val="1fa"/>
              <w:spacing w:line="276" w:lineRule="auto"/>
              <w:jc w:val="left"/>
              <w:rPr>
                <w:color w:val="auto"/>
              </w:rPr>
            </w:pPr>
            <w:r w:rsidRPr="00EF6F81">
              <w:rPr>
                <w:color w:val="auto"/>
              </w:rPr>
              <w:t xml:space="preserve">1 ԱՄՆ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EF6F81" w:rsidRDefault="00485C0B" w:rsidP="007730AA">
            <w:pPr>
              <w:pStyle w:val="1fa"/>
              <w:spacing w:line="276" w:lineRule="auto"/>
              <w:rPr>
                <w:color w:val="auto"/>
              </w:rPr>
            </w:pPr>
            <w:r w:rsidRPr="00EF6F81">
              <w:rPr>
                <w:color w:val="auto"/>
              </w:rPr>
              <w:t>4</w:t>
            </w:r>
            <w:r w:rsidR="008B5F4E">
              <w:rPr>
                <w:color w:val="auto"/>
                <w:lang w:val="hy-AM"/>
              </w:rPr>
              <w:t>93</w:t>
            </w:r>
            <w:r w:rsidRPr="00EF6F81">
              <w:rPr>
                <w:color w:val="auto"/>
              </w:rPr>
              <w:t>.</w:t>
            </w:r>
            <w:r w:rsidR="008B5F4E">
              <w:rPr>
                <w:color w:val="auto"/>
                <w:lang w:val="hy-AM"/>
              </w:rPr>
              <w:t>76</w:t>
            </w:r>
          </w:p>
        </w:tc>
      </w:tr>
      <w:tr w:rsidR="00D379EC" w:rsidRPr="00EF6F81" w:rsidTr="00C51185">
        <w:trPr>
          <w:trHeight w:val="233"/>
        </w:trPr>
        <w:tc>
          <w:tcPr>
            <w:tcW w:w="5235" w:type="dxa"/>
            <w:tcBorders>
              <w:top w:val="nil"/>
              <w:left w:val="single" w:sz="4" w:space="0" w:color="auto"/>
              <w:bottom w:val="single" w:sz="4" w:space="0" w:color="auto"/>
              <w:right w:val="single" w:sz="6" w:space="0" w:color="auto"/>
            </w:tcBorders>
            <w:shd w:val="clear" w:color="auto" w:fill="auto"/>
            <w:noWrap/>
            <w:vAlign w:val="center"/>
          </w:tcPr>
          <w:p w:rsidR="00D379EC" w:rsidRPr="00EF6F81" w:rsidRDefault="00D379EC" w:rsidP="007730AA">
            <w:pPr>
              <w:pStyle w:val="1fa"/>
              <w:spacing w:line="276" w:lineRule="auto"/>
              <w:jc w:val="left"/>
              <w:rPr>
                <w:color w:val="auto"/>
              </w:rPr>
            </w:pPr>
            <w:r w:rsidRPr="00EF6F81">
              <w:rPr>
                <w:color w:val="auto"/>
              </w:rPr>
              <w:t>1 եվրո</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EF6F81" w:rsidRDefault="00485C0B" w:rsidP="007730AA">
            <w:pPr>
              <w:pStyle w:val="1fa"/>
              <w:spacing w:line="276" w:lineRule="auto"/>
              <w:rPr>
                <w:color w:val="auto"/>
              </w:rPr>
            </w:pPr>
            <w:r w:rsidRPr="00EF6F81">
              <w:rPr>
                <w:color w:val="auto"/>
              </w:rPr>
              <w:t>5</w:t>
            </w:r>
            <w:r w:rsidR="008B5F4E">
              <w:rPr>
                <w:color w:val="auto"/>
                <w:lang w:val="hy-AM"/>
              </w:rPr>
              <w:t>74</w:t>
            </w:r>
            <w:r w:rsidRPr="00EF6F81">
              <w:rPr>
                <w:color w:val="auto"/>
              </w:rPr>
              <w:t>.</w:t>
            </w:r>
            <w:r w:rsidR="008B5F4E">
              <w:rPr>
                <w:color w:val="auto"/>
                <w:lang w:val="hy-AM"/>
              </w:rPr>
              <w:t>79</w:t>
            </w:r>
          </w:p>
        </w:tc>
      </w:tr>
      <w:tr w:rsidR="00D379EC" w:rsidRPr="00EF6F81" w:rsidTr="00C51185">
        <w:trPr>
          <w:trHeight w:val="307"/>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EF6F81" w:rsidRDefault="00D379EC" w:rsidP="007730AA">
            <w:pPr>
              <w:pStyle w:val="1fa"/>
              <w:spacing w:line="276" w:lineRule="auto"/>
              <w:jc w:val="left"/>
              <w:rPr>
                <w:color w:val="auto"/>
              </w:rPr>
            </w:pPr>
            <w:r w:rsidRPr="00EF6F81">
              <w:rPr>
                <w:color w:val="auto"/>
              </w:rPr>
              <w:t xml:space="preserve">1 Մեծ Բրիտանիայի ֆունտ ստեռլինգ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EF6F81" w:rsidRDefault="00485C0B" w:rsidP="007730AA">
            <w:pPr>
              <w:pStyle w:val="1fa"/>
              <w:spacing w:line="276" w:lineRule="auto"/>
              <w:rPr>
                <w:color w:val="auto"/>
              </w:rPr>
            </w:pPr>
            <w:r w:rsidRPr="00EF6F81">
              <w:rPr>
                <w:color w:val="auto"/>
              </w:rPr>
              <w:t>6</w:t>
            </w:r>
            <w:r w:rsidR="008B5F4E">
              <w:rPr>
                <w:color w:val="auto"/>
                <w:lang w:val="hy-AM"/>
              </w:rPr>
              <w:t>37</w:t>
            </w:r>
            <w:r w:rsidRPr="00EF6F81">
              <w:rPr>
                <w:color w:val="auto"/>
              </w:rPr>
              <w:t>.</w:t>
            </w:r>
            <w:r w:rsidR="00FC5B0B" w:rsidRPr="00EF6F81">
              <w:rPr>
                <w:color w:val="auto"/>
                <w:lang w:val="hy-AM"/>
              </w:rPr>
              <w:t>49</w:t>
            </w:r>
          </w:p>
        </w:tc>
      </w:tr>
      <w:tr w:rsidR="00D379EC" w:rsidRPr="00EF6F81" w:rsidTr="00C51185">
        <w:trPr>
          <w:trHeight w:val="191"/>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EF6F81" w:rsidRDefault="00D379EC" w:rsidP="007730AA">
            <w:pPr>
              <w:pStyle w:val="1fa"/>
              <w:spacing w:line="276" w:lineRule="auto"/>
              <w:jc w:val="left"/>
              <w:rPr>
                <w:color w:val="auto"/>
              </w:rPr>
            </w:pPr>
            <w:r w:rsidRPr="00EF6F81">
              <w:rPr>
                <w:color w:val="auto"/>
              </w:rPr>
              <w:t xml:space="preserve">1 Ռուսաստանյան ռուբլի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EF6F81" w:rsidRDefault="00FC5B0B" w:rsidP="007730AA">
            <w:pPr>
              <w:pStyle w:val="1fa"/>
              <w:spacing w:line="276" w:lineRule="auto"/>
              <w:rPr>
                <w:color w:val="auto"/>
                <w:lang w:val="ru-RU"/>
              </w:rPr>
            </w:pPr>
            <w:r w:rsidRPr="00EF6F81">
              <w:rPr>
                <w:color w:val="auto"/>
                <w:lang w:val="hy-AM"/>
              </w:rPr>
              <w:t>6</w:t>
            </w:r>
            <w:r w:rsidR="00A655E1" w:rsidRPr="00EF6F81">
              <w:rPr>
                <w:color w:val="auto"/>
              </w:rPr>
              <w:t>.</w:t>
            </w:r>
            <w:r w:rsidR="008B5F4E">
              <w:rPr>
                <w:color w:val="auto"/>
                <w:lang w:val="hy-AM"/>
              </w:rPr>
              <w:t>15</w:t>
            </w:r>
          </w:p>
        </w:tc>
      </w:tr>
      <w:tr w:rsidR="00D379EC" w:rsidRPr="00EF6F81" w:rsidTr="00C51185">
        <w:trPr>
          <w:trHeight w:val="160"/>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EF6F81" w:rsidRDefault="00D379EC" w:rsidP="007730AA">
            <w:pPr>
              <w:pStyle w:val="1fa"/>
              <w:spacing w:line="276" w:lineRule="auto"/>
              <w:jc w:val="left"/>
              <w:rPr>
                <w:color w:val="auto"/>
              </w:rPr>
            </w:pPr>
            <w:r w:rsidRPr="00EF6F81">
              <w:rPr>
                <w:color w:val="auto"/>
              </w:rPr>
              <w:t xml:space="preserve">1 Շվեյցարական ֆրանկ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EF6F81" w:rsidRDefault="00FC5B0B" w:rsidP="007730AA">
            <w:pPr>
              <w:pStyle w:val="1fa"/>
              <w:spacing w:line="276" w:lineRule="auto"/>
              <w:rPr>
                <w:color w:val="auto"/>
              </w:rPr>
            </w:pPr>
            <w:r w:rsidRPr="00EF6F81">
              <w:rPr>
                <w:color w:val="auto"/>
                <w:lang w:val="hy-AM"/>
              </w:rPr>
              <w:t>538</w:t>
            </w:r>
            <w:r w:rsidR="00485C0B" w:rsidRPr="00EF6F81">
              <w:rPr>
                <w:color w:val="auto"/>
              </w:rPr>
              <w:t>.</w:t>
            </w:r>
            <w:r w:rsidR="008B5F4E">
              <w:rPr>
                <w:color w:val="auto"/>
                <w:lang w:val="hy-AM"/>
              </w:rPr>
              <w:t>33</w:t>
            </w:r>
          </w:p>
        </w:tc>
      </w:tr>
      <w:tr w:rsidR="00D379EC" w:rsidRPr="00EF6F81" w:rsidTr="00C51185">
        <w:trPr>
          <w:trHeight w:val="170"/>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EF6F81" w:rsidRDefault="00D379EC" w:rsidP="007730AA">
            <w:pPr>
              <w:pStyle w:val="1fa"/>
              <w:spacing w:line="276" w:lineRule="auto"/>
              <w:jc w:val="left"/>
              <w:rPr>
                <w:color w:val="auto"/>
              </w:rPr>
            </w:pPr>
            <w:r w:rsidRPr="00EF6F81">
              <w:rPr>
                <w:color w:val="auto"/>
              </w:rPr>
              <w:t xml:space="preserve">1 Կանադական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EF6F81" w:rsidRDefault="00FC5B0B" w:rsidP="007730AA">
            <w:pPr>
              <w:pStyle w:val="1fa"/>
              <w:spacing w:line="276" w:lineRule="auto"/>
              <w:rPr>
                <w:color w:val="auto"/>
              </w:rPr>
            </w:pPr>
            <w:r w:rsidRPr="00EF6F81">
              <w:rPr>
                <w:color w:val="auto"/>
                <w:lang w:val="hy-AM"/>
              </w:rPr>
              <w:t>37</w:t>
            </w:r>
            <w:r w:rsidR="008B5F4E">
              <w:rPr>
                <w:color w:val="auto"/>
                <w:lang w:val="hy-AM"/>
              </w:rPr>
              <w:t>0</w:t>
            </w:r>
            <w:r w:rsidRPr="00EF6F81">
              <w:rPr>
                <w:color w:val="auto"/>
                <w:lang w:val="hy-AM"/>
              </w:rPr>
              <w:t>.</w:t>
            </w:r>
            <w:r w:rsidR="008B5F4E">
              <w:rPr>
                <w:color w:val="auto"/>
                <w:lang w:val="hy-AM"/>
              </w:rPr>
              <w:t>91</w:t>
            </w:r>
          </w:p>
        </w:tc>
      </w:tr>
      <w:tr w:rsidR="00D379EC" w:rsidRPr="00EF6F81"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EF6F81" w:rsidRDefault="00D379EC" w:rsidP="007730AA">
            <w:pPr>
              <w:pStyle w:val="1fa"/>
              <w:spacing w:line="276" w:lineRule="auto"/>
              <w:jc w:val="left"/>
              <w:rPr>
                <w:color w:val="auto"/>
              </w:rPr>
            </w:pPr>
            <w:r w:rsidRPr="00EF6F81">
              <w:rPr>
                <w:color w:val="auto"/>
              </w:rPr>
              <w:t xml:space="preserve">10 ճապոնական իեն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EF6F81" w:rsidRDefault="000E1796" w:rsidP="007730AA">
            <w:pPr>
              <w:pStyle w:val="1fa"/>
              <w:spacing w:line="276" w:lineRule="auto"/>
              <w:rPr>
                <w:color w:val="auto"/>
                <w:lang w:val="hy-AM"/>
              </w:rPr>
            </w:pPr>
            <w:r w:rsidRPr="00EF6F81">
              <w:rPr>
                <w:color w:val="auto"/>
              </w:rPr>
              <w:t>4</w:t>
            </w:r>
            <w:r w:rsidR="008B5F4E">
              <w:rPr>
                <w:color w:val="auto"/>
                <w:lang w:val="hy-AM"/>
              </w:rPr>
              <w:t>7</w:t>
            </w:r>
            <w:r w:rsidR="00A655E1" w:rsidRPr="00EF6F81">
              <w:rPr>
                <w:color w:val="auto"/>
              </w:rPr>
              <w:t>.</w:t>
            </w:r>
            <w:r w:rsidR="008B5F4E">
              <w:rPr>
                <w:color w:val="auto"/>
                <w:lang w:val="hy-AM"/>
              </w:rPr>
              <w:t>12</w:t>
            </w:r>
          </w:p>
        </w:tc>
      </w:tr>
      <w:tr w:rsidR="00D379EC" w:rsidRPr="00EF6F81"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rsidR="00D379EC" w:rsidRPr="00EF6F81" w:rsidRDefault="00D379EC" w:rsidP="007730AA">
            <w:pPr>
              <w:pStyle w:val="1fa"/>
              <w:spacing w:line="276" w:lineRule="auto"/>
              <w:jc w:val="left"/>
              <w:rPr>
                <w:color w:val="auto"/>
              </w:rPr>
            </w:pPr>
            <w:r w:rsidRPr="00EF6F81">
              <w:rPr>
                <w:color w:val="auto"/>
              </w:rPr>
              <w:t xml:space="preserve">1 Չինական յուան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rsidR="00D379EC" w:rsidRPr="00EF6F81" w:rsidRDefault="00FC5B0B" w:rsidP="007730AA">
            <w:pPr>
              <w:pStyle w:val="1fa"/>
              <w:spacing w:line="276" w:lineRule="auto"/>
              <w:rPr>
                <w:color w:val="auto"/>
                <w:lang w:val="hy-AM"/>
              </w:rPr>
            </w:pPr>
            <w:r w:rsidRPr="00EF6F81">
              <w:rPr>
                <w:color w:val="auto"/>
                <w:lang w:val="ru-RU"/>
              </w:rPr>
              <w:t>7</w:t>
            </w:r>
            <w:r w:rsidR="008B5F4E">
              <w:rPr>
                <w:color w:val="auto"/>
                <w:lang w:val="hy-AM"/>
              </w:rPr>
              <w:t>3</w:t>
            </w:r>
            <w:r w:rsidR="00485C0B" w:rsidRPr="00EF6F81">
              <w:rPr>
                <w:color w:val="auto"/>
                <w:lang w:val="ru-RU"/>
              </w:rPr>
              <w:t>.</w:t>
            </w:r>
            <w:r w:rsidR="008B5F4E">
              <w:rPr>
                <w:color w:val="auto"/>
                <w:lang w:val="hy-AM"/>
              </w:rPr>
              <w:t>64</w:t>
            </w:r>
          </w:p>
        </w:tc>
      </w:tr>
    </w:tbl>
    <w:p w:rsidR="007E430F" w:rsidRPr="00EF6F81" w:rsidRDefault="007E430F" w:rsidP="007730AA">
      <w:pPr>
        <w:spacing w:before="0" w:line="276" w:lineRule="auto"/>
        <w:rPr>
          <w:lang w:val="en-US"/>
        </w:rPr>
      </w:pPr>
    </w:p>
    <w:p w:rsidR="007E430F" w:rsidRPr="00EF6F81" w:rsidRDefault="007E430F" w:rsidP="007730AA">
      <w:pPr>
        <w:pStyle w:val="Heading3"/>
        <w:spacing w:before="0"/>
      </w:pPr>
      <w:bookmarkStart w:id="170" w:name="_Toc57655463"/>
      <w:r w:rsidRPr="00EF6F81">
        <w:t>Պետական բյուջեի դեֆիցիտի ֆինանսավորման աղբյուրները</w:t>
      </w:r>
      <w:bookmarkEnd w:id="170"/>
    </w:p>
    <w:p w:rsidR="009B3F20" w:rsidRPr="00BF7CB6" w:rsidRDefault="009B3F20" w:rsidP="007730AA">
      <w:pPr>
        <w:spacing w:before="0" w:line="276" w:lineRule="auto"/>
        <w:ind w:firstLine="600"/>
        <w:contextualSpacing w:val="0"/>
        <w:rPr>
          <w:b w:val="0"/>
          <w:szCs w:val="22"/>
          <w:lang w:val="hy-AM" w:eastAsia="en-US"/>
        </w:rPr>
      </w:pPr>
      <w:r w:rsidRPr="00BF7CB6">
        <w:rPr>
          <w:rFonts w:cs="Sylfaen"/>
          <w:b w:val="0"/>
          <w:szCs w:val="22"/>
          <w:lang w:val="hy-AM" w:eastAsia="en-US"/>
        </w:rPr>
        <w:t>Պետական</w:t>
      </w:r>
      <w:r w:rsidRPr="00BF7CB6">
        <w:rPr>
          <w:b w:val="0"/>
          <w:szCs w:val="22"/>
          <w:lang w:val="hy-AM" w:eastAsia="en-US"/>
        </w:rPr>
        <w:t xml:space="preserve">  </w:t>
      </w:r>
      <w:r w:rsidRPr="00BF7CB6">
        <w:rPr>
          <w:rFonts w:cs="Sylfaen"/>
          <w:b w:val="0"/>
          <w:szCs w:val="22"/>
          <w:lang w:val="hy-AM" w:eastAsia="en-US"/>
        </w:rPr>
        <w:t>բյուջեի</w:t>
      </w:r>
      <w:r w:rsidRPr="00BF7CB6">
        <w:rPr>
          <w:b w:val="0"/>
          <w:szCs w:val="22"/>
          <w:lang w:val="hy-AM" w:eastAsia="en-US"/>
        </w:rPr>
        <w:t xml:space="preserve"> </w:t>
      </w:r>
      <w:r w:rsidRPr="00BF7CB6">
        <w:rPr>
          <w:rFonts w:cs="Sylfaen"/>
          <w:b w:val="0"/>
          <w:szCs w:val="22"/>
          <w:lang w:val="hy-AM" w:eastAsia="en-US"/>
        </w:rPr>
        <w:t xml:space="preserve">ձևավորումը 2021 թվականին շարունակելու </w:t>
      </w:r>
      <w:r w:rsidRPr="00BF7CB6">
        <w:rPr>
          <w:b w:val="0"/>
          <w:szCs w:val="22"/>
          <w:lang w:val="hy-AM" w:eastAsia="en-US"/>
        </w:rPr>
        <w:t xml:space="preserve"> </w:t>
      </w:r>
      <w:r w:rsidRPr="00BF7CB6">
        <w:rPr>
          <w:rFonts w:cs="Sylfaen"/>
          <w:b w:val="0"/>
          <w:szCs w:val="22"/>
          <w:lang w:val="hy-AM" w:eastAsia="en-US"/>
        </w:rPr>
        <w:t>է</w:t>
      </w:r>
      <w:r w:rsidRPr="00BF7CB6">
        <w:rPr>
          <w:b w:val="0"/>
          <w:szCs w:val="22"/>
          <w:lang w:val="hy-AM" w:eastAsia="en-US"/>
        </w:rPr>
        <w:t xml:space="preserve"> </w:t>
      </w:r>
      <w:r w:rsidRPr="00BF7CB6">
        <w:rPr>
          <w:rFonts w:cs="Sylfaen"/>
          <w:b w:val="0"/>
          <w:szCs w:val="22"/>
          <w:lang w:val="hy-AM" w:eastAsia="en-US"/>
        </w:rPr>
        <w:t>ընթանալ</w:t>
      </w:r>
      <w:r w:rsidRPr="00BF7CB6">
        <w:rPr>
          <w:b w:val="0"/>
          <w:szCs w:val="22"/>
          <w:lang w:val="hy-AM" w:eastAsia="en-US"/>
        </w:rPr>
        <w:t xml:space="preserve"> </w:t>
      </w:r>
      <w:r w:rsidRPr="00BF7CB6">
        <w:rPr>
          <w:rFonts w:cs="Sylfaen"/>
          <w:b w:val="0"/>
          <w:szCs w:val="22"/>
          <w:lang w:val="hy-AM" w:eastAsia="en-US"/>
        </w:rPr>
        <w:t>բյուջե</w:t>
      </w:r>
      <w:r w:rsidRPr="00BF7CB6">
        <w:rPr>
          <w:rFonts w:cs="Sylfaen"/>
          <w:b w:val="0"/>
          <w:szCs w:val="22"/>
          <w:lang w:val="hy-AM" w:eastAsia="en-US"/>
        </w:rPr>
        <w:softHyphen/>
        <w:t>տա</w:t>
      </w:r>
      <w:r w:rsidRPr="00BF7CB6">
        <w:rPr>
          <w:rFonts w:cs="Sylfaen"/>
          <w:b w:val="0"/>
          <w:szCs w:val="22"/>
          <w:lang w:val="hy-AM" w:eastAsia="en-US"/>
        </w:rPr>
        <w:softHyphen/>
        <w:t>յին</w:t>
      </w:r>
      <w:r w:rsidRPr="00BF7CB6">
        <w:rPr>
          <w:b w:val="0"/>
          <w:szCs w:val="22"/>
          <w:lang w:val="hy-AM" w:eastAsia="en-US"/>
        </w:rPr>
        <w:t xml:space="preserve"> </w:t>
      </w:r>
      <w:r w:rsidRPr="00BF7CB6">
        <w:rPr>
          <w:rFonts w:cs="Sylfaen"/>
          <w:b w:val="0"/>
          <w:szCs w:val="22"/>
          <w:lang w:val="hy-AM" w:eastAsia="en-US"/>
        </w:rPr>
        <w:t>եկա</w:t>
      </w:r>
      <w:r w:rsidRPr="00BF7CB6">
        <w:rPr>
          <w:rFonts w:cs="Sylfaen"/>
          <w:b w:val="0"/>
          <w:szCs w:val="22"/>
          <w:lang w:val="hy-AM" w:eastAsia="en-US"/>
        </w:rPr>
        <w:softHyphen/>
        <w:t>մուտների</w:t>
      </w:r>
      <w:r w:rsidRPr="00BF7CB6">
        <w:rPr>
          <w:b w:val="0"/>
          <w:szCs w:val="22"/>
          <w:lang w:val="hy-AM" w:eastAsia="en-US"/>
        </w:rPr>
        <w:t xml:space="preserve"> </w:t>
      </w:r>
      <w:r w:rsidRPr="00BF7CB6">
        <w:rPr>
          <w:rFonts w:cs="Sylfaen"/>
          <w:b w:val="0"/>
          <w:szCs w:val="22"/>
          <w:lang w:val="hy-AM" w:eastAsia="en-US"/>
        </w:rPr>
        <w:t>նկատ</w:t>
      </w:r>
      <w:r w:rsidRPr="00BF7CB6">
        <w:rPr>
          <w:rFonts w:cs="Sylfaen"/>
          <w:b w:val="0"/>
          <w:szCs w:val="22"/>
          <w:lang w:val="hy-AM" w:eastAsia="en-US"/>
        </w:rPr>
        <w:softHyphen/>
        <w:t>մամբ</w:t>
      </w:r>
      <w:r w:rsidRPr="00BF7CB6">
        <w:rPr>
          <w:b w:val="0"/>
          <w:szCs w:val="22"/>
          <w:lang w:val="hy-AM" w:eastAsia="en-US"/>
        </w:rPr>
        <w:t xml:space="preserve"> </w:t>
      </w:r>
      <w:r w:rsidRPr="00BF7CB6">
        <w:rPr>
          <w:rFonts w:cs="Sylfaen"/>
          <w:b w:val="0"/>
          <w:szCs w:val="22"/>
          <w:lang w:val="hy-AM" w:eastAsia="en-US"/>
        </w:rPr>
        <w:t>ծախսերի</w:t>
      </w:r>
      <w:r w:rsidRPr="00BF7CB6">
        <w:rPr>
          <w:b w:val="0"/>
          <w:szCs w:val="22"/>
          <w:lang w:val="hy-AM" w:eastAsia="en-US"/>
        </w:rPr>
        <w:t xml:space="preserve"> </w:t>
      </w:r>
      <w:r w:rsidRPr="00BF7CB6">
        <w:rPr>
          <w:rFonts w:cs="Sylfaen"/>
          <w:b w:val="0"/>
          <w:szCs w:val="22"/>
          <w:lang w:val="hy-AM" w:eastAsia="en-US"/>
        </w:rPr>
        <w:t>գերազանցմամբ</w:t>
      </w:r>
      <w:r w:rsidRPr="00BF7CB6">
        <w:rPr>
          <w:b w:val="0"/>
          <w:szCs w:val="22"/>
          <w:lang w:val="hy-AM" w:eastAsia="en-US"/>
        </w:rPr>
        <w:t xml:space="preserve">, </w:t>
      </w:r>
      <w:r w:rsidRPr="00BF7CB6">
        <w:rPr>
          <w:rFonts w:cs="Sylfaen"/>
          <w:b w:val="0"/>
          <w:szCs w:val="22"/>
          <w:lang w:val="hy-AM" w:eastAsia="en-US"/>
        </w:rPr>
        <w:t>ընդ</w:t>
      </w:r>
      <w:r w:rsidRPr="00BF7CB6">
        <w:rPr>
          <w:b w:val="0"/>
          <w:szCs w:val="22"/>
          <w:lang w:val="hy-AM" w:eastAsia="en-US"/>
        </w:rPr>
        <w:t xml:space="preserve"> </w:t>
      </w:r>
      <w:r w:rsidRPr="00BF7CB6">
        <w:rPr>
          <w:rFonts w:cs="Sylfaen"/>
          <w:b w:val="0"/>
          <w:szCs w:val="22"/>
          <w:lang w:val="hy-AM" w:eastAsia="en-US"/>
        </w:rPr>
        <w:t>որում՝</w:t>
      </w:r>
      <w:r w:rsidRPr="00BF7CB6">
        <w:rPr>
          <w:b w:val="0"/>
          <w:szCs w:val="22"/>
          <w:lang w:val="hy-AM" w:eastAsia="en-US"/>
        </w:rPr>
        <w:t xml:space="preserve"> </w:t>
      </w:r>
      <w:r w:rsidRPr="00BF7CB6">
        <w:rPr>
          <w:rFonts w:cs="Sylfaen"/>
          <w:b w:val="0"/>
          <w:szCs w:val="22"/>
          <w:lang w:val="hy-AM" w:eastAsia="en-US"/>
        </w:rPr>
        <w:t>բյուջետային</w:t>
      </w:r>
      <w:r w:rsidRPr="00BF7CB6">
        <w:rPr>
          <w:b w:val="0"/>
          <w:szCs w:val="22"/>
          <w:lang w:val="hy-AM" w:eastAsia="en-US"/>
        </w:rPr>
        <w:t xml:space="preserve"> </w:t>
      </w:r>
      <w:r w:rsidRPr="00BF7CB6">
        <w:rPr>
          <w:rFonts w:cs="Sylfaen"/>
          <w:b w:val="0"/>
          <w:szCs w:val="22"/>
          <w:lang w:val="hy-AM" w:eastAsia="en-US"/>
        </w:rPr>
        <w:t>դեֆիցի</w:t>
      </w:r>
      <w:r w:rsidRPr="00BF7CB6">
        <w:rPr>
          <w:rFonts w:cs="Sylfaen"/>
          <w:b w:val="0"/>
          <w:szCs w:val="22"/>
          <w:lang w:val="hy-AM" w:eastAsia="en-US"/>
        </w:rPr>
        <w:softHyphen/>
        <w:t>տի</w:t>
      </w:r>
      <w:r w:rsidRPr="00BF7CB6">
        <w:rPr>
          <w:b w:val="0"/>
          <w:szCs w:val="22"/>
          <w:lang w:val="hy-AM" w:eastAsia="en-US"/>
        </w:rPr>
        <w:t xml:space="preserve"> </w:t>
      </w:r>
      <w:r w:rsidRPr="00BF7CB6">
        <w:rPr>
          <w:rFonts w:cs="Sylfaen"/>
          <w:b w:val="0"/>
          <w:szCs w:val="22"/>
          <w:lang w:val="hy-AM" w:eastAsia="en-US"/>
        </w:rPr>
        <w:t>ֆինան</w:t>
      </w:r>
      <w:r w:rsidRPr="00BF7CB6">
        <w:rPr>
          <w:rFonts w:cs="Sylfaen"/>
          <w:b w:val="0"/>
          <w:szCs w:val="22"/>
          <w:vertAlign w:val="subscript"/>
          <w:lang w:val="hy-AM" w:eastAsia="en-US"/>
        </w:rPr>
        <w:softHyphen/>
      </w:r>
      <w:r w:rsidRPr="00BF7CB6">
        <w:rPr>
          <w:rFonts w:cs="Sylfaen"/>
          <w:b w:val="0"/>
          <w:szCs w:val="22"/>
          <w:lang w:val="hy-AM" w:eastAsia="en-US"/>
        </w:rPr>
        <w:softHyphen/>
        <w:t>սա</w:t>
      </w:r>
      <w:r w:rsidRPr="00BF7CB6">
        <w:rPr>
          <w:rFonts w:cs="Sylfaen"/>
          <w:b w:val="0"/>
          <w:szCs w:val="22"/>
          <w:lang w:val="hy-AM" w:eastAsia="en-US"/>
        </w:rPr>
        <w:softHyphen/>
        <w:t>վորման</w:t>
      </w:r>
      <w:r w:rsidRPr="00BF7CB6">
        <w:rPr>
          <w:b w:val="0"/>
          <w:szCs w:val="22"/>
          <w:lang w:val="hy-AM" w:eastAsia="en-US"/>
        </w:rPr>
        <w:t xml:space="preserve"> </w:t>
      </w:r>
      <w:r w:rsidRPr="00BF7CB6">
        <w:rPr>
          <w:rFonts w:cs="Sylfaen"/>
          <w:b w:val="0"/>
          <w:szCs w:val="22"/>
          <w:lang w:val="hy-AM" w:eastAsia="en-US"/>
        </w:rPr>
        <w:t>համար</w:t>
      </w:r>
      <w:r w:rsidRPr="00BF7CB6">
        <w:rPr>
          <w:b w:val="0"/>
          <w:szCs w:val="22"/>
          <w:lang w:val="hy-AM" w:eastAsia="en-US"/>
        </w:rPr>
        <w:t xml:space="preserve"> </w:t>
      </w:r>
      <w:r w:rsidRPr="00BF7CB6">
        <w:rPr>
          <w:rFonts w:cs="Sylfaen"/>
          <w:b w:val="0"/>
          <w:szCs w:val="22"/>
          <w:lang w:val="hy-AM" w:eastAsia="en-US"/>
        </w:rPr>
        <w:t>միջոց</w:t>
      </w:r>
      <w:r w:rsidRPr="00BF7CB6">
        <w:rPr>
          <w:rFonts w:cs="Sylfaen"/>
          <w:b w:val="0"/>
          <w:szCs w:val="22"/>
          <w:lang w:val="hy-AM" w:eastAsia="en-US"/>
        </w:rPr>
        <w:softHyphen/>
        <w:t>ների</w:t>
      </w:r>
      <w:r w:rsidRPr="00BF7CB6">
        <w:rPr>
          <w:b w:val="0"/>
          <w:szCs w:val="22"/>
          <w:lang w:val="hy-AM" w:eastAsia="en-US"/>
        </w:rPr>
        <w:t xml:space="preserve"> </w:t>
      </w:r>
      <w:r w:rsidRPr="00BF7CB6">
        <w:rPr>
          <w:rFonts w:cs="Sylfaen"/>
          <w:b w:val="0"/>
          <w:szCs w:val="22"/>
          <w:lang w:val="hy-AM" w:eastAsia="en-US"/>
        </w:rPr>
        <w:t>ներգրավումն</w:t>
      </w:r>
      <w:r w:rsidRPr="00BF7CB6">
        <w:rPr>
          <w:b w:val="0"/>
          <w:szCs w:val="22"/>
          <w:lang w:val="hy-AM" w:eastAsia="en-US"/>
        </w:rPr>
        <w:t xml:space="preserve"> </w:t>
      </w:r>
      <w:r w:rsidRPr="00BF7CB6">
        <w:rPr>
          <w:rFonts w:cs="Sylfaen"/>
          <w:b w:val="0"/>
          <w:szCs w:val="22"/>
          <w:lang w:val="hy-AM" w:eastAsia="en-US"/>
        </w:rPr>
        <w:t>իրականացվելու</w:t>
      </w:r>
      <w:r w:rsidRPr="00BF7CB6">
        <w:rPr>
          <w:b w:val="0"/>
          <w:szCs w:val="22"/>
          <w:lang w:val="hy-AM" w:eastAsia="en-US"/>
        </w:rPr>
        <w:t xml:space="preserve"> </w:t>
      </w:r>
      <w:r w:rsidRPr="00BF7CB6">
        <w:rPr>
          <w:rFonts w:cs="Sylfaen"/>
          <w:b w:val="0"/>
          <w:szCs w:val="22"/>
          <w:lang w:val="hy-AM" w:eastAsia="en-US"/>
        </w:rPr>
        <w:t>է</w:t>
      </w:r>
      <w:r w:rsidRPr="00BF7CB6">
        <w:rPr>
          <w:b w:val="0"/>
          <w:szCs w:val="22"/>
          <w:lang w:val="hy-AM" w:eastAsia="en-US"/>
        </w:rPr>
        <w:t xml:space="preserve"> </w:t>
      </w:r>
      <w:r w:rsidRPr="00BF7CB6">
        <w:rPr>
          <w:rFonts w:cs="Sylfaen"/>
          <w:b w:val="0"/>
          <w:szCs w:val="22"/>
          <w:lang w:val="hy-AM" w:eastAsia="en-US"/>
        </w:rPr>
        <w:t>ինչպես</w:t>
      </w:r>
      <w:r w:rsidRPr="00BF7CB6">
        <w:rPr>
          <w:b w:val="0"/>
          <w:szCs w:val="22"/>
          <w:lang w:val="hy-AM" w:eastAsia="en-US"/>
        </w:rPr>
        <w:t xml:space="preserve"> </w:t>
      </w:r>
      <w:r w:rsidRPr="00BF7CB6">
        <w:rPr>
          <w:rFonts w:cs="Sylfaen"/>
          <w:b w:val="0"/>
          <w:szCs w:val="22"/>
          <w:lang w:val="hy-AM" w:eastAsia="en-US"/>
        </w:rPr>
        <w:t>ներքին</w:t>
      </w:r>
      <w:r w:rsidRPr="00BF7CB6">
        <w:rPr>
          <w:b w:val="0"/>
          <w:szCs w:val="22"/>
          <w:lang w:val="hy-AM" w:eastAsia="en-US"/>
        </w:rPr>
        <w:t xml:space="preserve">, </w:t>
      </w:r>
      <w:r w:rsidRPr="00BF7CB6">
        <w:rPr>
          <w:rFonts w:cs="Sylfaen"/>
          <w:b w:val="0"/>
          <w:szCs w:val="22"/>
          <w:lang w:val="hy-AM" w:eastAsia="en-US"/>
        </w:rPr>
        <w:t>այն</w:t>
      </w:r>
      <w:r w:rsidRPr="00BF7CB6">
        <w:rPr>
          <w:rFonts w:cs="Sylfaen"/>
          <w:b w:val="0"/>
          <w:szCs w:val="22"/>
          <w:lang w:val="hy-AM" w:eastAsia="en-US"/>
        </w:rPr>
        <w:softHyphen/>
        <w:t>պես</w:t>
      </w:r>
      <w:r w:rsidRPr="00BF7CB6">
        <w:rPr>
          <w:b w:val="0"/>
          <w:szCs w:val="22"/>
          <w:lang w:val="hy-AM" w:eastAsia="en-US"/>
        </w:rPr>
        <w:t xml:space="preserve"> </w:t>
      </w:r>
      <w:r w:rsidRPr="00BF7CB6">
        <w:rPr>
          <w:rFonts w:cs="Sylfaen"/>
          <w:b w:val="0"/>
          <w:szCs w:val="22"/>
          <w:lang w:val="hy-AM" w:eastAsia="en-US"/>
        </w:rPr>
        <w:t>էլ</w:t>
      </w:r>
      <w:r w:rsidRPr="00BF7CB6">
        <w:rPr>
          <w:b w:val="0"/>
          <w:szCs w:val="22"/>
          <w:lang w:val="hy-AM" w:eastAsia="en-US"/>
        </w:rPr>
        <w:t xml:space="preserve">  </w:t>
      </w:r>
      <w:r w:rsidRPr="00BF7CB6">
        <w:rPr>
          <w:rFonts w:cs="Sylfaen"/>
          <w:b w:val="0"/>
          <w:szCs w:val="22"/>
          <w:lang w:val="hy-AM" w:eastAsia="en-US"/>
        </w:rPr>
        <w:t>արտա</w:t>
      </w:r>
      <w:r w:rsidRPr="00BF7CB6">
        <w:rPr>
          <w:rFonts w:cs="Sylfaen"/>
          <w:b w:val="0"/>
          <w:szCs w:val="22"/>
          <w:lang w:val="hy-AM" w:eastAsia="en-US"/>
        </w:rPr>
        <w:softHyphen/>
        <w:t>քին աղբյուր</w:t>
      </w:r>
      <w:r w:rsidRPr="00BF7CB6">
        <w:rPr>
          <w:rFonts w:cs="Sylfaen"/>
          <w:b w:val="0"/>
          <w:szCs w:val="22"/>
          <w:lang w:val="hy-AM" w:eastAsia="en-US"/>
        </w:rPr>
        <w:softHyphen/>
        <w:t xml:space="preserve">ներից, համապատասխանաբար` </w:t>
      </w:r>
      <w:r>
        <w:rPr>
          <w:rFonts w:cs="Sylfaen"/>
          <w:b w:val="0"/>
          <w:szCs w:val="22"/>
          <w:lang w:val="af-ZA" w:eastAsia="en-US"/>
        </w:rPr>
        <w:t>138.7</w:t>
      </w:r>
      <w:r>
        <w:rPr>
          <w:rFonts w:cs="Sylfaen"/>
          <w:b w:val="0"/>
          <w:szCs w:val="22"/>
          <w:lang w:val="hy-AM" w:eastAsia="en-US"/>
        </w:rPr>
        <w:t xml:space="preserve"> մլրդ դրամի և 202.</w:t>
      </w:r>
      <w:r w:rsidRPr="007629B0">
        <w:rPr>
          <w:rFonts w:cs="Sylfaen"/>
          <w:b w:val="0"/>
          <w:szCs w:val="22"/>
          <w:lang w:val="af-ZA" w:eastAsia="en-US"/>
        </w:rPr>
        <w:t>7</w:t>
      </w:r>
      <w:r w:rsidRPr="00BF7CB6">
        <w:rPr>
          <w:rFonts w:cs="Sylfaen"/>
          <w:b w:val="0"/>
          <w:szCs w:val="22"/>
          <w:lang w:val="hy-AM" w:eastAsia="en-US"/>
        </w:rPr>
        <w:t xml:space="preserve"> մլրդ դրամի չափով: </w:t>
      </w:r>
    </w:p>
    <w:p w:rsidR="009B3F20" w:rsidRPr="00BF7CB6" w:rsidRDefault="009B3F20" w:rsidP="007730AA">
      <w:pPr>
        <w:spacing w:before="0" w:line="276" w:lineRule="auto"/>
        <w:ind w:firstLine="600"/>
        <w:contextualSpacing w:val="0"/>
        <w:rPr>
          <w:rFonts w:cs="Sylfaen"/>
          <w:b w:val="0"/>
          <w:szCs w:val="22"/>
          <w:lang w:val="hy-AM" w:eastAsia="en-US"/>
        </w:rPr>
      </w:pPr>
      <w:r w:rsidRPr="00BF7CB6">
        <w:rPr>
          <w:rFonts w:cs="Sylfaen"/>
          <w:b w:val="0"/>
          <w:szCs w:val="22"/>
          <w:lang w:val="hy-AM" w:eastAsia="en-US"/>
        </w:rPr>
        <w:t>ՀՀ 2021 թվականի պետական բյուջեի նախագծով դեֆիցիտի ֆինանսավորման նպա</w:t>
      </w:r>
      <w:r w:rsidRPr="00BF7CB6">
        <w:rPr>
          <w:rFonts w:cs="Sylfaen"/>
          <w:b w:val="0"/>
          <w:szCs w:val="22"/>
          <w:lang w:val="hy-AM" w:eastAsia="en-US"/>
        </w:rPr>
        <w:softHyphen/>
        <w:t>տա</w:t>
      </w:r>
      <w:r w:rsidRPr="00BF7CB6">
        <w:rPr>
          <w:rFonts w:cs="Sylfaen"/>
          <w:b w:val="0"/>
          <w:szCs w:val="22"/>
          <w:lang w:val="hy-AM" w:eastAsia="en-US"/>
        </w:rPr>
        <w:softHyphen/>
        <w:t>կով ներքին աղբյուրներից ներգրավվող փոխառու զուտ միջոցների ընդհանուր գու</w:t>
      </w:r>
      <w:r w:rsidRPr="00BF7CB6">
        <w:rPr>
          <w:rFonts w:cs="Sylfaen"/>
          <w:b w:val="0"/>
          <w:szCs w:val="22"/>
          <w:lang w:val="hy-AM" w:eastAsia="en-US"/>
        </w:rPr>
        <w:softHyphen/>
        <w:t>մարը ծրագ</w:t>
      </w:r>
      <w:r w:rsidRPr="00BF7CB6">
        <w:rPr>
          <w:rFonts w:cs="Sylfaen"/>
          <w:b w:val="0"/>
          <w:szCs w:val="22"/>
          <w:lang w:val="hy-AM" w:eastAsia="en-US"/>
        </w:rPr>
        <w:softHyphen/>
        <w:t>րա</w:t>
      </w:r>
      <w:r w:rsidRPr="00BF7CB6">
        <w:rPr>
          <w:rFonts w:cs="Sylfaen"/>
          <w:b w:val="0"/>
          <w:szCs w:val="22"/>
          <w:lang w:val="hy-AM" w:eastAsia="en-US"/>
        </w:rPr>
        <w:softHyphen/>
        <w:t xml:space="preserve">վորվում է շուրջ </w:t>
      </w:r>
      <w:r w:rsidRPr="00877049">
        <w:rPr>
          <w:rFonts w:cs="Sylfaen"/>
          <w:b w:val="0"/>
          <w:szCs w:val="22"/>
          <w:lang w:val="hy-AM" w:eastAsia="en-US"/>
        </w:rPr>
        <w:t>209.9</w:t>
      </w:r>
      <w:r w:rsidRPr="00BF7CB6">
        <w:rPr>
          <w:rFonts w:cs="Sylfaen"/>
          <w:b w:val="0"/>
          <w:szCs w:val="22"/>
          <w:lang w:val="hy-AM" w:eastAsia="en-US"/>
        </w:rPr>
        <w:t xml:space="preserve"> մլրդ դրամի չափով, ընդ որում, փոխառու միջոցների մուտ</w:t>
      </w:r>
      <w:r w:rsidRPr="00BF7CB6">
        <w:rPr>
          <w:rFonts w:cs="Sylfaen"/>
          <w:b w:val="0"/>
          <w:szCs w:val="22"/>
          <w:lang w:val="hy-AM" w:eastAsia="en-US"/>
        </w:rPr>
        <w:softHyphen/>
        <w:t>քերի ներ</w:t>
      </w:r>
      <w:r w:rsidRPr="00BF7CB6">
        <w:rPr>
          <w:rFonts w:cs="Sylfaen"/>
          <w:b w:val="0"/>
          <w:szCs w:val="22"/>
          <w:lang w:val="hy-AM" w:eastAsia="en-US"/>
        </w:rPr>
        <w:softHyphen/>
        <w:t>գրա</w:t>
      </w:r>
      <w:r w:rsidRPr="00BF7CB6">
        <w:rPr>
          <w:rFonts w:cs="Sylfaen"/>
          <w:b w:val="0"/>
          <w:szCs w:val="22"/>
          <w:lang w:val="hy-AM" w:eastAsia="en-US"/>
        </w:rPr>
        <w:softHyphen/>
        <w:t>վու</w:t>
      </w:r>
      <w:r w:rsidRPr="00BF7CB6">
        <w:rPr>
          <w:rFonts w:cs="Sylfaen"/>
          <w:b w:val="0"/>
          <w:szCs w:val="22"/>
          <w:lang w:val="hy-AM" w:eastAsia="en-US"/>
        </w:rPr>
        <w:softHyphen/>
        <w:t>մը ամբողջությամբ նախատեսվում է ապահովել պետական արժեթղթերի թողար</w:t>
      </w:r>
      <w:r w:rsidRPr="00BF7CB6">
        <w:rPr>
          <w:rFonts w:cs="Sylfaen"/>
          <w:b w:val="0"/>
          <w:szCs w:val="22"/>
          <w:lang w:val="hy-AM" w:eastAsia="en-US"/>
        </w:rPr>
        <w:softHyphen/>
        <w:t>կումից: Ֆի</w:t>
      </w:r>
      <w:r w:rsidRPr="00BF7CB6">
        <w:rPr>
          <w:rFonts w:cs="Sylfaen"/>
          <w:b w:val="0"/>
          <w:szCs w:val="22"/>
          <w:lang w:val="hy-AM" w:eastAsia="en-US"/>
        </w:rPr>
        <w:softHyphen/>
        <w:t>նան</w:t>
      </w:r>
      <w:r w:rsidRPr="00BF7CB6">
        <w:rPr>
          <w:rFonts w:cs="Sylfaen"/>
          <w:b w:val="0"/>
          <w:szCs w:val="22"/>
          <w:lang w:val="hy-AM" w:eastAsia="en-US"/>
        </w:rPr>
        <w:softHyphen/>
        <w:t>սա</w:t>
      </w:r>
      <w:r w:rsidRPr="00BF7CB6">
        <w:rPr>
          <w:rFonts w:cs="Sylfaen"/>
          <w:b w:val="0"/>
          <w:szCs w:val="22"/>
          <w:lang w:val="hy-AM" w:eastAsia="en-US"/>
        </w:rPr>
        <w:softHyphen/>
        <w:t xml:space="preserve">կան ակտիվներից 2021 թվականի զուտ մուտքերը ծրագրավորվում են շուրջ </w:t>
      </w:r>
      <w:r w:rsidRPr="007629B0">
        <w:rPr>
          <w:rFonts w:cs="Sylfaen"/>
          <w:b w:val="0"/>
          <w:szCs w:val="22"/>
          <w:lang w:val="hy-AM" w:eastAsia="en-US"/>
        </w:rPr>
        <w:t>-71.2</w:t>
      </w:r>
      <w:r w:rsidRPr="00BF7CB6">
        <w:rPr>
          <w:rFonts w:cs="Sylfaen"/>
          <w:b w:val="0"/>
          <w:szCs w:val="22"/>
          <w:lang w:val="hy-AM" w:eastAsia="en-US"/>
        </w:rPr>
        <w:t xml:space="preserve"> մլրդ դրամ, ընդ որում, վարկերի և փոխա</w:t>
      </w:r>
      <w:r>
        <w:rPr>
          <w:rFonts w:cs="Sylfaen"/>
          <w:b w:val="0"/>
          <w:szCs w:val="22"/>
          <w:lang w:val="hy-AM" w:eastAsia="en-US"/>
        </w:rPr>
        <w:t>տվությունների տրամադրման գծով՝ -</w:t>
      </w:r>
      <w:r w:rsidRPr="00BF7CB6">
        <w:rPr>
          <w:rFonts w:cs="Sylfaen"/>
          <w:b w:val="0"/>
          <w:szCs w:val="22"/>
          <w:lang w:val="hy-AM" w:eastAsia="en-US"/>
        </w:rPr>
        <w:t>72.</w:t>
      </w:r>
      <w:r w:rsidRPr="00877049">
        <w:rPr>
          <w:rFonts w:cs="Sylfaen"/>
          <w:b w:val="0"/>
          <w:szCs w:val="22"/>
          <w:lang w:val="hy-AM" w:eastAsia="en-US"/>
        </w:rPr>
        <w:t>6</w:t>
      </w:r>
      <w:r w:rsidRPr="00BF7CB6">
        <w:rPr>
          <w:rFonts w:cs="Sylfaen"/>
          <w:b w:val="0"/>
          <w:szCs w:val="22"/>
          <w:lang w:val="hy-AM" w:eastAsia="en-US"/>
        </w:rPr>
        <w:t xml:space="preserve"> մլրդ դրամ, իսկ տնտես</w:t>
      </w:r>
      <w:r w:rsidRPr="00BF7CB6">
        <w:rPr>
          <w:rFonts w:cs="Sylfaen"/>
          <w:b w:val="0"/>
          <w:szCs w:val="22"/>
          <w:lang w:val="hy-AM" w:eastAsia="en-US"/>
        </w:rPr>
        <w:softHyphen/>
      </w:r>
      <w:r w:rsidRPr="00BF7CB6">
        <w:rPr>
          <w:rFonts w:cs="Sylfaen"/>
          <w:b w:val="0"/>
          <w:szCs w:val="22"/>
          <w:lang w:val="hy-AM" w:eastAsia="en-US"/>
        </w:rPr>
        <w:softHyphen/>
        <w:t>վարող և այլ սուբյեկտներին տրա</w:t>
      </w:r>
      <w:r w:rsidRPr="00BF7CB6">
        <w:rPr>
          <w:rFonts w:cs="Sylfaen"/>
          <w:b w:val="0"/>
          <w:szCs w:val="22"/>
          <w:lang w:val="hy-AM" w:eastAsia="en-US"/>
        </w:rPr>
        <w:softHyphen/>
        <w:t>մադրված բյուջետային վարկերի և փոխատ</w:t>
      </w:r>
      <w:r w:rsidRPr="00BF7CB6">
        <w:rPr>
          <w:rFonts w:cs="Sylfaen"/>
          <w:b w:val="0"/>
          <w:szCs w:val="22"/>
          <w:lang w:val="hy-AM" w:eastAsia="en-US"/>
        </w:rPr>
        <w:softHyphen/>
        <w:t>վու</w:t>
      </w:r>
      <w:r w:rsidRPr="00BF7CB6">
        <w:rPr>
          <w:rFonts w:cs="Sylfaen"/>
          <w:b w:val="0"/>
          <w:szCs w:val="22"/>
          <w:lang w:val="hy-AM" w:eastAsia="en-US"/>
        </w:rPr>
        <w:softHyphen/>
        <w:t>թյուն</w:t>
      </w:r>
      <w:r w:rsidRPr="00BF7CB6">
        <w:rPr>
          <w:rFonts w:cs="Sylfaen"/>
          <w:b w:val="0"/>
          <w:szCs w:val="22"/>
          <w:lang w:val="hy-AM" w:eastAsia="en-US"/>
        </w:rPr>
        <w:softHyphen/>
        <w:t>նե</w:t>
      </w:r>
      <w:r w:rsidRPr="00BF7CB6">
        <w:rPr>
          <w:rFonts w:cs="Sylfaen"/>
          <w:b w:val="0"/>
          <w:szCs w:val="22"/>
          <w:lang w:val="hy-AM" w:eastAsia="en-US"/>
        </w:rPr>
        <w:softHyphen/>
        <w:t xml:space="preserve">րի </w:t>
      </w:r>
      <w:r>
        <w:rPr>
          <w:rFonts w:cs="Sylfaen"/>
          <w:b w:val="0"/>
          <w:szCs w:val="22"/>
          <w:lang w:val="hy-AM" w:eastAsia="en-US"/>
        </w:rPr>
        <w:t>վերադարձից մուտ</w:t>
      </w:r>
      <w:r>
        <w:rPr>
          <w:rFonts w:cs="Sylfaen"/>
          <w:b w:val="0"/>
          <w:szCs w:val="22"/>
          <w:lang w:val="hy-AM" w:eastAsia="en-US"/>
        </w:rPr>
        <w:softHyphen/>
        <w:t>քե</w:t>
      </w:r>
      <w:r>
        <w:rPr>
          <w:rFonts w:cs="Sylfaen"/>
          <w:b w:val="0"/>
          <w:szCs w:val="22"/>
          <w:lang w:val="hy-AM" w:eastAsia="en-US"/>
        </w:rPr>
        <w:softHyphen/>
        <w:t>րի գծով` 27.</w:t>
      </w:r>
      <w:r w:rsidRPr="00877049">
        <w:rPr>
          <w:rFonts w:cs="Sylfaen"/>
          <w:b w:val="0"/>
          <w:szCs w:val="22"/>
          <w:lang w:val="hy-AM" w:eastAsia="en-US"/>
        </w:rPr>
        <w:t>4</w:t>
      </w:r>
      <w:r w:rsidRPr="00BF7CB6">
        <w:rPr>
          <w:rFonts w:cs="Sylfaen"/>
          <w:b w:val="0"/>
          <w:szCs w:val="22"/>
          <w:lang w:val="hy-AM" w:eastAsia="en-US"/>
        </w:rPr>
        <w:t xml:space="preserve"> մլրդ դրամ:</w:t>
      </w:r>
    </w:p>
    <w:p w:rsidR="009B3F20" w:rsidRPr="00BF7CB6" w:rsidRDefault="009B3F20" w:rsidP="007730AA">
      <w:pPr>
        <w:spacing w:before="0" w:line="276" w:lineRule="auto"/>
        <w:ind w:firstLine="600"/>
        <w:contextualSpacing w:val="0"/>
        <w:rPr>
          <w:rFonts w:cs="Sylfaen"/>
          <w:b w:val="0"/>
          <w:szCs w:val="22"/>
          <w:lang w:val="hy-AM" w:eastAsia="en-US"/>
        </w:rPr>
      </w:pPr>
      <w:r w:rsidRPr="00BF7CB6">
        <w:rPr>
          <w:rFonts w:cs="Sylfaen"/>
          <w:b w:val="0"/>
          <w:szCs w:val="22"/>
          <w:lang w:val="hy-AM" w:eastAsia="en-US"/>
        </w:rPr>
        <w:t>ՀՀ 2021 թվականի պետական բյուջեի նախագծով դեֆիցիտի ֆինանսավորման նպա</w:t>
      </w:r>
      <w:r w:rsidRPr="00BF7CB6">
        <w:rPr>
          <w:rFonts w:cs="Sylfaen"/>
          <w:b w:val="0"/>
          <w:szCs w:val="22"/>
          <w:lang w:val="hy-AM" w:eastAsia="en-US"/>
        </w:rPr>
        <w:softHyphen/>
        <w:t>տա</w:t>
      </w:r>
      <w:r w:rsidRPr="00BF7CB6">
        <w:rPr>
          <w:rFonts w:cs="Sylfaen"/>
          <w:b w:val="0"/>
          <w:szCs w:val="22"/>
          <w:lang w:val="hy-AM" w:eastAsia="en-US"/>
        </w:rPr>
        <w:softHyphen/>
        <w:t>կով արտաքին աղբյուրներից ներգրավվող փոխառու զուտ միջոցների ծրա</w:t>
      </w:r>
      <w:r w:rsidRPr="00BF7CB6">
        <w:rPr>
          <w:rFonts w:cs="Sylfaen"/>
          <w:b w:val="0"/>
          <w:szCs w:val="22"/>
          <w:lang w:val="hy-AM" w:eastAsia="en-US"/>
        </w:rPr>
        <w:softHyphen/>
        <w:t>գր</w:t>
      </w:r>
      <w:r w:rsidRPr="00BF7CB6">
        <w:rPr>
          <w:rFonts w:cs="Sylfaen"/>
          <w:b w:val="0"/>
          <w:szCs w:val="22"/>
          <w:lang w:val="hy-AM" w:eastAsia="en-US"/>
        </w:rPr>
        <w:softHyphen/>
        <w:t>ված ընդ</w:t>
      </w:r>
      <w:r w:rsidRPr="00BF7CB6">
        <w:rPr>
          <w:rFonts w:cs="Sylfaen"/>
          <w:b w:val="0"/>
          <w:szCs w:val="22"/>
          <w:lang w:val="hy-AM" w:eastAsia="en-US"/>
        </w:rPr>
        <w:softHyphen/>
        <w:t>հա</w:t>
      </w:r>
      <w:r w:rsidRPr="00BF7CB6">
        <w:rPr>
          <w:rFonts w:cs="Sylfaen"/>
          <w:b w:val="0"/>
          <w:szCs w:val="22"/>
          <w:lang w:val="hy-AM" w:eastAsia="en-US"/>
        </w:rPr>
        <w:softHyphen/>
        <w:t>նուր գու</w:t>
      </w:r>
      <w:r w:rsidRPr="00BF7CB6">
        <w:rPr>
          <w:rFonts w:cs="Sylfaen"/>
          <w:b w:val="0"/>
          <w:szCs w:val="22"/>
          <w:lang w:val="hy-AM" w:eastAsia="en-US"/>
        </w:rPr>
        <w:softHyphen/>
        <w:t>մա</w:t>
      </w:r>
      <w:r w:rsidRPr="00BF7CB6">
        <w:rPr>
          <w:rFonts w:cs="Sylfaen"/>
          <w:b w:val="0"/>
          <w:szCs w:val="22"/>
          <w:lang w:val="hy-AM" w:eastAsia="en-US"/>
        </w:rPr>
        <w:softHyphen/>
        <w:t xml:space="preserve">րը՝ </w:t>
      </w:r>
      <w:r w:rsidRPr="00DB10FB">
        <w:rPr>
          <w:rFonts w:cs="Sylfaen"/>
          <w:b w:val="0"/>
          <w:szCs w:val="22"/>
          <w:lang w:val="hy-AM" w:eastAsia="en-US"/>
        </w:rPr>
        <w:t>26</w:t>
      </w:r>
      <w:r w:rsidRPr="00E26A13">
        <w:rPr>
          <w:rFonts w:cs="Sylfaen"/>
          <w:b w:val="0"/>
          <w:szCs w:val="22"/>
          <w:lang w:val="hy-AM" w:eastAsia="en-US"/>
        </w:rPr>
        <w:t>8</w:t>
      </w:r>
      <w:r w:rsidRPr="00DB10FB">
        <w:rPr>
          <w:rFonts w:cs="Sylfaen"/>
          <w:b w:val="0"/>
          <w:szCs w:val="22"/>
          <w:lang w:val="hy-AM" w:eastAsia="en-US"/>
        </w:rPr>
        <w:t>.1</w:t>
      </w:r>
      <w:r w:rsidRPr="00BF7CB6">
        <w:rPr>
          <w:rFonts w:cs="Sylfaen"/>
          <w:b w:val="0"/>
          <w:szCs w:val="22"/>
          <w:lang w:val="hy-AM" w:eastAsia="en-US"/>
        </w:rPr>
        <w:t xml:space="preserve"> մլրդ դրամ հաշվարկվել է որպես միջազ</w:t>
      </w:r>
      <w:r w:rsidRPr="00BF7CB6">
        <w:rPr>
          <w:rFonts w:cs="Sylfaen"/>
          <w:b w:val="0"/>
          <w:szCs w:val="22"/>
          <w:lang w:val="hy-AM" w:eastAsia="en-US"/>
        </w:rPr>
        <w:softHyphen/>
        <w:t>գային կազմակեր</w:t>
      </w:r>
      <w:r w:rsidRPr="00BF7CB6">
        <w:rPr>
          <w:rFonts w:cs="Sylfaen"/>
          <w:b w:val="0"/>
          <w:szCs w:val="22"/>
          <w:lang w:val="hy-AM" w:eastAsia="en-US"/>
        </w:rPr>
        <w:softHyphen/>
        <w:t>պություններից և օտար</w:t>
      </w:r>
      <w:r w:rsidRPr="00BF7CB6">
        <w:rPr>
          <w:rFonts w:cs="Sylfaen"/>
          <w:b w:val="0"/>
          <w:szCs w:val="22"/>
          <w:lang w:val="hy-AM" w:eastAsia="en-US"/>
        </w:rPr>
        <w:softHyphen/>
        <w:t>եր</w:t>
      </w:r>
      <w:r w:rsidRPr="00BF7CB6">
        <w:rPr>
          <w:rFonts w:cs="Sylfaen"/>
          <w:b w:val="0"/>
          <w:szCs w:val="22"/>
          <w:lang w:val="hy-AM" w:eastAsia="en-US"/>
        </w:rPr>
        <w:softHyphen/>
        <w:t>կրյա պետություններից Հայաս</w:t>
      </w:r>
      <w:r w:rsidRPr="00BF7CB6">
        <w:rPr>
          <w:rFonts w:cs="Sylfaen"/>
          <w:b w:val="0"/>
          <w:szCs w:val="22"/>
          <w:lang w:val="hy-AM" w:eastAsia="en-US"/>
        </w:rPr>
        <w:softHyphen/>
        <w:t>տանի Հան</w:t>
      </w:r>
      <w:r w:rsidRPr="00BF7CB6">
        <w:rPr>
          <w:rFonts w:cs="Sylfaen"/>
          <w:b w:val="0"/>
          <w:szCs w:val="22"/>
          <w:lang w:val="hy-AM" w:eastAsia="en-US"/>
        </w:rPr>
        <w:softHyphen/>
        <w:t>րապե</w:t>
      </w:r>
      <w:r w:rsidRPr="00BF7CB6">
        <w:rPr>
          <w:rFonts w:cs="Sylfaen"/>
          <w:b w:val="0"/>
          <w:szCs w:val="22"/>
          <w:lang w:val="hy-AM" w:eastAsia="en-US"/>
        </w:rPr>
        <w:softHyphen/>
        <w:t>տությանը 2021 թվականին տրա</w:t>
      </w:r>
      <w:r w:rsidRPr="00BF7CB6">
        <w:rPr>
          <w:rFonts w:cs="Sylfaen"/>
          <w:b w:val="0"/>
          <w:szCs w:val="22"/>
          <w:lang w:val="hy-AM" w:eastAsia="en-US"/>
        </w:rPr>
        <w:softHyphen/>
        <w:t>մադր</w:t>
      </w:r>
      <w:r w:rsidRPr="00BF7CB6">
        <w:rPr>
          <w:rFonts w:cs="Sylfaen"/>
          <w:b w:val="0"/>
          <w:szCs w:val="22"/>
          <w:lang w:val="hy-AM" w:eastAsia="en-US"/>
        </w:rPr>
        <w:softHyphen/>
        <w:t>վե</w:t>
      </w:r>
      <w:r w:rsidRPr="00BF7CB6">
        <w:rPr>
          <w:rFonts w:cs="Sylfaen"/>
          <w:b w:val="0"/>
          <w:szCs w:val="22"/>
          <w:lang w:val="hy-AM" w:eastAsia="en-US"/>
        </w:rPr>
        <w:softHyphen/>
        <w:t>լիք վարկերի (որոնց մասն ունի հս</w:t>
      </w:r>
      <w:r>
        <w:rPr>
          <w:rFonts w:cs="Sylfaen"/>
          <w:b w:val="0"/>
          <w:szCs w:val="22"/>
          <w:lang w:val="hy-AM" w:eastAsia="en-US"/>
        </w:rPr>
        <w:t>տակ ծրագրային ուղղվա</w:t>
      </w:r>
      <w:r>
        <w:rPr>
          <w:rFonts w:cs="Sylfaen"/>
          <w:b w:val="0"/>
          <w:szCs w:val="22"/>
          <w:lang w:val="hy-AM" w:eastAsia="en-US"/>
        </w:rPr>
        <w:softHyphen/>
        <w:t>ծություն),</w:t>
      </w:r>
      <w:r w:rsidRPr="00BF7CB6">
        <w:rPr>
          <w:rFonts w:cs="Sylfaen"/>
          <w:b w:val="0"/>
          <w:szCs w:val="22"/>
          <w:lang w:val="hy-AM" w:eastAsia="en-US"/>
        </w:rPr>
        <w:t xml:space="preserve"> մինչ այդ արդեն ստաց</w:t>
      </w:r>
      <w:r w:rsidRPr="00BF7CB6">
        <w:rPr>
          <w:rFonts w:cs="Sylfaen"/>
          <w:b w:val="0"/>
          <w:szCs w:val="22"/>
          <w:lang w:val="hy-AM" w:eastAsia="en-US"/>
        </w:rPr>
        <w:softHyphen/>
      </w:r>
      <w:r w:rsidRPr="00BF7CB6">
        <w:rPr>
          <w:rFonts w:cs="Sylfaen"/>
          <w:b w:val="0"/>
          <w:szCs w:val="22"/>
          <w:lang w:val="hy-AM" w:eastAsia="en-US"/>
        </w:rPr>
        <w:softHyphen/>
        <w:t>ված վարկերի, ըստ վար</w:t>
      </w:r>
      <w:r w:rsidRPr="00BF7CB6">
        <w:rPr>
          <w:rFonts w:cs="Sylfaen"/>
          <w:b w:val="0"/>
          <w:szCs w:val="22"/>
          <w:lang w:val="hy-AM" w:eastAsia="en-US"/>
        </w:rPr>
        <w:softHyphen/>
      </w:r>
      <w:r w:rsidRPr="00BF7CB6">
        <w:rPr>
          <w:rFonts w:cs="Sylfaen"/>
          <w:b w:val="0"/>
          <w:szCs w:val="22"/>
          <w:lang w:val="hy-AM" w:eastAsia="en-US"/>
        </w:rPr>
        <w:softHyphen/>
        <w:t>կային պայ</w:t>
      </w:r>
      <w:r w:rsidRPr="00BF7CB6">
        <w:rPr>
          <w:rFonts w:cs="Sylfaen"/>
          <w:b w:val="0"/>
          <w:szCs w:val="22"/>
          <w:lang w:val="hy-AM" w:eastAsia="en-US"/>
        </w:rPr>
        <w:softHyphen/>
        <w:t>մանագրերով նախա</w:t>
      </w:r>
      <w:r w:rsidRPr="00BF7CB6">
        <w:rPr>
          <w:rFonts w:cs="Sylfaen"/>
          <w:b w:val="0"/>
          <w:szCs w:val="22"/>
          <w:lang w:val="hy-AM" w:eastAsia="en-US"/>
        </w:rPr>
        <w:softHyphen/>
        <w:t>տեսված ժամ</w:t>
      </w:r>
      <w:r w:rsidRPr="00BF7CB6">
        <w:rPr>
          <w:rFonts w:cs="Sylfaen"/>
          <w:b w:val="0"/>
          <w:szCs w:val="22"/>
          <w:lang w:val="hy-AM" w:eastAsia="en-US"/>
        </w:rPr>
        <w:softHyphen/>
        <w:t>կետ</w:t>
      </w:r>
      <w:r w:rsidRPr="00BF7CB6">
        <w:rPr>
          <w:rFonts w:cs="Sylfaen"/>
          <w:b w:val="0"/>
          <w:szCs w:val="22"/>
          <w:lang w:val="hy-AM" w:eastAsia="en-US"/>
        </w:rPr>
        <w:softHyphen/>
      </w:r>
      <w:r w:rsidRPr="00BF7CB6">
        <w:rPr>
          <w:rFonts w:cs="Sylfaen"/>
          <w:b w:val="0"/>
          <w:szCs w:val="22"/>
          <w:lang w:val="hy-AM" w:eastAsia="en-US"/>
        </w:rPr>
        <w:softHyphen/>
        <w:t>նե</w:t>
      </w:r>
      <w:r w:rsidRPr="00BF7CB6">
        <w:rPr>
          <w:rFonts w:cs="Sylfaen"/>
          <w:b w:val="0"/>
          <w:szCs w:val="22"/>
          <w:lang w:val="hy-AM" w:eastAsia="en-US"/>
        </w:rPr>
        <w:softHyphen/>
        <w:t>րի, մարման գու</w:t>
      </w:r>
      <w:r w:rsidRPr="00BF7CB6">
        <w:rPr>
          <w:rFonts w:cs="Sylfaen"/>
          <w:b w:val="0"/>
          <w:szCs w:val="22"/>
          <w:lang w:val="hy-AM" w:eastAsia="en-US"/>
        </w:rPr>
        <w:softHyphen/>
        <w:t>մար</w:t>
      </w:r>
      <w:r w:rsidRPr="00BF7CB6">
        <w:rPr>
          <w:rFonts w:cs="Sylfaen"/>
          <w:b w:val="0"/>
          <w:szCs w:val="22"/>
          <w:lang w:val="hy-AM" w:eastAsia="en-US"/>
        </w:rPr>
        <w:softHyphen/>
        <w:t>ների (նշված զուտ մուտքերի վերա</w:t>
      </w:r>
      <w:r w:rsidRPr="00BF7CB6">
        <w:rPr>
          <w:rFonts w:cs="Sylfaen"/>
          <w:b w:val="0"/>
          <w:szCs w:val="22"/>
          <w:lang w:val="hy-AM" w:eastAsia="en-US"/>
        </w:rPr>
        <w:softHyphen/>
        <w:t>բերյալ մանրա</w:t>
      </w:r>
      <w:r w:rsidRPr="00BF7CB6">
        <w:rPr>
          <w:rFonts w:cs="Sylfaen"/>
          <w:b w:val="0"/>
          <w:szCs w:val="22"/>
          <w:lang w:val="hy-AM" w:eastAsia="en-US"/>
        </w:rPr>
        <w:softHyphen/>
        <w:t>մասն հա</w:t>
      </w:r>
      <w:r w:rsidRPr="00BF7CB6">
        <w:rPr>
          <w:rFonts w:cs="Sylfaen"/>
          <w:b w:val="0"/>
          <w:szCs w:val="22"/>
          <w:lang w:val="hy-AM" w:eastAsia="en-US"/>
        </w:rPr>
        <w:softHyphen/>
        <w:t>մա</w:t>
      </w:r>
      <w:r w:rsidRPr="00BF7CB6">
        <w:rPr>
          <w:rFonts w:cs="Sylfaen"/>
          <w:b w:val="0"/>
          <w:szCs w:val="22"/>
          <w:lang w:val="hy-AM" w:eastAsia="en-US"/>
        </w:rPr>
        <w:softHyphen/>
        <w:t>պատասխան տեղե</w:t>
      </w:r>
      <w:r w:rsidRPr="00BF7CB6">
        <w:rPr>
          <w:rFonts w:cs="Sylfaen"/>
          <w:b w:val="0"/>
          <w:szCs w:val="22"/>
          <w:lang w:val="hy-AM" w:eastAsia="en-US"/>
        </w:rPr>
        <w:softHyphen/>
        <w:t>կատ</w:t>
      </w:r>
      <w:r w:rsidRPr="00BF7CB6">
        <w:rPr>
          <w:rFonts w:cs="Sylfaen"/>
          <w:b w:val="0"/>
          <w:szCs w:val="22"/>
          <w:lang w:val="hy-AM" w:eastAsia="en-US"/>
        </w:rPr>
        <w:softHyphen/>
      </w:r>
      <w:r w:rsidRPr="00BF7CB6">
        <w:rPr>
          <w:rFonts w:cs="Sylfaen"/>
          <w:b w:val="0"/>
          <w:szCs w:val="22"/>
          <w:lang w:val="hy-AM" w:eastAsia="en-US"/>
        </w:rPr>
        <w:softHyphen/>
        <w:t>վու</w:t>
      </w:r>
      <w:r w:rsidRPr="00BF7CB6">
        <w:rPr>
          <w:rFonts w:cs="Sylfaen"/>
          <w:b w:val="0"/>
          <w:szCs w:val="22"/>
          <w:lang w:val="hy-AM" w:eastAsia="en-US"/>
        </w:rPr>
        <w:softHyphen/>
        <w:t>թ</w:t>
      </w:r>
      <w:r w:rsidRPr="00BF7CB6">
        <w:rPr>
          <w:rFonts w:cs="Sylfaen"/>
          <w:b w:val="0"/>
          <w:szCs w:val="22"/>
          <w:lang w:val="hy-AM" w:eastAsia="en-US"/>
        </w:rPr>
        <w:softHyphen/>
        <w:t>յու</w:t>
      </w:r>
      <w:r w:rsidRPr="00BF7CB6">
        <w:rPr>
          <w:rFonts w:cs="Sylfaen"/>
          <w:b w:val="0"/>
          <w:szCs w:val="22"/>
          <w:lang w:val="hy-AM" w:eastAsia="en-US"/>
        </w:rPr>
        <w:softHyphen/>
        <w:t xml:space="preserve">նը բերված է սույն բացատրագրի </w:t>
      </w:r>
      <w:r w:rsidRPr="00344F81">
        <w:rPr>
          <w:rFonts w:cs="Sylfaen"/>
          <w:b w:val="0"/>
          <w:szCs w:val="22"/>
          <w:lang w:val="hy-AM" w:eastAsia="en-US"/>
        </w:rPr>
        <w:t>N 4 հավելվածում, NN 17-20</w:t>
      </w:r>
      <w:r w:rsidRPr="00BF7CB6">
        <w:rPr>
          <w:rFonts w:cs="Sylfaen"/>
          <w:b w:val="0"/>
          <w:szCs w:val="22"/>
          <w:lang w:val="hy-AM" w:eastAsia="en-US"/>
        </w:rPr>
        <w:t xml:space="preserve"> աղ</w:t>
      </w:r>
      <w:r w:rsidRPr="00BF7CB6">
        <w:rPr>
          <w:rFonts w:cs="Sylfaen"/>
          <w:b w:val="0"/>
          <w:szCs w:val="22"/>
          <w:lang w:val="hy-AM" w:eastAsia="en-US"/>
        </w:rPr>
        <w:softHyphen/>
        <w:t>յուսակ</w:t>
      </w:r>
      <w:r w:rsidRPr="00BF7CB6">
        <w:rPr>
          <w:rFonts w:cs="Sylfaen"/>
          <w:b w:val="0"/>
          <w:szCs w:val="22"/>
          <w:lang w:val="hy-AM" w:eastAsia="en-US"/>
        </w:rPr>
        <w:softHyphen/>
        <w:t>ներում և «ՀՀ պետական պար</w:t>
      </w:r>
      <w:r w:rsidRPr="00BF7CB6">
        <w:rPr>
          <w:rFonts w:cs="Sylfaen"/>
          <w:b w:val="0"/>
          <w:szCs w:val="22"/>
          <w:lang w:val="hy-AM" w:eastAsia="en-US"/>
        </w:rPr>
        <w:softHyphen/>
        <w:t>տքը» բաժնում)</w:t>
      </w:r>
      <w:r w:rsidRPr="00E26A13">
        <w:rPr>
          <w:rFonts w:cs="Sylfaen"/>
          <w:b w:val="0"/>
          <w:szCs w:val="22"/>
          <w:lang w:val="hy-AM" w:eastAsia="en-US"/>
        </w:rPr>
        <w:t xml:space="preserve"> և արտարժութային պետական պարտատոմսերի տեղաբաշխումից մուտքերի հանրագումար</w:t>
      </w:r>
      <w:r w:rsidRPr="00BF7CB6">
        <w:rPr>
          <w:rFonts w:cs="Sylfaen"/>
          <w:b w:val="0"/>
          <w:szCs w:val="22"/>
          <w:lang w:val="hy-AM" w:eastAsia="en-US"/>
        </w:rPr>
        <w:t>: Ֆի</w:t>
      </w:r>
      <w:r w:rsidRPr="00BF7CB6">
        <w:rPr>
          <w:rFonts w:cs="Sylfaen"/>
          <w:b w:val="0"/>
          <w:szCs w:val="22"/>
          <w:lang w:val="hy-AM" w:eastAsia="en-US"/>
        </w:rPr>
        <w:softHyphen/>
        <w:t>նան</w:t>
      </w:r>
      <w:r w:rsidRPr="00BF7CB6">
        <w:rPr>
          <w:rFonts w:cs="Sylfaen"/>
          <w:b w:val="0"/>
          <w:szCs w:val="22"/>
          <w:lang w:val="hy-AM" w:eastAsia="en-US"/>
        </w:rPr>
        <w:softHyphen/>
        <w:t>սա</w:t>
      </w:r>
      <w:r w:rsidRPr="00BF7CB6">
        <w:rPr>
          <w:rFonts w:cs="Sylfaen"/>
          <w:b w:val="0"/>
          <w:szCs w:val="22"/>
          <w:lang w:val="hy-AM" w:eastAsia="en-US"/>
        </w:rPr>
        <w:softHyphen/>
        <w:t xml:space="preserve">կան ակտիվներից 2021 թվականի զուտ մուտքերը ծրագրավորվում են շուրջ </w:t>
      </w:r>
      <w:r w:rsidRPr="00DB10FB">
        <w:rPr>
          <w:rFonts w:cs="Sylfaen"/>
          <w:b w:val="0"/>
          <w:szCs w:val="22"/>
          <w:lang w:val="hy-AM" w:eastAsia="en-US"/>
        </w:rPr>
        <w:t>-65.</w:t>
      </w:r>
      <w:r w:rsidRPr="00E26A13">
        <w:rPr>
          <w:rFonts w:cs="Sylfaen"/>
          <w:b w:val="0"/>
          <w:szCs w:val="22"/>
          <w:lang w:val="hy-AM" w:eastAsia="en-US"/>
        </w:rPr>
        <w:t>3</w:t>
      </w:r>
      <w:r w:rsidRPr="00BF7CB6">
        <w:rPr>
          <w:rFonts w:cs="Sylfaen"/>
          <w:b w:val="0"/>
          <w:szCs w:val="22"/>
          <w:lang w:val="hy-AM" w:eastAsia="en-US"/>
        </w:rPr>
        <w:t xml:space="preserve"> մլրդ դրամ: Ն</w:t>
      </w:r>
      <w:r>
        <w:rPr>
          <w:rFonts w:cs="Sylfaen"/>
          <w:b w:val="0"/>
          <w:szCs w:val="22"/>
          <w:lang w:val="hy-AM" w:eastAsia="en-US"/>
        </w:rPr>
        <w:t>ախագծով նա</w:t>
      </w:r>
      <w:r>
        <w:rPr>
          <w:rFonts w:cs="Sylfaen"/>
          <w:b w:val="0"/>
          <w:szCs w:val="22"/>
          <w:lang w:val="hy-AM" w:eastAsia="en-US"/>
        </w:rPr>
        <w:softHyphen/>
      </w:r>
      <w:r>
        <w:rPr>
          <w:rFonts w:cs="Sylfaen"/>
          <w:b w:val="0"/>
          <w:szCs w:val="22"/>
          <w:lang w:val="hy-AM" w:eastAsia="en-US"/>
        </w:rPr>
        <w:softHyphen/>
        <w:t>խա</w:t>
      </w:r>
      <w:r>
        <w:rPr>
          <w:rFonts w:cs="Sylfaen"/>
          <w:b w:val="0"/>
          <w:szCs w:val="22"/>
          <w:lang w:val="hy-AM" w:eastAsia="en-US"/>
        </w:rPr>
        <w:softHyphen/>
        <w:t>տես</w:t>
      </w:r>
      <w:r>
        <w:rPr>
          <w:rFonts w:cs="Sylfaen"/>
          <w:b w:val="0"/>
          <w:szCs w:val="22"/>
          <w:lang w:val="hy-AM" w:eastAsia="en-US"/>
        </w:rPr>
        <w:softHyphen/>
        <w:t>վել է շուրջ -1.4</w:t>
      </w:r>
      <w:r w:rsidRPr="00BF7CB6">
        <w:rPr>
          <w:rFonts w:cs="Sylfaen"/>
          <w:b w:val="0"/>
          <w:szCs w:val="22"/>
          <w:lang w:val="hy-AM" w:eastAsia="en-US"/>
        </w:rPr>
        <w:t xml:space="preserve"> մլրդ դրամ` միջազգային ֆի</w:t>
      </w:r>
      <w:r w:rsidRPr="00BF7CB6">
        <w:rPr>
          <w:rFonts w:cs="Sylfaen"/>
          <w:b w:val="0"/>
          <w:szCs w:val="22"/>
          <w:lang w:val="hy-AM" w:eastAsia="en-US"/>
        </w:rPr>
        <w:softHyphen/>
        <w:t>նանսական կազմա</w:t>
      </w:r>
      <w:r w:rsidRPr="00BF7CB6">
        <w:rPr>
          <w:rFonts w:cs="Sylfaen"/>
          <w:b w:val="0"/>
          <w:szCs w:val="22"/>
          <w:lang w:val="hy-AM" w:eastAsia="en-US"/>
        </w:rPr>
        <w:softHyphen/>
        <w:t>կերպությունների կա</w:t>
      </w:r>
      <w:r w:rsidRPr="00BF7CB6">
        <w:rPr>
          <w:rFonts w:cs="Sylfaen"/>
          <w:b w:val="0"/>
          <w:szCs w:val="22"/>
          <w:lang w:val="hy-AM" w:eastAsia="en-US"/>
        </w:rPr>
        <w:softHyphen/>
        <w:t>պի</w:t>
      </w:r>
      <w:r w:rsidRPr="00BF7CB6">
        <w:rPr>
          <w:rFonts w:cs="Sylfaen"/>
          <w:b w:val="0"/>
          <w:szCs w:val="22"/>
          <w:lang w:val="hy-AM" w:eastAsia="en-US"/>
        </w:rPr>
        <w:softHyphen/>
        <w:t>տա</w:t>
      </w:r>
      <w:r w:rsidRPr="00BF7CB6">
        <w:rPr>
          <w:rFonts w:cs="Sylfaen"/>
          <w:b w:val="0"/>
          <w:szCs w:val="22"/>
          <w:lang w:val="hy-AM" w:eastAsia="en-US"/>
        </w:rPr>
        <w:softHyphen/>
        <w:t>լում մասնակ</w:t>
      </w:r>
      <w:r w:rsidRPr="00BF7CB6">
        <w:rPr>
          <w:rFonts w:cs="Sylfaen"/>
          <w:b w:val="0"/>
          <w:szCs w:val="22"/>
          <w:lang w:val="hy-AM" w:eastAsia="en-US"/>
        </w:rPr>
        <w:softHyphen/>
        <w:t>ցության գծով Հայաս</w:t>
      </w:r>
      <w:r w:rsidRPr="00BF7CB6">
        <w:rPr>
          <w:rFonts w:cs="Sylfaen"/>
          <w:b w:val="0"/>
          <w:szCs w:val="22"/>
          <w:lang w:val="hy-AM" w:eastAsia="en-US"/>
        </w:rPr>
        <w:softHyphen/>
        <w:t>տանի Հան</w:t>
      </w:r>
      <w:r w:rsidRPr="00BF7CB6">
        <w:rPr>
          <w:rFonts w:cs="Sylfaen"/>
          <w:b w:val="0"/>
          <w:szCs w:val="22"/>
          <w:lang w:val="hy-AM" w:eastAsia="en-US"/>
        </w:rPr>
        <w:softHyphen/>
        <w:t>րապե</w:t>
      </w:r>
      <w:r w:rsidRPr="00BF7CB6">
        <w:rPr>
          <w:rFonts w:cs="Sylfaen"/>
          <w:b w:val="0"/>
          <w:szCs w:val="22"/>
          <w:lang w:val="hy-AM" w:eastAsia="en-US"/>
        </w:rPr>
        <w:softHyphen/>
        <w:t>տության կողմից ստանձնած պար</w:t>
      </w:r>
      <w:r w:rsidRPr="00BF7CB6">
        <w:rPr>
          <w:rFonts w:cs="Sylfaen"/>
          <w:b w:val="0"/>
          <w:szCs w:val="22"/>
          <w:lang w:val="hy-AM" w:eastAsia="en-US"/>
        </w:rPr>
        <w:softHyphen/>
        <w:t>տա</w:t>
      </w:r>
      <w:r w:rsidRPr="00BF7CB6">
        <w:rPr>
          <w:rFonts w:cs="Sylfaen"/>
          <w:b w:val="0"/>
          <w:szCs w:val="22"/>
          <w:lang w:val="hy-AM" w:eastAsia="en-US"/>
        </w:rPr>
        <w:softHyphen/>
        <w:t>վորու</w:t>
      </w:r>
      <w:r w:rsidRPr="00BF7CB6">
        <w:rPr>
          <w:rFonts w:cs="Sylfaen"/>
          <w:b w:val="0"/>
          <w:szCs w:val="22"/>
          <w:lang w:val="hy-AM" w:eastAsia="en-US"/>
        </w:rPr>
        <w:softHyphen/>
        <w:t>թ</w:t>
      </w:r>
      <w:r w:rsidRPr="00BF7CB6">
        <w:rPr>
          <w:rFonts w:cs="Sylfaen"/>
          <w:b w:val="0"/>
          <w:szCs w:val="22"/>
          <w:lang w:val="hy-AM" w:eastAsia="en-US"/>
        </w:rPr>
        <w:softHyphen/>
      </w:r>
      <w:r w:rsidRPr="00BF7CB6">
        <w:rPr>
          <w:rFonts w:cs="Sylfaen"/>
          <w:b w:val="0"/>
          <w:szCs w:val="22"/>
          <w:lang w:val="hy-AM" w:eastAsia="en-US"/>
        </w:rPr>
        <w:softHyphen/>
        <w:t>յուն</w:t>
      </w:r>
      <w:r w:rsidRPr="00BF7CB6">
        <w:rPr>
          <w:rFonts w:cs="Sylfaen"/>
          <w:b w:val="0"/>
          <w:szCs w:val="22"/>
          <w:lang w:val="hy-AM" w:eastAsia="en-US"/>
        </w:rPr>
        <w:softHyphen/>
        <w:t>նե</w:t>
      </w:r>
      <w:r w:rsidRPr="00BF7CB6">
        <w:rPr>
          <w:rFonts w:cs="Sylfaen"/>
          <w:b w:val="0"/>
          <w:szCs w:val="22"/>
          <w:lang w:val="hy-AM" w:eastAsia="en-US"/>
        </w:rPr>
        <w:softHyphen/>
        <w:t>րի կատարման համար: Արցախի Հանրապետությանը տրամադրվող միջպետա</w:t>
      </w:r>
      <w:r>
        <w:rPr>
          <w:rFonts w:cs="Sylfaen"/>
          <w:b w:val="0"/>
          <w:szCs w:val="22"/>
          <w:lang w:val="hy-AM" w:eastAsia="en-US"/>
        </w:rPr>
        <w:t>կան վարկի գումարը կազմում է 64.</w:t>
      </w:r>
      <w:r w:rsidRPr="00E26A13">
        <w:rPr>
          <w:rFonts w:cs="Sylfaen"/>
          <w:b w:val="0"/>
          <w:szCs w:val="22"/>
          <w:lang w:val="hy-AM" w:eastAsia="en-US"/>
        </w:rPr>
        <w:t>8</w:t>
      </w:r>
      <w:r w:rsidRPr="00BF7CB6">
        <w:rPr>
          <w:rFonts w:cs="Sylfaen"/>
          <w:b w:val="0"/>
          <w:szCs w:val="22"/>
          <w:lang w:val="hy-AM" w:eastAsia="en-US"/>
        </w:rPr>
        <w:t xml:space="preserve"> մլրդ դրամ:</w:t>
      </w:r>
    </w:p>
    <w:p w:rsidR="009B3F20" w:rsidRPr="00BF7CB6" w:rsidRDefault="009B3F20" w:rsidP="007730AA">
      <w:pPr>
        <w:spacing w:before="0" w:line="276" w:lineRule="auto"/>
        <w:ind w:firstLine="238"/>
        <w:contextualSpacing w:val="0"/>
        <w:rPr>
          <w:b w:val="0"/>
          <w:szCs w:val="22"/>
          <w:lang w:val="hy-AM" w:eastAsia="en-US"/>
        </w:rPr>
      </w:pPr>
      <w:r w:rsidRPr="00BF7CB6">
        <w:rPr>
          <w:rFonts w:cs="Sylfaen"/>
          <w:b w:val="0"/>
          <w:szCs w:val="22"/>
          <w:lang w:val="hy-AM" w:eastAsia="en-US"/>
        </w:rPr>
        <w:t>Ստորև</w:t>
      </w:r>
      <w:r w:rsidRPr="00BF7CB6">
        <w:rPr>
          <w:b w:val="0"/>
          <w:szCs w:val="22"/>
          <w:lang w:val="hy-AM" w:eastAsia="en-US"/>
        </w:rPr>
        <w:t xml:space="preserve"> </w:t>
      </w:r>
      <w:r w:rsidRPr="00BF7CB6">
        <w:rPr>
          <w:rFonts w:cs="Sylfaen"/>
          <w:b w:val="0"/>
          <w:szCs w:val="22"/>
          <w:lang w:val="hy-AM" w:eastAsia="en-US"/>
        </w:rPr>
        <w:t>ներկայացվում</w:t>
      </w:r>
      <w:r w:rsidRPr="00BF7CB6">
        <w:rPr>
          <w:b w:val="0"/>
          <w:szCs w:val="22"/>
          <w:lang w:val="hy-AM" w:eastAsia="en-US"/>
        </w:rPr>
        <w:t xml:space="preserve"> են </w:t>
      </w:r>
      <w:r w:rsidRPr="00BF7CB6">
        <w:rPr>
          <w:rFonts w:cs="Sylfaen"/>
          <w:b w:val="0"/>
          <w:szCs w:val="22"/>
          <w:lang w:val="hy-AM" w:eastAsia="en-US"/>
        </w:rPr>
        <w:t>ՀՀ</w:t>
      </w:r>
      <w:r w:rsidRPr="00BF7CB6">
        <w:rPr>
          <w:b w:val="0"/>
          <w:szCs w:val="22"/>
          <w:lang w:val="hy-AM" w:eastAsia="en-US"/>
        </w:rPr>
        <w:t xml:space="preserve"> 2017-2021 թվակա</w:t>
      </w:r>
      <w:r w:rsidRPr="00BF7CB6">
        <w:rPr>
          <w:rFonts w:cs="Sylfaen"/>
          <w:b w:val="0"/>
          <w:szCs w:val="22"/>
          <w:lang w:val="hy-AM" w:eastAsia="en-US"/>
        </w:rPr>
        <w:t>նների</w:t>
      </w:r>
      <w:r w:rsidRPr="00BF7CB6">
        <w:rPr>
          <w:b w:val="0"/>
          <w:szCs w:val="22"/>
          <w:lang w:val="hy-AM" w:eastAsia="en-US"/>
        </w:rPr>
        <w:t xml:space="preserve"> </w:t>
      </w:r>
      <w:r w:rsidRPr="00BF7CB6">
        <w:rPr>
          <w:rFonts w:cs="Sylfaen"/>
          <w:b w:val="0"/>
          <w:szCs w:val="22"/>
          <w:lang w:val="hy-AM" w:eastAsia="en-US"/>
        </w:rPr>
        <w:t>պետական</w:t>
      </w:r>
      <w:r w:rsidRPr="00BF7CB6">
        <w:rPr>
          <w:b w:val="0"/>
          <w:szCs w:val="22"/>
          <w:lang w:val="hy-AM" w:eastAsia="en-US"/>
        </w:rPr>
        <w:t xml:space="preserve"> </w:t>
      </w:r>
      <w:r w:rsidRPr="00BF7CB6">
        <w:rPr>
          <w:rFonts w:cs="Sylfaen"/>
          <w:b w:val="0"/>
          <w:szCs w:val="22"/>
          <w:lang w:val="hy-AM" w:eastAsia="en-US"/>
        </w:rPr>
        <w:t>բյուջեների</w:t>
      </w:r>
      <w:r w:rsidRPr="00BF7CB6">
        <w:rPr>
          <w:b w:val="0"/>
          <w:szCs w:val="22"/>
          <w:lang w:val="hy-AM" w:eastAsia="en-US"/>
        </w:rPr>
        <w:t xml:space="preserve"> </w:t>
      </w:r>
      <w:r w:rsidRPr="00BF7CB6">
        <w:rPr>
          <w:rFonts w:cs="Sylfaen"/>
          <w:b w:val="0"/>
          <w:szCs w:val="22"/>
          <w:lang w:val="hy-AM" w:eastAsia="en-US"/>
        </w:rPr>
        <w:t>դեֆիցիտի</w:t>
      </w:r>
      <w:r w:rsidRPr="00BF7CB6">
        <w:rPr>
          <w:b w:val="0"/>
          <w:szCs w:val="22"/>
          <w:lang w:val="hy-AM" w:eastAsia="en-US"/>
        </w:rPr>
        <w:t xml:space="preserve"> </w:t>
      </w:r>
      <w:r w:rsidRPr="00BF7CB6">
        <w:rPr>
          <w:rFonts w:cs="Sylfaen"/>
          <w:b w:val="0"/>
          <w:szCs w:val="22"/>
          <w:lang w:val="hy-AM" w:eastAsia="en-US"/>
        </w:rPr>
        <w:t>ֆինան</w:t>
      </w:r>
      <w:r w:rsidRPr="00BF7CB6">
        <w:rPr>
          <w:rFonts w:cs="Sylfaen"/>
          <w:b w:val="0"/>
          <w:szCs w:val="22"/>
          <w:lang w:val="hy-AM" w:eastAsia="en-US"/>
        </w:rPr>
        <w:softHyphen/>
        <w:t>սա</w:t>
      </w:r>
      <w:r w:rsidRPr="00BF7CB6">
        <w:rPr>
          <w:rFonts w:cs="Sylfaen"/>
          <w:b w:val="0"/>
          <w:szCs w:val="22"/>
          <w:lang w:val="hy-AM" w:eastAsia="en-US"/>
        </w:rPr>
        <w:softHyphen/>
      </w:r>
      <w:r w:rsidRPr="00BF7CB6">
        <w:rPr>
          <w:rFonts w:cs="Sylfaen"/>
          <w:b w:val="0"/>
          <w:szCs w:val="22"/>
          <w:lang w:val="hy-AM" w:eastAsia="en-US"/>
        </w:rPr>
        <w:softHyphen/>
        <w:t>վորման</w:t>
      </w:r>
      <w:r w:rsidRPr="00BF7CB6">
        <w:rPr>
          <w:b w:val="0"/>
          <w:szCs w:val="22"/>
          <w:lang w:val="hy-AM" w:eastAsia="en-US"/>
        </w:rPr>
        <w:t xml:space="preserve"> </w:t>
      </w:r>
      <w:r w:rsidRPr="00BF7CB6">
        <w:rPr>
          <w:rFonts w:cs="Sylfaen"/>
          <w:b w:val="0"/>
          <w:szCs w:val="22"/>
          <w:lang w:val="hy-AM" w:eastAsia="en-US"/>
        </w:rPr>
        <w:t>աղբյուրները</w:t>
      </w:r>
      <w:r w:rsidRPr="00BF7CB6">
        <w:rPr>
          <w:b w:val="0"/>
          <w:szCs w:val="22"/>
          <w:lang w:val="hy-AM" w:eastAsia="en-US"/>
        </w:rPr>
        <w:t xml:space="preserve"> (</w:t>
      </w:r>
      <w:r w:rsidRPr="00BF7CB6">
        <w:rPr>
          <w:rFonts w:cs="Sylfaen"/>
          <w:b w:val="0"/>
          <w:szCs w:val="22"/>
          <w:lang w:val="hy-AM" w:eastAsia="en-US"/>
        </w:rPr>
        <w:t>տես</w:t>
      </w:r>
      <w:r w:rsidRPr="00BF7CB6">
        <w:rPr>
          <w:b w:val="0"/>
          <w:szCs w:val="22"/>
          <w:lang w:val="hy-AM" w:eastAsia="en-US"/>
        </w:rPr>
        <w:t xml:space="preserve"> </w:t>
      </w:r>
      <w:r w:rsidRPr="00BF7CB6">
        <w:rPr>
          <w:rFonts w:cs="Sylfaen"/>
          <w:b w:val="0"/>
          <w:szCs w:val="22"/>
          <w:lang w:val="hy-AM" w:eastAsia="en-US"/>
        </w:rPr>
        <w:t>Աղյուսակ</w:t>
      </w:r>
      <w:r w:rsidRPr="00BF7CB6">
        <w:rPr>
          <w:b w:val="0"/>
          <w:szCs w:val="22"/>
          <w:lang w:val="hy-AM" w:eastAsia="en-US"/>
        </w:rPr>
        <w:t xml:space="preserve"> </w:t>
      </w:r>
      <w:r>
        <w:rPr>
          <w:b w:val="0"/>
          <w:szCs w:val="22"/>
          <w:lang w:val="hy-AM" w:eastAsia="en-US"/>
        </w:rPr>
        <w:t>4</w:t>
      </w:r>
      <w:r w:rsidRPr="00BF7CB6">
        <w:rPr>
          <w:b w:val="0"/>
          <w:szCs w:val="22"/>
          <w:lang w:val="hy-AM" w:eastAsia="en-US"/>
        </w:rPr>
        <w:t>):</w:t>
      </w:r>
    </w:p>
    <w:p w:rsidR="009B3F20" w:rsidRPr="00A2480A" w:rsidRDefault="009B3F20" w:rsidP="007730AA">
      <w:pPr>
        <w:pStyle w:val="Caption"/>
        <w:spacing w:before="0" w:after="0"/>
        <w:rPr>
          <w:b/>
          <w:i/>
          <w:sz w:val="20"/>
          <w:szCs w:val="20"/>
          <w:lang w:val="hy-AM"/>
        </w:rPr>
      </w:pPr>
      <w:bookmarkStart w:id="171" w:name="_Toc57631755"/>
      <w:r w:rsidRPr="00D02A2D">
        <w:rPr>
          <w:lang w:val="hy-AM"/>
        </w:rPr>
        <w:t xml:space="preserve">Աղյուսակ </w:t>
      </w:r>
      <w:r w:rsidR="003C3925">
        <w:fldChar w:fldCharType="begin"/>
      </w:r>
      <w:r w:rsidRPr="00D02A2D">
        <w:rPr>
          <w:lang w:val="hy-AM"/>
        </w:rPr>
        <w:instrText xml:space="preserve"> SEQ Աղյուսակ \* ARABIC </w:instrText>
      </w:r>
      <w:r w:rsidR="003C3925">
        <w:fldChar w:fldCharType="separate"/>
      </w:r>
      <w:r w:rsidR="007E790B">
        <w:rPr>
          <w:noProof/>
          <w:lang w:val="hy-AM"/>
        </w:rPr>
        <w:t>4</w:t>
      </w:r>
      <w:r w:rsidR="003C3925">
        <w:fldChar w:fldCharType="end"/>
      </w:r>
      <w:r>
        <w:rPr>
          <w:rFonts w:ascii="Cambria Math" w:hAnsi="Cambria Math"/>
          <w:lang w:val="hy-AM"/>
        </w:rPr>
        <w:t xml:space="preserve">․ </w:t>
      </w:r>
      <w:r w:rsidRPr="00A2480A">
        <w:rPr>
          <w:b/>
          <w:i/>
          <w:sz w:val="20"/>
          <w:szCs w:val="20"/>
          <w:lang w:val="hy-AM"/>
        </w:rPr>
        <w:t>ՀՀ 2017-2021 թթ պետական բյուջեների դեֆիցիտի ֆինանսավորման աղբյուրները (մլն դրամ)</w:t>
      </w:r>
      <w:bookmarkEnd w:id="171"/>
    </w:p>
    <w:tbl>
      <w:tblPr>
        <w:tblW w:w="93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343"/>
        <w:gridCol w:w="1344"/>
        <w:gridCol w:w="1343"/>
        <w:gridCol w:w="1344"/>
        <w:gridCol w:w="1344"/>
      </w:tblGrid>
      <w:tr w:rsidR="009B3F20" w:rsidRPr="00BF7CB6" w:rsidTr="002958DC">
        <w:trPr>
          <w:trHeight w:val="810"/>
        </w:trPr>
        <w:tc>
          <w:tcPr>
            <w:tcW w:w="2610" w:type="dxa"/>
            <w:shd w:val="clear" w:color="auto" w:fill="4F81BD" w:themeFill="accent1"/>
            <w:vAlign w:val="center"/>
            <w:hideMark/>
          </w:tcPr>
          <w:p w:rsidR="009B3F20" w:rsidRPr="00BF7CB6" w:rsidRDefault="009B3F20" w:rsidP="007730AA">
            <w:pPr>
              <w:spacing w:before="0" w:line="276" w:lineRule="auto"/>
              <w:ind w:firstLine="0"/>
              <w:contextualSpacing w:val="0"/>
              <w:jc w:val="center"/>
              <w:rPr>
                <w:rFonts w:cs="Calibri"/>
                <w:color w:val="FFFFFF" w:themeColor="background1"/>
                <w:sz w:val="20"/>
                <w:szCs w:val="20"/>
                <w:lang w:val="en-US" w:eastAsia="en-US"/>
              </w:rPr>
            </w:pPr>
            <w:r w:rsidRPr="00BF7CB6">
              <w:rPr>
                <w:rFonts w:cs="Sylfaen"/>
                <w:color w:val="FFFFFF" w:themeColor="background1"/>
                <w:sz w:val="20"/>
                <w:szCs w:val="20"/>
                <w:lang w:val="en-US" w:eastAsia="en-US"/>
              </w:rPr>
              <w:t>Ցուցանիշներ</w:t>
            </w:r>
          </w:p>
        </w:tc>
        <w:tc>
          <w:tcPr>
            <w:tcW w:w="1343" w:type="dxa"/>
            <w:shd w:val="clear" w:color="auto" w:fill="4F81BD" w:themeFill="accent1"/>
            <w:vAlign w:val="center"/>
            <w:hideMark/>
          </w:tcPr>
          <w:p w:rsidR="009B3F20" w:rsidRPr="00BF7CB6" w:rsidRDefault="009B3F20" w:rsidP="007730AA">
            <w:pPr>
              <w:spacing w:before="0" w:line="276" w:lineRule="auto"/>
              <w:ind w:firstLine="0"/>
              <w:contextualSpacing w:val="0"/>
              <w:jc w:val="center"/>
              <w:rPr>
                <w:rFonts w:cs="Calibri"/>
                <w:color w:val="FFFFFF" w:themeColor="background1"/>
                <w:sz w:val="20"/>
                <w:szCs w:val="20"/>
                <w:lang w:val="en-US" w:eastAsia="en-US"/>
              </w:rPr>
            </w:pPr>
            <w:r w:rsidRPr="00BF7CB6">
              <w:rPr>
                <w:rFonts w:cs="Calibri"/>
                <w:color w:val="FFFFFF" w:themeColor="background1"/>
                <w:sz w:val="20"/>
                <w:szCs w:val="20"/>
                <w:lang w:val="en-US" w:eastAsia="en-US"/>
              </w:rPr>
              <w:t>2017թ</w:t>
            </w:r>
            <w:r w:rsidRPr="00BF7CB6">
              <w:rPr>
                <w:rFonts w:cs="Calibri"/>
                <w:color w:val="FFFFFF" w:themeColor="background1"/>
                <w:sz w:val="20"/>
                <w:szCs w:val="20"/>
                <w:lang w:val="en-US" w:eastAsia="en-US"/>
              </w:rPr>
              <w:br/>
              <w:t>փաստ</w:t>
            </w:r>
          </w:p>
        </w:tc>
        <w:tc>
          <w:tcPr>
            <w:tcW w:w="1344" w:type="dxa"/>
            <w:shd w:val="clear" w:color="auto" w:fill="4F81BD" w:themeFill="accent1"/>
            <w:vAlign w:val="center"/>
            <w:hideMark/>
          </w:tcPr>
          <w:p w:rsidR="009B3F20" w:rsidRPr="00BF7CB6" w:rsidRDefault="009B3F20" w:rsidP="007730AA">
            <w:pPr>
              <w:spacing w:before="0" w:line="276" w:lineRule="auto"/>
              <w:ind w:firstLine="0"/>
              <w:contextualSpacing w:val="0"/>
              <w:jc w:val="center"/>
              <w:rPr>
                <w:rFonts w:cs="Calibri"/>
                <w:color w:val="FFFFFF" w:themeColor="background1"/>
                <w:sz w:val="20"/>
                <w:szCs w:val="20"/>
                <w:lang w:val="en-US" w:eastAsia="en-US"/>
              </w:rPr>
            </w:pPr>
            <w:r w:rsidRPr="00BF7CB6">
              <w:rPr>
                <w:rFonts w:cs="Calibri"/>
                <w:color w:val="FFFFFF" w:themeColor="background1"/>
                <w:sz w:val="20"/>
                <w:szCs w:val="20"/>
                <w:lang w:val="en-US" w:eastAsia="en-US"/>
              </w:rPr>
              <w:t>2018թ</w:t>
            </w:r>
            <w:r w:rsidRPr="00BF7CB6">
              <w:rPr>
                <w:rFonts w:cs="Calibri"/>
                <w:color w:val="FFFFFF" w:themeColor="background1"/>
                <w:sz w:val="20"/>
                <w:szCs w:val="20"/>
                <w:lang w:val="en-US" w:eastAsia="en-US"/>
              </w:rPr>
              <w:br/>
              <w:t>փաստ</w:t>
            </w:r>
          </w:p>
        </w:tc>
        <w:tc>
          <w:tcPr>
            <w:tcW w:w="1343" w:type="dxa"/>
            <w:shd w:val="clear" w:color="auto" w:fill="4F81BD" w:themeFill="accent1"/>
            <w:vAlign w:val="center"/>
            <w:hideMark/>
          </w:tcPr>
          <w:p w:rsidR="009B3F20" w:rsidRPr="00BF7CB6" w:rsidRDefault="009B3F20" w:rsidP="007730AA">
            <w:pPr>
              <w:spacing w:before="0" w:line="276" w:lineRule="auto"/>
              <w:ind w:firstLine="0"/>
              <w:contextualSpacing w:val="0"/>
              <w:jc w:val="center"/>
              <w:rPr>
                <w:rFonts w:cs="Calibri"/>
                <w:color w:val="FFFFFF" w:themeColor="background1"/>
                <w:sz w:val="20"/>
                <w:szCs w:val="20"/>
                <w:lang w:val="en-US" w:eastAsia="en-US"/>
              </w:rPr>
            </w:pPr>
            <w:r w:rsidRPr="00BF7CB6">
              <w:rPr>
                <w:rFonts w:cs="Calibri"/>
                <w:color w:val="FFFFFF" w:themeColor="background1"/>
                <w:sz w:val="20"/>
                <w:szCs w:val="20"/>
                <w:lang w:val="en-US" w:eastAsia="en-US"/>
              </w:rPr>
              <w:t>2019թ</w:t>
            </w:r>
            <w:r w:rsidRPr="00BF7CB6">
              <w:rPr>
                <w:rFonts w:cs="Calibri"/>
                <w:color w:val="FFFFFF" w:themeColor="background1"/>
                <w:sz w:val="20"/>
                <w:szCs w:val="20"/>
                <w:lang w:val="en-US" w:eastAsia="en-US"/>
              </w:rPr>
              <w:br/>
              <w:t>փաստ</w:t>
            </w:r>
          </w:p>
        </w:tc>
        <w:tc>
          <w:tcPr>
            <w:tcW w:w="1344" w:type="dxa"/>
            <w:shd w:val="clear" w:color="auto" w:fill="4F81BD" w:themeFill="accent1"/>
            <w:vAlign w:val="center"/>
            <w:hideMark/>
          </w:tcPr>
          <w:p w:rsidR="009B3F20" w:rsidRPr="00BF7CB6" w:rsidRDefault="009B3F20" w:rsidP="007730AA">
            <w:pPr>
              <w:spacing w:before="0" w:line="276" w:lineRule="auto"/>
              <w:ind w:firstLine="0"/>
              <w:contextualSpacing w:val="0"/>
              <w:jc w:val="center"/>
              <w:rPr>
                <w:rFonts w:cs="Calibri"/>
                <w:color w:val="FFFFFF" w:themeColor="background1"/>
                <w:sz w:val="20"/>
                <w:szCs w:val="20"/>
                <w:lang w:val="en-US" w:eastAsia="en-US"/>
              </w:rPr>
            </w:pPr>
            <w:r w:rsidRPr="00BF7CB6">
              <w:rPr>
                <w:rFonts w:cs="Calibri"/>
                <w:color w:val="FFFFFF" w:themeColor="background1"/>
                <w:sz w:val="20"/>
                <w:szCs w:val="20"/>
                <w:lang w:val="en-US" w:eastAsia="en-US"/>
              </w:rPr>
              <w:t>2020թ</w:t>
            </w:r>
            <w:r w:rsidRPr="00BF7CB6">
              <w:rPr>
                <w:rFonts w:cs="Calibri"/>
                <w:color w:val="FFFFFF" w:themeColor="background1"/>
                <w:sz w:val="20"/>
                <w:szCs w:val="20"/>
                <w:lang w:val="en-US" w:eastAsia="en-US"/>
              </w:rPr>
              <w:br/>
              <w:t>բյուջե</w:t>
            </w:r>
          </w:p>
        </w:tc>
        <w:tc>
          <w:tcPr>
            <w:tcW w:w="1344" w:type="dxa"/>
            <w:shd w:val="clear" w:color="auto" w:fill="4F81BD" w:themeFill="accent1"/>
            <w:vAlign w:val="center"/>
            <w:hideMark/>
          </w:tcPr>
          <w:p w:rsidR="009B3F20" w:rsidRPr="00BF7CB6" w:rsidRDefault="009B3F20" w:rsidP="007730AA">
            <w:pPr>
              <w:spacing w:before="0" w:line="276" w:lineRule="auto"/>
              <w:ind w:firstLine="0"/>
              <w:contextualSpacing w:val="0"/>
              <w:jc w:val="center"/>
              <w:rPr>
                <w:rFonts w:cs="Calibri"/>
                <w:color w:val="FFFFFF" w:themeColor="background1"/>
                <w:sz w:val="20"/>
                <w:szCs w:val="20"/>
                <w:lang w:val="en-US" w:eastAsia="en-US"/>
              </w:rPr>
            </w:pPr>
            <w:r w:rsidRPr="00BF7CB6">
              <w:rPr>
                <w:rFonts w:cs="Calibri"/>
                <w:color w:val="FFFFFF" w:themeColor="background1"/>
                <w:sz w:val="20"/>
                <w:szCs w:val="20"/>
                <w:lang w:val="en-US" w:eastAsia="en-US"/>
              </w:rPr>
              <w:t>2021թ</w:t>
            </w:r>
            <w:r w:rsidRPr="00BF7CB6">
              <w:rPr>
                <w:rFonts w:cs="Calibri"/>
                <w:color w:val="FFFFFF" w:themeColor="background1"/>
                <w:sz w:val="20"/>
                <w:szCs w:val="20"/>
                <w:lang w:val="en-US" w:eastAsia="en-US"/>
              </w:rPr>
              <w:br/>
              <w:t>կանխատեսում</w:t>
            </w:r>
          </w:p>
        </w:tc>
      </w:tr>
      <w:tr w:rsidR="009B3F20" w:rsidRPr="00BF7CB6" w:rsidTr="002958DC">
        <w:trPr>
          <w:trHeight w:val="1826"/>
        </w:trPr>
        <w:tc>
          <w:tcPr>
            <w:tcW w:w="2610" w:type="dxa"/>
            <w:shd w:val="clear" w:color="auto" w:fill="DBE5F1" w:themeFill="accent1" w:themeFillTint="33"/>
            <w:vAlign w:val="center"/>
            <w:hideMark/>
          </w:tcPr>
          <w:p w:rsidR="009B3F20" w:rsidRPr="00CB6CBD" w:rsidRDefault="009B3F20" w:rsidP="007730AA">
            <w:pPr>
              <w:spacing w:before="0" w:line="240" w:lineRule="auto"/>
              <w:ind w:firstLine="0"/>
              <w:contextualSpacing w:val="0"/>
              <w:jc w:val="left"/>
              <w:rPr>
                <w:rFonts w:cs="Calibri"/>
                <w:b w:val="0"/>
                <w:sz w:val="20"/>
                <w:szCs w:val="20"/>
                <w:lang w:eastAsia="en-US"/>
              </w:rPr>
            </w:pPr>
            <w:r w:rsidRPr="00CB6CBD">
              <w:rPr>
                <w:rFonts w:cs="Calibri"/>
                <w:b w:val="0"/>
                <w:sz w:val="20"/>
                <w:szCs w:val="20"/>
                <w:lang w:eastAsia="en-US"/>
              </w:rPr>
              <w:t xml:space="preserve"> </w:t>
            </w:r>
            <w:r w:rsidRPr="00BF7CB6">
              <w:rPr>
                <w:rFonts w:cs="Calibri"/>
                <w:b w:val="0"/>
                <w:sz w:val="20"/>
                <w:szCs w:val="20"/>
                <w:lang w:val="en-US" w:eastAsia="en-US"/>
              </w:rPr>
              <w:t>Պետական</w:t>
            </w:r>
            <w:r w:rsidRPr="00CB6CBD">
              <w:rPr>
                <w:rFonts w:cs="Calibri"/>
                <w:b w:val="0"/>
                <w:sz w:val="20"/>
                <w:szCs w:val="20"/>
                <w:lang w:eastAsia="en-US"/>
              </w:rPr>
              <w:t xml:space="preserve">  </w:t>
            </w:r>
            <w:r w:rsidRPr="00BF7CB6">
              <w:rPr>
                <w:rFonts w:cs="Calibri"/>
                <w:b w:val="0"/>
                <w:sz w:val="20"/>
                <w:szCs w:val="20"/>
                <w:lang w:val="en-US" w:eastAsia="en-US"/>
              </w:rPr>
              <w:t>բյուջեի</w:t>
            </w:r>
            <w:r w:rsidRPr="00CB6CBD">
              <w:rPr>
                <w:rFonts w:cs="Calibri"/>
                <w:b w:val="0"/>
                <w:sz w:val="20"/>
                <w:szCs w:val="20"/>
                <w:lang w:eastAsia="en-US"/>
              </w:rPr>
              <w:t xml:space="preserve">  </w:t>
            </w:r>
            <w:r w:rsidRPr="00BF7CB6">
              <w:rPr>
                <w:rFonts w:cs="Calibri"/>
                <w:b w:val="0"/>
                <w:sz w:val="20"/>
                <w:szCs w:val="20"/>
                <w:lang w:val="en-US" w:eastAsia="en-US"/>
              </w:rPr>
              <w:t>դեֆիցիտի</w:t>
            </w:r>
            <w:r w:rsidRPr="00CB6CBD">
              <w:rPr>
                <w:rFonts w:cs="Calibri"/>
                <w:b w:val="0"/>
                <w:sz w:val="20"/>
                <w:szCs w:val="20"/>
                <w:lang w:eastAsia="en-US"/>
              </w:rPr>
              <w:t xml:space="preserve"> </w:t>
            </w:r>
            <w:r w:rsidRPr="00BF7CB6">
              <w:rPr>
                <w:rFonts w:cs="Calibri"/>
                <w:b w:val="0"/>
                <w:sz w:val="20"/>
                <w:szCs w:val="20"/>
                <w:lang w:val="en-US" w:eastAsia="en-US"/>
              </w:rPr>
              <w:t>ֆինանսավորման</w:t>
            </w:r>
            <w:r w:rsidRPr="00CB6CBD">
              <w:rPr>
                <w:rFonts w:cs="Calibri"/>
                <w:b w:val="0"/>
                <w:sz w:val="20"/>
                <w:szCs w:val="20"/>
                <w:lang w:eastAsia="en-US"/>
              </w:rPr>
              <w:t xml:space="preserve"> </w:t>
            </w:r>
            <w:r w:rsidRPr="00BF7CB6">
              <w:rPr>
                <w:rFonts w:cs="Calibri"/>
                <w:b w:val="0"/>
                <w:sz w:val="20"/>
                <w:szCs w:val="20"/>
                <w:lang w:val="en-US" w:eastAsia="en-US"/>
              </w:rPr>
              <w:t>աղբյուրներն</w:t>
            </w:r>
            <w:r w:rsidRPr="00CB6CBD">
              <w:rPr>
                <w:rFonts w:cs="Calibri"/>
                <w:b w:val="0"/>
                <w:sz w:val="20"/>
                <w:szCs w:val="20"/>
                <w:lang w:eastAsia="en-US"/>
              </w:rPr>
              <w:t xml:space="preserve"> </w:t>
            </w:r>
            <w:r w:rsidRPr="00BF7CB6">
              <w:rPr>
                <w:rFonts w:cs="Calibri"/>
                <w:b w:val="0"/>
                <w:sz w:val="20"/>
                <w:szCs w:val="20"/>
                <w:lang w:val="en-US" w:eastAsia="en-US"/>
              </w:rPr>
              <w:t>ու</w:t>
            </w:r>
            <w:r w:rsidRPr="00CB6CBD">
              <w:rPr>
                <w:rFonts w:cs="Calibri"/>
                <w:b w:val="0"/>
                <w:sz w:val="20"/>
                <w:szCs w:val="20"/>
                <w:lang w:eastAsia="en-US"/>
              </w:rPr>
              <w:t xml:space="preserve"> </w:t>
            </w:r>
            <w:r w:rsidRPr="00BF7CB6">
              <w:rPr>
                <w:rFonts w:cs="Calibri"/>
                <w:b w:val="0"/>
                <w:sz w:val="20"/>
                <w:szCs w:val="20"/>
                <w:lang w:val="en-US" w:eastAsia="en-US"/>
              </w:rPr>
              <w:t>դրանց</w:t>
            </w:r>
            <w:r w:rsidRPr="00CB6CBD">
              <w:rPr>
                <w:rFonts w:cs="Calibri"/>
                <w:b w:val="0"/>
                <w:sz w:val="20"/>
                <w:szCs w:val="20"/>
                <w:lang w:eastAsia="en-US"/>
              </w:rPr>
              <w:t xml:space="preserve"> </w:t>
            </w:r>
            <w:r w:rsidRPr="00BF7CB6">
              <w:rPr>
                <w:rFonts w:cs="Calibri"/>
                <w:b w:val="0"/>
                <w:sz w:val="20"/>
                <w:szCs w:val="20"/>
                <w:lang w:val="en-US" w:eastAsia="en-US"/>
              </w:rPr>
              <w:t>տարրերի</w:t>
            </w:r>
            <w:r w:rsidRPr="00CB6CBD">
              <w:rPr>
                <w:rFonts w:cs="Calibri"/>
                <w:b w:val="0"/>
                <w:sz w:val="20"/>
                <w:szCs w:val="20"/>
                <w:lang w:eastAsia="en-US"/>
              </w:rPr>
              <w:t xml:space="preserve"> </w:t>
            </w:r>
            <w:r w:rsidRPr="00BF7CB6">
              <w:rPr>
                <w:rFonts w:cs="Calibri"/>
                <w:b w:val="0"/>
                <w:sz w:val="20"/>
                <w:szCs w:val="20"/>
                <w:lang w:val="en-US" w:eastAsia="en-US"/>
              </w:rPr>
              <w:t>անվանումները՝</w:t>
            </w:r>
            <w:r w:rsidRPr="00CB6CBD">
              <w:rPr>
                <w:rFonts w:cs="Calibri"/>
                <w:b w:val="0"/>
                <w:sz w:val="20"/>
                <w:szCs w:val="20"/>
                <w:lang w:eastAsia="en-US"/>
              </w:rPr>
              <w:t xml:space="preserve"> </w:t>
            </w:r>
            <w:r w:rsidRPr="00BF7CB6">
              <w:rPr>
                <w:rFonts w:cs="Calibri"/>
                <w:b w:val="0"/>
                <w:sz w:val="20"/>
                <w:szCs w:val="20"/>
                <w:lang w:val="en-US" w:eastAsia="en-US"/>
              </w:rPr>
              <w:t>ընդամենը</w:t>
            </w:r>
          </w:p>
        </w:tc>
        <w:tc>
          <w:tcPr>
            <w:tcW w:w="1343" w:type="dxa"/>
            <w:shd w:val="clear" w:color="auto" w:fill="DBE5F1" w:themeFill="accent1" w:themeFillTint="33"/>
            <w:noWrap/>
            <w:vAlign w:val="center"/>
            <w:hideMark/>
          </w:tcPr>
          <w:p w:rsidR="009B3F20" w:rsidRPr="00BF7CB6" w:rsidRDefault="009B3F20" w:rsidP="007730AA">
            <w:pPr>
              <w:spacing w:before="0" w:line="240" w:lineRule="auto"/>
              <w:ind w:firstLine="0"/>
              <w:contextualSpacing w:val="0"/>
              <w:jc w:val="center"/>
              <w:rPr>
                <w:rFonts w:cs="Calibri"/>
                <w:b w:val="0"/>
                <w:sz w:val="20"/>
                <w:szCs w:val="20"/>
                <w:lang w:val="en-US" w:eastAsia="en-US"/>
              </w:rPr>
            </w:pPr>
            <w:r w:rsidRPr="00BF7CB6">
              <w:rPr>
                <w:rFonts w:cs="Calibri"/>
                <w:b w:val="0"/>
                <w:sz w:val="20"/>
                <w:szCs w:val="20"/>
                <w:lang w:val="en-US" w:eastAsia="en-US"/>
              </w:rPr>
              <w:t>267,021.5</w:t>
            </w:r>
          </w:p>
        </w:tc>
        <w:tc>
          <w:tcPr>
            <w:tcW w:w="1344" w:type="dxa"/>
            <w:shd w:val="clear" w:color="auto" w:fill="DBE5F1" w:themeFill="accent1" w:themeFillTint="33"/>
            <w:noWrap/>
            <w:vAlign w:val="center"/>
            <w:hideMark/>
          </w:tcPr>
          <w:p w:rsidR="009B3F20" w:rsidRPr="00BF7CB6" w:rsidRDefault="009B3F20" w:rsidP="007730AA">
            <w:pPr>
              <w:spacing w:before="0" w:line="240" w:lineRule="auto"/>
              <w:ind w:firstLine="0"/>
              <w:contextualSpacing w:val="0"/>
              <w:jc w:val="center"/>
              <w:rPr>
                <w:rFonts w:cs="Calibri"/>
                <w:b w:val="0"/>
                <w:sz w:val="20"/>
                <w:szCs w:val="20"/>
                <w:lang w:val="en-US" w:eastAsia="en-US"/>
              </w:rPr>
            </w:pPr>
            <w:r w:rsidRPr="00BF7CB6">
              <w:rPr>
                <w:rFonts w:cs="Calibri"/>
                <w:b w:val="0"/>
                <w:sz w:val="20"/>
                <w:szCs w:val="20"/>
                <w:lang w:val="en-US" w:eastAsia="en-US"/>
              </w:rPr>
              <w:t>105,392.4</w:t>
            </w:r>
          </w:p>
        </w:tc>
        <w:tc>
          <w:tcPr>
            <w:tcW w:w="1343" w:type="dxa"/>
            <w:shd w:val="clear" w:color="auto" w:fill="DBE5F1" w:themeFill="accent1" w:themeFillTint="33"/>
            <w:noWrap/>
            <w:vAlign w:val="center"/>
            <w:hideMark/>
          </w:tcPr>
          <w:p w:rsidR="009B3F20" w:rsidRPr="00BF7CB6" w:rsidRDefault="009B3F20" w:rsidP="007730AA">
            <w:pPr>
              <w:spacing w:before="0" w:line="240" w:lineRule="auto"/>
              <w:ind w:firstLine="0"/>
              <w:contextualSpacing w:val="0"/>
              <w:jc w:val="center"/>
              <w:rPr>
                <w:rFonts w:cs="Calibri"/>
                <w:b w:val="0"/>
                <w:sz w:val="20"/>
                <w:szCs w:val="20"/>
                <w:lang w:val="en-US" w:eastAsia="en-US"/>
              </w:rPr>
            </w:pPr>
            <w:r w:rsidRPr="00BF7CB6">
              <w:rPr>
                <w:rFonts w:cs="Calibri"/>
                <w:b w:val="0"/>
                <w:sz w:val="20"/>
                <w:szCs w:val="20"/>
                <w:lang w:val="en-US" w:eastAsia="en-US"/>
              </w:rPr>
              <w:t>63,947.9</w:t>
            </w:r>
          </w:p>
        </w:tc>
        <w:tc>
          <w:tcPr>
            <w:tcW w:w="1344" w:type="dxa"/>
            <w:shd w:val="clear" w:color="auto" w:fill="DBE5F1" w:themeFill="accent1" w:themeFillTint="33"/>
            <w:noWrap/>
            <w:vAlign w:val="center"/>
            <w:hideMark/>
          </w:tcPr>
          <w:p w:rsidR="009B3F20" w:rsidRPr="00BF7CB6" w:rsidRDefault="009B3F20" w:rsidP="007730AA">
            <w:pPr>
              <w:spacing w:before="0" w:line="240" w:lineRule="auto"/>
              <w:ind w:firstLine="0"/>
              <w:contextualSpacing w:val="0"/>
              <w:jc w:val="center"/>
              <w:rPr>
                <w:rFonts w:cs="Calibri"/>
                <w:b w:val="0"/>
                <w:sz w:val="20"/>
                <w:szCs w:val="20"/>
                <w:lang w:val="en-US" w:eastAsia="en-US"/>
              </w:rPr>
            </w:pPr>
            <w:r w:rsidRPr="00BF7CB6">
              <w:rPr>
                <w:rFonts w:cs="Calibri"/>
                <w:b w:val="0"/>
                <w:sz w:val="20"/>
                <w:szCs w:val="20"/>
                <w:lang w:val="en-US" w:eastAsia="en-US"/>
              </w:rPr>
              <w:t>160,687.3</w:t>
            </w:r>
          </w:p>
        </w:tc>
        <w:tc>
          <w:tcPr>
            <w:tcW w:w="1344" w:type="dxa"/>
            <w:shd w:val="clear" w:color="auto" w:fill="DBE5F1" w:themeFill="accent1" w:themeFillTint="33"/>
            <w:vAlign w:val="center"/>
            <w:hideMark/>
          </w:tcPr>
          <w:p w:rsidR="009B3F20" w:rsidRPr="00BF7CB6" w:rsidRDefault="009B3F20" w:rsidP="007730AA">
            <w:pPr>
              <w:spacing w:before="0" w:line="240" w:lineRule="auto"/>
              <w:ind w:firstLine="0"/>
              <w:contextualSpacing w:val="0"/>
              <w:jc w:val="center"/>
              <w:rPr>
                <w:rFonts w:cs="Calibri"/>
                <w:b w:val="0"/>
                <w:sz w:val="20"/>
                <w:szCs w:val="20"/>
                <w:lang w:val="en-US" w:eastAsia="en-US"/>
              </w:rPr>
            </w:pPr>
            <w:r>
              <w:rPr>
                <w:rFonts w:cs="Calibri"/>
                <w:b w:val="0"/>
                <w:sz w:val="20"/>
                <w:szCs w:val="20"/>
                <w:lang w:val="en-US" w:eastAsia="en-US"/>
              </w:rPr>
              <w:t>341,414.6</w:t>
            </w:r>
          </w:p>
        </w:tc>
      </w:tr>
      <w:tr w:rsidR="009B3F20" w:rsidRPr="00BF7CB6" w:rsidTr="002958DC">
        <w:trPr>
          <w:trHeight w:val="620"/>
        </w:trPr>
        <w:tc>
          <w:tcPr>
            <w:tcW w:w="2610" w:type="dxa"/>
            <w:shd w:val="clear" w:color="auto" w:fill="auto"/>
            <w:vAlign w:val="center"/>
            <w:hideMark/>
          </w:tcPr>
          <w:p w:rsidR="009B3F20" w:rsidRPr="00BF7CB6" w:rsidRDefault="009B3F20" w:rsidP="007730AA">
            <w:pPr>
              <w:spacing w:before="0" w:line="276" w:lineRule="auto"/>
              <w:ind w:firstLine="0"/>
              <w:contextualSpacing w:val="0"/>
              <w:jc w:val="left"/>
              <w:rPr>
                <w:rFonts w:cs="Calibri"/>
                <w:b w:val="0"/>
                <w:color w:val="000000"/>
                <w:sz w:val="20"/>
                <w:szCs w:val="20"/>
                <w:lang w:val="en-US" w:eastAsia="en-US"/>
              </w:rPr>
            </w:pPr>
            <w:r w:rsidRPr="00BF7CB6">
              <w:rPr>
                <w:rFonts w:cs="Calibri"/>
                <w:b w:val="0"/>
                <w:color w:val="000000"/>
                <w:sz w:val="20"/>
                <w:szCs w:val="20"/>
                <w:lang w:val="en-US" w:eastAsia="en-US"/>
              </w:rPr>
              <w:t>Ա.Ներքին աղբյուրներ-ընդամենը</w:t>
            </w:r>
          </w:p>
        </w:tc>
        <w:tc>
          <w:tcPr>
            <w:tcW w:w="1343" w:type="dxa"/>
            <w:shd w:val="clear" w:color="auto" w:fill="auto"/>
            <w:noWrap/>
            <w:vAlign w:val="center"/>
            <w:hideMark/>
          </w:tcPr>
          <w:p w:rsidR="009B3F20" w:rsidRPr="00BF7CB6" w:rsidRDefault="009B3F20" w:rsidP="007730AA">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70,559.3</w:t>
            </w:r>
          </w:p>
        </w:tc>
        <w:tc>
          <w:tcPr>
            <w:tcW w:w="1344" w:type="dxa"/>
            <w:shd w:val="clear" w:color="auto" w:fill="auto"/>
            <w:noWrap/>
            <w:vAlign w:val="center"/>
            <w:hideMark/>
          </w:tcPr>
          <w:p w:rsidR="009B3F20" w:rsidRPr="00BF7CB6" w:rsidRDefault="009B3F20" w:rsidP="007730AA">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69,364.0</w:t>
            </w:r>
          </w:p>
        </w:tc>
        <w:tc>
          <w:tcPr>
            <w:tcW w:w="1343" w:type="dxa"/>
            <w:shd w:val="clear" w:color="auto" w:fill="auto"/>
            <w:noWrap/>
            <w:vAlign w:val="center"/>
            <w:hideMark/>
          </w:tcPr>
          <w:p w:rsidR="009B3F20" w:rsidRPr="00BF7CB6" w:rsidRDefault="009B3F20" w:rsidP="007730AA">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(13,317.2)</w:t>
            </w:r>
          </w:p>
        </w:tc>
        <w:tc>
          <w:tcPr>
            <w:tcW w:w="1344" w:type="dxa"/>
            <w:shd w:val="clear" w:color="auto" w:fill="auto"/>
            <w:noWrap/>
            <w:vAlign w:val="center"/>
            <w:hideMark/>
          </w:tcPr>
          <w:p w:rsidR="009B3F20" w:rsidRPr="00BF7CB6" w:rsidRDefault="009B3F20" w:rsidP="007730AA">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211,047.0</w:t>
            </w:r>
          </w:p>
        </w:tc>
        <w:tc>
          <w:tcPr>
            <w:tcW w:w="1344" w:type="dxa"/>
            <w:shd w:val="clear" w:color="auto" w:fill="auto"/>
            <w:vAlign w:val="center"/>
            <w:hideMark/>
          </w:tcPr>
          <w:p w:rsidR="009B3F20" w:rsidRPr="00BF7CB6" w:rsidRDefault="009B3F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138,686.6</w:t>
            </w:r>
          </w:p>
        </w:tc>
      </w:tr>
      <w:tr w:rsidR="009B3F20" w:rsidRPr="00BF7CB6" w:rsidTr="002958DC">
        <w:trPr>
          <w:trHeight w:val="809"/>
        </w:trPr>
        <w:tc>
          <w:tcPr>
            <w:tcW w:w="2610" w:type="dxa"/>
            <w:shd w:val="clear" w:color="auto" w:fill="auto"/>
            <w:vAlign w:val="center"/>
            <w:hideMark/>
          </w:tcPr>
          <w:p w:rsidR="009B3F20" w:rsidRPr="00BF7CB6" w:rsidRDefault="009B3F20" w:rsidP="007730AA">
            <w:pPr>
              <w:spacing w:before="0" w:line="276" w:lineRule="auto"/>
              <w:ind w:firstLine="0"/>
              <w:contextualSpacing w:val="0"/>
              <w:jc w:val="left"/>
              <w:rPr>
                <w:rFonts w:cs="Calibri"/>
                <w:b w:val="0"/>
                <w:color w:val="000000"/>
                <w:sz w:val="20"/>
                <w:szCs w:val="20"/>
                <w:lang w:val="en-US" w:eastAsia="en-US"/>
              </w:rPr>
            </w:pPr>
            <w:r w:rsidRPr="00BF7CB6">
              <w:rPr>
                <w:rFonts w:cs="Calibri"/>
                <w:b w:val="0"/>
                <w:color w:val="000000"/>
                <w:sz w:val="20"/>
                <w:szCs w:val="20"/>
                <w:lang w:val="en-US" w:eastAsia="en-US"/>
              </w:rPr>
              <w:t>Բ. Արտաքին աղբյուրներ - ընդամենը</w:t>
            </w:r>
          </w:p>
        </w:tc>
        <w:tc>
          <w:tcPr>
            <w:tcW w:w="1343" w:type="dxa"/>
            <w:shd w:val="clear" w:color="auto" w:fill="auto"/>
            <w:noWrap/>
            <w:vAlign w:val="center"/>
            <w:hideMark/>
          </w:tcPr>
          <w:p w:rsidR="009B3F20" w:rsidRPr="00BF7CB6" w:rsidRDefault="009B3F20" w:rsidP="007730AA">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196,462.2</w:t>
            </w:r>
          </w:p>
        </w:tc>
        <w:tc>
          <w:tcPr>
            <w:tcW w:w="1344" w:type="dxa"/>
            <w:shd w:val="clear" w:color="auto" w:fill="auto"/>
            <w:noWrap/>
            <w:vAlign w:val="center"/>
            <w:hideMark/>
          </w:tcPr>
          <w:p w:rsidR="009B3F20" w:rsidRPr="00BF7CB6" w:rsidRDefault="009B3F20" w:rsidP="007730AA">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36,028.4</w:t>
            </w:r>
          </w:p>
        </w:tc>
        <w:tc>
          <w:tcPr>
            <w:tcW w:w="1343" w:type="dxa"/>
            <w:shd w:val="clear" w:color="auto" w:fill="auto"/>
            <w:noWrap/>
            <w:vAlign w:val="center"/>
            <w:hideMark/>
          </w:tcPr>
          <w:p w:rsidR="009B3F20" w:rsidRPr="00BF7CB6" w:rsidRDefault="009B3F20" w:rsidP="007730AA">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77,265.2</w:t>
            </w:r>
          </w:p>
        </w:tc>
        <w:tc>
          <w:tcPr>
            <w:tcW w:w="1344" w:type="dxa"/>
            <w:shd w:val="clear" w:color="auto" w:fill="auto"/>
            <w:noWrap/>
            <w:vAlign w:val="center"/>
            <w:hideMark/>
          </w:tcPr>
          <w:p w:rsidR="009B3F20" w:rsidRPr="00BF7CB6" w:rsidRDefault="009B3F20" w:rsidP="007730AA">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(50,359.8)</w:t>
            </w:r>
          </w:p>
        </w:tc>
        <w:tc>
          <w:tcPr>
            <w:tcW w:w="1344" w:type="dxa"/>
            <w:shd w:val="clear" w:color="auto" w:fill="auto"/>
            <w:vAlign w:val="center"/>
            <w:hideMark/>
          </w:tcPr>
          <w:p w:rsidR="009B3F20" w:rsidRPr="00BF7CB6" w:rsidRDefault="009B3F2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202,728.0</w:t>
            </w:r>
          </w:p>
        </w:tc>
      </w:tr>
    </w:tbl>
    <w:p w:rsidR="009B3F20" w:rsidRPr="00BF7CB6" w:rsidRDefault="009B3F20" w:rsidP="007730AA">
      <w:pPr>
        <w:spacing w:before="0" w:line="276" w:lineRule="auto"/>
        <w:ind w:firstLine="360"/>
        <w:contextualSpacing w:val="0"/>
        <w:rPr>
          <w:b w:val="0"/>
          <w:szCs w:val="22"/>
          <w:lang w:val="hy-AM" w:eastAsia="en-US"/>
        </w:rPr>
      </w:pPr>
      <w:r w:rsidRPr="00BF7CB6">
        <w:rPr>
          <w:rFonts w:cs="Sylfaen"/>
          <w:b w:val="0"/>
          <w:szCs w:val="22"/>
          <w:lang w:val="en-US" w:eastAsia="en-US"/>
        </w:rPr>
        <w:t>Պետական</w:t>
      </w:r>
      <w:r w:rsidRPr="000E047D">
        <w:rPr>
          <w:b w:val="0"/>
          <w:szCs w:val="22"/>
          <w:lang w:eastAsia="en-US"/>
        </w:rPr>
        <w:t xml:space="preserve"> </w:t>
      </w:r>
      <w:r w:rsidRPr="00BF7CB6">
        <w:rPr>
          <w:rFonts w:cs="Sylfaen"/>
          <w:b w:val="0"/>
          <w:szCs w:val="22"/>
          <w:lang w:val="en-US" w:eastAsia="en-US"/>
        </w:rPr>
        <w:t>բյուջեի</w:t>
      </w:r>
      <w:r w:rsidRPr="000E047D">
        <w:rPr>
          <w:b w:val="0"/>
          <w:szCs w:val="22"/>
          <w:lang w:eastAsia="en-US"/>
        </w:rPr>
        <w:t xml:space="preserve"> </w:t>
      </w:r>
      <w:r w:rsidRPr="00BF7CB6">
        <w:rPr>
          <w:rFonts w:cs="Sylfaen"/>
          <w:b w:val="0"/>
          <w:szCs w:val="22"/>
          <w:lang w:val="en-US" w:eastAsia="en-US"/>
        </w:rPr>
        <w:t>դեֆիցիտի</w:t>
      </w:r>
      <w:r w:rsidRPr="000E047D">
        <w:rPr>
          <w:b w:val="0"/>
          <w:szCs w:val="22"/>
          <w:lang w:eastAsia="en-US"/>
        </w:rPr>
        <w:t xml:space="preserve"> </w:t>
      </w:r>
      <w:r w:rsidRPr="00BF7CB6">
        <w:rPr>
          <w:rFonts w:cs="Sylfaen"/>
          <w:b w:val="0"/>
          <w:szCs w:val="22"/>
          <w:lang w:val="en-US" w:eastAsia="en-US"/>
        </w:rPr>
        <w:t>հարաբերակցությունը</w:t>
      </w:r>
      <w:r w:rsidRPr="000E047D">
        <w:rPr>
          <w:b w:val="0"/>
          <w:szCs w:val="22"/>
          <w:lang w:eastAsia="en-US"/>
        </w:rPr>
        <w:t xml:space="preserve"> </w:t>
      </w:r>
      <w:r w:rsidRPr="00BF7CB6">
        <w:rPr>
          <w:rFonts w:cs="Sylfaen"/>
          <w:b w:val="0"/>
          <w:szCs w:val="22"/>
          <w:lang w:val="en-US" w:eastAsia="en-US"/>
        </w:rPr>
        <w:t>ՀՆԱ</w:t>
      </w:r>
      <w:r w:rsidRPr="000E047D">
        <w:rPr>
          <w:rFonts w:cs="Sylfaen"/>
          <w:b w:val="0"/>
          <w:szCs w:val="22"/>
          <w:lang w:eastAsia="en-US"/>
        </w:rPr>
        <w:t>-</w:t>
      </w:r>
      <w:r w:rsidRPr="00BF7CB6">
        <w:rPr>
          <w:rFonts w:cs="Sylfaen"/>
          <w:b w:val="0"/>
          <w:szCs w:val="22"/>
          <w:lang w:val="en-US" w:eastAsia="en-US"/>
        </w:rPr>
        <w:t>ի</w:t>
      </w:r>
      <w:r w:rsidRPr="000E047D">
        <w:rPr>
          <w:b w:val="0"/>
          <w:szCs w:val="22"/>
          <w:lang w:eastAsia="en-US"/>
        </w:rPr>
        <w:t xml:space="preserve"> </w:t>
      </w:r>
      <w:r w:rsidRPr="00BF7CB6">
        <w:rPr>
          <w:rFonts w:cs="Sylfaen"/>
          <w:b w:val="0"/>
          <w:szCs w:val="22"/>
          <w:lang w:val="en-US" w:eastAsia="en-US"/>
        </w:rPr>
        <w:t>նկատմամբ</w:t>
      </w:r>
      <w:r w:rsidRPr="000E047D">
        <w:rPr>
          <w:b w:val="0"/>
          <w:szCs w:val="22"/>
          <w:lang w:eastAsia="en-US"/>
        </w:rPr>
        <w:t xml:space="preserve"> 2021 </w:t>
      </w:r>
      <w:r w:rsidRPr="00BF7CB6">
        <w:rPr>
          <w:b w:val="0"/>
          <w:szCs w:val="22"/>
          <w:lang w:val="en-US" w:eastAsia="en-US"/>
        </w:rPr>
        <w:t>թվակա</w:t>
      </w:r>
      <w:r w:rsidRPr="00BF7CB6">
        <w:rPr>
          <w:rFonts w:cs="Sylfaen"/>
          <w:b w:val="0"/>
          <w:szCs w:val="22"/>
          <w:lang w:val="en-US" w:eastAsia="en-US"/>
        </w:rPr>
        <w:t>նին</w:t>
      </w:r>
      <w:r w:rsidRPr="000E047D">
        <w:rPr>
          <w:b w:val="0"/>
          <w:szCs w:val="22"/>
          <w:lang w:eastAsia="en-US"/>
        </w:rPr>
        <w:t xml:space="preserve"> </w:t>
      </w:r>
      <w:r w:rsidRPr="00BF7CB6">
        <w:rPr>
          <w:rFonts w:cs="Sylfaen"/>
          <w:b w:val="0"/>
          <w:szCs w:val="22"/>
          <w:lang w:val="en-US" w:eastAsia="en-US"/>
        </w:rPr>
        <w:t>կկազմի</w:t>
      </w:r>
      <w:r>
        <w:rPr>
          <w:rFonts w:cs="Sylfaen"/>
          <w:b w:val="0"/>
          <w:szCs w:val="22"/>
          <w:lang w:eastAsia="en-US"/>
        </w:rPr>
        <w:t xml:space="preserve"> 5.</w:t>
      </w:r>
      <w:r w:rsidRPr="00A05CFC">
        <w:rPr>
          <w:rFonts w:cs="Sylfaen"/>
          <w:b w:val="0"/>
          <w:szCs w:val="22"/>
          <w:lang w:eastAsia="en-US"/>
        </w:rPr>
        <w:t>3</w:t>
      </w:r>
      <w:r w:rsidRPr="000E047D">
        <w:rPr>
          <w:b w:val="0"/>
          <w:szCs w:val="22"/>
          <w:lang w:eastAsia="en-US"/>
        </w:rPr>
        <w:t xml:space="preserve">%: </w:t>
      </w:r>
      <w:r w:rsidRPr="00BF7CB6">
        <w:rPr>
          <w:rFonts w:cs="Sylfaen"/>
          <w:b w:val="0"/>
          <w:szCs w:val="22"/>
          <w:lang w:val="en-US" w:eastAsia="en-US"/>
        </w:rPr>
        <w:t>Ինչպես</w:t>
      </w:r>
      <w:r w:rsidRPr="000E047D">
        <w:rPr>
          <w:rFonts w:cs="Sylfaen"/>
          <w:b w:val="0"/>
          <w:szCs w:val="22"/>
          <w:lang w:eastAsia="en-US"/>
        </w:rPr>
        <w:t xml:space="preserve"> 2021-2023</w:t>
      </w:r>
      <w:r w:rsidRPr="00BF7CB6">
        <w:rPr>
          <w:rFonts w:cs="Sylfaen"/>
          <w:b w:val="0"/>
          <w:szCs w:val="22"/>
          <w:lang w:val="en-US" w:eastAsia="en-US"/>
        </w:rPr>
        <w:t>թթ</w:t>
      </w:r>
      <w:r w:rsidRPr="000E047D">
        <w:rPr>
          <w:rFonts w:cs="Sylfaen"/>
          <w:b w:val="0"/>
          <w:szCs w:val="22"/>
          <w:lang w:eastAsia="en-US"/>
        </w:rPr>
        <w:t xml:space="preserve"> </w:t>
      </w:r>
      <w:r w:rsidRPr="00BF7CB6">
        <w:rPr>
          <w:rFonts w:cs="Sylfaen"/>
          <w:b w:val="0"/>
          <w:szCs w:val="22"/>
          <w:lang w:val="en-US" w:eastAsia="en-US"/>
        </w:rPr>
        <w:t>միջնաժամկետ</w:t>
      </w:r>
      <w:r w:rsidRPr="000E047D">
        <w:rPr>
          <w:rFonts w:cs="Sylfaen"/>
          <w:b w:val="0"/>
          <w:szCs w:val="22"/>
          <w:lang w:eastAsia="en-US"/>
        </w:rPr>
        <w:t xml:space="preserve"> </w:t>
      </w:r>
      <w:r w:rsidRPr="00BF7CB6">
        <w:rPr>
          <w:rFonts w:cs="Sylfaen"/>
          <w:b w:val="0"/>
          <w:szCs w:val="22"/>
          <w:lang w:val="en-US" w:eastAsia="en-US"/>
        </w:rPr>
        <w:t>ծախսային</w:t>
      </w:r>
      <w:r w:rsidRPr="000E047D">
        <w:rPr>
          <w:rFonts w:cs="Sylfaen"/>
          <w:b w:val="0"/>
          <w:szCs w:val="22"/>
          <w:lang w:eastAsia="en-US"/>
        </w:rPr>
        <w:t xml:space="preserve"> </w:t>
      </w:r>
      <w:r w:rsidRPr="00BF7CB6">
        <w:rPr>
          <w:rFonts w:cs="Sylfaen"/>
          <w:b w:val="0"/>
          <w:szCs w:val="22"/>
          <w:lang w:val="en-US" w:eastAsia="en-US"/>
        </w:rPr>
        <w:t>ծրագրում</w:t>
      </w:r>
      <w:r w:rsidRPr="000E047D">
        <w:rPr>
          <w:rFonts w:cs="Sylfaen"/>
          <w:b w:val="0"/>
          <w:szCs w:val="22"/>
          <w:lang w:eastAsia="en-US"/>
        </w:rPr>
        <w:t xml:space="preserve">, </w:t>
      </w:r>
      <w:r w:rsidRPr="00BF7CB6">
        <w:rPr>
          <w:rFonts w:cs="Sylfaen"/>
          <w:b w:val="0"/>
          <w:szCs w:val="22"/>
          <w:lang w:val="en-US" w:eastAsia="en-US"/>
        </w:rPr>
        <w:t>ՀՀ</w:t>
      </w:r>
      <w:r w:rsidRPr="000E047D">
        <w:rPr>
          <w:rFonts w:cs="Sylfaen"/>
          <w:b w:val="0"/>
          <w:szCs w:val="22"/>
          <w:lang w:eastAsia="en-US"/>
        </w:rPr>
        <w:t xml:space="preserve"> 2021</w:t>
      </w:r>
      <w:r w:rsidRPr="00BF7CB6">
        <w:rPr>
          <w:rFonts w:cs="Sylfaen"/>
          <w:b w:val="0"/>
          <w:szCs w:val="22"/>
          <w:lang w:val="en-US" w:eastAsia="en-US"/>
        </w:rPr>
        <w:t>թ</w:t>
      </w:r>
      <w:r w:rsidRPr="000E047D">
        <w:rPr>
          <w:rFonts w:cs="Sylfaen"/>
          <w:b w:val="0"/>
          <w:szCs w:val="22"/>
          <w:lang w:eastAsia="en-US"/>
        </w:rPr>
        <w:t xml:space="preserve"> </w:t>
      </w:r>
      <w:r w:rsidRPr="00BF7CB6">
        <w:rPr>
          <w:rFonts w:cs="Sylfaen"/>
          <w:b w:val="0"/>
          <w:szCs w:val="22"/>
          <w:lang w:val="en-US" w:eastAsia="en-US"/>
        </w:rPr>
        <w:t>բյուջեում</w:t>
      </w:r>
      <w:r w:rsidRPr="000E047D">
        <w:rPr>
          <w:rFonts w:cs="Sylfaen"/>
          <w:b w:val="0"/>
          <w:szCs w:val="22"/>
          <w:lang w:eastAsia="en-US"/>
        </w:rPr>
        <w:t xml:space="preserve"> </w:t>
      </w:r>
      <w:r w:rsidRPr="00BF7CB6">
        <w:rPr>
          <w:rFonts w:cs="Sylfaen"/>
          <w:b w:val="0"/>
          <w:szCs w:val="22"/>
          <w:lang w:val="en-US" w:eastAsia="en-US"/>
        </w:rPr>
        <w:t>նույն</w:t>
      </w:r>
      <w:r w:rsidRPr="000E047D">
        <w:rPr>
          <w:rFonts w:cs="Sylfaen"/>
          <w:b w:val="0"/>
          <w:szCs w:val="22"/>
          <w:lang w:eastAsia="en-US"/>
        </w:rPr>
        <w:softHyphen/>
      </w:r>
      <w:r w:rsidRPr="000E047D">
        <w:rPr>
          <w:rFonts w:cs="Sylfaen"/>
          <w:b w:val="0"/>
          <w:szCs w:val="22"/>
          <w:lang w:eastAsia="en-US"/>
        </w:rPr>
        <w:softHyphen/>
      </w:r>
      <w:r w:rsidRPr="00BF7CB6">
        <w:rPr>
          <w:rFonts w:cs="Sylfaen"/>
          <w:b w:val="0"/>
          <w:szCs w:val="22"/>
          <w:lang w:val="en-US" w:eastAsia="en-US"/>
        </w:rPr>
        <w:t>պես</w:t>
      </w:r>
      <w:r w:rsidRPr="000E047D">
        <w:rPr>
          <w:rFonts w:cs="Sylfaen"/>
          <w:b w:val="0"/>
          <w:szCs w:val="22"/>
          <w:lang w:eastAsia="en-US"/>
        </w:rPr>
        <w:t xml:space="preserve"> </w:t>
      </w:r>
      <w:r w:rsidRPr="00BF7CB6">
        <w:rPr>
          <w:rFonts w:cs="Sylfaen"/>
          <w:b w:val="0"/>
          <w:szCs w:val="22"/>
          <w:lang w:val="en-US" w:eastAsia="en-US"/>
        </w:rPr>
        <w:t>պահպանվել</w:t>
      </w:r>
      <w:r w:rsidRPr="000E047D">
        <w:rPr>
          <w:rFonts w:cs="Sylfaen"/>
          <w:b w:val="0"/>
          <w:szCs w:val="22"/>
          <w:lang w:eastAsia="en-US"/>
        </w:rPr>
        <w:t xml:space="preserve"> </w:t>
      </w:r>
      <w:r w:rsidRPr="00BF7CB6">
        <w:rPr>
          <w:rFonts w:cs="Sylfaen"/>
          <w:b w:val="0"/>
          <w:szCs w:val="22"/>
          <w:lang w:val="en-US" w:eastAsia="en-US"/>
        </w:rPr>
        <w:t>է</w:t>
      </w:r>
      <w:r w:rsidRPr="000E047D">
        <w:rPr>
          <w:rFonts w:cs="Sylfaen"/>
          <w:b w:val="0"/>
          <w:szCs w:val="22"/>
          <w:lang w:eastAsia="en-US"/>
        </w:rPr>
        <w:t xml:space="preserve"> </w:t>
      </w:r>
      <w:r w:rsidRPr="00BF7CB6">
        <w:rPr>
          <w:rFonts w:cs="Sylfaen"/>
          <w:b w:val="0"/>
          <w:szCs w:val="22"/>
          <w:lang w:val="hy-AM" w:eastAsia="en-US"/>
        </w:rPr>
        <w:t>ՀՀ</w:t>
      </w:r>
      <w:r w:rsidRPr="00BF7CB6">
        <w:rPr>
          <w:b w:val="0"/>
          <w:szCs w:val="22"/>
          <w:lang w:val="hy-AM" w:eastAsia="en-US"/>
        </w:rPr>
        <w:t xml:space="preserve"> </w:t>
      </w:r>
      <w:r w:rsidRPr="00BF7CB6">
        <w:rPr>
          <w:rFonts w:cs="Sylfaen"/>
          <w:b w:val="0"/>
          <w:szCs w:val="22"/>
          <w:lang w:val="hy-AM" w:eastAsia="en-US"/>
        </w:rPr>
        <w:t>պետական</w:t>
      </w:r>
      <w:r w:rsidRPr="00BF7CB6">
        <w:rPr>
          <w:b w:val="0"/>
          <w:szCs w:val="22"/>
          <w:lang w:val="hy-AM" w:eastAsia="en-US"/>
        </w:rPr>
        <w:t xml:space="preserve"> </w:t>
      </w:r>
      <w:r w:rsidRPr="00BF7CB6">
        <w:rPr>
          <w:rFonts w:cs="Sylfaen"/>
          <w:b w:val="0"/>
          <w:szCs w:val="22"/>
          <w:lang w:val="hy-AM" w:eastAsia="en-US"/>
        </w:rPr>
        <w:t>բյուջեի</w:t>
      </w:r>
      <w:r w:rsidRPr="000E047D">
        <w:rPr>
          <w:rFonts w:cs="Sylfaen"/>
          <w:b w:val="0"/>
          <w:szCs w:val="22"/>
          <w:lang w:eastAsia="en-US"/>
        </w:rPr>
        <w:t xml:space="preserve"> </w:t>
      </w:r>
      <w:r w:rsidRPr="00BF7CB6">
        <w:rPr>
          <w:rFonts w:cs="Sylfaen"/>
          <w:b w:val="0"/>
          <w:szCs w:val="22"/>
          <w:lang w:val="hy-AM" w:eastAsia="en-US"/>
        </w:rPr>
        <w:t>կախվա</w:t>
      </w:r>
      <w:r w:rsidRPr="00BF7CB6">
        <w:rPr>
          <w:rFonts w:cs="Sylfaen"/>
          <w:b w:val="0"/>
          <w:szCs w:val="22"/>
          <w:lang w:val="hy-AM" w:eastAsia="en-US"/>
        </w:rPr>
        <w:softHyphen/>
        <w:t>ծու</w:t>
      </w:r>
      <w:r w:rsidRPr="00BF7CB6">
        <w:rPr>
          <w:rFonts w:cs="Sylfaen"/>
          <w:b w:val="0"/>
          <w:szCs w:val="22"/>
          <w:lang w:val="hy-AM" w:eastAsia="en-US"/>
        </w:rPr>
        <w:softHyphen/>
        <w:t>թյունն</w:t>
      </w:r>
      <w:r w:rsidRPr="00BF7CB6">
        <w:rPr>
          <w:b w:val="0"/>
          <w:szCs w:val="22"/>
          <w:lang w:val="hy-AM" w:eastAsia="en-US"/>
        </w:rPr>
        <w:t xml:space="preserve"> </w:t>
      </w:r>
      <w:r w:rsidRPr="00BF7CB6">
        <w:rPr>
          <w:rFonts w:cs="Sylfaen"/>
          <w:b w:val="0"/>
          <w:szCs w:val="22"/>
          <w:lang w:val="hy-AM" w:eastAsia="en-US"/>
        </w:rPr>
        <w:t>արտաքին</w:t>
      </w:r>
      <w:r w:rsidRPr="00BF7CB6">
        <w:rPr>
          <w:b w:val="0"/>
          <w:szCs w:val="22"/>
          <w:lang w:val="hy-AM" w:eastAsia="en-US"/>
        </w:rPr>
        <w:t xml:space="preserve"> </w:t>
      </w:r>
      <w:r w:rsidRPr="00BF7CB6">
        <w:rPr>
          <w:rFonts w:cs="Sylfaen"/>
          <w:b w:val="0"/>
          <w:szCs w:val="22"/>
          <w:lang w:val="hy-AM" w:eastAsia="en-US"/>
        </w:rPr>
        <w:t>ֆինանսավորման</w:t>
      </w:r>
      <w:r w:rsidRPr="00BF7CB6">
        <w:rPr>
          <w:b w:val="0"/>
          <w:szCs w:val="22"/>
          <w:lang w:val="hy-AM" w:eastAsia="en-US"/>
        </w:rPr>
        <w:t xml:space="preserve"> </w:t>
      </w:r>
      <w:r w:rsidRPr="00BF7CB6">
        <w:rPr>
          <w:rFonts w:cs="Sylfaen"/>
          <w:b w:val="0"/>
          <w:szCs w:val="22"/>
          <w:lang w:val="hy-AM" w:eastAsia="en-US"/>
        </w:rPr>
        <w:t>աղբյուր</w:t>
      </w:r>
      <w:r w:rsidRPr="000E047D">
        <w:rPr>
          <w:rFonts w:cs="Sylfaen"/>
          <w:b w:val="0"/>
          <w:szCs w:val="22"/>
          <w:lang w:eastAsia="en-US"/>
        </w:rPr>
        <w:softHyphen/>
      </w:r>
      <w:r w:rsidRPr="000E047D">
        <w:rPr>
          <w:rFonts w:cs="Sylfaen"/>
          <w:b w:val="0"/>
          <w:szCs w:val="22"/>
          <w:lang w:eastAsia="en-US"/>
        </w:rPr>
        <w:softHyphen/>
      </w:r>
      <w:r w:rsidRPr="00BF7CB6">
        <w:rPr>
          <w:rFonts w:cs="Sylfaen"/>
          <w:b w:val="0"/>
          <w:szCs w:val="22"/>
          <w:lang w:val="hy-AM" w:eastAsia="en-US"/>
        </w:rPr>
        <w:t>ներից</w:t>
      </w:r>
      <w:r w:rsidRPr="00BF7CB6">
        <w:rPr>
          <w:b w:val="0"/>
          <w:szCs w:val="22"/>
          <w:lang w:val="hy-AM" w:eastAsia="en-US"/>
        </w:rPr>
        <w:t xml:space="preserve"> (</w:t>
      </w:r>
      <w:r w:rsidRPr="00BF7CB6">
        <w:rPr>
          <w:rFonts w:cs="Sylfaen"/>
          <w:b w:val="0"/>
          <w:szCs w:val="22"/>
          <w:lang w:val="hy-AM" w:eastAsia="en-US"/>
        </w:rPr>
        <w:t>արտասահմանյան</w:t>
      </w:r>
      <w:r w:rsidRPr="00BF7CB6">
        <w:rPr>
          <w:b w:val="0"/>
          <w:szCs w:val="22"/>
          <w:lang w:val="hy-AM" w:eastAsia="en-US"/>
        </w:rPr>
        <w:t xml:space="preserve"> </w:t>
      </w:r>
      <w:r w:rsidRPr="00BF7CB6">
        <w:rPr>
          <w:rFonts w:cs="Sylfaen"/>
          <w:b w:val="0"/>
          <w:szCs w:val="22"/>
          <w:lang w:val="hy-AM" w:eastAsia="en-US"/>
        </w:rPr>
        <w:t>վարկերից</w:t>
      </w:r>
      <w:r w:rsidRPr="00BF7CB6">
        <w:rPr>
          <w:b w:val="0"/>
          <w:szCs w:val="22"/>
          <w:lang w:val="hy-AM" w:eastAsia="en-US"/>
        </w:rPr>
        <w:t xml:space="preserve"> </w:t>
      </w:r>
      <w:r w:rsidRPr="00BF7CB6">
        <w:rPr>
          <w:rFonts w:cs="Sylfaen"/>
          <w:b w:val="0"/>
          <w:szCs w:val="22"/>
          <w:lang w:val="hy-AM" w:eastAsia="en-US"/>
        </w:rPr>
        <w:t>և</w:t>
      </w:r>
      <w:r w:rsidRPr="00BF7CB6">
        <w:rPr>
          <w:b w:val="0"/>
          <w:szCs w:val="22"/>
          <w:lang w:val="hy-AM" w:eastAsia="en-US"/>
        </w:rPr>
        <w:t xml:space="preserve"> </w:t>
      </w:r>
      <w:r w:rsidRPr="00BF7CB6">
        <w:rPr>
          <w:rFonts w:cs="Sylfaen"/>
          <w:b w:val="0"/>
          <w:szCs w:val="22"/>
          <w:lang w:val="hy-AM" w:eastAsia="en-US"/>
        </w:rPr>
        <w:t>պաշտո</w:t>
      </w:r>
      <w:r w:rsidRPr="00BF7CB6">
        <w:rPr>
          <w:rFonts w:cs="Sylfaen"/>
          <w:b w:val="0"/>
          <w:szCs w:val="22"/>
          <w:lang w:val="hy-AM" w:eastAsia="en-US"/>
        </w:rPr>
        <w:softHyphen/>
        <w:t>նական</w:t>
      </w:r>
      <w:r w:rsidRPr="00BF7CB6">
        <w:rPr>
          <w:b w:val="0"/>
          <w:szCs w:val="22"/>
          <w:lang w:val="hy-AM" w:eastAsia="en-US"/>
        </w:rPr>
        <w:t xml:space="preserve"> </w:t>
      </w:r>
      <w:r w:rsidRPr="00BF7CB6">
        <w:rPr>
          <w:rFonts w:cs="Sylfaen"/>
          <w:b w:val="0"/>
          <w:szCs w:val="22"/>
          <w:lang w:val="hy-AM" w:eastAsia="en-US"/>
        </w:rPr>
        <w:t>դրամաշնորհ</w:t>
      </w:r>
      <w:r w:rsidRPr="00BF7CB6">
        <w:rPr>
          <w:rFonts w:cs="Sylfaen"/>
          <w:b w:val="0"/>
          <w:szCs w:val="22"/>
          <w:lang w:val="hy-AM" w:eastAsia="en-US"/>
        </w:rPr>
        <w:softHyphen/>
        <w:t>ներից</w:t>
      </w:r>
      <w:r w:rsidRPr="00BF7CB6">
        <w:rPr>
          <w:b w:val="0"/>
          <w:szCs w:val="22"/>
          <w:lang w:val="hy-AM" w:eastAsia="en-US"/>
        </w:rPr>
        <w:t>):</w:t>
      </w:r>
    </w:p>
    <w:p w:rsidR="002958DC" w:rsidRPr="005578F9" w:rsidRDefault="002958DC" w:rsidP="007730AA">
      <w:pPr>
        <w:pStyle w:val="Caption"/>
        <w:spacing w:before="0" w:after="0"/>
      </w:pPr>
      <w:bookmarkStart w:id="172" w:name="_Toc57631756"/>
    </w:p>
    <w:p w:rsidR="002958DC" w:rsidRPr="005578F9" w:rsidRDefault="002958DC" w:rsidP="007730AA">
      <w:pPr>
        <w:pStyle w:val="Caption"/>
        <w:spacing w:before="0" w:after="0"/>
      </w:pPr>
    </w:p>
    <w:p w:rsidR="002958DC" w:rsidRPr="005578F9" w:rsidRDefault="002958DC" w:rsidP="007730AA">
      <w:pPr>
        <w:pStyle w:val="Caption"/>
        <w:spacing w:before="0" w:after="0"/>
      </w:pPr>
    </w:p>
    <w:p w:rsidR="009B3F20" w:rsidRPr="00A2480A" w:rsidRDefault="009B3F20" w:rsidP="007730AA">
      <w:pPr>
        <w:pStyle w:val="Caption"/>
        <w:spacing w:before="0" w:after="0"/>
        <w:rPr>
          <w:b/>
          <w:i/>
          <w:sz w:val="20"/>
          <w:szCs w:val="20"/>
          <w:lang w:val="hy-AM"/>
        </w:rPr>
      </w:pPr>
      <w:r w:rsidRPr="00D02A2D">
        <w:rPr>
          <w:lang w:val="hy-AM"/>
        </w:rPr>
        <w:t xml:space="preserve">Աղյուսակ </w:t>
      </w:r>
      <w:r w:rsidR="003C3925">
        <w:fldChar w:fldCharType="begin"/>
      </w:r>
      <w:r w:rsidRPr="00D02A2D">
        <w:rPr>
          <w:lang w:val="hy-AM"/>
        </w:rPr>
        <w:instrText xml:space="preserve"> SEQ Աղյուսակ \* ARABIC </w:instrText>
      </w:r>
      <w:r w:rsidR="003C3925">
        <w:fldChar w:fldCharType="separate"/>
      </w:r>
      <w:r w:rsidR="007E790B">
        <w:rPr>
          <w:noProof/>
          <w:lang w:val="hy-AM"/>
        </w:rPr>
        <w:t>5</w:t>
      </w:r>
      <w:r w:rsidR="003C3925">
        <w:fldChar w:fldCharType="end"/>
      </w:r>
      <w:r>
        <w:rPr>
          <w:rFonts w:ascii="Cambria Math" w:hAnsi="Cambria Math"/>
          <w:lang w:val="hy-AM"/>
        </w:rPr>
        <w:t xml:space="preserve">․ </w:t>
      </w:r>
      <w:r w:rsidRPr="00A2480A">
        <w:rPr>
          <w:b/>
          <w:i/>
          <w:sz w:val="20"/>
          <w:szCs w:val="20"/>
          <w:lang w:val="hy-AM"/>
        </w:rPr>
        <w:t>Ընդհանուր և առաջնային դեֆիցիտները (%-ով ՀՆԱ-ի նկատմամբ) 2021թ</w:t>
      </w:r>
      <w:bookmarkEnd w:id="172"/>
      <w:r w:rsidRPr="00A2480A">
        <w:rPr>
          <w:b/>
          <w:i/>
          <w:sz w:val="20"/>
          <w:szCs w:val="20"/>
          <w:lang w:val="hy-AM"/>
        </w:rPr>
        <w:t xml:space="preserve"> </w:t>
      </w:r>
    </w:p>
    <w:tbl>
      <w:tblPr>
        <w:tblW w:w="9201"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3"/>
        <w:gridCol w:w="2158"/>
      </w:tblGrid>
      <w:tr w:rsidR="009B3F20" w:rsidRPr="00BF7CB6" w:rsidTr="002958DC">
        <w:trPr>
          <w:trHeight w:val="681"/>
        </w:trPr>
        <w:tc>
          <w:tcPr>
            <w:tcW w:w="7043" w:type="dxa"/>
            <w:shd w:val="clear" w:color="auto" w:fill="4F81BD" w:themeFill="accent1"/>
          </w:tcPr>
          <w:p w:rsidR="009B3F20" w:rsidRPr="00BF7CB6" w:rsidRDefault="009B3F20" w:rsidP="007730AA">
            <w:pPr>
              <w:spacing w:before="0" w:line="276" w:lineRule="auto"/>
              <w:ind w:firstLine="0"/>
              <w:contextualSpacing w:val="0"/>
              <w:jc w:val="center"/>
              <w:rPr>
                <w:rFonts w:cs="Sylfaen"/>
                <w:color w:val="FFFFFF" w:themeColor="background1"/>
                <w:sz w:val="20"/>
                <w:szCs w:val="20"/>
                <w:lang w:val="hy-AM" w:eastAsia="en-US"/>
              </w:rPr>
            </w:pPr>
            <w:r w:rsidRPr="00BF7CB6">
              <w:rPr>
                <w:rFonts w:cs="Sylfaen"/>
                <w:color w:val="FFFFFF" w:themeColor="background1"/>
                <w:sz w:val="20"/>
                <w:szCs w:val="20"/>
                <w:lang w:val="en-US" w:eastAsia="en-US"/>
              </w:rPr>
              <w:t>Ցուցանիշներ</w:t>
            </w:r>
          </w:p>
        </w:tc>
        <w:tc>
          <w:tcPr>
            <w:tcW w:w="2158" w:type="dxa"/>
            <w:shd w:val="clear" w:color="auto" w:fill="4F81BD" w:themeFill="accent1"/>
            <w:vAlign w:val="center"/>
          </w:tcPr>
          <w:p w:rsidR="009B3F20" w:rsidRPr="00BF7CB6" w:rsidRDefault="009B3F20" w:rsidP="007730AA">
            <w:pPr>
              <w:spacing w:before="0" w:line="276" w:lineRule="auto"/>
              <w:ind w:firstLine="0"/>
              <w:contextualSpacing w:val="0"/>
              <w:jc w:val="center"/>
              <w:rPr>
                <w:rFonts w:cs="Sylfaen"/>
                <w:color w:val="FFFFFF" w:themeColor="background1"/>
                <w:sz w:val="20"/>
                <w:szCs w:val="20"/>
                <w:lang w:val="en-US" w:eastAsia="en-US"/>
              </w:rPr>
            </w:pPr>
            <w:r w:rsidRPr="00885973">
              <w:rPr>
                <w:rFonts w:cs="Sylfaen"/>
                <w:color w:val="FFFFFF" w:themeColor="background1"/>
                <w:sz w:val="20"/>
                <w:szCs w:val="20"/>
                <w:lang w:eastAsia="en-US"/>
              </w:rPr>
              <w:t>2021</w:t>
            </w:r>
            <w:r w:rsidRPr="00BF7CB6">
              <w:rPr>
                <w:rFonts w:cs="Sylfaen"/>
                <w:color w:val="FFFFFF" w:themeColor="background1"/>
                <w:sz w:val="20"/>
                <w:szCs w:val="20"/>
                <w:lang w:val="en-US" w:eastAsia="en-US"/>
              </w:rPr>
              <w:t>թ</w:t>
            </w:r>
            <w:r w:rsidRPr="00885973">
              <w:rPr>
                <w:rFonts w:cs="Sylfaen"/>
                <w:color w:val="FFFFFF" w:themeColor="background1"/>
                <w:sz w:val="20"/>
                <w:szCs w:val="20"/>
                <w:lang w:eastAsia="en-US"/>
              </w:rPr>
              <w:t xml:space="preserve"> </w:t>
            </w:r>
            <w:r w:rsidRPr="00BF7CB6">
              <w:rPr>
                <w:rFonts w:cs="Sylfaen"/>
                <w:color w:val="FFFFFF" w:themeColor="background1"/>
                <w:sz w:val="20"/>
                <w:szCs w:val="20"/>
                <w:lang w:val="en-US" w:eastAsia="en-US"/>
              </w:rPr>
              <w:t>կանխատեսում</w:t>
            </w:r>
          </w:p>
        </w:tc>
      </w:tr>
      <w:tr w:rsidR="009B3F20" w:rsidRPr="00BF7CB6" w:rsidTr="002958DC">
        <w:trPr>
          <w:trHeight w:val="681"/>
        </w:trPr>
        <w:tc>
          <w:tcPr>
            <w:tcW w:w="7043" w:type="dxa"/>
          </w:tcPr>
          <w:p w:rsidR="009B3F20" w:rsidRPr="00BF7CB6" w:rsidRDefault="009B3F20" w:rsidP="007730AA">
            <w:pPr>
              <w:spacing w:before="0" w:line="276" w:lineRule="auto"/>
              <w:ind w:firstLine="0"/>
              <w:contextualSpacing w:val="0"/>
              <w:jc w:val="left"/>
              <w:rPr>
                <w:rFonts w:cs="Sylfaen"/>
                <w:b w:val="0"/>
                <w:sz w:val="20"/>
                <w:szCs w:val="20"/>
                <w:lang w:val="hy-AM" w:eastAsia="en-US"/>
              </w:rPr>
            </w:pPr>
            <w:r w:rsidRPr="00BF7CB6">
              <w:rPr>
                <w:rFonts w:cs="Sylfaen"/>
                <w:b w:val="0"/>
                <w:sz w:val="20"/>
                <w:szCs w:val="20"/>
                <w:lang w:val="hy-AM" w:eastAsia="en-US"/>
              </w:rPr>
              <w:t>Ընդհանուր դեֆիցիտ`</w:t>
            </w:r>
          </w:p>
          <w:p w:rsidR="009B3F20" w:rsidRPr="00BF7CB6" w:rsidRDefault="009B3F20" w:rsidP="007730AA">
            <w:pPr>
              <w:spacing w:before="0" w:line="276" w:lineRule="auto"/>
              <w:ind w:firstLine="0"/>
              <w:contextualSpacing w:val="0"/>
              <w:jc w:val="left"/>
              <w:rPr>
                <w:rFonts w:cs="Sylfaen"/>
                <w:b w:val="0"/>
                <w:sz w:val="20"/>
                <w:szCs w:val="20"/>
                <w:lang w:val="hy-AM" w:eastAsia="en-US"/>
              </w:rPr>
            </w:pPr>
            <w:r w:rsidRPr="00BF7CB6">
              <w:rPr>
                <w:rFonts w:cs="Sylfaen"/>
                <w:b w:val="0"/>
                <w:sz w:val="20"/>
                <w:szCs w:val="20"/>
                <w:lang w:val="hy-AM" w:eastAsia="en-US"/>
              </w:rPr>
              <w:t>Ընդհանուր եկամուտների և ծախսերի տարբերու</w:t>
            </w:r>
            <w:r w:rsidRPr="00BF7CB6">
              <w:rPr>
                <w:rFonts w:cs="Sylfaen"/>
                <w:b w:val="0"/>
                <w:sz w:val="20"/>
                <w:szCs w:val="20"/>
                <w:lang w:val="hy-AM" w:eastAsia="en-US"/>
              </w:rPr>
              <w:softHyphen/>
              <w:t>թյունը</w:t>
            </w:r>
          </w:p>
        </w:tc>
        <w:tc>
          <w:tcPr>
            <w:tcW w:w="2158" w:type="dxa"/>
            <w:vAlign w:val="bottom"/>
          </w:tcPr>
          <w:p w:rsidR="009B3F20" w:rsidRPr="00BF7CB6" w:rsidRDefault="009B3F20" w:rsidP="007730AA">
            <w:pPr>
              <w:spacing w:before="0" w:line="276" w:lineRule="auto"/>
              <w:ind w:firstLine="0"/>
              <w:contextualSpacing w:val="0"/>
              <w:jc w:val="center"/>
              <w:rPr>
                <w:b w:val="0"/>
                <w:bCs/>
                <w:iCs/>
                <w:sz w:val="20"/>
                <w:szCs w:val="20"/>
                <w:lang w:val="en-US" w:eastAsia="en-US"/>
              </w:rPr>
            </w:pPr>
            <w:r>
              <w:rPr>
                <w:b w:val="0"/>
                <w:bCs/>
                <w:iCs/>
                <w:sz w:val="20"/>
                <w:szCs w:val="20"/>
                <w:lang w:val="en-US" w:eastAsia="en-US"/>
              </w:rPr>
              <w:t>5.3</w:t>
            </w:r>
          </w:p>
        </w:tc>
      </w:tr>
      <w:tr w:rsidR="009B3F20" w:rsidRPr="00BF7CB6" w:rsidTr="002958DC">
        <w:trPr>
          <w:trHeight w:val="840"/>
        </w:trPr>
        <w:tc>
          <w:tcPr>
            <w:tcW w:w="7043" w:type="dxa"/>
            <w:shd w:val="clear" w:color="auto" w:fill="DBE5F1" w:themeFill="accent1" w:themeFillTint="33"/>
          </w:tcPr>
          <w:p w:rsidR="009B3F20" w:rsidRPr="00BF7CB6" w:rsidRDefault="009B3F20" w:rsidP="007730AA">
            <w:pPr>
              <w:spacing w:before="0" w:line="276" w:lineRule="auto"/>
              <w:ind w:firstLine="0"/>
              <w:contextualSpacing w:val="0"/>
              <w:jc w:val="left"/>
              <w:rPr>
                <w:rFonts w:cs="Sylfaen"/>
                <w:b w:val="0"/>
                <w:sz w:val="20"/>
                <w:szCs w:val="20"/>
                <w:lang w:val="hy-AM" w:eastAsia="en-US"/>
              </w:rPr>
            </w:pPr>
            <w:r w:rsidRPr="00BF7CB6">
              <w:rPr>
                <w:rFonts w:cs="Sylfaen"/>
                <w:b w:val="0"/>
                <w:sz w:val="20"/>
                <w:szCs w:val="20"/>
                <w:lang w:val="hy-AM" w:eastAsia="en-US"/>
              </w:rPr>
              <w:t xml:space="preserve">Առաջնային դեֆիցիտ` </w:t>
            </w:r>
          </w:p>
          <w:p w:rsidR="009B3F20" w:rsidRPr="00BF7CB6" w:rsidRDefault="009B3F20" w:rsidP="007730AA">
            <w:pPr>
              <w:spacing w:before="0" w:line="276" w:lineRule="auto"/>
              <w:ind w:firstLine="0"/>
              <w:contextualSpacing w:val="0"/>
              <w:jc w:val="left"/>
              <w:rPr>
                <w:rFonts w:cs="Sylfaen"/>
                <w:b w:val="0"/>
                <w:sz w:val="20"/>
                <w:szCs w:val="20"/>
                <w:lang w:val="hy-AM" w:eastAsia="en-US"/>
              </w:rPr>
            </w:pPr>
            <w:r w:rsidRPr="00BF7CB6">
              <w:rPr>
                <w:rFonts w:cs="Sylfaen"/>
                <w:b w:val="0"/>
                <w:sz w:val="20"/>
                <w:szCs w:val="20"/>
                <w:lang w:val="hy-AM" w:eastAsia="en-US"/>
              </w:rPr>
              <w:t>Ընդհանուր եկամուտների և ծախսերի (առանց տոկոսավճարների) տարբերությունը</w:t>
            </w:r>
          </w:p>
        </w:tc>
        <w:tc>
          <w:tcPr>
            <w:tcW w:w="2158" w:type="dxa"/>
            <w:shd w:val="clear" w:color="auto" w:fill="DBE5F1" w:themeFill="accent1" w:themeFillTint="33"/>
          </w:tcPr>
          <w:p w:rsidR="009B3F20" w:rsidRPr="00BF7CB6" w:rsidRDefault="009B3F20" w:rsidP="007730AA">
            <w:pPr>
              <w:spacing w:before="0" w:line="276" w:lineRule="auto"/>
              <w:ind w:firstLine="0"/>
              <w:contextualSpacing w:val="0"/>
              <w:jc w:val="center"/>
              <w:rPr>
                <w:b w:val="0"/>
                <w:bCs/>
                <w:i/>
                <w:iCs/>
                <w:sz w:val="20"/>
                <w:szCs w:val="20"/>
                <w:lang w:val="hy-AM" w:eastAsia="en-US"/>
              </w:rPr>
            </w:pPr>
          </w:p>
          <w:p w:rsidR="009B3F20" w:rsidRPr="00BF7CB6" w:rsidRDefault="009B3F20" w:rsidP="007730AA">
            <w:pPr>
              <w:spacing w:before="0" w:line="276" w:lineRule="auto"/>
              <w:ind w:firstLine="0"/>
              <w:contextualSpacing w:val="0"/>
              <w:rPr>
                <w:b w:val="0"/>
                <w:bCs/>
                <w:i/>
                <w:iCs/>
                <w:sz w:val="20"/>
                <w:szCs w:val="20"/>
                <w:lang w:val="en-US" w:eastAsia="en-US"/>
              </w:rPr>
            </w:pPr>
            <w:r>
              <w:rPr>
                <w:b w:val="0"/>
                <w:bCs/>
                <w:i/>
                <w:iCs/>
                <w:sz w:val="20"/>
                <w:szCs w:val="20"/>
                <w:lang w:val="hy-AM" w:eastAsia="en-US"/>
              </w:rPr>
              <w:t xml:space="preserve">              </w:t>
            </w:r>
            <w:r>
              <w:rPr>
                <w:b w:val="0"/>
                <w:bCs/>
                <w:i/>
                <w:iCs/>
                <w:sz w:val="20"/>
                <w:szCs w:val="20"/>
                <w:lang w:val="en-US" w:eastAsia="en-US"/>
              </w:rPr>
              <w:t>2.3</w:t>
            </w:r>
          </w:p>
        </w:tc>
      </w:tr>
    </w:tbl>
    <w:p w:rsidR="009B3F20" w:rsidRDefault="009B3F20" w:rsidP="007730AA">
      <w:pPr>
        <w:pStyle w:val="Heading1"/>
        <w:spacing w:after="0"/>
        <w:rPr>
          <w:lang w:val="hy-AM"/>
        </w:rPr>
      </w:pPr>
    </w:p>
    <w:p w:rsidR="00D6329B" w:rsidRPr="00F054E5" w:rsidRDefault="00D6329B" w:rsidP="007730AA">
      <w:pPr>
        <w:pStyle w:val="Heading1"/>
        <w:spacing w:after="0"/>
        <w:rPr>
          <w:lang w:val="hy-AM"/>
        </w:rPr>
      </w:pPr>
      <w:bookmarkStart w:id="173" w:name="_Toc57655464"/>
      <w:r w:rsidRPr="00F054E5">
        <w:rPr>
          <w:lang w:val="hy-AM"/>
        </w:rPr>
        <w:t xml:space="preserve">ՄԱՍ III. </w:t>
      </w:r>
      <w:r w:rsidR="0012683B" w:rsidRPr="00F054E5">
        <w:rPr>
          <w:lang w:val="hy-AM"/>
        </w:rPr>
        <w:t>«ՀԱՅԱՍՏԱՆԻ ՀԱՆՐԱՊԵՏՈՒԹՅԱՆ 20</w:t>
      </w:r>
      <w:r w:rsidR="00F939DE" w:rsidRPr="00F054E5">
        <w:rPr>
          <w:lang w:val="hy-AM"/>
        </w:rPr>
        <w:t>2</w:t>
      </w:r>
      <w:r w:rsidR="001D11EB">
        <w:rPr>
          <w:lang w:val="hy-AM"/>
        </w:rPr>
        <w:t>1</w:t>
      </w:r>
      <w:r w:rsidR="0012683B" w:rsidRPr="00F054E5">
        <w:rPr>
          <w:lang w:val="hy-AM"/>
        </w:rPr>
        <w:t xml:space="preserve"> ԹՎԱԿԱՆԻ ՊԵՏԱԿԱՆ ԲՅՈՒՋԵԻ ՄԱՍԻՆ» ՀԱՅԱՍՏԱՆԻ ՀԱՆՐԱՊԵՏՈՒԹՅԱՆ ՕՐԵՆՔԻ ՆԱԽԱԳԾԻ </w:t>
      </w:r>
      <w:r w:rsidRPr="00F054E5">
        <w:rPr>
          <w:lang w:val="hy-AM"/>
        </w:rPr>
        <w:t>ԲԱՑԱՏՐԱԳԻՐ</w:t>
      </w:r>
      <w:bookmarkEnd w:id="173"/>
    </w:p>
    <w:p w:rsidR="00FF05AE" w:rsidRPr="00870AA1" w:rsidRDefault="00FF05AE" w:rsidP="007730AA">
      <w:pPr>
        <w:pStyle w:val="BodyText2"/>
        <w:ind w:left="0"/>
      </w:pPr>
      <w:r w:rsidRPr="00EF6F81">
        <w:t>«Հայաստանի Հանրապետության 20</w:t>
      </w:r>
      <w:r>
        <w:t>2</w:t>
      </w:r>
      <w:r w:rsidRPr="00F054E5">
        <w:t>1</w:t>
      </w:r>
      <w:r w:rsidRPr="00EF6F81">
        <w:t xml:space="preserve"> թվականի պետական բյուջեի մասին» ՀՀ օրեն</w:t>
      </w:r>
      <w:r w:rsidRPr="00EF6F81">
        <w:softHyphen/>
        <w:t>քի նախագծով առաջարկվում է ՀՀ 202</w:t>
      </w:r>
      <w:r w:rsidRPr="00F054E5">
        <w:t>1</w:t>
      </w:r>
      <w:r w:rsidRPr="00EF6F81">
        <w:t xml:space="preserve"> թվականի պետական բյուջեն հաստատել՝ եկա</w:t>
      </w:r>
      <w:r w:rsidRPr="00EF6F81">
        <w:softHyphen/>
        <w:t>մուտ</w:t>
      </w:r>
      <w:r w:rsidRPr="00EF6F81">
        <w:softHyphen/>
        <w:t>ների գծով՝ 1,</w:t>
      </w:r>
      <w:r w:rsidRPr="00683BE0">
        <w:t>509.5</w:t>
      </w:r>
      <w:r w:rsidRPr="00EF6F81">
        <w:t xml:space="preserve"> մլրդ դրամ, ծախսերի գծով՝ </w:t>
      </w:r>
      <w:r w:rsidRPr="00870AA1">
        <w:t>1,</w:t>
      </w:r>
      <w:r>
        <w:t>850.</w:t>
      </w:r>
      <w:r w:rsidRPr="00E26A13">
        <w:t>9</w:t>
      </w:r>
      <w:r w:rsidRPr="00870AA1">
        <w:t xml:space="preserve"> մլրդ դրամ, իսկ դեֆիցիտը՝ </w:t>
      </w:r>
      <w:r w:rsidRPr="00E26A13">
        <w:t>341.4</w:t>
      </w:r>
      <w:r w:rsidRPr="00870AA1">
        <w:t xml:space="preserve"> մլրդ դրամ:</w:t>
      </w:r>
    </w:p>
    <w:p w:rsidR="00FF05AE" w:rsidRPr="00EF6F81" w:rsidRDefault="00FF05AE" w:rsidP="007730AA">
      <w:pPr>
        <w:pStyle w:val="BodyText2"/>
        <w:ind w:left="0"/>
      </w:pPr>
      <w:r w:rsidRPr="00870AA1">
        <w:t>2020թ</w:t>
      </w:r>
      <w:r w:rsidRPr="00870AA1">
        <w:rPr>
          <w:rFonts w:ascii="Cambria Math" w:hAnsi="Cambria Math" w:cs="Cambria Math"/>
        </w:rPr>
        <w:t>․</w:t>
      </w:r>
      <w:r w:rsidRPr="00870AA1">
        <w:t xml:space="preserve"> և 2021 թ</w:t>
      </w:r>
      <w:r w:rsidRPr="00870AA1">
        <w:rPr>
          <w:rFonts w:ascii="Cambria Math" w:hAnsi="Cambria Math" w:cs="Cambria Math"/>
        </w:rPr>
        <w:t>․</w:t>
      </w:r>
      <w:r w:rsidRPr="00870AA1">
        <w:t xml:space="preserve"> պետական բյուջեի  դեֆիցիտը</w:t>
      </w:r>
      <w:r>
        <w:t xml:space="preserve"> </w:t>
      </w:r>
      <w:r w:rsidRPr="00EF6F81">
        <w:t xml:space="preserve">ՀՆԱ-ի </w:t>
      </w:r>
      <w:r>
        <w:t xml:space="preserve">նկատմամբ </w:t>
      </w:r>
      <w:r w:rsidRPr="00EF6F81">
        <w:t xml:space="preserve"> կան</w:t>
      </w:r>
      <w:r w:rsidRPr="00EF6F81">
        <w:softHyphen/>
        <w:t>խատեսվում է</w:t>
      </w:r>
      <w:r>
        <w:t xml:space="preserve"> համապատասխանաբար՝</w:t>
      </w:r>
      <w:r w:rsidRPr="00EF6F81">
        <w:t xml:space="preserve"> </w:t>
      </w:r>
      <w:r w:rsidRPr="00E26A13">
        <w:t>2.3</w:t>
      </w:r>
      <w:r>
        <w:t xml:space="preserve"> և </w:t>
      </w:r>
      <w:r w:rsidRPr="00E26A13">
        <w:t>5.3</w:t>
      </w:r>
      <w:r w:rsidRPr="00EF6F81">
        <w:t xml:space="preserve"> %-ի չափով, ՀՀ 202</w:t>
      </w:r>
      <w:r w:rsidRPr="001928AC">
        <w:t>1</w:t>
      </w:r>
      <w:r w:rsidRPr="00EF6F81">
        <w:t xml:space="preserve"> թվա</w:t>
      </w:r>
      <w:r w:rsidRPr="00EF6F81">
        <w:softHyphen/>
      </w:r>
      <w:r w:rsidRPr="00EF6F81">
        <w:softHyphen/>
        <w:t>կանի պե</w:t>
      </w:r>
      <w:r w:rsidRPr="00EF6F81">
        <w:softHyphen/>
        <w:t>տական բյուջեի նա</w:t>
      </w:r>
      <w:r w:rsidRPr="00EF6F81">
        <w:softHyphen/>
        <w:t>խագ</w:t>
      </w:r>
      <w:r w:rsidRPr="00EF6F81">
        <w:softHyphen/>
        <w:t>ծով նախատեսվող դե</w:t>
      </w:r>
      <w:r w:rsidRPr="00EF6F81">
        <w:softHyphen/>
        <w:t>ֆի</w:t>
      </w:r>
      <w:r w:rsidRPr="00EF6F81">
        <w:softHyphen/>
        <w:t>ցիտի ֆի</w:t>
      </w:r>
      <w:r w:rsidRPr="00EF6F81">
        <w:softHyphen/>
        <w:t>նան</w:t>
      </w:r>
      <w:r w:rsidRPr="00EF6F81">
        <w:softHyphen/>
        <w:t>սա</w:t>
      </w:r>
      <w:r w:rsidRPr="00EF6F81">
        <w:softHyphen/>
        <w:t>վորման համար ծրագրա</w:t>
      </w:r>
      <w:r w:rsidRPr="00EF6F81">
        <w:softHyphen/>
        <w:t>վորված վարկերի զգալի մասը կտրա</w:t>
      </w:r>
      <w:r w:rsidRPr="00EF6F81">
        <w:softHyphen/>
        <w:t>մադրվի Համաշ</w:t>
      </w:r>
      <w:r w:rsidRPr="00EF6F81">
        <w:softHyphen/>
        <w:t>խար</w:t>
      </w:r>
      <w:r w:rsidRPr="00EF6F81">
        <w:softHyphen/>
        <w:t>հա</w:t>
      </w:r>
      <w:r w:rsidRPr="00EF6F81">
        <w:softHyphen/>
        <w:t>յին բան</w:t>
      </w:r>
      <w:r w:rsidRPr="00EF6F81">
        <w:softHyphen/>
        <w:t>կի կողմից (ներգրավ</w:t>
      </w:r>
      <w:r w:rsidRPr="00EF6F81">
        <w:softHyphen/>
      </w:r>
      <w:r w:rsidRPr="00EF6F81">
        <w:softHyphen/>
        <w:t>վող վարկերի տրա</w:t>
      </w:r>
      <w:r w:rsidRPr="00EF6F81">
        <w:softHyphen/>
        <w:t>մադրման ժամկետ</w:t>
      </w:r>
      <w:r w:rsidRPr="00EF6F81">
        <w:softHyphen/>
        <w:t>ների և տո</w:t>
      </w:r>
      <w:r w:rsidRPr="00EF6F81">
        <w:softHyphen/>
        <w:t>կոսադրույք</w:t>
      </w:r>
      <w:r w:rsidRPr="00EF6F81">
        <w:softHyphen/>
        <w:t>ների մա</w:t>
      </w:r>
      <w:r w:rsidRPr="00EF6F81">
        <w:softHyphen/>
      </w:r>
      <w:r w:rsidRPr="00EF6F81">
        <w:softHyphen/>
        <w:t>սին տվյալ</w:t>
      </w:r>
      <w:r w:rsidRPr="00EF6F81">
        <w:softHyphen/>
        <w:t>նե</w:t>
      </w:r>
      <w:r w:rsidRPr="00EF6F81">
        <w:softHyphen/>
        <w:t>րը ներկայացված են սույն բա</w:t>
      </w:r>
      <w:r w:rsidRPr="00EF6F81">
        <w:softHyphen/>
        <w:t>ցատրագրի N 4 հավելվածում և N 17-20 աղյու</w:t>
      </w:r>
      <w:r w:rsidRPr="00EF6F81">
        <w:softHyphen/>
        <w:t>սա</w:t>
      </w:r>
      <w:r w:rsidRPr="00EF6F81">
        <w:softHyphen/>
        <w:t>կներում):</w:t>
      </w:r>
    </w:p>
    <w:p w:rsidR="00F2379C" w:rsidRPr="00EF6F81" w:rsidRDefault="00F2379C" w:rsidP="007730AA">
      <w:pPr>
        <w:spacing w:before="0" w:line="276" w:lineRule="auto"/>
        <w:ind w:firstLine="0"/>
        <w:contextualSpacing w:val="0"/>
        <w:jc w:val="left"/>
        <w:rPr>
          <w:lang w:val="hy-AM"/>
        </w:rPr>
      </w:pPr>
    </w:p>
    <w:p w:rsidR="00617EC9" w:rsidRPr="004C6A24" w:rsidRDefault="008E54BF" w:rsidP="007730AA">
      <w:pPr>
        <w:pStyle w:val="Heading1"/>
        <w:spacing w:after="0"/>
        <w:rPr>
          <w:lang w:val="hy-AM"/>
        </w:rPr>
      </w:pPr>
      <w:bookmarkStart w:id="174" w:name="_Toc57655465"/>
      <w:r w:rsidRPr="004C6A24">
        <w:rPr>
          <w:lang w:val="hy-AM"/>
        </w:rPr>
        <w:t>ՄԱՍ III-Ա. ԵԿԱՄՈՒՏՆԵՐԻ ԿԱՆԽԱՏԵՍՈՒՄ</w:t>
      </w:r>
      <w:bookmarkEnd w:id="174"/>
    </w:p>
    <w:p w:rsidR="00CD10C2" w:rsidRDefault="00CD10C2" w:rsidP="007730AA">
      <w:pPr>
        <w:spacing w:before="0" w:line="276" w:lineRule="auto"/>
        <w:ind w:firstLine="562"/>
        <w:contextualSpacing w:val="0"/>
        <w:rPr>
          <w:rFonts w:cs="Sylfaen"/>
          <w:b w:val="0"/>
          <w:sz w:val="20"/>
          <w:szCs w:val="20"/>
          <w:lang w:val="fr-FR" w:eastAsia="en-US"/>
        </w:rPr>
      </w:pPr>
      <w:r w:rsidRPr="00CD10C2">
        <w:rPr>
          <w:rFonts w:cs="Sylfaen"/>
          <w:b w:val="0"/>
          <w:iCs/>
          <w:szCs w:val="22"/>
          <w:lang w:val="af-ZA" w:eastAsia="en-GB"/>
        </w:rPr>
        <w:t>«Հայաստանի Հանրապետության 2021 թվականի պետական բյուջեի մասին» ՀՀ օրեն</w:t>
      </w:r>
      <w:r w:rsidRPr="00CD10C2">
        <w:rPr>
          <w:rFonts w:cs="Sylfaen"/>
          <w:b w:val="0"/>
          <w:iCs/>
          <w:szCs w:val="22"/>
          <w:lang w:val="af-ZA" w:eastAsia="en-GB"/>
        </w:rPr>
        <w:softHyphen/>
        <w:t>քի նախագծում (սույն մասում այսու</w:t>
      </w:r>
      <w:r w:rsidRPr="00CD10C2">
        <w:rPr>
          <w:rFonts w:cs="Sylfaen"/>
          <w:b w:val="0"/>
          <w:iCs/>
          <w:szCs w:val="22"/>
          <w:lang w:val="af-ZA" w:eastAsia="en-GB"/>
        </w:rPr>
        <w:softHyphen/>
        <w:t>հետ՝ Նախագիծ) եկամուտների ընդհանուր գու</w:t>
      </w:r>
      <w:r w:rsidRPr="00CD10C2">
        <w:rPr>
          <w:rFonts w:cs="Sylfaen"/>
          <w:b w:val="0"/>
          <w:iCs/>
          <w:szCs w:val="22"/>
          <w:lang w:val="af-ZA" w:eastAsia="en-GB"/>
        </w:rPr>
        <w:softHyphen/>
        <w:t>մարը ծրագրվել է 1,</w:t>
      </w:r>
      <w:r w:rsidR="00C36B49">
        <w:rPr>
          <w:rFonts w:cs="Sylfaen"/>
          <w:b w:val="0"/>
          <w:iCs/>
          <w:szCs w:val="22"/>
          <w:lang w:val="af-ZA" w:eastAsia="en-GB"/>
        </w:rPr>
        <w:t>509.5</w:t>
      </w:r>
      <w:r w:rsidRPr="00CD10C2">
        <w:rPr>
          <w:rFonts w:cs="Sylfaen"/>
          <w:b w:val="0"/>
          <w:iCs/>
          <w:szCs w:val="22"/>
          <w:lang w:val="af-ZA" w:eastAsia="en-GB"/>
        </w:rPr>
        <w:t xml:space="preserve"> մլրդ դրամի չա</w:t>
      </w:r>
      <w:r w:rsidRPr="00CD10C2">
        <w:rPr>
          <w:rFonts w:cs="Sylfaen"/>
          <w:b w:val="0"/>
          <w:iCs/>
          <w:szCs w:val="22"/>
          <w:lang w:val="af-ZA" w:eastAsia="en-GB"/>
        </w:rPr>
        <w:softHyphen/>
        <w:t>փով, 2020 թվականի համար նախատեսված 1,</w:t>
      </w:r>
      <w:r w:rsidR="00F15439">
        <w:rPr>
          <w:rFonts w:cs="Sylfaen"/>
          <w:b w:val="0"/>
          <w:iCs/>
          <w:szCs w:val="22"/>
          <w:lang w:val="af-ZA" w:eastAsia="en-GB"/>
        </w:rPr>
        <w:t>695.0</w:t>
      </w:r>
      <w:r w:rsidRPr="00CD10C2">
        <w:rPr>
          <w:rFonts w:cs="Sylfaen"/>
          <w:b w:val="0"/>
          <w:iCs/>
          <w:szCs w:val="22"/>
          <w:lang w:val="af-ZA" w:eastAsia="en-GB"/>
        </w:rPr>
        <w:t xml:space="preserve"> մլրդ դրամի և 2019 թվականին փաստացի ստացված 1,565.5 մլրդ դրամ հա</w:t>
      </w:r>
      <w:r w:rsidRPr="00CD10C2">
        <w:rPr>
          <w:rFonts w:cs="Sylfaen"/>
          <w:b w:val="0"/>
          <w:iCs/>
          <w:szCs w:val="22"/>
          <w:lang w:val="af-ZA" w:eastAsia="en-GB"/>
        </w:rPr>
        <w:softHyphen/>
        <w:t>մա</w:t>
      </w:r>
      <w:r w:rsidRPr="00CD10C2">
        <w:rPr>
          <w:rFonts w:cs="Sylfaen"/>
          <w:b w:val="0"/>
          <w:iCs/>
          <w:szCs w:val="22"/>
          <w:lang w:val="af-ZA" w:eastAsia="en-GB"/>
        </w:rPr>
        <w:softHyphen/>
        <w:t>դրե</w:t>
      </w:r>
      <w:r w:rsidRPr="00CD10C2">
        <w:rPr>
          <w:rFonts w:cs="Sylfaen"/>
          <w:b w:val="0"/>
          <w:iCs/>
          <w:szCs w:val="22"/>
          <w:lang w:val="af-ZA" w:eastAsia="en-GB"/>
        </w:rPr>
        <w:softHyphen/>
        <w:t>լի գու</w:t>
      </w:r>
      <w:r w:rsidRPr="00CD10C2">
        <w:rPr>
          <w:rFonts w:cs="Sylfaen"/>
          <w:b w:val="0"/>
          <w:iCs/>
          <w:szCs w:val="22"/>
          <w:lang w:val="af-ZA" w:eastAsia="en-GB"/>
        </w:rPr>
        <w:softHyphen/>
        <w:t>մար</w:t>
      </w:r>
      <w:r w:rsidRPr="00CD10C2">
        <w:rPr>
          <w:rFonts w:cs="Sylfaen"/>
          <w:b w:val="0"/>
          <w:iCs/>
          <w:szCs w:val="22"/>
          <w:lang w:val="af-ZA" w:eastAsia="en-GB"/>
        </w:rPr>
        <w:softHyphen/>
        <w:t>ների դիմաց: Եկա</w:t>
      </w:r>
      <w:r w:rsidRPr="00CD10C2">
        <w:rPr>
          <w:rFonts w:cs="Sylfaen"/>
          <w:b w:val="0"/>
          <w:iCs/>
          <w:szCs w:val="22"/>
          <w:lang w:val="af-ZA" w:eastAsia="en-GB"/>
        </w:rPr>
        <w:softHyphen/>
        <w:t>մուտ</w:t>
      </w:r>
      <w:r w:rsidRPr="00CD10C2">
        <w:rPr>
          <w:rFonts w:cs="Sylfaen"/>
          <w:b w:val="0"/>
          <w:iCs/>
          <w:szCs w:val="22"/>
          <w:lang w:val="af-ZA" w:eastAsia="en-GB"/>
        </w:rPr>
        <w:softHyphen/>
      </w:r>
      <w:r w:rsidRPr="00CD10C2">
        <w:rPr>
          <w:rFonts w:cs="Sylfaen"/>
          <w:b w:val="0"/>
          <w:iCs/>
          <w:szCs w:val="22"/>
          <w:lang w:val="af-ZA" w:eastAsia="en-GB"/>
        </w:rPr>
        <w:softHyphen/>
      </w:r>
      <w:r w:rsidRPr="00CD10C2">
        <w:rPr>
          <w:rFonts w:cs="Sylfaen"/>
          <w:b w:val="0"/>
          <w:iCs/>
          <w:szCs w:val="22"/>
          <w:lang w:val="af-ZA" w:eastAsia="en-GB"/>
        </w:rPr>
        <w:softHyphen/>
        <w:t>ների տա</w:t>
      </w:r>
      <w:r w:rsidRPr="00CD10C2">
        <w:rPr>
          <w:rFonts w:cs="Sylfaen"/>
          <w:b w:val="0"/>
          <w:iCs/>
          <w:szCs w:val="22"/>
          <w:lang w:val="af-ZA" w:eastAsia="en-GB"/>
        </w:rPr>
        <w:softHyphen/>
      </w:r>
      <w:r w:rsidRPr="00CD10C2">
        <w:rPr>
          <w:rFonts w:cs="Sylfaen"/>
          <w:b w:val="0"/>
          <w:iCs/>
          <w:szCs w:val="22"/>
          <w:lang w:val="af-ZA" w:eastAsia="en-GB"/>
        </w:rPr>
        <w:softHyphen/>
        <w:t>րեկան ծրա</w:t>
      </w:r>
      <w:r w:rsidRPr="00CD10C2">
        <w:rPr>
          <w:rFonts w:cs="Sylfaen"/>
          <w:b w:val="0"/>
          <w:iCs/>
          <w:szCs w:val="22"/>
          <w:lang w:val="af-ZA" w:eastAsia="en-GB"/>
        </w:rPr>
        <w:softHyphen/>
        <w:t>գրա</w:t>
      </w:r>
      <w:r w:rsidRPr="00CD10C2">
        <w:rPr>
          <w:rFonts w:cs="Sylfaen"/>
          <w:b w:val="0"/>
          <w:iCs/>
          <w:szCs w:val="22"/>
          <w:lang w:val="af-ZA" w:eastAsia="en-GB"/>
        </w:rPr>
        <w:softHyphen/>
        <w:t>յին ծավալները կապահովվեն հիմնականում ի հաշիվ հար</w:t>
      </w:r>
      <w:r w:rsidRPr="00CD10C2">
        <w:rPr>
          <w:rFonts w:cs="Sylfaen"/>
          <w:b w:val="0"/>
          <w:iCs/>
          <w:szCs w:val="22"/>
          <w:lang w:val="af-ZA" w:eastAsia="en-GB"/>
        </w:rPr>
        <w:softHyphen/>
        <w:t>կային եկա</w:t>
      </w:r>
      <w:r w:rsidRPr="00CD10C2">
        <w:rPr>
          <w:rFonts w:cs="Sylfaen"/>
          <w:b w:val="0"/>
          <w:iCs/>
          <w:szCs w:val="22"/>
          <w:lang w:val="af-ZA" w:eastAsia="en-GB"/>
        </w:rPr>
        <w:softHyphen/>
        <w:t>մուտ</w:t>
      </w:r>
      <w:r w:rsidRPr="00CD10C2">
        <w:rPr>
          <w:rFonts w:cs="Sylfaen"/>
          <w:b w:val="0"/>
          <w:iCs/>
          <w:szCs w:val="22"/>
          <w:lang w:val="af-ZA" w:eastAsia="en-GB"/>
        </w:rPr>
        <w:softHyphen/>
        <w:t>ների:</w:t>
      </w:r>
      <w:r w:rsidRPr="00CD10C2">
        <w:rPr>
          <w:rFonts w:cs="Sylfaen"/>
          <w:b w:val="0"/>
          <w:sz w:val="20"/>
          <w:szCs w:val="20"/>
          <w:lang w:val="fr-FR" w:eastAsia="en-US"/>
        </w:rPr>
        <w:t xml:space="preserve"> </w:t>
      </w:r>
    </w:p>
    <w:p w:rsidR="00CD10C2" w:rsidRPr="00A2480A" w:rsidRDefault="00CD10C2" w:rsidP="007730AA">
      <w:pPr>
        <w:pStyle w:val="Caption"/>
        <w:spacing w:before="0" w:after="0"/>
        <w:rPr>
          <w:b/>
          <w:i/>
          <w:sz w:val="20"/>
          <w:szCs w:val="20"/>
          <w:lang w:val="hy-AM"/>
        </w:rPr>
      </w:pPr>
      <w:r w:rsidRPr="00CD10C2">
        <w:rPr>
          <w:rFonts w:ascii="Calibri" w:hAnsi="Calibri" w:cs="Sylfaen"/>
          <w:b/>
          <w:iCs/>
          <w:szCs w:val="22"/>
          <w:lang w:val="af-ZA" w:eastAsia="en-GB"/>
        </w:rPr>
        <w:t xml:space="preserve"> </w:t>
      </w:r>
      <w:bookmarkStart w:id="175" w:name="_Toc57631757"/>
      <w:r w:rsidR="00D02A2D">
        <w:t>Աղյուսակ</w:t>
      </w:r>
      <w:r w:rsidR="00D02A2D" w:rsidRPr="00D02A2D">
        <w:rPr>
          <w:lang w:val="af-ZA"/>
        </w:rPr>
        <w:t xml:space="preserve"> </w:t>
      </w:r>
      <w:r w:rsidR="003C3925">
        <w:fldChar w:fldCharType="begin"/>
      </w:r>
      <w:r w:rsidR="00D02A2D" w:rsidRPr="00D02A2D">
        <w:rPr>
          <w:lang w:val="af-ZA"/>
        </w:rPr>
        <w:instrText xml:space="preserve"> SEQ </w:instrText>
      </w:r>
      <w:r w:rsidR="00D02A2D">
        <w:instrText>Աղյուսակ</w:instrText>
      </w:r>
      <w:r w:rsidR="00D02A2D" w:rsidRPr="00D02A2D">
        <w:rPr>
          <w:lang w:val="af-ZA"/>
        </w:rPr>
        <w:instrText xml:space="preserve"> \* ARABIC </w:instrText>
      </w:r>
      <w:r w:rsidR="003C3925">
        <w:fldChar w:fldCharType="separate"/>
      </w:r>
      <w:r w:rsidR="007E790B">
        <w:rPr>
          <w:noProof/>
          <w:lang w:val="af-ZA"/>
        </w:rPr>
        <w:t>6</w:t>
      </w:r>
      <w:r w:rsidR="003C3925">
        <w:fldChar w:fldCharType="end"/>
      </w:r>
      <w:r w:rsidR="00D02A2D">
        <w:rPr>
          <w:rFonts w:ascii="Cambria Math" w:hAnsi="Cambria Math"/>
          <w:lang w:val="hy-AM"/>
        </w:rPr>
        <w:t xml:space="preserve">․ </w:t>
      </w:r>
      <w:r w:rsidRPr="00A2480A">
        <w:rPr>
          <w:b/>
          <w:i/>
          <w:sz w:val="20"/>
          <w:szCs w:val="20"/>
          <w:lang w:val="hy-AM"/>
        </w:rPr>
        <w:t>2017-2021թթ փաստացի/կանխատեսումային բյուջետային եկամուտները (մլրդ դրամներով)</w:t>
      </w:r>
      <w:bookmarkEnd w:id="175"/>
    </w:p>
    <w:tbl>
      <w:tblPr>
        <w:tblW w:w="93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1204"/>
        <w:gridCol w:w="1324"/>
        <w:gridCol w:w="1325"/>
        <w:gridCol w:w="1324"/>
        <w:gridCol w:w="1337"/>
      </w:tblGrid>
      <w:tr w:rsidR="00CD10C2" w:rsidRPr="00CD10C2" w:rsidTr="0083330F">
        <w:trPr>
          <w:trHeight w:val="645"/>
        </w:trPr>
        <w:tc>
          <w:tcPr>
            <w:tcW w:w="2841" w:type="dxa"/>
            <w:shd w:val="clear" w:color="auto" w:fill="4F81BD" w:themeFill="accent1"/>
            <w:noWrap/>
            <w:vAlign w:val="center"/>
            <w:hideMark/>
          </w:tcPr>
          <w:p w:rsidR="00CD10C2" w:rsidRPr="00CD10C2" w:rsidRDefault="00CD10C2" w:rsidP="007730AA">
            <w:pPr>
              <w:spacing w:before="0" w:line="276" w:lineRule="auto"/>
              <w:ind w:firstLine="0"/>
              <w:contextualSpacing w:val="0"/>
              <w:jc w:val="center"/>
              <w:rPr>
                <w:bCs/>
                <w:color w:val="FFFFFF" w:themeColor="background1"/>
                <w:sz w:val="20"/>
                <w:szCs w:val="20"/>
                <w:lang w:val="en-US" w:eastAsia="en-US"/>
              </w:rPr>
            </w:pPr>
            <w:r w:rsidRPr="00CD10C2">
              <w:rPr>
                <w:bCs/>
                <w:color w:val="FFFFFF" w:themeColor="background1"/>
                <w:sz w:val="20"/>
                <w:szCs w:val="20"/>
                <w:lang w:val="en-US" w:eastAsia="en-US"/>
              </w:rPr>
              <w:t>Եկամտատեսակը</w:t>
            </w:r>
          </w:p>
        </w:tc>
        <w:tc>
          <w:tcPr>
            <w:tcW w:w="1204" w:type="dxa"/>
            <w:shd w:val="clear" w:color="auto" w:fill="4F81BD" w:themeFill="accent1"/>
            <w:noWrap/>
            <w:vAlign w:val="center"/>
            <w:hideMark/>
          </w:tcPr>
          <w:p w:rsidR="00CD10C2" w:rsidRPr="00CD10C2" w:rsidRDefault="00CD10C2" w:rsidP="007730AA">
            <w:pPr>
              <w:spacing w:before="0" w:line="276" w:lineRule="auto"/>
              <w:ind w:firstLine="0"/>
              <w:contextualSpacing w:val="0"/>
              <w:jc w:val="center"/>
              <w:rPr>
                <w:rFonts w:cs="Calibri"/>
                <w:color w:val="FFFFFF" w:themeColor="background1"/>
                <w:sz w:val="20"/>
                <w:szCs w:val="20"/>
                <w:lang w:val="en-US" w:eastAsia="en-US"/>
              </w:rPr>
            </w:pPr>
            <w:r w:rsidRPr="00CD10C2">
              <w:rPr>
                <w:rFonts w:cs="Calibri"/>
                <w:color w:val="FFFFFF" w:themeColor="background1"/>
                <w:sz w:val="20"/>
                <w:szCs w:val="20"/>
                <w:lang w:val="en-US" w:eastAsia="en-US"/>
              </w:rPr>
              <w:t xml:space="preserve">2017 </w:t>
            </w:r>
            <w:r w:rsidRPr="00CD10C2">
              <w:rPr>
                <w:rFonts w:cs="Calibri"/>
                <w:color w:val="FFFFFF" w:themeColor="background1"/>
                <w:sz w:val="20"/>
                <w:szCs w:val="20"/>
                <w:lang w:val="en-US" w:eastAsia="en-US"/>
              </w:rPr>
              <w:br/>
              <w:t>փաստ</w:t>
            </w:r>
          </w:p>
        </w:tc>
        <w:tc>
          <w:tcPr>
            <w:tcW w:w="1324" w:type="dxa"/>
            <w:shd w:val="clear" w:color="auto" w:fill="4F81BD" w:themeFill="accent1"/>
            <w:noWrap/>
            <w:vAlign w:val="center"/>
            <w:hideMark/>
          </w:tcPr>
          <w:p w:rsidR="00CD10C2" w:rsidRPr="00CD10C2" w:rsidRDefault="00CD10C2" w:rsidP="007730AA">
            <w:pPr>
              <w:spacing w:before="0" w:line="276" w:lineRule="auto"/>
              <w:ind w:firstLine="0"/>
              <w:contextualSpacing w:val="0"/>
              <w:jc w:val="center"/>
              <w:rPr>
                <w:rFonts w:cs="Calibri"/>
                <w:color w:val="FFFFFF" w:themeColor="background1"/>
                <w:sz w:val="20"/>
                <w:szCs w:val="20"/>
                <w:lang w:val="en-US" w:eastAsia="en-US"/>
              </w:rPr>
            </w:pPr>
            <w:r w:rsidRPr="00CD10C2">
              <w:rPr>
                <w:rFonts w:cs="Calibri"/>
                <w:color w:val="FFFFFF" w:themeColor="background1"/>
                <w:sz w:val="20"/>
                <w:szCs w:val="20"/>
                <w:lang w:val="en-US" w:eastAsia="en-US"/>
              </w:rPr>
              <w:t xml:space="preserve">2018 </w:t>
            </w:r>
            <w:r w:rsidRPr="00CD10C2">
              <w:rPr>
                <w:rFonts w:cs="Calibri"/>
                <w:color w:val="FFFFFF" w:themeColor="background1"/>
                <w:sz w:val="20"/>
                <w:szCs w:val="20"/>
                <w:lang w:val="en-US" w:eastAsia="en-US"/>
              </w:rPr>
              <w:br/>
              <w:t>փաստ</w:t>
            </w:r>
          </w:p>
        </w:tc>
        <w:tc>
          <w:tcPr>
            <w:tcW w:w="1325" w:type="dxa"/>
            <w:shd w:val="clear" w:color="auto" w:fill="4F81BD" w:themeFill="accent1"/>
            <w:noWrap/>
            <w:vAlign w:val="center"/>
            <w:hideMark/>
          </w:tcPr>
          <w:p w:rsidR="00CD10C2" w:rsidRPr="00CD10C2" w:rsidRDefault="00CD10C2" w:rsidP="007730AA">
            <w:pPr>
              <w:spacing w:before="0" w:line="276" w:lineRule="auto"/>
              <w:ind w:firstLine="0"/>
              <w:contextualSpacing w:val="0"/>
              <w:jc w:val="center"/>
              <w:rPr>
                <w:rFonts w:cs="Calibri"/>
                <w:color w:val="FFFFFF" w:themeColor="background1"/>
                <w:sz w:val="20"/>
                <w:szCs w:val="20"/>
                <w:lang w:val="en-US" w:eastAsia="en-US"/>
              </w:rPr>
            </w:pPr>
            <w:r w:rsidRPr="00CD10C2">
              <w:rPr>
                <w:rFonts w:cs="Calibri"/>
                <w:color w:val="FFFFFF" w:themeColor="background1"/>
                <w:sz w:val="20"/>
                <w:szCs w:val="20"/>
                <w:lang w:val="en-US" w:eastAsia="en-US"/>
              </w:rPr>
              <w:t xml:space="preserve">2019 </w:t>
            </w:r>
            <w:r w:rsidRPr="00CD10C2">
              <w:rPr>
                <w:rFonts w:cs="Calibri"/>
                <w:color w:val="FFFFFF" w:themeColor="background1"/>
                <w:sz w:val="20"/>
                <w:szCs w:val="20"/>
                <w:lang w:val="en-US" w:eastAsia="en-US"/>
              </w:rPr>
              <w:br/>
              <w:t>փաստ</w:t>
            </w:r>
          </w:p>
        </w:tc>
        <w:tc>
          <w:tcPr>
            <w:tcW w:w="1324" w:type="dxa"/>
            <w:shd w:val="clear" w:color="auto" w:fill="4F81BD" w:themeFill="accent1"/>
            <w:noWrap/>
            <w:vAlign w:val="center"/>
            <w:hideMark/>
          </w:tcPr>
          <w:p w:rsidR="00CD10C2" w:rsidRPr="00CD10C2" w:rsidRDefault="00CD10C2" w:rsidP="007730AA">
            <w:pPr>
              <w:spacing w:before="0" w:line="276" w:lineRule="auto"/>
              <w:ind w:firstLine="0"/>
              <w:contextualSpacing w:val="0"/>
              <w:jc w:val="center"/>
              <w:rPr>
                <w:rFonts w:cs="Calibri"/>
                <w:color w:val="FFFFFF" w:themeColor="background1"/>
                <w:sz w:val="20"/>
                <w:szCs w:val="20"/>
                <w:lang w:val="en-US" w:eastAsia="en-US"/>
              </w:rPr>
            </w:pPr>
            <w:r w:rsidRPr="00CD10C2">
              <w:rPr>
                <w:rFonts w:cs="Calibri"/>
                <w:color w:val="FFFFFF" w:themeColor="background1"/>
                <w:sz w:val="20"/>
                <w:szCs w:val="20"/>
                <w:lang w:val="en-US" w:eastAsia="en-US"/>
              </w:rPr>
              <w:t>2020</w:t>
            </w:r>
            <w:r w:rsidRPr="00CD10C2">
              <w:rPr>
                <w:rFonts w:cs="Calibri"/>
                <w:color w:val="FFFFFF" w:themeColor="background1"/>
                <w:sz w:val="20"/>
                <w:szCs w:val="20"/>
                <w:lang w:val="en-US" w:eastAsia="en-US"/>
              </w:rPr>
              <w:br/>
              <w:t xml:space="preserve"> բյուջե</w:t>
            </w:r>
          </w:p>
        </w:tc>
        <w:tc>
          <w:tcPr>
            <w:tcW w:w="1337" w:type="dxa"/>
            <w:shd w:val="clear" w:color="auto" w:fill="4F81BD" w:themeFill="accent1"/>
            <w:noWrap/>
            <w:vAlign w:val="center"/>
            <w:hideMark/>
          </w:tcPr>
          <w:p w:rsidR="00CD10C2" w:rsidRPr="00CD10C2" w:rsidRDefault="00CD10C2" w:rsidP="007730AA">
            <w:pPr>
              <w:spacing w:before="0" w:line="276" w:lineRule="auto"/>
              <w:ind w:firstLine="0"/>
              <w:contextualSpacing w:val="0"/>
              <w:jc w:val="center"/>
              <w:rPr>
                <w:rFonts w:cs="Calibri"/>
                <w:color w:val="FFFFFF" w:themeColor="background1"/>
                <w:sz w:val="20"/>
                <w:szCs w:val="20"/>
                <w:lang w:val="en-US" w:eastAsia="en-US"/>
              </w:rPr>
            </w:pPr>
            <w:r w:rsidRPr="00CD10C2">
              <w:rPr>
                <w:rFonts w:cs="Calibri"/>
                <w:color w:val="FFFFFF" w:themeColor="background1"/>
                <w:sz w:val="20"/>
                <w:szCs w:val="20"/>
                <w:lang w:val="en-US" w:eastAsia="en-US"/>
              </w:rPr>
              <w:t xml:space="preserve">2021 </w:t>
            </w:r>
            <w:r w:rsidRPr="00CD10C2">
              <w:rPr>
                <w:rFonts w:cs="Calibri"/>
                <w:color w:val="FFFFFF" w:themeColor="background1"/>
                <w:sz w:val="20"/>
                <w:szCs w:val="20"/>
                <w:lang w:val="en-US" w:eastAsia="en-US"/>
              </w:rPr>
              <w:br/>
              <w:t>կանխատեսում</w:t>
            </w:r>
          </w:p>
          <w:p w:rsidR="00CD10C2" w:rsidRPr="00CD10C2" w:rsidRDefault="00CD10C2" w:rsidP="007730AA">
            <w:pPr>
              <w:spacing w:before="0" w:line="276" w:lineRule="auto"/>
              <w:ind w:firstLine="0"/>
              <w:contextualSpacing w:val="0"/>
              <w:jc w:val="center"/>
              <w:rPr>
                <w:rFonts w:cs="Calibri"/>
                <w:color w:val="FFFFFF" w:themeColor="background1"/>
                <w:sz w:val="20"/>
                <w:szCs w:val="20"/>
                <w:lang w:val="en-US" w:eastAsia="en-US"/>
              </w:rPr>
            </w:pPr>
          </w:p>
        </w:tc>
      </w:tr>
      <w:tr w:rsidR="00CD10C2" w:rsidRPr="00CD10C2" w:rsidTr="0083330F">
        <w:trPr>
          <w:trHeight w:val="705"/>
        </w:trPr>
        <w:tc>
          <w:tcPr>
            <w:tcW w:w="2841" w:type="dxa"/>
            <w:shd w:val="clear" w:color="auto" w:fill="C6D9F1" w:themeFill="text2" w:themeFillTint="33"/>
            <w:vAlign w:val="center"/>
            <w:hideMark/>
          </w:tcPr>
          <w:p w:rsidR="00CD10C2" w:rsidRPr="00CD10C2" w:rsidRDefault="00CD10C2" w:rsidP="007730AA">
            <w:pPr>
              <w:spacing w:before="0" w:line="276" w:lineRule="auto"/>
              <w:ind w:firstLine="0"/>
              <w:contextualSpacing w:val="0"/>
              <w:jc w:val="left"/>
              <w:rPr>
                <w:b w:val="0"/>
                <w:bCs/>
                <w:color w:val="000000"/>
                <w:sz w:val="20"/>
                <w:szCs w:val="20"/>
                <w:lang w:val="en-US" w:eastAsia="en-US"/>
              </w:rPr>
            </w:pPr>
            <w:r w:rsidRPr="00CD10C2">
              <w:rPr>
                <w:b w:val="0"/>
                <w:bCs/>
                <w:color w:val="000000"/>
                <w:sz w:val="20"/>
                <w:szCs w:val="20"/>
                <w:lang w:val="en-US" w:eastAsia="en-US"/>
              </w:rPr>
              <w:t xml:space="preserve"> Պետական բյուջեի եկամուտներ, որից` </w:t>
            </w:r>
          </w:p>
        </w:tc>
        <w:tc>
          <w:tcPr>
            <w:tcW w:w="1204"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b w:val="0"/>
                <w:bCs/>
                <w:color w:val="000000"/>
                <w:sz w:val="20"/>
                <w:szCs w:val="20"/>
                <w:lang w:val="en-US" w:eastAsia="en-US"/>
              </w:rPr>
            </w:pPr>
            <w:r w:rsidRPr="00CD10C2">
              <w:rPr>
                <w:b w:val="0"/>
                <w:bCs/>
                <w:color w:val="000000"/>
                <w:sz w:val="20"/>
                <w:szCs w:val="20"/>
                <w:lang w:val="en-US" w:eastAsia="en-US"/>
              </w:rPr>
              <w:t>1,237.8</w:t>
            </w:r>
          </w:p>
        </w:tc>
        <w:tc>
          <w:tcPr>
            <w:tcW w:w="1324"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b w:val="0"/>
                <w:bCs/>
                <w:color w:val="000000"/>
                <w:sz w:val="20"/>
                <w:szCs w:val="20"/>
                <w:lang w:val="en-US" w:eastAsia="en-US"/>
              </w:rPr>
            </w:pPr>
            <w:r w:rsidRPr="00CD10C2">
              <w:rPr>
                <w:b w:val="0"/>
                <w:bCs/>
                <w:color w:val="000000"/>
                <w:sz w:val="20"/>
                <w:szCs w:val="20"/>
                <w:lang w:val="en-US" w:eastAsia="en-US"/>
              </w:rPr>
              <w:t>1,341.7</w:t>
            </w:r>
          </w:p>
        </w:tc>
        <w:tc>
          <w:tcPr>
            <w:tcW w:w="1325"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b w:val="0"/>
                <w:bCs/>
                <w:color w:val="000000"/>
                <w:sz w:val="20"/>
                <w:szCs w:val="20"/>
                <w:lang w:val="en-US" w:eastAsia="en-US"/>
              </w:rPr>
            </w:pPr>
            <w:r w:rsidRPr="00CD10C2">
              <w:rPr>
                <w:b w:val="0"/>
                <w:bCs/>
                <w:color w:val="000000"/>
                <w:sz w:val="20"/>
                <w:szCs w:val="20"/>
                <w:lang w:val="en-US" w:eastAsia="en-US"/>
              </w:rPr>
              <w:t>1,565.5</w:t>
            </w:r>
          </w:p>
        </w:tc>
        <w:tc>
          <w:tcPr>
            <w:tcW w:w="1324"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b w:val="0"/>
                <w:bCs/>
                <w:color w:val="000000"/>
                <w:sz w:val="20"/>
                <w:szCs w:val="20"/>
                <w:lang w:val="en-US" w:eastAsia="en-US"/>
              </w:rPr>
            </w:pPr>
            <w:r w:rsidRPr="00CD10C2">
              <w:rPr>
                <w:b w:val="0"/>
                <w:bCs/>
                <w:color w:val="000000"/>
                <w:sz w:val="20"/>
                <w:szCs w:val="20"/>
                <w:lang w:val="en-US" w:eastAsia="en-US"/>
              </w:rPr>
              <w:t>1,695.0</w:t>
            </w:r>
          </w:p>
        </w:tc>
        <w:tc>
          <w:tcPr>
            <w:tcW w:w="1337"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b w:val="0"/>
                <w:bCs/>
                <w:color w:val="000000"/>
                <w:sz w:val="20"/>
                <w:szCs w:val="20"/>
                <w:lang w:val="en-US" w:eastAsia="en-US"/>
              </w:rPr>
            </w:pPr>
            <w:r w:rsidRPr="00CD10C2">
              <w:rPr>
                <w:b w:val="0"/>
                <w:bCs/>
                <w:color w:val="000000"/>
                <w:sz w:val="20"/>
                <w:szCs w:val="20"/>
                <w:lang w:val="en-US" w:eastAsia="en-US"/>
              </w:rPr>
              <w:t>1,</w:t>
            </w:r>
            <w:r w:rsidR="00683BE0">
              <w:rPr>
                <w:b w:val="0"/>
                <w:bCs/>
                <w:color w:val="000000"/>
                <w:sz w:val="20"/>
                <w:szCs w:val="20"/>
                <w:lang w:val="en-US" w:eastAsia="en-US"/>
              </w:rPr>
              <w:t>509.5</w:t>
            </w:r>
          </w:p>
        </w:tc>
      </w:tr>
      <w:tr w:rsidR="00CD10C2" w:rsidRPr="00CD10C2" w:rsidTr="0083330F">
        <w:trPr>
          <w:trHeight w:val="690"/>
        </w:trPr>
        <w:tc>
          <w:tcPr>
            <w:tcW w:w="2841" w:type="dxa"/>
            <w:shd w:val="clear" w:color="auto" w:fill="auto"/>
            <w:vAlign w:val="center"/>
            <w:hideMark/>
          </w:tcPr>
          <w:p w:rsidR="00CD10C2" w:rsidRPr="00CB6CBD" w:rsidRDefault="00CD10C2" w:rsidP="007730AA">
            <w:pPr>
              <w:spacing w:before="0" w:line="276" w:lineRule="auto"/>
              <w:ind w:firstLine="0"/>
              <w:contextualSpacing w:val="0"/>
              <w:jc w:val="left"/>
              <w:rPr>
                <w:b w:val="0"/>
                <w:bCs/>
                <w:color w:val="000000"/>
                <w:sz w:val="20"/>
                <w:szCs w:val="20"/>
                <w:lang w:eastAsia="en-US"/>
              </w:rPr>
            </w:pPr>
            <w:r w:rsidRPr="00CB6CBD">
              <w:rPr>
                <w:b w:val="0"/>
                <w:bCs/>
                <w:color w:val="000000"/>
                <w:sz w:val="20"/>
                <w:szCs w:val="20"/>
                <w:lang w:eastAsia="en-US"/>
              </w:rPr>
              <w:t xml:space="preserve"> </w:t>
            </w:r>
            <w:r w:rsidRPr="00CD10C2">
              <w:rPr>
                <w:b w:val="0"/>
                <w:i/>
                <w:iCs/>
                <w:color w:val="000000"/>
                <w:sz w:val="20"/>
                <w:szCs w:val="20"/>
                <w:lang w:val="en-US" w:eastAsia="en-US"/>
              </w:rPr>
              <w:t>հարաբերությունը</w:t>
            </w:r>
            <w:r w:rsidRPr="00CB6CBD">
              <w:rPr>
                <w:b w:val="0"/>
                <w:i/>
                <w:iCs/>
                <w:color w:val="000000"/>
                <w:sz w:val="20"/>
                <w:szCs w:val="20"/>
                <w:lang w:eastAsia="en-US"/>
              </w:rPr>
              <w:t xml:space="preserve"> </w:t>
            </w:r>
            <w:r w:rsidRPr="00CD10C2">
              <w:rPr>
                <w:b w:val="0"/>
                <w:i/>
                <w:iCs/>
                <w:color w:val="000000"/>
                <w:sz w:val="20"/>
                <w:szCs w:val="20"/>
                <w:lang w:val="en-US" w:eastAsia="en-US"/>
              </w:rPr>
              <w:t>ՀՆԱ</w:t>
            </w:r>
            <w:r w:rsidRPr="00CB6CBD">
              <w:rPr>
                <w:b w:val="0"/>
                <w:i/>
                <w:iCs/>
                <w:color w:val="000000"/>
                <w:sz w:val="20"/>
                <w:szCs w:val="20"/>
                <w:lang w:eastAsia="en-US"/>
              </w:rPr>
              <w:t>-</w:t>
            </w:r>
            <w:r w:rsidRPr="00CD10C2">
              <w:rPr>
                <w:b w:val="0"/>
                <w:i/>
                <w:iCs/>
                <w:color w:val="000000"/>
                <w:sz w:val="20"/>
                <w:szCs w:val="20"/>
                <w:lang w:val="en-US" w:eastAsia="en-US"/>
              </w:rPr>
              <w:t>ի</w:t>
            </w:r>
            <w:r w:rsidRPr="00CB6CBD">
              <w:rPr>
                <w:b w:val="0"/>
                <w:i/>
                <w:iCs/>
                <w:color w:val="000000"/>
                <w:sz w:val="20"/>
                <w:szCs w:val="20"/>
                <w:lang w:eastAsia="en-US"/>
              </w:rPr>
              <w:t xml:space="preserve"> </w:t>
            </w:r>
            <w:r w:rsidRPr="00CD10C2">
              <w:rPr>
                <w:b w:val="0"/>
                <w:i/>
                <w:iCs/>
                <w:color w:val="000000"/>
                <w:sz w:val="20"/>
                <w:szCs w:val="20"/>
                <w:lang w:val="en-US" w:eastAsia="en-US"/>
              </w:rPr>
              <w:t>նկատմամբ</w:t>
            </w:r>
            <w:r w:rsidRPr="00CB6CBD">
              <w:rPr>
                <w:b w:val="0"/>
                <w:i/>
                <w:iCs/>
                <w:color w:val="000000"/>
                <w:sz w:val="20"/>
                <w:szCs w:val="20"/>
                <w:lang w:eastAsia="en-US"/>
              </w:rPr>
              <w:t xml:space="preserve"> (%-</w:t>
            </w:r>
            <w:r w:rsidRPr="00CD10C2">
              <w:rPr>
                <w:b w:val="0"/>
                <w:i/>
                <w:iCs/>
                <w:color w:val="000000"/>
                <w:sz w:val="20"/>
                <w:szCs w:val="20"/>
                <w:lang w:val="en-US" w:eastAsia="en-US"/>
              </w:rPr>
              <w:t>ով</w:t>
            </w:r>
            <w:r w:rsidRPr="00CB6CBD">
              <w:rPr>
                <w:b w:val="0"/>
                <w:i/>
                <w:iCs/>
                <w:color w:val="000000"/>
                <w:sz w:val="20"/>
                <w:szCs w:val="20"/>
                <w:lang w:eastAsia="en-US"/>
              </w:rPr>
              <w:t>)</w:t>
            </w:r>
            <w:r w:rsidRPr="00CB6CBD">
              <w:rPr>
                <w:b w:val="0"/>
                <w:bCs/>
                <w:color w:val="000000"/>
                <w:sz w:val="20"/>
                <w:szCs w:val="20"/>
                <w:lang w:eastAsia="en-US"/>
              </w:rPr>
              <w:t xml:space="preserve"> </w:t>
            </w:r>
          </w:p>
        </w:tc>
        <w:tc>
          <w:tcPr>
            <w:tcW w:w="1204"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22.2%</w:t>
            </w:r>
          </w:p>
        </w:tc>
        <w:tc>
          <w:tcPr>
            <w:tcW w:w="1324"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22.3%</w:t>
            </w:r>
          </w:p>
        </w:tc>
        <w:tc>
          <w:tcPr>
            <w:tcW w:w="1325"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23.8%</w:t>
            </w:r>
          </w:p>
        </w:tc>
        <w:tc>
          <w:tcPr>
            <w:tcW w:w="1324"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23.9%</w:t>
            </w:r>
          </w:p>
        </w:tc>
        <w:tc>
          <w:tcPr>
            <w:tcW w:w="1337" w:type="dxa"/>
            <w:shd w:val="clear" w:color="auto" w:fill="auto"/>
            <w:noWrap/>
            <w:vAlign w:val="bottom"/>
            <w:hideMark/>
          </w:tcPr>
          <w:p w:rsidR="00CD10C2" w:rsidRPr="00CD10C2" w:rsidRDefault="00683BE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23.6</w:t>
            </w:r>
            <w:r w:rsidR="00CD10C2" w:rsidRPr="00CD10C2">
              <w:rPr>
                <w:rFonts w:cs="Calibri"/>
                <w:b w:val="0"/>
                <w:color w:val="000000"/>
                <w:sz w:val="20"/>
                <w:szCs w:val="20"/>
                <w:lang w:val="en-US" w:eastAsia="en-US"/>
              </w:rPr>
              <w:t>%</w:t>
            </w:r>
          </w:p>
        </w:tc>
      </w:tr>
      <w:tr w:rsidR="00CD10C2" w:rsidRPr="00CD10C2" w:rsidTr="0083330F">
        <w:trPr>
          <w:trHeight w:val="1035"/>
        </w:trPr>
        <w:tc>
          <w:tcPr>
            <w:tcW w:w="2841" w:type="dxa"/>
            <w:shd w:val="clear" w:color="auto" w:fill="C6D9F1" w:themeFill="text2" w:themeFillTint="33"/>
            <w:vAlign w:val="center"/>
            <w:hideMark/>
          </w:tcPr>
          <w:p w:rsidR="00CD10C2" w:rsidRPr="00CB6CBD" w:rsidRDefault="00CD10C2" w:rsidP="007730AA">
            <w:pPr>
              <w:spacing w:before="0" w:line="276" w:lineRule="auto"/>
              <w:ind w:firstLine="0"/>
              <w:contextualSpacing w:val="0"/>
              <w:jc w:val="left"/>
              <w:rPr>
                <w:b w:val="0"/>
                <w:bCs/>
                <w:color w:val="000000"/>
                <w:sz w:val="20"/>
                <w:szCs w:val="20"/>
                <w:lang w:eastAsia="en-US"/>
              </w:rPr>
            </w:pPr>
            <w:r w:rsidRPr="00CB6CBD">
              <w:rPr>
                <w:b w:val="0"/>
                <w:bCs/>
                <w:color w:val="000000"/>
                <w:sz w:val="20"/>
                <w:szCs w:val="20"/>
                <w:lang w:eastAsia="en-US"/>
              </w:rPr>
              <w:t xml:space="preserve"> 1. </w:t>
            </w:r>
            <w:r w:rsidRPr="00CD10C2">
              <w:rPr>
                <w:b w:val="0"/>
                <w:bCs/>
                <w:color w:val="000000"/>
                <w:sz w:val="20"/>
                <w:szCs w:val="20"/>
                <w:lang w:val="en-US" w:eastAsia="en-US"/>
              </w:rPr>
              <w:t>Հարկային</w:t>
            </w:r>
            <w:r w:rsidRPr="00CB6CBD">
              <w:rPr>
                <w:b w:val="0"/>
                <w:bCs/>
                <w:color w:val="000000"/>
                <w:sz w:val="20"/>
                <w:szCs w:val="20"/>
                <w:lang w:eastAsia="en-US"/>
              </w:rPr>
              <w:t xml:space="preserve"> </w:t>
            </w:r>
            <w:r w:rsidRPr="00CD10C2">
              <w:rPr>
                <w:b w:val="0"/>
                <w:bCs/>
                <w:color w:val="000000"/>
                <w:sz w:val="20"/>
                <w:szCs w:val="20"/>
                <w:lang w:val="en-US" w:eastAsia="en-US"/>
              </w:rPr>
              <w:t>եկամուտներ</w:t>
            </w:r>
            <w:r w:rsidRPr="00CB6CBD">
              <w:rPr>
                <w:b w:val="0"/>
                <w:bCs/>
                <w:color w:val="000000"/>
                <w:sz w:val="20"/>
                <w:szCs w:val="20"/>
                <w:lang w:eastAsia="en-US"/>
              </w:rPr>
              <w:t xml:space="preserve"> </w:t>
            </w:r>
            <w:r w:rsidRPr="00CD10C2">
              <w:rPr>
                <w:b w:val="0"/>
                <w:bCs/>
                <w:color w:val="000000"/>
                <w:sz w:val="20"/>
                <w:szCs w:val="20"/>
                <w:lang w:val="en-US" w:eastAsia="en-US"/>
              </w:rPr>
              <w:t>և</w:t>
            </w:r>
            <w:r w:rsidRPr="00CB6CBD">
              <w:rPr>
                <w:b w:val="0"/>
                <w:bCs/>
                <w:color w:val="000000"/>
                <w:sz w:val="20"/>
                <w:szCs w:val="20"/>
                <w:lang w:eastAsia="en-US"/>
              </w:rPr>
              <w:t xml:space="preserve"> </w:t>
            </w:r>
            <w:r w:rsidRPr="00CD10C2">
              <w:rPr>
                <w:b w:val="0"/>
                <w:bCs/>
                <w:color w:val="000000"/>
                <w:sz w:val="20"/>
                <w:szCs w:val="20"/>
                <w:lang w:val="en-US" w:eastAsia="en-US"/>
              </w:rPr>
              <w:t>պետական</w:t>
            </w:r>
            <w:r w:rsidRPr="00CB6CBD">
              <w:rPr>
                <w:b w:val="0"/>
                <w:bCs/>
                <w:color w:val="000000"/>
                <w:sz w:val="20"/>
                <w:szCs w:val="20"/>
                <w:lang w:eastAsia="en-US"/>
              </w:rPr>
              <w:t xml:space="preserve"> </w:t>
            </w:r>
            <w:r w:rsidRPr="00CD10C2">
              <w:rPr>
                <w:b w:val="0"/>
                <w:bCs/>
                <w:color w:val="000000"/>
                <w:sz w:val="20"/>
                <w:szCs w:val="20"/>
                <w:lang w:val="en-US" w:eastAsia="en-US"/>
              </w:rPr>
              <w:t>տուրքեր</w:t>
            </w:r>
          </w:p>
        </w:tc>
        <w:tc>
          <w:tcPr>
            <w:tcW w:w="1204"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1,158.0</w:t>
            </w:r>
          </w:p>
        </w:tc>
        <w:tc>
          <w:tcPr>
            <w:tcW w:w="1324"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1,258.1</w:t>
            </w:r>
          </w:p>
        </w:tc>
        <w:tc>
          <w:tcPr>
            <w:tcW w:w="1325"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1,464.3</w:t>
            </w:r>
          </w:p>
        </w:tc>
        <w:tc>
          <w:tcPr>
            <w:tcW w:w="1324"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1,602.3</w:t>
            </w:r>
          </w:p>
        </w:tc>
        <w:tc>
          <w:tcPr>
            <w:tcW w:w="1337"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1,</w:t>
            </w:r>
            <w:r w:rsidR="00683BE0">
              <w:rPr>
                <w:rFonts w:cs="Calibri"/>
                <w:b w:val="0"/>
                <w:color w:val="000000"/>
                <w:sz w:val="20"/>
                <w:szCs w:val="20"/>
                <w:lang w:val="en-US" w:eastAsia="en-US"/>
              </w:rPr>
              <w:t>440.1</w:t>
            </w:r>
          </w:p>
        </w:tc>
      </w:tr>
      <w:tr w:rsidR="00CD10C2" w:rsidRPr="00CD10C2" w:rsidTr="0083330F">
        <w:trPr>
          <w:trHeight w:val="690"/>
        </w:trPr>
        <w:tc>
          <w:tcPr>
            <w:tcW w:w="2841" w:type="dxa"/>
            <w:shd w:val="clear" w:color="auto" w:fill="auto"/>
            <w:vAlign w:val="center"/>
            <w:hideMark/>
          </w:tcPr>
          <w:p w:rsidR="00CD10C2" w:rsidRPr="00CB6CBD" w:rsidRDefault="00CD10C2" w:rsidP="007730AA">
            <w:pPr>
              <w:spacing w:before="0" w:line="276" w:lineRule="auto"/>
              <w:ind w:firstLine="0"/>
              <w:contextualSpacing w:val="0"/>
              <w:jc w:val="left"/>
              <w:rPr>
                <w:b w:val="0"/>
                <w:bCs/>
                <w:color w:val="000000"/>
                <w:sz w:val="20"/>
                <w:szCs w:val="20"/>
                <w:lang w:eastAsia="en-US"/>
              </w:rPr>
            </w:pPr>
            <w:r w:rsidRPr="00CB6CBD">
              <w:rPr>
                <w:b w:val="0"/>
                <w:bCs/>
                <w:color w:val="000000"/>
                <w:sz w:val="20"/>
                <w:szCs w:val="20"/>
                <w:lang w:eastAsia="en-US"/>
              </w:rPr>
              <w:t xml:space="preserve"> </w:t>
            </w:r>
            <w:r w:rsidRPr="00CD10C2">
              <w:rPr>
                <w:b w:val="0"/>
                <w:i/>
                <w:iCs/>
                <w:color w:val="000000"/>
                <w:sz w:val="20"/>
                <w:szCs w:val="20"/>
                <w:lang w:val="en-US" w:eastAsia="en-US"/>
              </w:rPr>
              <w:t>հարաբերությունը</w:t>
            </w:r>
            <w:r w:rsidRPr="00CB6CBD">
              <w:rPr>
                <w:b w:val="0"/>
                <w:i/>
                <w:iCs/>
                <w:color w:val="000000"/>
                <w:sz w:val="20"/>
                <w:szCs w:val="20"/>
                <w:lang w:eastAsia="en-US"/>
              </w:rPr>
              <w:t xml:space="preserve"> </w:t>
            </w:r>
            <w:r w:rsidRPr="00CD10C2">
              <w:rPr>
                <w:b w:val="0"/>
                <w:i/>
                <w:iCs/>
                <w:color w:val="000000"/>
                <w:sz w:val="20"/>
                <w:szCs w:val="20"/>
                <w:lang w:val="en-US" w:eastAsia="en-US"/>
              </w:rPr>
              <w:t>ՀՆԱ</w:t>
            </w:r>
            <w:r w:rsidRPr="00CB6CBD">
              <w:rPr>
                <w:b w:val="0"/>
                <w:i/>
                <w:iCs/>
                <w:color w:val="000000"/>
                <w:sz w:val="20"/>
                <w:szCs w:val="20"/>
                <w:lang w:eastAsia="en-US"/>
              </w:rPr>
              <w:t>-</w:t>
            </w:r>
            <w:r w:rsidRPr="00CD10C2">
              <w:rPr>
                <w:b w:val="0"/>
                <w:i/>
                <w:iCs/>
                <w:color w:val="000000"/>
                <w:sz w:val="20"/>
                <w:szCs w:val="20"/>
                <w:lang w:val="en-US" w:eastAsia="en-US"/>
              </w:rPr>
              <w:t>ի</w:t>
            </w:r>
            <w:r w:rsidRPr="00CB6CBD">
              <w:rPr>
                <w:b w:val="0"/>
                <w:i/>
                <w:iCs/>
                <w:color w:val="000000"/>
                <w:sz w:val="20"/>
                <w:szCs w:val="20"/>
                <w:lang w:eastAsia="en-US"/>
              </w:rPr>
              <w:t xml:space="preserve"> </w:t>
            </w:r>
            <w:r w:rsidRPr="00CD10C2">
              <w:rPr>
                <w:b w:val="0"/>
                <w:i/>
                <w:iCs/>
                <w:color w:val="000000"/>
                <w:sz w:val="20"/>
                <w:szCs w:val="20"/>
                <w:lang w:val="en-US" w:eastAsia="en-US"/>
              </w:rPr>
              <w:t>նկատմամբ</w:t>
            </w:r>
            <w:r w:rsidRPr="00CB6CBD">
              <w:rPr>
                <w:b w:val="0"/>
                <w:i/>
                <w:iCs/>
                <w:color w:val="000000"/>
                <w:sz w:val="20"/>
                <w:szCs w:val="20"/>
                <w:lang w:eastAsia="en-US"/>
              </w:rPr>
              <w:t xml:space="preserve"> (%-</w:t>
            </w:r>
            <w:r w:rsidRPr="00CD10C2">
              <w:rPr>
                <w:b w:val="0"/>
                <w:i/>
                <w:iCs/>
                <w:color w:val="000000"/>
                <w:sz w:val="20"/>
                <w:szCs w:val="20"/>
                <w:lang w:val="en-US" w:eastAsia="en-US"/>
              </w:rPr>
              <w:t>ով</w:t>
            </w:r>
            <w:r w:rsidRPr="00CB6CBD">
              <w:rPr>
                <w:b w:val="0"/>
                <w:i/>
                <w:iCs/>
                <w:color w:val="000000"/>
                <w:sz w:val="20"/>
                <w:szCs w:val="20"/>
                <w:lang w:eastAsia="en-US"/>
              </w:rPr>
              <w:t>)</w:t>
            </w:r>
            <w:r w:rsidRPr="00CB6CBD">
              <w:rPr>
                <w:b w:val="0"/>
                <w:bCs/>
                <w:color w:val="000000"/>
                <w:sz w:val="20"/>
                <w:szCs w:val="20"/>
                <w:lang w:eastAsia="en-US"/>
              </w:rPr>
              <w:t xml:space="preserve"> </w:t>
            </w:r>
          </w:p>
        </w:tc>
        <w:tc>
          <w:tcPr>
            <w:tcW w:w="1204"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20.8%</w:t>
            </w:r>
          </w:p>
        </w:tc>
        <w:tc>
          <w:tcPr>
            <w:tcW w:w="1324"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20.9%</w:t>
            </w:r>
          </w:p>
        </w:tc>
        <w:tc>
          <w:tcPr>
            <w:tcW w:w="1325"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22.3%</w:t>
            </w:r>
          </w:p>
        </w:tc>
        <w:tc>
          <w:tcPr>
            <w:tcW w:w="1324"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22.6%</w:t>
            </w:r>
          </w:p>
        </w:tc>
        <w:tc>
          <w:tcPr>
            <w:tcW w:w="1337" w:type="dxa"/>
            <w:shd w:val="clear" w:color="auto" w:fill="auto"/>
            <w:noWrap/>
            <w:vAlign w:val="bottom"/>
            <w:hideMark/>
          </w:tcPr>
          <w:p w:rsidR="00CD10C2" w:rsidRPr="00CD10C2" w:rsidRDefault="00683BE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22.5</w:t>
            </w:r>
            <w:r w:rsidR="00CD10C2" w:rsidRPr="00CD10C2">
              <w:rPr>
                <w:rFonts w:cs="Calibri"/>
                <w:b w:val="0"/>
                <w:color w:val="000000"/>
                <w:sz w:val="20"/>
                <w:szCs w:val="20"/>
                <w:lang w:val="en-US" w:eastAsia="en-US"/>
              </w:rPr>
              <w:t>%</w:t>
            </w:r>
          </w:p>
        </w:tc>
      </w:tr>
      <w:tr w:rsidR="00CD10C2" w:rsidRPr="00CD10C2" w:rsidTr="0083330F">
        <w:trPr>
          <w:trHeight w:val="735"/>
        </w:trPr>
        <w:tc>
          <w:tcPr>
            <w:tcW w:w="2841" w:type="dxa"/>
            <w:shd w:val="clear" w:color="auto" w:fill="C6D9F1" w:themeFill="text2" w:themeFillTint="33"/>
            <w:vAlign w:val="center"/>
            <w:hideMark/>
          </w:tcPr>
          <w:p w:rsidR="00CD10C2" w:rsidRPr="00CD10C2" w:rsidRDefault="00CD10C2" w:rsidP="007730AA">
            <w:pPr>
              <w:spacing w:before="0" w:line="276" w:lineRule="auto"/>
              <w:ind w:firstLine="0"/>
              <w:contextualSpacing w:val="0"/>
              <w:jc w:val="left"/>
              <w:rPr>
                <w:b w:val="0"/>
                <w:bCs/>
                <w:color w:val="000000"/>
                <w:sz w:val="20"/>
                <w:szCs w:val="20"/>
                <w:lang w:val="en-US" w:eastAsia="en-US"/>
              </w:rPr>
            </w:pPr>
            <w:r w:rsidRPr="00CD10C2">
              <w:rPr>
                <w:b w:val="0"/>
                <w:bCs/>
                <w:color w:val="000000"/>
                <w:sz w:val="20"/>
                <w:szCs w:val="20"/>
                <w:lang w:val="en-US" w:eastAsia="en-US"/>
              </w:rPr>
              <w:t xml:space="preserve"> </w:t>
            </w:r>
            <w:r w:rsidRPr="00CD10C2">
              <w:rPr>
                <w:b w:val="0"/>
                <w:i/>
                <w:iCs/>
                <w:color w:val="000000"/>
                <w:sz w:val="20"/>
                <w:szCs w:val="20"/>
                <w:lang w:val="en-US" w:eastAsia="en-US"/>
              </w:rPr>
              <w:t>տոկոսով ընդհանուրի նկատմամբ</w:t>
            </w:r>
            <w:r w:rsidRPr="00CD10C2">
              <w:rPr>
                <w:b w:val="0"/>
                <w:bCs/>
                <w:color w:val="000000"/>
                <w:sz w:val="20"/>
                <w:szCs w:val="20"/>
                <w:lang w:val="en-US" w:eastAsia="en-US"/>
              </w:rPr>
              <w:t xml:space="preserve"> </w:t>
            </w:r>
          </w:p>
        </w:tc>
        <w:tc>
          <w:tcPr>
            <w:tcW w:w="1204" w:type="dxa"/>
            <w:shd w:val="clear" w:color="auto" w:fill="C6D9F1" w:themeFill="text2" w:themeFillTint="33"/>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93.6%</w:t>
            </w:r>
          </w:p>
        </w:tc>
        <w:tc>
          <w:tcPr>
            <w:tcW w:w="1324" w:type="dxa"/>
            <w:shd w:val="clear" w:color="auto" w:fill="C6D9F1" w:themeFill="text2" w:themeFillTint="33"/>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93.8%</w:t>
            </w:r>
          </w:p>
        </w:tc>
        <w:tc>
          <w:tcPr>
            <w:tcW w:w="1325" w:type="dxa"/>
            <w:shd w:val="clear" w:color="auto" w:fill="C6D9F1" w:themeFill="text2" w:themeFillTint="33"/>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93.5%</w:t>
            </w:r>
          </w:p>
        </w:tc>
        <w:tc>
          <w:tcPr>
            <w:tcW w:w="1324" w:type="dxa"/>
            <w:shd w:val="clear" w:color="auto" w:fill="C6D9F1" w:themeFill="text2" w:themeFillTint="33"/>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94.5%</w:t>
            </w:r>
          </w:p>
        </w:tc>
        <w:tc>
          <w:tcPr>
            <w:tcW w:w="1337" w:type="dxa"/>
            <w:shd w:val="clear" w:color="auto" w:fill="C6D9F1" w:themeFill="text2" w:themeFillTint="33"/>
            <w:noWrap/>
            <w:vAlign w:val="bottom"/>
            <w:hideMark/>
          </w:tcPr>
          <w:p w:rsidR="00CD10C2" w:rsidRPr="00CD10C2" w:rsidRDefault="00683BE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95.4</w:t>
            </w:r>
            <w:r w:rsidR="00CD10C2" w:rsidRPr="00CD10C2">
              <w:rPr>
                <w:rFonts w:cs="Calibri"/>
                <w:b w:val="0"/>
                <w:color w:val="000000"/>
                <w:sz w:val="20"/>
                <w:szCs w:val="20"/>
                <w:lang w:val="en-US" w:eastAsia="en-US"/>
              </w:rPr>
              <w:t>%</w:t>
            </w:r>
          </w:p>
        </w:tc>
      </w:tr>
      <w:tr w:rsidR="00CD10C2" w:rsidRPr="00CD10C2" w:rsidTr="0083330F">
        <w:trPr>
          <w:trHeight w:val="510"/>
        </w:trPr>
        <w:tc>
          <w:tcPr>
            <w:tcW w:w="2841" w:type="dxa"/>
            <w:shd w:val="clear" w:color="auto" w:fill="auto"/>
            <w:vAlign w:val="center"/>
            <w:hideMark/>
          </w:tcPr>
          <w:p w:rsidR="00CD10C2" w:rsidRPr="00CD10C2" w:rsidRDefault="00CD10C2" w:rsidP="007730AA">
            <w:pPr>
              <w:spacing w:before="0" w:line="276" w:lineRule="auto"/>
              <w:ind w:firstLine="0"/>
              <w:contextualSpacing w:val="0"/>
              <w:jc w:val="left"/>
              <w:rPr>
                <w:b w:val="0"/>
                <w:bCs/>
                <w:color w:val="000000"/>
                <w:sz w:val="20"/>
                <w:szCs w:val="20"/>
                <w:lang w:val="en-US" w:eastAsia="en-US"/>
              </w:rPr>
            </w:pPr>
            <w:r w:rsidRPr="00CD10C2">
              <w:rPr>
                <w:b w:val="0"/>
                <w:bCs/>
                <w:color w:val="000000"/>
                <w:sz w:val="20"/>
                <w:szCs w:val="20"/>
                <w:lang w:val="en-US" w:eastAsia="en-US"/>
              </w:rPr>
              <w:t xml:space="preserve"> 2. Այլ եկամուտներ </w:t>
            </w:r>
          </w:p>
        </w:tc>
        <w:tc>
          <w:tcPr>
            <w:tcW w:w="1204" w:type="dxa"/>
            <w:shd w:val="clear" w:color="auto" w:fill="auto"/>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65.2</w:t>
            </w:r>
          </w:p>
        </w:tc>
        <w:tc>
          <w:tcPr>
            <w:tcW w:w="1324" w:type="dxa"/>
            <w:shd w:val="clear" w:color="auto" w:fill="auto"/>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72.3</w:t>
            </w:r>
          </w:p>
        </w:tc>
        <w:tc>
          <w:tcPr>
            <w:tcW w:w="1325" w:type="dxa"/>
            <w:shd w:val="clear" w:color="auto" w:fill="auto"/>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88.8</w:t>
            </w:r>
          </w:p>
        </w:tc>
        <w:tc>
          <w:tcPr>
            <w:tcW w:w="1324" w:type="dxa"/>
            <w:shd w:val="clear" w:color="auto" w:fill="auto"/>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57.4</w:t>
            </w:r>
          </w:p>
        </w:tc>
        <w:tc>
          <w:tcPr>
            <w:tcW w:w="1337" w:type="dxa"/>
            <w:shd w:val="clear" w:color="auto" w:fill="auto"/>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45.</w:t>
            </w:r>
            <w:r w:rsidR="00683BE0">
              <w:rPr>
                <w:rFonts w:cs="Calibri"/>
                <w:b w:val="0"/>
                <w:color w:val="000000"/>
                <w:sz w:val="20"/>
                <w:szCs w:val="20"/>
                <w:lang w:val="en-US" w:eastAsia="en-US"/>
              </w:rPr>
              <w:t>1</w:t>
            </w:r>
          </w:p>
        </w:tc>
      </w:tr>
      <w:tr w:rsidR="00CD10C2" w:rsidRPr="00CD10C2" w:rsidTr="0083330F">
        <w:trPr>
          <w:trHeight w:val="690"/>
        </w:trPr>
        <w:tc>
          <w:tcPr>
            <w:tcW w:w="2841" w:type="dxa"/>
            <w:shd w:val="clear" w:color="auto" w:fill="C6D9F1" w:themeFill="text2" w:themeFillTint="33"/>
            <w:vAlign w:val="center"/>
            <w:hideMark/>
          </w:tcPr>
          <w:p w:rsidR="00CD10C2" w:rsidRPr="00CB6CBD" w:rsidRDefault="00CD10C2" w:rsidP="007730AA">
            <w:pPr>
              <w:spacing w:before="0" w:line="276" w:lineRule="auto"/>
              <w:ind w:firstLine="0"/>
              <w:contextualSpacing w:val="0"/>
              <w:jc w:val="left"/>
              <w:rPr>
                <w:b w:val="0"/>
                <w:i/>
                <w:iCs/>
                <w:color w:val="000000"/>
                <w:sz w:val="20"/>
                <w:szCs w:val="20"/>
                <w:lang w:eastAsia="en-US"/>
              </w:rPr>
            </w:pPr>
            <w:r w:rsidRPr="00CB6CBD">
              <w:rPr>
                <w:b w:val="0"/>
                <w:i/>
                <w:iCs/>
                <w:color w:val="000000"/>
                <w:sz w:val="20"/>
                <w:szCs w:val="20"/>
                <w:lang w:eastAsia="en-US"/>
              </w:rPr>
              <w:t xml:space="preserve"> </w:t>
            </w:r>
            <w:r w:rsidRPr="00CD10C2">
              <w:rPr>
                <w:b w:val="0"/>
                <w:i/>
                <w:iCs/>
                <w:color w:val="000000"/>
                <w:sz w:val="20"/>
                <w:szCs w:val="20"/>
                <w:lang w:val="en-US" w:eastAsia="en-US"/>
              </w:rPr>
              <w:t>հարաբերությունը</w:t>
            </w:r>
            <w:r w:rsidRPr="00CB6CBD">
              <w:rPr>
                <w:b w:val="0"/>
                <w:i/>
                <w:iCs/>
                <w:color w:val="000000"/>
                <w:sz w:val="20"/>
                <w:szCs w:val="20"/>
                <w:lang w:eastAsia="en-US"/>
              </w:rPr>
              <w:t xml:space="preserve"> </w:t>
            </w:r>
            <w:r w:rsidRPr="00CD10C2">
              <w:rPr>
                <w:b w:val="0"/>
                <w:i/>
                <w:iCs/>
                <w:color w:val="000000"/>
                <w:sz w:val="20"/>
                <w:szCs w:val="20"/>
                <w:lang w:val="en-US" w:eastAsia="en-US"/>
              </w:rPr>
              <w:t>ՀՆԱ</w:t>
            </w:r>
            <w:r w:rsidRPr="00CB6CBD">
              <w:rPr>
                <w:b w:val="0"/>
                <w:i/>
                <w:iCs/>
                <w:color w:val="000000"/>
                <w:sz w:val="20"/>
                <w:szCs w:val="20"/>
                <w:lang w:eastAsia="en-US"/>
              </w:rPr>
              <w:t>-</w:t>
            </w:r>
            <w:r w:rsidRPr="00CD10C2">
              <w:rPr>
                <w:b w:val="0"/>
                <w:i/>
                <w:iCs/>
                <w:color w:val="000000"/>
                <w:sz w:val="20"/>
                <w:szCs w:val="20"/>
                <w:lang w:val="en-US" w:eastAsia="en-US"/>
              </w:rPr>
              <w:t>ի</w:t>
            </w:r>
            <w:r w:rsidRPr="00CB6CBD">
              <w:rPr>
                <w:b w:val="0"/>
                <w:i/>
                <w:iCs/>
                <w:color w:val="000000"/>
                <w:sz w:val="20"/>
                <w:szCs w:val="20"/>
                <w:lang w:eastAsia="en-US"/>
              </w:rPr>
              <w:t xml:space="preserve"> </w:t>
            </w:r>
            <w:r w:rsidRPr="00CD10C2">
              <w:rPr>
                <w:b w:val="0"/>
                <w:i/>
                <w:iCs/>
                <w:color w:val="000000"/>
                <w:sz w:val="20"/>
                <w:szCs w:val="20"/>
                <w:lang w:val="en-US" w:eastAsia="en-US"/>
              </w:rPr>
              <w:t>նկատմամբ</w:t>
            </w:r>
            <w:r w:rsidRPr="00CB6CBD">
              <w:rPr>
                <w:b w:val="0"/>
                <w:i/>
                <w:iCs/>
                <w:color w:val="000000"/>
                <w:sz w:val="20"/>
                <w:szCs w:val="20"/>
                <w:lang w:eastAsia="en-US"/>
              </w:rPr>
              <w:t xml:space="preserve"> (%-</w:t>
            </w:r>
            <w:r w:rsidRPr="00CD10C2">
              <w:rPr>
                <w:b w:val="0"/>
                <w:i/>
                <w:iCs/>
                <w:color w:val="000000"/>
                <w:sz w:val="20"/>
                <w:szCs w:val="20"/>
                <w:lang w:val="en-US" w:eastAsia="en-US"/>
              </w:rPr>
              <w:t>ով</w:t>
            </w:r>
            <w:r w:rsidRPr="00CB6CBD">
              <w:rPr>
                <w:b w:val="0"/>
                <w:i/>
                <w:iCs/>
                <w:color w:val="000000"/>
                <w:sz w:val="20"/>
                <w:szCs w:val="20"/>
                <w:lang w:eastAsia="en-US"/>
              </w:rPr>
              <w:t xml:space="preserve">) </w:t>
            </w:r>
          </w:p>
        </w:tc>
        <w:tc>
          <w:tcPr>
            <w:tcW w:w="1204" w:type="dxa"/>
            <w:shd w:val="clear" w:color="auto" w:fill="C6D9F1" w:themeFill="text2" w:themeFillTint="33"/>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1.2%</w:t>
            </w:r>
          </w:p>
        </w:tc>
        <w:tc>
          <w:tcPr>
            <w:tcW w:w="1324" w:type="dxa"/>
            <w:shd w:val="clear" w:color="auto" w:fill="C6D9F1" w:themeFill="text2" w:themeFillTint="33"/>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1.2%</w:t>
            </w:r>
          </w:p>
        </w:tc>
        <w:tc>
          <w:tcPr>
            <w:tcW w:w="1325" w:type="dxa"/>
            <w:shd w:val="clear" w:color="auto" w:fill="C6D9F1" w:themeFill="text2" w:themeFillTint="33"/>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1.4%</w:t>
            </w:r>
          </w:p>
        </w:tc>
        <w:tc>
          <w:tcPr>
            <w:tcW w:w="1324" w:type="dxa"/>
            <w:shd w:val="clear" w:color="auto" w:fill="C6D9F1" w:themeFill="text2" w:themeFillTint="33"/>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0.8%</w:t>
            </w:r>
          </w:p>
        </w:tc>
        <w:tc>
          <w:tcPr>
            <w:tcW w:w="1337" w:type="dxa"/>
            <w:shd w:val="clear" w:color="auto" w:fill="C6D9F1" w:themeFill="text2" w:themeFillTint="33"/>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0.7%</w:t>
            </w:r>
          </w:p>
        </w:tc>
      </w:tr>
      <w:tr w:rsidR="00CD10C2" w:rsidRPr="00CD10C2" w:rsidTr="0083330F">
        <w:trPr>
          <w:trHeight w:val="975"/>
        </w:trPr>
        <w:tc>
          <w:tcPr>
            <w:tcW w:w="2841" w:type="dxa"/>
            <w:shd w:val="clear" w:color="auto" w:fill="auto"/>
            <w:vAlign w:val="center"/>
            <w:hideMark/>
          </w:tcPr>
          <w:p w:rsidR="00CD10C2" w:rsidRPr="00CD10C2" w:rsidRDefault="00CD10C2" w:rsidP="007730AA">
            <w:pPr>
              <w:spacing w:before="0" w:line="276" w:lineRule="auto"/>
              <w:ind w:firstLine="0"/>
              <w:contextualSpacing w:val="0"/>
              <w:jc w:val="left"/>
              <w:rPr>
                <w:b w:val="0"/>
                <w:i/>
                <w:iCs/>
                <w:color w:val="000000"/>
                <w:sz w:val="20"/>
                <w:szCs w:val="20"/>
                <w:lang w:val="en-US" w:eastAsia="en-US"/>
              </w:rPr>
            </w:pPr>
            <w:r w:rsidRPr="00CD10C2">
              <w:rPr>
                <w:b w:val="0"/>
                <w:i/>
                <w:iCs/>
                <w:color w:val="000000"/>
                <w:sz w:val="20"/>
                <w:szCs w:val="20"/>
                <w:lang w:val="en-US" w:eastAsia="en-US"/>
              </w:rPr>
              <w:t xml:space="preserve"> տոկոսով ընդհանուրի նկատմամբ </w:t>
            </w:r>
          </w:p>
        </w:tc>
        <w:tc>
          <w:tcPr>
            <w:tcW w:w="1204"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5.3%</w:t>
            </w:r>
          </w:p>
        </w:tc>
        <w:tc>
          <w:tcPr>
            <w:tcW w:w="1324"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5.4%</w:t>
            </w:r>
          </w:p>
        </w:tc>
        <w:tc>
          <w:tcPr>
            <w:tcW w:w="1325"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5.7%</w:t>
            </w:r>
          </w:p>
        </w:tc>
        <w:tc>
          <w:tcPr>
            <w:tcW w:w="1324"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3.4%</w:t>
            </w:r>
          </w:p>
        </w:tc>
        <w:tc>
          <w:tcPr>
            <w:tcW w:w="1337" w:type="dxa"/>
            <w:shd w:val="clear" w:color="auto" w:fill="auto"/>
            <w:noWrap/>
            <w:vAlign w:val="bottom"/>
            <w:hideMark/>
          </w:tcPr>
          <w:p w:rsidR="00CD10C2" w:rsidRPr="00CD10C2" w:rsidRDefault="00683BE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3.0</w:t>
            </w:r>
            <w:r w:rsidR="00CD10C2" w:rsidRPr="00CD10C2">
              <w:rPr>
                <w:rFonts w:cs="Calibri"/>
                <w:b w:val="0"/>
                <w:color w:val="000000"/>
                <w:sz w:val="20"/>
                <w:szCs w:val="20"/>
                <w:lang w:val="en-US" w:eastAsia="en-US"/>
              </w:rPr>
              <w:t>%</w:t>
            </w:r>
          </w:p>
        </w:tc>
      </w:tr>
      <w:tr w:rsidR="00CD10C2" w:rsidRPr="00CD10C2" w:rsidTr="0083330F">
        <w:trPr>
          <w:trHeight w:val="825"/>
        </w:trPr>
        <w:tc>
          <w:tcPr>
            <w:tcW w:w="2841" w:type="dxa"/>
            <w:shd w:val="clear" w:color="auto" w:fill="C6D9F1" w:themeFill="text2" w:themeFillTint="33"/>
            <w:vAlign w:val="center"/>
            <w:hideMark/>
          </w:tcPr>
          <w:p w:rsidR="00CD10C2" w:rsidRPr="00CD10C2" w:rsidRDefault="00CD10C2" w:rsidP="007730AA">
            <w:pPr>
              <w:spacing w:before="0" w:line="276" w:lineRule="auto"/>
              <w:ind w:firstLine="0"/>
              <w:contextualSpacing w:val="0"/>
              <w:jc w:val="left"/>
              <w:rPr>
                <w:b w:val="0"/>
                <w:bCs/>
                <w:color w:val="000000"/>
                <w:sz w:val="20"/>
                <w:szCs w:val="20"/>
                <w:lang w:val="en-US" w:eastAsia="en-US"/>
              </w:rPr>
            </w:pPr>
            <w:r w:rsidRPr="00CD10C2">
              <w:rPr>
                <w:b w:val="0"/>
                <w:bCs/>
                <w:color w:val="000000"/>
                <w:sz w:val="20"/>
                <w:szCs w:val="20"/>
                <w:lang w:val="en-US" w:eastAsia="en-US"/>
              </w:rPr>
              <w:t xml:space="preserve"> 3. Պաշտոնական դրամաշնորհներ </w:t>
            </w:r>
          </w:p>
        </w:tc>
        <w:tc>
          <w:tcPr>
            <w:tcW w:w="1204"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14.6</w:t>
            </w:r>
          </w:p>
        </w:tc>
        <w:tc>
          <w:tcPr>
            <w:tcW w:w="1324"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11.2</w:t>
            </w:r>
          </w:p>
        </w:tc>
        <w:tc>
          <w:tcPr>
            <w:tcW w:w="1325"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12.4</w:t>
            </w:r>
          </w:p>
        </w:tc>
        <w:tc>
          <w:tcPr>
            <w:tcW w:w="1324" w:type="dxa"/>
            <w:shd w:val="clear" w:color="auto" w:fill="C6D9F1" w:themeFill="text2" w:themeFillTint="33"/>
            <w:noWrap/>
            <w:vAlign w:val="center"/>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35.3</w:t>
            </w:r>
          </w:p>
        </w:tc>
        <w:tc>
          <w:tcPr>
            <w:tcW w:w="1337" w:type="dxa"/>
            <w:shd w:val="clear" w:color="auto" w:fill="C6D9F1" w:themeFill="text2" w:themeFillTint="33"/>
            <w:noWrap/>
            <w:vAlign w:val="center"/>
            <w:hideMark/>
          </w:tcPr>
          <w:p w:rsidR="00CD10C2" w:rsidRPr="00CD10C2" w:rsidRDefault="00683BE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24.3</w:t>
            </w:r>
          </w:p>
        </w:tc>
      </w:tr>
      <w:tr w:rsidR="00CD10C2" w:rsidRPr="00CD10C2" w:rsidTr="0083330F">
        <w:trPr>
          <w:trHeight w:val="690"/>
        </w:trPr>
        <w:tc>
          <w:tcPr>
            <w:tcW w:w="2841" w:type="dxa"/>
            <w:shd w:val="clear" w:color="auto" w:fill="auto"/>
            <w:vAlign w:val="center"/>
            <w:hideMark/>
          </w:tcPr>
          <w:p w:rsidR="00CD10C2" w:rsidRPr="00CB6CBD" w:rsidRDefault="00CD10C2" w:rsidP="007730AA">
            <w:pPr>
              <w:spacing w:before="0" w:line="276" w:lineRule="auto"/>
              <w:ind w:firstLine="0"/>
              <w:contextualSpacing w:val="0"/>
              <w:jc w:val="left"/>
              <w:rPr>
                <w:b w:val="0"/>
                <w:i/>
                <w:iCs/>
                <w:color w:val="000000"/>
                <w:sz w:val="20"/>
                <w:szCs w:val="20"/>
                <w:lang w:eastAsia="en-US"/>
              </w:rPr>
            </w:pPr>
            <w:r w:rsidRPr="00CB6CBD">
              <w:rPr>
                <w:b w:val="0"/>
                <w:i/>
                <w:iCs/>
                <w:color w:val="000000"/>
                <w:sz w:val="20"/>
                <w:szCs w:val="20"/>
                <w:lang w:eastAsia="en-US"/>
              </w:rPr>
              <w:t xml:space="preserve"> </w:t>
            </w:r>
            <w:r w:rsidRPr="00CD10C2">
              <w:rPr>
                <w:b w:val="0"/>
                <w:i/>
                <w:iCs/>
                <w:color w:val="000000"/>
                <w:sz w:val="20"/>
                <w:szCs w:val="20"/>
                <w:lang w:val="en-US" w:eastAsia="en-US"/>
              </w:rPr>
              <w:t>հարաբերությունը</w:t>
            </w:r>
            <w:r w:rsidRPr="00CB6CBD">
              <w:rPr>
                <w:b w:val="0"/>
                <w:i/>
                <w:iCs/>
                <w:color w:val="000000"/>
                <w:sz w:val="20"/>
                <w:szCs w:val="20"/>
                <w:lang w:eastAsia="en-US"/>
              </w:rPr>
              <w:t xml:space="preserve"> </w:t>
            </w:r>
            <w:r w:rsidRPr="00CD10C2">
              <w:rPr>
                <w:b w:val="0"/>
                <w:i/>
                <w:iCs/>
                <w:color w:val="000000"/>
                <w:sz w:val="20"/>
                <w:szCs w:val="20"/>
                <w:lang w:val="en-US" w:eastAsia="en-US"/>
              </w:rPr>
              <w:t>ՀՆԱ</w:t>
            </w:r>
            <w:r w:rsidRPr="00CB6CBD">
              <w:rPr>
                <w:b w:val="0"/>
                <w:i/>
                <w:iCs/>
                <w:color w:val="000000"/>
                <w:sz w:val="20"/>
                <w:szCs w:val="20"/>
                <w:lang w:eastAsia="en-US"/>
              </w:rPr>
              <w:t>-</w:t>
            </w:r>
            <w:r w:rsidRPr="00CD10C2">
              <w:rPr>
                <w:b w:val="0"/>
                <w:i/>
                <w:iCs/>
                <w:color w:val="000000"/>
                <w:sz w:val="20"/>
                <w:szCs w:val="20"/>
                <w:lang w:val="en-US" w:eastAsia="en-US"/>
              </w:rPr>
              <w:t>ի</w:t>
            </w:r>
            <w:r w:rsidRPr="00CB6CBD">
              <w:rPr>
                <w:b w:val="0"/>
                <w:i/>
                <w:iCs/>
                <w:color w:val="000000"/>
                <w:sz w:val="20"/>
                <w:szCs w:val="20"/>
                <w:lang w:eastAsia="en-US"/>
              </w:rPr>
              <w:t xml:space="preserve"> </w:t>
            </w:r>
            <w:r w:rsidRPr="00CD10C2">
              <w:rPr>
                <w:b w:val="0"/>
                <w:i/>
                <w:iCs/>
                <w:color w:val="000000"/>
                <w:sz w:val="20"/>
                <w:szCs w:val="20"/>
                <w:lang w:val="en-US" w:eastAsia="en-US"/>
              </w:rPr>
              <w:t>նկատմամբ</w:t>
            </w:r>
            <w:r w:rsidRPr="00CB6CBD">
              <w:rPr>
                <w:b w:val="0"/>
                <w:i/>
                <w:iCs/>
                <w:color w:val="000000"/>
                <w:sz w:val="20"/>
                <w:szCs w:val="20"/>
                <w:lang w:eastAsia="en-US"/>
              </w:rPr>
              <w:t xml:space="preserve"> (%-</w:t>
            </w:r>
            <w:r w:rsidRPr="00CD10C2">
              <w:rPr>
                <w:b w:val="0"/>
                <w:i/>
                <w:iCs/>
                <w:color w:val="000000"/>
                <w:sz w:val="20"/>
                <w:szCs w:val="20"/>
                <w:lang w:val="en-US" w:eastAsia="en-US"/>
              </w:rPr>
              <w:t>ով</w:t>
            </w:r>
            <w:r w:rsidRPr="00CB6CBD">
              <w:rPr>
                <w:b w:val="0"/>
                <w:i/>
                <w:iCs/>
                <w:color w:val="000000"/>
                <w:sz w:val="20"/>
                <w:szCs w:val="20"/>
                <w:lang w:eastAsia="en-US"/>
              </w:rPr>
              <w:t xml:space="preserve">) </w:t>
            </w:r>
          </w:p>
        </w:tc>
        <w:tc>
          <w:tcPr>
            <w:tcW w:w="1204"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0.3%</w:t>
            </w:r>
          </w:p>
        </w:tc>
        <w:tc>
          <w:tcPr>
            <w:tcW w:w="1324"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0.2%</w:t>
            </w:r>
          </w:p>
        </w:tc>
        <w:tc>
          <w:tcPr>
            <w:tcW w:w="1325"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0.2%</w:t>
            </w:r>
          </w:p>
        </w:tc>
        <w:tc>
          <w:tcPr>
            <w:tcW w:w="1324" w:type="dxa"/>
            <w:shd w:val="clear" w:color="auto" w:fill="auto"/>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0.5%</w:t>
            </w:r>
          </w:p>
        </w:tc>
        <w:tc>
          <w:tcPr>
            <w:tcW w:w="1337" w:type="dxa"/>
            <w:shd w:val="clear" w:color="auto" w:fill="auto"/>
            <w:noWrap/>
            <w:vAlign w:val="bottom"/>
            <w:hideMark/>
          </w:tcPr>
          <w:p w:rsidR="00CD10C2" w:rsidRPr="00CD10C2" w:rsidRDefault="00683BE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0.4</w:t>
            </w:r>
            <w:r w:rsidR="00CD10C2" w:rsidRPr="00CD10C2">
              <w:rPr>
                <w:rFonts w:cs="Calibri"/>
                <w:b w:val="0"/>
                <w:color w:val="000000"/>
                <w:sz w:val="20"/>
                <w:szCs w:val="20"/>
                <w:lang w:val="en-US" w:eastAsia="en-US"/>
              </w:rPr>
              <w:t>%</w:t>
            </w:r>
          </w:p>
        </w:tc>
      </w:tr>
      <w:tr w:rsidR="00CD10C2" w:rsidRPr="00CD10C2" w:rsidTr="0083330F">
        <w:trPr>
          <w:trHeight w:val="585"/>
        </w:trPr>
        <w:tc>
          <w:tcPr>
            <w:tcW w:w="2841" w:type="dxa"/>
            <w:shd w:val="clear" w:color="auto" w:fill="C6D9F1" w:themeFill="text2" w:themeFillTint="33"/>
            <w:vAlign w:val="center"/>
            <w:hideMark/>
          </w:tcPr>
          <w:p w:rsidR="00CD10C2" w:rsidRPr="00CD10C2" w:rsidRDefault="00CD10C2" w:rsidP="007730AA">
            <w:pPr>
              <w:spacing w:before="0" w:line="276" w:lineRule="auto"/>
              <w:ind w:firstLine="0"/>
              <w:contextualSpacing w:val="0"/>
              <w:jc w:val="left"/>
              <w:rPr>
                <w:b w:val="0"/>
                <w:i/>
                <w:iCs/>
                <w:color w:val="000000"/>
                <w:sz w:val="20"/>
                <w:szCs w:val="20"/>
                <w:lang w:val="en-US" w:eastAsia="en-US"/>
              </w:rPr>
            </w:pPr>
            <w:r w:rsidRPr="00CD10C2">
              <w:rPr>
                <w:b w:val="0"/>
                <w:i/>
                <w:iCs/>
                <w:color w:val="000000"/>
                <w:sz w:val="20"/>
                <w:szCs w:val="20"/>
                <w:lang w:val="en-US" w:eastAsia="en-US"/>
              </w:rPr>
              <w:t xml:space="preserve"> տոկոսով ընդհանուրի նկատմամբ </w:t>
            </w:r>
          </w:p>
        </w:tc>
        <w:tc>
          <w:tcPr>
            <w:tcW w:w="1204" w:type="dxa"/>
            <w:shd w:val="clear" w:color="auto" w:fill="C6D9F1" w:themeFill="text2" w:themeFillTint="33"/>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1.2%</w:t>
            </w:r>
          </w:p>
        </w:tc>
        <w:tc>
          <w:tcPr>
            <w:tcW w:w="1324" w:type="dxa"/>
            <w:shd w:val="clear" w:color="auto" w:fill="C6D9F1" w:themeFill="text2" w:themeFillTint="33"/>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0.8%</w:t>
            </w:r>
          </w:p>
        </w:tc>
        <w:tc>
          <w:tcPr>
            <w:tcW w:w="1325" w:type="dxa"/>
            <w:shd w:val="clear" w:color="auto" w:fill="C6D9F1" w:themeFill="text2" w:themeFillTint="33"/>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0.8%</w:t>
            </w:r>
          </w:p>
        </w:tc>
        <w:tc>
          <w:tcPr>
            <w:tcW w:w="1324" w:type="dxa"/>
            <w:shd w:val="clear" w:color="auto" w:fill="C6D9F1" w:themeFill="text2" w:themeFillTint="33"/>
            <w:noWrap/>
            <w:vAlign w:val="bottom"/>
            <w:hideMark/>
          </w:tcPr>
          <w:p w:rsidR="00CD10C2" w:rsidRPr="00CD10C2" w:rsidRDefault="00CD10C2" w:rsidP="007730AA">
            <w:pPr>
              <w:spacing w:before="0" w:line="276" w:lineRule="auto"/>
              <w:ind w:firstLine="0"/>
              <w:contextualSpacing w:val="0"/>
              <w:jc w:val="center"/>
              <w:rPr>
                <w:rFonts w:cs="Calibri"/>
                <w:b w:val="0"/>
                <w:color w:val="000000"/>
                <w:sz w:val="20"/>
                <w:szCs w:val="20"/>
                <w:lang w:val="en-US" w:eastAsia="en-US"/>
              </w:rPr>
            </w:pPr>
            <w:r w:rsidRPr="00CD10C2">
              <w:rPr>
                <w:rFonts w:cs="Calibri"/>
                <w:b w:val="0"/>
                <w:color w:val="000000"/>
                <w:sz w:val="20"/>
                <w:szCs w:val="20"/>
                <w:lang w:val="en-US" w:eastAsia="en-US"/>
              </w:rPr>
              <w:t>2.1%</w:t>
            </w:r>
          </w:p>
        </w:tc>
        <w:tc>
          <w:tcPr>
            <w:tcW w:w="1337" w:type="dxa"/>
            <w:shd w:val="clear" w:color="auto" w:fill="C6D9F1" w:themeFill="text2" w:themeFillTint="33"/>
            <w:noWrap/>
            <w:vAlign w:val="bottom"/>
            <w:hideMark/>
          </w:tcPr>
          <w:p w:rsidR="00CD10C2" w:rsidRPr="00CD10C2" w:rsidRDefault="00683BE0"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1.6</w:t>
            </w:r>
            <w:r w:rsidR="00CD10C2" w:rsidRPr="00CD10C2">
              <w:rPr>
                <w:rFonts w:cs="Calibri"/>
                <w:b w:val="0"/>
                <w:color w:val="000000"/>
                <w:sz w:val="20"/>
                <w:szCs w:val="20"/>
                <w:lang w:val="en-US" w:eastAsia="en-US"/>
              </w:rPr>
              <w:t>%</w:t>
            </w:r>
          </w:p>
        </w:tc>
      </w:tr>
    </w:tbl>
    <w:p w:rsidR="00CD10C2" w:rsidRPr="00CD10C2" w:rsidRDefault="00CD10C2" w:rsidP="007730AA">
      <w:pPr>
        <w:spacing w:before="0" w:line="276" w:lineRule="auto"/>
        <w:ind w:firstLine="562"/>
        <w:contextualSpacing w:val="0"/>
        <w:rPr>
          <w:rFonts w:cs="Sylfaen"/>
          <w:b w:val="0"/>
          <w:iCs/>
          <w:szCs w:val="22"/>
          <w:lang w:val="fr-FR" w:eastAsia="en-GB"/>
        </w:rPr>
      </w:pPr>
    </w:p>
    <w:p w:rsidR="00CD10C2" w:rsidRPr="00CD10C2" w:rsidRDefault="00CD10C2" w:rsidP="007730AA">
      <w:pPr>
        <w:spacing w:before="0" w:line="276" w:lineRule="auto"/>
        <w:ind w:firstLine="562"/>
        <w:contextualSpacing w:val="0"/>
        <w:rPr>
          <w:rFonts w:ascii="Calibri" w:hAnsi="Calibri" w:cs="Sylfaen"/>
          <w:b w:val="0"/>
          <w:iCs/>
          <w:szCs w:val="22"/>
          <w:lang w:val="af-ZA" w:eastAsia="en-GB"/>
        </w:rPr>
      </w:pPr>
      <w:r w:rsidRPr="00CD10C2">
        <w:rPr>
          <w:rFonts w:cs="Sylfaen"/>
          <w:b w:val="0"/>
          <w:iCs/>
          <w:szCs w:val="22"/>
          <w:lang w:val="af-ZA" w:eastAsia="en-GB"/>
        </w:rPr>
        <w:t>ՀՀ 2021 թվականի պետական բյուջեի եկամուտները ծրագրելիս օգտագործվել են այն մակ</w:t>
      </w:r>
      <w:r w:rsidRPr="00CD10C2">
        <w:rPr>
          <w:rFonts w:cs="Sylfaen"/>
          <w:b w:val="0"/>
          <w:iCs/>
          <w:szCs w:val="22"/>
          <w:lang w:val="af-ZA" w:eastAsia="en-GB"/>
        </w:rPr>
        <w:softHyphen/>
        <w:t>րո</w:t>
      </w:r>
      <w:r w:rsidRPr="00CD10C2">
        <w:rPr>
          <w:rFonts w:cs="Sylfaen"/>
          <w:b w:val="0"/>
          <w:iCs/>
          <w:szCs w:val="22"/>
          <w:lang w:val="af-ZA" w:eastAsia="en-GB"/>
        </w:rPr>
        <w:softHyphen/>
      </w:r>
      <w:r w:rsidRPr="00CD10C2">
        <w:rPr>
          <w:rFonts w:cs="Sylfaen"/>
          <w:b w:val="0"/>
          <w:iCs/>
          <w:szCs w:val="22"/>
          <w:lang w:val="af-ZA" w:eastAsia="en-GB"/>
        </w:rPr>
        <w:softHyphen/>
        <w:t>տնտեսական ցուցանիշների կանխատեսումները, որոնք էական ազդեցություն ունեն ա</w:t>
      </w:r>
      <w:r w:rsidRPr="00CD10C2">
        <w:rPr>
          <w:rFonts w:cs="Sylfaen"/>
          <w:b w:val="0"/>
          <w:iCs/>
          <w:szCs w:val="22"/>
          <w:lang w:val="af-ZA" w:eastAsia="en-GB"/>
        </w:rPr>
        <w:softHyphen/>
        <w:t>ռան</w:t>
      </w:r>
      <w:r w:rsidRPr="00CD10C2">
        <w:rPr>
          <w:rFonts w:cs="Sylfaen"/>
          <w:b w:val="0"/>
          <w:iCs/>
          <w:szCs w:val="22"/>
          <w:lang w:val="af-ZA" w:eastAsia="en-GB"/>
        </w:rPr>
        <w:softHyphen/>
      </w:r>
      <w:r w:rsidRPr="00CD10C2">
        <w:rPr>
          <w:rFonts w:cs="Sylfaen"/>
          <w:b w:val="0"/>
          <w:iCs/>
          <w:szCs w:val="22"/>
          <w:lang w:val="af-ZA" w:eastAsia="en-GB"/>
        </w:rPr>
        <w:softHyphen/>
      </w:r>
      <w:r w:rsidRPr="00CD10C2">
        <w:rPr>
          <w:rFonts w:cs="Sylfaen"/>
          <w:b w:val="0"/>
          <w:iCs/>
          <w:szCs w:val="22"/>
          <w:lang w:val="af-ZA" w:eastAsia="en-GB"/>
        </w:rPr>
        <w:softHyphen/>
        <w:t>ձին եկամտա</w:t>
      </w:r>
      <w:r w:rsidRPr="00CD10C2">
        <w:rPr>
          <w:rFonts w:cs="Sylfaen"/>
          <w:b w:val="0"/>
          <w:iCs/>
          <w:szCs w:val="22"/>
          <w:lang w:val="af-ZA" w:eastAsia="en-GB"/>
        </w:rPr>
        <w:softHyphen/>
        <w:t>տե</w:t>
      </w:r>
      <w:r w:rsidRPr="00CD10C2">
        <w:rPr>
          <w:rFonts w:cs="Sylfaen"/>
          <w:b w:val="0"/>
          <w:iCs/>
          <w:szCs w:val="22"/>
          <w:lang w:val="af-ZA" w:eastAsia="en-GB"/>
        </w:rPr>
        <w:softHyphen/>
        <w:t>սակ</w:t>
      </w:r>
      <w:r w:rsidRPr="00CD10C2">
        <w:rPr>
          <w:rFonts w:cs="Sylfaen"/>
          <w:b w:val="0"/>
          <w:iCs/>
          <w:szCs w:val="22"/>
          <w:lang w:val="af-ZA" w:eastAsia="en-GB"/>
        </w:rPr>
        <w:softHyphen/>
      </w:r>
      <w:r w:rsidRPr="00CD10C2">
        <w:rPr>
          <w:rFonts w:cs="Sylfaen"/>
          <w:b w:val="0"/>
          <w:iCs/>
          <w:szCs w:val="22"/>
          <w:lang w:val="af-ZA" w:eastAsia="en-GB"/>
        </w:rPr>
        <w:softHyphen/>
        <w:t>ների բազայի ձևավորման կամ հաշվարկման վրա: Առանձին դեպքերում հաշ</w:t>
      </w:r>
      <w:r w:rsidRPr="00CD10C2">
        <w:rPr>
          <w:rFonts w:cs="Sylfaen"/>
          <w:b w:val="0"/>
          <w:iCs/>
          <w:szCs w:val="22"/>
          <w:lang w:val="af-ZA" w:eastAsia="en-GB"/>
        </w:rPr>
        <w:softHyphen/>
      </w:r>
      <w:r w:rsidRPr="00CD10C2">
        <w:rPr>
          <w:rFonts w:cs="Sylfaen"/>
          <w:b w:val="0"/>
          <w:iCs/>
          <w:szCs w:val="22"/>
          <w:lang w:val="af-ZA" w:eastAsia="en-GB"/>
        </w:rPr>
        <w:softHyphen/>
      </w:r>
      <w:r w:rsidRPr="00CD10C2">
        <w:rPr>
          <w:rFonts w:cs="Sylfaen"/>
          <w:b w:val="0"/>
          <w:iCs/>
          <w:szCs w:val="22"/>
          <w:lang w:val="af-ZA" w:eastAsia="en-GB"/>
        </w:rPr>
        <w:softHyphen/>
        <w:t>վի են առնվել նաև պայմանա</w:t>
      </w:r>
      <w:r w:rsidRPr="00CD10C2">
        <w:rPr>
          <w:rFonts w:cs="Sylfaen"/>
          <w:b w:val="0"/>
          <w:iCs/>
          <w:szCs w:val="22"/>
          <w:lang w:val="af-ZA" w:eastAsia="en-GB"/>
        </w:rPr>
        <w:softHyphen/>
      </w:r>
      <w:r w:rsidRPr="00CD10C2">
        <w:rPr>
          <w:rFonts w:cs="Sylfaen"/>
          <w:b w:val="0"/>
          <w:iCs/>
          <w:szCs w:val="22"/>
          <w:lang w:val="af-ZA" w:eastAsia="en-GB"/>
        </w:rPr>
        <w:softHyphen/>
        <w:t>գրային հարաբերություններով կարգավորվող ցու</w:t>
      </w:r>
      <w:r w:rsidRPr="00CD10C2">
        <w:rPr>
          <w:rFonts w:cs="Sylfaen"/>
          <w:b w:val="0"/>
          <w:iCs/>
          <w:szCs w:val="22"/>
          <w:lang w:val="af-ZA" w:eastAsia="en-GB"/>
        </w:rPr>
        <w:softHyphen/>
        <w:t>ցանիշները:</w:t>
      </w:r>
      <w:r w:rsidRPr="00CD10C2">
        <w:rPr>
          <w:rFonts w:ascii="Calibri" w:hAnsi="Calibri" w:cs="Sylfaen"/>
          <w:b w:val="0"/>
          <w:iCs/>
          <w:szCs w:val="22"/>
          <w:lang w:val="af-ZA" w:eastAsia="en-GB"/>
        </w:rPr>
        <w:t xml:space="preserve"> </w:t>
      </w:r>
    </w:p>
    <w:p w:rsidR="00CD10C2" w:rsidRPr="00CD10C2" w:rsidRDefault="00CD10C2" w:rsidP="007730AA">
      <w:pPr>
        <w:spacing w:before="0" w:line="276" w:lineRule="auto"/>
        <w:ind w:firstLine="562"/>
        <w:contextualSpacing w:val="0"/>
        <w:rPr>
          <w:rFonts w:cs="Sylfaen"/>
          <w:iCs/>
          <w:szCs w:val="22"/>
          <w:lang w:val="af-ZA" w:eastAsia="en-GB"/>
        </w:rPr>
      </w:pPr>
      <w:bookmarkStart w:id="176" w:name="_Toc530663263"/>
      <w:bookmarkStart w:id="177" w:name="_Toc26174934"/>
      <w:r w:rsidRPr="00CD10C2">
        <w:rPr>
          <w:rFonts w:cs="Sylfaen"/>
          <w:iCs/>
          <w:szCs w:val="22"/>
          <w:lang w:val="af-ZA" w:eastAsia="en-GB"/>
        </w:rPr>
        <w:t>Հարկային եկամուտներ և պետական տուրքեր</w:t>
      </w:r>
      <w:bookmarkEnd w:id="176"/>
      <w:bookmarkEnd w:id="177"/>
    </w:p>
    <w:p w:rsidR="00CD10C2" w:rsidRPr="00CD10C2" w:rsidRDefault="00CD10C2" w:rsidP="007730AA">
      <w:pPr>
        <w:spacing w:before="0" w:line="276" w:lineRule="auto"/>
        <w:ind w:firstLine="562"/>
        <w:contextualSpacing w:val="0"/>
        <w:rPr>
          <w:rFonts w:cs="Sylfaen"/>
          <w:b w:val="0"/>
          <w:iCs/>
          <w:szCs w:val="22"/>
          <w:lang w:val="af-ZA" w:eastAsia="en-GB"/>
        </w:rPr>
      </w:pPr>
      <w:r w:rsidRPr="00CD10C2">
        <w:rPr>
          <w:rFonts w:cs="Sylfaen"/>
          <w:b w:val="0"/>
          <w:iCs/>
          <w:szCs w:val="22"/>
          <w:lang w:val="af-ZA" w:eastAsia="en-GB"/>
        </w:rPr>
        <w:t>Հարկային եկամուտների և պետական տուրքերի գծով 2021 թվականի բյու</w:t>
      </w:r>
      <w:r w:rsidRPr="00CD10C2">
        <w:rPr>
          <w:rFonts w:cs="Sylfaen"/>
          <w:b w:val="0"/>
          <w:iCs/>
          <w:szCs w:val="22"/>
          <w:lang w:val="af-ZA" w:eastAsia="en-GB"/>
        </w:rPr>
        <w:softHyphen/>
      </w:r>
      <w:r w:rsidRPr="00CD10C2">
        <w:rPr>
          <w:rFonts w:cs="Sylfaen"/>
          <w:b w:val="0"/>
          <w:iCs/>
          <w:szCs w:val="22"/>
          <w:lang w:val="af-ZA" w:eastAsia="en-GB"/>
        </w:rPr>
        <w:softHyphen/>
        <w:t>ջետային մուտքերի հաշվարկներում ենթադրվել է, որ հարկերի գծով 2021 թվականի համար հարկային եկամուտներ և պետական տուրքեր /ՀՆԱ ցուցանիշի սպասողական մակարդակը ապա</w:t>
      </w:r>
      <w:r w:rsidRPr="00CD10C2">
        <w:rPr>
          <w:rFonts w:cs="Sylfaen"/>
          <w:b w:val="0"/>
          <w:iCs/>
          <w:szCs w:val="22"/>
          <w:lang w:val="af-ZA" w:eastAsia="en-GB"/>
        </w:rPr>
        <w:softHyphen/>
        <w:t>հո</w:t>
      </w:r>
      <w:r w:rsidRPr="00CD10C2">
        <w:rPr>
          <w:rFonts w:cs="Sylfaen"/>
          <w:b w:val="0"/>
          <w:iCs/>
          <w:szCs w:val="22"/>
          <w:lang w:val="af-ZA" w:eastAsia="en-GB"/>
        </w:rPr>
        <w:softHyphen/>
        <w:t>վե</w:t>
      </w:r>
      <w:r w:rsidRPr="00CD10C2">
        <w:rPr>
          <w:rFonts w:cs="Sylfaen"/>
          <w:b w:val="0"/>
          <w:iCs/>
          <w:szCs w:val="22"/>
          <w:lang w:val="af-ZA" w:eastAsia="en-GB"/>
        </w:rPr>
        <w:softHyphen/>
        <w:t>լու համար բա</w:t>
      </w:r>
      <w:r w:rsidRPr="00CD10C2">
        <w:rPr>
          <w:rFonts w:cs="Sylfaen"/>
          <w:b w:val="0"/>
          <w:iCs/>
          <w:szCs w:val="22"/>
          <w:lang w:val="af-ZA" w:eastAsia="en-GB"/>
        </w:rPr>
        <w:softHyphen/>
      </w:r>
      <w:r w:rsidRPr="00CD10C2">
        <w:rPr>
          <w:rFonts w:cs="Sylfaen"/>
          <w:b w:val="0"/>
          <w:iCs/>
          <w:szCs w:val="22"/>
          <w:lang w:val="af-ZA" w:eastAsia="en-GB"/>
        </w:rPr>
        <w:softHyphen/>
        <w:t>վարար հիմքեր կստեղծեն առկա օրենս</w:t>
      </w:r>
      <w:r w:rsidRPr="00CD10C2">
        <w:rPr>
          <w:rFonts w:cs="Sylfaen"/>
          <w:b w:val="0"/>
          <w:iCs/>
          <w:szCs w:val="22"/>
          <w:lang w:val="af-ZA" w:eastAsia="en-GB"/>
        </w:rPr>
        <w:softHyphen/>
        <w:t>դրա</w:t>
      </w:r>
      <w:r w:rsidRPr="00CD10C2">
        <w:rPr>
          <w:rFonts w:cs="Sylfaen"/>
          <w:b w:val="0"/>
          <w:iCs/>
          <w:szCs w:val="22"/>
          <w:lang w:val="af-ZA" w:eastAsia="en-GB"/>
        </w:rPr>
        <w:softHyphen/>
      </w:r>
      <w:r w:rsidRPr="00CD10C2">
        <w:rPr>
          <w:rFonts w:cs="Sylfaen"/>
          <w:b w:val="0"/>
          <w:iCs/>
          <w:szCs w:val="22"/>
          <w:lang w:val="af-ZA" w:eastAsia="en-GB"/>
        </w:rPr>
        <w:softHyphen/>
        <w:t>կան նա</w:t>
      </w:r>
      <w:r w:rsidRPr="00CD10C2">
        <w:rPr>
          <w:rFonts w:cs="Sylfaen"/>
          <w:b w:val="0"/>
          <w:iCs/>
          <w:szCs w:val="22"/>
          <w:lang w:val="af-ZA" w:eastAsia="en-GB"/>
        </w:rPr>
        <w:softHyphen/>
        <w:t>խադրյալները, կի</w:t>
      </w:r>
      <w:r w:rsidRPr="00CD10C2">
        <w:rPr>
          <w:rFonts w:cs="Sylfaen"/>
          <w:b w:val="0"/>
          <w:iCs/>
          <w:szCs w:val="22"/>
          <w:lang w:val="af-ZA" w:eastAsia="en-GB"/>
        </w:rPr>
        <w:softHyphen/>
        <w:t>րառ</w:t>
      </w:r>
      <w:r w:rsidRPr="00CD10C2">
        <w:rPr>
          <w:rFonts w:cs="Sylfaen"/>
          <w:b w:val="0"/>
          <w:iCs/>
          <w:szCs w:val="22"/>
          <w:lang w:val="af-ZA" w:eastAsia="en-GB"/>
        </w:rPr>
        <w:softHyphen/>
      </w:r>
      <w:r w:rsidRPr="00CD10C2">
        <w:rPr>
          <w:rFonts w:cs="Sylfaen"/>
          <w:b w:val="0"/>
          <w:iCs/>
          <w:szCs w:val="22"/>
          <w:lang w:val="af-ZA" w:eastAsia="en-GB"/>
        </w:rPr>
        <w:softHyphen/>
        <w:t>վելիք վարչարարական միջոցա</w:t>
      </w:r>
      <w:r w:rsidRPr="00CD10C2">
        <w:rPr>
          <w:rFonts w:cs="Sylfaen"/>
          <w:b w:val="0"/>
          <w:iCs/>
          <w:szCs w:val="22"/>
          <w:lang w:val="af-ZA" w:eastAsia="en-GB"/>
        </w:rPr>
        <w:softHyphen/>
        <w:t>ռում</w:t>
      </w:r>
      <w:r w:rsidRPr="00CD10C2">
        <w:rPr>
          <w:rFonts w:cs="Sylfaen"/>
          <w:b w:val="0"/>
          <w:iCs/>
          <w:szCs w:val="22"/>
          <w:lang w:val="af-ZA" w:eastAsia="en-GB"/>
        </w:rPr>
        <w:softHyphen/>
        <w:t>ները, ինչպես նաև մակ</w:t>
      </w:r>
      <w:r w:rsidRPr="00CD10C2">
        <w:rPr>
          <w:rFonts w:cs="Sylfaen"/>
          <w:b w:val="0"/>
          <w:iCs/>
          <w:szCs w:val="22"/>
          <w:lang w:val="af-ZA" w:eastAsia="en-GB"/>
        </w:rPr>
        <w:softHyphen/>
        <w:t>րո</w:t>
      </w:r>
      <w:r w:rsidRPr="00CD10C2">
        <w:rPr>
          <w:rFonts w:cs="Sylfaen"/>
          <w:b w:val="0"/>
          <w:iCs/>
          <w:szCs w:val="22"/>
          <w:lang w:val="af-ZA" w:eastAsia="en-GB"/>
        </w:rPr>
        <w:softHyphen/>
        <w:t>տնտե</w:t>
      </w:r>
      <w:r w:rsidRPr="00CD10C2">
        <w:rPr>
          <w:rFonts w:cs="Sylfaen"/>
          <w:b w:val="0"/>
          <w:iCs/>
          <w:szCs w:val="22"/>
          <w:lang w:val="af-ZA" w:eastAsia="en-GB"/>
        </w:rPr>
        <w:softHyphen/>
        <w:t>սական զար</w:t>
      </w:r>
      <w:r w:rsidRPr="00CD10C2">
        <w:rPr>
          <w:rFonts w:cs="Sylfaen"/>
          <w:b w:val="0"/>
          <w:iCs/>
          <w:szCs w:val="22"/>
          <w:lang w:val="af-ZA" w:eastAsia="en-GB"/>
        </w:rPr>
        <w:softHyphen/>
        <w:t>գա</w:t>
      </w:r>
      <w:r w:rsidRPr="00CD10C2">
        <w:rPr>
          <w:rFonts w:cs="Sylfaen"/>
          <w:b w:val="0"/>
          <w:iCs/>
          <w:szCs w:val="22"/>
          <w:lang w:val="af-ZA" w:eastAsia="en-GB"/>
        </w:rPr>
        <w:softHyphen/>
        <w:t>ցում</w:t>
      </w:r>
      <w:r w:rsidRPr="00CD10C2">
        <w:rPr>
          <w:rFonts w:cs="Sylfaen"/>
          <w:b w:val="0"/>
          <w:iCs/>
          <w:szCs w:val="22"/>
          <w:lang w:val="af-ZA" w:eastAsia="en-GB"/>
        </w:rPr>
        <w:softHyphen/>
        <w:t>նե</w:t>
      </w:r>
      <w:r w:rsidRPr="00CD10C2">
        <w:rPr>
          <w:rFonts w:cs="Sylfaen"/>
          <w:b w:val="0"/>
          <w:iCs/>
          <w:szCs w:val="22"/>
          <w:lang w:val="af-ZA" w:eastAsia="en-GB"/>
        </w:rPr>
        <w:softHyphen/>
        <w:t xml:space="preserve">րը: </w:t>
      </w:r>
    </w:p>
    <w:p w:rsidR="002958DC" w:rsidRPr="005578F9" w:rsidRDefault="002958DC" w:rsidP="007730AA">
      <w:pPr>
        <w:pStyle w:val="Caption"/>
        <w:spacing w:before="0" w:after="0"/>
        <w:rPr>
          <w:lang w:val="af-ZA"/>
        </w:rPr>
      </w:pPr>
      <w:bookmarkStart w:id="178" w:name="_Toc52223576"/>
      <w:bookmarkStart w:id="179" w:name="_Toc57631787"/>
    </w:p>
    <w:p w:rsidR="002958DC" w:rsidRPr="005578F9" w:rsidRDefault="002958DC" w:rsidP="007730AA">
      <w:pPr>
        <w:pStyle w:val="Caption"/>
        <w:spacing w:before="0" w:after="0"/>
        <w:rPr>
          <w:lang w:val="af-ZA"/>
        </w:rPr>
      </w:pPr>
    </w:p>
    <w:p w:rsidR="002958DC" w:rsidRPr="005578F9" w:rsidRDefault="002958DC" w:rsidP="007730AA">
      <w:pPr>
        <w:pStyle w:val="Caption"/>
        <w:spacing w:before="0" w:after="0"/>
        <w:rPr>
          <w:lang w:val="af-ZA"/>
        </w:rPr>
      </w:pPr>
    </w:p>
    <w:p w:rsidR="002958DC" w:rsidRPr="005578F9" w:rsidRDefault="002958DC" w:rsidP="007730AA">
      <w:pPr>
        <w:pStyle w:val="Caption"/>
        <w:spacing w:before="0" w:after="0"/>
        <w:rPr>
          <w:lang w:val="af-ZA"/>
        </w:rPr>
      </w:pPr>
    </w:p>
    <w:p w:rsidR="002958DC" w:rsidRPr="005578F9" w:rsidRDefault="002958DC" w:rsidP="007730AA">
      <w:pPr>
        <w:pStyle w:val="Caption"/>
        <w:spacing w:before="0" w:after="0"/>
        <w:rPr>
          <w:lang w:val="af-ZA"/>
        </w:rPr>
      </w:pPr>
    </w:p>
    <w:p w:rsidR="00CD10C2" w:rsidRPr="00A2480A" w:rsidRDefault="00AD7078" w:rsidP="007730AA">
      <w:pPr>
        <w:pStyle w:val="Caption"/>
        <w:spacing w:before="0" w:after="0"/>
        <w:rPr>
          <w:b/>
          <w:i/>
          <w:sz w:val="20"/>
          <w:szCs w:val="20"/>
          <w:lang w:val="hy-AM"/>
        </w:rPr>
      </w:pPr>
      <w:r>
        <w:t>Գծապատկեր</w:t>
      </w:r>
      <w:r w:rsidRPr="00D0543E">
        <w:rPr>
          <w:lang w:val="af-ZA"/>
        </w:rPr>
        <w:t xml:space="preserve"> </w:t>
      </w:r>
      <w:r w:rsidR="003C3925">
        <w:fldChar w:fldCharType="begin"/>
      </w:r>
      <w:r w:rsidRPr="00D0543E">
        <w:rPr>
          <w:lang w:val="af-ZA"/>
        </w:rPr>
        <w:instrText xml:space="preserve"> SEQ </w:instrText>
      </w:r>
      <w:r>
        <w:instrText>Գծապատկեր</w:instrText>
      </w:r>
      <w:r w:rsidRPr="00D0543E">
        <w:rPr>
          <w:lang w:val="af-ZA"/>
        </w:rPr>
        <w:instrText xml:space="preserve"> \* ARABIC </w:instrText>
      </w:r>
      <w:r w:rsidR="003C3925">
        <w:fldChar w:fldCharType="separate"/>
      </w:r>
      <w:r w:rsidR="007E790B">
        <w:rPr>
          <w:noProof/>
          <w:lang w:val="af-ZA"/>
        </w:rPr>
        <w:t>1</w:t>
      </w:r>
      <w:r w:rsidR="003C3925">
        <w:fldChar w:fldCharType="end"/>
      </w:r>
      <w:r>
        <w:rPr>
          <w:rFonts w:ascii="Cambria Math" w:hAnsi="Cambria Math"/>
          <w:lang w:val="hy-AM"/>
        </w:rPr>
        <w:t xml:space="preserve">․ </w:t>
      </w:r>
      <w:r w:rsidR="00CD10C2" w:rsidRPr="00A2480A">
        <w:rPr>
          <w:b/>
          <w:i/>
          <w:sz w:val="20"/>
          <w:szCs w:val="20"/>
          <w:lang w:val="hy-AM"/>
        </w:rPr>
        <w:t>ՀՀ 2017-2021թթ հարկային եկամուտները և պետական տուրքերը (մլրդ դրամով) և կշիռը ՀՆԱ-ի նկատմամբ</w:t>
      </w:r>
      <w:bookmarkEnd w:id="178"/>
      <w:bookmarkEnd w:id="179"/>
    </w:p>
    <w:p w:rsidR="00CD10C2" w:rsidRPr="00CD10C2" w:rsidRDefault="00CD10C2" w:rsidP="007730AA">
      <w:pPr>
        <w:keepNext/>
        <w:keepLines/>
        <w:widowControl w:val="0"/>
        <w:spacing w:before="0" w:line="276" w:lineRule="auto"/>
        <w:ind w:firstLine="0"/>
        <w:contextualSpacing w:val="0"/>
        <w:rPr>
          <w:rFonts w:cs="Sylfaen"/>
          <w:szCs w:val="22"/>
          <w:lang w:val="fr-FR" w:eastAsia="en-US"/>
        </w:rPr>
      </w:pPr>
      <w:r w:rsidRPr="00CD10C2">
        <w:rPr>
          <w:b w:val="0"/>
          <w:noProof/>
          <w:szCs w:val="22"/>
          <w:lang w:val="en-US" w:eastAsia="en-US"/>
        </w:rPr>
        <w:drawing>
          <wp:inline distT="0" distB="0" distL="0" distR="0">
            <wp:extent cx="5955527" cy="4730115"/>
            <wp:effectExtent l="0" t="0" r="7620" b="1333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92D91" w:rsidRDefault="00F92D91" w:rsidP="007730AA">
      <w:pPr>
        <w:spacing w:before="0" w:line="276" w:lineRule="auto"/>
        <w:ind w:firstLine="562"/>
        <w:contextualSpacing w:val="0"/>
        <w:rPr>
          <w:rFonts w:cs="Sylfaen"/>
          <w:iCs/>
          <w:szCs w:val="22"/>
          <w:lang w:val="af-ZA" w:eastAsia="en-GB"/>
        </w:rPr>
      </w:pPr>
    </w:p>
    <w:p w:rsidR="00CD10C2" w:rsidRPr="00CD10C2" w:rsidRDefault="00CD10C2" w:rsidP="007730AA">
      <w:pPr>
        <w:spacing w:before="0" w:line="276" w:lineRule="auto"/>
        <w:ind w:firstLine="562"/>
        <w:contextualSpacing w:val="0"/>
        <w:rPr>
          <w:rFonts w:cs="Sylfaen"/>
          <w:iCs/>
          <w:szCs w:val="22"/>
          <w:lang w:val="af-ZA" w:eastAsia="en-GB"/>
        </w:rPr>
      </w:pPr>
      <w:r w:rsidRPr="00CD10C2">
        <w:rPr>
          <w:rFonts w:cs="Sylfaen"/>
          <w:iCs/>
          <w:szCs w:val="22"/>
          <w:lang w:val="af-ZA" w:eastAsia="en-GB"/>
        </w:rPr>
        <w:t>2021 ԹՎԱԿԱՆԻ ՀԱՐԿԱՅԻՆ ԾԱԽՍԵՐԻ ՄԵԾՈՒԹՅԱՆ ԳՆԱՀԱՏՈՒՄ</w:t>
      </w:r>
    </w:p>
    <w:p w:rsidR="00CD10C2" w:rsidRPr="00CD10C2" w:rsidRDefault="00CD10C2" w:rsidP="007730AA">
      <w:pPr>
        <w:spacing w:before="0" w:line="276" w:lineRule="auto"/>
        <w:ind w:firstLine="562"/>
        <w:contextualSpacing w:val="0"/>
        <w:rPr>
          <w:rFonts w:cs="Sylfaen"/>
          <w:szCs w:val="22"/>
          <w:lang w:val="fr-FR" w:eastAsia="en-US"/>
        </w:rPr>
      </w:pPr>
      <w:r w:rsidRPr="00CD10C2">
        <w:rPr>
          <w:rFonts w:cs="Sylfaen"/>
          <w:b w:val="0"/>
          <w:iCs/>
          <w:szCs w:val="22"/>
          <w:lang w:val="af-ZA" w:eastAsia="en-GB"/>
        </w:rPr>
        <w:t>Ի լրումն վերոշարադրյալին հարկ է նշել, որ ՀՀ 2021 թվականի հարկային եկա</w:t>
      </w:r>
      <w:r w:rsidRPr="00CD10C2">
        <w:rPr>
          <w:rFonts w:cs="Sylfaen"/>
          <w:b w:val="0"/>
          <w:iCs/>
          <w:szCs w:val="22"/>
          <w:lang w:val="af-ZA" w:eastAsia="en-GB"/>
        </w:rPr>
        <w:softHyphen/>
        <w:t>մուտ</w:t>
      </w:r>
      <w:r w:rsidRPr="00CD10C2">
        <w:rPr>
          <w:rFonts w:cs="Sylfaen"/>
          <w:b w:val="0"/>
          <w:iCs/>
          <w:szCs w:val="22"/>
          <w:lang w:val="af-ZA" w:eastAsia="en-GB"/>
        </w:rPr>
        <w:softHyphen/>
        <w:t>նե</w:t>
      </w:r>
      <w:r w:rsidRPr="00CD10C2">
        <w:rPr>
          <w:rFonts w:cs="Sylfaen"/>
          <w:b w:val="0"/>
          <w:iCs/>
          <w:szCs w:val="22"/>
          <w:lang w:val="af-ZA" w:eastAsia="en-GB"/>
        </w:rPr>
        <w:softHyphen/>
        <w:t>րի մուտքերի կանխատեսմամբ հանդերձ միջազգային պրակ</w:t>
      </w:r>
      <w:r w:rsidRPr="00CD10C2">
        <w:rPr>
          <w:rFonts w:cs="Sylfaen"/>
          <w:b w:val="0"/>
          <w:iCs/>
          <w:szCs w:val="22"/>
          <w:lang w:val="af-ZA" w:eastAsia="en-GB"/>
        </w:rPr>
        <w:softHyphen/>
        <w:t>տիկայում ընդունված մո</w:t>
      </w:r>
      <w:r w:rsidRPr="00CD10C2">
        <w:rPr>
          <w:rFonts w:cs="Sylfaen"/>
          <w:b w:val="0"/>
          <w:iCs/>
          <w:szCs w:val="22"/>
          <w:lang w:val="af-ZA" w:eastAsia="en-GB"/>
        </w:rPr>
        <w:softHyphen/>
        <w:t>տե</w:t>
      </w:r>
      <w:r w:rsidRPr="00CD10C2">
        <w:rPr>
          <w:rFonts w:cs="Sylfaen"/>
          <w:b w:val="0"/>
          <w:iCs/>
          <w:szCs w:val="22"/>
          <w:lang w:val="af-ZA" w:eastAsia="en-GB"/>
        </w:rPr>
        <w:softHyphen/>
        <w:t>ցումների հիման վրա կատարվել է ավելացված արժեքի հարկի, շահութահարկի և եկամտային հարկի գծով 2021 թվականի հար</w:t>
      </w:r>
      <w:r w:rsidRPr="00CD10C2">
        <w:rPr>
          <w:rFonts w:cs="Sylfaen"/>
          <w:b w:val="0"/>
          <w:iCs/>
          <w:szCs w:val="22"/>
          <w:lang w:val="af-ZA" w:eastAsia="en-GB"/>
        </w:rPr>
        <w:softHyphen/>
        <w:t>կա</w:t>
      </w:r>
      <w:r w:rsidRPr="00CD10C2">
        <w:rPr>
          <w:rFonts w:cs="Sylfaen"/>
          <w:b w:val="0"/>
          <w:iCs/>
          <w:szCs w:val="22"/>
          <w:lang w:val="af-ZA" w:eastAsia="en-GB"/>
        </w:rPr>
        <w:softHyphen/>
        <w:t>յին ծախսերի մեծության գնահատում, որի արդյունքները ներ</w:t>
      </w:r>
      <w:r w:rsidRPr="00CD10C2">
        <w:rPr>
          <w:rFonts w:cs="Sylfaen"/>
          <w:b w:val="0"/>
          <w:iCs/>
          <w:szCs w:val="22"/>
          <w:lang w:val="af-ZA" w:eastAsia="en-GB"/>
        </w:rPr>
        <w:softHyphen/>
        <w:t xml:space="preserve">կայացված են </w:t>
      </w:r>
      <w:r w:rsidR="008B3208">
        <w:rPr>
          <w:rFonts w:cs="Sylfaen"/>
          <w:b w:val="0"/>
          <w:iCs/>
          <w:szCs w:val="22"/>
          <w:lang w:val="hy-AM" w:eastAsia="en-GB"/>
        </w:rPr>
        <w:t>Վերլուծություններ բաժնում</w:t>
      </w:r>
      <w:r w:rsidRPr="00CD10C2">
        <w:rPr>
          <w:rFonts w:cs="Sylfaen"/>
          <w:b w:val="0"/>
          <w:iCs/>
          <w:szCs w:val="22"/>
          <w:lang w:val="af-ZA" w:eastAsia="en-GB"/>
        </w:rPr>
        <w:t xml:space="preserve">: </w:t>
      </w:r>
    </w:p>
    <w:p w:rsidR="00EF6F81" w:rsidRPr="00DD5781" w:rsidRDefault="00EF6F81" w:rsidP="007730AA">
      <w:pPr>
        <w:spacing w:before="0" w:line="276" w:lineRule="auto"/>
        <w:ind w:firstLine="0"/>
        <w:contextualSpacing w:val="0"/>
        <w:jc w:val="left"/>
        <w:rPr>
          <w:rFonts w:cs="Sylfaen"/>
          <w:szCs w:val="22"/>
          <w:lang w:val="af-ZA"/>
        </w:rPr>
      </w:pPr>
    </w:p>
    <w:p w:rsidR="00EF6F81" w:rsidRDefault="00A22793" w:rsidP="007730AA">
      <w:pPr>
        <w:spacing w:before="0" w:line="276" w:lineRule="auto"/>
        <w:rPr>
          <w:szCs w:val="22"/>
          <w:lang w:val="fr-FR"/>
        </w:rPr>
      </w:pPr>
      <w:r w:rsidRPr="00EF6F81">
        <w:rPr>
          <w:rFonts w:cs="Sylfaen"/>
          <w:szCs w:val="22"/>
        </w:rPr>
        <w:t>ՊԵՏԱԿԱՆ</w:t>
      </w:r>
      <w:r w:rsidRPr="00EF6F81">
        <w:rPr>
          <w:szCs w:val="22"/>
          <w:lang w:val="fr-FR"/>
        </w:rPr>
        <w:t xml:space="preserve"> </w:t>
      </w:r>
      <w:r w:rsidRPr="00EF6F81">
        <w:rPr>
          <w:rFonts w:cs="Sylfaen"/>
          <w:szCs w:val="22"/>
        </w:rPr>
        <w:t>ՏՈՒՐՔԵ</w:t>
      </w:r>
      <w:r w:rsidRPr="00EF6F81">
        <w:rPr>
          <w:szCs w:val="22"/>
        </w:rPr>
        <w:t>Ր</w:t>
      </w:r>
    </w:p>
    <w:p w:rsidR="00A22793" w:rsidRPr="00EF6F81" w:rsidRDefault="00A22793" w:rsidP="007730AA">
      <w:pPr>
        <w:spacing w:before="0" w:line="276" w:lineRule="auto"/>
        <w:rPr>
          <w:szCs w:val="22"/>
          <w:lang w:val="fr-FR"/>
        </w:rPr>
      </w:pPr>
      <w:r w:rsidRPr="00EF6F81">
        <w:rPr>
          <w:rFonts w:eastAsia="Calibri"/>
          <w:b w:val="0"/>
          <w:szCs w:val="22"/>
          <w:lang w:val="hy-AM" w:eastAsia="en-US"/>
        </w:rPr>
        <w:t>Պետական տուրքերի գծով 202</w:t>
      </w:r>
      <w:r w:rsidRPr="00EF6F81">
        <w:rPr>
          <w:rFonts w:eastAsia="Calibri"/>
          <w:b w:val="0"/>
          <w:szCs w:val="22"/>
          <w:lang w:val="fr-FR" w:eastAsia="en-US"/>
        </w:rPr>
        <w:t>1</w:t>
      </w:r>
      <w:r w:rsidRPr="00EF6F81">
        <w:rPr>
          <w:rFonts w:eastAsia="Calibri"/>
          <w:b w:val="0"/>
          <w:szCs w:val="22"/>
          <w:lang w:val="hy-AM" w:eastAsia="en-US"/>
        </w:rPr>
        <w:t xml:space="preserve"> թվականի բյուջետային մուտքերը ծրա</w:t>
      </w:r>
      <w:r w:rsidRPr="00EF6F81">
        <w:rPr>
          <w:rFonts w:eastAsia="Calibri"/>
          <w:b w:val="0"/>
          <w:szCs w:val="22"/>
          <w:lang w:val="hy-AM" w:eastAsia="en-US"/>
        </w:rPr>
        <w:softHyphen/>
        <w:t>գր</w:t>
      </w:r>
      <w:r w:rsidRPr="00EF6F81">
        <w:rPr>
          <w:rFonts w:eastAsia="Calibri"/>
          <w:b w:val="0"/>
          <w:szCs w:val="22"/>
          <w:lang w:val="hy-AM" w:eastAsia="en-US"/>
        </w:rPr>
        <w:softHyphen/>
        <w:t>վել են 4</w:t>
      </w:r>
      <w:r w:rsidRPr="00EF6F81">
        <w:rPr>
          <w:rFonts w:eastAsia="Calibri"/>
          <w:b w:val="0"/>
          <w:szCs w:val="22"/>
          <w:lang w:val="fr-FR" w:eastAsia="en-US"/>
        </w:rPr>
        <w:t>6.1</w:t>
      </w:r>
      <w:r w:rsidRPr="00EF6F81">
        <w:rPr>
          <w:rFonts w:eastAsia="Calibri"/>
          <w:b w:val="0"/>
          <w:szCs w:val="22"/>
          <w:lang w:val="hy-AM" w:eastAsia="en-US"/>
        </w:rPr>
        <w:t xml:space="preserve">  մլրդ դրամի չափով` 20</w:t>
      </w:r>
      <w:r w:rsidRPr="00EF6F81">
        <w:rPr>
          <w:rFonts w:eastAsia="Calibri"/>
          <w:b w:val="0"/>
          <w:szCs w:val="22"/>
          <w:lang w:val="fr-FR" w:eastAsia="en-US"/>
        </w:rPr>
        <w:t>20</w:t>
      </w:r>
      <w:r w:rsidRPr="00EF6F81">
        <w:rPr>
          <w:rFonts w:eastAsia="Calibri"/>
          <w:b w:val="0"/>
          <w:szCs w:val="22"/>
          <w:lang w:val="hy-AM" w:eastAsia="en-US"/>
        </w:rPr>
        <w:t xml:space="preserve"> թվականի համար հաստատված</w:t>
      </w:r>
      <w:r w:rsidRPr="00EF6F81">
        <w:rPr>
          <w:rFonts w:eastAsia="Calibri"/>
          <w:b w:val="0"/>
          <w:szCs w:val="22"/>
          <w:vertAlign w:val="superscript"/>
          <w:lang w:val="hy-AM" w:eastAsia="en-US"/>
        </w:rPr>
        <w:footnoteReference w:id="30"/>
      </w:r>
      <w:r w:rsidRPr="00EF6F81">
        <w:rPr>
          <w:rFonts w:eastAsia="Calibri"/>
          <w:b w:val="0"/>
          <w:szCs w:val="22"/>
          <w:lang w:val="hy-AM" w:eastAsia="en-US"/>
        </w:rPr>
        <w:t xml:space="preserve"> </w:t>
      </w:r>
      <w:r w:rsidRPr="00EF6F81">
        <w:rPr>
          <w:rFonts w:eastAsia="Calibri"/>
          <w:b w:val="0"/>
          <w:szCs w:val="22"/>
          <w:lang w:val="fr-FR" w:eastAsia="en-US"/>
        </w:rPr>
        <w:t>50.2</w:t>
      </w:r>
      <w:r w:rsidRPr="00EF6F81">
        <w:rPr>
          <w:rFonts w:eastAsia="Calibri"/>
          <w:b w:val="0"/>
          <w:szCs w:val="22"/>
          <w:lang w:val="hy-AM" w:eastAsia="en-US"/>
        </w:rPr>
        <w:t xml:space="preserve"> մլրդ դրամի և 201</w:t>
      </w:r>
      <w:r w:rsidRPr="00EF6F81">
        <w:rPr>
          <w:rFonts w:eastAsia="Calibri"/>
          <w:b w:val="0"/>
          <w:szCs w:val="22"/>
          <w:lang w:val="fr-FR" w:eastAsia="en-US"/>
        </w:rPr>
        <w:t>9</w:t>
      </w:r>
      <w:r w:rsidRPr="00EF6F81">
        <w:rPr>
          <w:rFonts w:eastAsia="Calibri"/>
          <w:b w:val="0"/>
          <w:szCs w:val="22"/>
          <w:lang w:val="hy-AM" w:eastAsia="en-US"/>
        </w:rPr>
        <w:t xml:space="preserve"> թվականին փաստացի ստացված</w:t>
      </w:r>
      <w:r w:rsidRPr="00EF6F81">
        <w:rPr>
          <w:rFonts w:eastAsia="Calibri"/>
          <w:b w:val="0"/>
          <w:szCs w:val="22"/>
          <w:vertAlign w:val="superscript"/>
          <w:lang w:val="hy-AM" w:eastAsia="en-US"/>
        </w:rPr>
        <w:footnoteReference w:id="31"/>
      </w:r>
      <w:r w:rsidRPr="00EF6F81">
        <w:rPr>
          <w:rFonts w:eastAsia="Calibri"/>
          <w:b w:val="0"/>
          <w:szCs w:val="22"/>
          <w:lang w:val="hy-AM" w:eastAsia="en-US"/>
        </w:rPr>
        <w:t xml:space="preserve"> </w:t>
      </w:r>
      <w:r w:rsidRPr="00EF6F81">
        <w:rPr>
          <w:rFonts w:eastAsia="Calibri"/>
          <w:b w:val="0"/>
          <w:szCs w:val="22"/>
          <w:lang w:val="fr-FR" w:eastAsia="en-US"/>
        </w:rPr>
        <w:t>45.7</w:t>
      </w:r>
      <w:r w:rsidRPr="00EF6F81">
        <w:rPr>
          <w:rFonts w:eastAsia="Calibri"/>
          <w:b w:val="0"/>
          <w:szCs w:val="22"/>
          <w:lang w:val="hy-AM" w:eastAsia="en-US"/>
        </w:rPr>
        <w:t xml:space="preserve"> մլրդ դրամի դիմաց:</w:t>
      </w:r>
    </w:p>
    <w:p w:rsidR="00A22793" w:rsidRPr="00EF6F81" w:rsidRDefault="00A22793" w:rsidP="007730AA">
      <w:pPr>
        <w:spacing w:before="0" w:line="276" w:lineRule="auto"/>
        <w:ind w:firstLine="538"/>
        <w:rPr>
          <w:rFonts w:eastAsia="Calibri"/>
          <w:b w:val="0"/>
          <w:szCs w:val="22"/>
          <w:lang w:val="hy-AM" w:eastAsia="en-US"/>
        </w:rPr>
      </w:pPr>
      <w:r w:rsidRPr="00EF6F81">
        <w:rPr>
          <w:rFonts w:eastAsia="Calibri"/>
          <w:b w:val="0"/>
          <w:szCs w:val="22"/>
          <w:lang w:val="hy-AM" w:eastAsia="en-US"/>
        </w:rPr>
        <w:t>Պետական տուրքերի գծով 2021 թվականի բյուջետային մուտքերի կանխատեսումները կա</w:t>
      </w:r>
      <w:r w:rsidRPr="00EF6F81">
        <w:rPr>
          <w:rFonts w:eastAsia="Calibri"/>
          <w:b w:val="0"/>
          <w:szCs w:val="22"/>
          <w:lang w:val="hy-AM" w:eastAsia="en-US"/>
        </w:rPr>
        <w:softHyphen/>
      </w:r>
      <w:r w:rsidRPr="00EF6F81">
        <w:rPr>
          <w:rFonts w:eastAsia="Calibri"/>
          <w:b w:val="0"/>
          <w:szCs w:val="22"/>
          <w:lang w:val="hy-AM" w:eastAsia="en-US"/>
        </w:rPr>
        <w:softHyphen/>
        <w:t>տար</w:t>
      </w:r>
      <w:r w:rsidRPr="00EF6F81">
        <w:rPr>
          <w:rFonts w:eastAsia="Calibri"/>
          <w:b w:val="0"/>
          <w:szCs w:val="22"/>
          <w:lang w:val="hy-AM" w:eastAsia="en-US"/>
        </w:rPr>
        <w:softHyphen/>
        <w:t>վել են ըստ դրանց նախորդ տարիների փաստացի հավաքագրում</w:t>
      </w:r>
      <w:r w:rsidRPr="00EF6F81">
        <w:rPr>
          <w:rFonts w:eastAsia="Calibri"/>
          <w:b w:val="0"/>
          <w:szCs w:val="22"/>
          <w:lang w:val="hy-AM" w:eastAsia="en-US"/>
        </w:rPr>
        <w:softHyphen/>
        <w:t>ների միտում</w:t>
      </w:r>
      <w:r w:rsidRPr="00EF6F81">
        <w:rPr>
          <w:rFonts w:eastAsia="Calibri"/>
          <w:b w:val="0"/>
          <w:szCs w:val="22"/>
          <w:lang w:val="hy-AM" w:eastAsia="en-US"/>
        </w:rPr>
        <w:softHyphen/>
        <w:t>նե</w:t>
      </w:r>
      <w:r w:rsidRPr="00EF6F81">
        <w:rPr>
          <w:rFonts w:eastAsia="Calibri"/>
          <w:b w:val="0"/>
          <w:szCs w:val="22"/>
          <w:lang w:val="hy-AM" w:eastAsia="en-US"/>
        </w:rPr>
        <w:softHyphen/>
        <w:t>րի, hաշ</w:t>
      </w:r>
      <w:r w:rsidRPr="00EF6F81">
        <w:rPr>
          <w:rFonts w:eastAsia="Calibri"/>
          <w:b w:val="0"/>
          <w:szCs w:val="22"/>
          <w:lang w:val="hy-AM" w:eastAsia="en-US"/>
        </w:rPr>
        <w:softHyphen/>
      </w:r>
      <w:r w:rsidRPr="00EF6F81">
        <w:rPr>
          <w:rFonts w:eastAsia="Calibri"/>
          <w:b w:val="0"/>
          <w:szCs w:val="22"/>
          <w:lang w:val="hy-AM" w:eastAsia="en-US"/>
        </w:rPr>
        <w:softHyphen/>
      </w:r>
      <w:r w:rsidRPr="00EF6F81">
        <w:rPr>
          <w:rFonts w:eastAsia="Calibri"/>
          <w:b w:val="0"/>
          <w:szCs w:val="22"/>
          <w:lang w:val="hy-AM" w:eastAsia="en-US"/>
        </w:rPr>
        <w:softHyphen/>
      </w:r>
      <w:r w:rsidRPr="00EF6F81">
        <w:rPr>
          <w:rFonts w:eastAsia="Calibri"/>
          <w:b w:val="0"/>
          <w:szCs w:val="22"/>
          <w:lang w:val="hy-AM" w:eastAsia="en-US"/>
        </w:rPr>
        <w:softHyphen/>
        <w:t>վի առ</w:t>
      </w:r>
      <w:r w:rsidRPr="00EF6F81">
        <w:rPr>
          <w:rFonts w:eastAsia="Calibri"/>
          <w:b w:val="0"/>
          <w:szCs w:val="22"/>
          <w:lang w:val="hy-AM" w:eastAsia="en-US"/>
        </w:rPr>
        <w:softHyphen/>
        <w:t>նե</w:t>
      </w:r>
      <w:r w:rsidRPr="00EF6F81">
        <w:rPr>
          <w:rFonts w:eastAsia="Calibri"/>
          <w:b w:val="0"/>
          <w:szCs w:val="22"/>
          <w:lang w:val="hy-AM" w:eastAsia="en-US"/>
        </w:rPr>
        <w:softHyphen/>
        <w:t>լով ՀՀ օրենսդրության մեջ կատարված առան</w:t>
      </w:r>
      <w:r w:rsidRPr="00EF6F81">
        <w:rPr>
          <w:rFonts w:eastAsia="Calibri"/>
          <w:b w:val="0"/>
          <w:szCs w:val="22"/>
          <w:lang w:val="hy-AM" w:eastAsia="en-US"/>
        </w:rPr>
        <w:softHyphen/>
        <w:t>ձին փոփոխություններն ու լրա</w:t>
      </w:r>
      <w:r w:rsidRPr="00EF6F81">
        <w:rPr>
          <w:rFonts w:eastAsia="Calibri"/>
          <w:b w:val="0"/>
          <w:szCs w:val="22"/>
          <w:lang w:val="hy-AM" w:eastAsia="en-US"/>
        </w:rPr>
        <w:softHyphen/>
      </w:r>
      <w:r w:rsidRPr="00EF6F81">
        <w:rPr>
          <w:rFonts w:eastAsia="Calibri"/>
          <w:b w:val="0"/>
          <w:szCs w:val="22"/>
          <w:lang w:val="hy-AM" w:eastAsia="en-US"/>
        </w:rPr>
        <w:softHyphen/>
      </w:r>
      <w:r w:rsidRPr="00EF6F81">
        <w:rPr>
          <w:rFonts w:eastAsia="Calibri"/>
          <w:b w:val="0"/>
          <w:szCs w:val="22"/>
          <w:lang w:val="hy-AM" w:eastAsia="en-US"/>
        </w:rPr>
        <w:softHyphen/>
        <w:t>ցում</w:t>
      </w:r>
      <w:r w:rsidRPr="00EF6F81">
        <w:rPr>
          <w:rFonts w:eastAsia="Calibri"/>
          <w:b w:val="0"/>
          <w:szCs w:val="22"/>
          <w:lang w:val="hy-AM" w:eastAsia="en-US"/>
        </w:rPr>
        <w:softHyphen/>
      </w:r>
      <w:r w:rsidRPr="00EF6F81">
        <w:rPr>
          <w:rFonts w:eastAsia="Calibri"/>
          <w:b w:val="0"/>
          <w:szCs w:val="22"/>
          <w:lang w:val="hy-AM" w:eastAsia="en-US"/>
        </w:rPr>
        <w:softHyphen/>
        <w:t>նե</w:t>
      </w:r>
      <w:r w:rsidRPr="00EF6F81">
        <w:rPr>
          <w:rFonts w:eastAsia="Calibri"/>
          <w:b w:val="0"/>
          <w:szCs w:val="22"/>
          <w:lang w:val="hy-AM" w:eastAsia="en-US"/>
        </w:rPr>
        <w:softHyphen/>
        <w:t>րը, ինչ</w:t>
      </w:r>
      <w:r w:rsidRPr="00EF6F81">
        <w:rPr>
          <w:rFonts w:eastAsia="Calibri"/>
          <w:b w:val="0"/>
          <w:szCs w:val="22"/>
          <w:lang w:val="hy-AM" w:eastAsia="en-US"/>
        </w:rPr>
        <w:softHyphen/>
        <w:t>պես նաև պետական տուրքի յուրաքանչյուր տեսակի առանձնա</w:t>
      </w:r>
      <w:r w:rsidRPr="00EF6F81">
        <w:rPr>
          <w:rFonts w:eastAsia="Calibri"/>
          <w:b w:val="0"/>
          <w:szCs w:val="22"/>
          <w:lang w:val="hy-AM" w:eastAsia="en-US"/>
        </w:rPr>
        <w:softHyphen/>
        <w:t>հատ</w:t>
      </w:r>
      <w:r w:rsidRPr="00EF6F81">
        <w:rPr>
          <w:rFonts w:eastAsia="Calibri"/>
          <w:b w:val="0"/>
          <w:szCs w:val="22"/>
          <w:lang w:val="hy-AM" w:eastAsia="en-US"/>
        </w:rPr>
        <w:softHyphen/>
        <w:t>կու</w:t>
      </w:r>
      <w:r w:rsidRPr="00EF6F81">
        <w:rPr>
          <w:rFonts w:eastAsia="Calibri"/>
          <w:b w:val="0"/>
          <w:szCs w:val="22"/>
          <w:lang w:val="hy-AM" w:eastAsia="en-US"/>
        </w:rPr>
        <w:softHyphen/>
        <w:t>թյուն</w:t>
      </w:r>
      <w:r w:rsidRPr="00EF6F81">
        <w:rPr>
          <w:rFonts w:eastAsia="Calibri"/>
          <w:b w:val="0"/>
          <w:szCs w:val="22"/>
          <w:lang w:val="hy-AM" w:eastAsia="en-US"/>
        </w:rPr>
        <w:softHyphen/>
      </w:r>
      <w:r w:rsidRPr="00EF6F81">
        <w:rPr>
          <w:rFonts w:eastAsia="Calibri"/>
          <w:b w:val="0"/>
          <w:szCs w:val="22"/>
          <w:lang w:val="hy-AM" w:eastAsia="en-US"/>
        </w:rPr>
        <w:softHyphen/>
        <w:t>ները: Կորոնավիրուսային հիվանդության համաշխարհային համաճարակի պատճառով 2020 թվականին արձանագրվում է ցուցանիշների կրճատման միտում, որն իր ազդե</w:t>
      </w:r>
      <w:r w:rsidRPr="00EF6F81">
        <w:rPr>
          <w:rFonts w:eastAsia="Calibri"/>
          <w:b w:val="0"/>
          <w:szCs w:val="22"/>
          <w:lang w:val="hy-AM" w:eastAsia="en-US"/>
        </w:rPr>
        <w:softHyphen/>
        <w:t>ցությունն է թողնում 2021 թվականի կանխատեսումների վրա:</w:t>
      </w:r>
    </w:p>
    <w:p w:rsidR="00A22793" w:rsidRPr="00EF6F81" w:rsidRDefault="00A22793" w:rsidP="007730AA">
      <w:pPr>
        <w:spacing w:before="0" w:line="276" w:lineRule="auto"/>
        <w:ind w:firstLine="538"/>
        <w:rPr>
          <w:rFonts w:eastAsia="Calibri"/>
          <w:b w:val="0"/>
          <w:szCs w:val="22"/>
          <w:lang w:val="hy-AM" w:eastAsia="en-US"/>
        </w:rPr>
      </w:pPr>
      <w:r w:rsidRPr="00EF6F81">
        <w:rPr>
          <w:rFonts w:eastAsia="Calibri"/>
          <w:b w:val="0"/>
          <w:szCs w:val="22"/>
          <w:lang w:val="hy-AM" w:eastAsia="en-US"/>
        </w:rPr>
        <w:t>Պետական տուրքի առանձին տեսակների («Պետական տուրքի մասին» ՀՀ օրենքով սահ</w:t>
      </w:r>
      <w:r w:rsidRPr="00EF6F81">
        <w:rPr>
          <w:rFonts w:eastAsia="Calibri"/>
          <w:b w:val="0"/>
          <w:szCs w:val="22"/>
          <w:lang w:val="hy-AM" w:eastAsia="en-US"/>
        </w:rPr>
        <w:softHyphen/>
        <w:t>ման</w:t>
      </w:r>
      <w:r w:rsidRPr="00EF6F81">
        <w:rPr>
          <w:rFonts w:eastAsia="Calibri"/>
          <w:b w:val="0"/>
          <w:szCs w:val="22"/>
          <w:lang w:val="hy-AM" w:eastAsia="en-US"/>
        </w:rPr>
        <w:softHyphen/>
        <w:t>ված հիմնական խմբերի) գծով 2021 թվականի բյուջետային մուտ</w:t>
      </w:r>
      <w:r w:rsidRPr="00EF6F81">
        <w:rPr>
          <w:rFonts w:eastAsia="Calibri"/>
          <w:b w:val="0"/>
          <w:szCs w:val="22"/>
          <w:lang w:val="hy-AM" w:eastAsia="en-US"/>
        </w:rPr>
        <w:softHyphen/>
        <w:t>քե</w:t>
      </w:r>
      <w:r w:rsidRPr="00EF6F81">
        <w:rPr>
          <w:rFonts w:eastAsia="Calibri"/>
          <w:b w:val="0"/>
          <w:szCs w:val="22"/>
          <w:lang w:val="hy-AM" w:eastAsia="en-US"/>
        </w:rPr>
        <w:softHyphen/>
        <w:t>րի կանխա</w:t>
      </w:r>
      <w:r w:rsidRPr="00EF6F81">
        <w:rPr>
          <w:rFonts w:eastAsia="Calibri"/>
          <w:b w:val="0"/>
          <w:szCs w:val="22"/>
          <w:lang w:val="hy-AM" w:eastAsia="en-US"/>
        </w:rPr>
        <w:softHyphen/>
        <w:t>տեսում</w:t>
      </w:r>
      <w:r w:rsidRPr="00EF6F81">
        <w:rPr>
          <w:rFonts w:eastAsia="Calibri"/>
          <w:b w:val="0"/>
          <w:szCs w:val="22"/>
          <w:lang w:val="hy-AM" w:eastAsia="en-US"/>
        </w:rPr>
        <w:softHyphen/>
        <w:t>նե</w:t>
      </w:r>
      <w:r w:rsidRPr="00EF6F81">
        <w:rPr>
          <w:rFonts w:eastAsia="Calibri"/>
          <w:b w:val="0"/>
          <w:szCs w:val="22"/>
          <w:lang w:val="hy-AM" w:eastAsia="en-US"/>
        </w:rPr>
        <w:softHyphen/>
        <w:t>րը, հաշ</w:t>
      </w:r>
      <w:r w:rsidRPr="00EF6F81">
        <w:rPr>
          <w:rFonts w:eastAsia="Calibri"/>
          <w:b w:val="0"/>
          <w:szCs w:val="22"/>
          <w:lang w:val="hy-AM" w:eastAsia="en-US"/>
        </w:rPr>
        <w:softHyphen/>
        <w:t>վարկման մեթոդների համառոտ նկարագրու</w:t>
      </w:r>
      <w:r w:rsidRPr="00EF6F81">
        <w:rPr>
          <w:rFonts w:eastAsia="Calibri"/>
          <w:b w:val="0"/>
          <w:szCs w:val="22"/>
          <w:lang w:val="hy-AM" w:eastAsia="en-US"/>
        </w:rPr>
        <w:softHyphen/>
        <w:t>թյունը, ծրա</w:t>
      </w:r>
      <w:r w:rsidRPr="00EF6F81">
        <w:rPr>
          <w:rFonts w:eastAsia="Calibri"/>
          <w:b w:val="0"/>
          <w:szCs w:val="22"/>
          <w:lang w:val="hy-AM" w:eastAsia="en-US"/>
        </w:rPr>
        <w:softHyphen/>
        <w:t>գրա</w:t>
      </w:r>
      <w:r w:rsidRPr="00EF6F81">
        <w:rPr>
          <w:rFonts w:eastAsia="Calibri"/>
          <w:b w:val="0"/>
          <w:szCs w:val="22"/>
          <w:lang w:val="hy-AM" w:eastAsia="en-US"/>
        </w:rPr>
        <w:softHyphen/>
      </w:r>
      <w:r w:rsidRPr="00EF6F81">
        <w:rPr>
          <w:rFonts w:eastAsia="Calibri"/>
          <w:b w:val="0"/>
          <w:szCs w:val="22"/>
          <w:lang w:val="hy-AM" w:eastAsia="en-US"/>
        </w:rPr>
        <w:softHyphen/>
        <w:t>յին և փաս</w:t>
      </w:r>
      <w:r w:rsidRPr="00EF6F81">
        <w:rPr>
          <w:rFonts w:eastAsia="Calibri"/>
          <w:b w:val="0"/>
          <w:szCs w:val="22"/>
          <w:lang w:val="hy-AM" w:eastAsia="en-US"/>
        </w:rPr>
        <w:softHyphen/>
        <w:t>տա</w:t>
      </w:r>
      <w:r w:rsidRPr="00EF6F81">
        <w:rPr>
          <w:rFonts w:eastAsia="Calibri"/>
          <w:b w:val="0"/>
          <w:szCs w:val="22"/>
          <w:lang w:val="hy-AM" w:eastAsia="en-US"/>
        </w:rPr>
        <w:softHyphen/>
        <w:t>ցի ցուցա</w:t>
      </w:r>
      <w:r w:rsidRPr="00EF6F81">
        <w:rPr>
          <w:rFonts w:eastAsia="Calibri"/>
          <w:b w:val="0"/>
          <w:szCs w:val="22"/>
          <w:lang w:val="hy-AM" w:eastAsia="en-US"/>
        </w:rPr>
        <w:softHyphen/>
        <w:t>նիշների համեմատականները ներկայացվում են ստորև:</w:t>
      </w:r>
    </w:p>
    <w:p w:rsidR="00A22793" w:rsidRPr="00EF6F81" w:rsidRDefault="00A22793" w:rsidP="007730AA">
      <w:pPr>
        <w:spacing w:before="0" w:line="276" w:lineRule="auto"/>
        <w:ind w:firstLine="538"/>
        <w:rPr>
          <w:rFonts w:eastAsia="Calibri" w:cs="GHEA Grapalat"/>
          <w:b w:val="0"/>
          <w:szCs w:val="22"/>
          <w:lang w:val="hy-AM" w:eastAsia="en-US"/>
        </w:rPr>
      </w:pPr>
      <w:r w:rsidRPr="00EF6F81">
        <w:rPr>
          <w:rFonts w:eastAsia="Calibri"/>
          <w:szCs w:val="22"/>
          <w:lang w:val="hy-AM" w:eastAsia="en-US"/>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տալու համար</w:t>
      </w:r>
      <w:r w:rsidRPr="00EF6F81">
        <w:rPr>
          <w:rFonts w:eastAsia="Calibri"/>
          <w:bCs/>
          <w:szCs w:val="22"/>
          <w:lang w:val="hy-AM" w:eastAsia="en-US"/>
        </w:rPr>
        <w:t xml:space="preserve"> </w:t>
      </w:r>
      <w:r w:rsidRPr="00EF6F81">
        <w:rPr>
          <w:rFonts w:eastAsia="Calibri"/>
          <w:b w:val="0"/>
          <w:szCs w:val="22"/>
          <w:lang w:val="hy-AM" w:eastAsia="en-US"/>
        </w:rPr>
        <w:t xml:space="preserve">գանձվող պետական տուրքերի գծով 2021 թվականի մուտքերը գնահատվել են </w:t>
      </w:r>
      <w:r w:rsidRPr="00EF6F81">
        <w:rPr>
          <w:rFonts w:eastAsia="Calibri" w:cs="GHEA Grapalat"/>
          <w:b w:val="0"/>
          <w:szCs w:val="22"/>
          <w:lang w:val="hy-AM" w:eastAsia="en-US"/>
        </w:rPr>
        <w:t>2,098.7 մլն</w:t>
      </w:r>
      <w:r w:rsidRPr="00EF6F81">
        <w:rPr>
          <w:rFonts w:eastAsia="Calibri"/>
          <w:b w:val="0"/>
          <w:szCs w:val="22"/>
          <w:lang w:val="hy-AM" w:eastAsia="en-US"/>
        </w:rPr>
        <w:t xml:space="preserve"> դրամի չափով` 2020 թվա</w:t>
      </w:r>
      <w:r w:rsidRPr="00EF6F81">
        <w:rPr>
          <w:rFonts w:eastAsia="Calibri"/>
          <w:b w:val="0"/>
          <w:szCs w:val="22"/>
          <w:lang w:val="hy-AM" w:eastAsia="en-US"/>
        </w:rPr>
        <w:softHyphen/>
        <w:t>կանի համար հաս</w:t>
      </w:r>
      <w:r w:rsidRPr="00EF6F81">
        <w:rPr>
          <w:rFonts w:eastAsia="Calibri"/>
          <w:b w:val="0"/>
          <w:szCs w:val="22"/>
          <w:lang w:val="hy-AM" w:eastAsia="en-US"/>
        </w:rPr>
        <w:softHyphen/>
        <w:t>տատ</w:t>
      </w:r>
      <w:r w:rsidRPr="00EF6F81">
        <w:rPr>
          <w:rFonts w:eastAsia="Calibri"/>
          <w:b w:val="0"/>
          <w:szCs w:val="22"/>
          <w:lang w:val="hy-AM" w:eastAsia="en-US"/>
        </w:rPr>
        <w:softHyphen/>
        <w:t>ված 1,907.5 մլն դրամ և 2019 թվականի փաս</w:t>
      </w:r>
      <w:r w:rsidRPr="00EF6F81">
        <w:rPr>
          <w:rFonts w:eastAsia="Calibri"/>
          <w:b w:val="0"/>
          <w:szCs w:val="22"/>
          <w:lang w:val="hy-AM" w:eastAsia="en-US"/>
        </w:rPr>
        <w:softHyphen/>
        <w:t>տա</w:t>
      </w:r>
      <w:r w:rsidRPr="00EF6F81">
        <w:rPr>
          <w:rFonts w:eastAsia="Calibri"/>
          <w:b w:val="0"/>
          <w:szCs w:val="22"/>
          <w:lang w:val="hy-AM" w:eastAsia="en-US"/>
        </w:rPr>
        <w:softHyphen/>
        <w:t xml:space="preserve">ցի ստացված 2,177.2 մլն դրամ ցուցանիշների դիմաց: </w:t>
      </w:r>
      <w:r w:rsidRPr="00EF6F81">
        <w:rPr>
          <w:rFonts w:eastAsia="Calibri" w:cs="GHEA Grapalat"/>
          <w:b w:val="0"/>
          <w:szCs w:val="22"/>
          <w:lang w:val="hy-AM" w:eastAsia="en-US"/>
        </w:rPr>
        <w:t xml:space="preserve">Պետական տուրքի այս տեսակի գծով 2021 թվականի ցուցանիշը ծրագրվել է 2020 թվականի սպասողական ցուցանիշի չափով՝ որպես 2020 թվականի առաջին 7 ամիսների և 2019 թվականի վերջին 5 ամիսների փաստացի մուտքերի հանրագումար: </w:t>
      </w:r>
    </w:p>
    <w:p w:rsidR="00A22793" w:rsidRPr="00EF6F81" w:rsidRDefault="00A22793" w:rsidP="007730AA">
      <w:pPr>
        <w:spacing w:before="0" w:line="276" w:lineRule="auto"/>
        <w:ind w:firstLine="538"/>
        <w:rPr>
          <w:rFonts w:eastAsia="Calibri" w:cs="GHEA Grapalat"/>
          <w:b w:val="0"/>
          <w:szCs w:val="22"/>
          <w:lang w:val="hy-AM" w:eastAsia="en-US"/>
        </w:rPr>
      </w:pPr>
      <w:r w:rsidRPr="00EF6F81">
        <w:rPr>
          <w:rFonts w:eastAsia="Calibri"/>
          <w:szCs w:val="22"/>
          <w:lang w:val="hy-AM" w:eastAsia="en-US"/>
        </w:rPr>
        <w:t>Հայաստանի Հանրապետության քաղաքացիություն ստանալու և Հայաստանի Հան</w:t>
      </w:r>
      <w:r w:rsidRPr="00EF6F81">
        <w:rPr>
          <w:rFonts w:eastAsia="Calibri"/>
          <w:szCs w:val="22"/>
          <w:lang w:val="hy-AM" w:eastAsia="en-US"/>
        </w:rPr>
        <w:softHyphen/>
        <w:t>րա</w:t>
      </w:r>
      <w:r w:rsidRPr="00EF6F81">
        <w:rPr>
          <w:rFonts w:eastAsia="Calibri"/>
          <w:szCs w:val="22"/>
          <w:lang w:val="hy-AM" w:eastAsia="en-US"/>
        </w:rPr>
        <w:softHyphen/>
        <w:t>պե</w:t>
      </w:r>
      <w:r w:rsidRPr="00EF6F81">
        <w:rPr>
          <w:rFonts w:eastAsia="Calibri"/>
          <w:szCs w:val="22"/>
          <w:lang w:val="hy-AM" w:eastAsia="en-US"/>
        </w:rPr>
        <w:softHyphen/>
      </w:r>
      <w:r w:rsidRPr="00EF6F81">
        <w:rPr>
          <w:rFonts w:eastAsia="Calibri"/>
          <w:szCs w:val="22"/>
          <w:lang w:val="hy-AM" w:eastAsia="en-US"/>
        </w:rPr>
        <w:softHyphen/>
      </w:r>
      <w:r w:rsidRPr="00EF6F81">
        <w:rPr>
          <w:rFonts w:eastAsia="Calibri"/>
          <w:szCs w:val="22"/>
          <w:lang w:val="hy-AM" w:eastAsia="en-US"/>
        </w:rPr>
        <w:softHyphen/>
        <w:t>տու</w:t>
      </w:r>
      <w:r w:rsidRPr="00EF6F81">
        <w:rPr>
          <w:rFonts w:eastAsia="Calibri"/>
          <w:szCs w:val="22"/>
          <w:lang w:val="hy-AM" w:eastAsia="en-US"/>
        </w:rPr>
        <w:softHyphen/>
        <w:t>թյան քա</w:t>
      </w:r>
      <w:r w:rsidRPr="00EF6F81">
        <w:rPr>
          <w:rFonts w:eastAsia="Calibri"/>
          <w:szCs w:val="22"/>
          <w:lang w:val="hy-AM" w:eastAsia="en-US"/>
        </w:rPr>
        <w:softHyphen/>
        <w:t>ղաքացիությունը փոփոխելու համար</w:t>
      </w:r>
      <w:r w:rsidRPr="00EF6F81">
        <w:rPr>
          <w:rFonts w:eastAsia="Calibri"/>
          <w:b w:val="0"/>
          <w:szCs w:val="22"/>
          <w:lang w:val="hy-AM" w:eastAsia="en-US"/>
        </w:rPr>
        <w:t xml:space="preserve"> գանձվող պետական տուրքի գծով 2021 թվա</w:t>
      </w:r>
      <w:r w:rsidRPr="00EF6F81">
        <w:rPr>
          <w:rFonts w:eastAsia="Calibri"/>
          <w:b w:val="0"/>
          <w:szCs w:val="22"/>
          <w:lang w:val="hy-AM" w:eastAsia="en-US"/>
        </w:rPr>
        <w:softHyphen/>
        <w:t>կանի մուտ</w:t>
      </w:r>
      <w:r w:rsidRPr="00EF6F81">
        <w:rPr>
          <w:rFonts w:eastAsia="Calibri"/>
          <w:b w:val="0"/>
          <w:szCs w:val="22"/>
          <w:lang w:val="hy-AM" w:eastAsia="en-US"/>
        </w:rPr>
        <w:softHyphen/>
      </w:r>
      <w:r w:rsidRPr="00EF6F81">
        <w:rPr>
          <w:rFonts w:eastAsia="Calibri"/>
          <w:b w:val="0"/>
          <w:szCs w:val="22"/>
          <w:lang w:val="hy-AM" w:eastAsia="en-US"/>
        </w:rPr>
        <w:softHyphen/>
        <w:t>քերը կան</w:t>
      </w:r>
      <w:r w:rsidRPr="00EF6F81">
        <w:rPr>
          <w:rFonts w:eastAsia="Calibri"/>
          <w:b w:val="0"/>
          <w:szCs w:val="22"/>
          <w:lang w:val="hy-AM" w:eastAsia="en-US"/>
        </w:rPr>
        <w:softHyphen/>
        <w:t>խա</w:t>
      </w:r>
      <w:r w:rsidRPr="00EF6F81">
        <w:rPr>
          <w:rFonts w:eastAsia="Calibri"/>
          <w:b w:val="0"/>
          <w:szCs w:val="22"/>
          <w:lang w:val="hy-AM" w:eastAsia="en-US"/>
        </w:rPr>
        <w:softHyphen/>
        <w:t>տես</w:t>
      </w:r>
      <w:r w:rsidRPr="00EF6F81">
        <w:rPr>
          <w:rFonts w:eastAsia="Calibri"/>
          <w:b w:val="0"/>
          <w:szCs w:val="22"/>
          <w:lang w:val="hy-AM" w:eastAsia="en-US"/>
        </w:rPr>
        <w:softHyphen/>
        <w:t>վել են 141.0 մլն դրամի չա</w:t>
      </w:r>
      <w:r w:rsidRPr="00EF6F81">
        <w:rPr>
          <w:rFonts w:eastAsia="Calibri"/>
          <w:b w:val="0"/>
          <w:szCs w:val="22"/>
          <w:lang w:val="hy-AM" w:eastAsia="en-US"/>
        </w:rPr>
        <w:softHyphen/>
        <w:t>փով` 2020 թվականի համար հաստատ</w:t>
      </w:r>
      <w:r w:rsidRPr="00EF6F81">
        <w:rPr>
          <w:rFonts w:eastAsia="Calibri"/>
          <w:b w:val="0"/>
          <w:szCs w:val="22"/>
          <w:lang w:val="hy-AM" w:eastAsia="en-US"/>
        </w:rPr>
        <w:softHyphen/>
        <w:t>ված 140.9 մլն դրա</w:t>
      </w:r>
      <w:r w:rsidRPr="00EF6F81">
        <w:rPr>
          <w:rFonts w:eastAsia="Calibri"/>
          <w:b w:val="0"/>
          <w:szCs w:val="22"/>
          <w:lang w:val="hy-AM" w:eastAsia="en-US"/>
        </w:rPr>
        <w:softHyphen/>
      </w:r>
      <w:r w:rsidRPr="00EF6F81">
        <w:rPr>
          <w:rFonts w:eastAsia="Calibri"/>
          <w:b w:val="0"/>
          <w:szCs w:val="22"/>
          <w:lang w:val="hy-AM" w:eastAsia="en-US"/>
        </w:rPr>
        <w:softHyphen/>
        <w:t xml:space="preserve">մի և 2019 թվականին փաստացի ստացված 138.1 մլն դրամի դիմաց: </w:t>
      </w:r>
      <w:r w:rsidRPr="00EF6F81">
        <w:rPr>
          <w:rFonts w:eastAsia="Calibri" w:cs="GHEA Grapalat"/>
          <w:b w:val="0"/>
          <w:szCs w:val="22"/>
          <w:lang w:val="hy-AM" w:eastAsia="en-US"/>
        </w:rPr>
        <w:t xml:space="preserve">Պետական տուրքի այս տեսակի գծով 2021 թվականի ցուցանիշը ծրագրվել է հաշվի առնելով փորձագիտական գնահատականը: </w:t>
      </w:r>
    </w:p>
    <w:p w:rsidR="00A22793" w:rsidRPr="00EF6F81" w:rsidRDefault="00A22793" w:rsidP="007730AA">
      <w:pPr>
        <w:spacing w:before="0" w:line="276" w:lineRule="auto"/>
        <w:ind w:firstLine="538"/>
        <w:rPr>
          <w:rFonts w:eastAsia="Calibri" w:cs="GHEA Grapalat"/>
          <w:b w:val="0"/>
          <w:color w:val="FF0000"/>
          <w:szCs w:val="22"/>
          <w:lang w:val="hy-AM" w:eastAsia="en-US"/>
        </w:rPr>
      </w:pPr>
      <w:r w:rsidRPr="00EF6F81">
        <w:rPr>
          <w:rFonts w:eastAsia="Calibri"/>
          <w:szCs w:val="22"/>
          <w:lang w:val="hy-AM" w:eastAsia="en-US"/>
        </w:rPr>
        <w:t xml:space="preserve">Հյուպատոսական ծառայությունների կամ գործողությունների </w:t>
      </w:r>
      <w:r w:rsidRPr="00EF6F81">
        <w:rPr>
          <w:rFonts w:eastAsia="Calibri"/>
          <w:b w:val="0"/>
          <w:szCs w:val="22"/>
          <w:lang w:val="hy-AM" w:eastAsia="en-US"/>
        </w:rPr>
        <w:t>համար գանձվող պետա</w:t>
      </w:r>
      <w:r w:rsidRPr="00EF6F81">
        <w:rPr>
          <w:rFonts w:eastAsia="Calibri"/>
          <w:b w:val="0"/>
          <w:szCs w:val="22"/>
          <w:lang w:val="hy-AM" w:eastAsia="en-US"/>
        </w:rPr>
        <w:softHyphen/>
        <w:t>կան տուր</w:t>
      </w:r>
      <w:r w:rsidRPr="00EF6F81">
        <w:rPr>
          <w:rFonts w:eastAsia="Calibri"/>
          <w:b w:val="0"/>
          <w:szCs w:val="22"/>
          <w:lang w:val="hy-AM" w:eastAsia="en-US"/>
        </w:rPr>
        <w:softHyphen/>
        <w:t>քե</w:t>
      </w:r>
      <w:r w:rsidRPr="00EF6F81">
        <w:rPr>
          <w:rFonts w:eastAsia="Calibri"/>
          <w:b w:val="0"/>
          <w:szCs w:val="22"/>
          <w:lang w:val="hy-AM" w:eastAsia="en-US"/>
        </w:rPr>
        <w:softHyphen/>
        <w:t>րի գծով 2021 թվականի մուտքերը կանխատեսվել են 1,775.2</w:t>
      </w:r>
      <w:r w:rsidRPr="00EF6F81">
        <w:rPr>
          <w:rFonts w:eastAsia="Calibri"/>
          <w:b w:val="0"/>
          <w:color w:val="FF0000"/>
          <w:szCs w:val="22"/>
          <w:lang w:val="hy-AM" w:eastAsia="en-US"/>
        </w:rPr>
        <w:t xml:space="preserve"> </w:t>
      </w:r>
      <w:r w:rsidRPr="00EF6F81">
        <w:rPr>
          <w:rFonts w:eastAsia="Calibri"/>
          <w:b w:val="0"/>
          <w:szCs w:val="22"/>
          <w:lang w:val="hy-AM" w:eastAsia="en-US"/>
        </w:rPr>
        <w:t>մլն դրամի չափով` 2020 թվա</w:t>
      </w:r>
      <w:r w:rsidRPr="00EF6F81">
        <w:rPr>
          <w:rFonts w:eastAsia="Calibri"/>
          <w:b w:val="0"/>
          <w:szCs w:val="22"/>
          <w:lang w:val="hy-AM" w:eastAsia="en-US"/>
        </w:rPr>
        <w:softHyphen/>
        <w:t xml:space="preserve">կանի համար հաստատված 2,447.0 մլն դրամի և 2019 թվականին փաստացի ստացված 2,165.1 մլն դրամի դիմաց: </w:t>
      </w:r>
      <w:r w:rsidRPr="00EF6F81">
        <w:rPr>
          <w:rFonts w:eastAsia="Calibri" w:cs="GHEA Grapalat"/>
          <w:b w:val="0"/>
          <w:szCs w:val="22"/>
          <w:lang w:val="hy-AM" w:eastAsia="en-US"/>
        </w:rPr>
        <w:t>Պետական տուրքի այս տեսակի գծով 2021 թվականի ցուցանիշը ծրագրվել է 2020 թվականի սպասողական մուտքերի չափով՝ որպես 2020 թվականի առաջին 7 ամիսների և 2019 թվականի վերջին 5 ամիսների փաստացի մուտքերի հանրագումար:  Նշված պետական տուրքերի գծով մուտքերի նվազման միտումը պայմանավորված է վիզային ռեժիմների դյուրացման կամ վերացման գործընթացների շարունակականությամբ, ինչպես նաև ՀՀ մուտքի վիզաների քանակի շեշտակի կրճատ</w:t>
      </w:r>
      <w:r w:rsidRPr="00EF6F81">
        <w:rPr>
          <w:rFonts w:eastAsia="Calibri" w:cs="GHEA Grapalat"/>
          <w:b w:val="0"/>
          <w:szCs w:val="22"/>
          <w:lang w:val="hy-AM" w:eastAsia="en-US"/>
        </w:rPr>
        <w:softHyphen/>
        <w:t>մամբ՝ կապված կորոնավիրուսային հիվանդության համաճարակի հետ:</w:t>
      </w:r>
    </w:p>
    <w:p w:rsidR="00A22793" w:rsidRPr="00EF6F81" w:rsidRDefault="00A22793" w:rsidP="007730AA">
      <w:pPr>
        <w:tabs>
          <w:tab w:val="left" w:pos="0"/>
        </w:tabs>
        <w:spacing w:before="0" w:line="276" w:lineRule="auto"/>
        <w:contextualSpacing w:val="0"/>
        <w:rPr>
          <w:rFonts w:eastAsia="Calibri" w:cs="GHEA Grapalat"/>
          <w:b w:val="0"/>
          <w:szCs w:val="22"/>
          <w:lang w:val="hy-AM" w:eastAsia="en-US"/>
        </w:rPr>
      </w:pPr>
      <w:r w:rsidRPr="00EF6F81">
        <w:rPr>
          <w:rFonts w:eastAsia="Calibri" w:cs="GHEA Grapalat"/>
          <w:szCs w:val="22"/>
          <w:lang w:val="hy-AM" w:eastAsia="en-US"/>
        </w:rPr>
        <w:t xml:space="preserve"> Պետական գրանցման համար</w:t>
      </w:r>
      <w:r w:rsidRPr="00EF6F81">
        <w:rPr>
          <w:rFonts w:eastAsia="Calibri" w:cs="GHEA Grapalat"/>
          <w:b w:val="0"/>
          <w:szCs w:val="22"/>
          <w:lang w:val="hy-AM" w:eastAsia="en-US"/>
        </w:rPr>
        <w:t xml:space="preserve"> գանձվող պետական տուրքերի գծով 2021 թվա</w:t>
      </w:r>
      <w:r w:rsidRPr="00EF6F81">
        <w:rPr>
          <w:rFonts w:eastAsia="Calibri" w:cs="GHEA Grapalat"/>
          <w:b w:val="0"/>
          <w:szCs w:val="22"/>
          <w:lang w:val="hy-AM" w:eastAsia="en-US"/>
        </w:rPr>
        <w:softHyphen/>
        <w:t>կա</w:t>
      </w:r>
      <w:r w:rsidRPr="00EF6F81">
        <w:rPr>
          <w:rFonts w:eastAsia="Calibri" w:cs="GHEA Grapalat"/>
          <w:b w:val="0"/>
          <w:szCs w:val="22"/>
          <w:lang w:val="hy-AM" w:eastAsia="en-US"/>
        </w:rPr>
        <w:softHyphen/>
        <w:t>նի մուտ</w:t>
      </w:r>
      <w:r w:rsidRPr="00EF6F81">
        <w:rPr>
          <w:rFonts w:eastAsia="Calibri" w:cs="GHEA Grapalat"/>
          <w:b w:val="0"/>
          <w:szCs w:val="22"/>
          <w:lang w:val="hy-AM" w:eastAsia="en-US"/>
        </w:rPr>
        <w:softHyphen/>
      </w:r>
      <w:r w:rsidRPr="00EF6F81">
        <w:rPr>
          <w:rFonts w:eastAsia="Calibri" w:cs="GHEA Grapalat"/>
          <w:b w:val="0"/>
          <w:szCs w:val="22"/>
          <w:lang w:val="hy-AM" w:eastAsia="en-US"/>
        </w:rPr>
        <w:softHyphen/>
        <w:t>քերը կանխատեսվել են 6,176.3 մլն դրամի չափով` 2020 թվա</w:t>
      </w:r>
      <w:r w:rsidRPr="00EF6F81">
        <w:rPr>
          <w:rFonts w:eastAsia="Calibri" w:cs="GHEA Grapalat"/>
          <w:b w:val="0"/>
          <w:szCs w:val="22"/>
          <w:lang w:val="hy-AM" w:eastAsia="en-US"/>
        </w:rPr>
        <w:softHyphen/>
        <w:t>կանի համար հաստատ</w:t>
      </w:r>
      <w:r w:rsidRPr="00EF6F81">
        <w:rPr>
          <w:rFonts w:eastAsia="Calibri" w:cs="GHEA Grapalat"/>
          <w:b w:val="0"/>
          <w:szCs w:val="22"/>
          <w:lang w:val="hy-AM" w:eastAsia="en-US"/>
        </w:rPr>
        <w:softHyphen/>
        <w:t>ված 6,765.8 մլն դրամի և 2019 թվականին փաս</w:t>
      </w:r>
      <w:r w:rsidRPr="00EF6F81">
        <w:rPr>
          <w:rFonts w:eastAsia="Calibri" w:cs="GHEA Grapalat"/>
          <w:b w:val="0"/>
          <w:szCs w:val="22"/>
          <w:lang w:val="hy-AM" w:eastAsia="en-US"/>
        </w:rPr>
        <w:softHyphen/>
        <w:t xml:space="preserve">տացի ստացված 7,895.3 մլն դրամի դիմաց: </w:t>
      </w:r>
    </w:p>
    <w:p w:rsidR="00A22793" w:rsidRPr="00EF6F81" w:rsidRDefault="00A22793" w:rsidP="007730AA">
      <w:pPr>
        <w:tabs>
          <w:tab w:val="left" w:pos="0"/>
          <w:tab w:val="left" w:pos="1080"/>
        </w:tabs>
        <w:spacing w:before="0" w:line="276" w:lineRule="auto"/>
        <w:contextualSpacing w:val="0"/>
        <w:rPr>
          <w:rFonts w:eastAsia="Calibri" w:cs="GHEA Grapalat"/>
          <w:b w:val="0"/>
          <w:szCs w:val="22"/>
          <w:lang w:val="hy-AM" w:eastAsia="en-US"/>
        </w:rPr>
      </w:pPr>
      <w:r w:rsidRPr="00EF6F81">
        <w:rPr>
          <w:rFonts w:eastAsia="Calibri" w:cs="GHEA Grapalat"/>
          <w:b w:val="0"/>
          <w:szCs w:val="22"/>
          <w:lang w:val="hy-AM" w:eastAsia="en-US"/>
        </w:rPr>
        <w:t>Պետական գրանցման համար գանձվող պետական տուրքերի գերակշռող մասը՝ 94.7 %-ը կամ 5,848.9 մլն դրամը 2021 թվականին ապահովվելու է պետական տուրքի հետև</w:t>
      </w:r>
      <w:r w:rsidRPr="00EF6F81">
        <w:rPr>
          <w:rFonts w:eastAsia="Calibri" w:cs="GHEA Grapalat"/>
          <w:b w:val="0"/>
          <w:szCs w:val="22"/>
          <w:lang w:val="hy-AM" w:eastAsia="en-US"/>
        </w:rPr>
        <w:softHyphen/>
        <w:t xml:space="preserve">յալ 4 խմբերի հաշվին՝ </w:t>
      </w:r>
    </w:p>
    <w:p w:rsidR="00A22793" w:rsidRPr="00EF6F81" w:rsidRDefault="00A22793" w:rsidP="007730AA">
      <w:pPr>
        <w:widowControl w:val="0"/>
        <w:numPr>
          <w:ilvl w:val="0"/>
          <w:numId w:val="54"/>
        </w:numPr>
        <w:spacing w:before="0" w:line="276" w:lineRule="auto"/>
        <w:ind w:left="0"/>
        <w:rPr>
          <w:rFonts w:eastAsia="Calibri" w:cs="Sylfaen"/>
          <w:b w:val="0"/>
          <w:szCs w:val="22"/>
          <w:lang w:val="af-ZA"/>
        </w:rPr>
      </w:pPr>
      <w:r w:rsidRPr="00EF6F81">
        <w:rPr>
          <w:rFonts w:eastAsia="Calibri" w:cs="Sylfaen"/>
          <w:b w:val="0"/>
          <w:szCs w:val="22"/>
          <w:lang w:val="af-ZA"/>
        </w:rPr>
        <w:t>ավտոմեքենայի պետական համարանիշ տալու, գյու</w:t>
      </w:r>
      <w:r w:rsidRPr="00EF6F81">
        <w:rPr>
          <w:rFonts w:eastAsia="Calibri" w:cs="Sylfaen"/>
          <w:b w:val="0"/>
          <w:szCs w:val="22"/>
          <w:lang w:val="af-ZA"/>
        </w:rPr>
        <w:softHyphen/>
      </w:r>
      <w:r w:rsidRPr="00EF6F81">
        <w:rPr>
          <w:rFonts w:eastAsia="Calibri" w:cs="Sylfaen"/>
          <w:b w:val="0"/>
          <w:szCs w:val="22"/>
          <w:lang w:val="af-ZA"/>
        </w:rPr>
        <w:softHyphen/>
      </w:r>
      <w:r w:rsidRPr="00EF6F81">
        <w:rPr>
          <w:rFonts w:eastAsia="Calibri" w:cs="Sylfaen"/>
          <w:b w:val="0"/>
          <w:szCs w:val="22"/>
          <w:lang w:val="af-ZA"/>
        </w:rPr>
        <w:softHyphen/>
        <w:t>ղա</w:t>
      </w:r>
      <w:r w:rsidRPr="00EF6F81">
        <w:rPr>
          <w:rFonts w:eastAsia="Calibri" w:cs="Sylfaen"/>
          <w:b w:val="0"/>
          <w:szCs w:val="22"/>
          <w:lang w:val="af-ZA"/>
        </w:rPr>
        <w:softHyphen/>
        <w:t>տն</w:t>
      </w:r>
      <w:r w:rsidRPr="00EF6F81">
        <w:rPr>
          <w:rFonts w:eastAsia="Calibri" w:cs="Sylfaen"/>
          <w:b w:val="0"/>
          <w:szCs w:val="22"/>
          <w:lang w:val="af-ZA"/>
        </w:rPr>
        <w:softHyphen/>
        <w:t>տե</w:t>
      </w:r>
      <w:r w:rsidRPr="00EF6F81">
        <w:rPr>
          <w:rFonts w:eastAsia="Calibri" w:cs="Sylfaen"/>
          <w:b w:val="0"/>
          <w:szCs w:val="22"/>
          <w:lang w:val="af-ZA"/>
        </w:rPr>
        <w:softHyphen/>
      </w:r>
      <w:r w:rsidRPr="00EF6F81">
        <w:rPr>
          <w:rFonts w:eastAsia="Calibri" w:cs="Sylfaen"/>
          <w:b w:val="0"/>
          <w:szCs w:val="22"/>
          <w:lang w:val="af-ZA"/>
        </w:rPr>
        <w:softHyphen/>
        <w:t>սական ինքնագնաց մեքե</w:t>
      </w:r>
      <w:r w:rsidRPr="00EF6F81">
        <w:rPr>
          <w:rFonts w:eastAsia="Calibri" w:cs="Sylfaen"/>
          <w:b w:val="0"/>
          <w:szCs w:val="22"/>
          <w:lang w:val="af-ZA"/>
        </w:rPr>
        <w:softHyphen/>
        <w:t>նա</w:t>
      </w:r>
      <w:r w:rsidRPr="00EF6F81">
        <w:rPr>
          <w:rFonts w:eastAsia="Calibri" w:cs="Sylfaen"/>
          <w:b w:val="0"/>
          <w:szCs w:val="22"/>
          <w:lang w:val="af-ZA"/>
        </w:rPr>
        <w:softHyphen/>
        <w:t>ների գրանցման, ինչպես նաև պետական համարանիշ տալու և կորցրածը վերականգնելու համար գանձվող պետական տուրքեր, որոնց գծով 2021 թվա</w:t>
      </w:r>
      <w:r w:rsidRPr="00EF6F81">
        <w:rPr>
          <w:rFonts w:eastAsia="Calibri" w:cs="Sylfaen"/>
          <w:b w:val="0"/>
          <w:szCs w:val="22"/>
          <w:lang w:val="af-ZA"/>
        </w:rPr>
        <w:softHyphen/>
        <w:t>կա</w:t>
      </w:r>
      <w:r w:rsidRPr="00EF6F81">
        <w:rPr>
          <w:rFonts w:eastAsia="Calibri" w:cs="Sylfaen"/>
          <w:b w:val="0"/>
          <w:szCs w:val="22"/>
          <w:lang w:val="af-ZA"/>
        </w:rPr>
        <w:softHyphen/>
        <w:t>նի մուտքերը ծրա</w:t>
      </w:r>
      <w:r w:rsidRPr="00EF6F81">
        <w:rPr>
          <w:rFonts w:eastAsia="Calibri" w:cs="Sylfaen"/>
          <w:b w:val="0"/>
          <w:szCs w:val="22"/>
          <w:lang w:val="af-ZA"/>
        </w:rPr>
        <w:softHyphen/>
        <w:t>գր</w:t>
      </w:r>
      <w:r w:rsidRPr="00EF6F81">
        <w:rPr>
          <w:rFonts w:eastAsia="Calibri" w:cs="Sylfaen"/>
          <w:b w:val="0"/>
          <w:szCs w:val="22"/>
          <w:lang w:val="af-ZA"/>
        </w:rPr>
        <w:softHyphen/>
        <w:t>վել են 2,401.5 մլն դրամի չափով (պետական գրանցումից 2021 թվա</w:t>
      </w:r>
      <w:r w:rsidRPr="00EF6F81">
        <w:rPr>
          <w:rFonts w:eastAsia="Calibri" w:cs="Sylfaen"/>
          <w:b w:val="0"/>
          <w:szCs w:val="22"/>
          <w:lang w:val="af-ZA"/>
        </w:rPr>
        <w:softHyphen/>
        <w:t>կա</w:t>
      </w:r>
      <w:r w:rsidRPr="00EF6F81">
        <w:rPr>
          <w:rFonts w:eastAsia="Calibri" w:cs="Sylfaen"/>
          <w:b w:val="0"/>
          <w:szCs w:val="22"/>
          <w:lang w:val="af-ZA"/>
        </w:rPr>
        <w:softHyphen/>
        <w:t>նի պե</w:t>
      </w:r>
      <w:r w:rsidRPr="00EF6F81">
        <w:rPr>
          <w:rFonts w:eastAsia="Calibri" w:cs="Sylfaen"/>
          <w:b w:val="0"/>
          <w:szCs w:val="22"/>
          <w:lang w:val="af-ZA"/>
        </w:rPr>
        <w:softHyphen/>
        <w:t>տական տուրքերի կան</w:t>
      </w:r>
      <w:r w:rsidRPr="00EF6F81">
        <w:rPr>
          <w:rFonts w:eastAsia="Calibri" w:cs="Sylfaen"/>
          <w:b w:val="0"/>
          <w:szCs w:val="22"/>
          <w:lang w:val="af-ZA"/>
        </w:rPr>
        <w:softHyphen/>
        <w:t>խա</w:t>
      </w:r>
      <w:r w:rsidRPr="00EF6F81">
        <w:rPr>
          <w:rFonts w:eastAsia="Calibri" w:cs="Sylfaen"/>
          <w:b w:val="0"/>
          <w:szCs w:val="22"/>
          <w:lang w:val="af-ZA"/>
        </w:rPr>
        <w:softHyphen/>
        <w:t>տես</w:t>
      </w:r>
      <w:r w:rsidRPr="00EF6F81">
        <w:rPr>
          <w:rFonts w:eastAsia="Calibri" w:cs="Sylfaen"/>
          <w:b w:val="0"/>
          <w:szCs w:val="22"/>
          <w:lang w:val="af-ZA"/>
        </w:rPr>
        <w:softHyphen/>
        <w:t>վող մուտքերի ամբողջ ծավալի 38.9%-ը)` 2020 թվա</w:t>
      </w:r>
      <w:r w:rsidRPr="00EF6F81">
        <w:rPr>
          <w:rFonts w:eastAsia="Calibri" w:cs="Sylfaen"/>
          <w:b w:val="0"/>
          <w:szCs w:val="22"/>
          <w:lang w:val="af-ZA"/>
        </w:rPr>
        <w:softHyphen/>
      </w:r>
      <w:r w:rsidRPr="00EF6F81">
        <w:rPr>
          <w:rFonts w:eastAsia="Calibri" w:cs="Sylfaen"/>
          <w:b w:val="0"/>
          <w:szCs w:val="22"/>
          <w:lang w:val="af-ZA"/>
        </w:rPr>
        <w:softHyphen/>
      </w:r>
      <w:r w:rsidRPr="00EF6F81">
        <w:rPr>
          <w:rFonts w:eastAsia="Calibri" w:cs="Sylfaen"/>
          <w:b w:val="0"/>
          <w:szCs w:val="22"/>
          <w:lang w:val="af-ZA"/>
        </w:rPr>
        <w:softHyphen/>
        <w:t>կանի հաս</w:t>
      </w:r>
      <w:r w:rsidRPr="00EF6F81">
        <w:rPr>
          <w:rFonts w:eastAsia="Calibri" w:cs="Sylfaen"/>
          <w:b w:val="0"/>
          <w:szCs w:val="22"/>
          <w:lang w:val="af-ZA"/>
        </w:rPr>
        <w:softHyphen/>
        <w:t>տատված 2,590.7 և 2019 թվա</w:t>
      </w:r>
      <w:r w:rsidRPr="00EF6F81">
        <w:rPr>
          <w:rFonts w:eastAsia="Calibri" w:cs="Sylfaen"/>
          <w:b w:val="0"/>
          <w:szCs w:val="22"/>
          <w:lang w:val="af-ZA"/>
        </w:rPr>
        <w:softHyphen/>
        <w:t>կանի փաստացի  ստացված  3,443.8 մլն դրամի դիմաց: Հարկ է նշել, որ պետական տուրքի նշված տեսակի մուտքերի 2019 թվականի փաստացի և  2020 թվականի հաստատված ցուցանիշները պետական համարանիշերի պահանջարկի ավելացման արդյունք են՝ պայմանավորված ավտոմեքենաների ներմուծման քանակների աննախադեպ աճով, ինչպես նաև օտարերկրյա քաղաքացիների կողմից ավտոմեքենաների ձեռք բերման գործարքների ավելացմամբ: Պետական տուրքի այս և հաջորդ տեսակի գծով մուտքերը կանխատեսվել են փորձագիտական գնահատականների չափով: ԸՆդ որում, ընթացիկ տարում թերակատարումը պայմանավորված է COVID-19-ի հետ կապված ՀՀ–ում հայտարարված արտակարգ դրության ընթացքում ՀՀ ոստի</w:t>
      </w:r>
      <w:r w:rsidRPr="00EF6F81">
        <w:rPr>
          <w:rFonts w:eastAsia="Calibri" w:cs="Sylfaen"/>
          <w:b w:val="0"/>
          <w:szCs w:val="22"/>
          <w:lang w:val="af-ZA"/>
        </w:rPr>
        <w:softHyphen/>
        <w:t>կա</w:t>
      </w:r>
      <w:r w:rsidRPr="00EF6F81">
        <w:rPr>
          <w:rFonts w:eastAsia="Calibri" w:cs="Sylfaen"/>
          <w:b w:val="0"/>
          <w:szCs w:val="22"/>
          <w:lang w:val="af-ZA"/>
        </w:rPr>
        <w:softHyphen/>
      </w:r>
      <w:r w:rsidRPr="00EF6F81">
        <w:rPr>
          <w:rFonts w:eastAsia="Calibri" w:cs="Sylfaen"/>
          <w:b w:val="0"/>
          <w:szCs w:val="22"/>
          <w:lang w:val="af-ZA"/>
        </w:rPr>
        <w:softHyphen/>
        <w:t>նության ՃՈ հաշվառման քննական ստորաբաժանումների սահմանա</w:t>
      </w:r>
      <w:r w:rsidRPr="00EF6F81">
        <w:rPr>
          <w:rFonts w:eastAsia="Calibri" w:cs="Sylfaen"/>
          <w:b w:val="0"/>
          <w:szCs w:val="22"/>
          <w:lang w:val="af-ZA"/>
        </w:rPr>
        <w:softHyphen/>
        <w:t xml:space="preserve">փակ աշխատանքային ռեժիմով: </w:t>
      </w:r>
    </w:p>
    <w:p w:rsidR="00A22793" w:rsidRPr="00EF6F81" w:rsidRDefault="00A22793" w:rsidP="007730AA">
      <w:pPr>
        <w:widowControl w:val="0"/>
        <w:numPr>
          <w:ilvl w:val="0"/>
          <w:numId w:val="54"/>
        </w:numPr>
        <w:spacing w:before="0" w:line="276" w:lineRule="auto"/>
        <w:ind w:left="0"/>
        <w:rPr>
          <w:rFonts w:eastAsia="Calibri" w:cs="Sylfaen"/>
          <w:b w:val="0"/>
          <w:szCs w:val="22"/>
          <w:lang w:val="af-ZA"/>
        </w:rPr>
      </w:pPr>
      <w:r w:rsidRPr="00EF6F81">
        <w:rPr>
          <w:rFonts w:eastAsia="Calibri" w:cs="Sylfaen"/>
          <w:b w:val="0"/>
          <w:szCs w:val="22"/>
          <w:lang w:val="af-ZA"/>
        </w:rPr>
        <w:t>ավտոմեքենայի (մոտոցիկլետի) տեխնիկական անձնագիր (գրանցման վկա</w:t>
      </w:r>
      <w:r w:rsidRPr="00EF6F81">
        <w:rPr>
          <w:rFonts w:eastAsia="Calibri" w:cs="Sylfaen"/>
          <w:b w:val="0"/>
          <w:szCs w:val="22"/>
          <w:lang w:val="af-ZA"/>
        </w:rPr>
        <w:softHyphen/>
        <w:t>յա</w:t>
      </w:r>
      <w:r w:rsidRPr="00EF6F81">
        <w:rPr>
          <w:rFonts w:eastAsia="Calibri" w:cs="Sylfaen"/>
          <w:b w:val="0"/>
          <w:szCs w:val="22"/>
          <w:lang w:val="af-ZA"/>
        </w:rPr>
        <w:softHyphen/>
        <w:t>կան) տա</w:t>
      </w:r>
      <w:r w:rsidRPr="00EF6F81">
        <w:rPr>
          <w:rFonts w:eastAsia="Calibri" w:cs="Sylfaen"/>
          <w:b w:val="0"/>
          <w:szCs w:val="22"/>
          <w:lang w:val="af-ZA"/>
        </w:rPr>
        <w:softHyphen/>
        <w:t>լու հա</w:t>
      </w:r>
      <w:r w:rsidRPr="00EF6F81">
        <w:rPr>
          <w:rFonts w:eastAsia="Calibri" w:cs="Sylfaen"/>
          <w:b w:val="0"/>
          <w:szCs w:val="22"/>
          <w:lang w:val="af-ZA"/>
        </w:rPr>
        <w:softHyphen/>
        <w:t>մար գանձ</w:t>
      </w:r>
      <w:r w:rsidRPr="00EF6F81">
        <w:rPr>
          <w:rFonts w:eastAsia="Calibri" w:cs="Sylfaen"/>
          <w:b w:val="0"/>
          <w:szCs w:val="22"/>
          <w:lang w:val="af-ZA"/>
        </w:rPr>
        <w:softHyphen/>
      </w:r>
      <w:r w:rsidRPr="00EF6F81">
        <w:rPr>
          <w:rFonts w:eastAsia="Calibri" w:cs="Sylfaen"/>
          <w:b w:val="0"/>
          <w:szCs w:val="22"/>
          <w:lang w:val="af-ZA"/>
        </w:rPr>
        <w:softHyphen/>
        <w:t>վող պե</w:t>
      </w:r>
      <w:r w:rsidRPr="00EF6F81">
        <w:rPr>
          <w:rFonts w:eastAsia="Calibri" w:cs="Sylfaen"/>
          <w:b w:val="0"/>
          <w:szCs w:val="22"/>
          <w:lang w:val="af-ZA"/>
        </w:rPr>
        <w:softHyphen/>
        <w:t>տական տուրքեր, որոնց գծով 2021 թվականի մուտքերը ծրագրվել են 1,200.0 մլն դրա</w:t>
      </w:r>
      <w:r w:rsidRPr="00EF6F81">
        <w:rPr>
          <w:rFonts w:eastAsia="Calibri" w:cs="Sylfaen"/>
          <w:b w:val="0"/>
          <w:szCs w:val="22"/>
          <w:lang w:val="af-ZA"/>
        </w:rPr>
        <w:softHyphen/>
      </w:r>
      <w:r w:rsidRPr="00EF6F81">
        <w:rPr>
          <w:rFonts w:eastAsia="Calibri" w:cs="Sylfaen"/>
          <w:b w:val="0"/>
          <w:szCs w:val="22"/>
          <w:lang w:val="af-ZA"/>
        </w:rPr>
        <w:softHyphen/>
        <w:t>մի չա</w:t>
      </w:r>
      <w:r w:rsidRPr="00EF6F81">
        <w:rPr>
          <w:rFonts w:eastAsia="Calibri" w:cs="Sylfaen"/>
          <w:b w:val="0"/>
          <w:szCs w:val="22"/>
          <w:lang w:val="af-ZA"/>
        </w:rPr>
        <w:softHyphen/>
        <w:t>փով (պե</w:t>
      </w:r>
      <w:r w:rsidRPr="00EF6F81">
        <w:rPr>
          <w:rFonts w:eastAsia="Calibri" w:cs="Sylfaen"/>
          <w:b w:val="0"/>
          <w:szCs w:val="22"/>
          <w:lang w:val="af-ZA"/>
        </w:rPr>
        <w:softHyphen/>
        <w:t>տական գրանցումից 2021 թվա</w:t>
      </w:r>
      <w:r w:rsidRPr="00EF6F81">
        <w:rPr>
          <w:rFonts w:eastAsia="Calibri" w:cs="Sylfaen"/>
          <w:b w:val="0"/>
          <w:szCs w:val="22"/>
          <w:lang w:val="af-ZA"/>
        </w:rPr>
        <w:softHyphen/>
        <w:t>կանի պետա</w:t>
      </w:r>
      <w:r w:rsidRPr="00EF6F81">
        <w:rPr>
          <w:rFonts w:eastAsia="Calibri" w:cs="Sylfaen"/>
          <w:b w:val="0"/>
          <w:szCs w:val="22"/>
          <w:lang w:val="af-ZA"/>
        </w:rPr>
        <w:softHyphen/>
        <w:t>կան տուրքերի կան</w:t>
      </w:r>
      <w:r w:rsidRPr="00EF6F81">
        <w:rPr>
          <w:rFonts w:eastAsia="Calibri" w:cs="Sylfaen"/>
          <w:b w:val="0"/>
          <w:szCs w:val="22"/>
          <w:lang w:val="af-ZA"/>
        </w:rPr>
        <w:softHyphen/>
        <w:t>խա</w:t>
      </w:r>
      <w:r w:rsidRPr="00EF6F81">
        <w:rPr>
          <w:rFonts w:eastAsia="Calibri" w:cs="Sylfaen"/>
          <w:b w:val="0"/>
          <w:szCs w:val="22"/>
          <w:lang w:val="af-ZA"/>
        </w:rPr>
        <w:softHyphen/>
        <w:t>տես</w:t>
      </w:r>
      <w:r w:rsidRPr="00EF6F81">
        <w:rPr>
          <w:rFonts w:eastAsia="Calibri" w:cs="Sylfaen"/>
          <w:b w:val="0"/>
          <w:szCs w:val="22"/>
          <w:lang w:val="af-ZA"/>
        </w:rPr>
        <w:softHyphen/>
        <w:t>վող մուտքերի ամ</w:t>
      </w:r>
      <w:r w:rsidRPr="00EF6F81">
        <w:rPr>
          <w:rFonts w:eastAsia="Calibri" w:cs="Sylfaen"/>
          <w:b w:val="0"/>
          <w:szCs w:val="22"/>
          <w:lang w:val="af-ZA"/>
        </w:rPr>
        <w:softHyphen/>
        <w:t>բողջ ծավալի 19.4%-ը)՝ 2020 թվա</w:t>
      </w:r>
      <w:r w:rsidRPr="00EF6F81">
        <w:rPr>
          <w:rFonts w:eastAsia="Calibri" w:cs="Sylfaen"/>
          <w:b w:val="0"/>
          <w:szCs w:val="22"/>
          <w:lang w:val="af-ZA"/>
        </w:rPr>
        <w:softHyphen/>
      </w:r>
      <w:r w:rsidRPr="00EF6F81">
        <w:rPr>
          <w:rFonts w:eastAsia="Calibri" w:cs="Sylfaen"/>
          <w:b w:val="0"/>
          <w:szCs w:val="22"/>
          <w:lang w:val="af-ZA"/>
        </w:rPr>
        <w:softHyphen/>
      </w:r>
      <w:r w:rsidRPr="00EF6F81">
        <w:rPr>
          <w:rFonts w:eastAsia="Calibri" w:cs="Sylfaen"/>
          <w:b w:val="0"/>
          <w:szCs w:val="22"/>
          <w:lang w:val="af-ZA"/>
        </w:rPr>
        <w:softHyphen/>
        <w:t xml:space="preserve">կանի հաստատված 1,367.6մլն և 2019 թվականի փաստացի ստացված 1,752.1մլն  դրամի դիմաց: </w:t>
      </w:r>
    </w:p>
    <w:p w:rsidR="00A22793" w:rsidRPr="00EF6F81" w:rsidRDefault="00A22793" w:rsidP="007730AA">
      <w:pPr>
        <w:widowControl w:val="0"/>
        <w:numPr>
          <w:ilvl w:val="0"/>
          <w:numId w:val="54"/>
        </w:numPr>
        <w:spacing w:before="0" w:line="276" w:lineRule="auto"/>
        <w:ind w:left="0"/>
        <w:rPr>
          <w:rFonts w:eastAsia="Calibri" w:cs="Sylfaen"/>
          <w:b w:val="0"/>
          <w:szCs w:val="22"/>
          <w:lang w:val="af-ZA"/>
        </w:rPr>
      </w:pPr>
      <w:r w:rsidRPr="00EF6F81">
        <w:rPr>
          <w:rFonts w:eastAsia="Calibri" w:cs="Sylfaen"/>
          <w:b w:val="0"/>
          <w:szCs w:val="22"/>
          <w:lang w:val="af-ZA"/>
        </w:rPr>
        <w:t>լիցենզառուներին տրանսպորտային միջոցների պարտադիր տեխնիկական զննության հա</w:t>
      </w:r>
      <w:r w:rsidRPr="00EF6F81">
        <w:rPr>
          <w:rFonts w:eastAsia="Calibri" w:cs="Sylfaen"/>
          <w:b w:val="0"/>
          <w:szCs w:val="22"/>
          <w:lang w:val="af-ZA"/>
        </w:rPr>
        <w:softHyphen/>
      </w:r>
      <w:r w:rsidRPr="00EF6F81">
        <w:rPr>
          <w:rFonts w:eastAsia="Calibri" w:cs="Sylfaen"/>
          <w:b w:val="0"/>
          <w:szCs w:val="22"/>
          <w:lang w:val="af-ZA"/>
        </w:rPr>
        <w:softHyphen/>
      </w:r>
      <w:r w:rsidRPr="00EF6F81">
        <w:rPr>
          <w:rFonts w:eastAsia="Calibri" w:cs="Sylfaen"/>
          <w:b w:val="0"/>
          <w:szCs w:val="22"/>
          <w:lang w:val="af-ZA"/>
        </w:rPr>
        <w:softHyphen/>
        <w:t>մա</w:t>
      </w:r>
      <w:r w:rsidRPr="00EF6F81">
        <w:rPr>
          <w:rFonts w:eastAsia="Calibri" w:cs="Sylfaen"/>
          <w:b w:val="0"/>
          <w:szCs w:val="22"/>
          <w:lang w:val="af-ZA"/>
        </w:rPr>
        <w:softHyphen/>
        <w:t>պա</w:t>
      </w:r>
      <w:r w:rsidRPr="00EF6F81">
        <w:rPr>
          <w:rFonts w:eastAsia="Calibri" w:cs="Sylfaen"/>
          <w:b w:val="0"/>
          <w:szCs w:val="22"/>
          <w:lang w:val="af-ZA"/>
        </w:rPr>
        <w:softHyphen/>
        <w:t>տաս</w:t>
      </w:r>
      <w:r w:rsidRPr="00EF6F81">
        <w:rPr>
          <w:rFonts w:eastAsia="Calibri" w:cs="Sylfaen"/>
          <w:b w:val="0"/>
          <w:szCs w:val="22"/>
          <w:lang w:val="af-ZA"/>
        </w:rPr>
        <w:softHyphen/>
      </w:r>
      <w:r w:rsidRPr="00EF6F81">
        <w:rPr>
          <w:rFonts w:eastAsia="Calibri" w:cs="Sylfaen"/>
          <w:b w:val="0"/>
          <w:szCs w:val="22"/>
          <w:lang w:val="af-ZA"/>
        </w:rPr>
        <w:softHyphen/>
        <w:t>խան նմուշի փաստաթուղթ տրամադրելու համար գանձվող պետա</w:t>
      </w:r>
      <w:r w:rsidRPr="00EF6F81">
        <w:rPr>
          <w:rFonts w:eastAsia="Calibri" w:cs="Sylfaen"/>
          <w:b w:val="0"/>
          <w:szCs w:val="22"/>
          <w:lang w:val="af-ZA"/>
        </w:rPr>
        <w:softHyphen/>
        <w:t>կան տուր</w:t>
      </w:r>
      <w:r w:rsidRPr="00EF6F81">
        <w:rPr>
          <w:rFonts w:eastAsia="Calibri" w:cs="Sylfaen"/>
          <w:b w:val="0"/>
          <w:szCs w:val="22"/>
          <w:lang w:val="af-ZA"/>
        </w:rPr>
        <w:softHyphen/>
      </w:r>
      <w:r w:rsidRPr="00EF6F81">
        <w:rPr>
          <w:rFonts w:eastAsia="Calibri" w:cs="Sylfaen"/>
          <w:b w:val="0"/>
          <w:szCs w:val="22"/>
          <w:lang w:val="af-ZA"/>
        </w:rPr>
        <w:softHyphen/>
        <w:t>քեր, որոնց գծով 2021 թվա</w:t>
      </w:r>
      <w:r w:rsidRPr="00EF6F81">
        <w:rPr>
          <w:rFonts w:eastAsia="Calibri" w:cs="Sylfaen"/>
          <w:b w:val="0"/>
          <w:szCs w:val="22"/>
          <w:lang w:val="af-ZA"/>
        </w:rPr>
        <w:softHyphen/>
        <w:t>կանի մուտքերը ծրագրվել են փորձագիտական գնահատականի՝ 1,220.0 մլն դրամի չափով` (պե</w:t>
      </w:r>
      <w:r w:rsidRPr="00EF6F81">
        <w:rPr>
          <w:rFonts w:eastAsia="Calibri" w:cs="Sylfaen"/>
          <w:b w:val="0"/>
          <w:szCs w:val="22"/>
          <w:lang w:val="af-ZA"/>
        </w:rPr>
        <w:softHyphen/>
        <w:t>տա</w:t>
      </w:r>
      <w:r w:rsidRPr="00EF6F81">
        <w:rPr>
          <w:rFonts w:eastAsia="Calibri" w:cs="Sylfaen"/>
          <w:b w:val="0"/>
          <w:szCs w:val="22"/>
          <w:lang w:val="af-ZA"/>
        </w:rPr>
        <w:softHyphen/>
      </w:r>
      <w:r w:rsidRPr="00EF6F81">
        <w:rPr>
          <w:rFonts w:eastAsia="Calibri" w:cs="Sylfaen"/>
          <w:b w:val="0"/>
          <w:szCs w:val="22"/>
          <w:lang w:val="af-ZA"/>
        </w:rPr>
        <w:softHyphen/>
      </w:r>
      <w:r w:rsidRPr="00EF6F81">
        <w:rPr>
          <w:rFonts w:eastAsia="Calibri" w:cs="Sylfaen"/>
          <w:b w:val="0"/>
          <w:szCs w:val="22"/>
          <w:lang w:val="af-ZA"/>
        </w:rPr>
        <w:softHyphen/>
        <w:t>կան գրան</w:t>
      </w:r>
      <w:r w:rsidRPr="00EF6F81">
        <w:rPr>
          <w:rFonts w:eastAsia="Calibri" w:cs="Sylfaen"/>
          <w:b w:val="0"/>
          <w:szCs w:val="22"/>
          <w:lang w:val="af-ZA"/>
        </w:rPr>
        <w:softHyphen/>
        <w:t>ցու</w:t>
      </w:r>
      <w:r w:rsidRPr="00EF6F81">
        <w:rPr>
          <w:rFonts w:eastAsia="Calibri" w:cs="Sylfaen"/>
          <w:b w:val="0"/>
          <w:szCs w:val="22"/>
          <w:lang w:val="af-ZA"/>
        </w:rPr>
        <w:softHyphen/>
        <w:t>մից 2021 թվականի պետական տուրքերի կանխատեսվող մուտքերի ամ</w:t>
      </w:r>
      <w:r w:rsidRPr="00EF6F81">
        <w:rPr>
          <w:rFonts w:eastAsia="Calibri" w:cs="Sylfaen"/>
          <w:b w:val="0"/>
          <w:szCs w:val="22"/>
          <w:lang w:val="af-ZA"/>
        </w:rPr>
        <w:softHyphen/>
        <w:t>բողջ ծա</w:t>
      </w:r>
      <w:r w:rsidRPr="00EF6F81">
        <w:rPr>
          <w:rFonts w:eastAsia="Calibri" w:cs="Sylfaen"/>
          <w:b w:val="0"/>
          <w:szCs w:val="22"/>
          <w:lang w:val="af-ZA"/>
        </w:rPr>
        <w:softHyphen/>
        <w:t>վալի 19.8%-ը) 2020 թվա</w:t>
      </w:r>
      <w:r w:rsidRPr="00EF6F81">
        <w:rPr>
          <w:rFonts w:eastAsia="Calibri" w:cs="Sylfaen"/>
          <w:b w:val="0"/>
          <w:szCs w:val="22"/>
          <w:lang w:val="af-ZA"/>
        </w:rPr>
        <w:softHyphen/>
      </w:r>
      <w:r w:rsidRPr="00EF6F81">
        <w:rPr>
          <w:rFonts w:eastAsia="Calibri" w:cs="Sylfaen"/>
          <w:b w:val="0"/>
          <w:szCs w:val="22"/>
          <w:lang w:val="af-ZA"/>
        </w:rPr>
        <w:softHyphen/>
      </w:r>
      <w:r w:rsidRPr="00EF6F81">
        <w:rPr>
          <w:rFonts w:eastAsia="Calibri" w:cs="Sylfaen"/>
          <w:b w:val="0"/>
          <w:szCs w:val="22"/>
          <w:lang w:val="af-ZA"/>
        </w:rPr>
        <w:softHyphen/>
        <w:t>կանի հաստատված 1,212.5 մլն և 2019 թվականի փաս</w:t>
      </w:r>
      <w:r w:rsidRPr="00EF6F81">
        <w:rPr>
          <w:rFonts w:eastAsia="Calibri" w:cs="Sylfaen"/>
          <w:b w:val="0"/>
          <w:szCs w:val="22"/>
          <w:lang w:val="af-ZA"/>
        </w:rPr>
        <w:softHyphen/>
        <w:t xml:space="preserve">տացի ստացված 1,240.2 մլն դրամի դիմաց: </w:t>
      </w:r>
    </w:p>
    <w:p w:rsidR="00A22793" w:rsidRPr="00EF6F81" w:rsidRDefault="00A22793" w:rsidP="007730AA">
      <w:pPr>
        <w:widowControl w:val="0"/>
        <w:numPr>
          <w:ilvl w:val="0"/>
          <w:numId w:val="54"/>
        </w:numPr>
        <w:spacing w:before="0" w:line="276" w:lineRule="auto"/>
        <w:ind w:left="0"/>
        <w:rPr>
          <w:rFonts w:eastAsia="Calibri" w:cs="Sylfaen"/>
          <w:b w:val="0"/>
          <w:szCs w:val="22"/>
          <w:lang w:val="af-ZA"/>
        </w:rPr>
      </w:pPr>
      <w:r w:rsidRPr="00EF6F81">
        <w:rPr>
          <w:rFonts w:eastAsia="Calibri" w:cs="Sylfaen"/>
          <w:b w:val="0"/>
          <w:szCs w:val="22"/>
          <w:lang w:val="af-ZA"/>
        </w:rPr>
        <w:t>գույքի նկատմամբ իրավունքների պետական գրանցում կատարելու համար գանձվող պե</w:t>
      </w:r>
      <w:r w:rsidRPr="00EF6F81">
        <w:rPr>
          <w:rFonts w:eastAsia="Calibri" w:cs="Sylfaen"/>
          <w:b w:val="0"/>
          <w:szCs w:val="22"/>
          <w:lang w:val="af-ZA"/>
        </w:rPr>
        <w:softHyphen/>
      </w:r>
      <w:r w:rsidRPr="00EF6F81">
        <w:rPr>
          <w:rFonts w:eastAsia="Calibri" w:cs="Sylfaen"/>
          <w:b w:val="0"/>
          <w:szCs w:val="22"/>
          <w:lang w:val="af-ZA"/>
        </w:rPr>
        <w:softHyphen/>
      </w:r>
      <w:r w:rsidRPr="00EF6F81">
        <w:rPr>
          <w:rFonts w:eastAsia="Calibri" w:cs="Sylfaen"/>
          <w:b w:val="0"/>
          <w:szCs w:val="22"/>
          <w:lang w:val="af-ZA"/>
        </w:rPr>
        <w:softHyphen/>
        <w:t>տա</w:t>
      </w:r>
      <w:r w:rsidRPr="00EF6F81">
        <w:rPr>
          <w:rFonts w:eastAsia="Calibri" w:cs="Sylfaen"/>
          <w:b w:val="0"/>
          <w:szCs w:val="22"/>
          <w:lang w:val="af-ZA"/>
        </w:rPr>
        <w:softHyphen/>
        <w:t>կան տուրքեր, որոնց գծով 2021 թվականի մուտքերը կանխատեսվել են 1,027.5 մլն դրա</w:t>
      </w:r>
      <w:r w:rsidRPr="00EF6F81">
        <w:rPr>
          <w:rFonts w:eastAsia="Calibri" w:cs="Sylfaen"/>
          <w:b w:val="0"/>
          <w:szCs w:val="22"/>
          <w:lang w:val="af-ZA"/>
        </w:rPr>
        <w:softHyphen/>
      </w:r>
      <w:r w:rsidRPr="00EF6F81">
        <w:rPr>
          <w:rFonts w:eastAsia="Calibri" w:cs="Sylfaen"/>
          <w:b w:val="0"/>
          <w:szCs w:val="22"/>
          <w:lang w:val="af-ZA"/>
        </w:rPr>
        <w:softHyphen/>
        <w:t>մի չափով (պետական գրանցումից 2021 թվականի պետա</w:t>
      </w:r>
      <w:r w:rsidRPr="00EF6F81">
        <w:rPr>
          <w:rFonts w:eastAsia="Calibri" w:cs="Sylfaen"/>
          <w:b w:val="0"/>
          <w:szCs w:val="22"/>
          <w:lang w:val="af-ZA"/>
        </w:rPr>
        <w:softHyphen/>
        <w:t>կան տուրքերի կան</w:t>
      </w:r>
      <w:r w:rsidRPr="00EF6F81">
        <w:rPr>
          <w:rFonts w:eastAsia="Calibri" w:cs="Sylfaen"/>
          <w:b w:val="0"/>
          <w:szCs w:val="22"/>
          <w:lang w:val="af-ZA"/>
        </w:rPr>
        <w:softHyphen/>
      </w:r>
      <w:r w:rsidRPr="00EF6F81">
        <w:rPr>
          <w:rFonts w:eastAsia="Calibri" w:cs="Sylfaen"/>
          <w:b w:val="0"/>
          <w:szCs w:val="22"/>
          <w:lang w:val="af-ZA"/>
        </w:rPr>
        <w:softHyphen/>
      </w:r>
      <w:r w:rsidRPr="00EF6F81">
        <w:rPr>
          <w:rFonts w:eastAsia="Calibri" w:cs="Sylfaen"/>
          <w:b w:val="0"/>
          <w:szCs w:val="22"/>
          <w:lang w:val="af-ZA"/>
        </w:rPr>
        <w:softHyphen/>
        <w:t>խա</w:t>
      </w:r>
      <w:r w:rsidRPr="00EF6F81">
        <w:rPr>
          <w:rFonts w:eastAsia="Calibri" w:cs="Sylfaen"/>
          <w:b w:val="0"/>
          <w:szCs w:val="22"/>
          <w:lang w:val="af-ZA"/>
        </w:rPr>
        <w:softHyphen/>
        <w:t>տես</w:t>
      </w:r>
      <w:r w:rsidRPr="00EF6F81">
        <w:rPr>
          <w:rFonts w:eastAsia="Calibri" w:cs="Sylfaen"/>
          <w:b w:val="0"/>
          <w:szCs w:val="22"/>
          <w:lang w:val="af-ZA"/>
        </w:rPr>
        <w:softHyphen/>
        <w:t>վող մուտ</w:t>
      </w:r>
      <w:r w:rsidRPr="00EF6F81">
        <w:rPr>
          <w:rFonts w:eastAsia="Calibri" w:cs="Sylfaen"/>
          <w:b w:val="0"/>
          <w:szCs w:val="22"/>
          <w:lang w:val="af-ZA"/>
        </w:rPr>
        <w:softHyphen/>
      </w:r>
      <w:r w:rsidRPr="00EF6F81">
        <w:rPr>
          <w:rFonts w:eastAsia="Calibri" w:cs="Sylfaen"/>
          <w:b w:val="0"/>
          <w:szCs w:val="22"/>
          <w:lang w:val="af-ZA"/>
        </w:rPr>
        <w:softHyphen/>
        <w:t>քերի ամ</w:t>
      </w:r>
      <w:r w:rsidRPr="00EF6F81">
        <w:rPr>
          <w:rFonts w:eastAsia="Calibri" w:cs="Sylfaen"/>
          <w:b w:val="0"/>
          <w:szCs w:val="22"/>
          <w:lang w:val="af-ZA"/>
        </w:rPr>
        <w:softHyphen/>
        <w:t>բողջ ծավալի 16.6%-ը), 2020 թվականի համար հաս</w:t>
      </w:r>
      <w:r w:rsidRPr="00EF6F81">
        <w:rPr>
          <w:rFonts w:eastAsia="Calibri" w:cs="Sylfaen"/>
          <w:b w:val="0"/>
          <w:szCs w:val="22"/>
          <w:lang w:val="af-ZA"/>
        </w:rPr>
        <w:softHyphen/>
        <w:t>տատված 1,239.5 մլն դրամի և 2019 թվա</w:t>
      </w:r>
      <w:r w:rsidRPr="00EF6F81">
        <w:rPr>
          <w:rFonts w:eastAsia="Calibri" w:cs="Sylfaen"/>
          <w:b w:val="0"/>
          <w:szCs w:val="22"/>
          <w:lang w:val="af-ZA"/>
        </w:rPr>
        <w:softHyphen/>
        <w:t>կա</w:t>
      </w:r>
      <w:r w:rsidRPr="00EF6F81">
        <w:rPr>
          <w:rFonts w:eastAsia="Calibri" w:cs="Sylfaen"/>
          <w:b w:val="0"/>
          <w:szCs w:val="22"/>
          <w:lang w:val="af-ZA"/>
        </w:rPr>
        <w:softHyphen/>
        <w:t>նին փաստացի ստաց</w:t>
      </w:r>
      <w:r w:rsidRPr="00EF6F81">
        <w:rPr>
          <w:rFonts w:eastAsia="Calibri" w:cs="Sylfaen"/>
          <w:b w:val="0"/>
          <w:szCs w:val="22"/>
          <w:lang w:val="af-ZA"/>
        </w:rPr>
        <w:softHyphen/>
        <w:t>ված 1,150.1 մլն դրամի դի</w:t>
      </w:r>
      <w:r w:rsidRPr="00EF6F81">
        <w:rPr>
          <w:rFonts w:eastAsia="Calibri" w:cs="Sylfaen"/>
          <w:b w:val="0"/>
          <w:szCs w:val="22"/>
          <w:lang w:val="af-ZA"/>
        </w:rPr>
        <w:softHyphen/>
        <w:t>մաց:  Պետական տուրքի այս տեսակի գծով 2021 թվականի մուտքերը ծրագրվել են 2020 թվականի սպասողական մուտքերի նկատմամբ կիրառելով փորձագիտական գնահատ</w:t>
      </w:r>
      <w:r w:rsidRPr="00EF6F81">
        <w:rPr>
          <w:rFonts w:eastAsia="Calibri" w:cs="Sylfaen"/>
          <w:b w:val="0"/>
          <w:szCs w:val="22"/>
          <w:lang w:val="af-ZA"/>
        </w:rPr>
        <w:softHyphen/>
        <w:t>ման աճի տեմպը, իսկ 2020 թվականի սպասողական մուտքերը գնահատվել են 2020 թվականի առաջին 7 ամիսների փաստացի մուտքերի նկատմամբ կիրա</w:t>
      </w:r>
      <w:r w:rsidRPr="00EF6F81">
        <w:rPr>
          <w:rFonts w:eastAsia="Calibri" w:cs="Sylfaen"/>
          <w:b w:val="0"/>
          <w:szCs w:val="22"/>
          <w:lang w:val="af-ZA"/>
        </w:rPr>
        <w:softHyphen/>
        <w:t>ռելով 2017-2019 թվականների տարեկան մուտքերում  առաջին 7 ամիս</w:t>
      </w:r>
      <w:r w:rsidRPr="00EF6F81">
        <w:rPr>
          <w:rFonts w:eastAsia="Calibri" w:cs="Sylfaen"/>
          <w:b w:val="0"/>
          <w:szCs w:val="22"/>
          <w:lang w:val="af-ZA"/>
        </w:rPr>
        <w:softHyphen/>
        <w:t>ների մուտ</w:t>
      </w:r>
      <w:r w:rsidRPr="00EF6F81">
        <w:rPr>
          <w:rFonts w:eastAsia="Calibri" w:cs="Sylfaen"/>
          <w:b w:val="0"/>
          <w:szCs w:val="22"/>
          <w:lang w:val="af-ZA"/>
        </w:rPr>
        <w:softHyphen/>
        <w:t>քերի տեսակարար կշիռների միջինացված ցուցանիշը:</w:t>
      </w:r>
    </w:p>
    <w:p w:rsidR="00A22793" w:rsidRPr="00EF6F81" w:rsidRDefault="00A22793" w:rsidP="007730AA">
      <w:pPr>
        <w:widowControl w:val="0"/>
        <w:spacing w:before="0" w:line="276" w:lineRule="auto"/>
        <w:rPr>
          <w:rFonts w:eastAsia="Calibri" w:cs="Sylfaen"/>
          <w:b w:val="0"/>
          <w:color w:val="FF0000"/>
          <w:szCs w:val="22"/>
          <w:lang w:val="af-ZA"/>
        </w:rPr>
      </w:pPr>
      <w:r w:rsidRPr="00EF6F81">
        <w:rPr>
          <w:rFonts w:eastAsia="Calibri" w:cs="Sylfaen"/>
          <w:szCs w:val="22"/>
          <w:lang w:val="af-ZA"/>
        </w:rPr>
        <w:t>Գյուտերի, օգտակար մոդելների, արդյունաբերական նմուշների, բույսերի սորտերի, ապրան</w:t>
      </w:r>
      <w:r w:rsidRPr="00EF6F81">
        <w:rPr>
          <w:rFonts w:eastAsia="Calibri" w:cs="Sylfaen"/>
          <w:szCs w:val="22"/>
          <w:lang w:val="af-ZA"/>
        </w:rPr>
        <w:softHyphen/>
        <w:t>քային նշանների, աշխարհագրական նշումների, ծագման տեղանունների, երաշխավորված ավանդական արտադրանքի, ֆիրմային անվանումների, ին</w:t>
      </w:r>
      <w:r w:rsidRPr="00EF6F81">
        <w:rPr>
          <w:rFonts w:eastAsia="Calibri" w:cs="Sylfaen"/>
          <w:szCs w:val="22"/>
          <w:lang w:val="af-ZA"/>
        </w:rPr>
        <w:softHyphen/>
        <w:t>տե</w:t>
      </w:r>
      <w:r w:rsidRPr="00EF6F81">
        <w:rPr>
          <w:rFonts w:eastAsia="Calibri" w:cs="Sylfaen"/>
          <w:szCs w:val="22"/>
          <w:lang w:val="af-ZA"/>
        </w:rPr>
        <w:softHyphen/>
        <w:t>գրալ միկրոսխեմաների տոպոլոգիաների իրավա</w:t>
      </w:r>
      <w:r w:rsidRPr="00EF6F81">
        <w:rPr>
          <w:rFonts w:eastAsia="Calibri" w:cs="Sylfaen"/>
          <w:szCs w:val="22"/>
          <w:lang w:val="af-ZA"/>
        </w:rPr>
        <w:softHyphen/>
        <w:t>կան պահպանության հետ կապ</w:t>
      </w:r>
      <w:r w:rsidRPr="00EF6F81">
        <w:rPr>
          <w:rFonts w:eastAsia="Calibri" w:cs="Sylfaen"/>
          <w:szCs w:val="22"/>
          <w:lang w:val="af-ZA"/>
        </w:rPr>
        <w:softHyphen/>
        <w:t>ված իրա</w:t>
      </w:r>
      <w:r w:rsidRPr="00EF6F81">
        <w:rPr>
          <w:rFonts w:eastAsia="Calibri" w:cs="Sylfaen"/>
          <w:szCs w:val="22"/>
          <w:lang w:val="af-ZA"/>
        </w:rPr>
        <w:softHyphen/>
        <w:t>վա</w:t>
      </w:r>
      <w:r w:rsidRPr="00EF6F81">
        <w:rPr>
          <w:rFonts w:eastAsia="Calibri" w:cs="Sylfaen"/>
          <w:szCs w:val="22"/>
          <w:lang w:val="af-ZA"/>
        </w:rPr>
        <w:softHyphen/>
        <w:t>բա</w:t>
      </w:r>
      <w:r w:rsidRPr="00EF6F81">
        <w:rPr>
          <w:rFonts w:eastAsia="Calibri" w:cs="Sylfaen"/>
          <w:szCs w:val="22"/>
          <w:lang w:val="af-ZA"/>
        </w:rPr>
        <w:softHyphen/>
        <w:t>նա</w:t>
      </w:r>
      <w:r w:rsidRPr="00EF6F81">
        <w:rPr>
          <w:rFonts w:eastAsia="Calibri" w:cs="Sylfaen"/>
          <w:szCs w:val="22"/>
          <w:lang w:val="af-ZA"/>
        </w:rPr>
        <w:softHyphen/>
        <w:t>կան նշանակություն ունեցող գործողություն</w:t>
      </w:r>
      <w:r w:rsidRPr="00EF6F81">
        <w:rPr>
          <w:rFonts w:eastAsia="Calibri" w:cs="Sylfaen"/>
          <w:szCs w:val="22"/>
          <w:lang w:val="af-ZA"/>
        </w:rPr>
        <w:softHyphen/>
        <w:t>ների համար</w:t>
      </w:r>
      <w:r w:rsidRPr="00EF6F81">
        <w:rPr>
          <w:rFonts w:eastAsia="Calibri" w:cs="Sylfaen"/>
          <w:b w:val="0"/>
          <w:szCs w:val="22"/>
          <w:lang w:val="af-ZA"/>
        </w:rPr>
        <w:t xml:space="preserve"> գանձվող պե</w:t>
      </w:r>
      <w:r w:rsidRPr="00EF6F81">
        <w:rPr>
          <w:rFonts w:eastAsia="Calibri" w:cs="Sylfaen"/>
          <w:b w:val="0"/>
          <w:szCs w:val="22"/>
          <w:lang w:val="af-ZA"/>
        </w:rPr>
        <w:softHyphen/>
        <w:t>տա</w:t>
      </w:r>
      <w:r w:rsidRPr="00EF6F81">
        <w:rPr>
          <w:rFonts w:eastAsia="Calibri" w:cs="Sylfaen"/>
          <w:b w:val="0"/>
          <w:szCs w:val="22"/>
          <w:lang w:val="af-ZA"/>
        </w:rPr>
        <w:softHyphen/>
        <w:t>կան տուրքերի գծով 2021 թվականի մուտքե</w:t>
      </w:r>
      <w:r w:rsidRPr="00EF6F81">
        <w:rPr>
          <w:rFonts w:eastAsia="Calibri" w:cs="Sylfaen"/>
          <w:b w:val="0"/>
          <w:szCs w:val="22"/>
          <w:lang w:val="af-ZA"/>
        </w:rPr>
        <w:softHyphen/>
        <w:t>րը կանխատեսվել են փորձագիտական գնահատականի՝ 437.0 մլն դրամի չափով` 2020 թվականի համար հաս</w:t>
      </w:r>
      <w:r w:rsidRPr="00EF6F81">
        <w:rPr>
          <w:rFonts w:eastAsia="Calibri" w:cs="Sylfaen"/>
          <w:b w:val="0"/>
          <w:szCs w:val="22"/>
          <w:lang w:val="af-ZA"/>
        </w:rPr>
        <w:softHyphen/>
        <w:t>տատ</w:t>
      </w:r>
      <w:r w:rsidRPr="00EF6F81">
        <w:rPr>
          <w:rFonts w:eastAsia="Calibri" w:cs="Sylfaen"/>
          <w:b w:val="0"/>
          <w:szCs w:val="22"/>
          <w:lang w:val="af-ZA"/>
        </w:rPr>
        <w:softHyphen/>
        <w:t>ված 434.5  մլն դրամի և 2019 թվականին փաս</w:t>
      </w:r>
      <w:r w:rsidRPr="00EF6F81">
        <w:rPr>
          <w:rFonts w:eastAsia="Calibri" w:cs="Sylfaen"/>
          <w:b w:val="0"/>
          <w:szCs w:val="22"/>
          <w:lang w:val="af-ZA"/>
        </w:rPr>
        <w:softHyphen/>
        <w:t xml:space="preserve">տացի ստացված 437.5 մլն դրամի դիմաց: </w:t>
      </w:r>
    </w:p>
    <w:p w:rsidR="00A22793" w:rsidRPr="00EF6F81" w:rsidRDefault="00A22793" w:rsidP="007730AA">
      <w:pPr>
        <w:spacing w:before="0" w:line="276" w:lineRule="auto"/>
        <w:ind w:firstLine="538"/>
        <w:rPr>
          <w:rFonts w:eastAsia="Calibri"/>
          <w:b w:val="0"/>
          <w:szCs w:val="22"/>
          <w:lang w:val="af-ZA" w:eastAsia="en-US"/>
        </w:rPr>
      </w:pPr>
      <w:r w:rsidRPr="00EF6F81">
        <w:rPr>
          <w:rFonts w:eastAsia="Calibri"/>
          <w:szCs w:val="22"/>
          <w:lang w:val="hy-AM" w:eastAsia="en-US"/>
        </w:rPr>
        <w:t>Ֆիզիկական անձանց տրվող իրավաբանական նշանակություն ունեցող փաստաթղթե</w:t>
      </w:r>
      <w:r w:rsidRPr="00EF6F81">
        <w:rPr>
          <w:rFonts w:eastAsia="Calibri"/>
          <w:szCs w:val="22"/>
          <w:lang w:val="hy-AM" w:eastAsia="en-US"/>
        </w:rPr>
        <w:softHyphen/>
        <w:t>րի, որոշակի ծառայությունների կամ գործողությունների համար</w:t>
      </w:r>
      <w:r w:rsidRPr="00EF6F81">
        <w:rPr>
          <w:rFonts w:eastAsia="Calibri"/>
          <w:b w:val="0"/>
          <w:szCs w:val="22"/>
          <w:lang w:val="hy-AM" w:eastAsia="en-US"/>
        </w:rPr>
        <w:t xml:space="preserve"> գանձ</w:t>
      </w:r>
      <w:r w:rsidRPr="00EF6F81">
        <w:rPr>
          <w:rFonts w:eastAsia="Calibri"/>
          <w:b w:val="0"/>
          <w:szCs w:val="22"/>
          <w:lang w:val="hy-AM" w:eastAsia="en-US"/>
        </w:rPr>
        <w:softHyphen/>
        <w:t>վող պետական տուրքերի գծով 202</w:t>
      </w:r>
      <w:r w:rsidRPr="00EF6F81">
        <w:rPr>
          <w:rFonts w:eastAsia="Calibri"/>
          <w:b w:val="0"/>
          <w:szCs w:val="22"/>
          <w:lang w:val="af-ZA" w:eastAsia="en-US"/>
        </w:rPr>
        <w:t>1</w:t>
      </w:r>
      <w:r w:rsidRPr="00EF6F81">
        <w:rPr>
          <w:rFonts w:eastAsia="Calibri"/>
          <w:b w:val="0"/>
          <w:szCs w:val="22"/>
          <w:lang w:val="hy-AM" w:eastAsia="en-US"/>
        </w:rPr>
        <w:t xml:space="preserve"> թվականի մուտքերը կանխատեսվել են  2,</w:t>
      </w:r>
      <w:r w:rsidRPr="00EF6F81">
        <w:rPr>
          <w:rFonts w:eastAsia="Calibri"/>
          <w:b w:val="0"/>
          <w:szCs w:val="22"/>
          <w:lang w:val="af-ZA" w:eastAsia="en-US"/>
        </w:rPr>
        <w:t>602.9</w:t>
      </w:r>
      <w:r w:rsidRPr="00EF6F81">
        <w:rPr>
          <w:rFonts w:eastAsia="Calibri"/>
          <w:b w:val="0"/>
          <w:szCs w:val="22"/>
          <w:lang w:val="hy-AM" w:eastAsia="en-US"/>
        </w:rPr>
        <w:t xml:space="preserve"> մլն դրամի չափով՝ ներառյալ կենսաչափականան անձնագրերի և նույնականացման քարտերի գծով ներկայացված փորձագիտական գնահատականները՝ համապատասխանաբար </w:t>
      </w:r>
      <w:r w:rsidRPr="00EF6F81">
        <w:rPr>
          <w:rFonts w:eastAsia="Calibri"/>
          <w:b w:val="0"/>
          <w:szCs w:val="22"/>
          <w:lang w:val="af-ZA" w:eastAsia="en-US"/>
        </w:rPr>
        <w:t>230</w:t>
      </w:r>
      <w:r w:rsidRPr="00EF6F81">
        <w:rPr>
          <w:rFonts w:eastAsia="Calibri"/>
          <w:b w:val="0"/>
          <w:szCs w:val="22"/>
          <w:lang w:val="hy-AM" w:eastAsia="en-US"/>
        </w:rPr>
        <w:t>.0 մլն և  18</w:t>
      </w:r>
      <w:r w:rsidRPr="00EF6F81">
        <w:rPr>
          <w:rFonts w:eastAsia="Calibri"/>
          <w:b w:val="0"/>
          <w:szCs w:val="22"/>
          <w:lang w:val="af-ZA" w:eastAsia="en-US"/>
        </w:rPr>
        <w:t>0</w:t>
      </w:r>
      <w:r w:rsidRPr="00EF6F81">
        <w:rPr>
          <w:rFonts w:eastAsia="Calibri"/>
          <w:b w:val="0"/>
          <w:szCs w:val="22"/>
          <w:lang w:val="hy-AM" w:eastAsia="en-US"/>
        </w:rPr>
        <w:t>.0 մլն դրամի չափով, իսկ  մնացած 2,</w:t>
      </w:r>
      <w:r w:rsidRPr="00EF6F81">
        <w:rPr>
          <w:rFonts w:eastAsia="Calibri"/>
          <w:b w:val="0"/>
          <w:szCs w:val="22"/>
          <w:lang w:val="af-ZA" w:eastAsia="en-US"/>
        </w:rPr>
        <w:t>192.9</w:t>
      </w:r>
      <w:r w:rsidRPr="00EF6F81">
        <w:rPr>
          <w:rFonts w:eastAsia="Calibri"/>
          <w:b w:val="0"/>
          <w:szCs w:val="22"/>
          <w:lang w:val="hy-AM" w:eastAsia="en-US"/>
        </w:rPr>
        <w:t xml:space="preserve"> մլն դրամը կանխատեսվել է </w:t>
      </w:r>
      <w:r w:rsidRPr="00EF6F81">
        <w:rPr>
          <w:rFonts w:eastAsia="Calibri"/>
          <w:b w:val="0"/>
          <w:szCs w:val="22"/>
          <w:lang w:val="en-US" w:eastAsia="en-US"/>
        </w:rPr>
        <w:t>հիմք</w:t>
      </w:r>
      <w:r w:rsidRPr="00EF6F81">
        <w:rPr>
          <w:rFonts w:eastAsia="Calibri"/>
          <w:b w:val="0"/>
          <w:szCs w:val="22"/>
          <w:lang w:val="af-ZA" w:eastAsia="en-US"/>
        </w:rPr>
        <w:t xml:space="preserve"> </w:t>
      </w:r>
      <w:r w:rsidRPr="00EF6F81">
        <w:rPr>
          <w:rFonts w:eastAsia="Calibri"/>
          <w:b w:val="0"/>
          <w:szCs w:val="22"/>
          <w:lang w:val="en-US" w:eastAsia="en-US"/>
        </w:rPr>
        <w:t>ընդունելով</w:t>
      </w:r>
      <w:r w:rsidRPr="00EF6F81">
        <w:rPr>
          <w:rFonts w:eastAsia="Calibri"/>
          <w:b w:val="0"/>
          <w:szCs w:val="22"/>
          <w:lang w:val="af-ZA" w:eastAsia="en-US"/>
        </w:rPr>
        <w:t xml:space="preserve"> 2018 </w:t>
      </w:r>
      <w:r w:rsidRPr="00EF6F81">
        <w:rPr>
          <w:rFonts w:eastAsia="Calibri"/>
          <w:b w:val="0"/>
          <w:szCs w:val="22"/>
          <w:lang w:val="en-US" w:eastAsia="en-US"/>
        </w:rPr>
        <w:t>և</w:t>
      </w:r>
      <w:r w:rsidRPr="00EF6F81">
        <w:rPr>
          <w:rFonts w:eastAsia="Calibri"/>
          <w:b w:val="0"/>
          <w:szCs w:val="22"/>
          <w:lang w:val="af-ZA" w:eastAsia="en-US"/>
        </w:rPr>
        <w:t xml:space="preserve"> 2019 </w:t>
      </w:r>
      <w:r w:rsidRPr="00EF6F81">
        <w:rPr>
          <w:rFonts w:eastAsia="Calibri"/>
          <w:b w:val="0"/>
          <w:szCs w:val="22"/>
          <w:lang w:val="en-US" w:eastAsia="en-US"/>
        </w:rPr>
        <w:t>թվականների</w:t>
      </w:r>
      <w:r w:rsidRPr="00EF6F81">
        <w:rPr>
          <w:rFonts w:eastAsia="Calibri"/>
          <w:b w:val="0"/>
          <w:szCs w:val="22"/>
          <w:lang w:val="af-ZA" w:eastAsia="en-US"/>
        </w:rPr>
        <w:t xml:space="preserve"> </w:t>
      </w:r>
      <w:r w:rsidRPr="00EF6F81">
        <w:rPr>
          <w:rFonts w:eastAsia="Calibri"/>
          <w:b w:val="0"/>
          <w:szCs w:val="22"/>
          <w:lang w:val="en-US" w:eastAsia="en-US"/>
        </w:rPr>
        <w:t>տարեկան</w:t>
      </w:r>
      <w:r w:rsidRPr="00EF6F81">
        <w:rPr>
          <w:rFonts w:eastAsia="Calibri"/>
          <w:b w:val="0"/>
          <w:szCs w:val="22"/>
          <w:lang w:val="af-ZA" w:eastAsia="en-US"/>
        </w:rPr>
        <w:t xml:space="preserve"> </w:t>
      </w:r>
      <w:r w:rsidRPr="00EF6F81">
        <w:rPr>
          <w:rFonts w:eastAsia="Calibri"/>
          <w:b w:val="0"/>
          <w:szCs w:val="22"/>
          <w:lang w:val="en-US" w:eastAsia="en-US"/>
        </w:rPr>
        <w:t>փաստացի</w:t>
      </w:r>
      <w:r w:rsidRPr="00EF6F81">
        <w:rPr>
          <w:rFonts w:eastAsia="Calibri"/>
          <w:b w:val="0"/>
          <w:szCs w:val="22"/>
          <w:lang w:val="af-ZA" w:eastAsia="en-US"/>
        </w:rPr>
        <w:t xml:space="preserve"> </w:t>
      </w:r>
      <w:r w:rsidRPr="00EF6F81">
        <w:rPr>
          <w:rFonts w:eastAsia="Calibri"/>
          <w:b w:val="0"/>
          <w:szCs w:val="22"/>
          <w:lang w:val="en-US" w:eastAsia="en-US"/>
        </w:rPr>
        <w:t>մուտքերը՝</w:t>
      </w:r>
      <w:r w:rsidRPr="00EF6F81">
        <w:rPr>
          <w:rFonts w:eastAsia="Calibri"/>
          <w:b w:val="0"/>
          <w:szCs w:val="22"/>
          <w:lang w:val="af-ZA" w:eastAsia="en-US"/>
        </w:rPr>
        <w:t xml:space="preserve"> </w:t>
      </w:r>
      <w:r w:rsidRPr="00EF6F81">
        <w:rPr>
          <w:rFonts w:eastAsia="Calibri"/>
          <w:b w:val="0"/>
          <w:szCs w:val="22"/>
          <w:lang w:val="hy-AM" w:eastAsia="en-US"/>
        </w:rPr>
        <w:t>20</w:t>
      </w:r>
      <w:r w:rsidRPr="00EF6F81">
        <w:rPr>
          <w:rFonts w:eastAsia="Calibri"/>
          <w:b w:val="0"/>
          <w:szCs w:val="22"/>
          <w:lang w:val="af-ZA" w:eastAsia="en-US"/>
        </w:rPr>
        <w:t>20</w:t>
      </w:r>
      <w:r w:rsidRPr="00EF6F81">
        <w:rPr>
          <w:rFonts w:eastAsia="Calibri"/>
          <w:b w:val="0"/>
          <w:szCs w:val="22"/>
          <w:lang w:val="hy-AM" w:eastAsia="en-US"/>
        </w:rPr>
        <w:t xml:space="preserve"> թվականի հա</w:t>
      </w:r>
      <w:r w:rsidRPr="00EF6F81">
        <w:rPr>
          <w:rFonts w:eastAsia="Calibri"/>
          <w:b w:val="0"/>
          <w:szCs w:val="22"/>
          <w:lang w:val="hy-AM" w:eastAsia="en-US"/>
        </w:rPr>
        <w:softHyphen/>
        <w:t>մար հաստատված 2,</w:t>
      </w:r>
      <w:r w:rsidRPr="00EF6F81">
        <w:rPr>
          <w:rFonts w:eastAsia="Calibri"/>
          <w:b w:val="0"/>
          <w:szCs w:val="22"/>
          <w:lang w:val="af-ZA" w:eastAsia="en-US"/>
        </w:rPr>
        <w:t>239.8</w:t>
      </w:r>
      <w:r w:rsidRPr="00EF6F81">
        <w:rPr>
          <w:rFonts w:eastAsia="Calibri"/>
          <w:b w:val="0"/>
          <w:szCs w:val="22"/>
          <w:lang w:val="hy-AM" w:eastAsia="en-US"/>
        </w:rPr>
        <w:t xml:space="preserve"> մլն դրամի և 201</w:t>
      </w:r>
      <w:r w:rsidRPr="00EF6F81">
        <w:rPr>
          <w:rFonts w:eastAsia="Calibri"/>
          <w:b w:val="0"/>
          <w:szCs w:val="22"/>
          <w:lang w:val="af-ZA" w:eastAsia="en-US"/>
        </w:rPr>
        <w:t>9</w:t>
      </w:r>
      <w:r w:rsidRPr="00EF6F81">
        <w:rPr>
          <w:rFonts w:eastAsia="Calibri"/>
          <w:b w:val="0"/>
          <w:szCs w:val="22"/>
          <w:lang w:val="hy-AM" w:eastAsia="en-US"/>
        </w:rPr>
        <w:t xml:space="preserve"> թվականին փաստացի ստացված  2,</w:t>
      </w:r>
      <w:r w:rsidRPr="00EF6F81">
        <w:rPr>
          <w:rFonts w:eastAsia="Calibri"/>
          <w:b w:val="0"/>
          <w:szCs w:val="22"/>
          <w:lang w:val="af-ZA" w:eastAsia="en-US"/>
        </w:rPr>
        <w:t>144.7</w:t>
      </w:r>
      <w:r w:rsidRPr="00EF6F81">
        <w:rPr>
          <w:rFonts w:eastAsia="Calibri"/>
          <w:b w:val="0"/>
          <w:szCs w:val="22"/>
          <w:lang w:val="hy-AM" w:eastAsia="en-US"/>
        </w:rPr>
        <w:t xml:space="preserve"> մլն դրա</w:t>
      </w:r>
      <w:r w:rsidRPr="00EF6F81">
        <w:rPr>
          <w:rFonts w:eastAsia="Calibri"/>
          <w:b w:val="0"/>
          <w:szCs w:val="22"/>
          <w:lang w:val="hy-AM" w:eastAsia="en-US"/>
        </w:rPr>
        <w:softHyphen/>
        <w:t>մի դիմաց</w:t>
      </w:r>
      <w:r w:rsidRPr="00EF6F81">
        <w:rPr>
          <w:rFonts w:eastAsia="Calibri"/>
          <w:b w:val="0"/>
          <w:szCs w:val="22"/>
          <w:lang w:val="af-ZA" w:eastAsia="en-US"/>
        </w:rPr>
        <w:t>:</w:t>
      </w:r>
      <w:r w:rsidRPr="00EF6F81">
        <w:rPr>
          <w:rFonts w:eastAsia="Calibri"/>
          <w:b w:val="0"/>
          <w:szCs w:val="22"/>
          <w:lang w:val="hy-AM" w:eastAsia="en-US"/>
        </w:rPr>
        <w:t xml:space="preserve"> </w:t>
      </w:r>
    </w:p>
    <w:p w:rsidR="00A22793" w:rsidRPr="00EF6F81" w:rsidRDefault="00A22793" w:rsidP="007730AA">
      <w:pPr>
        <w:spacing w:before="0" w:line="276" w:lineRule="auto"/>
        <w:ind w:firstLine="538"/>
        <w:rPr>
          <w:rFonts w:eastAsia="Calibri" w:cs="GHEA Grapalat"/>
          <w:b w:val="0"/>
          <w:bCs/>
          <w:szCs w:val="22"/>
          <w:lang w:val="af-ZA" w:eastAsia="en-US"/>
        </w:rPr>
      </w:pPr>
      <w:r w:rsidRPr="00EF6F81">
        <w:rPr>
          <w:rFonts w:eastAsia="Calibri"/>
          <w:szCs w:val="22"/>
          <w:lang w:val="hy-AM" w:eastAsia="en-US"/>
        </w:rPr>
        <w:t>Լիցենզավորման ենթակա գործունեություն իրականացնելու համար</w:t>
      </w:r>
      <w:r w:rsidRPr="00EF6F81">
        <w:rPr>
          <w:rFonts w:eastAsia="Calibri"/>
          <w:b w:val="0"/>
          <w:szCs w:val="22"/>
          <w:lang w:val="hy-AM" w:eastAsia="en-US"/>
        </w:rPr>
        <w:t xml:space="preserve"> գանձ</w:t>
      </w:r>
      <w:r w:rsidRPr="00EF6F81">
        <w:rPr>
          <w:rFonts w:eastAsia="Calibri"/>
          <w:b w:val="0"/>
          <w:szCs w:val="22"/>
          <w:lang w:val="hy-AM" w:eastAsia="en-US"/>
        </w:rPr>
        <w:softHyphen/>
        <w:t>վող պետա</w:t>
      </w:r>
      <w:r w:rsidRPr="00EF6F81">
        <w:rPr>
          <w:rFonts w:eastAsia="Calibri"/>
          <w:b w:val="0"/>
          <w:szCs w:val="22"/>
          <w:lang w:val="hy-AM" w:eastAsia="en-US"/>
        </w:rPr>
        <w:softHyphen/>
      </w:r>
      <w:r w:rsidRPr="00EF6F81">
        <w:rPr>
          <w:rFonts w:eastAsia="Calibri"/>
          <w:b w:val="0"/>
          <w:szCs w:val="22"/>
          <w:lang w:val="hy-AM" w:eastAsia="en-US"/>
        </w:rPr>
        <w:softHyphen/>
        <w:t>կան տուրքերի գծով 202</w:t>
      </w:r>
      <w:r w:rsidRPr="00EF6F81">
        <w:rPr>
          <w:rFonts w:eastAsia="Calibri"/>
          <w:b w:val="0"/>
          <w:szCs w:val="22"/>
          <w:lang w:val="af-ZA" w:eastAsia="en-US"/>
        </w:rPr>
        <w:t>1</w:t>
      </w:r>
      <w:r w:rsidRPr="00EF6F81">
        <w:rPr>
          <w:rFonts w:eastAsia="Calibri"/>
          <w:b w:val="0"/>
          <w:szCs w:val="22"/>
          <w:lang w:val="hy-AM" w:eastAsia="en-US"/>
        </w:rPr>
        <w:t xml:space="preserve"> թվականի մուտքերը կանխատեսվել են 1</w:t>
      </w:r>
      <w:r w:rsidRPr="00EF6F81">
        <w:rPr>
          <w:rFonts w:eastAsia="Calibri"/>
          <w:b w:val="0"/>
          <w:szCs w:val="22"/>
          <w:lang w:val="af-ZA" w:eastAsia="en-US"/>
        </w:rPr>
        <w:t>5</w:t>
      </w:r>
      <w:r w:rsidRPr="00EF6F81">
        <w:rPr>
          <w:rFonts w:eastAsia="Calibri"/>
          <w:b w:val="0"/>
          <w:szCs w:val="22"/>
          <w:lang w:val="hy-AM" w:eastAsia="en-US"/>
        </w:rPr>
        <w:t>,</w:t>
      </w:r>
      <w:r w:rsidRPr="00EF6F81">
        <w:rPr>
          <w:rFonts w:eastAsia="Calibri"/>
          <w:b w:val="0"/>
          <w:szCs w:val="22"/>
          <w:lang w:val="af-ZA" w:eastAsia="en-US"/>
        </w:rPr>
        <w:t>502.6</w:t>
      </w:r>
      <w:r w:rsidRPr="00EF6F81">
        <w:rPr>
          <w:rFonts w:eastAsia="Calibri"/>
          <w:b w:val="0"/>
          <w:szCs w:val="22"/>
          <w:lang w:val="hy-AM" w:eastAsia="en-US"/>
        </w:rPr>
        <w:t xml:space="preserve"> մլն դրամի չա</w:t>
      </w:r>
      <w:r w:rsidRPr="00EF6F81">
        <w:rPr>
          <w:rFonts w:eastAsia="Calibri"/>
          <w:b w:val="0"/>
          <w:szCs w:val="22"/>
          <w:lang w:val="hy-AM" w:eastAsia="en-US"/>
        </w:rPr>
        <w:softHyphen/>
      </w:r>
      <w:r w:rsidRPr="00EF6F81">
        <w:rPr>
          <w:rFonts w:eastAsia="Calibri"/>
          <w:b w:val="0"/>
          <w:szCs w:val="22"/>
          <w:lang w:val="hy-AM" w:eastAsia="en-US"/>
        </w:rPr>
        <w:softHyphen/>
        <w:t>փով` 20</w:t>
      </w:r>
      <w:r w:rsidRPr="00EF6F81">
        <w:rPr>
          <w:rFonts w:eastAsia="Calibri"/>
          <w:b w:val="0"/>
          <w:szCs w:val="22"/>
          <w:lang w:val="af-ZA" w:eastAsia="en-US"/>
        </w:rPr>
        <w:t>20</w:t>
      </w:r>
      <w:r w:rsidRPr="00EF6F81">
        <w:rPr>
          <w:rFonts w:eastAsia="Calibri"/>
          <w:b w:val="0"/>
          <w:szCs w:val="22"/>
          <w:lang w:val="hy-AM" w:eastAsia="en-US"/>
        </w:rPr>
        <w:t xml:space="preserve"> թվականի համար հաստատված 1</w:t>
      </w:r>
      <w:r w:rsidRPr="00EF6F81">
        <w:rPr>
          <w:rFonts w:eastAsia="Calibri"/>
          <w:b w:val="0"/>
          <w:szCs w:val="22"/>
          <w:lang w:val="af-ZA" w:eastAsia="en-US"/>
        </w:rPr>
        <w:t>8,947.6</w:t>
      </w:r>
      <w:r w:rsidRPr="00EF6F81">
        <w:rPr>
          <w:rFonts w:eastAsia="Calibri"/>
          <w:b w:val="0"/>
          <w:szCs w:val="22"/>
          <w:lang w:val="hy-AM" w:eastAsia="en-US"/>
        </w:rPr>
        <w:t xml:space="preserve"> մլն և 201</w:t>
      </w:r>
      <w:r w:rsidRPr="00EF6F81">
        <w:rPr>
          <w:rFonts w:eastAsia="Calibri"/>
          <w:b w:val="0"/>
          <w:szCs w:val="22"/>
          <w:lang w:val="af-ZA" w:eastAsia="en-US"/>
        </w:rPr>
        <w:t>9</w:t>
      </w:r>
      <w:r w:rsidRPr="00EF6F81">
        <w:rPr>
          <w:rFonts w:eastAsia="Calibri"/>
          <w:b w:val="0"/>
          <w:szCs w:val="22"/>
          <w:lang w:val="hy-AM" w:eastAsia="en-US"/>
        </w:rPr>
        <w:t xml:space="preserve"> թվականին փաս</w:t>
      </w:r>
      <w:r w:rsidRPr="00EF6F81">
        <w:rPr>
          <w:rFonts w:eastAsia="Calibri"/>
          <w:b w:val="0"/>
          <w:szCs w:val="22"/>
          <w:lang w:val="hy-AM" w:eastAsia="en-US"/>
        </w:rPr>
        <w:softHyphen/>
        <w:t>տա</w:t>
      </w:r>
      <w:r w:rsidRPr="00EF6F81">
        <w:rPr>
          <w:rFonts w:eastAsia="Calibri"/>
          <w:b w:val="0"/>
          <w:szCs w:val="22"/>
          <w:lang w:val="hy-AM" w:eastAsia="en-US"/>
        </w:rPr>
        <w:softHyphen/>
        <w:t>ցի ստաց</w:t>
      </w:r>
      <w:r w:rsidRPr="00EF6F81">
        <w:rPr>
          <w:rFonts w:eastAsia="Calibri"/>
          <w:b w:val="0"/>
          <w:szCs w:val="22"/>
          <w:lang w:val="hy-AM" w:eastAsia="en-US"/>
        </w:rPr>
        <w:softHyphen/>
        <w:t>ված 10,</w:t>
      </w:r>
      <w:r w:rsidRPr="00EF6F81">
        <w:rPr>
          <w:rFonts w:eastAsia="Calibri"/>
          <w:b w:val="0"/>
          <w:szCs w:val="22"/>
          <w:lang w:val="af-ZA" w:eastAsia="en-US"/>
        </w:rPr>
        <w:t>868.0</w:t>
      </w:r>
      <w:r w:rsidRPr="00EF6F81">
        <w:rPr>
          <w:rFonts w:eastAsia="Calibri"/>
          <w:b w:val="0"/>
          <w:szCs w:val="22"/>
          <w:lang w:val="hy-AM" w:eastAsia="en-US"/>
        </w:rPr>
        <w:t xml:space="preserve"> մլն դրամի դիմաց: Պետական տուրքերի այս խմբի գծով </w:t>
      </w:r>
      <w:r w:rsidRPr="00EF6F81">
        <w:rPr>
          <w:rFonts w:eastAsia="Calibri"/>
          <w:b w:val="0"/>
          <w:szCs w:val="22"/>
          <w:lang w:val="af-ZA" w:eastAsia="en-US"/>
        </w:rPr>
        <w:t xml:space="preserve">2019 </w:t>
      </w:r>
      <w:r w:rsidRPr="00EF6F81">
        <w:rPr>
          <w:rFonts w:eastAsia="Calibri"/>
          <w:b w:val="0"/>
          <w:szCs w:val="22"/>
          <w:lang w:val="en-US" w:eastAsia="en-US"/>
        </w:rPr>
        <w:t>թվականի</w:t>
      </w:r>
      <w:r w:rsidRPr="00EF6F81">
        <w:rPr>
          <w:rFonts w:eastAsia="Calibri"/>
          <w:b w:val="0"/>
          <w:szCs w:val="22"/>
          <w:lang w:val="af-ZA" w:eastAsia="en-US"/>
        </w:rPr>
        <w:t xml:space="preserve"> </w:t>
      </w:r>
      <w:r w:rsidRPr="00EF6F81">
        <w:rPr>
          <w:rFonts w:eastAsia="Calibri"/>
          <w:b w:val="0"/>
          <w:szCs w:val="22"/>
          <w:lang w:val="en-US" w:eastAsia="en-US"/>
        </w:rPr>
        <w:t>փաստացի</w:t>
      </w:r>
      <w:r w:rsidRPr="00EF6F81">
        <w:rPr>
          <w:rFonts w:eastAsia="Calibri"/>
          <w:b w:val="0"/>
          <w:szCs w:val="22"/>
          <w:lang w:val="af-ZA" w:eastAsia="en-US"/>
        </w:rPr>
        <w:t xml:space="preserve"> </w:t>
      </w:r>
      <w:r w:rsidRPr="00EF6F81">
        <w:rPr>
          <w:rFonts w:eastAsia="Calibri"/>
          <w:b w:val="0"/>
          <w:szCs w:val="22"/>
          <w:lang w:val="en-US" w:eastAsia="en-US"/>
        </w:rPr>
        <w:t>մուտքերի</w:t>
      </w:r>
      <w:r w:rsidRPr="00EF6F81">
        <w:rPr>
          <w:rFonts w:eastAsia="Calibri"/>
          <w:b w:val="0"/>
          <w:szCs w:val="22"/>
          <w:lang w:val="af-ZA" w:eastAsia="en-US"/>
        </w:rPr>
        <w:t xml:space="preserve"> </w:t>
      </w:r>
      <w:r w:rsidRPr="00EF6F81">
        <w:rPr>
          <w:rFonts w:eastAsia="Calibri"/>
          <w:b w:val="0"/>
          <w:szCs w:val="22"/>
          <w:lang w:val="en-US" w:eastAsia="en-US"/>
        </w:rPr>
        <w:t>նկատմամբ</w:t>
      </w:r>
      <w:r w:rsidRPr="00EF6F81">
        <w:rPr>
          <w:rFonts w:eastAsia="Calibri"/>
          <w:b w:val="0"/>
          <w:szCs w:val="22"/>
          <w:lang w:val="af-ZA" w:eastAsia="en-US"/>
        </w:rPr>
        <w:t xml:space="preserve"> 2020 </w:t>
      </w:r>
      <w:r w:rsidRPr="00EF6F81">
        <w:rPr>
          <w:rFonts w:eastAsia="Calibri"/>
          <w:b w:val="0"/>
          <w:szCs w:val="22"/>
          <w:lang w:val="en-US" w:eastAsia="en-US"/>
        </w:rPr>
        <w:t>և</w:t>
      </w:r>
      <w:r w:rsidRPr="00EF6F81">
        <w:rPr>
          <w:rFonts w:eastAsia="Calibri"/>
          <w:b w:val="0"/>
          <w:szCs w:val="22"/>
          <w:lang w:val="af-ZA" w:eastAsia="en-US"/>
        </w:rPr>
        <w:t xml:space="preserve"> 2021 </w:t>
      </w:r>
      <w:r w:rsidRPr="00EF6F81">
        <w:rPr>
          <w:rFonts w:eastAsia="Calibri"/>
          <w:b w:val="0"/>
          <w:szCs w:val="22"/>
          <w:lang w:val="en-US" w:eastAsia="en-US"/>
        </w:rPr>
        <w:t>թվականների</w:t>
      </w:r>
      <w:r w:rsidRPr="00EF6F81">
        <w:rPr>
          <w:rFonts w:eastAsia="Calibri"/>
          <w:b w:val="0"/>
          <w:szCs w:val="22"/>
          <w:lang w:val="af-ZA" w:eastAsia="en-US"/>
        </w:rPr>
        <w:t xml:space="preserve"> </w:t>
      </w:r>
      <w:r w:rsidRPr="00EF6F81">
        <w:rPr>
          <w:rFonts w:eastAsia="Calibri"/>
          <w:b w:val="0"/>
          <w:szCs w:val="22"/>
          <w:lang w:val="hy-AM" w:eastAsia="en-US"/>
        </w:rPr>
        <w:t>մուտքերի աճը պայմանա</w:t>
      </w:r>
      <w:r w:rsidRPr="00EF6F81">
        <w:rPr>
          <w:rFonts w:eastAsia="Calibri"/>
          <w:b w:val="0"/>
          <w:szCs w:val="22"/>
          <w:lang w:val="af-ZA" w:eastAsia="en-US"/>
        </w:rPr>
        <w:softHyphen/>
      </w:r>
      <w:r w:rsidRPr="00EF6F81">
        <w:rPr>
          <w:rFonts w:eastAsia="Calibri"/>
          <w:b w:val="0"/>
          <w:szCs w:val="22"/>
          <w:lang w:val="hy-AM" w:eastAsia="en-US"/>
        </w:rPr>
        <w:t xml:space="preserve">վորված է հիմնականում օրենսդրական փոփոխություններով: </w:t>
      </w:r>
      <w:r w:rsidRPr="00EF6F81">
        <w:rPr>
          <w:rFonts w:eastAsia="Calibri" w:cs="GHEA Grapalat"/>
          <w:b w:val="0"/>
          <w:szCs w:val="22"/>
          <w:lang w:val="hy-AM" w:eastAsia="en-US"/>
        </w:rPr>
        <w:t>Համաձայն «Պետական տուրքի մասին» Հայաստանի Հանրապետության օրենքում փոփոխություններ և լրացումներ կատարելու մասին» 25.06.2019թ. ՀՕ-69-Ն օրենքի, 2020 թվականի հունվարի 1-ից վիճա</w:t>
      </w:r>
      <w:r w:rsidRPr="00EF6F81">
        <w:rPr>
          <w:rFonts w:eastAsia="Calibri" w:cs="GHEA Grapalat"/>
          <w:b w:val="0"/>
          <w:szCs w:val="22"/>
          <w:lang w:val="af-ZA" w:eastAsia="en-US"/>
        </w:rPr>
        <w:softHyphen/>
      </w:r>
      <w:r w:rsidRPr="00EF6F81">
        <w:rPr>
          <w:rFonts w:eastAsia="Calibri" w:cs="GHEA Grapalat"/>
          <w:b w:val="0"/>
          <w:szCs w:val="22"/>
          <w:lang w:val="hy-AM" w:eastAsia="en-US"/>
        </w:rPr>
        <w:t>կա</w:t>
      </w:r>
      <w:r w:rsidRPr="00EF6F81">
        <w:rPr>
          <w:rFonts w:eastAsia="Calibri" w:cs="GHEA Grapalat"/>
          <w:b w:val="0"/>
          <w:szCs w:val="22"/>
          <w:lang w:val="af-ZA" w:eastAsia="en-US"/>
        </w:rPr>
        <w:softHyphen/>
      </w:r>
      <w:r w:rsidRPr="00EF6F81">
        <w:rPr>
          <w:rFonts w:eastAsia="Calibri" w:cs="GHEA Grapalat"/>
          <w:b w:val="0"/>
          <w:szCs w:val="22"/>
          <w:lang w:val="hy-AM" w:eastAsia="en-US"/>
        </w:rPr>
        <w:t>խաղերի, շահում</w:t>
      </w:r>
      <w:r w:rsidRPr="00EF6F81">
        <w:rPr>
          <w:rFonts w:eastAsia="Calibri" w:cs="GHEA Grapalat"/>
          <w:b w:val="0"/>
          <w:szCs w:val="22"/>
          <w:lang w:val="af-ZA" w:eastAsia="en-US"/>
        </w:rPr>
        <w:softHyphen/>
      </w:r>
      <w:r w:rsidRPr="00EF6F81">
        <w:rPr>
          <w:rFonts w:eastAsia="Calibri" w:cs="GHEA Grapalat"/>
          <w:b w:val="0"/>
          <w:szCs w:val="22"/>
          <w:lang w:val="hy-AM" w:eastAsia="en-US"/>
        </w:rPr>
        <w:t>ներով խաղերի բնագավառի, բանկային և ֆինանսավարկային կազմակերպություն</w:t>
      </w:r>
      <w:r w:rsidRPr="00EF6F81">
        <w:rPr>
          <w:rFonts w:eastAsia="Calibri" w:cs="GHEA Grapalat"/>
          <w:b w:val="0"/>
          <w:szCs w:val="22"/>
          <w:lang w:val="af-ZA" w:eastAsia="en-US"/>
        </w:rPr>
        <w:softHyphen/>
      </w:r>
      <w:r w:rsidRPr="00EF6F81">
        <w:rPr>
          <w:rFonts w:eastAsia="Calibri" w:cs="GHEA Grapalat"/>
          <w:b w:val="0"/>
          <w:szCs w:val="22"/>
          <w:lang w:val="hy-AM" w:eastAsia="en-US"/>
        </w:rPr>
        <w:t>ների բնագավառի, արժութային կարգավորման բնագավառի և արժեթղթերի շրջանա</w:t>
      </w:r>
      <w:r w:rsidRPr="00EF6F81">
        <w:rPr>
          <w:rFonts w:eastAsia="Calibri" w:cs="GHEA Grapalat"/>
          <w:b w:val="0"/>
          <w:szCs w:val="22"/>
          <w:lang w:val="af-ZA" w:eastAsia="en-US"/>
        </w:rPr>
        <w:softHyphen/>
      </w:r>
      <w:r w:rsidRPr="00EF6F81">
        <w:rPr>
          <w:rFonts w:eastAsia="Calibri" w:cs="GHEA Grapalat"/>
          <w:b w:val="0"/>
          <w:szCs w:val="22"/>
          <w:lang w:val="hy-AM" w:eastAsia="en-US"/>
        </w:rPr>
        <w:t>ռության բնագավառի պետական տուրքերի մի շարք տեսակների համար սահմանվել են բարձր դրույքաչափեր, իսկ բանկային և ֆինանսավարկային կազմակերպությունների բնագավառի համար՝ նաև պետական տուրքի նոր տեսակներ: Համաձայն «Պետական տուրքի մասին» Հայաստանի Հանրապետության օրենքում փոփո</w:t>
      </w:r>
      <w:r w:rsidRPr="00EF6F81">
        <w:rPr>
          <w:rFonts w:eastAsia="Calibri" w:cs="GHEA Grapalat"/>
          <w:b w:val="0"/>
          <w:szCs w:val="22"/>
          <w:lang w:val="af-ZA" w:eastAsia="en-US"/>
        </w:rPr>
        <w:softHyphen/>
      </w:r>
      <w:r w:rsidRPr="00EF6F81">
        <w:rPr>
          <w:rFonts w:eastAsia="Calibri" w:cs="GHEA Grapalat"/>
          <w:b w:val="0"/>
          <w:szCs w:val="22"/>
          <w:lang w:val="hy-AM" w:eastAsia="en-US"/>
        </w:rPr>
        <w:t xml:space="preserve">խություններ կատարելու մասին» </w:t>
      </w:r>
      <w:r w:rsidRPr="00EF6F81">
        <w:rPr>
          <w:rFonts w:eastAsia="Calibri" w:cs="GHEA Grapalat"/>
          <w:b w:val="0"/>
          <w:iCs/>
          <w:szCs w:val="22"/>
          <w:lang w:val="hy-AM" w:eastAsia="en-US"/>
        </w:rPr>
        <w:t>14.11.19</w:t>
      </w:r>
      <w:r w:rsidRPr="00EF6F81">
        <w:rPr>
          <w:rFonts w:eastAsia="Calibri" w:cs="GHEA Grapalat"/>
          <w:b w:val="0"/>
          <w:iCs/>
          <w:szCs w:val="22"/>
          <w:lang w:val="en-US" w:eastAsia="en-US"/>
        </w:rPr>
        <w:t>թ</w:t>
      </w:r>
      <w:r w:rsidRPr="00EF6F81">
        <w:rPr>
          <w:rFonts w:eastAsia="Calibri" w:cs="GHEA Grapalat"/>
          <w:b w:val="0"/>
          <w:iCs/>
          <w:szCs w:val="22"/>
          <w:lang w:val="af-ZA" w:eastAsia="en-US"/>
        </w:rPr>
        <w:t>.</w:t>
      </w:r>
      <w:r w:rsidRPr="00EF6F81">
        <w:rPr>
          <w:rFonts w:eastAsia="Calibri" w:cs="GHEA Grapalat"/>
          <w:b w:val="0"/>
          <w:iCs/>
          <w:szCs w:val="22"/>
          <w:lang w:val="hy-AM" w:eastAsia="en-US"/>
        </w:rPr>
        <w:t xml:space="preserve"> ՀՕ-230-Ն օրենքի</w:t>
      </w:r>
      <w:r w:rsidRPr="00EF6F81">
        <w:rPr>
          <w:rFonts w:eastAsia="Calibri" w:cs="GHEA Grapalat"/>
          <w:b w:val="0"/>
          <w:iCs/>
          <w:szCs w:val="22"/>
          <w:lang w:val="af-ZA" w:eastAsia="en-US"/>
        </w:rPr>
        <w:t xml:space="preserve">, 2020 </w:t>
      </w:r>
      <w:r w:rsidRPr="00EF6F81">
        <w:rPr>
          <w:rFonts w:eastAsia="Calibri" w:cs="GHEA Grapalat"/>
          <w:b w:val="0"/>
          <w:iCs/>
          <w:szCs w:val="22"/>
          <w:lang w:val="en-US" w:eastAsia="en-US"/>
        </w:rPr>
        <w:t>թվականի</w:t>
      </w:r>
      <w:r w:rsidRPr="00EF6F81">
        <w:rPr>
          <w:rFonts w:eastAsia="Calibri" w:cs="GHEA Grapalat"/>
          <w:b w:val="0"/>
          <w:iCs/>
          <w:szCs w:val="22"/>
          <w:lang w:val="af-ZA" w:eastAsia="en-US"/>
        </w:rPr>
        <w:t xml:space="preserve"> </w:t>
      </w:r>
      <w:r w:rsidRPr="00EF6F81">
        <w:rPr>
          <w:rFonts w:eastAsia="Calibri" w:cs="GHEA Grapalat"/>
          <w:b w:val="0"/>
          <w:iCs/>
          <w:szCs w:val="22"/>
          <w:lang w:val="en-US" w:eastAsia="en-US"/>
        </w:rPr>
        <w:t>փետրվարի</w:t>
      </w:r>
      <w:r w:rsidRPr="00EF6F81">
        <w:rPr>
          <w:rFonts w:eastAsia="Calibri" w:cs="GHEA Grapalat"/>
          <w:b w:val="0"/>
          <w:iCs/>
          <w:szCs w:val="22"/>
          <w:lang w:val="af-ZA" w:eastAsia="en-US"/>
        </w:rPr>
        <w:t xml:space="preserve"> 1-</w:t>
      </w:r>
      <w:r w:rsidRPr="00EF6F81">
        <w:rPr>
          <w:rFonts w:eastAsia="Calibri" w:cs="GHEA Grapalat"/>
          <w:b w:val="0"/>
          <w:szCs w:val="22"/>
          <w:lang w:val="hy-AM" w:eastAsia="en-US"/>
        </w:rPr>
        <w:t>ից մ</w:t>
      </w:r>
      <w:r w:rsidRPr="00EF6F81">
        <w:rPr>
          <w:rFonts w:eastAsia="Calibri" w:cs="GHEA Grapalat"/>
          <w:b w:val="0"/>
          <w:bCs/>
          <w:szCs w:val="22"/>
          <w:lang w:val="hy-AM" w:eastAsia="en-US"/>
        </w:rPr>
        <w:t>աքսային մարմին</w:t>
      </w:r>
      <w:r w:rsidRPr="00EF6F81">
        <w:rPr>
          <w:rFonts w:eastAsia="Calibri" w:cs="GHEA Grapalat"/>
          <w:b w:val="0"/>
          <w:bCs/>
          <w:szCs w:val="22"/>
          <w:lang w:val="af-ZA" w:eastAsia="en-US"/>
        </w:rPr>
        <w:softHyphen/>
      </w:r>
      <w:r w:rsidRPr="00EF6F81">
        <w:rPr>
          <w:rFonts w:eastAsia="Calibri" w:cs="GHEA Grapalat"/>
          <w:b w:val="0"/>
          <w:bCs/>
          <w:szCs w:val="22"/>
          <w:lang w:val="hy-AM" w:eastAsia="en-US"/>
        </w:rPr>
        <w:t>ների կողմից օրենքով սահմանված դեպքում մաքսային գործառ</w:t>
      </w:r>
      <w:r w:rsidRPr="00EF6F81">
        <w:rPr>
          <w:rFonts w:eastAsia="Calibri" w:cs="GHEA Grapalat"/>
          <w:b w:val="0"/>
          <w:bCs/>
          <w:szCs w:val="22"/>
          <w:lang w:val="af-ZA" w:eastAsia="en-US"/>
        </w:rPr>
        <w:softHyphen/>
      </w:r>
      <w:r w:rsidRPr="00EF6F81">
        <w:rPr>
          <w:rFonts w:eastAsia="Calibri" w:cs="GHEA Grapalat"/>
          <w:b w:val="0"/>
          <w:bCs/>
          <w:szCs w:val="22"/>
          <w:lang w:val="hy-AM" w:eastAsia="en-US"/>
        </w:rPr>
        <w:t>նությունների իրականաց</w:t>
      </w:r>
      <w:r w:rsidRPr="00EF6F81">
        <w:rPr>
          <w:rFonts w:eastAsia="Calibri" w:cs="GHEA Grapalat"/>
          <w:b w:val="0"/>
          <w:bCs/>
          <w:szCs w:val="22"/>
          <w:lang w:val="af-ZA" w:eastAsia="en-US"/>
        </w:rPr>
        <w:softHyphen/>
      </w:r>
      <w:r w:rsidRPr="00EF6F81">
        <w:rPr>
          <w:rFonts w:eastAsia="Calibri" w:cs="GHEA Grapalat"/>
          <w:b w:val="0"/>
          <w:bCs/>
          <w:szCs w:val="22"/>
          <w:lang w:val="hy-AM" w:eastAsia="en-US"/>
        </w:rPr>
        <w:t>ման, մաքսային ուղեկցման, ապրանքների ժամանակավոր պահ</w:t>
      </w:r>
      <w:r w:rsidRPr="00EF6F81">
        <w:rPr>
          <w:rFonts w:eastAsia="Calibri" w:cs="GHEA Grapalat"/>
          <w:b w:val="0"/>
          <w:bCs/>
          <w:szCs w:val="22"/>
          <w:lang w:val="af-ZA" w:eastAsia="en-US"/>
        </w:rPr>
        <w:softHyphen/>
      </w:r>
      <w:r w:rsidRPr="00EF6F81">
        <w:rPr>
          <w:rFonts w:eastAsia="Calibri" w:cs="GHEA Grapalat"/>
          <w:b w:val="0"/>
          <w:bCs/>
          <w:szCs w:val="22"/>
          <w:lang w:val="hy-AM" w:eastAsia="en-US"/>
        </w:rPr>
        <w:t>պա</w:t>
      </w:r>
      <w:r w:rsidRPr="00EF6F81">
        <w:rPr>
          <w:rFonts w:eastAsia="Calibri" w:cs="GHEA Grapalat"/>
          <w:b w:val="0"/>
          <w:bCs/>
          <w:szCs w:val="22"/>
          <w:lang w:val="af-ZA" w:eastAsia="en-US"/>
        </w:rPr>
        <w:softHyphen/>
      </w:r>
      <w:r w:rsidRPr="00EF6F81">
        <w:rPr>
          <w:rFonts w:eastAsia="Calibri" w:cs="GHEA Grapalat"/>
          <w:b w:val="0"/>
          <w:bCs/>
          <w:szCs w:val="22"/>
          <w:lang w:val="hy-AM" w:eastAsia="en-US"/>
        </w:rPr>
        <w:t xml:space="preserve">նության, ինչպես նաև նախնական որոշումների տրամադրման համար </w:t>
      </w:r>
      <w:r w:rsidRPr="00EF6F81">
        <w:rPr>
          <w:rFonts w:eastAsia="Calibri" w:cs="GHEA Grapalat"/>
          <w:b w:val="0"/>
          <w:szCs w:val="22"/>
          <w:lang w:val="hy-AM" w:eastAsia="en-US"/>
        </w:rPr>
        <w:t xml:space="preserve">սահմանվել  է </w:t>
      </w:r>
      <w:r w:rsidRPr="00EF6F81">
        <w:rPr>
          <w:rFonts w:eastAsia="Calibri" w:cs="GHEA Grapalat"/>
          <w:b w:val="0"/>
          <w:bCs/>
          <w:szCs w:val="22"/>
          <w:lang w:val="hy-AM" w:eastAsia="en-US"/>
        </w:rPr>
        <w:t>պետական տուրքի  գանձում</w:t>
      </w:r>
      <w:r w:rsidRPr="00EF6F81">
        <w:rPr>
          <w:rFonts w:eastAsia="Calibri" w:cs="GHEA Grapalat"/>
          <w:b w:val="0"/>
          <w:bCs/>
          <w:szCs w:val="22"/>
          <w:lang w:val="af-ZA" w:eastAsia="en-US"/>
        </w:rPr>
        <w:t xml:space="preserve">: </w:t>
      </w:r>
    </w:p>
    <w:p w:rsidR="00A22793" w:rsidRPr="00EF6F81" w:rsidRDefault="00A22793" w:rsidP="007730AA">
      <w:pPr>
        <w:spacing w:before="0" w:line="276" w:lineRule="auto"/>
        <w:ind w:firstLine="538"/>
        <w:rPr>
          <w:rFonts w:eastAsia="Calibri"/>
          <w:b w:val="0"/>
          <w:szCs w:val="22"/>
          <w:lang w:val="hy-AM" w:eastAsia="en-US"/>
        </w:rPr>
      </w:pPr>
      <w:r w:rsidRPr="00EF6F81">
        <w:rPr>
          <w:rFonts w:eastAsia="Calibri"/>
          <w:b w:val="0"/>
          <w:szCs w:val="22"/>
          <w:lang w:val="hy-AM" w:eastAsia="en-US"/>
        </w:rPr>
        <w:t>Այս խմբի պե</w:t>
      </w:r>
      <w:r w:rsidRPr="00EF6F81">
        <w:rPr>
          <w:rFonts w:eastAsia="Calibri"/>
          <w:b w:val="0"/>
          <w:szCs w:val="22"/>
          <w:lang w:val="hy-AM" w:eastAsia="en-US"/>
        </w:rPr>
        <w:softHyphen/>
        <w:t>տա</w:t>
      </w:r>
      <w:r w:rsidRPr="00EF6F81">
        <w:rPr>
          <w:rFonts w:eastAsia="Calibri"/>
          <w:b w:val="0"/>
          <w:szCs w:val="22"/>
          <w:lang w:val="hy-AM" w:eastAsia="en-US"/>
        </w:rPr>
        <w:softHyphen/>
        <w:t>կան տուրքերի 202</w:t>
      </w:r>
      <w:r w:rsidRPr="00EF6F81">
        <w:rPr>
          <w:rFonts w:eastAsia="Calibri"/>
          <w:b w:val="0"/>
          <w:szCs w:val="22"/>
          <w:lang w:val="af-ZA" w:eastAsia="en-US"/>
        </w:rPr>
        <w:t>1</w:t>
      </w:r>
      <w:r w:rsidRPr="00EF6F81">
        <w:rPr>
          <w:rFonts w:eastAsia="Calibri"/>
          <w:b w:val="0"/>
          <w:szCs w:val="22"/>
          <w:lang w:val="hy-AM" w:eastAsia="en-US"/>
        </w:rPr>
        <w:t xml:space="preserve"> թվականի մուտքերի գերակշիռ մասը` 1</w:t>
      </w:r>
      <w:r w:rsidRPr="00EF6F81">
        <w:rPr>
          <w:rFonts w:eastAsia="Calibri"/>
          <w:b w:val="0"/>
          <w:szCs w:val="22"/>
          <w:lang w:val="af-ZA" w:eastAsia="en-US"/>
        </w:rPr>
        <w:t>4,151.7</w:t>
      </w:r>
      <w:r w:rsidRPr="00EF6F81">
        <w:rPr>
          <w:rFonts w:eastAsia="Calibri"/>
          <w:b w:val="0"/>
          <w:szCs w:val="22"/>
          <w:lang w:val="hy-AM" w:eastAsia="en-US"/>
        </w:rPr>
        <w:t xml:space="preserve"> մլն դրամը կամ </w:t>
      </w:r>
      <w:r w:rsidRPr="00EF6F81">
        <w:rPr>
          <w:rFonts w:eastAsia="Calibri"/>
          <w:b w:val="0"/>
          <w:szCs w:val="22"/>
          <w:lang w:val="af-ZA" w:eastAsia="en-US"/>
        </w:rPr>
        <w:t>91.3</w:t>
      </w:r>
      <w:r w:rsidRPr="00EF6F81">
        <w:rPr>
          <w:rFonts w:eastAsia="Calibri"/>
          <w:b w:val="0"/>
          <w:szCs w:val="22"/>
          <w:lang w:val="hy-AM" w:eastAsia="en-US"/>
        </w:rPr>
        <w:t xml:space="preserve"> %-ը նախատեսվում է գանձել </w:t>
      </w:r>
      <w:r w:rsidRPr="00EF6F81">
        <w:rPr>
          <w:rFonts w:eastAsia="Calibri" w:cs="GHEA Grapalat"/>
          <w:b w:val="0"/>
          <w:szCs w:val="22"/>
          <w:lang w:val="hy-AM" w:eastAsia="en-US"/>
        </w:rPr>
        <w:t xml:space="preserve">վիճակախաղերի, շահումներով խաղերի, բանկային և ֆինանսավարկային կազմակերպությունների, </w:t>
      </w:r>
      <w:r w:rsidRPr="00EF6F81">
        <w:rPr>
          <w:rFonts w:eastAsia="Calibri"/>
          <w:b w:val="0"/>
          <w:szCs w:val="22"/>
          <w:lang w:val="hy-AM" w:eastAsia="en-US"/>
        </w:rPr>
        <w:t>պետական սեփակա</w:t>
      </w:r>
      <w:r w:rsidRPr="00EF6F81">
        <w:rPr>
          <w:rFonts w:eastAsia="Calibri"/>
          <w:b w:val="0"/>
          <w:szCs w:val="22"/>
          <w:lang w:val="hy-AM" w:eastAsia="en-US"/>
        </w:rPr>
        <w:softHyphen/>
        <w:t>նություն հանդիսացող ընդերքի և բնական ռե</w:t>
      </w:r>
      <w:r w:rsidRPr="00EF6F81">
        <w:rPr>
          <w:rFonts w:eastAsia="Calibri"/>
          <w:b w:val="0"/>
          <w:szCs w:val="22"/>
          <w:lang w:val="hy-AM" w:eastAsia="en-US"/>
        </w:rPr>
        <w:softHyphen/>
        <w:t>սուրս</w:t>
      </w:r>
      <w:r w:rsidRPr="00EF6F81">
        <w:rPr>
          <w:rFonts w:eastAsia="Calibri"/>
          <w:b w:val="0"/>
          <w:szCs w:val="22"/>
          <w:lang w:val="hy-AM" w:eastAsia="en-US"/>
        </w:rPr>
        <w:softHyphen/>
      </w:r>
      <w:r w:rsidRPr="00EF6F81">
        <w:rPr>
          <w:rFonts w:eastAsia="Calibri"/>
          <w:b w:val="0"/>
          <w:szCs w:val="22"/>
          <w:lang w:val="hy-AM" w:eastAsia="en-US"/>
        </w:rPr>
        <w:softHyphen/>
        <w:t>նե</w:t>
      </w:r>
      <w:r w:rsidRPr="00EF6F81">
        <w:rPr>
          <w:rFonts w:eastAsia="Calibri"/>
          <w:b w:val="0"/>
          <w:szCs w:val="22"/>
          <w:lang w:val="hy-AM" w:eastAsia="en-US"/>
        </w:rPr>
        <w:softHyphen/>
        <w:t xml:space="preserve">րի, ինչպես նաև </w:t>
      </w:r>
      <w:r w:rsidRPr="00EF6F81">
        <w:rPr>
          <w:rFonts w:eastAsia="Calibri"/>
          <w:b w:val="0"/>
          <w:szCs w:val="22"/>
          <w:lang w:val="en-US" w:eastAsia="en-US"/>
        </w:rPr>
        <w:t>բանկային</w:t>
      </w:r>
      <w:r w:rsidRPr="00EF6F81">
        <w:rPr>
          <w:rFonts w:eastAsia="Calibri"/>
          <w:b w:val="0"/>
          <w:szCs w:val="22"/>
          <w:lang w:val="af-ZA" w:eastAsia="en-US"/>
        </w:rPr>
        <w:t xml:space="preserve">, </w:t>
      </w:r>
      <w:r w:rsidRPr="00EF6F81">
        <w:rPr>
          <w:rFonts w:eastAsia="Calibri"/>
          <w:b w:val="0"/>
          <w:szCs w:val="22"/>
          <w:lang w:val="en-US" w:eastAsia="en-US"/>
        </w:rPr>
        <w:t>մաքսային</w:t>
      </w:r>
      <w:r w:rsidRPr="00EF6F81">
        <w:rPr>
          <w:rFonts w:eastAsia="Calibri"/>
          <w:b w:val="0"/>
          <w:szCs w:val="22"/>
          <w:lang w:val="af-ZA" w:eastAsia="en-US"/>
        </w:rPr>
        <w:t xml:space="preserve">, </w:t>
      </w:r>
      <w:r w:rsidRPr="00EF6F81">
        <w:rPr>
          <w:rFonts w:eastAsia="Calibri"/>
          <w:b w:val="0"/>
          <w:szCs w:val="22"/>
          <w:lang w:val="en-US" w:eastAsia="en-US"/>
        </w:rPr>
        <w:t>տրանս</w:t>
      </w:r>
      <w:r w:rsidRPr="00EF6F81">
        <w:rPr>
          <w:rFonts w:eastAsia="Calibri"/>
          <w:b w:val="0"/>
          <w:szCs w:val="22"/>
          <w:lang w:val="af-ZA" w:eastAsia="en-US"/>
        </w:rPr>
        <w:softHyphen/>
      </w:r>
      <w:r w:rsidRPr="00EF6F81">
        <w:rPr>
          <w:rFonts w:eastAsia="Calibri"/>
          <w:b w:val="0"/>
          <w:szCs w:val="22"/>
          <w:lang w:val="af-ZA" w:eastAsia="en-US"/>
        </w:rPr>
        <w:softHyphen/>
      </w:r>
      <w:r w:rsidRPr="00EF6F81">
        <w:rPr>
          <w:rFonts w:eastAsia="Calibri"/>
          <w:b w:val="0"/>
          <w:szCs w:val="22"/>
          <w:lang w:val="en-US" w:eastAsia="en-US"/>
        </w:rPr>
        <w:t>պորտի</w:t>
      </w:r>
      <w:r w:rsidRPr="00EF6F81">
        <w:rPr>
          <w:rFonts w:eastAsia="Calibri"/>
          <w:b w:val="0"/>
          <w:szCs w:val="22"/>
          <w:lang w:val="af-ZA" w:eastAsia="en-US"/>
        </w:rPr>
        <w:t xml:space="preserve"> </w:t>
      </w:r>
      <w:r w:rsidRPr="00EF6F81">
        <w:rPr>
          <w:rFonts w:eastAsia="Calibri"/>
          <w:b w:val="0"/>
          <w:szCs w:val="22"/>
          <w:lang w:val="en-US" w:eastAsia="en-US"/>
        </w:rPr>
        <w:t>և</w:t>
      </w:r>
      <w:r w:rsidRPr="00EF6F81">
        <w:rPr>
          <w:rFonts w:eastAsia="Calibri"/>
          <w:b w:val="0"/>
          <w:szCs w:val="22"/>
          <w:lang w:val="af-ZA" w:eastAsia="en-US"/>
        </w:rPr>
        <w:t xml:space="preserve"> </w:t>
      </w:r>
      <w:r w:rsidRPr="00EF6F81">
        <w:rPr>
          <w:rFonts w:eastAsia="Calibri"/>
          <w:b w:val="0"/>
          <w:szCs w:val="22"/>
          <w:lang w:val="hy-AM" w:eastAsia="en-US"/>
        </w:rPr>
        <w:t>քաղա</w:t>
      </w:r>
      <w:r w:rsidRPr="00EF6F81">
        <w:rPr>
          <w:rFonts w:eastAsia="Calibri"/>
          <w:b w:val="0"/>
          <w:szCs w:val="22"/>
          <w:lang w:val="hy-AM" w:eastAsia="en-US"/>
        </w:rPr>
        <w:softHyphen/>
        <w:t>քա</w:t>
      </w:r>
      <w:r w:rsidRPr="00EF6F81">
        <w:rPr>
          <w:rFonts w:eastAsia="Calibri"/>
          <w:b w:val="0"/>
          <w:szCs w:val="22"/>
          <w:lang w:val="hy-AM" w:eastAsia="en-US"/>
        </w:rPr>
        <w:softHyphen/>
        <w:t>շինության բնագավառ</w:t>
      </w:r>
      <w:r w:rsidRPr="00EF6F81">
        <w:rPr>
          <w:rFonts w:eastAsia="Calibri"/>
          <w:b w:val="0"/>
          <w:szCs w:val="22"/>
          <w:lang w:val="hy-AM" w:eastAsia="en-US"/>
        </w:rPr>
        <w:softHyphen/>
        <w:t>ներում լիցեն</w:t>
      </w:r>
      <w:r w:rsidRPr="00EF6F81">
        <w:rPr>
          <w:rFonts w:eastAsia="Calibri"/>
          <w:b w:val="0"/>
          <w:szCs w:val="22"/>
          <w:lang w:val="hy-AM" w:eastAsia="en-US"/>
        </w:rPr>
        <w:softHyphen/>
        <w:t>զավոր</w:t>
      </w:r>
      <w:r w:rsidRPr="00EF6F81">
        <w:rPr>
          <w:rFonts w:eastAsia="Calibri"/>
          <w:b w:val="0"/>
          <w:szCs w:val="22"/>
          <w:lang w:val="hy-AM" w:eastAsia="en-US"/>
        </w:rPr>
        <w:softHyphen/>
        <w:t>ման ենթակա գործու</w:t>
      </w:r>
      <w:r w:rsidRPr="00EF6F81">
        <w:rPr>
          <w:rFonts w:eastAsia="Calibri"/>
          <w:b w:val="0"/>
          <w:szCs w:val="22"/>
          <w:lang w:val="af-ZA" w:eastAsia="en-US"/>
        </w:rPr>
        <w:softHyphen/>
      </w:r>
      <w:r w:rsidRPr="00EF6F81">
        <w:rPr>
          <w:rFonts w:eastAsia="Calibri"/>
          <w:b w:val="0"/>
          <w:szCs w:val="22"/>
          <w:lang w:val="hy-AM" w:eastAsia="en-US"/>
        </w:rPr>
        <w:t>նեու</w:t>
      </w:r>
      <w:r w:rsidRPr="00EF6F81">
        <w:rPr>
          <w:rFonts w:eastAsia="Calibri"/>
          <w:b w:val="0"/>
          <w:szCs w:val="22"/>
          <w:lang w:val="af-ZA" w:eastAsia="en-US"/>
        </w:rPr>
        <w:softHyphen/>
      </w:r>
      <w:r w:rsidRPr="00EF6F81">
        <w:rPr>
          <w:rFonts w:eastAsia="Calibri"/>
          <w:b w:val="0"/>
          <w:szCs w:val="22"/>
          <w:lang w:val="hy-AM" w:eastAsia="en-US"/>
        </w:rPr>
        <w:t>թյուն իրա</w:t>
      </w:r>
      <w:r w:rsidRPr="00EF6F81">
        <w:rPr>
          <w:rFonts w:eastAsia="Calibri"/>
          <w:b w:val="0"/>
          <w:szCs w:val="22"/>
          <w:lang w:val="hy-AM" w:eastAsia="en-US"/>
        </w:rPr>
        <w:softHyphen/>
        <w:t>կա</w:t>
      </w:r>
      <w:r w:rsidRPr="00EF6F81">
        <w:rPr>
          <w:rFonts w:eastAsia="Calibri"/>
          <w:b w:val="0"/>
          <w:szCs w:val="22"/>
          <w:lang w:val="hy-AM" w:eastAsia="en-US"/>
        </w:rPr>
        <w:softHyphen/>
        <w:t>նացնելու համար վճարվելիք պետական տուր</w:t>
      </w:r>
      <w:r w:rsidRPr="00EF6F81">
        <w:rPr>
          <w:rFonts w:eastAsia="Calibri"/>
          <w:b w:val="0"/>
          <w:szCs w:val="22"/>
          <w:lang w:val="hy-AM" w:eastAsia="en-US"/>
        </w:rPr>
        <w:softHyphen/>
        <w:t>քե</w:t>
      </w:r>
      <w:r w:rsidRPr="00EF6F81">
        <w:rPr>
          <w:rFonts w:eastAsia="Calibri"/>
          <w:b w:val="0"/>
          <w:szCs w:val="22"/>
          <w:lang w:val="hy-AM" w:eastAsia="en-US"/>
        </w:rPr>
        <w:softHyphen/>
        <w:t xml:space="preserve">րի հաշվին: </w:t>
      </w:r>
      <w:r w:rsidRPr="00EF6F81">
        <w:rPr>
          <w:rFonts w:eastAsia="Calibri" w:cs="GHEA Grapalat"/>
          <w:b w:val="0"/>
          <w:szCs w:val="22"/>
          <w:lang w:val="hy-AM" w:eastAsia="en-US"/>
        </w:rPr>
        <w:t>Լիցենզավորման ենթա</w:t>
      </w:r>
      <w:r w:rsidRPr="00EF6F81">
        <w:rPr>
          <w:rFonts w:eastAsia="Calibri" w:cs="GHEA Grapalat"/>
          <w:b w:val="0"/>
          <w:szCs w:val="22"/>
          <w:lang w:val="af-ZA" w:eastAsia="en-US"/>
        </w:rPr>
        <w:softHyphen/>
      </w:r>
      <w:r w:rsidRPr="00EF6F81">
        <w:rPr>
          <w:rFonts w:eastAsia="Calibri" w:cs="GHEA Grapalat"/>
          <w:b w:val="0"/>
          <w:szCs w:val="22"/>
          <w:lang w:val="hy-AM" w:eastAsia="en-US"/>
        </w:rPr>
        <w:t>կա գործունեություն իրականացնելու համար գանձվող պե</w:t>
      </w:r>
      <w:r w:rsidRPr="00EF6F81">
        <w:rPr>
          <w:rFonts w:eastAsia="Calibri" w:cs="GHEA Grapalat"/>
          <w:b w:val="0"/>
          <w:szCs w:val="22"/>
          <w:lang w:val="hy-AM" w:eastAsia="en-US"/>
        </w:rPr>
        <w:softHyphen/>
      </w:r>
      <w:r w:rsidRPr="00EF6F81">
        <w:rPr>
          <w:rFonts w:eastAsia="Calibri" w:cs="GHEA Grapalat"/>
          <w:b w:val="0"/>
          <w:szCs w:val="22"/>
          <w:lang w:val="hy-AM" w:eastAsia="en-US"/>
        </w:rPr>
        <w:softHyphen/>
        <w:t>տա</w:t>
      </w:r>
      <w:r w:rsidRPr="00EF6F81">
        <w:rPr>
          <w:rFonts w:eastAsia="Calibri" w:cs="GHEA Grapalat"/>
          <w:b w:val="0"/>
          <w:szCs w:val="22"/>
          <w:lang w:val="hy-AM" w:eastAsia="en-US"/>
        </w:rPr>
        <w:softHyphen/>
      </w:r>
      <w:r w:rsidRPr="00EF6F81">
        <w:rPr>
          <w:rFonts w:eastAsia="Calibri" w:cs="GHEA Grapalat"/>
          <w:b w:val="0"/>
          <w:szCs w:val="22"/>
          <w:lang w:val="hy-AM" w:eastAsia="en-US"/>
        </w:rPr>
        <w:softHyphen/>
        <w:t>կան տուր</w:t>
      </w:r>
      <w:r w:rsidRPr="00EF6F81">
        <w:rPr>
          <w:rFonts w:eastAsia="Calibri" w:cs="GHEA Grapalat"/>
          <w:b w:val="0"/>
          <w:szCs w:val="22"/>
          <w:lang w:val="hy-AM" w:eastAsia="en-US"/>
        </w:rPr>
        <w:softHyphen/>
        <w:t>քերի գծով կան</w:t>
      </w:r>
      <w:r w:rsidRPr="00EF6F81">
        <w:rPr>
          <w:rFonts w:eastAsia="Calibri" w:cs="GHEA Grapalat"/>
          <w:b w:val="0"/>
          <w:szCs w:val="22"/>
          <w:lang w:val="hy-AM" w:eastAsia="en-US"/>
        </w:rPr>
        <w:softHyphen/>
        <w:t>խատեսումներն իրականացվել են` ել</w:t>
      </w:r>
      <w:r w:rsidRPr="00EF6F81">
        <w:rPr>
          <w:rFonts w:eastAsia="Calibri" w:cs="GHEA Grapalat"/>
          <w:b w:val="0"/>
          <w:szCs w:val="22"/>
          <w:lang w:val="hy-AM" w:eastAsia="en-US"/>
        </w:rPr>
        <w:softHyphen/>
        <w:t>նե</w:t>
      </w:r>
      <w:r w:rsidRPr="00EF6F81">
        <w:rPr>
          <w:rFonts w:eastAsia="Calibri" w:cs="GHEA Grapalat"/>
          <w:b w:val="0"/>
          <w:szCs w:val="22"/>
          <w:lang w:val="hy-AM" w:eastAsia="en-US"/>
        </w:rPr>
        <w:softHyphen/>
        <w:t>լով օրենքով նա</w:t>
      </w:r>
      <w:r w:rsidRPr="00EF6F81">
        <w:rPr>
          <w:rFonts w:eastAsia="Calibri" w:cs="GHEA Grapalat"/>
          <w:b w:val="0"/>
          <w:szCs w:val="22"/>
          <w:lang w:val="hy-AM" w:eastAsia="en-US"/>
        </w:rPr>
        <w:softHyphen/>
        <w:t>խա</w:t>
      </w:r>
      <w:r w:rsidRPr="00EF6F81">
        <w:rPr>
          <w:rFonts w:eastAsia="Calibri" w:cs="GHEA Grapalat"/>
          <w:b w:val="0"/>
          <w:szCs w:val="22"/>
          <w:lang w:val="hy-AM" w:eastAsia="en-US"/>
        </w:rPr>
        <w:softHyphen/>
        <w:t>տես</w:t>
      </w:r>
      <w:r w:rsidRPr="00EF6F81">
        <w:rPr>
          <w:rFonts w:eastAsia="Calibri" w:cs="GHEA Grapalat"/>
          <w:b w:val="0"/>
          <w:szCs w:val="22"/>
          <w:lang w:val="hy-AM" w:eastAsia="en-US"/>
        </w:rPr>
        <w:softHyphen/>
        <w:t>ված լիցեն</w:t>
      </w:r>
      <w:r w:rsidRPr="00EF6F81">
        <w:rPr>
          <w:rFonts w:eastAsia="Calibri" w:cs="GHEA Grapalat"/>
          <w:b w:val="0"/>
          <w:szCs w:val="22"/>
          <w:lang w:val="hy-AM" w:eastAsia="en-US"/>
        </w:rPr>
        <w:softHyphen/>
        <w:t>զա</w:t>
      </w:r>
      <w:r w:rsidRPr="00EF6F81">
        <w:rPr>
          <w:rFonts w:eastAsia="Calibri" w:cs="GHEA Grapalat"/>
          <w:b w:val="0"/>
          <w:szCs w:val="22"/>
          <w:lang w:val="hy-AM" w:eastAsia="en-US"/>
        </w:rPr>
        <w:softHyphen/>
      </w:r>
      <w:r w:rsidRPr="00EF6F81">
        <w:rPr>
          <w:rFonts w:eastAsia="Calibri" w:cs="GHEA Grapalat"/>
          <w:b w:val="0"/>
          <w:szCs w:val="22"/>
          <w:lang w:val="hy-AM" w:eastAsia="en-US"/>
        </w:rPr>
        <w:softHyphen/>
        <w:t>վոր</w:t>
      </w:r>
      <w:r w:rsidRPr="00EF6F81">
        <w:rPr>
          <w:rFonts w:eastAsia="Calibri" w:cs="GHEA Grapalat"/>
          <w:b w:val="0"/>
          <w:szCs w:val="22"/>
          <w:lang w:val="hy-AM" w:eastAsia="en-US"/>
        </w:rPr>
        <w:softHyphen/>
        <w:t>ման են</w:t>
      </w:r>
      <w:r w:rsidRPr="00EF6F81">
        <w:rPr>
          <w:rFonts w:eastAsia="Calibri" w:cs="GHEA Grapalat"/>
          <w:b w:val="0"/>
          <w:szCs w:val="22"/>
          <w:lang w:val="hy-AM" w:eastAsia="en-US"/>
        </w:rPr>
        <w:softHyphen/>
        <w:t>թա</w:t>
      </w:r>
      <w:r w:rsidRPr="00EF6F81">
        <w:rPr>
          <w:rFonts w:eastAsia="Calibri" w:cs="GHEA Grapalat"/>
          <w:b w:val="0"/>
          <w:szCs w:val="22"/>
          <w:lang w:val="hy-AM" w:eastAsia="en-US"/>
        </w:rPr>
        <w:softHyphen/>
        <w:t>կա գործունեության տեսակների վերա</w:t>
      </w:r>
      <w:r w:rsidRPr="00EF6F81">
        <w:rPr>
          <w:rFonts w:eastAsia="Calibri" w:cs="GHEA Grapalat"/>
          <w:b w:val="0"/>
          <w:szCs w:val="22"/>
          <w:lang w:val="hy-AM" w:eastAsia="en-US"/>
        </w:rPr>
        <w:softHyphen/>
        <w:t>բեր</w:t>
      </w:r>
      <w:r w:rsidRPr="00EF6F81">
        <w:rPr>
          <w:rFonts w:eastAsia="Calibri" w:cs="GHEA Grapalat"/>
          <w:b w:val="0"/>
          <w:szCs w:val="22"/>
          <w:lang w:val="hy-AM" w:eastAsia="en-US"/>
        </w:rPr>
        <w:softHyphen/>
        <w:t>յալ առկա քա</w:t>
      </w:r>
      <w:r w:rsidRPr="00EF6F81">
        <w:rPr>
          <w:rFonts w:eastAsia="Calibri" w:cs="GHEA Grapalat"/>
          <w:b w:val="0"/>
          <w:szCs w:val="22"/>
          <w:lang w:val="hy-AM" w:eastAsia="en-US"/>
        </w:rPr>
        <w:softHyphen/>
        <w:t>նա</w:t>
      </w:r>
      <w:r w:rsidRPr="00EF6F81">
        <w:rPr>
          <w:rFonts w:eastAsia="Calibri" w:cs="GHEA Grapalat"/>
          <w:b w:val="0"/>
          <w:szCs w:val="22"/>
          <w:lang w:val="hy-AM" w:eastAsia="en-US"/>
        </w:rPr>
        <w:softHyphen/>
      </w:r>
      <w:r w:rsidRPr="00EF6F81">
        <w:rPr>
          <w:rFonts w:eastAsia="Calibri" w:cs="GHEA Grapalat"/>
          <w:b w:val="0"/>
          <w:szCs w:val="22"/>
          <w:lang w:val="hy-AM" w:eastAsia="en-US"/>
        </w:rPr>
        <w:softHyphen/>
        <w:t>կական տվյալ</w:t>
      </w:r>
      <w:r w:rsidRPr="00EF6F81">
        <w:rPr>
          <w:rFonts w:eastAsia="Calibri" w:cs="GHEA Grapalat"/>
          <w:b w:val="0"/>
          <w:szCs w:val="22"/>
          <w:lang w:val="hy-AM" w:eastAsia="en-US"/>
        </w:rPr>
        <w:softHyphen/>
        <w:t>ներից, 201</w:t>
      </w:r>
      <w:r w:rsidRPr="00EF6F81">
        <w:rPr>
          <w:rFonts w:eastAsia="Calibri" w:cs="GHEA Grapalat"/>
          <w:b w:val="0"/>
          <w:szCs w:val="22"/>
          <w:lang w:val="af-ZA" w:eastAsia="en-US"/>
        </w:rPr>
        <w:t>9</w:t>
      </w:r>
      <w:r w:rsidRPr="00EF6F81">
        <w:rPr>
          <w:rFonts w:eastAsia="Calibri" w:cs="GHEA Grapalat"/>
          <w:b w:val="0"/>
          <w:szCs w:val="22"/>
          <w:lang w:val="hy-AM" w:eastAsia="en-US"/>
        </w:rPr>
        <w:t xml:space="preserve"> թվա</w:t>
      </w:r>
      <w:r w:rsidRPr="00EF6F81">
        <w:rPr>
          <w:rFonts w:eastAsia="Calibri" w:cs="GHEA Grapalat"/>
          <w:b w:val="0"/>
          <w:szCs w:val="22"/>
          <w:lang w:val="hy-AM" w:eastAsia="en-US"/>
        </w:rPr>
        <w:softHyphen/>
      </w:r>
      <w:r w:rsidRPr="00EF6F81">
        <w:rPr>
          <w:rFonts w:eastAsia="Calibri" w:cs="GHEA Grapalat"/>
          <w:b w:val="0"/>
          <w:szCs w:val="22"/>
          <w:lang w:val="hy-AM" w:eastAsia="en-US"/>
        </w:rPr>
        <w:softHyphen/>
        <w:t>կանի փաստացի և 20</w:t>
      </w:r>
      <w:r w:rsidRPr="00EF6F81">
        <w:rPr>
          <w:rFonts w:eastAsia="Calibri" w:cs="GHEA Grapalat"/>
          <w:b w:val="0"/>
          <w:szCs w:val="22"/>
          <w:lang w:val="af-ZA" w:eastAsia="en-US"/>
        </w:rPr>
        <w:t>20</w:t>
      </w:r>
      <w:r w:rsidRPr="00EF6F81">
        <w:rPr>
          <w:rFonts w:eastAsia="Calibri" w:cs="GHEA Grapalat"/>
          <w:b w:val="0"/>
          <w:szCs w:val="22"/>
          <w:lang w:val="hy-AM" w:eastAsia="en-US"/>
        </w:rPr>
        <w:t xml:space="preserve"> թվականի սպասողական մուտ</w:t>
      </w:r>
      <w:r w:rsidRPr="00EF6F81">
        <w:rPr>
          <w:rFonts w:eastAsia="Calibri" w:cs="GHEA Grapalat"/>
          <w:b w:val="0"/>
          <w:szCs w:val="22"/>
          <w:lang w:val="hy-AM" w:eastAsia="en-US"/>
        </w:rPr>
        <w:softHyphen/>
        <w:t>քերից:</w:t>
      </w:r>
    </w:p>
    <w:p w:rsidR="00A22793" w:rsidRPr="00EF6F81" w:rsidRDefault="00A22793" w:rsidP="007730AA">
      <w:pPr>
        <w:spacing w:before="0" w:line="276" w:lineRule="auto"/>
        <w:ind w:firstLine="538"/>
        <w:rPr>
          <w:rFonts w:eastAsia="Calibri"/>
          <w:b w:val="0"/>
          <w:szCs w:val="22"/>
          <w:lang w:val="hy-AM" w:eastAsia="en-US"/>
        </w:rPr>
      </w:pPr>
      <w:r w:rsidRPr="00EF6F81">
        <w:rPr>
          <w:rFonts w:eastAsia="Calibri"/>
          <w:szCs w:val="22"/>
          <w:lang w:val="hy-AM" w:eastAsia="en-US"/>
        </w:rPr>
        <w:t>Այլ ծառայությունների կամ գործողությունների համար</w:t>
      </w:r>
      <w:r w:rsidRPr="00EF6F81">
        <w:rPr>
          <w:rFonts w:eastAsia="Calibri"/>
          <w:b w:val="0"/>
          <w:szCs w:val="22"/>
          <w:lang w:val="hy-AM" w:eastAsia="en-US"/>
        </w:rPr>
        <w:t xml:space="preserve"> գանձվող պետական տուրքե</w:t>
      </w:r>
      <w:r w:rsidRPr="00EF6F81">
        <w:rPr>
          <w:rFonts w:eastAsia="Calibri"/>
          <w:b w:val="0"/>
          <w:szCs w:val="22"/>
          <w:lang w:val="hy-AM" w:eastAsia="en-US"/>
        </w:rPr>
        <w:softHyphen/>
      </w:r>
      <w:r w:rsidRPr="00EF6F81">
        <w:rPr>
          <w:rFonts w:eastAsia="Calibri"/>
          <w:b w:val="0"/>
          <w:szCs w:val="22"/>
          <w:lang w:val="hy-AM" w:eastAsia="en-US"/>
        </w:rPr>
        <w:softHyphen/>
        <w:t>րի գծով 2021 թվականի մուտքերը կանխատեսվել են 17,357.6 մլն դրամի չափով` 2020 թվա</w:t>
      </w:r>
      <w:r w:rsidRPr="00EF6F81">
        <w:rPr>
          <w:rFonts w:eastAsia="Calibri"/>
          <w:b w:val="0"/>
          <w:szCs w:val="22"/>
          <w:lang w:val="hy-AM" w:eastAsia="en-US"/>
        </w:rPr>
        <w:softHyphen/>
      </w:r>
      <w:r w:rsidRPr="00EF6F81">
        <w:rPr>
          <w:rFonts w:eastAsia="Calibri"/>
          <w:b w:val="0"/>
          <w:szCs w:val="22"/>
          <w:lang w:val="hy-AM" w:eastAsia="en-US"/>
        </w:rPr>
        <w:softHyphen/>
      </w:r>
      <w:r w:rsidRPr="00EF6F81">
        <w:rPr>
          <w:rFonts w:eastAsia="Calibri"/>
          <w:b w:val="0"/>
          <w:szCs w:val="22"/>
          <w:lang w:val="hy-AM" w:eastAsia="en-US"/>
        </w:rPr>
        <w:softHyphen/>
        <w:t>կանի հա</w:t>
      </w:r>
      <w:r w:rsidRPr="00EF6F81">
        <w:rPr>
          <w:rFonts w:eastAsia="Calibri"/>
          <w:b w:val="0"/>
          <w:szCs w:val="22"/>
          <w:lang w:val="hy-AM" w:eastAsia="en-US"/>
        </w:rPr>
        <w:softHyphen/>
        <w:t xml:space="preserve">մար հաստատված 16,914.8 մլն դրամի և 2019 թվականի փաստացի ստացված 19.378.6 մլն դրամի դիմաց: </w:t>
      </w:r>
      <w:r w:rsidRPr="00EF6F81">
        <w:rPr>
          <w:rFonts w:eastAsia="Calibri" w:cs="GHEA Grapalat"/>
          <w:b w:val="0"/>
          <w:szCs w:val="22"/>
          <w:lang w:val="hy-AM" w:eastAsia="en-US"/>
        </w:rPr>
        <w:t>Նշված պետական տուրքերից 2021 թվականի բյուջետային մուտքերի գերակշռող մա</w:t>
      </w:r>
      <w:r w:rsidRPr="00EF6F81">
        <w:rPr>
          <w:rFonts w:eastAsia="Calibri" w:cs="GHEA Grapalat"/>
          <w:b w:val="0"/>
          <w:szCs w:val="22"/>
          <w:lang w:val="hy-AM" w:eastAsia="en-US"/>
        </w:rPr>
        <w:softHyphen/>
      </w:r>
      <w:r w:rsidRPr="00EF6F81">
        <w:rPr>
          <w:rFonts w:eastAsia="Calibri" w:cs="GHEA Grapalat"/>
          <w:b w:val="0"/>
          <w:szCs w:val="22"/>
          <w:lang w:val="hy-AM" w:eastAsia="en-US"/>
        </w:rPr>
        <w:softHyphen/>
        <w:t>սը՝ 77.1%-ը, ապահովվելու է ՀՀ-ից օդային տրանսպորտի միջոց</w:t>
      </w:r>
      <w:r w:rsidRPr="00EF6F81">
        <w:rPr>
          <w:rFonts w:eastAsia="Calibri" w:cs="GHEA Grapalat"/>
          <w:b w:val="0"/>
          <w:szCs w:val="22"/>
          <w:lang w:val="hy-AM" w:eastAsia="en-US"/>
        </w:rPr>
        <w:softHyphen/>
        <w:t>ներով ֆիզի</w:t>
      </w:r>
      <w:r w:rsidRPr="00EF6F81">
        <w:rPr>
          <w:rFonts w:eastAsia="Calibri" w:cs="GHEA Grapalat"/>
          <w:b w:val="0"/>
          <w:szCs w:val="22"/>
          <w:lang w:val="hy-AM" w:eastAsia="en-US"/>
        </w:rPr>
        <w:softHyphen/>
        <w:t>կա</w:t>
      </w:r>
      <w:r w:rsidRPr="00EF6F81">
        <w:rPr>
          <w:rFonts w:eastAsia="Calibri" w:cs="GHEA Grapalat"/>
          <w:b w:val="0"/>
          <w:szCs w:val="22"/>
          <w:lang w:val="hy-AM" w:eastAsia="en-US"/>
        </w:rPr>
        <w:softHyphen/>
        <w:t>կան անձանց (օդային ուղևոր</w:t>
      </w:r>
      <w:r w:rsidRPr="00EF6F81">
        <w:rPr>
          <w:rFonts w:eastAsia="Calibri" w:cs="GHEA Grapalat"/>
          <w:b w:val="0"/>
          <w:szCs w:val="22"/>
          <w:lang w:val="hy-AM" w:eastAsia="en-US"/>
        </w:rPr>
        <w:softHyphen/>
        <w:t>նե</w:t>
      </w:r>
      <w:r w:rsidRPr="00EF6F81">
        <w:rPr>
          <w:rFonts w:eastAsia="Calibri" w:cs="GHEA Grapalat"/>
          <w:b w:val="0"/>
          <w:szCs w:val="22"/>
          <w:lang w:val="hy-AM" w:eastAsia="en-US"/>
        </w:rPr>
        <w:softHyphen/>
        <w:t>րի) ելքի համար գանձ</w:t>
      </w:r>
      <w:r w:rsidRPr="00EF6F81">
        <w:rPr>
          <w:rFonts w:eastAsia="Calibri" w:cs="GHEA Grapalat"/>
          <w:b w:val="0"/>
          <w:szCs w:val="22"/>
          <w:lang w:val="hy-AM" w:eastAsia="en-US"/>
        </w:rPr>
        <w:softHyphen/>
        <w:t>վող պետական տուրքի հաշվին:</w:t>
      </w:r>
    </w:p>
    <w:p w:rsidR="00A22793" w:rsidRPr="00EF6F81" w:rsidRDefault="00A22793" w:rsidP="007730AA">
      <w:pPr>
        <w:spacing w:before="0" w:line="276" w:lineRule="auto"/>
        <w:ind w:firstLine="538"/>
        <w:rPr>
          <w:rFonts w:eastAsia="Calibri"/>
          <w:b w:val="0"/>
          <w:szCs w:val="22"/>
          <w:lang w:val="hy-AM" w:eastAsia="en-US"/>
        </w:rPr>
      </w:pPr>
      <w:r w:rsidRPr="00EF6F81">
        <w:rPr>
          <w:rFonts w:eastAsia="Calibri"/>
          <w:b w:val="0"/>
          <w:szCs w:val="22"/>
          <w:lang w:val="hy-AM" w:eastAsia="en-US"/>
        </w:rPr>
        <w:t xml:space="preserve"> </w:t>
      </w:r>
      <w:r w:rsidRPr="00EF6F81">
        <w:rPr>
          <w:rFonts w:eastAsia="Calibri"/>
          <w:szCs w:val="22"/>
          <w:lang w:val="hy-AM" w:eastAsia="en-US"/>
        </w:rPr>
        <w:t>ՀՀ-ից օդային տրանսպորտի միջոցներով ֆիզիկական անձանց (օդային ուղևոր</w:t>
      </w:r>
      <w:r w:rsidRPr="00EF6F81">
        <w:rPr>
          <w:rFonts w:eastAsia="Calibri"/>
          <w:szCs w:val="22"/>
          <w:lang w:val="hy-AM" w:eastAsia="en-US"/>
        </w:rPr>
        <w:softHyphen/>
        <w:t>նե</w:t>
      </w:r>
      <w:r w:rsidRPr="00EF6F81">
        <w:rPr>
          <w:rFonts w:eastAsia="Calibri"/>
          <w:szCs w:val="22"/>
          <w:lang w:val="hy-AM" w:eastAsia="en-US"/>
        </w:rPr>
        <w:softHyphen/>
        <w:t>րի) ելքի հա</w:t>
      </w:r>
      <w:r w:rsidRPr="00EF6F81">
        <w:rPr>
          <w:rFonts w:eastAsia="Calibri"/>
          <w:szCs w:val="22"/>
          <w:lang w:val="hy-AM" w:eastAsia="en-US"/>
        </w:rPr>
        <w:softHyphen/>
        <w:t xml:space="preserve">մար </w:t>
      </w:r>
      <w:r w:rsidRPr="00EF6F81">
        <w:rPr>
          <w:rFonts w:eastAsia="Calibri"/>
          <w:b w:val="0"/>
          <w:szCs w:val="22"/>
          <w:lang w:val="hy-AM" w:eastAsia="en-US"/>
        </w:rPr>
        <w:t>գանձ</w:t>
      </w:r>
      <w:r w:rsidRPr="00EF6F81">
        <w:rPr>
          <w:rFonts w:eastAsia="Calibri"/>
          <w:b w:val="0"/>
          <w:szCs w:val="22"/>
          <w:lang w:val="hy-AM" w:eastAsia="en-US"/>
        </w:rPr>
        <w:softHyphen/>
        <w:t>վող պետական տուրքի գծով 2021 թվականի մուտքերը կան</w:t>
      </w:r>
      <w:r w:rsidRPr="00EF6F81">
        <w:rPr>
          <w:rFonts w:eastAsia="Calibri"/>
          <w:b w:val="0"/>
          <w:szCs w:val="22"/>
          <w:lang w:val="hy-AM" w:eastAsia="en-US"/>
        </w:rPr>
        <w:softHyphen/>
        <w:t>խատեսվել են 13,383.8 մլն դրամի չափով՝ հիմք ընդունելով «Զվարթ</w:t>
      </w:r>
      <w:r w:rsidRPr="00EF6F81">
        <w:rPr>
          <w:rFonts w:eastAsia="Calibri"/>
          <w:b w:val="0"/>
          <w:szCs w:val="22"/>
          <w:lang w:val="hy-AM" w:eastAsia="en-US"/>
        </w:rPr>
        <w:softHyphen/>
        <w:t>նոց» օդանավա</w:t>
      </w:r>
      <w:r w:rsidRPr="00EF6F81">
        <w:rPr>
          <w:rFonts w:eastAsia="Calibri"/>
          <w:b w:val="0"/>
          <w:szCs w:val="22"/>
          <w:lang w:val="hy-AM" w:eastAsia="en-US"/>
        </w:rPr>
        <w:softHyphen/>
        <w:t>կայանի կառավարչի կողմից ներկայացված Մաստեր Պլանում նախատես</w:t>
      </w:r>
      <w:r w:rsidRPr="00EF6F81">
        <w:rPr>
          <w:rFonts w:eastAsia="Calibri"/>
          <w:b w:val="0"/>
          <w:szCs w:val="22"/>
          <w:lang w:val="hy-AM" w:eastAsia="en-US"/>
        </w:rPr>
        <w:softHyphen/>
        <w:t>ված ուղևո</w:t>
      </w:r>
      <w:r w:rsidRPr="00EF6F81">
        <w:rPr>
          <w:rFonts w:eastAsia="Calibri"/>
          <w:b w:val="0"/>
          <w:szCs w:val="22"/>
          <w:lang w:val="hy-AM" w:eastAsia="en-US"/>
        </w:rPr>
        <w:softHyphen/>
        <w:t>րա</w:t>
      </w:r>
      <w:r w:rsidRPr="00EF6F81">
        <w:rPr>
          <w:rFonts w:eastAsia="Calibri"/>
          <w:b w:val="0"/>
          <w:szCs w:val="22"/>
          <w:lang w:val="hy-AM" w:eastAsia="en-US"/>
        </w:rPr>
        <w:softHyphen/>
        <w:t>փոխադրում</w:t>
      </w:r>
      <w:r w:rsidRPr="00EF6F81">
        <w:rPr>
          <w:rFonts w:eastAsia="Calibri"/>
          <w:b w:val="0"/>
          <w:szCs w:val="22"/>
          <w:lang w:val="hy-AM" w:eastAsia="en-US"/>
        </w:rPr>
        <w:softHyphen/>
        <w:t xml:space="preserve">ների փորձագիտական գնահատականը: </w:t>
      </w:r>
    </w:p>
    <w:p w:rsidR="00F544CA" w:rsidRPr="00EF6F81" w:rsidRDefault="00F544CA" w:rsidP="007730AA">
      <w:pPr>
        <w:keepNext/>
        <w:tabs>
          <w:tab w:val="left" w:pos="709"/>
        </w:tabs>
        <w:spacing w:before="0" w:line="276" w:lineRule="auto"/>
        <w:outlineLvl w:val="2"/>
        <w:rPr>
          <w:rFonts w:eastAsia="Calibri" w:cs="GHEA Grapalat"/>
          <w:bCs/>
          <w:szCs w:val="22"/>
          <w:lang w:val="hy-AM" w:eastAsia="en-US"/>
        </w:rPr>
      </w:pPr>
      <w:bookmarkStart w:id="180" w:name="_Toc500177729"/>
      <w:bookmarkStart w:id="181" w:name="_Toc530663264"/>
      <w:bookmarkStart w:id="182" w:name="_Toc57655466"/>
      <w:r w:rsidRPr="00EF6F81">
        <w:rPr>
          <w:rFonts w:eastAsia="Calibri" w:cs="GHEA Grapalat"/>
          <w:bCs/>
          <w:szCs w:val="22"/>
          <w:lang w:val="hy-AM" w:eastAsia="en-US"/>
        </w:rPr>
        <w:t>Պաշտոնական դրամաշնորհներ</w:t>
      </w:r>
      <w:bookmarkEnd w:id="180"/>
      <w:bookmarkEnd w:id="181"/>
      <w:bookmarkEnd w:id="182"/>
    </w:p>
    <w:p w:rsidR="00836C0B" w:rsidRPr="00836C0B" w:rsidRDefault="00836C0B" w:rsidP="007730AA">
      <w:pPr>
        <w:tabs>
          <w:tab w:val="left" w:pos="9120"/>
        </w:tabs>
        <w:spacing w:before="0" w:line="276" w:lineRule="auto"/>
        <w:ind w:firstLine="562"/>
        <w:contextualSpacing w:val="0"/>
        <w:rPr>
          <w:rFonts w:cs="Sylfaen"/>
          <w:b w:val="0"/>
          <w:iCs/>
          <w:szCs w:val="22"/>
          <w:lang w:val="af-ZA" w:eastAsia="en-GB"/>
        </w:rPr>
      </w:pPr>
      <w:r w:rsidRPr="00AD7078">
        <w:rPr>
          <w:rFonts w:eastAsia="Calibri"/>
          <w:b w:val="0"/>
          <w:szCs w:val="22"/>
          <w:lang w:val="hy-AM" w:eastAsia="en-US"/>
        </w:rPr>
        <w:t xml:space="preserve">Պաշտոնական դրամաշնորհները 2021 </w:t>
      </w:r>
      <w:r w:rsidRPr="00836C0B">
        <w:rPr>
          <w:rFonts w:cs="Sylfaen"/>
          <w:b w:val="0"/>
          <w:iCs/>
          <w:szCs w:val="22"/>
          <w:lang w:val="af-ZA" w:eastAsia="en-GB"/>
        </w:rPr>
        <w:t>թվականի համար ծրագրվել են` հաշվի առ</w:t>
      </w:r>
      <w:r w:rsidRPr="00836C0B">
        <w:rPr>
          <w:rFonts w:cs="Sylfaen"/>
          <w:b w:val="0"/>
          <w:iCs/>
          <w:szCs w:val="22"/>
          <w:lang w:val="af-ZA" w:eastAsia="en-GB"/>
        </w:rPr>
        <w:softHyphen/>
        <w:t>նե</w:t>
      </w:r>
      <w:r w:rsidRPr="00836C0B">
        <w:rPr>
          <w:rFonts w:cs="Sylfaen"/>
          <w:b w:val="0"/>
          <w:iCs/>
          <w:szCs w:val="22"/>
          <w:lang w:val="af-ZA" w:eastAsia="en-GB"/>
        </w:rPr>
        <w:softHyphen/>
      </w:r>
      <w:r w:rsidRPr="00836C0B">
        <w:rPr>
          <w:rFonts w:cs="Sylfaen"/>
          <w:b w:val="0"/>
          <w:iCs/>
          <w:szCs w:val="22"/>
          <w:lang w:val="af-ZA" w:eastAsia="en-GB"/>
        </w:rPr>
        <w:softHyphen/>
        <w:t>լով առկա պայմանագրերը, դո</w:t>
      </w:r>
      <w:r w:rsidRPr="00836C0B">
        <w:rPr>
          <w:rFonts w:cs="Sylfaen"/>
          <w:b w:val="0"/>
          <w:iCs/>
          <w:szCs w:val="22"/>
          <w:lang w:val="af-ZA" w:eastAsia="en-GB"/>
        </w:rPr>
        <w:softHyphen/>
        <w:t>նոր</w:t>
      </w:r>
      <w:r w:rsidRPr="00836C0B">
        <w:rPr>
          <w:rFonts w:cs="Sylfaen"/>
          <w:b w:val="0"/>
          <w:iCs/>
          <w:szCs w:val="22"/>
          <w:lang w:val="af-ZA" w:eastAsia="en-GB"/>
        </w:rPr>
        <w:softHyphen/>
        <w:t>նե</w:t>
      </w:r>
      <w:r w:rsidRPr="00836C0B">
        <w:rPr>
          <w:rFonts w:cs="Sylfaen"/>
          <w:b w:val="0"/>
          <w:iCs/>
          <w:szCs w:val="22"/>
          <w:lang w:val="af-ZA" w:eastAsia="en-GB"/>
        </w:rPr>
        <w:softHyphen/>
        <w:t>րի հետ ձեռքբերված նախնական համաձայնությունները և Եվրամիությունից ակնկալվող դրամաշնորհների դեպքում` սպա</w:t>
      </w:r>
      <w:r w:rsidRPr="00836C0B">
        <w:rPr>
          <w:rFonts w:cs="Sylfaen"/>
          <w:b w:val="0"/>
          <w:iCs/>
          <w:szCs w:val="22"/>
          <w:lang w:val="af-ZA" w:eastAsia="en-GB"/>
        </w:rPr>
        <w:softHyphen/>
        <w:t>սում</w:t>
      </w:r>
      <w:r w:rsidRPr="00836C0B">
        <w:rPr>
          <w:rFonts w:cs="Sylfaen"/>
          <w:b w:val="0"/>
          <w:iCs/>
          <w:szCs w:val="22"/>
          <w:lang w:val="af-ZA" w:eastAsia="en-GB"/>
        </w:rPr>
        <w:softHyphen/>
      </w:r>
      <w:r w:rsidRPr="00836C0B">
        <w:rPr>
          <w:rFonts w:cs="Sylfaen"/>
          <w:b w:val="0"/>
          <w:iCs/>
          <w:szCs w:val="22"/>
          <w:lang w:val="af-ZA" w:eastAsia="en-GB"/>
        </w:rPr>
        <w:softHyphen/>
        <w:t>նե</w:t>
      </w:r>
      <w:r w:rsidRPr="00836C0B">
        <w:rPr>
          <w:rFonts w:cs="Sylfaen"/>
          <w:b w:val="0"/>
          <w:iCs/>
          <w:szCs w:val="22"/>
          <w:lang w:val="af-ZA" w:eastAsia="en-GB"/>
        </w:rPr>
        <w:softHyphen/>
        <w:t>րը:</w:t>
      </w:r>
    </w:p>
    <w:p w:rsidR="00836C0B" w:rsidRPr="00A2480A" w:rsidRDefault="00D02A2D" w:rsidP="007730AA">
      <w:pPr>
        <w:pStyle w:val="Caption"/>
        <w:spacing w:before="0" w:after="0"/>
        <w:rPr>
          <w:b/>
          <w:i/>
          <w:sz w:val="20"/>
          <w:szCs w:val="20"/>
          <w:lang w:val="hy-AM"/>
        </w:rPr>
      </w:pPr>
      <w:bookmarkStart w:id="183" w:name="_Toc57631758"/>
      <w:r>
        <w:t>Աղյուսակ</w:t>
      </w:r>
      <w:r w:rsidRPr="00D02A2D">
        <w:rPr>
          <w:lang w:val="af-ZA"/>
        </w:rPr>
        <w:t xml:space="preserve"> </w:t>
      </w:r>
      <w:r w:rsidR="003C3925">
        <w:fldChar w:fldCharType="begin"/>
      </w:r>
      <w:r w:rsidRPr="00D02A2D">
        <w:rPr>
          <w:lang w:val="af-ZA"/>
        </w:rPr>
        <w:instrText xml:space="preserve"> SEQ </w:instrText>
      </w:r>
      <w:r>
        <w:instrText>Աղյուսակ</w:instrText>
      </w:r>
      <w:r w:rsidRPr="00D02A2D">
        <w:rPr>
          <w:lang w:val="af-ZA"/>
        </w:rPr>
        <w:instrText xml:space="preserve"> \* ARABIC </w:instrText>
      </w:r>
      <w:r w:rsidR="003C3925">
        <w:fldChar w:fldCharType="separate"/>
      </w:r>
      <w:r w:rsidR="007E790B">
        <w:rPr>
          <w:noProof/>
          <w:lang w:val="af-ZA"/>
        </w:rPr>
        <w:t>7</w:t>
      </w:r>
      <w:r w:rsidR="003C3925">
        <w:fldChar w:fldCharType="end"/>
      </w:r>
      <w:r>
        <w:rPr>
          <w:rFonts w:ascii="Cambria Math" w:hAnsi="Cambria Math"/>
          <w:lang w:val="hy-AM"/>
        </w:rPr>
        <w:t xml:space="preserve">․ </w:t>
      </w:r>
      <w:r w:rsidR="00836C0B" w:rsidRPr="00A2480A">
        <w:rPr>
          <w:b/>
          <w:i/>
          <w:sz w:val="20"/>
          <w:szCs w:val="20"/>
          <w:lang w:val="hy-AM"/>
        </w:rPr>
        <w:t>2017-2021թթ փաստացի/կանխատեսումային պաշտոնական դրամաշնորհները (մլրդ դրամ</w:t>
      </w:r>
      <w:r w:rsidR="00836C0B" w:rsidRPr="00A2480A">
        <w:rPr>
          <w:b/>
          <w:i/>
          <w:sz w:val="20"/>
          <w:szCs w:val="20"/>
          <w:lang w:val="hy-AM"/>
        </w:rPr>
        <w:softHyphen/>
        <w:t>նե</w:t>
      </w:r>
      <w:r w:rsidR="00836C0B" w:rsidRPr="00A2480A">
        <w:rPr>
          <w:b/>
          <w:i/>
          <w:sz w:val="20"/>
          <w:szCs w:val="20"/>
          <w:lang w:val="hy-AM"/>
        </w:rPr>
        <w:softHyphen/>
        <w:t>րով)</w:t>
      </w:r>
      <w:bookmarkEnd w:id="183"/>
    </w:p>
    <w:tbl>
      <w:tblPr>
        <w:tblW w:w="93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0"/>
        <w:gridCol w:w="1235"/>
        <w:gridCol w:w="1235"/>
        <w:gridCol w:w="1235"/>
        <w:gridCol w:w="1235"/>
        <w:gridCol w:w="1235"/>
      </w:tblGrid>
      <w:tr w:rsidR="00836C0B" w:rsidRPr="00836C0B" w:rsidTr="008B3208">
        <w:trPr>
          <w:trHeight w:val="690"/>
        </w:trPr>
        <w:tc>
          <w:tcPr>
            <w:tcW w:w="3180" w:type="dxa"/>
            <w:shd w:val="clear" w:color="auto" w:fill="4F81BD" w:themeFill="accent1"/>
            <w:noWrap/>
            <w:vAlign w:val="center"/>
            <w:hideMark/>
          </w:tcPr>
          <w:p w:rsidR="00836C0B" w:rsidRPr="00836C0B" w:rsidRDefault="00836C0B" w:rsidP="007730AA">
            <w:pPr>
              <w:spacing w:before="0" w:line="240" w:lineRule="auto"/>
              <w:ind w:firstLine="0"/>
              <w:contextualSpacing w:val="0"/>
              <w:jc w:val="center"/>
              <w:rPr>
                <w:rFonts w:cs="Calibri"/>
                <w:bCs/>
                <w:color w:val="FFFFFF" w:themeColor="background1"/>
                <w:szCs w:val="22"/>
                <w:lang w:val="en-US" w:eastAsia="en-US"/>
              </w:rPr>
            </w:pPr>
            <w:r w:rsidRPr="00836C0B">
              <w:rPr>
                <w:rFonts w:cs="Calibri"/>
                <w:bCs/>
                <w:color w:val="FFFFFF" w:themeColor="background1"/>
                <w:szCs w:val="22"/>
                <w:lang w:val="en-US" w:eastAsia="en-US"/>
              </w:rPr>
              <w:t>Պաշտոնական դրամաշնորհներ</w:t>
            </w:r>
          </w:p>
        </w:tc>
        <w:tc>
          <w:tcPr>
            <w:tcW w:w="1235" w:type="dxa"/>
            <w:shd w:val="clear" w:color="auto" w:fill="4F81BD" w:themeFill="accent1"/>
            <w:vAlign w:val="center"/>
            <w:hideMark/>
          </w:tcPr>
          <w:p w:rsidR="00836C0B" w:rsidRPr="00836C0B" w:rsidRDefault="00836C0B" w:rsidP="007730AA">
            <w:pPr>
              <w:spacing w:before="0" w:line="240" w:lineRule="auto"/>
              <w:ind w:firstLine="0"/>
              <w:contextualSpacing w:val="0"/>
              <w:jc w:val="center"/>
              <w:rPr>
                <w:rFonts w:cs="Calibri"/>
                <w:color w:val="FFFFFF" w:themeColor="background1"/>
                <w:szCs w:val="22"/>
                <w:lang w:val="en-US" w:eastAsia="en-US"/>
              </w:rPr>
            </w:pPr>
            <w:r w:rsidRPr="00836C0B">
              <w:rPr>
                <w:rFonts w:cs="Calibri"/>
                <w:color w:val="FFFFFF" w:themeColor="background1"/>
                <w:szCs w:val="22"/>
                <w:lang w:val="en-US" w:eastAsia="en-US"/>
              </w:rPr>
              <w:t xml:space="preserve">2017թ </w:t>
            </w:r>
            <w:r w:rsidRPr="00836C0B">
              <w:rPr>
                <w:rFonts w:cs="Calibri"/>
                <w:color w:val="FFFFFF" w:themeColor="background1"/>
                <w:szCs w:val="22"/>
                <w:lang w:val="en-US" w:eastAsia="en-US"/>
              </w:rPr>
              <w:br/>
              <w:t>փաստ</w:t>
            </w:r>
          </w:p>
        </w:tc>
        <w:tc>
          <w:tcPr>
            <w:tcW w:w="1235" w:type="dxa"/>
            <w:shd w:val="clear" w:color="auto" w:fill="4F81BD" w:themeFill="accent1"/>
            <w:vAlign w:val="center"/>
            <w:hideMark/>
          </w:tcPr>
          <w:p w:rsidR="00836C0B" w:rsidRPr="00836C0B" w:rsidRDefault="00836C0B" w:rsidP="007730AA">
            <w:pPr>
              <w:spacing w:before="0" w:line="240" w:lineRule="auto"/>
              <w:ind w:firstLine="0"/>
              <w:contextualSpacing w:val="0"/>
              <w:jc w:val="center"/>
              <w:rPr>
                <w:rFonts w:cs="Calibri"/>
                <w:color w:val="FFFFFF" w:themeColor="background1"/>
                <w:szCs w:val="22"/>
                <w:lang w:val="en-US" w:eastAsia="en-US"/>
              </w:rPr>
            </w:pPr>
            <w:r w:rsidRPr="00836C0B">
              <w:rPr>
                <w:rFonts w:cs="Calibri"/>
                <w:color w:val="FFFFFF" w:themeColor="background1"/>
                <w:szCs w:val="22"/>
                <w:lang w:val="en-US" w:eastAsia="en-US"/>
              </w:rPr>
              <w:t xml:space="preserve">2018թ </w:t>
            </w:r>
            <w:r w:rsidRPr="00836C0B">
              <w:rPr>
                <w:rFonts w:cs="Calibri"/>
                <w:color w:val="FFFFFF" w:themeColor="background1"/>
                <w:szCs w:val="22"/>
                <w:lang w:val="en-US" w:eastAsia="en-US"/>
              </w:rPr>
              <w:br/>
              <w:t>փաստ</w:t>
            </w:r>
          </w:p>
        </w:tc>
        <w:tc>
          <w:tcPr>
            <w:tcW w:w="1235" w:type="dxa"/>
            <w:shd w:val="clear" w:color="auto" w:fill="4F81BD" w:themeFill="accent1"/>
            <w:vAlign w:val="center"/>
            <w:hideMark/>
          </w:tcPr>
          <w:p w:rsidR="00836C0B" w:rsidRPr="00836C0B" w:rsidRDefault="00836C0B" w:rsidP="007730AA">
            <w:pPr>
              <w:spacing w:before="0" w:line="240" w:lineRule="auto"/>
              <w:ind w:firstLine="0"/>
              <w:contextualSpacing w:val="0"/>
              <w:jc w:val="center"/>
              <w:rPr>
                <w:rFonts w:cs="Calibri"/>
                <w:color w:val="FFFFFF" w:themeColor="background1"/>
                <w:szCs w:val="22"/>
                <w:lang w:val="en-US" w:eastAsia="en-US"/>
              </w:rPr>
            </w:pPr>
            <w:r w:rsidRPr="00836C0B">
              <w:rPr>
                <w:rFonts w:cs="Calibri"/>
                <w:color w:val="FFFFFF" w:themeColor="background1"/>
                <w:szCs w:val="22"/>
                <w:lang w:val="en-US" w:eastAsia="en-US"/>
              </w:rPr>
              <w:t>2019թ</w:t>
            </w:r>
            <w:r w:rsidRPr="00836C0B">
              <w:rPr>
                <w:rFonts w:cs="Calibri"/>
                <w:color w:val="FFFFFF" w:themeColor="background1"/>
                <w:szCs w:val="22"/>
                <w:lang w:val="en-US" w:eastAsia="en-US"/>
              </w:rPr>
              <w:br/>
              <w:t xml:space="preserve"> փաստ</w:t>
            </w:r>
          </w:p>
        </w:tc>
        <w:tc>
          <w:tcPr>
            <w:tcW w:w="1235" w:type="dxa"/>
            <w:shd w:val="clear" w:color="auto" w:fill="4F81BD" w:themeFill="accent1"/>
            <w:vAlign w:val="center"/>
            <w:hideMark/>
          </w:tcPr>
          <w:p w:rsidR="00836C0B" w:rsidRPr="00836C0B" w:rsidRDefault="00836C0B" w:rsidP="007730AA">
            <w:pPr>
              <w:spacing w:before="0" w:line="240" w:lineRule="auto"/>
              <w:ind w:firstLine="0"/>
              <w:contextualSpacing w:val="0"/>
              <w:jc w:val="center"/>
              <w:rPr>
                <w:rFonts w:cs="Calibri"/>
                <w:color w:val="FFFFFF" w:themeColor="background1"/>
                <w:szCs w:val="22"/>
                <w:lang w:val="en-US" w:eastAsia="en-US"/>
              </w:rPr>
            </w:pPr>
            <w:r w:rsidRPr="00836C0B">
              <w:rPr>
                <w:rFonts w:cs="Calibri"/>
                <w:color w:val="FFFFFF" w:themeColor="background1"/>
                <w:szCs w:val="22"/>
                <w:lang w:val="en-US" w:eastAsia="en-US"/>
              </w:rPr>
              <w:t>2020թ</w:t>
            </w:r>
            <w:r w:rsidRPr="00836C0B">
              <w:rPr>
                <w:rFonts w:cs="Calibri"/>
                <w:color w:val="FFFFFF" w:themeColor="background1"/>
                <w:szCs w:val="22"/>
                <w:lang w:val="en-US" w:eastAsia="en-US"/>
              </w:rPr>
              <w:br/>
              <w:t xml:space="preserve"> բյուջե</w:t>
            </w:r>
          </w:p>
        </w:tc>
        <w:tc>
          <w:tcPr>
            <w:tcW w:w="1235" w:type="dxa"/>
            <w:shd w:val="clear" w:color="auto" w:fill="4F81BD" w:themeFill="accent1"/>
            <w:vAlign w:val="center"/>
            <w:hideMark/>
          </w:tcPr>
          <w:p w:rsidR="00836C0B" w:rsidRPr="00836C0B" w:rsidRDefault="00836C0B" w:rsidP="007730AA">
            <w:pPr>
              <w:spacing w:before="0" w:line="240" w:lineRule="auto"/>
              <w:ind w:firstLine="0"/>
              <w:contextualSpacing w:val="0"/>
              <w:jc w:val="center"/>
              <w:rPr>
                <w:rFonts w:cs="Calibri"/>
                <w:color w:val="FFFFFF" w:themeColor="background1"/>
                <w:szCs w:val="22"/>
                <w:lang w:val="en-US" w:eastAsia="en-US"/>
              </w:rPr>
            </w:pPr>
            <w:r w:rsidRPr="00836C0B">
              <w:rPr>
                <w:rFonts w:cs="Calibri"/>
                <w:color w:val="FFFFFF" w:themeColor="background1"/>
                <w:szCs w:val="22"/>
                <w:lang w:val="en-US" w:eastAsia="en-US"/>
              </w:rPr>
              <w:t>2021թ կանխատեսում</w:t>
            </w:r>
          </w:p>
        </w:tc>
      </w:tr>
      <w:tr w:rsidR="00836C0B" w:rsidRPr="00D0543E" w:rsidTr="008B3208">
        <w:trPr>
          <w:trHeight w:val="611"/>
        </w:trPr>
        <w:tc>
          <w:tcPr>
            <w:tcW w:w="3180" w:type="dxa"/>
            <w:shd w:val="clear" w:color="auto" w:fill="DBE5F1" w:themeFill="accent1" w:themeFillTint="33"/>
            <w:vAlign w:val="center"/>
            <w:hideMark/>
          </w:tcPr>
          <w:p w:rsidR="00836C0B" w:rsidRPr="00836C0B" w:rsidRDefault="00836C0B" w:rsidP="007730AA">
            <w:pPr>
              <w:spacing w:before="0" w:line="240" w:lineRule="auto"/>
              <w:ind w:firstLine="0"/>
              <w:contextualSpacing w:val="0"/>
              <w:jc w:val="left"/>
              <w:rPr>
                <w:rFonts w:cs="Calibri"/>
                <w:b w:val="0"/>
                <w:bCs/>
                <w:color w:val="000000"/>
                <w:szCs w:val="22"/>
                <w:lang w:val="en-US" w:eastAsia="en-US"/>
              </w:rPr>
            </w:pPr>
            <w:r w:rsidRPr="00836C0B">
              <w:rPr>
                <w:rFonts w:cs="Calibri"/>
                <w:b w:val="0"/>
                <w:bCs/>
                <w:color w:val="000000"/>
                <w:szCs w:val="22"/>
                <w:lang w:val="en-US" w:eastAsia="en-US"/>
              </w:rPr>
              <w:t>Ընդամենը, այդ թվում՝</w:t>
            </w:r>
          </w:p>
        </w:tc>
        <w:tc>
          <w:tcPr>
            <w:tcW w:w="1235" w:type="dxa"/>
            <w:shd w:val="clear" w:color="auto" w:fill="DBE5F1" w:themeFill="accent1" w:themeFillTint="33"/>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14.6 </w:t>
            </w:r>
          </w:p>
        </w:tc>
        <w:tc>
          <w:tcPr>
            <w:tcW w:w="1235" w:type="dxa"/>
            <w:shd w:val="clear" w:color="auto" w:fill="DBE5F1" w:themeFill="accent1" w:themeFillTint="33"/>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11.2 </w:t>
            </w:r>
          </w:p>
        </w:tc>
        <w:tc>
          <w:tcPr>
            <w:tcW w:w="1235" w:type="dxa"/>
            <w:shd w:val="clear" w:color="auto" w:fill="DBE5F1" w:themeFill="accent1" w:themeFillTint="33"/>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12.4 </w:t>
            </w:r>
          </w:p>
        </w:tc>
        <w:tc>
          <w:tcPr>
            <w:tcW w:w="1235" w:type="dxa"/>
            <w:shd w:val="clear" w:color="auto" w:fill="DBE5F1" w:themeFill="accent1" w:themeFillTint="33"/>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35.3 </w:t>
            </w:r>
          </w:p>
        </w:tc>
        <w:tc>
          <w:tcPr>
            <w:tcW w:w="1235" w:type="dxa"/>
            <w:shd w:val="clear" w:color="auto" w:fill="DBE5F1" w:themeFill="accent1" w:themeFillTint="33"/>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w:t>
            </w:r>
            <w:r w:rsidR="00D0543E">
              <w:rPr>
                <w:rFonts w:cs="Calibri"/>
                <w:b w:val="0"/>
                <w:color w:val="000000"/>
                <w:szCs w:val="22"/>
                <w:lang w:val="en-US" w:eastAsia="en-US"/>
              </w:rPr>
              <w:t>24.3</w:t>
            </w:r>
            <w:r w:rsidRPr="00836C0B">
              <w:rPr>
                <w:rFonts w:cs="Calibri"/>
                <w:b w:val="0"/>
                <w:color w:val="000000"/>
                <w:szCs w:val="22"/>
                <w:lang w:val="en-US" w:eastAsia="en-US"/>
              </w:rPr>
              <w:t xml:space="preserve"> </w:t>
            </w:r>
          </w:p>
        </w:tc>
      </w:tr>
      <w:tr w:rsidR="00836C0B" w:rsidRPr="00836C0B" w:rsidTr="008B3208">
        <w:trPr>
          <w:trHeight w:val="698"/>
        </w:trPr>
        <w:tc>
          <w:tcPr>
            <w:tcW w:w="3180" w:type="dxa"/>
            <w:shd w:val="clear" w:color="auto" w:fill="auto"/>
            <w:vAlign w:val="center"/>
            <w:hideMark/>
          </w:tcPr>
          <w:p w:rsidR="00836C0B" w:rsidRPr="00135FF8" w:rsidRDefault="00836C0B" w:rsidP="007730AA">
            <w:pPr>
              <w:spacing w:before="0" w:line="240" w:lineRule="auto"/>
              <w:ind w:firstLine="0"/>
              <w:contextualSpacing w:val="0"/>
              <w:jc w:val="left"/>
              <w:rPr>
                <w:rFonts w:cs="Calibri"/>
                <w:b w:val="0"/>
                <w:color w:val="000000"/>
                <w:szCs w:val="22"/>
                <w:lang w:eastAsia="en-US"/>
              </w:rPr>
            </w:pPr>
            <w:r w:rsidRPr="00836C0B">
              <w:rPr>
                <w:rFonts w:cs="Calibri"/>
                <w:b w:val="0"/>
                <w:color w:val="000000"/>
                <w:szCs w:val="22"/>
                <w:lang w:val="en-US" w:eastAsia="en-US"/>
              </w:rPr>
              <w:t>ԵՄ</w:t>
            </w:r>
            <w:r w:rsidRPr="00135FF8">
              <w:rPr>
                <w:rFonts w:cs="Calibri"/>
                <w:b w:val="0"/>
                <w:color w:val="000000"/>
                <w:szCs w:val="22"/>
                <w:lang w:eastAsia="en-US"/>
              </w:rPr>
              <w:t xml:space="preserve"> (</w:t>
            </w:r>
            <w:r w:rsidRPr="00836C0B">
              <w:rPr>
                <w:rFonts w:cs="Calibri"/>
                <w:b w:val="0"/>
                <w:color w:val="000000"/>
                <w:szCs w:val="22"/>
                <w:lang w:val="en-US" w:eastAsia="en-US"/>
              </w:rPr>
              <w:t>Եվրոպական</w:t>
            </w:r>
            <w:r w:rsidRPr="00135FF8">
              <w:rPr>
                <w:rFonts w:cs="Calibri"/>
                <w:b w:val="0"/>
                <w:color w:val="000000"/>
                <w:szCs w:val="22"/>
                <w:lang w:eastAsia="en-US"/>
              </w:rPr>
              <w:t xml:space="preserve"> </w:t>
            </w:r>
            <w:r w:rsidRPr="00836C0B">
              <w:rPr>
                <w:rFonts w:cs="Calibri"/>
                <w:b w:val="0"/>
                <w:color w:val="000000"/>
                <w:szCs w:val="22"/>
                <w:lang w:val="en-US" w:eastAsia="en-US"/>
              </w:rPr>
              <w:t>հարևանության</w:t>
            </w:r>
            <w:r w:rsidRPr="00135FF8">
              <w:rPr>
                <w:rFonts w:cs="Calibri"/>
                <w:b w:val="0"/>
                <w:color w:val="000000"/>
                <w:szCs w:val="22"/>
                <w:lang w:eastAsia="en-US"/>
              </w:rPr>
              <w:t xml:space="preserve"> </w:t>
            </w:r>
            <w:r w:rsidRPr="00836C0B">
              <w:rPr>
                <w:rFonts w:cs="Calibri"/>
                <w:b w:val="0"/>
                <w:color w:val="000000"/>
                <w:szCs w:val="22"/>
                <w:lang w:val="en-US" w:eastAsia="en-US"/>
              </w:rPr>
              <w:t>շրջանակներում</w:t>
            </w:r>
            <w:r w:rsidRPr="00135FF8">
              <w:rPr>
                <w:rFonts w:cs="Calibri"/>
                <w:b w:val="0"/>
                <w:color w:val="000000"/>
                <w:szCs w:val="22"/>
                <w:lang w:eastAsia="en-US"/>
              </w:rPr>
              <w:t xml:space="preserve"> </w:t>
            </w:r>
            <w:r w:rsidRPr="00836C0B">
              <w:rPr>
                <w:rFonts w:cs="Calibri"/>
                <w:b w:val="0"/>
                <w:color w:val="000000"/>
                <w:szCs w:val="22"/>
                <w:lang w:val="en-US" w:eastAsia="en-US"/>
              </w:rPr>
              <w:t>ՀՀ</w:t>
            </w:r>
            <w:r w:rsidRPr="00135FF8">
              <w:rPr>
                <w:rFonts w:cs="Calibri"/>
                <w:b w:val="0"/>
                <w:color w:val="000000"/>
                <w:szCs w:val="22"/>
                <w:lang w:eastAsia="en-US"/>
              </w:rPr>
              <w:t>-</w:t>
            </w:r>
            <w:r w:rsidRPr="00836C0B">
              <w:rPr>
                <w:rFonts w:cs="Calibri"/>
                <w:b w:val="0"/>
                <w:color w:val="000000"/>
                <w:szCs w:val="22"/>
                <w:lang w:val="en-US" w:eastAsia="en-US"/>
              </w:rPr>
              <w:t>ԵՄ</w:t>
            </w:r>
            <w:r w:rsidRPr="00135FF8">
              <w:rPr>
                <w:rFonts w:cs="Calibri"/>
                <w:b w:val="0"/>
                <w:color w:val="000000"/>
                <w:szCs w:val="22"/>
                <w:lang w:eastAsia="en-US"/>
              </w:rPr>
              <w:t xml:space="preserve"> </w:t>
            </w:r>
            <w:r w:rsidRPr="00836C0B">
              <w:rPr>
                <w:rFonts w:cs="Calibri"/>
                <w:b w:val="0"/>
                <w:color w:val="000000"/>
                <w:szCs w:val="22"/>
                <w:lang w:val="en-US" w:eastAsia="en-US"/>
              </w:rPr>
              <w:t>գործողությունների</w:t>
            </w:r>
            <w:r w:rsidRPr="00135FF8">
              <w:rPr>
                <w:rFonts w:cs="Calibri"/>
                <w:b w:val="0"/>
                <w:color w:val="000000"/>
                <w:szCs w:val="22"/>
                <w:lang w:eastAsia="en-US"/>
              </w:rPr>
              <w:t xml:space="preserve"> </w:t>
            </w:r>
            <w:r w:rsidRPr="00836C0B">
              <w:rPr>
                <w:rFonts w:cs="Calibri"/>
                <w:b w:val="0"/>
                <w:color w:val="000000"/>
                <w:szCs w:val="22"/>
                <w:lang w:val="en-US" w:eastAsia="en-US"/>
              </w:rPr>
              <w:t>ծրագրով</w:t>
            </w:r>
            <w:r w:rsidRPr="00135FF8">
              <w:rPr>
                <w:rFonts w:cs="Calibri"/>
                <w:b w:val="0"/>
                <w:color w:val="000000"/>
                <w:szCs w:val="22"/>
                <w:lang w:eastAsia="en-US"/>
              </w:rPr>
              <w:t xml:space="preserve"> </w:t>
            </w:r>
            <w:r w:rsidRPr="00836C0B">
              <w:rPr>
                <w:rFonts w:cs="Calibri"/>
                <w:b w:val="0"/>
                <w:color w:val="000000"/>
                <w:szCs w:val="22"/>
                <w:lang w:val="en-US" w:eastAsia="en-US"/>
              </w:rPr>
              <w:t>նախատեսված</w:t>
            </w:r>
            <w:r w:rsidRPr="00135FF8">
              <w:rPr>
                <w:rFonts w:cs="Calibri"/>
                <w:b w:val="0"/>
                <w:color w:val="000000"/>
                <w:szCs w:val="22"/>
                <w:lang w:eastAsia="en-US"/>
              </w:rPr>
              <w:t xml:space="preserve"> </w:t>
            </w:r>
            <w:r w:rsidRPr="00836C0B">
              <w:rPr>
                <w:rFonts w:cs="Calibri"/>
                <w:b w:val="0"/>
                <w:color w:val="000000"/>
                <w:szCs w:val="22"/>
                <w:lang w:val="en-US" w:eastAsia="en-US"/>
              </w:rPr>
              <w:t>դրամաշնորհային</w:t>
            </w:r>
            <w:r w:rsidRPr="00135FF8">
              <w:rPr>
                <w:rFonts w:cs="Calibri"/>
                <w:b w:val="0"/>
                <w:color w:val="000000"/>
                <w:szCs w:val="22"/>
                <w:lang w:eastAsia="en-US"/>
              </w:rPr>
              <w:t xml:space="preserve"> </w:t>
            </w:r>
            <w:r w:rsidRPr="00836C0B">
              <w:rPr>
                <w:rFonts w:cs="Calibri"/>
                <w:b w:val="0"/>
                <w:color w:val="000000"/>
                <w:szCs w:val="22"/>
                <w:lang w:val="en-US" w:eastAsia="en-US"/>
              </w:rPr>
              <w:t>ծրագրեր</w:t>
            </w:r>
            <w:r w:rsidRPr="00135FF8">
              <w:rPr>
                <w:rFonts w:cs="Calibri"/>
                <w:b w:val="0"/>
                <w:color w:val="000000"/>
                <w:szCs w:val="22"/>
                <w:lang w:eastAsia="en-US"/>
              </w:rPr>
              <w:t>)</w:t>
            </w:r>
          </w:p>
        </w:tc>
        <w:tc>
          <w:tcPr>
            <w:tcW w:w="1235" w:type="dxa"/>
            <w:shd w:val="clear" w:color="auto" w:fill="auto"/>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135FF8">
              <w:rPr>
                <w:rFonts w:cs="Calibri"/>
                <w:b w:val="0"/>
                <w:color w:val="000000"/>
                <w:szCs w:val="22"/>
                <w:lang w:eastAsia="en-US"/>
              </w:rPr>
              <w:t xml:space="preserve">                       </w:t>
            </w:r>
            <w:r w:rsidRPr="00836C0B">
              <w:rPr>
                <w:rFonts w:cs="Calibri"/>
                <w:b w:val="0"/>
                <w:color w:val="000000"/>
                <w:szCs w:val="22"/>
                <w:lang w:val="en-US" w:eastAsia="en-US"/>
              </w:rPr>
              <w:t xml:space="preserve">3.7 </w:t>
            </w:r>
          </w:p>
        </w:tc>
        <w:tc>
          <w:tcPr>
            <w:tcW w:w="1235" w:type="dxa"/>
            <w:shd w:val="clear" w:color="auto" w:fill="auto"/>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11.1 </w:t>
            </w:r>
          </w:p>
        </w:tc>
        <w:tc>
          <w:tcPr>
            <w:tcW w:w="1235" w:type="dxa"/>
            <w:shd w:val="clear" w:color="auto" w:fill="auto"/>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4.5 </w:t>
            </w:r>
          </w:p>
        </w:tc>
        <w:tc>
          <w:tcPr>
            <w:tcW w:w="1235" w:type="dxa"/>
            <w:shd w:val="clear" w:color="auto" w:fill="auto"/>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7.7 </w:t>
            </w:r>
          </w:p>
        </w:tc>
        <w:tc>
          <w:tcPr>
            <w:tcW w:w="1235" w:type="dxa"/>
            <w:shd w:val="clear" w:color="auto" w:fill="auto"/>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1.7 </w:t>
            </w:r>
          </w:p>
        </w:tc>
      </w:tr>
      <w:tr w:rsidR="00836C0B" w:rsidRPr="00D0543E" w:rsidTr="008B3208">
        <w:trPr>
          <w:trHeight w:val="800"/>
        </w:trPr>
        <w:tc>
          <w:tcPr>
            <w:tcW w:w="3180" w:type="dxa"/>
            <w:shd w:val="clear" w:color="auto" w:fill="DBE5F1" w:themeFill="accent1" w:themeFillTint="33"/>
            <w:vAlign w:val="center"/>
            <w:hideMark/>
          </w:tcPr>
          <w:p w:rsidR="00836C0B" w:rsidRPr="00836C0B" w:rsidRDefault="00836C0B" w:rsidP="007730AA">
            <w:pPr>
              <w:spacing w:before="0" w:line="240" w:lineRule="auto"/>
              <w:ind w:firstLine="0"/>
              <w:contextualSpacing w:val="0"/>
              <w:jc w:val="left"/>
              <w:rPr>
                <w:rFonts w:cs="Calibri"/>
                <w:b w:val="0"/>
                <w:color w:val="000000"/>
                <w:szCs w:val="22"/>
                <w:lang w:val="en-US" w:eastAsia="en-US"/>
              </w:rPr>
            </w:pPr>
            <w:r w:rsidRPr="00836C0B">
              <w:rPr>
                <w:rFonts w:cs="Calibri"/>
                <w:b w:val="0"/>
                <w:color w:val="000000"/>
                <w:szCs w:val="22"/>
                <w:lang w:val="en-US" w:eastAsia="en-US"/>
              </w:rPr>
              <w:t>Այլ նպատակային դրամաշնորհներ</w:t>
            </w:r>
          </w:p>
        </w:tc>
        <w:tc>
          <w:tcPr>
            <w:tcW w:w="1235" w:type="dxa"/>
            <w:shd w:val="clear" w:color="auto" w:fill="DBE5F1" w:themeFill="accent1" w:themeFillTint="33"/>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11.0 </w:t>
            </w:r>
          </w:p>
        </w:tc>
        <w:tc>
          <w:tcPr>
            <w:tcW w:w="1235" w:type="dxa"/>
            <w:shd w:val="clear" w:color="auto" w:fill="DBE5F1" w:themeFill="accent1" w:themeFillTint="33"/>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0.2 </w:t>
            </w:r>
          </w:p>
        </w:tc>
        <w:tc>
          <w:tcPr>
            <w:tcW w:w="1235" w:type="dxa"/>
            <w:shd w:val="clear" w:color="auto" w:fill="DBE5F1" w:themeFill="accent1" w:themeFillTint="33"/>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7.9 </w:t>
            </w:r>
          </w:p>
        </w:tc>
        <w:tc>
          <w:tcPr>
            <w:tcW w:w="1235" w:type="dxa"/>
            <w:shd w:val="clear" w:color="auto" w:fill="DBE5F1" w:themeFill="accent1" w:themeFillTint="33"/>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27.6 </w:t>
            </w:r>
          </w:p>
        </w:tc>
        <w:tc>
          <w:tcPr>
            <w:tcW w:w="1235" w:type="dxa"/>
            <w:shd w:val="clear" w:color="auto" w:fill="DBE5F1" w:themeFill="accent1" w:themeFillTint="33"/>
            <w:noWrap/>
            <w:vAlign w:val="center"/>
            <w:hideMark/>
          </w:tcPr>
          <w:p w:rsidR="00836C0B" w:rsidRPr="00836C0B" w:rsidRDefault="00836C0B" w:rsidP="007730AA">
            <w:pPr>
              <w:spacing w:before="0" w:line="240" w:lineRule="auto"/>
              <w:ind w:firstLine="0"/>
              <w:contextualSpacing w:val="0"/>
              <w:jc w:val="center"/>
              <w:rPr>
                <w:rFonts w:cs="Calibri"/>
                <w:b w:val="0"/>
                <w:color w:val="000000"/>
                <w:szCs w:val="22"/>
                <w:lang w:val="en-US" w:eastAsia="en-US"/>
              </w:rPr>
            </w:pPr>
            <w:r w:rsidRPr="00836C0B">
              <w:rPr>
                <w:rFonts w:cs="Calibri"/>
                <w:b w:val="0"/>
                <w:color w:val="000000"/>
                <w:szCs w:val="22"/>
                <w:lang w:val="en-US" w:eastAsia="en-US"/>
              </w:rPr>
              <w:t xml:space="preserve">                           </w:t>
            </w:r>
            <w:r w:rsidR="00D0543E">
              <w:rPr>
                <w:rFonts w:cs="Calibri"/>
                <w:b w:val="0"/>
                <w:color w:val="000000"/>
                <w:szCs w:val="22"/>
                <w:lang w:val="en-US" w:eastAsia="en-US"/>
              </w:rPr>
              <w:t>22.6</w:t>
            </w:r>
            <w:r w:rsidRPr="00836C0B">
              <w:rPr>
                <w:rFonts w:cs="Calibri"/>
                <w:b w:val="0"/>
                <w:color w:val="000000"/>
                <w:szCs w:val="22"/>
                <w:lang w:val="en-US" w:eastAsia="en-US"/>
              </w:rPr>
              <w:t xml:space="preserve"> </w:t>
            </w:r>
          </w:p>
        </w:tc>
      </w:tr>
    </w:tbl>
    <w:p w:rsidR="00836C0B" w:rsidRPr="00836C0B" w:rsidRDefault="00836C0B" w:rsidP="007730AA">
      <w:pPr>
        <w:spacing w:before="0" w:line="276" w:lineRule="auto"/>
        <w:ind w:firstLine="0"/>
        <w:contextualSpacing w:val="0"/>
        <w:jc w:val="left"/>
        <w:rPr>
          <w:b w:val="0"/>
          <w:szCs w:val="22"/>
          <w:lang w:val="af-ZA" w:eastAsia="en-US"/>
        </w:rPr>
      </w:pPr>
    </w:p>
    <w:p w:rsidR="00836C0B" w:rsidRPr="00836C0B" w:rsidRDefault="00836C0B" w:rsidP="007730AA">
      <w:pPr>
        <w:tabs>
          <w:tab w:val="left" w:pos="9120"/>
        </w:tabs>
        <w:spacing w:before="0" w:line="276" w:lineRule="auto"/>
        <w:ind w:firstLine="562"/>
        <w:contextualSpacing w:val="0"/>
        <w:rPr>
          <w:rFonts w:cs="Sylfaen"/>
          <w:b w:val="0"/>
          <w:iCs/>
          <w:szCs w:val="22"/>
          <w:lang w:val="af-ZA" w:eastAsia="en-GB"/>
        </w:rPr>
      </w:pPr>
      <w:r w:rsidRPr="00836C0B">
        <w:rPr>
          <w:rFonts w:cs="Sylfaen"/>
          <w:b w:val="0"/>
          <w:iCs/>
          <w:szCs w:val="22"/>
          <w:lang w:val="af-ZA" w:eastAsia="en-GB"/>
        </w:rPr>
        <w:t>Եվրոպական հարևանության շրջանակներում ՀՀ-ԵՄ գործո</w:t>
      </w:r>
      <w:r w:rsidRPr="00836C0B">
        <w:rPr>
          <w:rFonts w:cs="Sylfaen"/>
          <w:b w:val="0"/>
          <w:iCs/>
          <w:szCs w:val="22"/>
          <w:lang w:val="af-ZA" w:eastAsia="en-GB"/>
        </w:rPr>
        <w:softHyphen/>
        <w:t>ղություն</w:t>
      </w:r>
      <w:r w:rsidRPr="00836C0B">
        <w:rPr>
          <w:rFonts w:cs="Sylfaen"/>
          <w:b w:val="0"/>
          <w:iCs/>
          <w:szCs w:val="22"/>
          <w:lang w:val="af-ZA" w:eastAsia="en-GB"/>
        </w:rPr>
        <w:softHyphen/>
        <w:t>ների ծրագրով նա</w:t>
      </w:r>
      <w:r w:rsidRPr="00836C0B">
        <w:rPr>
          <w:rFonts w:cs="Sylfaen"/>
          <w:b w:val="0"/>
          <w:iCs/>
          <w:szCs w:val="22"/>
          <w:lang w:val="af-ZA" w:eastAsia="en-GB"/>
        </w:rPr>
        <w:softHyphen/>
        <w:t>խա</w:t>
      </w:r>
      <w:r w:rsidRPr="00836C0B">
        <w:rPr>
          <w:rFonts w:cs="Sylfaen"/>
          <w:b w:val="0"/>
          <w:iCs/>
          <w:szCs w:val="22"/>
          <w:lang w:val="af-ZA" w:eastAsia="en-GB"/>
        </w:rPr>
        <w:softHyphen/>
        <w:t>տես</w:t>
      </w:r>
      <w:r w:rsidRPr="00836C0B">
        <w:rPr>
          <w:rFonts w:cs="Sylfaen"/>
          <w:b w:val="0"/>
          <w:iCs/>
          <w:szCs w:val="22"/>
          <w:lang w:val="af-ZA" w:eastAsia="en-GB"/>
        </w:rPr>
        <w:softHyphen/>
        <w:t xml:space="preserve">վում է ընդհանուր բնույթի բյուջետային օժանդակություն պաշտոնական դրամաշնորհների (չկապակցված դրամաշնորհներ) ստացում` 2.92 մլն եվրո կամ 1.7 մլրդ դրամ: </w:t>
      </w:r>
    </w:p>
    <w:p w:rsidR="00836C0B" w:rsidRPr="00A2480A" w:rsidRDefault="00D02A2D" w:rsidP="007730AA">
      <w:pPr>
        <w:pStyle w:val="Caption"/>
        <w:spacing w:before="0" w:after="0"/>
        <w:rPr>
          <w:b/>
          <w:i/>
          <w:sz w:val="20"/>
          <w:szCs w:val="20"/>
          <w:lang w:val="hy-AM"/>
        </w:rPr>
      </w:pPr>
      <w:bookmarkStart w:id="184" w:name="_Toc57631759"/>
      <w:r>
        <w:t>Աղյուսակ</w:t>
      </w:r>
      <w:r w:rsidRPr="00D02A2D">
        <w:rPr>
          <w:lang w:val="af-ZA"/>
        </w:rPr>
        <w:t xml:space="preserve"> </w:t>
      </w:r>
      <w:r w:rsidR="003C3925">
        <w:fldChar w:fldCharType="begin"/>
      </w:r>
      <w:r w:rsidRPr="00D02A2D">
        <w:rPr>
          <w:lang w:val="af-ZA"/>
        </w:rPr>
        <w:instrText xml:space="preserve"> SEQ </w:instrText>
      </w:r>
      <w:r>
        <w:instrText>Աղյուսակ</w:instrText>
      </w:r>
      <w:r w:rsidRPr="00D02A2D">
        <w:rPr>
          <w:lang w:val="af-ZA"/>
        </w:rPr>
        <w:instrText xml:space="preserve"> \* ARABIC </w:instrText>
      </w:r>
      <w:r w:rsidR="003C3925">
        <w:fldChar w:fldCharType="separate"/>
      </w:r>
      <w:r w:rsidR="007E790B">
        <w:rPr>
          <w:noProof/>
          <w:lang w:val="af-ZA"/>
        </w:rPr>
        <w:t>8</w:t>
      </w:r>
      <w:r w:rsidR="003C3925">
        <w:fldChar w:fldCharType="end"/>
      </w:r>
      <w:r>
        <w:rPr>
          <w:rFonts w:ascii="Cambria Math" w:hAnsi="Cambria Math"/>
          <w:lang w:val="hy-AM"/>
        </w:rPr>
        <w:t xml:space="preserve">․ </w:t>
      </w:r>
      <w:r w:rsidR="00836C0B" w:rsidRPr="00A2480A">
        <w:rPr>
          <w:b/>
          <w:i/>
          <w:sz w:val="20"/>
          <w:szCs w:val="20"/>
          <w:lang w:val="hy-AM"/>
        </w:rPr>
        <w:t>2021 թվականի համար ՀՀ-ԵՄ գործո</w:t>
      </w:r>
      <w:r w:rsidR="00836C0B" w:rsidRPr="00A2480A">
        <w:rPr>
          <w:b/>
          <w:i/>
          <w:sz w:val="20"/>
          <w:szCs w:val="20"/>
          <w:lang w:val="hy-AM"/>
        </w:rPr>
        <w:softHyphen/>
        <w:t>ղություն</w:t>
      </w:r>
      <w:r w:rsidR="00836C0B" w:rsidRPr="00A2480A">
        <w:rPr>
          <w:b/>
          <w:i/>
          <w:sz w:val="20"/>
          <w:szCs w:val="20"/>
          <w:lang w:val="hy-AM"/>
        </w:rPr>
        <w:softHyphen/>
        <w:t>ների ծրագրով նա</w:t>
      </w:r>
      <w:r w:rsidR="00836C0B" w:rsidRPr="00A2480A">
        <w:rPr>
          <w:b/>
          <w:i/>
          <w:sz w:val="20"/>
          <w:szCs w:val="20"/>
          <w:lang w:val="hy-AM"/>
        </w:rPr>
        <w:softHyphen/>
        <w:t>խա</w:t>
      </w:r>
      <w:r w:rsidR="00836C0B" w:rsidRPr="00A2480A">
        <w:rPr>
          <w:b/>
          <w:i/>
          <w:sz w:val="20"/>
          <w:szCs w:val="20"/>
          <w:lang w:val="hy-AM"/>
        </w:rPr>
        <w:softHyphen/>
        <w:t>տես</w:t>
      </w:r>
      <w:r w:rsidR="00836C0B" w:rsidRPr="00A2480A">
        <w:rPr>
          <w:b/>
          <w:i/>
          <w:sz w:val="20"/>
          <w:szCs w:val="20"/>
          <w:lang w:val="hy-AM"/>
        </w:rPr>
        <w:softHyphen/>
        <w:t>ված ընդհանուր բնույթի բյուջետային օժանդակություն պաշտոնական դրամաշնորհային ծրագրեր (մլրդ դրամ</w:t>
      </w:r>
      <w:r w:rsidR="00836C0B" w:rsidRPr="00A2480A">
        <w:rPr>
          <w:b/>
          <w:i/>
          <w:sz w:val="20"/>
          <w:szCs w:val="20"/>
          <w:lang w:val="hy-AM"/>
        </w:rPr>
        <w:softHyphen/>
        <w:t>նե</w:t>
      </w:r>
      <w:r w:rsidR="00836C0B" w:rsidRPr="00A2480A">
        <w:rPr>
          <w:b/>
          <w:i/>
          <w:sz w:val="20"/>
          <w:szCs w:val="20"/>
          <w:lang w:val="hy-AM"/>
        </w:rPr>
        <w:softHyphen/>
        <w:t>րով)</w:t>
      </w:r>
      <w:bookmarkEnd w:id="184"/>
    </w:p>
    <w:tbl>
      <w:tblPr>
        <w:tblStyle w:val="TableGrid340"/>
        <w:tblW w:w="9355" w:type="dxa"/>
        <w:tblLook w:val="04A0" w:firstRow="1" w:lastRow="0" w:firstColumn="1" w:lastColumn="0" w:noHBand="0" w:noVBand="1"/>
      </w:tblPr>
      <w:tblGrid>
        <w:gridCol w:w="7544"/>
        <w:gridCol w:w="1811"/>
      </w:tblGrid>
      <w:tr w:rsidR="00836C0B" w:rsidRPr="00836C0B" w:rsidTr="00836C0B">
        <w:trPr>
          <w:trHeight w:val="539"/>
        </w:trPr>
        <w:tc>
          <w:tcPr>
            <w:tcW w:w="7555" w:type="dxa"/>
            <w:shd w:val="clear" w:color="auto" w:fill="4F81BD" w:themeFill="accent1"/>
          </w:tcPr>
          <w:p w:rsidR="00836C0B" w:rsidRPr="00836C0B" w:rsidRDefault="00836C0B" w:rsidP="007730AA">
            <w:pPr>
              <w:spacing w:before="0" w:line="276" w:lineRule="auto"/>
              <w:ind w:firstLine="0"/>
              <w:contextualSpacing w:val="0"/>
              <w:jc w:val="left"/>
              <w:rPr>
                <w:color w:val="FFFFFF" w:themeColor="background1"/>
                <w:lang w:val="fr-FR" w:eastAsia="en-US"/>
              </w:rPr>
            </w:pPr>
            <w:r w:rsidRPr="00836C0B">
              <w:rPr>
                <w:bCs/>
                <w:color w:val="FFFFFF" w:themeColor="background1"/>
                <w:lang w:val="en-US" w:eastAsia="en-US"/>
              </w:rPr>
              <w:t>Ծրագրի անվանումը</w:t>
            </w:r>
          </w:p>
        </w:tc>
        <w:tc>
          <w:tcPr>
            <w:tcW w:w="1800" w:type="dxa"/>
            <w:shd w:val="clear" w:color="auto" w:fill="4F81BD" w:themeFill="accent1"/>
          </w:tcPr>
          <w:p w:rsidR="00836C0B" w:rsidRPr="00836C0B" w:rsidRDefault="00836C0B" w:rsidP="007730AA">
            <w:pPr>
              <w:spacing w:before="0" w:line="276" w:lineRule="auto"/>
              <w:ind w:firstLine="0"/>
              <w:contextualSpacing w:val="0"/>
              <w:jc w:val="center"/>
              <w:rPr>
                <w:color w:val="FFFFFF" w:themeColor="background1"/>
                <w:lang w:val="fr-FR" w:eastAsia="en-US"/>
              </w:rPr>
            </w:pPr>
            <w:r w:rsidRPr="00836C0B">
              <w:rPr>
                <w:rFonts w:cs="Calibri"/>
                <w:color w:val="FFFFFF" w:themeColor="background1"/>
                <w:lang w:val="en-US" w:eastAsia="en-US"/>
              </w:rPr>
              <w:t>2021թ կանխատեսում</w:t>
            </w:r>
          </w:p>
        </w:tc>
      </w:tr>
      <w:tr w:rsidR="00836C0B" w:rsidRPr="00836C0B" w:rsidTr="00836C0B">
        <w:trPr>
          <w:trHeight w:val="440"/>
        </w:trPr>
        <w:tc>
          <w:tcPr>
            <w:tcW w:w="7555" w:type="dxa"/>
            <w:shd w:val="clear" w:color="auto" w:fill="DBE5F1" w:themeFill="accent1" w:themeFillTint="33"/>
          </w:tcPr>
          <w:p w:rsidR="00836C0B" w:rsidRPr="00836C0B" w:rsidRDefault="00836C0B" w:rsidP="007730AA">
            <w:pPr>
              <w:spacing w:before="0" w:line="276" w:lineRule="auto"/>
              <w:ind w:firstLine="0"/>
              <w:contextualSpacing w:val="0"/>
              <w:jc w:val="left"/>
              <w:rPr>
                <w:lang w:val="fr-FR" w:eastAsia="en-US"/>
              </w:rPr>
            </w:pPr>
            <w:r w:rsidRPr="00836C0B">
              <w:rPr>
                <w:bCs/>
                <w:color w:val="000000"/>
                <w:lang w:val="en-US" w:eastAsia="en-US"/>
              </w:rPr>
              <w:t>Ընդամենը</w:t>
            </w:r>
          </w:p>
        </w:tc>
        <w:tc>
          <w:tcPr>
            <w:tcW w:w="1800" w:type="dxa"/>
            <w:shd w:val="clear" w:color="auto" w:fill="DBE5F1" w:themeFill="accent1" w:themeFillTint="33"/>
          </w:tcPr>
          <w:p w:rsidR="00836C0B" w:rsidRPr="00836C0B" w:rsidRDefault="00836C0B" w:rsidP="007730AA">
            <w:pPr>
              <w:spacing w:before="0" w:line="276" w:lineRule="auto"/>
              <w:ind w:firstLine="0"/>
              <w:contextualSpacing w:val="0"/>
              <w:jc w:val="center"/>
              <w:rPr>
                <w:color w:val="000000"/>
                <w:lang w:val="en-US" w:eastAsia="en-US"/>
              </w:rPr>
            </w:pPr>
            <w:r w:rsidRPr="00836C0B">
              <w:rPr>
                <w:color w:val="000000"/>
                <w:lang w:val="en-US" w:eastAsia="en-US"/>
              </w:rPr>
              <w:t>1.</w:t>
            </w:r>
            <w:r w:rsidR="00D0543E">
              <w:rPr>
                <w:color w:val="000000"/>
                <w:lang w:val="en-US" w:eastAsia="en-US"/>
              </w:rPr>
              <w:t>6784</w:t>
            </w:r>
          </w:p>
        </w:tc>
      </w:tr>
      <w:tr w:rsidR="00836C0B" w:rsidRPr="00836C0B" w:rsidTr="00CB6CBD">
        <w:trPr>
          <w:trHeight w:val="890"/>
        </w:trPr>
        <w:tc>
          <w:tcPr>
            <w:tcW w:w="7555" w:type="dxa"/>
          </w:tcPr>
          <w:p w:rsidR="00836C0B" w:rsidRPr="00836C0B" w:rsidRDefault="00836C0B" w:rsidP="007730AA">
            <w:pPr>
              <w:numPr>
                <w:ilvl w:val="0"/>
                <w:numId w:val="24"/>
              </w:numPr>
              <w:tabs>
                <w:tab w:val="left" w:pos="427"/>
              </w:tabs>
              <w:spacing w:before="0" w:line="276" w:lineRule="auto"/>
              <w:ind w:left="0" w:firstLine="0"/>
              <w:contextualSpacing w:val="0"/>
              <w:jc w:val="left"/>
              <w:rPr>
                <w:color w:val="000000"/>
                <w:lang w:val="fr-FR" w:eastAsia="en-US"/>
              </w:rPr>
            </w:pPr>
            <w:r w:rsidRPr="00836C0B">
              <w:rPr>
                <w:color w:val="000000"/>
                <w:lang w:val="fr-FR" w:eastAsia="en-US"/>
              </w:rPr>
              <w:t>«</w:t>
            </w:r>
            <w:r w:rsidRPr="00836C0B">
              <w:rPr>
                <w:color w:val="000000"/>
                <w:lang w:val="en-US" w:eastAsia="en-US"/>
              </w:rPr>
              <w:t>Աջակցություն</w:t>
            </w:r>
            <w:r w:rsidRPr="00836C0B">
              <w:rPr>
                <w:color w:val="000000"/>
                <w:lang w:val="fr-FR" w:eastAsia="en-US"/>
              </w:rPr>
              <w:t xml:space="preserve"> </w:t>
            </w:r>
            <w:r w:rsidRPr="00836C0B">
              <w:rPr>
                <w:color w:val="000000"/>
                <w:lang w:val="en-US" w:eastAsia="en-US"/>
              </w:rPr>
              <w:t>Հայաստանում</w:t>
            </w:r>
            <w:r w:rsidRPr="00836C0B">
              <w:rPr>
                <w:color w:val="000000"/>
                <w:lang w:val="fr-FR" w:eastAsia="en-US"/>
              </w:rPr>
              <w:t xml:space="preserve"> </w:t>
            </w:r>
            <w:r w:rsidRPr="00836C0B">
              <w:rPr>
                <w:color w:val="000000"/>
                <w:lang w:val="en-US" w:eastAsia="en-US"/>
              </w:rPr>
              <w:t>մարդու</w:t>
            </w:r>
            <w:r w:rsidRPr="00836C0B">
              <w:rPr>
                <w:color w:val="000000"/>
                <w:lang w:val="fr-FR" w:eastAsia="en-US"/>
              </w:rPr>
              <w:t xml:space="preserve"> </w:t>
            </w:r>
            <w:r w:rsidRPr="00836C0B">
              <w:rPr>
                <w:color w:val="000000"/>
                <w:lang w:val="en-US" w:eastAsia="en-US"/>
              </w:rPr>
              <w:t>իրավունքների</w:t>
            </w:r>
            <w:r w:rsidRPr="00836C0B">
              <w:rPr>
                <w:color w:val="000000"/>
                <w:lang w:val="fr-FR" w:eastAsia="en-US"/>
              </w:rPr>
              <w:t xml:space="preserve"> </w:t>
            </w:r>
            <w:r w:rsidRPr="00836C0B">
              <w:rPr>
                <w:color w:val="000000"/>
                <w:lang w:val="en-US" w:eastAsia="en-US"/>
              </w:rPr>
              <w:t>պաշտպանությանը</w:t>
            </w:r>
            <w:r w:rsidRPr="00836C0B">
              <w:rPr>
                <w:color w:val="000000"/>
                <w:lang w:val="fr-FR" w:eastAsia="en-US"/>
              </w:rPr>
              <w:t xml:space="preserve">» </w:t>
            </w:r>
            <w:r w:rsidRPr="00836C0B">
              <w:rPr>
                <w:color w:val="000000"/>
                <w:lang w:val="en-US" w:eastAsia="en-US"/>
              </w:rPr>
              <w:t>ֆինանսավորման</w:t>
            </w:r>
            <w:r w:rsidRPr="00836C0B">
              <w:rPr>
                <w:color w:val="000000"/>
                <w:lang w:val="fr-FR" w:eastAsia="en-US"/>
              </w:rPr>
              <w:t xml:space="preserve"> </w:t>
            </w:r>
            <w:r w:rsidRPr="00836C0B">
              <w:rPr>
                <w:color w:val="000000"/>
                <w:lang w:val="en-US" w:eastAsia="en-US"/>
              </w:rPr>
              <w:t>համաձայնագրի</w:t>
            </w:r>
            <w:r w:rsidRPr="00836C0B">
              <w:rPr>
                <w:color w:val="000000"/>
                <w:lang w:val="fr-FR" w:eastAsia="en-US"/>
              </w:rPr>
              <w:t xml:space="preserve"> </w:t>
            </w:r>
            <w:r w:rsidRPr="00836C0B">
              <w:rPr>
                <w:color w:val="000000"/>
                <w:lang w:val="en-US" w:eastAsia="en-US"/>
              </w:rPr>
              <w:t>թիվ</w:t>
            </w:r>
            <w:r w:rsidRPr="00836C0B">
              <w:rPr>
                <w:color w:val="000000"/>
                <w:lang w:val="fr-FR" w:eastAsia="en-US"/>
              </w:rPr>
              <w:t xml:space="preserve"> 1 </w:t>
            </w:r>
            <w:r w:rsidRPr="00836C0B">
              <w:rPr>
                <w:color w:val="000000"/>
                <w:lang w:val="en-US" w:eastAsia="en-US"/>
              </w:rPr>
              <w:t>լրացում</w:t>
            </w:r>
          </w:p>
        </w:tc>
        <w:tc>
          <w:tcPr>
            <w:tcW w:w="1800" w:type="dxa"/>
          </w:tcPr>
          <w:p w:rsidR="00836C0B" w:rsidRPr="00836C0B" w:rsidRDefault="00836C0B" w:rsidP="007730AA">
            <w:pPr>
              <w:spacing w:before="0" w:line="276" w:lineRule="auto"/>
              <w:ind w:firstLine="0"/>
              <w:contextualSpacing w:val="0"/>
              <w:jc w:val="center"/>
              <w:rPr>
                <w:color w:val="000000"/>
                <w:lang w:val="en-US" w:eastAsia="en-US"/>
              </w:rPr>
            </w:pPr>
            <w:r w:rsidRPr="00836C0B">
              <w:rPr>
                <w:color w:val="000000"/>
                <w:lang w:val="en-US" w:eastAsia="en-US"/>
              </w:rPr>
              <w:t>1,1</w:t>
            </w:r>
            <w:r w:rsidR="00D0543E">
              <w:rPr>
                <w:color w:val="000000"/>
                <w:lang w:val="en-US" w:eastAsia="en-US"/>
              </w:rPr>
              <w:t>496</w:t>
            </w:r>
          </w:p>
        </w:tc>
      </w:tr>
      <w:tr w:rsidR="00836C0B" w:rsidRPr="00836C0B" w:rsidTr="00836C0B">
        <w:trPr>
          <w:trHeight w:val="1160"/>
        </w:trPr>
        <w:tc>
          <w:tcPr>
            <w:tcW w:w="7555" w:type="dxa"/>
            <w:shd w:val="clear" w:color="auto" w:fill="DBE5F1" w:themeFill="accent1" w:themeFillTint="33"/>
          </w:tcPr>
          <w:p w:rsidR="00836C0B" w:rsidRPr="00836C0B" w:rsidRDefault="00836C0B" w:rsidP="007730AA">
            <w:pPr>
              <w:numPr>
                <w:ilvl w:val="0"/>
                <w:numId w:val="24"/>
              </w:numPr>
              <w:tabs>
                <w:tab w:val="left" w:pos="427"/>
              </w:tabs>
              <w:spacing w:before="0" w:line="276" w:lineRule="auto"/>
              <w:ind w:left="0" w:firstLine="0"/>
              <w:contextualSpacing w:val="0"/>
              <w:jc w:val="left"/>
              <w:rPr>
                <w:color w:val="000000"/>
                <w:lang w:val="fr-FR" w:eastAsia="en-US"/>
              </w:rPr>
            </w:pPr>
            <w:r w:rsidRPr="00836C0B">
              <w:rPr>
                <w:color w:val="000000"/>
                <w:lang w:val="fr-FR" w:eastAsia="en-US"/>
              </w:rPr>
              <w:t>«Աջակցություն Հայաստանում հանրային կառավարման ոլորտի բարեփոխումներին. առավել արդյունավետ եւ արձագանքող հանրային կառավարման միջոցով ծառայությունների մատուցման որակի բարելավում»</w:t>
            </w:r>
          </w:p>
        </w:tc>
        <w:tc>
          <w:tcPr>
            <w:tcW w:w="1800" w:type="dxa"/>
            <w:shd w:val="clear" w:color="auto" w:fill="DBE5F1" w:themeFill="accent1" w:themeFillTint="33"/>
          </w:tcPr>
          <w:p w:rsidR="00836C0B" w:rsidRPr="00836C0B" w:rsidRDefault="00836C0B" w:rsidP="007730AA">
            <w:pPr>
              <w:spacing w:before="0" w:line="276" w:lineRule="auto"/>
              <w:ind w:firstLine="0"/>
              <w:contextualSpacing w:val="0"/>
              <w:jc w:val="center"/>
              <w:rPr>
                <w:color w:val="000000"/>
                <w:lang w:val="en-US" w:eastAsia="en-US"/>
              </w:rPr>
            </w:pPr>
            <w:r w:rsidRPr="00836C0B">
              <w:rPr>
                <w:color w:val="000000"/>
                <w:lang w:val="en-US" w:eastAsia="en-US"/>
              </w:rPr>
              <w:t>0.14</w:t>
            </w:r>
            <w:r w:rsidR="00D0543E">
              <w:rPr>
                <w:color w:val="000000"/>
                <w:lang w:val="en-US" w:eastAsia="en-US"/>
              </w:rPr>
              <w:t>08</w:t>
            </w:r>
          </w:p>
        </w:tc>
      </w:tr>
      <w:tr w:rsidR="00836C0B" w:rsidRPr="00836C0B" w:rsidTr="00CB6CBD">
        <w:trPr>
          <w:trHeight w:val="620"/>
        </w:trPr>
        <w:tc>
          <w:tcPr>
            <w:tcW w:w="7555" w:type="dxa"/>
          </w:tcPr>
          <w:p w:rsidR="00836C0B" w:rsidRPr="00836C0B" w:rsidRDefault="00836C0B" w:rsidP="007730AA">
            <w:pPr>
              <w:numPr>
                <w:ilvl w:val="0"/>
                <w:numId w:val="24"/>
              </w:numPr>
              <w:tabs>
                <w:tab w:val="left" w:pos="427"/>
              </w:tabs>
              <w:spacing w:before="0" w:line="276" w:lineRule="auto"/>
              <w:ind w:left="0" w:firstLine="0"/>
              <w:contextualSpacing w:val="0"/>
              <w:jc w:val="left"/>
              <w:rPr>
                <w:color w:val="000000"/>
                <w:lang w:val="fr-FR" w:eastAsia="en-US"/>
              </w:rPr>
            </w:pPr>
            <w:r w:rsidRPr="00836C0B">
              <w:rPr>
                <w:color w:val="000000"/>
                <w:lang w:val="fr-FR" w:eastAsia="en-US"/>
              </w:rPr>
              <w:t>«Որակավորումների բարելավում` ավելի լավ աշխատատեղերի համար»</w:t>
            </w:r>
          </w:p>
        </w:tc>
        <w:tc>
          <w:tcPr>
            <w:tcW w:w="1800" w:type="dxa"/>
          </w:tcPr>
          <w:p w:rsidR="00836C0B" w:rsidRPr="00836C0B" w:rsidRDefault="00836C0B" w:rsidP="007730AA">
            <w:pPr>
              <w:spacing w:before="0" w:line="276" w:lineRule="auto"/>
              <w:ind w:firstLine="0"/>
              <w:contextualSpacing w:val="0"/>
              <w:jc w:val="center"/>
              <w:rPr>
                <w:color w:val="000000"/>
                <w:lang w:val="en-US" w:eastAsia="en-US"/>
              </w:rPr>
            </w:pPr>
            <w:r w:rsidRPr="00836C0B">
              <w:rPr>
                <w:color w:val="000000"/>
                <w:lang w:val="en-US" w:eastAsia="en-US"/>
              </w:rPr>
              <w:t>0.24</w:t>
            </w:r>
            <w:r w:rsidR="00D0543E">
              <w:rPr>
                <w:color w:val="000000"/>
                <w:lang w:val="en-US" w:eastAsia="en-US"/>
              </w:rPr>
              <w:t>43</w:t>
            </w:r>
          </w:p>
        </w:tc>
      </w:tr>
      <w:tr w:rsidR="00836C0B" w:rsidRPr="00836C0B" w:rsidTr="00836C0B">
        <w:trPr>
          <w:trHeight w:val="809"/>
        </w:trPr>
        <w:tc>
          <w:tcPr>
            <w:tcW w:w="7555" w:type="dxa"/>
            <w:shd w:val="clear" w:color="auto" w:fill="DBE5F1" w:themeFill="accent1" w:themeFillTint="33"/>
          </w:tcPr>
          <w:p w:rsidR="00836C0B" w:rsidRPr="00836C0B" w:rsidRDefault="00836C0B" w:rsidP="007730AA">
            <w:pPr>
              <w:numPr>
                <w:ilvl w:val="0"/>
                <w:numId w:val="24"/>
              </w:numPr>
              <w:tabs>
                <w:tab w:val="left" w:pos="427"/>
              </w:tabs>
              <w:spacing w:before="0" w:line="276" w:lineRule="auto"/>
              <w:ind w:left="0" w:firstLine="0"/>
              <w:contextualSpacing w:val="0"/>
              <w:jc w:val="left"/>
              <w:rPr>
                <w:color w:val="000000"/>
                <w:lang w:val="fr-FR" w:eastAsia="en-US"/>
              </w:rPr>
            </w:pPr>
            <w:r w:rsidRPr="00836C0B">
              <w:rPr>
                <w:color w:val="000000"/>
                <w:lang w:val="fr-FR" w:eastAsia="en-US"/>
              </w:rPr>
              <w:t>«Հայաստանում պետական ֆինանսների քաղաքականության բարեփոխումների ծրագիր»</w:t>
            </w:r>
          </w:p>
        </w:tc>
        <w:tc>
          <w:tcPr>
            <w:tcW w:w="1800" w:type="dxa"/>
            <w:shd w:val="clear" w:color="auto" w:fill="DBE5F1" w:themeFill="accent1" w:themeFillTint="33"/>
          </w:tcPr>
          <w:p w:rsidR="00836C0B" w:rsidRPr="00836C0B" w:rsidRDefault="00836C0B" w:rsidP="007730AA">
            <w:pPr>
              <w:spacing w:before="0" w:line="276" w:lineRule="auto"/>
              <w:ind w:firstLine="0"/>
              <w:contextualSpacing w:val="0"/>
              <w:jc w:val="center"/>
              <w:rPr>
                <w:color w:val="000000"/>
                <w:lang w:val="en-US" w:eastAsia="en-US"/>
              </w:rPr>
            </w:pPr>
            <w:r w:rsidRPr="00836C0B">
              <w:rPr>
                <w:color w:val="000000"/>
                <w:lang w:val="en-US" w:eastAsia="en-US"/>
              </w:rPr>
              <w:t>0.14</w:t>
            </w:r>
            <w:r w:rsidR="00D0543E">
              <w:rPr>
                <w:color w:val="000000"/>
                <w:lang w:val="en-US" w:eastAsia="en-US"/>
              </w:rPr>
              <w:t>37</w:t>
            </w:r>
          </w:p>
        </w:tc>
      </w:tr>
    </w:tbl>
    <w:p w:rsidR="002958DC" w:rsidRDefault="002958DC" w:rsidP="007730AA">
      <w:pPr>
        <w:tabs>
          <w:tab w:val="left" w:pos="9120"/>
        </w:tabs>
        <w:spacing w:before="0" w:line="276" w:lineRule="auto"/>
        <w:ind w:firstLine="562"/>
        <w:contextualSpacing w:val="0"/>
        <w:rPr>
          <w:rFonts w:cs="Sylfaen"/>
          <w:b w:val="0"/>
          <w:iCs/>
          <w:szCs w:val="22"/>
          <w:lang w:val="af-ZA" w:eastAsia="en-GB"/>
        </w:rPr>
      </w:pPr>
    </w:p>
    <w:p w:rsidR="00836C0B" w:rsidRPr="00836C0B" w:rsidRDefault="00836C0B" w:rsidP="007730AA">
      <w:pPr>
        <w:tabs>
          <w:tab w:val="left" w:pos="9120"/>
        </w:tabs>
        <w:spacing w:before="0" w:line="276" w:lineRule="auto"/>
        <w:ind w:firstLine="562"/>
        <w:contextualSpacing w:val="0"/>
        <w:rPr>
          <w:rFonts w:cs="Sylfaen"/>
          <w:b w:val="0"/>
          <w:iCs/>
          <w:szCs w:val="22"/>
          <w:lang w:val="af-ZA" w:eastAsia="en-GB"/>
        </w:rPr>
      </w:pPr>
      <w:r w:rsidRPr="00836C0B">
        <w:rPr>
          <w:rFonts w:cs="Sylfaen"/>
          <w:b w:val="0"/>
          <w:iCs/>
          <w:szCs w:val="22"/>
          <w:lang w:val="af-ZA" w:eastAsia="en-GB"/>
        </w:rPr>
        <w:t xml:space="preserve">Նպատակային օժանդակություն պաշտոնական դրամաշնորհային (կապակցված դրամաշնորհներ) ծրագրերից նախատեսվում </w:t>
      </w:r>
      <w:r w:rsidRPr="000E1B09">
        <w:rPr>
          <w:rFonts w:cs="Sylfaen"/>
          <w:b w:val="0"/>
          <w:iCs/>
          <w:szCs w:val="22"/>
          <w:lang w:val="af-ZA" w:eastAsia="en-GB"/>
        </w:rPr>
        <w:t xml:space="preserve">է </w:t>
      </w:r>
      <w:r w:rsidR="00C8407D" w:rsidRPr="000E1B09">
        <w:rPr>
          <w:rFonts w:cs="Sylfaen"/>
          <w:b w:val="0"/>
          <w:iCs/>
          <w:szCs w:val="22"/>
          <w:lang w:val="af-ZA" w:eastAsia="en-GB"/>
        </w:rPr>
        <w:t>45.7</w:t>
      </w:r>
      <w:r w:rsidRPr="00836C0B">
        <w:rPr>
          <w:rFonts w:cs="Sylfaen"/>
          <w:b w:val="0"/>
          <w:iCs/>
          <w:szCs w:val="22"/>
          <w:lang w:val="af-ZA" w:eastAsia="en-GB"/>
        </w:rPr>
        <w:t xml:space="preserve"> մլն ԱՄՆ դոլարի կամ </w:t>
      </w:r>
      <w:r w:rsidR="00FE7CD2">
        <w:rPr>
          <w:rFonts w:cs="Sylfaen"/>
          <w:b w:val="0"/>
          <w:iCs/>
          <w:szCs w:val="22"/>
          <w:lang w:val="af-ZA" w:eastAsia="en-GB"/>
        </w:rPr>
        <w:t>22.6</w:t>
      </w:r>
      <w:r w:rsidRPr="00836C0B">
        <w:rPr>
          <w:rFonts w:cs="Sylfaen"/>
          <w:b w:val="0"/>
          <w:iCs/>
          <w:szCs w:val="22"/>
          <w:lang w:val="af-ZA" w:eastAsia="en-GB"/>
        </w:rPr>
        <w:t xml:space="preserve"> մլրդ դրամի ստացում: Նպատակային պաշտոնական դրամաշնորհային ծրագրերի գծով ՀՀ 2021 թվականի պետա</w:t>
      </w:r>
      <w:r w:rsidRPr="00836C0B">
        <w:rPr>
          <w:rFonts w:cs="Sylfaen"/>
          <w:b w:val="0"/>
          <w:iCs/>
          <w:szCs w:val="22"/>
          <w:lang w:val="af-ZA" w:eastAsia="en-GB"/>
        </w:rPr>
        <w:softHyphen/>
        <w:t>կան բյուջեի նախագծ</w:t>
      </w:r>
      <w:r w:rsidRPr="00CC67CE">
        <w:rPr>
          <w:rFonts w:cs="Sylfaen"/>
          <w:b w:val="0"/>
          <w:iCs/>
          <w:szCs w:val="22"/>
          <w:lang w:val="af-ZA" w:eastAsia="en-GB"/>
        </w:rPr>
        <w:t xml:space="preserve">ի ցուցանիշների մանրամասները ներկայացված են նախագծի </w:t>
      </w:r>
      <w:r w:rsidR="00CC67CE" w:rsidRPr="00CC67CE">
        <w:rPr>
          <w:rFonts w:cs="Sylfaen"/>
          <w:b w:val="0"/>
          <w:iCs/>
          <w:szCs w:val="22"/>
          <w:lang w:val="af-ZA" w:eastAsia="en-GB"/>
        </w:rPr>
        <w:t xml:space="preserve">N 1 հավելվածի N </w:t>
      </w:r>
      <w:r w:rsidRPr="00CC67CE">
        <w:rPr>
          <w:rFonts w:cs="Sylfaen"/>
          <w:b w:val="0"/>
          <w:iCs/>
          <w:szCs w:val="22"/>
          <w:lang w:val="af-ZA" w:eastAsia="en-GB"/>
        </w:rPr>
        <w:t>5 աղյու</w:t>
      </w:r>
      <w:r w:rsidRPr="00CC67CE">
        <w:rPr>
          <w:rFonts w:cs="Sylfaen"/>
          <w:b w:val="0"/>
          <w:iCs/>
          <w:szCs w:val="22"/>
          <w:lang w:val="af-ZA" w:eastAsia="en-GB"/>
        </w:rPr>
        <w:softHyphen/>
      </w:r>
      <w:r w:rsidRPr="00CC67CE">
        <w:rPr>
          <w:rFonts w:cs="Sylfaen"/>
          <w:b w:val="0"/>
          <w:iCs/>
          <w:szCs w:val="22"/>
          <w:lang w:val="af-ZA" w:eastAsia="en-GB"/>
        </w:rPr>
        <w:softHyphen/>
        <w:t>սակում:</w:t>
      </w:r>
    </w:p>
    <w:p w:rsidR="00F544CA" w:rsidRPr="00EF6F81" w:rsidRDefault="00F544CA" w:rsidP="007730AA">
      <w:pPr>
        <w:keepNext/>
        <w:tabs>
          <w:tab w:val="left" w:pos="709"/>
        </w:tabs>
        <w:spacing w:before="0" w:line="276" w:lineRule="auto"/>
        <w:outlineLvl w:val="2"/>
        <w:rPr>
          <w:rFonts w:eastAsia="Calibri" w:cs="GHEA Grapalat"/>
          <w:bCs/>
          <w:szCs w:val="22"/>
          <w:lang w:val="hy-AM" w:eastAsia="en-US"/>
        </w:rPr>
      </w:pPr>
      <w:bookmarkStart w:id="185" w:name="_Toc500177730"/>
      <w:bookmarkStart w:id="186" w:name="_Toc530663265"/>
      <w:bookmarkStart w:id="187" w:name="_Toc57655467"/>
      <w:r w:rsidRPr="00EF6F81">
        <w:rPr>
          <w:rFonts w:eastAsia="Calibri" w:cs="GHEA Grapalat"/>
          <w:bCs/>
          <w:szCs w:val="22"/>
          <w:lang w:val="hy-AM" w:eastAsia="en-US"/>
        </w:rPr>
        <w:t>Այլ եկամուտներ</w:t>
      </w:r>
      <w:bookmarkEnd w:id="185"/>
      <w:bookmarkEnd w:id="186"/>
      <w:bookmarkEnd w:id="187"/>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Այլ եկամուտները ներառում են բանկերում և ֆինանսավարկային հաս</w:t>
      </w:r>
      <w:r w:rsidRPr="007E680E">
        <w:rPr>
          <w:rFonts w:cs="Sylfaen"/>
          <w:b w:val="0"/>
          <w:iCs/>
          <w:szCs w:val="22"/>
          <w:lang w:val="af-ZA" w:eastAsia="en-GB"/>
        </w:rPr>
        <w:softHyphen/>
        <w:t>տա</w:t>
      </w:r>
      <w:r w:rsidRPr="007E680E">
        <w:rPr>
          <w:rFonts w:cs="Sylfaen"/>
          <w:b w:val="0"/>
          <w:iCs/>
          <w:szCs w:val="22"/>
          <w:lang w:val="af-ZA" w:eastAsia="en-GB"/>
        </w:rPr>
        <w:softHyphen/>
        <w:t>տու</w:t>
      </w:r>
      <w:r w:rsidRPr="007E680E">
        <w:rPr>
          <w:rFonts w:cs="Sylfaen"/>
          <w:b w:val="0"/>
          <w:iCs/>
          <w:szCs w:val="22"/>
          <w:lang w:val="af-ZA" w:eastAsia="en-GB"/>
        </w:rPr>
        <w:softHyphen/>
        <w:t>թյուն</w:t>
      </w:r>
      <w:r w:rsidRPr="007E680E">
        <w:rPr>
          <w:rFonts w:cs="Sylfaen"/>
          <w:b w:val="0"/>
          <w:iCs/>
          <w:szCs w:val="22"/>
          <w:lang w:val="af-ZA" w:eastAsia="en-GB"/>
        </w:rPr>
        <w:softHyphen/>
        <w:t>նե</w:t>
      </w:r>
      <w:r w:rsidRPr="007E680E">
        <w:rPr>
          <w:rFonts w:cs="Sylfaen"/>
          <w:b w:val="0"/>
          <w:iCs/>
          <w:szCs w:val="22"/>
          <w:lang w:val="af-ZA" w:eastAsia="en-GB"/>
        </w:rPr>
        <w:softHyphen/>
        <w:t>րում պե</w:t>
      </w:r>
      <w:r w:rsidRPr="007E680E">
        <w:rPr>
          <w:rFonts w:cs="Sylfaen"/>
          <w:b w:val="0"/>
          <w:iCs/>
          <w:szCs w:val="22"/>
          <w:lang w:val="af-ZA" w:eastAsia="en-GB"/>
        </w:rPr>
        <w:softHyphen/>
        <w:t>տա</w:t>
      </w:r>
      <w:r w:rsidRPr="007E680E">
        <w:rPr>
          <w:rFonts w:cs="Sylfaen"/>
          <w:b w:val="0"/>
          <w:iCs/>
          <w:szCs w:val="22"/>
          <w:lang w:val="af-ZA" w:eastAsia="en-GB"/>
        </w:rPr>
        <w:softHyphen/>
        <w:t>կան բյուջեի ժամանակավոր ազատ միջոցների տեղաբաշխումից և դեպոզիտներից ստաց</w:t>
      </w:r>
      <w:r w:rsidRPr="007E680E">
        <w:rPr>
          <w:rFonts w:cs="Sylfaen"/>
          <w:b w:val="0"/>
          <w:iCs/>
          <w:szCs w:val="22"/>
          <w:lang w:val="af-ZA" w:eastAsia="en-GB"/>
        </w:rPr>
        <w:softHyphen/>
      </w:r>
      <w:r w:rsidRPr="007E680E">
        <w:rPr>
          <w:rFonts w:cs="Sylfaen"/>
          <w:b w:val="0"/>
          <w:iCs/>
          <w:szCs w:val="22"/>
          <w:lang w:val="af-ZA" w:eastAsia="en-GB"/>
        </w:rPr>
        <w:softHyphen/>
        <w:t>վող տո</w:t>
      </w:r>
      <w:r w:rsidRPr="007E680E">
        <w:rPr>
          <w:rFonts w:cs="Sylfaen"/>
          <w:b w:val="0"/>
          <w:iCs/>
          <w:szCs w:val="22"/>
          <w:lang w:val="af-ZA" w:eastAsia="en-GB"/>
        </w:rPr>
        <w:softHyphen/>
        <w:t>կո</w:t>
      </w:r>
      <w:r w:rsidRPr="007E680E">
        <w:rPr>
          <w:rFonts w:cs="Sylfaen"/>
          <w:b w:val="0"/>
          <w:iCs/>
          <w:szCs w:val="22"/>
          <w:lang w:val="af-ZA" w:eastAsia="en-GB"/>
        </w:rPr>
        <w:softHyphen/>
        <w:t>սա</w:t>
      </w:r>
      <w:r w:rsidRPr="007E680E">
        <w:rPr>
          <w:rFonts w:cs="Sylfaen"/>
          <w:b w:val="0"/>
          <w:iCs/>
          <w:szCs w:val="22"/>
          <w:lang w:val="af-ZA" w:eastAsia="en-GB"/>
        </w:rPr>
        <w:softHyphen/>
        <w:t>վճար</w:t>
      </w:r>
      <w:r w:rsidRPr="007E680E">
        <w:rPr>
          <w:rFonts w:cs="Sylfaen"/>
          <w:b w:val="0"/>
          <w:iCs/>
          <w:szCs w:val="22"/>
          <w:lang w:val="af-ZA" w:eastAsia="en-GB"/>
        </w:rPr>
        <w:softHyphen/>
        <w:t>ները, իրավաբանական անձանց կապիտալում կատարված ներդրում</w:t>
      </w:r>
      <w:r w:rsidRPr="007E680E">
        <w:rPr>
          <w:rFonts w:cs="Sylfaen"/>
          <w:b w:val="0"/>
          <w:iCs/>
          <w:szCs w:val="22"/>
          <w:lang w:val="af-ZA" w:eastAsia="en-GB"/>
        </w:rPr>
        <w:softHyphen/>
        <w:t>ներից ստաց</w:t>
      </w:r>
      <w:r w:rsidRPr="007E680E">
        <w:rPr>
          <w:rFonts w:cs="Sylfaen"/>
          <w:b w:val="0"/>
          <w:iCs/>
          <w:szCs w:val="22"/>
          <w:lang w:val="af-ZA" w:eastAsia="en-GB"/>
        </w:rPr>
        <w:softHyphen/>
      </w:r>
      <w:r w:rsidRPr="007E680E">
        <w:rPr>
          <w:rFonts w:cs="Sylfaen"/>
          <w:b w:val="0"/>
          <w:iCs/>
          <w:szCs w:val="22"/>
          <w:lang w:val="af-ZA" w:eastAsia="en-GB"/>
        </w:rPr>
        <w:softHyphen/>
        <w:t>վող շահաբաժինները, պե</w:t>
      </w:r>
      <w:r w:rsidRPr="007E680E">
        <w:rPr>
          <w:rFonts w:cs="Sylfaen"/>
          <w:b w:val="0"/>
          <w:iCs/>
          <w:szCs w:val="22"/>
          <w:lang w:val="af-ZA" w:eastAsia="en-GB"/>
        </w:rPr>
        <w:softHyphen/>
        <w:t>տա</w:t>
      </w:r>
      <w:r w:rsidRPr="007E680E">
        <w:rPr>
          <w:rFonts w:cs="Sylfaen"/>
          <w:b w:val="0"/>
          <w:iCs/>
          <w:szCs w:val="22"/>
          <w:lang w:val="af-ZA" w:eastAsia="en-GB"/>
        </w:rPr>
        <w:softHyphen/>
        <w:t>կան ձեռնարկությունների գույքի օգտագործման վճար</w:t>
      </w:r>
      <w:r w:rsidRPr="007E680E">
        <w:rPr>
          <w:rFonts w:cs="Sylfaen"/>
          <w:b w:val="0"/>
          <w:iCs/>
          <w:szCs w:val="22"/>
          <w:lang w:val="af-ZA" w:eastAsia="en-GB"/>
        </w:rPr>
        <w:softHyphen/>
        <w:t>ները, պետության կողմից տրված վարկերի օգտագործ</w:t>
      </w:r>
      <w:r w:rsidRPr="007E680E">
        <w:rPr>
          <w:rFonts w:cs="Sylfaen"/>
          <w:b w:val="0"/>
          <w:iCs/>
          <w:szCs w:val="22"/>
          <w:lang w:val="af-ZA" w:eastAsia="en-GB"/>
        </w:rPr>
        <w:softHyphen/>
        <w:t>ման դի</w:t>
      </w:r>
      <w:r w:rsidRPr="007E680E">
        <w:rPr>
          <w:rFonts w:cs="Sylfaen"/>
          <w:b w:val="0"/>
          <w:iCs/>
          <w:szCs w:val="22"/>
          <w:lang w:val="af-ZA" w:eastAsia="en-GB"/>
        </w:rPr>
        <w:softHyphen/>
        <w:t>մաց վճարները (տոկոսավճար</w:t>
      </w:r>
      <w:r w:rsidRPr="007E680E">
        <w:rPr>
          <w:rFonts w:cs="Sylfaen"/>
          <w:b w:val="0"/>
          <w:iCs/>
          <w:szCs w:val="22"/>
          <w:lang w:val="af-ZA" w:eastAsia="en-GB"/>
        </w:rPr>
        <w:softHyphen/>
        <w:t>ները), իրա</w:t>
      </w:r>
      <w:r w:rsidRPr="007E680E">
        <w:rPr>
          <w:rFonts w:cs="Sylfaen"/>
          <w:b w:val="0"/>
          <w:iCs/>
          <w:szCs w:val="22"/>
          <w:lang w:val="af-ZA" w:eastAsia="en-GB"/>
        </w:rPr>
        <w:softHyphen/>
        <w:t>վա</w:t>
      </w:r>
      <w:r w:rsidRPr="007E680E">
        <w:rPr>
          <w:rFonts w:cs="Sylfaen"/>
          <w:b w:val="0"/>
          <w:iCs/>
          <w:szCs w:val="22"/>
          <w:lang w:val="af-ZA" w:eastAsia="en-GB"/>
        </w:rPr>
        <w:softHyphen/>
        <w:t>խախտումների համար գոր</w:t>
      </w:r>
      <w:r w:rsidRPr="007E680E">
        <w:rPr>
          <w:rFonts w:cs="Sylfaen"/>
          <w:b w:val="0"/>
          <w:iCs/>
          <w:szCs w:val="22"/>
          <w:lang w:val="af-ZA" w:eastAsia="en-GB"/>
        </w:rPr>
        <w:softHyphen/>
        <w:t>ծա</w:t>
      </w:r>
      <w:r w:rsidRPr="007E680E">
        <w:rPr>
          <w:rFonts w:cs="Sylfaen"/>
          <w:b w:val="0"/>
          <w:iCs/>
          <w:szCs w:val="22"/>
          <w:lang w:val="af-ZA" w:eastAsia="en-GB"/>
        </w:rPr>
        <w:softHyphen/>
        <w:t>դիր և դատական մար</w:t>
      </w:r>
      <w:r w:rsidRPr="007E680E">
        <w:rPr>
          <w:rFonts w:cs="Sylfaen"/>
          <w:b w:val="0"/>
          <w:iCs/>
          <w:szCs w:val="22"/>
          <w:lang w:val="af-ZA" w:eastAsia="en-GB"/>
        </w:rPr>
        <w:softHyphen/>
      </w:r>
      <w:r w:rsidRPr="007E680E">
        <w:rPr>
          <w:rFonts w:cs="Sylfaen"/>
          <w:b w:val="0"/>
          <w:iCs/>
          <w:szCs w:val="22"/>
          <w:lang w:val="af-ZA" w:eastAsia="en-GB"/>
        </w:rPr>
        <w:softHyphen/>
        <w:t>մին</w:t>
      </w:r>
      <w:r w:rsidRPr="007E680E">
        <w:rPr>
          <w:rFonts w:cs="Sylfaen"/>
          <w:b w:val="0"/>
          <w:iCs/>
          <w:szCs w:val="22"/>
          <w:lang w:val="af-ZA" w:eastAsia="en-GB"/>
        </w:rPr>
        <w:softHyphen/>
        <w:t>նե</w:t>
      </w:r>
      <w:r w:rsidRPr="007E680E">
        <w:rPr>
          <w:rFonts w:cs="Sylfaen"/>
          <w:b w:val="0"/>
          <w:iCs/>
          <w:szCs w:val="22"/>
          <w:lang w:val="af-ZA" w:eastAsia="en-GB"/>
        </w:rPr>
        <w:softHyphen/>
        <w:t>րի կողմից կիրառվող պատժամի</w:t>
      </w:r>
      <w:r w:rsidRPr="007E680E">
        <w:rPr>
          <w:rFonts w:cs="Sylfaen"/>
          <w:b w:val="0"/>
          <w:iCs/>
          <w:szCs w:val="22"/>
          <w:lang w:val="af-ZA" w:eastAsia="en-GB"/>
        </w:rPr>
        <w:softHyphen/>
        <w:t>ջոցներից ստացվող մուտքերը, պետական մարմինների կողմից ապրանքների մա</w:t>
      </w:r>
      <w:r w:rsidRPr="007E680E">
        <w:rPr>
          <w:rFonts w:cs="Sylfaen"/>
          <w:b w:val="0"/>
          <w:iCs/>
          <w:szCs w:val="22"/>
          <w:lang w:val="af-ZA" w:eastAsia="en-GB"/>
        </w:rPr>
        <w:softHyphen/>
        <w:t>տա</w:t>
      </w:r>
      <w:r w:rsidRPr="007E680E">
        <w:rPr>
          <w:rFonts w:cs="Sylfaen"/>
          <w:b w:val="0"/>
          <w:iCs/>
          <w:szCs w:val="22"/>
          <w:lang w:val="af-ZA" w:eastAsia="en-GB"/>
        </w:rPr>
        <w:softHyphen/>
        <w:t>կա</w:t>
      </w:r>
      <w:r w:rsidRPr="007E680E">
        <w:rPr>
          <w:rFonts w:cs="Sylfaen"/>
          <w:b w:val="0"/>
          <w:iCs/>
          <w:szCs w:val="22"/>
          <w:lang w:val="af-ZA" w:eastAsia="en-GB"/>
        </w:rPr>
        <w:softHyphen/>
        <w:t>րա</w:t>
      </w:r>
      <w:r w:rsidRPr="007E680E">
        <w:rPr>
          <w:rFonts w:cs="Sylfaen"/>
          <w:b w:val="0"/>
          <w:iCs/>
          <w:szCs w:val="22"/>
          <w:lang w:val="af-ZA" w:eastAsia="en-GB"/>
        </w:rPr>
        <w:softHyphen/>
        <w:t>րումից և ծառայությունների մատուցումից մուտքերը և այլ եկա</w:t>
      </w:r>
      <w:r w:rsidRPr="007E680E">
        <w:rPr>
          <w:rFonts w:cs="Sylfaen"/>
          <w:b w:val="0"/>
          <w:iCs/>
          <w:szCs w:val="22"/>
          <w:lang w:val="af-ZA" w:eastAsia="en-GB"/>
        </w:rPr>
        <w:softHyphen/>
        <w:t>մուտ</w:t>
      </w:r>
      <w:r w:rsidRPr="007E680E">
        <w:rPr>
          <w:rFonts w:cs="Sylfaen"/>
          <w:b w:val="0"/>
          <w:iCs/>
          <w:szCs w:val="22"/>
          <w:lang w:val="af-ZA" w:eastAsia="en-GB"/>
        </w:rPr>
        <w:softHyphen/>
        <w:t>ները:</w:t>
      </w:r>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Այլ եկամուտների գծով մուտքերը 2021 թվականի համար հա</w:t>
      </w:r>
      <w:r w:rsidR="00BF59AC">
        <w:rPr>
          <w:rFonts w:cs="Sylfaen"/>
          <w:b w:val="0"/>
          <w:iCs/>
          <w:szCs w:val="22"/>
          <w:lang w:val="af-ZA" w:eastAsia="en-GB"/>
        </w:rPr>
        <w:t>մար ծրագրվել են 45.1</w:t>
      </w:r>
      <w:r w:rsidRPr="007E680E">
        <w:rPr>
          <w:rFonts w:cs="Sylfaen"/>
          <w:b w:val="0"/>
          <w:iCs/>
          <w:szCs w:val="22"/>
          <w:lang w:val="af-ZA" w:eastAsia="en-GB"/>
        </w:rPr>
        <w:t xml:space="preserve"> մլրդ դրամի չափով, հաշվի առնելով գանձման համար պատաս</w:t>
      </w:r>
      <w:r w:rsidRPr="007E680E">
        <w:rPr>
          <w:rFonts w:cs="Sylfaen"/>
          <w:b w:val="0"/>
          <w:iCs/>
          <w:szCs w:val="22"/>
          <w:lang w:val="af-ZA" w:eastAsia="en-GB"/>
        </w:rPr>
        <w:softHyphen/>
        <w:t>խա</w:t>
      </w:r>
      <w:r w:rsidRPr="007E680E">
        <w:rPr>
          <w:rFonts w:cs="Sylfaen"/>
          <w:b w:val="0"/>
          <w:iCs/>
          <w:szCs w:val="22"/>
          <w:lang w:val="af-ZA" w:eastAsia="en-GB"/>
        </w:rPr>
        <w:softHyphen/>
        <w:t>նա</w:t>
      </w:r>
      <w:r w:rsidRPr="007E680E">
        <w:rPr>
          <w:rFonts w:cs="Sylfaen"/>
          <w:b w:val="0"/>
          <w:iCs/>
          <w:szCs w:val="22"/>
          <w:lang w:val="af-ZA" w:eastAsia="en-GB"/>
        </w:rPr>
        <w:softHyphen/>
        <w:t>տու պետական կա</w:t>
      </w:r>
      <w:r w:rsidRPr="007E680E">
        <w:rPr>
          <w:rFonts w:cs="Sylfaen"/>
          <w:b w:val="0"/>
          <w:iCs/>
          <w:szCs w:val="22"/>
          <w:lang w:val="af-ZA" w:eastAsia="en-GB"/>
        </w:rPr>
        <w:softHyphen/>
        <w:t>ռավարման մարմինների կողմից ՀՀ 2021 թվականի բյուջետային գործ</w:t>
      </w:r>
      <w:r w:rsidRPr="007E680E">
        <w:rPr>
          <w:rFonts w:cs="Sylfaen"/>
          <w:b w:val="0"/>
          <w:iCs/>
          <w:szCs w:val="22"/>
          <w:lang w:val="af-ZA" w:eastAsia="en-GB"/>
        </w:rPr>
        <w:softHyphen/>
        <w:t>ըն</w:t>
      </w:r>
      <w:r w:rsidRPr="007E680E">
        <w:rPr>
          <w:rFonts w:cs="Sylfaen"/>
          <w:b w:val="0"/>
          <w:iCs/>
          <w:szCs w:val="22"/>
          <w:lang w:val="af-ZA" w:eastAsia="en-GB"/>
        </w:rPr>
        <w:softHyphen/>
      </w:r>
      <w:r w:rsidRPr="007E680E">
        <w:rPr>
          <w:rFonts w:cs="Sylfaen"/>
          <w:b w:val="0"/>
          <w:iCs/>
          <w:szCs w:val="22"/>
          <w:lang w:val="af-ZA" w:eastAsia="en-GB"/>
        </w:rPr>
        <w:softHyphen/>
        <w:t>թացի շրջա</w:t>
      </w:r>
      <w:r w:rsidRPr="007E680E">
        <w:rPr>
          <w:rFonts w:cs="Sylfaen"/>
          <w:b w:val="0"/>
          <w:iCs/>
          <w:szCs w:val="22"/>
          <w:lang w:val="af-ZA" w:eastAsia="en-GB"/>
        </w:rPr>
        <w:softHyphen/>
      </w:r>
      <w:r w:rsidRPr="007E680E">
        <w:rPr>
          <w:rFonts w:cs="Sylfaen"/>
          <w:b w:val="0"/>
          <w:iCs/>
          <w:szCs w:val="22"/>
          <w:lang w:val="af-ZA" w:eastAsia="en-GB"/>
        </w:rPr>
        <w:softHyphen/>
        <w:t>նակում հա</w:t>
      </w:r>
      <w:r w:rsidRPr="007E680E">
        <w:rPr>
          <w:rFonts w:cs="Sylfaen"/>
          <w:b w:val="0"/>
          <w:iCs/>
          <w:szCs w:val="22"/>
          <w:lang w:val="af-ZA" w:eastAsia="en-GB"/>
        </w:rPr>
        <w:softHyphen/>
        <w:t>մա</w:t>
      </w:r>
      <w:r w:rsidRPr="007E680E">
        <w:rPr>
          <w:rFonts w:cs="Sylfaen"/>
          <w:b w:val="0"/>
          <w:iCs/>
          <w:szCs w:val="22"/>
          <w:lang w:val="af-ZA" w:eastAsia="en-GB"/>
        </w:rPr>
        <w:softHyphen/>
        <w:t>պա</w:t>
      </w:r>
      <w:r w:rsidRPr="007E680E">
        <w:rPr>
          <w:rFonts w:cs="Sylfaen"/>
          <w:b w:val="0"/>
          <w:iCs/>
          <w:szCs w:val="22"/>
          <w:lang w:val="af-ZA" w:eastAsia="en-GB"/>
        </w:rPr>
        <w:softHyphen/>
        <w:t>տաս</w:t>
      </w:r>
      <w:r w:rsidRPr="007E680E">
        <w:rPr>
          <w:rFonts w:cs="Sylfaen"/>
          <w:b w:val="0"/>
          <w:iCs/>
          <w:szCs w:val="22"/>
          <w:lang w:val="af-ZA" w:eastAsia="en-GB"/>
        </w:rPr>
        <w:softHyphen/>
        <w:t>խան հայտերով ներկայացված կանխատեսումները, կատար</w:t>
      </w:r>
      <w:r w:rsidRPr="007E680E">
        <w:rPr>
          <w:rFonts w:cs="Sylfaen"/>
          <w:b w:val="0"/>
          <w:iCs/>
          <w:szCs w:val="22"/>
          <w:lang w:val="af-ZA" w:eastAsia="en-GB"/>
        </w:rPr>
        <w:softHyphen/>
        <w:t>ված օրենս</w:t>
      </w:r>
      <w:r w:rsidRPr="007E680E">
        <w:rPr>
          <w:rFonts w:cs="Sylfaen"/>
          <w:b w:val="0"/>
          <w:iCs/>
          <w:szCs w:val="22"/>
          <w:lang w:val="af-ZA" w:eastAsia="en-GB"/>
        </w:rPr>
        <w:softHyphen/>
        <w:t>դրա</w:t>
      </w:r>
      <w:r w:rsidRPr="007E680E">
        <w:rPr>
          <w:rFonts w:cs="Sylfaen"/>
          <w:b w:val="0"/>
          <w:iCs/>
          <w:szCs w:val="22"/>
          <w:lang w:val="af-ZA" w:eastAsia="en-GB"/>
        </w:rPr>
        <w:softHyphen/>
        <w:t>կան փոփոխությունները, ինչ</w:t>
      </w:r>
      <w:r w:rsidRPr="007E680E">
        <w:rPr>
          <w:rFonts w:cs="Sylfaen"/>
          <w:b w:val="0"/>
          <w:iCs/>
          <w:szCs w:val="22"/>
          <w:lang w:val="af-ZA" w:eastAsia="en-GB"/>
        </w:rPr>
        <w:softHyphen/>
        <w:t>պես նաև առանձին եկամտատեսակների գծով նա</w:t>
      </w:r>
      <w:r w:rsidRPr="007E680E">
        <w:rPr>
          <w:rFonts w:cs="Sylfaen"/>
          <w:b w:val="0"/>
          <w:iCs/>
          <w:szCs w:val="22"/>
          <w:lang w:val="af-ZA" w:eastAsia="en-GB"/>
        </w:rPr>
        <w:softHyphen/>
        <w:t>խորդ տա</w:t>
      </w:r>
      <w:r w:rsidRPr="007E680E">
        <w:rPr>
          <w:rFonts w:cs="Sylfaen"/>
          <w:b w:val="0"/>
          <w:iCs/>
          <w:szCs w:val="22"/>
          <w:lang w:val="af-ZA" w:eastAsia="en-GB"/>
        </w:rPr>
        <w:softHyphen/>
        <w:t>րի</w:t>
      </w:r>
      <w:r w:rsidRPr="007E680E">
        <w:rPr>
          <w:rFonts w:cs="Sylfaen"/>
          <w:b w:val="0"/>
          <w:iCs/>
          <w:szCs w:val="22"/>
          <w:lang w:val="af-ZA" w:eastAsia="en-GB"/>
        </w:rPr>
        <w:softHyphen/>
        <w:t>նե</w:t>
      </w:r>
      <w:r w:rsidRPr="007E680E">
        <w:rPr>
          <w:rFonts w:cs="Sylfaen"/>
          <w:b w:val="0"/>
          <w:iCs/>
          <w:szCs w:val="22"/>
          <w:lang w:val="af-ZA" w:eastAsia="en-GB"/>
        </w:rPr>
        <w:softHyphen/>
        <w:t>րին արձանագրված միտումները:</w:t>
      </w:r>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Այլ եկամուտների գծով կանխատեսումային ցուցանիշների ընդհանուր պատկերն ըստ եկամտի հիմնական աղբյուրների հետևյալն է.</w:t>
      </w:r>
    </w:p>
    <w:p w:rsidR="002958DC" w:rsidRPr="000C0823" w:rsidRDefault="002958DC" w:rsidP="007730AA">
      <w:pPr>
        <w:pStyle w:val="Caption"/>
        <w:spacing w:before="0" w:after="0"/>
        <w:rPr>
          <w:lang w:val="af-ZA"/>
        </w:rPr>
      </w:pPr>
      <w:bookmarkStart w:id="188" w:name="_Toc57631760"/>
    </w:p>
    <w:p w:rsidR="002958DC" w:rsidRPr="000C0823" w:rsidRDefault="002958DC" w:rsidP="007730AA">
      <w:pPr>
        <w:pStyle w:val="Caption"/>
        <w:spacing w:before="0" w:after="0"/>
        <w:rPr>
          <w:lang w:val="af-ZA"/>
        </w:rPr>
      </w:pPr>
    </w:p>
    <w:p w:rsidR="002958DC" w:rsidRPr="000C0823" w:rsidRDefault="002958DC" w:rsidP="007730AA">
      <w:pPr>
        <w:pStyle w:val="Caption"/>
        <w:spacing w:before="0" w:after="0"/>
        <w:rPr>
          <w:lang w:val="af-ZA"/>
        </w:rPr>
      </w:pPr>
    </w:p>
    <w:p w:rsidR="002958DC" w:rsidRPr="000C0823" w:rsidRDefault="002958DC" w:rsidP="007730AA">
      <w:pPr>
        <w:pStyle w:val="Caption"/>
        <w:spacing w:before="0" w:after="0"/>
        <w:rPr>
          <w:lang w:val="af-ZA"/>
        </w:rPr>
      </w:pPr>
    </w:p>
    <w:p w:rsidR="002958DC" w:rsidRPr="000C0823" w:rsidRDefault="002958DC" w:rsidP="007730AA">
      <w:pPr>
        <w:pStyle w:val="Caption"/>
        <w:spacing w:before="0" w:after="0"/>
        <w:rPr>
          <w:lang w:val="af-ZA"/>
        </w:rPr>
      </w:pPr>
    </w:p>
    <w:p w:rsidR="007E680E" w:rsidRPr="007E680E" w:rsidRDefault="00D02A2D" w:rsidP="007730AA">
      <w:pPr>
        <w:pStyle w:val="Caption"/>
        <w:spacing w:before="0" w:after="0"/>
        <w:rPr>
          <w:rFonts w:cs="Sylfaen"/>
          <w:b/>
          <w:sz w:val="20"/>
          <w:szCs w:val="20"/>
          <w:lang w:val="fr-FR" w:eastAsia="en-US"/>
        </w:rPr>
      </w:pPr>
      <w:r>
        <w:t>Աղյուսակ</w:t>
      </w:r>
      <w:r w:rsidRPr="00D02A2D">
        <w:rPr>
          <w:lang w:val="af-ZA"/>
        </w:rPr>
        <w:t xml:space="preserve"> </w:t>
      </w:r>
      <w:r w:rsidR="003C3925">
        <w:fldChar w:fldCharType="begin"/>
      </w:r>
      <w:r w:rsidRPr="00D02A2D">
        <w:rPr>
          <w:lang w:val="af-ZA"/>
        </w:rPr>
        <w:instrText xml:space="preserve"> SEQ </w:instrText>
      </w:r>
      <w:r>
        <w:instrText>Աղյուսակ</w:instrText>
      </w:r>
      <w:r w:rsidRPr="00D02A2D">
        <w:rPr>
          <w:lang w:val="af-ZA"/>
        </w:rPr>
        <w:instrText xml:space="preserve"> \* ARABIC </w:instrText>
      </w:r>
      <w:r w:rsidR="003C3925">
        <w:fldChar w:fldCharType="separate"/>
      </w:r>
      <w:r w:rsidR="007E790B">
        <w:rPr>
          <w:noProof/>
          <w:lang w:val="af-ZA"/>
        </w:rPr>
        <w:t>9</w:t>
      </w:r>
      <w:r w:rsidR="003C3925">
        <w:fldChar w:fldCharType="end"/>
      </w:r>
      <w:r>
        <w:rPr>
          <w:rFonts w:ascii="Cambria Math" w:hAnsi="Cambria Math"/>
          <w:lang w:val="hy-AM"/>
        </w:rPr>
        <w:t xml:space="preserve">․ </w:t>
      </w:r>
      <w:r w:rsidR="007E680E" w:rsidRPr="00A2480A">
        <w:rPr>
          <w:b/>
          <w:i/>
          <w:sz w:val="20"/>
          <w:szCs w:val="20"/>
          <w:lang w:val="hy-AM"/>
        </w:rPr>
        <w:t>Այլ եկամուտների կազմում հաշվառվող եկամտատեսակների գծով ՀՀ 2017-2021թթ փաստացի/կանխատեսումային ցուցանիշները (մլրդ դրամներով</w:t>
      </w:r>
      <w:r w:rsidR="007E680E" w:rsidRPr="007E680E">
        <w:rPr>
          <w:rFonts w:cs="Sylfaen"/>
          <w:b/>
          <w:sz w:val="20"/>
          <w:szCs w:val="20"/>
          <w:lang w:val="fr-FR" w:eastAsia="en-US"/>
        </w:rPr>
        <w:t>)</w:t>
      </w:r>
      <w:bookmarkEnd w:id="188"/>
    </w:p>
    <w:tbl>
      <w:tblPr>
        <w:tblW w:w="95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1077"/>
        <w:gridCol w:w="1077"/>
        <w:gridCol w:w="1077"/>
        <w:gridCol w:w="1077"/>
        <w:gridCol w:w="1077"/>
      </w:tblGrid>
      <w:tr w:rsidR="007E680E" w:rsidRPr="007E680E" w:rsidTr="008B3208">
        <w:trPr>
          <w:trHeight w:val="690"/>
        </w:trPr>
        <w:tc>
          <w:tcPr>
            <w:tcW w:w="4135" w:type="dxa"/>
            <w:shd w:val="clear" w:color="auto" w:fill="4F81BD" w:themeFill="accent1"/>
            <w:vAlign w:val="center"/>
            <w:hideMark/>
          </w:tcPr>
          <w:p w:rsidR="007E680E" w:rsidRPr="007E680E" w:rsidRDefault="007E680E" w:rsidP="007730AA">
            <w:pPr>
              <w:spacing w:before="0" w:line="276" w:lineRule="auto"/>
              <w:ind w:firstLine="0"/>
              <w:contextualSpacing w:val="0"/>
              <w:jc w:val="left"/>
              <w:rPr>
                <w:rFonts w:cs="Calibri"/>
                <w:bCs/>
                <w:color w:val="FFFFFF" w:themeColor="background1"/>
                <w:sz w:val="20"/>
                <w:szCs w:val="20"/>
                <w:lang w:val="en-US" w:eastAsia="en-US"/>
              </w:rPr>
            </w:pPr>
            <w:r w:rsidRPr="007E680E">
              <w:rPr>
                <w:rFonts w:cs="Calibri"/>
                <w:bCs/>
                <w:color w:val="FFFFFF" w:themeColor="background1"/>
                <w:sz w:val="20"/>
                <w:szCs w:val="20"/>
                <w:lang w:val="en-US" w:eastAsia="en-US"/>
              </w:rPr>
              <w:t>Այլ եկամուտներ</w:t>
            </w:r>
          </w:p>
        </w:tc>
        <w:tc>
          <w:tcPr>
            <w:tcW w:w="1077" w:type="dxa"/>
            <w:shd w:val="clear" w:color="auto" w:fill="4F81BD" w:themeFill="accent1"/>
            <w:vAlign w:val="center"/>
            <w:hideMark/>
          </w:tcPr>
          <w:p w:rsidR="007E680E" w:rsidRPr="007E680E" w:rsidRDefault="007E680E" w:rsidP="007730AA">
            <w:pPr>
              <w:spacing w:before="0" w:line="276" w:lineRule="auto"/>
              <w:ind w:firstLine="0"/>
              <w:contextualSpacing w:val="0"/>
              <w:jc w:val="center"/>
              <w:rPr>
                <w:rFonts w:cs="Calibri"/>
                <w:color w:val="FFFFFF" w:themeColor="background1"/>
                <w:sz w:val="20"/>
                <w:szCs w:val="20"/>
                <w:lang w:val="en-US" w:eastAsia="en-US"/>
              </w:rPr>
            </w:pPr>
            <w:r w:rsidRPr="007E680E">
              <w:rPr>
                <w:rFonts w:cs="Calibri"/>
                <w:color w:val="FFFFFF" w:themeColor="background1"/>
                <w:sz w:val="20"/>
                <w:szCs w:val="20"/>
                <w:lang w:val="en-US" w:eastAsia="en-US"/>
              </w:rPr>
              <w:t>2017թ</w:t>
            </w:r>
            <w:r w:rsidRPr="007E680E">
              <w:rPr>
                <w:rFonts w:cs="Calibri"/>
                <w:color w:val="FFFFFF" w:themeColor="background1"/>
                <w:sz w:val="20"/>
                <w:szCs w:val="20"/>
                <w:lang w:val="en-US" w:eastAsia="en-US"/>
              </w:rPr>
              <w:br/>
              <w:t>փաստ</w:t>
            </w:r>
          </w:p>
        </w:tc>
        <w:tc>
          <w:tcPr>
            <w:tcW w:w="1077" w:type="dxa"/>
            <w:shd w:val="clear" w:color="auto" w:fill="4F81BD" w:themeFill="accent1"/>
            <w:vAlign w:val="center"/>
            <w:hideMark/>
          </w:tcPr>
          <w:p w:rsidR="007E680E" w:rsidRPr="007E680E" w:rsidRDefault="007E680E" w:rsidP="007730AA">
            <w:pPr>
              <w:spacing w:before="0" w:line="276" w:lineRule="auto"/>
              <w:ind w:firstLine="0"/>
              <w:contextualSpacing w:val="0"/>
              <w:jc w:val="center"/>
              <w:rPr>
                <w:rFonts w:cs="Calibri"/>
                <w:color w:val="FFFFFF" w:themeColor="background1"/>
                <w:sz w:val="20"/>
                <w:szCs w:val="20"/>
                <w:lang w:val="en-US" w:eastAsia="en-US"/>
              </w:rPr>
            </w:pPr>
            <w:r w:rsidRPr="007E680E">
              <w:rPr>
                <w:rFonts w:cs="Calibri"/>
                <w:color w:val="FFFFFF" w:themeColor="background1"/>
                <w:sz w:val="20"/>
                <w:szCs w:val="20"/>
                <w:lang w:val="en-US" w:eastAsia="en-US"/>
              </w:rPr>
              <w:t>2018թ</w:t>
            </w:r>
            <w:r w:rsidRPr="007E680E">
              <w:rPr>
                <w:rFonts w:cs="Calibri"/>
                <w:color w:val="FFFFFF" w:themeColor="background1"/>
                <w:sz w:val="20"/>
                <w:szCs w:val="20"/>
                <w:lang w:val="en-US" w:eastAsia="en-US"/>
              </w:rPr>
              <w:br/>
              <w:t>փաստ</w:t>
            </w:r>
          </w:p>
        </w:tc>
        <w:tc>
          <w:tcPr>
            <w:tcW w:w="1077" w:type="dxa"/>
            <w:shd w:val="clear" w:color="auto" w:fill="4F81BD" w:themeFill="accent1"/>
            <w:vAlign w:val="center"/>
            <w:hideMark/>
          </w:tcPr>
          <w:p w:rsidR="007E680E" w:rsidRPr="007E680E" w:rsidRDefault="007E680E" w:rsidP="007730AA">
            <w:pPr>
              <w:spacing w:before="0" w:line="276" w:lineRule="auto"/>
              <w:ind w:firstLine="0"/>
              <w:contextualSpacing w:val="0"/>
              <w:jc w:val="center"/>
              <w:rPr>
                <w:rFonts w:cs="Calibri"/>
                <w:color w:val="FFFFFF" w:themeColor="background1"/>
                <w:sz w:val="20"/>
                <w:szCs w:val="20"/>
                <w:lang w:val="en-US" w:eastAsia="en-US"/>
              </w:rPr>
            </w:pPr>
            <w:r w:rsidRPr="007E680E">
              <w:rPr>
                <w:rFonts w:cs="Calibri"/>
                <w:color w:val="FFFFFF" w:themeColor="background1"/>
                <w:sz w:val="20"/>
                <w:szCs w:val="20"/>
                <w:lang w:val="en-US" w:eastAsia="en-US"/>
              </w:rPr>
              <w:t>2019թ</w:t>
            </w:r>
            <w:r w:rsidRPr="007E680E">
              <w:rPr>
                <w:rFonts w:cs="Calibri"/>
                <w:color w:val="FFFFFF" w:themeColor="background1"/>
                <w:sz w:val="20"/>
                <w:szCs w:val="20"/>
                <w:lang w:val="en-US" w:eastAsia="en-US"/>
              </w:rPr>
              <w:br/>
              <w:t>փաստ</w:t>
            </w:r>
          </w:p>
        </w:tc>
        <w:tc>
          <w:tcPr>
            <w:tcW w:w="1077" w:type="dxa"/>
            <w:shd w:val="clear" w:color="auto" w:fill="4F81BD" w:themeFill="accent1"/>
            <w:vAlign w:val="center"/>
            <w:hideMark/>
          </w:tcPr>
          <w:p w:rsidR="007E680E" w:rsidRPr="007E680E" w:rsidRDefault="007E680E" w:rsidP="007730AA">
            <w:pPr>
              <w:spacing w:before="0" w:line="276" w:lineRule="auto"/>
              <w:ind w:firstLine="0"/>
              <w:contextualSpacing w:val="0"/>
              <w:jc w:val="center"/>
              <w:rPr>
                <w:rFonts w:cs="Calibri"/>
                <w:color w:val="FFFFFF" w:themeColor="background1"/>
                <w:sz w:val="20"/>
                <w:szCs w:val="20"/>
                <w:lang w:val="en-US" w:eastAsia="en-US"/>
              </w:rPr>
            </w:pPr>
            <w:r w:rsidRPr="007E680E">
              <w:rPr>
                <w:rFonts w:cs="Calibri"/>
                <w:color w:val="FFFFFF" w:themeColor="background1"/>
                <w:sz w:val="20"/>
                <w:szCs w:val="20"/>
                <w:lang w:val="en-US" w:eastAsia="en-US"/>
              </w:rPr>
              <w:t>2020թ</w:t>
            </w:r>
            <w:r w:rsidRPr="007E680E">
              <w:rPr>
                <w:rFonts w:cs="Calibri"/>
                <w:color w:val="FFFFFF" w:themeColor="background1"/>
                <w:sz w:val="20"/>
                <w:szCs w:val="20"/>
                <w:lang w:val="en-US" w:eastAsia="en-US"/>
              </w:rPr>
              <w:br/>
              <w:t>բյուջե</w:t>
            </w:r>
          </w:p>
        </w:tc>
        <w:tc>
          <w:tcPr>
            <w:tcW w:w="1077" w:type="dxa"/>
            <w:shd w:val="clear" w:color="auto" w:fill="4F81BD" w:themeFill="accent1"/>
            <w:vAlign w:val="center"/>
            <w:hideMark/>
          </w:tcPr>
          <w:p w:rsidR="007E680E" w:rsidRPr="007E680E" w:rsidRDefault="007E680E" w:rsidP="007730AA">
            <w:pPr>
              <w:spacing w:before="0" w:line="276" w:lineRule="auto"/>
              <w:ind w:firstLine="0"/>
              <w:contextualSpacing w:val="0"/>
              <w:jc w:val="center"/>
              <w:rPr>
                <w:rFonts w:cs="Calibri"/>
                <w:color w:val="FFFFFF" w:themeColor="background1"/>
                <w:sz w:val="20"/>
                <w:szCs w:val="20"/>
                <w:lang w:val="en-US" w:eastAsia="en-US"/>
              </w:rPr>
            </w:pPr>
            <w:r w:rsidRPr="007E680E">
              <w:rPr>
                <w:rFonts w:cs="Calibri"/>
                <w:color w:val="FFFFFF" w:themeColor="background1"/>
                <w:sz w:val="20"/>
                <w:szCs w:val="20"/>
                <w:lang w:val="en-US" w:eastAsia="en-US"/>
              </w:rPr>
              <w:t>2021թ</w:t>
            </w:r>
            <w:r w:rsidRPr="007E680E">
              <w:rPr>
                <w:rFonts w:cs="Calibri"/>
                <w:color w:val="FFFFFF" w:themeColor="background1"/>
                <w:sz w:val="20"/>
                <w:szCs w:val="20"/>
                <w:lang w:val="en-US" w:eastAsia="en-US"/>
              </w:rPr>
              <w:br/>
              <w:t>կանխատեսում</w:t>
            </w:r>
          </w:p>
        </w:tc>
      </w:tr>
      <w:tr w:rsidR="007E680E" w:rsidRPr="00BF59AC" w:rsidTr="008B3208">
        <w:trPr>
          <w:trHeight w:val="390"/>
        </w:trPr>
        <w:tc>
          <w:tcPr>
            <w:tcW w:w="4135" w:type="dxa"/>
            <w:shd w:val="clear" w:color="auto" w:fill="DBE5F1" w:themeFill="accent1" w:themeFillTint="33"/>
            <w:vAlign w:val="center"/>
            <w:hideMark/>
          </w:tcPr>
          <w:p w:rsidR="007E680E" w:rsidRPr="007E680E" w:rsidRDefault="007E680E" w:rsidP="007730AA">
            <w:pPr>
              <w:spacing w:before="0" w:line="276" w:lineRule="auto"/>
              <w:ind w:firstLine="0"/>
              <w:contextualSpacing w:val="0"/>
              <w:jc w:val="left"/>
              <w:rPr>
                <w:rFonts w:cs="Calibri"/>
                <w:bCs/>
                <w:color w:val="000000"/>
                <w:sz w:val="20"/>
                <w:szCs w:val="20"/>
                <w:lang w:val="en-US" w:eastAsia="en-US"/>
              </w:rPr>
            </w:pPr>
            <w:r w:rsidRPr="007E680E">
              <w:rPr>
                <w:rFonts w:cs="Calibri"/>
                <w:bCs/>
                <w:color w:val="000000"/>
                <w:sz w:val="20"/>
                <w:szCs w:val="20"/>
                <w:lang w:val="en-US" w:eastAsia="en-US"/>
              </w:rPr>
              <w:t>Ընդամենը</w:t>
            </w:r>
          </w:p>
        </w:tc>
        <w:tc>
          <w:tcPr>
            <w:tcW w:w="1077" w:type="dxa"/>
            <w:shd w:val="clear" w:color="auto" w:fill="DBE5F1" w:themeFill="accent1" w:themeFillTint="33"/>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65.2 </w:t>
            </w:r>
          </w:p>
        </w:tc>
        <w:tc>
          <w:tcPr>
            <w:tcW w:w="1077" w:type="dxa"/>
            <w:shd w:val="clear" w:color="auto" w:fill="DBE5F1" w:themeFill="accent1" w:themeFillTint="33"/>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72.3 </w:t>
            </w:r>
          </w:p>
        </w:tc>
        <w:tc>
          <w:tcPr>
            <w:tcW w:w="1077" w:type="dxa"/>
            <w:shd w:val="clear" w:color="auto" w:fill="DBE5F1" w:themeFill="accent1" w:themeFillTint="33"/>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88.8 </w:t>
            </w:r>
          </w:p>
        </w:tc>
        <w:tc>
          <w:tcPr>
            <w:tcW w:w="1077" w:type="dxa"/>
            <w:shd w:val="clear" w:color="auto" w:fill="DBE5F1" w:themeFill="accent1" w:themeFillTint="33"/>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57.4 </w:t>
            </w:r>
          </w:p>
        </w:tc>
        <w:tc>
          <w:tcPr>
            <w:tcW w:w="1077" w:type="dxa"/>
            <w:shd w:val="clear" w:color="auto" w:fill="DBE5F1" w:themeFill="accent1" w:themeFillTint="33"/>
            <w:noWrap/>
            <w:vAlign w:val="center"/>
            <w:hideMark/>
          </w:tcPr>
          <w:p w:rsidR="007E680E" w:rsidRPr="007E680E" w:rsidRDefault="00BF59AC"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 xml:space="preserve">                          45.1</w:t>
            </w:r>
            <w:r w:rsidR="007E680E" w:rsidRPr="007E680E">
              <w:rPr>
                <w:rFonts w:cs="Calibri"/>
                <w:b w:val="0"/>
                <w:color w:val="000000"/>
                <w:sz w:val="20"/>
                <w:szCs w:val="20"/>
                <w:lang w:val="en-US" w:eastAsia="en-US"/>
              </w:rPr>
              <w:t xml:space="preserve"> </w:t>
            </w:r>
          </w:p>
        </w:tc>
      </w:tr>
      <w:tr w:rsidR="007E680E" w:rsidRPr="007E680E" w:rsidTr="008B3208">
        <w:trPr>
          <w:trHeight w:val="1007"/>
        </w:trPr>
        <w:tc>
          <w:tcPr>
            <w:tcW w:w="4135" w:type="dxa"/>
            <w:shd w:val="clear" w:color="auto" w:fill="auto"/>
            <w:vAlign w:val="center"/>
            <w:hideMark/>
          </w:tcPr>
          <w:p w:rsidR="007E680E" w:rsidRPr="00135FF8" w:rsidRDefault="007E680E" w:rsidP="007730AA">
            <w:pPr>
              <w:spacing w:before="0" w:line="276" w:lineRule="auto"/>
              <w:ind w:firstLine="0"/>
              <w:contextualSpacing w:val="0"/>
              <w:jc w:val="left"/>
              <w:rPr>
                <w:rFonts w:cs="Calibri"/>
                <w:b w:val="0"/>
                <w:color w:val="000000"/>
                <w:sz w:val="20"/>
                <w:szCs w:val="20"/>
                <w:lang w:eastAsia="en-US"/>
              </w:rPr>
            </w:pPr>
            <w:r w:rsidRPr="00135FF8">
              <w:rPr>
                <w:rFonts w:cs="Calibri"/>
                <w:b w:val="0"/>
                <w:color w:val="000000"/>
                <w:sz w:val="20"/>
                <w:szCs w:val="20"/>
                <w:lang w:eastAsia="en-US"/>
              </w:rPr>
              <w:t xml:space="preserve">2. </w:t>
            </w:r>
            <w:r w:rsidRPr="007E680E">
              <w:rPr>
                <w:rFonts w:cs="Calibri"/>
                <w:b w:val="0"/>
                <w:color w:val="000000"/>
                <w:sz w:val="20"/>
                <w:szCs w:val="20"/>
                <w:lang w:val="en-US" w:eastAsia="en-US"/>
              </w:rPr>
              <w:t>Պետական</w:t>
            </w:r>
            <w:r w:rsidRPr="00135FF8">
              <w:rPr>
                <w:rFonts w:cs="Calibri"/>
                <w:b w:val="0"/>
                <w:color w:val="000000"/>
                <w:sz w:val="20"/>
                <w:szCs w:val="20"/>
                <w:lang w:eastAsia="en-US"/>
              </w:rPr>
              <w:t xml:space="preserve"> </w:t>
            </w:r>
            <w:r w:rsidRPr="007E680E">
              <w:rPr>
                <w:rFonts w:cs="Calibri"/>
                <w:b w:val="0"/>
                <w:color w:val="000000"/>
                <w:sz w:val="20"/>
                <w:szCs w:val="20"/>
                <w:lang w:val="en-US" w:eastAsia="en-US"/>
              </w:rPr>
              <w:t>սեփականություն</w:t>
            </w:r>
            <w:r w:rsidRPr="00135FF8">
              <w:rPr>
                <w:rFonts w:cs="Calibri"/>
                <w:b w:val="0"/>
                <w:color w:val="000000"/>
                <w:sz w:val="20"/>
                <w:szCs w:val="20"/>
                <w:lang w:eastAsia="en-US"/>
              </w:rPr>
              <w:t xml:space="preserve"> </w:t>
            </w:r>
            <w:r w:rsidRPr="007E680E">
              <w:rPr>
                <w:rFonts w:cs="Calibri"/>
                <w:b w:val="0"/>
                <w:color w:val="000000"/>
                <w:sz w:val="20"/>
                <w:szCs w:val="20"/>
                <w:lang w:val="en-US" w:eastAsia="en-US"/>
              </w:rPr>
              <w:t>հանդիսացող</w:t>
            </w:r>
            <w:r w:rsidRPr="00135FF8">
              <w:rPr>
                <w:rFonts w:cs="Calibri"/>
                <w:b w:val="0"/>
                <w:color w:val="000000"/>
                <w:sz w:val="20"/>
                <w:szCs w:val="20"/>
                <w:lang w:eastAsia="en-US"/>
              </w:rPr>
              <w:t xml:space="preserve"> </w:t>
            </w:r>
            <w:r w:rsidRPr="007E680E">
              <w:rPr>
                <w:rFonts w:cs="Calibri"/>
                <w:b w:val="0"/>
                <w:color w:val="000000"/>
                <w:sz w:val="20"/>
                <w:szCs w:val="20"/>
                <w:lang w:val="en-US" w:eastAsia="en-US"/>
              </w:rPr>
              <w:t>գույքի</w:t>
            </w:r>
            <w:r w:rsidRPr="00135FF8">
              <w:rPr>
                <w:rFonts w:cs="Calibri"/>
                <w:b w:val="0"/>
                <w:color w:val="000000"/>
                <w:sz w:val="20"/>
                <w:szCs w:val="20"/>
                <w:lang w:eastAsia="en-US"/>
              </w:rPr>
              <w:t xml:space="preserve"> </w:t>
            </w:r>
            <w:r w:rsidRPr="007E680E">
              <w:rPr>
                <w:rFonts w:cs="Calibri"/>
                <w:b w:val="0"/>
                <w:color w:val="000000"/>
                <w:sz w:val="20"/>
                <w:szCs w:val="20"/>
                <w:lang w:val="en-US" w:eastAsia="en-US"/>
              </w:rPr>
              <w:t>վարձակալությունից</w:t>
            </w:r>
            <w:r w:rsidRPr="00135FF8">
              <w:rPr>
                <w:rFonts w:cs="Calibri"/>
                <w:b w:val="0"/>
                <w:color w:val="000000"/>
                <w:sz w:val="20"/>
                <w:szCs w:val="20"/>
                <w:lang w:eastAsia="en-US"/>
              </w:rPr>
              <w:t xml:space="preserve"> </w:t>
            </w:r>
            <w:r w:rsidRPr="007E680E">
              <w:rPr>
                <w:rFonts w:cs="Calibri"/>
                <w:b w:val="0"/>
                <w:color w:val="000000"/>
                <w:sz w:val="20"/>
                <w:szCs w:val="20"/>
                <w:lang w:val="en-US" w:eastAsia="en-US"/>
              </w:rPr>
              <w:t>եկամուտներ</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135FF8">
              <w:rPr>
                <w:rFonts w:cs="Calibri"/>
                <w:b w:val="0"/>
                <w:color w:val="000000"/>
                <w:sz w:val="20"/>
                <w:szCs w:val="20"/>
                <w:lang w:eastAsia="en-US"/>
              </w:rPr>
              <w:t xml:space="preserve">                       </w:t>
            </w:r>
            <w:r w:rsidRPr="007E680E">
              <w:rPr>
                <w:rFonts w:cs="Calibri"/>
                <w:b w:val="0"/>
                <w:color w:val="000000"/>
                <w:sz w:val="20"/>
                <w:szCs w:val="20"/>
                <w:lang w:val="en-US" w:eastAsia="en-US"/>
              </w:rPr>
              <w:t xml:space="preserve">2.0 </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2.5 </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2.4 </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0.3 </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1.1 </w:t>
            </w:r>
          </w:p>
        </w:tc>
      </w:tr>
      <w:tr w:rsidR="007E680E" w:rsidRPr="00BF59AC" w:rsidTr="008B3208">
        <w:trPr>
          <w:trHeight w:val="1035"/>
        </w:trPr>
        <w:tc>
          <w:tcPr>
            <w:tcW w:w="4135" w:type="dxa"/>
            <w:shd w:val="clear" w:color="auto" w:fill="DBE5F1" w:themeFill="accent1" w:themeFillTint="33"/>
            <w:vAlign w:val="center"/>
            <w:hideMark/>
          </w:tcPr>
          <w:p w:rsidR="007E680E" w:rsidRPr="00CB6CBD" w:rsidRDefault="007E680E" w:rsidP="007730AA">
            <w:pPr>
              <w:spacing w:before="0" w:line="276" w:lineRule="auto"/>
              <w:ind w:firstLine="0"/>
              <w:contextualSpacing w:val="0"/>
              <w:jc w:val="left"/>
              <w:rPr>
                <w:rFonts w:cs="Calibri"/>
                <w:b w:val="0"/>
                <w:color w:val="000000"/>
                <w:sz w:val="20"/>
                <w:szCs w:val="20"/>
                <w:lang w:eastAsia="en-US"/>
              </w:rPr>
            </w:pPr>
            <w:r w:rsidRPr="00CB6CBD">
              <w:rPr>
                <w:rFonts w:cs="Calibri"/>
                <w:b w:val="0"/>
                <w:color w:val="000000"/>
                <w:sz w:val="20"/>
                <w:szCs w:val="20"/>
                <w:lang w:eastAsia="en-US"/>
              </w:rPr>
              <w:t xml:space="preserve">3. </w:t>
            </w:r>
            <w:r w:rsidRPr="007E680E">
              <w:rPr>
                <w:rFonts w:cs="Calibri"/>
                <w:b w:val="0"/>
                <w:color w:val="000000"/>
                <w:sz w:val="20"/>
                <w:szCs w:val="20"/>
                <w:lang w:val="en-US" w:eastAsia="en-US"/>
              </w:rPr>
              <w:t>Տոկոսավճարների</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և</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շահաբաժինների</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տեսքով</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ստացվող</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եկամուտներ</w:t>
            </w:r>
          </w:p>
        </w:tc>
        <w:tc>
          <w:tcPr>
            <w:tcW w:w="1077" w:type="dxa"/>
            <w:shd w:val="clear" w:color="auto" w:fill="DBE5F1" w:themeFill="accent1" w:themeFillTint="33"/>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CB6CBD">
              <w:rPr>
                <w:rFonts w:cs="Calibri"/>
                <w:b w:val="0"/>
                <w:color w:val="000000"/>
                <w:sz w:val="20"/>
                <w:szCs w:val="20"/>
                <w:lang w:eastAsia="en-US"/>
              </w:rPr>
              <w:t xml:space="preserve">                     </w:t>
            </w:r>
            <w:r w:rsidRPr="007E680E">
              <w:rPr>
                <w:rFonts w:cs="Calibri"/>
                <w:b w:val="0"/>
                <w:color w:val="000000"/>
                <w:sz w:val="20"/>
                <w:szCs w:val="20"/>
                <w:lang w:val="en-US" w:eastAsia="en-US"/>
              </w:rPr>
              <w:t xml:space="preserve">19.6 </w:t>
            </w:r>
          </w:p>
        </w:tc>
        <w:tc>
          <w:tcPr>
            <w:tcW w:w="1077" w:type="dxa"/>
            <w:shd w:val="clear" w:color="auto" w:fill="DBE5F1" w:themeFill="accent1" w:themeFillTint="33"/>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20.0 </w:t>
            </w:r>
          </w:p>
        </w:tc>
        <w:tc>
          <w:tcPr>
            <w:tcW w:w="1077" w:type="dxa"/>
            <w:shd w:val="clear" w:color="auto" w:fill="DBE5F1" w:themeFill="accent1" w:themeFillTint="33"/>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24.8 </w:t>
            </w:r>
          </w:p>
        </w:tc>
        <w:tc>
          <w:tcPr>
            <w:tcW w:w="1077" w:type="dxa"/>
            <w:shd w:val="clear" w:color="auto" w:fill="DBE5F1" w:themeFill="accent1" w:themeFillTint="33"/>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18.0 </w:t>
            </w:r>
          </w:p>
        </w:tc>
        <w:tc>
          <w:tcPr>
            <w:tcW w:w="1077" w:type="dxa"/>
            <w:shd w:val="clear" w:color="auto" w:fill="DBE5F1" w:themeFill="accent1" w:themeFillTint="33"/>
            <w:noWrap/>
            <w:vAlign w:val="center"/>
            <w:hideMark/>
          </w:tcPr>
          <w:p w:rsidR="007E680E" w:rsidRPr="007E680E" w:rsidRDefault="00BF59AC" w:rsidP="007730A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 xml:space="preserve">                           20.2</w:t>
            </w:r>
            <w:r w:rsidR="007E680E" w:rsidRPr="007E680E">
              <w:rPr>
                <w:rFonts w:cs="Calibri"/>
                <w:b w:val="0"/>
                <w:color w:val="000000"/>
                <w:sz w:val="20"/>
                <w:szCs w:val="20"/>
                <w:lang w:val="en-US" w:eastAsia="en-US"/>
              </w:rPr>
              <w:t xml:space="preserve"> </w:t>
            </w:r>
          </w:p>
        </w:tc>
      </w:tr>
      <w:tr w:rsidR="007E680E" w:rsidRPr="007E680E" w:rsidTr="008B3208">
        <w:trPr>
          <w:trHeight w:val="1205"/>
        </w:trPr>
        <w:tc>
          <w:tcPr>
            <w:tcW w:w="4135" w:type="dxa"/>
            <w:shd w:val="clear" w:color="auto" w:fill="auto"/>
            <w:vAlign w:val="center"/>
            <w:hideMark/>
          </w:tcPr>
          <w:p w:rsidR="007E680E" w:rsidRPr="00135FF8" w:rsidRDefault="007E680E" w:rsidP="007730AA">
            <w:pPr>
              <w:spacing w:before="0" w:line="276" w:lineRule="auto"/>
              <w:ind w:firstLine="0"/>
              <w:contextualSpacing w:val="0"/>
              <w:jc w:val="left"/>
              <w:rPr>
                <w:rFonts w:cs="Calibri"/>
                <w:b w:val="0"/>
                <w:color w:val="000000"/>
                <w:sz w:val="20"/>
                <w:szCs w:val="20"/>
                <w:lang w:eastAsia="en-US"/>
              </w:rPr>
            </w:pPr>
            <w:r w:rsidRPr="00135FF8">
              <w:rPr>
                <w:rFonts w:cs="Calibri"/>
                <w:b w:val="0"/>
                <w:color w:val="000000"/>
                <w:sz w:val="20"/>
                <w:szCs w:val="20"/>
                <w:lang w:eastAsia="en-US"/>
              </w:rPr>
              <w:t xml:space="preserve">4. </w:t>
            </w:r>
            <w:r w:rsidRPr="007E680E">
              <w:rPr>
                <w:rFonts w:cs="Calibri"/>
                <w:b w:val="0"/>
                <w:color w:val="000000"/>
                <w:sz w:val="20"/>
                <w:szCs w:val="20"/>
                <w:lang w:val="en-US" w:eastAsia="en-US"/>
              </w:rPr>
              <w:t>Իրավախախտումների</w:t>
            </w:r>
            <w:r w:rsidRPr="00135FF8">
              <w:rPr>
                <w:rFonts w:cs="Calibri"/>
                <w:b w:val="0"/>
                <w:color w:val="000000"/>
                <w:sz w:val="20"/>
                <w:szCs w:val="20"/>
                <w:lang w:eastAsia="en-US"/>
              </w:rPr>
              <w:t xml:space="preserve"> </w:t>
            </w:r>
            <w:r w:rsidRPr="007E680E">
              <w:rPr>
                <w:rFonts w:cs="Calibri"/>
                <w:b w:val="0"/>
                <w:color w:val="000000"/>
                <w:sz w:val="20"/>
                <w:szCs w:val="20"/>
                <w:lang w:val="en-US" w:eastAsia="en-US"/>
              </w:rPr>
              <w:t>համար</w:t>
            </w:r>
            <w:r w:rsidRPr="00135FF8">
              <w:rPr>
                <w:rFonts w:cs="Calibri"/>
                <w:b w:val="0"/>
                <w:color w:val="000000"/>
                <w:sz w:val="20"/>
                <w:szCs w:val="20"/>
                <w:lang w:eastAsia="en-US"/>
              </w:rPr>
              <w:t xml:space="preserve"> </w:t>
            </w:r>
            <w:r w:rsidRPr="007E680E">
              <w:rPr>
                <w:rFonts w:cs="Calibri"/>
                <w:b w:val="0"/>
                <w:color w:val="000000"/>
                <w:sz w:val="20"/>
                <w:szCs w:val="20"/>
                <w:lang w:val="en-US" w:eastAsia="en-US"/>
              </w:rPr>
              <w:t>գործադիր</w:t>
            </w:r>
            <w:r w:rsidRPr="00135FF8">
              <w:rPr>
                <w:rFonts w:cs="Calibri"/>
                <w:b w:val="0"/>
                <w:color w:val="000000"/>
                <w:sz w:val="20"/>
                <w:szCs w:val="20"/>
                <w:lang w:eastAsia="en-US"/>
              </w:rPr>
              <w:t xml:space="preserve">, </w:t>
            </w:r>
            <w:r w:rsidRPr="007E680E">
              <w:rPr>
                <w:rFonts w:cs="Calibri"/>
                <w:b w:val="0"/>
                <w:color w:val="000000"/>
                <w:sz w:val="20"/>
                <w:szCs w:val="20"/>
                <w:lang w:val="en-US" w:eastAsia="en-US"/>
              </w:rPr>
              <w:t>դատական</w:t>
            </w:r>
            <w:r w:rsidRPr="00135FF8">
              <w:rPr>
                <w:rFonts w:cs="Calibri"/>
                <w:b w:val="0"/>
                <w:color w:val="000000"/>
                <w:sz w:val="20"/>
                <w:szCs w:val="20"/>
                <w:lang w:eastAsia="en-US"/>
              </w:rPr>
              <w:t xml:space="preserve"> </w:t>
            </w:r>
            <w:r w:rsidRPr="007E680E">
              <w:rPr>
                <w:rFonts w:cs="Calibri"/>
                <w:b w:val="0"/>
                <w:color w:val="000000"/>
                <w:sz w:val="20"/>
                <w:szCs w:val="20"/>
                <w:lang w:val="en-US" w:eastAsia="en-US"/>
              </w:rPr>
              <w:t>մարմինների</w:t>
            </w:r>
            <w:r w:rsidRPr="00135FF8">
              <w:rPr>
                <w:rFonts w:cs="Calibri"/>
                <w:b w:val="0"/>
                <w:color w:val="000000"/>
                <w:sz w:val="20"/>
                <w:szCs w:val="20"/>
                <w:lang w:eastAsia="en-US"/>
              </w:rPr>
              <w:t xml:space="preserve"> </w:t>
            </w:r>
            <w:r w:rsidRPr="007E680E">
              <w:rPr>
                <w:rFonts w:cs="Calibri"/>
                <w:b w:val="0"/>
                <w:color w:val="000000"/>
                <w:sz w:val="20"/>
                <w:szCs w:val="20"/>
                <w:lang w:val="en-US" w:eastAsia="en-US"/>
              </w:rPr>
              <w:t>կողմից</w:t>
            </w:r>
            <w:r w:rsidRPr="00135FF8">
              <w:rPr>
                <w:rFonts w:cs="Calibri"/>
                <w:b w:val="0"/>
                <w:color w:val="000000"/>
                <w:sz w:val="20"/>
                <w:szCs w:val="20"/>
                <w:lang w:eastAsia="en-US"/>
              </w:rPr>
              <w:t xml:space="preserve"> </w:t>
            </w:r>
            <w:r w:rsidRPr="007E680E">
              <w:rPr>
                <w:rFonts w:cs="Calibri"/>
                <w:b w:val="0"/>
                <w:color w:val="000000"/>
                <w:sz w:val="20"/>
                <w:szCs w:val="20"/>
                <w:lang w:val="en-US" w:eastAsia="en-US"/>
              </w:rPr>
              <w:t>կիրառվող</w:t>
            </w:r>
            <w:r w:rsidRPr="00135FF8">
              <w:rPr>
                <w:rFonts w:cs="Calibri"/>
                <w:b w:val="0"/>
                <w:color w:val="000000"/>
                <w:sz w:val="20"/>
                <w:szCs w:val="20"/>
                <w:lang w:eastAsia="en-US"/>
              </w:rPr>
              <w:t xml:space="preserve"> </w:t>
            </w:r>
            <w:r w:rsidRPr="007E680E">
              <w:rPr>
                <w:rFonts w:cs="Calibri"/>
                <w:b w:val="0"/>
                <w:color w:val="000000"/>
                <w:sz w:val="20"/>
                <w:szCs w:val="20"/>
                <w:lang w:val="en-US" w:eastAsia="en-US"/>
              </w:rPr>
              <w:t>պատժամիջոցներից</w:t>
            </w:r>
            <w:r w:rsidRPr="00135FF8">
              <w:rPr>
                <w:rFonts w:cs="Calibri"/>
                <w:b w:val="0"/>
                <w:color w:val="000000"/>
                <w:sz w:val="20"/>
                <w:szCs w:val="20"/>
                <w:lang w:eastAsia="en-US"/>
              </w:rPr>
              <w:t xml:space="preserve"> </w:t>
            </w:r>
            <w:r w:rsidRPr="007E680E">
              <w:rPr>
                <w:rFonts w:cs="Calibri"/>
                <w:b w:val="0"/>
                <w:color w:val="000000"/>
                <w:sz w:val="20"/>
                <w:szCs w:val="20"/>
                <w:lang w:val="en-US" w:eastAsia="en-US"/>
              </w:rPr>
              <w:t>մուտքեր</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135FF8">
              <w:rPr>
                <w:rFonts w:cs="Calibri"/>
                <w:b w:val="0"/>
                <w:color w:val="000000"/>
                <w:sz w:val="20"/>
                <w:szCs w:val="20"/>
                <w:lang w:eastAsia="en-US"/>
              </w:rPr>
              <w:t xml:space="preserve">                      </w:t>
            </w:r>
            <w:r w:rsidRPr="007E680E">
              <w:rPr>
                <w:rFonts w:cs="Calibri"/>
                <w:b w:val="0"/>
                <w:color w:val="000000"/>
                <w:sz w:val="20"/>
                <w:szCs w:val="20"/>
                <w:lang w:val="en-US" w:eastAsia="en-US"/>
              </w:rPr>
              <w:t xml:space="preserve">13.4 </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14.7 </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15.7 </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13.4 </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10.5 </w:t>
            </w:r>
          </w:p>
        </w:tc>
      </w:tr>
      <w:tr w:rsidR="007E680E" w:rsidRPr="007E680E" w:rsidTr="008B3208">
        <w:trPr>
          <w:trHeight w:val="1016"/>
        </w:trPr>
        <w:tc>
          <w:tcPr>
            <w:tcW w:w="4135" w:type="dxa"/>
            <w:shd w:val="clear" w:color="auto" w:fill="DBE5F1" w:themeFill="accent1" w:themeFillTint="33"/>
            <w:vAlign w:val="center"/>
            <w:hideMark/>
          </w:tcPr>
          <w:p w:rsidR="007E680E" w:rsidRPr="00CB6CBD" w:rsidRDefault="007E680E" w:rsidP="007730AA">
            <w:pPr>
              <w:spacing w:before="0" w:line="276" w:lineRule="auto"/>
              <w:ind w:firstLine="0"/>
              <w:contextualSpacing w:val="0"/>
              <w:jc w:val="left"/>
              <w:rPr>
                <w:rFonts w:cs="Calibri"/>
                <w:b w:val="0"/>
                <w:color w:val="000000"/>
                <w:sz w:val="20"/>
                <w:szCs w:val="20"/>
                <w:lang w:eastAsia="en-US"/>
              </w:rPr>
            </w:pPr>
            <w:r w:rsidRPr="00CB6CBD">
              <w:rPr>
                <w:rFonts w:cs="Calibri"/>
                <w:b w:val="0"/>
                <w:color w:val="000000"/>
                <w:sz w:val="20"/>
                <w:szCs w:val="20"/>
                <w:lang w:eastAsia="en-US"/>
              </w:rPr>
              <w:t xml:space="preserve">5. </w:t>
            </w:r>
            <w:r w:rsidRPr="007E680E">
              <w:rPr>
                <w:rFonts w:cs="Calibri"/>
                <w:b w:val="0"/>
                <w:color w:val="000000"/>
                <w:sz w:val="20"/>
                <w:szCs w:val="20"/>
                <w:lang w:val="en-US" w:eastAsia="en-US"/>
              </w:rPr>
              <w:t>Ապրանքների</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մատակարարումից</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և</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ծառայությունների</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մատուցումից</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եկամուտներ</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որից</w:t>
            </w:r>
            <w:r w:rsidRPr="00CB6CBD">
              <w:rPr>
                <w:rFonts w:cs="Calibri"/>
                <w:b w:val="0"/>
                <w:color w:val="000000"/>
                <w:sz w:val="20"/>
                <w:szCs w:val="20"/>
                <w:lang w:eastAsia="en-US"/>
              </w:rPr>
              <w:t>`</w:t>
            </w:r>
          </w:p>
        </w:tc>
        <w:tc>
          <w:tcPr>
            <w:tcW w:w="1077" w:type="dxa"/>
            <w:shd w:val="clear" w:color="auto" w:fill="DBE5F1" w:themeFill="accent1" w:themeFillTint="33"/>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CB6CBD">
              <w:rPr>
                <w:rFonts w:cs="Calibri"/>
                <w:b w:val="0"/>
                <w:color w:val="000000"/>
                <w:sz w:val="20"/>
                <w:szCs w:val="20"/>
                <w:lang w:eastAsia="en-US"/>
              </w:rPr>
              <w:t xml:space="preserve">                      </w:t>
            </w:r>
            <w:r w:rsidRPr="007E680E">
              <w:rPr>
                <w:rFonts w:cs="Calibri"/>
                <w:b w:val="0"/>
                <w:color w:val="000000"/>
                <w:sz w:val="20"/>
                <w:szCs w:val="20"/>
                <w:lang w:val="en-US" w:eastAsia="en-US"/>
              </w:rPr>
              <w:t xml:space="preserve">27.2 </w:t>
            </w:r>
          </w:p>
        </w:tc>
        <w:tc>
          <w:tcPr>
            <w:tcW w:w="1077" w:type="dxa"/>
            <w:shd w:val="clear" w:color="auto" w:fill="DBE5F1" w:themeFill="accent1" w:themeFillTint="33"/>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27.4 </w:t>
            </w:r>
          </w:p>
        </w:tc>
        <w:tc>
          <w:tcPr>
            <w:tcW w:w="1077" w:type="dxa"/>
            <w:shd w:val="clear" w:color="auto" w:fill="DBE5F1" w:themeFill="accent1" w:themeFillTint="33"/>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34.0 </w:t>
            </w:r>
          </w:p>
        </w:tc>
        <w:tc>
          <w:tcPr>
            <w:tcW w:w="1077" w:type="dxa"/>
            <w:shd w:val="clear" w:color="auto" w:fill="DBE5F1" w:themeFill="accent1" w:themeFillTint="33"/>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24.5 </w:t>
            </w:r>
          </w:p>
        </w:tc>
        <w:tc>
          <w:tcPr>
            <w:tcW w:w="1077" w:type="dxa"/>
            <w:shd w:val="clear" w:color="auto" w:fill="DBE5F1" w:themeFill="accent1" w:themeFillTint="33"/>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11.7 </w:t>
            </w:r>
          </w:p>
        </w:tc>
      </w:tr>
      <w:tr w:rsidR="007E680E" w:rsidRPr="007E680E" w:rsidTr="008B3208">
        <w:trPr>
          <w:trHeight w:val="1079"/>
        </w:trPr>
        <w:tc>
          <w:tcPr>
            <w:tcW w:w="4135" w:type="dxa"/>
            <w:shd w:val="clear" w:color="auto" w:fill="auto"/>
            <w:vAlign w:val="center"/>
            <w:hideMark/>
          </w:tcPr>
          <w:p w:rsidR="007E680E" w:rsidRPr="00CB6CBD" w:rsidRDefault="007E680E" w:rsidP="007730AA">
            <w:pPr>
              <w:spacing w:before="0" w:line="276" w:lineRule="auto"/>
              <w:ind w:firstLine="0"/>
              <w:contextualSpacing w:val="0"/>
              <w:jc w:val="left"/>
              <w:rPr>
                <w:rFonts w:cs="Calibri"/>
                <w:b w:val="0"/>
                <w:color w:val="000000"/>
                <w:sz w:val="20"/>
                <w:szCs w:val="20"/>
                <w:lang w:eastAsia="en-US"/>
              </w:rPr>
            </w:pPr>
            <w:r w:rsidRPr="00CB6CBD">
              <w:rPr>
                <w:rFonts w:cs="Calibri"/>
                <w:b w:val="0"/>
                <w:color w:val="000000"/>
                <w:sz w:val="20"/>
                <w:szCs w:val="20"/>
                <w:lang w:eastAsia="en-US"/>
              </w:rPr>
              <w:t xml:space="preserve">6. </w:t>
            </w:r>
            <w:r w:rsidRPr="007E680E">
              <w:rPr>
                <w:rFonts w:cs="Calibri"/>
                <w:b w:val="0"/>
                <w:color w:val="000000"/>
                <w:sz w:val="20"/>
                <w:szCs w:val="20"/>
                <w:lang w:val="en-US" w:eastAsia="en-US"/>
              </w:rPr>
              <w:t>Օրենքով</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և</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այլ</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իրավական</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ակտերով</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սահմանված</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պետական</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բյուջե</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մուտքագրվող</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այլ</w:t>
            </w:r>
            <w:r w:rsidRPr="00CB6CBD">
              <w:rPr>
                <w:rFonts w:cs="Calibri"/>
                <w:b w:val="0"/>
                <w:color w:val="000000"/>
                <w:sz w:val="20"/>
                <w:szCs w:val="20"/>
                <w:lang w:eastAsia="en-US"/>
              </w:rPr>
              <w:t xml:space="preserve"> </w:t>
            </w:r>
            <w:r w:rsidRPr="007E680E">
              <w:rPr>
                <w:rFonts w:cs="Calibri"/>
                <w:b w:val="0"/>
                <w:color w:val="000000"/>
                <w:sz w:val="20"/>
                <w:szCs w:val="20"/>
                <w:lang w:val="en-US" w:eastAsia="en-US"/>
              </w:rPr>
              <w:t>եկամուտներ</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CB6CBD">
              <w:rPr>
                <w:rFonts w:cs="Calibri"/>
                <w:b w:val="0"/>
                <w:color w:val="000000"/>
                <w:sz w:val="20"/>
                <w:szCs w:val="20"/>
                <w:lang w:eastAsia="en-US"/>
              </w:rPr>
              <w:t xml:space="preserve">                       </w:t>
            </w:r>
            <w:r w:rsidRPr="007E680E">
              <w:rPr>
                <w:rFonts w:cs="Calibri"/>
                <w:b w:val="0"/>
                <w:color w:val="000000"/>
                <w:sz w:val="20"/>
                <w:szCs w:val="20"/>
                <w:lang w:val="en-US" w:eastAsia="en-US"/>
              </w:rPr>
              <w:t xml:space="preserve">3.0 </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7.7 </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11.9 </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1.2 </w:t>
            </w:r>
          </w:p>
        </w:tc>
        <w:tc>
          <w:tcPr>
            <w:tcW w:w="1077" w:type="dxa"/>
            <w:shd w:val="clear" w:color="auto" w:fill="auto"/>
            <w:noWrap/>
            <w:vAlign w:val="center"/>
            <w:hideMark/>
          </w:tcPr>
          <w:p w:rsidR="007E680E" w:rsidRPr="007E680E" w:rsidRDefault="007E680E" w:rsidP="007730AA">
            <w:pPr>
              <w:spacing w:before="0" w:line="276" w:lineRule="auto"/>
              <w:ind w:firstLine="0"/>
              <w:contextualSpacing w:val="0"/>
              <w:jc w:val="center"/>
              <w:rPr>
                <w:rFonts w:cs="Calibri"/>
                <w:b w:val="0"/>
                <w:color w:val="000000"/>
                <w:sz w:val="20"/>
                <w:szCs w:val="20"/>
                <w:lang w:val="en-US" w:eastAsia="en-US"/>
              </w:rPr>
            </w:pPr>
            <w:r w:rsidRPr="007E680E">
              <w:rPr>
                <w:rFonts w:cs="Calibri"/>
                <w:b w:val="0"/>
                <w:color w:val="000000"/>
                <w:sz w:val="20"/>
                <w:szCs w:val="20"/>
                <w:lang w:val="en-US" w:eastAsia="en-US"/>
              </w:rPr>
              <w:t xml:space="preserve">                            1.6 </w:t>
            </w:r>
          </w:p>
        </w:tc>
      </w:tr>
    </w:tbl>
    <w:p w:rsidR="007E680E" w:rsidRPr="007E680E" w:rsidRDefault="007E680E" w:rsidP="007730AA">
      <w:pPr>
        <w:spacing w:before="0" w:line="276" w:lineRule="auto"/>
        <w:ind w:firstLine="0"/>
        <w:contextualSpacing w:val="0"/>
        <w:rPr>
          <w:rFonts w:cs="Sylfaen"/>
          <w:b w:val="0"/>
          <w:iCs/>
          <w:szCs w:val="22"/>
          <w:lang w:val="af-ZA" w:eastAsia="en-GB"/>
        </w:rPr>
      </w:pPr>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Ստորև ներկայացվում են 2021 թվա</w:t>
      </w:r>
      <w:r w:rsidRPr="007E680E">
        <w:rPr>
          <w:rFonts w:cs="Sylfaen"/>
          <w:b w:val="0"/>
          <w:iCs/>
          <w:szCs w:val="22"/>
          <w:lang w:val="af-ZA" w:eastAsia="en-GB"/>
        </w:rPr>
        <w:softHyphen/>
        <w:t>կա</w:t>
      </w:r>
      <w:r w:rsidRPr="007E680E">
        <w:rPr>
          <w:rFonts w:cs="Sylfaen"/>
          <w:b w:val="0"/>
          <w:iCs/>
          <w:szCs w:val="22"/>
          <w:lang w:val="af-ZA" w:eastAsia="en-GB"/>
        </w:rPr>
        <w:softHyphen/>
        <w:t>նի այլ եկամուտների գծով կան</w:t>
      </w:r>
      <w:r w:rsidRPr="007E680E">
        <w:rPr>
          <w:rFonts w:cs="Sylfaen"/>
          <w:b w:val="0"/>
          <w:iCs/>
          <w:szCs w:val="22"/>
          <w:lang w:val="af-ZA" w:eastAsia="en-GB"/>
        </w:rPr>
        <w:softHyphen/>
        <w:t>խատես</w:t>
      </w:r>
      <w:r w:rsidRPr="007E680E">
        <w:rPr>
          <w:rFonts w:cs="Sylfaen"/>
          <w:b w:val="0"/>
          <w:iCs/>
          <w:szCs w:val="22"/>
          <w:lang w:val="af-ZA" w:eastAsia="en-GB"/>
        </w:rPr>
        <w:softHyphen/>
        <w:t>վող մուտ</w:t>
      </w:r>
      <w:r w:rsidRPr="007E680E">
        <w:rPr>
          <w:rFonts w:cs="Sylfaen"/>
          <w:b w:val="0"/>
          <w:iCs/>
          <w:szCs w:val="22"/>
          <w:lang w:val="af-ZA" w:eastAsia="en-GB"/>
        </w:rPr>
        <w:softHyphen/>
        <w:t>քե</w:t>
      </w:r>
      <w:r w:rsidRPr="007E680E">
        <w:rPr>
          <w:rFonts w:cs="Sylfaen"/>
          <w:b w:val="0"/>
          <w:iCs/>
          <w:szCs w:val="22"/>
          <w:lang w:val="af-ZA" w:eastAsia="en-GB"/>
        </w:rPr>
        <w:softHyphen/>
        <w:t>րի հաշ</w:t>
      </w:r>
      <w:r w:rsidRPr="007E680E">
        <w:rPr>
          <w:rFonts w:cs="Sylfaen"/>
          <w:b w:val="0"/>
          <w:iCs/>
          <w:szCs w:val="22"/>
          <w:lang w:val="af-ZA" w:eastAsia="en-GB"/>
        </w:rPr>
        <w:softHyphen/>
        <w:t>վարկ</w:t>
      </w:r>
      <w:r w:rsidRPr="007E680E">
        <w:rPr>
          <w:rFonts w:cs="Sylfaen"/>
          <w:b w:val="0"/>
          <w:iCs/>
          <w:szCs w:val="22"/>
          <w:lang w:val="af-ZA" w:eastAsia="en-GB"/>
        </w:rPr>
        <w:softHyphen/>
        <w:t>նե</w:t>
      </w:r>
      <w:r w:rsidRPr="007E680E">
        <w:rPr>
          <w:rFonts w:cs="Sylfaen"/>
          <w:b w:val="0"/>
          <w:iCs/>
          <w:szCs w:val="22"/>
          <w:lang w:val="af-ZA" w:eastAsia="en-GB"/>
        </w:rPr>
        <w:softHyphen/>
        <w:t>րում կի</w:t>
      </w:r>
      <w:r w:rsidRPr="007E680E">
        <w:rPr>
          <w:rFonts w:cs="Sylfaen"/>
          <w:b w:val="0"/>
          <w:iCs/>
          <w:szCs w:val="22"/>
          <w:lang w:val="af-ZA" w:eastAsia="en-GB"/>
        </w:rPr>
        <w:softHyphen/>
        <w:t>րառ</w:t>
      </w:r>
      <w:r w:rsidRPr="007E680E">
        <w:rPr>
          <w:rFonts w:cs="Sylfaen"/>
          <w:b w:val="0"/>
          <w:iCs/>
          <w:szCs w:val="22"/>
          <w:lang w:val="af-ZA" w:eastAsia="en-GB"/>
        </w:rPr>
        <w:softHyphen/>
        <w:t>ված մեթոդաբանության համա</w:t>
      </w:r>
      <w:r w:rsidRPr="007E680E">
        <w:rPr>
          <w:rFonts w:cs="Sylfaen"/>
          <w:b w:val="0"/>
          <w:iCs/>
          <w:szCs w:val="22"/>
          <w:lang w:val="af-ZA" w:eastAsia="en-GB"/>
        </w:rPr>
        <w:softHyphen/>
        <w:t>ռոտ նկարա</w:t>
      </w:r>
      <w:r w:rsidRPr="007E680E">
        <w:rPr>
          <w:rFonts w:cs="Sylfaen"/>
          <w:b w:val="0"/>
          <w:iCs/>
          <w:szCs w:val="22"/>
          <w:lang w:val="af-ZA" w:eastAsia="en-GB"/>
        </w:rPr>
        <w:softHyphen/>
        <w:t>գրու</w:t>
      </w:r>
      <w:r w:rsidRPr="007E680E">
        <w:rPr>
          <w:rFonts w:cs="Sylfaen"/>
          <w:b w:val="0"/>
          <w:iCs/>
          <w:szCs w:val="22"/>
          <w:lang w:val="af-ZA" w:eastAsia="en-GB"/>
        </w:rPr>
        <w:softHyphen/>
        <w:t>թյունը:</w:t>
      </w:r>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Պետական հիմնարկների հաշվեկշիռներում հաշվառվող գույքի (բացառությամբ հողի) վար</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ձակալության և օգ</w:t>
      </w:r>
      <w:r w:rsidRPr="007E680E">
        <w:rPr>
          <w:rFonts w:cs="Sylfaen"/>
          <w:b w:val="0"/>
          <w:iCs/>
          <w:szCs w:val="22"/>
          <w:lang w:val="af-ZA" w:eastAsia="en-GB"/>
        </w:rPr>
        <w:softHyphen/>
      </w:r>
      <w:r w:rsidRPr="007E680E">
        <w:rPr>
          <w:rFonts w:cs="Sylfaen"/>
          <w:b w:val="0"/>
          <w:iCs/>
          <w:szCs w:val="22"/>
          <w:lang w:val="af-ZA" w:eastAsia="en-GB"/>
        </w:rPr>
        <w:softHyphen/>
        <w:t>տա</w:t>
      </w:r>
      <w:r w:rsidRPr="007E680E">
        <w:rPr>
          <w:rFonts w:cs="Sylfaen"/>
          <w:b w:val="0"/>
          <w:iCs/>
          <w:szCs w:val="22"/>
          <w:lang w:val="af-ZA" w:eastAsia="en-GB"/>
        </w:rPr>
        <w:softHyphen/>
        <w:t>գործ</w:t>
      </w:r>
      <w:r w:rsidRPr="007E680E">
        <w:rPr>
          <w:rFonts w:cs="Sylfaen"/>
          <w:b w:val="0"/>
          <w:iCs/>
          <w:szCs w:val="22"/>
          <w:lang w:val="af-ZA" w:eastAsia="en-GB"/>
        </w:rPr>
        <w:softHyphen/>
        <w:t>ման դիմաց գանձվող վարձավճարները 2021 թվա</w:t>
      </w:r>
      <w:r w:rsidRPr="007E680E">
        <w:rPr>
          <w:rFonts w:cs="Sylfaen"/>
          <w:b w:val="0"/>
          <w:iCs/>
          <w:szCs w:val="22"/>
          <w:lang w:val="af-ZA" w:eastAsia="en-GB"/>
        </w:rPr>
        <w:softHyphen/>
        <w:t>կա</w:t>
      </w:r>
      <w:r w:rsidRPr="007E680E">
        <w:rPr>
          <w:rFonts w:cs="Sylfaen"/>
          <w:b w:val="0"/>
          <w:iCs/>
          <w:szCs w:val="22"/>
          <w:lang w:val="af-ZA" w:eastAsia="en-GB"/>
        </w:rPr>
        <w:softHyphen/>
        <w:t>նի հա</w:t>
      </w:r>
      <w:r w:rsidRPr="007E680E">
        <w:rPr>
          <w:rFonts w:cs="Sylfaen"/>
          <w:b w:val="0"/>
          <w:iCs/>
          <w:szCs w:val="22"/>
          <w:lang w:val="af-ZA" w:eastAsia="en-GB"/>
        </w:rPr>
        <w:softHyphen/>
        <w:t>մար կան</w:t>
      </w:r>
      <w:r w:rsidRPr="007E680E">
        <w:rPr>
          <w:rFonts w:cs="Sylfaen"/>
          <w:b w:val="0"/>
          <w:iCs/>
          <w:szCs w:val="22"/>
          <w:lang w:val="af-ZA" w:eastAsia="en-GB"/>
        </w:rPr>
        <w:softHyphen/>
      </w:r>
      <w:r w:rsidRPr="007E680E">
        <w:rPr>
          <w:rFonts w:cs="Sylfaen"/>
          <w:b w:val="0"/>
          <w:iCs/>
          <w:szCs w:val="22"/>
          <w:lang w:val="af-ZA" w:eastAsia="en-GB"/>
        </w:rPr>
        <w:softHyphen/>
        <w:t>խատեսվում են շուրջ 1,077.7 մլն դրամ, 2020 թվականի համար ծրագրված 255.0 մլն դրամի և 2019 թվականին փաստացի ստացված 2,419.8 մլն դրամի դի</w:t>
      </w:r>
      <w:r w:rsidRPr="007E680E">
        <w:rPr>
          <w:rFonts w:cs="Sylfaen"/>
          <w:b w:val="0"/>
          <w:iCs/>
          <w:szCs w:val="22"/>
          <w:lang w:val="af-ZA" w:eastAsia="en-GB"/>
        </w:rPr>
        <w:softHyphen/>
      </w:r>
      <w:r w:rsidRPr="007E680E">
        <w:rPr>
          <w:rFonts w:cs="Sylfaen"/>
          <w:b w:val="0"/>
          <w:iCs/>
          <w:szCs w:val="22"/>
          <w:lang w:val="af-ZA" w:eastAsia="en-GB"/>
        </w:rPr>
        <w:softHyphen/>
        <w:t>մաց: Կան</w:t>
      </w:r>
      <w:r w:rsidRPr="007E680E">
        <w:rPr>
          <w:rFonts w:cs="Sylfaen"/>
          <w:b w:val="0"/>
          <w:iCs/>
          <w:szCs w:val="22"/>
          <w:lang w:val="af-ZA" w:eastAsia="en-GB"/>
        </w:rPr>
        <w:softHyphen/>
      </w:r>
      <w:r w:rsidRPr="007E680E">
        <w:rPr>
          <w:rFonts w:cs="Sylfaen"/>
          <w:b w:val="0"/>
          <w:iCs/>
          <w:szCs w:val="22"/>
          <w:lang w:val="af-ZA" w:eastAsia="en-GB"/>
        </w:rPr>
        <w:softHyphen/>
        <w:t>խա</w:t>
      </w:r>
      <w:r w:rsidRPr="007E680E">
        <w:rPr>
          <w:rFonts w:cs="Sylfaen"/>
          <w:b w:val="0"/>
          <w:iCs/>
          <w:szCs w:val="22"/>
          <w:lang w:val="af-ZA" w:eastAsia="en-GB"/>
        </w:rPr>
        <w:softHyphen/>
        <w:t>տե</w:t>
      </w:r>
      <w:r w:rsidRPr="007E680E">
        <w:rPr>
          <w:rFonts w:cs="Sylfaen"/>
          <w:b w:val="0"/>
          <w:iCs/>
          <w:szCs w:val="22"/>
          <w:lang w:val="af-ZA" w:eastAsia="en-GB"/>
        </w:rPr>
        <w:softHyphen/>
      </w:r>
      <w:r w:rsidRPr="007E680E">
        <w:rPr>
          <w:rFonts w:cs="Sylfaen"/>
          <w:b w:val="0"/>
          <w:iCs/>
          <w:szCs w:val="22"/>
          <w:lang w:val="af-ZA" w:eastAsia="en-GB"/>
        </w:rPr>
        <w:softHyphen/>
        <w:t>սում</w:t>
      </w:r>
      <w:r w:rsidRPr="007E680E">
        <w:rPr>
          <w:rFonts w:cs="Sylfaen"/>
          <w:b w:val="0"/>
          <w:iCs/>
          <w:szCs w:val="22"/>
          <w:lang w:val="af-ZA" w:eastAsia="en-GB"/>
        </w:rPr>
        <w:softHyphen/>
      </w:r>
      <w:r w:rsidRPr="007E680E">
        <w:rPr>
          <w:rFonts w:cs="Sylfaen"/>
          <w:b w:val="0"/>
          <w:iCs/>
          <w:szCs w:val="22"/>
          <w:lang w:val="af-ZA" w:eastAsia="en-GB"/>
        </w:rPr>
        <w:softHyphen/>
        <w:t>նե</w:t>
      </w:r>
      <w:r w:rsidRPr="007E680E">
        <w:rPr>
          <w:rFonts w:cs="Sylfaen"/>
          <w:b w:val="0"/>
          <w:iCs/>
          <w:szCs w:val="22"/>
          <w:lang w:val="af-ZA" w:eastAsia="en-GB"/>
        </w:rPr>
        <w:softHyphen/>
        <w:t>րում հիմք են ընդունվել պետական կա</w:t>
      </w:r>
      <w:r w:rsidRPr="007E680E">
        <w:rPr>
          <w:rFonts w:cs="Sylfaen"/>
          <w:b w:val="0"/>
          <w:iCs/>
          <w:szCs w:val="22"/>
          <w:lang w:val="af-ZA" w:eastAsia="en-GB"/>
        </w:rPr>
        <w:softHyphen/>
        <w:t>ռա</w:t>
      </w:r>
      <w:r w:rsidRPr="007E680E">
        <w:rPr>
          <w:rFonts w:cs="Sylfaen"/>
          <w:b w:val="0"/>
          <w:iCs/>
          <w:szCs w:val="22"/>
          <w:lang w:val="af-ZA" w:eastAsia="en-GB"/>
        </w:rPr>
        <w:softHyphen/>
        <w:t>վար</w:t>
      </w:r>
      <w:r w:rsidRPr="007E680E">
        <w:rPr>
          <w:rFonts w:cs="Sylfaen"/>
          <w:b w:val="0"/>
          <w:iCs/>
          <w:szCs w:val="22"/>
          <w:lang w:val="af-ZA" w:eastAsia="en-GB"/>
        </w:rPr>
        <w:softHyphen/>
        <w:t>ման մար</w:t>
      </w:r>
      <w:r w:rsidRPr="007E680E">
        <w:rPr>
          <w:rFonts w:cs="Sylfaen"/>
          <w:b w:val="0"/>
          <w:iCs/>
          <w:szCs w:val="22"/>
          <w:lang w:val="af-ZA" w:eastAsia="en-GB"/>
        </w:rPr>
        <w:softHyphen/>
        <w:t>մին</w:t>
      </w:r>
      <w:r w:rsidRPr="007E680E">
        <w:rPr>
          <w:rFonts w:cs="Sylfaen"/>
          <w:b w:val="0"/>
          <w:iCs/>
          <w:szCs w:val="22"/>
          <w:lang w:val="af-ZA" w:eastAsia="en-GB"/>
        </w:rPr>
        <w:softHyphen/>
        <w:t>ների կող</w:t>
      </w:r>
      <w:r w:rsidRPr="007E680E">
        <w:rPr>
          <w:rFonts w:cs="Sylfaen"/>
          <w:b w:val="0"/>
          <w:iCs/>
          <w:szCs w:val="22"/>
          <w:lang w:val="af-ZA" w:eastAsia="en-GB"/>
        </w:rPr>
        <w:softHyphen/>
      </w:r>
      <w:r w:rsidRPr="007E680E">
        <w:rPr>
          <w:rFonts w:cs="Sylfaen"/>
          <w:b w:val="0"/>
          <w:iCs/>
          <w:szCs w:val="22"/>
          <w:lang w:val="af-ZA" w:eastAsia="en-GB"/>
        </w:rPr>
        <w:softHyphen/>
        <w:t>մից ներ</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կա</w:t>
      </w:r>
      <w:r w:rsidRPr="007E680E">
        <w:rPr>
          <w:rFonts w:cs="Sylfaen"/>
          <w:b w:val="0"/>
          <w:iCs/>
          <w:szCs w:val="22"/>
          <w:lang w:val="af-ZA" w:eastAsia="en-GB"/>
        </w:rPr>
        <w:softHyphen/>
        <w:t>յաց</w:t>
      </w:r>
      <w:r w:rsidRPr="007E680E">
        <w:rPr>
          <w:rFonts w:cs="Sylfaen"/>
          <w:b w:val="0"/>
          <w:iCs/>
          <w:szCs w:val="22"/>
          <w:lang w:val="af-ZA" w:eastAsia="en-GB"/>
        </w:rPr>
        <w:softHyphen/>
      </w:r>
      <w:r w:rsidRPr="007E680E">
        <w:rPr>
          <w:rFonts w:cs="Sylfaen"/>
          <w:b w:val="0"/>
          <w:iCs/>
          <w:szCs w:val="22"/>
          <w:lang w:val="af-ZA" w:eastAsia="en-GB"/>
        </w:rPr>
        <w:softHyphen/>
        <w:t>ված տե</w:t>
      </w:r>
      <w:r w:rsidRPr="007E680E">
        <w:rPr>
          <w:rFonts w:cs="Sylfaen"/>
          <w:b w:val="0"/>
          <w:iCs/>
          <w:szCs w:val="22"/>
          <w:lang w:val="af-ZA" w:eastAsia="en-GB"/>
        </w:rPr>
        <w:softHyphen/>
        <w:t>ղե</w:t>
      </w:r>
      <w:r w:rsidRPr="007E680E">
        <w:rPr>
          <w:rFonts w:cs="Sylfaen"/>
          <w:b w:val="0"/>
          <w:iCs/>
          <w:szCs w:val="22"/>
          <w:lang w:val="af-ZA" w:eastAsia="en-GB"/>
        </w:rPr>
        <w:softHyphen/>
        <w:t>կու</w:t>
      </w:r>
      <w:r w:rsidRPr="007E680E">
        <w:rPr>
          <w:rFonts w:cs="Sylfaen"/>
          <w:b w:val="0"/>
          <w:iCs/>
          <w:szCs w:val="22"/>
          <w:lang w:val="af-ZA" w:eastAsia="en-GB"/>
        </w:rPr>
        <w:softHyphen/>
        <w:t>թյուն</w:t>
      </w:r>
      <w:r w:rsidRPr="007E680E">
        <w:rPr>
          <w:rFonts w:cs="Sylfaen"/>
          <w:b w:val="0"/>
          <w:iCs/>
          <w:szCs w:val="22"/>
          <w:lang w:val="af-ZA" w:eastAsia="en-GB"/>
        </w:rPr>
        <w:softHyphen/>
        <w:t>նե</w:t>
      </w:r>
      <w:r w:rsidRPr="007E680E">
        <w:rPr>
          <w:rFonts w:cs="Sylfaen"/>
          <w:b w:val="0"/>
          <w:iCs/>
          <w:szCs w:val="22"/>
          <w:lang w:val="af-ZA" w:eastAsia="en-GB"/>
        </w:rPr>
        <w:softHyphen/>
        <w:t>րը վարձակալական պայ</w:t>
      </w:r>
      <w:r w:rsidRPr="007E680E">
        <w:rPr>
          <w:rFonts w:cs="Sylfaen"/>
          <w:b w:val="0"/>
          <w:iCs/>
          <w:szCs w:val="22"/>
          <w:lang w:val="af-ZA" w:eastAsia="en-GB"/>
        </w:rPr>
        <w:softHyphen/>
        <w:t>մա</w:t>
      </w:r>
      <w:r w:rsidRPr="007E680E">
        <w:rPr>
          <w:rFonts w:cs="Sylfaen"/>
          <w:b w:val="0"/>
          <w:iCs/>
          <w:szCs w:val="22"/>
          <w:lang w:val="af-ZA" w:eastAsia="en-GB"/>
        </w:rPr>
        <w:softHyphen/>
        <w:t>նա</w:t>
      </w:r>
      <w:r w:rsidRPr="007E680E">
        <w:rPr>
          <w:rFonts w:cs="Sylfaen"/>
          <w:b w:val="0"/>
          <w:iCs/>
          <w:szCs w:val="22"/>
          <w:lang w:val="af-ZA" w:eastAsia="en-GB"/>
        </w:rPr>
        <w:softHyphen/>
        <w:t>գրերի հա</w:t>
      </w:r>
      <w:r w:rsidRPr="007E680E">
        <w:rPr>
          <w:rFonts w:cs="Sylfaen"/>
          <w:b w:val="0"/>
          <w:iCs/>
          <w:szCs w:val="22"/>
          <w:lang w:val="af-ZA" w:eastAsia="en-GB"/>
        </w:rPr>
        <w:softHyphen/>
      </w:r>
      <w:r w:rsidRPr="007E680E">
        <w:rPr>
          <w:rFonts w:cs="Sylfaen"/>
          <w:b w:val="0"/>
          <w:iCs/>
          <w:szCs w:val="22"/>
          <w:lang w:val="af-ZA" w:eastAsia="en-GB"/>
        </w:rPr>
        <w:softHyphen/>
        <w:t>մա</w:t>
      </w:r>
      <w:r w:rsidRPr="007E680E">
        <w:rPr>
          <w:rFonts w:cs="Sylfaen"/>
          <w:b w:val="0"/>
          <w:iCs/>
          <w:szCs w:val="22"/>
          <w:lang w:val="af-ZA" w:eastAsia="en-GB"/>
        </w:rPr>
        <w:softHyphen/>
        <w:t>ձայն 2021 թվա</w:t>
      </w:r>
      <w:r w:rsidRPr="007E680E">
        <w:rPr>
          <w:rFonts w:cs="Sylfaen"/>
          <w:b w:val="0"/>
          <w:iCs/>
          <w:szCs w:val="22"/>
          <w:lang w:val="af-ZA" w:eastAsia="en-GB"/>
        </w:rPr>
        <w:softHyphen/>
        <w:t>կան</w:t>
      </w:r>
      <w:r w:rsidRPr="007E680E">
        <w:rPr>
          <w:rFonts w:cs="Sylfaen"/>
          <w:b w:val="0"/>
          <w:iCs/>
          <w:szCs w:val="22"/>
          <w:lang w:val="af-ZA" w:eastAsia="en-GB"/>
        </w:rPr>
        <w:softHyphen/>
        <w:t>ներին վճար</w:t>
      </w:r>
      <w:r w:rsidRPr="007E680E">
        <w:rPr>
          <w:rFonts w:cs="Sylfaen"/>
          <w:b w:val="0"/>
          <w:iCs/>
          <w:szCs w:val="22"/>
          <w:lang w:val="af-ZA" w:eastAsia="en-GB"/>
        </w:rPr>
        <w:softHyphen/>
        <w:t>վե</w:t>
      </w:r>
      <w:r w:rsidRPr="007E680E">
        <w:rPr>
          <w:rFonts w:cs="Sylfaen"/>
          <w:b w:val="0"/>
          <w:iCs/>
          <w:szCs w:val="22"/>
          <w:lang w:val="af-ZA" w:eastAsia="en-GB"/>
        </w:rPr>
        <w:softHyphen/>
      </w:r>
      <w:r w:rsidRPr="007E680E">
        <w:rPr>
          <w:rFonts w:cs="Sylfaen"/>
          <w:b w:val="0"/>
          <w:iCs/>
          <w:szCs w:val="22"/>
          <w:lang w:val="af-ZA" w:eastAsia="en-GB"/>
        </w:rPr>
        <w:softHyphen/>
        <w:t>լիք վար</w:t>
      </w:r>
      <w:r w:rsidRPr="007E680E">
        <w:rPr>
          <w:rFonts w:cs="Sylfaen"/>
          <w:b w:val="0"/>
          <w:iCs/>
          <w:szCs w:val="22"/>
          <w:lang w:val="af-ZA" w:eastAsia="en-GB"/>
        </w:rPr>
        <w:softHyphen/>
        <w:t>ձա</w:t>
      </w:r>
      <w:r w:rsidRPr="007E680E">
        <w:rPr>
          <w:rFonts w:cs="Sylfaen"/>
          <w:b w:val="0"/>
          <w:iCs/>
          <w:szCs w:val="22"/>
          <w:lang w:val="af-ZA" w:eastAsia="en-GB"/>
        </w:rPr>
        <w:softHyphen/>
        <w:t>վճար</w:t>
      </w:r>
      <w:r w:rsidRPr="007E680E">
        <w:rPr>
          <w:rFonts w:cs="Sylfaen"/>
          <w:b w:val="0"/>
          <w:iCs/>
          <w:szCs w:val="22"/>
          <w:lang w:val="af-ZA" w:eastAsia="en-GB"/>
        </w:rPr>
        <w:softHyphen/>
        <w:t>ների վե</w:t>
      </w:r>
      <w:r w:rsidRPr="007E680E">
        <w:rPr>
          <w:rFonts w:cs="Sylfaen"/>
          <w:b w:val="0"/>
          <w:iCs/>
          <w:szCs w:val="22"/>
          <w:lang w:val="af-ZA" w:eastAsia="en-GB"/>
        </w:rPr>
        <w:softHyphen/>
        <w:t>րա</w:t>
      </w:r>
      <w:r w:rsidRPr="007E680E">
        <w:rPr>
          <w:rFonts w:cs="Sylfaen"/>
          <w:b w:val="0"/>
          <w:iCs/>
          <w:szCs w:val="22"/>
          <w:lang w:val="af-ZA" w:eastAsia="en-GB"/>
        </w:rPr>
        <w:softHyphen/>
        <w:t>բեր</w:t>
      </w:r>
      <w:r w:rsidRPr="007E680E">
        <w:rPr>
          <w:rFonts w:cs="Sylfaen"/>
          <w:b w:val="0"/>
          <w:iCs/>
          <w:szCs w:val="22"/>
          <w:lang w:val="af-ZA" w:eastAsia="en-GB"/>
        </w:rPr>
        <w:softHyphen/>
      </w:r>
      <w:r w:rsidRPr="007E680E">
        <w:rPr>
          <w:rFonts w:cs="Sylfaen"/>
          <w:b w:val="0"/>
          <w:iCs/>
          <w:szCs w:val="22"/>
          <w:lang w:val="af-ZA" w:eastAsia="en-GB"/>
        </w:rPr>
        <w:softHyphen/>
        <w:t>յալ, ինչ</w:t>
      </w:r>
      <w:r w:rsidRPr="007E680E">
        <w:rPr>
          <w:rFonts w:cs="Sylfaen"/>
          <w:b w:val="0"/>
          <w:iCs/>
          <w:szCs w:val="22"/>
          <w:lang w:val="af-ZA" w:eastAsia="en-GB"/>
        </w:rPr>
        <w:softHyphen/>
        <w:t>պես նաև հա</w:t>
      </w:r>
      <w:r w:rsidRPr="007E680E">
        <w:rPr>
          <w:rFonts w:cs="Sylfaen"/>
          <w:b w:val="0"/>
          <w:iCs/>
          <w:szCs w:val="22"/>
          <w:lang w:val="af-ZA" w:eastAsia="en-GB"/>
        </w:rPr>
        <w:softHyphen/>
        <w:t>մա</w:t>
      </w:r>
      <w:r w:rsidRPr="007E680E">
        <w:rPr>
          <w:rFonts w:cs="Sylfaen"/>
          <w:b w:val="0"/>
          <w:iCs/>
          <w:szCs w:val="22"/>
          <w:lang w:val="af-ZA" w:eastAsia="en-GB"/>
        </w:rPr>
        <w:softHyphen/>
        <w:t>պա</w:t>
      </w:r>
      <w:r w:rsidRPr="007E680E">
        <w:rPr>
          <w:rFonts w:cs="Sylfaen"/>
          <w:b w:val="0"/>
          <w:iCs/>
          <w:szCs w:val="22"/>
          <w:lang w:val="af-ZA" w:eastAsia="en-GB"/>
        </w:rPr>
        <w:softHyphen/>
        <w:t>տաս</w:t>
      </w:r>
      <w:r w:rsidRPr="007E680E">
        <w:rPr>
          <w:rFonts w:cs="Sylfaen"/>
          <w:b w:val="0"/>
          <w:iCs/>
          <w:szCs w:val="22"/>
          <w:lang w:val="af-ZA" w:eastAsia="en-GB"/>
        </w:rPr>
        <w:softHyphen/>
        <w:t xml:space="preserve">խան </w:t>
      </w:r>
      <w:r w:rsidRPr="007E680E">
        <w:rPr>
          <w:rFonts w:cs="Sylfaen"/>
          <w:b w:val="0"/>
          <w:iCs/>
          <w:szCs w:val="22"/>
          <w:lang w:val="af-ZA" w:eastAsia="en-GB"/>
        </w:rPr>
        <w:softHyphen/>
        <w:t>բյու</w:t>
      </w:r>
      <w:r w:rsidRPr="007E680E">
        <w:rPr>
          <w:rFonts w:cs="Sylfaen"/>
          <w:b w:val="0"/>
          <w:iCs/>
          <w:szCs w:val="22"/>
          <w:lang w:val="af-ZA" w:eastAsia="en-GB"/>
        </w:rPr>
        <w:softHyphen/>
        <w:t>ջե</w:t>
      </w:r>
      <w:r w:rsidRPr="007E680E">
        <w:rPr>
          <w:rFonts w:cs="Sylfaen"/>
          <w:b w:val="0"/>
          <w:iCs/>
          <w:szCs w:val="22"/>
          <w:lang w:val="af-ZA" w:eastAsia="en-GB"/>
        </w:rPr>
        <w:softHyphen/>
      </w:r>
      <w:r w:rsidRPr="007E680E">
        <w:rPr>
          <w:rFonts w:cs="Sylfaen"/>
          <w:b w:val="0"/>
          <w:iCs/>
          <w:szCs w:val="22"/>
          <w:lang w:val="af-ZA" w:eastAsia="en-GB"/>
        </w:rPr>
        <w:softHyphen/>
        <w:t>տա</w:t>
      </w:r>
      <w:r w:rsidRPr="007E680E">
        <w:rPr>
          <w:rFonts w:cs="Sylfaen"/>
          <w:b w:val="0"/>
          <w:iCs/>
          <w:szCs w:val="22"/>
          <w:lang w:val="af-ZA" w:eastAsia="en-GB"/>
        </w:rPr>
        <w:softHyphen/>
        <w:t>յին փաստացի մուտ</w:t>
      </w:r>
      <w:r w:rsidRPr="007E680E">
        <w:rPr>
          <w:rFonts w:cs="Sylfaen"/>
          <w:b w:val="0"/>
          <w:iCs/>
          <w:szCs w:val="22"/>
          <w:lang w:val="af-ZA" w:eastAsia="en-GB"/>
        </w:rPr>
        <w:softHyphen/>
        <w:t>քերի գծով գան</w:t>
      </w:r>
      <w:r w:rsidRPr="007E680E">
        <w:rPr>
          <w:rFonts w:cs="Sylfaen"/>
          <w:b w:val="0"/>
          <w:iCs/>
          <w:szCs w:val="22"/>
          <w:lang w:val="af-ZA" w:eastAsia="en-GB"/>
        </w:rPr>
        <w:softHyphen/>
      </w:r>
      <w:r w:rsidRPr="007E680E">
        <w:rPr>
          <w:rFonts w:cs="Sylfaen"/>
          <w:b w:val="0"/>
          <w:iCs/>
          <w:szCs w:val="22"/>
          <w:lang w:val="af-ZA" w:eastAsia="en-GB"/>
        </w:rPr>
        <w:softHyphen/>
        <w:t>ձա</w:t>
      </w:r>
      <w:r w:rsidRPr="007E680E">
        <w:rPr>
          <w:rFonts w:cs="Sylfaen"/>
          <w:b w:val="0"/>
          <w:iCs/>
          <w:szCs w:val="22"/>
          <w:lang w:val="af-ZA" w:eastAsia="en-GB"/>
        </w:rPr>
        <w:softHyphen/>
        <w:t>պե</w:t>
      </w:r>
      <w:r w:rsidRPr="007E680E">
        <w:rPr>
          <w:rFonts w:cs="Sylfaen"/>
          <w:b w:val="0"/>
          <w:iCs/>
          <w:szCs w:val="22"/>
          <w:lang w:val="af-ZA" w:eastAsia="en-GB"/>
        </w:rPr>
        <w:softHyphen/>
        <w:t>տա</w:t>
      </w:r>
      <w:r w:rsidRPr="007E680E">
        <w:rPr>
          <w:rFonts w:cs="Sylfaen"/>
          <w:b w:val="0"/>
          <w:iCs/>
          <w:szCs w:val="22"/>
          <w:lang w:val="af-ZA" w:eastAsia="en-GB"/>
        </w:rPr>
        <w:softHyphen/>
        <w:t>կան տվյալները:</w:t>
      </w:r>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Բանկերում և ֆինանսավարկային հաստատություններում գանձապետական միաս</w:t>
      </w:r>
      <w:r w:rsidRPr="007E680E">
        <w:rPr>
          <w:rFonts w:cs="Sylfaen"/>
          <w:b w:val="0"/>
          <w:iCs/>
          <w:szCs w:val="22"/>
          <w:lang w:val="af-ZA" w:eastAsia="en-GB"/>
        </w:rPr>
        <w:softHyphen/>
        <w:t>նա</w:t>
      </w:r>
      <w:r w:rsidRPr="007E680E">
        <w:rPr>
          <w:rFonts w:cs="Sylfaen"/>
          <w:b w:val="0"/>
          <w:iCs/>
          <w:szCs w:val="22"/>
          <w:lang w:val="af-ZA" w:eastAsia="en-GB"/>
        </w:rPr>
        <w:softHyphen/>
      </w:r>
      <w:r w:rsidRPr="007E680E">
        <w:rPr>
          <w:rFonts w:cs="Sylfaen"/>
          <w:b w:val="0"/>
          <w:iCs/>
          <w:szCs w:val="22"/>
          <w:lang w:val="af-ZA" w:eastAsia="en-GB"/>
        </w:rPr>
        <w:softHyphen/>
        <w:t>կան հաշ</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վի ժա</w:t>
      </w:r>
      <w:r w:rsidRPr="007E680E">
        <w:rPr>
          <w:rFonts w:cs="Sylfaen"/>
          <w:b w:val="0"/>
          <w:iCs/>
          <w:szCs w:val="22"/>
          <w:lang w:val="af-ZA" w:eastAsia="en-GB"/>
        </w:rPr>
        <w:softHyphen/>
        <w:t>մա</w:t>
      </w:r>
      <w:r w:rsidRPr="007E680E">
        <w:rPr>
          <w:rFonts w:cs="Sylfaen"/>
          <w:b w:val="0"/>
          <w:iCs/>
          <w:szCs w:val="22"/>
          <w:lang w:val="af-ZA" w:eastAsia="en-GB"/>
        </w:rPr>
        <w:softHyphen/>
        <w:t>նա</w:t>
      </w:r>
      <w:r w:rsidRPr="007E680E">
        <w:rPr>
          <w:rFonts w:cs="Sylfaen"/>
          <w:b w:val="0"/>
          <w:iCs/>
          <w:szCs w:val="22"/>
          <w:lang w:val="af-ZA" w:eastAsia="en-GB"/>
        </w:rPr>
        <w:softHyphen/>
      </w:r>
      <w:r w:rsidRPr="007E680E">
        <w:rPr>
          <w:rFonts w:cs="Sylfaen"/>
          <w:b w:val="0"/>
          <w:iCs/>
          <w:szCs w:val="22"/>
          <w:lang w:val="af-ZA" w:eastAsia="en-GB"/>
        </w:rPr>
        <w:softHyphen/>
        <w:t>կավոր ազատ միջոցների տեղաբաշխումից և դեպոզիտներից ստաց</w:t>
      </w:r>
      <w:r w:rsidRPr="007E680E">
        <w:rPr>
          <w:rFonts w:cs="Sylfaen"/>
          <w:b w:val="0"/>
          <w:iCs/>
          <w:szCs w:val="22"/>
          <w:lang w:val="af-ZA" w:eastAsia="en-GB"/>
        </w:rPr>
        <w:softHyphen/>
        <w:t>վող տո</w:t>
      </w:r>
      <w:r w:rsidRPr="007E680E">
        <w:rPr>
          <w:rFonts w:cs="Sylfaen"/>
          <w:b w:val="0"/>
          <w:iCs/>
          <w:szCs w:val="22"/>
          <w:lang w:val="af-ZA" w:eastAsia="en-GB"/>
        </w:rPr>
        <w:softHyphen/>
        <w:t>կո</w:t>
      </w:r>
      <w:r w:rsidRPr="007E680E">
        <w:rPr>
          <w:rFonts w:cs="Sylfaen"/>
          <w:b w:val="0"/>
          <w:iCs/>
          <w:szCs w:val="22"/>
          <w:lang w:val="af-ZA" w:eastAsia="en-GB"/>
        </w:rPr>
        <w:softHyphen/>
        <w:t>սա</w:t>
      </w:r>
      <w:r w:rsidRPr="007E680E">
        <w:rPr>
          <w:rFonts w:cs="Sylfaen"/>
          <w:b w:val="0"/>
          <w:iCs/>
          <w:szCs w:val="22"/>
          <w:lang w:val="af-ZA" w:eastAsia="en-GB"/>
        </w:rPr>
        <w:softHyphen/>
        <w:t>վճար</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նե</w:t>
      </w:r>
      <w:r w:rsidRPr="007E680E">
        <w:rPr>
          <w:rFonts w:cs="Sylfaen"/>
          <w:b w:val="0"/>
          <w:iCs/>
          <w:szCs w:val="22"/>
          <w:lang w:val="af-ZA" w:eastAsia="en-GB"/>
        </w:rPr>
        <w:softHyphen/>
        <w:t>րից, իրավաբանական անձանց կապիտալում կատարված ներ</w:t>
      </w:r>
      <w:r w:rsidRPr="007E680E">
        <w:rPr>
          <w:rFonts w:cs="Sylfaen"/>
          <w:b w:val="0"/>
          <w:iCs/>
          <w:szCs w:val="22"/>
          <w:lang w:val="af-ZA" w:eastAsia="en-GB"/>
        </w:rPr>
        <w:softHyphen/>
        <w:t>դրում</w:t>
      </w:r>
      <w:r w:rsidRPr="007E680E">
        <w:rPr>
          <w:rFonts w:cs="Sylfaen"/>
          <w:b w:val="0"/>
          <w:iCs/>
          <w:szCs w:val="22"/>
          <w:lang w:val="af-ZA" w:eastAsia="en-GB"/>
        </w:rPr>
        <w:softHyphen/>
      </w:r>
      <w:r w:rsidRPr="007E680E">
        <w:rPr>
          <w:rFonts w:cs="Sylfaen"/>
          <w:b w:val="0"/>
          <w:iCs/>
          <w:szCs w:val="22"/>
          <w:lang w:val="af-ZA" w:eastAsia="en-GB"/>
        </w:rPr>
        <w:softHyphen/>
        <w:t>նե</w:t>
      </w:r>
      <w:r w:rsidRPr="007E680E">
        <w:rPr>
          <w:rFonts w:cs="Sylfaen"/>
          <w:b w:val="0"/>
          <w:iCs/>
          <w:szCs w:val="22"/>
          <w:lang w:val="af-ZA" w:eastAsia="en-GB"/>
        </w:rPr>
        <w:softHyphen/>
        <w:t>րից ստաց</w:t>
      </w:r>
      <w:r w:rsidRPr="007E680E">
        <w:rPr>
          <w:rFonts w:cs="Sylfaen"/>
          <w:b w:val="0"/>
          <w:iCs/>
          <w:szCs w:val="22"/>
          <w:lang w:val="af-ZA" w:eastAsia="en-GB"/>
        </w:rPr>
        <w:softHyphen/>
        <w:t>վող շա</w:t>
      </w:r>
      <w:r w:rsidRPr="007E680E">
        <w:rPr>
          <w:rFonts w:cs="Sylfaen"/>
          <w:b w:val="0"/>
          <w:iCs/>
          <w:szCs w:val="22"/>
          <w:lang w:val="af-ZA" w:eastAsia="en-GB"/>
        </w:rPr>
        <w:softHyphen/>
        <w:t>հա</w:t>
      </w:r>
      <w:r w:rsidRPr="007E680E">
        <w:rPr>
          <w:rFonts w:cs="Sylfaen"/>
          <w:b w:val="0"/>
          <w:iCs/>
          <w:szCs w:val="22"/>
          <w:lang w:val="af-ZA" w:eastAsia="en-GB"/>
        </w:rPr>
        <w:softHyphen/>
      </w:r>
      <w:r w:rsidRPr="007E680E">
        <w:rPr>
          <w:rFonts w:cs="Sylfaen"/>
          <w:b w:val="0"/>
          <w:iCs/>
          <w:szCs w:val="22"/>
          <w:lang w:val="af-ZA" w:eastAsia="en-GB"/>
        </w:rPr>
        <w:softHyphen/>
        <w:t>բա</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ժիններից 2021 թվականին ակնկալվում են 6,057.2 մլն դրամի չափով մուտ</w:t>
      </w:r>
      <w:r w:rsidRPr="007E680E">
        <w:rPr>
          <w:rFonts w:cs="Sylfaen"/>
          <w:b w:val="0"/>
          <w:iCs/>
          <w:szCs w:val="22"/>
          <w:lang w:val="af-ZA" w:eastAsia="en-GB"/>
        </w:rPr>
        <w:softHyphen/>
        <w:t>քեր: Մաս</w:t>
      </w:r>
      <w:r w:rsidRPr="007E680E">
        <w:rPr>
          <w:rFonts w:cs="Sylfaen"/>
          <w:b w:val="0"/>
          <w:iCs/>
          <w:szCs w:val="22"/>
          <w:lang w:val="af-ZA" w:eastAsia="en-GB"/>
        </w:rPr>
        <w:softHyphen/>
        <w:t>նա</w:t>
      </w:r>
      <w:r w:rsidRPr="007E680E">
        <w:rPr>
          <w:rFonts w:cs="Sylfaen"/>
          <w:b w:val="0"/>
          <w:iCs/>
          <w:szCs w:val="22"/>
          <w:lang w:val="af-ZA" w:eastAsia="en-GB"/>
        </w:rPr>
        <w:softHyphen/>
        <w:t>վո</w:t>
      </w:r>
      <w:r w:rsidRPr="007E680E">
        <w:rPr>
          <w:rFonts w:cs="Sylfaen"/>
          <w:b w:val="0"/>
          <w:iCs/>
          <w:szCs w:val="22"/>
          <w:lang w:val="af-ZA" w:eastAsia="en-GB"/>
        </w:rPr>
        <w:softHyphen/>
        <w:t>րա</w:t>
      </w:r>
      <w:r w:rsidRPr="007E680E">
        <w:rPr>
          <w:rFonts w:cs="Sylfaen"/>
          <w:b w:val="0"/>
          <w:iCs/>
          <w:szCs w:val="22"/>
          <w:lang w:val="af-ZA" w:eastAsia="en-GB"/>
        </w:rPr>
        <w:softHyphen/>
        <w:t>պես.</w:t>
      </w:r>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Բանկերում և ֆինանսավարկային հաստատություններում պետական բյուջեի ժա</w:t>
      </w:r>
      <w:r w:rsidRPr="007E680E">
        <w:rPr>
          <w:rFonts w:cs="Sylfaen"/>
          <w:b w:val="0"/>
          <w:iCs/>
          <w:szCs w:val="22"/>
          <w:lang w:val="af-ZA" w:eastAsia="en-GB"/>
        </w:rPr>
        <w:softHyphen/>
        <w:t>մա</w:t>
      </w:r>
      <w:r w:rsidRPr="007E680E">
        <w:rPr>
          <w:rFonts w:cs="Sylfaen"/>
          <w:b w:val="0"/>
          <w:iCs/>
          <w:szCs w:val="22"/>
          <w:lang w:val="af-ZA" w:eastAsia="en-GB"/>
        </w:rPr>
        <w:softHyphen/>
        <w:t>նա</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կա</w:t>
      </w:r>
      <w:r w:rsidRPr="007E680E">
        <w:rPr>
          <w:rFonts w:cs="Sylfaen"/>
          <w:b w:val="0"/>
          <w:iCs/>
          <w:szCs w:val="22"/>
          <w:lang w:val="af-ZA" w:eastAsia="en-GB"/>
        </w:rPr>
        <w:softHyphen/>
        <w:t>վոր ազատ միջոցների տեղաբաշխումից և դեպոզիտներից ստաց</w:t>
      </w:r>
      <w:r w:rsidRPr="007E680E">
        <w:rPr>
          <w:rFonts w:cs="Sylfaen"/>
          <w:b w:val="0"/>
          <w:iCs/>
          <w:szCs w:val="22"/>
          <w:lang w:val="af-ZA" w:eastAsia="en-GB"/>
        </w:rPr>
        <w:softHyphen/>
        <w:t>վող տո</w:t>
      </w:r>
      <w:r w:rsidRPr="007E680E">
        <w:rPr>
          <w:rFonts w:cs="Sylfaen"/>
          <w:b w:val="0"/>
          <w:iCs/>
          <w:szCs w:val="22"/>
          <w:lang w:val="af-ZA" w:eastAsia="en-GB"/>
        </w:rPr>
        <w:softHyphen/>
        <w:t>կո</w:t>
      </w:r>
      <w:r w:rsidRPr="007E680E">
        <w:rPr>
          <w:rFonts w:cs="Sylfaen"/>
          <w:b w:val="0"/>
          <w:iCs/>
          <w:szCs w:val="22"/>
          <w:lang w:val="af-ZA" w:eastAsia="en-GB"/>
        </w:rPr>
        <w:softHyphen/>
        <w:t>սա</w:t>
      </w:r>
      <w:r w:rsidRPr="007E680E">
        <w:rPr>
          <w:rFonts w:cs="Sylfaen"/>
          <w:b w:val="0"/>
          <w:iCs/>
          <w:szCs w:val="22"/>
          <w:lang w:val="af-ZA" w:eastAsia="en-GB"/>
        </w:rPr>
        <w:softHyphen/>
        <w:t>վճար</w:t>
      </w:r>
      <w:r w:rsidRPr="007E680E">
        <w:rPr>
          <w:rFonts w:cs="Sylfaen"/>
          <w:b w:val="0"/>
          <w:iCs/>
          <w:szCs w:val="22"/>
          <w:lang w:val="af-ZA" w:eastAsia="en-GB"/>
        </w:rPr>
        <w:softHyphen/>
        <w:t>նե</w:t>
      </w:r>
      <w:r w:rsidRPr="007E680E">
        <w:rPr>
          <w:rFonts w:cs="Sylfaen"/>
          <w:b w:val="0"/>
          <w:iCs/>
          <w:szCs w:val="22"/>
          <w:lang w:val="af-ZA" w:eastAsia="en-GB"/>
        </w:rPr>
        <w:softHyphen/>
      </w:r>
      <w:r w:rsidRPr="007E680E">
        <w:rPr>
          <w:rFonts w:cs="Sylfaen"/>
          <w:b w:val="0"/>
          <w:iCs/>
          <w:szCs w:val="22"/>
          <w:lang w:val="af-ZA" w:eastAsia="en-GB"/>
        </w:rPr>
        <w:softHyphen/>
        <w:t>րի գծով մուտ</w:t>
      </w:r>
      <w:r w:rsidRPr="007E680E">
        <w:rPr>
          <w:rFonts w:cs="Sylfaen"/>
          <w:b w:val="0"/>
          <w:iCs/>
          <w:szCs w:val="22"/>
          <w:lang w:val="af-ZA" w:eastAsia="en-GB"/>
        </w:rPr>
        <w:softHyphen/>
      </w:r>
      <w:r w:rsidRPr="007E680E">
        <w:rPr>
          <w:rFonts w:cs="Sylfaen"/>
          <w:b w:val="0"/>
          <w:iCs/>
          <w:szCs w:val="22"/>
          <w:lang w:val="af-ZA" w:eastAsia="en-GB"/>
        </w:rPr>
        <w:softHyphen/>
        <w:t>քերը ծրագրվել են 4,923.0 մլն դրամ` 2020 թվա</w:t>
      </w:r>
      <w:r w:rsidRPr="007E680E">
        <w:rPr>
          <w:rFonts w:cs="Sylfaen"/>
          <w:b w:val="0"/>
          <w:iCs/>
          <w:szCs w:val="22"/>
          <w:lang w:val="af-ZA" w:eastAsia="en-GB"/>
        </w:rPr>
        <w:softHyphen/>
        <w:t>կանի համար ծրագրված 5,700.0 մլն դրա</w:t>
      </w:r>
      <w:r w:rsidRPr="007E680E">
        <w:rPr>
          <w:rFonts w:cs="Sylfaen"/>
          <w:b w:val="0"/>
          <w:iCs/>
          <w:szCs w:val="22"/>
          <w:lang w:val="af-ZA" w:eastAsia="en-GB"/>
        </w:rPr>
        <w:softHyphen/>
        <w:t>մի և 2019 թվականի փաս</w:t>
      </w:r>
      <w:r w:rsidRPr="007E680E">
        <w:rPr>
          <w:rFonts w:cs="Sylfaen"/>
          <w:b w:val="0"/>
          <w:iCs/>
          <w:szCs w:val="22"/>
          <w:lang w:val="af-ZA" w:eastAsia="en-GB"/>
        </w:rPr>
        <w:softHyphen/>
        <w:t>տացի ստաց</w:t>
      </w:r>
      <w:r w:rsidRPr="007E680E">
        <w:rPr>
          <w:rFonts w:cs="Sylfaen"/>
          <w:b w:val="0"/>
          <w:iCs/>
          <w:szCs w:val="22"/>
          <w:lang w:val="af-ZA" w:eastAsia="en-GB"/>
        </w:rPr>
        <w:softHyphen/>
        <w:t>ված 12,708.4 մլն դրա</w:t>
      </w:r>
      <w:r w:rsidRPr="007E680E">
        <w:rPr>
          <w:rFonts w:cs="Sylfaen"/>
          <w:b w:val="0"/>
          <w:iCs/>
          <w:szCs w:val="22"/>
          <w:lang w:val="af-ZA" w:eastAsia="en-GB"/>
        </w:rPr>
        <w:softHyphen/>
      </w:r>
      <w:r w:rsidRPr="007E680E">
        <w:rPr>
          <w:rFonts w:cs="Sylfaen"/>
          <w:b w:val="0"/>
          <w:iCs/>
          <w:szCs w:val="22"/>
          <w:lang w:val="af-ZA" w:eastAsia="en-GB"/>
        </w:rPr>
        <w:softHyphen/>
        <w:t>մի դի</w:t>
      </w:r>
      <w:r w:rsidRPr="007E680E">
        <w:rPr>
          <w:rFonts w:cs="Sylfaen"/>
          <w:b w:val="0"/>
          <w:iCs/>
          <w:szCs w:val="22"/>
          <w:lang w:val="af-ZA" w:eastAsia="en-GB"/>
        </w:rPr>
        <w:softHyphen/>
        <w:t>մաց: 2021 թվա</w:t>
      </w:r>
      <w:r w:rsidRPr="007E680E">
        <w:rPr>
          <w:rFonts w:cs="Sylfaen"/>
          <w:b w:val="0"/>
          <w:iCs/>
          <w:szCs w:val="22"/>
          <w:lang w:val="af-ZA" w:eastAsia="en-GB"/>
        </w:rPr>
        <w:softHyphen/>
        <w:t>կանի մուտքերն ա</w:t>
      </w:r>
      <w:r w:rsidRPr="007E680E">
        <w:rPr>
          <w:rFonts w:cs="Sylfaen"/>
          <w:b w:val="0"/>
          <w:iCs/>
          <w:szCs w:val="22"/>
          <w:lang w:val="af-ZA" w:eastAsia="en-GB"/>
        </w:rPr>
        <w:softHyphen/>
        <w:t>պա</w:t>
      </w:r>
      <w:r w:rsidRPr="007E680E">
        <w:rPr>
          <w:rFonts w:cs="Sylfaen"/>
          <w:b w:val="0"/>
          <w:iCs/>
          <w:szCs w:val="22"/>
          <w:lang w:val="af-ZA" w:eastAsia="en-GB"/>
        </w:rPr>
        <w:softHyphen/>
        <w:t>հովվելու են հիմնականում ի հա</w:t>
      </w:r>
      <w:r w:rsidRPr="007E680E">
        <w:rPr>
          <w:rFonts w:cs="Sylfaen"/>
          <w:b w:val="0"/>
          <w:iCs/>
          <w:szCs w:val="22"/>
          <w:lang w:val="af-ZA" w:eastAsia="en-GB"/>
        </w:rPr>
        <w:softHyphen/>
      </w:r>
      <w:r w:rsidRPr="007E680E">
        <w:rPr>
          <w:rFonts w:cs="Sylfaen"/>
          <w:b w:val="0"/>
          <w:iCs/>
          <w:szCs w:val="22"/>
          <w:lang w:val="af-ZA" w:eastAsia="en-GB"/>
        </w:rPr>
        <w:softHyphen/>
        <w:t>շիվ ժա</w:t>
      </w:r>
      <w:r w:rsidRPr="007E680E">
        <w:rPr>
          <w:rFonts w:cs="Sylfaen"/>
          <w:b w:val="0"/>
          <w:iCs/>
          <w:szCs w:val="22"/>
          <w:lang w:val="af-ZA" w:eastAsia="en-GB"/>
        </w:rPr>
        <w:softHyphen/>
        <w:t>մա</w:t>
      </w:r>
      <w:r w:rsidRPr="007E680E">
        <w:rPr>
          <w:rFonts w:cs="Sylfaen"/>
          <w:b w:val="0"/>
          <w:iCs/>
          <w:szCs w:val="22"/>
          <w:lang w:val="af-ZA" w:eastAsia="en-GB"/>
        </w:rPr>
        <w:softHyphen/>
        <w:t>նա</w:t>
      </w:r>
      <w:r w:rsidRPr="007E680E">
        <w:rPr>
          <w:rFonts w:cs="Sylfaen"/>
          <w:b w:val="0"/>
          <w:iCs/>
          <w:szCs w:val="22"/>
          <w:lang w:val="af-ZA" w:eastAsia="en-GB"/>
        </w:rPr>
        <w:softHyphen/>
        <w:t>կա</w:t>
      </w:r>
      <w:r w:rsidRPr="007E680E">
        <w:rPr>
          <w:rFonts w:cs="Sylfaen"/>
          <w:b w:val="0"/>
          <w:iCs/>
          <w:szCs w:val="22"/>
          <w:lang w:val="af-ZA" w:eastAsia="en-GB"/>
        </w:rPr>
        <w:softHyphen/>
        <w:t>վորապես ազատ բյուջետային մի</w:t>
      </w:r>
      <w:r w:rsidRPr="007E680E">
        <w:rPr>
          <w:rFonts w:cs="Sylfaen"/>
          <w:b w:val="0"/>
          <w:iCs/>
          <w:szCs w:val="22"/>
          <w:lang w:val="af-ZA" w:eastAsia="en-GB"/>
        </w:rPr>
        <w:softHyphen/>
        <w:t>ջոցները ՀՀ կենտ</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րոնական բանկում ավան</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դա</w:t>
      </w:r>
      <w:r w:rsidRPr="007E680E">
        <w:rPr>
          <w:rFonts w:cs="Sylfaen"/>
          <w:b w:val="0"/>
          <w:iCs/>
          <w:szCs w:val="22"/>
          <w:lang w:val="af-ZA" w:eastAsia="en-GB"/>
        </w:rPr>
        <w:softHyphen/>
        <w:t>դնե</w:t>
      </w:r>
      <w:r w:rsidRPr="007E680E">
        <w:rPr>
          <w:rFonts w:cs="Sylfaen"/>
          <w:b w:val="0"/>
          <w:iCs/>
          <w:szCs w:val="22"/>
          <w:lang w:val="af-ZA" w:eastAsia="en-GB"/>
        </w:rPr>
        <w:softHyphen/>
        <w:t>լու դիմաց ՀՀ կեն</w:t>
      </w:r>
      <w:r w:rsidRPr="007E680E">
        <w:rPr>
          <w:rFonts w:cs="Sylfaen"/>
          <w:b w:val="0"/>
          <w:iCs/>
          <w:szCs w:val="22"/>
          <w:lang w:val="af-ZA" w:eastAsia="en-GB"/>
        </w:rPr>
        <w:softHyphen/>
        <w:t>տ</w:t>
      </w:r>
      <w:r w:rsidRPr="007E680E">
        <w:rPr>
          <w:rFonts w:cs="Sylfaen"/>
          <w:b w:val="0"/>
          <w:iCs/>
          <w:szCs w:val="22"/>
          <w:lang w:val="af-ZA" w:eastAsia="en-GB"/>
        </w:rPr>
        <w:softHyphen/>
        <w:t>րո</w:t>
      </w:r>
      <w:r w:rsidRPr="007E680E">
        <w:rPr>
          <w:rFonts w:cs="Sylfaen"/>
          <w:b w:val="0"/>
          <w:iCs/>
          <w:szCs w:val="22"/>
          <w:lang w:val="af-ZA" w:eastAsia="en-GB"/>
        </w:rPr>
        <w:softHyphen/>
        <w:t>նական բանկի և ՀՀ ֆի</w:t>
      </w:r>
      <w:r w:rsidRPr="007E680E">
        <w:rPr>
          <w:rFonts w:cs="Sylfaen"/>
          <w:b w:val="0"/>
          <w:iCs/>
          <w:szCs w:val="22"/>
          <w:lang w:val="af-ZA" w:eastAsia="en-GB"/>
        </w:rPr>
        <w:softHyphen/>
        <w:t>նանս</w:t>
      </w:r>
      <w:r w:rsidRPr="007E680E">
        <w:rPr>
          <w:rFonts w:cs="Sylfaen"/>
          <w:b w:val="0"/>
          <w:iCs/>
          <w:szCs w:val="22"/>
          <w:lang w:val="af-ZA" w:eastAsia="en-GB"/>
        </w:rPr>
        <w:softHyphen/>
        <w:t>ների նա</w:t>
      </w:r>
      <w:r w:rsidRPr="007E680E">
        <w:rPr>
          <w:rFonts w:cs="Sylfaen"/>
          <w:b w:val="0"/>
          <w:iCs/>
          <w:szCs w:val="22"/>
          <w:lang w:val="af-ZA" w:eastAsia="en-GB"/>
        </w:rPr>
        <w:softHyphen/>
        <w:t>խա</w:t>
      </w:r>
      <w:r w:rsidRPr="007E680E">
        <w:rPr>
          <w:rFonts w:cs="Sylfaen"/>
          <w:b w:val="0"/>
          <w:iCs/>
          <w:szCs w:val="22"/>
          <w:lang w:val="af-ZA" w:eastAsia="en-GB"/>
        </w:rPr>
        <w:softHyphen/>
        <w:t>րարության միջև կնք</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ված «Հաշվի սպա</w:t>
      </w:r>
      <w:r w:rsidRPr="007E680E">
        <w:rPr>
          <w:rFonts w:cs="Sylfaen"/>
          <w:b w:val="0"/>
          <w:iCs/>
          <w:szCs w:val="22"/>
          <w:lang w:val="af-ZA" w:eastAsia="en-GB"/>
        </w:rPr>
        <w:softHyphen/>
        <w:t>սարկման մա</w:t>
      </w:r>
      <w:r w:rsidRPr="007E680E">
        <w:rPr>
          <w:rFonts w:cs="Sylfaen"/>
          <w:b w:val="0"/>
          <w:iCs/>
          <w:szCs w:val="22"/>
          <w:lang w:val="af-ZA" w:eastAsia="en-GB"/>
        </w:rPr>
        <w:softHyphen/>
      </w:r>
      <w:r w:rsidRPr="007E680E">
        <w:rPr>
          <w:rFonts w:cs="Sylfaen"/>
          <w:b w:val="0"/>
          <w:iCs/>
          <w:szCs w:val="22"/>
          <w:lang w:val="af-ZA" w:eastAsia="en-GB"/>
        </w:rPr>
        <w:softHyphen/>
        <w:t>սին» պայ</w:t>
      </w:r>
      <w:r w:rsidRPr="007E680E">
        <w:rPr>
          <w:rFonts w:cs="Sylfaen"/>
          <w:b w:val="0"/>
          <w:iCs/>
          <w:szCs w:val="22"/>
          <w:lang w:val="af-ZA" w:eastAsia="en-GB"/>
        </w:rPr>
        <w:softHyphen/>
        <w:t>մանագրի հիման վրա վճար</w:t>
      </w:r>
      <w:r w:rsidRPr="007E680E">
        <w:rPr>
          <w:rFonts w:cs="Sylfaen"/>
          <w:b w:val="0"/>
          <w:iCs/>
          <w:szCs w:val="22"/>
          <w:lang w:val="af-ZA" w:eastAsia="en-GB"/>
        </w:rPr>
        <w:softHyphen/>
        <w:t>վե</w:t>
      </w:r>
      <w:r w:rsidRPr="007E680E">
        <w:rPr>
          <w:rFonts w:cs="Sylfaen"/>
          <w:b w:val="0"/>
          <w:iCs/>
          <w:szCs w:val="22"/>
          <w:lang w:val="af-ZA" w:eastAsia="en-GB"/>
        </w:rPr>
        <w:softHyphen/>
        <w:t>լիք տո</w:t>
      </w:r>
      <w:r w:rsidRPr="007E680E">
        <w:rPr>
          <w:rFonts w:cs="Sylfaen"/>
          <w:b w:val="0"/>
          <w:iCs/>
          <w:szCs w:val="22"/>
          <w:lang w:val="af-ZA" w:eastAsia="en-GB"/>
        </w:rPr>
        <w:softHyphen/>
        <w:t>կո</w:t>
      </w:r>
      <w:r w:rsidRPr="007E680E">
        <w:rPr>
          <w:rFonts w:cs="Sylfaen"/>
          <w:b w:val="0"/>
          <w:iCs/>
          <w:szCs w:val="22"/>
          <w:lang w:val="af-ZA" w:eastAsia="en-GB"/>
        </w:rPr>
        <w:softHyphen/>
        <w:t>սա</w:t>
      </w:r>
      <w:r w:rsidRPr="007E680E">
        <w:rPr>
          <w:rFonts w:cs="Sylfaen"/>
          <w:b w:val="0"/>
          <w:iCs/>
          <w:szCs w:val="22"/>
          <w:lang w:val="af-ZA" w:eastAsia="en-GB"/>
        </w:rPr>
        <w:softHyphen/>
        <w:t>վճար</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ների:</w:t>
      </w:r>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Իրավաբանական անձանց կապիտալում կատարված ներդրումներից ստացվող շա</w:t>
      </w:r>
      <w:r w:rsidRPr="007E680E">
        <w:rPr>
          <w:rFonts w:cs="Sylfaen"/>
          <w:b w:val="0"/>
          <w:iCs/>
          <w:szCs w:val="22"/>
          <w:lang w:val="af-ZA" w:eastAsia="en-GB"/>
        </w:rPr>
        <w:softHyphen/>
        <w:t>հա</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բա</w:t>
      </w:r>
      <w:r w:rsidRPr="007E680E">
        <w:rPr>
          <w:rFonts w:cs="Sylfaen"/>
          <w:b w:val="0"/>
          <w:iCs/>
          <w:szCs w:val="22"/>
          <w:lang w:val="af-ZA" w:eastAsia="en-GB"/>
        </w:rPr>
        <w:softHyphen/>
        <w:t>ժին</w:t>
      </w:r>
      <w:r w:rsidRPr="007E680E">
        <w:rPr>
          <w:rFonts w:cs="Sylfaen"/>
          <w:b w:val="0"/>
          <w:iCs/>
          <w:szCs w:val="22"/>
          <w:lang w:val="af-ZA" w:eastAsia="en-GB"/>
        </w:rPr>
        <w:softHyphen/>
      </w:r>
      <w:r w:rsidRPr="007E680E">
        <w:rPr>
          <w:rFonts w:cs="Sylfaen"/>
          <w:b w:val="0"/>
          <w:iCs/>
          <w:szCs w:val="22"/>
          <w:lang w:val="af-ZA" w:eastAsia="en-GB"/>
        </w:rPr>
        <w:softHyphen/>
        <w:t>ներից 2021 թվականին ակնկալվում են 1,134.2 մլն դրամի չափով մուտքեր` 2020 թվա</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կա</w:t>
      </w:r>
      <w:r w:rsidRPr="007E680E">
        <w:rPr>
          <w:rFonts w:cs="Sylfaen"/>
          <w:b w:val="0"/>
          <w:iCs/>
          <w:szCs w:val="22"/>
          <w:lang w:val="af-ZA" w:eastAsia="en-GB"/>
        </w:rPr>
        <w:softHyphen/>
      </w:r>
      <w:r w:rsidRPr="007E680E">
        <w:rPr>
          <w:rFonts w:cs="Sylfaen"/>
          <w:b w:val="0"/>
          <w:iCs/>
          <w:szCs w:val="22"/>
          <w:lang w:val="af-ZA" w:eastAsia="en-GB"/>
        </w:rPr>
        <w:softHyphen/>
        <w:t>նի համար ծրագրված 2,008.1 մլն դրամի և 2019 թվա</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կանին փաս</w:t>
      </w:r>
      <w:r w:rsidRPr="007E680E">
        <w:rPr>
          <w:rFonts w:cs="Sylfaen"/>
          <w:b w:val="0"/>
          <w:iCs/>
          <w:szCs w:val="22"/>
          <w:lang w:val="af-ZA" w:eastAsia="en-GB"/>
        </w:rPr>
        <w:softHyphen/>
      </w:r>
      <w:r w:rsidRPr="007E680E">
        <w:rPr>
          <w:rFonts w:cs="Sylfaen"/>
          <w:b w:val="0"/>
          <w:iCs/>
          <w:szCs w:val="22"/>
          <w:lang w:val="af-ZA" w:eastAsia="en-GB"/>
        </w:rPr>
        <w:softHyphen/>
        <w:t>տացի ստացված 2,150.6 մլն դրամի դի</w:t>
      </w:r>
      <w:r w:rsidRPr="007E680E">
        <w:rPr>
          <w:rFonts w:cs="Sylfaen"/>
          <w:b w:val="0"/>
          <w:iCs/>
          <w:szCs w:val="22"/>
          <w:lang w:val="af-ZA" w:eastAsia="en-GB"/>
        </w:rPr>
        <w:softHyphen/>
        <w:t>մաց: Շահաբաժինների գծով 2021 թվա</w:t>
      </w:r>
      <w:r w:rsidRPr="007E680E">
        <w:rPr>
          <w:rFonts w:cs="Sylfaen"/>
          <w:b w:val="0"/>
          <w:iCs/>
          <w:szCs w:val="22"/>
          <w:lang w:val="af-ZA" w:eastAsia="en-GB"/>
        </w:rPr>
        <w:softHyphen/>
        <w:t>կանի կանխատեսվող մուտքերը ծրագ</w:t>
      </w:r>
      <w:r w:rsidRPr="007E680E">
        <w:rPr>
          <w:rFonts w:cs="Sylfaen"/>
          <w:b w:val="0"/>
          <w:iCs/>
          <w:szCs w:val="22"/>
          <w:lang w:val="af-ZA" w:eastAsia="en-GB"/>
        </w:rPr>
        <w:softHyphen/>
        <w:t>րե</w:t>
      </w:r>
      <w:r w:rsidRPr="007E680E">
        <w:rPr>
          <w:rFonts w:cs="Sylfaen"/>
          <w:b w:val="0"/>
          <w:iCs/>
          <w:szCs w:val="22"/>
          <w:lang w:val="af-ZA" w:eastAsia="en-GB"/>
        </w:rPr>
        <w:softHyphen/>
        <w:t>լիս հաշվի է առնվել ՀՀ կառավարության 2011 թվա</w:t>
      </w:r>
      <w:r w:rsidRPr="007E680E">
        <w:rPr>
          <w:rFonts w:cs="Sylfaen"/>
          <w:b w:val="0"/>
          <w:iCs/>
          <w:szCs w:val="22"/>
          <w:lang w:val="af-ZA" w:eastAsia="en-GB"/>
        </w:rPr>
        <w:softHyphen/>
        <w:t>կանի մարտի 3-ի «Պետության սե</w:t>
      </w:r>
      <w:r w:rsidRPr="007E680E">
        <w:rPr>
          <w:rFonts w:cs="Sylfaen"/>
          <w:b w:val="0"/>
          <w:iCs/>
          <w:szCs w:val="22"/>
          <w:lang w:val="af-ZA" w:eastAsia="en-GB"/>
        </w:rPr>
        <w:softHyphen/>
        <w:t>փա</w:t>
      </w:r>
      <w:r w:rsidRPr="007E680E">
        <w:rPr>
          <w:rFonts w:cs="Sylfaen"/>
          <w:b w:val="0"/>
          <w:iCs/>
          <w:szCs w:val="22"/>
          <w:lang w:val="af-ZA" w:eastAsia="en-GB"/>
        </w:rPr>
        <w:softHyphen/>
        <w:t>կա</w:t>
      </w:r>
      <w:r w:rsidRPr="007E680E">
        <w:rPr>
          <w:rFonts w:cs="Sylfaen"/>
          <w:b w:val="0"/>
          <w:iCs/>
          <w:szCs w:val="22"/>
          <w:lang w:val="af-ZA" w:eastAsia="en-GB"/>
        </w:rPr>
        <w:softHyphen/>
        <w:t>նու</w:t>
      </w:r>
      <w:r w:rsidRPr="007E680E">
        <w:rPr>
          <w:rFonts w:cs="Sylfaen"/>
          <w:b w:val="0"/>
          <w:iCs/>
          <w:szCs w:val="22"/>
          <w:lang w:val="af-ZA" w:eastAsia="en-GB"/>
        </w:rPr>
        <w:softHyphen/>
        <w:t>թյուն հան</w:t>
      </w:r>
      <w:r w:rsidRPr="007E680E">
        <w:rPr>
          <w:rFonts w:cs="Sylfaen"/>
          <w:b w:val="0"/>
          <w:iCs/>
          <w:szCs w:val="22"/>
          <w:lang w:val="af-ZA" w:eastAsia="en-GB"/>
        </w:rPr>
        <w:softHyphen/>
      </w:r>
      <w:r w:rsidRPr="007E680E">
        <w:rPr>
          <w:rFonts w:cs="Sylfaen"/>
          <w:b w:val="0"/>
          <w:iCs/>
          <w:szCs w:val="22"/>
          <w:lang w:val="af-ZA" w:eastAsia="en-GB"/>
        </w:rPr>
        <w:softHyphen/>
        <w:t>դի</w:t>
      </w:r>
      <w:r w:rsidRPr="007E680E">
        <w:rPr>
          <w:rFonts w:cs="Sylfaen"/>
          <w:b w:val="0"/>
          <w:iCs/>
          <w:szCs w:val="22"/>
          <w:lang w:val="af-ZA" w:eastAsia="en-GB"/>
        </w:rPr>
        <w:softHyphen/>
        <w:t>սա</w:t>
      </w:r>
      <w:r w:rsidRPr="007E680E">
        <w:rPr>
          <w:rFonts w:cs="Sylfaen"/>
          <w:b w:val="0"/>
          <w:iCs/>
          <w:szCs w:val="22"/>
          <w:lang w:val="af-ZA" w:eastAsia="en-GB"/>
        </w:rPr>
        <w:softHyphen/>
        <w:t>ցող բաժնեմաս ունեցող առևտրային կազմակերպությունների շահույթի բաշխման, շա</w:t>
      </w:r>
      <w:r w:rsidRPr="007E680E">
        <w:rPr>
          <w:rFonts w:cs="Sylfaen"/>
          <w:b w:val="0"/>
          <w:iCs/>
          <w:szCs w:val="22"/>
          <w:lang w:val="af-ZA" w:eastAsia="en-GB"/>
        </w:rPr>
        <w:softHyphen/>
      </w:r>
      <w:r w:rsidRPr="007E680E">
        <w:rPr>
          <w:rFonts w:cs="Sylfaen"/>
          <w:b w:val="0"/>
          <w:iCs/>
          <w:szCs w:val="22"/>
          <w:lang w:val="af-ZA" w:eastAsia="en-GB"/>
        </w:rPr>
        <w:softHyphen/>
        <w:t>հու</w:t>
      </w:r>
      <w:r w:rsidRPr="007E680E">
        <w:rPr>
          <w:rFonts w:cs="Sylfaen"/>
          <w:b w:val="0"/>
          <w:iCs/>
          <w:szCs w:val="22"/>
          <w:lang w:val="af-ZA" w:eastAsia="en-GB"/>
        </w:rPr>
        <w:softHyphen/>
        <w:t>թա</w:t>
      </w:r>
      <w:r w:rsidRPr="007E680E">
        <w:rPr>
          <w:rFonts w:cs="Sylfaen"/>
          <w:b w:val="0"/>
          <w:iCs/>
          <w:szCs w:val="22"/>
          <w:lang w:val="af-ZA" w:eastAsia="en-GB"/>
        </w:rPr>
        <w:softHyphen/>
        <w:t>բա</w:t>
      </w:r>
      <w:r w:rsidRPr="007E680E">
        <w:rPr>
          <w:rFonts w:cs="Sylfaen"/>
          <w:b w:val="0"/>
          <w:iCs/>
          <w:szCs w:val="22"/>
          <w:lang w:val="af-ZA" w:eastAsia="en-GB"/>
        </w:rPr>
        <w:softHyphen/>
        <w:t>ժին</w:t>
      </w:r>
      <w:r w:rsidRPr="007E680E">
        <w:rPr>
          <w:rFonts w:cs="Sylfaen"/>
          <w:b w:val="0"/>
          <w:iCs/>
          <w:szCs w:val="22"/>
          <w:lang w:val="af-ZA" w:eastAsia="en-GB"/>
        </w:rPr>
        <w:softHyphen/>
      </w:r>
      <w:r w:rsidRPr="007E680E">
        <w:rPr>
          <w:rFonts w:cs="Sylfaen"/>
          <w:b w:val="0"/>
          <w:iCs/>
          <w:szCs w:val="22"/>
          <w:lang w:val="af-ZA" w:eastAsia="en-GB"/>
        </w:rPr>
        <w:softHyphen/>
        <w:t>նե</w:t>
      </w:r>
      <w:r w:rsidRPr="007E680E">
        <w:rPr>
          <w:rFonts w:cs="Sylfaen"/>
          <w:b w:val="0"/>
          <w:iCs/>
          <w:szCs w:val="22"/>
          <w:lang w:val="af-ZA" w:eastAsia="en-GB"/>
        </w:rPr>
        <w:softHyphen/>
        <w:t>րի հաշ</w:t>
      </w:r>
      <w:r w:rsidRPr="007E680E">
        <w:rPr>
          <w:rFonts w:cs="Sylfaen"/>
          <w:b w:val="0"/>
          <w:iCs/>
          <w:szCs w:val="22"/>
          <w:lang w:val="af-ZA" w:eastAsia="en-GB"/>
        </w:rPr>
        <w:softHyphen/>
        <w:t>վարկ</w:t>
      </w:r>
      <w:r w:rsidRPr="007E680E">
        <w:rPr>
          <w:rFonts w:cs="Sylfaen"/>
          <w:b w:val="0"/>
          <w:iCs/>
          <w:szCs w:val="22"/>
          <w:lang w:val="af-ZA" w:eastAsia="en-GB"/>
        </w:rPr>
        <w:softHyphen/>
        <w:t>ման և Հայաստանի Հան</w:t>
      </w:r>
      <w:r w:rsidRPr="007E680E">
        <w:rPr>
          <w:rFonts w:cs="Sylfaen"/>
          <w:b w:val="0"/>
          <w:iCs/>
          <w:szCs w:val="22"/>
          <w:lang w:val="af-ZA" w:eastAsia="en-GB"/>
        </w:rPr>
        <w:softHyphen/>
      </w:r>
      <w:r w:rsidRPr="007E680E">
        <w:rPr>
          <w:rFonts w:cs="Sylfaen"/>
          <w:b w:val="0"/>
          <w:iCs/>
          <w:szCs w:val="22"/>
          <w:lang w:val="af-ZA" w:eastAsia="en-GB"/>
        </w:rPr>
        <w:softHyphen/>
        <w:t>րա</w:t>
      </w:r>
      <w:r w:rsidRPr="007E680E">
        <w:rPr>
          <w:rFonts w:cs="Sylfaen"/>
          <w:b w:val="0"/>
          <w:iCs/>
          <w:szCs w:val="22"/>
          <w:lang w:val="af-ZA" w:eastAsia="en-GB"/>
        </w:rPr>
        <w:softHyphen/>
      </w:r>
      <w:r w:rsidRPr="007E680E">
        <w:rPr>
          <w:rFonts w:cs="Sylfaen"/>
          <w:b w:val="0"/>
          <w:iCs/>
          <w:szCs w:val="22"/>
          <w:lang w:val="af-ZA" w:eastAsia="en-GB"/>
        </w:rPr>
        <w:softHyphen/>
        <w:t>պե</w:t>
      </w:r>
      <w:r w:rsidRPr="007E680E">
        <w:rPr>
          <w:rFonts w:cs="Sylfaen"/>
          <w:b w:val="0"/>
          <w:iCs/>
          <w:szCs w:val="22"/>
          <w:lang w:val="af-ZA" w:eastAsia="en-GB"/>
        </w:rPr>
        <w:softHyphen/>
        <w:t>տու</w:t>
      </w:r>
      <w:r w:rsidRPr="007E680E">
        <w:rPr>
          <w:rFonts w:cs="Sylfaen"/>
          <w:b w:val="0"/>
          <w:iCs/>
          <w:szCs w:val="22"/>
          <w:lang w:val="af-ZA" w:eastAsia="en-GB"/>
        </w:rPr>
        <w:softHyphen/>
        <w:t>թյան պետական բյուջե վճար</w:t>
      </w:r>
      <w:r w:rsidRPr="007E680E">
        <w:rPr>
          <w:rFonts w:cs="Sylfaen"/>
          <w:b w:val="0"/>
          <w:iCs/>
          <w:szCs w:val="22"/>
          <w:lang w:val="af-ZA" w:eastAsia="en-GB"/>
        </w:rPr>
        <w:softHyphen/>
        <w:t>ման կար</w:t>
      </w:r>
      <w:r w:rsidRPr="007E680E">
        <w:rPr>
          <w:rFonts w:cs="Sylfaen"/>
          <w:b w:val="0"/>
          <w:iCs/>
          <w:szCs w:val="22"/>
          <w:lang w:val="af-ZA" w:eastAsia="en-GB"/>
        </w:rPr>
        <w:softHyphen/>
        <w:t>գը հաս</w:t>
      </w:r>
      <w:r w:rsidRPr="007E680E">
        <w:rPr>
          <w:rFonts w:cs="Sylfaen"/>
          <w:b w:val="0"/>
          <w:iCs/>
          <w:szCs w:val="22"/>
          <w:lang w:val="af-ZA" w:eastAsia="en-GB"/>
        </w:rPr>
        <w:softHyphen/>
      </w:r>
      <w:r w:rsidRPr="007E680E">
        <w:rPr>
          <w:rFonts w:cs="Sylfaen"/>
          <w:b w:val="0"/>
          <w:iCs/>
          <w:szCs w:val="22"/>
          <w:lang w:val="af-ZA" w:eastAsia="en-GB"/>
        </w:rPr>
        <w:softHyphen/>
        <w:t>տա</w:t>
      </w:r>
      <w:r w:rsidRPr="007E680E">
        <w:rPr>
          <w:rFonts w:cs="Sylfaen"/>
          <w:b w:val="0"/>
          <w:iCs/>
          <w:szCs w:val="22"/>
          <w:lang w:val="af-ZA" w:eastAsia="en-GB"/>
        </w:rPr>
        <w:softHyphen/>
        <w:t>տելու և Հա</w:t>
      </w:r>
      <w:r w:rsidRPr="007E680E">
        <w:rPr>
          <w:rFonts w:cs="Sylfaen"/>
          <w:b w:val="0"/>
          <w:iCs/>
          <w:szCs w:val="22"/>
          <w:lang w:val="af-ZA" w:eastAsia="en-GB"/>
        </w:rPr>
        <w:softHyphen/>
        <w:t>յաստանի Հան</w:t>
      </w:r>
      <w:r w:rsidRPr="007E680E">
        <w:rPr>
          <w:rFonts w:cs="Sylfaen"/>
          <w:b w:val="0"/>
          <w:iCs/>
          <w:szCs w:val="22"/>
          <w:lang w:val="af-ZA" w:eastAsia="en-GB"/>
        </w:rPr>
        <w:softHyphen/>
      </w:r>
      <w:r w:rsidRPr="007E680E">
        <w:rPr>
          <w:rFonts w:cs="Sylfaen"/>
          <w:b w:val="0"/>
          <w:iCs/>
          <w:szCs w:val="22"/>
          <w:lang w:val="af-ZA" w:eastAsia="en-GB"/>
        </w:rPr>
        <w:softHyphen/>
        <w:t>րա</w:t>
      </w:r>
      <w:r w:rsidRPr="007E680E">
        <w:rPr>
          <w:rFonts w:cs="Sylfaen"/>
          <w:b w:val="0"/>
          <w:iCs/>
          <w:szCs w:val="22"/>
          <w:lang w:val="af-ZA" w:eastAsia="en-GB"/>
        </w:rPr>
        <w:softHyphen/>
      </w:r>
      <w:r w:rsidRPr="007E680E">
        <w:rPr>
          <w:rFonts w:cs="Sylfaen"/>
          <w:b w:val="0"/>
          <w:iCs/>
          <w:szCs w:val="22"/>
          <w:lang w:val="af-ZA" w:eastAsia="en-GB"/>
        </w:rPr>
        <w:softHyphen/>
        <w:t>պե</w:t>
      </w:r>
      <w:r w:rsidRPr="007E680E">
        <w:rPr>
          <w:rFonts w:cs="Sylfaen"/>
          <w:b w:val="0"/>
          <w:iCs/>
          <w:szCs w:val="22"/>
          <w:lang w:val="af-ZA" w:eastAsia="en-GB"/>
        </w:rPr>
        <w:softHyphen/>
        <w:t>տու</w:t>
      </w:r>
      <w:r w:rsidRPr="007E680E">
        <w:rPr>
          <w:rFonts w:cs="Sylfaen"/>
          <w:b w:val="0"/>
          <w:iCs/>
          <w:szCs w:val="22"/>
          <w:lang w:val="af-ZA" w:eastAsia="en-GB"/>
        </w:rPr>
        <w:softHyphen/>
        <w:t>թյան կառավարության 2001 թվա</w:t>
      </w:r>
      <w:r w:rsidRPr="007E680E">
        <w:rPr>
          <w:rFonts w:cs="Sylfaen"/>
          <w:b w:val="0"/>
          <w:iCs/>
          <w:szCs w:val="22"/>
          <w:lang w:val="af-ZA" w:eastAsia="en-GB"/>
        </w:rPr>
        <w:softHyphen/>
        <w:t>կա</w:t>
      </w:r>
      <w:r w:rsidRPr="007E680E">
        <w:rPr>
          <w:rFonts w:cs="Sylfaen"/>
          <w:b w:val="0"/>
          <w:iCs/>
          <w:szCs w:val="22"/>
          <w:lang w:val="af-ZA" w:eastAsia="en-GB"/>
        </w:rPr>
        <w:softHyphen/>
        <w:t>նի դեկ</w:t>
      </w:r>
      <w:r w:rsidRPr="007E680E">
        <w:rPr>
          <w:rFonts w:cs="Sylfaen"/>
          <w:b w:val="0"/>
          <w:iCs/>
          <w:szCs w:val="22"/>
          <w:lang w:val="af-ZA" w:eastAsia="en-GB"/>
        </w:rPr>
        <w:softHyphen/>
        <w:t>տեմ</w:t>
      </w:r>
      <w:r w:rsidRPr="007E680E">
        <w:rPr>
          <w:rFonts w:cs="Sylfaen"/>
          <w:b w:val="0"/>
          <w:iCs/>
          <w:szCs w:val="22"/>
          <w:lang w:val="af-ZA" w:eastAsia="en-GB"/>
        </w:rPr>
        <w:softHyphen/>
        <w:t>բերի 5-ի N 1194 որոշ</w:t>
      </w:r>
      <w:r w:rsidRPr="007E680E">
        <w:rPr>
          <w:rFonts w:cs="Sylfaen"/>
          <w:b w:val="0"/>
          <w:iCs/>
          <w:szCs w:val="22"/>
          <w:lang w:val="af-ZA" w:eastAsia="en-GB"/>
        </w:rPr>
        <w:softHyphen/>
        <w:t>ման մեջ փոփոխություն կատարելու մասին» N 202-Ն որոշ</w:t>
      </w:r>
      <w:r w:rsidRPr="007E680E">
        <w:rPr>
          <w:rFonts w:cs="Sylfaen"/>
          <w:b w:val="0"/>
          <w:iCs/>
          <w:szCs w:val="22"/>
          <w:lang w:val="af-ZA" w:eastAsia="en-GB"/>
        </w:rPr>
        <w:softHyphen/>
        <w:t>մամբ հաս</w:t>
      </w:r>
      <w:r w:rsidRPr="007E680E">
        <w:rPr>
          <w:rFonts w:cs="Sylfaen"/>
          <w:b w:val="0"/>
          <w:iCs/>
          <w:szCs w:val="22"/>
          <w:lang w:val="af-ZA" w:eastAsia="en-GB"/>
        </w:rPr>
        <w:softHyphen/>
        <w:t>տատ</w:t>
      </w:r>
      <w:r w:rsidRPr="007E680E">
        <w:rPr>
          <w:rFonts w:cs="Sylfaen"/>
          <w:b w:val="0"/>
          <w:iCs/>
          <w:szCs w:val="22"/>
          <w:lang w:val="af-ZA" w:eastAsia="en-GB"/>
        </w:rPr>
        <w:softHyphen/>
        <w:t>ված կար</w:t>
      </w:r>
      <w:r w:rsidRPr="007E680E">
        <w:rPr>
          <w:rFonts w:cs="Sylfaen"/>
          <w:b w:val="0"/>
          <w:iCs/>
          <w:szCs w:val="22"/>
          <w:lang w:val="af-ZA" w:eastAsia="en-GB"/>
        </w:rPr>
        <w:softHyphen/>
        <w:t>գի համաձայն պե</w:t>
      </w:r>
      <w:r w:rsidRPr="007E680E">
        <w:rPr>
          <w:rFonts w:cs="Sylfaen"/>
          <w:b w:val="0"/>
          <w:iCs/>
          <w:szCs w:val="22"/>
          <w:lang w:val="af-ZA" w:eastAsia="en-GB"/>
        </w:rPr>
        <w:softHyphen/>
        <w:t>տա</w:t>
      </w:r>
      <w:r w:rsidRPr="007E680E">
        <w:rPr>
          <w:rFonts w:cs="Sylfaen"/>
          <w:b w:val="0"/>
          <w:iCs/>
          <w:szCs w:val="22"/>
          <w:lang w:val="af-ZA" w:eastAsia="en-GB"/>
        </w:rPr>
        <w:softHyphen/>
        <w:t>կան մաս</w:t>
      </w:r>
      <w:r w:rsidRPr="007E680E">
        <w:rPr>
          <w:rFonts w:cs="Sylfaen"/>
          <w:b w:val="0"/>
          <w:iCs/>
          <w:szCs w:val="22"/>
          <w:lang w:val="af-ZA" w:eastAsia="en-GB"/>
        </w:rPr>
        <w:softHyphen/>
      </w:r>
      <w:r w:rsidRPr="007E680E">
        <w:rPr>
          <w:rFonts w:cs="Sylfaen"/>
          <w:b w:val="0"/>
          <w:iCs/>
          <w:szCs w:val="22"/>
          <w:lang w:val="af-ZA" w:eastAsia="en-GB"/>
        </w:rPr>
        <w:softHyphen/>
        <w:t>նակ</w:t>
      </w:r>
      <w:r w:rsidRPr="007E680E">
        <w:rPr>
          <w:rFonts w:cs="Sylfaen"/>
          <w:b w:val="0"/>
          <w:iCs/>
          <w:szCs w:val="22"/>
          <w:lang w:val="af-ZA" w:eastAsia="en-GB"/>
        </w:rPr>
        <w:softHyphen/>
        <w:t>ցու</w:t>
      </w:r>
      <w:r w:rsidRPr="007E680E">
        <w:rPr>
          <w:rFonts w:cs="Sylfaen"/>
          <w:b w:val="0"/>
          <w:iCs/>
          <w:szCs w:val="22"/>
          <w:lang w:val="af-ZA" w:eastAsia="en-GB"/>
        </w:rPr>
        <w:softHyphen/>
        <w:t>թյան դիմաց պե</w:t>
      </w:r>
      <w:r w:rsidRPr="007E680E">
        <w:rPr>
          <w:rFonts w:cs="Sylfaen"/>
          <w:b w:val="0"/>
          <w:iCs/>
          <w:szCs w:val="22"/>
          <w:lang w:val="af-ZA" w:eastAsia="en-GB"/>
        </w:rPr>
        <w:softHyphen/>
        <w:t>տա</w:t>
      </w:r>
      <w:r w:rsidRPr="007E680E">
        <w:rPr>
          <w:rFonts w:cs="Sylfaen"/>
          <w:b w:val="0"/>
          <w:iCs/>
          <w:szCs w:val="22"/>
          <w:lang w:val="af-ZA" w:eastAsia="en-GB"/>
        </w:rPr>
        <w:softHyphen/>
        <w:t>կան բյու</w:t>
      </w:r>
      <w:r w:rsidRPr="007E680E">
        <w:rPr>
          <w:rFonts w:cs="Sylfaen"/>
          <w:b w:val="0"/>
          <w:iCs/>
          <w:szCs w:val="22"/>
          <w:lang w:val="af-ZA" w:eastAsia="en-GB"/>
        </w:rPr>
        <w:softHyphen/>
        <w:t>ջե վճարման են</w:t>
      </w:r>
      <w:r w:rsidRPr="007E680E">
        <w:rPr>
          <w:rFonts w:cs="Sylfaen"/>
          <w:b w:val="0"/>
          <w:iCs/>
          <w:szCs w:val="22"/>
          <w:lang w:val="af-ZA" w:eastAsia="en-GB"/>
        </w:rPr>
        <w:softHyphen/>
        <w:t>թա</w:t>
      </w:r>
      <w:r w:rsidRPr="007E680E">
        <w:rPr>
          <w:rFonts w:cs="Sylfaen"/>
          <w:b w:val="0"/>
          <w:iCs/>
          <w:szCs w:val="22"/>
          <w:lang w:val="af-ZA" w:eastAsia="en-GB"/>
        </w:rPr>
        <w:softHyphen/>
        <w:t>կա տա</w:t>
      </w:r>
      <w:r w:rsidRPr="007E680E">
        <w:rPr>
          <w:rFonts w:cs="Sylfaen"/>
          <w:b w:val="0"/>
          <w:iCs/>
          <w:szCs w:val="22"/>
          <w:lang w:val="af-ZA" w:eastAsia="en-GB"/>
        </w:rPr>
        <w:softHyphen/>
        <w:t>րե</w:t>
      </w:r>
      <w:r w:rsidRPr="007E680E">
        <w:rPr>
          <w:rFonts w:cs="Sylfaen"/>
          <w:b w:val="0"/>
          <w:iCs/>
          <w:szCs w:val="22"/>
          <w:lang w:val="af-ZA" w:eastAsia="en-GB"/>
        </w:rPr>
        <w:softHyphen/>
        <w:t>կան շահութաբաժինների հաշվարկման բազայի 50%</w:t>
      </w:r>
      <w:r w:rsidRPr="007E680E">
        <w:rPr>
          <w:rFonts w:cs="Sylfaen"/>
          <w:b w:val="0"/>
          <w:iCs/>
          <w:szCs w:val="22"/>
          <w:lang w:val="af-ZA" w:eastAsia="en-GB"/>
        </w:rPr>
        <w:noBreakHyphen/>
        <w:t>ի չա</w:t>
      </w:r>
      <w:r w:rsidRPr="007E680E">
        <w:rPr>
          <w:rFonts w:cs="Sylfaen"/>
          <w:b w:val="0"/>
          <w:iCs/>
          <w:szCs w:val="22"/>
          <w:lang w:val="af-ZA" w:eastAsia="en-GB"/>
        </w:rPr>
        <w:softHyphen/>
        <w:t>փով պետական բյուջե կա</w:t>
      </w:r>
      <w:r w:rsidRPr="007E680E">
        <w:rPr>
          <w:rFonts w:cs="Sylfaen"/>
          <w:b w:val="0"/>
          <w:iCs/>
          <w:szCs w:val="22"/>
          <w:lang w:val="af-ZA" w:eastAsia="en-GB"/>
        </w:rPr>
        <w:softHyphen/>
        <w:t>տար</w:t>
      </w:r>
      <w:r w:rsidRPr="007E680E">
        <w:rPr>
          <w:rFonts w:cs="Sylfaen"/>
          <w:b w:val="0"/>
          <w:iCs/>
          <w:szCs w:val="22"/>
          <w:lang w:val="af-ZA" w:eastAsia="en-GB"/>
        </w:rPr>
        <w:softHyphen/>
      </w:r>
      <w:r w:rsidRPr="007E680E">
        <w:rPr>
          <w:rFonts w:cs="Sylfaen"/>
          <w:b w:val="0"/>
          <w:iCs/>
          <w:szCs w:val="22"/>
          <w:lang w:val="af-ZA" w:eastAsia="en-GB"/>
        </w:rPr>
        <w:softHyphen/>
        <w:t>վե</w:t>
      </w:r>
      <w:r w:rsidRPr="007E680E">
        <w:rPr>
          <w:rFonts w:cs="Sylfaen"/>
          <w:b w:val="0"/>
          <w:iCs/>
          <w:szCs w:val="22"/>
          <w:lang w:val="af-ZA" w:eastAsia="en-GB"/>
        </w:rPr>
        <w:softHyphen/>
        <w:t>լիք մաս</w:t>
      </w:r>
      <w:r w:rsidRPr="007E680E">
        <w:rPr>
          <w:rFonts w:cs="Sylfaen"/>
          <w:b w:val="0"/>
          <w:iCs/>
          <w:szCs w:val="22"/>
          <w:lang w:val="af-ZA" w:eastAsia="en-GB"/>
        </w:rPr>
        <w:softHyphen/>
        <w:t>հանումների սահմանումը:</w:t>
      </w:r>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Պետության կողմից տրված վարկերի օգտագործման դիմաց տոկոսավճարները 2021 թվ</w:t>
      </w:r>
      <w:r w:rsidR="00025BE2">
        <w:rPr>
          <w:rFonts w:cs="Sylfaen"/>
          <w:b w:val="0"/>
          <w:iCs/>
          <w:szCs w:val="22"/>
          <w:lang w:val="af-ZA" w:eastAsia="en-GB"/>
        </w:rPr>
        <w:t>ա</w:t>
      </w:r>
      <w:r w:rsidR="00025BE2">
        <w:rPr>
          <w:rFonts w:cs="Sylfaen"/>
          <w:b w:val="0"/>
          <w:iCs/>
          <w:szCs w:val="22"/>
          <w:lang w:val="af-ZA" w:eastAsia="en-GB"/>
        </w:rPr>
        <w:softHyphen/>
      </w:r>
      <w:r w:rsidR="00025BE2">
        <w:rPr>
          <w:rFonts w:cs="Sylfaen"/>
          <w:b w:val="0"/>
          <w:iCs/>
          <w:szCs w:val="22"/>
          <w:lang w:val="af-ZA" w:eastAsia="en-GB"/>
        </w:rPr>
        <w:softHyphen/>
      </w:r>
      <w:r w:rsidR="00025BE2">
        <w:rPr>
          <w:rFonts w:cs="Sylfaen"/>
          <w:b w:val="0"/>
          <w:iCs/>
          <w:szCs w:val="22"/>
          <w:lang w:val="af-ZA" w:eastAsia="en-GB"/>
        </w:rPr>
        <w:softHyphen/>
        <w:t>կանին կանխատեսվում են 14,175.1</w:t>
      </w:r>
      <w:r w:rsidRPr="007E680E">
        <w:rPr>
          <w:rFonts w:cs="Sylfaen"/>
          <w:b w:val="0"/>
          <w:iCs/>
          <w:szCs w:val="22"/>
          <w:lang w:val="af-ZA" w:eastAsia="en-GB"/>
        </w:rPr>
        <w:t xml:space="preserve"> մլն դրամի չափով: Մասնավորապես.</w:t>
      </w:r>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ՀՀ ռեզիդենտներին տրամադրված վարկերի օգտագործումից 2021 թվականի</w:t>
      </w:r>
      <w:r w:rsidR="00025BE2">
        <w:rPr>
          <w:rFonts w:cs="Sylfaen"/>
          <w:b w:val="0"/>
          <w:iCs/>
          <w:szCs w:val="22"/>
          <w:lang w:val="af-ZA" w:eastAsia="en-GB"/>
        </w:rPr>
        <w:t>ն ակն</w:t>
      </w:r>
      <w:r w:rsidR="00025BE2">
        <w:rPr>
          <w:rFonts w:cs="Sylfaen"/>
          <w:b w:val="0"/>
          <w:iCs/>
          <w:szCs w:val="22"/>
          <w:lang w:val="af-ZA" w:eastAsia="en-GB"/>
        </w:rPr>
        <w:softHyphen/>
        <w:t>կալ</w:t>
      </w:r>
      <w:r w:rsidR="00025BE2">
        <w:rPr>
          <w:rFonts w:cs="Sylfaen"/>
          <w:b w:val="0"/>
          <w:iCs/>
          <w:szCs w:val="22"/>
          <w:lang w:val="af-ZA" w:eastAsia="en-GB"/>
        </w:rPr>
        <w:softHyphen/>
        <w:t>վում է ստանալ 14,099.4</w:t>
      </w:r>
      <w:r w:rsidRPr="007E680E">
        <w:rPr>
          <w:rFonts w:cs="Sylfaen"/>
          <w:b w:val="0"/>
          <w:iCs/>
          <w:szCs w:val="22"/>
          <w:lang w:val="af-ZA" w:eastAsia="en-GB"/>
        </w:rPr>
        <w:t xml:space="preserve"> մլն դրամ՝ 2020 թվա</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կա</w:t>
      </w:r>
      <w:r w:rsidRPr="007E680E">
        <w:rPr>
          <w:rFonts w:cs="Sylfaen"/>
          <w:b w:val="0"/>
          <w:iCs/>
          <w:szCs w:val="22"/>
          <w:lang w:val="af-ZA" w:eastAsia="en-GB"/>
        </w:rPr>
        <w:softHyphen/>
      </w:r>
      <w:r w:rsidRPr="007E680E">
        <w:rPr>
          <w:rFonts w:cs="Sylfaen"/>
          <w:b w:val="0"/>
          <w:iCs/>
          <w:szCs w:val="22"/>
          <w:lang w:val="af-ZA" w:eastAsia="en-GB"/>
        </w:rPr>
        <w:softHyphen/>
        <w:t>նի համար ծրագրված 10,151.2 մլն դրամի և 2019 թվա</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կանին փաս</w:t>
      </w:r>
      <w:r w:rsidRPr="007E680E">
        <w:rPr>
          <w:rFonts w:cs="Sylfaen"/>
          <w:b w:val="0"/>
          <w:iCs/>
          <w:szCs w:val="22"/>
          <w:lang w:val="af-ZA" w:eastAsia="en-GB"/>
        </w:rPr>
        <w:softHyphen/>
      </w:r>
      <w:r w:rsidRPr="007E680E">
        <w:rPr>
          <w:rFonts w:cs="Sylfaen"/>
          <w:b w:val="0"/>
          <w:iCs/>
          <w:szCs w:val="22"/>
          <w:lang w:val="af-ZA" w:eastAsia="en-GB"/>
        </w:rPr>
        <w:softHyphen/>
        <w:t>տացի ստացված 9,833.4 մլն դրամի դի</w:t>
      </w:r>
      <w:r w:rsidRPr="007E680E">
        <w:rPr>
          <w:rFonts w:cs="Sylfaen"/>
          <w:b w:val="0"/>
          <w:iCs/>
          <w:szCs w:val="22"/>
          <w:lang w:val="af-ZA" w:eastAsia="en-GB"/>
        </w:rPr>
        <w:softHyphen/>
        <w:t>մաց: Այն ծրագրվել է` հաշվի առնելով հա</w:t>
      </w:r>
      <w:r w:rsidRPr="007E680E">
        <w:rPr>
          <w:rFonts w:cs="Sylfaen"/>
          <w:b w:val="0"/>
          <w:iCs/>
          <w:szCs w:val="22"/>
          <w:lang w:val="af-ZA" w:eastAsia="en-GB"/>
        </w:rPr>
        <w:softHyphen/>
        <w:t>մա</w:t>
      </w:r>
      <w:r w:rsidRPr="007E680E">
        <w:rPr>
          <w:rFonts w:cs="Sylfaen"/>
          <w:b w:val="0"/>
          <w:iCs/>
          <w:szCs w:val="22"/>
          <w:lang w:val="af-ZA" w:eastAsia="en-GB"/>
        </w:rPr>
        <w:softHyphen/>
      </w:r>
      <w:r w:rsidRPr="007E680E">
        <w:rPr>
          <w:rFonts w:cs="Sylfaen"/>
          <w:b w:val="0"/>
          <w:iCs/>
          <w:szCs w:val="22"/>
          <w:lang w:val="af-ZA" w:eastAsia="en-GB"/>
        </w:rPr>
        <w:softHyphen/>
        <w:t>պա</w:t>
      </w:r>
      <w:r w:rsidRPr="007E680E">
        <w:rPr>
          <w:rFonts w:cs="Sylfaen"/>
          <w:b w:val="0"/>
          <w:iCs/>
          <w:szCs w:val="22"/>
          <w:lang w:val="af-ZA" w:eastAsia="en-GB"/>
        </w:rPr>
        <w:softHyphen/>
        <w:t>տաս</w:t>
      </w:r>
      <w:r w:rsidRPr="007E680E">
        <w:rPr>
          <w:rFonts w:cs="Sylfaen"/>
          <w:b w:val="0"/>
          <w:iCs/>
          <w:szCs w:val="22"/>
          <w:lang w:val="af-ZA" w:eastAsia="en-GB"/>
        </w:rPr>
        <w:softHyphen/>
        <w:t>խան պայ</w:t>
      </w:r>
      <w:r w:rsidRPr="007E680E">
        <w:rPr>
          <w:rFonts w:cs="Sylfaen"/>
          <w:b w:val="0"/>
          <w:iCs/>
          <w:szCs w:val="22"/>
          <w:lang w:val="af-ZA" w:eastAsia="en-GB"/>
        </w:rPr>
        <w:softHyphen/>
      </w:r>
      <w:r w:rsidRPr="007E680E">
        <w:rPr>
          <w:rFonts w:cs="Sylfaen"/>
          <w:b w:val="0"/>
          <w:iCs/>
          <w:szCs w:val="22"/>
          <w:lang w:val="af-ZA" w:eastAsia="en-GB"/>
        </w:rPr>
        <w:softHyphen/>
        <w:t>մա</w:t>
      </w:r>
      <w:r w:rsidRPr="007E680E">
        <w:rPr>
          <w:rFonts w:cs="Sylfaen"/>
          <w:b w:val="0"/>
          <w:iCs/>
          <w:szCs w:val="22"/>
          <w:lang w:val="af-ZA" w:eastAsia="en-GB"/>
        </w:rPr>
        <w:softHyphen/>
        <w:t>նա</w:t>
      </w:r>
      <w:r w:rsidRPr="007E680E">
        <w:rPr>
          <w:rFonts w:cs="Sylfaen"/>
          <w:b w:val="0"/>
          <w:iCs/>
          <w:szCs w:val="22"/>
          <w:lang w:val="af-ZA" w:eastAsia="en-GB"/>
        </w:rPr>
        <w:softHyphen/>
        <w:t>գրերով նախատեսված դրույթները: Մաս</w:t>
      </w:r>
      <w:r w:rsidRPr="007E680E">
        <w:rPr>
          <w:rFonts w:cs="Sylfaen"/>
          <w:b w:val="0"/>
          <w:iCs/>
          <w:szCs w:val="22"/>
          <w:lang w:val="af-ZA" w:eastAsia="en-GB"/>
        </w:rPr>
        <w:softHyphen/>
        <w:t>նա</w:t>
      </w:r>
      <w:r w:rsidRPr="007E680E">
        <w:rPr>
          <w:rFonts w:cs="Sylfaen"/>
          <w:b w:val="0"/>
          <w:iCs/>
          <w:szCs w:val="22"/>
          <w:lang w:val="af-ZA" w:eastAsia="en-GB"/>
        </w:rPr>
        <w:softHyphen/>
        <w:t>վո</w:t>
      </w:r>
      <w:r w:rsidRPr="007E680E">
        <w:rPr>
          <w:rFonts w:cs="Sylfaen"/>
          <w:b w:val="0"/>
          <w:iCs/>
          <w:szCs w:val="22"/>
          <w:lang w:val="af-ZA" w:eastAsia="en-GB"/>
        </w:rPr>
        <w:softHyphen/>
        <w:t>րա</w:t>
      </w:r>
      <w:r w:rsidRPr="007E680E">
        <w:rPr>
          <w:rFonts w:cs="Sylfaen"/>
          <w:b w:val="0"/>
          <w:iCs/>
          <w:szCs w:val="22"/>
          <w:lang w:val="af-ZA" w:eastAsia="en-GB"/>
        </w:rPr>
        <w:softHyphen/>
        <w:t>պես, 2021 թվականին տոկոսավճարների գծով մուտ</w:t>
      </w:r>
      <w:r w:rsidRPr="007E680E">
        <w:rPr>
          <w:rFonts w:cs="Sylfaen"/>
          <w:b w:val="0"/>
          <w:iCs/>
          <w:szCs w:val="22"/>
          <w:lang w:val="af-ZA" w:eastAsia="en-GB"/>
        </w:rPr>
        <w:softHyphen/>
      </w:r>
      <w:r w:rsidRPr="007E680E">
        <w:rPr>
          <w:rFonts w:cs="Sylfaen"/>
          <w:b w:val="0"/>
          <w:iCs/>
          <w:szCs w:val="22"/>
          <w:lang w:val="af-ZA" w:eastAsia="en-GB"/>
        </w:rPr>
        <w:softHyphen/>
        <w:t>քերն ապահովվելու են ի հա</w:t>
      </w:r>
      <w:r w:rsidRPr="007E680E">
        <w:rPr>
          <w:rFonts w:cs="Sylfaen"/>
          <w:b w:val="0"/>
          <w:iCs/>
          <w:szCs w:val="22"/>
          <w:lang w:val="af-ZA" w:eastAsia="en-GB"/>
        </w:rPr>
        <w:softHyphen/>
        <w:t>շիվ «Բարձրավոլտ էլեկ</w:t>
      </w:r>
      <w:r w:rsidRPr="007E680E">
        <w:rPr>
          <w:rFonts w:cs="Sylfaen"/>
          <w:b w:val="0"/>
          <w:iCs/>
          <w:szCs w:val="22"/>
          <w:lang w:val="af-ZA" w:eastAsia="en-GB"/>
        </w:rPr>
        <w:softHyphen/>
        <w:t>տրա</w:t>
      </w:r>
      <w:r w:rsidRPr="007E680E">
        <w:rPr>
          <w:rFonts w:cs="Sylfaen"/>
          <w:b w:val="0"/>
          <w:iCs/>
          <w:szCs w:val="22"/>
          <w:lang w:val="af-ZA" w:eastAsia="en-GB"/>
        </w:rPr>
        <w:softHyphen/>
        <w:t>կան ցան</w:t>
      </w:r>
      <w:r w:rsidRPr="007E680E">
        <w:rPr>
          <w:rFonts w:cs="Sylfaen"/>
          <w:b w:val="0"/>
          <w:iCs/>
          <w:szCs w:val="22"/>
          <w:lang w:val="af-ZA" w:eastAsia="en-GB"/>
        </w:rPr>
        <w:softHyphen/>
      </w:r>
      <w:r w:rsidRPr="007E680E">
        <w:rPr>
          <w:rFonts w:cs="Sylfaen"/>
          <w:b w:val="0"/>
          <w:iCs/>
          <w:szCs w:val="22"/>
          <w:lang w:val="af-ZA" w:eastAsia="en-GB"/>
        </w:rPr>
        <w:softHyphen/>
        <w:t>ցեր», «Էլեկ</w:t>
      </w:r>
      <w:r w:rsidRPr="007E680E">
        <w:rPr>
          <w:rFonts w:cs="Sylfaen"/>
          <w:b w:val="0"/>
          <w:iCs/>
          <w:szCs w:val="22"/>
          <w:lang w:val="af-ZA" w:eastAsia="en-GB"/>
        </w:rPr>
        <w:softHyphen/>
        <w:t>տրա</w:t>
      </w:r>
      <w:r w:rsidRPr="007E680E">
        <w:rPr>
          <w:rFonts w:cs="Sylfaen"/>
          <w:b w:val="0"/>
          <w:iCs/>
          <w:szCs w:val="22"/>
          <w:lang w:val="af-ZA" w:eastAsia="en-GB"/>
        </w:rPr>
        <w:softHyphen/>
        <w:t>էներ</w:t>
      </w:r>
      <w:r w:rsidRPr="007E680E">
        <w:rPr>
          <w:rFonts w:cs="Sylfaen"/>
          <w:b w:val="0"/>
          <w:iCs/>
          <w:szCs w:val="22"/>
          <w:lang w:val="af-ZA" w:eastAsia="en-GB"/>
        </w:rPr>
        <w:softHyphen/>
        <w:t>գե</w:t>
      </w:r>
      <w:r w:rsidRPr="007E680E">
        <w:rPr>
          <w:rFonts w:cs="Sylfaen"/>
          <w:b w:val="0"/>
          <w:iCs/>
          <w:szCs w:val="22"/>
          <w:lang w:val="af-ZA" w:eastAsia="en-GB"/>
        </w:rPr>
        <w:softHyphen/>
        <w:t>տի</w:t>
      </w:r>
      <w:r w:rsidRPr="007E680E">
        <w:rPr>
          <w:rFonts w:cs="Sylfaen"/>
          <w:b w:val="0"/>
          <w:iCs/>
          <w:szCs w:val="22"/>
          <w:lang w:val="af-ZA" w:eastAsia="en-GB"/>
        </w:rPr>
        <w:softHyphen/>
        <w:t>կա</w:t>
      </w:r>
      <w:r w:rsidRPr="007E680E">
        <w:rPr>
          <w:rFonts w:cs="Sylfaen"/>
          <w:b w:val="0"/>
          <w:iCs/>
          <w:szCs w:val="22"/>
          <w:lang w:val="af-ZA" w:eastAsia="en-GB"/>
        </w:rPr>
        <w:softHyphen/>
        <w:t>կան հա</w:t>
      </w:r>
      <w:r w:rsidRPr="007E680E">
        <w:rPr>
          <w:rFonts w:cs="Sylfaen"/>
          <w:b w:val="0"/>
          <w:iCs/>
          <w:szCs w:val="22"/>
          <w:lang w:val="af-ZA" w:eastAsia="en-GB"/>
        </w:rPr>
        <w:softHyphen/>
        <w:t>մա</w:t>
      </w:r>
      <w:r w:rsidRPr="007E680E">
        <w:rPr>
          <w:rFonts w:cs="Sylfaen"/>
          <w:b w:val="0"/>
          <w:iCs/>
          <w:szCs w:val="22"/>
          <w:lang w:val="af-ZA" w:eastAsia="en-GB"/>
        </w:rPr>
        <w:softHyphen/>
      </w:r>
      <w:r w:rsidRPr="007E680E">
        <w:rPr>
          <w:rFonts w:cs="Sylfaen"/>
          <w:b w:val="0"/>
          <w:iCs/>
          <w:szCs w:val="22"/>
          <w:lang w:val="af-ZA" w:eastAsia="en-GB"/>
        </w:rPr>
        <w:softHyphen/>
        <w:t>կար</w:t>
      </w:r>
      <w:r w:rsidRPr="007E680E">
        <w:rPr>
          <w:rFonts w:cs="Sylfaen"/>
          <w:b w:val="0"/>
          <w:iCs/>
          <w:szCs w:val="22"/>
          <w:lang w:val="af-ZA" w:eastAsia="en-GB"/>
        </w:rPr>
        <w:softHyphen/>
        <w:t>գի օպերատոր», «Հայաստանի էլեկ</w:t>
      </w:r>
      <w:r w:rsidRPr="007E680E">
        <w:rPr>
          <w:rFonts w:cs="Sylfaen"/>
          <w:b w:val="0"/>
          <w:iCs/>
          <w:szCs w:val="22"/>
          <w:lang w:val="af-ZA" w:eastAsia="en-GB"/>
        </w:rPr>
        <w:softHyphen/>
        <w:t>տրա</w:t>
      </w:r>
      <w:r w:rsidRPr="007E680E">
        <w:rPr>
          <w:rFonts w:cs="Sylfaen"/>
          <w:b w:val="0"/>
          <w:iCs/>
          <w:szCs w:val="22"/>
          <w:lang w:val="af-ZA" w:eastAsia="en-GB"/>
        </w:rPr>
        <w:softHyphen/>
        <w:t>կան ցանցեր» ՓԲԸ-ներին, «Երևանի Ջերմաէլեկտրակենտրոն» ՓԲԸ-ին և այլ կազ</w:t>
      </w:r>
      <w:r w:rsidRPr="007E680E">
        <w:rPr>
          <w:rFonts w:cs="Sylfaen"/>
          <w:b w:val="0"/>
          <w:iCs/>
          <w:szCs w:val="22"/>
          <w:lang w:val="af-ZA" w:eastAsia="en-GB"/>
        </w:rPr>
        <w:softHyphen/>
        <w:t>մա</w:t>
      </w:r>
      <w:r w:rsidRPr="007E680E">
        <w:rPr>
          <w:rFonts w:cs="Sylfaen"/>
          <w:b w:val="0"/>
          <w:iCs/>
          <w:szCs w:val="22"/>
          <w:lang w:val="af-ZA" w:eastAsia="en-GB"/>
        </w:rPr>
        <w:softHyphen/>
        <w:t>կեր</w:t>
      </w:r>
      <w:r w:rsidRPr="007E680E">
        <w:rPr>
          <w:rFonts w:cs="Sylfaen"/>
          <w:b w:val="0"/>
          <w:iCs/>
          <w:szCs w:val="22"/>
          <w:lang w:val="af-ZA" w:eastAsia="en-GB"/>
        </w:rPr>
        <w:softHyphen/>
        <w:t>պու</w:t>
      </w:r>
      <w:r w:rsidRPr="007E680E">
        <w:rPr>
          <w:rFonts w:cs="Sylfaen"/>
          <w:b w:val="0"/>
          <w:iCs/>
          <w:szCs w:val="22"/>
          <w:lang w:val="af-ZA" w:eastAsia="en-GB"/>
        </w:rPr>
        <w:softHyphen/>
        <w:t>թյուններին տրա</w:t>
      </w:r>
      <w:r w:rsidRPr="007E680E">
        <w:rPr>
          <w:rFonts w:cs="Sylfaen"/>
          <w:b w:val="0"/>
          <w:iCs/>
          <w:szCs w:val="22"/>
          <w:lang w:val="af-ZA" w:eastAsia="en-GB"/>
        </w:rPr>
        <w:softHyphen/>
      </w:r>
      <w:r w:rsidRPr="007E680E">
        <w:rPr>
          <w:rFonts w:cs="Sylfaen"/>
          <w:b w:val="0"/>
          <w:iCs/>
          <w:szCs w:val="22"/>
          <w:lang w:val="af-ZA" w:eastAsia="en-GB"/>
        </w:rPr>
        <w:softHyphen/>
        <w:t>մադրված վարկերի դիմաց հաշ</w:t>
      </w:r>
      <w:r w:rsidRPr="007E680E">
        <w:rPr>
          <w:rFonts w:cs="Sylfaen"/>
          <w:b w:val="0"/>
          <w:iCs/>
          <w:szCs w:val="22"/>
          <w:lang w:val="af-ZA" w:eastAsia="en-GB"/>
        </w:rPr>
        <w:softHyphen/>
        <w:t>վարկված տո</w:t>
      </w:r>
      <w:r w:rsidRPr="007E680E">
        <w:rPr>
          <w:rFonts w:cs="Sylfaen"/>
          <w:b w:val="0"/>
          <w:iCs/>
          <w:szCs w:val="22"/>
          <w:lang w:val="af-ZA" w:eastAsia="en-GB"/>
        </w:rPr>
        <w:softHyphen/>
        <w:t>կո</w:t>
      </w:r>
      <w:r w:rsidRPr="007E680E">
        <w:rPr>
          <w:rFonts w:cs="Sylfaen"/>
          <w:b w:val="0"/>
          <w:iCs/>
          <w:szCs w:val="22"/>
          <w:lang w:val="af-ZA" w:eastAsia="en-GB"/>
        </w:rPr>
        <w:softHyphen/>
        <w:t>սա</w:t>
      </w:r>
      <w:r w:rsidRPr="007E680E">
        <w:rPr>
          <w:rFonts w:cs="Sylfaen"/>
          <w:b w:val="0"/>
          <w:iCs/>
          <w:szCs w:val="22"/>
          <w:lang w:val="af-ZA" w:eastAsia="en-GB"/>
        </w:rPr>
        <w:softHyphen/>
        <w:t>վճարների:</w:t>
      </w:r>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Հա</w:t>
      </w:r>
      <w:r w:rsidRPr="007E680E">
        <w:rPr>
          <w:rFonts w:cs="Sylfaen"/>
          <w:b w:val="0"/>
          <w:iCs/>
          <w:szCs w:val="22"/>
          <w:lang w:val="af-ZA" w:eastAsia="en-GB"/>
        </w:rPr>
        <w:softHyphen/>
        <w:t>յաստանի Հանրապետության ոչ ռեզիդենտին տրամադրված վարկերի գծով 2021 թվա</w:t>
      </w:r>
      <w:r w:rsidRPr="007E680E">
        <w:rPr>
          <w:rFonts w:cs="Sylfaen"/>
          <w:b w:val="0"/>
          <w:iCs/>
          <w:szCs w:val="22"/>
          <w:lang w:val="af-ZA" w:eastAsia="en-GB"/>
        </w:rPr>
        <w:softHyphen/>
      </w:r>
      <w:r w:rsidRPr="007E680E">
        <w:rPr>
          <w:rFonts w:cs="Sylfaen"/>
          <w:b w:val="0"/>
          <w:iCs/>
          <w:szCs w:val="22"/>
          <w:lang w:val="af-ZA" w:eastAsia="en-GB"/>
        </w:rPr>
        <w:softHyphen/>
        <w:t>կա</w:t>
      </w:r>
      <w:r w:rsidRPr="007E680E">
        <w:rPr>
          <w:rFonts w:cs="Sylfaen"/>
          <w:b w:val="0"/>
          <w:iCs/>
          <w:szCs w:val="22"/>
          <w:lang w:val="af-ZA" w:eastAsia="en-GB"/>
        </w:rPr>
        <w:softHyphen/>
        <w:t>նի բյուջետային մուտ</w:t>
      </w:r>
      <w:r w:rsidRPr="007E680E">
        <w:rPr>
          <w:rFonts w:cs="Sylfaen"/>
          <w:b w:val="0"/>
          <w:iCs/>
          <w:szCs w:val="22"/>
          <w:lang w:val="af-ZA" w:eastAsia="en-GB"/>
        </w:rPr>
        <w:softHyphen/>
        <w:t>քե</w:t>
      </w:r>
      <w:r w:rsidRPr="007E680E">
        <w:rPr>
          <w:rFonts w:cs="Sylfaen"/>
          <w:b w:val="0"/>
          <w:iCs/>
          <w:szCs w:val="22"/>
          <w:lang w:val="af-ZA" w:eastAsia="en-GB"/>
        </w:rPr>
        <w:softHyphen/>
        <w:t>րը կգո</w:t>
      </w:r>
      <w:r w:rsidRPr="007E680E">
        <w:rPr>
          <w:rFonts w:cs="Sylfaen"/>
          <w:b w:val="0"/>
          <w:iCs/>
          <w:szCs w:val="22"/>
          <w:lang w:val="af-ZA" w:eastAsia="en-GB"/>
        </w:rPr>
        <w:softHyphen/>
      </w:r>
      <w:r w:rsidRPr="007E680E">
        <w:rPr>
          <w:rFonts w:cs="Sylfaen"/>
          <w:b w:val="0"/>
          <w:iCs/>
          <w:szCs w:val="22"/>
          <w:lang w:val="af-ZA" w:eastAsia="en-GB"/>
        </w:rPr>
        <w:softHyphen/>
        <w:t>յա</w:t>
      </w:r>
      <w:r w:rsidRPr="007E680E">
        <w:rPr>
          <w:rFonts w:cs="Sylfaen"/>
          <w:b w:val="0"/>
          <w:iCs/>
          <w:szCs w:val="22"/>
          <w:lang w:val="af-ZA" w:eastAsia="en-GB"/>
        </w:rPr>
        <w:softHyphen/>
        <w:t>նան Վրաստանի Հան</w:t>
      </w:r>
      <w:r w:rsidRPr="007E680E">
        <w:rPr>
          <w:rFonts w:cs="Sylfaen"/>
          <w:b w:val="0"/>
          <w:iCs/>
          <w:szCs w:val="22"/>
          <w:lang w:val="af-ZA" w:eastAsia="en-GB"/>
        </w:rPr>
        <w:softHyphen/>
        <w:t>րա</w:t>
      </w:r>
      <w:r w:rsidRPr="007E680E">
        <w:rPr>
          <w:rFonts w:cs="Sylfaen"/>
          <w:b w:val="0"/>
          <w:iCs/>
          <w:szCs w:val="22"/>
          <w:lang w:val="af-ZA" w:eastAsia="en-GB"/>
        </w:rPr>
        <w:softHyphen/>
        <w:t>պե</w:t>
      </w:r>
      <w:r w:rsidRPr="007E680E">
        <w:rPr>
          <w:rFonts w:cs="Sylfaen"/>
          <w:b w:val="0"/>
          <w:iCs/>
          <w:szCs w:val="22"/>
          <w:lang w:val="af-ZA" w:eastAsia="en-GB"/>
        </w:rPr>
        <w:softHyphen/>
        <w:t>տու</w:t>
      </w:r>
      <w:r w:rsidRPr="007E680E">
        <w:rPr>
          <w:rFonts w:cs="Sylfaen"/>
          <w:b w:val="0"/>
          <w:iCs/>
          <w:szCs w:val="22"/>
          <w:lang w:val="af-ZA" w:eastAsia="en-GB"/>
        </w:rPr>
        <w:softHyphen/>
        <w:t>թյանը տրա</w:t>
      </w:r>
      <w:r w:rsidRPr="007E680E">
        <w:rPr>
          <w:rFonts w:cs="Sylfaen"/>
          <w:b w:val="0"/>
          <w:iCs/>
          <w:szCs w:val="22"/>
          <w:lang w:val="af-ZA" w:eastAsia="en-GB"/>
        </w:rPr>
        <w:softHyphen/>
        <w:t>մա</w:t>
      </w:r>
      <w:r w:rsidRPr="007E680E">
        <w:rPr>
          <w:rFonts w:cs="Sylfaen"/>
          <w:b w:val="0"/>
          <w:iCs/>
          <w:szCs w:val="22"/>
          <w:lang w:val="af-ZA" w:eastAsia="en-GB"/>
        </w:rPr>
        <w:softHyphen/>
        <w:t>դր</w:t>
      </w:r>
      <w:r w:rsidRPr="007E680E">
        <w:rPr>
          <w:rFonts w:cs="Sylfaen"/>
          <w:b w:val="0"/>
          <w:iCs/>
          <w:szCs w:val="22"/>
          <w:lang w:val="af-ZA" w:eastAsia="en-GB"/>
        </w:rPr>
        <w:softHyphen/>
        <w:t>ված վարկի սպա</w:t>
      </w:r>
      <w:r w:rsidRPr="007E680E">
        <w:rPr>
          <w:rFonts w:cs="Sylfaen"/>
          <w:b w:val="0"/>
          <w:iCs/>
          <w:szCs w:val="22"/>
          <w:lang w:val="af-ZA" w:eastAsia="en-GB"/>
        </w:rPr>
        <w:softHyphen/>
      </w:r>
      <w:r w:rsidRPr="007E680E">
        <w:rPr>
          <w:rFonts w:cs="Sylfaen"/>
          <w:b w:val="0"/>
          <w:iCs/>
          <w:szCs w:val="22"/>
          <w:lang w:val="af-ZA" w:eastAsia="en-GB"/>
        </w:rPr>
        <w:softHyphen/>
        <w:t>սարկման տո</w:t>
      </w:r>
      <w:r w:rsidRPr="007E680E">
        <w:rPr>
          <w:rFonts w:cs="Sylfaen"/>
          <w:b w:val="0"/>
          <w:iCs/>
          <w:szCs w:val="22"/>
          <w:lang w:val="af-ZA" w:eastAsia="en-GB"/>
        </w:rPr>
        <w:softHyphen/>
        <w:t>կո</w:t>
      </w:r>
      <w:r w:rsidRPr="007E680E">
        <w:rPr>
          <w:rFonts w:cs="Sylfaen"/>
          <w:b w:val="0"/>
          <w:iCs/>
          <w:szCs w:val="22"/>
          <w:lang w:val="af-ZA" w:eastAsia="en-GB"/>
        </w:rPr>
        <w:softHyphen/>
        <w:t>սա</w:t>
      </w:r>
      <w:r w:rsidRPr="007E680E">
        <w:rPr>
          <w:rFonts w:cs="Sylfaen"/>
          <w:b w:val="0"/>
          <w:iCs/>
          <w:szCs w:val="22"/>
          <w:lang w:val="af-ZA" w:eastAsia="en-GB"/>
        </w:rPr>
        <w:softHyphen/>
        <w:t>վճար</w:t>
      </w:r>
      <w:r w:rsidRPr="007E680E">
        <w:rPr>
          <w:rFonts w:cs="Sylfaen"/>
          <w:b w:val="0"/>
          <w:iCs/>
          <w:szCs w:val="22"/>
          <w:lang w:val="af-ZA" w:eastAsia="en-GB"/>
        </w:rPr>
        <w:softHyphen/>
      </w:r>
      <w:r w:rsidRPr="007E680E">
        <w:rPr>
          <w:rFonts w:cs="Sylfaen"/>
          <w:b w:val="0"/>
          <w:iCs/>
          <w:szCs w:val="22"/>
          <w:lang w:val="af-ZA" w:eastAsia="en-GB"/>
        </w:rPr>
        <w:softHyphen/>
        <w:t>նե</w:t>
      </w:r>
      <w:r w:rsidRPr="007E680E">
        <w:rPr>
          <w:rFonts w:cs="Sylfaen"/>
          <w:b w:val="0"/>
          <w:iCs/>
          <w:szCs w:val="22"/>
          <w:lang w:val="af-ZA" w:eastAsia="en-GB"/>
        </w:rPr>
        <w:softHyphen/>
        <w:t>րից, որոնք կկազ</w:t>
      </w:r>
      <w:r w:rsidRPr="007E680E">
        <w:rPr>
          <w:rFonts w:cs="Sylfaen"/>
          <w:b w:val="0"/>
          <w:iCs/>
          <w:szCs w:val="22"/>
          <w:lang w:val="af-ZA" w:eastAsia="en-GB"/>
        </w:rPr>
        <w:softHyphen/>
        <w:t>մեն</w:t>
      </w:r>
      <w:r w:rsidR="00025BE2">
        <w:rPr>
          <w:rFonts w:cs="Sylfaen"/>
          <w:b w:val="0"/>
          <w:iCs/>
          <w:szCs w:val="22"/>
          <w:lang w:val="af-ZA" w:eastAsia="en-GB"/>
        </w:rPr>
        <w:t xml:space="preserve"> 153.4 հազ. ԱՄՆ դոլար կամ մոտ 75.7</w:t>
      </w:r>
      <w:r w:rsidRPr="007E680E">
        <w:rPr>
          <w:rFonts w:cs="Sylfaen"/>
          <w:b w:val="0"/>
          <w:iCs/>
          <w:szCs w:val="22"/>
          <w:lang w:val="af-ZA" w:eastAsia="en-GB"/>
        </w:rPr>
        <w:t xml:space="preserve"> մլն դրամ՝ 2020 թվա</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կա</w:t>
      </w:r>
      <w:r w:rsidRPr="007E680E">
        <w:rPr>
          <w:rFonts w:cs="Sylfaen"/>
          <w:b w:val="0"/>
          <w:iCs/>
          <w:szCs w:val="22"/>
          <w:lang w:val="af-ZA" w:eastAsia="en-GB"/>
        </w:rPr>
        <w:softHyphen/>
      </w:r>
      <w:r w:rsidRPr="007E680E">
        <w:rPr>
          <w:rFonts w:cs="Sylfaen"/>
          <w:b w:val="0"/>
          <w:iCs/>
          <w:szCs w:val="22"/>
          <w:lang w:val="af-ZA" w:eastAsia="en-GB"/>
        </w:rPr>
        <w:softHyphen/>
        <w:t>նի համար ծրագրված 97.8 մլն դրամի և 2019 թվա</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կանին փաս</w:t>
      </w:r>
      <w:r w:rsidRPr="007E680E">
        <w:rPr>
          <w:rFonts w:cs="Sylfaen"/>
          <w:b w:val="0"/>
          <w:iCs/>
          <w:szCs w:val="22"/>
          <w:lang w:val="af-ZA" w:eastAsia="en-GB"/>
        </w:rPr>
        <w:softHyphen/>
      </w:r>
      <w:r w:rsidRPr="007E680E">
        <w:rPr>
          <w:rFonts w:cs="Sylfaen"/>
          <w:b w:val="0"/>
          <w:iCs/>
          <w:szCs w:val="22"/>
          <w:lang w:val="af-ZA" w:eastAsia="en-GB"/>
        </w:rPr>
        <w:softHyphen/>
        <w:t>տացի ստացված 122.4 մլն դրամի դի</w:t>
      </w:r>
      <w:r w:rsidRPr="007E680E">
        <w:rPr>
          <w:rFonts w:cs="Sylfaen"/>
          <w:b w:val="0"/>
          <w:iCs/>
          <w:szCs w:val="22"/>
          <w:lang w:val="af-ZA" w:eastAsia="en-GB"/>
        </w:rPr>
        <w:softHyphen/>
        <w:t>մաց:</w:t>
      </w:r>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Իրավախախտումների համար գործադիր, դատական մարմինների կողմից կի</w:t>
      </w:r>
      <w:r w:rsidRPr="007E680E">
        <w:rPr>
          <w:rFonts w:cs="Sylfaen"/>
          <w:b w:val="0"/>
          <w:iCs/>
          <w:szCs w:val="22"/>
          <w:lang w:val="af-ZA" w:eastAsia="en-GB"/>
        </w:rPr>
        <w:softHyphen/>
        <w:t>րառ</w:t>
      </w:r>
      <w:r w:rsidRPr="007E680E">
        <w:rPr>
          <w:rFonts w:cs="Sylfaen"/>
          <w:b w:val="0"/>
          <w:iCs/>
          <w:szCs w:val="22"/>
          <w:lang w:val="af-ZA" w:eastAsia="en-GB"/>
        </w:rPr>
        <w:softHyphen/>
        <w:t>վող պատ</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ժա</w:t>
      </w:r>
      <w:r w:rsidRPr="007E680E">
        <w:rPr>
          <w:rFonts w:cs="Sylfaen"/>
          <w:b w:val="0"/>
          <w:iCs/>
          <w:szCs w:val="22"/>
          <w:lang w:val="af-ZA" w:eastAsia="en-GB"/>
        </w:rPr>
        <w:softHyphen/>
      </w:r>
      <w:r w:rsidRPr="007E680E">
        <w:rPr>
          <w:rFonts w:cs="Sylfaen"/>
          <w:b w:val="0"/>
          <w:iCs/>
          <w:szCs w:val="22"/>
          <w:lang w:val="af-ZA" w:eastAsia="en-GB"/>
        </w:rPr>
        <w:softHyphen/>
        <w:t>մի</w:t>
      </w:r>
      <w:r w:rsidRPr="007E680E">
        <w:rPr>
          <w:rFonts w:cs="Sylfaen"/>
          <w:b w:val="0"/>
          <w:iCs/>
          <w:szCs w:val="22"/>
          <w:lang w:val="af-ZA" w:eastAsia="en-GB"/>
        </w:rPr>
        <w:softHyphen/>
        <w:t>ջոցներից 2021 թվականի մուտքերը գնահատվել են 10,479.9 մլն դրամի չափով` 2020 թվա</w:t>
      </w:r>
      <w:r w:rsidRPr="007E680E">
        <w:rPr>
          <w:rFonts w:cs="Sylfaen"/>
          <w:b w:val="0"/>
          <w:iCs/>
          <w:szCs w:val="22"/>
          <w:lang w:val="af-ZA" w:eastAsia="en-GB"/>
        </w:rPr>
        <w:softHyphen/>
        <w:t>կա</w:t>
      </w:r>
      <w:r w:rsidRPr="007E680E">
        <w:rPr>
          <w:rFonts w:cs="Sylfaen"/>
          <w:b w:val="0"/>
          <w:iCs/>
          <w:szCs w:val="22"/>
          <w:lang w:val="af-ZA" w:eastAsia="en-GB"/>
        </w:rPr>
        <w:softHyphen/>
        <w:t>նի հա</w:t>
      </w:r>
      <w:r w:rsidRPr="007E680E">
        <w:rPr>
          <w:rFonts w:cs="Sylfaen"/>
          <w:b w:val="0"/>
          <w:iCs/>
          <w:szCs w:val="22"/>
          <w:lang w:val="af-ZA" w:eastAsia="en-GB"/>
        </w:rPr>
        <w:softHyphen/>
        <w:t>մար ծրա</w:t>
      </w:r>
      <w:r w:rsidRPr="007E680E">
        <w:rPr>
          <w:rFonts w:cs="Sylfaen"/>
          <w:b w:val="0"/>
          <w:iCs/>
          <w:szCs w:val="22"/>
          <w:lang w:val="af-ZA" w:eastAsia="en-GB"/>
        </w:rPr>
        <w:softHyphen/>
        <w:t>գրված 13,424.4 մլն դրամի և 2019 թվա</w:t>
      </w:r>
      <w:r w:rsidRPr="007E680E">
        <w:rPr>
          <w:rFonts w:cs="Sylfaen"/>
          <w:b w:val="0"/>
          <w:iCs/>
          <w:szCs w:val="22"/>
          <w:lang w:val="af-ZA" w:eastAsia="en-GB"/>
        </w:rPr>
        <w:softHyphen/>
      </w:r>
      <w:r w:rsidRPr="007E680E">
        <w:rPr>
          <w:rFonts w:cs="Sylfaen"/>
          <w:b w:val="0"/>
          <w:iCs/>
          <w:szCs w:val="22"/>
          <w:lang w:val="af-ZA" w:eastAsia="en-GB"/>
        </w:rPr>
        <w:softHyphen/>
        <w:t>կանին փաս</w:t>
      </w:r>
      <w:r w:rsidRPr="007E680E">
        <w:rPr>
          <w:rFonts w:cs="Sylfaen"/>
          <w:b w:val="0"/>
          <w:iCs/>
          <w:szCs w:val="22"/>
          <w:lang w:val="af-ZA" w:eastAsia="en-GB"/>
        </w:rPr>
        <w:softHyphen/>
      </w:r>
      <w:r w:rsidRPr="007E680E">
        <w:rPr>
          <w:rFonts w:cs="Sylfaen"/>
          <w:b w:val="0"/>
          <w:iCs/>
          <w:szCs w:val="22"/>
          <w:lang w:val="af-ZA" w:eastAsia="en-GB"/>
        </w:rPr>
        <w:softHyphen/>
        <w:t>տացի ստաց</w:t>
      </w:r>
      <w:r w:rsidRPr="007E680E">
        <w:rPr>
          <w:rFonts w:cs="Sylfaen"/>
          <w:b w:val="0"/>
          <w:iCs/>
          <w:szCs w:val="22"/>
          <w:lang w:val="af-ZA" w:eastAsia="en-GB"/>
        </w:rPr>
        <w:softHyphen/>
        <w:t>ված 15,652.6 մլն դրամի դիմաց: Կանխատեսումները կա</w:t>
      </w:r>
      <w:r w:rsidRPr="007E680E">
        <w:rPr>
          <w:rFonts w:cs="Sylfaen"/>
          <w:b w:val="0"/>
          <w:iCs/>
          <w:szCs w:val="22"/>
          <w:lang w:val="af-ZA" w:eastAsia="en-GB"/>
        </w:rPr>
        <w:softHyphen/>
        <w:t>տար</w:t>
      </w:r>
      <w:r w:rsidRPr="007E680E">
        <w:rPr>
          <w:rFonts w:cs="Sylfaen"/>
          <w:b w:val="0"/>
          <w:iCs/>
          <w:szCs w:val="22"/>
          <w:lang w:val="af-ZA" w:eastAsia="en-GB"/>
        </w:rPr>
        <w:softHyphen/>
      </w:r>
      <w:r w:rsidRPr="007E680E">
        <w:rPr>
          <w:rFonts w:cs="Sylfaen"/>
          <w:b w:val="0"/>
          <w:iCs/>
          <w:szCs w:val="22"/>
          <w:lang w:val="af-ZA" w:eastAsia="en-GB"/>
        </w:rPr>
        <w:softHyphen/>
        <w:t>ված են ըստ հա</w:t>
      </w:r>
      <w:r w:rsidRPr="007E680E">
        <w:rPr>
          <w:rFonts w:cs="Sylfaen"/>
          <w:b w:val="0"/>
          <w:iCs/>
          <w:szCs w:val="22"/>
          <w:lang w:val="af-ZA" w:eastAsia="en-GB"/>
        </w:rPr>
        <w:softHyphen/>
      </w:r>
      <w:r w:rsidRPr="007E680E">
        <w:rPr>
          <w:rFonts w:cs="Sylfaen"/>
          <w:b w:val="0"/>
          <w:iCs/>
          <w:szCs w:val="22"/>
          <w:lang w:val="af-ZA" w:eastAsia="en-GB"/>
        </w:rPr>
        <w:softHyphen/>
        <w:t>մա</w:t>
      </w:r>
      <w:r w:rsidRPr="007E680E">
        <w:rPr>
          <w:rFonts w:cs="Sylfaen"/>
          <w:b w:val="0"/>
          <w:iCs/>
          <w:szCs w:val="22"/>
          <w:lang w:val="af-ZA" w:eastAsia="en-GB"/>
        </w:rPr>
        <w:softHyphen/>
        <w:t>պա</w:t>
      </w:r>
      <w:r w:rsidRPr="007E680E">
        <w:rPr>
          <w:rFonts w:cs="Sylfaen"/>
          <w:b w:val="0"/>
          <w:iCs/>
          <w:szCs w:val="22"/>
          <w:lang w:val="af-ZA" w:eastAsia="en-GB"/>
        </w:rPr>
        <w:softHyphen/>
      </w:r>
      <w:r w:rsidRPr="007E680E">
        <w:rPr>
          <w:rFonts w:cs="Sylfaen"/>
          <w:b w:val="0"/>
          <w:iCs/>
          <w:szCs w:val="22"/>
          <w:lang w:val="af-ZA" w:eastAsia="en-GB"/>
        </w:rPr>
        <w:softHyphen/>
        <w:t>տաս</w:t>
      </w:r>
      <w:r w:rsidRPr="007E680E">
        <w:rPr>
          <w:rFonts w:cs="Sylfaen"/>
          <w:b w:val="0"/>
          <w:iCs/>
          <w:szCs w:val="22"/>
          <w:lang w:val="af-ZA" w:eastAsia="en-GB"/>
        </w:rPr>
        <w:softHyphen/>
        <w:t>խան իրա</w:t>
      </w:r>
      <w:r w:rsidRPr="007E680E">
        <w:rPr>
          <w:rFonts w:cs="Sylfaen"/>
          <w:b w:val="0"/>
          <w:iCs/>
          <w:szCs w:val="22"/>
          <w:lang w:val="af-ZA" w:eastAsia="en-GB"/>
        </w:rPr>
        <w:softHyphen/>
        <w:t>վա</w:t>
      </w:r>
      <w:r w:rsidRPr="007E680E">
        <w:rPr>
          <w:rFonts w:cs="Sylfaen"/>
          <w:b w:val="0"/>
          <w:iCs/>
          <w:szCs w:val="22"/>
          <w:lang w:val="af-ZA" w:eastAsia="en-GB"/>
        </w:rPr>
        <w:softHyphen/>
        <w:t>կան հիմքով վարչական պատժամիջոց կի</w:t>
      </w:r>
      <w:r w:rsidRPr="007E680E">
        <w:rPr>
          <w:rFonts w:cs="Sylfaen"/>
          <w:b w:val="0"/>
          <w:iCs/>
          <w:szCs w:val="22"/>
          <w:lang w:val="af-ZA" w:eastAsia="en-GB"/>
        </w:rPr>
        <w:softHyphen/>
        <w:t>րա</w:t>
      </w:r>
      <w:r w:rsidRPr="007E680E">
        <w:rPr>
          <w:rFonts w:cs="Sylfaen"/>
          <w:b w:val="0"/>
          <w:iCs/>
          <w:szCs w:val="22"/>
          <w:lang w:val="af-ZA" w:eastAsia="en-GB"/>
        </w:rPr>
        <w:softHyphen/>
        <w:t>ռող պե</w:t>
      </w:r>
      <w:r w:rsidRPr="007E680E">
        <w:rPr>
          <w:rFonts w:cs="Sylfaen"/>
          <w:b w:val="0"/>
          <w:iCs/>
          <w:szCs w:val="22"/>
          <w:lang w:val="af-ZA" w:eastAsia="en-GB"/>
        </w:rPr>
        <w:softHyphen/>
      </w:r>
      <w:r w:rsidRPr="007E680E">
        <w:rPr>
          <w:rFonts w:cs="Sylfaen"/>
          <w:b w:val="0"/>
          <w:iCs/>
          <w:szCs w:val="22"/>
          <w:lang w:val="af-ZA" w:eastAsia="en-GB"/>
        </w:rPr>
        <w:softHyphen/>
        <w:t>տա</w:t>
      </w:r>
      <w:r w:rsidRPr="007E680E">
        <w:rPr>
          <w:rFonts w:cs="Sylfaen"/>
          <w:b w:val="0"/>
          <w:iCs/>
          <w:szCs w:val="22"/>
          <w:lang w:val="af-ZA" w:eastAsia="en-GB"/>
        </w:rPr>
        <w:softHyphen/>
        <w:t>կան կա</w:t>
      </w:r>
      <w:r w:rsidRPr="007E680E">
        <w:rPr>
          <w:rFonts w:cs="Sylfaen"/>
          <w:b w:val="0"/>
          <w:iCs/>
          <w:szCs w:val="22"/>
          <w:lang w:val="af-ZA" w:eastAsia="en-GB"/>
        </w:rPr>
        <w:softHyphen/>
        <w:t>ռա</w:t>
      </w:r>
      <w:r w:rsidRPr="007E680E">
        <w:rPr>
          <w:rFonts w:cs="Sylfaen"/>
          <w:b w:val="0"/>
          <w:iCs/>
          <w:szCs w:val="22"/>
          <w:lang w:val="af-ZA" w:eastAsia="en-GB"/>
        </w:rPr>
        <w:softHyphen/>
        <w:t>վար</w:t>
      </w:r>
      <w:r w:rsidRPr="007E680E">
        <w:rPr>
          <w:rFonts w:cs="Sylfaen"/>
          <w:b w:val="0"/>
          <w:iCs/>
          <w:szCs w:val="22"/>
          <w:lang w:val="af-ZA" w:eastAsia="en-GB"/>
        </w:rPr>
        <w:softHyphen/>
        <w:t>ման մար</w:t>
      </w:r>
      <w:r w:rsidRPr="007E680E">
        <w:rPr>
          <w:rFonts w:cs="Sylfaen"/>
          <w:b w:val="0"/>
          <w:iCs/>
          <w:szCs w:val="22"/>
          <w:lang w:val="af-ZA" w:eastAsia="en-GB"/>
        </w:rPr>
        <w:softHyphen/>
      </w:r>
      <w:r w:rsidRPr="007E680E">
        <w:rPr>
          <w:rFonts w:cs="Sylfaen"/>
          <w:b w:val="0"/>
          <w:iCs/>
          <w:szCs w:val="22"/>
          <w:lang w:val="af-ZA" w:eastAsia="en-GB"/>
        </w:rPr>
        <w:softHyphen/>
        <w:t>մին</w:t>
      </w:r>
      <w:r w:rsidRPr="007E680E">
        <w:rPr>
          <w:rFonts w:cs="Sylfaen"/>
          <w:b w:val="0"/>
          <w:iCs/>
          <w:szCs w:val="22"/>
          <w:lang w:val="af-ZA" w:eastAsia="en-GB"/>
        </w:rPr>
        <w:softHyphen/>
        <w:t>ների` հաշ</w:t>
      </w:r>
      <w:r w:rsidRPr="007E680E">
        <w:rPr>
          <w:rFonts w:cs="Sylfaen"/>
          <w:b w:val="0"/>
          <w:iCs/>
          <w:szCs w:val="22"/>
          <w:lang w:val="af-ZA" w:eastAsia="en-GB"/>
        </w:rPr>
        <w:softHyphen/>
        <w:t>վի առ</w:t>
      </w:r>
      <w:r w:rsidRPr="007E680E">
        <w:rPr>
          <w:rFonts w:cs="Sylfaen"/>
          <w:b w:val="0"/>
          <w:iCs/>
          <w:szCs w:val="22"/>
          <w:lang w:val="af-ZA" w:eastAsia="en-GB"/>
        </w:rPr>
        <w:softHyphen/>
        <w:t>նե</w:t>
      </w:r>
      <w:r w:rsidRPr="007E680E">
        <w:rPr>
          <w:rFonts w:cs="Sylfaen"/>
          <w:b w:val="0"/>
          <w:iCs/>
          <w:szCs w:val="22"/>
          <w:lang w:val="af-ZA" w:eastAsia="en-GB"/>
        </w:rPr>
        <w:softHyphen/>
        <w:t>լով պատ</w:t>
      </w:r>
      <w:r w:rsidRPr="007E680E">
        <w:rPr>
          <w:rFonts w:cs="Sylfaen"/>
          <w:b w:val="0"/>
          <w:iCs/>
          <w:szCs w:val="22"/>
          <w:lang w:val="af-ZA" w:eastAsia="en-GB"/>
        </w:rPr>
        <w:softHyphen/>
      </w:r>
      <w:r w:rsidRPr="007E680E">
        <w:rPr>
          <w:rFonts w:cs="Sylfaen"/>
          <w:b w:val="0"/>
          <w:iCs/>
          <w:szCs w:val="22"/>
          <w:lang w:val="af-ZA" w:eastAsia="en-GB"/>
        </w:rPr>
        <w:softHyphen/>
        <w:t>ժա</w:t>
      </w:r>
      <w:r w:rsidRPr="007E680E">
        <w:rPr>
          <w:rFonts w:cs="Sylfaen"/>
          <w:b w:val="0"/>
          <w:iCs/>
          <w:szCs w:val="22"/>
          <w:lang w:val="af-ZA" w:eastAsia="en-GB"/>
        </w:rPr>
        <w:softHyphen/>
        <w:t>մի</w:t>
      </w:r>
      <w:r w:rsidRPr="007E680E">
        <w:rPr>
          <w:rFonts w:cs="Sylfaen"/>
          <w:b w:val="0"/>
          <w:iCs/>
          <w:szCs w:val="22"/>
          <w:lang w:val="af-ZA" w:eastAsia="en-GB"/>
        </w:rPr>
        <w:softHyphen/>
        <w:t>ջոց</w:t>
      </w:r>
      <w:r w:rsidRPr="007E680E">
        <w:rPr>
          <w:rFonts w:cs="Sylfaen"/>
          <w:b w:val="0"/>
          <w:iCs/>
          <w:szCs w:val="22"/>
          <w:lang w:val="af-ZA" w:eastAsia="en-GB"/>
        </w:rPr>
        <w:softHyphen/>
      </w:r>
      <w:r w:rsidRPr="007E680E">
        <w:rPr>
          <w:rFonts w:cs="Sylfaen"/>
          <w:b w:val="0"/>
          <w:iCs/>
          <w:szCs w:val="22"/>
          <w:lang w:val="af-ZA" w:eastAsia="en-GB"/>
        </w:rPr>
        <w:softHyphen/>
        <w:t>ների գծով 2018-2020 թվա</w:t>
      </w:r>
      <w:r w:rsidRPr="007E680E">
        <w:rPr>
          <w:rFonts w:cs="Sylfaen"/>
          <w:b w:val="0"/>
          <w:iCs/>
          <w:szCs w:val="22"/>
          <w:lang w:val="af-ZA" w:eastAsia="en-GB"/>
        </w:rPr>
        <w:softHyphen/>
      </w:r>
      <w:r w:rsidRPr="007E680E">
        <w:rPr>
          <w:rFonts w:cs="Sylfaen"/>
          <w:b w:val="0"/>
          <w:iCs/>
          <w:szCs w:val="22"/>
          <w:lang w:val="af-ZA" w:eastAsia="en-GB"/>
        </w:rPr>
        <w:softHyphen/>
        <w:t>կան</w:t>
      </w:r>
      <w:r w:rsidRPr="007E680E">
        <w:rPr>
          <w:rFonts w:cs="Sylfaen"/>
          <w:b w:val="0"/>
          <w:iCs/>
          <w:szCs w:val="22"/>
          <w:lang w:val="af-ZA" w:eastAsia="en-GB"/>
        </w:rPr>
        <w:softHyphen/>
      </w:r>
      <w:r w:rsidRPr="007E680E">
        <w:rPr>
          <w:rFonts w:cs="Sylfaen"/>
          <w:b w:val="0"/>
          <w:iCs/>
          <w:szCs w:val="22"/>
          <w:lang w:val="af-ZA" w:eastAsia="en-GB"/>
        </w:rPr>
        <w:softHyphen/>
        <w:t>նե</w:t>
      </w:r>
      <w:r w:rsidRPr="007E680E">
        <w:rPr>
          <w:rFonts w:cs="Sylfaen"/>
          <w:b w:val="0"/>
          <w:iCs/>
          <w:szCs w:val="22"/>
          <w:lang w:val="af-ZA" w:eastAsia="en-GB"/>
        </w:rPr>
        <w:softHyphen/>
        <w:t>րի մուտ</w:t>
      </w:r>
      <w:r w:rsidRPr="007E680E">
        <w:rPr>
          <w:rFonts w:cs="Sylfaen"/>
          <w:b w:val="0"/>
          <w:iCs/>
          <w:szCs w:val="22"/>
          <w:lang w:val="af-ZA" w:eastAsia="en-GB"/>
        </w:rPr>
        <w:softHyphen/>
        <w:t>քերի հա</w:t>
      </w:r>
      <w:r w:rsidRPr="007E680E">
        <w:rPr>
          <w:rFonts w:cs="Sylfaen"/>
          <w:b w:val="0"/>
          <w:iCs/>
          <w:szCs w:val="22"/>
          <w:lang w:val="af-ZA" w:eastAsia="en-GB"/>
        </w:rPr>
        <w:softHyphen/>
        <w:t>վաքագրման միտումները, ինչպես նաև այս բնա</w:t>
      </w:r>
      <w:r w:rsidRPr="007E680E">
        <w:rPr>
          <w:rFonts w:cs="Sylfaen"/>
          <w:b w:val="0"/>
          <w:iCs/>
          <w:szCs w:val="22"/>
          <w:lang w:val="af-ZA" w:eastAsia="en-GB"/>
        </w:rPr>
        <w:softHyphen/>
        <w:t>գա</w:t>
      </w:r>
      <w:r w:rsidRPr="007E680E">
        <w:rPr>
          <w:rFonts w:cs="Sylfaen"/>
          <w:b w:val="0"/>
          <w:iCs/>
          <w:szCs w:val="22"/>
          <w:lang w:val="af-ZA" w:eastAsia="en-GB"/>
        </w:rPr>
        <w:softHyphen/>
        <w:t>վա</w:t>
      </w:r>
      <w:r w:rsidRPr="007E680E">
        <w:rPr>
          <w:rFonts w:cs="Sylfaen"/>
          <w:b w:val="0"/>
          <w:iCs/>
          <w:szCs w:val="22"/>
          <w:lang w:val="af-ZA" w:eastAsia="en-GB"/>
        </w:rPr>
        <w:softHyphen/>
      </w:r>
      <w:r w:rsidRPr="007E680E">
        <w:rPr>
          <w:rFonts w:cs="Sylfaen"/>
          <w:b w:val="0"/>
          <w:iCs/>
          <w:szCs w:val="22"/>
          <w:lang w:val="af-ZA" w:eastAsia="en-GB"/>
        </w:rPr>
        <w:softHyphen/>
        <w:t>ռում իրա</w:t>
      </w:r>
      <w:r w:rsidRPr="007E680E">
        <w:rPr>
          <w:rFonts w:cs="Sylfaen"/>
          <w:b w:val="0"/>
          <w:iCs/>
          <w:szCs w:val="22"/>
          <w:lang w:val="af-ZA" w:eastAsia="en-GB"/>
        </w:rPr>
        <w:softHyphen/>
        <w:t>կա</w:t>
      </w:r>
      <w:r w:rsidRPr="007E680E">
        <w:rPr>
          <w:rFonts w:cs="Sylfaen"/>
          <w:b w:val="0"/>
          <w:iCs/>
          <w:szCs w:val="22"/>
          <w:lang w:val="af-ZA" w:eastAsia="en-GB"/>
        </w:rPr>
        <w:softHyphen/>
        <w:t>նաց</w:t>
      </w:r>
      <w:r w:rsidRPr="007E680E">
        <w:rPr>
          <w:rFonts w:cs="Sylfaen"/>
          <w:b w:val="0"/>
          <w:iCs/>
          <w:szCs w:val="22"/>
          <w:lang w:val="af-ZA" w:eastAsia="en-GB"/>
        </w:rPr>
        <w:softHyphen/>
        <w:t>ված օրենս</w:t>
      </w:r>
      <w:r w:rsidRPr="007E680E">
        <w:rPr>
          <w:rFonts w:cs="Sylfaen"/>
          <w:b w:val="0"/>
          <w:iCs/>
          <w:szCs w:val="22"/>
          <w:lang w:val="af-ZA" w:eastAsia="en-GB"/>
        </w:rPr>
        <w:softHyphen/>
      </w:r>
      <w:r w:rsidRPr="007E680E">
        <w:rPr>
          <w:rFonts w:cs="Sylfaen"/>
          <w:b w:val="0"/>
          <w:iCs/>
          <w:szCs w:val="22"/>
          <w:lang w:val="af-ZA" w:eastAsia="en-GB"/>
        </w:rPr>
        <w:softHyphen/>
        <w:t>դրա</w:t>
      </w:r>
      <w:r w:rsidRPr="007E680E">
        <w:rPr>
          <w:rFonts w:cs="Sylfaen"/>
          <w:b w:val="0"/>
          <w:iCs/>
          <w:szCs w:val="22"/>
          <w:lang w:val="af-ZA" w:eastAsia="en-GB"/>
        </w:rPr>
        <w:softHyphen/>
        <w:t>կան փո</w:t>
      </w:r>
      <w:r w:rsidRPr="007E680E">
        <w:rPr>
          <w:rFonts w:cs="Sylfaen"/>
          <w:b w:val="0"/>
          <w:iCs/>
          <w:szCs w:val="22"/>
          <w:lang w:val="af-ZA" w:eastAsia="en-GB"/>
        </w:rPr>
        <w:softHyphen/>
        <w:t>փո</w:t>
      </w:r>
      <w:r w:rsidRPr="007E680E">
        <w:rPr>
          <w:rFonts w:cs="Sylfaen"/>
          <w:b w:val="0"/>
          <w:iCs/>
          <w:szCs w:val="22"/>
          <w:lang w:val="af-ZA" w:eastAsia="en-GB"/>
        </w:rPr>
        <w:softHyphen/>
        <w:t>խու</w:t>
      </w:r>
      <w:r w:rsidRPr="007E680E">
        <w:rPr>
          <w:rFonts w:cs="Sylfaen"/>
          <w:b w:val="0"/>
          <w:iCs/>
          <w:szCs w:val="22"/>
          <w:lang w:val="af-ZA" w:eastAsia="en-GB"/>
        </w:rPr>
        <w:softHyphen/>
        <w:t>թյունները:</w:t>
      </w:r>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Ապրանքների մատակարարումից և ծառայությունների մատուցումից եկամուտների գծով 2021 թվականի պետական բյուջեի մուտքերը գնահատվել են 11,651.5 մլն դրամի չափով` 2020 թվա</w:t>
      </w:r>
      <w:r w:rsidRPr="007E680E">
        <w:rPr>
          <w:rFonts w:cs="Sylfaen"/>
          <w:b w:val="0"/>
          <w:iCs/>
          <w:szCs w:val="22"/>
          <w:lang w:val="af-ZA" w:eastAsia="en-GB"/>
        </w:rPr>
        <w:softHyphen/>
        <w:t>կա</w:t>
      </w:r>
      <w:r w:rsidRPr="007E680E">
        <w:rPr>
          <w:rFonts w:cs="Sylfaen"/>
          <w:b w:val="0"/>
          <w:iCs/>
          <w:szCs w:val="22"/>
          <w:lang w:val="af-ZA" w:eastAsia="en-GB"/>
        </w:rPr>
        <w:softHyphen/>
        <w:t>նի հա</w:t>
      </w:r>
      <w:r w:rsidRPr="007E680E">
        <w:rPr>
          <w:rFonts w:cs="Sylfaen"/>
          <w:b w:val="0"/>
          <w:iCs/>
          <w:szCs w:val="22"/>
          <w:lang w:val="af-ZA" w:eastAsia="en-GB"/>
        </w:rPr>
        <w:softHyphen/>
        <w:t>մար ծրա</w:t>
      </w:r>
      <w:r w:rsidRPr="007E680E">
        <w:rPr>
          <w:rFonts w:cs="Sylfaen"/>
          <w:b w:val="0"/>
          <w:iCs/>
          <w:szCs w:val="22"/>
          <w:lang w:val="af-ZA" w:eastAsia="en-GB"/>
        </w:rPr>
        <w:softHyphen/>
        <w:t>գրված 24,505.3 մլն դրամի և 2019 թվա</w:t>
      </w:r>
      <w:r w:rsidRPr="007E680E">
        <w:rPr>
          <w:rFonts w:cs="Sylfaen"/>
          <w:b w:val="0"/>
          <w:iCs/>
          <w:szCs w:val="22"/>
          <w:lang w:val="af-ZA" w:eastAsia="en-GB"/>
        </w:rPr>
        <w:softHyphen/>
      </w:r>
      <w:r w:rsidRPr="007E680E">
        <w:rPr>
          <w:rFonts w:cs="Sylfaen"/>
          <w:b w:val="0"/>
          <w:iCs/>
          <w:szCs w:val="22"/>
          <w:lang w:val="af-ZA" w:eastAsia="en-GB"/>
        </w:rPr>
        <w:softHyphen/>
        <w:t>կանին փաս</w:t>
      </w:r>
      <w:r w:rsidRPr="007E680E">
        <w:rPr>
          <w:rFonts w:cs="Sylfaen"/>
          <w:b w:val="0"/>
          <w:iCs/>
          <w:szCs w:val="22"/>
          <w:lang w:val="af-ZA" w:eastAsia="en-GB"/>
        </w:rPr>
        <w:softHyphen/>
      </w:r>
      <w:r w:rsidRPr="007E680E">
        <w:rPr>
          <w:rFonts w:cs="Sylfaen"/>
          <w:b w:val="0"/>
          <w:iCs/>
          <w:szCs w:val="22"/>
          <w:lang w:val="af-ZA" w:eastAsia="en-GB"/>
        </w:rPr>
        <w:softHyphen/>
        <w:t>տացի ստաց</w:t>
      </w:r>
      <w:r w:rsidRPr="007E680E">
        <w:rPr>
          <w:rFonts w:cs="Sylfaen"/>
          <w:b w:val="0"/>
          <w:iCs/>
          <w:szCs w:val="22"/>
          <w:lang w:val="af-ZA" w:eastAsia="en-GB"/>
        </w:rPr>
        <w:softHyphen/>
        <w:t>ված 33,997.0 մլն դրամի դիմաց: Եկա</w:t>
      </w:r>
      <w:r w:rsidRPr="007E680E">
        <w:rPr>
          <w:rFonts w:cs="Sylfaen"/>
          <w:b w:val="0"/>
          <w:iCs/>
          <w:szCs w:val="22"/>
          <w:lang w:val="af-ZA" w:eastAsia="en-GB"/>
        </w:rPr>
        <w:softHyphen/>
        <w:t>մուտ</w:t>
      </w:r>
      <w:r w:rsidRPr="007E680E">
        <w:rPr>
          <w:rFonts w:cs="Sylfaen"/>
          <w:b w:val="0"/>
          <w:iCs/>
          <w:szCs w:val="22"/>
          <w:lang w:val="af-ZA" w:eastAsia="en-GB"/>
        </w:rPr>
        <w:softHyphen/>
        <w:t>ների այս խմբի մեծ մասը կազմում են ՀՀ կա</w:t>
      </w:r>
      <w:r w:rsidRPr="007E680E">
        <w:rPr>
          <w:rFonts w:cs="Sylfaen"/>
          <w:b w:val="0"/>
          <w:iCs/>
          <w:szCs w:val="22"/>
          <w:lang w:val="af-ZA" w:eastAsia="en-GB"/>
        </w:rPr>
        <w:softHyphen/>
        <w:t>դաս</w:t>
      </w:r>
      <w:r w:rsidRPr="007E680E">
        <w:rPr>
          <w:rFonts w:cs="Sylfaen"/>
          <w:b w:val="0"/>
          <w:iCs/>
          <w:szCs w:val="22"/>
          <w:lang w:val="af-ZA" w:eastAsia="en-GB"/>
        </w:rPr>
        <w:softHyphen/>
        <w:t>տրի կոմիտեի ստորաբաժանումների կող</w:t>
      </w:r>
      <w:r w:rsidRPr="007E680E">
        <w:rPr>
          <w:rFonts w:cs="Sylfaen"/>
          <w:b w:val="0"/>
          <w:iCs/>
          <w:szCs w:val="22"/>
          <w:lang w:val="af-ZA" w:eastAsia="en-GB"/>
        </w:rPr>
        <w:softHyphen/>
        <w:t>մից 2021 թվա</w:t>
      </w:r>
      <w:r w:rsidRPr="007E680E">
        <w:rPr>
          <w:rFonts w:cs="Sylfaen"/>
          <w:b w:val="0"/>
          <w:iCs/>
          <w:szCs w:val="22"/>
          <w:lang w:val="af-ZA" w:eastAsia="en-GB"/>
        </w:rPr>
        <w:softHyphen/>
        <w:t>կա</w:t>
      </w:r>
      <w:r w:rsidRPr="007E680E">
        <w:rPr>
          <w:rFonts w:cs="Sylfaen"/>
          <w:b w:val="0"/>
          <w:iCs/>
          <w:szCs w:val="22"/>
          <w:lang w:val="af-ZA" w:eastAsia="en-GB"/>
        </w:rPr>
        <w:softHyphen/>
        <w:t>նին մա</w:t>
      </w:r>
      <w:r w:rsidRPr="007E680E">
        <w:rPr>
          <w:rFonts w:cs="Sylfaen"/>
          <w:b w:val="0"/>
          <w:iCs/>
          <w:szCs w:val="22"/>
          <w:lang w:val="af-ZA" w:eastAsia="en-GB"/>
        </w:rPr>
        <w:softHyphen/>
        <w:t>տուցվելիք ծա</w:t>
      </w:r>
      <w:r w:rsidRPr="007E680E">
        <w:rPr>
          <w:rFonts w:cs="Sylfaen"/>
          <w:b w:val="0"/>
          <w:iCs/>
          <w:szCs w:val="22"/>
          <w:lang w:val="af-ZA" w:eastAsia="en-GB"/>
        </w:rPr>
        <w:softHyphen/>
      </w:r>
      <w:r w:rsidRPr="007E680E">
        <w:rPr>
          <w:rFonts w:cs="Sylfaen"/>
          <w:b w:val="0"/>
          <w:iCs/>
          <w:szCs w:val="22"/>
          <w:lang w:val="af-ZA" w:eastAsia="en-GB"/>
        </w:rPr>
        <w:softHyphen/>
        <w:t>ռայությունների դիմաց ստացվելիք վճարները` 4,950.0 մլն դրա</w:t>
      </w:r>
      <w:r w:rsidRPr="007E680E">
        <w:rPr>
          <w:rFonts w:cs="Sylfaen"/>
          <w:b w:val="0"/>
          <w:iCs/>
          <w:szCs w:val="22"/>
          <w:lang w:val="af-ZA" w:eastAsia="en-GB"/>
        </w:rPr>
        <w:softHyphen/>
      </w:r>
      <w:r w:rsidRPr="007E680E">
        <w:rPr>
          <w:rFonts w:cs="Sylfaen"/>
          <w:b w:val="0"/>
          <w:iCs/>
          <w:szCs w:val="22"/>
          <w:lang w:val="af-ZA" w:eastAsia="en-GB"/>
        </w:rPr>
        <w:softHyphen/>
        <w:t>մի չա</w:t>
      </w:r>
      <w:r w:rsidRPr="007E680E">
        <w:rPr>
          <w:rFonts w:cs="Sylfaen"/>
          <w:b w:val="0"/>
          <w:iCs/>
          <w:szCs w:val="22"/>
          <w:lang w:val="af-ZA" w:eastAsia="en-GB"/>
        </w:rPr>
        <w:softHyphen/>
        <w:t>փով և հայկական եր</w:t>
      </w:r>
      <w:r w:rsidRPr="007E680E">
        <w:rPr>
          <w:rFonts w:cs="Sylfaen"/>
          <w:b w:val="0"/>
          <w:iCs/>
          <w:szCs w:val="22"/>
          <w:lang w:val="af-ZA" w:eastAsia="en-GB"/>
        </w:rPr>
        <w:softHyphen/>
        <w:t>կա</w:t>
      </w:r>
      <w:r w:rsidRPr="007E680E">
        <w:rPr>
          <w:rFonts w:cs="Sylfaen"/>
          <w:b w:val="0"/>
          <w:iCs/>
          <w:szCs w:val="22"/>
          <w:lang w:val="af-ZA" w:eastAsia="en-GB"/>
        </w:rPr>
        <w:softHyphen/>
        <w:t>թուղու հա</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մա</w:t>
      </w:r>
      <w:r w:rsidRPr="007E680E">
        <w:rPr>
          <w:rFonts w:cs="Sylfaen"/>
          <w:b w:val="0"/>
          <w:iCs/>
          <w:szCs w:val="22"/>
          <w:lang w:val="af-ZA" w:eastAsia="en-GB"/>
        </w:rPr>
        <w:softHyphen/>
        <w:t>կար</w:t>
      </w:r>
      <w:r w:rsidRPr="007E680E">
        <w:rPr>
          <w:rFonts w:cs="Sylfaen"/>
          <w:b w:val="0"/>
          <w:iCs/>
          <w:szCs w:val="22"/>
          <w:lang w:val="af-ZA" w:eastAsia="en-GB"/>
        </w:rPr>
        <w:softHyphen/>
      </w:r>
      <w:r w:rsidRPr="007E680E">
        <w:rPr>
          <w:rFonts w:cs="Sylfaen"/>
          <w:b w:val="0"/>
          <w:iCs/>
          <w:szCs w:val="22"/>
          <w:lang w:val="af-ZA" w:eastAsia="en-GB"/>
        </w:rPr>
        <w:softHyphen/>
        <w:t>գի վերաբերյալ կոնցեսիոն պայմանագրով նա</w:t>
      </w:r>
      <w:r w:rsidRPr="007E680E">
        <w:rPr>
          <w:rFonts w:cs="Sylfaen"/>
          <w:b w:val="0"/>
          <w:iCs/>
          <w:szCs w:val="22"/>
          <w:lang w:val="af-ZA" w:eastAsia="en-GB"/>
        </w:rPr>
        <w:softHyphen/>
      </w:r>
      <w:r w:rsidRPr="007E680E">
        <w:rPr>
          <w:rFonts w:cs="Sylfaen"/>
          <w:b w:val="0"/>
          <w:iCs/>
          <w:szCs w:val="22"/>
          <w:lang w:val="af-ZA" w:eastAsia="en-GB"/>
        </w:rPr>
        <w:softHyphen/>
        <w:t>խա</w:t>
      </w:r>
      <w:r w:rsidRPr="007E680E">
        <w:rPr>
          <w:rFonts w:cs="Sylfaen"/>
          <w:b w:val="0"/>
          <w:iCs/>
          <w:szCs w:val="22"/>
          <w:lang w:val="af-ZA" w:eastAsia="en-GB"/>
        </w:rPr>
        <w:softHyphen/>
      </w:r>
      <w:r w:rsidRPr="007E680E">
        <w:rPr>
          <w:rFonts w:cs="Sylfaen"/>
          <w:b w:val="0"/>
          <w:iCs/>
          <w:szCs w:val="22"/>
          <w:lang w:val="af-ZA" w:eastAsia="en-GB"/>
        </w:rPr>
        <w:softHyphen/>
        <w:t>տեսված տարեկան վճարը` 393.7 մլն դրա</w:t>
      </w:r>
      <w:r w:rsidRPr="007E680E">
        <w:rPr>
          <w:rFonts w:cs="Sylfaen"/>
          <w:b w:val="0"/>
          <w:iCs/>
          <w:szCs w:val="22"/>
          <w:lang w:val="af-ZA" w:eastAsia="en-GB"/>
        </w:rPr>
        <w:softHyphen/>
        <w:t>մի չափով:</w:t>
      </w:r>
    </w:p>
    <w:p w:rsidR="007E680E" w:rsidRPr="007E680E" w:rsidRDefault="007E680E" w:rsidP="007730AA">
      <w:pPr>
        <w:spacing w:before="0" w:line="276" w:lineRule="auto"/>
        <w:ind w:firstLine="562"/>
        <w:contextualSpacing w:val="0"/>
        <w:rPr>
          <w:rFonts w:cs="Sylfaen"/>
          <w:b w:val="0"/>
          <w:iCs/>
          <w:szCs w:val="22"/>
          <w:lang w:val="af-ZA" w:eastAsia="en-GB"/>
        </w:rPr>
      </w:pPr>
      <w:r w:rsidRPr="007E680E">
        <w:rPr>
          <w:rFonts w:cs="Sylfaen"/>
          <w:b w:val="0"/>
          <w:iCs/>
          <w:szCs w:val="22"/>
          <w:lang w:val="af-ZA" w:eastAsia="en-GB"/>
        </w:rPr>
        <w:t>Օրենքով և իրավական այլ ակտերով սահմանված՝ պետական բյուջե մուտքագրվող այլ եկա</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մուտ</w:t>
      </w:r>
      <w:r w:rsidRPr="007E680E">
        <w:rPr>
          <w:rFonts w:cs="Sylfaen"/>
          <w:b w:val="0"/>
          <w:iCs/>
          <w:szCs w:val="22"/>
          <w:lang w:val="af-ZA" w:eastAsia="en-GB"/>
        </w:rPr>
        <w:softHyphen/>
        <w:t>ների գծով 2021 թվականի պետական բյուջեի մուտքերը գնահատվել են 1,629.1 մլն դրա</w:t>
      </w:r>
      <w:r w:rsidRPr="007E680E">
        <w:rPr>
          <w:rFonts w:cs="Sylfaen"/>
          <w:b w:val="0"/>
          <w:iCs/>
          <w:szCs w:val="22"/>
          <w:lang w:val="af-ZA" w:eastAsia="en-GB"/>
        </w:rPr>
        <w:softHyphen/>
      </w:r>
      <w:r w:rsidRPr="007E680E">
        <w:rPr>
          <w:rFonts w:cs="Sylfaen"/>
          <w:b w:val="0"/>
          <w:iCs/>
          <w:szCs w:val="22"/>
          <w:lang w:val="af-ZA" w:eastAsia="en-GB"/>
        </w:rPr>
        <w:softHyphen/>
      </w:r>
      <w:r w:rsidRPr="007E680E">
        <w:rPr>
          <w:rFonts w:cs="Sylfaen"/>
          <w:b w:val="0"/>
          <w:iCs/>
          <w:szCs w:val="22"/>
          <w:lang w:val="af-ZA" w:eastAsia="en-GB"/>
        </w:rPr>
        <w:softHyphen/>
        <w:t>մի չա</w:t>
      </w:r>
      <w:r w:rsidRPr="007E680E">
        <w:rPr>
          <w:rFonts w:cs="Sylfaen"/>
          <w:b w:val="0"/>
          <w:iCs/>
          <w:szCs w:val="22"/>
          <w:lang w:val="af-ZA" w:eastAsia="en-GB"/>
        </w:rPr>
        <w:softHyphen/>
        <w:t>փով` 2020 թվականի համար ծրագրված 1,291.0 մլրդ դրամի և 2019 թվա</w:t>
      </w:r>
      <w:r w:rsidRPr="007E680E">
        <w:rPr>
          <w:rFonts w:cs="Sylfaen"/>
          <w:b w:val="0"/>
          <w:iCs/>
          <w:szCs w:val="22"/>
          <w:lang w:val="af-ZA" w:eastAsia="en-GB"/>
        </w:rPr>
        <w:softHyphen/>
      </w:r>
      <w:r w:rsidRPr="007E680E">
        <w:rPr>
          <w:rFonts w:cs="Sylfaen"/>
          <w:b w:val="0"/>
          <w:iCs/>
          <w:szCs w:val="22"/>
          <w:lang w:val="af-ZA" w:eastAsia="en-GB"/>
        </w:rPr>
        <w:softHyphen/>
        <w:t>կանին փաս</w:t>
      </w:r>
      <w:r w:rsidRPr="007E680E">
        <w:rPr>
          <w:rFonts w:cs="Sylfaen"/>
          <w:b w:val="0"/>
          <w:iCs/>
          <w:szCs w:val="22"/>
          <w:lang w:val="af-ZA" w:eastAsia="en-GB"/>
        </w:rPr>
        <w:softHyphen/>
      </w:r>
      <w:r w:rsidRPr="007E680E">
        <w:rPr>
          <w:rFonts w:cs="Sylfaen"/>
          <w:b w:val="0"/>
          <w:iCs/>
          <w:szCs w:val="22"/>
          <w:lang w:val="af-ZA" w:eastAsia="en-GB"/>
        </w:rPr>
        <w:softHyphen/>
        <w:t>տացի ստաց</w:t>
      </w:r>
      <w:r w:rsidRPr="007E680E">
        <w:rPr>
          <w:rFonts w:cs="Sylfaen"/>
          <w:b w:val="0"/>
          <w:iCs/>
          <w:szCs w:val="22"/>
          <w:lang w:val="af-ZA" w:eastAsia="en-GB"/>
        </w:rPr>
        <w:softHyphen/>
        <w:t>ված 10,401.9 մլն դրամի դիմաց: Այն կանխատեսվել է՝  ելնելով նախորդ տարիների փաստացի մուտքերի միտումներից:</w:t>
      </w:r>
    </w:p>
    <w:p w:rsidR="000E047D" w:rsidRDefault="000E047D" w:rsidP="007730AA">
      <w:pPr>
        <w:spacing w:before="0" w:line="240" w:lineRule="auto"/>
        <w:ind w:firstLine="0"/>
        <w:contextualSpacing w:val="0"/>
        <w:jc w:val="left"/>
        <w:rPr>
          <w:rFonts w:cs="Sylfaen"/>
          <w:b w:val="0"/>
          <w:iCs/>
          <w:szCs w:val="22"/>
          <w:lang w:val="af-ZA" w:eastAsia="en-GB"/>
        </w:rPr>
      </w:pPr>
      <w:r>
        <w:rPr>
          <w:rFonts w:cs="Sylfaen"/>
          <w:b w:val="0"/>
          <w:iCs/>
          <w:szCs w:val="22"/>
          <w:lang w:val="af-ZA" w:eastAsia="en-GB"/>
        </w:rPr>
        <w:br w:type="page"/>
      </w:r>
    </w:p>
    <w:p w:rsidR="00060470" w:rsidRPr="004C6A24" w:rsidRDefault="00060470" w:rsidP="007730AA">
      <w:pPr>
        <w:pStyle w:val="Heading1"/>
        <w:spacing w:after="0"/>
        <w:rPr>
          <w:lang w:val="af-ZA"/>
        </w:rPr>
      </w:pPr>
      <w:bookmarkStart w:id="189" w:name="_Toc57655468"/>
      <w:r w:rsidRPr="00814DB2">
        <w:t>Մ</w:t>
      </w:r>
      <w:r w:rsidRPr="004C6A24">
        <w:rPr>
          <w:lang w:val="af-ZA"/>
        </w:rPr>
        <w:t xml:space="preserve"> </w:t>
      </w:r>
      <w:r w:rsidRPr="00814DB2">
        <w:t>Ա</w:t>
      </w:r>
      <w:r w:rsidRPr="004C6A24">
        <w:rPr>
          <w:lang w:val="af-ZA"/>
        </w:rPr>
        <w:t xml:space="preserve"> </w:t>
      </w:r>
      <w:r w:rsidRPr="00814DB2">
        <w:t>Ս</w:t>
      </w:r>
      <w:r w:rsidR="001E6978" w:rsidRPr="004C6A24">
        <w:rPr>
          <w:lang w:val="af-ZA"/>
        </w:rPr>
        <w:t xml:space="preserve"> </w:t>
      </w:r>
      <w:r w:rsidRPr="004C6A24">
        <w:rPr>
          <w:lang w:val="af-ZA"/>
        </w:rPr>
        <w:t xml:space="preserve">III – </w:t>
      </w:r>
      <w:r w:rsidRPr="00FC44D9">
        <w:t>Բ</w:t>
      </w:r>
      <w:r w:rsidRPr="004C6A24">
        <w:rPr>
          <w:lang w:val="af-ZA"/>
        </w:rPr>
        <w:t xml:space="preserve">. </w:t>
      </w:r>
      <w:r w:rsidRPr="00FC44D9">
        <w:t>Ծ</w:t>
      </w:r>
      <w:r w:rsidRPr="004C6A24">
        <w:rPr>
          <w:lang w:val="af-ZA"/>
        </w:rPr>
        <w:t xml:space="preserve"> </w:t>
      </w:r>
      <w:r w:rsidRPr="00FC44D9">
        <w:t>Ա</w:t>
      </w:r>
      <w:r w:rsidRPr="004C6A24">
        <w:rPr>
          <w:lang w:val="af-ZA"/>
        </w:rPr>
        <w:t xml:space="preserve"> </w:t>
      </w:r>
      <w:r w:rsidRPr="00FC44D9">
        <w:t>Խ</w:t>
      </w:r>
      <w:r w:rsidRPr="004C6A24">
        <w:rPr>
          <w:lang w:val="af-ZA"/>
        </w:rPr>
        <w:t xml:space="preserve"> </w:t>
      </w:r>
      <w:r w:rsidRPr="00FC44D9">
        <w:t>Ս</w:t>
      </w:r>
      <w:r w:rsidRPr="004C6A24">
        <w:rPr>
          <w:lang w:val="af-ZA"/>
        </w:rPr>
        <w:t xml:space="preserve"> </w:t>
      </w:r>
      <w:r w:rsidRPr="00FC44D9">
        <w:t>Ե</w:t>
      </w:r>
      <w:r w:rsidRPr="004C6A24">
        <w:rPr>
          <w:lang w:val="af-ZA"/>
        </w:rPr>
        <w:t xml:space="preserve"> </w:t>
      </w:r>
      <w:r w:rsidRPr="00FC44D9">
        <w:t>Ր</w:t>
      </w:r>
      <w:r w:rsidRPr="004C6A24">
        <w:rPr>
          <w:lang w:val="af-ZA"/>
        </w:rPr>
        <w:t xml:space="preserve"> </w:t>
      </w:r>
      <w:r w:rsidRPr="00FC44D9">
        <w:t>Ի</w:t>
      </w:r>
      <w:r w:rsidR="001E6978" w:rsidRPr="004C6A24">
        <w:rPr>
          <w:lang w:val="af-ZA"/>
        </w:rPr>
        <w:t xml:space="preserve"> </w:t>
      </w:r>
      <w:r w:rsidR="00C53FEE" w:rsidRPr="004C6A24">
        <w:rPr>
          <w:lang w:val="af-ZA"/>
        </w:rPr>
        <w:t xml:space="preserve"> </w:t>
      </w:r>
      <w:r w:rsidRPr="00FC44D9">
        <w:t>Կ</w:t>
      </w:r>
      <w:r w:rsidRPr="004C6A24">
        <w:rPr>
          <w:lang w:val="af-ZA"/>
        </w:rPr>
        <w:t xml:space="preserve"> </w:t>
      </w:r>
      <w:r w:rsidRPr="00FC44D9">
        <w:t>Ա</w:t>
      </w:r>
      <w:r w:rsidRPr="004C6A24">
        <w:rPr>
          <w:lang w:val="af-ZA"/>
        </w:rPr>
        <w:t xml:space="preserve"> </w:t>
      </w:r>
      <w:r w:rsidRPr="00FC44D9">
        <w:t>Ն</w:t>
      </w:r>
      <w:r w:rsidRPr="004C6A24">
        <w:rPr>
          <w:lang w:val="af-ZA"/>
        </w:rPr>
        <w:t xml:space="preserve"> </w:t>
      </w:r>
      <w:r w:rsidRPr="00FC44D9">
        <w:t>Խ</w:t>
      </w:r>
      <w:r w:rsidRPr="004C6A24">
        <w:rPr>
          <w:lang w:val="af-ZA"/>
        </w:rPr>
        <w:t xml:space="preserve"> </w:t>
      </w:r>
      <w:r w:rsidRPr="00FC44D9">
        <w:t>Ա</w:t>
      </w:r>
      <w:r w:rsidRPr="004C6A24">
        <w:rPr>
          <w:lang w:val="af-ZA"/>
        </w:rPr>
        <w:t xml:space="preserve"> </w:t>
      </w:r>
      <w:r w:rsidRPr="00FC44D9">
        <w:t>Տ</w:t>
      </w:r>
      <w:r w:rsidRPr="004C6A24">
        <w:rPr>
          <w:lang w:val="af-ZA"/>
        </w:rPr>
        <w:t xml:space="preserve"> </w:t>
      </w:r>
      <w:r w:rsidRPr="00FC44D9">
        <w:t>Ե</w:t>
      </w:r>
      <w:r w:rsidRPr="004C6A24">
        <w:rPr>
          <w:lang w:val="af-ZA"/>
        </w:rPr>
        <w:t xml:space="preserve"> </w:t>
      </w:r>
      <w:r w:rsidRPr="00FC44D9">
        <w:t>Ս</w:t>
      </w:r>
      <w:r w:rsidRPr="004C6A24">
        <w:rPr>
          <w:lang w:val="af-ZA"/>
        </w:rPr>
        <w:t xml:space="preserve"> </w:t>
      </w:r>
      <w:r w:rsidRPr="00FC44D9">
        <w:t>Ո</w:t>
      </w:r>
      <w:r w:rsidRPr="004C6A24">
        <w:rPr>
          <w:lang w:val="af-ZA"/>
        </w:rPr>
        <w:t xml:space="preserve"> </w:t>
      </w:r>
      <w:r w:rsidRPr="00FC44D9">
        <w:t>Ւ</w:t>
      </w:r>
      <w:r w:rsidRPr="004C6A24">
        <w:rPr>
          <w:lang w:val="af-ZA"/>
        </w:rPr>
        <w:t xml:space="preserve"> </w:t>
      </w:r>
      <w:r w:rsidRPr="00FC44D9">
        <w:t>Մ</w:t>
      </w:r>
      <w:bookmarkEnd w:id="189"/>
    </w:p>
    <w:p w:rsidR="0075265B" w:rsidRPr="00E903B3" w:rsidRDefault="0075265B" w:rsidP="007730AA">
      <w:pPr>
        <w:spacing w:before="0" w:line="276" w:lineRule="auto"/>
        <w:rPr>
          <w:rFonts w:cs="Sylfaen"/>
          <w:b w:val="0"/>
          <w:szCs w:val="22"/>
          <w:highlight w:val="cyan"/>
          <w:lang w:val="hy-AM" w:eastAsia="en-US"/>
        </w:rPr>
      </w:pPr>
      <w:r w:rsidRPr="004118EA">
        <w:rPr>
          <w:rFonts w:cs="Sylfaen"/>
          <w:b w:val="0"/>
          <w:szCs w:val="22"/>
          <w:lang w:val="hy-AM" w:eastAsia="en-US"/>
        </w:rPr>
        <w:t>ՀՀ 20</w:t>
      </w:r>
      <w:r w:rsidR="00D907FB" w:rsidRPr="004118EA">
        <w:rPr>
          <w:rFonts w:cs="Sylfaen"/>
          <w:b w:val="0"/>
          <w:szCs w:val="22"/>
          <w:lang w:val="hy-AM" w:eastAsia="en-US"/>
        </w:rPr>
        <w:t>2</w:t>
      </w:r>
      <w:r w:rsidR="004118EA" w:rsidRPr="004118EA">
        <w:rPr>
          <w:rFonts w:cs="Sylfaen"/>
          <w:b w:val="0"/>
          <w:szCs w:val="22"/>
          <w:lang w:val="hy-AM" w:eastAsia="en-US"/>
        </w:rPr>
        <w:t>1</w:t>
      </w:r>
      <w:r w:rsidRPr="004118EA">
        <w:rPr>
          <w:rFonts w:cs="Sylfaen"/>
          <w:b w:val="0"/>
          <w:szCs w:val="22"/>
          <w:lang w:val="hy-AM" w:eastAsia="en-US"/>
        </w:rPr>
        <w:t xml:space="preserve"> թվականի պետական բյուջեի նախագծով ծախսերի ծավալը ծրագրա</w:t>
      </w:r>
      <w:r w:rsidRPr="004118EA">
        <w:rPr>
          <w:rFonts w:cs="Sylfaen"/>
          <w:b w:val="0"/>
          <w:szCs w:val="22"/>
          <w:lang w:val="hy-AM" w:eastAsia="en-US"/>
        </w:rPr>
        <w:softHyphen/>
        <w:t>վորվել է շուրջ 1,</w:t>
      </w:r>
      <w:r w:rsidR="00D907FB" w:rsidRPr="004118EA">
        <w:rPr>
          <w:rFonts w:cs="Sylfaen"/>
          <w:b w:val="0"/>
          <w:szCs w:val="22"/>
          <w:lang w:val="hy-AM" w:eastAsia="en-US"/>
        </w:rPr>
        <w:t>8</w:t>
      </w:r>
      <w:r w:rsidR="00D94D7A">
        <w:rPr>
          <w:rFonts w:cs="Sylfaen"/>
          <w:b w:val="0"/>
          <w:szCs w:val="22"/>
          <w:lang w:val="hy-AM" w:eastAsia="en-US"/>
        </w:rPr>
        <w:t>50</w:t>
      </w:r>
      <w:r w:rsidR="00882881" w:rsidRPr="004118EA">
        <w:rPr>
          <w:rFonts w:cs="Sylfaen"/>
          <w:b w:val="0"/>
          <w:szCs w:val="22"/>
          <w:lang w:val="hy-AM" w:eastAsia="en-US"/>
        </w:rPr>
        <w:t>.</w:t>
      </w:r>
      <w:r w:rsidR="00D94D7A">
        <w:rPr>
          <w:rFonts w:cs="Sylfaen"/>
          <w:b w:val="0"/>
          <w:szCs w:val="22"/>
          <w:lang w:val="hy-AM" w:eastAsia="en-US"/>
        </w:rPr>
        <w:t>9</w:t>
      </w:r>
      <w:r w:rsidR="00D907FB" w:rsidRPr="004118EA">
        <w:rPr>
          <w:rFonts w:cs="Sylfaen"/>
          <w:b w:val="0"/>
          <w:szCs w:val="22"/>
          <w:lang w:val="hy-AM" w:eastAsia="en-US"/>
        </w:rPr>
        <w:t xml:space="preserve"> </w:t>
      </w:r>
      <w:r w:rsidRPr="004118EA">
        <w:rPr>
          <w:rFonts w:cs="Sylfaen"/>
          <w:b w:val="0"/>
          <w:szCs w:val="22"/>
          <w:lang w:val="hy-AM" w:eastAsia="en-US"/>
        </w:rPr>
        <w:t xml:space="preserve">մլրդ դրամի </w:t>
      </w:r>
      <w:r w:rsidRPr="00CE3D09">
        <w:rPr>
          <w:rFonts w:cs="Sylfaen"/>
          <w:b w:val="0"/>
          <w:szCs w:val="22"/>
          <w:lang w:val="hy-AM" w:eastAsia="en-US"/>
        </w:rPr>
        <w:t>չափով</w:t>
      </w:r>
      <w:r w:rsidR="00BE45D6" w:rsidRPr="00CE3D09">
        <w:rPr>
          <w:rFonts w:cs="Sylfaen"/>
          <w:b w:val="0"/>
          <w:szCs w:val="22"/>
          <w:lang w:val="hy-AM" w:eastAsia="en-US"/>
        </w:rPr>
        <w:t>:</w:t>
      </w:r>
      <w:r w:rsidRPr="00CE3D09">
        <w:rPr>
          <w:rFonts w:cs="Sylfaen"/>
          <w:b w:val="0"/>
          <w:szCs w:val="22"/>
          <w:lang w:val="hy-AM" w:eastAsia="en-US"/>
        </w:rPr>
        <w:t xml:space="preserve"> Ծախսերի ամբողջ ծավալի </w:t>
      </w:r>
      <w:r w:rsidR="004114AA" w:rsidRPr="00CE3D09">
        <w:rPr>
          <w:rFonts w:cs="Sylfaen"/>
          <w:b w:val="0"/>
          <w:szCs w:val="22"/>
          <w:lang w:val="hy-AM" w:eastAsia="en-US"/>
        </w:rPr>
        <w:t>8</w:t>
      </w:r>
      <w:r w:rsidR="00CE3D09" w:rsidRPr="00CE3D09">
        <w:rPr>
          <w:rFonts w:cs="Sylfaen"/>
          <w:b w:val="0"/>
          <w:szCs w:val="22"/>
          <w:lang w:val="hy-AM" w:eastAsia="en-US"/>
        </w:rPr>
        <w:t>8</w:t>
      </w:r>
      <w:r w:rsidR="00C53E84" w:rsidRPr="00CE3D09">
        <w:rPr>
          <w:rFonts w:cs="Sylfaen"/>
          <w:b w:val="0"/>
          <w:szCs w:val="22"/>
          <w:lang w:val="hy-AM" w:eastAsia="en-US"/>
        </w:rPr>
        <w:t>.</w:t>
      </w:r>
      <w:r w:rsidR="00CE3D09" w:rsidRPr="00CE3D09">
        <w:rPr>
          <w:rFonts w:cs="Sylfaen"/>
          <w:b w:val="0"/>
          <w:szCs w:val="22"/>
          <w:lang w:val="hy-AM" w:eastAsia="en-US"/>
        </w:rPr>
        <w:t>3%</w:t>
      </w:r>
      <w:r w:rsidRPr="00CE3D09">
        <w:rPr>
          <w:rFonts w:cs="Sylfaen"/>
          <w:b w:val="0"/>
          <w:szCs w:val="22"/>
          <w:lang w:val="hy-AM" w:eastAsia="en-US"/>
        </w:rPr>
        <w:t>-ը կամ 1</w:t>
      </w:r>
      <w:r w:rsidR="00B64746" w:rsidRPr="00CE3D09">
        <w:rPr>
          <w:rFonts w:cs="Sylfaen"/>
          <w:b w:val="0"/>
          <w:szCs w:val="22"/>
          <w:lang w:val="hy-AM" w:eastAsia="en-US"/>
        </w:rPr>
        <w:t>,</w:t>
      </w:r>
      <w:r w:rsidR="00CE3D09" w:rsidRPr="00CE3D09">
        <w:rPr>
          <w:rFonts w:cs="Sylfaen"/>
          <w:b w:val="0"/>
          <w:szCs w:val="22"/>
          <w:lang w:val="hy-AM" w:eastAsia="en-US"/>
        </w:rPr>
        <w:t>6</w:t>
      </w:r>
      <w:r w:rsidR="00D94D7A">
        <w:rPr>
          <w:rFonts w:cs="Sylfaen"/>
          <w:b w:val="0"/>
          <w:szCs w:val="22"/>
          <w:lang w:val="hy-AM" w:eastAsia="en-US"/>
        </w:rPr>
        <w:t>34</w:t>
      </w:r>
      <w:r w:rsidR="00465ED9" w:rsidRPr="00CE3D09">
        <w:rPr>
          <w:rFonts w:cs="Sylfaen"/>
          <w:b w:val="0"/>
          <w:szCs w:val="22"/>
          <w:lang w:val="hy-AM" w:eastAsia="en-US"/>
        </w:rPr>
        <w:t>.</w:t>
      </w:r>
      <w:r w:rsidR="00D94D7A">
        <w:rPr>
          <w:rFonts w:cs="Sylfaen"/>
          <w:b w:val="0"/>
          <w:szCs w:val="22"/>
          <w:lang w:val="hy-AM" w:eastAsia="en-US"/>
        </w:rPr>
        <w:t>6</w:t>
      </w:r>
      <w:r w:rsidR="00CE3D09" w:rsidRPr="00CE3D09">
        <w:rPr>
          <w:rFonts w:cs="Sylfaen"/>
          <w:b w:val="0"/>
          <w:szCs w:val="22"/>
          <w:lang w:val="hy-AM" w:eastAsia="en-US"/>
        </w:rPr>
        <w:t xml:space="preserve"> </w:t>
      </w:r>
      <w:r w:rsidRPr="00CE3D09">
        <w:rPr>
          <w:rFonts w:cs="Sylfaen"/>
          <w:b w:val="0"/>
          <w:szCs w:val="22"/>
          <w:lang w:val="hy-AM" w:eastAsia="en-US"/>
        </w:rPr>
        <w:t>մլրդ դրամը բա</w:t>
      </w:r>
      <w:r w:rsidRPr="00CE3D09">
        <w:rPr>
          <w:rFonts w:cs="Sylfaen"/>
          <w:b w:val="0"/>
          <w:szCs w:val="22"/>
          <w:lang w:val="hy-AM" w:eastAsia="en-US"/>
        </w:rPr>
        <w:softHyphen/>
        <w:t xml:space="preserve">ժին </w:t>
      </w:r>
      <w:r w:rsidR="007F5120" w:rsidRPr="00CE3D09">
        <w:rPr>
          <w:rFonts w:cs="Sylfaen"/>
          <w:b w:val="0"/>
          <w:szCs w:val="22"/>
          <w:lang w:val="hy-AM" w:eastAsia="en-US"/>
        </w:rPr>
        <w:t>է ընկ</w:t>
      </w:r>
      <w:r w:rsidR="007F5120" w:rsidRPr="00CE3D09">
        <w:rPr>
          <w:rFonts w:cs="Sylfaen"/>
          <w:b w:val="0"/>
          <w:szCs w:val="22"/>
          <w:lang w:val="hy-AM" w:eastAsia="en-US"/>
        </w:rPr>
        <w:softHyphen/>
        <w:t>նում ըն</w:t>
      </w:r>
      <w:r w:rsidR="007F5120" w:rsidRPr="00CE3D09">
        <w:rPr>
          <w:rFonts w:cs="Sylfaen"/>
          <w:b w:val="0"/>
          <w:szCs w:val="22"/>
          <w:lang w:val="hy-AM" w:eastAsia="en-US"/>
        </w:rPr>
        <w:softHyphen/>
        <w:t xml:space="preserve">թացիկ ծախսերին, </w:t>
      </w:r>
      <w:r w:rsidR="00F304D5" w:rsidRPr="00CE3D09">
        <w:rPr>
          <w:rFonts w:cs="Sylfaen"/>
          <w:b w:val="0"/>
          <w:szCs w:val="22"/>
          <w:lang w:val="hy-AM" w:eastAsia="en-US"/>
        </w:rPr>
        <w:t>1</w:t>
      </w:r>
      <w:r w:rsidR="00CE3D09" w:rsidRPr="00CE3D09">
        <w:rPr>
          <w:rFonts w:cs="Sylfaen"/>
          <w:b w:val="0"/>
          <w:szCs w:val="22"/>
          <w:lang w:val="hy-AM" w:eastAsia="en-US"/>
        </w:rPr>
        <w:t>1</w:t>
      </w:r>
      <w:r w:rsidRPr="00CE3D09">
        <w:rPr>
          <w:rFonts w:cs="Sylfaen"/>
          <w:b w:val="0"/>
          <w:szCs w:val="22"/>
          <w:lang w:val="hy-AM" w:eastAsia="en-US"/>
        </w:rPr>
        <w:t>.</w:t>
      </w:r>
      <w:r w:rsidR="00CE3D09" w:rsidRPr="00CE3D09">
        <w:rPr>
          <w:rFonts w:cs="Sylfaen"/>
          <w:b w:val="0"/>
          <w:szCs w:val="22"/>
          <w:lang w:val="hy-AM" w:eastAsia="en-US"/>
        </w:rPr>
        <w:t>7</w:t>
      </w:r>
      <w:r w:rsidRPr="00CE3D09">
        <w:rPr>
          <w:rFonts w:cs="Sylfaen"/>
          <w:b w:val="0"/>
          <w:szCs w:val="22"/>
          <w:lang w:val="hy-AM" w:eastAsia="en-US"/>
        </w:rPr>
        <w:t xml:space="preserve"> %-ը կամ </w:t>
      </w:r>
      <w:r w:rsidR="00BE45D6" w:rsidRPr="00CE3D09">
        <w:rPr>
          <w:rFonts w:cs="Sylfaen"/>
          <w:b w:val="0"/>
          <w:szCs w:val="22"/>
          <w:lang w:val="hy-AM" w:eastAsia="en-US"/>
        </w:rPr>
        <w:t>2</w:t>
      </w:r>
      <w:r w:rsidR="00CE3D09" w:rsidRPr="00CE3D09">
        <w:rPr>
          <w:rFonts w:cs="Sylfaen"/>
          <w:b w:val="0"/>
          <w:szCs w:val="22"/>
          <w:lang w:val="hy-AM" w:eastAsia="en-US"/>
        </w:rPr>
        <w:t>1</w:t>
      </w:r>
      <w:r w:rsidR="00D94D7A">
        <w:rPr>
          <w:rFonts w:cs="Sylfaen"/>
          <w:b w:val="0"/>
          <w:szCs w:val="22"/>
          <w:lang w:val="hy-AM" w:eastAsia="en-US"/>
        </w:rPr>
        <w:t>6</w:t>
      </w:r>
      <w:r w:rsidR="00BE45D6" w:rsidRPr="00CE3D09">
        <w:rPr>
          <w:rFonts w:cs="Sylfaen"/>
          <w:b w:val="0"/>
          <w:szCs w:val="22"/>
          <w:lang w:val="hy-AM" w:eastAsia="en-US"/>
        </w:rPr>
        <w:t>.</w:t>
      </w:r>
      <w:r w:rsidR="00D94D7A">
        <w:rPr>
          <w:rFonts w:cs="Sylfaen"/>
          <w:b w:val="0"/>
          <w:szCs w:val="22"/>
          <w:lang w:val="hy-AM" w:eastAsia="en-US"/>
        </w:rPr>
        <w:t>3</w:t>
      </w:r>
      <w:r w:rsidRPr="00CE3D09">
        <w:rPr>
          <w:rFonts w:cs="Sylfaen"/>
          <w:b w:val="0"/>
          <w:szCs w:val="22"/>
          <w:lang w:val="hy-AM" w:eastAsia="en-US"/>
        </w:rPr>
        <w:t xml:space="preserve"> մլրդ դրամը՝ ոչ ֆինանսական ակ</w:t>
      </w:r>
      <w:r w:rsidR="00BE45D6" w:rsidRPr="00CE3D09">
        <w:rPr>
          <w:rFonts w:cs="Sylfaen"/>
          <w:b w:val="0"/>
          <w:szCs w:val="22"/>
          <w:lang w:val="hy-AM" w:eastAsia="en-US"/>
        </w:rPr>
        <w:softHyphen/>
      </w:r>
      <w:r w:rsidRPr="00CE3D09">
        <w:rPr>
          <w:rFonts w:cs="Sylfaen"/>
          <w:b w:val="0"/>
          <w:szCs w:val="22"/>
          <w:lang w:val="hy-AM" w:eastAsia="en-US"/>
        </w:rPr>
        <w:t>տիվ</w:t>
      </w:r>
      <w:r w:rsidR="00BE45D6" w:rsidRPr="00CE3D09">
        <w:rPr>
          <w:rFonts w:cs="Sylfaen"/>
          <w:b w:val="0"/>
          <w:szCs w:val="22"/>
          <w:lang w:val="hy-AM" w:eastAsia="en-US"/>
        </w:rPr>
        <w:softHyphen/>
      </w:r>
      <w:r w:rsidRPr="00CE3D09">
        <w:rPr>
          <w:rFonts w:cs="Sylfaen"/>
          <w:b w:val="0"/>
          <w:szCs w:val="22"/>
          <w:lang w:val="hy-AM" w:eastAsia="en-US"/>
        </w:rPr>
        <w:softHyphen/>
      </w:r>
      <w:r w:rsidR="00BE45D6" w:rsidRPr="00CE3D09">
        <w:rPr>
          <w:rFonts w:cs="Sylfaen"/>
          <w:b w:val="0"/>
          <w:szCs w:val="22"/>
          <w:lang w:val="hy-AM" w:eastAsia="en-US"/>
        </w:rPr>
        <w:softHyphen/>
      </w:r>
      <w:r w:rsidRPr="00CE3D09">
        <w:rPr>
          <w:rFonts w:cs="Sylfaen"/>
          <w:b w:val="0"/>
          <w:szCs w:val="22"/>
          <w:lang w:val="hy-AM" w:eastAsia="en-US"/>
        </w:rPr>
        <w:t>ների գծով զուտ ծախ</w:t>
      </w:r>
      <w:r w:rsidRPr="00CE3D09">
        <w:rPr>
          <w:rFonts w:cs="Sylfaen"/>
          <w:b w:val="0"/>
          <w:szCs w:val="22"/>
          <w:lang w:val="hy-AM" w:eastAsia="en-US"/>
        </w:rPr>
        <w:softHyphen/>
        <w:t>սերին: ՀՀ 20</w:t>
      </w:r>
      <w:r w:rsidR="00D907FB" w:rsidRPr="00CE3D09">
        <w:rPr>
          <w:rFonts w:cs="Sylfaen"/>
          <w:b w:val="0"/>
          <w:szCs w:val="22"/>
          <w:lang w:val="hy-AM" w:eastAsia="en-US"/>
        </w:rPr>
        <w:t>2</w:t>
      </w:r>
      <w:r w:rsidR="00CE3D09" w:rsidRPr="00CE3D09">
        <w:rPr>
          <w:rFonts w:cs="Sylfaen"/>
          <w:b w:val="0"/>
          <w:szCs w:val="22"/>
          <w:lang w:val="hy-AM" w:eastAsia="en-US"/>
        </w:rPr>
        <w:t>1</w:t>
      </w:r>
      <w:r w:rsidRPr="00CE3D09">
        <w:rPr>
          <w:rFonts w:cs="Sylfaen"/>
          <w:b w:val="0"/>
          <w:szCs w:val="22"/>
          <w:lang w:val="hy-AM" w:eastAsia="en-US"/>
        </w:rPr>
        <w:t xml:space="preserve"> թվականի պետական բյուջեի նախագծի ծախ</w:t>
      </w:r>
      <w:r w:rsidR="00BE45D6" w:rsidRPr="00CE3D09">
        <w:rPr>
          <w:rFonts w:cs="Sylfaen"/>
          <w:b w:val="0"/>
          <w:szCs w:val="22"/>
          <w:lang w:val="hy-AM" w:eastAsia="en-US"/>
        </w:rPr>
        <w:softHyphen/>
      </w:r>
      <w:r w:rsidRPr="00CE3D09">
        <w:rPr>
          <w:rFonts w:cs="Sylfaen"/>
          <w:b w:val="0"/>
          <w:szCs w:val="22"/>
          <w:lang w:val="hy-AM" w:eastAsia="en-US"/>
        </w:rPr>
        <w:t>սա</w:t>
      </w:r>
      <w:r w:rsidR="00BE45D6" w:rsidRPr="00CE3D09">
        <w:rPr>
          <w:rFonts w:cs="Sylfaen"/>
          <w:b w:val="0"/>
          <w:szCs w:val="22"/>
          <w:lang w:val="hy-AM" w:eastAsia="en-US"/>
        </w:rPr>
        <w:softHyphen/>
      </w:r>
      <w:r w:rsidRPr="00CE3D09">
        <w:rPr>
          <w:rFonts w:cs="Sylfaen"/>
          <w:b w:val="0"/>
          <w:szCs w:val="22"/>
          <w:lang w:val="hy-AM" w:eastAsia="en-US"/>
        </w:rPr>
        <w:t>յին մասը ՀՀ 20</w:t>
      </w:r>
      <w:r w:rsidR="00CE3D09" w:rsidRPr="00CE3D09">
        <w:rPr>
          <w:rFonts w:cs="Sylfaen"/>
          <w:b w:val="0"/>
          <w:szCs w:val="22"/>
          <w:lang w:val="hy-AM" w:eastAsia="en-US"/>
        </w:rPr>
        <w:t>20</w:t>
      </w:r>
      <w:r w:rsidRPr="00CE3D09">
        <w:rPr>
          <w:rFonts w:cs="Sylfaen"/>
          <w:b w:val="0"/>
          <w:szCs w:val="22"/>
          <w:lang w:val="hy-AM" w:eastAsia="en-US"/>
        </w:rPr>
        <w:t xml:space="preserve"> թվականի պե</w:t>
      </w:r>
      <w:r w:rsidRPr="00CE3D09">
        <w:rPr>
          <w:rFonts w:cs="Sylfaen"/>
          <w:b w:val="0"/>
          <w:szCs w:val="22"/>
          <w:lang w:val="hy-AM" w:eastAsia="en-US"/>
        </w:rPr>
        <w:softHyphen/>
        <w:t>տա</w:t>
      </w:r>
      <w:r w:rsidRPr="00CE3D09">
        <w:rPr>
          <w:rFonts w:cs="Sylfaen"/>
          <w:b w:val="0"/>
          <w:szCs w:val="22"/>
          <w:lang w:val="hy-AM" w:eastAsia="en-US"/>
        </w:rPr>
        <w:softHyphen/>
        <w:t xml:space="preserve">կան բյուջեի </w:t>
      </w:r>
      <w:r w:rsidR="00CE3D09" w:rsidRPr="00CE3D09">
        <w:rPr>
          <w:rFonts w:cs="Sylfaen"/>
          <w:b w:val="0"/>
          <w:szCs w:val="22"/>
          <w:lang w:val="hy-AM" w:eastAsia="en-US"/>
        </w:rPr>
        <w:t>հաստատված</w:t>
      </w:r>
      <w:r w:rsidRPr="00CE3D09">
        <w:rPr>
          <w:rFonts w:cs="Sylfaen"/>
          <w:b w:val="0"/>
          <w:szCs w:val="22"/>
          <w:lang w:val="hy-AM" w:eastAsia="en-US"/>
        </w:rPr>
        <w:t xml:space="preserve"> մակարդակի համեմատ </w:t>
      </w:r>
      <w:r w:rsidR="00CE3D09" w:rsidRPr="00CE3D09">
        <w:rPr>
          <w:rFonts w:cs="Sylfaen"/>
          <w:b w:val="0"/>
          <w:szCs w:val="22"/>
          <w:lang w:val="hy-AM" w:eastAsia="en-US"/>
        </w:rPr>
        <w:t>նվազել</w:t>
      </w:r>
      <w:r w:rsidRPr="00CE3D09">
        <w:rPr>
          <w:rFonts w:cs="Sylfaen"/>
          <w:b w:val="0"/>
          <w:szCs w:val="22"/>
          <w:lang w:val="hy-AM" w:eastAsia="en-US"/>
        </w:rPr>
        <w:t xml:space="preserve"> է շուրջ </w:t>
      </w:r>
      <w:r w:rsidR="00D94D7A">
        <w:rPr>
          <w:rFonts w:cs="Sylfaen"/>
          <w:b w:val="0"/>
          <w:szCs w:val="22"/>
          <w:lang w:val="hy-AM" w:eastAsia="en-US"/>
        </w:rPr>
        <w:t>4</w:t>
      </w:r>
      <w:r w:rsidRPr="00CE3D09">
        <w:rPr>
          <w:rFonts w:cs="Sylfaen"/>
          <w:b w:val="0"/>
          <w:szCs w:val="22"/>
          <w:lang w:val="hy-AM" w:eastAsia="en-US"/>
        </w:rPr>
        <w:t>.</w:t>
      </w:r>
      <w:r w:rsidR="00D94D7A">
        <w:rPr>
          <w:rFonts w:cs="Sylfaen"/>
          <w:b w:val="0"/>
          <w:szCs w:val="22"/>
          <w:lang w:val="hy-AM" w:eastAsia="en-US"/>
        </w:rPr>
        <w:t>8</w:t>
      </w:r>
      <w:r w:rsidR="001E6978" w:rsidRPr="00CE3D09">
        <w:rPr>
          <w:rFonts w:cs="Sylfaen"/>
          <w:b w:val="0"/>
          <w:szCs w:val="22"/>
          <w:lang w:val="hy-AM" w:eastAsia="en-US"/>
        </w:rPr>
        <w:t xml:space="preserve"> </w:t>
      </w:r>
      <w:r w:rsidRPr="00CE3D09">
        <w:rPr>
          <w:rFonts w:cs="Sylfaen"/>
          <w:b w:val="0"/>
          <w:szCs w:val="22"/>
          <w:lang w:val="hy-AM" w:eastAsia="en-US"/>
        </w:rPr>
        <w:t xml:space="preserve">մլրդ դրամով: </w:t>
      </w:r>
    </w:p>
    <w:p w:rsidR="0075265B" w:rsidRPr="00CE3D09" w:rsidRDefault="0075265B" w:rsidP="007730AA">
      <w:pPr>
        <w:spacing w:before="0" w:line="276" w:lineRule="auto"/>
        <w:rPr>
          <w:rFonts w:cs="Sylfaen"/>
          <w:b w:val="0"/>
          <w:szCs w:val="22"/>
          <w:lang w:val="hy-AM" w:eastAsia="en-US"/>
        </w:rPr>
      </w:pPr>
      <w:r w:rsidRPr="00CE3D09">
        <w:rPr>
          <w:rFonts w:cs="Sylfaen"/>
          <w:b w:val="0"/>
          <w:szCs w:val="22"/>
          <w:lang w:val="hy-AM" w:eastAsia="en-US"/>
        </w:rPr>
        <w:t>Նախագծով առաջարկվող բյուջետային ծախսերի ծավալները, կազմն ու կառուցվա</w:t>
      </w:r>
      <w:r w:rsidR="00D907FB" w:rsidRPr="00CE3D09">
        <w:rPr>
          <w:rFonts w:cs="Sylfaen"/>
          <w:b w:val="0"/>
          <w:szCs w:val="22"/>
          <w:lang w:val="hy-AM" w:eastAsia="en-US"/>
        </w:rPr>
        <w:t>ծքը ձևա</w:t>
      </w:r>
      <w:r w:rsidR="00D907FB" w:rsidRPr="00CE3D09">
        <w:rPr>
          <w:rFonts w:cs="Sylfaen"/>
          <w:b w:val="0"/>
          <w:szCs w:val="22"/>
          <w:lang w:val="hy-AM" w:eastAsia="en-US"/>
        </w:rPr>
        <w:softHyphen/>
      </w:r>
      <w:r w:rsidR="00D907FB" w:rsidRPr="00CE3D09">
        <w:rPr>
          <w:rFonts w:cs="Sylfaen"/>
          <w:b w:val="0"/>
          <w:szCs w:val="22"/>
          <w:lang w:val="hy-AM" w:eastAsia="en-US"/>
        </w:rPr>
        <w:softHyphen/>
      </w:r>
      <w:r w:rsidR="00D907FB" w:rsidRPr="00CE3D09">
        <w:rPr>
          <w:rFonts w:cs="Sylfaen"/>
          <w:b w:val="0"/>
          <w:szCs w:val="22"/>
          <w:lang w:val="hy-AM" w:eastAsia="en-US"/>
        </w:rPr>
        <w:softHyphen/>
        <w:t>վոր</w:t>
      </w:r>
      <w:r w:rsidR="00D907FB" w:rsidRPr="00CE3D09">
        <w:rPr>
          <w:rFonts w:cs="Sylfaen"/>
          <w:b w:val="0"/>
          <w:szCs w:val="22"/>
          <w:lang w:val="hy-AM" w:eastAsia="en-US"/>
        </w:rPr>
        <w:softHyphen/>
        <w:t>վել են ելնելով 202</w:t>
      </w:r>
      <w:r w:rsidR="00CE3D09" w:rsidRPr="00CE3D09">
        <w:rPr>
          <w:rFonts w:cs="Sylfaen"/>
          <w:b w:val="0"/>
          <w:szCs w:val="22"/>
          <w:lang w:val="hy-AM" w:eastAsia="en-US"/>
        </w:rPr>
        <w:t>1</w:t>
      </w:r>
      <w:r w:rsidRPr="00CE3D09">
        <w:rPr>
          <w:rFonts w:cs="Sylfaen"/>
          <w:b w:val="0"/>
          <w:szCs w:val="22"/>
          <w:lang w:val="hy-AM" w:eastAsia="en-US"/>
        </w:rPr>
        <w:t xml:space="preserve"> թվականի մակրոտնտեսական կանխա</w:t>
      </w:r>
      <w:r w:rsidRPr="00CE3D09">
        <w:rPr>
          <w:rFonts w:cs="Sylfaen"/>
          <w:b w:val="0"/>
          <w:szCs w:val="22"/>
          <w:lang w:val="hy-AM" w:eastAsia="en-US"/>
        </w:rPr>
        <w:softHyphen/>
        <w:t>տեսումներից, գների և սա</w:t>
      </w:r>
      <w:r w:rsidRPr="00CE3D09">
        <w:rPr>
          <w:rFonts w:cs="Sylfaen"/>
          <w:b w:val="0"/>
          <w:szCs w:val="22"/>
          <w:lang w:val="hy-AM" w:eastAsia="en-US"/>
        </w:rPr>
        <w:softHyphen/>
        <w:t>կագների կանխատեսվող ցուցանիշներից, հանրապետու</w:t>
      </w:r>
      <w:r w:rsidRPr="00CE3D09">
        <w:rPr>
          <w:rFonts w:cs="Sylfaen"/>
          <w:b w:val="0"/>
          <w:szCs w:val="22"/>
          <w:lang w:val="hy-AM" w:eastAsia="en-US"/>
        </w:rPr>
        <w:softHyphen/>
        <w:t>թյունում տնտեսական հարա</w:t>
      </w:r>
      <w:r w:rsidRPr="00CE3D09">
        <w:rPr>
          <w:rFonts w:cs="Sylfaen"/>
          <w:b w:val="0"/>
          <w:szCs w:val="22"/>
          <w:lang w:val="hy-AM" w:eastAsia="en-US"/>
        </w:rPr>
        <w:softHyphen/>
        <w:t>բե</w:t>
      </w:r>
      <w:r w:rsidRPr="00CE3D09">
        <w:rPr>
          <w:rFonts w:cs="Sylfaen"/>
          <w:b w:val="0"/>
          <w:szCs w:val="22"/>
          <w:lang w:val="hy-AM" w:eastAsia="en-US"/>
        </w:rPr>
        <w:softHyphen/>
        <w:t>րու</w:t>
      </w:r>
      <w:r w:rsidRPr="00CE3D09">
        <w:rPr>
          <w:rFonts w:cs="Sylfaen"/>
          <w:b w:val="0"/>
          <w:szCs w:val="22"/>
          <w:lang w:val="hy-AM" w:eastAsia="en-US"/>
        </w:rPr>
        <w:softHyphen/>
      </w:r>
      <w:r w:rsidRPr="00CE3D09">
        <w:rPr>
          <w:rFonts w:cs="Sylfaen"/>
          <w:b w:val="0"/>
          <w:szCs w:val="22"/>
          <w:lang w:val="hy-AM" w:eastAsia="en-US"/>
        </w:rPr>
        <w:softHyphen/>
        <w:t>թյուն</w:t>
      </w:r>
      <w:r w:rsidRPr="00CE3D09">
        <w:rPr>
          <w:rFonts w:cs="Sylfaen"/>
          <w:b w:val="0"/>
          <w:szCs w:val="22"/>
          <w:lang w:val="hy-AM" w:eastAsia="en-US"/>
        </w:rPr>
        <w:softHyphen/>
      </w:r>
      <w:r w:rsidRPr="00CE3D09">
        <w:rPr>
          <w:rFonts w:cs="Sylfaen"/>
          <w:b w:val="0"/>
          <w:szCs w:val="22"/>
          <w:lang w:val="hy-AM" w:eastAsia="en-US"/>
        </w:rPr>
        <w:softHyphen/>
        <w:t>ների բնա</w:t>
      </w:r>
      <w:r w:rsidRPr="00CE3D09">
        <w:rPr>
          <w:rFonts w:cs="Sylfaen"/>
          <w:b w:val="0"/>
          <w:szCs w:val="22"/>
          <w:lang w:val="hy-AM" w:eastAsia="en-US"/>
        </w:rPr>
        <w:softHyphen/>
        <w:t>կա</w:t>
      </w:r>
      <w:r w:rsidRPr="00CE3D09">
        <w:rPr>
          <w:rFonts w:cs="Sylfaen"/>
          <w:b w:val="0"/>
          <w:szCs w:val="22"/>
          <w:lang w:val="hy-AM" w:eastAsia="en-US"/>
        </w:rPr>
        <w:softHyphen/>
        <w:t>նոն ընթացքը խաթարող նոր բյուջետային պարտքերի չառաջացման ան</w:t>
      </w:r>
      <w:r w:rsidRPr="00CE3D09">
        <w:rPr>
          <w:rFonts w:cs="Sylfaen"/>
          <w:b w:val="0"/>
          <w:szCs w:val="22"/>
          <w:lang w:val="hy-AM" w:eastAsia="en-US"/>
        </w:rPr>
        <w:softHyphen/>
        <w:t>հրա</w:t>
      </w:r>
      <w:r w:rsidRPr="00CE3D09">
        <w:rPr>
          <w:rFonts w:cs="Sylfaen"/>
          <w:b w:val="0"/>
          <w:szCs w:val="22"/>
          <w:lang w:val="hy-AM" w:eastAsia="en-US"/>
        </w:rPr>
        <w:softHyphen/>
      </w:r>
      <w:r w:rsidRPr="00CE3D09">
        <w:rPr>
          <w:rFonts w:cs="Sylfaen"/>
          <w:b w:val="0"/>
          <w:szCs w:val="22"/>
          <w:lang w:val="hy-AM" w:eastAsia="en-US"/>
        </w:rPr>
        <w:softHyphen/>
        <w:t>ժեշտությունից ու առանձին ծախսա</w:t>
      </w:r>
      <w:r w:rsidRPr="00CE3D09">
        <w:rPr>
          <w:rFonts w:cs="Sylfaen"/>
          <w:b w:val="0"/>
          <w:szCs w:val="22"/>
          <w:lang w:val="hy-AM" w:eastAsia="en-US"/>
        </w:rPr>
        <w:softHyphen/>
        <w:t>տե</w:t>
      </w:r>
      <w:r w:rsidRPr="00CE3D09">
        <w:rPr>
          <w:rFonts w:cs="Sylfaen"/>
          <w:b w:val="0"/>
          <w:szCs w:val="22"/>
          <w:lang w:val="hy-AM" w:eastAsia="en-US"/>
        </w:rPr>
        <w:softHyphen/>
        <w:t>սակների գծով մշակված բյուջետային նոր</w:t>
      </w:r>
      <w:r w:rsidRPr="00CE3D09">
        <w:rPr>
          <w:rFonts w:cs="Sylfaen"/>
          <w:b w:val="0"/>
          <w:szCs w:val="22"/>
          <w:lang w:val="hy-AM" w:eastAsia="en-US"/>
        </w:rPr>
        <w:softHyphen/>
        <w:t>մատի</w:t>
      </w:r>
      <w:r w:rsidRPr="00CE3D09">
        <w:rPr>
          <w:rFonts w:cs="Sylfaen"/>
          <w:b w:val="0"/>
          <w:szCs w:val="22"/>
          <w:lang w:val="hy-AM" w:eastAsia="en-US"/>
        </w:rPr>
        <w:softHyphen/>
        <w:t>վ</w:t>
      </w:r>
      <w:r w:rsidRPr="00CE3D09">
        <w:rPr>
          <w:rFonts w:cs="Sylfaen"/>
          <w:b w:val="0"/>
          <w:szCs w:val="22"/>
          <w:lang w:val="hy-AM" w:eastAsia="en-US"/>
        </w:rPr>
        <w:softHyphen/>
        <w:t>նե</w:t>
      </w:r>
      <w:r w:rsidRPr="00CE3D09">
        <w:rPr>
          <w:rFonts w:cs="Sylfaen"/>
          <w:b w:val="0"/>
          <w:szCs w:val="22"/>
          <w:lang w:val="hy-AM" w:eastAsia="en-US"/>
        </w:rPr>
        <w:softHyphen/>
        <w:t>րից:</w:t>
      </w:r>
    </w:p>
    <w:p w:rsidR="00FC44D9" w:rsidRPr="00CE3D09" w:rsidRDefault="0075265B" w:rsidP="007730AA">
      <w:pPr>
        <w:pStyle w:val="BodyText2"/>
        <w:ind w:left="0"/>
      </w:pPr>
      <w:r w:rsidRPr="00CE3D09">
        <w:t>«Հայաստանի Հանրապետության 20</w:t>
      </w:r>
      <w:r w:rsidR="00D907FB" w:rsidRPr="00CE3D09">
        <w:t>2</w:t>
      </w:r>
      <w:r w:rsidR="00CE3D09" w:rsidRPr="00CE3D09">
        <w:t>1</w:t>
      </w:r>
      <w:r w:rsidRPr="00CE3D09">
        <w:t xml:space="preserve"> թվականի պետական բյուջեի մասին» ՀՀ օրեն</w:t>
      </w:r>
      <w:r w:rsidRPr="00CE3D09">
        <w:softHyphen/>
        <w:t>քի նա</w:t>
      </w:r>
      <w:r w:rsidRPr="00CE3D09">
        <w:softHyphen/>
        <w:t>խագ</w:t>
      </w:r>
      <w:r w:rsidR="00D907FB" w:rsidRPr="00CE3D09">
        <w:t>ի</w:t>
      </w:r>
      <w:r w:rsidRPr="00CE3D09">
        <w:t>ծը</w:t>
      </w:r>
      <w:r w:rsidR="001E6978" w:rsidRPr="00CE3D09">
        <w:t xml:space="preserve"> </w:t>
      </w:r>
      <w:r w:rsidRPr="00CE3D09">
        <w:t>կազմվել է Ծրագրային բյուջետավորման</w:t>
      </w:r>
      <w:r w:rsidR="001E6978" w:rsidRPr="00CE3D09">
        <w:t xml:space="preserve"> </w:t>
      </w:r>
      <w:r w:rsidRPr="00CE3D09">
        <w:t>ձևաչափով՝</w:t>
      </w:r>
      <w:r w:rsidR="001E6978" w:rsidRPr="00CE3D09">
        <w:t xml:space="preserve"> </w:t>
      </w:r>
      <w:r w:rsidRPr="00CE3D09">
        <w:t>«Հայաստանի Հանրապետու</w:t>
      </w:r>
      <w:r w:rsidR="00B330BE" w:rsidRPr="00CE3D09">
        <w:softHyphen/>
      </w:r>
      <w:r w:rsidRPr="00CE3D09">
        <w:t>թյան բյուջետային</w:t>
      </w:r>
      <w:r w:rsidR="001E6978" w:rsidRPr="00CE3D09">
        <w:t xml:space="preserve"> </w:t>
      </w:r>
      <w:r w:rsidRPr="00CE3D09">
        <w:t>համակարգի</w:t>
      </w:r>
      <w:r w:rsidR="001E6978" w:rsidRPr="00CE3D09">
        <w:t xml:space="preserve"> </w:t>
      </w:r>
      <w:r w:rsidRPr="00CE3D09">
        <w:t>մաս</w:t>
      </w:r>
      <w:r w:rsidR="00C9600C" w:rsidRPr="00CE3D09">
        <w:t>ին» ՀՀ</w:t>
      </w:r>
      <w:r w:rsidR="004630AC" w:rsidRPr="00CE3D09">
        <w:t xml:space="preserve"> </w:t>
      </w:r>
      <w:r w:rsidR="00C9600C" w:rsidRPr="00CE3D09">
        <w:t xml:space="preserve"> օրենքի </w:t>
      </w:r>
      <w:r w:rsidRPr="00CE3D09">
        <w:t>պահանջ</w:t>
      </w:r>
      <w:r w:rsidR="004630AC" w:rsidRPr="00CE3D09">
        <w:softHyphen/>
      </w:r>
      <w:r w:rsidRPr="00CE3D09">
        <w:t>ներին</w:t>
      </w:r>
      <w:r w:rsidR="001E6978" w:rsidRPr="00CE3D09">
        <w:t xml:space="preserve"> </w:t>
      </w:r>
      <w:r w:rsidRPr="00CE3D09">
        <w:t>համահունչ,</w:t>
      </w:r>
      <w:r w:rsidR="001E6978" w:rsidRPr="00CE3D09">
        <w:t xml:space="preserve"> </w:t>
      </w:r>
      <w:r w:rsidRPr="00CE3D09">
        <w:t>ապահովելով ծրագրայ</w:t>
      </w:r>
      <w:r w:rsidR="00C9600C" w:rsidRPr="00CE3D09">
        <w:t xml:space="preserve">ին բյուջետավորման սկզբունքների </w:t>
      </w:r>
      <w:r w:rsidRPr="00CE3D09">
        <w:t>ամբողջական ներդրումը: Ծրագրային բյուջետա</w:t>
      </w:r>
      <w:r w:rsidR="004630AC" w:rsidRPr="00CE3D09">
        <w:softHyphen/>
      </w:r>
      <w:r w:rsidRPr="00CE3D09">
        <w:t>վոր</w:t>
      </w:r>
      <w:r w:rsidR="004630AC" w:rsidRPr="00CE3D09">
        <w:softHyphen/>
      </w:r>
      <w:r w:rsidRPr="00CE3D09">
        <w:t>ման համակարգի ներդրման հիմնական նպատակն է բարելավել հանրային ծախսերի առաջնահերթությունների սահմանումը և բարձրացնել հանրային ֆինանսների կառավարման թափանցիկությունը, հաշվետվողա</w:t>
      </w:r>
      <w:r w:rsidR="00465ED9" w:rsidRPr="00CE3D09">
        <w:softHyphen/>
      </w:r>
      <w:r w:rsidRPr="00CE3D09">
        <w:t>կանությունը, արդյունավետությունը և արդյունքայնությունը, ինչպես նաև բյուջետային տեղեկատվությունը ներկայացնել այնպիսի ձևաչափով, որը</w:t>
      </w:r>
      <w:r w:rsidR="001E6978" w:rsidRPr="00CE3D09">
        <w:t xml:space="preserve"> </w:t>
      </w:r>
      <w:r w:rsidRPr="00CE3D09">
        <w:t>հնարավոր կդարձնի վերահսկել, թե ինչպես է բյուջեն օգտագործվում ընդունված քաղաքա</w:t>
      </w:r>
      <w:r w:rsidR="004630AC" w:rsidRPr="00CE3D09">
        <w:softHyphen/>
      </w:r>
      <w:r w:rsidRPr="00CE3D09">
        <w:t>կանություններն իրականաց</w:t>
      </w:r>
      <w:r w:rsidRPr="00CE3D09">
        <w:softHyphen/>
        <w:t>նելու համար: Փոփոխությունները</w:t>
      </w:r>
      <w:r w:rsidR="001E6978" w:rsidRPr="00CE3D09">
        <w:t xml:space="preserve"> </w:t>
      </w:r>
      <w:r w:rsidRPr="00CE3D09">
        <w:t>ֆորմալ առումով ուղղված են ծրագրային դասակարգումը՝ որպես բյուջետային հատկացումների հիմնական դասակարգում սահմանելուն, բյուջետային գործընթացի բոլոր փուլերում (բյուջեի պլանավորում, կատարում, հաշվետվողականություն):</w:t>
      </w:r>
    </w:p>
    <w:p w:rsidR="004630AC" w:rsidRDefault="004630AC" w:rsidP="007730AA">
      <w:pPr>
        <w:pStyle w:val="BodyText2"/>
        <w:ind w:left="0"/>
        <w:rPr>
          <w:rFonts w:cs="Times Armenian"/>
          <w:color w:val="000000"/>
        </w:rPr>
      </w:pPr>
      <w:r w:rsidRPr="00CE3D09">
        <w:t>ՀՀ 20</w:t>
      </w:r>
      <w:r w:rsidR="005B556E" w:rsidRPr="00CE3D09">
        <w:t>2</w:t>
      </w:r>
      <w:r w:rsidR="00CE3D09">
        <w:t>1</w:t>
      </w:r>
      <w:r w:rsidRPr="00CE3D09">
        <w:t xml:space="preserve"> թվականի պետական բյուջեի նախագծով </w:t>
      </w:r>
      <w:r w:rsidR="005D70C0" w:rsidRPr="00CE3D09">
        <w:t>ելքային</w:t>
      </w:r>
      <w:r w:rsidRPr="00CE3D09">
        <w:t xml:space="preserve"> ծրագրերի </w:t>
      </w:r>
      <w:r w:rsidR="005D70C0" w:rsidRPr="00CE3D09">
        <w:t xml:space="preserve">և միջոցառումների գծով արդյունքային (կատարողական) ցուցանիշներն ու ծախսային </w:t>
      </w:r>
      <w:r w:rsidRPr="00CE3D09">
        <w:t xml:space="preserve"> ծրագր</w:t>
      </w:r>
      <w:r w:rsidR="005D70C0" w:rsidRPr="00CE3D09">
        <w:t xml:space="preserve">երի գծով վերջնական </w:t>
      </w:r>
      <w:r w:rsidR="005D70C0" w:rsidRPr="00CC67CE">
        <w:t>արդյունքային ցուցանիշները</w:t>
      </w:r>
      <w:r w:rsidRPr="00CC67CE">
        <w:t xml:space="preserve"> ներկայացված են համապատասխանաբար սույն բա</w:t>
      </w:r>
      <w:r w:rsidRPr="00CC67CE">
        <w:softHyphen/>
        <w:t>ցատրագրի</w:t>
      </w:r>
      <w:r w:rsidRPr="00CC67CE">
        <w:rPr>
          <w:rFonts w:cs="Times Armenian"/>
        </w:rPr>
        <w:t xml:space="preserve"> NN </w:t>
      </w:r>
      <w:r w:rsidR="007D2ACE" w:rsidRPr="00CC67CE">
        <w:rPr>
          <w:rFonts w:cs="Times Armenian"/>
        </w:rPr>
        <w:t>3</w:t>
      </w:r>
      <w:r w:rsidRPr="00CC67CE">
        <w:rPr>
          <w:rFonts w:cs="Times Armenian"/>
        </w:rPr>
        <w:t xml:space="preserve"> և 1</w:t>
      </w:r>
      <w:r w:rsidR="007D2ACE" w:rsidRPr="00CC67CE">
        <w:rPr>
          <w:rFonts w:cs="Times Armenian"/>
        </w:rPr>
        <w:t>4</w:t>
      </w:r>
      <w:r w:rsidRPr="00CC67CE">
        <w:rPr>
          <w:rFonts w:cs="Times Armenian"/>
        </w:rPr>
        <w:t xml:space="preserve"> հավելվածներում:</w:t>
      </w:r>
      <w:r w:rsidRPr="00CE3D09">
        <w:rPr>
          <w:rFonts w:cs="Times Armenian"/>
        </w:rPr>
        <w:t xml:space="preserve"> </w:t>
      </w:r>
    </w:p>
    <w:p w:rsidR="00E85612" w:rsidRDefault="00E85612" w:rsidP="007730AA">
      <w:pPr>
        <w:pStyle w:val="BodyText2"/>
        <w:ind w:left="0"/>
      </w:pPr>
    </w:p>
    <w:p w:rsidR="00E85612" w:rsidRDefault="00E85612" w:rsidP="007730AA">
      <w:pPr>
        <w:pStyle w:val="ListParagraph"/>
        <w:keepNext/>
        <w:tabs>
          <w:tab w:val="left" w:pos="709"/>
        </w:tabs>
        <w:spacing w:before="0" w:line="276" w:lineRule="auto"/>
        <w:ind w:left="0" w:firstLine="0"/>
        <w:jc w:val="left"/>
        <w:outlineLvl w:val="2"/>
        <w:rPr>
          <w:rFonts w:eastAsia="Calibri" w:cs="GHEA Grapalat"/>
          <w:bCs/>
          <w:sz w:val="24"/>
          <w:szCs w:val="26"/>
          <w:lang w:val="af-ZA" w:eastAsia="en-US"/>
        </w:rPr>
      </w:pPr>
      <w:bookmarkStart w:id="190" w:name="_Toc57655469"/>
      <w:r w:rsidRPr="000F7976">
        <w:rPr>
          <w:rFonts w:eastAsia="Calibri" w:cs="GHEA Grapalat"/>
          <w:bCs/>
          <w:sz w:val="24"/>
          <w:szCs w:val="26"/>
          <w:lang w:val="af-ZA" w:eastAsia="en-US"/>
        </w:rPr>
        <w:t>ԾԱԽՍԵՐՆ ԸՍՏ ՏՆՏԵՍԱԳԻՏԱԿԱՆ ԴԱՍԱԿԱՐԳՄԱՆ</w:t>
      </w:r>
      <w:bookmarkEnd w:id="190"/>
    </w:p>
    <w:p w:rsidR="00AE0F80" w:rsidRDefault="00AE0F80" w:rsidP="00AE0F80">
      <w:pPr>
        <w:spacing w:before="0" w:line="276" w:lineRule="auto"/>
        <w:ind w:firstLine="720"/>
        <w:contextualSpacing w:val="0"/>
        <w:rPr>
          <w:b w:val="0"/>
          <w:szCs w:val="22"/>
          <w:lang w:val="af-ZA" w:eastAsia="en-US"/>
        </w:rPr>
      </w:pPr>
    </w:p>
    <w:p w:rsidR="00AE0F80" w:rsidRDefault="00AE0F80" w:rsidP="00AE0F80">
      <w:pPr>
        <w:spacing w:before="0" w:line="276" w:lineRule="auto"/>
        <w:ind w:firstLine="720"/>
        <w:contextualSpacing w:val="0"/>
        <w:rPr>
          <w:b w:val="0"/>
          <w:szCs w:val="22"/>
          <w:lang w:val="af-ZA" w:eastAsia="en-US"/>
        </w:rPr>
      </w:pPr>
    </w:p>
    <w:p w:rsidR="00AE0F80" w:rsidRPr="00E3222B" w:rsidRDefault="00AE0F80" w:rsidP="00AE0F80">
      <w:pPr>
        <w:spacing w:before="0" w:line="276" w:lineRule="auto"/>
        <w:ind w:firstLine="720"/>
        <w:contextualSpacing w:val="0"/>
        <w:rPr>
          <w:rFonts w:cs="Sylfaen"/>
          <w:b w:val="0"/>
          <w:szCs w:val="22"/>
          <w:lang w:val="hy-AM" w:eastAsia="en-US"/>
        </w:rPr>
      </w:pPr>
      <w:r w:rsidRPr="00512631">
        <w:rPr>
          <w:b w:val="0"/>
          <w:szCs w:val="22"/>
          <w:lang w:val="af-ZA" w:eastAsia="en-US"/>
        </w:rPr>
        <w:t>2021</w:t>
      </w:r>
      <w:r w:rsidRPr="00512631">
        <w:rPr>
          <w:b w:val="0"/>
          <w:szCs w:val="22"/>
          <w:lang w:val="hy-AM" w:eastAsia="en-US"/>
        </w:rPr>
        <w:t xml:space="preserve"> թվակա</w:t>
      </w:r>
      <w:r w:rsidRPr="00512631">
        <w:rPr>
          <w:rFonts w:cs="Sylfaen"/>
          <w:b w:val="0"/>
          <w:szCs w:val="22"/>
          <w:lang w:val="hy-AM" w:eastAsia="en-US"/>
        </w:rPr>
        <w:t>նի</w:t>
      </w:r>
      <w:r w:rsidRPr="00512631">
        <w:rPr>
          <w:b w:val="0"/>
          <w:szCs w:val="22"/>
          <w:lang w:val="af-ZA" w:eastAsia="en-US"/>
        </w:rPr>
        <w:t xml:space="preserve"> </w:t>
      </w:r>
      <w:r w:rsidRPr="00512631">
        <w:rPr>
          <w:rFonts w:cs="Sylfaen"/>
          <w:b w:val="0"/>
          <w:szCs w:val="22"/>
          <w:lang w:val="hy-AM" w:eastAsia="en-US"/>
        </w:rPr>
        <w:t>պետական</w:t>
      </w:r>
      <w:r w:rsidRPr="00512631">
        <w:rPr>
          <w:b w:val="0"/>
          <w:szCs w:val="22"/>
          <w:lang w:val="af-ZA" w:eastAsia="en-US"/>
        </w:rPr>
        <w:t xml:space="preserve"> </w:t>
      </w:r>
      <w:r w:rsidRPr="00512631">
        <w:rPr>
          <w:rFonts w:cs="Sylfaen"/>
          <w:b w:val="0"/>
          <w:szCs w:val="22"/>
          <w:lang w:val="hy-AM" w:eastAsia="en-US"/>
        </w:rPr>
        <w:t>բյուջեի</w:t>
      </w:r>
      <w:r w:rsidRPr="00512631">
        <w:rPr>
          <w:b w:val="0"/>
          <w:szCs w:val="22"/>
          <w:lang w:val="af-ZA" w:eastAsia="en-US"/>
        </w:rPr>
        <w:t xml:space="preserve"> </w:t>
      </w:r>
      <w:r w:rsidRPr="00512631">
        <w:rPr>
          <w:b w:val="0"/>
          <w:szCs w:val="22"/>
          <w:lang w:val="it-IT" w:eastAsia="en-US"/>
        </w:rPr>
        <w:t>ընթա</w:t>
      </w:r>
      <w:r w:rsidRPr="00512631">
        <w:rPr>
          <w:b w:val="0"/>
          <w:szCs w:val="22"/>
          <w:lang w:val="it-IT" w:eastAsia="en-US"/>
        </w:rPr>
        <w:softHyphen/>
        <w:t>ցիկ</w:t>
      </w:r>
      <w:r w:rsidRPr="00512631">
        <w:rPr>
          <w:b w:val="0"/>
          <w:szCs w:val="22"/>
          <w:lang w:val="af-ZA" w:eastAsia="en-US"/>
        </w:rPr>
        <w:t xml:space="preserve"> </w:t>
      </w:r>
      <w:r w:rsidRPr="00512631">
        <w:rPr>
          <w:rFonts w:cs="Sylfaen"/>
          <w:b w:val="0"/>
          <w:szCs w:val="22"/>
          <w:lang w:val="hy-AM" w:eastAsia="en-US"/>
        </w:rPr>
        <w:t>ծախ</w:t>
      </w:r>
      <w:r w:rsidRPr="00512631">
        <w:rPr>
          <w:rFonts w:cs="Sylfaen"/>
          <w:b w:val="0"/>
          <w:szCs w:val="22"/>
          <w:lang w:val="af-ZA" w:eastAsia="en-US"/>
        </w:rPr>
        <w:softHyphen/>
      </w:r>
      <w:r w:rsidRPr="00512631">
        <w:rPr>
          <w:rFonts w:cs="Sylfaen"/>
          <w:b w:val="0"/>
          <w:szCs w:val="22"/>
          <w:lang w:val="hy-AM" w:eastAsia="en-US"/>
        </w:rPr>
        <w:t>սերի</w:t>
      </w:r>
      <w:r w:rsidRPr="00512631">
        <w:rPr>
          <w:b w:val="0"/>
          <w:szCs w:val="22"/>
          <w:lang w:val="af-ZA" w:eastAsia="en-US"/>
        </w:rPr>
        <w:t xml:space="preserve"> </w:t>
      </w:r>
      <w:r w:rsidRPr="00512631">
        <w:rPr>
          <w:rFonts w:cs="Sylfaen"/>
          <w:b w:val="0"/>
          <w:szCs w:val="22"/>
          <w:lang w:val="hy-AM" w:eastAsia="en-US"/>
        </w:rPr>
        <w:t>հարա</w:t>
      </w:r>
      <w:r w:rsidRPr="00512631">
        <w:rPr>
          <w:rFonts w:cs="Sylfaen"/>
          <w:b w:val="0"/>
          <w:szCs w:val="22"/>
          <w:lang w:val="af-ZA" w:eastAsia="en-US"/>
        </w:rPr>
        <w:softHyphen/>
      </w:r>
      <w:r w:rsidRPr="00512631">
        <w:rPr>
          <w:rFonts w:cs="Sylfaen"/>
          <w:b w:val="0"/>
          <w:szCs w:val="22"/>
          <w:lang w:val="hy-AM" w:eastAsia="en-US"/>
        </w:rPr>
        <w:t>բերակցությունը</w:t>
      </w:r>
      <w:r w:rsidRPr="00512631">
        <w:rPr>
          <w:b w:val="0"/>
          <w:szCs w:val="22"/>
          <w:lang w:val="af-ZA" w:eastAsia="en-US"/>
        </w:rPr>
        <w:t xml:space="preserve"> </w:t>
      </w:r>
      <w:r w:rsidRPr="00512631">
        <w:rPr>
          <w:rFonts w:cs="Sylfaen"/>
          <w:b w:val="0"/>
          <w:szCs w:val="22"/>
          <w:lang w:val="hy-AM" w:eastAsia="en-US"/>
        </w:rPr>
        <w:t>ՀՆԱ</w:t>
      </w:r>
      <w:r w:rsidRPr="00512631">
        <w:rPr>
          <w:b w:val="0"/>
          <w:szCs w:val="22"/>
          <w:lang w:val="af-ZA" w:eastAsia="en-US"/>
        </w:rPr>
        <w:t>-</w:t>
      </w:r>
      <w:r w:rsidRPr="00512631">
        <w:rPr>
          <w:rFonts w:cs="Sylfaen"/>
          <w:b w:val="0"/>
          <w:szCs w:val="22"/>
          <w:lang w:val="hy-AM" w:eastAsia="en-US"/>
        </w:rPr>
        <w:t>ի</w:t>
      </w:r>
      <w:r w:rsidRPr="00512631">
        <w:rPr>
          <w:b w:val="0"/>
          <w:szCs w:val="22"/>
          <w:lang w:val="af-ZA" w:eastAsia="en-US"/>
        </w:rPr>
        <w:t xml:space="preserve"> </w:t>
      </w:r>
      <w:r w:rsidRPr="00512631">
        <w:rPr>
          <w:rFonts w:cs="Sylfaen"/>
          <w:b w:val="0"/>
          <w:szCs w:val="22"/>
          <w:lang w:val="hy-AM" w:eastAsia="en-US"/>
        </w:rPr>
        <w:t>նկատմամբ</w:t>
      </w:r>
      <w:r w:rsidRPr="00E3222B">
        <w:rPr>
          <w:rFonts w:cs="Sylfaen"/>
          <w:b w:val="0"/>
          <w:szCs w:val="22"/>
          <w:lang w:val="hy-AM" w:eastAsia="en-US"/>
        </w:rPr>
        <w:t xml:space="preserve"> </w:t>
      </w:r>
      <w:r w:rsidRPr="00512631">
        <w:rPr>
          <w:rFonts w:cs="Sylfaen"/>
          <w:b w:val="0"/>
          <w:szCs w:val="22"/>
          <w:lang w:val="hy-AM" w:eastAsia="en-US"/>
        </w:rPr>
        <w:t>կազմում է</w:t>
      </w:r>
      <w:r w:rsidRPr="00E3222B">
        <w:rPr>
          <w:rFonts w:cs="Sylfaen"/>
          <w:b w:val="0"/>
          <w:szCs w:val="22"/>
          <w:lang w:val="hy-AM" w:eastAsia="en-US"/>
        </w:rPr>
        <w:t xml:space="preserve"> 25.</w:t>
      </w:r>
      <w:r>
        <w:rPr>
          <w:rFonts w:cs="Sylfaen"/>
          <w:b w:val="0"/>
          <w:szCs w:val="22"/>
          <w:lang w:val="hy-AM" w:eastAsia="en-US"/>
        </w:rPr>
        <w:t>6</w:t>
      </w:r>
      <w:r w:rsidRPr="00E3222B">
        <w:rPr>
          <w:rFonts w:cs="Sylfaen"/>
          <w:b w:val="0"/>
          <w:szCs w:val="22"/>
          <w:lang w:val="hy-AM" w:eastAsia="en-US"/>
        </w:rPr>
        <w:t xml:space="preserve"> %: </w:t>
      </w:r>
      <w:r w:rsidRPr="00512631">
        <w:rPr>
          <w:rFonts w:cs="Sylfaen"/>
          <w:b w:val="0"/>
          <w:szCs w:val="22"/>
          <w:lang w:val="hy-AM" w:eastAsia="en-US"/>
        </w:rPr>
        <w:t>Նույն</w:t>
      </w:r>
      <w:r w:rsidRPr="00E3222B">
        <w:rPr>
          <w:rFonts w:cs="Sylfaen"/>
          <w:b w:val="0"/>
          <w:szCs w:val="22"/>
          <w:lang w:val="hy-AM" w:eastAsia="en-US"/>
        </w:rPr>
        <w:t xml:space="preserve"> </w:t>
      </w:r>
      <w:r w:rsidRPr="00512631">
        <w:rPr>
          <w:rFonts w:cs="Sylfaen"/>
          <w:b w:val="0"/>
          <w:szCs w:val="22"/>
          <w:lang w:val="hy-AM" w:eastAsia="en-US"/>
        </w:rPr>
        <w:t>ժա</w:t>
      </w:r>
      <w:r w:rsidRPr="00E3222B">
        <w:rPr>
          <w:rFonts w:cs="Sylfaen"/>
          <w:b w:val="0"/>
          <w:szCs w:val="22"/>
          <w:lang w:val="hy-AM" w:eastAsia="en-US"/>
        </w:rPr>
        <w:softHyphen/>
      </w:r>
      <w:r w:rsidRPr="00512631">
        <w:rPr>
          <w:rFonts w:cs="Sylfaen"/>
          <w:b w:val="0"/>
          <w:szCs w:val="22"/>
          <w:lang w:val="hy-AM" w:eastAsia="en-US"/>
        </w:rPr>
        <w:t>մա</w:t>
      </w:r>
      <w:r w:rsidRPr="00E3222B">
        <w:rPr>
          <w:rFonts w:cs="Sylfaen"/>
          <w:b w:val="0"/>
          <w:szCs w:val="22"/>
          <w:lang w:val="hy-AM" w:eastAsia="en-US"/>
        </w:rPr>
        <w:softHyphen/>
      </w:r>
      <w:r w:rsidRPr="00512631">
        <w:rPr>
          <w:rFonts w:cs="Sylfaen"/>
          <w:b w:val="0"/>
          <w:szCs w:val="22"/>
          <w:lang w:val="hy-AM" w:eastAsia="en-US"/>
        </w:rPr>
        <w:t>նա</w:t>
      </w:r>
      <w:r w:rsidRPr="00E3222B">
        <w:rPr>
          <w:rFonts w:cs="Sylfaen"/>
          <w:b w:val="0"/>
          <w:szCs w:val="22"/>
          <w:lang w:val="hy-AM" w:eastAsia="en-US"/>
        </w:rPr>
        <w:softHyphen/>
      </w:r>
      <w:r w:rsidRPr="00512631">
        <w:rPr>
          <w:rFonts w:cs="Sylfaen"/>
          <w:b w:val="0"/>
          <w:szCs w:val="22"/>
          <w:lang w:val="hy-AM" w:eastAsia="en-US"/>
        </w:rPr>
        <w:t>կա</w:t>
      </w:r>
      <w:r w:rsidRPr="00E3222B">
        <w:rPr>
          <w:rFonts w:cs="Sylfaen"/>
          <w:b w:val="0"/>
          <w:szCs w:val="22"/>
          <w:lang w:val="hy-AM" w:eastAsia="en-US"/>
        </w:rPr>
        <w:softHyphen/>
      </w:r>
      <w:r w:rsidRPr="00512631">
        <w:rPr>
          <w:rFonts w:cs="Sylfaen"/>
          <w:b w:val="0"/>
          <w:szCs w:val="22"/>
          <w:lang w:val="hy-AM" w:eastAsia="en-US"/>
        </w:rPr>
        <w:t>հատ</w:t>
      </w:r>
      <w:r w:rsidRPr="00E3222B">
        <w:rPr>
          <w:rFonts w:cs="Sylfaen"/>
          <w:b w:val="0"/>
          <w:szCs w:val="22"/>
          <w:lang w:val="hy-AM" w:eastAsia="en-US"/>
        </w:rPr>
        <w:softHyphen/>
      </w:r>
      <w:r w:rsidRPr="00512631">
        <w:rPr>
          <w:rFonts w:cs="Sylfaen"/>
          <w:b w:val="0"/>
          <w:szCs w:val="22"/>
          <w:lang w:val="hy-AM" w:eastAsia="en-US"/>
        </w:rPr>
        <w:t>վա</w:t>
      </w:r>
      <w:r w:rsidRPr="00E3222B">
        <w:rPr>
          <w:rFonts w:cs="Sylfaen"/>
          <w:b w:val="0"/>
          <w:szCs w:val="22"/>
          <w:lang w:val="hy-AM" w:eastAsia="en-US"/>
        </w:rPr>
        <w:softHyphen/>
      </w:r>
      <w:r w:rsidRPr="00512631">
        <w:rPr>
          <w:rFonts w:cs="Sylfaen"/>
          <w:b w:val="0"/>
          <w:szCs w:val="22"/>
          <w:lang w:val="hy-AM" w:eastAsia="en-US"/>
        </w:rPr>
        <w:t>ծում</w:t>
      </w:r>
      <w:r w:rsidRPr="00E3222B">
        <w:rPr>
          <w:rFonts w:cs="Sylfaen"/>
          <w:b w:val="0"/>
          <w:szCs w:val="22"/>
          <w:lang w:val="hy-AM" w:eastAsia="en-US"/>
        </w:rPr>
        <w:t xml:space="preserve"> </w:t>
      </w:r>
      <w:r w:rsidRPr="00512631">
        <w:rPr>
          <w:rFonts w:cs="Sylfaen"/>
          <w:b w:val="0"/>
          <w:szCs w:val="22"/>
          <w:lang w:val="hy-AM" w:eastAsia="en-US"/>
        </w:rPr>
        <w:t>ոչ</w:t>
      </w:r>
      <w:r w:rsidRPr="00E3222B">
        <w:rPr>
          <w:rFonts w:cs="Sylfaen"/>
          <w:b w:val="0"/>
          <w:szCs w:val="22"/>
          <w:lang w:val="hy-AM" w:eastAsia="en-US"/>
        </w:rPr>
        <w:t xml:space="preserve"> </w:t>
      </w:r>
      <w:r w:rsidRPr="00512631">
        <w:rPr>
          <w:rFonts w:cs="Sylfaen"/>
          <w:b w:val="0"/>
          <w:szCs w:val="22"/>
          <w:lang w:val="hy-AM" w:eastAsia="en-US"/>
        </w:rPr>
        <w:t>ֆինանսական</w:t>
      </w:r>
      <w:r w:rsidRPr="00E3222B">
        <w:rPr>
          <w:rFonts w:cs="Sylfaen"/>
          <w:b w:val="0"/>
          <w:szCs w:val="22"/>
          <w:lang w:val="hy-AM" w:eastAsia="en-US"/>
        </w:rPr>
        <w:t xml:space="preserve"> </w:t>
      </w:r>
      <w:r w:rsidRPr="00512631">
        <w:rPr>
          <w:rFonts w:cs="Sylfaen"/>
          <w:b w:val="0"/>
          <w:szCs w:val="22"/>
          <w:lang w:val="hy-AM" w:eastAsia="en-US"/>
        </w:rPr>
        <w:t>ակտիվների</w:t>
      </w:r>
      <w:r w:rsidRPr="00E3222B">
        <w:rPr>
          <w:rFonts w:cs="Sylfaen"/>
          <w:b w:val="0"/>
          <w:szCs w:val="22"/>
          <w:lang w:val="hy-AM" w:eastAsia="en-US"/>
        </w:rPr>
        <w:t xml:space="preserve"> </w:t>
      </w:r>
      <w:r w:rsidRPr="00512631">
        <w:rPr>
          <w:rFonts w:cs="Sylfaen"/>
          <w:b w:val="0"/>
          <w:szCs w:val="22"/>
          <w:lang w:val="hy-AM" w:eastAsia="en-US"/>
        </w:rPr>
        <w:t>գծով</w:t>
      </w:r>
      <w:r w:rsidRPr="00E3222B">
        <w:rPr>
          <w:rFonts w:cs="Sylfaen"/>
          <w:b w:val="0"/>
          <w:szCs w:val="22"/>
          <w:lang w:val="hy-AM" w:eastAsia="en-US"/>
        </w:rPr>
        <w:t xml:space="preserve"> </w:t>
      </w:r>
      <w:r w:rsidRPr="00512631">
        <w:rPr>
          <w:rFonts w:cs="Sylfaen"/>
          <w:b w:val="0"/>
          <w:szCs w:val="22"/>
          <w:lang w:val="hy-AM" w:eastAsia="en-US"/>
        </w:rPr>
        <w:t>զուտ</w:t>
      </w:r>
      <w:r w:rsidRPr="00E3222B">
        <w:rPr>
          <w:rFonts w:cs="Sylfaen"/>
          <w:b w:val="0"/>
          <w:szCs w:val="22"/>
          <w:lang w:val="hy-AM" w:eastAsia="en-US"/>
        </w:rPr>
        <w:t xml:space="preserve"> </w:t>
      </w:r>
      <w:r w:rsidRPr="00512631">
        <w:rPr>
          <w:rFonts w:cs="Sylfaen"/>
          <w:b w:val="0"/>
          <w:szCs w:val="22"/>
          <w:lang w:val="hy-AM" w:eastAsia="en-US"/>
        </w:rPr>
        <w:t>ծախ</w:t>
      </w:r>
      <w:r w:rsidRPr="00E3222B">
        <w:rPr>
          <w:rFonts w:cs="Sylfaen"/>
          <w:b w:val="0"/>
          <w:szCs w:val="22"/>
          <w:lang w:val="hy-AM" w:eastAsia="en-US"/>
        </w:rPr>
        <w:softHyphen/>
      </w:r>
      <w:r w:rsidRPr="00512631">
        <w:rPr>
          <w:rFonts w:cs="Sylfaen"/>
          <w:b w:val="0"/>
          <w:szCs w:val="22"/>
          <w:lang w:val="hy-AM" w:eastAsia="en-US"/>
        </w:rPr>
        <w:t>սերի</w:t>
      </w:r>
      <w:r w:rsidRPr="00E3222B">
        <w:rPr>
          <w:rFonts w:cs="Sylfaen"/>
          <w:b w:val="0"/>
          <w:szCs w:val="22"/>
          <w:lang w:val="hy-AM" w:eastAsia="en-US"/>
        </w:rPr>
        <w:t xml:space="preserve"> </w:t>
      </w:r>
      <w:r w:rsidRPr="00512631">
        <w:rPr>
          <w:rFonts w:cs="Sylfaen"/>
          <w:b w:val="0"/>
          <w:szCs w:val="22"/>
          <w:lang w:val="hy-AM" w:eastAsia="en-US"/>
        </w:rPr>
        <w:t>հարա</w:t>
      </w:r>
      <w:r w:rsidRPr="00E3222B">
        <w:rPr>
          <w:rFonts w:cs="Sylfaen"/>
          <w:b w:val="0"/>
          <w:szCs w:val="22"/>
          <w:lang w:val="hy-AM" w:eastAsia="en-US"/>
        </w:rPr>
        <w:softHyphen/>
      </w:r>
      <w:r w:rsidRPr="00512631">
        <w:rPr>
          <w:rFonts w:cs="Sylfaen"/>
          <w:b w:val="0"/>
          <w:szCs w:val="22"/>
          <w:lang w:val="hy-AM" w:eastAsia="en-US"/>
        </w:rPr>
        <w:t>բե</w:t>
      </w:r>
      <w:r w:rsidRPr="00E3222B">
        <w:rPr>
          <w:rFonts w:cs="Sylfaen"/>
          <w:b w:val="0"/>
          <w:szCs w:val="22"/>
          <w:lang w:val="hy-AM" w:eastAsia="en-US"/>
        </w:rPr>
        <w:softHyphen/>
      </w:r>
      <w:r w:rsidRPr="00512631">
        <w:rPr>
          <w:rFonts w:cs="Sylfaen"/>
          <w:b w:val="0"/>
          <w:szCs w:val="22"/>
          <w:lang w:val="hy-AM" w:eastAsia="en-US"/>
        </w:rPr>
        <w:t>րակ</w:t>
      </w:r>
      <w:r w:rsidRPr="00E3222B">
        <w:rPr>
          <w:rFonts w:cs="Sylfaen"/>
          <w:b w:val="0"/>
          <w:szCs w:val="22"/>
          <w:lang w:val="hy-AM" w:eastAsia="en-US"/>
        </w:rPr>
        <w:softHyphen/>
      </w:r>
      <w:r w:rsidRPr="00512631">
        <w:rPr>
          <w:rFonts w:cs="Sylfaen"/>
          <w:b w:val="0"/>
          <w:szCs w:val="22"/>
          <w:lang w:val="hy-AM" w:eastAsia="en-US"/>
        </w:rPr>
        <w:t>ցությունները</w:t>
      </w:r>
      <w:r w:rsidRPr="00E3222B">
        <w:rPr>
          <w:rFonts w:cs="Sylfaen"/>
          <w:b w:val="0"/>
          <w:szCs w:val="22"/>
          <w:lang w:val="hy-AM" w:eastAsia="en-US"/>
        </w:rPr>
        <w:t xml:space="preserve"> </w:t>
      </w:r>
      <w:r w:rsidRPr="00512631">
        <w:rPr>
          <w:rFonts w:cs="Sylfaen"/>
          <w:b w:val="0"/>
          <w:szCs w:val="22"/>
          <w:lang w:val="hy-AM" w:eastAsia="en-US"/>
        </w:rPr>
        <w:t>ՀՆԱ</w:t>
      </w:r>
      <w:r w:rsidRPr="00E3222B">
        <w:rPr>
          <w:rFonts w:cs="Sylfaen"/>
          <w:b w:val="0"/>
          <w:szCs w:val="22"/>
          <w:lang w:val="hy-AM" w:eastAsia="en-US"/>
        </w:rPr>
        <w:t>-</w:t>
      </w:r>
      <w:r w:rsidRPr="00512631">
        <w:rPr>
          <w:rFonts w:cs="Sylfaen"/>
          <w:b w:val="0"/>
          <w:szCs w:val="22"/>
          <w:lang w:val="hy-AM" w:eastAsia="en-US"/>
        </w:rPr>
        <w:t>ի</w:t>
      </w:r>
      <w:r w:rsidRPr="00E3222B">
        <w:rPr>
          <w:rFonts w:cs="Sylfaen"/>
          <w:b w:val="0"/>
          <w:szCs w:val="22"/>
          <w:lang w:val="hy-AM" w:eastAsia="en-US"/>
        </w:rPr>
        <w:t xml:space="preserve"> </w:t>
      </w:r>
      <w:r w:rsidRPr="00512631">
        <w:rPr>
          <w:rFonts w:cs="Sylfaen"/>
          <w:b w:val="0"/>
          <w:szCs w:val="22"/>
          <w:lang w:val="hy-AM" w:eastAsia="en-US"/>
        </w:rPr>
        <w:t>նկատ</w:t>
      </w:r>
      <w:r w:rsidRPr="00E3222B">
        <w:rPr>
          <w:rFonts w:cs="Sylfaen"/>
          <w:b w:val="0"/>
          <w:szCs w:val="22"/>
          <w:lang w:val="hy-AM" w:eastAsia="en-US"/>
        </w:rPr>
        <w:softHyphen/>
      </w:r>
      <w:r w:rsidRPr="00512631">
        <w:rPr>
          <w:rFonts w:cs="Sylfaen"/>
          <w:b w:val="0"/>
          <w:szCs w:val="22"/>
          <w:lang w:val="hy-AM" w:eastAsia="en-US"/>
        </w:rPr>
        <w:t>մամբ</w:t>
      </w:r>
      <w:r w:rsidRPr="00E3222B">
        <w:rPr>
          <w:rFonts w:cs="Sylfaen"/>
          <w:b w:val="0"/>
          <w:szCs w:val="22"/>
          <w:lang w:val="hy-AM" w:eastAsia="en-US"/>
        </w:rPr>
        <w:t xml:space="preserve"> </w:t>
      </w:r>
      <w:r w:rsidRPr="00512631">
        <w:rPr>
          <w:rFonts w:cs="Sylfaen"/>
          <w:b w:val="0"/>
          <w:szCs w:val="22"/>
          <w:lang w:val="hy-AM" w:eastAsia="en-US"/>
        </w:rPr>
        <w:t>կազմում է</w:t>
      </w:r>
      <w:r w:rsidRPr="00E3222B">
        <w:rPr>
          <w:rFonts w:cs="Sylfaen"/>
          <w:b w:val="0"/>
          <w:szCs w:val="22"/>
          <w:lang w:val="hy-AM" w:eastAsia="en-US"/>
        </w:rPr>
        <w:t xml:space="preserve"> 3.4%: </w:t>
      </w:r>
    </w:p>
    <w:p w:rsidR="00AE0F80" w:rsidRDefault="00AE0F80" w:rsidP="00AE0F80">
      <w:pPr>
        <w:spacing w:before="0" w:line="276" w:lineRule="auto"/>
        <w:ind w:firstLine="720"/>
        <w:contextualSpacing w:val="0"/>
        <w:rPr>
          <w:b w:val="0"/>
          <w:szCs w:val="22"/>
          <w:lang w:val="af-ZA" w:eastAsia="en-US"/>
        </w:rPr>
      </w:pPr>
    </w:p>
    <w:p w:rsidR="00AE0F80" w:rsidRDefault="00AE0F80" w:rsidP="00AE0F80">
      <w:pPr>
        <w:spacing w:before="0" w:line="276" w:lineRule="auto"/>
        <w:ind w:firstLine="720"/>
        <w:contextualSpacing w:val="0"/>
        <w:rPr>
          <w:b w:val="0"/>
          <w:szCs w:val="22"/>
          <w:lang w:val="af-ZA" w:eastAsia="en-US"/>
        </w:rPr>
      </w:pPr>
    </w:p>
    <w:p w:rsidR="00AE0F80" w:rsidRDefault="00AE0F80" w:rsidP="00AE0F80">
      <w:pPr>
        <w:spacing w:before="0" w:line="276" w:lineRule="auto"/>
        <w:ind w:firstLine="720"/>
        <w:contextualSpacing w:val="0"/>
        <w:rPr>
          <w:b w:val="0"/>
          <w:szCs w:val="22"/>
          <w:lang w:val="af-ZA" w:eastAsia="en-US"/>
        </w:rPr>
      </w:pPr>
    </w:p>
    <w:p w:rsidR="00AE0F80" w:rsidRDefault="00AE0F80" w:rsidP="00AE0F80">
      <w:pPr>
        <w:spacing w:before="0" w:line="276" w:lineRule="auto"/>
        <w:ind w:firstLine="720"/>
        <w:contextualSpacing w:val="0"/>
        <w:rPr>
          <w:b w:val="0"/>
          <w:szCs w:val="22"/>
          <w:lang w:val="af-ZA" w:eastAsia="en-US"/>
        </w:rPr>
      </w:pPr>
    </w:p>
    <w:p w:rsidR="00AE0F80" w:rsidRPr="00512631" w:rsidRDefault="00AE0F80" w:rsidP="00AE0F80">
      <w:pPr>
        <w:spacing w:before="0" w:line="276" w:lineRule="auto"/>
        <w:ind w:firstLine="720"/>
        <w:contextualSpacing w:val="0"/>
        <w:rPr>
          <w:b w:val="0"/>
          <w:szCs w:val="22"/>
          <w:lang w:val="af-ZA" w:eastAsia="en-US"/>
        </w:rPr>
      </w:pPr>
    </w:p>
    <w:p w:rsidR="00AE0F80" w:rsidRPr="00512631" w:rsidRDefault="00AE0F80" w:rsidP="00AE0F80">
      <w:pPr>
        <w:pStyle w:val="Caption"/>
        <w:spacing w:before="0" w:after="0"/>
        <w:rPr>
          <w:rFonts w:cs="Sylfaen"/>
          <w:b/>
          <w:sz w:val="20"/>
          <w:szCs w:val="20"/>
          <w:lang w:val="af-ZA" w:eastAsia="en-US"/>
        </w:rPr>
      </w:pPr>
      <w:bookmarkStart w:id="191" w:name="_Toc57631761"/>
      <w:r>
        <w:t>Աղյուսակ</w:t>
      </w:r>
      <w:r w:rsidRPr="0012680E">
        <w:rPr>
          <w:lang w:val="af-ZA"/>
        </w:rPr>
        <w:t xml:space="preserve"> </w:t>
      </w:r>
      <w:r w:rsidR="003C3925">
        <w:fldChar w:fldCharType="begin"/>
      </w:r>
      <w:r w:rsidRPr="0012680E">
        <w:rPr>
          <w:lang w:val="af-ZA"/>
        </w:rPr>
        <w:instrText xml:space="preserve"> SEQ </w:instrText>
      </w:r>
      <w:r>
        <w:instrText>Աղյուսակ</w:instrText>
      </w:r>
      <w:r w:rsidRPr="0012680E">
        <w:rPr>
          <w:lang w:val="af-ZA"/>
        </w:rPr>
        <w:instrText xml:space="preserve"> \* ARABIC </w:instrText>
      </w:r>
      <w:r w:rsidR="003C3925">
        <w:fldChar w:fldCharType="separate"/>
      </w:r>
      <w:r>
        <w:rPr>
          <w:noProof/>
          <w:lang w:val="af-ZA"/>
        </w:rPr>
        <w:t>10</w:t>
      </w:r>
      <w:r w:rsidR="003C3925">
        <w:fldChar w:fldCharType="end"/>
      </w:r>
      <w:r>
        <w:rPr>
          <w:rFonts w:ascii="Cambria Math" w:hAnsi="Cambria Math"/>
          <w:lang w:val="hy-AM"/>
        </w:rPr>
        <w:t xml:space="preserve">․ </w:t>
      </w:r>
      <w:r w:rsidRPr="00512631">
        <w:rPr>
          <w:b/>
          <w:i/>
          <w:sz w:val="20"/>
          <w:szCs w:val="20"/>
          <w:lang w:val="af-ZA" w:eastAsia="en-US"/>
        </w:rPr>
        <w:t>2017-2021</w:t>
      </w:r>
      <w:r w:rsidRPr="00512631">
        <w:rPr>
          <w:b/>
          <w:i/>
          <w:sz w:val="20"/>
          <w:szCs w:val="20"/>
          <w:lang w:val="it-IT" w:eastAsia="en-US"/>
        </w:rPr>
        <w:t>թթ</w:t>
      </w:r>
      <w:r w:rsidRPr="00512631">
        <w:rPr>
          <w:b/>
          <w:i/>
          <w:sz w:val="20"/>
          <w:szCs w:val="20"/>
          <w:lang w:val="af-ZA" w:eastAsia="en-US"/>
        </w:rPr>
        <w:t xml:space="preserve"> </w:t>
      </w:r>
      <w:r w:rsidRPr="00512631">
        <w:rPr>
          <w:rFonts w:cs="Sylfaen"/>
          <w:b/>
          <w:i/>
          <w:sz w:val="20"/>
          <w:szCs w:val="20"/>
          <w:lang w:val="en-US" w:eastAsia="en-US"/>
        </w:rPr>
        <w:t>ընթացիկ</w:t>
      </w:r>
      <w:r w:rsidRPr="00512631">
        <w:rPr>
          <w:b/>
          <w:i/>
          <w:sz w:val="20"/>
          <w:szCs w:val="20"/>
          <w:lang w:val="af-ZA" w:eastAsia="en-US"/>
        </w:rPr>
        <w:t xml:space="preserve"> </w:t>
      </w:r>
      <w:r w:rsidRPr="00512631">
        <w:rPr>
          <w:rFonts w:cs="Sylfaen"/>
          <w:b/>
          <w:i/>
          <w:sz w:val="20"/>
          <w:szCs w:val="20"/>
          <w:lang w:val="en-US" w:eastAsia="en-US"/>
        </w:rPr>
        <w:t>և</w:t>
      </w:r>
      <w:r w:rsidRPr="00512631">
        <w:rPr>
          <w:b/>
          <w:i/>
          <w:sz w:val="20"/>
          <w:szCs w:val="20"/>
          <w:lang w:val="af-ZA" w:eastAsia="en-US"/>
        </w:rPr>
        <w:t xml:space="preserve"> </w:t>
      </w:r>
      <w:r w:rsidRPr="00512631">
        <w:rPr>
          <w:rFonts w:cs="Sylfaen"/>
          <w:b/>
          <w:i/>
          <w:sz w:val="20"/>
          <w:szCs w:val="20"/>
          <w:lang w:val="en-US" w:eastAsia="en-US"/>
        </w:rPr>
        <w:t>ոչ</w:t>
      </w:r>
      <w:r w:rsidRPr="00512631">
        <w:rPr>
          <w:rFonts w:cs="Sylfaen"/>
          <w:b/>
          <w:i/>
          <w:sz w:val="20"/>
          <w:szCs w:val="20"/>
          <w:lang w:val="af-ZA" w:eastAsia="en-US"/>
        </w:rPr>
        <w:t xml:space="preserve"> </w:t>
      </w:r>
      <w:r w:rsidRPr="00512631">
        <w:rPr>
          <w:rFonts w:cs="Sylfaen"/>
          <w:b/>
          <w:i/>
          <w:sz w:val="20"/>
          <w:szCs w:val="20"/>
          <w:lang w:val="en-US" w:eastAsia="en-US"/>
        </w:rPr>
        <w:t>ֆինանսական</w:t>
      </w:r>
      <w:r w:rsidRPr="00512631">
        <w:rPr>
          <w:rFonts w:cs="Sylfaen"/>
          <w:b/>
          <w:i/>
          <w:sz w:val="20"/>
          <w:szCs w:val="20"/>
          <w:lang w:val="af-ZA" w:eastAsia="en-US"/>
        </w:rPr>
        <w:t xml:space="preserve"> </w:t>
      </w:r>
      <w:r w:rsidRPr="00512631">
        <w:rPr>
          <w:rFonts w:cs="Sylfaen"/>
          <w:b/>
          <w:i/>
          <w:sz w:val="20"/>
          <w:szCs w:val="20"/>
          <w:lang w:val="en-US" w:eastAsia="en-US"/>
        </w:rPr>
        <w:t>ակտիվների</w:t>
      </w:r>
      <w:r w:rsidRPr="00512631">
        <w:rPr>
          <w:rFonts w:cs="Sylfaen"/>
          <w:b/>
          <w:i/>
          <w:sz w:val="20"/>
          <w:szCs w:val="20"/>
          <w:lang w:val="af-ZA" w:eastAsia="en-US"/>
        </w:rPr>
        <w:t xml:space="preserve"> </w:t>
      </w:r>
      <w:r w:rsidRPr="00512631">
        <w:rPr>
          <w:rFonts w:cs="Sylfaen"/>
          <w:b/>
          <w:i/>
          <w:sz w:val="20"/>
          <w:szCs w:val="20"/>
          <w:lang w:val="en-US" w:eastAsia="en-US"/>
        </w:rPr>
        <w:t>գծով</w:t>
      </w:r>
      <w:r w:rsidRPr="00512631">
        <w:rPr>
          <w:rFonts w:cs="Sylfaen"/>
          <w:b/>
          <w:i/>
          <w:sz w:val="20"/>
          <w:szCs w:val="20"/>
          <w:lang w:val="af-ZA" w:eastAsia="en-US"/>
        </w:rPr>
        <w:t xml:space="preserve"> </w:t>
      </w:r>
      <w:r w:rsidRPr="00512631">
        <w:rPr>
          <w:rFonts w:cs="Sylfaen"/>
          <w:b/>
          <w:i/>
          <w:sz w:val="20"/>
          <w:szCs w:val="20"/>
          <w:lang w:val="en-US" w:eastAsia="en-US"/>
        </w:rPr>
        <w:t>ծախսերի</w:t>
      </w:r>
      <w:r w:rsidRPr="00512631">
        <w:rPr>
          <w:b/>
          <w:i/>
          <w:sz w:val="20"/>
          <w:szCs w:val="20"/>
          <w:lang w:val="af-ZA" w:eastAsia="en-US"/>
        </w:rPr>
        <w:t xml:space="preserve"> </w:t>
      </w:r>
      <w:r w:rsidRPr="00512631">
        <w:rPr>
          <w:rFonts w:cs="Sylfaen"/>
          <w:b/>
          <w:i/>
          <w:sz w:val="20"/>
          <w:szCs w:val="20"/>
          <w:lang w:val="en-US" w:eastAsia="en-US"/>
        </w:rPr>
        <w:t>փոփոխության</w:t>
      </w:r>
      <w:r w:rsidRPr="00512631">
        <w:rPr>
          <w:b/>
          <w:i/>
          <w:sz w:val="20"/>
          <w:szCs w:val="20"/>
          <w:lang w:val="af-ZA" w:eastAsia="en-US"/>
        </w:rPr>
        <w:t xml:space="preserve"> </w:t>
      </w:r>
      <w:r w:rsidRPr="00512631">
        <w:rPr>
          <w:rFonts w:cs="Sylfaen"/>
          <w:b/>
          <w:i/>
          <w:sz w:val="20"/>
          <w:szCs w:val="20"/>
          <w:lang w:val="en-US" w:eastAsia="en-US"/>
        </w:rPr>
        <w:t>և</w:t>
      </w:r>
      <w:r w:rsidRPr="00512631">
        <w:rPr>
          <w:b/>
          <w:i/>
          <w:sz w:val="20"/>
          <w:szCs w:val="20"/>
          <w:lang w:val="af-ZA" w:eastAsia="en-US"/>
        </w:rPr>
        <w:t xml:space="preserve"> </w:t>
      </w:r>
      <w:r w:rsidRPr="00512631">
        <w:rPr>
          <w:rFonts w:cs="Sylfaen"/>
          <w:b/>
          <w:i/>
          <w:sz w:val="20"/>
          <w:szCs w:val="20"/>
          <w:lang w:val="en-US" w:eastAsia="en-US"/>
        </w:rPr>
        <w:t>հարաբերակցության</w:t>
      </w:r>
      <w:r w:rsidRPr="00512631">
        <w:rPr>
          <w:b/>
          <w:i/>
          <w:sz w:val="20"/>
          <w:szCs w:val="20"/>
          <w:lang w:val="af-ZA" w:eastAsia="en-US"/>
        </w:rPr>
        <w:t xml:space="preserve"> </w:t>
      </w:r>
      <w:r w:rsidRPr="00512631">
        <w:rPr>
          <w:rFonts w:cs="Sylfaen"/>
          <w:b/>
          <w:i/>
          <w:sz w:val="20"/>
          <w:szCs w:val="20"/>
          <w:lang w:val="en-US" w:eastAsia="en-US"/>
        </w:rPr>
        <w:t>միտումները</w:t>
      </w:r>
      <w:bookmarkEnd w:id="191"/>
    </w:p>
    <w:tbl>
      <w:tblPr>
        <w:tblW w:w="9554" w:type="dxa"/>
        <w:tblInd w:w="-10" w:type="dxa"/>
        <w:tblLook w:val="04A0" w:firstRow="1" w:lastRow="0" w:firstColumn="1" w:lastColumn="0" w:noHBand="0" w:noVBand="1"/>
      </w:tblPr>
      <w:tblGrid>
        <w:gridCol w:w="3119"/>
        <w:gridCol w:w="1210"/>
        <w:gridCol w:w="1210"/>
        <w:gridCol w:w="1210"/>
        <w:gridCol w:w="1509"/>
        <w:gridCol w:w="1296"/>
      </w:tblGrid>
      <w:tr w:rsidR="00AE0F80" w:rsidRPr="00512631" w:rsidTr="009F0F78">
        <w:trPr>
          <w:trHeight w:val="300"/>
        </w:trPr>
        <w:tc>
          <w:tcPr>
            <w:tcW w:w="3119" w:type="dxa"/>
            <w:vMerge w:val="restart"/>
            <w:tcBorders>
              <w:top w:val="single" w:sz="8" w:space="0" w:color="auto"/>
              <w:left w:val="single" w:sz="8" w:space="0" w:color="auto"/>
              <w:bottom w:val="single" w:sz="8" w:space="0" w:color="000000"/>
              <w:right w:val="single" w:sz="8" w:space="0" w:color="auto"/>
            </w:tcBorders>
            <w:shd w:val="clear" w:color="000000" w:fill="2E74B5"/>
            <w:vAlign w:val="center"/>
            <w:hideMark/>
          </w:tcPr>
          <w:p w:rsidR="00AE0F80" w:rsidRPr="00512631" w:rsidRDefault="00AE0F80" w:rsidP="009F0F78">
            <w:pPr>
              <w:spacing w:before="0" w:line="276" w:lineRule="auto"/>
              <w:ind w:firstLine="0"/>
              <w:contextualSpacing w:val="0"/>
              <w:jc w:val="center"/>
              <w:rPr>
                <w:b w:val="0"/>
                <w:color w:val="FFFFFF"/>
                <w:sz w:val="20"/>
                <w:szCs w:val="20"/>
                <w:lang w:val="en-US" w:eastAsia="en-US"/>
              </w:rPr>
            </w:pPr>
            <w:bookmarkStart w:id="192" w:name="OLE_LINK1"/>
            <w:r w:rsidRPr="00512631">
              <w:rPr>
                <w:rFonts w:cs="Sylfaen"/>
                <w:b w:val="0"/>
                <w:color w:val="FFFFFF"/>
                <w:sz w:val="20"/>
                <w:szCs w:val="20"/>
                <w:lang w:val="en-US" w:eastAsia="en-US"/>
              </w:rPr>
              <w:t>Ցուցանիշներ</w:t>
            </w:r>
          </w:p>
        </w:tc>
        <w:tc>
          <w:tcPr>
            <w:tcW w:w="1210" w:type="dxa"/>
            <w:tcBorders>
              <w:top w:val="single" w:sz="8" w:space="0" w:color="auto"/>
              <w:left w:val="nil"/>
              <w:bottom w:val="nil"/>
              <w:right w:val="single" w:sz="8" w:space="0" w:color="auto"/>
            </w:tcBorders>
            <w:shd w:val="clear" w:color="000000" w:fill="2E74B5"/>
            <w:vAlign w:val="center"/>
            <w:hideMark/>
          </w:tcPr>
          <w:p w:rsidR="00AE0F80" w:rsidRPr="00EA066B" w:rsidRDefault="00AE0F80" w:rsidP="009F0F78">
            <w:pPr>
              <w:spacing w:before="0" w:line="276" w:lineRule="auto"/>
              <w:ind w:firstLine="0"/>
              <w:contextualSpacing w:val="0"/>
              <w:jc w:val="center"/>
              <w:rPr>
                <w:b w:val="0"/>
                <w:color w:val="FFFFFF"/>
                <w:sz w:val="20"/>
                <w:szCs w:val="20"/>
                <w:lang w:eastAsia="en-US"/>
              </w:rPr>
            </w:pPr>
            <w:r w:rsidRPr="00512631">
              <w:rPr>
                <w:b w:val="0"/>
                <w:color w:val="FFFFFF"/>
                <w:sz w:val="20"/>
                <w:szCs w:val="20"/>
                <w:lang w:val="hy-AM" w:eastAsia="en-US"/>
              </w:rPr>
              <w:t>2017</w:t>
            </w:r>
            <w:r>
              <w:rPr>
                <w:b w:val="0"/>
                <w:color w:val="FFFFFF"/>
                <w:sz w:val="20"/>
                <w:szCs w:val="20"/>
                <w:lang w:eastAsia="en-US"/>
              </w:rPr>
              <w:t>թ.</w:t>
            </w:r>
          </w:p>
        </w:tc>
        <w:tc>
          <w:tcPr>
            <w:tcW w:w="1210" w:type="dxa"/>
            <w:tcBorders>
              <w:top w:val="single" w:sz="8" w:space="0" w:color="auto"/>
              <w:left w:val="nil"/>
              <w:bottom w:val="nil"/>
              <w:right w:val="single" w:sz="8" w:space="0" w:color="auto"/>
            </w:tcBorders>
            <w:shd w:val="clear" w:color="000000" w:fill="2E74B5"/>
            <w:vAlign w:val="center"/>
            <w:hideMark/>
          </w:tcPr>
          <w:p w:rsidR="00AE0F80" w:rsidRPr="00EA066B" w:rsidRDefault="00AE0F80" w:rsidP="009F0F78">
            <w:pPr>
              <w:spacing w:before="0" w:line="276" w:lineRule="auto"/>
              <w:ind w:firstLine="0"/>
              <w:contextualSpacing w:val="0"/>
              <w:jc w:val="center"/>
              <w:rPr>
                <w:b w:val="0"/>
                <w:color w:val="FFFFFF"/>
                <w:sz w:val="20"/>
                <w:szCs w:val="20"/>
                <w:lang w:eastAsia="en-US"/>
              </w:rPr>
            </w:pPr>
            <w:r w:rsidRPr="00512631">
              <w:rPr>
                <w:b w:val="0"/>
                <w:color w:val="FFFFFF"/>
                <w:sz w:val="20"/>
                <w:szCs w:val="20"/>
                <w:lang w:val="hy-AM" w:eastAsia="en-US"/>
              </w:rPr>
              <w:t>2018</w:t>
            </w:r>
            <w:r>
              <w:rPr>
                <w:b w:val="0"/>
                <w:color w:val="FFFFFF"/>
                <w:sz w:val="20"/>
                <w:szCs w:val="20"/>
                <w:lang w:eastAsia="en-US"/>
              </w:rPr>
              <w:t>թ.</w:t>
            </w:r>
          </w:p>
        </w:tc>
        <w:tc>
          <w:tcPr>
            <w:tcW w:w="1210" w:type="dxa"/>
            <w:tcBorders>
              <w:top w:val="single" w:sz="8" w:space="0" w:color="auto"/>
              <w:left w:val="nil"/>
              <w:bottom w:val="nil"/>
              <w:right w:val="single" w:sz="8" w:space="0" w:color="auto"/>
            </w:tcBorders>
            <w:shd w:val="clear" w:color="000000" w:fill="2E74B5"/>
            <w:vAlign w:val="center"/>
            <w:hideMark/>
          </w:tcPr>
          <w:p w:rsidR="00AE0F80" w:rsidRPr="00EA066B" w:rsidRDefault="00AE0F80" w:rsidP="009F0F78">
            <w:pPr>
              <w:spacing w:before="0" w:line="276" w:lineRule="auto"/>
              <w:ind w:firstLine="0"/>
              <w:contextualSpacing w:val="0"/>
              <w:jc w:val="center"/>
              <w:rPr>
                <w:b w:val="0"/>
                <w:color w:val="FFFFFF"/>
                <w:sz w:val="20"/>
                <w:szCs w:val="20"/>
                <w:lang w:eastAsia="en-US"/>
              </w:rPr>
            </w:pPr>
            <w:r w:rsidRPr="00512631">
              <w:rPr>
                <w:b w:val="0"/>
                <w:color w:val="FFFFFF"/>
                <w:sz w:val="20"/>
                <w:szCs w:val="20"/>
                <w:lang w:val="hy-AM" w:eastAsia="en-US"/>
              </w:rPr>
              <w:t>2019</w:t>
            </w:r>
            <w:r>
              <w:rPr>
                <w:b w:val="0"/>
                <w:color w:val="FFFFFF"/>
                <w:sz w:val="20"/>
                <w:szCs w:val="20"/>
                <w:lang w:eastAsia="en-US"/>
              </w:rPr>
              <w:t>թ.</w:t>
            </w:r>
          </w:p>
        </w:tc>
        <w:tc>
          <w:tcPr>
            <w:tcW w:w="1509" w:type="dxa"/>
            <w:vMerge w:val="restart"/>
            <w:tcBorders>
              <w:top w:val="single" w:sz="8" w:space="0" w:color="auto"/>
              <w:left w:val="single" w:sz="8" w:space="0" w:color="auto"/>
              <w:bottom w:val="single" w:sz="8" w:space="0" w:color="000000"/>
              <w:right w:val="single" w:sz="8" w:space="0" w:color="auto"/>
            </w:tcBorders>
            <w:shd w:val="clear" w:color="000000" w:fill="2E74B5"/>
            <w:vAlign w:val="center"/>
            <w:hideMark/>
          </w:tcPr>
          <w:p w:rsidR="00AE0F80" w:rsidRPr="00EA066B" w:rsidRDefault="00AE0F80" w:rsidP="009F0F78">
            <w:pPr>
              <w:spacing w:before="0" w:line="276" w:lineRule="auto"/>
              <w:ind w:firstLine="0"/>
              <w:contextualSpacing w:val="0"/>
              <w:jc w:val="center"/>
              <w:rPr>
                <w:b w:val="0"/>
                <w:color w:val="FFFFFF"/>
                <w:sz w:val="20"/>
                <w:szCs w:val="20"/>
                <w:lang w:eastAsia="en-US"/>
              </w:rPr>
            </w:pPr>
            <w:r w:rsidRPr="00EA066B">
              <w:rPr>
                <w:rFonts w:cs="Sylfaen"/>
                <w:b w:val="0"/>
                <w:color w:val="FFFFFF"/>
                <w:sz w:val="20"/>
                <w:szCs w:val="20"/>
                <w:lang w:eastAsia="en-US"/>
              </w:rPr>
              <w:t>2020</w:t>
            </w:r>
            <w:r w:rsidRPr="00512631">
              <w:rPr>
                <w:rFonts w:cs="Sylfaen"/>
                <w:b w:val="0"/>
                <w:color w:val="FFFFFF"/>
                <w:sz w:val="20"/>
                <w:szCs w:val="20"/>
                <w:lang w:val="en-US" w:eastAsia="en-US"/>
              </w:rPr>
              <w:t>թ</w:t>
            </w:r>
            <w:r>
              <w:rPr>
                <w:rFonts w:cs="Sylfaen"/>
                <w:b w:val="0"/>
                <w:color w:val="FFFFFF"/>
                <w:sz w:val="20"/>
                <w:szCs w:val="20"/>
                <w:lang w:eastAsia="en-US"/>
              </w:rPr>
              <w:t>.</w:t>
            </w:r>
            <w:r w:rsidRPr="00EA066B">
              <w:rPr>
                <w:rFonts w:cs="Sylfaen"/>
                <w:b w:val="0"/>
                <w:color w:val="FFFFFF"/>
                <w:sz w:val="20"/>
                <w:szCs w:val="20"/>
                <w:lang w:eastAsia="en-US"/>
              </w:rPr>
              <w:t xml:space="preserve"> </w:t>
            </w:r>
            <w:r w:rsidRPr="00512631">
              <w:rPr>
                <w:rFonts w:cs="Sylfaen"/>
                <w:b w:val="0"/>
                <w:color w:val="FFFFFF"/>
                <w:sz w:val="20"/>
                <w:szCs w:val="20"/>
                <w:lang w:val="en-US" w:eastAsia="en-US"/>
              </w:rPr>
              <w:t>հաստատված</w:t>
            </w:r>
          </w:p>
        </w:tc>
        <w:tc>
          <w:tcPr>
            <w:tcW w:w="1296" w:type="dxa"/>
            <w:tcBorders>
              <w:top w:val="single" w:sz="8" w:space="0" w:color="auto"/>
              <w:left w:val="nil"/>
              <w:bottom w:val="nil"/>
              <w:right w:val="single" w:sz="8" w:space="0" w:color="auto"/>
            </w:tcBorders>
            <w:shd w:val="clear" w:color="000000" w:fill="2E74B5"/>
            <w:vAlign w:val="center"/>
            <w:hideMark/>
          </w:tcPr>
          <w:p w:rsidR="00AE0F80" w:rsidRPr="00EA066B" w:rsidRDefault="00AE0F80" w:rsidP="009F0F78">
            <w:pPr>
              <w:spacing w:before="0" w:line="276" w:lineRule="auto"/>
              <w:ind w:firstLine="0"/>
              <w:contextualSpacing w:val="0"/>
              <w:jc w:val="center"/>
              <w:rPr>
                <w:b w:val="0"/>
                <w:color w:val="FFFFFF"/>
                <w:sz w:val="20"/>
                <w:szCs w:val="20"/>
                <w:lang w:eastAsia="en-US"/>
              </w:rPr>
            </w:pPr>
            <w:r w:rsidRPr="00EA066B">
              <w:rPr>
                <w:rFonts w:cs="Sylfaen"/>
                <w:b w:val="0"/>
                <w:color w:val="FFFFFF"/>
                <w:sz w:val="20"/>
                <w:szCs w:val="20"/>
                <w:lang w:eastAsia="en-US"/>
              </w:rPr>
              <w:t>2021</w:t>
            </w:r>
            <w:r w:rsidRPr="00512631">
              <w:rPr>
                <w:rFonts w:cs="Sylfaen"/>
                <w:b w:val="0"/>
                <w:color w:val="FFFFFF"/>
                <w:sz w:val="20"/>
                <w:szCs w:val="20"/>
                <w:lang w:val="en-US" w:eastAsia="en-US"/>
              </w:rPr>
              <w:t>թ</w:t>
            </w:r>
            <w:r>
              <w:rPr>
                <w:rFonts w:cs="Sylfaen"/>
                <w:b w:val="0"/>
                <w:color w:val="FFFFFF"/>
                <w:sz w:val="20"/>
                <w:szCs w:val="20"/>
                <w:lang w:eastAsia="en-US"/>
              </w:rPr>
              <w:t>.</w:t>
            </w:r>
          </w:p>
        </w:tc>
      </w:tr>
      <w:tr w:rsidR="00AE0F80" w:rsidRPr="00512631" w:rsidTr="009F0F78">
        <w:trPr>
          <w:trHeight w:val="555"/>
        </w:trPr>
        <w:tc>
          <w:tcPr>
            <w:tcW w:w="3119" w:type="dxa"/>
            <w:vMerge/>
            <w:tcBorders>
              <w:top w:val="single" w:sz="8" w:space="0" w:color="auto"/>
              <w:left w:val="single" w:sz="8" w:space="0" w:color="auto"/>
              <w:bottom w:val="single" w:sz="8" w:space="0" w:color="000000"/>
              <w:right w:val="single" w:sz="8" w:space="0" w:color="auto"/>
            </w:tcBorders>
            <w:vAlign w:val="center"/>
            <w:hideMark/>
          </w:tcPr>
          <w:p w:rsidR="00AE0F80" w:rsidRPr="00EA066B" w:rsidRDefault="00AE0F80" w:rsidP="009F0F78">
            <w:pPr>
              <w:spacing w:before="0" w:line="276" w:lineRule="auto"/>
              <w:ind w:firstLine="0"/>
              <w:contextualSpacing w:val="0"/>
              <w:jc w:val="left"/>
              <w:rPr>
                <w:b w:val="0"/>
                <w:color w:val="FFFFFF"/>
                <w:sz w:val="20"/>
                <w:szCs w:val="20"/>
                <w:lang w:eastAsia="en-US"/>
              </w:rPr>
            </w:pPr>
          </w:p>
        </w:tc>
        <w:tc>
          <w:tcPr>
            <w:tcW w:w="1210" w:type="dxa"/>
            <w:tcBorders>
              <w:top w:val="nil"/>
              <w:left w:val="nil"/>
              <w:bottom w:val="single" w:sz="8" w:space="0" w:color="auto"/>
              <w:right w:val="single" w:sz="8" w:space="0" w:color="auto"/>
            </w:tcBorders>
            <w:shd w:val="clear" w:color="000000" w:fill="2E74B5"/>
            <w:vAlign w:val="center"/>
            <w:hideMark/>
          </w:tcPr>
          <w:p w:rsidR="00AE0F80" w:rsidRPr="00EA066B" w:rsidRDefault="00AE0F80" w:rsidP="009F0F78">
            <w:pPr>
              <w:spacing w:before="0" w:line="276" w:lineRule="auto"/>
              <w:ind w:firstLine="0"/>
              <w:contextualSpacing w:val="0"/>
              <w:jc w:val="center"/>
              <w:rPr>
                <w:b w:val="0"/>
                <w:color w:val="FFFFFF"/>
                <w:sz w:val="20"/>
                <w:szCs w:val="20"/>
                <w:lang w:eastAsia="en-US"/>
              </w:rPr>
            </w:pPr>
            <w:r w:rsidRPr="00512631">
              <w:rPr>
                <w:b w:val="0"/>
                <w:color w:val="FFFFFF"/>
                <w:sz w:val="20"/>
                <w:szCs w:val="20"/>
                <w:lang w:val="hy-AM" w:eastAsia="en-US"/>
              </w:rPr>
              <w:t>փաստացի</w:t>
            </w:r>
          </w:p>
        </w:tc>
        <w:tc>
          <w:tcPr>
            <w:tcW w:w="1210" w:type="dxa"/>
            <w:tcBorders>
              <w:top w:val="nil"/>
              <w:left w:val="nil"/>
              <w:bottom w:val="single" w:sz="8" w:space="0" w:color="auto"/>
              <w:right w:val="single" w:sz="8" w:space="0" w:color="auto"/>
            </w:tcBorders>
            <w:shd w:val="clear" w:color="000000" w:fill="2E74B5"/>
            <w:vAlign w:val="center"/>
            <w:hideMark/>
          </w:tcPr>
          <w:p w:rsidR="00AE0F80" w:rsidRPr="00EA066B" w:rsidRDefault="00AE0F80" w:rsidP="009F0F78">
            <w:pPr>
              <w:spacing w:before="0" w:line="276" w:lineRule="auto"/>
              <w:ind w:firstLine="0"/>
              <w:contextualSpacing w:val="0"/>
              <w:jc w:val="center"/>
              <w:rPr>
                <w:b w:val="0"/>
                <w:color w:val="FFFFFF"/>
                <w:sz w:val="20"/>
                <w:szCs w:val="20"/>
                <w:lang w:eastAsia="en-US"/>
              </w:rPr>
            </w:pPr>
            <w:r w:rsidRPr="00512631">
              <w:rPr>
                <w:b w:val="0"/>
                <w:color w:val="FFFFFF"/>
                <w:sz w:val="20"/>
                <w:szCs w:val="20"/>
                <w:lang w:val="hy-AM" w:eastAsia="en-US"/>
              </w:rPr>
              <w:t>փաստացի</w:t>
            </w:r>
          </w:p>
        </w:tc>
        <w:tc>
          <w:tcPr>
            <w:tcW w:w="1210" w:type="dxa"/>
            <w:tcBorders>
              <w:top w:val="nil"/>
              <w:left w:val="nil"/>
              <w:bottom w:val="single" w:sz="8" w:space="0" w:color="auto"/>
              <w:right w:val="single" w:sz="8" w:space="0" w:color="auto"/>
            </w:tcBorders>
            <w:shd w:val="clear" w:color="000000" w:fill="2E74B5"/>
            <w:vAlign w:val="center"/>
            <w:hideMark/>
          </w:tcPr>
          <w:p w:rsidR="00AE0F80" w:rsidRPr="00EA066B" w:rsidRDefault="00AE0F80" w:rsidP="009F0F78">
            <w:pPr>
              <w:spacing w:before="0" w:line="276" w:lineRule="auto"/>
              <w:ind w:firstLine="0"/>
              <w:contextualSpacing w:val="0"/>
              <w:jc w:val="center"/>
              <w:rPr>
                <w:b w:val="0"/>
                <w:color w:val="FFFFFF"/>
                <w:sz w:val="20"/>
                <w:szCs w:val="20"/>
                <w:lang w:eastAsia="en-US"/>
              </w:rPr>
            </w:pPr>
            <w:r w:rsidRPr="00512631">
              <w:rPr>
                <w:b w:val="0"/>
                <w:color w:val="FFFFFF"/>
                <w:sz w:val="20"/>
                <w:szCs w:val="20"/>
                <w:lang w:val="hy-AM" w:eastAsia="en-US"/>
              </w:rPr>
              <w:t>փաստացի</w:t>
            </w:r>
          </w:p>
        </w:tc>
        <w:tc>
          <w:tcPr>
            <w:tcW w:w="1509" w:type="dxa"/>
            <w:vMerge/>
            <w:tcBorders>
              <w:top w:val="single" w:sz="8" w:space="0" w:color="auto"/>
              <w:left w:val="single" w:sz="8" w:space="0" w:color="auto"/>
              <w:bottom w:val="single" w:sz="8" w:space="0" w:color="000000"/>
              <w:right w:val="single" w:sz="8" w:space="0" w:color="auto"/>
            </w:tcBorders>
            <w:vAlign w:val="center"/>
            <w:hideMark/>
          </w:tcPr>
          <w:p w:rsidR="00AE0F80" w:rsidRPr="00EA066B" w:rsidRDefault="00AE0F80" w:rsidP="009F0F78">
            <w:pPr>
              <w:spacing w:before="0" w:line="276" w:lineRule="auto"/>
              <w:ind w:firstLine="0"/>
              <w:contextualSpacing w:val="0"/>
              <w:jc w:val="left"/>
              <w:rPr>
                <w:b w:val="0"/>
                <w:color w:val="FFFFFF"/>
                <w:sz w:val="20"/>
                <w:szCs w:val="20"/>
                <w:lang w:eastAsia="en-US"/>
              </w:rPr>
            </w:pPr>
          </w:p>
        </w:tc>
        <w:tc>
          <w:tcPr>
            <w:tcW w:w="1296" w:type="dxa"/>
            <w:tcBorders>
              <w:top w:val="nil"/>
              <w:left w:val="nil"/>
              <w:bottom w:val="single" w:sz="8" w:space="0" w:color="auto"/>
              <w:right w:val="single" w:sz="8" w:space="0" w:color="auto"/>
            </w:tcBorders>
            <w:shd w:val="clear" w:color="000000" w:fill="2E74B5"/>
            <w:vAlign w:val="center"/>
            <w:hideMark/>
          </w:tcPr>
          <w:p w:rsidR="00AE0F80" w:rsidRPr="00EA066B" w:rsidRDefault="00AE0F80" w:rsidP="009F0F78">
            <w:pPr>
              <w:spacing w:before="0" w:line="276" w:lineRule="auto"/>
              <w:ind w:firstLine="0"/>
              <w:contextualSpacing w:val="0"/>
              <w:jc w:val="center"/>
              <w:rPr>
                <w:b w:val="0"/>
                <w:color w:val="FFFFFF"/>
                <w:sz w:val="20"/>
                <w:szCs w:val="20"/>
                <w:lang w:eastAsia="en-US"/>
              </w:rPr>
            </w:pPr>
            <w:r w:rsidRPr="00512631">
              <w:rPr>
                <w:b w:val="0"/>
                <w:color w:val="FFFFFF"/>
                <w:sz w:val="20"/>
                <w:szCs w:val="20"/>
                <w:lang w:val="hy-AM" w:eastAsia="en-US"/>
              </w:rPr>
              <w:t>բյուջ</w:t>
            </w:r>
            <w:r>
              <w:rPr>
                <w:b w:val="0"/>
                <w:color w:val="FFFFFF"/>
                <w:sz w:val="20"/>
                <w:szCs w:val="20"/>
                <w:lang w:eastAsia="en-US"/>
              </w:rPr>
              <w:t>եի</w:t>
            </w:r>
            <w:r w:rsidRPr="00512631">
              <w:rPr>
                <w:b w:val="0"/>
                <w:color w:val="FFFFFF"/>
                <w:sz w:val="20"/>
                <w:szCs w:val="20"/>
                <w:lang w:val="hy-AM" w:eastAsia="en-US"/>
              </w:rPr>
              <w:t xml:space="preserve"> նախագիծ</w:t>
            </w:r>
          </w:p>
        </w:tc>
      </w:tr>
      <w:tr w:rsidR="00AE0F80" w:rsidRPr="00976826" w:rsidTr="009F0F78">
        <w:trPr>
          <w:trHeight w:val="810"/>
        </w:trPr>
        <w:tc>
          <w:tcPr>
            <w:tcW w:w="3119" w:type="dxa"/>
            <w:vMerge w:val="restart"/>
            <w:tcBorders>
              <w:top w:val="nil"/>
              <w:left w:val="single" w:sz="8" w:space="0" w:color="auto"/>
              <w:bottom w:val="single" w:sz="8" w:space="0" w:color="000000"/>
              <w:right w:val="single" w:sz="8" w:space="0" w:color="auto"/>
            </w:tcBorders>
            <w:shd w:val="clear" w:color="000000" w:fill="D5DCE4"/>
            <w:vAlign w:val="center"/>
            <w:hideMark/>
          </w:tcPr>
          <w:p w:rsidR="00AE0F80" w:rsidRDefault="00AE0F80" w:rsidP="009F0F78">
            <w:pPr>
              <w:spacing w:before="0" w:line="276" w:lineRule="auto"/>
              <w:ind w:firstLine="0"/>
              <w:contextualSpacing w:val="0"/>
              <w:rPr>
                <w:rFonts w:eastAsia="Arial Unicode MS"/>
                <w:bCs/>
                <w:color w:val="000000"/>
                <w:sz w:val="20"/>
                <w:szCs w:val="20"/>
                <w:lang w:val="hy-AM" w:eastAsia="en-US"/>
              </w:rPr>
            </w:pPr>
            <w:r w:rsidRPr="00512631">
              <w:rPr>
                <w:rFonts w:eastAsia="Arial Unicode MS"/>
                <w:bCs/>
                <w:color w:val="000000"/>
                <w:sz w:val="20"/>
                <w:szCs w:val="20"/>
                <w:lang w:val="hy-AM" w:eastAsia="en-US"/>
              </w:rPr>
              <w:t xml:space="preserve">ԸՆԴԱՄԵՆԸ ԾԱԽՍԵՐ, </w:t>
            </w:r>
          </w:p>
          <w:p w:rsidR="00AE0F80" w:rsidRPr="00EA066B" w:rsidRDefault="00AE0F80" w:rsidP="009F0F78">
            <w:pPr>
              <w:spacing w:before="0" w:line="276" w:lineRule="auto"/>
              <w:ind w:firstLine="0"/>
              <w:contextualSpacing w:val="0"/>
              <w:rPr>
                <w:bCs/>
                <w:color w:val="000000"/>
                <w:sz w:val="20"/>
                <w:szCs w:val="20"/>
                <w:lang w:eastAsia="en-US"/>
              </w:rPr>
            </w:pPr>
            <w:r w:rsidRPr="00512631">
              <w:rPr>
                <w:rFonts w:eastAsia="Arial Unicode MS"/>
                <w:bCs/>
                <w:color w:val="000000"/>
                <w:sz w:val="20"/>
                <w:szCs w:val="20"/>
                <w:lang w:val="hy-AM" w:eastAsia="en-US"/>
              </w:rPr>
              <w:t>(մլն դրամ)</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rsidR="00AE0F80" w:rsidRPr="00EA066B" w:rsidRDefault="00AE0F80" w:rsidP="009F0F78">
            <w:pPr>
              <w:spacing w:before="0" w:line="276" w:lineRule="auto"/>
              <w:ind w:firstLine="0"/>
              <w:contextualSpacing w:val="0"/>
              <w:jc w:val="center"/>
              <w:rPr>
                <w:b w:val="0"/>
                <w:color w:val="000000"/>
                <w:sz w:val="18"/>
                <w:szCs w:val="18"/>
                <w:lang w:eastAsia="en-US"/>
              </w:rPr>
            </w:pPr>
            <w:r w:rsidRPr="00512631">
              <w:rPr>
                <w:b w:val="0"/>
                <w:bCs/>
                <w:color w:val="000000"/>
                <w:sz w:val="18"/>
                <w:szCs w:val="18"/>
                <w:lang w:val="hy-AM" w:eastAsia="en-US"/>
              </w:rPr>
              <w:t>1,504,802.2</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rsidR="00AE0F80" w:rsidRPr="00EA066B" w:rsidRDefault="00AE0F80" w:rsidP="009F0F78">
            <w:pPr>
              <w:spacing w:before="0" w:line="276" w:lineRule="auto"/>
              <w:ind w:firstLine="0"/>
              <w:contextualSpacing w:val="0"/>
              <w:jc w:val="center"/>
              <w:rPr>
                <w:b w:val="0"/>
                <w:color w:val="000000"/>
                <w:sz w:val="18"/>
                <w:szCs w:val="18"/>
                <w:lang w:eastAsia="en-US"/>
              </w:rPr>
            </w:pPr>
            <w:r w:rsidRPr="00512631">
              <w:rPr>
                <w:b w:val="0"/>
                <w:bCs/>
                <w:color w:val="000000"/>
                <w:sz w:val="18"/>
                <w:szCs w:val="18"/>
                <w:lang w:val="hy-AM" w:eastAsia="en-US"/>
              </w:rPr>
              <w:t>1,447,083.0</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rsidR="00AE0F80" w:rsidRPr="00EA066B" w:rsidRDefault="00AE0F80" w:rsidP="009F0F78">
            <w:pPr>
              <w:spacing w:before="0" w:line="276" w:lineRule="auto"/>
              <w:ind w:firstLine="0"/>
              <w:contextualSpacing w:val="0"/>
              <w:jc w:val="center"/>
              <w:rPr>
                <w:b w:val="0"/>
                <w:color w:val="000000"/>
                <w:sz w:val="18"/>
                <w:szCs w:val="18"/>
                <w:lang w:eastAsia="en-US"/>
              </w:rPr>
            </w:pPr>
            <w:r w:rsidRPr="00EA066B">
              <w:rPr>
                <w:b w:val="0"/>
                <w:bCs/>
                <w:color w:val="000000"/>
                <w:sz w:val="18"/>
                <w:szCs w:val="18"/>
                <w:lang w:eastAsia="en-US"/>
              </w:rPr>
              <w:t>1,629,436.9</w:t>
            </w:r>
          </w:p>
        </w:tc>
        <w:tc>
          <w:tcPr>
            <w:tcW w:w="1509" w:type="dxa"/>
            <w:vMerge w:val="restart"/>
            <w:tcBorders>
              <w:top w:val="nil"/>
              <w:left w:val="single" w:sz="8" w:space="0" w:color="auto"/>
              <w:bottom w:val="single" w:sz="8" w:space="0" w:color="000000"/>
              <w:right w:val="single" w:sz="8" w:space="0" w:color="auto"/>
            </w:tcBorders>
            <w:shd w:val="clear" w:color="000000" w:fill="D5DCE4"/>
            <w:vAlign w:val="center"/>
            <w:hideMark/>
          </w:tcPr>
          <w:p w:rsidR="00AE0F80" w:rsidRPr="00EA066B" w:rsidRDefault="00AE0F80" w:rsidP="009F0F78">
            <w:pPr>
              <w:spacing w:before="0" w:line="276" w:lineRule="auto"/>
              <w:ind w:firstLine="0"/>
              <w:contextualSpacing w:val="0"/>
              <w:jc w:val="center"/>
              <w:rPr>
                <w:b w:val="0"/>
                <w:color w:val="000000"/>
                <w:sz w:val="18"/>
                <w:szCs w:val="18"/>
                <w:lang w:eastAsia="en-US"/>
              </w:rPr>
            </w:pPr>
            <w:r w:rsidRPr="00EA066B">
              <w:rPr>
                <w:b w:val="0"/>
                <w:bCs/>
                <w:color w:val="000000"/>
                <w:sz w:val="18"/>
                <w:szCs w:val="18"/>
                <w:lang w:eastAsia="en-US"/>
              </w:rPr>
              <w:t>1,855,882.7</w:t>
            </w:r>
          </w:p>
        </w:tc>
        <w:tc>
          <w:tcPr>
            <w:tcW w:w="1296" w:type="dxa"/>
            <w:vMerge w:val="restart"/>
            <w:tcBorders>
              <w:top w:val="nil"/>
              <w:left w:val="single" w:sz="8" w:space="0" w:color="auto"/>
              <w:bottom w:val="single" w:sz="8" w:space="0" w:color="000000"/>
              <w:right w:val="single" w:sz="8" w:space="0" w:color="auto"/>
            </w:tcBorders>
            <w:shd w:val="clear" w:color="000000" w:fill="D5DCE4"/>
            <w:vAlign w:val="center"/>
            <w:hideMark/>
          </w:tcPr>
          <w:p w:rsidR="00AE0F80" w:rsidRDefault="00AE0F80" w:rsidP="009F0F78">
            <w:pPr>
              <w:spacing w:before="0" w:line="276" w:lineRule="auto"/>
              <w:ind w:firstLine="0"/>
              <w:contextualSpacing w:val="0"/>
              <w:jc w:val="center"/>
              <w:rPr>
                <w:b w:val="0"/>
                <w:bCs/>
                <w:color w:val="000000"/>
                <w:sz w:val="18"/>
                <w:szCs w:val="18"/>
                <w:lang w:eastAsia="en-US"/>
              </w:rPr>
            </w:pPr>
          </w:p>
          <w:p w:rsidR="00AE0F80" w:rsidRPr="00835F92" w:rsidRDefault="00AE0F80" w:rsidP="009F0F78">
            <w:pPr>
              <w:spacing w:before="0" w:line="276" w:lineRule="auto"/>
              <w:ind w:firstLine="0"/>
              <w:contextualSpacing w:val="0"/>
              <w:jc w:val="center"/>
              <w:rPr>
                <w:b w:val="0"/>
                <w:bCs/>
                <w:color w:val="000000"/>
                <w:sz w:val="18"/>
                <w:szCs w:val="18"/>
                <w:lang w:eastAsia="en-US"/>
              </w:rPr>
            </w:pPr>
            <w:r w:rsidRPr="00976826">
              <w:rPr>
                <w:b w:val="0"/>
                <w:bCs/>
                <w:color w:val="000000"/>
                <w:sz w:val="18"/>
                <w:szCs w:val="18"/>
                <w:lang w:eastAsia="en-US"/>
              </w:rPr>
              <w:t>1</w:t>
            </w:r>
            <w:r>
              <w:rPr>
                <w:b w:val="0"/>
                <w:bCs/>
                <w:color w:val="000000"/>
                <w:sz w:val="18"/>
                <w:szCs w:val="18"/>
                <w:lang w:val="en-US" w:eastAsia="en-US"/>
              </w:rPr>
              <w:t>,</w:t>
            </w:r>
            <w:r w:rsidRPr="00976826">
              <w:rPr>
                <w:b w:val="0"/>
                <w:bCs/>
                <w:color w:val="000000"/>
                <w:sz w:val="18"/>
                <w:szCs w:val="18"/>
                <w:lang w:eastAsia="en-US"/>
              </w:rPr>
              <w:t>85</w:t>
            </w:r>
            <w:r>
              <w:rPr>
                <w:b w:val="0"/>
                <w:bCs/>
                <w:color w:val="000000"/>
                <w:sz w:val="18"/>
                <w:szCs w:val="18"/>
                <w:lang w:eastAsia="en-US"/>
              </w:rPr>
              <w:t>0</w:t>
            </w:r>
            <w:r>
              <w:rPr>
                <w:b w:val="0"/>
                <w:bCs/>
                <w:color w:val="000000"/>
                <w:sz w:val="18"/>
                <w:szCs w:val="18"/>
                <w:lang w:val="en-US" w:eastAsia="en-US"/>
              </w:rPr>
              <w:t>,</w:t>
            </w:r>
            <w:r>
              <w:rPr>
                <w:b w:val="0"/>
                <w:bCs/>
                <w:color w:val="000000"/>
                <w:sz w:val="18"/>
                <w:szCs w:val="18"/>
                <w:lang w:eastAsia="en-US"/>
              </w:rPr>
              <w:t>877</w:t>
            </w:r>
            <w:r>
              <w:rPr>
                <w:b w:val="0"/>
                <w:bCs/>
                <w:color w:val="000000"/>
                <w:sz w:val="18"/>
                <w:szCs w:val="18"/>
                <w:lang w:val="en-US" w:eastAsia="en-US"/>
              </w:rPr>
              <w:t>.</w:t>
            </w:r>
            <w:r>
              <w:rPr>
                <w:b w:val="0"/>
                <w:bCs/>
                <w:color w:val="000000"/>
                <w:sz w:val="18"/>
                <w:szCs w:val="18"/>
                <w:lang w:eastAsia="en-US"/>
              </w:rPr>
              <w:t>5</w:t>
            </w:r>
          </w:p>
          <w:p w:rsidR="00AE0F80" w:rsidRPr="00976826" w:rsidRDefault="00AE0F80" w:rsidP="009F0F78">
            <w:pPr>
              <w:spacing w:before="0" w:line="276" w:lineRule="auto"/>
              <w:ind w:firstLine="0"/>
              <w:contextualSpacing w:val="0"/>
              <w:jc w:val="center"/>
              <w:rPr>
                <w:b w:val="0"/>
                <w:bCs/>
                <w:color w:val="000000"/>
                <w:sz w:val="18"/>
                <w:szCs w:val="18"/>
                <w:lang w:eastAsia="en-US"/>
              </w:rPr>
            </w:pPr>
          </w:p>
        </w:tc>
      </w:tr>
      <w:tr w:rsidR="00AE0F80" w:rsidRPr="00512631" w:rsidTr="009F0F78">
        <w:trPr>
          <w:trHeight w:val="486"/>
        </w:trPr>
        <w:tc>
          <w:tcPr>
            <w:tcW w:w="3119" w:type="dxa"/>
            <w:vMerge/>
            <w:tcBorders>
              <w:top w:val="nil"/>
              <w:left w:val="single" w:sz="8" w:space="0" w:color="auto"/>
              <w:bottom w:val="single" w:sz="8" w:space="0" w:color="000000"/>
              <w:right w:val="single" w:sz="8" w:space="0" w:color="auto"/>
            </w:tcBorders>
            <w:vAlign w:val="center"/>
            <w:hideMark/>
          </w:tcPr>
          <w:p w:rsidR="00AE0F80" w:rsidRPr="00512631" w:rsidRDefault="00AE0F80" w:rsidP="009F0F78">
            <w:pPr>
              <w:spacing w:before="0" w:line="276" w:lineRule="auto"/>
              <w:ind w:firstLine="0"/>
              <w:contextualSpacing w:val="0"/>
              <w:jc w:val="left"/>
              <w:rPr>
                <w:bCs/>
                <w:color w:val="000000"/>
                <w:sz w:val="20"/>
                <w:szCs w:val="20"/>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AE0F80" w:rsidRPr="00512631" w:rsidRDefault="00AE0F80" w:rsidP="009F0F78">
            <w:pPr>
              <w:spacing w:before="0" w:line="276" w:lineRule="auto"/>
              <w:ind w:firstLine="0"/>
              <w:contextualSpacing w:val="0"/>
              <w:jc w:val="left"/>
              <w:rPr>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AE0F80" w:rsidRPr="00512631" w:rsidRDefault="00AE0F80" w:rsidP="009F0F78">
            <w:pPr>
              <w:spacing w:before="0" w:line="276" w:lineRule="auto"/>
              <w:ind w:firstLine="0"/>
              <w:contextualSpacing w:val="0"/>
              <w:jc w:val="left"/>
              <w:rPr>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AE0F80" w:rsidRPr="00512631" w:rsidRDefault="00AE0F80" w:rsidP="009F0F78">
            <w:pPr>
              <w:spacing w:before="0" w:line="276" w:lineRule="auto"/>
              <w:ind w:firstLine="0"/>
              <w:contextualSpacing w:val="0"/>
              <w:jc w:val="left"/>
              <w:rPr>
                <w:b w:val="0"/>
                <w:color w:val="000000"/>
                <w:sz w:val="18"/>
                <w:szCs w:val="18"/>
                <w:lang w:val="en-US" w:eastAsia="en-US"/>
              </w:rPr>
            </w:pPr>
          </w:p>
        </w:tc>
        <w:tc>
          <w:tcPr>
            <w:tcW w:w="1509" w:type="dxa"/>
            <w:vMerge/>
            <w:tcBorders>
              <w:top w:val="nil"/>
              <w:left w:val="single" w:sz="8" w:space="0" w:color="auto"/>
              <w:bottom w:val="single" w:sz="8" w:space="0" w:color="000000"/>
              <w:right w:val="single" w:sz="8" w:space="0" w:color="auto"/>
            </w:tcBorders>
            <w:vAlign w:val="center"/>
            <w:hideMark/>
          </w:tcPr>
          <w:p w:rsidR="00AE0F80" w:rsidRPr="00512631" w:rsidRDefault="00AE0F80" w:rsidP="009F0F78">
            <w:pPr>
              <w:spacing w:before="0" w:line="276" w:lineRule="auto"/>
              <w:ind w:firstLine="0"/>
              <w:contextualSpacing w:val="0"/>
              <w:jc w:val="left"/>
              <w:rPr>
                <w:b w:val="0"/>
                <w:color w:val="000000"/>
                <w:sz w:val="18"/>
                <w:szCs w:val="18"/>
                <w:lang w:val="en-US" w:eastAsia="en-US"/>
              </w:rPr>
            </w:pPr>
          </w:p>
        </w:tc>
        <w:tc>
          <w:tcPr>
            <w:tcW w:w="1296" w:type="dxa"/>
            <w:vMerge/>
            <w:tcBorders>
              <w:top w:val="nil"/>
              <w:left w:val="single" w:sz="8" w:space="0" w:color="auto"/>
              <w:bottom w:val="single" w:sz="8" w:space="0" w:color="000000"/>
              <w:right w:val="single" w:sz="8" w:space="0" w:color="auto"/>
            </w:tcBorders>
            <w:vAlign w:val="center"/>
            <w:hideMark/>
          </w:tcPr>
          <w:p w:rsidR="00AE0F80" w:rsidRPr="00512631" w:rsidRDefault="00AE0F80" w:rsidP="009F0F78">
            <w:pPr>
              <w:spacing w:before="0" w:line="276" w:lineRule="auto"/>
              <w:ind w:firstLine="0"/>
              <w:contextualSpacing w:val="0"/>
              <w:jc w:val="left"/>
              <w:rPr>
                <w:b w:val="0"/>
                <w:color w:val="000000"/>
                <w:sz w:val="18"/>
                <w:szCs w:val="18"/>
                <w:lang w:val="en-US" w:eastAsia="en-US"/>
              </w:rPr>
            </w:pPr>
          </w:p>
        </w:tc>
      </w:tr>
      <w:tr w:rsidR="00AE0F80" w:rsidRPr="00512631" w:rsidTr="009F0F78">
        <w:trPr>
          <w:trHeight w:val="482"/>
        </w:trPr>
        <w:tc>
          <w:tcPr>
            <w:tcW w:w="3119" w:type="dxa"/>
            <w:vMerge/>
            <w:tcBorders>
              <w:top w:val="nil"/>
              <w:left w:val="single" w:sz="8" w:space="0" w:color="auto"/>
              <w:bottom w:val="single" w:sz="8" w:space="0" w:color="000000"/>
              <w:right w:val="single" w:sz="8" w:space="0" w:color="auto"/>
            </w:tcBorders>
            <w:vAlign w:val="center"/>
            <w:hideMark/>
          </w:tcPr>
          <w:p w:rsidR="00AE0F80" w:rsidRPr="00512631" w:rsidRDefault="00AE0F80" w:rsidP="009F0F78">
            <w:pPr>
              <w:spacing w:before="0" w:line="276" w:lineRule="auto"/>
              <w:ind w:firstLine="0"/>
              <w:contextualSpacing w:val="0"/>
              <w:jc w:val="left"/>
              <w:rPr>
                <w:bCs/>
                <w:color w:val="000000"/>
                <w:sz w:val="20"/>
                <w:szCs w:val="20"/>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AE0F80" w:rsidRPr="00512631" w:rsidRDefault="00AE0F80" w:rsidP="009F0F78">
            <w:pPr>
              <w:spacing w:before="0" w:line="276" w:lineRule="auto"/>
              <w:ind w:firstLine="0"/>
              <w:contextualSpacing w:val="0"/>
              <w:jc w:val="left"/>
              <w:rPr>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AE0F80" w:rsidRPr="00512631" w:rsidRDefault="00AE0F80" w:rsidP="009F0F78">
            <w:pPr>
              <w:spacing w:before="0" w:line="276" w:lineRule="auto"/>
              <w:ind w:firstLine="0"/>
              <w:contextualSpacing w:val="0"/>
              <w:jc w:val="left"/>
              <w:rPr>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rsidR="00AE0F80" w:rsidRPr="00512631" w:rsidRDefault="00AE0F80" w:rsidP="009F0F78">
            <w:pPr>
              <w:spacing w:before="0" w:line="276" w:lineRule="auto"/>
              <w:ind w:firstLine="0"/>
              <w:contextualSpacing w:val="0"/>
              <w:jc w:val="left"/>
              <w:rPr>
                <w:b w:val="0"/>
                <w:color w:val="000000"/>
                <w:sz w:val="18"/>
                <w:szCs w:val="18"/>
                <w:lang w:val="en-US" w:eastAsia="en-US"/>
              </w:rPr>
            </w:pPr>
          </w:p>
        </w:tc>
        <w:tc>
          <w:tcPr>
            <w:tcW w:w="1509" w:type="dxa"/>
            <w:vMerge/>
            <w:tcBorders>
              <w:top w:val="nil"/>
              <w:left w:val="single" w:sz="8" w:space="0" w:color="auto"/>
              <w:bottom w:val="single" w:sz="8" w:space="0" w:color="000000"/>
              <w:right w:val="single" w:sz="8" w:space="0" w:color="auto"/>
            </w:tcBorders>
            <w:vAlign w:val="center"/>
            <w:hideMark/>
          </w:tcPr>
          <w:p w:rsidR="00AE0F80" w:rsidRPr="00512631" w:rsidRDefault="00AE0F80" w:rsidP="009F0F78">
            <w:pPr>
              <w:spacing w:before="0" w:line="276" w:lineRule="auto"/>
              <w:ind w:firstLine="0"/>
              <w:contextualSpacing w:val="0"/>
              <w:jc w:val="left"/>
              <w:rPr>
                <w:b w:val="0"/>
                <w:color w:val="000000"/>
                <w:sz w:val="18"/>
                <w:szCs w:val="18"/>
                <w:lang w:val="en-US" w:eastAsia="en-US"/>
              </w:rPr>
            </w:pPr>
          </w:p>
        </w:tc>
        <w:tc>
          <w:tcPr>
            <w:tcW w:w="1296" w:type="dxa"/>
            <w:vMerge/>
            <w:tcBorders>
              <w:top w:val="nil"/>
              <w:left w:val="single" w:sz="8" w:space="0" w:color="auto"/>
              <w:bottom w:val="single" w:sz="8" w:space="0" w:color="000000"/>
              <w:right w:val="single" w:sz="8" w:space="0" w:color="auto"/>
            </w:tcBorders>
            <w:vAlign w:val="center"/>
            <w:hideMark/>
          </w:tcPr>
          <w:p w:rsidR="00AE0F80" w:rsidRPr="00512631" w:rsidRDefault="00AE0F80" w:rsidP="009F0F78">
            <w:pPr>
              <w:spacing w:before="0" w:line="276" w:lineRule="auto"/>
              <w:ind w:firstLine="0"/>
              <w:contextualSpacing w:val="0"/>
              <w:jc w:val="left"/>
              <w:rPr>
                <w:b w:val="0"/>
                <w:color w:val="000000"/>
                <w:sz w:val="18"/>
                <w:szCs w:val="18"/>
                <w:lang w:val="en-US" w:eastAsia="en-US"/>
              </w:rPr>
            </w:pPr>
          </w:p>
        </w:tc>
      </w:tr>
      <w:tr w:rsidR="00AE0F80" w:rsidRPr="00512631" w:rsidTr="009F0F78">
        <w:trPr>
          <w:trHeight w:val="315"/>
        </w:trPr>
        <w:tc>
          <w:tcPr>
            <w:tcW w:w="3119" w:type="dxa"/>
            <w:tcBorders>
              <w:top w:val="nil"/>
              <w:left w:val="single" w:sz="8" w:space="0" w:color="auto"/>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rPr>
                <w:b w:val="0"/>
                <w:color w:val="000000"/>
                <w:sz w:val="20"/>
                <w:szCs w:val="20"/>
                <w:lang w:val="en-US" w:eastAsia="en-US"/>
              </w:rPr>
            </w:pPr>
            <w:r w:rsidRPr="00512631">
              <w:rPr>
                <w:rFonts w:eastAsia="Arial Unicode MS"/>
                <w:b w:val="0"/>
                <w:color w:val="000000"/>
                <w:sz w:val="20"/>
                <w:szCs w:val="20"/>
                <w:lang w:val="hy-AM" w:eastAsia="en-US"/>
              </w:rPr>
              <w:t>այդ թվում՝</w:t>
            </w:r>
          </w:p>
        </w:tc>
        <w:tc>
          <w:tcPr>
            <w:tcW w:w="1210"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rFonts w:ascii="Calibri" w:hAnsi="Calibri" w:cs="Calibri"/>
                <w:b w:val="0"/>
                <w:bCs/>
                <w:color w:val="000000"/>
                <w:sz w:val="20"/>
                <w:szCs w:val="20"/>
                <w:lang w:val="en-US" w:eastAsia="en-US"/>
              </w:rPr>
              <w:t> </w:t>
            </w:r>
          </w:p>
        </w:tc>
        <w:tc>
          <w:tcPr>
            <w:tcW w:w="1210"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rFonts w:ascii="Calibri" w:hAnsi="Calibri" w:cs="Calibri"/>
                <w:b w:val="0"/>
                <w:bCs/>
                <w:color w:val="000000"/>
                <w:sz w:val="20"/>
                <w:szCs w:val="20"/>
                <w:lang w:val="en-US" w:eastAsia="en-US"/>
              </w:rPr>
              <w:t> </w:t>
            </w:r>
          </w:p>
        </w:tc>
        <w:tc>
          <w:tcPr>
            <w:tcW w:w="1210"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rFonts w:ascii="Calibri" w:hAnsi="Calibri" w:cs="Calibri"/>
                <w:b w:val="0"/>
                <w:bCs/>
                <w:color w:val="000000"/>
                <w:sz w:val="20"/>
                <w:szCs w:val="20"/>
                <w:lang w:val="en-US" w:eastAsia="en-US"/>
              </w:rPr>
              <w:t> </w:t>
            </w:r>
          </w:p>
        </w:tc>
        <w:tc>
          <w:tcPr>
            <w:tcW w:w="1509"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rFonts w:ascii="Calibri" w:hAnsi="Calibri" w:cs="Calibri"/>
                <w:b w:val="0"/>
                <w:bCs/>
                <w:color w:val="000000"/>
                <w:sz w:val="20"/>
                <w:szCs w:val="20"/>
                <w:lang w:val="en-US" w:eastAsia="en-US"/>
              </w:rPr>
              <w:t> </w:t>
            </w:r>
          </w:p>
        </w:tc>
        <w:tc>
          <w:tcPr>
            <w:tcW w:w="1296"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rFonts w:ascii="Calibri" w:hAnsi="Calibri" w:cs="Calibri"/>
                <w:b w:val="0"/>
                <w:bCs/>
                <w:color w:val="000000"/>
                <w:sz w:val="20"/>
                <w:szCs w:val="20"/>
                <w:lang w:val="en-US" w:eastAsia="en-US"/>
              </w:rPr>
              <w:t> </w:t>
            </w:r>
          </w:p>
        </w:tc>
      </w:tr>
      <w:tr w:rsidR="00AE0F80" w:rsidRPr="00512631" w:rsidTr="009F0F78">
        <w:trPr>
          <w:trHeight w:val="673"/>
        </w:trPr>
        <w:tc>
          <w:tcPr>
            <w:tcW w:w="3119" w:type="dxa"/>
            <w:tcBorders>
              <w:top w:val="nil"/>
              <w:left w:val="single" w:sz="8" w:space="0" w:color="auto"/>
              <w:bottom w:val="single" w:sz="8" w:space="0" w:color="auto"/>
              <w:right w:val="single" w:sz="8" w:space="0" w:color="auto"/>
            </w:tcBorders>
            <w:shd w:val="clear" w:color="000000" w:fill="D5DCE4"/>
            <w:vAlign w:val="center"/>
            <w:hideMark/>
          </w:tcPr>
          <w:p w:rsidR="00AE0F80" w:rsidRPr="00512631" w:rsidRDefault="00AE0F80" w:rsidP="009F0F78">
            <w:pPr>
              <w:spacing w:before="0" w:line="276" w:lineRule="auto"/>
              <w:ind w:firstLine="0"/>
              <w:contextualSpacing w:val="0"/>
              <w:rPr>
                <w:b w:val="0"/>
                <w:color w:val="000000"/>
                <w:sz w:val="20"/>
                <w:szCs w:val="20"/>
                <w:lang w:val="en-US" w:eastAsia="en-US"/>
              </w:rPr>
            </w:pPr>
            <w:r w:rsidRPr="00512631">
              <w:rPr>
                <w:rFonts w:eastAsia="Arial Unicode MS"/>
                <w:b w:val="0"/>
                <w:color w:val="000000"/>
                <w:sz w:val="20"/>
                <w:szCs w:val="20"/>
                <w:lang w:val="hy-AM" w:eastAsia="en-US"/>
              </w:rPr>
              <w:t>- ընթացիկ ծախսեր, (մլն դրամ)</w:t>
            </w:r>
          </w:p>
        </w:tc>
        <w:tc>
          <w:tcPr>
            <w:tcW w:w="1210" w:type="dxa"/>
            <w:tcBorders>
              <w:top w:val="nil"/>
              <w:left w:val="nil"/>
              <w:bottom w:val="single" w:sz="8" w:space="0" w:color="auto"/>
              <w:right w:val="single" w:sz="8" w:space="0" w:color="auto"/>
            </w:tcBorders>
            <w:shd w:val="clear" w:color="000000" w:fill="D5DCE4"/>
            <w:vAlign w:val="center"/>
            <w:hideMark/>
          </w:tcPr>
          <w:p w:rsidR="00AE0F80" w:rsidRPr="00512631" w:rsidRDefault="00AE0F80" w:rsidP="009F0F78">
            <w:pPr>
              <w:spacing w:before="0" w:line="276" w:lineRule="auto"/>
              <w:ind w:firstLine="0"/>
              <w:contextualSpacing w:val="0"/>
              <w:jc w:val="center"/>
              <w:rPr>
                <w:b w:val="0"/>
                <w:color w:val="000000"/>
                <w:sz w:val="18"/>
                <w:szCs w:val="18"/>
                <w:lang w:val="en-US" w:eastAsia="en-US"/>
              </w:rPr>
            </w:pPr>
            <w:r w:rsidRPr="00512631">
              <w:rPr>
                <w:b w:val="0"/>
                <w:bCs/>
                <w:color w:val="000000"/>
                <w:sz w:val="18"/>
                <w:szCs w:val="18"/>
                <w:lang w:val="hy-AM" w:eastAsia="en-US"/>
              </w:rPr>
              <w:t>1,267,436.7</w:t>
            </w:r>
          </w:p>
        </w:tc>
        <w:tc>
          <w:tcPr>
            <w:tcW w:w="1210" w:type="dxa"/>
            <w:tcBorders>
              <w:top w:val="nil"/>
              <w:left w:val="nil"/>
              <w:bottom w:val="single" w:sz="8" w:space="0" w:color="auto"/>
              <w:right w:val="single" w:sz="8" w:space="0" w:color="auto"/>
            </w:tcBorders>
            <w:shd w:val="clear" w:color="000000" w:fill="D5DCE4"/>
            <w:vAlign w:val="center"/>
            <w:hideMark/>
          </w:tcPr>
          <w:p w:rsidR="00AE0F80" w:rsidRPr="00512631" w:rsidRDefault="00AE0F80" w:rsidP="009F0F78">
            <w:pPr>
              <w:spacing w:before="0" w:line="276" w:lineRule="auto"/>
              <w:ind w:firstLine="0"/>
              <w:contextualSpacing w:val="0"/>
              <w:rPr>
                <w:b w:val="0"/>
                <w:color w:val="000000"/>
                <w:sz w:val="18"/>
                <w:szCs w:val="18"/>
                <w:lang w:val="en-US" w:eastAsia="en-US"/>
              </w:rPr>
            </w:pPr>
            <w:r w:rsidRPr="00512631">
              <w:rPr>
                <w:b w:val="0"/>
                <w:bCs/>
                <w:color w:val="000000"/>
                <w:sz w:val="18"/>
                <w:szCs w:val="18"/>
                <w:lang w:val="hy-AM" w:eastAsia="en-US"/>
              </w:rPr>
              <w:t>1,298,977.9</w:t>
            </w:r>
          </w:p>
        </w:tc>
        <w:tc>
          <w:tcPr>
            <w:tcW w:w="1210" w:type="dxa"/>
            <w:tcBorders>
              <w:top w:val="nil"/>
              <w:left w:val="nil"/>
              <w:bottom w:val="single" w:sz="8" w:space="0" w:color="auto"/>
              <w:right w:val="single" w:sz="8" w:space="0" w:color="auto"/>
            </w:tcBorders>
            <w:shd w:val="clear" w:color="000000" w:fill="D5DCE4"/>
            <w:vAlign w:val="center"/>
            <w:hideMark/>
          </w:tcPr>
          <w:p w:rsidR="00AE0F80" w:rsidRPr="00512631" w:rsidRDefault="00AE0F80" w:rsidP="009F0F78">
            <w:pPr>
              <w:spacing w:before="0" w:line="276" w:lineRule="auto"/>
              <w:ind w:firstLine="0"/>
              <w:contextualSpacing w:val="0"/>
              <w:rPr>
                <w:b w:val="0"/>
                <w:color w:val="000000"/>
                <w:sz w:val="18"/>
                <w:szCs w:val="18"/>
                <w:lang w:val="en-US" w:eastAsia="en-US"/>
              </w:rPr>
            </w:pPr>
            <w:r w:rsidRPr="00512631">
              <w:rPr>
                <w:b w:val="0"/>
                <w:bCs/>
                <w:color w:val="000000"/>
                <w:sz w:val="18"/>
                <w:szCs w:val="18"/>
                <w:lang w:val="hy-AM" w:eastAsia="en-US"/>
              </w:rPr>
              <w:t>1,437,142.9</w:t>
            </w:r>
          </w:p>
        </w:tc>
        <w:tc>
          <w:tcPr>
            <w:tcW w:w="1509" w:type="dxa"/>
            <w:tcBorders>
              <w:top w:val="nil"/>
              <w:left w:val="nil"/>
              <w:bottom w:val="single" w:sz="8" w:space="0" w:color="auto"/>
              <w:right w:val="single" w:sz="8" w:space="0" w:color="auto"/>
            </w:tcBorders>
            <w:shd w:val="clear" w:color="000000" w:fill="D5DCE4"/>
            <w:vAlign w:val="center"/>
            <w:hideMark/>
          </w:tcPr>
          <w:p w:rsidR="00AE0F80" w:rsidRPr="00512631" w:rsidRDefault="00AE0F80" w:rsidP="009F0F78">
            <w:pPr>
              <w:spacing w:before="0" w:line="276" w:lineRule="auto"/>
              <w:ind w:firstLine="0"/>
              <w:contextualSpacing w:val="0"/>
              <w:rPr>
                <w:b w:val="0"/>
                <w:color w:val="000000"/>
                <w:sz w:val="18"/>
                <w:szCs w:val="18"/>
                <w:lang w:val="en-US" w:eastAsia="en-US"/>
              </w:rPr>
            </w:pPr>
            <w:r w:rsidRPr="00512631">
              <w:rPr>
                <w:b w:val="0"/>
                <w:bCs/>
                <w:color w:val="000000"/>
                <w:sz w:val="18"/>
                <w:szCs w:val="18"/>
                <w:lang w:val="hy-AM" w:eastAsia="en-US"/>
              </w:rPr>
              <w:t>1,568,161.8</w:t>
            </w:r>
          </w:p>
        </w:tc>
        <w:tc>
          <w:tcPr>
            <w:tcW w:w="1296" w:type="dxa"/>
            <w:tcBorders>
              <w:top w:val="nil"/>
              <w:left w:val="nil"/>
              <w:bottom w:val="single" w:sz="8" w:space="0" w:color="auto"/>
              <w:right w:val="single" w:sz="8" w:space="0" w:color="auto"/>
            </w:tcBorders>
            <w:shd w:val="clear" w:color="000000" w:fill="D5DCE4"/>
            <w:vAlign w:val="center"/>
            <w:hideMark/>
          </w:tcPr>
          <w:p w:rsidR="00AE0F80" w:rsidRDefault="00AE0F80" w:rsidP="009F0F78">
            <w:pPr>
              <w:spacing w:before="0" w:line="276" w:lineRule="auto"/>
              <w:ind w:firstLine="0"/>
              <w:contextualSpacing w:val="0"/>
              <w:rPr>
                <w:b w:val="0"/>
                <w:bCs/>
                <w:color w:val="000000"/>
                <w:sz w:val="18"/>
                <w:szCs w:val="18"/>
                <w:lang w:val="hy-AM" w:eastAsia="en-US"/>
              </w:rPr>
            </w:pPr>
          </w:p>
          <w:p w:rsidR="00AE0F80" w:rsidRPr="00FE5D6E" w:rsidRDefault="00AE0F80" w:rsidP="009F0F78">
            <w:pPr>
              <w:spacing w:before="0" w:line="276" w:lineRule="auto"/>
              <w:ind w:firstLine="0"/>
              <w:contextualSpacing w:val="0"/>
              <w:rPr>
                <w:b w:val="0"/>
                <w:bCs/>
                <w:color w:val="000000"/>
                <w:sz w:val="18"/>
                <w:szCs w:val="18"/>
                <w:lang w:val="hy-AM" w:eastAsia="en-US"/>
              </w:rPr>
            </w:pPr>
            <w:r w:rsidRPr="0015669E">
              <w:rPr>
                <w:b w:val="0"/>
                <w:bCs/>
                <w:color w:val="000000"/>
                <w:sz w:val="18"/>
                <w:szCs w:val="18"/>
                <w:lang w:val="hy-AM" w:eastAsia="en-US"/>
              </w:rPr>
              <w:t>1</w:t>
            </w:r>
            <w:r>
              <w:rPr>
                <w:b w:val="0"/>
                <w:bCs/>
                <w:color w:val="000000"/>
                <w:sz w:val="18"/>
                <w:szCs w:val="18"/>
                <w:lang w:val="en-US" w:eastAsia="en-US"/>
              </w:rPr>
              <w:t>,</w:t>
            </w:r>
            <w:r w:rsidRPr="0015669E">
              <w:rPr>
                <w:b w:val="0"/>
                <w:bCs/>
                <w:color w:val="000000"/>
                <w:sz w:val="18"/>
                <w:szCs w:val="18"/>
                <w:lang w:val="hy-AM" w:eastAsia="en-US"/>
              </w:rPr>
              <w:t>6</w:t>
            </w:r>
            <w:r>
              <w:rPr>
                <w:b w:val="0"/>
                <w:bCs/>
                <w:color w:val="000000"/>
                <w:sz w:val="18"/>
                <w:szCs w:val="18"/>
                <w:lang w:val="hy-AM" w:eastAsia="en-US"/>
              </w:rPr>
              <w:t>3</w:t>
            </w:r>
            <w:r w:rsidRPr="0015669E">
              <w:rPr>
                <w:b w:val="0"/>
                <w:bCs/>
                <w:color w:val="000000"/>
                <w:sz w:val="18"/>
                <w:szCs w:val="18"/>
                <w:lang w:val="hy-AM" w:eastAsia="en-US"/>
              </w:rPr>
              <w:t>4</w:t>
            </w:r>
            <w:r>
              <w:rPr>
                <w:b w:val="0"/>
                <w:bCs/>
                <w:color w:val="000000"/>
                <w:sz w:val="18"/>
                <w:szCs w:val="18"/>
                <w:lang w:val="en-US" w:eastAsia="en-US"/>
              </w:rPr>
              <w:t>,</w:t>
            </w:r>
            <w:r>
              <w:rPr>
                <w:b w:val="0"/>
                <w:bCs/>
                <w:color w:val="000000"/>
                <w:sz w:val="18"/>
                <w:szCs w:val="18"/>
                <w:lang w:val="hy-AM" w:eastAsia="en-US"/>
              </w:rPr>
              <w:t>558</w:t>
            </w:r>
            <w:r>
              <w:rPr>
                <w:b w:val="0"/>
                <w:bCs/>
                <w:color w:val="000000"/>
                <w:sz w:val="18"/>
                <w:szCs w:val="18"/>
                <w:lang w:val="en-US" w:eastAsia="en-US"/>
              </w:rPr>
              <w:t>.</w:t>
            </w:r>
            <w:r>
              <w:rPr>
                <w:b w:val="0"/>
                <w:bCs/>
                <w:color w:val="000000"/>
                <w:sz w:val="18"/>
                <w:szCs w:val="18"/>
                <w:lang w:val="hy-AM" w:eastAsia="en-US"/>
              </w:rPr>
              <w:t>6</w:t>
            </w:r>
          </w:p>
          <w:p w:rsidR="00AE0F80" w:rsidRPr="0015669E" w:rsidRDefault="00AE0F80" w:rsidP="009F0F78">
            <w:pPr>
              <w:spacing w:before="0" w:line="276" w:lineRule="auto"/>
              <w:ind w:firstLine="0"/>
              <w:contextualSpacing w:val="0"/>
              <w:rPr>
                <w:b w:val="0"/>
                <w:bCs/>
                <w:color w:val="000000"/>
                <w:sz w:val="18"/>
                <w:szCs w:val="18"/>
                <w:lang w:val="hy-AM" w:eastAsia="en-US"/>
              </w:rPr>
            </w:pPr>
          </w:p>
        </w:tc>
      </w:tr>
      <w:tr w:rsidR="00AE0F80" w:rsidRPr="00512631" w:rsidTr="009F0F78">
        <w:trPr>
          <w:trHeight w:val="555"/>
        </w:trPr>
        <w:tc>
          <w:tcPr>
            <w:tcW w:w="3119" w:type="dxa"/>
            <w:tcBorders>
              <w:top w:val="nil"/>
              <w:left w:val="single" w:sz="8" w:space="0" w:color="auto"/>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rPr>
                <w:b w:val="0"/>
                <w:color w:val="000000"/>
                <w:sz w:val="20"/>
                <w:szCs w:val="20"/>
                <w:lang w:val="en-US" w:eastAsia="en-US"/>
              </w:rPr>
            </w:pPr>
            <w:r w:rsidRPr="00512631">
              <w:rPr>
                <w:rFonts w:eastAsia="Arial Unicode MS"/>
                <w:b w:val="0"/>
                <w:color w:val="000000"/>
                <w:sz w:val="20"/>
                <w:szCs w:val="20"/>
                <w:lang w:val="hy-AM" w:eastAsia="en-US"/>
              </w:rPr>
              <w:t xml:space="preserve"> - %-ով՝ ՀՆԱ-ի նկատմամբ</w:t>
            </w:r>
          </w:p>
        </w:tc>
        <w:tc>
          <w:tcPr>
            <w:tcW w:w="1210"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b w:val="0"/>
                <w:bCs/>
                <w:color w:val="000000"/>
                <w:sz w:val="20"/>
                <w:szCs w:val="20"/>
                <w:lang w:val="en-US" w:eastAsia="en-US"/>
              </w:rPr>
              <w:t>22.8%</w:t>
            </w:r>
          </w:p>
        </w:tc>
        <w:tc>
          <w:tcPr>
            <w:tcW w:w="1210"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b w:val="0"/>
                <w:bCs/>
                <w:color w:val="000000"/>
                <w:sz w:val="20"/>
                <w:szCs w:val="20"/>
                <w:lang w:val="en-US" w:eastAsia="en-US"/>
              </w:rPr>
              <w:t>21.6%</w:t>
            </w:r>
          </w:p>
        </w:tc>
        <w:tc>
          <w:tcPr>
            <w:tcW w:w="1210"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b w:val="0"/>
                <w:bCs/>
                <w:color w:val="000000"/>
                <w:sz w:val="20"/>
                <w:szCs w:val="20"/>
                <w:lang w:val="en-US" w:eastAsia="en-US"/>
              </w:rPr>
              <w:t>21.9%</w:t>
            </w:r>
          </w:p>
        </w:tc>
        <w:tc>
          <w:tcPr>
            <w:tcW w:w="1509"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b w:val="0"/>
                <w:bCs/>
                <w:color w:val="000000"/>
                <w:sz w:val="20"/>
                <w:szCs w:val="20"/>
                <w:lang w:val="en-US" w:eastAsia="en-US"/>
              </w:rPr>
              <w:t>25.</w:t>
            </w:r>
            <w:r>
              <w:rPr>
                <w:b w:val="0"/>
                <w:bCs/>
                <w:color w:val="000000"/>
                <w:sz w:val="20"/>
                <w:szCs w:val="20"/>
                <w:lang w:val="hy-AM" w:eastAsia="en-US"/>
              </w:rPr>
              <w:t>8</w:t>
            </w:r>
            <w:r w:rsidRPr="00512631">
              <w:rPr>
                <w:b w:val="0"/>
                <w:bCs/>
                <w:color w:val="000000"/>
                <w:sz w:val="20"/>
                <w:szCs w:val="20"/>
                <w:lang w:val="en-US" w:eastAsia="en-US"/>
              </w:rPr>
              <w:t>%</w:t>
            </w:r>
          </w:p>
        </w:tc>
        <w:tc>
          <w:tcPr>
            <w:tcW w:w="1296"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b w:val="0"/>
                <w:bCs/>
                <w:color w:val="000000"/>
                <w:sz w:val="20"/>
                <w:szCs w:val="20"/>
                <w:lang w:val="en-US" w:eastAsia="en-US"/>
              </w:rPr>
              <w:t>2</w:t>
            </w:r>
            <w:r>
              <w:rPr>
                <w:b w:val="0"/>
                <w:bCs/>
                <w:color w:val="000000"/>
                <w:sz w:val="20"/>
                <w:szCs w:val="20"/>
                <w:lang w:val="en-US" w:eastAsia="en-US"/>
              </w:rPr>
              <w:t>5.</w:t>
            </w:r>
            <w:r>
              <w:rPr>
                <w:b w:val="0"/>
                <w:bCs/>
                <w:color w:val="000000"/>
                <w:sz w:val="20"/>
                <w:szCs w:val="20"/>
                <w:lang w:val="hy-AM" w:eastAsia="en-US"/>
              </w:rPr>
              <w:t>6</w:t>
            </w:r>
            <w:r w:rsidRPr="00512631">
              <w:rPr>
                <w:b w:val="0"/>
                <w:bCs/>
                <w:color w:val="000000"/>
                <w:sz w:val="20"/>
                <w:szCs w:val="20"/>
                <w:lang w:val="en-US" w:eastAsia="en-US"/>
              </w:rPr>
              <w:t>%</w:t>
            </w:r>
          </w:p>
        </w:tc>
      </w:tr>
      <w:tr w:rsidR="00AE0F80" w:rsidRPr="00512631" w:rsidTr="009F0F78">
        <w:trPr>
          <w:trHeight w:val="1285"/>
        </w:trPr>
        <w:tc>
          <w:tcPr>
            <w:tcW w:w="3119" w:type="dxa"/>
            <w:tcBorders>
              <w:top w:val="nil"/>
              <w:left w:val="single" w:sz="8" w:space="0" w:color="auto"/>
              <w:bottom w:val="single" w:sz="8" w:space="0" w:color="auto"/>
              <w:right w:val="single" w:sz="8" w:space="0" w:color="auto"/>
            </w:tcBorders>
            <w:shd w:val="clear" w:color="000000" w:fill="D5DCE4"/>
            <w:vAlign w:val="center"/>
            <w:hideMark/>
          </w:tcPr>
          <w:p w:rsidR="00AE0F80" w:rsidRPr="006A0680" w:rsidRDefault="00AE0F80" w:rsidP="009F0F78">
            <w:pPr>
              <w:spacing w:before="0" w:line="276" w:lineRule="auto"/>
              <w:ind w:firstLine="0"/>
              <w:contextualSpacing w:val="0"/>
              <w:rPr>
                <w:b w:val="0"/>
                <w:color w:val="000000"/>
                <w:sz w:val="20"/>
                <w:szCs w:val="20"/>
                <w:lang w:eastAsia="en-US"/>
              </w:rPr>
            </w:pPr>
            <w:r w:rsidRPr="00512631">
              <w:rPr>
                <w:rFonts w:eastAsia="Arial Unicode MS"/>
                <w:b w:val="0"/>
                <w:color w:val="000000"/>
                <w:sz w:val="20"/>
                <w:szCs w:val="20"/>
                <w:lang w:val="hy-AM" w:eastAsia="en-US"/>
              </w:rPr>
              <w:t>- ոչ ֆինանսական ակտիվների գծով զուտ ծախսեր, (մլն դրամ)</w:t>
            </w:r>
          </w:p>
        </w:tc>
        <w:tc>
          <w:tcPr>
            <w:tcW w:w="1210" w:type="dxa"/>
            <w:tcBorders>
              <w:top w:val="nil"/>
              <w:left w:val="nil"/>
              <w:bottom w:val="single" w:sz="8" w:space="0" w:color="auto"/>
              <w:right w:val="single" w:sz="8" w:space="0" w:color="auto"/>
            </w:tcBorders>
            <w:shd w:val="clear" w:color="000000" w:fill="D5DCE4"/>
            <w:vAlign w:val="center"/>
            <w:hideMark/>
          </w:tcPr>
          <w:p w:rsidR="00AE0F80" w:rsidRPr="004817AA" w:rsidRDefault="00AE0F80" w:rsidP="009F0F78">
            <w:pPr>
              <w:spacing w:before="0" w:line="276" w:lineRule="auto"/>
              <w:ind w:firstLine="0"/>
              <w:contextualSpacing w:val="0"/>
              <w:jc w:val="center"/>
              <w:rPr>
                <w:b w:val="0"/>
                <w:bCs/>
                <w:color w:val="000000"/>
                <w:sz w:val="18"/>
                <w:szCs w:val="18"/>
                <w:lang w:val="hy-AM" w:eastAsia="en-US"/>
              </w:rPr>
            </w:pPr>
            <w:r w:rsidRPr="004817AA">
              <w:rPr>
                <w:b w:val="0"/>
                <w:bCs/>
                <w:color w:val="000000"/>
                <w:sz w:val="18"/>
                <w:szCs w:val="18"/>
                <w:lang w:val="hy-AM" w:eastAsia="en-US"/>
              </w:rPr>
              <w:t>237,365.6</w:t>
            </w:r>
          </w:p>
        </w:tc>
        <w:tc>
          <w:tcPr>
            <w:tcW w:w="1210" w:type="dxa"/>
            <w:tcBorders>
              <w:top w:val="nil"/>
              <w:left w:val="nil"/>
              <w:bottom w:val="single" w:sz="8" w:space="0" w:color="auto"/>
              <w:right w:val="single" w:sz="8" w:space="0" w:color="auto"/>
            </w:tcBorders>
            <w:shd w:val="clear" w:color="000000" w:fill="D5DCE4"/>
            <w:vAlign w:val="center"/>
            <w:hideMark/>
          </w:tcPr>
          <w:p w:rsidR="00AE0F80" w:rsidRPr="004817AA" w:rsidRDefault="00AE0F80" w:rsidP="009F0F78">
            <w:pPr>
              <w:spacing w:before="0" w:line="276" w:lineRule="auto"/>
              <w:ind w:firstLine="0"/>
              <w:contextualSpacing w:val="0"/>
              <w:jc w:val="center"/>
              <w:rPr>
                <w:b w:val="0"/>
                <w:bCs/>
                <w:color w:val="000000"/>
                <w:sz w:val="18"/>
                <w:szCs w:val="18"/>
                <w:lang w:val="hy-AM" w:eastAsia="en-US"/>
              </w:rPr>
            </w:pPr>
            <w:r w:rsidRPr="004817AA">
              <w:rPr>
                <w:b w:val="0"/>
                <w:bCs/>
                <w:color w:val="000000"/>
                <w:sz w:val="18"/>
                <w:szCs w:val="18"/>
                <w:lang w:val="hy-AM" w:eastAsia="en-US"/>
              </w:rPr>
              <w:t>148,105.1</w:t>
            </w:r>
          </w:p>
        </w:tc>
        <w:tc>
          <w:tcPr>
            <w:tcW w:w="1210" w:type="dxa"/>
            <w:tcBorders>
              <w:top w:val="nil"/>
              <w:left w:val="nil"/>
              <w:bottom w:val="single" w:sz="8" w:space="0" w:color="auto"/>
              <w:right w:val="single" w:sz="8" w:space="0" w:color="auto"/>
            </w:tcBorders>
            <w:shd w:val="clear" w:color="000000" w:fill="D5DCE4"/>
            <w:vAlign w:val="center"/>
            <w:hideMark/>
          </w:tcPr>
          <w:p w:rsidR="00AE0F80" w:rsidRPr="004817AA" w:rsidRDefault="00AE0F80" w:rsidP="009F0F78">
            <w:pPr>
              <w:spacing w:before="0" w:line="276" w:lineRule="auto"/>
              <w:ind w:firstLine="0"/>
              <w:contextualSpacing w:val="0"/>
              <w:jc w:val="center"/>
              <w:rPr>
                <w:b w:val="0"/>
                <w:bCs/>
                <w:color w:val="000000"/>
                <w:sz w:val="18"/>
                <w:szCs w:val="18"/>
                <w:lang w:val="hy-AM" w:eastAsia="en-US"/>
              </w:rPr>
            </w:pPr>
            <w:r w:rsidRPr="004817AA">
              <w:rPr>
                <w:b w:val="0"/>
                <w:bCs/>
                <w:color w:val="000000"/>
                <w:sz w:val="18"/>
                <w:szCs w:val="18"/>
                <w:lang w:val="hy-AM" w:eastAsia="en-US"/>
              </w:rPr>
              <w:t>192,294.0</w:t>
            </w:r>
          </w:p>
        </w:tc>
        <w:tc>
          <w:tcPr>
            <w:tcW w:w="1509" w:type="dxa"/>
            <w:tcBorders>
              <w:top w:val="nil"/>
              <w:left w:val="nil"/>
              <w:bottom w:val="single" w:sz="8" w:space="0" w:color="auto"/>
              <w:right w:val="single" w:sz="8" w:space="0" w:color="auto"/>
            </w:tcBorders>
            <w:shd w:val="clear" w:color="000000" w:fill="D5DCE4"/>
            <w:vAlign w:val="center"/>
            <w:hideMark/>
          </w:tcPr>
          <w:p w:rsidR="00AE0F80" w:rsidRPr="004817AA" w:rsidRDefault="00AE0F80" w:rsidP="009F0F78">
            <w:pPr>
              <w:spacing w:before="0" w:line="276" w:lineRule="auto"/>
              <w:ind w:firstLine="0"/>
              <w:contextualSpacing w:val="0"/>
              <w:jc w:val="center"/>
              <w:rPr>
                <w:b w:val="0"/>
                <w:bCs/>
                <w:color w:val="000000"/>
                <w:sz w:val="18"/>
                <w:szCs w:val="18"/>
                <w:lang w:val="hy-AM" w:eastAsia="en-US"/>
              </w:rPr>
            </w:pPr>
            <w:r w:rsidRPr="004817AA">
              <w:rPr>
                <w:b w:val="0"/>
                <w:bCs/>
                <w:color w:val="000000"/>
                <w:sz w:val="18"/>
                <w:szCs w:val="18"/>
                <w:lang w:val="hy-AM" w:eastAsia="en-US"/>
              </w:rPr>
              <w:t>287,720.9</w:t>
            </w:r>
          </w:p>
        </w:tc>
        <w:tc>
          <w:tcPr>
            <w:tcW w:w="1296" w:type="dxa"/>
            <w:tcBorders>
              <w:top w:val="nil"/>
              <w:left w:val="nil"/>
              <w:bottom w:val="single" w:sz="8" w:space="0" w:color="auto"/>
              <w:right w:val="single" w:sz="8" w:space="0" w:color="auto"/>
            </w:tcBorders>
            <w:shd w:val="clear" w:color="000000" w:fill="D5DCE4"/>
            <w:vAlign w:val="center"/>
            <w:hideMark/>
          </w:tcPr>
          <w:p w:rsidR="00AE0F80" w:rsidRPr="004817AA" w:rsidRDefault="00AE0F80" w:rsidP="009F0F78">
            <w:pPr>
              <w:spacing w:before="0" w:line="276" w:lineRule="auto"/>
              <w:ind w:firstLine="0"/>
              <w:contextualSpacing w:val="0"/>
              <w:jc w:val="center"/>
              <w:rPr>
                <w:b w:val="0"/>
                <w:bCs/>
                <w:color w:val="000000"/>
                <w:sz w:val="18"/>
                <w:szCs w:val="18"/>
                <w:lang w:val="hy-AM" w:eastAsia="en-US"/>
              </w:rPr>
            </w:pPr>
            <w:r w:rsidRPr="004817AA">
              <w:rPr>
                <w:b w:val="0"/>
                <w:bCs/>
                <w:color w:val="000000"/>
                <w:sz w:val="18"/>
                <w:szCs w:val="18"/>
                <w:lang w:val="hy-AM" w:eastAsia="en-US"/>
              </w:rPr>
              <w:t>216,3</w:t>
            </w:r>
            <w:r>
              <w:rPr>
                <w:b w:val="0"/>
                <w:bCs/>
                <w:color w:val="000000"/>
                <w:sz w:val="18"/>
                <w:szCs w:val="18"/>
                <w:lang w:val="hy-AM" w:eastAsia="en-US"/>
              </w:rPr>
              <w:t>18</w:t>
            </w:r>
            <w:r w:rsidRPr="004817AA">
              <w:rPr>
                <w:b w:val="0"/>
                <w:bCs/>
                <w:color w:val="000000"/>
                <w:sz w:val="18"/>
                <w:szCs w:val="18"/>
                <w:lang w:val="hy-AM" w:eastAsia="en-US"/>
              </w:rPr>
              <w:t>.</w:t>
            </w:r>
            <w:r>
              <w:rPr>
                <w:b w:val="0"/>
                <w:bCs/>
                <w:color w:val="000000"/>
                <w:sz w:val="18"/>
                <w:szCs w:val="18"/>
                <w:lang w:val="hy-AM" w:eastAsia="en-US"/>
              </w:rPr>
              <w:t>9</w:t>
            </w:r>
          </w:p>
        </w:tc>
      </w:tr>
      <w:tr w:rsidR="00AE0F80" w:rsidRPr="00512631" w:rsidTr="009F0F78">
        <w:trPr>
          <w:trHeight w:val="555"/>
        </w:trPr>
        <w:tc>
          <w:tcPr>
            <w:tcW w:w="3119" w:type="dxa"/>
            <w:tcBorders>
              <w:top w:val="nil"/>
              <w:left w:val="single" w:sz="8" w:space="0" w:color="auto"/>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rPr>
                <w:b w:val="0"/>
                <w:color w:val="000000"/>
                <w:sz w:val="20"/>
                <w:szCs w:val="20"/>
                <w:lang w:val="en-US" w:eastAsia="en-US"/>
              </w:rPr>
            </w:pPr>
            <w:r w:rsidRPr="00512631">
              <w:rPr>
                <w:rFonts w:eastAsia="Arial Unicode MS"/>
                <w:b w:val="0"/>
                <w:color w:val="000000"/>
                <w:sz w:val="20"/>
                <w:szCs w:val="20"/>
                <w:lang w:val="hy-AM" w:eastAsia="en-US"/>
              </w:rPr>
              <w:t>%-ով՝ ՀՆԱ-ի նկատմամբ</w:t>
            </w:r>
          </w:p>
        </w:tc>
        <w:tc>
          <w:tcPr>
            <w:tcW w:w="1210"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b w:val="0"/>
                <w:bCs/>
                <w:color w:val="000000"/>
                <w:sz w:val="20"/>
                <w:szCs w:val="20"/>
                <w:lang w:val="en-US" w:eastAsia="en-US"/>
              </w:rPr>
              <w:t>4.3%</w:t>
            </w:r>
          </w:p>
        </w:tc>
        <w:tc>
          <w:tcPr>
            <w:tcW w:w="1210"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b w:val="0"/>
                <w:bCs/>
                <w:color w:val="000000"/>
                <w:sz w:val="20"/>
                <w:szCs w:val="20"/>
                <w:lang w:val="en-US" w:eastAsia="en-US"/>
              </w:rPr>
              <w:t>2.5%</w:t>
            </w:r>
          </w:p>
        </w:tc>
        <w:tc>
          <w:tcPr>
            <w:tcW w:w="1210"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b w:val="0"/>
                <w:bCs/>
                <w:color w:val="000000"/>
                <w:sz w:val="20"/>
                <w:szCs w:val="20"/>
                <w:lang w:val="en-US" w:eastAsia="en-US"/>
              </w:rPr>
              <w:t>2.9%</w:t>
            </w:r>
          </w:p>
        </w:tc>
        <w:tc>
          <w:tcPr>
            <w:tcW w:w="1509"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b w:val="0"/>
                <w:bCs/>
                <w:color w:val="000000"/>
                <w:sz w:val="20"/>
                <w:szCs w:val="20"/>
                <w:lang w:val="en-US" w:eastAsia="en-US"/>
              </w:rPr>
              <w:t>4.</w:t>
            </w:r>
            <w:r>
              <w:rPr>
                <w:b w:val="0"/>
                <w:bCs/>
                <w:color w:val="000000"/>
                <w:sz w:val="20"/>
                <w:szCs w:val="20"/>
                <w:lang w:val="hy-AM" w:eastAsia="en-US"/>
              </w:rPr>
              <w:t>7</w:t>
            </w:r>
            <w:r w:rsidRPr="00512631">
              <w:rPr>
                <w:b w:val="0"/>
                <w:bCs/>
                <w:color w:val="000000"/>
                <w:sz w:val="20"/>
                <w:szCs w:val="20"/>
                <w:lang w:val="en-US" w:eastAsia="en-US"/>
              </w:rPr>
              <w:t>%</w:t>
            </w:r>
          </w:p>
        </w:tc>
        <w:tc>
          <w:tcPr>
            <w:tcW w:w="1296" w:type="dxa"/>
            <w:tcBorders>
              <w:top w:val="nil"/>
              <w:left w:val="nil"/>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center"/>
              <w:rPr>
                <w:b w:val="0"/>
                <w:color w:val="000000"/>
                <w:sz w:val="20"/>
                <w:szCs w:val="20"/>
                <w:lang w:val="en-US" w:eastAsia="en-US"/>
              </w:rPr>
            </w:pPr>
            <w:r w:rsidRPr="00512631">
              <w:rPr>
                <w:b w:val="0"/>
                <w:bCs/>
                <w:color w:val="000000"/>
                <w:sz w:val="20"/>
                <w:szCs w:val="20"/>
                <w:lang w:val="en-US" w:eastAsia="en-US"/>
              </w:rPr>
              <w:t>3.</w:t>
            </w:r>
            <w:r>
              <w:rPr>
                <w:b w:val="0"/>
                <w:bCs/>
                <w:color w:val="000000"/>
                <w:sz w:val="20"/>
                <w:szCs w:val="20"/>
                <w:lang w:val="en-US" w:eastAsia="en-US"/>
              </w:rPr>
              <w:t>4</w:t>
            </w:r>
            <w:r w:rsidRPr="00512631">
              <w:rPr>
                <w:b w:val="0"/>
                <w:bCs/>
                <w:color w:val="000000"/>
                <w:sz w:val="20"/>
                <w:szCs w:val="20"/>
                <w:lang w:val="en-US" w:eastAsia="en-US"/>
              </w:rPr>
              <w:t>%</w:t>
            </w:r>
          </w:p>
        </w:tc>
      </w:tr>
    </w:tbl>
    <w:p w:rsidR="00AE0F80" w:rsidRDefault="00AE0F80" w:rsidP="00AE0F80">
      <w:pPr>
        <w:pStyle w:val="Caption"/>
        <w:spacing w:before="0" w:after="0"/>
        <w:rPr>
          <w:lang w:val="hy-AM"/>
        </w:rPr>
      </w:pPr>
      <w:bookmarkStart w:id="193" w:name="_Toc52223577"/>
      <w:bookmarkEnd w:id="192"/>
    </w:p>
    <w:p w:rsidR="00AE0F80" w:rsidRDefault="00AE0F80" w:rsidP="00AE0F80">
      <w:pPr>
        <w:pStyle w:val="Caption"/>
        <w:spacing w:before="0" w:after="0"/>
        <w:rPr>
          <w:rFonts w:cs="Sylfaen"/>
          <w:b/>
          <w:i/>
          <w:sz w:val="20"/>
          <w:szCs w:val="20"/>
          <w:lang w:val="hy-AM" w:eastAsia="en-US"/>
        </w:rPr>
      </w:pPr>
      <w:bookmarkStart w:id="194" w:name="_Toc57631788"/>
      <w:r w:rsidRPr="00B74E8C">
        <w:rPr>
          <w:lang w:val="hy-AM"/>
        </w:rPr>
        <w:t xml:space="preserve">Գծապատկեր </w:t>
      </w:r>
      <w:r w:rsidR="003C3925">
        <w:fldChar w:fldCharType="begin"/>
      </w:r>
      <w:r w:rsidRPr="00B74E8C">
        <w:rPr>
          <w:lang w:val="hy-AM"/>
        </w:rPr>
        <w:instrText xml:space="preserve"> SEQ Գծապատկեր \* ARABIC </w:instrText>
      </w:r>
      <w:r w:rsidR="003C3925">
        <w:fldChar w:fldCharType="separate"/>
      </w:r>
      <w:r>
        <w:rPr>
          <w:noProof/>
          <w:lang w:val="hy-AM"/>
        </w:rPr>
        <w:t>2</w:t>
      </w:r>
      <w:r w:rsidR="003C3925">
        <w:fldChar w:fldCharType="end"/>
      </w:r>
      <w:r>
        <w:rPr>
          <w:rFonts w:ascii="Cambria Math" w:hAnsi="Cambria Math"/>
          <w:lang w:val="hy-AM"/>
        </w:rPr>
        <w:t>․</w:t>
      </w:r>
      <w:r w:rsidRPr="00512631">
        <w:rPr>
          <w:rFonts w:eastAsia="Calibri"/>
          <w:i/>
          <w:iCs/>
          <w:color w:val="000000"/>
          <w:sz w:val="20"/>
          <w:szCs w:val="20"/>
          <w:lang w:val="hy-AM" w:eastAsia="en-US"/>
        </w:rPr>
        <w:t xml:space="preserve"> </w:t>
      </w:r>
      <w:r w:rsidRPr="00512631">
        <w:rPr>
          <w:b/>
          <w:i/>
          <w:sz w:val="20"/>
          <w:szCs w:val="20"/>
          <w:lang w:val="af-ZA" w:eastAsia="en-US"/>
        </w:rPr>
        <w:t>2017-2021</w:t>
      </w:r>
      <w:r w:rsidRPr="00512631">
        <w:rPr>
          <w:b/>
          <w:i/>
          <w:sz w:val="20"/>
          <w:szCs w:val="20"/>
          <w:lang w:val="it-IT" w:eastAsia="en-US"/>
        </w:rPr>
        <w:t>թթ</w:t>
      </w:r>
      <w:r w:rsidRPr="00512631">
        <w:rPr>
          <w:rFonts w:ascii="Cambria Math" w:hAnsi="Cambria Math"/>
          <w:b/>
          <w:i/>
          <w:sz w:val="20"/>
          <w:szCs w:val="20"/>
          <w:lang w:val="hy-AM" w:eastAsia="en-US"/>
        </w:rPr>
        <w:t>․</w:t>
      </w:r>
      <w:r w:rsidRPr="00512631">
        <w:rPr>
          <w:b/>
          <w:i/>
          <w:sz w:val="20"/>
          <w:szCs w:val="20"/>
          <w:lang w:val="af-ZA" w:eastAsia="en-US"/>
        </w:rPr>
        <w:t xml:space="preserve"> </w:t>
      </w:r>
      <w:r w:rsidRPr="00512631">
        <w:rPr>
          <w:rFonts w:cs="Sylfaen"/>
          <w:b/>
          <w:i/>
          <w:sz w:val="20"/>
          <w:szCs w:val="20"/>
          <w:lang w:val="hy-AM" w:eastAsia="en-US"/>
        </w:rPr>
        <w:t>ընթացիկ</w:t>
      </w:r>
      <w:r w:rsidRPr="00512631">
        <w:rPr>
          <w:b/>
          <w:i/>
          <w:sz w:val="20"/>
          <w:szCs w:val="20"/>
          <w:lang w:val="af-ZA" w:eastAsia="en-US"/>
        </w:rPr>
        <w:t xml:space="preserve"> </w:t>
      </w:r>
      <w:r w:rsidRPr="00512631">
        <w:rPr>
          <w:rFonts w:cs="Sylfaen"/>
          <w:b/>
          <w:i/>
          <w:sz w:val="20"/>
          <w:szCs w:val="20"/>
          <w:lang w:val="hy-AM" w:eastAsia="en-US"/>
        </w:rPr>
        <w:t>և</w:t>
      </w:r>
      <w:r w:rsidRPr="00512631">
        <w:rPr>
          <w:b/>
          <w:i/>
          <w:sz w:val="20"/>
          <w:szCs w:val="20"/>
          <w:lang w:val="af-ZA" w:eastAsia="en-US"/>
        </w:rPr>
        <w:t xml:space="preserve"> </w:t>
      </w:r>
      <w:r w:rsidRPr="00512631">
        <w:rPr>
          <w:rFonts w:cs="Sylfaen"/>
          <w:b/>
          <w:i/>
          <w:sz w:val="20"/>
          <w:szCs w:val="20"/>
          <w:lang w:val="hy-AM" w:eastAsia="en-US"/>
        </w:rPr>
        <w:t>ոչ</w:t>
      </w:r>
      <w:r w:rsidRPr="00512631">
        <w:rPr>
          <w:rFonts w:cs="Sylfaen"/>
          <w:b/>
          <w:i/>
          <w:sz w:val="20"/>
          <w:szCs w:val="20"/>
          <w:lang w:val="af-ZA" w:eastAsia="en-US"/>
        </w:rPr>
        <w:t xml:space="preserve"> </w:t>
      </w:r>
      <w:r w:rsidRPr="00512631">
        <w:rPr>
          <w:rFonts w:cs="Sylfaen"/>
          <w:b/>
          <w:i/>
          <w:sz w:val="20"/>
          <w:szCs w:val="20"/>
          <w:lang w:val="hy-AM" w:eastAsia="en-US"/>
        </w:rPr>
        <w:t>ֆինանսական</w:t>
      </w:r>
      <w:r w:rsidRPr="00512631">
        <w:rPr>
          <w:rFonts w:cs="Sylfaen"/>
          <w:b/>
          <w:i/>
          <w:sz w:val="20"/>
          <w:szCs w:val="20"/>
          <w:lang w:val="af-ZA" w:eastAsia="en-US"/>
        </w:rPr>
        <w:t xml:space="preserve"> </w:t>
      </w:r>
      <w:r w:rsidRPr="00512631">
        <w:rPr>
          <w:rFonts w:cs="Sylfaen"/>
          <w:b/>
          <w:i/>
          <w:sz w:val="20"/>
          <w:szCs w:val="20"/>
          <w:lang w:val="hy-AM" w:eastAsia="en-US"/>
        </w:rPr>
        <w:t>ակտիվների</w:t>
      </w:r>
      <w:r w:rsidRPr="00512631">
        <w:rPr>
          <w:rFonts w:cs="Sylfaen"/>
          <w:b/>
          <w:i/>
          <w:sz w:val="20"/>
          <w:szCs w:val="20"/>
          <w:lang w:val="af-ZA" w:eastAsia="en-US"/>
        </w:rPr>
        <w:t xml:space="preserve"> </w:t>
      </w:r>
      <w:r w:rsidRPr="00512631">
        <w:rPr>
          <w:rFonts w:cs="Sylfaen"/>
          <w:b/>
          <w:i/>
          <w:sz w:val="20"/>
          <w:szCs w:val="20"/>
          <w:lang w:val="hy-AM" w:eastAsia="en-US"/>
        </w:rPr>
        <w:t>գծով</w:t>
      </w:r>
      <w:r w:rsidRPr="00512631">
        <w:rPr>
          <w:rFonts w:cs="Sylfaen"/>
          <w:b/>
          <w:i/>
          <w:sz w:val="20"/>
          <w:szCs w:val="20"/>
          <w:lang w:val="af-ZA" w:eastAsia="en-US"/>
        </w:rPr>
        <w:t xml:space="preserve"> </w:t>
      </w:r>
      <w:r w:rsidRPr="00512631">
        <w:rPr>
          <w:rFonts w:cs="Sylfaen"/>
          <w:b/>
          <w:i/>
          <w:sz w:val="20"/>
          <w:szCs w:val="20"/>
          <w:lang w:val="hy-AM" w:eastAsia="en-US"/>
        </w:rPr>
        <w:t>ծախսերի</w:t>
      </w:r>
      <w:r w:rsidRPr="00512631">
        <w:rPr>
          <w:b/>
          <w:i/>
          <w:sz w:val="20"/>
          <w:szCs w:val="20"/>
          <w:lang w:val="af-ZA" w:eastAsia="en-US"/>
        </w:rPr>
        <w:t xml:space="preserve"> </w:t>
      </w:r>
      <w:r w:rsidRPr="00512631">
        <w:rPr>
          <w:rFonts w:cs="Sylfaen"/>
          <w:b/>
          <w:i/>
          <w:sz w:val="20"/>
          <w:szCs w:val="20"/>
          <w:lang w:val="hy-AM" w:eastAsia="en-US"/>
        </w:rPr>
        <w:t>փոփոխության</w:t>
      </w:r>
      <w:r w:rsidRPr="00512631">
        <w:rPr>
          <w:b/>
          <w:i/>
          <w:sz w:val="20"/>
          <w:szCs w:val="20"/>
          <w:lang w:val="af-ZA" w:eastAsia="en-US"/>
        </w:rPr>
        <w:t xml:space="preserve"> </w:t>
      </w:r>
      <w:r w:rsidRPr="00512631">
        <w:rPr>
          <w:rFonts w:cs="Sylfaen"/>
          <w:b/>
          <w:i/>
          <w:sz w:val="20"/>
          <w:szCs w:val="20"/>
          <w:lang w:val="hy-AM" w:eastAsia="en-US"/>
        </w:rPr>
        <w:t>և</w:t>
      </w:r>
      <w:r w:rsidRPr="00512631">
        <w:rPr>
          <w:b/>
          <w:i/>
          <w:sz w:val="20"/>
          <w:szCs w:val="20"/>
          <w:lang w:val="af-ZA" w:eastAsia="en-US"/>
        </w:rPr>
        <w:t xml:space="preserve"> </w:t>
      </w:r>
      <w:r w:rsidRPr="00512631">
        <w:rPr>
          <w:rFonts w:cs="Sylfaen"/>
          <w:b/>
          <w:i/>
          <w:sz w:val="20"/>
          <w:szCs w:val="20"/>
          <w:lang w:val="hy-AM" w:eastAsia="en-US"/>
        </w:rPr>
        <w:t>հարաբերակցության</w:t>
      </w:r>
      <w:r w:rsidRPr="00512631">
        <w:rPr>
          <w:b/>
          <w:i/>
          <w:sz w:val="20"/>
          <w:szCs w:val="20"/>
          <w:lang w:val="af-ZA" w:eastAsia="en-US"/>
        </w:rPr>
        <w:t xml:space="preserve"> </w:t>
      </w:r>
      <w:r w:rsidRPr="00512631">
        <w:rPr>
          <w:rFonts w:cs="Sylfaen"/>
          <w:b/>
          <w:i/>
          <w:sz w:val="20"/>
          <w:szCs w:val="20"/>
          <w:lang w:val="hy-AM" w:eastAsia="en-US"/>
        </w:rPr>
        <w:t>միտումները</w:t>
      </w:r>
      <w:bookmarkEnd w:id="194"/>
    </w:p>
    <w:p w:rsidR="00AE0F80" w:rsidRPr="00512631" w:rsidRDefault="00AE0F80" w:rsidP="00AE0F80">
      <w:pPr>
        <w:pStyle w:val="Caption"/>
        <w:spacing w:before="0" w:after="0"/>
        <w:rPr>
          <w:b/>
          <w:szCs w:val="22"/>
          <w:lang w:val="hy-AM" w:eastAsia="en-US"/>
        </w:rPr>
      </w:pPr>
      <w:r w:rsidRPr="00512631">
        <w:rPr>
          <w:b/>
          <w:noProof/>
          <w:szCs w:val="22"/>
          <w:lang w:val="hy-AM" w:eastAsia="en-US"/>
        </w:rPr>
        <w:t xml:space="preserve"> </w:t>
      </w:r>
      <w:r w:rsidRPr="00CA2133">
        <w:rPr>
          <w:b/>
          <w:noProof/>
          <w:sz w:val="20"/>
          <w:szCs w:val="20"/>
          <w:lang w:val="en-US" w:eastAsia="en-US"/>
        </w:rPr>
        <w:drawing>
          <wp:inline distT="0" distB="0" distL="0" distR="0">
            <wp:extent cx="6011186" cy="3387255"/>
            <wp:effectExtent l="0" t="0" r="0" b="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bookmarkEnd w:id="193"/>
    </w:p>
    <w:p w:rsidR="00AE0F80" w:rsidRPr="00512631" w:rsidRDefault="00AE0F80" w:rsidP="00AE0F80">
      <w:pPr>
        <w:spacing w:before="0" w:line="276" w:lineRule="auto"/>
        <w:ind w:firstLine="480"/>
        <w:contextualSpacing w:val="0"/>
        <w:rPr>
          <w:rFonts w:cs="Sylfaen"/>
          <w:b w:val="0"/>
          <w:szCs w:val="22"/>
          <w:lang w:val="hy-AM" w:eastAsia="en-US"/>
        </w:rPr>
      </w:pPr>
    </w:p>
    <w:p w:rsidR="00AE0F80" w:rsidRPr="00512631" w:rsidRDefault="00AE0F80" w:rsidP="00AE0F80">
      <w:pPr>
        <w:spacing w:before="0" w:line="276" w:lineRule="auto"/>
        <w:ind w:firstLine="475"/>
        <w:contextualSpacing w:val="0"/>
        <w:rPr>
          <w:rFonts w:cs="Sylfaen"/>
          <w:b w:val="0"/>
          <w:szCs w:val="22"/>
          <w:lang w:val="hy-AM" w:eastAsia="en-US"/>
        </w:rPr>
      </w:pPr>
      <w:r w:rsidRPr="00512631">
        <w:rPr>
          <w:rFonts w:cs="Sylfaen"/>
          <w:b w:val="0"/>
          <w:szCs w:val="22"/>
          <w:lang w:val="hy-AM" w:eastAsia="en-US"/>
        </w:rPr>
        <w:t>2021 թվականի ծախսերի ընդհանուր ծավալի միջին տարեկանի շուրջ 88</w:t>
      </w:r>
      <w:r>
        <w:rPr>
          <w:rFonts w:cs="Sylfaen"/>
          <w:b w:val="0"/>
          <w:szCs w:val="22"/>
          <w:lang w:val="hy-AM" w:eastAsia="en-US"/>
        </w:rPr>
        <w:t>.</w:t>
      </w:r>
      <w:r w:rsidRPr="00FE5D6E">
        <w:rPr>
          <w:rFonts w:cs="Sylfaen"/>
          <w:b w:val="0"/>
          <w:szCs w:val="22"/>
          <w:lang w:val="hy-AM" w:eastAsia="en-US"/>
        </w:rPr>
        <w:t>3</w:t>
      </w:r>
      <w:r w:rsidRPr="00512631">
        <w:rPr>
          <w:rFonts w:cs="Sylfaen"/>
          <w:b w:val="0"/>
          <w:szCs w:val="22"/>
          <w:lang w:val="hy-AM" w:eastAsia="en-US"/>
        </w:rPr>
        <w:t xml:space="preserve"> %-ը կկազմեն </w:t>
      </w:r>
      <w:r w:rsidRPr="00512631">
        <w:rPr>
          <w:rFonts w:cs="Sylfaen"/>
          <w:szCs w:val="22"/>
          <w:lang w:val="hy-AM" w:eastAsia="en-US"/>
        </w:rPr>
        <w:t>ընթացիկ ծախսերը</w:t>
      </w:r>
      <w:r w:rsidRPr="00512631">
        <w:rPr>
          <w:rFonts w:cs="Sylfaen"/>
          <w:b w:val="0"/>
          <w:szCs w:val="22"/>
          <w:lang w:val="hy-AM" w:eastAsia="en-US"/>
        </w:rPr>
        <w:t xml:space="preserve">,  (2020 թվականին այդ ցուցանիշը ծրագրվել է 84.5%): </w:t>
      </w:r>
    </w:p>
    <w:p w:rsidR="00AE0F80" w:rsidRPr="00512631" w:rsidRDefault="00AE0F80" w:rsidP="00AE0F80">
      <w:pPr>
        <w:spacing w:before="0" w:line="276" w:lineRule="auto"/>
        <w:ind w:firstLine="475"/>
        <w:contextualSpacing w:val="0"/>
        <w:rPr>
          <w:rFonts w:cs="Sylfaen"/>
          <w:b w:val="0"/>
          <w:szCs w:val="22"/>
          <w:lang w:val="hy-AM" w:eastAsia="en-US"/>
        </w:rPr>
      </w:pPr>
      <w:r w:rsidRPr="00512631">
        <w:rPr>
          <w:rFonts w:cs="Sylfaen"/>
          <w:b w:val="0"/>
          <w:szCs w:val="22"/>
          <w:lang w:val="hy-AM" w:eastAsia="en-US"/>
        </w:rPr>
        <w:t>Դիտարկվող ժամանակահատվածում ընթացիկ ծախսերն ուղղված կլի</w:t>
      </w:r>
      <w:r w:rsidRPr="00512631">
        <w:rPr>
          <w:rFonts w:cs="Sylfaen"/>
          <w:b w:val="0"/>
          <w:szCs w:val="22"/>
          <w:lang w:val="hy-AM" w:eastAsia="en-US"/>
        </w:rPr>
        <w:softHyphen/>
        <w:t xml:space="preserve">նի ծառայությունների մատուցման, տրանսֆերտների տրամադրման, ֆինանսավորման ծախսերի իրականացման և հանրության կողմից անմիջականորեն օգտագործվող ակտիվների հետ կապված միջոցառումներին: </w:t>
      </w:r>
    </w:p>
    <w:p w:rsidR="00AE0F80" w:rsidRPr="00512631" w:rsidRDefault="00AE0F80" w:rsidP="00AE0F80">
      <w:pPr>
        <w:spacing w:before="0" w:line="276" w:lineRule="auto"/>
        <w:ind w:firstLine="475"/>
        <w:contextualSpacing w:val="0"/>
        <w:rPr>
          <w:rFonts w:cs="Sylfaen"/>
          <w:b w:val="0"/>
          <w:szCs w:val="22"/>
          <w:lang w:val="hy-AM" w:eastAsia="en-US"/>
        </w:rPr>
      </w:pPr>
      <w:r w:rsidRPr="00512631">
        <w:rPr>
          <w:rFonts w:cs="Sylfaen"/>
          <w:b w:val="0"/>
          <w:szCs w:val="22"/>
          <w:lang w:val="hy-AM" w:eastAsia="en-US"/>
        </w:rPr>
        <w:t>2021թ. ընթացիկ ծախսերի ֆինանսավորման ըստ տնտեսագիտական դասակարգման կառուցվածքի ծախ</w:t>
      </w:r>
      <w:r w:rsidRPr="00512631">
        <w:rPr>
          <w:rFonts w:cs="Sylfaen"/>
          <w:b w:val="0"/>
          <w:szCs w:val="22"/>
          <w:lang w:val="hy-AM" w:eastAsia="en-US"/>
        </w:rPr>
        <w:softHyphen/>
        <w:t>սերի հարա</w:t>
      </w:r>
      <w:r w:rsidRPr="00512631">
        <w:rPr>
          <w:rFonts w:cs="Sylfaen"/>
          <w:b w:val="0"/>
          <w:szCs w:val="22"/>
          <w:lang w:val="hy-AM" w:eastAsia="en-US"/>
        </w:rPr>
        <w:softHyphen/>
        <w:t>բերակցությունը ՀՆԱ-ի նկատմամբ ներկայացված է ստորև:</w:t>
      </w:r>
    </w:p>
    <w:p w:rsidR="00AE0F80" w:rsidRPr="00512631" w:rsidRDefault="00AE0F80" w:rsidP="00AE0F80">
      <w:pPr>
        <w:pStyle w:val="Caption"/>
        <w:spacing w:before="0" w:after="0"/>
        <w:rPr>
          <w:rFonts w:cs="Sylfaen"/>
          <w:b/>
          <w:szCs w:val="22"/>
          <w:lang w:val="hy-AM" w:eastAsia="en-US"/>
        </w:rPr>
      </w:pPr>
      <w:bookmarkStart w:id="195" w:name="_Toc52223578"/>
      <w:bookmarkStart w:id="196" w:name="_Toc57631789"/>
      <w:r w:rsidRPr="00AD7078">
        <w:rPr>
          <w:lang w:val="hy-AM"/>
        </w:rPr>
        <w:t xml:space="preserve">Գծապատկեր </w:t>
      </w:r>
      <w:r w:rsidR="003C3925">
        <w:fldChar w:fldCharType="begin"/>
      </w:r>
      <w:r w:rsidRPr="00AD7078">
        <w:rPr>
          <w:lang w:val="hy-AM"/>
        </w:rPr>
        <w:instrText xml:space="preserve"> SEQ Գծապատկեր \* ARABIC </w:instrText>
      </w:r>
      <w:r w:rsidR="003C3925">
        <w:fldChar w:fldCharType="separate"/>
      </w:r>
      <w:r>
        <w:rPr>
          <w:noProof/>
          <w:lang w:val="hy-AM"/>
        </w:rPr>
        <w:t>3</w:t>
      </w:r>
      <w:r w:rsidR="003C3925">
        <w:fldChar w:fldCharType="end"/>
      </w:r>
      <w:r>
        <w:rPr>
          <w:rFonts w:ascii="Cambria Math" w:hAnsi="Cambria Math"/>
          <w:lang w:val="hy-AM"/>
        </w:rPr>
        <w:t xml:space="preserve">․ </w:t>
      </w:r>
      <w:r w:rsidRPr="00512631">
        <w:rPr>
          <w:rFonts w:cs="Sylfaen"/>
          <w:b/>
          <w:i/>
          <w:sz w:val="20"/>
          <w:szCs w:val="20"/>
          <w:lang w:val="hy-AM" w:eastAsia="en-US"/>
        </w:rPr>
        <w:t>2017-2021թթ</w:t>
      </w:r>
      <w:r w:rsidRPr="00512631">
        <w:rPr>
          <w:rFonts w:ascii="Cambria Math" w:hAnsi="Cambria Math" w:cs="Sylfaen"/>
          <w:b/>
          <w:i/>
          <w:sz w:val="20"/>
          <w:szCs w:val="20"/>
          <w:lang w:val="hy-AM" w:eastAsia="en-US"/>
        </w:rPr>
        <w:t xml:space="preserve">․ </w:t>
      </w:r>
      <w:r w:rsidRPr="00512631">
        <w:rPr>
          <w:rFonts w:cs="Sylfaen"/>
          <w:b/>
          <w:i/>
          <w:sz w:val="20"/>
          <w:szCs w:val="20"/>
          <w:lang w:val="hy-AM" w:eastAsia="en-US"/>
        </w:rPr>
        <w:t>ընթացիկ ծախսերի ֆինանսավորման ըստ տնտեսագիտական դասակարգման կառուցվածքի ծախ</w:t>
      </w:r>
      <w:r w:rsidRPr="00512631">
        <w:rPr>
          <w:rFonts w:cs="Sylfaen"/>
          <w:b/>
          <w:i/>
          <w:sz w:val="20"/>
          <w:szCs w:val="20"/>
          <w:lang w:val="hy-AM" w:eastAsia="en-US"/>
        </w:rPr>
        <w:softHyphen/>
        <w:t>սերի հարա</w:t>
      </w:r>
      <w:r w:rsidRPr="00512631">
        <w:rPr>
          <w:rFonts w:cs="Sylfaen"/>
          <w:b/>
          <w:i/>
          <w:sz w:val="20"/>
          <w:szCs w:val="20"/>
          <w:lang w:val="hy-AM" w:eastAsia="en-US"/>
        </w:rPr>
        <w:softHyphen/>
        <w:t>բերակցությունը ՀՆԱ-ի նկատմամբ</w:t>
      </w:r>
      <w:bookmarkEnd w:id="195"/>
      <w:bookmarkEnd w:id="196"/>
    </w:p>
    <w:p w:rsidR="00AE0F80" w:rsidRPr="00512631" w:rsidRDefault="00AE0F80" w:rsidP="00AE0F80">
      <w:pPr>
        <w:spacing w:before="0" w:line="276" w:lineRule="auto"/>
        <w:ind w:firstLine="475"/>
        <w:contextualSpacing w:val="0"/>
        <w:rPr>
          <w:b w:val="0"/>
          <w:szCs w:val="22"/>
          <w:lang w:val="hy-AM" w:eastAsia="en-US"/>
        </w:rPr>
      </w:pPr>
    </w:p>
    <w:p w:rsidR="00AE0F80" w:rsidRPr="00512631" w:rsidRDefault="008239DE" w:rsidP="00AE0F80">
      <w:pPr>
        <w:spacing w:before="0" w:line="276" w:lineRule="auto"/>
        <w:ind w:firstLine="480"/>
        <w:contextualSpacing w:val="0"/>
        <w:rPr>
          <w:b w:val="0"/>
          <w:szCs w:val="22"/>
          <w:lang w:val="af-ZA" w:eastAsia="en-US"/>
        </w:rPr>
      </w:pPr>
      <w:r>
        <w:rPr>
          <w:b w:val="0"/>
          <w:noProof/>
          <w:szCs w:val="22"/>
          <w:lang w:val="en-US" w:eastAsia="en-US"/>
        </w:rPr>
        <mc:AlternateContent>
          <mc:Choice Requires="wps">
            <w:drawing>
              <wp:anchor distT="0" distB="0" distL="114300" distR="114300" simplePos="0" relativeHeight="251784704" behindDoc="0" locked="0" layoutInCell="1" allowOverlap="1">
                <wp:simplePos x="0" y="0"/>
                <wp:positionH relativeFrom="column">
                  <wp:posOffset>3147060</wp:posOffset>
                </wp:positionH>
                <wp:positionV relativeFrom="paragraph">
                  <wp:posOffset>670560</wp:posOffset>
                </wp:positionV>
                <wp:extent cx="269875" cy="2393950"/>
                <wp:effectExtent l="38100" t="0" r="15875" b="25400"/>
                <wp:wrapNone/>
                <wp:docPr id="33" name="Left Brac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393950"/>
                        </a:xfrm>
                        <a:prstGeom prst="leftBrace">
                          <a:avLst>
                            <a:gd name="adj1" fmla="val 89859"/>
                            <a:gd name="adj2" fmla="val 50000"/>
                          </a:avLst>
                        </a:prstGeom>
                        <a:noFill/>
                        <a:ln w="22225" cap="flat" cmpd="sng" algn="ctr">
                          <a:solidFill>
                            <a:srgbClr val="44546A">
                              <a:lumMod val="75000"/>
                            </a:srgb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shapetype w14:anchorId="73D2B9E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 o:spid="_x0000_s1026" type="#_x0000_t87" style="position:absolute;margin-left:247.8pt;margin-top:52.8pt;width:21.25pt;height:188.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" adj="2188" strokecolor="#333f50" strokeweight="1.75pt">
                <v:stroke joinstyle="miter"/>
              </v:shape>
            </w:pict>
          </mc:Fallback>
        </mc:AlternateContent>
      </w:r>
      <w:r w:rsidR="00AE0F80" w:rsidRPr="00512631">
        <w:rPr>
          <w:b w:val="0"/>
          <w:noProof/>
          <w:szCs w:val="22"/>
          <w:lang w:val="en-US" w:eastAsia="en-US"/>
        </w:rPr>
        <w:drawing>
          <wp:inline distT="0" distB="0" distL="0" distR="0">
            <wp:extent cx="5924550" cy="4610100"/>
            <wp:effectExtent l="0" t="0" r="0" b="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E0F80" w:rsidRPr="00512631" w:rsidRDefault="00AE0F80" w:rsidP="00AE0F80">
      <w:pPr>
        <w:spacing w:before="0" w:line="276" w:lineRule="auto"/>
        <w:contextualSpacing w:val="0"/>
        <w:rPr>
          <w:rFonts w:cs="Sylfaen"/>
          <w:b w:val="0"/>
          <w:sz w:val="20"/>
          <w:szCs w:val="20"/>
          <w:lang w:val="hy-AM" w:eastAsia="en-US"/>
        </w:rPr>
      </w:pPr>
    </w:p>
    <w:p w:rsidR="00AE0F80" w:rsidRPr="00512631" w:rsidRDefault="00AE0F80" w:rsidP="00AE0F80">
      <w:pPr>
        <w:spacing w:before="0" w:line="276" w:lineRule="auto"/>
        <w:contextualSpacing w:val="0"/>
        <w:rPr>
          <w:b w:val="0"/>
          <w:szCs w:val="22"/>
          <w:lang w:val="hy-AM" w:eastAsia="en-US"/>
        </w:rPr>
      </w:pPr>
      <w:r w:rsidRPr="00512631">
        <w:rPr>
          <w:b w:val="0"/>
          <w:szCs w:val="22"/>
          <w:lang w:val="hy-AM" w:eastAsia="en-US"/>
        </w:rPr>
        <w:t xml:space="preserve">2021թ. պետական բյուջեից աշխատավարձերին ուղղվող ծախսերը կկազի 181.1 մլրդ դրամ: Այս ծախսը 2020 թվականի հաստատված բյուջեի նույն ցուցանիշի համեմատ ավել է  </w:t>
      </w:r>
      <w:r w:rsidRPr="00330172">
        <w:rPr>
          <w:b w:val="0"/>
          <w:szCs w:val="22"/>
          <w:lang w:val="hy-AM" w:eastAsia="en-US"/>
        </w:rPr>
        <w:t>1.3</w:t>
      </w:r>
      <w:r w:rsidRPr="00512631">
        <w:rPr>
          <w:b w:val="0"/>
          <w:szCs w:val="22"/>
          <w:lang w:val="hy-AM" w:eastAsia="en-US"/>
        </w:rPr>
        <w:t xml:space="preserve"> տոկոսով կամ 2.3 մլրդ դրամի չափով:</w:t>
      </w:r>
    </w:p>
    <w:p w:rsidR="00AE0F80" w:rsidRPr="00512631" w:rsidRDefault="00AE0F80" w:rsidP="00AE0F80">
      <w:pPr>
        <w:spacing w:before="0" w:line="276" w:lineRule="auto"/>
        <w:contextualSpacing w:val="0"/>
        <w:rPr>
          <w:b w:val="0"/>
          <w:szCs w:val="22"/>
          <w:lang w:val="hy-AM" w:eastAsia="en-US"/>
        </w:rPr>
      </w:pPr>
      <w:r w:rsidRPr="00512631">
        <w:rPr>
          <w:b w:val="0"/>
          <w:szCs w:val="22"/>
          <w:lang w:val="hy-AM" w:eastAsia="en-US"/>
        </w:rPr>
        <w:t xml:space="preserve">2021թ. տոկոսավճարների գծով ծախսը կազմում է </w:t>
      </w:r>
      <w:r w:rsidRPr="00330172">
        <w:rPr>
          <w:b w:val="0"/>
          <w:szCs w:val="22"/>
          <w:lang w:val="hy-AM" w:eastAsia="en-US"/>
        </w:rPr>
        <w:t>197</w:t>
      </w:r>
      <w:r w:rsidRPr="009D7CB0">
        <w:rPr>
          <w:b w:val="0"/>
          <w:szCs w:val="22"/>
          <w:lang w:val="hy-AM" w:eastAsia="en-US"/>
        </w:rPr>
        <w:t>.</w:t>
      </w:r>
      <w:r w:rsidRPr="00330172">
        <w:rPr>
          <w:b w:val="0"/>
          <w:szCs w:val="22"/>
          <w:lang w:val="hy-AM" w:eastAsia="en-US"/>
        </w:rPr>
        <w:t>7</w:t>
      </w:r>
      <w:r w:rsidRPr="00512631">
        <w:rPr>
          <w:b w:val="0"/>
          <w:szCs w:val="22"/>
          <w:lang w:val="hy-AM" w:eastAsia="en-US"/>
        </w:rPr>
        <w:t xml:space="preserve"> մլրդ դրամ: 2021թ. պետական բյուջեից կազմակերպություններին նախատեսվում է տրամադրել 122.</w:t>
      </w:r>
      <w:r w:rsidRPr="00241A22">
        <w:rPr>
          <w:b w:val="0"/>
          <w:szCs w:val="22"/>
          <w:lang w:val="hy-AM" w:eastAsia="en-US"/>
        </w:rPr>
        <w:t>4</w:t>
      </w:r>
      <w:r w:rsidRPr="00512631">
        <w:rPr>
          <w:b w:val="0"/>
          <w:szCs w:val="22"/>
          <w:lang w:val="hy-AM" w:eastAsia="en-US"/>
        </w:rPr>
        <w:t xml:space="preserve"> մլրդ դրամի սուբսիդիաներ, որը 2020 թվականի հաստատված բյուջեի համեմատ սուբսիդիաների գծով ծախսն ավել է կանխատեսվել 5.</w:t>
      </w:r>
      <w:r w:rsidRPr="00241A22">
        <w:rPr>
          <w:b w:val="0"/>
          <w:szCs w:val="22"/>
          <w:lang w:val="hy-AM" w:eastAsia="en-US"/>
        </w:rPr>
        <w:t>2</w:t>
      </w:r>
      <w:r w:rsidRPr="00512631">
        <w:rPr>
          <w:b w:val="0"/>
          <w:szCs w:val="22"/>
          <w:lang w:val="hy-AM" w:eastAsia="en-US"/>
        </w:rPr>
        <w:t xml:space="preserve"> տոկոսով կամ </w:t>
      </w:r>
      <w:r w:rsidRPr="00241A22">
        <w:rPr>
          <w:b w:val="0"/>
          <w:szCs w:val="22"/>
          <w:lang w:val="hy-AM" w:eastAsia="en-US"/>
        </w:rPr>
        <w:t>6.</w:t>
      </w:r>
      <w:r w:rsidRPr="00330172">
        <w:rPr>
          <w:b w:val="0"/>
          <w:szCs w:val="22"/>
          <w:lang w:val="hy-AM" w:eastAsia="en-US"/>
        </w:rPr>
        <w:t>0</w:t>
      </w:r>
      <w:r w:rsidRPr="00512631">
        <w:rPr>
          <w:b w:val="0"/>
          <w:szCs w:val="22"/>
          <w:lang w:val="hy-AM" w:eastAsia="en-US"/>
        </w:rPr>
        <w:t xml:space="preserve"> մլրդ դրամով:</w:t>
      </w:r>
    </w:p>
    <w:p w:rsidR="00AE0F80" w:rsidRPr="00512631" w:rsidRDefault="00AE0F80" w:rsidP="00AE0F80">
      <w:pPr>
        <w:spacing w:before="0" w:line="276" w:lineRule="auto"/>
        <w:contextualSpacing w:val="0"/>
        <w:rPr>
          <w:b w:val="0"/>
          <w:szCs w:val="22"/>
          <w:lang w:val="hy-AM" w:eastAsia="en-US"/>
        </w:rPr>
      </w:pPr>
      <w:r w:rsidRPr="00512631">
        <w:rPr>
          <w:b w:val="0"/>
          <w:szCs w:val="22"/>
          <w:lang w:val="hy-AM" w:eastAsia="en-US"/>
        </w:rPr>
        <w:t>2021թ. ընթացիկ ծախսերի աճը մեծապես ապահովվելու է սոցիալական նպաստների և կենսաթոշակների վճարների գծով պետական բյուջեի ծախսերի ավելացման հաշվին, որոնք 2020 թվականի հաստատված բյուջեի նկատմամբ ավել</w:t>
      </w:r>
      <w:r>
        <w:rPr>
          <w:b w:val="0"/>
          <w:szCs w:val="22"/>
          <w:lang w:val="hy-AM" w:eastAsia="en-US"/>
        </w:rPr>
        <w:t>ացել է 2.</w:t>
      </w:r>
      <w:r w:rsidRPr="00241A22">
        <w:rPr>
          <w:b w:val="0"/>
          <w:szCs w:val="22"/>
          <w:lang w:val="hy-AM" w:eastAsia="en-US"/>
        </w:rPr>
        <w:t>7</w:t>
      </w:r>
      <w:r w:rsidRPr="00512631">
        <w:rPr>
          <w:b w:val="0"/>
          <w:szCs w:val="22"/>
          <w:lang w:val="hy-AM" w:eastAsia="en-US"/>
        </w:rPr>
        <w:t xml:space="preserve"> տոկոսով կամ 13.</w:t>
      </w:r>
      <w:r w:rsidRPr="00241A22">
        <w:rPr>
          <w:b w:val="0"/>
          <w:szCs w:val="22"/>
          <w:lang w:val="hy-AM" w:eastAsia="en-US"/>
        </w:rPr>
        <w:t>8</w:t>
      </w:r>
      <w:r w:rsidRPr="00512631">
        <w:rPr>
          <w:b w:val="0"/>
          <w:szCs w:val="22"/>
          <w:lang w:val="hy-AM" w:eastAsia="en-US"/>
        </w:rPr>
        <w:t xml:space="preserve"> մլրդ դրամով: </w:t>
      </w:r>
    </w:p>
    <w:p w:rsidR="00AE0F80" w:rsidRPr="00512631" w:rsidRDefault="00AE0F80" w:rsidP="00AE0F80">
      <w:pPr>
        <w:spacing w:before="0" w:line="276" w:lineRule="auto"/>
        <w:contextualSpacing w:val="0"/>
        <w:rPr>
          <w:b w:val="0"/>
          <w:szCs w:val="22"/>
          <w:lang w:val="hy-AM" w:eastAsia="en-US"/>
        </w:rPr>
      </w:pPr>
      <w:r w:rsidRPr="00512631">
        <w:rPr>
          <w:b w:val="0"/>
          <w:szCs w:val="22"/>
          <w:lang w:val="hy-AM" w:eastAsia="en-US"/>
        </w:rPr>
        <w:t>2021թ պետական բյուջեից նախատեսվում է տրամադրել դրամաշնորհներ 2020 թվականի հաստատված բյուջեի նկատմամբ համապատասխանաբար 2.</w:t>
      </w:r>
      <w:r w:rsidRPr="00241A22">
        <w:rPr>
          <w:b w:val="0"/>
          <w:szCs w:val="22"/>
          <w:lang w:val="hy-AM" w:eastAsia="en-US"/>
        </w:rPr>
        <w:t>4</w:t>
      </w:r>
      <w:r>
        <w:rPr>
          <w:b w:val="0"/>
          <w:szCs w:val="22"/>
          <w:lang w:val="hy-AM" w:eastAsia="en-US"/>
        </w:rPr>
        <w:t xml:space="preserve"> մլրդ դրամով կամ 1.</w:t>
      </w:r>
      <w:r w:rsidRPr="00241A22">
        <w:rPr>
          <w:b w:val="0"/>
          <w:szCs w:val="22"/>
          <w:lang w:val="hy-AM" w:eastAsia="en-US"/>
        </w:rPr>
        <w:t>5</w:t>
      </w:r>
      <w:r w:rsidRPr="00512631">
        <w:rPr>
          <w:b w:val="0"/>
          <w:szCs w:val="22"/>
          <w:lang w:val="hy-AM" w:eastAsia="en-US"/>
        </w:rPr>
        <w:t xml:space="preserve"> տոկոսով պակաս: </w:t>
      </w:r>
    </w:p>
    <w:p w:rsidR="00AE0F80" w:rsidRPr="00512631" w:rsidRDefault="00AE0F80" w:rsidP="00AE0F80">
      <w:pPr>
        <w:spacing w:before="0" w:line="276" w:lineRule="auto"/>
        <w:contextualSpacing w:val="0"/>
        <w:rPr>
          <w:b w:val="0"/>
          <w:szCs w:val="22"/>
          <w:lang w:val="hy-AM" w:eastAsia="en-US"/>
        </w:rPr>
      </w:pPr>
      <w:r w:rsidRPr="00512631">
        <w:rPr>
          <w:b w:val="0"/>
          <w:szCs w:val="22"/>
          <w:lang w:val="hy-AM" w:eastAsia="en-US"/>
        </w:rPr>
        <w:t xml:space="preserve">2021թ պետական բյուջեից նախատեսվում է տրամադրել ծառայությունների, ապրանքների ձեռքբերման և այլ ծախսերի գծով 2020 թվականի հաստատված բյուջեի նկատմամբ </w:t>
      </w:r>
      <w:r w:rsidRPr="00330172">
        <w:rPr>
          <w:b w:val="0"/>
          <w:szCs w:val="22"/>
          <w:lang w:val="hy-AM" w:eastAsia="en-US"/>
        </w:rPr>
        <w:t>20</w:t>
      </w:r>
      <w:r w:rsidRPr="00241A22">
        <w:rPr>
          <w:b w:val="0"/>
          <w:szCs w:val="22"/>
          <w:lang w:val="hy-AM" w:eastAsia="en-US"/>
        </w:rPr>
        <w:t>.</w:t>
      </w:r>
      <w:r w:rsidRPr="00330172">
        <w:rPr>
          <w:b w:val="0"/>
          <w:szCs w:val="22"/>
          <w:lang w:val="hy-AM" w:eastAsia="en-US"/>
        </w:rPr>
        <w:t>1</w:t>
      </w:r>
      <w:r w:rsidRPr="00512631">
        <w:rPr>
          <w:b w:val="0"/>
          <w:szCs w:val="22"/>
          <w:lang w:val="hy-AM" w:eastAsia="en-US"/>
        </w:rPr>
        <w:t xml:space="preserve"> մլրդ դրամով կամ 4.</w:t>
      </w:r>
      <w:r w:rsidRPr="00330172">
        <w:rPr>
          <w:b w:val="0"/>
          <w:szCs w:val="22"/>
          <w:lang w:val="hy-AM" w:eastAsia="en-US"/>
        </w:rPr>
        <w:t>7</w:t>
      </w:r>
      <w:r w:rsidRPr="00512631">
        <w:rPr>
          <w:b w:val="0"/>
          <w:szCs w:val="22"/>
          <w:lang w:val="hy-AM" w:eastAsia="en-US"/>
        </w:rPr>
        <w:t xml:space="preserve"> տոկոսով ավել: </w:t>
      </w:r>
    </w:p>
    <w:p w:rsidR="00AE0F80" w:rsidRPr="00512631" w:rsidRDefault="00AE0F80" w:rsidP="00AE0F80">
      <w:pPr>
        <w:spacing w:before="0" w:line="276" w:lineRule="auto"/>
        <w:contextualSpacing w:val="0"/>
        <w:rPr>
          <w:b w:val="0"/>
          <w:szCs w:val="22"/>
          <w:lang w:val="hy-AM" w:eastAsia="en-US"/>
        </w:rPr>
      </w:pPr>
    </w:p>
    <w:p w:rsidR="00AE0F80" w:rsidRPr="00512631" w:rsidRDefault="00AE0F80" w:rsidP="00AE0F80">
      <w:pPr>
        <w:pStyle w:val="Caption"/>
        <w:spacing w:before="0" w:after="0"/>
        <w:ind w:firstLine="562"/>
        <w:rPr>
          <w:b/>
          <w:i/>
          <w:sz w:val="20"/>
          <w:szCs w:val="20"/>
          <w:lang w:val="hy-AM"/>
        </w:rPr>
      </w:pPr>
      <w:bookmarkStart w:id="197" w:name="_Toc57631762"/>
      <w:r w:rsidRPr="0012680E">
        <w:rPr>
          <w:lang w:val="hy-AM"/>
        </w:rPr>
        <w:t xml:space="preserve">Աղյուսակ </w:t>
      </w:r>
      <w:r w:rsidR="003C3925">
        <w:fldChar w:fldCharType="begin"/>
      </w:r>
      <w:r w:rsidRPr="0012680E">
        <w:rPr>
          <w:lang w:val="hy-AM"/>
        </w:rPr>
        <w:instrText xml:space="preserve"> SEQ Աղյուսակ \* ARABIC </w:instrText>
      </w:r>
      <w:r w:rsidR="003C3925">
        <w:fldChar w:fldCharType="separate"/>
      </w:r>
      <w:r>
        <w:rPr>
          <w:noProof/>
          <w:lang w:val="hy-AM"/>
        </w:rPr>
        <w:t>11</w:t>
      </w:r>
      <w:r w:rsidR="003C3925">
        <w:fldChar w:fldCharType="end"/>
      </w:r>
      <w:r>
        <w:rPr>
          <w:rFonts w:ascii="Cambria Math" w:hAnsi="Cambria Math"/>
          <w:lang w:val="hy-AM"/>
        </w:rPr>
        <w:t xml:space="preserve">․ </w:t>
      </w:r>
      <w:r w:rsidRPr="00A2480A">
        <w:rPr>
          <w:b/>
          <w:i/>
          <w:sz w:val="20"/>
          <w:szCs w:val="20"/>
          <w:lang w:val="hy-AM"/>
        </w:rPr>
        <w:t>2017-2021թթ ընթացիկ</w:t>
      </w:r>
      <w:r w:rsidRPr="00512631">
        <w:rPr>
          <w:b/>
          <w:i/>
          <w:sz w:val="20"/>
          <w:szCs w:val="20"/>
          <w:lang w:val="hy-AM"/>
        </w:rPr>
        <w:t xml:space="preserve"> </w:t>
      </w:r>
      <w:r w:rsidRPr="00A2480A">
        <w:rPr>
          <w:b/>
          <w:i/>
          <w:sz w:val="20"/>
          <w:szCs w:val="20"/>
          <w:lang w:val="hy-AM"/>
        </w:rPr>
        <w:t>ծախսերի</w:t>
      </w:r>
      <w:r w:rsidRPr="00512631">
        <w:rPr>
          <w:b/>
          <w:i/>
          <w:sz w:val="20"/>
          <w:szCs w:val="20"/>
          <w:lang w:val="hy-AM"/>
        </w:rPr>
        <w:t xml:space="preserve"> ֆինանսավորման կառուցվածը ըստ տնտեսագիտական դասակարգման</w:t>
      </w:r>
      <w:bookmarkEnd w:id="197"/>
    </w:p>
    <w:p w:rsidR="00AE0F80" w:rsidRPr="00512631" w:rsidRDefault="00AE0F80" w:rsidP="00AE0F80">
      <w:pPr>
        <w:spacing w:before="0" w:line="276" w:lineRule="auto"/>
        <w:ind w:firstLine="562"/>
        <w:contextualSpacing w:val="0"/>
        <w:jc w:val="right"/>
        <w:rPr>
          <w:b w:val="0"/>
          <w:sz w:val="20"/>
          <w:szCs w:val="20"/>
          <w:lang w:val="hy-AM" w:eastAsia="en-US"/>
        </w:rPr>
      </w:pPr>
      <w:r w:rsidRPr="00512631">
        <w:rPr>
          <w:b w:val="0"/>
          <w:sz w:val="20"/>
          <w:szCs w:val="20"/>
          <w:lang w:val="hy-AM" w:eastAsia="en-US"/>
        </w:rPr>
        <w:t xml:space="preserve">մլն դրամ                                                                 </w:t>
      </w:r>
    </w:p>
    <w:tbl>
      <w:tblPr>
        <w:tblW w:w="9396" w:type="dxa"/>
        <w:tblInd w:w="-10" w:type="dxa"/>
        <w:tblLook w:val="04A0" w:firstRow="1" w:lastRow="0" w:firstColumn="1" w:lastColumn="0" w:noHBand="0" w:noVBand="1"/>
      </w:tblPr>
      <w:tblGrid>
        <w:gridCol w:w="2597"/>
        <w:gridCol w:w="1273"/>
        <w:gridCol w:w="1273"/>
        <w:gridCol w:w="1273"/>
        <w:gridCol w:w="1540"/>
        <w:gridCol w:w="1440"/>
      </w:tblGrid>
      <w:tr w:rsidR="00AE0F80" w:rsidRPr="00EA066B" w:rsidTr="009F0F78">
        <w:trPr>
          <w:trHeight w:val="555"/>
        </w:trPr>
        <w:tc>
          <w:tcPr>
            <w:tcW w:w="2790" w:type="dxa"/>
            <w:tcBorders>
              <w:top w:val="single" w:sz="8" w:space="0" w:color="auto"/>
              <w:left w:val="single" w:sz="8" w:space="0" w:color="auto"/>
              <w:bottom w:val="single" w:sz="8" w:space="0" w:color="auto"/>
              <w:right w:val="single" w:sz="8" w:space="0" w:color="auto"/>
            </w:tcBorders>
            <w:shd w:val="clear" w:color="000000" w:fill="2E74B5"/>
            <w:vAlign w:val="center"/>
            <w:hideMark/>
          </w:tcPr>
          <w:p w:rsidR="00AE0F80" w:rsidRPr="00512631" w:rsidRDefault="00AE0F80" w:rsidP="009F0F78">
            <w:pPr>
              <w:spacing w:before="0" w:line="276" w:lineRule="auto"/>
              <w:ind w:firstLine="0"/>
              <w:contextualSpacing w:val="0"/>
              <w:jc w:val="center"/>
              <w:rPr>
                <w:rFonts w:cs="Calibri"/>
                <w:b w:val="0"/>
                <w:color w:val="FFFFFF"/>
                <w:sz w:val="20"/>
                <w:szCs w:val="20"/>
                <w:lang w:val="en-US" w:eastAsia="en-US"/>
              </w:rPr>
            </w:pPr>
            <w:r w:rsidRPr="00512631">
              <w:rPr>
                <w:rFonts w:cs="Calibri"/>
                <w:b w:val="0"/>
                <w:color w:val="FFFFFF"/>
                <w:sz w:val="20"/>
                <w:szCs w:val="20"/>
                <w:lang w:val="hy-AM" w:eastAsia="en-US"/>
              </w:rPr>
              <w:t>Ցուցանիշներ</w:t>
            </w:r>
          </w:p>
        </w:tc>
        <w:tc>
          <w:tcPr>
            <w:tcW w:w="1080" w:type="dxa"/>
            <w:tcBorders>
              <w:top w:val="single" w:sz="8" w:space="0" w:color="auto"/>
              <w:left w:val="nil"/>
              <w:bottom w:val="single" w:sz="8" w:space="0" w:color="auto"/>
              <w:right w:val="single" w:sz="8" w:space="0" w:color="auto"/>
            </w:tcBorders>
            <w:shd w:val="clear" w:color="000000" w:fill="2E74B5"/>
            <w:vAlign w:val="center"/>
            <w:hideMark/>
          </w:tcPr>
          <w:p w:rsidR="00AE0F80" w:rsidRPr="00512631" w:rsidRDefault="00AE0F80" w:rsidP="009F0F78">
            <w:pPr>
              <w:spacing w:before="0" w:line="276" w:lineRule="auto"/>
              <w:ind w:firstLine="0"/>
              <w:contextualSpacing w:val="0"/>
              <w:jc w:val="center"/>
              <w:rPr>
                <w:rFonts w:cs="Calibri"/>
                <w:b w:val="0"/>
                <w:color w:val="FFFFFF"/>
                <w:sz w:val="20"/>
                <w:szCs w:val="20"/>
                <w:lang w:val="en-US" w:eastAsia="en-US"/>
              </w:rPr>
            </w:pPr>
            <w:r w:rsidRPr="00512631">
              <w:rPr>
                <w:rFonts w:cs="Calibri"/>
                <w:b w:val="0"/>
                <w:color w:val="FFFFFF"/>
                <w:sz w:val="20"/>
                <w:szCs w:val="20"/>
                <w:lang w:val="hy-AM" w:eastAsia="en-US"/>
              </w:rPr>
              <w:t>2017թ փաստացի</w:t>
            </w:r>
          </w:p>
        </w:tc>
        <w:tc>
          <w:tcPr>
            <w:tcW w:w="1273" w:type="dxa"/>
            <w:tcBorders>
              <w:top w:val="single" w:sz="8" w:space="0" w:color="auto"/>
              <w:left w:val="nil"/>
              <w:bottom w:val="single" w:sz="8" w:space="0" w:color="auto"/>
              <w:right w:val="single" w:sz="8" w:space="0" w:color="auto"/>
            </w:tcBorders>
            <w:shd w:val="clear" w:color="000000" w:fill="2E74B5"/>
            <w:vAlign w:val="center"/>
            <w:hideMark/>
          </w:tcPr>
          <w:p w:rsidR="00AE0F80" w:rsidRPr="00512631" w:rsidRDefault="00AE0F80" w:rsidP="009F0F78">
            <w:pPr>
              <w:spacing w:before="0" w:line="276" w:lineRule="auto"/>
              <w:ind w:firstLine="0"/>
              <w:contextualSpacing w:val="0"/>
              <w:jc w:val="center"/>
              <w:rPr>
                <w:rFonts w:cs="Calibri"/>
                <w:b w:val="0"/>
                <w:color w:val="FFFFFF"/>
                <w:sz w:val="20"/>
                <w:szCs w:val="20"/>
                <w:lang w:val="en-US" w:eastAsia="en-US"/>
              </w:rPr>
            </w:pPr>
            <w:r w:rsidRPr="00512631">
              <w:rPr>
                <w:rFonts w:cs="Calibri"/>
                <w:b w:val="0"/>
                <w:color w:val="FFFFFF"/>
                <w:sz w:val="20"/>
                <w:szCs w:val="20"/>
                <w:lang w:val="hy-AM" w:eastAsia="en-US"/>
              </w:rPr>
              <w:t>2018թ փաստացի</w:t>
            </w:r>
          </w:p>
        </w:tc>
        <w:tc>
          <w:tcPr>
            <w:tcW w:w="1273" w:type="dxa"/>
            <w:tcBorders>
              <w:top w:val="single" w:sz="8" w:space="0" w:color="auto"/>
              <w:left w:val="nil"/>
              <w:bottom w:val="single" w:sz="8" w:space="0" w:color="auto"/>
              <w:right w:val="single" w:sz="8" w:space="0" w:color="auto"/>
            </w:tcBorders>
            <w:shd w:val="clear" w:color="000000" w:fill="2E74B5"/>
            <w:vAlign w:val="center"/>
            <w:hideMark/>
          </w:tcPr>
          <w:p w:rsidR="00AE0F80" w:rsidRPr="00512631" w:rsidRDefault="00AE0F80" w:rsidP="009F0F78">
            <w:pPr>
              <w:spacing w:before="0" w:line="276" w:lineRule="auto"/>
              <w:ind w:firstLine="0"/>
              <w:contextualSpacing w:val="0"/>
              <w:jc w:val="center"/>
              <w:rPr>
                <w:rFonts w:cs="Calibri"/>
                <w:b w:val="0"/>
                <w:color w:val="FFFFFF"/>
                <w:sz w:val="20"/>
                <w:szCs w:val="20"/>
                <w:lang w:val="en-US" w:eastAsia="en-US"/>
              </w:rPr>
            </w:pPr>
            <w:r w:rsidRPr="00512631">
              <w:rPr>
                <w:rFonts w:cs="Calibri"/>
                <w:b w:val="0"/>
                <w:color w:val="FFFFFF"/>
                <w:sz w:val="20"/>
                <w:szCs w:val="20"/>
                <w:lang w:val="hy-AM" w:eastAsia="en-US"/>
              </w:rPr>
              <w:t>2019թ փաստացի</w:t>
            </w:r>
          </w:p>
        </w:tc>
        <w:tc>
          <w:tcPr>
            <w:tcW w:w="1540" w:type="dxa"/>
            <w:tcBorders>
              <w:top w:val="single" w:sz="8" w:space="0" w:color="auto"/>
              <w:left w:val="nil"/>
              <w:bottom w:val="single" w:sz="8" w:space="0" w:color="auto"/>
              <w:right w:val="single" w:sz="8" w:space="0" w:color="auto"/>
            </w:tcBorders>
            <w:shd w:val="clear" w:color="000000" w:fill="2E74B5"/>
            <w:vAlign w:val="center"/>
            <w:hideMark/>
          </w:tcPr>
          <w:p w:rsidR="00AE0F80" w:rsidRPr="00512631" w:rsidRDefault="00AE0F80" w:rsidP="009F0F78">
            <w:pPr>
              <w:spacing w:before="0" w:line="276" w:lineRule="auto"/>
              <w:ind w:firstLine="0"/>
              <w:contextualSpacing w:val="0"/>
              <w:jc w:val="center"/>
              <w:rPr>
                <w:rFonts w:cs="Calibri"/>
                <w:b w:val="0"/>
                <w:color w:val="FFFFFF"/>
                <w:sz w:val="20"/>
                <w:szCs w:val="20"/>
                <w:lang w:val="en-US" w:eastAsia="en-US"/>
              </w:rPr>
            </w:pPr>
            <w:r w:rsidRPr="00512631">
              <w:rPr>
                <w:rFonts w:cs="Calibri"/>
                <w:b w:val="0"/>
                <w:color w:val="FFFFFF"/>
                <w:sz w:val="20"/>
                <w:szCs w:val="20"/>
                <w:lang w:val="hy-AM" w:eastAsia="en-US"/>
              </w:rPr>
              <w:t>2020թ  հաստատված</w:t>
            </w:r>
          </w:p>
        </w:tc>
        <w:tc>
          <w:tcPr>
            <w:tcW w:w="1440" w:type="dxa"/>
            <w:tcBorders>
              <w:top w:val="single" w:sz="8" w:space="0" w:color="auto"/>
              <w:left w:val="nil"/>
              <w:bottom w:val="single" w:sz="8" w:space="0" w:color="auto"/>
              <w:right w:val="single" w:sz="8" w:space="0" w:color="auto"/>
            </w:tcBorders>
            <w:shd w:val="clear" w:color="000000" w:fill="2E74B5"/>
            <w:vAlign w:val="center"/>
            <w:hideMark/>
          </w:tcPr>
          <w:p w:rsidR="00AE0F80" w:rsidRPr="00512631" w:rsidRDefault="00AE0F80" w:rsidP="009F0F78">
            <w:pPr>
              <w:spacing w:before="0" w:line="276" w:lineRule="auto"/>
              <w:ind w:firstLine="0"/>
              <w:contextualSpacing w:val="0"/>
              <w:jc w:val="center"/>
              <w:rPr>
                <w:rFonts w:cs="Calibri"/>
                <w:b w:val="0"/>
                <w:color w:val="FFFFFF"/>
                <w:sz w:val="20"/>
                <w:szCs w:val="20"/>
                <w:lang w:val="en-US" w:eastAsia="en-US"/>
              </w:rPr>
            </w:pPr>
            <w:r w:rsidRPr="00512631">
              <w:rPr>
                <w:rFonts w:cs="Sylfaen"/>
                <w:b w:val="0"/>
                <w:color w:val="FFFFFF"/>
                <w:sz w:val="20"/>
                <w:szCs w:val="20"/>
                <w:lang w:val="en-US" w:eastAsia="en-US"/>
              </w:rPr>
              <w:t>2021թ</w:t>
            </w:r>
            <w:r w:rsidRPr="00EA066B">
              <w:rPr>
                <w:rFonts w:cs="Sylfaen"/>
                <w:b w:val="0"/>
                <w:color w:val="FFFFFF"/>
                <w:sz w:val="20"/>
                <w:szCs w:val="20"/>
                <w:lang w:val="en-US" w:eastAsia="en-US"/>
              </w:rPr>
              <w:t xml:space="preserve">. </w:t>
            </w:r>
            <w:r w:rsidRPr="00512631">
              <w:rPr>
                <w:rFonts w:cs="Sylfaen"/>
                <w:b w:val="0"/>
                <w:color w:val="FFFFFF"/>
                <w:sz w:val="20"/>
                <w:szCs w:val="20"/>
                <w:lang w:val="en-US" w:eastAsia="en-US"/>
              </w:rPr>
              <w:t>բյուջե</w:t>
            </w:r>
          </w:p>
        </w:tc>
      </w:tr>
      <w:tr w:rsidR="00AE0F80" w:rsidRPr="00EA066B" w:rsidTr="009F0F78">
        <w:trPr>
          <w:trHeight w:val="585"/>
        </w:trPr>
        <w:tc>
          <w:tcPr>
            <w:tcW w:w="2790" w:type="dxa"/>
            <w:tcBorders>
              <w:top w:val="nil"/>
              <w:left w:val="single" w:sz="8" w:space="0" w:color="auto"/>
              <w:bottom w:val="single" w:sz="8" w:space="0" w:color="auto"/>
              <w:right w:val="single" w:sz="8" w:space="0" w:color="auto"/>
            </w:tcBorders>
            <w:shd w:val="clear" w:color="000000" w:fill="D5DCE4"/>
            <w:vAlign w:val="center"/>
            <w:hideMark/>
          </w:tcPr>
          <w:p w:rsidR="00AE0F80" w:rsidRPr="00512631" w:rsidRDefault="00AE0F80" w:rsidP="009F0F78">
            <w:pPr>
              <w:spacing w:before="0" w:line="276" w:lineRule="auto"/>
              <w:ind w:firstLine="0"/>
              <w:contextualSpacing w:val="0"/>
              <w:rPr>
                <w:rFonts w:cs="Calibri"/>
                <w:bCs/>
                <w:color w:val="000000"/>
                <w:sz w:val="20"/>
                <w:szCs w:val="20"/>
                <w:lang w:val="en-US" w:eastAsia="en-US"/>
              </w:rPr>
            </w:pPr>
            <w:r w:rsidRPr="00512631">
              <w:rPr>
                <w:rFonts w:cs="Arial"/>
                <w:bCs/>
                <w:color w:val="000000"/>
                <w:sz w:val="20"/>
                <w:szCs w:val="20"/>
                <w:lang w:val="en-US" w:eastAsia="en-US"/>
              </w:rPr>
              <w:t>ԸՆԹԱՑԻԿ ԾԱԽՍԵՐ</w:t>
            </w:r>
          </w:p>
        </w:tc>
        <w:tc>
          <w:tcPr>
            <w:tcW w:w="1080"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Cs/>
                <w:color w:val="000000"/>
                <w:sz w:val="20"/>
                <w:szCs w:val="20"/>
                <w:lang w:val="en-US" w:eastAsia="en-US"/>
              </w:rPr>
            </w:pPr>
            <w:r w:rsidRPr="00512631">
              <w:rPr>
                <w:rFonts w:ascii="Arial" w:hAnsi="Arial" w:cs="Arial"/>
                <w:bCs/>
                <w:color w:val="000000"/>
                <w:sz w:val="20"/>
                <w:szCs w:val="20"/>
                <w:lang w:val="hy-AM" w:eastAsia="en-US"/>
              </w:rPr>
              <w:t>1,267,436.7</w:t>
            </w:r>
          </w:p>
        </w:tc>
        <w:tc>
          <w:tcPr>
            <w:tcW w:w="1273"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Cs/>
                <w:color w:val="000000"/>
                <w:sz w:val="20"/>
                <w:szCs w:val="20"/>
                <w:lang w:val="en-US" w:eastAsia="en-US"/>
              </w:rPr>
            </w:pPr>
            <w:r w:rsidRPr="00512631">
              <w:rPr>
                <w:rFonts w:ascii="Arial" w:hAnsi="Arial" w:cs="Arial"/>
                <w:bCs/>
                <w:color w:val="000000"/>
                <w:sz w:val="20"/>
                <w:szCs w:val="20"/>
                <w:lang w:val="hy-AM" w:eastAsia="en-US"/>
              </w:rPr>
              <w:t>1,298,977.9</w:t>
            </w:r>
          </w:p>
        </w:tc>
        <w:tc>
          <w:tcPr>
            <w:tcW w:w="1273"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Cs/>
                <w:color w:val="000000"/>
                <w:sz w:val="20"/>
                <w:szCs w:val="20"/>
                <w:lang w:val="en-US" w:eastAsia="en-US"/>
              </w:rPr>
            </w:pPr>
            <w:r w:rsidRPr="00512631">
              <w:rPr>
                <w:rFonts w:ascii="Arial" w:hAnsi="Arial" w:cs="Arial"/>
                <w:bCs/>
                <w:color w:val="000000"/>
                <w:sz w:val="20"/>
                <w:szCs w:val="20"/>
                <w:lang w:val="hy-AM" w:eastAsia="en-US"/>
              </w:rPr>
              <w:t>1,437,142.9</w:t>
            </w:r>
          </w:p>
        </w:tc>
        <w:tc>
          <w:tcPr>
            <w:tcW w:w="1540"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Cs/>
                <w:color w:val="000000"/>
                <w:sz w:val="20"/>
                <w:szCs w:val="20"/>
                <w:lang w:val="en-US" w:eastAsia="en-US"/>
              </w:rPr>
            </w:pPr>
            <w:r w:rsidRPr="00512631">
              <w:rPr>
                <w:rFonts w:ascii="Arial" w:hAnsi="Arial" w:cs="Arial"/>
                <w:bCs/>
                <w:color w:val="000000"/>
                <w:sz w:val="20"/>
                <w:szCs w:val="20"/>
                <w:lang w:val="hy-AM" w:eastAsia="en-US"/>
              </w:rPr>
              <w:t>1,568,161.8</w:t>
            </w:r>
          </w:p>
        </w:tc>
        <w:tc>
          <w:tcPr>
            <w:tcW w:w="1440" w:type="dxa"/>
            <w:tcBorders>
              <w:top w:val="nil"/>
              <w:left w:val="nil"/>
              <w:bottom w:val="single" w:sz="8" w:space="0" w:color="auto"/>
              <w:right w:val="single" w:sz="8" w:space="0" w:color="auto"/>
            </w:tcBorders>
            <w:shd w:val="clear" w:color="000000" w:fill="D5DCE4"/>
            <w:noWrap/>
            <w:vAlign w:val="center"/>
            <w:hideMark/>
          </w:tcPr>
          <w:p w:rsidR="00AE0F80" w:rsidRPr="002013FF" w:rsidRDefault="00AE0F80" w:rsidP="009F0F78">
            <w:pPr>
              <w:spacing w:before="0" w:line="276" w:lineRule="auto"/>
              <w:ind w:firstLine="0"/>
              <w:contextualSpacing w:val="0"/>
              <w:jc w:val="center"/>
              <w:rPr>
                <w:rFonts w:ascii="Arial" w:hAnsi="Arial" w:cs="Arial"/>
                <w:bCs/>
                <w:color w:val="000000"/>
                <w:sz w:val="20"/>
                <w:szCs w:val="20"/>
                <w:lang w:val="en-US" w:eastAsia="en-US"/>
              </w:rPr>
            </w:pPr>
            <w:r>
              <w:rPr>
                <w:rFonts w:ascii="Arial" w:hAnsi="Arial" w:cs="Arial"/>
                <w:bCs/>
                <w:color w:val="000000"/>
                <w:sz w:val="20"/>
                <w:szCs w:val="20"/>
                <w:lang w:val="en-US" w:eastAsia="en-US"/>
              </w:rPr>
              <w:t>1,6</w:t>
            </w:r>
            <w:r>
              <w:rPr>
                <w:rFonts w:ascii="Arial" w:hAnsi="Arial" w:cs="Arial"/>
                <w:bCs/>
                <w:color w:val="000000"/>
                <w:sz w:val="20"/>
                <w:szCs w:val="20"/>
                <w:lang w:eastAsia="en-US"/>
              </w:rPr>
              <w:t>3</w:t>
            </w:r>
            <w:r>
              <w:rPr>
                <w:rFonts w:ascii="Arial" w:hAnsi="Arial" w:cs="Arial"/>
                <w:bCs/>
                <w:color w:val="000000"/>
                <w:sz w:val="20"/>
                <w:szCs w:val="20"/>
                <w:lang w:val="en-US" w:eastAsia="en-US"/>
              </w:rPr>
              <w:t>4,</w:t>
            </w:r>
            <w:r>
              <w:rPr>
                <w:rFonts w:ascii="Arial" w:hAnsi="Arial" w:cs="Arial"/>
                <w:bCs/>
                <w:color w:val="000000"/>
                <w:sz w:val="20"/>
                <w:szCs w:val="20"/>
                <w:lang w:eastAsia="en-US"/>
              </w:rPr>
              <w:t>55</w:t>
            </w:r>
            <w:r>
              <w:rPr>
                <w:rFonts w:ascii="Arial" w:hAnsi="Arial" w:cs="Arial"/>
                <w:bCs/>
                <w:color w:val="000000"/>
                <w:sz w:val="20"/>
                <w:szCs w:val="20"/>
                <w:lang w:val="en-US" w:eastAsia="en-US"/>
              </w:rPr>
              <w:t>8.6</w:t>
            </w:r>
          </w:p>
        </w:tc>
      </w:tr>
      <w:tr w:rsidR="00AE0F80" w:rsidRPr="00EA066B" w:rsidTr="009F0F78">
        <w:trPr>
          <w:trHeight w:val="315"/>
        </w:trPr>
        <w:tc>
          <w:tcPr>
            <w:tcW w:w="2790" w:type="dxa"/>
            <w:tcBorders>
              <w:top w:val="nil"/>
              <w:left w:val="single" w:sz="8" w:space="0" w:color="auto"/>
              <w:bottom w:val="single" w:sz="8" w:space="0" w:color="auto"/>
              <w:right w:val="single" w:sz="8" w:space="0" w:color="auto"/>
            </w:tcBorders>
            <w:shd w:val="clear" w:color="000000" w:fill="FFFFFF"/>
            <w:vAlign w:val="center"/>
            <w:hideMark/>
          </w:tcPr>
          <w:p w:rsidR="00AE0F80" w:rsidRPr="007656C9" w:rsidRDefault="00AE0F80" w:rsidP="009F0F78">
            <w:pPr>
              <w:spacing w:before="0" w:line="276" w:lineRule="auto"/>
              <w:ind w:firstLine="0"/>
              <w:contextualSpacing w:val="0"/>
              <w:rPr>
                <w:rFonts w:cs="Calibri"/>
                <w:b w:val="0"/>
                <w:bCs/>
                <w:color w:val="000000"/>
                <w:sz w:val="20"/>
                <w:szCs w:val="20"/>
                <w:lang w:val="en-US" w:eastAsia="en-US"/>
              </w:rPr>
            </w:pPr>
            <w:r w:rsidRPr="007656C9">
              <w:rPr>
                <w:rFonts w:cs="Arial"/>
                <w:b w:val="0"/>
                <w:bCs/>
                <w:color w:val="000000"/>
                <w:sz w:val="20"/>
                <w:szCs w:val="20"/>
                <w:lang w:val="en-US" w:eastAsia="en-US"/>
              </w:rPr>
              <w:t>այդ թվում՝</w:t>
            </w:r>
          </w:p>
        </w:tc>
        <w:tc>
          <w:tcPr>
            <w:tcW w:w="1080"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left"/>
              <w:rPr>
                <w:rFonts w:ascii="Calibri" w:hAnsi="Calibri" w:cs="Calibri"/>
                <w:b w:val="0"/>
                <w:color w:val="000000"/>
                <w:szCs w:val="22"/>
                <w:lang w:val="en-US" w:eastAsia="en-US"/>
              </w:rPr>
            </w:pPr>
            <w:r w:rsidRPr="00512631">
              <w:rPr>
                <w:rFonts w:ascii="Calibri" w:hAnsi="Calibri" w:cs="Calibri"/>
                <w:b w:val="0"/>
                <w:color w:val="000000"/>
                <w:szCs w:val="22"/>
                <w:lang w:val="en-US" w:eastAsia="en-US"/>
              </w:rPr>
              <w:t> </w:t>
            </w:r>
          </w:p>
        </w:tc>
        <w:tc>
          <w:tcPr>
            <w:tcW w:w="1273"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left"/>
              <w:rPr>
                <w:rFonts w:ascii="Calibri" w:hAnsi="Calibri" w:cs="Calibri"/>
                <w:b w:val="0"/>
                <w:color w:val="000000"/>
                <w:szCs w:val="22"/>
                <w:lang w:val="en-US" w:eastAsia="en-US"/>
              </w:rPr>
            </w:pPr>
            <w:r w:rsidRPr="00512631">
              <w:rPr>
                <w:rFonts w:ascii="Calibri" w:hAnsi="Calibri" w:cs="Calibri"/>
                <w:b w:val="0"/>
                <w:color w:val="000000"/>
                <w:szCs w:val="22"/>
                <w:lang w:val="en-US" w:eastAsia="en-US"/>
              </w:rPr>
              <w:t> </w:t>
            </w:r>
          </w:p>
        </w:tc>
        <w:tc>
          <w:tcPr>
            <w:tcW w:w="1273"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left"/>
              <w:rPr>
                <w:rFonts w:ascii="Calibri" w:hAnsi="Calibri" w:cs="Calibri"/>
                <w:b w:val="0"/>
                <w:color w:val="000000"/>
                <w:szCs w:val="22"/>
                <w:lang w:val="en-US" w:eastAsia="en-US"/>
              </w:rPr>
            </w:pPr>
            <w:r w:rsidRPr="00512631">
              <w:rPr>
                <w:rFonts w:ascii="Calibri" w:hAnsi="Calibri" w:cs="Calibri"/>
                <w:b w:val="0"/>
                <w:color w:val="000000"/>
                <w:szCs w:val="22"/>
                <w:lang w:val="en-US" w:eastAsia="en-US"/>
              </w:rPr>
              <w:t> </w:t>
            </w:r>
          </w:p>
        </w:tc>
        <w:tc>
          <w:tcPr>
            <w:tcW w:w="1540"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left"/>
              <w:rPr>
                <w:rFonts w:ascii="Calibri" w:hAnsi="Calibri" w:cs="Calibri"/>
                <w:b w:val="0"/>
                <w:color w:val="000000"/>
                <w:szCs w:val="22"/>
                <w:lang w:val="en-US" w:eastAsia="en-US"/>
              </w:rPr>
            </w:pPr>
            <w:r w:rsidRPr="00512631">
              <w:rPr>
                <w:rFonts w:ascii="Calibri" w:hAnsi="Calibri" w:cs="Calibri"/>
                <w:b w:val="0"/>
                <w:color w:val="000000"/>
                <w:szCs w:val="22"/>
                <w:lang w:val="en-US" w:eastAsia="en-US"/>
              </w:rPr>
              <w:t> </w:t>
            </w:r>
          </w:p>
        </w:tc>
        <w:tc>
          <w:tcPr>
            <w:tcW w:w="1440"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left"/>
              <w:rPr>
                <w:rFonts w:ascii="Calibri" w:hAnsi="Calibri" w:cs="Calibri"/>
                <w:b w:val="0"/>
                <w:color w:val="000000"/>
                <w:szCs w:val="22"/>
                <w:lang w:val="en-US" w:eastAsia="en-US"/>
              </w:rPr>
            </w:pPr>
            <w:r w:rsidRPr="00512631">
              <w:rPr>
                <w:rFonts w:ascii="Calibri" w:hAnsi="Calibri" w:cs="Calibri"/>
                <w:b w:val="0"/>
                <w:color w:val="000000"/>
                <w:szCs w:val="22"/>
                <w:lang w:val="en-US" w:eastAsia="en-US"/>
              </w:rPr>
              <w:t> </w:t>
            </w:r>
          </w:p>
        </w:tc>
      </w:tr>
      <w:tr w:rsidR="00AE0F80" w:rsidRPr="00512631" w:rsidTr="009F0F78">
        <w:trPr>
          <w:trHeight w:val="825"/>
        </w:trPr>
        <w:tc>
          <w:tcPr>
            <w:tcW w:w="2790" w:type="dxa"/>
            <w:tcBorders>
              <w:top w:val="nil"/>
              <w:left w:val="single" w:sz="8" w:space="0" w:color="auto"/>
              <w:bottom w:val="single" w:sz="8" w:space="0" w:color="auto"/>
              <w:right w:val="single" w:sz="8" w:space="0" w:color="auto"/>
            </w:tcBorders>
            <w:shd w:val="clear" w:color="000000" w:fill="D5DCE4"/>
            <w:vAlign w:val="center"/>
            <w:hideMark/>
          </w:tcPr>
          <w:p w:rsidR="00AE0F80" w:rsidRPr="00512631" w:rsidRDefault="00AE0F80" w:rsidP="009F0F78">
            <w:pPr>
              <w:spacing w:before="0" w:line="276" w:lineRule="auto"/>
              <w:ind w:firstLine="0"/>
              <w:contextualSpacing w:val="0"/>
              <w:rPr>
                <w:rFonts w:cs="Calibri"/>
                <w:b w:val="0"/>
                <w:color w:val="000000"/>
                <w:sz w:val="20"/>
                <w:szCs w:val="20"/>
                <w:lang w:val="en-US" w:eastAsia="en-US"/>
              </w:rPr>
            </w:pPr>
            <w:r w:rsidRPr="00512631">
              <w:rPr>
                <w:rFonts w:cs="Arial"/>
                <w:b w:val="0"/>
                <w:color w:val="000000"/>
                <w:sz w:val="20"/>
                <w:szCs w:val="20"/>
                <w:lang w:val="en-US" w:eastAsia="en-US"/>
              </w:rPr>
              <w:t>ԱՇԽԱՏԱՆՔԻ ՎԱՐՁԱՏՐՈՒԹՅՈՒՆ</w:t>
            </w:r>
          </w:p>
        </w:tc>
        <w:tc>
          <w:tcPr>
            <w:tcW w:w="1080"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145,268.8</w:t>
            </w:r>
          </w:p>
        </w:tc>
        <w:tc>
          <w:tcPr>
            <w:tcW w:w="1273"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152,755.1</w:t>
            </w:r>
          </w:p>
        </w:tc>
        <w:tc>
          <w:tcPr>
            <w:tcW w:w="1273"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172,578.6</w:t>
            </w:r>
          </w:p>
        </w:tc>
        <w:tc>
          <w:tcPr>
            <w:tcW w:w="1540"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178,777.6</w:t>
            </w:r>
          </w:p>
        </w:tc>
        <w:tc>
          <w:tcPr>
            <w:tcW w:w="1440"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Pr>
                <w:rFonts w:ascii="Arial" w:hAnsi="Arial" w:cs="Arial"/>
                <w:b w:val="0"/>
                <w:color w:val="000000"/>
                <w:sz w:val="20"/>
                <w:szCs w:val="20"/>
                <w:lang w:val="en-US" w:eastAsia="en-US"/>
              </w:rPr>
              <w:t>181,075.3</w:t>
            </w:r>
          </w:p>
        </w:tc>
      </w:tr>
      <w:tr w:rsidR="00AE0F80" w:rsidRPr="00512631" w:rsidTr="009F0F78">
        <w:trPr>
          <w:trHeight w:val="1095"/>
        </w:trPr>
        <w:tc>
          <w:tcPr>
            <w:tcW w:w="2790" w:type="dxa"/>
            <w:tcBorders>
              <w:top w:val="nil"/>
              <w:left w:val="single" w:sz="8" w:space="0" w:color="auto"/>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left"/>
              <w:rPr>
                <w:rFonts w:cs="Calibri"/>
                <w:b w:val="0"/>
                <w:color w:val="000000"/>
                <w:sz w:val="20"/>
                <w:szCs w:val="20"/>
                <w:lang w:val="en-US" w:eastAsia="en-US"/>
              </w:rPr>
            </w:pPr>
            <w:r w:rsidRPr="00512631">
              <w:rPr>
                <w:rFonts w:cs="Arial"/>
                <w:b w:val="0"/>
                <w:color w:val="000000"/>
                <w:sz w:val="20"/>
                <w:szCs w:val="20"/>
                <w:lang w:val="en-US" w:eastAsia="en-US"/>
              </w:rPr>
              <w:t>ԾԱՌԱՅՈՒԹՅՈՒՆՆԵՐԻ ԵՎ ԱՊՐԱՆՔՆԵՐԻ  ՁԵՌՔԲԵՐՈՒՄ</w:t>
            </w:r>
          </w:p>
        </w:tc>
        <w:tc>
          <w:tcPr>
            <w:tcW w:w="1080"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154,276.7</w:t>
            </w:r>
          </w:p>
        </w:tc>
        <w:tc>
          <w:tcPr>
            <w:tcW w:w="1273"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155,647.0</w:t>
            </w:r>
          </w:p>
        </w:tc>
        <w:tc>
          <w:tcPr>
            <w:tcW w:w="1273"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192,121.3</w:t>
            </w:r>
          </w:p>
        </w:tc>
        <w:tc>
          <w:tcPr>
            <w:tcW w:w="1540"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201,161.5</w:t>
            </w:r>
          </w:p>
        </w:tc>
        <w:tc>
          <w:tcPr>
            <w:tcW w:w="1440"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Pr>
                <w:rFonts w:ascii="Arial" w:hAnsi="Arial" w:cs="Arial"/>
                <w:b w:val="0"/>
                <w:color w:val="000000"/>
                <w:sz w:val="20"/>
                <w:szCs w:val="20"/>
                <w:lang w:val="en-US" w:eastAsia="en-US"/>
              </w:rPr>
              <w:t>16</w:t>
            </w:r>
            <w:r>
              <w:rPr>
                <w:rFonts w:ascii="Arial" w:hAnsi="Arial" w:cs="Arial"/>
                <w:b w:val="0"/>
                <w:color w:val="000000"/>
                <w:sz w:val="20"/>
                <w:szCs w:val="20"/>
                <w:lang w:eastAsia="en-US"/>
              </w:rPr>
              <w:t>9</w:t>
            </w:r>
            <w:r>
              <w:rPr>
                <w:rFonts w:ascii="Arial" w:hAnsi="Arial" w:cs="Arial"/>
                <w:b w:val="0"/>
                <w:color w:val="000000"/>
                <w:sz w:val="20"/>
                <w:szCs w:val="20"/>
                <w:lang w:val="en-US" w:eastAsia="en-US"/>
              </w:rPr>
              <w:t>,</w:t>
            </w:r>
            <w:r>
              <w:rPr>
                <w:rFonts w:ascii="Arial" w:hAnsi="Arial" w:cs="Arial"/>
                <w:b w:val="0"/>
                <w:color w:val="000000"/>
                <w:sz w:val="20"/>
                <w:szCs w:val="20"/>
                <w:lang w:eastAsia="en-US"/>
              </w:rPr>
              <w:t>135</w:t>
            </w:r>
            <w:r>
              <w:rPr>
                <w:rFonts w:ascii="Arial" w:hAnsi="Arial" w:cs="Arial"/>
                <w:b w:val="0"/>
                <w:color w:val="000000"/>
                <w:sz w:val="20"/>
                <w:szCs w:val="20"/>
                <w:lang w:val="en-US" w:eastAsia="en-US"/>
              </w:rPr>
              <w:t>.5</w:t>
            </w:r>
          </w:p>
        </w:tc>
      </w:tr>
      <w:tr w:rsidR="00AE0F80" w:rsidRPr="00512631" w:rsidTr="009F0F78">
        <w:trPr>
          <w:trHeight w:val="315"/>
        </w:trPr>
        <w:tc>
          <w:tcPr>
            <w:tcW w:w="2790" w:type="dxa"/>
            <w:tcBorders>
              <w:top w:val="nil"/>
              <w:left w:val="single" w:sz="8" w:space="0" w:color="auto"/>
              <w:bottom w:val="single" w:sz="8" w:space="0" w:color="auto"/>
              <w:right w:val="single" w:sz="8" w:space="0" w:color="auto"/>
            </w:tcBorders>
            <w:shd w:val="clear" w:color="000000" w:fill="D5DCE4"/>
            <w:vAlign w:val="center"/>
            <w:hideMark/>
          </w:tcPr>
          <w:p w:rsidR="00AE0F80" w:rsidRPr="00512631" w:rsidRDefault="00AE0F80" w:rsidP="009F0F78">
            <w:pPr>
              <w:spacing w:before="0" w:line="276" w:lineRule="auto"/>
              <w:ind w:firstLine="0"/>
              <w:contextualSpacing w:val="0"/>
              <w:rPr>
                <w:rFonts w:cs="Calibri"/>
                <w:b w:val="0"/>
                <w:color w:val="000000"/>
                <w:sz w:val="20"/>
                <w:szCs w:val="20"/>
                <w:lang w:val="en-US" w:eastAsia="en-US"/>
              </w:rPr>
            </w:pPr>
            <w:r w:rsidRPr="00512631">
              <w:rPr>
                <w:rFonts w:cs="Arial"/>
                <w:b w:val="0"/>
                <w:color w:val="000000"/>
                <w:sz w:val="20"/>
                <w:szCs w:val="20"/>
                <w:lang w:val="en-US" w:eastAsia="en-US"/>
              </w:rPr>
              <w:t>ՏՈԿՈՍԱՎՃԱՐՆԵՐ</w:t>
            </w:r>
          </w:p>
        </w:tc>
        <w:tc>
          <w:tcPr>
            <w:tcW w:w="1080"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122,110.3</w:t>
            </w:r>
          </w:p>
        </w:tc>
        <w:tc>
          <w:tcPr>
            <w:tcW w:w="1273"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139,014.9</w:t>
            </w:r>
          </w:p>
        </w:tc>
        <w:tc>
          <w:tcPr>
            <w:tcW w:w="1273"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157,552.7</w:t>
            </w:r>
          </w:p>
        </w:tc>
        <w:tc>
          <w:tcPr>
            <w:tcW w:w="1540"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168,116.5</w:t>
            </w:r>
          </w:p>
        </w:tc>
        <w:tc>
          <w:tcPr>
            <w:tcW w:w="1440" w:type="dxa"/>
            <w:tcBorders>
              <w:top w:val="nil"/>
              <w:left w:val="nil"/>
              <w:bottom w:val="single" w:sz="8" w:space="0" w:color="auto"/>
              <w:right w:val="single" w:sz="8" w:space="0" w:color="auto"/>
            </w:tcBorders>
            <w:shd w:val="clear" w:color="000000" w:fill="D5DCE4"/>
            <w:noWrap/>
            <w:vAlign w:val="center"/>
            <w:hideMark/>
          </w:tcPr>
          <w:p w:rsidR="00AE0F80" w:rsidRPr="00330172" w:rsidRDefault="00AE0F80" w:rsidP="009F0F78">
            <w:pPr>
              <w:spacing w:before="0" w:line="276" w:lineRule="auto"/>
              <w:ind w:firstLine="0"/>
              <w:contextualSpacing w:val="0"/>
              <w:jc w:val="center"/>
              <w:rPr>
                <w:rFonts w:ascii="Arial" w:hAnsi="Arial" w:cs="Arial"/>
                <w:b w:val="0"/>
                <w:color w:val="000000"/>
                <w:sz w:val="20"/>
                <w:szCs w:val="20"/>
                <w:lang w:eastAsia="en-US"/>
              </w:rPr>
            </w:pPr>
            <w:r>
              <w:rPr>
                <w:rFonts w:ascii="Arial" w:hAnsi="Arial" w:cs="Arial"/>
                <w:b w:val="0"/>
                <w:color w:val="000000"/>
                <w:sz w:val="20"/>
                <w:szCs w:val="20"/>
                <w:lang w:eastAsia="en-US"/>
              </w:rPr>
              <w:t>194,700.1</w:t>
            </w:r>
          </w:p>
        </w:tc>
      </w:tr>
      <w:tr w:rsidR="00AE0F80" w:rsidRPr="00512631" w:rsidTr="009F0F78">
        <w:trPr>
          <w:trHeight w:val="315"/>
        </w:trPr>
        <w:tc>
          <w:tcPr>
            <w:tcW w:w="2790" w:type="dxa"/>
            <w:tcBorders>
              <w:top w:val="nil"/>
              <w:left w:val="single" w:sz="8" w:space="0" w:color="auto"/>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rPr>
                <w:rFonts w:cs="Calibri"/>
                <w:b w:val="0"/>
                <w:color w:val="000000"/>
                <w:sz w:val="20"/>
                <w:szCs w:val="20"/>
                <w:lang w:val="en-US" w:eastAsia="en-US"/>
              </w:rPr>
            </w:pPr>
            <w:r w:rsidRPr="00512631">
              <w:rPr>
                <w:rFonts w:cs="Arial"/>
                <w:b w:val="0"/>
                <w:color w:val="000000"/>
                <w:sz w:val="20"/>
                <w:szCs w:val="20"/>
                <w:lang w:val="en-US" w:eastAsia="en-US"/>
              </w:rPr>
              <w:t>ՍՈՒԲՍԻԴԻԱՆԵՐ</w:t>
            </w:r>
          </w:p>
        </w:tc>
        <w:tc>
          <w:tcPr>
            <w:tcW w:w="1080"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112,823.5</w:t>
            </w:r>
          </w:p>
        </w:tc>
        <w:tc>
          <w:tcPr>
            <w:tcW w:w="1273"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111,225.7</w:t>
            </w:r>
          </w:p>
        </w:tc>
        <w:tc>
          <w:tcPr>
            <w:tcW w:w="1273"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113,375.5</w:t>
            </w:r>
          </w:p>
        </w:tc>
        <w:tc>
          <w:tcPr>
            <w:tcW w:w="1540"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116,352.2</w:t>
            </w:r>
          </w:p>
        </w:tc>
        <w:tc>
          <w:tcPr>
            <w:tcW w:w="1440"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Pr>
                <w:rFonts w:ascii="Arial" w:hAnsi="Arial" w:cs="Arial"/>
                <w:b w:val="0"/>
                <w:color w:val="000000"/>
                <w:sz w:val="20"/>
                <w:szCs w:val="20"/>
                <w:lang w:val="en-US" w:eastAsia="en-US"/>
              </w:rPr>
              <w:t>122,370.1</w:t>
            </w:r>
          </w:p>
        </w:tc>
      </w:tr>
      <w:tr w:rsidR="00AE0F80" w:rsidRPr="00512631" w:rsidTr="009F0F78">
        <w:trPr>
          <w:trHeight w:val="315"/>
        </w:trPr>
        <w:tc>
          <w:tcPr>
            <w:tcW w:w="2790" w:type="dxa"/>
            <w:tcBorders>
              <w:top w:val="nil"/>
              <w:left w:val="single" w:sz="8" w:space="0" w:color="auto"/>
              <w:bottom w:val="single" w:sz="8" w:space="0" w:color="auto"/>
              <w:right w:val="single" w:sz="8" w:space="0" w:color="auto"/>
            </w:tcBorders>
            <w:shd w:val="clear" w:color="000000" w:fill="D5DCE4"/>
            <w:vAlign w:val="center"/>
            <w:hideMark/>
          </w:tcPr>
          <w:p w:rsidR="00AE0F80" w:rsidRPr="00512631" w:rsidRDefault="00AE0F80" w:rsidP="009F0F78">
            <w:pPr>
              <w:spacing w:before="0" w:line="276" w:lineRule="auto"/>
              <w:ind w:firstLine="0"/>
              <w:contextualSpacing w:val="0"/>
              <w:rPr>
                <w:rFonts w:cs="Calibri"/>
                <w:b w:val="0"/>
                <w:color w:val="000000"/>
                <w:sz w:val="20"/>
                <w:szCs w:val="20"/>
                <w:lang w:val="en-US" w:eastAsia="en-US"/>
              </w:rPr>
            </w:pPr>
            <w:r w:rsidRPr="00512631">
              <w:rPr>
                <w:rFonts w:cs="Arial"/>
                <w:b w:val="0"/>
                <w:color w:val="000000"/>
                <w:sz w:val="20"/>
                <w:szCs w:val="20"/>
                <w:lang w:val="en-US" w:eastAsia="en-US"/>
              </w:rPr>
              <w:t>ԴՐԱՄԱՇՆՈՐՀՆԵՐ</w:t>
            </w:r>
          </w:p>
        </w:tc>
        <w:tc>
          <w:tcPr>
            <w:tcW w:w="1080"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133,034.8</w:t>
            </w:r>
          </w:p>
        </w:tc>
        <w:tc>
          <w:tcPr>
            <w:tcW w:w="1273"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126,318.0</w:t>
            </w:r>
          </w:p>
        </w:tc>
        <w:tc>
          <w:tcPr>
            <w:tcW w:w="1273"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149,999.7</w:t>
            </w:r>
          </w:p>
        </w:tc>
        <w:tc>
          <w:tcPr>
            <w:tcW w:w="1540"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165,355.4</w:t>
            </w:r>
          </w:p>
        </w:tc>
        <w:tc>
          <w:tcPr>
            <w:tcW w:w="1440"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Pr>
                <w:rFonts w:ascii="Arial" w:hAnsi="Arial" w:cs="Arial"/>
                <w:b w:val="0"/>
                <w:color w:val="000000"/>
                <w:sz w:val="20"/>
                <w:szCs w:val="20"/>
                <w:lang w:val="en-US" w:eastAsia="en-US"/>
              </w:rPr>
              <w:t>162,913.5</w:t>
            </w:r>
          </w:p>
        </w:tc>
      </w:tr>
      <w:tr w:rsidR="00AE0F80" w:rsidRPr="00512631" w:rsidTr="009F0F78">
        <w:trPr>
          <w:trHeight w:val="825"/>
        </w:trPr>
        <w:tc>
          <w:tcPr>
            <w:tcW w:w="2790" w:type="dxa"/>
            <w:tcBorders>
              <w:top w:val="nil"/>
              <w:left w:val="single" w:sz="8" w:space="0" w:color="auto"/>
              <w:bottom w:val="single" w:sz="8" w:space="0" w:color="auto"/>
              <w:right w:val="single" w:sz="8" w:space="0" w:color="auto"/>
            </w:tcBorders>
            <w:shd w:val="clear" w:color="000000" w:fill="FFFFFF"/>
            <w:vAlign w:val="center"/>
            <w:hideMark/>
          </w:tcPr>
          <w:p w:rsidR="00AE0F80" w:rsidRPr="00512631" w:rsidRDefault="00AE0F80" w:rsidP="009F0F78">
            <w:pPr>
              <w:spacing w:before="0" w:line="276" w:lineRule="auto"/>
              <w:ind w:firstLine="0"/>
              <w:contextualSpacing w:val="0"/>
              <w:jc w:val="left"/>
              <w:rPr>
                <w:rFonts w:cs="Calibri"/>
                <w:b w:val="0"/>
                <w:color w:val="000000"/>
                <w:sz w:val="20"/>
                <w:szCs w:val="20"/>
                <w:lang w:val="en-US" w:eastAsia="en-US"/>
              </w:rPr>
            </w:pPr>
            <w:r w:rsidRPr="00512631">
              <w:rPr>
                <w:rFonts w:cs="Arial"/>
                <w:b w:val="0"/>
                <w:color w:val="000000"/>
                <w:sz w:val="20"/>
                <w:szCs w:val="20"/>
                <w:lang w:val="en-US" w:eastAsia="en-US"/>
              </w:rPr>
              <w:t>ՍՈՑԻԱԼԱԿԱՆ  ՆՊԱՍՏՆԵՐ ԵՎ ԿԵՆՍԱԹՈՇԱԿՆԵՐ</w:t>
            </w:r>
          </w:p>
        </w:tc>
        <w:tc>
          <w:tcPr>
            <w:tcW w:w="1080"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411,087.7</w:t>
            </w:r>
          </w:p>
        </w:tc>
        <w:tc>
          <w:tcPr>
            <w:tcW w:w="1273"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425,478.7</w:t>
            </w:r>
          </w:p>
        </w:tc>
        <w:tc>
          <w:tcPr>
            <w:tcW w:w="1273"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453,218.6</w:t>
            </w:r>
          </w:p>
        </w:tc>
        <w:tc>
          <w:tcPr>
            <w:tcW w:w="1540"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514,042.5</w:t>
            </w:r>
          </w:p>
        </w:tc>
        <w:tc>
          <w:tcPr>
            <w:tcW w:w="1440" w:type="dxa"/>
            <w:tcBorders>
              <w:top w:val="nil"/>
              <w:left w:val="nil"/>
              <w:bottom w:val="single" w:sz="8" w:space="0" w:color="auto"/>
              <w:right w:val="single" w:sz="8" w:space="0" w:color="auto"/>
            </w:tcBorders>
            <w:shd w:val="clear" w:color="000000" w:fill="FFFFFF"/>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Pr>
                <w:rFonts w:ascii="Arial" w:hAnsi="Arial" w:cs="Arial"/>
                <w:b w:val="0"/>
                <w:color w:val="000000"/>
                <w:sz w:val="20"/>
                <w:szCs w:val="20"/>
                <w:lang w:val="en-US" w:eastAsia="en-US"/>
              </w:rPr>
              <w:t>527,872.8</w:t>
            </w:r>
          </w:p>
        </w:tc>
      </w:tr>
      <w:tr w:rsidR="00AE0F80" w:rsidRPr="00512631" w:rsidTr="009F0F78">
        <w:trPr>
          <w:trHeight w:val="315"/>
        </w:trPr>
        <w:tc>
          <w:tcPr>
            <w:tcW w:w="2790" w:type="dxa"/>
            <w:tcBorders>
              <w:top w:val="nil"/>
              <w:left w:val="single" w:sz="8" w:space="0" w:color="auto"/>
              <w:bottom w:val="single" w:sz="8" w:space="0" w:color="auto"/>
              <w:right w:val="single" w:sz="8" w:space="0" w:color="auto"/>
            </w:tcBorders>
            <w:shd w:val="clear" w:color="000000" w:fill="D5DCE4"/>
            <w:vAlign w:val="center"/>
            <w:hideMark/>
          </w:tcPr>
          <w:p w:rsidR="00AE0F80" w:rsidRPr="00512631" w:rsidRDefault="00AE0F80" w:rsidP="009F0F78">
            <w:pPr>
              <w:spacing w:before="0" w:line="276" w:lineRule="auto"/>
              <w:ind w:firstLine="0"/>
              <w:contextualSpacing w:val="0"/>
              <w:rPr>
                <w:rFonts w:cs="Calibri"/>
                <w:b w:val="0"/>
                <w:color w:val="000000"/>
                <w:sz w:val="20"/>
                <w:szCs w:val="20"/>
                <w:lang w:val="en-US" w:eastAsia="en-US"/>
              </w:rPr>
            </w:pPr>
            <w:r w:rsidRPr="00512631">
              <w:rPr>
                <w:rFonts w:cs="Arial"/>
                <w:b w:val="0"/>
                <w:color w:val="000000"/>
                <w:sz w:val="20"/>
                <w:szCs w:val="20"/>
                <w:lang w:val="en-US" w:eastAsia="en-US"/>
              </w:rPr>
              <w:t>ԱՅԼ  ԾԱԽՍԵՐ</w:t>
            </w:r>
          </w:p>
        </w:tc>
        <w:tc>
          <w:tcPr>
            <w:tcW w:w="1080"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188,834.9</w:t>
            </w:r>
          </w:p>
        </w:tc>
        <w:tc>
          <w:tcPr>
            <w:tcW w:w="1273"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188,538.3</w:t>
            </w:r>
          </w:p>
        </w:tc>
        <w:tc>
          <w:tcPr>
            <w:tcW w:w="1273"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198,296.4</w:t>
            </w:r>
          </w:p>
        </w:tc>
        <w:tc>
          <w:tcPr>
            <w:tcW w:w="1540"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sidRPr="00512631">
              <w:rPr>
                <w:rFonts w:ascii="Arial" w:hAnsi="Arial" w:cs="Arial"/>
                <w:b w:val="0"/>
                <w:color w:val="000000"/>
                <w:sz w:val="20"/>
                <w:szCs w:val="20"/>
                <w:lang w:val="en-US" w:eastAsia="en-US"/>
              </w:rPr>
              <w:t>224,356.0</w:t>
            </w:r>
          </w:p>
        </w:tc>
        <w:tc>
          <w:tcPr>
            <w:tcW w:w="1440" w:type="dxa"/>
            <w:tcBorders>
              <w:top w:val="nil"/>
              <w:left w:val="nil"/>
              <w:bottom w:val="single" w:sz="8" w:space="0" w:color="auto"/>
              <w:right w:val="single" w:sz="8" w:space="0" w:color="auto"/>
            </w:tcBorders>
            <w:shd w:val="clear" w:color="000000" w:fill="D5DCE4"/>
            <w:noWrap/>
            <w:vAlign w:val="center"/>
            <w:hideMark/>
          </w:tcPr>
          <w:p w:rsidR="00AE0F80" w:rsidRPr="00512631" w:rsidRDefault="00AE0F80" w:rsidP="009F0F78">
            <w:pPr>
              <w:spacing w:before="0" w:line="276" w:lineRule="auto"/>
              <w:ind w:firstLine="0"/>
              <w:contextualSpacing w:val="0"/>
              <w:jc w:val="center"/>
              <w:rPr>
                <w:rFonts w:ascii="Arial" w:hAnsi="Arial" w:cs="Arial"/>
                <w:b w:val="0"/>
                <w:color w:val="000000"/>
                <w:sz w:val="20"/>
                <w:szCs w:val="20"/>
                <w:lang w:val="en-US" w:eastAsia="en-US"/>
              </w:rPr>
            </w:pPr>
            <w:r>
              <w:rPr>
                <w:rFonts w:ascii="Arial" w:hAnsi="Arial" w:cs="Arial"/>
                <w:b w:val="0"/>
                <w:color w:val="000000"/>
                <w:sz w:val="20"/>
                <w:szCs w:val="20"/>
                <w:lang w:val="en-US" w:eastAsia="en-US"/>
              </w:rPr>
              <w:t>276,491.4</w:t>
            </w:r>
          </w:p>
        </w:tc>
      </w:tr>
    </w:tbl>
    <w:p w:rsidR="00AE0F80" w:rsidRPr="000D6A06" w:rsidRDefault="00AE0F80" w:rsidP="00AE0F80">
      <w:pPr>
        <w:spacing w:before="0" w:line="276" w:lineRule="auto"/>
        <w:contextualSpacing w:val="0"/>
        <w:jc w:val="center"/>
        <w:rPr>
          <w:b w:val="0"/>
          <w:szCs w:val="22"/>
          <w:lang w:val="af-ZA" w:eastAsia="en-US"/>
        </w:rPr>
      </w:pPr>
    </w:p>
    <w:p w:rsidR="00AE0F80" w:rsidRPr="000D6A06" w:rsidRDefault="00AE0F80" w:rsidP="00AE0F80">
      <w:pPr>
        <w:spacing w:before="0" w:line="276" w:lineRule="auto"/>
        <w:ind w:firstLine="475"/>
        <w:contextualSpacing w:val="0"/>
        <w:rPr>
          <w:b w:val="0"/>
          <w:szCs w:val="22"/>
          <w:lang w:val="af-ZA" w:eastAsia="en-US"/>
        </w:rPr>
      </w:pPr>
      <w:r w:rsidRPr="000D6A06">
        <w:rPr>
          <w:b w:val="0"/>
          <w:szCs w:val="22"/>
          <w:lang w:val="af-ZA" w:eastAsia="en-US"/>
        </w:rPr>
        <w:t xml:space="preserve">2021 </w:t>
      </w:r>
      <w:r w:rsidRPr="000D6A06">
        <w:rPr>
          <w:b w:val="0"/>
          <w:szCs w:val="22"/>
          <w:lang w:val="en-US" w:eastAsia="en-US"/>
        </w:rPr>
        <w:t>թվակա</w:t>
      </w:r>
      <w:r w:rsidRPr="000D6A06">
        <w:rPr>
          <w:rFonts w:cs="Sylfaen"/>
          <w:b w:val="0"/>
          <w:szCs w:val="22"/>
          <w:lang w:val="en-US" w:eastAsia="en-US"/>
        </w:rPr>
        <w:t>նի</w:t>
      </w:r>
      <w:r w:rsidRPr="000D6A06">
        <w:rPr>
          <w:b w:val="0"/>
          <w:szCs w:val="22"/>
          <w:lang w:val="af-ZA" w:eastAsia="en-US"/>
        </w:rPr>
        <w:t xml:space="preserve"> </w:t>
      </w:r>
      <w:r w:rsidRPr="000D6A06">
        <w:rPr>
          <w:rFonts w:cs="Sylfaen"/>
          <w:b w:val="0"/>
          <w:szCs w:val="22"/>
          <w:lang w:val="en-US" w:eastAsia="en-US"/>
        </w:rPr>
        <w:t>ծախսերի</w:t>
      </w:r>
      <w:r w:rsidRPr="000D6A06">
        <w:rPr>
          <w:b w:val="0"/>
          <w:szCs w:val="22"/>
          <w:lang w:val="af-ZA" w:eastAsia="en-US"/>
        </w:rPr>
        <w:t xml:space="preserve"> </w:t>
      </w:r>
      <w:r w:rsidRPr="000D6A06">
        <w:rPr>
          <w:rFonts w:cs="Sylfaen"/>
          <w:b w:val="0"/>
          <w:szCs w:val="22"/>
          <w:lang w:val="en-US" w:eastAsia="en-US"/>
        </w:rPr>
        <w:t>ընդհանուր</w:t>
      </w:r>
      <w:r w:rsidRPr="000D6A06">
        <w:rPr>
          <w:b w:val="0"/>
          <w:szCs w:val="22"/>
          <w:lang w:val="af-ZA" w:eastAsia="en-US"/>
        </w:rPr>
        <w:t xml:space="preserve"> </w:t>
      </w:r>
      <w:r w:rsidRPr="000D6A06">
        <w:rPr>
          <w:rFonts w:cs="Sylfaen"/>
          <w:b w:val="0"/>
          <w:szCs w:val="22"/>
          <w:lang w:val="en-US" w:eastAsia="en-US"/>
        </w:rPr>
        <w:t>ծավալի</w:t>
      </w:r>
      <w:r w:rsidRPr="000D6A06">
        <w:rPr>
          <w:b w:val="0"/>
          <w:szCs w:val="22"/>
          <w:lang w:val="af-ZA" w:eastAsia="en-US"/>
        </w:rPr>
        <w:t xml:space="preserve"> </w:t>
      </w:r>
      <w:r w:rsidRPr="000D6A06">
        <w:rPr>
          <w:b w:val="0"/>
          <w:szCs w:val="22"/>
          <w:lang w:val="hy-AM" w:eastAsia="en-US"/>
        </w:rPr>
        <w:t>1</w:t>
      </w:r>
      <w:r w:rsidRPr="000D6A06">
        <w:rPr>
          <w:b w:val="0"/>
          <w:szCs w:val="22"/>
          <w:lang w:val="af-ZA" w:eastAsia="en-US"/>
        </w:rPr>
        <w:t>1</w:t>
      </w:r>
      <w:r w:rsidRPr="000D6A06">
        <w:rPr>
          <w:b w:val="0"/>
          <w:szCs w:val="22"/>
          <w:lang w:val="hy-AM" w:eastAsia="en-US"/>
        </w:rPr>
        <w:t>.</w:t>
      </w:r>
      <w:r w:rsidRPr="00330172">
        <w:rPr>
          <w:b w:val="0"/>
          <w:szCs w:val="22"/>
          <w:lang w:val="af-ZA" w:eastAsia="en-US"/>
        </w:rPr>
        <w:t>7</w:t>
      </w:r>
      <w:r w:rsidRPr="000D6A06">
        <w:rPr>
          <w:b w:val="0"/>
          <w:szCs w:val="22"/>
          <w:lang w:val="af-ZA" w:eastAsia="en-US"/>
        </w:rPr>
        <w:t xml:space="preserve"> %-</w:t>
      </w:r>
      <w:r w:rsidRPr="000D6A06">
        <w:rPr>
          <w:rFonts w:cs="Sylfaen"/>
          <w:b w:val="0"/>
          <w:szCs w:val="22"/>
          <w:lang w:val="en-US" w:eastAsia="en-US"/>
        </w:rPr>
        <w:t>ը</w:t>
      </w:r>
      <w:r w:rsidRPr="000D6A06">
        <w:rPr>
          <w:b w:val="0"/>
          <w:szCs w:val="22"/>
          <w:lang w:val="af-ZA" w:eastAsia="en-US"/>
        </w:rPr>
        <w:t xml:space="preserve"> </w:t>
      </w:r>
      <w:r w:rsidRPr="000D6A06">
        <w:rPr>
          <w:rFonts w:cs="Sylfaen"/>
          <w:b w:val="0"/>
          <w:szCs w:val="22"/>
          <w:lang w:val="en-US" w:eastAsia="en-US"/>
        </w:rPr>
        <w:t>կկազմեն</w:t>
      </w:r>
      <w:r w:rsidRPr="000D6A06">
        <w:rPr>
          <w:rFonts w:cs="Sylfaen"/>
          <w:b w:val="0"/>
          <w:szCs w:val="22"/>
          <w:lang w:val="af-ZA" w:eastAsia="en-US"/>
        </w:rPr>
        <w:t xml:space="preserve"> </w:t>
      </w:r>
      <w:r w:rsidRPr="000D6A06">
        <w:rPr>
          <w:rFonts w:cs="Sylfaen"/>
          <w:b w:val="0"/>
          <w:szCs w:val="22"/>
          <w:lang w:val="en-US" w:eastAsia="en-US"/>
        </w:rPr>
        <w:t>ոչ</w:t>
      </w:r>
      <w:r w:rsidRPr="000D6A06">
        <w:rPr>
          <w:rFonts w:cs="Sylfaen"/>
          <w:b w:val="0"/>
          <w:szCs w:val="22"/>
          <w:lang w:val="af-ZA" w:eastAsia="en-US"/>
        </w:rPr>
        <w:t xml:space="preserve"> </w:t>
      </w:r>
      <w:r w:rsidRPr="000D6A06">
        <w:rPr>
          <w:rFonts w:cs="Sylfaen"/>
          <w:b w:val="0"/>
          <w:szCs w:val="22"/>
          <w:lang w:val="en-US" w:eastAsia="en-US"/>
        </w:rPr>
        <w:t>ֆինանսական</w:t>
      </w:r>
      <w:r w:rsidRPr="000D6A06">
        <w:rPr>
          <w:rFonts w:cs="Sylfaen"/>
          <w:b w:val="0"/>
          <w:szCs w:val="22"/>
          <w:lang w:val="af-ZA" w:eastAsia="en-US"/>
        </w:rPr>
        <w:t xml:space="preserve"> </w:t>
      </w:r>
      <w:r w:rsidRPr="000D6A06">
        <w:rPr>
          <w:rFonts w:cs="Sylfaen"/>
          <w:b w:val="0"/>
          <w:szCs w:val="22"/>
          <w:lang w:val="en-US" w:eastAsia="en-US"/>
        </w:rPr>
        <w:t>ակտիվ</w:t>
      </w:r>
      <w:r w:rsidRPr="000D6A06">
        <w:rPr>
          <w:rFonts w:cs="Sylfaen"/>
          <w:b w:val="0"/>
          <w:szCs w:val="22"/>
          <w:lang w:val="af-ZA" w:eastAsia="en-US"/>
        </w:rPr>
        <w:softHyphen/>
      </w:r>
      <w:r w:rsidRPr="000D6A06">
        <w:rPr>
          <w:rFonts w:cs="Sylfaen"/>
          <w:b w:val="0"/>
          <w:szCs w:val="22"/>
          <w:lang w:val="en-US" w:eastAsia="en-US"/>
        </w:rPr>
        <w:t>ների</w:t>
      </w:r>
      <w:r w:rsidRPr="000D6A06">
        <w:rPr>
          <w:rFonts w:cs="Sylfaen"/>
          <w:b w:val="0"/>
          <w:szCs w:val="22"/>
          <w:lang w:val="af-ZA" w:eastAsia="en-US"/>
        </w:rPr>
        <w:t xml:space="preserve"> </w:t>
      </w:r>
      <w:r w:rsidRPr="000D6A06">
        <w:rPr>
          <w:rFonts w:cs="Sylfaen"/>
          <w:b w:val="0"/>
          <w:szCs w:val="22"/>
          <w:lang w:val="en-US" w:eastAsia="en-US"/>
        </w:rPr>
        <w:t>գծով</w:t>
      </w:r>
      <w:r w:rsidRPr="000D6A06">
        <w:rPr>
          <w:b w:val="0"/>
          <w:szCs w:val="22"/>
          <w:lang w:val="af-ZA" w:eastAsia="en-US"/>
        </w:rPr>
        <w:t xml:space="preserve"> </w:t>
      </w:r>
      <w:r w:rsidRPr="000D6A06">
        <w:rPr>
          <w:rFonts w:cs="Sylfaen"/>
          <w:b w:val="0"/>
          <w:szCs w:val="22"/>
          <w:lang w:val="en-US" w:eastAsia="en-US"/>
        </w:rPr>
        <w:t>ծախսերը</w:t>
      </w:r>
      <w:r w:rsidRPr="000D6A06">
        <w:rPr>
          <w:rFonts w:cs="Sylfaen"/>
          <w:b w:val="0"/>
          <w:szCs w:val="22"/>
          <w:lang w:val="af-ZA" w:eastAsia="en-US"/>
        </w:rPr>
        <w:t xml:space="preserve">, </w:t>
      </w:r>
      <w:r w:rsidRPr="000D6A06">
        <w:rPr>
          <w:b w:val="0"/>
          <w:szCs w:val="22"/>
          <w:lang w:val="af-ZA" w:eastAsia="en-US"/>
        </w:rPr>
        <w:t xml:space="preserve">(2020 </w:t>
      </w:r>
      <w:r w:rsidRPr="000D6A06">
        <w:rPr>
          <w:b w:val="0"/>
          <w:szCs w:val="22"/>
          <w:lang w:val="en-US" w:eastAsia="en-US"/>
        </w:rPr>
        <w:t>թվակա</w:t>
      </w:r>
      <w:r w:rsidRPr="000D6A06">
        <w:rPr>
          <w:rFonts w:cs="Sylfaen"/>
          <w:b w:val="0"/>
          <w:szCs w:val="22"/>
          <w:lang w:val="en-US" w:eastAsia="en-US"/>
        </w:rPr>
        <w:t>նին</w:t>
      </w:r>
      <w:r w:rsidRPr="000D6A06">
        <w:rPr>
          <w:b w:val="0"/>
          <w:szCs w:val="22"/>
          <w:lang w:val="af-ZA" w:eastAsia="en-US"/>
        </w:rPr>
        <w:t xml:space="preserve"> </w:t>
      </w:r>
      <w:r w:rsidRPr="000D6A06">
        <w:rPr>
          <w:rFonts w:cs="Sylfaen"/>
          <w:b w:val="0"/>
          <w:szCs w:val="22"/>
          <w:lang w:val="en-US" w:eastAsia="en-US"/>
        </w:rPr>
        <w:t>այդ</w:t>
      </w:r>
      <w:r w:rsidRPr="000D6A06">
        <w:rPr>
          <w:b w:val="0"/>
          <w:szCs w:val="22"/>
          <w:lang w:val="af-ZA" w:eastAsia="en-US"/>
        </w:rPr>
        <w:t xml:space="preserve"> </w:t>
      </w:r>
      <w:r w:rsidRPr="000D6A06">
        <w:rPr>
          <w:rFonts w:cs="Sylfaen"/>
          <w:b w:val="0"/>
          <w:szCs w:val="22"/>
          <w:lang w:val="en-US" w:eastAsia="en-US"/>
        </w:rPr>
        <w:t>ցուցանիշը</w:t>
      </w:r>
      <w:r w:rsidRPr="000D6A06">
        <w:rPr>
          <w:rFonts w:cs="Sylfaen"/>
          <w:b w:val="0"/>
          <w:szCs w:val="22"/>
          <w:lang w:val="af-ZA" w:eastAsia="en-US"/>
        </w:rPr>
        <w:t xml:space="preserve"> </w:t>
      </w:r>
      <w:r w:rsidRPr="000D6A06">
        <w:rPr>
          <w:rFonts w:cs="Sylfaen"/>
          <w:b w:val="0"/>
          <w:szCs w:val="22"/>
          <w:lang w:val="en-US" w:eastAsia="en-US"/>
        </w:rPr>
        <w:t>ծրագրվել</w:t>
      </w:r>
      <w:r w:rsidRPr="000D6A06">
        <w:rPr>
          <w:b w:val="0"/>
          <w:szCs w:val="22"/>
          <w:lang w:val="af-ZA" w:eastAsia="en-US"/>
        </w:rPr>
        <w:t xml:space="preserve"> </w:t>
      </w:r>
      <w:r w:rsidRPr="000D6A06">
        <w:rPr>
          <w:rFonts w:cs="Sylfaen"/>
          <w:b w:val="0"/>
          <w:szCs w:val="22"/>
          <w:lang w:val="en-US" w:eastAsia="en-US"/>
        </w:rPr>
        <w:t>է</w:t>
      </w:r>
      <w:r w:rsidRPr="000D6A06">
        <w:rPr>
          <w:b w:val="0"/>
          <w:szCs w:val="22"/>
          <w:lang w:val="af-ZA" w:eastAsia="en-US"/>
        </w:rPr>
        <w:t xml:space="preserve"> </w:t>
      </w:r>
      <w:r w:rsidRPr="000D6A06">
        <w:rPr>
          <w:b w:val="0"/>
          <w:szCs w:val="22"/>
          <w:lang w:val="hy-AM" w:eastAsia="en-US"/>
        </w:rPr>
        <w:t>15</w:t>
      </w:r>
      <w:r w:rsidRPr="000D6A06">
        <w:rPr>
          <w:b w:val="0"/>
          <w:szCs w:val="22"/>
          <w:lang w:val="af-ZA" w:eastAsia="en-US"/>
        </w:rPr>
        <w:t xml:space="preserve">.5%): </w:t>
      </w:r>
    </w:p>
    <w:p w:rsidR="00AE0F80" w:rsidRDefault="00AE0F80" w:rsidP="00AE0F80">
      <w:pPr>
        <w:spacing w:before="0" w:line="276" w:lineRule="auto"/>
        <w:ind w:firstLine="475"/>
        <w:contextualSpacing w:val="0"/>
        <w:rPr>
          <w:b w:val="0"/>
          <w:szCs w:val="22"/>
          <w:lang w:val="hy-AM" w:eastAsia="en-US"/>
        </w:rPr>
      </w:pPr>
      <w:r w:rsidRPr="00BD6456">
        <w:rPr>
          <w:rFonts w:cs="Sylfaen"/>
          <w:b w:val="0"/>
          <w:szCs w:val="22"/>
          <w:lang w:val="af-ZA" w:eastAsia="en-US"/>
        </w:rPr>
        <w:t>2021</w:t>
      </w:r>
      <w:r>
        <w:rPr>
          <w:rFonts w:cs="Sylfaen"/>
          <w:b w:val="0"/>
          <w:szCs w:val="22"/>
          <w:lang w:val="af-ZA" w:eastAsia="en-US"/>
        </w:rPr>
        <w:t xml:space="preserve"> </w:t>
      </w:r>
      <w:r w:rsidRPr="000D6A06">
        <w:rPr>
          <w:b w:val="0"/>
          <w:szCs w:val="22"/>
          <w:lang w:val="en-US" w:eastAsia="en-US"/>
        </w:rPr>
        <w:t>թվակա</w:t>
      </w:r>
      <w:r w:rsidRPr="000D6A06">
        <w:rPr>
          <w:rFonts w:cs="Sylfaen"/>
          <w:b w:val="0"/>
          <w:szCs w:val="22"/>
          <w:lang w:val="en-US" w:eastAsia="en-US"/>
        </w:rPr>
        <w:t>նի</w:t>
      </w:r>
      <w:r w:rsidRPr="00BD6456">
        <w:rPr>
          <w:rFonts w:cs="Sylfaen"/>
          <w:b w:val="0"/>
          <w:szCs w:val="22"/>
          <w:lang w:val="af-ZA" w:eastAsia="en-US"/>
        </w:rPr>
        <w:t xml:space="preserve"> </w:t>
      </w:r>
      <w:r w:rsidRPr="00711DBC">
        <w:rPr>
          <w:rFonts w:cs="Sylfaen"/>
          <w:b w:val="0"/>
          <w:szCs w:val="22"/>
          <w:lang w:val="hy-AM" w:eastAsia="en-US"/>
        </w:rPr>
        <w:t>պետական</w:t>
      </w:r>
      <w:r w:rsidRPr="00BD6456">
        <w:rPr>
          <w:rFonts w:cs="Sylfaen"/>
          <w:b w:val="0"/>
          <w:szCs w:val="22"/>
          <w:lang w:val="af-ZA" w:eastAsia="en-US"/>
        </w:rPr>
        <w:t xml:space="preserve"> </w:t>
      </w:r>
      <w:r w:rsidRPr="00711DBC">
        <w:rPr>
          <w:rFonts w:cs="Sylfaen"/>
          <w:b w:val="0"/>
          <w:szCs w:val="22"/>
          <w:lang w:val="hy-AM" w:eastAsia="en-US"/>
        </w:rPr>
        <w:t>բյուջեից</w:t>
      </w:r>
      <w:r w:rsidRPr="00BD6456">
        <w:rPr>
          <w:rFonts w:cs="Sylfaen"/>
          <w:b w:val="0"/>
          <w:szCs w:val="22"/>
          <w:lang w:val="af-ZA" w:eastAsia="en-US"/>
        </w:rPr>
        <w:t xml:space="preserve"> </w:t>
      </w:r>
      <w:r w:rsidRPr="004817AA">
        <w:rPr>
          <w:rFonts w:cs="Sylfaen"/>
          <w:b w:val="0"/>
          <w:szCs w:val="22"/>
          <w:lang w:val="hy-AM" w:eastAsia="en-US"/>
        </w:rPr>
        <w:t>նախատեսվում</w:t>
      </w:r>
      <w:r w:rsidRPr="00BD6456">
        <w:rPr>
          <w:rFonts w:cs="Sylfaen"/>
          <w:b w:val="0"/>
          <w:szCs w:val="22"/>
          <w:lang w:val="af-ZA" w:eastAsia="en-US"/>
        </w:rPr>
        <w:t xml:space="preserve"> </w:t>
      </w:r>
      <w:r w:rsidRPr="004817AA">
        <w:rPr>
          <w:rFonts w:cs="Sylfaen"/>
          <w:b w:val="0"/>
          <w:szCs w:val="22"/>
          <w:lang w:val="hy-AM" w:eastAsia="en-US"/>
        </w:rPr>
        <w:t>է</w:t>
      </w:r>
      <w:r w:rsidRPr="00BD6456">
        <w:rPr>
          <w:rFonts w:cs="Sylfaen"/>
          <w:b w:val="0"/>
          <w:szCs w:val="22"/>
          <w:lang w:val="af-ZA" w:eastAsia="en-US"/>
        </w:rPr>
        <w:t xml:space="preserve"> </w:t>
      </w:r>
      <w:r w:rsidRPr="004817AA">
        <w:rPr>
          <w:rFonts w:cs="Sylfaen"/>
          <w:b w:val="0"/>
          <w:szCs w:val="22"/>
          <w:lang w:val="hy-AM" w:eastAsia="en-US"/>
        </w:rPr>
        <w:t>տրամադրել</w:t>
      </w:r>
      <w:r w:rsidRPr="00BD6456">
        <w:rPr>
          <w:rFonts w:cs="Sylfaen"/>
          <w:b w:val="0"/>
          <w:szCs w:val="22"/>
          <w:lang w:val="af-ZA" w:eastAsia="en-US"/>
        </w:rPr>
        <w:t xml:space="preserve"> </w:t>
      </w:r>
      <w:r w:rsidRPr="004817AA">
        <w:rPr>
          <w:rFonts w:cs="Sylfaen"/>
          <w:b w:val="0"/>
          <w:szCs w:val="22"/>
          <w:lang w:val="hy-AM" w:eastAsia="en-US"/>
        </w:rPr>
        <w:t>հատկացումներ</w:t>
      </w:r>
      <w:r w:rsidRPr="00BD6456">
        <w:rPr>
          <w:rFonts w:cs="Sylfaen"/>
          <w:b w:val="0"/>
          <w:szCs w:val="22"/>
          <w:lang w:val="af-ZA" w:eastAsia="en-US"/>
        </w:rPr>
        <w:t xml:space="preserve"> </w:t>
      </w:r>
      <w:r w:rsidRPr="004817AA">
        <w:rPr>
          <w:rFonts w:cs="Sylfaen"/>
          <w:b w:val="0"/>
          <w:szCs w:val="22"/>
          <w:lang w:val="hy-AM" w:eastAsia="en-US"/>
        </w:rPr>
        <w:t>ՀՀ</w:t>
      </w:r>
      <w:r w:rsidRPr="00BD6456">
        <w:rPr>
          <w:rFonts w:cs="Sylfaen"/>
          <w:b w:val="0"/>
          <w:szCs w:val="22"/>
          <w:lang w:val="af-ZA" w:eastAsia="en-US"/>
        </w:rPr>
        <w:t xml:space="preserve"> </w:t>
      </w:r>
      <w:r w:rsidRPr="004817AA">
        <w:rPr>
          <w:rFonts w:cs="Sylfaen"/>
          <w:b w:val="0"/>
          <w:szCs w:val="22"/>
          <w:lang w:val="hy-AM" w:eastAsia="en-US"/>
        </w:rPr>
        <w:t>համայնքներին</w:t>
      </w:r>
      <w:r w:rsidRPr="00BD6456">
        <w:rPr>
          <w:rFonts w:cs="Sylfaen"/>
          <w:b w:val="0"/>
          <w:szCs w:val="22"/>
          <w:lang w:val="af-ZA" w:eastAsia="en-US"/>
        </w:rPr>
        <w:t xml:space="preserve">, </w:t>
      </w:r>
      <w:r>
        <w:rPr>
          <w:rFonts w:cs="Sylfaen"/>
          <w:b w:val="0"/>
          <w:szCs w:val="22"/>
          <w:lang w:val="hy-AM" w:eastAsia="en-US"/>
        </w:rPr>
        <w:t>որը</w:t>
      </w:r>
      <w:r w:rsidRPr="004817AA">
        <w:rPr>
          <w:rFonts w:cs="Sylfaen"/>
          <w:b w:val="0"/>
          <w:szCs w:val="22"/>
          <w:lang w:val="af-ZA" w:eastAsia="en-US"/>
        </w:rPr>
        <w:t xml:space="preserve"> </w:t>
      </w:r>
      <w:r>
        <w:rPr>
          <w:rFonts w:cs="Sylfaen"/>
          <w:b w:val="0"/>
          <w:szCs w:val="22"/>
          <w:lang w:val="hy-AM" w:eastAsia="en-US"/>
        </w:rPr>
        <w:t>կազմել է 82.</w:t>
      </w:r>
      <w:r w:rsidRPr="00EE46DD">
        <w:rPr>
          <w:rFonts w:cs="Sylfaen"/>
          <w:b w:val="0"/>
          <w:szCs w:val="22"/>
          <w:lang w:val="af-ZA" w:eastAsia="en-US"/>
        </w:rPr>
        <w:t>5</w:t>
      </w:r>
      <w:r>
        <w:rPr>
          <w:rFonts w:cs="Sylfaen"/>
          <w:b w:val="0"/>
          <w:szCs w:val="22"/>
          <w:lang w:val="hy-AM" w:eastAsia="en-US"/>
        </w:rPr>
        <w:t xml:space="preserve"> մլրդ դրամ </w:t>
      </w:r>
      <w:r w:rsidRPr="004817AA">
        <w:rPr>
          <w:rFonts w:cs="Sylfaen"/>
          <w:b w:val="0"/>
          <w:szCs w:val="22"/>
          <w:lang w:val="hy-AM" w:eastAsia="en-US"/>
        </w:rPr>
        <w:t>կամ</w:t>
      </w:r>
      <w:r w:rsidRPr="00BD6456">
        <w:rPr>
          <w:rFonts w:cs="Sylfaen"/>
          <w:b w:val="0"/>
          <w:szCs w:val="22"/>
          <w:lang w:val="af-ZA" w:eastAsia="en-US"/>
        </w:rPr>
        <w:t xml:space="preserve"> </w:t>
      </w:r>
      <w:r w:rsidRPr="004817AA">
        <w:rPr>
          <w:rFonts w:cs="Sylfaen"/>
          <w:b w:val="0"/>
          <w:szCs w:val="22"/>
          <w:lang w:val="hy-AM" w:eastAsia="en-US"/>
        </w:rPr>
        <w:t>ընդհանուր</w:t>
      </w:r>
      <w:r w:rsidRPr="00BD6456">
        <w:rPr>
          <w:rFonts w:cs="Sylfaen"/>
          <w:b w:val="0"/>
          <w:szCs w:val="22"/>
          <w:lang w:val="af-ZA" w:eastAsia="en-US"/>
        </w:rPr>
        <w:t xml:space="preserve"> </w:t>
      </w:r>
      <w:r w:rsidRPr="004817AA">
        <w:rPr>
          <w:rFonts w:cs="Sylfaen"/>
          <w:b w:val="0"/>
          <w:szCs w:val="22"/>
          <w:lang w:val="hy-AM" w:eastAsia="en-US"/>
        </w:rPr>
        <w:t>բյուջետային</w:t>
      </w:r>
      <w:r w:rsidRPr="00BD6456">
        <w:rPr>
          <w:rFonts w:cs="Sylfaen"/>
          <w:b w:val="0"/>
          <w:szCs w:val="22"/>
          <w:lang w:val="af-ZA" w:eastAsia="en-US"/>
        </w:rPr>
        <w:t xml:space="preserve"> </w:t>
      </w:r>
      <w:r w:rsidRPr="004817AA">
        <w:rPr>
          <w:rFonts w:cs="Sylfaen"/>
          <w:b w:val="0"/>
          <w:szCs w:val="22"/>
          <w:lang w:val="hy-AM" w:eastAsia="en-US"/>
        </w:rPr>
        <w:t>ծախսերի</w:t>
      </w:r>
      <w:r w:rsidRPr="00BD6456">
        <w:rPr>
          <w:rFonts w:cs="Sylfaen"/>
          <w:b w:val="0"/>
          <w:szCs w:val="22"/>
          <w:lang w:val="af-ZA" w:eastAsia="en-US"/>
        </w:rPr>
        <w:t xml:space="preserve"> </w:t>
      </w:r>
      <w:r>
        <w:rPr>
          <w:rFonts w:cs="Sylfaen"/>
          <w:b w:val="0"/>
          <w:szCs w:val="22"/>
          <w:lang w:val="hy-AM" w:eastAsia="en-US"/>
        </w:rPr>
        <w:t>4.4</w:t>
      </w:r>
      <w:r w:rsidRPr="00BD6456">
        <w:rPr>
          <w:rFonts w:cs="Sylfaen"/>
          <w:b w:val="0"/>
          <w:szCs w:val="22"/>
          <w:lang w:val="af-ZA" w:eastAsia="en-US"/>
        </w:rPr>
        <w:t xml:space="preserve"> </w:t>
      </w:r>
      <w:r w:rsidRPr="000D6A06">
        <w:rPr>
          <w:b w:val="0"/>
          <w:szCs w:val="22"/>
          <w:lang w:val="af-ZA" w:eastAsia="en-US"/>
        </w:rPr>
        <w:t>%</w:t>
      </w:r>
      <w:r>
        <w:rPr>
          <w:b w:val="0"/>
          <w:szCs w:val="22"/>
          <w:lang w:val="hy-AM" w:eastAsia="en-US"/>
        </w:rPr>
        <w:t xml:space="preserve"> </w:t>
      </w:r>
      <w:r w:rsidRPr="004817AA">
        <w:rPr>
          <w:rFonts w:cs="Sylfaen"/>
          <w:b w:val="0"/>
          <w:szCs w:val="22"/>
          <w:lang w:val="hy-AM" w:eastAsia="en-US"/>
        </w:rPr>
        <w:t>և</w:t>
      </w:r>
      <w:r w:rsidRPr="00BD6456">
        <w:rPr>
          <w:rFonts w:cs="Sylfaen"/>
          <w:b w:val="0"/>
          <w:szCs w:val="22"/>
          <w:lang w:val="af-ZA" w:eastAsia="en-US"/>
        </w:rPr>
        <w:t xml:space="preserve"> </w:t>
      </w:r>
      <w:r w:rsidRPr="004817AA">
        <w:rPr>
          <w:rFonts w:cs="Sylfaen"/>
          <w:b w:val="0"/>
          <w:szCs w:val="22"/>
          <w:lang w:val="hy-AM" w:eastAsia="en-US"/>
        </w:rPr>
        <w:t>ՀՆԱ</w:t>
      </w:r>
      <w:r w:rsidRPr="00BD6456">
        <w:rPr>
          <w:rFonts w:cs="Sylfaen"/>
          <w:b w:val="0"/>
          <w:szCs w:val="22"/>
          <w:lang w:val="af-ZA" w:eastAsia="en-US"/>
        </w:rPr>
        <w:t>-</w:t>
      </w:r>
      <w:r w:rsidRPr="004817AA">
        <w:rPr>
          <w:rFonts w:cs="Sylfaen"/>
          <w:b w:val="0"/>
          <w:szCs w:val="22"/>
          <w:lang w:val="hy-AM" w:eastAsia="en-US"/>
        </w:rPr>
        <w:t>ի</w:t>
      </w:r>
      <w:r w:rsidRPr="00BD6456">
        <w:rPr>
          <w:rFonts w:cs="Sylfaen"/>
          <w:b w:val="0"/>
          <w:szCs w:val="22"/>
          <w:lang w:val="af-ZA" w:eastAsia="en-US"/>
        </w:rPr>
        <w:t xml:space="preserve"> 1.</w:t>
      </w:r>
      <w:r>
        <w:rPr>
          <w:rFonts w:cs="Sylfaen"/>
          <w:b w:val="0"/>
          <w:szCs w:val="22"/>
          <w:lang w:val="hy-AM" w:eastAsia="en-US"/>
        </w:rPr>
        <w:t>3</w:t>
      </w:r>
      <w:r w:rsidRPr="004817AA">
        <w:rPr>
          <w:b w:val="0"/>
          <w:szCs w:val="22"/>
          <w:lang w:val="af-ZA" w:eastAsia="en-US"/>
        </w:rPr>
        <w:t xml:space="preserve"> </w:t>
      </w:r>
      <w:r w:rsidRPr="000D6A06">
        <w:rPr>
          <w:b w:val="0"/>
          <w:szCs w:val="22"/>
          <w:lang w:val="af-ZA" w:eastAsia="en-US"/>
        </w:rPr>
        <w:t>%</w:t>
      </w:r>
      <w:r w:rsidRPr="00BD6456">
        <w:rPr>
          <w:rFonts w:cs="Sylfaen"/>
          <w:b w:val="0"/>
          <w:szCs w:val="22"/>
          <w:lang w:val="af-ZA" w:eastAsia="en-US"/>
        </w:rPr>
        <w:t>: 2020</w:t>
      </w:r>
      <w:r>
        <w:rPr>
          <w:rFonts w:cs="Sylfaen"/>
          <w:b w:val="0"/>
          <w:szCs w:val="22"/>
          <w:lang w:val="af-ZA" w:eastAsia="en-US"/>
        </w:rPr>
        <w:t xml:space="preserve"> </w:t>
      </w:r>
      <w:r w:rsidRPr="004817AA">
        <w:rPr>
          <w:rFonts w:cs="Sylfaen"/>
          <w:b w:val="0"/>
          <w:szCs w:val="22"/>
          <w:lang w:val="hy-AM" w:eastAsia="en-US"/>
        </w:rPr>
        <w:t>թվականին</w:t>
      </w:r>
      <w:r w:rsidRPr="00BD6456">
        <w:rPr>
          <w:rFonts w:cs="Sylfaen"/>
          <w:b w:val="0"/>
          <w:szCs w:val="22"/>
          <w:lang w:val="af-ZA" w:eastAsia="en-US"/>
        </w:rPr>
        <w:t xml:space="preserve"> </w:t>
      </w:r>
      <w:r w:rsidRPr="004817AA">
        <w:rPr>
          <w:rFonts w:cs="Sylfaen"/>
          <w:b w:val="0"/>
          <w:szCs w:val="22"/>
          <w:lang w:val="hy-AM" w:eastAsia="en-US"/>
        </w:rPr>
        <w:t>այն</w:t>
      </w:r>
      <w:r w:rsidRPr="00BD6456">
        <w:rPr>
          <w:rFonts w:cs="Sylfaen"/>
          <w:b w:val="0"/>
          <w:szCs w:val="22"/>
          <w:lang w:val="af-ZA" w:eastAsia="en-US"/>
        </w:rPr>
        <w:t xml:space="preserve"> </w:t>
      </w:r>
      <w:r w:rsidRPr="004817AA">
        <w:rPr>
          <w:rFonts w:cs="Sylfaen"/>
          <w:b w:val="0"/>
          <w:szCs w:val="22"/>
          <w:lang w:val="hy-AM" w:eastAsia="en-US"/>
        </w:rPr>
        <w:t>կազմել</w:t>
      </w:r>
      <w:r w:rsidRPr="00BD6456">
        <w:rPr>
          <w:rFonts w:cs="Sylfaen"/>
          <w:b w:val="0"/>
          <w:szCs w:val="22"/>
          <w:lang w:val="af-ZA" w:eastAsia="en-US"/>
        </w:rPr>
        <w:t xml:space="preserve"> </w:t>
      </w:r>
      <w:r w:rsidRPr="004817AA">
        <w:rPr>
          <w:rFonts w:cs="Sylfaen"/>
          <w:b w:val="0"/>
          <w:szCs w:val="22"/>
          <w:lang w:val="hy-AM" w:eastAsia="en-US"/>
        </w:rPr>
        <w:t>է՝</w:t>
      </w:r>
      <w:r w:rsidRPr="00BD6456">
        <w:rPr>
          <w:rFonts w:cs="Sylfaen"/>
          <w:b w:val="0"/>
          <w:szCs w:val="22"/>
          <w:lang w:val="af-ZA" w:eastAsia="en-US"/>
        </w:rPr>
        <w:t xml:space="preserve"> </w:t>
      </w:r>
      <w:r>
        <w:rPr>
          <w:rFonts w:cs="Sylfaen"/>
          <w:b w:val="0"/>
          <w:szCs w:val="22"/>
          <w:lang w:val="hy-AM" w:eastAsia="en-US"/>
        </w:rPr>
        <w:t>79.2</w:t>
      </w:r>
      <w:r w:rsidRPr="00BD6456">
        <w:rPr>
          <w:rFonts w:cs="Sylfaen"/>
          <w:b w:val="0"/>
          <w:szCs w:val="22"/>
          <w:lang w:val="af-ZA" w:eastAsia="en-US"/>
        </w:rPr>
        <w:t xml:space="preserve"> </w:t>
      </w:r>
      <w:r w:rsidRPr="004817AA">
        <w:rPr>
          <w:rFonts w:cs="Sylfaen"/>
          <w:b w:val="0"/>
          <w:szCs w:val="22"/>
          <w:lang w:val="hy-AM" w:eastAsia="en-US"/>
        </w:rPr>
        <w:t>մլրդ</w:t>
      </w:r>
      <w:r w:rsidRPr="00BD6456">
        <w:rPr>
          <w:rFonts w:cs="Sylfaen"/>
          <w:b w:val="0"/>
          <w:szCs w:val="22"/>
          <w:lang w:val="af-ZA" w:eastAsia="en-US"/>
        </w:rPr>
        <w:t xml:space="preserve"> </w:t>
      </w:r>
      <w:r w:rsidRPr="004817AA">
        <w:rPr>
          <w:rFonts w:cs="Sylfaen"/>
          <w:b w:val="0"/>
          <w:szCs w:val="22"/>
          <w:lang w:val="hy-AM" w:eastAsia="en-US"/>
        </w:rPr>
        <w:t>դրամ</w:t>
      </w:r>
      <w:r w:rsidRPr="00BD6456">
        <w:rPr>
          <w:rFonts w:cs="Sylfaen"/>
          <w:b w:val="0"/>
          <w:szCs w:val="22"/>
          <w:lang w:val="af-ZA" w:eastAsia="en-US"/>
        </w:rPr>
        <w:t xml:space="preserve"> </w:t>
      </w:r>
      <w:r w:rsidRPr="004817AA">
        <w:rPr>
          <w:rFonts w:cs="Sylfaen"/>
          <w:b w:val="0"/>
          <w:szCs w:val="22"/>
          <w:lang w:val="hy-AM" w:eastAsia="en-US"/>
        </w:rPr>
        <w:t>կամ</w:t>
      </w:r>
      <w:r w:rsidRPr="00BD6456">
        <w:rPr>
          <w:rFonts w:cs="Sylfaen"/>
          <w:b w:val="0"/>
          <w:szCs w:val="22"/>
          <w:lang w:val="af-ZA" w:eastAsia="en-US"/>
        </w:rPr>
        <w:t xml:space="preserve"> </w:t>
      </w:r>
      <w:r w:rsidRPr="004817AA">
        <w:rPr>
          <w:rFonts w:cs="Sylfaen"/>
          <w:b w:val="0"/>
          <w:szCs w:val="22"/>
          <w:lang w:val="hy-AM" w:eastAsia="en-US"/>
        </w:rPr>
        <w:t>ընդհանուր</w:t>
      </w:r>
      <w:r w:rsidRPr="00BD6456">
        <w:rPr>
          <w:rFonts w:cs="Sylfaen"/>
          <w:b w:val="0"/>
          <w:szCs w:val="22"/>
          <w:lang w:val="af-ZA" w:eastAsia="en-US"/>
        </w:rPr>
        <w:t xml:space="preserve"> </w:t>
      </w:r>
      <w:r w:rsidRPr="004817AA">
        <w:rPr>
          <w:rFonts w:cs="Sylfaen"/>
          <w:b w:val="0"/>
          <w:szCs w:val="22"/>
          <w:lang w:val="hy-AM" w:eastAsia="en-US"/>
        </w:rPr>
        <w:t>բյուջետային</w:t>
      </w:r>
      <w:r w:rsidRPr="00BD6456">
        <w:rPr>
          <w:rFonts w:cs="Sylfaen"/>
          <w:b w:val="0"/>
          <w:szCs w:val="22"/>
          <w:lang w:val="af-ZA" w:eastAsia="en-US"/>
        </w:rPr>
        <w:t xml:space="preserve"> </w:t>
      </w:r>
      <w:r w:rsidRPr="004817AA">
        <w:rPr>
          <w:rFonts w:cs="Sylfaen"/>
          <w:b w:val="0"/>
          <w:szCs w:val="22"/>
          <w:lang w:val="hy-AM" w:eastAsia="en-US"/>
        </w:rPr>
        <w:t>ծախսերի</w:t>
      </w:r>
      <w:r w:rsidRPr="00BD6456">
        <w:rPr>
          <w:rFonts w:cs="Sylfaen"/>
          <w:b w:val="0"/>
          <w:szCs w:val="22"/>
          <w:lang w:val="af-ZA" w:eastAsia="en-US"/>
        </w:rPr>
        <w:t xml:space="preserve"> </w:t>
      </w:r>
      <w:r>
        <w:rPr>
          <w:rFonts w:cs="Sylfaen"/>
          <w:b w:val="0"/>
          <w:szCs w:val="22"/>
          <w:lang w:val="af-ZA" w:eastAsia="en-US"/>
        </w:rPr>
        <w:t>4.</w:t>
      </w:r>
      <w:r w:rsidRPr="00BD6456">
        <w:rPr>
          <w:rFonts w:cs="Sylfaen"/>
          <w:b w:val="0"/>
          <w:szCs w:val="22"/>
          <w:lang w:val="af-ZA" w:eastAsia="en-US"/>
        </w:rPr>
        <w:t xml:space="preserve">3 </w:t>
      </w:r>
      <w:r w:rsidRPr="000D6A06">
        <w:rPr>
          <w:b w:val="0"/>
          <w:szCs w:val="22"/>
          <w:lang w:val="af-ZA" w:eastAsia="en-US"/>
        </w:rPr>
        <w:t>%</w:t>
      </w:r>
      <w:r>
        <w:rPr>
          <w:b w:val="0"/>
          <w:szCs w:val="22"/>
          <w:lang w:val="af-ZA" w:eastAsia="en-US"/>
        </w:rPr>
        <w:t>-</w:t>
      </w:r>
      <w:r>
        <w:rPr>
          <w:b w:val="0"/>
          <w:szCs w:val="22"/>
          <w:lang w:val="hy-AM" w:eastAsia="en-US"/>
        </w:rPr>
        <w:t>ը:</w:t>
      </w:r>
    </w:p>
    <w:p w:rsidR="00AE0F80" w:rsidRDefault="00AE0F80" w:rsidP="00AE0F80">
      <w:pPr>
        <w:spacing w:before="0" w:line="276" w:lineRule="auto"/>
        <w:ind w:firstLine="475"/>
        <w:contextualSpacing w:val="0"/>
        <w:rPr>
          <w:rFonts w:cs="Sylfaen"/>
          <w:b w:val="0"/>
          <w:szCs w:val="22"/>
          <w:lang w:val="hy-AM" w:eastAsia="en-US"/>
        </w:rPr>
      </w:pPr>
    </w:p>
    <w:p w:rsidR="00AE0F80" w:rsidRDefault="00AE0F80" w:rsidP="00AE0F80">
      <w:pPr>
        <w:spacing w:before="0" w:line="276" w:lineRule="auto"/>
        <w:ind w:firstLine="475"/>
        <w:contextualSpacing w:val="0"/>
        <w:rPr>
          <w:rFonts w:cs="Sylfaen"/>
          <w:b w:val="0"/>
          <w:szCs w:val="22"/>
          <w:lang w:val="hy-AM" w:eastAsia="en-US"/>
        </w:rPr>
      </w:pPr>
    </w:p>
    <w:p w:rsidR="00AE0F80" w:rsidRDefault="00AE0F80" w:rsidP="00AE0F80">
      <w:pPr>
        <w:spacing w:before="0" w:line="276" w:lineRule="auto"/>
        <w:ind w:firstLine="475"/>
        <w:contextualSpacing w:val="0"/>
        <w:rPr>
          <w:rFonts w:cs="Sylfaen"/>
          <w:b w:val="0"/>
          <w:szCs w:val="22"/>
          <w:lang w:val="hy-AM" w:eastAsia="en-US"/>
        </w:rPr>
      </w:pPr>
    </w:p>
    <w:p w:rsidR="00AE0F80" w:rsidRDefault="00AE0F80" w:rsidP="00AE0F80">
      <w:pPr>
        <w:spacing w:before="0" w:line="276" w:lineRule="auto"/>
        <w:ind w:firstLine="475"/>
        <w:contextualSpacing w:val="0"/>
        <w:rPr>
          <w:rFonts w:cs="Sylfaen"/>
          <w:b w:val="0"/>
          <w:szCs w:val="22"/>
          <w:lang w:val="hy-AM" w:eastAsia="en-US"/>
        </w:rPr>
      </w:pPr>
    </w:p>
    <w:p w:rsidR="00AE0F80" w:rsidRDefault="00AE0F80" w:rsidP="00AE0F80">
      <w:pPr>
        <w:spacing w:before="0" w:line="276" w:lineRule="auto"/>
        <w:ind w:firstLine="475"/>
        <w:contextualSpacing w:val="0"/>
        <w:rPr>
          <w:rFonts w:cs="Sylfaen"/>
          <w:b w:val="0"/>
          <w:szCs w:val="22"/>
          <w:lang w:val="hy-AM" w:eastAsia="en-US"/>
        </w:rPr>
      </w:pPr>
    </w:p>
    <w:p w:rsidR="00AE0F80" w:rsidRDefault="00AE0F80" w:rsidP="00AE0F80">
      <w:pPr>
        <w:pStyle w:val="Caption"/>
        <w:spacing w:before="0" w:after="0"/>
        <w:rPr>
          <w:b/>
          <w:i/>
          <w:sz w:val="20"/>
          <w:szCs w:val="20"/>
          <w:lang w:val="hy-AM" w:eastAsia="en-US"/>
        </w:rPr>
      </w:pPr>
      <w:bookmarkStart w:id="198" w:name="_Toc57631763"/>
      <w:r w:rsidRPr="0012680E">
        <w:rPr>
          <w:lang w:val="hy-AM"/>
        </w:rPr>
        <w:t xml:space="preserve">Աղյուսակ </w:t>
      </w:r>
      <w:r w:rsidR="003C3925">
        <w:fldChar w:fldCharType="begin"/>
      </w:r>
      <w:r w:rsidRPr="0012680E">
        <w:rPr>
          <w:lang w:val="hy-AM"/>
        </w:rPr>
        <w:instrText xml:space="preserve"> SEQ Աղյուսակ \* ARABIC </w:instrText>
      </w:r>
      <w:r w:rsidR="003C3925">
        <w:fldChar w:fldCharType="separate"/>
      </w:r>
      <w:r>
        <w:rPr>
          <w:noProof/>
          <w:lang w:val="hy-AM"/>
        </w:rPr>
        <w:t>12</w:t>
      </w:r>
      <w:r w:rsidR="003C3925">
        <w:fldChar w:fldCharType="end"/>
      </w:r>
      <w:r>
        <w:rPr>
          <w:rFonts w:ascii="Cambria Math" w:hAnsi="Cambria Math"/>
          <w:lang w:val="hy-AM"/>
        </w:rPr>
        <w:t xml:space="preserve">․ </w:t>
      </w:r>
      <w:r w:rsidRPr="000D6A06">
        <w:rPr>
          <w:b/>
          <w:i/>
          <w:sz w:val="20"/>
          <w:szCs w:val="20"/>
          <w:lang w:val="af-ZA" w:eastAsia="en-US"/>
        </w:rPr>
        <w:t>ՀՀ պետական բյուջեից համայնքներին տրվող հատկացումների վերաբերյալ</w:t>
      </w:r>
      <w:bookmarkEnd w:id="198"/>
    </w:p>
    <w:p w:rsidR="00AE0F80" w:rsidRPr="0012680E" w:rsidRDefault="00AE0F80" w:rsidP="00AE0F80">
      <w:pPr>
        <w:spacing w:before="0"/>
        <w:jc w:val="right"/>
        <w:rPr>
          <w:lang w:val="hy-AM" w:eastAsia="en-US"/>
        </w:rPr>
      </w:pPr>
      <w:r w:rsidRPr="007F7348">
        <w:rPr>
          <w:i/>
          <w:iCs/>
          <w:sz w:val="18"/>
          <w:szCs w:val="18"/>
        </w:rPr>
        <w:t>հ</w:t>
      </w:r>
      <w:r w:rsidRPr="00A56250">
        <w:rPr>
          <w:i/>
          <w:iCs/>
          <w:sz w:val="18"/>
          <w:szCs w:val="18"/>
          <w:lang w:val="hy-AM"/>
        </w:rPr>
        <w:t>ազ</w:t>
      </w:r>
      <w:r w:rsidRPr="00A56250">
        <w:rPr>
          <w:rFonts w:ascii="MS Mincho" w:eastAsia="MS Mincho" w:hAnsi="MS Mincho" w:cs="MS Mincho"/>
          <w:i/>
          <w:iCs/>
          <w:sz w:val="18"/>
          <w:szCs w:val="18"/>
          <w:lang w:val="hy-AM"/>
        </w:rPr>
        <w:t>.</w:t>
      </w:r>
      <w:r w:rsidRPr="00A56250">
        <w:rPr>
          <w:i/>
          <w:iCs/>
          <w:sz w:val="18"/>
          <w:szCs w:val="18"/>
          <w:lang w:val="hy-AM"/>
        </w:rPr>
        <w:t xml:space="preserve"> </w:t>
      </w:r>
      <w:r w:rsidRPr="00A56250">
        <w:rPr>
          <w:rFonts w:cs="GHEA Grapalat"/>
          <w:i/>
          <w:iCs/>
          <w:sz w:val="18"/>
          <w:szCs w:val="18"/>
          <w:lang w:val="hy-AM"/>
        </w:rPr>
        <w:t>դրա</w:t>
      </w:r>
      <w:r w:rsidRPr="00A56250">
        <w:rPr>
          <w:i/>
          <w:iCs/>
          <w:sz w:val="18"/>
          <w:szCs w:val="18"/>
          <w:lang w:val="hy-AM"/>
        </w:rPr>
        <w:t>մ</w:t>
      </w:r>
    </w:p>
    <w:tbl>
      <w:tblPr>
        <w:tblW w:w="9882" w:type="dxa"/>
        <w:tblLook w:val="04A0" w:firstRow="1" w:lastRow="0" w:firstColumn="1" w:lastColumn="0" w:noHBand="0" w:noVBand="1"/>
      </w:tblPr>
      <w:tblGrid>
        <w:gridCol w:w="2628"/>
        <w:gridCol w:w="1581"/>
        <w:gridCol w:w="1423"/>
        <w:gridCol w:w="1375"/>
        <w:gridCol w:w="1421"/>
        <w:gridCol w:w="1454"/>
      </w:tblGrid>
      <w:tr w:rsidR="00AE0F80" w:rsidRPr="00A56250" w:rsidTr="009F0F78">
        <w:trPr>
          <w:trHeight w:val="960"/>
        </w:trPr>
        <w:tc>
          <w:tcPr>
            <w:tcW w:w="2628" w:type="dxa"/>
            <w:tcBorders>
              <w:top w:val="single" w:sz="8" w:space="0" w:color="auto"/>
              <w:left w:val="single" w:sz="8" w:space="0" w:color="auto"/>
              <w:bottom w:val="single" w:sz="8" w:space="0" w:color="auto"/>
              <w:right w:val="single" w:sz="4" w:space="0" w:color="auto"/>
            </w:tcBorders>
            <w:shd w:val="clear" w:color="auto" w:fill="4F81BD" w:themeFill="accent1"/>
            <w:noWrap/>
            <w:hideMark/>
          </w:tcPr>
          <w:p w:rsidR="00AE0F80" w:rsidRPr="00A56250" w:rsidRDefault="00AE0F80" w:rsidP="009F0F78">
            <w:pPr>
              <w:spacing w:before="0" w:line="276" w:lineRule="auto"/>
              <w:ind w:firstLine="0"/>
              <w:jc w:val="center"/>
              <w:rPr>
                <w:rFonts w:ascii="Calibri" w:hAnsi="Calibri" w:cs="Calibri"/>
                <w:bCs/>
                <w:color w:val="000000"/>
                <w:sz w:val="18"/>
                <w:szCs w:val="18"/>
                <w:lang w:val="hy-AM"/>
              </w:rPr>
            </w:pPr>
            <w:r w:rsidRPr="00A56250">
              <w:rPr>
                <w:rFonts w:ascii="Calibri" w:hAnsi="Calibri" w:cs="Calibri"/>
                <w:bCs/>
                <w:color w:val="000000"/>
                <w:sz w:val="18"/>
                <w:szCs w:val="18"/>
                <w:lang w:val="hy-AM"/>
              </w:rPr>
              <w:t> </w:t>
            </w:r>
          </w:p>
          <w:p w:rsidR="00AE0F80" w:rsidRPr="00A56250" w:rsidRDefault="00AE0F80" w:rsidP="009F0F78">
            <w:pPr>
              <w:spacing w:before="0" w:line="276" w:lineRule="auto"/>
              <w:ind w:firstLine="0"/>
              <w:jc w:val="center"/>
              <w:rPr>
                <w:b w:val="0"/>
                <w:bCs/>
                <w:color w:val="000000"/>
                <w:sz w:val="18"/>
                <w:szCs w:val="18"/>
                <w:lang w:val="hy-AM"/>
              </w:rPr>
            </w:pPr>
            <w:r w:rsidRPr="00A56250">
              <w:rPr>
                <w:rFonts w:cs="Sylfaen"/>
                <w:color w:val="FFFFFF" w:themeColor="background1"/>
                <w:sz w:val="20"/>
                <w:lang w:val="hy-AM"/>
              </w:rPr>
              <w:t>Ցուցանիշներ</w:t>
            </w:r>
          </w:p>
        </w:tc>
        <w:tc>
          <w:tcPr>
            <w:tcW w:w="1581" w:type="dxa"/>
            <w:tcBorders>
              <w:top w:val="single" w:sz="8" w:space="0" w:color="auto"/>
              <w:left w:val="nil"/>
              <w:bottom w:val="single" w:sz="8" w:space="0" w:color="auto"/>
              <w:right w:val="single" w:sz="4" w:space="0" w:color="auto"/>
            </w:tcBorders>
            <w:shd w:val="clear" w:color="auto" w:fill="4F81BD" w:themeFill="accent1"/>
            <w:vAlign w:val="center"/>
            <w:hideMark/>
          </w:tcPr>
          <w:p w:rsidR="00AE0F80" w:rsidRPr="00A56250" w:rsidRDefault="00AE0F80" w:rsidP="009F0F78">
            <w:pPr>
              <w:spacing w:before="0" w:line="276" w:lineRule="auto"/>
              <w:ind w:firstLine="0"/>
              <w:jc w:val="center"/>
              <w:rPr>
                <w:b w:val="0"/>
                <w:bCs/>
                <w:color w:val="FFFFFF" w:themeColor="background1"/>
                <w:sz w:val="18"/>
                <w:szCs w:val="18"/>
                <w:lang w:val="hy-AM"/>
              </w:rPr>
            </w:pPr>
            <w:r w:rsidRPr="00A56250">
              <w:rPr>
                <w:bCs/>
                <w:color w:val="FFFFFF" w:themeColor="background1"/>
                <w:sz w:val="18"/>
                <w:szCs w:val="18"/>
                <w:lang w:val="hy-AM"/>
              </w:rPr>
              <w:t>2017 թվական փաստայի</w:t>
            </w:r>
          </w:p>
        </w:tc>
        <w:tc>
          <w:tcPr>
            <w:tcW w:w="1423" w:type="dxa"/>
            <w:tcBorders>
              <w:top w:val="single" w:sz="8" w:space="0" w:color="auto"/>
              <w:left w:val="nil"/>
              <w:bottom w:val="single" w:sz="8" w:space="0" w:color="auto"/>
              <w:right w:val="single" w:sz="4" w:space="0" w:color="auto"/>
            </w:tcBorders>
            <w:shd w:val="clear" w:color="auto" w:fill="4F81BD" w:themeFill="accent1"/>
            <w:vAlign w:val="center"/>
            <w:hideMark/>
          </w:tcPr>
          <w:p w:rsidR="00AE0F80" w:rsidRPr="00A56250" w:rsidRDefault="00AE0F80" w:rsidP="009F0F78">
            <w:pPr>
              <w:spacing w:before="0" w:line="276" w:lineRule="auto"/>
              <w:ind w:firstLine="0"/>
              <w:jc w:val="center"/>
              <w:rPr>
                <w:b w:val="0"/>
                <w:bCs/>
                <w:color w:val="FFFFFF" w:themeColor="background1"/>
                <w:sz w:val="18"/>
                <w:szCs w:val="18"/>
                <w:lang w:val="hy-AM"/>
              </w:rPr>
            </w:pPr>
            <w:r w:rsidRPr="00A56250">
              <w:rPr>
                <w:bCs/>
                <w:color w:val="FFFFFF" w:themeColor="background1"/>
                <w:sz w:val="18"/>
                <w:szCs w:val="18"/>
                <w:lang w:val="hy-AM"/>
              </w:rPr>
              <w:t>2018 թվական փաստայի</w:t>
            </w:r>
          </w:p>
        </w:tc>
        <w:tc>
          <w:tcPr>
            <w:tcW w:w="1375" w:type="dxa"/>
            <w:tcBorders>
              <w:top w:val="single" w:sz="8" w:space="0" w:color="auto"/>
              <w:left w:val="nil"/>
              <w:bottom w:val="single" w:sz="8" w:space="0" w:color="auto"/>
              <w:right w:val="single" w:sz="4" w:space="0" w:color="auto"/>
            </w:tcBorders>
            <w:shd w:val="clear" w:color="auto" w:fill="4F81BD" w:themeFill="accent1"/>
            <w:vAlign w:val="center"/>
            <w:hideMark/>
          </w:tcPr>
          <w:p w:rsidR="00AE0F80" w:rsidRPr="00A56250" w:rsidRDefault="00AE0F80" w:rsidP="009F0F78">
            <w:pPr>
              <w:spacing w:before="0" w:line="276" w:lineRule="auto"/>
              <w:ind w:firstLine="0"/>
              <w:jc w:val="center"/>
              <w:rPr>
                <w:b w:val="0"/>
                <w:bCs/>
                <w:color w:val="FFFFFF" w:themeColor="background1"/>
                <w:sz w:val="18"/>
                <w:szCs w:val="18"/>
                <w:lang w:val="hy-AM"/>
              </w:rPr>
            </w:pPr>
            <w:r w:rsidRPr="00A56250">
              <w:rPr>
                <w:bCs/>
                <w:color w:val="FFFFFF" w:themeColor="background1"/>
                <w:sz w:val="18"/>
                <w:szCs w:val="18"/>
                <w:lang w:val="hy-AM"/>
              </w:rPr>
              <w:t>2019 թվական փաստայի</w:t>
            </w:r>
          </w:p>
        </w:tc>
        <w:tc>
          <w:tcPr>
            <w:tcW w:w="1421" w:type="dxa"/>
            <w:tcBorders>
              <w:top w:val="single" w:sz="8" w:space="0" w:color="auto"/>
              <w:left w:val="nil"/>
              <w:bottom w:val="single" w:sz="8" w:space="0" w:color="auto"/>
              <w:right w:val="single" w:sz="4" w:space="0" w:color="auto"/>
            </w:tcBorders>
            <w:shd w:val="clear" w:color="auto" w:fill="4F81BD" w:themeFill="accent1"/>
            <w:vAlign w:val="center"/>
            <w:hideMark/>
          </w:tcPr>
          <w:p w:rsidR="00AE0F80" w:rsidRPr="00A56250" w:rsidRDefault="00AE0F80" w:rsidP="009F0F78">
            <w:pPr>
              <w:spacing w:before="0" w:line="276" w:lineRule="auto"/>
              <w:ind w:firstLine="0"/>
              <w:jc w:val="center"/>
              <w:rPr>
                <w:b w:val="0"/>
                <w:bCs/>
                <w:color w:val="FFFFFF" w:themeColor="background1"/>
                <w:sz w:val="18"/>
                <w:szCs w:val="18"/>
                <w:lang w:val="hy-AM"/>
              </w:rPr>
            </w:pPr>
            <w:r w:rsidRPr="00A56250">
              <w:rPr>
                <w:bCs/>
                <w:color w:val="FFFFFF" w:themeColor="background1"/>
                <w:sz w:val="18"/>
                <w:szCs w:val="18"/>
                <w:lang w:val="hy-AM"/>
              </w:rPr>
              <w:t>2020 թվական հաստ</w:t>
            </w:r>
            <w:r>
              <w:rPr>
                <w:bCs/>
                <w:color w:val="FFFFFF" w:themeColor="background1"/>
                <w:sz w:val="18"/>
                <w:szCs w:val="18"/>
                <w:lang w:val="hy-AM"/>
              </w:rPr>
              <w:t>-</w:t>
            </w:r>
            <w:r w:rsidRPr="00A56250">
              <w:rPr>
                <w:bCs/>
                <w:color w:val="FFFFFF" w:themeColor="background1"/>
                <w:sz w:val="18"/>
                <w:szCs w:val="18"/>
                <w:lang w:val="hy-AM"/>
              </w:rPr>
              <w:t>ատված</w:t>
            </w:r>
          </w:p>
        </w:tc>
        <w:tc>
          <w:tcPr>
            <w:tcW w:w="1454" w:type="dxa"/>
            <w:tcBorders>
              <w:top w:val="single" w:sz="8" w:space="0" w:color="auto"/>
              <w:left w:val="nil"/>
              <w:bottom w:val="single" w:sz="8" w:space="0" w:color="auto"/>
              <w:right w:val="single" w:sz="8" w:space="0" w:color="auto"/>
            </w:tcBorders>
            <w:shd w:val="clear" w:color="auto" w:fill="4F81BD" w:themeFill="accent1"/>
            <w:vAlign w:val="center"/>
            <w:hideMark/>
          </w:tcPr>
          <w:p w:rsidR="00AE0F80" w:rsidRPr="00A56250" w:rsidRDefault="00AE0F80" w:rsidP="009F0F78">
            <w:pPr>
              <w:spacing w:before="0" w:line="276" w:lineRule="auto"/>
              <w:ind w:firstLine="0"/>
              <w:jc w:val="center"/>
              <w:rPr>
                <w:b w:val="0"/>
                <w:bCs/>
                <w:color w:val="FFFFFF" w:themeColor="background1"/>
                <w:sz w:val="18"/>
                <w:szCs w:val="18"/>
                <w:lang w:val="hy-AM"/>
              </w:rPr>
            </w:pPr>
            <w:r w:rsidRPr="00A56250">
              <w:rPr>
                <w:bCs/>
                <w:color w:val="FFFFFF" w:themeColor="background1"/>
                <w:sz w:val="18"/>
                <w:szCs w:val="18"/>
                <w:lang w:val="hy-AM"/>
              </w:rPr>
              <w:t>2021 թվական նախագիծ</w:t>
            </w:r>
          </w:p>
        </w:tc>
      </w:tr>
      <w:tr w:rsidR="00AE0F80" w:rsidRPr="007F7348" w:rsidTr="009F0F78">
        <w:trPr>
          <w:trHeight w:val="420"/>
        </w:trPr>
        <w:tc>
          <w:tcPr>
            <w:tcW w:w="2628"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rsidR="00AE0F80" w:rsidRPr="00A56250" w:rsidRDefault="00AE0F80" w:rsidP="009F0F78">
            <w:pPr>
              <w:spacing w:before="0" w:line="276" w:lineRule="auto"/>
              <w:ind w:firstLine="0"/>
              <w:jc w:val="left"/>
              <w:rPr>
                <w:b w:val="0"/>
                <w:bCs/>
                <w:color w:val="000000"/>
                <w:sz w:val="20"/>
                <w:szCs w:val="20"/>
                <w:lang w:val="hy-AM"/>
              </w:rPr>
            </w:pPr>
            <w:r w:rsidRPr="00A56250">
              <w:rPr>
                <w:bCs/>
                <w:color w:val="000000"/>
                <w:sz w:val="20"/>
                <w:szCs w:val="20"/>
                <w:lang w:val="hy-AM"/>
              </w:rPr>
              <w:t>ԸՆԴԱՄԵՆԸ</w:t>
            </w:r>
          </w:p>
        </w:tc>
        <w:tc>
          <w:tcPr>
            <w:tcW w:w="1581" w:type="dxa"/>
            <w:tcBorders>
              <w:top w:val="nil"/>
              <w:left w:val="nil"/>
              <w:bottom w:val="single" w:sz="4" w:space="0" w:color="auto"/>
              <w:right w:val="single" w:sz="4" w:space="0" w:color="auto"/>
            </w:tcBorders>
            <w:shd w:val="clear" w:color="auto" w:fill="DBE5F1" w:themeFill="accent1" w:themeFillTint="33"/>
            <w:vAlign w:val="center"/>
            <w:hideMark/>
          </w:tcPr>
          <w:p w:rsidR="00AE0F80" w:rsidRPr="00930860" w:rsidRDefault="00AE0F80" w:rsidP="009F0F78">
            <w:pPr>
              <w:spacing w:before="0" w:line="276" w:lineRule="auto"/>
              <w:ind w:firstLine="0"/>
              <w:jc w:val="center"/>
              <w:rPr>
                <w:b w:val="0"/>
                <w:bCs/>
                <w:color w:val="000000"/>
                <w:sz w:val="18"/>
                <w:szCs w:val="18"/>
              </w:rPr>
            </w:pPr>
            <w:r w:rsidRPr="00A56250">
              <w:rPr>
                <w:bCs/>
                <w:color w:val="000000"/>
                <w:sz w:val="18"/>
                <w:szCs w:val="18"/>
                <w:lang w:val="hy-AM"/>
              </w:rPr>
              <w:t>5</w:t>
            </w:r>
            <w:r w:rsidRPr="00930860">
              <w:rPr>
                <w:bCs/>
                <w:color w:val="000000"/>
                <w:sz w:val="18"/>
                <w:szCs w:val="18"/>
              </w:rPr>
              <w:t xml:space="preserve">8,005,930.5 </w:t>
            </w:r>
          </w:p>
        </w:tc>
        <w:tc>
          <w:tcPr>
            <w:tcW w:w="1423" w:type="dxa"/>
            <w:tcBorders>
              <w:top w:val="nil"/>
              <w:left w:val="nil"/>
              <w:bottom w:val="single" w:sz="4" w:space="0" w:color="auto"/>
              <w:right w:val="single" w:sz="4" w:space="0" w:color="auto"/>
            </w:tcBorders>
            <w:shd w:val="clear" w:color="auto" w:fill="DBE5F1" w:themeFill="accent1" w:themeFillTint="33"/>
            <w:vAlign w:val="center"/>
            <w:hideMark/>
          </w:tcPr>
          <w:p w:rsidR="00AE0F80" w:rsidRPr="00930860" w:rsidRDefault="00AE0F80" w:rsidP="009F0F78">
            <w:pPr>
              <w:spacing w:before="0" w:line="276" w:lineRule="auto"/>
              <w:ind w:firstLine="0"/>
              <w:jc w:val="center"/>
              <w:rPr>
                <w:b w:val="0"/>
                <w:bCs/>
                <w:color w:val="000000"/>
                <w:sz w:val="18"/>
                <w:szCs w:val="18"/>
              </w:rPr>
            </w:pPr>
            <w:r w:rsidRPr="00930860">
              <w:rPr>
                <w:bCs/>
                <w:color w:val="000000"/>
                <w:sz w:val="18"/>
                <w:szCs w:val="18"/>
              </w:rPr>
              <w:t xml:space="preserve">60,167,365.9 </w:t>
            </w:r>
          </w:p>
        </w:tc>
        <w:tc>
          <w:tcPr>
            <w:tcW w:w="1375" w:type="dxa"/>
            <w:tcBorders>
              <w:top w:val="nil"/>
              <w:left w:val="nil"/>
              <w:bottom w:val="single" w:sz="4" w:space="0" w:color="auto"/>
              <w:right w:val="single" w:sz="4" w:space="0" w:color="auto"/>
            </w:tcBorders>
            <w:shd w:val="clear" w:color="auto" w:fill="DBE5F1" w:themeFill="accent1" w:themeFillTint="33"/>
            <w:vAlign w:val="center"/>
            <w:hideMark/>
          </w:tcPr>
          <w:p w:rsidR="00AE0F80" w:rsidRPr="00930860" w:rsidRDefault="00AE0F80" w:rsidP="009F0F78">
            <w:pPr>
              <w:spacing w:before="0" w:line="276" w:lineRule="auto"/>
              <w:ind w:firstLine="0"/>
              <w:jc w:val="center"/>
              <w:rPr>
                <w:b w:val="0"/>
                <w:bCs/>
                <w:color w:val="000000"/>
                <w:sz w:val="18"/>
                <w:szCs w:val="18"/>
              </w:rPr>
            </w:pPr>
            <w:r w:rsidRPr="00930860">
              <w:rPr>
                <w:bCs/>
                <w:color w:val="000000"/>
                <w:sz w:val="18"/>
                <w:szCs w:val="18"/>
              </w:rPr>
              <w:t xml:space="preserve">67,606,297.1 </w:t>
            </w:r>
          </w:p>
        </w:tc>
        <w:tc>
          <w:tcPr>
            <w:tcW w:w="1421" w:type="dxa"/>
            <w:tcBorders>
              <w:top w:val="nil"/>
              <w:left w:val="nil"/>
              <w:bottom w:val="single" w:sz="4" w:space="0" w:color="auto"/>
              <w:right w:val="single" w:sz="4" w:space="0" w:color="auto"/>
            </w:tcBorders>
            <w:shd w:val="clear" w:color="auto" w:fill="DBE5F1" w:themeFill="accent1" w:themeFillTint="33"/>
            <w:vAlign w:val="center"/>
            <w:hideMark/>
          </w:tcPr>
          <w:p w:rsidR="00AE0F80" w:rsidRPr="00930860" w:rsidRDefault="00AE0F80" w:rsidP="009F0F78">
            <w:pPr>
              <w:spacing w:before="0" w:line="276" w:lineRule="auto"/>
              <w:ind w:firstLine="0"/>
              <w:jc w:val="center"/>
              <w:rPr>
                <w:b w:val="0"/>
                <w:bCs/>
                <w:color w:val="000000"/>
                <w:sz w:val="18"/>
                <w:szCs w:val="18"/>
              </w:rPr>
            </w:pPr>
            <w:r w:rsidRPr="00930860">
              <w:rPr>
                <w:bCs/>
                <w:color w:val="000000"/>
                <w:sz w:val="18"/>
                <w:szCs w:val="18"/>
              </w:rPr>
              <w:t xml:space="preserve">79,249,736.8 </w:t>
            </w:r>
          </w:p>
        </w:tc>
        <w:tc>
          <w:tcPr>
            <w:tcW w:w="1454" w:type="dxa"/>
            <w:tcBorders>
              <w:top w:val="nil"/>
              <w:left w:val="nil"/>
              <w:bottom w:val="single" w:sz="4" w:space="0" w:color="auto"/>
              <w:right w:val="single" w:sz="4" w:space="0" w:color="auto"/>
            </w:tcBorders>
            <w:shd w:val="clear" w:color="auto" w:fill="DBE5F1" w:themeFill="accent1" w:themeFillTint="33"/>
            <w:vAlign w:val="center"/>
            <w:hideMark/>
          </w:tcPr>
          <w:p w:rsidR="00AE0F80" w:rsidRPr="00930860" w:rsidRDefault="00AE0F80" w:rsidP="009F0F78">
            <w:pPr>
              <w:spacing w:before="0" w:line="276" w:lineRule="auto"/>
              <w:ind w:firstLine="0"/>
              <w:jc w:val="center"/>
              <w:rPr>
                <w:b w:val="0"/>
                <w:bCs/>
                <w:color w:val="000000"/>
                <w:sz w:val="18"/>
                <w:szCs w:val="18"/>
              </w:rPr>
            </w:pPr>
            <w:r w:rsidRPr="00930860">
              <w:rPr>
                <w:bCs/>
                <w:color w:val="000000"/>
                <w:sz w:val="18"/>
                <w:szCs w:val="18"/>
              </w:rPr>
              <w:t>82,</w:t>
            </w:r>
            <w:r>
              <w:rPr>
                <w:bCs/>
                <w:color w:val="000000"/>
                <w:sz w:val="18"/>
                <w:szCs w:val="18"/>
                <w:lang w:val="en-US"/>
              </w:rPr>
              <w:t>492</w:t>
            </w:r>
            <w:r w:rsidRPr="00930860">
              <w:rPr>
                <w:bCs/>
                <w:color w:val="000000"/>
                <w:sz w:val="18"/>
                <w:szCs w:val="18"/>
              </w:rPr>
              <w:t>,</w:t>
            </w:r>
            <w:r>
              <w:rPr>
                <w:bCs/>
                <w:color w:val="000000"/>
                <w:sz w:val="18"/>
                <w:szCs w:val="18"/>
                <w:lang w:val="en-US"/>
              </w:rPr>
              <w:t>153</w:t>
            </w:r>
            <w:r w:rsidRPr="00930860">
              <w:rPr>
                <w:bCs/>
                <w:color w:val="000000"/>
                <w:sz w:val="18"/>
                <w:szCs w:val="18"/>
              </w:rPr>
              <w:t xml:space="preserve">.7 </w:t>
            </w:r>
          </w:p>
        </w:tc>
      </w:tr>
      <w:tr w:rsidR="00AE0F80" w:rsidRPr="007F7348" w:rsidTr="009F0F78">
        <w:trPr>
          <w:trHeight w:val="540"/>
        </w:trPr>
        <w:tc>
          <w:tcPr>
            <w:tcW w:w="2628" w:type="dxa"/>
            <w:tcBorders>
              <w:top w:val="nil"/>
              <w:left w:val="single" w:sz="8" w:space="0" w:color="auto"/>
              <w:bottom w:val="single" w:sz="4" w:space="0" w:color="auto"/>
              <w:right w:val="single" w:sz="4" w:space="0" w:color="auto"/>
            </w:tcBorders>
            <w:shd w:val="clear" w:color="auto" w:fill="FFFFFF" w:themeFill="background1"/>
            <w:vAlign w:val="center"/>
            <w:hideMark/>
          </w:tcPr>
          <w:p w:rsidR="00AE0F80" w:rsidRPr="00930860" w:rsidRDefault="00AE0F80" w:rsidP="009F0F78">
            <w:pPr>
              <w:spacing w:before="0" w:line="276" w:lineRule="auto"/>
              <w:ind w:firstLine="0"/>
              <w:jc w:val="left"/>
              <w:rPr>
                <w:bCs/>
                <w:sz w:val="20"/>
                <w:szCs w:val="20"/>
              </w:rPr>
            </w:pPr>
            <w:r w:rsidRPr="00930860">
              <w:rPr>
                <w:bCs/>
                <w:sz w:val="20"/>
                <w:szCs w:val="20"/>
              </w:rPr>
              <w:t>Պետական բյուջեից համայնքների բյուջեներին ֆինանսական համահարթեցման սկզբունքով տրվող դոտացիաներ, որից</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i/>
                <w:iCs/>
                <w:sz w:val="18"/>
                <w:szCs w:val="18"/>
              </w:rPr>
            </w:pPr>
            <w:r w:rsidRPr="00930860">
              <w:rPr>
                <w:i/>
                <w:iCs/>
                <w:sz w:val="18"/>
                <w:szCs w:val="18"/>
              </w:rPr>
              <w:t xml:space="preserve">48,068,316.7 </w:t>
            </w:r>
          </w:p>
        </w:tc>
        <w:tc>
          <w:tcPr>
            <w:tcW w:w="1423" w:type="dxa"/>
            <w:tcBorders>
              <w:top w:val="nil"/>
              <w:left w:val="nil"/>
              <w:bottom w:val="single" w:sz="4" w:space="0" w:color="auto"/>
              <w:right w:val="single" w:sz="4"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i/>
                <w:iCs/>
                <w:sz w:val="18"/>
                <w:szCs w:val="18"/>
              </w:rPr>
            </w:pPr>
            <w:r w:rsidRPr="00930860">
              <w:rPr>
                <w:i/>
                <w:iCs/>
                <w:sz w:val="18"/>
                <w:szCs w:val="18"/>
              </w:rPr>
              <w:t xml:space="preserve">48,232,000.0 </w:t>
            </w:r>
          </w:p>
        </w:tc>
        <w:tc>
          <w:tcPr>
            <w:tcW w:w="1375" w:type="dxa"/>
            <w:tcBorders>
              <w:top w:val="nil"/>
              <w:left w:val="nil"/>
              <w:bottom w:val="single" w:sz="4" w:space="0" w:color="auto"/>
              <w:right w:val="single" w:sz="4"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i/>
                <w:iCs/>
                <w:sz w:val="18"/>
                <w:szCs w:val="18"/>
              </w:rPr>
            </w:pPr>
            <w:r w:rsidRPr="00930860">
              <w:rPr>
                <w:i/>
                <w:iCs/>
                <w:sz w:val="18"/>
                <w:szCs w:val="18"/>
              </w:rPr>
              <w:t xml:space="preserve">51,071,361.3 </w:t>
            </w:r>
          </w:p>
        </w:tc>
        <w:tc>
          <w:tcPr>
            <w:tcW w:w="1421" w:type="dxa"/>
            <w:tcBorders>
              <w:top w:val="nil"/>
              <w:left w:val="nil"/>
              <w:bottom w:val="single" w:sz="4" w:space="0" w:color="auto"/>
              <w:right w:val="single" w:sz="4"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sz w:val="18"/>
                <w:szCs w:val="18"/>
              </w:rPr>
            </w:pPr>
            <w:r w:rsidRPr="00930860">
              <w:rPr>
                <w:sz w:val="18"/>
                <w:szCs w:val="18"/>
              </w:rPr>
              <w:t xml:space="preserve">55,378,535.0 </w:t>
            </w:r>
          </w:p>
        </w:tc>
        <w:tc>
          <w:tcPr>
            <w:tcW w:w="1454" w:type="dxa"/>
            <w:tcBorders>
              <w:top w:val="nil"/>
              <w:left w:val="nil"/>
              <w:bottom w:val="single" w:sz="4" w:space="0" w:color="auto"/>
              <w:right w:val="single" w:sz="8"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sz w:val="18"/>
                <w:szCs w:val="18"/>
              </w:rPr>
            </w:pPr>
            <w:r w:rsidRPr="00930860">
              <w:rPr>
                <w:sz w:val="18"/>
                <w:szCs w:val="18"/>
              </w:rPr>
              <w:t xml:space="preserve">64,596,984.0 </w:t>
            </w:r>
          </w:p>
        </w:tc>
      </w:tr>
      <w:tr w:rsidR="00AE0F80" w:rsidRPr="007F7348" w:rsidTr="009F0F78">
        <w:trPr>
          <w:trHeight w:val="540"/>
        </w:trPr>
        <w:tc>
          <w:tcPr>
            <w:tcW w:w="2628" w:type="dxa"/>
            <w:tcBorders>
              <w:top w:val="nil"/>
              <w:left w:val="single" w:sz="8" w:space="0" w:color="auto"/>
              <w:bottom w:val="single" w:sz="4" w:space="0" w:color="auto"/>
              <w:right w:val="single" w:sz="4" w:space="0" w:color="auto"/>
            </w:tcBorders>
            <w:shd w:val="clear" w:color="000000" w:fill="DCE6F1"/>
            <w:vAlign w:val="center"/>
            <w:hideMark/>
          </w:tcPr>
          <w:p w:rsidR="00AE0F80" w:rsidRPr="00930860" w:rsidRDefault="00AE0F80" w:rsidP="009F0F78">
            <w:pPr>
              <w:spacing w:before="0" w:line="276" w:lineRule="auto"/>
              <w:ind w:firstLine="0"/>
              <w:jc w:val="left"/>
              <w:rPr>
                <w:b w:val="0"/>
                <w:i/>
                <w:iCs/>
                <w:sz w:val="20"/>
                <w:szCs w:val="20"/>
              </w:rPr>
            </w:pPr>
            <w:r w:rsidRPr="00930860">
              <w:rPr>
                <w:b w:val="0"/>
                <w:i/>
                <w:iCs/>
                <w:sz w:val="20"/>
                <w:szCs w:val="20"/>
              </w:rPr>
              <w:t>Օրենքների կիրարկման արդյունքում համայնքների բյուջեների կորուստների փոխհատուցում</w:t>
            </w:r>
          </w:p>
        </w:tc>
        <w:tc>
          <w:tcPr>
            <w:tcW w:w="1581"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b w:val="0"/>
                <w:i/>
                <w:iCs/>
                <w:sz w:val="18"/>
                <w:szCs w:val="18"/>
              </w:rPr>
              <w:t xml:space="preserve">52,021.3 </w:t>
            </w:r>
          </w:p>
        </w:tc>
        <w:tc>
          <w:tcPr>
            <w:tcW w:w="1423"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b w:val="0"/>
                <w:i/>
                <w:iCs/>
                <w:sz w:val="18"/>
                <w:szCs w:val="18"/>
              </w:rPr>
              <w:t xml:space="preserve">67,892.9 </w:t>
            </w:r>
          </w:p>
        </w:tc>
        <w:tc>
          <w:tcPr>
            <w:tcW w:w="1375"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b w:val="0"/>
                <w:i/>
                <w:iCs/>
                <w:sz w:val="18"/>
                <w:szCs w:val="18"/>
              </w:rPr>
              <w:t xml:space="preserve">77,853.5 </w:t>
            </w:r>
          </w:p>
        </w:tc>
        <w:tc>
          <w:tcPr>
            <w:tcW w:w="1421"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b w:val="0"/>
                <w:i/>
                <w:iCs/>
                <w:sz w:val="18"/>
                <w:szCs w:val="18"/>
              </w:rPr>
              <w:t xml:space="preserve">66,273.3 </w:t>
            </w:r>
          </w:p>
        </w:tc>
        <w:tc>
          <w:tcPr>
            <w:tcW w:w="1454" w:type="dxa"/>
            <w:tcBorders>
              <w:top w:val="nil"/>
              <w:left w:val="nil"/>
              <w:bottom w:val="single" w:sz="4" w:space="0" w:color="auto"/>
              <w:right w:val="single" w:sz="8"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b w:val="0"/>
                <w:i/>
                <w:iCs/>
                <w:sz w:val="18"/>
                <w:szCs w:val="18"/>
              </w:rPr>
              <w:t xml:space="preserve">59,819.5 </w:t>
            </w:r>
          </w:p>
        </w:tc>
      </w:tr>
      <w:tr w:rsidR="00AE0F80" w:rsidRPr="007F7348" w:rsidTr="009F0F78">
        <w:trPr>
          <w:trHeight w:val="270"/>
        </w:trPr>
        <w:tc>
          <w:tcPr>
            <w:tcW w:w="2628" w:type="dxa"/>
            <w:tcBorders>
              <w:top w:val="nil"/>
              <w:left w:val="single" w:sz="8" w:space="0" w:color="auto"/>
              <w:bottom w:val="single" w:sz="4" w:space="0" w:color="auto"/>
              <w:right w:val="single" w:sz="4" w:space="0" w:color="auto"/>
            </w:tcBorders>
            <w:shd w:val="clear" w:color="auto" w:fill="FFFFFF" w:themeFill="background1"/>
            <w:vAlign w:val="center"/>
            <w:hideMark/>
          </w:tcPr>
          <w:p w:rsidR="00AE0F80" w:rsidRPr="00930860" w:rsidRDefault="00AE0F80" w:rsidP="009F0F78">
            <w:pPr>
              <w:spacing w:before="0" w:line="276" w:lineRule="auto"/>
              <w:ind w:firstLine="0"/>
              <w:jc w:val="left"/>
              <w:rPr>
                <w:b w:val="0"/>
                <w:bCs/>
                <w:sz w:val="20"/>
                <w:szCs w:val="20"/>
              </w:rPr>
            </w:pPr>
            <w:r w:rsidRPr="00930860">
              <w:rPr>
                <w:bCs/>
                <w:sz w:val="20"/>
                <w:szCs w:val="20"/>
              </w:rPr>
              <w:t>Այլ ընթացիկ դրամաշնորհներ համայնքներին, որից</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i/>
                <w:iCs/>
                <w:sz w:val="18"/>
                <w:szCs w:val="18"/>
              </w:rPr>
            </w:pPr>
            <w:r w:rsidRPr="00930860">
              <w:rPr>
                <w:i/>
                <w:iCs/>
                <w:sz w:val="18"/>
                <w:szCs w:val="18"/>
              </w:rPr>
              <w:t xml:space="preserve">9,000.0 </w:t>
            </w:r>
          </w:p>
        </w:tc>
        <w:tc>
          <w:tcPr>
            <w:tcW w:w="1423" w:type="dxa"/>
            <w:tcBorders>
              <w:top w:val="nil"/>
              <w:left w:val="nil"/>
              <w:bottom w:val="single" w:sz="4" w:space="0" w:color="auto"/>
              <w:right w:val="single" w:sz="8"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i/>
                <w:iCs/>
                <w:sz w:val="18"/>
                <w:szCs w:val="18"/>
              </w:rPr>
            </w:pPr>
            <w:r w:rsidRPr="00930860">
              <w:rPr>
                <w:i/>
                <w:iCs/>
                <w:sz w:val="18"/>
                <w:szCs w:val="18"/>
              </w:rPr>
              <w:t xml:space="preserve">2,168.4 </w:t>
            </w:r>
          </w:p>
        </w:tc>
        <w:tc>
          <w:tcPr>
            <w:tcW w:w="1375" w:type="dxa"/>
            <w:tcBorders>
              <w:top w:val="nil"/>
              <w:left w:val="single" w:sz="4" w:space="0" w:color="auto"/>
              <w:bottom w:val="single" w:sz="4" w:space="0" w:color="auto"/>
              <w:right w:val="single" w:sz="8"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i/>
                <w:iCs/>
                <w:sz w:val="18"/>
                <w:szCs w:val="18"/>
              </w:rPr>
            </w:pPr>
            <w:r w:rsidRPr="00930860">
              <w:rPr>
                <w:i/>
                <w:iCs/>
                <w:sz w:val="18"/>
                <w:szCs w:val="18"/>
              </w:rPr>
              <w:t xml:space="preserve">2,242.0 </w:t>
            </w:r>
          </w:p>
        </w:tc>
        <w:tc>
          <w:tcPr>
            <w:tcW w:w="1421" w:type="dxa"/>
            <w:tcBorders>
              <w:top w:val="nil"/>
              <w:left w:val="single" w:sz="4" w:space="0" w:color="auto"/>
              <w:bottom w:val="single" w:sz="4" w:space="0" w:color="auto"/>
              <w:right w:val="single" w:sz="8"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sz w:val="18"/>
                <w:szCs w:val="18"/>
              </w:rPr>
            </w:pPr>
            <w:r w:rsidRPr="00930860">
              <w:rPr>
                <w:sz w:val="18"/>
                <w:szCs w:val="18"/>
              </w:rPr>
              <w:t xml:space="preserve">3,488,232.1 </w:t>
            </w:r>
          </w:p>
        </w:tc>
        <w:tc>
          <w:tcPr>
            <w:tcW w:w="1454" w:type="dxa"/>
            <w:tcBorders>
              <w:top w:val="nil"/>
              <w:left w:val="single" w:sz="4" w:space="0" w:color="auto"/>
              <w:bottom w:val="single" w:sz="4" w:space="0" w:color="auto"/>
              <w:right w:val="single" w:sz="8"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i/>
                <w:iCs/>
                <w:sz w:val="18"/>
                <w:szCs w:val="18"/>
              </w:rPr>
            </w:pPr>
            <w:r w:rsidRPr="00930860">
              <w:rPr>
                <w:i/>
                <w:iCs/>
                <w:sz w:val="18"/>
                <w:szCs w:val="18"/>
              </w:rPr>
              <w:t xml:space="preserve">2,168.4 </w:t>
            </w:r>
          </w:p>
        </w:tc>
      </w:tr>
      <w:tr w:rsidR="00AE0F80" w:rsidRPr="007F7348" w:rsidTr="009F0F78">
        <w:trPr>
          <w:trHeight w:val="750"/>
        </w:trPr>
        <w:tc>
          <w:tcPr>
            <w:tcW w:w="2628" w:type="dxa"/>
            <w:tcBorders>
              <w:top w:val="nil"/>
              <w:left w:val="single" w:sz="8" w:space="0" w:color="auto"/>
              <w:bottom w:val="single" w:sz="4" w:space="0" w:color="auto"/>
              <w:right w:val="single" w:sz="4" w:space="0" w:color="auto"/>
            </w:tcBorders>
            <w:shd w:val="clear" w:color="000000" w:fill="DCE6F1"/>
            <w:vAlign w:val="center"/>
            <w:hideMark/>
          </w:tcPr>
          <w:p w:rsidR="00AE0F80" w:rsidRPr="00930860" w:rsidRDefault="00AE0F80" w:rsidP="009F0F78">
            <w:pPr>
              <w:spacing w:before="0" w:line="276" w:lineRule="auto"/>
              <w:ind w:firstLine="0"/>
              <w:jc w:val="left"/>
              <w:rPr>
                <w:b w:val="0"/>
                <w:i/>
                <w:iCs/>
                <w:sz w:val="20"/>
                <w:szCs w:val="20"/>
              </w:rPr>
            </w:pPr>
            <w:r w:rsidRPr="00930860">
              <w:rPr>
                <w:b w:val="0"/>
                <w:i/>
                <w:iCs/>
                <w:sz w:val="20"/>
                <w:szCs w:val="20"/>
              </w:rPr>
              <w:t>«Նվազագույն ամսական աշխատավարձի մասին» օրենքի կիրարկմամբ պայմանավորված ֆինանսական փոխհա</w:t>
            </w:r>
            <w:r>
              <w:rPr>
                <w:b w:val="0"/>
                <w:i/>
                <w:iCs/>
                <w:sz w:val="20"/>
                <w:szCs w:val="20"/>
              </w:rPr>
              <w:softHyphen/>
            </w:r>
            <w:r w:rsidRPr="00930860">
              <w:rPr>
                <w:b w:val="0"/>
                <w:i/>
                <w:iCs/>
                <w:sz w:val="20"/>
                <w:szCs w:val="20"/>
              </w:rPr>
              <w:t>տուցում տեղական ինքնակառավարման մարմիններին</w:t>
            </w:r>
          </w:p>
        </w:tc>
        <w:tc>
          <w:tcPr>
            <w:tcW w:w="1581"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rFonts w:ascii="Calibri" w:hAnsi="Calibri" w:cs="Calibri"/>
                <w:b w:val="0"/>
                <w:i/>
                <w:iCs/>
                <w:sz w:val="18"/>
                <w:szCs w:val="18"/>
              </w:rPr>
              <w:t> </w:t>
            </w:r>
          </w:p>
        </w:tc>
        <w:tc>
          <w:tcPr>
            <w:tcW w:w="1423"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rFonts w:ascii="Calibri" w:hAnsi="Calibri" w:cs="Calibri"/>
                <w:b w:val="0"/>
                <w:i/>
                <w:iCs/>
                <w:sz w:val="18"/>
                <w:szCs w:val="18"/>
              </w:rPr>
              <w:t> </w:t>
            </w:r>
          </w:p>
        </w:tc>
        <w:tc>
          <w:tcPr>
            <w:tcW w:w="1375"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rFonts w:ascii="Calibri" w:hAnsi="Calibri" w:cs="Calibri"/>
                <w:b w:val="0"/>
                <w:i/>
                <w:iCs/>
                <w:sz w:val="18"/>
                <w:szCs w:val="18"/>
              </w:rPr>
              <w:t> </w:t>
            </w:r>
          </w:p>
        </w:tc>
        <w:tc>
          <w:tcPr>
            <w:tcW w:w="1421"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sz w:val="18"/>
                <w:szCs w:val="18"/>
              </w:rPr>
            </w:pPr>
            <w:r w:rsidRPr="00930860">
              <w:rPr>
                <w:b w:val="0"/>
                <w:sz w:val="18"/>
                <w:szCs w:val="18"/>
              </w:rPr>
              <w:t xml:space="preserve">3,486,363.7 </w:t>
            </w:r>
          </w:p>
        </w:tc>
        <w:tc>
          <w:tcPr>
            <w:tcW w:w="1454" w:type="dxa"/>
            <w:tcBorders>
              <w:top w:val="nil"/>
              <w:left w:val="nil"/>
              <w:bottom w:val="single" w:sz="4" w:space="0" w:color="auto"/>
              <w:right w:val="single" w:sz="8" w:space="0" w:color="auto"/>
            </w:tcBorders>
            <w:shd w:val="clear" w:color="000000" w:fill="DCE6F1"/>
            <w:noWrap/>
            <w:vAlign w:val="center"/>
            <w:hideMark/>
          </w:tcPr>
          <w:p w:rsidR="00AE0F80" w:rsidRPr="00930860" w:rsidRDefault="00AE0F80" w:rsidP="009F0F78">
            <w:pPr>
              <w:spacing w:before="0" w:line="276" w:lineRule="auto"/>
              <w:ind w:firstLine="0"/>
              <w:jc w:val="right"/>
              <w:rPr>
                <w:b w:val="0"/>
                <w:sz w:val="18"/>
                <w:szCs w:val="18"/>
              </w:rPr>
            </w:pPr>
            <w:r w:rsidRPr="00930860">
              <w:rPr>
                <w:rFonts w:ascii="Calibri" w:hAnsi="Calibri" w:cs="Calibri"/>
                <w:b w:val="0"/>
                <w:sz w:val="18"/>
                <w:szCs w:val="18"/>
              </w:rPr>
              <w:t> </w:t>
            </w:r>
          </w:p>
        </w:tc>
      </w:tr>
      <w:tr w:rsidR="00AE0F80" w:rsidRPr="007F7348" w:rsidTr="009F0F78">
        <w:trPr>
          <w:trHeight w:val="270"/>
        </w:trPr>
        <w:tc>
          <w:tcPr>
            <w:tcW w:w="2628" w:type="dxa"/>
            <w:tcBorders>
              <w:top w:val="nil"/>
              <w:left w:val="single" w:sz="8" w:space="0" w:color="auto"/>
              <w:bottom w:val="single" w:sz="4" w:space="0" w:color="auto"/>
              <w:right w:val="single" w:sz="4" w:space="0" w:color="auto"/>
            </w:tcBorders>
            <w:shd w:val="clear" w:color="auto" w:fill="FFFFFF" w:themeFill="background1"/>
            <w:vAlign w:val="center"/>
            <w:hideMark/>
          </w:tcPr>
          <w:p w:rsidR="00AE0F80" w:rsidRPr="00930860" w:rsidRDefault="00AE0F80" w:rsidP="009F0F78">
            <w:pPr>
              <w:spacing w:before="0" w:line="276" w:lineRule="auto"/>
              <w:ind w:firstLine="0"/>
              <w:jc w:val="left"/>
              <w:rPr>
                <w:bCs/>
                <w:sz w:val="20"/>
                <w:szCs w:val="20"/>
              </w:rPr>
            </w:pPr>
            <w:r w:rsidRPr="00930860">
              <w:rPr>
                <w:bCs/>
                <w:sz w:val="20"/>
                <w:szCs w:val="20"/>
              </w:rPr>
              <w:t>Սուբվենցիաներ համայնքներին, այդ թվում</w:t>
            </w:r>
          </w:p>
        </w:tc>
        <w:tc>
          <w:tcPr>
            <w:tcW w:w="1581" w:type="dxa"/>
            <w:tcBorders>
              <w:top w:val="nil"/>
              <w:left w:val="nil"/>
              <w:bottom w:val="single" w:sz="4" w:space="0" w:color="auto"/>
              <w:right w:val="single" w:sz="4"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bCs/>
                <w:i/>
                <w:iCs/>
                <w:sz w:val="18"/>
                <w:szCs w:val="18"/>
              </w:rPr>
            </w:pPr>
            <w:r w:rsidRPr="00930860">
              <w:rPr>
                <w:bCs/>
                <w:i/>
                <w:iCs/>
                <w:sz w:val="18"/>
                <w:szCs w:val="18"/>
              </w:rPr>
              <w:t xml:space="preserve">9,216,413.6 </w:t>
            </w:r>
          </w:p>
        </w:tc>
        <w:tc>
          <w:tcPr>
            <w:tcW w:w="1423" w:type="dxa"/>
            <w:tcBorders>
              <w:top w:val="nil"/>
              <w:left w:val="nil"/>
              <w:bottom w:val="single" w:sz="4" w:space="0" w:color="auto"/>
              <w:right w:val="single" w:sz="4"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bCs/>
                <w:i/>
                <w:iCs/>
                <w:sz w:val="18"/>
                <w:szCs w:val="18"/>
              </w:rPr>
            </w:pPr>
            <w:r w:rsidRPr="00930860">
              <w:rPr>
                <w:bCs/>
                <w:i/>
                <w:iCs/>
                <w:sz w:val="18"/>
                <w:szCs w:val="18"/>
              </w:rPr>
              <w:t xml:space="preserve">11,223,599.7 </w:t>
            </w:r>
          </w:p>
        </w:tc>
        <w:tc>
          <w:tcPr>
            <w:tcW w:w="1375" w:type="dxa"/>
            <w:tcBorders>
              <w:top w:val="nil"/>
              <w:left w:val="nil"/>
              <w:bottom w:val="single" w:sz="4" w:space="0" w:color="auto"/>
              <w:right w:val="single" w:sz="4"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bCs/>
                <w:i/>
                <w:iCs/>
                <w:sz w:val="18"/>
                <w:szCs w:val="18"/>
              </w:rPr>
            </w:pPr>
            <w:r w:rsidRPr="00930860">
              <w:rPr>
                <w:bCs/>
                <w:i/>
                <w:iCs/>
                <w:sz w:val="18"/>
                <w:szCs w:val="18"/>
              </w:rPr>
              <w:t xml:space="preserve">15,801,349.6 </w:t>
            </w:r>
          </w:p>
        </w:tc>
        <w:tc>
          <w:tcPr>
            <w:tcW w:w="1421" w:type="dxa"/>
            <w:tcBorders>
              <w:top w:val="nil"/>
              <w:left w:val="nil"/>
              <w:bottom w:val="single" w:sz="4" w:space="0" w:color="auto"/>
              <w:right w:val="single" w:sz="4"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bCs/>
                <w:sz w:val="18"/>
                <w:szCs w:val="18"/>
              </w:rPr>
            </w:pPr>
            <w:r w:rsidRPr="00930860">
              <w:rPr>
                <w:bCs/>
                <w:sz w:val="18"/>
                <w:szCs w:val="18"/>
              </w:rPr>
              <w:t xml:space="preserve">19,582,969.7 </w:t>
            </w:r>
          </w:p>
        </w:tc>
        <w:tc>
          <w:tcPr>
            <w:tcW w:w="1454" w:type="dxa"/>
            <w:tcBorders>
              <w:top w:val="nil"/>
              <w:left w:val="nil"/>
              <w:bottom w:val="single" w:sz="4" w:space="0" w:color="auto"/>
              <w:right w:val="single" w:sz="8"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bCs/>
                <w:sz w:val="18"/>
                <w:szCs w:val="18"/>
              </w:rPr>
            </w:pPr>
            <w:r>
              <w:rPr>
                <w:bCs/>
                <w:sz w:val="18"/>
                <w:szCs w:val="18"/>
                <w:lang w:val="en-US"/>
              </w:rPr>
              <w:t>17,093,001.3</w:t>
            </w:r>
            <w:r w:rsidRPr="00930860">
              <w:rPr>
                <w:bCs/>
                <w:sz w:val="18"/>
                <w:szCs w:val="18"/>
              </w:rPr>
              <w:t xml:space="preserve"> </w:t>
            </w:r>
          </w:p>
        </w:tc>
      </w:tr>
      <w:tr w:rsidR="00AE0F80" w:rsidRPr="007F7348" w:rsidTr="009F0F78">
        <w:trPr>
          <w:trHeight w:val="270"/>
        </w:trPr>
        <w:tc>
          <w:tcPr>
            <w:tcW w:w="2628" w:type="dxa"/>
            <w:tcBorders>
              <w:top w:val="nil"/>
              <w:left w:val="single" w:sz="8" w:space="0" w:color="auto"/>
              <w:bottom w:val="single" w:sz="4" w:space="0" w:color="auto"/>
              <w:right w:val="single" w:sz="4" w:space="0" w:color="auto"/>
            </w:tcBorders>
            <w:shd w:val="clear" w:color="000000" w:fill="DCE6F1"/>
            <w:vAlign w:val="center"/>
            <w:hideMark/>
          </w:tcPr>
          <w:p w:rsidR="00AE0F80" w:rsidRPr="00930860" w:rsidRDefault="00AE0F80" w:rsidP="009F0F78">
            <w:pPr>
              <w:spacing w:before="0" w:line="276" w:lineRule="auto"/>
              <w:ind w:firstLine="0"/>
              <w:jc w:val="left"/>
              <w:rPr>
                <w:b w:val="0"/>
                <w:i/>
                <w:iCs/>
                <w:sz w:val="20"/>
                <w:szCs w:val="20"/>
              </w:rPr>
            </w:pPr>
            <w:r w:rsidRPr="00930860">
              <w:rPr>
                <w:b w:val="0"/>
                <w:i/>
                <w:iCs/>
                <w:sz w:val="20"/>
                <w:szCs w:val="20"/>
              </w:rPr>
              <w:t>ընթացիկ սուբվենցիաներ</w:t>
            </w:r>
          </w:p>
        </w:tc>
        <w:tc>
          <w:tcPr>
            <w:tcW w:w="1581"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b w:val="0"/>
                <w:i/>
                <w:iCs/>
                <w:sz w:val="18"/>
                <w:szCs w:val="18"/>
              </w:rPr>
              <w:t xml:space="preserve">9,001,058.6 </w:t>
            </w:r>
          </w:p>
        </w:tc>
        <w:tc>
          <w:tcPr>
            <w:tcW w:w="1423"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b w:val="0"/>
                <w:i/>
                <w:iCs/>
                <w:sz w:val="18"/>
                <w:szCs w:val="18"/>
              </w:rPr>
              <w:t xml:space="preserve">8,677,571.0 </w:t>
            </w:r>
          </w:p>
        </w:tc>
        <w:tc>
          <w:tcPr>
            <w:tcW w:w="1375"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b w:val="0"/>
                <w:i/>
                <w:iCs/>
                <w:sz w:val="18"/>
                <w:szCs w:val="18"/>
              </w:rPr>
              <w:t xml:space="preserve">9,268,940.8 </w:t>
            </w:r>
          </w:p>
        </w:tc>
        <w:tc>
          <w:tcPr>
            <w:tcW w:w="1421"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sz w:val="18"/>
                <w:szCs w:val="18"/>
              </w:rPr>
            </w:pPr>
            <w:r w:rsidRPr="00930860">
              <w:rPr>
                <w:b w:val="0"/>
                <w:sz w:val="18"/>
                <w:szCs w:val="18"/>
              </w:rPr>
              <w:t xml:space="preserve">8,982,969.7 </w:t>
            </w:r>
          </w:p>
        </w:tc>
        <w:tc>
          <w:tcPr>
            <w:tcW w:w="1454" w:type="dxa"/>
            <w:tcBorders>
              <w:top w:val="nil"/>
              <w:left w:val="nil"/>
              <w:bottom w:val="single" w:sz="4" w:space="0" w:color="auto"/>
              <w:right w:val="single" w:sz="8" w:space="0" w:color="auto"/>
            </w:tcBorders>
            <w:shd w:val="clear" w:color="000000" w:fill="DCE6F1"/>
            <w:noWrap/>
            <w:vAlign w:val="center"/>
            <w:hideMark/>
          </w:tcPr>
          <w:p w:rsidR="00AE0F80" w:rsidRPr="00930860" w:rsidRDefault="00AE0F80" w:rsidP="009F0F78">
            <w:pPr>
              <w:spacing w:before="0" w:line="276" w:lineRule="auto"/>
              <w:ind w:firstLine="0"/>
              <w:jc w:val="right"/>
              <w:rPr>
                <w:b w:val="0"/>
                <w:sz w:val="18"/>
                <w:szCs w:val="18"/>
              </w:rPr>
            </w:pPr>
            <w:r>
              <w:rPr>
                <w:b w:val="0"/>
                <w:sz w:val="18"/>
                <w:szCs w:val="18"/>
                <w:lang w:val="en-US"/>
              </w:rPr>
              <w:t>9,019,489.2</w:t>
            </w:r>
            <w:r w:rsidRPr="00930860">
              <w:rPr>
                <w:b w:val="0"/>
                <w:sz w:val="18"/>
                <w:szCs w:val="18"/>
              </w:rPr>
              <w:t xml:space="preserve"> </w:t>
            </w:r>
          </w:p>
        </w:tc>
      </w:tr>
      <w:tr w:rsidR="00AE0F80" w:rsidRPr="007F7348" w:rsidTr="009F0F78">
        <w:trPr>
          <w:trHeight w:val="270"/>
        </w:trPr>
        <w:tc>
          <w:tcPr>
            <w:tcW w:w="2628" w:type="dxa"/>
            <w:tcBorders>
              <w:top w:val="nil"/>
              <w:left w:val="single" w:sz="8" w:space="0" w:color="auto"/>
              <w:bottom w:val="single" w:sz="4" w:space="0" w:color="auto"/>
              <w:right w:val="single" w:sz="4" w:space="0" w:color="auto"/>
            </w:tcBorders>
            <w:shd w:val="clear" w:color="000000" w:fill="DCE6F1"/>
            <w:vAlign w:val="center"/>
            <w:hideMark/>
          </w:tcPr>
          <w:p w:rsidR="00AE0F80" w:rsidRPr="00930860" w:rsidRDefault="00AE0F80" w:rsidP="009F0F78">
            <w:pPr>
              <w:spacing w:before="0" w:line="276" w:lineRule="auto"/>
              <w:ind w:firstLine="0"/>
              <w:jc w:val="left"/>
              <w:rPr>
                <w:b w:val="0"/>
                <w:i/>
                <w:iCs/>
                <w:sz w:val="20"/>
                <w:szCs w:val="20"/>
              </w:rPr>
            </w:pPr>
            <w:r w:rsidRPr="00930860">
              <w:rPr>
                <w:b w:val="0"/>
                <w:i/>
                <w:iCs/>
                <w:sz w:val="20"/>
                <w:szCs w:val="20"/>
              </w:rPr>
              <w:t>կապիտալ սուբվենցիաներ</w:t>
            </w:r>
          </w:p>
        </w:tc>
        <w:tc>
          <w:tcPr>
            <w:tcW w:w="1581"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b w:val="0"/>
                <w:i/>
                <w:iCs/>
                <w:sz w:val="18"/>
                <w:szCs w:val="18"/>
              </w:rPr>
              <w:t xml:space="preserve">215,355.0 </w:t>
            </w:r>
          </w:p>
        </w:tc>
        <w:tc>
          <w:tcPr>
            <w:tcW w:w="1423"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b w:val="0"/>
                <w:i/>
                <w:iCs/>
                <w:sz w:val="18"/>
                <w:szCs w:val="18"/>
              </w:rPr>
              <w:t xml:space="preserve">2,546,028.7 </w:t>
            </w:r>
          </w:p>
        </w:tc>
        <w:tc>
          <w:tcPr>
            <w:tcW w:w="1375"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i/>
                <w:iCs/>
                <w:sz w:val="18"/>
                <w:szCs w:val="18"/>
              </w:rPr>
            </w:pPr>
            <w:r w:rsidRPr="00930860">
              <w:rPr>
                <w:b w:val="0"/>
                <w:i/>
                <w:iCs/>
                <w:sz w:val="18"/>
                <w:szCs w:val="18"/>
              </w:rPr>
              <w:t xml:space="preserve">6,532,408.8 </w:t>
            </w:r>
          </w:p>
        </w:tc>
        <w:tc>
          <w:tcPr>
            <w:tcW w:w="1421" w:type="dxa"/>
            <w:tcBorders>
              <w:top w:val="nil"/>
              <w:left w:val="nil"/>
              <w:bottom w:val="single" w:sz="4" w:space="0" w:color="auto"/>
              <w:right w:val="single" w:sz="4" w:space="0" w:color="auto"/>
            </w:tcBorders>
            <w:shd w:val="clear" w:color="000000" w:fill="DCE6F1"/>
            <w:noWrap/>
            <w:vAlign w:val="center"/>
            <w:hideMark/>
          </w:tcPr>
          <w:p w:rsidR="00AE0F80" w:rsidRPr="00930860" w:rsidRDefault="00AE0F80" w:rsidP="009F0F78">
            <w:pPr>
              <w:spacing w:before="0" w:line="276" w:lineRule="auto"/>
              <w:ind w:firstLine="0"/>
              <w:jc w:val="right"/>
              <w:rPr>
                <w:b w:val="0"/>
                <w:sz w:val="18"/>
                <w:szCs w:val="18"/>
              </w:rPr>
            </w:pPr>
            <w:r w:rsidRPr="00930860">
              <w:rPr>
                <w:b w:val="0"/>
                <w:sz w:val="18"/>
                <w:szCs w:val="18"/>
              </w:rPr>
              <w:t xml:space="preserve">10,600,000.0 </w:t>
            </w:r>
          </w:p>
        </w:tc>
        <w:tc>
          <w:tcPr>
            <w:tcW w:w="1454" w:type="dxa"/>
            <w:tcBorders>
              <w:top w:val="nil"/>
              <w:left w:val="nil"/>
              <w:bottom w:val="single" w:sz="4" w:space="0" w:color="auto"/>
              <w:right w:val="single" w:sz="8" w:space="0" w:color="auto"/>
            </w:tcBorders>
            <w:shd w:val="clear" w:color="000000" w:fill="DCE6F1"/>
            <w:noWrap/>
            <w:vAlign w:val="center"/>
            <w:hideMark/>
          </w:tcPr>
          <w:p w:rsidR="00AE0F80" w:rsidRPr="00930860" w:rsidRDefault="00AE0F80" w:rsidP="009F0F78">
            <w:pPr>
              <w:spacing w:before="0" w:line="276" w:lineRule="auto"/>
              <w:ind w:firstLine="0"/>
              <w:jc w:val="right"/>
              <w:rPr>
                <w:b w:val="0"/>
                <w:sz w:val="18"/>
                <w:szCs w:val="18"/>
              </w:rPr>
            </w:pPr>
            <w:r w:rsidRPr="002013FF">
              <w:rPr>
                <w:b w:val="0"/>
                <w:sz w:val="18"/>
                <w:szCs w:val="18"/>
              </w:rPr>
              <w:t>8,073,512.</w:t>
            </w:r>
            <w:r>
              <w:rPr>
                <w:b w:val="0"/>
                <w:sz w:val="18"/>
                <w:szCs w:val="18"/>
                <w:lang w:val="en-US"/>
              </w:rPr>
              <w:t>1</w:t>
            </w:r>
            <w:r w:rsidRPr="00930860">
              <w:rPr>
                <w:b w:val="0"/>
                <w:sz w:val="18"/>
                <w:szCs w:val="18"/>
              </w:rPr>
              <w:t xml:space="preserve"> </w:t>
            </w:r>
          </w:p>
        </w:tc>
      </w:tr>
      <w:tr w:rsidR="00AE0F80" w:rsidRPr="007F7348" w:rsidTr="009F0F78">
        <w:trPr>
          <w:trHeight w:val="825"/>
        </w:trPr>
        <w:tc>
          <w:tcPr>
            <w:tcW w:w="2628" w:type="dxa"/>
            <w:tcBorders>
              <w:top w:val="nil"/>
              <w:left w:val="single" w:sz="8" w:space="0" w:color="auto"/>
              <w:bottom w:val="single" w:sz="8" w:space="0" w:color="auto"/>
              <w:right w:val="single" w:sz="4" w:space="0" w:color="auto"/>
            </w:tcBorders>
            <w:shd w:val="clear" w:color="auto" w:fill="FFFFFF" w:themeFill="background1"/>
            <w:vAlign w:val="center"/>
            <w:hideMark/>
          </w:tcPr>
          <w:p w:rsidR="00AE0F80" w:rsidRPr="00930860" w:rsidRDefault="00AE0F80" w:rsidP="009F0F78">
            <w:pPr>
              <w:spacing w:before="0" w:line="276" w:lineRule="auto"/>
              <w:ind w:firstLine="0"/>
              <w:jc w:val="left"/>
              <w:rPr>
                <w:bCs/>
                <w:sz w:val="20"/>
                <w:szCs w:val="20"/>
              </w:rPr>
            </w:pPr>
            <w:r w:rsidRPr="00930860">
              <w:rPr>
                <w:bCs/>
                <w:sz w:val="20"/>
                <w:szCs w:val="20"/>
              </w:rPr>
              <w:t>Սահմանամերձ հա</w:t>
            </w:r>
            <w:r>
              <w:rPr>
                <w:bCs/>
                <w:sz w:val="20"/>
                <w:szCs w:val="20"/>
              </w:rPr>
              <w:softHyphen/>
            </w:r>
            <w:r w:rsidRPr="00930860">
              <w:rPr>
                <w:bCs/>
                <w:sz w:val="20"/>
                <w:szCs w:val="20"/>
              </w:rPr>
              <w:t>մայնք</w:t>
            </w:r>
            <w:r>
              <w:rPr>
                <w:bCs/>
                <w:sz w:val="20"/>
                <w:szCs w:val="20"/>
              </w:rPr>
              <w:softHyphen/>
            </w:r>
            <w:r w:rsidRPr="00930860">
              <w:rPr>
                <w:bCs/>
                <w:sz w:val="20"/>
                <w:szCs w:val="20"/>
              </w:rPr>
              <w:t>ների սոցիալական աջակցության մասին ՀՀ օրենքի կիրարկմամբ պայմանավորված պե</w:t>
            </w:r>
            <w:r>
              <w:rPr>
                <w:bCs/>
                <w:sz w:val="20"/>
                <w:szCs w:val="20"/>
              </w:rPr>
              <w:softHyphen/>
            </w:r>
            <w:r w:rsidRPr="00930860">
              <w:rPr>
                <w:bCs/>
                <w:sz w:val="20"/>
                <w:szCs w:val="20"/>
              </w:rPr>
              <w:t>տա</w:t>
            </w:r>
            <w:r>
              <w:rPr>
                <w:bCs/>
                <w:sz w:val="20"/>
                <w:szCs w:val="20"/>
              </w:rPr>
              <w:softHyphen/>
            </w:r>
            <w:r w:rsidRPr="00930860">
              <w:rPr>
                <w:bCs/>
                <w:sz w:val="20"/>
                <w:szCs w:val="20"/>
              </w:rPr>
              <w:t>կան աջակցություն սահմանամերձ համայնքներին</w:t>
            </w:r>
          </w:p>
        </w:tc>
        <w:tc>
          <w:tcPr>
            <w:tcW w:w="1581" w:type="dxa"/>
            <w:tcBorders>
              <w:top w:val="nil"/>
              <w:left w:val="nil"/>
              <w:bottom w:val="single" w:sz="8" w:space="0" w:color="auto"/>
              <w:right w:val="single" w:sz="4"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bCs/>
                <w:i/>
                <w:iCs/>
                <w:sz w:val="18"/>
                <w:szCs w:val="18"/>
              </w:rPr>
            </w:pPr>
            <w:r w:rsidRPr="00930860">
              <w:rPr>
                <w:bCs/>
                <w:i/>
                <w:iCs/>
                <w:sz w:val="18"/>
                <w:szCs w:val="18"/>
              </w:rPr>
              <w:t xml:space="preserve">712,200.2 </w:t>
            </w:r>
          </w:p>
        </w:tc>
        <w:tc>
          <w:tcPr>
            <w:tcW w:w="1423" w:type="dxa"/>
            <w:tcBorders>
              <w:top w:val="nil"/>
              <w:left w:val="nil"/>
              <w:bottom w:val="single" w:sz="8" w:space="0" w:color="auto"/>
              <w:right w:val="single" w:sz="4"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bCs/>
                <w:i/>
                <w:iCs/>
                <w:sz w:val="18"/>
                <w:szCs w:val="18"/>
              </w:rPr>
            </w:pPr>
            <w:r w:rsidRPr="00930860">
              <w:rPr>
                <w:bCs/>
                <w:i/>
                <w:iCs/>
                <w:sz w:val="18"/>
                <w:szCs w:val="18"/>
              </w:rPr>
              <w:t xml:space="preserve">709,597.9 </w:t>
            </w:r>
          </w:p>
        </w:tc>
        <w:tc>
          <w:tcPr>
            <w:tcW w:w="1375" w:type="dxa"/>
            <w:tcBorders>
              <w:top w:val="nil"/>
              <w:left w:val="nil"/>
              <w:bottom w:val="single" w:sz="8" w:space="0" w:color="auto"/>
              <w:right w:val="single" w:sz="4"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bCs/>
                <w:i/>
                <w:iCs/>
                <w:sz w:val="18"/>
                <w:szCs w:val="18"/>
              </w:rPr>
            </w:pPr>
            <w:r w:rsidRPr="00930860">
              <w:rPr>
                <w:bCs/>
                <w:i/>
                <w:iCs/>
                <w:sz w:val="18"/>
                <w:szCs w:val="18"/>
              </w:rPr>
              <w:t xml:space="preserve">731,344.2 </w:t>
            </w:r>
          </w:p>
        </w:tc>
        <w:tc>
          <w:tcPr>
            <w:tcW w:w="1421" w:type="dxa"/>
            <w:tcBorders>
              <w:top w:val="nil"/>
              <w:left w:val="nil"/>
              <w:bottom w:val="single" w:sz="8" w:space="0" w:color="auto"/>
              <w:right w:val="single" w:sz="4" w:space="0" w:color="auto"/>
            </w:tcBorders>
            <w:shd w:val="clear" w:color="auto" w:fill="FFFFFF" w:themeFill="background1"/>
            <w:noWrap/>
            <w:vAlign w:val="center"/>
            <w:hideMark/>
          </w:tcPr>
          <w:p w:rsidR="00AE0F80" w:rsidRPr="00930860" w:rsidRDefault="00AE0F80" w:rsidP="009F0F78">
            <w:pPr>
              <w:spacing w:before="0" w:line="276" w:lineRule="auto"/>
              <w:ind w:firstLine="0"/>
              <w:jc w:val="right"/>
              <w:rPr>
                <w:bCs/>
                <w:sz w:val="18"/>
                <w:szCs w:val="18"/>
              </w:rPr>
            </w:pPr>
            <w:r w:rsidRPr="00930860">
              <w:rPr>
                <w:bCs/>
                <w:sz w:val="18"/>
                <w:szCs w:val="18"/>
              </w:rPr>
              <w:t xml:space="preserve">800,000.0 </w:t>
            </w:r>
          </w:p>
        </w:tc>
        <w:tc>
          <w:tcPr>
            <w:tcW w:w="1454" w:type="dxa"/>
            <w:tcBorders>
              <w:top w:val="nil"/>
              <w:left w:val="nil"/>
              <w:bottom w:val="single" w:sz="8" w:space="0" w:color="auto"/>
              <w:right w:val="single" w:sz="8" w:space="0" w:color="auto"/>
            </w:tcBorders>
            <w:shd w:val="clear" w:color="auto" w:fill="FFFFFF" w:themeFill="background1"/>
            <w:noWrap/>
            <w:vAlign w:val="center"/>
            <w:hideMark/>
          </w:tcPr>
          <w:p w:rsidR="00AE0F80" w:rsidRPr="00930860" w:rsidRDefault="00AE0F80" w:rsidP="009F0F78">
            <w:pPr>
              <w:keepNext/>
              <w:spacing w:before="0" w:line="276" w:lineRule="auto"/>
              <w:ind w:firstLine="0"/>
              <w:jc w:val="right"/>
              <w:rPr>
                <w:bCs/>
                <w:sz w:val="18"/>
                <w:szCs w:val="18"/>
              </w:rPr>
            </w:pPr>
            <w:r w:rsidRPr="00930860">
              <w:rPr>
                <w:bCs/>
                <w:sz w:val="18"/>
                <w:szCs w:val="18"/>
              </w:rPr>
              <w:t xml:space="preserve">800,000.0 </w:t>
            </w:r>
          </w:p>
        </w:tc>
      </w:tr>
    </w:tbl>
    <w:p w:rsidR="00AE0F80" w:rsidRDefault="00AE0F80" w:rsidP="00AE0F80">
      <w:pPr>
        <w:spacing w:before="0" w:line="276" w:lineRule="auto"/>
      </w:pPr>
    </w:p>
    <w:p w:rsidR="00AE0F80" w:rsidRDefault="00AE0F80" w:rsidP="00AE0F80">
      <w:pPr>
        <w:spacing w:before="0"/>
        <w:ind w:firstLine="480"/>
        <w:rPr>
          <w:rFonts w:eastAsia="Calibri"/>
          <w:b w:val="0"/>
          <w:i/>
          <w:iCs/>
          <w:color w:val="000000"/>
          <w:lang w:val="hy-AM"/>
        </w:rPr>
      </w:pPr>
      <w:r w:rsidRPr="00BE7574">
        <w:rPr>
          <w:rFonts w:cs="Sylfaen"/>
          <w:lang w:val="hy-AM"/>
        </w:rPr>
        <w:t>2021 թվականի ընթացքում ոչ ֆինանսական ակտիվ</w:t>
      </w:r>
      <w:r w:rsidRPr="00BE7574">
        <w:rPr>
          <w:rFonts w:cs="Sylfaen"/>
          <w:lang w:val="hy-AM"/>
        </w:rPr>
        <w:softHyphen/>
        <w:t>ների գծով ծախսերի ֆինանսավորման կառուցվածքում արձանագրվում է արտաքին աղբյուրների ծավալի նվազում ի հաշիվ ներքին աղբյուրների ֆինանսավորման ծավալի մեծացման:</w:t>
      </w:r>
    </w:p>
    <w:p w:rsidR="00AE0F80" w:rsidRPr="00677C2F" w:rsidRDefault="00AE0F80" w:rsidP="00AE0F80">
      <w:pPr>
        <w:pStyle w:val="Caption"/>
        <w:spacing w:before="0" w:after="0"/>
        <w:rPr>
          <w:lang w:val="hy-AM"/>
        </w:rPr>
      </w:pPr>
      <w:bookmarkStart w:id="199" w:name="_Toc57631790"/>
      <w:r w:rsidRPr="00514E94">
        <w:rPr>
          <w:lang w:val="hy-AM"/>
        </w:rPr>
        <w:t xml:space="preserve">Գծապատկեր </w:t>
      </w:r>
      <w:r w:rsidR="003C3925">
        <w:fldChar w:fldCharType="begin"/>
      </w:r>
      <w:r w:rsidRPr="00514E94">
        <w:rPr>
          <w:lang w:val="hy-AM"/>
        </w:rPr>
        <w:instrText xml:space="preserve"> SEQ Գծապատկեր \* ARABIC </w:instrText>
      </w:r>
      <w:r w:rsidR="003C3925">
        <w:fldChar w:fldCharType="separate"/>
      </w:r>
      <w:r>
        <w:rPr>
          <w:noProof/>
          <w:lang w:val="hy-AM"/>
        </w:rPr>
        <w:t>4</w:t>
      </w:r>
      <w:r w:rsidR="003C3925">
        <w:fldChar w:fldCharType="end"/>
      </w:r>
      <w:r w:rsidRPr="00514E94">
        <w:rPr>
          <w:lang w:val="hy-AM"/>
        </w:rPr>
        <w:t xml:space="preserve">. </w:t>
      </w:r>
      <w:r>
        <w:rPr>
          <w:lang w:val="hy-AM"/>
        </w:rPr>
        <w:t>2017-</w:t>
      </w:r>
      <w:r w:rsidRPr="00677C2F">
        <w:rPr>
          <w:lang w:val="hy-AM"/>
        </w:rPr>
        <w:t>2021թ</w:t>
      </w:r>
      <w:r>
        <w:rPr>
          <w:lang w:val="hy-AM"/>
        </w:rPr>
        <w:t>թ</w:t>
      </w:r>
      <w:r w:rsidRPr="00677C2F">
        <w:rPr>
          <w:rFonts w:ascii="Cambria Math" w:hAnsi="Cambria Math" w:cs="Cambria Math"/>
          <w:lang w:val="hy-AM"/>
        </w:rPr>
        <w:t xml:space="preserve">․ </w:t>
      </w:r>
      <w:r w:rsidRPr="00CA4646">
        <w:rPr>
          <w:rFonts w:cs="Sylfaen"/>
          <w:b/>
          <w:i/>
          <w:sz w:val="20"/>
          <w:szCs w:val="20"/>
          <w:lang w:val="hy-AM" w:eastAsia="en-US"/>
        </w:rPr>
        <w:t>Ո</w:t>
      </w:r>
      <w:r w:rsidRPr="00677C2F">
        <w:rPr>
          <w:rFonts w:cs="Sylfaen"/>
          <w:b/>
          <w:i/>
          <w:sz w:val="20"/>
          <w:szCs w:val="20"/>
          <w:lang w:val="hy-AM" w:eastAsia="en-US"/>
        </w:rPr>
        <w:t>չ ֆինանսական ակտիվ</w:t>
      </w:r>
      <w:r w:rsidRPr="00677C2F">
        <w:rPr>
          <w:rFonts w:cs="Sylfaen"/>
          <w:b/>
          <w:i/>
          <w:sz w:val="20"/>
          <w:szCs w:val="20"/>
          <w:lang w:val="hy-AM" w:eastAsia="en-US"/>
        </w:rPr>
        <w:softHyphen/>
        <w:t>ների գծով ծախսերի ֆինանսավորման կառուցվածքը</w:t>
      </w:r>
      <w:bookmarkEnd w:id="199"/>
    </w:p>
    <w:p w:rsidR="00AE0F80" w:rsidRDefault="008239DE" w:rsidP="00AE0F80">
      <w:pPr>
        <w:spacing w:before="0"/>
        <w:rPr>
          <w:lang w:val="hy-AM"/>
        </w:rPr>
      </w:pPr>
      <w:r>
        <w:rPr>
          <w:noProof/>
          <w:lang w:val="en-US" w:eastAsia="en-US"/>
        </w:rPr>
        <mc:AlternateContent>
          <mc:Choice Requires="wps">
            <w:drawing>
              <wp:anchor distT="0" distB="0" distL="114300" distR="114300" simplePos="0" relativeHeight="251788800" behindDoc="0" locked="0" layoutInCell="1" allowOverlap="1">
                <wp:simplePos x="0" y="0"/>
                <wp:positionH relativeFrom="column">
                  <wp:posOffset>5233035</wp:posOffset>
                </wp:positionH>
                <wp:positionV relativeFrom="paragraph">
                  <wp:posOffset>906145</wp:posOffset>
                </wp:positionV>
                <wp:extent cx="238125" cy="1838325"/>
                <wp:effectExtent l="19050" t="19050" r="28575" b="47625"/>
                <wp:wrapNone/>
                <wp:docPr id="61" name="Lef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838325"/>
                        </a:xfrm>
                        <a:prstGeom prst="leftBrace">
                          <a:avLst>
                            <a:gd name="adj1" fmla="val 89859"/>
                            <a:gd name="adj2" fmla="val 50000"/>
                          </a:avLst>
                        </a:prstGeom>
                        <a:ln w="4762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841F25" id="Left Brace 2" o:spid="_x0000_s1026" type="#_x0000_t87" style="position:absolute;margin-left:412.05pt;margin-top:71.35pt;width:18.75pt;height:144.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" adj="2514" strokecolor="#17365d [2415]" strokeweight="3.75pt"/>
            </w:pict>
          </mc:Fallback>
        </mc:AlternateContent>
      </w:r>
      <w:r>
        <w:rPr>
          <w:noProof/>
          <w:lang w:val="en-US" w:eastAsia="en-US"/>
        </w:rPr>
        <mc:AlternateContent>
          <mc:Choice Requires="wps">
            <w:drawing>
              <wp:anchor distT="0" distB="0" distL="114300" distR="114300" simplePos="0" relativeHeight="251783680" behindDoc="0" locked="0" layoutInCell="1" allowOverlap="1">
                <wp:simplePos x="0" y="0"/>
                <wp:positionH relativeFrom="column">
                  <wp:posOffset>4204335</wp:posOffset>
                </wp:positionH>
                <wp:positionV relativeFrom="paragraph">
                  <wp:posOffset>277495</wp:posOffset>
                </wp:positionV>
                <wp:extent cx="238125" cy="2466975"/>
                <wp:effectExtent l="19050" t="19050" r="28575" b="47625"/>
                <wp:wrapNone/>
                <wp:docPr id="5" name="Lef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466975"/>
                        </a:xfrm>
                        <a:prstGeom prst="leftBrace">
                          <a:avLst>
                            <a:gd name="adj1" fmla="val 89859"/>
                            <a:gd name="adj2" fmla="val 50000"/>
                          </a:avLst>
                        </a:prstGeom>
                        <a:ln w="4762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2ABAE" id="Left Brace 2" o:spid="_x0000_s1026" type="#_x0000_t87" style="position:absolute;margin-left:331.05pt;margin-top:21.85pt;width:18.75pt;height:194.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" adj="1874" strokecolor="#17365d [2415]" strokeweight="3.75pt"/>
            </w:pict>
          </mc:Fallback>
        </mc:AlternateContent>
      </w:r>
      <w:r>
        <w:rPr>
          <w:noProof/>
          <w:lang w:val="en-US" w:eastAsia="en-US"/>
        </w:rPr>
        <mc:AlternateContent>
          <mc:Choice Requires="wps">
            <w:drawing>
              <wp:anchor distT="0" distB="0" distL="114300" distR="114300" simplePos="0" relativeHeight="251787776" behindDoc="0" locked="0" layoutInCell="1" allowOverlap="1">
                <wp:simplePos x="0" y="0"/>
                <wp:positionH relativeFrom="column">
                  <wp:posOffset>3194685</wp:posOffset>
                </wp:positionH>
                <wp:positionV relativeFrom="paragraph">
                  <wp:posOffset>1125220</wp:posOffset>
                </wp:positionV>
                <wp:extent cx="238125" cy="1638300"/>
                <wp:effectExtent l="19050" t="19050" r="28575" b="38100"/>
                <wp:wrapNone/>
                <wp:docPr id="60" name="Lef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638300"/>
                        </a:xfrm>
                        <a:prstGeom prst="leftBrace">
                          <a:avLst>
                            <a:gd name="adj1" fmla="val 89859"/>
                            <a:gd name="adj2" fmla="val 50000"/>
                          </a:avLst>
                        </a:prstGeom>
                        <a:ln w="4762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0344D" id="Left Brace 2" o:spid="_x0000_s1026" type="#_x0000_t87" style="position:absolute;margin-left:251.55pt;margin-top:88.6pt;width:18.75pt;height:129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" adj="2821" strokecolor="#17365d [2415]" strokeweight="3.75pt"/>
            </w:pict>
          </mc:Fallback>
        </mc:AlternateContent>
      </w:r>
      <w:r>
        <w:rPr>
          <w:noProof/>
          <w:lang w:val="en-US" w:eastAsia="en-US"/>
        </w:rPr>
        <mc:AlternateContent>
          <mc:Choice Requires="wps">
            <w:drawing>
              <wp:anchor distT="0" distB="0" distL="114300" distR="114300" simplePos="0" relativeHeight="251785728" behindDoc="0" locked="0" layoutInCell="1" allowOverlap="1">
                <wp:simplePos x="0" y="0"/>
                <wp:positionH relativeFrom="column">
                  <wp:posOffset>1194435</wp:posOffset>
                </wp:positionH>
                <wp:positionV relativeFrom="paragraph">
                  <wp:posOffset>696595</wp:posOffset>
                </wp:positionV>
                <wp:extent cx="142875" cy="2066925"/>
                <wp:effectExtent l="19050" t="19050" r="28575" b="47625"/>
                <wp:wrapNone/>
                <wp:docPr id="18" name="Lef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2066925"/>
                        </a:xfrm>
                        <a:prstGeom prst="leftBrace">
                          <a:avLst>
                            <a:gd name="adj1" fmla="val 89859"/>
                            <a:gd name="adj2" fmla="val 50000"/>
                          </a:avLst>
                        </a:prstGeom>
                        <a:ln w="4762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A0FEF" id="Left Brace 2" o:spid="_x0000_s1026" type="#_x0000_t87" style="position:absolute;margin-left:94.05pt;margin-top:54.85pt;width:11.25pt;height:162.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" adj="1342" strokecolor="#17365d [2415]" strokeweight="3.75pt"/>
            </w:pict>
          </mc:Fallback>
        </mc:AlternateContent>
      </w:r>
      <w:r>
        <w:rPr>
          <w:noProof/>
          <w:lang w:val="en-US" w:eastAsia="en-US"/>
        </w:rPr>
        <mc:AlternateContent>
          <mc:Choice Requires="wps">
            <w:drawing>
              <wp:anchor distT="0" distB="0" distL="114300" distR="114300" simplePos="0" relativeHeight="251786752" behindDoc="0" locked="0" layoutInCell="1" allowOverlap="1">
                <wp:simplePos x="0" y="0"/>
                <wp:positionH relativeFrom="column">
                  <wp:posOffset>2204085</wp:posOffset>
                </wp:positionH>
                <wp:positionV relativeFrom="paragraph">
                  <wp:posOffset>1496695</wp:posOffset>
                </wp:positionV>
                <wp:extent cx="152400" cy="1266825"/>
                <wp:effectExtent l="19050" t="19050" r="19050" b="47625"/>
                <wp:wrapNone/>
                <wp:docPr id="59" name="Left Brac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66825"/>
                        </a:xfrm>
                        <a:prstGeom prst="leftBrace">
                          <a:avLst>
                            <a:gd name="adj1" fmla="val 89859"/>
                            <a:gd name="adj2" fmla="val 50000"/>
                          </a:avLst>
                        </a:prstGeom>
                        <a:ln w="47625">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B2E7C" id="Left Brace 2" o:spid="_x0000_s1026" type="#_x0000_t87" style="position:absolute;margin-left:173.55pt;margin-top:117.85pt;width:12pt;height:99.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" adj="2335" strokecolor="#17365d [2415]" strokeweight="3.75pt"/>
            </w:pict>
          </mc:Fallback>
        </mc:AlternateContent>
      </w:r>
      <w:r w:rsidR="00AE0F80" w:rsidRPr="0035033F">
        <w:rPr>
          <w:noProof/>
          <w:lang w:val="en-US" w:eastAsia="en-US"/>
        </w:rPr>
        <w:drawing>
          <wp:inline distT="0" distB="0" distL="0" distR="0">
            <wp:extent cx="5810250" cy="3733800"/>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AE0F80">
        <w:rPr>
          <w:lang w:val="hy-AM"/>
        </w:rPr>
        <w:t xml:space="preserve"> </w:t>
      </w:r>
    </w:p>
    <w:p w:rsidR="00AE0F80" w:rsidRDefault="00AE0F80" w:rsidP="00AE0F80">
      <w:pPr>
        <w:spacing w:before="0"/>
        <w:ind w:firstLine="480"/>
        <w:rPr>
          <w:b w:val="0"/>
          <w:lang w:val="hy-AM"/>
        </w:rPr>
      </w:pPr>
    </w:p>
    <w:p w:rsidR="00AE0F80" w:rsidRDefault="00AE0F80" w:rsidP="00AE0F80">
      <w:pPr>
        <w:spacing w:before="0"/>
        <w:ind w:firstLine="480"/>
        <w:rPr>
          <w:b w:val="0"/>
          <w:lang w:val="hy-AM"/>
        </w:rPr>
      </w:pPr>
      <w:r w:rsidRPr="00CA4646">
        <w:rPr>
          <w:b w:val="0"/>
          <w:lang w:val="hy-AM"/>
        </w:rPr>
        <w:t>Ընդ որում 2021</w:t>
      </w:r>
      <w:r w:rsidRPr="00CA5CAB">
        <w:rPr>
          <w:b w:val="0"/>
          <w:lang w:val="hy-AM"/>
        </w:rPr>
        <w:t xml:space="preserve"> </w:t>
      </w:r>
      <w:r w:rsidRPr="00CA5CAB">
        <w:rPr>
          <w:b w:val="0"/>
          <w:szCs w:val="22"/>
          <w:lang w:val="hy-AM" w:eastAsia="en-US"/>
        </w:rPr>
        <w:t>թվակա</w:t>
      </w:r>
      <w:r w:rsidRPr="00CA5CAB">
        <w:rPr>
          <w:rFonts w:cs="Sylfaen"/>
          <w:b w:val="0"/>
          <w:szCs w:val="22"/>
          <w:lang w:val="hy-AM" w:eastAsia="en-US"/>
        </w:rPr>
        <w:t>նի</w:t>
      </w:r>
      <w:r w:rsidRPr="00CA4646">
        <w:rPr>
          <w:b w:val="0"/>
          <w:lang w:val="hy-AM"/>
        </w:rPr>
        <w:t xml:space="preserve"> ընթացքում ընդհանուր ծավալի կանխատեսվող  21</w:t>
      </w:r>
      <w:r w:rsidRPr="00D47FE2">
        <w:rPr>
          <w:b w:val="0"/>
          <w:lang w:val="hy-AM"/>
        </w:rPr>
        <w:t>6</w:t>
      </w:r>
      <w:r w:rsidRPr="00CA4646">
        <w:rPr>
          <w:b w:val="0"/>
          <w:lang w:val="hy-AM"/>
        </w:rPr>
        <w:t>.</w:t>
      </w:r>
      <w:r w:rsidRPr="00D47FE2">
        <w:rPr>
          <w:b w:val="0"/>
          <w:lang w:val="hy-AM"/>
        </w:rPr>
        <w:t>3</w:t>
      </w:r>
      <w:r w:rsidRPr="00CA4646">
        <w:rPr>
          <w:b w:val="0"/>
          <w:lang w:val="hy-AM"/>
        </w:rPr>
        <w:t xml:space="preserve"> մլրդ դրամ ոչ ֆինանսական ակտիվների գծով ծախսերի շուրջ  38.</w:t>
      </w:r>
      <w:r w:rsidRPr="00D47FE2">
        <w:rPr>
          <w:b w:val="0"/>
          <w:lang w:val="hy-AM"/>
        </w:rPr>
        <w:t>5</w:t>
      </w:r>
      <w:r w:rsidRPr="00CA4646">
        <w:rPr>
          <w:b w:val="0"/>
          <w:lang w:val="hy-AM"/>
        </w:rPr>
        <w:t xml:space="preserve"> %-ը (8</w:t>
      </w:r>
      <w:r w:rsidRPr="00D47FE2">
        <w:rPr>
          <w:b w:val="0"/>
          <w:lang w:val="hy-AM"/>
        </w:rPr>
        <w:t>3.3</w:t>
      </w:r>
      <w:r w:rsidRPr="00CA4646">
        <w:rPr>
          <w:b w:val="0"/>
          <w:lang w:val="hy-AM"/>
        </w:rPr>
        <w:t xml:space="preserve"> մլրդ դրամ) նախատեսվում է ֆինան</w:t>
      </w:r>
      <w:r w:rsidRPr="00CA4646">
        <w:rPr>
          <w:b w:val="0"/>
          <w:lang w:val="hy-AM"/>
        </w:rPr>
        <w:softHyphen/>
      </w:r>
      <w:r w:rsidRPr="00CA4646">
        <w:rPr>
          <w:b w:val="0"/>
          <w:lang w:val="hy-AM"/>
        </w:rPr>
        <w:softHyphen/>
      </w:r>
      <w:r w:rsidRPr="00CA4646">
        <w:rPr>
          <w:b w:val="0"/>
          <w:lang w:val="hy-AM"/>
        </w:rPr>
        <w:softHyphen/>
        <w:t>սա</w:t>
      </w:r>
      <w:r w:rsidRPr="00CA4646">
        <w:rPr>
          <w:b w:val="0"/>
          <w:lang w:val="hy-AM"/>
        </w:rPr>
        <w:softHyphen/>
        <w:t>վորել արտաքին աղբյուր</w:t>
      </w:r>
      <w:r w:rsidRPr="00CA4646">
        <w:rPr>
          <w:b w:val="0"/>
          <w:lang w:val="hy-AM"/>
        </w:rPr>
        <w:softHyphen/>
        <w:t>ների, իսկ 61.</w:t>
      </w:r>
      <w:r w:rsidRPr="00D47FE2">
        <w:rPr>
          <w:b w:val="0"/>
          <w:lang w:val="hy-AM"/>
        </w:rPr>
        <w:t>5</w:t>
      </w:r>
      <w:r w:rsidRPr="00CA4646">
        <w:rPr>
          <w:b w:val="0"/>
          <w:lang w:val="hy-AM"/>
        </w:rPr>
        <w:t>%-ը (133.0 մլրդ դրամ)՝ ներքին աղբյուրների  հաշվին: Ոչ ֆինանսական ակտիվների գծով ծախսերի իրակա</w:t>
      </w:r>
      <w:r w:rsidRPr="00CA4646">
        <w:rPr>
          <w:b w:val="0"/>
          <w:lang w:val="hy-AM"/>
        </w:rPr>
        <w:softHyphen/>
        <w:t>նացման գե</w:t>
      </w:r>
      <w:r w:rsidRPr="00CA4646">
        <w:rPr>
          <w:b w:val="0"/>
          <w:lang w:val="hy-AM"/>
        </w:rPr>
        <w:softHyphen/>
        <w:t>րա</w:t>
      </w:r>
      <w:r w:rsidRPr="00CA4646">
        <w:rPr>
          <w:b w:val="0"/>
          <w:lang w:val="hy-AM"/>
        </w:rPr>
        <w:softHyphen/>
      </w:r>
      <w:r w:rsidRPr="00CA4646">
        <w:rPr>
          <w:b w:val="0"/>
          <w:lang w:val="hy-AM"/>
        </w:rPr>
        <w:softHyphen/>
        <w:t>կայու</w:t>
      </w:r>
      <w:r w:rsidRPr="00CA4646">
        <w:rPr>
          <w:b w:val="0"/>
          <w:lang w:val="hy-AM"/>
        </w:rPr>
        <w:softHyphen/>
        <w:t>թյունները հանդիսանալու են ինչպես ենթակառուցվածքային, այնպես էլ սոցիալական ոլորտներում ներդրումները:</w:t>
      </w:r>
    </w:p>
    <w:p w:rsidR="00AE0F80" w:rsidRDefault="00AE0F80" w:rsidP="00AE0F80">
      <w:pPr>
        <w:pStyle w:val="Caption"/>
        <w:spacing w:before="0" w:after="0"/>
        <w:ind w:firstLine="562"/>
        <w:rPr>
          <w:lang w:val="hy-AM"/>
        </w:rPr>
      </w:pPr>
    </w:p>
    <w:p w:rsidR="00AE0F80" w:rsidRDefault="00AE0F80" w:rsidP="00AE0F80">
      <w:pPr>
        <w:spacing w:before="0"/>
        <w:rPr>
          <w:lang w:val="hy-AM"/>
        </w:rPr>
      </w:pPr>
    </w:p>
    <w:p w:rsidR="00AE0F80" w:rsidRDefault="00AE0F80" w:rsidP="00AE0F80">
      <w:pPr>
        <w:spacing w:before="0"/>
        <w:rPr>
          <w:lang w:val="hy-AM"/>
        </w:rPr>
      </w:pPr>
    </w:p>
    <w:p w:rsidR="00AE0F80" w:rsidRDefault="00AE0F80" w:rsidP="00AE0F80">
      <w:pPr>
        <w:spacing w:before="0"/>
        <w:rPr>
          <w:lang w:val="hy-AM"/>
        </w:rPr>
      </w:pPr>
    </w:p>
    <w:p w:rsidR="00AE0F80" w:rsidRDefault="00AE0F80" w:rsidP="00AE0F80">
      <w:pPr>
        <w:spacing w:before="0"/>
        <w:rPr>
          <w:lang w:val="hy-AM"/>
        </w:rPr>
      </w:pPr>
    </w:p>
    <w:p w:rsidR="00AE0F80" w:rsidRDefault="00AE0F80" w:rsidP="00AE0F80">
      <w:pPr>
        <w:spacing w:before="0"/>
        <w:rPr>
          <w:lang w:val="hy-AM"/>
        </w:rPr>
      </w:pPr>
    </w:p>
    <w:p w:rsidR="00AE0F80" w:rsidRPr="00D73EDF" w:rsidRDefault="00AE0F80" w:rsidP="00AE0F80">
      <w:pPr>
        <w:spacing w:before="0"/>
        <w:rPr>
          <w:lang w:val="hy-AM"/>
        </w:rPr>
      </w:pPr>
    </w:p>
    <w:p w:rsidR="00AE0F80" w:rsidRPr="00A2480A" w:rsidRDefault="00AE0F80" w:rsidP="00AE0F80">
      <w:pPr>
        <w:pStyle w:val="Caption"/>
        <w:spacing w:before="0" w:after="0"/>
        <w:ind w:firstLine="562"/>
        <w:rPr>
          <w:b/>
          <w:i/>
          <w:sz w:val="20"/>
          <w:szCs w:val="20"/>
          <w:lang w:val="hy-AM"/>
        </w:rPr>
      </w:pPr>
      <w:bookmarkStart w:id="200" w:name="_Toc57631764"/>
      <w:r w:rsidRPr="00677C2F">
        <w:rPr>
          <w:lang w:val="hy-AM"/>
        </w:rPr>
        <w:t xml:space="preserve">Աղյուսակ </w:t>
      </w:r>
      <w:r w:rsidR="003C3925">
        <w:fldChar w:fldCharType="begin"/>
      </w:r>
      <w:r w:rsidRPr="00677C2F">
        <w:rPr>
          <w:lang w:val="hy-AM"/>
        </w:rPr>
        <w:instrText xml:space="preserve"> SEQ Աղյուսակ \* ARABIC </w:instrText>
      </w:r>
      <w:r w:rsidR="003C3925">
        <w:fldChar w:fldCharType="separate"/>
      </w:r>
      <w:r>
        <w:rPr>
          <w:noProof/>
          <w:lang w:val="hy-AM"/>
        </w:rPr>
        <w:t>13</w:t>
      </w:r>
      <w:r w:rsidR="003C3925">
        <w:fldChar w:fldCharType="end"/>
      </w:r>
      <w:r>
        <w:rPr>
          <w:rFonts w:ascii="Cambria Math" w:hAnsi="Cambria Math"/>
          <w:lang w:val="hy-AM"/>
        </w:rPr>
        <w:t xml:space="preserve">․ </w:t>
      </w:r>
      <w:r w:rsidRPr="00A2480A">
        <w:rPr>
          <w:b/>
          <w:i/>
          <w:sz w:val="20"/>
          <w:szCs w:val="20"/>
          <w:lang w:val="hy-AM"/>
        </w:rPr>
        <w:t>2019-2021թթ ոչ ֆինանսական ակտիվ</w:t>
      </w:r>
      <w:r w:rsidRPr="00A2480A">
        <w:rPr>
          <w:b/>
          <w:i/>
          <w:sz w:val="20"/>
          <w:szCs w:val="20"/>
          <w:lang w:val="hy-AM"/>
        </w:rPr>
        <w:softHyphen/>
        <w:t>ների գծով ծախսերի ֆինանսավորման կառուցվածը ըստ արտաքին և ներքին աղբյուրների</w:t>
      </w:r>
      <w:bookmarkEnd w:id="200"/>
    </w:p>
    <w:p w:rsidR="00AE0F80" w:rsidRDefault="00AE0F80" w:rsidP="00AE0F80">
      <w:pPr>
        <w:spacing w:before="0"/>
        <w:ind w:firstLine="562"/>
        <w:jc w:val="right"/>
        <w:rPr>
          <w:sz w:val="20"/>
          <w:szCs w:val="20"/>
          <w:lang w:val="hy-AM"/>
        </w:rPr>
      </w:pPr>
      <w:r w:rsidRPr="006B2C4E">
        <w:rPr>
          <w:sz w:val="20"/>
          <w:szCs w:val="20"/>
          <w:lang w:val="hy-AM"/>
        </w:rPr>
        <w:t xml:space="preserve">մլն </w:t>
      </w:r>
      <w:r>
        <w:rPr>
          <w:sz w:val="20"/>
          <w:szCs w:val="20"/>
          <w:lang w:val="hy-AM"/>
        </w:rPr>
        <w:t>դրամ</w:t>
      </w: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0"/>
        <w:gridCol w:w="1922"/>
        <w:gridCol w:w="1928"/>
        <w:gridCol w:w="2056"/>
      </w:tblGrid>
      <w:tr w:rsidR="00AE0F80" w:rsidRPr="00060A96" w:rsidTr="009F0F78">
        <w:trPr>
          <w:trHeight w:val="600"/>
        </w:trPr>
        <w:tc>
          <w:tcPr>
            <w:tcW w:w="3880" w:type="dxa"/>
            <w:shd w:val="clear" w:color="000000" w:fill="365F91"/>
            <w:hideMark/>
          </w:tcPr>
          <w:p w:rsidR="00AE0F80" w:rsidRPr="000E047D" w:rsidRDefault="00AE0F80" w:rsidP="009F0F78">
            <w:pPr>
              <w:spacing w:before="0" w:line="240" w:lineRule="auto"/>
              <w:ind w:firstLine="0"/>
              <w:jc w:val="left"/>
              <w:rPr>
                <w:color w:val="FFFFFF" w:themeColor="background1"/>
                <w:sz w:val="20"/>
                <w:szCs w:val="20"/>
              </w:rPr>
            </w:pPr>
            <w:r w:rsidRPr="000E047D">
              <w:rPr>
                <w:color w:val="FFFFFF" w:themeColor="background1"/>
              </w:rPr>
              <w:t>Ցուցանիշներ</w:t>
            </w:r>
          </w:p>
        </w:tc>
        <w:tc>
          <w:tcPr>
            <w:tcW w:w="1922" w:type="dxa"/>
            <w:shd w:val="clear" w:color="000000" w:fill="365F91"/>
            <w:hideMark/>
          </w:tcPr>
          <w:p w:rsidR="00AE0F80" w:rsidRPr="000E047D" w:rsidRDefault="00AE0F80" w:rsidP="009F0F78">
            <w:pPr>
              <w:spacing w:before="0" w:line="240" w:lineRule="auto"/>
              <w:ind w:firstLine="0"/>
              <w:jc w:val="center"/>
              <w:rPr>
                <w:color w:val="FFFFFF" w:themeColor="background1"/>
                <w:sz w:val="20"/>
                <w:szCs w:val="20"/>
              </w:rPr>
            </w:pPr>
            <w:r w:rsidRPr="000E047D">
              <w:rPr>
                <w:color w:val="FFFFFF" w:themeColor="background1"/>
              </w:rPr>
              <w:t>2019թ.</w:t>
            </w:r>
          </w:p>
        </w:tc>
        <w:tc>
          <w:tcPr>
            <w:tcW w:w="1928" w:type="dxa"/>
            <w:shd w:val="clear" w:color="000000" w:fill="365F91"/>
            <w:hideMark/>
          </w:tcPr>
          <w:p w:rsidR="00AE0F80" w:rsidRPr="000E047D" w:rsidRDefault="00AE0F80" w:rsidP="009F0F78">
            <w:pPr>
              <w:spacing w:before="0" w:line="240" w:lineRule="auto"/>
              <w:ind w:firstLine="0"/>
              <w:jc w:val="center"/>
              <w:rPr>
                <w:color w:val="FFFFFF" w:themeColor="background1"/>
                <w:sz w:val="20"/>
                <w:szCs w:val="20"/>
              </w:rPr>
            </w:pPr>
            <w:r w:rsidRPr="000E047D">
              <w:rPr>
                <w:color w:val="FFFFFF" w:themeColor="background1"/>
              </w:rPr>
              <w:t xml:space="preserve">2020թ. </w:t>
            </w:r>
          </w:p>
        </w:tc>
        <w:tc>
          <w:tcPr>
            <w:tcW w:w="2056" w:type="dxa"/>
            <w:shd w:val="clear" w:color="000000" w:fill="365F91"/>
            <w:hideMark/>
          </w:tcPr>
          <w:p w:rsidR="00AE0F80" w:rsidRPr="000E047D" w:rsidRDefault="00AE0F80" w:rsidP="009F0F78">
            <w:pPr>
              <w:spacing w:before="0" w:line="240" w:lineRule="auto"/>
              <w:ind w:firstLine="0"/>
              <w:jc w:val="center"/>
              <w:rPr>
                <w:color w:val="FFFFFF" w:themeColor="background1"/>
                <w:sz w:val="20"/>
                <w:szCs w:val="20"/>
              </w:rPr>
            </w:pPr>
            <w:r w:rsidRPr="000E047D">
              <w:rPr>
                <w:color w:val="FFFFFF" w:themeColor="background1"/>
              </w:rPr>
              <w:t>2021թ.</w:t>
            </w:r>
          </w:p>
        </w:tc>
      </w:tr>
      <w:tr w:rsidR="00AE0F80" w:rsidRPr="00060A96" w:rsidTr="009F0F78">
        <w:trPr>
          <w:trHeight w:val="404"/>
        </w:trPr>
        <w:tc>
          <w:tcPr>
            <w:tcW w:w="3880" w:type="dxa"/>
            <w:shd w:val="clear" w:color="000000" w:fill="C6D9F1"/>
            <w:hideMark/>
          </w:tcPr>
          <w:p w:rsidR="00AE0F80" w:rsidRPr="00930860" w:rsidRDefault="00AE0F80" w:rsidP="009F0F78">
            <w:pPr>
              <w:spacing w:before="0" w:line="240" w:lineRule="auto"/>
              <w:ind w:firstLine="0"/>
              <w:rPr>
                <w:b w:val="0"/>
                <w:bCs/>
                <w:color w:val="000000"/>
                <w:sz w:val="20"/>
                <w:szCs w:val="20"/>
              </w:rPr>
            </w:pPr>
            <w:r w:rsidRPr="00930860">
              <w:rPr>
                <w:sz w:val="20"/>
                <w:szCs w:val="20"/>
              </w:rPr>
              <w:t xml:space="preserve"> Ընդամենը </w:t>
            </w:r>
          </w:p>
        </w:tc>
        <w:tc>
          <w:tcPr>
            <w:tcW w:w="1922" w:type="dxa"/>
            <w:shd w:val="clear" w:color="000000" w:fill="C6D9F1"/>
            <w:hideMark/>
          </w:tcPr>
          <w:p w:rsidR="00AE0F80" w:rsidRPr="00930860" w:rsidRDefault="00AE0F80" w:rsidP="009F0F78">
            <w:pPr>
              <w:spacing w:before="0" w:line="240" w:lineRule="auto"/>
              <w:ind w:firstLine="0"/>
              <w:jc w:val="center"/>
              <w:rPr>
                <w:b w:val="0"/>
                <w:bCs/>
                <w:color w:val="000000"/>
                <w:sz w:val="18"/>
                <w:szCs w:val="18"/>
                <w:lang w:val="en-US"/>
              </w:rPr>
            </w:pPr>
            <w:r w:rsidRPr="00930860">
              <w:rPr>
                <w:sz w:val="18"/>
                <w:szCs w:val="18"/>
              </w:rPr>
              <w:t>193,017.1</w:t>
            </w:r>
          </w:p>
        </w:tc>
        <w:tc>
          <w:tcPr>
            <w:tcW w:w="1928"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287,741.0</w:t>
            </w:r>
          </w:p>
        </w:tc>
        <w:tc>
          <w:tcPr>
            <w:tcW w:w="2056" w:type="dxa"/>
            <w:shd w:val="clear" w:color="000000" w:fill="C6D9F1"/>
            <w:hideMark/>
          </w:tcPr>
          <w:p w:rsidR="00AE0F80" w:rsidRPr="005B046E" w:rsidRDefault="00AE0F80" w:rsidP="009F0F78">
            <w:pPr>
              <w:spacing w:before="0" w:line="240" w:lineRule="auto"/>
              <w:ind w:firstLine="0"/>
              <w:jc w:val="center"/>
              <w:rPr>
                <w:b w:val="0"/>
                <w:bCs/>
                <w:color w:val="000000"/>
                <w:sz w:val="18"/>
                <w:szCs w:val="18"/>
                <w:lang w:val="hy-AM"/>
              </w:rPr>
            </w:pPr>
            <w:r>
              <w:rPr>
                <w:sz w:val="18"/>
                <w:szCs w:val="18"/>
                <w:lang w:val="hy-AM"/>
              </w:rPr>
              <w:t>216,318.9</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b w:val="0"/>
                <w:bCs/>
                <w:i/>
                <w:iCs/>
                <w:color w:val="000000"/>
                <w:sz w:val="20"/>
                <w:szCs w:val="20"/>
              </w:rPr>
            </w:pPr>
            <w:r w:rsidRPr="00930860">
              <w:rPr>
                <w:sz w:val="20"/>
                <w:szCs w:val="20"/>
              </w:rPr>
              <w:t xml:space="preserve"> -  արտաքին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b w:val="0"/>
                <w:bCs/>
                <w:i/>
                <w:iCs/>
                <w:color w:val="000000"/>
                <w:sz w:val="18"/>
                <w:szCs w:val="18"/>
              </w:rPr>
            </w:pPr>
            <w:r w:rsidRPr="00930860">
              <w:rPr>
                <w:sz w:val="18"/>
                <w:szCs w:val="18"/>
              </w:rPr>
              <w:t>71,630.60</w:t>
            </w:r>
          </w:p>
        </w:tc>
        <w:tc>
          <w:tcPr>
            <w:tcW w:w="1928" w:type="dxa"/>
            <w:shd w:val="clear" w:color="000000" w:fill="FFFFFF"/>
            <w:hideMark/>
          </w:tcPr>
          <w:p w:rsidR="00AE0F80" w:rsidRPr="00930860" w:rsidRDefault="00AE0F80" w:rsidP="009F0F78">
            <w:pPr>
              <w:spacing w:before="0" w:line="240" w:lineRule="auto"/>
              <w:ind w:firstLine="0"/>
              <w:jc w:val="center"/>
              <w:rPr>
                <w:b w:val="0"/>
                <w:bCs/>
                <w:i/>
                <w:iCs/>
                <w:color w:val="000000"/>
                <w:sz w:val="18"/>
                <w:szCs w:val="18"/>
              </w:rPr>
            </w:pPr>
            <w:r w:rsidRPr="00930860">
              <w:rPr>
                <w:sz w:val="18"/>
                <w:szCs w:val="18"/>
              </w:rPr>
              <w:t>172,418.60</w:t>
            </w:r>
          </w:p>
        </w:tc>
        <w:tc>
          <w:tcPr>
            <w:tcW w:w="2056" w:type="dxa"/>
            <w:shd w:val="clear" w:color="000000" w:fill="FFFFFF"/>
            <w:hideMark/>
          </w:tcPr>
          <w:p w:rsidR="00AE0F80" w:rsidRPr="005B046E" w:rsidRDefault="00AE0F80" w:rsidP="009F0F78">
            <w:pPr>
              <w:spacing w:before="0" w:line="240" w:lineRule="auto"/>
              <w:ind w:firstLine="0"/>
              <w:jc w:val="center"/>
              <w:rPr>
                <w:b w:val="0"/>
                <w:bCs/>
                <w:i/>
                <w:iCs/>
                <w:color w:val="000000"/>
                <w:sz w:val="18"/>
                <w:szCs w:val="18"/>
                <w:lang w:val="hy-AM"/>
              </w:rPr>
            </w:pPr>
            <w:r>
              <w:rPr>
                <w:sz w:val="18"/>
                <w:szCs w:val="18"/>
                <w:lang w:val="hy-AM"/>
              </w:rPr>
              <w:t>83,311.1</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b w:val="0"/>
                <w:bCs/>
                <w:i/>
                <w:iCs/>
                <w:color w:val="000000"/>
                <w:sz w:val="20"/>
                <w:szCs w:val="20"/>
              </w:rPr>
            </w:pPr>
            <w:r w:rsidRPr="00930860">
              <w:rPr>
                <w:sz w:val="20"/>
                <w:szCs w:val="20"/>
              </w:rPr>
              <w:t xml:space="preserve"> -  ներքին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b w:val="0"/>
                <w:bCs/>
                <w:i/>
                <w:iCs/>
                <w:color w:val="000000"/>
                <w:sz w:val="18"/>
                <w:szCs w:val="18"/>
              </w:rPr>
            </w:pPr>
            <w:r w:rsidRPr="00930860">
              <w:rPr>
                <w:sz w:val="18"/>
                <w:szCs w:val="18"/>
              </w:rPr>
              <w:t>121,386.48</w:t>
            </w:r>
          </w:p>
        </w:tc>
        <w:tc>
          <w:tcPr>
            <w:tcW w:w="1928" w:type="dxa"/>
            <w:shd w:val="clear" w:color="000000" w:fill="FFFFFF"/>
            <w:hideMark/>
          </w:tcPr>
          <w:p w:rsidR="00AE0F80" w:rsidRPr="00930860" w:rsidRDefault="00AE0F80" w:rsidP="009F0F78">
            <w:pPr>
              <w:spacing w:before="0" w:line="240" w:lineRule="auto"/>
              <w:ind w:firstLine="0"/>
              <w:jc w:val="center"/>
              <w:rPr>
                <w:b w:val="0"/>
                <w:bCs/>
                <w:i/>
                <w:iCs/>
                <w:color w:val="000000"/>
                <w:sz w:val="18"/>
                <w:szCs w:val="18"/>
              </w:rPr>
            </w:pPr>
            <w:r w:rsidRPr="00930860">
              <w:rPr>
                <w:sz w:val="18"/>
                <w:szCs w:val="18"/>
              </w:rPr>
              <w:t>115,322.40</w:t>
            </w:r>
          </w:p>
        </w:tc>
        <w:tc>
          <w:tcPr>
            <w:tcW w:w="2056" w:type="dxa"/>
            <w:shd w:val="clear" w:color="000000" w:fill="FFFFFF"/>
            <w:hideMark/>
          </w:tcPr>
          <w:p w:rsidR="00AE0F80" w:rsidRPr="005B046E" w:rsidRDefault="00AE0F80" w:rsidP="009F0F78">
            <w:pPr>
              <w:spacing w:before="0" w:line="240" w:lineRule="auto"/>
              <w:ind w:firstLine="0"/>
              <w:jc w:val="center"/>
              <w:rPr>
                <w:b w:val="0"/>
                <w:bCs/>
                <w:i/>
                <w:iCs/>
                <w:color w:val="000000"/>
                <w:sz w:val="18"/>
                <w:szCs w:val="18"/>
                <w:lang w:val="hy-AM"/>
              </w:rPr>
            </w:pPr>
            <w:r>
              <w:rPr>
                <w:sz w:val="18"/>
                <w:szCs w:val="18"/>
                <w:lang w:val="hy-AM"/>
              </w:rPr>
              <w:t>133,007.8</w:t>
            </w:r>
          </w:p>
        </w:tc>
      </w:tr>
      <w:tr w:rsidR="00AE0F80" w:rsidRPr="00060A96" w:rsidTr="009F0F78">
        <w:trPr>
          <w:trHeight w:val="296"/>
        </w:trPr>
        <w:tc>
          <w:tcPr>
            <w:tcW w:w="3880" w:type="dxa"/>
            <w:shd w:val="clear" w:color="000000" w:fill="C6D9F1"/>
            <w:hideMark/>
          </w:tcPr>
          <w:p w:rsidR="00AE0F80" w:rsidRPr="00930860" w:rsidRDefault="00AE0F80" w:rsidP="009F0F78">
            <w:pPr>
              <w:spacing w:before="0" w:line="240" w:lineRule="auto"/>
              <w:ind w:firstLine="0"/>
              <w:rPr>
                <w:b w:val="0"/>
                <w:bCs/>
                <w:color w:val="000000"/>
                <w:sz w:val="20"/>
                <w:szCs w:val="20"/>
              </w:rPr>
            </w:pPr>
            <w:r w:rsidRPr="00930860">
              <w:rPr>
                <w:sz w:val="20"/>
                <w:szCs w:val="20"/>
              </w:rPr>
              <w:t xml:space="preserve"> Տրանսպորտ, այդ թվում </w:t>
            </w:r>
          </w:p>
        </w:tc>
        <w:tc>
          <w:tcPr>
            <w:tcW w:w="1922"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34,357.1</w:t>
            </w:r>
          </w:p>
        </w:tc>
        <w:tc>
          <w:tcPr>
            <w:tcW w:w="1928"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89,251.6</w:t>
            </w:r>
          </w:p>
        </w:tc>
        <w:tc>
          <w:tcPr>
            <w:tcW w:w="2056" w:type="dxa"/>
            <w:shd w:val="clear" w:color="000000" w:fill="C6D9F1"/>
            <w:hideMark/>
          </w:tcPr>
          <w:p w:rsidR="00AE0F80" w:rsidRPr="005B046E" w:rsidRDefault="00AE0F80" w:rsidP="009F0F78">
            <w:pPr>
              <w:spacing w:before="0" w:line="240" w:lineRule="auto"/>
              <w:ind w:firstLine="0"/>
              <w:jc w:val="center"/>
              <w:rPr>
                <w:b w:val="0"/>
                <w:bCs/>
                <w:color w:val="000000"/>
                <w:sz w:val="18"/>
                <w:szCs w:val="18"/>
                <w:lang w:val="hy-AM"/>
              </w:rPr>
            </w:pPr>
            <w:r>
              <w:rPr>
                <w:sz w:val="18"/>
                <w:szCs w:val="18"/>
                <w:lang w:val="hy-AM"/>
              </w:rPr>
              <w:t>58,832.5</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արտաքին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18,829.6</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67,692.00</w:t>
            </w:r>
          </w:p>
        </w:tc>
        <w:tc>
          <w:tcPr>
            <w:tcW w:w="2056" w:type="dxa"/>
            <w:shd w:val="clear" w:color="000000" w:fill="FFFFFF"/>
            <w:hideMark/>
          </w:tcPr>
          <w:p w:rsidR="00AE0F80" w:rsidRPr="005B046E" w:rsidRDefault="00AE0F80" w:rsidP="009F0F78">
            <w:pPr>
              <w:spacing w:before="0" w:line="240" w:lineRule="auto"/>
              <w:ind w:firstLine="0"/>
              <w:jc w:val="center"/>
              <w:rPr>
                <w:i/>
                <w:iCs/>
                <w:color w:val="000000"/>
                <w:sz w:val="18"/>
                <w:szCs w:val="18"/>
                <w:lang w:val="hy-AM"/>
              </w:rPr>
            </w:pPr>
            <w:r>
              <w:rPr>
                <w:sz w:val="18"/>
                <w:szCs w:val="18"/>
                <w:lang w:val="hy-AM"/>
              </w:rPr>
              <w:t>24,692.3</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ներքին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15,527.5</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21,559.60</w:t>
            </w:r>
          </w:p>
        </w:tc>
        <w:tc>
          <w:tcPr>
            <w:tcW w:w="2056"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34,140.2</w:t>
            </w:r>
          </w:p>
        </w:tc>
      </w:tr>
      <w:tr w:rsidR="00AE0F80" w:rsidRPr="00060A96" w:rsidTr="009F0F78">
        <w:trPr>
          <w:trHeight w:val="224"/>
        </w:trPr>
        <w:tc>
          <w:tcPr>
            <w:tcW w:w="3880" w:type="dxa"/>
            <w:shd w:val="clear" w:color="000000" w:fill="C6D9F1"/>
            <w:hideMark/>
          </w:tcPr>
          <w:p w:rsidR="00AE0F80" w:rsidRPr="00930860" w:rsidRDefault="00AE0F80" w:rsidP="009F0F78">
            <w:pPr>
              <w:spacing w:before="0" w:line="240" w:lineRule="auto"/>
              <w:ind w:firstLine="0"/>
              <w:rPr>
                <w:b w:val="0"/>
                <w:bCs/>
                <w:color w:val="000000"/>
                <w:sz w:val="20"/>
                <w:szCs w:val="20"/>
              </w:rPr>
            </w:pPr>
            <w:r w:rsidRPr="00930860">
              <w:rPr>
                <w:sz w:val="20"/>
                <w:szCs w:val="20"/>
              </w:rPr>
              <w:t xml:space="preserve"> Էներգետիկա, այդ թվում </w:t>
            </w:r>
          </w:p>
        </w:tc>
        <w:tc>
          <w:tcPr>
            <w:tcW w:w="1922"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4,488.8</w:t>
            </w:r>
          </w:p>
        </w:tc>
        <w:tc>
          <w:tcPr>
            <w:tcW w:w="1928"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3,477.9</w:t>
            </w:r>
          </w:p>
        </w:tc>
        <w:tc>
          <w:tcPr>
            <w:tcW w:w="2056" w:type="dxa"/>
            <w:shd w:val="clear" w:color="000000" w:fill="C6D9F1"/>
            <w:hideMark/>
          </w:tcPr>
          <w:p w:rsidR="00AE0F80" w:rsidRPr="005B046E" w:rsidRDefault="00AE0F80" w:rsidP="009F0F78">
            <w:pPr>
              <w:spacing w:before="0" w:line="240" w:lineRule="auto"/>
              <w:ind w:firstLine="0"/>
              <w:jc w:val="center"/>
              <w:rPr>
                <w:b w:val="0"/>
                <w:bCs/>
                <w:color w:val="000000"/>
                <w:sz w:val="18"/>
                <w:szCs w:val="18"/>
                <w:lang w:val="hy-AM"/>
              </w:rPr>
            </w:pPr>
            <w:r>
              <w:rPr>
                <w:sz w:val="18"/>
                <w:szCs w:val="18"/>
                <w:lang w:val="hy-AM"/>
              </w:rPr>
              <w:t>1,207.0</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արտաքին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4,488.8</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3,477.90</w:t>
            </w:r>
          </w:p>
        </w:tc>
        <w:tc>
          <w:tcPr>
            <w:tcW w:w="2056" w:type="dxa"/>
            <w:shd w:val="clear" w:color="000000" w:fill="FFFFFF"/>
            <w:hideMark/>
          </w:tcPr>
          <w:p w:rsidR="00AE0F80" w:rsidRPr="005B046E" w:rsidRDefault="00AE0F80" w:rsidP="009F0F78">
            <w:pPr>
              <w:spacing w:before="0" w:line="240" w:lineRule="auto"/>
              <w:ind w:firstLine="0"/>
              <w:jc w:val="center"/>
              <w:rPr>
                <w:i/>
                <w:iCs/>
                <w:color w:val="000000"/>
                <w:sz w:val="18"/>
                <w:szCs w:val="18"/>
                <w:lang w:val="hy-AM"/>
              </w:rPr>
            </w:pPr>
            <w:r>
              <w:rPr>
                <w:sz w:val="18"/>
                <w:szCs w:val="18"/>
                <w:lang w:val="hy-AM"/>
              </w:rPr>
              <w:t>1,207.0</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ներքին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0.0</w:t>
            </w:r>
          </w:p>
        </w:tc>
        <w:tc>
          <w:tcPr>
            <w:tcW w:w="1928" w:type="dxa"/>
            <w:shd w:val="clear" w:color="000000" w:fill="FFFFFF"/>
            <w:hideMark/>
          </w:tcPr>
          <w:p w:rsidR="00AE0F80" w:rsidRPr="00930860" w:rsidRDefault="00AE0F80" w:rsidP="009F0F78">
            <w:pPr>
              <w:spacing w:before="0" w:line="240" w:lineRule="auto"/>
              <w:ind w:firstLine="0"/>
              <w:jc w:val="center"/>
              <w:rPr>
                <w:color w:val="000000"/>
                <w:sz w:val="18"/>
                <w:szCs w:val="18"/>
              </w:rPr>
            </w:pPr>
            <w:r w:rsidRPr="00930860">
              <w:rPr>
                <w:sz w:val="18"/>
                <w:szCs w:val="18"/>
              </w:rPr>
              <w:t xml:space="preserve">0.0 </w:t>
            </w:r>
          </w:p>
        </w:tc>
        <w:tc>
          <w:tcPr>
            <w:tcW w:w="2056" w:type="dxa"/>
            <w:shd w:val="clear" w:color="000000" w:fill="FFFFFF"/>
            <w:hideMark/>
          </w:tcPr>
          <w:p w:rsidR="00AE0F80" w:rsidRPr="00930860" w:rsidRDefault="00AE0F80" w:rsidP="009F0F78">
            <w:pPr>
              <w:spacing w:before="0" w:line="240" w:lineRule="auto"/>
              <w:ind w:firstLine="0"/>
              <w:jc w:val="center"/>
              <w:rPr>
                <w:color w:val="000000"/>
                <w:sz w:val="18"/>
                <w:szCs w:val="18"/>
              </w:rPr>
            </w:pPr>
            <w:r w:rsidRPr="00930860">
              <w:rPr>
                <w:sz w:val="18"/>
                <w:szCs w:val="18"/>
              </w:rPr>
              <w:t xml:space="preserve">0.0 </w:t>
            </w:r>
          </w:p>
        </w:tc>
      </w:tr>
      <w:tr w:rsidR="00AE0F80" w:rsidRPr="00060A96" w:rsidTr="009F0F78">
        <w:trPr>
          <w:trHeight w:val="611"/>
        </w:trPr>
        <w:tc>
          <w:tcPr>
            <w:tcW w:w="3880" w:type="dxa"/>
            <w:shd w:val="clear" w:color="000000" w:fill="C6D9F1"/>
            <w:hideMark/>
          </w:tcPr>
          <w:p w:rsidR="00AE0F80" w:rsidRPr="00930860" w:rsidRDefault="00AE0F80" w:rsidP="009F0F78">
            <w:pPr>
              <w:spacing w:before="0" w:line="240" w:lineRule="auto"/>
              <w:ind w:firstLine="0"/>
              <w:jc w:val="left"/>
              <w:rPr>
                <w:b w:val="0"/>
                <w:bCs/>
                <w:color w:val="000000"/>
                <w:sz w:val="20"/>
                <w:szCs w:val="20"/>
              </w:rPr>
            </w:pPr>
            <w:r w:rsidRPr="00930860">
              <w:rPr>
                <w:sz w:val="20"/>
                <w:szCs w:val="20"/>
              </w:rPr>
              <w:t xml:space="preserve"> Շրջակա միջավայր և գյուղատնտեսություն </w:t>
            </w:r>
          </w:p>
        </w:tc>
        <w:tc>
          <w:tcPr>
            <w:tcW w:w="1922"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3,904.1</w:t>
            </w:r>
          </w:p>
        </w:tc>
        <w:tc>
          <w:tcPr>
            <w:tcW w:w="1928"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10,627.3</w:t>
            </w:r>
          </w:p>
        </w:tc>
        <w:tc>
          <w:tcPr>
            <w:tcW w:w="2056" w:type="dxa"/>
            <w:shd w:val="clear" w:color="000000" w:fill="C6D9F1"/>
            <w:hideMark/>
          </w:tcPr>
          <w:p w:rsidR="00AE0F80" w:rsidRPr="005B046E" w:rsidRDefault="00AE0F80" w:rsidP="009F0F78">
            <w:pPr>
              <w:spacing w:before="0" w:line="240" w:lineRule="auto"/>
              <w:ind w:firstLine="0"/>
              <w:jc w:val="center"/>
              <w:rPr>
                <w:b w:val="0"/>
                <w:bCs/>
                <w:color w:val="000000"/>
                <w:sz w:val="18"/>
                <w:szCs w:val="18"/>
                <w:lang w:val="hy-AM"/>
              </w:rPr>
            </w:pPr>
            <w:r>
              <w:rPr>
                <w:sz w:val="18"/>
                <w:szCs w:val="18"/>
                <w:lang w:val="hy-AM"/>
              </w:rPr>
              <w:t>7,293.6</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արտաքին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3,557.7</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10,007.20</w:t>
            </w:r>
          </w:p>
        </w:tc>
        <w:tc>
          <w:tcPr>
            <w:tcW w:w="2056" w:type="dxa"/>
            <w:shd w:val="clear" w:color="000000" w:fill="FFFFFF"/>
            <w:hideMark/>
          </w:tcPr>
          <w:p w:rsidR="00AE0F80" w:rsidRPr="005B046E" w:rsidRDefault="00AE0F80" w:rsidP="009F0F78">
            <w:pPr>
              <w:spacing w:before="0" w:line="240" w:lineRule="auto"/>
              <w:ind w:firstLine="0"/>
              <w:jc w:val="center"/>
              <w:rPr>
                <w:i/>
                <w:iCs/>
                <w:color w:val="000000"/>
                <w:sz w:val="18"/>
                <w:szCs w:val="18"/>
                <w:lang w:val="hy-AM"/>
              </w:rPr>
            </w:pPr>
            <w:r>
              <w:rPr>
                <w:sz w:val="18"/>
                <w:szCs w:val="18"/>
                <w:lang w:val="hy-AM"/>
              </w:rPr>
              <w:t>6,754.1</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ներքին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346.3</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620.1</w:t>
            </w:r>
          </w:p>
        </w:tc>
        <w:tc>
          <w:tcPr>
            <w:tcW w:w="2056"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539.5</w:t>
            </w:r>
          </w:p>
        </w:tc>
      </w:tr>
      <w:tr w:rsidR="00AE0F80" w:rsidRPr="00060A96" w:rsidTr="009F0F78">
        <w:trPr>
          <w:trHeight w:val="296"/>
        </w:trPr>
        <w:tc>
          <w:tcPr>
            <w:tcW w:w="3880" w:type="dxa"/>
            <w:shd w:val="clear" w:color="000000" w:fill="C6D9F1"/>
            <w:hideMark/>
          </w:tcPr>
          <w:p w:rsidR="00AE0F80" w:rsidRPr="00930860" w:rsidRDefault="00AE0F80" w:rsidP="009F0F78">
            <w:pPr>
              <w:spacing w:before="0" w:line="240" w:lineRule="auto"/>
              <w:ind w:firstLine="0"/>
              <w:jc w:val="left"/>
              <w:rPr>
                <w:b w:val="0"/>
                <w:bCs/>
                <w:color w:val="000000"/>
                <w:sz w:val="20"/>
                <w:szCs w:val="20"/>
              </w:rPr>
            </w:pPr>
            <w:r w:rsidRPr="00930860">
              <w:rPr>
                <w:sz w:val="20"/>
                <w:szCs w:val="20"/>
              </w:rPr>
              <w:t xml:space="preserve"> Ջրային տնտեսություն </w:t>
            </w:r>
          </w:p>
        </w:tc>
        <w:tc>
          <w:tcPr>
            <w:tcW w:w="1922"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6,819.5</w:t>
            </w:r>
          </w:p>
        </w:tc>
        <w:tc>
          <w:tcPr>
            <w:tcW w:w="1928"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38,796.5</w:t>
            </w:r>
          </w:p>
        </w:tc>
        <w:tc>
          <w:tcPr>
            <w:tcW w:w="2056" w:type="dxa"/>
            <w:shd w:val="clear" w:color="000000" w:fill="C6D9F1"/>
            <w:hideMark/>
          </w:tcPr>
          <w:p w:rsidR="00AE0F80" w:rsidRPr="005B046E" w:rsidRDefault="00AE0F80" w:rsidP="009F0F78">
            <w:pPr>
              <w:spacing w:before="0" w:line="240" w:lineRule="auto"/>
              <w:ind w:firstLine="0"/>
              <w:jc w:val="center"/>
              <w:rPr>
                <w:b w:val="0"/>
                <w:bCs/>
                <w:color w:val="000000"/>
                <w:sz w:val="18"/>
                <w:szCs w:val="18"/>
                <w:lang w:val="hy-AM"/>
              </w:rPr>
            </w:pPr>
            <w:r>
              <w:rPr>
                <w:sz w:val="18"/>
                <w:szCs w:val="18"/>
                <w:lang w:val="hy-AM"/>
              </w:rPr>
              <w:t>20,151.4</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արտաքին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4,661.9</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38,382.20</w:t>
            </w:r>
          </w:p>
        </w:tc>
        <w:tc>
          <w:tcPr>
            <w:tcW w:w="2056" w:type="dxa"/>
            <w:shd w:val="clear" w:color="000000" w:fill="FFFFFF"/>
            <w:hideMark/>
          </w:tcPr>
          <w:p w:rsidR="00AE0F80" w:rsidRPr="005B046E" w:rsidRDefault="00AE0F80" w:rsidP="009F0F78">
            <w:pPr>
              <w:spacing w:before="0" w:line="240" w:lineRule="auto"/>
              <w:ind w:firstLine="0"/>
              <w:jc w:val="center"/>
              <w:rPr>
                <w:i/>
                <w:iCs/>
                <w:color w:val="000000"/>
                <w:sz w:val="18"/>
                <w:szCs w:val="18"/>
                <w:lang w:val="hy-AM"/>
              </w:rPr>
            </w:pPr>
            <w:r>
              <w:rPr>
                <w:sz w:val="18"/>
                <w:szCs w:val="18"/>
                <w:lang w:val="hy-AM"/>
              </w:rPr>
              <w:t>18,464.4</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ներքին աղբյուրներ </w:t>
            </w:r>
          </w:p>
        </w:tc>
        <w:tc>
          <w:tcPr>
            <w:tcW w:w="1922" w:type="dxa"/>
            <w:shd w:val="clear" w:color="auto" w:fill="auto"/>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2,157.6</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414.3</w:t>
            </w:r>
          </w:p>
        </w:tc>
        <w:tc>
          <w:tcPr>
            <w:tcW w:w="2056"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1,687.0</w:t>
            </w:r>
          </w:p>
        </w:tc>
      </w:tr>
      <w:tr w:rsidR="00AE0F80" w:rsidRPr="00060A96" w:rsidTr="009F0F78">
        <w:trPr>
          <w:trHeight w:val="206"/>
        </w:trPr>
        <w:tc>
          <w:tcPr>
            <w:tcW w:w="3880" w:type="dxa"/>
            <w:shd w:val="clear" w:color="000000" w:fill="C6D9F1"/>
            <w:hideMark/>
          </w:tcPr>
          <w:p w:rsidR="00AE0F80" w:rsidRPr="00930860" w:rsidRDefault="00AE0F80" w:rsidP="009F0F78">
            <w:pPr>
              <w:spacing w:before="0" w:line="240" w:lineRule="auto"/>
              <w:ind w:firstLine="0"/>
              <w:rPr>
                <w:b w:val="0"/>
                <w:bCs/>
                <w:color w:val="000000"/>
                <w:sz w:val="20"/>
                <w:szCs w:val="20"/>
              </w:rPr>
            </w:pPr>
            <w:r w:rsidRPr="00930860">
              <w:rPr>
                <w:sz w:val="20"/>
                <w:szCs w:val="20"/>
              </w:rPr>
              <w:t xml:space="preserve"> Առողջապահություն </w:t>
            </w:r>
          </w:p>
        </w:tc>
        <w:tc>
          <w:tcPr>
            <w:tcW w:w="1922"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1,979.3</w:t>
            </w:r>
          </w:p>
        </w:tc>
        <w:tc>
          <w:tcPr>
            <w:tcW w:w="1928"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863.9</w:t>
            </w:r>
          </w:p>
        </w:tc>
        <w:tc>
          <w:tcPr>
            <w:tcW w:w="2056" w:type="dxa"/>
            <w:shd w:val="clear" w:color="000000" w:fill="C6D9F1"/>
            <w:hideMark/>
          </w:tcPr>
          <w:p w:rsidR="00AE0F80" w:rsidRPr="005B046E" w:rsidRDefault="00AE0F80" w:rsidP="009F0F78">
            <w:pPr>
              <w:spacing w:before="0" w:line="240" w:lineRule="auto"/>
              <w:ind w:firstLine="0"/>
              <w:jc w:val="center"/>
              <w:rPr>
                <w:b w:val="0"/>
                <w:bCs/>
                <w:color w:val="000000"/>
                <w:sz w:val="18"/>
                <w:szCs w:val="18"/>
                <w:lang w:val="hy-AM"/>
              </w:rPr>
            </w:pPr>
            <w:r>
              <w:rPr>
                <w:sz w:val="18"/>
                <w:szCs w:val="18"/>
                <w:lang w:val="hy-AM"/>
              </w:rPr>
              <w:t>3,960.7</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արտաքին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529.6</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863.9</w:t>
            </w:r>
          </w:p>
        </w:tc>
        <w:tc>
          <w:tcPr>
            <w:tcW w:w="2056" w:type="dxa"/>
            <w:shd w:val="clear" w:color="000000" w:fill="FFFFFF"/>
            <w:hideMark/>
          </w:tcPr>
          <w:p w:rsidR="00AE0F80" w:rsidRPr="005B046E" w:rsidRDefault="00AE0F80" w:rsidP="009F0F78">
            <w:pPr>
              <w:spacing w:before="0" w:line="240" w:lineRule="auto"/>
              <w:ind w:firstLine="0"/>
              <w:jc w:val="center"/>
              <w:rPr>
                <w:i/>
                <w:iCs/>
                <w:color w:val="000000"/>
                <w:sz w:val="18"/>
                <w:szCs w:val="18"/>
                <w:lang w:val="hy-AM"/>
              </w:rPr>
            </w:pPr>
            <w:r>
              <w:rPr>
                <w:sz w:val="18"/>
                <w:szCs w:val="18"/>
                <w:lang w:val="hy-AM"/>
              </w:rPr>
              <w:t>960.7</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ներքին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1,449.6</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 xml:space="preserve"> </w:t>
            </w:r>
          </w:p>
        </w:tc>
        <w:tc>
          <w:tcPr>
            <w:tcW w:w="2056"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3,000.0</w:t>
            </w:r>
          </w:p>
        </w:tc>
      </w:tr>
      <w:tr w:rsidR="00AE0F80" w:rsidRPr="00060A96" w:rsidTr="009F0F78">
        <w:trPr>
          <w:trHeight w:val="512"/>
        </w:trPr>
        <w:tc>
          <w:tcPr>
            <w:tcW w:w="3880" w:type="dxa"/>
            <w:shd w:val="clear" w:color="000000" w:fill="C6D9F1"/>
            <w:hideMark/>
          </w:tcPr>
          <w:p w:rsidR="00AE0F80" w:rsidRPr="00930860" w:rsidRDefault="00AE0F80" w:rsidP="009F0F78">
            <w:pPr>
              <w:spacing w:before="0" w:line="240" w:lineRule="auto"/>
              <w:ind w:firstLine="0"/>
              <w:jc w:val="left"/>
              <w:rPr>
                <w:b w:val="0"/>
                <w:bCs/>
                <w:color w:val="000000"/>
                <w:sz w:val="20"/>
                <w:szCs w:val="20"/>
              </w:rPr>
            </w:pPr>
            <w:r w:rsidRPr="00930860">
              <w:rPr>
                <w:sz w:val="20"/>
                <w:szCs w:val="20"/>
              </w:rPr>
              <w:t xml:space="preserve">Կրթություն, գիտություն մշակույթ և սպորտ </w:t>
            </w:r>
          </w:p>
        </w:tc>
        <w:tc>
          <w:tcPr>
            <w:tcW w:w="1922"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4,774.1</w:t>
            </w:r>
          </w:p>
        </w:tc>
        <w:tc>
          <w:tcPr>
            <w:tcW w:w="1928"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18,413.6</w:t>
            </w:r>
          </w:p>
        </w:tc>
        <w:tc>
          <w:tcPr>
            <w:tcW w:w="2056" w:type="dxa"/>
            <w:shd w:val="clear" w:color="000000" w:fill="C6D9F1"/>
            <w:hideMark/>
          </w:tcPr>
          <w:p w:rsidR="00AE0F80" w:rsidRPr="005B046E" w:rsidRDefault="00AE0F80" w:rsidP="009F0F78">
            <w:pPr>
              <w:spacing w:before="0" w:line="240" w:lineRule="auto"/>
              <w:ind w:firstLine="0"/>
              <w:jc w:val="center"/>
              <w:rPr>
                <w:b w:val="0"/>
                <w:bCs/>
                <w:color w:val="000000"/>
                <w:sz w:val="18"/>
                <w:szCs w:val="18"/>
                <w:lang w:val="hy-AM"/>
              </w:rPr>
            </w:pPr>
            <w:r>
              <w:rPr>
                <w:sz w:val="18"/>
                <w:szCs w:val="18"/>
                <w:lang w:val="hy-AM"/>
              </w:rPr>
              <w:t>9,976.8</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արտաքին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1,672.4</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13,973.60</w:t>
            </w:r>
          </w:p>
        </w:tc>
        <w:tc>
          <w:tcPr>
            <w:tcW w:w="2056" w:type="dxa"/>
            <w:shd w:val="clear" w:color="000000" w:fill="FFFFFF"/>
            <w:hideMark/>
          </w:tcPr>
          <w:p w:rsidR="00AE0F80" w:rsidRPr="005B046E" w:rsidRDefault="00AE0F80" w:rsidP="009F0F78">
            <w:pPr>
              <w:spacing w:before="0" w:line="240" w:lineRule="auto"/>
              <w:ind w:firstLine="0"/>
              <w:jc w:val="center"/>
              <w:rPr>
                <w:i/>
                <w:iCs/>
                <w:color w:val="000000"/>
                <w:sz w:val="18"/>
                <w:szCs w:val="18"/>
                <w:lang w:val="hy-AM"/>
              </w:rPr>
            </w:pPr>
            <w:r>
              <w:rPr>
                <w:sz w:val="18"/>
                <w:szCs w:val="18"/>
                <w:lang w:val="hy-AM"/>
              </w:rPr>
              <w:t>8,539.6</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ներքին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3,101.7</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4,440.00</w:t>
            </w:r>
          </w:p>
        </w:tc>
        <w:tc>
          <w:tcPr>
            <w:tcW w:w="2056"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1,437.2</w:t>
            </w:r>
          </w:p>
        </w:tc>
      </w:tr>
      <w:tr w:rsidR="00AE0F80" w:rsidRPr="00060A96" w:rsidTr="009F0F78">
        <w:trPr>
          <w:trHeight w:val="179"/>
        </w:trPr>
        <w:tc>
          <w:tcPr>
            <w:tcW w:w="3880" w:type="dxa"/>
            <w:shd w:val="clear" w:color="000000" w:fill="C6D9F1"/>
            <w:hideMark/>
          </w:tcPr>
          <w:p w:rsidR="00AE0F80" w:rsidRPr="00930860" w:rsidRDefault="00AE0F80" w:rsidP="009F0F78">
            <w:pPr>
              <w:spacing w:before="0" w:line="240" w:lineRule="auto"/>
              <w:ind w:firstLine="0"/>
              <w:rPr>
                <w:b w:val="0"/>
                <w:bCs/>
                <w:color w:val="000000"/>
                <w:sz w:val="20"/>
                <w:szCs w:val="20"/>
              </w:rPr>
            </w:pPr>
            <w:r w:rsidRPr="00930860">
              <w:rPr>
                <w:sz w:val="20"/>
                <w:szCs w:val="20"/>
              </w:rPr>
              <w:t xml:space="preserve"> Սոցապ </w:t>
            </w:r>
          </w:p>
        </w:tc>
        <w:tc>
          <w:tcPr>
            <w:tcW w:w="1922"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546.5</w:t>
            </w:r>
          </w:p>
        </w:tc>
        <w:tc>
          <w:tcPr>
            <w:tcW w:w="1928"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4,338.3</w:t>
            </w:r>
          </w:p>
        </w:tc>
        <w:tc>
          <w:tcPr>
            <w:tcW w:w="2056" w:type="dxa"/>
            <w:shd w:val="clear" w:color="000000" w:fill="C6D9F1"/>
            <w:hideMark/>
          </w:tcPr>
          <w:p w:rsidR="00AE0F80" w:rsidRPr="005B046E" w:rsidRDefault="00AE0F80" w:rsidP="009F0F78">
            <w:pPr>
              <w:spacing w:before="0" w:line="240" w:lineRule="auto"/>
              <w:ind w:firstLine="0"/>
              <w:jc w:val="center"/>
              <w:rPr>
                <w:b w:val="0"/>
                <w:bCs/>
                <w:color w:val="000000"/>
                <w:sz w:val="18"/>
                <w:szCs w:val="18"/>
                <w:lang w:val="hy-AM"/>
              </w:rPr>
            </w:pPr>
            <w:r>
              <w:rPr>
                <w:sz w:val="18"/>
                <w:szCs w:val="18"/>
                <w:lang w:val="hy-AM"/>
              </w:rPr>
              <w:t>2,500.1</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արտաքին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464.9</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3,816.30</w:t>
            </w:r>
          </w:p>
        </w:tc>
        <w:tc>
          <w:tcPr>
            <w:tcW w:w="2056" w:type="dxa"/>
            <w:shd w:val="clear" w:color="000000" w:fill="FFFFFF"/>
            <w:hideMark/>
          </w:tcPr>
          <w:p w:rsidR="00AE0F80" w:rsidRPr="005B046E" w:rsidRDefault="00AE0F80" w:rsidP="009F0F78">
            <w:pPr>
              <w:spacing w:before="0" w:line="240" w:lineRule="auto"/>
              <w:ind w:firstLine="0"/>
              <w:jc w:val="center"/>
              <w:rPr>
                <w:i/>
                <w:iCs/>
                <w:color w:val="000000"/>
                <w:sz w:val="18"/>
                <w:szCs w:val="18"/>
                <w:lang w:val="hy-AM"/>
              </w:rPr>
            </w:pPr>
            <w:r>
              <w:rPr>
                <w:sz w:val="18"/>
                <w:szCs w:val="18"/>
                <w:lang w:val="hy-AM"/>
              </w:rPr>
              <w:t>1,209.5</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ներքին աղբյուրներ </w:t>
            </w:r>
          </w:p>
        </w:tc>
        <w:tc>
          <w:tcPr>
            <w:tcW w:w="1922" w:type="dxa"/>
            <w:shd w:val="clear" w:color="auto" w:fill="auto"/>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81.6</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522</w:t>
            </w:r>
          </w:p>
        </w:tc>
        <w:tc>
          <w:tcPr>
            <w:tcW w:w="2056"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1,290.6</w:t>
            </w:r>
          </w:p>
        </w:tc>
      </w:tr>
      <w:tr w:rsidR="00AE0F80" w:rsidRPr="00060A96" w:rsidTr="009F0F78">
        <w:trPr>
          <w:trHeight w:val="296"/>
        </w:trPr>
        <w:tc>
          <w:tcPr>
            <w:tcW w:w="3880" w:type="dxa"/>
            <w:shd w:val="clear" w:color="000000" w:fill="C6D9F1"/>
            <w:hideMark/>
          </w:tcPr>
          <w:p w:rsidR="00AE0F80" w:rsidRPr="00930860" w:rsidRDefault="00AE0F80" w:rsidP="009F0F78">
            <w:pPr>
              <w:spacing w:before="0" w:line="240" w:lineRule="auto"/>
              <w:ind w:firstLine="0"/>
              <w:jc w:val="left"/>
              <w:rPr>
                <w:b w:val="0"/>
                <w:bCs/>
                <w:color w:val="000000"/>
                <w:sz w:val="20"/>
                <w:szCs w:val="20"/>
              </w:rPr>
            </w:pPr>
            <w:r w:rsidRPr="00930860">
              <w:rPr>
                <w:sz w:val="20"/>
                <w:szCs w:val="20"/>
              </w:rPr>
              <w:t xml:space="preserve"> Ուժային </w:t>
            </w:r>
          </w:p>
        </w:tc>
        <w:tc>
          <w:tcPr>
            <w:tcW w:w="1922"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114,347.4</w:t>
            </w:r>
          </w:p>
        </w:tc>
        <w:tc>
          <w:tcPr>
            <w:tcW w:w="1928"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95,310.1</w:t>
            </w:r>
          </w:p>
        </w:tc>
        <w:tc>
          <w:tcPr>
            <w:tcW w:w="2056"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87,606.6</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արտաքին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31,389.0</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12,959.10</w:t>
            </w:r>
          </w:p>
        </w:tc>
        <w:tc>
          <w:tcPr>
            <w:tcW w:w="2056"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 xml:space="preserve">0.0 </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ներքին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82,958.4</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82,351.00</w:t>
            </w:r>
          </w:p>
        </w:tc>
        <w:tc>
          <w:tcPr>
            <w:tcW w:w="2056"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87,606.6</w:t>
            </w:r>
          </w:p>
        </w:tc>
      </w:tr>
      <w:tr w:rsidR="00AE0F80" w:rsidRPr="00060A96" w:rsidTr="009F0F78">
        <w:trPr>
          <w:trHeight w:val="296"/>
        </w:trPr>
        <w:tc>
          <w:tcPr>
            <w:tcW w:w="3880" w:type="dxa"/>
            <w:shd w:val="clear" w:color="000000" w:fill="C6D9F1"/>
            <w:noWrap/>
            <w:hideMark/>
          </w:tcPr>
          <w:p w:rsidR="00AE0F80" w:rsidRPr="00930860" w:rsidRDefault="00AE0F80" w:rsidP="009F0F78">
            <w:pPr>
              <w:spacing w:before="0" w:line="240" w:lineRule="auto"/>
              <w:ind w:firstLine="0"/>
              <w:rPr>
                <w:b w:val="0"/>
                <w:bCs/>
                <w:color w:val="000000"/>
                <w:sz w:val="20"/>
                <w:szCs w:val="20"/>
              </w:rPr>
            </w:pPr>
            <w:r w:rsidRPr="00930860">
              <w:rPr>
                <w:sz w:val="20"/>
                <w:szCs w:val="20"/>
              </w:rPr>
              <w:t xml:space="preserve"> Այլ </w:t>
            </w:r>
          </w:p>
        </w:tc>
        <w:tc>
          <w:tcPr>
            <w:tcW w:w="1922"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21,800.4</w:t>
            </w:r>
          </w:p>
        </w:tc>
        <w:tc>
          <w:tcPr>
            <w:tcW w:w="1928" w:type="dxa"/>
            <w:shd w:val="clear" w:color="000000" w:fill="C6D9F1"/>
            <w:hideMark/>
          </w:tcPr>
          <w:p w:rsidR="00AE0F80" w:rsidRPr="00930860" w:rsidRDefault="00AE0F80" w:rsidP="009F0F78">
            <w:pPr>
              <w:spacing w:before="0" w:line="240" w:lineRule="auto"/>
              <w:ind w:firstLine="0"/>
              <w:jc w:val="center"/>
              <w:rPr>
                <w:b w:val="0"/>
                <w:bCs/>
                <w:color w:val="000000"/>
                <w:sz w:val="18"/>
                <w:szCs w:val="18"/>
              </w:rPr>
            </w:pPr>
            <w:r w:rsidRPr="00930860">
              <w:rPr>
                <w:sz w:val="18"/>
                <w:szCs w:val="18"/>
              </w:rPr>
              <w:t>26,661.7</w:t>
            </w:r>
          </w:p>
        </w:tc>
        <w:tc>
          <w:tcPr>
            <w:tcW w:w="2056" w:type="dxa"/>
            <w:shd w:val="clear" w:color="000000" w:fill="C6D9F1"/>
            <w:hideMark/>
          </w:tcPr>
          <w:p w:rsidR="00AE0F80" w:rsidRPr="005B046E" w:rsidRDefault="00AE0F80" w:rsidP="009F0F78">
            <w:pPr>
              <w:spacing w:before="0" w:line="240" w:lineRule="auto"/>
              <w:ind w:firstLine="0"/>
              <w:jc w:val="center"/>
              <w:rPr>
                <w:b w:val="0"/>
                <w:bCs/>
                <w:color w:val="000000"/>
                <w:sz w:val="18"/>
                <w:szCs w:val="18"/>
                <w:lang w:val="hy-AM"/>
              </w:rPr>
            </w:pPr>
            <w:r>
              <w:rPr>
                <w:sz w:val="18"/>
                <w:szCs w:val="18"/>
                <w:lang w:val="hy-AM"/>
              </w:rPr>
              <w:t>24,790.2</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արտաքին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6,036.60</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21,246.30</w:t>
            </w:r>
          </w:p>
        </w:tc>
        <w:tc>
          <w:tcPr>
            <w:tcW w:w="2056" w:type="dxa"/>
            <w:shd w:val="clear" w:color="000000" w:fill="FFFFFF"/>
            <w:hideMark/>
          </w:tcPr>
          <w:p w:rsidR="00AE0F80" w:rsidRPr="005B046E" w:rsidRDefault="00AE0F80" w:rsidP="009F0F78">
            <w:pPr>
              <w:spacing w:before="0" w:line="240" w:lineRule="auto"/>
              <w:ind w:firstLine="0"/>
              <w:jc w:val="center"/>
              <w:rPr>
                <w:i/>
                <w:iCs/>
                <w:color w:val="000000"/>
                <w:sz w:val="18"/>
                <w:szCs w:val="18"/>
                <w:lang w:val="hy-AM"/>
              </w:rPr>
            </w:pPr>
            <w:r>
              <w:rPr>
                <w:sz w:val="18"/>
                <w:szCs w:val="18"/>
                <w:lang w:val="hy-AM"/>
              </w:rPr>
              <w:t>21,483.5</w:t>
            </w:r>
          </w:p>
        </w:tc>
      </w:tr>
      <w:tr w:rsidR="00AE0F80" w:rsidRPr="00060A96" w:rsidTr="009F0F78">
        <w:trPr>
          <w:trHeight w:val="420"/>
        </w:trPr>
        <w:tc>
          <w:tcPr>
            <w:tcW w:w="3880" w:type="dxa"/>
            <w:shd w:val="clear" w:color="000000" w:fill="FFFFFF"/>
            <w:noWrap/>
            <w:hideMark/>
          </w:tcPr>
          <w:p w:rsidR="00AE0F80" w:rsidRPr="00930860" w:rsidRDefault="00AE0F80" w:rsidP="009F0F78">
            <w:pPr>
              <w:spacing w:before="0" w:line="240" w:lineRule="auto"/>
              <w:ind w:firstLine="0"/>
              <w:rPr>
                <w:i/>
                <w:iCs/>
                <w:color w:val="000000"/>
                <w:sz w:val="20"/>
                <w:szCs w:val="20"/>
              </w:rPr>
            </w:pPr>
            <w:r w:rsidRPr="00930860">
              <w:rPr>
                <w:sz w:val="20"/>
                <w:szCs w:val="20"/>
              </w:rPr>
              <w:t xml:space="preserve"> -  ներքին աղբյուրներ </w:t>
            </w:r>
          </w:p>
        </w:tc>
        <w:tc>
          <w:tcPr>
            <w:tcW w:w="1922"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15,763.80</w:t>
            </w:r>
          </w:p>
        </w:tc>
        <w:tc>
          <w:tcPr>
            <w:tcW w:w="1928" w:type="dxa"/>
            <w:shd w:val="clear" w:color="000000" w:fill="FFFFFF"/>
            <w:hideMark/>
          </w:tcPr>
          <w:p w:rsidR="00AE0F80" w:rsidRPr="00930860" w:rsidRDefault="00AE0F80" w:rsidP="009F0F78">
            <w:pPr>
              <w:spacing w:before="0" w:line="240" w:lineRule="auto"/>
              <w:ind w:firstLine="0"/>
              <w:jc w:val="center"/>
              <w:rPr>
                <w:i/>
                <w:iCs/>
                <w:color w:val="000000"/>
                <w:sz w:val="18"/>
                <w:szCs w:val="18"/>
              </w:rPr>
            </w:pPr>
            <w:r w:rsidRPr="00930860">
              <w:rPr>
                <w:sz w:val="18"/>
                <w:szCs w:val="18"/>
              </w:rPr>
              <w:t>5,415.40</w:t>
            </w:r>
          </w:p>
        </w:tc>
        <w:tc>
          <w:tcPr>
            <w:tcW w:w="2056" w:type="dxa"/>
            <w:shd w:val="clear" w:color="000000" w:fill="FFFFFF"/>
            <w:hideMark/>
          </w:tcPr>
          <w:p w:rsidR="00AE0F80" w:rsidRPr="005B046E" w:rsidRDefault="00AE0F80" w:rsidP="009F0F78">
            <w:pPr>
              <w:spacing w:before="0" w:line="240" w:lineRule="auto"/>
              <w:ind w:firstLine="0"/>
              <w:jc w:val="center"/>
              <w:rPr>
                <w:i/>
                <w:iCs/>
                <w:color w:val="000000"/>
                <w:sz w:val="18"/>
                <w:szCs w:val="18"/>
                <w:lang w:val="hy-AM"/>
              </w:rPr>
            </w:pPr>
            <w:r>
              <w:rPr>
                <w:sz w:val="18"/>
                <w:szCs w:val="18"/>
                <w:lang w:val="hy-AM"/>
              </w:rPr>
              <w:t>3,306.7</w:t>
            </w:r>
          </w:p>
        </w:tc>
      </w:tr>
    </w:tbl>
    <w:p w:rsidR="00AE0F80" w:rsidRDefault="00AE0F80" w:rsidP="00AE0F80">
      <w:pPr>
        <w:spacing w:before="0"/>
      </w:pPr>
    </w:p>
    <w:p w:rsidR="00E85612" w:rsidRPr="00930860" w:rsidRDefault="00E85612" w:rsidP="007730AA">
      <w:pPr>
        <w:pStyle w:val="ListParagraph"/>
        <w:keepNext/>
        <w:tabs>
          <w:tab w:val="left" w:pos="709"/>
        </w:tabs>
        <w:spacing w:before="0" w:line="276" w:lineRule="auto"/>
        <w:ind w:left="0" w:firstLine="0"/>
        <w:jc w:val="left"/>
        <w:outlineLvl w:val="2"/>
        <w:rPr>
          <w:rFonts w:eastAsia="Calibri" w:cs="GHEA Grapalat"/>
          <w:bCs/>
          <w:sz w:val="24"/>
          <w:szCs w:val="26"/>
          <w:lang w:val="af-ZA" w:eastAsia="en-US"/>
        </w:rPr>
      </w:pPr>
      <w:bookmarkStart w:id="201" w:name="_Toc57655470"/>
      <w:r w:rsidRPr="00930860">
        <w:rPr>
          <w:rFonts w:eastAsia="Calibri" w:cs="GHEA Grapalat"/>
          <w:bCs/>
          <w:sz w:val="24"/>
          <w:szCs w:val="26"/>
          <w:lang w:val="af-ZA" w:eastAsia="en-US"/>
        </w:rPr>
        <w:t xml:space="preserve">ԾԱԽՍԵՐՆ ԸՍՏ </w:t>
      </w:r>
      <w:r w:rsidRPr="00930860">
        <w:rPr>
          <w:rFonts w:eastAsia="Calibri" w:cs="GHEA Grapalat"/>
          <w:bCs/>
          <w:sz w:val="24"/>
          <w:szCs w:val="26"/>
          <w:lang w:val="hy-AM" w:eastAsia="en-US"/>
        </w:rPr>
        <w:t>ԳՈՐԾԱՌԱԿԱ</w:t>
      </w:r>
      <w:r w:rsidRPr="00930860">
        <w:rPr>
          <w:rFonts w:eastAsia="Calibri" w:cs="GHEA Grapalat"/>
          <w:bCs/>
          <w:sz w:val="24"/>
          <w:szCs w:val="26"/>
          <w:lang w:val="af-ZA" w:eastAsia="en-US"/>
        </w:rPr>
        <w:t>Ն ԴԱՍԱԿԱՐԳՄԱՆ</w:t>
      </w:r>
      <w:bookmarkEnd w:id="201"/>
    </w:p>
    <w:p w:rsidR="00AE0F80" w:rsidRPr="00BB489E" w:rsidRDefault="00AE0F80" w:rsidP="00AE0F80">
      <w:pPr>
        <w:spacing w:before="0" w:line="276" w:lineRule="auto"/>
        <w:ind w:firstLine="600"/>
        <w:rPr>
          <w:b w:val="0"/>
          <w:lang w:val="hy-AM"/>
        </w:rPr>
      </w:pPr>
      <w:r w:rsidRPr="00BB489E">
        <w:rPr>
          <w:b w:val="0"/>
          <w:lang w:val="hy-AM"/>
        </w:rPr>
        <w:t>2017-2021թթ</w:t>
      </w:r>
      <w:r w:rsidRPr="00BB489E">
        <w:rPr>
          <w:rFonts w:ascii="MS Gothic" w:eastAsia="MS Gothic" w:hAnsi="MS Gothic" w:cs="MS Gothic" w:hint="eastAsia"/>
          <w:b w:val="0"/>
          <w:lang w:val="hy-AM"/>
        </w:rPr>
        <w:t>․</w:t>
      </w:r>
      <w:r w:rsidRPr="00BB489E">
        <w:rPr>
          <w:b w:val="0"/>
          <w:lang w:val="hy-AM"/>
        </w:rPr>
        <w:t xml:space="preserve"> ժամանակահատվածում նկատելի է նախորդ տարվա համեմատությամբ  պետական բյուջեի ընդամենը ծախսերի աճը՝ 2019 թվականին 2018-ի համեմատ 182,0 մլրդ</w:t>
      </w:r>
      <w:r w:rsidRPr="00BB489E">
        <w:rPr>
          <w:b w:val="0"/>
          <w:lang w:val="af-ZA"/>
        </w:rPr>
        <w:t>.</w:t>
      </w:r>
      <w:r w:rsidRPr="00BB489E">
        <w:rPr>
          <w:b w:val="0"/>
          <w:lang w:val="hy-AM"/>
        </w:rPr>
        <w:t xml:space="preserve"> ՀՀ դրամի, 2020թ</w:t>
      </w:r>
      <w:r w:rsidRPr="00BB489E">
        <w:rPr>
          <w:rFonts w:ascii="MS Gothic" w:eastAsia="MS Gothic" w:hAnsi="MS Gothic" w:cs="MS Gothic" w:hint="eastAsia"/>
          <w:b w:val="0"/>
          <w:lang w:val="hy-AM"/>
        </w:rPr>
        <w:t>․</w:t>
      </w:r>
      <w:r w:rsidRPr="00BB489E">
        <w:rPr>
          <w:b w:val="0"/>
          <w:lang w:val="hy-AM"/>
        </w:rPr>
        <w:t>-ին՝ 2019թ</w:t>
      </w:r>
      <w:r w:rsidRPr="00BB489E">
        <w:rPr>
          <w:rFonts w:ascii="MS Gothic" w:eastAsia="MS Gothic" w:hAnsi="MS Gothic" w:cs="MS Gothic" w:hint="eastAsia"/>
          <w:b w:val="0"/>
          <w:lang w:val="hy-AM"/>
        </w:rPr>
        <w:t>․</w:t>
      </w:r>
      <w:r w:rsidRPr="00BB489E">
        <w:rPr>
          <w:b w:val="0"/>
          <w:lang w:val="hy-AM"/>
        </w:rPr>
        <w:t>-ի համեմատ 226,8 մլրդ</w:t>
      </w:r>
      <w:r w:rsidRPr="00BB489E">
        <w:rPr>
          <w:rFonts w:ascii="MS Gothic" w:eastAsia="MS Gothic" w:hAnsi="MS Gothic" w:cs="MS Gothic" w:hint="eastAsia"/>
          <w:b w:val="0"/>
          <w:lang w:val="hy-AM"/>
        </w:rPr>
        <w:t>․</w:t>
      </w:r>
      <w:r w:rsidRPr="00BB489E">
        <w:rPr>
          <w:b w:val="0"/>
          <w:lang w:val="hy-AM"/>
        </w:rPr>
        <w:t xml:space="preserve"> ՀՀ դրամի չափով, բացառությամբ՝ 2017-2018թ.։ 2021թ. ծախսային չափաքանակների հնարավորություններն ավելի ցածր են, քան նախորդ հաստատված՝ 2020 թվականի բյուջետային ծախսերի չափաքանակներն են՝ շուրջ 5,0 մլն</w:t>
      </w:r>
      <w:r w:rsidRPr="00BB489E">
        <w:rPr>
          <w:rFonts w:ascii="MS Gothic" w:eastAsia="MS Gothic" w:hAnsi="MS Gothic" w:cs="MS Gothic" w:hint="eastAsia"/>
          <w:b w:val="0"/>
          <w:lang w:val="hy-AM"/>
        </w:rPr>
        <w:t>․</w:t>
      </w:r>
      <w:r w:rsidRPr="00BB489E">
        <w:rPr>
          <w:b w:val="0"/>
          <w:lang w:val="hy-AM"/>
        </w:rPr>
        <w:t xml:space="preserve"> ՀՀ դրամի չափով՝ կորոնավիրուսի տնտեսական հետևանքներով պայմանավորված։ </w:t>
      </w:r>
    </w:p>
    <w:p w:rsidR="00AE0F80" w:rsidRPr="00BB489E" w:rsidRDefault="00AE0F80" w:rsidP="00AE0F80">
      <w:pPr>
        <w:spacing w:before="0" w:line="276" w:lineRule="auto"/>
        <w:rPr>
          <w:b w:val="0"/>
          <w:sz w:val="24"/>
          <w:lang w:val="af-ZA"/>
        </w:rPr>
      </w:pPr>
    </w:p>
    <w:p w:rsidR="00AE0F80" w:rsidRPr="00BB489E" w:rsidRDefault="00AE0F80" w:rsidP="00AE0F80">
      <w:pPr>
        <w:spacing w:before="0"/>
        <w:rPr>
          <w:b w:val="0"/>
          <w:bCs/>
          <w:color w:val="4F81BD" w:themeColor="accent1"/>
          <w:sz w:val="18"/>
          <w:szCs w:val="18"/>
          <w:lang w:val="hy-AM"/>
        </w:rPr>
      </w:pPr>
      <w:bookmarkStart w:id="202" w:name="_Toc52223579"/>
    </w:p>
    <w:p w:rsidR="00AE0F80" w:rsidRPr="00BB489E" w:rsidRDefault="00AE0F80" w:rsidP="00AE0F80">
      <w:pPr>
        <w:spacing w:before="0"/>
        <w:rPr>
          <w:bCs/>
          <w:i/>
          <w:color w:val="4F81BD" w:themeColor="accent1"/>
          <w:sz w:val="20"/>
          <w:szCs w:val="20"/>
          <w:lang w:val="hy-AM"/>
        </w:rPr>
      </w:pPr>
      <w:bookmarkStart w:id="203" w:name="_Toc57631791"/>
      <w:r w:rsidRPr="00BB489E">
        <w:rPr>
          <w:b w:val="0"/>
          <w:bCs/>
          <w:color w:val="4F81BD" w:themeColor="accent1"/>
          <w:sz w:val="18"/>
          <w:szCs w:val="18"/>
        </w:rPr>
        <w:t xml:space="preserve">Գծապատկեր </w:t>
      </w:r>
      <w:r w:rsidR="003C3925" w:rsidRPr="00BB489E">
        <w:rPr>
          <w:rFonts w:ascii="Calibri" w:eastAsia="Calibri" w:hAnsi="Calibri"/>
          <w:b w:val="0"/>
          <w:szCs w:val="22"/>
          <w:lang w:val="en-US" w:eastAsia="en-US"/>
        </w:rPr>
        <w:fldChar w:fldCharType="begin"/>
      </w:r>
      <w:r w:rsidRPr="00BB489E">
        <w:rPr>
          <w:b w:val="0"/>
          <w:bCs/>
          <w:color w:val="4F81BD" w:themeColor="accent1"/>
          <w:sz w:val="18"/>
          <w:szCs w:val="18"/>
        </w:rPr>
        <w:instrText xml:space="preserve"> SEQ Գծապատկեր \* ARABIC </w:instrText>
      </w:r>
      <w:r w:rsidR="003C3925" w:rsidRPr="00BB489E">
        <w:rPr>
          <w:rFonts w:ascii="Calibri" w:eastAsia="Calibri" w:hAnsi="Calibri"/>
          <w:b w:val="0"/>
          <w:szCs w:val="22"/>
          <w:lang w:val="en-US" w:eastAsia="en-US"/>
        </w:rPr>
        <w:fldChar w:fldCharType="separate"/>
      </w:r>
      <w:r>
        <w:rPr>
          <w:b w:val="0"/>
          <w:bCs/>
          <w:noProof/>
          <w:color w:val="4F81BD" w:themeColor="accent1"/>
          <w:sz w:val="18"/>
          <w:szCs w:val="18"/>
        </w:rPr>
        <w:t>5</w:t>
      </w:r>
      <w:r w:rsidR="003C3925" w:rsidRPr="00BB489E">
        <w:rPr>
          <w:rFonts w:ascii="Calibri" w:eastAsia="Calibri" w:hAnsi="Calibri"/>
          <w:b w:val="0"/>
          <w:szCs w:val="22"/>
          <w:lang w:val="en-US" w:eastAsia="en-US"/>
        </w:rPr>
        <w:fldChar w:fldCharType="end"/>
      </w:r>
      <w:r w:rsidRPr="00BB489E">
        <w:rPr>
          <w:b w:val="0"/>
          <w:bCs/>
          <w:color w:val="4F81BD" w:themeColor="accent1"/>
          <w:sz w:val="18"/>
          <w:szCs w:val="18"/>
          <w:lang w:val="en-US"/>
        </w:rPr>
        <w:t xml:space="preserve">. </w:t>
      </w:r>
      <w:r w:rsidRPr="00BB489E">
        <w:rPr>
          <w:bCs/>
          <w:i/>
          <w:color w:val="4F81BD" w:themeColor="accent1"/>
          <w:sz w:val="20"/>
          <w:szCs w:val="20"/>
          <w:lang w:val="hy-AM"/>
        </w:rPr>
        <w:t>2017-2021թվակաների ծախսերի համեմատականը</w:t>
      </w:r>
      <w:bookmarkEnd w:id="202"/>
      <w:bookmarkEnd w:id="203"/>
      <w:r w:rsidRPr="00BB489E">
        <w:rPr>
          <w:bCs/>
          <w:i/>
          <w:color w:val="4F81BD" w:themeColor="accent1"/>
          <w:sz w:val="20"/>
          <w:szCs w:val="20"/>
          <w:lang w:val="hy-AM"/>
        </w:rPr>
        <w:t xml:space="preserve"> </w:t>
      </w:r>
    </w:p>
    <w:p w:rsidR="00AE0F80" w:rsidRPr="00BB489E" w:rsidRDefault="00AE0F80" w:rsidP="00AE0F80">
      <w:pPr>
        <w:spacing w:before="0" w:line="276" w:lineRule="auto"/>
        <w:ind w:firstLine="600"/>
        <w:rPr>
          <w:rFonts w:cs="Sylfaen"/>
        </w:rPr>
      </w:pPr>
      <w:r w:rsidRPr="00BB489E">
        <w:rPr>
          <w:rFonts w:ascii="Calibri" w:eastAsia="Calibri" w:hAnsi="Calibri"/>
          <w:noProof/>
          <w:szCs w:val="22"/>
          <w:lang w:val="en-US" w:eastAsia="en-US"/>
        </w:rPr>
        <w:drawing>
          <wp:inline distT="0" distB="0" distL="0" distR="0">
            <wp:extent cx="5943600" cy="2971800"/>
            <wp:effectExtent l="0" t="0" r="0" b="0"/>
            <wp:docPr id="11"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E0F80" w:rsidRPr="00BB489E" w:rsidRDefault="00AE0F80" w:rsidP="00AE0F80">
      <w:pPr>
        <w:spacing w:before="0" w:line="276" w:lineRule="auto"/>
        <w:ind w:firstLine="600"/>
        <w:rPr>
          <w:b w:val="0"/>
          <w:lang w:val="hy-AM"/>
        </w:rPr>
      </w:pPr>
    </w:p>
    <w:p w:rsidR="00AE0F80" w:rsidRPr="00BB489E" w:rsidRDefault="00AE0F80" w:rsidP="00AE0F80">
      <w:pPr>
        <w:spacing w:before="0" w:line="276" w:lineRule="auto"/>
        <w:ind w:firstLine="600"/>
        <w:rPr>
          <w:b w:val="0"/>
          <w:lang w:val="hy-AM"/>
        </w:rPr>
      </w:pPr>
      <w:r w:rsidRPr="00BB489E">
        <w:rPr>
          <w:b w:val="0"/>
          <w:lang w:val="hy-AM"/>
        </w:rPr>
        <w:t>ՀՀ 2017-2021 թվականների պետական բյուջեների ծախսեր՝ ըստ ոլորտ</w:t>
      </w:r>
      <w:r w:rsidRPr="00BB489E">
        <w:rPr>
          <w:b w:val="0"/>
          <w:lang w:val="hy-AM"/>
        </w:rPr>
        <w:softHyphen/>
        <w:t>ների բնութագրվում են ստորև ներկայացված աղյուսակի ցուցանիշներով:</w:t>
      </w:r>
    </w:p>
    <w:p w:rsidR="00AE0F80" w:rsidRPr="00BB489E" w:rsidRDefault="00AE0F80" w:rsidP="00AE0F80">
      <w:pPr>
        <w:spacing w:before="0" w:line="276" w:lineRule="auto"/>
        <w:ind w:firstLine="600"/>
        <w:rPr>
          <w:b w:val="0"/>
          <w:lang w:val="hy-AM"/>
        </w:rPr>
      </w:pPr>
    </w:p>
    <w:p w:rsidR="00AE0F80" w:rsidRPr="00BB489E" w:rsidRDefault="00AE0F80" w:rsidP="00AE0F80">
      <w:pPr>
        <w:spacing w:before="0"/>
        <w:rPr>
          <w:bCs/>
          <w:i/>
          <w:color w:val="4F81BD" w:themeColor="accent1"/>
          <w:sz w:val="20"/>
          <w:szCs w:val="20"/>
          <w:lang w:val="hy-AM"/>
        </w:rPr>
      </w:pPr>
      <w:bookmarkStart w:id="204" w:name="_Toc57631765"/>
      <w:r w:rsidRPr="00BB489E">
        <w:rPr>
          <w:b w:val="0"/>
          <w:bCs/>
          <w:color w:val="4F81BD" w:themeColor="accent1"/>
          <w:sz w:val="18"/>
          <w:szCs w:val="18"/>
          <w:lang w:val="hy-AM"/>
        </w:rPr>
        <w:t xml:space="preserve">Աղյուսակ </w:t>
      </w:r>
      <w:r w:rsidR="003C3925" w:rsidRPr="00BB489E">
        <w:rPr>
          <w:rFonts w:ascii="Calibri" w:eastAsia="Calibri" w:hAnsi="Calibri"/>
          <w:b w:val="0"/>
          <w:szCs w:val="22"/>
          <w:lang w:val="en-US" w:eastAsia="en-US"/>
        </w:rPr>
        <w:fldChar w:fldCharType="begin"/>
      </w:r>
      <w:r w:rsidRPr="00BB489E">
        <w:rPr>
          <w:b w:val="0"/>
          <w:bCs/>
          <w:color w:val="4F81BD" w:themeColor="accent1"/>
          <w:sz w:val="18"/>
          <w:szCs w:val="18"/>
          <w:lang w:val="hy-AM"/>
        </w:rPr>
        <w:instrText xml:space="preserve"> SEQ Աղյուսակ \* ARABIC </w:instrText>
      </w:r>
      <w:r w:rsidR="003C3925" w:rsidRPr="00BB489E">
        <w:rPr>
          <w:rFonts w:ascii="Calibri" w:eastAsia="Calibri" w:hAnsi="Calibri"/>
          <w:b w:val="0"/>
          <w:szCs w:val="22"/>
          <w:lang w:val="en-US" w:eastAsia="en-US"/>
        </w:rPr>
        <w:fldChar w:fldCharType="separate"/>
      </w:r>
      <w:r>
        <w:rPr>
          <w:b w:val="0"/>
          <w:bCs/>
          <w:noProof/>
          <w:color w:val="4F81BD" w:themeColor="accent1"/>
          <w:sz w:val="18"/>
          <w:szCs w:val="18"/>
          <w:lang w:val="hy-AM"/>
        </w:rPr>
        <w:t>14</w:t>
      </w:r>
      <w:r w:rsidR="003C3925" w:rsidRPr="00BB489E">
        <w:rPr>
          <w:rFonts w:ascii="Calibri" w:eastAsia="Calibri" w:hAnsi="Calibri"/>
          <w:b w:val="0"/>
          <w:szCs w:val="22"/>
          <w:lang w:val="en-US" w:eastAsia="en-US"/>
        </w:rPr>
        <w:fldChar w:fldCharType="end"/>
      </w:r>
      <w:r w:rsidRPr="00BB489E">
        <w:rPr>
          <w:rFonts w:ascii="Cambria Math" w:hAnsi="Cambria Math"/>
          <w:b w:val="0"/>
          <w:bCs/>
          <w:color w:val="4F81BD" w:themeColor="accent1"/>
          <w:sz w:val="18"/>
          <w:szCs w:val="18"/>
          <w:lang w:val="hy-AM"/>
        </w:rPr>
        <w:t xml:space="preserve">․ </w:t>
      </w:r>
      <w:r w:rsidRPr="00BB489E">
        <w:rPr>
          <w:bCs/>
          <w:i/>
          <w:color w:val="4F81BD" w:themeColor="accent1"/>
          <w:sz w:val="20"/>
          <w:szCs w:val="20"/>
          <w:lang w:val="hy-AM"/>
        </w:rPr>
        <w:t>ՀՀ 2021-2023թթ պետական բյուջեների ծախսերը՝ ըստ ոլորտների (մլն. դրամ)</w:t>
      </w:r>
      <w:bookmarkEnd w:id="204"/>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15"/>
        <w:gridCol w:w="1319"/>
        <w:gridCol w:w="1385"/>
        <w:gridCol w:w="1261"/>
        <w:gridCol w:w="1258"/>
        <w:gridCol w:w="1267"/>
      </w:tblGrid>
      <w:tr w:rsidR="00AE0F80" w:rsidRPr="00A604DD" w:rsidTr="009F0F78">
        <w:trPr>
          <w:trHeight w:val="20"/>
          <w:tblHeader/>
        </w:trPr>
        <w:tc>
          <w:tcPr>
            <w:tcW w:w="1911" w:type="pct"/>
            <w:shd w:val="clear" w:color="auto" w:fill="4F81BD" w:themeFill="accent1"/>
            <w:tcMar>
              <w:top w:w="0" w:type="dxa"/>
              <w:left w:w="57" w:type="dxa"/>
              <w:bottom w:w="0" w:type="dxa"/>
              <w:right w:w="57" w:type="dxa"/>
            </w:tcMar>
            <w:vAlign w:val="center"/>
            <w:hideMark/>
          </w:tcPr>
          <w:p w:rsidR="00AE0F80" w:rsidRPr="00A604DD" w:rsidRDefault="00AE0F80" w:rsidP="009F0F78">
            <w:pPr>
              <w:spacing w:before="0" w:line="276" w:lineRule="auto"/>
              <w:jc w:val="center"/>
              <w:rPr>
                <w:rFonts w:cs="Arial"/>
                <w:b w:val="0"/>
                <w:color w:val="FFFFFF" w:themeColor="background1"/>
                <w:sz w:val="20"/>
                <w:szCs w:val="20"/>
                <w:lang w:val="hy-AM"/>
              </w:rPr>
            </w:pPr>
            <w:r w:rsidRPr="00A604DD">
              <w:rPr>
                <w:rFonts w:cs="Arial"/>
                <w:b w:val="0"/>
                <w:color w:val="FFFFFF" w:themeColor="background1"/>
                <w:sz w:val="20"/>
                <w:szCs w:val="20"/>
                <w:lang w:val="hy-AM"/>
              </w:rPr>
              <w:t>Ցուցանիշներ</w:t>
            </w:r>
          </w:p>
        </w:tc>
        <w:tc>
          <w:tcPr>
            <w:tcW w:w="628" w:type="pct"/>
            <w:shd w:val="clear" w:color="auto" w:fill="4F81BD" w:themeFill="accent1"/>
            <w:hideMark/>
          </w:tcPr>
          <w:p w:rsidR="00AE0F80" w:rsidRPr="00A604DD" w:rsidRDefault="00AE0F80" w:rsidP="009F0F78">
            <w:pPr>
              <w:spacing w:before="0" w:line="276" w:lineRule="auto"/>
              <w:ind w:firstLine="0"/>
              <w:jc w:val="center"/>
              <w:rPr>
                <w:rFonts w:cs="Arial"/>
                <w:b w:val="0"/>
                <w:color w:val="FFFFFF" w:themeColor="background1"/>
                <w:sz w:val="20"/>
                <w:szCs w:val="20"/>
                <w:lang w:val="hy-AM"/>
              </w:rPr>
            </w:pPr>
            <w:r w:rsidRPr="00A604DD">
              <w:rPr>
                <w:rFonts w:cs="Arial"/>
                <w:b w:val="0"/>
                <w:color w:val="FFFFFF" w:themeColor="background1"/>
                <w:sz w:val="20"/>
                <w:szCs w:val="20"/>
                <w:lang w:val="hy-AM"/>
              </w:rPr>
              <w:t>2017թ</w:t>
            </w:r>
            <w:r w:rsidRPr="00A604DD">
              <w:rPr>
                <w:rFonts w:ascii="MS Gothic" w:eastAsia="MS Gothic" w:hAnsi="MS Gothic" w:cs="MS Gothic" w:hint="eastAsia"/>
                <w:b w:val="0"/>
                <w:color w:val="FFFFFF" w:themeColor="background1"/>
                <w:sz w:val="20"/>
                <w:szCs w:val="20"/>
                <w:lang w:val="hy-AM"/>
              </w:rPr>
              <w:t>․</w:t>
            </w:r>
            <w:r w:rsidRPr="00A604DD">
              <w:rPr>
                <w:rFonts w:cs="Arial"/>
                <w:b w:val="0"/>
                <w:color w:val="FFFFFF" w:themeColor="background1"/>
                <w:sz w:val="20"/>
                <w:szCs w:val="20"/>
                <w:lang w:val="hy-AM"/>
              </w:rPr>
              <w:t xml:space="preserve">  փաստացի</w:t>
            </w:r>
          </w:p>
        </w:tc>
        <w:tc>
          <w:tcPr>
            <w:tcW w:w="659" w:type="pct"/>
            <w:shd w:val="clear" w:color="auto" w:fill="4F81BD" w:themeFill="accent1"/>
            <w:tcMar>
              <w:top w:w="0" w:type="dxa"/>
              <w:left w:w="57" w:type="dxa"/>
              <w:bottom w:w="0" w:type="dxa"/>
              <w:right w:w="57" w:type="dxa"/>
            </w:tcMar>
            <w:vAlign w:val="center"/>
            <w:hideMark/>
          </w:tcPr>
          <w:p w:rsidR="00AE0F80" w:rsidRPr="00A604DD" w:rsidRDefault="00AE0F80" w:rsidP="009F0F78">
            <w:pPr>
              <w:spacing w:before="0" w:line="276" w:lineRule="auto"/>
              <w:ind w:firstLine="0"/>
              <w:jc w:val="center"/>
              <w:rPr>
                <w:rFonts w:cs="Arial"/>
                <w:b w:val="0"/>
                <w:color w:val="FFFFFF" w:themeColor="background1"/>
                <w:sz w:val="20"/>
                <w:szCs w:val="20"/>
                <w:lang w:val="hy-AM"/>
              </w:rPr>
            </w:pPr>
            <w:r w:rsidRPr="00A604DD">
              <w:rPr>
                <w:rFonts w:cs="Arial"/>
                <w:b w:val="0"/>
                <w:color w:val="FFFFFF" w:themeColor="background1"/>
                <w:sz w:val="20"/>
                <w:szCs w:val="20"/>
                <w:lang w:val="hy-AM"/>
              </w:rPr>
              <w:t>2018թ</w:t>
            </w:r>
            <w:r w:rsidRPr="00A604DD">
              <w:rPr>
                <w:rFonts w:ascii="MS Gothic" w:eastAsia="MS Gothic" w:hAnsi="MS Gothic" w:cs="MS Gothic" w:hint="eastAsia"/>
                <w:b w:val="0"/>
                <w:color w:val="FFFFFF" w:themeColor="background1"/>
                <w:sz w:val="20"/>
                <w:szCs w:val="20"/>
                <w:lang w:val="hy-AM"/>
              </w:rPr>
              <w:t>․</w:t>
            </w:r>
            <w:r w:rsidRPr="00A604DD">
              <w:rPr>
                <w:rFonts w:cs="Arial"/>
                <w:b w:val="0"/>
                <w:color w:val="FFFFFF" w:themeColor="background1"/>
                <w:sz w:val="20"/>
                <w:szCs w:val="20"/>
                <w:lang w:val="hy-AM"/>
              </w:rPr>
              <w:t xml:space="preserve">  փաստացի</w:t>
            </w:r>
          </w:p>
        </w:tc>
        <w:tc>
          <w:tcPr>
            <w:tcW w:w="600" w:type="pct"/>
            <w:shd w:val="clear" w:color="auto" w:fill="4F81BD" w:themeFill="accent1"/>
            <w:tcMar>
              <w:top w:w="0" w:type="dxa"/>
              <w:left w:w="57" w:type="dxa"/>
              <w:bottom w:w="0" w:type="dxa"/>
              <w:right w:w="57" w:type="dxa"/>
            </w:tcMar>
            <w:vAlign w:val="center"/>
            <w:hideMark/>
          </w:tcPr>
          <w:p w:rsidR="00AE0F80" w:rsidRPr="00A604DD" w:rsidRDefault="00AE0F80" w:rsidP="009F0F78">
            <w:pPr>
              <w:spacing w:before="0" w:line="276" w:lineRule="auto"/>
              <w:ind w:firstLine="0"/>
              <w:jc w:val="center"/>
              <w:rPr>
                <w:rFonts w:cs="Arial"/>
                <w:b w:val="0"/>
                <w:color w:val="FFFFFF" w:themeColor="background1"/>
                <w:sz w:val="20"/>
                <w:szCs w:val="20"/>
                <w:lang w:val="hy-AM"/>
              </w:rPr>
            </w:pPr>
            <w:r w:rsidRPr="00A604DD">
              <w:rPr>
                <w:rFonts w:cs="Arial"/>
                <w:b w:val="0"/>
                <w:color w:val="FFFFFF" w:themeColor="background1"/>
                <w:sz w:val="20"/>
                <w:szCs w:val="20"/>
                <w:lang w:val="hy-AM"/>
              </w:rPr>
              <w:t>2019թ</w:t>
            </w:r>
            <w:r w:rsidRPr="00A604DD">
              <w:rPr>
                <w:rFonts w:ascii="MS Gothic" w:eastAsia="MS Gothic" w:hAnsi="MS Gothic" w:cs="MS Gothic" w:hint="eastAsia"/>
                <w:b w:val="0"/>
                <w:color w:val="FFFFFF" w:themeColor="background1"/>
                <w:sz w:val="20"/>
                <w:szCs w:val="20"/>
                <w:lang w:val="hy-AM"/>
              </w:rPr>
              <w:t>․</w:t>
            </w:r>
            <w:r w:rsidRPr="00A604DD">
              <w:rPr>
                <w:rFonts w:cs="Arial"/>
                <w:b w:val="0"/>
                <w:color w:val="FFFFFF" w:themeColor="background1"/>
                <w:sz w:val="20"/>
                <w:szCs w:val="20"/>
                <w:lang w:val="hy-AM"/>
              </w:rPr>
              <w:t xml:space="preserve">  փաստացի</w:t>
            </w:r>
          </w:p>
        </w:tc>
        <w:tc>
          <w:tcPr>
            <w:tcW w:w="599" w:type="pct"/>
            <w:shd w:val="clear" w:color="auto" w:fill="4F81BD" w:themeFill="accent1"/>
            <w:vAlign w:val="center"/>
            <w:hideMark/>
          </w:tcPr>
          <w:p w:rsidR="00AE0F80" w:rsidRPr="00A604DD" w:rsidRDefault="00AE0F80" w:rsidP="009F0F78">
            <w:pPr>
              <w:spacing w:before="0" w:line="276" w:lineRule="auto"/>
              <w:ind w:firstLine="0"/>
              <w:jc w:val="center"/>
              <w:rPr>
                <w:rFonts w:cs="Arial"/>
                <w:b w:val="0"/>
                <w:color w:val="FFFFFF" w:themeColor="background1"/>
                <w:sz w:val="20"/>
                <w:szCs w:val="20"/>
                <w:lang w:val="hy-AM"/>
              </w:rPr>
            </w:pPr>
            <w:r w:rsidRPr="00A604DD">
              <w:rPr>
                <w:rFonts w:cs="Arial"/>
                <w:b w:val="0"/>
                <w:color w:val="FFFFFF" w:themeColor="background1"/>
                <w:sz w:val="20"/>
                <w:szCs w:val="20"/>
                <w:lang w:val="hy-AM"/>
              </w:rPr>
              <w:t>2020թ</w:t>
            </w:r>
            <w:r w:rsidRPr="00A604DD">
              <w:rPr>
                <w:rFonts w:ascii="MS Gothic" w:eastAsia="MS Gothic" w:hAnsi="MS Gothic" w:cs="MS Gothic" w:hint="eastAsia"/>
                <w:b w:val="0"/>
                <w:color w:val="FFFFFF" w:themeColor="background1"/>
                <w:sz w:val="20"/>
                <w:szCs w:val="20"/>
                <w:lang w:val="hy-AM"/>
              </w:rPr>
              <w:t>․</w:t>
            </w:r>
          </w:p>
        </w:tc>
        <w:tc>
          <w:tcPr>
            <w:tcW w:w="603" w:type="pct"/>
            <w:shd w:val="clear" w:color="auto" w:fill="4F81BD" w:themeFill="accent1"/>
            <w:vAlign w:val="center"/>
            <w:hideMark/>
          </w:tcPr>
          <w:p w:rsidR="00AE0F80" w:rsidRPr="00A604DD" w:rsidRDefault="00AE0F80" w:rsidP="009F0F78">
            <w:pPr>
              <w:spacing w:before="0" w:line="276" w:lineRule="auto"/>
              <w:ind w:firstLine="0"/>
              <w:jc w:val="center"/>
              <w:rPr>
                <w:rFonts w:cs="Arial"/>
                <w:b w:val="0"/>
                <w:color w:val="FFFFFF" w:themeColor="background1"/>
                <w:sz w:val="20"/>
                <w:szCs w:val="20"/>
                <w:lang w:val="hy-AM"/>
              </w:rPr>
            </w:pPr>
            <w:r w:rsidRPr="00A604DD">
              <w:rPr>
                <w:rFonts w:cs="Arial"/>
                <w:b w:val="0"/>
                <w:color w:val="FFFFFF" w:themeColor="background1"/>
                <w:sz w:val="20"/>
                <w:szCs w:val="20"/>
                <w:lang w:val="hy-AM"/>
              </w:rPr>
              <w:t>2021թ</w:t>
            </w:r>
            <w:r w:rsidRPr="00A604DD">
              <w:rPr>
                <w:rFonts w:ascii="MS Gothic" w:eastAsia="MS Gothic" w:hAnsi="MS Gothic" w:cs="MS Gothic" w:hint="eastAsia"/>
                <w:b w:val="0"/>
                <w:color w:val="FFFFFF" w:themeColor="background1"/>
                <w:sz w:val="20"/>
                <w:szCs w:val="20"/>
                <w:lang w:val="hy-AM"/>
              </w:rPr>
              <w:t>․</w:t>
            </w:r>
            <w:r w:rsidRPr="00A604DD">
              <w:rPr>
                <w:rFonts w:cs="Arial"/>
                <w:b w:val="0"/>
                <w:color w:val="FFFFFF" w:themeColor="background1"/>
                <w:sz w:val="20"/>
                <w:szCs w:val="20"/>
                <w:lang w:val="hy-AM"/>
              </w:rPr>
              <w:t xml:space="preserve"> նախագիծ</w:t>
            </w:r>
          </w:p>
        </w:tc>
      </w:tr>
      <w:tr w:rsidR="00AE0F80" w:rsidRPr="00A604DD" w:rsidTr="009F0F78">
        <w:trPr>
          <w:trHeight w:val="467"/>
        </w:trPr>
        <w:tc>
          <w:tcPr>
            <w:tcW w:w="1911" w:type="pct"/>
            <w:shd w:val="clear" w:color="auto" w:fill="C6D9F1" w:themeFill="text2" w:themeFillTint="33"/>
            <w:tcMar>
              <w:top w:w="0" w:type="dxa"/>
              <w:left w:w="57" w:type="dxa"/>
              <w:bottom w:w="0" w:type="dxa"/>
              <w:right w:w="57" w:type="dxa"/>
            </w:tcMar>
            <w:vAlign w:val="center"/>
            <w:hideMark/>
          </w:tcPr>
          <w:p w:rsidR="00AE0F80" w:rsidRPr="00A604DD" w:rsidRDefault="00AE0F80" w:rsidP="009F0F78">
            <w:pPr>
              <w:spacing w:before="0" w:line="276" w:lineRule="auto"/>
              <w:ind w:firstLine="0"/>
              <w:rPr>
                <w:rFonts w:cs="Arial"/>
                <w:b w:val="0"/>
                <w:sz w:val="20"/>
                <w:szCs w:val="20"/>
              </w:rPr>
            </w:pPr>
            <w:r w:rsidRPr="00A604DD">
              <w:rPr>
                <w:rFonts w:cs="Arial"/>
                <w:sz w:val="20"/>
                <w:szCs w:val="20"/>
              </w:rPr>
              <w:t>ԸՆԴԱՄԵՆԸ</w:t>
            </w:r>
          </w:p>
        </w:tc>
        <w:tc>
          <w:tcPr>
            <w:tcW w:w="628" w:type="pct"/>
            <w:shd w:val="clear" w:color="auto" w:fill="C6D9F1" w:themeFill="text2" w:themeFillTint="33"/>
            <w:tcMar>
              <w:top w:w="0" w:type="dxa"/>
              <w:left w:w="30" w:type="dxa"/>
              <w:bottom w:w="0" w:type="dxa"/>
              <w:right w:w="30" w:type="dxa"/>
            </w:tcMar>
            <w:hideMark/>
          </w:tcPr>
          <w:p w:rsidR="00AE0F80" w:rsidRPr="00127B0F" w:rsidRDefault="00AE0F80" w:rsidP="009F0F78">
            <w:pPr>
              <w:spacing w:before="0" w:line="276" w:lineRule="auto"/>
              <w:ind w:firstLine="0"/>
              <w:jc w:val="center"/>
              <w:rPr>
                <w:rFonts w:cs="Arial"/>
                <w:b w:val="0"/>
                <w:bCs/>
                <w:sz w:val="20"/>
                <w:szCs w:val="20"/>
                <w:lang w:val="hy-AM"/>
              </w:rPr>
            </w:pPr>
            <w:r w:rsidRPr="00A604DD">
              <w:rPr>
                <w:sz w:val="20"/>
                <w:szCs w:val="20"/>
              </w:rPr>
              <w:t>1,504,802.</w:t>
            </w:r>
            <w:r>
              <w:rPr>
                <w:sz w:val="20"/>
                <w:szCs w:val="20"/>
                <w:lang w:val="hy-AM"/>
              </w:rPr>
              <w:t>3</w:t>
            </w:r>
          </w:p>
        </w:tc>
        <w:tc>
          <w:tcPr>
            <w:tcW w:w="659" w:type="pct"/>
            <w:shd w:val="clear" w:color="auto" w:fill="C6D9F1" w:themeFill="text2" w:themeFillTint="33"/>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sz w:val="20"/>
                <w:szCs w:val="20"/>
              </w:rPr>
            </w:pPr>
            <w:r w:rsidRPr="00A604DD">
              <w:rPr>
                <w:sz w:val="20"/>
                <w:szCs w:val="20"/>
              </w:rPr>
              <w:t>1,447,083.0</w:t>
            </w:r>
          </w:p>
        </w:tc>
        <w:tc>
          <w:tcPr>
            <w:tcW w:w="600" w:type="pct"/>
            <w:shd w:val="clear" w:color="auto" w:fill="C6D9F1" w:themeFill="text2" w:themeFillTint="33"/>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sz w:val="20"/>
                <w:szCs w:val="20"/>
              </w:rPr>
            </w:pPr>
            <w:r w:rsidRPr="00A604DD">
              <w:rPr>
                <w:sz w:val="20"/>
                <w:szCs w:val="20"/>
              </w:rPr>
              <w:t>1,629,436.</w:t>
            </w:r>
            <w:r>
              <w:rPr>
                <w:sz w:val="20"/>
                <w:szCs w:val="20"/>
                <w:lang w:val="hy-AM"/>
              </w:rPr>
              <w:t>9</w:t>
            </w:r>
          </w:p>
        </w:tc>
        <w:tc>
          <w:tcPr>
            <w:tcW w:w="599" w:type="pct"/>
            <w:shd w:val="clear" w:color="auto" w:fill="C6D9F1" w:themeFill="text2" w:themeFillTint="33"/>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sz w:val="20"/>
                <w:szCs w:val="20"/>
              </w:rPr>
            </w:pPr>
            <w:r w:rsidRPr="00A604DD">
              <w:rPr>
                <w:sz w:val="20"/>
                <w:szCs w:val="20"/>
              </w:rPr>
              <w:t>1,855,882.7</w:t>
            </w:r>
          </w:p>
        </w:tc>
        <w:tc>
          <w:tcPr>
            <w:tcW w:w="603" w:type="pct"/>
            <w:shd w:val="clear" w:color="auto" w:fill="C6D9F1" w:themeFill="text2" w:themeFillTint="33"/>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sz w:val="20"/>
                <w:szCs w:val="20"/>
                <w:lang w:val="en-US"/>
              </w:rPr>
            </w:pPr>
            <w:r w:rsidRPr="00A604DD">
              <w:rPr>
                <w:sz w:val="20"/>
                <w:szCs w:val="20"/>
              </w:rPr>
              <w:t>1,850,877.5</w:t>
            </w:r>
          </w:p>
        </w:tc>
      </w:tr>
      <w:tr w:rsidR="00AE0F80" w:rsidRPr="00A604DD" w:rsidTr="009F0F78">
        <w:trPr>
          <w:trHeight w:val="20"/>
        </w:trPr>
        <w:tc>
          <w:tcPr>
            <w:tcW w:w="1911" w:type="pct"/>
            <w:shd w:val="solid" w:color="FFFFFF" w:fill="auto"/>
            <w:tcMar>
              <w:top w:w="0" w:type="dxa"/>
              <w:left w:w="57" w:type="dxa"/>
              <w:bottom w:w="0" w:type="dxa"/>
              <w:right w:w="57" w:type="dxa"/>
            </w:tcMar>
            <w:vAlign w:val="center"/>
            <w:hideMark/>
          </w:tcPr>
          <w:p w:rsidR="00AE0F80" w:rsidRPr="00A604DD" w:rsidRDefault="00AE0F80" w:rsidP="009F0F78">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8" w:type="pct"/>
            <w:shd w:val="solid" w:color="FFFFFF" w:fill="auto"/>
            <w:tcMar>
              <w:top w:w="0" w:type="dxa"/>
              <w:left w:w="30" w:type="dxa"/>
              <w:bottom w:w="0" w:type="dxa"/>
              <w:right w:w="30" w:type="dxa"/>
            </w:tcMar>
            <w:hideMark/>
          </w:tcPr>
          <w:p w:rsidR="00AE0F80" w:rsidRPr="00A604DD" w:rsidRDefault="00AE0F80" w:rsidP="009F0F78">
            <w:pPr>
              <w:spacing w:before="0" w:line="276" w:lineRule="auto"/>
              <w:ind w:firstLine="0"/>
              <w:jc w:val="center"/>
              <w:rPr>
                <w:b w:val="0"/>
                <w:sz w:val="20"/>
                <w:szCs w:val="20"/>
              </w:rPr>
            </w:pPr>
            <w:r w:rsidRPr="00A604DD">
              <w:rPr>
                <w:b w:val="0"/>
                <w:sz w:val="20"/>
                <w:szCs w:val="20"/>
              </w:rPr>
              <w:t>27.0%</w:t>
            </w:r>
          </w:p>
        </w:tc>
        <w:tc>
          <w:tcPr>
            <w:tcW w:w="659" w:type="pct"/>
            <w:shd w:val="solid" w:color="FFFFFF" w:fill="auto"/>
            <w:tcMar>
              <w:top w:w="0" w:type="dxa"/>
              <w:left w:w="57" w:type="dxa"/>
              <w:bottom w:w="0" w:type="dxa"/>
              <w:right w:w="57" w:type="dxa"/>
            </w:tcMar>
            <w:hideMark/>
          </w:tcPr>
          <w:p w:rsidR="00AE0F80" w:rsidRPr="00A604DD" w:rsidRDefault="00AE0F80" w:rsidP="009F0F78">
            <w:pPr>
              <w:spacing w:before="0" w:line="276" w:lineRule="auto"/>
              <w:ind w:firstLine="0"/>
              <w:jc w:val="center"/>
              <w:rPr>
                <w:b w:val="0"/>
                <w:sz w:val="20"/>
                <w:szCs w:val="20"/>
              </w:rPr>
            </w:pPr>
            <w:r w:rsidRPr="00A604DD">
              <w:rPr>
                <w:b w:val="0"/>
                <w:sz w:val="20"/>
                <w:szCs w:val="20"/>
              </w:rPr>
              <w:t>24.0%</w:t>
            </w:r>
          </w:p>
        </w:tc>
        <w:tc>
          <w:tcPr>
            <w:tcW w:w="600" w:type="pct"/>
            <w:shd w:val="solid" w:color="FFFFFF" w:fill="auto"/>
            <w:tcMar>
              <w:top w:w="0" w:type="dxa"/>
              <w:left w:w="57" w:type="dxa"/>
              <w:bottom w:w="0" w:type="dxa"/>
              <w:right w:w="57" w:type="dxa"/>
            </w:tcMar>
            <w:hideMark/>
          </w:tcPr>
          <w:p w:rsidR="00AE0F80" w:rsidRPr="00A604DD" w:rsidRDefault="00AE0F80" w:rsidP="009F0F78">
            <w:pPr>
              <w:spacing w:before="0" w:line="276" w:lineRule="auto"/>
              <w:ind w:firstLine="0"/>
              <w:jc w:val="center"/>
              <w:rPr>
                <w:b w:val="0"/>
                <w:sz w:val="20"/>
                <w:szCs w:val="20"/>
              </w:rPr>
            </w:pPr>
            <w:r w:rsidRPr="00A604DD">
              <w:rPr>
                <w:b w:val="0"/>
                <w:sz w:val="20"/>
                <w:szCs w:val="20"/>
              </w:rPr>
              <w:t>24.8%</w:t>
            </w:r>
          </w:p>
        </w:tc>
        <w:tc>
          <w:tcPr>
            <w:tcW w:w="599" w:type="pct"/>
            <w:shd w:val="solid" w:color="FFFFFF" w:fill="auto"/>
            <w:tcMar>
              <w:top w:w="0" w:type="dxa"/>
              <w:left w:w="30" w:type="dxa"/>
              <w:bottom w:w="0" w:type="dxa"/>
              <w:right w:w="30" w:type="dxa"/>
            </w:tcMar>
            <w:hideMark/>
          </w:tcPr>
          <w:p w:rsidR="00AE0F80" w:rsidRPr="00A604DD" w:rsidRDefault="00AE0F80" w:rsidP="009F0F78">
            <w:pPr>
              <w:spacing w:before="0" w:line="276" w:lineRule="auto"/>
              <w:ind w:firstLine="0"/>
              <w:jc w:val="center"/>
              <w:rPr>
                <w:b w:val="0"/>
                <w:sz w:val="20"/>
                <w:szCs w:val="20"/>
              </w:rPr>
            </w:pPr>
            <w:r w:rsidRPr="00A604DD">
              <w:rPr>
                <w:b w:val="0"/>
                <w:sz w:val="20"/>
                <w:szCs w:val="20"/>
              </w:rPr>
              <w:t>30.5%</w:t>
            </w:r>
          </w:p>
        </w:tc>
        <w:tc>
          <w:tcPr>
            <w:tcW w:w="603" w:type="pct"/>
            <w:shd w:val="solid" w:color="FFFFFF" w:fill="auto"/>
            <w:tcMar>
              <w:top w:w="0" w:type="dxa"/>
              <w:left w:w="30" w:type="dxa"/>
              <w:bottom w:w="0" w:type="dxa"/>
              <w:right w:w="30" w:type="dxa"/>
            </w:tcMar>
            <w:hideMark/>
          </w:tcPr>
          <w:p w:rsidR="00AE0F80" w:rsidRPr="00A604DD" w:rsidRDefault="00AE0F80" w:rsidP="009F0F78">
            <w:pPr>
              <w:spacing w:before="0" w:line="276" w:lineRule="auto"/>
              <w:ind w:firstLine="0"/>
              <w:jc w:val="center"/>
              <w:rPr>
                <w:b w:val="0"/>
                <w:sz w:val="20"/>
                <w:szCs w:val="20"/>
                <w:lang w:val="en-US"/>
              </w:rPr>
            </w:pPr>
            <w:r w:rsidRPr="00A604DD">
              <w:rPr>
                <w:b w:val="0"/>
                <w:sz w:val="20"/>
                <w:szCs w:val="20"/>
              </w:rPr>
              <w:t>28.9%</w:t>
            </w:r>
          </w:p>
        </w:tc>
      </w:tr>
      <w:tr w:rsidR="00AE0F80" w:rsidRPr="00A604DD" w:rsidTr="009F0F78">
        <w:trPr>
          <w:trHeight w:val="20"/>
        </w:trPr>
        <w:tc>
          <w:tcPr>
            <w:tcW w:w="1911" w:type="pct"/>
            <w:shd w:val="clear" w:color="auto" w:fill="C6D9F1" w:themeFill="text2" w:themeFillTint="33"/>
            <w:tcMar>
              <w:top w:w="0" w:type="dxa"/>
              <w:left w:w="57" w:type="dxa"/>
              <w:bottom w:w="0" w:type="dxa"/>
              <w:right w:w="57" w:type="dxa"/>
            </w:tcMar>
            <w:vAlign w:val="center"/>
            <w:hideMark/>
          </w:tcPr>
          <w:p w:rsidR="00AE0F80" w:rsidRPr="007D6A76" w:rsidRDefault="00AE0F80" w:rsidP="009F0F78">
            <w:pPr>
              <w:spacing w:before="0" w:line="276" w:lineRule="auto"/>
              <w:ind w:firstLine="0"/>
              <w:jc w:val="left"/>
              <w:rPr>
                <w:b w:val="0"/>
                <w:sz w:val="20"/>
                <w:szCs w:val="20"/>
              </w:rPr>
            </w:pPr>
            <w:r w:rsidRPr="00A604DD">
              <w:rPr>
                <w:rFonts w:cs="Arial"/>
                <w:sz w:val="20"/>
                <w:szCs w:val="20"/>
              </w:rPr>
              <w:t>ԸՆԴՀԱՆՈՒՐ ԲՆՈՒՅԹԻ ՀԱՆՐԱՅԻՆ ԾԱՌԱՅՈՒԹՅՈՒՆՆԵՐ</w:t>
            </w:r>
            <w:r w:rsidRPr="007D6A76">
              <w:rPr>
                <w:rFonts w:cs="Arial"/>
                <w:sz w:val="20"/>
                <w:szCs w:val="20"/>
              </w:rPr>
              <w:t xml:space="preserve">  </w:t>
            </w:r>
            <w:r w:rsidRPr="007D6A76">
              <w:rPr>
                <w:rFonts w:cs="Arial"/>
                <w:sz w:val="20"/>
                <w:szCs w:val="20"/>
                <w:lang w:val="en-US"/>
              </w:rPr>
              <w:t>ԵՎ</w:t>
            </w:r>
            <w:r w:rsidRPr="007D6A76">
              <w:rPr>
                <w:rFonts w:cs="Arial"/>
                <w:sz w:val="20"/>
                <w:szCs w:val="20"/>
              </w:rPr>
              <w:t xml:space="preserve"> </w:t>
            </w:r>
            <w:r w:rsidRPr="007D6A76">
              <w:rPr>
                <w:rFonts w:cs="Arial"/>
                <w:sz w:val="20"/>
                <w:szCs w:val="20"/>
                <w:lang w:val="en-US"/>
              </w:rPr>
              <w:t>ՊԱՀՈՒՍՏԱՅԻՆ</w:t>
            </w:r>
            <w:r w:rsidRPr="007D6A76">
              <w:rPr>
                <w:rFonts w:cs="Arial"/>
                <w:sz w:val="20"/>
                <w:szCs w:val="20"/>
              </w:rPr>
              <w:t xml:space="preserve"> </w:t>
            </w:r>
            <w:r w:rsidRPr="007D6A76">
              <w:rPr>
                <w:rFonts w:cs="Arial"/>
                <w:sz w:val="20"/>
                <w:szCs w:val="20"/>
                <w:lang w:val="en-US"/>
              </w:rPr>
              <w:t>ՖՈՆԴԵՐ</w:t>
            </w:r>
          </w:p>
        </w:tc>
        <w:tc>
          <w:tcPr>
            <w:tcW w:w="628" w:type="pct"/>
            <w:shd w:val="clear" w:color="auto" w:fill="C6D9F1" w:themeFill="text2" w:themeFillTint="33"/>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bCs/>
                <w:sz w:val="20"/>
                <w:szCs w:val="20"/>
              </w:rPr>
            </w:pPr>
            <w:r w:rsidRPr="00A604DD">
              <w:rPr>
                <w:sz w:val="20"/>
                <w:szCs w:val="20"/>
              </w:rPr>
              <w:t>297,731.2</w:t>
            </w:r>
          </w:p>
        </w:tc>
        <w:tc>
          <w:tcPr>
            <w:tcW w:w="659" w:type="pct"/>
            <w:shd w:val="clear" w:color="auto" w:fill="C6D9F1" w:themeFill="text2" w:themeFillTint="33"/>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sz w:val="20"/>
                <w:szCs w:val="20"/>
              </w:rPr>
            </w:pPr>
            <w:r w:rsidRPr="00A604DD">
              <w:rPr>
                <w:sz w:val="20"/>
                <w:szCs w:val="20"/>
              </w:rPr>
              <w:t>312,771.6</w:t>
            </w:r>
          </w:p>
        </w:tc>
        <w:tc>
          <w:tcPr>
            <w:tcW w:w="600" w:type="pct"/>
            <w:shd w:val="clear" w:color="auto" w:fill="C6D9F1" w:themeFill="text2" w:themeFillTint="33"/>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sz w:val="20"/>
                <w:szCs w:val="20"/>
              </w:rPr>
            </w:pPr>
            <w:r w:rsidRPr="00A604DD">
              <w:rPr>
                <w:sz w:val="20"/>
                <w:szCs w:val="20"/>
              </w:rPr>
              <w:t>320,072.9</w:t>
            </w:r>
          </w:p>
        </w:tc>
        <w:tc>
          <w:tcPr>
            <w:tcW w:w="599" w:type="pct"/>
            <w:shd w:val="clear" w:color="auto" w:fill="C6D9F1" w:themeFill="text2" w:themeFillTint="33"/>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sz w:val="20"/>
                <w:szCs w:val="20"/>
              </w:rPr>
            </w:pPr>
            <w:r w:rsidRPr="00A604DD">
              <w:rPr>
                <w:sz w:val="20"/>
                <w:szCs w:val="20"/>
              </w:rPr>
              <w:t>366,764.3</w:t>
            </w:r>
          </w:p>
        </w:tc>
        <w:tc>
          <w:tcPr>
            <w:tcW w:w="603" w:type="pct"/>
            <w:shd w:val="clear" w:color="auto" w:fill="C6D9F1" w:themeFill="text2" w:themeFillTint="33"/>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sz w:val="20"/>
                <w:szCs w:val="20"/>
                <w:lang w:val="en-US"/>
              </w:rPr>
            </w:pPr>
            <w:r w:rsidRPr="00A604DD">
              <w:rPr>
                <w:sz w:val="20"/>
                <w:szCs w:val="20"/>
              </w:rPr>
              <w:t>400,935.5</w:t>
            </w:r>
          </w:p>
        </w:tc>
      </w:tr>
      <w:tr w:rsidR="00AE0F80" w:rsidRPr="00A604DD" w:rsidTr="009F0F78">
        <w:trPr>
          <w:trHeight w:val="417"/>
        </w:trPr>
        <w:tc>
          <w:tcPr>
            <w:tcW w:w="1911" w:type="pct"/>
            <w:shd w:val="solid" w:color="FFFFFF" w:fill="auto"/>
            <w:tcMar>
              <w:top w:w="0" w:type="dxa"/>
              <w:left w:w="57" w:type="dxa"/>
              <w:bottom w:w="0" w:type="dxa"/>
              <w:right w:w="57" w:type="dxa"/>
            </w:tcMar>
            <w:vAlign w:val="center"/>
            <w:hideMark/>
          </w:tcPr>
          <w:p w:rsidR="00AE0F80" w:rsidRPr="00A604DD" w:rsidRDefault="00AE0F80" w:rsidP="009F0F78">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8" w:type="pct"/>
            <w:shd w:val="solid" w:color="FFFFFF" w:fill="auto"/>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5.4%</w:t>
            </w:r>
          </w:p>
        </w:tc>
        <w:tc>
          <w:tcPr>
            <w:tcW w:w="659" w:type="pct"/>
            <w:shd w:val="solid" w:color="FFFFFF" w:fill="auto"/>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5.2%</w:t>
            </w:r>
          </w:p>
        </w:tc>
        <w:tc>
          <w:tcPr>
            <w:tcW w:w="600" w:type="pct"/>
            <w:shd w:val="solid" w:color="FFFFFF" w:fill="auto"/>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4.9%</w:t>
            </w:r>
          </w:p>
        </w:tc>
        <w:tc>
          <w:tcPr>
            <w:tcW w:w="599" w:type="pct"/>
            <w:shd w:val="solid" w:color="FFFFFF" w:fill="auto"/>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6.0%</w:t>
            </w:r>
          </w:p>
        </w:tc>
        <w:tc>
          <w:tcPr>
            <w:tcW w:w="603" w:type="pct"/>
            <w:shd w:val="solid" w:color="FFFFFF" w:fill="auto"/>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color w:val="000000"/>
                <w:sz w:val="20"/>
                <w:szCs w:val="20"/>
                <w:lang w:val="en-US"/>
              </w:rPr>
            </w:pPr>
            <w:r w:rsidRPr="00A604DD">
              <w:rPr>
                <w:b w:val="0"/>
                <w:sz w:val="20"/>
                <w:szCs w:val="20"/>
              </w:rPr>
              <w:t>6.3%</w:t>
            </w:r>
          </w:p>
        </w:tc>
      </w:tr>
      <w:tr w:rsidR="00AE0F80" w:rsidRPr="00A604DD" w:rsidTr="009F0F78">
        <w:trPr>
          <w:trHeight w:val="20"/>
        </w:trPr>
        <w:tc>
          <w:tcPr>
            <w:tcW w:w="1911" w:type="pct"/>
            <w:shd w:val="solid" w:color="FFFFFF" w:fill="auto"/>
            <w:tcMar>
              <w:top w:w="0" w:type="dxa"/>
              <w:left w:w="57" w:type="dxa"/>
              <w:bottom w:w="0" w:type="dxa"/>
              <w:right w:w="57" w:type="dxa"/>
            </w:tcMar>
            <w:vAlign w:val="center"/>
            <w:hideMark/>
          </w:tcPr>
          <w:p w:rsidR="00AE0F80" w:rsidRPr="00A604DD" w:rsidRDefault="00AE0F80" w:rsidP="009F0F78">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տեսակարար</w:t>
            </w:r>
            <w:r w:rsidRPr="00A604DD">
              <w:rPr>
                <w:b w:val="0"/>
                <w:sz w:val="20"/>
                <w:szCs w:val="20"/>
                <w:lang w:val="hy-AM"/>
              </w:rPr>
              <w:t xml:space="preserve"> </w:t>
            </w:r>
            <w:r w:rsidRPr="00A604DD">
              <w:rPr>
                <w:rFonts w:cs="Arial"/>
                <w:b w:val="0"/>
                <w:sz w:val="20"/>
                <w:szCs w:val="20"/>
                <w:lang w:val="hy-AM"/>
              </w:rPr>
              <w:t>կշիռը</w:t>
            </w:r>
            <w:r w:rsidRPr="00A604DD">
              <w:rPr>
                <w:b w:val="0"/>
                <w:sz w:val="20"/>
                <w:szCs w:val="20"/>
                <w:lang w:val="hy-AM"/>
              </w:rPr>
              <w:t xml:space="preserve"> </w:t>
            </w:r>
            <w:r w:rsidRPr="00A604DD">
              <w:rPr>
                <w:rFonts w:cs="Arial"/>
                <w:b w:val="0"/>
                <w:sz w:val="20"/>
                <w:szCs w:val="20"/>
                <w:lang w:val="hy-AM"/>
              </w:rPr>
              <w:t>ծախսերի</w:t>
            </w:r>
            <w:r w:rsidRPr="00A604DD">
              <w:rPr>
                <w:b w:val="0"/>
                <w:sz w:val="20"/>
                <w:szCs w:val="20"/>
                <w:lang w:val="hy-AM"/>
              </w:rPr>
              <w:t xml:space="preserve"> </w:t>
            </w:r>
            <w:r w:rsidRPr="00A604DD">
              <w:rPr>
                <w:rFonts w:cs="Arial"/>
                <w:b w:val="0"/>
                <w:sz w:val="20"/>
                <w:szCs w:val="20"/>
                <w:lang w:val="hy-AM"/>
              </w:rPr>
              <w:t>ամբողջ</w:t>
            </w:r>
            <w:r w:rsidRPr="00A604DD">
              <w:rPr>
                <w:b w:val="0"/>
                <w:sz w:val="20"/>
                <w:szCs w:val="20"/>
                <w:lang w:val="hy-AM"/>
              </w:rPr>
              <w:t xml:space="preserve"> </w:t>
            </w:r>
            <w:r w:rsidRPr="00A604DD">
              <w:rPr>
                <w:rFonts w:cs="Arial"/>
                <w:b w:val="0"/>
                <w:sz w:val="20"/>
                <w:szCs w:val="20"/>
                <w:lang w:val="hy-AM"/>
              </w:rPr>
              <w:t>ծավալում</w:t>
            </w:r>
            <w:r w:rsidRPr="00A604DD">
              <w:rPr>
                <w:b w:val="0"/>
                <w:sz w:val="20"/>
                <w:szCs w:val="20"/>
                <w:lang w:val="hy-AM"/>
              </w:rPr>
              <w:t xml:space="preserve"> (%)</w:t>
            </w:r>
          </w:p>
        </w:tc>
        <w:tc>
          <w:tcPr>
            <w:tcW w:w="628" w:type="pct"/>
            <w:shd w:val="solid" w:color="FFFFFF" w:fill="auto"/>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19.8%</w:t>
            </w:r>
          </w:p>
        </w:tc>
        <w:tc>
          <w:tcPr>
            <w:tcW w:w="659" w:type="pct"/>
            <w:shd w:val="solid" w:color="FFFFFF" w:fill="auto"/>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21.6%</w:t>
            </w:r>
          </w:p>
        </w:tc>
        <w:tc>
          <w:tcPr>
            <w:tcW w:w="600" w:type="pct"/>
            <w:shd w:val="solid" w:color="FFFFFF" w:fill="auto"/>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19.6%</w:t>
            </w:r>
          </w:p>
        </w:tc>
        <w:tc>
          <w:tcPr>
            <w:tcW w:w="599" w:type="pct"/>
            <w:shd w:val="solid" w:color="FFFFFF" w:fill="auto"/>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19.8%</w:t>
            </w:r>
          </w:p>
        </w:tc>
        <w:tc>
          <w:tcPr>
            <w:tcW w:w="603" w:type="pct"/>
            <w:shd w:val="solid" w:color="FFFFFF" w:fill="auto"/>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color w:val="000000"/>
                <w:sz w:val="20"/>
                <w:szCs w:val="20"/>
                <w:lang w:val="en-US"/>
              </w:rPr>
            </w:pPr>
            <w:r w:rsidRPr="00A604DD">
              <w:rPr>
                <w:b w:val="0"/>
                <w:sz w:val="20"/>
                <w:szCs w:val="20"/>
              </w:rPr>
              <w:t>21.7%</w:t>
            </w:r>
          </w:p>
        </w:tc>
      </w:tr>
      <w:tr w:rsidR="00AE0F80" w:rsidRPr="00A604DD" w:rsidTr="009F0F78">
        <w:trPr>
          <w:trHeight w:val="795"/>
        </w:trPr>
        <w:tc>
          <w:tcPr>
            <w:tcW w:w="1911" w:type="pct"/>
            <w:shd w:val="clear" w:color="auto" w:fill="C6D9F1" w:themeFill="text2" w:themeFillTint="33"/>
            <w:tcMar>
              <w:top w:w="0" w:type="dxa"/>
              <w:left w:w="57" w:type="dxa"/>
              <w:bottom w:w="0" w:type="dxa"/>
              <w:right w:w="57" w:type="dxa"/>
            </w:tcMar>
            <w:vAlign w:val="bottom"/>
            <w:hideMark/>
          </w:tcPr>
          <w:p w:rsidR="00AE0F80" w:rsidRPr="00A604DD" w:rsidRDefault="00AE0F80" w:rsidP="009F0F78">
            <w:pPr>
              <w:spacing w:before="0" w:line="276" w:lineRule="auto"/>
              <w:ind w:firstLine="0"/>
              <w:jc w:val="left"/>
              <w:rPr>
                <w:b w:val="0"/>
                <w:sz w:val="20"/>
                <w:szCs w:val="20"/>
              </w:rPr>
            </w:pPr>
            <w:r w:rsidRPr="00A604DD">
              <w:rPr>
                <w:rFonts w:cs="Arial"/>
                <w:sz w:val="20"/>
                <w:szCs w:val="20"/>
              </w:rPr>
              <w:t>ՊԱՇՏՊԱՆՈՒԹՅՈՒՆ, ՀԱՍԱՐԱԿԱԿԱՆ ԿԱՐԳ,  ԱՆՎՏԱՆԳՈՒԹՅՈՒՆ ԵՎ ԴԱՏԱԿԱՆ ԳՈՐԾՈՒՆԵՈՒԹՅՈՒՆ</w:t>
            </w:r>
          </w:p>
        </w:tc>
        <w:tc>
          <w:tcPr>
            <w:tcW w:w="628" w:type="pct"/>
            <w:shd w:val="clear" w:color="auto" w:fill="C6D9F1" w:themeFill="text2" w:themeFillTint="33"/>
            <w:tcMar>
              <w:top w:w="0" w:type="dxa"/>
              <w:left w:w="30" w:type="dxa"/>
              <w:bottom w:w="0" w:type="dxa"/>
              <w:right w:w="30" w:type="dxa"/>
            </w:tcMar>
            <w:hideMark/>
          </w:tcPr>
          <w:p w:rsidR="00AE0F80" w:rsidRPr="00127B0F" w:rsidRDefault="00AE0F80" w:rsidP="009F0F78">
            <w:pPr>
              <w:spacing w:before="0" w:line="276" w:lineRule="auto"/>
              <w:ind w:firstLine="0"/>
              <w:jc w:val="center"/>
              <w:rPr>
                <w:b w:val="0"/>
                <w:sz w:val="20"/>
                <w:szCs w:val="20"/>
                <w:lang w:val="hy-AM"/>
              </w:rPr>
            </w:pPr>
            <w:r w:rsidRPr="00A604DD">
              <w:rPr>
                <w:sz w:val="20"/>
                <w:szCs w:val="20"/>
              </w:rPr>
              <w:t>416,977.</w:t>
            </w:r>
            <w:r>
              <w:rPr>
                <w:sz w:val="20"/>
                <w:szCs w:val="20"/>
                <w:lang w:val="hy-AM"/>
              </w:rPr>
              <w:t>3</w:t>
            </w:r>
          </w:p>
        </w:tc>
        <w:tc>
          <w:tcPr>
            <w:tcW w:w="659" w:type="pct"/>
            <w:shd w:val="clear" w:color="auto" w:fill="C6D9F1" w:themeFill="text2" w:themeFillTint="33"/>
            <w:tcMar>
              <w:top w:w="0" w:type="dxa"/>
              <w:left w:w="57" w:type="dxa"/>
              <w:bottom w:w="0" w:type="dxa"/>
              <w:right w:w="57" w:type="dxa"/>
            </w:tcMar>
            <w:hideMark/>
          </w:tcPr>
          <w:p w:rsidR="00AE0F80" w:rsidRPr="00A604DD" w:rsidRDefault="00AE0F80" w:rsidP="009F0F78">
            <w:pPr>
              <w:spacing w:before="0" w:line="276" w:lineRule="auto"/>
              <w:ind w:firstLine="0"/>
              <w:jc w:val="center"/>
              <w:rPr>
                <w:b w:val="0"/>
                <w:sz w:val="20"/>
                <w:szCs w:val="20"/>
              </w:rPr>
            </w:pPr>
            <w:r w:rsidRPr="00A604DD">
              <w:rPr>
                <w:sz w:val="20"/>
                <w:szCs w:val="20"/>
              </w:rPr>
              <w:t>361,579.4</w:t>
            </w:r>
          </w:p>
        </w:tc>
        <w:tc>
          <w:tcPr>
            <w:tcW w:w="600" w:type="pct"/>
            <w:shd w:val="clear" w:color="auto" w:fill="C6D9F1" w:themeFill="text2" w:themeFillTint="33"/>
            <w:tcMar>
              <w:top w:w="0" w:type="dxa"/>
              <w:left w:w="57" w:type="dxa"/>
              <w:bottom w:w="0" w:type="dxa"/>
              <w:right w:w="57" w:type="dxa"/>
            </w:tcMar>
            <w:hideMark/>
          </w:tcPr>
          <w:p w:rsidR="00AE0F80" w:rsidRPr="00A604DD" w:rsidRDefault="00AE0F80" w:rsidP="009F0F78">
            <w:pPr>
              <w:spacing w:before="0" w:line="276" w:lineRule="auto"/>
              <w:ind w:firstLine="0"/>
              <w:jc w:val="center"/>
              <w:rPr>
                <w:b w:val="0"/>
                <w:sz w:val="20"/>
                <w:szCs w:val="20"/>
              </w:rPr>
            </w:pPr>
            <w:r w:rsidRPr="00A604DD">
              <w:rPr>
                <w:sz w:val="20"/>
                <w:szCs w:val="20"/>
              </w:rPr>
              <w:t>459,284.1</w:t>
            </w:r>
          </w:p>
        </w:tc>
        <w:tc>
          <w:tcPr>
            <w:tcW w:w="599" w:type="pct"/>
            <w:shd w:val="clear" w:color="auto" w:fill="C6D9F1" w:themeFill="text2" w:themeFillTint="33"/>
            <w:tcMar>
              <w:top w:w="0" w:type="dxa"/>
              <w:left w:w="30" w:type="dxa"/>
              <w:bottom w:w="0" w:type="dxa"/>
              <w:right w:w="30" w:type="dxa"/>
            </w:tcMar>
            <w:hideMark/>
          </w:tcPr>
          <w:p w:rsidR="00AE0F80" w:rsidRPr="00A604DD" w:rsidRDefault="00AE0F80" w:rsidP="009F0F78">
            <w:pPr>
              <w:spacing w:before="0" w:line="276" w:lineRule="auto"/>
              <w:ind w:firstLine="0"/>
              <w:jc w:val="center"/>
              <w:rPr>
                <w:b w:val="0"/>
                <w:sz w:val="20"/>
                <w:szCs w:val="20"/>
              </w:rPr>
            </w:pPr>
            <w:r w:rsidRPr="00A604DD">
              <w:rPr>
                <w:sz w:val="20"/>
                <w:szCs w:val="20"/>
              </w:rPr>
              <w:t>460,468.8</w:t>
            </w:r>
          </w:p>
        </w:tc>
        <w:tc>
          <w:tcPr>
            <w:tcW w:w="603" w:type="pct"/>
            <w:shd w:val="clear" w:color="auto" w:fill="C6D9F1" w:themeFill="text2" w:themeFillTint="33"/>
            <w:tcMar>
              <w:top w:w="0" w:type="dxa"/>
              <w:left w:w="30" w:type="dxa"/>
              <w:bottom w:w="0" w:type="dxa"/>
              <w:right w:w="30" w:type="dxa"/>
            </w:tcMar>
            <w:hideMark/>
          </w:tcPr>
          <w:p w:rsidR="00AE0F80" w:rsidRPr="00127B0F" w:rsidRDefault="00AE0F80" w:rsidP="009F0F78">
            <w:pPr>
              <w:spacing w:before="0" w:line="276" w:lineRule="auto"/>
              <w:ind w:firstLine="0"/>
              <w:jc w:val="center"/>
              <w:rPr>
                <w:b w:val="0"/>
                <w:sz w:val="20"/>
                <w:szCs w:val="20"/>
                <w:lang w:val="hy-AM"/>
              </w:rPr>
            </w:pPr>
            <w:r w:rsidRPr="00A604DD">
              <w:rPr>
                <w:sz w:val="20"/>
                <w:szCs w:val="20"/>
              </w:rPr>
              <w:t>468,807.</w:t>
            </w:r>
            <w:r>
              <w:rPr>
                <w:sz w:val="20"/>
                <w:szCs w:val="20"/>
                <w:lang w:val="hy-AM"/>
              </w:rPr>
              <w:t>8</w:t>
            </w:r>
          </w:p>
        </w:tc>
      </w:tr>
      <w:tr w:rsidR="00AE0F80" w:rsidRPr="00A604DD" w:rsidTr="009F0F78">
        <w:trPr>
          <w:trHeight w:val="20"/>
        </w:trPr>
        <w:tc>
          <w:tcPr>
            <w:tcW w:w="1911" w:type="pct"/>
            <w:shd w:val="clear" w:color="auto" w:fill="FFFFFF"/>
            <w:tcMar>
              <w:top w:w="0" w:type="dxa"/>
              <w:left w:w="57" w:type="dxa"/>
              <w:bottom w:w="0" w:type="dxa"/>
              <w:right w:w="57" w:type="dxa"/>
            </w:tcMar>
            <w:vAlign w:val="center"/>
            <w:hideMark/>
          </w:tcPr>
          <w:p w:rsidR="00AE0F80" w:rsidRPr="00A604DD" w:rsidRDefault="00AE0F80" w:rsidP="009F0F78">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8"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7.5%</w:t>
            </w:r>
          </w:p>
        </w:tc>
        <w:tc>
          <w:tcPr>
            <w:tcW w:w="659" w:type="pct"/>
            <w:shd w:val="clear" w:color="auto" w:fill="FFFFFF"/>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6.0%</w:t>
            </w:r>
          </w:p>
        </w:tc>
        <w:tc>
          <w:tcPr>
            <w:tcW w:w="600" w:type="pct"/>
            <w:shd w:val="clear" w:color="auto" w:fill="FFFFFF"/>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7.0%</w:t>
            </w:r>
          </w:p>
        </w:tc>
        <w:tc>
          <w:tcPr>
            <w:tcW w:w="599"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7.6%</w:t>
            </w:r>
          </w:p>
        </w:tc>
        <w:tc>
          <w:tcPr>
            <w:tcW w:w="603"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lang w:val="en-US"/>
              </w:rPr>
            </w:pPr>
            <w:r w:rsidRPr="00A604DD">
              <w:rPr>
                <w:b w:val="0"/>
                <w:sz w:val="20"/>
                <w:szCs w:val="20"/>
              </w:rPr>
              <w:t>7.3%</w:t>
            </w:r>
          </w:p>
        </w:tc>
      </w:tr>
      <w:tr w:rsidR="00AE0F80" w:rsidRPr="00A604DD" w:rsidTr="009F0F78">
        <w:trPr>
          <w:trHeight w:val="20"/>
        </w:trPr>
        <w:tc>
          <w:tcPr>
            <w:tcW w:w="1911" w:type="pct"/>
            <w:shd w:val="clear" w:color="auto" w:fill="FFFFFF"/>
            <w:tcMar>
              <w:top w:w="0" w:type="dxa"/>
              <w:left w:w="57" w:type="dxa"/>
              <w:bottom w:w="0" w:type="dxa"/>
              <w:right w:w="57" w:type="dxa"/>
            </w:tcMar>
            <w:vAlign w:val="center"/>
            <w:hideMark/>
          </w:tcPr>
          <w:p w:rsidR="00AE0F80" w:rsidRPr="00A604DD" w:rsidRDefault="00AE0F80" w:rsidP="009F0F78">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տեսակարար</w:t>
            </w:r>
            <w:r w:rsidRPr="00A604DD">
              <w:rPr>
                <w:b w:val="0"/>
                <w:sz w:val="20"/>
                <w:szCs w:val="20"/>
                <w:lang w:val="hy-AM"/>
              </w:rPr>
              <w:t xml:space="preserve"> </w:t>
            </w:r>
            <w:r w:rsidRPr="00A604DD">
              <w:rPr>
                <w:rFonts w:cs="Arial"/>
                <w:b w:val="0"/>
                <w:sz w:val="20"/>
                <w:szCs w:val="20"/>
                <w:lang w:val="hy-AM"/>
              </w:rPr>
              <w:t>կշիռը</w:t>
            </w:r>
            <w:r w:rsidRPr="00A604DD">
              <w:rPr>
                <w:b w:val="0"/>
                <w:sz w:val="20"/>
                <w:szCs w:val="20"/>
                <w:lang w:val="hy-AM"/>
              </w:rPr>
              <w:t xml:space="preserve"> </w:t>
            </w:r>
            <w:r w:rsidRPr="00A604DD">
              <w:rPr>
                <w:rFonts w:cs="Arial"/>
                <w:b w:val="0"/>
                <w:sz w:val="20"/>
                <w:szCs w:val="20"/>
                <w:lang w:val="hy-AM"/>
              </w:rPr>
              <w:t>ծախսերի</w:t>
            </w:r>
            <w:r w:rsidRPr="00A604DD">
              <w:rPr>
                <w:b w:val="0"/>
                <w:sz w:val="20"/>
                <w:szCs w:val="20"/>
                <w:lang w:val="hy-AM"/>
              </w:rPr>
              <w:t xml:space="preserve"> </w:t>
            </w:r>
            <w:r w:rsidRPr="00A604DD">
              <w:rPr>
                <w:rFonts w:cs="Arial"/>
                <w:b w:val="0"/>
                <w:sz w:val="20"/>
                <w:szCs w:val="20"/>
                <w:lang w:val="hy-AM"/>
              </w:rPr>
              <w:t>ամբողջ</w:t>
            </w:r>
            <w:r w:rsidRPr="00A604DD">
              <w:rPr>
                <w:b w:val="0"/>
                <w:sz w:val="20"/>
                <w:szCs w:val="20"/>
                <w:lang w:val="hy-AM"/>
              </w:rPr>
              <w:t xml:space="preserve"> </w:t>
            </w:r>
            <w:r w:rsidRPr="00A604DD">
              <w:rPr>
                <w:rFonts w:cs="Arial"/>
                <w:b w:val="0"/>
                <w:sz w:val="20"/>
                <w:szCs w:val="20"/>
                <w:lang w:val="hy-AM"/>
              </w:rPr>
              <w:t>ծավալում</w:t>
            </w:r>
            <w:r w:rsidRPr="00A604DD">
              <w:rPr>
                <w:b w:val="0"/>
                <w:sz w:val="20"/>
                <w:szCs w:val="20"/>
                <w:lang w:val="hy-AM"/>
              </w:rPr>
              <w:t xml:space="preserve"> (%)</w:t>
            </w:r>
          </w:p>
        </w:tc>
        <w:tc>
          <w:tcPr>
            <w:tcW w:w="628"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27.7%</w:t>
            </w:r>
          </w:p>
        </w:tc>
        <w:tc>
          <w:tcPr>
            <w:tcW w:w="659" w:type="pct"/>
            <w:shd w:val="clear" w:color="auto" w:fill="FFFFFF"/>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25.0%</w:t>
            </w:r>
          </w:p>
        </w:tc>
        <w:tc>
          <w:tcPr>
            <w:tcW w:w="600" w:type="pct"/>
            <w:shd w:val="clear" w:color="auto" w:fill="FFFFFF"/>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28.2%</w:t>
            </w:r>
          </w:p>
        </w:tc>
        <w:tc>
          <w:tcPr>
            <w:tcW w:w="599"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24.8%</w:t>
            </w:r>
          </w:p>
        </w:tc>
        <w:tc>
          <w:tcPr>
            <w:tcW w:w="603"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lang w:val="en-US"/>
              </w:rPr>
            </w:pPr>
            <w:r w:rsidRPr="00A604DD">
              <w:rPr>
                <w:b w:val="0"/>
                <w:sz w:val="20"/>
                <w:szCs w:val="20"/>
              </w:rPr>
              <w:t>25.3%</w:t>
            </w:r>
          </w:p>
        </w:tc>
      </w:tr>
      <w:tr w:rsidR="00AE0F80" w:rsidRPr="00A604DD" w:rsidTr="009F0F78">
        <w:trPr>
          <w:trHeight w:val="20"/>
        </w:trPr>
        <w:tc>
          <w:tcPr>
            <w:tcW w:w="1911" w:type="pct"/>
            <w:shd w:val="clear" w:color="auto" w:fill="C6D9F1" w:themeFill="text2" w:themeFillTint="33"/>
            <w:tcMar>
              <w:top w:w="0" w:type="dxa"/>
              <w:left w:w="57" w:type="dxa"/>
              <w:bottom w:w="0" w:type="dxa"/>
              <w:right w:w="57" w:type="dxa"/>
            </w:tcMar>
            <w:vAlign w:val="center"/>
            <w:hideMark/>
          </w:tcPr>
          <w:p w:rsidR="00AE0F80" w:rsidRPr="00A604DD" w:rsidRDefault="00AE0F80" w:rsidP="009F0F78">
            <w:pPr>
              <w:spacing w:before="0" w:line="276" w:lineRule="auto"/>
              <w:ind w:firstLine="0"/>
              <w:rPr>
                <w:b w:val="0"/>
                <w:sz w:val="20"/>
                <w:szCs w:val="20"/>
              </w:rPr>
            </w:pPr>
            <w:r w:rsidRPr="00A604DD">
              <w:rPr>
                <w:rFonts w:cs="Arial"/>
                <w:sz w:val="20"/>
                <w:szCs w:val="20"/>
              </w:rPr>
              <w:t>ՏՆՏԵՍԱԿԱՆ</w:t>
            </w:r>
            <w:r w:rsidRPr="00A604DD">
              <w:rPr>
                <w:sz w:val="20"/>
                <w:szCs w:val="20"/>
              </w:rPr>
              <w:t xml:space="preserve"> </w:t>
            </w:r>
            <w:r w:rsidRPr="00A604DD">
              <w:rPr>
                <w:rFonts w:cs="Arial"/>
                <w:sz w:val="20"/>
                <w:szCs w:val="20"/>
              </w:rPr>
              <w:t>ՈԼՈՐՏ</w:t>
            </w:r>
          </w:p>
        </w:tc>
        <w:tc>
          <w:tcPr>
            <w:tcW w:w="628" w:type="pct"/>
            <w:shd w:val="clear" w:color="auto" w:fill="C6D9F1" w:themeFill="text2" w:themeFillTint="33"/>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bCs/>
                <w:sz w:val="20"/>
                <w:szCs w:val="20"/>
              </w:rPr>
            </w:pPr>
            <w:r w:rsidRPr="00A604DD">
              <w:rPr>
                <w:sz w:val="20"/>
                <w:szCs w:val="20"/>
              </w:rPr>
              <w:t>147,537.7</w:t>
            </w:r>
          </w:p>
        </w:tc>
        <w:tc>
          <w:tcPr>
            <w:tcW w:w="659" w:type="pct"/>
            <w:shd w:val="clear" w:color="auto" w:fill="C6D9F1" w:themeFill="text2" w:themeFillTint="33"/>
            <w:tcMar>
              <w:top w:w="0" w:type="dxa"/>
              <w:left w:w="57" w:type="dxa"/>
              <w:bottom w:w="0" w:type="dxa"/>
              <w:right w:w="57" w:type="dxa"/>
            </w:tcMar>
            <w:hideMark/>
          </w:tcPr>
          <w:p w:rsidR="00AE0F80" w:rsidRPr="00127B0F" w:rsidRDefault="00AE0F80" w:rsidP="009F0F78">
            <w:pPr>
              <w:spacing w:before="0" w:line="276" w:lineRule="auto"/>
              <w:ind w:firstLine="0"/>
              <w:jc w:val="center"/>
              <w:rPr>
                <w:rFonts w:cs="Arial"/>
                <w:b w:val="0"/>
                <w:bCs/>
                <w:sz w:val="20"/>
                <w:szCs w:val="20"/>
                <w:lang w:val="hy-AM"/>
              </w:rPr>
            </w:pPr>
            <w:r w:rsidRPr="00A604DD">
              <w:rPr>
                <w:sz w:val="20"/>
                <w:szCs w:val="20"/>
              </w:rPr>
              <w:t>129,599.</w:t>
            </w:r>
            <w:r>
              <w:rPr>
                <w:sz w:val="20"/>
                <w:szCs w:val="20"/>
                <w:lang w:val="hy-AM"/>
              </w:rPr>
              <w:t>5</w:t>
            </w:r>
          </w:p>
        </w:tc>
        <w:tc>
          <w:tcPr>
            <w:tcW w:w="600" w:type="pct"/>
            <w:shd w:val="clear" w:color="auto" w:fill="C6D9F1" w:themeFill="text2" w:themeFillTint="33"/>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bCs/>
                <w:sz w:val="20"/>
                <w:szCs w:val="20"/>
              </w:rPr>
            </w:pPr>
            <w:r w:rsidRPr="00A604DD">
              <w:rPr>
                <w:sz w:val="20"/>
                <w:szCs w:val="20"/>
              </w:rPr>
              <w:t>133,980.8</w:t>
            </w:r>
          </w:p>
        </w:tc>
        <w:tc>
          <w:tcPr>
            <w:tcW w:w="599" w:type="pct"/>
            <w:shd w:val="clear" w:color="auto" w:fill="C6D9F1" w:themeFill="text2" w:themeFillTint="33"/>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bCs/>
                <w:sz w:val="20"/>
                <w:szCs w:val="20"/>
              </w:rPr>
            </w:pPr>
            <w:r w:rsidRPr="00A604DD">
              <w:rPr>
                <w:sz w:val="20"/>
                <w:szCs w:val="20"/>
              </w:rPr>
              <w:t>230,831.</w:t>
            </w:r>
            <w:r>
              <w:rPr>
                <w:sz w:val="20"/>
                <w:szCs w:val="20"/>
              </w:rPr>
              <w:t>5</w:t>
            </w:r>
          </w:p>
        </w:tc>
        <w:tc>
          <w:tcPr>
            <w:tcW w:w="603" w:type="pct"/>
            <w:shd w:val="clear" w:color="auto" w:fill="C6D9F1" w:themeFill="text2" w:themeFillTint="33"/>
            <w:tcMar>
              <w:top w:w="0" w:type="dxa"/>
              <w:left w:w="30" w:type="dxa"/>
              <w:bottom w:w="0" w:type="dxa"/>
              <w:right w:w="30" w:type="dxa"/>
            </w:tcMar>
            <w:hideMark/>
          </w:tcPr>
          <w:p w:rsidR="00AE0F80" w:rsidRPr="00127B0F" w:rsidRDefault="00AE0F80" w:rsidP="009F0F78">
            <w:pPr>
              <w:spacing w:before="0" w:line="276" w:lineRule="auto"/>
              <w:ind w:firstLine="0"/>
              <w:jc w:val="center"/>
              <w:rPr>
                <w:rFonts w:cs="Arial"/>
                <w:b w:val="0"/>
                <w:bCs/>
                <w:sz w:val="20"/>
                <w:szCs w:val="20"/>
                <w:lang w:val="hy-AM"/>
              </w:rPr>
            </w:pPr>
            <w:r w:rsidRPr="00A604DD">
              <w:rPr>
                <w:sz w:val="20"/>
                <w:szCs w:val="20"/>
              </w:rPr>
              <w:t>174,531.</w:t>
            </w:r>
            <w:r>
              <w:rPr>
                <w:sz w:val="20"/>
                <w:szCs w:val="20"/>
                <w:lang w:val="hy-AM"/>
              </w:rPr>
              <w:t>3</w:t>
            </w:r>
          </w:p>
        </w:tc>
      </w:tr>
      <w:tr w:rsidR="00AE0F80" w:rsidRPr="00A604DD" w:rsidTr="009F0F78">
        <w:trPr>
          <w:trHeight w:val="20"/>
        </w:trPr>
        <w:tc>
          <w:tcPr>
            <w:tcW w:w="1911" w:type="pct"/>
            <w:shd w:val="clear" w:color="auto" w:fill="FFFFFF"/>
            <w:tcMar>
              <w:top w:w="0" w:type="dxa"/>
              <w:left w:w="57" w:type="dxa"/>
              <w:bottom w:w="0" w:type="dxa"/>
              <w:right w:w="57" w:type="dxa"/>
            </w:tcMar>
            <w:vAlign w:val="center"/>
            <w:hideMark/>
          </w:tcPr>
          <w:p w:rsidR="00AE0F80" w:rsidRPr="00A604DD" w:rsidRDefault="00AE0F80" w:rsidP="009F0F78">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8"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2.7%</w:t>
            </w:r>
          </w:p>
        </w:tc>
        <w:tc>
          <w:tcPr>
            <w:tcW w:w="659" w:type="pct"/>
            <w:shd w:val="clear" w:color="auto" w:fill="FFFFFF"/>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2.2%</w:t>
            </w:r>
          </w:p>
        </w:tc>
        <w:tc>
          <w:tcPr>
            <w:tcW w:w="600" w:type="pct"/>
            <w:shd w:val="clear" w:color="auto" w:fill="FFFFFF"/>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2.0%</w:t>
            </w:r>
          </w:p>
        </w:tc>
        <w:tc>
          <w:tcPr>
            <w:tcW w:w="599"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3.8%</w:t>
            </w:r>
          </w:p>
        </w:tc>
        <w:tc>
          <w:tcPr>
            <w:tcW w:w="603"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lang w:val="en-US"/>
              </w:rPr>
            </w:pPr>
            <w:r w:rsidRPr="00A604DD">
              <w:rPr>
                <w:b w:val="0"/>
                <w:sz w:val="20"/>
                <w:szCs w:val="20"/>
              </w:rPr>
              <w:t>2.7%</w:t>
            </w:r>
          </w:p>
        </w:tc>
      </w:tr>
      <w:tr w:rsidR="00AE0F80" w:rsidRPr="00A604DD" w:rsidTr="009F0F78">
        <w:trPr>
          <w:trHeight w:val="20"/>
        </w:trPr>
        <w:tc>
          <w:tcPr>
            <w:tcW w:w="1911" w:type="pct"/>
            <w:shd w:val="clear" w:color="auto" w:fill="FFFFFF"/>
            <w:tcMar>
              <w:top w:w="0" w:type="dxa"/>
              <w:left w:w="57" w:type="dxa"/>
              <w:bottom w:w="0" w:type="dxa"/>
              <w:right w:w="57" w:type="dxa"/>
            </w:tcMar>
            <w:vAlign w:val="center"/>
            <w:hideMark/>
          </w:tcPr>
          <w:p w:rsidR="00AE0F80" w:rsidRPr="00A604DD" w:rsidRDefault="00AE0F80" w:rsidP="009F0F78">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տեսակարար</w:t>
            </w:r>
            <w:r w:rsidRPr="00A604DD">
              <w:rPr>
                <w:b w:val="0"/>
                <w:sz w:val="20"/>
                <w:szCs w:val="20"/>
                <w:lang w:val="hy-AM"/>
              </w:rPr>
              <w:t xml:space="preserve"> </w:t>
            </w:r>
            <w:r w:rsidRPr="00A604DD">
              <w:rPr>
                <w:rFonts w:cs="Arial"/>
                <w:b w:val="0"/>
                <w:sz w:val="20"/>
                <w:szCs w:val="20"/>
                <w:lang w:val="hy-AM"/>
              </w:rPr>
              <w:t>կշիռը</w:t>
            </w:r>
            <w:r w:rsidRPr="00A604DD">
              <w:rPr>
                <w:b w:val="0"/>
                <w:sz w:val="20"/>
                <w:szCs w:val="20"/>
                <w:lang w:val="hy-AM"/>
              </w:rPr>
              <w:t xml:space="preserve"> </w:t>
            </w:r>
            <w:r w:rsidRPr="00A604DD">
              <w:rPr>
                <w:rFonts w:cs="Arial"/>
                <w:b w:val="0"/>
                <w:sz w:val="20"/>
                <w:szCs w:val="20"/>
                <w:lang w:val="hy-AM"/>
              </w:rPr>
              <w:t>ծախսերի</w:t>
            </w:r>
            <w:r w:rsidRPr="00A604DD">
              <w:rPr>
                <w:b w:val="0"/>
                <w:sz w:val="20"/>
                <w:szCs w:val="20"/>
                <w:lang w:val="hy-AM"/>
              </w:rPr>
              <w:t xml:space="preserve"> </w:t>
            </w:r>
            <w:r w:rsidRPr="00A604DD">
              <w:rPr>
                <w:rFonts w:cs="Arial"/>
                <w:b w:val="0"/>
                <w:sz w:val="20"/>
                <w:szCs w:val="20"/>
                <w:lang w:val="hy-AM"/>
              </w:rPr>
              <w:t>ամբողջ</w:t>
            </w:r>
            <w:r w:rsidRPr="00A604DD">
              <w:rPr>
                <w:b w:val="0"/>
                <w:sz w:val="20"/>
                <w:szCs w:val="20"/>
                <w:lang w:val="hy-AM"/>
              </w:rPr>
              <w:t xml:space="preserve"> </w:t>
            </w:r>
            <w:r w:rsidRPr="00A604DD">
              <w:rPr>
                <w:rFonts w:cs="Arial"/>
                <w:b w:val="0"/>
                <w:sz w:val="20"/>
                <w:szCs w:val="20"/>
                <w:lang w:val="hy-AM"/>
              </w:rPr>
              <w:t>ծավալում</w:t>
            </w:r>
            <w:r w:rsidRPr="00A604DD">
              <w:rPr>
                <w:b w:val="0"/>
                <w:sz w:val="20"/>
                <w:szCs w:val="20"/>
                <w:lang w:val="hy-AM"/>
              </w:rPr>
              <w:t xml:space="preserve"> (%)</w:t>
            </w:r>
          </w:p>
        </w:tc>
        <w:tc>
          <w:tcPr>
            <w:tcW w:w="628"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9.8%</w:t>
            </w:r>
          </w:p>
        </w:tc>
        <w:tc>
          <w:tcPr>
            <w:tcW w:w="659" w:type="pct"/>
            <w:shd w:val="clear" w:color="auto" w:fill="FFFFFF"/>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9.0%</w:t>
            </w:r>
          </w:p>
        </w:tc>
        <w:tc>
          <w:tcPr>
            <w:tcW w:w="600" w:type="pct"/>
            <w:shd w:val="clear" w:color="auto" w:fill="FFFFFF"/>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8.2%</w:t>
            </w:r>
          </w:p>
        </w:tc>
        <w:tc>
          <w:tcPr>
            <w:tcW w:w="599"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12.4%</w:t>
            </w:r>
          </w:p>
        </w:tc>
        <w:tc>
          <w:tcPr>
            <w:tcW w:w="603"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lang w:val="en-US"/>
              </w:rPr>
            </w:pPr>
            <w:r w:rsidRPr="00A604DD">
              <w:rPr>
                <w:b w:val="0"/>
                <w:sz w:val="20"/>
                <w:szCs w:val="20"/>
              </w:rPr>
              <w:t>9.4%</w:t>
            </w:r>
          </w:p>
        </w:tc>
      </w:tr>
      <w:tr w:rsidR="00AE0F80" w:rsidRPr="00A604DD" w:rsidTr="009F0F78">
        <w:trPr>
          <w:trHeight w:val="20"/>
        </w:trPr>
        <w:tc>
          <w:tcPr>
            <w:tcW w:w="1911" w:type="pct"/>
            <w:shd w:val="clear" w:color="auto" w:fill="C6D9F1" w:themeFill="text2" w:themeFillTint="33"/>
            <w:tcMar>
              <w:top w:w="0" w:type="dxa"/>
              <w:left w:w="57" w:type="dxa"/>
              <w:bottom w:w="0" w:type="dxa"/>
              <w:right w:w="57" w:type="dxa"/>
            </w:tcMar>
            <w:vAlign w:val="center"/>
            <w:hideMark/>
          </w:tcPr>
          <w:p w:rsidR="00AE0F80" w:rsidRPr="00A604DD" w:rsidRDefault="00AE0F80" w:rsidP="009F0F78">
            <w:pPr>
              <w:spacing w:before="0" w:line="276" w:lineRule="auto"/>
              <w:ind w:firstLine="0"/>
              <w:rPr>
                <w:b w:val="0"/>
                <w:sz w:val="20"/>
                <w:szCs w:val="20"/>
                <w:lang w:val="hy-AM"/>
              </w:rPr>
            </w:pPr>
            <w:r w:rsidRPr="00A604DD">
              <w:rPr>
                <w:rFonts w:cs="Arial"/>
                <w:sz w:val="20"/>
                <w:szCs w:val="20"/>
              </w:rPr>
              <w:t>ՍՈՑԻԱԼԱԿԱՆ</w:t>
            </w:r>
            <w:r w:rsidRPr="00A604DD">
              <w:rPr>
                <w:sz w:val="20"/>
                <w:szCs w:val="20"/>
              </w:rPr>
              <w:t xml:space="preserve"> </w:t>
            </w:r>
            <w:r w:rsidRPr="00A604DD">
              <w:rPr>
                <w:rFonts w:cs="Arial"/>
                <w:sz w:val="20"/>
                <w:szCs w:val="20"/>
              </w:rPr>
              <w:t>ՈԼՈՐՏ</w:t>
            </w:r>
          </w:p>
        </w:tc>
        <w:tc>
          <w:tcPr>
            <w:tcW w:w="628" w:type="pct"/>
            <w:shd w:val="clear" w:color="auto" w:fill="C6D9F1" w:themeFill="text2" w:themeFillTint="33"/>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bCs/>
                <w:sz w:val="20"/>
                <w:szCs w:val="20"/>
              </w:rPr>
            </w:pPr>
            <w:r w:rsidRPr="00A604DD">
              <w:rPr>
                <w:sz w:val="20"/>
                <w:szCs w:val="20"/>
              </w:rPr>
              <w:t>642,556.0</w:t>
            </w:r>
          </w:p>
        </w:tc>
        <w:tc>
          <w:tcPr>
            <w:tcW w:w="659" w:type="pct"/>
            <w:shd w:val="clear" w:color="auto" w:fill="C6D9F1" w:themeFill="text2" w:themeFillTint="33"/>
            <w:tcMar>
              <w:top w:w="0" w:type="dxa"/>
              <w:left w:w="57" w:type="dxa"/>
              <w:bottom w:w="0" w:type="dxa"/>
              <w:right w:w="57" w:type="dxa"/>
            </w:tcMar>
            <w:hideMark/>
          </w:tcPr>
          <w:p w:rsidR="00AE0F80" w:rsidRPr="00127B0F" w:rsidRDefault="00AE0F80" w:rsidP="009F0F78">
            <w:pPr>
              <w:spacing w:before="0" w:line="276" w:lineRule="auto"/>
              <w:ind w:firstLine="0"/>
              <w:jc w:val="center"/>
              <w:rPr>
                <w:rFonts w:cs="Arial"/>
                <w:b w:val="0"/>
                <w:bCs/>
                <w:sz w:val="20"/>
                <w:szCs w:val="20"/>
                <w:lang w:val="hy-AM"/>
              </w:rPr>
            </w:pPr>
            <w:r w:rsidRPr="00A604DD">
              <w:rPr>
                <w:sz w:val="20"/>
                <w:szCs w:val="20"/>
              </w:rPr>
              <w:t>643,132.</w:t>
            </w:r>
            <w:r>
              <w:rPr>
                <w:sz w:val="20"/>
                <w:szCs w:val="20"/>
                <w:lang w:val="hy-AM"/>
              </w:rPr>
              <w:t>6</w:t>
            </w:r>
          </w:p>
        </w:tc>
        <w:tc>
          <w:tcPr>
            <w:tcW w:w="600" w:type="pct"/>
            <w:shd w:val="clear" w:color="auto" w:fill="C6D9F1" w:themeFill="text2" w:themeFillTint="33"/>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bCs/>
                <w:sz w:val="20"/>
                <w:szCs w:val="20"/>
              </w:rPr>
            </w:pPr>
            <w:r w:rsidRPr="00A604DD">
              <w:rPr>
                <w:sz w:val="20"/>
                <w:szCs w:val="20"/>
              </w:rPr>
              <w:t>716,099.0</w:t>
            </w:r>
          </w:p>
        </w:tc>
        <w:tc>
          <w:tcPr>
            <w:tcW w:w="599" w:type="pct"/>
            <w:shd w:val="clear" w:color="auto" w:fill="C6D9F1" w:themeFill="text2" w:themeFillTint="33"/>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bCs/>
                <w:sz w:val="20"/>
                <w:szCs w:val="20"/>
              </w:rPr>
            </w:pPr>
            <w:r w:rsidRPr="00A604DD">
              <w:rPr>
                <w:sz w:val="20"/>
                <w:szCs w:val="20"/>
              </w:rPr>
              <w:t>797,818.1</w:t>
            </w:r>
          </w:p>
        </w:tc>
        <w:tc>
          <w:tcPr>
            <w:tcW w:w="603" w:type="pct"/>
            <w:shd w:val="clear" w:color="auto" w:fill="C6D9F1" w:themeFill="text2" w:themeFillTint="33"/>
            <w:tcMar>
              <w:top w:w="0" w:type="dxa"/>
              <w:left w:w="30" w:type="dxa"/>
              <w:bottom w:w="0" w:type="dxa"/>
              <w:right w:w="30" w:type="dxa"/>
            </w:tcMar>
            <w:hideMark/>
          </w:tcPr>
          <w:p w:rsidR="00AE0F80" w:rsidRPr="00A604DD" w:rsidRDefault="00AE0F80" w:rsidP="009F0F78">
            <w:pPr>
              <w:spacing w:before="0" w:line="276" w:lineRule="auto"/>
              <w:ind w:firstLine="0"/>
              <w:jc w:val="center"/>
              <w:rPr>
                <w:rFonts w:cs="Arial"/>
                <w:b w:val="0"/>
                <w:bCs/>
                <w:sz w:val="20"/>
                <w:szCs w:val="20"/>
                <w:lang w:val="en-US"/>
              </w:rPr>
            </w:pPr>
            <w:r w:rsidRPr="00A604DD">
              <w:rPr>
                <w:sz w:val="20"/>
                <w:szCs w:val="20"/>
              </w:rPr>
              <w:t>806,603.0</w:t>
            </w:r>
          </w:p>
        </w:tc>
      </w:tr>
      <w:tr w:rsidR="00AE0F80" w:rsidRPr="00A604DD" w:rsidTr="009F0F78">
        <w:trPr>
          <w:trHeight w:val="20"/>
        </w:trPr>
        <w:tc>
          <w:tcPr>
            <w:tcW w:w="1911" w:type="pct"/>
            <w:shd w:val="clear" w:color="auto" w:fill="FFFFFF"/>
            <w:tcMar>
              <w:top w:w="0" w:type="dxa"/>
              <w:left w:w="57" w:type="dxa"/>
              <w:bottom w:w="0" w:type="dxa"/>
              <w:right w:w="57" w:type="dxa"/>
            </w:tcMar>
            <w:vAlign w:val="center"/>
            <w:hideMark/>
          </w:tcPr>
          <w:p w:rsidR="00AE0F80" w:rsidRPr="00A604DD" w:rsidRDefault="00AE0F80" w:rsidP="009F0F78">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8"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11.5%</w:t>
            </w:r>
          </w:p>
        </w:tc>
        <w:tc>
          <w:tcPr>
            <w:tcW w:w="659" w:type="pct"/>
            <w:shd w:val="clear" w:color="auto" w:fill="FFFFFF"/>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10.7%</w:t>
            </w:r>
          </w:p>
        </w:tc>
        <w:tc>
          <w:tcPr>
            <w:tcW w:w="600" w:type="pct"/>
            <w:shd w:val="clear" w:color="auto" w:fill="FFFFFF"/>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10.9%</w:t>
            </w:r>
          </w:p>
        </w:tc>
        <w:tc>
          <w:tcPr>
            <w:tcW w:w="599"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13.1%</w:t>
            </w:r>
          </w:p>
        </w:tc>
        <w:tc>
          <w:tcPr>
            <w:tcW w:w="603"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lang w:val="en-US"/>
              </w:rPr>
            </w:pPr>
            <w:r w:rsidRPr="00A604DD">
              <w:rPr>
                <w:b w:val="0"/>
                <w:sz w:val="20"/>
                <w:szCs w:val="20"/>
              </w:rPr>
              <w:t>12.6%</w:t>
            </w:r>
          </w:p>
        </w:tc>
      </w:tr>
      <w:tr w:rsidR="00AE0F80" w:rsidRPr="00A604DD" w:rsidTr="009F0F78">
        <w:trPr>
          <w:trHeight w:val="20"/>
        </w:trPr>
        <w:tc>
          <w:tcPr>
            <w:tcW w:w="1911" w:type="pct"/>
            <w:shd w:val="clear" w:color="auto" w:fill="FFFFFF"/>
            <w:tcMar>
              <w:top w:w="0" w:type="dxa"/>
              <w:left w:w="57" w:type="dxa"/>
              <w:bottom w:w="0" w:type="dxa"/>
              <w:right w:w="57" w:type="dxa"/>
            </w:tcMar>
            <w:vAlign w:val="center"/>
            <w:hideMark/>
          </w:tcPr>
          <w:p w:rsidR="00AE0F80" w:rsidRPr="00A604DD" w:rsidRDefault="00AE0F80" w:rsidP="009F0F78">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տեսակարար</w:t>
            </w:r>
            <w:r w:rsidRPr="00A604DD">
              <w:rPr>
                <w:b w:val="0"/>
                <w:sz w:val="20"/>
                <w:szCs w:val="20"/>
                <w:lang w:val="hy-AM"/>
              </w:rPr>
              <w:t xml:space="preserve"> </w:t>
            </w:r>
            <w:r w:rsidRPr="00A604DD">
              <w:rPr>
                <w:rFonts w:cs="Arial"/>
                <w:b w:val="0"/>
                <w:sz w:val="20"/>
                <w:szCs w:val="20"/>
                <w:lang w:val="hy-AM"/>
              </w:rPr>
              <w:t>կշիռը</w:t>
            </w:r>
            <w:r w:rsidRPr="00A604DD">
              <w:rPr>
                <w:b w:val="0"/>
                <w:sz w:val="20"/>
                <w:szCs w:val="20"/>
                <w:lang w:val="hy-AM"/>
              </w:rPr>
              <w:t xml:space="preserve"> </w:t>
            </w:r>
            <w:r w:rsidRPr="00A604DD">
              <w:rPr>
                <w:rFonts w:cs="Arial"/>
                <w:b w:val="0"/>
                <w:sz w:val="20"/>
                <w:szCs w:val="20"/>
                <w:lang w:val="hy-AM"/>
              </w:rPr>
              <w:t>ծախսերի</w:t>
            </w:r>
            <w:r w:rsidRPr="00A604DD">
              <w:rPr>
                <w:b w:val="0"/>
                <w:sz w:val="20"/>
                <w:szCs w:val="20"/>
                <w:lang w:val="hy-AM"/>
              </w:rPr>
              <w:t xml:space="preserve"> </w:t>
            </w:r>
            <w:r w:rsidRPr="00A604DD">
              <w:rPr>
                <w:rFonts w:cs="Arial"/>
                <w:b w:val="0"/>
                <w:sz w:val="20"/>
                <w:szCs w:val="20"/>
                <w:lang w:val="hy-AM"/>
              </w:rPr>
              <w:t>ամբողջ</w:t>
            </w:r>
            <w:r w:rsidRPr="00A604DD">
              <w:rPr>
                <w:b w:val="0"/>
                <w:sz w:val="20"/>
                <w:szCs w:val="20"/>
                <w:lang w:val="hy-AM"/>
              </w:rPr>
              <w:t xml:space="preserve"> </w:t>
            </w:r>
            <w:r w:rsidRPr="00A604DD">
              <w:rPr>
                <w:rFonts w:cs="Arial"/>
                <w:b w:val="0"/>
                <w:sz w:val="20"/>
                <w:szCs w:val="20"/>
                <w:lang w:val="hy-AM"/>
              </w:rPr>
              <w:t>ծավալում</w:t>
            </w:r>
            <w:r w:rsidRPr="00A604DD">
              <w:rPr>
                <w:b w:val="0"/>
                <w:sz w:val="20"/>
                <w:szCs w:val="20"/>
                <w:lang w:val="hy-AM"/>
              </w:rPr>
              <w:t xml:space="preserve"> (%)</w:t>
            </w:r>
          </w:p>
        </w:tc>
        <w:tc>
          <w:tcPr>
            <w:tcW w:w="628"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42.7%</w:t>
            </w:r>
          </w:p>
        </w:tc>
        <w:tc>
          <w:tcPr>
            <w:tcW w:w="659" w:type="pct"/>
            <w:shd w:val="clear" w:color="auto" w:fill="FFFFFF"/>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44.4%</w:t>
            </w:r>
          </w:p>
        </w:tc>
        <w:tc>
          <w:tcPr>
            <w:tcW w:w="600" w:type="pct"/>
            <w:shd w:val="clear" w:color="auto" w:fill="FFFFFF"/>
            <w:tcMar>
              <w:top w:w="0" w:type="dxa"/>
              <w:left w:w="57" w:type="dxa"/>
              <w:bottom w:w="0" w:type="dxa"/>
              <w:right w:w="57" w:type="dxa"/>
            </w:tcMar>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43.9%</w:t>
            </w:r>
          </w:p>
        </w:tc>
        <w:tc>
          <w:tcPr>
            <w:tcW w:w="599"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rPr>
            </w:pPr>
            <w:r w:rsidRPr="00A604DD">
              <w:rPr>
                <w:b w:val="0"/>
                <w:sz w:val="20"/>
                <w:szCs w:val="20"/>
              </w:rPr>
              <w:t>43.0%</w:t>
            </w:r>
          </w:p>
        </w:tc>
        <w:tc>
          <w:tcPr>
            <w:tcW w:w="603" w:type="pct"/>
            <w:shd w:val="clear" w:color="auto" w:fill="FFFFFF"/>
            <w:hideMark/>
          </w:tcPr>
          <w:p w:rsidR="00AE0F80" w:rsidRPr="00A604DD" w:rsidRDefault="00AE0F80" w:rsidP="009F0F78">
            <w:pPr>
              <w:spacing w:before="0" w:line="276" w:lineRule="auto"/>
              <w:ind w:firstLine="0"/>
              <w:jc w:val="center"/>
              <w:rPr>
                <w:rFonts w:cs="Arial"/>
                <w:b w:val="0"/>
                <w:color w:val="000000"/>
                <w:sz w:val="20"/>
                <w:szCs w:val="20"/>
                <w:lang w:val="en-US"/>
              </w:rPr>
            </w:pPr>
            <w:r w:rsidRPr="00A604DD">
              <w:rPr>
                <w:b w:val="0"/>
                <w:sz w:val="20"/>
                <w:szCs w:val="20"/>
              </w:rPr>
              <w:t>43.6%</w:t>
            </w:r>
          </w:p>
        </w:tc>
      </w:tr>
    </w:tbl>
    <w:p w:rsidR="00AE0F80" w:rsidRPr="00BB489E" w:rsidRDefault="00AE0F80" w:rsidP="00AE0F80">
      <w:pPr>
        <w:spacing w:before="0" w:line="276" w:lineRule="auto"/>
        <w:rPr>
          <w:rFonts w:cs="Arial"/>
          <w:b w:val="0"/>
          <w:lang w:val="hy-AM"/>
        </w:rPr>
      </w:pPr>
    </w:p>
    <w:p w:rsidR="00AE0F80" w:rsidRPr="00BB489E" w:rsidRDefault="00AE0F80" w:rsidP="00AE0F80">
      <w:pPr>
        <w:spacing w:before="0" w:line="276" w:lineRule="auto"/>
        <w:rPr>
          <w:rFonts w:cs="Arial"/>
          <w:b w:val="0"/>
          <w:lang w:val="hy-AM"/>
        </w:rPr>
      </w:pPr>
      <w:r w:rsidRPr="00BB489E">
        <w:rPr>
          <w:rFonts w:cs="Arial"/>
          <w:b w:val="0"/>
          <w:lang w:val="hy-AM"/>
        </w:rPr>
        <w:t>ՀՀ</w:t>
      </w:r>
      <w:r w:rsidRPr="00BB489E">
        <w:rPr>
          <w:b w:val="0"/>
          <w:lang w:val="af-ZA"/>
        </w:rPr>
        <w:t xml:space="preserve"> 2017-2021 </w:t>
      </w:r>
      <w:r w:rsidRPr="00BB489E">
        <w:rPr>
          <w:rFonts w:cs="Arial"/>
          <w:b w:val="0"/>
          <w:lang w:val="hy-AM"/>
        </w:rPr>
        <w:t>թվականների</w:t>
      </w:r>
      <w:r w:rsidRPr="00BB489E">
        <w:rPr>
          <w:b w:val="0"/>
          <w:lang w:val="af-ZA"/>
        </w:rPr>
        <w:t xml:space="preserve"> </w:t>
      </w:r>
      <w:r w:rsidRPr="00BB489E">
        <w:rPr>
          <w:rFonts w:cs="Arial"/>
          <w:b w:val="0"/>
          <w:lang w:val="hy-AM"/>
        </w:rPr>
        <w:t>պետական բյուջեի ծախսերն ըստ ոլորտների ունեն հետևյալ գրաֆիկական տեսքը.</w:t>
      </w:r>
    </w:p>
    <w:p w:rsidR="00AE0F80" w:rsidRPr="00BB489E" w:rsidRDefault="00AE0F80" w:rsidP="00AE0F80">
      <w:pPr>
        <w:spacing w:before="0" w:line="276" w:lineRule="auto"/>
        <w:rPr>
          <w:rFonts w:cs="Arial"/>
          <w:b w:val="0"/>
          <w:lang w:val="hy-AM"/>
        </w:rPr>
      </w:pPr>
      <w:r w:rsidRPr="0089559F">
        <w:rPr>
          <w:b w:val="0"/>
          <w:noProof/>
          <w:lang w:val="en-US" w:eastAsia="en-US"/>
        </w:rPr>
        <w:drawing>
          <wp:anchor distT="0" distB="0" distL="114300" distR="114300" simplePos="0" relativeHeight="251790848" behindDoc="0" locked="0" layoutInCell="1" allowOverlap="1">
            <wp:simplePos x="0" y="0"/>
            <wp:positionH relativeFrom="column">
              <wp:posOffset>0</wp:posOffset>
            </wp:positionH>
            <wp:positionV relativeFrom="paragraph">
              <wp:posOffset>0</wp:posOffset>
            </wp:positionV>
            <wp:extent cx="6082665" cy="3307715"/>
            <wp:effectExtent l="0" t="0" r="13335" b="26035"/>
            <wp:wrapNone/>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rsidR="00AE0F80" w:rsidRPr="00BB489E" w:rsidRDefault="00AE0F80" w:rsidP="00AE0F80">
      <w:pPr>
        <w:spacing w:before="0" w:line="276" w:lineRule="auto"/>
        <w:rPr>
          <w:rFonts w:cs="Arial"/>
          <w:b w:val="0"/>
          <w:lang w:val="hy-AM"/>
        </w:rPr>
      </w:pPr>
    </w:p>
    <w:p w:rsidR="00AE0F80" w:rsidRPr="00BB489E" w:rsidRDefault="00AE0F80" w:rsidP="00AE0F80">
      <w:pPr>
        <w:spacing w:before="0" w:line="276" w:lineRule="auto"/>
        <w:rPr>
          <w:rFonts w:cs="Arial"/>
          <w:b w:val="0"/>
          <w:lang w:val="hy-AM"/>
        </w:rPr>
      </w:pPr>
    </w:p>
    <w:p w:rsidR="00AE0F80" w:rsidRPr="00BB489E" w:rsidRDefault="00AE0F80" w:rsidP="00AE0F80">
      <w:pPr>
        <w:spacing w:before="0" w:line="276" w:lineRule="auto"/>
        <w:rPr>
          <w:rFonts w:cs="Arial"/>
          <w:b w:val="0"/>
          <w:lang w:val="hy-AM"/>
        </w:rPr>
      </w:pPr>
    </w:p>
    <w:p w:rsidR="00AE0F80" w:rsidRPr="00BB489E" w:rsidRDefault="00AE0F80" w:rsidP="00AE0F80">
      <w:pPr>
        <w:spacing w:before="0" w:line="276" w:lineRule="auto"/>
        <w:rPr>
          <w:rFonts w:cs="Arial"/>
          <w:b w:val="0"/>
          <w:color w:val="FF0000"/>
          <w:lang w:val="hy-AM"/>
        </w:rPr>
      </w:pPr>
    </w:p>
    <w:p w:rsidR="00AE0F80" w:rsidRPr="00BB489E" w:rsidRDefault="00AE0F80" w:rsidP="00AE0F80">
      <w:pPr>
        <w:spacing w:before="0" w:line="276" w:lineRule="auto"/>
        <w:rPr>
          <w:rFonts w:cs="Arial"/>
          <w:color w:val="FF0000"/>
          <w:lang w:val="hy-AM"/>
        </w:rPr>
      </w:pPr>
    </w:p>
    <w:p w:rsidR="00AE0F80" w:rsidRPr="00BB489E" w:rsidRDefault="00AE0F80" w:rsidP="00AE0F80">
      <w:pPr>
        <w:spacing w:before="0" w:line="276" w:lineRule="auto"/>
        <w:rPr>
          <w:rFonts w:cs="Arial"/>
          <w:color w:val="FF0000"/>
          <w:lang w:val="hy-AM"/>
        </w:rPr>
      </w:pPr>
    </w:p>
    <w:p w:rsidR="00AE0F80" w:rsidRPr="00BB489E" w:rsidRDefault="00AE0F80" w:rsidP="00AE0F80">
      <w:pPr>
        <w:spacing w:before="0" w:line="276" w:lineRule="auto"/>
        <w:rPr>
          <w:rFonts w:ascii="Cambria Math" w:hAnsi="Cambria Math"/>
          <w:color w:val="FF0000"/>
          <w:lang w:val="hy-AM"/>
        </w:rPr>
      </w:pPr>
    </w:p>
    <w:p w:rsidR="00AE0F80" w:rsidRPr="00BB489E" w:rsidRDefault="00AE0F80" w:rsidP="00AE0F80">
      <w:pPr>
        <w:spacing w:before="0" w:line="276" w:lineRule="auto"/>
        <w:ind w:firstLine="720"/>
        <w:jc w:val="left"/>
        <w:rPr>
          <w:lang w:val="hy-AM"/>
        </w:rPr>
      </w:pPr>
    </w:p>
    <w:p w:rsidR="00AE0F80" w:rsidRPr="00BB489E" w:rsidRDefault="00AE0F80" w:rsidP="00AE0F80">
      <w:pPr>
        <w:spacing w:before="0" w:line="276" w:lineRule="auto"/>
        <w:ind w:firstLine="720"/>
        <w:rPr>
          <w:lang w:val="hy-AM"/>
        </w:rPr>
      </w:pPr>
    </w:p>
    <w:p w:rsidR="00AE0F80" w:rsidRPr="00BB489E" w:rsidRDefault="00AE0F80" w:rsidP="00AE0F80">
      <w:pPr>
        <w:spacing w:before="0" w:line="276" w:lineRule="auto"/>
        <w:ind w:firstLine="720"/>
        <w:rPr>
          <w:lang w:val="hy-AM"/>
        </w:rPr>
      </w:pPr>
    </w:p>
    <w:p w:rsidR="00AE0F80" w:rsidRPr="00BB489E" w:rsidRDefault="00AE0F80" w:rsidP="00AE0F80">
      <w:pPr>
        <w:spacing w:before="0" w:line="276" w:lineRule="auto"/>
        <w:ind w:firstLine="720"/>
        <w:rPr>
          <w:lang w:val="hy-AM"/>
        </w:rPr>
      </w:pPr>
    </w:p>
    <w:p w:rsidR="00AE0F80" w:rsidRPr="00BB489E" w:rsidRDefault="00AE0F80" w:rsidP="00AE0F80">
      <w:pPr>
        <w:spacing w:before="0" w:line="276" w:lineRule="auto"/>
        <w:ind w:firstLine="720"/>
        <w:rPr>
          <w:lang w:val="hy-AM"/>
        </w:rPr>
      </w:pPr>
    </w:p>
    <w:p w:rsidR="00AE0F80" w:rsidRPr="00BB489E" w:rsidRDefault="00AE0F80" w:rsidP="00AE0F80">
      <w:pPr>
        <w:spacing w:before="0" w:line="276" w:lineRule="auto"/>
        <w:ind w:firstLine="720"/>
        <w:rPr>
          <w:lang w:val="hy-AM"/>
        </w:rPr>
      </w:pPr>
    </w:p>
    <w:p w:rsidR="00AE0F80" w:rsidRPr="00BB489E" w:rsidRDefault="00AE0F80" w:rsidP="00AE0F80">
      <w:pPr>
        <w:spacing w:before="0" w:line="276" w:lineRule="auto"/>
        <w:ind w:firstLine="720"/>
        <w:rPr>
          <w:lang w:val="hy-AM"/>
        </w:rPr>
      </w:pPr>
    </w:p>
    <w:p w:rsidR="00AE0F80" w:rsidRPr="00BB489E" w:rsidRDefault="00AE0F80" w:rsidP="00AE0F80">
      <w:pPr>
        <w:spacing w:before="0" w:line="276" w:lineRule="auto"/>
        <w:ind w:firstLine="600"/>
        <w:rPr>
          <w:b w:val="0"/>
          <w:lang w:val="hy-AM"/>
        </w:rPr>
      </w:pPr>
    </w:p>
    <w:p w:rsidR="00AE0F80" w:rsidRPr="00BB489E" w:rsidRDefault="00AE0F80" w:rsidP="00AE0F80">
      <w:pPr>
        <w:spacing w:before="0" w:line="276" w:lineRule="auto"/>
        <w:ind w:firstLine="600"/>
        <w:rPr>
          <w:b w:val="0"/>
          <w:lang w:val="hy-AM"/>
        </w:rPr>
      </w:pPr>
    </w:p>
    <w:p w:rsidR="00AE0F80" w:rsidRPr="00BB489E" w:rsidRDefault="00AE0F80" w:rsidP="00AE0F80">
      <w:pPr>
        <w:spacing w:before="0" w:line="276" w:lineRule="auto"/>
        <w:ind w:firstLine="600"/>
        <w:rPr>
          <w:b w:val="0"/>
          <w:lang w:val="hy-AM"/>
        </w:rPr>
      </w:pPr>
      <w:r w:rsidRPr="00BB489E">
        <w:rPr>
          <w:b w:val="0"/>
          <w:lang w:val="hy-AM"/>
        </w:rPr>
        <w:t>2017-2020թթ</w:t>
      </w:r>
      <w:r w:rsidRPr="00BB489E">
        <w:rPr>
          <w:rFonts w:ascii="MS Gothic" w:eastAsia="MS Gothic" w:hAnsi="MS Gothic" w:cs="MS Gothic" w:hint="eastAsia"/>
          <w:b w:val="0"/>
          <w:lang w:val="hy-AM"/>
        </w:rPr>
        <w:t>․</w:t>
      </w:r>
      <w:r w:rsidRPr="00BB489E">
        <w:rPr>
          <w:b w:val="0"/>
          <w:lang w:val="hy-AM"/>
        </w:rPr>
        <w:t xml:space="preserve"> պետական բյուջեի ընդամենը ծախսերում գերակայել են սոցիալական բնույթի ծախսերը (կրթություն, սոցիալական պաշտպանություն, առողջապահություն և այլն) միջինում 44%, պաշտպանության, հասարակական կարգի,  անվտանգության և դատական գործունեությանն՝ միջինում 26%, ընդհանուր բնույթի հանրային ծառայությունների՝ միջինում 20%, տնտեսական ոլորտի՝ միջինում 10% ֆինանսավորումը։ Այս միտումը կշանունակվի նաև 2021 թվականին։</w:t>
      </w:r>
    </w:p>
    <w:p w:rsidR="00AE0F80" w:rsidRPr="00BB489E" w:rsidRDefault="00AE0F80" w:rsidP="00AE0F80">
      <w:pPr>
        <w:spacing w:before="0" w:line="276" w:lineRule="auto"/>
        <w:ind w:firstLine="600"/>
        <w:rPr>
          <w:b w:val="0"/>
          <w:lang w:val="hy-AM"/>
        </w:rPr>
      </w:pPr>
      <w:r w:rsidRPr="00BB489E">
        <w:rPr>
          <w:b w:val="0"/>
          <w:lang w:val="hy-AM"/>
        </w:rPr>
        <w:t>Սոցիալական ոլորտի խմբում 2017-2020 թվականներին առանցքային են եղել և 2021 շարունակվելու են կարևորվել հատկապես սոցիալական ապահովության,  կրթության և առողջապահության բնա</w:t>
      </w:r>
      <w:r w:rsidRPr="00BB489E">
        <w:rPr>
          <w:b w:val="0"/>
          <w:lang w:val="hy-AM"/>
        </w:rPr>
        <w:softHyphen/>
        <w:t>գա</w:t>
      </w:r>
      <w:r w:rsidRPr="00BB489E">
        <w:rPr>
          <w:b w:val="0"/>
          <w:lang w:val="hy-AM"/>
        </w:rPr>
        <w:softHyphen/>
        <w:t>վառ</w:t>
      </w:r>
      <w:r w:rsidRPr="00BB489E">
        <w:rPr>
          <w:b w:val="0"/>
          <w:lang w:val="hy-AM"/>
        </w:rPr>
        <w:softHyphen/>
        <w:t>նե</w:t>
      </w:r>
      <w:r w:rsidRPr="00BB489E">
        <w:rPr>
          <w:b w:val="0"/>
          <w:lang w:val="hy-AM"/>
        </w:rPr>
        <w:softHyphen/>
        <w:t>րի զարգաց</w:t>
      </w:r>
      <w:r w:rsidRPr="00BB489E">
        <w:rPr>
          <w:b w:val="0"/>
          <w:lang w:val="hy-AM"/>
        </w:rPr>
        <w:softHyphen/>
        <w:t xml:space="preserve">ման ռազմավարական ծրագրերի իրականացումը: </w:t>
      </w:r>
    </w:p>
    <w:p w:rsidR="00AE0F80" w:rsidRPr="00BB489E" w:rsidRDefault="00AE0F80" w:rsidP="00AE0F80">
      <w:pPr>
        <w:spacing w:before="0" w:line="276" w:lineRule="auto"/>
        <w:ind w:firstLine="720"/>
        <w:rPr>
          <w:lang w:val="hy-AM"/>
        </w:rPr>
      </w:pPr>
    </w:p>
    <w:p w:rsidR="00AE0F80" w:rsidRPr="00BB489E" w:rsidRDefault="00AE0F80" w:rsidP="00AE0F80">
      <w:pPr>
        <w:spacing w:before="0"/>
        <w:rPr>
          <w:bCs/>
          <w:i/>
          <w:color w:val="4F81BD" w:themeColor="accent1"/>
          <w:sz w:val="20"/>
          <w:szCs w:val="20"/>
          <w:lang w:val="hy-AM"/>
        </w:rPr>
      </w:pPr>
      <w:bookmarkStart w:id="205" w:name="_Toc57631766"/>
      <w:r w:rsidRPr="00BB489E">
        <w:rPr>
          <w:b w:val="0"/>
          <w:bCs/>
          <w:color w:val="4F81BD" w:themeColor="accent1"/>
          <w:sz w:val="18"/>
          <w:szCs w:val="18"/>
          <w:lang w:val="hy-AM"/>
        </w:rPr>
        <w:t xml:space="preserve">Աղյուսակ </w:t>
      </w:r>
      <w:r w:rsidR="003C3925" w:rsidRPr="00BB489E">
        <w:rPr>
          <w:rFonts w:ascii="Calibri" w:eastAsia="Calibri" w:hAnsi="Calibri"/>
          <w:b w:val="0"/>
          <w:szCs w:val="22"/>
          <w:lang w:val="en-US" w:eastAsia="en-US"/>
        </w:rPr>
        <w:fldChar w:fldCharType="begin"/>
      </w:r>
      <w:r w:rsidRPr="00BB489E">
        <w:rPr>
          <w:b w:val="0"/>
          <w:bCs/>
          <w:color w:val="4F81BD" w:themeColor="accent1"/>
          <w:sz w:val="18"/>
          <w:szCs w:val="18"/>
          <w:lang w:val="hy-AM"/>
        </w:rPr>
        <w:instrText xml:space="preserve"> SEQ Աղյուսակ \* ARABIC </w:instrText>
      </w:r>
      <w:r w:rsidR="003C3925" w:rsidRPr="00BB489E">
        <w:rPr>
          <w:rFonts w:ascii="Calibri" w:eastAsia="Calibri" w:hAnsi="Calibri"/>
          <w:b w:val="0"/>
          <w:szCs w:val="22"/>
          <w:lang w:val="en-US" w:eastAsia="en-US"/>
        </w:rPr>
        <w:fldChar w:fldCharType="separate"/>
      </w:r>
      <w:r>
        <w:rPr>
          <w:b w:val="0"/>
          <w:bCs/>
          <w:noProof/>
          <w:color w:val="4F81BD" w:themeColor="accent1"/>
          <w:sz w:val="18"/>
          <w:szCs w:val="18"/>
          <w:lang w:val="hy-AM"/>
        </w:rPr>
        <w:t>15</w:t>
      </w:r>
      <w:r w:rsidR="003C3925" w:rsidRPr="00BB489E">
        <w:rPr>
          <w:rFonts w:ascii="Calibri" w:eastAsia="Calibri" w:hAnsi="Calibri"/>
          <w:b w:val="0"/>
          <w:szCs w:val="22"/>
          <w:lang w:val="en-US" w:eastAsia="en-US"/>
        </w:rPr>
        <w:fldChar w:fldCharType="end"/>
      </w:r>
      <w:r w:rsidRPr="00BB489E">
        <w:rPr>
          <w:rFonts w:ascii="Cambria Math" w:hAnsi="Cambria Math"/>
          <w:b w:val="0"/>
          <w:bCs/>
          <w:color w:val="4F81BD" w:themeColor="accent1"/>
          <w:sz w:val="18"/>
          <w:szCs w:val="18"/>
          <w:lang w:val="hy-AM"/>
        </w:rPr>
        <w:t xml:space="preserve">․ </w:t>
      </w:r>
      <w:r w:rsidRPr="00BB489E">
        <w:rPr>
          <w:bCs/>
          <w:i/>
          <w:color w:val="4F81BD" w:themeColor="accent1"/>
          <w:sz w:val="20"/>
          <w:szCs w:val="20"/>
          <w:lang w:val="hy-AM"/>
        </w:rPr>
        <w:t>Սոցիալական ոլորտի բյուջետային ծախսերը  (մլն դրամ)</w:t>
      </w:r>
      <w:bookmarkEnd w:id="205"/>
    </w:p>
    <w:tbl>
      <w:tblPr>
        <w:tblW w:w="5300" w:type="pct"/>
        <w:tblInd w:w="-1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531"/>
        <w:gridCol w:w="1543"/>
        <w:gridCol w:w="1446"/>
        <w:gridCol w:w="1446"/>
        <w:gridCol w:w="1275"/>
        <w:gridCol w:w="1177"/>
      </w:tblGrid>
      <w:tr w:rsidR="00AE0F80" w:rsidRPr="00BB489E" w:rsidTr="009F0F78">
        <w:trPr>
          <w:trHeight w:val="20"/>
          <w:tblHeader/>
        </w:trPr>
        <w:tc>
          <w:tcPr>
            <w:tcW w:w="1694" w:type="pct"/>
            <w:tcBorders>
              <w:top w:val="double" w:sz="4" w:space="0" w:color="auto"/>
              <w:left w:val="double" w:sz="4" w:space="0" w:color="auto"/>
              <w:bottom w:val="double" w:sz="4" w:space="0" w:color="auto"/>
              <w:right w:val="single" w:sz="6" w:space="0" w:color="auto"/>
            </w:tcBorders>
            <w:shd w:val="clear" w:color="auto" w:fill="4F81BD" w:themeFill="accent1"/>
            <w:tcMar>
              <w:top w:w="0" w:type="dxa"/>
              <w:left w:w="57" w:type="dxa"/>
              <w:bottom w:w="0" w:type="dxa"/>
              <w:right w:w="85" w:type="dxa"/>
            </w:tcMar>
            <w:vAlign w:val="center"/>
            <w:hideMark/>
          </w:tcPr>
          <w:p w:rsidR="00AE0F80" w:rsidRPr="00BB489E" w:rsidRDefault="00AE0F80" w:rsidP="009F0F78">
            <w:pPr>
              <w:spacing w:before="0" w:line="276" w:lineRule="auto"/>
              <w:jc w:val="center"/>
              <w:rPr>
                <w:rFonts w:cs="Arial"/>
                <w:b w:val="0"/>
                <w:color w:val="FFFFFF" w:themeColor="background1"/>
                <w:sz w:val="20"/>
                <w:szCs w:val="20"/>
                <w:lang w:val="hy-AM"/>
              </w:rPr>
            </w:pPr>
            <w:r w:rsidRPr="00BB489E">
              <w:rPr>
                <w:rFonts w:cs="Arial"/>
                <w:b w:val="0"/>
                <w:color w:val="FFFFFF" w:themeColor="background1"/>
                <w:sz w:val="20"/>
                <w:szCs w:val="20"/>
                <w:lang w:val="hy-AM"/>
              </w:rPr>
              <w:t>Ցուցանիշներ</w:t>
            </w:r>
          </w:p>
        </w:tc>
        <w:tc>
          <w:tcPr>
            <w:tcW w:w="740" w:type="pct"/>
            <w:tcBorders>
              <w:top w:val="double" w:sz="4" w:space="0" w:color="auto"/>
              <w:left w:val="single" w:sz="6" w:space="0" w:color="auto"/>
              <w:bottom w:val="double" w:sz="4" w:space="0" w:color="auto"/>
              <w:right w:val="single" w:sz="6" w:space="0" w:color="auto"/>
            </w:tcBorders>
            <w:shd w:val="clear" w:color="auto" w:fill="4F81BD" w:themeFill="accent1"/>
            <w:hideMark/>
          </w:tcPr>
          <w:p w:rsidR="00AE0F80" w:rsidRPr="00BB489E" w:rsidRDefault="00AE0F80" w:rsidP="009F0F78">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2017թ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694" w:type="pct"/>
            <w:tcBorders>
              <w:top w:val="double" w:sz="4" w:space="0" w:color="auto"/>
              <w:left w:val="single" w:sz="6" w:space="0" w:color="auto"/>
              <w:bottom w:val="double" w:sz="4" w:space="0" w:color="auto"/>
              <w:right w:val="single" w:sz="6" w:space="0" w:color="auto"/>
            </w:tcBorders>
            <w:shd w:val="clear" w:color="auto" w:fill="4F81BD" w:themeFill="accent1"/>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2018թ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694" w:type="pct"/>
            <w:tcBorders>
              <w:top w:val="double" w:sz="4" w:space="0" w:color="auto"/>
              <w:left w:val="single" w:sz="6" w:space="0" w:color="auto"/>
              <w:bottom w:val="double" w:sz="4" w:space="0" w:color="auto"/>
              <w:right w:val="single" w:sz="6" w:space="0" w:color="auto"/>
            </w:tcBorders>
            <w:shd w:val="clear" w:color="auto" w:fill="4F81BD" w:themeFill="accent1"/>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2019թ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612" w:type="pct"/>
            <w:tcBorders>
              <w:top w:val="double" w:sz="4" w:space="0" w:color="auto"/>
              <w:left w:val="single" w:sz="6" w:space="0" w:color="auto"/>
              <w:bottom w:val="double" w:sz="4" w:space="0" w:color="auto"/>
              <w:right w:val="single" w:sz="6" w:space="0" w:color="auto"/>
            </w:tcBorders>
            <w:shd w:val="clear" w:color="auto" w:fill="4F81BD" w:themeFill="accent1"/>
            <w:vAlign w:val="center"/>
            <w:hideMark/>
          </w:tcPr>
          <w:p w:rsidR="00AE0F80" w:rsidRPr="00BB489E" w:rsidRDefault="00AE0F80" w:rsidP="009F0F78">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2020թ</w:t>
            </w:r>
            <w:r w:rsidRPr="00BB489E">
              <w:rPr>
                <w:rFonts w:ascii="MS Gothic" w:eastAsia="MS Gothic" w:hAnsi="MS Gothic" w:cs="MS Gothic" w:hint="eastAsia"/>
                <w:b w:val="0"/>
                <w:color w:val="FFFFFF" w:themeColor="background1"/>
                <w:sz w:val="20"/>
                <w:szCs w:val="20"/>
                <w:lang w:val="hy-AM"/>
              </w:rPr>
              <w:t>․</w:t>
            </w:r>
          </w:p>
        </w:tc>
        <w:tc>
          <w:tcPr>
            <w:tcW w:w="565" w:type="pct"/>
            <w:tcBorders>
              <w:top w:val="double" w:sz="4" w:space="0" w:color="auto"/>
              <w:left w:val="single" w:sz="6" w:space="0" w:color="auto"/>
              <w:bottom w:val="double" w:sz="4" w:space="0" w:color="auto"/>
              <w:right w:val="double" w:sz="4" w:space="0" w:color="auto"/>
            </w:tcBorders>
            <w:shd w:val="clear" w:color="auto" w:fill="4F81BD" w:themeFill="accent1"/>
            <w:vAlign w:val="center"/>
            <w:hideMark/>
          </w:tcPr>
          <w:p w:rsidR="00AE0F80" w:rsidRPr="00BB489E" w:rsidRDefault="00AE0F80" w:rsidP="009F0F78">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2021թ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նախագիծ</w:t>
            </w:r>
          </w:p>
        </w:tc>
      </w:tr>
      <w:tr w:rsidR="00AE0F80" w:rsidRPr="00BB489E" w:rsidTr="009F0F78">
        <w:trPr>
          <w:trHeight w:val="20"/>
        </w:trPr>
        <w:tc>
          <w:tcPr>
            <w:tcW w:w="1694" w:type="pct"/>
            <w:tcBorders>
              <w:top w:val="double" w:sz="4"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left"/>
              <w:rPr>
                <w:rFonts w:cs="Arial"/>
                <w:b w:val="0"/>
                <w:sz w:val="20"/>
                <w:szCs w:val="20"/>
                <w:lang w:val="hy-AM"/>
              </w:rPr>
            </w:pPr>
            <w:r w:rsidRPr="00BB489E">
              <w:rPr>
                <w:rFonts w:cs="Arial"/>
                <w:sz w:val="20"/>
                <w:szCs w:val="20"/>
                <w:lang w:val="hy-AM"/>
              </w:rPr>
              <w:t>ՍՈՑԻԱԼԱԿԱՆ ՈԼՈՐՏ ԸՆԴԱՄԵՆԸ</w:t>
            </w:r>
          </w:p>
        </w:tc>
        <w:tc>
          <w:tcPr>
            <w:tcW w:w="740"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30" w:type="dxa"/>
              <w:bottom w:w="0" w:type="dxa"/>
              <w:right w:w="30" w:type="dxa"/>
            </w:tcMar>
            <w:hideMark/>
          </w:tcPr>
          <w:p w:rsidR="00AE0F80" w:rsidRPr="002D7391" w:rsidRDefault="00AE0F80" w:rsidP="009F0F78">
            <w:pPr>
              <w:spacing w:before="0" w:line="276" w:lineRule="auto"/>
              <w:ind w:firstLine="0"/>
              <w:jc w:val="center"/>
              <w:rPr>
                <w:b w:val="0"/>
                <w:sz w:val="20"/>
                <w:szCs w:val="20"/>
              </w:rPr>
            </w:pPr>
            <w:r w:rsidRPr="002D7391">
              <w:rPr>
                <w:sz w:val="20"/>
                <w:szCs w:val="20"/>
              </w:rPr>
              <w:t xml:space="preserve"> 642,556.03 </w:t>
            </w:r>
          </w:p>
        </w:tc>
        <w:tc>
          <w:tcPr>
            <w:tcW w:w="694"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57" w:type="dxa"/>
              <w:bottom w:w="0" w:type="dxa"/>
              <w:right w:w="85" w:type="dxa"/>
            </w:tcMar>
            <w:hideMark/>
          </w:tcPr>
          <w:p w:rsidR="00AE0F80" w:rsidRPr="002D7391" w:rsidRDefault="00AE0F80" w:rsidP="009F0F78">
            <w:pPr>
              <w:spacing w:before="0" w:line="276" w:lineRule="auto"/>
              <w:ind w:firstLine="0"/>
              <w:jc w:val="center"/>
              <w:rPr>
                <w:b w:val="0"/>
                <w:sz w:val="20"/>
                <w:szCs w:val="20"/>
              </w:rPr>
            </w:pPr>
            <w:r w:rsidRPr="002D7391">
              <w:rPr>
                <w:sz w:val="20"/>
                <w:szCs w:val="20"/>
              </w:rPr>
              <w:t xml:space="preserve"> 643,132.58 </w:t>
            </w:r>
          </w:p>
        </w:tc>
        <w:tc>
          <w:tcPr>
            <w:tcW w:w="694"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57" w:type="dxa"/>
              <w:bottom w:w="0" w:type="dxa"/>
              <w:right w:w="85" w:type="dxa"/>
            </w:tcMar>
            <w:hideMark/>
          </w:tcPr>
          <w:p w:rsidR="00AE0F80" w:rsidRPr="002D7391" w:rsidRDefault="00AE0F80" w:rsidP="009F0F78">
            <w:pPr>
              <w:spacing w:before="0" w:line="276" w:lineRule="auto"/>
              <w:ind w:firstLine="0"/>
              <w:jc w:val="center"/>
              <w:rPr>
                <w:b w:val="0"/>
                <w:sz w:val="20"/>
                <w:szCs w:val="20"/>
              </w:rPr>
            </w:pPr>
            <w:r w:rsidRPr="002D7391">
              <w:rPr>
                <w:sz w:val="20"/>
                <w:szCs w:val="20"/>
              </w:rPr>
              <w:t xml:space="preserve"> 716,099.00 </w:t>
            </w:r>
          </w:p>
        </w:tc>
        <w:tc>
          <w:tcPr>
            <w:tcW w:w="612"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30" w:type="dxa"/>
              <w:bottom w:w="0" w:type="dxa"/>
              <w:right w:w="30" w:type="dxa"/>
            </w:tcMar>
            <w:hideMark/>
          </w:tcPr>
          <w:p w:rsidR="00AE0F80" w:rsidRPr="002D7391" w:rsidRDefault="00AE0F80" w:rsidP="009F0F78">
            <w:pPr>
              <w:spacing w:before="0" w:line="276" w:lineRule="auto"/>
              <w:ind w:firstLine="0"/>
              <w:jc w:val="center"/>
              <w:rPr>
                <w:b w:val="0"/>
                <w:sz w:val="20"/>
                <w:szCs w:val="20"/>
              </w:rPr>
            </w:pPr>
            <w:r w:rsidRPr="002D7391">
              <w:rPr>
                <w:sz w:val="20"/>
                <w:szCs w:val="20"/>
              </w:rPr>
              <w:t xml:space="preserve"> 797,818.13 </w:t>
            </w:r>
          </w:p>
        </w:tc>
        <w:tc>
          <w:tcPr>
            <w:tcW w:w="565" w:type="pct"/>
            <w:tcBorders>
              <w:top w:val="double" w:sz="4" w:space="0" w:color="auto"/>
              <w:left w:val="single" w:sz="6" w:space="0" w:color="auto"/>
              <w:bottom w:val="single" w:sz="4" w:space="0" w:color="auto"/>
              <w:right w:val="double" w:sz="4" w:space="0" w:color="auto"/>
            </w:tcBorders>
            <w:shd w:val="clear" w:color="auto" w:fill="C6D9F1" w:themeFill="text2" w:themeFillTint="33"/>
            <w:tcMar>
              <w:top w:w="0" w:type="dxa"/>
              <w:left w:w="30" w:type="dxa"/>
              <w:bottom w:w="0" w:type="dxa"/>
              <w:right w:w="30" w:type="dxa"/>
            </w:tcMar>
            <w:hideMark/>
          </w:tcPr>
          <w:p w:rsidR="00AE0F80" w:rsidRPr="002D7391" w:rsidRDefault="00AE0F80" w:rsidP="009F0F78">
            <w:pPr>
              <w:spacing w:before="0" w:line="276" w:lineRule="auto"/>
              <w:ind w:firstLine="0"/>
              <w:jc w:val="center"/>
              <w:rPr>
                <w:b w:val="0"/>
                <w:sz w:val="20"/>
                <w:szCs w:val="20"/>
                <w:lang w:val="en-US"/>
              </w:rPr>
            </w:pPr>
            <w:r w:rsidRPr="002D7391">
              <w:rPr>
                <w:sz w:val="20"/>
                <w:szCs w:val="20"/>
              </w:rPr>
              <w:t xml:space="preserve">806,603.02 </w:t>
            </w:r>
          </w:p>
        </w:tc>
      </w:tr>
      <w:tr w:rsidR="00AE0F80" w:rsidRPr="00BB489E" w:rsidTr="009F0F78">
        <w:trPr>
          <w:trHeight w:val="20"/>
        </w:trPr>
        <w:tc>
          <w:tcPr>
            <w:tcW w:w="1694" w:type="pct"/>
            <w:tcBorders>
              <w:top w:val="single" w:sz="6" w:space="0" w:color="auto"/>
              <w:left w:val="double" w:sz="4" w:space="0" w:color="auto"/>
              <w:bottom w:val="single" w:sz="6" w:space="0" w:color="auto"/>
              <w:right w:val="single" w:sz="6" w:space="0" w:color="auto"/>
            </w:tcBorders>
            <w:tcMar>
              <w:top w:w="0" w:type="dxa"/>
              <w:left w:w="108" w:type="dxa"/>
              <w:bottom w:w="0" w:type="dxa"/>
              <w:right w:w="108" w:type="dxa"/>
            </w:tcMar>
            <w:hideMark/>
          </w:tcPr>
          <w:p w:rsidR="00AE0F80" w:rsidRPr="00BB489E" w:rsidRDefault="00AE0F80" w:rsidP="009F0F78">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74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AE0F80" w:rsidRPr="002D7391" w:rsidRDefault="00AE0F80" w:rsidP="009F0F78">
            <w:pPr>
              <w:spacing w:before="0" w:line="276" w:lineRule="auto"/>
              <w:ind w:firstLine="0"/>
              <w:jc w:val="center"/>
              <w:rPr>
                <w:rFonts w:cs="Arial"/>
                <w:b w:val="0"/>
                <w:color w:val="000000"/>
                <w:sz w:val="20"/>
                <w:szCs w:val="20"/>
              </w:rPr>
            </w:pPr>
            <w:r w:rsidRPr="002D7391">
              <w:rPr>
                <w:sz w:val="20"/>
                <w:szCs w:val="20"/>
              </w:rPr>
              <w:t>11.5%</w:t>
            </w:r>
          </w:p>
        </w:tc>
        <w:tc>
          <w:tcPr>
            <w:tcW w:w="694"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AE0F80" w:rsidRPr="002D7391" w:rsidRDefault="00AE0F80" w:rsidP="009F0F78">
            <w:pPr>
              <w:spacing w:before="0" w:line="276" w:lineRule="auto"/>
              <w:ind w:firstLine="0"/>
              <w:jc w:val="center"/>
              <w:rPr>
                <w:rFonts w:cs="Arial"/>
                <w:b w:val="0"/>
                <w:color w:val="000000"/>
                <w:sz w:val="20"/>
                <w:szCs w:val="20"/>
              </w:rPr>
            </w:pPr>
            <w:r w:rsidRPr="002D7391">
              <w:rPr>
                <w:sz w:val="20"/>
                <w:szCs w:val="20"/>
              </w:rPr>
              <w:t>10.7%</w:t>
            </w:r>
          </w:p>
        </w:tc>
        <w:tc>
          <w:tcPr>
            <w:tcW w:w="694"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AE0F80" w:rsidRPr="002D7391" w:rsidRDefault="00AE0F80" w:rsidP="009F0F78">
            <w:pPr>
              <w:spacing w:before="0" w:line="276" w:lineRule="auto"/>
              <w:ind w:firstLine="0"/>
              <w:jc w:val="center"/>
              <w:rPr>
                <w:rFonts w:cs="Arial"/>
                <w:b w:val="0"/>
                <w:color w:val="000000"/>
                <w:sz w:val="20"/>
                <w:szCs w:val="20"/>
              </w:rPr>
            </w:pPr>
            <w:r w:rsidRPr="002D7391">
              <w:rPr>
                <w:sz w:val="20"/>
                <w:szCs w:val="20"/>
              </w:rPr>
              <w:t>10.9%</w:t>
            </w:r>
          </w:p>
        </w:tc>
        <w:tc>
          <w:tcPr>
            <w:tcW w:w="61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AE0F80" w:rsidRPr="002D7391" w:rsidRDefault="00AE0F80" w:rsidP="009F0F78">
            <w:pPr>
              <w:spacing w:before="0" w:line="276" w:lineRule="auto"/>
              <w:ind w:firstLine="0"/>
              <w:jc w:val="center"/>
              <w:rPr>
                <w:rFonts w:cs="Arial"/>
                <w:b w:val="0"/>
                <w:color w:val="000000"/>
                <w:sz w:val="20"/>
                <w:szCs w:val="20"/>
              </w:rPr>
            </w:pPr>
            <w:r w:rsidRPr="002D7391">
              <w:rPr>
                <w:sz w:val="20"/>
                <w:szCs w:val="20"/>
              </w:rPr>
              <w:t>13.1%</w:t>
            </w:r>
          </w:p>
        </w:tc>
        <w:tc>
          <w:tcPr>
            <w:tcW w:w="565" w:type="pct"/>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hideMark/>
          </w:tcPr>
          <w:p w:rsidR="00AE0F80" w:rsidRPr="002D7391" w:rsidRDefault="00AE0F80" w:rsidP="009F0F78">
            <w:pPr>
              <w:spacing w:before="0" w:line="276" w:lineRule="auto"/>
              <w:ind w:firstLine="0"/>
              <w:jc w:val="center"/>
              <w:rPr>
                <w:rFonts w:cs="Arial"/>
                <w:b w:val="0"/>
                <w:color w:val="000000"/>
                <w:sz w:val="20"/>
                <w:szCs w:val="20"/>
                <w:lang w:val="en-US"/>
              </w:rPr>
            </w:pPr>
            <w:r w:rsidRPr="002D7391">
              <w:rPr>
                <w:sz w:val="20"/>
                <w:szCs w:val="20"/>
              </w:rPr>
              <w:t>12.6%</w:t>
            </w:r>
          </w:p>
        </w:tc>
      </w:tr>
      <w:tr w:rsidR="00AE0F80" w:rsidRPr="00BB489E" w:rsidTr="009F0F78">
        <w:trPr>
          <w:trHeight w:val="20"/>
        </w:trPr>
        <w:tc>
          <w:tcPr>
            <w:tcW w:w="1694" w:type="pct"/>
            <w:tcBorders>
              <w:top w:val="single" w:sz="6" w:space="0" w:color="auto"/>
              <w:left w:val="double" w:sz="4" w:space="0" w:color="auto"/>
              <w:bottom w:val="single" w:sz="6" w:space="0" w:color="auto"/>
              <w:right w:val="single" w:sz="6" w:space="0" w:color="auto"/>
            </w:tcBorders>
            <w:tcMar>
              <w:top w:w="0" w:type="dxa"/>
              <w:left w:w="108" w:type="dxa"/>
              <w:bottom w:w="0" w:type="dxa"/>
              <w:right w:w="108" w:type="dxa"/>
            </w:tcMar>
            <w:hideMark/>
          </w:tcPr>
          <w:p w:rsidR="00AE0F80" w:rsidRPr="00BB489E" w:rsidRDefault="00AE0F80" w:rsidP="009F0F78">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740"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AE0F80" w:rsidRPr="002D7391" w:rsidRDefault="00AE0F80" w:rsidP="009F0F78">
            <w:pPr>
              <w:spacing w:before="0" w:line="276" w:lineRule="auto"/>
              <w:ind w:firstLine="0"/>
              <w:jc w:val="center"/>
              <w:rPr>
                <w:rFonts w:cs="Arial"/>
                <w:b w:val="0"/>
                <w:color w:val="000000"/>
                <w:sz w:val="20"/>
                <w:szCs w:val="20"/>
              </w:rPr>
            </w:pPr>
            <w:r w:rsidRPr="002D7391">
              <w:rPr>
                <w:sz w:val="20"/>
                <w:szCs w:val="20"/>
              </w:rPr>
              <w:t>42.7%</w:t>
            </w:r>
          </w:p>
        </w:tc>
        <w:tc>
          <w:tcPr>
            <w:tcW w:w="694"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AE0F80" w:rsidRPr="002D7391" w:rsidRDefault="00AE0F80" w:rsidP="009F0F78">
            <w:pPr>
              <w:spacing w:before="0" w:line="276" w:lineRule="auto"/>
              <w:ind w:firstLine="0"/>
              <w:jc w:val="center"/>
              <w:rPr>
                <w:rFonts w:cs="Arial"/>
                <w:b w:val="0"/>
                <w:color w:val="000000"/>
                <w:sz w:val="20"/>
                <w:szCs w:val="20"/>
              </w:rPr>
            </w:pPr>
            <w:r w:rsidRPr="002D7391">
              <w:rPr>
                <w:sz w:val="20"/>
                <w:szCs w:val="20"/>
              </w:rPr>
              <w:t>44.4%</w:t>
            </w:r>
          </w:p>
        </w:tc>
        <w:tc>
          <w:tcPr>
            <w:tcW w:w="694"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AE0F80" w:rsidRPr="002D7391" w:rsidRDefault="00AE0F80" w:rsidP="009F0F78">
            <w:pPr>
              <w:spacing w:before="0" w:line="276" w:lineRule="auto"/>
              <w:ind w:firstLine="0"/>
              <w:jc w:val="center"/>
              <w:rPr>
                <w:rFonts w:cs="Arial"/>
                <w:b w:val="0"/>
                <w:color w:val="000000"/>
                <w:sz w:val="20"/>
                <w:szCs w:val="20"/>
              </w:rPr>
            </w:pPr>
            <w:r w:rsidRPr="002D7391">
              <w:rPr>
                <w:sz w:val="20"/>
                <w:szCs w:val="20"/>
              </w:rPr>
              <w:t>43.9%</w:t>
            </w:r>
          </w:p>
        </w:tc>
        <w:tc>
          <w:tcPr>
            <w:tcW w:w="612"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AE0F80" w:rsidRPr="002D7391" w:rsidRDefault="00AE0F80" w:rsidP="009F0F78">
            <w:pPr>
              <w:spacing w:before="0" w:line="276" w:lineRule="auto"/>
              <w:ind w:firstLine="0"/>
              <w:jc w:val="center"/>
              <w:rPr>
                <w:rFonts w:cs="Arial"/>
                <w:b w:val="0"/>
                <w:color w:val="000000"/>
                <w:sz w:val="20"/>
                <w:szCs w:val="20"/>
              </w:rPr>
            </w:pPr>
            <w:r w:rsidRPr="002D7391">
              <w:rPr>
                <w:sz w:val="20"/>
                <w:szCs w:val="20"/>
              </w:rPr>
              <w:t>43.0%</w:t>
            </w:r>
          </w:p>
        </w:tc>
        <w:tc>
          <w:tcPr>
            <w:tcW w:w="565" w:type="pct"/>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hideMark/>
          </w:tcPr>
          <w:p w:rsidR="00AE0F80" w:rsidRPr="002D7391" w:rsidRDefault="00AE0F80" w:rsidP="009F0F78">
            <w:pPr>
              <w:spacing w:before="0" w:line="276" w:lineRule="auto"/>
              <w:ind w:firstLine="0"/>
              <w:jc w:val="center"/>
              <w:rPr>
                <w:rFonts w:cs="Arial"/>
                <w:b w:val="0"/>
                <w:color w:val="000000"/>
                <w:sz w:val="20"/>
                <w:szCs w:val="20"/>
                <w:lang w:val="en-US"/>
              </w:rPr>
            </w:pPr>
            <w:r w:rsidRPr="002D7391">
              <w:rPr>
                <w:sz w:val="20"/>
                <w:szCs w:val="20"/>
              </w:rPr>
              <w:t>43.6%</w:t>
            </w:r>
          </w:p>
        </w:tc>
      </w:tr>
      <w:tr w:rsidR="00AE0F80" w:rsidRPr="00BB489E" w:rsidTr="009F0F78">
        <w:trPr>
          <w:trHeight w:val="20"/>
        </w:trPr>
        <w:tc>
          <w:tcPr>
            <w:tcW w:w="1694" w:type="pct"/>
            <w:tcBorders>
              <w:top w:val="single" w:sz="6" w:space="0" w:color="auto"/>
              <w:left w:val="double" w:sz="4" w:space="0" w:color="auto"/>
              <w:bottom w:val="single" w:sz="6" w:space="0" w:color="auto"/>
              <w:right w:val="single" w:sz="4"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jc w:val="left"/>
              <w:rPr>
                <w:b w:val="0"/>
                <w:sz w:val="20"/>
                <w:szCs w:val="20"/>
              </w:rPr>
            </w:pPr>
            <w:r w:rsidRPr="00BB489E">
              <w:rPr>
                <w:rFonts w:cs="Arial"/>
                <w:b w:val="0"/>
                <w:sz w:val="20"/>
                <w:szCs w:val="20"/>
              </w:rPr>
              <w:t>այդ</w:t>
            </w:r>
            <w:r w:rsidRPr="00BB489E">
              <w:rPr>
                <w:b w:val="0"/>
                <w:sz w:val="20"/>
                <w:szCs w:val="20"/>
              </w:rPr>
              <w:t xml:space="preserve"> </w:t>
            </w:r>
            <w:r w:rsidRPr="00BB489E">
              <w:rPr>
                <w:rFonts w:cs="Arial"/>
                <w:b w:val="0"/>
                <w:sz w:val="20"/>
                <w:szCs w:val="20"/>
              </w:rPr>
              <w:t>թվում</w:t>
            </w:r>
            <w:r w:rsidRPr="00BB489E">
              <w:rPr>
                <w:b w:val="0"/>
                <w:sz w:val="20"/>
                <w:szCs w:val="20"/>
              </w:rPr>
              <w:t>`</w:t>
            </w:r>
          </w:p>
        </w:tc>
        <w:tc>
          <w:tcPr>
            <w:tcW w:w="740" w:type="pct"/>
            <w:tcBorders>
              <w:top w:val="single" w:sz="4" w:space="0" w:color="auto"/>
              <w:left w:val="single" w:sz="6" w:space="0" w:color="auto"/>
              <w:bottom w:val="single" w:sz="4" w:space="0" w:color="auto"/>
              <w:right w:val="single" w:sz="4" w:space="0" w:color="auto"/>
            </w:tcBorders>
            <w:shd w:val="solid" w:color="FFFFFF" w:fill="auto"/>
            <w:tcMar>
              <w:top w:w="0" w:type="dxa"/>
              <w:left w:w="30" w:type="dxa"/>
              <w:bottom w:w="0" w:type="dxa"/>
              <w:right w:w="30" w:type="dxa"/>
            </w:tcMar>
          </w:tcPr>
          <w:p w:rsidR="00AE0F80" w:rsidRPr="00BB489E" w:rsidRDefault="00AE0F80" w:rsidP="009F0F78">
            <w:pPr>
              <w:spacing w:before="0" w:line="276" w:lineRule="auto"/>
              <w:jc w:val="center"/>
              <w:rPr>
                <w:b w:val="0"/>
                <w:sz w:val="20"/>
                <w:szCs w:val="20"/>
                <w:lang w:val="hy-AM"/>
              </w:rPr>
            </w:pPr>
          </w:p>
        </w:tc>
        <w:tc>
          <w:tcPr>
            <w:tcW w:w="694" w:type="pct"/>
            <w:tcBorders>
              <w:top w:val="single" w:sz="4" w:space="0" w:color="auto"/>
              <w:left w:val="single" w:sz="4" w:space="0" w:color="auto"/>
              <w:bottom w:val="single" w:sz="4" w:space="0" w:color="auto"/>
              <w:right w:val="single" w:sz="4" w:space="0" w:color="auto"/>
            </w:tcBorders>
            <w:shd w:val="solid" w:color="FFFFFF" w:fill="auto"/>
            <w:tcMar>
              <w:top w:w="0" w:type="dxa"/>
              <w:left w:w="57" w:type="dxa"/>
              <w:bottom w:w="0" w:type="dxa"/>
              <w:right w:w="85" w:type="dxa"/>
            </w:tcMar>
            <w:vAlign w:val="center"/>
          </w:tcPr>
          <w:p w:rsidR="00AE0F80" w:rsidRPr="00BB489E" w:rsidRDefault="00AE0F80" w:rsidP="009F0F78">
            <w:pPr>
              <w:spacing w:before="0" w:line="276" w:lineRule="auto"/>
              <w:jc w:val="center"/>
              <w:rPr>
                <w:b w:val="0"/>
                <w:sz w:val="20"/>
                <w:szCs w:val="20"/>
                <w:lang w:val="hy-AM"/>
              </w:rPr>
            </w:pPr>
          </w:p>
        </w:tc>
        <w:tc>
          <w:tcPr>
            <w:tcW w:w="694" w:type="pct"/>
            <w:tcBorders>
              <w:top w:val="single" w:sz="4" w:space="0" w:color="auto"/>
              <w:left w:val="single" w:sz="4" w:space="0" w:color="auto"/>
              <w:bottom w:val="single" w:sz="4" w:space="0" w:color="auto"/>
              <w:right w:val="single" w:sz="4" w:space="0" w:color="auto"/>
            </w:tcBorders>
            <w:shd w:val="solid" w:color="FFFFFF" w:fill="auto"/>
            <w:tcMar>
              <w:top w:w="0" w:type="dxa"/>
              <w:left w:w="57" w:type="dxa"/>
              <w:bottom w:w="0" w:type="dxa"/>
              <w:right w:w="85" w:type="dxa"/>
            </w:tcMar>
            <w:vAlign w:val="center"/>
          </w:tcPr>
          <w:p w:rsidR="00AE0F80" w:rsidRPr="00BB489E" w:rsidRDefault="00AE0F80" w:rsidP="009F0F78">
            <w:pPr>
              <w:spacing w:before="0" w:line="276" w:lineRule="auto"/>
              <w:jc w:val="center"/>
              <w:rPr>
                <w:b w:val="0"/>
                <w:sz w:val="20"/>
                <w:szCs w:val="20"/>
                <w:lang w:val="hy-AM"/>
              </w:rPr>
            </w:pPr>
          </w:p>
        </w:tc>
        <w:tc>
          <w:tcPr>
            <w:tcW w:w="612" w:type="pct"/>
            <w:tcBorders>
              <w:top w:val="single" w:sz="4" w:space="0" w:color="auto"/>
              <w:left w:val="single" w:sz="4" w:space="0" w:color="auto"/>
              <w:bottom w:val="single" w:sz="4" w:space="0" w:color="auto"/>
              <w:right w:val="single" w:sz="4" w:space="0" w:color="auto"/>
            </w:tcBorders>
            <w:shd w:val="solid" w:color="FFFFFF" w:fill="auto"/>
            <w:tcMar>
              <w:top w:w="0" w:type="dxa"/>
              <w:left w:w="30" w:type="dxa"/>
              <w:bottom w:w="0" w:type="dxa"/>
              <w:right w:w="30" w:type="dxa"/>
            </w:tcMar>
            <w:vAlign w:val="center"/>
          </w:tcPr>
          <w:p w:rsidR="00AE0F80" w:rsidRPr="00BB489E" w:rsidRDefault="00AE0F80" w:rsidP="009F0F78">
            <w:pPr>
              <w:spacing w:before="0" w:line="276" w:lineRule="auto"/>
              <w:jc w:val="center"/>
              <w:rPr>
                <w:b w:val="0"/>
                <w:sz w:val="20"/>
                <w:szCs w:val="20"/>
                <w:lang w:val="hy-AM"/>
              </w:rPr>
            </w:pPr>
          </w:p>
        </w:tc>
        <w:tc>
          <w:tcPr>
            <w:tcW w:w="565" w:type="pct"/>
            <w:tcBorders>
              <w:top w:val="single" w:sz="4" w:space="0" w:color="auto"/>
              <w:left w:val="single" w:sz="4" w:space="0" w:color="auto"/>
              <w:bottom w:val="single" w:sz="4" w:space="0" w:color="auto"/>
              <w:right w:val="double" w:sz="4" w:space="0" w:color="auto"/>
            </w:tcBorders>
            <w:shd w:val="solid" w:color="FFFFFF" w:fill="auto"/>
            <w:tcMar>
              <w:top w:w="0" w:type="dxa"/>
              <w:left w:w="30" w:type="dxa"/>
              <w:bottom w:w="0" w:type="dxa"/>
              <w:right w:w="30" w:type="dxa"/>
            </w:tcMar>
            <w:vAlign w:val="center"/>
          </w:tcPr>
          <w:p w:rsidR="00AE0F80" w:rsidRPr="00BB489E" w:rsidRDefault="00AE0F80" w:rsidP="009F0F78">
            <w:pPr>
              <w:spacing w:before="0" w:line="276" w:lineRule="auto"/>
              <w:jc w:val="center"/>
              <w:rPr>
                <w:b w:val="0"/>
                <w:sz w:val="20"/>
                <w:szCs w:val="20"/>
                <w:lang w:val="hy-AM"/>
              </w:rPr>
            </w:pPr>
          </w:p>
        </w:tc>
      </w:tr>
      <w:tr w:rsidR="00AE0F80" w:rsidRPr="00BB489E" w:rsidTr="009F0F78">
        <w:trPr>
          <w:trHeight w:val="20"/>
        </w:trPr>
        <w:tc>
          <w:tcPr>
            <w:tcW w:w="1694" w:type="pct"/>
            <w:tcBorders>
              <w:top w:val="single" w:sz="6" w:space="0" w:color="auto"/>
              <w:left w:val="double" w:sz="4" w:space="0" w:color="auto"/>
              <w:bottom w:val="single" w:sz="6" w:space="0" w:color="auto"/>
              <w:right w:val="single" w:sz="4"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left"/>
              <w:rPr>
                <w:b w:val="0"/>
                <w:sz w:val="20"/>
                <w:szCs w:val="20"/>
                <w:lang w:val="hy-AM"/>
              </w:rPr>
            </w:pPr>
            <w:bookmarkStart w:id="206" w:name="_Hlk52020197"/>
            <w:r w:rsidRPr="00BB489E">
              <w:rPr>
                <w:sz w:val="20"/>
                <w:szCs w:val="20"/>
                <w:lang w:val="hy-AM"/>
              </w:rPr>
              <w:t xml:space="preserve">1. </w:t>
            </w:r>
            <w:r w:rsidRPr="00BB489E">
              <w:rPr>
                <w:rFonts w:cs="Arial"/>
                <w:sz w:val="20"/>
                <w:szCs w:val="20"/>
                <w:lang w:val="hy-AM"/>
              </w:rPr>
              <w:t>ԿՐԹՈՒԹՅՈՒՆ</w:t>
            </w:r>
          </w:p>
        </w:tc>
        <w:tc>
          <w:tcPr>
            <w:tcW w:w="740" w:type="pct"/>
            <w:tcBorders>
              <w:top w:val="single" w:sz="4" w:space="0" w:color="auto"/>
              <w:left w:val="single" w:sz="6" w:space="0" w:color="auto"/>
              <w:bottom w:val="single" w:sz="6" w:space="0" w:color="auto"/>
              <w:right w:val="single" w:sz="4"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 w:val="0"/>
                <w:sz w:val="20"/>
                <w:szCs w:val="20"/>
              </w:rPr>
            </w:pPr>
            <w:r w:rsidRPr="00BB489E">
              <w:rPr>
                <w:rFonts w:cs="Calibri"/>
                <w:bCs/>
                <w:sz w:val="20"/>
                <w:szCs w:val="20"/>
              </w:rPr>
              <w:t>124,373,5</w:t>
            </w:r>
          </w:p>
        </w:tc>
        <w:tc>
          <w:tcPr>
            <w:tcW w:w="694"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b w:val="0"/>
                <w:sz w:val="20"/>
                <w:szCs w:val="20"/>
              </w:rPr>
            </w:pPr>
            <w:r w:rsidRPr="00BB489E">
              <w:rPr>
                <w:rFonts w:cs="Calibri"/>
                <w:bCs/>
                <w:sz w:val="20"/>
                <w:szCs w:val="20"/>
              </w:rPr>
              <w:t>121,626.5</w:t>
            </w:r>
          </w:p>
        </w:tc>
        <w:tc>
          <w:tcPr>
            <w:tcW w:w="694"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b w:val="0"/>
                <w:sz w:val="20"/>
                <w:szCs w:val="20"/>
              </w:rPr>
            </w:pPr>
            <w:r w:rsidRPr="00BB489E">
              <w:rPr>
                <w:rFonts w:cs="Calibri"/>
                <w:bCs/>
                <w:sz w:val="20"/>
                <w:szCs w:val="20"/>
              </w:rPr>
              <w:t>129,336.3</w:t>
            </w:r>
          </w:p>
        </w:tc>
        <w:tc>
          <w:tcPr>
            <w:tcW w:w="612"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 w:val="0"/>
                <w:sz w:val="20"/>
                <w:szCs w:val="20"/>
              </w:rPr>
            </w:pPr>
            <w:r w:rsidRPr="00BB489E">
              <w:rPr>
                <w:rFonts w:cs="Calibri"/>
                <w:bCs/>
                <w:sz w:val="20"/>
                <w:szCs w:val="20"/>
              </w:rPr>
              <w:t>161,053.5</w:t>
            </w:r>
          </w:p>
        </w:tc>
        <w:tc>
          <w:tcPr>
            <w:tcW w:w="565" w:type="pct"/>
            <w:tcBorders>
              <w:top w:val="single" w:sz="4" w:space="0" w:color="auto"/>
              <w:left w:val="single" w:sz="4" w:space="0" w:color="auto"/>
              <w:bottom w:val="single" w:sz="4"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 w:val="0"/>
                <w:sz w:val="20"/>
                <w:szCs w:val="20"/>
              </w:rPr>
            </w:pPr>
            <w:r w:rsidRPr="00BB489E">
              <w:rPr>
                <w:rFonts w:cs="Calibri"/>
                <w:bCs/>
                <w:sz w:val="20"/>
                <w:szCs w:val="20"/>
              </w:rPr>
              <w:t>153,</w:t>
            </w:r>
            <w:r w:rsidRPr="00BB489E">
              <w:rPr>
                <w:rFonts w:cs="Calibri"/>
                <w:bCs/>
                <w:sz w:val="20"/>
                <w:szCs w:val="20"/>
                <w:lang w:val="en-US"/>
              </w:rPr>
              <w:t>593</w:t>
            </w:r>
            <w:r w:rsidRPr="00BB489E">
              <w:rPr>
                <w:rFonts w:cs="Calibri"/>
                <w:bCs/>
                <w:sz w:val="20"/>
                <w:szCs w:val="20"/>
              </w:rPr>
              <w:t>.3</w:t>
            </w:r>
          </w:p>
        </w:tc>
        <w:bookmarkEnd w:id="206"/>
      </w:tr>
      <w:tr w:rsidR="00AE0F80" w:rsidRPr="00BB489E" w:rsidTr="009F0F78">
        <w:trPr>
          <w:trHeight w:val="20"/>
        </w:trPr>
        <w:tc>
          <w:tcPr>
            <w:tcW w:w="1694"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AE0F80" w:rsidRPr="00BB489E" w:rsidRDefault="00AE0F80" w:rsidP="009F0F78">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740" w:type="pct"/>
            <w:tcBorders>
              <w:top w:val="single" w:sz="6" w:space="0" w:color="auto"/>
              <w:left w:val="single" w:sz="6" w:space="0" w:color="auto"/>
              <w:bottom w:val="single" w:sz="6" w:space="0" w:color="auto"/>
              <w:right w:val="single" w:sz="6"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2.2%</w:t>
            </w:r>
          </w:p>
        </w:tc>
        <w:tc>
          <w:tcPr>
            <w:tcW w:w="694" w:type="pct"/>
            <w:tcBorders>
              <w:top w:val="single" w:sz="4"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2.0%</w:t>
            </w:r>
          </w:p>
        </w:tc>
        <w:tc>
          <w:tcPr>
            <w:tcW w:w="694" w:type="pct"/>
            <w:tcBorders>
              <w:top w:val="single" w:sz="4"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2.0%</w:t>
            </w:r>
          </w:p>
        </w:tc>
        <w:tc>
          <w:tcPr>
            <w:tcW w:w="612" w:type="pct"/>
            <w:tcBorders>
              <w:top w:val="single" w:sz="4" w:space="0" w:color="auto"/>
              <w:left w:val="single" w:sz="6" w:space="0" w:color="auto"/>
              <w:bottom w:val="single" w:sz="6" w:space="0" w:color="auto"/>
              <w:right w:val="single" w:sz="6"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2.7%</w:t>
            </w:r>
          </w:p>
        </w:tc>
        <w:tc>
          <w:tcPr>
            <w:tcW w:w="565" w:type="pct"/>
            <w:tcBorders>
              <w:top w:val="single" w:sz="4" w:space="0" w:color="auto"/>
              <w:left w:val="single" w:sz="6" w:space="0" w:color="auto"/>
              <w:bottom w:val="single" w:sz="6" w:space="0" w:color="auto"/>
              <w:right w:val="double" w:sz="4"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lang w:val="en-US"/>
              </w:rPr>
            </w:pPr>
            <w:r w:rsidRPr="00C05F21">
              <w:rPr>
                <w:sz w:val="20"/>
                <w:szCs w:val="20"/>
              </w:rPr>
              <w:t>2.4%</w:t>
            </w:r>
          </w:p>
        </w:tc>
      </w:tr>
      <w:tr w:rsidR="00AE0F80" w:rsidRPr="00BB489E" w:rsidTr="009F0F78">
        <w:trPr>
          <w:trHeight w:val="20"/>
        </w:trPr>
        <w:tc>
          <w:tcPr>
            <w:tcW w:w="1694"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AE0F80" w:rsidRPr="00BB489E" w:rsidRDefault="00AE0F80" w:rsidP="009F0F78">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740" w:type="pct"/>
            <w:tcBorders>
              <w:top w:val="single" w:sz="6" w:space="0" w:color="auto"/>
              <w:left w:val="single" w:sz="6" w:space="0" w:color="auto"/>
              <w:bottom w:val="single" w:sz="6" w:space="0" w:color="auto"/>
              <w:right w:val="single" w:sz="6"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8.3%</w:t>
            </w:r>
          </w:p>
        </w:tc>
        <w:tc>
          <w:tcPr>
            <w:tcW w:w="694"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8.4%</w:t>
            </w:r>
          </w:p>
        </w:tc>
        <w:tc>
          <w:tcPr>
            <w:tcW w:w="694"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7.9%</w:t>
            </w:r>
          </w:p>
        </w:tc>
        <w:tc>
          <w:tcPr>
            <w:tcW w:w="612" w:type="pct"/>
            <w:tcBorders>
              <w:top w:val="single" w:sz="6" w:space="0" w:color="auto"/>
              <w:left w:val="single" w:sz="6" w:space="0" w:color="auto"/>
              <w:bottom w:val="single" w:sz="6" w:space="0" w:color="auto"/>
              <w:right w:val="single" w:sz="6"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8.7%</w:t>
            </w:r>
          </w:p>
        </w:tc>
        <w:tc>
          <w:tcPr>
            <w:tcW w:w="565" w:type="pct"/>
            <w:tcBorders>
              <w:top w:val="single" w:sz="6" w:space="0" w:color="auto"/>
              <w:left w:val="single" w:sz="6" w:space="0" w:color="auto"/>
              <w:bottom w:val="single" w:sz="6" w:space="0" w:color="auto"/>
              <w:right w:val="double" w:sz="4"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lang w:val="en-US"/>
              </w:rPr>
            </w:pPr>
            <w:r w:rsidRPr="00C05F21">
              <w:rPr>
                <w:sz w:val="20"/>
                <w:szCs w:val="20"/>
              </w:rPr>
              <w:t>8.3%</w:t>
            </w:r>
          </w:p>
        </w:tc>
      </w:tr>
      <w:tr w:rsidR="00AE0F80" w:rsidRPr="00BB489E" w:rsidTr="009F0F78">
        <w:trPr>
          <w:trHeight w:val="20"/>
        </w:trPr>
        <w:tc>
          <w:tcPr>
            <w:tcW w:w="1694"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left"/>
              <w:rPr>
                <w:b w:val="0"/>
                <w:sz w:val="20"/>
                <w:szCs w:val="20"/>
                <w:lang w:val="hy-AM"/>
              </w:rPr>
            </w:pPr>
            <w:bookmarkStart w:id="207" w:name="_Hlk52021666"/>
            <w:r w:rsidRPr="00BB489E">
              <w:rPr>
                <w:sz w:val="20"/>
                <w:szCs w:val="20"/>
                <w:lang w:val="hy-AM"/>
              </w:rPr>
              <w:t xml:space="preserve">2. </w:t>
            </w:r>
            <w:r w:rsidRPr="00BB489E">
              <w:rPr>
                <w:rFonts w:cs="Arial"/>
                <w:sz w:val="20"/>
                <w:szCs w:val="20"/>
                <w:lang w:val="hy-AM"/>
              </w:rPr>
              <w:t>ՍՈՑԻԱԼԱԿԱՆ</w:t>
            </w:r>
            <w:r w:rsidRPr="00BB489E">
              <w:rPr>
                <w:sz w:val="20"/>
                <w:szCs w:val="20"/>
                <w:lang w:val="hy-AM"/>
              </w:rPr>
              <w:t xml:space="preserve"> </w:t>
            </w:r>
            <w:r w:rsidRPr="00BB489E">
              <w:rPr>
                <w:rFonts w:cs="Arial"/>
                <w:sz w:val="20"/>
                <w:szCs w:val="20"/>
                <w:lang w:val="hy-AM"/>
              </w:rPr>
              <w:t>ՊԱՇՏՊԱՆՈՒԹՅՈՒՆ</w:t>
            </w:r>
          </w:p>
        </w:tc>
        <w:tc>
          <w:tcPr>
            <w:tcW w:w="740"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bCs/>
                <w:sz w:val="20"/>
                <w:szCs w:val="20"/>
              </w:rPr>
            </w:pPr>
            <w:r w:rsidRPr="00BB489E">
              <w:rPr>
                <w:rFonts w:cs="Calibri"/>
                <w:bCs/>
                <w:sz w:val="20"/>
                <w:szCs w:val="20"/>
              </w:rPr>
              <w:t>408,962.8</w:t>
            </w:r>
          </w:p>
        </w:tc>
        <w:tc>
          <w:tcPr>
            <w:tcW w:w="694"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bCs/>
                <w:sz w:val="20"/>
                <w:szCs w:val="20"/>
              </w:rPr>
            </w:pPr>
            <w:r w:rsidRPr="00BB489E">
              <w:rPr>
                <w:rFonts w:cs="Calibri"/>
                <w:bCs/>
                <w:sz w:val="20"/>
                <w:szCs w:val="20"/>
              </w:rPr>
              <w:t>416,625.8</w:t>
            </w:r>
          </w:p>
        </w:tc>
        <w:tc>
          <w:tcPr>
            <w:tcW w:w="694"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bCs/>
                <w:sz w:val="20"/>
                <w:szCs w:val="20"/>
              </w:rPr>
            </w:pPr>
            <w:r w:rsidRPr="00BB489E">
              <w:rPr>
                <w:rFonts w:cs="Calibri"/>
                <w:bCs/>
                <w:sz w:val="20"/>
                <w:szCs w:val="20"/>
              </w:rPr>
              <w:t>453,921.2</w:t>
            </w:r>
          </w:p>
        </w:tc>
        <w:tc>
          <w:tcPr>
            <w:tcW w:w="612"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bCs/>
                <w:sz w:val="20"/>
                <w:szCs w:val="20"/>
              </w:rPr>
            </w:pPr>
            <w:r w:rsidRPr="00BB489E">
              <w:rPr>
                <w:rFonts w:cs="Calibri"/>
                <w:bCs/>
                <w:sz w:val="20"/>
                <w:szCs w:val="20"/>
              </w:rPr>
              <w:t>492,045.9</w:t>
            </w:r>
          </w:p>
        </w:tc>
        <w:tc>
          <w:tcPr>
            <w:tcW w:w="565"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bCs/>
                <w:sz w:val="20"/>
                <w:szCs w:val="20"/>
                <w:lang w:val="en-US"/>
              </w:rPr>
            </w:pPr>
            <w:r w:rsidRPr="00BB489E">
              <w:rPr>
                <w:rFonts w:cs="Calibri"/>
                <w:bCs/>
                <w:sz w:val="20"/>
                <w:szCs w:val="20"/>
              </w:rPr>
              <w:t>504,8</w:t>
            </w:r>
            <w:r w:rsidRPr="00BB489E">
              <w:rPr>
                <w:rFonts w:cs="Calibri"/>
                <w:bCs/>
                <w:sz w:val="20"/>
                <w:szCs w:val="20"/>
                <w:lang w:val="en-US"/>
              </w:rPr>
              <w:t>75</w:t>
            </w:r>
            <w:r w:rsidRPr="00BB489E">
              <w:rPr>
                <w:rFonts w:cs="Calibri"/>
                <w:bCs/>
                <w:sz w:val="20"/>
                <w:szCs w:val="20"/>
              </w:rPr>
              <w:t>.</w:t>
            </w:r>
            <w:r w:rsidRPr="00BB489E">
              <w:rPr>
                <w:rFonts w:cs="Calibri"/>
                <w:bCs/>
                <w:sz w:val="20"/>
                <w:szCs w:val="20"/>
                <w:lang w:val="en-US"/>
              </w:rPr>
              <w:t>9</w:t>
            </w:r>
          </w:p>
        </w:tc>
        <w:bookmarkEnd w:id="207"/>
      </w:tr>
      <w:tr w:rsidR="00AE0F80" w:rsidRPr="00BB489E" w:rsidTr="009F0F78">
        <w:trPr>
          <w:trHeight w:val="20"/>
        </w:trPr>
        <w:tc>
          <w:tcPr>
            <w:tcW w:w="1694"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AE0F80" w:rsidRPr="00BB489E" w:rsidRDefault="00AE0F80" w:rsidP="009F0F78">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740" w:type="pct"/>
            <w:tcBorders>
              <w:top w:val="single" w:sz="6" w:space="0" w:color="auto"/>
              <w:left w:val="single" w:sz="6" w:space="0" w:color="auto"/>
              <w:bottom w:val="single" w:sz="6" w:space="0" w:color="auto"/>
              <w:right w:val="single" w:sz="6"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7.3%</w:t>
            </w:r>
          </w:p>
        </w:tc>
        <w:tc>
          <w:tcPr>
            <w:tcW w:w="694"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6.9%</w:t>
            </w:r>
          </w:p>
        </w:tc>
        <w:tc>
          <w:tcPr>
            <w:tcW w:w="694"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6.9%</w:t>
            </w:r>
          </w:p>
        </w:tc>
        <w:tc>
          <w:tcPr>
            <w:tcW w:w="612" w:type="pct"/>
            <w:tcBorders>
              <w:top w:val="single" w:sz="6" w:space="0" w:color="auto"/>
              <w:left w:val="single" w:sz="6" w:space="0" w:color="auto"/>
              <w:bottom w:val="single" w:sz="6" w:space="0" w:color="auto"/>
              <w:right w:val="single" w:sz="6"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8.1%</w:t>
            </w:r>
          </w:p>
        </w:tc>
        <w:tc>
          <w:tcPr>
            <w:tcW w:w="565" w:type="pct"/>
            <w:tcBorders>
              <w:top w:val="single" w:sz="6" w:space="0" w:color="auto"/>
              <w:left w:val="single" w:sz="6" w:space="0" w:color="auto"/>
              <w:bottom w:val="single" w:sz="6" w:space="0" w:color="auto"/>
              <w:right w:val="double" w:sz="4"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lang w:val="en-US"/>
              </w:rPr>
            </w:pPr>
            <w:r w:rsidRPr="00C05F21">
              <w:rPr>
                <w:sz w:val="20"/>
                <w:szCs w:val="20"/>
              </w:rPr>
              <w:t>7.9%</w:t>
            </w:r>
          </w:p>
        </w:tc>
      </w:tr>
      <w:tr w:rsidR="00AE0F80" w:rsidRPr="00BB489E" w:rsidTr="009F0F78">
        <w:trPr>
          <w:trHeight w:val="20"/>
        </w:trPr>
        <w:tc>
          <w:tcPr>
            <w:tcW w:w="1694"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AE0F80" w:rsidRPr="00BB489E" w:rsidRDefault="00AE0F80" w:rsidP="009F0F78">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740" w:type="pct"/>
            <w:tcBorders>
              <w:top w:val="single" w:sz="6" w:space="0" w:color="auto"/>
              <w:left w:val="single" w:sz="6" w:space="0" w:color="auto"/>
              <w:bottom w:val="single" w:sz="6" w:space="0" w:color="auto"/>
              <w:right w:val="single" w:sz="6"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27.2%</w:t>
            </w:r>
          </w:p>
        </w:tc>
        <w:tc>
          <w:tcPr>
            <w:tcW w:w="694"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28.8%</w:t>
            </w:r>
          </w:p>
        </w:tc>
        <w:tc>
          <w:tcPr>
            <w:tcW w:w="694"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27.9%</w:t>
            </w:r>
          </w:p>
        </w:tc>
        <w:tc>
          <w:tcPr>
            <w:tcW w:w="612" w:type="pct"/>
            <w:tcBorders>
              <w:top w:val="single" w:sz="6" w:space="0" w:color="auto"/>
              <w:left w:val="single" w:sz="6" w:space="0" w:color="auto"/>
              <w:bottom w:val="single" w:sz="6" w:space="0" w:color="auto"/>
              <w:right w:val="single" w:sz="6"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26.5%</w:t>
            </w:r>
          </w:p>
        </w:tc>
        <w:tc>
          <w:tcPr>
            <w:tcW w:w="565" w:type="pct"/>
            <w:tcBorders>
              <w:top w:val="single" w:sz="6" w:space="0" w:color="auto"/>
              <w:left w:val="single" w:sz="6" w:space="0" w:color="auto"/>
              <w:bottom w:val="single" w:sz="6" w:space="0" w:color="auto"/>
              <w:right w:val="double" w:sz="4"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lang w:val="en-US"/>
              </w:rPr>
            </w:pPr>
            <w:r w:rsidRPr="00C05F21">
              <w:rPr>
                <w:sz w:val="20"/>
                <w:szCs w:val="20"/>
              </w:rPr>
              <w:t>27.3%</w:t>
            </w:r>
          </w:p>
        </w:tc>
      </w:tr>
      <w:tr w:rsidR="00AE0F80" w:rsidRPr="00BB489E" w:rsidTr="009F0F78">
        <w:trPr>
          <w:trHeight w:val="20"/>
        </w:trPr>
        <w:tc>
          <w:tcPr>
            <w:tcW w:w="1694"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left"/>
              <w:rPr>
                <w:b w:val="0"/>
                <w:sz w:val="20"/>
                <w:szCs w:val="20"/>
                <w:lang w:val="hy-AM"/>
              </w:rPr>
            </w:pPr>
            <w:bookmarkStart w:id="208" w:name="_Hlk52021290"/>
            <w:r w:rsidRPr="00BB489E">
              <w:rPr>
                <w:sz w:val="20"/>
                <w:szCs w:val="20"/>
                <w:lang w:val="hy-AM"/>
              </w:rPr>
              <w:t xml:space="preserve">3. </w:t>
            </w:r>
            <w:r w:rsidRPr="00BB489E">
              <w:rPr>
                <w:rFonts w:cs="Arial"/>
                <w:sz w:val="20"/>
                <w:szCs w:val="20"/>
                <w:lang w:val="hy-AM"/>
              </w:rPr>
              <w:t>ԱՌՈՂՋԱՊԱՀՈՒԹՅՈՒՆ</w:t>
            </w:r>
          </w:p>
        </w:tc>
        <w:tc>
          <w:tcPr>
            <w:tcW w:w="740"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 w:val="0"/>
                <w:bCs/>
                <w:sz w:val="20"/>
                <w:szCs w:val="20"/>
              </w:rPr>
            </w:pPr>
            <w:r w:rsidRPr="00BB489E">
              <w:rPr>
                <w:rFonts w:cs="Calibri"/>
                <w:bCs/>
                <w:sz w:val="20"/>
                <w:szCs w:val="20"/>
              </w:rPr>
              <w:t>83,215.4</w:t>
            </w:r>
          </w:p>
        </w:tc>
        <w:tc>
          <w:tcPr>
            <w:tcW w:w="694"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b w:val="0"/>
                <w:bCs/>
                <w:sz w:val="20"/>
                <w:szCs w:val="20"/>
              </w:rPr>
            </w:pPr>
            <w:r w:rsidRPr="00BB489E">
              <w:rPr>
                <w:rFonts w:cs="Calibri"/>
                <w:bCs/>
                <w:sz w:val="20"/>
                <w:szCs w:val="20"/>
              </w:rPr>
              <w:t>79,574,1</w:t>
            </w:r>
          </w:p>
        </w:tc>
        <w:tc>
          <w:tcPr>
            <w:tcW w:w="694"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b w:val="0"/>
                <w:bCs/>
                <w:sz w:val="20"/>
                <w:szCs w:val="20"/>
              </w:rPr>
            </w:pPr>
            <w:r w:rsidRPr="00BB489E">
              <w:rPr>
                <w:rFonts w:cs="Calibri"/>
                <w:bCs/>
                <w:sz w:val="20"/>
                <w:szCs w:val="20"/>
              </w:rPr>
              <w:t>99,283,0</w:t>
            </w:r>
          </w:p>
        </w:tc>
        <w:tc>
          <w:tcPr>
            <w:tcW w:w="612"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 w:val="0"/>
                <w:bCs/>
                <w:sz w:val="20"/>
                <w:szCs w:val="20"/>
              </w:rPr>
            </w:pPr>
            <w:r w:rsidRPr="00BB489E">
              <w:rPr>
                <w:rFonts w:cs="Calibri"/>
                <w:bCs/>
                <w:sz w:val="20"/>
                <w:szCs w:val="20"/>
              </w:rPr>
              <w:t>113,734.2</w:t>
            </w:r>
          </w:p>
        </w:tc>
        <w:tc>
          <w:tcPr>
            <w:tcW w:w="565"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 w:val="0"/>
                <w:bCs/>
                <w:sz w:val="20"/>
                <w:szCs w:val="20"/>
                <w:lang w:val="en-US"/>
              </w:rPr>
            </w:pPr>
            <w:r w:rsidRPr="00BB489E">
              <w:rPr>
                <w:rFonts w:cs="Calibri"/>
                <w:bCs/>
                <w:sz w:val="20"/>
                <w:szCs w:val="20"/>
                <w:lang w:val="en-US"/>
              </w:rPr>
              <w:t>117</w:t>
            </w:r>
            <w:r w:rsidRPr="00BB489E">
              <w:rPr>
                <w:rFonts w:cs="Calibri"/>
                <w:bCs/>
                <w:sz w:val="20"/>
                <w:szCs w:val="20"/>
              </w:rPr>
              <w:t>,</w:t>
            </w:r>
            <w:r w:rsidRPr="00BB489E">
              <w:rPr>
                <w:rFonts w:cs="Calibri"/>
                <w:bCs/>
                <w:sz w:val="20"/>
                <w:szCs w:val="20"/>
                <w:lang w:val="en-US"/>
              </w:rPr>
              <w:t>548</w:t>
            </w:r>
            <w:r w:rsidRPr="00BB489E">
              <w:rPr>
                <w:rFonts w:cs="Calibri"/>
                <w:bCs/>
                <w:sz w:val="20"/>
                <w:szCs w:val="20"/>
              </w:rPr>
              <w:t>.</w:t>
            </w:r>
            <w:r w:rsidRPr="00BB489E">
              <w:rPr>
                <w:rFonts w:cs="Calibri"/>
                <w:bCs/>
                <w:sz w:val="20"/>
                <w:szCs w:val="20"/>
                <w:lang w:val="en-US"/>
              </w:rPr>
              <w:t>5</w:t>
            </w:r>
          </w:p>
        </w:tc>
        <w:bookmarkEnd w:id="208"/>
      </w:tr>
      <w:tr w:rsidR="00AE0F80" w:rsidRPr="00BB489E" w:rsidTr="009F0F78">
        <w:trPr>
          <w:trHeight w:val="20"/>
        </w:trPr>
        <w:tc>
          <w:tcPr>
            <w:tcW w:w="1694"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AE0F80" w:rsidRPr="00BB489E" w:rsidRDefault="00AE0F80" w:rsidP="009F0F78">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740" w:type="pct"/>
            <w:tcBorders>
              <w:top w:val="single" w:sz="6" w:space="0" w:color="auto"/>
              <w:left w:val="single" w:sz="6" w:space="0" w:color="auto"/>
              <w:bottom w:val="single" w:sz="6" w:space="0" w:color="auto"/>
              <w:right w:val="single" w:sz="6"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1.5%</w:t>
            </w:r>
          </w:p>
        </w:tc>
        <w:tc>
          <w:tcPr>
            <w:tcW w:w="694"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1.3%</w:t>
            </w:r>
          </w:p>
        </w:tc>
        <w:tc>
          <w:tcPr>
            <w:tcW w:w="694"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1.5%</w:t>
            </w:r>
          </w:p>
        </w:tc>
        <w:tc>
          <w:tcPr>
            <w:tcW w:w="612" w:type="pct"/>
            <w:tcBorders>
              <w:top w:val="single" w:sz="6" w:space="0" w:color="auto"/>
              <w:left w:val="single" w:sz="6" w:space="0" w:color="auto"/>
              <w:bottom w:val="single" w:sz="6" w:space="0" w:color="auto"/>
              <w:right w:val="single" w:sz="6"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1.9%</w:t>
            </w:r>
          </w:p>
        </w:tc>
        <w:tc>
          <w:tcPr>
            <w:tcW w:w="565" w:type="pct"/>
            <w:tcBorders>
              <w:top w:val="single" w:sz="6" w:space="0" w:color="auto"/>
              <w:left w:val="single" w:sz="6" w:space="0" w:color="auto"/>
              <w:bottom w:val="single" w:sz="6" w:space="0" w:color="auto"/>
              <w:right w:val="double" w:sz="4"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lang w:val="en-US"/>
              </w:rPr>
            </w:pPr>
            <w:r w:rsidRPr="00C05F21">
              <w:rPr>
                <w:sz w:val="20"/>
                <w:szCs w:val="20"/>
              </w:rPr>
              <w:t>1.8%</w:t>
            </w:r>
          </w:p>
        </w:tc>
      </w:tr>
      <w:tr w:rsidR="00AE0F80" w:rsidRPr="00BB489E" w:rsidTr="009F0F78">
        <w:trPr>
          <w:trHeight w:val="426"/>
        </w:trPr>
        <w:tc>
          <w:tcPr>
            <w:tcW w:w="1694"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rsidR="00AE0F80" w:rsidRPr="00BB489E" w:rsidRDefault="00AE0F80" w:rsidP="009F0F78">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740" w:type="pct"/>
            <w:tcBorders>
              <w:top w:val="single" w:sz="6" w:space="0" w:color="auto"/>
              <w:left w:val="single" w:sz="6" w:space="0" w:color="auto"/>
              <w:bottom w:val="single" w:sz="6" w:space="0" w:color="auto"/>
              <w:right w:val="single" w:sz="6"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5.5%</w:t>
            </w:r>
          </w:p>
        </w:tc>
        <w:tc>
          <w:tcPr>
            <w:tcW w:w="694"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5.5%</w:t>
            </w:r>
          </w:p>
        </w:tc>
        <w:tc>
          <w:tcPr>
            <w:tcW w:w="694"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6.1%</w:t>
            </w:r>
          </w:p>
        </w:tc>
        <w:tc>
          <w:tcPr>
            <w:tcW w:w="612" w:type="pct"/>
            <w:tcBorders>
              <w:top w:val="single" w:sz="6" w:space="0" w:color="auto"/>
              <w:left w:val="single" w:sz="6" w:space="0" w:color="auto"/>
              <w:bottom w:val="single" w:sz="6" w:space="0" w:color="auto"/>
              <w:right w:val="single" w:sz="6"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6.1%</w:t>
            </w:r>
          </w:p>
        </w:tc>
        <w:tc>
          <w:tcPr>
            <w:tcW w:w="565" w:type="pct"/>
            <w:tcBorders>
              <w:top w:val="single" w:sz="6" w:space="0" w:color="auto"/>
              <w:left w:val="single" w:sz="6" w:space="0" w:color="auto"/>
              <w:bottom w:val="single" w:sz="6" w:space="0" w:color="auto"/>
              <w:right w:val="double" w:sz="4" w:space="0" w:color="auto"/>
            </w:tcBorders>
            <w:shd w:val="clear" w:color="auto" w:fill="FFFFFF"/>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6.4%</w:t>
            </w:r>
          </w:p>
        </w:tc>
      </w:tr>
      <w:tr w:rsidR="00AE0F80" w:rsidRPr="00BB489E" w:rsidTr="009F0F78">
        <w:trPr>
          <w:trHeight w:val="20"/>
        </w:trPr>
        <w:tc>
          <w:tcPr>
            <w:tcW w:w="1694"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rPr>
                <w:b w:val="0"/>
                <w:sz w:val="20"/>
                <w:szCs w:val="20"/>
                <w:lang w:val="hy-AM"/>
              </w:rPr>
            </w:pPr>
            <w:r w:rsidRPr="00BB489E">
              <w:rPr>
                <w:sz w:val="20"/>
                <w:szCs w:val="20"/>
              </w:rPr>
              <w:t>4</w:t>
            </w:r>
            <w:r w:rsidRPr="00BB489E">
              <w:rPr>
                <w:sz w:val="20"/>
                <w:szCs w:val="20"/>
                <w:lang w:val="hy-AM"/>
              </w:rPr>
              <w:t xml:space="preserve">. </w:t>
            </w:r>
            <w:r w:rsidRPr="00BB489E">
              <w:rPr>
                <w:rFonts w:cs="Arial"/>
                <w:sz w:val="20"/>
                <w:szCs w:val="20"/>
                <w:lang w:val="hy-AM"/>
              </w:rPr>
              <w:t>ՀԱՆԳԻՍՏ, ՄՇԱԿՈՒՅԹ ԵՎ ԿՐՈՆ</w:t>
            </w:r>
          </w:p>
        </w:tc>
        <w:tc>
          <w:tcPr>
            <w:tcW w:w="740"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 w:val="0"/>
                <w:bCs/>
                <w:sz w:val="20"/>
                <w:szCs w:val="20"/>
              </w:rPr>
            </w:pPr>
            <w:r w:rsidRPr="00BB489E">
              <w:rPr>
                <w:rFonts w:cs="Calibri"/>
                <w:bCs/>
                <w:sz w:val="20"/>
                <w:szCs w:val="20"/>
              </w:rPr>
              <w:t>26,004.2</w:t>
            </w:r>
          </w:p>
        </w:tc>
        <w:tc>
          <w:tcPr>
            <w:tcW w:w="694"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b w:val="0"/>
                <w:bCs/>
                <w:sz w:val="20"/>
                <w:szCs w:val="20"/>
              </w:rPr>
            </w:pPr>
            <w:r w:rsidRPr="00BB489E">
              <w:rPr>
                <w:rFonts w:cs="Calibri"/>
                <w:bCs/>
                <w:sz w:val="20"/>
                <w:szCs w:val="20"/>
              </w:rPr>
              <w:t>25,306.0</w:t>
            </w:r>
          </w:p>
        </w:tc>
        <w:tc>
          <w:tcPr>
            <w:tcW w:w="694"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b w:val="0"/>
                <w:bCs/>
                <w:sz w:val="20"/>
                <w:szCs w:val="20"/>
              </w:rPr>
            </w:pPr>
            <w:r w:rsidRPr="00BB489E">
              <w:rPr>
                <w:rFonts w:cs="Calibri"/>
                <w:bCs/>
                <w:sz w:val="20"/>
                <w:szCs w:val="20"/>
              </w:rPr>
              <w:t>33,558,3</w:t>
            </w:r>
          </w:p>
        </w:tc>
        <w:tc>
          <w:tcPr>
            <w:tcW w:w="612"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 w:val="0"/>
                <w:bCs/>
                <w:sz w:val="20"/>
                <w:szCs w:val="20"/>
              </w:rPr>
            </w:pPr>
            <w:r w:rsidRPr="00BB489E">
              <w:rPr>
                <w:rFonts w:cs="Calibri"/>
                <w:bCs/>
                <w:sz w:val="20"/>
                <w:szCs w:val="20"/>
              </w:rPr>
              <w:t>30,984.4</w:t>
            </w:r>
          </w:p>
        </w:tc>
        <w:tc>
          <w:tcPr>
            <w:tcW w:w="565"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 w:val="0"/>
                <w:bCs/>
                <w:sz w:val="20"/>
                <w:szCs w:val="20"/>
                <w:lang w:val="en-US"/>
              </w:rPr>
            </w:pPr>
            <w:r w:rsidRPr="00BB489E">
              <w:rPr>
                <w:rFonts w:cs="Calibri"/>
                <w:bCs/>
                <w:sz w:val="20"/>
                <w:szCs w:val="20"/>
              </w:rPr>
              <w:t>30,5</w:t>
            </w:r>
            <w:r w:rsidRPr="00BB489E">
              <w:rPr>
                <w:rFonts w:cs="Calibri"/>
                <w:bCs/>
                <w:sz w:val="20"/>
                <w:szCs w:val="20"/>
                <w:lang w:val="en-US"/>
              </w:rPr>
              <w:t>85</w:t>
            </w:r>
            <w:r w:rsidRPr="00BB489E">
              <w:rPr>
                <w:rFonts w:cs="Calibri"/>
                <w:bCs/>
                <w:sz w:val="20"/>
                <w:szCs w:val="20"/>
              </w:rPr>
              <w:t>.</w:t>
            </w:r>
            <w:r w:rsidRPr="00BB489E">
              <w:rPr>
                <w:rFonts w:cs="Calibri"/>
                <w:bCs/>
                <w:sz w:val="20"/>
                <w:szCs w:val="20"/>
                <w:lang w:val="en-US"/>
              </w:rPr>
              <w:t>0</w:t>
            </w:r>
          </w:p>
        </w:tc>
      </w:tr>
      <w:tr w:rsidR="00AE0F80" w:rsidRPr="00BB489E" w:rsidTr="009F0F78">
        <w:trPr>
          <w:trHeight w:val="395"/>
        </w:trPr>
        <w:tc>
          <w:tcPr>
            <w:tcW w:w="1694" w:type="pct"/>
            <w:tcBorders>
              <w:top w:val="single" w:sz="6" w:space="0" w:color="auto"/>
              <w:left w:val="double" w:sz="4" w:space="0" w:color="auto"/>
              <w:bottom w:val="single" w:sz="6" w:space="0" w:color="auto"/>
              <w:right w:val="single" w:sz="6"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740" w:type="pct"/>
            <w:tcBorders>
              <w:top w:val="single" w:sz="6" w:space="0" w:color="auto"/>
              <w:left w:val="single" w:sz="6" w:space="0" w:color="auto"/>
              <w:bottom w:val="single" w:sz="6" w:space="0" w:color="auto"/>
              <w:right w:val="single" w:sz="6" w:space="0" w:color="auto"/>
            </w:tcBorders>
            <w:shd w:val="solid" w:color="FFFFFF" w:fill="auto"/>
            <w:tcMar>
              <w:top w:w="0" w:type="dxa"/>
              <w:left w:w="30" w:type="dxa"/>
              <w:bottom w:w="0" w:type="dxa"/>
              <w:right w:w="30"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0.5%</w:t>
            </w:r>
          </w:p>
        </w:tc>
        <w:tc>
          <w:tcPr>
            <w:tcW w:w="694" w:type="pct"/>
            <w:tcBorders>
              <w:top w:val="single" w:sz="6" w:space="0" w:color="auto"/>
              <w:left w:val="single" w:sz="6" w:space="0" w:color="auto"/>
              <w:bottom w:val="single" w:sz="6" w:space="0" w:color="auto"/>
              <w:right w:val="single" w:sz="6" w:space="0" w:color="auto"/>
            </w:tcBorders>
            <w:shd w:val="solid" w:color="FFFFFF" w:fill="auto"/>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0.4%</w:t>
            </w:r>
          </w:p>
        </w:tc>
        <w:tc>
          <w:tcPr>
            <w:tcW w:w="694" w:type="pct"/>
            <w:tcBorders>
              <w:top w:val="single" w:sz="6" w:space="0" w:color="auto"/>
              <w:left w:val="single" w:sz="6" w:space="0" w:color="auto"/>
              <w:bottom w:val="single" w:sz="6" w:space="0" w:color="auto"/>
              <w:right w:val="single" w:sz="6" w:space="0" w:color="auto"/>
            </w:tcBorders>
            <w:shd w:val="solid" w:color="FFFFFF" w:fill="auto"/>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0.5%</w:t>
            </w:r>
          </w:p>
        </w:tc>
        <w:tc>
          <w:tcPr>
            <w:tcW w:w="612" w:type="pct"/>
            <w:tcBorders>
              <w:top w:val="single" w:sz="6" w:space="0" w:color="auto"/>
              <w:left w:val="single" w:sz="6" w:space="0" w:color="auto"/>
              <w:bottom w:val="single" w:sz="6" w:space="0" w:color="auto"/>
              <w:right w:val="single" w:sz="6" w:space="0" w:color="auto"/>
            </w:tcBorders>
            <w:shd w:val="solid" w:color="FFFFFF" w:fill="auto"/>
            <w:tcMar>
              <w:top w:w="0" w:type="dxa"/>
              <w:left w:w="30" w:type="dxa"/>
              <w:bottom w:w="0" w:type="dxa"/>
              <w:right w:w="30"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0.5%</w:t>
            </w:r>
          </w:p>
        </w:tc>
        <w:tc>
          <w:tcPr>
            <w:tcW w:w="565" w:type="pct"/>
            <w:tcBorders>
              <w:top w:val="single" w:sz="6" w:space="0" w:color="auto"/>
              <w:left w:val="single" w:sz="6" w:space="0" w:color="auto"/>
              <w:bottom w:val="single" w:sz="6" w:space="0" w:color="auto"/>
              <w:right w:val="double" w:sz="4" w:space="0" w:color="auto"/>
            </w:tcBorders>
            <w:shd w:val="solid" w:color="FFFFFF" w:fill="auto"/>
            <w:tcMar>
              <w:top w:w="0" w:type="dxa"/>
              <w:left w:w="30" w:type="dxa"/>
              <w:bottom w:w="0" w:type="dxa"/>
              <w:right w:w="30" w:type="dxa"/>
            </w:tcMar>
            <w:hideMark/>
          </w:tcPr>
          <w:p w:rsidR="00AE0F80" w:rsidRPr="00C05F21" w:rsidRDefault="00AE0F80" w:rsidP="009F0F78">
            <w:pPr>
              <w:spacing w:before="0" w:line="276" w:lineRule="auto"/>
              <w:ind w:firstLine="0"/>
              <w:jc w:val="center"/>
              <w:rPr>
                <w:rFonts w:cs="Arial"/>
                <w:color w:val="000000"/>
                <w:sz w:val="20"/>
                <w:szCs w:val="20"/>
                <w:lang w:val="en-US"/>
              </w:rPr>
            </w:pPr>
            <w:r w:rsidRPr="00C05F21">
              <w:rPr>
                <w:sz w:val="20"/>
                <w:szCs w:val="20"/>
              </w:rPr>
              <w:t>0.5%</w:t>
            </w:r>
          </w:p>
        </w:tc>
      </w:tr>
      <w:tr w:rsidR="00AE0F80" w:rsidRPr="00BB489E" w:rsidTr="009F0F78">
        <w:trPr>
          <w:trHeight w:val="20"/>
        </w:trPr>
        <w:tc>
          <w:tcPr>
            <w:tcW w:w="1694" w:type="pct"/>
            <w:tcBorders>
              <w:top w:val="single" w:sz="6" w:space="0" w:color="auto"/>
              <w:left w:val="double" w:sz="4" w:space="0" w:color="auto"/>
              <w:bottom w:val="double" w:sz="4" w:space="0" w:color="auto"/>
              <w:right w:val="single" w:sz="6"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740" w:type="pct"/>
            <w:tcBorders>
              <w:top w:val="single" w:sz="6" w:space="0" w:color="auto"/>
              <w:left w:val="single" w:sz="6" w:space="0" w:color="auto"/>
              <w:bottom w:val="double" w:sz="4" w:space="0" w:color="auto"/>
              <w:right w:val="single" w:sz="6" w:space="0" w:color="auto"/>
            </w:tcBorders>
            <w:shd w:val="solid" w:color="FFFFFF" w:fill="auto"/>
            <w:tcMar>
              <w:top w:w="0" w:type="dxa"/>
              <w:left w:w="30" w:type="dxa"/>
              <w:bottom w:w="0" w:type="dxa"/>
              <w:right w:w="30"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1.7%</w:t>
            </w:r>
          </w:p>
        </w:tc>
        <w:tc>
          <w:tcPr>
            <w:tcW w:w="694" w:type="pct"/>
            <w:tcBorders>
              <w:top w:val="single" w:sz="6" w:space="0" w:color="auto"/>
              <w:left w:val="single" w:sz="6" w:space="0" w:color="auto"/>
              <w:bottom w:val="double" w:sz="4" w:space="0" w:color="auto"/>
              <w:right w:val="single" w:sz="6" w:space="0" w:color="auto"/>
            </w:tcBorders>
            <w:shd w:val="solid" w:color="FFFFFF" w:fill="auto"/>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1.7%</w:t>
            </w:r>
          </w:p>
        </w:tc>
        <w:tc>
          <w:tcPr>
            <w:tcW w:w="694" w:type="pct"/>
            <w:tcBorders>
              <w:top w:val="single" w:sz="6" w:space="0" w:color="auto"/>
              <w:left w:val="single" w:sz="6" w:space="0" w:color="auto"/>
              <w:bottom w:val="double" w:sz="4" w:space="0" w:color="auto"/>
              <w:right w:val="single" w:sz="6" w:space="0" w:color="auto"/>
            </w:tcBorders>
            <w:shd w:val="solid" w:color="FFFFFF" w:fill="auto"/>
            <w:tcMar>
              <w:top w:w="0" w:type="dxa"/>
              <w:left w:w="57" w:type="dxa"/>
              <w:bottom w:w="0" w:type="dxa"/>
              <w:right w:w="85"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2.1%</w:t>
            </w:r>
          </w:p>
        </w:tc>
        <w:tc>
          <w:tcPr>
            <w:tcW w:w="612" w:type="pct"/>
            <w:tcBorders>
              <w:top w:val="single" w:sz="6" w:space="0" w:color="auto"/>
              <w:left w:val="single" w:sz="6" w:space="0" w:color="auto"/>
              <w:bottom w:val="double" w:sz="4" w:space="0" w:color="auto"/>
              <w:right w:val="single" w:sz="6" w:space="0" w:color="auto"/>
            </w:tcBorders>
            <w:shd w:val="solid" w:color="FFFFFF" w:fill="auto"/>
            <w:tcMar>
              <w:top w:w="0" w:type="dxa"/>
              <w:left w:w="30" w:type="dxa"/>
              <w:bottom w:w="0" w:type="dxa"/>
              <w:right w:w="30" w:type="dxa"/>
            </w:tcMar>
            <w:hideMark/>
          </w:tcPr>
          <w:p w:rsidR="00AE0F80" w:rsidRPr="00C05F21" w:rsidRDefault="00AE0F80" w:rsidP="009F0F78">
            <w:pPr>
              <w:spacing w:before="0" w:line="276" w:lineRule="auto"/>
              <w:ind w:firstLine="0"/>
              <w:jc w:val="center"/>
              <w:rPr>
                <w:rFonts w:cs="Arial"/>
                <w:b w:val="0"/>
                <w:color w:val="000000"/>
                <w:sz w:val="20"/>
                <w:szCs w:val="20"/>
              </w:rPr>
            </w:pPr>
            <w:r w:rsidRPr="00C05F21">
              <w:rPr>
                <w:sz w:val="20"/>
                <w:szCs w:val="20"/>
              </w:rPr>
              <w:t>1.7%</w:t>
            </w:r>
          </w:p>
        </w:tc>
        <w:tc>
          <w:tcPr>
            <w:tcW w:w="565" w:type="pct"/>
            <w:tcBorders>
              <w:top w:val="single" w:sz="6" w:space="0" w:color="auto"/>
              <w:left w:val="single" w:sz="6" w:space="0" w:color="auto"/>
              <w:bottom w:val="double" w:sz="4" w:space="0" w:color="auto"/>
              <w:right w:val="double" w:sz="4" w:space="0" w:color="auto"/>
            </w:tcBorders>
            <w:shd w:val="solid" w:color="FFFFFF" w:fill="auto"/>
            <w:tcMar>
              <w:top w:w="0" w:type="dxa"/>
              <w:left w:w="30" w:type="dxa"/>
              <w:bottom w:w="0" w:type="dxa"/>
              <w:right w:w="30" w:type="dxa"/>
            </w:tcMar>
            <w:hideMark/>
          </w:tcPr>
          <w:p w:rsidR="00AE0F80" w:rsidRPr="00C05F21" w:rsidRDefault="00AE0F80" w:rsidP="009F0F78">
            <w:pPr>
              <w:spacing w:before="0" w:line="276" w:lineRule="auto"/>
              <w:ind w:firstLine="0"/>
              <w:jc w:val="center"/>
              <w:rPr>
                <w:rFonts w:cs="Arial"/>
                <w:color w:val="000000"/>
                <w:sz w:val="20"/>
                <w:szCs w:val="20"/>
                <w:lang w:val="en-US"/>
              </w:rPr>
            </w:pPr>
            <w:r w:rsidRPr="00C05F21">
              <w:rPr>
                <w:sz w:val="20"/>
                <w:szCs w:val="20"/>
              </w:rPr>
              <w:t>1.7%</w:t>
            </w:r>
          </w:p>
        </w:tc>
      </w:tr>
    </w:tbl>
    <w:p w:rsidR="00AE0F80" w:rsidRPr="00BB489E" w:rsidRDefault="00AE0F80" w:rsidP="00AE0F80">
      <w:pPr>
        <w:spacing w:before="0" w:line="276" w:lineRule="auto"/>
        <w:rPr>
          <w:lang w:val="hy-AM"/>
        </w:rPr>
      </w:pPr>
    </w:p>
    <w:p w:rsidR="00AE0F80" w:rsidRPr="00BB489E" w:rsidRDefault="00AE0F80" w:rsidP="00AE0F80">
      <w:pPr>
        <w:spacing w:before="0" w:line="276" w:lineRule="auto"/>
        <w:ind w:firstLine="600"/>
        <w:rPr>
          <w:b w:val="0"/>
          <w:lang w:val="hy-AM"/>
        </w:rPr>
      </w:pPr>
      <w:r w:rsidRPr="00BB489E">
        <w:rPr>
          <w:b w:val="0"/>
          <w:lang w:val="hy-AM"/>
        </w:rPr>
        <w:t>2017-2020թթ</w:t>
      </w:r>
      <w:r w:rsidRPr="00BB489E">
        <w:rPr>
          <w:rFonts w:ascii="MS Gothic" w:eastAsia="MS Gothic" w:hAnsi="MS Gothic" w:cs="MS Gothic" w:hint="eastAsia"/>
          <w:b w:val="0"/>
          <w:lang w:val="hy-AM"/>
        </w:rPr>
        <w:t>․</w:t>
      </w:r>
      <w:r w:rsidRPr="00BB489E">
        <w:rPr>
          <w:b w:val="0"/>
          <w:lang w:val="hy-AM"/>
        </w:rPr>
        <w:t xml:space="preserve"> ժամանակահատվածում կրթության և առողջապահության ոլորտների ֆինանսավորումը ՀՆԱ նկատմամբ փոփոխական բնույթ է կրել։</w:t>
      </w:r>
      <w:r w:rsidRPr="00BB489E">
        <w:rPr>
          <w:b w:val="0"/>
          <w:lang w:val="hy-AM"/>
        </w:rPr>
        <w:tab/>
      </w:r>
    </w:p>
    <w:p w:rsidR="00AE0F80" w:rsidRPr="00BB489E" w:rsidRDefault="00AE0F80" w:rsidP="00AE0F80">
      <w:pPr>
        <w:spacing w:before="0" w:line="276" w:lineRule="auto"/>
        <w:ind w:firstLine="600"/>
        <w:rPr>
          <w:b w:val="0"/>
          <w:lang w:val="hy-AM"/>
        </w:rPr>
      </w:pPr>
      <w:r w:rsidRPr="00BB489E">
        <w:rPr>
          <w:b w:val="0"/>
          <w:lang w:val="hy-AM"/>
        </w:rPr>
        <w:t xml:space="preserve"> 2021թ</w:t>
      </w:r>
      <w:r w:rsidRPr="00BB489E">
        <w:rPr>
          <w:rFonts w:ascii="MS Gothic" w:eastAsia="MS Gothic" w:hAnsi="MS Gothic" w:cs="MS Gothic" w:hint="eastAsia"/>
          <w:b w:val="0"/>
          <w:lang w:val="hy-AM"/>
        </w:rPr>
        <w:t>․</w:t>
      </w:r>
      <w:r w:rsidRPr="00BB489E">
        <w:rPr>
          <w:b w:val="0"/>
          <w:lang w:val="hy-AM"/>
        </w:rPr>
        <w:t xml:space="preserve"> համար այս ոլորտների բյուջետային ծախսերի չափաքանակները սահմանելիս առաջնային է դիտարկվել նշված ոլորտների համար ծախսեր/ՀՆԱ  ցուցանիշի առաջանցիկ մակարդակի ապահովումը։ </w:t>
      </w:r>
    </w:p>
    <w:p w:rsidR="00AE0F80" w:rsidRPr="00BB489E" w:rsidRDefault="00AE0F80" w:rsidP="00AE0F80">
      <w:pPr>
        <w:spacing w:before="0" w:line="276" w:lineRule="auto"/>
        <w:ind w:firstLine="600"/>
        <w:rPr>
          <w:b w:val="0"/>
          <w:lang w:val="hy-AM"/>
        </w:rPr>
      </w:pPr>
      <w:r w:rsidRPr="00BB489E">
        <w:rPr>
          <w:b w:val="0"/>
          <w:lang w:val="hy-AM"/>
        </w:rPr>
        <w:t>2017-2020թթ</w:t>
      </w:r>
      <w:r w:rsidRPr="00BB489E">
        <w:rPr>
          <w:rFonts w:ascii="MS Gothic" w:eastAsia="MS Gothic" w:hAnsi="MS Gothic" w:cs="MS Gothic" w:hint="eastAsia"/>
          <w:b w:val="0"/>
          <w:lang w:val="hy-AM"/>
        </w:rPr>
        <w:t>․</w:t>
      </w:r>
      <w:r w:rsidRPr="00BB489E">
        <w:rPr>
          <w:b w:val="0"/>
          <w:lang w:val="hy-AM"/>
        </w:rPr>
        <w:t xml:space="preserve"> ընթացքում կրթության ոլորտին ուղղված պետական միջոցները կազմել են համապատասխանաբար 124,373</w:t>
      </w:r>
      <w:r w:rsidRPr="00BB489E">
        <w:rPr>
          <w:rFonts w:ascii="MS Gothic" w:eastAsia="MS Gothic" w:hAnsi="MS Gothic" w:cs="MS Gothic" w:hint="eastAsia"/>
          <w:b w:val="0"/>
          <w:lang w:val="hy-AM"/>
        </w:rPr>
        <w:t>․</w:t>
      </w:r>
      <w:r w:rsidRPr="00BB489E">
        <w:rPr>
          <w:b w:val="0"/>
          <w:lang w:val="hy-AM"/>
        </w:rPr>
        <w:t>5, 121,626.5, 129,336.3 և 161,053.5 մլն</w:t>
      </w:r>
      <w:r w:rsidRPr="00BB489E">
        <w:rPr>
          <w:rFonts w:ascii="MS Gothic" w:eastAsia="MS Gothic" w:hAnsi="MS Gothic" w:cs="MS Gothic" w:hint="eastAsia"/>
          <w:b w:val="0"/>
          <w:lang w:val="hy-AM"/>
        </w:rPr>
        <w:t>․</w:t>
      </w:r>
      <w:r w:rsidRPr="00BB489E">
        <w:rPr>
          <w:b w:val="0"/>
          <w:lang w:val="hy-AM"/>
        </w:rPr>
        <w:t>դրամ։ 2021թ</w:t>
      </w:r>
      <w:r w:rsidRPr="00BB489E">
        <w:rPr>
          <w:rFonts w:ascii="MS Gothic" w:eastAsia="MS Gothic" w:hAnsi="MS Gothic" w:cs="MS Gothic" w:hint="eastAsia"/>
          <w:b w:val="0"/>
          <w:lang w:val="hy-AM"/>
        </w:rPr>
        <w:t>․</w:t>
      </w:r>
      <w:r w:rsidRPr="00BB489E">
        <w:rPr>
          <w:b w:val="0"/>
          <w:lang w:val="hy-AM"/>
        </w:rPr>
        <w:t xml:space="preserve"> ոլորտի ֆինանսավորման համար հատկացվելիք 153,593</w:t>
      </w:r>
      <w:r w:rsidRPr="00BB489E">
        <w:rPr>
          <w:rFonts w:ascii="MS Gothic" w:eastAsia="MS Gothic" w:hAnsi="MS Gothic" w:cs="MS Gothic" w:hint="eastAsia"/>
          <w:b w:val="0"/>
          <w:lang w:val="hy-AM"/>
        </w:rPr>
        <w:t>․</w:t>
      </w:r>
      <w:r w:rsidRPr="00BB489E">
        <w:rPr>
          <w:b w:val="0"/>
          <w:lang w:val="hy-AM"/>
        </w:rPr>
        <w:t>3 մլն</w:t>
      </w:r>
      <w:r w:rsidRPr="00BB489E">
        <w:rPr>
          <w:rFonts w:ascii="MS Gothic" w:eastAsia="MS Gothic" w:hAnsi="MS Gothic" w:cs="MS Gothic" w:hint="eastAsia"/>
          <w:b w:val="0"/>
          <w:lang w:val="hy-AM"/>
        </w:rPr>
        <w:t>․</w:t>
      </w:r>
      <w:r w:rsidRPr="00BB489E">
        <w:rPr>
          <w:b w:val="0"/>
          <w:lang w:val="hy-AM"/>
        </w:rPr>
        <w:t>դրամը նախատեսվում է համամասնորեն ուղղել կրթության առանձին տեսակների՝ նախադպրոցական, տարրական, միջնակարգ, մասնագիտական, բարձրագույն, հետբուհական, ինչպես նաև կրթությանը տրամադրվող օժանդակ ծառայությունների ֆինանսավորմանը։</w:t>
      </w:r>
    </w:p>
    <w:p w:rsidR="00AE0F80" w:rsidRPr="00BB489E" w:rsidRDefault="00AE0F80" w:rsidP="00AE0F80">
      <w:pPr>
        <w:spacing w:before="0" w:line="276" w:lineRule="auto"/>
        <w:ind w:firstLine="600"/>
        <w:rPr>
          <w:b w:val="0"/>
          <w:lang w:val="hy-AM"/>
        </w:rPr>
      </w:pPr>
      <w:r w:rsidRPr="00BB489E">
        <w:rPr>
          <w:b w:val="0"/>
          <w:lang w:val="hy-AM"/>
        </w:rPr>
        <w:t>Առողջապահության ոլորտի ֆինանսավորումը 2017-2020թթ</w:t>
      </w:r>
      <w:r w:rsidRPr="00BB489E">
        <w:rPr>
          <w:rFonts w:ascii="MS Gothic" w:eastAsia="MS Gothic" w:hAnsi="MS Gothic" w:cs="MS Gothic" w:hint="eastAsia"/>
          <w:b w:val="0"/>
          <w:lang w:val="hy-AM"/>
        </w:rPr>
        <w:t>․</w:t>
      </w:r>
      <w:r w:rsidRPr="00BB489E">
        <w:rPr>
          <w:b w:val="0"/>
          <w:lang w:val="hy-AM"/>
        </w:rPr>
        <w:t xml:space="preserve"> համապատասխանաբար կազմել է 83,215.4, 79,574,1, 99,283,0 և 113,734.2 մլն</w:t>
      </w:r>
      <w:r w:rsidRPr="00BB489E">
        <w:rPr>
          <w:rFonts w:ascii="MS Gothic" w:eastAsia="MS Gothic" w:hAnsi="MS Gothic" w:cs="MS Gothic" w:hint="eastAsia"/>
          <w:b w:val="0"/>
          <w:lang w:val="hy-AM"/>
        </w:rPr>
        <w:t>․</w:t>
      </w:r>
      <w:r w:rsidRPr="00BB489E">
        <w:rPr>
          <w:b w:val="0"/>
          <w:lang w:val="hy-AM"/>
        </w:rPr>
        <w:t xml:space="preserve"> դրամ։ 2021թ</w:t>
      </w:r>
      <w:r w:rsidRPr="00BB489E">
        <w:rPr>
          <w:rFonts w:ascii="MS Gothic" w:eastAsia="MS Gothic" w:hAnsi="MS Gothic" w:cs="MS Gothic" w:hint="eastAsia"/>
          <w:b w:val="0"/>
          <w:lang w:val="hy-AM"/>
        </w:rPr>
        <w:t>․</w:t>
      </w:r>
      <w:r w:rsidRPr="00BB489E">
        <w:rPr>
          <w:b w:val="0"/>
          <w:lang w:val="hy-AM"/>
        </w:rPr>
        <w:t xml:space="preserve"> ոլորտին ուղղվող ծախսերը պլանավորվում են 117,548.5 մլն</w:t>
      </w:r>
      <w:r w:rsidRPr="00BB489E">
        <w:rPr>
          <w:rFonts w:ascii="MS Gothic" w:eastAsia="MS Gothic" w:hAnsi="MS Gothic" w:cs="MS Gothic" w:hint="eastAsia"/>
          <w:b w:val="0"/>
          <w:lang w:val="hy-AM"/>
        </w:rPr>
        <w:t>․</w:t>
      </w:r>
      <w:r w:rsidRPr="00BB489E">
        <w:rPr>
          <w:b w:val="0"/>
          <w:lang w:val="hy-AM"/>
        </w:rPr>
        <w:t xml:space="preserve"> դրամի չափով, որոնք, հաշվի առնելով 2020թ</w:t>
      </w:r>
      <w:r w:rsidRPr="00BB489E">
        <w:rPr>
          <w:rFonts w:ascii="MS Gothic" w:eastAsia="MS Gothic" w:hAnsi="MS Gothic" w:cs="MS Gothic" w:hint="eastAsia"/>
          <w:b w:val="0"/>
          <w:lang w:val="hy-AM"/>
        </w:rPr>
        <w:t>․</w:t>
      </w:r>
      <w:r w:rsidRPr="00BB489E">
        <w:rPr>
          <w:b w:val="0"/>
          <w:lang w:val="hy-AM"/>
        </w:rPr>
        <w:t xml:space="preserve"> համավարակով պայմանավորված առողջապահության համակարգի համաշխարհային արդի մարտահրավերներն, առաջնահերթ ուղղվելու են վերջինիս դեմ պայքարի միջոցառումների իրականացմանը, առողջապահական համակարգի ռիսկերին արագ և համարժեք արձագանքմանը։ </w:t>
      </w:r>
    </w:p>
    <w:p w:rsidR="00AE0F80" w:rsidRPr="00BB489E" w:rsidRDefault="00AE0F80" w:rsidP="00AE0F80">
      <w:pPr>
        <w:spacing w:before="0" w:line="276" w:lineRule="auto"/>
        <w:ind w:firstLine="600"/>
        <w:rPr>
          <w:b w:val="0"/>
          <w:lang w:val="hy-AM"/>
        </w:rPr>
      </w:pPr>
      <w:r w:rsidRPr="00BB489E">
        <w:rPr>
          <w:b w:val="0"/>
          <w:lang w:val="hy-AM"/>
        </w:rPr>
        <w:t>2017-2020թթ</w:t>
      </w:r>
      <w:r w:rsidRPr="00BB489E">
        <w:rPr>
          <w:rFonts w:ascii="MS Gothic" w:eastAsia="MS Gothic" w:hAnsi="MS Gothic" w:cs="MS Gothic" w:hint="eastAsia"/>
          <w:b w:val="0"/>
          <w:lang w:val="hy-AM"/>
        </w:rPr>
        <w:t>․</w:t>
      </w:r>
      <w:r w:rsidRPr="00BB489E">
        <w:rPr>
          <w:b w:val="0"/>
          <w:lang w:val="hy-AM"/>
        </w:rPr>
        <w:t xml:space="preserve"> սոցիալական պաշտպանության ոլորտի ֆինանսավորումը համապատասխանաբար կազմել է 408,962.8, 416,625.8, 453,921.2 և 492,045.9 մլն</w:t>
      </w:r>
      <w:r w:rsidRPr="00BB489E">
        <w:rPr>
          <w:rFonts w:ascii="MS Gothic" w:eastAsia="MS Gothic" w:hAnsi="MS Gothic" w:cs="MS Gothic" w:hint="eastAsia"/>
          <w:b w:val="0"/>
          <w:lang w:val="hy-AM"/>
        </w:rPr>
        <w:t>․</w:t>
      </w:r>
      <w:r w:rsidRPr="00BB489E">
        <w:rPr>
          <w:b w:val="0"/>
          <w:lang w:val="hy-AM"/>
        </w:rPr>
        <w:t xml:space="preserve"> դրամ։ 2021 թվականի պետական բյուջեի նախագծով այս ոլորտին հատկացվելիք 504,875.9 մլն</w:t>
      </w:r>
      <w:r w:rsidRPr="00BB489E">
        <w:rPr>
          <w:rFonts w:ascii="MS Gothic" w:eastAsia="MS Gothic" w:hAnsi="MS Gothic" w:cs="MS Gothic" w:hint="eastAsia"/>
          <w:b w:val="0"/>
          <w:lang w:val="hy-AM"/>
        </w:rPr>
        <w:t>․</w:t>
      </w:r>
      <w:r w:rsidRPr="00BB489E">
        <w:rPr>
          <w:b w:val="0"/>
          <w:lang w:val="hy-AM"/>
        </w:rPr>
        <w:t xml:space="preserve"> դրամը, ինչպես և դիտարկվող տարիների ընթացքում առաջնահերթ ուղղվելու են տարեցներին և հաշմանդամներին աջակցության տրամադրմանը, ինչպես նաև ուղղվել գործազրկության, սոցիալական հատուկ արտոնությունների, բնակարային ապահովման, ընտանեկան նպաստների տրամադրման և այլ սոցիալական ծառայությունների ապահովմանը։</w:t>
      </w:r>
    </w:p>
    <w:p w:rsidR="00AE0F80" w:rsidRPr="00BB489E" w:rsidRDefault="00AE0F80" w:rsidP="00AE0F80">
      <w:pPr>
        <w:spacing w:before="0" w:line="276" w:lineRule="auto"/>
        <w:rPr>
          <w:rFonts w:cs="Arial"/>
          <w:b w:val="0"/>
          <w:lang w:val="hy-AM"/>
        </w:rPr>
      </w:pPr>
    </w:p>
    <w:p w:rsidR="00AE0F80" w:rsidRPr="00BB489E" w:rsidRDefault="00AE0F80" w:rsidP="00AE0F80">
      <w:pPr>
        <w:spacing w:before="0"/>
        <w:rPr>
          <w:b w:val="0"/>
          <w:bCs/>
          <w:i/>
          <w:color w:val="4F81BD" w:themeColor="accent1"/>
          <w:sz w:val="20"/>
          <w:szCs w:val="20"/>
          <w:lang w:val="hy-AM"/>
        </w:rPr>
      </w:pPr>
      <w:bookmarkStart w:id="209" w:name="_Toc57631767"/>
      <w:r w:rsidRPr="00BB489E">
        <w:rPr>
          <w:b w:val="0"/>
          <w:bCs/>
          <w:color w:val="4F81BD" w:themeColor="accent1"/>
          <w:sz w:val="18"/>
          <w:szCs w:val="18"/>
          <w:lang w:val="hy-AM"/>
        </w:rPr>
        <w:t xml:space="preserve">Աղյուսակ </w:t>
      </w:r>
      <w:r w:rsidR="003C3925" w:rsidRPr="00BB489E">
        <w:rPr>
          <w:rFonts w:ascii="Calibri" w:eastAsia="Calibri" w:hAnsi="Calibri"/>
          <w:b w:val="0"/>
          <w:szCs w:val="22"/>
          <w:lang w:val="en-US" w:eastAsia="en-US"/>
        </w:rPr>
        <w:fldChar w:fldCharType="begin"/>
      </w:r>
      <w:r w:rsidRPr="00BB489E">
        <w:rPr>
          <w:b w:val="0"/>
          <w:bCs/>
          <w:color w:val="4F81BD" w:themeColor="accent1"/>
          <w:sz w:val="18"/>
          <w:szCs w:val="18"/>
          <w:lang w:val="hy-AM"/>
        </w:rPr>
        <w:instrText xml:space="preserve"> SEQ Աղյուսակ \* ARABIC </w:instrText>
      </w:r>
      <w:r w:rsidR="003C3925" w:rsidRPr="00BB489E">
        <w:rPr>
          <w:rFonts w:ascii="Calibri" w:eastAsia="Calibri" w:hAnsi="Calibri"/>
          <w:b w:val="0"/>
          <w:szCs w:val="22"/>
          <w:lang w:val="en-US" w:eastAsia="en-US"/>
        </w:rPr>
        <w:fldChar w:fldCharType="separate"/>
      </w:r>
      <w:r>
        <w:rPr>
          <w:b w:val="0"/>
          <w:bCs/>
          <w:noProof/>
          <w:color w:val="4F81BD" w:themeColor="accent1"/>
          <w:sz w:val="18"/>
          <w:szCs w:val="18"/>
          <w:lang w:val="hy-AM"/>
        </w:rPr>
        <w:t>16</w:t>
      </w:r>
      <w:r w:rsidR="003C3925" w:rsidRPr="00BB489E">
        <w:rPr>
          <w:rFonts w:ascii="Calibri" w:eastAsia="Calibri" w:hAnsi="Calibri"/>
          <w:b w:val="0"/>
          <w:szCs w:val="22"/>
          <w:lang w:val="en-US" w:eastAsia="en-US"/>
        </w:rPr>
        <w:fldChar w:fldCharType="end"/>
      </w:r>
      <w:r w:rsidRPr="00BB489E">
        <w:rPr>
          <w:rFonts w:ascii="Cambria Math" w:hAnsi="Cambria Math"/>
          <w:b w:val="0"/>
          <w:bCs/>
          <w:color w:val="4F81BD" w:themeColor="accent1"/>
          <w:sz w:val="18"/>
          <w:szCs w:val="18"/>
          <w:lang w:val="hy-AM"/>
        </w:rPr>
        <w:t xml:space="preserve">․ </w:t>
      </w:r>
      <w:r w:rsidRPr="00BB489E">
        <w:rPr>
          <w:rFonts w:cs="Arial"/>
          <w:bCs/>
          <w:i/>
          <w:color w:val="4F81BD" w:themeColor="accent1"/>
          <w:sz w:val="20"/>
          <w:szCs w:val="20"/>
          <w:lang w:val="hy-AM"/>
        </w:rPr>
        <w:t>Տնտեսական ոլորտի</w:t>
      </w:r>
      <w:r w:rsidRPr="00BB489E">
        <w:rPr>
          <w:bCs/>
          <w:i/>
          <w:color w:val="4F81BD" w:themeColor="accent1"/>
          <w:sz w:val="20"/>
          <w:szCs w:val="20"/>
          <w:lang w:val="hy-AM"/>
        </w:rPr>
        <w:t xml:space="preserve"> 2021-2023</w:t>
      </w:r>
      <w:r w:rsidRPr="00BB489E">
        <w:rPr>
          <w:rFonts w:cs="Arial"/>
          <w:bCs/>
          <w:i/>
          <w:color w:val="4F81BD" w:themeColor="accent1"/>
          <w:sz w:val="20"/>
          <w:szCs w:val="20"/>
          <w:lang w:val="hy-AM"/>
        </w:rPr>
        <w:t>թթ</w:t>
      </w:r>
      <w:r w:rsidRPr="00BB489E">
        <w:rPr>
          <w:bCs/>
          <w:i/>
          <w:color w:val="4F81BD" w:themeColor="accent1"/>
          <w:sz w:val="20"/>
          <w:szCs w:val="20"/>
          <w:lang w:val="hy-AM"/>
        </w:rPr>
        <w:t xml:space="preserve"> </w:t>
      </w:r>
      <w:r w:rsidRPr="00BB489E">
        <w:rPr>
          <w:rFonts w:cs="Arial"/>
          <w:bCs/>
          <w:i/>
          <w:color w:val="4F81BD" w:themeColor="accent1"/>
          <w:sz w:val="20"/>
          <w:szCs w:val="20"/>
          <w:lang w:val="hy-AM"/>
        </w:rPr>
        <w:t>բյուջետային</w:t>
      </w:r>
      <w:r w:rsidRPr="00BB489E">
        <w:rPr>
          <w:bCs/>
          <w:i/>
          <w:color w:val="4F81BD" w:themeColor="accent1"/>
          <w:sz w:val="20"/>
          <w:szCs w:val="20"/>
          <w:lang w:val="hy-AM"/>
        </w:rPr>
        <w:t xml:space="preserve"> </w:t>
      </w:r>
      <w:r w:rsidRPr="00BB489E">
        <w:rPr>
          <w:rFonts w:cs="Arial"/>
          <w:bCs/>
          <w:i/>
          <w:color w:val="4F81BD" w:themeColor="accent1"/>
          <w:sz w:val="20"/>
          <w:szCs w:val="20"/>
          <w:lang w:val="hy-AM"/>
        </w:rPr>
        <w:t>ծախսերը</w:t>
      </w:r>
      <w:r w:rsidRPr="00BB489E">
        <w:rPr>
          <w:bCs/>
          <w:i/>
          <w:color w:val="4F81BD" w:themeColor="accent1"/>
          <w:sz w:val="20"/>
          <w:szCs w:val="20"/>
          <w:lang w:val="hy-AM"/>
        </w:rPr>
        <w:t xml:space="preserve"> (</w:t>
      </w:r>
      <w:r w:rsidRPr="00BB489E">
        <w:rPr>
          <w:rFonts w:cs="Arial"/>
          <w:bCs/>
          <w:i/>
          <w:color w:val="4F81BD" w:themeColor="accent1"/>
          <w:sz w:val="20"/>
          <w:szCs w:val="20"/>
          <w:lang w:val="hy-AM"/>
        </w:rPr>
        <w:t>մլն</w:t>
      </w:r>
      <w:r w:rsidRPr="00BB489E">
        <w:rPr>
          <w:bCs/>
          <w:i/>
          <w:color w:val="4F81BD" w:themeColor="accent1"/>
          <w:sz w:val="20"/>
          <w:szCs w:val="20"/>
          <w:lang w:val="hy-AM"/>
        </w:rPr>
        <w:t xml:space="preserve"> </w:t>
      </w:r>
      <w:r w:rsidRPr="00BB489E">
        <w:rPr>
          <w:rFonts w:cs="Arial"/>
          <w:bCs/>
          <w:i/>
          <w:color w:val="4F81BD" w:themeColor="accent1"/>
          <w:sz w:val="20"/>
          <w:szCs w:val="20"/>
          <w:lang w:val="hy-AM"/>
        </w:rPr>
        <w:t>դրամ</w:t>
      </w:r>
      <w:r w:rsidRPr="00BB489E">
        <w:rPr>
          <w:bCs/>
          <w:i/>
          <w:color w:val="4F81BD" w:themeColor="accent1"/>
          <w:sz w:val="20"/>
          <w:szCs w:val="20"/>
          <w:lang w:val="hy-AM"/>
        </w:rPr>
        <w:t>)</w:t>
      </w:r>
      <w:bookmarkEnd w:id="209"/>
    </w:p>
    <w:tbl>
      <w:tblPr>
        <w:tblW w:w="5150" w:type="pct"/>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749"/>
        <w:gridCol w:w="1411"/>
        <w:gridCol w:w="1389"/>
        <w:gridCol w:w="1318"/>
        <w:gridCol w:w="1130"/>
        <w:gridCol w:w="1126"/>
      </w:tblGrid>
      <w:tr w:rsidR="00AE0F80" w:rsidRPr="00BB489E" w:rsidTr="009F0F78">
        <w:trPr>
          <w:trHeight w:val="20"/>
          <w:tblHeader/>
        </w:trPr>
        <w:tc>
          <w:tcPr>
            <w:tcW w:w="1852" w:type="pct"/>
            <w:tcBorders>
              <w:top w:val="double" w:sz="4" w:space="0" w:color="auto"/>
              <w:left w:val="double" w:sz="4" w:space="0" w:color="auto"/>
              <w:bottom w:val="single" w:sz="8" w:space="0" w:color="auto"/>
              <w:right w:val="single" w:sz="8" w:space="0" w:color="auto"/>
            </w:tcBorders>
            <w:shd w:val="clear" w:color="auto" w:fill="4F81BD" w:themeFill="accent1"/>
            <w:tcMar>
              <w:top w:w="0" w:type="dxa"/>
              <w:left w:w="57" w:type="dxa"/>
              <w:bottom w:w="0" w:type="dxa"/>
              <w:right w:w="57" w:type="dxa"/>
            </w:tcMar>
            <w:vAlign w:val="center"/>
            <w:hideMark/>
          </w:tcPr>
          <w:p w:rsidR="00AE0F80" w:rsidRPr="00BB489E" w:rsidRDefault="00AE0F80" w:rsidP="009F0F78">
            <w:pPr>
              <w:spacing w:before="0" w:line="276" w:lineRule="auto"/>
              <w:jc w:val="center"/>
              <w:rPr>
                <w:rFonts w:cs="Arial"/>
                <w:b w:val="0"/>
                <w:color w:val="FFFFFF" w:themeColor="background1"/>
                <w:sz w:val="20"/>
                <w:szCs w:val="20"/>
                <w:lang w:val="hy-AM"/>
              </w:rPr>
            </w:pPr>
            <w:r w:rsidRPr="00BB489E">
              <w:rPr>
                <w:rFonts w:cs="Arial"/>
                <w:b w:val="0"/>
                <w:color w:val="FFFFFF" w:themeColor="background1"/>
                <w:sz w:val="20"/>
                <w:szCs w:val="20"/>
                <w:lang w:val="hy-AM"/>
              </w:rPr>
              <w:t>Ցուցանիշներ</w:t>
            </w:r>
          </w:p>
        </w:tc>
        <w:tc>
          <w:tcPr>
            <w:tcW w:w="697" w:type="pct"/>
            <w:tcBorders>
              <w:top w:val="double" w:sz="4" w:space="0" w:color="auto"/>
              <w:left w:val="single" w:sz="8" w:space="0" w:color="auto"/>
              <w:bottom w:val="single" w:sz="8" w:space="0" w:color="auto"/>
              <w:right w:val="single" w:sz="8" w:space="0" w:color="auto"/>
            </w:tcBorders>
            <w:shd w:val="clear" w:color="auto" w:fill="4F81BD" w:themeFill="accent1"/>
            <w:vAlign w:val="center"/>
            <w:hideMark/>
          </w:tcPr>
          <w:p w:rsidR="00AE0F80" w:rsidRPr="00BB489E" w:rsidRDefault="00AE0F80" w:rsidP="009F0F78">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2017թ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686" w:type="pct"/>
            <w:tcBorders>
              <w:top w:val="double" w:sz="4" w:space="0" w:color="auto"/>
              <w:left w:val="single" w:sz="8" w:space="0" w:color="auto"/>
              <w:bottom w:val="single" w:sz="8" w:space="0" w:color="auto"/>
              <w:right w:val="single" w:sz="8" w:space="0" w:color="auto"/>
            </w:tcBorders>
            <w:shd w:val="clear" w:color="auto" w:fill="4F81BD" w:themeFill="accent1"/>
            <w:tcMar>
              <w:top w:w="0" w:type="dxa"/>
              <w:left w:w="57" w:type="dxa"/>
              <w:bottom w:w="0" w:type="dxa"/>
              <w:right w:w="57" w:type="dxa"/>
            </w:tcMar>
            <w:vAlign w:val="center"/>
            <w:hideMark/>
          </w:tcPr>
          <w:p w:rsidR="00AE0F80" w:rsidRPr="00BB489E" w:rsidRDefault="00AE0F80" w:rsidP="009F0F78">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2018թ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651" w:type="pct"/>
            <w:tcBorders>
              <w:top w:val="double" w:sz="4" w:space="0" w:color="auto"/>
              <w:left w:val="single" w:sz="8" w:space="0" w:color="auto"/>
              <w:bottom w:val="single" w:sz="8" w:space="0" w:color="auto"/>
              <w:right w:val="single" w:sz="8" w:space="0" w:color="auto"/>
            </w:tcBorders>
            <w:shd w:val="clear" w:color="auto" w:fill="4F81BD" w:themeFill="accent1"/>
            <w:tcMar>
              <w:top w:w="0" w:type="dxa"/>
              <w:left w:w="57" w:type="dxa"/>
              <w:bottom w:w="0" w:type="dxa"/>
              <w:right w:w="57" w:type="dxa"/>
            </w:tcMar>
            <w:vAlign w:val="center"/>
            <w:hideMark/>
          </w:tcPr>
          <w:p w:rsidR="00AE0F80" w:rsidRPr="00BB489E" w:rsidRDefault="00AE0F80" w:rsidP="009F0F78">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2019թ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558" w:type="pct"/>
            <w:tcBorders>
              <w:top w:val="double" w:sz="4" w:space="0" w:color="auto"/>
              <w:left w:val="single" w:sz="8" w:space="0" w:color="auto"/>
              <w:bottom w:val="single" w:sz="8" w:space="0" w:color="auto"/>
              <w:right w:val="single" w:sz="8" w:space="0" w:color="auto"/>
            </w:tcBorders>
            <w:shd w:val="clear" w:color="auto" w:fill="4F81BD" w:themeFill="accent1"/>
            <w:vAlign w:val="center"/>
            <w:hideMark/>
          </w:tcPr>
          <w:p w:rsidR="00AE0F80" w:rsidRPr="00BB489E" w:rsidRDefault="00AE0F80" w:rsidP="009F0F78">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2020թ</w:t>
            </w:r>
            <w:r w:rsidRPr="00BB489E">
              <w:rPr>
                <w:rFonts w:ascii="MS Gothic" w:eastAsia="MS Gothic" w:hAnsi="MS Gothic" w:cs="MS Gothic" w:hint="eastAsia"/>
                <w:b w:val="0"/>
                <w:color w:val="FFFFFF" w:themeColor="background1"/>
                <w:sz w:val="20"/>
                <w:szCs w:val="20"/>
                <w:lang w:val="hy-AM"/>
              </w:rPr>
              <w:t>․</w:t>
            </w:r>
          </w:p>
        </w:tc>
        <w:tc>
          <w:tcPr>
            <w:tcW w:w="558" w:type="pct"/>
            <w:tcBorders>
              <w:top w:val="double" w:sz="4" w:space="0" w:color="auto"/>
              <w:left w:val="single" w:sz="8" w:space="0" w:color="auto"/>
              <w:bottom w:val="single" w:sz="8" w:space="0" w:color="auto"/>
              <w:right w:val="double" w:sz="4" w:space="0" w:color="auto"/>
            </w:tcBorders>
            <w:shd w:val="clear" w:color="auto" w:fill="4F81BD" w:themeFill="accent1"/>
            <w:vAlign w:val="center"/>
            <w:hideMark/>
          </w:tcPr>
          <w:p w:rsidR="00AE0F80" w:rsidRPr="00BB489E" w:rsidRDefault="00AE0F80" w:rsidP="009F0F78">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2021թ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նախագիծ</w:t>
            </w:r>
          </w:p>
        </w:tc>
      </w:tr>
      <w:tr w:rsidR="00AE0F80" w:rsidRPr="00BB489E" w:rsidTr="009F0F78">
        <w:trPr>
          <w:trHeight w:val="20"/>
        </w:trPr>
        <w:tc>
          <w:tcPr>
            <w:tcW w:w="1852"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rPr>
                <w:rFonts w:cs="Arial"/>
                <w:sz w:val="20"/>
                <w:szCs w:val="20"/>
                <w:lang w:val="hy-AM"/>
              </w:rPr>
            </w:pPr>
            <w:r w:rsidRPr="00BB489E">
              <w:rPr>
                <w:rFonts w:cs="Arial"/>
                <w:sz w:val="20"/>
                <w:szCs w:val="20"/>
                <w:lang w:val="hy-AM"/>
              </w:rPr>
              <w:t>ՏՆՏԵՍԱԿԱՆ ՈԼՈՐՏ ԸՆԴԱՄԵՆԸ</w:t>
            </w:r>
          </w:p>
        </w:tc>
        <w:tc>
          <w:tcPr>
            <w:tcW w:w="697"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sz w:val="20"/>
                <w:szCs w:val="20"/>
              </w:rPr>
            </w:pPr>
            <w:r w:rsidRPr="00BB489E">
              <w:rPr>
                <w:rFonts w:cs="Calibri"/>
                <w:bCs/>
                <w:sz w:val="20"/>
                <w:szCs w:val="20"/>
              </w:rPr>
              <w:t>147,537.7</w:t>
            </w:r>
          </w:p>
        </w:tc>
        <w:tc>
          <w:tcPr>
            <w:tcW w:w="68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sz w:val="20"/>
                <w:szCs w:val="20"/>
              </w:rPr>
            </w:pPr>
            <w:r w:rsidRPr="00BB489E">
              <w:rPr>
                <w:rFonts w:cs="Calibri"/>
                <w:bCs/>
                <w:sz w:val="20"/>
                <w:szCs w:val="20"/>
              </w:rPr>
              <w:t>129,599.4</w:t>
            </w:r>
          </w:p>
        </w:tc>
        <w:tc>
          <w:tcPr>
            <w:tcW w:w="65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sz w:val="20"/>
                <w:szCs w:val="20"/>
              </w:rPr>
            </w:pPr>
            <w:r w:rsidRPr="00BB489E">
              <w:rPr>
                <w:rFonts w:cs="Calibri"/>
                <w:bCs/>
                <w:sz w:val="20"/>
                <w:szCs w:val="20"/>
              </w:rPr>
              <w:t>133,980.8</w:t>
            </w:r>
          </w:p>
        </w:tc>
        <w:tc>
          <w:tcPr>
            <w:tcW w:w="558"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sz w:val="20"/>
                <w:szCs w:val="20"/>
              </w:rPr>
            </w:pPr>
            <w:r w:rsidRPr="00BB489E">
              <w:rPr>
                <w:rFonts w:cs="Calibri"/>
                <w:bCs/>
                <w:sz w:val="20"/>
                <w:szCs w:val="20"/>
              </w:rPr>
              <w:t>230,831.4</w:t>
            </w:r>
          </w:p>
        </w:tc>
        <w:tc>
          <w:tcPr>
            <w:tcW w:w="558"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sz w:val="20"/>
                <w:szCs w:val="20"/>
                <w:lang w:val="en-US"/>
              </w:rPr>
            </w:pPr>
            <w:r w:rsidRPr="00BB489E">
              <w:rPr>
                <w:rFonts w:cs="Calibri"/>
                <w:bCs/>
                <w:sz w:val="20"/>
                <w:szCs w:val="20"/>
                <w:lang w:val="en-US"/>
              </w:rPr>
              <w:t>174</w:t>
            </w:r>
            <w:r w:rsidRPr="00BB489E">
              <w:rPr>
                <w:rFonts w:cs="Calibri"/>
                <w:bCs/>
                <w:sz w:val="20"/>
                <w:szCs w:val="20"/>
              </w:rPr>
              <w:t>,</w:t>
            </w:r>
            <w:r w:rsidRPr="00BB489E">
              <w:rPr>
                <w:rFonts w:cs="Calibri"/>
                <w:bCs/>
                <w:sz w:val="20"/>
                <w:szCs w:val="20"/>
                <w:lang w:val="en-US"/>
              </w:rPr>
              <w:t>531</w:t>
            </w:r>
            <w:r w:rsidRPr="00BB489E">
              <w:rPr>
                <w:rFonts w:cs="Calibri"/>
                <w:bCs/>
                <w:sz w:val="20"/>
                <w:szCs w:val="20"/>
              </w:rPr>
              <w:t>.</w:t>
            </w:r>
            <w:r w:rsidRPr="00BB489E">
              <w:rPr>
                <w:rFonts w:cs="Calibri"/>
                <w:bCs/>
                <w:sz w:val="20"/>
                <w:szCs w:val="20"/>
                <w:lang w:val="en-US"/>
              </w:rPr>
              <w:t>2</w:t>
            </w:r>
          </w:p>
        </w:tc>
      </w:tr>
      <w:tr w:rsidR="00AE0F80" w:rsidRPr="00BB489E" w:rsidTr="009F0F78">
        <w:trPr>
          <w:trHeight w:val="20"/>
        </w:trPr>
        <w:tc>
          <w:tcPr>
            <w:tcW w:w="1852"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9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2.6</w:t>
            </w:r>
            <w:r w:rsidRPr="00C05F21">
              <w:rPr>
                <w:sz w:val="20"/>
                <w:szCs w:val="20"/>
              </w:rPr>
              <w:t>%</w:t>
            </w:r>
          </w:p>
        </w:tc>
        <w:tc>
          <w:tcPr>
            <w:tcW w:w="68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2.2</w:t>
            </w:r>
            <w:r w:rsidRPr="00C05F21">
              <w:rPr>
                <w:sz w:val="20"/>
                <w:szCs w:val="20"/>
              </w:rPr>
              <w:t>%</w:t>
            </w:r>
          </w:p>
        </w:tc>
        <w:tc>
          <w:tcPr>
            <w:tcW w:w="65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2.0</w:t>
            </w:r>
            <w:r w:rsidRPr="00C05F21">
              <w:rPr>
                <w:sz w:val="20"/>
                <w:szCs w:val="20"/>
              </w:rPr>
              <w:t>%</w:t>
            </w:r>
          </w:p>
        </w:tc>
        <w:tc>
          <w:tcPr>
            <w:tcW w:w="558"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3.7</w:t>
            </w:r>
            <w:r w:rsidRPr="00C05F21">
              <w:rPr>
                <w:sz w:val="20"/>
                <w:szCs w:val="20"/>
              </w:rPr>
              <w:t>%</w:t>
            </w:r>
          </w:p>
        </w:tc>
        <w:tc>
          <w:tcPr>
            <w:tcW w:w="558"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lang w:val="en-US"/>
              </w:rPr>
            </w:pPr>
            <w:r w:rsidRPr="00BB489E">
              <w:rPr>
                <w:rFonts w:cs="Arial"/>
                <w:b w:val="0"/>
                <w:color w:val="000000"/>
                <w:sz w:val="18"/>
                <w:szCs w:val="18"/>
              </w:rPr>
              <w:t>2.</w:t>
            </w:r>
            <w:r w:rsidRPr="00BB489E">
              <w:rPr>
                <w:rFonts w:cs="Arial"/>
                <w:b w:val="0"/>
                <w:color w:val="000000"/>
                <w:sz w:val="18"/>
                <w:szCs w:val="18"/>
                <w:lang w:val="en-US"/>
              </w:rPr>
              <w:t>7</w:t>
            </w:r>
            <w:r w:rsidRPr="00C05F21">
              <w:rPr>
                <w:sz w:val="20"/>
                <w:szCs w:val="20"/>
              </w:rPr>
              <w:t>%</w:t>
            </w:r>
          </w:p>
        </w:tc>
      </w:tr>
      <w:tr w:rsidR="00AE0F80" w:rsidRPr="00BB489E" w:rsidTr="009F0F78">
        <w:trPr>
          <w:trHeight w:val="961"/>
        </w:trPr>
        <w:tc>
          <w:tcPr>
            <w:tcW w:w="1852"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9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9.8</w:t>
            </w:r>
            <w:r w:rsidRPr="00C05F21">
              <w:rPr>
                <w:sz w:val="20"/>
                <w:szCs w:val="20"/>
              </w:rPr>
              <w:t>%</w:t>
            </w:r>
          </w:p>
        </w:tc>
        <w:tc>
          <w:tcPr>
            <w:tcW w:w="68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9.0</w:t>
            </w:r>
            <w:r w:rsidRPr="00C05F21">
              <w:rPr>
                <w:sz w:val="20"/>
                <w:szCs w:val="20"/>
              </w:rPr>
              <w:t>%</w:t>
            </w:r>
          </w:p>
        </w:tc>
        <w:tc>
          <w:tcPr>
            <w:tcW w:w="65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8.2</w:t>
            </w:r>
            <w:r w:rsidRPr="00C05F21">
              <w:rPr>
                <w:sz w:val="20"/>
                <w:szCs w:val="20"/>
              </w:rPr>
              <w:t>%</w:t>
            </w:r>
          </w:p>
        </w:tc>
        <w:tc>
          <w:tcPr>
            <w:tcW w:w="558"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12.4</w:t>
            </w:r>
            <w:r w:rsidRPr="00C05F21">
              <w:rPr>
                <w:sz w:val="20"/>
                <w:szCs w:val="20"/>
              </w:rPr>
              <w:t>%</w:t>
            </w:r>
          </w:p>
        </w:tc>
        <w:tc>
          <w:tcPr>
            <w:tcW w:w="558"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9.4</w:t>
            </w:r>
            <w:r w:rsidRPr="00C05F21">
              <w:rPr>
                <w:sz w:val="20"/>
                <w:szCs w:val="20"/>
              </w:rPr>
              <w:t>%</w:t>
            </w:r>
          </w:p>
        </w:tc>
      </w:tr>
      <w:tr w:rsidR="00AE0F80" w:rsidRPr="00BB489E" w:rsidTr="009F0F78">
        <w:trPr>
          <w:trHeight w:val="20"/>
        </w:trPr>
        <w:tc>
          <w:tcPr>
            <w:tcW w:w="1852"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rPr>
                <w:b w:val="0"/>
                <w:sz w:val="20"/>
                <w:szCs w:val="20"/>
                <w:lang w:val="hy-AM"/>
              </w:rPr>
            </w:pPr>
            <w:r w:rsidRPr="00BB489E">
              <w:rPr>
                <w:rFonts w:cs="Arial"/>
                <w:b w:val="0"/>
                <w:sz w:val="20"/>
                <w:szCs w:val="20"/>
              </w:rPr>
              <w:t>այդ</w:t>
            </w:r>
            <w:r w:rsidRPr="00BB489E">
              <w:rPr>
                <w:b w:val="0"/>
                <w:sz w:val="20"/>
                <w:szCs w:val="20"/>
              </w:rPr>
              <w:t xml:space="preserve"> </w:t>
            </w:r>
            <w:r w:rsidRPr="00BB489E">
              <w:rPr>
                <w:rFonts w:cs="Arial"/>
                <w:b w:val="0"/>
                <w:sz w:val="20"/>
                <w:szCs w:val="20"/>
              </w:rPr>
              <w:t>թվում</w:t>
            </w:r>
            <w:r w:rsidRPr="00BB489E">
              <w:rPr>
                <w:b w:val="0"/>
                <w:sz w:val="20"/>
                <w:szCs w:val="20"/>
              </w:rPr>
              <w:t>`</w:t>
            </w:r>
          </w:p>
        </w:tc>
        <w:tc>
          <w:tcPr>
            <w:tcW w:w="69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tcPr>
          <w:p w:rsidR="00AE0F80" w:rsidRPr="00BB489E" w:rsidRDefault="00AE0F80" w:rsidP="009F0F78">
            <w:pPr>
              <w:spacing w:before="0" w:line="276" w:lineRule="auto"/>
              <w:jc w:val="center"/>
              <w:rPr>
                <w:b w:val="0"/>
                <w:sz w:val="20"/>
                <w:szCs w:val="20"/>
              </w:rPr>
            </w:pPr>
          </w:p>
        </w:tc>
        <w:tc>
          <w:tcPr>
            <w:tcW w:w="68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tcPr>
          <w:p w:rsidR="00AE0F80" w:rsidRPr="00BB489E" w:rsidRDefault="00AE0F80" w:rsidP="009F0F78">
            <w:pPr>
              <w:spacing w:before="0" w:line="276" w:lineRule="auto"/>
              <w:jc w:val="center"/>
              <w:rPr>
                <w:b w:val="0"/>
                <w:sz w:val="20"/>
                <w:szCs w:val="20"/>
              </w:rPr>
            </w:pPr>
          </w:p>
        </w:tc>
        <w:tc>
          <w:tcPr>
            <w:tcW w:w="65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tcPr>
          <w:p w:rsidR="00AE0F80" w:rsidRPr="00BB489E" w:rsidRDefault="00AE0F80" w:rsidP="009F0F78">
            <w:pPr>
              <w:spacing w:before="0" w:line="276" w:lineRule="auto"/>
              <w:jc w:val="center"/>
              <w:rPr>
                <w:b w:val="0"/>
                <w:sz w:val="20"/>
                <w:szCs w:val="20"/>
              </w:rPr>
            </w:pPr>
          </w:p>
        </w:tc>
        <w:tc>
          <w:tcPr>
            <w:tcW w:w="558"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tcPr>
          <w:p w:rsidR="00AE0F80" w:rsidRPr="00BB489E" w:rsidRDefault="00AE0F80" w:rsidP="009F0F78">
            <w:pPr>
              <w:spacing w:before="0" w:line="276" w:lineRule="auto"/>
              <w:jc w:val="center"/>
              <w:rPr>
                <w:b w:val="0"/>
                <w:sz w:val="20"/>
                <w:szCs w:val="20"/>
              </w:rPr>
            </w:pPr>
          </w:p>
        </w:tc>
        <w:tc>
          <w:tcPr>
            <w:tcW w:w="558"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tcPr>
          <w:p w:rsidR="00AE0F80" w:rsidRPr="00BB489E" w:rsidRDefault="00AE0F80" w:rsidP="009F0F78">
            <w:pPr>
              <w:spacing w:before="0" w:line="276" w:lineRule="auto"/>
              <w:jc w:val="center"/>
              <w:rPr>
                <w:b w:val="0"/>
                <w:sz w:val="20"/>
                <w:szCs w:val="20"/>
              </w:rPr>
            </w:pPr>
          </w:p>
        </w:tc>
      </w:tr>
      <w:tr w:rsidR="00AE0F80" w:rsidRPr="00BB489E" w:rsidTr="009F0F78">
        <w:trPr>
          <w:trHeight w:val="20"/>
        </w:trPr>
        <w:tc>
          <w:tcPr>
            <w:tcW w:w="1852"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rPr>
                <w:sz w:val="20"/>
                <w:szCs w:val="20"/>
                <w:lang w:val="hy-AM"/>
              </w:rPr>
            </w:pPr>
            <w:r w:rsidRPr="00BB489E">
              <w:rPr>
                <w:sz w:val="20"/>
                <w:szCs w:val="20"/>
                <w:lang w:val="hy-AM"/>
              </w:rPr>
              <w:t>1.</w:t>
            </w:r>
            <w:r w:rsidRPr="00BB489E">
              <w:rPr>
                <w:rFonts w:cs="Arial"/>
                <w:sz w:val="20"/>
                <w:szCs w:val="20"/>
                <w:lang w:val="hy-AM"/>
              </w:rPr>
              <w:t>ՏՆՏԵՍԱԿԱՆ ՀԱՐԱԲԵՐՈՒԹՅՈՒՆՆԵՐ</w:t>
            </w:r>
          </w:p>
        </w:tc>
        <w:tc>
          <w:tcPr>
            <w:tcW w:w="697"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Cs/>
                <w:sz w:val="20"/>
                <w:szCs w:val="20"/>
              </w:rPr>
            </w:pPr>
            <w:r w:rsidRPr="00BB489E">
              <w:rPr>
                <w:rFonts w:cs="Calibri"/>
                <w:bCs/>
                <w:sz w:val="20"/>
                <w:szCs w:val="20"/>
              </w:rPr>
              <w:t>129,520.5</w:t>
            </w:r>
          </w:p>
        </w:tc>
        <w:tc>
          <w:tcPr>
            <w:tcW w:w="68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bCs/>
                <w:sz w:val="20"/>
                <w:szCs w:val="20"/>
              </w:rPr>
            </w:pPr>
            <w:r w:rsidRPr="00BB489E">
              <w:rPr>
                <w:rFonts w:cs="Calibri"/>
                <w:bCs/>
                <w:sz w:val="20"/>
                <w:szCs w:val="20"/>
              </w:rPr>
              <w:t>112,199.5</w:t>
            </w:r>
          </w:p>
        </w:tc>
        <w:tc>
          <w:tcPr>
            <w:tcW w:w="65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bCs/>
                <w:sz w:val="20"/>
                <w:szCs w:val="20"/>
              </w:rPr>
            </w:pPr>
            <w:r w:rsidRPr="00BB489E">
              <w:rPr>
                <w:rFonts w:cs="Calibri"/>
                <w:bCs/>
                <w:sz w:val="20"/>
                <w:szCs w:val="20"/>
              </w:rPr>
              <w:t>111,916.2</w:t>
            </w:r>
          </w:p>
        </w:tc>
        <w:tc>
          <w:tcPr>
            <w:tcW w:w="558"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Cs/>
                <w:sz w:val="20"/>
                <w:szCs w:val="20"/>
              </w:rPr>
            </w:pPr>
            <w:r w:rsidRPr="00BB489E">
              <w:rPr>
                <w:rFonts w:cs="Calibri"/>
                <w:bCs/>
                <w:sz w:val="20"/>
                <w:szCs w:val="20"/>
              </w:rPr>
              <w:t>195,608.6</w:t>
            </w:r>
          </w:p>
        </w:tc>
        <w:tc>
          <w:tcPr>
            <w:tcW w:w="558"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Cs/>
                <w:sz w:val="20"/>
                <w:szCs w:val="20"/>
                <w:lang w:val="en-US"/>
              </w:rPr>
            </w:pPr>
            <w:r w:rsidRPr="00BB489E">
              <w:rPr>
                <w:rFonts w:cs="Calibri"/>
                <w:bCs/>
                <w:sz w:val="20"/>
                <w:szCs w:val="20"/>
              </w:rPr>
              <w:t>1</w:t>
            </w:r>
            <w:r w:rsidRPr="00BB489E">
              <w:rPr>
                <w:rFonts w:cs="Calibri"/>
                <w:bCs/>
                <w:sz w:val="20"/>
                <w:szCs w:val="20"/>
                <w:lang w:val="en-US"/>
              </w:rPr>
              <w:t>48</w:t>
            </w:r>
            <w:r w:rsidRPr="00BB489E">
              <w:rPr>
                <w:rFonts w:cs="Calibri"/>
                <w:bCs/>
                <w:sz w:val="20"/>
                <w:szCs w:val="20"/>
              </w:rPr>
              <w:t>,</w:t>
            </w:r>
            <w:r w:rsidRPr="00BB489E">
              <w:rPr>
                <w:rFonts w:cs="Calibri"/>
                <w:bCs/>
                <w:sz w:val="20"/>
                <w:szCs w:val="20"/>
                <w:lang w:val="en-US"/>
              </w:rPr>
              <w:t>944</w:t>
            </w:r>
            <w:r w:rsidRPr="00BB489E">
              <w:rPr>
                <w:rFonts w:cs="Calibri"/>
                <w:bCs/>
                <w:sz w:val="20"/>
                <w:szCs w:val="20"/>
              </w:rPr>
              <w:t>.</w:t>
            </w:r>
            <w:r w:rsidRPr="00BB489E">
              <w:rPr>
                <w:rFonts w:cs="Calibri"/>
                <w:bCs/>
                <w:sz w:val="20"/>
                <w:szCs w:val="20"/>
                <w:lang w:val="en-US"/>
              </w:rPr>
              <w:t>2</w:t>
            </w:r>
          </w:p>
        </w:tc>
      </w:tr>
      <w:tr w:rsidR="00AE0F80" w:rsidRPr="00BB489E" w:rsidTr="009F0F78">
        <w:trPr>
          <w:trHeight w:val="20"/>
        </w:trPr>
        <w:tc>
          <w:tcPr>
            <w:tcW w:w="1852" w:type="pct"/>
            <w:tcBorders>
              <w:top w:val="single" w:sz="8" w:space="0" w:color="auto"/>
              <w:left w:val="double" w:sz="4"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AE0F80" w:rsidRPr="00BB489E" w:rsidRDefault="00AE0F80" w:rsidP="009F0F78">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9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2.33</w:t>
            </w:r>
            <w:r w:rsidRPr="00C05F21">
              <w:rPr>
                <w:sz w:val="20"/>
                <w:szCs w:val="20"/>
              </w:rPr>
              <w:t>%</w:t>
            </w:r>
          </w:p>
        </w:tc>
        <w:tc>
          <w:tcPr>
            <w:tcW w:w="686"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1.86</w:t>
            </w:r>
            <w:r w:rsidRPr="00C05F21">
              <w:rPr>
                <w:sz w:val="20"/>
                <w:szCs w:val="20"/>
              </w:rPr>
              <w:t>%</w:t>
            </w:r>
          </w:p>
        </w:tc>
        <w:tc>
          <w:tcPr>
            <w:tcW w:w="651"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1.70</w:t>
            </w:r>
            <w:r w:rsidRPr="00C05F21">
              <w:rPr>
                <w:sz w:val="20"/>
                <w:szCs w:val="20"/>
              </w:rPr>
              <w:t>%</w:t>
            </w:r>
          </w:p>
        </w:tc>
        <w:tc>
          <w:tcPr>
            <w:tcW w:w="558"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3.13</w:t>
            </w:r>
            <w:r w:rsidRPr="00C05F21">
              <w:rPr>
                <w:sz w:val="20"/>
                <w:szCs w:val="20"/>
              </w:rPr>
              <w:t>%</w:t>
            </w:r>
          </w:p>
        </w:tc>
        <w:tc>
          <w:tcPr>
            <w:tcW w:w="558" w:type="pct"/>
            <w:tcBorders>
              <w:top w:val="single" w:sz="8" w:space="0" w:color="auto"/>
              <w:left w:val="single" w:sz="8" w:space="0" w:color="auto"/>
              <w:bottom w:val="single" w:sz="8" w:space="0" w:color="auto"/>
              <w:right w:val="double" w:sz="4" w:space="0" w:color="auto"/>
            </w:tcBorders>
            <w:shd w:val="clear" w:color="auto" w:fill="FFFFFF"/>
            <w:vAlign w:val="center"/>
            <w:hideMark/>
          </w:tcPr>
          <w:p w:rsidR="00AE0F80" w:rsidRPr="00BB489E" w:rsidRDefault="00AE0F80" w:rsidP="009F0F78">
            <w:pPr>
              <w:spacing w:before="0" w:line="276" w:lineRule="auto"/>
              <w:ind w:firstLine="0"/>
              <w:jc w:val="center"/>
              <w:rPr>
                <w:rFonts w:cs="Arial"/>
                <w:b w:val="0"/>
                <w:color w:val="000000"/>
                <w:sz w:val="18"/>
                <w:szCs w:val="18"/>
                <w:lang w:val="en-US"/>
              </w:rPr>
            </w:pPr>
            <w:r w:rsidRPr="00BB489E">
              <w:rPr>
                <w:rFonts w:cs="Arial"/>
                <w:b w:val="0"/>
                <w:color w:val="000000"/>
                <w:sz w:val="18"/>
                <w:szCs w:val="18"/>
              </w:rPr>
              <w:t>2.</w:t>
            </w:r>
            <w:r w:rsidRPr="00BB489E">
              <w:rPr>
                <w:rFonts w:cs="Arial"/>
                <w:b w:val="0"/>
                <w:color w:val="000000"/>
                <w:sz w:val="18"/>
                <w:szCs w:val="18"/>
                <w:lang w:val="en-US"/>
              </w:rPr>
              <w:t>33</w:t>
            </w:r>
            <w:r w:rsidRPr="00C05F21">
              <w:rPr>
                <w:sz w:val="20"/>
                <w:szCs w:val="20"/>
              </w:rPr>
              <w:t>%</w:t>
            </w:r>
          </w:p>
        </w:tc>
      </w:tr>
      <w:tr w:rsidR="00AE0F80" w:rsidRPr="00BB489E" w:rsidTr="009F0F78">
        <w:trPr>
          <w:trHeight w:val="20"/>
        </w:trPr>
        <w:tc>
          <w:tcPr>
            <w:tcW w:w="1852" w:type="pct"/>
            <w:tcBorders>
              <w:top w:val="single" w:sz="8" w:space="0" w:color="auto"/>
              <w:left w:val="double" w:sz="4"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AE0F80" w:rsidRPr="00BB489E" w:rsidRDefault="00AE0F80" w:rsidP="009F0F78">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9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8.6</w:t>
            </w:r>
            <w:r w:rsidRPr="00C05F21">
              <w:rPr>
                <w:sz w:val="20"/>
                <w:szCs w:val="20"/>
              </w:rPr>
              <w:t>%</w:t>
            </w:r>
          </w:p>
        </w:tc>
        <w:tc>
          <w:tcPr>
            <w:tcW w:w="686"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7.8</w:t>
            </w:r>
            <w:r w:rsidRPr="00C05F21">
              <w:rPr>
                <w:sz w:val="20"/>
                <w:szCs w:val="20"/>
              </w:rPr>
              <w:t>%</w:t>
            </w:r>
          </w:p>
        </w:tc>
        <w:tc>
          <w:tcPr>
            <w:tcW w:w="651"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6.9</w:t>
            </w:r>
            <w:r w:rsidRPr="00C05F21">
              <w:rPr>
                <w:sz w:val="20"/>
                <w:szCs w:val="20"/>
              </w:rPr>
              <w:t>%</w:t>
            </w:r>
          </w:p>
        </w:tc>
        <w:tc>
          <w:tcPr>
            <w:tcW w:w="558"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10.5</w:t>
            </w:r>
            <w:r w:rsidRPr="00C05F21">
              <w:rPr>
                <w:sz w:val="20"/>
                <w:szCs w:val="20"/>
              </w:rPr>
              <w:t>%</w:t>
            </w:r>
          </w:p>
        </w:tc>
        <w:tc>
          <w:tcPr>
            <w:tcW w:w="558" w:type="pct"/>
            <w:tcBorders>
              <w:top w:val="single" w:sz="8" w:space="0" w:color="auto"/>
              <w:left w:val="single" w:sz="8" w:space="0" w:color="auto"/>
              <w:bottom w:val="single" w:sz="8" w:space="0" w:color="auto"/>
              <w:right w:val="double" w:sz="4" w:space="0" w:color="auto"/>
            </w:tcBorders>
            <w:shd w:val="clear" w:color="auto" w:fill="FFFFFF"/>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8.0</w:t>
            </w:r>
            <w:r w:rsidRPr="00C05F21">
              <w:rPr>
                <w:sz w:val="20"/>
                <w:szCs w:val="20"/>
              </w:rPr>
              <w:t>%</w:t>
            </w:r>
          </w:p>
        </w:tc>
      </w:tr>
      <w:tr w:rsidR="00AE0F80" w:rsidRPr="00BB489E" w:rsidTr="009F0F78">
        <w:trPr>
          <w:trHeight w:val="20"/>
        </w:trPr>
        <w:tc>
          <w:tcPr>
            <w:tcW w:w="1852"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left"/>
              <w:rPr>
                <w:sz w:val="20"/>
                <w:szCs w:val="20"/>
              </w:rPr>
            </w:pPr>
            <w:r w:rsidRPr="00BB489E">
              <w:rPr>
                <w:sz w:val="20"/>
                <w:szCs w:val="20"/>
              </w:rPr>
              <w:t>2.</w:t>
            </w:r>
            <w:r w:rsidRPr="00BB489E">
              <w:rPr>
                <w:bCs/>
                <w:sz w:val="20"/>
                <w:szCs w:val="20"/>
              </w:rPr>
              <w:t>ՇՐՋԱԿԱ  ՄԻՋԱՎԱՅՐԻ ՊԱՇՏՊԱՆՈՒԹՅՈՒՆ</w:t>
            </w:r>
          </w:p>
        </w:tc>
        <w:tc>
          <w:tcPr>
            <w:tcW w:w="697"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Cs/>
                <w:sz w:val="20"/>
                <w:szCs w:val="20"/>
              </w:rPr>
            </w:pPr>
            <w:r w:rsidRPr="00BB489E">
              <w:rPr>
                <w:rFonts w:cs="Calibri"/>
                <w:bCs/>
                <w:sz w:val="20"/>
                <w:szCs w:val="20"/>
              </w:rPr>
              <w:t>5,406.6</w:t>
            </w:r>
          </w:p>
        </w:tc>
        <w:tc>
          <w:tcPr>
            <w:tcW w:w="68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bCs/>
                <w:sz w:val="20"/>
                <w:szCs w:val="20"/>
              </w:rPr>
            </w:pPr>
            <w:r w:rsidRPr="00BB489E">
              <w:rPr>
                <w:rFonts w:cs="Calibri"/>
                <w:bCs/>
                <w:sz w:val="20"/>
                <w:szCs w:val="20"/>
              </w:rPr>
              <w:t>5,690.8</w:t>
            </w:r>
          </w:p>
        </w:tc>
        <w:tc>
          <w:tcPr>
            <w:tcW w:w="65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bCs/>
                <w:sz w:val="20"/>
                <w:szCs w:val="20"/>
              </w:rPr>
            </w:pPr>
            <w:r w:rsidRPr="00BB489E">
              <w:rPr>
                <w:rFonts w:cs="Calibri"/>
                <w:bCs/>
                <w:sz w:val="20"/>
                <w:szCs w:val="20"/>
              </w:rPr>
              <w:t>5,816.9</w:t>
            </w:r>
          </w:p>
        </w:tc>
        <w:tc>
          <w:tcPr>
            <w:tcW w:w="558"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Cs/>
                <w:sz w:val="20"/>
                <w:szCs w:val="20"/>
              </w:rPr>
            </w:pPr>
            <w:r w:rsidRPr="00BB489E">
              <w:rPr>
                <w:rFonts w:cs="Calibri"/>
                <w:bCs/>
                <w:sz w:val="20"/>
                <w:szCs w:val="20"/>
              </w:rPr>
              <w:t>12,294.4</w:t>
            </w:r>
          </w:p>
        </w:tc>
        <w:tc>
          <w:tcPr>
            <w:tcW w:w="558"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Cs/>
                <w:sz w:val="20"/>
                <w:szCs w:val="20"/>
                <w:lang w:val="en-US"/>
              </w:rPr>
            </w:pPr>
            <w:r w:rsidRPr="00BB489E">
              <w:rPr>
                <w:rFonts w:cs="Calibri"/>
                <w:bCs/>
                <w:sz w:val="20"/>
                <w:szCs w:val="20"/>
              </w:rPr>
              <w:t>10,</w:t>
            </w:r>
            <w:r w:rsidRPr="00BB489E">
              <w:rPr>
                <w:rFonts w:cs="Calibri"/>
                <w:bCs/>
                <w:sz w:val="20"/>
                <w:szCs w:val="20"/>
                <w:lang w:val="en-US"/>
              </w:rPr>
              <w:t>892</w:t>
            </w:r>
            <w:r w:rsidRPr="00BB489E">
              <w:rPr>
                <w:rFonts w:cs="Calibri"/>
                <w:bCs/>
                <w:sz w:val="20"/>
                <w:szCs w:val="20"/>
              </w:rPr>
              <w:t>.</w:t>
            </w:r>
            <w:r w:rsidRPr="00BB489E">
              <w:rPr>
                <w:rFonts w:cs="Calibri"/>
                <w:bCs/>
                <w:sz w:val="20"/>
                <w:szCs w:val="20"/>
                <w:lang w:val="en-US"/>
              </w:rPr>
              <w:t>1</w:t>
            </w:r>
          </w:p>
        </w:tc>
      </w:tr>
      <w:tr w:rsidR="00AE0F80" w:rsidRPr="00BB489E" w:rsidTr="009F0F78">
        <w:trPr>
          <w:trHeight w:val="20"/>
        </w:trPr>
        <w:tc>
          <w:tcPr>
            <w:tcW w:w="1852"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9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0.10</w:t>
            </w:r>
            <w:r w:rsidRPr="00C05F21">
              <w:rPr>
                <w:sz w:val="20"/>
                <w:szCs w:val="20"/>
              </w:rPr>
              <w:t>%</w:t>
            </w:r>
          </w:p>
        </w:tc>
        <w:tc>
          <w:tcPr>
            <w:tcW w:w="68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0.09</w:t>
            </w:r>
            <w:r w:rsidRPr="00C05F21">
              <w:rPr>
                <w:sz w:val="20"/>
                <w:szCs w:val="20"/>
              </w:rPr>
              <w:t>%</w:t>
            </w:r>
          </w:p>
        </w:tc>
        <w:tc>
          <w:tcPr>
            <w:tcW w:w="65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0.09</w:t>
            </w:r>
            <w:r w:rsidRPr="00C05F21">
              <w:rPr>
                <w:sz w:val="20"/>
                <w:szCs w:val="20"/>
              </w:rPr>
              <w:t>%</w:t>
            </w:r>
          </w:p>
        </w:tc>
        <w:tc>
          <w:tcPr>
            <w:tcW w:w="558"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0.20</w:t>
            </w:r>
            <w:r w:rsidRPr="00C05F21">
              <w:rPr>
                <w:sz w:val="20"/>
                <w:szCs w:val="20"/>
              </w:rPr>
              <w:t>%</w:t>
            </w:r>
          </w:p>
        </w:tc>
        <w:tc>
          <w:tcPr>
            <w:tcW w:w="558"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lang w:val="en-US"/>
              </w:rPr>
            </w:pPr>
            <w:r w:rsidRPr="00BB489E">
              <w:rPr>
                <w:rFonts w:cs="Arial"/>
                <w:b w:val="0"/>
                <w:color w:val="000000"/>
                <w:sz w:val="18"/>
                <w:szCs w:val="18"/>
              </w:rPr>
              <w:t>0.1</w:t>
            </w:r>
            <w:r w:rsidRPr="00BB489E">
              <w:rPr>
                <w:rFonts w:cs="Arial"/>
                <w:b w:val="0"/>
                <w:color w:val="000000"/>
                <w:sz w:val="18"/>
                <w:szCs w:val="18"/>
                <w:lang w:val="en-US"/>
              </w:rPr>
              <w:t>7</w:t>
            </w:r>
            <w:r w:rsidRPr="00C05F21">
              <w:rPr>
                <w:sz w:val="20"/>
                <w:szCs w:val="20"/>
              </w:rPr>
              <w:t>%</w:t>
            </w:r>
          </w:p>
        </w:tc>
      </w:tr>
      <w:tr w:rsidR="00AE0F80" w:rsidRPr="00BB489E" w:rsidTr="009F0F78">
        <w:trPr>
          <w:trHeight w:val="20"/>
        </w:trPr>
        <w:tc>
          <w:tcPr>
            <w:tcW w:w="1852"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9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0.36</w:t>
            </w:r>
            <w:r w:rsidRPr="00C05F21">
              <w:rPr>
                <w:sz w:val="20"/>
                <w:szCs w:val="20"/>
              </w:rPr>
              <w:t>%</w:t>
            </w:r>
          </w:p>
        </w:tc>
        <w:tc>
          <w:tcPr>
            <w:tcW w:w="68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0.39</w:t>
            </w:r>
            <w:r w:rsidRPr="00C05F21">
              <w:rPr>
                <w:sz w:val="20"/>
                <w:szCs w:val="20"/>
              </w:rPr>
              <w:t>%</w:t>
            </w:r>
          </w:p>
        </w:tc>
        <w:tc>
          <w:tcPr>
            <w:tcW w:w="65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0.36</w:t>
            </w:r>
            <w:r w:rsidRPr="00C05F21">
              <w:rPr>
                <w:sz w:val="20"/>
                <w:szCs w:val="20"/>
              </w:rPr>
              <w:t>%</w:t>
            </w:r>
          </w:p>
        </w:tc>
        <w:tc>
          <w:tcPr>
            <w:tcW w:w="558"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0.66</w:t>
            </w:r>
            <w:r w:rsidRPr="00C05F21">
              <w:rPr>
                <w:sz w:val="20"/>
                <w:szCs w:val="20"/>
              </w:rPr>
              <w:t>%</w:t>
            </w:r>
          </w:p>
        </w:tc>
        <w:tc>
          <w:tcPr>
            <w:tcW w:w="558"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lang w:val="en-US"/>
              </w:rPr>
            </w:pPr>
            <w:r w:rsidRPr="00BB489E">
              <w:rPr>
                <w:rFonts w:cs="Arial"/>
                <w:b w:val="0"/>
                <w:color w:val="000000"/>
                <w:sz w:val="18"/>
                <w:szCs w:val="18"/>
              </w:rPr>
              <w:t>0.5</w:t>
            </w:r>
            <w:r w:rsidRPr="00BB489E">
              <w:rPr>
                <w:rFonts w:cs="Arial"/>
                <w:b w:val="0"/>
                <w:color w:val="000000"/>
                <w:sz w:val="18"/>
                <w:szCs w:val="18"/>
                <w:lang w:val="en-US"/>
              </w:rPr>
              <w:t>9</w:t>
            </w:r>
            <w:r w:rsidRPr="00C05F21">
              <w:rPr>
                <w:sz w:val="20"/>
                <w:szCs w:val="20"/>
              </w:rPr>
              <w:t>%</w:t>
            </w:r>
          </w:p>
        </w:tc>
      </w:tr>
      <w:tr w:rsidR="00AE0F80" w:rsidRPr="00BB489E" w:rsidTr="009F0F78">
        <w:trPr>
          <w:trHeight w:val="20"/>
        </w:trPr>
        <w:tc>
          <w:tcPr>
            <w:tcW w:w="1852"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left"/>
              <w:rPr>
                <w:sz w:val="20"/>
                <w:szCs w:val="20"/>
                <w:lang w:val="hy-AM"/>
              </w:rPr>
            </w:pPr>
            <w:r w:rsidRPr="00E445D5">
              <w:rPr>
                <w:sz w:val="20"/>
                <w:szCs w:val="20"/>
              </w:rPr>
              <w:t>3</w:t>
            </w:r>
            <w:r w:rsidRPr="00BB489E">
              <w:rPr>
                <w:sz w:val="20"/>
                <w:szCs w:val="20"/>
                <w:lang w:val="hy-AM"/>
              </w:rPr>
              <w:t xml:space="preserve">. </w:t>
            </w:r>
            <w:r w:rsidRPr="00BB489E">
              <w:rPr>
                <w:bCs/>
                <w:sz w:val="20"/>
                <w:szCs w:val="20"/>
              </w:rPr>
              <w:t>ԲՆԱԿԱՐԱՆԱՅԻՆ</w:t>
            </w:r>
            <w:r w:rsidRPr="00E445D5">
              <w:rPr>
                <w:bCs/>
                <w:sz w:val="20"/>
                <w:szCs w:val="20"/>
              </w:rPr>
              <w:t xml:space="preserve"> </w:t>
            </w:r>
            <w:r w:rsidRPr="00BB489E">
              <w:rPr>
                <w:bCs/>
                <w:sz w:val="20"/>
                <w:szCs w:val="20"/>
              </w:rPr>
              <w:t>ՇԻՆԱՐԱՐՈՒԹՅՈՒՆ</w:t>
            </w:r>
            <w:r w:rsidRPr="00E445D5">
              <w:rPr>
                <w:bCs/>
                <w:sz w:val="20"/>
                <w:szCs w:val="20"/>
              </w:rPr>
              <w:t xml:space="preserve"> </w:t>
            </w:r>
            <w:r w:rsidRPr="00BB489E">
              <w:rPr>
                <w:bCs/>
                <w:sz w:val="20"/>
                <w:szCs w:val="20"/>
              </w:rPr>
              <w:t>ԵՎ</w:t>
            </w:r>
            <w:r w:rsidRPr="00E445D5">
              <w:rPr>
                <w:bCs/>
                <w:sz w:val="20"/>
                <w:szCs w:val="20"/>
              </w:rPr>
              <w:t xml:space="preserve"> </w:t>
            </w:r>
            <w:r w:rsidRPr="00BB489E">
              <w:rPr>
                <w:bCs/>
                <w:sz w:val="20"/>
                <w:szCs w:val="20"/>
              </w:rPr>
              <w:t>ԿՈՄՈՒՆԱԼ</w:t>
            </w:r>
            <w:r w:rsidRPr="00E445D5">
              <w:rPr>
                <w:bCs/>
                <w:sz w:val="20"/>
                <w:szCs w:val="20"/>
              </w:rPr>
              <w:t xml:space="preserve"> </w:t>
            </w:r>
            <w:r w:rsidRPr="00BB489E">
              <w:rPr>
                <w:bCs/>
                <w:sz w:val="20"/>
                <w:szCs w:val="20"/>
              </w:rPr>
              <w:t>ԾԱՌԱՅՈՒԹՅՈՒՆՆԵՐ</w:t>
            </w:r>
          </w:p>
        </w:tc>
        <w:tc>
          <w:tcPr>
            <w:tcW w:w="697"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Cs/>
                <w:sz w:val="20"/>
                <w:szCs w:val="20"/>
              </w:rPr>
            </w:pPr>
            <w:r w:rsidRPr="00BB489E">
              <w:rPr>
                <w:rFonts w:cs="Calibri"/>
                <w:bCs/>
                <w:sz w:val="20"/>
                <w:szCs w:val="20"/>
              </w:rPr>
              <w:t>12,610.5</w:t>
            </w:r>
          </w:p>
        </w:tc>
        <w:tc>
          <w:tcPr>
            <w:tcW w:w="686"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bCs/>
                <w:sz w:val="20"/>
                <w:szCs w:val="20"/>
              </w:rPr>
            </w:pPr>
            <w:r w:rsidRPr="00BB489E">
              <w:rPr>
                <w:rFonts w:cs="Calibri"/>
                <w:bCs/>
                <w:sz w:val="20"/>
                <w:szCs w:val="20"/>
              </w:rPr>
              <w:t>11,709.0</w:t>
            </w:r>
          </w:p>
        </w:tc>
        <w:tc>
          <w:tcPr>
            <w:tcW w:w="65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bCs/>
                <w:sz w:val="20"/>
                <w:szCs w:val="20"/>
              </w:rPr>
            </w:pPr>
            <w:r w:rsidRPr="00BB489E">
              <w:rPr>
                <w:rFonts w:cs="Calibri"/>
                <w:bCs/>
                <w:sz w:val="20"/>
                <w:szCs w:val="20"/>
              </w:rPr>
              <w:t>16,247.5</w:t>
            </w:r>
          </w:p>
        </w:tc>
        <w:tc>
          <w:tcPr>
            <w:tcW w:w="558"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Cs/>
                <w:sz w:val="20"/>
                <w:szCs w:val="20"/>
              </w:rPr>
            </w:pPr>
            <w:r w:rsidRPr="00BB489E">
              <w:rPr>
                <w:rFonts w:cs="Calibri"/>
                <w:bCs/>
                <w:sz w:val="20"/>
                <w:szCs w:val="20"/>
              </w:rPr>
              <w:t>22,928.2</w:t>
            </w:r>
          </w:p>
        </w:tc>
        <w:tc>
          <w:tcPr>
            <w:tcW w:w="558"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bCs/>
                <w:sz w:val="20"/>
                <w:szCs w:val="20"/>
                <w:lang w:val="en-US"/>
              </w:rPr>
            </w:pPr>
            <w:r w:rsidRPr="00BB489E">
              <w:rPr>
                <w:rFonts w:cs="Calibri"/>
                <w:bCs/>
                <w:sz w:val="20"/>
                <w:szCs w:val="20"/>
              </w:rPr>
              <w:t>14,</w:t>
            </w:r>
            <w:r w:rsidRPr="00BB489E">
              <w:rPr>
                <w:rFonts w:cs="Calibri"/>
                <w:bCs/>
                <w:sz w:val="20"/>
                <w:szCs w:val="20"/>
                <w:lang w:val="en-US"/>
              </w:rPr>
              <w:t>694</w:t>
            </w:r>
            <w:r w:rsidRPr="00BB489E">
              <w:rPr>
                <w:rFonts w:cs="Calibri"/>
                <w:bCs/>
                <w:sz w:val="20"/>
                <w:szCs w:val="20"/>
              </w:rPr>
              <w:t>.</w:t>
            </w:r>
            <w:r w:rsidRPr="00BB489E">
              <w:rPr>
                <w:rFonts w:cs="Calibri"/>
                <w:bCs/>
                <w:sz w:val="20"/>
                <w:szCs w:val="20"/>
                <w:lang w:val="en-US"/>
              </w:rPr>
              <w:t>9</w:t>
            </w:r>
          </w:p>
        </w:tc>
      </w:tr>
      <w:tr w:rsidR="00AE0F80" w:rsidRPr="00BB489E" w:rsidTr="009F0F78">
        <w:trPr>
          <w:trHeight w:val="20"/>
        </w:trPr>
        <w:tc>
          <w:tcPr>
            <w:tcW w:w="1852"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9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0.23</w:t>
            </w:r>
            <w:r w:rsidRPr="00C05F21">
              <w:rPr>
                <w:sz w:val="20"/>
                <w:szCs w:val="20"/>
              </w:rPr>
              <w:t>%</w:t>
            </w:r>
          </w:p>
        </w:tc>
        <w:tc>
          <w:tcPr>
            <w:tcW w:w="686"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0.19</w:t>
            </w:r>
            <w:r w:rsidRPr="00C05F21">
              <w:rPr>
                <w:sz w:val="20"/>
                <w:szCs w:val="20"/>
              </w:rPr>
              <w:t>%</w:t>
            </w:r>
          </w:p>
        </w:tc>
        <w:tc>
          <w:tcPr>
            <w:tcW w:w="65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0.25</w:t>
            </w:r>
            <w:r w:rsidRPr="00C05F21">
              <w:rPr>
                <w:sz w:val="20"/>
                <w:szCs w:val="20"/>
              </w:rPr>
              <w:t>%</w:t>
            </w:r>
          </w:p>
        </w:tc>
        <w:tc>
          <w:tcPr>
            <w:tcW w:w="558"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0.37</w:t>
            </w:r>
            <w:r w:rsidRPr="00C05F21">
              <w:rPr>
                <w:sz w:val="20"/>
                <w:szCs w:val="20"/>
              </w:rPr>
              <w:t>%</w:t>
            </w:r>
          </w:p>
        </w:tc>
        <w:tc>
          <w:tcPr>
            <w:tcW w:w="558"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lang w:val="en-US"/>
              </w:rPr>
            </w:pPr>
            <w:r w:rsidRPr="00BB489E">
              <w:rPr>
                <w:rFonts w:cs="Arial"/>
                <w:b w:val="0"/>
                <w:color w:val="000000"/>
                <w:sz w:val="18"/>
                <w:szCs w:val="18"/>
              </w:rPr>
              <w:t>0.2</w:t>
            </w:r>
            <w:r w:rsidRPr="00BB489E">
              <w:rPr>
                <w:rFonts w:cs="Arial"/>
                <w:b w:val="0"/>
                <w:color w:val="000000"/>
                <w:sz w:val="18"/>
                <w:szCs w:val="18"/>
                <w:lang w:val="en-US"/>
              </w:rPr>
              <w:t>3</w:t>
            </w:r>
            <w:r w:rsidRPr="00C05F21">
              <w:rPr>
                <w:sz w:val="20"/>
                <w:szCs w:val="20"/>
              </w:rPr>
              <w:t>%</w:t>
            </w:r>
          </w:p>
        </w:tc>
      </w:tr>
      <w:tr w:rsidR="00AE0F80" w:rsidRPr="00BB489E" w:rsidTr="009F0F78">
        <w:trPr>
          <w:trHeight w:val="20"/>
        </w:trPr>
        <w:tc>
          <w:tcPr>
            <w:tcW w:w="1852" w:type="pct"/>
            <w:tcBorders>
              <w:top w:val="single" w:sz="8" w:space="0" w:color="auto"/>
              <w:left w:val="double" w:sz="4" w:space="0" w:color="auto"/>
              <w:bottom w:val="double" w:sz="4"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97" w:type="pct"/>
            <w:tcBorders>
              <w:top w:val="single" w:sz="8" w:space="0" w:color="auto"/>
              <w:left w:val="single" w:sz="8" w:space="0" w:color="auto"/>
              <w:bottom w:val="double" w:sz="4" w:space="0" w:color="auto"/>
              <w:right w:val="single" w:sz="8"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0.84</w:t>
            </w:r>
            <w:r w:rsidRPr="00C05F21">
              <w:rPr>
                <w:sz w:val="20"/>
                <w:szCs w:val="20"/>
              </w:rPr>
              <w:t>%</w:t>
            </w:r>
          </w:p>
        </w:tc>
        <w:tc>
          <w:tcPr>
            <w:tcW w:w="686" w:type="pct"/>
            <w:tcBorders>
              <w:top w:val="single" w:sz="8" w:space="0" w:color="auto"/>
              <w:left w:val="single" w:sz="8" w:space="0" w:color="auto"/>
              <w:bottom w:val="double" w:sz="4"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0.81</w:t>
            </w:r>
            <w:r w:rsidRPr="00C05F21">
              <w:rPr>
                <w:sz w:val="20"/>
                <w:szCs w:val="20"/>
              </w:rPr>
              <w:t>%</w:t>
            </w:r>
          </w:p>
        </w:tc>
        <w:tc>
          <w:tcPr>
            <w:tcW w:w="651" w:type="pct"/>
            <w:tcBorders>
              <w:top w:val="single" w:sz="8" w:space="0" w:color="auto"/>
              <w:left w:val="single" w:sz="8" w:space="0" w:color="auto"/>
              <w:bottom w:val="double" w:sz="4" w:space="0" w:color="auto"/>
              <w:right w:val="single" w:sz="8" w:space="0" w:color="auto"/>
            </w:tcBorders>
            <w:shd w:val="solid" w:color="FFFFFF" w:fill="auto"/>
            <w:tcMar>
              <w:top w:w="0" w:type="dxa"/>
              <w:left w:w="57" w:type="dxa"/>
              <w:bottom w:w="0" w:type="dxa"/>
              <w:right w:w="85"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1.00</w:t>
            </w:r>
            <w:r w:rsidRPr="00C05F21">
              <w:rPr>
                <w:sz w:val="20"/>
                <w:szCs w:val="20"/>
              </w:rPr>
              <w:t>%</w:t>
            </w:r>
          </w:p>
        </w:tc>
        <w:tc>
          <w:tcPr>
            <w:tcW w:w="558" w:type="pct"/>
            <w:tcBorders>
              <w:top w:val="single" w:sz="8" w:space="0" w:color="auto"/>
              <w:left w:val="single" w:sz="8" w:space="0" w:color="auto"/>
              <w:bottom w:val="double" w:sz="4" w:space="0" w:color="auto"/>
              <w:right w:val="single" w:sz="8"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rPr>
            </w:pPr>
            <w:r w:rsidRPr="00BB489E">
              <w:rPr>
                <w:rFonts w:cs="Arial"/>
                <w:b w:val="0"/>
                <w:color w:val="000000"/>
                <w:sz w:val="18"/>
                <w:szCs w:val="18"/>
              </w:rPr>
              <w:t>1.24</w:t>
            </w:r>
            <w:r w:rsidRPr="00C05F21">
              <w:rPr>
                <w:sz w:val="20"/>
                <w:szCs w:val="20"/>
              </w:rPr>
              <w:t>%</w:t>
            </w:r>
          </w:p>
        </w:tc>
        <w:tc>
          <w:tcPr>
            <w:tcW w:w="558" w:type="pct"/>
            <w:tcBorders>
              <w:top w:val="single" w:sz="8" w:space="0" w:color="auto"/>
              <w:left w:val="single" w:sz="8" w:space="0" w:color="auto"/>
              <w:bottom w:val="double" w:sz="4" w:space="0" w:color="auto"/>
              <w:right w:val="double" w:sz="4" w:space="0" w:color="auto"/>
            </w:tcBorders>
            <w:shd w:val="solid" w:color="FFFFFF" w:fill="auto"/>
            <w:tcMar>
              <w:top w:w="0" w:type="dxa"/>
              <w:left w:w="30" w:type="dxa"/>
              <w:bottom w:w="0" w:type="dxa"/>
              <w:right w:w="30" w:type="dxa"/>
            </w:tcMar>
            <w:vAlign w:val="center"/>
            <w:hideMark/>
          </w:tcPr>
          <w:p w:rsidR="00AE0F80" w:rsidRPr="00BB489E" w:rsidRDefault="00AE0F80" w:rsidP="009F0F78">
            <w:pPr>
              <w:spacing w:before="0" w:line="276" w:lineRule="auto"/>
              <w:ind w:firstLine="0"/>
              <w:jc w:val="center"/>
              <w:rPr>
                <w:rFonts w:cs="Arial"/>
                <w:b w:val="0"/>
                <w:color w:val="000000"/>
                <w:sz w:val="18"/>
                <w:szCs w:val="18"/>
                <w:lang w:val="en-US"/>
              </w:rPr>
            </w:pPr>
            <w:r w:rsidRPr="00BB489E">
              <w:rPr>
                <w:rFonts w:cs="Arial"/>
                <w:b w:val="0"/>
                <w:color w:val="000000"/>
                <w:sz w:val="18"/>
                <w:szCs w:val="18"/>
              </w:rPr>
              <w:t>0.</w:t>
            </w:r>
            <w:r w:rsidRPr="00BB489E">
              <w:rPr>
                <w:rFonts w:cs="Arial"/>
                <w:b w:val="0"/>
                <w:color w:val="000000"/>
                <w:sz w:val="18"/>
                <w:szCs w:val="18"/>
                <w:lang w:val="en-US"/>
              </w:rPr>
              <w:t>79</w:t>
            </w:r>
            <w:r w:rsidRPr="00C05F21">
              <w:rPr>
                <w:sz w:val="20"/>
                <w:szCs w:val="20"/>
              </w:rPr>
              <w:t>%</w:t>
            </w:r>
          </w:p>
        </w:tc>
      </w:tr>
    </w:tbl>
    <w:p w:rsidR="00AE0F80" w:rsidRPr="00BB489E" w:rsidRDefault="00AE0F80" w:rsidP="00AE0F80">
      <w:pPr>
        <w:spacing w:before="0" w:line="276" w:lineRule="auto"/>
        <w:rPr>
          <w:rFonts w:cs="Arial"/>
          <w:lang w:val="hy-AM"/>
        </w:rPr>
      </w:pPr>
    </w:p>
    <w:p w:rsidR="00AE0F80" w:rsidRPr="00BB489E" w:rsidRDefault="00AE0F80" w:rsidP="00AE0F80">
      <w:pPr>
        <w:spacing w:before="0" w:line="276" w:lineRule="auto"/>
        <w:ind w:firstLine="562"/>
        <w:rPr>
          <w:b w:val="0"/>
          <w:lang w:val="hy-AM"/>
        </w:rPr>
      </w:pPr>
      <w:r w:rsidRPr="00BB489E">
        <w:rPr>
          <w:b w:val="0"/>
          <w:lang w:val="hy-AM"/>
        </w:rPr>
        <w:t>2021 թվականից սկսած տնտեսության ճյուղերի պետական ֆինանսավորումը նպատակաուղղված են լինելու  ենթակառուցվածքների, տնտեսության իրական հատվածի, բարձր տեխնոլոգիական արդյունաբերական, ինչպես նաև բնապահպանական բարձր չափանիշներին համապատասխանող՝ արտահանմանը միտված մրցունակ և ներառական տնտեսության կառուցմանն ուղղված ծրագրերի իրականացմանը։</w:t>
      </w:r>
    </w:p>
    <w:p w:rsidR="00AE0F80" w:rsidRPr="00505318" w:rsidRDefault="00AE0F80" w:rsidP="00AE0F80">
      <w:pPr>
        <w:spacing w:before="0" w:line="276" w:lineRule="auto"/>
        <w:ind w:firstLine="562"/>
        <w:rPr>
          <w:b w:val="0"/>
          <w:lang w:val="hy-AM"/>
        </w:rPr>
      </w:pPr>
      <w:r w:rsidRPr="00BB489E">
        <w:rPr>
          <w:b w:val="0"/>
          <w:lang w:val="hy-AM"/>
        </w:rPr>
        <w:t>2021 թվականի ընթացքում պետական բյուջեների ծախ</w:t>
      </w:r>
      <w:r w:rsidRPr="00BB489E">
        <w:rPr>
          <w:b w:val="0"/>
          <w:lang w:val="hy-AM"/>
        </w:rPr>
        <w:softHyphen/>
        <w:t>սերի ընդհանուր ծավալը որոշ կախ</w:t>
      </w:r>
      <w:r w:rsidRPr="00BB489E">
        <w:rPr>
          <w:b w:val="0"/>
          <w:lang w:val="hy-AM"/>
        </w:rPr>
        <w:softHyphen/>
        <w:t>վածության մեջ կլինի նաև արտաքին հոսքերից:</w:t>
      </w:r>
    </w:p>
    <w:p w:rsidR="00AE0F80" w:rsidRDefault="00AE0F80" w:rsidP="00AE0F80">
      <w:pPr>
        <w:spacing w:before="0" w:line="276" w:lineRule="auto"/>
        <w:ind w:firstLine="562"/>
        <w:rPr>
          <w:b w:val="0"/>
          <w:lang w:val="hy-AM"/>
        </w:rPr>
      </w:pPr>
    </w:p>
    <w:p w:rsidR="00AE0F80" w:rsidRPr="00505318" w:rsidRDefault="00AE0F80" w:rsidP="00AE0F80">
      <w:pPr>
        <w:spacing w:before="0"/>
        <w:rPr>
          <w:bCs/>
          <w:color w:val="4F81BD" w:themeColor="accent1"/>
          <w:sz w:val="18"/>
          <w:szCs w:val="18"/>
          <w:lang w:val="hy-AM"/>
        </w:rPr>
      </w:pPr>
      <w:bookmarkStart w:id="210" w:name="_Toc52223580"/>
      <w:bookmarkStart w:id="211" w:name="_Toc57631792"/>
      <w:r w:rsidRPr="00505318">
        <w:rPr>
          <w:b w:val="0"/>
          <w:bCs/>
          <w:color w:val="4F81BD" w:themeColor="accent1"/>
          <w:sz w:val="18"/>
          <w:szCs w:val="18"/>
          <w:lang w:val="hy-AM"/>
        </w:rPr>
        <w:t xml:space="preserve">Գծապատկեր </w:t>
      </w:r>
      <w:r w:rsidR="003C3925" w:rsidRPr="00505318">
        <w:rPr>
          <w:b w:val="0"/>
          <w:bCs/>
          <w:color w:val="4F81BD" w:themeColor="accent1"/>
          <w:sz w:val="18"/>
          <w:szCs w:val="18"/>
        </w:rPr>
        <w:fldChar w:fldCharType="begin"/>
      </w:r>
      <w:r w:rsidRPr="00505318">
        <w:rPr>
          <w:b w:val="0"/>
          <w:bCs/>
          <w:color w:val="4F81BD" w:themeColor="accent1"/>
          <w:sz w:val="18"/>
          <w:szCs w:val="18"/>
          <w:lang w:val="hy-AM"/>
        </w:rPr>
        <w:instrText xml:space="preserve"> SEQ Գծապատկեր \* ARABIC </w:instrText>
      </w:r>
      <w:r w:rsidR="003C3925" w:rsidRPr="00505318">
        <w:rPr>
          <w:b w:val="0"/>
          <w:bCs/>
          <w:color w:val="4F81BD" w:themeColor="accent1"/>
          <w:sz w:val="18"/>
          <w:szCs w:val="18"/>
        </w:rPr>
        <w:fldChar w:fldCharType="separate"/>
      </w:r>
      <w:r>
        <w:rPr>
          <w:b w:val="0"/>
          <w:bCs/>
          <w:noProof/>
          <w:color w:val="4F81BD" w:themeColor="accent1"/>
          <w:sz w:val="18"/>
          <w:szCs w:val="18"/>
          <w:lang w:val="hy-AM"/>
        </w:rPr>
        <w:t>6</w:t>
      </w:r>
      <w:r w:rsidR="003C3925" w:rsidRPr="00505318">
        <w:rPr>
          <w:b w:val="0"/>
          <w:bCs/>
          <w:color w:val="4F81BD" w:themeColor="accent1"/>
          <w:sz w:val="18"/>
          <w:szCs w:val="18"/>
        </w:rPr>
        <w:fldChar w:fldCharType="end"/>
      </w:r>
      <w:r w:rsidRPr="00505318">
        <w:rPr>
          <w:rFonts w:ascii="MS Mincho" w:eastAsia="MS Mincho" w:hAnsi="MS Mincho" w:cs="MS Mincho" w:hint="eastAsia"/>
          <w:b w:val="0"/>
          <w:bCs/>
          <w:color w:val="4F81BD" w:themeColor="accent1"/>
          <w:sz w:val="18"/>
          <w:szCs w:val="18"/>
          <w:lang w:val="hy-AM"/>
        </w:rPr>
        <w:t>․</w:t>
      </w:r>
      <w:r w:rsidRPr="00505318">
        <w:rPr>
          <w:rFonts w:ascii="Cambria Math" w:hAnsi="Cambria Math"/>
          <w:b w:val="0"/>
          <w:bCs/>
          <w:color w:val="4F81BD" w:themeColor="accent1"/>
          <w:sz w:val="18"/>
          <w:szCs w:val="18"/>
          <w:lang w:val="hy-AM"/>
        </w:rPr>
        <w:t xml:space="preserve"> </w:t>
      </w:r>
      <w:r w:rsidRPr="00505318">
        <w:rPr>
          <w:rFonts w:cs="Arial"/>
          <w:bCs/>
          <w:i/>
          <w:color w:val="4F81BD" w:themeColor="accent1"/>
          <w:sz w:val="20"/>
          <w:szCs w:val="20"/>
          <w:lang w:val="hy-AM"/>
        </w:rPr>
        <w:t>2017-2021 թթ</w:t>
      </w:r>
      <w:r w:rsidRPr="00505318">
        <w:rPr>
          <w:rFonts w:ascii="MS Mincho" w:eastAsia="MS Mincho" w:hAnsi="MS Mincho" w:cs="MS Mincho" w:hint="eastAsia"/>
          <w:bCs/>
          <w:i/>
          <w:color w:val="4F81BD" w:themeColor="accent1"/>
          <w:sz w:val="20"/>
          <w:szCs w:val="20"/>
          <w:lang w:val="hy-AM"/>
        </w:rPr>
        <w:t>․</w:t>
      </w:r>
      <w:r w:rsidRPr="00505318">
        <w:rPr>
          <w:rFonts w:cs="Arial"/>
          <w:bCs/>
          <w:i/>
          <w:color w:val="4F81BD" w:themeColor="accent1"/>
          <w:sz w:val="20"/>
          <w:szCs w:val="20"/>
          <w:lang w:val="hy-AM"/>
        </w:rPr>
        <w:t xml:space="preserve"> վարկային, դրամաշնորհային միջոցների հաշվին ֆինանսավորումը, կշիռը ՀՆԱ-ում, կշիռը ընդամենը ծախսերում</w:t>
      </w:r>
      <w:bookmarkEnd w:id="210"/>
      <w:bookmarkEnd w:id="211"/>
    </w:p>
    <w:p w:rsidR="00AE0F80" w:rsidRPr="00505318" w:rsidRDefault="00AE0F80" w:rsidP="00AE0F80">
      <w:pPr>
        <w:keepNext/>
        <w:spacing w:before="0" w:line="276" w:lineRule="auto"/>
        <w:ind w:firstLine="360"/>
      </w:pPr>
      <w:r w:rsidRPr="00505318">
        <w:rPr>
          <w:rFonts w:asciiTheme="minorHAnsi" w:eastAsiaTheme="minorHAnsi" w:hAnsiTheme="minorHAnsi" w:cstheme="minorBidi"/>
          <w:b w:val="0"/>
          <w:noProof/>
          <w:szCs w:val="22"/>
          <w:lang w:val="en-US" w:eastAsia="en-US"/>
        </w:rPr>
        <w:drawing>
          <wp:inline distT="0" distB="0" distL="0" distR="0">
            <wp:extent cx="5829300" cy="32004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E0F80" w:rsidRPr="00505318" w:rsidRDefault="00AE0F80" w:rsidP="00AE0F80">
      <w:pPr>
        <w:spacing w:before="0" w:line="276" w:lineRule="auto"/>
        <w:ind w:firstLine="720"/>
        <w:rPr>
          <w:rFonts w:cs="Sylfaen"/>
          <w:highlight w:val="yellow"/>
        </w:rPr>
      </w:pPr>
    </w:p>
    <w:p w:rsidR="00AE0F80" w:rsidRPr="00505318" w:rsidRDefault="00AE0F80" w:rsidP="00AE0F80">
      <w:pPr>
        <w:spacing w:before="0"/>
        <w:rPr>
          <w:bCs/>
          <w:i/>
          <w:color w:val="4F81BD" w:themeColor="accent1"/>
          <w:sz w:val="20"/>
          <w:szCs w:val="20"/>
          <w:lang w:val="hy-AM"/>
        </w:rPr>
      </w:pPr>
      <w:bookmarkStart w:id="212" w:name="_Toc57631768"/>
      <w:r w:rsidRPr="00505318">
        <w:rPr>
          <w:b w:val="0"/>
          <w:bCs/>
          <w:color w:val="4F81BD" w:themeColor="accent1"/>
          <w:sz w:val="18"/>
          <w:szCs w:val="18"/>
        </w:rPr>
        <w:t xml:space="preserve">Աղյուսակ </w:t>
      </w:r>
      <w:r w:rsidR="003C3925" w:rsidRPr="00505318">
        <w:rPr>
          <w:b w:val="0"/>
          <w:bCs/>
          <w:color w:val="4F81BD" w:themeColor="accent1"/>
          <w:sz w:val="18"/>
          <w:szCs w:val="18"/>
        </w:rPr>
        <w:fldChar w:fldCharType="begin"/>
      </w:r>
      <w:r w:rsidRPr="00505318">
        <w:rPr>
          <w:b w:val="0"/>
          <w:bCs/>
          <w:color w:val="4F81BD" w:themeColor="accent1"/>
          <w:sz w:val="18"/>
          <w:szCs w:val="18"/>
        </w:rPr>
        <w:instrText xml:space="preserve"> SEQ Աղյուսակ \* ARABIC </w:instrText>
      </w:r>
      <w:r w:rsidR="003C3925" w:rsidRPr="00505318">
        <w:rPr>
          <w:b w:val="0"/>
          <w:bCs/>
          <w:color w:val="4F81BD" w:themeColor="accent1"/>
          <w:sz w:val="18"/>
          <w:szCs w:val="18"/>
        </w:rPr>
        <w:fldChar w:fldCharType="separate"/>
      </w:r>
      <w:r>
        <w:rPr>
          <w:b w:val="0"/>
          <w:bCs/>
          <w:noProof/>
          <w:color w:val="4F81BD" w:themeColor="accent1"/>
          <w:sz w:val="18"/>
          <w:szCs w:val="18"/>
        </w:rPr>
        <w:t>17</w:t>
      </w:r>
      <w:r w:rsidR="003C3925" w:rsidRPr="00505318">
        <w:rPr>
          <w:b w:val="0"/>
          <w:bCs/>
          <w:color w:val="4F81BD" w:themeColor="accent1"/>
          <w:sz w:val="18"/>
          <w:szCs w:val="18"/>
        </w:rPr>
        <w:fldChar w:fldCharType="end"/>
      </w:r>
      <w:r w:rsidRPr="00505318">
        <w:rPr>
          <w:rFonts w:ascii="MS Mincho" w:eastAsia="MS Mincho" w:hAnsi="MS Mincho" w:cs="MS Mincho" w:hint="eastAsia"/>
          <w:b w:val="0"/>
          <w:bCs/>
          <w:color w:val="4F81BD" w:themeColor="accent1"/>
          <w:sz w:val="18"/>
          <w:szCs w:val="18"/>
          <w:lang w:val="hy-AM"/>
        </w:rPr>
        <w:t>․</w:t>
      </w:r>
      <w:r w:rsidRPr="00505318">
        <w:rPr>
          <w:rFonts w:ascii="Cambria Math" w:hAnsi="Cambria Math"/>
          <w:b w:val="0"/>
          <w:bCs/>
          <w:color w:val="4F81BD" w:themeColor="accent1"/>
          <w:sz w:val="18"/>
          <w:szCs w:val="18"/>
          <w:lang w:val="hy-AM"/>
        </w:rPr>
        <w:t xml:space="preserve"> </w:t>
      </w:r>
      <w:r w:rsidRPr="00505318">
        <w:rPr>
          <w:bCs/>
          <w:i/>
          <w:color w:val="4F81BD" w:themeColor="accent1"/>
          <w:sz w:val="20"/>
          <w:szCs w:val="20"/>
          <w:lang w:val="hy-AM"/>
        </w:rPr>
        <w:t>Արտաքին աղբյուրներից 2021թ. ստացվելիք միջոցների (վարկերի և պաշտո</w:t>
      </w:r>
      <w:r w:rsidRPr="00505318">
        <w:rPr>
          <w:bCs/>
          <w:i/>
          <w:color w:val="4F81BD" w:themeColor="accent1"/>
          <w:sz w:val="20"/>
          <w:szCs w:val="20"/>
          <w:lang w:val="hy-AM"/>
        </w:rPr>
        <w:softHyphen/>
        <w:t>նական դրամաշնորհներ) հաշվին ֆինանսավորվող ծախսերը</w:t>
      </w:r>
      <w:bookmarkEnd w:id="212"/>
    </w:p>
    <w:tbl>
      <w:tblPr>
        <w:tblW w:w="9450" w:type="dxa"/>
        <w:tblInd w:w="481" w:type="dxa"/>
        <w:tblLook w:val="04A0" w:firstRow="1" w:lastRow="0" w:firstColumn="1" w:lastColumn="0" w:noHBand="0" w:noVBand="1"/>
      </w:tblPr>
      <w:tblGrid>
        <w:gridCol w:w="2610"/>
        <w:gridCol w:w="1219"/>
        <w:gridCol w:w="1391"/>
        <w:gridCol w:w="1440"/>
        <w:gridCol w:w="1530"/>
        <w:gridCol w:w="1260"/>
      </w:tblGrid>
      <w:tr w:rsidR="00AE0F80" w:rsidRPr="00505318" w:rsidTr="009F0F78">
        <w:trPr>
          <w:trHeight w:val="330"/>
        </w:trPr>
        <w:tc>
          <w:tcPr>
            <w:tcW w:w="2610" w:type="dxa"/>
            <w:tcBorders>
              <w:top w:val="double" w:sz="6" w:space="0" w:color="auto"/>
              <w:left w:val="double" w:sz="6" w:space="0" w:color="auto"/>
              <w:bottom w:val="double" w:sz="6" w:space="0" w:color="auto"/>
              <w:right w:val="single" w:sz="8" w:space="0" w:color="auto"/>
            </w:tcBorders>
            <w:shd w:val="clear" w:color="000000" w:fill="4F81BD"/>
            <w:vAlign w:val="center"/>
            <w:hideMark/>
          </w:tcPr>
          <w:p w:rsidR="00AE0F80" w:rsidRPr="00505318" w:rsidRDefault="00AE0F80" w:rsidP="009F0F78">
            <w:pPr>
              <w:spacing w:before="0" w:line="240" w:lineRule="auto"/>
              <w:ind w:firstLine="0"/>
              <w:jc w:val="center"/>
              <w:rPr>
                <w:rFonts w:cs="Calibri"/>
                <w:color w:val="FFFFFF"/>
                <w:sz w:val="20"/>
                <w:szCs w:val="20"/>
              </w:rPr>
            </w:pPr>
            <w:r w:rsidRPr="00505318">
              <w:rPr>
                <w:rFonts w:cs="Calibri"/>
                <w:color w:val="FFFFFF"/>
                <w:sz w:val="20"/>
                <w:szCs w:val="20"/>
              </w:rPr>
              <w:t>Ցուցանիշներ</w:t>
            </w:r>
          </w:p>
        </w:tc>
        <w:tc>
          <w:tcPr>
            <w:tcW w:w="1219" w:type="dxa"/>
            <w:tcBorders>
              <w:top w:val="double" w:sz="6" w:space="0" w:color="auto"/>
              <w:left w:val="nil"/>
              <w:bottom w:val="double" w:sz="6" w:space="0" w:color="auto"/>
              <w:right w:val="single" w:sz="8" w:space="0" w:color="auto"/>
            </w:tcBorders>
            <w:shd w:val="clear" w:color="000000" w:fill="4F81BD"/>
            <w:vAlign w:val="center"/>
            <w:hideMark/>
          </w:tcPr>
          <w:p w:rsidR="00AE0F80" w:rsidRPr="00505318" w:rsidRDefault="00AE0F80" w:rsidP="009F0F78">
            <w:pPr>
              <w:spacing w:before="0" w:line="240" w:lineRule="auto"/>
              <w:ind w:firstLine="0"/>
              <w:jc w:val="center"/>
              <w:rPr>
                <w:rFonts w:cs="Calibri"/>
                <w:color w:val="FFFFFF"/>
                <w:sz w:val="20"/>
                <w:szCs w:val="20"/>
              </w:rPr>
            </w:pPr>
            <w:r w:rsidRPr="00505318">
              <w:rPr>
                <w:rFonts w:cs="Calibri"/>
                <w:color w:val="FFFFFF"/>
                <w:sz w:val="20"/>
                <w:szCs w:val="20"/>
              </w:rPr>
              <w:t>2017թ.</w:t>
            </w:r>
          </w:p>
        </w:tc>
        <w:tc>
          <w:tcPr>
            <w:tcW w:w="1391" w:type="dxa"/>
            <w:tcBorders>
              <w:top w:val="double" w:sz="6" w:space="0" w:color="auto"/>
              <w:left w:val="nil"/>
              <w:bottom w:val="double" w:sz="6" w:space="0" w:color="auto"/>
              <w:right w:val="single" w:sz="8" w:space="0" w:color="auto"/>
            </w:tcBorders>
            <w:shd w:val="clear" w:color="000000" w:fill="4F81BD"/>
            <w:vAlign w:val="center"/>
            <w:hideMark/>
          </w:tcPr>
          <w:p w:rsidR="00AE0F80" w:rsidRPr="00505318" w:rsidRDefault="00AE0F80" w:rsidP="009F0F78">
            <w:pPr>
              <w:spacing w:before="0" w:line="240" w:lineRule="auto"/>
              <w:ind w:firstLine="0"/>
              <w:jc w:val="center"/>
              <w:rPr>
                <w:rFonts w:cs="Calibri"/>
                <w:color w:val="FFFFFF"/>
                <w:sz w:val="20"/>
                <w:szCs w:val="20"/>
              </w:rPr>
            </w:pPr>
            <w:r w:rsidRPr="00505318">
              <w:rPr>
                <w:rFonts w:cs="Calibri"/>
                <w:color w:val="FFFFFF"/>
                <w:sz w:val="20"/>
                <w:szCs w:val="20"/>
              </w:rPr>
              <w:t>2018թ.</w:t>
            </w:r>
          </w:p>
        </w:tc>
        <w:tc>
          <w:tcPr>
            <w:tcW w:w="1440" w:type="dxa"/>
            <w:tcBorders>
              <w:top w:val="double" w:sz="6" w:space="0" w:color="auto"/>
              <w:left w:val="nil"/>
              <w:bottom w:val="double" w:sz="6" w:space="0" w:color="auto"/>
              <w:right w:val="single" w:sz="8" w:space="0" w:color="auto"/>
            </w:tcBorders>
            <w:shd w:val="clear" w:color="000000" w:fill="4F81BD"/>
            <w:vAlign w:val="center"/>
            <w:hideMark/>
          </w:tcPr>
          <w:p w:rsidR="00AE0F80" w:rsidRPr="00505318" w:rsidRDefault="00AE0F80" w:rsidP="009F0F78">
            <w:pPr>
              <w:spacing w:before="0" w:line="240" w:lineRule="auto"/>
              <w:ind w:firstLine="0"/>
              <w:jc w:val="center"/>
              <w:rPr>
                <w:rFonts w:cs="Calibri"/>
                <w:color w:val="FFFFFF"/>
                <w:sz w:val="20"/>
                <w:szCs w:val="20"/>
              </w:rPr>
            </w:pPr>
            <w:r w:rsidRPr="00505318">
              <w:rPr>
                <w:rFonts w:cs="Calibri"/>
                <w:color w:val="FFFFFF"/>
                <w:sz w:val="20"/>
                <w:szCs w:val="20"/>
              </w:rPr>
              <w:t>2019թ.</w:t>
            </w:r>
          </w:p>
        </w:tc>
        <w:tc>
          <w:tcPr>
            <w:tcW w:w="1530" w:type="dxa"/>
            <w:tcBorders>
              <w:top w:val="double" w:sz="6" w:space="0" w:color="auto"/>
              <w:left w:val="nil"/>
              <w:bottom w:val="double" w:sz="6" w:space="0" w:color="auto"/>
              <w:right w:val="single" w:sz="8" w:space="0" w:color="auto"/>
            </w:tcBorders>
            <w:shd w:val="clear" w:color="000000" w:fill="4F81BD"/>
            <w:vAlign w:val="center"/>
            <w:hideMark/>
          </w:tcPr>
          <w:p w:rsidR="00AE0F80" w:rsidRPr="00505318" w:rsidRDefault="00AE0F80" w:rsidP="009F0F78">
            <w:pPr>
              <w:spacing w:before="0" w:line="240" w:lineRule="auto"/>
              <w:ind w:firstLine="0"/>
              <w:jc w:val="center"/>
              <w:rPr>
                <w:rFonts w:cs="Calibri"/>
                <w:color w:val="FFFFFF"/>
                <w:sz w:val="20"/>
                <w:szCs w:val="20"/>
              </w:rPr>
            </w:pPr>
            <w:r w:rsidRPr="00505318">
              <w:rPr>
                <w:rFonts w:cs="Calibri"/>
                <w:color w:val="FFFFFF"/>
                <w:sz w:val="20"/>
                <w:szCs w:val="20"/>
              </w:rPr>
              <w:t>2020 թ.</w:t>
            </w:r>
          </w:p>
        </w:tc>
        <w:tc>
          <w:tcPr>
            <w:tcW w:w="1260" w:type="dxa"/>
            <w:tcBorders>
              <w:top w:val="double" w:sz="6" w:space="0" w:color="auto"/>
              <w:left w:val="nil"/>
              <w:bottom w:val="double" w:sz="6" w:space="0" w:color="auto"/>
              <w:right w:val="single" w:sz="8" w:space="0" w:color="auto"/>
            </w:tcBorders>
            <w:shd w:val="clear" w:color="000000" w:fill="4F81BD"/>
            <w:vAlign w:val="center"/>
            <w:hideMark/>
          </w:tcPr>
          <w:p w:rsidR="00AE0F80" w:rsidRPr="00505318" w:rsidRDefault="00AE0F80" w:rsidP="009F0F78">
            <w:pPr>
              <w:spacing w:before="0" w:line="240" w:lineRule="auto"/>
              <w:ind w:firstLine="0"/>
              <w:jc w:val="center"/>
              <w:rPr>
                <w:rFonts w:cs="Calibri"/>
                <w:color w:val="FFFFFF"/>
                <w:sz w:val="20"/>
                <w:szCs w:val="20"/>
              </w:rPr>
            </w:pPr>
            <w:r w:rsidRPr="00505318">
              <w:rPr>
                <w:rFonts w:cs="Calibri"/>
                <w:color w:val="FFFFFF"/>
                <w:sz w:val="20"/>
                <w:szCs w:val="20"/>
              </w:rPr>
              <w:t>2021թ.</w:t>
            </w:r>
          </w:p>
        </w:tc>
      </w:tr>
      <w:tr w:rsidR="00AE0F80" w:rsidRPr="00505318" w:rsidTr="009F0F78">
        <w:trPr>
          <w:trHeight w:val="1200"/>
        </w:trPr>
        <w:tc>
          <w:tcPr>
            <w:tcW w:w="2610" w:type="dxa"/>
            <w:tcBorders>
              <w:top w:val="nil"/>
              <w:left w:val="double" w:sz="6" w:space="0" w:color="auto"/>
              <w:bottom w:val="single" w:sz="8" w:space="0" w:color="auto"/>
              <w:right w:val="single" w:sz="8" w:space="0" w:color="auto"/>
            </w:tcBorders>
            <w:shd w:val="clear" w:color="000000" w:fill="C6D9F1"/>
            <w:vAlign w:val="center"/>
            <w:hideMark/>
          </w:tcPr>
          <w:p w:rsidR="00AE0F80" w:rsidRPr="00885973" w:rsidRDefault="00AE0F80" w:rsidP="009F0F78">
            <w:pPr>
              <w:spacing w:before="0" w:line="240" w:lineRule="auto"/>
              <w:ind w:firstLine="0"/>
              <w:jc w:val="left"/>
              <w:rPr>
                <w:rFonts w:cs="Calibri"/>
                <w:b w:val="0"/>
                <w:bCs/>
                <w:color w:val="000000"/>
                <w:sz w:val="20"/>
                <w:szCs w:val="20"/>
              </w:rPr>
            </w:pPr>
            <w:r w:rsidRPr="00505318">
              <w:rPr>
                <w:rFonts w:cs="Sylfaen"/>
                <w:bCs/>
                <w:color w:val="000000"/>
                <w:sz w:val="20"/>
                <w:szCs w:val="20"/>
                <w:lang w:val="hy-AM"/>
              </w:rPr>
              <w:t>Արտաքին աղբյուրների հաշվին ֆինանսավորվող ծախսերի ծավալը (մլն դրամ)</w:t>
            </w:r>
          </w:p>
        </w:tc>
        <w:tc>
          <w:tcPr>
            <w:tcW w:w="1219" w:type="dxa"/>
            <w:tcBorders>
              <w:top w:val="nil"/>
              <w:left w:val="nil"/>
              <w:bottom w:val="single" w:sz="8" w:space="0" w:color="auto"/>
              <w:right w:val="single" w:sz="8" w:space="0" w:color="auto"/>
            </w:tcBorders>
            <w:shd w:val="clear" w:color="000000" w:fill="C6D9F1"/>
            <w:vAlign w:val="center"/>
            <w:hideMark/>
          </w:tcPr>
          <w:p w:rsidR="00AE0F80" w:rsidRPr="00505318" w:rsidRDefault="00AE0F80" w:rsidP="009F0F78">
            <w:pPr>
              <w:spacing w:before="0" w:line="240" w:lineRule="auto"/>
              <w:ind w:firstLine="0"/>
              <w:jc w:val="center"/>
              <w:rPr>
                <w:rFonts w:ascii="Calibri" w:hAnsi="Calibri" w:cs="Calibri"/>
                <w:color w:val="000000"/>
              </w:rPr>
            </w:pPr>
            <w:r w:rsidRPr="00505318">
              <w:rPr>
                <w:rFonts w:ascii="Calibri" w:hAnsi="Calibri" w:cs="Calibri"/>
                <w:color w:val="000000"/>
              </w:rPr>
              <w:t>176,510.6</w:t>
            </w:r>
          </w:p>
        </w:tc>
        <w:tc>
          <w:tcPr>
            <w:tcW w:w="1391" w:type="dxa"/>
            <w:tcBorders>
              <w:top w:val="nil"/>
              <w:left w:val="nil"/>
              <w:bottom w:val="single" w:sz="8" w:space="0" w:color="auto"/>
              <w:right w:val="single" w:sz="8" w:space="0" w:color="auto"/>
            </w:tcBorders>
            <w:shd w:val="clear" w:color="000000" w:fill="C6D9F1"/>
            <w:vAlign w:val="center"/>
            <w:hideMark/>
          </w:tcPr>
          <w:p w:rsidR="00AE0F80" w:rsidRPr="00505318" w:rsidRDefault="00AE0F80" w:rsidP="009F0F78">
            <w:pPr>
              <w:spacing w:before="0" w:line="240" w:lineRule="auto"/>
              <w:ind w:firstLine="0"/>
              <w:jc w:val="center"/>
              <w:rPr>
                <w:rFonts w:ascii="Calibri" w:hAnsi="Calibri" w:cs="Calibri"/>
                <w:color w:val="000000"/>
              </w:rPr>
            </w:pPr>
            <w:r w:rsidRPr="00505318">
              <w:rPr>
                <w:rFonts w:ascii="Calibri" w:hAnsi="Calibri" w:cs="Calibri"/>
                <w:color w:val="000000"/>
              </w:rPr>
              <w:t>69,364.1</w:t>
            </w:r>
          </w:p>
        </w:tc>
        <w:tc>
          <w:tcPr>
            <w:tcW w:w="1440" w:type="dxa"/>
            <w:tcBorders>
              <w:top w:val="nil"/>
              <w:left w:val="nil"/>
              <w:bottom w:val="single" w:sz="8" w:space="0" w:color="auto"/>
              <w:right w:val="single" w:sz="8" w:space="0" w:color="auto"/>
            </w:tcBorders>
            <w:shd w:val="clear" w:color="000000" w:fill="C6D9F1"/>
            <w:vAlign w:val="center"/>
            <w:hideMark/>
          </w:tcPr>
          <w:p w:rsidR="00AE0F80" w:rsidRPr="00505318" w:rsidRDefault="00AE0F80" w:rsidP="009F0F78">
            <w:pPr>
              <w:spacing w:before="0" w:line="240" w:lineRule="auto"/>
              <w:ind w:firstLine="0"/>
              <w:jc w:val="center"/>
              <w:rPr>
                <w:rFonts w:ascii="Calibri" w:hAnsi="Calibri" w:cs="Calibri"/>
                <w:color w:val="000000"/>
              </w:rPr>
            </w:pPr>
            <w:r w:rsidRPr="00505318">
              <w:rPr>
                <w:rFonts w:ascii="Calibri" w:hAnsi="Calibri" w:cs="Calibri"/>
                <w:color w:val="000000"/>
              </w:rPr>
              <w:t>76,301.5</w:t>
            </w:r>
          </w:p>
        </w:tc>
        <w:tc>
          <w:tcPr>
            <w:tcW w:w="1530" w:type="dxa"/>
            <w:tcBorders>
              <w:top w:val="nil"/>
              <w:left w:val="nil"/>
              <w:bottom w:val="single" w:sz="8" w:space="0" w:color="auto"/>
              <w:right w:val="single" w:sz="8" w:space="0" w:color="auto"/>
            </w:tcBorders>
            <w:shd w:val="clear" w:color="000000" w:fill="C6D9F1"/>
            <w:vAlign w:val="center"/>
            <w:hideMark/>
          </w:tcPr>
          <w:p w:rsidR="00AE0F80" w:rsidRPr="00505318" w:rsidRDefault="00AE0F80" w:rsidP="009F0F78">
            <w:pPr>
              <w:spacing w:before="0" w:line="240" w:lineRule="auto"/>
              <w:ind w:firstLine="0"/>
              <w:jc w:val="center"/>
              <w:rPr>
                <w:rFonts w:ascii="Calibri" w:hAnsi="Calibri" w:cs="Calibri"/>
                <w:color w:val="000000"/>
              </w:rPr>
            </w:pPr>
            <w:r w:rsidRPr="00505318">
              <w:rPr>
                <w:rFonts w:ascii="Calibri" w:hAnsi="Calibri" w:cs="Calibri"/>
                <w:color w:val="000000"/>
              </w:rPr>
              <w:t>161,535.7</w:t>
            </w:r>
          </w:p>
        </w:tc>
        <w:tc>
          <w:tcPr>
            <w:tcW w:w="1260" w:type="dxa"/>
            <w:tcBorders>
              <w:top w:val="nil"/>
              <w:left w:val="nil"/>
              <w:bottom w:val="single" w:sz="8" w:space="0" w:color="auto"/>
              <w:right w:val="single" w:sz="8" w:space="0" w:color="auto"/>
            </w:tcBorders>
            <w:shd w:val="clear" w:color="000000" w:fill="C6D9F1"/>
            <w:vAlign w:val="center"/>
            <w:hideMark/>
          </w:tcPr>
          <w:p w:rsidR="00AE0F80" w:rsidRPr="00505318" w:rsidRDefault="00AE0F80" w:rsidP="009F0F78">
            <w:pPr>
              <w:spacing w:before="0" w:line="240" w:lineRule="auto"/>
              <w:ind w:firstLine="0"/>
              <w:jc w:val="center"/>
              <w:rPr>
                <w:rFonts w:ascii="Sylfaen" w:hAnsi="Sylfaen" w:cs="Calibri"/>
                <w:color w:val="000000"/>
                <w:lang w:val="hy-AM"/>
              </w:rPr>
            </w:pPr>
            <w:r w:rsidRPr="00505318">
              <w:rPr>
                <w:rFonts w:ascii="Calibri" w:hAnsi="Calibri" w:cs="Calibri"/>
                <w:color w:val="000000"/>
              </w:rPr>
              <w:t>8</w:t>
            </w:r>
            <w:r w:rsidRPr="00505318">
              <w:rPr>
                <w:rFonts w:ascii="Sylfaen" w:hAnsi="Sylfaen" w:cs="Calibri"/>
                <w:color w:val="000000"/>
                <w:lang w:val="hy-AM"/>
              </w:rPr>
              <w:t>6</w:t>
            </w:r>
            <w:r w:rsidRPr="00505318">
              <w:rPr>
                <w:rFonts w:ascii="Calibri" w:hAnsi="Calibri" w:cs="Calibri"/>
                <w:color w:val="000000"/>
              </w:rPr>
              <w:t>,</w:t>
            </w:r>
            <w:r w:rsidRPr="00505318">
              <w:rPr>
                <w:rFonts w:ascii="Sylfaen" w:hAnsi="Sylfaen" w:cs="Calibri"/>
                <w:color w:val="000000"/>
                <w:lang w:val="hy-AM"/>
              </w:rPr>
              <w:t>707</w:t>
            </w:r>
            <w:r w:rsidRPr="00505318">
              <w:rPr>
                <w:rFonts w:ascii="Calibri" w:hAnsi="Calibri" w:cs="Calibri"/>
                <w:color w:val="000000"/>
              </w:rPr>
              <w:t>.</w:t>
            </w:r>
            <w:r w:rsidRPr="00505318">
              <w:rPr>
                <w:rFonts w:ascii="Sylfaen" w:hAnsi="Sylfaen" w:cs="Calibri"/>
                <w:color w:val="000000"/>
                <w:lang w:val="hy-AM"/>
              </w:rPr>
              <w:t>3</w:t>
            </w:r>
          </w:p>
        </w:tc>
      </w:tr>
      <w:tr w:rsidR="00AE0F80" w:rsidRPr="00505318" w:rsidTr="009F0F78">
        <w:trPr>
          <w:trHeight w:val="780"/>
        </w:trPr>
        <w:tc>
          <w:tcPr>
            <w:tcW w:w="2610" w:type="dxa"/>
            <w:tcBorders>
              <w:top w:val="nil"/>
              <w:left w:val="double" w:sz="6" w:space="0" w:color="auto"/>
              <w:bottom w:val="single" w:sz="8" w:space="0" w:color="auto"/>
              <w:right w:val="single" w:sz="8" w:space="0" w:color="auto"/>
            </w:tcBorders>
            <w:shd w:val="clear" w:color="auto" w:fill="auto"/>
            <w:vAlign w:val="center"/>
            <w:hideMark/>
          </w:tcPr>
          <w:p w:rsidR="00AE0F80" w:rsidRPr="00505318" w:rsidRDefault="00AE0F80" w:rsidP="009F0F78">
            <w:pPr>
              <w:spacing w:before="0" w:line="240" w:lineRule="auto"/>
              <w:ind w:firstLine="0"/>
              <w:jc w:val="left"/>
              <w:rPr>
                <w:rFonts w:cs="Calibri"/>
                <w:color w:val="000000"/>
                <w:sz w:val="20"/>
                <w:szCs w:val="20"/>
              </w:rPr>
            </w:pPr>
            <w:r w:rsidRPr="00505318">
              <w:rPr>
                <w:rFonts w:cs="Calibri"/>
                <w:color w:val="000000"/>
                <w:sz w:val="20"/>
                <w:szCs w:val="20"/>
                <w:lang w:val="hy-AM"/>
              </w:rPr>
              <w:t xml:space="preserve">- </w:t>
            </w:r>
            <w:r w:rsidRPr="00505318">
              <w:rPr>
                <w:rFonts w:cs="Calibri"/>
                <w:color w:val="000000"/>
                <w:sz w:val="20"/>
                <w:szCs w:val="20"/>
              </w:rPr>
              <w:t>հ</w:t>
            </w:r>
            <w:r w:rsidRPr="00505318">
              <w:rPr>
                <w:rFonts w:cs="Calibri"/>
                <w:color w:val="000000"/>
                <w:sz w:val="20"/>
                <w:szCs w:val="20"/>
                <w:lang w:val="hy-AM"/>
              </w:rPr>
              <w:t>արաբերությունը ՀՆԱ-ի նկատմամբ (%)</w:t>
            </w:r>
          </w:p>
        </w:tc>
        <w:tc>
          <w:tcPr>
            <w:tcW w:w="1219" w:type="dxa"/>
            <w:tcBorders>
              <w:top w:val="nil"/>
              <w:left w:val="nil"/>
              <w:bottom w:val="single" w:sz="8" w:space="0" w:color="auto"/>
              <w:right w:val="single" w:sz="8" w:space="0" w:color="auto"/>
            </w:tcBorders>
            <w:shd w:val="clear" w:color="auto" w:fill="auto"/>
            <w:vAlign w:val="center"/>
            <w:hideMark/>
          </w:tcPr>
          <w:p w:rsidR="00AE0F80" w:rsidRPr="00505318" w:rsidRDefault="00AE0F80" w:rsidP="009F0F78">
            <w:pPr>
              <w:spacing w:before="0" w:line="240" w:lineRule="auto"/>
              <w:ind w:firstLine="0"/>
              <w:jc w:val="center"/>
              <w:rPr>
                <w:rFonts w:cs="Calibri"/>
                <w:color w:val="000000"/>
                <w:sz w:val="20"/>
                <w:szCs w:val="20"/>
              </w:rPr>
            </w:pPr>
            <w:r w:rsidRPr="00505318">
              <w:rPr>
                <w:rFonts w:cs="Calibri"/>
                <w:color w:val="000000"/>
                <w:sz w:val="20"/>
                <w:szCs w:val="20"/>
              </w:rPr>
              <w:t>3.2%</w:t>
            </w:r>
          </w:p>
        </w:tc>
        <w:tc>
          <w:tcPr>
            <w:tcW w:w="1391" w:type="dxa"/>
            <w:tcBorders>
              <w:top w:val="nil"/>
              <w:left w:val="nil"/>
              <w:bottom w:val="single" w:sz="8" w:space="0" w:color="auto"/>
              <w:right w:val="single" w:sz="8" w:space="0" w:color="auto"/>
            </w:tcBorders>
            <w:shd w:val="clear" w:color="auto" w:fill="auto"/>
            <w:vAlign w:val="center"/>
            <w:hideMark/>
          </w:tcPr>
          <w:p w:rsidR="00AE0F80" w:rsidRPr="00505318" w:rsidRDefault="00AE0F80" w:rsidP="009F0F78">
            <w:pPr>
              <w:spacing w:before="0" w:line="240" w:lineRule="auto"/>
              <w:ind w:firstLine="0"/>
              <w:jc w:val="center"/>
              <w:rPr>
                <w:rFonts w:cs="Calibri"/>
                <w:color w:val="000000"/>
                <w:sz w:val="20"/>
                <w:szCs w:val="20"/>
              </w:rPr>
            </w:pPr>
            <w:r w:rsidRPr="00505318">
              <w:rPr>
                <w:rFonts w:cs="Calibri"/>
                <w:color w:val="000000"/>
                <w:sz w:val="20"/>
                <w:szCs w:val="20"/>
              </w:rPr>
              <w:t>1.2%</w:t>
            </w:r>
          </w:p>
        </w:tc>
        <w:tc>
          <w:tcPr>
            <w:tcW w:w="1440" w:type="dxa"/>
            <w:tcBorders>
              <w:top w:val="nil"/>
              <w:left w:val="nil"/>
              <w:bottom w:val="single" w:sz="8" w:space="0" w:color="auto"/>
              <w:right w:val="single" w:sz="8" w:space="0" w:color="auto"/>
            </w:tcBorders>
            <w:shd w:val="clear" w:color="auto" w:fill="auto"/>
            <w:vAlign w:val="center"/>
            <w:hideMark/>
          </w:tcPr>
          <w:p w:rsidR="00AE0F80" w:rsidRPr="00505318" w:rsidRDefault="00AE0F80" w:rsidP="009F0F78">
            <w:pPr>
              <w:spacing w:before="0" w:line="240" w:lineRule="auto"/>
              <w:ind w:firstLine="0"/>
              <w:jc w:val="center"/>
              <w:rPr>
                <w:rFonts w:cs="Calibri"/>
                <w:color w:val="000000"/>
                <w:sz w:val="20"/>
                <w:szCs w:val="20"/>
              </w:rPr>
            </w:pPr>
            <w:r w:rsidRPr="00505318">
              <w:rPr>
                <w:rFonts w:cs="Calibri"/>
                <w:color w:val="000000"/>
                <w:sz w:val="20"/>
                <w:szCs w:val="20"/>
              </w:rPr>
              <w:t>1.2%</w:t>
            </w:r>
          </w:p>
        </w:tc>
        <w:tc>
          <w:tcPr>
            <w:tcW w:w="1530" w:type="dxa"/>
            <w:tcBorders>
              <w:top w:val="nil"/>
              <w:left w:val="nil"/>
              <w:bottom w:val="single" w:sz="8" w:space="0" w:color="auto"/>
              <w:right w:val="single" w:sz="8" w:space="0" w:color="auto"/>
            </w:tcBorders>
            <w:shd w:val="clear" w:color="auto" w:fill="auto"/>
            <w:vAlign w:val="center"/>
            <w:hideMark/>
          </w:tcPr>
          <w:p w:rsidR="00AE0F80" w:rsidRPr="00505318" w:rsidRDefault="00AE0F80" w:rsidP="009F0F78">
            <w:pPr>
              <w:spacing w:before="0" w:line="240" w:lineRule="auto"/>
              <w:ind w:firstLine="0"/>
              <w:jc w:val="center"/>
              <w:rPr>
                <w:rFonts w:cs="Calibri"/>
                <w:color w:val="000000"/>
                <w:sz w:val="20"/>
                <w:szCs w:val="20"/>
              </w:rPr>
            </w:pPr>
            <w:r w:rsidRPr="00505318">
              <w:rPr>
                <w:rFonts w:cs="Calibri"/>
                <w:color w:val="000000"/>
                <w:sz w:val="20"/>
                <w:szCs w:val="20"/>
              </w:rPr>
              <w:t>2.</w:t>
            </w:r>
            <w:r w:rsidRPr="00505318">
              <w:rPr>
                <w:rFonts w:cs="Calibri"/>
                <w:color w:val="000000"/>
                <w:sz w:val="20"/>
                <w:szCs w:val="20"/>
                <w:lang w:val="en-US"/>
              </w:rPr>
              <w:t>6</w:t>
            </w:r>
            <w:r w:rsidRPr="00505318">
              <w:rPr>
                <w:rFonts w:cs="Calibri"/>
                <w:color w:val="000000"/>
                <w:sz w:val="20"/>
                <w:szCs w:val="20"/>
              </w:rPr>
              <w:t>%</w:t>
            </w:r>
          </w:p>
        </w:tc>
        <w:tc>
          <w:tcPr>
            <w:tcW w:w="1260" w:type="dxa"/>
            <w:tcBorders>
              <w:top w:val="nil"/>
              <w:left w:val="nil"/>
              <w:bottom w:val="single" w:sz="8" w:space="0" w:color="auto"/>
              <w:right w:val="single" w:sz="8" w:space="0" w:color="auto"/>
            </w:tcBorders>
            <w:shd w:val="clear" w:color="auto" w:fill="auto"/>
            <w:vAlign w:val="center"/>
            <w:hideMark/>
          </w:tcPr>
          <w:p w:rsidR="00AE0F80" w:rsidRPr="00505318" w:rsidRDefault="00AE0F80" w:rsidP="009F0F78">
            <w:pPr>
              <w:spacing w:before="0" w:line="240" w:lineRule="auto"/>
              <w:ind w:firstLine="0"/>
              <w:jc w:val="center"/>
              <w:rPr>
                <w:rFonts w:cs="Calibri"/>
                <w:color w:val="000000"/>
                <w:sz w:val="20"/>
                <w:szCs w:val="20"/>
              </w:rPr>
            </w:pPr>
            <w:r w:rsidRPr="00505318">
              <w:rPr>
                <w:rFonts w:cs="Calibri"/>
                <w:color w:val="000000"/>
                <w:sz w:val="20"/>
                <w:szCs w:val="20"/>
              </w:rPr>
              <w:t>1.</w:t>
            </w:r>
            <w:r w:rsidRPr="00505318">
              <w:rPr>
                <w:rFonts w:cs="Calibri"/>
                <w:color w:val="000000"/>
                <w:sz w:val="20"/>
                <w:szCs w:val="20"/>
                <w:lang w:val="hy-AM"/>
              </w:rPr>
              <w:t>4</w:t>
            </w:r>
            <w:r w:rsidRPr="00505318">
              <w:rPr>
                <w:rFonts w:cs="Calibri"/>
                <w:color w:val="000000"/>
                <w:sz w:val="20"/>
                <w:szCs w:val="20"/>
              </w:rPr>
              <w:t>%</w:t>
            </w:r>
          </w:p>
        </w:tc>
      </w:tr>
      <w:tr w:rsidR="00AE0F80" w:rsidRPr="00505318" w:rsidTr="009F0F78">
        <w:trPr>
          <w:trHeight w:val="817"/>
        </w:trPr>
        <w:tc>
          <w:tcPr>
            <w:tcW w:w="2610" w:type="dxa"/>
            <w:tcBorders>
              <w:top w:val="nil"/>
              <w:left w:val="double" w:sz="6" w:space="0" w:color="auto"/>
              <w:bottom w:val="single" w:sz="8" w:space="0" w:color="auto"/>
              <w:right w:val="single" w:sz="8" w:space="0" w:color="auto"/>
            </w:tcBorders>
            <w:shd w:val="clear" w:color="auto" w:fill="auto"/>
            <w:vAlign w:val="center"/>
            <w:hideMark/>
          </w:tcPr>
          <w:p w:rsidR="00AE0F80" w:rsidRPr="00885973" w:rsidRDefault="00AE0F80" w:rsidP="009F0F78">
            <w:pPr>
              <w:spacing w:before="0" w:line="240" w:lineRule="auto"/>
              <w:ind w:firstLine="0"/>
              <w:jc w:val="left"/>
              <w:rPr>
                <w:rFonts w:cs="Calibri"/>
                <w:color w:val="000000"/>
                <w:sz w:val="20"/>
                <w:szCs w:val="20"/>
              </w:rPr>
            </w:pPr>
            <w:r w:rsidRPr="00505318">
              <w:rPr>
                <w:rFonts w:cs="Calibri"/>
                <w:color w:val="000000"/>
                <w:sz w:val="20"/>
                <w:szCs w:val="20"/>
                <w:lang w:val="hy-AM"/>
              </w:rPr>
              <w:t>-</w:t>
            </w:r>
            <w:r w:rsidRPr="00885973">
              <w:rPr>
                <w:rFonts w:cs="Calibri"/>
                <w:color w:val="000000"/>
                <w:sz w:val="20"/>
                <w:szCs w:val="20"/>
              </w:rPr>
              <w:t xml:space="preserve"> </w:t>
            </w:r>
            <w:r w:rsidRPr="00505318">
              <w:rPr>
                <w:rFonts w:cs="Calibri"/>
                <w:color w:val="000000"/>
                <w:sz w:val="20"/>
                <w:szCs w:val="20"/>
                <w:lang w:val="hy-AM"/>
              </w:rPr>
              <w:t>տեսակարար կշիռը ծախսերի ամբողջ ծավալում (%)</w:t>
            </w:r>
          </w:p>
        </w:tc>
        <w:tc>
          <w:tcPr>
            <w:tcW w:w="1219" w:type="dxa"/>
            <w:tcBorders>
              <w:top w:val="nil"/>
              <w:left w:val="nil"/>
              <w:bottom w:val="single" w:sz="8" w:space="0" w:color="auto"/>
              <w:right w:val="single" w:sz="8" w:space="0" w:color="auto"/>
            </w:tcBorders>
            <w:shd w:val="clear" w:color="auto" w:fill="auto"/>
            <w:vAlign w:val="center"/>
            <w:hideMark/>
          </w:tcPr>
          <w:p w:rsidR="00AE0F80" w:rsidRPr="00505318" w:rsidRDefault="00AE0F80" w:rsidP="009F0F78">
            <w:pPr>
              <w:spacing w:before="0" w:line="240" w:lineRule="auto"/>
              <w:ind w:firstLine="0"/>
              <w:jc w:val="center"/>
              <w:rPr>
                <w:rFonts w:cs="Calibri"/>
                <w:color w:val="000000"/>
                <w:sz w:val="20"/>
                <w:szCs w:val="20"/>
              </w:rPr>
            </w:pPr>
            <w:r w:rsidRPr="00505318">
              <w:rPr>
                <w:rFonts w:cs="Calibri"/>
                <w:color w:val="000000"/>
                <w:sz w:val="20"/>
                <w:szCs w:val="20"/>
              </w:rPr>
              <w:t>11.7%</w:t>
            </w:r>
          </w:p>
        </w:tc>
        <w:tc>
          <w:tcPr>
            <w:tcW w:w="1391" w:type="dxa"/>
            <w:tcBorders>
              <w:top w:val="nil"/>
              <w:left w:val="nil"/>
              <w:bottom w:val="single" w:sz="8" w:space="0" w:color="auto"/>
              <w:right w:val="single" w:sz="8" w:space="0" w:color="auto"/>
            </w:tcBorders>
            <w:shd w:val="clear" w:color="auto" w:fill="auto"/>
            <w:vAlign w:val="center"/>
            <w:hideMark/>
          </w:tcPr>
          <w:p w:rsidR="00AE0F80" w:rsidRPr="00505318" w:rsidRDefault="00AE0F80" w:rsidP="009F0F78">
            <w:pPr>
              <w:spacing w:before="0" w:line="240" w:lineRule="auto"/>
              <w:ind w:firstLine="0"/>
              <w:jc w:val="center"/>
              <w:rPr>
                <w:rFonts w:cs="Calibri"/>
                <w:color w:val="000000"/>
                <w:sz w:val="20"/>
                <w:szCs w:val="20"/>
              </w:rPr>
            </w:pPr>
            <w:r w:rsidRPr="00505318">
              <w:rPr>
                <w:rFonts w:cs="Calibri"/>
                <w:color w:val="000000"/>
                <w:sz w:val="20"/>
                <w:szCs w:val="20"/>
              </w:rPr>
              <w:t>4.8%</w:t>
            </w:r>
          </w:p>
        </w:tc>
        <w:tc>
          <w:tcPr>
            <w:tcW w:w="1440" w:type="dxa"/>
            <w:tcBorders>
              <w:top w:val="nil"/>
              <w:left w:val="nil"/>
              <w:bottom w:val="single" w:sz="8" w:space="0" w:color="auto"/>
              <w:right w:val="single" w:sz="8" w:space="0" w:color="auto"/>
            </w:tcBorders>
            <w:shd w:val="clear" w:color="auto" w:fill="auto"/>
            <w:vAlign w:val="center"/>
            <w:hideMark/>
          </w:tcPr>
          <w:p w:rsidR="00AE0F80" w:rsidRPr="00505318" w:rsidRDefault="00AE0F80" w:rsidP="009F0F78">
            <w:pPr>
              <w:spacing w:before="0" w:line="240" w:lineRule="auto"/>
              <w:ind w:firstLine="0"/>
              <w:jc w:val="center"/>
              <w:rPr>
                <w:rFonts w:cs="Calibri"/>
                <w:color w:val="000000"/>
                <w:sz w:val="20"/>
                <w:szCs w:val="20"/>
              </w:rPr>
            </w:pPr>
            <w:r w:rsidRPr="00505318">
              <w:rPr>
                <w:rFonts w:cs="Calibri"/>
                <w:color w:val="000000"/>
                <w:sz w:val="20"/>
                <w:szCs w:val="20"/>
              </w:rPr>
              <w:t>4.7%</w:t>
            </w:r>
          </w:p>
        </w:tc>
        <w:tc>
          <w:tcPr>
            <w:tcW w:w="1530" w:type="dxa"/>
            <w:tcBorders>
              <w:top w:val="nil"/>
              <w:left w:val="nil"/>
              <w:bottom w:val="single" w:sz="8" w:space="0" w:color="auto"/>
              <w:right w:val="single" w:sz="8" w:space="0" w:color="auto"/>
            </w:tcBorders>
            <w:shd w:val="clear" w:color="auto" w:fill="auto"/>
            <w:vAlign w:val="center"/>
            <w:hideMark/>
          </w:tcPr>
          <w:p w:rsidR="00AE0F80" w:rsidRPr="00505318" w:rsidRDefault="00AE0F80" w:rsidP="009F0F78">
            <w:pPr>
              <w:spacing w:before="0" w:line="240" w:lineRule="auto"/>
              <w:ind w:firstLine="0"/>
              <w:jc w:val="center"/>
              <w:rPr>
                <w:rFonts w:cs="Calibri"/>
                <w:color w:val="000000"/>
                <w:sz w:val="20"/>
                <w:szCs w:val="20"/>
              </w:rPr>
            </w:pPr>
            <w:r w:rsidRPr="00505318">
              <w:rPr>
                <w:rFonts w:cs="Calibri"/>
                <w:color w:val="000000"/>
                <w:sz w:val="20"/>
                <w:szCs w:val="20"/>
              </w:rPr>
              <w:t>8.</w:t>
            </w:r>
            <w:r w:rsidRPr="00505318">
              <w:rPr>
                <w:rFonts w:cs="Calibri"/>
                <w:color w:val="000000"/>
                <w:sz w:val="20"/>
                <w:szCs w:val="20"/>
                <w:lang w:val="en-US"/>
              </w:rPr>
              <w:t>9</w:t>
            </w:r>
            <w:r w:rsidRPr="00505318">
              <w:rPr>
                <w:rFonts w:cs="Calibri"/>
                <w:color w:val="000000"/>
                <w:sz w:val="20"/>
                <w:szCs w:val="20"/>
              </w:rPr>
              <w:t>%</w:t>
            </w:r>
          </w:p>
        </w:tc>
        <w:tc>
          <w:tcPr>
            <w:tcW w:w="1260" w:type="dxa"/>
            <w:tcBorders>
              <w:top w:val="nil"/>
              <w:left w:val="nil"/>
              <w:bottom w:val="single" w:sz="8" w:space="0" w:color="auto"/>
              <w:right w:val="single" w:sz="8" w:space="0" w:color="auto"/>
            </w:tcBorders>
            <w:shd w:val="clear" w:color="auto" w:fill="auto"/>
            <w:vAlign w:val="center"/>
            <w:hideMark/>
          </w:tcPr>
          <w:p w:rsidR="00AE0F80" w:rsidRPr="00505318" w:rsidRDefault="00AE0F80" w:rsidP="009F0F78">
            <w:pPr>
              <w:spacing w:before="0" w:line="240" w:lineRule="auto"/>
              <w:ind w:firstLine="0"/>
              <w:jc w:val="center"/>
              <w:rPr>
                <w:rFonts w:cs="Calibri"/>
                <w:color w:val="000000"/>
                <w:sz w:val="20"/>
                <w:szCs w:val="20"/>
              </w:rPr>
            </w:pPr>
            <w:r w:rsidRPr="00505318">
              <w:rPr>
                <w:rFonts w:cs="Calibri"/>
                <w:color w:val="000000"/>
                <w:sz w:val="20"/>
                <w:szCs w:val="20"/>
              </w:rPr>
              <w:t>4.</w:t>
            </w:r>
            <w:r w:rsidRPr="00505318">
              <w:rPr>
                <w:rFonts w:cs="Calibri"/>
                <w:color w:val="000000"/>
                <w:sz w:val="20"/>
                <w:szCs w:val="20"/>
                <w:lang w:val="hy-AM"/>
              </w:rPr>
              <w:t>7</w:t>
            </w:r>
            <w:r w:rsidRPr="00505318">
              <w:rPr>
                <w:rFonts w:cs="Calibri"/>
                <w:color w:val="000000"/>
                <w:sz w:val="20"/>
                <w:szCs w:val="20"/>
              </w:rPr>
              <w:t>%</w:t>
            </w:r>
          </w:p>
        </w:tc>
      </w:tr>
    </w:tbl>
    <w:p w:rsidR="00AE0F80" w:rsidRPr="00505318" w:rsidRDefault="00AE0F80" w:rsidP="00AE0F80">
      <w:pPr>
        <w:spacing w:before="0" w:line="276" w:lineRule="auto"/>
        <w:ind w:firstLine="720"/>
        <w:rPr>
          <w:rFonts w:cs="Sylfaen"/>
          <w:highlight w:val="yellow"/>
        </w:rPr>
      </w:pPr>
    </w:p>
    <w:p w:rsidR="00AE0F80" w:rsidRPr="00505318" w:rsidRDefault="00AE0F80" w:rsidP="00AE0F80">
      <w:pPr>
        <w:spacing w:before="0" w:line="276" w:lineRule="auto"/>
        <w:rPr>
          <w:b w:val="0"/>
        </w:rPr>
      </w:pPr>
      <w:r w:rsidRPr="00505318">
        <w:rPr>
          <w:rFonts w:cs="Arial"/>
          <w:b w:val="0"/>
          <w:lang w:val="hy-AM"/>
        </w:rPr>
        <w:t>Արտաքին</w:t>
      </w:r>
      <w:r w:rsidRPr="00505318">
        <w:rPr>
          <w:b w:val="0"/>
          <w:lang w:val="hy-AM"/>
        </w:rPr>
        <w:t xml:space="preserve">  </w:t>
      </w:r>
      <w:r w:rsidRPr="00505318">
        <w:rPr>
          <w:rFonts w:cs="Arial"/>
          <w:b w:val="0"/>
          <w:lang w:val="hy-AM"/>
        </w:rPr>
        <w:t>աղբյուրներից</w:t>
      </w:r>
      <w:r w:rsidRPr="00505318">
        <w:rPr>
          <w:b w:val="0"/>
          <w:lang w:val="hy-AM"/>
        </w:rPr>
        <w:t xml:space="preserve"> </w:t>
      </w:r>
      <w:r w:rsidRPr="00505318">
        <w:rPr>
          <w:rFonts w:cs="Arial"/>
          <w:b w:val="0"/>
          <w:lang w:val="hy-AM"/>
        </w:rPr>
        <w:t>վարկերի</w:t>
      </w:r>
      <w:r w:rsidRPr="00505318">
        <w:rPr>
          <w:b w:val="0"/>
          <w:lang w:val="hy-AM"/>
        </w:rPr>
        <w:t xml:space="preserve"> </w:t>
      </w:r>
      <w:r w:rsidRPr="00505318">
        <w:rPr>
          <w:rFonts w:cs="Arial"/>
          <w:b w:val="0"/>
          <w:lang w:val="hy-AM"/>
        </w:rPr>
        <w:t>և</w:t>
      </w:r>
      <w:r w:rsidRPr="00505318">
        <w:rPr>
          <w:b w:val="0"/>
          <w:lang w:val="hy-AM"/>
        </w:rPr>
        <w:t xml:space="preserve"> </w:t>
      </w:r>
      <w:r w:rsidRPr="00505318">
        <w:rPr>
          <w:rFonts w:cs="Arial"/>
          <w:b w:val="0"/>
          <w:lang w:val="hy-AM"/>
        </w:rPr>
        <w:t>պաշտոնական</w:t>
      </w:r>
      <w:r w:rsidRPr="00505318">
        <w:rPr>
          <w:b w:val="0"/>
          <w:lang w:val="hy-AM"/>
        </w:rPr>
        <w:t xml:space="preserve"> </w:t>
      </w:r>
      <w:r w:rsidRPr="00505318">
        <w:rPr>
          <w:rFonts w:cs="Arial"/>
          <w:b w:val="0"/>
          <w:lang w:val="hy-AM"/>
        </w:rPr>
        <w:t>դրամաշնորհների</w:t>
      </w:r>
      <w:r w:rsidRPr="00505318">
        <w:rPr>
          <w:b w:val="0"/>
          <w:lang w:val="hy-AM"/>
        </w:rPr>
        <w:t xml:space="preserve"> </w:t>
      </w:r>
      <w:r w:rsidRPr="00505318">
        <w:rPr>
          <w:rFonts w:cs="Arial"/>
          <w:b w:val="0"/>
          <w:lang w:val="hy-AM"/>
        </w:rPr>
        <w:t>տեսքով</w:t>
      </w:r>
      <w:r w:rsidRPr="00505318">
        <w:rPr>
          <w:b w:val="0"/>
          <w:lang w:val="hy-AM"/>
        </w:rPr>
        <w:t xml:space="preserve"> </w:t>
      </w:r>
      <w:r w:rsidRPr="00505318">
        <w:rPr>
          <w:rFonts w:cs="Arial"/>
          <w:b w:val="0"/>
          <w:lang w:val="hy-AM"/>
        </w:rPr>
        <w:t>ստաց</w:t>
      </w:r>
      <w:r w:rsidRPr="00505318">
        <w:rPr>
          <w:b w:val="0"/>
          <w:lang w:val="hy-AM"/>
        </w:rPr>
        <w:softHyphen/>
      </w:r>
      <w:r w:rsidRPr="00505318">
        <w:rPr>
          <w:rFonts w:cs="Arial"/>
          <w:b w:val="0"/>
          <w:lang w:val="hy-AM"/>
        </w:rPr>
        <w:t>վե</w:t>
      </w:r>
      <w:r w:rsidRPr="00505318">
        <w:rPr>
          <w:b w:val="0"/>
          <w:lang w:val="hy-AM"/>
        </w:rPr>
        <w:softHyphen/>
      </w:r>
      <w:r w:rsidRPr="00505318">
        <w:rPr>
          <w:rFonts w:cs="Arial"/>
          <w:b w:val="0"/>
          <w:lang w:val="hy-AM"/>
        </w:rPr>
        <w:t>լիք</w:t>
      </w:r>
      <w:r w:rsidRPr="00505318">
        <w:rPr>
          <w:b w:val="0"/>
          <w:lang w:val="hy-AM"/>
        </w:rPr>
        <w:t xml:space="preserve"> </w:t>
      </w:r>
      <w:r w:rsidRPr="00505318">
        <w:rPr>
          <w:rFonts w:cs="Arial"/>
          <w:b w:val="0"/>
          <w:lang w:val="hy-AM"/>
        </w:rPr>
        <w:t>մի</w:t>
      </w:r>
      <w:r w:rsidRPr="00505318">
        <w:rPr>
          <w:b w:val="0"/>
          <w:lang w:val="hy-AM"/>
        </w:rPr>
        <w:softHyphen/>
      </w:r>
      <w:r w:rsidRPr="00505318">
        <w:rPr>
          <w:rFonts w:cs="Arial"/>
          <w:b w:val="0"/>
          <w:lang w:val="hy-AM"/>
        </w:rPr>
        <w:t>ջոցների</w:t>
      </w:r>
      <w:r w:rsidRPr="00505318">
        <w:rPr>
          <w:b w:val="0"/>
          <w:lang w:val="hy-AM"/>
        </w:rPr>
        <w:t xml:space="preserve"> </w:t>
      </w:r>
      <w:r w:rsidRPr="00505318">
        <w:rPr>
          <w:rFonts w:cs="Arial"/>
          <w:b w:val="0"/>
          <w:lang w:val="hy-AM"/>
        </w:rPr>
        <w:t>հաշվին</w:t>
      </w:r>
      <w:r w:rsidRPr="00505318">
        <w:rPr>
          <w:b w:val="0"/>
          <w:lang w:val="hy-AM"/>
        </w:rPr>
        <w:t xml:space="preserve"> 2021</w:t>
      </w:r>
      <w:r w:rsidRPr="00505318">
        <w:rPr>
          <w:rFonts w:cs="Arial"/>
          <w:b w:val="0"/>
          <w:lang w:val="hy-AM"/>
        </w:rPr>
        <w:t>թվականին ֆինանսավորվող</w:t>
      </w:r>
      <w:r w:rsidRPr="00505318">
        <w:rPr>
          <w:b w:val="0"/>
          <w:lang w:val="hy-AM"/>
        </w:rPr>
        <w:t xml:space="preserve"> </w:t>
      </w:r>
      <w:r w:rsidRPr="00505318">
        <w:rPr>
          <w:rFonts w:cs="Arial"/>
          <w:b w:val="0"/>
          <w:lang w:val="hy-AM"/>
        </w:rPr>
        <w:t>ծախսերի</w:t>
      </w:r>
      <w:r w:rsidRPr="00505318">
        <w:rPr>
          <w:b w:val="0"/>
          <w:lang w:val="hy-AM"/>
        </w:rPr>
        <w:t xml:space="preserve"> </w:t>
      </w:r>
      <w:r w:rsidRPr="00505318">
        <w:rPr>
          <w:rFonts w:cs="Arial"/>
          <w:b w:val="0"/>
          <w:lang w:val="hy-AM"/>
        </w:rPr>
        <w:t>տեսակարար կշիռը</w:t>
      </w:r>
      <w:r w:rsidRPr="00505318">
        <w:rPr>
          <w:b w:val="0"/>
          <w:lang w:val="hy-AM"/>
        </w:rPr>
        <w:t xml:space="preserve"> </w:t>
      </w:r>
      <w:r w:rsidRPr="00505318">
        <w:rPr>
          <w:rFonts w:cs="Arial"/>
          <w:b w:val="0"/>
          <w:lang w:val="hy-AM"/>
        </w:rPr>
        <w:t>ծախսերի</w:t>
      </w:r>
      <w:r w:rsidRPr="00505318">
        <w:rPr>
          <w:b w:val="0"/>
          <w:lang w:val="hy-AM"/>
        </w:rPr>
        <w:t xml:space="preserve"> </w:t>
      </w:r>
      <w:r w:rsidRPr="00505318">
        <w:rPr>
          <w:rFonts w:cs="Arial"/>
          <w:b w:val="0"/>
          <w:lang w:val="hy-AM"/>
        </w:rPr>
        <w:t>ամբողջ</w:t>
      </w:r>
      <w:r w:rsidRPr="00505318">
        <w:rPr>
          <w:b w:val="0"/>
          <w:lang w:val="hy-AM"/>
        </w:rPr>
        <w:t xml:space="preserve"> </w:t>
      </w:r>
      <w:r w:rsidRPr="00505318">
        <w:rPr>
          <w:rFonts w:cs="Arial"/>
          <w:b w:val="0"/>
          <w:lang w:val="hy-AM"/>
        </w:rPr>
        <w:t>ծավալում</w:t>
      </w:r>
      <w:r w:rsidRPr="00505318">
        <w:rPr>
          <w:b w:val="0"/>
          <w:lang w:val="hy-AM"/>
        </w:rPr>
        <w:t xml:space="preserve"> </w:t>
      </w:r>
      <w:r w:rsidRPr="00505318">
        <w:rPr>
          <w:rFonts w:cs="Arial"/>
          <w:b w:val="0"/>
          <w:lang w:val="hy-AM"/>
        </w:rPr>
        <w:t>կազմում</w:t>
      </w:r>
      <w:r w:rsidRPr="00505318">
        <w:rPr>
          <w:b w:val="0"/>
          <w:lang w:val="hy-AM"/>
        </w:rPr>
        <w:t xml:space="preserve"> </w:t>
      </w:r>
      <w:r w:rsidRPr="00505318">
        <w:rPr>
          <w:rFonts w:cs="Arial"/>
          <w:b w:val="0"/>
          <w:lang w:val="hy-AM"/>
        </w:rPr>
        <w:t>է</w:t>
      </w:r>
      <w:r w:rsidRPr="00505318">
        <w:rPr>
          <w:b w:val="0"/>
          <w:lang w:val="hy-AM"/>
        </w:rPr>
        <w:t xml:space="preserve"> </w:t>
      </w:r>
      <w:r w:rsidRPr="00505318">
        <w:rPr>
          <w:b w:val="0"/>
        </w:rPr>
        <w:t>4.</w:t>
      </w:r>
      <w:r w:rsidRPr="00505318">
        <w:rPr>
          <w:b w:val="0"/>
          <w:lang w:val="hy-AM"/>
        </w:rPr>
        <w:t xml:space="preserve">7% </w:t>
      </w:r>
      <w:r w:rsidRPr="00505318">
        <w:rPr>
          <w:rFonts w:cs="Arial"/>
          <w:b w:val="0"/>
          <w:lang w:val="hy-AM"/>
        </w:rPr>
        <w:t>և</w:t>
      </w:r>
      <w:r w:rsidRPr="00505318">
        <w:rPr>
          <w:b w:val="0"/>
          <w:lang w:val="hy-AM"/>
        </w:rPr>
        <w:t xml:space="preserve"> </w:t>
      </w:r>
      <w:r w:rsidRPr="00505318">
        <w:rPr>
          <w:rFonts w:cs="Arial"/>
          <w:b w:val="0"/>
          <w:lang w:val="hy-AM"/>
        </w:rPr>
        <w:t>ՀՆԱ</w:t>
      </w:r>
      <w:r w:rsidRPr="00505318">
        <w:rPr>
          <w:b w:val="0"/>
          <w:lang w:val="hy-AM"/>
        </w:rPr>
        <w:t>-</w:t>
      </w:r>
      <w:r w:rsidRPr="00505318">
        <w:rPr>
          <w:rFonts w:cs="Arial"/>
          <w:b w:val="0"/>
          <w:lang w:val="hy-AM"/>
        </w:rPr>
        <w:t>ի</w:t>
      </w:r>
      <w:r w:rsidRPr="00505318">
        <w:rPr>
          <w:b w:val="0"/>
          <w:lang w:val="hy-AM"/>
        </w:rPr>
        <w:t xml:space="preserve"> </w:t>
      </w:r>
      <w:r w:rsidRPr="00505318">
        <w:rPr>
          <w:rFonts w:cs="Arial"/>
          <w:b w:val="0"/>
          <w:lang w:val="hy-AM"/>
        </w:rPr>
        <w:t>նկատ</w:t>
      </w:r>
      <w:r w:rsidRPr="00505318">
        <w:rPr>
          <w:b w:val="0"/>
          <w:lang w:val="hy-AM"/>
        </w:rPr>
        <w:softHyphen/>
      </w:r>
      <w:r w:rsidRPr="00505318">
        <w:rPr>
          <w:rFonts w:cs="Arial"/>
          <w:b w:val="0"/>
          <w:lang w:val="hy-AM"/>
        </w:rPr>
        <w:t>մամբ՝</w:t>
      </w:r>
      <w:r w:rsidRPr="00505318">
        <w:rPr>
          <w:b w:val="0"/>
          <w:lang w:val="hy-AM"/>
        </w:rPr>
        <w:t xml:space="preserve"> </w:t>
      </w:r>
      <w:r w:rsidRPr="00505318">
        <w:rPr>
          <w:b w:val="0"/>
        </w:rPr>
        <w:t>1.</w:t>
      </w:r>
      <w:r w:rsidRPr="00505318">
        <w:rPr>
          <w:b w:val="0"/>
          <w:lang w:val="hy-AM"/>
        </w:rPr>
        <w:t xml:space="preserve">4%: </w:t>
      </w:r>
    </w:p>
    <w:p w:rsidR="00AE0F80" w:rsidRDefault="00AE0F80" w:rsidP="00AE0F80">
      <w:pPr>
        <w:spacing w:before="0" w:line="276" w:lineRule="auto"/>
        <w:ind w:firstLine="562"/>
        <w:contextualSpacing w:val="0"/>
        <w:rPr>
          <w:rFonts w:cs="Sylfaen"/>
          <w:b w:val="0"/>
          <w:iCs/>
          <w:szCs w:val="22"/>
          <w:lang w:eastAsia="en-GB"/>
        </w:rPr>
      </w:pPr>
    </w:p>
    <w:p w:rsidR="00575405" w:rsidRDefault="00575405" w:rsidP="007730AA">
      <w:pPr>
        <w:spacing w:before="0" w:line="276" w:lineRule="auto"/>
        <w:ind w:firstLine="562"/>
        <w:contextualSpacing w:val="0"/>
        <w:rPr>
          <w:rFonts w:cs="Sylfaen"/>
          <w:b w:val="0"/>
          <w:iCs/>
          <w:szCs w:val="22"/>
          <w:lang w:eastAsia="en-GB"/>
        </w:rPr>
      </w:pPr>
    </w:p>
    <w:p w:rsidR="000123D5" w:rsidRPr="004C6A24" w:rsidRDefault="000123D5" w:rsidP="007730AA">
      <w:pPr>
        <w:keepNext/>
        <w:tabs>
          <w:tab w:val="left" w:pos="709"/>
        </w:tabs>
        <w:spacing w:before="0" w:line="276" w:lineRule="auto"/>
        <w:jc w:val="left"/>
        <w:outlineLvl w:val="2"/>
        <w:rPr>
          <w:rFonts w:eastAsia="Calibri" w:cs="GHEA Grapalat"/>
          <w:bCs/>
          <w:sz w:val="24"/>
          <w:szCs w:val="26"/>
          <w:lang w:val="af-ZA" w:eastAsia="en-US"/>
        </w:rPr>
      </w:pPr>
      <w:bookmarkStart w:id="213" w:name="_Toc45838537"/>
      <w:bookmarkStart w:id="214" w:name="_Toc46154365"/>
      <w:bookmarkStart w:id="215" w:name="_Toc57655471"/>
      <w:r w:rsidRPr="004C6A24">
        <w:rPr>
          <w:rFonts w:eastAsia="Calibri" w:cs="GHEA Grapalat"/>
          <w:bCs/>
          <w:sz w:val="24"/>
          <w:szCs w:val="26"/>
          <w:lang w:val="af-ZA" w:eastAsia="en-US"/>
        </w:rPr>
        <w:t>2021Թ.  ԿԱՊԻՏԱԼ ԾԱԽՍԵՐԻ ԵՎ ՆՈՐ ՆԱԽԱՁԵՌՆՈՒԹՅՈՒՆՆԵՐԻ ԳԾՈՎ ԱՌԱՋՆԱՀԵՐԹՈՒԹՅՈՒՆՆԵՐԸ</w:t>
      </w:r>
      <w:bookmarkEnd w:id="213"/>
      <w:bookmarkEnd w:id="214"/>
      <w:bookmarkEnd w:id="215"/>
    </w:p>
    <w:p w:rsidR="004052C6" w:rsidRPr="004052C6" w:rsidRDefault="004052C6" w:rsidP="007730AA">
      <w:pPr>
        <w:spacing w:before="0" w:line="276" w:lineRule="auto"/>
        <w:ind w:firstLine="475"/>
        <w:rPr>
          <w:b w:val="0"/>
          <w:lang w:val="hy-AM"/>
        </w:rPr>
      </w:pPr>
      <w:r w:rsidRPr="004052C6">
        <w:rPr>
          <w:b w:val="0"/>
          <w:lang w:val="hy-AM"/>
        </w:rPr>
        <w:t>ՀՀ կառավարության ծրագրին համապատասխան ծախսային քաղաքականության արդյունավետության բարձրացման տեսանկյունից կարևորում է հանրային ֆինանսների նպատակային, խնայողաբար և ադյունավետ օգտագործումը, ինչի արդյունքում ՀՀ պետական բյուջեի ծախսերի կառուցվածքում աստիճանաբար հնարավորության սահմաններում կմեծանա մարդկային կապիտալին և ենթակառուցվածքներին ուղղվող ծախսերի տեսակարար կշիռը:</w:t>
      </w:r>
    </w:p>
    <w:p w:rsidR="004052C6" w:rsidRPr="004052C6" w:rsidRDefault="004052C6" w:rsidP="007730AA">
      <w:pPr>
        <w:spacing w:before="0" w:line="276" w:lineRule="auto"/>
        <w:ind w:firstLine="475"/>
        <w:rPr>
          <w:b w:val="0"/>
          <w:lang w:val="hy-AM"/>
        </w:rPr>
      </w:pPr>
      <w:r w:rsidRPr="004052C6">
        <w:rPr>
          <w:b w:val="0"/>
          <w:lang w:val="hy-AM"/>
        </w:rPr>
        <w:t>Երկարաժամկետ տնտեսական աճի ապահովման տեսանկյունից կարևորելով կապիտալ ծախսերի, ինչպես նաև կառավարության կողմից ընդունված ռազմավարական ծրագրերի դերն ու նշանակությունը, մյուս կողմից հաշվի առնելով 2021թվականի բյուջեի հարկաբյուջետային շրջանակի սահմանափակումները 2021 թվականի բյուջեում առանձին հավելվածներով ներկայացվել են ծախսային առաջնահերթություններ համարվող կապիտալ ծախսերը, ռազմավարություններից բխող նոր նախաձեռնությունները և վարկային միջոցների հաշվին իրականացվող միջոցառումների առաջնահերթությունները, որոնք զետեղվել են N 6 հավերվածում: Նշված ծախսերը դիտարկվում են որպես առաջնահերթություններ և 2021թ. բյուջեում լրացուցիչ ֆինանսական միջոցների առկայության պայմաններում (Հայաստանի Հանրապետության տնտեսական զարգացման բարենպաստ միջավայրի և այլ գործոններով պայմանավորված), ինչպես նաև 2021թ. բյուջեով նախատեսված ծախսերի կրճատման, ծախսային ուղղությունների գծով հնարավոր գերակայությունների (առաջնահերթությունների) փոփոխման արդյունքում վերաբաշխումների (փոխատեղումների), խնայողությունների առկայության, Հայաստանի Հանրապետության օրենսդրությամբ սահմանված կարգով Հայաստանի Հանրապետության պետական բյուջեի դեֆիցիտի սահմանաչափի ավելացման պարագայում վերջիններիս ֆինանսավորումը պետք է իրականացվի առաջնահերթ կարգով՝ կապիտալ ծախսերի դեպքում հիմք ընդունելով համապատասխան նախագծանախահաշվային փաստաթղթերի հիման վրա այդ աշխատանքների արժեքների ճշգրտումները։</w:t>
      </w:r>
    </w:p>
    <w:p w:rsidR="004052C6" w:rsidRPr="00757FBA" w:rsidRDefault="004052C6" w:rsidP="007730AA">
      <w:pPr>
        <w:spacing w:before="0" w:line="276" w:lineRule="auto"/>
        <w:ind w:firstLine="475"/>
        <w:rPr>
          <w:b w:val="0"/>
          <w:lang w:val="hy-AM"/>
        </w:rPr>
      </w:pPr>
      <w:r w:rsidRPr="004052C6">
        <w:rPr>
          <w:b w:val="0"/>
          <w:lang w:val="hy-AM"/>
        </w:rPr>
        <w:t xml:space="preserve">2021 թվականի համար առաջնահերթ կապիտալ ծախսերը կազմում են 69,864.5 մլն. դրամ, </w:t>
      </w:r>
      <w:r w:rsidRPr="004052C6">
        <w:rPr>
          <w:rFonts w:cs="Arial"/>
          <w:b w:val="0"/>
          <w:lang w:val="hy-AM"/>
        </w:rPr>
        <w:t>ռազմավարություններից</w:t>
      </w:r>
      <w:r w:rsidRPr="004052C6">
        <w:rPr>
          <w:rFonts w:cs="Arial"/>
          <w:b w:val="0"/>
          <w:lang w:val="es-ES"/>
        </w:rPr>
        <w:t xml:space="preserve"> </w:t>
      </w:r>
      <w:r w:rsidRPr="004052C6">
        <w:rPr>
          <w:rFonts w:cs="Arial"/>
          <w:b w:val="0"/>
          <w:lang w:val="hy-AM"/>
        </w:rPr>
        <w:t>բխող</w:t>
      </w:r>
      <w:r w:rsidRPr="004052C6">
        <w:rPr>
          <w:rFonts w:cs="Arial"/>
          <w:b w:val="0"/>
          <w:lang w:val="es-ES"/>
        </w:rPr>
        <w:t xml:space="preserve"> </w:t>
      </w:r>
      <w:r w:rsidRPr="004052C6">
        <w:rPr>
          <w:rFonts w:cs="Arial"/>
          <w:b w:val="0"/>
          <w:lang w:val="hy-AM"/>
        </w:rPr>
        <w:t>նոր</w:t>
      </w:r>
      <w:r w:rsidRPr="004052C6">
        <w:rPr>
          <w:rFonts w:cs="Arial"/>
          <w:b w:val="0"/>
          <w:lang w:val="es-ES"/>
        </w:rPr>
        <w:t xml:space="preserve"> </w:t>
      </w:r>
      <w:r w:rsidRPr="004052C6">
        <w:rPr>
          <w:rFonts w:cs="Arial"/>
          <w:b w:val="0"/>
          <w:lang w:val="hy-AM"/>
        </w:rPr>
        <w:t xml:space="preserve">նախաձեռնությունների </w:t>
      </w:r>
      <w:r w:rsidRPr="00757FBA">
        <w:rPr>
          <w:b w:val="0"/>
          <w:lang w:val="hy-AM"/>
        </w:rPr>
        <w:t xml:space="preserve">գծով ծախսերը՝ </w:t>
      </w:r>
      <w:r w:rsidR="00601307" w:rsidRPr="00757FBA">
        <w:rPr>
          <w:b w:val="0"/>
          <w:lang w:val="hy-AM"/>
        </w:rPr>
        <w:t>3</w:t>
      </w:r>
      <w:r w:rsidR="00130243" w:rsidRPr="00130243">
        <w:rPr>
          <w:b w:val="0"/>
          <w:lang w:val="hy-AM"/>
        </w:rPr>
        <w:t>5</w:t>
      </w:r>
      <w:r w:rsidR="00601307" w:rsidRPr="00757FBA">
        <w:rPr>
          <w:b w:val="0"/>
          <w:lang w:val="hy-AM"/>
        </w:rPr>
        <w:t>,</w:t>
      </w:r>
      <w:r w:rsidR="00130243" w:rsidRPr="00130243">
        <w:rPr>
          <w:b w:val="0"/>
          <w:lang w:val="hy-AM"/>
        </w:rPr>
        <w:t>57</w:t>
      </w:r>
      <w:r w:rsidR="00601307" w:rsidRPr="00757FBA">
        <w:rPr>
          <w:b w:val="0"/>
          <w:lang w:val="hy-AM"/>
        </w:rPr>
        <w:t>4,1</w:t>
      </w:r>
      <w:r w:rsidRPr="00757FBA">
        <w:rPr>
          <w:b w:val="0"/>
          <w:lang w:val="hy-AM"/>
        </w:rPr>
        <w:t xml:space="preserve"> մլն. դրամ, իսկ </w:t>
      </w:r>
      <w:r w:rsidRPr="004052C6">
        <w:rPr>
          <w:b w:val="0"/>
          <w:lang w:val="hy-AM"/>
        </w:rPr>
        <w:t xml:space="preserve">վարկային </w:t>
      </w:r>
      <w:r w:rsidR="00757FBA">
        <w:rPr>
          <w:b w:val="0"/>
          <w:lang w:val="hy-AM"/>
        </w:rPr>
        <w:t xml:space="preserve">ծրագրերի </w:t>
      </w:r>
      <w:r w:rsidRPr="004052C6">
        <w:rPr>
          <w:b w:val="0"/>
          <w:lang w:val="hy-AM"/>
        </w:rPr>
        <w:t>հաշվին իրականացվող միջոցառումների առաջնահերթությունները՝</w:t>
      </w:r>
      <w:r w:rsidRPr="00757FBA">
        <w:rPr>
          <w:b w:val="0"/>
          <w:lang w:val="hy-AM"/>
        </w:rPr>
        <w:t xml:space="preserve"> </w:t>
      </w:r>
      <w:r w:rsidR="00757FBA" w:rsidRPr="00757FBA">
        <w:rPr>
          <w:b w:val="0"/>
          <w:lang w:val="hy-AM"/>
        </w:rPr>
        <w:t xml:space="preserve">53,704․3 մլն դրամ, որից վարկային միջոցներ՝ </w:t>
      </w:r>
      <w:r w:rsidRPr="00757FBA">
        <w:rPr>
          <w:b w:val="0"/>
          <w:lang w:val="hy-AM"/>
        </w:rPr>
        <w:t>41,751.7մլն.դրամ:</w:t>
      </w:r>
    </w:p>
    <w:p w:rsidR="000123D5" w:rsidRDefault="004052C6" w:rsidP="007730AA">
      <w:pPr>
        <w:spacing w:before="0" w:line="276" w:lineRule="auto"/>
        <w:ind w:firstLine="475"/>
        <w:rPr>
          <w:lang w:val="hy-AM"/>
        </w:rPr>
      </w:pPr>
      <w:r w:rsidRPr="004052C6">
        <w:rPr>
          <w:b w:val="0"/>
          <w:lang w:val="hy-AM"/>
        </w:rPr>
        <w:t>Կապիտալ ծրագրերի դերը կարևորվել է նաև ՊՖԿՀ բարեփոխումների ռազմավարությունում, որտեղ ընդգրկված է նաև «Հանրային ներդրումների կառավարման» համակարգի ներդրումը, որը հանդիսանում է կապիտալ ծրագրերի գնահատման, առաջնահերթությունների որոշման և ֆինանսավորման համար անհրաժեշտ ռեսուրսների հաշվարկման առանցքային գործիքակազմի բաղադրիչներից մեկը: Այս միջոցառման իրականացումը ապագայում կնպաստի կապիտալ ծախսերի իրականացման արդյունավետության բարձրացմանը՝ խթանելով երկարաժամկետ տնտեսական աճի արագացումը:</w:t>
      </w:r>
      <w:r w:rsidRPr="004052C6">
        <w:rPr>
          <w:b w:val="0"/>
          <w:sz w:val="24"/>
          <w:lang w:val="hy-AM"/>
        </w:rPr>
        <w:t xml:space="preserve"> </w:t>
      </w:r>
      <w:r w:rsidR="000123D5" w:rsidRPr="000123D5">
        <w:rPr>
          <w:b w:val="0"/>
          <w:lang w:val="hy-AM"/>
        </w:rPr>
        <w:br w:type="page"/>
      </w:r>
    </w:p>
    <w:p w:rsidR="00E85612" w:rsidRPr="004C6A24" w:rsidRDefault="00E85612" w:rsidP="007730AA">
      <w:pPr>
        <w:keepNext/>
        <w:tabs>
          <w:tab w:val="left" w:pos="709"/>
        </w:tabs>
        <w:spacing w:before="0" w:line="276" w:lineRule="auto"/>
        <w:ind w:firstLine="0"/>
        <w:jc w:val="left"/>
        <w:outlineLvl w:val="2"/>
        <w:rPr>
          <w:rFonts w:eastAsia="Calibri" w:cs="GHEA Grapalat"/>
          <w:bCs/>
          <w:sz w:val="24"/>
          <w:szCs w:val="26"/>
          <w:lang w:val="af-ZA" w:eastAsia="en-US"/>
        </w:rPr>
      </w:pPr>
      <w:bookmarkStart w:id="216" w:name="_Toc57655472"/>
      <w:r w:rsidRPr="004C6A24">
        <w:rPr>
          <w:rFonts w:eastAsia="Calibri" w:cs="GHEA Grapalat"/>
          <w:bCs/>
          <w:sz w:val="24"/>
          <w:szCs w:val="26"/>
          <w:lang w:val="af-ZA" w:eastAsia="en-US"/>
        </w:rPr>
        <w:t xml:space="preserve">ԾԱԽՍԵՐՆ ԸՍՏ </w:t>
      </w:r>
      <w:r w:rsidRPr="004C6A24">
        <w:rPr>
          <w:rFonts w:eastAsia="Calibri" w:cs="GHEA Grapalat"/>
          <w:bCs/>
          <w:sz w:val="24"/>
          <w:szCs w:val="26"/>
          <w:lang w:val="hy-AM" w:eastAsia="en-US"/>
        </w:rPr>
        <w:t>ԲՅՈՒՋԵՏԱՅԻՆ ԳԼԽԱՎՈՐ ԿԱՐԳԱԴՐԻՉՆԵՐԻ</w:t>
      </w:r>
      <w:bookmarkEnd w:id="216"/>
    </w:p>
    <w:p w:rsidR="00FF0425" w:rsidRPr="00FF0425" w:rsidRDefault="00FF0425" w:rsidP="007730AA">
      <w:pPr>
        <w:keepNext/>
        <w:tabs>
          <w:tab w:val="left" w:pos="709"/>
        </w:tabs>
        <w:spacing w:before="0" w:line="276" w:lineRule="auto"/>
        <w:ind w:firstLine="0"/>
        <w:jc w:val="center"/>
        <w:outlineLvl w:val="2"/>
        <w:rPr>
          <w:rFonts w:eastAsia="Calibri" w:cs="GHEA Grapalat"/>
          <w:bCs/>
          <w:sz w:val="24"/>
          <w:szCs w:val="26"/>
          <w:lang w:val="af-ZA" w:eastAsia="en-US"/>
        </w:rPr>
      </w:pPr>
      <w:bookmarkStart w:id="217" w:name="_Toc57655473"/>
      <w:r w:rsidRPr="00FF0425">
        <w:rPr>
          <w:rFonts w:eastAsia="Calibri" w:cs="GHEA Grapalat"/>
          <w:bCs/>
          <w:sz w:val="24"/>
          <w:szCs w:val="26"/>
          <w:lang w:val="af-ZA" w:eastAsia="en-US"/>
        </w:rPr>
        <w:t>Պետական իշխանության մարմինների պահպանման ծախսեր</w:t>
      </w:r>
      <w:bookmarkEnd w:id="217"/>
    </w:p>
    <w:p w:rsidR="00236B20" w:rsidRPr="004118EA" w:rsidRDefault="00236B20" w:rsidP="007730AA">
      <w:pPr>
        <w:spacing w:before="0" w:line="276" w:lineRule="auto"/>
        <w:ind w:firstLine="720"/>
        <w:rPr>
          <w:rFonts w:cs="Sylfaen"/>
          <w:b w:val="0"/>
          <w:szCs w:val="22"/>
          <w:lang w:val="af-ZA" w:eastAsia="en-US"/>
        </w:rPr>
      </w:pPr>
      <w:r w:rsidRPr="004118EA">
        <w:rPr>
          <w:rFonts w:cs="Sylfaen"/>
          <w:b w:val="0"/>
          <w:szCs w:val="22"/>
          <w:lang w:val="hy-AM" w:eastAsia="en-US"/>
        </w:rPr>
        <w:t>Պետական մարմինների պահպանման ծախսերը ՀՀ 202</w:t>
      </w:r>
      <w:r w:rsidRPr="004118EA">
        <w:rPr>
          <w:rFonts w:cs="Sylfaen"/>
          <w:b w:val="0"/>
          <w:szCs w:val="22"/>
          <w:lang w:val="af-ZA" w:eastAsia="en-US"/>
        </w:rPr>
        <w:t>1</w:t>
      </w:r>
      <w:r w:rsidRPr="004118EA">
        <w:rPr>
          <w:rFonts w:cs="Sylfaen"/>
          <w:b w:val="0"/>
          <w:szCs w:val="22"/>
          <w:lang w:val="hy-AM" w:eastAsia="en-US"/>
        </w:rPr>
        <w:t xml:space="preserve"> թվականի պե</w:t>
      </w:r>
      <w:r w:rsidRPr="004118EA">
        <w:rPr>
          <w:rFonts w:cs="Sylfaen"/>
          <w:b w:val="0"/>
          <w:szCs w:val="22"/>
          <w:lang w:val="hy-AM" w:eastAsia="en-US"/>
        </w:rPr>
        <w:softHyphen/>
      </w:r>
      <w:r w:rsidRPr="004118EA">
        <w:rPr>
          <w:rFonts w:cs="Sylfaen"/>
          <w:b w:val="0"/>
          <w:szCs w:val="22"/>
          <w:lang w:val="hy-AM" w:eastAsia="en-US"/>
        </w:rPr>
        <w:softHyphen/>
        <w:t>տա</w:t>
      </w:r>
      <w:r w:rsidRPr="004118EA">
        <w:rPr>
          <w:rFonts w:cs="Sylfaen"/>
          <w:b w:val="0"/>
          <w:szCs w:val="22"/>
          <w:lang w:val="hy-AM" w:eastAsia="en-US"/>
        </w:rPr>
        <w:softHyphen/>
      </w:r>
      <w:r w:rsidRPr="004118EA">
        <w:rPr>
          <w:rFonts w:cs="Sylfaen"/>
          <w:b w:val="0"/>
          <w:szCs w:val="22"/>
          <w:lang w:val="hy-AM" w:eastAsia="en-US"/>
        </w:rPr>
        <w:softHyphen/>
      </w:r>
      <w:r w:rsidRPr="004118EA">
        <w:rPr>
          <w:rFonts w:cs="Sylfaen"/>
          <w:b w:val="0"/>
          <w:szCs w:val="22"/>
          <w:lang w:val="hy-AM" w:eastAsia="en-US"/>
        </w:rPr>
        <w:softHyphen/>
      </w:r>
      <w:r w:rsidRPr="004118EA">
        <w:rPr>
          <w:rFonts w:cs="Sylfaen"/>
          <w:b w:val="0"/>
          <w:szCs w:val="22"/>
          <w:lang w:val="hy-AM" w:eastAsia="en-US"/>
        </w:rPr>
        <w:softHyphen/>
        <w:t>կան բյուջեի նախագծում ծրագրավորվել են հիմք ընդունելով ՀՀ կառավա</w:t>
      </w:r>
      <w:r w:rsidRPr="004118EA">
        <w:rPr>
          <w:rFonts w:cs="Sylfaen"/>
          <w:b w:val="0"/>
          <w:szCs w:val="22"/>
          <w:lang w:val="hy-AM" w:eastAsia="en-US"/>
        </w:rPr>
        <w:softHyphen/>
        <w:t>րու</w:t>
      </w:r>
      <w:r w:rsidRPr="004118EA">
        <w:rPr>
          <w:rFonts w:cs="Sylfaen"/>
          <w:b w:val="0"/>
          <w:szCs w:val="22"/>
          <w:lang w:val="hy-AM" w:eastAsia="en-US"/>
        </w:rPr>
        <w:softHyphen/>
        <w:t>թյան 20</w:t>
      </w:r>
      <w:r w:rsidRPr="004118EA">
        <w:rPr>
          <w:rFonts w:cs="Sylfaen"/>
          <w:b w:val="0"/>
          <w:szCs w:val="22"/>
          <w:lang w:val="af-ZA" w:eastAsia="en-US"/>
        </w:rPr>
        <w:t>20</w:t>
      </w:r>
      <w:r w:rsidRPr="004118EA">
        <w:rPr>
          <w:rFonts w:cs="Sylfaen"/>
          <w:b w:val="0"/>
          <w:szCs w:val="22"/>
          <w:lang w:val="hy-AM" w:eastAsia="en-US"/>
        </w:rPr>
        <w:t xml:space="preserve"> թվականի հուլիսի 10-ի N</w:t>
      </w:r>
      <w:r w:rsidRPr="004118EA">
        <w:rPr>
          <w:rFonts w:ascii="Calibri" w:hAnsi="Calibri" w:cs="Calibri"/>
          <w:b w:val="0"/>
          <w:szCs w:val="22"/>
          <w:lang w:val="af-ZA" w:eastAsia="en-US"/>
        </w:rPr>
        <w:t> </w:t>
      </w:r>
      <w:r w:rsidRPr="004118EA">
        <w:rPr>
          <w:rFonts w:cs="Sylfaen"/>
          <w:b w:val="0"/>
          <w:szCs w:val="22"/>
          <w:lang w:val="af-ZA" w:eastAsia="en-US"/>
        </w:rPr>
        <w:t>1212</w:t>
      </w:r>
      <w:r w:rsidRPr="004118EA">
        <w:rPr>
          <w:rFonts w:cs="Sylfaen"/>
          <w:b w:val="0"/>
          <w:szCs w:val="22"/>
          <w:lang w:val="hy-AM" w:eastAsia="en-US"/>
        </w:rPr>
        <w:t>-Ն որոշմամբ հաստատված Հայաստանի Հանրապետության 202</w:t>
      </w:r>
      <w:r w:rsidRPr="004118EA">
        <w:rPr>
          <w:rFonts w:cs="Sylfaen"/>
          <w:b w:val="0"/>
          <w:szCs w:val="22"/>
          <w:lang w:val="af-ZA" w:eastAsia="en-US"/>
        </w:rPr>
        <w:t>1</w:t>
      </w:r>
      <w:r w:rsidRPr="004118EA">
        <w:rPr>
          <w:rFonts w:cs="Sylfaen"/>
          <w:b w:val="0"/>
          <w:szCs w:val="22"/>
          <w:lang w:val="hy-AM" w:eastAsia="en-US"/>
        </w:rPr>
        <w:t>-202</w:t>
      </w:r>
      <w:r w:rsidRPr="004118EA">
        <w:rPr>
          <w:rFonts w:cs="Sylfaen"/>
          <w:b w:val="0"/>
          <w:szCs w:val="22"/>
          <w:lang w:val="af-ZA" w:eastAsia="en-US"/>
        </w:rPr>
        <w:t>3</w:t>
      </w:r>
      <w:r w:rsidRPr="004118EA">
        <w:rPr>
          <w:rFonts w:cs="Sylfaen"/>
          <w:b w:val="0"/>
          <w:szCs w:val="22"/>
          <w:lang w:val="hy-AM" w:eastAsia="en-US"/>
        </w:rPr>
        <w:t xml:space="preserve"> թվականների պետական միջ</w:t>
      </w:r>
      <w:r w:rsidRPr="004118EA">
        <w:rPr>
          <w:rFonts w:cs="Sylfaen"/>
          <w:b w:val="0"/>
          <w:szCs w:val="22"/>
          <w:lang w:val="hy-AM" w:eastAsia="en-US"/>
        </w:rPr>
        <w:softHyphen/>
      </w:r>
      <w:r w:rsidRPr="004118EA">
        <w:rPr>
          <w:rFonts w:cs="Sylfaen"/>
          <w:b w:val="0"/>
          <w:szCs w:val="22"/>
          <w:lang w:val="hy-AM" w:eastAsia="en-US"/>
        </w:rPr>
        <w:softHyphen/>
      </w:r>
      <w:r w:rsidRPr="004118EA">
        <w:rPr>
          <w:rFonts w:cs="Sylfaen"/>
          <w:b w:val="0"/>
          <w:szCs w:val="22"/>
          <w:lang w:val="hy-AM" w:eastAsia="en-US"/>
        </w:rPr>
        <w:softHyphen/>
        <w:t>նա</w:t>
      </w:r>
      <w:r w:rsidRPr="004118EA">
        <w:rPr>
          <w:rFonts w:cs="Sylfaen"/>
          <w:b w:val="0"/>
          <w:szCs w:val="22"/>
          <w:lang w:val="hy-AM" w:eastAsia="en-US"/>
        </w:rPr>
        <w:softHyphen/>
      </w:r>
      <w:r w:rsidRPr="004118EA">
        <w:rPr>
          <w:rFonts w:cs="Sylfaen"/>
          <w:b w:val="0"/>
          <w:szCs w:val="22"/>
          <w:lang w:val="hy-AM" w:eastAsia="en-US"/>
        </w:rPr>
        <w:softHyphen/>
        <w:t>ժամկետ ծախսերի ծրագրային ցուցանիշները</w:t>
      </w:r>
      <w:r w:rsidRPr="004118EA">
        <w:rPr>
          <w:rFonts w:cs="Sylfaen"/>
          <w:b w:val="0"/>
          <w:szCs w:val="22"/>
          <w:lang w:val="af-ZA" w:eastAsia="en-US"/>
        </w:rPr>
        <w:t xml:space="preserve">, </w:t>
      </w:r>
      <w:r w:rsidRPr="004118EA">
        <w:rPr>
          <w:rFonts w:cs="Sylfaen"/>
          <w:b w:val="0"/>
          <w:szCs w:val="22"/>
          <w:lang w:val="hy-AM" w:eastAsia="en-US"/>
        </w:rPr>
        <w:t>որոնք ՀՀ 2021 թվականի պետական բյուջեի նախագծի կազմման ժամանակ</w:t>
      </w:r>
      <w:r w:rsidRPr="004118EA">
        <w:rPr>
          <w:rFonts w:cs="Sylfaen"/>
          <w:b w:val="0"/>
          <w:szCs w:val="22"/>
          <w:lang w:val="af-ZA" w:eastAsia="en-US"/>
        </w:rPr>
        <w:t>,</w:t>
      </w:r>
      <w:r w:rsidRPr="004118EA">
        <w:rPr>
          <w:rFonts w:cs="Sylfaen"/>
          <w:b w:val="0"/>
          <w:szCs w:val="22"/>
          <w:lang w:val="hy-AM" w:eastAsia="en-US"/>
        </w:rPr>
        <w:t xml:space="preserve"> ըստ անհրաժեշտության</w:t>
      </w:r>
      <w:r w:rsidRPr="004118EA">
        <w:rPr>
          <w:rFonts w:cs="Sylfaen"/>
          <w:b w:val="0"/>
          <w:szCs w:val="22"/>
          <w:lang w:val="af-ZA" w:eastAsia="en-US"/>
        </w:rPr>
        <w:t>,</w:t>
      </w:r>
      <w:r w:rsidRPr="004118EA">
        <w:rPr>
          <w:rFonts w:cs="Sylfaen"/>
          <w:b w:val="0"/>
          <w:szCs w:val="22"/>
          <w:lang w:val="hy-AM" w:eastAsia="en-US"/>
        </w:rPr>
        <w:t xml:space="preserve"> ճշտվել են օրենսդրական փոփոխություններին և կարգավորումներին համապատասխան:</w:t>
      </w:r>
      <w:r w:rsidRPr="004118EA">
        <w:rPr>
          <w:rFonts w:cs="Sylfaen"/>
          <w:b w:val="0"/>
          <w:szCs w:val="22"/>
          <w:lang w:val="af-ZA" w:eastAsia="en-US"/>
        </w:rPr>
        <w:t xml:space="preserve"> </w:t>
      </w:r>
    </w:p>
    <w:p w:rsidR="00236B20" w:rsidRPr="004118EA" w:rsidRDefault="00236B20" w:rsidP="007730AA">
      <w:pPr>
        <w:spacing w:before="0" w:line="276" w:lineRule="auto"/>
        <w:rPr>
          <w:b w:val="0"/>
          <w:szCs w:val="22"/>
          <w:lang w:val="hy-AM"/>
        </w:rPr>
      </w:pPr>
      <w:r w:rsidRPr="004118EA">
        <w:rPr>
          <w:rFonts w:cs="Sylfaen"/>
          <w:b w:val="0"/>
          <w:szCs w:val="22"/>
          <w:lang w:eastAsia="en-US"/>
        </w:rPr>
        <w:t>Պետական</w:t>
      </w:r>
      <w:r w:rsidRPr="004118EA">
        <w:rPr>
          <w:rFonts w:cs="Sylfaen"/>
          <w:b w:val="0"/>
          <w:szCs w:val="22"/>
          <w:lang w:val="hy-AM" w:eastAsia="en-US"/>
        </w:rPr>
        <w:t xml:space="preserve"> մարմինների պահպանման գծով ՀՀ 202</w:t>
      </w:r>
      <w:r w:rsidRPr="004118EA">
        <w:rPr>
          <w:rFonts w:cs="Sylfaen"/>
          <w:b w:val="0"/>
          <w:szCs w:val="22"/>
          <w:lang w:val="es-ES" w:eastAsia="en-US"/>
        </w:rPr>
        <w:t>1</w:t>
      </w:r>
      <w:r w:rsidRPr="004118EA">
        <w:rPr>
          <w:rFonts w:cs="Sylfaen"/>
          <w:b w:val="0"/>
          <w:szCs w:val="22"/>
          <w:lang w:val="hy-AM" w:eastAsia="en-US"/>
        </w:rPr>
        <w:t xml:space="preserve"> թվականի բյուջեի նախագծի ֆինանսական ցուցանիշները ծրագրավորելիս հաշվի են առնվել ինչպես պետական կառավարման համակարգի բարեփոխումները, այնպես էլ գործող օրենսդրության պահանջ</w:t>
      </w:r>
      <w:r w:rsidRPr="004118EA">
        <w:rPr>
          <w:rFonts w:cs="Sylfaen"/>
          <w:b w:val="0"/>
          <w:szCs w:val="22"/>
          <w:lang w:val="hy-AM" w:eastAsia="en-US"/>
        </w:rPr>
        <w:softHyphen/>
        <w:t xml:space="preserve">ները: </w:t>
      </w:r>
    </w:p>
    <w:p w:rsidR="00236B20" w:rsidRPr="004118EA" w:rsidRDefault="00236B20" w:rsidP="007730AA">
      <w:pPr>
        <w:spacing w:before="0" w:line="276" w:lineRule="auto"/>
        <w:rPr>
          <w:rFonts w:cs="Sylfaen"/>
          <w:b w:val="0"/>
          <w:szCs w:val="22"/>
          <w:lang w:val="af-ZA" w:eastAsia="en-US"/>
        </w:rPr>
      </w:pPr>
      <w:r w:rsidRPr="004118EA">
        <w:rPr>
          <w:rFonts w:cs="Sylfaen"/>
          <w:b w:val="0"/>
          <w:szCs w:val="22"/>
          <w:lang w:val="hy-AM" w:eastAsia="en-US"/>
        </w:rPr>
        <w:t>Ստորև ներկայացվում են պետական կառավարման համակարգին առնչվող օրենսդրական և իրավական այն կարգավորումները, որոնք անմիջականորեն որոշակի ազդեցություն են ունեցել 202</w:t>
      </w:r>
      <w:r w:rsidRPr="004118EA">
        <w:rPr>
          <w:rFonts w:cs="Sylfaen"/>
          <w:b w:val="0"/>
          <w:szCs w:val="22"/>
          <w:lang w:val="af-ZA" w:eastAsia="en-US"/>
        </w:rPr>
        <w:t>1</w:t>
      </w:r>
      <w:r w:rsidRPr="004118EA">
        <w:rPr>
          <w:rFonts w:cs="Sylfaen"/>
          <w:b w:val="0"/>
          <w:szCs w:val="22"/>
          <w:lang w:val="hy-AM" w:eastAsia="en-US"/>
        </w:rPr>
        <w:t xml:space="preserve"> թվականի պետական կառավարման համակարգի պահպանման ծախսերի ծրագրավորման վրա:</w:t>
      </w:r>
    </w:p>
    <w:p w:rsidR="00236B20" w:rsidRPr="004118EA" w:rsidRDefault="00236B20" w:rsidP="007730AA">
      <w:pPr>
        <w:spacing w:before="0" w:line="276" w:lineRule="auto"/>
        <w:ind w:firstLine="720"/>
        <w:rPr>
          <w:rFonts w:eastAsia="Calibri" w:cs="Sylfaen"/>
          <w:b w:val="0"/>
          <w:szCs w:val="22"/>
          <w:lang w:val="hy-AM" w:eastAsia="en-US"/>
        </w:rPr>
      </w:pPr>
      <w:r w:rsidRPr="004118EA">
        <w:rPr>
          <w:rFonts w:cs="Sylfaen"/>
          <w:b w:val="0"/>
          <w:szCs w:val="22"/>
          <w:lang w:val="hy-AM" w:eastAsia="en-US"/>
        </w:rPr>
        <w:t>ՀՀ Ազգային ժողովի կողմից 2020 թվականի հուլիսի 16-ին ընդունվել է «Տեսալսողական մեդիայի մասին» ՀՀ օրենքը, որի 23-րդ հոդվածով սահմանվում է, որ՝ Հանրային հեռարձակողի կառավարումն ապահովող և հսկողություն իրականացնող մարմինը Խորհուրդն է, որը</w:t>
      </w:r>
      <w:r w:rsidRPr="004118EA">
        <w:rPr>
          <w:rFonts w:eastAsia="Calibri" w:cs="Sylfaen"/>
          <w:b w:val="0"/>
          <w:szCs w:val="22"/>
          <w:lang w:val="hy-AM" w:eastAsia="en-US"/>
        </w:rPr>
        <w:t xml:space="preserve"> բաղկացած է յոթ անդամից՝ Խորհրդի նախագահ և Խորհրդի վեց անդամ: Մինչ այդ գործող </w:t>
      </w:r>
      <w:r w:rsidRPr="004118EA">
        <w:rPr>
          <w:rFonts w:cs="Sylfaen"/>
          <w:b w:val="0"/>
          <w:szCs w:val="22"/>
          <w:lang w:val="hy-AM" w:eastAsia="en-US"/>
        </w:rPr>
        <w:t>«</w:t>
      </w:r>
      <w:r w:rsidRPr="004118EA">
        <w:rPr>
          <w:rFonts w:eastAsia="Calibri" w:cs="Sylfaen"/>
          <w:b w:val="0"/>
          <w:szCs w:val="22"/>
          <w:lang w:val="hy-AM" w:eastAsia="en-US"/>
        </w:rPr>
        <w:t>Հեռուստատեսության և ռադիոյի մասին</w:t>
      </w:r>
      <w:r w:rsidRPr="004118EA">
        <w:rPr>
          <w:rFonts w:cs="Sylfaen"/>
          <w:b w:val="0"/>
          <w:szCs w:val="22"/>
          <w:lang w:val="hy-AM" w:eastAsia="en-US"/>
        </w:rPr>
        <w:t>»</w:t>
      </w:r>
      <w:r w:rsidRPr="004118EA">
        <w:rPr>
          <w:rFonts w:eastAsia="Calibri" w:cs="Sylfaen"/>
          <w:b w:val="0"/>
          <w:szCs w:val="22"/>
          <w:lang w:val="hy-AM" w:eastAsia="en-US"/>
        </w:rPr>
        <w:t xml:space="preserve"> ՀՀ օրենքի համաձայն</w:t>
      </w:r>
      <w:r w:rsidRPr="004118EA">
        <w:rPr>
          <w:rFonts w:eastAsia="Calibri" w:cs="Sylfaen"/>
          <w:b w:val="0"/>
          <w:szCs w:val="22"/>
          <w:lang w:val="af-ZA" w:eastAsia="en-US"/>
        </w:rPr>
        <w:t>,</w:t>
      </w:r>
      <w:r w:rsidRPr="004118EA">
        <w:rPr>
          <w:rFonts w:eastAsia="Calibri" w:cs="Sylfaen"/>
          <w:b w:val="0"/>
          <w:szCs w:val="22"/>
          <w:lang w:val="hy-AM" w:eastAsia="en-US"/>
        </w:rPr>
        <w:t xml:space="preserve"> Հեռուստառադիոընկերության խորհուրդը բաղկացած էր 5 անդամից։ </w:t>
      </w:r>
    </w:p>
    <w:p w:rsidR="00236B20" w:rsidRPr="004118EA" w:rsidRDefault="00236B20" w:rsidP="007730AA">
      <w:pPr>
        <w:spacing w:before="0" w:line="276" w:lineRule="auto"/>
        <w:ind w:firstLine="720"/>
        <w:rPr>
          <w:rFonts w:cs="Sylfaen"/>
          <w:b w:val="0"/>
          <w:szCs w:val="22"/>
          <w:lang w:val="hy-AM"/>
        </w:rPr>
      </w:pPr>
      <w:r w:rsidRPr="004118EA">
        <w:rPr>
          <w:rFonts w:cs="Sylfaen"/>
          <w:b w:val="0"/>
          <w:szCs w:val="22"/>
          <w:lang w:val="hy-AM"/>
        </w:rPr>
        <w:t>ՀՀ Ազգային ժողովի կողմից 2020 թվականի ապրիլի 16-ին ընդունվել է «Ապօրինի ծագում ունեցող գույքի բռնագանձման մասին» ՀՀ օրենքը, որի համաձայն ՀՀ դատախազությունում ստեղծվել է համապատասխան ստորաբաժանում:</w:t>
      </w:r>
      <w:r w:rsidRPr="004118EA">
        <w:rPr>
          <w:rFonts w:eastAsia="Calibri"/>
          <w:b w:val="0"/>
          <w:szCs w:val="22"/>
          <w:lang w:val="hy-AM" w:eastAsia="en-US"/>
        </w:rPr>
        <w:t xml:space="preserve"> </w:t>
      </w:r>
    </w:p>
    <w:p w:rsidR="00236B20" w:rsidRPr="004118EA" w:rsidRDefault="00236B20" w:rsidP="007730AA">
      <w:pPr>
        <w:spacing w:before="0" w:line="276" w:lineRule="auto"/>
        <w:ind w:firstLine="720"/>
        <w:rPr>
          <w:rFonts w:eastAsia="Calibri" w:cs="Sylfaen"/>
          <w:b w:val="0"/>
          <w:szCs w:val="22"/>
          <w:lang w:val="hy-AM" w:eastAsia="en-US"/>
        </w:rPr>
      </w:pPr>
      <w:r w:rsidRPr="004118EA">
        <w:rPr>
          <w:rFonts w:eastAsia="Calibri" w:cs="Sylfaen"/>
          <w:b w:val="0"/>
          <w:szCs w:val="22"/>
          <w:lang w:val="hy-AM" w:eastAsia="en-US"/>
        </w:rPr>
        <w:t>ՀՀ կառավարության 2019 թվականի դեկտեմբերի 12-ի N 1807-Ն որոշմամբ սահմանվել է, որ Ռուսաստանի Դաշնությունում Հայաստանի Հանրապետության դեսպանությանը կից գործում է Հայաստանի Հանրապետության մաքսային կցորդ՝ Ռուսաստանի Դաշնությունում Հայաստանի Հանրապետության դիվանագիտական ծառայության մարմնի խորհրդականի կարգավիճակով:</w:t>
      </w:r>
      <w:r w:rsidRPr="004118EA">
        <w:rPr>
          <w:rFonts w:eastAsia="Calibri"/>
          <w:b w:val="0"/>
          <w:szCs w:val="22"/>
          <w:lang w:val="hy-AM" w:eastAsia="en-US"/>
        </w:rPr>
        <w:t xml:space="preserve"> </w:t>
      </w:r>
      <w:r w:rsidRPr="004118EA">
        <w:rPr>
          <w:rFonts w:eastAsia="Calibri" w:cs="Sylfaen"/>
          <w:b w:val="0"/>
          <w:szCs w:val="22"/>
          <w:lang w:val="hy-AM" w:eastAsia="en-US"/>
        </w:rPr>
        <w:t>Մաքսային կցորդի նստավայրը տեղակայվում է Դաշնային մաքսային ծառայության Հյուսիս-Կովկասյան մաքսային վարչության Հյուսիս-Օսեթական մաքսատան շենքում՝ քաղաք Վլադիկավկաս։</w:t>
      </w:r>
    </w:p>
    <w:p w:rsidR="00236B20" w:rsidRPr="004118EA" w:rsidRDefault="00236B20" w:rsidP="007730AA">
      <w:pPr>
        <w:spacing w:before="0" w:line="276" w:lineRule="auto"/>
        <w:ind w:firstLine="720"/>
        <w:rPr>
          <w:rFonts w:cs="Sylfaen"/>
          <w:b w:val="0"/>
          <w:szCs w:val="22"/>
          <w:lang w:val="hy-AM" w:eastAsia="en-US"/>
        </w:rPr>
      </w:pPr>
    </w:p>
    <w:p w:rsidR="00236B20" w:rsidRPr="004118EA" w:rsidRDefault="00236B20" w:rsidP="007730AA">
      <w:pPr>
        <w:widowControl w:val="0"/>
        <w:tabs>
          <w:tab w:val="left" w:pos="810"/>
          <w:tab w:val="left" w:pos="993"/>
        </w:tabs>
        <w:spacing w:before="0" w:line="276" w:lineRule="auto"/>
        <w:ind w:firstLine="630"/>
        <w:rPr>
          <w:rFonts w:eastAsia="Calibri" w:cs="Sylfaen"/>
          <w:szCs w:val="22"/>
          <w:lang w:val="hy-AM"/>
        </w:rPr>
      </w:pPr>
      <w:r w:rsidRPr="004118EA">
        <w:rPr>
          <w:rFonts w:eastAsia="Calibri" w:cs="Sylfaen"/>
          <w:b w:val="0"/>
          <w:szCs w:val="22"/>
          <w:lang w:val="hy-AM"/>
        </w:rPr>
        <w:t xml:space="preserve">  </w:t>
      </w:r>
      <w:r w:rsidRPr="004118EA">
        <w:rPr>
          <w:rFonts w:eastAsia="Calibri" w:cs="Sylfaen"/>
          <w:szCs w:val="22"/>
          <w:lang w:val="hy-AM"/>
        </w:rPr>
        <w:t>Պետական մարմինների պահպանման ծախսերի ծրագրավորումը</w:t>
      </w:r>
    </w:p>
    <w:p w:rsidR="00236B20" w:rsidRPr="004118EA" w:rsidRDefault="00236B20" w:rsidP="007730AA">
      <w:pPr>
        <w:widowControl w:val="0"/>
        <w:tabs>
          <w:tab w:val="left" w:pos="810"/>
          <w:tab w:val="left" w:pos="993"/>
        </w:tabs>
        <w:spacing w:before="0" w:line="276" w:lineRule="auto"/>
        <w:ind w:firstLine="630"/>
        <w:rPr>
          <w:rFonts w:eastAsia="Calibri" w:cs="Sylfaen"/>
          <w:b w:val="0"/>
          <w:szCs w:val="22"/>
          <w:lang w:val="af-ZA"/>
        </w:rPr>
      </w:pPr>
      <w:r w:rsidRPr="004118EA">
        <w:rPr>
          <w:rFonts w:eastAsia="Calibri" w:cs="Sylfaen"/>
          <w:b w:val="0"/>
          <w:szCs w:val="22"/>
          <w:lang w:val="hy-AM"/>
        </w:rPr>
        <w:t>Ընդհանուր առմամբ, ՀՀ պետական բյու</w:t>
      </w:r>
      <w:r w:rsidRPr="004118EA">
        <w:rPr>
          <w:rFonts w:eastAsia="Calibri" w:cs="Sylfaen"/>
          <w:b w:val="0"/>
          <w:szCs w:val="22"/>
          <w:lang w:val="hy-AM"/>
        </w:rPr>
        <w:softHyphen/>
        <w:t>ջեի նախագծում պետական մարմինների պահ</w:t>
      </w:r>
      <w:r w:rsidRPr="004118EA">
        <w:rPr>
          <w:rFonts w:eastAsia="Calibri" w:cs="Sylfaen"/>
          <w:b w:val="0"/>
          <w:szCs w:val="22"/>
          <w:lang w:val="hy-AM"/>
        </w:rPr>
        <w:softHyphen/>
        <w:t>պան</w:t>
      </w:r>
      <w:r w:rsidRPr="004118EA">
        <w:rPr>
          <w:rFonts w:eastAsia="Calibri" w:cs="Sylfaen"/>
          <w:b w:val="0"/>
          <w:szCs w:val="22"/>
          <w:lang w:val="hy-AM"/>
        </w:rPr>
        <w:softHyphen/>
      </w:r>
      <w:r w:rsidRPr="004118EA">
        <w:rPr>
          <w:rFonts w:eastAsia="Calibri" w:cs="Sylfaen"/>
          <w:b w:val="0"/>
          <w:szCs w:val="22"/>
          <w:lang w:val="hy-AM"/>
        </w:rPr>
        <w:softHyphen/>
        <w:t>ման ծախ</w:t>
      </w:r>
      <w:r w:rsidRPr="004118EA">
        <w:rPr>
          <w:rFonts w:eastAsia="Calibri" w:cs="Sylfaen"/>
          <w:b w:val="0"/>
          <w:szCs w:val="22"/>
          <w:lang w:val="hy-AM"/>
        </w:rPr>
        <w:softHyphen/>
        <w:t xml:space="preserve">սերի ծրագրավորվող մակարդակի վրա ազդող գործոններն են՝ </w:t>
      </w:r>
    </w:p>
    <w:p w:rsidR="00236B20" w:rsidRPr="004118EA" w:rsidRDefault="00236B20" w:rsidP="007730AA">
      <w:pPr>
        <w:widowControl w:val="0"/>
        <w:tabs>
          <w:tab w:val="left" w:pos="810"/>
          <w:tab w:val="left" w:pos="993"/>
        </w:tabs>
        <w:spacing w:before="0" w:line="276" w:lineRule="auto"/>
        <w:ind w:firstLine="630"/>
        <w:rPr>
          <w:rFonts w:cs="Sylfaen"/>
          <w:b w:val="0"/>
          <w:szCs w:val="22"/>
          <w:lang w:val="hy-AM"/>
        </w:rPr>
      </w:pPr>
      <w:r w:rsidRPr="004118EA">
        <w:rPr>
          <w:rFonts w:cs="Sylfaen"/>
          <w:b w:val="0"/>
          <w:szCs w:val="22"/>
          <w:lang w:val="hy-AM"/>
        </w:rPr>
        <w:t>- պետական կառավարման համակարգի բարեփոխումներից բխող օրենսդրական փոփո</w:t>
      </w:r>
      <w:r w:rsidRPr="004118EA">
        <w:rPr>
          <w:rFonts w:cs="Sylfaen"/>
          <w:b w:val="0"/>
          <w:szCs w:val="22"/>
          <w:lang w:val="hy-AM"/>
        </w:rPr>
        <w:softHyphen/>
        <w:t xml:space="preserve">խությունները, </w:t>
      </w:r>
    </w:p>
    <w:p w:rsidR="00236B20" w:rsidRPr="004118EA" w:rsidRDefault="00236B20" w:rsidP="007730AA">
      <w:pPr>
        <w:widowControl w:val="0"/>
        <w:tabs>
          <w:tab w:val="left" w:pos="810"/>
          <w:tab w:val="left" w:pos="993"/>
        </w:tabs>
        <w:spacing w:before="0" w:line="276" w:lineRule="auto"/>
        <w:ind w:firstLine="630"/>
        <w:rPr>
          <w:rFonts w:cs="Sylfaen"/>
          <w:b w:val="0"/>
          <w:szCs w:val="22"/>
          <w:lang w:val="hy-AM"/>
        </w:rPr>
      </w:pPr>
      <w:r w:rsidRPr="004118EA">
        <w:rPr>
          <w:rFonts w:cs="Sylfaen"/>
          <w:b w:val="0"/>
          <w:szCs w:val="22"/>
          <w:lang w:val="hy-AM"/>
        </w:rPr>
        <w:t>- պետական կառավարման համակարգի կառուցվածքային և գործառութային փոփոխու</w:t>
      </w:r>
      <w:r w:rsidRPr="004118EA">
        <w:rPr>
          <w:rFonts w:cs="Sylfaen"/>
          <w:b w:val="0"/>
          <w:szCs w:val="22"/>
          <w:lang w:val="hy-AM"/>
        </w:rPr>
        <w:softHyphen/>
        <w:t xml:space="preserve">թյունները, </w:t>
      </w:r>
    </w:p>
    <w:p w:rsidR="00236B20" w:rsidRPr="004118EA" w:rsidRDefault="00236B20" w:rsidP="007730AA">
      <w:pPr>
        <w:widowControl w:val="0"/>
        <w:tabs>
          <w:tab w:val="left" w:pos="810"/>
          <w:tab w:val="left" w:pos="993"/>
        </w:tabs>
        <w:spacing w:before="0" w:line="276" w:lineRule="auto"/>
        <w:ind w:firstLine="630"/>
        <w:rPr>
          <w:rFonts w:cs="Sylfaen"/>
          <w:b w:val="0"/>
          <w:szCs w:val="22"/>
          <w:lang w:val="hy-AM"/>
        </w:rPr>
      </w:pPr>
      <w:r w:rsidRPr="004118EA">
        <w:rPr>
          <w:rFonts w:cs="Sylfaen"/>
          <w:b w:val="0"/>
          <w:szCs w:val="22"/>
          <w:lang w:val="hy-AM"/>
        </w:rPr>
        <w:t xml:space="preserve">- պետական մարմինների աշխատողների թվաքանակի փոփոխությունը: </w:t>
      </w:r>
    </w:p>
    <w:p w:rsidR="00236B20" w:rsidRPr="004118EA" w:rsidRDefault="00236B20" w:rsidP="007730AA">
      <w:pPr>
        <w:widowControl w:val="0"/>
        <w:tabs>
          <w:tab w:val="left" w:pos="810"/>
        </w:tabs>
        <w:spacing w:before="0" w:line="276" w:lineRule="auto"/>
        <w:ind w:firstLine="0"/>
        <w:rPr>
          <w:rFonts w:cs="Sylfaen"/>
          <w:b w:val="0"/>
          <w:szCs w:val="22"/>
          <w:lang w:val="hy-AM"/>
        </w:rPr>
      </w:pPr>
      <w:r w:rsidRPr="004118EA">
        <w:rPr>
          <w:rFonts w:eastAsia="Calibri" w:cs="Sylfaen"/>
          <w:b w:val="0"/>
          <w:szCs w:val="22"/>
          <w:lang w:val="af-ZA"/>
        </w:rPr>
        <w:tab/>
      </w:r>
      <w:r w:rsidRPr="004118EA">
        <w:rPr>
          <w:rFonts w:eastAsia="Calibri" w:cs="Sylfaen"/>
          <w:b w:val="0"/>
          <w:szCs w:val="22"/>
          <w:lang w:val="hy-AM"/>
        </w:rPr>
        <w:t>ՀՀ 2021 թվականի պետական բյուջեի նախագծում պետական մար</w:t>
      </w:r>
      <w:r w:rsidRPr="004118EA">
        <w:rPr>
          <w:rFonts w:eastAsia="Calibri" w:cs="Sylfaen"/>
          <w:b w:val="0"/>
          <w:szCs w:val="22"/>
          <w:lang w:val="hy-AM"/>
        </w:rPr>
        <w:softHyphen/>
        <w:t>մին</w:t>
      </w:r>
      <w:r w:rsidRPr="004118EA">
        <w:rPr>
          <w:rFonts w:eastAsia="Calibri" w:cs="Sylfaen"/>
          <w:b w:val="0"/>
          <w:szCs w:val="22"/>
          <w:lang w:val="hy-AM"/>
        </w:rPr>
        <w:softHyphen/>
        <w:t>նե</w:t>
      </w:r>
      <w:r w:rsidRPr="004118EA">
        <w:rPr>
          <w:rFonts w:eastAsia="Calibri" w:cs="Sylfaen"/>
          <w:b w:val="0"/>
          <w:szCs w:val="22"/>
          <w:lang w:val="hy-AM"/>
        </w:rPr>
        <w:softHyphen/>
        <w:t>րի պահպանման ծախսերի ծրագրավորումը բնորոշվում է հետևյալ առանձ</w:t>
      </w:r>
      <w:r w:rsidRPr="004118EA">
        <w:rPr>
          <w:rFonts w:eastAsia="Calibri" w:cs="Sylfaen"/>
          <w:b w:val="0"/>
          <w:szCs w:val="22"/>
          <w:lang w:val="hy-AM"/>
        </w:rPr>
        <w:softHyphen/>
        <w:t>նա</w:t>
      </w:r>
      <w:r w:rsidRPr="004118EA">
        <w:rPr>
          <w:rFonts w:eastAsia="Calibri" w:cs="Sylfaen"/>
          <w:b w:val="0"/>
          <w:szCs w:val="22"/>
          <w:lang w:val="hy-AM"/>
        </w:rPr>
        <w:softHyphen/>
        <w:t>հատ</w:t>
      </w:r>
      <w:r w:rsidRPr="004118EA">
        <w:rPr>
          <w:rFonts w:eastAsia="Calibri" w:cs="Sylfaen"/>
          <w:b w:val="0"/>
          <w:szCs w:val="22"/>
          <w:lang w:val="hy-AM"/>
        </w:rPr>
        <w:softHyphen/>
        <w:t>կու</w:t>
      </w:r>
      <w:r w:rsidRPr="004118EA">
        <w:rPr>
          <w:rFonts w:eastAsia="Calibri" w:cs="Sylfaen"/>
          <w:b w:val="0"/>
          <w:szCs w:val="22"/>
          <w:lang w:val="hy-AM"/>
        </w:rPr>
        <w:softHyphen/>
        <w:t>թ</w:t>
      </w:r>
      <w:r w:rsidRPr="004118EA">
        <w:rPr>
          <w:rFonts w:eastAsia="Calibri" w:cs="Sylfaen"/>
          <w:b w:val="0"/>
          <w:szCs w:val="22"/>
          <w:lang w:val="hy-AM"/>
        </w:rPr>
        <w:softHyphen/>
        <w:t>յուն</w:t>
      </w:r>
      <w:r w:rsidRPr="004118EA">
        <w:rPr>
          <w:rFonts w:eastAsia="Calibri" w:cs="Sylfaen"/>
          <w:b w:val="0"/>
          <w:szCs w:val="22"/>
          <w:lang w:val="hy-AM"/>
        </w:rPr>
        <w:softHyphen/>
        <w:t>ներով՝</w:t>
      </w:r>
    </w:p>
    <w:p w:rsidR="00236B20" w:rsidRPr="004118EA" w:rsidRDefault="00236B20" w:rsidP="007730AA">
      <w:pPr>
        <w:widowControl w:val="0"/>
        <w:tabs>
          <w:tab w:val="left" w:pos="810"/>
          <w:tab w:val="left" w:pos="993"/>
        </w:tabs>
        <w:spacing w:before="0" w:line="276" w:lineRule="auto"/>
        <w:ind w:firstLine="810"/>
        <w:rPr>
          <w:rFonts w:cs="Sylfaen"/>
          <w:b w:val="0"/>
          <w:szCs w:val="22"/>
          <w:lang w:val="hy-AM"/>
        </w:rPr>
      </w:pPr>
      <w:r w:rsidRPr="004118EA">
        <w:rPr>
          <w:rFonts w:cs="Sylfaen"/>
          <w:b w:val="0"/>
          <w:szCs w:val="22"/>
          <w:lang w:val="hy-AM"/>
        </w:rPr>
        <w:t>«ՀՀ դատական օրենսգրքի», «Սահմանադրական դատարանի մասին», «Դատա</w:t>
      </w:r>
      <w:r w:rsidRPr="004118EA">
        <w:rPr>
          <w:rFonts w:cs="Sylfaen"/>
          <w:b w:val="0"/>
          <w:szCs w:val="22"/>
          <w:lang w:val="hy-AM"/>
        </w:rPr>
        <w:softHyphen/>
        <w:t>խա</w:t>
      </w:r>
      <w:r w:rsidRPr="004118EA">
        <w:rPr>
          <w:rFonts w:cs="Sylfaen"/>
          <w:b w:val="0"/>
          <w:szCs w:val="22"/>
          <w:lang w:val="hy-AM"/>
        </w:rPr>
        <w:softHyphen/>
        <w:t>զութ</w:t>
      </w:r>
      <w:r w:rsidRPr="004118EA">
        <w:rPr>
          <w:rFonts w:cs="Sylfaen"/>
          <w:b w:val="0"/>
          <w:szCs w:val="22"/>
          <w:lang w:val="hy-AM"/>
        </w:rPr>
        <w:softHyphen/>
        <w:t>յան մասին», «Հաշվեքննիչ պալատի մասին», «ՀՀ հատուկ քննչական ծառայության մասին» և «ՀՀ քննչական կոմիտեի մասին» ՀՀ օրենքների պահանջներին համա</w:t>
      </w:r>
      <w:r w:rsidRPr="004118EA">
        <w:rPr>
          <w:rFonts w:cs="Sylfaen"/>
          <w:b w:val="0"/>
          <w:szCs w:val="22"/>
          <w:lang w:val="hy-AM"/>
        </w:rPr>
        <w:softHyphen/>
        <w:t>պա</w:t>
      </w:r>
      <w:r w:rsidRPr="004118EA">
        <w:rPr>
          <w:rFonts w:cs="Sylfaen"/>
          <w:b w:val="0"/>
          <w:szCs w:val="22"/>
          <w:lang w:val="hy-AM"/>
        </w:rPr>
        <w:softHyphen/>
        <w:t>տաս</w:t>
      </w:r>
      <w:r w:rsidRPr="004118EA">
        <w:rPr>
          <w:rFonts w:cs="Sylfaen"/>
          <w:b w:val="0"/>
          <w:szCs w:val="22"/>
          <w:lang w:val="hy-AM"/>
        </w:rPr>
        <w:softHyphen/>
        <w:t>խան ՀՀ դատա</w:t>
      </w:r>
      <w:r w:rsidRPr="004118EA">
        <w:rPr>
          <w:rFonts w:cs="Sylfaen"/>
          <w:b w:val="0"/>
          <w:szCs w:val="22"/>
          <w:lang w:val="hy-AM"/>
        </w:rPr>
        <w:softHyphen/>
        <w:t>րանների, ՀՀ սահմանադրական դատարանի, ՀՀ դատախազության, ՀՀ հաշվեքննիչ պալատի, ՀՀ հատուկ քննչական ծառայության և ՀՀ քննչական կոմիտեի բնականոն գործու</w:t>
      </w:r>
      <w:r w:rsidRPr="004118EA">
        <w:rPr>
          <w:rFonts w:cs="Sylfaen"/>
          <w:b w:val="0"/>
          <w:szCs w:val="22"/>
          <w:lang w:val="hy-AM"/>
        </w:rPr>
        <w:softHyphen/>
        <w:t>նեության ապահովման համար չկանխատեսված ծախ</w:t>
      </w:r>
      <w:r w:rsidRPr="004118EA">
        <w:rPr>
          <w:rFonts w:cs="Sylfaen"/>
          <w:b w:val="0"/>
          <w:szCs w:val="22"/>
          <w:lang w:val="hy-AM"/>
        </w:rPr>
        <w:softHyphen/>
        <w:t>սերի ֆինանսավորման նպատակով նախա</w:t>
      </w:r>
      <w:r w:rsidRPr="004118EA">
        <w:rPr>
          <w:rFonts w:cs="Sylfaen"/>
          <w:b w:val="0"/>
          <w:szCs w:val="22"/>
          <w:lang w:val="hy-AM"/>
        </w:rPr>
        <w:softHyphen/>
        <w:t>տեսվում են պահուստային ֆոնդեր: Յուրա</w:t>
      </w:r>
      <w:r w:rsidRPr="004118EA">
        <w:rPr>
          <w:rFonts w:cs="Sylfaen"/>
          <w:b w:val="0"/>
          <w:szCs w:val="22"/>
          <w:lang w:val="hy-AM"/>
        </w:rPr>
        <w:softHyphen/>
        <w:t>քանչյուր վերը նշված մարմնի պահուստային ֆոնդը ներկա</w:t>
      </w:r>
      <w:r w:rsidRPr="004118EA">
        <w:rPr>
          <w:rFonts w:cs="Sylfaen"/>
          <w:b w:val="0"/>
          <w:szCs w:val="22"/>
          <w:lang w:val="hy-AM"/>
        </w:rPr>
        <w:softHyphen/>
        <w:t>յացվում է պետական բյուջեի առան</w:t>
      </w:r>
      <w:r w:rsidRPr="004118EA">
        <w:rPr>
          <w:rFonts w:cs="Sylfaen"/>
          <w:b w:val="0"/>
          <w:szCs w:val="22"/>
          <w:lang w:val="hy-AM"/>
        </w:rPr>
        <w:softHyphen/>
        <w:t>ձին տողով, ընդ որում, ֆոնդի մեծությունը հավասար է տվյալ տար</w:t>
      </w:r>
      <w:r w:rsidRPr="004118EA">
        <w:rPr>
          <w:rFonts w:cs="Sylfaen"/>
          <w:b w:val="0"/>
          <w:szCs w:val="22"/>
          <w:lang w:val="hy-AM"/>
        </w:rPr>
        <w:softHyphen/>
        <w:t>վա պետական բյուջեի մասին օրենքով տվյալ մարմնի գծով նախատես</w:t>
      </w:r>
      <w:r w:rsidRPr="004118EA">
        <w:rPr>
          <w:rFonts w:cs="Sylfaen"/>
          <w:b w:val="0"/>
          <w:szCs w:val="22"/>
          <w:lang w:val="hy-AM"/>
        </w:rPr>
        <w:softHyphen/>
        <w:t xml:space="preserve">ված ընդամենը ծախսերի կամ աշխատավարձի ֆոնդի երկու տոկոսին: </w:t>
      </w:r>
    </w:p>
    <w:p w:rsidR="00236B20" w:rsidRPr="004118EA" w:rsidRDefault="00236B20" w:rsidP="007730AA">
      <w:pPr>
        <w:widowControl w:val="0"/>
        <w:tabs>
          <w:tab w:val="left" w:pos="810"/>
          <w:tab w:val="left" w:pos="993"/>
        </w:tabs>
        <w:spacing w:before="0" w:line="276" w:lineRule="auto"/>
        <w:ind w:firstLine="810"/>
        <w:rPr>
          <w:rFonts w:cs="Sylfaen"/>
          <w:b w:val="0"/>
          <w:szCs w:val="22"/>
          <w:lang w:val="hy-AM"/>
        </w:rPr>
      </w:pPr>
      <w:r w:rsidRPr="004118EA">
        <w:rPr>
          <w:rFonts w:cs="Sylfaen"/>
          <w:b w:val="0"/>
          <w:szCs w:val="22"/>
          <w:lang w:val="hy-AM"/>
        </w:rPr>
        <w:t>«Ավտոտրանսպորտային միջոցների օգտագործումից բխող պատասխանատվության պարտադիր ապահովագրության մասին» ՀՀ օրենքի (09.06.2010թ. ՀՕ-63-Ն) պահանջներից ել</w:t>
      </w:r>
      <w:r w:rsidRPr="004118EA">
        <w:rPr>
          <w:rFonts w:cs="Sylfaen"/>
          <w:b w:val="0"/>
          <w:szCs w:val="22"/>
          <w:lang w:val="hy-AM"/>
        </w:rPr>
        <w:softHyphen/>
        <w:t>նե</w:t>
      </w:r>
      <w:r w:rsidRPr="004118EA">
        <w:rPr>
          <w:rFonts w:cs="Sylfaen"/>
          <w:b w:val="0"/>
          <w:szCs w:val="22"/>
          <w:lang w:val="hy-AM"/>
        </w:rPr>
        <w:softHyphen/>
        <w:t>լով, ինչպես նաև հիմք ընդունելով ՀՀ կենտրոնական բանկի խորհրդի կողմից հաս</w:t>
      </w:r>
      <w:r w:rsidRPr="004118EA">
        <w:rPr>
          <w:rFonts w:cs="Sylfaen"/>
          <w:b w:val="0"/>
          <w:szCs w:val="22"/>
          <w:lang w:val="hy-AM"/>
        </w:rPr>
        <w:softHyphen/>
        <w:t>տատ</w:t>
      </w:r>
      <w:r w:rsidRPr="004118EA">
        <w:rPr>
          <w:rFonts w:cs="Sylfaen"/>
          <w:b w:val="0"/>
          <w:szCs w:val="22"/>
          <w:lang w:val="hy-AM"/>
        </w:rPr>
        <w:softHyphen/>
        <w:t>ված ավտոտրանսպորտային միջոցների օգտագործումից բխող պատասխա</w:t>
      </w:r>
      <w:r w:rsidRPr="004118EA">
        <w:rPr>
          <w:rFonts w:cs="Sylfaen"/>
          <w:b w:val="0"/>
          <w:szCs w:val="22"/>
          <w:lang w:val="hy-AM"/>
        </w:rPr>
        <w:softHyphen/>
        <w:t>նատվության պար</w:t>
      </w:r>
      <w:r w:rsidRPr="004118EA">
        <w:rPr>
          <w:rFonts w:cs="Sylfaen"/>
          <w:b w:val="0"/>
          <w:szCs w:val="22"/>
          <w:lang w:val="hy-AM"/>
        </w:rPr>
        <w:softHyphen/>
        <w:t>տադիր ապահովագրության (ԱՊՊԱ) ոլորտում կիրառվելիք ապահովագրության վճար</w:t>
      </w:r>
      <w:r w:rsidRPr="004118EA">
        <w:rPr>
          <w:rFonts w:cs="Sylfaen"/>
          <w:b w:val="0"/>
          <w:szCs w:val="22"/>
          <w:lang w:val="hy-AM"/>
        </w:rPr>
        <w:softHyphen/>
        <w:t>ների նվա</w:t>
      </w:r>
      <w:r w:rsidRPr="004118EA">
        <w:rPr>
          <w:rFonts w:cs="Sylfaen"/>
          <w:b w:val="0"/>
          <w:szCs w:val="22"/>
          <w:lang w:val="hy-AM"/>
        </w:rPr>
        <w:softHyphen/>
        <w:t>զագույն և առավելագույն չափերը` ՀՀ 2021 թվականի պետական բյուջեի նախագծում նախա</w:t>
      </w:r>
      <w:r w:rsidRPr="004118EA">
        <w:rPr>
          <w:rFonts w:cs="Sylfaen"/>
          <w:b w:val="0"/>
          <w:szCs w:val="22"/>
          <w:lang w:val="hy-AM"/>
        </w:rPr>
        <w:softHyphen/>
      </w:r>
      <w:r w:rsidRPr="004118EA">
        <w:rPr>
          <w:rFonts w:cs="Sylfaen"/>
          <w:b w:val="0"/>
          <w:szCs w:val="22"/>
          <w:lang w:val="hy-AM"/>
        </w:rPr>
        <w:softHyphen/>
        <w:t>տեսվել են հատկացումներ ծառայողական ավտոմեքենաների ապահովագրության համա</w:t>
      </w:r>
      <w:r w:rsidRPr="004118EA">
        <w:rPr>
          <w:rFonts w:cs="Sylfaen"/>
          <w:b w:val="0"/>
          <w:szCs w:val="22"/>
          <w:lang w:val="hy-AM"/>
        </w:rPr>
        <w:softHyphen/>
        <w:t>պա</w:t>
      </w:r>
      <w:r w:rsidRPr="004118EA">
        <w:rPr>
          <w:rFonts w:cs="Sylfaen"/>
          <w:b w:val="0"/>
          <w:szCs w:val="22"/>
          <w:lang w:val="hy-AM"/>
        </w:rPr>
        <w:softHyphen/>
      </w:r>
      <w:r w:rsidRPr="004118EA">
        <w:rPr>
          <w:rFonts w:cs="Sylfaen"/>
          <w:b w:val="0"/>
          <w:szCs w:val="22"/>
          <w:lang w:val="hy-AM"/>
        </w:rPr>
        <w:softHyphen/>
        <w:t>տաս</w:t>
      </w:r>
      <w:r w:rsidRPr="004118EA">
        <w:rPr>
          <w:rFonts w:cs="Sylfaen"/>
          <w:b w:val="0"/>
          <w:szCs w:val="22"/>
          <w:lang w:val="hy-AM"/>
        </w:rPr>
        <w:softHyphen/>
        <w:t xml:space="preserve">խան վճարներ կատարելու համար: </w:t>
      </w:r>
    </w:p>
    <w:p w:rsidR="00236B20" w:rsidRPr="004118EA" w:rsidRDefault="00236B20" w:rsidP="007730AA">
      <w:pPr>
        <w:widowControl w:val="0"/>
        <w:tabs>
          <w:tab w:val="left" w:pos="810"/>
          <w:tab w:val="left" w:pos="993"/>
        </w:tabs>
        <w:spacing w:before="0" w:line="276" w:lineRule="auto"/>
        <w:ind w:firstLine="810"/>
        <w:rPr>
          <w:rFonts w:cs="Sylfaen"/>
          <w:b w:val="0"/>
          <w:szCs w:val="22"/>
          <w:lang w:val="hy-AM"/>
        </w:rPr>
      </w:pPr>
      <w:r w:rsidRPr="004118EA">
        <w:rPr>
          <w:rFonts w:cs="Sylfaen"/>
          <w:b w:val="0"/>
          <w:szCs w:val="22"/>
          <w:lang w:val="hy-AM"/>
        </w:rPr>
        <w:t>ՀՀ 2021 թվականի պետական բյուջեի նախագծում պետական մարմինների պահպանման ծախսերը հաշվարկվել են հիմք ընդու</w:t>
      </w:r>
      <w:r w:rsidRPr="004118EA">
        <w:rPr>
          <w:rFonts w:cs="Sylfaen"/>
          <w:b w:val="0"/>
          <w:szCs w:val="22"/>
          <w:lang w:val="hy-AM"/>
        </w:rPr>
        <w:softHyphen/>
        <w:t>նելով 1977</w:t>
      </w:r>
      <w:r w:rsidR="00B172BB" w:rsidRPr="00B172BB">
        <w:rPr>
          <w:rFonts w:cs="Sylfaen"/>
          <w:b w:val="0"/>
          <w:szCs w:val="22"/>
          <w:lang w:val="hy-AM"/>
        </w:rPr>
        <w:t>6</w:t>
      </w:r>
      <w:r w:rsidRPr="004118EA">
        <w:rPr>
          <w:rFonts w:cs="Sylfaen"/>
          <w:b w:val="0"/>
          <w:szCs w:val="22"/>
          <w:lang w:val="hy-AM"/>
        </w:rPr>
        <w:t xml:space="preserve"> հաս</w:t>
      </w:r>
      <w:r w:rsidRPr="004118EA">
        <w:rPr>
          <w:rFonts w:cs="Sylfaen"/>
          <w:b w:val="0"/>
          <w:szCs w:val="22"/>
          <w:lang w:val="hy-AM"/>
        </w:rPr>
        <w:softHyphen/>
        <w:t>տիքային միավորների քանակը, որը 2020 թվականի համեմատ ավելացել է 6</w:t>
      </w:r>
      <w:r w:rsidR="00B172BB" w:rsidRPr="00B172BB">
        <w:rPr>
          <w:rFonts w:cs="Sylfaen"/>
          <w:b w:val="0"/>
          <w:szCs w:val="22"/>
          <w:lang w:val="hy-AM"/>
        </w:rPr>
        <w:t>7</w:t>
      </w:r>
      <w:r w:rsidRPr="004118EA">
        <w:rPr>
          <w:rFonts w:cs="Sylfaen"/>
          <w:b w:val="0"/>
          <w:szCs w:val="22"/>
          <w:lang w:val="hy-AM"/>
        </w:rPr>
        <w:t xml:space="preserve"> միա</w:t>
      </w:r>
      <w:r w:rsidRPr="004118EA">
        <w:rPr>
          <w:rFonts w:cs="Sylfaen"/>
          <w:b w:val="0"/>
          <w:szCs w:val="22"/>
          <w:lang w:val="hy-AM"/>
        </w:rPr>
        <w:softHyphen/>
        <w:t>վո</w:t>
      </w:r>
      <w:r w:rsidRPr="004118EA">
        <w:rPr>
          <w:rFonts w:cs="Sylfaen"/>
          <w:b w:val="0"/>
          <w:szCs w:val="22"/>
          <w:lang w:val="hy-AM"/>
        </w:rPr>
        <w:softHyphen/>
        <w:t>րով: Թվաքանակի փոփոխությունը հիմնականում պայմանավորված է օրենսդրական կարգավորումներով, ինչպես նաև պետական մարմինների գործառույթների և կառուցվածքների օպտիմալացմամբ։</w:t>
      </w:r>
    </w:p>
    <w:p w:rsidR="00236B20" w:rsidRPr="004118EA" w:rsidRDefault="00236B20" w:rsidP="007730AA">
      <w:pPr>
        <w:widowControl w:val="0"/>
        <w:tabs>
          <w:tab w:val="left" w:pos="810"/>
          <w:tab w:val="left" w:pos="993"/>
        </w:tabs>
        <w:spacing w:before="0" w:line="276" w:lineRule="auto"/>
        <w:ind w:firstLine="810"/>
        <w:rPr>
          <w:rFonts w:cs="Sylfaen"/>
          <w:b w:val="0"/>
          <w:szCs w:val="22"/>
          <w:lang w:val="hy-AM"/>
        </w:rPr>
      </w:pPr>
      <w:r w:rsidRPr="004118EA">
        <w:rPr>
          <w:rFonts w:cs="Sylfaen"/>
          <w:b w:val="0"/>
          <w:szCs w:val="22"/>
          <w:lang w:val="hy-AM"/>
        </w:rPr>
        <w:t>ՀՀ պետական մարմինների աշխատողների թվաքանակի փոփո</w:t>
      </w:r>
      <w:r w:rsidRPr="004118EA">
        <w:rPr>
          <w:rFonts w:cs="Sylfaen"/>
          <w:b w:val="0"/>
          <w:szCs w:val="22"/>
          <w:lang w:val="hy-AM"/>
        </w:rPr>
        <w:softHyphen/>
        <w:t>խութ</w:t>
      </w:r>
      <w:r w:rsidRPr="004118EA">
        <w:rPr>
          <w:rFonts w:cs="Sylfaen"/>
          <w:b w:val="0"/>
          <w:szCs w:val="22"/>
          <w:lang w:val="hy-AM"/>
        </w:rPr>
        <w:softHyphen/>
        <w:t>յու</w:t>
      </w:r>
      <w:r w:rsidRPr="004118EA">
        <w:rPr>
          <w:rFonts w:cs="Sylfaen"/>
          <w:b w:val="0"/>
          <w:szCs w:val="22"/>
          <w:lang w:val="hy-AM"/>
        </w:rPr>
        <w:softHyphen/>
        <w:t>նը արտացոլված է սույն բացատրագրի N 2ա աղյուսակում:</w:t>
      </w:r>
    </w:p>
    <w:p w:rsidR="00236B20" w:rsidRPr="004118EA" w:rsidRDefault="00236B20" w:rsidP="007730AA">
      <w:pPr>
        <w:spacing w:before="0" w:line="276" w:lineRule="auto"/>
        <w:ind w:firstLine="720"/>
        <w:rPr>
          <w:szCs w:val="22"/>
          <w:lang w:val="hy-AM"/>
        </w:rPr>
      </w:pPr>
      <w:r w:rsidRPr="004118EA">
        <w:rPr>
          <w:szCs w:val="22"/>
          <w:lang w:val="hy-AM"/>
        </w:rPr>
        <w:t>Ծախսերի ծրագրավորման սկզբունքները ըստ առանձին ծախսային ուղղու</w:t>
      </w:r>
      <w:r w:rsidRPr="004118EA">
        <w:rPr>
          <w:szCs w:val="22"/>
          <w:lang w:val="hy-AM"/>
        </w:rPr>
        <w:softHyphen/>
        <w:t>թյունների.</w:t>
      </w:r>
    </w:p>
    <w:p w:rsidR="00236B20" w:rsidRPr="004118EA" w:rsidRDefault="00236B20" w:rsidP="007730AA">
      <w:pPr>
        <w:widowControl w:val="0"/>
        <w:tabs>
          <w:tab w:val="left" w:pos="851"/>
          <w:tab w:val="left" w:pos="993"/>
        </w:tabs>
        <w:spacing w:before="0" w:line="276" w:lineRule="auto"/>
        <w:ind w:firstLine="720"/>
        <w:rPr>
          <w:rFonts w:cs="Sylfaen"/>
          <w:szCs w:val="22"/>
          <w:lang w:val="hy-AM"/>
        </w:rPr>
      </w:pPr>
      <w:r w:rsidRPr="004118EA">
        <w:rPr>
          <w:rFonts w:cs="Sylfaen"/>
          <w:b w:val="0"/>
          <w:szCs w:val="22"/>
          <w:lang w:val="hy-AM"/>
        </w:rPr>
        <w:t>Աշխատավարձի ֆոնդ</w:t>
      </w:r>
    </w:p>
    <w:p w:rsidR="00236B20" w:rsidRPr="004118EA" w:rsidRDefault="00236B20" w:rsidP="007730AA">
      <w:pPr>
        <w:spacing w:before="0" w:line="276" w:lineRule="auto"/>
        <w:ind w:firstLine="720"/>
        <w:rPr>
          <w:rFonts w:eastAsia="Calibri"/>
          <w:b w:val="0"/>
          <w:szCs w:val="22"/>
          <w:lang w:val="hy-AM" w:eastAsia="en-US"/>
        </w:rPr>
      </w:pPr>
      <w:r w:rsidRPr="004118EA">
        <w:rPr>
          <w:rFonts w:eastAsia="Calibri"/>
          <w:b w:val="0"/>
          <w:szCs w:val="22"/>
          <w:lang w:val="hy-AM" w:eastAsia="en-US"/>
        </w:rPr>
        <w:t>Պետական մարմինների պահպանման ծախսերում աշխա</w:t>
      </w:r>
      <w:r w:rsidRPr="004118EA">
        <w:rPr>
          <w:rFonts w:eastAsia="Calibri"/>
          <w:b w:val="0"/>
          <w:szCs w:val="22"/>
          <w:lang w:val="hy-AM" w:eastAsia="en-US"/>
        </w:rPr>
        <w:softHyphen/>
        <w:t xml:space="preserve">տավարձի ֆոնդում ներառվում են ինչպես աշխատողներին վճարվող հիմնական աշխատավարձերը, հավելումներն ու հավելավճարները, այնպես էլ պարգևատրման և դրամական խրախուսման համար օրենսդրությամբ նախատեսված միջոցները: Աշխատավարձի ֆոնդը հաշվարկվել է </w:t>
      </w:r>
      <w:r w:rsidRPr="004118EA">
        <w:rPr>
          <w:rFonts w:eastAsia="Calibri"/>
          <w:b w:val="0"/>
          <w:szCs w:val="22"/>
          <w:lang w:val="af-ZA" w:eastAsia="en-US"/>
        </w:rPr>
        <w:t>«</w:t>
      </w:r>
      <w:r w:rsidRPr="004118EA">
        <w:rPr>
          <w:rFonts w:eastAsia="Calibri"/>
          <w:b w:val="0"/>
          <w:szCs w:val="22"/>
          <w:lang w:val="hy-AM" w:eastAsia="en-US"/>
        </w:rPr>
        <w:t>Պետական պաշտոններ</w:t>
      </w:r>
      <w:r w:rsidRPr="004118EA">
        <w:rPr>
          <w:rFonts w:eastAsia="Calibri"/>
          <w:b w:val="0"/>
          <w:szCs w:val="22"/>
          <w:lang w:val="af-ZA" w:eastAsia="en-US"/>
        </w:rPr>
        <w:t xml:space="preserve"> </w:t>
      </w:r>
      <w:r w:rsidRPr="004118EA">
        <w:rPr>
          <w:rFonts w:eastAsia="Calibri"/>
          <w:b w:val="0"/>
          <w:szCs w:val="22"/>
          <w:lang w:val="hy-AM" w:eastAsia="en-US"/>
        </w:rPr>
        <w:t>և պետական ծառայության պաշտոններ զբաղեցնող</w:t>
      </w:r>
      <w:r w:rsidRPr="004118EA">
        <w:rPr>
          <w:rFonts w:eastAsia="Calibri"/>
          <w:b w:val="0"/>
          <w:szCs w:val="22"/>
          <w:lang w:val="af-ZA" w:eastAsia="en-US"/>
        </w:rPr>
        <w:t xml:space="preserve"> </w:t>
      </w:r>
      <w:r w:rsidRPr="004118EA">
        <w:rPr>
          <w:rFonts w:eastAsia="Calibri"/>
          <w:b w:val="0"/>
          <w:szCs w:val="22"/>
          <w:lang w:val="hy-AM" w:eastAsia="en-US"/>
        </w:rPr>
        <w:t>անձանց</w:t>
      </w:r>
      <w:r w:rsidRPr="004118EA">
        <w:rPr>
          <w:rFonts w:eastAsia="Calibri"/>
          <w:b w:val="0"/>
          <w:szCs w:val="22"/>
          <w:lang w:val="af-ZA" w:eastAsia="en-US"/>
        </w:rPr>
        <w:t xml:space="preserve"> </w:t>
      </w:r>
      <w:r w:rsidRPr="004118EA">
        <w:rPr>
          <w:rFonts w:eastAsia="Calibri"/>
          <w:b w:val="0"/>
          <w:szCs w:val="22"/>
          <w:lang w:val="hy-AM" w:eastAsia="en-US"/>
        </w:rPr>
        <w:t>վարձատրության</w:t>
      </w:r>
      <w:r w:rsidRPr="004118EA">
        <w:rPr>
          <w:rFonts w:eastAsia="Calibri"/>
          <w:b w:val="0"/>
          <w:szCs w:val="22"/>
          <w:lang w:val="af-ZA" w:eastAsia="en-US"/>
        </w:rPr>
        <w:t xml:space="preserve"> </w:t>
      </w:r>
      <w:r w:rsidRPr="004118EA">
        <w:rPr>
          <w:rFonts w:eastAsia="Calibri"/>
          <w:b w:val="0"/>
          <w:szCs w:val="22"/>
          <w:lang w:val="hy-AM" w:eastAsia="en-US"/>
        </w:rPr>
        <w:t>մասին</w:t>
      </w:r>
      <w:r w:rsidRPr="004118EA">
        <w:rPr>
          <w:rFonts w:eastAsia="Calibri"/>
          <w:b w:val="0"/>
          <w:szCs w:val="22"/>
          <w:lang w:val="af-ZA" w:eastAsia="en-US"/>
        </w:rPr>
        <w:t xml:space="preserve">» </w:t>
      </w:r>
      <w:r w:rsidRPr="004118EA">
        <w:rPr>
          <w:rFonts w:eastAsia="Calibri"/>
          <w:b w:val="0"/>
          <w:szCs w:val="22"/>
          <w:lang w:val="hy-AM" w:eastAsia="en-US"/>
        </w:rPr>
        <w:t>ՀՀ</w:t>
      </w:r>
      <w:r w:rsidRPr="004118EA">
        <w:rPr>
          <w:rFonts w:eastAsia="Calibri"/>
          <w:b w:val="0"/>
          <w:szCs w:val="22"/>
          <w:lang w:val="af-ZA" w:eastAsia="en-US"/>
        </w:rPr>
        <w:t xml:space="preserve"> </w:t>
      </w:r>
      <w:r w:rsidRPr="004118EA">
        <w:rPr>
          <w:rFonts w:eastAsia="Calibri"/>
          <w:b w:val="0"/>
          <w:szCs w:val="22"/>
          <w:lang w:val="hy-AM" w:eastAsia="en-US"/>
        </w:rPr>
        <w:t>օրենքի</w:t>
      </w:r>
      <w:r w:rsidRPr="004118EA">
        <w:rPr>
          <w:rFonts w:eastAsia="Calibri"/>
          <w:b w:val="0"/>
          <w:szCs w:val="22"/>
          <w:lang w:val="af-ZA" w:eastAsia="en-US"/>
        </w:rPr>
        <w:t xml:space="preserve"> </w:t>
      </w:r>
      <w:r w:rsidRPr="004118EA">
        <w:rPr>
          <w:rFonts w:eastAsia="Calibri"/>
          <w:b w:val="0"/>
          <w:szCs w:val="22"/>
          <w:lang w:val="hy-AM" w:eastAsia="en-US"/>
        </w:rPr>
        <w:t>դրույթներին</w:t>
      </w:r>
      <w:r w:rsidRPr="004118EA">
        <w:rPr>
          <w:rFonts w:eastAsia="Calibri"/>
          <w:b w:val="0"/>
          <w:szCs w:val="22"/>
          <w:lang w:val="af-ZA" w:eastAsia="en-US"/>
        </w:rPr>
        <w:t xml:space="preserve"> </w:t>
      </w:r>
      <w:r w:rsidRPr="004118EA">
        <w:rPr>
          <w:rFonts w:eastAsia="Calibri"/>
          <w:b w:val="0"/>
          <w:szCs w:val="22"/>
          <w:lang w:val="hy-AM" w:eastAsia="en-US"/>
        </w:rPr>
        <w:t>և</w:t>
      </w:r>
      <w:r w:rsidRPr="004118EA">
        <w:rPr>
          <w:rFonts w:eastAsia="Calibri"/>
          <w:b w:val="0"/>
          <w:szCs w:val="22"/>
          <w:lang w:val="af-ZA" w:eastAsia="en-US"/>
        </w:rPr>
        <w:t xml:space="preserve"> </w:t>
      </w:r>
      <w:r w:rsidRPr="004118EA">
        <w:rPr>
          <w:rFonts w:eastAsia="Calibri"/>
          <w:b w:val="0"/>
          <w:szCs w:val="22"/>
          <w:lang w:val="hy-AM" w:eastAsia="en-US"/>
        </w:rPr>
        <w:t>ՀՀ</w:t>
      </w:r>
      <w:r w:rsidRPr="004118EA">
        <w:rPr>
          <w:rFonts w:eastAsia="Calibri"/>
          <w:b w:val="0"/>
          <w:szCs w:val="22"/>
          <w:lang w:val="af-ZA" w:eastAsia="en-US"/>
        </w:rPr>
        <w:t xml:space="preserve"> </w:t>
      </w:r>
      <w:r w:rsidRPr="004118EA">
        <w:rPr>
          <w:rFonts w:eastAsia="Calibri"/>
          <w:b w:val="0"/>
          <w:szCs w:val="22"/>
          <w:lang w:val="hy-AM" w:eastAsia="en-US"/>
        </w:rPr>
        <w:t>կառավարության</w:t>
      </w:r>
      <w:r w:rsidRPr="004118EA">
        <w:rPr>
          <w:rFonts w:eastAsia="Calibri"/>
          <w:b w:val="0"/>
          <w:szCs w:val="22"/>
          <w:lang w:val="af-ZA" w:eastAsia="en-US"/>
        </w:rPr>
        <w:t xml:space="preserve"> 2014 </w:t>
      </w:r>
      <w:r w:rsidRPr="004118EA">
        <w:rPr>
          <w:rFonts w:eastAsia="Calibri"/>
          <w:b w:val="0"/>
          <w:szCs w:val="22"/>
          <w:lang w:val="hy-AM" w:eastAsia="en-US"/>
        </w:rPr>
        <w:t>թվականի</w:t>
      </w:r>
      <w:r w:rsidRPr="004118EA">
        <w:rPr>
          <w:rFonts w:eastAsia="Calibri"/>
          <w:b w:val="0"/>
          <w:szCs w:val="22"/>
          <w:lang w:val="af-ZA" w:eastAsia="en-US"/>
        </w:rPr>
        <w:t xml:space="preserve"> </w:t>
      </w:r>
      <w:r w:rsidRPr="004118EA">
        <w:rPr>
          <w:rFonts w:eastAsia="Calibri"/>
          <w:b w:val="0"/>
          <w:szCs w:val="22"/>
          <w:lang w:val="hy-AM" w:eastAsia="en-US"/>
        </w:rPr>
        <w:t>հուլիսի</w:t>
      </w:r>
      <w:r w:rsidRPr="004118EA">
        <w:rPr>
          <w:rFonts w:eastAsia="Calibri"/>
          <w:b w:val="0"/>
          <w:szCs w:val="22"/>
          <w:lang w:val="af-ZA" w:eastAsia="en-US"/>
        </w:rPr>
        <w:t xml:space="preserve"> 3-</w:t>
      </w:r>
      <w:r w:rsidRPr="004118EA">
        <w:rPr>
          <w:rFonts w:eastAsia="Calibri"/>
          <w:b w:val="0"/>
          <w:szCs w:val="22"/>
          <w:lang w:val="hy-AM" w:eastAsia="en-US"/>
        </w:rPr>
        <w:t>ի</w:t>
      </w:r>
      <w:r w:rsidRPr="004118EA">
        <w:rPr>
          <w:rFonts w:eastAsia="Calibri"/>
          <w:b w:val="0"/>
          <w:szCs w:val="22"/>
          <w:lang w:val="af-ZA" w:eastAsia="en-US"/>
        </w:rPr>
        <w:t xml:space="preserve"> «</w:t>
      </w:r>
      <w:r w:rsidRPr="004118EA">
        <w:rPr>
          <w:rFonts w:eastAsia="Calibri"/>
          <w:b w:val="0"/>
          <w:szCs w:val="22"/>
          <w:lang w:val="hy-AM" w:eastAsia="en-US"/>
        </w:rPr>
        <w:t>Պետական</w:t>
      </w:r>
      <w:r w:rsidRPr="004118EA">
        <w:rPr>
          <w:rFonts w:eastAsia="Calibri"/>
          <w:b w:val="0"/>
          <w:szCs w:val="22"/>
          <w:lang w:val="af-ZA" w:eastAsia="en-US"/>
        </w:rPr>
        <w:t xml:space="preserve"> </w:t>
      </w:r>
      <w:r w:rsidRPr="004118EA">
        <w:rPr>
          <w:rFonts w:eastAsia="Calibri"/>
          <w:b w:val="0"/>
          <w:szCs w:val="22"/>
          <w:lang w:val="hy-AM" w:eastAsia="en-US"/>
        </w:rPr>
        <w:t>իշխանության</w:t>
      </w:r>
      <w:r w:rsidRPr="004118EA">
        <w:rPr>
          <w:rFonts w:eastAsia="Calibri"/>
          <w:b w:val="0"/>
          <w:szCs w:val="22"/>
          <w:lang w:val="af-ZA" w:eastAsia="en-US"/>
        </w:rPr>
        <w:t xml:space="preserve"> </w:t>
      </w:r>
      <w:r w:rsidRPr="004118EA">
        <w:rPr>
          <w:rFonts w:eastAsia="Calibri"/>
          <w:b w:val="0"/>
          <w:szCs w:val="22"/>
          <w:lang w:val="hy-AM" w:eastAsia="en-US"/>
        </w:rPr>
        <w:t>մարմիններում</w:t>
      </w:r>
      <w:r w:rsidRPr="004118EA">
        <w:rPr>
          <w:rFonts w:eastAsia="Calibri"/>
          <w:b w:val="0"/>
          <w:szCs w:val="22"/>
          <w:lang w:val="af-ZA" w:eastAsia="en-US"/>
        </w:rPr>
        <w:t xml:space="preserve"> </w:t>
      </w:r>
      <w:r w:rsidRPr="004118EA">
        <w:rPr>
          <w:rFonts w:eastAsia="Calibri"/>
          <w:b w:val="0"/>
          <w:szCs w:val="22"/>
          <w:lang w:val="hy-AM" w:eastAsia="en-US"/>
        </w:rPr>
        <w:t>քաղաքա</w:t>
      </w:r>
      <w:r w:rsidRPr="004118EA">
        <w:rPr>
          <w:rFonts w:eastAsia="Calibri"/>
          <w:b w:val="0"/>
          <w:szCs w:val="22"/>
          <w:lang w:val="af-ZA" w:eastAsia="en-US"/>
        </w:rPr>
        <w:softHyphen/>
      </w:r>
      <w:r w:rsidRPr="004118EA">
        <w:rPr>
          <w:rFonts w:eastAsia="Calibri"/>
          <w:b w:val="0"/>
          <w:szCs w:val="22"/>
          <w:lang w:val="hy-AM" w:eastAsia="en-US"/>
        </w:rPr>
        <w:t>ցիական</w:t>
      </w:r>
      <w:r w:rsidRPr="004118EA">
        <w:rPr>
          <w:rFonts w:eastAsia="Calibri"/>
          <w:b w:val="0"/>
          <w:szCs w:val="22"/>
          <w:lang w:val="af-ZA" w:eastAsia="en-US"/>
        </w:rPr>
        <w:t xml:space="preserve"> </w:t>
      </w:r>
      <w:r w:rsidRPr="004118EA">
        <w:rPr>
          <w:rFonts w:eastAsia="Calibri"/>
          <w:b w:val="0"/>
          <w:szCs w:val="22"/>
          <w:lang w:val="hy-AM" w:eastAsia="en-US"/>
        </w:rPr>
        <w:t>աշխատանք</w:t>
      </w:r>
      <w:r w:rsidRPr="004118EA">
        <w:rPr>
          <w:rFonts w:eastAsia="Calibri"/>
          <w:b w:val="0"/>
          <w:szCs w:val="22"/>
          <w:lang w:val="af-ZA" w:eastAsia="en-US"/>
        </w:rPr>
        <w:t xml:space="preserve"> </w:t>
      </w:r>
      <w:r w:rsidRPr="004118EA">
        <w:rPr>
          <w:rFonts w:eastAsia="Calibri"/>
          <w:b w:val="0"/>
          <w:szCs w:val="22"/>
          <w:lang w:val="hy-AM" w:eastAsia="en-US"/>
        </w:rPr>
        <w:t>կատարող</w:t>
      </w:r>
      <w:r w:rsidRPr="004118EA">
        <w:rPr>
          <w:rFonts w:eastAsia="Calibri"/>
          <w:b w:val="0"/>
          <w:szCs w:val="22"/>
          <w:lang w:val="af-ZA" w:eastAsia="en-US"/>
        </w:rPr>
        <w:t xml:space="preserve"> </w:t>
      </w:r>
      <w:r w:rsidRPr="004118EA">
        <w:rPr>
          <w:rFonts w:eastAsia="Calibri"/>
          <w:b w:val="0"/>
          <w:szCs w:val="22"/>
          <w:lang w:val="hy-AM" w:eastAsia="en-US"/>
        </w:rPr>
        <w:t>և</w:t>
      </w:r>
      <w:r w:rsidRPr="004118EA">
        <w:rPr>
          <w:rFonts w:eastAsia="Calibri"/>
          <w:b w:val="0"/>
          <w:szCs w:val="22"/>
          <w:lang w:val="af-ZA" w:eastAsia="en-US"/>
        </w:rPr>
        <w:t xml:space="preserve"> </w:t>
      </w:r>
      <w:r w:rsidRPr="004118EA">
        <w:rPr>
          <w:rFonts w:eastAsia="Calibri"/>
          <w:b w:val="0"/>
          <w:szCs w:val="22"/>
          <w:lang w:val="hy-AM" w:eastAsia="en-US"/>
        </w:rPr>
        <w:t>տեխնիկական</w:t>
      </w:r>
      <w:r w:rsidRPr="004118EA">
        <w:rPr>
          <w:rFonts w:eastAsia="Calibri"/>
          <w:b w:val="0"/>
          <w:szCs w:val="22"/>
          <w:lang w:val="af-ZA" w:eastAsia="en-US"/>
        </w:rPr>
        <w:t xml:space="preserve"> </w:t>
      </w:r>
      <w:r w:rsidRPr="004118EA">
        <w:rPr>
          <w:rFonts w:eastAsia="Calibri"/>
          <w:b w:val="0"/>
          <w:szCs w:val="22"/>
          <w:lang w:val="hy-AM" w:eastAsia="en-US"/>
        </w:rPr>
        <w:t>սպասարկում</w:t>
      </w:r>
      <w:r w:rsidRPr="004118EA">
        <w:rPr>
          <w:rFonts w:eastAsia="Calibri"/>
          <w:b w:val="0"/>
          <w:szCs w:val="22"/>
          <w:lang w:val="af-ZA" w:eastAsia="en-US"/>
        </w:rPr>
        <w:t xml:space="preserve"> </w:t>
      </w:r>
      <w:r w:rsidRPr="004118EA">
        <w:rPr>
          <w:rFonts w:eastAsia="Calibri"/>
          <w:b w:val="0"/>
          <w:szCs w:val="22"/>
          <w:lang w:val="hy-AM" w:eastAsia="en-US"/>
        </w:rPr>
        <w:t>իրականացնող</w:t>
      </w:r>
      <w:r w:rsidRPr="004118EA">
        <w:rPr>
          <w:rFonts w:eastAsia="Calibri"/>
          <w:b w:val="0"/>
          <w:szCs w:val="22"/>
          <w:lang w:val="af-ZA" w:eastAsia="en-US"/>
        </w:rPr>
        <w:t xml:space="preserve"> </w:t>
      </w:r>
      <w:r w:rsidRPr="004118EA">
        <w:rPr>
          <w:rFonts w:eastAsia="Calibri"/>
          <w:b w:val="0"/>
          <w:szCs w:val="22"/>
          <w:lang w:val="hy-AM" w:eastAsia="en-US"/>
        </w:rPr>
        <w:t>անձանց</w:t>
      </w:r>
      <w:r w:rsidRPr="004118EA">
        <w:rPr>
          <w:rFonts w:eastAsia="Calibri"/>
          <w:b w:val="0"/>
          <w:szCs w:val="22"/>
          <w:lang w:val="af-ZA" w:eastAsia="en-US"/>
        </w:rPr>
        <w:t xml:space="preserve"> </w:t>
      </w:r>
      <w:r w:rsidRPr="004118EA">
        <w:rPr>
          <w:rFonts w:eastAsia="Calibri"/>
          <w:b w:val="0"/>
          <w:szCs w:val="22"/>
          <w:lang w:val="hy-AM" w:eastAsia="en-US"/>
        </w:rPr>
        <w:t>պաշտո</w:t>
      </w:r>
      <w:r w:rsidRPr="004118EA">
        <w:rPr>
          <w:rFonts w:eastAsia="Calibri"/>
          <w:b w:val="0"/>
          <w:szCs w:val="22"/>
          <w:lang w:val="af-ZA" w:eastAsia="en-US"/>
        </w:rPr>
        <w:softHyphen/>
      </w:r>
      <w:r w:rsidRPr="004118EA">
        <w:rPr>
          <w:rFonts w:eastAsia="Calibri"/>
          <w:b w:val="0"/>
          <w:szCs w:val="22"/>
          <w:lang w:val="af-ZA" w:eastAsia="en-US"/>
        </w:rPr>
        <w:softHyphen/>
      </w:r>
      <w:r w:rsidRPr="004118EA">
        <w:rPr>
          <w:rFonts w:eastAsia="Calibri"/>
          <w:b w:val="0"/>
          <w:szCs w:val="22"/>
          <w:lang w:val="hy-AM" w:eastAsia="en-US"/>
        </w:rPr>
        <w:t>նային</w:t>
      </w:r>
      <w:r w:rsidRPr="004118EA">
        <w:rPr>
          <w:rFonts w:eastAsia="Calibri"/>
          <w:b w:val="0"/>
          <w:szCs w:val="22"/>
          <w:lang w:val="af-ZA" w:eastAsia="en-US"/>
        </w:rPr>
        <w:t xml:space="preserve"> </w:t>
      </w:r>
      <w:r w:rsidRPr="004118EA">
        <w:rPr>
          <w:rFonts w:eastAsia="Calibri"/>
          <w:b w:val="0"/>
          <w:szCs w:val="22"/>
          <w:lang w:val="hy-AM" w:eastAsia="en-US"/>
        </w:rPr>
        <w:t>դրույքաչափերը</w:t>
      </w:r>
      <w:r w:rsidRPr="004118EA">
        <w:rPr>
          <w:rFonts w:eastAsia="Calibri"/>
          <w:b w:val="0"/>
          <w:szCs w:val="22"/>
          <w:lang w:val="af-ZA" w:eastAsia="en-US"/>
        </w:rPr>
        <w:t xml:space="preserve"> </w:t>
      </w:r>
      <w:r w:rsidRPr="004118EA">
        <w:rPr>
          <w:rFonts w:eastAsia="Calibri"/>
          <w:b w:val="0"/>
          <w:szCs w:val="22"/>
          <w:lang w:val="hy-AM" w:eastAsia="en-US"/>
        </w:rPr>
        <w:t>սահմանելու</w:t>
      </w:r>
      <w:r w:rsidRPr="004118EA">
        <w:rPr>
          <w:rFonts w:eastAsia="Calibri"/>
          <w:b w:val="0"/>
          <w:szCs w:val="22"/>
          <w:lang w:val="af-ZA" w:eastAsia="en-US"/>
        </w:rPr>
        <w:t xml:space="preserve"> </w:t>
      </w:r>
      <w:r w:rsidRPr="004118EA">
        <w:rPr>
          <w:rFonts w:eastAsia="Calibri"/>
          <w:b w:val="0"/>
          <w:szCs w:val="22"/>
          <w:lang w:val="hy-AM" w:eastAsia="en-US"/>
        </w:rPr>
        <w:t>մասին</w:t>
      </w:r>
      <w:r w:rsidRPr="004118EA">
        <w:rPr>
          <w:rFonts w:eastAsia="Calibri"/>
          <w:b w:val="0"/>
          <w:szCs w:val="22"/>
          <w:lang w:val="af-ZA" w:eastAsia="en-US"/>
        </w:rPr>
        <w:t>» N 737-</w:t>
      </w:r>
      <w:r w:rsidRPr="004118EA">
        <w:rPr>
          <w:rFonts w:eastAsia="Calibri"/>
          <w:b w:val="0"/>
          <w:szCs w:val="22"/>
          <w:lang w:val="hy-AM" w:eastAsia="en-US"/>
        </w:rPr>
        <w:t>Ն</w:t>
      </w:r>
      <w:r w:rsidRPr="004118EA">
        <w:rPr>
          <w:rFonts w:eastAsia="Calibri"/>
          <w:b w:val="0"/>
          <w:szCs w:val="22"/>
          <w:lang w:val="af-ZA" w:eastAsia="en-US"/>
        </w:rPr>
        <w:t xml:space="preserve"> </w:t>
      </w:r>
      <w:r w:rsidRPr="004118EA">
        <w:rPr>
          <w:rFonts w:eastAsia="Calibri"/>
          <w:b w:val="0"/>
          <w:szCs w:val="22"/>
          <w:lang w:val="hy-AM" w:eastAsia="en-US"/>
        </w:rPr>
        <w:t>որոշման</w:t>
      </w:r>
      <w:r w:rsidRPr="004118EA">
        <w:rPr>
          <w:rFonts w:eastAsia="Calibri"/>
          <w:b w:val="0"/>
          <w:szCs w:val="22"/>
          <w:lang w:val="af-ZA" w:eastAsia="en-US"/>
        </w:rPr>
        <w:t xml:space="preserve"> </w:t>
      </w:r>
      <w:r w:rsidRPr="004118EA">
        <w:rPr>
          <w:rFonts w:eastAsia="Calibri"/>
          <w:b w:val="0"/>
          <w:szCs w:val="22"/>
          <w:lang w:val="hy-AM" w:eastAsia="en-US"/>
        </w:rPr>
        <w:t>պահանջներին</w:t>
      </w:r>
      <w:r w:rsidRPr="004118EA">
        <w:rPr>
          <w:rFonts w:eastAsia="Calibri"/>
          <w:b w:val="0"/>
          <w:szCs w:val="22"/>
          <w:lang w:val="af-ZA" w:eastAsia="en-US"/>
        </w:rPr>
        <w:t xml:space="preserve"> </w:t>
      </w:r>
      <w:r w:rsidRPr="004118EA">
        <w:rPr>
          <w:rFonts w:eastAsia="Calibri"/>
          <w:b w:val="0"/>
          <w:szCs w:val="22"/>
          <w:lang w:val="hy-AM" w:eastAsia="en-US"/>
        </w:rPr>
        <w:t>համապատասխան։</w:t>
      </w:r>
    </w:p>
    <w:p w:rsidR="00236B20" w:rsidRPr="004118EA" w:rsidRDefault="00236B20" w:rsidP="007730AA">
      <w:pPr>
        <w:spacing w:before="0" w:line="276" w:lineRule="auto"/>
        <w:ind w:firstLine="720"/>
        <w:rPr>
          <w:rFonts w:eastAsia="Calibri"/>
          <w:b w:val="0"/>
          <w:szCs w:val="22"/>
          <w:lang w:val="hy-AM" w:eastAsia="en-US"/>
        </w:rPr>
      </w:pPr>
      <w:r w:rsidRPr="004118EA">
        <w:rPr>
          <w:rFonts w:eastAsia="Calibri"/>
          <w:b w:val="0"/>
          <w:szCs w:val="22"/>
          <w:lang w:val="hy-AM" w:eastAsia="en-US"/>
        </w:rPr>
        <w:t>2021 թվականի համար աշխատավարձի ֆոնդի հաշվարկման հիմքում բազային աշխա</w:t>
      </w:r>
      <w:r w:rsidRPr="004118EA">
        <w:rPr>
          <w:rFonts w:eastAsia="Calibri"/>
          <w:b w:val="0"/>
          <w:szCs w:val="22"/>
          <w:lang w:val="hy-AM" w:eastAsia="en-US"/>
        </w:rPr>
        <w:softHyphen/>
        <w:t xml:space="preserve">տավարձի չափ է ընդունվել 66140.0 դրամը: </w:t>
      </w:r>
    </w:p>
    <w:p w:rsidR="00236B20" w:rsidRPr="004118EA" w:rsidRDefault="00236B20" w:rsidP="007730AA">
      <w:pPr>
        <w:spacing w:before="0" w:line="276" w:lineRule="auto"/>
        <w:ind w:firstLine="720"/>
        <w:rPr>
          <w:rFonts w:eastAsia="Calibri"/>
          <w:b w:val="0"/>
          <w:szCs w:val="22"/>
          <w:lang w:val="hy-AM" w:eastAsia="en-US"/>
        </w:rPr>
      </w:pPr>
      <w:r w:rsidRPr="004118EA">
        <w:rPr>
          <w:rFonts w:eastAsia="Calibri"/>
          <w:b w:val="0"/>
          <w:szCs w:val="22"/>
          <w:lang w:val="hy-AM" w:eastAsia="en-US"/>
        </w:rPr>
        <w:t>Աշխատավարձի ֆոնդը ծրագրավորվել է հաշ</w:t>
      </w:r>
      <w:r w:rsidRPr="004118EA">
        <w:rPr>
          <w:rFonts w:eastAsia="Calibri"/>
          <w:b w:val="0"/>
          <w:szCs w:val="22"/>
          <w:lang w:val="hy-AM" w:eastAsia="en-US"/>
        </w:rPr>
        <w:softHyphen/>
        <w:t>վի առ</w:t>
      </w:r>
      <w:r w:rsidRPr="004118EA">
        <w:rPr>
          <w:rFonts w:eastAsia="Calibri"/>
          <w:b w:val="0"/>
          <w:szCs w:val="22"/>
          <w:lang w:val="hy-AM" w:eastAsia="en-US"/>
        </w:rPr>
        <w:softHyphen/>
        <w:t>նե</w:t>
      </w:r>
      <w:r w:rsidRPr="004118EA">
        <w:rPr>
          <w:rFonts w:eastAsia="Calibri"/>
          <w:b w:val="0"/>
          <w:szCs w:val="22"/>
          <w:lang w:val="hy-AM" w:eastAsia="en-US"/>
        </w:rPr>
        <w:softHyphen/>
        <w:t>լով՝ պետական պաշտոն զբաղեցնող անձանց պաշտոնային դրույքաչափերի նկատմամբ գործող օրենսդրությամբ նախա</w:t>
      </w:r>
      <w:r w:rsidRPr="004118EA">
        <w:rPr>
          <w:rFonts w:eastAsia="Calibri"/>
          <w:b w:val="0"/>
          <w:szCs w:val="22"/>
          <w:lang w:val="hy-AM" w:eastAsia="en-US"/>
        </w:rPr>
        <w:softHyphen/>
        <w:t>տեսված հավելավճարները (դասային, դիվանագիտական աստիճանների, կոչման, աշխատանքային ստա</w:t>
      </w:r>
      <w:r w:rsidRPr="004118EA">
        <w:rPr>
          <w:rFonts w:eastAsia="Calibri"/>
          <w:b w:val="0"/>
          <w:szCs w:val="22"/>
          <w:lang w:val="hy-AM" w:eastAsia="en-US"/>
        </w:rPr>
        <w:softHyphen/>
        <w:t xml:space="preserve">ժի և այլն), հավելումները (բարձր լեռնային, ծանր, վնասակար աշխատանքների համար և այլն) և պետական ծառայողների հիմնական աշխատավարձի բնականոն աճերը, «Հայաստանի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օրենքով սահմանված՝ ՀՀ օրենսդրությամբ սահմանված նվազագույն աշխատավարձի չափը չգերազանցող աշխատավարձ ստացողների համար 1000 դրամի չափով դրոշմանիշային վճարի ապահովմամբ պայմանավորված ծախսերը, ինչպես նաև </w:t>
      </w:r>
      <w:bookmarkStart w:id="218" w:name="_Hlk51424056"/>
      <w:r w:rsidRPr="004118EA">
        <w:rPr>
          <w:rFonts w:eastAsia="Calibri"/>
          <w:b w:val="0"/>
          <w:szCs w:val="22"/>
          <w:lang w:val="hy-AM" w:eastAsia="en-US"/>
        </w:rPr>
        <w:t>«Նվազագույն ամսական աշխատավարձի մասին» ՀՀ</w:t>
      </w:r>
      <w:bookmarkEnd w:id="218"/>
      <w:r w:rsidRPr="004118EA">
        <w:rPr>
          <w:rFonts w:eastAsia="Calibri"/>
          <w:b w:val="0"/>
          <w:szCs w:val="22"/>
          <w:lang w:val="hy-AM" w:eastAsia="en-US"/>
        </w:rPr>
        <w:t xml:space="preserve"> օրենքի պահանջները:</w:t>
      </w:r>
    </w:p>
    <w:p w:rsidR="00236B20" w:rsidRPr="004118EA" w:rsidRDefault="00236B20" w:rsidP="007730AA">
      <w:pPr>
        <w:spacing w:before="0" w:line="276" w:lineRule="auto"/>
        <w:ind w:firstLine="720"/>
        <w:rPr>
          <w:rFonts w:eastAsia="Calibri"/>
          <w:b w:val="0"/>
          <w:szCs w:val="22"/>
          <w:lang w:val="hy-AM" w:eastAsia="en-US"/>
        </w:rPr>
      </w:pPr>
      <w:r w:rsidRPr="004118EA">
        <w:rPr>
          <w:rFonts w:eastAsia="Calibri"/>
          <w:b w:val="0"/>
          <w:szCs w:val="22"/>
          <w:lang w:val="hy-AM" w:eastAsia="en-US"/>
        </w:rPr>
        <w:t xml:space="preserve">Աշխատավարձի ֆոնդում նախատեսվել է նաև պետական ծառայողների պարգևատրման ֆոնդ` նրանց 2020 թվականի աշխատավարձի ֆոնդի 10 տոկոսի չափով: </w:t>
      </w:r>
      <w:r w:rsidRPr="004118EA">
        <w:rPr>
          <w:rFonts w:eastAsia="Calibri"/>
          <w:b w:val="0"/>
          <w:szCs w:val="22"/>
          <w:lang w:val="af-ZA" w:eastAsia="en-US"/>
        </w:rPr>
        <w:t>Միաժամանակ</w:t>
      </w:r>
      <w:r w:rsidRPr="004118EA">
        <w:rPr>
          <w:rFonts w:eastAsia="Calibri"/>
          <w:b w:val="0"/>
          <w:szCs w:val="22"/>
          <w:lang w:val="hy-AM" w:eastAsia="en-US"/>
        </w:rPr>
        <w:t>,</w:t>
      </w:r>
      <w:r w:rsidRPr="004118EA">
        <w:rPr>
          <w:rFonts w:eastAsia="Calibri"/>
          <w:b w:val="0"/>
          <w:szCs w:val="22"/>
          <w:lang w:val="af-ZA" w:eastAsia="en-US"/>
        </w:rPr>
        <w:t xml:space="preserve"> </w:t>
      </w:r>
      <w:r w:rsidRPr="004118EA">
        <w:rPr>
          <w:rFonts w:eastAsia="Calibri"/>
          <w:b w:val="0"/>
          <w:szCs w:val="22"/>
          <w:lang w:val="hy-AM" w:eastAsia="en-US"/>
        </w:rPr>
        <w:t>բոլոր</w:t>
      </w:r>
      <w:r w:rsidRPr="004118EA">
        <w:rPr>
          <w:rFonts w:eastAsia="Calibri"/>
          <w:b w:val="0"/>
          <w:szCs w:val="22"/>
          <w:lang w:val="af-ZA" w:eastAsia="en-US"/>
        </w:rPr>
        <w:t xml:space="preserve"> </w:t>
      </w:r>
      <w:r w:rsidRPr="004118EA">
        <w:rPr>
          <w:rFonts w:eastAsia="Calibri"/>
          <w:b w:val="0"/>
          <w:szCs w:val="22"/>
          <w:lang w:val="hy-AM" w:eastAsia="en-US"/>
        </w:rPr>
        <w:t>մարմինների</w:t>
      </w:r>
      <w:r w:rsidRPr="004118EA">
        <w:rPr>
          <w:rFonts w:eastAsia="Calibri"/>
          <w:b w:val="0"/>
          <w:szCs w:val="22"/>
          <w:lang w:val="af-ZA" w:eastAsia="en-US"/>
        </w:rPr>
        <w:t xml:space="preserve"> </w:t>
      </w:r>
      <w:r w:rsidRPr="004118EA">
        <w:rPr>
          <w:rFonts w:eastAsia="Calibri"/>
          <w:b w:val="0"/>
          <w:szCs w:val="22"/>
          <w:lang w:val="hy-AM" w:eastAsia="en-US"/>
        </w:rPr>
        <w:t>համար</w:t>
      </w:r>
      <w:r w:rsidRPr="004118EA">
        <w:rPr>
          <w:rFonts w:eastAsia="Calibri"/>
          <w:b w:val="0"/>
          <w:szCs w:val="22"/>
          <w:lang w:val="af-ZA" w:eastAsia="en-US"/>
        </w:rPr>
        <w:t xml:space="preserve"> </w:t>
      </w:r>
      <w:r w:rsidRPr="004118EA">
        <w:rPr>
          <w:rFonts w:eastAsia="Calibri"/>
          <w:b w:val="0"/>
          <w:szCs w:val="22"/>
          <w:lang w:val="hy-AM" w:eastAsia="en-US"/>
        </w:rPr>
        <w:t>նախատեսվել</w:t>
      </w:r>
      <w:r w:rsidRPr="004118EA">
        <w:rPr>
          <w:rFonts w:eastAsia="Calibri"/>
          <w:b w:val="0"/>
          <w:szCs w:val="22"/>
          <w:lang w:val="af-ZA" w:eastAsia="en-US"/>
        </w:rPr>
        <w:t xml:space="preserve"> </w:t>
      </w:r>
      <w:r w:rsidRPr="004118EA">
        <w:rPr>
          <w:rFonts w:eastAsia="Calibri"/>
          <w:b w:val="0"/>
          <w:szCs w:val="22"/>
          <w:lang w:val="hy-AM" w:eastAsia="en-US"/>
        </w:rPr>
        <w:t>է</w:t>
      </w:r>
      <w:r w:rsidRPr="004118EA">
        <w:rPr>
          <w:rFonts w:eastAsia="Calibri"/>
          <w:b w:val="0"/>
          <w:szCs w:val="22"/>
          <w:lang w:val="af-ZA" w:eastAsia="en-US"/>
        </w:rPr>
        <w:t xml:space="preserve"> </w:t>
      </w:r>
      <w:r w:rsidRPr="004118EA">
        <w:rPr>
          <w:rFonts w:eastAsia="Calibri"/>
          <w:b w:val="0"/>
          <w:szCs w:val="22"/>
          <w:lang w:val="hy-AM" w:eastAsia="en-US"/>
        </w:rPr>
        <w:t>պարգևատրման ֆոնդ, որը պետական ծառայողների պարգևատրման ֆոնդի հետ միասին կազմում է  պարգևատրման ֆոնդի  հաշվարկման համար հիմք հանդիսացող աշխատավարձի ֆոնդի 30%-ը:</w:t>
      </w:r>
    </w:p>
    <w:p w:rsidR="003F74AC" w:rsidRDefault="00236B20" w:rsidP="007730AA">
      <w:pPr>
        <w:widowControl w:val="0"/>
        <w:tabs>
          <w:tab w:val="left" w:pos="270"/>
          <w:tab w:val="left" w:pos="851"/>
          <w:tab w:val="left" w:pos="993"/>
        </w:tabs>
        <w:spacing w:before="0" w:line="276" w:lineRule="auto"/>
        <w:ind w:firstLine="720"/>
        <w:rPr>
          <w:rFonts w:eastAsia="Calibri"/>
          <w:b w:val="0"/>
          <w:szCs w:val="22"/>
          <w:lang w:val="hy-AM" w:eastAsia="en-US"/>
        </w:rPr>
      </w:pPr>
      <w:r w:rsidRPr="004118EA">
        <w:rPr>
          <w:rFonts w:cs="Sylfaen"/>
          <w:b w:val="0"/>
          <w:szCs w:val="22"/>
          <w:lang w:val="hy-AM"/>
        </w:rPr>
        <w:t xml:space="preserve"> </w:t>
      </w:r>
      <w:r w:rsidRPr="004118EA">
        <w:rPr>
          <w:rFonts w:eastAsia="Calibri"/>
          <w:b w:val="0"/>
          <w:szCs w:val="22"/>
          <w:lang w:val="hy-AM" w:eastAsia="en-US"/>
        </w:rPr>
        <w:t>Էներգետիկ ծառայությունների` էլեկտրաէներգիայի, վառելիքի և ջեռուցման ծախսերը ծրագրավորվել են ՀՀ կառա</w:t>
      </w:r>
      <w:r w:rsidRPr="004118EA">
        <w:rPr>
          <w:rFonts w:eastAsia="Calibri"/>
          <w:b w:val="0"/>
          <w:szCs w:val="22"/>
          <w:lang w:val="hy-AM" w:eastAsia="en-US"/>
        </w:rPr>
        <w:softHyphen/>
        <w:t xml:space="preserve">վարության 2005 թվականի ապրիլի 28-ի </w:t>
      </w:r>
      <w:r w:rsidRPr="004118EA">
        <w:rPr>
          <w:rFonts w:eastAsia="Calibri"/>
          <w:b w:val="0"/>
          <w:spacing w:val="-4"/>
          <w:szCs w:val="22"/>
          <w:lang w:val="pt-BR" w:eastAsia="en-US"/>
        </w:rPr>
        <w:t>«</w:t>
      </w:r>
      <w:r w:rsidRPr="004118EA">
        <w:rPr>
          <w:rFonts w:eastAsia="Calibri"/>
          <w:b w:val="0"/>
          <w:szCs w:val="22"/>
          <w:lang w:val="hy-AM" w:eastAsia="en-US"/>
        </w:rPr>
        <w:t>Հայաստանի Հանրա</w:t>
      </w:r>
      <w:r w:rsidRPr="004118EA">
        <w:rPr>
          <w:rFonts w:eastAsia="Calibri"/>
          <w:b w:val="0"/>
          <w:szCs w:val="22"/>
          <w:lang w:val="hy-AM" w:eastAsia="en-US"/>
        </w:rPr>
        <w:softHyphen/>
        <w:t>պետության պետական բյուջեի նախագծում Հայաստանի Հանրապետության պետական մար</w:t>
      </w:r>
      <w:r w:rsidRPr="004118EA">
        <w:rPr>
          <w:rFonts w:eastAsia="Calibri"/>
          <w:b w:val="0"/>
          <w:szCs w:val="22"/>
          <w:lang w:val="hy-AM" w:eastAsia="en-US"/>
        </w:rPr>
        <w:softHyphen/>
        <w:t>մինների գծով բյուջե</w:t>
      </w:r>
      <w:r w:rsidRPr="004118EA">
        <w:rPr>
          <w:rFonts w:eastAsia="Calibri"/>
          <w:b w:val="0"/>
          <w:szCs w:val="22"/>
          <w:lang w:val="hy-AM" w:eastAsia="en-US"/>
        </w:rPr>
        <w:softHyphen/>
        <w:t>տային ծախ</w:t>
      </w:r>
      <w:r w:rsidRPr="004118EA">
        <w:rPr>
          <w:rFonts w:eastAsia="Calibri"/>
          <w:b w:val="0"/>
          <w:szCs w:val="22"/>
          <w:lang w:val="hy-AM" w:eastAsia="en-US"/>
        </w:rPr>
        <w:softHyphen/>
        <w:t>սե</w:t>
      </w:r>
      <w:r w:rsidRPr="004118EA">
        <w:rPr>
          <w:rFonts w:eastAsia="Calibri"/>
          <w:b w:val="0"/>
          <w:szCs w:val="22"/>
          <w:lang w:val="hy-AM" w:eastAsia="en-US"/>
        </w:rPr>
        <w:softHyphen/>
        <w:t>րի առանձին տեսակների ջեռուցման, վառելիքի և էլեկտրա</w:t>
      </w:r>
      <w:r w:rsidRPr="004118EA">
        <w:rPr>
          <w:rFonts w:eastAsia="Calibri"/>
          <w:b w:val="0"/>
          <w:szCs w:val="22"/>
          <w:lang w:val="hy-AM" w:eastAsia="en-US"/>
        </w:rPr>
        <w:softHyphen/>
        <w:t>էներգիայի ձեռք</w:t>
      </w:r>
      <w:r w:rsidRPr="004118EA">
        <w:rPr>
          <w:rFonts w:eastAsia="Calibri"/>
          <w:b w:val="0"/>
          <w:szCs w:val="22"/>
          <w:lang w:val="hy-AM" w:eastAsia="en-US"/>
        </w:rPr>
        <w:softHyphen/>
        <w:t>բերման ծա</w:t>
      </w:r>
      <w:r w:rsidRPr="004118EA">
        <w:rPr>
          <w:rFonts w:eastAsia="Calibri"/>
          <w:b w:val="0"/>
          <w:szCs w:val="22"/>
          <w:lang w:val="hy-AM" w:eastAsia="en-US"/>
        </w:rPr>
        <w:softHyphen/>
        <w:t>վալ</w:t>
      </w:r>
      <w:r w:rsidRPr="004118EA">
        <w:rPr>
          <w:rFonts w:eastAsia="Calibri"/>
          <w:b w:val="0"/>
          <w:szCs w:val="22"/>
          <w:lang w:val="hy-AM" w:eastAsia="en-US"/>
        </w:rPr>
        <w:softHyphen/>
        <w:t>ների հաշվարկման հիմքում դրվող նորմաները հաս</w:t>
      </w:r>
      <w:r w:rsidRPr="004118EA">
        <w:rPr>
          <w:rFonts w:eastAsia="Calibri"/>
          <w:b w:val="0"/>
          <w:szCs w:val="22"/>
          <w:lang w:val="hy-AM" w:eastAsia="en-US"/>
        </w:rPr>
        <w:softHyphen/>
        <w:t>տատելու մասին» N 629-Ն որոշ</w:t>
      </w:r>
      <w:r w:rsidRPr="004118EA">
        <w:rPr>
          <w:rFonts w:eastAsia="Calibri"/>
          <w:b w:val="0"/>
          <w:szCs w:val="22"/>
          <w:lang w:val="hy-AM" w:eastAsia="en-US"/>
        </w:rPr>
        <w:softHyphen/>
        <w:t>ման պա</w:t>
      </w:r>
      <w:r w:rsidRPr="004118EA">
        <w:rPr>
          <w:rFonts w:eastAsia="Calibri"/>
          <w:b w:val="0"/>
          <w:szCs w:val="22"/>
          <w:lang w:val="hy-AM" w:eastAsia="en-US"/>
        </w:rPr>
        <w:softHyphen/>
        <w:t>հանջ</w:t>
      </w:r>
      <w:r w:rsidRPr="004118EA">
        <w:rPr>
          <w:rFonts w:eastAsia="Calibri"/>
          <w:b w:val="0"/>
          <w:szCs w:val="22"/>
          <w:lang w:val="hy-AM" w:eastAsia="en-US"/>
        </w:rPr>
        <w:softHyphen/>
      </w:r>
      <w:r w:rsidRPr="004118EA">
        <w:rPr>
          <w:rFonts w:eastAsia="Calibri"/>
          <w:b w:val="0"/>
          <w:szCs w:val="22"/>
          <w:lang w:val="hy-AM" w:eastAsia="en-US"/>
        </w:rPr>
        <w:softHyphen/>
        <w:t>նե</w:t>
      </w:r>
      <w:r w:rsidRPr="004118EA">
        <w:rPr>
          <w:rFonts w:eastAsia="Calibri"/>
          <w:b w:val="0"/>
          <w:szCs w:val="22"/>
          <w:lang w:val="hy-AM" w:eastAsia="en-US"/>
        </w:rPr>
        <w:softHyphen/>
        <w:t>րին համապատասխան` հաշվի առնելով գործող սակագ</w:t>
      </w:r>
      <w:r w:rsidRPr="004118EA">
        <w:rPr>
          <w:rFonts w:eastAsia="Calibri"/>
          <w:b w:val="0"/>
          <w:szCs w:val="22"/>
          <w:lang w:val="hy-AM" w:eastAsia="en-US"/>
        </w:rPr>
        <w:softHyphen/>
        <w:t xml:space="preserve">ները։ </w:t>
      </w:r>
      <w:r w:rsidR="003F74AC" w:rsidRPr="004118EA">
        <w:rPr>
          <w:rFonts w:eastAsia="Calibri"/>
          <w:b w:val="0"/>
          <w:szCs w:val="22"/>
          <w:lang w:val="hy-AM" w:eastAsia="en-US"/>
        </w:rPr>
        <w:t>Բնական գազի սակագինը սահ</w:t>
      </w:r>
      <w:r w:rsidR="003F74AC" w:rsidRPr="004118EA">
        <w:rPr>
          <w:rFonts w:eastAsia="Calibri"/>
          <w:b w:val="0"/>
          <w:szCs w:val="22"/>
          <w:lang w:val="hy-AM" w:eastAsia="en-US"/>
        </w:rPr>
        <w:softHyphen/>
        <w:t>ման</w:t>
      </w:r>
      <w:r w:rsidR="003F74AC" w:rsidRPr="004118EA">
        <w:rPr>
          <w:rFonts w:eastAsia="Calibri"/>
          <w:b w:val="0"/>
          <w:szCs w:val="22"/>
          <w:lang w:val="hy-AM" w:eastAsia="en-US"/>
        </w:rPr>
        <w:softHyphen/>
        <w:t>վել է Հանրային ծառայությունները կարգավորող հանձնաժողովի 2020 թվականի հունիսի 19-ի N</w:t>
      </w:r>
      <w:r w:rsidR="003F74AC" w:rsidRPr="004118EA">
        <w:rPr>
          <w:rFonts w:ascii="Calibri" w:eastAsia="Calibri" w:hAnsi="Calibri" w:cs="Calibri"/>
          <w:b w:val="0"/>
          <w:szCs w:val="22"/>
          <w:lang w:val="hy-AM" w:eastAsia="en-US"/>
        </w:rPr>
        <w:t> </w:t>
      </w:r>
      <w:r w:rsidR="003F74AC" w:rsidRPr="004118EA">
        <w:rPr>
          <w:rFonts w:eastAsia="Calibri"/>
          <w:b w:val="0"/>
          <w:szCs w:val="22"/>
          <w:lang w:val="hy-AM" w:eastAsia="en-US"/>
        </w:rPr>
        <w:t>221-Ն որոշմամբ (</w:t>
      </w:r>
      <w:r w:rsidR="003F74AC" w:rsidRPr="00617822">
        <w:rPr>
          <w:rFonts w:eastAsia="Calibri"/>
          <w:b w:val="0"/>
          <w:szCs w:val="22"/>
          <w:lang w:val="hy-AM" w:eastAsia="en-US"/>
        </w:rPr>
        <w:t xml:space="preserve">յուրաքանչյուր հազար խորանարդ մետր բնական գազի սակագինը՝ ամսական </w:t>
      </w:r>
      <w:r w:rsidR="003F74AC" w:rsidRPr="004118EA">
        <w:rPr>
          <w:rFonts w:eastAsia="Calibri"/>
          <w:b w:val="0"/>
          <w:szCs w:val="22"/>
          <w:lang w:val="hy-AM" w:eastAsia="en-US"/>
        </w:rPr>
        <w:t xml:space="preserve">մինչև 10 հազար խորանարդ մետր </w:t>
      </w:r>
      <w:r w:rsidR="003F74AC" w:rsidRPr="00617822">
        <w:rPr>
          <w:rFonts w:eastAsia="Calibri"/>
          <w:b w:val="0"/>
          <w:szCs w:val="22"/>
          <w:lang w:val="hy-AM" w:eastAsia="en-US"/>
        </w:rPr>
        <w:t xml:space="preserve">բնական գազի </w:t>
      </w:r>
      <w:r w:rsidR="003F74AC" w:rsidRPr="00885973">
        <w:rPr>
          <w:rFonts w:eastAsia="Calibri"/>
          <w:b w:val="0"/>
          <w:szCs w:val="22"/>
          <w:lang w:val="hy-AM" w:eastAsia="en-US"/>
        </w:rPr>
        <w:t>համար</w:t>
      </w:r>
      <w:r w:rsidR="003F74AC" w:rsidRPr="004118EA">
        <w:rPr>
          <w:rFonts w:eastAsia="Calibri"/>
          <w:b w:val="0"/>
          <w:szCs w:val="22"/>
          <w:lang w:val="hy-AM" w:eastAsia="en-US"/>
        </w:rPr>
        <w:t>՝ 139</w:t>
      </w:r>
      <w:r w:rsidR="003F74AC" w:rsidRPr="00617822">
        <w:rPr>
          <w:rFonts w:eastAsia="Calibri"/>
          <w:b w:val="0"/>
          <w:szCs w:val="22"/>
          <w:lang w:val="hy-AM" w:eastAsia="en-US"/>
        </w:rPr>
        <w:t>000</w:t>
      </w:r>
      <w:r w:rsidR="003F74AC" w:rsidRPr="004118EA">
        <w:rPr>
          <w:rFonts w:eastAsia="Calibri"/>
          <w:b w:val="0"/>
          <w:szCs w:val="22"/>
          <w:lang w:val="hy-AM" w:eastAsia="en-US"/>
        </w:rPr>
        <w:t xml:space="preserve"> դրամ է, իսկ </w:t>
      </w:r>
      <w:r w:rsidR="003F74AC" w:rsidRPr="00617822">
        <w:rPr>
          <w:rFonts w:eastAsia="Calibri"/>
          <w:b w:val="0"/>
          <w:szCs w:val="22"/>
          <w:lang w:val="hy-AM" w:eastAsia="en-US"/>
        </w:rPr>
        <w:t xml:space="preserve">ամսական </w:t>
      </w:r>
      <w:r w:rsidR="003F74AC" w:rsidRPr="004118EA">
        <w:rPr>
          <w:rFonts w:eastAsia="Calibri"/>
          <w:b w:val="0"/>
          <w:szCs w:val="22"/>
          <w:lang w:val="hy-AM" w:eastAsia="en-US"/>
        </w:rPr>
        <w:t>10 հազար խորանարդ մետրը գերազանցող բնական գազի համար` 255.91 ԱՄՆ դոլարին համարժեք դրամ)։ Էլեկտրաէներգիայի սակագինը` 1 կվտ/ժ-ը 44.98 դրամ: Էլեկտրա</w:t>
      </w:r>
      <w:r w:rsidR="003F74AC" w:rsidRPr="004118EA">
        <w:rPr>
          <w:rFonts w:eastAsia="Calibri"/>
          <w:b w:val="0"/>
          <w:szCs w:val="22"/>
          <w:lang w:val="hy-AM" w:eastAsia="en-US"/>
        </w:rPr>
        <w:softHyphen/>
        <w:t>էներգիայի ծախ</w:t>
      </w:r>
      <w:r w:rsidR="003F74AC" w:rsidRPr="004118EA">
        <w:rPr>
          <w:rFonts w:eastAsia="Calibri"/>
          <w:b w:val="0"/>
          <w:szCs w:val="22"/>
          <w:lang w:val="hy-AM" w:eastAsia="en-US"/>
        </w:rPr>
        <w:softHyphen/>
        <w:t>սերը ծրագրավոր</w:t>
      </w:r>
      <w:r w:rsidR="003F74AC" w:rsidRPr="004118EA">
        <w:rPr>
          <w:rFonts w:eastAsia="Calibri"/>
          <w:b w:val="0"/>
          <w:szCs w:val="22"/>
          <w:lang w:val="hy-AM" w:eastAsia="en-US"/>
        </w:rPr>
        <w:softHyphen/>
        <w:t>վել են սահմանված նոր</w:t>
      </w:r>
      <w:r w:rsidR="003F74AC" w:rsidRPr="004118EA">
        <w:rPr>
          <w:rFonts w:eastAsia="Calibri"/>
          <w:b w:val="0"/>
          <w:szCs w:val="22"/>
          <w:lang w:val="hy-AM" w:eastAsia="en-US"/>
        </w:rPr>
        <w:softHyphen/>
        <w:t xml:space="preserve">մաներով հաշվարկվածի 65%-ի չափով: </w:t>
      </w:r>
    </w:p>
    <w:p w:rsidR="00236B20" w:rsidRPr="004118EA" w:rsidRDefault="00236B20" w:rsidP="007730AA">
      <w:pPr>
        <w:widowControl w:val="0"/>
        <w:tabs>
          <w:tab w:val="left" w:pos="270"/>
          <w:tab w:val="left" w:pos="851"/>
          <w:tab w:val="left" w:pos="993"/>
        </w:tabs>
        <w:spacing w:before="0" w:line="276" w:lineRule="auto"/>
        <w:ind w:firstLine="720"/>
        <w:rPr>
          <w:rFonts w:eastAsia="Calibri"/>
          <w:b w:val="0"/>
          <w:szCs w:val="22"/>
          <w:lang w:val="hy-AM" w:eastAsia="en-US"/>
        </w:rPr>
      </w:pPr>
      <w:r w:rsidRPr="004118EA">
        <w:rPr>
          <w:rFonts w:eastAsia="Calibri"/>
          <w:b w:val="0"/>
          <w:szCs w:val="22"/>
          <w:lang w:val="hy-AM" w:eastAsia="en-US"/>
        </w:rPr>
        <w:t>Պետական մարմին</w:t>
      </w:r>
      <w:r w:rsidRPr="004118EA">
        <w:rPr>
          <w:rFonts w:eastAsia="Calibri"/>
          <w:b w:val="0"/>
          <w:szCs w:val="22"/>
          <w:lang w:val="hy-AM" w:eastAsia="en-US"/>
        </w:rPr>
        <w:softHyphen/>
        <w:t>ների կողմից խմելու ջրի մատակարարման և ջրահեռացման ծառայություն</w:t>
      </w:r>
      <w:r w:rsidRPr="004118EA">
        <w:rPr>
          <w:rFonts w:eastAsia="Calibri"/>
          <w:b w:val="0"/>
          <w:szCs w:val="22"/>
          <w:lang w:val="hy-AM" w:eastAsia="en-US"/>
        </w:rPr>
        <w:softHyphen/>
        <w:t>ներից օգտվելու վարձի վճարման ծախսերը հաշվարկվել են գործող սակագներով՝ հիմք ընդունելով յուրաքանչյուր հաստիքային միավորի համար սահման</w:t>
      </w:r>
      <w:r w:rsidRPr="004118EA">
        <w:rPr>
          <w:rFonts w:eastAsia="Calibri"/>
          <w:b w:val="0"/>
          <w:szCs w:val="22"/>
          <w:lang w:val="hy-AM" w:eastAsia="en-US"/>
        </w:rPr>
        <w:softHyphen/>
        <w:t>ված նորմատիվը` օրական 30 լիտր (հիմք ՀՀ կառավարության 23.09.2004թ. N 1536-Ն որոշում): Բացի այդ, ՀՀ դատարան</w:t>
      </w:r>
      <w:r w:rsidRPr="004118EA">
        <w:rPr>
          <w:rFonts w:eastAsia="Calibri"/>
          <w:b w:val="0"/>
          <w:szCs w:val="22"/>
          <w:lang w:val="hy-AM" w:eastAsia="en-US"/>
        </w:rPr>
        <w:softHyphen/>
        <w:t>ների համար ՀՀ կառավարության 2005 թվականի մայիսի 12-ի N 732-Ա որոշման պահանջ</w:t>
      </w:r>
      <w:r w:rsidRPr="004118EA">
        <w:rPr>
          <w:rFonts w:eastAsia="Calibri"/>
          <w:b w:val="0"/>
          <w:szCs w:val="22"/>
          <w:lang w:val="hy-AM" w:eastAsia="en-US"/>
        </w:rPr>
        <w:softHyphen/>
        <w:t>ներին համապատասխան նախատեսվել է նաև լրացուցիչ ծախս` ելնելով դատական նիստերի դահլիճների ընդհանուր մակերեսի մեծու</w:t>
      </w:r>
      <w:r w:rsidRPr="004118EA">
        <w:rPr>
          <w:rFonts w:eastAsia="Calibri"/>
          <w:b w:val="0"/>
          <w:szCs w:val="22"/>
          <w:lang w:val="hy-AM" w:eastAsia="en-US"/>
        </w:rPr>
        <w:softHyphen/>
        <w:t xml:space="preserve">թյունից: </w:t>
      </w:r>
    </w:p>
    <w:p w:rsidR="00236B20" w:rsidRPr="004118EA" w:rsidRDefault="00236B20" w:rsidP="007730AA">
      <w:pPr>
        <w:spacing w:before="0" w:line="276" w:lineRule="auto"/>
        <w:ind w:firstLine="720"/>
        <w:rPr>
          <w:rFonts w:eastAsia="Calibri"/>
          <w:b w:val="0"/>
          <w:szCs w:val="22"/>
          <w:lang w:val="hy-AM" w:eastAsia="en-US"/>
        </w:rPr>
      </w:pPr>
      <w:r w:rsidRPr="004118EA">
        <w:rPr>
          <w:rFonts w:eastAsia="Calibri"/>
          <w:b w:val="0"/>
          <w:szCs w:val="22"/>
          <w:lang w:val="hy-AM" w:eastAsia="en-US"/>
        </w:rPr>
        <w:t>Կապի ծառայությունների վճարները հաշվարկվել են ՀՀ կառավարութ</w:t>
      </w:r>
      <w:r w:rsidRPr="004118EA">
        <w:rPr>
          <w:rFonts w:eastAsia="Calibri"/>
          <w:b w:val="0"/>
          <w:szCs w:val="22"/>
          <w:lang w:val="hy-AM" w:eastAsia="en-US"/>
        </w:rPr>
        <w:softHyphen/>
        <w:t>յան 2004 թվա</w:t>
      </w:r>
      <w:r w:rsidRPr="004118EA">
        <w:rPr>
          <w:rFonts w:eastAsia="Calibri"/>
          <w:b w:val="0"/>
          <w:szCs w:val="22"/>
          <w:lang w:val="hy-AM" w:eastAsia="en-US"/>
        </w:rPr>
        <w:softHyphen/>
      </w:r>
      <w:r w:rsidRPr="004118EA">
        <w:rPr>
          <w:rFonts w:eastAsia="Calibri"/>
          <w:b w:val="0"/>
          <w:szCs w:val="22"/>
          <w:lang w:val="hy-AM" w:eastAsia="en-US"/>
        </w:rPr>
        <w:softHyphen/>
        <w:t>կանի սեպտեմբերի 23-ի «Հայաստանի Հանրապետության պետական մարմինների կա</w:t>
      </w:r>
      <w:r w:rsidRPr="004118EA">
        <w:rPr>
          <w:rFonts w:eastAsia="Calibri"/>
          <w:b w:val="0"/>
          <w:szCs w:val="22"/>
          <w:lang w:val="hy-AM" w:eastAsia="en-US"/>
        </w:rPr>
        <w:softHyphen/>
        <w:t>պի և կոմունալ ծախսերի նորմաներ սահմանելու մասին» N 1536-Ն և ՀՀ կառավարության 2004 թվա</w:t>
      </w:r>
      <w:r w:rsidRPr="004118EA">
        <w:rPr>
          <w:rFonts w:eastAsia="Calibri"/>
          <w:b w:val="0"/>
          <w:szCs w:val="22"/>
          <w:lang w:val="hy-AM" w:eastAsia="en-US"/>
        </w:rPr>
        <w:softHyphen/>
        <w:t>կանի դեկտեմբերի 30-ի «Հայաստանի Հանրապետության պետական մարմիններում կա</w:t>
      </w:r>
      <w:r w:rsidRPr="004118EA">
        <w:rPr>
          <w:rFonts w:eastAsia="Calibri"/>
          <w:b w:val="0"/>
          <w:szCs w:val="22"/>
          <w:lang w:val="hy-AM" w:eastAsia="en-US"/>
        </w:rPr>
        <w:softHyphen/>
        <w:t>պի ծառա</w:t>
      </w:r>
      <w:r w:rsidRPr="004118EA">
        <w:rPr>
          <w:rFonts w:eastAsia="Calibri"/>
          <w:b w:val="0"/>
          <w:szCs w:val="22"/>
          <w:lang w:val="hy-AM" w:eastAsia="en-US"/>
        </w:rPr>
        <w:softHyphen/>
        <w:t>յությունների նորմաները և հեռախոսակապից օգտվելու օրինակելի ներքին կա</w:t>
      </w:r>
      <w:r w:rsidRPr="004118EA">
        <w:rPr>
          <w:rFonts w:eastAsia="Calibri"/>
          <w:b w:val="0"/>
          <w:szCs w:val="22"/>
          <w:lang w:val="hy-AM" w:eastAsia="en-US"/>
        </w:rPr>
        <w:softHyphen/>
        <w:t>նոն</w:t>
      </w:r>
      <w:r w:rsidRPr="004118EA">
        <w:rPr>
          <w:rFonts w:eastAsia="Calibri"/>
          <w:b w:val="0"/>
          <w:szCs w:val="22"/>
          <w:lang w:val="hy-AM" w:eastAsia="en-US"/>
        </w:rPr>
        <w:softHyphen/>
        <w:t>ները հաստատելու մասին» N 1956-Ն որոշումների պահանջներին համապատասխան: 202</w:t>
      </w:r>
      <w:r w:rsidR="00E626E8" w:rsidRPr="004118EA">
        <w:rPr>
          <w:rFonts w:eastAsia="Calibri"/>
          <w:b w:val="0"/>
          <w:szCs w:val="22"/>
          <w:lang w:val="hy-AM" w:eastAsia="en-US"/>
        </w:rPr>
        <w:t>1</w:t>
      </w:r>
      <w:r w:rsidRPr="004118EA">
        <w:rPr>
          <w:rFonts w:eastAsia="Calibri"/>
          <w:b w:val="0"/>
          <w:szCs w:val="22"/>
          <w:lang w:val="hy-AM" w:eastAsia="en-US"/>
        </w:rPr>
        <w:t xml:space="preserve"> թվականի համար հեռա</w:t>
      </w:r>
      <w:r w:rsidRPr="004118EA">
        <w:rPr>
          <w:rFonts w:eastAsia="Calibri"/>
          <w:b w:val="0"/>
          <w:szCs w:val="22"/>
          <w:lang w:val="hy-AM" w:eastAsia="en-US"/>
        </w:rPr>
        <w:softHyphen/>
      </w:r>
      <w:r w:rsidRPr="004118EA">
        <w:rPr>
          <w:rFonts w:eastAsia="Calibri"/>
          <w:b w:val="0"/>
          <w:szCs w:val="22"/>
          <w:lang w:val="hy-AM" w:eastAsia="en-US"/>
        </w:rPr>
        <w:softHyphen/>
        <w:t>խո</w:t>
      </w:r>
      <w:r w:rsidRPr="004118EA">
        <w:rPr>
          <w:rFonts w:eastAsia="Calibri"/>
          <w:b w:val="0"/>
          <w:szCs w:val="22"/>
          <w:lang w:val="hy-AM" w:eastAsia="en-US"/>
        </w:rPr>
        <w:softHyphen/>
        <w:t>սային խոսակցությունների տարեկան սահմանաչափը ծրագրավորվել է սահման</w:t>
      </w:r>
      <w:r w:rsidRPr="004118EA">
        <w:rPr>
          <w:rFonts w:eastAsia="Calibri"/>
          <w:b w:val="0"/>
          <w:szCs w:val="22"/>
          <w:lang w:val="hy-AM" w:eastAsia="en-US"/>
        </w:rPr>
        <w:softHyphen/>
        <w:t>ված նոր</w:t>
      </w:r>
      <w:r w:rsidRPr="004118EA">
        <w:rPr>
          <w:rFonts w:eastAsia="Calibri"/>
          <w:b w:val="0"/>
          <w:szCs w:val="22"/>
          <w:lang w:val="hy-AM" w:eastAsia="en-US"/>
        </w:rPr>
        <w:softHyphen/>
        <w:t xml:space="preserve">մայի 30%-ի չափով: Կապի ծախսերը հաշվարկելիս հիմք են ընդունվել Հայաստանի Հանրապետությունում գործող կապի առանձին օպերատորների կողմից մատուցվող ծառայությունների սակագները՝ ըստ համապատասխան մարմինների հետ կնքված պայմանագրերի: </w:t>
      </w:r>
    </w:p>
    <w:p w:rsidR="003F74AC" w:rsidRPr="004118EA" w:rsidRDefault="003F74AC" w:rsidP="007730AA">
      <w:pPr>
        <w:spacing w:before="0" w:line="276" w:lineRule="auto"/>
        <w:ind w:firstLine="720"/>
        <w:rPr>
          <w:rFonts w:eastAsia="Calibri"/>
          <w:b w:val="0"/>
          <w:szCs w:val="22"/>
          <w:lang w:val="hy-AM" w:eastAsia="en-US"/>
        </w:rPr>
      </w:pPr>
      <w:r w:rsidRPr="00885973">
        <w:rPr>
          <w:rFonts w:eastAsia="Calibri"/>
          <w:b w:val="0"/>
          <w:szCs w:val="22"/>
          <w:lang w:val="hy-AM" w:eastAsia="en-US"/>
        </w:rPr>
        <w:t>Ծ</w:t>
      </w:r>
      <w:r w:rsidRPr="004118EA">
        <w:rPr>
          <w:rFonts w:eastAsia="Calibri"/>
          <w:b w:val="0"/>
          <w:szCs w:val="22"/>
          <w:lang w:val="hy-AM" w:eastAsia="en-US"/>
        </w:rPr>
        <w:t xml:space="preserve">առայողական </w:t>
      </w:r>
      <w:r>
        <w:rPr>
          <w:rFonts w:eastAsia="Calibri"/>
          <w:b w:val="0"/>
          <w:szCs w:val="22"/>
          <w:lang w:val="hy-AM" w:eastAsia="en-US"/>
        </w:rPr>
        <w:t>գ</w:t>
      </w:r>
      <w:r w:rsidRPr="004118EA">
        <w:rPr>
          <w:rFonts w:eastAsia="Calibri"/>
          <w:b w:val="0"/>
          <w:szCs w:val="22"/>
          <w:lang w:val="hy-AM" w:eastAsia="en-US"/>
        </w:rPr>
        <w:t xml:space="preserve">ործուղումների </w:t>
      </w:r>
      <w:r w:rsidRPr="00885973">
        <w:rPr>
          <w:rFonts w:eastAsia="Calibri"/>
          <w:b w:val="0"/>
          <w:szCs w:val="22"/>
          <w:lang w:val="hy-AM" w:eastAsia="en-US"/>
        </w:rPr>
        <w:t>գծով</w:t>
      </w:r>
      <w:r w:rsidRPr="004118EA">
        <w:rPr>
          <w:rFonts w:eastAsia="Calibri"/>
          <w:b w:val="0"/>
          <w:szCs w:val="22"/>
          <w:lang w:val="hy-AM" w:eastAsia="en-US"/>
        </w:rPr>
        <w:t xml:space="preserve"> ծախսերը հաշվարկվել են ՀՀ կառավարության 2005 թվականի դեկտեմբերի 29-ի N 2335-Ն որոշմամբ սահ</w:t>
      </w:r>
      <w:r w:rsidRPr="004118EA">
        <w:rPr>
          <w:rFonts w:eastAsia="Calibri"/>
          <w:b w:val="0"/>
          <w:szCs w:val="22"/>
          <w:lang w:val="hy-AM" w:eastAsia="en-US"/>
        </w:rPr>
        <w:softHyphen/>
        <w:t>ման</w:t>
      </w:r>
      <w:r w:rsidRPr="004118EA">
        <w:rPr>
          <w:rFonts w:eastAsia="Calibri"/>
          <w:b w:val="0"/>
          <w:szCs w:val="22"/>
          <w:lang w:val="hy-AM" w:eastAsia="en-US"/>
        </w:rPr>
        <w:softHyphen/>
        <w:t xml:space="preserve">ված նորմաներով: </w:t>
      </w:r>
    </w:p>
    <w:p w:rsidR="00236B20" w:rsidRPr="004118EA" w:rsidRDefault="00236B20" w:rsidP="007730AA">
      <w:pPr>
        <w:spacing w:before="0" w:line="276" w:lineRule="auto"/>
        <w:ind w:firstLine="720"/>
        <w:rPr>
          <w:rFonts w:eastAsia="Calibri"/>
          <w:b w:val="0"/>
          <w:szCs w:val="22"/>
          <w:lang w:val="hy-AM" w:eastAsia="en-US"/>
        </w:rPr>
      </w:pPr>
      <w:r w:rsidRPr="004118EA">
        <w:rPr>
          <w:rFonts w:eastAsia="Calibri"/>
          <w:b w:val="0"/>
          <w:szCs w:val="22"/>
          <w:lang w:val="hy-AM" w:eastAsia="en-US"/>
        </w:rPr>
        <w:t>ՀՀ 2021 թվականի պետական բյուջեի նախագծում պահ</w:t>
      </w:r>
      <w:r w:rsidRPr="004118EA">
        <w:rPr>
          <w:rFonts w:eastAsia="Calibri"/>
          <w:b w:val="0"/>
          <w:szCs w:val="22"/>
          <w:lang w:val="hy-AM" w:eastAsia="en-US"/>
        </w:rPr>
        <w:softHyphen/>
        <w:t>պանվել է պետական կառավարման համակարգի մարմինների արտա</w:t>
      </w:r>
      <w:r w:rsidRPr="004118EA">
        <w:rPr>
          <w:rFonts w:eastAsia="Calibri"/>
          <w:b w:val="0"/>
          <w:szCs w:val="22"/>
          <w:lang w:val="hy-AM" w:eastAsia="en-US"/>
        </w:rPr>
        <w:softHyphen/>
        <w:t>սահ</w:t>
      </w:r>
      <w:r w:rsidRPr="004118EA">
        <w:rPr>
          <w:rFonts w:eastAsia="Calibri"/>
          <w:b w:val="0"/>
          <w:szCs w:val="22"/>
          <w:lang w:val="hy-AM" w:eastAsia="en-US"/>
        </w:rPr>
        <w:softHyphen/>
        <w:t>ման</w:t>
      </w:r>
      <w:r w:rsidRPr="004118EA">
        <w:rPr>
          <w:rFonts w:eastAsia="Calibri"/>
          <w:b w:val="0"/>
          <w:szCs w:val="22"/>
          <w:lang w:val="hy-AM" w:eastAsia="en-US"/>
        </w:rPr>
        <w:softHyphen/>
        <w:t>յան պաշտոնական գործուղումների հետ կապված ծախ</w:t>
      </w:r>
      <w:r w:rsidRPr="004118EA">
        <w:rPr>
          <w:rFonts w:eastAsia="Calibri"/>
          <w:b w:val="0"/>
          <w:szCs w:val="22"/>
          <w:lang w:val="hy-AM" w:eastAsia="en-US"/>
        </w:rPr>
        <w:softHyphen/>
        <w:t>սերի գծով հատկացումները ՀՀ պետական բյուջեում առանձին տողով արտացոլվող կենտրո</w:t>
      </w:r>
      <w:r w:rsidRPr="004118EA">
        <w:rPr>
          <w:rFonts w:eastAsia="Calibri"/>
          <w:b w:val="0"/>
          <w:szCs w:val="22"/>
          <w:lang w:val="hy-AM" w:eastAsia="en-US"/>
        </w:rPr>
        <w:softHyphen/>
        <w:t>նացված ֆոնդում ներառելու սկզբուն</w:t>
      </w:r>
      <w:r w:rsidRPr="004118EA">
        <w:rPr>
          <w:rFonts w:eastAsia="Calibri"/>
          <w:b w:val="0"/>
          <w:szCs w:val="22"/>
          <w:lang w:val="hy-AM" w:eastAsia="en-US"/>
        </w:rPr>
        <w:softHyphen/>
        <w:t xml:space="preserve">քը: </w:t>
      </w:r>
    </w:p>
    <w:p w:rsidR="00236B20" w:rsidRPr="004118EA" w:rsidRDefault="00236B20" w:rsidP="007730AA">
      <w:pPr>
        <w:spacing w:before="0" w:line="276" w:lineRule="auto"/>
        <w:ind w:firstLine="720"/>
        <w:rPr>
          <w:rFonts w:eastAsia="Calibri"/>
          <w:b w:val="0"/>
          <w:szCs w:val="22"/>
          <w:lang w:val="hy-AM" w:eastAsia="en-US"/>
        </w:rPr>
      </w:pPr>
      <w:r w:rsidRPr="004118EA">
        <w:rPr>
          <w:rFonts w:eastAsia="Calibri"/>
          <w:b w:val="0"/>
          <w:szCs w:val="22"/>
          <w:lang w:val="hy-AM" w:eastAsia="en-US"/>
        </w:rPr>
        <w:t xml:space="preserve">Ծառայողական ավտոմեքենաների պահպանման ծախսերը ծրագրավորվել </w:t>
      </w:r>
      <w:r w:rsidR="00E626E8" w:rsidRPr="004118EA">
        <w:rPr>
          <w:rFonts w:eastAsia="Calibri"/>
          <w:b w:val="0"/>
          <w:szCs w:val="22"/>
          <w:lang w:val="hy-AM" w:eastAsia="en-US"/>
        </w:rPr>
        <w:t>են</w:t>
      </w:r>
      <w:r w:rsidRPr="004118EA">
        <w:rPr>
          <w:rFonts w:eastAsia="Calibri"/>
          <w:b w:val="0"/>
          <w:szCs w:val="22"/>
          <w:lang w:val="hy-AM" w:eastAsia="en-US"/>
        </w:rPr>
        <w:t xml:space="preserve">  համապատասխան մարմինների կողմից 2021 թվականի բյուջետային ֆինանսավորման հայտերով  ներկայացված ծառայողական ավտոմեքենաների քանակին համապատասխան, բայց ոչ ավելի քան ՀՀ կառավարության 2005 թվականի փետրվարի 17-ի N 194-Ն որոշմամբ նախատեսված սահմանաքանակը։ 2021 թվականի </w:t>
      </w:r>
      <w:r w:rsidR="00E626E8" w:rsidRPr="004118EA">
        <w:rPr>
          <w:rFonts w:eastAsia="Calibri"/>
          <w:b w:val="0"/>
          <w:szCs w:val="22"/>
          <w:lang w:val="hy-AM" w:eastAsia="en-US"/>
        </w:rPr>
        <w:t xml:space="preserve">պետական </w:t>
      </w:r>
      <w:r w:rsidRPr="004118EA">
        <w:rPr>
          <w:rFonts w:eastAsia="Calibri"/>
          <w:b w:val="0"/>
          <w:szCs w:val="22"/>
          <w:lang w:val="hy-AM" w:eastAsia="en-US"/>
        </w:rPr>
        <w:t>բյուջեի նախագծում պետական մարմինների պահպանման ծախսերում նախատեսված է 923 մեքենայի պահպանման ծախս: Ընդ որում, 1 մեքենայի պահպանման տարեկան ծախսը հաշ</w:t>
      </w:r>
      <w:r w:rsidRPr="004118EA">
        <w:rPr>
          <w:rFonts w:eastAsia="Calibri"/>
          <w:b w:val="0"/>
          <w:szCs w:val="22"/>
          <w:lang w:val="hy-AM" w:eastAsia="en-US"/>
        </w:rPr>
        <w:softHyphen/>
        <w:t>վարկ</w:t>
      </w:r>
      <w:r w:rsidRPr="004118EA">
        <w:rPr>
          <w:rFonts w:eastAsia="Calibri"/>
          <w:b w:val="0"/>
          <w:szCs w:val="22"/>
          <w:lang w:val="hy-AM" w:eastAsia="en-US"/>
        </w:rPr>
        <w:softHyphen/>
        <w:t>վել է 1,2 մլն դրամի չափով (պահպանվել է նախորդ տարիների մակարդակը):</w:t>
      </w:r>
    </w:p>
    <w:p w:rsidR="00236B20" w:rsidRPr="004118EA" w:rsidRDefault="00236B20" w:rsidP="007730AA">
      <w:pPr>
        <w:spacing w:before="0" w:line="276" w:lineRule="auto"/>
        <w:ind w:firstLine="720"/>
        <w:rPr>
          <w:rFonts w:eastAsia="Calibri"/>
          <w:b w:val="0"/>
          <w:szCs w:val="22"/>
          <w:lang w:val="af-ZA" w:eastAsia="en-US"/>
        </w:rPr>
      </w:pPr>
      <w:r w:rsidRPr="004118EA">
        <w:rPr>
          <w:rFonts w:eastAsia="Calibri"/>
          <w:b w:val="0"/>
          <w:szCs w:val="22"/>
          <w:lang w:val="hy-AM" w:eastAsia="en-US"/>
        </w:rPr>
        <w:t>ՀՀ</w:t>
      </w:r>
      <w:r w:rsidRPr="004118EA">
        <w:rPr>
          <w:rFonts w:eastAsia="Calibri"/>
          <w:b w:val="0"/>
          <w:szCs w:val="22"/>
          <w:lang w:val="af-ZA" w:eastAsia="en-US"/>
        </w:rPr>
        <w:t xml:space="preserve"> </w:t>
      </w:r>
      <w:r w:rsidRPr="004118EA">
        <w:rPr>
          <w:rFonts w:eastAsia="Calibri"/>
          <w:b w:val="0"/>
          <w:szCs w:val="22"/>
          <w:lang w:val="hy-AM" w:eastAsia="en-US"/>
        </w:rPr>
        <w:t>պետական</w:t>
      </w:r>
      <w:r w:rsidRPr="004118EA">
        <w:rPr>
          <w:rFonts w:eastAsia="Calibri"/>
          <w:b w:val="0"/>
          <w:szCs w:val="22"/>
          <w:lang w:val="af-ZA" w:eastAsia="en-US"/>
        </w:rPr>
        <w:t xml:space="preserve"> </w:t>
      </w:r>
      <w:r w:rsidRPr="004118EA">
        <w:rPr>
          <w:rFonts w:eastAsia="Calibri"/>
          <w:b w:val="0"/>
          <w:szCs w:val="22"/>
          <w:lang w:val="hy-AM" w:eastAsia="en-US"/>
        </w:rPr>
        <w:t>մարմինների</w:t>
      </w:r>
      <w:r w:rsidRPr="004118EA">
        <w:rPr>
          <w:rFonts w:eastAsia="Calibri"/>
          <w:b w:val="0"/>
          <w:szCs w:val="22"/>
          <w:lang w:val="af-ZA" w:eastAsia="en-US"/>
        </w:rPr>
        <w:t xml:space="preserve"> </w:t>
      </w:r>
      <w:r w:rsidRPr="004118EA">
        <w:rPr>
          <w:rFonts w:eastAsia="Calibri"/>
          <w:b w:val="0"/>
          <w:szCs w:val="22"/>
          <w:lang w:val="hy-AM" w:eastAsia="en-US"/>
        </w:rPr>
        <w:t>ծառայողական</w:t>
      </w:r>
      <w:r w:rsidRPr="004118EA">
        <w:rPr>
          <w:rFonts w:eastAsia="Calibri"/>
          <w:b w:val="0"/>
          <w:szCs w:val="22"/>
          <w:lang w:val="af-ZA" w:eastAsia="en-US"/>
        </w:rPr>
        <w:t xml:space="preserve"> </w:t>
      </w:r>
      <w:r w:rsidRPr="004118EA">
        <w:rPr>
          <w:rFonts w:eastAsia="Calibri"/>
          <w:b w:val="0"/>
          <w:szCs w:val="22"/>
          <w:lang w:val="hy-AM" w:eastAsia="en-US"/>
        </w:rPr>
        <w:t>ավտոմեքենաների</w:t>
      </w:r>
      <w:r w:rsidRPr="004118EA">
        <w:rPr>
          <w:rFonts w:eastAsia="Calibri"/>
          <w:b w:val="0"/>
          <w:szCs w:val="22"/>
          <w:lang w:val="af-ZA" w:eastAsia="en-US"/>
        </w:rPr>
        <w:t xml:space="preserve"> </w:t>
      </w:r>
      <w:r w:rsidRPr="004118EA">
        <w:rPr>
          <w:rFonts w:eastAsia="Calibri"/>
          <w:b w:val="0"/>
          <w:szCs w:val="22"/>
          <w:lang w:val="hy-AM" w:eastAsia="en-US"/>
        </w:rPr>
        <w:t>սահ</w:t>
      </w:r>
      <w:r w:rsidRPr="004118EA">
        <w:rPr>
          <w:rFonts w:eastAsia="Calibri"/>
          <w:b w:val="0"/>
          <w:szCs w:val="22"/>
          <w:lang w:val="af-ZA" w:eastAsia="en-US"/>
        </w:rPr>
        <w:softHyphen/>
      </w:r>
      <w:r w:rsidRPr="004118EA">
        <w:rPr>
          <w:rFonts w:eastAsia="Calibri"/>
          <w:b w:val="0"/>
          <w:szCs w:val="22"/>
          <w:lang w:val="hy-AM" w:eastAsia="en-US"/>
        </w:rPr>
        <w:t>մա</w:t>
      </w:r>
      <w:r w:rsidRPr="004118EA">
        <w:rPr>
          <w:rFonts w:eastAsia="Calibri"/>
          <w:b w:val="0"/>
          <w:szCs w:val="22"/>
          <w:lang w:val="af-ZA" w:eastAsia="en-US"/>
        </w:rPr>
        <w:softHyphen/>
      </w:r>
      <w:r w:rsidRPr="004118EA">
        <w:rPr>
          <w:rFonts w:eastAsia="Calibri"/>
          <w:b w:val="0"/>
          <w:szCs w:val="22"/>
          <w:lang w:val="hy-AM" w:eastAsia="en-US"/>
        </w:rPr>
        <w:t>նա</w:t>
      </w:r>
      <w:r w:rsidRPr="004118EA">
        <w:rPr>
          <w:rFonts w:eastAsia="Calibri"/>
          <w:b w:val="0"/>
          <w:szCs w:val="22"/>
          <w:lang w:val="af-ZA" w:eastAsia="en-US"/>
        </w:rPr>
        <w:softHyphen/>
      </w:r>
      <w:r w:rsidRPr="004118EA">
        <w:rPr>
          <w:rFonts w:eastAsia="Calibri"/>
          <w:b w:val="0"/>
          <w:szCs w:val="22"/>
          <w:lang w:val="hy-AM" w:eastAsia="en-US"/>
        </w:rPr>
        <w:t>քանակների</w:t>
      </w:r>
      <w:r w:rsidRPr="004118EA">
        <w:rPr>
          <w:rFonts w:eastAsia="Calibri"/>
          <w:b w:val="0"/>
          <w:szCs w:val="22"/>
          <w:lang w:val="af-ZA" w:eastAsia="en-US"/>
        </w:rPr>
        <w:t xml:space="preserve"> </w:t>
      </w:r>
      <w:r w:rsidRPr="004118EA">
        <w:rPr>
          <w:rFonts w:eastAsia="Calibri"/>
          <w:b w:val="0"/>
          <w:szCs w:val="22"/>
          <w:lang w:val="hy-AM" w:eastAsia="en-US"/>
        </w:rPr>
        <w:t>փոփոխությունը</w:t>
      </w:r>
      <w:r w:rsidRPr="004118EA">
        <w:rPr>
          <w:rFonts w:eastAsia="Calibri"/>
          <w:b w:val="0"/>
          <w:szCs w:val="22"/>
          <w:lang w:val="af-ZA" w:eastAsia="en-US"/>
        </w:rPr>
        <w:t xml:space="preserve"> </w:t>
      </w:r>
      <w:r w:rsidRPr="004118EA">
        <w:rPr>
          <w:rFonts w:eastAsia="Calibri"/>
          <w:b w:val="0"/>
          <w:szCs w:val="22"/>
          <w:lang w:val="hy-AM" w:eastAsia="en-US"/>
        </w:rPr>
        <w:t>արտացոլված</w:t>
      </w:r>
      <w:r w:rsidRPr="004118EA">
        <w:rPr>
          <w:rFonts w:eastAsia="Calibri"/>
          <w:b w:val="0"/>
          <w:szCs w:val="22"/>
          <w:lang w:val="af-ZA" w:eastAsia="en-US"/>
        </w:rPr>
        <w:t xml:space="preserve"> </w:t>
      </w:r>
      <w:r w:rsidRPr="004118EA">
        <w:rPr>
          <w:rFonts w:eastAsia="Calibri"/>
          <w:b w:val="0"/>
          <w:szCs w:val="22"/>
          <w:lang w:val="hy-AM" w:eastAsia="en-US"/>
        </w:rPr>
        <w:t>է</w:t>
      </w:r>
      <w:r w:rsidRPr="004118EA">
        <w:rPr>
          <w:rFonts w:eastAsia="Calibri"/>
          <w:b w:val="0"/>
          <w:szCs w:val="22"/>
          <w:lang w:val="af-ZA" w:eastAsia="en-US"/>
        </w:rPr>
        <w:t xml:space="preserve"> </w:t>
      </w:r>
      <w:r w:rsidRPr="004118EA">
        <w:rPr>
          <w:rFonts w:eastAsia="Calibri"/>
          <w:b w:val="0"/>
          <w:szCs w:val="22"/>
          <w:lang w:val="hy-AM" w:eastAsia="en-US"/>
        </w:rPr>
        <w:t>սույն</w:t>
      </w:r>
      <w:r w:rsidRPr="004118EA">
        <w:rPr>
          <w:rFonts w:eastAsia="Calibri"/>
          <w:b w:val="0"/>
          <w:szCs w:val="22"/>
          <w:lang w:val="af-ZA" w:eastAsia="en-US"/>
        </w:rPr>
        <w:t xml:space="preserve"> </w:t>
      </w:r>
      <w:r w:rsidRPr="004118EA">
        <w:rPr>
          <w:rFonts w:eastAsia="Calibri"/>
          <w:b w:val="0"/>
          <w:szCs w:val="22"/>
          <w:lang w:val="hy-AM" w:eastAsia="en-US"/>
        </w:rPr>
        <w:t>բացատրագրի</w:t>
      </w:r>
      <w:r w:rsidRPr="004118EA">
        <w:rPr>
          <w:rFonts w:eastAsia="Calibri"/>
          <w:b w:val="0"/>
          <w:szCs w:val="22"/>
          <w:lang w:val="af-ZA" w:eastAsia="en-US"/>
        </w:rPr>
        <w:t xml:space="preserve"> N 2</w:t>
      </w:r>
      <w:r w:rsidRPr="004118EA">
        <w:rPr>
          <w:rFonts w:eastAsia="Calibri"/>
          <w:b w:val="0"/>
          <w:szCs w:val="22"/>
          <w:lang w:val="hy-AM" w:eastAsia="en-US"/>
        </w:rPr>
        <w:t>բ</w:t>
      </w:r>
      <w:r w:rsidRPr="004118EA">
        <w:rPr>
          <w:rFonts w:eastAsia="Calibri"/>
          <w:b w:val="0"/>
          <w:szCs w:val="22"/>
          <w:lang w:val="af-ZA" w:eastAsia="en-US"/>
        </w:rPr>
        <w:t xml:space="preserve"> </w:t>
      </w:r>
      <w:r w:rsidRPr="004118EA">
        <w:rPr>
          <w:rFonts w:eastAsia="Calibri"/>
          <w:b w:val="0"/>
          <w:szCs w:val="22"/>
          <w:lang w:val="hy-AM" w:eastAsia="en-US"/>
        </w:rPr>
        <w:t>աղյուսակում</w:t>
      </w:r>
      <w:r w:rsidRPr="004118EA">
        <w:rPr>
          <w:rFonts w:eastAsia="Calibri"/>
          <w:b w:val="0"/>
          <w:szCs w:val="22"/>
          <w:lang w:val="af-ZA" w:eastAsia="en-US"/>
        </w:rPr>
        <w:t xml:space="preserve">: </w:t>
      </w:r>
    </w:p>
    <w:p w:rsidR="00236B20" w:rsidRPr="004118EA" w:rsidRDefault="00236B20" w:rsidP="007730AA">
      <w:pPr>
        <w:spacing w:before="0" w:line="276" w:lineRule="auto"/>
        <w:ind w:firstLine="720"/>
        <w:rPr>
          <w:b w:val="0"/>
          <w:bCs/>
          <w:szCs w:val="22"/>
          <w:lang w:val="hy-AM"/>
        </w:rPr>
      </w:pPr>
      <w:r w:rsidRPr="004118EA">
        <w:rPr>
          <w:szCs w:val="22"/>
          <w:lang w:val="hy-AM"/>
        </w:rPr>
        <w:t xml:space="preserve">ՀՀ դեսպանությունների և ներկայացուցչությունների պահպանման ծախսերը </w:t>
      </w:r>
      <w:r w:rsidRPr="004118EA">
        <w:rPr>
          <w:b w:val="0"/>
          <w:bCs/>
          <w:szCs w:val="22"/>
          <w:lang w:val="hy-AM"/>
        </w:rPr>
        <w:t>2021 թվականի համար ծրագրավորվել են 13,</w:t>
      </w:r>
      <w:r w:rsidR="00B172BB" w:rsidRPr="00B172BB">
        <w:rPr>
          <w:b w:val="0"/>
          <w:bCs/>
          <w:szCs w:val="22"/>
          <w:lang w:val="af-ZA"/>
        </w:rPr>
        <w:t>632</w:t>
      </w:r>
      <w:r w:rsidR="004933C8" w:rsidRPr="004933C8">
        <w:rPr>
          <w:rFonts w:ascii="Cambria Math" w:hAnsi="Cambria Math" w:cs="Cambria Math"/>
          <w:b w:val="0"/>
          <w:bCs/>
          <w:szCs w:val="22"/>
          <w:lang w:val="af-ZA"/>
        </w:rPr>
        <w:t>.</w:t>
      </w:r>
      <w:r w:rsidR="00B172BB" w:rsidRPr="00B172BB">
        <w:rPr>
          <w:b w:val="0"/>
          <w:bCs/>
          <w:szCs w:val="22"/>
          <w:lang w:val="af-ZA"/>
        </w:rPr>
        <w:t>4</w:t>
      </w:r>
      <w:r w:rsidRPr="004118EA">
        <w:rPr>
          <w:b w:val="0"/>
          <w:bCs/>
          <w:szCs w:val="22"/>
          <w:lang w:val="hy-AM"/>
        </w:rPr>
        <w:t xml:space="preserve"> </w:t>
      </w:r>
      <w:r w:rsidRPr="004118EA">
        <w:rPr>
          <w:rFonts w:cs="GHEA Grapalat"/>
          <w:b w:val="0"/>
          <w:bCs/>
          <w:szCs w:val="22"/>
          <w:lang w:val="hy-AM"/>
        </w:rPr>
        <w:t>մլն</w:t>
      </w:r>
      <w:r w:rsidRPr="004118EA">
        <w:rPr>
          <w:b w:val="0"/>
          <w:bCs/>
          <w:szCs w:val="22"/>
          <w:lang w:val="hy-AM"/>
        </w:rPr>
        <w:t xml:space="preserve"> </w:t>
      </w:r>
      <w:r w:rsidRPr="004118EA">
        <w:rPr>
          <w:rFonts w:cs="GHEA Grapalat"/>
          <w:b w:val="0"/>
          <w:bCs/>
          <w:szCs w:val="22"/>
          <w:lang w:val="hy-AM"/>
        </w:rPr>
        <w:t>դրամի</w:t>
      </w:r>
      <w:r w:rsidRPr="004118EA">
        <w:rPr>
          <w:b w:val="0"/>
          <w:bCs/>
          <w:szCs w:val="22"/>
          <w:lang w:val="hy-AM"/>
        </w:rPr>
        <w:t xml:space="preserve"> </w:t>
      </w:r>
      <w:r w:rsidRPr="004118EA">
        <w:rPr>
          <w:rFonts w:cs="GHEA Grapalat"/>
          <w:b w:val="0"/>
          <w:bCs/>
          <w:szCs w:val="22"/>
          <w:lang w:val="hy-AM"/>
        </w:rPr>
        <w:t>չափով</w:t>
      </w:r>
      <w:r w:rsidRPr="004118EA">
        <w:rPr>
          <w:b w:val="0"/>
          <w:bCs/>
          <w:szCs w:val="22"/>
          <w:lang w:val="hy-AM"/>
        </w:rPr>
        <w:t xml:space="preserve">` </w:t>
      </w:r>
      <w:r w:rsidRPr="004118EA">
        <w:rPr>
          <w:rFonts w:cs="GHEA Grapalat"/>
          <w:b w:val="0"/>
          <w:bCs/>
          <w:szCs w:val="22"/>
          <w:lang w:val="hy-AM"/>
        </w:rPr>
        <w:t>նախորդ</w:t>
      </w:r>
      <w:r w:rsidRPr="004118EA">
        <w:rPr>
          <w:b w:val="0"/>
          <w:bCs/>
          <w:szCs w:val="22"/>
          <w:lang w:val="hy-AM"/>
        </w:rPr>
        <w:t xml:space="preserve"> </w:t>
      </w:r>
      <w:r w:rsidRPr="004118EA">
        <w:rPr>
          <w:rFonts w:cs="GHEA Grapalat"/>
          <w:b w:val="0"/>
          <w:bCs/>
          <w:szCs w:val="22"/>
          <w:lang w:val="hy-AM"/>
        </w:rPr>
        <w:t>տարվա</w:t>
      </w:r>
      <w:r w:rsidRPr="004118EA">
        <w:rPr>
          <w:b w:val="0"/>
          <w:bCs/>
          <w:szCs w:val="22"/>
          <w:lang w:val="hy-AM"/>
        </w:rPr>
        <w:t xml:space="preserve"> </w:t>
      </w:r>
      <w:r w:rsidRPr="004118EA">
        <w:rPr>
          <w:rFonts w:cs="GHEA Grapalat"/>
          <w:b w:val="0"/>
          <w:bCs/>
          <w:szCs w:val="22"/>
          <w:lang w:val="hy-AM"/>
        </w:rPr>
        <w:t>համեմատ</w:t>
      </w:r>
      <w:r w:rsidRPr="004118EA">
        <w:rPr>
          <w:b w:val="0"/>
          <w:bCs/>
          <w:szCs w:val="22"/>
          <w:lang w:val="hy-AM"/>
        </w:rPr>
        <w:t xml:space="preserve"> 2,</w:t>
      </w:r>
      <w:r w:rsidR="00B172BB" w:rsidRPr="00B172BB">
        <w:rPr>
          <w:b w:val="0"/>
          <w:bCs/>
          <w:szCs w:val="22"/>
          <w:lang w:val="af-ZA"/>
        </w:rPr>
        <w:t>842</w:t>
      </w:r>
      <w:r w:rsidRPr="004118EA">
        <w:rPr>
          <w:b w:val="0"/>
          <w:bCs/>
          <w:szCs w:val="22"/>
          <w:lang w:val="hy-AM"/>
        </w:rPr>
        <w:t>.</w:t>
      </w:r>
      <w:r w:rsidR="00B172BB" w:rsidRPr="004933C8">
        <w:rPr>
          <w:b w:val="0"/>
          <w:bCs/>
          <w:szCs w:val="22"/>
          <w:lang w:val="af-ZA"/>
        </w:rPr>
        <w:t>5</w:t>
      </w:r>
      <w:r w:rsidRPr="004118EA">
        <w:rPr>
          <w:b w:val="0"/>
          <w:bCs/>
          <w:szCs w:val="22"/>
          <w:lang w:val="hy-AM"/>
        </w:rPr>
        <w:t xml:space="preserve"> </w:t>
      </w:r>
      <w:r w:rsidRPr="004118EA">
        <w:rPr>
          <w:rFonts w:cs="GHEA Grapalat"/>
          <w:b w:val="0"/>
          <w:bCs/>
          <w:szCs w:val="22"/>
          <w:lang w:val="hy-AM"/>
        </w:rPr>
        <w:t>մլն</w:t>
      </w:r>
      <w:r w:rsidRPr="004118EA">
        <w:rPr>
          <w:b w:val="0"/>
          <w:bCs/>
          <w:szCs w:val="22"/>
          <w:lang w:val="hy-AM"/>
        </w:rPr>
        <w:t xml:space="preserve"> </w:t>
      </w:r>
      <w:r w:rsidRPr="004118EA">
        <w:rPr>
          <w:rFonts w:cs="GHEA Grapalat"/>
          <w:b w:val="0"/>
          <w:bCs/>
          <w:szCs w:val="22"/>
          <w:lang w:val="hy-AM"/>
        </w:rPr>
        <w:t>դրամով</w:t>
      </w:r>
      <w:r w:rsidRPr="004118EA">
        <w:rPr>
          <w:b w:val="0"/>
          <w:bCs/>
          <w:szCs w:val="22"/>
          <w:lang w:val="hy-AM"/>
        </w:rPr>
        <w:t xml:space="preserve"> </w:t>
      </w:r>
      <w:r w:rsidRPr="004118EA">
        <w:rPr>
          <w:rFonts w:cs="GHEA Grapalat"/>
          <w:b w:val="0"/>
          <w:bCs/>
          <w:szCs w:val="22"/>
          <w:lang w:val="hy-AM"/>
        </w:rPr>
        <w:t>ավելի</w:t>
      </w:r>
      <w:r w:rsidRPr="004118EA">
        <w:rPr>
          <w:b w:val="0"/>
          <w:bCs/>
          <w:szCs w:val="22"/>
          <w:lang w:val="hy-AM"/>
        </w:rPr>
        <w:t xml:space="preserve">: </w:t>
      </w:r>
    </w:p>
    <w:p w:rsidR="00236B20" w:rsidRPr="004118EA" w:rsidRDefault="00236B20" w:rsidP="007730AA">
      <w:pPr>
        <w:spacing w:before="0" w:line="276" w:lineRule="auto"/>
        <w:ind w:firstLine="720"/>
        <w:rPr>
          <w:rFonts w:cs="GHEA Grapalat"/>
          <w:b w:val="0"/>
          <w:bCs/>
          <w:szCs w:val="22"/>
          <w:lang w:val="hy-AM"/>
        </w:rPr>
      </w:pPr>
      <w:r w:rsidRPr="004118EA">
        <w:rPr>
          <w:b w:val="0"/>
          <w:bCs/>
          <w:szCs w:val="22"/>
          <w:lang w:val="hy-AM"/>
        </w:rPr>
        <w:t>Հիմք ընդունելով ՀՀ վարչապետի մոտ 22.06.2020թ. կայացած Արտաքին գործերի նախարարության 2021-2023թթ. ՄԺԾԾ-ի և 2021թ. բյուջեի հայտի քննարկման արդյունքները, ծախսերն ավելացվել են 2,176</w:t>
      </w:r>
      <w:r w:rsidR="004933C8" w:rsidRPr="004933C8">
        <w:rPr>
          <w:rFonts w:ascii="Cambria Math" w:hAnsi="Cambria Math" w:cs="Cambria Math"/>
          <w:b w:val="0"/>
          <w:bCs/>
          <w:szCs w:val="22"/>
          <w:lang w:val="hy-AM"/>
        </w:rPr>
        <w:t>.</w:t>
      </w:r>
      <w:r w:rsidRPr="004118EA">
        <w:rPr>
          <w:b w:val="0"/>
          <w:bCs/>
          <w:szCs w:val="22"/>
          <w:lang w:val="hy-AM"/>
        </w:rPr>
        <w:t xml:space="preserve">1 </w:t>
      </w:r>
      <w:r w:rsidRPr="004118EA">
        <w:rPr>
          <w:rFonts w:cs="GHEA Grapalat"/>
          <w:b w:val="0"/>
          <w:bCs/>
          <w:szCs w:val="22"/>
          <w:lang w:val="hy-AM"/>
        </w:rPr>
        <w:t>մլն</w:t>
      </w:r>
      <w:r w:rsidRPr="004118EA">
        <w:rPr>
          <w:b w:val="0"/>
          <w:bCs/>
          <w:szCs w:val="22"/>
          <w:lang w:val="hy-AM"/>
        </w:rPr>
        <w:t xml:space="preserve"> </w:t>
      </w:r>
      <w:r w:rsidRPr="004118EA">
        <w:rPr>
          <w:rFonts w:cs="GHEA Grapalat"/>
          <w:b w:val="0"/>
          <w:bCs/>
          <w:szCs w:val="22"/>
          <w:lang w:val="hy-AM"/>
        </w:rPr>
        <w:t>դրամով</w:t>
      </w:r>
      <w:r w:rsidRPr="004118EA">
        <w:rPr>
          <w:b w:val="0"/>
          <w:bCs/>
          <w:szCs w:val="22"/>
          <w:lang w:val="hy-AM"/>
        </w:rPr>
        <w:t xml:space="preserve">, </w:t>
      </w:r>
      <w:r w:rsidRPr="004118EA">
        <w:rPr>
          <w:rFonts w:cs="GHEA Grapalat"/>
          <w:b w:val="0"/>
          <w:bCs/>
          <w:szCs w:val="22"/>
          <w:lang w:val="hy-AM"/>
        </w:rPr>
        <w:t>որից՝</w:t>
      </w:r>
    </w:p>
    <w:p w:rsidR="00236B20" w:rsidRPr="004118EA" w:rsidRDefault="00236B20" w:rsidP="007730AA">
      <w:pPr>
        <w:spacing w:before="0" w:line="276" w:lineRule="auto"/>
        <w:ind w:firstLine="720"/>
        <w:rPr>
          <w:b w:val="0"/>
          <w:bCs/>
          <w:szCs w:val="22"/>
          <w:lang w:val="hy-AM"/>
        </w:rPr>
      </w:pPr>
      <w:r w:rsidRPr="004118EA">
        <w:rPr>
          <w:b w:val="0"/>
          <w:bCs/>
          <w:szCs w:val="22"/>
          <w:lang w:val="hy-AM"/>
        </w:rPr>
        <w:t xml:space="preserve">1) 61.9 </w:t>
      </w:r>
      <w:r w:rsidRPr="004118EA">
        <w:rPr>
          <w:rFonts w:cs="GHEA Grapalat"/>
          <w:b w:val="0"/>
          <w:bCs/>
          <w:szCs w:val="22"/>
          <w:lang w:val="hy-AM"/>
        </w:rPr>
        <w:t>մլն</w:t>
      </w:r>
      <w:r w:rsidRPr="004118EA">
        <w:rPr>
          <w:b w:val="0"/>
          <w:bCs/>
          <w:szCs w:val="22"/>
          <w:lang w:val="hy-AM"/>
        </w:rPr>
        <w:t xml:space="preserve"> </w:t>
      </w:r>
      <w:r w:rsidRPr="004118EA">
        <w:rPr>
          <w:rFonts w:cs="GHEA Grapalat"/>
          <w:b w:val="0"/>
          <w:bCs/>
          <w:szCs w:val="22"/>
          <w:lang w:val="hy-AM"/>
        </w:rPr>
        <w:t>դրամ</w:t>
      </w:r>
      <w:r w:rsidRPr="004118EA">
        <w:rPr>
          <w:b w:val="0"/>
          <w:bCs/>
          <w:szCs w:val="22"/>
          <w:lang w:val="hy-AM"/>
        </w:rPr>
        <w:t xml:space="preserve"> </w:t>
      </w:r>
      <w:r w:rsidRPr="004118EA">
        <w:rPr>
          <w:rFonts w:cs="GHEA Grapalat"/>
          <w:b w:val="0"/>
          <w:bCs/>
          <w:szCs w:val="22"/>
          <w:lang w:val="hy-AM"/>
        </w:rPr>
        <w:t>–</w:t>
      </w:r>
      <w:r w:rsidRPr="004118EA">
        <w:rPr>
          <w:b w:val="0"/>
          <w:bCs/>
          <w:szCs w:val="22"/>
          <w:lang w:val="hy-AM"/>
        </w:rPr>
        <w:t xml:space="preserve"> </w:t>
      </w:r>
      <w:r w:rsidRPr="004118EA">
        <w:rPr>
          <w:rFonts w:cs="GHEA Grapalat"/>
          <w:b w:val="0"/>
          <w:bCs/>
          <w:szCs w:val="22"/>
          <w:lang w:val="hy-AM"/>
        </w:rPr>
        <w:t>Իրաքի</w:t>
      </w:r>
      <w:r w:rsidRPr="004118EA">
        <w:rPr>
          <w:b w:val="0"/>
          <w:bCs/>
          <w:szCs w:val="22"/>
          <w:lang w:val="hy-AM"/>
        </w:rPr>
        <w:t xml:space="preserve"> Էրբիլ քաղաքում ՀՀ հյուպատոսության շենքի վարձակալության, ավտոմեքենայի և գույքի ձեռքբերման, </w:t>
      </w:r>
    </w:p>
    <w:p w:rsidR="00236B20" w:rsidRPr="004118EA" w:rsidRDefault="00236B20" w:rsidP="007730AA">
      <w:pPr>
        <w:spacing w:before="0" w:line="276" w:lineRule="auto"/>
        <w:ind w:firstLine="720"/>
        <w:rPr>
          <w:b w:val="0"/>
          <w:bCs/>
          <w:szCs w:val="22"/>
          <w:lang w:val="hy-AM"/>
        </w:rPr>
      </w:pPr>
      <w:r w:rsidRPr="004118EA">
        <w:rPr>
          <w:b w:val="0"/>
          <w:bCs/>
          <w:szCs w:val="22"/>
          <w:lang w:val="hy-AM"/>
        </w:rPr>
        <w:t xml:space="preserve">2) 136.8 մլն դրամ – Դուբայում ՀՀ գլխավոր հյուպատոսության պահպանման ծախսերի նախատեսման (մինչ այդ ծախսերը հոգում էր նախորդ հյուպատոսը), </w:t>
      </w:r>
    </w:p>
    <w:p w:rsidR="00236B20" w:rsidRPr="004118EA" w:rsidRDefault="00236B20" w:rsidP="007730AA">
      <w:pPr>
        <w:spacing w:before="0" w:line="276" w:lineRule="auto"/>
        <w:ind w:firstLine="720"/>
        <w:rPr>
          <w:b w:val="0"/>
          <w:bCs/>
          <w:szCs w:val="22"/>
          <w:lang w:val="hy-AM"/>
        </w:rPr>
      </w:pPr>
      <w:r w:rsidRPr="004118EA">
        <w:rPr>
          <w:b w:val="0"/>
          <w:bCs/>
          <w:szCs w:val="22"/>
          <w:lang w:val="hy-AM"/>
        </w:rPr>
        <w:t xml:space="preserve">3) 1,147.0 </w:t>
      </w:r>
      <w:r w:rsidRPr="004118EA">
        <w:rPr>
          <w:rFonts w:cs="GHEA Grapalat"/>
          <w:b w:val="0"/>
          <w:bCs/>
          <w:szCs w:val="22"/>
          <w:lang w:val="hy-AM"/>
        </w:rPr>
        <w:t>մլն</w:t>
      </w:r>
      <w:r w:rsidRPr="004118EA">
        <w:rPr>
          <w:b w:val="0"/>
          <w:bCs/>
          <w:szCs w:val="22"/>
          <w:lang w:val="hy-AM"/>
        </w:rPr>
        <w:t xml:space="preserve"> </w:t>
      </w:r>
      <w:r w:rsidRPr="004118EA">
        <w:rPr>
          <w:rFonts w:cs="GHEA Grapalat"/>
          <w:b w:val="0"/>
          <w:bCs/>
          <w:szCs w:val="22"/>
          <w:lang w:val="hy-AM"/>
        </w:rPr>
        <w:t>դրամ</w:t>
      </w:r>
      <w:r w:rsidRPr="004118EA">
        <w:rPr>
          <w:b w:val="0"/>
          <w:bCs/>
          <w:szCs w:val="22"/>
          <w:lang w:val="hy-AM"/>
        </w:rPr>
        <w:t xml:space="preserve"> - </w:t>
      </w:r>
      <w:r w:rsidRPr="004118EA">
        <w:rPr>
          <w:rFonts w:cs="GHEA Grapalat"/>
          <w:b w:val="0"/>
          <w:bCs/>
          <w:szCs w:val="22"/>
          <w:lang w:val="hy-AM"/>
        </w:rPr>
        <w:t>օտարերկր</w:t>
      </w:r>
      <w:r w:rsidRPr="004118EA">
        <w:rPr>
          <w:b w:val="0"/>
          <w:bCs/>
          <w:szCs w:val="22"/>
          <w:lang w:val="hy-AM"/>
        </w:rPr>
        <w:t xml:space="preserve">յա պետություններում ծառայող դիվանագետի ծառայության հետ կապված ծախսերի փոխհատուցման չափերի ավելացման, </w:t>
      </w:r>
    </w:p>
    <w:p w:rsidR="00236B20" w:rsidRPr="004118EA" w:rsidRDefault="00236B20" w:rsidP="007730AA">
      <w:pPr>
        <w:spacing w:before="0" w:line="276" w:lineRule="auto"/>
        <w:ind w:firstLine="720"/>
        <w:rPr>
          <w:b w:val="0"/>
          <w:bCs/>
          <w:szCs w:val="22"/>
          <w:lang w:val="hy-AM"/>
        </w:rPr>
      </w:pPr>
      <w:r w:rsidRPr="004118EA">
        <w:rPr>
          <w:b w:val="0"/>
          <w:bCs/>
          <w:szCs w:val="22"/>
          <w:lang w:val="hy-AM"/>
        </w:rPr>
        <w:t xml:space="preserve">4) 61.9 </w:t>
      </w:r>
      <w:r w:rsidRPr="004118EA">
        <w:rPr>
          <w:rFonts w:cs="GHEA Grapalat"/>
          <w:b w:val="0"/>
          <w:bCs/>
          <w:szCs w:val="22"/>
          <w:lang w:val="hy-AM"/>
        </w:rPr>
        <w:t>մլն</w:t>
      </w:r>
      <w:r w:rsidRPr="004118EA">
        <w:rPr>
          <w:b w:val="0"/>
          <w:bCs/>
          <w:szCs w:val="22"/>
          <w:lang w:val="hy-AM"/>
        </w:rPr>
        <w:t xml:space="preserve"> </w:t>
      </w:r>
      <w:r w:rsidRPr="004118EA">
        <w:rPr>
          <w:rFonts w:cs="GHEA Grapalat"/>
          <w:b w:val="0"/>
          <w:bCs/>
          <w:szCs w:val="22"/>
          <w:lang w:val="hy-AM"/>
        </w:rPr>
        <w:t>դրամ</w:t>
      </w:r>
      <w:r w:rsidRPr="004118EA">
        <w:rPr>
          <w:b w:val="0"/>
          <w:bCs/>
          <w:szCs w:val="22"/>
          <w:lang w:val="hy-AM"/>
        </w:rPr>
        <w:t xml:space="preserve"> - </w:t>
      </w:r>
      <w:r w:rsidRPr="004118EA">
        <w:rPr>
          <w:rFonts w:cs="GHEA Grapalat"/>
          <w:b w:val="0"/>
          <w:bCs/>
          <w:szCs w:val="22"/>
          <w:lang w:val="hy-AM"/>
        </w:rPr>
        <w:t>դիվանագետի</w:t>
      </w:r>
      <w:r w:rsidRPr="004118EA">
        <w:rPr>
          <w:b w:val="0"/>
          <w:bCs/>
          <w:szCs w:val="22"/>
          <w:lang w:val="hy-AM"/>
        </w:rPr>
        <w:t xml:space="preserve"> </w:t>
      </w:r>
      <w:r w:rsidRPr="004118EA">
        <w:rPr>
          <w:rFonts w:cs="GHEA Grapalat"/>
          <w:b w:val="0"/>
          <w:bCs/>
          <w:szCs w:val="22"/>
          <w:lang w:val="hy-AM"/>
        </w:rPr>
        <w:t>ուղեբեռի</w:t>
      </w:r>
      <w:r w:rsidRPr="004118EA">
        <w:rPr>
          <w:b w:val="0"/>
          <w:bCs/>
          <w:szCs w:val="22"/>
          <w:lang w:val="hy-AM"/>
        </w:rPr>
        <w:t xml:space="preserve"> </w:t>
      </w:r>
      <w:r w:rsidRPr="004118EA">
        <w:rPr>
          <w:rFonts w:cs="GHEA Grapalat"/>
          <w:b w:val="0"/>
          <w:bCs/>
          <w:szCs w:val="22"/>
          <w:lang w:val="hy-AM"/>
        </w:rPr>
        <w:t>հետ</w:t>
      </w:r>
      <w:r w:rsidRPr="004118EA">
        <w:rPr>
          <w:b w:val="0"/>
          <w:bCs/>
          <w:szCs w:val="22"/>
          <w:lang w:val="hy-AM"/>
        </w:rPr>
        <w:t xml:space="preserve"> </w:t>
      </w:r>
      <w:r w:rsidRPr="004118EA">
        <w:rPr>
          <w:rFonts w:cs="GHEA Grapalat"/>
          <w:b w:val="0"/>
          <w:bCs/>
          <w:szCs w:val="22"/>
          <w:lang w:val="hy-AM"/>
        </w:rPr>
        <w:t>կապված</w:t>
      </w:r>
      <w:r w:rsidRPr="004118EA">
        <w:rPr>
          <w:b w:val="0"/>
          <w:bCs/>
          <w:szCs w:val="22"/>
          <w:lang w:val="hy-AM"/>
        </w:rPr>
        <w:t xml:space="preserve"> </w:t>
      </w:r>
      <w:r w:rsidRPr="004118EA">
        <w:rPr>
          <w:rFonts w:cs="GHEA Grapalat"/>
          <w:b w:val="0"/>
          <w:bCs/>
          <w:szCs w:val="22"/>
          <w:lang w:val="hy-AM"/>
        </w:rPr>
        <w:t>ծախսերի</w:t>
      </w:r>
      <w:r w:rsidRPr="004118EA">
        <w:rPr>
          <w:b w:val="0"/>
          <w:bCs/>
          <w:szCs w:val="22"/>
          <w:lang w:val="hy-AM"/>
        </w:rPr>
        <w:t xml:space="preserve"> </w:t>
      </w:r>
      <w:r w:rsidRPr="004118EA">
        <w:rPr>
          <w:rFonts w:cs="GHEA Grapalat"/>
          <w:b w:val="0"/>
          <w:bCs/>
          <w:szCs w:val="22"/>
          <w:lang w:val="hy-AM"/>
        </w:rPr>
        <w:t>փոխհատուցման</w:t>
      </w:r>
      <w:r w:rsidRPr="004118EA">
        <w:rPr>
          <w:b w:val="0"/>
          <w:bCs/>
          <w:szCs w:val="22"/>
          <w:lang w:val="hy-AM"/>
        </w:rPr>
        <w:t xml:space="preserve"> </w:t>
      </w:r>
      <w:r w:rsidRPr="004118EA">
        <w:rPr>
          <w:rFonts w:cs="GHEA Grapalat"/>
          <w:b w:val="0"/>
          <w:bCs/>
          <w:szCs w:val="22"/>
          <w:lang w:val="hy-AM"/>
        </w:rPr>
        <w:t>չափի</w:t>
      </w:r>
      <w:r w:rsidRPr="004118EA">
        <w:rPr>
          <w:b w:val="0"/>
          <w:bCs/>
          <w:szCs w:val="22"/>
          <w:lang w:val="hy-AM"/>
        </w:rPr>
        <w:t xml:space="preserve"> </w:t>
      </w:r>
      <w:r w:rsidRPr="004118EA">
        <w:rPr>
          <w:rFonts w:cs="GHEA Grapalat"/>
          <w:b w:val="0"/>
          <w:bCs/>
          <w:szCs w:val="22"/>
          <w:lang w:val="hy-AM"/>
        </w:rPr>
        <w:t>ավելացման</w:t>
      </w:r>
      <w:r w:rsidRPr="004118EA">
        <w:rPr>
          <w:b w:val="0"/>
          <w:bCs/>
          <w:szCs w:val="22"/>
          <w:lang w:val="hy-AM"/>
        </w:rPr>
        <w:t xml:space="preserve">, </w:t>
      </w:r>
    </w:p>
    <w:p w:rsidR="00236B20" w:rsidRPr="004118EA" w:rsidRDefault="00236B20" w:rsidP="007730AA">
      <w:pPr>
        <w:spacing w:before="0" w:line="276" w:lineRule="auto"/>
        <w:ind w:firstLine="720"/>
        <w:rPr>
          <w:b w:val="0"/>
          <w:bCs/>
          <w:szCs w:val="22"/>
          <w:lang w:val="hy-AM"/>
        </w:rPr>
      </w:pPr>
      <w:r w:rsidRPr="004118EA">
        <w:rPr>
          <w:b w:val="0"/>
          <w:bCs/>
          <w:szCs w:val="22"/>
          <w:lang w:val="hy-AM"/>
        </w:rPr>
        <w:t xml:space="preserve">5) 366.2 </w:t>
      </w:r>
      <w:r w:rsidRPr="004118EA">
        <w:rPr>
          <w:rFonts w:cs="GHEA Grapalat"/>
          <w:b w:val="0"/>
          <w:bCs/>
          <w:szCs w:val="22"/>
          <w:lang w:val="hy-AM"/>
        </w:rPr>
        <w:t>մլն</w:t>
      </w:r>
      <w:r w:rsidRPr="004118EA">
        <w:rPr>
          <w:b w:val="0"/>
          <w:bCs/>
          <w:szCs w:val="22"/>
          <w:lang w:val="hy-AM"/>
        </w:rPr>
        <w:t xml:space="preserve"> </w:t>
      </w:r>
      <w:r w:rsidRPr="004118EA">
        <w:rPr>
          <w:rFonts w:cs="GHEA Grapalat"/>
          <w:b w:val="0"/>
          <w:bCs/>
          <w:szCs w:val="22"/>
          <w:lang w:val="hy-AM"/>
        </w:rPr>
        <w:t>դրամ</w:t>
      </w:r>
      <w:r w:rsidRPr="004118EA">
        <w:rPr>
          <w:b w:val="0"/>
          <w:bCs/>
          <w:szCs w:val="22"/>
          <w:lang w:val="hy-AM"/>
        </w:rPr>
        <w:t xml:space="preserve"> - </w:t>
      </w:r>
      <w:r w:rsidRPr="004118EA">
        <w:rPr>
          <w:rFonts w:cs="GHEA Grapalat"/>
          <w:b w:val="0"/>
          <w:bCs/>
          <w:szCs w:val="22"/>
          <w:lang w:val="hy-AM"/>
        </w:rPr>
        <w:t>նախարարության</w:t>
      </w:r>
      <w:r w:rsidRPr="004118EA">
        <w:rPr>
          <w:b w:val="0"/>
          <w:bCs/>
          <w:szCs w:val="22"/>
          <w:lang w:val="hy-AM"/>
        </w:rPr>
        <w:t xml:space="preserve"> </w:t>
      </w:r>
      <w:r w:rsidRPr="004118EA">
        <w:rPr>
          <w:rFonts w:cs="GHEA Grapalat"/>
          <w:b w:val="0"/>
          <w:bCs/>
          <w:szCs w:val="22"/>
          <w:lang w:val="hy-AM"/>
        </w:rPr>
        <w:t>հաստիքացուցակի</w:t>
      </w:r>
      <w:r w:rsidRPr="004118EA">
        <w:rPr>
          <w:b w:val="0"/>
          <w:bCs/>
          <w:szCs w:val="22"/>
          <w:lang w:val="hy-AM"/>
        </w:rPr>
        <w:t xml:space="preserve"> </w:t>
      </w:r>
      <w:r w:rsidRPr="004118EA">
        <w:rPr>
          <w:rFonts w:cs="GHEA Grapalat"/>
          <w:b w:val="0"/>
          <w:bCs/>
          <w:szCs w:val="22"/>
          <w:lang w:val="hy-AM"/>
        </w:rPr>
        <w:t>շրջանակներում</w:t>
      </w:r>
      <w:r w:rsidRPr="004118EA">
        <w:rPr>
          <w:b w:val="0"/>
          <w:bCs/>
          <w:szCs w:val="22"/>
          <w:lang w:val="hy-AM"/>
        </w:rPr>
        <w:t xml:space="preserve"> 8 դիվանագետի (բոլոր ծախսերով) օտարերկրյա պետություններում գործող ՀՀ դիվանագիտական ներկայացուցչություններ գործուղելու</w:t>
      </w:r>
      <w:r w:rsidR="00E626E8" w:rsidRPr="004118EA">
        <w:rPr>
          <w:b w:val="0"/>
          <w:bCs/>
          <w:szCs w:val="22"/>
          <w:lang w:val="hy-AM"/>
        </w:rPr>
        <w:t>,</w:t>
      </w:r>
      <w:r w:rsidRPr="004118EA">
        <w:rPr>
          <w:b w:val="0"/>
          <w:bCs/>
          <w:szCs w:val="22"/>
          <w:lang w:val="hy-AM"/>
        </w:rPr>
        <w:t xml:space="preserve"> </w:t>
      </w:r>
    </w:p>
    <w:p w:rsidR="00236B20" w:rsidRPr="004118EA" w:rsidRDefault="00236B20" w:rsidP="007730AA">
      <w:pPr>
        <w:spacing w:before="0" w:line="276" w:lineRule="auto"/>
        <w:ind w:firstLine="720"/>
        <w:rPr>
          <w:b w:val="0"/>
          <w:bCs/>
          <w:szCs w:val="22"/>
          <w:lang w:val="hy-AM"/>
        </w:rPr>
      </w:pPr>
      <w:r w:rsidRPr="004118EA">
        <w:rPr>
          <w:b w:val="0"/>
          <w:bCs/>
          <w:szCs w:val="22"/>
          <w:lang w:val="hy-AM"/>
        </w:rPr>
        <w:t>6) 476.</w:t>
      </w:r>
      <w:r w:rsidR="004933C8" w:rsidRPr="004933C8">
        <w:rPr>
          <w:b w:val="0"/>
          <w:bCs/>
          <w:szCs w:val="22"/>
          <w:lang w:val="hy-AM"/>
        </w:rPr>
        <w:t>2</w:t>
      </w:r>
      <w:r w:rsidRPr="004118EA">
        <w:rPr>
          <w:b w:val="0"/>
          <w:bCs/>
          <w:szCs w:val="22"/>
          <w:lang w:val="hy-AM"/>
        </w:rPr>
        <w:t xml:space="preserve"> </w:t>
      </w:r>
      <w:r w:rsidRPr="004118EA">
        <w:rPr>
          <w:rFonts w:cs="GHEA Grapalat"/>
          <w:b w:val="0"/>
          <w:bCs/>
          <w:szCs w:val="22"/>
          <w:lang w:val="hy-AM"/>
        </w:rPr>
        <w:t>մլն</w:t>
      </w:r>
      <w:r w:rsidRPr="004118EA">
        <w:rPr>
          <w:b w:val="0"/>
          <w:bCs/>
          <w:szCs w:val="22"/>
          <w:lang w:val="hy-AM"/>
        </w:rPr>
        <w:t xml:space="preserve"> </w:t>
      </w:r>
      <w:r w:rsidRPr="004118EA">
        <w:rPr>
          <w:rFonts w:cs="GHEA Grapalat"/>
          <w:b w:val="0"/>
          <w:bCs/>
          <w:szCs w:val="22"/>
          <w:lang w:val="hy-AM"/>
        </w:rPr>
        <w:t>դրամ</w:t>
      </w:r>
      <w:r w:rsidRPr="004118EA">
        <w:rPr>
          <w:b w:val="0"/>
          <w:bCs/>
          <w:szCs w:val="22"/>
          <w:lang w:val="hy-AM"/>
        </w:rPr>
        <w:t xml:space="preserve"> - </w:t>
      </w:r>
      <w:r w:rsidRPr="004118EA">
        <w:rPr>
          <w:rFonts w:cs="GHEA Grapalat"/>
          <w:b w:val="0"/>
          <w:bCs/>
          <w:szCs w:val="22"/>
          <w:lang w:val="hy-AM"/>
        </w:rPr>
        <w:t>առանձին</w:t>
      </w:r>
      <w:r w:rsidRPr="004118EA">
        <w:rPr>
          <w:b w:val="0"/>
          <w:bCs/>
          <w:szCs w:val="22"/>
          <w:lang w:val="hy-AM"/>
        </w:rPr>
        <w:t xml:space="preserve"> </w:t>
      </w:r>
      <w:r w:rsidRPr="004118EA">
        <w:rPr>
          <w:rFonts w:cs="GHEA Grapalat"/>
          <w:b w:val="0"/>
          <w:bCs/>
          <w:szCs w:val="22"/>
          <w:lang w:val="hy-AM"/>
        </w:rPr>
        <w:t>դեսպանությունների</w:t>
      </w:r>
      <w:r w:rsidRPr="004118EA">
        <w:rPr>
          <w:b w:val="0"/>
          <w:bCs/>
          <w:szCs w:val="22"/>
          <w:lang w:val="hy-AM"/>
        </w:rPr>
        <w:t xml:space="preserve"> </w:t>
      </w:r>
      <w:r w:rsidRPr="004118EA">
        <w:rPr>
          <w:rFonts w:cs="GHEA Grapalat"/>
          <w:b w:val="0"/>
          <w:bCs/>
          <w:szCs w:val="22"/>
          <w:lang w:val="hy-AM"/>
        </w:rPr>
        <w:t>շենքերի</w:t>
      </w:r>
      <w:r w:rsidRPr="004118EA">
        <w:rPr>
          <w:b w:val="0"/>
          <w:bCs/>
          <w:szCs w:val="22"/>
          <w:lang w:val="hy-AM"/>
        </w:rPr>
        <w:t xml:space="preserve"> </w:t>
      </w:r>
      <w:r w:rsidRPr="004118EA">
        <w:rPr>
          <w:rFonts w:cs="GHEA Grapalat"/>
          <w:b w:val="0"/>
          <w:bCs/>
          <w:szCs w:val="22"/>
          <w:lang w:val="hy-AM"/>
        </w:rPr>
        <w:t>ընթացիկ</w:t>
      </w:r>
      <w:r w:rsidRPr="004118EA">
        <w:rPr>
          <w:b w:val="0"/>
          <w:bCs/>
          <w:szCs w:val="22"/>
          <w:lang w:val="hy-AM"/>
        </w:rPr>
        <w:t xml:space="preserve"> </w:t>
      </w:r>
      <w:r w:rsidRPr="004118EA">
        <w:rPr>
          <w:rFonts w:cs="GHEA Grapalat"/>
          <w:b w:val="0"/>
          <w:bCs/>
          <w:szCs w:val="22"/>
          <w:lang w:val="hy-AM"/>
        </w:rPr>
        <w:t>նորոգման</w:t>
      </w:r>
      <w:r w:rsidRPr="004118EA">
        <w:rPr>
          <w:b w:val="0"/>
          <w:bCs/>
          <w:szCs w:val="22"/>
          <w:lang w:val="hy-AM"/>
        </w:rPr>
        <w:t xml:space="preserve">, </w:t>
      </w:r>
      <w:r w:rsidRPr="004118EA">
        <w:rPr>
          <w:rFonts w:cs="GHEA Grapalat"/>
          <w:b w:val="0"/>
          <w:bCs/>
          <w:szCs w:val="22"/>
          <w:lang w:val="hy-AM"/>
        </w:rPr>
        <w:t>նոր</w:t>
      </w:r>
      <w:r w:rsidRPr="004118EA">
        <w:rPr>
          <w:b w:val="0"/>
          <w:bCs/>
          <w:szCs w:val="22"/>
          <w:lang w:val="hy-AM"/>
        </w:rPr>
        <w:t xml:space="preserve"> </w:t>
      </w:r>
      <w:r w:rsidRPr="004118EA">
        <w:rPr>
          <w:rFonts w:cs="GHEA Grapalat"/>
          <w:b w:val="0"/>
          <w:bCs/>
          <w:szCs w:val="22"/>
          <w:lang w:val="hy-AM"/>
        </w:rPr>
        <w:t>ավտոմեքենաների</w:t>
      </w:r>
      <w:r w:rsidRPr="004118EA">
        <w:rPr>
          <w:b w:val="0"/>
          <w:bCs/>
          <w:szCs w:val="22"/>
          <w:lang w:val="hy-AM"/>
        </w:rPr>
        <w:t xml:space="preserve">, </w:t>
      </w:r>
      <w:r w:rsidRPr="004118EA">
        <w:rPr>
          <w:rFonts w:cs="GHEA Grapalat"/>
          <w:b w:val="0"/>
          <w:bCs/>
          <w:szCs w:val="22"/>
          <w:lang w:val="hy-AM"/>
        </w:rPr>
        <w:t>գույքի</w:t>
      </w:r>
      <w:r w:rsidRPr="004118EA">
        <w:rPr>
          <w:b w:val="0"/>
          <w:bCs/>
          <w:szCs w:val="22"/>
          <w:lang w:val="hy-AM"/>
        </w:rPr>
        <w:t xml:space="preserve">, </w:t>
      </w:r>
      <w:r w:rsidRPr="004118EA">
        <w:rPr>
          <w:rFonts w:cs="GHEA Grapalat"/>
          <w:b w:val="0"/>
          <w:bCs/>
          <w:szCs w:val="22"/>
          <w:lang w:val="hy-AM"/>
        </w:rPr>
        <w:t>սարքավորումների</w:t>
      </w:r>
      <w:r w:rsidRPr="004118EA">
        <w:rPr>
          <w:b w:val="0"/>
          <w:bCs/>
          <w:szCs w:val="22"/>
          <w:lang w:val="hy-AM"/>
        </w:rPr>
        <w:t xml:space="preserve"> </w:t>
      </w:r>
      <w:r w:rsidRPr="004118EA">
        <w:rPr>
          <w:rFonts w:cs="GHEA Grapalat"/>
          <w:b w:val="0"/>
          <w:bCs/>
          <w:szCs w:val="22"/>
          <w:lang w:val="hy-AM"/>
        </w:rPr>
        <w:t>և</w:t>
      </w:r>
      <w:r w:rsidRPr="004118EA">
        <w:rPr>
          <w:b w:val="0"/>
          <w:bCs/>
          <w:szCs w:val="22"/>
          <w:lang w:val="hy-AM"/>
        </w:rPr>
        <w:t xml:space="preserve"> </w:t>
      </w:r>
      <w:r w:rsidRPr="004118EA">
        <w:rPr>
          <w:rFonts w:cs="GHEA Grapalat"/>
          <w:b w:val="0"/>
          <w:bCs/>
          <w:szCs w:val="22"/>
          <w:lang w:val="hy-AM"/>
        </w:rPr>
        <w:t>անվտանգության</w:t>
      </w:r>
      <w:r w:rsidRPr="004118EA">
        <w:rPr>
          <w:b w:val="0"/>
          <w:bCs/>
          <w:szCs w:val="22"/>
          <w:lang w:val="hy-AM"/>
        </w:rPr>
        <w:t xml:space="preserve"> </w:t>
      </w:r>
      <w:r w:rsidRPr="004118EA">
        <w:rPr>
          <w:rFonts w:cs="GHEA Grapalat"/>
          <w:b w:val="0"/>
          <w:bCs/>
          <w:szCs w:val="22"/>
          <w:lang w:val="hy-AM"/>
        </w:rPr>
        <w:t>համա</w:t>
      </w:r>
      <w:r w:rsidRPr="004118EA">
        <w:rPr>
          <w:b w:val="0"/>
          <w:bCs/>
          <w:szCs w:val="22"/>
          <w:lang w:val="hy-AM"/>
        </w:rPr>
        <w:t xml:space="preserve">կարգերի ձեռքբերման ու միջոցառումների անցկացման համար, </w:t>
      </w:r>
    </w:p>
    <w:p w:rsidR="00236B20" w:rsidRPr="004118EA" w:rsidRDefault="00236B20" w:rsidP="007730AA">
      <w:pPr>
        <w:spacing w:before="0" w:line="276" w:lineRule="auto"/>
        <w:ind w:firstLine="720"/>
        <w:rPr>
          <w:b w:val="0"/>
          <w:bCs/>
          <w:szCs w:val="22"/>
          <w:lang w:val="hy-AM"/>
        </w:rPr>
      </w:pPr>
      <w:r w:rsidRPr="004118EA">
        <w:rPr>
          <w:b w:val="0"/>
          <w:bCs/>
          <w:szCs w:val="22"/>
          <w:lang w:val="hy-AM"/>
        </w:rPr>
        <w:t>ինչպես նաև ծախսերից նվազեցվել է 73.9 մլն դրամ, որը նախորդ տարի նախատեսված էր Եթովպիայի և Իսրաելի դեսպանությունների համար ավտոմեքենայի և գույքի ձեռքբերման նպատակով։</w:t>
      </w:r>
    </w:p>
    <w:p w:rsidR="00236B20" w:rsidRPr="004118EA" w:rsidRDefault="00236B20" w:rsidP="007730AA">
      <w:pPr>
        <w:spacing w:before="0" w:line="276" w:lineRule="auto"/>
        <w:ind w:firstLine="720"/>
        <w:rPr>
          <w:b w:val="0"/>
          <w:bCs/>
          <w:szCs w:val="22"/>
          <w:lang w:val="hy-AM"/>
        </w:rPr>
      </w:pPr>
      <w:r w:rsidRPr="004118EA">
        <w:rPr>
          <w:b w:val="0"/>
          <w:bCs/>
          <w:szCs w:val="22"/>
          <w:lang w:val="hy-AM"/>
        </w:rPr>
        <w:t>Միաժամանակ, 2021 թվականի համար ՀՀ դեսպանությունների և ներկայացուցչությունների պահպանման ծախսերն ավելացվել են շուրջ 6</w:t>
      </w:r>
      <w:r w:rsidR="004933C8" w:rsidRPr="004933C8">
        <w:rPr>
          <w:b w:val="0"/>
          <w:bCs/>
          <w:szCs w:val="22"/>
          <w:lang w:val="hy-AM"/>
        </w:rPr>
        <w:t>66</w:t>
      </w:r>
      <w:r w:rsidRPr="004118EA">
        <w:rPr>
          <w:b w:val="0"/>
          <w:bCs/>
          <w:szCs w:val="22"/>
          <w:lang w:val="hy-AM"/>
        </w:rPr>
        <w:t>.</w:t>
      </w:r>
      <w:r w:rsidR="004933C8" w:rsidRPr="004933C8">
        <w:rPr>
          <w:b w:val="0"/>
          <w:bCs/>
          <w:szCs w:val="22"/>
          <w:lang w:val="hy-AM"/>
        </w:rPr>
        <w:t>4</w:t>
      </w:r>
      <w:r w:rsidRPr="004118EA">
        <w:rPr>
          <w:b w:val="0"/>
          <w:bCs/>
          <w:szCs w:val="22"/>
          <w:lang w:val="hy-AM"/>
        </w:rPr>
        <w:t xml:space="preserve"> մլն դրամով՝ կապված ՀՀ դրամի նկատմամբ արտարժույթի փոխարժեքի փոփոխության հետ (1 Եվրոն - 5</w:t>
      </w:r>
      <w:r w:rsidR="004933C8" w:rsidRPr="004933C8">
        <w:rPr>
          <w:b w:val="0"/>
          <w:bCs/>
          <w:szCs w:val="22"/>
          <w:lang w:val="hy-AM"/>
        </w:rPr>
        <w:t>74</w:t>
      </w:r>
      <w:r w:rsidRPr="004118EA">
        <w:rPr>
          <w:b w:val="0"/>
          <w:bCs/>
          <w:szCs w:val="22"/>
          <w:lang w:val="hy-AM"/>
        </w:rPr>
        <w:t>.</w:t>
      </w:r>
      <w:r w:rsidR="004933C8" w:rsidRPr="004933C8">
        <w:rPr>
          <w:b w:val="0"/>
          <w:bCs/>
          <w:szCs w:val="22"/>
          <w:lang w:val="hy-AM"/>
        </w:rPr>
        <w:t xml:space="preserve">79 </w:t>
      </w:r>
      <w:r w:rsidRPr="004118EA">
        <w:rPr>
          <w:b w:val="0"/>
          <w:bCs/>
          <w:szCs w:val="22"/>
          <w:lang w:val="hy-AM"/>
        </w:rPr>
        <w:t xml:space="preserve">դրամ, 1 ԱՄՆ դոլարը </w:t>
      </w:r>
      <w:r w:rsidR="004933C8">
        <w:rPr>
          <w:b w:val="0"/>
          <w:bCs/>
          <w:szCs w:val="22"/>
          <w:lang w:val="hy-AM"/>
        </w:rPr>
        <w:t>–</w:t>
      </w:r>
      <w:r w:rsidRPr="004118EA">
        <w:rPr>
          <w:b w:val="0"/>
          <w:bCs/>
          <w:szCs w:val="22"/>
          <w:lang w:val="hy-AM"/>
        </w:rPr>
        <w:t xml:space="preserve"> 4</w:t>
      </w:r>
      <w:r w:rsidR="004933C8" w:rsidRPr="004933C8">
        <w:rPr>
          <w:b w:val="0"/>
          <w:bCs/>
          <w:szCs w:val="22"/>
          <w:lang w:val="hy-AM"/>
        </w:rPr>
        <w:t>93</w:t>
      </w:r>
      <w:r w:rsidR="004933C8" w:rsidRPr="004933C8">
        <w:rPr>
          <w:rFonts w:ascii="Cambria Math" w:hAnsi="Cambria Math" w:cs="Cambria Math"/>
          <w:b w:val="0"/>
          <w:bCs/>
          <w:szCs w:val="22"/>
          <w:lang w:val="hy-AM"/>
        </w:rPr>
        <w:t>.</w:t>
      </w:r>
      <w:r w:rsidR="003F74AC" w:rsidRPr="003F74AC">
        <w:rPr>
          <w:b w:val="0"/>
          <w:bCs/>
          <w:szCs w:val="22"/>
          <w:lang w:val="hy-AM"/>
        </w:rPr>
        <w:t>7</w:t>
      </w:r>
      <w:r w:rsidR="004933C8" w:rsidRPr="004933C8">
        <w:rPr>
          <w:b w:val="0"/>
          <w:bCs/>
          <w:szCs w:val="22"/>
          <w:lang w:val="hy-AM"/>
        </w:rPr>
        <w:t>6</w:t>
      </w:r>
      <w:r w:rsidRPr="004118EA">
        <w:rPr>
          <w:b w:val="0"/>
          <w:bCs/>
          <w:szCs w:val="22"/>
          <w:lang w:val="hy-AM"/>
        </w:rPr>
        <w:t xml:space="preserve">  </w:t>
      </w:r>
      <w:r w:rsidRPr="004118EA">
        <w:rPr>
          <w:rFonts w:cs="GHEA Grapalat"/>
          <w:b w:val="0"/>
          <w:bCs/>
          <w:szCs w:val="22"/>
          <w:lang w:val="hy-AM"/>
        </w:rPr>
        <w:t>դրամ</w:t>
      </w:r>
      <w:r w:rsidRPr="004118EA">
        <w:rPr>
          <w:b w:val="0"/>
          <w:bCs/>
          <w:szCs w:val="22"/>
          <w:lang w:val="hy-AM"/>
        </w:rPr>
        <w:t xml:space="preserve">, 2020 </w:t>
      </w:r>
      <w:r w:rsidRPr="004118EA">
        <w:rPr>
          <w:rFonts w:cs="GHEA Grapalat"/>
          <w:b w:val="0"/>
          <w:bCs/>
          <w:szCs w:val="22"/>
          <w:lang w:val="hy-AM"/>
        </w:rPr>
        <w:t>թվականի</w:t>
      </w:r>
      <w:r w:rsidRPr="004118EA">
        <w:rPr>
          <w:b w:val="0"/>
          <w:bCs/>
          <w:szCs w:val="22"/>
          <w:lang w:val="hy-AM"/>
        </w:rPr>
        <w:t xml:space="preserve"> </w:t>
      </w:r>
      <w:r w:rsidRPr="004118EA">
        <w:rPr>
          <w:rFonts w:cs="GHEA Grapalat"/>
          <w:b w:val="0"/>
          <w:bCs/>
          <w:szCs w:val="22"/>
          <w:lang w:val="hy-AM"/>
        </w:rPr>
        <w:t>պետբյուջեում՝</w:t>
      </w:r>
      <w:r w:rsidRPr="004118EA">
        <w:rPr>
          <w:b w:val="0"/>
          <w:bCs/>
          <w:szCs w:val="22"/>
          <w:lang w:val="hy-AM"/>
        </w:rPr>
        <w:t xml:space="preserve"> 531.16 </w:t>
      </w:r>
      <w:r w:rsidRPr="004118EA">
        <w:rPr>
          <w:rFonts w:cs="GHEA Grapalat"/>
          <w:b w:val="0"/>
          <w:bCs/>
          <w:szCs w:val="22"/>
          <w:lang w:val="hy-AM"/>
        </w:rPr>
        <w:t>դրամ</w:t>
      </w:r>
      <w:r w:rsidRPr="004118EA">
        <w:rPr>
          <w:b w:val="0"/>
          <w:bCs/>
          <w:szCs w:val="22"/>
          <w:lang w:val="hy-AM"/>
        </w:rPr>
        <w:t xml:space="preserve"> </w:t>
      </w:r>
      <w:r w:rsidRPr="004118EA">
        <w:rPr>
          <w:rFonts w:cs="GHEA Grapalat"/>
          <w:b w:val="0"/>
          <w:bCs/>
          <w:szCs w:val="22"/>
          <w:lang w:val="hy-AM"/>
        </w:rPr>
        <w:t>և</w:t>
      </w:r>
      <w:r w:rsidRPr="004118EA">
        <w:rPr>
          <w:b w:val="0"/>
          <w:bCs/>
          <w:szCs w:val="22"/>
          <w:lang w:val="hy-AM"/>
        </w:rPr>
        <w:t xml:space="preserve">  476.46 դրամ):</w:t>
      </w:r>
    </w:p>
    <w:p w:rsidR="00236B20" w:rsidRPr="004118EA" w:rsidRDefault="00236B20" w:rsidP="007730AA">
      <w:pPr>
        <w:widowControl w:val="0"/>
        <w:tabs>
          <w:tab w:val="left" w:pos="851"/>
          <w:tab w:val="left" w:pos="993"/>
        </w:tabs>
        <w:spacing w:before="0" w:line="276" w:lineRule="auto"/>
        <w:ind w:firstLine="720"/>
        <w:rPr>
          <w:rFonts w:cs="Sylfaen"/>
          <w:b w:val="0"/>
          <w:szCs w:val="22"/>
          <w:lang w:val="hy-AM"/>
        </w:rPr>
      </w:pPr>
      <w:r w:rsidRPr="004118EA">
        <w:rPr>
          <w:rFonts w:cs="Sylfaen"/>
          <w:b w:val="0"/>
          <w:szCs w:val="22"/>
          <w:lang w:val="hy-AM"/>
        </w:rPr>
        <w:t>2021 թվականի պետական բյուջեում միջոցներ են նախատեսվել տեղական ինքնակառավարման մարմին</w:t>
      </w:r>
      <w:r w:rsidRPr="004118EA">
        <w:rPr>
          <w:rFonts w:cs="Sylfaen"/>
          <w:b w:val="0"/>
          <w:szCs w:val="22"/>
          <w:lang w:val="hy-AM"/>
        </w:rPr>
        <w:softHyphen/>
        <w:t>ների հերթական ընտրությունների համար՝  1</w:t>
      </w:r>
      <w:r w:rsidRPr="004118EA">
        <w:rPr>
          <w:rFonts w:ascii="Calibri" w:hAnsi="Calibri" w:cs="Calibri"/>
          <w:b w:val="0"/>
          <w:szCs w:val="22"/>
          <w:lang w:val="hy-AM"/>
        </w:rPr>
        <w:t> </w:t>
      </w:r>
      <w:r w:rsidRPr="004118EA">
        <w:rPr>
          <w:rFonts w:cs="Sylfaen"/>
          <w:b w:val="0"/>
          <w:szCs w:val="22"/>
          <w:lang w:val="hy-AM"/>
        </w:rPr>
        <w:t>420,7 մլն դրամի չափով:</w:t>
      </w:r>
    </w:p>
    <w:p w:rsidR="00236B20" w:rsidRPr="004118EA" w:rsidRDefault="00236B20" w:rsidP="007730AA">
      <w:pPr>
        <w:spacing w:before="0" w:line="276" w:lineRule="auto"/>
        <w:ind w:firstLine="720"/>
        <w:rPr>
          <w:rFonts w:eastAsia="Calibri" w:cs="Sylfaen"/>
          <w:b w:val="0"/>
          <w:szCs w:val="22"/>
          <w:lang w:val="hy-AM" w:eastAsia="en-US"/>
        </w:rPr>
      </w:pPr>
      <w:r w:rsidRPr="004118EA">
        <w:rPr>
          <w:rFonts w:eastAsia="Calibri" w:cs="Sylfaen"/>
          <w:b w:val="0"/>
          <w:szCs w:val="22"/>
          <w:lang w:val="hy-AM" w:eastAsia="en-US"/>
        </w:rPr>
        <w:t>Համաձայն</w:t>
      </w:r>
      <w:r w:rsidRPr="004118EA">
        <w:rPr>
          <w:rFonts w:eastAsia="Calibri"/>
          <w:b w:val="0"/>
          <w:szCs w:val="22"/>
          <w:lang w:val="af-ZA" w:eastAsia="en-US"/>
        </w:rPr>
        <w:t xml:space="preserve"> 2018 թվականի մարտի 21-ի </w:t>
      </w:r>
      <w:r w:rsidRPr="004118EA">
        <w:rPr>
          <w:rFonts w:eastAsia="Calibri" w:cs="Sylfaen"/>
          <w:b w:val="0"/>
          <w:szCs w:val="22"/>
          <w:lang w:val="af-ZA" w:eastAsia="en-US"/>
        </w:rPr>
        <w:t></w:t>
      </w:r>
      <w:r w:rsidRPr="004118EA">
        <w:rPr>
          <w:rFonts w:eastAsia="Calibri" w:cs="Sylfaen"/>
          <w:b w:val="0"/>
          <w:szCs w:val="22"/>
          <w:lang w:val="hy-AM" w:eastAsia="en-US"/>
        </w:rPr>
        <w:t>Պաշտոնական</w:t>
      </w:r>
      <w:r w:rsidRPr="004118EA">
        <w:rPr>
          <w:rFonts w:eastAsia="Calibri" w:cs="Sylfaen"/>
          <w:b w:val="0"/>
          <w:szCs w:val="22"/>
          <w:lang w:val="af-ZA" w:eastAsia="en-US"/>
        </w:rPr>
        <w:t xml:space="preserve"> </w:t>
      </w:r>
      <w:r w:rsidRPr="004118EA">
        <w:rPr>
          <w:rFonts w:eastAsia="Calibri" w:cs="Sylfaen"/>
          <w:b w:val="0"/>
          <w:szCs w:val="22"/>
          <w:lang w:val="hy-AM" w:eastAsia="en-US"/>
        </w:rPr>
        <w:t>վիճակագրության</w:t>
      </w:r>
      <w:r w:rsidRPr="004118EA">
        <w:rPr>
          <w:rFonts w:eastAsia="Calibri" w:cs="Sylfaen"/>
          <w:b w:val="0"/>
          <w:szCs w:val="22"/>
          <w:lang w:val="af-ZA" w:eastAsia="en-US"/>
        </w:rPr>
        <w:t xml:space="preserve"> </w:t>
      </w:r>
      <w:r w:rsidRPr="004118EA">
        <w:rPr>
          <w:rFonts w:eastAsia="Calibri" w:cs="Sylfaen"/>
          <w:b w:val="0"/>
          <w:szCs w:val="22"/>
          <w:lang w:val="hy-AM" w:eastAsia="en-US"/>
        </w:rPr>
        <w:t>մասին</w:t>
      </w:r>
      <w:r w:rsidRPr="004118EA">
        <w:rPr>
          <w:rFonts w:eastAsia="Calibri" w:cs="Sylfaen"/>
          <w:b w:val="0"/>
          <w:szCs w:val="22"/>
          <w:lang w:val="af-ZA" w:eastAsia="en-US"/>
        </w:rPr>
        <w:t></w:t>
      </w:r>
      <w:r w:rsidRPr="004118EA">
        <w:rPr>
          <w:rFonts w:eastAsia="Calibri"/>
          <w:b w:val="0"/>
          <w:szCs w:val="22"/>
          <w:lang w:val="af-ZA" w:eastAsia="en-US"/>
        </w:rPr>
        <w:t xml:space="preserve"> </w:t>
      </w:r>
      <w:r w:rsidRPr="004118EA">
        <w:rPr>
          <w:rFonts w:eastAsia="Calibri" w:cs="Sylfaen"/>
          <w:b w:val="0"/>
          <w:szCs w:val="22"/>
          <w:lang w:val="hy-AM" w:eastAsia="en-US"/>
        </w:rPr>
        <w:t>ՀՕ</w:t>
      </w:r>
      <w:r w:rsidRPr="004118EA">
        <w:rPr>
          <w:rFonts w:eastAsia="Calibri" w:cs="Sylfaen"/>
          <w:b w:val="0"/>
          <w:szCs w:val="22"/>
          <w:lang w:val="af-ZA" w:eastAsia="en-US"/>
        </w:rPr>
        <w:t>-194-</w:t>
      </w:r>
      <w:r w:rsidRPr="004118EA">
        <w:rPr>
          <w:rFonts w:eastAsia="Calibri" w:cs="Sylfaen"/>
          <w:b w:val="0"/>
          <w:szCs w:val="22"/>
          <w:lang w:val="hy-AM" w:eastAsia="en-US"/>
        </w:rPr>
        <w:t>Ն</w:t>
      </w:r>
      <w:r w:rsidRPr="004118EA">
        <w:rPr>
          <w:rFonts w:eastAsia="Calibri"/>
          <w:b w:val="0"/>
          <w:szCs w:val="22"/>
          <w:lang w:val="af-ZA" w:eastAsia="en-US"/>
        </w:rPr>
        <w:t xml:space="preserve"> </w:t>
      </w:r>
      <w:r w:rsidRPr="004118EA">
        <w:rPr>
          <w:rFonts w:eastAsia="Calibri" w:cs="Sylfaen"/>
          <w:b w:val="0"/>
          <w:szCs w:val="22"/>
          <w:lang w:val="hy-AM" w:eastAsia="en-US"/>
        </w:rPr>
        <w:t>օրենքի</w:t>
      </w:r>
      <w:r w:rsidRPr="004118EA">
        <w:rPr>
          <w:rFonts w:eastAsia="Calibri"/>
          <w:b w:val="0"/>
          <w:szCs w:val="22"/>
          <w:lang w:val="af-ZA" w:eastAsia="en-US"/>
        </w:rPr>
        <w:t xml:space="preserve"> 21-</w:t>
      </w:r>
      <w:r w:rsidRPr="004118EA">
        <w:rPr>
          <w:rFonts w:eastAsia="Calibri" w:cs="Sylfaen"/>
          <w:b w:val="0"/>
          <w:szCs w:val="22"/>
          <w:lang w:val="hy-AM" w:eastAsia="en-US"/>
        </w:rPr>
        <w:t>րդ</w:t>
      </w:r>
      <w:r w:rsidRPr="004118EA">
        <w:rPr>
          <w:rFonts w:eastAsia="Calibri"/>
          <w:b w:val="0"/>
          <w:szCs w:val="22"/>
          <w:lang w:val="af-ZA" w:eastAsia="en-US"/>
        </w:rPr>
        <w:t xml:space="preserve"> </w:t>
      </w:r>
      <w:r w:rsidRPr="004118EA">
        <w:rPr>
          <w:rFonts w:eastAsia="Calibri" w:cs="Sylfaen"/>
          <w:b w:val="0"/>
          <w:szCs w:val="22"/>
          <w:lang w:val="hy-AM" w:eastAsia="en-US"/>
        </w:rPr>
        <w:t>հոդվածի</w:t>
      </w:r>
      <w:r w:rsidRPr="004118EA">
        <w:rPr>
          <w:rFonts w:eastAsia="Calibri" w:cs="Sylfaen"/>
          <w:b w:val="0"/>
          <w:szCs w:val="22"/>
          <w:lang w:val="af-ZA" w:eastAsia="en-US"/>
        </w:rPr>
        <w:t>,</w:t>
      </w:r>
      <w:r w:rsidRPr="004118EA">
        <w:rPr>
          <w:rFonts w:eastAsia="Calibri"/>
          <w:b w:val="0"/>
          <w:szCs w:val="22"/>
          <w:lang w:val="af-ZA" w:eastAsia="en-US"/>
        </w:rPr>
        <w:t xml:space="preserve"> </w:t>
      </w:r>
      <w:r w:rsidRPr="004118EA">
        <w:rPr>
          <w:rFonts w:eastAsia="Calibri" w:cs="Sylfaen"/>
          <w:b w:val="0"/>
          <w:szCs w:val="22"/>
          <w:lang w:val="hy-AM" w:eastAsia="en-US"/>
        </w:rPr>
        <w:t>մարդահամարը՝</w:t>
      </w:r>
      <w:r w:rsidRPr="004118EA">
        <w:rPr>
          <w:rFonts w:eastAsia="Calibri" w:cs="Sylfaen"/>
          <w:b w:val="0"/>
          <w:szCs w:val="22"/>
          <w:lang w:val="af-ZA" w:eastAsia="en-US"/>
        </w:rPr>
        <w:t xml:space="preserve"> </w:t>
      </w:r>
      <w:r w:rsidRPr="004118EA">
        <w:rPr>
          <w:rFonts w:eastAsia="Calibri" w:cs="Sylfaen"/>
          <w:b w:val="0"/>
          <w:szCs w:val="22"/>
          <w:lang w:val="hy-AM" w:eastAsia="en-US"/>
        </w:rPr>
        <w:t>որպես</w:t>
      </w:r>
      <w:r w:rsidRPr="004118EA">
        <w:rPr>
          <w:rFonts w:eastAsia="Calibri" w:cs="Sylfaen"/>
          <w:b w:val="0"/>
          <w:szCs w:val="22"/>
          <w:lang w:val="af-ZA" w:eastAsia="en-US"/>
        </w:rPr>
        <w:t xml:space="preserve"> </w:t>
      </w:r>
      <w:r w:rsidRPr="004118EA">
        <w:rPr>
          <w:rFonts w:eastAsia="Calibri" w:cs="Sylfaen"/>
          <w:b w:val="0"/>
          <w:szCs w:val="22"/>
          <w:lang w:val="hy-AM" w:eastAsia="en-US"/>
        </w:rPr>
        <w:t>համատարած</w:t>
      </w:r>
      <w:r w:rsidRPr="004118EA">
        <w:rPr>
          <w:rFonts w:eastAsia="Calibri" w:cs="Sylfaen"/>
          <w:b w:val="0"/>
          <w:szCs w:val="22"/>
          <w:lang w:val="af-ZA" w:eastAsia="en-US"/>
        </w:rPr>
        <w:t xml:space="preserve"> </w:t>
      </w:r>
      <w:r w:rsidRPr="004118EA">
        <w:rPr>
          <w:rFonts w:eastAsia="Calibri" w:cs="Sylfaen"/>
          <w:b w:val="0"/>
          <w:szCs w:val="22"/>
          <w:lang w:val="hy-AM" w:eastAsia="en-US"/>
        </w:rPr>
        <w:t>հաշվառում</w:t>
      </w:r>
      <w:r w:rsidRPr="004118EA">
        <w:rPr>
          <w:rFonts w:eastAsia="Calibri"/>
          <w:b w:val="0"/>
          <w:szCs w:val="22"/>
          <w:lang w:val="af-ZA" w:eastAsia="en-US"/>
        </w:rPr>
        <w:t xml:space="preserve">, </w:t>
      </w:r>
      <w:r w:rsidRPr="004118EA">
        <w:rPr>
          <w:rFonts w:eastAsia="Calibri" w:cs="Sylfaen"/>
          <w:b w:val="0"/>
          <w:szCs w:val="22"/>
          <w:lang w:val="hy-AM" w:eastAsia="en-US"/>
        </w:rPr>
        <w:t>անցկացվում</w:t>
      </w:r>
      <w:r w:rsidRPr="004118EA">
        <w:rPr>
          <w:rFonts w:eastAsia="Calibri"/>
          <w:b w:val="0"/>
          <w:szCs w:val="22"/>
          <w:lang w:val="af-ZA" w:eastAsia="en-US"/>
        </w:rPr>
        <w:t xml:space="preserve"> </w:t>
      </w:r>
      <w:r w:rsidRPr="004118EA">
        <w:rPr>
          <w:rFonts w:eastAsia="Calibri" w:cs="Sylfaen"/>
          <w:b w:val="0"/>
          <w:szCs w:val="22"/>
          <w:lang w:val="hy-AM" w:eastAsia="en-US"/>
        </w:rPr>
        <w:t>է</w:t>
      </w:r>
      <w:r w:rsidRPr="004118EA">
        <w:rPr>
          <w:rFonts w:eastAsia="Calibri"/>
          <w:b w:val="0"/>
          <w:szCs w:val="22"/>
          <w:lang w:val="af-ZA" w:eastAsia="en-US"/>
        </w:rPr>
        <w:t xml:space="preserve"> առնվազն 10 </w:t>
      </w:r>
      <w:r w:rsidRPr="004118EA">
        <w:rPr>
          <w:rFonts w:eastAsia="Calibri" w:cs="Sylfaen"/>
          <w:b w:val="0"/>
          <w:szCs w:val="22"/>
          <w:lang w:val="hy-AM" w:eastAsia="en-US"/>
        </w:rPr>
        <w:t>տարին</w:t>
      </w:r>
      <w:r w:rsidRPr="004118EA">
        <w:rPr>
          <w:rFonts w:eastAsia="Calibri"/>
          <w:b w:val="0"/>
          <w:szCs w:val="22"/>
          <w:lang w:val="af-ZA" w:eastAsia="en-US"/>
        </w:rPr>
        <w:t xml:space="preserve"> </w:t>
      </w:r>
      <w:r w:rsidRPr="004118EA">
        <w:rPr>
          <w:rFonts w:eastAsia="Calibri" w:cs="Sylfaen"/>
          <w:b w:val="0"/>
          <w:szCs w:val="22"/>
          <w:lang w:val="hy-AM" w:eastAsia="en-US"/>
        </w:rPr>
        <w:t>մեկ</w:t>
      </w:r>
      <w:r w:rsidRPr="004118EA">
        <w:rPr>
          <w:rFonts w:eastAsia="Calibri"/>
          <w:b w:val="0"/>
          <w:szCs w:val="22"/>
          <w:lang w:val="af-ZA" w:eastAsia="en-US"/>
        </w:rPr>
        <w:t xml:space="preserve"> </w:t>
      </w:r>
      <w:r w:rsidRPr="004118EA">
        <w:rPr>
          <w:rFonts w:eastAsia="Calibri" w:cs="Sylfaen"/>
          <w:b w:val="0"/>
          <w:szCs w:val="22"/>
          <w:lang w:val="hy-AM" w:eastAsia="en-US"/>
        </w:rPr>
        <w:t>անգամ</w:t>
      </w:r>
      <w:r w:rsidRPr="004118EA">
        <w:rPr>
          <w:rFonts w:eastAsia="Calibri"/>
          <w:b w:val="0"/>
          <w:szCs w:val="22"/>
          <w:lang w:val="af-ZA" w:eastAsia="en-US"/>
        </w:rPr>
        <w:t xml:space="preserve">: </w:t>
      </w:r>
      <w:r w:rsidRPr="004118EA">
        <w:rPr>
          <w:rFonts w:eastAsia="Calibri"/>
          <w:b w:val="0"/>
          <w:szCs w:val="22"/>
          <w:lang w:val="hy-AM" w:eastAsia="en-US"/>
        </w:rPr>
        <w:t>Հ</w:t>
      </w:r>
      <w:r w:rsidRPr="004118EA">
        <w:rPr>
          <w:rFonts w:eastAsia="Calibri" w:cs="Sylfaen"/>
          <w:b w:val="0"/>
          <w:szCs w:val="22"/>
          <w:lang w:val="hy-AM" w:eastAsia="en-US"/>
        </w:rPr>
        <w:t>իմք</w:t>
      </w:r>
      <w:r w:rsidRPr="004118EA">
        <w:rPr>
          <w:rFonts w:eastAsia="Calibri" w:cs="Sylfaen"/>
          <w:b w:val="0"/>
          <w:szCs w:val="22"/>
          <w:lang w:val="af-ZA" w:eastAsia="en-US"/>
        </w:rPr>
        <w:t xml:space="preserve"> </w:t>
      </w:r>
      <w:r w:rsidRPr="004118EA">
        <w:rPr>
          <w:rFonts w:eastAsia="Calibri" w:cs="Sylfaen"/>
          <w:b w:val="0"/>
          <w:szCs w:val="22"/>
          <w:lang w:val="hy-AM" w:eastAsia="en-US"/>
        </w:rPr>
        <w:t>ընդունելով</w:t>
      </w:r>
      <w:r w:rsidRPr="004118EA">
        <w:rPr>
          <w:rFonts w:eastAsia="Calibri" w:cs="Sylfaen"/>
          <w:b w:val="0"/>
          <w:szCs w:val="22"/>
          <w:lang w:val="af-ZA" w:eastAsia="en-US"/>
        </w:rPr>
        <w:t xml:space="preserve"> ՄԱԿ-ի նախաձեռնությունը և </w:t>
      </w:r>
      <w:r w:rsidRPr="004118EA">
        <w:rPr>
          <w:rFonts w:eastAsia="Calibri" w:cs="Sylfaen"/>
          <w:b w:val="0"/>
          <w:szCs w:val="22"/>
          <w:lang w:val="hy-AM" w:eastAsia="en-US"/>
        </w:rPr>
        <w:t>ԱՊՀ</w:t>
      </w:r>
      <w:r w:rsidRPr="004118EA">
        <w:rPr>
          <w:rFonts w:eastAsia="Calibri"/>
          <w:b w:val="0"/>
          <w:szCs w:val="22"/>
          <w:lang w:val="af-ZA" w:eastAsia="en-US"/>
        </w:rPr>
        <w:t xml:space="preserve"> </w:t>
      </w:r>
      <w:r w:rsidRPr="004118EA">
        <w:rPr>
          <w:rFonts w:eastAsia="Calibri" w:cs="Sylfaen"/>
          <w:b w:val="0"/>
          <w:szCs w:val="22"/>
          <w:lang w:val="hy-AM" w:eastAsia="en-US"/>
        </w:rPr>
        <w:t>անդամ</w:t>
      </w:r>
      <w:r w:rsidRPr="004118EA">
        <w:rPr>
          <w:rFonts w:eastAsia="Calibri"/>
          <w:b w:val="0"/>
          <w:szCs w:val="22"/>
          <w:lang w:val="af-ZA" w:eastAsia="en-US"/>
        </w:rPr>
        <w:t xml:space="preserve"> </w:t>
      </w:r>
      <w:r w:rsidRPr="004118EA">
        <w:rPr>
          <w:rFonts w:eastAsia="Calibri" w:cs="Sylfaen"/>
          <w:b w:val="0"/>
          <w:szCs w:val="22"/>
          <w:lang w:val="hy-AM" w:eastAsia="en-US"/>
        </w:rPr>
        <w:t>երկրների</w:t>
      </w:r>
      <w:r w:rsidRPr="004118EA">
        <w:rPr>
          <w:rFonts w:eastAsia="Calibri"/>
          <w:b w:val="0"/>
          <w:szCs w:val="22"/>
          <w:lang w:val="af-ZA" w:eastAsia="en-US"/>
        </w:rPr>
        <w:t xml:space="preserve"> </w:t>
      </w:r>
      <w:r w:rsidRPr="004118EA">
        <w:rPr>
          <w:rFonts w:eastAsia="Calibri" w:cs="Sylfaen"/>
          <w:b w:val="0"/>
          <w:szCs w:val="22"/>
          <w:lang w:val="hy-AM" w:eastAsia="en-US"/>
        </w:rPr>
        <w:t>ղեկավարների</w:t>
      </w:r>
      <w:r w:rsidRPr="004118EA">
        <w:rPr>
          <w:rFonts w:eastAsia="Calibri"/>
          <w:b w:val="0"/>
          <w:szCs w:val="22"/>
          <w:lang w:val="af-ZA" w:eastAsia="en-US"/>
        </w:rPr>
        <w:t xml:space="preserve"> </w:t>
      </w:r>
      <w:r w:rsidRPr="004118EA">
        <w:rPr>
          <w:rFonts w:eastAsia="Calibri" w:cs="Sylfaen"/>
          <w:b w:val="0"/>
          <w:szCs w:val="22"/>
          <w:lang w:val="hy-AM" w:eastAsia="en-US"/>
        </w:rPr>
        <w:t>խորհրդի</w:t>
      </w:r>
      <w:r w:rsidRPr="004118EA">
        <w:rPr>
          <w:rFonts w:eastAsia="Calibri"/>
          <w:b w:val="0"/>
          <w:szCs w:val="22"/>
          <w:lang w:val="af-ZA" w:eastAsia="en-US"/>
        </w:rPr>
        <w:t xml:space="preserve"> </w:t>
      </w:r>
      <w:r w:rsidRPr="004118EA">
        <w:rPr>
          <w:rFonts w:eastAsia="Calibri" w:cs="Sylfaen"/>
          <w:b w:val="0"/>
          <w:szCs w:val="22"/>
          <w:lang w:val="hy-AM" w:eastAsia="en-US"/>
        </w:rPr>
        <w:t>կողմից</w:t>
      </w:r>
      <w:r w:rsidRPr="004118EA">
        <w:rPr>
          <w:rFonts w:eastAsia="Calibri"/>
          <w:b w:val="0"/>
          <w:szCs w:val="22"/>
          <w:lang w:val="af-ZA" w:eastAsia="en-US"/>
        </w:rPr>
        <w:t xml:space="preserve"> 2016</w:t>
      </w:r>
      <w:r w:rsidRPr="004118EA">
        <w:rPr>
          <w:rFonts w:eastAsia="Calibri" w:cs="Sylfaen"/>
          <w:b w:val="0"/>
          <w:szCs w:val="22"/>
          <w:lang w:val="hy-AM" w:eastAsia="en-US"/>
        </w:rPr>
        <w:t>թ</w:t>
      </w:r>
      <w:r w:rsidRPr="004118EA">
        <w:rPr>
          <w:rFonts w:eastAsia="Calibri"/>
          <w:b w:val="0"/>
          <w:szCs w:val="22"/>
          <w:lang w:val="af-ZA" w:eastAsia="en-US"/>
        </w:rPr>
        <w:t xml:space="preserve">. </w:t>
      </w:r>
      <w:r w:rsidRPr="004118EA">
        <w:rPr>
          <w:rFonts w:eastAsia="Calibri" w:cs="Sylfaen"/>
          <w:b w:val="0"/>
          <w:szCs w:val="22"/>
          <w:lang w:val="hy-AM" w:eastAsia="en-US"/>
        </w:rPr>
        <w:t>սեպտեմբերի</w:t>
      </w:r>
      <w:r w:rsidRPr="004118EA">
        <w:rPr>
          <w:rFonts w:eastAsia="Calibri"/>
          <w:b w:val="0"/>
          <w:szCs w:val="22"/>
          <w:lang w:val="af-ZA" w:eastAsia="en-US"/>
        </w:rPr>
        <w:t xml:space="preserve"> 16-</w:t>
      </w:r>
      <w:r w:rsidRPr="004118EA">
        <w:rPr>
          <w:rFonts w:eastAsia="Calibri" w:cs="Sylfaen"/>
          <w:b w:val="0"/>
          <w:szCs w:val="22"/>
          <w:lang w:val="hy-AM" w:eastAsia="en-US"/>
        </w:rPr>
        <w:t>ին</w:t>
      </w:r>
      <w:r w:rsidRPr="004118EA">
        <w:rPr>
          <w:rFonts w:eastAsia="Calibri"/>
          <w:b w:val="0"/>
          <w:szCs w:val="22"/>
          <w:lang w:val="af-ZA" w:eastAsia="en-US"/>
        </w:rPr>
        <w:t xml:space="preserve"> </w:t>
      </w:r>
      <w:r w:rsidRPr="004118EA">
        <w:rPr>
          <w:rFonts w:eastAsia="Calibri" w:cs="Sylfaen"/>
          <w:b w:val="0"/>
          <w:szCs w:val="22"/>
          <w:lang w:val="hy-AM" w:eastAsia="en-US"/>
        </w:rPr>
        <w:t>ք</w:t>
      </w:r>
      <w:r w:rsidRPr="004118EA">
        <w:rPr>
          <w:rFonts w:eastAsia="Calibri"/>
          <w:b w:val="0"/>
          <w:szCs w:val="22"/>
          <w:lang w:val="af-ZA" w:eastAsia="en-US"/>
        </w:rPr>
        <w:t xml:space="preserve">. </w:t>
      </w:r>
      <w:r w:rsidRPr="004118EA">
        <w:rPr>
          <w:rFonts w:eastAsia="Calibri" w:cs="Sylfaen"/>
          <w:b w:val="0"/>
          <w:szCs w:val="22"/>
          <w:lang w:val="hy-AM" w:eastAsia="en-US"/>
        </w:rPr>
        <w:t>Բիշքեկում</w:t>
      </w:r>
      <w:r w:rsidRPr="004118EA">
        <w:rPr>
          <w:rFonts w:eastAsia="Calibri"/>
          <w:b w:val="0"/>
          <w:szCs w:val="22"/>
          <w:lang w:val="af-ZA" w:eastAsia="en-US"/>
        </w:rPr>
        <w:t xml:space="preserve"> </w:t>
      </w:r>
      <w:r w:rsidRPr="004118EA">
        <w:rPr>
          <w:rFonts w:eastAsia="Calibri" w:cs="Sylfaen"/>
          <w:b w:val="0"/>
          <w:szCs w:val="22"/>
          <w:lang w:val="hy-AM" w:eastAsia="en-US"/>
        </w:rPr>
        <w:t>ընդունված</w:t>
      </w:r>
      <w:r w:rsidRPr="004118EA">
        <w:rPr>
          <w:rFonts w:eastAsia="Calibri"/>
          <w:b w:val="0"/>
          <w:szCs w:val="22"/>
          <w:lang w:val="af-ZA" w:eastAsia="en-US"/>
        </w:rPr>
        <w:t xml:space="preserve"> «2020 </w:t>
      </w:r>
      <w:r w:rsidRPr="004118EA">
        <w:rPr>
          <w:rFonts w:eastAsia="Calibri" w:cs="Sylfaen"/>
          <w:b w:val="0"/>
          <w:szCs w:val="22"/>
          <w:lang w:val="hy-AM" w:eastAsia="en-US"/>
        </w:rPr>
        <w:t>թվականի</w:t>
      </w:r>
      <w:r w:rsidRPr="004118EA">
        <w:rPr>
          <w:rFonts w:eastAsia="Calibri"/>
          <w:b w:val="0"/>
          <w:szCs w:val="22"/>
          <w:lang w:val="af-ZA" w:eastAsia="en-US"/>
        </w:rPr>
        <w:t xml:space="preserve"> </w:t>
      </w:r>
      <w:r w:rsidRPr="004118EA">
        <w:rPr>
          <w:rFonts w:eastAsia="Calibri" w:cs="Sylfaen"/>
          <w:b w:val="0"/>
          <w:szCs w:val="22"/>
          <w:lang w:val="hy-AM" w:eastAsia="en-US"/>
        </w:rPr>
        <w:t>փուլում</w:t>
      </w:r>
      <w:r w:rsidRPr="004118EA">
        <w:rPr>
          <w:rFonts w:eastAsia="Calibri"/>
          <w:b w:val="0"/>
          <w:szCs w:val="22"/>
          <w:lang w:val="af-ZA" w:eastAsia="en-US"/>
        </w:rPr>
        <w:t xml:space="preserve"> </w:t>
      </w:r>
      <w:r w:rsidRPr="004118EA">
        <w:rPr>
          <w:rFonts w:eastAsia="Calibri" w:cs="Sylfaen"/>
          <w:b w:val="0"/>
          <w:szCs w:val="22"/>
          <w:lang w:val="hy-AM" w:eastAsia="en-US"/>
        </w:rPr>
        <w:t>ԱՊՀ</w:t>
      </w:r>
      <w:r w:rsidRPr="004118EA">
        <w:rPr>
          <w:rFonts w:eastAsia="Calibri"/>
          <w:b w:val="0"/>
          <w:szCs w:val="22"/>
          <w:lang w:val="af-ZA" w:eastAsia="en-US"/>
        </w:rPr>
        <w:t xml:space="preserve"> </w:t>
      </w:r>
      <w:r w:rsidRPr="004118EA">
        <w:rPr>
          <w:rFonts w:eastAsia="Calibri" w:cs="Sylfaen"/>
          <w:b w:val="0"/>
          <w:szCs w:val="22"/>
          <w:lang w:val="hy-AM" w:eastAsia="en-US"/>
        </w:rPr>
        <w:t>անդամ</w:t>
      </w:r>
      <w:r w:rsidRPr="004118EA">
        <w:rPr>
          <w:rFonts w:eastAsia="Calibri"/>
          <w:b w:val="0"/>
          <w:szCs w:val="22"/>
          <w:lang w:val="af-ZA" w:eastAsia="en-US"/>
        </w:rPr>
        <w:t>-</w:t>
      </w:r>
      <w:r w:rsidRPr="004118EA">
        <w:rPr>
          <w:rFonts w:eastAsia="Calibri" w:cs="Sylfaen"/>
          <w:b w:val="0"/>
          <w:szCs w:val="22"/>
          <w:lang w:val="hy-AM" w:eastAsia="en-US"/>
        </w:rPr>
        <w:t>երկրներում</w:t>
      </w:r>
      <w:r w:rsidRPr="004118EA">
        <w:rPr>
          <w:rFonts w:eastAsia="Calibri"/>
          <w:b w:val="0"/>
          <w:szCs w:val="22"/>
          <w:lang w:val="af-ZA" w:eastAsia="en-US"/>
        </w:rPr>
        <w:t xml:space="preserve"> </w:t>
      </w:r>
      <w:r w:rsidRPr="004118EA">
        <w:rPr>
          <w:rFonts w:eastAsia="Calibri" w:cs="Sylfaen"/>
          <w:b w:val="0"/>
          <w:szCs w:val="22"/>
          <w:lang w:val="hy-AM" w:eastAsia="en-US"/>
        </w:rPr>
        <w:t>մարդահամարների</w:t>
      </w:r>
      <w:r w:rsidRPr="004118EA">
        <w:rPr>
          <w:rFonts w:eastAsia="Calibri"/>
          <w:b w:val="0"/>
          <w:szCs w:val="22"/>
          <w:lang w:val="af-ZA" w:eastAsia="en-US"/>
        </w:rPr>
        <w:t xml:space="preserve"> </w:t>
      </w:r>
      <w:r w:rsidRPr="004118EA">
        <w:rPr>
          <w:rFonts w:eastAsia="Calibri" w:cs="Sylfaen"/>
          <w:b w:val="0"/>
          <w:szCs w:val="22"/>
          <w:lang w:val="hy-AM" w:eastAsia="en-US"/>
        </w:rPr>
        <w:t>անցկացման</w:t>
      </w:r>
      <w:r w:rsidRPr="004118EA">
        <w:rPr>
          <w:rFonts w:eastAsia="Calibri"/>
          <w:b w:val="0"/>
          <w:szCs w:val="22"/>
          <w:lang w:val="af-ZA" w:eastAsia="en-US"/>
        </w:rPr>
        <w:t xml:space="preserve"> </w:t>
      </w:r>
      <w:r w:rsidRPr="004118EA">
        <w:rPr>
          <w:rFonts w:eastAsia="Calibri" w:cs="Sylfaen"/>
          <w:b w:val="0"/>
          <w:szCs w:val="22"/>
          <w:lang w:val="hy-AM" w:eastAsia="en-US"/>
        </w:rPr>
        <w:t>մասին</w:t>
      </w:r>
      <w:r w:rsidRPr="004118EA">
        <w:rPr>
          <w:rFonts w:eastAsia="Calibri" w:cs="Sylfaen"/>
          <w:b w:val="0"/>
          <w:szCs w:val="22"/>
          <w:lang w:val="af-ZA" w:eastAsia="en-US"/>
        </w:rPr>
        <w:t></w:t>
      </w:r>
      <w:r w:rsidRPr="004118EA">
        <w:rPr>
          <w:rFonts w:eastAsia="Calibri"/>
          <w:b w:val="0"/>
          <w:szCs w:val="22"/>
          <w:lang w:val="af-ZA" w:eastAsia="en-US"/>
        </w:rPr>
        <w:t xml:space="preserve"> </w:t>
      </w:r>
      <w:r w:rsidRPr="004118EA">
        <w:rPr>
          <w:rFonts w:eastAsia="Calibri" w:cs="Sylfaen"/>
          <w:b w:val="0"/>
          <w:szCs w:val="22"/>
          <w:lang w:val="hy-AM" w:eastAsia="en-US"/>
        </w:rPr>
        <w:t>որոշումը</w:t>
      </w:r>
      <w:r w:rsidRPr="004118EA">
        <w:rPr>
          <w:rFonts w:eastAsia="Calibri"/>
          <w:b w:val="0"/>
          <w:szCs w:val="22"/>
          <w:lang w:val="af-ZA" w:eastAsia="en-US"/>
        </w:rPr>
        <w:t xml:space="preserve"> </w:t>
      </w:r>
      <w:r w:rsidRPr="004118EA">
        <w:rPr>
          <w:rFonts w:eastAsia="Calibri" w:cs="Sylfaen"/>
          <w:b w:val="0"/>
          <w:szCs w:val="22"/>
          <w:lang w:val="hy-AM" w:eastAsia="en-US"/>
        </w:rPr>
        <w:t>հերթական</w:t>
      </w:r>
      <w:r w:rsidRPr="004118EA">
        <w:rPr>
          <w:rFonts w:eastAsia="Calibri"/>
          <w:b w:val="0"/>
          <w:szCs w:val="22"/>
          <w:lang w:val="af-ZA" w:eastAsia="en-US"/>
        </w:rPr>
        <w:t xml:space="preserve"> </w:t>
      </w:r>
      <w:r w:rsidRPr="004118EA">
        <w:rPr>
          <w:rFonts w:eastAsia="Calibri" w:cs="Sylfaen"/>
          <w:b w:val="0"/>
          <w:szCs w:val="22"/>
          <w:lang w:val="hy-AM" w:eastAsia="en-US"/>
        </w:rPr>
        <w:t>մարդահամարները</w:t>
      </w:r>
      <w:r w:rsidRPr="004118EA">
        <w:rPr>
          <w:rFonts w:eastAsia="Calibri"/>
          <w:b w:val="0"/>
          <w:szCs w:val="22"/>
          <w:lang w:val="af-ZA" w:eastAsia="en-US"/>
        </w:rPr>
        <w:t xml:space="preserve"> 2020 </w:t>
      </w:r>
      <w:r w:rsidRPr="004118EA">
        <w:rPr>
          <w:rFonts w:eastAsia="Calibri" w:cs="Sylfaen"/>
          <w:b w:val="0"/>
          <w:szCs w:val="22"/>
          <w:lang w:val="hy-AM" w:eastAsia="en-US"/>
        </w:rPr>
        <w:t>թվական</w:t>
      </w:r>
      <w:r w:rsidRPr="004118EA">
        <w:rPr>
          <w:rFonts w:eastAsia="Calibri"/>
          <w:b w:val="0"/>
          <w:szCs w:val="22"/>
          <w:lang w:val="hy-AM" w:eastAsia="en-US"/>
        </w:rPr>
        <w:t>ին</w:t>
      </w:r>
      <w:r w:rsidRPr="004118EA">
        <w:rPr>
          <w:rFonts w:eastAsia="Calibri"/>
          <w:b w:val="0"/>
          <w:szCs w:val="22"/>
          <w:lang w:val="af-ZA" w:eastAsia="en-US"/>
        </w:rPr>
        <w:t xml:space="preserve"> </w:t>
      </w:r>
      <w:r w:rsidRPr="004118EA">
        <w:rPr>
          <w:rFonts w:eastAsia="Calibri" w:cs="Sylfaen"/>
          <w:b w:val="0"/>
          <w:szCs w:val="22"/>
          <w:lang w:val="hy-AM" w:eastAsia="en-US"/>
        </w:rPr>
        <w:t>առավել</w:t>
      </w:r>
      <w:r w:rsidRPr="004118EA">
        <w:rPr>
          <w:rFonts w:eastAsia="Calibri"/>
          <w:b w:val="0"/>
          <w:szCs w:val="22"/>
          <w:lang w:val="af-ZA" w:eastAsia="en-US"/>
        </w:rPr>
        <w:t xml:space="preserve"> </w:t>
      </w:r>
      <w:r w:rsidRPr="004118EA">
        <w:rPr>
          <w:rFonts w:eastAsia="Calibri" w:cs="Sylfaen"/>
          <w:b w:val="0"/>
          <w:szCs w:val="22"/>
          <w:lang w:val="hy-AM" w:eastAsia="en-US"/>
        </w:rPr>
        <w:t>մոտ</w:t>
      </w:r>
      <w:r w:rsidRPr="004118EA">
        <w:rPr>
          <w:rFonts w:eastAsia="Calibri"/>
          <w:b w:val="0"/>
          <w:szCs w:val="22"/>
          <w:lang w:val="af-ZA" w:eastAsia="en-US"/>
        </w:rPr>
        <w:t xml:space="preserve"> </w:t>
      </w:r>
      <w:r w:rsidRPr="004118EA">
        <w:rPr>
          <w:rFonts w:eastAsia="Calibri" w:cs="Sylfaen"/>
          <w:b w:val="0"/>
          <w:szCs w:val="22"/>
          <w:lang w:val="hy-AM" w:eastAsia="en-US"/>
        </w:rPr>
        <w:t>ժամկետներում</w:t>
      </w:r>
      <w:r w:rsidRPr="004118EA">
        <w:rPr>
          <w:rFonts w:eastAsia="Calibri" w:cs="Sylfaen"/>
          <w:b w:val="0"/>
          <w:szCs w:val="22"/>
          <w:lang w:val="af-ZA" w:eastAsia="en-US"/>
        </w:rPr>
        <w:t xml:space="preserve"> </w:t>
      </w:r>
      <w:r w:rsidRPr="004118EA">
        <w:rPr>
          <w:rFonts w:eastAsia="Calibri" w:cs="Sylfaen"/>
          <w:b w:val="0"/>
          <w:szCs w:val="22"/>
          <w:lang w:val="hy-AM" w:eastAsia="en-US"/>
        </w:rPr>
        <w:t>անցկացնելու մասին, որոշվել էր Հայաստանում մարդահամարն անցկացնել 2020 թվականին: Սակայն, COVID19 համավարակով պայմանավորված արտակարգ դրության պայմաններում որոշվեց մարդահամարն անցկացնել 2021 թվականին։ Այդ նպատակով բյուջեի 2021 թվականի պետական բյուջեի նախագծում նախատեսվել է  1</w:t>
      </w:r>
      <w:r w:rsidRPr="004118EA">
        <w:rPr>
          <w:rFonts w:ascii="Calibri" w:eastAsia="Calibri" w:hAnsi="Calibri" w:cs="Calibri"/>
          <w:b w:val="0"/>
          <w:szCs w:val="22"/>
          <w:lang w:val="hy-AM" w:eastAsia="en-US"/>
        </w:rPr>
        <w:t> </w:t>
      </w:r>
      <w:r w:rsidRPr="004118EA">
        <w:rPr>
          <w:rFonts w:eastAsia="Calibri" w:cs="Sylfaen"/>
          <w:b w:val="0"/>
          <w:szCs w:val="22"/>
          <w:lang w:val="hy-AM" w:eastAsia="en-US"/>
        </w:rPr>
        <w:t>020,6 մլն դրամ։</w:t>
      </w:r>
    </w:p>
    <w:p w:rsidR="00236B20" w:rsidRPr="004118EA" w:rsidRDefault="00236B20" w:rsidP="007730AA">
      <w:pPr>
        <w:spacing w:before="0" w:line="276" w:lineRule="auto"/>
        <w:ind w:firstLine="720"/>
        <w:rPr>
          <w:rFonts w:eastAsia="Calibri" w:cs="Sylfaen"/>
          <w:b w:val="0"/>
          <w:szCs w:val="22"/>
          <w:lang w:val="hy-AM" w:eastAsia="en-US"/>
        </w:rPr>
      </w:pPr>
    </w:p>
    <w:p w:rsidR="00236B20" w:rsidRPr="004118EA" w:rsidRDefault="00236B20" w:rsidP="007730AA">
      <w:pPr>
        <w:spacing w:before="0" w:line="276" w:lineRule="auto"/>
        <w:ind w:firstLine="720"/>
        <w:rPr>
          <w:szCs w:val="22"/>
          <w:lang w:val="hy-AM"/>
        </w:rPr>
      </w:pPr>
      <w:r w:rsidRPr="004118EA">
        <w:rPr>
          <w:szCs w:val="22"/>
          <w:lang w:val="hy-AM"/>
        </w:rPr>
        <w:t xml:space="preserve">Ծրագրավորված ծախսերի համեմատական վերլուծությունը </w:t>
      </w:r>
    </w:p>
    <w:p w:rsidR="00236B20" w:rsidRPr="004118EA" w:rsidRDefault="00236B20" w:rsidP="007730AA">
      <w:pPr>
        <w:spacing w:before="0" w:line="276" w:lineRule="auto"/>
        <w:ind w:firstLine="720"/>
        <w:rPr>
          <w:rFonts w:eastAsia="Calibri"/>
          <w:szCs w:val="22"/>
          <w:lang w:val="hy-AM" w:eastAsia="en-US"/>
        </w:rPr>
      </w:pPr>
      <w:r w:rsidRPr="004118EA">
        <w:rPr>
          <w:rFonts w:eastAsia="Calibri"/>
          <w:b w:val="0"/>
          <w:szCs w:val="22"/>
          <w:lang w:val="hy-AM" w:eastAsia="en-US"/>
        </w:rPr>
        <w:t>Հանրային իշխանության մարմինների պահպանման ծախ</w:t>
      </w:r>
      <w:r w:rsidRPr="004118EA">
        <w:rPr>
          <w:rFonts w:eastAsia="Calibri"/>
          <w:b w:val="0"/>
          <w:szCs w:val="22"/>
          <w:lang w:val="hy-AM" w:eastAsia="en-US"/>
        </w:rPr>
        <w:softHyphen/>
        <w:t xml:space="preserve">սերի ընդհանուր գումարը </w:t>
      </w:r>
      <w:r w:rsidRPr="004118EA">
        <w:rPr>
          <w:rFonts w:eastAsia="Calibri"/>
          <w:b w:val="0"/>
          <w:bCs/>
          <w:szCs w:val="22"/>
          <w:lang w:val="hy-AM" w:eastAsia="en-US"/>
        </w:rPr>
        <w:t>(առանց այս ոլորտում իրականացվող նպատակային վարկային և դրամաշնորհային ծրագրերի)</w:t>
      </w:r>
      <w:r w:rsidRPr="004118EA">
        <w:rPr>
          <w:rFonts w:eastAsia="Calibri"/>
          <w:b w:val="0"/>
          <w:szCs w:val="22"/>
          <w:lang w:val="hy-AM" w:eastAsia="en-US"/>
        </w:rPr>
        <w:t xml:space="preserve"> ՀՀ 2021 թվականի պետական բյուջեի նախագծում ծրագրա</w:t>
      </w:r>
      <w:r w:rsidRPr="004118EA">
        <w:rPr>
          <w:rFonts w:eastAsia="Calibri"/>
          <w:b w:val="0"/>
          <w:szCs w:val="22"/>
          <w:lang w:val="hy-AM" w:eastAsia="en-US"/>
        </w:rPr>
        <w:softHyphen/>
        <w:t>վորված է  130</w:t>
      </w:r>
      <w:r w:rsidR="004933C8" w:rsidRPr="004933C8">
        <w:rPr>
          <w:rFonts w:eastAsia="Calibri"/>
          <w:b w:val="0"/>
          <w:szCs w:val="22"/>
          <w:lang w:val="hy-AM" w:eastAsia="en-US"/>
        </w:rPr>
        <w:t>,920.5</w:t>
      </w:r>
      <w:r w:rsidRPr="004118EA">
        <w:rPr>
          <w:rFonts w:eastAsia="Calibri"/>
          <w:b w:val="0"/>
          <w:szCs w:val="22"/>
          <w:lang w:val="hy-AM" w:eastAsia="en-US"/>
        </w:rPr>
        <w:t xml:space="preserve"> մլն դրամի չափով, որը 2019 թվականի բյուջետային տարվա փաստացի և 2020 թվա</w:t>
      </w:r>
      <w:r w:rsidRPr="004118EA">
        <w:rPr>
          <w:rFonts w:eastAsia="Calibri"/>
          <w:b w:val="0"/>
          <w:szCs w:val="22"/>
          <w:lang w:val="hy-AM" w:eastAsia="en-US"/>
        </w:rPr>
        <w:softHyphen/>
        <w:t>կանի բյուջետային տարվա համար հաստատված համապատասխան ցուցանիշների նկատ</w:t>
      </w:r>
      <w:r w:rsidRPr="004118EA">
        <w:rPr>
          <w:rFonts w:eastAsia="Calibri"/>
          <w:b w:val="0"/>
          <w:szCs w:val="22"/>
          <w:lang w:val="hy-AM" w:eastAsia="en-US"/>
        </w:rPr>
        <w:softHyphen/>
      </w:r>
      <w:r w:rsidRPr="004118EA">
        <w:rPr>
          <w:rFonts w:eastAsia="Calibri"/>
          <w:b w:val="0"/>
          <w:szCs w:val="22"/>
          <w:lang w:val="hy-AM" w:eastAsia="en-US"/>
        </w:rPr>
        <w:softHyphen/>
        <w:t>մամբ կազմում է համապատասխանաբար 112</w:t>
      </w:r>
      <w:r w:rsidR="004933C8" w:rsidRPr="004933C8">
        <w:rPr>
          <w:rFonts w:eastAsia="Calibri"/>
          <w:b w:val="0"/>
          <w:szCs w:val="22"/>
          <w:lang w:val="hy-AM" w:eastAsia="en-US"/>
        </w:rPr>
        <w:t>.3</w:t>
      </w:r>
      <w:r w:rsidRPr="004118EA">
        <w:rPr>
          <w:rFonts w:eastAsia="Calibri"/>
          <w:b w:val="0"/>
          <w:szCs w:val="22"/>
          <w:lang w:val="hy-AM" w:eastAsia="en-US"/>
        </w:rPr>
        <w:t xml:space="preserve"> և 102</w:t>
      </w:r>
      <w:r w:rsidR="004933C8" w:rsidRPr="004933C8">
        <w:rPr>
          <w:rFonts w:eastAsia="Calibri"/>
          <w:b w:val="0"/>
          <w:szCs w:val="22"/>
          <w:lang w:val="hy-AM" w:eastAsia="en-US"/>
        </w:rPr>
        <w:t>.1</w:t>
      </w:r>
      <w:r w:rsidRPr="004118EA">
        <w:rPr>
          <w:rFonts w:eastAsia="Calibri"/>
          <w:b w:val="0"/>
          <w:szCs w:val="22"/>
          <w:lang w:val="af-ZA" w:eastAsia="en-US"/>
        </w:rPr>
        <w:t xml:space="preserve"> </w:t>
      </w:r>
      <w:r w:rsidRPr="004118EA">
        <w:rPr>
          <w:rFonts w:eastAsia="Calibri"/>
          <w:b w:val="0"/>
          <w:szCs w:val="22"/>
          <w:lang w:val="hy-AM" w:eastAsia="en-US"/>
        </w:rPr>
        <w:t>տոկոս: Նշված ցուցանիշների համե</w:t>
      </w:r>
      <w:r w:rsidRPr="004118EA">
        <w:rPr>
          <w:rFonts w:eastAsia="Calibri"/>
          <w:b w:val="0"/>
          <w:szCs w:val="22"/>
          <w:lang w:val="hy-AM" w:eastAsia="en-US"/>
        </w:rPr>
        <w:softHyphen/>
      </w:r>
      <w:r w:rsidRPr="004118EA">
        <w:rPr>
          <w:rFonts w:eastAsia="Calibri"/>
          <w:b w:val="0"/>
          <w:szCs w:val="22"/>
          <w:lang w:val="hy-AM" w:eastAsia="en-US"/>
        </w:rPr>
        <w:softHyphen/>
        <w:t>մա</w:t>
      </w:r>
      <w:r w:rsidRPr="004118EA">
        <w:rPr>
          <w:rFonts w:eastAsia="Calibri"/>
          <w:b w:val="0"/>
          <w:szCs w:val="22"/>
          <w:lang w:val="hy-AM" w:eastAsia="en-US"/>
        </w:rPr>
        <w:softHyphen/>
      </w:r>
      <w:r w:rsidRPr="004118EA">
        <w:rPr>
          <w:rFonts w:eastAsia="Calibri"/>
          <w:b w:val="0"/>
          <w:szCs w:val="22"/>
          <w:lang w:val="hy-AM" w:eastAsia="en-US"/>
        </w:rPr>
        <w:softHyphen/>
        <w:t>տու</w:t>
      </w:r>
      <w:r w:rsidRPr="004118EA">
        <w:rPr>
          <w:rFonts w:eastAsia="Calibri"/>
          <w:b w:val="0"/>
          <w:szCs w:val="22"/>
          <w:lang w:val="hy-AM" w:eastAsia="en-US"/>
        </w:rPr>
        <w:softHyphen/>
      </w:r>
      <w:r w:rsidRPr="004118EA">
        <w:rPr>
          <w:rFonts w:eastAsia="Calibri"/>
          <w:b w:val="0"/>
          <w:szCs w:val="22"/>
          <w:lang w:val="hy-AM" w:eastAsia="en-US"/>
        </w:rPr>
        <w:softHyphen/>
        <w:t>թյունը արտացոլված է սույն բացատրագրի N</w:t>
      </w:r>
      <w:r w:rsidRPr="004118EA">
        <w:rPr>
          <w:rFonts w:ascii="Calibri" w:eastAsia="Calibri" w:hAnsi="Calibri" w:cs="Calibri"/>
          <w:b w:val="0"/>
          <w:szCs w:val="22"/>
          <w:lang w:val="hy-AM" w:eastAsia="en-US"/>
        </w:rPr>
        <w:t> </w:t>
      </w:r>
      <w:r w:rsidRPr="004118EA">
        <w:rPr>
          <w:rFonts w:eastAsia="Calibri"/>
          <w:b w:val="0"/>
          <w:szCs w:val="22"/>
          <w:lang w:val="hy-AM" w:eastAsia="en-US"/>
        </w:rPr>
        <w:t>2 աղյուսակում: Ստորև ներկայաց</w:t>
      </w:r>
      <w:r w:rsidRPr="004118EA">
        <w:rPr>
          <w:rFonts w:eastAsia="Calibri"/>
          <w:b w:val="0"/>
          <w:szCs w:val="22"/>
          <w:lang w:val="hy-AM" w:eastAsia="en-US"/>
        </w:rPr>
        <w:softHyphen/>
        <w:t>վում է վերը նշված ծախսերի վերծանումն ըստ բյուջետային ծախսերի տնտեսագիտական դասա</w:t>
      </w:r>
      <w:r w:rsidRPr="004118EA">
        <w:rPr>
          <w:rFonts w:eastAsia="Calibri"/>
          <w:b w:val="0"/>
          <w:szCs w:val="22"/>
          <w:lang w:val="hy-AM" w:eastAsia="en-US"/>
        </w:rPr>
        <w:softHyphen/>
        <w:t>կարգման հիմնա</w:t>
      </w:r>
      <w:r w:rsidRPr="004118EA">
        <w:rPr>
          <w:rFonts w:eastAsia="Calibri"/>
          <w:b w:val="0"/>
          <w:szCs w:val="22"/>
          <w:lang w:val="hy-AM" w:eastAsia="en-US"/>
        </w:rPr>
        <w:softHyphen/>
        <w:t xml:space="preserve">կան հոդվածների: </w:t>
      </w:r>
    </w:p>
    <w:p w:rsidR="00236B20" w:rsidRPr="004118EA" w:rsidRDefault="00236B20" w:rsidP="007730AA">
      <w:pPr>
        <w:widowControl w:val="0"/>
        <w:tabs>
          <w:tab w:val="left" w:pos="851"/>
          <w:tab w:val="left" w:pos="993"/>
        </w:tabs>
        <w:spacing w:before="0" w:line="276" w:lineRule="auto"/>
        <w:ind w:firstLine="0"/>
        <w:rPr>
          <w:rFonts w:cs="Sylfaen"/>
          <w:szCs w:val="22"/>
          <w:lang w:val="af-ZA"/>
        </w:rPr>
      </w:pPr>
      <w:r w:rsidRPr="004118EA">
        <w:rPr>
          <w:rFonts w:cs="Sylfaen"/>
          <w:b w:val="0"/>
          <w:szCs w:val="22"/>
          <w:lang w:val="hy-AM"/>
        </w:rPr>
        <w:t xml:space="preserve"> </w:t>
      </w:r>
      <w:r w:rsidRPr="004118EA">
        <w:rPr>
          <w:rFonts w:cs="Sylfaen"/>
          <w:b w:val="0"/>
          <w:szCs w:val="22"/>
          <w:lang w:val="hy-AM"/>
        </w:rPr>
        <w:tab/>
        <w:t>Աշխատավարձի</w:t>
      </w:r>
      <w:r w:rsidRPr="004118EA">
        <w:rPr>
          <w:rFonts w:cs="Sylfaen"/>
          <w:b w:val="0"/>
          <w:szCs w:val="22"/>
          <w:lang w:val="af-ZA"/>
        </w:rPr>
        <w:t xml:space="preserve"> </w:t>
      </w:r>
      <w:r w:rsidRPr="004118EA">
        <w:rPr>
          <w:rFonts w:cs="Sylfaen"/>
          <w:b w:val="0"/>
          <w:szCs w:val="22"/>
          <w:lang w:val="hy-AM"/>
        </w:rPr>
        <w:t>ֆոնդ</w:t>
      </w:r>
    </w:p>
    <w:p w:rsidR="00236B20" w:rsidRPr="004118EA" w:rsidRDefault="00236B20" w:rsidP="007730AA">
      <w:pPr>
        <w:spacing w:before="0" w:line="276" w:lineRule="auto"/>
        <w:ind w:firstLine="720"/>
        <w:rPr>
          <w:rFonts w:eastAsia="Calibri"/>
          <w:b w:val="0"/>
          <w:color w:val="7F7F7F"/>
          <w:szCs w:val="22"/>
          <w:lang w:val="af-ZA" w:eastAsia="en-US"/>
        </w:rPr>
      </w:pPr>
      <w:r w:rsidRPr="004118EA">
        <w:rPr>
          <w:rFonts w:eastAsia="Calibri"/>
          <w:b w:val="0"/>
          <w:color w:val="C00000"/>
          <w:szCs w:val="22"/>
          <w:lang w:val="hy-AM" w:eastAsia="en-US"/>
        </w:rPr>
        <w:t xml:space="preserve"> </w:t>
      </w:r>
      <w:r w:rsidRPr="004118EA">
        <w:rPr>
          <w:rFonts w:eastAsia="Calibri"/>
          <w:b w:val="0"/>
          <w:szCs w:val="22"/>
          <w:lang w:val="hy-AM" w:eastAsia="en-US"/>
        </w:rPr>
        <w:t>Հանրային</w:t>
      </w:r>
      <w:r w:rsidRPr="004118EA">
        <w:rPr>
          <w:rFonts w:eastAsia="Calibri"/>
          <w:b w:val="0"/>
          <w:szCs w:val="22"/>
          <w:lang w:val="af-ZA" w:eastAsia="en-US"/>
        </w:rPr>
        <w:t xml:space="preserve"> </w:t>
      </w:r>
      <w:r w:rsidRPr="004118EA">
        <w:rPr>
          <w:rFonts w:eastAsia="Calibri"/>
          <w:b w:val="0"/>
          <w:szCs w:val="22"/>
          <w:lang w:val="hy-AM" w:eastAsia="en-US"/>
        </w:rPr>
        <w:t>իշխանության</w:t>
      </w:r>
      <w:r w:rsidRPr="004118EA">
        <w:rPr>
          <w:rFonts w:eastAsia="Calibri"/>
          <w:b w:val="0"/>
          <w:szCs w:val="22"/>
          <w:lang w:val="af-ZA" w:eastAsia="en-US"/>
        </w:rPr>
        <w:t xml:space="preserve"> </w:t>
      </w:r>
      <w:r w:rsidRPr="004118EA">
        <w:rPr>
          <w:rFonts w:eastAsia="Calibri"/>
          <w:b w:val="0"/>
          <w:szCs w:val="22"/>
          <w:lang w:val="hy-AM" w:eastAsia="en-US"/>
        </w:rPr>
        <w:t>մարմին</w:t>
      </w:r>
      <w:r w:rsidRPr="004118EA">
        <w:rPr>
          <w:rFonts w:eastAsia="Calibri"/>
          <w:b w:val="0"/>
          <w:szCs w:val="22"/>
          <w:lang w:val="af-ZA" w:eastAsia="en-US"/>
        </w:rPr>
        <w:softHyphen/>
      </w:r>
      <w:r w:rsidRPr="004118EA">
        <w:rPr>
          <w:rFonts w:eastAsia="Calibri"/>
          <w:b w:val="0"/>
          <w:szCs w:val="22"/>
          <w:lang w:val="hy-AM" w:eastAsia="en-US"/>
        </w:rPr>
        <w:t>նե</w:t>
      </w:r>
      <w:r w:rsidRPr="004118EA">
        <w:rPr>
          <w:rFonts w:eastAsia="Calibri"/>
          <w:b w:val="0"/>
          <w:szCs w:val="22"/>
          <w:lang w:val="af-ZA" w:eastAsia="en-US"/>
        </w:rPr>
        <w:softHyphen/>
      </w:r>
      <w:r w:rsidRPr="004118EA">
        <w:rPr>
          <w:rFonts w:eastAsia="Calibri"/>
          <w:b w:val="0"/>
          <w:szCs w:val="22"/>
          <w:lang w:val="hy-AM" w:eastAsia="en-US"/>
        </w:rPr>
        <w:t>րի</w:t>
      </w:r>
      <w:r w:rsidRPr="004118EA">
        <w:rPr>
          <w:rFonts w:eastAsia="Calibri"/>
          <w:b w:val="0"/>
          <w:szCs w:val="22"/>
          <w:lang w:val="af-ZA" w:eastAsia="en-US"/>
        </w:rPr>
        <w:t xml:space="preserve"> </w:t>
      </w:r>
      <w:r w:rsidRPr="004118EA">
        <w:rPr>
          <w:rFonts w:eastAsia="Calibri"/>
          <w:b w:val="0"/>
          <w:szCs w:val="22"/>
          <w:lang w:val="hy-AM" w:eastAsia="en-US"/>
        </w:rPr>
        <w:t>աշխատողների</w:t>
      </w:r>
      <w:r w:rsidRPr="004118EA">
        <w:rPr>
          <w:rFonts w:eastAsia="Calibri"/>
          <w:b w:val="0"/>
          <w:szCs w:val="22"/>
          <w:lang w:val="af-ZA" w:eastAsia="en-US"/>
        </w:rPr>
        <w:t xml:space="preserve"> </w:t>
      </w:r>
      <w:r w:rsidRPr="004118EA">
        <w:rPr>
          <w:rFonts w:eastAsia="Calibri"/>
          <w:b w:val="0"/>
          <w:szCs w:val="22"/>
          <w:lang w:val="hy-AM" w:eastAsia="en-US"/>
        </w:rPr>
        <w:t>աշխատա</w:t>
      </w:r>
      <w:r w:rsidRPr="004118EA">
        <w:rPr>
          <w:rFonts w:eastAsia="Calibri"/>
          <w:b w:val="0"/>
          <w:szCs w:val="22"/>
          <w:lang w:val="af-ZA" w:eastAsia="en-US"/>
        </w:rPr>
        <w:softHyphen/>
      </w:r>
      <w:r w:rsidRPr="004118EA">
        <w:rPr>
          <w:rFonts w:eastAsia="Calibri"/>
          <w:b w:val="0"/>
          <w:szCs w:val="22"/>
          <w:lang w:val="hy-AM" w:eastAsia="en-US"/>
        </w:rPr>
        <w:t>վարձի</w:t>
      </w:r>
      <w:r w:rsidRPr="004118EA">
        <w:rPr>
          <w:rFonts w:eastAsia="Calibri"/>
          <w:b w:val="0"/>
          <w:szCs w:val="22"/>
          <w:lang w:val="af-ZA" w:eastAsia="en-US"/>
        </w:rPr>
        <w:t xml:space="preserve"> </w:t>
      </w:r>
      <w:r w:rsidRPr="004118EA">
        <w:rPr>
          <w:rFonts w:eastAsia="Calibri"/>
          <w:b w:val="0"/>
          <w:szCs w:val="22"/>
          <w:lang w:val="hy-AM" w:eastAsia="en-US"/>
        </w:rPr>
        <w:t>ֆոնդը</w:t>
      </w:r>
      <w:r w:rsidRPr="004118EA">
        <w:rPr>
          <w:rFonts w:eastAsia="Calibri"/>
          <w:b w:val="0"/>
          <w:szCs w:val="22"/>
          <w:lang w:val="af-ZA" w:eastAsia="en-US"/>
        </w:rPr>
        <w:t xml:space="preserve"> 20</w:t>
      </w:r>
      <w:r w:rsidRPr="004118EA">
        <w:rPr>
          <w:rFonts w:eastAsia="Calibri"/>
          <w:b w:val="0"/>
          <w:szCs w:val="22"/>
          <w:lang w:val="hy-AM" w:eastAsia="en-US"/>
        </w:rPr>
        <w:t>21</w:t>
      </w:r>
      <w:r w:rsidRPr="004118EA">
        <w:rPr>
          <w:rFonts w:eastAsia="Calibri"/>
          <w:b w:val="0"/>
          <w:szCs w:val="22"/>
          <w:lang w:val="af-ZA" w:eastAsia="en-US"/>
        </w:rPr>
        <w:t xml:space="preserve"> </w:t>
      </w:r>
      <w:r w:rsidRPr="004118EA">
        <w:rPr>
          <w:rFonts w:eastAsia="Calibri"/>
          <w:b w:val="0"/>
          <w:szCs w:val="22"/>
          <w:lang w:val="hy-AM" w:eastAsia="en-US"/>
        </w:rPr>
        <w:t>թվականի</w:t>
      </w:r>
      <w:r w:rsidRPr="004118EA">
        <w:rPr>
          <w:rFonts w:eastAsia="Calibri"/>
          <w:b w:val="0"/>
          <w:szCs w:val="22"/>
          <w:lang w:val="af-ZA" w:eastAsia="en-US"/>
        </w:rPr>
        <w:t xml:space="preserve"> </w:t>
      </w:r>
      <w:r w:rsidRPr="004118EA">
        <w:rPr>
          <w:rFonts w:eastAsia="Calibri"/>
          <w:b w:val="0"/>
          <w:szCs w:val="22"/>
          <w:lang w:val="hy-AM" w:eastAsia="en-US"/>
        </w:rPr>
        <w:t>համար</w:t>
      </w:r>
      <w:r w:rsidRPr="004118EA">
        <w:rPr>
          <w:rFonts w:eastAsia="Calibri"/>
          <w:b w:val="0"/>
          <w:szCs w:val="22"/>
          <w:lang w:val="af-ZA" w:eastAsia="en-US"/>
        </w:rPr>
        <w:t xml:space="preserve"> </w:t>
      </w:r>
      <w:r w:rsidRPr="004118EA">
        <w:rPr>
          <w:rFonts w:eastAsia="Calibri"/>
          <w:b w:val="0"/>
          <w:szCs w:val="22"/>
          <w:lang w:val="hy-AM" w:eastAsia="en-US"/>
        </w:rPr>
        <w:t>ծրագրավորվել</w:t>
      </w:r>
      <w:r w:rsidRPr="004118EA">
        <w:rPr>
          <w:rFonts w:eastAsia="Calibri"/>
          <w:b w:val="0"/>
          <w:szCs w:val="22"/>
          <w:lang w:val="af-ZA" w:eastAsia="en-US"/>
        </w:rPr>
        <w:t xml:space="preserve"> </w:t>
      </w:r>
      <w:r w:rsidRPr="004118EA">
        <w:rPr>
          <w:rFonts w:eastAsia="Calibri"/>
          <w:b w:val="0"/>
          <w:szCs w:val="22"/>
          <w:lang w:val="hy-AM" w:eastAsia="en-US"/>
        </w:rPr>
        <w:t>է  89</w:t>
      </w:r>
      <w:r w:rsidR="004933C8" w:rsidRPr="004933C8">
        <w:rPr>
          <w:rFonts w:eastAsia="Calibri"/>
          <w:b w:val="0"/>
          <w:szCs w:val="22"/>
          <w:lang w:val="af-ZA" w:eastAsia="en-US"/>
        </w:rPr>
        <w:t>,802.</w:t>
      </w:r>
      <w:r w:rsidR="004933C8" w:rsidRPr="00E63472">
        <w:rPr>
          <w:rFonts w:eastAsia="Calibri"/>
          <w:b w:val="0"/>
          <w:szCs w:val="22"/>
          <w:lang w:val="af-ZA" w:eastAsia="en-US"/>
        </w:rPr>
        <w:t>0</w:t>
      </w:r>
      <w:r w:rsidRPr="004118EA">
        <w:rPr>
          <w:rFonts w:eastAsia="Calibri"/>
          <w:b w:val="0"/>
          <w:szCs w:val="22"/>
          <w:lang w:val="hy-AM" w:eastAsia="en-US"/>
        </w:rPr>
        <w:t xml:space="preserve"> </w:t>
      </w:r>
      <w:r w:rsidRPr="004118EA">
        <w:rPr>
          <w:rFonts w:eastAsia="Calibri"/>
          <w:b w:val="0"/>
          <w:szCs w:val="22"/>
          <w:lang w:val="af-ZA" w:eastAsia="en-US"/>
        </w:rPr>
        <w:t xml:space="preserve">մլն </w:t>
      </w:r>
      <w:r w:rsidRPr="004118EA">
        <w:rPr>
          <w:rFonts w:eastAsia="Calibri"/>
          <w:b w:val="0"/>
          <w:szCs w:val="22"/>
          <w:lang w:val="hy-AM" w:eastAsia="en-US"/>
        </w:rPr>
        <w:t>դրամի</w:t>
      </w:r>
      <w:r w:rsidRPr="004118EA">
        <w:rPr>
          <w:rFonts w:eastAsia="Calibri"/>
          <w:b w:val="0"/>
          <w:szCs w:val="22"/>
          <w:lang w:val="af-ZA" w:eastAsia="en-US"/>
        </w:rPr>
        <w:t xml:space="preserve"> </w:t>
      </w:r>
      <w:r w:rsidRPr="004118EA">
        <w:rPr>
          <w:rFonts w:eastAsia="Calibri"/>
          <w:b w:val="0"/>
          <w:szCs w:val="22"/>
          <w:lang w:val="hy-AM" w:eastAsia="en-US"/>
        </w:rPr>
        <w:t>չափով</w:t>
      </w:r>
      <w:r w:rsidRPr="004118EA">
        <w:rPr>
          <w:rFonts w:eastAsia="Calibri"/>
          <w:b w:val="0"/>
          <w:szCs w:val="22"/>
          <w:lang w:val="af-ZA" w:eastAsia="en-US"/>
        </w:rPr>
        <w:t xml:space="preserve">, </w:t>
      </w:r>
      <w:r w:rsidRPr="004118EA">
        <w:rPr>
          <w:rFonts w:eastAsia="Calibri"/>
          <w:b w:val="0"/>
          <w:szCs w:val="22"/>
          <w:lang w:val="hy-AM" w:eastAsia="en-US"/>
        </w:rPr>
        <w:t>որը</w:t>
      </w:r>
      <w:r w:rsidRPr="004118EA">
        <w:rPr>
          <w:rFonts w:eastAsia="Calibri"/>
          <w:b w:val="0"/>
          <w:szCs w:val="22"/>
          <w:lang w:val="af-ZA" w:eastAsia="en-US"/>
        </w:rPr>
        <w:t xml:space="preserve"> 20</w:t>
      </w:r>
      <w:r w:rsidRPr="004118EA">
        <w:rPr>
          <w:rFonts w:eastAsia="Calibri"/>
          <w:b w:val="0"/>
          <w:szCs w:val="22"/>
          <w:lang w:val="hy-AM" w:eastAsia="en-US"/>
        </w:rPr>
        <w:t>20</w:t>
      </w:r>
      <w:r w:rsidRPr="004118EA">
        <w:rPr>
          <w:rFonts w:eastAsia="Calibri"/>
          <w:b w:val="0"/>
          <w:szCs w:val="22"/>
          <w:lang w:val="af-ZA" w:eastAsia="en-US"/>
        </w:rPr>
        <w:t xml:space="preserve"> </w:t>
      </w:r>
      <w:r w:rsidRPr="004118EA">
        <w:rPr>
          <w:rFonts w:eastAsia="Calibri"/>
          <w:b w:val="0"/>
          <w:szCs w:val="22"/>
          <w:lang w:val="hy-AM" w:eastAsia="en-US"/>
        </w:rPr>
        <w:t>թվականի</w:t>
      </w:r>
      <w:r w:rsidRPr="004118EA">
        <w:rPr>
          <w:rFonts w:eastAsia="Calibri"/>
          <w:b w:val="0"/>
          <w:szCs w:val="22"/>
          <w:lang w:val="af-ZA" w:eastAsia="en-US"/>
        </w:rPr>
        <w:t xml:space="preserve"> </w:t>
      </w:r>
      <w:r w:rsidRPr="004118EA">
        <w:rPr>
          <w:rFonts w:eastAsia="Calibri"/>
          <w:b w:val="0"/>
          <w:szCs w:val="22"/>
          <w:lang w:val="hy-AM" w:eastAsia="en-US"/>
        </w:rPr>
        <w:t>ծրագրավորվածից</w:t>
      </w:r>
      <w:r w:rsidRPr="004118EA">
        <w:rPr>
          <w:rFonts w:eastAsia="Calibri"/>
          <w:b w:val="0"/>
          <w:szCs w:val="22"/>
          <w:lang w:val="af-ZA" w:eastAsia="en-US"/>
        </w:rPr>
        <w:t xml:space="preserve"> ավել</w:t>
      </w:r>
      <w:r w:rsidRPr="004118EA">
        <w:rPr>
          <w:rFonts w:eastAsia="Calibri"/>
          <w:b w:val="0"/>
          <w:szCs w:val="22"/>
          <w:lang w:val="hy-AM" w:eastAsia="en-US"/>
        </w:rPr>
        <w:t>ի</w:t>
      </w:r>
      <w:r w:rsidRPr="004118EA">
        <w:rPr>
          <w:rFonts w:eastAsia="Calibri"/>
          <w:b w:val="0"/>
          <w:szCs w:val="22"/>
          <w:lang w:val="af-ZA" w:eastAsia="en-US"/>
        </w:rPr>
        <w:t xml:space="preserve"> է 2</w:t>
      </w:r>
      <w:r w:rsidR="004933C8" w:rsidRPr="004933C8">
        <w:rPr>
          <w:rFonts w:eastAsia="Calibri"/>
          <w:b w:val="0"/>
          <w:szCs w:val="22"/>
          <w:lang w:val="af-ZA" w:eastAsia="en-US"/>
        </w:rPr>
        <w:t>,</w:t>
      </w:r>
      <w:r w:rsidRPr="004118EA">
        <w:rPr>
          <w:rFonts w:eastAsia="Calibri"/>
          <w:b w:val="0"/>
          <w:szCs w:val="22"/>
          <w:lang w:val="af-ZA" w:eastAsia="en-US"/>
        </w:rPr>
        <w:t>4</w:t>
      </w:r>
      <w:r w:rsidR="00E63472" w:rsidRPr="00E63472">
        <w:rPr>
          <w:rFonts w:eastAsia="Calibri"/>
          <w:b w:val="0"/>
          <w:szCs w:val="22"/>
          <w:lang w:val="af-ZA" w:eastAsia="en-US"/>
        </w:rPr>
        <w:t>59</w:t>
      </w:r>
      <w:r w:rsidR="004933C8" w:rsidRPr="004933C8">
        <w:rPr>
          <w:rFonts w:eastAsia="Calibri"/>
          <w:b w:val="0"/>
          <w:szCs w:val="22"/>
          <w:lang w:val="af-ZA" w:eastAsia="en-US"/>
        </w:rPr>
        <w:t>.</w:t>
      </w:r>
      <w:r w:rsidR="00E63472" w:rsidRPr="00E63472">
        <w:rPr>
          <w:rFonts w:eastAsia="Calibri"/>
          <w:b w:val="0"/>
          <w:szCs w:val="22"/>
          <w:lang w:val="af-ZA" w:eastAsia="en-US"/>
        </w:rPr>
        <w:t xml:space="preserve">1 </w:t>
      </w:r>
      <w:r w:rsidRPr="004118EA">
        <w:rPr>
          <w:rFonts w:eastAsia="Calibri"/>
          <w:b w:val="0"/>
          <w:szCs w:val="22"/>
          <w:lang w:val="hy-AM" w:eastAsia="en-US"/>
        </w:rPr>
        <w:t>մլն</w:t>
      </w:r>
      <w:r w:rsidRPr="004118EA">
        <w:rPr>
          <w:rFonts w:eastAsia="Calibri"/>
          <w:b w:val="0"/>
          <w:szCs w:val="22"/>
          <w:lang w:val="af-ZA" w:eastAsia="en-US"/>
        </w:rPr>
        <w:t xml:space="preserve"> </w:t>
      </w:r>
      <w:r w:rsidRPr="004118EA">
        <w:rPr>
          <w:rFonts w:eastAsia="Calibri"/>
          <w:b w:val="0"/>
          <w:szCs w:val="22"/>
          <w:lang w:val="hy-AM" w:eastAsia="en-US"/>
        </w:rPr>
        <w:t>դրամով, որը հիմնականում պայմանավորված է օրենսդրական կարգավորումների արդյունքում առանձին պետական մարմիններում պետական պաշտոն զբաղեցնող անձանց թվաքանակի ավելացմամբ</w:t>
      </w:r>
      <w:r w:rsidRPr="004118EA">
        <w:rPr>
          <w:rFonts w:eastAsia="Calibri"/>
          <w:b w:val="0"/>
          <w:szCs w:val="22"/>
          <w:lang w:val="af-ZA" w:eastAsia="en-US"/>
        </w:rPr>
        <w:t>:</w:t>
      </w:r>
    </w:p>
    <w:p w:rsidR="00236B20" w:rsidRPr="004118EA" w:rsidRDefault="00236B20" w:rsidP="007730AA">
      <w:pPr>
        <w:spacing w:before="0" w:line="276" w:lineRule="auto"/>
        <w:ind w:firstLine="720"/>
        <w:rPr>
          <w:rFonts w:eastAsia="Calibri" w:cs="GHEA Grapalat"/>
          <w:bCs/>
          <w:szCs w:val="22"/>
          <w:lang w:val="hy-AM" w:eastAsia="en-US"/>
        </w:rPr>
      </w:pPr>
      <w:r w:rsidRPr="004118EA">
        <w:rPr>
          <w:rFonts w:eastAsia="Calibri" w:cs="Sylfaen"/>
          <w:b w:val="0"/>
          <w:szCs w:val="22"/>
          <w:lang w:val="en-US" w:eastAsia="en-US"/>
        </w:rPr>
        <w:t>Աշխատավարձի</w:t>
      </w:r>
      <w:r w:rsidRPr="004118EA">
        <w:rPr>
          <w:rFonts w:eastAsia="Calibri" w:cs="Sylfaen"/>
          <w:b w:val="0"/>
          <w:szCs w:val="22"/>
          <w:lang w:val="af-ZA" w:eastAsia="en-US"/>
        </w:rPr>
        <w:t xml:space="preserve"> </w:t>
      </w:r>
      <w:r w:rsidRPr="004118EA">
        <w:rPr>
          <w:rFonts w:eastAsia="Calibri" w:cs="Sylfaen"/>
          <w:b w:val="0"/>
          <w:szCs w:val="22"/>
          <w:lang w:val="en-US" w:eastAsia="en-US"/>
        </w:rPr>
        <w:t>ֆոնդ</w:t>
      </w:r>
      <w:r w:rsidRPr="004118EA">
        <w:rPr>
          <w:rFonts w:eastAsia="Calibri" w:cs="Sylfaen"/>
          <w:b w:val="0"/>
          <w:szCs w:val="22"/>
          <w:lang w:val="hy-AM" w:eastAsia="en-US"/>
        </w:rPr>
        <w:t>ը</w:t>
      </w:r>
      <w:r w:rsidRPr="004118EA">
        <w:rPr>
          <w:rFonts w:eastAsia="Calibri"/>
          <w:b w:val="0"/>
          <w:szCs w:val="22"/>
          <w:lang w:val="hy-AM" w:eastAsia="en-US"/>
        </w:rPr>
        <w:t xml:space="preserve"> հաշվարկվել է</w:t>
      </w:r>
      <w:r w:rsidRPr="004118EA">
        <w:rPr>
          <w:rFonts w:eastAsia="Calibri"/>
          <w:b w:val="0"/>
          <w:szCs w:val="22"/>
          <w:lang w:val="af-ZA" w:eastAsia="en-US"/>
        </w:rPr>
        <w:t xml:space="preserve"> «</w:t>
      </w:r>
      <w:r w:rsidRPr="004118EA">
        <w:rPr>
          <w:rFonts w:eastAsia="Calibri"/>
          <w:b w:val="0"/>
          <w:szCs w:val="22"/>
          <w:lang w:val="en-US" w:eastAsia="en-US"/>
        </w:rPr>
        <w:t>Պետական</w:t>
      </w:r>
      <w:r w:rsidRPr="004118EA">
        <w:rPr>
          <w:rFonts w:eastAsia="Calibri"/>
          <w:b w:val="0"/>
          <w:szCs w:val="22"/>
          <w:lang w:val="hy-AM" w:eastAsia="en-US"/>
        </w:rPr>
        <w:t xml:space="preserve"> </w:t>
      </w:r>
      <w:r w:rsidRPr="004118EA">
        <w:rPr>
          <w:rFonts w:eastAsia="Calibri"/>
          <w:b w:val="0"/>
          <w:szCs w:val="22"/>
          <w:lang w:val="en-US" w:eastAsia="en-US"/>
        </w:rPr>
        <w:t>պաշտոններ</w:t>
      </w:r>
      <w:r w:rsidRPr="004118EA">
        <w:rPr>
          <w:rFonts w:eastAsia="Calibri"/>
          <w:b w:val="0"/>
          <w:szCs w:val="22"/>
          <w:lang w:val="af-ZA" w:eastAsia="en-US"/>
        </w:rPr>
        <w:t xml:space="preserve"> </w:t>
      </w:r>
      <w:r w:rsidRPr="004118EA">
        <w:rPr>
          <w:rFonts w:eastAsia="Calibri"/>
          <w:b w:val="0"/>
          <w:szCs w:val="22"/>
          <w:lang w:val="hy-AM" w:eastAsia="en-US"/>
        </w:rPr>
        <w:t xml:space="preserve">և պետական ծառայության պաշտոններ </w:t>
      </w:r>
      <w:r w:rsidRPr="004118EA">
        <w:rPr>
          <w:rFonts w:eastAsia="Calibri"/>
          <w:b w:val="0"/>
          <w:szCs w:val="22"/>
          <w:lang w:val="en-US" w:eastAsia="en-US"/>
        </w:rPr>
        <w:t>զբաղեցնող</w:t>
      </w:r>
      <w:r w:rsidRPr="004118EA">
        <w:rPr>
          <w:rFonts w:eastAsia="Calibri"/>
          <w:b w:val="0"/>
          <w:szCs w:val="22"/>
          <w:lang w:val="af-ZA" w:eastAsia="en-US"/>
        </w:rPr>
        <w:t xml:space="preserve"> </w:t>
      </w:r>
      <w:r w:rsidRPr="004118EA">
        <w:rPr>
          <w:rFonts w:eastAsia="Calibri"/>
          <w:b w:val="0"/>
          <w:szCs w:val="22"/>
          <w:lang w:val="en-US" w:eastAsia="en-US"/>
        </w:rPr>
        <w:t>անձանց</w:t>
      </w:r>
      <w:r w:rsidRPr="004118EA">
        <w:rPr>
          <w:rFonts w:eastAsia="Calibri"/>
          <w:b w:val="0"/>
          <w:szCs w:val="22"/>
          <w:lang w:val="af-ZA" w:eastAsia="en-US"/>
        </w:rPr>
        <w:t xml:space="preserve"> </w:t>
      </w:r>
      <w:r w:rsidRPr="004118EA">
        <w:rPr>
          <w:rFonts w:eastAsia="Calibri"/>
          <w:b w:val="0"/>
          <w:szCs w:val="22"/>
          <w:lang w:val="en-US" w:eastAsia="en-US"/>
        </w:rPr>
        <w:t>վարձատրության</w:t>
      </w:r>
      <w:r w:rsidRPr="004118EA">
        <w:rPr>
          <w:rFonts w:eastAsia="Calibri"/>
          <w:b w:val="0"/>
          <w:szCs w:val="22"/>
          <w:lang w:val="af-ZA" w:eastAsia="en-US"/>
        </w:rPr>
        <w:t xml:space="preserve"> </w:t>
      </w:r>
      <w:r w:rsidRPr="004118EA">
        <w:rPr>
          <w:rFonts w:eastAsia="Calibri"/>
          <w:b w:val="0"/>
          <w:szCs w:val="22"/>
          <w:lang w:val="en-US" w:eastAsia="en-US"/>
        </w:rPr>
        <w:t>մասին</w:t>
      </w:r>
      <w:r w:rsidRPr="004118EA">
        <w:rPr>
          <w:rFonts w:eastAsia="Calibri"/>
          <w:b w:val="0"/>
          <w:szCs w:val="22"/>
          <w:lang w:val="af-ZA" w:eastAsia="en-US"/>
        </w:rPr>
        <w:t xml:space="preserve">» </w:t>
      </w:r>
      <w:r w:rsidRPr="004118EA">
        <w:rPr>
          <w:rFonts w:eastAsia="Calibri"/>
          <w:b w:val="0"/>
          <w:szCs w:val="22"/>
          <w:lang w:val="en-US" w:eastAsia="en-US"/>
        </w:rPr>
        <w:t>ՀՀ</w:t>
      </w:r>
      <w:r w:rsidRPr="004118EA">
        <w:rPr>
          <w:rFonts w:eastAsia="Calibri"/>
          <w:b w:val="0"/>
          <w:szCs w:val="22"/>
          <w:lang w:val="af-ZA" w:eastAsia="en-US"/>
        </w:rPr>
        <w:t xml:space="preserve"> </w:t>
      </w:r>
      <w:r w:rsidRPr="004118EA">
        <w:rPr>
          <w:rFonts w:eastAsia="Calibri"/>
          <w:b w:val="0"/>
          <w:szCs w:val="22"/>
          <w:lang w:val="en-US" w:eastAsia="en-US"/>
        </w:rPr>
        <w:t>օրենքի</w:t>
      </w:r>
      <w:r w:rsidRPr="004118EA">
        <w:rPr>
          <w:rFonts w:eastAsia="Calibri"/>
          <w:b w:val="0"/>
          <w:szCs w:val="22"/>
          <w:lang w:val="af-ZA" w:eastAsia="en-US"/>
        </w:rPr>
        <w:t xml:space="preserve"> </w:t>
      </w:r>
      <w:r w:rsidRPr="004118EA">
        <w:rPr>
          <w:rFonts w:eastAsia="Calibri"/>
          <w:b w:val="0"/>
          <w:szCs w:val="22"/>
          <w:lang w:val="en-US" w:eastAsia="en-US"/>
        </w:rPr>
        <w:t>դրույթներին</w:t>
      </w:r>
      <w:r w:rsidRPr="004118EA">
        <w:rPr>
          <w:rFonts w:eastAsia="Calibri"/>
          <w:b w:val="0"/>
          <w:szCs w:val="22"/>
          <w:lang w:val="af-ZA" w:eastAsia="en-US"/>
        </w:rPr>
        <w:t xml:space="preserve"> </w:t>
      </w:r>
      <w:r w:rsidRPr="004118EA">
        <w:rPr>
          <w:rFonts w:eastAsia="Calibri"/>
          <w:b w:val="0"/>
          <w:szCs w:val="22"/>
          <w:lang w:val="en-US" w:eastAsia="en-US"/>
        </w:rPr>
        <w:t>և</w:t>
      </w:r>
      <w:r w:rsidRPr="004118EA">
        <w:rPr>
          <w:rFonts w:eastAsia="Calibri"/>
          <w:b w:val="0"/>
          <w:szCs w:val="22"/>
          <w:lang w:val="af-ZA" w:eastAsia="en-US"/>
        </w:rPr>
        <w:t xml:space="preserve"> </w:t>
      </w:r>
      <w:r w:rsidRPr="004118EA">
        <w:rPr>
          <w:rFonts w:eastAsia="Calibri"/>
          <w:b w:val="0"/>
          <w:szCs w:val="22"/>
          <w:lang w:val="en-US" w:eastAsia="en-US"/>
        </w:rPr>
        <w:t>ՀՀ</w:t>
      </w:r>
      <w:r w:rsidRPr="004118EA">
        <w:rPr>
          <w:rFonts w:eastAsia="Calibri"/>
          <w:b w:val="0"/>
          <w:szCs w:val="22"/>
          <w:lang w:val="af-ZA" w:eastAsia="en-US"/>
        </w:rPr>
        <w:t xml:space="preserve"> </w:t>
      </w:r>
      <w:r w:rsidRPr="004118EA">
        <w:rPr>
          <w:rFonts w:eastAsia="Calibri"/>
          <w:b w:val="0"/>
          <w:szCs w:val="22"/>
          <w:lang w:val="en-US" w:eastAsia="en-US"/>
        </w:rPr>
        <w:t>կառավարության</w:t>
      </w:r>
      <w:r w:rsidRPr="004118EA">
        <w:rPr>
          <w:rFonts w:eastAsia="Calibri"/>
          <w:b w:val="0"/>
          <w:szCs w:val="22"/>
          <w:lang w:val="af-ZA" w:eastAsia="en-US"/>
        </w:rPr>
        <w:t xml:space="preserve"> 2014 </w:t>
      </w:r>
      <w:r w:rsidRPr="004118EA">
        <w:rPr>
          <w:rFonts w:eastAsia="Calibri"/>
          <w:b w:val="0"/>
          <w:szCs w:val="22"/>
          <w:lang w:val="en-US" w:eastAsia="en-US"/>
        </w:rPr>
        <w:t>թվականի</w:t>
      </w:r>
      <w:r w:rsidRPr="004118EA">
        <w:rPr>
          <w:rFonts w:eastAsia="Calibri"/>
          <w:b w:val="0"/>
          <w:szCs w:val="22"/>
          <w:lang w:val="af-ZA" w:eastAsia="en-US"/>
        </w:rPr>
        <w:t xml:space="preserve"> </w:t>
      </w:r>
      <w:r w:rsidRPr="004118EA">
        <w:rPr>
          <w:rFonts w:eastAsia="Calibri"/>
          <w:b w:val="0"/>
          <w:szCs w:val="22"/>
          <w:lang w:val="en-US" w:eastAsia="en-US"/>
        </w:rPr>
        <w:t>հուլիսի</w:t>
      </w:r>
      <w:r w:rsidRPr="004118EA">
        <w:rPr>
          <w:rFonts w:eastAsia="Calibri"/>
          <w:b w:val="0"/>
          <w:szCs w:val="22"/>
          <w:lang w:val="af-ZA" w:eastAsia="en-US"/>
        </w:rPr>
        <w:t xml:space="preserve"> 3-</w:t>
      </w:r>
      <w:r w:rsidRPr="004118EA">
        <w:rPr>
          <w:rFonts w:eastAsia="Calibri"/>
          <w:b w:val="0"/>
          <w:szCs w:val="22"/>
          <w:lang w:val="en-US" w:eastAsia="en-US"/>
        </w:rPr>
        <w:t>ի</w:t>
      </w:r>
      <w:r w:rsidRPr="004118EA">
        <w:rPr>
          <w:rFonts w:eastAsia="Calibri"/>
          <w:b w:val="0"/>
          <w:szCs w:val="22"/>
          <w:lang w:val="af-ZA" w:eastAsia="en-US"/>
        </w:rPr>
        <w:t xml:space="preserve"> «</w:t>
      </w:r>
      <w:r w:rsidRPr="004118EA">
        <w:rPr>
          <w:rFonts w:eastAsia="Calibri"/>
          <w:b w:val="0"/>
          <w:szCs w:val="22"/>
          <w:lang w:val="en-US" w:eastAsia="en-US"/>
        </w:rPr>
        <w:t>Պետական</w:t>
      </w:r>
      <w:r w:rsidRPr="004118EA">
        <w:rPr>
          <w:rFonts w:eastAsia="Calibri"/>
          <w:b w:val="0"/>
          <w:szCs w:val="22"/>
          <w:lang w:val="af-ZA" w:eastAsia="en-US"/>
        </w:rPr>
        <w:t xml:space="preserve"> </w:t>
      </w:r>
      <w:r w:rsidRPr="004118EA">
        <w:rPr>
          <w:rFonts w:eastAsia="Calibri"/>
          <w:b w:val="0"/>
          <w:szCs w:val="22"/>
          <w:lang w:val="en-US" w:eastAsia="en-US"/>
        </w:rPr>
        <w:t>իշխանության</w:t>
      </w:r>
      <w:r w:rsidRPr="004118EA">
        <w:rPr>
          <w:rFonts w:eastAsia="Calibri"/>
          <w:b w:val="0"/>
          <w:szCs w:val="22"/>
          <w:lang w:val="af-ZA" w:eastAsia="en-US"/>
        </w:rPr>
        <w:t xml:space="preserve"> </w:t>
      </w:r>
      <w:r w:rsidRPr="004118EA">
        <w:rPr>
          <w:rFonts w:eastAsia="Calibri"/>
          <w:b w:val="0"/>
          <w:szCs w:val="22"/>
          <w:lang w:val="en-US" w:eastAsia="en-US"/>
        </w:rPr>
        <w:t>մարմիններում</w:t>
      </w:r>
      <w:r w:rsidRPr="004118EA">
        <w:rPr>
          <w:rFonts w:eastAsia="Calibri"/>
          <w:b w:val="0"/>
          <w:szCs w:val="22"/>
          <w:lang w:val="af-ZA" w:eastAsia="en-US"/>
        </w:rPr>
        <w:t xml:space="preserve"> </w:t>
      </w:r>
      <w:r w:rsidRPr="004118EA">
        <w:rPr>
          <w:rFonts w:eastAsia="Calibri"/>
          <w:b w:val="0"/>
          <w:szCs w:val="22"/>
          <w:lang w:val="en-US" w:eastAsia="en-US"/>
        </w:rPr>
        <w:t>քաղաքա</w:t>
      </w:r>
      <w:r w:rsidRPr="004118EA">
        <w:rPr>
          <w:rFonts w:eastAsia="Calibri"/>
          <w:b w:val="0"/>
          <w:szCs w:val="22"/>
          <w:lang w:val="af-ZA" w:eastAsia="en-US"/>
        </w:rPr>
        <w:softHyphen/>
      </w:r>
      <w:r w:rsidRPr="004118EA">
        <w:rPr>
          <w:rFonts w:eastAsia="Calibri"/>
          <w:b w:val="0"/>
          <w:szCs w:val="22"/>
          <w:lang w:val="en-US" w:eastAsia="en-US"/>
        </w:rPr>
        <w:t>ցիական</w:t>
      </w:r>
      <w:r w:rsidRPr="004118EA">
        <w:rPr>
          <w:rFonts w:eastAsia="Calibri"/>
          <w:b w:val="0"/>
          <w:szCs w:val="22"/>
          <w:lang w:val="af-ZA" w:eastAsia="en-US"/>
        </w:rPr>
        <w:t xml:space="preserve"> </w:t>
      </w:r>
      <w:r w:rsidRPr="004118EA">
        <w:rPr>
          <w:rFonts w:eastAsia="Calibri"/>
          <w:b w:val="0"/>
          <w:szCs w:val="22"/>
          <w:lang w:val="en-US" w:eastAsia="en-US"/>
        </w:rPr>
        <w:t>աշխատանք</w:t>
      </w:r>
      <w:r w:rsidRPr="004118EA">
        <w:rPr>
          <w:rFonts w:eastAsia="Calibri"/>
          <w:b w:val="0"/>
          <w:szCs w:val="22"/>
          <w:lang w:val="af-ZA" w:eastAsia="en-US"/>
        </w:rPr>
        <w:t xml:space="preserve"> </w:t>
      </w:r>
      <w:r w:rsidRPr="004118EA">
        <w:rPr>
          <w:rFonts w:eastAsia="Calibri"/>
          <w:b w:val="0"/>
          <w:szCs w:val="22"/>
          <w:lang w:val="en-US" w:eastAsia="en-US"/>
        </w:rPr>
        <w:t>կատարող</w:t>
      </w:r>
      <w:r w:rsidRPr="004118EA">
        <w:rPr>
          <w:rFonts w:eastAsia="Calibri"/>
          <w:b w:val="0"/>
          <w:szCs w:val="22"/>
          <w:lang w:val="af-ZA" w:eastAsia="en-US"/>
        </w:rPr>
        <w:t xml:space="preserve"> </w:t>
      </w:r>
      <w:r w:rsidRPr="004118EA">
        <w:rPr>
          <w:rFonts w:eastAsia="Calibri"/>
          <w:b w:val="0"/>
          <w:szCs w:val="22"/>
          <w:lang w:val="en-US" w:eastAsia="en-US"/>
        </w:rPr>
        <w:t>և</w:t>
      </w:r>
      <w:r w:rsidRPr="004118EA">
        <w:rPr>
          <w:rFonts w:eastAsia="Calibri"/>
          <w:b w:val="0"/>
          <w:szCs w:val="22"/>
          <w:lang w:val="af-ZA" w:eastAsia="en-US"/>
        </w:rPr>
        <w:t xml:space="preserve"> </w:t>
      </w:r>
      <w:r w:rsidRPr="004118EA">
        <w:rPr>
          <w:rFonts w:eastAsia="Calibri"/>
          <w:b w:val="0"/>
          <w:szCs w:val="22"/>
          <w:lang w:val="en-US" w:eastAsia="en-US"/>
        </w:rPr>
        <w:t>տեխնիկական</w:t>
      </w:r>
      <w:r w:rsidRPr="004118EA">
        <w:rPr>
          <w:rFonts w:eastAsia="Calibri"/>
          <w:b w:val="0"/>
          <w:szCs w:val="22"/>
          <w:lang w:val="af-ZA" w:eastAsia="en-US"/>
        </w:rPr>
        <w:t xml:space="preserve"> </w:t>
      </w:r>
      <w:r w:rsidRPr="004118EA">
        <w:rPr>
          <w:rFonts w:eastAsia="Calibri"/>
          <w:b w:val="0"/>
          <w:szCs w:val="22"/>
          <w:lang w:val="en-US" w:eastAsia="en-US"/>
        </w:rPr>
        <w:t>սպասարկում</w:t>
      </w:r>
      <w:r w:rsidRPr="004118EA">
        <w:rPr>
          <w:rFonts w:eastAsia="Calibri"/>
          <w:b w:val="0"/>
          <w:szCs w:val="22"/>
          <w:lang w:val="af-ZA" w:eastAsia="en-US"/>
        </w:rPr>
        <w:t xml:space="preserve"> </w:t>
      </w:r>
      <w:r w:rsidRPr="004118EA">
        <w:rPr>
          <w:rFonts w:eastAsia="Calibri"/>
          <w:b w:val="0"/>
          <w:szCs w:val="22"/>
          <w:lang w:val="en-US" w:eastAsia="en-US"/>
        </w:rPr>
        <w:t>իրականացնող</w:t>
      </w:r>
      <w:r w:rsidRPr="004118EA">
        <w:rPr>
          <w:rFonts w:eastAsia="Calibri"/>
          <w:b w:val="0"/>
          <w:szCs w:val="22"/>
          <w:lang w:val="af-ZA" w:eastAsia="en-US"/>
        </w:rPr>
        <w:t xml:space="preserve"> </w:t>
      </w:r>
      <w:r w:rsidRPr="004118EA">
        <w:rPr>
          <w:rFonts w:eastAsia="Calibri"/>
          <w:b w:val="0"/>
          <w:szCs w:val="22"/>
          <w:lang w:val="en-US" w:eastAsia="en-US"/>
        </w:rPr>
        <w:t>անձանց</w:t>
      </w:r>
      <w:r w:rsidRPr="004118EA">
        <w:rPr>
          <w:rFonts w:eastAsia="Calibri"/>
          <w:b w:val="0"/>
          <w:szCs w:val="22"/>
          <w:lang w:val="af-ZA" w:eastAsia="en-US"/>
        </w:rPr>
        <w:t xml:space="preserve"> </w:t>
      </w:r>
      <w:r w:rsidRPr="004118EA">
        <w:rPr>
          <w:rFonts w:eastAsia="Calibri"/>
          <w:b w:val="0"/>
          <w:szCs w:val="22"/>
          <w:lang w:val="en-US" w:eastAsia="en-US"/>
        </w:rPr>
        <w:t>պաշտո</w:t>
      </w:r>
      <w:r w:rsidRPr="004118EA">
        <w:rPr>
          <w:rFonts w:eastAsia="Calibri"/>
          <w:b w:val="0"/>
          <w:szCs w:val="22"/>
          <w:lang w:val="af-ZA" w:eastAsia="en-US"/>
        </w:rPr>
        <w:softHyphen/>
      </w:r>
      <w:r w:rsidRPr="004118EA">
        <w:rPr>
          <w:rFonts w:eastAsia="Calibri"/>
          <w:b w:val="0"/>
          <w:szCs w:val="22"/>
          <w:lang w:val="af-ZA" w:eastAsia="en-US"/>
        </w:rPr>
        <w:softHyphen/>
      </w:r>
      <w:r w:rsidRPr="004118EA">
        <w:rPr>
          <w:rFonts w:eastAsia="Calibri"/>
          <w:b w:val="0"/>
          <w:szCs w:val="22"/>
          <w:lang w:val="en-US" w:eastAsia="en-US"/>
        </w:rPr>
        <w:t>նային</w:t>
      </w:r>
      <w:r w:rsidRPr="004118EA">
        <w:rPr>
          <w:rFonts w:eastAsia="Calibri"/>
          <w:b w:val="0"/>
          <w:szCs w:val="22"/>
          <w:lang w:val="af-ZA" w:eastAsia="en-US"/>
        </w:rPr>
        <w:t xml:space="preserve"> </w:t>
      </w:r>
      <w:r w:rsidRPr="004118EA">
        <w:rPr>
          <w:rFonts w:eastAsia="Calibri"/>
          <w:b w:val="0"/>
          <w:szCs w:val="22"/>
          <w:lang w:val="en-US" w:eastAsia="en-US"/>
        </w:rPr>
        <w:t>դրույքաչափերը</w:t>
      </w:r>
      <w:r w:rsidRPr="004118EA">
        <w:rPr>
          <w:rFonts w:eastAsia="Calibri"/>
          <w:b w:val="0"/>
          <w:szCs w:val="22"/>
          <w:lang w:val="af-ZA" w:eastAsia="en-US"/>
        </w:rPr>
        <w:t xml:space="preserve"> </w:t>
      </w:r>
      <w:r w:rsidRPr="004118EA">
        <w:rPr>
          <w:rFonts w:eastAsia="Calibri"/>
          <w:b w:val="0"/>
          <w:szCs w:val="22"/>
          <w:lang w:val="en-US" w:eastAsia="en-US"/>
        </w:rPr>
        <w:t>սահմանելու</w:t>
      </w:r>
      <w:r w:rsidRPr="004118EA">
        <w:rPr>
          <w:rFonts w:eastAsia="Calibri"/>
          <w:b w:val="0"/>
          <w:szCs w:val="22"/>
          <w:lang w:val="af-ZA" w:eastAsia="en-US"/>
        </w:rPr>
        <w:t xml:space="preserve"> </w:t>
      </w:r>
      <w:r w:rsidRPr="004118EA">
        <w:rPr>
          <w:rFonts w:eastAsia="Calibri"/>
          <w:b w:val="0"/>
          <w:szCs w:val="22"/>
          <w:lang w:val="en-US" w:eastAsia="en-US"/>
        </w:rPr>
        <w:t>մասին</w:t>
      </w:r>
      <w:r w:rsidRPr="004118EA">
        <w:rPr>
          <w:rFonts w:eastAsia="Calibri"/>
          <w:b w:val="0"/>
          <w:szCs w:val="22"/>
          <w:lang w:val="af-ZA" w:eastAsia="en-US"/>
        </w:rPr>
        <w:t>» N 737-</w:t>
      </w:r>
      <w:r w:rsidRPr="004118EA">
        <w:rPr>
          <w:rFonts w:eastAsia="Calibri"/>
          <w:b w:val="0"/>
          <w:szCs w:val="22"/>
          <w:lang w:val="en-US" w:eastAsia="en-US"/>
        </w:rPr>
        <w:t>Ն</w:t>
      </w:r>
      <w:r w:rsidRPr="004118EA">
        <w:rPr>
          <w:rFonts w:eastAsia="Calibri"/>
          <w:b w:val="0"/>
          <w:szCs w:val="22"/>
          <w:lang w:val="af-ZA" w:eastAsia="en-US"/>
        </w:rPr>
        <w:t xml:space="preserve"> </w:t>
      </w:r>
      <w:r w:rsidRPr="004118EA">
        <w:rPr>
          <w:rFonts w:eastAsia="Calibri"/>
          <w:b w:val="0"/>
          <w:szCs w:val="22"/>
          <w:lang w:val="en-US" w:eastAsia="en-US"/>
        </w:rPr>
        <w:t>որոշման</w:t>
      </w:r>
      <w:r w:rsidRPr="004118EA">
        <w:rPr>
          <w:rFonts w:eastAsia="Calibri"/>
          <w:b w:val="0"/>
          <w:szCs w:val="22"/>
          <w:lang w:val="af-ZA" w:eastAsia="en-US"/>
        </w:rPr>
        <w:t xml:space="preserve"> </w:t>
      </w:r>
      <w:r w:rsidRPr="004118EA">
        <w:rPr>
          <w:rFonts w:eastAsia="Calibri"/>
          <w:b w:val="0"/>
          <w:szCs w:val="22"/>
          <w:lang w:val="en-US" w:eastAsia="en-US"/>
        </w:rPr>
        <w:t>պահանջներին</w:t>
      </w:r>
      <w:r w:rsidRPr="004118EA">
        <w:rPr>
          <w:rFonts w:eastAsia="Calibri"/>
          <w:b w:val="0"/>
          <w:szCs w:val="22"/>
          <w:lang w:val="af-ZA" w:eastAsia="en-US"/>
        </w:rPr>
        <w:t xml:space="preserve"> </w:t>
      </w:r>
      <w:r w:rsidRPr="004118EA">
        <w:rPr>
          <w:rFonts w:eastAsia="Calibri"/>
          <w:b w:val="0"/>
          <w:szCs w:val="22"/>
          <w:lang w:val="en-US" w:eastAsia="en-US"/>
        </w:rPr>
        <w:t>համապատասխան</w:t>
      </w:r>
      <w:r w:rsidRPr="004118EA">
        <w:rPr>
          <w:rFonts w:eastAsia="Calibri"/>
          <w:b w:val="0"/>
          <w:szCs w:val="22"/>
          <w:lang w:val="hy-AM" w:eastAsia="en-US"/>
        </w:rPr>
        <w:t xml:space="preserve">:  </w:t>
      </w:r>
      <w:r w:rsidRPr="004118EA">
        <w:rPr>
          <w:rFonts w:eastAsia="Calibri"/>
          <w:b w:val="0"/>
          <w:szCs w:val="22"/>
          <w:lang w:val="af-ZA" w:eastAsia="en-US"/>
        </w:rPr>
        <w:t xml:space="preserve"> Միաժամանակ</w:t>
      </w:r>
      <w:r w:rsidRPr="004118EA">
        <w:rPr>
          <w:rFonts w:eastAsia="Calibri"/>
          <w:b w:val="0"/>
          <w:szCs w:val="22"/>
          <w:lang w:val="hy-AM" w:eastAsia="en-US"/>
        </w:rPr>
        <w:t>,</w:t>
      </w:r>
      <w:r w:rsidRPr="004118EA">
        <w:rPr>
          <w:rFonts w:eastAsia="Calibri"/>
          <w:b w:val="0"/>
          <w:szCs w:val="22"/>
          <w:lang w:val="af-ZA" w:eastAsia="en-US"/>
        </w:rPr>
        <w:t xml:space="preserve"> </w:t>
      </w:r>
      <w:r w:rsidRPr="004118EA">
        <w:rPr>
          <w:rFonts w:eastAsia="Calibri"/>
          <w:b w:val="0"/>
          <w:szCs w:val="22"/>
          <w:lang w:val="en-US" w:eastAsia="en-US"/>
        </w:rPr>
        <w:t>բոլոր</w:t>
      </w:r>
      <w:r w:rsidRPr="004118EA">
        <w:rPr>
          <w:rFonts w:eastAsia="Calibri"/>
          <w:b w:val="0"/>
          <w:szCs w:val="22"/>
          <w:lang w:val="af-ZA" w:eastAsia="en-US"/>
        </w:rPr>
        <w:t xml:space="preserve"> </w:t>
      </w:r>
      <w:r w:rsidRPr="004118EA">
        <w:rPr>
          <w:rFonts w:eastAsia="Calibri"/>
          <w:b w:val="0"/>
          <w:szCs w:val="22"/>
          <w:lang w:val="en-US" w:eastAsia="en-US"/>
        </w:rPr>
        <w:t>մարմինների</w:t>
      </w:r>
      <w:r w:rsidRPr="004118EA">
        <w:rPr>
          <w:rFonts w:eastAsia="Calibri"/>
          <w:b w:val="0"/>
          <w:szCs w:val="22"/>
          <w:lang w:val="af-ZA" w:eastAsia="en-US"/>
        </w:rPr>
        <w:t xml:space="preserve"> </w:t>
      </w:r>
      <w:r w:rsidRPr="004118EA">
        <w:rPr>
          <w:rFonts w:eastAsia="Calibri"/>
          <w:b w:val="0"/>
          <w:szCs w:val="22"/>
          <w:lang w:val="en-US" w:eastAsia="en-US"/>
        </w:rPr>
        <w:t>համար</w:t>
      </w:r>
      <w:r w:rsidRPr="004118EA">
        <w:rPr>
          <w:rFonts w:eastAsia="Calibri"/>
          <w:b w:val="0"/>
          <w:szCs w:val="22"/>
          <w:lang w:val="af-ZA" w:eastAsia="en-US"/>
        </w:rPr>
        <w:t xml:space="preserve"> </w:t>
      </w:r>
      <w:r w:rsidRPr="004118EA">
        <w:rPr>
          <w:rFonts w:eastAsia="Calibri"/>
          <w:b w:val="0"/>
          <w:szCs w:val="22"/>
          <w:lang w:eastAsia="en-US"/>
        </w:rPr>
        <w:t>նախատեսվել</w:t>
      </w:r>
      <w:r w:rsidRPr="004118EA">
        <w:rPr>
          <w:rFonts w:eastAsia="Calibri"/>
          <w:b w:val="0"/>
          <w:szCs w:val="22"/>
          <w:lang w:val="af-ZA" w:eastAsia="en-US"/>
        </w:rPr>
        <w:t xml:space="preserve"> </w:t>
      </w:r>
      <w:r w:rsidRPr="004118EA">
        <w:rPr>
          <w:rFonts w:eastAsia="Calibri"/>
          <w:b w:val="0"/>
          <w:szCs w:val="22"/>
          <w:lang w:eastAsia="en-US"/>
        </w:rPr>
        <w:t>է</w:t>
      </w:r>
      <w:r w:rsidRPr="004118EA">
        <w:rPr>
          <w:rFonts w:eastAsia="Calibri"/>
          <w:b w:val="0"/>
          <w:szCs w:val="22"/>
          <w:lang w:val="af-ZA" w:eastAsia="en-US"/>
        </w:rPr>
        <w:t xml:space="preserve"> </w:t>
      </w:r>
      <w:r w:rsidRPr="004118EA">
        <w:rPr>
          <w:rFonts w:eastAsia="Calibri"/>
          <w:b w:val="0"/>
          <w:szCs w:val="22"/>
          <w:lang w:eastAsia="en-US"/>
        </w:rPr>
        <w:t>պարգևատրման</w:t>
      </w:r>
      <w:r w:rsidRPr="004118EA">
        <w:rPr>
          <w:rFonts w:eastAsia="Calibri"/>
          <w:b w:val="0"/>
          <w:szCs w:val="22"/>
          <w:lang w:val="af-ZA" w:eastAsia="en-US"/>
        </w:rPr>
        <w:t xml:space="preserve"> </w:t>
      </w:r>
      <w:r w:rsidRPr="004118EA">
        <w:rPr>
          <w:rFonts w:eastAsia="Calibri"/>
          <w:b w:val="0"/>
          <w:szCs w:val="22"/>
          <w:lang w:eastAsia="en-US"/>
        </w:rPr>
        <w:t>ֆոնդ</w:t>
      </w:r>
      <w:r w:rsidRPr="004118EA">
        <w:rPr>
          <w:rFonts w:eastAsia="Calibri"/>
          <w:b w:val="0"/>
          <w:szCs w:val="22"/>
          <w:lang w:val="af-ZA" w:eastAsia="en-US"/>
        </w:rPr>
        <w:t xml:space="preserve">, </w:t>
      </w:r>
      <w:r w:rsidRPr="004118EA">
        <w:rPr>
          <w:rFonts w:eastAsia="Calibri"/>
          <w:b w:val="0"/>
          <w:szCs w:val="22"/>
          <w:lang w:val="en-US" w:eastAsia="en-US"/>
        </w:rPr>
        <w:t>որը</w:t>
      </w:r>
      <w:r w:rsidRPr="004118EA">
        <w:rPr>
          <w:rFonts w:eastAsia="Calibri"/>
          <w:b w:val="0"/>
          <w:szCs w:val="22"/>
          <w:lang w:val="af-ZA" w:eastAsia="en-US"/>
        </w:rPr>
        <w:t xml:space="preserve"> </w:t>
      </w:r>
      <w:r w:rsidRPr="004118EA">
        <w:rPr>
          <w:rFonts w:eastAsia="Calibri"/>
          <w:b w:val="0"/>
          <w:szCs w:val="22"/>
          <w:lang w:val="en-US" w:eastAsia="en-US"/>
        </w:rPr>
        <w:t>պետական</w:t>
      </w:r>
      <w:r w:rsidRPr="004118EA">
        <w:rPr>
          <w:rFonts w:eastAsia="Calibri"/>
          <w:b w:val="0"/>
          <w:szCs w:val="22"/>
          <w:lang w:val="af-ZA" w:eastAsia="en-US"/>
        </w:rPr>
        <w:t xml:space="preserve"> </w:t>
      </w:r>
      <w:r w:rsidRPr="004118EA">
        <w:rPr>
          <w:rFonts w:eastAsia="Calibri"/>
          <w:b w:val="0"/>
          <w:szCs w:val="22"/>
          <w:lang w:val="en-US" w:eastAsia="en-US"/>
        </w:rPr>
        <w:t>ծառայողների</w:t>
      </w:r>
      <w:r w:rsidRPr="004118EA">
        <w:rPr>
          <w:rFonts w:eastAsia="Calibri"/>
          <w:b w:val="0"/>
          <w:szCs w:val="22"/>
          <w:lang w:val="af-ZA" w:eastAsia="en-US"/>
        </w:rPr>
        <w:t xml:space="preserve"> </w:t>
      </w:r>
      <w:r w:rsidRPr="004118EA">
        <w:rPr>
          <w:rFonts w:eastAsia="Calibri"/>
          <w:b w:val="0"/>
          <w:szCs w:val="22"/>
          <w:lang w:val="en-US" w:eastAsia="en-US"/>
        </w:rPr>
        <w:t>պարգևատրման</w:t>
      </w:r>
      <w:r w:rsidRPr="004118EA">
        <w:rPr>
          <w:rFonts w:eastAsia="Calibri"/>
          <w:b w:val="0"/>
          <w:szCs w:val="22"/>
          <w:lang w:val="af-ZA" w:eastAsia="en-US"/>
        </w:rPr>
        <w:t xml:space="preserve"> </w:t>
      </w:r>
      <w:r w:rsidRPr="004118EA">
        <w:rPr>
          <w:rFonts w:eastAsia="Calibri"/>
          <w:b w:val="0"/>
          <w:szCs w:val="22"/>
          <w:lang w:val="en-US" w:eastAsia="en-US"/>
        </w:rPr>
        <w:t>ֆոնդի</w:t>
      </w:r>
      <w:r w:rsidRPr="004118EA">
        <w:rPr>
          <w:rFonts w:eastAsia="Calibri"/>
          <w:b w:val="0"/>
          <w:szCs w:val="22"/>
          <w:lang w:val="af-ZA" w:eastAsia="en-US"/>
        </w:rPr>
        <w:t xml:space="preserve"> </w:t>
      </w:r>
      <w:r w:rsidRPr="004118EA">
        <w:rPr>
          <w:rFonts w:eastAsia="Calibri"/>
          <w:b w:val="0"/>
          <w:szCs w:val="22"/>
          <w:lang w:val="en-US" w:eastAsia="en-US"/>
        </w:rPr>
        <w:t>հետ</w:t>
      </w:r>
      <w:r w:rsidRPr="004118EA">
        <w:rPr>
          <w:rFonts w:eastAsia="Calibri"/>
          <w:b w:val="0"/>
          <w:szCs w:val="22"/>
          <w:lang w:val="af-ZA" w:eastAsia="en-US"/>
        </w:rPr>
        <w:t xml:space="preserve"> </w:t>
      </w:r>
      <w:r w:rsidRPr="004118EA">
        <w:rPr>
          <w:rFonts w:eastAsia="Calibri"/>
          <w:b w:val="0"/>
          <w:szCs w:val="22"/>
          <w:lang w:val="en-US" w:eastAsia="en-US"/>
        </w:rPr>
        <w:t>միասին</w:t>
      </w:r>
      <w:r w:rsidRPr="004118EA">
        <w:rPr>
          <w:rFonts w:eastAsia="Calibri"/>
          <w:b w:val="0"/>
          <w:szCs w:val="22"/>
          <w:lang w:val="af-ZA" w:eastAsia="en-US"/>
        </w:rPr>
        <w:t xml:space="preserve"> </w:t>
      </w:r>
      <w:r w:rsidRPr="004118EA">
        <w:rPr>
          <w:rFonts w:eastAsia="Calibri"/>
          <w:b w:val="0"/>
          <w:szCs w:val="22"/>
          <w:lang w:val="en-US" w:eastAsia="en-US"/>
        </w:rPr>
        <w:t>կազմում</w:t>
      </w:r>
      <w:r w:rsidRPr="004118EA">
        <w:rPr>
          <w:rFonts w:eastAsia="Calibri"/>
          <w:b w:val="0"/>
          <w:szCs w:val="22"/>
          <w:lang w:val="af-ZA" w:eastAsia="en-US"/>
        </w:rPr>
        <w:t xml:space="preserve"> </w:t>
      </w:r>
      <w:r w:rsidRPr="004118EA">
        <w:rPr>
          <w:rFonts w:eastAsia="Calibri"/>
          <w:b w:val="0"/>
          <w:szCs w:val="22"/>
          <w:lang w:val="en-US" w:eastAsia="en-US"/>
        </w:rPr>
        <w:t>է</w:t>
      </w:r>
      <w:r w:rsidRPr="004118EA">
        <w:rPr>
          <w:rFonts w:eastAsia="Calibri"/>
          <w:b w:val="0"/>
          <w:szCs w:val="22"/>
          <w:lang w:val="af-ZA" w:eastAsia="en-US"/>
        </w:rPr>
        <w:t xml:space="preserve"> </w:t>
      </w:r>
      <w:r w:rsidRPr="004118EA">
        <w:rPr>
          <w:rFonts w:eastAsia="Calibri"/>
          <w:b w:val="0"/>
          <w:szCs w:val="22"/>
          <w:lang w:val="en-US" w:eastAsia="en-US"/>
        </w:rPr>
        <w:t>հիմնական</w:t>
      </w:r>
      <w:r w:rsidRPr="004118EA">
        <w:rPr>
          <w:rFonts w:eastAsia="Calibri"/>
          <w:b w:val="0"/>
          <w:szCs w:val="22"/>
          <w:lang w:val="af-ZA" w:eastAsia="en-US"/>
        </w:rPr>
        <w:t xml:space="preserve"> </w:t>
      </w:r>
      <w:r w:rsidRPr="004118EA">
        <w:rPr>
          <w:rFonts w:eastAsia="Calibri"/>
          <w:b w:val="0"/>
          <w:szCs w:val="22"/>
          <w:lang w:val="en-US" w:eastAsia="en-US"/>
        </w:rPr>
        <w:t>աշխատավարձի</w:t>
      </w:r>
      <w:r w:rsidRPr="004118EA">
        <w:rPr>
          <w:rFonts w:eastAsia="Calibri"/>
          <w:b w:val="0"/>
          <w:szCs w:val="22"/>
          <w:lang w:val="af-ZA" w:eastAsia="en-US"/>
        </w:rPr>
        <w:t xml:space="preserve"> </w:t>
      </w:r>
      <w:r w:rsidRPr="004118EA">
        <w:rPr>
          <w:rFonts w:eastAsia="Calibri"/>
          <w:b w:val="0"/>
          <w:szCs w:val="22"/>
          <w:lang w:val="en-US" w:eastAsia="en-US"/>
        </w:rPr>
        <w:t>ֆոնդի</w:t>
      </w:r>
      <w:r w:rsidRPr="004118EA">
        <w:rPr>
          <w:rFonts w:eastAsia="Calibri"/>
          <w:b w:val="0"/>
          <w:szCs w:val="22"/>
          <w:lang w:val="af-ZA" w:eastAsia="en-US"/>
        </w:rPr>
        <w:t xml:space="preserve"> 30%-</w:t>
      </w:r>
      <w:r w:rsidRPr="004118EA">
        <w:rPr>
          <w:rFonts w:eastAsia="Calibri"/>
          <w:b w:val="0"/>
          <w:szCs w:val="22"/>
          <w:lang w:val="en-US" w:eastAsia="en-US"/>
        </w:rPr>
        <w:t>ը</w:t>
      </w:r>
      <w:r w:rsidRPr="004118EA">
        <w:rPr>
          <w:rFonts w:cs="Sylfaen"/>
          <w:b w:val="0"/>
          <w:szCs w:val="22"/>
          <w:lang w:val="hy-AM"/>
        </w:rPr>
        <w:t>:</w:t>
      </w:r>
      <w:r w:rsidRPr="004118EA">
        <w:rPr>
          <w:rFonts w:cs="Sylfaen"/>
          <w:b w:val="0"/>
          <w:szCs w:val="22"/>
          <w:lang w:val="af-ZA"/>
        </w:rPr>
        <w:t xml:space="preserve"> </w:t>
      </w:r>
      <w:r w:rsidRPr="004118EA">
        <w:rPr>
          <w:rFonts w:cs="Sylfaen"/>
          <w:b w:val="0"/>
          <w:szCs w:val="22"/>
          <w:lang w:val="hy-AM"/>
        </w:rPr>
        <w:t xml:space="preserve"> </w:t>
      </w:r>
    </w:p>
    <w:p w:rsidR="00236B20" w:rsidRPr="004118EA" w:rsidRDefault="00236B20" w:rsidP="007730AA">
      <w:pPr>
        <w:widowControl w:val="0"/>
        <w:tabs>
          <w:tab w:val="left" w:pos="851"/>
          <w:tab w:val="left" w:pos="993"/>
        </w:tabs>
        <w:spacing w:before="0" w:line="276" w:lineRule="auto"/>
        <w:rPr>
          <w:rFonts w:cs="Sylfaen"/>
          <w:b w:val="0"/>
          <w:szCs w:val="22"/>
          <w:lang w:val="hy-AM"/>
        </w:rPr>
      </w:pPr>
      <w:r w:rsidRPr="004118EA">
        <w:rPr>
          <w:rFonts w:cs="Sylfaen"/>
          <w:b w:val="0"/>
          <w:szCs w:val="22"/>
          <w:lang w:val="hy-AM"/>
        </w:rPr>
        <w:t>Էներգետիկ ծառայությունների ծախ</w:t>
      </w:r>
      <w:r w:rsidRPr="004118EA">
        <w:rPr>
          <w:rFonts w:cs="Sylfaen"/>
          <w:b w:val="0"/>
          <w:szCs w:val="22"/>
          <w:lang w:val="hy-AM"/>
        </w:rPr>
        <w:softHyphen/>
        <w:t>սերը (ներառում է էլեկտրաէներգիայի և ջեռուց</w:t>
      </w:r>
      <w:r w:rsidRPr="004118EA">
        <w:rPr>
          <w:rFonts w:cs="Sylfaen"/>
          <w:b w:val="0"/>
          <w:szCs w:val="22"/>
          <w:lang w:val="hy-AM"/>
        </w:rPr>
        <w:softHyphen/>
        <w:t>ման ծախսերը) ծրագրավորվել են 2</w:t>
      </w:r>
      <w:r w:rsidR="00E63472" w:rsidRPr="00E63472">
        <w:rPr>
          <w:rFonts w:cs="Sylfaen"/>
          <w:b w:val="0"/>
          <w:szCs w:val="22"/>
          <w:lang w:val="hy-AM"/>
        </w:rPr>
        <w:t>,</w:t>
      </w:r>
      <w:r w:rsidR="00E63472">
        <w:rPr>
          <w:rFonts w:cs="Sylfaen"/>
          <w:b w:val="0"/>
          <w:szCs w:val="22"/>
          <w:lang w:val="hy-AM"/>
        </w:rPr>
        <w:t>580.</w:t>
      </w:r>
      <w:r w:rsidRPr="004118EA">
        <w:rPr>
          <w:rFonts w:cs="Sylfaen"/>
          <w:b w:val="0"/>
          <w:szCs w:val="22"/>
          <w:lang w:val="hy-AM"/>
        </w:rPr>
        <w:t>1 մլն դրամի չափով, որը 2020 թվականի ծրագրավոր</w:t>
      </w:r>
      <w:r w:rsidRPr="004118EA">
        <w:rPr>
          <w:rFonts w:cs="Sylfaen"/>
          <w:b w:val="0"/>
          <w:szCs w:val="22"/>
          <w:lang w:val="hy-AM"/>
        </w:rPr>
        <w:softHyphen/>
        <w:t>վածից ավելի է 96</w:t>
      </w:r>
      <w:r w:rsidR="00E63472" w:rsidRPr="00E63472">
        <w:rPr>
          <w:rFonts w:cs="Sylfaen"/>
          <w:b w:val="0"/>
          <w:szCs w:val="22"/>
          <w:lang w:val="hy-AM"/>
        </w:rPr>
        <w:t>.</w:t>
      </w:r>
      <w:r w:rsidRPr="004118EA">
        <w:rPr>
          <w:rFonts w:cs="Sylfaen"/>
          <w:b w:val="0"/>
          <w:szCs w:val="22"/>
          <w:lang w:val="hy-AM"/>
        </w:rPr>
        <w:t>4 մլն դրամով, որը հիմնականում պայմանավորված է պետական մարմիններին հատկացված տարածքների փոփոխությամբ, գազի սակագնի բարձրացմամբ,</w:t>
      </w:r>
      <w:r w:rsidRPr="004118EA" w:rsidDel="00BD593B">
        <w:rPr>
          <w:rFonts w:cs="Sylfaen"/>
          <w:b w:val="0"/>
          <w:szCs w:val="22"/>
          <w:lang w:val="hy-AM"/>
        </w:rPr>
        <w:t xml:space="preserve"> </w:t>
      </w:r>
      <w:r w:rsidRPr="004118EA">
        <w:rPr>
          <w:rFonts w:cs="Sylfaen"/>
          <w:b w:val="0"/>
          <w:szCs w:val="22"/>
          <w:lang w:val="hy-AM"/>
        </w:rPr>
        <w:t xml:space="preserve">ինչպես նաև առանձին մարմիններում այդ ծախսերի կանոնակարգմամբ: </w:t>
      </w:r>
    </w:p>
    <w:p w:rsidR="00236B20" w:rsidRPr="004118EA" w:rsidRDefault="00236B20" w:rsidP="007730AA">
      <w:pPr>
        <w:widowControl w:val="0"/>
        <w:tabs>
          <w:tab w:val="left" w:pos="851"/>
          <w:tab w:val="left" w:pos="993"/>
        </w:tabs>
        <w:spacing w:before="0" w:line="276" w:lineRule="auto"/>
        <w:rPr>
          <w:rFonts w:cs="Sylfaen"/>
          <w:b w:val="0"/>
          <w:szCs w:val="22"/>
          <w:lang w:val="hy-AM"/>
        </w:rPr>
      </w:pPr>
      <w:r w:rsidRPr="004118EA">
        <w:rPr>
          <w:rFonts w:cs="Sylfaen"/>
          <w:b w:val="0"/>
          <w:szCs w:val="22"/>
          <w:lang w:val="hy-AM"/>
        </w:rPr>
        <w:t>Կոմունալ ծառայությունների գծով ծախսերը ծրագրավորվել են 203</w:t>
      </w:r>
      <w:r w:rsidR="00E63472" w:rsidRPr="00E63472">
        <w:rPr>
          <w:rFonts w:cs="Sylfaen"/>
          <w:b w:val="0"/>
          <w:szCs w:val="22"/>
          <w:lang w:val="hy-AM"/>
        </w:rPr>
        <w:t>.</w:t>
      </w:r>
      <w:r w:rsidRPr="004118EA">
        <w:rPr>
          <w:rFonts w:cs="Sylfaen"/>
          <w:b w:val="0"/>
          <w:szCs w:val="22"/>
          <w:lang w:val="hy-AM"/>
        </w:rPr>
        <w:t>9 մլն դրամի չափով, որը 2020 թվականի ծրագ</w:t>
      </w:r>
      <w:r w:rsidRPr="004118EA">
        <w:rPr>
          <w:rFonts w:cs="Sylfaen"/>
          <w:b w:val="0"/>
          <w:szCs w:val="22"/>
          <w:lang w:val="hy-AM"/>
        </w:rPr>
        <w:softHyphen/>
        <w:t>րավորվածից ավելի է  0</w:t>
      </w:r>
      <w:r w:rsidR="00E63472" w:rsidRPr="00E63472">
        <w:rPr>
          <w:rFonts w:cs="Sylfaen"/>
          <w:b w:val="0"/>
          <w:szCs w:val="22"/>
          <w:lang w:val="hy-AM"/>
        </w:rPr>
        <w:t>.</w:t>
      </w:r>
      <w:r w:rsidRPr="004118EA">
        <w:rPr>
          <w:rFonts w:cs="Sylfaen"/>
          <w:b w:val="0"/>
          <w:szCs w:val="22"/>
          <w:lang w:val="hy-AM"/>
        </w:rPr>
        <w:t>9 մլն դրամով, որը հիմնականում պայմա</w:t>
      </w:r>
      <w:r w:rsidRPr="004118EA">
        <w:rPr>
          <w:rFonts w:cs="Sylfaen"/>
          <w:b w:val="0"/>
          <w:szCs w:val="22"/>
          <w:lang w:val="hy-AM"/>
        </w:rPr>
        <w:softHyphen/>
        <w:t>նա</w:t>
      </w:r>
      <w:r w:rsidRPr="004118EA">
        <w:rPr>
          <w:rFonts w:cs="Sylfaen"/>
          <w:b w:val="0"/>
          <w:szCs w:val="22"/>
          <w:lang w:val="hy-AM"/>
        </w:rPr>
        <w:softHyphen/>
        <w:t>վորված է պետական մարմինների աշխատողների թվաքանակի աճով, ինչպես նաև առանձին մարմիններում այդ ծախսերի կանոնակարգմամբ։ Նշված հոդվածը ներառում է ջրամատակարարման և ջրահե</w:t>
      </w:r>
      <w:r w:rsidRPr="004118EA">
        <w:rPr>
          <w:rFonts w:cs="Sylfaen"/>
          <w:b w:val="0"/>
          <w:szCs w:val="22"/>
          <w:lang w:val="hy-AM"/>
        </w:rPr>
        <w:softHyphen/>
        <w:t xml:space="preserve">ռացման, ինչպես նաև միջատազերծման հետ կապված ծախսերը: </w:t>
      </w:r>
    </w:p>
    <w:p w:rsidR="00236B20" w:rsidRPr="004118EA" w:rsidRDefault="00236B20" w:rsidP="007730AA">
      <w:pPr>
        <w:widowControl w:val="0"/>
        <w:tabs>
          <w:tab w:val="left" w:pos="851"/>
          <w:tab w:val="left" w:pos="993"/>
        </w:tabs>
        <w:spacing w:before="0" w:line="276" w:lineRule="auto"/>
        <w:rPr>
          <w:rFonts w:cs="Sylfaen"/>
          <w:b w:val="0"/>
          <w:szCs w:val="22"/>
          <w:lang w:val="hy-AM"/>
        </w:rPr>
      </w:pPr>
      <w:r w:rsidRPr="004118EA">
        <w:rPr>
          <w:rFonts w:cs="Sylfaen"/>
          <w:b w:val="0"/>
          <w:szCs w:val="22"/>
          <w:lang w:val="hy-AM"/>
        </w:rPr>
        <w:t>Կապի ծառայությունների գծով ծախսերը ծրագրավորվել են 2</w:t>
      </w:r>
      <w:r w:rsidR="00E63472" w:rsidRPr="00E63472">
        <w:rPr>
          <w:rFonts w:cs="Sylfaen"/>
          <w:b w:val="0"/>
          <w:szCs w:val="22"/>
          <w:lang w:val="hy-AM"/>
        </w:rPr>
        <w:t>,</w:t>
      </w:r>
      <w:r w:rsidRPr="004118EA">
        <w:rPr>
          <w:rFonts w:cs="Sylfaen"/>
          <w:b w:val="0"/>
          <w:szCs w:val="22"/>
          <w:lang w:val="hy-AM"/>
        </w:rPr>
        <w:t>083</w:t>
      </w:r>
      <w:r w:rsidR="00E63472" w:rsidRPr="00E63472">
        <w:rPr>
          <w:rFonts w:cs="Sylfaen"/>
          <w:b w:val="0"/>
          <w:szCs w:val="22"/>
          <w:lang w:val="hy-AM"/>
        </w:rPr>
        <w:t>.</w:t>
      </w:r>
      <w:r w:rsidRPr="004118EA">
        <w:rPr>
          <w:rFonts w:cs="Sylfaen"/>
          <w:b w:val="0"/>
          <w:szCs w:val="22"/>
          <w:lang w:val="hy-AM"/>
        </w:rPr>
        <w:t>3  մլն դրամի չափով, այն 2020 թվականի ծրագ</w:t>
      </w:r>
      <w:r w:rsidRPr="004118EA">
        <w:rPr>
          <w:rFonts w:cs="Sylfaen"/>
          <w:b w:val="0"/>
          <w:szCs w:val="22"/>
          <w:lang w:val="hy-AM"/>
        </w:rPr>
        <w:softHyphen/>
        <w:t>րավորվածից պակաս է  9</w:t>
      </w:r>
      <w:r w:rsidR="00E63472" w:rsidRPr="00E63472">
        <w:rPr>
          <w:rFonts w:cs="Sylfaen"/>
          <w:b w:val="0"/>
          <w:szCs w:val="22"/>
          <w:lang w:val="hy-AM"/>
        </w:rPr>
        <w:t>.</w:t>
      </w:r>
      <w:r w:rsidRPr="004118EA">
        <w:rPr>
          <w:rFonts w:cs="Sylfaen"/>
          <w:b w:val="0"/>
          <w:szCs w:val="22"/>
          <w:lang w:val="hy-AM"/>
        </w:rPr>
        <w:t>8 մլն դրամով, որը հիմնականում պայմա</w:t>
      </w:r>
      <w:r w:rsidRPr="004118EA">
        <w:rPr>
          <w:rFonts w:cs="Sylfaen"/>
          <w:b w:val="0"/>
          <w:szCs w:val="22"/>
          <w:lang w:val="hy-AM"/>
        </w:rPr>
        <w:softHyphen/>
        <w:t>նա</w:t>
      </w:r>
      <w:r w:rsidRPr="004118EA">
        <w:rPr>
          <w:rFonts w:cs="Sylfaen"/>
          <w:b w:val="0"/>
          <w:szCs w:val="22"/>
          <w:lang w:val="hy-AM"/>
        </w:rPr>
        <w:softHyphen/>
        <w:t>վորված է վերոնշված կառուցվածքային փոփոխություններով, ինչպես նաև կապի օպերատորների կողմից առաջարկվող սակագներով:</w:t>
      </w:r>
    </w:p>
    <w:p w:rsidR="00236B20" w:rsidRPr="004118EA" w:rsidRDefault="00236B20" w:rsidP="007730AA">
      <w:pPr>
        <w:widowControl w:val="0"/>
        <w:tabs>
          <w:tab w:val="left" w:pos="851"/>
          <w:tab w:val="left" w:pos="993"/>
        </w:tabs>
        <w:spacing w:before="0" w:line="276" w:lineRule="auto"/>
        <w:rPr>
          <w:rFonts w:cs="Sylfaen"/>
          <w:b w:val="0"/>
          <w:szCs w:val="22"/>
          <w:lang w:val="hy-AM"/>
        </w:rPr>
      </w:pPr>
      <w:r w:rsidRPr="004118EA">
        <w:rPr>
          <w:rFonts w:cs="Sylfaen"/>
          <w:b w:val="0"/>
          <w:szCs w:val="22"/>
          <w:lang w:val="hy-AM"/>
        </w:rPr>
        <w:t>Ապահովագրական ծախսերը ծրագրավորվել են 38</w:t>
      </w:r>
      <w:r w:rsidR="00E63472" w:rsidRPr="00E63472">
        <w:rPr>
          <w:rFonts w:cs="Sylfaen"/>
          <w:b w:val="0"/>
          <w:szCs w:val="22"/>
          <w:lang w:val="hy-AM"/>
        </w:rPr>
        <w:t>.</w:t>
      </w:r>
      <w:r w:rsidRPr="004118EA">
        <w:rPr>
          <w:rFonts w:cs="Sylfaen"/>
          <w:b w:val="0"/>
          <w:szCs w:val="22"/>
          <w:lang w:val="hy-AM"/>
        </w:rPr>
        <w:t>2 մլն դրամի չափով` ծառայո</w:t>
      </w:r>
      <w:r w:rsidRPr="004118EA">
        <w:rPr>
          <w:rFonts w:cs="Sylfaen"/>
          <w:b w:val="0"/>
          <w:szCs w:val="22"/>
          <w:lang w:val="hy-AM"/>
        </w:rPr>
        <w:softHyphen/>
        <w:t>ղա</w:t>
      </w:r>
      <w:r w:rsidRPr="004118EA">
        <w:rPr>
          <w:rFonts w:cs="Sylfaen"/>
          <w:b w:val="0"/>
          <w:szCs w:val="22"/>
          <w:lang w:val="hy-AM"/>
        </w:rPr>
        <w:softHyphen/>
        <w:t>կան ավտոմեքենաների սահմանաքանակին համապատասխան, առանձին դեպքերում հաշվի առնելով կնքված պայմանագրերը:</w:t>
      </w:r>
    </w:p>
    <w:p w:rsidR="00236B20" w:rsidRPr="004118EA" w:rsidRDefault="00236B20" w:rsidP="007730AA">
      <w:pPr>
        <w:widowControl w:val="0"/>
        <w:tabs>
          <w:tab w:val="left" w:pos="851"/>
          <w:tab w:val="left" w:pos="993"/>
        </w:tabs>
        <w:spacing w:before="0" w:line="276" w:lineRule="auto"/>
        <w:rPr>
          <w:rFonts w:cs="Sylfaen"/>
          <w:b w:val="0"/>
          <w:szCs w:val="22"/>
          <w:lang w:val="hy-AM"/>
        </w:rPr>
      </w:pPr>
      <w:r w:rsidRPr="004118EA">
        <w:rPr>
          <w:rFonts w:cs="Sylfaen"/>
          <w:b w:val="0"/>
          <w:szCs w:val="22"/>
          <w:lang w:val="hy-AM"/>
        </w:rPr>
        <w:t>Գույքի և սարքավորումների վարձակալության գծով ծախսերը ծրագրավորվել են ներկայացված պայ</w:t>
      </w:r>
      <w:r w:rsidRPr="004118EA">
        <w:rPr>
          <w:rFonts w:cs="Sylfaen"/>
          <w:b w:val="0"/>
          <w:szCs w:val="22"/>
          <w:lang w:val="hy-AM"/>
        </w:rPr>
        <w:softHyphen/>
        <w:t>մանագրերին համապատասխան`  շուրջ 588</w:t>
      </w:r>
      <w:r w:rsidR="00E63472" w:rsidRPr="00E63472">
        <w:rPr>
          <w:rFonts w:cs="Sylfaen"/>
          <w:b w:val="0"/>
          <w:szCs w:val="22"/>
          <w:lang w:val="hy-AM"/>
        </w:rPr>
        <w:t>.</w:t>
      </w:r>
      <w:r w:rsidRPr="004118EA">
        <w:rPr>
          <w:rFonts w:cs="Sylfaen"/>
          <w:b w:val="0"/>
          <w:szCs w:val="22"/>
          <w:lang w:val="hy-AM"/>
        </w:rPr>
        <w:t>5 մլն դրամ:</w:t>
      </w:r>
    </w:p>
    <w:p w:rsidR="00236B20" w:rsidRPr="004118EA" w:rsidRDefault="00236B20" w:rsidP="007730AA">
      <w:pPr>
        <w:widowControl w:val="0"/>
        <w:tabs>
          <w:tab w:val="left" w:pos="851"/>
          <w:tab w:val="left" w:pos="993"/>
        </w:tabs>
        <w:spacing w:before="0" w:line="276" w:lineRule="auto"/>
        <w:rPr>
          <w:rFonts w:cs="Sylfaen"/>
          <w:b w:val="0"/>
          <w:szCs w:val="22"/>
          <w:lang w:val="hy-AM"/>
        </w:rPr>
      </w:pPr>
      <w:r w:rsidRPr="004118EA">
        <w:rPr>
          <w:rFonts w:cs="Sylfaen"/>
          <w:b w:val="0"/>
          <w:szCs w:val="22"/>
          <w:lang w:val="hy-AM"/>
        </w:rPr>
        <w:t>Արտագերատեսչական ծախսերի գծով նախատեսվել է 926</w:t>
      </w:r>
      <w:r w:rsidR="00E63472" w:rsidRPr="00E63472">
        <w:rPr>
          <w:rFonts w:cs="Sylfaen"/>
          <w:b w:val="0"/>
          <w:szCs w:val="22"/>
          <w:lang w:val="hy-AM"/>
        </w:rPr>
        <w:t>.</w:t>
      </w:r>
      <w:r w:rsidRPr="004118EA">
        <w:rPr>
          <w:rFonts w:cs="Sylfaen"/>
          <w:b w:val="0"/>
          <w:szCs w:val="22"/>
          <w:lang w:val="hy-AM"/>
        </w:rPr>
        <w:t>3 մլն դրամ, որը 2020 թվականի ծրագրավորվածից ավելի է 828</w:t>
      </w:r>
      <w:r w:rsidR="00E63472" w:rsidRPr="00E63472">
        <w:rPr>
          <w:rFonts w:cs="Sylfaen"/>
          <w:b w:val="0"/>
          <w:szCs w:val="22"/>
          <w:lang w:val="hy-AM"/>
        </w:rPr>
        <w:t>.</w:t>
      </w:r>
      <w:r w:rsidRPr="004118EA">
        <w:rPr>
          <w:rFonts w:cs="Sylfaen"/>
          <w:b w:val="0"/>
          <w:szCs w:val="22"/>
          <w:lang w:val="hy-AM"/>
        </w:rPr>
        <w:t>6 մլն դրամով, որը մասնավորապես պայմանավորված է ՊԵԿ-ի կողմից առանձին ստորաբաժանումների տարածքների պահպանության ծառայությունը մասնավոր կազմակերպությունից ձեռք բերելու (արտապատվիրակում) նախաձեռնությամբ։</w:t>
      </w:r>
    </w:p>
    <w:p w:rsidR="003F74AC" w:rsidRPr="003F74AC" w:rsidRDefault="003F74AC" w:rsidP="007730AA">
      <w:pPr>
        <w:widowControl w:val="0"/>
        <w:tabs>
          <w:tab w:val="left" w:pos="851"/>
          <w:tab w:val="left" w:pos="993"/>
        </w:tabs>
        <w:spacing w:before="0" w:line="276" w:lineRule="auto"/>
        <w:rPr>
          <w:rFonts w:cs="Sylfaen"/>
          <w:b w:val="0"/>
          <w:szCs w:val="22"/>
          <w:lang w:val="hy-AM"/>
        </w:rPr>
      </w:pPr>
      <w:r w:rsidRPr="00885973">
        <w:rPr>
          <w:rFonts w:cs="Sylfaen"/>
          <w:b w:val="0"/>
          <w:szCs w:val="22"/>
          <w:lang w:val="hy-AM"/>
        </w:rPr>
        <w:t>Ծ</w:t>
      </w:r>
      <w:r w:rsidRPr="003F74AC">
        <w:rPr>
          <w:rFonts w:cs="Sylfaen"/>
          <w:b w:val="0"/>
          <w:szCs w:val="22"/>
          <w:lang w:val="hy-AM"/>
        </w:rPr>
        <w:t xml:space="preserve">առայողական գործուղումների </w:t>
      </w:r>
      <w:r w:rsidRPr="00885973">
        <w:rPr>
          <w:rFonts w:cs="Sylfaen"/>
          <w:b w:val="0"/>
          <w:szCs w:val="22"/>
          <w:lang w:val="hy-AM"/>
        </w:rPr>
        <w:t>գծով</w:t>
      </w:r>
      <w:r w:rsidRPr="003F74AC">
        <w:rPr>
          <w:rFonts w:cs="Sylfaen"/>
          <w:b w:val="0"/>
          <w:szCs w:val="22"/>
          <w:lang w:val="hy-AM"/>
        </w:rPr>
        <w:t xml:space="preserve"> ծախսերը ծրագրավորվել են 3,341.8 մլն դրամի չափով:</w:t>
      </w:r>
    </w:p>
    <w:p w:rsidR="00236B20" w:rsidRPr="004118EA" w:rsidRDefault="00236B20" w:rsidP="007730AA">
      <w:pPr>
        <w:widowControl w:val="0"/>
        <w:tabs>
          <w:tab w:val="left" w:pos="851"/>
          <w:tab w:val="left" w:pos="993"/>
        </w:tabs>
        <w:spacing w:before="0" w:line="276" w:lineRule="auto"/>
        <w:rPr>
          <w:rFonts w:cs="Sylfaen"/>
          <w:b w:val="0"/>
          <w:szCs w:val="22"/>
          <w:lang w:val="af-ZA"/>
        </w:rPr>
      </w:pPr>
      <w:r w:rsidRPr="004118EA">
        <w:rPr>
          <w:rFonts w:cs="Sylfaen"/>
          <w:b w:val="0"/>
          <w:szCs w:val="22"/>
          <w:lang w:val="af-ZA"/>
        </w:rPr>
        <w:t xml:space="preserve">Պայմանագրային </w:t>
      </w:r>
      <w:r w:rsidRPr="004118EA">
        <w:rPr>
          <w:rFonts w:cs="Sylfaen"/>
          <w:b w:val="0"/>
          <w:szCs w:val="22"/>
          <w:lang w:val="hy-AM"/>
        </w:rPr>
        <w:t>ծառայությունների</w:t>
      </w:r>
      <w:r w:rsidRPr="004118EA">
        <w:rPr>
          <w:rFonts w:cs="Sylfaen"/>
          <w:b w:val="0"/>
          <w:szCs w:val="22"/>
          <w:lang w:val="af-ZA"/>
        </w:rPr>
        <w:t xml:space="preserve"> </w:t>
      </w:r>
      <w:r w:rsidRPr="004118EA">
        <w:rPr>
          <w:rFonts w:cs="Sylfaen"/>
          <w:b w:val="0"/>
          <w:szCs w:val="22"/>
          <w:lang w:val="hy-AM"/>
        </w:rPr>
        <w:t>ձեռք</w:t>
      </w:r>
      <w:r w:rsidRPr="004118EA">
        <w:rPr>
          <w:rFonts w:cs="Sylfaen"/>
          <w:b w:val="0"/>
          <w:szCs w:val="22"/>
          <w:lang w:val="af-ZA"/>
        </w:rPr>
        <w:t xml:space="preserve"> </w:t>
      </w:r>
      <w:r w:rsidRPr="004118EA">
        <w:rPr>
          <w:rFonts w:cs="Sylfaen"/>
          <w:b w:val="0"/>
          <w:szCs w:val="22"/>
          <w:lang w:val="hy-AM"/>
        </w:rPr>
        <w:t>բերման</w:t>
      </w:r>
      <w:r w:rsidRPr="004118EA">
        <w:rPr>
          <w:rFonts w:cs="Sylfaen"/>
          <w:b w:val="0"/>
          <w:szCs w:val="22"/>
          <w:lang w:val="af-ZA"/>
        </w:rPr>
        <w:t xml:space="preserve"> </w:t>
      </w:r>
      <w:r w:rsidRPr="004118EA">
        <w:rPr>
          <w:rFonts w:cs="Sylfaen"/>
          <w:b w:val="0"/>
          <w:szCs w:val="22"/>
          <w:lang w:val="hy-AM"/>
        </w:rPr>
        <w:t>ծախսերը</w:t>
      </w:r>
      <w:r w:rsidRPr="004118EA">
        <w:rPr>
          <w:rFonts w:cs="Sylfaen"/>
          <w:b w:val="0"/>
          <w:szCs w:val="22"/>
          <w:lang w:val="af-ZA"/>
        </w:rPr>
        <w:t xml:space="preserve"> </w:t>
      </w:r>
      <w:r w:rsidRPr="004118EA">
        <w:rPr>
          <w:rFonts w:cs="Sylfaen"/>
          <w:b w:val="0"/>
          <w:szCs w:val="22"/>
          <w:lang w:val="hy-AM"/>
        </w:rPr>
        <w:t>ծրագրավորվել</w:t>
      </w:r>
      <w:r w:rsidRPr="004118EA">
        <w:rPr>
          <w:rFonts w:cs="Sylfaen"/>
          <w:b w:val="0"/>
          <w:szCs w:val="22"/>
          <w:lang w:val="af-ZA"/>
        </w:rPr>
        <w:t xml:space="preserve"> են  5</w:t>
      </w:r>
      <w:r w:rsidR="00E63472" w:rsidRPr="00E63472">
        <w:rPr>
          <w:rFonts w:cs="Sylfaen"/>
          <w:b w:val="0"/>
          <w:szCs w:val="22"/>
          <w:lang w:val="hy-AM"/>
        </w:rPr>
        <w:t>,</w:t>
      </w:r>
      <w:r w:rsidRPr="004118EA">
        <w:rPr>
          <w:rFonts w:cs="Sylfaen"/>
          <w:b w:val="0"/>
          <w:szCs w:val="22"/>
          <w:lang w:val="af-ZA"/>
        </w:rPr>
        <w:t>0</w:t>
      </w:r>
      <w:r w:rsidR="00E63472" w:rsidRPr="00E63472">
        <w:rPr>
          <w:rFonts w:cs="Sylfaen"/>
          <w:b w:val="0"/>
          <w:szCs w:val="22"/>
          <w:lang w:val="hy-AM"/>
        </w:rPr>
        <w:t>98.9</w:t>
      </w:r>
      <w:r w:rsidRPr="004118EA">
        <w:rPr>
          <w:rFonts w:cs="Sylfaen"/>
          <w:b w:val="0"/>
          <w:szCs w:val="22"/>
          <w:lang w:val="af-ZA"/>
        </w:rPr>
        <w:t xml:space="preserve"> </w:t>
      </w:r>
      <w:r w:rsidRPr="004118EA">
        <w:rPr>
          <w:rFonts w:cs="Sylfaen"/>
          <w:b w:val="0"/>
          <w:szCs w:val="22"/>
          <w:lang w:val="hy-AM"/>
        </w:rPr>
        <w:t>մլն</w:t>
      </w:r>
      <w:r w:rsidRPr="004118EA">
        <w:rPr>
          <w:rFonts w:cs="Sylfaen"/>
          <w:b w:val="0"/>
          <w:szCs w:val="22"/>
          <w:lang w:val="af-ZA"/>
        </w:rPr>
        <w:t xml:space="preserve"> </w:t>
      </w:r>
      <w:r w:rsidRPr="004118EA">
        <w:rPr>
          <w:rFonts w:cs="Sylfaen"/>
          <w:b w:val="0"/>
          <w:szCs w:val="22"/>
          <w:lang w:val="hy-AM"/>
        </w:rPr>
        <w:t>դրամի</w:t>
      </w:r>
      <w:r w:rsidRPr="004118EA">
        <w:rPr>
          <w:rFonts w:cs="Sylfaen"/>
          <w:b w:val="0"/>
          <w:szCs w:val="22"/>
          <w:lang w:val="af-ZA"/>
        </w:rPr>
        <w:t xml:space="preserve"> </w:t>
      </w:r>
      <w:r w:rsidRPr="004118EA">
        <w:rPr>
          <w:rFonts w:cs="Sylfaen"/>
          <w:b w:val="0"/>
          <w:szCs w:val="22"/>
          <w:lang w:val="hy-AM"/>
        </w:rPr>
        <w:t>չափով</w:t>
      </w:r>
      <w:r w:rsidRPr="004118EA">
        <w:rPr>
          <w:rFonts w:cs="Sylfaen"/>
          <w:b w:val="0"/>
          <w:szCs w:val="22"/>
          <w:lang w:val="af-ZA"/>
        </w:rPr>
        <w:t xml:space="preserve">, </w:t>
      </w:r>
      <w:r w:rsidRPr="004118EA">
        <w:rPr>
          <w:rFonts w:cs="Sylfaen"/>
          <w:b w:val="0"/>
          <w:szCs w:val="22"/>
          <w:lang w:val="hy-AM"/>
        </w:rPr>
        <w:t>որը</w:t>
      </w:r>
      <w:r w:rsidRPr="004118EA">
        <w:rPr>
          <w:rFonts w:cs="Sylfaen"/>
          <w:b w:val="0"/>
          <w:szCs w:val="22"/>
          <w:lang w:val="af-ZA"/>
        </w:rPr>
        <w:t xml:space="preserve"> 20</w:t>
      </w:r>
      <w:r w:rsidRPr="004118EA">
        <w:rPr>
          <w:rFonts w:cs="Sylfaen"/>
          <w:b w:val="0"/>
          <w:szCs w:val="22"/>
          <w:lang w:val="hy-AM"/>
        </w:rPr>
        <w:t>20</w:t>
      </w:r>
      <w:r w:rsidRPr="004118EA">
        <w:rPr>
          <w:rFonts w:cs="Sylfaen"/>
          <w:b w:val="0"/>
          <w:szCs w:val="22"/>
          <w:lang w:val="af-ZA"/>
        </w:rPr>
        <w:t xml:space="preserve"> </w:t>
      </w:r>
      <w:r w:rsidRPr="004118EA">
        <w:rPr>
          <w:rFonts w:cs="Sylfaen"/>
          <w:b w:val="0"/>
          <w:szCs w:val="22"/>
          <w:lang w:val="hy-AM"/>
        </w:rPr>
        <w:t>թվականի</w:t>
      </w:r>
      <w:r w:rsidRPr="004118EA">
        <w:rPr>
          <w:rFonts w:cs="Sylfaen"/>
          <w:b w:val="0"/>
          <w:szCs w:val="22"/>
          <w:lang w:val="af-ZA"/>
        </w:rPr>
        <w:t xml:space="preserve"> </w:t>
      </w:r>
      <w:r w:rsidRPr="004118EA">
        <w:rPr>
          <w:rFonts w:cs="Sylfaen"/>
          <w:b w:val="0"/>
          <w:szCs w:val="22"/>
          <w:lang w:val="hy-AM"/>
        </w:rPr>
        <w:t>մակարդակից</w:t>
      </w:r>
      <w:r w:rsidRPr="004118EA">
        <w:rPr>
          <w:rFonts w:cs="Sylfaen"/>
          <w:b w:val="0"/>
          <w:szCs w:val="22"/>
          <w:lang w:val="af-ZA"/>
        </w:rPr>
        <w:t xml:space="preserve"> ավելի է</w:t>
      </w:r>
      <w:r w:rsidRPr="004118EA">
        <w:rPr>
          <w:rFonts w:cs="Sylfaen"/>
          <w:b w:val="0"/>
          <w:szCs w:val="22"/>
          <w:lang w:val="hy-AM"/>
        </w:rPr>
        <w:t xml:space="preserve"> 4</w:t>
      </w:r>
      <w:r w:rsidR="00E63472" w:rsidRPr="00E63472">
        <w:rPr>
          <w:rFonts w:cs="Sylfaen"/>
          <w:b w:val="0"/>
          <w:szCs w:val="22"/>
          <w:lang w:val="hy-AM"/>
        </w:rPr>
        <w:t>25</w:t>
      </w:r>
      <w:r w:rsidRPr="004118EA">
        <w:rPr>
          <w:rFonts w:cs="Sylfaen"/>
          <w:b w:val="0"/>
          <w:szCs w:val="22"/>
          <w:lang w:val="hy-AM"/>
        </w:rPr>
        <w:t>,</w:t>
      </w:r>
      <w:r w:rsidR="00E63472" w:rsidRPr="00E63472">
        <w:rPr>
          <w:rFonts w:cs="Sylfaen"/>
          <w:b w:val="0"/>
          <w:szCs w:val="22"/>
          <w:lang w:val="hy-AM"/>
        </w:rPr>
        <w:t>3</w:t>
      </w:r>
      <w:r w:rsidRPr="004118EA">
        <w:rPr>
          <w:rFonts w:cs="Sylfaen"/>
          <w:b w:val="0"/>
          <w:szCs w:val="22"/>
          <w:lang w:val="af-ZA"/>
        </w:rPr>
        <w:t xml:space="preserve"> </w:t>
      </w:r>
      <w:r w:rsidRPr="004118EA">
        <w:rPr>
          <w:rFonts w:cs="Sylfaen"/>
          <w:b w:val="0"/>
          <w:szCs w:val="22"/>
          <w:lang w:val="hy-AM"/>
        </w:rPr>
        <w:t>մլն</w:t>
      </w:r>
      <w:r w:rsidRPr="004118EA">
        <w:rPr>
          <w:rFonts w:cs="Sylfaen"/>
          <w:b w:val="0"/>
          <w:szCs w:val="22"/>
          <w:lang w:val="af-ZA"/>
        </w:rPr>
        <w:t xml:space="preserve"> </w:t>
      </w:r>
      <w:r w:rsidRPr="004118EA">
        <w:rPr>
          <w:rFonts w:cs="Sylfaen"/>
          <w:b w:val="0"/>
          <w:szCs w:val="22"/>
          <w:lang w:val="hy-AM"/>
        </w:rPr>
        <w:t>դրամով</w:t>
      </w:r>
      <w:r w:rsidRPr="004118EA">
        <w:rPr>
          <w:rFonts w:cs="Sylfaen"/>
          <w:b w:val="0"/>
          <w:szCs w:val="22"/>
          <w:lang w:val="af-ZA"/>
        </w:rPr>
        <w:t xml:space="preserve">: </w:t>
      </w:r>
      <w:r w:rsidRPr="004118EA">
        <w:rPr>
          <w:rFonts w:cs="Sylfaen"/>
          <w:b w:val="0"/>
          <w:szCs w:val="22"/>
          <w:lang w:val="hy-AM"/>
        </w:rPr>
        <w:t>Պայմա</w:t>
      </w:r>
      <w:r w:rsidRPr="004118EA">
        <w:rPr>
          <w:rFonts w:cs="Sylfaen"/>
          <w:b w:val="0"/>
          <w:szCs w:val="22"/>
          <w:lang w:val="af-ZA"/>
        </w:rPr>
        <w:softHyphen/>
      </w:r>
      <w:r w:rsidRPr="004118EA">
        <w:rPr>
          <w:rFonts w:cs="Sylfaen"/>
          <w:b w:val="0"/>
          <w:szCs w:val="22"/>
          <w:lang w:val="hy-AM"/>
        </w:rPr>
        <w:t>նագրային</w:t>
      </w:r>
      <w:r w:rsidRPr="004118EA">
        <w:rPr>
          <w:rFonts w:cs="Sylfaen"/>
          <w:b w:val="0"/>
          <w:szCs w:val="22"/>
          <w:lang w:val="af-ZA"/>
        </w:rPr>
        <w:t xml:space="preserve"> </w:t>
      </w:r>
      <w:r w:rsidRPr="004118EA">
        <w:rPr>
          <w:rFonts w:cs="Sylfaen"/>
          <w:b w:val="0"/>
          <w:szCs w:val="22"/>
          <w:lang w:val="hy-AM"/>
        </w:rPr>
        <w:t>ծառա</w:t>
      </w:r>
      <w:r w:rsidRPr="004118EA">
        <w:rPr>
          <w:rFonts w:cs="Sylfaen"/>
          <w:b w:val="0"/>
          <w:szCs w:val="22"/>
          <w:lang w:val="af-ZA"/>
        </w:rPr>
        <w:softHyphen/>
      </w:r>
      <w:r w:rsidRPr="004118EA">
        <w:rPr>
          <w:rFonts w:cs="Sylfaen"/>
          <w:b w:val="0"/>
          <w:szCs w:val="22"/>
          <w:lang w:val="hy-AM"/>
        </w:rPr>
        <w:t>յությունները</w:t>
      </w:r>
      <w:r w:rsidRPr="004118EA">
        <w:rPr>
          <w:rFonts w:cs="Sylfaen"/>
          <w:b w:val="0"/>
          <w:szCs w:val="22"/>
          <w:lang w:val="af-ZA"/>
        </w:rPr>
        <w:t xml:space="preserve"> </w:t>
      </w:r>
      <w:r w:rsidRPr="004118EA">
        <w:rPr>
          <w:rFonts w:cs="Sylfaen"/>
          <w:b w:val="0"/>
          <w:szCs w:val="22"/>
          <w:lang w:val="hy-AM"/>
        </w:rPr>
        <w:t>ներառում</w:t>
      </w:r>
      <w:r w:rsidRPr="004118EA">
        <w:rPr>
          <w:rFonts w:cs="Sylfaen"/>
          <w:b w:val="0"/>
          <w:szCs w:val="22"/>
          <w:lang w:val="af-ZA"/>
        </w:rPr>
        <w:t xml:space="preserve"> </w:t>
      </w:r>
      <w:r w:rsidRPr="004118EA">
        <w:rPr>
          <w:rFonts w:cs="Sylfaen"/>
          <w:b w:val="0"/>
          <w:szCs w:val="22"/>
          <w:lang w:val="hy-AM"/>
        </w:rPr>
        <w:t>են`</w:t>
      </w:r>
      <w:r w:rsidRPr="004118EA">
        <w:rPr>
          <w:rFonts w:cs="Sylfaen"/>
          <w:b w:val="0"/>
          <w:szCs w:val="22"/>
          <w:lang w:val="af-ZA"/>
        </w:rPr>
        <w:t xml:space="preserve"> </w:t>
      </w:r>
      <w:r w:rsidRPr="004118EA">
        <w:rPr>
          <w:rFonts w:cs="Sylfaen"/>
          <w:b w:val="0"/>
          <w:szCs w:val="22"/>
          <w:lang w:val="hy-AM"/>
        </w:rPr>
        <w:t>վար</w:t>
      </w:r>
      <w:r w:rsidRPr="004118EA">
        <w:rPr>
          <w:rFonts w:cs="Sylfaen"/>
          <w:b w:val="0"/>
          <w:szCs w:val="22"/>
          <w:lang w:val="af-ZA"/>
        </w:rPr>
        <w:softHyphen/>
      </w:r>
      <w:r w:rsidRPr="004118EA">
        <w:rPr>
          <w:rFonts w:cs="Sylfaen"/>
          <w:b w:val="0"/>
          <w:szCs w:val="22"/>
          <w:lang w:val="af-ZA"/>
        </w:rPr>
        <w:softHyphen/>
      </w:r>
      <w:r w:rsidRPr="004118EA">
        <w:rPr>
          <w:rFonts w:cs="Sylfaen"/>
          <w:b w:val="0"/>
          <w:szCs w:val="22"/>
          <w:lang w:val="hy-AM"/>
        </w:rPr>
        <w:t>չական</w:t>
      </w:r>
      <w:r w:rsidRPr="004118EA">
        <w:rPr>
          <w:rFonts w:cs="Sylfaen"/>
          <w:b w:val="0"/>
          <w:szCs w:val="22"/>
          <w:lang w:val="af-ZA"/>
        </w:rPr>
        <w:t xml:space="preserve"> </w:t>
      </w:r>
      <w:r w:rsidRPr="004118EA">
        <w:rPr>
          <w:rFonts w:cs="Sylfaen"/>
          <w:b w:val="0"/>
          <w:szCs w:val="22"/>
          <w:lang w:val="hy-AM"/>
        </w:rPr>
        <w:t>ծառայությունները</w:t>
      </w:r>
      <w:r w:rsidRPr="004118EA">
        <w:rPr>
          <w:rFonts w:cs="Sylfaen"/>
          <w:b w:val="0"/>
          <w:szCs w:val="22"/>
          <w:lang w:val="af-ZA"/>
        </w:rPr>
        <w:t xml:space="preserve">, </w:t>
      </w:r>
      <w:r w:rsidRPr="004118EA">
        <w:rPr>
          <w:rFonts w:cs="Sylfaen"/>
          <w:b w:val="0"/>
          <w:szCs w:val="22"/>
          <w:lang w:val="hy-AM"/>
        </w:rPr>
        <w:t>համակարգ</w:t>
      </w:r>
      <w:r w:rsidRPr="004118EA">
        <w:rPr>
          <w:rFonts w:cs="Sylfaen"/>
          <w:b w:val="0"/>
          <w:szCs w:val="22"/>
          <w:lang w:val="af-ZA"/>
        </w:rPr>
        <w:softHyphen/>
      </w:r>
      <w:r w:rsidRPr="004118EA">
        <w:rPr>
          <w:rFonts w:cs="Sylfaen"/>
          <w:b w:val="0"/>
          <w:szCs w:val="22"/>
          <w:lang w:val="hy-AM"/>
        </w:rPr>
        <w:t>չային</w:t>
      </w:r>
      <w:r w:rsidRPr="004118EA">
        <w:rPr>
          <w:rFonts w:cs="Sylfaen"/>
          <w:b w:val="0"/>
          <w:szCs w:val="22"/>
          <w:lang w:val="af-ZA"/>
        </w:rPr>
        <w:t xml:space="preserve"> </w:t>
      </w:r>
      <w:r w:rsidRPr="004118EA">
        <w:rPr>
          <w:rFonts w:cs="Sylfaen"/>
          <w:b w:val="0"/>
          <w:szCs w:val="22"/>
          <w:lang w:val="hy-AM"/>
        </w:rPr>
        <w:t>ծառայությունները</w:t>
      </w:r>
      <w:r w:rsidRPr="004118EA">
        <w:rPr>
          <w:rFonts w:cs="Sylfaen"/>
          <w:b w:val="0"/>
          <w:szCs w:val="22"/>
          <w:lang w:val="af-ZA"/>
        </w:rPr>
        <w:t xml:space="preserve">, </w:t>
      </w:r>
      <w:r w:rsidRPr="004118EA">
        <w:rPr>
          <w:rFonts w:cs="Sylfaen"/>
          <w:b w:val="0"/>
          <w:szCs w:val="22"/>
          <w:lang w:val="hy-AM"/>
        </w:rPr>
        <w:t>աշխատա</w:t>
      </w:r>
      <w:r w:rsidRPr="004118EA">
        <w:rPr>
          <w:rFonts w:cs="Sylfaen"/>
          <w:b w:val="0"/>
          <w:szCs w:val="22"/>
          <w:lang w:val="af-ZA"/>
        </w:rPr>
        <w:softHyphen/>
      </w:r>
      <w:r w:rsidRPr="004118EA">
        <w:rPr>
          <w:rFonts w:cs="Sylfaen"/>
          <w:b w:val="0"/>
          <w:szCs w:val="22"/>
          <w:lang w:val="hy-AM"/>
        </w:rPr>
        <w:t>կազմի</w:t>
      </w:r>
      <w:r w:rsidRPr="004118EA">
        <w:rPr>
          <w:rFonts w:cs="Sylfaen"/>
          <w:b w:val="0"/>
          <w:szCs w:val="22"/>
          <w:lang w:val="af-ZA"/>
        </w:rPr>
        <w:t xml:space="preserve"> </w:t>
      </w:r>
      <w:r w:rsidRPr="004118EA">
        <w:rPr>
          <w:rFonts w:cs="Sylfaen"/>
          <w:b w:val="0"/>
          <w:szCs w:val="22"/>
          <w:lang w:val="hy-AM"/>
        </w:rPr>
        <w:t>մաս</w:t>
      </w:r>
      <w:r w:rsidRPr="004118EA">
        <w:rPr>
          <w:rFonts w:cs="Sylfaen"/>
          <w:b w:val="0"/>
          <w:szCs w:val="22"/>
          <w:lang w:val="af-ZA"/>
        </w:rPr>
        <w:softHyphen/>
      </w:r>
      <w:r w:rsidRPr="004118EA">
        <w:rPr>
          <w:rFonts w:cs="Sylfaen"/>
          <w:b w:val="0"/>
          <w:szCs w:val="22"/>
          <w:lang w:val="hy-AM"/>
        </w:rPr>
        <w:t>նագի</w:t>
      </w:r>
      <w:r w:rsidRPr="004118EA">
        <w:rPr>
          <w:rFonts w:cs="Sylfaen"/>
          <w:b w:val="0"/>
          <w:szCs w:val="22"/>
          <w:lang w:val="af-ZA"/>
        </w:rPr>
        <w:softHyphen/>
      </w:r>
      <w:r w:rsidRPr="004118EA">
        <w:rPr>
          <w:rFonts w:cs="Sylfaen"/>
          <w:b w:val="0"/>
          <w:szCs w:val="22"/>
          <w:lang w:val="hy-AM"/>
        </w:rPr>
        <w:t>տա</w:t>
      </w:r>
      <w:r w:rsidRPr="004118EA">
        <w:rPr>
          <w:rFonts w:cs="Sylfaen"/>
          <w:b w:val="0"/>
          <w:szCs w:val="22"/>
          <w:lang w:val="af-ZA"/>
        </w:rPr>
        <w:softHyphen/>
      </w:r>
      <w:r w:rsidRPr="004118EA">
        <w:rPr>
          <w:rFonts w:cs="Sylfaen"/>
          <w:b w:val="0"/>
          <w:szCs w:val="22"/>
          <w:lang w:val="hy-AM"/>
        </w:rPr>
        <w:t>կան</w:t>
      </w:r>
      <w:r w:rsidRPr="004118EA">
        <w:rPr>
          <w:rFonts w:cs="Sylfaen"/>
          <w:b w:val="0"/>
          <w:szCs w:val="22"/>
          <w:lang w:val="af-ZA"/>
        </w:rPr>
        <w:t xml:space="preserve"> </w:t>
      </w:r>
      <w:r w:rsidRPr="004118EA">
        <w:rPr>
          <w:rFonts w:cs="Sylfaen"/>
          <w:b w:val="0"/>
          <w:szCs w:val="22"/>
          <w:lang w:val="hy-AM"/>
        </w:rPr>
        <w:t>զարգացման</w:t>
      </w:r>
      <w:r w:rsidRPr="004118EA">
        <w:rPr>
          <w:rFonts w:cs="Sylfaen"/>
          <w:b w:val="0"/>
          <w:szCs w:val="22"/>
          <w:lang w:val="af-ZA"/>
        </w:rPr>
        <w:t xml:space="preserve"> </w:t>
      </w:r>
      <w:r w:rsidRPr="004118EA">
        <w:rPr>
          <w:rFonts w:cs="Sylfaen"/>
          <w:b w:val="0"/>
          <w:szCs w:val="22"/>
          <w:lang w:val="hy-AM"/>
        </w:rPr>
        <w:t>ծառայությունները</w:t>
      </w:r>
      <w:r w:rsidRPr="004118EA">
        <w:rPr>
          <w:rFonts w:cs="Sylfaen"/>
          <w:b w:val="0"/>
          <w:szCs w:val="22"/>
          <w:lang w:val="af-ZA"/>
        </w:rPr>
        <w:t xml:space="preserve">, </w:t>
      </w:r>
      <w:r w:rsidRPr="004118EA">
        <w:rPr>
          <w:rFonts w:cs="Sylfaen"/>
          <w:b w:val="0"/>
          <w:szCs w:val="22"/>
          <w:lang w:val="hy-AM"/>
        </w:rPr>
        <w:t>տեղե</w:t>
      </w:r>
      <w:r w:rsidRPr="004118EA">
        <w:rPr>
          <w:rFonts w:cs="Sylfaen"/>
          <w:b w:val="0"/>
          <w:szCs w:val="22"/>
          <w:lang w:val="af-ZA"/>
        </w:rPr>
        <w:softHyphen/>
      </w:r>
      <w:r w:rsidRPr="004118EA">
        <w:rPr>
          <w:rFonts w:cs="Sylfaen"/>
          <w:b w:val="0"/>
          <w:szCs w:val="22"/>
          <w:lang w:val="hy-AM"/>
        </w:rPr>
        <w:t>կատվական</w:t>
      </w:r>
      <w:r w:rsidRPr="004118EA">
        <w:rPr>
          <w:rFonts w:cs="Sylfaen"/>
          <w:b w:val="0"/>
          <w:szCs w:val="22"/>
          <w:lang w:val="af-ZA"/>
        </w:rPr>
        <w:t xml:space="preserve"> </w:t>
      </w:r>
      <w:r w:rsidRPr="004118EA">
        <w:rPr>
          <w:rFonts w:cs="Sylfaen"/>
          <w:b w:val="0"/>
          <w:szCs w:val="22"/>
          <w:lang w:val="hy-AM"/>
        </w:rPr>
        <w:t>ծառայություն</w:t>
      </w:r>
      <w:r w:rsidRPr="004118EA">
        <w:rPr>
          <w:rFonts w:cs="Sylfaen"/>
          <w:b w:val="0"/>
          <w:szCs w:val="22"/>
          <w:lang w:val="af-ZA"/>
        </w:rPr>
        <w:softHyphen/>
      </w:r>
      <w:r w:rsidRPr="004118EA">
        <w:rPr>
          <w:rFonts w:cs="Sylfaen"/>
          <w:b w:val="0"/>
          <w:szCs w:val="22"/>
          <w:lang w:val="hy-AM"/>
        </w:rPr>
        <w:t>ները</w:t>
      </w:r>
      <w:r w:rsidRPr="004118EA">
        <w:rPr>
          <w:rFonts w:cs="Sylfaen"/>
          <w:b w:val="0"/>
          <w:szCs w:val="22"/>
          <w:lang w:val="af-ZA"/>
        </w:rPr>
        <w:t xml:space="preserve">, </w:t>
      </w:r>
      <w:r w:rsidRPr="004118EA">
        <w:rPr>
          <w:rFonts w:cs="Sylfaen"/>
          <w:b w:val="0"/>
          <w:szCs w:val="22"/>
          <w:lang w:val="hy-AM"/>
        </w:rPr>
        <w:t>կառա</w:t>
      </w:r>
      <w:r w:rsidRPr="004118EA">
        <w:rPr>
          <w:rFonts w:cs="Sylfaen"/>
          <w:b w:val="0"/>
          <w:szCs w:val="22"/>
          <w:lang w:val="af-ZA"/>
        </w:rPr>
        <w:softHyphen/>
      </w:r>
      <w:r w:rsidRPr="004118EA">
        <w:rPr>
          <w:rFonts w:cs="Sylfaen"/>
          <w:b w:val="0"/>
          <w:szCs w:val="22"/>
          <w:lang w:val="hy-AM"/>
        </w:rPr>
        <w:t>վար</w:t>
      </w:r>
      <w:r w:rsidRPr="004118EA">
        <w:rPr>
          <w:rFonts w:cs="Sylfaen"/>
          <w:b w:val="0"/>
          <w:szCs w:val="22"/>
          <w:lang w:val="af-ZA"/>
        </w:rPr>
        <w:softHyphen/>
      </w:r>
      <w:r w:rsidRPr="004118EA">
        <w:rPr>
          <w:rFonts w:cs="Sylfaen"/>
          <w:b w:val="0"/>
          <w:szCs w:val="22"/>
          <w:lang w:val="hy-AM"/>
        </w:rPr>
        <w:t>չական</w:t>
      </w:r>
      <w:r w:rsidRPr="004118EA">
        <w:rPr>
          <w:rFonts w:cs="Sylfaen"/>
          <w:b w:val="0"/>
          <w:szCs w:val="22"/>
          <w:lang w:val="af-ZA"/>
        </w:rPr>
        <w:t xml:space="preserve"> </w:t>
      </w:r>
      <w:r w:rsidRPr="004118EA">
        <w:rPr>
          <w:rFonts w:cs="Sylfaen"/>
          <w:b w:val="0"/>
          <w:szCs w:val="22"/>
          <w:lang w:val="hy-AM"/>
        </w:rPr>
        <w:t>ծառա</w:t>
      </w:r>
      <w:r w:rsidRPr="004118EA">
        <w:rPr>
          <w:rFonts w:cs="Sylfaen"/>
          <w:b w:val="0"/>
          <w:szCs w:val="22"/>
          <w:lang w:val="af-ZA"/>
        </w:rPr>
        <w:softHyphen/>
      </w:r>
      <w:r w:rsidRPr="004118EA">
        <w:rPr>
          <w:rFonts w:cs="Sylfaen"/>
          <w:b w:val="0"/>
          <w:szCs w:val="22"/>
          <w:lang w:val="hy-AM"/>
        </w:rPr>
        <w:t>յությունները</w:t>
      </w:r>
      <w:r w:rsidRPr="004118EA">
        <w:rPr>
          <w:rFonts w:cs="Sylfaen"/>
          <w:b w:val="0"/>
          <w:szCs w:val="22"/>
          <w:lang w:val="af-ZA"/>
        </w:rPr>
        <w:t xml:space="preserve">, </w:t>
      </w:r>
      <w:r w:rsidRPr="004118EA">
        <w:rPr>
          <w:rFonts w:cs="Sylfaen"/>
          <w:b w:val="0"/>
          <w:szCs w:val="22"/>
          <w:lang w:val="hy-AM"/>
        </w:rPr>
        <w:t>կենցաղային</w:t>
      </w:r>
      <w:r w:rsidRPr="004118EA">
        <w:rPr>
          <w:rFonts w:cs="Sylfaen"/>
          <w:b w:val="0"/>
          <w:szCs w:val="22"/>
          <w:lang w:val="af-ZA"/>
        </w:rPr>
        <w:t xml:space="preserve"> </w:t>
      </w:r>
      <w:r w:rsidRPr="004118EA">
        <w:rPr>
          <w:rFonts w:cs="Sylfaen"/>
          <w:b w:val="0"/>
          <w:szCs w:val="22"/>
          <w:lang w:val="hy-AM"/>
        </w:rPr>
        <w:t>և</w:t>
      </w:r>
      <w:r w:rsidRPr="004118EA">
        <w:rPr>
          <w:rFonts w:cs="Sylfaen"/>
          <w:b w:val="0"/>
          <w:szCs w:val="22"/>
          <w:lang w:val="af-ZA"/>
        </w:rPr>
        <w:t xml:space="preserve"> </w:t>
      </w:r>
      <w:r w:rsidRPr="004118EA">
        <w:rPr>
          <w:rFonts w:cs="Sylfaen"/>
          <w:b w:val="0"/>
          <w:szCs w:val="22"/>
          <w:lang w:val="hy-AM"/>
        </w:rPr>
        <w:t>հանրային</w:t>
      </w:r>
      <w:r w:rsidRPr="004118EA">
        <w:rPr>
          <w:rFonts w:cs="Sylfaen"/>
          <w:b w:val="0"/>
          <w:szCs w:val="22"/>
          <w:lang w:val="af-ZA"/>
        </w:rPr>
        <w:t xml:space="preserve"> </w:t>
      </w:r>
      <w:r w:rsidRPr="004118EA">
        <w:rPr>
          <w:rFonts w:cs="Sylfaen"/>
          <w:b w:val="0"/>
          <w:szCs w:val="22"/>
          <w:lang w:val="hy-AM"/>
        </w:rPr>
        <w:t>սննդի</w:t>
      </w:r>
      <w:r w:rsidRPr="004118EA">
        <w:rPr>
          <w:rFonts w:cs="Sylfaen"/>
          <w:b w:val="0"/>
          <w:szCs w:val="22"/>
          <w:lang w:val="af-ZA"/>
        </w:rPr>
        <w:t xml:space="preserve"> </w:t>
      </w:r>
      <w:r w:rsidRPr="004118EA">
        <w:rPr>
          <w:rFonts w:cs="Sylfaen"/>
          <w:b w:val="0"/>
          <w:szCs w:val="22"/>
          <w:lang w:val="hy-AM"/>
        </w:rPr>
        <w:t>ծառայու</w:t>
      </w:r>
      <w:r w:rsidRPr="004118EA">
        <w:rPr>
          <w:rFonts w:cs="Sylfaen"/>
          <w:b w:val="0"/>
          <w:szCs w:val="22"/>
          <w:lang w:val="af-ZA"/>
        </w:rPr>
        <w:softHyphen/>
      </w:r>
      <w:r w:rsidRPr="004118EA">
        <w:rPr>
          <w:rFonts w:cs="Sylfaen"/>
          <w:b w:val="0"/>
          <w:szCs w:val="22"/>
          <w:lang w:val="hy-AM"/>
        </w:rPr>
        <w:t>թյունները</w:t>
      </w:r>
      <w:r w:rsidRPr="004118EA">
        <w:rPr>
          <w:rFonts w:cs="Sylfaen"/>
          <w:b w:val="0"/>
          <w:szCs w:val="22"/>
          <w:lang w:val="af-ZA"/>
        </w:rPr>
        <w:t xml:space="preserve">, </w:t>
      </w:r>
      <w:r w:rsidRPr="004118EA">
        <w:rPr>
          <w:rFonts w:cs="Sylfaen"/>
          <w:b w:val="0"/>
          <w:szCs w:val="22"/>
          <w:lang w:val="hy-AM"/>
        </w:rPr>
        <w:t>ներկա</w:t>
      </w:r>
      <w:r w:rsidRPr="004118EA">
        <w:rPr>
          <w:rFonts w:cs="Sylfaen"/>
          <w:b w:val="0"/>
          <w:szCs w:val="22"/>
          <w:lang w:val="af-ZA"/>
        </w:rPr>
        <w:softHyphen/>
      </w:r>
      <w:r w:rsidRPr="004118EA">
        <w:rPr>
          <w:rFonts w:cs="Sylfaen"/>
          <w:b w:val="0"/>
          <w:szCs w:val="22"/>
          <w:lang w:val="hy-AM"/>
        </w:rPr>
        <w:t>յացուց</w:t>
      </w:r>
      <w:r w:rsidRPr="004118EA">
        <w:rPr>
          <w:rFonts w:cs="Sylfaen"/>
          <w:b w:val="0"/>
          <w:szCs w:val="22"/>
          <w:lang w:val="af-ZA"/>
        </w:rPr>
        <w:softHyphen/>
      </w:r>
      <w:r w:rsidRPr="004118EA">
        <w:rPr>
          <w:rFonts w:cs="Sylfaen"/>
          <w:b w:val="0"/>
          <w:szCs w:val="22"/>
          <w:lang w:val="hy-AM"/>
        </w:rPr>
        <w:t>չական</w:t>
      </w:r>
      <w:r w:rsidRPr="004118EA">
        <w:rPr>
          <w:rFonts w:cs="Sylfaen"/>
          <w:b w:val="0"/>
          <w:szCs w:val="22"/>
          <w:lang w:val="af-ZA"/>
        </w:rPr>
        <w:t xml:space="preserve"> </w:t>
      </w:r>
      <w:r w:rsidRPr="004118EA">
        <w:rPr>
          <w:rFonts w:cs="Sylfaen"/>
          <w:b w:val="0"/>
          <w:szCs w:val="22"/>
          <w:lang w:val="hy-AM"/>
        </w:rPr>
        <w:t>ծախսերը</w:t>
      </w:r>
      <w:r w:rsidRPr="004118EA">
        <w:rPr>
          <w:rFonts w:cs="Sylfaen"/>
          <w:b w:val="0"/>
          <w:szCs w:val="22"/>
          <w:lang w:val="af-ZA"/>
        </w:rPr>
        <w:t xml:space="preserve"> </w:t>
      </w:r>
      <w:r w:rsidRPr="004118EA">
        <w:rPr>
          <w:rFonts w:cs="Sylfaen"/>
          <w:b w:val="0"/>
          <w:szCs w:val="22"/>
          <w:lang w:val="hy-AM"/>
        </w:rPr>
        <w:t>և</w:t>
      </w:r>
      <w:r w:rsidRPr="004118EA">
        <w:rPr>
          <w:rFonts w:cs="Sylfaen"/>
          <w:b w:val="0"/>
          <w:szCs w:val="22"/>
          <w:lang w:val="af-ZA"/>
        </w:rPr>
        <w:t xml:space="preserve"> </w:t>
      </w:r>
      <w:r w:rsidRPr="004118EA">
        <w:rPr>
          <w:rFonts w:cs="Sylfaen"/>
          <w:b w:val="0"/>
          <w:szCs w:val="22"/>
          <w:lang w:val="hy-AM"/>
        </w:rPr>
        <w:t>ընդհանուր</w:t>
      </w:r>
      <w:r w:rsidRPr="004118EA">
        <w:rPr>
          <w:rFonts w:cs="Sylfaen"/>
          <w:b w:val="0"/>
          <w:szCs w:val="22"/>
          <w:lang w:val="af-ZA"/>
        </w:rPr>
        <w:t xml:space="preserve"> </w:t>
      </w:r>
      <w:r w:rsidRPr="004118EA">
        <w:rPr>
          <w:rFonts w:cs="Sylfaen"/>
          <w:b w:val="0"/>
          <w:szCs w:val="22"/>
          <w:lang w:val="hy-AM"/>
        </w:rPr>
        <w:t>բնույթի</w:t>
      </w:r>
      <w:r w:rsidRPr="004118EA">
        <w:rPr>
          <w:rFonts w:cs="Sylfaen"/>
          <w:b w:val="0"/>
          <w:szCs w:val="22"/>
          <w:lang w:val="af-ZA"/>
        </w:rPr>
        <w:t xml:space="preserve"> </w:t>
      </w:r>
      <w:r w:rsidRPr="004118EA">
        <w:rPr>
          <w:rFonts w:cs="Sylfaen"/>
          <w:b w:val="0"/>
          <w:szCs w:val="22"/>
          <w:lang w:val="hy-AM"/>
        </w:rPr>
        <w:t>այլ</w:t>
      </w:r>
      <w:r w:rsidRPr="004118EA">
        <w:rPr>
          <w:rFonts w:cs="Sylfaen"/>
          <w:b w:val="0"/>
          <w:szCs w:val="22"/>
          <w:lang w:val="af-ZA"/>
        </w:rPr>
        <w:t xml:space="preserve"> </w:t>
      </w:r>
      <w:r w:rsidRPr="004118EA">
        <w:rPr>
          <w:rFonts w:cs="Sylfaen"/>
          <w:b w:val="0"/>
          <w:szCs w:val="22"/>
          <w:lang w:val="hy-AM"/>
        </w:rPr>
        <w:t>ծառայությունները</w:t>
      </w:r>
      <w:r w:rsidRPr="004118EA">
        <w:rPr>
          <w:rFonts w:cs="Sylfaen"/>
          <w:b w:val="0"/>
          <w:szCs w:val="22"/>
          <w:lang w:val="af-ZA"/>
        </w:rPr>
        <w:t xml:space="preserve">: </w:t>
      </w:r>
    </w:p>
    <w:p w:rsidR="00236B20" w:rsidRPr="004118EA" w:rsidRDefault="00236B20" w:rsidP="007730AA">
      <w:pPr>
        <w:widowControl w:val="0"/>
        <w:tabs>
          <w:tab w:val="left" w:pos="851"/>
          <w:tab w:val="left" w:pos="993"/>
        </w:tabs>
        <w:spacing w:before="0" w:line="276" w:lineRule="auto"/>
        <w:rPr>
          <w:rFonts w:cs="Sylfaen"/>
          <w:b w:val="0"/>
          <w:szCs w:val="22"/>
          <w:lang w:val="hy-AM"/>
        </w:rPr>
      </w:pPr>
      <w:r w:rsidRPr="004118EA">
        <w:rPr>
          <w:rFonts w:cs="Sylfaen"/>
          <w:b w:val="0"/>
          <w:szCs w:val="22"/>
          <w:lang w:val="hy-AM"/>
        </w:rPr>
        <w:t>Նյութեր - ծախսերը ծրագրավորվել են 1</w:t>
      </w:r>
      <w:r w:rsidR="00E63472" w:rsidRPr="00E63472">
        <w:rPr>
          <w:rFonts w:cs="Sylfaen"/>
          <w:b w:val="0"/>
          <w:szCs w:val="22"/>
          <w:lang w:val="af-ZA"/>
        </w:rPr>
        <w:t>,</w:t>
      </w:r>
      <w:r w:rsidRPr="004118EA">
        <w:rPr>
          <w:rFonts w:cs="Sylfaen"/>
          <w:b w:val="0"/>
          <w:szCs w:val="22"/>
          <w:lang w:val="hy-AM"/>
        </w:rPr>
        <w:t>8</w:t>
      </w:r>
      <w:r w:rsidR="00E63472" w:rsidRPr="00E63472">
        <w:rPr>
          <w:rFonts w:cs="Sylfaen"/>
          <w:b w:val="0"/>
          <w:szCs w:val="22"/>
          <w:lang w:val="af-ZA"/>
        </w:rPr>
        <w:t>35.3</w:t>
      </w:r>
      <w:r w:rsidRPr="004118EA">
        <w:rPr>
          <w:rFonts w:cs="Sylfaen"/>
          <w:b w:val="0"/>
          <w:szCs w:val="22"/>
          <w:lang w:val="hy-AM"/>
        </w:rPr>
        <w:t xml:space="preserve"> մլն դրամի չափով, որը 2020 թվականի ծրագրա</w:t>
      </w:r>
      <w:r w:rsidRPr="004118EA">
        <w:rPr>
          <w:rFonts w:cs="Sylfaen"/>
          <w:b w:val="0"/>
          <w:szCs w:val="22"/>
          <w:lang w:val="hy-AM"/>
        </w:rPr>
        <w:softHyphen/>
        <w:t>վոր</w:t>
      </w:r>
      <w:r w:rsidRPr="004118EA">
        <w:rPr>
          <w:rFonts w:cs="Sylfaen"/>
          <w:b w:val="0"/>
          <w:szCs w:val="22"/>
          <w:lang w:val="hy-AM"/>
        </w:rPr>
        <w:softHyphen/>
        <w:t>վածից ավելի է 183</w:t>
      </w:r>
      <w:r w:rsidR="00E63472" w:rsidRPr="00E63472">
        <w:rPr>
          <w:rFonts w:cs="Sylfaen"/>
          <w:b w:val="0"/>
          <w:szCs w:val="22"/>
          <w:lang w:val="af-ZA"/>
        </w:rPr>
        <w:t>.0</w:t>
      </w:r>
      <w:r w:rsidRPr="004118EA">
        <w:rPr>
          <w:rFonts w:cs="Sylfaen"/>
          <w:b w:val="0"/>
          <w:szCs w:val="22"/>
          <w:lang w:val="hy-AM"/>
        </w:rPr>
        <w:t xml:space="preserve"> մլն դրամով: Նյութերը ներառում են գրասենյակային նյութերի, գյու</w:t>
      </w:r>
      <w:r w:rsidRPr="004118EA">
        <w:rPr>
          <w:rFonts w:cs="Sylfaen"/>
          <w:b w:val="0"/>
          <w:szCs w:val="22"/>
          <w:lang w:val="hy-AM"/>
        </w:rPr>
        <w:softHyphen/>
        <w:t>ղատնտեսական ապրանքների, առողջապահական և լաբորատոր նյութերի, կենցաղային և հանրային սննդի նյութերի և հատուկ նպատակային այլ նյութերի ձեռք բերման, ինչպես նաև ՀՀ օրենսդրությանը համա</w:t>
      </w:r>
      <w:r w:rsidRPr="004118EA">
        <w:rPr>
          <w:rFonts w:cs="Sylfaen"/>
          <w:b w:val="0"/>
          <w:szCs w:val="22"/>
          <w:lang w:val="hy-AM"/>
        </w:rPr>
        <w:softHyphen/>
        <w:t>պա</w:t>
      </w:r>
      <w:r w:rsidRPr="004118EA">
        <w:rPr>
          <w:rFonts w:cs="Sylfaen"/>
          <w:b w:val="0"/>
          <w:szCs w:val="22"/>
          <w:lang w:val="hy-AM"/>
        </w:rPr>
        <w:softHyphen/>
        <w:t>տասխան` դատախազների, քննչական կոմիտեի ծառայողների, հատուկ քննչական ծառայողների, ՀՀ դատա</w:t>
      </w:r>
      <w:r w:rsidRPr="004118EA">
        <w:rPr>
          <w:rFonts w:cs="Sylfaen"/>
          <w:b w:val="0"/>
          <w:szCs w:val="22"/>
          <w:lang w:val="hy-AM"/>
        </w:rPr>
        <w:softHyphen/>
        <w:t>րանների դատական կարգադրիչների, հարկադիր կատա</w:t>
      </w:r>
      <w:r w:rsidRPr="004118EA">
        <w:rPr>
          <w:rFonts w:cs="Sylfaen"/>
          <w:b w:val="0"/>
          <w:szCs w:val="22"/>
          <w:lang w:val="hy-AM"/>
        </w:rPr>
        <w:softHyphen/>
        <w:t>րող</w:t>
      </w:r>
      <w:r w:rsidRPr="004118EA">
        <w:rPr>
          <w:rFonts w:cs="Sylfaen"/>
          <w:b w:val="0"/>
          <w:szCs w:val="22"/>
          <w:lang w:val="hy-AM"/>
        </w:rPr>
        <w:softHyphen/>
        <w:t>ների, բնապահպանական տեսուչների, հարկային և մաքսային ծառայողների մասնագի</w:t>
      </w:r>
      <w:r w:rsidRPr="004118EA">
        <w:rPr>
          <w:rFonts w:cs="Sylfaen"/>
          <w:b w:val="0"/>
          <w:szCs w:val="22"/>
          <w:lang w:val="hy-AM"/>
        </w:rPr>
        <w:softHyphen/>
        <w:t>տական հա</w:t>
      </w:r>
      <w:r w:rsidRPr="004118EA">
        <w:rPr>
          <w:rFonts w:cs="Sylfaen"/>
          <w:b w:val="0"/>
          <w:szCs w:val="22"/>
          <w:lang w:val="hy-AM"/>
        </w:rPr>
        <w:softHyphen/>
        <w:t>մազգես</w:t>
      </w:r>
      <w:r w:rsidRPr="004118EA">
        <w:rPr>
          <w:rFonts w:cs="Sylfaen"/>
          <w:b w:val="0"/>
          <w:szCs w:val="22"/>
          <w:lang w:val="hy-AM"/>
        </w:rPr>
        <w:softHyphen/>
        <w:t>տ</w:t>
      </w:r>
      <w:r w:rsidRPr="004118EA">
        <w:rPr>
          <w:rFonts w:cs="Sylfaen"/>
          <w:b w:val="0"/>
          <w:szCs w:val="22"/>
          <w:lang w:val="hy-AM"/>
        </w:rPr>
        <w:softHyphen/>
        <w:t>ների ձեռքբերման ծախսերը, որը ծրագրավորվում է հիմք ընդունելով համազգեստները կրելու օրենսդրությամբ սահմանված կարգը և ժամկետները:</w:t>
      </w:r>
    </w:p>
    <w:p w:rsidR="00236B20" w:rsidRPr="004118EA" w:rsidRDefault="00236B20" w:rsidP="007730AA">
      <w:pPr>
        <w:widowControl w:val="0"/>
        <w:tabs>
          <w:tab w:val="left" w:pos="851"/>
          <w:tab w:val="left" w:pos="993"/>
        </w:tabs>
        <w:spacing w:before="0" w:line="276" w:lineRule="auto"/>
        <w:rPr>
          <w:rFonts w:cs="Sylfaen"/>
          <w:b w:val="0"/>
          <w:szCs w:val="22"/>
          <w:lang w:val="hy-AM"/>
        </w:rPr>
      </w:pPr>
      <w:r w:rsidRPr="004118EA">
        <w:rPr>
          <w:rFonts w:cs="Sylfaen"/>
          <w:b w:val="0"/>
          <w:szCs w:val="22"/>
          <w:lang w:val="hy-AM"/>
        </w:rPr>
        <w:t>Տրանսպորտային միջոցների պահպանման ծախսերը ծրագրա</w:t>
      </w:r>
      <w:r w:rsidRPr="004118EA">
        <w:rPr>
          <w:rFonts w:cs="Sylfaen"/>
          <w:b w:val="0"/>
          <w:szCs w:val="22"/>
          <w:lang w:val="hy-AM"/>
        </w:rPr>
        <w:softHyphen/>
      </w:r>
      <w:r w:rsidRPr="004118EA">
        <w:rPr>
          <w:rFonts w:cs="Sylfaen"/>
          <w:b w:val="0"/>
          <w:szCs w:val="22"/>
          <w:lang w:val="hy-AM"/>
        </w:rPr>
        <w:softHyphen/>
      </w:r>
      <w:r w:rsidRPr="004118EA">
        <w:rPr>
          <w:rFonts w:cs="Sylfaen"/>
          <w:b w:val="0"/>
          <w:szCs w:val="22"/>
          <w:lang w:val="hy-AM"/>
        </w:rPr>
        <w:softHyphen/>
        <w:t>վորվել են 1</w:t>
      </w:r>
      <w:r w:rsidR="00E63472">
        <w:rPr>
          <w:rFonts w:ascii="Calibri" w:hAnsi="Calibri" w:cs="Calibri"/>
          <w:b w:val="0"/>
          <w:szCs w:val="22"/>
          <w:lang w:val="hy-AM"/>
        </w:rPr>
        <w:t>,</w:t>
      </w:r>
      <w:r w:rsidRPr="004118EA">
        <w:rPr>
          <w:rFonts w:cs="Sylfaen"/>
          <w:b w:val="0"/>
          <w:szCs w:val="22"/>
          <w:lang w:val="hy-AM"/>
        </w:rPr>
        <w:t>20</w:t>
      </w:r>
      <w:r w:rsidR="00E63472" w:rsidRPr="00E63472">
        <w:rPr>
          <w:rFonts w:cs="Sylfaen"/>
          <w:b w:val="0"/>
          <w:szCs w:val="22"/>
          <w:lang w:val="hy-AM"/>
        </w:rPr>
        <w:t>5.5</w:t>
      </w:r>
      <w:r w:rsidRPr="004118EA">
        <w:rPr>
          <w:rFonts w:cs="Sylfaen"/>
          <w:b w:val="0"/>
          <w:szCs w:val="22"/>
          <w:lang w:val="hy-AM"/>
        </w:rPr>
        <w:t xml:space="preserve"> մլն դրամի չափով, որը 2020 թ</w:t>
      </w:r>
      <w:r w:rsidR="00E63472">
        <w:rPr>
          <w:rFonts w:cs="Sylfaen"/>
          <w:b w:val="0"/>
          <w:szCs w:val="22"/>
          <w:lang w:val="hy-AM"/>
        </w:rPr>
        <w:t>վականի ծրագրավորվածից պակաս է 22</w:t>
      </w:r>
      <w:r w:rsidR="00E63472" w:rsidRPr="00E63472">
        <w:rPr>
          <w:rFonts w:cs="Sylfaen"/>
          <w:b w:val="0"/>
          <w:szCs w:val="22"/>
          <w:lang w:val="hy-AM"/>
        </w:rPr>
        <w:t>.8</w:t>
      </w:r>
      <w:r w:rsidRPr="004118EA">
        <w:rPr>
          <w:rFonts w:cs="Sylfaen"/>
          <w:b w:val="0"/>
          <w:szCs w:val="22"/>
          <w:lang w:val="hy-AM"/>
        </w:rPr>
        <w:t xml:space="preserve"> մլն դրամով: Այս ծախսերը տարան</w:t>
      </w:r>
      <w:r w:rsidRPr="004118EA">
        <w:rPr>
          <w:rFonts w:cs="Sylfaen"/>
          <w:b w:val="0"/>
          <w:szCs w:val="22"/>
          <w:lang w:val="hy-AM"/>
        </w:rPr>
        <w:softHyphen/>
        <w:t>ջատ</w:t>
      </w:r>
      <w:r w:rsidRPr="004118EA">
        <w:rPr>
          <w:rFonts w:cs="Sylfaen"/>
          <w:b w:val="0"/>
          <w:szCs w:val="22"/>
          <w:lang w:val="hy-AM"/>
        </w:rPr>
        <w:softHyphen/>
        <w:t>ված են բյուջետային ծախ</w:t>
      </w:r>
      <w:r w:rsidRPr="004118EA">
        <w:rPr>
          <w:rFonts w:cs="Sylfaen"/>
          <w:b w:val="0"/>
          <w:szCs w:val="22"/>
          <w:lang w:val="hy-AM"/>
        </w:rPr>
        <w:softHyphen/>
        <w:t>սերի տնտեսագիտական դասակարգման երեք հոդ</w:t>
      </w:r>
      <w:r w:rsidRPr="004118EA">
        <w:rPr>
          <w:rFonts w:cs="Sylfaen"/>
          <w:b w:val="0"/>
          <w:szCs w:val="22"/>
          <w:lang w:val="hy-AM"/>
        </w:rPr>
        <w:softHyphen/>
        <w:t>վածներում` տրանսպորտային նյութեր, մեքենաների և սարքա</w:t>
      </w:r>
      <w:r w:rsidRPr="004118EA">
        <w:rPr>
          <w:rFonts w:cs="Sylfaen"/>
          <w:b w:val="0"/>
          <w:szCs w:val="22"/>
          <w:lang w:val="hy-AM"/>
        </w:rPr>
        <w:softHyphen/>
        <w:t>վորում</w:t>
      </w:r>
      <w:r w:rsidRPr="004118EA">
        <w:rPr>
          <w:rFonts w:cs="Sylfaen"/>
          <w:b w:val="0"/>
          <w:szCs w:val="22"/>
          <w:lang w:val="hy-AM"/>
        </w:rPr>
        <w:softHyphen/>
        <w:t xml:space="preserve">ների ընթացիկ նորոգում և պահպանում և պարտադիր վճարներ: </w:t>
      </w:r>
    </w:p>
    <w:p w:rsidR="00236B20" w:rsidRPr="004118EA" w:rsidRDefault="00236B20" w:rsidP="007730AA">
      <w:pPr>
        <w:widowControl w:val="0"/>
        <w:tabs>
          <w:tab w:val="left" w:pos="851"/>
          <w:tab w:val="left" w:pos="993"/>
        </w:tabs>
        <w:spacing w:before="0" w:line="276" w:lineRule="auto"/>
        <w:rPr>
          <w:rFonts w:cs="Sylfaen"/>
          <w:b w:val="0"/>
          <w:szCs w:val="22"/>
          <w:lang w:val="hy-AM"/>
        </w:rPr>
      </w:pPr>
      <w:r w:rsidRPr="004118EA">
        <w:rPr>
          <w:rFonts w:cs="Sylfaen"/>
          <w:b w:val="0"/>
          <w:szCs w:val="22"/>
          <w:lang w:val="hy-AM"/>
        </w:rPr>
        <w:t>Ընթացիկ դրամաշնորհներ պետական և համայնքների ոչ առևտրային  կազմակերպություններին - ծախսերը ծրագրավորվել են 919</w:t>
      </w:r>
      <w:r w:rsidR="00E63472" w:rsidRPr="00E63472">
        <w:rPr>
          <w:rFonts w:cs="Sylfaen"/>
          <w:b w:val="0"/>
          <w:szCs w:val="22"/>
          <w:lang w:val="hy-AM"/>
        </w:rPr>
        <w:t>.</w:t>
      </w:r>
      <w:r w:rsidRPr="004118EA">
        <w:rPr>
          <w:rFonts w:cs="Sylfaen"/>
          <w:b w:val="0"/>
          <w:szCs w:val="22"/>
          <w:lang w:val="hy-AM"/>
        </w:rPr>
        <w:t xml:space="preserve">8 մլն դրամի չափով` </w:t>
      </w:r>
      <w:r w:rsidRPr="004118EA">
        <w:rPr>
          <w:rFonts w:cs="Sylfaen"/>
          <w:b w:val="0"/>
          <w:spacing w:val="-4"/>
          <w:szCs w:val="22"/>
          <w:lang w:val="pt-BR"/>
        </w:rPr>
        <w:t>«</w:t>
      </w:r>
      <w:r w:rsidRPr="004118EA">
        <w:rPr>
          <w:rFonts w:cs="Sylfaen"/>
          <w:b w:val="0"/>
          <w:szCs w:val="22"/>
          <w:lang w:val="hy-AM"/>
        </w:rPr>
        <w:t xml:space="preserve">Սպասարկում» և </w:t>
      </w:r>
      <w:r w:rsidRPr="004118EA">
        <w:rPr>
          <w:rFonts w:cs="Sylfaen"/>
          <w:b w:val="0"/>
          <w:spacing w:val="-4"/>
          <w:szCs w:val="22"/>
          <w:lang w:val="pt-BR"/>
        </w:rPr>
        <w:t>«</w:t>
      </w:r>
      <w:r w:rsidRPr="004118EA">
        <w:rPr>
          <w:rFonts w:cs="Sylfaen"/>
          <w:b w:val="0"/>
          <w:szCs w:val="22"/>
          <w:lang w:val="hy-AM"/>
        </w:rPr>
        <w:t>Կոնդի առանձնատ</w:t>
      </w:r>
      <w:r w:rsidRPr="004118EA">
        <w:rPr>
          <w:rFonts w:cs="Sylfaen"/>
          <w:b w:val="0"/>
          <w:szCs w:val="22"/>
          <w:lang w:val="hy-AM"/>
        </w:rPr>
        <w:softHyphen/>
        <w:t>ների տնտեսություն» պետա</w:t>
      </w:r>
      <w:r w:rsidRPr="004118EA">
        <w:rPr>
          <w:rFonts w:cs="Sylfaen"/>
          <w:b w:val="0"/>
          <w:szCs w:val="22"/>
          <w:lang w:val="hy-AM"/>
        </w:rPr>
        <w:softHyphen/>
        <w:t>կան ոչ առևտրային կազմակերպություն</w:t>
      </w:r>
      <w:r w:rsidRPr="004118EA">
        <w:rPr>
          <w:rFonts w:cs="Sylfaen"/>
          <w:b w:val="0"/>
          <w:szCs w:val="22"/>
          <w:lang w:val="hy-AM"/>
        </w:rPr>
        <w:softHyphen/>
        <w:t>ներին պետա</w:t>
      </w:r>
      <w:r w:rsidRPr="004118EA">
        <w:rPr>
          <w:rFonts w:cs="Sylfaen"/>
          <w:b w:val="0"/>
          <w:szCs w:val="22"/>
          <w:lang w:val="hy-AM"/>
        </w:rPr>
        <w:softHyphen/>
        <w:t>կան աջակցության համար:</w:t>
      </w:r>
      <w:r w:rsidRPr="004118EA">
        <w:rPr>
          <w:rFonts w:cs="Sylfaen"/>
          <w:b w:val="0"/>
          <w:spacing w:val="-4"/>
          <w:szCs w:val="22"/>
          <w:lang w:val="pt-BR"/>
        </w:rPr>
        <w:t xml:space="preserve"> </w:t>
      </w:r>
    </w:p>
    <w:p w:rsidR="00236B20" w:rsidRPr="004118EA" w:rsidRDefault="00236B20" w:rsidP="007730AA">
      <w:pPr>
        <w:widowControl w:val="0"/>
        <w:tabs>
          <w:tab w:val="left" w:pos="851"/>
          <w:tab w:val="left" w:pos="993"/>
        </w:tabs>
        <w:spacing w:before="0" w:line="276" w:lineRule="auto"/>
        <w:rPr>
          <w:rFonts w:cs="Sylfaen"/>
          <w:b w:val="0"/>
          <w:szCs w:val="22"/>
          <w:lang w:val="hy-AM"/>
        </w:rPr>
      </w:pPr>
      <w:r w:rsidRPr="004118EA">
        <w:rPr>
          <w:rFonts w:cs="Sylfaen"/>
          <w:b w:val="0"/>
          <w:szCs w:val="22"/>
          <w:lang w:val="hy-AM"/>
        </w:rPr>
        <w:t>Ընթացիկ սուբվենցիաներ համայնքներին – ծրագրավորվել է 1,073.6 մլն դրամի չափով` ՀՀ օրենսդրությամբ Երևանի քաղաքապետարանի աշխատակազմի պահ</w:t>
      </w:r>
      <w:r w:rsidRPr="004118EA">
        <w:rPr>
          <w:rFonts w:cs="Sylfaen"/>
          <w:b w:val="0"/>
          <w:szCs w:val="22"/>
          <w:lang w:val="hy-AM"/>
        </w:rPr>
        <w:softHyphen/>
        <w:t>պան</w:t>
      </w:r>
      <w:r w:rsidRPr="004118EA">
        <w:rPr>
          <w:rFonts w:cs="Sylfaen"/>
          <w:b w:val="0"/>
          <w:szCs w:val="22"/>
          <w:lang w:val="hy-AM"/>
        </w:rPr>
        <w:softHyphen/>
        <w:t>ման համար նախատեսված պետական աջակցություն:</w:t>
      </w:r>
    </w:p>
    <w:p w:rsidR="00E626E8" w:rsidRPr="004118EA" w:rsidRDefault="00236B20" w:rsidP="007730AA">
      <w:pPr>
        <w:widowControl w:val="0"/>
        <w:tabs>
          <w:tab w:val="left" w:pos="851"/>
          <w:tab w:val="left" w:pos="993"/>
        </w:tabs>
        <w:spacing w:before="0" w:line="276" w:lineRule="auto"/>
        <w:rPr>
          <w:rFonts w:cs="Sylfaen"/>
          <w:b w:val="0"/>
          <w:szCs w:val="22"/>
          <w:lang w:val="hy-AM"/>
        </w:rPr>
      </w:pPr>
      <w:r w:rsidRPr="004118EA">
        <w:rPr>
          <w:rFonts w:cs="Sylfaen"/>
          <w:b w:val="0"/>
          <w:szCs w:val="22"/>
          <w:lang w:val="hy-AM"/>
        </w:rPr>
        <w:t>Այլ նպաստներ բյուջեից - ծրագրավորված է 2</w:t>
      </w:r>
      <w:r w:rsidR="00E63472" w:rsidRPr="00E63472">
        <w:rPr>
          <w:rFonts w:cs="Sylfaen"/>
          <w:b w:val="0"/>
          <w:szCs w:val="22"/>
          <w:lang w:val="hy-AM"/>
        </w:rPr>
        <w:t>,</w:t>
      </w:r>
      <w:r w:rsidRPr="004118EA">
        <w:rPr>
          <w:rFonts w:cs="Sylfaen"/>
          <w:b w:val="0"/>
          <w:szCs w:val="22"/>
          <w:lang w:val="hy-AM"/>
        </w:rPr>
        <w:t>143</w:t>
      </w:r>
      <w:r w:rsidR="00E63472" w:rsidRPr="00E63472">
        <w:rPr>
          <w:rFonts w:cs="Sylfaen"/>
          <w:b w:val="0"/>
          <w:szCs w:val="22"/>
          <w:lang w:val="hy-AM"/>
        </w:rPr>
        <w:t>.</w:t>
      </w:r>
      <w:r w:rsidRPr="004118EA">
        <w:rPr>
          <w:rFonts w:cs="Sylfaen"/>
          <w:b w:val="0"/>
          <w:szCs w:val="22"/>
          <w:lang w:val="hy-AM"/>
        </w:rPr>
        <w:t xml:space="preserve">0 մլն դրամի չափով, ներառում է ՀՀ Ազգային Ժողովի պատգամավորների պատգամավորական գործունեության հետ կապված ծախսերը (հիմք ընդունելով </w:t>
      </w:r>
      <w:r w:rsidRPr="004118EA">
        <w:rPr>
          <w:rFonts w:cs="Sylfaen"/>
          <w:b w:val="0"/>
          <w:szCs w:val="22"/>
          <w:lang w:val="nb-NO"/>
        </w:rPr>
        <w:t>«</w:t>
      </w:r>
      <w:r w:rsidRPr="004118EA">
        <w:rPr>
          <w:rFonts w:cs="Sylfaen"/>
          <w:b w:val="0"/>
          <w:szCs w:val="22"/>
          <w:lang w:val="hy-AM"/>
        </w:rPr>
        <w:t>Պետական պաշտոններ և պետական ծառայության պաշտոններ զբաղեցնող անձանց վարձատրության մասին</w:t>
      </w:r>
      <w:r w:rsidRPr="004118EA">
        <w:rPr>
          <w:rFonts w:cs="Sylfaen"/>
          <w:b w:val="0"/>
          <w:szCs w:val="22"/>
          <w:lang w:val="nb-NO"/>
        </w:rPr>
        <w:t xml:space="preserve">» </w:t>
      </w:r>
      <w:r w:rsidRPr="004118EA">
        <w:rPr>
          <w:rFonts w:cs="Sylfaen"/>
          <w:b w:val="0"/>
          <w:szCs w:val="22"/>
          <w:lang w:val="hy-AM"/>
        </w:rPr>
        <w:t xml:space="preserve">ՀՀ օրենքով սահմանված դրույթները, նշված ծախսը նախատեսվել է յուրաքանչյուր պատգամավորի համար ամսական 50.0 հազ. դրամի չափով), </w:t>
      </w:r>
      <w:r w:rsidRPr="004118EA">
        <w:rPr>
          <w:rFonts w:cs="Sylfaen"/>
          <w:b w:val="0"/>
          <w:spacing w:val="-4"/>
          <w:szCs w:val="22"/>
          <w:lang w:val="pt-BR"/>
        </w:rPr>
        <w:t>«</w:t>
      </w:r>
      <w:r w:rsidRPr="004118EA">
        <w:rPr>
          <w:rFonts w:cs="Sylfaen"/>
          <w:b w:val="0"/>
          <w:szCs w:val="22"/>
          <w:lang w:val="hy-AM"/>
        </w:rPr>
        <w:t>Փաստաբա</w:t>
      </w:r>
      <w:r w:rsidRPr="004118EA">
        <w:rPr>
          <w:rFonts w:cs="Sylfaen"/>
          <w:b w:val="0"/>
          <w:szCs w:val="22"/>
          <w:lang w:val="hy-AM"/>
        </w:rPr>
        <w:softHyphen/>
        <w:t>նու</w:t>
      </w:r>
      <w:r w:rsidRPr="004118EA">
        <w:rPr>
          <w:rFonts w:cs="Sylfaen"/>
          <w:b w:val="0"/>
          <w:szCs w:val="22"/>
          <w:lang w:val="hy-AM"/>
        </w:rPr>
        <w:softHyphen/>
        <w:t>թյան մասին» ՀՀ օրենքի պահանջներին համապատասխան հան</w:t>
      </w:r>
      <w:r w:rsidRPr="004118EA">
        <w:rPr>
          <w:rFonts w:cs="Sylfaen"/>
          <w:b w:val="0"/>
          <w:szCs w:val="22"/>
          <w:lang w:val="hy-AM"/>
        </w:rPr>
        <w:softHyphen/>
        <w:t>րա</w:t>
      </w:r>
      <w:r w:rsidRPr="004118EA">
        <w:rPr>
          <w:rFonts w:cs="Sylfaen"/>
          <w:b w:val="0"/>
          <w:szCs w:val="22"/>
          <w:lang w:val="hy-AM"/>
        </w:rPr>
        <w:softHyphen/>
        <w:t>յին պաշտպանի գրասեն</w:t>
      </w:r>
      <w:r w:rsidRPr="004118EA">
        <w:rPr>
          <w:rFonts w:cs="Sylfaen"/>
          <w:b w:val="0"/>
          <w:szCs w:val="22"/>
          <w:lang w:val="hy-AM"/>
        </w:rPr>
        <w:softHyphen/>
        <w:t xml:space="preserve">յակի պահպանման ծախսերը, պատգամավորների, դատավորների, դատախազների, քննիչների` այլ վայր գործուղվելու դեպքում բնակվարձի փոխհատուցման գումարները, </w:t>
      </w:r>
      <w:r w:rsidR="003F74AC" w:rsidRPr="004A5E5F">
        <w:rPr>
          <w:rFonts w:cs="Sylfaen"/>
          <w:b w:val="0"/>
          <w:szCs w:val="22"/>
          <w:lang w:val="hy-AM"/>
        </w:rPr>
        <w:t>Դատավորների ընդհանուր ժողովի էթիկայի և կարգապահական հարցերի հանձնաժողովի, դատավորների գործունեության գնահատման հանձնաժողովի և ուսումնական հարցերի հանձնաժողովի դատավոր չհանդիսացող անդամների գործունեության համար հատուցման գումարները</w:t>
      </w:r>
      <w:r w:rsidR="003F74AC" w:rsidRPr="00885973">
        <w:rPr>
          <w:rFonts w:cs="Sylfaen"/>
          <w:b w:val="0"/>
          <w:szCs w:val="22"/>
          <w:lang w:val="hy-AM"/>
        </w:rPr>
        <w:t>,</w:t>
      </w:r>
      <w:r w:rsidR="003F74AC" w:rsidRPr="004A5E5F">
        <w:rPr>
          <w:rFonts w:cs="Sylfaen"/>
          <w:b w:val="0"/>
          <w:szCs w:val="22"/>
          <w:lang w:val="hy-AM"/>
        </w:rPr>
        <w:t xml:space="preserve"> </w:t>
      </w:r>
      <w:r w:rsidRPr="004118EA">
        <w:rPr>
          <w:rFonts w:cs="Sylfaen"/>
          <w:b w:val="0"/>
          <w:szCs w:val="22"/>
          <w:lang w:val="hy-AM"/>
        </w:rPr>
        <w:t>յուրաքանչյուր մարզպետարանին այս հոդվածով նախատեսվող գու</w:t>
      </w:r>
      <w:r w:rsidRPr="004118EA">
        <w:rPr>
          <w:rFonts w:cs="Sylfaen"/>
          <w:b w:val="0"/>
          <w:szCs w:val="22"/>
          <w:lang w:val="hy-AM"/>
        </w:rPr>
        <w:softHyphen/>
        <w:t>մար</w:t>
      </w:r>
      <w:r w:rsidRPr="004118EA">
        <w:rPr>
          <w:rFonts w:cs="Sylfaen"/>
          <w:b w:val="0"/>
          <w:szCs w:val="22"/>
          <w:lang w:val="hy-AM"/>
        </w:rPr>
        <w:softHyphen/>
      </w:r>
      <w:r w:rsidRPr="004118EA">
        <w:rPr>
          <w:rFonts w:cs="Sylfaen"/>
          <w:b w:val="0"/>
          <w:szCs w:val="22"/>
          <w:lang w:val="hy-AM"/>
        </w:rPr>
        <w:softHyphen/>
        <w:t>ները, ծառա</w:t>
      </w:r>
      <w:r w:rsidRPr="004118EA">
        <w:rPr>
          <w:rFonts w:cs="Sylfaen"/>
          <w:b w:val="0"/>
          <w:szCs w:val="22"/>
          <w:lang w:val="hy-AM"/>
        </w:rPr>
        <w:softHyphen/>
        <w:t>յողական պարտա</w:t>
      </w:r>
      <w:r w:rsidRPr="004118EA">
        <w:rPr>
          <w:rFonts w:cs="Sylfaen"/>
          <w:b w:val="0"/>
          <w:szCs w:val="22"/>
          <w:lang w:val="hy-AM"/>
        </w:rPr>
        <w:softHyphen/>
        <w:t>կանությունները կատարելիս հարկադիր կատա</w:t>
      </w:r>
      <w:r w:rsidRPr="004118EA">
        <w:rPr>
          <w:rFonts w:cs="Sylfaen"/>
          <w:b w:val="0"/>
          <w:szCs w:val="22"/>
          <w:lang w:val="hy-AM"/>
        </w:rPr>
        <w:softHyphen/>
        <w:t>րո</w:t>
      </w:r>
      <w:r w:rsidRPr="004118EA">
        <w:rPr>
          <w:rFonts w:cs="Sylfaen"/>
          <w:b w:val="0"/>
          <w:szCs w:val="22"/>
          <w:lang w:val="hy-AM"/>
        </w:rPr>
        <w:softHyphen/>
        <w:t>ղի կողմից հասարակական տրանսպորտից օգտվելու և անձնական օգտա</w:t>
      </w:r>
      <w:r w:rsidRPr="004118EA">
        <w:rPr>
          <w:rFonts w:cs="Sylfaen"/>
          <w:b w:val="0"/>
          <w:szCs w:val="22"/>
          <w:lang w:val="hy-AM"/>
        </w:rPr>
        <w:softHyphen/>
        <w:t>գործման ավտո</w:t>
      </w:r>
      <w:r w:rsidRPr="004118EA">
        <w:rPr>
          <w:rFonts w:cs="Sylfaen"/>
          <w:b w:val="0"/>
          <w:szCs w:val="22"/>
          <w:lang w:val="hy-AM"/>
        </w:rPr>
        <w:softHyphen/>
        <w:t>մեքենան ծառա</w:t>
      </w:r>
      <w:r w:rsidRPr="004118EA">
        <w:rPr>
          <w:rFonts w:cs="Sylfaen"/>
          <w:b w:val="0"/>
          <w:szCs w:val="22"/>
          <w:lang w:val="hy-AM"/>
        </w:rPr>
        <w:softHyphen/>
        <w:t>յողական նպատակ</w:t>
      </w:r>
      <w:r w:rsidRPr="004118EA">
        <w:rPr>
          <w:rFonts w:cs="Sylfaen"/>
          <w:b w:val="0"/>
          <w:szCs w:val="22"/>
          <w:lang w:val="hy-AM"/>
        </w:rPr>
        <w:softHyphen/>
        <w:t>ներով օգտագործելու հետ կապված ծախ</w:t>
      </w:r>
      <w:r w:rsidRPr="004118EA">
        <w:rPr>
          <w:rFonts w:cs="Sylfaen"/>
          <w:b w:val="0"/>
          <w:szCs w:val="22"/>
          <w:lang w:val="hy-AM"/>
        </w:rPr>
        <w:softHyphen/>
        <w:t>սերի հատուց</w:t>
      </w:r>
      <w:r w:rsidRPr="004118EA">
        <w:rPr>
          <w:rFonts w:cs="Sylfaen"/>
          <w:b w:val="0"/>
          <w:szCs w:val="22"/>
          <w:lang w:val="hy-AM"/>
        </w:rPr>
        <w:softHyphen/>
        <w:t>ման գումարը, ինչպես նաև առանձին պետական մարմինների առանձնահատկություններով պայմանավորված համապա</w:t>
      </w:r>
      <w:r w:rsidRPr="004118EA">
        <w:rPr>
          <w:rFonts w:cs="Sylfaen"/>
          <w:b w:val="0"/>
          <w:szCs w:val="22"/>
          <w:lang w:val="hy-AM"/>
        </w:rPr>
        <w:softHyphen/>
        <w:t>տասխան ծախսերը: Բացի այդ, նախատեսված են համապա</w:t>
      </w:r>
      <w:r w:rsidRPr="004118EA">
        <w:rPr>
          <w:rFonts w:cs="Sylfaen"/>
          <w:b w:val="0"/>
          <w:szCs w:val="22"/>
          <w:lang w:val="hy-AM"/>
        </w:rPr>
        <w:softHyphen/>
        <w:t>տասխան միջոցներ` Քաղա</w:t>
      </w:r>
      <w:r w:rsidRPr="004118EA">
        <w:rPr>
          <w:rFonts w:cs="Sylfaen"/>
          <w:b w:val="0"/>
          <w:szCs w:val="22"/>
          <w:lang w:val="hy-AM"/>
        </w:rPr>
        <w:softHyphen/>
        <w:t>քացիա</w:t>
      </w:r>
      <w:r w:rsidRPr="004118EA">
        <w:rPr>
          <w:rFonts w:cs="Sylfaen"/>
          <w:b w:val="0"/>
          <w:szCs w:val="22"/>
          <w:lang w:val="hy-AM"/>
        </w:rPr>
        <w:softHyphen/>
        <w:t>կան կացու</w:t>
      </w:r>
      <w:r w:rsidRPr="004118EA">
        <w:rPr>
          <w:rFonts w:cs="Sylfaen"/>
          <w:b w:val="0"/>
          <w:szCs w:val="22"/>
          <w:lang w:val="hy-AM"/>
        </w:rPr>
        <w:softHyphen/>
        <w:t>թյան ակտերի գրանցման ծառայության և համայնքային ենթակայու</w:t>
      </w:r>
      <w:r w:rsidRPr="004118EA">
        <w:rPr>
          <w:rFonts w:cs="Sylfaen"/>
          <w:b w:val="0"/>
          <w:szCs w:val="22"/>
          <w:lang w:val="hy-AM"/>
        </w:rPr>
        <w:softHyphen/>
        <w:t>թյան սոցիալական օգնու</w:t>
      </w:r>
      <w:r w:rsidRPr="004118EA">
        <w:rPr>
          <w:rFonts w:cs="Sylfaen"/>
          <w:b w:val="0"/>
          <w:szCs w:val="22"/>
          <w:lang w:val="hy-AM"/>
        </w:rPr>
        <w:softHyphen/>
        <w:t>թյան ծա</w:t>
      </w:r>
      <w:r w:rsidRPr="004118EA">
        <w:rPr>
          <w:rFonts w:cs="Sylfaen"/>
          <w:b w:val="0"/>
          <w:szCs w:val="22"/>
          <w:lang w:val="hy-AM"/>
        </w:rPr>
        <w:softHyphen/>
        <w:t>ռայությունների գործունեության կազմակերպման բնագավառում պետության կողմից հա</w:t>
      </w:r>
      <w:r w:rsidRPr="004118EA">
        <w:rPr>
          <w:rFonts w:cs="Sylfaen"/>
          <w:b w:val="0"/>
          <w:szCs w:val="22"/>
          <w:lang w:val="hy-AM"/>
        </w:rPr>
        <w:softHyphen/>
        <w:t>մայնքի ղեկավարին պատվիրակված լիազորություների իրականացման ֆինանսա</w:t>
      </w:r>
      <w:r w:rsidRPr="004118EA">
        <w:rPr>
          <w:rFonts w:cs="Sylfaen"/>
          <w:b w:val="0"/>
          <w:szCs w:val="22"/>
          <w:lang w:val="hy-AM"/>
        </w:rPr>
        <w:softHyphen/>
        <w:t xml:space="preserve">վորումն ապահովելու նպատակով: </w:t>
      </w:r>
    </w:p>
    <w:p w:rsidR="00236B20" w:rsidRPr="004118EA" w:rsidRDefault="00236B20" w:rsidP="007730AA">
      <w:pPr>
        <w:widowControl w:val="0"/>
        <w:tabs>
          <w:tab w:val="left" w:pos="851"/>
          <w:tab w:val="left" w:pos="993"/>
        </w:tabs>
        <w:spacing w:before="0" w:line="276" w:lineRule="auto"/>
        <w:rPr>
          <w:rFonts w:cs="Sylfaen"/>
          <w:b w:val="0"/>
          <w:szCs w:val="22"/>
          <w:lang w:val="hy-AM"/>
        </w:rPr>
      </w:pPr>
      <w:r w:rsidRPr="004118EA">
        <w:rPr>
          <w:rFonts w:cs="Sylfaen"/>
          <w:b w:val="0"/>
          <w:szCs w:val="22"/>
          <w:lang w:val="hy-AM"/>
        </w:rPr>
        <w:t xml:space="preserve">Այլ ծախսեր - </w:t>
      </w:r>
      <w:r w:rsidRPr="004118EA">
        <w:rPr>
          <w:rFonts w:eastAsia="Calibri" w:cs="Sylfaen"/>
          <w:b w:val="0"/>
          <w:szCs w:val="22"/>
          <w:lang w:val="hy-AM" w:eastAsia="en-US"/>
        </w:rPr>
        <w:t>այս ծախսերում ներառված են` ՀՀ դես</w:t>
      </w:r>
      <w:r w:rsidRPr="004118EA">
        <w:rPr>
          <w:rFonts w:eastAsia="Calibri" w:cs="Sylfaen"/>
          <w:b w:val="0"/>
          <w:szCs w:val="22"/>
          <w:lang w:val="hy-AM" w:eastAsia="en-US"/>
        </w:rPr>
        <w:softHyphen/>
        <w:t>պա</w:t>
      </w:r>
      <w:r w:rsidRPr="004118EA">
        <w:rPr>
          <w:rFonts w:eastAsia="Calibri" w:cs="Sylfaen"/>
          <w:b w:val="0"/>
          <w:szCs w:val="22"/>
          <w:lang w:val="hy-AM" w:eastAsia="en-US"/>
        </w:rPr>
        <w:softHyphen/>
        <w:t>նությունների և ներկա</w:t>
      </w:r>
      <w:r w:rsidRPr="004118EA">
        <w:rPr>
          <w:rFonts w:eastAsia="Calibri" w:cs="Sylfaen"/>
          <w:b w:val="0"/>
          <w:szCs w:val="22"/>
          <w:lang w:val="hy-AM" w:eastAsia="en-US"/>
        </w:rPr>
        <w:softHyphen/>
        <w:t>յացուցչությունների, ՀՀ ռազմական կցորդների, արտասահմանում ՀՀ առևտրային ներկա</w:t>
      </w:r>
      <w:r w:rsidRPr="004118EA">
        <w:rPr>
          <w:rFonts w:eastAsia="Calibri" w:cs="Sylfaen"/>
          <w:b w:val="0"/>
          <w:szCs w:val="22"/>
          <w:lang w:val="hy-AM" w:eastAsia="en-US"/>
        </w:rPr>
        <w:softHyphen/>
        <w:t>յա</w:t>
      </w:r>
      <w:r w:rsidRPr="004118EA">
        <w:rPr>
          <w:rFonts w:eastAsia="Calibri" w:cs="Sylfaen"/>
          <w:b w:val="0"/>
          <w:szCs w:val="22"/>
          <w:lang w:val="hy-AM" w:eastAsia="en-US"/>
        </w:rPr>
        <w:softHyphen/>
        <w:t>ցուց</w:t>
      </w:r>
      <w:r w:rsidRPr="004118EA">
        <w:rPr>
          <w:rFonts w:eastAsia="Calibri" w:cs="Sylfaen"/>
          <w:b w:val="0"/>
          <w:szCs w:val="22"/>
          <w:lang w:val="hy-AM" w:eastAsia="en-US"/>
        </w:rPr>
        <w:softHyphen/>
        <w:t>չությունների պահպանման ծախսերը, ՀՀ Նախագահի, ՀՀ Ազգային ժողովի նախագահի և ՀՀ վարչապետի ֆոնդերը, ՀՀ Նախագահի կողմից առանձին անձանց պարգևատրելու համար անհ</w:t>
      </w:r>
      <w:r w:rsidRPr="004118EA">
        <w:rPr>
          <w:rFonts w:eastAsia="Calibri" w:cs="Sylfaen"/>
          <w:b w:val="0"/>
          <w:szCs w:val="22"/>
          <w:lang w:val="hy-AM" w:eastAsia="en-US"/>
        </w:rPr>
        <w:softHyphen/>
        <w:t>րա</w:t>
      </w:r>
      <w:r w:rsidRPr="004118EA">
        <w:rPr>
          <w:rFonts w:eastAsia="Calibri" w:cs="Sylfaen"/>
          <w:b w:val="0"/>
          <w:szCs w:val="22"/>
          <w:lang w:val="hy-AM" w:eastAsia="en-US"/>
        </w:rPr>
        <w:softHyphen/>
        <w:t>ժեշտ մեդալների և շքանշանների պատրաստման ծախսերը, ՀՀ սահմանադրական դատա</w:t>
      </w:r>
      <w:r w:rsidRPr="004118EA">
        <w:rPr>
          <w:rFonts w:eastAsia="Calibri" w:cs="Sylfaen"/>
          <w:b w:val="0"/>
          <w:szCs w:val="22"/>
          <w:lang w:val="hy-AM" w:eastAsia="en-US"/>
        </w:rPr>
        <w:softHyphen/>
        <w:t>րանի, ՀՀ դատարանների, ՀՀ դատախազության, ՀՀ քննչական կոմի</w:t>
      </w:r>
      <w:r w:rsidRPr="004118EA">
        <w:rPr>
          <w:rFonts w:eastAsia="Calibri" w:cs="Sylfaen"/>
          <w:b w:val="0"/>
          <w:szCs w:val="22"/>
          <w:lang w:val="hy-AM" w:eastAsia="en-US"/>
        </w:rPr>
        <w:softHyphen/>
        <w:t>տեի, ՀՀ հատուկ քննչա</w:t>
      </w:r>
      <w:r w:rsidRPr="004118EA">
        <w:rPr>
          <w:rFonts w:eastAsia="Calibri" w:cs="Sylfaen"/>
          <w:b w:val="0"/>
          <w:szCs w:val="22"/>
          <w:lang w:val="hy-AM" w:eastAsia="en-US"/>
        </w:rPr>
        <w:softHyphen/>
        <w:t xml:space="preserve">կան ծառայության և ՀՀ հաշվեքննիչ պալատի պահուստային ֆոնդերը: Այս  ծախսերը </w:t>
      </w:r>
      <w:r w:rsidRPr="004118EA">
        <w:rPr>
          <w:rFonts w:cs="Sylfaen"/>
          <w:b w:val="0"/>
          <w:szCs w:val="22"/>
          <w:lang w:val="hy-AM"/>
        </w:rPr>
        <w:t>ծրագրավորվել են 15</w:t>
      </w:r>
      <w:r w:rsidR="00E63472" w:rsidRPr="00E63472">
        <w:rPr>
          <w:rFonts w:cs="Sylfaen"/>
          <w:b w:val="0"/>
          <w:szCs w:val="22"/>
          <w:lang w:val="hy-AM"/>
        </w:rPr>
        <w:t>,569.8</w:t>
      </w:r>
      <w:r w:rsidRPr="004118EA">
        <w:rPr>
          <w:rFonts w:cs="Sylfaen"/>
          <w:b w:val="0"/>
          <w:szCs w:val="22"/>
          <w:lang w:val="hy-AM"/>
        </w:rPr>
        <w:t xml:space="preserve"> մլն դրամի չափով, որը 2020 թվականից ավելի է 2</w:t>
      </w:r>
      <w:r w:rsidR="00E63472" w:rsidRPr="00E63472">
        <w:rPr>
          <w:rFonts w:cs="Sylfaen"/>
          <w:b w:val="0"/>
          <w:szCs w:val="22"/>
          <w:lang w:val="hy-AM"/>
        </w:rPr>
        <w:t>,521.2</w:t>
      </w:r>
      <w:r w:rsidRPr="004118EA">
        <w:rPr>
          <w:rFonts w:cs="Sylfaen"/>
          <w:b w:val="0"/>
          <w:szCs w:val="22"/>
          <w:lang w:val="hy-AM"/>
        </w:rPr>
        <w:t xml:space="preserve"> մլն դրամով, որը հիմնականում պայմանավորված է ՀՀ դեսպանությունների և ներկայացուցչությունների պահպանման ծախսերի ավելացմամբ, ինչպես նաև առանձին մարմինների՝ օրենսդրությամբ սահմանված պահուստային ֆոնդերի գծով հատկացվող միջոցների փոփոխությամբ: </w:t>
      </w:r>
    </w:p>
    <w:p w:rsidR="00236B20" w:rsidRPr="004118EA" w:rsidRDefault="00236B20" w:rsidP="007730AA">
      <w:pPr>
        <w:spacing w:before="0" w:line="276" w:lineRule="auto"/>
        <w:rPr>
          <w:rFonts w:eastAsia="Calibri" w:cs="Sylfaen"/>
          <w:b w:val="0"/>
          <w:szCs w:val="22"/>
          <w:lang w:val="hy-AM" w:eastAsia="en-US"/>
        </w:rPr>
      </w:pPr>
      <w:r w:rsidRPr="004118EA">
        <w:rPr>
          <w:rFonts w:cs="Sylfaen"/>
          <w:b w:val="0"/>
          <w:szCs w:val="22"/>
          <w:lang w:val="hy-AM"/>
        </w:rPr>
        <w:t>Ոչ ֆինանսական ակտիվների գծով ծախսերը նախատեսվել են 1</w:t>
      </w:r>
      <w:r w:rsidR="00E63472" w:rsidRPr="00E63472">
        <w:rPr>
          <w:rFonts w:cs="Sylfaen"/>
          <w:b w:val="0"/>
          <w:szCs w:val="22"/>
          <w:lang w:val="hy-AM"/>
        </w:rPr>
        <w:t>,603.9</w:t>
      </w:r>
      <w:r w:rsidRPr="004118EA">
        <w:rPr>
          <w:rFonts w:cs="Sylfaen"/>
          <w:b w:val="0"/>
          <w:szCs w:val="22"/>
          <w:lang w:val="hy-AM"/>
        </w:rPr>
        <w:t xml:space="preserve"> մլն դրամի չա</w:t>
      </w:r>
      <w:r w:rsidRPr="004118EA">
        <w:rPr>
          <w:rFonts w:cs="Sylfaen"/>
          <w:b w:val="0"/>
          <w:szCs w:val="22"/>
          <w:lang w:val="hy-AM"/>
        </w:rPr>
        <w:softHyphen/>
        <w:t>փով` առանձին պետական մարմիններում կարողությունների զարգացման հա</w:t>
      </w:r>
      <w:r w:rsidRPr="004118EA">
        <w:rPr>
          <w:rFonts w:cs="Sylfaen"/>
          <w:b w:val="0"/>
          <w:szCs w:val="22"/>
          <w:lang w:val="hy-AM"/>
        </w:rPr>
        <w:softHyphen/>
        <w:t>մար:</w:t>
      </w:r>
    </w:p>
    <w:p w:rsidR="00060470" w:rsidRPr="004118EA" w:rsidRDefault="00277648" w:rsidP="007730AA">
      <w:pPr>
        <w:pStyle w:val="Heading3"/>
        <w:spacing w:before="0"/>
      </w:pPr>
      <w:bookmarkStart w:id="219" w:name="_Toc57655474"/>
      <w:r w:rsidRPr="004118EA">
        <w:t>ՀՀ ա</w:t>
      </w:r>
      <w:r w:rsidR="00B857F9" w:rsidRPr="004118EA">
        <w:t>ռողջապահության նախարարություն</w:t>
      </w:r>
      <w:bookmarkEnd w:id="219"/>
    </w:p>
    <w:p w:rsidR="000A6BA3" w:rsidRDefault="000A6BA3" w:rsidP="007730AA">
      <w:pPr>
        <w:pStyle w:val="BodyText2"/>
        <w:ind w:left="0" w:firstLine="720"/>
      </w:pPr>
      <w:r w:rsidRPr="000A6BA3">
        <w:t>Նախագծով նախատեսվում է հատկացնել (առանց կառավարման ապարատի պահպանման ծախսերի) 113</w:t>
      </w:r>
      <w:r w:rsidR="007D7298" w:rsidRPr="007D7298">
        <w:rPr>
          <w:lang w:val="af-ZA"/>
        </w:rPr>
        <w:t>,</w:t>
      </w:r>
      <w:r w:rsidRPr="000A6BA3">
        <w:t>503.9 մլն դրամ` ՀՀ 2020 թվականի պետական բյուջեով հաստատված 108,332.7 մլն դրամի դիմաց: ՀՀ 2020 թվականի պետական բյուջեի համապատասխան ցուցանիշի նկատմամբ ծախսերի ավելացումը կազմում է 5,171.2 մլն դրամ կամ 4.8 %:</w:t>
      </w:r>
    </w:p>
    <w:p w:rsidR="00311C8E" w:rsidRPr="004118EA" w:rsidRDefault="00311C8E" w:rsidP="007730AA">
      <w:pPr>
        <w:pStyle w:val="BodyText2"/>
        <w:ind w:left="0" w:firstLine="720"/>
      </w:pPr>
      <w:r w:rsidRPr="004118EA">
        <w:t>Առողջապահության ոլորտում իրականացվող բարեփոխումների գործընթացում խնդիր է դրվում առկա միջոցների և ներուժի պայմաններում ապահովել քաղաքացու առողջության պահ</w:t>
      </w:r>
      <w:r w:rsidRPr="004118EA">
        <w:softHyphen/>
        <w:t>պան</w:t>
      </w:r>
      <w:r w:rsidRPr="004118EA">
        <w:softHyphen/>
        <w:t>ման սահմանադրական իրավունքը, բարձրացնել բնակչության համար երաշխավորված ան</w:t>
      </w:r>
      <w:r w:rsidRPr="004118EA">
        <w:softHyphen/>
        <w:t>վճար բժշկական օգնության որակը և հասանելիությունը, նպաստել ծնելիության և կյանքի մի</w:t>
      </w:r>
      <w:r w:rsidRPr="004118EA">
        <w:softHyphen/>
        <w:t xml:space="preserve">ջին տևողության ավելացմանը: </w:t>
      </w:r>
    </w:p>
    <w:p w:rsidR="00311C8E" w:rsidRPr="004118EA" w:rsidRDefault="00311C8E" w:rsidP="007730AA">
      <w:pPr>
        <w:pStyle w:val="BodyText2"/>
        <w:ind w:left="0" w:firstLine="720"/>
      </w:pPr>
      <w:r w:rsidRPr="004118EA">
        <w:tab/>
        <w:t>Առողջա</w:t>
      </w:r>
      <w:r w:rsidRPr="004118EA">
        <w:softHyphen/>
        <w:t>պա</w:t>
      </w:r>
      <w:r w:rsidRPr="004118EA">
        <w:softHyphen/>
        <w:t>հու</w:t>
      </w:r>
      <w:r w:rsidRPr="004118EA">
        <w:softHyphen/>
        <w:t>թյան ծախսերի ձևա</w:t>
      </w:r>
      <w:r w:rsidRPr="004118EA">
        <w:softHyphen/>
        <w:t>վորումն ունի երկու հիմնական մոտեցում.</w:t>
      </w:r>
    </w:p>
    <w:p w:rsidR="00311C8E" w:rsidRPr="004118EA" w:rsidRDefault="00311C8E" w:rsidP="007730AA">
      <w:pPr>
        <w:pStyle w:val="BodyText2"/>
        <w:numPr>
          <w:ilvl w:val="0"/>
          <w:numId w:val="16"/>
        </w:numPr>
        <w:ind w:left="0" w:firstLine="720"/>
        <w:rPr>
          <w:lang w:eastAsia="ru-RU"/>
        </w:rPr>
      </w:pPr>
      <w:r w:rsidRPr="004118EA">
        <w:t>առողջապահական գերակայությունների պահպանում,</w:t>
      </w:r>
    </w:p>
    <w:p w:rsidR="00311C8E" w:rsidRPr="004118EA" w:rsidRDefault="00311C8E" w:rsidP="007730AA">
      <w:pPr>
        <w:pStyle w:val="BodyText2"/>
        <w:numPr>
          <w:ilvl w:val="0"/>
          <w:numId w:val="16"/>
        </w:numPr>
        <w:ind w:left="0" w:firstLine="720"/>
        <w:rPr>
          <w:lang w:eastAsia="ru-RU"/>
        </w:rPr>
      </w:pPr>
      <w:r w:rsidRPr="004118EA">
        <w:t>սոցիալական ուղղվածության ապահովում:</w:t>
      </w:r>
    </w:p>
    <w:p w:rsidR="00311C8E" w:rsidRPr="004118EA" w:rsidRDefault="00311C8E" w:rsidP="007730AA">
      <w:pPr>
        <w:spacing w:before="0" w:line="276" w:lineRule="auto"/>
        <w:ind w:firstLine="720"/>
        <w:rPr>
          <w:b w:val="0"/>
          <w:bCs/>
          <w:lang w:val="hy-AM"/>
        </w:rPr>
      </w:pPr>
      <w:r w:rsidRPr="004118EA">
        <w:rPr>
          <w:b w:val="0"/>
          <w:lang w:val="hy-AM"/>
        </w:rPr>
        <w:t>ՀՀ առողջապահությանը հատկացվելիք միջոցներն ուղղվելու են հետևյալ ծրագրերի իրականացմանը.</w:t>
      </w:r>
    </w:p>
    <w:p w:rsidR="00311C8E" w:rsidRPr="000A6BA3" w:rsidRDefault="00311C8E" w:rsidP="007730AA">
      <w:pPr>
        <w:pStyle w:val="BodyText2"/>
        <w:numPr>
          <w:ilvl w:val="0"/>
          <w:numId w:val="19"/>
        </w:numPr>
        <w:ind w:left="0" w:firstLine="720"/>
        <w:rPr>
          <w:b/>
          <w:lang w:eastAsia="ru-RU"/>
        </w:rPr>
      </w:pPr>
      <w:r w:rsidRPr="000A6BA3">
        <w:rPr>
          <w:b/>
          <w:lang w:val="en-US"/>
        </w:rPr>
        <w:t>«</w:t>
      </w:r>
      <w:r w:rsidRPr="000A6BA3">
        <w:rPr>
          <w:b/>
        </w:rPr>
        <w:t>Հանրային</w:t>
      </w:r>
      <w:r w:rsidRPr="000A6BA3">
        <w:rPr>
          <w:rFonts w:cs="Arial Armenian"/>
          <w:b/>
        </w:rPr>
        <w:t xml:space="preserve"> </w:t>
      </w:r>
      <w:r w:rsidRPr="000A6BA3">
        <w:rPr>
          <w:b/>
        </w:rPr>
        <w:t>առողջության պահպան</w:t>
      </w:r>
      <w:r w:rsidRPr="000A6BA3">
        <w:rPr>
          <w:b/>
          <w:lang w:val="en-US"/>
        </w:rPr>
        <w:t>ում»</w:t>
      </w:r>
      <w:r w:rsidRPr="000A6BA3">
        <w:rPr>
          <w:b/>
        </w:rPr>
        <w:t xml:space="preserve"> ծրագիր</w:t>
      </w:r>
      <w:r w:rsidRPr="000A6BA3">
        <w:rPr>
          <w:b/>
          <w:lang w:val="en-US"/>
        </w:rPr>
        <w:t>.</w:t>
      </w:r>
    </w:p>
    <w:p w:rsidR="000A6BA3" w:rsidRDefault="000A6BA3" w:rsidP="007730AA">
      <w:pPr>
        <w:pStyle w:val="BodyText2"/>
        <w:ind w:left="0" w:firstLine="720"/>
        <w:rPr>
          <w:rFonts w:eastAsia="Times New Roman" w:cs="Sylfaen"/>
          <w:lang w:eastAsia="ru-RU"/>
        </w:rPr>
      </w:pPr>
      <w:r w:rsidRPr="000A6BA3">
        <w:rPr>
          <w:rFonts w:eastAsia="Times New Roman" w:cs="Sylfaen"/>
          <w:lang w:eastAsia="ru-RU"/>
        </w:rPr>
        <w:t xml:space="preserve">Ծրագրի գծով նախատեսվել </w:t>
      </w:r>
      <w:r w:rsidR="00660EEA">
        <w:rPr>
          <w:rFonts w:eastAsia="Times New Roman" w:cs="Sylfaen"/>
          <w:lang w:eastAsia="ru-RU"/>
        </w:rPr>
        <w:t>է 8,626.7 մլն դրամ` ՀՀ 2020 թվակա</w:t>
      </w:r>
      <w:r w:rsidRPr="000A6BA3">
        <w:rPr>
          <w:rFonts w:eastAsia="Times New Roman" w:cs="Sylfaen"/>
          <w:lang w:eastAsia="ru-RU"/>
        </w:rPr>
        <w:t>նի պետական բյուջեով հաստատված 5,772.9 մլն դրամի դիմաց, որի շրջանակներում նախատեսվում է իրականացնել հետևյալ միջոցառումները.</w:t>
      </w:r>
    </w:p>
    <w:p w:rsidR="00311C8E" w:rsidRPr="004118EA" w:rsidRDefault="00311C8E" w:rsidP="007730AA">
      <w:pPr>
        <w:pStyle w:val="BodyText2"/>
        <w:ind w:left="0" w:firstLine="720"/>
      </w:pPr>
      <w:r w:rsidRPr="004118EA">
        <w:t>1.1. «Բնակչության սանիտարահամաճարակային անվտանգության ապահովման և հան</w:t>
      </w:r>
      <w:r w:rsidRPr="004118EA">
        <w:softHyphen/>
        <w:t>րային առողջապահության ծառայություններ» միջոցառման գծով նախատեսվել է 2,421.3 մլն դրամ` ՀՀ 2020 թվականի պետական բյուջեով հաստատված 2,021.3  մլն դրամի դիմաց կամ 400.0 մլն դրամով ավել, որը պայմանավորված է անձնակազմի տարբեր կատեգորիաների միջին աշխատավարձերի բարձրացմամբ, ինչպես նաև դեղերի և բժշկական պարագաների, բժշկական սարքերի ձեռք բերման և որոշ ընթացիկ ծախսերի ֆինանսավորման ավելացմամբ:</w:t>
      </w:r>
    </w:p>
    <w:p w:rsidR="00311C8E" w:rsidRPr="004118EA" w:rsidRDefault="00311C8E" w:rsidP="007730AA">
      <w:pPr>
        <w:pStyle w:val="BodyText2"/>
        <w:ind w:left="0" w:firstLine="720"/>
      </w:pPr>
      <w:r w:rsidRPr="004118EA">
        <w:t>Միջոցառմամբ նախատեսվում է իրականացնել համաճարակաբանական հետազո</w:t>
      </w:r>
      <w:r w:rsidRPr="004118EA">
        <w:softHyphen/>
        <w:t>տու</w:t>
      </w:r>
      <w:r w:rsidRPr="004118EA">
        <w:softHyphen/>
        <w:t>թյուն</w:t>
      </w:r>
      <w:r w:rsidRPr="004118EA">
        <w:softHyphen/>
        <w:t>ներ վարակների օջախներում, մանրէաբանական հետա</w:t>
      </w:r>
      <w:r w:rsidRPr="004118EA">
        <w:softHyphen/>
        <w:t>զո</w:t>
      </w:r>
      <w:r w:rsidRPr="004118EA">
        <w:softHyphen/>
        <w:t>տու</w:t>
      </w:r>
      <w:r w:rsidRPr="004118EA">
        <w:softHyphen/>
        <w:t>թյուն</w:t>
      </w:r>
      <w:r w:rsidRPr="004118EA">
        <w:softHyphen/>
        <w:t>նե</w:t>
      </w:r>
      <w:r w:rsidRPr="004118EA">
        <w:softHyphen/>
        <w:t>րի, վարակիչ և ոչ վարակիչ զանգվածային հիվանդությունների, թունավո</w:t>
      </w:r>
      <w:r w:rsidRPr="004118EA">
        <w:softHyphen/>
        <w:t>րում</w:t>
      </w:r>
      <w:r w:rsidRPr="004118EA">
        <w:softHyphen/>
        <w:t>նե</w:t>
      </w:r>
      <w:r w:rsidRPr="004118EA">
        <w:softHyphen/>
        <w:t>րի հաշ</w:t>
      </w:r>
      <w:r w:rsidRPr="004118EA">
        <w:softHyphen/>
        <w:t>վա</w:t>
      </w:r>
      <w:r w:rsidRPr="004118EA">
        <w:softHyphen/>
        <w:t>ռում, համաճարակների, բռնկումների, արտակարգ իրավիճակների ժամանակ հա</w:t>
      </w:r>
      <w:r w:rsidRPr="004118EA">
        <w:softHyphen/>
        <w:t>տուկ հա</w:t>
      </w:r>
      <w:r w:rsidRPr="004118EA">
        <w:softHyphen/>
        <w:t>կա</w:t>
      </w:r>
      <w:r w:rsidRPr="004118EA">
        <w:softHyphen/>
        <w:t>համաճարակային միջոցառումների, մալարիայի դեմ պայքարի և կան</w:t>
      </w:r>
      <w:r w:rsidRPr="004118EA">
        <w:softHyphen/>
        <w:t>խար</w:t>
      </w:r>
      <w:r w:rsidRPr="004118EA">
        <w:softHyphen/>
        <w:t>գելման միջոցառումների իրականացում, էպիզոոտոլոգիական հետազոտություն հան</w:t>
      </w:r>
      <w:r w:rsidRPr="004118EA">
        <w:softHyphen/>
        <w:t>րա</w:t>
      </w:r>
      <w:r w:rsidRPr="004118EA">
        <w:softHyphen/>
        <w:t>պետու</w:t>
      </w:r>
      <w:r w:rsidRPr="004118EA">
        <w:softHyphen/>
        <w:t>թյան տարածքում ժանտախտի, տուլարեմիայի և այլ բնական օջախային վարակների էպի</w:t>
      </w:r>
      <w:r w:rsidRPr="004118EA">
        <w:softHyphen/>
        <w:t>զոո</w:t>
      </w:r>
      <w:r w:rsidRPr="004118EA">
        <w:softHyphen/>
        <w:t>տիա</w:t>
      </w:r>
      <w:r w:rsidRPr="004118EA">
        <w:softHyphen/>
        <w:t>ները հայտնաբերելու և մարդկանց մեջ հիվանդացությունը ժամանակին կանխելու նպա</w:t>
      </w:r>
      <w:r w:rsidRPr="004118EA">
        <w:softHyphen/>
      </w:r>
      <w:r w:rsidRPr="004118EA">
        <w:softHyphen/>
        <w:t>տակով և այլն: Իրականացվելու են նաև ի հայտ եկած մարդուց մարդ փոխանցվող նոր հարուցչի՝ նոր կորոնավիրուսի (COVID-19) դեմ պայքարի և կանխարգելման ուղղությամբ</w:t>
      </w:r>
      <w:r w:rsidRPr="004118EA">
        <w:rPr>
          <w:rFonts w:cs="Calibri"/>
        </w:rPr>
        <w:t xml:space="preserve"> </w:t>
      </w:r>
      <w:r w:rsidRPr="004118EA">
        <w:t>մասնագիտացված շարունակական դիտարկումներ՝ վարակիչ հիվանդություններ փոխանցողների պոպուլյացիաների նկատմամբ ՀՀ ողջ տարածքում, ինչպես նաև փոխանցողների դեմ պայքարի աշխատանքներ:</w:t>
      </w:r>
    </w:p>
    <w:p w:rsidR="00311C8E" w:rsidRPr="004118EA" w:rsidRDefault="00311C8E" w:rsidP="007730AA">
      <w:pPr>
        <w:pStyle w:val="ListParagraph"/>
        <w:tabs>
          <w:tab w:val="left" w:pos="180"/>
          <w:tab w:val="left" w:pos="540"/>
        </w:tabs>
        <w:spacing w:before="0" w:line="276" w:lineRule="auto"/>
        <w:ind w:left="0" w:firstLine="720"/>
        <w:rPr>
          <w:rFonts w:cs="Sylfaen"/>
          <w:b w:val="0"/>
          <w:lang w:val="hy-AM"/>
        </w:rPr>
      </w:pPr>
      <w:r w:rsidRPr="004118EA">
        <w:rPr>
          <w:rFonts w:cs="Sylfaen"/>
          <w:b w:val="0"/>
          <w:lang w:val="hy-AM"/>
        </w:rPr>
        <w:t xml:space="preserve">1.2. «Իմունականխարգելման ազգային ծրագիր» միջոցառման գծով նախատեսվել է 3,500.0 մլն դրամ` ՀՀ 2020 թվականի պետական բյուջեով հաստատված 3,343.2 մլն դրամի դիմաց կամ 156.8 մլն դրամով ավել, որը պայմանավորված է իմունականխարգելման ոլորտում գործող ենթածրագրերով, Արցախի Հանրապետության իմունականխարգելման ծրագրի կարիքներով, ինչպես նաև առկա և գերակայող խնդիրներով, մասնավորապես` Պատվաստումների ազգային օրացույցով նախատեսված պատվաստանյութերի և համապատասխան օժանդակ պարագաների ձեռքբերմամբ, իմունականխարգելման գործընթացը գլոբալ քաղաքականություններին և մարտահրավերներին համապատասխանեցմամբ (մասնավորապես վեցավալենտի ներդրման վերջնական փուլը` կապույտ հազի հիվանդացության վերահսկում ավելի բարձր տարիքի անձանց շրջանում): </w:t>
      </w:r>
    </w:p>
    <w:p w:rsidR="00311C8E" w:rsidRPr="004118EA" w:rsidRDefault="00311C8E" w:rsidP="007730AA">
      <w:pPr>
        <w:pStyle w:val="ListParagraph"/>
        <w:tabs>
          <w:tab w:val="left" w:pos="180"/>
          <w:tab w:val="left" w:pos="540"/>
        </w:tabs>
        <w:spacing w:before="0" w:line="276" w:lineRule="auto"/>
        <w:ind w:left="0" w:firstLine="720"/>
        <w:rPr>
          <w:rFonts w:cs="Sylfaen"/>
          <w:b w:val="0"/>
          <w:lang w:val="hy-AM"/>
        </w:rPr>
      </w:pPr>
      <w:r w:rsidRPr="004118EA">
        <w:rPr>
          <w:rFonts w:cs="Sylfaen"/>
          <w:b w:val="0"/>
          <w:lang w:val="hy-AM"/>
        </w:rPr>
        <w:t>Իմունականխարգելման ազգային ծրագրի շրջանակում նախատեսվում է ազգա</w:t>
      </w:r>
      <w:r w:rsidRPr="004118EA">
        <w:rPr>
          <w:rFonts w:cs="Sylfaen"/>
          <w:b w:val="0"/>
          <w:lang w:val="hy-AM"/>
        </w:rPr>
        <w:softHyphen/>
        <w:t>յին օրա</w:t>
      </w:r>
      <w:r w:rsidRPr="004118EA">
        <w:rPr>
          <w:rFonts w:cs="Sylfaen"/>
          <w:b w:val="0"/>
          <w:lang w:val="hy-AM"/>
        </w:rPr>
        <w:softHyphen/>
        <w:t>ցույ</w:t>
      </w:r>
      <w:r w:rsidRPr="004118EA">
        <w:rPr>
          <w:rFonts w:cs="Sylfaen"/>
          <w:b w:val="0"/>
          <w:lang w:val="hy-AM"/>
        </w:rPr>
        <w:softHyphen/>
        <w:t>ցում ընդգրկված պատվաստումների ժամանակին և որակով իրականացումը:</w:t>
      </w:r>
    </w:p>
    <w:p w:rsidR="00311C8E" w:rsidRPr="004118EA" w:rsidRDefault="00311C8E" w:rsidP="007730AA">
      <w:pPr>
        <w:pStyle w:val="ListParagraph"/>
        <w:tabs>
          <w:tab w:val="left" w:pos="180"/>
          <w:tab w:val="left" w:pos="540"/>
        </w:tabs>
        <w:spacing w:before="0" w:line="276" w:lineRule="auto"/>
        <w:ind w:left="0" w:firstLine="720"/>
        <w:rPr>
          <w:rFonts w:cs="Sylfaen"/>
          <w:b w:val="0"/>
          <w:lang w:val="hy-AM"/>
        </w:rPr>
      </w:pPr>
      <w:r w:rsidRPr="004118EA">
        <w:rPr>
          <w:rFonts w:cs="Sylfaen"/>
          <w:b w:val="0"/>
          <w:lang w:val="hy-AM"/>
        </w:rPr>
        <w:t>1.3. «Արյան հավաքագրման ծառայություններ» միջոցառման գծով նախատեսվել է 308.4 մլն դրամ` ՀՀ 2020 թվականի պետական բյուջեով հաստատված գումարին համապատասխան:</w:t>
      </w:r>
    </w:p>
    <w:p w:rsidR="00311C8E" w:rsidRPr="004118EA" w:rsidRDefault="00311C8E" w:rsidP="007730AA">
      <w:pPr>
        <w:tabs>
          <w:tab w:val="left" w:pos="180"/>
          <w:tab w:val="left" w:pos="540"/>
        </w:tabs>
        <w:spacing w:before="0" w:line="276" w:lineRule="auto"/>
        <w:ind w:firstLine="720"/>
        <w:rPr>
          <w:rFonts w:cs="Sylfaen"/>
          <w:b w:val="0"/>
          <w:szCs w:val="22"/>
          <w:lang w:val="hy-AM"/>
        </w:rPr>
      </w:pPr>
      <w:r w:rsidRPr="004118EA">
        <w:rPr>
          <w:rFonts w:cs="Sylfaen"/>
          <w:b w:val="0"/>
          <w:szCs w:val="22"/>
          <w:lang w:val="hy-AM"/>
        </w:rPr>
        <w:t>Միջոցառման շրջանակում նախատեսվում է դոնորական արյան հավաքագրում և պա</w:t>
      </w:r>
      <w:r w:rsidRPr="004118EA">
        <w:rPr>
          <w:rFonts w:cs="Sylfaen"/>
          <w:b w:val="0"/>
          <w:szCs w:val="22"/>
          <w:lang w:val="hy-AM"/>
        </w:rPr>
        <w:softHyphen/>
        <w:t>շա</w:t>
      </w:r>
      <w:r w:rsidRPr="004118EA">
        <w:rPr>
          <w:rFonts w:cs="Sylfaen"/>
          <w:b w:val="0"/>
          <w:szCs w:val="22"/>
          <w:lang w:val="hy-AM"/>
        </w:rPr>
        <w:softHyphen/>
        <w:t>րում, կադ</w:t>
      </w:r>
      <w:r w:rsidRPr="004118EA">
        <w:rPr>
          <w:rFonts w:cs="Sylfaen"/>
          <w:b w:val="0"/>
          <w:szCs w:val="22"/>
          <w:lang w:val="hy-AM"/>
        </w:rPr>
        <w:softHyphen/>
        <w:t>րային դոնորի փոխհատուցում, դոնորական արյան վարակային անվտանգության ապա</w:t>
      </w:r>
      <w:r w:rsidRPr="004118EA">
        <w:rPr>
          <w:rFonts w:cs="Sylfaen"/>
          <w:b w:val="0"/>
          <w:szCs w:val="22"/>
          <w:lang w:val="hy-AM"/>
        </w:rPr>
        <w:softHyphen/>
      </w:r>
      <w:r w:rsidRPr="004118EA">
        <w:rPr>
          <w:rFonts w:cs="Sylfaen"/>
          <w:b w:val="0"/>
          <w:szCs w:val="22"/>
          <w:lang w:val="hy-AM"/>
        </w:rPr>
        <w:softHyphen/>
        <w:t>հո</w:t>
      </w:r>
      <w:r w:rsidRPr="004118EA">
        <w:rPr>
          <w:rFonts w:cs="Sylfaen"/>
          <w:b w:val="0"/>
          <w:szCs w:val="22"/>
          <w:lang w:val="hy-AM"/>
        </w:rPr>
        <w:softHyphen/>
        <w:t>վում, հակառեզուս իմունոգլոբուլինի պատրաստում, պահպանում, տրամադրում և այլն:</w:t>
      </w:r>
    </w:p>
    <w:p w:rsidR="00311C8E" w:rsidRPr="004118EA" w:rsidRDefault="00311C8E" w:rsidP="007730AA">
      <w:pPr>
        <w:tabs>
          <w:tab w:val="left" w:pos="0"/>
        </w:tabs>
        <w:spacing w:before="0" w:line="276" w:lineRule="auto"/>
        <w:ind w:firstLine="720"/>
        <w:rPr>
          <w:rFonts w:cs="Sylfaen"/>
          <w:b w:val="0"/>
          <w:szCs w:val="22"/>
          <w:lang w:val="hy-AM"/>
        </w:rPr>
      </w:pPr>
      <w:r w:rsidRPr="004118EA">
        <w:rPr>
          <w:rFonts w:cs="Sylfaen"/>
          <w:b w:val="0"/>
          <w:szCs w:val="22"/>
          <w:lang w:val="hy-AM"/>
        </w:rPr>
        <w:t>1.4. «Առողջ ապրելակերպի խթանման և ծխելու դեմ պայքարի իրականացում միջոցառումներ» միջոցառման գծով նախատեսվել է 100.0 մլն դրամ` ՀՀ 2020 թվականի պետական բյուջեով հաստատված գումարի չափով:</w:t>
      </w:r>
    </w:p>
    <w:p w:rsidR="00311C8E" w:rsidRDefault="00311C8E" w:rsidP="007730AA">
      <w:pPr>
        <w:widowControl w:val="0"/>
        <w:tabs>
          <w:tab w:val="left" w:pos="180"/>
        </w:tabs>
        <w:spacing w:before="0" w:line="276" w:lineRule="auto"/>
        <w:ind w:firstLine="720"/>
        <w:rPr>
          <w:rFonts w:cs="Sylfaen"/>
          <w:b w:val="0"/>
          <w:szCs w:val="22"/>
          <w:lang w:val="hy-AM"/>
        </w:rPr>
      </w:pPr>
      <w:r w:rsidRPr="004118EA">
        <w:rPr>
          <w:rFonts w:cs="Sylfaen"/>
          <w:b w:val="0"/>
          <w:szCs w:val="22"/>
          <w:lang w:val="hy-AM"/>
        </w:rPr>
        <w:t xml:space="preserve">Միջոցառման շրջանակներում նախատեսվում է իրականացնել ծխելու դեմ պայքարին ուղղված միջոցառումներ, մասնավորապես՝ առողջ ապրելակերպի և ծխելու դեմ պայքարի հանրային իրազեկման, ծխելը թողնելուն օժանդակության թեժ գծի ծառայության ներդրման, բուժաշխատողների շրջանում կրթական միջոցառումների իրականացման և այլ ծառայություններ: </w:t>
      </w:r>
    </w:p>
    <w:p w:rsidR="000A6BA3" w:rsidRPr="000A6BA3" w:rsidRDefault="000A6BA3" w:rsidP="007730AA">
      <w:pPr>
        <w:widowControl w:val="0"/>
        <w:tabs>
          <w:tab w:val="left" w:pos="180"/>
        </w:tabs>
        <w:spacing w:before="0" w:line="276" w:lineRule="auto"/>
        <w:ind w:firstLine="720"/>
        <w:rPr>
          <w:rFonts w:cs="Sylfaen"/>
          <w:b w:val="0"/>
          <w:szCs w:val="22"/>
          <w:lang w:val="hy-AM"/>
        </w:rPr>
      </w:pPr>
      <w:r w:rsidRPr="000A6BA3">
        <w:rPr>
          <w:rFonts w:cs="Sylfaen"/>
          <w:b w:val="0"/>
          <w:szCs w:val="22"/>
          <w:lang w:val="hy-AM"/>
        </w:rPr>
        <w:t xml:space="preserve">1.5. «Հայաստանի Հանրապետությունում կորոնավիրուսային վարակի (COVID) կանխարգելմանն ուղղված՝ պատվաստանյութի ձեռքբերման միջոցառումներ» միջոցառման գծով նախատեսվել է 2,296.9 մլն դրամ: </w:t>
      </w:r>
    </w:p>
    <w:p w:rsidR="000A6BA3" w:rsidRPr="004118EA" w:rsidRDefault="000A6BA3" w:rsidP="007730AA">
      <w:pPr>
        <w:widowControl w:val="0"/>
        <w:tabs>
          <w:tab w:val="left" w:pos="180"/>
        </w:tabs>
        <w:spacing w:before="0" w:line="276" w:lineRule="auto"/>
        <w:ind w:firstLine="720"/>
        <w:rPr>
          <w:rFonts w:cs="Sylfaen"/>
          <w:b w:val="0"/>
          <w:szCs w:val="22"/>
          <w:lang w:val="hy-AM"/>
        </w:rPr>
      </w:pPr>
      <w:r w:rsidRPr="000A6BA3">
        <w:rPr>
          <w:rFonts w:cs="Sylfaen"/>
          <w:b w:val="0"/>
          <w:szCs w:val="22"/>
          <w:lang w:val="hy-AM"/>
        </w:rPr>
        <w:t>Միջոցառման շրջանակներում նախատեսվում է COVAX FACILTY հիմնադրամի միջոցով ձեռքբերել COVID-19-ի դեմ պատվաստանյութ՝ 592.6 հազար դեղաչափ, ռիսկի խմբերում գտնվող շուրջ 296.3 հազար անձի համար` յուրաքանչյուրին երկու դեղաչափ։</w:t>
      </w:r>
    </w:p>
    <w:p w:rsidR="00311C8E" w:rsidRPr="004118EA" w:rsidRDefault="00311C8E" w:rsidP="007730AA">
      <w:pPr>
        <w:pStyle w:val="ListParagraph"/>
        <w:widowControl w:val="0"/>
        <w:numPr>
          <w:ilvl w:val="0"/>
          <w:numId w:val="19"/>
        </w:numPr>
        <w:tabs>
          <w:tab w:val="left" w:pos="180"/>
        </w:tabs>
        <w:spacing w:before="0" w:line="276" w:lineRule="auto"/>
        <w:ind w:left="0" w:firstLine="720"/>
        <w:rPr>
          <w:rFonts w:cs="Sylfaen"/>
          <w:bCs/>
          <w:szCs w:val="22"/>
          <w:lang w:val="hy-AM"/>
        </w:rPr>
      </w:pPr>
      <w:r w:rsidRPr="004118EA">
        <w:rPr>
          <w:rFonts w:cs="Sylfaen"/>
          <w:bCs/>
          <w:szCs w:val="22"/>
          <w:lang w:val="hy-AM"/>
        </w:rPr>
        <w:t>«Առողջության առաջնային պահպանում» ծրագիր</w:t>
      </w:r>
    </w:p>
    <w:p w:rsidR="00311C8E" w:rsidRPr="004118EA" w:rsidRDefault="00600728" w:rsidP="007730AA">
      <w:pPr>
        <w:tabs>
          <w:tab w:val="left" w:pos="180"/>
          <w:tab w:val="left" w:pos="540"/>
        </w:tabs>
        <w:spacing w:before="0" w:line="276" w:lineRule="auto"/>
        <w:ind w:firstLine="720"/>
        <w:rPr>
          <w:rFonts w:cs="Sylfaen"/>
          <w:b w:val="0"/>
          <w:szCs w:val="22"/>
          <w:lang w:val="hy-AM"/>
        </w:rPr>
      </w:pPr>
      <w:r w:rsidRPr="00600728">
        <w:rPr>
          <w:rFonts w:cs="Sylfaen"/>
          <w:b w:val="0"/>
          <w:szCs w:val="22"/>
          <w:lang w:val="hy-AM"/>
        </w:rPr>
        <w:t>Ծրագրի գծով նախատեսվել է 27,882.5 մլն դրամ` ՀՀ 2020 թվականի պետական բյուջեով հաստատված 27,058.8 մլն դրամի դիմաց, որի շրջանակներում նախատեսվում է իրականացնել հետևյալ միջոցառումները</w:t>
      </w:r>
      <w:r w:rsidR="00311C8E" w:rsidRPr="004118EA">
        <w:rPr>
          <w:rFonts w:cs="Sylfaen"/>
          <w:b w:val="0"/>
          <w:szCs w:val="22"/>
          <w:lang w:val="hy-AM"/>
        </w:rPr>
        <w:t xml:space="preserve">. </w:t>
      </w:r>
    </w:p>
    <w:p w:rsidR="00311C8E" w:rsidRPr="004118EA" w:rsidRDefault="00311C8E" w:rsidP="007730AA">
      <w:pPr>
        <w:pStyle w:val="BodyText2"/>
        <w:ind w:left="0" w:firstLine="720"/>
      </w:pPr>
      <w:r w:rsidRPr="004118EA">
        <w:t>2.1. «Ամբուլատոր-պոլիկլինիկական բժշկական օգնության ծառայություններ» միջոցառումը ներառում է առողջության առաջնային պահպանման՝ ընտանեկան բժշկի, ընդհանուր պրակտիկայի թերապևտի, ընդհանուր պրակտիկայի մանկաբույժի կողմից մատուցվող ծառայություններ՝ հավաքագրված բնակչության շրջանում հիվանդությունների կանխարգելում, վաղ հայտնաբերում, ախտորոշում, բուժում, քրոնիկ հիվանդների դինամիկ հսկողություն (ներառյալ ակտիվ կանչերը), ժամանակավոր անաշխատունակության փորձաքննություն, տնային կանչերի իրականացում, ըստ ցուցումների, հիվանդների հոսպիտալացման կազմակերպում, բնակչության բժշկահիգիենիկ կրթում, անվճար կամ արտոնյալ պայմաններով դեղեր ստանալու իրավունք ունեցող անձանց դեղերով ապահովում, առավել տարածված ոչ վարակիչ հիվանդությունների (արյան շրջանառության համակարգի, շաքարային դիաբետի, չարորակ նորագոյացությունների և այլն) վաղ հայտնաբերման և կանխարգելման գործընթացի պարտադիր իրականացում, վարակիչ հիվանդությունների կանխարգելում ու վաղ հայտնաբերում: Նշված միջոցառումը ներառվում է նաև նեղ մասնագիտական՝ վիրաբուժական/վնասվածքաբանական, ակնաբանական, սրտաբանական, նյարդաբանական, քիթ-կոկորդ-ականջաբանական մասնագիտական խորհրդակվությունը և դիսպանսերային՝ hակատուբերկուլոզային, ուռուցքաբանական, հոգեբուժական (նարկոլոգիական), մաշկավեներաբանական, վարակաբանական, էնդոկրինոլոգիական ծառայությունների մատուցումը պետական պատվերի շրջանակում հավաքագրված բնակչության շրջանում:</w:t>
      </w:r>
    </w:p>
    <w:p w:rsidR="00311C8E" w:rsidRPr="004118EA" w:rsidRDefault="00311C8E" w:rsidP="007730AA">
      <w:pPr>
        <w:pStyle w:val="BodyText2"/>
        <w:ind w:left="0" w:firstLine="720"/>
      </w:pPr>
      <w:r w:rsidRPr="004118EA">
        <w:t xml:space="preserve"> Ամբուլատոր հատվածում ներառված է նաև ընտանեկան բժշկի կողմից նեղ մասնագիտական խորհրդատվության և լոբորատոր-գործիքային հետազոտությունների ուղեգրում, տնային կանչերի իրականացում աշխատաժամից դուրս` շտապօգնության մեքենայով, բուժքույրերի կողմից երեխաների բժշկական օգնություն և սպասարկում դպրոցներում: </w:t>
      </w:r>
    </w:p>
    <w:p w:rsidR="00311C8E" w:rsidRPr="004118EA" w:rsidRDefault="00311C8E" w:rsidP="007730AA">
      <w:pPr>
        <w:pStyle w:val="BodyText2"/>
        <w:ind w:left="0" w:firstLine="720"/>
      </w:pPr>
      <w:r w:rsidRPr="004118EA">
        <w:t>Առաջնորդվելով գենդերային զգայուն բյուջետավորման սկզբունքից, առաջնային օղակում իրականացվում է հղիների հսկողություն, հղիների նախածննդյան և հետծննդյան հսկողության ընթացքում, ինչպես նաև կանանց և 15 տարեկան աղջիկների առողջական վիճակի գնահատման նպատակով կատարվող լաբորատոր-գործիքային ախտորոշիչ հետազոտություններ, զորակոչային, նախազորակոչային տարիքի անձանց արտահիվանդանոցային փորձաքննություն:</w:t>
      </w:r>
    </w:p>
    <w:p w:rsidR="00311C8E" w:rsidRPr="004118EA" w:rsidRDefault="00311C8E" w:rsidP="007730AA">
      <w:pPr>
        <w:pStyle w:val="BodyText2"/>
        <w:ind w:left="0" w:firstLine="720"/>
      </w:pPr>
      <w:r w:rsidRPr="004118EA">
        <w:t>Ամբուլատոր-պոլիպլինիկական օղակում իրականացվում է նաև արտահիվանդանոցային պալիատիվ բժշկական օգնություն և սպասարկում, հիվանդանոցային պայմաններում արտահիվանդանոցային անհետաձգելի բժշկական օգնություն (Էմերջենսի), հեպատիտ Ց-ի ախտորոշման և բուժման նպատակով լաբորատոր հետազոտություններ, մինչամուսնական խորհրդատվությաններ և հետազոտություններ:</w:t>
      </w:r>
    </w:p>
    <w:p w:rsidR="00311C8E" w:rsidRPr="004118EA" w:rsidRDefault="00311C8E" w:rsidP="007730AA">
      <w:pPr>
        <w:pStyle w:val="BodyText2"/>
        <w:ind w:left="0" w:firstLine="720"/>
      </w:pPr>
      <w:r w:rsidRPr="004118EA">
        <w:t>«Ամբուլատոր-պոլիկլինիկական բժշկական օգնության ծառայություններ» միջոցառման գծով նա</w:t>
      </w:r>
      <w:r w:rsidRPr="004118EA">
        <w:softHyphen/>
        <w:t>խա</w:t>
      </w:r>
      <w:r w:rsidRPr="004118EA">
        <w:softHyphen/>
        <w:t xml:space="preserve">տեսվել է 27,369.4 մլն դրամ` ՀՀ 2020 թվականի պետական բյուջեով հաստատված 26,592.6 մլն դրամի դիմաց կամ 776.8 մլն դրամով (2.8%-ով) ավել, որն ուղղվելու է առաջնային օղակի կողմից մատուցվող ծառայությունների արդիականացմանը, անվճար կամ արտոնյալ պայմաններով դեղեր ստանալու իրավունք ունեցող անձանց դեղերով ապահովմանը, 15 տարեկան աղջիկների առողջական վիճակի գնահատման նպատակով կատարվող լաբորատոր-գործիքային ախտորոշիչ հետազոտությունների ծավալների ընդլայնմանը, ինչպես նաև հղիների նախածննդյան հսկողութան բարելավման շրջանակներում բարձր ռիսկի հղիներին ըստ ցուցումների իրականացվելու են լրացուցիչ լաբորատոր հետազոտություններ: </w:t>
      </w:r>
    </w:p>
    <w:p w:rsidR="00311C8E" w:rsidRPr="004118EA" w:rsidRDefault="00311C8E" w:rsidP="007730AA">
      <w:pPr>
        <w:pStyle w:val="BodyText2"/>
        <w:ind w:left="0" w:firstLine="720"/>
      </w:pPr>
      <w:r w:rsidRPr="004118EA">
        <w:t xml:space="preserve">2.2. «Ախտորոշման ճշտման նպատակով լաբորատոր-գործիքային ախտորոշիչ հետազոտություններ նեղ մասնագիտացված կենտրոններում և շարունակական հսկողություն պահանջող և առանձին հիվանդությունների բուժման ծառայություններ» միջոցառումը ներառում է ամբուլատոր-պոլիկլինիկական օղակի բժիշկների կողմից սոցիալապես անապահով և առանձին (հատուկ) խմբերում ընդգրկված բնակչությանն ախտորոշման ճշտման նպատակով նեղ մասնագիտացված կենտրոններում խորհրդտվության կազմակերպումը և լաբորատոր-գործիքային ախտորոշիչ հետազոտությունների իրականացումը: </w:t>
      </w:r>
    </w:p>
    <w:p w:rsidR="00311C8E" w:rsidRPr="004118EA" w:rsidRDefault="00311C8E" w:rsidP="007730AA">
      <w:pPr>
        <w:pStyle w:val="BodyText2"/>
        <w:ind w:left="0" w:firstLine="720"/>
      </w:pPr>
      <w:r w:rsidRPr="004118EA">
        <w:t xml:space="preserve"> Միջոցառմումը ընդգրկում է նաև մինչև 18 տարեկան երեխաների շարունանակ հսկողության կազմակերպումը առանձին խրոնիկական ընթացք ունեցող հիվանդությունների ժամանակ նեղ մասնագիտացված կենտրոններում:</w:t>
      </w:r>
    </w:p>
    <w:p w:rsidR="00311C8E" w:rsidRPr="004118EA" w:rsidRDefault="00311C8E" w:rsidP="007730AA">
      <w:pPr>
        <w:pStyle w:val="BodyText2"/>
        <w:ind w:left="0" w:firstLine="720"/>
      </w:pPr>
      <w:r w:rsidRPr="004118EA">
        <w:t>Միջոցառման գծով նախատեսվել է 435.1 մլն դրամ` ՀՀ 2020 թվականի պետական բյուջեով հաստատված 305.1 մլն դրամի դիմաց կամ 130.0 մլն դրամով ավել, որն ուղղվելու է հիվանդությունների առավել վաղ հայտնաբերման, խրոնիկական հիվանդությունների շարունակական հսկողության բարելավմանը, որի արդյունքում նախատեսվում է հիվանդությունների վաղ ախտորոշում, հիվանդանոցային դեպքերի քանակի կրճատում, մանկական հաշմանդամության ցուցանիշը բարելավում:</w:t>
      </w:r>
    </w:p>
    <w:p w:rsidR="00311C8E" w:rsidRDefault="00311C8E" w:rsidP="007730AA">
      <w:pPr>
        <w:pStyle w:val="BodyText2"/>
        <w:ind w:left="0" w:firstLine="720"/>
      </w:pPr>
      <w:r w:rsidRPr="004118EA">
        <w:t>Միջոցառումը ներառում է նաև ՀՀ 2020թ. պետական բյուջեով նախատեսված «Շարունակական հսկողություն պահանջող և առանձին հիվանդությունների բուժման ծառայություններ» միջոցառման շրջանակներում իրականացվող հետազոտությունները:</w:t>
      </w:r>
    </w:p>
    <w:p w:rsidR="00600728" w:rsidRDefault="00600728" w:rsidP="007730AA">
      <w:pPr>
        <w:pStyle w:val="BodyText2"/>
        <w:ind w:left="0" w:firstLine="720"/>
      </w:pPr>
      <w:r>
        <w:t xml:space="preserve">2.3. «Սպորտային բժշկության ծառայություններ» միջոցառումը ներառում է ՀՀ հավաքական թիմերի մարզիկների բժշկական հսկողությունը, հիվանդությունների և վնասվածքների ախտորոշումը,ամբուլատոր բուժումը, դեղորայքով ապահովումը: </w:t>
      </w:r>
    </w:p>
    <w:p w:rsidR="00600728" w:rsidRPr="004118EA" w:rsidRDefault="00600728" w:rsidP="007730AA">
      <w:pPr>
        <w:pStyle w:val="BodyText2"/>
        <w:ind w:left="0" w:firstLine="720"/>
      </w:pPr>
      <w:r>
        <w:t>Միջոցառման գծով նախատեսվել է 78.0 մլն դրամ, որը մինչև 2020թ. իրականացվել է ՀՀ կրթության, գիտության, մշակույթի և սպորտի նախարարության կողմից՝ «Սպորտային բժշկություն և հակադոպինգային հսկողության ծառայություններ» միջոցառման շրջանակներում:</w:t>
      </w:r>
    </w:p>
    <w:p w:rsidR="00311C8E" w:rsidRPr="004118EA" w:rsidRDefault="00311C8E" w:rsidP="007730AA">
      <w:pPr>
        <w:pStyle w:val="ListParagraph"/>
        <w:numPr>
          <w:ilvl w:val="0"/>
          <w:numId w:val="19"/>
        </w:numPr>
        <w:tabs>
          <w:tab w:val="left" w:pos="0"/>
          <w:tab w:val="left" w:pos="851"/>
        </w:tabs>
        <w:spacing w:before="0" w:line="276" w:lineRule="auto"/>
        <w:ind w:left="0" w:firstLine="720"/>
        <w:contextualSpacing w:val="0"/>
        <w:jc w:val="left"/>
        <w:rPr>
          <w:rFonts w:cs="Sylfaen"/>
          <w:bCs/>
          <w:szCs w:val="22"/>
          <w:lang w:val="hy-AM"/>
        </w:rPr>
      </w:pPr>
      <w:r w:rsidRPr="004118EA">
        <w:rPr>
          <w:rFonts w:cs="Sylfaen"/>
          <w:bCs/>
          <w:szCs w:val="22"/>
          <w:lang w:val="en-US"/>
        </w:rPr>
        <w:t>«Դ</w:t>
      </w:r>
      <w:r w:rsidRPr="004118EA">
        <w:rPr>
          <w:rFonts w:cs="Sylfaen"/>
          <w:bCs/>
          <w:szCs w:val="22"/>
          <w:lang w:val="hy-AM"/>
        </w:rPr>
        <w:t xml:space="preserve">ատաբժշկական </w:t>
      </w:r>
      <w:r w:rsidRPr="004118EA">
        <w:rPr>
          <w:rFonts w:cs="Sylfaen"/>
          <w:bCs/>
          <w:szCs w:val="22"/>
          <w:lang w:val="en-US"/>
        </w:rPr>
        <w:t xml:space="preserve">և ախտաբանաանատոմիական ծառայություններ». </w:t>
      </w:r>
    </w:p>
    <w:p w:rsidR="00311C8E" w:rsidRPr="004118EA" w:rsidRDefault="00311C8E" w:rsidP="007730AA">
      <w:pPr>
        <w:tabs>
          <w:tab w:val="left" w:pos="180"/>
        </w:tabs>
        <w:spacing w:before="0" w:line="276" w:lineRule="auto"/>
        <w:ind w:firstLine="720"/>
        <w:rPr>
          <w:rFonts w:cs="Sylfaen"/>
          <w:b w:val="0"/>
          <w:szCs w:val="22"/>
          <w:lang w:val="hy-AM"/>
        </w:rPr>
      </w:pPr>
      <w:bookmarkStart w:id="220" w:name="_Hlk19663384"/>
      <w:r w:rsidRPr="004118EA">
        <w:rPr>
          <w:rFonts w:cs="Sylfaen"/>
          <w:b w:val="0"/>
          <w:szCs w:val="22"/>
          <w:lang w:val="hy-AM"/>
        </w:rPr>
        <w:t xml:space="preserve">Ծրագրի գծով նախատեսվել է 502.9 մլն դրամ` ՀՀ 2020 թվականի պետական բյուջեով հաստատված գումարի չափով, որի շրջանակներում նախատեսվում է իրականացնել հետևյալ միջոցառումները. </w:t>
      </w:r>
    </w:p>
    <w:bookmarkEnd w:id="220"/>
    <w:p w:rsidR="00311C8E" w:rsidRPr="004118EA" w:rsidRDefault="00311C8E" w:rsidP="007730AA">
      <w:pPr>
        <w:tabs>
          <w:tab w:val="left" w:pos="180"/>
        </w:tabs>
        <w:spacing w:before="0" w:line="276" w:lineRule="auto"/>
        <w:ind w:firstLine="720"/>
        <w:rPr>
          <w:rFonts w:cs="Sylfaen"/>
          <w:b w:val="0"/>
          <w:szCs w:val="22"/>
          <w:lang w:val="hy-AM"/>
        </w:rPr>
      </w:pPr>
      <w:r w:rsidRPr="004118EA">
        <w:rPr>
          <w:rFonts w:cs="Sylfaen"/>
          <w:b w:val="0"/>
          <w:szCs w:val="22"/>
          <w:lang w:val="hy-AM"/>
        </w:rPr>
        <w:t>3.1.</w:t>
      </w:r>
      <w:r w:rsidRPr="004118EA">
        <w:rPr>
          <w:rFonts w:cs="Sylfaen"/>
          <w:b w:val="0"/>
          <w:szCs w:val="22"/>
          <w:lang w:val="fr-FR"/>
        </w:rPr>
        <w:t xml:space="preserve"> «Դատաբժշկական փորձաքննություններ» միջոցառման գծով նախատեսվել է 449.9 մլն դրամ` ՀՀ 2020 թվականի պետական բյուջեով հաստատված</w:t>
      </w:r>
      <w:r w:rsidRPr="004118EA">
        <w:rPr>
          <w:rFonts w:cs="Sylfaen"/>
          <w:b w:val="0"/>
          <w:szCs w:val="22"/>
          <w:lang w:val="hy-AM"/>
        </w:rPr>
        <w:t xml:space="preserve"> գումարի չափով</w:t>
      </w:r>
      <w:r w:rsidRPr="004118EA">
        <w:rPr>
          <w:rFonts w:cs="Sylfaen"/>
          <w:b w:val="0"/>
          <w:szCs w:val="22"/>
          <w:lang w:val="fr-FR"/>
        </w:rPr>
        <w:t xml:space="preserve">: </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 xml:space="preserve">Միջոցառման նպատակն է </w:t>
      </w:r>
      <w:r w:rsidRPr="004118EA">
        <w:rPr>
          <w:rFonts w:cs="Sylfaen"/>
          <w:b w:val="0"/>
          <w:szCs w:val="22"/>
          <w:lang w:val="fr-FR"/>
        </w:rPr>
        <w:t xml:space="preserve">ՀՀ </w:t>
      </w:r>
      <w:r w:rsidRPr="004118EA">
        <w:rPr>
          <w:rFonts w:cs="Sylfaen"/>
          <w:b w:val="0"/>
          <w:szCs w:val="22"/>
          <w:lang w:val="hy-AM"/>
        </w:rPr>
        <w:t xml:space="preserve">դատախազության, </w:t>
      </w:r>
      <w:r w:rsidRPr="004118EA">
        <w:rPr>
          <w:rFonts w:cs="Sylfaen"/>
          <w:b w:val="0"/>
          <w:szCs w:val="22"/>
          <w:lang w:val="fr-FR"/>
        </w:rPr>
        <w:t xml:space="preserve">ՀՀ </w:t>
      </w:r>
      <w:r w:rsidRPr="004118EA">
        <w:rPr>
          <w:rFonts w:cs="Sylfaen"/>
          <w:b w:val="0"/>
          <w:szCs w:val="22"/>
          <w:lang w:val="hy-AM"/>
        </w:rPr>
        <w:t>արդարա</w:t>
      </w:r>
      <w:r w:rsidRPr="004118EA">
        <w:rPr>
          <w:rFonts w:cs="Sylfaen"/>
          <w:b w:val="0"/>
          <w:szCs w:val="22"/>
          <w:lang w:val="hy-AM"/>
        </w:rPr>
        <w:softHyphen/>
        <w:t xml:space="preserve">դատության և </w:t>
      </w:r>
      <w:r w:rsidRPr="004118EA">
        <w:rPr>
          <w:rFonts w:cs="Sylfaen"/>
          <w:b w:val="0"/>
          <w:szCs w:val="22"/>
          <w:lang w:val="fr-FR"/>
        </w:rPr>
        <w:t xml:space="preserve">ՀՀ </w:t>
      </w:r>
      <w:r w:rsidRPr="004118EA">
        <w:rPr>
          <w:rFonts w:cs="Sylfaen"/>
          <w:b w:val="0"/>
          <w:szCs w:val="22"/>
          <w:lang w:val="hy-AM"/>
        </w:rPr>
        <w:t xml:space="preserve">պաշտպանության նախարարությունների, ինչպես նաև </w:t>
      </w:r>
      <w:r w:rsidRPr="004118EA">
        <w:rPr>
          <w:rFonts w:cs="Sylfaen"/>
          <w:b w:val="0"/>
          <w:szCs w:val="22"/>
          <w:lang w:val="fr-FR"/>
        </w:rPr>
        <w:t xml:space="preserve">ՀՀ </w:t>
      </w:r>
      <w:r w:rsidRPr="004118EA">
        <w:rPr>
          <w:rFonts w:cs="Sylfaen"/>
          <w:b w:val="0"/>
          <w:szCs w:val="22"/>
          <w:lang w:val="hy-AM"/>
        </w:rPr>
        <w:t xml:space="preserve">ազգային անվտանգության ծառայության և </w:t>
      </w:r>
      <w:r w:rsidRPr="004118EA">
        <w:rPr>
          <w:rFonts w:cs="Sylfaen"/>
          <w:b w:val="0"/>
          <w:szCs w:val="22"/>
          <w:lang w:val="fr-FR"/>
        </w:rPr>
        <w:t xml:space="preserve">ՀՀ </w:t>
      </w:r>
      <w:r w:rsidRPr="004118EA">
        <w:rPr>
          <w:rFonts w:cs="Sylfaen"/>
          <w:b w:val="0"/>
          <w:szCs w:val="22"/>
          <w:lang w:val="hy-AM"/>
        </w:rPr>
        <w:t>ոստիկանության պատվերի հիման վրա դիակների, կենդանի անձանց, իրեղեն ապացույցների, դատաքիմիական, դատաբժշ</w:t>
      </w:r>
      <w:r w:rsidRPr="004118EA">
        <w:rPr>
          <w:rFonts w:cs="Sylfaen"/>
          <w:b w:val="0"/>
          <w:szCs w:val="22"/>
          <w:lang w:val="hy-AM"/>
        </w:rPr>
        <w:softHyphen/>
        <w:t>կա</w:t>
      </w:r>
      <w:r w:rsidRPr="004118EA">
        <w:rPr>
          <w:rFonts w:cs="Sylfaen"/>
          <w:b w:val="0"/>
          <w:szCs w:val="22"/>
          <w:lang w:val="hy-AM"/>
        </w:rPr>
        <w:softHyphen/>
        <w:t>քրեագիտական, դատագենետիկ, հյուսվածքաբանական և դատակեն</w:t>
      </w:r>
      <w:r w:rsidRPr="004118EA">
        <w:rPr>
          <w:rFonts w:cs="Sylfaen"/>
          <w:b w:val="0"/>
          <w:szCs w:val="22"/>
          <w:lang w:val="hy-AM"/>
        </w:rPr>
        <w:softHyphen/>
        <w:t>սա</w:t>
      </w:r>
      <w:r w:rsidRPr="004118EA">
        <w:rPr>
          <w:rFonts w:cs="Sylfaen"/>
          <w:b w:val="0"/>
          <w:szCs w:val="22"/>
          <w:lang w:val="hy-AM"/>
        </w:rPr>
        <w:softHyphen/>
        <w:t>բա</w:t>
      </w:r>
      <w:r w:rsidRPr="004118EA">
        <w:rPr>
          <w:rFonts w:cs="Sylfaen"/>
          <w:b w:val="0"/>
          <w:szCs w:val="22"/>
          <w:lang w:val="hy-AM"/>
        </w:rPr>
        <w:softHyphen/>
        <w:t>նական փոր</w:t>
      </w:r>
      <w:r w:rsidRPr="004118EA">
        <w:rPr>
          <w:rFonts w:cs="Sylfaen"/>
          <w:b w:val="0"/>
          <w:szCs w:val="22"/>
          <w:lang w:val="hy-AM"/>
        </w:rPr>
        <w:softHyphen/>
        <w:t>ձաքն</w:t>
      </w:r>
      <w:r w:rsidRPr="004118EA">
        <w:rPr>
          <w:rFonts w:cs="Sylfaen"/>
          <w:b w:val="0"/>
          <w:szCs w:val="22"/>
          <w:lang w:val="hy-AM"/>
        </w:rPr>
        <w:softHyphen/>
      </w:r>
      <w:r w:rsidRPr="004118EA">
        <w:rPr>
          <w:rFonts w:cs="Sylfaen"/>
          <w:b w:val="0"/>
          <w:szCs w:val="22"/>
          <w:lang w:val="hy-AM"/>
        </w:rPr>
        <w:softHyphen/>
        <w:t>նու</w:t>
      </w:r>
      <w:r w:rsidRPr="004118EA">
        <w:rPr>
          <w:rFonts w:cs="Sylfaen"/>
          <w:b w:val="0"/>
          <w:szCs w:val="22"/>
          <w:lang w:val="hy-AM"/>
        </w:rPr>
        <w:softHyphen/>
      </w:r>
      <w:r w:rsidRPr="004118EA">
        <w:rPr>
          <w:rFonts w:cs="Sylfaen"/>
          <w:b w:val="0"/>
          <w:szCs w:val="22"/>
          <w:lang w:val="hy-AM"/>
        </w:rPr>
        <w:softHyphen/>
        <w:t>թյունների, ինչպես նաև դիակների արտաշիրիմումների իրականաց</w:t>
      </w:r>
      <w:r w:rsidRPr="004118EA">
        <w:rPr>
          <w:rFonts w:cs="Sylfaen"/>
          <w:b w:val="0"/>
          <w:szCs w:val="22"/>
          <w:lang w:val="hy-AM"/>
        </w:rPr>
        <w:softHyphen/>
        <w:t>նումը:</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 xml:space="preserve">3.2. «Ախտաբանաանատոմիական հետազոտություններ» միջոցառման գծով նախատեսվել է 53.0 մլն դրամ` ՀՀ 2020 թվականի պետական բյուջեով հաստատված գումարի չափով: </w:t>
      </w:r>
      <w:r w:rsidRPr="004118EA">
        <w:rPr>
          <w:rFonts w:cs="Sylfaen"/>
          <w:b w:val="0"/>
          <w:szCs w:val="22"/>
          <w:lang w:val="hy-AM"/>
        </w:rPr>
        <w:tab/>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 xml:space="preserve">Միջոցառման նպատակն է պերինատալ մահերի դեպքում հերձումների և ախտաբանաանատոնիական հերձման նյութի հիստոլոգիական հետազոտությունների իրականացումը: </w:t>
      </w:r>
    </w:p>
    <w:p w:rsidR="00311C8E" w:rsidRPr="004118EA" w:rsidRDefault="00311C8E" w:rsidP="007730AA">
      <w:pPr>
        <w:pStyle w:val="ListParagraph"/>
        <w:numPr>
          <w:ilvl w:val="0"/>
          <w:numId w:val="19"/>
        </w:numPr>
        <w:tabs>
          <w:tab w:val="left" w:pos="180"/>
          <w:tab w:val="left" w:pos="851"/>
        </w:tabs>
        <w:spacing w:before="0" w:line="276" w:lineRule="auto"/>
        <w:ind w:left="0" w:firstLine="720"/>
        <w:contextualSpacing w:val="0"/>
        <w:rPr>
          <w:rFonts w:cs="Sylfaen"/>
          <w:bCs/>
          <w:szCs w:val="22"/>
          <w:lang w:val="hy-AM"/>
        </w:rPr>
      </w:pPr>
      <w:r w:rsidRPr="004118EA">
        <w:rPr>
          <w:rFonts w:cs="Sylfaen"/>
          <w:bCs/>
          <w:szCs w:val="22"/>
          <w:lang w:val="en-US"/>
        </w:rPr>
        <w:t>«</w:t>
      </w:r>
      <w:r w:rsidRPr="004118EA">
        <w:rPr>
          <w:rFonts w:cs="Sylfaen"/>
          <w:bCs/>
          <w:szCs w:val="22"/>
          <w:lang w:val="hy-AM"/>
        </w:rPr>
        <w:t>Դեղապահով</w:t>
      </w:r>
      <w:r w:rsidRPr="004118EA">
        <w:rPr>
          <w:rFonts w:cs="Sylfaen"/>
          <w:bCs/>
          <w:szCs w:val="22"/>
          <w:lang w:val="en-US"/>
        </w:rPr>
        <w:t>ու</w:t>
      </w:r>
      <w:r w:rsidRPr="004118EA">
        <w:rPr>
          <w:rFonts w:cs="Sylfaen"/>
          <w:bCs/>
          <w:szCs w:val="22"/>
          <w:lang w:val="hy-AM"/>
        </w:rPr>
        <w:t>մ</w:t>
      </w:r>
      <w:r w:rsidRPr="004118EA">
        <w:rPr>
          <w:rFonts w:cs="Sylfaen"/>
          <w:bCs/>
          <w:szCs w:val="22"/>
          <w:lang w:val="en-US"/>
        </w:rPr>
        <w:t>»</w:t>
      </w:r>
      <w:r w:rsidRPr="004118EA">
        <w:rPr>
          <w:rFonts w:cs="Sylfaen"/>
          <w:bCs/>
          <w:szCs w:val="22"/>
          <w:lang w:val="hy-AM"/>
        </w:rPr>
        <w:t xml:space="preserve"> ծրագիր</w:t>
      </w:r>
      <w:r w:rsidRPr="004118EA">
        <w:rPr>
          <w:rFonts w:cs="Sylfaen"/>
          <w:bCs/>
          <w:szCs w:val="22"/>
          <w:lang w:val="en-US"/>
        </w:rPr>
        <w:t>.</w:t>
      </w:r>
    </w:p>
    <w:p w:rsidR="00311C8E" w:rsidRPr="004118EA" w:rsidRDefault="00311C8E" w:rsidP="007730AA">
      <w:pPr>
        <w:tabs>
          <w:tab w:val="left" w:pos="180"/>
          <w:tab w:val="left" w:pos="851"/>
          <w:tab w:val="left" w:pos="9781"/>
        </w:tabs>
        <w:spacing w:before="0" w:line="276" w:lineRule="auto"/>
        <w:ind w:firstLine="720"/>
        <w:rPr>
          <w:rFonts w:cs="Sylfaen"/>
          <w:b w:val="0"/>
          <w:szCs w:val="22"/>
          <w:lang w:val="hy-AM"/>
        </w:rPr>
      </w:pPr>
      <w:bookmarkStart w:id="221" w:name="_Hlk19664365"/>
      <w:r w:rsidRPr="004118EA">
        <w:rPr>
          <w:rFonts w:cs="Sylfaen"/>
          <w:b w:val="0"/>
          <w:szCs w:val="22"/>
          <w:lang w:val="hy-AM"/>
        </w:rPr>
        <w:t xml:space="preserve">Ծրագրի գծով նախատեսվել է 3,490.8 մլն դրամ` ՀՀ 2020 թվականի պետական բյուջեով հաստատված 3,265.2 մլն դրամի դիմաց, որի շրջանակներում նախատեսվում է իրականացնել հետևյալ միջոցառումները. </w:t>
      </w:r>
    </w:p>
    <w:bookmarkEnd w:id="221"/>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4.1. «Մարդասիրական օգնության կարգով ստացվող դեղերի և դեղագործական արտադրանքի ստացման, մաքսազերծման և բաշխման աշխատանքներ» միջոցառման գծով նախատեսվել է 100.0 մլն դրամ` ՀՀ 2020 թվականի պետական բյուջեով հաստատված 74.4 մլն դրամի դիմաց կամ 26.5 մլն դրամով ավել, որը պայմանավորված է ՀՀ կառավարության կողմից դեռևս 2019թ.-ին նախաձեռնված հանրապետությունում մարդասիրական օգնության կարգով ստացվող դեղերի և դեղագործական արտադրանքի ստացման, մաքսազերծման և բաշխման աշխատանքները ամբողջովին ՊԲԳ (Պատշաճ Բաշխման Գործունեություն) միջազգային ստանդարտներին համապատասխանեցնելու հանգամանքով՝ հաստիքների ավելացմամբ, աշխատանքների ծավալների մեծացմամբ, ինչպես նաև աշխատավարձերի բարձրացմամբ:</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Միջոցառման շրջանակում նախատեսվում է մարդասիրական օգնության կարգով ստաց</w:t>
      </w:r>
      <w:r w:rsidRPr="004118EA">
        <w:rPr>
          <w:rFonts w:cs="Sylfaen"/>
          <w:b w:val="0"/>
          <w:szCs w:val="22"/>
          <w:lang w:val="hy-AM"/>
        </w:rPr>
        <w:softHyphen/>
        <w:t>վող դեղերի և դեղագործական արտադրանքի ստացման, մաքսազերծման, հաշվառման, պահպանման, բաշխման և այլ աշխատանքների իրականացում:</w:t>
      </w:r>
    </w:p>
    <w:p w:rsidR="00311C8E" w:rsidRPr="004118EA" w:rsidRDefault="00311C8E" w:rsidP="007730AA">
      <w:pPr>
        <w:tabs>
          <w:tab w:val="left" w:pos="180"/>
          <w:tab w:val="left" w:pos="851"/>
          <w:tab w:val="left" w:pos="9781"/>
        </w:tabs>
        <w:spacing w:before="0" w:line="276" w:lineRule="auto"/>
        <w:ind w:firstLine="720"/>
        <w:rPr>
          <w:rFonts w:cs="Sylfaen"/>
          <w:b w:val="0"/>
          <w:szCs w:val="22"/>
          <w:lang w:val="hy-AM"/>
        </w:rPr>
      </w:pPr>
      <w:r w:rsidRPr="004118EA">
        <w:rPr>
          <w:rFonts w:cs="Sylfaen"/>
          <w:b w:val="0"/>
          <w:szCs w:val="22"/>
          <w:lang w:val="hy-AM"/>
        </w:rPr>
        <w:t>4.2. «Դեղորայքի տրամադրում ամբու</w:t>
      </w:r>
      <w:r w:rsidRPr="004118EA">
        <w:rPr>
          <w:rFonts w:cs="Sylfaen"/>
          <w:b w:val="0"/>
          <w:szCs w:val="22"/>
          <w:lang w:val="hy-AM"/>
        </w:rPr>
        <w:softHyphen/>
        <w:t>լատոր-պոլիկլինիկական, հի</w:t>
      </w:r>
      <w:r w:rsidRPr="004118EA">
        <w:rPr>
          <w:rFonts w:cs="Sylfaen"/>
          <w:b w:val="0"/>
          <w:szCs w:val="22"/>
          <w:lang w:val="hy-AM"/>
        </w:rPr>
        <w:softHyphen/>
        <w:t>վան</w:t>
      </w:r>
      <w:r w:rsidRPr="004118EA">
        <w:rPr>
          <w:rFonts w:cs="Sylfaen"/>
          <w:b w:val="0"/>
          <w:szCs w:val="22"/>
          <w:lang w:val="hy-AM"/>
        </w:rPr>
        <w:softHyphen/>
        <w:t xml:space="preserve">դանոցային բուժօգնություն ստացողներին և հատուկ խմբերում ընդգրկված ֆիզիկական անձանց» միջոցառման գծով նախատեսվել է 3,390.8 մլն դրամ ՀՀ 2020 թվականի պետական բյուջեով հաստատված 3,190.8 մլն դրամի դիմաց կամ 200.0 մլն դրամով ավել:  Միջոցառման շրջանակներում պետության կողմից անվճար և արտոնյալ պայմաններով բնակչությանը դեղորայքի տրամադրման շրջանակը ընդլայնվում է տարեցտարի` ապահովելով 12 հիվանդության ծածկույթ:  </w:t>
      </w:r>
    </w:p>
    <w:p w:rsidR="00311C8E" w:rsidRPr="004118EA" w:rsidRDefault="00311C8E" w:rsidP="007730AA">
      <w:pPr>
        <w:tabs>
          <w:tab w:val="left" w:pos="180"/>
          <w:tab w:val="left" w:pos="851"/>
          <w:tab w:val="left" w:pos="9781"/>
        </w:tabs>
        <w:spacing w:before="0" w:line="276" w:lineRule="auto"/>
        <w:ind w:firstLine="720"/>
        <w:rPr>
          <w:rFonts w:cs="Sylfaen"/>
          <w:b w:val="0"/>
          <w:szCs w:val="22"/>
          <w:lang w:val="hy-AM"/>
        </w:rPr>
      </w:pPr>
      <w:r w:rsidRPr="004118EA">
        <w:rPr>
          <w:rFonts w:cs="Sylfaen"/>
          <w:b w:val="0"/>
          <w:szCs w:val="22"/>
          <w:lang w:val="hy-AM"/>
        </w:rPr>
        <w:t>ՀՀ առողջապահության նախարարության կողմից դեղորայ</w:t>
      </w:r>
      <w:r w:rsidRPr="004118EA">
        <w:rPr>
          <w:rFonts w:cs="Sylfaen"/>
          <w:b w:val="0"/>
          <w:szCs w:val="22"/>
          <w:lang w:val="hy-AM"/>
        </w:rPr>
        <w:softHyphen/>
        <w:t>քային ապահովումը իրականացվում է ՀՀ կառավարու</w:t>
      </w:r>
      <w:r w:rsidRPr="004118EA">
        <w:rPr>
          <w:rFonts w:cs="Sylfaen"/>
          <w:b w:val="0"/>
          <w:szCs w:val="22"/>
          <w:lang w:val="hy-AM"/>
        </w:rPr>
        <w:softHyphen/>
        <w:t>թյան 30.05.2019 թվականի «Բնակչության սոցիալական կամ հատուկ խմբերի և այն հիվանդությունների ցանկերը, որոնց դեպքում դեղերը շահառուներին հատկացվում են դրանց արժեքի լրիվ կամ մասնակի փոխհատուցմամբ, ինչպես նաև այդ բնակչության սոցիալական կամ հատուկ խմբերի ցանկում ընդգրկված շահառուներին Հայաստանի Հանրապետության առողջապահության նախարարության և առողջության առաջնային պահպանման ծառայություններ մատուցող բժշկական կազմակերպությունների միջոցով դեղերի հատկացման և փոխհատուցման կարգը սահմանելու և Հայաստանի Հանրապետության կառավարության 2006 թվականի նոյեմբերի 23-ի N 1717-ն որոշումն ուժը կորցրած ճանաչելու մասին» N 642-Ն որոշման համաձայն, ըստ հետևյալ հիվանդու</w:t>
      </w:r>
      <w:r w:rsidRPr="004118EA">
        <w:rPr>
          <w:rFonts w:cs="Sylfaen"/>
          <w:b w:val="0"/>
          <w:szCs w:val="22"/>
          <w:lang w:val="hy-AM"/>
        </w:rPr>
        <w:softHyphen/>
        <w:t>թյունների ցանկի` հոգեկան հիվանդությունների, չարորակ նորագոյացությունների, շաքարային և ոչ շաքարային դիաբետի, տուբերկուլյոզի, էպիլեպսիայի, սրտամկանի ինֆարկտի, պարբերական հիվանդության, սրտի փականների արատների, մալարիայի, քրոնիկ երիկամային անբավարարության, ֆենիլկետոնուրիայի, անհաս նորածինների շնչառական խանգարման համախտանիշի և մարդու իմունային անբավարարության (ՄԻԱՎ) վարակի, հիպոֆիզային գաճաճություն ախտանիշի և վիրուսային հեպատիտ Ց հիվանդության դեպքերում:</w:t>
      </w:r>
    </w:p>
    <w:p w:rsidR="00311C8E" w:rsidRPr="004118EA" w:rsidRDefault="00311C8E" w:rsidP="007730AA">
      <w:pPr>
        <w:pStyle w:val="ListParagraph"/>
        <w:numPr>
          <w:ilvl w:val="0"/>
          <w:numId w:val="19"/>
        </w:numPr>
        <w:tabs>
          <w:tab w:val="left" w:pos="180"/>
          <w:tab w:val="left" w:pos="851"/>
        </w:tabs>
        <w:spacing w:before="0" w:line="276" w:lineRule="auto"/>
        <w:ind w:left="0" w:firstLine="720"/>
        <w:contextualSpacing w:val="0"/>
        <w:rPr>
          <w:rFonts w:cs="Sylfaen"/>
          <w:bCs/>
          <w:szCs w:val="22"/>
          <w:lang w:val="hy-AM"/>
        </w:rPr>
      </w:pPr>
      <w:r w:rsidRPr="004118EA">
        <w:rPr>
          <w:rFonts w:cs="Sylfaen"/>
          <w:bCs/>
          <w:szCs w:val="22"/>
          <w:lang w:val="hy-AM"/>
        </w:rPr>
        <w:t>«Խորհրդատվական, մասնագիտական աջակցություն և հետազոտություններ» ծրագիր.</w:t>
      </w:r>
    </w:p>
    <w:p w:rsidR="00311C8E" w:rsidRPr="004118EA" w:rsidRDefault="009D50C6" w:rsidP="007730AA">
      <w:pPr>
        <w:tabs>
          <w:tab w:val="left" w:pos="180"/>
          <w:tab w:val="left" w:pos="851"/>
        </w:tabs>
        <w:spacing w:before="0" w:line="276" w:lineRule="auto"/>
        <w:ind w:firstLine="720"/>
        <w:rPr>
          <w:rFonts w:cs="Sylfaen"/>
          <w:b w:val="0"/>
          <w:szCs w:val="22"/>
          <w:lang w:val="hy-AM"/>
        </w:rPr>
      </w:pPr>
      <w:bookmarkStart w:id="222" w:name="_Hlk19665130"/>
      <w:r w:rsidRPr="009D50C6">
        <w:rPr>
          <w:rFonts w:cs="Sylfaen"/>
          <w:b w:val="0"/>
          <w:szCs w:val="22"/>
          <w:lang w:val="hy-AM"/>
        </w:rPr>
        <w:t>Ծրագրի գծով նախատեսվել է 271.3 մլն դրամ` ՀՀ 2020 թվականի պետական բյուջեով հաստատված 321.3 մլն դրամի դիմաց, որի շրջանակներում նախատեսվում է իրականացնել հետևյալ միջոցառումները.</w:t>
      </w:r>
      <w:r w:rsidR="00311C8E" w:rsidRPr="004118EA">
        <w:rPr>
          <w:rFonts w:cs="Sylfaen"/>
          <w:b w:val="0"/>
          <w:szCs w:val="22"/>
          <w:lang w:val="hy-AM"/>
        </w:rPr>
        <w:t xml:space="preserve"> </w:t>
      </w:r>
    </w:p>
    <w:bookmarkEnd w:id="222"/>
    <w:p w:rsidR="00311C8E" w:rsidRPr="004118EA" w:rsidRDefault="00311C8E" w:rsidP="007730AA">
      <w:pPr>
        <w:tabs>
          <w:tab w:val="left" w:pos="180"/>
          <w:tab w:val="left" w:pos="851"/>
        </w:tabs>
        <w:spacing w:before="0" w:line="276" w:lineRule="auto"/>
        <w:ind w:firstLine="720"/>
        <w:rPr>
          <w:rFonts w:cs="Sylfaen"/>
          <w:b w:val="0"/>
          <w:szCs w:val="22"/>
          <w:lang w:val="hy-AM"/>
        </w:rPr>
      </w:pPr>
      <w:r w:rsidRPr="004118EA">
        <w:rPr>
          <w:rFonts w:cs="Sylfaen"/>
          <w:b w:val="0"/>
          <w:szCs w:val="22"/>
          <w:lang w:val="hy-AM"/>
        </w:rPr>
        <w:t xml:space="preserve">5.1. «Խորհրդատվական, մասնագիտական աջակցություն և հետազոտություններ» միջոցառման գծով նախատեսվել է 221.3 մլն դրամ` ՀՀ 2020 թվականի պետական բյուջեով հաստատված 176.6  մլն դրամի դիմաց կամ 44.6 մլն դրամով ավել, որը պայմանավորված է ՀՀ կառավարության 30.01.2020թ. N 80-Ա որոշմամբ ՀՀ առողջապահության նախարարության «Հանրապետական գիտաբժշկական գրադարան» ՊՈԱԿ-ը ՀՀ առողջապահության նախարարության «Ակադեմիկոս Ս.Ավդալբեկյանի անվան առողջապահության ազգային ինստիտուտ» ՓԲԸ-ին միացնելով: «Գիտաբժշկական գրադարանային ծառայություններ» միջոցառման համար նախկին տարիների բյուջետային միջոցները նախատեսվել այս միջոցառման շրջանակներում: </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Ծրագրի շրջանակում նախատեսվում են մասնագիտական գործունեության հավաստագրման ծառայություններ, Հայաստանի առողջապահության արդյունավետության գնահատման տարեկան զեկույցի կազմման և նորմատիվ փաստաթղթերի մշակման ծառայություններ, առողջապահության ոլորտի վիճակագրական հաշվետվությունների հետ կապված վերլուծական աշխատանքների տեխնիկական սպասարկման և գիտաբժշկական գրադարանային հավաքածուների պահպանման և համալրման, ընթերցողների սպասարկման, գրադարանային միջոցառումների կազմակերպման այլ ծառայություններ:</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 xml:space="preserve">5.2. «Բժիշկ-մասնագետների ժամանակավոր ուղեգրման միջոցով </w:t>
      </w:r>
      <w:r w:rsidRPr="004118EA">
        <w:rPr>
          <w:rFonts w:cs="Sylfaen"/>
          <w:b w:val="0"/>
          <w:szCs w:val="22"/>
          <w:lang w:val="fr-FR"/>
        </w:rPr>
        <w:t xml:space="preserve">Հայաստանի Հանրապետության </w:t>
      </w:r>
      <w:r w:rsidRPr="004118EA">
        <w:rPr>
          <w:rFonts w:cs="Sylfaen"/>
          <w:b w:val="0"/>
          <w:szCs w:val="22"/>
          <w:lang w:val="hy-AM"/>
        </w:rPr>
        <w:t>մարզային առողջապահական կազմակերպություններում բժշկական ծառայությունների մատուցում» միջոցառման գծով նախատեսվել է 50.0 մլն դրամ` ՀՀ 2020 թվականի պետական բյուջեով հաստատված գումարի չափով:</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Միջոցառման նպատակն է բժիշկ-մասնագետների ժամանակավոր ուղեգրման միջոցով ՀՀ մարզային առողջապահական կազմակերպություններում բժշկական ծառայությունների մատուցումը:</w:t>
      </w:r>
    </w:p>
    <w:p w:rsidR="00311C8E" w:rsidRPr="004118EA" w:rsidRDefault="00311C8E" w:rsidP="007730AA">
      <w:pPr>
        <w:pStyle w:val="ListParagraph"/>
        <w:numPr>
          <w:ilvl w:val="0"/>
          <w:numId w:val="19"/>
        </w:numPr>
        <w:tabs>
          <w:tab w:val="left" w:pos="180"/>
          <w:tab w:val="left" w:pos="851"/>
        </w:tabs>
        <w:spacing w:before="0" w:line="276" w:lineRule="auto"/>
        <w:ind w:left="0" w:firstLine="720"/>
        <w:contextualSpacing w:val="0"/>
        <w:rPr>
          <w:rFonts w:cs="Sylfaen"/>
          <w:bCs/>
          <w:szCs w:val="22"/>
          <w:lang w:val="hy-AM"/>
        </w:rPr>
      </w:pPr>
      <w:r w:rsidRPr="004118EA">
        <w:rPr>
          <w:rFonts w:cs="Sylfaen"/>
          <w:bCs/>
          <w:szCs w:val="22"/>
          <w:lang w:val="hy-AM"/>
        </w:rPr>
        <w:t xml:space="preserve"> «Մոր և մանկան առողջության պահպանում» ծրագիր.</w:t>
      </w:r>
    </w:p>
    <w:p w:rsidR="00311C8E" w:rsidRPr="004118EA" w:rsidRDefault="00311C8E" w:rsidP="007730AA">
      <w:pPr>
        <w:pStyle w:val="ListParagraph"/>
        <w:tabs>
          <w:tab w:val="left" w:pos="180"/>
          <w:tab w:val="left" w:pos="540"/>
        </w:tabs>
        <w:spacing w:before="0" w:line="276" w:lineRule="auto"/>
        <w:ind w:left="0" w:firstLine="720"/>
        <w:rPr>
          <w:rFonts w:cs="Sylfaen"/>
          <w:b w:val="0"/>
          <w:szCs w:val="22"/>
          <w:lang w:val="hy-AM"/>
        </w:rPr>
      </w:pPr>
      <w:r w:rsidRPr="004118EA">
        <w:rPr>
          <w:rFonts w:cs="Sylfaen"/>
          <w:b w:val="0"/>
          <w:szCs w:val="22"/>
          <w:lang w:val="hy-AM"/>
        </w:rPr>
        <w:t xml:space="preserve">Ծրագրի գծով նախատեսվել է 19,082.1 մլն դրամ` ՀՀ 2020 թվականի պետական բյուջեով հաստատված 20,398.9 մլն դրամի դիմաց, որի շրջանակներում նախատեսվում է իրականացնել հետևյալ միջոցառումները. </w:t>
      </w:r>
    </w:p>
    <w:p w:rsidR="00311C8E" w:rsidRPr="004118EA" w:rsidRDefault="00311C8E" w:rsidP="007730AA">
      <w:pPr>
        <w:pStyle w:val="ListParagraph"/>
        <w:tabs>
          <w:tab w:val="left" w:pos="180"/>
          <w:tab w:val="left" w:pos="540"/>
        </w:tabs>
        <w:spacing w:before="0" w:line="276" w:lineRule="auto"/>
        <w:ind w:left="0" w:firstLine="720"/>
        <w:rPr>
          <w:rFonts w:cs="Sylfaen"/>
          <w:b w:val="0"/>
          <w:lang w:val="hy-AM"/>
        </w:rPr>
      </w:pPr>
      <w:r w:rsidRPr="004118EA">
        <w:rPr>
          <w:rFonts w:cs="Sylfaen"/>
          <w:b w:val="0"/>
          <w:szCs w:val="22"/>
          <w:lang w:val="hy-AM"/>
        </w:rPr>
        <w:t>6.</w:t>
      </w:r>
      <w:r w:rsidRPr="004118EA">
        <w:rPr>
          <w:rFonts w:cs="Sylfaen"/>
          <w:b w:val="0"/>
          <w:lang w:val="hy-AM"/>
        </w:rPr>
        <w:t>1. «Մանկաբարձական բժշկական օգնության ծառայություններ» միջոցառման շրջանակ</w:t>
      </w:r>
      <w:r w:rsidRPr="004118EA">
        <w:rPr>
          <w:rFonts w:cs="Sylfaen"/>
          <w:b w:val="0"/>
          <w:lang w:val="hy-AM"/>
        </w:rPr>
        <w:softHyphen/>
        <w:t xml:space="preserve">ում նախատեսվել է 7,043.9 մլն դրամ` ՀՀ 2020 թվականի պետական բյուջեով հաստատված 7,548.4 մլն դրամի դիմաց կամ 504.5 մլն դրամով պակաս: </w:t>
      </w:r>
    </w:p>
    <w:p w:rsidR="00311C8E" w:rsidRPr="004118EA" w:rsidRDefault="00311C8E" w:rsidP="007730AA">
      <w:pPr>
        <w:pStyle w:val="ListParagraph"/>
        <w:tabs>
          <w:tab w:val="left" w:pos="180"/>
          <w:tab w:val="left" w:pos="540"/>
        </w:tabs>
        <w:spacing w:before="0" w:line="276" w:lineRule="auto"/>
        <w:ind w:left="0" w:firstLine="720"/>
        <w:rPr>
          <w:rFonts w:cs="Sylfaen"/>
          <w:b w:val="0"/>
          <w:szCs w:val="22"/>
          <w:lang w:val="hy-AM"/>
        </w:rPr>
      </w:pPr>
      <w:r w:rsidRPr="004118EA">
        <w:rPr>
          <w:rFonts w:cs="Sylfaen"/>
          <w:b w:val="0"/>
          <w:szCs w:val="22"/>
          <w:lang w:val="hy-AM"/>
        </w:rPr>
        <w:t>Միջոցառումն ընդգրկում է ծննդաբերության, նա</w:t>
      </w:r>
      <w:r w:rsidRPr="004118EA">
        <w:rPr>
          <w:rFonts w:cs="Sylfaen"/>
          <w:b w:val="0"/>
          <w:szCs w:val="22"/>
          <w:lang w:val="hy-AM"/>
        </w:rPr>
        <w:softHyphen/>
        <w:t>խածննդյան և հետծննդյան բարդու</w:t>
      </w:r>
      <w:r w:rsidRPr="004118EA">
        <w:rPr>
          <w:rFonts w:cs="Sylfaen"/>
          <w:b w:val="0"/>
          <w:szCs w:val="22"/>
          <w:lang w:val="hy-AM"/>
        </w:rPr>
        <w:softHyphen/>
        <w:t>թյուն</w:t>
      </w:r>
      <w:r w:rsidRPr="004118EA">
        <w:rPr>
          <w:rFonts w:cs="Sylfaen"/>
          <w:b w:val="0"/>
          <w:szCs w:val="22"/>
          <w:lang w:val="hy-AM"/>
        </w:rPr>
        <w:softHyphen/>
        <w:t>նե</w:t>
      </w:r>
      <w:r w:rsidRPr="004118EA">
        <w:rPr>
          <w:rFonts w:cs="Sylfaen"/>
          <w:b w:val="0"/>
          <w:szCs w:val="22"/>
          <w:lang w:val="hy-AM"/>
        </w:rPr>
        <w:softHyphen/>
        <w:t xml:space="preserve">րի բուժօգնությունը: </w:t>
      </w:r>
    </w:p>
    <w:p w:rsidR="00311C8E" w:rsidRPr="004118EA" w:rsidRDefault="00311C8E" w:rsidP="007730AA">
      <w:pPr>
        <w:tabs>
          <w:tab w:val="left" w:pos="-990"/>
        </w:tabs>
        <w:spacing w:before="0" w:line="276" w:lineRule="auto"/>
        <w:ind w:firstLine="720"/>
        <w:rPr>
          <w:rFonts w:cs="Sylfaen"/>
          <w:b w:val="0"/>
          <w:szCs w:val="22"/>
          <w:lang w:val="hy-AM"/>
        </w:rPr>
      </w:pPr>
      <w:r w:rsidRPr="004118EA">
        <w:rPr>
          <w:rFonts w:cs="Sylfaen"/>
          <w:b w:val="0"/>
          <w:szCs w:val="22"/>
          <w:lang w:val="hy-AM"/>
        </w:rPr>
        <w:t>6.2. «Երեխաներին բժշկական օգնության ծառայություններ» միջոցառումը ներառում է մինչև 18 տարեկան երեխաների հիվանդանոցային բժշկական օգնության հիմնական և նորագույն թանկարժեք տեխնոլոգիաների կիրառմամաբ իրականացվող ծառայությունների փաթեթը, հիվանդանոցային պայմաններում ախտորոշման ճշտումը:</w:t>
      </w:r>
    </w:p>
    <w:p w:rsidR="00311C8E" w:rsidRPr="004118EA" w:rsidRDefault="00311C8E" w:rsidP="007730AA">
      <w:pPr>
        <w:tabs>
          <w:tab w:val="left" w:pos="-990"/>
        </w:tabs>
        <w:spacing w:before="0" w:line="276" w:lineRule="auto"/>
        <w:ind w:firstLine="720"/>
        <w:rPr>
          <w:rFonts w:cs="Sylfaen"/>
          <w:b w:val="0"/>
          <w:szCs w:val="22"/>
          <w:lang w:val="hy-AM"/>
        </w:rPr>
      </w:pPr>
      <w:r w:rsidRPr="004118EA">
        <w:rPr>
          <w:rFonts w:cs="Sylfaen"/>
          <w:b w:val="0"/>
          <w:szCs w:val="22"/>
          <w:lang w:val="hy-AM"/>
        </w:rPr>
        <w:t>Միջոցառման շրջանակում նախատեսվել է 10,500.0 մլն դրամ` ՀՀ 2020 թվականի պետական բյուջեով հաստատված 11,163.8 մլն դրամի դիմաց կամ 663.8 մլն դրամով պակաս:</w:t>
      </w:r>
    </w:p>
    <w:p w:rsidR="00311C8E" w:rsidRPr="004118EA" w:rsidRDefault="00311C8E" w:rsidP="007730AA">
      <w:pPr>
        <w:tabs>
          <w:tab w:val="left" w:pos="180"/>
          <w:tab w:val="left" w:pos="540"/>
        </w:tabs>
        <w:spacing w:before="0" w:line="276" w:lineRule="auto"/>
        <w:ind w:firstLine="720"/>
        <w:rPr>
          <w:rFonts w:cs="Sylfaen"/>
          <w:b w:val="0"/>
          <w:szCs w:val="22"/>
          <w:lang w:val="hy-AM"/>
        </w:rPr>
      </w:pPr>
      <w:r w:rsidRPr="004118EA">
        <w:rPr>
          <w:rFonts w:cs="Sylfaen"/>
          <w:b w:val="0"/>
          <w:szCs w:val="22"/>
          <w:lang w:val="hy-AM"/>
        </w:rPr>
        <w:t>6.3. «Մտավոր, հոգեկան (վարքագծային), լսողական, ֆիզիկական (շարժողական) և զարգացման այլ խանգարումներով երեխաների գնահատման և վերականգնողական բուժման ծառայություններ» միջոցառման շրջանակում կազմակերպվում է զարգացման խանգարումներով երեխաների վաղ հայտնաբերման և վաղ միջամտության գործընթացի կազմակերպում (Հայաստանի Հանրապետությունում մինչև 18 տարեկան հաշմանդամ երեխաների քանակը կազմում է 7525), որի գծով նախատեսվել է 320,3 մլն դրամ` ՀՀ 2020 թվա</w:t>
      </w:r>
      <w:r w:rsidRPr="004118EA">
        <w:rPr>
          <w:rFonts w:cs="Sylfaen"/>
          <w:b w:val="0"/>
          <w:szCs w:val="22"/>
          <w:lang w:val="hy-AM"/>
        </w:rPr>
        <w:softHyphen/>
        <w:t xml:space="preserve">կանի պետական բյուջեով հաստատված 400,3 մլն դրամի դիմաց կամ 80.0 մլն դրամով պակաս: </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Ծրագրային ժամանակահատվածում նախատեսվում է զարգացման խանգարումներով երեխաների շրջանում հաշմանդամության հնարավոր կանխում և նրանց սոցիալական ինտեգրման ապահովում:</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6.4. «Անպտուղ զույգերի համար վերարտադրողական օժանդակ տեխնոլոգիաների կիրառմամբ բժշկական օգնության ծառայություններ» միջոցառումը վերարտադրողականության օժանդակ տեխնոլոգիաների կիրառմամբ բնակչության որոշ առանձին և հատուկ խմբերում ընդգրկված անպտուղ զույգերի բժշկական օգնության և սպասարկման ծառայություն է, որը հանդիսանում է առողջապահական գործոնով պայմանավորված ծնելիության բարելավման բաղադրիչ:</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Միջոցառման գծով նախատեսվում է 917.9 մլն դրամ ՀՀ 2020 թվականի պետական բյուջեով հաստատված գումարի չափով:</w:t>
      </w:r>
    </w:p>
    <w:p w:rsidR="00311C8E" w:rsidRPr="004118EA" w:rsidRDefault="00311C8E" w:rsidP="007730AA">
      <w:pPr>
        <w:spacing w:before="0" w:line="276" w:lineRule="auto"/>
        <w:ind w:firstLine="720"/>
        <w:rPr>
          <w:rFonts w:cs="Sylfaen"/>
          <w:b w:val="0"/>
          <w:bCs/>
          <w:lang w:val="hy-AM"/>
        </w:rPr>
      </w:pPr>
      <w:r w:rsidRPr="004118EA">
        <w:rPr>
          <w:rFonts w:cs="Sylfaen"/>
          <w:b w:val="0"/>
          <w:szCs w:val="22"/>
          <w:lang w:val="hy-AM"/>
        </w:rPr>
        <w:t xml:space="preserve">6.5. </w:t>
      </w:r>
      <w:r w:rsidRPr="004118EA">
        <w:rPr>
          <w:rFonts w:cs="Sylfaen"/>
          <w:lang w:val="hy-AM"/>
        </w:rPr>
        <w:t>«</w:t>
      </w:r>
      <w:r w:rsidRPr="004118EA">
        <w:rPr>
          <w:rFonts w:cs="Sylfaen"/>
          <w:b w:val="0"/>
          <w:szCs w:val="22"/>
          <w:lang w:val="hy-AM"/>
        </w:rPr>
        <w:t>Բնածին հիպոթիրեոզի, ֆենիլկենտոնուրիայի, լսողության և տեսողության (անհասների ռետինոպաթիա) խանգարումների, կոնքազդրային հոդի խախտման վաղ հայտնաբերման նպատակով նորածնային սքրինգների անցկացում</w:t>
      </w:r>
      <w:r w:rsidRPr="004118EA">
        <w:rPr>
          <w:rFonts w:cs="Sylfaen"/>
          <w:b w:val="0"/>
          <w:bCs/>
          <w:lang w:val="hy-AM"/>
        </w:rPr>
        <w:t>» միջոցառման գծով նա</w:t>
      </w:r>
      <w:r w:rsidRPr="004118EA">
        <w:rPr>
          <w:rFonts w:cs="Sylfaen"/>
          <w:b w:val="0"/>
          <w:bCs/>
          <w:lang w:val="hy-AM"/>
        </w:rPr>
        <w:softHyphen/>
        <w:t>խա</w:t>
      </w:r>
      <w:r w:rsidRPr="004118EA">
        <w:rPr>
          <w:rFonts w:cs="Sylfaen"/>
          <w:b w:val="0"/>
          <w:bCs/>
          <w:lang w:val="hy-AM"/>
        </w:rPr>
        <w:softHyphen/>
        <w:t>տեսվել է 300.0 մլն դրամ` ՀՀ 2020 թվականի պետական բյուջեով հաստատված 368.5 մլն դրամի դիմաց կամ 68.5 մլն դրամով պակաս, որը պայմանավորված է ծնունդների քանակի կանխատեսվող նվազմամբ:</w:t>
      </w:r>
    </w:p>
    <w:p w:rsidR="00311C8E" w:rsidRPr="004118EA" w:rsidRDefault="00311C8E" w:rsidP="007730AA">
      <w:pPr>
        <w:spacing w:before="0" w:line="276" w:lineRule="auto"/>
        <w:ind w:firstLine="720"/>
        <w:rPr>
          <w:rFonts w:cs="Sylfaen"/>
          <w:b w:val="0"/>
          <w:bCs/>
          <w:lang w:val="hy-AM"/>
        </w:rPr>
      </w:pPr>
      <w:r w:rsidRPr="004118EA">
        <w:rPr>
          <w:rFonts w:cs="Sylfaen"/>
          <w:b w:val="0"/>
          <w:bCs/>
          <w:lang w:val="hy-AM"/>
        </w:rPr>
        <w:t>Միջոցառման նպատակն է մասնագիտացված ախտորոշման կենտրոնների, պոլիկլինիկաների և հիվանդանոցների միջոցով նորածնային սկրինինգների իրականացումը, որոնք ուղղված են բնածին, ժառանգական հիվանդությունների հնա</w:t>
      </w:r>
      <w:r w:rsidRPr="004118EA">
        <w:rPr>
          <w:rFonts w:cs="Sylfaen"/>
          <w:b w:val="0"/>
          <w:bCs/>
          <w:lang w:val="hy-AM"/>
        </w:rPr>
        <w:softHyphen/>
        <w:t>րա</w:t>
      </w:r>
      <w:r w:rsidRPr="004118EA">
        <w:rPr>
          <w:rFonts w:cs="Sylfaen"/>
          <w:b w:val="0"/>
          <w:bCs/>
          <w:lang w:val="hy-AM"/>
        </w:rPr>
        <w:softHyphen/>
        <w:t>վո</w:t>
      </w:r>
      <w:r w:rsidRPr="004118EA">
        <w:rPr>
          <w:rFonts w:cs="Sylfaen"/>
          <w:b w:val="0"/>
          <w:bCs/>
          <w:lang w:val="hy-AM"/>
        </w:rPr>
        <w:softHyphen/>
        <w:t>րինս վաղ ախտորոշմանը, ինչի շնորհիվ հնարավոր է հասնել հիվանդության կանխարգելման, ինչպես նաև բուժման կամ ախ</w:t>
      </w:r>
      <w:r w:rsidRPr="004118EA">
        <w:rPr>
          <w:rFonts w:cs="Sylfaen"/>
          <w:b w:val="0"/>
          <w:bCs/>
          <w:lang w:val="hy-AM"/>
        </w:rPr>
        <w:softHyphen/>
        <w:t>տաբանական վիճակի շտկման։</w:t>
      </w:r>
    </w:p>
    <w:p w:rsidR="00311C8E" w:rsidRPr="004118EA" w:rsidRDefault="00311C8E" w:rsidP="007730AA">
      <w:pPr>
        <w:pStyle w:val="ListParagraph"/>
        <w:numPr>
          <w:ilvl w:val="0"/>
          <w:numId w:val="19"/>
        </w:numPr>
        <w:tabs>
          <w:tab w:val="left" w:pos="180"/>
          <w:tab w:val="left" w:pos="851"/>
        </w:tabs>
        <w:spacing w:before="0" w:line="276" w:lineRule="auto"/>
        <w:ind w:left="0" w:firstLine="720"/>
        <w:contextualSpacing w:val="0"/>
        <w:rPr>
          <w:rFonts w:cs="Sylfaen"/>
          <w:bCs/>
          <w:szCs w:val="22"/>
          <w:lang w:val="hy-AM"/>
        </w:rPr>
      </w:pPr>
      <w:r w:rsidRPr="004118EA">
        <w:rPr>
          <w:rFonts w:cs="Sylfaen"/>
          <w:bCs/>
          <w:szCs w:val="22"/>
          <w:lang w:val="en-US"/>
        </w:rPr>
        <w:t>«</w:t>
      </w:r>
      <w:r w:rsidRPr="004118EA">
        <w:rPr>
          <w:rFonts w:cs="Sylfaen"/>
          <w:bCs/>
          <w:szCs w:val="22"/>
          <w:lang w:val="hy-AM"/>
        </w:rPr>
        <w:t>Շտապ բժշկական օգնությ</w:t>
      </w:r>
      <w:r w:rsidRPr="004118EA">
        <w:rPr>
          <w:rFonts w:cs="Sylfaen"/>
          <w:bCs/>
          <w:szCs w:val="22"/>
          <w:lang w:val="en-US"/>
        </w:rPr>
        <w:t>ուն»</w:t>
      </w:r>
      <w:r w:rsidRPr="004118EA">
        <w:rPr>
          <w:rFonts w:cs="Sylfaen"/>
          <w:bCs/>
          <w:szCs w:val="22"/>
          <w:lang w:val="hy-AM"/>
        </w:rPr>
        <w:t xml:space="preserve"> ծրագիր</w:t>
      </w:r>
      <w:r w:rsidRPr="004118EA">
        <w:rPr>
          <w:rFonts w:cs="Sylfaen"/>
          <w:bCs/>
          <w:szCs w:val="22"/>
          <w:lang w:val="en-US"/>
        </w:rPr>
        <w:t>.</w:t>
      </w:r>
    </w:p>
    <w:p w:rsidR="00311C8E" w:rsidRPr="004118EA" w:rsidRDefault="00311C8E" w:rsidP="007730AA">
      <w:pPr>
        <w:tabs>
          <w:tab w:val="left" w:pos="180"/>
        </w:tabs>
        <w:spacing w:before="0" w:line="276" w:lineRule="auto"/>
        <w:ind w:firstLine="720"/>
        <w:rPr>
          <w:rFonts w:cs="Sylfaen"/>
          <w:b w:val="0"/>
          <w:szCs w:val="22"/>
          <w:lang w:val="hy-AM"/>
        </w:rPr>
      </w:pPr>
      <w:r w:rsidRPr="004118EA">
        <w:rPr>
          <w:rFonts w:cs="Sylfaen"/>
          <w:b w:val="0"/>
          <w:szCs w:val="22"/>
          <w:lang w:val="hy-AM"/>
        </w:rPr>
        <w:t xml:space="preserve">«Շտապ բժշկական օգնության» ծրագիրը ներառում է հանրապետության տարածքում ամբողջ բնակչության համար արտահիվանդանոցային անհետաձգելի և շտապ բժշկական օգնությունը, հոսպիտալացումը, ուղղաթիռով սանավիացիայի ծառայությունը, արագ արձագանքման ծառայությունը: </w:t>
      </w:r>
    </w:p>
    <w:p w:rsidR="00311C8E" w:rsidRPr="004118EA" w:rsidRDefault="00311C8E" w:rsidP="007730AA">
      <w:pPr>
        <w:tabs>
          <w:tab w:val="left" w:pos="180"/>
          <w:tab w:val="left" w:pos="851"/>
        </w:tabs>
        <w:spacing w:before="0" w:line="276" w:lineRule="auto"/>
        <w:ind w:firstLine="720"/>
        <w:rPr>
          <w:rFonts w:cs="Sylfaen"/>
          <w:b w:val="0"/>
          <w:szCs w:val="22"/>
          <w:lang w:val="hy-AM"/>
        </w:rPr>
      </w:pPr>
      <w:r w:rsidRPr="004118EA">
        <w:rPr>
          <w:rFonts w:cs="Sylfaen"/>
          <w:b w:val="0"/>
          <w:szCs w:val="22"/>
          <w:lang w:val="hy-AM"/>
        </w:rPr>
        <w:t>Ծրագրի շրջանակներում իրականացվում է մեկ միջոցառում՝ «Շտապ բժշկական օգնության ծառայություններ» միջոցառումը, որի գծով նախատեսվել է 5,000.0 մլն դրամ` ՀՀ 2020 թվականի պետական բյուջեով հաստատված 4,292,3 մլն դրամի դիմաց կամ 707.7 մլն դրամով ավել, որը նախատեսվում է ուղղել կանչերի գների վերանայմանն ըստ սպասարկվող տարածքի և ծառայության ծանրաբեռնվածության գործակցի, ինչպես նաև շտապ բժշկա</w:t>
      </w:r>
      <w:r w:rsidRPr="004118EA">
        <w:rPr>
          <w:rFonts w:cs="Sylfaen"/>
          <w:b w:val="0"/>
          <w:szCs w:val="22"/>
          <w:lang w:val="hy-AM"/>
        </w:rPr>
        <w:softHyphen/>
        <w:t>կան օգնության աշխատակիցների աշխատավարձերի բարձրաց</w:t>
      </w:r>
      <w:r w:rsidRPr="004118EA">
        <w:rPr>
          <w:rFonts w:cs="Sylfaen"/>
          <w:b w:val="0"/>
          <w:szCs w:val="22"/>
          <w:lang w:val="hy-AM"/>
        </w:rPr>
        <w:softHyphen/>
        <w:t xml:space="preserve">մանը: </w:t>
      </w:r>
    </w:p>
    <w:p w:rsidR="00311C8E" w:rsidRPr="004118EA" w:rsidRDefault="00C36F1B" w:rsidP="00C36F1B">
      <w:pPr>
        <w:pStyle w:val="ListParagraph"/>
        <w:tabs>
          <w:tab w:val="left" w:pos="180"/>
          <w:tab w:val="left" w:pos="851"/>
          <w:tab w:val="left" w:pos="9781"/>
        </w:tabs>
        <w:spacing w:before="0" w:line="276" w:lineRule="auto"/>
        <w:ind w:firstLine="0"/>
        <w:rPr>
          <w:rFonts w:cs="Sylfaen"/>
          <w:bCs/>
          <w:szCs w:val="22"/>
          <w:lang w:val="hy-AM"/>
        </w:rPr>
      </w:pPr>
      <w:r w:rsidRPr="00C36F1B">
        <w:rPr>
          <w:rFonts w:cs="Sylfaen"/>
          <w:bCs/>
          <w:szCs w:val="22"/>
          <w:lang w:val="hy-AM"/>
        </w:rPr>
        <w:t>8.</w:t>
      </w:r>
      <w:r w:rsidR="00311C8E" w:rsidRPr="004118EA">
        <w:rPr>
          <w:rFonts w:cs="Sylfaen"/>
          <w:bCs/>
          <w:szCs w:val="22"/>
          <w:lang w:val="hy-AM"/>
        </w:rPr>
        <w:t>«Ոչ վարակիչ հիվանդությունների բժշկական օգնության ապահովում» ծրագիր.</w:t>
      </w:r>
    </w:p>
    <w:p w:rsidR="00311C8E" w:rsidRPr="004118EA" w:rsidRDefault="00311C8E" w:rsidP="007730AA">
      <w:pPr>
        <w:tabs>
          <w:tab w:val="left" w:pos="180"/>
        </w:tabs>
        <w:spacing w:before="0" w:line="276" w:lineRule="auto"/>
        <w:ind w:firstLine="720"/>
        <w:rPr>
          <w:rFonts w:cs="Sylfaen"/>
          <w:b w:val="0"/>
          <w:szCs w:val="22"/>
          <w:lang w:val="hy-AM"/>
        </w:rPr>
      </w:pPr>
      <w:r w:rsidRPr="004118EA">
        <w:rPr>
          <w:rFonts w:cs="Sylfaen"/>
          <w:b w:val="0"/>
          <w:szCs w:val="22"/>
          <w:lang w:val="hy-AM"/>
        </w:rPr>
        <w:t xml:space="preserve">Ծրագրի գծով նախատեսվել է 15,802.0 մլն դրամ` ՀՀ 2020 թվականի պետական բյուջեով հաստատված 13,707.5 մլն դրամի դիմաց, որի շրջանակներում նախատեսվում է իրականացնել հետևյալ միջոցառումները. </w:t>
      </w:r>
    </w:p>
    <w:p w:rsidR="00311C8E" w:rsidRPr="004118EA" w:rsidRDefault="00311C8E" w:rsidP="007730AA">
      <w:pPr>
        <w:tabs>
          <w:tab w:val="left" w:pos="180"/>
        </w:tabs>
        <w:spacing w:before="0" w:line="276" w:lineRule="auto"/>
        <w:ind w:firstLine="720"/>
        <w:rPr>
          <w:rFonts w:cs="Sylfaen"/>
          <w:b w:val="0"/>
          <w:szCs w:val="22"/>
          <w:lang w:val="hy-AM"/>
        </w:rPr>
      </w:pPr>
      <w:r w:rsidRPr="004118EA">
        <w:rPr>
          <w:rFonts w:cs="Sylfaen"/>
          <w:b w:val="0"/>
          <w:szCs w:val="22"/>
          <w:lang w:val="hy-AM"/>
        </w:rPr>
        <w:t xml:space="preserve">8.1. «Հեմոդիալիզի և պերիտոնիալ դիալիզի անցկացման ծառայություններ» միջոցառման շրջանակներում իրականացվում է բնակչությանը պետության կողմից երաշխավորված անվճար բժշկական օգնության և սպասարկման շրջանակներում ծրագրային հեմոդիալիզային ծառայությունը: </w:t>
      </w:r>
    </w:p>
    <w:p w:rsidR="00311C8E" w:rsidRPr="004118EA" w:rsidRDefault="00311C8E" w:rsidP="007730AA">
      <w:pPr>
        <w:tabs>
          <w:tab w:val="left" w:pos="180"/>
          <w:tab w:val="left" w:pos="540"/>
        </w:tabs>
        <w:spacing w:before="0" w:line="276" w:lineRule="auto"/>
        <w:ind w:firstLine="720"/>
        <w:rPr>
          <w:rFonts w:cs="Sylfaen"/>
          <w:b w:val="0"/>
          <w:szCs w:val="22"/>
          <w:lang w:val="hy-AM"/>
        </w:rPr>
      </w:pPr>
      <w:r w:rsidRPr="004118EA">
        <w:rPr>
          <w:rFonts w:cs="Sylfaen"/>
          <w:b w:val="0"/>
          <w:szCs w:val="22"/>
          <w:lang w:val="hy-AM"/>
        </w:rPr>
        <w:t>Ծրագրի գծով նախատեսվել է 3,200.0 մլն դրամ` ՀՀ 2020 թվականի պետական բյուջեով հաստատված 2,686.2 մլն դրամի դիմաց կամ 513.8 մլն դրամով ավել:</w:t>
      </w:r>
    </w:p>
    <w:p w:rsidR="00311C8E" w:rsidRPr="004118EA" w:rsidRDefault="00311C8E" w:rsidP="007730AA">
      <w:pPr>
        <w:tabs>
          <w:tab w:val="left" w:pos="180"/>
          <w:tab w:val="left" w:pos="540"/>
        </w:tabs>
        <w:spacing w:before="0" w:line="276" w:lineRule="auto"/>
        <w:ind w:firstLine="720"/>
        <w:rPr>
          <w:rFonts w:cs="Sylfaen"/>
          <w:b w:val="0"/>
          <w:szCs w:val="22"/>
          <w:lang w:val="hy-AM"/>
        </w:rPr>
      </w:pPr>
      <w:r w:rsidRPr="004118EA">
        <w:rPr>
          <w:rFonts w:cs="Sylfaen"/>
          <w:b w:val="0"/>
          <w:szCs w:val="22"/>
          <w:lang w:val="hy-AM"/>
        </w:rPr>
        <w:t>8.2. «Անհետաձգելի բժշկական օգնության ծառայություններ» միջոցառման գծով նախա</w:t>
      </w:r>
      <w:r w:rsidRPr="004118EA">
        <w:rPr>
          <w:rFonts w:cs="Sylfaen"/>
          <w:b w:val="0"/>
          <w:szCs w:val="22"/>
          <w:lang w:val="hy-AM"/>
        </w:rPr>
        <w:softHyphen/>
        <w:t>տես</w:t>
      </w:r>
      <w:r w:rsidRPr="004118EA">
        <w:rPr>
          <w:rFonts w:cs="Sylfaen"/>
          <w:b w:val="0"/>
          <w:szCs w:val="22"/>
          <w:lang w:val="hy-AM"/>
        </w:rPr>
        <w:softHyphen/>
        <w:t>վել է 3,400.0 մլն դրամ` ՀՀ 2020 թվականի պետական բյուջեով հաստատված 2,829.2 մլն դրամի դիմաց կամ 570.8 մլն դրամով ավել, որը պայմանավորված է պայմանավորված է հիմնականում գլխուղեղի սուր կամ ենթասուր իշեմիկ ինսուլտի բուժման դեպքերի քանակի նախատեսվող աճով:</w:t>
      </w:r>
    </w:p>
    <w:p w:rsidR="00311C8E" w:rsidRPr="004118EA" w:rsidRDefault="00311C8E" w:rsidP="007730AA">
      <w:pPr>
        <w:tabs>
          <w:tab w:val="left" w:pos="180"/>
          <w:tab w:val="left" w:pos="540"/>
        </w:tabs>
        <w:spacing w:before="0" w:line="276" w:lineRule="auto"/>
        <w:ind w:firstLine="720"/>
        <w:rPr>
          <w:rFonts w:cs="Sylfaen"/>
          <w:b w:val="0"/>
          <w:szCs w:val="22"/>
          <w:lang w:val="hy-AM"/>
        </w:rPr>
      </w:pPr>
      <w:r w:rsidRPr="004118EA">
        <w:rPr>
          <w:rFonts w:cs="Sylfaen"/>
          <w:b w:val="0"/>
          <w:szCs w:val="22"/>
          <w:lang w:val="hy-AM"/>
        </w:rPr>
        <w:t>Միջացառման շրջանակներում մատուցվում են անհետաձգելի բժշկական օգնության, ինչպես նաև գլխու</w:t>
      </w:r>
      <w:r w:rsidRPr="004118EA">
        <w:rPr>
          <w:rFonts w:cs="Sylfaen"/>
          <w:b w:val="0"/>
          <w:szCs w:val="22"/>
          <w:lang w:val="hy-AM"/>
        </w:rPr>
        <w:softHyphen/>
        <w:t>ղեղի սուր և ենթասուր իշեմիկ կաթվածների թրոմբոլիտիկ բուժման և մեխանիկական թրոմ</w:t>
      </w:r>
      <w:r w:rsidRPr="004118EA">
        <w:rPr>
          <w:rFonts w:cs="Sylfaen"/>
          <w:b w:val="0"/>
          <w:szCs w:val="22"/>
          <w:lang w:val="hy-AM"/>
        </w:rPr>
        <w:softHyphen/>
        <w:t>բէկտոմիա ծառայություններ:</w:t>
      </w:r>
    </w:p>
    <w:p w:rsidR="00311C8E" w:rsidRPr="004118EA" w:rsidRDefault="00311C8E" w:rsidP="007730AA">
      <w:pPr>
        <w:tabs>
          <w:tab w:val="left" w:pos="180"/>
          <w:tab w:val="left" w:pos="540"/>
        </w:tabs>
        <w:spacing w:before="0" w:line="276" w:lineRule="auto"/>
        <w:ind w:firstLine="720"/>
        <w:rPr>
          <w:rFonts w:cs="Sylfaen"/>
          <w:b w:val="0"/>
          <w:szCs w:val="22"/>
          <w:lang w:val="hy-AM"/>
        </w:rPr>
      </w:pPr>
      <w:r w:rsidRPr="004118EA">
        <w:rPr>
          <w:rFonts w:cs="Sylfaen"/>
          <w:b w:val="0"/>
          <w:szCs w:val="22"/>
          <w:lang w:val="hy-AM"/>
        </w:rPr>
        <w:t>Միջոցառումն իրականացվում է ՀՀ առողջապահության նախարարության կողմից սահ</w:t>
      </w:r>
      <w:r w:rsidRPr="004118EA">
        <w:rPr>
          <w:rFonts w:cs="Sylfaen"/>
          <w:b w:val="0"/>
          <w:szCs w:val="22"/>
          <w:lang w:val="hy-AM"/>
        </w:rPr>
        <w:softHyphen/>
        <w:t xml:space="preserve">մանված անհետաձգելի վիճակների և հիվանդությունների ցանկի համաձայն: </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8.3. «Հոգեկան և նարկոլոգիական հիվանդների բժշկական օգնության ծառայություններ» միջոցառման շրջանակում նախատեսվել է 2,932.0 մլն դրամ` ՀՀ 2020 թվականի պետական բյուջեով հաստատված 2,772.0 մլն դրամի դիմաց կամ 160.0 մլն դրամով ավել, որը նախատեսվում է ուղղել ծառայության պահպան</w:t>
      </w:r>
      <w:r w:rsidRPr="004118EA">
        <w:rPr>
          <w:rFonts w:cs="Sylfaen"/>
          <w:b w:val="0"/>
          <w:szCs w:val="22"/>
          <w:lang w:val="hy-AM"/>
        </w:rPr>
        <w:softHyphen/>
        <w:t>ման ծախսերին:</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ab/>
        <w:t>Միջոցառման շրջանակում նախատեսվում է իրականացնել քրոնիկ հոգեկան հիվանդ</w:t>
      </w:r>
      <w:r w:rsidRPr="004118EA">
        <w:rPr>
          <w:rFonts w:cs="Sylfaen"/>
          <w:b w:val="0"/>
          <w:szCs w:val="22"/>
          <w:lang w:val="hy-AM"/>
        </w:rPr>
        <w:softHyphen/>
        <w:t>ների խնամք, հիվանդների փորձաքննություն, հարկադիր և սուր վիճակների բուժում և նարկո</w:t>
      </w:r>
      <w:r w:rsidRPr="004118EA">
        <w:rPr>
          <w:rFonts w:cs="Sylfaen"/>
          <w:b w:val="0"/>
          <w:szCs w:val="22"/>
          <w:lang w:val="hy-AM"/>
        </w:rPr>
        <w:softHyphen/>
        <w:t>լո</w:t>
      </w:r>
      <w:r w:rsidRPr="004118EA">
        <w:rPr>
          <w:rFonts w:cs="Sylfaen"/>
          <w:b w:val="0"/>
          <w:szCs w:val="22"/>
          <w:lang w:val="hy-AM"/>
        </w:rPr>
        <w:softHyphen/>
        <w:t>գիա</w:t>
      </w:r>
      <w:r w:rsidRPr="004118EA">
        <w:rPr>
          <w:rFonts w:cs="Sylfaen"/>
          <w:b w:val="0"/>
          <w:szCs w:val="22"/>
          <w:lang w:val="hy-AM"/>
        </w:rPr>
        <w:softHyphen/>
        <w:t>կան դիսպանսերներում թմրամոլությամբ, թունամոլությամբ, ալկոհոլամոլությամբ տառա</w:t>
      </w:r>
      <w:r w:rsidRPr="004118EA">
        <w:rPr>
          <w:rFonts w:cs="Sylfaen"/>
          <w:b w:val="0"/>
          <w:szCs w:val="22"/>
          <w:lang w:val="hy-AM"/>
        </w:rPr>
        <w:softHyphen/>
        <w:t>պող անձանց հիվանդանոցային բուժման ապահովում:</w:t>
      </w:r>
      <w:r w:rsidRPr="004118EA">
        <w:rPr>
          <w:rFonts w:cs="Sylfaen"/>
          <w:b w:val="0"/>
          <w:szCs w:val="22"/>
          <w:lang w:val="hy-AM"/>
        </w:rPr>
        <w:tab/>
      </w:r>
    </w:p>
    <w:p w:rsidR="00311C8E" w:rsidRPr="004118EA" w:rsidRDefault="00311C8E" w:rsidP="007730AA">
      <w:pPr>
        <w:tabs>
          <w:tab w:val="left" w:pos="180"/>
          <w:tab w:val="left" w:pos="540"/>
        </w:tabs>
        <w:spacing w:before="0" w:line="276" w:lineRule="auto"/>
        <w:ind w:firstLine="720"/>
        <w:rPr>
          <w:rFonts w:cs="Sylfaen"/>
          <w:b w:val="0"/>
          <w:szCs w:val="22"/>
          <w:lang w:val="hy-AM"/>
        </w:rPr>
      </w:pPr>
      <w:r w:rsidRPr="004118EA">
        <w:rPr>
          <w:rFonts w:cs="Sylfaen"/>
          <w:b w:val="0"/>
          <w:szCs w:val="22"/>
          <w:lang w:val="hy-AM"/>
        </w:rPr>
        <w:t>8.4. «Ուռուցքաբանական և արյունաբանական հիվանդությունների բժշկական օգնության ծառայություններ» միջոցառման շրջանակում նախատեսվել է 4,370.0 մլն դրամ` ՀՀ 2020 թվականի պետական բյուջեով հաստատված 3,420.1 մլն դրամ գումարի դիմաց կամ 949.9 մլն դրամով ավել:</w:t>
      </w:r>
      <w:r w:rsidRPr="004118EA">
        <w:rPr>
          <w:rFonts w:cs="Sylfaen"/>
          <w:b w:val="0"/>
          <w:szCs w:val="22"/>
          <w:lang w:val="hy-AM"/>
        </w:rPr>
        <w:tab/>
        <w:t>Միջոցառման շրջանակում նախատեսվում է իրականացնել չարորակ նորագոյացու</w:t>
      </w:r>
      <w:r w:rsidRPr="004118EA">
        <w:rPr>
          <w:rFonts w:cs="Sylfaen"/>
          <w:b w:val="0"/>
          <w:szCs w:val="22"/>
          <w:lang w:val="hy-AM"/>
        </w:rPr>
        <w:softHyphen/>
        <w:t>թյուն</w:t>
      </w:r>
      <w:r w:rsidRPr="004118EA">
        <w:rPr>
          <w:rFonts w:cs="Sylfaen"/>
          <w:b w:val="0"/>
          <w:szCs w:val="22"/>
          <w:lang w:val="hy-AM"/>
        </w:rPr>
        <w:softHyphen/>
        <w:t>ների համալիր, վիրահատական և ճառագայթային բուժում, չարորակ հիվանդների ճառա</w:t>
      </w:r>
      <w:r w:rsidRPr="004118EA">
        <w:rPr>
          <w:rFonts w:cs="Sylfaen"/>
          <w:b w:val="0"/>
          <w:szCs w:val="22"/>
          <w:lang w:val="hy-AM"/>
        </w:rPr>
        <w:softHyphen/>
        <w:t>գայ</w:t>
      </w:r>
      <w:r w:rsidRPr="004118EA">
        <w:rPr>
          <w:rFonts w:cs="Sylfaen"/>
          <w:b w:val="0"/>
          <w:szCs w:val="22"/>
          <w:lang w:val="hy-AM"/>
        </w:rPr>
        <w:softHyphen/>
        <w:t>թային բուժում ցերեկային ստացիոնարի պայմաններում, ինչպես նաև քիմիաթերապևտիկ և սիմպտոմատիկ բուժում:</w:t>
      </w:r>
    </w:p>
    <w:p w:rsidR="00311C8E" w:rsidRPr="004118EA" w:rsidRDefault="00311C8E" w:rsidP="007730AA">
      <w:pPr>
        <w:tabs>
          <w:tab w:val="left" w:pos="180"/>
          <w:tab w:val="left" w:pos="540"/>
        </w:tabs>
        <w:spacing w:before="0" w:line="276" w:lineRule="auto"/>
        <w:ind w:firstLine="720"/>
        <w:rPr>
          <w:rFonts w:cs="Sylfaen"/>
          <w:b w:val="0"/>
          <w:szCs w:val="22"/>
          <w:lang w:val="hy-AM"/>
        </w:rPr>
      </w:pPr>
      <w:r w:rsidRPr="004118EA">
        <w:rPr>
          <w:rFonts w:cs="Sylfaen"/>
          <w:b w:val="0"/>
          <w:szCs w:val="22"/>
          <w:lang w:val="hy-AM"/>
        </w:rPr>
        <w:t>8.5. «Սրտի անհետաձգելի վիրահատություններ» միջոցառման գծով նախատեվել է 1,900.0 մլն դրամ՝ ՀՀ 2020 թվականի պետական բյուջեով հաստատված 2,000.0 մլն դրամ գումարի դիմաց կամ 100.0 մլն դրամով պակաս, որը պայմանավորված է դեպքերի թվի կայունացմամբ:</w:t>
      </w:r>
    </w:p>
    <w:p w:rsidR="00311C8E" w:rsidRPr="004118EA" w:rsidRDefault="00311C8E" w:rsidP="007730AA">
      <w:pPr>
        <w:tabs>
          <w:tab w:val="left" w:pos="180"/>
          <w:tab w:val="left" w:pos="540"/>
        </w:tabs>
        <w:spacing w:before="0" w:line="276" w:lineRule="auto"/>
        <w:ind w:firstLine="720"/>
        <w:rPr>
          <w:rFonts w:cs="Sylfaen"/>
          <w:b w:val="0"/>
          <w:szCs w:val="22"/>
          <w:lang w:val="hy-AM"/>
        </w:rPr>
      </w:pPr>
      <w:r w:rsidRPr="004118EA">
        <w:rPr>
          <w:rFonts w:cs="Sylfaen"/>
          <w:b w:val="0"/>
          <w:szCs w:val="22"/>
          <w:lang w:val="hy-AM"/>
        </w:rPr>
        <w:t>Միջոցառումը ներառում է «Սրտամկանի սուր ինֆարկտ» էլեկտրասրտագրության ST-էլևացիայով դեպքերը և հանդիսանում է կյանքին վտանգ սպառնացող դեպքերի բժշկական օգնություն և սպասարկում:</w:t>
      </w:r>
    </w:p>
    <w:p w:rsidR="00311C8E" w:rsidRPr="004118EA" w:rsidRDefault="00311C8E" w:rsidP="007730AA">
      <w:pPr>
        <w:tabs>
          <w:tab w:val="left" w:pos="180"/>
          <w:tab w:val="left" w:pos="540"/>
        </w:tabs>
        <w:spacing w:before="0" w:line="276" w:lineRule="auto"/>
        <w:ind w:firstLine="720"/>
        <w:rPr>
          <w:rFonts w:cs="Sylfaen"/>
          <w:b w:val="0"/>
          <w:szCs w:val="22"/>
          <w:lang w:val="hy-AM"/>
        </w:rPr>
      </w:pPr>
      <w:r w:rsidRPr="004118EA">
        <w:rPr>
          <w:rFonts w:cs="Sylfaen"/>
          <w:b w:val="0"/>
          <w:szCs w:val="22"/>
          <w:lang w:val="hy-AM"/>
        </w:rPr>
        <w:t xml:space="preserve">Միջոցառումը ֆինանասավորվում է չսահմանափակվող բյուջեի սկզբունքով, առանց պացիենտների հերթագրման: </w:t>
      </w:r>
    </w:p>
    <w:p w:rsidR="00311C8E" w:rsidRPr="004118EA" w:rsidRDefault="00311C8E" w:rsidP="007730AA">
      <w:pPr>
        <w:pStyle w:val="ListParagraph"/>
        <w:numPr>
          <w:ilvl w:val="0"/>
          <w:numId w:val="19"/>
        </w:numPr>
        <w:tabs>
          <w:tab w:val="left" w:pos="180"/>
        </w:tabs>
        <w:spacing w:before="0" w:line="276" w:lineRule="auto"/>
        <w:ind w:left="0" w:firstLine="720"/>
        <w:contextualSpacing w:val="0"/>
        <w:jc w:val="left"/>
        <w:rPr>
          <w:rFonts w:cs="Sylfaen"/>
          <w:bCs/>
          <w:szCs w:val="22"/>
          <w:lang w:val="hy-AM"/>
        </w:rPr>
      </w:pPr>
      <w:r w:rsidRPr="004118EA">
        <w:rPr>
          <w:rFonts w:cs="Sylfaen"/>
          <w:bCs/>
          <w:szCs w:val="22"/>
          <w:lang w:val="hy-AM"/>
        </w:rPr>
        <w:t>«Սոցիալապես անապահով և առանձին խմբերի անձանց բժշկական օգնություն» ծրագիր.</w:t>
      </w:r>
    </w:p>
    <w:p w:rsidR="00311C8E" w:rsidRPr="004118EA" w:rsidRDefault="00311C8E" w:rsidP="007730AA">
      <w:pPr>
        <w:tabs>
          <w:tab w:val="left" w:pos="180"/>
        </w:tabs>
        <w:spacing w:before="0" w:line="276" w:lineRule="auto"/>
        <w:ind w:firstLine="720"/>
        <w:rPr>
          <w:rFonts w:cs="Sylfaen"/>
          <w:b w:val="0"/>
          <w:szCs w:val="22"/>
          <w:lang w:val="hy-AM"/>
        </w:rPr>
      </w:pPr>
      <w:bookmarkStart w:id="223" w:name="_Hlk19669190"/>
      <w:r w:rsidRPr="004118EA">
        <w:rPr>
          <w:rFonts w:cs="Sylfaen"/>
          <w:b w:val="0"/>
          <w:szCs w:val="22"/>
          <w:lang w:val="hy-AM"/>
        </w:rPr>
        <w:t>Ծրագրի գծով նախատեսվել է 27,205.5 մլն դրամ` ՀՀ 2020 թվականի պետական բյուջեով հաստատված 27,104.1 մլն դրամի դիմաց, որի շրջանակներում նախատեսվում է իրականացնել հետևյալ միջոցառումները.</w:t>
      </w:r>
      <w:bookmarkEnd w:id="223"/>
      <w:r w:rsidRPr="004118EA">
        <w:rPr>
          <w:rFonts w:cs="Sylfaen"/>
          <w:b w:val="0"/>
          <w:szCs w:val="22"/>
          <w:lang w:val="hy-AM"/>
        </w:rPr>
        <w:t xml:space="preserve"> </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9.1. «Սոցիալապես անապահով և հատուկ խմբերում ընդգրկվածներին բժշկական օգնու</w:t>
      </w:r>
      <w:r w:rsidRPr="004118EA">
        <w:rPr>
          <w:rFonts w:cs="Sylfaen"/>
          <w:b w:val="0"/>
          <w:szCs w:val="22"/>
          <w:lang w:val="hy-AM"/>
        </w:rPr>
        <w:softHyphen/>
        <w:t>թյան ծառայություններ» միջոցառումն ընդգրկում է սոցիալապես անապահով և հատուկ խմբերում ընդգրկված անձանց բժշկական օգնության և սպասարկումը հիվանդանոցային պայմաններում, սրտի վիրահատությունները, դժվարամատչելի ախտորոշիչ հետազոտությունները, զորակոչային և նախազորակոչային տարիքի անձանց հիվանդանոցային փորձաքննությունը և բուժումը:</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 xml:space="preserve">Միջոցառման շրջանակում նախատեսվել է 19,100.0 մլն դրամ` ՀՀ 2020 թվականի պետական բյուջեով հաստատված 19,172.4 մլն դրամի դիմաց կամ 72.4 մլն դրամով պակաս, որը պայմանավորված է դեպքերի թվի նվազմամբ: </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9.2. «Ստոմատոլոգիական բժշկական օգնության ծառայություններ» միջոցառումը ներառում է ամբուլատոր-պոլիկլինիկական մասնագիտացված ստոմատոլոգիական օգնության իրականա</w:t>
      </w:r>
      <w:r w:rsidRPr="004118EA">
        <w:rPr>
          <w:rFonts w:cs="Sylfaen"/>
          <w:b w:val="0"/>
          <w:szCs w:val="22"/>
          <w:lang w:val="hy-AM"/>
        </w:rPr>
        <w:softHyphen/>
        <w:t>ցումը սոցիալապես անա</w:t>
      </w:r>
      <w:r w:rsidRPr="004118EA">
        <w:rPr>
          <w:rFonts w:cs="Sylfaen"/>
          <w:b w:val="0"/>
          <w:szCs w:val="22"/>
          <w:lang w:val="hy-AM"/>
        </w:rPr>
        <w:softHyphen/>
        <w:t>պա</w:t>
      </w:r>
      <w:r w:rsidRPr="004118EA">
        <w:rPr>
          <w:rFonts w:cs="Sylfaen"/>
          <w:b w:val="0"/>
          <w:szCs w:val="22"/>
          <w:lang w:val="hy-AM"/>
        </w:rPr>
        <w:softHyphen/>
        <w:t>հով և հատուկ խմբերում ընդգրկվածներին մասնագիտացված ստոմատալոգիական պոլիկլինիկաների և ստոմատոլոգիական կաբինետներ ունեցող պոլիկլինիկաների միջոցով:</w:t>
      </w:r>
    </w:p>
    <w:p w:rsidR="00311C8E" w:rsidRPr="004118EA" w:rsidRDefault="00311C8E" w:rsidP="007730AA">
      <w:pPr>
        <w:tabs>
          <w:tab w:val="left" w:pos="180"/>
        </w:tabs>
        <w:spacing w:before="0" w:line="276" w:lineRule="auto"/>
        <w:ind w:firstLine="720"/>
        <w:rPr>
          <w:rFonts w:cs="Sylfaen"/>
          <w:b w:val="0"/>
          <w:szCs w:val="22"/>
          <w:lang w:val="hy-AM"/>
        </w:rPr>
      </w:pPr>
      <w:r w:rsidRPr="004118EA">
        <w:rPr>
          <w:rFonts w:cs="Sylfaen"/>
          <w:b w:val="0"/>
          <w:szCs w:val="22"/>
          <w:lang w:val="hy-AM"/>
        </w:rPr>
        <w:t>Ծրագրի գծով նախատեսվել է 500.0 մլն դրամ` ՀՀ 2020 թվականի պետական բյուջեով հաստատված 644.6 մլն դրամի դիմաց կամ 144.6 մլն դրամով պակաս:</w:t>
      </w:r>
    </w:p>
    <w:p w:rsidR="00311C8E" w:rsidRPr="004118EA" w:rsidRDefault="00311C8E" w:rsidP="007730AA">
      <w:pPr>
        <w:tabs>
          <w:tab w:val="left" w:pos="180"/>
        </w:tabs>
        <w:spacing w:before="0" w:line="276" w:lineRule="auto"/>
        <w:ind w:firstLine="720"/>
        <w:rPr>
          <w:rFonts w:cs="Sylfaen"/>
          <w:b w:val="0"/>
          <w:szCs w:val="22"/>
          <w:lang w:val="hy-AM"/>
        </w:rPr>
      </w:pPr>
      <w:r w:rsidRPr="004118EA">
        <w:rPr>
          <w:rFonts w:cs="Sylfaen"/>
          <w:b w:val="0"/>
          <w:szCs w:val="22"/>
          <w:lang w:val="hy-AM"/>
        </w:rPr>
        <w:t>9.3. «Զինծառայողներին, ինչպես նաև փրկարար ծառայողներին և նրանց ընտանիքի անդամներին բժշկական օգնության ծառայություններ» միջոցառման շրջանակում նախատեսվել է 3,577.2 մլն դրա</w:t>
      </w:r>
      <w:r w:rsidRPr="004118EA">
        <w:rPr>
          <w:rFonts w:cs="Sylfaen"/>
          <w:b w:val="0"/>
          <w:szCs w:val="22"/>
          <w:lang w:val="hy-AM"/>
        </w:rPr>
        <w:softHyphen/>
        <w:t xml:space="preserve">մ` ՀՀ 2020 թվականի պետական բյուջեով հաստատված 3,077.2 մլն դրամ գումարի դիմաց կամ 500.0 մլն դրամով ավել, որը պայմանավորված է շահառուների թվի կանխատեսվող ավելացումով (ոստիկանության հոսպիտալի պահպանման և սպասարկման հաշվին) և չսահմանափակվող բյուջեի սկզբունքով իրականացվող ֆինանսավորման արդյունքում հասանելության և մատչելիության մակարդակի բարձրացմամբ և հերթագրումների բացառմամբ: </w:t>
      </w:r>
    </w:p>
    <w:p w:rsidR="00311C8E" w:rsidRPr="004118EA" w:rsidRDefault="00311C8E" w:rsidP="007730AA">
      <w:pPr>
        <w:tabs>
          <w:tab w:val="left" w:pos="180"/>
        </w:tabs>
        <w:spacing w:before="0" w:line="276" w:lineRule="auto"/>
        <w:ind w:firstLine="720"/>
        <w:rPr>
          <w:rFonts w:cs="Sylfaen"/>
          <w:b w:val="0"/>
          <w:szCs w:val="22"/>
          <w:lang w:val="hy-AM"/>
        </w:rPr>
      </w:pPr>
      <w:r w:rsidRPr="004118EA">
        <w:rPr>
          <w:rFonts w:cs="Sylfaen"/>
          <w:b w:val="0"/>
          <w:szCs w:val="22"/>
          <w:lang w:val="hy-AM"/>
        </w:rPr>
        <w:t xml:space="preserve">9.4. «Պետական հիմնարկների և կազմակերպությունների աշխատողների բժշկական օգնության և սպասարկման ծառայություններ» միջոցառման գծով սոցիալական փաթեթի շուրջ 120.4 հազար շահառուների համար բժշկական օգնություն և սպասարկում ստանալու անխոչընդոտ հնարավորությունների ստեղծման նպատակով նախատեսվել է 3,826.3 մլն դրամ պահպանելով ՀՀ 2020 թվականի պետական բյուջեով հաստատված ծախսերի մակարդակը:  </w:t>
      </w:r>
    </w:p>
    <w:p w:rsidR="00311C8E" w:rsidRPr="004118EA" w:rsidRDefault="00311C8E" w:rsidP="007730AA">
      <w:pPr>
        <w:tabs>
          <w:tab w:val="left" w:pos="180"/>
        </w:tabs>
        <w:spacing w:before="0" w:line="276" w:lineRule="auto"/>
        <w:ind w:firstLine="720"/>
        <w:rPr>
          <w:rFonts w:cs="Sylfaen"/>
          <w:b w:val="0"/>
          <w:szCs w:val="22"/>
          <w:lang w:val="hy-AM"/>
        </w:rPr>
      </w:pPr>
      <w:r w:rsidRPr="004118EA">
        <w:rPr>
          <w:rFonts w:cs="Sylfaen"/>
          <w:b w:val="0"/>
          <w:szCs w:val="22"/>
          <w:lang w:val="hy-AM"/>
        </w:rPr>
        <w:t>ՀՀ կառավարության 2014 թվականի մարտի 27-ի N 375-Ն որոշման համաձայն՝ շահառուների բժշկական օգնությունն ու սպասարկումը կազմակերպվում և ֆինանսավորվում է ՀՀ առողջապահության նախարարության և առողջության ապահովագրության ծառայություններ մատուցող ընկերությունների միջև կնքված առողջության ապահովագրության պայմանագրերի միջոցով: Առողջապահական կազմակերպությունների կողմից շահառուներին մատուցված բժշկական օգնության և սպասարկման հատուցումն իրականացվում է ապա</w:t>
      </w:r>
      <w:r w:rsidRPr="004118EA">
        <w:rPr>
          <w:rFonts w:cs="Sylfaen"/>
          <w:b w:val="0"/>
          <w:szCs w:val="22"/>
          <w:lang w:val="hy-AM"/>
        </w:rPr>
        <w:softHyphen/>
        <w:t>հո</w:t>
      </w:r>
      <w:r w:rsidRPr="004118EA">
        <w:rPr>
          <w:rFonts w:cs="Sylfaen"/>
          <w:b w:val="0"/>
          <w:szCs w:val="22"/>
          <w:lang w:val="hy-AM"/>
        </w:rPr>
        <w:softHyphen/>
        <w:t>վագ</w:t>
      </w:r>
      <w:r w:rsidRPr="004118EA">
        <w:rPr>
          <w:rFonts w:cs="Sylfaen"/>
          <w:b w:val="0"/>
          <w:szCs w:val="22"/>
          <w:lang w:val="hy-AM"/>
        </w:rPr>
        <w:softHyphen/>
        <w:t>րա</w:t>
      </w:r>
      <w:r w:rsidRPr="004118EA">
        <w:rPr>
          <w:rFonts w:cs="Sylfaen"/>
          <w:b w:val="0"/>
          <w:szCs w:val="22"/>
          <w:lang w:val="hy-AM"/>
        </w:rPr>
        <w:softHyphen/>
        <w:t>կան ընկերությունների կողմից:</w:t>
      </w:r>
    </w:p>
    <w:p w:rsidR="00311C8E" w:rsidRPr="004118EA" w:rsidRDefault="00311C8E" w:rsidP="007730AA">
      <w:pPr>
        <w:tabs>
          <w:tab w:val="left" w:pos="180"/>
          <w:tab w:val="left" w:pos="540"/>
        </w:tabs>
        <w:spacing w:before="0" w:line="276" w:lineRule="auto"/>
        <w:ind w:firstLine="720"/>
        <w:rPr>
          <w:rFonts w:cs="Sylfaen"/>
          <w:b w:val="0"/>
          <w:szCs w:val="22"/>
          <w:lang w:val="hy-AM"/>
        </w:rPr>
      </w:pPr>
      <w:r w:rsidRPr="004118EA">
        <w:rPr>
          <w:rFonts w:cs="Sylfaen"/>
          <w:b w:val="0"/>
          <w:szCs w:val="22"/>
          <w:lang w:val="hy-AM"/>
        </w:rPr>
        <w:t>9.5. «Թրաֆիքինգի զոհերին բժշկական օգնության ծառայություններ» միջոցառման շրջանակներ</w:t>
      </w:r>
      <w:r w:rsidRPr="004118EA">
        <w:rPr>
          <w:rFonts w:cs="Sylfaen"/>
          <w:b w:val="0"/>
          <w:szCs w:val="22"/>
          <w:lang w:val="hy-AM"/>
        </w:rPr>
        <w:softHyphen/>
        <w:t>ում նախատեսվել է 2.0 մլն դրամ` պահպանելով ՀՀ 2020 թվականի պետական բյուջեով հաստատված ծախսերի մակարդակը:</w:t>
      </w:r>
    </w:p>
    <w:p w:rsidR="00311C8E" w:rsidRPr="004118EA" w:rsidRDefault="00311C8E" w:rsidP="007730AA">
      <w:pPr>
        <w:spacing w:before="0" w:line="276" w:lineRule="auto"/>
        <w:ind w:firstLine="720"/>
        <w:rPr>
          <w:rFonts w:cs="Sylfaen"/>
          <w:b w:val="0"/>
          <w:szCs w:val="22"/>
          <w:lang w:val="hy-AM"/>
        </w:rPr>
      </w:pPr>
      <w:r w:rsidRPr="004118EA">
        <w:rPr>
          <w:rFonts w:cs="Sylfaen"/>
          <w:b w:val="0"/>
          <w:szCs w:val="22"/>
          <w:lang w:val="hy-AM"/>
        </w:rPr>
        <w:t>9.6. «Փոխպատվաստման ծառայություններ» միջոցառման նպատակն է իրականացնել մարդու օրգանների, մասնավորապես` երիկամի, լյարդի ոսկրածուծի/ցողունային բջիջների փոխպատվաստման վիրահատություններ, որի արդյունքում կնվազի հեմոդիալիզային ծառայության շահառուներիմ աճի տեմպը, կբարելավվի նրանց կյանքի որակը:</w:t>
      </w:r>
    </w:p>
    <w:p w:rsidR="00311C8E" w:rsidRPr="004118EA" w:rsidRDefault="00311C8E" w:rsidP="007730AA">
      <w:pPr>
        <w:tabs>
          <w:tab w:val="left" w:pos="180"/>
          <w:tab w:val="left" w:pos="540"/>
        </w:tabs>
        <w:spacing w:before="0" w:line="276" w:lineRule="auto"/>
        <w:ind w:firstLine="720"/>
        <w:rPr>
          <w:rFonts w:cs="Sylfaen"/>
          <w:b w:val="0"/>
          <w:szCs w:val="22"/>
          <w:lang w:val="hy-AM"/>
        </w:rPr>
      </w:pPr>
      <w:r w:rsidRPr="004118EA">
        <w:rPr>
          <w:rFonts w:cs="Sylfaen"/>
          <w:b w:val="0"/>
          <w:szCs w:val="22"/>
          <w:lang w:val="hy-AM"/>
        </w:rPr>
        <w:t>Միջոցառման գծով նախատեսվել է 200.0 մլն դրամ՝ պահպանելով ՀՀ 2020 թվականի պետական բյուջեով հաստատված ծախսերի մակարդակը:</w:t>
      </w:r>
    </w:p>
    <w:p w:rsidR="00311C8E" w:rsidRPr="004118EA" w:rsidRDefault="00311C8E" w:rsidP="007730AA">
      <w:pPr>
        <w:pStyle w:val="ListParagraph"/>
        <w:numPr>
          <w:ilvl w:val="0"/>
          <w:numId w:val="19"/>
        </w:numPr>
        <w:tabs>
          <w:tab w:val="left" w:pos="180"/>
          <w:tab w:val="left" w:pos="540"/>
        </w:tabs>
        <w:spacing w:before="0" w:line="276" w:lineRule="auto"/>
        <w:ind w:left="0" w:firstLine="720"/>
        <w:rPr>
          <w:rFonts w:cs="Sylfaen"/>
          <w:bCs/>
          <w:szCs w:val="22"/>
          <w:lang w:val="hy-AM"/>
        </w:rPr>
      </w:pPr>
      <w:r w:rsidRPr="004118EA">
        <w:rPr>
          <w:rFonts w:cs="Sylfaen"/>
          <w:bCs/>
          <w:szCs w:val="22"/>
          <w:lang w:val="en-US"/>
        </w:rPr>
        <w:t>«</w:t>
      </w:r>
      <w:r w:rsidRPr="004118EA">
        <w:rPr>
          <w:rFonts w:cs="Sylfaen"/>
          <w:bCs/>
          <w:szCs w:val="22"/>
          <w:lang w:val="hy-AM"/>
        </w:rPr>
        <w:t>Վարակիչ հիվանդությունների կանխարգել</w:t>
      </w:r>
      <w:r w:rsidRPr="004118EA">
        <w:rPr>
          <w:rFonts w:cs="Sylfaen"/>
          <w:bCs/>
          <w:szCs w:val="22"/>
          <w:lang w:val="en-US"/>
        </w:rPr>
        <w:t>ու</w:t>
      </w:r>
      <w:r w:rsidRPr="004118EA">
        <w:rPr>
          <w:rFonts w:cs="Sylfaen"/>
          <w:bCs/>
          <w:szCs w:val="22"/>
          <w:lang w:val="hy-AM"/>
        </w:rPr>
        <w:t>մ</w:t>
      </w:r>
      <w:r w:rsidRPr="004118EA">
        <w:rPr>
          <w:rFonts w:cs="Sylfaen"/>
          <w:bCs/>
          <w:szCs w:val="22"/>
          <w:lang w:val="en-US"/>
        </w:rPr>
        <w:t>»</w:t>
      </w:r>
      <w:r w:rsidRPr="004118EA">
        <w:rPr>
          <w:rFonts w:cs="Sylfaen"/>
          <w:bCs/>
          <w:szCs w:val="22"/>
          <w:lang w:val="hy-AM"/>
        </w:rPr>
        <w:t xml:space="preserve"> ծրագիր</w:t>
      </w:r>
      <w:r w:rsidRPr="004118EA">
        <w:rPr>
          <w:rFonts w:cs="Sylfaen"/>
          <w:bCs/>
          <w:szCs w:val="22"/>
          <w:lang w:val="en-US"/>
        </w:rPr>
        <w:t>.</w:t>
      </w:r>
    </w:p>
    <w:p w:rsidR="00311C8E" w:rsidRPr="004118EA" w:rsidRDefault="00311C8E" w:rsidP="007730AA">
      <w:pPr>
        <w:tabs>
          <w:tab w:val="left" w:pos="0"/>
          <w:tab w:val="left" w:pos="567"/>
        </w:tabs>
        <w:spacing w:before="0" w:line="276" w:lineRule="auto"/>
        <w:ind w:firstLine="720"/>
        <w:rPr>
          <w:rFonts w:cs="Sylfaen"/>
          <w:b w:val="0"/>
          <w:szCs w:val="22"/>
          <w:lang w:val="hy-AM"/>
        </w:rPr>
      </w:pPr>
      <w:r w:rsidRPr="004118EA">
        <w:rPr>
          <w:rFonts w:cs="Sylfaen"/>
          <w:b w:val="0"/>
          <w:szCs w:val="22"/>
          <w:lang w:val="hy-AM"/>
        </w:rPr>
        <w:tab/>
        <w:t>Ծրագրի գծով նախատեսվել է 2,609.9 մլն դրամ` ՀՀ 2020 թվականի պետական բյուջեով հաստատված 2,869.9 մլն դրամի դիմաց, որի շրջանակներում նախատեսվում է իրականացնել հետևյալ միջոցառումները.</w:t>
      </w:r>
    </w:p>
    <w:p w:rsidR="00311C8E" w:rsidRPr="004118EA" w:rsidRDefault="00311C8E" w:rsidP="007730AA">
      <w:pPr>
        <w:tabs>
          <w:tab w:val="left" w:pos="0"/>
          <w:tab w:val="left" w:pos="567"/>
        </w:tabs>
        <w:spacing w:before="0" w:line="276" w:lineRule="auto"/>
        <w:ind w:firstLine="720"/>
        <w:rPr>
          <w:rFonts w:cs="Sylfaen"/>
          <w:b w:val="0"/>
          <w:szCs w:val="22"/>
          <w:lang w:val="hy-AM"/>
        </w:rPr>
      </w:pPr>
      <w:r w:rsidRPr="004118EA">
        <w:rPr>
          <w:rFonts w:cs="Sylfaen"/>
          <w:b w:val="0"/>
          <w:szCs w:val="22"/>
          <w:lang w:val="hy-AM"/>
        </w:rPr>
        <w:t>10.1. «ՄԻԱՎ/ՁԻԱՀ-ի կանխարգելման և բուժօգնության ծառայություններ» միջոցառման գծով նա</w:t>
      </w:r>
      <w:r w:rsidRPr="004118EA">
        <w:rPr>
          <w:rFonts w:cs="Sylfaen"/>
          <w:b w:val="0"/>
          <w:szCs w:val="22"/>
          <w:lang w:val="hy-AM"/>
        </w:rPr>
        <w:softHyphen/>
        <w:t>խա</w:t>
      </w:r>
      <w:r w:rsidRPr="004118EA">
        <w:rPr>
          <w:rFonts w:cs="Sylfaen"/>
          <w:b w:val="0"/>
          <w:szCs w:val="22"/>
          <w:lang w:val="hy-AM"/>
        </w:rPr>
        <w:softHyphen/>
      </w:r>
      <w:r w:rsidRPr="004118EA">
        <w:rPr>
          <w:rFonts w:cs="Sylfaen"/>
          <w:b w:val="0"/>
          <w:szCs w:val="22"/>
          <w:lang w:val="hy-AM"/>
        </w:rPr>
        <w:softHyphen/>
        <w:t xml:space="preserve">տեսվել է 262.1 մլն դրամ` ՀՀ 2020 թվականի պետական բյուջեով հաստատված 283.0 մլն դրամի դիմաց կամ 20.9 մլն դրամով պակաս: </w:t>
      </w:r>
    </w:p>
    <w:p w:rsidR="00311C8E" w:rsidRPr="004118EA" w:rsidRDefault="00311C8E" w:rsidP="007730AA">
      <w:pPr>
        <w:tabs>
          <w:tab w:val="left" w:pos="0"/>
          <w:tab w:val="left" w:pos="180"/>
          <w:tab w:val="left" w:pos="851"/>
        </w:tabs>
        <w:spacing w:before="0" w:line="276" w:lineRule="auto"/>
        <w:ind w:firstLine="720"/>
        <w:rPr>
          <w:rFonts w:cs="Sylfaen"/>
          <w:b w:val="0"/>
          <w:szCs w:val="22"/>
          <w:lang w:val="hy-AM"/>
        </w:rPr>
      </w:pPr>
      <w:r w:rsidRPr="004118EA">
        <w:rPr>
          <w:rFonts w:cs="Sylfaen"/>
          <w:b w:val="0"/>
          <w:szCs w:val="22"/>
          <w:lang w:val="hy-AM"/>
        </w:rPr>
        <w:t>Միջոցառման շրջանակներում իրականացվում է ՄԻԱՎ վարակի վերաբերյալ խորհրդատվություն, համաճարակաբանական հետազոտություն, դիսպանսերային հսկողություն, ՄԻԱՎ վարակի հետկոնտակտային կանխարգելում, և ՄԻԱՎ վարակի վերաբերյալ հետազոտություններ:</w:t>
      </w:r>
    </w:p>
    <w:p w:rsidR="00311C8E" w:rsidRPr="004118EA" w:rsidRDefault="00311C8E" w:rsidP="007730AA">
      <w:pPr>
        <w:tabs>
          <w:tab w:val="left" w:pos="0"/>
          <w:tab w:val="left" w:pos="567"/>
        </w:tabs>
        <w:spacing w:before="0" w:line="276" w:lineRule="auto"/>
        <w:ind w:firstLine="720"/>
        <w:rPr>
          <w:rFonts w:cs="Sylfaen"/>
          <w:b w:val="0"/>
          <w:szCs w:val="22"/>
          <w:lang w:val="hy-AM"/>
        </w:rPr>
      </w:pPr>
      <w:r w:rsidRPr="004118EA">
        <w:rPr>
          <w:rFonts w:cs="Sylfaen"/>
          <w:b w:val="0"/>
          <w:szCs w:val="22"/>
          <w:lang w:val="hy-AM"/>
        </w:rPr>
        <w:t>10.2. «Տուբերկուլյոզի բժշկական օգնության ծառայություններ» միջոցառման գծով նա</w:t>
      </w:r>
      <w:r w:rsidRPr="004118EA">
        <w:rPr>
          <w:rFonts w:cs="Sylfaen"/>
          <w:b w:val="0"/>
          <w:szCs w:val="22"/>
          <w:lang w:val="hy-AM"/>
        </w:rPr>
        <w:softHyphen/>
        <w:t>խա</w:t>
      </w:r>
      <w:r w:rsidRPr="004118EA">
        <w:rPr>
          <w:rFonts w:cs="Sylfaen"/>
          <w:b w:val="0"/>
          <w:szCs w:val="22"/>
          <w:lang w:val="hy-AM"/>
        </w:rPr>
        <w:softHyphen/>
      </w:r>
      <w:r w:rsidRPr="004118EA">
        <w:rPr>
          <w:rFonts w:cs="Sylfaen"/>
          <w:b w:val="0"/>
          <w:szCs w:val="22"/>
          <w:lang w:val="hy-AM"/>
        </w:rPr>
        <w:softHyphen/>
        <w:t xml:space="preserve">տեսվել է 1,000.0 մլն դրամ` ՀՀ 2020 թվականի պետական բյուջեով հաստատված 1,189.1 մլն դրամի դիմաց կամ 189.1 մլն դրամով պակաս, որը պայմանավորված է հիվանդացության ցուցանիշի բարելավմամբ: </w:t>
      </w:r>
    </w:p>
    <w:p w:rsidR="00311C8E" w:rsidRPr="004118EA" w:rsidRDefault="00311C8E" w:rsidP="007730AA">
      <w:pPr>
        <w:tabs>
          <w:tab w:val="left" w:pos="0"/>
          <w:tab w:val="left" w:pos="567"/>
        </w:tabs>
        <w:spacing w:before="0" w:line="276" w:lineRule="auto"/>
        <w:ind w:firstLine="720"/>
        <w:rPr>
          <w:rFonts w:cs="Sylfaen"/>
          <w:b w:val="0"/>
          <w:szCs w:val="22"/>
          <w:lang w:val="hy-AM"/>
        </w:rPr>
      </w:pPr>
      <w:r w:rsidRPr="004118EA">
        <w:rPr>
          <w:rFonts w:cs="Sylfaen"/>
          <w:b w:val="0"/>
          <w:szCs w:val="22"/>
          <w:lang w:val="hy-AM"/>
        </w:rPr>
        <w:t>Միջոցառման շրջանակում իրականացվում է առաջնակի հայտ</w:t>
      </w:r>
      <w:r w:rsidRPr="004118EA">
        <w:rPr>
          <w:rFonts w:cs="Sylfaen"/>
          <w:b w:val="0"/>
          <w:szCs w:val="22"/>
          <w:lang w:val="hy-AM"/>
        </w:rPr>
        <w:softHyphen/>
        <w:t>նա</w:t>
      </w:r>
      <w:r w:rsidRPr="004118EA">
        <w:rPr>
          <w:rFonts w:cs="Sylfaen"/>
          <w:b w:val="0"/>
          <w:szCs w:val="22"/>
          <w:lang w:val="hy-AM"/>
        </w:rPr>
        <w:softHyphen/>
        <w:t>բեր</w:t>
      </w:r>
      <w:r w:rsidRPr="004118EA">
        <w:rPr>
          <w:rFonts w:cs="Sylfaen"/>
          <w:b w:val="0"/>
          <w:szCs w:val="22"/>
          <w:lang w:val="hy-AM"/>
        </w:rPr>
        <w:softHyphen/>
        <w:t>ված, հիվանդության սրացման փուլում գտնվող տուբերկուլյոզով հիվանդների համաճարակաբանական հսկողություն, հիվանդանոցային բժշկական օգնություն և սպասարկում, հիվանդանոցային պայմաններում ախտորոշման ճշտումը, լաբորատոր-գործիքային հետազոտություններ:</w:t>
      </w:r>
    </w:p>
    <w:p w:rsidR="00311C8E" w:rsidRPr="004118EA" w:rsidRDefault="00311C8E" w:rsidP="007730AA">
      <w:pPr>
        <w:tabs>
          <w:tab w:val="left" w:pos="0"/>
          <w:tab w:val="left" w:pos="567"/>
        </w:tabs>
        <w:spacing w:before="0" w:line="276" w:lineRule="auto"/>
        <w:ind w:firstLine="720"/>
        <w:rPr>
          <w:rFonts w:cs="Sylfaen"/>
          <w:b w:val="0"/>
          <w:szCs w:val="22"/>
          <w:lang w:val="hy-AM"/>
        </w:rPr>
      </w:pPr>
      <w:r w:rsidRPr="004118EA">
        <w:rPr>
          <w:rFonts w:cs="Sylfaen"/>
          <w:b w:val="0"/>
          <w:szCs w:val="22"/>
          <w:lang w:val="hy-AM"/>
        </w:rPr>
        <w:t>10.3. «Աղիքային և այլ ինֆեկցիոն հիվանդությունների բժշկական օգնության ծառա</w:t>
      </w:r>
      <w:r w:rsidRPr="004118EA">
        <w:rPr>
          <w:rFonts w:cs="Sylfaen"/>
          <w:b w:val="0"/>
          <w:szCs w:val="22"/>
          <w:lang w:val="hy-AM"/>
        </w:rPr>
        <w:softHyphen/>
        <w:t>յու</w:t>
      </w:r>
      <w:r w:rsidRPr="004118EA">
        <w:rPr>
          <w:rFonts w:cs="Sylfaen"/>
          <w:b w:val="0"/>
          <w:szCs w:val="22"/>
          <w:lang w:val="hy-AM"/>
        </w:rPr>
        <w:softHyphen/>
        <w:t>թյուն</w:t>
      </w:r>
      <w:r w:rsidRPr="004118EA">
        <w:rPr>
          <w:rFonts w:cs="Sylfaen"/>
          <w:b w:val="0"/>
          <w:szCs w:val="22"/>
          <w:lang w:val="hy-AM"/>
        </w:rPr>
        <w:softHyphen/>
        <w:t xml:space="preserve">ներ» միջոցառման շրջանակում նախատեսվել է 1,397.8 մլն դրամ գումար` ՀՀ 2020 թվականի պետական բյուջեով հաստատված 1,397.8 մլն դրամի դիմաց կամ 50.0 մլն դրամով պակաս: </w:t>
      </w:r>
    </w:p>
    <w:p w:rsidR="00311C8E" w:rsidRPr="004118EA" w:rsidRDefault="00311C8E" w:rsidP="007730AA">
      <w:pPr>
        <w:tabs>
          <w:tab w:val="left" w:pos="180"/>
          <w:tab w:val="left" w:pos="540"/>
        </w:tabs>
        <w:spacing w:before="0" w:line="276" w:lineRule="auto"/>
        <w:ind w:firstLine="720"/>
        <w:rPr>
          <w:rFonts w:cs="Sylfaen"/>
          <w:b w:val="0"/>
          <w:szCs w:val="22"/>
          <w:lang w:val="hy-AM"/>
        </w:rPr>
      </w:pPr>
      <w:r w:rsidRPr="004118EA">
        <w:rPr>
          <w:rFonts w:cs="Sylfaen"/>
          <w:b w:val="0"/>
          <w:szCs w:val="22"/>
          <w:lang w:val="hy-AM"/>
        </w:rPr>
        <w:t>Ինֆեկցիոն հիվանդությունների բուժումը ներառում է աղիքային, վիրուսային և միջատ</w:t>
      </w:r>
      <w:r w:rsidRPr="004118EA">
        <w:rPr>
          <w:rFonts w:cs="Sylfaen"/>
          <w:b w:val="0"/>
          <w:szCs w:val="22"/>
          <w:lang w:val="hy-AM"/>
        </w:rPr>
        <w:softHyphen/>
        <w:t>նե</w:t>
      </w:r>
      <w:r w:rsidRPr="004118EA">
        <w:rPr>
          <w:rFonts w:cs="Sylfaen"/>
          <w:b w:val="0"/>
          <w:szCs w:val="22"/>
          <w:lang w:val="hy-AM"/>
        </w:rPr>
        <w:softHyphen/>
        <w:t>րով տարածվող ինֆեկցիաներով ախտահարվածների բուժում, որն ունի սոցիա</w:t>
      </w:r>
      <w:r w:rsidRPr="004118EA">
        <w:rPr>
          <w:rFonts w:cs="Sylfaen"/>
          <w:b w:val="0"/>
          <w:szCs w:val="22"/>
          <w:lang w:val="hy-AM"/>
        </w:rPr>
        <w:softHyphen/>
        <w:t>լական նշա</w:t>
      </w:r>
      <w:r w:rsidRPr="004118EA">
        <w:rPr>
          <w:rFonts w:cs="Sylfaen"/>
          <w:b w:val="0"/>
          <w:szCs w:val="22"/>
          <w:lang w:val="hy-AM"/>
        </w:rPr>
        <w:softHyphen/>
        <w:t>նա</w:t>
      </w:r>
      <w:r w:rsidRPr="004118EA">
        <w:rPr>
          <w:rFonts w:cs="Sylfaen"/>
          <w:b w:val="0"/>
          <w:szCs w:val="22"/>
          <w:lang w:val="hy-AM"/>
        </w:rPr>
        <w:softHyphen/>
        <w:t>կու</w:t>
      </w:r>
      <w:r w:rsidRPr="004118EA">
        <w:rPr>
          <w:rFonts w:cs="Sylfaen"/>
          <w:b w:val="0"/>
          <w:szCs w:val="22"/>
          <w:lang w:val="hy-AM"/>
        </w:rPr>
        <w:softHyphen/>
        <w:t>թյուն: Ինֆեկցիոն հիվանդություններով տառապող անձանց բուժօգ</w:t>
      </w:r>
      <w:r w:rsidRPr="004118EA">
        <w:rPr>
          <w:rFonts w:cs="Sylfaen"/>
          <w:b w:val="0"/>
          <w:szCs w:val="22"/>
          <w:lang w:val="hy-AM"/>
        </w:rPr>
        <w:softHyphen/>
        <w:t>նության կազմակեր</w:t>
      </w:r>
      <w:r w:rsidRPr="004118EA">
        <w:rPr>
          <w:rFonts w:cs="Sylfaen"/>
          <w:b w:val="0"/>
          <w:szCs w:val="22"/>
          <w:lang w:val="hy-AM"/>
        </w:rPr>
        <w:softHyphen/>
        <w:t>պումն իրականացվում է ընդհանուր և մասնագիտացված ինֆեկցիոն հիվան</w:t>
      </w:r>
      <w:r w:rsidRPr="004118EA">
        <w:rPr>
          <w:rFonts w:cs="Sylfaen"/>
          <w:b w:val="0"/>
          <w:szCs w:val="22"/>
          <w:lang w:val="hy-AM"/>
        </w:rPr>
        <w:softHyphen/>
        <w:t>դանոցներում, բաժանմունքներում:</w:t>
      </w:r>
    </w:p>
    <w:p w:rsidR="006F0ABF" w:rsidRPr="004118EA" w:rsidRDefault="006F0ABF" w:rsidP="007730AA">
      <w:pPr>
        <w:pStyle w:val="ListParagraph"/>
        <w:spacing w:before="0" w:line="276" w:lineRule="auto"/>
        <w:ind w:left="0" w:firstLine="720"/>
        <w:rPr>
          <w:rFonts w:cs="Sylfaen"/>
          <w:b w:val="0"/>
          <w:szCs w:val="22"/>
          <w:lang w:val="af-ZA"/>
        </w:rPr>
      </w:pPr>
      <w:r w:rsidRPr="004118EA">
        <w:rPr>
          <w:rFonts w:cs="Sylfaen"/>
          <w:b w:val="0"/>
          <w:szCs w:val="22"/>
          <w:lang w:val="af-ZA"/>
        </w:rPr>
        <w:t>Միաժամանակ ՀՀ առողջապահության նախարարության գծով նախատեսվում են շարունակել և իրականացնել արտաքին աղբյուրներից ստացվող նպատակային վարկային և դրամաշնորհային միջոցներով հետևյալ ծրագրերը.</w:t>
      </w:r>
    </w:p>
    <w:p w:rsidR="006F0ABF" w:rsidRPr="004118EA" w:rsidRDefault="006F0ABF" w:rsidP="007730AA">
      <w:pPr>
        <w:pStyle w:val="ListParagraph"/>
        <w:spacing w:before="0" w:line="276" w:lineRule="auto"/>
        <w:ind w:left="0" w:firstLine="720"/>
        <w:rPr>
          <w:rFonts w:cs="Sylfaen"/>
          <w:b w:val="0"/>
          <w:lang w:val="hy-AM"/>
        </w:rPr>
      </w:pPr>
      <w:r w:rsidRPr="004118EA">
        <w:rPr>
          <w:rFonts w:cs="Courier New"/>
          <w:b w:val="0"/>
          <w:bCs/>
          <w:iCs/>
          <w:szCs w:val="22"/>
          <w:lang w:val="af-ZA"/>
        </w:rPr>
        <w:t xml:space="preserve"> 1. </w:t>
      </w:r>
      <w:r w:rsidRPr="004118EA">
        <w:rPr>
          <w:rFonts w:cs="Sylfaen"/>
          <w:b w:val="0"/>
          <w:szCs w:val="22"/>
          <w:lang w:val="af-ZA"/>
        </w:rPr>
        <w:t xml:space="preserve">Համաշխարհային բանկի աջակցությամբ իրականացվող </w:t>
      </w:r>
      <w:r w:rsidRPr="004118EA">
        <w:rPr>
          <w:rFonts w:ascii="Calibri" w:hAnsi="Calibri" w:cs="Calibri"/>
          <w:b w:val="0"/>
          <w:szCs w:val="22"/>
          <w:lang w:val="af-ZA"/>
        </w:rPr>
        <w:t>«</w:t>
      </w:r>
      <w:r w:rsidRPr="004118EA">
        <w:rPr>
          <w:rFonts w:cs="Sylfaen"/>
          <w:b w:val="0"/>
          <w:szCs w:val="22"/>
          <w:lang w:val="af-ZA"/>
        </w:rPr>
        <w:t>Հիվանդությունների կանխարգելման և վերահսկման ծրագիր</w:t>
      </w:r>
      <w:r w:rsidRPr="004118EA">
        <w:rPr>
          <w:rFonts w:ascii="Calibri" w:hAnsi="Calibri" w:cs="Calibri"/>
          <w:b w:val="0"/>
          <w:szCs w:val="22"/>
          <w:lang w:val="af-ZA"/>
        </w:rPr>
        <w:t>»</w:t>
      </w:r>
      <w:r w:rsidRPr="004118EA">
        <w:rPr>
          <w:rFonts w:cs="Sylfaen"/>
          <w:b w:val="0"/>
          <w:szCs w:val="22"/>
          <w:lang w:val="af-ZA"/>
        </w:rPr>
        <w:t xml:space="preserve">, որի նպատակներն են </w:t>
      </w:r>
      <w:r w:rsidRPr="004118EA">
        <w:rPr>
          <w:rFonts w:cs="Sylfaen"/>
          <w:b w:val="0"/>
          <w:lang w:val="en-US"/>
        </w:rPr>
        <w:t>ՀՀ</w:t>
      </w:r>
      <w:r w:rsidRPr="004118EA">
        <w:rPr>
          <w:rFonts w:cs="Sylfaen"/>
          <w:b w:val="0"/>
          <w:lang w:val="af-ZA"/>
        </w:rPr>
        <w:t xml:space="preserve"> </w:t>
      </w:r>
      <w:r w:rsidRPr="004118EA">
        <w:rPr>
          <w:rFonts w:cs="Sylfaen"/>
          <w:b w:val="0"/>
          <w:lang w:val="en-US"/>
        </w:rPr>
        <w:t>բնակչության</w:t>
      </w:r>
      <w:r w:rsidRPr="004118EA">
        <w:rPr>
          <w:rFonts w:cs="Sylfaen"/>
          <w:b w:val="0"/>
          <w:lang w:val="af-ZA"/>
        </w:rPr>
        <w:t xml:space="preserve"> </w:t>
      </w:r>
      <w:r w:rsidRPr="004118EA">
        <w:rPr>
          <w:rFonts w:cs="Sylfaen"/>
          <w:b w:val="0"/>
          <w:lang w:val="en-US"/>
        </w:rPr>
        <w:t>ռիսկային</w:t>
      </w:r>
      <w:r w:rsidRPr="004118EA">
        <w:rPr>
          <w:rFonts w:cs="Sylfaen"/>
          <w:b w:val="0"/>
          <w:lang w:val="af-ZA"/>
        </w:rPr>
        <w:t xml:space="preserve"> </w:t>
      </w:r>
      <w:r w:rsidRPr="004118EA">
        <w:rPr>
          <w:rFonts w:cs="Sylfaen"/>
          <w:b w:val="0"/>
          <w:lang w:val="en-US"/>
        </w:rPr>
        <w:t>խմբերում</w:t>
      </w:r>
      <w:r w:rsidRPr="004118EA">
        <w:rPr>
          <w:rFonts w:cs="Sylfaen"/>
          <w:b w:val="0"/>
          <w:lang w:val="af-ZA"/>
        </w:rPr>
        <w:t xml:space="preserve"> </w:t>
      </w:r>
      <w:r w:rsidRPr="004118EA">
        <w:rPr>
          <w:rFonts w:cs="Sylfaen"/>
          <w:b w:val="0"/>
          <w:lang w:val="en-US"/>
        </w:rPr>
        <w:t>ՈՎՀ</w:t>
      </w:r>
      <w:r w:rsidRPr="004118EA">
        <w:rPr>
          <w:rFonts w:cs="Sylfaen"/>
          <w:b w:val="0"/>
          <w:lang w:val="af-ZA"/>
        </w:rPr>
        <w:t xml:space="preserve"> </w:t>
      </w:r>
      <w:r w:rsidRPr="004118EA">
        <w:rPr>
          <w:rFonts w:cs="Sylfaen"/>
          <w:b w:val="0"/>
          <w:lang w:val="en-US"/>
        </w:rPr>
        <w:t>սքրինինգային</w:t>
      </w:r>
      <w:r w:rsidRPr="004118EA">
        <w:rPr>
          <w:rFonts w:cs="Sylfaen"/>
          <w:b w:val="0"/>
          <w:lang w:val="af-ZA"/>
        </w:rPr>
        <w:t xml:space="preserve"> </w:t>
      </w:r>
      <w:r w:rsidRPr="004118EA">
        <w:rPr>
          <w:rFonts w:cs="Sylfaen"/>
          <w:b w:val="0"/>
          <w:lang w:val="en-US"/>
        </w:rPr>
        <w:t>հետազոտությունների</w:t>
      </w:r>
      <w:r w:rsidRPr="004118EA">
        <w:rPr>
          <w:rFonts w:cs="Sylfaen"/>
          <w:b w:val="0"/>
          <w:lang w:val="af-ZA"/>
        </w:rPr>
        <w:t xml:space="preserve"> </w:t>
      </w:r>
      <w:r w:rsidRPr="004118EA">
        <w:rPr>
          <w:rFonts w:cs="Sylfaen"/>
          <w:b w:val="0"/>
          <w:lang w:val="en-US"/>
        </w:rPr>
        <w:t>իրականացման</w:t>
      </w:r>
      <w:r w:rsidRPr="004118EA">
        <w:rPr>
          <w:rFonts w:cs="Sylfaen"/>
          <w:b w:val="0"/>
          <w:lang w:val="af-ZA"/>
        </w:rPr>
        <w:t xml:space="preserve"> </w:t>
      </w:r>
      <w:r w:rsidRPr="004118EA">
        <w:rPr>
          <w:rFonts w:cs="Sylfaen"/>
          <w:b w:val="0"/>
          <w:lang w:val="en-US"/>
        </w:rPr>
        <w:t>աշխատանքների</w:t>
      </w:r>
      <w:r w:rsidRPr="004118EA">
        <w:rPr>
          <w:rFonts w:cs="Sylfaen"/>
          <w:b w:val="0"/>
          <w:lang w:val="af-ZA"/>
        </w:rPr>
        <w:t xml:space="preserve"> </w:t>
      </w:r>
      <w:r w:rsidRPr="004118EA">
        <w:rPr>
          <w:rFonts w:cs="Sylfaen"/>
          <w:b w:val="0"/>
          <w:lang w:val="en-US"/>
        </w:rPr>
        <w:t>շարունակում</w:t>
      </w:r>
      <w:r w:rsidRPr="004118EA">
        <w:rPr>
          <w:rFonts w:cs="Sylfaen"/>
          <w:b w:val="0"/>
          <w:lang w:val="hy-AM"/>
        </w:rPr>
        <w:t>ը</w:t>
      </w:r>
      <w:r w:rsidRPr="004118EA">
        <w:rPr>
          <w:rFonts w:cs="Sylfaen"/>
          <w:b w:val="0"/>
          <w:lang w:val="af-ZA"/>
        </w:rPr>
        <w:t xml:space="preserve">, </w:t>
      </w:r>
      <w:r w:rsidRPr="004118EA">
        <w:rPr>
          <w:rFonts w:cs="Sylfaen"/>
          <w:b w:val="0"/>
          <w:szCs w:val="22"/>
          <w:lang w:val="af-ZA"/>
        </w:rPr>
        <w:t xml:space="preserve">հանրապետության տարբեր մարզերում </w:t>
      </w:r>
      <w:r w:rsidRPr="004118EA">
        <w:rPr>
          <w:b w:val="0"/>
          <w:szCs w:val="22"/>
          <w:lang w:val="hy-AM"/>
        </w:rPr>
        <w:t>ընտրված հիվանդանոցների արդյունավետության և որակի բարելավում</w:t>
      </w:r>
      <w:r w:rsidRPr="004118EA">
        <w:rPr>
          <w:b w:val="0"/>
          <w:szCs w:val="22"/>
          <w:lang w:val="en-US"/>
        </w:rPr>
        <w:t>ը</w:t>
      </w:r>
      <w:r w:rsidRPr="004118EA">
        <w:rPr>
          <w:b w:val="0"/>
          <w:szCs w:val="22"/>
          <w:lang w:val="af-ZA"/>
        </w:rPr>
        <w:t>,</w:t>
      </w:r>
      <w:r w:rsidRPr="004118EA">
        <w:rPr>
          <w:b w:val="0"/>
          <w:szCs w:val="22"/>
          <w:lang w:val="hy-AM"/>
        </w:rPr>
        <w:t xml:space="preserve"> </w:t>
      </w:r>
      <w:r w:rsidRPr="004118EA">
        <w:rPr>
          <w:b w:val="0"/>
          <w:szCs w:val="22"/>
          <w:lang w:val="en-US"/>
        </w:rPr>
        <w:t>ինչպես</w:t>
      </w:r>
      <w:r w:rsidRPr="004118EA">
        <w:rPr>
          <w:b w:val="0"/>
          <w:szCs w:val="22"/>
          <w:lang w:val="af-ZA"/>
        </w:rPr>
        <w:t xml:space="preserve"> </w:t>
      </w:r>
      <w:r w:rsidRPr="004118EA">
        <w:rPr>
          <w:b w:val="0"/>
          <w:szCs w:val="22"/>
          <w:lang w:val="en-US"/>
        </w:rPr>
        <w:t>նաև</w:t>
      </w:r>
      <w:r w:rsidRPr="004118EA">
        <w:rPr>
          <w:rFonts w:cs="Sylfaen"/>
          <w:b w:val="0"/>
          <w:lang w:val="hy-AM"/>
        </w:rPr>
        <w:t xml:space="preserve"> ՀՀ </w:t>
      </w:r>
      <w:r w:rsidR="00F360B8">
        <w:rPr>
          <w:rFonts w:cs="Sylfaen"/>
          <w:b w:val="0"/>
          <w:lang w:val="hy-AM"/>
        </w:rPr>
        <w:t>Գեղարքունիքի մարզի</w:t>
      </w:r>
      <w:r w:rsidRPr="004118EA">
        <w:rPr>
          <w:rFonts w:cs="Sylfaen"/>
          <w:b w:val="0"/>
          <w:lang w:val="hy-AM"/>
        </w:rPr>
        <w:t xml:space="preserve"> նոր բժշկական կենտրոնի </w:t>
      </w:r>
      <w:r w:rsidRPr="004118EA">
        <w:rPr>
          <w:rFonts w:cs="Sylfaen"/>
          <w:b w:val="0"/>
          <w:lang w:val="af-ZA"/>
        </w:rPr>
        <w:t xml:space="preserve"> </w:t>
      </w:r>
      <w:r w:rsidRPr="004118EA">
        <w:rPr>
          <w:rFonts w:cs="Sylfaen"/>
          <w:b w:val="0"/>
          <w:lang w:val="en-US"/>
        </w:rPr>
        <w:t>շենքի</w:t>
      </w:r>
      <w:r w:rsidRPr="004118EA">
        <w:rPr>
          <w:rFonts w:cs="Sylfaen"/>
          <w:b w:val="0"/>
          <w:lang w:val="af-ZA"/>
        </w:rPr>
        <w:t xml:space="preserve"> </w:t>
      </w:r>
      <w:r w:rsidRPr="004118EA">
        <w:rPr>
          <w:rFonts w:cs="Sylfaen"/>
          <w:b w:val="0"/>
          <w:lang w:val="en-US"/>
        </w:rPr>
        <w:t>կառուցո</w:t>
      </w:r>
      <w:r w:rsidRPr="004118EA">
        <w:rPr>
          <w:rFonts w:cs="Sylfaen"/>
          <w:b w:val="0"/>
          <w:lang w:val="hy-AM"/>
        </w:rPr>
        <w:t>ւմ</w:t>
      </w:r>
      <w:r w:rsidRPr="004118EA">
        <w:rPr>
          <w:rFonts w:cs="Sylfaen"/>
          <w:b w:val="0"/>
          <w:lang w:val="en-US"/>
        </w:rPr>
        <w:t>ը</w:t>
      </w:r>
      <w:r w:rsidRPr="004118EA">
        <w:rPr>
          <w:rFonts w:cs="Sylfaen"/>
          <w:b w:val="0"/>
          <w:lang w:val="hy-AM"/>
        </w:rPr>
        <w:t xml:space="preserve">: </w:t>
      </w:r>
      <w:r w:rsidRPr="004118EA">
        <w:rPr>
          <w:b w:val="0"/>
          <w:iCs/>
          <w:lang w:val="hy-AM"/>
        </w:rPr>
        <w:t>20</w:t>
      </w:r>
      <w:r w:rsidRPr="004118EA">
        <w:rPr>
          <w:b w:val="0"/>
          <w:iCs/>
          <w:lang w:val="af-ZA"/>
        </w:rPr>
        <w:t>21</w:t>
      </w:r>
      <w:r w:rsidRPr="004118EA">
        <w:rPr>
          <w:b w:val="0"/>
          <w:iCs/>
          <w:lang w:val="hy-AM"/>
        </w:rPr>
        <w:t xml:space="preserve">թ. </w:t>
      </w:r>
      <w:r w:rsidRPr="004118EA">
        <w:rPr>
          <w:rFonts w:cs="Sylfaen"/>
          <w:b w:val="0"/>
          <w:lang w:val="it-IT"/>
        </w:rPr>
        <w:t xml:space="preserve">նախատեսվում է </w:t>
      </w:r>
      <w:r w:rsidRPr="004118EA">
        <w:rPr>
          <w:b w:val="0"/>
          <w:iCs/>
          <w:lang w:val="hy-AM"/>
        </w:rPr>
        <w:t>1</w:t>
      </w:r>
      <w:r w:rsidRPr="004118EA">
        <w:rPr>
          <w:b w:val="0"/>
          <w:iCs/>
          <w:lang w:val="af-ZA"/>
        </w:rPr>
        <w:t>,</w:t>
      </w:r>
      <w:r w:rsidR="00393C67" w:rsidRPr="00393C67">
        <w:rPr>
          <w:b w:val="0"/>
          <w:iCs/>
          <w:lang w:val="af-ZA"/>
        </w:rPr>
        <w:t>306</w:t>
      </w:r>
      <w:r w:rsidRPr="004118EA">
        <w:rPr>
          <w:b w:val="0"/>
          <w:iCs/>
          <w:lang w:val="hy-AM"/>
        </w:rPr>
        <w:t>.</w:t>
      </w:r>
      <w:r w:rsidR="00393C67" w:rsidRPr="00393C67">
        <w:rPr>
          <w:b w:val="0"/>
          <w:iCs/>
          <w:lang w:val="af-ZA"/>
        </w:rPr>
        <w:t>9</w:t>
      </w:r>
      <w:r w:rsidRPr="004118EA">
        <w:rPr>
          <w:b w:val="0"/>
          <w:iCs/>
          <w:lang w:val="hy-AM"/>
        </w:rPr>
        <w:t xml:space="preserve"> </w:t>
      </w:r>
      <w:r w:rsidRPr="004118EA">
        <w:rPr>
          <w:rFonts w:cs="Sylfaen"/>
          <w:b w:val="0"/>
          <w:iCs/>
          <w:lang w:val="af-ZA"/>
        </w:rPr>
        <w:t xml:space="preserve">մլն դրամ, </w:t>
      </w:r>
      <w:r w:rsidRPr="004118EA">
        <w:rPr>
          <w:b w:val="0"/>
          <w:bCs/>
          <w:iCs/>
          <w:lang w:val="hy-AM"/>
        </w:rPr>
        <w:t xml:space="preserve">այդ թվում վարկային միջոցներ` </w:t>
      </w:r>
      <w:r w:rsidRPr="004118EA">
        <w:rPr>
          <w:b w:val="0"/>
          <w:bCs/>
          <w:iCs/>
          <w:lang w:val="af-ZA"/>
        </w:rPr>
        <w:t>1,</w:t>
      </w:r>
      <w:r w:rsidRPr="004118EA">
        <w:rPr>
          <w:b w:val="0"/>
          <w:bCs/>
          <w:iCs/>
          <w:lang w:val="hy-AM"/>
        </w:rPr>
        <w:t>0</w:t>
      </w:r>
      <w:r w:rsidR="00393C67" w:rsidRPr="00393C67">
        <w:rPr>
          <w:b w:val="0"/>
          <w:bCs/>
          <w:iCs/>
          <w:lang w:val="af-ZA"/>
        </w:rPr>
        <w:t>71</w:t>
      </w:r>
      <w:r w:rsidRPr="004118EA">
        <w:rPr>
          <w:b w:val="0"/>
          <w:bCs/>
          <w:iCs/>
          <w:lang w:val="hy-AM"/>
        </w:rPr>
        <w:t xml:space="preserve">.5 </w:t>
      </w:r>
      <w:r w:rsidRPr="004118EA">
        <w:rPr>
          <w:rFonts w:cs="Sylfaen"/>
          <w:b w:val="0"/>
          <w:iCs/>
          <w:lang w:val="af-ZA"/>
        </w:rPr>
        <w:t>մլն դրամ</w:t>
      </w:r>
      <w:r w:rsidRPr="004118EA">
        <w:rPr>
          <w:b w:val="0"/>
          <w:bCs/>
          <w:iCs/>
          <w:lang w:val="hy-AM"/>
        </w:rPr>
        <w:t>, ՀՀ համաֆինանսավորում` 2</w:t>
      </w:r>
      <w:r w:rsidRPr="004118EA">
        <w:rPr>
          <w:b w:val="0"/>
          <w:bCs/>
          <w:iCs/>
          <w:lang w:val="af-ZA"/>
        </w:rPr>
        <w:t>3</w:t>
      </w:r>
      <w:r w:rsidR="00393C67" w:rsidRPr="00393C67">
        <w:rPr>
          <w:b w:val="0"/>
          <w:bCs/>
          <w:iCs/>
          <w:lang w:val="af-ZA"/>
        </w:rPr>
        <w:t>5</w:t>
      </w:r>
      <w:r w:rsidRPr="004118EA">
        <w:rPr>
          <w:b w:val="0"/>
          <w:bCs/>
          <w:iCs/>
          <w:lang w:val="af-ZA"/>
        </w:rPr>
        <w:t>.</w:t>
      </w:r>
      <w:r w:rsidR="00393C67" w:rsidRPr="00393C67">
        <w:rPr>
          <w:b w:val="0"/>
          <w:bCs/>
          <w:iCs/>
          <w:lang w:val="af-ZA"/>
        </w:rPr>
        <w:t>4</w:t>
      </w:r>
      <w:r w:rsidRPr="004118EA">
        <w:rPr>
          <w:b w:val="0"/>
          <w:bCs/>
          <w:iCs/>
          <w:lang w:val="hy-AM"/>
        </w:rPr>
        <w:t xml:space="preserve"> </w:t>
      </w:r>
      <w:r w:rsidRPr="004118EA">
        <w:rPr>
          <w:rFonts w:cs="Sylfaen"/>
          <w:b w:val="0"/>
          <w:iCs/>
          <w:lang w:val="af-ZA"/>
        </w:rPr>
        <w:t>մլն դրամ:</w:t>
      </w:r>
    </w:p>
    <w:p w:rsidR="00A83410" w:rsidRPr="004118EA" w:rsidRDefault="006F0ABF" w:rsidP="007730AA">
      <w:pPr>
        <w:pStyle w:val="ListParagraph"/>
        <w:spacing w:before="0" w:line="276" w:lineRule="auto"/>
        <w:ind w:left="0" w:firstLine="720"/>
        <w:rPr>
          <w:rFonts w:cs="Sylfaen"/>
          <w:b w:val="0"/>
          <w:lang w:val="hy-AM"/>
        </w:rPr>
      </w:pPr>
      <w:r w:rsidRPr="004118EA">
        <w:rPr>
          <w:rFonts w:cs="Sylfaen"/>
          <w:b w:val="0"/>
          <w:iCs/>
          <w:szCs w:val="22"/>
          <w:lang w:val="af-ZA"/>
        </w:rPr>
        <w:t>2.</w:t>
      </w:r>
      <w:r w:rsidRPr="004118EA">
        <w:rPr>
          <w:b w:val="0"/>
          <w:szCs w:val="22"/>
          <w:lang w:val="af-ZA"/>
        </w:rPr>
        <w:t xml:space="preserve"> </w:t>
      </w:r>
      <w:r w:rsidRPr="004118EA">
        <w:rPr>
          <w:rFonts w:cs="Sylfaen"/>
          <w:b w:val="0"/>
          <w:iCs/>
          <w:szCs w:val="22"/>
          <w:lang w:val="af-ZA"/>
        </w:rPr>
        <w:t>ՀՀ կայունացման և զարգացման Եվրասիական հիմնադրամի միջոցներից ֆինան</w:t>
      </w:r>
      <w:r w:rsidRPr="004118EA">
        <w:rPr>
          <w:rFonts w:cs="Sylfaen"/>
          <w:b w:val="0"/>
          <w:iCs/>
          <w:szCs w:val="22"/>
          <w:lang w:val="af-ZA"/>
        </w:rPr>
        <w:softHyphen/>
        <w:t>սա</w:t>
      </w:r>
      <w:r w:rsidRPr="004118EA">
        <w:rPr>
          <w:rFonts w:cs="Sylfaen"/>
          <w:b w:val="0"/>
          <w:iCs/>
          <w:szCs w:val="22"/>
          <w:lang w:val="af-ZA"/>
        </w:rPr>
        <w:softHyphen/>
        <w:t xml:space="preserve">վորվող </w:t>
      </w:r>
      <w:r w:rsidRPr="004118EA">
        <w:rPr>
          <w:rFonts w:cs="Sylfaen"/>
          <w:b w:val="0"/>
          <w:iCs/>
          <w:szCs w:val="22"/>
          <w:lang w:val="hy-AM"/>
        </w:rPr>
        <w:t>«</w:t>
      </w:r>
      <w:r w:rsidRPr="004118EA">
        <w:rPr>
          <w:rFonts w:cs="Sylfaen"/>
          <w:b w:val="0"/>
          <w:iCs/>
          <w:szCs w:val="22"/>
          <w:lang w:val="af-ZA"/>
        </w:rPr>
        <w:t>Առողջապահության առաջնային օղակում ոչ վարակիչ հիվանդությունների կան</w:t>
      </w:r>
      <w:r w:rsidRPr="004118EA">
        <w:rPr>
          <w:rFonts w:cs="Sylfaen"/>
          <w:b w:val="0"/>
          <w:iCs/>
          <w:szCs w:val="22"/>
          <w:lang w:val="af-ZA"/>
        </w:rPr>
        <w:softHyphen/>
        <w:t xml:space="preserve">խարգելման և վերահսկողության կատարելագործում» ծրագիր, </w:t>
      </w:r>
      <w:r w:rsidRPr="004118EA">
        <w:rPr>
          <w:rFonts w:cs="Sylfaen"/>
          <w:b w:val="0"/>
          <w:szCs w:val="22"/>
          <w:lang w:val="hy-AM"/>
        </w:rPr>
        <w:t>որի նպատակն է ՀՀ</w:t>
      </w:r>
      <w:r w:rsidRPr="004118EA">
        <w:rPr>
          <w:rFonts w:cs="Sylfaen"/>
          <w:b w:val="0"/>
          <w:szCs w:val="22"/>
          <w:lang w:val="af-ZA"/>
        </w:rPr>
        <w:t xml:space="preserve"> </w:t>
      </w:r>
      <w:r w:rsidRPr="004118EA">
        <w:rPr>
          <w:rFonts w:cs="Sylfaen"/>
          <w:b w:val="0"/>
          <w:szCs w:val="22"/>
          <w:lang w:val="hy-AM"/>
        </w:rPr>
        <w:t>մարզերում</w:t>
      </w:r>
      <w:r w:rsidRPr="004118EA">
        <w:rPr>
          <w:rFonts w:cs="Sylfaen"/>
          <w:b w:val="0"/>
          <w:szCs w:val="22"/>
          <w:lang w:val="af-ZA"/>
        </w:rPr>
        <w:t xml:space="preserve"> </w:t>
      </w:r>
      <w:r w:rsidRPr="004118EA">
        <w:rPr>
          <w:rFonts w:cs="Sylfaen"/>
          <w:b w:val="0"/>
          <w:szCs w:val="22"/>
          <w:lang w:val="hy-AM"/>
        </w:rPr>
        <w:t>սքրինինգային հետազոտությունների իրականացումը, որի</w:t>
      </w:r>
      <w:r w:rsidRPr="004118EA">
        <w:rPr>
          <w:rFonts w:cs="Sylfaen"/>
          <w:b w:val="0"/>
          <w:szCs w:val="22"/>
          <w:lang w:val="af-ZA"/>
        </w:rPr>
        <w:t xml:space="preserve"> </w:t>
      </w:r>
      <w:r w:rsidRPr="004118EA">
        <w:rPr>
          <w:rFonts w:cs="Sylfaen"/>
          <w:b w:val="0"/>
          <w:szCs w:val="22"/>
          <w:lang w:val="hy-AM"/>
        </w:rPr>
        <w:t>շրջանակներում</w:t>
      </w:r>
      <w:r w:rsidRPr="004118EA">
        <w:rPr>
          <w:rFonts w:cs="Sylfaen"/>
          <w:b w:val="0"/>
          <w:szCs w:val="22"/>
          <w:lang w:val="af-ZA"/>
        </w:rPr>
        <w:t xml:space="preserve"> </w:t>
      </w:r>
      <w:r w:rsidRPr="004118EA">
        <w:rPr>
          <w:rFonts w:cs="Sylfaen"/>
          <w:b w:val="0"/>
          <w:szCs w:val="22"/>
          <w:lang w:val="hy-AM"/>
        </w:rPr>
        <w:t>նախատեսվում է՝ մ</w:t>
      </w:r>
      <w:r w:rsidRPr="004118EA">
        <w:rPr>
          <w:rFonts w:cs="Sylfaen"/>
          <w:b w:val="0"/>
          <w:lang w:val="hy-AM"/>
        </w:rPr>
        <w:t>ամոգրաֆիկ սքրինինգային հետազոտությունների փոխհատուցում Լոռու, Սյունիքի, Տավուշի մարզերում, մամոգրաֆիայի շարժական սարքի ձեռքբերում</w:t>
      </w:r>
      <w:r w:rsidRPr="004118EA">
        <w:rPr>
          <w:rFonts w:cs="Sylfaen"/>
          <w:b w:val="0"/>
          <w:lang w:val="af-ZA"/>
        </w:rPr>
        <w:t>,</w:t>
      </w:r>
      <w:r w:rsidRPr="004118EA">
        <w:rPr>
          <w:rFonts w:cs="Sylfaen"/>
          <w:b w:val="0"/>
          <w:lang w:val="hy-AM"/>
        </w:rPr>
        <w:t xml:space="preserve"> նշված մարզում հանրային իրազեկման քարոզարշավի կազմակերպում</w:t>
      </w:r>
      <w:r w:rsidRPr="004118EA">
        <w:rPr>
          <w:rFonts w:cs="Sylfaen"/>
          <w:b w:val="0"/>
          <w:lang w:val="af-ZA"/>
        </w:rPr>
        <w:t xml:space="preserve"> </w:t>
      </w:r>
      <w:r w:rsidRPr="004118EA">
        <w:rPr>
          <w:rFonts w:cs="Sylfaen"/>
          <w:b w:val="0"/>
          <w:lang w:val="hy-AM"/>
        </w:rPr>
        <w:t>և</w:t>
      </w:r>
      <w:r w:rsidRPr="004118EA">
        <w:rPr>
          <w:rFonts w:cs="Sylfaen"/>
          <w:b w:val="0"/>
          <w:lang w:val="af-ZA"/>
        </w:rPr>
        <w:t xml:space="preserve"> </w:t>
      </w:r>
      <w:r w:rsidRPr="004118EA">
        <w:rPr>
          <w:rFonts w:cs="Sylfaen"/>
          <w:b w:val="0"/>
          <w:lang w:val="hy-AM"/>
        </w:rPr>
        <w:t>ծրագրում ընդգրկված բժշկական անձնակազմի վերապատրաստումներ</w:t>
      </w:r>
      <w:r w:rsidRPr="004118EA">
        <w:rPr>
          <w:rFonts w:cs="Sylfaen"/>
          <w:b w:val="0"/>
          <w:lang w:val="af-ZA"/>
        </w:rPr>
        <w:t>,</w:t>
      </w:r>
      <w:r w:rsidRPr="004118EA">
        <w:rPr>
          <w:rFonts w:cs="Sylfaen"/>
          <w:b w:val="0"/>
          <w:lang w:val="hy-AM"/>
        </w:rPr>
        <w:t xml:space="preserve"> ծրագրային ապահովման ստեղծում ընտանեկան բժիշկների առցանց սերտիֆիկացման համար,</w:t>
      </w:r>
      <w:r w:rsidRPr="004118EA">
        <w:rPr>
          <w:rFonts w:cs="Sylfaen"/>
          <w:b w:val="0"/>
          <w:lang w:val="af-ZA"/>
        </w:rPr>
        <w:t xml:space="preserve"> </w:t>
      </w:r>
      <w:r w:rsidRPr="004118EA">
        <w:rPr>
          <w:rFonts w:cs="Sylfaen"/>
          <w:b w:val="0"/>
          <w:lang w:val="hy-AM"/>
        </w:rPr>
        <w:t>մարդկային ռեսուրսների ռեգիստրի մշակում, կրծքագեղձի քաղցկեղի բուժման վերաբերյալ ուղեցույցների մշակում, առցանց մոդուլի մշակում:</w:t>
      </w:r>
      <w:r w:rsidRPr="004118EA">
        <w:rPr>
          <w:rFonts w:cs="Sylfaen"/>
          <w:b w:val="0"/>
          <w:lang w:val="af-ZA"/>
        </w:rPr>
        <w:t xml:space="preserve"> </w:t>
      </w:r>
      <w:r w:rsidRPr="004118EA">
        <w:rPr>
          <w:b w:val="0"/>
          <w:iCs/>
          <w:lang w:val="hy-AM"/>
        </w:rPr>
        <w:t>20</w:t>
      </w:r>
      <w:r w:rsidRPr="004118EA">
        <w:rPr>
          <w:b w:val="0"/>
          <w:iCs/>
          <w:lang w:val="af-ZA"/>
        </w:rPr>
        <w:t>21</w:t>
      </w:r>
      <w:r w:rsidRPr="004118EA">
        <w:rPr>
          <w:b w:val="0"/>
          <w:iCs/>
          <w:lang w:val="hy-AM"/>
        </w:rPr>
        <w:t xml:space="preserve">թ. </w:t>
      </w:r>
      <w:r w:rsidRPr="004118EA">
        <w:rPr>
          <w:rFonts w:cs="Sylfaen"/>
          <w:b w:val="0"/>
          <w:lang w:val="it-IT"/>
        </w:rPr>
        <w:t>նախատեսվում է 7</w:t>
      </w:r>
      <w:r w:rsidR="00A83410" w:rsidRPr="00A83410">
        <w:rPr>
          <w:rFonts w:cs="Sylfaen"/>
          <w:b w:val="0"/>
          <w:lang w:val="hy-AM"/>
        </w:rPr>
        <w:t>9</w:t>
      </w:r>
      <w:r w:rsidRPr="004118EA">
        <w:rPr>
          <w:rFonts w:cs="Sylfaen"/>
          <w:b w:val="0"/>
          <w:lang w:val="it-IT"/>
        </w:rPr>
        <w:t>.</w:t>
      </w:r>
      <w:r w:rsidR="00A83410" w:rsidRPr="00A83410">
        <w:rPr>
          <w:rFonts w:cs="Sylfaen"/>
          <w:b w:val="0"/>
          <w:lang w:val="hy-AM"/>
        </w:rPr>
        <w:t>7</w:t>
      </w:r>
      <w:r w:rsidRPr="004118EA">
        <w:rPr>
          <w:b w:val="0"/>
          <w:iCs/>
          <w:lang w:val="hy-AM"/>
        </w:rPr>
        <w:t xml:space="preserve"> </w:t>
      </w:r>
      <w:r w:rsidRPr="004118EA">
        <w:rPr>
          <w:rFonts w:cs="Sylfaen"/>
          <w:b w:val="0"/>
          <w:iCs/>
          <w:lang w:val="af-ZA"/>
        </w:rPr>
        <w:t xml:space="preserve">մլն դրամ, </w:t>
      </w:r>
      <w:r w:rsidRPr="004118EA">
        <w:rPr>
          <w:b w:val="0"/>
          <w:bCs/>
          <w:iCs/>
          <w:lang w:val="hy-AM"/>
        </w:rPr>
        <w:t>այդ թվում դրամաշնորհային</w:t>
      </w:r>
      <w:r w:rsidRPr="004118EA">
        <w:rPr>
          <w:b w:val="0"/>
          <w:bCs/>
          <w:iCs/>
          <w:lang w:val="af-ZA"/>
        </w:rPr>
        <w:t xml:space="preserve"> </w:t>
      </w:r>
      <w:r w:rsidRPr="004118EA">
        <w:rPr>
          <w:b w:val="0"/>
          <w:bCs/>
          <w:iCs/>
          <w:lang w:val="hy-AM"/>
        </w:rPr>
        <w:t xml:space="preserve"> միջոցներ` 7</w:t>
      </w:r>
      <w:r w:rsidR="00A83410" w:rsidRPr="00A83410">
        <w:rPr>
          <w:b w:val="0"/>
          <w:bCs/>
          <w:iCs/>
          <w:lang w:val="hy-AM"/>
        </w:rPr>
        <w:t>2</w:t>
      </w:r>
      <w:r w:rsidRPr="004118EA">
        <w:rPr>
          <w:b w:val="0"/>
          <w:bCs/>
          <w:iCs/>
          <w:lang w:val="hy-AM"/>
        </w:rPr>
        <w:t xml:space="preserve">.0 </w:t>
      </w:r>
      <w:r w:rsidRPr="004118EA">
        <w:rPr>
          <w:rFonts w:cs="Sylfaen"/>
          <w:b w:val="0"/>
          <w:iCs/>
          <w:lang w:val="af-ZA"/>
        </w:rPr>
        <w:t>մլն դրամ</w:t>
      </w:r>
      <w:r w:rsidRPr="004118EA">
        <w:rPr>
          <w:b w:val="0"/>
          <w:bCs/>
          <w:iCs/>
          <w:lang w:val="hy-AM"/>
        </w:rPr>
        <w:t>, ՀՀ համաֆինանսավորում` 7</w:t>
      </w:r>
      <w:r w:rsidRPr="004118EA">
        <w:rPr>
          <w:b w:val="0"/>
          <w:bCs/>
          <w:iCs/>
          <w:lang w:val="af-ZA"/>
        </w:rPr>
        <w:t>.</w:t>
      </w:r>
      <w:r w:rsidR="00A83410" w:rsidRPr="00A83410">
        <w:rPr>
          <w:b w:val="0"/>
          <w:bCs/>
          <w:iCs/>
          <w:lang w:val="hy-AM"/>
        </w:rPr>
        <w:t>7</w:t>
      </w:r>
      <w:r w:rsidRPr="004118EA">
        <w:rPr>
          <w:b w:val="0"/>
          <w:bCs/>
          <w:iCs/>
          <w:lang w:val="hy-AM"/>
        </w:rPr>
        <w:t xml:space="preserve"> </w:t>
      </w:r>
      <w:r w:rsidRPr="004118EA">
        <w:rPr>
          <w:rFonts w:cs="Sylfaen"/>
          <w:b w:val="0"/>
          <w:iCs/>
          <w:lang w:val="af-ZA"/>
        </w:rPr>
        <w:t>մլն դրամ:</w:t>
      </w:r>
    </w:p>
    <w:p w:rsidR="006F0ABF" w:rsidRPr="004118EA" w:rsidRDefault="006F0ABF" w:rsidP="007730AA">
      <w:pPr>
        <w:spacing w:before="0" w:line="276" w:lineRule="auto"/>
        <w:ind w:firstLine="720"/>
        <w:rPr>
          <w:b w:val="0"/>
          <w:color w:val="000000"/>
          <w:lang w:val="hy-AM" w:eastAsia="en-US"/>
        </w:rPr>
      </w:pPr>
      <w:r w:rsidRPr="004118EA">
        <w:rPr>
          <w:b w:val="0"/>
          <w:szCs w:val="22"/>
          <w:lang w:val="af-ZA"/>
        </w:rPr>
        <w:t xml:space="preserve">3. </w:t>
      </w:r>
      <w:r w:rsidRPr="004118EA">
        <w:rPr>
          <w:rFonts w:cs="Sylfaen"/>
          <w:b w:val="0"/>
          <w:szCs w:val="22"/>
          <w:lang w:val="af-ZA"/>
        </w:rPr>
        <w:t>Գլոբալ հիմնադրամի աջակցությամբ իրականացվող «Հայաստանի Հանրապետությունում տուբերկուլոզի և ՄԻԱՎ/ՁԻԱՀ-ի ծրագրերի հզորացում» դրամաշնորհային ծրագիր, որի նպատակներն են տուբերկուլոզի բոլոր տեսակների և ՄԻԱՎ/ՁԻԱՀ-ի ախտորոշման հասանելիության բուժման մոնիթորինգի և կանխարգելման ապահովում</w:t>
      </w:r>
      <w:r w:rsidRPr="004118EA">
        <w:rPr>
          <w:rFonts w:cs="Sylfaen"/>
          <w:b w:val="0"/>
          <w:szCs w:val="22"/>
          <w:lang w:val="hy-AM"/>
        </w:rPr>
        <w:t>ը</w:t>
      </w:r>
      <w:r w:rsidRPr="004118EA">
        <w:rPr>
          <w:rFonts w:cs="Sylfaen"/>
          <w:b w:val="0"/>
          <w:szCs w:val="22"/>
          <w:lang w:val="af-ZA"/>
        </w:rPr>
        <w:t>` ախտորոշիչ նյութերի և բժշկական նշանակության ապրանքների ձեռքբերմամբ, հակատուբերկուլոզային դեղերի, ՄԻԱՎ/ՁԻԱՀ բուժման նպատակով հակառետրովիրուսային և օպորտունիստական վարակների բուժման դեղորայքի անխափան մատակարարումը, տուբերկուլոզով հիվանդների սոցիալական և հոգեբանական օժանդակություն</w:t>
      </w:r>
      <w:r w:rsidRPr="004118EA">
        <w:rPr>
          <w:rFonts w:cs="Sylfaen"/>
          <w:b w:val="0"/>
          <w:szCs w:val="22"/>
          <w:lang w:val="hy-AM"/>
        </w:rPr>
        <w:t>ը</w:t>
      </w:r>
      <w:r w:rsidRPr="004118EA">
        <w:rPr>
          <w:rFonts w:cs="Sylfaen"/>
          <w:b w:val="0"/>
          <w:szCs w:val="22"/>
          <w:lang w:val="af-ZA"/>
        </w:rPr>
        <w:t>` ուղղված բուժման հետևողականության բարելավմանը, հիվանդների ակտիվ հայտնաբերման միջոցառումները, բուժման մոնիթորինգի, դեղերի կողմնակի ազդեցությունների կառավարման և վարակի վերահսկման բարելավումը, ՏԲ ազգային ծրագրի կառավարման կարողությունների հզորացումը, համաճարա</w:t>
      </w:r>
      <w:r w:rsidRPr="004118EA">
        <w:rPr>
          <w:rFonts w:cs="Sylfaen"/>
          <w:b w:val="0"/>
          <w:szCs w:val="22"/>
          <w:lang w:val="af-ZA"/>
        </w:rPr>
        <w:softHyphen/>
        <w:t>կաբանական հսկողության, մոնիթորինգի և գնահատման համակարգերի ամրապնդումը, ՄԻԱՎ/ՁԻԱՀ-ի մոնիտորինգի և գնահատման ազգային միասնական համակարգի ամրապնդումն ու համաճարակաբանական հետազոտությունների իրականացումը, ՄԻԱՎ-ի և այլ արյունային վարակների կանխարգելման նպատակով ներարկային թմրամիջոցներ գործածող անձանց շրջանում վնասի նվազեցմանն ուղղված միջո</w:t>
      </w:r>
      <w:r w:rsidRPr="004118EA">
        <w:rPr>
          <w:rFonts w:cs="Sylfaen"/>
          <w:b w:val="0"/>
          <w:szCs w:val="22"/>
          <w:lang w:val="af-ZA"/>
        </w:rPr>
        <w:softHyphen/>
        <w:t xml:space="preserve">ցառումների, ներառյալ մեթադոնային փոխարինող </w:t>
      </w:r>
      <w:r w:rsidRPr="004118EA">
        <w:rPr>
          <w:b w:val="0"/>
          <w:color w:val="000000"/>
          <w:lang w:val="hy-AM" w:eastAsia="en-US"/>
        </w:rPr>
        <w:t>բուժման իրականացումը: 2021թ. նախատեսվում է 1,</w:t>
      </w:r>
      <w:r w:rsidR="00A83410" w:rsidRPr="00A83410">
        <w:rPr>
          <w:b w:val="0"/>
          <w:color w:val="000000"/>
          <w:lang w:val="hy-AM" w:eastAsia="en-US"/>
        </w:rPr>
        <w:t>643</w:t>
      </w:r>
      <w:r w:rsidRPr="004118EA">
        <w:rPr>
          <w:b w:val="0"/>
          <w:color w:val="000000"/>
          <w:lang w:val="hy-AM" w:eastAsia="en-US"/>
        </w:rPr>
        <w:t xml:space="preserve">.6 մլն դրամ, այդ թվում դրամաշնորհային  միջոցներ` </w:t>
      </w:r>
      <w:r w:rsidR="00A83410" w:rsidRPr="00A83410">
        <w:rPr>
          <w:b w:val="0"/>
          <w:color w:val="000000"/>
          <w:lang w:val="hy-AM" w:eastAsia="en-US"/>
        </w:rPr>
        <w:t>1,448</w:t>
      </w:r>
      <w:r w:rsidRPr="004118EA">
        <w:rPr>
          <w:b w:val="0"/>
          <w:color w:val="000000"/>
          <w:lang w:val="hy-AM" w:eastAsia="en-US"/>
        </w:rPr>
        <w:t>.</w:t>
      </w:r>
      <w:r w:rsidR="00A83410" w:rsidRPr="00A83410">
        <w:rPr>
          <w:b w:val="0"/>
          <w:color w:val="000000"/>
          <w:lang w:val="hy-AM" w:eastAsia="en-US"/>
        </w:rPr>
        <w:t>4</w:t>
      </w:r>
      <w:r w:rsidRPr="004118EA">
        <w:rPr>
          <w:b w:val="0"/>
          <w:color w:val="000000"/>
          <w:lang w:val="hy-AM" w:eastAsia="en-US"/>
        </w:rPr>
        <w:t xml:space="preserve"> մլն դրամ, ՀՀ համաֆինանսավորում` </w:t>
      </w:r>
      <w:r w:rsidR="00A83410" w:rsidRPr="00A83410">
        <w:rPr>
          <w:b w:val="0"/>
          <w:color w:val="000000"/>
          <w:lang w:val="hy-AM" w:eastAsia="en-US"/>
        </w:rPr>
        <w:t>195</w:t>
      </w:r>
      <w:r w:rsidRPr="004118EA">
        <w:rPr>
          <w:b w:val="0"/>
          <w:color w:val="000000"/>
          <w:lang w:val="hy-AM" w:eastAsia="en-US"/>
        </w:rPr>
        <w:t>.</w:t>
      </w:r>
      <w:r w:rsidR="00A83410" w:rsidRPr="00A83410">
        <w:rPr>
          <w:b w:val="0"/>
          <w:color w:val="000000"/>
          <w:lang w:val="hy-AM" w:eastAsia="en-US"/>
        </w:rPr>
        <w:t>2</w:t>
      </w:r>
      <w:r w:rsidRPr="004118EA">
        <w:rPr>
          <w:b w:val="0"/>
          <w:color w:val="000000"/>
          <w:lang w:val="hy-AM" w:eastAsia="en-US"/>
        </w:rPr>
        <w:t xml:space="preserve"> մլն դրամ:</w:t>
      </w:r>
    </w:p>
    <w:p w:rsidR="00C26C03" w:rsidRPr="004118EA" w:rsidRDefault="00C26C03" w:rsidP="007730AA">
      <w:pPr>
        <w:spacing w:before="0" w:line="276" w:lineRule="auto"/>
        <w:ind w:firstLine="720"/>
        <w:rPr>
          <w:b w:val="0"/>
          <w:lang w:val="af-ZA"/>
        </w:rPr>
      </w:pPr>
      <w:r w:rsidRPr="004118EA">
        <w:rPr>
          <w:b w:val="0"/>
          <w:color w:val="000000"/>
          <w:lang w:val="hy-AM" w:eastAsia="en-US"/>
        </w:rPr>
        <w:t>ՀՀ առողջապահության նախարարության 202</w:t>
      </w:r>
      <w:r w:rsidR="00371E8C" w:rsidRPr="004118EA">
        <w:rPr>
          <w:b w:val="0"/>
          <w:color w:val="000000"/>
          <w:lang w:val="hy-AM" w:eastAsia="en-US"/>
        </w:rPr>
        <w:t>1</w:t>
      </w:r>
      <w:r w:rsidRPr="004118EA">
        <w:rPr>
          <w:b w:val="0"/>
          <w:color w:val="000000"/>
          <w:lang w:val="hy-AM" w:eastAsia="en-US"/>
        </w:rPr>
        <w:t xml:space="preserve"> թվականի բյուջետային ծախսերի համեմատությունը 20</w:t>
      </w:r>
      <w:r w:rsidR="00371E8C" w:rsidRPr="004118EA">
        <w:rPr>
          <w:b w:val="0"/>
          <w:color w:val="000000"/>
          <w:lang w:val="hy-AM" w:eastAsia="en-US"/>
        </w:rPr>
        <w:t>19-2020</w:t>
      </w:r>
      <w:r w:rsidRPr="004118EA">
        <w:rPr>
          <w:b w:val="0"/>
          <w:color w:val="000000"/>
          <w:lang w:val="hy-AM" w:eastAsia="en-US"/>
        </w:rPr>
        <w:t xml:space="preserve"> թվականների ցուցանիշների հետ արտացոլված է սույն բացատրագրի N </w:t>
      </w:r>
      <w:r w:rsidR="00142AC3" w:rsidRPr="00142AC3">
        <w:rPr>
          <w:b w:val="0"/>
          <w:color w:val="000000"/>
          <w:lang w:val="hy-AM" w:eastAsia="en-US"/>
        </w:rPr>
        <w:t>4</w:t>
      </w:r>
      <w:r w:rsidRPr="004118EA">
        <w:rPr>
          <w:b w:val="0"/>
          <w:color w:val="000000"/>
          <w:lang w:val="hy-AM" w:eastAsia="en-US"/>
        </w:rPr>
        <w:t xml:space="preserve"> աղյուսակում</w:t>
      </w:r>
      <w:r w:rsidRPr="004118EA">
        <w:rPr>
          <w:b w:val="0"/>
          <w:lang w:val="af-ZA"/>
        </w:rPr>
        <w:t>:</w:t>
      </w:r>
    </w:p>
    <w:p w:rsidR="00632A9E" w:rsidRPr="004118EA" w:rsidRDefault="00F0615A" w:rsidP="007730AA">
      <w:pPr>
        <w:pStyle w:val="Heading3"/>
        <w:spacing w:before="0"/>
        <w:ind w:firstLine="720"/>
        <w:rPr>
          <w:noProof/>
        </w:rPr>
      </w:pPr>
      <w:bookmarkStart w:id="224" w:name="_Toc57655475"/>
      <w:r w:rsidRPr="004118EA">
        <w:rPr>
          <w:noProof/>
        </w:rPr>
        <w:t>ՀՀ կ</w:t>
      </w:r>
      <w:r w:rsidR="004D4C68" w:rsidRPr="004118EA">
        <w:rPr>
          <w:noProof/>
        </w:rPr>
        <w:t>րթությ</w:t>
      </w:r>
      <w:r w:rsidRPr="004118EA">
        <w:rPr>
          <w:noProof/>
        </w:rPr>
        <w:t>ան</w:t>
      </w:r>
      <w:r w:rsidR="00E66B09" w:rsidRPr="004118EA">
        <w:rPr>
          <w:noProof/>
        </w:rPr>
        <w:t>,</w:t>
      </w:r>
      <w:r w:rsidRPr="004118EA">
        <w:rPr>
          <w:noProof/>
        </w:rPr>
        <w:t xml:space="preserve"> գիտության</w:t>
      </w:r>
      <w:r w:rsidR="00E66B09" w:rsidRPr="004118EA">
        <w:rPr>
          <w:noProof/>
        </w:rPr>
        <w:t>, մշակույթի և սպորտի</w:t>
      </w:r>
      <w:r w:rsidRPr="004118EA">
        <w:rPr>
          <w:noProof/>
        </w:rPr>
        <w:t xml:space="preserve"> նախարարություն</w:t>
      </w:r>
      <w:bookmarkEnd w:id="224"/>
    </w:p>
    <w:p w:rsidR="00D33B44" w:rsidRPr="00D33B44" w:rsidRDefault="00D33B44" w:rsidP="007730AA">
      <w:pPr>
        <w:numPr>
          <w:ilvl w:val="12"/>
          <w:numId w:val="0"/>
        </w:numPr>
        <w:tabs>
          <w:tab w:val="left" w:pos="851"/>
          <w:tab w:val="left" w:pos="9214"/>
        </w:tabs>
        <w:spacing w:before="0" w:line="276" w:lineRule="auto"/>
        <w:ind w:firstLine="720"/>
        <w:contextualSpacing w:val="0"/>
        <w:rPr>
          <w:rFonts w:cs="Sylfaen"/>
          <w:b w:val="0"/>
          <w:szCs w:val="22"/>
          <w:lang w:val="hy-AM" w:eastAsia="en-US"/>
        </w:rPr>
      </w:pPr>
      <w:bookmarkStart w:id="225" w:name="OLE_LINK4"/>
      <w:r w:rsidRPr="00D33B44">
        <w:rPr>
          <w:rFonts w:cs="Arial Armenian"/>
          <w:b w:val="0"/>
          <w:szCs w:val="22"/>
          <w:lang w:val="hy-AM" w:eastAsia="en-US"/>
        </w:rPr>
        <w:t xml:space="preserve">Նախագծով ՀՀ կրթության, գիտության, մշակույթի և սպորտի նախարարության գծով </w:t>
      </w:r>
      <w:r w:rsidRPr="00D33B44">
        <w:rPr>
          <w:b w:val="0"/>
          <w:color w:val="000000"/>
          <w:lang w:val="hy-AM" w:eastAsia="en-US"/>
        </w:rPr>
        <w:t>(առանց կառավարման ապարատի գծով ծախսերի)</w:t>
      </w:r>
      <w:r w:rsidRPr="00D33B44">
        <w:rPr>
          <w:b w:val="0"/>
          <w:color w:val="000000"/>
          <w:lang w:val="af-ZA" w:eastAsia="en-US"/>
        </w:rPr>
        <w:t xml:space="preserve"> </w:t>
      </w:r>
      <w:r w:rsidRPr="00D33B44">
        <w:rPr>
          <w:rFonts w:cs="Arial Armenian"/>
          <w:b w:val="0"/>
          <w:szCs w:val="22"/>
          <w:lang w:val="hy-AM" w:eastAsia="en-US"/>
        </w:rPr>
        <w:t xml:space="preserve">նախատեսվում է հատկացնել </w:t>
      </w:r>
      <w:r w:rsidRPr="00D33B44">
        <w:rPr>
          <w:rFonts w:cs="Sylfaen"/>
          <w:b w:val="0"/>
          <w:szCs w:val="22"/>
          <w:lang w:val="hy-AM" w:eastAsia="en-US"/>
        </w:rPr>
        <w:t>17</w:t>
      </w:r>
      <w:r w:rsidRPr="00D33B44">
        <w:rPr>
          <w:rFonts w:cs="Sylfaen"/>
          <w:b w:val="0"/>
          <w:szCs w:val="22"/>
          <w:lang w:val="af-ZA" w:eastAsia="en-US"/>
        </w:rPr>
        <w:t>5</w:t>
      </w:r>
      <w:r w:rsidRPr="00D33B44">
        <w:rPr>
          <w:rFonts w:cs="Sylfaen"/>
          <w:b w:val="0"/>
          <w:szCs w:val="22"/>
          <w:lang w:val="hy-AM" w:eastAsia="en-US"/>
        </w:rPr>
        <w:t>,6</w:t>
      </w:r>
      <w:r w:rsidRPr="00D33B44">
        <w:rPr>
          <w:rFonts w:cs="Sylfaen"/>
          <w:b w:val="0"/>
          <w:szCs w:val="22"/>
          <w:lang w:val="af-ZA" w:eastAsia="en-US"/>
        </w:rPr>
        <w:t>35</w:t>
      </w:r>
      <w:r w:rsidRPr="00D33B44">
        <w:rPr>
          <w:rFonts w:cs="Sylfaen"/>
          <w:b w:val="0"/>
          <w:szCs w:val="22"/>
          <w:lang w:val="hy-AM" w:eastAsia="en-US"/>
        </w:rPr>
        <w:t>.</w:t>
      </w:r>
      <w:r w:rsidRPr="00D33B44">
        <w:rPr>
          <w:rFonts w:cs="Sylfaen"/>
          <w:b w:val="0"/>
          <w:szCs w:val="22"/>
          <w:lang w:val="af-ZA" w:eastAsia="en-US"/>
        </w:rPr>
        <w:t>6</w:t>
      </w:r>
      <w:r w:rsidRPr="00D33B44">
        <w:rPr>
          <w:rFonts w:cs="Sylfaen"/>
          <w:b w:val="0"/>
          <w:szCs w:val="22"/>
          <w:lang w:val="hy-AM" w:eastAsia="en-US"/>
        </w:rPr>
        <w:t xml:space="preserve"> մլն դրամ՝ </w:t>
      </w:r>
      <w:r w:rsidRPr="00D33B44">
        <w:rPr>
          <w:b w:val="0"/>
          <w:color w:val="000000"/>
          <w:lang w:val="hy-AM" w:eastAsia="en-US"/>
        </w:rPr>
        <w:t>2020 թվականի 17</w:t>
      </w:r>
      <w:r w:rsidRPr="00D33B44">
        <w:rPr>
          <w:b w:val="0"/>
          <w:color w:val="000000"/>
          <w:lang w:val="af-ZA" w:eastAsia="en-US"/>
        </w:rPr>
        <w:t>7</w:t>
      </w:r>
      <w:r w:rsidRPr="00D33B44">
        <w:rPr>
          <w:b w:val="0"/>
          <w:color w:val="000000"/>
          <w:lang w:val="hy-AM" w:eastAsia="en-US"/>
        </w:rPr>
        <w:t>,</w:t>
      </w:r>
      <w:r w:rsidRPr="00D33B44">
        <w:rPr>
          <w:b w:val="0"/>
          <w:color w:val="000000"/>
          <w:lang w:val="af-ZA" w:eastAsia="en-US"/>
        </w:rPr>
        <w:t>624</w:t>
      </w:r>
      <w:r w:rsidRPr="00D33B44">
        <w:rPr>
          <w:b w:val="0"/>
          <w:color w:val="000000"/>
          <w:lang w:val="hy-AM" w:eastAsia="en-US"/>
        </w:rPr>
        <w:t>.</w:t>
      </w:r>
      <w:r w:rsidRPr="00D33B44">
        <w:rPr>
          <w:b w:val="0"/>
          <w:color w:val="000000"/>
          <w:lang w:val="af-ZA" w:eastAsia="en-US"/>
        </w:rPr>
        <w:t>0</w:t>
      </w:r>
      <w:r w:rsidRPr="00D33B44">
        <w:rPr>
          <w:b w:val="0"/>
          <w:color w:val="000000"/>
          <w:lang w:val="hy-AM" w:eastAsia="en-US"/>
        </w:rPr>
        <w:t xml:space="preserve"> մլն դրամի դիմաց, ծախսերի նվազումը կազմել է </w:t>
      </w:r>
      <w:r w:rsidRPr="00D33B44">
        <w:rPr>
          <w:b w:val="0"/>
          <w:color w:val="000000"/>
          <w:lang w:val="af-ZA" w:eastAsia="en-US"/>
        </w:rPr>
        <w:t>1</w:t>
      </w:r>
      <w:r w:rsidRPr="00D33B44">
        <w:rPr>
          <w:b w:val="0"/>
          <w:color w:val="000000"/>
          <w:lang w:val="hy-AM" w:eastAsia="en-US"/>
        </w:rPr>
        <w:t>,</w:t>
      </w:r>
      <w:r w:rsidRPr="00D33B44">
        <w:rPr>
          <w:b w:val="0"/>
          <w:color w:val="000000"/>
          <w:lang w:val="af-ZA" w:eastAsia="en-US"/>
        </w:rPr>
        <w:t>988</w:t>
      </w:r>
      <w:r w:rsidRPr="00D33B44">
        <w:rPr>
          <w:b w:val="0"/>
          <w:color w:val="000000"/>
          <w:lang w:val="hy-AM" w:eastAsia="en-US"/>
        </w:rPr>
        <w:t>.</w:t>
      </w:r>
      <w:r w:rsidRPr="00D33B44">
        <w:rPr>
          <w:b w:val="0"/>
          <w:color w:val="000000"/>
          <w:lang w:val="af-ZA" w:eastAsia="en-US"/>
        </w:rPr>
        <w:t>4</w:t>
      </w:r>
      <w:r w:rsidRPr="00D33B44">
        <w:rPr>
          <w:b w:val="0"/>
          <w:color w:val="000000"/>
          <w:lang w:val="hy-AM" w:eastAsia="en-US"/>
        </w:rPr>
        <w:t xml:space="preserve"> մլն դրամ կամ 1.</w:t>
      </w:r>
      <w:r w:rsidRPr="00D33B44">
        <w:rPr>
          <w:b w:val="0"/>
          <w:color w:val="000000"/>
          <w:lang w:val="af-ZA" w:eastAsia="en-US"/>
        </w:rPr>
        <w:t>1</w:t>
      </w:r>
      <w:r w:rsidRPr="00D33B44">
        <w:rPr>
          <w:b w:val="0"/>
          <w:color w:val="000000"/>
          <w:lang w:val="hy-AM" w:eastAsia="en-US"/>
        </w:rPr>
        <w:t xml:space="preserve"> տոկոս:</w:t>
      </w:r>
    </w:p>
    <w:p w:rsidR="00D33B44" w:rsidRPr="00D33B44" w:rsidRDefault="00D33B44" w:rsidP="007730AA">
      <w:pPr>
        <w:numPr>
          <w:ilvl w:val="12"/>
          <w:numId w:val="0"/>
        </w:numPr>
        <w:tabs>
          <w:tab w:val="left" w:pos="851"/>
          <w:tab w:val="left" w:pos="9214"/>
        </w:tabs>
        <w:spacing w:before="0" w:line="276" w:lineRule="auto"/>
        <w:ind w:firstLine="720"/>
        <w:contextualSpacing w:val="0"/>
        <w:rPr>
          <w:b w:val="0"/>
          <w:lang w:val="fr-FR" w:eastAsia="en-US"/>
        </w:rPr>
      </w:pPr>
      <w:r w:rsidRPr="00D33B44">
        <w:rPr>
          <w:b w:val="0"/>
          <w:color w:val="000000"/>
          <w:lang w:val="hy-AM" w:eastAsia="en-US"/>
        </w:rPr>
        <w:t xml:space="preserve">Կրթության և գիտության ոլորտների գծով ՀՀ կրթության, գիտության, մշակույթի և սպորտի նախարարության կողմից իրականացվելիք ծրագրերին (առանց կառավարման ապարատի գծով ծախսերի) նախատեսվում է հատկացնել </w:t>
      </w:r>
      <w:r w:rsidRPr="00D33B44">
        <w:rPr>
          <w:b w:val="0"/>
          <w:lang w:val="hy-AM" w:eastAsia="en-US"/>
        </w:rPr>
        <w:t xml:space="preserve">155,658.6 մլն դրամ՝ 2020 թվականի 155,478.4 մլն դրամի դիմաց, ծախսերի աճը կազմել է 180.2 մլն դրամ կամ 0.1 տոկոս: </w:t>
      </w:r>
    </w:p>
    <w:p w:rsidR="00D33B44" w:rsidRPr="00D33B44" w:rsidRDefault="00D33B44" w:rsidP="007730AA">
      <w:pPr>
        <w:spacing w:before="0" w:line="276" w:lineRule="auto"/>
        <w:ind w:firstLine="720"/>
        <w:rPr>
          <w:b w:val="0"/>
          <w:color w:val="000000"/>
          <w:lang w:val="hy-AM" w:eastAsia="en-US"/>
        </w:rPr>
      </w:pPr>
      <w:r w:rsidRPr="00D33B44">
        <w:rPr>
          <w:b w:val="0"/>
          <w:color w:val="000000"/>
          <w:lang w:val="fr-FR" w:eastAsia="en-US"/>
        </w:rPr>
        <w:t>2021</w:t>
      </w:r>
      <w:r w:rsidRPr="00D33B44">
        <w:rPr>
          <w:b w:val="0"/>
          <w:color w:val="000000"/>
          <w:lang w:val="hy-AM" w:eastAsia="en-US"/>
        </w:rPr>
        <w:t xml:space="preserve"> թվականին նախարարությանը նախատեսված հատկացումներն ուղղվելու են </w:t>
      </w:r>
      <w:r w:rsidRPr="00D33B44">
        <w:rPr>
          <w:b w:val="0"/>
          <w:color w:val="000000"/>
          <w:lang w:val="fr-FR" w:eastAsia="en-US"/>
        </w:rPr>
        <w:t>10</w:t>
      </w:r>
      <w:r w:rsidRPr="00D33B44">
        <w:rPr>
          <w:b w:val="0"/>
          <w:color w:val="000000"/>
          <w:lang w:val="hy-AM" w:eastAsia="en-US"/>
        </w:rPr>
        <w:t xml:space="preserve"> ծրագրերի իրականացմանը: Մասնավորապես.</w:t>
      </w:r>
    </w:p>
    <w:p w:rsidR="00D33B44" w:rsidRPr="00D33B44" w:rsidRDefault="00D33B44" w:rsidP="007730AA">
      <w:pPr>
        <w:tabs>
          <w:tab w:val="left" w:pos="611"/>
        </w:tabs>
        <w:spacing w:before="0" w:line="276" w:lineRule="auto"/>
        <w:ind w:firstLine="720"/>
        <w:contextualSpacing w:val="0"/>
        <w:rPr>
          <w:b w:val="0"/>
          <w:lang w:val="hy-AM" w:eastAsia="en-US"/>
        </w:rPr>
      </w:pPr>
      <w:r w:rsidRPr="00D33B44">
        <w:rPr>
          <w:b w:val="0"/>
          <w:color w:val="000000"/>
          <w:lang w:val="hy-AM" w:eastAsia="en-US"/>
        </w:rPr>
        <w:tab/>
        <w:t xml:space="preserve">«Նախնական (արհեստագործական) և միջին մասնագիտական կրթություն» ծրագրի գծով նախատեսվել է </w:t>
      </w:r>
      <w:r w:rsidRPr="00D33B44">
        <w:rPr>
          <w:b w:val="0"/>
          <w:lang w:val="hy-AM" w:eastAsia="en-US"/>
        </w:rPr>
        <w:t xml:space="preserve">11,636.1 մլն դրամ՝ 2020 թվականի 12,645.2 մլն դրամի դիմաց, ծախսերի նվազումը կազմել է 1,009.1 մլն դրամ կամ 8.0 տոկոս, պայմանավորված հետևյալով. </w:t>
      </w:r>
    </w:p>
    <w:p w:rsidR="00D33B44" w:rsidRPr="00D33B44" w:rsidRDefault="00D33B44" w:rsidP="007730AA">
      <w:pPr>
        <w:tabs>
          <w:tab w:val="left" w:pos="611"/>
        </w:tabs>
        <w:spacing w:before="0" w:line="276" w:lineRule="auto"/>
        <w:ind w:firstLine="720"/>
        <w:contextualSpacing w:val="0"/>
        <w:rPr>
          <w:rFonts w:cs="GHEA Grapalat"/>
          <w:b w:val="0"/>
          <w:szCs w:val="22"/>
          <w:lang w:val="hy-AM" w:eastAsia="en-US"/>
        </w:rPr>
      </w:pPr>
      <w:r w:rsidRPr="00D33B44">
        <w:rPr>
          <w:b w:val="0"/>
          <w:color w:val="000000"/>
          <w:lang w:val="hy-AM" w:eastAsia="en-US"/>
        </w:rPr>
        <w:tab/>
        <w:t xml:space="preserve">նախնական մասնագիտական (արհեստագործական) և միջին մասնագիտական կրթություն ստացող ուսանողների կրթաթոշակի և ուսանողական նպաստների տրամադրման գծով միջոցառումներով նախատեսվել է՝ ընդամենը 11,342.3 մլն դրամ՝ 2020 թվականի 12,409.3 մլն դրամի դիմաց, </w:t>
      </w:r>
      <w:r w:rsidRPr="00D33B44">
        <w:rPr>
          <w:rFonts w:cs="GHEA Grapalat"/>
          <w:b w:val="0"/>
          <w:szCs w:val="22"/>
          <w:lang w:val="hy-AM" w:eastAsia="en-US"/>
        </w:rPr>
        <w:t>ծախսերը նվազել են</w:t>
      </w:r>
      <w:r w:rsidRPr="00D33B44">
        <w:rPr>
          <w:b w:val="0"/>
          <w:color w:val="000000"/>
          <w:lang w:val="hy-AM" w:eastAsia="en-US"/>
        </w:rPr>
        <w:t xml:space="preserve"> 1,067.0 մլն դրամով կամ </w:t>
      </w:r>
      <w:r w:rsidRPr="00D33B44">
        <w:rPr>
          <w:rFonts w:cs="GHEA Grapalat"/>
          <w:b w:val="0"/>
          <w:szCs w:val="22"/>
          <w:lang w:val="hy-AM" w:eastAsia="en-US"/>
        </w:rPr>
        <w:t xml:space="preserve">8.6%-ով՝ պայմանավորված սովորողների թվաքանակների փոփոխությամբ: </w:t>
      </w:r>
      <w:r w:rsidRPr="00D33B44">
        <w:rPr>
          <w:b w:val="0"/>
          <w:color w:val="000000"/>
          <w:lang w:val="hy-AM" w:eastAsia="en-US"/>
        </w:rPr>
        <w:t>Նշված միջոցառումների գծով ծախսերը նախատեսվել են հանրապետության 22 արհեստագործական ուսումնարաններում արհեստագործական կրթության մեջ ընդգրկվող 7.9 հազար սովորողների ուսուցման գծով` 2020 թվականի 8.3 հազարի դիմաց (սովորողների թվաքանակը 2021 թվականին կնվազի 0.4 հազարով) և 69 հաստատություններում միջին մասնագիտական կրթության մեջ ընդգրկվող 22.3 հազար սովորողների ուսուցման գծով` 2020 թվականի 22.4 հազարի դիմաց (սովորողների թվաքանակը կնվազի 0.1</w:t>
      </w:r>
      <w:r w:rsidRPr="00D33B44">
        <w:rPr>
          <w:b w:val="0"/>
          <w:lang w:val="hy-AM" w:eastAsia="en-US"/>
        </w:rPr>
        <w:t xml:space="preserve"> հազարով):</w:t>
      </w:r>
    </w:p>
    <w:p w:rsidR="00D33B44" w:rsidRPr="00D33B44" w:rsidRDefault="00D33B44" w:rsidP="007730AA">
      <w:pPr>
        <w:tabs>
          <w:tab w:val="left" w:pos="611"/>
        </w:tabs>
        <w:spacing w:before="0" w:line="276" w:lineRule="auto"/>
        <w:ind w:firstLine="720"/>
        <w:contextualSpacing w:val="0"/>
        <w:rPr>
          <w:rFonts w:cs="GHEA Grapalat"/>
          <w:b w:val="0"/>
          <w:szCs w:val="22"/>
          <w:lang w:val="hy-AM" w:eastAsia="en-US"/>
        </w:rPr>
      </w:pPr>
      <w:r w:rsidRPr="00D33B44">
        <w:rPr>
          <w:rFonts w:cs="GHEA Grapalat"/>
          <w:b w:val="0"/>
          <w:szCs w:val="22"/>
          <w:lang w:val="hy-AM" w:eastAsia="en-US"/>
        </w:rPr>
        <w:tab/>
        <w:t xml:space="preserve">Նախագծով </w:t>
      </w:r>
      <w:r w:rsidRPr="00D33B44">
        <w:rPr>
          <w:b w:val="0"/>
          <w:color w:val="000000"/>
          <w:lang w:val="hy-AM" w:eastAsia="en-US"/>
        </w:rPr>
        <w:t>«</w:t>
      </w:r>
      <w:r w:rsidRPr="00D33B44">
        <w:rPr>
          <w:rFonts w:cs="GHEA Grapalat"/>
          <w:b w:val="0"/>
          <w:szCs w:val="22"/>
          <w:lang w:val="hy-AM" w:eastAsia="en-US"/>
        </w:rPr>
        <w:t>Միջին մասնագիտական կրթության որակի ապահովման ծառայություններ</w:t>
      </w:r>
      <w:r w:rsidRPr="00D33B44">
        <w:rPr>
          <w:b w:val="0"/>
          <w:color w:val="000000"/>
          <w:lang w:val="hy-AM" w:eastAsia="en-US"/>
        </w:rPr>
        <w:t xml:space="preserve">» միջոցառման գծով նախատեսվել է </w:t>
      </w:r>
      <w:r w:rsidRPr="00D33B44">
        <w:rPr>
          <w:rFonts w:cs="GHEA Grapalat"/>
          <w:b w:val="0"/>
          <w:szCs w:val="22"/>
          <w:lang w:val="hy-AM" w:eastAsia="en-US"/>
        </w:rPr>
        <w:t>23.8 մլն դրամ (</w:t>
      </w:r>
      <w:r w:rsidRPr="00D33B44">
        <w:rPr>
          <w:b w:val="0"/>
          <w:color w:val="000000"/>
          <w:lang w:val="hy-AM" w:eastAsia="en-US"/>
        </w:rPr>
        <w:t>2020</w:t>
      </w:r>
      <w:r w:rsidRPr="00D33B44">
        <w:rPr>
          <w:b w:val="0"/>
          <w:lang w:val="hy-AM" w:eastAsia="en-US"/>
        </w:rPr>
        <w:t xml:space="preserve"> թվականին նշված ծախսերը նախատեսված են եղել </w:t>
      </w:r>
      <w:r w:rsidRPr="00D33B44">
        <w:rPr>
          <w:b w:val="0"/>
          <w:color w:val="000000"/>
          <w:lang w:val="hy-AM" w:eastAsia="en-US"/>
        </w:rPr>
        <w:t xml:space="preserve">«1192 </w:t>
      </w:r>
      <w:r w:rsidRPr="00D33B44">
        <w:rPr>
          <w:b w:val="0"/>
          <w:lang w:val="hy-AM" w:eastAsia="en-US"/>
        </w:rPr>
        <w:t>Կրթության որակի ապահովում</w:t>
      </w:r>
      <w:r w:rsidRPr="00D33B44">
        <w:rPr>
          <w:b w:val="0"/>
          <w:color w:val="000000"/>
          <w:lang w:val="hy-AM" w:eastAsia="en-US"/>
        </w:rPr>
        <w:t>»</w:t>
      </w:r>
      <w:r w:rsidRPr="00D33B44">
        <w:rPr>
          <w:b w:val="0"/>
          <w:lang w:val="hy-AM" w:eastAsia="en-US"/>
        </w:rPr>
        <w:t xml:space="preserve"> ծրագրի </w:t>
      </w:r>
      <w:r w:rsidRPr="00D33B44">
        <w:rPr>
          <w:b w:val="0"/>
          <w:color w:val="000000"/>
          <w:lang w:val="hy-AM" w:eastAsia="en-US"/>
        </w:rPr>
        <w:t>«</w:t>
      </w:r>
      <w:r w:rsidRPr="00D33B44">
        <w:rPr>
          <w:b w:val="0"/>
          <w:lang w:val="hy-AM" w:eastAsia="en-US"/>
        </w:rPr>
        <w:t>Նախնական, միջին մասնագիտական և բարձրագույն կրթության որակի ապահովման ծառայություններ</w:t>
      </w:r>
      <w:r w:rsidRPr="00D33B44">
        <w:rPr>
          <w:b w:val="0"/>
          <w:color w:val="000000"/>
          <w:lang w:val="hy-AM" w:eastAsia="en-US"/>
        </w:rPr>
        <w:t>» միջոցառման շրջանակներում</w:t>
      </w:r>
      <w:r w:rsidRPr="00D33B44">
        <w:rPr>
          <w:b w:val="0"/>
          <w:lang w:val="hy-AM" w:eastAsia="en-US"/>
        </w:rPr>
        <w:t>)</w:t>
      </w:r>
      <w:r w:rsidRPr="00D33B44">
        <w:rPr>
          <w:rFonts w:cs="GHEA Grapalat"/>
          <w:b w:val="0"/>
          <w:szCs w:val="22"/>
          <w:lang w:val="hy-AM" w:eastAsia="en-US"/>
        </w:rPr>
        <w:t xml:space="preserve">, </w:t>
      </w:r>
      <w:r w:rsidRPr="00D33B44">
        <w:rPr>
          <w:b w:val="0"/>
          <w:lang w:val="hy-AM" w:eastAsia="en-US"/>
        </w:rPr>
        <w:t>«Նախնական մասնագիտական (արհեստագործական) և միջին մասնագիտական ուսումնական հաստատությունների շենքային պայմանների բարելավում» միջոցառման իրականացման գծով</w:t>
      </w:r>
      <w:r w:rsidRPr="00D33B44">
        <w:rPr>
          <w:rFonts w:cs="GHEA Grapalat"/>
          <w:b w:val="0"/>
          <w:szCs w:val="22"/>
          <w:lang w:val="hy-AM" w:eastAsia="en-US"/>
        </w:rPr>
        <w:t>՝ 269.9 մլն դրամ՝ 2020 թվականի 235.9 մլն դրամի դիմաց</w:t>
      </w:r>
      <w:r w:rsidRPr="00D33B44">
        <w:rPr>
          <w:rFonts w:cs="GHEA Grapalat"/>
          <w:b w:val="0"/>
          <w:color w:val="FF0000"/>
          <w:szCs w:val="22"/>
          <w:lang w:val="hy-AM" w:eastAsia="en-US"/>
        </w:rPr>
        <w:t xml:space="preserve"> </w:t>
      </w:r>
      <w:r w:rsidRPr="00D33B44">
        <w:rPr>
          <w:b w:val="0"/>
          <w:lang w:val="hy-AM" w:eastAsia="en-US"/>
        </w:rPr>
        <w:t xml:space="preserve">(ընդհանուր առմամբ՝ կրթական օբյեկտների հիմնանորոգման և շինարարության գծով ծախսերը նախատեսվել են 1,327.6 մլն դրամի չափով, որը 2020 թվականի համար հաստատված համապատասխան ցուցանիշից (1,873.2 մլն դրամ) պակաս է 545.6 մլն դրամով): </w:t>
      </w:r>
    </w:p>
    <w:p w:rsidR="00D33B44" w:rsidRPr="00D33B44" w:rsidRDefault="00D33B44" w:rsidP="007730AA">
      <w:pPr>
        <w:spacing w:before="0" w:line="276" w:lineRule="auto"/>
        <w:ind w:firstLine="720"/>
        <w:rPr>
          <w:b w:val="0"/>
          <w:color w:val="000000"/>
          <w:lang w:val="hy-AM" w:eastAsia="en-US"/>
        </w:rPr>
      </w:pPr>
      <w:r w:rsidRPr="00D33B44">
        <w:rPr>
          <w:b w:val="0"/>
          <w:lang w:val="hy-AM" w:eastAsia="en-US"/>
        </w:rPr>
        <w:tab/>
        <w:t xml:space="preserve">«Բարձրագույն և հետբուհական մասնագիտական կրթության ծրագրի» գծով նախատեսվել է </w:t>
      </w:r>
      <w:r w:rsidRPr="00D33B44">
        <w:rPr>
          <w:rFonts w:cs="GHEA Grapalat"/>
          <w:b w:val="0"/>
          <w:szCs w:val="22"/>
          <w:lang w:val="hy-AM" w:eastAsia="en-US"/>
        </w:rPr>
        <w:t xml:space="preserve">11,861.9 </w:t>
      </w:r>
      <w:r w:rsidRPr="00D33B44">
        <w:rPr>
          <w:b w:val="0"/>
          <w:color w:val="000000"/>
          <w:lang w:val="hy-AM" w:eastAsia="en-US"/>
        </w:rPr>
        <w:t>մլն դրամ՝ 2020 թվականի 12,627.1 մլն դրամի դիմաց, ծախսերի նվազումը կազմել է 765.2 մլն դրամ կամ 6.1 տոկոս՝</w:t>
      </w:r>
      <w:r w:rsidRPr="00D33B44">
        <w:rPr>
          <w:rFonts w:cs="GHEA Grapalat"/>
          <w:b w:val="0"/>
          <w:szCs w:val="22"/>
          <w:lang w:val="hy-AM" w:eastAsia="en-US"/>
        </w:rPr>
        <w:t xml:space="preserve"> պայմանավորված ուսանողների թվաքանակների փոփոխությամբ:</w:t>
      </w:r>
    </w:p>
    <w:p w:rsidR="00D33B44" w:rsidRPr="00D33B44" w:rsidRDefault="00D33B44" w:rsidP="007730AA">
      <w:pPr>
        <w:spacing w:before="0" w:line="276" w:lineRule="auto"/>
        <w:ind w:firstLine="540"/>
        <w:rPr>
          <w:b w:val="0"/>
          <w:lang w:val="hy-AM" w:eastAsia="en-US"/>
        </w:rPr>
      </w:pPr>
      <w:r w:rsidRPr="00D33B44">
        <w:rPr>
          <w:b w:val="0"/>
          <w:lang w:val="hy-AM" w:eastAsia="en-US"/>
        </w:rPr>
        <w:t xml:space="preserve">Ծրագրի շրջանակներում բարձրագույն և հետբուհական մասնագիտական կրթություն ստացող ուսանողների կրթաթոշակի և ուսանողական նպաստների տրամադրման գծով միջոցառումներով նախատեսվել է՝ ընդամենը, </w:t>
      </w:r>
      <w:r w:rsidRPr="00D33B44">
        <w:rPr>
          <w:b w:val="0"/>
          <w:color w:val="000000"/>
          <w:lang w:val="hy-AM" w:eastAsia="en-US"/>
        </w:rPr>
        <w:t>11,432.0 մլն դրամ՝ 2020 թվականի 12,062.3  մլն դրամի դիմաց, կամ՝ ծախսերի նվազումը կազմում է 630.3 մլն դրամ</w:t>
      </w:r>
      <w:r w:rsidRPr="00D33B44">
        <w:rPr>
          <w:rFonts w:cs="GHEA Grapalat"/>
          <w:b w:val="0"/>
          <w:szCs w:val="22"/>
          <w:lang w:val="hy-AM" w:eastAsia="en-US"/>
        </w:rPr>
        <w:t xml:space="preserve">: </w:t>
      </w:r>
      <w:r w:rsidRPr="00D33B44">
        <w:rPr>
          <w:b w:val="0"/>
          <w:lang w:val="hy-AM" w:eastAsia="en-US"/>
        </w:rPr>
        <w:t xml:space="preserve">Նշված միջոցառումների գծով ծախսերը նախատեսվել են 12.3 հազար ուսանողի հաշվով` </w:t>
      </w:r>
      <w:r w:rsidRPr="00D33B44">
        <w:rPr>
          <w:b w:val="0"/>
          <w:color w:val="000000"/>
          <w:lang w:val="hy-AM" w:eastAsia="en-US"/>
        </w:rPr>
        <w:t xml:space="preserve">2020 թվականի </w:t>
      </w:r>
      <w:r w:rsidRPr="00D33B44">
        <w:rPr>
          <w:b w:val="0"/>
          <w:lang w:val="hy-AM" w:eastAsia="en-US"/>
        </w:rPr>
        <w:t xml:space="preserve">13.5 </w:t>
      </w:r>
      <w:r w:rsidRPr="00D33B44">
        <w:rPr>
          <w:b w:val="0"/>
          <w:color w:val="000000"/>
          <w:lang w:val="hy-AM" w:eastAsia="en-US"/>
        </w:rPr>
        <w:t>հազարի դիմաց (ուսանողների թվաքանակը 2021 թվականին կնվազի 1.2 հազարով)</w:t>
      </w:r>
      <w:r w:rsidRPr="00D33B44">
        <w:rPr>
          <w:b w:val="0"/>
          <w:lang w:val="hy-AM" w:eastAsia="en-US"/>
        </w:rPr>
        <w:t>:</w:t>
      </w:r>
    </w:p>
    <w:p w:rsidR="00D33B44" w:rsidRPr="00D33B44" w:rsidRDefault="00D33B44" w:rsidP="007730AA">
      <w:pPr>
        <w:spacing w:before="0" w:line="276" w:lineRule="auto"/>
        <w:ind w:firstLine="540"/>
        <w:rPr>
          <w:b w:val="0"/>
          <w:lang w:val="hy-AM" w:eastAsia="en-US"/>
        </w:rPr>
      </w:pPr>
      <w:r w:rsidRPr="00D33B44">
        <w:rPr>
          <w:b w:val="0"/>
          <w:color w:val="000000"/>
          <w:lang w:val="hy-AM" w:eastAsia="en-US"/>
        </w:rPr>
        <w:t xml:space="preserve">Նախագծով </w:t>
      </w:r>
      <w:r w:rsidRPr="00D33B44">
        <w:rPr>
          <w:b w:val="0"/>
          <w:lang w:val="hy-AM" w:eastAsia="en-US"/>
        </w:rPr>
        <w:t>«Ուսումնական վարկերի տոկոսավճարների մասնակի փոխհատուցում» և «Աջակցություն արտասահմանում սովորող ուսանողներին» միջոցառումների գծով ծախսերը նվազել են, համապատասխանաբար՝ 4.0 և 206.0 մլն դրամով, միաժամանակ,</w:t>
      </w:r>
      <w:r w:rsidRPr="00D33B44">
        <w:rPr>
          <w:b w:val="0"/>
          <w:color w:val="000000"/>
          <w:lang w:val="hy-AM" w:eastAsia="en-US"/>
        </w:rPr>
        <w:t xml:space="preserve"> «</w:t>
      </w:r>
      <w:r w:rsidRPr="00D33B44">
        <w:rPr>
          <w:rFonts w:cs="GHEA Grapalat"/>
          <w:b w:val="0"/>
          <w:szCs w:val="22"/>
          <w:lang w:val="hy-AM" w:eastAsia="en-US"/>
        </w:rPr>
        <w:t>Բարձրագույն կրթության որակի ապահովման ծառայություններ</w:t>
      </w:r>
      <w:r w:rsidRPr="00D33B44">
        <w:rPr>
          <w:b w:val="0"/>
          <w:color w:val="000000"/>
          <w:lang w:val="hy-AM" w:eastAsia="en-US"/>
        </w:rPr>
        <w:t>» միջոցառման գծով</w:t>
      </w:r>
      <w:r w:rsidRPr="00D33B44">
        <w:rPr>
          <w:rFonts w:cs="GHEA Grapalat"/>
          <w:b w:val="0"/>
          <w:szCs w:val="22"/>
          <w:lang w:val="hy-AM" w:eastAsia="en-US"/>
        </w:rPr>
        <w:t xml:space="preserve"> նախատեսվել է 63.8 մլն դրամ (</w:t>
      </w:r>
      <w:r w:rsidRPr="00D33B44">
        <w:rPr>
          <w:b w:val="0"/>
          <w:color w:val="000000"/>
          <w:lang w:val="hy-AM" w:eastAsia="en-US"/>
        </w:rPr>
        <w:t>2020</w:t>
      </w:r>
      <w:r w:rsidRPr="00D33B44">
        <w:rPr>
          <w:b w:val="0"/>
          <w:lang w:val="hy-AM" w:eastAsia="en-US"/>
        </w:rPr>
        <w:t xml:space="preserve"> թվականին նշված ծախսերը նախատեսված են եղել </w:t>
      </w:r>
      <w:r w:rsidRPr="00D33B44">
        <w:rPr>
          <w:b w:val="0"/>
          <w:color w:val="000000"/>
          <w:lang w:val="hy-AM" w:eastAsia="en-US"/>
        </w:rPr>
        <w:t xml:space="preserve">«1192 </w:t>
      </w:r>
      <w:r w:rsidRPr="00D33B44">
        <w:rPr>
          <w:b w:val="0"/>
          <w:lang w:val="hy-AM" w:eastAsia="en-US"/>
        </w:rPr>
        <w:t>Կրթության որակի ապահովում</w:t>
      </w:r>
      <w:r w:rsidRPr="00D33B44">
        <w:rPr>
          <w:b w:val="0"/>
          <w:color w:val="000000"/>
          <w:lang w:val="hy-AM" w:eastAsia="en-US"/>
        </w:rPr>
        <w:t>»</w:t>
      </w:r>
      <w:r w:rsidRPr="00D33B44">
        <w:rPr>
          <w:b w:val="0"/>
          <w:lang w:val="hy-AM" w:eastAsia="en-US"/>
        </w:rPr>
        <w:t xml:space="preserve"> ծրագրի </w:t>
      </w:r>
      <w:r w:rsidRPr="00D33B44">
        <w:rPr>
          <w:b w:val="0"/>
          <w:color w:val="000000"/>
          <w:lang w:val="hy-AM" w:eastAsia="en-US"/>
        </w:rPr>
        <w:t>«</w:t>
      </w:r>
      <w:r w:rsidRPr="00D33B44">
        <w:rPr>
          <w:b w:val="0"/>
          <w:lang w:val="hy-AM" w:eastAsia="en-US"/>
        </w:rPr>
        <w:t>Նախնական, միջին մասնագիտական և բարձրագույն կրթության որակի ապահովման ծառայություններ</w:t>
      </w:r>
      <w:r w:rsidRPr="00D33B44">
        <w:rPr>
          <w:b w:val="0"/>
          <w:color w:val="000000"/>
          <w:lang w:val="hy-AM" w:eastAsia="en-US"/>
        </w:rPr>
        <w:t>» միջոցառման շրջանակներում</w:t>
      </w:r>
      <w:r w:rsidRPr="00D33B44">
        <w:rPr>
          <w:b w:val="0"/>
          <w:lang w:val="hy-AM" w:eastAsia="en-US"/>
        </w:rPr>
        <w:t>):</w:t>
      </w:r>
    </w:p>
    <w:p w:rsidR="00D33B44" w:rsidRPr="00D33B44" w:rsidRDefault="00D33B44" w:rsidP="007730AA">
      <w:pPr>
        <w:spacing w:before="0" w:line="276" w:lineRule="auto"/>
        <w:ind w:firstLine="540"/>
        <w:rPr>
          <w:b w:val="0"/>
          <w:lang w:val="hy-AM" w:eastAsia="en-US"/>
        </w:rPr>
      </w:pPr>
      <w:r w:rsidRPr="00D33B44">
        <w:rPr>
          <w:b w:val="0"/>
          <w:lang w:val="hy-AM" w:eastAsia="en-US"/>
        </w:rPr>
        <w:t xml:space="preserve">Ծրագրի շրջանակներում «Ասպիրանտական և դոկտորանտական կրթաթոշակներ» միջոցառման գծով նախատեսվել է 47.5 մլն դրամ՝ 2020 թվականի 35.0 մլն դրամի դիմաց կամ՝ 12.5 մլն դրամով ավել, այն ուղղվելու է 102 ասպիրանտների կրթաթոշակ տրամադրելուն: </w:t>
      </w:r>
    </w:p>
    <w:p w:rsidR="00D33B44" w:rsidRPr="00D33B44" w:rsidRDefault="00D33B44" w:rsidP="007730AA">
      <w:pPr>
        <w:spacing w:before="0" w:line="276" w:lineRule="auto"/>
        <w:ind w:firstLine="540"/>
        <w:rPr>
          <w:b w:val="0"/>
          <w:color w:val="000000"/>
          <w:lang w:val="hy-AM" w:eastAsia="en-US"/>
        </w:rPr>
      </w:pPr>
      <w:r w:rsidRPr="00D33B44">
        <w:rPr>
          <w:b w:val="0"/>
          <w:color w:val="000000"/>
          <w:lang w:val="hy-AM" w:eastAsia="en-US"/>
        </w:rPr>
        <w:t>«Հանրակրթության ծրագրի» գծով նախատեսվել է 103,163.0</w:t>
      </w:r>
      <w:r w:rsidRPr="00D33B44">
        <w:rPr>
          <w:rFonts w:ascii="Times New Roman" w:hAnsi="Times New Roman" w:cs="GHEA Grapalat"/>
          <w:b w:val="0"/>
          <w:sz w:val="20"/>
          <w:szCs w:val="20"/>
          <w:lang w:val="hy-AM" w:eastAsia="en-US"/>
        </w:rPr>
        <w:t xml:space="preserve"> </w:t>
      </w:r>
      <w:r w:rsidRPr="00D33B44">
        <w:rPr>
          <w:b w:val="0"/>
          <w:color w:val="000000"/>
          <w:lang w:val="hy-AM" w:eastAsia="en-US"/>
        </w:rPr>
        <w:t>մլն դրամ՝ 2020 թվականի 99,854.7 մլն դրամի դիմաց, ծախսերի աճը կազմում է 3,308.3 մլն դրամ կամ 3.3 տոկոս՝ պայմանավորված սովորողների թվաքանակների փոփոխությամբ: Ծրագրի շրջանակներում միջոցներ են նախատեսվել պարտադիր կրթության երեք մակարդակներում սովորողների ուսուցման գծով: «Տարրական ընդհանուր հանրակրթություն», «Հ</w:t>
      </w:r>
      <w:r w:rsidRPr="00D33B44">
        <w:rPr>
          <w:b w:val="0"/>
          <w:lang w:val="hy-AM" w:eastAsia="en-US"/>
        </w:rPr>
        <w:t xml:space="preserve">իմնական ընդհանուր հանրակրթություն», «Միջնակարգ ընդհանուր հանրակրթություն», «Նախադպրոցական կրթություն» և «Միջնակարգ հանրակրթություն երեկոյան դպրոցում (Շիրակի մարզ)» միջոցառումների </w:t>
      </w:r>
      <w:r w:rsidRPr="00D33B44">
        <w:rPr>
          <w:b w:val="0"/>
          <w:color w:val="000000"/>
          <w:lang w:val="hy-AM" w:eastAsia="en-US"/>
        </w:rPr>
        <w:t>գծով նախատեսվել է՝ ընդամենը, 93,233.5 մլն դրամ՝ 2020 թվականի 91,302.3 մլն դրամի դիմաց, ծախսերի աճը կազմում է 1,931.2 մլն դրամ կամ 2.1 տոկոս` պայմանավորված  հետևյալով.</w:t>
      </w:r>
    </w:p>
    <w:p w:rsidR="00D33B44" w:rsidRPr="00D33B44" w:rsidRDefault="00D33B44" w:rsidP="007730AA">
      <w:pPr>
        <w:spacing w:before="0" w:line="276" w:lineRule="auto"/>
        <w:ind w:firstLine="540"/>
        <w:rPr>
          <w:b w:val="0"/>
          <w:lang w:val="hy-AM" w:eastAsia="en-US"/>
        </w:rPr>
      </w:pPr>
      <w:r w:rsidRPr="00D33B44">
        <w:rPr>
          <w:b w:val="0"/>
          <w:color w:val="000000"/>
          <w:lang w:val="hy-AM" w:eastAsia="en-US"/>
        </w:rPr>
        <w:t>ա) մանկավարժների աշխատավարձի ֆոնդի գծով ծախսերի աճը, սովորողների թվաքանակների փոփոխությամբ պայմանավորված, նախատեսվել է 2,276.4 մլն դրամի չափով:</w:t>
      </w:r>
      <w:r w:rsidRPr="00D33B44">
        <w:rPr>
          <w:rFonts w:ascii="Times New Roman" w:hAnsi="Times New Roman" w:cs="Arial"/>
          <w:b w:val="0"/>
          <w:sz w:val="20"/>
          <w:szCs w:val="20"/>
          <w:lang w:val="hy-AM" w:eastAsia="en-US"/>
        </w:rPr>
        <w:t xml:space="preserve"> </w:t>
      </w:r>
      <w:r w:rsidRPr="00D33B44">
        <w:rPr>
          <w:b w:val="0"/>
          <w:color w:val="000000"/>
          <w:lang w:val="hy-AM" w:eastAsia="en-US"/>
        </w:rPr>
        <w:t>Շարունակվելու է համընդհանուր ներառական կրթության ընդլայնման քաղաքականությունը և</w:t>
      </w:r>
      <w:r w:rsidRPr="00D33B44">
        <w:rPr>
          <w:rFonts w:ascii="Times New Roman" w:hAnsi="Times New Roman" w:cs="Arial Armenian"/>
          <w:b w:val="0"/>
          <w:sz w:val="20"/>
          <w:szCs w:val="20"/>
          <w:lang w:val="hy-AM" w:eastAsia="en-US"/>
        </w:rPr>
        <w:t xml:space="preserve"> </w:t>
      </w:r>
      <w:r w:rsidRPr="00D33B44">
        <w:rPr>
          <w:b w:val="0"/>
          <w:color w:val="000000"/>
          <w:lang w:val="hy-AM" w:eastAsia="en-US"/>
        </w:rPr>
        <w:t>մինչև 2022 թվականը բոլոր մարզերը կանցնեն համընդհանուր ներառական կրթության, որով պայմանավորված՝ հաշվարկներում համապատասխան միջոցներ են նախատեսվել ՀՀ Արագածոտնի, Արմավիրի,</w:t>
      </w:r>
      <w:r w:rsidRPr="00D33B44">
        <w:rPr>
          <w:b w:val="0"/>
          <w:lang w:val="hy-AM" w:eastAsia="en-US"/>
        </w:rPr>
        <w:t xml:space="preserve"> Գեղարքունիքի, Լոռու, Կոտայքի, Շիրակի, Սյունիքի, Տավուշի մարզերում, Երևան քաղաքում, իսկ 2021 թվականի սեպտեմբերից՝ նաև ՀՀ Արարատի և Վայոց ձորի մարզերում համընդհանուր ներառական կրթության իրականացման գծով: </w:t>
      </w:r>
    </w:p>
    <w:p w:rsidR="00D33B44" w:rsidRPr="00D33B44" w:rsidRDefault="00D33B44" w:rsidP="007730AA">
      <w:pPr>
        <w:spacing w:before="0" w:line="276" w:lineRule="auto"/>
        <w:ind w:firstLine="540"/>
        <w:rPr>
          <w:b w:val="0"/>
          <w:lang w:val="hy-AM" w:eastAsia="en-US"/>
        </w:rPr>
      </w:pPr>
      <w:r w:rsidRPr="00D33B44">
        <w:rPr>
          <w:b w:val="0"/>
          <w:lang w:val="hy-AM" w:eastAsia="en-US"/>
        </w:rPr>
        <w:t>բ) Ներկայումս հանրապետության 7 մարզերում (Արագածոտն, Արարատ, Շիրակ, Սյունիք, Վայոց ձոր, Տավուշ,  2020 թվականի սեպտեմբերից՝ Գեղարքունիք) իրականացվում է «Կայուն դպրոցական սնունդ» ծրագիրը: 2021 թվականին ծրագիրը կներդրվի Լոռու մարզում, արդյունքում՝ սննդով կապահովվեն նշված մարզերի հանրակրթական դպրոցների տարրական դասարաններում և դպրոցին նախապատրաստման խմբերում (նախակրթարաններում) ընդգրկված, շուրջ 79.3 հազար երեխաները, որոնցից 13.3 հազարը՝ 2021 թվականի սեպտեմբերից ՀՀ Լոռու մարզպետարանի ենթակայության հանրակրթական դպրոցներում (2020 թվականին սննդով կապահովվեն շուրջ 65.9 հազար երեխաներ):</w:t>
      </w:r>
    </w:p>
    <w:p w:rsidR="00D33B44" w:rsidRPr="00D33B44" w:rsidRDefault="00D33B44" w:rsidP="007730AA">
      <w:pPr>
        <w:spacing w:before="0" w:line="276" w:lineRule="auto"/>
        <w:ind w:firstLine="540"/>
        <w:rPr>
          <w:b w:val="0"/>
          <w:color w:val="000000"/>
          <w:lang w:val="hy-AM" w:eastAsia="en-US"/>
        </w:rPr>
      </w:pPr>
      <w:r w:rsidRPr="00D33B44">
        <w:rPr>
          <w:b w:val="0"/>
          <w:color w:val="000000"/>
          <w:lang w:val="hy-AM" w:eastAsia="en-US"/>
        </w:rPr>
        <w:t xml:space="preserve"> Նախագծով ծախսերը հաշվարկվել են 1337 հանրակրթական դպրոցների, միջին տարեկան հաշվարկով, 402.3 հազար աշակերտի ուսուցման գծով` 2020 թվականի 398.4 հազարի դիմաց կամ` աշակերտների թվաքանակի ավելացումը կազմում է 3.9 հազար (ընդ որում, հաշվարկներում նախադպրոցական կրթության մեջ ընդգրկվածների թվաքանակը նախատեսվել է 7.9 հազար` 2020 թվականի 7.6 հազարի դիմաց կամ` ավելացումը կազմում է 0.3 հազար երեխա, իսկ հանրակրթական դպրոցների սովորողների թիվը` 394.4 հազար աշակերտ` 2020 թվականի 390.8 հազարի դիմաց կամ՝ ավելացումը կազմում է 3.6 հազար աշակերտ): </w:t>
      </w:r>
    </w:p>
    <w:p w:rsidR="00D33B44" w:rsidRPr="00D33B44" w:rsidRDefault="00D33B44" w:rsidP="007730AA">
      <w:pPr>
        <w:spacing w:before="0" w:line="276" w:lineRule="auto"/>
        <w:ind w:firstLine="540"/>
        <w:rPr>
          <w:b w:val="0"/>
          <w:color w:val="000000"/>
          <w:lang w:val="hy-AM" w:eastAsia="en-US"/>
        </w:rPr>
      </w:pPr>
      <w:r w:rsidRPr="00D33B44">
        <w:rPr>
          <w:b w:val="0"/>
          <w:color w:val="000000"/>
          <w:lang w:val="hy-AM" w:eastAsia="en-US"/>
        </w:rPr>
        <w:t>«Հանրակրթության ծրագրի» շրջանակներում «Տարրական հատուկ հանրակրթություն», «Հիմնական հատուկ հանրակրթություն» և «Միջնակարգ հատուկ հանրակրթություն» միջոցառումների գծով նախատեսվել է՝ ընդամենը, 1,121.6 մլն դրամ՝ 2020 թվականի 1,527.4 մլն դրամի դիմաց, ծախսերը նվազել են 405.8 մլն դրամով կամ 26.6 տոկոսով (ծախսերը նախատեսվել են 0.6 հազար սաների  ուսուցման կազմակերպման գծով` 2020 թվականի շուրջ 0.8 հազար սանի դիմաց</w:t>
      </w:r>
      <w:r w:rsidRPr="00D33B44">
        <w:rPr>
          <w:rFonts w:cs="GHEA Grapalat"/>
          <w:b w:val="0"/>
          <w:szCs w:val="22"/>
          <w:lang w:val="hy-AM" w:eastAsia="en-US"/>
        </w:rPr>
        <w:t>):</w:t>
      </w:r>
      <w:r w:rsidRPr="00D33B44">
        <w:rPr>
          <w:b w:val="0"/>
          <w:color w:val="000000"/>
          <w:lang w:val="hy-AM" w:eastAsia="en-US"/>
        </w:rPr>
        <w:t xml:space="preserve"> </w:t>
      </w:r>
    </w:p>
    <w:p w:rsidR="00D33B44" w:rsidRPr="00D33B44" w:rsidRDefault="00D33B44" w:rsidP="007730AA">
      <w:pPr>
        <w:spacing w:before="0" w:line="276" w:lineRule="auto"/>
        <w:ind w:firstLine="540"/>
        <w:rPr>
          <w:b w:val="0"/>
          <w:color w:val="000000"/>
          <w:lang w:val="hy-AM" w:eastAsia="en-US"/>
        </w:rPr>
      </w:pPr>
      <w:r w:rsidRPr="00D33B44">
        <w:rPr>
          <w:b w:val="0"/>
          <w:color w:val="000000"/>
          <w:lang w:val="hy-AM" w:eastAsia="en-US"/>
        </w:rPr>
        <w:t xml:space="preserve">«Հանրակրթության ծրագրի» շրջանակներում «Ներառական կրթություն տարրական դպրոցում», «Ներառական կրթություն միջին դպրոցում» և «Ներառական կրթություն ավագ դպրոցում» միջոցառումների գծով նախատեսվել է՝ ընդամենը, 350.7 մլն դրամ՝ 2020 թվականի 615.2 մլն դրամի դիմաց, ծախսերի նվազումը կազմում է 264.5 մլն դրամ կամ 43.0 տոկոս:  Ծախսերը նախատեսվել են կրթության առանձնահատուկ պայմանների կարիք ունեցող, միջին տարեկան հաշվարկով, շուրջ 0.5 հազար երեխաների ուսուցման կազմակերպման գծով` 2020 թվականի շուրջ 1.0 հազարի դիմաց: </w:t>
      </w:r>
    </w:p>
    <w:p w:rsidR="00D33B44" w:rsidRPr="00D33B44" w:rsidRDefault="00D33B44" w:rsidP="007730AA">
      <w:pPr>
        <w:spacing w:before="0" w:line="276" w:lineRule="auto"/>
        <w:ind w:firstLine="540"/>
        <w:rPr>
          <w:b w:val="0"/>
          <w:color w:val="000000"/>
          <w:lang w:val="hy-AM" w:eastAsia="en-US"/>
        </w:rPr>
      </w:pPr>
      <w:r w:rsidRPr="00D33B44">
        <w:rPr>
          <w:b w:val="0"/>
          <w:color w:val="000000"/>
          <w:lang w:val="hy-AM" w:eastAsia="en-US"/>
        </w:rPr>
        <w:t>«Հանրակրթության ծրագրի» շրջանակներում «Տարրական մասնագիտացված հանրակրթություն», «Հիմնական մասնագիտացված հանրակրթություն» և «Միջնակարգ մասնագիտացված հանրակրթություն» միջոցառումների գծով նախատեսվել է՝ ընդամենը, 4,452.5 մլն դրամ՝ 2020 թվականի 3,483.4 մլն դրամի դիմաց, ծախսերի աճը կազմում է 969.1 մլն դրամ կամ 27.8 տոկոս (</w:t>
      </w:r>
      <w:r w:rsidRPr="00D33B44">
        <w:rPr>
          <w:rFonts w:cs="GHEA Grapalat"/>
          <w:b w:val="0"/>
          <w:szCs w:val="22"/>
          <w:lang w:val="hy-AM" w:eastAsia="en-US"/>
        </w:rPr>
        <w:t>ծ</w:t>
      </w:r>
      <w:r w:rsidRPr="00D33B44">
        <w:rPr>
          <w:b w:val="0"/>
          <w:color w:val="000000"/>
          <w:lang w:val="hy-AM" w:eastAsia="en-US"/>
        </w:rPr>
        <w:t>ախսերը նախատեսվել են 4.1 հազար սովորողի ուսուցման գծով՝ 2020 թվականի շուրջ 3.3 հազարի դիմաց</w:t>
      </w:r>
      <w:r w:rsidRPr="00D33B44">
        <w:rPr>
          <w:rFonts w:cs="GHEA Grapalat"/>
          <w:b w:val="0"/>
          <w:szCs w:val="22"/>
          <w:lang w:val="hy-AM" w:eastAsia="en-US"/>
        </w:rPr>
        <w:t>):</w:t>
      </w:r>
      <w:r w:rsidRPr="00D33B44">
        <w:rPr>
          <w:b w:val="0"/>
          <w:color w:val="000000"/>
          <w:lang w:val="hy-AM" w:eastAsia="en-US"/>
        </w:rPr>
        <w:t xml:space="preserve"> </w:t>
      </w:r>
    </w:p>
    <w:p w:rsidR="00D33B44" w:rsidRPr="00D33B44" w:rsidRDefault="00D33B44" w:rsidP="007730AA">
      <w:pPr>
        <w:spacing w:before="0" w:line="276" w:lineRule="auto"/>
        <w:ind w:firstLine="540"/>
        <w:rPr>
          <w:b w:val="0"/>
          <w:lang w:val="hy-AM" w:eastAsia="en-US"/>
        </w:rPr>
      </w:pPr>
      <w:r w:rsidRPr="00D33B44">
        <w:rPr>
          <w:b w:val="0"/>
          <w:lang w:val="hy-AM" w:eastAsia="en-US"/>
        </w:rPr>
        <w:t>«</w:t>
      </w:r>
      <w:r w:rsidRPr="00D33B44">
        <w:rPr>
          <w:b w:val="0"/>
          <w:color w:val="000000"/>
          <w:lang w:val="hy-AM" w:eastAsia="en-US"/>
        </w:rPr>
        <w:t>Դպրոցականների օլիմպիադաների անցկացում</w:t>
      </w:r>
      <w:r w:rsidRPr="00D33B44">
        <w:rPr>
          <w:b w:val="0"/>
          <w:lang w:val="hy-AM" w:eastAsia="en-US"/>
        </w:rPr>
        <w:t>» միջոցառման գծով նախատեսվել է 52.0 մլն դրամ՝ 2020 թվականի 61.1 մլն դրամի դիմաց, «Օժանդակություն «Հայ-չինական բարեկամության դպրոց» հիմնադրամին» միջոցառման գծով՝ 20.8 մլն դրամ՝  2020 թվականի 38.6  մլն դրամի դիմաց:</w:t>
      </w:r>
    </w:p>
    <w:p w:rsidR="00D33B44" w:rsidRPr="00D33B44" w:rsidRDefault="00D33B44" w:rsidP="007730AA">
      <w:pPr>
        <w:spacing w:before="0" w:line="276" w:lineRule="auto"/>
        <w:ind w:firstLine="540"/>
        <w:rPr>
          <w:b w:val="0"/>
          <w:lang w:val="hy-AM" w:eastAsia="en-US"/>
        </w:rPr>
      </w:pPr>
      <w:r w:rsidRPr="00D33B44">
        <w:rPr>
          <w:b w:val="0"/>
          <w:lang w:val="hy-AM" w:eastAsia="en-US"/>
        </w:rPr>
        <w:t xml:space="preserve">«Հանրակրթության ծրագրի» շրջանակներում «Կրթական հաստատությունների աշակերտներին դասագրքերով և ուսումնական գրականությամբ ապահովում» միջոցառման գծով 2021 թվականին նախատեսվում է հատկացնել 1,170.4 մլն դրամ՝ 2020 թվականի 780.3 մլն դրամի դիմաց կամ՝ ծախսերի աճը կազմել է 390.1 մլն դրամ: </w:t>
      </w:r>
    </w:p>
    <w:p w:rsidR="00D33B44" w:rsidRPr="00D33B44" w:rsidRDefault="00D33B44" w:rsidP="007730AA">
      <w:pPr>
        <w:spacing w:before="0" w:line="276" w:lineRule="auto"/>
        <w:ind w:firstLine="540"/>
        <w:rPr>
          <w:b w:val="0"/>
          <w:lang w:val="hy-AM" w:eastAsia="en-US"/>
        </w:rPr>
      </w:pPr>
      <w:r w:rsidRPr="00D33B44">
        <w:rPr>
          <w:b w:val="0"/>
          <w:lang w:val="hy-AM" w:eastAsia="en-US"/>
        </w:rPr>
        <w:t xml:space="preserve">«Դպրոցներում STEM կրթության և ռոբոտատեխնիկայի զարգացման իրականացում» միջոցառման գծով նախատեսվել է 767.0 մլն դրամ՝ 2020 թվականի 671.7 մլն դրամի դիմաց  կամ՝ ծախսերի աճը կազմել է 95.3 մլն դրամ (ծախսերը նախատեսվել են ինժեներական 760 լաբորատորիաների խմբակավարների վարձատրության գծով, 2020 թվականի՝ ռոբոտաշինության 30 խմբակների և  ինժեներական 676 լաբորատորիաների դիմաց): </w:t>
      </w:r>
    </w:p>
    <w:p w:rsidR="00D33B44" w:rsidRPr="00D33B44" w:rsidRDefault="00D33B44" w:rsidP="007730AA">
      <w:pPr>
        <w:spacing w:before="0" w:line="276" w:lineRule="auto"/>
        <w:ind w:firstLine="540"/>
        <w:rPr>
          <w:b w:val="0"/>
          <w:lang w:val="hy-AM" w:eastAsia="en-US"/>
        </w:rPr>
      </w:pPr>
      <w:r w:rsidRPr="00D33B44">
        <w:rPr>
          <w:rFonts w:ascii="Times New Roman" w:hAnsi="Times New Roman" w:cs="Arial"/>
          <w:b w:val="0"/>
          <w:sz w:val="20"/>
          <w:szCs w:val="20"/>
          <w:lang w:val="hy-AM" w:eastAsia="en-US"/>
        </w:rPr>
        <w:t>«</w:t>
      </w:r>
      <w:r w:rsidRPr="00D33B44">
        <w:rPr>
          <w:b w:val="0"/>
          <w:color w:val="000000"/>
          <w:lang w:val="hy-AM" w:eastAsia="en-US"/>
        </w:rPr>
        <w:t xml:space="preserve">Գնահատման և թեստավորման ծառայություններ» միջոցառման գծով նախատեսվել է 563.0 մլն դրամ </w:t>
      </w:r>
      <w:r w:rsidRPr="00D33B44">
        <w:rPr>
          <w:rFonts w:cs="GHEA Grapalat"/>
          <w:b w:val="0"/>
          <w:szCs w:val="22"/>
          <w:lang w:val="hy-AM" w:eastAsia="en-US"/>
        </w:rPr>
        <w:t>(</w:t>
      </w:r>
      <w:r w:rsidRPr="00D33B44">
        <w:rPr>
          <w:b w:val="0"/>
          <w:color w:val="000000"/>
          <w:lang w:val="hy-AM" w:eastAsia="en-US"/>
        </w:rPr>
        <w:t>2020</w:t>
      </w:r>
      <w:r w:rsidRPr="00D33B44">
        <w:rPr>
          <w:b w:val="0"/>
          <w:lang w:val="hy-AM" w:eastAsia="en-US"/>
        </w:rPr>
        <w:t xml:space="preserve"> թվականին նշված միջոցառման գծով ծախսերը՝ 548.2 մլն դրամի չափով, նախատեսված են եղել </w:t>
      </w:r>
      <w:r w:rsidRPr="00D33B44">
        <w:rPr>
          <w:b w:val="0"/>
          <w:color w:val="000000"/>
          <w:lang w:val="hy-AM" w:eastAsia="en-US"/>
        </w:rPr>
        <w:t xml:space="preserve">«1192 </w:t>
      </w:r>
      <w:r w:rsidRPr="00D33B44">
        <w:rPr>
          <w:b w:val="0"/>
          <w:lang w:val="hy-AM" w:eastAsia="en-US"/>
        </w:rPr>
        <w:t>Կրթության որակի ապահովում</w:t>
      </w:r>
      <w:r w:rsidRPr="00D33B44">
        <w:rPr>
          <w:b w:val="0"/>
          <w:color w:val="000000"/>
          <w:lang w:val="hy-AM" w:eastAsia="en-US"/>
        </w:rPr>
        <w:t>»</w:t>
      </w:r>
      <w:r w:rsidRPr="00D33B44">
        <w:rPr>
          <w:b w:val="0"/>
          <w:lang w:val="hy-AM" w:eastAsia="en-US"/>
        </w:rPr>
        <w:t xml:space="preserve"> ծրագրի </w:t>
      </w:r>
      <w:r w:rsidRPr="00D33B44">
        <w:rPr>
          <w:b w:val="0"/>
          <w:color w:val="000000"/>
          <w:lang w:val="hy-AM" w:eastAsia="en-US"/>
        </w:rPr>
        <w:t>շրջանակներում</w:t>
      </w:r>
      <w:r w:rsidRPr="00D33B44">
        <w:rPr>
          <w:b w:val="0"/>
          <w:lang w:val="hy-AM" w:eastAsia="en-US"/>
        </w:rPr>
        <w:t xml:space="preserve">): </w:t>
      </w:r>
    </w:p>
    <w:p w:rsidR="00D33B44" w:rsidRPr="00D33B44" w:rsidRDefault="00D33B44" w:rsidP="007730AA">
      <w:pPr>
        <w:spacing w:before="0" w:line="276" w:lineRule="auto"/>
        <w:ind w:firstLine="540"/>
        <w:rPr>
          <w:b w:val="0"/>
          <w:lang w:val="hy-AM" w:eastAsia="en-US"/>
        </w:rPr>
      </w:pPr>
      <w:r w:rsidRPr="00D33B44">
        <w:rPr>
          <w:b w:val="0"/>
          <w:lang w:val="hy-AM" w:eastAsia="en-US"/>
        </w:rPr>
        <w:t>«Հանրակրթական դպրոցների մանկավարժներին և դպրոցահասակ երեխաներին տրանսպորտային ծախսերի փոխհատուցում» միջոցառման գծով նախատեսվել է շուրջ 332.3 մլն դրամ՝ 2020 թվականի շուրջ 276.0 մլն դրամի դիմաց, կամ՝ ծախսերի աճը կազմել է 56.3 մլն դրամ:</w:t>
      </w:r>
    </w:p>
    <w:p w:rsidR="00D33B44" w:rsidRPr="00D33B44" w:rsidRDefault="00D33B44" w:rsidP="007730AA">
      <w:pPr>
        <w:spacing w:before="0" w:line="276" w:lineRule="auto"/>
        <w:ind w:firstLine="540"/>
        <w:rPr>
          <w:b w:val="0"/>
          <w:lang w:val="hy-AM" w:eastAsia="en-US"/>
        </w:rPr>
      </w:pPr>
      <w:r w:rsidRPr="00D33B44">
        <w:rPr>
          <w:b w:val="0"/>
          <w:lang w:val="hy-AM" w:eastAsia="en-US"/>
        </w:rPr>
        <w:t xml:space="preserve"> «Արտադպրոցական դաստիարակության ծրագրի» գծով 2021 թվականին նախատեսվել է 3,839.9 մլն դրամ՝ 2020 թվականի 4,546.4 մլն դրամի դիմաց, ծախսերի նվազումը կազմում է 706.5 մլն դրամ կամ 15.5 տոկոս՝ պայմանավորված ոլորտի գերակայություններով և ծախսային առաջնահերթություններով: 2021 թվականին </w:t>
      </w:r>
      <w:r w:rsidRPr="00D33B44">
        <w:rPr>
          <w:rFonts w:cs="GHEA Grapalat"/>
          <w:b w:val="0"/>
          <w:szCs w:val="22"/>
          <w:lang w:val="hy-AM" w:eastAsia="en-US"/>
        </w:rPr>
        <w:t>«</w:t>
      </w:r>
      <w:r w:rsidRPr="00D33B44">
        <w:rPr>
          <w:b w:val="0"/>
          <w:lang w:val="hy-AM" w:eastAsia="en-US"/>
        </w:rPr>
        <w:t>Դպրոցականների  հանրապետական սպարտակիադայի անցկացում</w:t>
      </w:r>
      <w:r w:rsidRPr="00D33B44">
        <w:rPr>
          <w:rFonts w:cs="GHEA Grapalat"/>
          <w:b w:val="0"/>
          <w:szCs w:val="22"/>
          <w:lang w:val="hy-AM" w:eastAsia="en-US"/>
        </w:rPr>
        <w:t>» միջոցառման գծով ծախսերը նախատեսվել են սպորտի ոլորտի գծով նախատեսված հատկացումներում: 2021 թվականին չեն</w:t>
      </w:r>
      <w:r w:rsidRPr="00D33B44">
        <w:rPr>
          <w:b w:val="0"/>
          <w:lang w:val="hy-AM" w:eastAsia="en-US"/>
        </w:rPr>
        <w:t xml:space="preserve"> նախատեսվել որոշ միջոցառումների գծով 2020 թվականին նախատեսված ծախսերը, մասնավորապես. </w:t>
      </w:r>
      <w:r w:rsidRPr="00D33B44">
        <w:rPr>
          <w:rFonts w:cs="GHEA Grapalat"/>
          <w:b w:val="0"/>
          <w:szCs w:val="22"/>
          <w:lang w:val="hy-AM" w:eastAsia="en-US"/>
        </w:rPr>
        <w:t xml:space="preserve">«Դպրոցականների ամառային հանգստի կազմակերպում և տրանսպորտային ծախսերի փոխհատուցում»՝  </w:t>
      </w:r>
      <w:r w:rsidRPr="00D33B44">
        <w:rPr>
          <w:b w:val="0"/>
          <w:lang w:val="hy-AM" w:eastAsia="en-US"/>
        </w:rPr>
        <w:t xml:space="preserve">501.2 մլն դրամ, </w:t>
      </w:r>
      <w:r w:rsidRPr="00D33B44">
        <w:rPr>
          <w:b w:val="0"/>
          <w:lang w:val="hy-AM" w:eastAsia="en-US"/>
        </w:rPr>
        <w:tab/>
        <w:t>«Գրադարանային ֆոնդի համալրում»՝ 88.0 մլն դրամ, «Գիմնազիադա» համաշխարհային խաղերի մասնակցություն»՝ 37.3 մլն դրամ:</w:t>
      </w:r>
    </w:p>
    <w:p w:rsidR="00D33B44" w:rsidRPr="00D33B44" w:rsidRDefault="00D33B44" w:rsidP="007730AA">
      <w:pPr>
        <w:spacing w:before="0" w:line="276" w:lineRule="auto"/>
        <w:ind w:firstLine="540"/>
        <w:rPr>
          <w:b w:val="0"/>
          <w:lang w:val="hy-AM" w:eastAsia="en-US"/>
        </w:rPr>
      </w:pPr>
      <w:r w:rsidRPr="00D33B44">
        <w:rPr>
          <w:b w:val="0"/>
          <w:lang w:val="hy-AM" w:eastAsia="en-US"/>
        </w:rPr>
        <w:t>«Արտադպրոցական դաստիարակություն» և «Արտադպրոցական դաստիարակություն հասարակական կազմակերպություների կողմից» միջոցառումների գծով ծախսերը նվազել են,</w:t>
      </w:r>
      <w:r w:rsidRPr="00D33B44">
        <w:rPr>
          <w:b w:val="0"/>
          <w:color w:val="FF0000"/>
          <w:lang w:val="hy-AM" w:eastAsia="en-US"/>
        </w:rPr>
        <w:t xml:space="preserve"> </w:t>
      </w:r>
      <w:r w:rsidRPr="00D33B44">
        <w:rPr>
          <w:b w:val="0"/>
          <w:lang w:val="hy-AM" w:eastAsia="en-US"/>
        </w:rPr>
        <w:t>համապատասխանաբար՝ 34.4 և 12.8 մլն դրամով:</w:t>
      </w:r>
    </w:p>
    <w:p w:rsidR="00D33B44" w:rsidRPr="00D33B44" w:rsidRDefault="00D33B44" w:rsidP="007730AA">
      <w:pPr>
        <w:spacing w:before="0" w:line="276" w:lineRule="auto"/>
        <w:ind w:firstLine="540"/>
        <w:rPr>
          <w:b w:val="0"/>
          <w:lang w:val="hy-AM" w:eastAsia="en-US"/>
        </w:rPr>
      </w:pPr>
      <w:r w:rsidRPr="00D33B44">
        <w:rPr>
          <w:b w:val="0"/>
          <w:lang w:val="hy-AM" w:eastAsia="en-US"/>
        </w:rPr>
        <w:t xml:space="preserve"> «Գիտական և գիտատեխնիկական հետազոտությունների ծրագրի» գծով 2021 թվականին  նախատեսվել է 13,559.7 մլն դրամ՝ 2020 թվականի 14,062.2 մլն դրամի դիմաց, ծախսերը նվազել  են 502.5 մլն դրամով կամ 3.6 տոկոսով: </w:t>
      </w:r>
    </w:p>
    <w:p w:rsidR="00D33B44" w:rsidRPr="00D33B44" w:rsidRDefault="00D33B44" w:rsidP="007730AA">
      <w:pPr>
        <w:spacing w:before="0" w:line="276" w:lineRule="auto"/>
        <w:ind w:firstLine="540"/>
        <w:rPr>
          <w:b w:val="0"/>
          <w:lang w:val="hy-AM" w:eastAsia="en-US"/>
        </w:rPr>
      </w:pPr>
      <w:r w:rsidRPr="00D33B44">
        <w:rPr>
          <w:b w:val="0"/>
          <w:color w:val="FF0000"/>
          <w:lang w:val="hy-AM" w:eastAsia="en-US"/>
        </w:rPr>
        <w:tab/>
      </w:r>
      <w:r w:rsidRPr="00D33B44">
        <w:rPr>
          <w:b w:val="0"/>
          <w:lang w:val="hy-AM" w:eastAsia="en-US"/>
        </w:rPr>
        <w:t>Վերոնշված ծրագրի շրջանակներում «Գիտական ամսագրերի և մենագրությունների հրատարակում», «Գիտական գրադարանային ծառայություններ», «Գիտատեխնիկական գրադարանային ծառայություններ» միջոցառումների գծով նախատեսվել է, ընդամենը՝ 410.4 մլն դրամ՝ պահպանելով 2020 թվականի ծախսերի մակարդակը</w:t>
      </w:r>
      <w:r w:rsidRPr="00D33B44">
        <w:rPr>
          <w:rFonts w:cs="GHEA Grapalat"/>
          <w:b w:val="0"/>
          <w:szCs w:val="22"/>
          <w:lang w:val="hy-AM" w:eastAsia="en-US"/>
        </w:rPr>
        <w:t>:</w:t>
      </w:r>
    </w:p>
    <w:p w:rsidR="00D33B44" w:rsidRPr="00D33B44" w:rsidRDefault="00D33B44" w:rsidP="007730AA">
      <w:pPr>
        <w:spacing w:before="0" w:line="276" w:lineRule="auto"/>
        <w:contextualSpacing w:val="0"/>
        <w:rPr>
          <w:b w:val="0"/>
          <w:lang w:val="hy-AM" w:eastAsia="en-US"/>
        </w:rPr>
      </w:pPr>
      <w:r w:rsidRPr="00D33B44">
        <w:rPr>
          <w:b w:val="0"/>
          <w:lang w:val="hy-AM" w:eastAsia="en-US"/>
        </w:rPr>
        <w:t>«Գիտական ենթակառուցվածքի արդիականացում» միջոցառման գծով նախատեսվել է 7,367.1 մլն դրամ՝ 2020 թվականի 7,928.8 մլն դրամի դիմաց կամ՝ 561.7 մլն դրամով պակաս: Գումարի չափը ձևավորվել է միջոցառման ցանկում ընդգրկված կազմակերպությունների կողմից ներկայացված բյուջետային հայտերի, ինչպես նաև ՀՀ ԿԳՄՍ նախարարի հրամանով ձևավորված միջգերատեսչական մրցութային հանձնաժողովի քննարկման արդյունքում եղած առաջարկությունների հիման վրա՝ գիտական կազմակերպությունների և բուհերի գիտական ստորաբաժանումների զարգացման, ծրագրերի իրականացման, գիտական սարքավորումների արդիականացման, միջազգային համագործակցության աջակցության նպատակով:</w:t>
      </w:r>
    </w:p>
    <w:p w:rsidR="00D33B44" w:rsidRPr="00D33B44" w:rsidRDefault="00D33B44" w:rsidP="007730AA">
      <w:pPr>
        <w:spacing w:before="0" w:line="276" w:lineRule="auto"/>
        <w:rPr>
          <w:b w:val="0"/>
          <w:lang w:val="hy-AM" w:eastAsia="en-US"/>
        </w:rPr>
      </w:pPr>
      <w:r w:rsidRPr="00D33B44">
        <w:rPr>
          <w:b w:val="0"/>
          <w:lang w:val="hy-AM" w:eastAsia="en-US"/>
        </w:rPr>
        <w:t xml:space="preserve"> Միջոցառման մեջ ներառվել են միջազգային գիտական կառույցներին անդամակցության և գիտատեղեկատվական շտեմարանի ռեսուրսների օգտագործման 4 ծրագրեր` «Հորիզոն Եվրոպա» շրջանակային (9-րդ) ծրագրի մասնակցություն, Միջուկային հետազոտությունների միացյալ ինստիտուտ, Բարձր էներգիաների ստերեոսկոպիկ համակարգ, Տեսական ֆիզիկայի միջազգային կենտրոն, Քլարիվելթ Անալիտիքս, որոնց համար նախատեսվել է 603.2 մլն դրամ:</w:t>
      </w:r>
    </w:p>
    <w:p w:rsidR="00D33B44" w:rsidRPr="00D33B44" w:rsidRDefault="00D33B44" w:rsidP="007730AA">
      <w:pPr>
        <w:spacing w:before="0" w:line="276" w:lineRule="auto"/>
        <w:rPr>
          <w:b w:val="0"/>
          <w:lang w:val="hy-AM" w:eastAsia="en-US"/>
        </w:rPr>
      </w:pPr>
      <w:r w:rsidRPr="00D33B44">
        <w:rPr>
          <w:b w:val="0"/>
          <w:lang w:val="hy-AM" w:eastAsia="en-US"/>
        </w:rPr>
        <w:t>Միջոցառման միջազգային գիտական համագործակցության շրջանակներում նախատեսվում է շուրջ 12 միջազգային գիտական կառույցների հետ համագործակցության նոր ծրագրերի (թվով շուրջ 96 թեմա) իրականացում, որի համար նախատեսվում է 317.3 մլն դրամ:</w:t>
      </w:r>
    </w:p>
    <w:p w:rsidR="00D33B44" w:rsidRPr="00D33B44" w:rsidRDefault="00D33B44" w:rsidP="007730AA">
      <w:pPr>
        <w:spacing w:before="0" w:line="276" w:lineRule="auto"/>
        <w:rPr>
          <w:b w:val="0"/>
          <w:lang w:val="hy-AM" w:eastAsia="en-US"/>
        </w:rPr>
      </w:pPr>
      <w:r w:rsidRPr="00D33B44">
        <w:rPr>
          <w:b w:val="0"/>
          <w:lang w:val="hy-AM" w:eastAsia="en-US"/>
        </w:rPr>
        <w:t xml:space="preserve">«Ազգային արժեք ներկայացնող գիտական օբյեկտների պահպանություն» միջոցառման գծով 2021 թվականին նախատեսվել է 1,085.9 մլն դրամ՝ Հին ձեռագրերի ինստիտուտի, Ցեղասպանության թանգարանի, Բյուրականի աստղադիտարանի, Հայկենսատեխնոլոգիայի կենսաբանական թանգարանի, ԵՊՀ գրադարանի պահպանման նպատակով, պահպանելով 2020 թվականի ծախսերի մակարդակը: </w:t>
      </w:r>
    </w:p>
    <w:p w:rsidR="00D33B44" w:rsidRPr="00D33B44" w:rsidRDefault="00D33B44" w:rsidP="007730AA">
      <w:pPr>
        <w:spacing w:before="0" w:line="276" w:lineRule="auto"/>
        <w:rPr>
          <w:b w:val="0"/>
          <w:lang w:val="hy-AM" w:eastAsia="en-US"/>
        </w:rPr>
      </w:pPr>
      <w:r w:rsidRPr="00D33B44">
        <w:rPr>
          <w:b w:val="0"/>
          <w:lang w:val="hy-AM" w:eastAsia="en-US"/>
        </w:rPr>
        <w:t>«Գիտական և գիտատեխնիկական պայմանագրային (թեմատիկ) հետազոտություններ» միջոցառման գծով նախատեսվել է 2,454.4 մլն դրամ՝ 2020 թվականի 2,300.3 մլն դրամի դիմաց կամ՝ 154.1 մլն դրամով ավել, որը պայմանավորված է</w:t>
      </w:r>
      <w:r w:rsidRPr="00D33B44">
        <w:rPr>
          <w:rFonts w:ascii="Times New Roman" w:hAnsi="Times New Roman"/>
          <w:b w:val="0"/>
          <w:sz w:val="20"/>
          <w:szCs w:val="20"/>
          <w:lang w:val="hy-AM" w:eastAsia="en-US"/>
        </w:rPr>
        <w:t xml:space="preserve"> </w:t>
      </w:r>
      <w:r w:rsidRPr="00D33B44">
        <w:rPr>
          <w:b w:val="0"/>
          <w:lang w:val="hy-AM" w:eastAsia="en-US"/>
        </w:rPr>
        <w:t>մրցութային կարգով նոր թեմաների ընդգրկմամբ:</w:t>
      </w:r>
    </w:p>
    <w:p w:rsidR="00D33B44" w:rsidRPr="00D33B44" w:rsidRDefault="00D33B44" w:rsidP="007730AA">
      <w:pPr>
        <w:spacing w:before="0" w:line="276" w:lineRule="auto"/>
        <w:rPr>
          <w:b w:val="0"/>
          <w:lang w:val="hy-AM" w:eastAsia="en-US"/>
        </w:rPr>
      </w:pPr>
      <w:r w:rsidRPr="00D33B44">
        <w:rPr>
          <w:b w:val="0"/>
          <w:lang w:val="hy-AM" w:eastAsia="en-US"/>
        </w:rPr>
        <w:t>«Գիտական և գիտատեխնիկական նպատակային-ծրագրային հետազոտություններ» միջոցառման գծով նախատեսվել է 136.0 մլն դրամ` պահպանելով 2020 թվականի ծախսերի մակարդակը:</w:t>
      </w:r>
    </w:p>
    <w:p w:rsidR="00D33B44" w:rsidRPr="00D33B44" w:rsidRDefault="00D33B44" w:rsidP="007730AA">
      <w:pPr>
        <w:spacing w:before="0" w:line="276" w:lineRule="auto"/>
        <w:rPr>
          <w:b w:val="0"/>
          <w:lang w:val="hy-AM" w:eastAsia="en-US"/>
        </w:rPr>
      </w:pPr>
      <w:r w:rsidRPr="00D33B44">
        <w:rPr>
          <w:b w:val="0"/>
          <w:lang w:val="hy-AM" w:eastAsia="en-US"/>
        </w:rPr>
        <w:t>«Բարձր էներգիաների ֆիզիկայի բնագավառի ենթակառուցվածքների արդիականացում» միջոցառման գծով 2021 թվականին նախատեսվել է 710.8 մլն դրամ՝ պահպանելով 2020 թվականի ծախսերի մակարդակը:</w:t>
      </w:r>
    </w:p>
    <w:p w:rsidR="00D33B44" w:rsidRPr="00D33B44" w:rsidRDefault="00D33B44" w:rsidP="007730AA">
      <w:pPr>
        <w:spacing w:before="0" w:line="276" w:lineRule="auto"/>
        <w:rPr>
          <w:b w:val="0"/>
          <w:lang w:val="hy-AM" w:eastAsia="en-US"/>
        </w:rPr>
      </w:pPr>
      <w:r w:rsidRPr="00D33B44">
        <w:rPr>
          <w:b w:val="0"/>
          <w:lang w:val="hy-AM" w:eastAsia="en-US"/>
        </w:rPr>
        <w:t>«Արագացուցչային տեխնոլոգիաների զարգացում» միջոցառման գծով 2021 թվականին նախատեսվել է 225.9 մլն դրամ՝ 2020 թվականի 277.5 մլն դրամի դիմաց կամ՝ 51.6 մլն դրամով պակաս:</w:t>
      </w:r>
    </w:p>
    <w:p w:rsidR="00D33B44" w:rsidRPr="00D33B44" w:rsidRDefault="00D33B44" w:rsidP="007730AA">
      <w:pPr>
        <w:spacing w:before="0" w:line="276" w:lineRule="auto"/>
        <w:rPr>
          <w:b w:val="0"/>
          <w:lang w:val="hy-AM" w:eastAsia="en-US"/>
        </w:rPr>
      </w:pPr>
      <w:r w:rsidRPr="00D33B44">
        <w:rPr>
          <w:b w:val="0"/>
          <w:lang w:val="hy-AM" w:eastAsia="en-US"/>
        </w:rPr>
        <w:t>«Անտենային էտալոնների պահպանում և զարգացում» միջոցառման գծով 2021 թվականին նախատեսվել է 45.0 մլն դրամ՝ պահպանելով 2020 թվականի ծախսերի մակարդակը:</w:t>
      </w:r>
    </w:p>
    <w:p w:rsidR="00D33B44" w:rsidRPr="00D33B44" w:rsidRDefault="00D33B44" w:rsidP="007730AA">
      <w:pPr>
        <w:spacing w:before="0" w:line="276" w:lineRule="auto"/>
        <w:rPr>
          <w:b w:val="0"/>
          <w:lang w:val="hy-AM" w:eastAsia="en-US"/>
        </w:rPr>
      </w:pPr>
      <w:r w:rsidRPr="00D33B44">
        <w:rPr>
          <w:b w:val="0"/>
          <w:lang w:val="hy-AM" w:eastAsia="en-US"/>
        </w:rPr>
        <w:t>«Գիտաշխատողներին գիտական աստիճանների համար տրվող հավելավճարներ» միջոցառման գծով նախատեսվել է 842.0 մլն դրամ՝ պահպանելով 2020 թվականի ծախսերի մակարդակը: Միջին կտրվածքով հաշվարկվել է հավելավճար գիտության 618 դոկտորների և գիտության 1570 թեկնածուների համար, համապատասխանաբար` ամսական 50.0 հազ. դրամի և 25.0 հազ. դրամի հաշվարկով:</w:t>
      </w:r>
    </w:p>
    <w:p w:rsidR="00D33B44" w:rsidRPr="00D33B44" w:rsidRDefault="00D33B44" w:rsidP="007730AA">
      <w:pPr>
        <w:spacing w:before="0" w:line="276" w:lineRule="auto"/>
        <w:rPr>
          <w:b w:val="0"/>
          <w:lang w:val="hy-AM" w:eastAsia="en-US"/>
        </w:rPr>
      </w:pPr>
      <w:r w:rsidRPr="00D33B44">
        <w:rPr>
          <w:b w:val="0"/>
          <w:lang w:val="hy-AM" w:eastAsia="en-US"/>
        </w:rPr>
        <w:t>«ՀՀ ԳԱԱ իսկական և թղթակից անդամների պատվովճարների տրամադրում» միջոցառման գծով  նախատեսվել է 139.2 մլն դրամ՝ 2020 թվականի 182.4 մլն դրամի դիմաց կամ՝ 43.2 մլն դրամով պակաս: Հաշվարկը կատարվել է 42 իսկական և 53 թղթակից անդամների համար և «Հայաստանի Հանրապետության  գիտությունների ազգային ակադեմիայի մասին» ՀՀ օրենքի 12-րդ հոդվածի 4-րդ մասի և ՀՀ կառավարության 2011 թվականի մայիսի 26-ի N 815-Ն որոշմամբ հաստատված հավելվածի 76 կետի համաձայն (ըստ որի ակադեմիայի ակադեմիկոսների և թղթակից անդամների ընտրություններն անցկացվում են ոչ ուշ, քան յուրաքանչյուր երեք տարին մեկ) ընտրված նոր ակադեմիկոսների և թղթակից անդամների համար, համապատասխանաբար` ամսական 150.0 հազ. դրամի և 100.0 հազ. դրամի հաշվարկով:</w:t>
      </w:r>
    </w:p>
    <w:p w:rsidR="00D33B44" w:rsidRPr="00D33B44" w:rsidRDefault="00D33B44" w:rsidP="007730AA">
      <w:pPr>
        <w:spacing w:before="0" w:line="276" w:lineRule="auto"/>
        <w:rPr>
          <w:b w:val="0"/>
          <w:lang w:val="hy-AM" w:eastAsia="en-US"/>
        </w:rPr>
      </w:pPr>
      <w:r w:rsidRPr="00D33B44">
        <w:rPr>
          <w:b w:val="0"/>
          <w:lang w:val="hy-AM" w:eastAsia="en-US"/>
        </w:rPr>
        <w:t>«ՀՀ ԳԱԱ ինստիտուտների տեխնիկական հագեցվածության բարելավում և արդիականացում» միջոցառման գծով 2020 թվականին նախատեսվել է 143.0 մլն դրամ՝ պահպանելով 2020 թվականի ծախսերի մակարդակը:</w:t>
      </w:r>
    </w:p>
    <w:p w:rsidR="00D33B44" w:rsidRPr="00D33B44" w:rsidRDefault="00D33B44" w:rsidP="007730AA">
      <w:pPr>
        <w:spacing w:before="0" w:line="276" w:lineRule="auto"/>
        <w:ind w:firstLine="540"/>
        <w:rPr>
          <w:b w:val="0"/>
          <w:lang w:val="hy-AM" w:eastAsia="en-US"/>
        </w:rPr>
      </w:pPr>
      <w:r w:rsidRPr="00D33B44">
        <w:rPr>
          <w:b w:val="0"/>
          <w:lang w:val="hy-AM" w:eastAsia="en-US"/>
        </w:rPr>
        <w:t xml:space="preserve"> «Ապահով դպրոց» ծրագրի գծով նախատեսվել է 1,127.0 մլն դրամ՝ 2020 թվականի 1,706.7 մլն դրամի դիմաց, ծախսերի նվազումը կազմում է 579.7 մլն դրամ, որը «Կրթական օբյեկտների շենքային պայմանների բարելավում» միջոցառման գծով է (վերջինիս գծով 2021 թվականին նախատեսվել է 57.6 մլն դրամ՝ 2020 թվականի 637.3 մլն դրամի դիմաց):</w:t>
      </w:r>
    </w:p>
    <w:p w:rsidR="00D33B44" w:rsidRPr="00D33B44" w:rsidRDefault="00D33B44" w:rsidP="007730AA">
      <w:pPr>
        <w:spacing w:before="0" w:line="276" w:lineRule="auto"/>
        <w:ind w:firstLine="539"/>
        <w:contextualSpacing w:val="0"/>
        <w:rPr>
          <w:rFonts w:cs="Arial"/>
          <w:b w:val="0"/>
          <w:szCs w:val="22"/>
          <w:lang w:val="hy-AM" w:eastAsia="en-US"/>
        </w:rPr>
      </w:pPr>
      <w:r w:rsidRPr="00D33B44">
        <w:rPr>
          <w:b w:val="0"/>
          <w:lang w:val="hy-AM" w:eastAsia="en-US"/>
        </w:rPr>
        <w:t xml:space="preserve">«Կրթության որակի ապահովում» ծրագրի գծով նախատեսվել է </w:t>
      </w:r>
      <w:r w:rsidRPr="00D33B44">
        <w:rPr>
          <w:rFonts w:cs="GHEA Grapalat"/>
          <w:b w:val="0"/>
          <w:szCs w:val="22"/>
          <w:lang w:val="hy-AM" w:eastAsia="en-US"/>
        </w:rPr>
        <w:t>6,323.5</w:t>
      </w:r>
      <w:r w:rsidRPr="00D33B44">
        <w:rPr>
          <w:b w:val="0"/>
          <w:lang w:val="hy-AM" w:eastAsia="en-US"/>
        </w:rPr>
        <w:t xml:space="preserve"> մլն դրամ՝ </w:t>
      </w:r>
      <w:r w:rsidRPr="00D33B44">
        <w:rPr>
          <w:rFonts w:cs="GHEA Grapalat"/>
          <w:b w:val="0"/>
          <w:szCs w:val="22"/>
          <w:lang w:val="hy-AM" w:eastAsia="en-US"/>
        </w:rPr>
        <w:t xml:space="preserve">2020 թվականի 7,100.1 մլն դրամի դիմաց, ծախսերը նվազել են 776.6 մլն դրամով կամ 10.9%-ով, պայմանավորված 2021 թվականին </w:t>
      </w:r>
      <w:r w:rsidRPr="00D33B44">
        <w:rPr>
          <w:rFonts w:cs="Arial"/>
          <w:b w:val="0"/>
          <w:szCs w:val="22"/>
          <w:lang w:val="hy-AM" w:eastAsia="en-US"/>
        </w:rPr>
        <w:t xml:space="preserve">Համաշխարհային բանկի աջակցությամբ իրականացվող «Կրթության բարելավման» վարկային ծրագրի ավարտով, «Կրթության ոլորտում ՏՀՏ ներդրում և շարունակականության ապահովում» միջոցառման՝ առանձին ծրագրով նախատեսմամբ, «Գնահատման և թեստավորման ծառայություններ» միջոցառման՝ «Հանրակրթության ծրագրում»  նախատեսմամբ, «Նախնական, միջին մասնագիտական և բարձրագույն կրթության որակի ապահովման ծառայություններ» միջոցառման՝ </w:t>
      </w:r>
      <w:r w:rsidRPr="00D33B44">
        <w:rPr>
          <w:b w:val="0"/>
          <w:color w:val="000000"/>
          <w:lang w:val="hy-AM" w:eastAsia="en-US"/>
        </w:rPr>
        <w:t xml:space="preserve">«Նախնական (արհեստագործական) և միջին մասնագիտական կրթություն» և </w:t>
      </w:r>
      <w:r w:rsidRPr="00D33B44">
        <w:rPr>
          <w:b w:val="0"/>
          <w:lang w:val="hy-AM" w:eastAsia="en-US"/>
        </w:rPr>
        <w:t xml:space="preserve">«Բարձրագույն և հետբուհական մասնագիտական կրթության ծրագիր» </w:t>
      </w:r>
      <w:r w:rsidRPr="00D33B44">
        <w:rPr>
          <w:rFonts w:cs="Arial"/>
          <w:b w:val="0"/>
          <w:szCs w:val="22"/>
          <w:lang w:val="hy-AM" w:eastAsia="en-US"/>
        </w:rPr>
        <w:t xml:space="preserve"> ծրագրերում նախատեսմամբ: </w:t>
      </w:r>
    </w:p>
    <w:p w:rsidR="00D33B44" w:rsidRPr="00D33B44" w:rsidRDefault="00D33B44" w:rsidP="007730AA">
      <w:pPr>
        <w:spacing w:before="0" w:line="276" w:lineRule="auto"/>
        <w:ind w:firstLine="539"/>
        <w:contextualSpacing w:val="0"/>
        <w:rPr>
          <w:b w:val="0"/>
          <w:lang w:val="hy-AM" w:eastAsia="en-US"/>
        </w:rPr>
      </w:pPr>
      <w:r w:rsidRPr="00D33B44">
        <w:rPr>
          <w:rFonts w:cs="GHEA Grapalat"/>
          <w:b w:val="0"/>
          <w:szCs w:val="22"/>
          <w:lang w:val="hy-AM" w:eastAsia="en-US"/>
        </w:rPr>
        <w:t>2021 թվականին չեն</w:t>
      </w:r>
      <w:r w:rsidRPr="00D33B44">
        <w:rPr>
          <w:b w:val="0"/>
          <w:lang w:val="hy-AM" w:eastAsia="en-US"/>
        </w:rPr>
        <w:t xml:space="preserve"> նախատեսվել նաև որոշ միջոցառումների գծով 2020 թվականին նախատեսված ծախսերը, մասնավորապես. «Կրթության, գիտության, մշակույթի, սպորտի և երիտասարդության ոլորտների այլ միջոցառումներ»՝ 194.3 մլն դրամ, «Ֆինանսական գրագիտության, ձեռնարկատիրական հմտությունների զարգացման, մասնագիտական կրթության վերաբերյալ հեռուստահաղորդաշարի ու սոցիալական հոլովակների և կարճամետրաժ խաղարկային ֆիլմերի պատրաստում»՝ 134.0 մլն դրամ, «Հանրային հատվածի կազմակերպությունների հաշվապահների վերապատրաստման դասընթացի» կազմակերպում»՝  9.7 մլն դրամ:</w:t>
      </w:r>
    </w:p>
    <w:p w:rsidR="00D33B44" w:rsidRPr="00D33B44" w:rsidRDefault="00D33B44" w:rsidP="007730AA">
      <w:pPr>
        <w:spacing w:before="0" w:line="276" w:lineRule="auto"/>
        <w:ind w:firstLine="539"/>
        <w:contextualSpacing w:val="0"/>
        <w:rPr>
          <w:b w:val="0"/>
          <w:lang w:val="hy-AM" w:eastAsia="en-US"/>
        </w:rPr>
      </w:pPr>
      <w:r w:rsidRPr="00D33B44">
        <w:rPr>
          <w:b w:val="0"/>
          <w:lang w:val="hy-AM" w:eastAsia="en-US"/>
        </w:rPr>
        <w:t xml:space="preserve">«Ատեստավորման նոր համակարգի ներդրում՝ ուղղված ուսուցիչների որակի բարձրացմանը» միջոցառման գծով ծախսերը նվազել են 144.2 մլն դրամով: </w:t>
      </w:r>
    </w:p>
    <w:p w:rsidR="00D33B44" w:rsidRPr="00D33B44" w:rsidRDefault="00D33B44" w:rsidP="007730AA">
      <w:pPr>
        <w:spacing w:before="0" w:line="276" w:lineRule="auto"/>
        <w:ind w:firstLine="539"/>
        <w:contextualSpacing w:val="0"/>
        <w:rPr>
          <w:rFonts w:cs="Arial"/>
          <w:b w:val="0"/>
          <w:szCs w:val="22"/>
          <w:lang w:val="hy-AM" w:eastAsia="en-US"/>
        </w:rPr>
      </w:pPr>
      <w:r w:rsidRPr="00D33B44">
        <w:rPr>
          <w:rFonts w:cs="Arial"/>
          <w:b w:val="0"/>
          <w:szCs w:val="22"/>
          <w:lang w:val="hy-AM" w:eastAsia="en-US"/>
        </w:rPr>
        <w:t>Միաժամանակ, 2021 թվականին 25.0 մլն դրամ է նախատեսվել «Կրթության դերի վերարժևորմանն ուղղված սոցիալական արշավներ» միջոցառման գծով (2020 թվականին նշված ծախսը նախատեսված չի եղել):</w:t>
      </w:r>
    </w:p>
    <w:p w:rsidR="00D33B44" w:rsidRPr="00D33B44" w:rsidRDefault="00D33B44" w:rsidP="007730AA">
      <w:pPr>
        <w:spacing w:before="0" w:line="276" w:lineRule="auto"/>
        <w:ind w:firstLine="539"/>
        <w:contextualSpacing w:val="0"/>
        <w:rPr>
          <w:b w:val="0"/>
          <w:lang w:val="hy-AM" w:eastAsia="en-US"/>
        </w:rPr>
      </w:pPr>
      <w:r w:rsidRPr="00D33B44">
        <w:rPr>
          <w:b w:val="0"/>
          <w:lang w:val="hy-AM" w:eastAsia="en-US"/>
        </w:rPr>
        <w:t xml:space="preserve"> «Համընդհանուր ներառական կրթության համակարգի ներդրում» ծրագրի գծով նախատեսվել է </w:t>
      </w:r>
      <w:r w:rsidRPr="00D33B44">
        <w:rPr>
          <w:b w:val="0"/>
          <w:szCs w:val="22"/>
          <w:lang w:val="hy-AM" w:eastAsia="en-US"/>
        </w:rPr>
        <w:t xml:space="preserve">2,638.5 </w:t>
      </w:r>
      <w:r w:rsidRPr="00D33B44">
        <w:rPr>
          <w:b w:val="0"/>
          <w:lang w:val="hy-AM" w:eastAsia="en-US"/>
        </w:rPr>
        <w:t xml:space="preserve">մլն դրամ՝ </w:t>
      </w:r>
      <w:r w:rsidRPr="00D33B44">
        <w:rPr>
          <w:b w:val="0"/>
          <w:szCs w:val="22"/>
          <w:lang w:val="hy-AM" w:eastAsia="en-US"/>
        </w:rPr>
        <w:t>2020 թվականի 2,469.9 մլն դրամի դիմաց</w:t>
      </w:r>
      <w:r w:rsidRPr="00D33B44">
        <w:rPr>
          <w:b w:val="0"/>
          <w:lang w:val="hy-AM" w:eastAsia="en-US"/>
        </w:rPr>
        <w:t xml:space="preserve">, ծախսերի աճը կազմում է 168.6 մլն դրամ կամ </w:t>
      </w:r>
      <w:r w:rsidRPr="00D33B44">
        <w:rPr>
          <w:b w:val="0"/>
          <w:szCs w:val="22"/>
          <w:lang w:val="hy-AM" w:eastAsia="en-US"/>
        </w:rPr>
        <w:t>6.8%</w:t>
      </w:r>
      <w:r w:rsidRPr="00D33B44">
        <w:rPr>
          <w:b w:val="0"/>
          <w:lang w:val="hy-AM" w:eastAsia="en-US"/>
        </w:rPr>
        <w:t xml:space="preserve">: Ընդ որում, «Մանկավարժահոգեբանական աջակցության ծառայություններ և կրթության առանձնահատուկ պայմանների կարիք ունեցող երեխաների կրթության կազմակերպմանն օժանդակող միջոցառումներ» միջոցառման գծով ծախսերն աճել են 200.2 մլն դրամով՝ համընդհանուր ներառական կրթության անցմամբ պայմանավորված, տարածքային մանկավարժահոգեբանական աջակցության կենտրոնների գործունեության հետ կապված: 29.5 մլն դրամով նվազելու են Ամերիկայի Միացյալ Նահանգների միջազգային զարգացման գործակալության աջակցությամբ իրականացվող «Ներառական կրթության համակարգի ներդրում» դրամաշնորհային ծրագրի գծով ծախսերը: </w:t>
      </w:r>
    </w:p>
    <w:p w:rsidR="00D33B44" w:rsidRPr="00D33B44" w:rsidRDefault="00D33B44" w:rsidP="007730AA">
      <w:pPr>
        <w:spacing w:before="0" w:line="276" w:lineRule="auto"/>
        <w:ind w:firstLine="540"/>
        <w:rPr>
          <w:b w:val="0"/>
          <w:szCs w:val="22"/>
          <w:lang w:val="hy-AM" w:eastAsia="en-US"/>
        </w:rPr>
      </w:pPr>
      <w:r w:rsidRPr="00D33B44">
        <w:rPr>
          <w:b w:val="0"/>
          <w:lang w:val="hy-AM" w:eastAsia="en-US"/>
        </w:rPr>
        <w:t xml:space="preserve">«Կրթության, մշակույթի և սպորտի ոլորտներում միջազգային և սփյուռքի հետ համագործակցության զարգացում» ծրագրի գծով նախատեսվել է 1,085.0 մլն դրամ՝ 2020 թվականի 466.2 մլն դրամի դիմաց, ծախսերի աճը կազմում է 618.8 մլն դրամ կամ՝ </w:t>
      </w:r>
      <w:r w:rsidRPr="00D33B44">
        <w:rPr>
          <w:b w:val="0"/>
          <w:szCs w:val="22"/>
          <w:lang w:val="hy-AM" w:eastAsia="en-US"/>
        </w:rPr>
        <w:t>132.7%</w:t>
      </w:r>
      <w:r w:rsidRPr="00D33B44">
        <w:rPr>
          <w:b w:val="0"/>
          <w:lang w:val="hy-AM" w:eastAsia="en-US"/>
        </w:rPr>
        <w:t xml:space="preserve">: Նախագծով </w:t>
      </w:r>
      <w:r w:rsidRPr="00D33B44">
        <w:rPr>
          <w:b w:val="0"/>
          <w:szCs w:val="22"/>
          <w:lang w:val="hy-AM" w:eastAsia="en-US"/>
        </w:rPr>
        <w:t>660.0 մլն դրամ</w:t>
      </w:r>
      <w:r w:rsidRPr="00D33B44">
        <w:rPr>
          <w:b w:val="0"/>
          <w:lang w:val="hy-AM" w:eastAsia="en-US"/>
        </w:rPr>
        <w:t xml:space="preserve"> է նախատեսվել </w:t>
      </w:r>
      <w:r w:rsidRPr="00D33B44">
        <w:rPr>
          <w:b w:val="0"/>
          <w:szCs w:val="22"/>
          <w:lang w:val="hy-AM" w:eastAsia="en-US"/>
        </w:rPr>
        <w:t xml:space="preserve">2021 թվականին Հայաստանում «STARMUS» փառատոնի կազմակերպման և անցկացման մասնակցության վճարի գծով </w:t>
      </w:r>
      <w:r w:rsidRPr="00D33B44">
        <w:rPr>
          <w:rFonts w:cs="Arial"/>
          <w:b w:val="0"/>
          <w:szCs w:val="22"/>
          <w:lang w:val="hy-AM" w:eastAsia="en-US"/>
        </w:rPr>
        <w:t>(2020 թվականին նշված ծախսը նախատեսված չի եղել)</w:t>
      </w:r>
      <w:r w:rsidRPr="00D33B44">
        <w:rPr>
          <w:b w:val="0"/>
          <w:szCs w:val="22"/>
          <w:lang w:val="hy-AM" w:eastAsia="en-US"/>
        </w:rPr>
        <w:t xml:space="preserve">: </w:t>
      </w:r>
      <w:r w:rsidRPr="00D33B44">
        <w:rPr>
          <w:b w:val="0"/>
          <w:lang w:val="hy-AM" w:eastAsia="en-US"/>
        </w:rPr>
        <w:t xml:space="preserve">«Օտարերկրյա պետություններում հայերենի և հայագիտական առարկաների դասավանդում» միջոցառման գծով նախատեսվել է 119.2 մլն դրամ՝ 2020 թվականի 82.1 մլն դրամի դիմաց, ծախսերի աճը կազմում է 37.1 մլն դրամ: </w:t>
      </w:r>
      <w:r w:rsidRPr="00D33B44">
        <w:rPr>
          <w:b w:val="0"/>
          <w:szCs w:val="22"/>
          <w:lang w:val="hy-AM" w:eastAsia="en-US"/>
        </w:rPr>
        <w:t xml:space="preserve">Միաժամանակ, չի նախատեսվել </w:t>
      </w:r>
      <w:r w:rsidRPr="00D33B44">
        <w:rPr>
          <w:b w:val="0"/>
          <w:lang w:val="hy-AM" w:eastAsia="en-US"/>
        </w:rPr>
        <w:t xml:space="preserve">«Համահայկական և համապետական կրթական խորհրդաժողով» միջոցառման գծով 2020 թվականին նախատեսված ծախսը՝ </w:t>
      </w:r>
      <w:r w:rsidRPr="00D33B44">
        <w:rPr>
          <w:b w:val="0"/>
          <w:szCs w:val="22"/>
          <w:lang w:val="hy-AM" w:eastAsia="en-US"/>
        </w:rPr>
        <w:t xml:space="preserve"> </w:t>
      </w:r>
      <w:r w:rsidRPr="00D33B44">
        <w:rPr>
          <w:b w:val="0"/>
          <w:lang w:val="hy-AM" w:eastAsia="en-US"/>
        </w:rPr>
        <w:t>28.9 մլն դրամի չափով (երկու տարին մեկ է անցկացվում), նվազել են նաև  «Սփյուռքի կրթօջախների համար դասագրքերի և այլ ուսումնական նյութերի մշակում, ձեռքբերում և տրամադրում», «Մանկապատանեկան և երիտասարդական կրթական ու կրթամշակութային միջոցառումների կազմակերպում», «Կրթամշակութային աջակցություն սփյուռքի համայնքներին» միջոցառումների գծով ծախսերը՝ համապատասխանաբար, 37.7; 6.0 և 10.0 մլն դրամի չափով:</w:t>
      </w:r>
    </w:p>
    <w:p w:rsidR="00D33B44" w:rsidRPr="00D33B44" w:rsidRDefault="00D33B44" w:rsidP="007730AA">
      <w:pPr>
        <w:spacing w:before="0" w:line="276" w:lineRule="auto"/>
        <w:ind w:firstLine="540"/>
        <w:contextualSpacing w:val="0"/>
        <w:rPr>
          <w:rFonts w:cs="Arial"/>
          <w:b w:val="0"/>
          <w:kern w:val="16"/>
          <w:szCs w:val="22"/>
          <w:lang w:val="hy-AM" w:eastAsia="en-US"/>
        </w:rPr>
      </w:pPr>
      <w:r w:rsidRPr="00D33B44">
        <w:rPr>
          <w:rFonts w:cs="Arial"/>
          <w:b w:val="0"/>
          <w:kern w:val="16"/>
          <w:szCs w:val="22"/>
          <w:lang w:val="hy-AM" w:eastAsia="en-US"/>
        </w:rPr>
        <w:t xml:space="preserve">«Կրթության ոլորտում տեղեկատվական և հաղորդակցական տեխնոլոգիաների ներդրում»  </w:t>
      </w:r>
    </w:p>
    <w:p w:rsidR="00D33B44" w:rsidRPr="00D33B44" w:rsidRDefault="00D33B44" w:rsidP="007730AA">
      <w:pPr>
        <w:spacing w:before="0" w:line="276" w:lineRule="auto"/>
        <w:ind w:firstLine="0"/>
        <w:contextualSpacing w:val="0"/>
        <w:rPr>
          <w:b w:val="0"/>
          <w:szCs w:val="22"/>
          <w:lang w:val="hy-AM" w:eastAsia="en-US"/>
        </w:rPr>
      </w:pPr>
      <w:r w:rsidRPr="00D33B44">
        <w:rPr>
          <w:b w:val="0"/>
          <w:szCs w:val="22"/>
          <w:lang w:val="hy-AM" w:eastAsia="en-US"/>
        </w:rPr>
        <w:t>ծրագրի գծով 2021 նախատեսվում է հատկացնել 424.1 մլն դրամ:</w:t>
      </w:r>
    </w:p>
    <w:p w:rsidR="00D33B44" w:rsidRPr="00D33B44" w:rsidRDefault="00D33B44" w:rsidP="007730AA">
      <w:pPr>
        <w:spacing w:before="0" w:line="276" w:lineRule="auto"/>
        <w:ind w:firstLine="547"/>
        <w:contextualSpacing w:val="0"/>
        <w:rPr>
          <w:b w:val="0"/>
          <w:lang w:val="hy-AM" w:eastAsia="en-US"/>
        </w:rPr>
      </w:pPr>
      <w:r w:rsidRPr="00D33B44">
        <w:rPr>
          <w:b w:val="0"/>
          <w:lang w:val="hy-AM" w:eastAsia="en-US"/>
        </w:rPr>
        <w:t>Միաժամանակ, ՀՀ կրթության, գիտության, մշակույթի և սպորտի նախարարության գծով նախատեսվում են շարունակել և իրականացնել արտաքին աղբյուրներից ստացվող նպատակային վարկային և դրամաշնորհային միջոցներով հետևյալ ծրագրերը.</w:t>
      </w:r>
    </w:p>
    <w:p w:rsidR="00D33B44" w:rsidRPr="00D33B44" w:rsidRDefault="00D33B44" w:rsidP="007730AA">
      <w:pPr>
        <w:spacing w:before="0" w:line="276" w:lineRule="auto"/>
        <w:ind w:firstLine="547"/>
        <w:contextualSpacing w:val="0"/>
        <w:rPr>
          <w:b w:val="0"/>
          <w:lang w:val="hy-AM" w:eastAsia="en-US"/>
        </w:rPr>
      </w:pPr>
      <w:r w:rsidRPr="00D33B44">
        <w:rPr>
          <w:b w:val="0"/>
          <w:lang w:val="hy-AM" w:eastAsia="en-US"/>
        </w:rPr>
        <w:t xml:space="preserve"> Համաշխարհային բանկի կողմից իրականացվող «Կրթության բարելավում» վարկային ծրագիր, որի նպատակն է հանրակրթության ոլորտի հետագա բարելավումը՝ դպրոցին  երեխաների պատրաստվածության  բարձրացման և կրթության հավասար մեկնարկային հնարավորությունների ապահովման,  միջնակարգ դպրոցի երրորդ աստիճանի զարգացմանն աջակցության, հիմնական կրթական կազմակերպությունների կարողությունների հզորացման  և կրթության որակի բարելավման աջակցության միջոցով, ինչպես նաև մասնագիտական կրթության ուղղությամբ նորարարությունների խթանումը՝ նորարարությունների մրցակցային հիմնադրամի զարգացմանն աջակցության միջոցով:  2021 թվականին նախատեսվել է 3,369.1 մլն դրամ, այդ թվում վարկային միջոցներ` 2,695.2 մլն դրամ, ՀՀ համաֆինանսավորում` 673.9 մլն դրամ: </w:t>
      </w:r>
    </w:p>
    <w:p w:rsidR="00D33B44" w:rsidRPr="00D33B44" w:rsidRDefault="00D33B44" w:rsidP="007730AA">
      <w:pPr>
        <w:spacing w:before="0" w:line="276" w:lineRule="auto"/>
        <w:ind w:firstLine="547"/>
        <w:contextualSpacing w:val="0"/>
        <w:rPr>
          <w:b w:val="0"/>
          <w:lang w:val="hy-AM" w:eastAsia="en-US"/>
        </w:rPr>
      </w:pPr>
      <w:r w:rsidRPr="00D33B44">
        <w:rPr>
          <w:b w:val="0"/>
          <w:lang w:val="hy-AM" w:eastAsia="en-US"/>
        </w:rPr>
        <w:t>Ամերիկայի Միացյալ Նահանգների միջազգային զարգացման գործակալության աջակցությամբ իրականացվող «Ներառական կրթության համակարգի ներդրում» դրամաշնորհային ծրագիր, որի նպատակն է Հայաստանում երեխաների պաշտպանության բարեփոխումների իրականացման բարելավումը, արդյունքը` ներառական կրթության համակարգի հզորացումը բոլոր երեխաներին որակյալ ուսուցում ապահովելու նպատակով: Ծրագրի շրջանակներում նախատեսվում է՝ առնվազն 100 ընդունող հանրակրթական դպրոցների փոքրածավալ ենթակառուցվածքային վերանորոգումներ, ներառյալ՝ թեքահարթակներ, հասանելի սանհանգույցներ, ռեսուրս սենյակներ, ընդունող դպրոցների ռեսուրս սենյակների և մանկավարժահոգեբանական աջակցության կենտրոնների ապահովում անհրաժեշտ սարքավորումներով և դիդակտիկ նյութերով, առնվազն 5 մանկավարժահոգեբանական աջակցության կենտրոնների փոքրածավալ վերանորոգում` ներառական դպրոցներին օժանդակելու համար: 2021 թվականին նախատեսվել է 174.2 մլն դրամ դրամաշնորհային միջոցներ:</w:t>
      </w:r>
    </w:p>
    <w:p w:rsidR="00D33B44" w:rsidRPr="00D33B44" w:rsidRDefault="00D33B44" w:rsidP="007730AA">
      <w:pPr>
        <w:spacing w:before="0" w:line="276" w:lineRule="auto"/>
        <w:ind w:firstLine="547"/>
        <w:contextualSpacing w:val="0"/>
        <w:rPr>
          <w:b w:val="0"/>
          <w:lang w:val="hy-AM" w:eastAsia="en-US"/>
        </w:rPr>
      </w:pPr>
      <w:r w:rsidRPr="00D33B44">
        <w:rPr>
          <w:b w:val="0"/>
          <w:lang w:val="hy-AM" w:eastAsia="en-US"/>
        </w:rPr>
        <w:t>Համաշխարհային բանկի աջակցությամբ իրականացվող «ԵՄ-ն հանուն նորարարության ծրագիր» դրամաշնորհային ծրագրի նպատակն է</w:t>
      </w:r>
      <w:r w:rsidRPr="00D33B44">
        <w:rPr>
          <w:rFonts w:ascii="Times New Roman" w:hAnsi="Times New Roman"/>
          <w:b w:val="0"/>
          <w:sz w:val="20"/>
          <w:szCs w:val="20"/>
          <w:lang w:val="hy-AM" w:eastAsia="en-US"/>
        </w:rPr>
        <w:t xml:space="preserve"> </w:t>
      </w:r>
      <w:r w:rsidRPr="00D33B44">
        <w:rPr>
          <w:rFonts w:ascii="Calibri" w:hAnsi="Calibri" w:cs="Calibri"/>
          <w:b w:val="0"/>
          <w:lang w:val="hy-AM" w:eastAsia="en-US"/>
        </w:rPr>
        <w:t>«</w:t>
      </w:r>
      <w:r w:rsidRPr="00D33B44">
        <w:rPr>
          <w:b w:val="0"/>
          <w:lang w:val="hy-AM" w:eastAsia="en-US"/>
        </w:rPr>
        <w:t>Կրթության զարգացման և նորարարության ազգային կենտրոն</w:t>
      </w:r>
      <w:r w:rsidRPr="00D33B44">
        <w:rPr>
          <w:rFonts w:ascii="Calibri" w:hAnsi="Calibri" w:cs="Calibri"/>
          <w:b w:val="0"/>
          <w:lang w:val="hy-AM" w:eastAsia="en-US"/>
        </w:rPr>
        <w:t>»</w:t>
      </w:r>
      <w:r w:rsidRPr="00D33B44">
        <w:rPr>
          <w:b w:val="0"/>
          <w:lang w:val="hy-AM" w:eastAsia="en-US"/>
        </w:rPr>
        <w:t xml:space="preserve">-ի կարողությունների զարգացումը, ուսուցիչների մասնագիտական զարգացմանն ու կատարելագործմանն ուղղված շարունակական վերապատրաստումները, վերապատրաստում իրականացնողների հավաստագրման չափանիշների մշակումը, ՀՀ Տավուշի մարզի հանրակրթական դպրոցների (հիմնական և միջնակարգ) ուսուցիչների՝ ՏՀՏ ուղղությամբ վերապատրաստումը: Ծրագիրը նաև </w:t>
      </w:r>
      <w:r w:rsidRPr="00D33B44">
        <w:rPr>
          <w:b w:val="0"/>
          <w:szCs w:val="22"/>
          <w:lang w:val="hy-AM" w:eastAsia="en-US"/>
        </w:rPr>
        <w:t xml:space="preserve">նպատակաուղղված է </w:t>
      </w:r>
      <w:r w:rsidRPr="00D33B44">
        <w:rPr>
          <w:b w:val="0"/>
          <w:lang w:val="hy-AM" w:eastAsia="en-US"/>
        </w:rPr>
        <w:t>լինելու Տավուշի մարզի հանրակրթական ուսումնական հաստատություններին (հիմնական և միջնակարգ) համապատասխան համակարգչային և այլ սարքավորումներով ու տեխնիկայով ապահովելուն: 2021 թվականին նախատեսվել է 1,325.3 մլն դրամ դրամաշնորհային միջոցներ:</w:t>
      </w:r>
    </w:p>
    <w:p w:rsidR="00D33B44" w:rsidRPr="00D33B44" w:rsidRDefault="00D33B44" w:rsidP="007730AA">
      <w:pPr>
        <w:spacing w:before="0" w:line="276" w:lineRule="auto"/>
        <w:ind w:firstLine="547"/>
        <w:contextualSpacing w:val="0"/>
        <w:rPr>
          <w:b w:val="0"/>
          <w:szCs w:val="22"/>
          <w:lang w:val="af-ZA"/>
        </w:rPr>
      </w:pPr>
      <w:r w:rsidRPr="00D33B44">
        <w:rPr>
          <w:b w:val="0"/>
          <w:szCs w:val="22"/>
          <w:lang w:val="hy-AM"/>
        </w:rPr>
        <w:t xml:space="preserve">ՀՀ </w:t>
      </w:r>
      <w:r w:rsidRPr="00D33B44">
        <w:rPr>
          <w:b w:val="0"/>
          <w:szCs w:val="22"/>
          <w:lang w:val="af-ZA"/>
        </w:rPr>
        <w:t xml:space="preserve">2021 </w:t>
      </w:r>
      <w:r w:rsidRPr="00D33B44">
        <w:rPr>
          <w:b w:val="0"/>
          <w:szCs w:val="22"/>
          <w:lang w:val="hy-AM"/>
        </w:rPr>
        <w:t>թվականի պետական բյուջեում ընդգրկելու նպատակով գիտական և գիտատեխնիկական պետական նպատակային ծրագրերի ցանկն արտացոլված</w:t>
      </w:r>
      <w:r w:rsidRPr="00D33B44">
        <w:rPr>
          <w:b w:val="0"/>
          <w:szCs w:val="22"/>
          <w:lang w:val="af-ZA"/>
        </w:rPr>
        <w:t xml:space="preserve"> </w:t>
      </w:r>
      <w:r w:rsidRPr="00D33B44">
        <w:rPr>
          <w:b w:val="0"/>
          <w:szCs w:val="22"/>
          <w:lang w:val="hy-AM"/>
        </w:rPr>
        <w:t>է</w:t>
      </w:r>
      <w:r w:rsidRPr="00D33B44">
        <w:rPr>
          <w:b w:val="0"/>
          <w:szCs w:val="22"/>
          <w:lang w:val="af-ZA"/>
        </w:rPr>
        <w:t xml:space="preserve"> </w:t>
      </w:r>
      <w:r w:rsidRPr="00D33B44">
        <w:rPr>
          <w:b w:val="0"/>
          <w:szCs w:val="22"/>
          <w:lang w:val="hy-AM"/>
        </w:rPr>
        <w:t>սույն</w:t>
      </w:r>
      <w:r w:rsidRPr="00D33B44">
        <w:rPr>
          <w:b w:val="0"/>
          <w:szCs w:val="22"/>
          <w:lang w:val="af-ZA"/>
        </w:rPr>
        <w:t xml:space="preserve"> </w:t>
      </w:r>
      <w:r w:rsidRPr="00D33B44">
        <w:rPr>
          <w:b w:val="0"/>
          <w:szCs w:val="22"/>
          <w:lang w:val="hy-AM"/>
        </w:rPr>
        <w:t>բացատրագրի</w:t>
      </w:r>
      <w:r w:rsidRPr="00D33B44">
        <w:rPr>
          <w:b w:val="0"/>
          <w:szCs w:val="22"/>
          <w:lang w:val="af-ZA"/>
        </w:rPr>
        <w:t xml:space="preserve"> N </w:t>
      </w:r>
      <w:r w:rsidRPr="00D33B44">
        <w:rPr>
          <w:b w:val="0"/>
          <w:szCs w:val="22"/>
          <w:lang w:val="hy-AM"/>
        </w:rPr>
        <w:t>1</w:t>
      </w:r>
      <w:r w:rsidR="00D43F6D" w:rsidRPr="004E3188">
        <w:rPr>
          <w:b w:val="0"/>
          <w:szCs w:val="22"/>
          <w:lang w:val="hy-AM"/>
        </w:rPr>
        <w:t>2</w:t>
      </w:r>
      <w:r w:rsidRPr="00D33B44">
        <w:rPr>
          <w:b w:val="0"/>
          <w:szCs w:val="22"/>
          <w:lang w:val="af-ZA"/>
        </w:rPr>
        <w:t xml:space="preserve"> հավելվածում:</w:t>
      </w:r>
    </w:p>
    <w:p w:rsidR="00D33B44" w:rsidRPr="00D33B44" w:rsidRDefault="00D33B44" w:rsidP="007730AA">
      <w:pPr>
        <w:spacing w:before="0" w:line="276" w:lineRule="auto"/>
        <w:ind w:firstLine="689"/>
        <w:rPr>
          <w:lang w:val="af-ZA"/>
        </w:rPr>
      </w:pPr>
      <w:r w:rsidRPr="00D33B44">
        <w:rPr>
          <w:b w:val="0"/>
          <w:color w:val="000000"/>
          <w:lang w:val="hy-AM" w:eastAsia="en-US"/>
        </w:rPr>
        <w:t>ՀՀ կրթության</w:t>
      </w:r>
      <w:r w:rsidRPr="00D33B44">
        <w:rPr>
          <w:b w:val="0"/>
          <w:color w:val="000000"/>
          <w:lang w:val="af-ZA" w:eastAsia="en-US"/>
        </w:rPr>
        <w:t xml:space="preserve">, </w:t>
      </w:r>
      <w:r w:rsidRPr="00D33B44">
        <w:rPr>
          <w:b w:val="0"/>
          <w:color w:val="000000"/>
          <w:lang w:val="hy-AM" w:eastAsia="en-US"/>
        </w:rPr>
        <w:t>գիտության</w:t>
      </w:r>
      <w:r w:rsidRPr="00D33B44">
        <w:rPr>
          <w:b w:val="0"/>
          <w:color w:val="000000"/>
          <w:lang w:val="af-ZA" w:eastAsia="en-US"/>
        </w:rPr>
        <w:t xml:space="preserve">, </w:t>
      </w:r>
      <w:r w:rsidRPr="00D33B44">
        <w:rPr>
          <w:b w:val="0"/>
          <w:color w:val="000000"/>
          <w:lang w:val="en-US" w:eastAsia="en-US"/>
        </w:rPr>
        <w:t>մշակույթի</w:t>
      </w:r>
      <w:r w:rsidRPr="00D33B44">
        <w:rPr>
          <w:b w:val="0"/>
          <w:color w:val="000000"/>
          <w:lang w:val="af-ZA" w:eastAsia="en-US"/>
        </w:rPr>
        <w:t xml:space="preserve"> </w:t>
      </w:r>
      <w:r w:rsidRPr="00D33B44">
        <w:rPr>
          <w:b w:val="0"/>
          <w:color w:val="000000"/>
          <w:lang w:val="en-US" w:eastAsia="en-US"/>
        </w:rPr>
        <w:t>և</w:t>
      </w:r>
      <w:r w:rsidRPr="00D33B44">
        <w:rPr>
          <w:b w:val="0"/>
          <w:color w:val="000000"/>
          <w:lang w:val="af-ZA" w:eastAsia="en-US"/>
        </w:rPr>
        <w:t xml:space="preserve"> </w:t>
      </w:r>
      <w:r w:rsidRPr="00D33B44">
        <w:rPr>
          <w:b w:val="0"/>
          <w:color w:val="000000"/>
          <w:lang w:val="en-US" w:eastAsia="en-US"/>
        </w:rPr>
        <w:t>սպորտի</w:t>
      </w:r>
      <w:r w:rsidRPr="00D33B44">
        <w:rPr>
          <w:b w:val="0"/>
          <w:color w:val="000000"/>
          <w:lang w:val="hy-AM" w:eastAsia="en-US"/>
        </w:rPr>
        <w:t xml:space="preserve"> նախարարության </w:t>
      </w:r>
      <w:r w:rsidRPr="00D33B44">
        <w:rPr>
          <w:b w:val="0"/>
          <w:color w:val="000000"/>
          <w:lang w:val="en-US" w:eastAsia="en-US"/>
        </w:rPr>
        <w:t>կրթության</w:t>
      </w:r>
      <w:r w:rsidRPr="00D33B44">
        <w:rPr>
          <w:b w:val="0"/>
          <w:color w:val="000000"/>
          <w:lang w:val="af-ZA" w:eastAsia="en-US"/>
        </w:rPr>
        <w:t xml:space="preserve"> </w:t>
      </w:r>
      <w:r w:rsidRPr="00D33B44">
        <w:rPr>
          <w:b w:val="0"/>
          <w:color w:val="000000"/>
          <w:lang w:val="en-US" w:eastAsia="en-US"/>
        </w:rPr>
        <w:t>և</w:t>
      </w:r>
      <w:r w:rsidRPr="00D33B44">
        <w:rPr>
          <w:b w:val="0"/>
          <w:color w:val="000000"/>
          <w:lang w:val="af-ZA" w:eastAsia="en-US"/>
        </w:rPr>
        <w:t xml:space="preserve"> </w:t>
      </w:r>
      <w:r w:rsidRPr="00D33B44">
        <w:rPr>
          <w:b w:val="0"/>
          <w:color w:val="000000"/>
          <w:lang w:val="en-US" w:eastAsia="en-US"/>
        </w:rPr>
        <w:t>գիտության</w:t>
      </w:r>
      <w:r w:rsidRPr="00D33B44">
        <w:rPr>
          <w:b w:val="0"/>
          <w:color w:val="000000"/>
          <w:lang w:val="af-ZA" w:eastAsia="en-US"/>
        </w:rPr>
        <w:t xml:space="preserve"> </w:t>
      </w:r>
      <w:r w:rsidRPr="00D33B44">
        <w:rPr>
          <w:b w:val="0"/>
          <w:color w:val="000000"/>
          <w:lang w:val="en-US" w:eastAsia="en-US"/>
        </w:rPr>
        <w:t>ոլորտների</w:t>
      </w:r>
      <w:r w:rsidRPr="00D33B44">
        <w:rPr>
          <w:b w:val="0"/>
          <w:color w:val="000000"/>
          <w:lang w:val="af-ZA" w:eastAsia="en-US"/>
        </w:rPr>
        <w:t xml:space="preserve"> </w:t>
      </w:r>
      <w:r w:rsidRPr="00D33B44">
        <w:rPr>
          <w:b w:val="0"/>
          <w:color w:val="000000"/>
          <w:lang w:val="en-US" w:eastAsia="en-US"/>
        </w:rPr>
        <w:t>գծով</w:t>
      </w:r>
      <w:r w:rsidRPr="00D33B44">
        <w:rPr>
          <w:b w:val="0"/>
          <w:color w:val="000000"/>
          <w:lang w:val="af-ZA" w:eastAsia="en-US"/>
        </w:rPr>
        <w:t xml:space="preserve"> </w:t>
      </w:r>
      <w:r w:rsidRPr="00D33B44">
        <w:rPr>
          <w:b w:val="0"/>
          <w:lang w:val="af-ZA"/>
        </w:rPr>
        <w:t xml:space="preserve">2021 </w:t>
      </w:r>
      <w:r w:rsidRPr="00D33B44">
        <w:rPr>
          <w:b w:val="0"/>
        </w:rPr>
        <w:t>թվականի</w:t>
      </w:r>
      <w:r w:rsidRPr="00D33B44">
        <w:rPr>
          <w:b w:val="0"/>
          <w:lang w:val="af-ZA"/>
        </w:rPr>
        <w:t xml:space="preserve"> </w:t>
      </w:r>
      <w:r w:rsidRPr="00D33B44">
        <w:rPr>
          <w:b w:val="0"/>
        </w:rPr>
        <w:t>բյուջետային</w:t>
      </w:r>
      <w:r w:rsidRPr="00D33B44">
        <w:rPr>
          <w:b w:val="0"/>
          <w:lang w:val="af-ZA"/>
        </w:rPr>
        <w:t xml:space="preserve"> </w:t>
      </w:r>
      <w:r w:rsidRPr="00D33B44">
        <w:rPr>
          <w:b w:val="0"/>
        </w:rPr>
        <w:t>ծախսերի</w:t>
      </w:r>
      <w:r w:rsidRPr="00D33B44">
        <w:rPr>
          <w:b w:val="0"/>
          <w:lang w:val="af-ZA"/>
        </w:rPr>
        <w:t xml:space="preserve"> </w:t>
      </w:r>
      <w:r w:rsidRPr="00D33B44">
        <w:rPr>
          <w:b w:val="0"/>
        </w:rPr>
        <w:t>համեմատությունը</w:t>
      </w:r>
      <w:r w:rsidRPr="00D33B44">
        <w:rPr>
          <w:b w:val="0"/>
          <w:lang w:val="af-ZA"/>
        </w:rPr>
        <w:t xml:space="preserve"> 2019-2020 </w:t>
      </w:r>
      <w:r w:rsidRPr="00D33B44">
        <w:rPr>
          <w:b w:val="0"/>
        </w:rPr>
        <w:t>թվականների</w:t>
      </w:r>
      <w:r w:rsidRPr="00D33B44">
        <w:rPr>
          <w:b w:val="0"/>
          <w:lang w:val="af-ZA"/>
        </w:rPr>
        <w:t xml:space="preserve"> </w:t>
      </w:r>
      <w:r w:rsidRPr="00D33B44">
        <w:rPr>
          <w:b w:val="0"/>
        </w:rPr>
        <w:t>ցուցանիշների</w:t>
      </w:r>
      <w:r w:rsidRPr="00D33B44">
        <w:rPr>
          <w:b w:val="0"/>
          <w:lang w:val="af-ZA"/>
        </w:rPr>
        <w:t xml:space="preserve"> </w:t>
      </w:r>
      <w:r w:rsidRPr="00D33B44">
        <w:rPr>
          <w:b w:val="0"/>
        </w:rPr>
        <w:t>հետ</w:t>
      </w:r>
      <w:r w:rsidRPr="00D33B44">
        <w:rPr>
          <w:b w:val="0"/>
          <w:lang w:val="af-ZA"/>
        </w:rPr>
        <w:t xml:space="preserve"> </w:t>
      </w:r>
      <w:r w:rsidRPr="00D33B44">
        <w:rPr>
          <w:b w:val="0"/>
        </w:rPr>
        <w:t>արտացոլված</w:t>
      </w:r>
      <w:r w:rsidRPr="00D33B44">
        <w:rPr>
          <w:b w:val="0"/>
          <w:lang w:val="af-ZA"/>
        </w:rPr>
        <w:t xml:space="preserve"> </w:t>
      </w:r>
      <w:r w:rsidRPr="00D33B44">
        <w:rPr>
          <w:b w:val="0"/>
        </w:rPr>
        <w:t>է</w:t>
      </w:r>
      <w:r w:rsidRPr="00D33B44">
        <w:rPr>
          <w:b w:val="0"/>
          <w:lang w:val="af-ZA"/>
        </w:rPr>
        <w:t xml:space="preserve"> </w:t>
      </w:r>
      <w:r w:rsidRPr="00D33B44">
        <w:rPr>
          <w:b w:val="0"/>
        </w:rPr>
        <w:t>սույն</w:t>
      </w:r>
      <w:r w:rsidRPr="00D33B44">
        <w:rPr>
          <w:b w:val="0"/>
          <w:lang w:val="af-ZA"/>
        </w:rPr>
        <w:t xml:space="preserve"> </w:t>
      </w:r>
      <w:r w:rsidRPr="00D33B44">
        <w:rPr>
          <w:b w:val="0"/>
        </w:rPr>
        <w:t>բացատրագրի</w:t>
      </w:r>
      <w:r w:rsidRPr="00D33B44">
        <w:rPr>
          <w:b w:val="0"/>
          <w:lang w:val="af-ZA"/>
        </w:rPr>
        <w:t xml:space="preserve"> N 8 </w:t>
      </w:r>
      <w:r w:rsidRPr="00D33B44">
        <w:rPr>
          <w:b w:val="0"/>
        </w:rPr>
        <w:t>աղյուսակում</w:t>
      </w:r>
      <w:r w:rsidRPr="00D33B44">
        <w:rPr>
          <w:b w:val="0"/>
          <w:lang w:val="af-ZA"/>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noProof/>
          <w:szCs w:val="22"/>
          <w:lang w:val="hy-AM" w:eastAsia="en-US"/>
        </w:rPr>
        <w:t xml:space="preserve">          Մշակույթի ոլորտի համար</w:t>
      </w:r>
      <w:r w:rsidRPr="00E27F1D">
        <w:rPr>
          <w:b w:val="0"/>
          <w:noProof/>
          <w:szCs w:val="22"/>
          <w:lang w:val="hy-AM" w:eastAsia="en-US"/>
        </w:rPr>
        <w:t xml:space="preserve"> ՀՀ 2021 թվականի պետական բյուջեի նախագծով նախատեսվում է հատկացնել 15,40</w:t>
      </w:r>
      <w:r w:rsidRPr="00E27F1D">
        <w:rPr>
          <w:b w:val="0"/>
          <w:noProof/>
          <w:szCs w:val="22"/>
          <w:lang w:val="af-ZA" w:eastAsia="en-US"/>
        </w:rPr>
        <w:t>3</w:t>
      </w:r>
      <w:r w:rsidRPr="00E27F1D">
        <w:rPr>
          <w:b w:val="0"/>
          <w:noProof/>
          <w:szCs w:val="22"/>
          <w:lang w:val="hy-AM" w:eastAsia="en-US"/>
        </w:rPr>
        <w:t>.9 մլն դրամ՝ ՀՀ 2020 թվականի պետական բյուջեով հաստատված 16,042.6 մլն դրամի դիմաց: Ծախսերն նվազել են 63</w:t>
      </w:r>
      <w:r w:rsidRPr="00E27F1D">
        <w:rPr>
          <w:b w:val="0"/>
          <w:noProof/>
          <w:szCs w:val="22"/>
          <w:lang w:val="af-ZA" w:eastAsia="en-US"/>
        </w:rPr>
        <w:t>8</w:t>
      </w:r>
      <w:r w:rsidRPr="00E27F1D">
        <w:rPr>
          <w:b w:val="0"/>
          <w:noProof/>
          <w:szCs w:val="22"/>
          <w:lang w:val="hy-AM" w:eastAsia="en-US"/>
        </w:rPr>
        <w:t xml:space="preserve">.7 մլն դրամով, կամ 4.0 տոկոսով: </w:t>
      </w:r>
    </w:p>
    <w:p w:rsidR="00E27F1D" w:rsidRPr="00E27F1D" w:rsidRDefault="00E27F1D" w:rsidP="007730AA">
      <w:pPr>
        <w:tabs>
          <w:tab w:val="left" w:pos="851"/>
        </w:tabs>
        <w:spacing w:before="0" w:line="276" w:lineRule="auto"/>
        <w:ind w:firstLine="0"/>
        <w:contextualSpacing w:val="0"/>
        <w:rPr>
          <w:rFonts w:cs="Sylfaen"/>
          <w:b w:val="0"/>
          <w:szCs w:val="22"/>
          <w:lang w:val="it-IT"/>
        </w:rPr>
      </w:pPr>
      <w:r>
        <w:rPr>
          <w:rFonts w:cs="Sylfaen"/>
          <w:b w:val="0"/>
          <w:szCs w:val="22"/>
          <w:lang w:val="hy-AM"/>
        </w:rPr>
        <w:t xml:space="preserve">            </w:t>
      </w:r>
      <w:r w:rsidRPr="00E27F1D">
        <w:rPr>
          <w:rFonts w:cs="Sylfaen"/>
          <w:b w:val="0"/>
          <w:szCs w:val="22"/>
          <w:lang w:val="it-IT"/>
        </w:rPr>
        <w:t xml:space="preserve">Մշակութային օբյեկտների հիմնանորոգման և շինարարության, հուշարձանների ամրակայման, նորոգման և վերականգնման գծով ծախսերը նախատեսվել են 70.1 մլն դրամ` ՀՀ 2020 թվականի պետական բյուջեով նախատեսված 421.3 մլն դրամի դիմաց, կամ ծախսերը նվազել են՝ 351.3 մլն դրամով: </w:t>
      </w:r>
    </w:p>
    <w:p w:rsidR="00E27F1D" w:rsidRPr="00E27F1D" w:rsidRDefault="00E27F1D" w:rsidP="007730AA">
      <w:pPr>
        <w:tabs>
          <w:tab w:val="left" w:pos="851"/>
        </w:tabs>
        <w:spacing w:before="0" w:line="276" w:lineRule="auto"/>
        <w:ind w:firstLine="0"/>
        <w:contextualSpacing w:val="0"/>
        <w:rPr>
          <w:b w:val="0"/>
          <w:szCs w:val="22"/>
          <w:lang w:val="af-ZA" w:eastAsia="en-US"/>
        </w:rPr>
      </w:pPr>
      <w:r>
        <w:rPr>
          <w:b w:val="0"/>
          <w:szCs w:val="22"/>
          <w:lang w:val="hy-AM" w:eastAsia="en-US"/>
        </w:rPr>
        <w:t xml:space="preserve">          </w:t>
      </w:r>
      <w:r w:rsidRPr="00E27F1D">
        <w:rPr>
          <w:b w:val="0"/>
          <w:szCs w:val="22"/>
          <w:lang w:val="it-IT" w:eastAsia="en-US"/>
        </w:rPr>
        <w:t>Հիմնանորոգման և շինարարության համար նախատեսված</w:t>
      </w:r>
      <w:r w:rsidRPr="00E27F1D">
        <w:rPr>
          <w:b w:val="0"/>
          <w:szCs w:val="22"/>
          <w:lang w:val="af-ZA" w:eastAsia="en-US"/>
        </w:rPr>
        <w:t xml:space="preserve"> հատկացումներն ուղղվելու են Մշակութային ժառանգության ծրագրի շրջանակներում </w:t>
      </w:r>
      <w:r w:rsidRPr="00E27F1D">
        <w:rPr>
          <w:b w:val="0"/>
          <w:szCs w:val="22"/>
          <w:lang w:val="it-IT" w:eastAsia="en-US"/>
        </w:rPr>
        <w:t>«</w:t>
      </w:r>
      <w:r w:rsidRPr="00E27F1D">
        <w:rPr>
          <w:b w:val="0"/>
          <w:szCs w:val="22"/>
          <w:lang w:val="af-ZA" w:eastAsia="en-US"/>
        </w:rPr>
        <w:t>Հուշարձանների ամրակայում, նորոգում և վերականգնում</w:t>
      </w:r>
      <w:r w:rsidRPr="00E27F1D">
        <w:rPr>
          <w:b w:val="0"/>
          <w:szCs w:val="22"/>
          <w:lang w:val="it-IT" w:eastAsia="en-US"/>
        </w:rPr>
        <w:t>» միջոցառման իրականացմանը</w:t>
      </w:r>
      <w:r w:rsidRPr="00E27F1D">
        <w:rPr>
          <w:rFonts w:cs="Arial Armenian"/>
          <w:b w:val="0"/>
          <w:bCs/>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b w:val="0"/>
          <w:noProof/>
          <w:szCs w:val="22"/>
          <w:lang w:val="hy-AM" w:eastAsia="en-US"/>
        </w:rPr>
        <w:t xml:space="preserve">          </w:t>
      </w:r>
      <w:r w:rsidRPr="00AB56B7">
        <w:rPr>
          <w:b w:val="0"/>
          <w:noProof/>
          <w:szCs w:val="22"/>
          <w:lang w:val="hy-AM" w:eastAsia="en-US"/>
        </w:rPr>
        <w:t>Նախագծով</w:t>
      </w:r>
      <w:r w:rsidRPr="00E27F1D">
        <w:rPr>
          <w:b w:val="0"/>
          <w:noProof/>
          <w:szCs w:val="22"/>
          <w:lang w:val="af-ZA" w:eastAsia="en-US"/>
        </w:rPr>
        <w:t xml:space="preserve"> </w:t>
      </w:r>
      <w:r w:rsidRPr="00AB56B7">
        <w:rPr>
          <w:b w:val="0"/>
          <w:noProof/>
          <w:szCs w:val="22"/>
          <w:lang w:val="hy-AM" w:eastAsia="en-US"/>
        </w:rPr>
        <w:t>մշակույթի</w:t>
      </w:r>
      <w:r w:rsidRPr="00E27F1D">
        <w:rPr>
          <w:b w:val="0"/>
          <w:noProof/>
          <w:szCs w:val="22"/>
          <w:lang w:val="af-ZA" w:eastAsia="en-US"/>
        </w:rPr>
        <w:t xml:space="preserve"> </w:t>
      </w:r>
      <w:r w:rsidRPr="00AB56B7">
        <w:rPr>
          <w:b w:val="0"/>
          <w:noProof/>
          <w:szCs w:val="22"/>
          <w:lang w:val="hy-AM" w:eastAsia="en-US"/>
        </w:rPr>
        <w:t>ոլորտի</w:t>
      </w:r>
      <w:r w:rsidRPr="00E27F1D">
        <w:rPr>
          <w:b w:val="0"/>
          <w:noProof/>
          <w:szCs w:val="22"/>
          <w:lang w:val="af-ZA" w:eastAsia="en-US"/>
        </w:rPr>
        <w:t xml:space="preserve"> </w:t>
      </w:r>
      <w:r w:rsidRPr="00AB56B7">
        <w:rPr>
          <w:b w:val="0"/>
          <w:noProof/>
          <w:szCs w:val="22"/>
          <w:lang w:val="hy-AM" w:eastAsia="en-US"/>
        </w:rPr>
        <w:t>համար</w:t>
      </w:r>
      <w:r w:rsidRPr="00E27F1D">
        <w:rPr>
          <w:b w:val="0"/>
          <w:noProof/>
          <w:szCs w:val="22"/>
          <w:lang w:val="af-ZA" w:eastAsia="en-US"/>
        </w:rPr>
        <w:t xml:space="preserve"> </w:t>
      </w:r>
      <w:r w:rsidRPr="00AB56B7">
        <w:rPr>
          <w:b w:val="0"/>
          <w:noProof/>
          <w:szCs w:val="22"/>
          <w:lang w:val="hy-AM" w:eastAsia="en-US"/>
        </w:rPr>
        <w:t>նախատեսված</w:t>
      </w:r>
      <w:r w:rsidRPr="00E27F1D">
        <w:rPr>
          <w:b w:val="0"/>
          <w:noProof/>
          <w:szCs w:val="22"/>
          <w:lang w:val="af-ZA" w:eastAsia="en-US"/>
        </w:rPr>
        <w:t xml:space="preserve"> </w:t>
      </w:r>
      <w:r w:rsidRPr="00AB56B7">
        <w:rPr>
          <w:b w:val="0"/>
          <w:noProof/>
          <w:szCs w:val="22"/>
          <w:lang w:val="hy-AM" w:eastAsia="en-US"/>
        </w:rPr>
        <w:t>հատկացումներն</w:t>
      </w:r>
      <w:r w:rsidRPr="00E27F1D">
        <w:rPr>
          <w:b w:val="0"/>
          <w:noProof/>
          <w:szCs w:val="22"/>
          <w:lang w:val="af-ZA" w:eastAsia="en-US"/>
        </w:rPr>
        <w:t xml:space="preserve"> </w:t>
      </w:r>
      <w:r w:rsidRPr="00AB56B7">
        <w:rPr>
          <w:b w:val="0"/>
          <w:noProof/>
          <w:szCs w:val="22"/>
          <w:lang w:val="hy-AM" w:eastAsia="en-US"/>
        </w:rPr>
        <w:t>ուղղվել</w:t>
      </w:r>
      <w:r w:rsidRPr="00E27F1D">
        <w:rPr>
          <w:b w:val="0"/>
          <w:noProof/>
          <w:szCs w:val="22"/>
          <w:lang w:val="af-ZA" w:eastAsia="en-US"/>
        </w:rPr>
        <w:t xml:space="preserve"> </w:t>
      </w:r>
      <w:r w:rsidRPr="00AB56B7">
        <w:rPr>
          <w:b w:val="0"/>
          <w:noProof/>
          <w:szCs w:val="22"/>
          <w:lang w:val="hy-AM" w:eastAsia="en-US"/>
        </w:rPr>
        <w:t>են</w:t>
      </w:r>
      <w:r w:rsidRPr="00E27F1D">
        <w:rPr>
          <w:b w:val="0"/>
          <w:noProof/>
          <w:szCs w:val="22"/>
          <w:lang w:val="af-ZA" w:eastAsia="en-US"/>
        </w:rPr>
        <w:t xml:space="preserve"> 7 </w:t>
      </w:r>
      <w:r w:rsidRPr="00AB56B7">
        <w:rPr>
          <w:b w:val="0"/>
          <w:noProof/>
          <w:szCs w:val="22"/>
          <w:lang w:val="hy-AM" w:eastAsia="en-US"/>
        </w:rPr>
        <w:t>ծրագրերի</w:t>
      </w:r>
      <w:r w:rsidRPr="00E27F1D">
        <w:rPr>
          <w:b w:val="0"/>
          <w:noProof/>
          <w:szCs w:val="22"/>
          <w:lang w:val="af-ZA" w:eastAsia="en-US"/>
        </w:rPr>
        <w:t xml:space="preserve"> </w:t>
      </w:r>
      <w:r w:rsidRPr="00AB56B7">
        <w:rPr>
          <w:b w:val="0"/>
          <w:noProof/>
          <w:szCs w:val="22"/>
          <w:lang w:val="hy-AM" w:eastAsia="en-US"/>
        </w:rPr>
        <w:t>իրականացմանը</w:t>
      </w:r>
      <w:r w:rsidRPr="00E27F1D">
        <w:rPr>
          <w:b w:val="0"/>
          <w:noProof/>
          <w:szCs w:val="22"/>
          <w:lang w:val="af-ZA" w:eastAsia="en-US"/>
        </w:rPr>
        <w:t xml:space="preserve">: </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noProof/>
          <w:szCs w:val="22"/>
          <w:lang w:val="hy-AM" w:eastAsia="en-US"/>
        </w:rPr>
        <w:t xml:space="preserve">          </w:t>
      </w:r>
      <w:r w:rsidRPr="00AB56B7">
        <w:rPr>
          <w:noProof/>
          <w:szCs w:val="22"/>
          <w:lang w:val="hy-AM" w:eastAsia="en-US"/>
        </w:rPr>
        <w:t>Կինեմատոգրաֆիայի</w:t>
      </w:r>
      <w:r w:rsidRPr="00E27F1D">
        <w:rPr>
          <w:noProof/>
          <w:szCs w:val="22"/>
          <w:lang w:val="af-ZA" w:eastAsia="en-US"/>
        </w:rPr>
        <w:t xml:space="preserve"> </w:t>
      </w:r>
      <w:r w:rsidRPr="00AB56B7">
        <w:rPr>
          <w:noProof/>
          <w:szCs w:val="22"/>
          <w:lang w:val="hy-AM" w:eastAsia="en-US"/>
        </w:rPr>
        <w:t>ծրագր</w:t>
      </w:r>
      <w:r w:rsidRPr="00E27F1D">
        <w:rPr>
          <w:noProof/>
          <w:szCs w:val="22"/>
          <w:lang w:val="hy-AM" w:eastAsia="en-US"/>
        </w:rPr>
        <w:t>ի</w:t>
      </w:r>
      <w:r w:rsidRPr="00E27F1D">
        <w:rPr>
          <w:b w:val="0"/>
          <w:noProof/>
          <w:szCs w:val="22"/>
          <w:lang w:val="af-ZA" w:eastAsia="en-US"/>
        </w:rPr>
        <w:t xml:space="preserve"> </w:t>
      </w:r>
      <w:r w:rsidRPr="00E27F1D">
        <w:rPr>
          <w:b w:val="0"/>
          <w:noProof/>
          <w:szCs w:val="22"/>
          <w:lang w:val="hy-AM" w:eastAsia="en-US"/>
        </w:rPr>
        <w:t>ն</w:t>
      </w:r>
      <w:r w:rsidRPr="00AB56B7">
        <w:rPr>
          <w:b w:val="0"/>
          <w:noProof/>
          <w:szCs w:val="22"/>
          <w:lang w:val="hy-AM" w:eastAsia="en-US"/>
        </w:rPr>
        <w:t>պատակ</w:t>
      </w:r>
      <w:r w:rsidRPr="00E27F1D">
        <w:rPr>
          <w:b w:val="0"/>
          <w:noProof/>
          <w:szCs w:val="22"/>
          <w:lang w:val="hy-AM" w:eastAsia="en-US"/>
        </w:rPr>
        <w:t>ը՝</w:t>
      </w:r>
      <w:r w:rsidRPr="00E27F1D">
        <w:rPr>
          <w:b w:val="0"/>
          <w:noProof/>
          <w:szCs w:val="22"/>
          <w:lang w:val="af-ZA" w:eastAsia="en-US"/>
        </w:rPr>
        <w:t xml:space="preserve"> </w:t>
      </w:r>
      <w:r w:rsidRPr="00AB56B7">
        <w:rPr>
          <w:b w:val="0"/>
          <w:noProof/>
          <w:szCs w:val="22"/>
          <w:lang w:val="hy-AM" w:eastAsia="en-US"/>
        </w:rPr>
        <w:t>աջակցել</w:t>
      </w:r>
      <w:r w:rsidRPr="00E27F1D">
        <w:rPr>
          <w:b w:val="0"/>
          <w:noProof/>
          <w:szCs w:val="22"/>
          <w:lang w:val="af-ZA" w:eastAsia="en-US"/>
        </w:rPr>
        <w:t xml:space="preserve"> </w:t>
      </w:r>
      <w:r w:rsidRPr="00AB56B7">
        <w:rPr>
          <w:b w:val="0"/>
          <w:noProof/>
          <w:szCs w:val="22"/>
          <w:lang w:val="hy-AM" w:eastAsia="en-US"/>
        </w:rPr>
        <w:t>կինոարվեստի</w:t>
      </w:r>
      <w:r w:rsidRPr="00E27F1D">
        <w:rPr>
          <w:b w:val="0"/>
          <w:noProof/>
          <w:szCs w:val="22"/>
          <w:lang w:val="af-ZA" w:eastAsia="en-US"/>
        </w:rPr>
        <w:t xml:space="preserve"> </w:t>
      </w:r>
      <w:r w:rsidRPr="00AB56B7">
        <w:rPr>
          <w:b w:val="0"/>
          <w:noProof/>
          <w:szCs w:val="22"/>
          <w:lang w:val="hy-AM" w:eastAsia="en-US"/>
        </w:rPr>
        <w:t>և</w:t>
      </w:r>
      <w:r w:rsidRPr="00E27F1D">
        <w:rPr>
          <w:b w:val="0"/>
          <w:noProof/>
          <w:szCs w:val="22"/>
          <w:lang w:val="af-ZA" w:eastAsia="en-US"/>
        </w:rPr>
        <w:t xml:space="preserve"> </w:t>
      </w:r>
      <w:r w:rsidRPr="00AB56B7">
        <w:rPr>
          <w:b w:val="0"/>
          <w:noProof/>
          <w:szCs w:val="22"/>
          <w:lang w:val="hy-AM" w:eastAsia="en-US"/>
        </w:rPr>
        <w:t>կինոարտադրության</w:t>
      </w:r>
      <w:r w:rsidRPr="00E27F1D">
        <w:rPr>
          <w:b w:val="0"/>
          <w:noProof/>
          <w:szCs w:val="22"/>
          <w:lang w:val="af-ZA" w:eastAsia="en-US"/>
        </w:rPr>
        <w:t xml:space="preserve"> </w:t>
      </w:r>
      <w:r w:rsidRPr="00AB56B7">
        <w:rPr>
          <w:b w:val="0"/>
          <w:noProof/>
          <w:szCs w:val="22"/>
          <w:lang w:val="hy-AM" w:eastAsia="en-US"/>
        </w:rPr>
        <w:t>զարգացմանը</w:t>
      </w:r>
      <w:r w:rsidRPr="00E27F1D">
        <w:rPr>
          <w:b w:val="0"/>
          <w:noProof/>
          <w:szCs w:val="22"/>
          <w:lang w:val="af-ZA" w:eastAsia="en-US"/>
        </w:rPr>
        <w:t xml:space="preserve">, </w:t>
      </w:r>
      <w:r w:rsidRPr="00AB56B7">
        <w:rPr>
          <w:b w:val="0"/>
          <w:noProof/>
          <w:szCs w:val="22"/>
          <w:lang w:val="hy-AM" w:eastAsia="en-US"/>
        </w:rPr>
        <w:t>հայկական</w:t>
      </w:r>
      <w:r w:rsidRPr="00E27F1D">
        <w:rPr>
          <w:b w:val="0"/>
          <w:noProof/>
          <w:szCs w:val="22"/>
          <w:lang w:val="af-ZA" w:eastAsia="en-US"/>
        </w:rPr>
        <w:t xml:space="preserve"> </w:t>
      </w:r>
      <w:r w:rsidRPr="00AB56B7">
        <w:rPr>
          <w:b w:val="0"/>
          <w:noProof/>
          <w:szCs w:val="22"/>
          <w:lang w:val="hy-AM" w:eastAsia="en-US"/>
        </w:rPr>
        <w:t>ավանդույթների</w:t>
      </w:r>
      <w:r w:rsidRPr="00E27F1D">
        <w:rPr>
          <w:b w:val="0"/>
          <w:noProof/>
          <w:szCs w:val="22"/>
          <w:lang w:val="af-ZA" w:eastAsia="en-US"/>
        </w:rPr>
        <w:t xml:space="preserve"> </w:t>
      </w:r>
      <w:r w:rsidRPr="00AB56B7">
        <w:rPr>
          <w:b w:val="0"/>
          <w:noProof/>
          <w:szCs w:val="22"/>
          <w:lang w:val="hy-AM" w:eastAsia="en-US"/>
        </w:rPr>
        <w:t>շարունակականության</w:t>
      </w:r>
      <w:r w:rsidRPr="00E27F1D">
        <w:rPr>
          <w:b w:val="0"/>
          <w:noProof/>
          <w:szCs w:val="22"/>
          <w:lang w:val="af-ZA" w:eastAsia="en-US"/>
        </w:rPr>
        <w:t xml:space="preserve"> </w:t>
      </w:r>
      <w:r w:rsidRPr="00AB56B7">
        <w:rPr>
          <w:b w:val="0"/>
          <w:noProof/>
          <w:szCs w:val="22"/>
          <w:lang w:val="hy-AM" w:eastAsia="en-US"/>
        </w:rPr>
        <w:t>ապահովմանը</w:t>
      </w:r>
      <w:r w:rsidRPr="00E27F1D">
        <w:rPr>
          <w:b w:val="0"/>
          <w:noProof/>
          <w:szCs w:val="22"/>
          <w:lang w:val="af-ZA" w:eastAsia="en-US"/>
        </w:rPr>
        <w:t xml:space="preserve"> </w:t>
      </w:r>
      <w:r w:rsidRPr="00AB56B7">
        <w:rPr>
          <w:b w:val="0"/>
          <w:noProof/>
          <w:szCs w:val="22"/>
          <w:lang w:val="hy-AM" w:eastAsia="en-US"/>
        </w:rPr>
        <w:t>և</w:t>
      </w:r>
      <w:r w:rsidRPr="00E27F1D">
        <w:rPr>
          <w:b w:val="0"/>
          <w:noProof/>
          <w:szCs w:val="22"/>
          <w:lang w:val="af-ZA" w:eastAsia="en-US"/>
        </w:rPr>
        <w:t xml:space="preserve"> </w:t>
      </w:r>
      <w:r w:rsidRPr="00AB56B7">
        <w:rPr>
          <w:b w:val="0"/>
          <w:noProof/>
          <w:szCs w:val="22"/>
          <w:lang w:val="hy-AM" w:eastAsia="en-US"/>
        </w:rPr>
        <w:t>կինոարվեստի</w:t>
      </w:r>
      <w:r w:rsidRPr="00E27F1D">
        <w:rPr>
          <w:b w:val="0"/>
          <w:noProof/>
          <w:szCs w:val="22"/>
          <w:lang w:val="af-ZA" w:eastAsia="en-US"/>
        </w:rPr>
        <w:t xml:space="preserve"> </w:t>
      </w:r>
      <w:r w:rsidRPr="00AB56B7">
        <w:rPr>
          <w:b w:val="0"/>
          <w:noProof/>
          <w:szCs w:val="22"/>
          <w:lang w:val="hy-AM" w:eastAsia="en-US"/>
        </w:rPr>
        <w:t>հանրահռչակմանը</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en-US" w:eastAsia="en-US"/>
        </w:rPr>
        <w:t>Ծրագրի</w:t>
      </w:r>
      <w:r w:rsidRPr="00E27F1D">
        <w:rPr>
          <w:b w:val="0"/>
          <w:noProof/>
          <w:szCs w:val="22"/>
          <w:lang w:val="af-ZA" w:eastAsia="en-US"/>
        </w:rPr>
        <w:t xml:space="preserve"> </w:t>
      </w:r>
      <w:r w:rsidRPr="00E27F1D">
        <w:rPr>
          <w:b w:val="0"/>
          <w:noProof/>
          <w:szCs w:val="22"/>
          <w:lang w:val="en-US" w:eastAsia="en-US"/>
        </w:rPr>
        <w:t>շրջանակներում</w:t>
      </w:r>
      <w:r w:rsidRPr="00E27F1D">
        <w:rPr>
          <w:b w:val="0"/>
          <w:noProof/>
          <w:szCs w:val="22"/>
          <w:lang w:val="af-ZA" w:eastAsia="en-US"/>
        </w:rPr>
        <w:t xml:space="preserve"> </w:t>
      </w:r>
      <w:r w:rsidRPr="00E27F1D">
        <w:rPr>
          <w:b w:val="0"/>
          <w:noProof/>
          <w:szCs w:val="22"/>
          <w:lang w:val="en-US" w:eastAsia="en-US"/>
        </w:rPr>
        <w:t>հատկացումներն</w:t>
      </w:r>
      <w:r w:rsidRPr="00E27F1D">
        <w:rPr>
          <w:b w:val="0"/>
          <w:noProof/>
          <w:szCs w:val="22"/>
          <w:lang w:val="af-ZA" w:eastAsia="en-US"/>
        </w:rPr>
        <w:t xml:space="preserve"> </w:t>
      </w:r>
      <w:r w:rsidRPr="00E27F1D">
        <w:rPr>
          <w:b w:val="0"/>
          <w:noProof/>
          <w:szCs w:val="22"/>
          <w:lang w:val="en-US" w:eastAsia="en-US"/>
        </w:rPr>
        <w:t>ուղղվելու</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w:t>
      </w:r>
      <w:r w:rsidRPr="00E27F1D">
        <w:rPr>
          <w:b w:val="0"/>
          <w:noProof/>
          <w:szCs w:val="22"/>
          <w:lang w:val="en-US" w:eastAsia="en-US"/>
        </w:rPr>
        <w:t>խաղարկային</w:t>
      </w:r>
      <w:r w:rsidRPr="00E27F1D">
        <w:rPr>
          <w:b w:val="0"/>
          <w:noProof/>
          <w:szCs w:val="22"/>
          <w:lang w:val="af-ZA" w:eastAsia="en-US"/>
        </w:rPr>
        <w:t xml:space="preserve">, </w:t>
      </w:r>
      <w:r w:rsidRPr="00E27F1D">
        <w:rPr>
          <w:b w:val="0"/>
          <w:noProof/>
          <w:szCs w:val="22"/>
          <w:lang w:val="en-US" w:eastAsia="en-US"/>
        </w:rPr>
        <w:t>վավերագրական</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մուլտիպլիկացիոն</w:t>
      </w:r>
      <w:r w:rsidRPr="00E27F1D">
        <w:rPr>
          <w:b w:val="0"/>
          <w:noProof/>
          <w:szCs w:val="22"/>
          <w:lang w:val="af-ZA" w:eastAsia="en-US"/>
        </w:rPr>
        <w:t xml:space="preserve"> </w:t>
      </w:r>
      <w:r w:rsidRPr="00E27F1D">
        <w:rPr>
          <w:b w:val="0"/>
          <w:noProof/>
          <w:szCs w:val="22"/>
          <w:lang w:val="en-US" w:eastAsia="en-US"/>
        </w:rPr>
        <w:t>ֆիլմերի</w:t>
      </w:r>
      <w:r w:rsidRPr="00E27F1D">
        <w:rPr>
          <w:b w:val="0"/>
          <w:noProof/>
          <w:szCs w:val="22"/>
          <w:lang w:val="af-ZA" w:eastAsia="en-US"/>
        </w:rPr>
        <w:t xml:space="preserve"> </w:t>
      </w:r>
      <w:r w:rsidRPr="00E27F1D">
        <w:rPr>
          <w:b w:val="0"/>
          <w:noProof/>
          <w:szCs w:val="22"/>
          <w:lang w:val="en-US" w:eastAsia="en-US"/>
        </w:rPr>
        <w:t>արտադրությանը</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թվայնացմանը</w:t>
      </w:r>
      <w:r w:rsidRPr="00E27F1D">
        <w:rPr>
          <w:b w:val="0"/>
          <w:noProof/>
          <w:szCs w:val="22"/>
          <w:lang w:val="af-ZA" w:eastAsia="en-US"/>
        </w:rPr>
        <w:t xml:space="preserve">, </w:t>
      </w:r>
      <w:r w:rsidRPr="00E27F1D">
        <w:rPr>
          <w:b w:val="0"/>
          <w:noProof/>
          <w:szCs w:val="22"/>
          <w:lang w:val="en-US" w:eastAsia="en-US"/>
        </w:rPr>
        <w:t>Հայաստանում</w:t>
      </w:r>
      <w:r w:rsidRPr="00E27F1D">
        <w:rPr>
          <w:b w:val="0"/>
          <w:noProof/>
          <w:szCs w:val="22"/>
          <w:lang w:val="af-ZA" w:eastAsia="en-US"/>
        </w:rPr>
        <w:t xml:space="preserve"> </w:t>
      </w:r>
      <w:r w:rsidRPr="00E27F1D">
        <w:rPr>
          <w:b w:val="0"/>
          <w:noProof/>
          <w:szCs w:val="22"/>
          <w:lang w:val="en-US" w:eastAsia="en-US"/>
        </w:rPr>
        <w:t>միջազգային</w:t>
      </w:r>
      <w:r w:rsidRPr="00E27F1D">
        <w:rPr>
          <w:b w:val="0"/>
          <w:noProof/>
          <w:szCs w:val="22"/>
          <w:lang w:val="af-ZA" w:eastAsia="en-US"/>
        </w:rPr>
        <w:t xml:space="preserve"> </w:t>
      </w:r>
      <w:r w:rsidRPr="00E27F1D">
        <w:rPr>
          <w:b w:val="0"/>
          <w:noProof/>
          <w:szCs w:val="22"/>
          <w:lang w:val="en-US" w:eastAsia="en-US"/>
        </w:rPr>
        <w:t>կինոփառատոների</w:t>
      </w:r>
      <w:r w:rsidRPr="00E27F1D">
        <w:rPr>
          <w:b w:val="0"/>
          <w:noProof/>
          <w:szCs w:val="22"/>
          <w:lang w:val="af-ZA" w:eastAsia="en-US"/>
        </w:rPr>
        <w:t xml:space="preserve"> </w:t>
      </w:r>
      <w:r w:rsidRPr="00E27F1D">
        <w:rPr>
          <w:b w:val="0"/>
          <w:noProof/>
          <w:szCs w:val="22"/>
          <w:lang w:val="en-US" w:eastAsia="en-US"/>
        </w:rPr>
        <w:t>կազմակերպմանը</w:t>
      </w:r>
      <w:r w:rsidRPr="00E27F1D">
        <w:rPr>
          <w:b w:val="0"/>
          <w:noProof/>
          <w:szCs w:val="22"/>
          <w:lang w:val="hy-AM" w:eastAsia="en-US"/>
        </w:rPr>
        <w:t xml:space="preserve"> և</w:t>
      </w:r>
      <w:r w:rsidRPr="00E27F1D">
        <w:rPr>
          <w:b w:val="0"/>
          <w:noProof/>
          <w:szCs w:val="22"/>
          <w:lang w:val="af-ZA" w:eastAsia="en-US"/>
        </w:rPr>
        <w:t xml:space="preserve"> </w:t>
      </w:r>
      <w:r w:rsidRPr="00E27F1D">
        <w:rPr>
          <w:b w:val="0"/>
          <w:noProof/>
          <w:szCs w:val="22"/>
          <w:lang w:val="en-US" w:eastAsia="en-US"/>
        </w:rPr>
        <w:t>միջազգային</w:t>
      </w:r>
      <w:r w:rsidRPr="00E27F1D">
        <w:rPr>
          <w:b w:val="0"/>
          <w:noProof/>
          <w:szCs w:val="22"/>
          <w:lang w:val="af-ZA" w:eastAsia="en-US"/>
        </w:rPr>
        <w:t xml:space="preserve"> </w:t>
      </w:r>
      <w:r w:rsidRPr="00E27F1D">
        <w:rPr>
          <w:b w:val="0"/>
          <w:noProof/>
          <w:szCs w:val="22"/>
          <w:lang w:val="en-US" w:eastAsia="en-US"/>
        </w:rPr>
        <w:t>փառատոներին</w:t>
      </w:r>
      <w:r w:rsidRPr="00E27F1D">
        <w:rPr>
          <w:b w:val="0"/>
          <w:noProof/>
          <w:szCs w:val="22"/>
          <w:lang w:val="af-ZA" w:eastAsia="en-US"/>
        </w:rPr>
        <w:t xml:space="preserve"> </w:t>
      </w:r>
      <w:r w:rsidRPr="00E27F1D">
        <w:rPr>
          <w:b w:val="0"/>
          <w:noProof/>
          <w:szCs w:val="22"/>
          <w:lang w:val="en-US" w:eastAsia="en-US"/>
        </w:rPr>
        <w:t>մասնակցությանը</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en-US" w:eastAsia="en-US"/>
        </w:rPr>
        <w:t>Կինեմատոգրաֆիայի</w:t>
      </w:r>
      <w:r w:rsidRPr="00E27F1D">
        <w:rPr>
          <w:b w:val="0"/>
          <w:noProof/>
          <w:szCs w:val="22"/>
          <w:lang w:val="af-ZA" w:eastAsia="en-US"/>
        </w:rPr>
        <w:t xml:space="preserve"> </w:t>
      </w:r>
      <w:r w:rsidRPr="00E27F1D">
        <w:rPr>
          <w:b w:val="0"/>
          <w:noProof/>
          <w:szCs w:val="22"/>
          <w:lang w:val="en-US" w:eastAsia="en-US"/>
        </w:rPr>
        <w:t>ծրագրի</w:t>
      </w:r>
      <w:r w:rsidRPr="00E27F1D">
        <w:rPr>
          <w:b w:val="0"/>
          <w:noProof/>
          <w:szCs w:val="22"/>
          <w:lang w:val="af-ZA" w:eastAsia="en-US"/>
        </w:rPr>
        <w:t xml:space="preserve"> </w:t>
      </w:r>
      <w:r w:rsidRPr="00E27F1D">
        <w:rPr>
          <w:b w:val="0"/>
          <w:noProof/>
          <w:szCs w:val="22"/>
          <w:lang w:val="en-US" w:eastAsia="en-US"/>
        </w:rPr>
        <w:t>համար</w:t>
      </w:r>
      <w:r w:rsidRPr="00E27F1D">
        <w:rPr>
          <w:b w:val="0"/>
          <w:noProof/>
          <w:szCs w:val="22"/>
          <w:lang w:val="af-ZA" w:eastAsia="en-US"/>
        </w:rPr>
        <w:t xml:space="preserve"> </w:t>
      </w:r>
      <w:r w:rsidRPr="00E27F1D">
        <w:rPr>
          <w:b w:val="0"/>
          <w:noProof/>
          <w:szCs w:val="22"/>
          <w:lang w:val="en-US" w:eastAsia="en-US"/>
        </w:rPr>
        <w:t>Նախագծով</w:t>
      </w:r>
      <w:r w:rsidRPr="00E27F1D">
        <w:rPr>
          <w:b w:val="0"/>
          <w:noProof/>
          <w:szCs w:val="22"/>
          <w:lang w:val="af-ZA" w:eastAsia="en-US"/>
        </w:rPr>
        <w:t xml:space="preserve"> </w:t>
      </w:r>
      <w:r w:rsidRPr="00E27F1D">
        <w:rPr>
          <w:b w:val="0"/>
          <w:noProof/>
          <w:szCs w:val="22"/>
          <w:lang w:val="en-US" w:eastAsia="en-US"/>
        </w:rPr>
        <w:t>նախատեսվում</w:t>
      </w:r>
      <w:r w:rsidRPr="00E27F1D">
        <w:rPr>
          <w:b w:val="0"/>
          <w:noProof/>
          <w:szCs w:val="22"/>
          <w:lang w:val="af-ZA" w:eastAsia="en-US"/>
        </w:rPr>
        <w:t xml:space="preserve"> </w:t>
      </w:r>
      <w:r w:rsidRPr="00E27F1D">
        <w:rPr>
          <w:b w:val="0"/>
          <w:noProof/>
          <w:szCs w:val="22"/>
          <w:lang w:val="en-US" w:eastAsia="en-US"/>
        </w:rPr>
        <w:t>է</w:t>
      </w:r>
      <w:r w:rsidRPr="00E27F1D">
        <w:rPr>
          <w:b w:val="0"/>
          <w:noProof/>
          <w:szCs w:val="22"/>
          <w:lang w:val="af-ZA" w:eastAsia="en-US"/>
        </w:rPr>
        <w:t xml:space="preserve"> </w:t>
      </w:r>
      <w:r w:rsidRPr="00E27F1D">
        <w:rPr>
          <w:b w:val="0"/>
          <w:noProof/>
          <w:szCs w:val="22"/>
          <w:lang w:val="en-US" w:eastAsia="en-US"/>
        </w:rPr>
        <w:t>հատկացնել</w:t>
      </w:r>
      <w:r w:rsidRPr="00E27F1D">
        <w:rPr>
          <w:b w:val="0"/>
          <w:noProof/>
          <w:szCs w:val="22"/>
          <w:lang w:val="af-ZA" w:eastAsia="en-US"/>
        </w:rPr>
        <w:t xml:space="preserve"> </w:t>
      </w:r>
      <w:r w:rsidRPr="00E27F1D">
        <w:rPr>
          <w:b w:val="0"/>
          <w:noProof/>
          <w:szCs w:val="22"/>
          <w:lang w:val="hy-AM" w:eastAsia="en-US"/>
        </w:rPr>
        <w:t>714</w:t>
      </w:r>
      <w:r w:rsidRPr="00E27F1D">
        <w:rPr>
          <w:b w:val="0"/>
          <w:noProof/>
          <w:szCs w:val="22"/>
          <w:lang w:val="af-ZA" w:eastAsia="en-US"/>
        </w:rPr>
        <w:t>.</w:t>
      </w:r>
      <w:r w:rsidRPr="00E27F1D">
        <w:rPr>
          <w:b w:val="0"/>
          <w:noProof/>
          <w:szCs w:val="22"/>
          <w:lang w:val="hy-AM" w:eastAsia="en-US"/>
        </w:rPr>
        <w:t>1</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w:t>
      </w:r>
      <w:r w:rsidRPr="00E27F1D">
        <w:rPr>
          <w:b w:val="0"/>
          <w:noProof/>
          <w:szCs w:val="22"/>
          <w:lang w:val="af-ZA" w:eastAsia="en-US"/>
        </w:rPr>
        <w:t xml:space="preserve"> </w:t>
      </w:r>
      <w:r w:rsidRPr="00E27F1D">
        <w:rPr>
          <w:b w:val="0"/>
          <w:noProof/>
          <w:szCs w:val="22"/>
          <w:lang w:val="en-US" w:eastAsia="en-US"/>
        </w:rPr>
        <w:t>ՀՀ</w:t>
      </w:r>
      <w:r w:rsidRPr="00E27F1D">
        <w:rPr>
          <w:b w:val="0"/>
          <w:noProof/>
          <w:szCs w:val="22"/>
          <w:lang w:val="af-ZA" w:eastAsia="en-US"/>
        </w:rPr>
        <w:t xml:space="preserve"> 20</w:t>
      </w:r>
      <w:r w:rsidRPr="00E27F1D">
        <w:rPr>
          <w:b w:val="0"/>
          <w:noProof/>
          <w:szCs w:val="22"/>
          <w:lang w:val="hy-AM" w:eastAsia="en-US"/>
        </w:rPr>
        <w:t>20</w:t>
      </w:r>
      <w:r w:rsidRPr="00E27F1D">
        <w:rPr>
          <w:b w:val="0"/>
          <w:noProof/>
          <w:szCs w:val="22"/>
          <w:lang w:val="af-ZA" w:eastAsia="en-US"/>
        </w:rPr>
        <w:t xml:space="preserve"> </w:t>
      </w:r>
      <w:r w:rsidRPr="00E27F1D">
        <w:rPr>
          <w:b w:val="0"/>
          <w:noProof/>
          <w:szCs w:val="22"/>
          <w:lang w:val="en-US" w:eastAsia="en-US"/>
        </w:rPr>
        <w:t>թվականի</w:t>
      </w:r>
      <w:r w:rsidRPr="00E27F1D">
        <w:rPr>
          <w:b w:val="0"/>
          <w:noProof/>
          <w:szCs w:val="22"/>
          <w:lang w:val="af-ZA" w:eastAsia="en-US"/>
        </w:rPr>
        <w:t xml:space="preserve"> </w:t>
      </w:r>
      <w:r w:rsidRPr="00E27F1D">
        <w:rPr>
          <w:b w:val="0"/>
          <w:noProof/>
          <w:szCs w:val="22"/>
          <w:lang w:val="en-US" w:eastAsia="en-US"/>
        </w:rPr>
        <w:t>պետական</w:t>
      </w:r>
      <w:r w:rsidRPr="00E27F1D">
        <w:rPr>
          <w:b w:val="0"/>
          <w:noProof/>
          <w:szCs w:val="22"/>
          <w:lang w:val="af-ZA" w:eastAsia="en-US"/>
        </w:rPr>
        <w:t xml:space="preserve"> </w:t>
      </w:r>
      <w:r w:rsidRPr="00E27F1D">
        <w:rPr>
          <w:b w:val="0"/>
          <w:noProof/>
          <w:szCs w:val="22"/>
          <w:lang w:val="en-US" w:eastAsia="en-US"/>
        </w:rPr>
        <w:t>բյուջեով</w:t>
      </w:r>
      <w:r w:rsidRPr="00E27F1D">
        <w:rPr>
          <w:b w:val="0"/>
          <w:noProof/>
          <w:szCs w:val="22"/>
          <w:lang w:val="af-ZA" w:eastAsia="en-US"/>
        </w:rPr>
        <w:t xml:space="preserve"> </w:t>
      </w:r>
      <w:r w:rsidRPr="00E27F1D">
        <w:rPr>
          <w:b w:val="0"/>
          <w:noProof/>
          <w:szCs w:val="22"/>
          <w:lang w:val="en-US" w:eastAsia="en-US"/>
        </w:rPr>
        <w:t>հաստատված</w:t>
      </w:r>
      <w:r w:rsidRPr="00E27F1D">
        <w:rPr>
          <w:b w:val="0"/>
          <w:noProof/>
          <w:szCs w:val="22"/>
          <w:lang w:val="af-ZA" w:eastAsia="en-US"/>
        </w:rPr>
        <w:t xml:space="preserve"> </w:t>
      </w:r>
      <w:r w:rsidRPr="00E27F1D">
        <w:rPr>
          <w:b w:val="0"/>
          <w:noProof/>
          <w:szCs w:val="22"/>
          <w:lang w:val="hy-AM" w:eastAsia="en-US"/>
        </w:rPr>
        <w:t>842</w:t>
      </w:r>
      <w:r w:rsidRPr="00E27F1D">
        <w:rPr>
          <w:b w:val="0"/>
          <w:noProof/>
          <w:szCs w:val="22"/>
          <w:lang w:val="af-ZA" w:eastAsia="en-US"/>
        </w:rPr>
        <w:t>.</w:t>
      </w:r>
      <w:r w:rsidRPr="00E27F1D">
        <w:rPr>
          <w:b w:val="0"/>
          <w:noProof/>
          <w:szCs w:val="22"/>
          <w:lang w:val="hy-AM" w:eastAsia="en-US"/>
        </w:rPr>
        <w:t>0</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դրամի</w:t>
      </w:r>
      <w:r w:rsidRPr="00E27F1D">
        <w:rPr>
          <w:b w:val="0"/>
          <w:noProof/>
          <w:szCs w:val="22"/>
          <w:lang w:val="af-ZA" w:eastAsia="en-US"/>
        </w:rPr>
        <w:t xml:space="preserve"> </w:t>
      </w:r>
      <w:r w:rsidRPr="00E27F1D">
        <w:rPr>
          <w:b w:val="0"/>
          <w:noProof/>
          <w:szCs w:val="22"/>
          <w:lang w:val="en-US" w:eastAsia="en-US"/>
        </w:rPr>
        <w:t>դիմաց</w:t>
      </w:r>
      <w:r w:rsidRPr="00E27F1D">
        <w:rPr>
          <w:b w:val="0"/>
          <w:noProof/>
          <w:szCs w:val="22"/>
          <w:lang w:val="af-ZA" w:eastAsia="en-US"/>
        </w:rPr>
        <w:t xml:space="preserve">: </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en-US" w:eastAsia="en-US"/>
        </w:rPr>
        <w:t>Ծախսեր</w:t>
      </w:r>
      <w:r w:rsidRPr="00E27F1D">
        <w:rPr>
          <w:b w:val="0"/>
          <w:noProof/>
          <w:szCs w:val="22"/>
          <w:lang w:val="hy-AM" w:eastAsia="en-US"/>
        </w:rPr>
        <w:t>ը</w:t>
      </w:r>
      <w:r w:rsidRPr="00E27F1D">
        <w:rPr>
          <w:b w:val="0"/>
          <w:noProof/>
          <w:szCs w:val="22"/>
          <w:lang w:val="af-ZA" w:eastAsia="en-US"/>
        </w:rPr>
        <w:t xml:space="preserve"> </w:t>
      </w:r>
      <w:r w:rsidRPr="00E27F1D">
        <w:rPr>
          <w:b w:val="0"/>
          <w:noProof/>
          <w:szCs w:val="22"/>
          <w:lang w:val="hy-AM" w:eastAsia="en-US"/>
        </w:rPr>
        <w:t>նվազել</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w:t>
      </w:r>
      <w:r w:rsidRPr="00E27F1D">
        <w:rPr>
          <w:b w:val="0"/>
          <w:noProof/>
          <w:szCs w:val="22"/>
          <w:lang w:val="hy-AM" w:eastAsia="en-US"/>
        </w:rPr>
        <w:t>127</w:t>
      </w:r>
      <w:r w:rsidRPr="00E27F1D">
        <w:rPr>
          <w:b w:val="0"/>
          <w:noProof/>
          <w:szCs w:val="22"/>
          <w:lang w:val="af-ZA" w:eastAsia="en-US"/>
        </w:rPr>
        <w:t>.</w:t>
      </w:r>
      <w:r w:rsidRPr="00E27F1D">
        <w:rPr>
          <w:b w:val="0"/>
          <w:noProof/>
          <w:szCs w:val="22"/>
          <w:lang w:val="hy-AM" w:eastAsia="en-US"/>
        </w:rPr>
        <w:t>9</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դրամով</w:t>
      </w:r>
      <w:r w:rsidRPr="00E27F1D">
        <w:rPr>
          <w:b w:val="0"/>
          <w:noProof/>
          <w:szCs w:val="22"/>
          <w:lang w:val="af-ZA" w:eastAsia="en-US"/>
        </w:rPr>
        <w:t xml:space="preserve">, </w:t>
      </w:r>
      <w:r w:rsidRPr="00E27F1D">
        <w:rPr>
          <w:b w:val="0"/>
          <w:noProof/>
          <w:szCs w:val="22"/>
          <w:lang w:val="en-US" w:eastAsia="en-US"/>
        </w:rPr>
        <w:t>կամ</w:t>
      </w:r>
      <w:r w:rsidRPr="00E27F1D">
        <w:rPr>
          <w:b w:val="0"/>
          <w:noProof/>
          <w:szCs w:val="22"/>
          <w:lang w:val="af-ZA" w:eastAsia="en-US"/>
        </w:rPr>
        <w:t xml:space="preserve"> </w:t>
      </w:r>
      <w:r w:rsidRPr="00E27F1D">
        <w:rPr>
          <w:b w:val="0"/>
          <w:noProof/>
          <w:szCs w:val="22"/>
          <w:lang w:val="hy-AM" w:eastAsia="en-US"/>
        </w:rPr>
        <w:t>15</w:t>
      </w:r>
      <w:r w:rsidRPr="00E27F1D">
        <w:rPr>
          <w:b w:val="0"/>
          <w:noProof/>
          <w:szCs w:val="22"/>
          <w:lang w:val="af-ZA" w:eastAsia="en-US"/>
        </w:rPr>
        <w:t>.</w:t>
      </w:r>
      <w:r w:rsidRPr="00E27F1D">
        <w:rPr>
          <w:b w:val="0"/>
          <w:noProof/>
          <w:szCs w:val="22"/>
          <w:lang w:val="hy-AM" w:eastAsia="en-US"/>
        </w:rPr>
        <w:t>2</w:t>
      </w:r>
      <w:r w:rsidRPr="00E27F1D">
        <w:rPr>
          <w:b w:val="0"/>
          <w:noProof/>
          <w:szCs w:val="22"/>
          <w:lang w:val="af-ZA" w:eastAsia="en-US"/>
        </w:rPr>
        <w:t xml:space="preserve"> %-</w:t>
      </w:r>
      <w:r w:rsidRPr="00E27F1D">
        <w:rPr>
          <w:b w:val="0"/>
          <w:noProof/>
          <w:szCs w:val="22"/>
          <w:lang w:val="en-US" w:eastAsia="en-US"/>
        </w:rPr>
        <w:t>ով</w:t>
      </w:r>
      <w:r w:rsidRPr="00E27F1D">
        <w:rPr>
          <w:b w:val="0"/>
          <w:noProof/>
          <w:szCs w:val="22"/>
          <w:lang w:val="af-ZA" w:eastAsia="en-US"/>
        </w:rPr>
        <w:t xml:space="preserve">, </w:t>
      </w:r>
      <w:r w:rsidRPr="00E27F1D">
        <w:rPr>
          <w:b w:val="0"/>
          <w:noProof/>
          <w:szCs w:val="22"/>
          <w:lang w:val="en-US" w:eastAsia="en-US"/>
        </w:rPr>
        <w:t>որը</w:t>
      </w:r>
      <w:r w:rsidRPr="00E27F1D">
        <w:rPr>
          <w:b w:val="0"/>
          <w:noProof/>
          <w:szCs w:val="22"/>
          <w:lang w:val="af-ZA" w:eastAsia="en-US"/>
        </w:rPr>
        <w:t xml:space="preserve"> </w:t>
      </w:r>
      <w:r w:rsidRPr="00E27F1D">
        <w:rPr>
          <w:b w:val="0"/>
          <w:noProof/>
          <w:szCs w:val="22"/>
          <w:lang w:val="en-US" w:eastAsia="en-US"/>
        </w:rPr>
        <w:t>պայմանավորված</w:t>
      </w:r>
      <w:r w:rsidRPr="00E27F1D">
        <w:rPr>
          <w:b w:val="0"/>
          <w:noProof/>
          <w:szCs w:val="22"/>
          <w:lang w:val="af-ZA" w:eastAsia="en-US"/>
        </w:rPr>
        <w:t xml:space="preserve"> </w:t>
      </w:r>
      <w:r w:rsidRPr="00E27F1D">
        <w:rPr>
          <w:b w:val="0"/>
          <w:noProof/>
          <w:szCs w:val="22"/>
          <w:lang w:val="en-US" w:eastAsia="en-US"/>
        </w:rPr>
        <w:t>է</w:t>
      </w:r>
      <w:r w:rsidRPr="00E27F1D">
        <w:rPr>
          <w:b w:val="0"/>
          <w:noProof/>
          <w:szCs w:val="22"/>
          <w:lang w:val="hy-AM" w:eastAsia="en-US"/>
        </w:rPr>
        <w:t xml:space="preserve"> ծախսային գերակայություններով, առաջնահերթություններով</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b w:val="0"/>
          <w:noProof/>
          <w:szCs w:val="22"/>
          <w:lang w:val="hy-AM" w:eastAsia="en-US"/>
        </w:rPr>
        <w:t xml:space="preserve">       </w:t>
      </w:r>
      <w:r w:rsidRPr="00AB56B7">
        <w:rPr>
          <w:noProof/>
          <w:szCs w:val="22"/>
          <w:lang w:val="hy-AM" w:eastAsia="en-US"/>
        </w:rPr>
        <w:t>Մշակութային</w:t>
      </w:r>
      <w:r w:rsidRPr="00E27F1D">
        <w:rPr>
          <w:noProof/>
          <w:szCs w:val="22"/>
          <w:lang w:val="af-ZA" w:eastAsia="en-US"/>
        </w:rPr>
        <w:t xml:space="preserve"> </w:t>
      </w:r>
      <w:r w:rsidRPr="00AB56B7">
        <w:rPr>
          <w:noProof/>
          <w:szCs w:val="22"/>
          <w:lang w:val="hy-AM" w:eastAsia="en-US"/>
        </w:rPr>
        <w:t>ժառանգության</w:t>
      </w:r>
      <w:r w:rsidRPr="00E27F1D">
        <w:rPr>
          <w:noProof/>
          <w:szCs w:val="22"/>
          <w:lang w:val="af-ZA" w:eastAsia="en-US"/>
        </w:rPr>
        <w:t xml:space="preserve"> </w:t>
      </w:r>
      <w:r w:rsidRPr="00AB56B7">
        <w:rPr>
          <w:noProof/>
          <w:szCs w:val="22"/>
          <w:lang w:val="hy-AM" w:eastAsia="en-US"/>
        </w:rPr>
        <w:t>ծրագր</w:t>
      </w:r>
      <w:r w:rsidRPr="00E27F1D">
        <w:rPr>
          <w:noProof/>
          <w:szCs w:val="22"/>
          <w:lang w:val="hy-AM" w:eastAsia="en-US"/>
        </w:rPr>
        <w:t>ի</w:t>
      </w:r>
      <w:r w:rsidRPr="00E27F1D">
        <w:rPr>
          <w:b w:val="0"/>
          <w:noProof/>
          <w:szCs w:val="22"/>
          <w:lang w:val="af-ZA" w:eastAsia="en-US"/>
        </w:rPr>
        <w:t xml:space="preserve"> </w:t>
      </w:r>
      <w:r w:rsidRPr="00AB56B7">
        <w:rPr>
          <w:b w:val="0"/>
          <w:noProof/>
          <w:szCs w:val="22"/>
          <w:lang w:val="hy-AM" w:eastAsia="en-US"/>
        </w:rPr>
        <w:t>նպատակ</w:t>
      </w:r>
      <w:r w:rsidRPr="00E27F1D">
        <w:rPr>
          <w:b w:val="0"/>
          <w:noProof/>
          <w:szCs w:val="22"/>
          <w:lang w:val="hy-AM" w:eastAsia="en-US"/>
        </w:rPr>
        <w:t>ը՝</w:t>
      </w:r>
      <w:r w:rsidRPr="00E27F1D">
        <w:rPr>
          <w:b w:val="0"/>
          <w:noProof/>
          <w:szCs w:val="22"/>
          <w:lang w:val="af-ZA" w:eastAsia="en-US"/>
        </w:rPr>
        <w:t xml:space="preserve"> </w:t>
      </w:r>
      <w:r w:rsidRPr="00AB56B7">
        <w:rPr>
          <w:b w:val="0"/>
          <w:noProof/>
          <w:szCs w:val="22"/>
          <w:lang w:val="hy-AM" w:eastAsia="en-US"/>
        </w:rPr>
        <w:t>ապահովել</w:t>
      </w:r>
      <w:r w:rsidRPr="00E27F1D">
        <w:rPr>
          <w:b w:val="0"/>
          <w:noProof/>
          <w:szCs w:val="22"/>
          <w:lang w:val="af-ZA" w:eastAsia="en-US"/>
        </w:rPr>
        <w:t xml:space="preserve"> </w:t>
      </w:r>
      <w:r w:rsidRPr="00AB56B7">
        <w:rPr>
          <w:b w:val="0"/>
          <w:noProof/>
          <w:szCs w:val="22"/>
          <w:lang w:val="hy-AM" w:eastAsia="en-US"/>
        </w:rPr>
        <w:t>մշակութային</w:t>
      </w:r>
      <w:r w:rsidRPr="00E27F1D">
        <w:rPr>
          <w:b w:val="0"/>
          <w:noProof/>
          <w:szCs w:val="22"/>
          <w:lang w:val="af-ZA" w:eastAsia="en-US"/>
        </w:rPr>
        <w:t xml:space="preserve"> </w:t>
      </w:r>
      <w:r w:rsidRPr="00AB56B7">
        <w:rPr>
          <w:b w:val="0"/>
          <w:noProof/>
          <w:szCs w:val="22"/>
          <w:lang w:val="hy-AM" w:eastAsia="en-US"/>
        </w:rPr>
        <w:t>ժառանգության</w:t>
      </w:r>
      <w:r w:rsidRPr="00E27F1D">
        <w:rPr>
          <w:b w:val="0"/>
          <w:noProof/>
          <w:szCs w:val="22"/>
          <w:lang w:val="af-ZA" w:eastAsia="en-US"/>
        </w:rPr>
        <w:t xml:space="preserve"> </w:t>
      </w:r>
      <w:r w:rsidRPr="00AB56B7">
        <w:rPr>
          <w:b w:val="0"/>
          <w:noProof/>
          <w:szCs w:val="22"/>
          <w:lang w:val="hy-AM" w:eastAsia="en-US"/>
        </w:rPr>
        <w:t>պահպանումը</w:t>
      </w:r>
      <w:r w:rsidRPr="00E27F1D">
        <w:rPr>
          <w:b w:val="0"/>
          <w:noProof/>
          <w:szCs w:val="22"/>
          <w:lang w:val="af-ZA" w:eastAsia="en-US"/>
        </w:rPr>
        <w:t xml:space="preserve">, </w:t>
      </w:r>
      <w:r w:rsidRPr="00AB56B7">
        <w:rPr>
          <w:b w:val="0"/>
          <w:noProof/>
          <w:szCs w:val="22"/>
          <w:lang w:val="hy-AM" w:eastAsia="en-US"/>
        </w:rPr>
        <w:t>օգտագործումը</w:t>
      </w:r>
      <w:r w:rsidRPr="00E27F1D">
        <w:rPr>
          <w:b w:val="0"/>
          <w:noProof/>
          <w:szCs w:val="22"/>
          <w:lang w:val="af-ZA" w:eastAsia="en-US"/>
        </w:rPr>
        <w:t xml:space="preserve">, </w:t>
      </w:r>
      <w:r w:rsidRPr="00AB56B7">
        <w:rPr>
          <w:b w:val="0"/>
          <w:noProof/>
          <w:szCs w:val="22"/>
          <w:lang w:val="hy-AM" w:eastAsia="en-US"/>
        </w:rPr>
        <w:t>համալրումը</w:t>
      </w:r>
      <w:r w:rsidRPr="00E27F1D">
        <w:rPr>
          <w:b w:val="0"/>
          <w:noProof/>
          <w:szCs w:val="22"/>
          <w:lang w:val="af-ZA" w:eastAsia="en-US"/>
        </w:rPr>
        <w:t xml:space="preserve"> </w:t>
      </w:r>
      <w:r w:rsidRPr="00AB56B7">
        <w:rPr>
          <w:b w:val="0"/>
          <w:noProof/>
          <w:szCs w:val="22"/>
          <w:lang w:val="hy-AM" w:eastAsia="en-US"/>
        </w:rPr>
        <w:t>և</w:t>
      </w:r>
      <w:r w:rsidRPr="00E27F1D">
        <w:rPr>
          <w:b w:val="0"/>
          <w:noProof/>
          <w:szCs w:val="22"/>
          <w:lang w:val="af-ZA" w:eastAsia="en-US"/>
        </w:rPr>
        <w:t xml:space="preserve"> </w:t>
      </w:r>
      <w:r w:rsidRPr="00AB56B7">
        <w:rPr>
          <w:b w:val="0"/>
          <w:noProof/>
          <w:szCs w:val="22"/>
          <w:lang w:val="hy-AM" w:eastAsia="en-US"/>
        </w:rPr>
        <w:t>հանրահռչակումը</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af-ZA" w:eastAsia="en-US"/>
        </w:rPr>
        <w:tab/>
      </w:r>
      <w:r w:rsidRPr="00E27F1D">
        <w:rPr>
          <w:b w:val="0"/>
          <w:noProof/>
          <w:szCs w:val="22"/>
          <w:lang w:val="en-US" w:eastAsia="en-US"/>
        </w:rPr>
        <w:t>Ծրագրի</w:t>
      </w:r>
      <w:r w:rsidRPr="00E27F1D">
        <w:rPr>
          <w:b w:val="0"/>
          <w:noProof/>
          <w:szCs w:val="22"/>
          <w:lang w:val="af-ZA" w:eastAsia="en-US"/>
        </w:rPr>
        <w:t xml:space="preserve"> </w:t>
      </w:r>
      <w:r w:rsidRPr="00E27F1D">
        <w:rPr>
          <w:b w:val="0"/>
          <w:noProof/>
          <w:szCs w:val="22"/>
          <w:lang w:val="en-US" w:eastAsia="en-US"/>
        </w:rPr>
        <w:t>շրջանակներում</w:t>
      </w:r>
      <w:r w:rsidRPr="00E27F1D">
        <w:rPr>
          <w:b w:val="0"/>
          <w:noProof/>
          <w:szCs w:val="22"/>
          <w:lang w:val="af-ZA" w:eastAsia="en-US"/>
        </w:rPr>
        <w:t xml:space="preserve"> </w:t>
      </w:r>
      <w:r w:rsidRPr="00E27F1D">
        <w:rPr>
          <w:b w:val="0"/>
          <w:noProof/>
          <w:szCs w:val="22"/>
          <w:lang w:val="en-US" w:eastAsia="en-US"/>
        </w:rPr>
        <w:t>հատկացումներն</w:t>
      </w:r>
      <w:r w:rsidRPr="00E27F1D">
        <w:rPr>
          <w:b w:val="0"/>
          <w:noProof/>
          <w:szCs w:val="22"/>
          <w:lang w:val="af-ZA" w:eastAsia="en-US"/>
        </w:rPr>
        <w:t xml:space="preserve"> </w:t>
      </w:r>
      <w:r w:rsidRPr="00E27F1D">
        <w:rPr>
          <w:b w:val="0"/>
          <w:noProof/>
          <w:szCs w:val="22"/>
          <w:lang w:val="en-US" w:eastAsia="en-US"/>
        </w:rPr>
        <w:t>ուղղվելու</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w:t>
      </w:r>
      <w:r w:rsidRPr="00E27F1D">
        <w:rPr>
          <w:b w:val="0"/>
          <w:noProof/>
          <w:szCs w:val="22"/>
          <w:lang w:val="en-US" w:eastAsia="en-US"/>
        </w:rPr>
        <w:t>պատմամշակութային</w:t>
      </w:r>
      <w:r w:rsidRPr="00E27F1D">
        <w:rPr>
          <w:b w:val="0"/>
          <w:noProof/>
          <w:szCs w:val="22"/>
          <w:lang w:val="af-ZA" w:eastAsia="en-US"/>
        </w:rPr>
        <w:t xml:space="preserve"> </w:t>
      </w:r>
      <w:r w:rsidRPr="00E27F1D">
        <w:rPr>
          <w:b w:val="0"/>
          <w:noProof/>
          <w:szCs w:val="22"/>
          <w:lang w:val="en-US" w:eastAsia="en-US"/>
        </w:rPr>
        <w:t>ժառանգության</w:t>
      </w:r>
      <w:r w:rsidRPr="00E27F1D">
        <w:rPr>
          <w:b w:val="0"/>
          <w:noProof/>
          <w:szCs w:val="22"/>
          <w:lang w:val="af-ZA" w:eastAsia="en-US"/>
        </w:rPr>
        <w:t xml:space="preserve"> </w:t>
      </w:r>
      <w:r w:rsidRPr="00E27F1D">
        <w:rPr>
          <w:b w:val="0"/>
          <w:noProof/>
          <w:szCs w:val="22"/>
          <w:lang w:val="en-US" w:eastAsia="en-US"/>
        </w:rPr>
        <w:t>գիտահետազոտական</w:t>
      </w:r>
      <w:r w:rsidRPr="00E27F1D">
        <w:rPr>
          <w:b w:val="0"/>
          <w:noProof/>
          <w:szCs w:val="22"/>
          <w:lang w:val="af-ZA" w:eastAsia="en-US"/>
        </w:rPr>
        <w:t xml:space="preserve"> </w:t>
      </w:r>
      <w:r w:rsidRPr="00E27F1D">
        <w:rPr>
          <w:b w:val="0"/>
          <w:noProof/>
          <w:szCs w:val="22"/>
          <w:lang w:val="en-US" w:eastAsia="en-US"/>
        </w:rPr>
        <w:t>աշխատանքների</w:t>
      </w:r>
      <w:r w:rsidRPr="00E27F1D">
        <w:rPr>
          <w:b w:val="0"/>
          <w:noProof/>
          <w:szCs w:val="22"/>
          <w:lang w:val="af-ZA" w:eastAsia="en-US"/>
        </w:rPr>
        <w:t xml:space="preserve">, </w:t>
      </w:r>
      <w:r w:rsidRPr="00E27F1D">
        <w:rPr>
          <w:b w:val="0"/>
          <w:noProof/>
          <w:szCs w:val="22"/>
          <w:lang w:val="en-US" w:eastAsia="en-US"/>
        </w:rPr>
        <w:t>մշակութային</w:t>
      </w:r>
      <w:r w:rsidRPr="00E27F1D">
        <w:rPr>
          <w:b w:val="0"/>
          <w:noProof/>
          <w:szCs w:val="22"/>
          <w:lang w:val="af-ZA" w:eastAsia="en-US"/>
        </w:rPr>
        <w:t xml:space="preserve"> </w:t>
      </w:r>
      <w:r w:rsidRPr="00E27F1D">
        <w:rPr>
          <w:b w:val="0"/>
          <w:noProof/>
          <w:szCs w:val="22"/>
          <w:lang w:val="en-US" w:eastAsia="en-US"/>
        </w:rPr>
        <w:t>արժեքների</w:t>
      </w:r>
      <w:r w:rsidRPr="00E27F1D">
        <w:rPr>
          <w:b w:val="0"/>
          <w:noProof/>
          <w:szCs w:val="22"/>
          <w:lang w:val="af-ZA" w:eastAsia="en-US"/>
        </w:rPr>
        <w:t xml:space="preserve"> </w:t>
      </w:r>
      <w:r w:rsidRPr="00E27F1D">
        <w:rPr>
          <w:b w:val="0"/>
          <w:noProof/>
          <w:szCs w:val="22"/>
          <w:lang w:val="en-US" w:eastAsia="en-US"/>
        </w:rPr>
        <w:t>փորձաքննության</w:t>
      </w:r>
      <w:r w:rsidRPr="00E27F1D">
        <w:rPr>
          <w:b w:val="0"/>
          <w:noProof/>
          <w:szCs w:val="22"/>
          <w:lang w:val="af-ZA" w:eastAsia="en-US"/>
        </w:rPr>
        <w:t xml:space="preserve">, </w:t>
      </w:r>
      <w:r w:rsidRPr="00E27F1D">
        <w:rPr>
          <w:b w:val="0"/>
          <w:noProof/>
          <w:szCs w:val="22"/>
          <w:lang w:val="en-US" w:eastAsia="en-US"/>
        </w:rPr>
        <w:t>թանգարանային</w:t>
      </w:r>
      <w:r w:rsidRPr="00E27F1D">
        <w:rPr>
          <w:b w:val="0"/>
          <w:noProof/>
          <w:szCs w:val="22"/>
          <w:lang w:val="af-ZA" w:eastAsia="en-US"/>
        </w:rPr>
        <w:t xml:space="preserve"> </w:t>
      </w:r>
      <w:r w:rsidRPr="00E27F1D">
        <w:rPr>
          <w:b w:val="0"/>
          <w:noProof/>
          <w:szCs w:val="22"/>
          <w:lang w:val="en-US" w:eastAsia="en-US"/>
        </w:rPr>
        <w:t>ծառայությունների</w:t>
      </w:r>
      <w:r w:rsidRPr="00E27F1D">
        <w:rPr>
          <w:b w:val="0"/>
          <w:noProof/>
          <w:szCs w:val="22"/>
          <w:lang w:val="af-ZA" w:eastAsia="en-US"/>
        </w:rPr>
        <w:t xml:space="preserve"> </w:t>
      </w:r>
      <w:r w:rsidRPr="00E27F1D">
        <w:rPr>
          <w:b w:val="0"/>
          <w:noProof/>
          <w:szCs w:val="22"/>
          <w:lang w:val="en-US" w:eastAsia="en-US"/>
        </w:rPr>
        <w:t>իրականացմանը</w:t>
      </w:r>
      <w:r w:rsidRPr="00E27F1D">
        <w:rPr>
          <w:b w:val="0"/>
          <w:noProof/>
          <w:szCs w:val="22"/>
          <w:lang w:val="af-ZA" w:eastAsia="en-US"/>
        </w:rPr>
        <w:t xml:space="preserve">, </w:t>
      </w:r>
      <w:r w:rsidRPr="00E27F1D">
        <w:rPr>
          <w:b w:val="0"/>
          <w:noProof/>
          <w:szCs w:val="22"/>
          <w:lang w:val="en-US" w:eastAsia="en-US"/>
        </w:rPr>
        <w:t>ՀՀ</w:t>
      </w:r>
      <w:r w:rsidRPr="00E27F1D">
        <w:rPr>
          <w:b w:val="0"/>
          <w:noProof/>
          <w:szCs w:val="22"/>
          <w:lang w:val="af-ZA" w:eastAsia="en-US"/>
        </w:rPr>
        <w:t xml:space="preserve"> </w:t>
      </w:r>
      <w:r w:rsidRPr="00E27F1D">
        <w:rPr>
          <w:b w:val="0"/>
          <w:noProof/>
          <w:szCs w:val="22"/>
          <w:lang w:val="en-US" w:eastAsia="en-US"/>
        </w:rPr>
        <w:t>տարածքում</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օտարերկրյա</w:t>
      </w:r>
      <w:r w:rsidRPr="00E27F1D">
        <w:rPr>
          <w:b w:val="0"/>
          <w:noProof/>
          <w:szCs w:val="22"/>
          <w:lang w:val="af-ZA" w:eastAsia="en-US"/>
        </w:rPr>
        <w:t xml:space="preserve"> </w:t>
      </w:r>
      <w:r w:rsidRPr="00E27F1D">
        <w:rPr>
          <w:b w:val="0"/>
          <w:noProof/>
          <w:szCs w:val="22"/>
          <w:lang w:val="en-US" w:eastAsia="en-US"/>
        </w:rPr>
        <w:t>պետություններում</w:t>
      </w:r>
      <w:r w:rsidRPr="00E27F1D">
        <w:rPr>
          <w:b w:val="0"/>
          <w:noProof/>
          <w:szCs w:val="22"/>
          <w:lang w:val="af-ZA" w:eastAsia="en-US"/>
        </w:rPr>
        <w:t xml:space="preserve"> </w:t>
      </w:r>
      <w:r w:rsidRPr="00E27F1D">
        <w:rPr>
          <w:b w:val="0"/>
          <w:noProof/>
          <w:szCs w:val="22"/>
          <w:lang w:val="en-US" w:eastAsia="en-US"/>
        </w:rPr>
        <w:t>գտնվող</w:t>
      </w:r>
      <w:r w:rsidRPr="00E27F1D">
        <w:rPr>
          <w:b w:val="0"/>
          <w:noProof/>
          <w:szCs w:val="22"/>
          <w:lang w:val="af-ZA" w:eastAsia="en-US"/>
        </w:rPr>
        <w:t xml:space="preserve"> </w:t>
      </w:r>
      <w:r w:rsidRPr="00E27F1D">
        <w:rPr>
          <w:b w:val="0"/>
          <w:noProof/>
          <w:szCs w:val="22"/>
          <w:lang w:val="en-US" w:eastAsia="en-US"/>
        </w:rPr>
        <w:t>հայ</w:t>
      </w:r>
      <w:r w:rsidRPr="00E27F1D">
        <w:rPr>
          <w:b w:val="0"/>
          <w:noProof/>
          <w:szCs w:val="22"/>
          <w:lang w:val="af-ZA" w:eastAsia="en-US"/>
        </w:rPr>
        <w:t xml:space="preserve"> </w:t>
      </w:r>
      <w:r w:rsidRPr="00E27F1D">
        <w:rPr>
          <w:b w:val="0"/>
          <w:noProof/>
          <w:szCs w:val="22"/>
          <w:lang w:val="en-US" w:eastAsia="en-US"/>
        </w:rPr>
        <w:t>ճարտարապետության</w:t>
      </w:r>
      <w:r w:rsidRPr="00E27F1D">
        <w:rPr>
          <w:b w:val="0"/>
          <w:noProof/>
          <w:szCs w:val="22"/>
          <w:lang w:val="af-ZA" w:eastAsia="en-US"/>
        </w:rPr>
        <w:t xml:space="preserve">, </w:t>
      </w:r>
      <w:r w:rsidRPr="00E27F1D">
        <w:rPr>
          <w:b w:val="0"/>
          <w:noProof/>
          <w:szCs w:val="22"/>
          <w:lang w:val="en-US" w:eastAsia="en-US"/>
        </w:rPr>
        <w:t>մշակույթին</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պատմությանն</w:t>
      </w:r>
      <w:r w:rsidRPr="00E27F1D">
        <w:rPr>
          <w:b w:val="0"/>
          <w:noProof/>
          <w:szCs w:val="22"/>
          <w:lang w:val="af-ZA" w:eastAsia="en-US"/>
        </w:rPr>
        <w:t xml:space="preserve"> </w:t>
      </w:r>
      <w:r w:rsidRPr="00E27F1D">
        <w:rPr>
          <w:b w:val="0"/>
          <w:noProof/>
          <w:szCs w:val="22"/>
          <w:lang w:val="en-US" w:eastAsia="en-US"/>
        </w:rPr>
        <w:t>առնչվող</w:t>
      </w:r>
      <w:r w:rsidRPr="00E27F1D">
        <w:rPr>
          <w:b w:val="0"/>
          <w:noProof/>
          <w:szCs w:val="22"/>
          <w:lang w:val="af-ZA" w:eastAsia="en-US"/>
        </w:rPr>
        <w:t xml:space="preserve"> </w:t>
      </w:r>
      <w:r w:rsidRPr="00E27F1D">
        <w:rPr>
          <w:b w:val="0"/>
          <w:noProof/>
          <w:szCs w:val="22"/>
          <w:lang w:val="en-US" w:eastAsia="en-US"/>
        </w:rPr>
        <w:t>հուշարձանների</w:t>
      </w:r>
      <w:r w:rsidRPr="00E27F1D">
        <w:rPr>
          <w:b w:val="0"/>
          <w:noProof/>
          <w:szCs w:val="22"/>
          <w:lang w:val="af-ZA" w:eastAsia="en-US"/>
        </w:rPr>
        <w:t xml:space="preserve"> </w:t>
      </w:r>
      <w:r w:rsidRPr="00E27F1D">
        <w:rPr>
          <w:b w:val="0"/>
          <w:noProof/>
          <w:szCs w:val="22"/>
          <w:lang w:val="en-US" w:eastAsia="en-US"/>
        </w:rPr>
        <w:t>ուսումնասիրմանը</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պահպանմանը</w:t>
      </w:r>
      <w:r w:rsidRPr="00E27F1D">
        <w:rPr>
          <w:b w:val="0"/>
          <w:noProof/>
          <w:szCs w:val="22"/>
          <w:lang w:val="af-ZA" w:eastAsia="en-US"/>
        </w:rPr>
        <w:t xml:space="preserve">, </w:t>
      </w:r>
      <w:r w:rsidRPr="00E27F1D">
        <w:rPr>
          <w:b w:val="0"/>
          <w:noProof/>
          <w:szCs w:val="22"/>
          <w:lang w:val="en-US" w:eastAsia="en-US"/>
        </w:rPr>
        <w:t>հուշարձանների</w:t>
      </w:r>
      <w:r w:rsidRPr="00E27F1D">
        <w:rPr>
          <w:b w:val="0"/>
          <w:noProof/>
          <w:szCs w:val="22"/>
          <w:lang w:val="af-ZA" w:eastAsia="en-US"/>
        </w:rPr>
        <w:t xml:space="preserve"> </w:t>
      </w:r>
      <w:r w:rsidRPr="00E27F1D">
        <w:rPr>
          <w:b w:val="0"/>
          <w:noProof/>
          <w:szCs w:val="22"/>
          <w:lang w:val="en-US" w:eastAsia="en-US"/>
        </w:rPr>
        <w:t>ամրակայմանը</w:t>
      </w:r>
      <w:r w:rsidRPr="00E27F1D">
        <w:rPr>
          <w:b w:val="0"/>
          <w:noProof/>
          <w:szCs w:val="22"/>
          <w:lang w:val="af-ZA" w:eastAsia="en-US"/>
        </w:rPr>
        <w:t xml:space="preserve">, </w:t>
      </w:r>
      <w:r w:rsidRPr="00E27F1D">
        <w:rPr>
          <w:b w:val="0"/>
          <w:noProof/>
          <w:szCs w:val="22"/>
          <w:lang w:val="en-US" w:eastAsia="en-US"/>
        </w:rPr>
        <w:t>նորոգմանը</w:t>
      </w:r>
      <w:r w:rsidRPr="00E27F1D">
        <w:rPr>
          <w:b w:val="0"/>
          <w:noProof/>
          <w:szCs w:val="22"/>
          <w:lang w:val="af-ZA" w:eastAsia="en-US"/>
        </w:rPr>
        <w:t xml:space="preserve">, </w:t>
      </w:r>
      <w:r w:rsidRPr="00E27F1D">
        <w:rPr>
          <w:b w:val="0"/>
          <w:noProof/>
          <w:szCs w:val="22"/>
          <w:lang w:val="en-US" w:eastAsia="en-US"/>
        </w:rPr>
        <w:t>վերականգնմանը</w:t>
      </w:r>
      <w:r w:rsidRPr="00E27F1D">
        <w:rPr>
          <w:b w:val="0"/>
          <w:noProof/>
          <w:szCs w:val="22"/>
          <w:lang w:val="af-ZA" w:eastAsia="en-US"/>
        </w:rPr>
        <w:t>:</w:t>
      </w:r>
    </w:p>
    <w:p w:rsidR="00E27F1D" w:rsidRPr="00E27F1D" w:rsidRDefault="00E27F1D" w:rsidP="007730AA">
      <w:pPr>
        <w:tabs>
          <w:tab w:val="left" w:pos="851"/>
        </w:tabs>
        <w:spacing w:before="0" w:line="276" w:lineRule="auto"/>
        <w:ind w:firstLine="0"/>
        <w:contextualSpacing w:val="0"/>
        <w:rPr>
          <w:b w:val="0"/>
          <w:noProof/>
          <w:szCs w:val="22"/>
          <w:lang w:val="af-ZA" w:eastAsia="en-US"/>
        </w:rPr>
      </w:pPr>
      <w:r w:rsidRPr="00E27F1D">
        <w:rPr>
          <w:b w:val="0"/>
          <w:noProof/>
          <w:szCs w:val="22"/>
          <w:lang w:val="af-ZA" w:eastAsia="en-US"/>
        </w:rPr>
        <w:tab/>
      </w:r>
      <w:r w:rsidRPr="00E27F1D">
        <w:rPr>
          <w:b w:val="0"/>
          <w:noProof/>
          <w:szCs w:val="22"/>
          <w:lang w:val="en-US" w:eastAsia="en-US"/>
        </w:rPr>
        <w:t>Մշակութային</w:t>
      </w:r>
      <w:r w:rsidRPr="00E27F1D">
        <w:rPr>
          <w:b w:val="0"/>
          <w:noProof/>
          <w:szCs w:val="22"/>
          <w:lang w:val="af-ZA" w:eastAsia="en-US"/>
        </w:rPr>
        <w:t xml:space="preserve"> </w:t>
      </w:r>
      <w:r w:rsidRPr="00E27F1D">
        <w:rPr>
          <w:b w:val="0"/>
          <w:noProof/>
          <w:szCs w:val="22"/>
          <w:lang w:val="en-US" w:eastAsia="en-US"/>
        </w:rPr>
        <w:t>ժառանգության</w:t>
      </w:r>
      <w:r w:rsidRPr="00E27F1D">
        <w:rPr>
          <w:b w:val="0"/>
          <w:noProof/>
          <w:szCs w:val="22"/>
          <w:lang w:val="af-ZA" w:eastAsia="en-US"/>
        </w:rPr>
        <w:t xml:space="preserve"> </w:t>
      </w:r>
      <w:r w:rsidRPr="00E27F1D">
        <w:rPr>
          <w:b w:val="0"/>
          <w:noProof/>
          <w:szCs w:val="22"/>
          <w:lang w:val="en-US" w:eastAsia="en-US"/>
        </w:rPr>
        <w:t>ծրագրի</w:t>
      </w:r>
      <w:r w:rsidRPr="00E27F1D">
        <w:rPr>
          <w:b w:val="0"/>
          <w:noProof/>
          <w:szCs w:val="22"/>
          <w:lang w:val="af-ZA" w:eastAsia="en-US"/>
        </w:rPr>
        <w:t xml:space="preserve"> </w:t>
      </w:r>
      <w:r w:rsidRPr="00E27F1D">
        <w:rPr>
          <w:b w:val="0"/>
          <w:noProof/>
          <w:szCs w:val="22"/>
          <w:lang w:val="en-US" w:eastAsia="en-US"/>
        </w:rPr>
        <w:t>համար</w:t>
      </w:r>
      <w:r w:rsidRPr="00E27F1D">
        <w:rPr>
          <w:b w:val="0"/>
          <w:noProof/>
          <w:szCs w:val="22"/>
          <w:lang w:val="af-ZA" w:eastAsia="en-US"/>
        </w:rPr>
        <w:t xml:space="preserve"> </w:t>
      </w:r>
      <w:r w:rsidRPr="00E27F1D">
        <w:rPr>
          <w:b w:val="0"/>
          <w:noProof/>
          <w:szCs w:val="22"/>
          <w:lang w:val="en-US" w:eastAsia="en-US"/>
        </w:rPr>
        <w:t>Նախագծով</w:t>
      </w:r>
      <w:r w:rsidRPr="00E27F1D">
        <w:rPr>
          <w:b w:val="0"/>
          <w:noProof/>
          <w:szCs w:val="22"/>
          <w:lang w:val="af-ZA" w:eastAsia="en-US"/>
        </w:rPr>
        <w:t xml:space="preserve"> </w:t>
      </w:r>
      <w:r w:rsidRPr="00E27F1D">
        <w:rPr>
          <w:b w:val="0"/>
          <w:noProof/>
          <w:szCs w:val="22"/>
          <w:lang w:val="en-US" w:eastAsia="en-US"/>
        </w:rPr>
        <w:t>նախատեսվում</w:t>
      </w:r>
      <w:r w:rsidRPr="00E27F1D">
        <w:rPr>
          <w:b w:val="0"/>
          <w:noProof/>
          <w:szCs w:val="22"/>
          <w:lang w:val="af-ZA" w:eastAsia="en-US"/>
        </w:rPr>
        <w:t xml:space="preserve"> </w:t>
      </w:r>
      <w:r w:rsidRPr="00E27F1D">
        <w:rPr>
          <w:b w:val="0"/>
          <w:noProof/>
          <w:szCs w:val="22"/>
          <w:lang w:val="en-US" w:eastAsia="en-US"/>
        </w:rPr>
        <w:t>է</w:t>
      </w:r>
      <w:r w:rsidRPr="00E27F1D">
        <w:rPr>
          <w:b w:val="0"/>
          <w:noProof/>
          <w:szCs w:val="22"/>
          <w:lang w:val="af-ZA" w:eastAsia="en-US"/>
        </w:rPr>
        <w:t xml:space="preserve"> </w:t>
      </w:r>
      <w:r w:rsidRPr="00E27F1D">
        <w:rPr>
          <w:b w:val="0"/>
          <w:noProof/>
          <w:szCs w:val="22"/>
          <w:lang w:val="en-US" w:eastAsia="en-US"/>
        </w:rPr>
        <w:t>հատկացնել</w:t>
      </w:r>
      <w:r w:rsidRPr="00E27F1D">
        <w:rPr>
          <w:b w:val="0"/>
          <w:noProof/>
          <w:szCs w:val="22"/>
          <w:lang w:val="af-ZA" w:eastAsia="en-US"/>
        </w:rPr>
        <w:t xml:space="preserve"> 2,9</w:t>
      </w:r>
      <w:r w:rsidRPr="00E27F1D">
        <w:rPr>
          <w:b w:val="0"/>
          <w:noProof/>
          <w:szCs w:val="22"/>
          <w:lang w:val="hy-AM" w:eastAsia="en-US"/>
        </w:rPr>
        <w:t>82</w:t>
      </w:r>
      <w:r w:rsidRPr="00E27F1D">
        <w:rPr>
          <w:b w:val="0"/>
          <w:noProof/>
          <w:szCs w:val="22"/>
          <w:lang w:val="af-ZA" w:eastAsia="en-US"/>
        </w:rPr>
        <w:t>.</w:t>
      </w:r>
      <w:r w:rsidRPr="00E27F1D">
        <w:rPr>
          <w:b w:val="0"/>
          <w:noProof/>
          <w:szCs w:val="22"/>
          <w:lang w:val="hy-AM" w:eastAsia="en-US"/>
        </w:rPr>
        <w:t>5</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w:t>
      </w:r>
      <w:r w:rsidRPr="00E27F1D">
        <w:rPr>
          <w:b w:val="0"/>
          <w:noProof/>
          <w:szCs w:val="22"/>
          <w:lang w:val="af-ZA" w:eastAsia="en-US"/>
        </w:rPr>
        <w:t xml:space="preserve"> </w:t>
      </w:r>
      <w:r w:rsidRPr="00E27F1D">
        <w:rPr>
          <w:b w:val="0"/>
          <w:noProof/>
          <w:szCs w:val="22"/>
          <w:lang w:val="en-US" w:eastAsia="en-US"/>
        </w:rPr>
        <w:t>ՀՀ</w:t>
      </w:r>
      <w:r w:rsidRPr="00E27F1D">
        <w:rPr>
          <w:b w:val="0"/>
          <w:noProof/>
          <w:szCs w:val="22"/>
          <w:lang w:val="af-ZA" w:eastAsia="en-US"/>
        </w:rPr>
        <w:t xml:space="preserve"> 20</w:t>
      </w:r>
      <w:r w:rsidRPr="00E27F1D">
        <w:rPr>
          <w:b w:val="0"/>
          <w:noProof/>
          <w:szCs w:val="22"/>
          <w:lang w:val="hy-AM" w:eastAsia="en-US"/>
        </w:rPr>
        <w:t>20</w:t>
      </w:r>
      <w:r w:rsidRPr="00E27F1D">
        <w:rPr>
          <w:b w:val="0"/>
          <w:noProof/>
          <w:szCs w:val="22"/>
          <w:lang w:val="af-ZA" w:eastAsia="en-US"/>
        </w:rPr>
        <w:t xml:space="preserve"> </w:t>
      </w:r>
      <w:r w:rsidRPr="00E27F1D">
        <w:rPr>
          <w:b w:val="0"/>
          <w:noProof/>
          <w:szCs w:val="22"/>
          <w:lang w:val="en-US" w:eastAsia="en-US"/>
        </w:rPr>
        <w:t>թվականի</w:t>
      </w:r>
      <w:r w:rsidRPr="00E27F1D">
        <w:rPr>
          <w:b w:val="0"/>
          <w:noProof/>
          <w:szCs w:val="22"/>
          <w:lang w:val="af-ZA" w:eastAsia="en-US"/>
        </w:rPr>
        <w:t xml:space="preserve"> </w:t>
      </w:r>
      <w:r w:rsidRPr="00E27F1D">
        <w:rPr>
          <w:b w:val="0"/>
          <w:noProof/>
          <w:szCs w:val="22"/>
          <w:lang w:val="en-US" w:eastAsia="en-US"/>
        </w:rPr>
        <w:t>պետական</w:t>
      </w:r>
      <w:r w:rsidRPr="00E27F1D">
        <w:rPr>
          <w:b w:val="0"/>
          <w:noProof/>
          <w:szCs w:val="22"/>
          <w:lang w:val="af-ZA" w:eastAsia="en-US"/>
        </w:rPr>
        <w:t xml:space="preserve"> </w:t>
      </w:r>
      <w:r w:rsidRPr="00E27F1D">
        <w:rPr>
          <w:b w:val="0"/>
          <w:noProof/>
          <w:szCs w:val="22"/>
          <w:lang w:val="en-US" w:eastAsia="en-US"/>
        </w:rPr>
        <w:t>բյուջեով</w:t>
      </w:r>
      <w:r w:rsidRPr="00E27F1D">
        <w:rPr>
          <w:b w:val="0"/>
          <w:noProof/>
          <w:szCs w:val="22"/>
          <w:lang w:val="af-ZA" w:eastAsia="en-US"/>
        </w:rPr>
        <w:t xml:space="preserve"> </w:t>
      </w:r>
      <w:r w:rsidRPr="00E27F1D">
        <w:rPr>
          <w:b w:val="0"/>
          <w:noProof/>
          <w:szCs w:val="22"/>
          <w:lang w:val="en-US" w:eastAsia="en-US"/>
        </w:rPr>
        <w:t>հաստատված</w:t>
      </w:r>
      <w:r w:rsidRPr="00E27F1D">
        <w:rPr>
          <w:b w:val="0"/>
          <w:noProof/>
          <w:szCs w:val="22"/>
          <w:lang w:val="af-ZA" w:eastAsia="en-US"/>
        </w:rPr>
        <w:t xml:space="preserve"> </w:t>
      </w:r>
      <w:r w:rsidRPr="00E27F1D">
        <w:rPr>
          <w:b w:val="0"/>
          <w:noProof/>
          <w:szCs w:val="22"/>
          <w:lang w:val="hy-AM" w:eastAsia="en-US"/>
        </w:rPr>
        <w:t>2</w:t>
      </w:r>
      <w:r w:rsidRPr="00E27F1D">
        <w:rPr>
          <w:b w:val="0"/>
          <w:noProof/>
          <w:szCs w:val="22"/>
          <w:lang w:val="af-ZA" w:eastAsia="en-US"/>
        </w:rPr>
        <w:t>,</w:t>
      </w:r>
      <w:r w:rsidRPr="00E27F1D">
        <w:rPr>
          <w:b w:val="0"/>
          <w:noProof/>
          <w:szCs w:val="22"/>
          <w:lang w:val="hy-AM" w:eastAsia="en-US"/>
        </w:rPr>
        <w:t>951</w:t>
      </w:r>
      <w:r w:rsidRPr="00E27F1D">
        <w:rPr>
          <w:b w:val="0"/>
          <w:noProof/>
          <w:szCs w:val="22"/>
          <w:lang w:val="af-ZA" w:eastAsia="en-US"/>
        </w:rPr>
        <w:t xml:space="preserve">.7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դրամի</w:t>
      </w:r>
      <w:r w:rsidRPr="00E27F1D">
        <w:rPr>
          <w:b w:val="0"/>
          <w:noProof/>
          <w:szCs w:val="22"/>
          <w:lang w:val="af-ZA" w:eastAsia="en-US"/>
        </w:rPr>
        <w:t xml:space="preserve"> </w:t>
      </w:r>
      <w:r w:rsidRPr="00E27F1D">
        <w:rPr>
          <w:b w:val="0"/>
          <w:noProof/>
          <w:szCs w:val="22"/>
          <w:lang w:val="en-US" w:eastAsia="en-US"/>
        </w:rPr>
        <w:t>դիմաց</w:t>
      </w:r>
      <w:r w:rsidRPr="00E27F1D">
        <w:rPr>
          <w:b w:val="0"/>
          <w:noProof/>
          <w:szCs w:val="22"/>
          <w:lang w:val="af-ZA" w:eastAsia="en-US"/>
        </w:rPr>
        <w:t>:</w:t>
      </w:r>
      <w:r w:rsidRPr="00E27F1D">
        <w:rPr>
          <w:b w:val="0"/>
          <w:noProof/>
          <w:szCs w:val="22"/>
          <w:lang w:val="af-ZA" w:eastAsia="en-US"/>
        </w:rPr>
        <w:tab/>
      </w:r>
      <w:r w:rsidRPr="00E27F1D">
        <w:rPr>
          <w:b w:val="0"/>
          <w:noProof/>
          <w:szCs w:val="22"/>
          <w:lang w:val="en-US" w:eastAsia="en-US"/>
        </w:rPr>
        <w:t>Ծախսեր</w:t>
      </w:r>
      <w:r w:rsidRPr="00E27F1D">
        <w:rPr>
          <w:b w:val="0"/>
          <w:noProof/>
          <w:szCs w:val="22"/>
          <w:lang w:val="hy-AM" w:eastAsia="en-US"/>
        </w:rPr>
        <w:t>ն</w:t>
      </w:r>
      <w:r w:rsidRPr="00E27F1D">
        <w:rPr>
          <w:b w:val="0"/>
          <w:noProof/>
          <w:szCs w:val="22"/>
          <w:lang w:val="af-ZA" w:eastAsia="en-US"/>
        </w:rPr>
        <w:t xml:space="preserve"> </w:t>
      </w:r>
      <w:r w:rsidRPr="00E27F1D">
        <w:rPr>
          <w:b w:val="0"/>
          <w:noProof/>
          <w:szCs w:val="22"/>
          <w:lang w:val="hy-AM" w:eastAsia="en-US"/>
        </w:rPr>
        <w:t>աճել</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w:t>
      </w:r>
      <w:r w:rsidRPr="00E27F1D">
        <w:rPr>
          <w:b w:val="0"/>
          <w:noProof/>
          <w:szCs w:val="22"/>
          <w:lang w:val="hy-AM" w:eastAsia="en-US"/>
        </w:rPr>
        <w:t>30</w:t>
      </w:r>
      <w:r w:rsidRPr="00E27F1D">
        <w:rPr>
          <w:b w:val="0"/>
          <w:noProof/>
          <w:szCs w:val="22"/>
          <w:lang w:val="af-ZA" w:eastAsia="en-US"/>
        </w:rPr>
        <w:t>.</w:t>
      </w:r>
      <w:r w:rsidRPr="00E27F1D">
        <w:rPr>
          <w:b w:val="0"/>
          <w:noProof/>
          <w:szCs w:val="22"/>
          <w:lang w:val="hy-AM" w:eastAsia="en-US"/>
        </w:rPr>
        <w:t>8</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դրամով</w:t>
      </w:r>
      <w:r w:rsidRPr="00E27F1D">
        <w:rPr>
          <w:b w:val="0"/>
          <w:noProof/>
          <w:szCs w:val="22"/>
          <w:lang w:val="af-ZA" w:eastAsia="en-US"/>
        </w:rPr>
        <w:t xml:space="preserve">, </w:t>
      </w:r>
      <w:r w:rsidRPr="00E27F1D">
        <w:rPr>
          <w:b w:val="0"/>
          <w:noProof/>
          <w:szCs w:val="22"/>
          <w:lang w:val="en-US" w:eastAsia="en-US"/>
        </w:rPr>
        <w:t>կամ</w:t>
      </w:r>
      <w:r w:rsidRPr="00E27F1D">
        <w:rPr>
          <w:b w:val="0"/>
          <w:noProof/>
          <w:szCs w:val="22"/>
          <w:lang w:val="af-ZA" w:eastAsia="en-US"/>
        </w:rPr>
        <w:t xml:space="preserve"> </w:t>
      </w:r>
      <w:r w:rsidRPr="00E27F1D">
        <w:rPr>
          <w:b w:val="0"/>
          <w:noProof/>
          <w:szCs w:val="22"/>
          <w:lang w:val="hy-AM" w:eastAsia="en-US"/>
        </w:rPr>
        <w:t>1</w:t>
      </w:r>
      <w:r w:rsidRPr="00E27F1D">
        <w:rPr>
          <w:b w:val="0"/>
          <w:noProof/>
          <w:szCs w:val="22"/>
          <w:lang w:val="af-ZA" w:eastAsia="en-US"/>
        </w:rPr>
        <w:t>.</w:t>
      </w:r>
      <w:r w:rsidRPr="00E27F1D">
        <w:rPr>
          <w:b w:val="0"/>
          <w:noProof/>
          <w:szCs w:val="22"/>
          <w:lang w:val="hy-AM" w:eastAsia="en-US"/>
        </w:rPr>
        <w:t>0</w:t>
      </w:r>
      <w:r w:rsidRPr="00E27F1D">
        <w:rPr>
          <w:b w:val="0"/>
          <w:noProof/>
          <w:szCs w:val="22"/>
          <w:lang w:val="af-ZA" w:eastAsia="en-US"/>
        </w:rPr>
        <w:t xml:space="preserve"> %-</w:t>
      </w:r>
      <w:r w:rsidRPr="00E27F1D">
        <w:rPr>
          <w:b w:val="0"/>
          <w:noProof/>
          <w:szCs w:val="22"/>
          <w:lang w:val="en-US" w:eastAsia="en-US"/>
        </w:rPr>
        <w:t>ով</w:t>
      </w:r>
      <w:r w:rsidRPr="00E27F1D">
        <w:rPr>
          <w:b w:val="0"/>
          <w:noProof/>
          <w:szCs w:val="22"/>
          <w:lang w:val="af-ZA" w:eastAsia="en-US"/>
        </w:rPr>
        <w:t xml:space="preserve">, </w:t>
      </w:r>
      <w:r w:rsidRPr="00E27F1D">
        <w:rPr>
          <w:b w:val="0"/>
          <w:noProof/>
          <w:szCs w:val="22"/>
          <w:lang w:val="en-US" w:eastAsia="en-US"/>
        </w:rPr>
        <w:t>որը</w:t>
      </w:r>
      <w:r w:rsidRPr="00E27F1D">
        <w:rPr>
          <w:b w:val="0"/>
          <w:noProof/>
          <w:szCs w:val="22"/>
          <w:lang w:val="af-ZA" w:eastAsia="en-US"/>
        </w:rPr>
        <w:t xml:space="preserve"> </w:t>
      </w:r>
      <w:r w:rsidRPr="00E27F1D">
        <w:rPr>
          <w:b w:val="0"/>
          <w:noProof/>
          <w:szCs w:val="22"/>
          <w:lang w:val="en-US" w:eastAsia="en-US"/>
        </w:rPr>
        <w:t>պայմանավորված</w:t>
      </w:r>
      <w:r w:rsidRPr="00E27F1D">
        <w:rPr>
          <w:b w:val="0"/>
          <w:noProof/>
          <w:szCs w:val="22"/>
          <w:lang w:val="af-ZA" w:eastAsia="en-US"/>
        </w:rPr>
        <w:t xml:space="preserve"> </w:t>
      </w:r>
      <w:r w:rsidRPr="00E27F1D">
        <w:rPr>
          <w:b w:val="0"/>
          <w:noProof/>
          <w:szCs w:val="22"/>
          <w:lang w:val="en-US" w:eastAsia="en-US"/>
        </w:rPr>
        <w:t>է</w:t>
      </w:r>
      <w:r w:rsidRPr="00E27F1D">
        <w:rPr>
          <w:b w:val="0"/>
          <w:noProof/>
          <w:szCs w:val="22"/>
          <w:lang w:val="af-ZA" w:eastAsia="en-US"/>
        </w:rPr>
        <w:t xml:space="preserve">. </w:t>
      </w:r>
    </w:p>
    <w:p w:rsidR="00E27F1D" w:rsidRPr="00E27F1D" w:rsidRDefault="00E27F1D" w:rsidP="007730AA">
      <w:pPr>
        <w:tabs>
          <w:tab w:val="left" w:pos="851"/>
        </w:tabs>
        <w:spacing w:before="0" w:line="276" w:lineRule="auto"/>
        <w:ind w:firstLine="0"/>
        <w:contextualSpacing w:val="0"/>
        <w:rPr>
          <w:b w:val="0"/>
          <w:noProof/>
          <w:szCs w:val="22"/>
          <w:lang w:val="hy-AM" w:eastAsia="en-US"/>
        </w:rPr>
      </w:pPr>
      <w:r w:rsidRPr="00E27F1D">
        <w:rPr>
          <w:b w:val="0"/>
          <w:noProof/>
          <w:szCs w:val="22"/>
          <w:lang w:val="af-ZA" w:eastAsia="en-US"/>
        </w:rPr>
        <w:tab/>
      </w:r>
      <w:r w:rsidRPr="00E27F1D">
        <w:rPr>
          <w:b w:val="0"/>
          <w:noProof/>
          <w:szCs w:val="22"/>
          <w:lang w:val="hy-AM" w:eastAsia="en-US"/>
        </w:rPr>
        <w:t xml:space="preserve">- </w:t>
      </w:r>
      <w:r w:rsidRPr="00E27F1D">
        <w:rPr>
          <w:b w:val="0"/>
          <w:noProof/>
          <w:szCs w:val="22"/>
          <w:lang w:val="af-ZA" w:eastAsia="en-US"/>
        </w:rPr>
        <w:t></w:t>
      </w:r>
      <w:r w:rsidRPr="00E27F1D">
        <w:rPr>
          <w:b w:val="0"/>
          <w:noProof/>
          <w:szCs w:val="22"/>
          <w:lang w:val="hy-AM" w:eastAsia="en-US"/>
        </w:rPr>
        <w:t>Թանգարանային ծառայություններ և ցուցահանդեսներ</w:t>
      </w:r>
      <w:r w:rsidRPr="00E27F1D">
        <w:rPr>
          <w:b w:val="0"/>
          <w:noProof/>
          <w:szCs w:val="22"/>
          <w:lang w:val="af-ZA" w:eastAsia="en-US"/>
        </w:rPr>
        <w:t>»</w:t>
      </w:r>
      <w:r w:rsidRPr="00E27F1D">
        <w:rPr>
          <w:b w:val="0"/>
          <w:noProof/>
          <w:szCs w:val="22"/>
          <w:lang w:val="hy-AM" w:eastAsia="en-US"/>
        </w:rPr>
        <w:t xml:space="preserve"> միջոցառման ծախսերի աճով՝ 50</w:t>
      </w:r>
      <w:r w:rsidRPr="00E27F1D">
        <w:rPr>
          <w:b w:val="0"/>
          <w:noProof/>
          <w:szCs w:val="22"/>
          <w:lang w:val="af-ZA" w:eastAsia="en-US"/>
        </w:rPr>
        <w:t>.</w:t>
      </w:r>
      <w:r w:rsidRPr="00E27F1D">
        <w:rPr>
          <w:b w:val="0"/>
          <w:noProof/>
          <w:szCs w:val="22"/>
          <w:lang w:val="hy-AM" w:eastAsia="en-US"/>
        </w:rPr>
        <w:t>1</w:t>
      </w:r>
      <w:r w:rsidRPr="00E27F1D">
        <w:rPr>
          <w:b w:val="0"/>
          <w:noProof/>
          <w:szCs w:val="22"/>
          <w:lang w:val="af-ZA" w:eastAsia="en-US"/>
        </w:rPr>
        <w:t xml:space="preserve"> </w:t>
      </w:r>
      <w:r w:rsidRPr="00E27F1D">
        <w:rPr>
          <w:b w:val="0"/>
          <w:noProof/>
          <w:szCs w:val="22"/>
          <w:lang w:val="hy-AM" w:eastAsia="en-US"/>
        </w:rPr>
        <w:t>մլն</w:t>
      </w:r>
      <w:r w:rsidRPr="00E27F1D">
        <w:rPr>
          <w:b w:val="0"/>
          <w:noProof/>
          <w:szCs w:val="22"/>
          <w:lang w:val="af-ZA" w:eastAsia="en-US"/>
        </w:rPr>
        <w:t xml:space="preserve"> </w:t>
      </w:r>
      <w:r w:rsidRPr="00E27F1D">
        <w:rPr>
          <w:b w:val="0"/>
          <w:noProof/>
          <w:szCs w:val="22"/>
          <w:lang w:val="hy-AM" w:eastAsia="en-US"/>
        </w:rPr>
        <w:t xml:space="preserve">դրամով, կապված Հայ հոգևոր երաժշտության կենտրոն» պետական ոչ առևտրային կազմակերպությունը Կոմիտասի թանգարան-ինստիտուտ» պետական ոչ առևտրային կազմակերպությանը միացման ձևով վերակազմակերպման հետ՝ համաձայն ՀՀ կառավարության 09.04.2020թ. N 528-Ն որոշման և </w:t>
      </w:r>
      <w:r w:rsidRPr="00E27F1D">
        <w:rPr>
          <w:b w:val="0"/>
          <w:spacing w:val="-8"/>
          <w:sz w:val="24"/>
          <w:shd w:val="clear" w:color="auto" w:fill="FFFFFF"/>
          <w:lang w:val="tr-TR" w:eastAsia="en-US"/>
        </w:rPr>
        <w:t>«</w:t>
      </w:r>
      <w:r w:rsidRPr="00E27F1D">
        <w:rPr>
          <w:rFonts w:cs="Arial"/>
          <w:b w:val="0"/>
          <w:spacing w:val="-8"/>
          <w:sz w:val="24"/>
          <w:shd w:val="clear" w:color="auto" w:fill="FFFFFF"/>
          <w:lang w:val="hy-AM" w:eastAsia="en-US"/>
        </w:rPr>
        <w:t>Սարդարապատի</w:t>
      </w:r>
      <w:r w:rsidRPr="00E27F1D">
        <w:rPr>
          <w:b w:val="0"/>
          <w:spacing w:val="-8"/>
          <w:sz w:val="24"/>
          <w:shd w:val="clear" w:color="auto" w:fill="FFFFFF"/>
          <w:lang w:val="tr-TR" w:eastAsia="en-US"/>
        </w:rPr>
        <w:t xml:space="preserve"> </w:t>
      </w:r>
      <w:r w:rsidRPr="00E27F1D">
        <w:rPr>
          <w:rFonts w:cs="Arial"/>
          <w:b w:val="0"/>
          <w:spacing w:val="-8"/>
          <w:sz w:val="24"/>
          <w:shd w:val="clear" w:color="auto" w:fill="FFFFFF"/>
          <w:lang w:val="hy-AM" w:eastAsia="en-US"/>
        </w:rPr>
        <w:t>հերոսամարտի</w:t>
      </w:r>
      <w:r w:rsidRPr="00E27F1D">
        <w:rPr>
          <w:b w:val="0"/>
          <w:spacing w:val="-8"/>
          <w:sz w:val="24"/>
          <w:shd w:val="clear" w:color="auto" w:fill="FFFFFF"/>
          <w:lang w:val="tr-TR" w:eastAsia="en-US"/>
        </w:rPr>
        <w:t xml:space="preserve"> </w:t>
      </w:r>
      <w:r w:rsidRPr="00E27F1D">
        <w:rPr>
          <w:rFonts w:cs="Arial"/>
          <w:b w:val="0"/>
          <w:spacing w:val="-8"/>
          <w:sz w:val="24"/>
          <w:shd w:val="clear" w:color="auto" w:fill="FFFFFF"/>
          <w:lang w:val="hy-AM" w:eastAsia="en-US"/>
        </w:rPr>
        <w:t>հուշահամալիր</w:t>
      </w:r>
      <w:r w:rsidRPr="00E27F1D">
        <w:rPr>
          <w:b w:val="0"/>
          <w:spacing w:val="-8"/>
          <w:sz w:val="24"/>
          <w:shd w:val="clear" w:color="auto" w:fill="FFFFFF"/>
          <w:lang w:val="tr-TR" w:eastAsia="en-US"/>
        </w:rPr>
        <w:t xml:space="preserve">, </w:t>
      </w:r>
      <w:r w:rsidRPr="00E27F1D">
        <w:rPr>
          <w:rFonts w:cs="Arial"/>
          <w:b w:val="0"/>
          <w:spacing w:val="-8"/>
          <w:sz w:val="24"/>
          <w:shd w:val="clear" w:color="auto" w:fill="FFFFFF"/>
          <w:lang w:val="hy-AM" w:eastAsia="en-US"/>
        </w:rPr>
        <w:t>Հայոց</w:t>
      </w:r>
      <w:r w:rsidRPr="00E27F1D">
        <w:rPr>
          <w:b w:val="0"/>
          <w:spacing w:val="-8"/>
          <w:sz w:val="24"/>
          <w:shd w:val="clear" w:color="auto" w:fill="FFFFFF"/>
          <w:lang w:val="tr-TR" w:eastAsia="en-US"/>
        </w:rPr>
        <w:t xml:space="preserve"> </w:t>
      </w:r>
      <w:r w:rsidRPr="00E27F1D">
        <w:rPr>
          <w:rFonts w:cs="Arial"/>
          <w:b w:val="0"/>
          <w:spacing w:val="-8"/>
          <w:sz w:val="24"/>
          <w:shd w:val="clear" w:color="auto" w:fill="FFFFFF"/>
          <w:lang w:val="hy-AM" w:eastAsia="en-US"/>
        </w:rPr>
        <w:t>ազգագրության</w:t>
      </w:r>
      <w:r w:rsidRPr="00E27F1D">
        <w:rPr>
          <w:b w:val="0"/>
          <w:spacing w:val="-8"/>
          <w:sz w:val="24"/>
          <w:shd w:val="clear" w:color="auto" w:fill="FFFFFF"/>
          <w:lang w:val="tr-TR" w:eastAsia="en-US"/>
        </w:rPr>
        <w:t xml:space="preserve"> </w:t>
      </w:r>
      <w:r w:rsidRPr="00E27F1D">
        <w:rPr>
          <w:rFonts w:cs="Arial"/>
          <w:b w:val="0"/>
          <w:spacing w:val="-8"/>
          <w:sz w:val="24"/>
          <w:shd w:val="clear" w:color="auto" w:fill="FFFFFF"/>
          <w:lang w:val="hy-AM" w:eastAsia="en-US"/>
        </w:rPr>
        <w:t>և</w:t>
      </w:r>
      <w:r w:rsidRPr="00E27F1D">
        <w:rPr>
          <w:b w:val="0"/>
          <w:spacing w:val="-8"/>
          <w:sz w:val="24"/>
          <w:shd w:val="clear" w:color="auto" w:fill="FFFFFF"/>
          <w:lang w:val="tr-TR" w:eastAsia="en-US"/>
        </w:rPr>
        <w:t xml:space="preserve"> </w:t>
      </w:r>
      <w:r w:rsidRPr="00E27F1D">
        <w:rPr>
          <w:rFonts w:cs="Arial"/>
          <w:b w:val="0"/>
          <w:spacing w:val="-8"/>
          <w:sz w:val="24"/>
          <w:shd w:val="clear" w:color="auto" w:fill="FFFFFF"/>
          <w:lang w:val="hy-AM" w:eastAsia="en-US"/>
        </w:rPr>
        <w:t>ազատա</w:t>
      </w:r>
      <w:r w:rsidRPr="00E27F1D">
        <w:rPr>
          <w:rFonts w:cs="Arial"/>
          <w:b w:val="0"/>
          <w:spacing w:val="-8"/>
          <w:sz w:val="24"/>
          <w:shd w:val="clear" w:color="auto" w:fill="FFFFFF"/>
          <w:lang w:val="tr-TR" w:eastAsia="en-US"/>
        </w:rPr>
        <w:softHyphen/>
      </w:r>
      <w:r w:rsidRPr="00E27F1D">
        <w:rPr>
          <w:rFonts w:cs="Arial"/>
          <w:b w:val="0"/>
          <w:spacing w:val="-8"/>
          <w:sz w:val="24"/>
          <w:shd w:val="clear" w:color="auto" w:fill="FFFFFF"/>
          <w:lang w:val="hy-AM" w:eastAsia="en-US"/>
        </w:rPr>
        <w:t>գրական</w:t>
      </w:r>
      <w:r w:rsidRPr="00E27F1D">
        <w:rPr>
          <w:b w:val="0"/>
          <w:spacing w:val="-8"/>
          <w:sz w:val="24"/>
          <w:shd w:val="clear" w:color="auto" w:fill="FFFFFF"/>
          <w:lang w:val="tr-TR" w:eastAsia="en-US"/>
        </w:rPr>
        <w:t xml:space="preserve"> </w:t>
      </w:r>
      <w:r w:rsidRPr="00E27F1D">
        <w:rPr>
          <w:rFonts w:cs="Arial"/>
          <w:b w:val="0"/>
          <w:spacing w:val="-8"/>
          <w:sz w:val="24"/>
          <w:shd w:val="clear" w:color="auto" w:fill="FFFFFF"/>
          <w:lang w:val="hy-AM" w:eastAsia="en-US"/>
        </w:rPr>
        <w:t>պայքարի</w:t>
      </w:r>
      <w:r w:rsidRPr="00E27F1D">
        <w:rPr>
          <w:b w:val="0"/>
          <w:spacing w:val="-8"/>
          <w:sz w:val="24"/>
          <w:shd w:val="clear" w:color="auto" w:fill="FFFFFF"/>
          <w:lang w:val="tr-TR" w:eastAsia="en-US"/>
        </w:rPr>
        <w:t xml:space="preserve"> </w:t>
      </w:r>
      <w:r w:rsidRPr="00E27F1D">
        <w:rPr>
          <w:rFonts w:cs="Arial"/>
          <w:b w:val="0"/>
          <w:spacing w:val="-8"/>
          <w:sz w:val="24"/>
          <w:shd w:val="clear" w:color="auto" w:fill="FFFFFF"/>
          <w:lang w:val="hy-AM" w:eastAsia="en-US"/>
        </w:rPr>
        <w:t>պատմության</w:t>
      </w:r>
      <w:r w:rsidRPr="00E27F1D">
        <w:rPr>
          <w:b w:val="0"/>
          <w:spacing w:val="-8"/>
          <w:sz w:val="24"/>
          <w:shd w:val="clear" w:color="auto" w:fill="FFFFFF"/>
          <w:lang w:val="tr-TR" w:eastAsia="en-US"/>
        </w:rPr>
        <w:t xml:space="preserve"> </w:t>
      </w:r>
      <w:r w:rsidRPr="00E27F1D">
        <w:rPr>
          <w:rFonts w:cs="Arial"/>
          <w:b w:val="0"/>
          <w:spacing w:val="-8"/>
          <w:sz w:val="24"/>
          <w:shd w:val="clear" w:color="auto" w:fill="FFFFFF"/>
          <w:lang w:val="hy-AM" w:eastAsia="en-US"/>
        </w:rPr>
        <w:t>ազգային</w:t>
      </w:r>
      <w:r w:rsidRPr="00E27F1D">
        <w:rPr>
          <w:b w:val="0"/>
          <w:spacing w:val="-8"/>
          <w:sz w:val="24"/>
          <w:shd w:val="clear" w:color="auto" w:fill="FFFFFF"/>
          <w:lang w:val="tr-TR" w:eastAsia="en-US"/>
        </w:rPr>
        <w:t xml:space="preserve"> </w:t>
      </w:r>
      <w:r w:rsidRPr="00E27F1D">
        <w:rPr>
          <w:rFonts w:cs="Arial"/>
          <w:b w:val="0"/>
          <w:spacing w:val="-8"/>
          <w:sz w:val="24"/>
          <w:shd w:val="clear" w:color="auto" w:fill="FFFFFF"/>
          <w:lang w:val="hy-AM" w:eastAsia="en-US"/>
        </w:rPr>
        <w:t>թանգարան</w:t>
      </w:r>
      <w:r w:rsidRPr="00E27F1D">
        <w:rPr>
          <w:b w:val="0"/>
          <w:spacing w:val="-8"/>
          <w:sz w:val="24"/>
          <w:shd w:val="clear" w:color="auto" w:fill="FFFFFF"/>
          <w:lang w:val="tr-TR" w:eastAsia="en-US"/>
        </w:rPr>
        <w:t xml:space="preserve">» </w:t>
      </w:r>
      <w:r w:rsidRPr="00E27F1D">
        <w:rPr>
          <w:rFonts w:cs="Arial"/>
          <w:b w:val="0"/>
          <w:spacing w:val="-8"/>
          <w:sz w:val="24"/>
          <w:lang w:val="hy-AM" w:eastAsia="en-US"/>
        </w:rPr>
        <w:t>պետական</w:t>
      </w:r>
      <w:r w:rsidRPr="00E27F1D">
        <w:rPr>
          <w:b w:val="0"/>
          <w:spacing w:val="-8"/>
          <w:sz w:val="24"/>
          <w:lang w:val="tr-TR" w:eastAsia="en-US"/>
        </w:rPr>
        <w:t xml:space="preserve"> </w:t>
      </w:r>
      <w:r w:rsidRPr="00E27F1D">
        <w:rPr>
          <w:rFonts w:cs="Arial"/>
          <w:b w:val="0"/>
          <w:spacing w:val="-8"/>
          <w:sz w:val="24"/>
          <w:lang w:val="hy-AM" w:eastAsia="en-US"/>
        </w:rPr>
        <w:t>ոչ</w:t>
      </w:r>
      <w:r w:rsidRPr="00E27F1D">
        <w:rPr>
          <w:b w:val="0"/>
          <w:spacing w:val="-8"/>
          <w:sz w:val="24"/>
          <w:lang w:val="tr-TR" w:eastAsia="en-US"/>
        </w:rPr>
        <w:t xml:space="preserve"> </w:t>
      </w:r>
      <w:r w:rsidRPr="00E27F1D">
        <w:rPr>
          <w:rFonts w:cs="Arial"/>
          <w:b w:val="0"/>
          <w:spacing w:val="-8"/>
          <w:sz w:val="24"/>
          <w:lang w:val="hy-AM" w:eastAsia="en-US"/>
        </w:rPr>
        <w:t>առևտրային</w:t>
      </w:r>
      <w:r w:rsidRPr="00E27F1D">
        <w:rPr>
          <w:b w:val="0"/>
          <w:spacing w:val="-8"/>
          <w:sz w:val="24"/>
          <w:lang w:val="tr-TR" w:eastAsia="en-US"/>
        </w:rPr>
        <w:t xml:space="preserve"> </w:t>
      </w:r>
      <w:r w:rsidRPr="00E27F1D">
        <w:rPr>
          <w:rFonts w:cs="Arial"/>
          <w:b w:val="0"/>
          <w:spacing w:val="-8"/>
          <w:sz w:val="24"/>
          <w:lang w:val="hy-AM" w:eastAsia="en-US"/>
        </w:rPr>
        <w:t>կազմա</w:t>
      </w:r>
      <w:r w:rsidRPr="00E27F1D">
        <w:rPr>
          <w:rFonts w:cs="Arial"/>
          <w:b w:val="0"/>
          <w:spacing w:val="-8"/>
          <w:sz w:val="24"/>
          <w:lang w:val="tr-TR" w:eastAsia="en-US"/>
        </w:rPr>
        <w:softHyphen/>
      </w:r>
      <w:r w:rsidRPr="00E27F1D">
        <w:rPr>
          <w:rFonts w:cs="Arial"/>
          <w:b w:val="0"/>
          <w:spacing w:val="-8"/>
          <w:sz w:val="24"/>
          <w:lang w:val="hy-AM" w:eastAsia="en-US"/>
        </w:rPr>
        <w:t>կերպության համար լրացուցիչ ծախսերի նախատեսման հետ</w:t>
      </w:r>
      <w:r w:rsidRPr="00E27F1D">
        <w:rPr>
          <w:b w:val="0"/>
          <w:noProof/>
          <w:szCs w:val="22"/>
          <w:lang w:val="hy-AM" w:eastAsia="en-US"/>
        </w:rPr>
        <w:t xml:space="preserve">՝ համաձայն ՀՀ կառավարության </w:t>
      </w:r>
      <w:r w:rsidRPr="00E27F1D">
        <w:rPr>
          <w:b w:val="0"/>
          <w:noProof/>
          <w:szCs w:val="22"/>
          <w:lang w:val="af-ZA" w:eastAsia="en-US"/>
        </w:rPr>
        <w:t>17</w:t>
      </w:r>
      <w:r w:rsidRPr="00E27F1D">
        <w:rPr>
          <w:b w:val="0"/>
          <w:noProof/>
          <w:szCs w:val="22"/>
          <w:lang w:val="hy-AM" w:eastAsia="en-US"/>
        </w:rPr>
        <w:t>.0</w:t>
      </w:r>
      <w:r w:rsidRPr="00E27F1D">
        <w:rPr>
          <w:b w:val="0"/>
          <w:noProof/>
          <w:szCs w:val="22"/>
          <w:lang w:val="af-ZA" w:eastAsia="en-US"/>
        </w:rPr>
        <w:t>9</w:t>
      </w:r>
      <w:r w:rsidRPr="00E27F1D">
        <w:rPr>
          <w:b w:val="0"/>
          <w:noProof/>
          <w:szCs w:val="22"/>
          <w:lang w:val="hy-AM" w:eastAsia="en-US"/>
        </w:rPr>
        <w:t>.2020թ. N 1539-Ն որոշման</w:t>
      </w:r>
      <w:r w:rsidRPr="00E27F1D">
        <w:rPr>
          <w:b w:val="0"/>
          <w:noProof/>
          <w:szCs w:val="22"/>
          <w:lang w:val="af-ZA" w:eastAsia="en-US"/>
        </w:rPr>
        <w:t>:</w:t>
      </w:r>
    </w:p>
    <w:p w:rsidR="00E27F1D" w:rsidRPr="00E27F1D" w:rsidRDefault="00E27F1D" w:rsidP="007730AA">
      <w:pPr>
        <w:tabs>
          <w:tab w:val="left" w:pos="851"/>
        </w:tabs>
        <w:spacing w:before="0" w:line="276" w:lineRule="auto"/>
        <w:ind w:firstLine="0"/>
        <w:contextualSpacing w:val="0"/>
        <w:rPr>
          <w:b w:val="0"/>
          <w:noProof/>
          <w:szCs w:val="22"/>
          <w:lang w:val="af-ZA" w:eastAsia="en-US"/>
        </w:rPr>
      </w:pPr>
      <w:r w:rsidRPr="00E27F1D">
        <w:rPr>
          <w:b w:val="0"/>
          <w:noProof/>
          <w:szCs w:val="22"/>
          <w:lang w:val="af-ZA" w:eastAsia="en-US"/>
        </w:rPr>
        <w:tab/>
        <w:t>- </w:t>
      </w:r>
      <w:r w:rsidRPr="00E27F1D">
        <w:rPr>
          <w:b w:val="0"/>
          <w:noProof/>
          <w:szCs w:val="22"/>
          <w:lang w:val="en-US" w:eastAsia="en-US"/>
        </w:rPr>
        <w:t>Հուշարձանների</w:t>
      </w:r>
      <w:r w:rsidRPr="00E27F1D">
        <w:rPr>
          <w:b w:val="0"/>
          <w:noProof/>
          <w:szCs w:val="22"/>
          <w:lang w:val="af-ZA" w:eastAsia="en-US"/>
        </w:rPr>
        <w:t xml:space="preserve"> </w:t>
      </w:r>
      <w:r w:rsidRPr="00E27F1D">
        <w:rPr>
          <w:b w:val="0"/>
          <w:noProof/>
          <w:szCs w:val="22"/>
          <w:lang w:val="en-US" w:eastAsia="en-US"/>
        </w:rPr>
        <w:t>ամրակայում</w:t>
      </w:r>
      <w:r w:rsidRPr="00E27F1D">
        <w:rPr>
          <w:b w:val="0"/>
          <w:noProof/>
          <w:szCs w:val="22"/>
          <w:lang w:val="af-ZA" w:eastAsia="en-US"/>
        </w:rPr>
        <w:t xml:space="preserve">, </w:t>
      </w:r>
      <w:r w:rsidRPr="00E27F1D">
        <w:rPr>
          <w:b w:val="0"/>
          <w:noProof/>
          <w:szCs w:val="22"/>
          <w:lang w:val="en-US" w:eastAsia="en-US"/>
        </w:rPr>
        <w:t>նորոգում</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վերականգնում</w:t>
      </w:r>
      <w:r w:rsidRPr="00E27F1D">
        <w:rPr>
          <w:b w:val="0"/>
          <w:noProof/>
          <w:szCs w:val="22"/>
          <w:lang w:val="af-ZA" w:eastAsia="en-US"/>
        </w:rPr>
        <w:t xml:space="preserve">» </w:t>
      </w:r>
      <w:r w:rsidRPr="00E27F1D">
        <w:rPr>
          <w:b w:val="0"/>
          <w:noProof/>
          <w:szCs w:val="22"/>
          <w:lang w:val="en-US" w:eastAsia="en-US"/>
        </w:rPr>
        <w:t>միջոցառման</w:t>
      </w:r>
      <w:r w:rsidRPr="00E27F1D">
        <w:rPr>
          <w:b w:val="0"/>
          <w:noProof/>
          <w:szCs w:val="22"/>
          <w:lang w:val="af-ZA" w:eastAsia="en-US"/>
        </w:rPr>
        <w:t xml:space="preserve"> </w:t>
      </w:r>
      <w:r w:rsidRPr="00E27F1D">
        <w:rPr>
          <w:b w:val="0"/>
          <w:noProof/>
          <w:szCs w:val="22"/>
          <w:lang w:val="en-US" w:eastAsia="en-US"/>
        </w:rPr>
        <w:t>ծախսերի</w:t>
      </w:r>
      <w:r w:rsidRPr="00E27F1D">
        <w:rPr>
          <w:b w:val="0"/>
          <w:noProof/>
          <w:szCs w:val="22"/>
          <w:lang w:val="af-ZA" w:eastAsia="en-US"/>
        </w:rPr>
        <w:t xml:space="preserve"> </w:t>
      </w:r>
      <w:r w:rsidRPr="00E27F1D">
        <w:rPr>
          <w:b w:val="0"/>
          <w:noProof/>
          <w:szCs w:val="22"/>
          <w:lang w:val="hy-AM" w:eastAsia="en-US"/>
        </w:rPr>
        <w:t>աճով</w:t>
      </w:r>
      <w:r w:rsidRPr="00E27F1D">
        <w:rPr>
          <w:b w:val="0"/>
          <w:noProof/>
          <w:szCs w:val="22"/>
          <w:lang w:val="en-US" w:eastAsia="en-US"/>
        </w:rPr>
        <w:t>՝</w:t>
      </w:r>
      <w:r w:rsidRPr="00E27F1D">
        <w:rPr>
          <w:b w:val="0"/>
          <w:noProof/>
          <w:szCs w:val="22"/>
          <w:lang w:val="af-ZA" w:eastAsia="en-US"/>
        </w:rPr>
        <w:t xml:space="preserve"> 6.</w:t>
      </w:r>
      <w:r w:rsidRPr="00E27F1D">
        <w:rPr>
          <w:b w:val="0"/>
          <w:noProof/>
          <w:szCs w:val="22"/>
          <w:lang w:val="hy-AM" w:eastAsia="en-US"/>
        </w:rPr>
        <w:t>1</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դրամով</w:t>
      </w:r>
      <w:r w:rsidRPr="00E27F1D">
        <w:rPr>
          <w:b w:val="0"/>
          <w:noProof/>
          <w:szCs w:val="22"/>
          <w:lang w:val="af-ZA" w:eastAsia="en-US"/>
        </w:rPr>
        <w:t>:</w:t>
      </w:r>
    </w:p>
    <w:p w:rsidR="00E27F1D" w:rsidRPr="00E27F1D" w:rsidRDefault="00E27F1D" w:rsidP="007730AA">
      <w:pPr>
        <w:tabs>
          <w:tab w:val="left" w:pos="851"/>
        </w:tabs>
        <w:spacing w:before="0" w:line="276" w:lineRule="auto"/>
        <w:ind w:firstLine="0"/>
        <w:contextualSpacing w:val="0"/>
        <w:rPr>
          <w:b w:val="0"/>
          <w:noProof/>
          <w:szCs w:val="22"/>
          <w:lang w:val="af-ZA" w:eastAsia="en-US"/>
        </w:rPr>
      </w:pPr>
      <w:r w:rsidRPr="00E27F1D">
        <w:rPr>
          <w:b w:val="0"/>
          <w:noProof/>
          <w:szCs w:val="22"/>
          <w:lang w:val="af-ZA" w:eastAsia="en-US"/>
        </w:rPr>
        <w:tab/>
      </w:r>
      <w:r w:rsidRPr="00E27F1D">
        <w:rPr>
          <w:b w:val="0"/>
          <w:noProof/>
          <w:szCs w:val="22"/>
          <w:lang w:val="en-US" w:eastAsia="en-US"/>
        </w:rPr>
        <w:t>Միաժամանակ</w:t>
      </w:r>
      <w:r w:rsidRPr="00E27F1D">
        <w:rPr>
          <w:b w:val="0"/>
          <w:noProof/>
          <w:szCs w:val="22"/>
          <w:lang w:val="af-ZA" w:eastAsia="en-US"/>
        </w:rPr>
        <w:t xml:space="preserve">,  </w:t>
      </w:r>
      <w:r w:rsidRPr="00E27F1D">
        <w:rPr>
          <w:b w:val="0"/>
          <w:noProof/>
          <w:szCs w:val="22"/>
          <w:lang w:val="en-US" w:eastAsia="en-US"/>
        </w:rPr>
        <w:t>ծախսեր</w:t>
      </w:r>
      <w:r w:rsidRPr="00E27F1D">
        <w:rPr>
          <w:b w:val="0"/>
          <w:noProof/>
          <w:szCs w:val="22"/>
          <w:lang w:val="hy-AM" w:eastAsia="en-US"/>
        </w:rPr>
        <w:t>ը</w:t>
      </w:r>
      <w:r w:rsidRPr="00E27F1D">
        <w:rPr>
          <w:b w:val="0"/>
          <w:noProof/>
          <w:szCs w:val="22"/>
          <w:lang w:val="af-ZA" w:eastAsia="en-US"/>
        </w:rPr>
        <w:t xml:space="preserve"> </w:t>
      </w:r>
      <w:r w:rsidRPr="00E27F1D">
        <w:rPr>
          <w:b w:val="0"/>
          <w:noProof/>
          <w:szCs w:val="22"/>
          <w:lang w:val="hy-AM" w:eastAsia="en-US"/>
        </w:rPr>
        <w:t>նվազ</w:t>
      </w:r>
      <w:r w:rsidRPr="00E27F1D">
        <w:rPr>
          <w:b w:val="0"/>
          <w:noProof/>
          <w:szCs w:val="22"/>
          <w:lang w:val="en-US" w:eastAsia="en-US"/>
        </w:rPr>
        <w:t>ել</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25.4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դրամով</w:t>
      </w:r>
      <w:r w:rsidRPr="00E27F1D">
        <w:rPr>
          <w:b w:val="0"/>
          <w:noProof/>
          <w:szCs w:val="22"/>
          <w:lang w:val="hy-AM" w:eastAsia="en-US"/>
        </w:rPr>
        <w:t>, որը պայմանավորված է ծախսային գերակայություններով, առաջնահերթություններով</w:t>
      </w:r>
      <w:r w:rsidRPr="00E27F1D">
        <w:rPr>
          <w:noProof/>
          <w:szCs w:val="22"/>
          <w:lang w:val="af-ZA" w:eastAsia="en-US"/>
        </w:rPr>
        <w:t xml:space="preserve">: </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b w:val="0"/>
          <w:noProof/>
          <w:szCs w:val="22"/>
          <w:lang w:val="hy-AM" w:eastAsia="en-US"/>
        </w:rPr>
        <w:t xml:space="preserve">           </w:t>
      </w:r>
      <w:r w:rsidRPr="00AB56B7">
        <w:rPr>
          <w:noProof/>
          <w:szCs w:val="22"/>
          <w:lang w:val="hy-AM" w:eastAsia="en-US"/>
        </w:rPr>
        <w:t>Գրահրատարակչության</w:t>
      </w:r>
      <w:r w:rsidRPr="00E27F1D">
        <w:rPr>
          <w:noProof/>
          <w:szCs w:val="22"/>
          <w:lang w:val="af-ZA" w:eastAsia="en-US"/>
        </w:rPr>
        <w:t xml:space="preserve"> </w:t>
      </w:r>
      <w:r w:rsidRPr="00AB56B7">
        <w:rPr>
          <w:noProof/>
          <w:szCs w:val="22"/>
          <w:lang w:val="hy-AM" w:eastAsia="en-US"/>
        </w:rPr>
        <w:t>և</w:t>
      </w:r>
      <w:r w:rsidRPr="00E27F1D">
        <w:rPr>
          <w:noProof/>
          <w:szCs w:val="22"/>
          <w:lang w:val="af-ZA" w:eastAsia="en-US"/>
        </w:rPr>
        <w:t xml:space="preserve"> </w:t>
      </w:r>
      <w:r w:rsidRPr="00AB56B7">
        <w:rPr>
          <w:noProof/>
          <w:szCs w:val="22"/>
          <w:lang w:val="hy-AM" w:eastAsia="en-US"/>
        </w:rPr>
        <w:t>գրադարանների</w:t>
      </w:r>
      <w:r w:rsidRPr="00E27F1D">
        <w:rPr>
          <w:noProof/>
          <w:szCs w:val="22"/>
          <w:lang w:val="af-ZA" w:eastAsia="en-US"/>
        </w:rPr>
        <w:t xml:space="preserve"> </w:t>
      </w:r>
      <w:r w:rsidRPr="00AB56B7">
        <w:rPr>
          <w:noProof/>
          <w:szCs w:val="22"/>
          <w:lang w:val="hy-AM" w:eastAsia="en-US"/>
        </w:rPr>
        <w:t>ծրագր</w:t>
      </w:r>
      <w:r w:rsidRPr="00E27F1D">
        <w:rPr>
          <w:noProof/>
          <w:szCs w:val="22"/>
          <w:lang w:val="hy-AM" w:eastAsia="en-US"/>
        </w:rPr>
        <w:t>ի</w:t>
      </w:r>
      <w:r w:rsidRPr="00E27F1D">
        <w:rPr>
          <w:b w:val="0"/>
          <w:noProof/>
          <w:szCs w:val="22"/>
          <w:lang w:val="af-ZA" w:eastAsia="en-US"/>
        </w:rPr>
        <w:t xml:space="preserve"> </w:t>
      </w:r>
      <w:r w:rsidRPr="00AB56B7">
        <w:rPr>
          <w:b w:val="0"/>
          <w:noProof/>
          <w:szCs w:val="22"/>
          <w:lang w:val="hy-AM" w:eastAsia="en-US"/>
        </w:rPr>
        <w:t>նպատակ</w:t>
      </w:r>
      <w:r w:rsidRPr="00E27F1D">
        <w:rPr>
          <w:b w:val="0"/>
          <w:noProof/>
          <w:szCs w:val="22"/>
          <w:lang w:val="hy-AM" w:eastAsia="en-US"/>
        </w:rPr>
        <w:t>ը՝</w:t>
      </w:r>
      <w:r w:rsidRPr="00E27F1D">
        <w:rPr>
          <w:b w:val="0"/>
          <w:noProof/>
          <w:szCs w:val="22"/>
          <w:lang w:val="af-ZA" w:eastAsia="en-US"/>
        </w:rPr>
        <w:t xml:space="preserve"> </w:t>
      </w:r>
      <w:r w:rsidRPr="00AB56B7">
        <w:rPr>
          <w:b w:val="0"/>
          <w:noProof/>
          <w:szCs w:val="22"/>
          <w:lang w:val="hy-AM" w:eastAsia="en-US"/>
        </w:rPr>
        <w:t>նպաստել</w:t>
      </w:r>
      <w:r w:rsidRPr="00E27F1D">
        <w:rPr>
          <w:b w:val="0"/>
          <w:noProof/>
          <w:szCs w:val="22"/>
          <w:lang w:val="af-ZA" w:eastAsia="en-US"/>
        </w:rPr>
        <w:t xml:space="preserve"> </w:t>
      </w:r>
      <w:r w:rsidRPr="00AB56B7">
        <w:rPr>
          <w:b w:val="0"/>
          <w:noProof/>
          <w:szCs w:val="22"/>
          <w:lang w:val="hy-AM" w:eastAsia="en-US"/>
        </w:rPr>
        <w:t>գրականության</w:t>
      </w:r>
      <w:r w:rsidRPr="00E27F1D">
        <w:rPr>
          <w:b w:val="0"/>
          <w:noProof/>
          <w:szCs w:val="22"/>
          <w:lang w:val="af-ZA" w:eastAsia="en-US"/>
        </w:rPr>
        <w:t xml:space="preserve"> </w:t>
      </w:r>
      <w:r w:rsidRPr="00AB56B7">
        <w:rPr>
          <w:b w:val="0"/>
          <w:noProof/>
          <w:szCs w:val="22"/>
          <w:lang w:val="hy-AM" w:eastAsia="en-US"/>
        </w:rPr>
        <w:t>հրատարակմանը</w:t>
      </w:r>
      <w:r w:rsidRPr="00E27F1D">
        <w:rPr>
          <w:b w:val="0"/>
          <w:noProof/>
          <w:szCs w:val="22"/>
          <w:lang w:val="af-ZA" w:eastAsia="en-US"/>
        </w:rPr>
        <w:t xml:space="preserve">, </w:t>
      </w:r>
      <w:r w:rsidRPr="00AB56B7">
        <w:rPr>
          <w:b w:val="0"/>
          <w:noProof/>
          <w:szCs w:val="22"/>
          <w:lang w:val="hy-AM" w:eastAsia="en-US"/>
        </w:rPr>
        <w:t>տարածմանը</w:t>
      </w:r>
      <w:r w:rsidRPr="00E27F1D">
        <w:rPr>
          <w:b w:val="0"/>
          <w:noProof/>
          <w:szCs w:val="22"/>
          <w:lang w:val="af-ZA" w:eastAsia="en-US"/>
        </w:rPr>
        <w:t xml:space="preserve"> </w:t>
      </w:r>
      <w:r w:rsidRPr="00AB56B7">
        <w:rPr>
          <w:b w:val="0"/>
          <w:noProof/>
          <w:szCs w:val="22"/>
          <w:lang w:val="hy-AM" w:eastAsia="en-US"/>
        </w:rPr>
        <w:t>և</w:t>
      </w:r>
      <w:r w:rsidRPr="00E27F1D">
        <w:rPr>
          <w:b w:val="0"/>
          <w:noProof/>
          <w:szCs w:val="22"/>
          <w:lang w:val="af-ZA" w:eastAsia="en-US"/>
        </w:rPr>
        <w:t xml:space="preserve"> </w:t>
      </w:r>
      <w:r w:rsidRPr="00AB56B7">
        <w:rPr>
          <w:b w:val="0"/>
          <w:noProof/>
          <w:szCs w:val="22"/>
          <w:lang w:val="hy-AM" w:eastAsia="en-US"/>
        </w:rPr>
        <w:t>հանրահռչակմանը</w:t>
      </w:r>
      <w:r w:rsidRPr="00E27F1D">
        <w:rPr>
          <w:b w:val="0"/>
          <w:noProof/>
          <w:szCs w:val="22"/>
          <w:lang w:val="af-ZA" w:eastAsia="en-US"/>
        </w:rPr>
        <w:t>:</w:t>
      </w:r>
    </w:p>
    <w:p w:rsidR="00E27F1D" w:rsidRPr="00E27F1D" w:rsidRDefault="00E27F1D" w:rsidP="007730AA">
      <w:pPr>
        <w:numPr>
          <w:ilvl w:val="12"/>
          <w:numId w:val="0"/>
        </w:numPr>
        <w:tabs>
          <w:tab w:val="left" w:pos="720"/>
        </w:tabs>
        <w:spacing w:before="0" w:line="276" w:lineRule="auto"/>
        <w:contextualSpacing w:val="0"/>
        <w:rPr>
          <w:b w:val="0"/>
          <w:noProof/>
          <w:szCs w:val="22"/>
          <w:lang w:val="af-ZA" w:eastAsia="en-US"/>
        </w:rPr>
      </w:pPr>
      <w:r w:rsidRPr="00E27F1D">
        <w:rPr>
          <w:b w:val="0"/>
          <w:noProof/>
          <w:szCs w:val="22"/>
          <w:lang w:val="af-ZA" w:eastAsia="en-US"/>
        </w:rPr>
        <w:tab/>
      </w:r>
      <w:r w:rsidRPr="00E27F1D">
        <w:rPr>
          <w:b w:val="0"/>
          <w:noProof/>
          <w:szCs w:val="22"/>
          <w:lang w:val="en-US" w:eastAsia="en-US"/>
        </w:rPr>
        <w:t>Ծրագրի</w:t>
      </w:r>
      <w:r w:rsidRPr="00E27F1D">
        <w:rPr>
          <w:b w:val="0"/>
          <w:noProof/>
          <w:szCs w:val="22"/>
          <w:lang w:val="af-ZA" w:eastAsia="en-US"/>
        </w:rPr>
        <w:t xml:space="preserve"> </w:t>
      </w:r>
      <w:r w:rsidRPr="00E27F1D">
        <w:rPr>
          <w:b w:val="0"/>
          <w:noProof/>
          <w:szCs w:val="22"/>
          <w:lang w:val="en-US" w:eastAsia="en-US"/>
        </w:rPr>
        <w:t>շրջանակներում</w:t>
      </w:r>
      <w:r w:rsidRPr="00E27F1D">
        <w:rPr>
          <w:b w:val="0"/>
          <w:noProof/>
          <w:szCs w:val="22"/>
          <w:lang w:val="af-ZA" w:eastAsia="en-US"/>
        </w:rPr>
        <w:t xml:space="preserve"> </w:t>
      </w:r>
      <w:r w:rsidRPr="00E27F1D">
        <w:rPr>
          <w:b w:val="0"/>
          <w:noProof/>
          <w:szCs w:val="22"/>
          <w:lang w:val="en-US" w:eastAsia="en-US"/>
        </w:rPr>
        <w:t>հատկացումներն</w:t>
      </w:r>
      <w:r w:rsidRPr="00E27F1D">
        <w:rPr>
          <w:b w:val="0"/>
          <w:noProof/>
          <w:szCs w:val="22"/>
          <w:lang w:val="af-ZA" w:eastAsia="en-US"/>
        </w:rPr>
        <w:t xml:space="preserve"> </w:t>
      </w:r>
      <w:r w:rsidRPr="00E27F1D">
        <w:rPr>
          <w:b w:val="0"/>
          <w:noProof/>
          <w:szCs w:val="22"/>
          <w:lang w:val="en-US" w:eastAsia="en-US"/>
        </w:rPr>
        <w:t>ուղղվելու</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w:t>
      </w:r>
      <w:r w:rsidRPr="00E27F1D">
        <w:rPr>
          <w:b w:val="0"/>
          <w:noProof/>
          <w:szCs w:val="22"/>
          <w:lang w:val="en-US" w:eastAsia="en-US"/>
        </w:rPr>
        <w:t>գրականության</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ոչ</w:t>
      </w:r>
      <w:r w:rsidRPr="00E27F1D">
        <w:rPr>
          <w:b w:val="0"/>
          <w:noProof/>
          <w:szCs w:val="22"/>
          <w:lang w:val="af-ZA" w:eastAsia="en-US"/>
        </w:rPr>
        <w:t xml:space="preserve"> </w:t>
      </w:r>
      <w:r w:rsidRPr="00E27F1D">
        <w:rPr>
          <w:b w:val="0"/>
          <w:noProof/>
          <w:szCs w:val="22"/>
          <w:lang w:val="en-US" w:eastAsia="en-US"/>
        </w:rPr>
        <w:t>պետական</w:t>
      </w:r>
      <w:r w:rsidRPr="00E27F1D">
        <w:rPr>
          <w:b w:val="0"/>
          <w:noProof/>
          <w:szCs w:val="22"/>
          <w:lang w:val="af-ZA" w:eastAsia="en-US"/>
        </w:rPr>
        <w:t xml:space="preserve"> </w:t>
      </w:r>
      <w:r w:rsidRPr="00E27F1D">
        <w:rPr>
          <w:b w:val="0"/>
          <w:noProof/>
          <w:szCs w:val="22"/>
          <w:lang w:val="en-US" w:eastAsia="en-US"/>
        </w:rPr>
        <w:t>մամուլի</w:t>
      </w:r>
      <w:r w:rsidRPr="00E27F1D">
        <w:rPr>
          <w:b w:val="0"/>
          <w:noProof/>
          <w:szCs w:val="22"/>
          <w:lang w:val="af-ZA" w:eastAsia="en-US"/>
        </w:rPr>
        <w:t xml:space="preserve"> </w:t>
      </w:r>
      <w:r w:rsidRPr="00E27F1D">
        <w:rPr>
          <w:b w:val="0"/>
          <w:noProof/>
          <w:szCs w:val="22"/>
          <w:lang w:val="en-US" w:eastAsia="en-US"/>
        </w:rPr>
        <w:t>հրատարակմանը</w:t>
      </w:r>
      <w:r w:rsidRPr="00E27F1D">
        <w:rPr>
          <w:b w:val="0"/>
          <w:noProof/>
          <w:szCs w:val="22"/>
          <w:lang w:val="af-ZA" w:eastAsia="en-US"/>
        </w:rPr>
        <w:t xml:space="preserve">, </w:t>
      </w:r>
      <w:r w:rsidRPr="00E27F1D">
        <w:rPr>
          <w:b w:val="0"/>
          <w:noProof/>
          <w:szCs w:val="22"/>
          <w:lang w:val="en-US" w:eastAsia="en-US"/>
        </w:rPr>
        <w:t>գրադարանային</w:t>
      </w:r>
      <w:r w:rsidRPr="00E27F1D">
        <w:rPr>
          <w:b w:val="0"/>
          <w:noProof/>
          <w:szCs w:val="22"/>
          <w:lang w:val="af-ZA" w:eastAsia="en-US"/>
        </w:rPr>
        <w:t xml:space="preserve"> </w:t>
      </w:r>
      <w:r w:rsidRPr="00E27F1D">
        <w:rPr>
          <w:b w:val="0"/>
          <w:noProof/>
          <w:szCs w:val="22"/>
          <w:lang w:val="en-US" w:eastAsia="en-US"/>
        </w:rPr>
        <w:t>ծառայությունների</w:t>
      </w:r>
      <w:r w:rsidRPr="00E27F1D">
        <w:rPr>
          <w:b w:val="0"/>
          <w:noProof/>
          <w:szCs w:val="22"/>
          <w:lang w:val="af-ZA" w:eastAsia="en-US"/>
        </w:rPr>
        <w:t xml:space="preserve"> </w:t>
      </w:r>
      <w:r w:rsidRPr="00E27F1D">
        <w:rPr>
          <w:b w:val="0"/>
          <w:noProof/>
          <w:szCs w:val="22"/>
          <w:lang w:val="en-US" w:eastAsia="en-US"/>
        </w:rPr>
        <w:t>իրականացմանը</w:t>
      </w:r>
      <w:r w:rsidRPr="00E27F1D">
        <w:rPr>
          <w:b w:val="0"/>
          <w:noProof/>
          <w:szCs w:val="22"/>
          <w:lang w:val="af-ZA" w:eastAsia="en-US"/>
        </w:rPr>
        <w:t xml:space="preserve">, </w:t>
      </w:r>
      <w:r w:rsidRPr="00E27F1D">
        <w:rPr>
          <w:b w:val="0"/>
          <w:noProof/>
          <w:szCs w:val="22"/>
          <w:lang w:val="en-US" w:eastAsia="en-US"/>
        </w:rPr>
        <w:t>գրականության</w:t>
      </w:r>
      <w:r w:rsidRPr="00E27F1D">
        <w:rPr>
          <w:b w:val="0"/>
          <w:noProof/>
          <w:szCs w:val="22"/>
          <w:lang w:val="af-ZA" w:eastAsia="en-US"/>
        </w:rPr>
        <w:t xml:space="preserve"> </w:t>
      </w:r>
      <w:r w:rsidRPr="00E27F1D">
        <w:rPr>
          <w:b w:val="0"/>
          <w:noProof/>
          <w:szCs w:val="22"/>
          <w:lang w:val="en-US" w:eastAsia="en-US"/>
        </w:rPr>
        <w:t>հանրահռչակմանը</w:t>
      </w:r>
      <w:r w:rsidRPr="00E27F1D">
        <w:rPr>
          <w:b w:val="0"/>
          <w:noProof/>
          <w:szCs w:val="22"/>
          <w:lang w:val="af-ZA" w:eastAsia="en-US"/>
        </w:rPr>
        <w:t xml:space="preserve">, </w:t>
      </w:r>
      <w:r w:rsidRPr="00E27F1D">
        <w:rPr>
          <w:b w:val="0"/>
          <w:noProof/>
          <w:szCs w:val="22"/>
          <w:lang w:val="en-US" w:eastAsia="en-US"/>
        </w:rPr>
        <w:t>գրական</w:t>
      </w:r>
      <w:r w:rsidRPr="00E27F1D">
        <w:rPr>
          <w:b w:val="0"/>
          <w:noProof/>
          <w:szCs w:val="22"/>
          <w:lang w:val="af-ZA" w:eastAsia="en-US"/>
        </w:rPr>
        <w:t xml:space="preserve"> </w:t>
      </w:r>
      <w:r w:rsidRPr="00E27F1D">
        <w:rPr>
          <w:b w:val="0"/>
          <w:noProof/>
          <w:szCs w:val="22"/>
          <w:lang w:val="en-US" w:eastAsia="en-US"/>
        </w:rPr>
        <w:t>ծրագրերին</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գրքերի</w:t>
      </w:r>
      <w:r w:rsidRPr="00E27F1D">
        <w:rPr>
          <w:b w:val="0"/>
          <w:noProof/>
          <w:szCs w:val="22"/>
          <w:lang w:val="af-ZA" w:eastAsia="en-US"/>
        </w:rPr>
        <w:t xml:space="preserve"> </w:t>
      </w:r>
      <w:r w:rsidRPr="00E27F1D">
        <w:rPr>
          <w:b w:val="0"/>
          <w:noProof/>
          <w:szCs w:val="22"/>
          <w:lang w:val="en-US" w:eastAsia="en-US"/>
        </w:rPr>
        <w:t>միջազգային</w:t>
      </w:r>
      <w:r w:rsidRPr="00E27F1D">
        <w:rPr>
          <w:b w:val="0"/>
          <w:noProof/>
          <w:szCs w:val="22"/>
          <w:lang w:val="af-ZA" w:eastAsia="en-US"/>
        </w:rPr>
        <w:t xml:space="preserve"> </w:t>
      </w:r>
      <w:r w:rsidRPr="00E27F1D">
        <w:rPr>
          <w:b w:val="0"/>
          <w:noProof/>
          <w:szCs w:val="22"/>
          <w:lang w:val="en-US" w:eastAsia="en-US"/>
        </w:rPr>
        <w:t>ցուցահանդեսներին</w:t>
      </w:r>
      <w:r w:rsidRPr="00E27F1D">
        <w:rPr>
          <w:b w:val="0"/>
          <w:noProof/>
          <w:szCs w:val="22"/>
          <w:lang w:val="af-ZA" w:eastAsia="en-US"/>
        </w:rPr>
        <w:t xml:space="preserve"> </w:t>
      </w:r>
      <w:r w:rsidRPr="00E27F1D">
        <w:rPr>
          <w:b w:val="0"/>
          <w:noProof/>
          <w:szCs w:val="22"/>
          <w:lang w:val="en-US" w:eastAsia="en-US"/>
        </w:rPr>
        <w:t>մասնակցությանը</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en-US" w:eastAsia="en-US"/>
        </w:rPr>
        <w:t>Գրահրատարակչության</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գրադարանների</w:t>
      </w:r>
      <w:r w:rsidRPr="00E27F1D">
        <w:rPr>
          <w:noProof/>
          <w:szCs w:val="22"/>
          <w:lang w:val="af-ZA" w:eastAsia="en-US"/>
        </w:rPr>
        <w:t xml:space="preserve"> </w:t>
      </w:r>
      <w:r w:rsidRPr="00E27F1D">
        <w:rPr>
          <w:b w:val="0"/>
          <w:noProof/>
          <w:szCs w:val="22"/>
          <w:lang w:val="en-US" w:eastAsia="en-US"/>
        </w:rPr>
        <w:t>ծրագրի</w:t>
      </w:r>
      <w:r w:rsidRPr="00E27F1D">
        <w:rPr>
          <w:b w:val="0"/>
          <w:noProof/>
          <w:szCs w:val="22"/>
          <w:lang w:val="af-ZA" w:eastAsia="en-US"/>
        </w:rPr>
        <w:t xml:space="preserve"> </w:t>
      </w:r>
      <w:r w:rsidRPr="00E27F1D">
        <w:rPr>
          <w:b w:val="0"/>
          <w:noProof/>
          <w:szCs w:val="22"/>
          <w:lang w:val="en-US" w:eastAsia="en-US"/>
        </w:rPr>
        <w:t>համար</w:t>
      </w:r>
      <w:r w:rsidRPr="00E27F1D">
        <w:rPr>
          <w:b w:val="0"/>
          <w:noProof/>
          <w:szCs w:val="22"/>
          <w:lang w:val="af-ZA" w:eastAsia="en-US"/>
        </w:rPr>
        <w:t xml:space="preserve"> </w:t>
      </w:r>
      <w:r w:rsidRPr="00E27F1D">
        <w:rPr>
          <w:b w:val="0"/>
          <w:noProof/>
          <w:szCs w:val="22"/>
          <w:lang w:val="en-US" w:eastAsia="en-US"/>
        </w:rPr>
        <w:t>Նախագծով</w:t>
      </w:r>
      <w:r w:rsidRPr="00E27F1D">
        <w:rPr>
          <w:b w:val="0"/>
          <w:noProof/>
          <w:szCs w:val="22"/>
          <w:lang w:val="af-ZA" w:eastAsia="en-US"/>
        </w:rPr>
        <w:t xml:space="preserve"> </w:t>
      </w:r>
      <w:r w:rsidRPr="00E27F1D">
        <w:rPr>
          <w:b w:val="0"/>
          <w:noProof/>
          <w:szCs w:val="22"/>
          <w:lang w:val="en-US" w:eastAsia="en-US"/>
        </w:rPr>
        <w:t>նախատեսվում</w:t>
      </w:r>
      <w:r w:rsidRPr="00E27F1D">
        <w:rPr>
          <w:b w:val="0"/>
          <w:noProof/>
          <w:szCs w:val="22"/>
          <w:lang w:val="af-ZA" w:eastAsia="en-US"/>
        </w:rPr>
        <w:t xml:space="preserve"> </w:t>
      </w:r>
      <w:r w:rsidRPr="00E27F1D">
        <w:rPr>
          <w:b w:val="0"/>
          <w:noProof/>
          <w:szCs w:val="22"/>
          <w:lang w:val="en-US" w:eastAsia="en-US"/>
        </w:rPr>
        <w:t>է</w:t>
      </w:r>
      <w:r w:rsidRPr="00E27F1D">
        <w:rPr>
          <w:b w:val="0"/>
          <w:noProof/>
          <w:szCs w:val="22"/>
          <w:lang w:val="af-ZA" w:eastAsia="en-US"/>
        </w:rPr>
        <w:t xml:space="preserve"> </w:t>
      </w:r>
      <w:r w:rsidRPr="00E27F1D">
        <w:rPr>
          <w:b w:val="0"/>
          <w:noProof/>
          <w:szCs w:val="22"/>
          <w:lang w:val="en-US" w:eastAsia="en-US"/>
        </w:rPr>
        <w:t>հատկացնել</w:t>
      </w:r>
      <w:r w:rsidRPr="00E27F1D">
        <w:rPr>
          <w:b w:val="0"/>
          <w:noProof/>
          <w:szCs w:val="22"/>
          <w:lang w:val="af-ZA" w:eastAsia="en-US"/>
        </w:rPr>
        <w:t xml:space="preserve"> 1,691.1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w:t>
      </w:r>
      <w:r w:rsidRPr="00E27F1D">
        <w:rPr>
          <w:b w:val="0"/>
          <w:noProof/>
          <w:szCs w:val="22"/>
          <w:lang w:val="af-ZA" w:eastAsia="en-US"/>
        </w:rPr>
        <w:t xml:space="preserve"> </w:t>
      </w:r>
      <w:r w:rsidRPr="00E27F1D">
        <w:rPr>
          <w:b w:val="0"/>
          <w:noProof/>
          <w:szCs w:val="22"/>
          <w:lang w:val="en-US" w:eastAsia="en-US"/>
        </w:rPr>
        <w:t>ՀՀ</w:t>
      </w:r>
      <w:r w:rsidRPr="00E27F1D">
        <w:rPr>
          <w:b w:val="0"/>
          <w:noProof/>
          <w:szCs w:val="22"/>
          <w:lang w:val="af-ZA" w:eastAsia="en-US"/>
        </w:rPr>
        <w:t xml:space="preserve"> 2020 </w:t>
      </w:r>
      <w:r w:rsidRPr="00E27F1D">
        <w:rPr>
          <w:b w:val="0"/>
          <w:noProof/>
          <w:szCs w:val="22"/>
          <w:lang w:val="en-US" w:eastAsia="en-US"/>
        </w:rPr>
        <w:t>թվականի</w:t>
      </w:r>
      <w:r w:rsidRPr="00E27F1D">
        <w:rPr>
          <w:b w:val="0"/>
          <w:noProof/>
          <w:szCs w:val="22"/>
          <w:lang w:val="af-ZA" w:eastAsia="en-US"/>
        </w:rPr>
        <w:t xml:space="preserve"> </w:t>
      </w:r>
      <w:r w:rsidRPr="00E27F1D">
        <w:rPr>
          <w:b w:val="0"/>
          <w:noProof/>
          <w:szCs w:val="22"/>
          <w:lang w:val="en-US" w:eastAsia="en-US"/>
        </w:rPr>
        <w:t>պետական</w:t>
      </w:r>
      <w:r w:rsidRPr="00E27F1D">
        <w:rPr>
          <w:b w:val="0"/>
          <w:noProof/>
          <w:szCs w:val="22"/>
          <w:lang w:val="af-ZA" w:eastAsia="en-US"/>
        </w:rPr>
        <w:t xml:space="preserve"> </w:t>
      </w:r>
      <w:r w:rsidRPr="00E27F1D">
        <w:rPr>
          <w:b w:val="0"/>
          <w:noProof/>
          <w:szCs w:val="22"/>
          <w:lang w:val="en-US" w:eastAsia="en-US"/>
        </w:rPr>
        <w:t>բյուջեով</w:t>
      </w:r>
      <w:r w:rsidRPr="00E27F1D">
        <w:rPr>
          <w:b w:val="0"/>
          <w:noProof/>
          <w:szCs w:val="22"/>
          <w:lang w:val="af-ZA" w:eastAsia="en-US"/>
        </w:rPr>
        <w:t xml:space="preserve"> </w:t>
      </w:r>
      <w:r w:rsidRPr="00E27F1D">
        <w:rPr>
          <w:b w:val="0"/>
          <w:noProof/>
          <w:szCs w:val="22"/>
          <w:lang w:val="en-US" w:eastAsia="en-US"/>
        </w:rPr>
        <w:t>հաստատված</w:t>
      </w:r>
      <w:r w:rsidRPr="00E27F1D">
        <w:rPr>
          <w:b w:val="0"/>
          <w:noProof/>
          <w:szCs w:val="22"/>
          <w:lang w:val="af-ZA" w:eastAsia="en-US"/>
        </w:rPr>
        <w:t xml:space="preserve"> 1,775.7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դրամի</w:t>
      </w:r>
      <w:r w:rsidRPr="00E27F1D">
        <w:rPr>
          <w:b w:val="0"/>
          <w:noProof/>
          <w:szCs w:val="22"/>
          <w:lang w:val="af-ZA" w:eastAsia="en-US"/>
        </w:rPr>
        <w:t xml:space="preserve"> </w:t>
      </w:r>
      <w:r w:rsidRPr="00E27F1D">
        <w:rPr>
          <w:b w:val="0"/>
          <w:noProof/>
          <w:szCs w:val="22"/>
          <w:lang w:val="en-US" w:eastAsia="en-US"/>
        </w:rPr>
        <w:t>դիմաց</w:t>
      </w:r>
      <w:r w:rsidRPr="00E27F1D">
        <w:rPr>
          <w:b w:val="0"/>
          <w:noProof/>
          <w:szCs w:val="22"/>
          <w:lang w:val="af-ZA" w:eastAsia="en-US"/>
        </w:rPr>
        <w:t xml:space="preserve">: </w:t>
      </w:r>
    </w:p>
    <w:p w:rsidR="00E27F1D" w:rsidRPr="00E27F1D" w:rsidRDefault="002958DC" w:rsidP="007730AA">
      <w:pPr>
        <w:numPr>
          <w:ilvl w:val="12"/>
          <w:numId w:val="0"/>
        </w:numPr>
        <w:tabs>
          <w:tab w:val="left" w:pos="851"/>
        </w:tabs>
        <w:spacing w:before="0" w:line="276" w:lineRule="auto"/>
        <w:contextualSpacing w:val="0"/>
        <w:rPr>
          <w:b w:val="0"/>
          <w:noProof/>
          <w:szCs w:val="22"/>
          <w:lang w:val="af-ZA" w:eastAsia="en-US"/>
        </w:rPr>
      </w:pPr>
      <w:r w:rsidRPr="005578F9">
        <w:rPr>
          <w:b w:val="0"/>
          <w:noProof/>
          <w:szCs w:val="22"/>
          <w:lang w:val="af-ZA" w:eastAsia="en-US"/>
        </w:rPr>
        <w:tab/>
      </w:r>
      <w:r w:rsidR="00E27F1D" w:rsidRPr="00E27F1D">
        <w:rPr>
          <w:b w:val="0"/>
          <w:noProof/>
          <w:szCs w:val="22"/>
          <w:lang w:val="en-US" w:eastAsia="en-US"/>
        </w:rPr>
        <w:t>Ծախսեր</w:t>
      </w:r>
      <w:r w:rsidR="00E27F1D" w:rsidRPr="00E27F1D">
        <w:rPr>
          <w:b w:val="0"/>
          <w:noProof/>
          <w:szCs w:val="22"/>
          <w:lang w:val="hy-AM" w:eastAsia="en-US"/>
        </w:rPr>
        <w:t>ը</w:t>
      </w:r>
      <w:r w:rsidR="00E27F1D" w:rsidRPr="00E27F1D">
        <w:rPr>
          <w:b w:val="0"/>
          <w:noProof/>
          <w:szCs w:val="22"/>
          <w:lang w:val="af-ZA" w:eastAsia="en-US"/>
        </w:rPr>
        <w:t xml:space="preserve"> </w:t>
      </w:r>
      <w:r w:rsidR="00E27F1D" w:rsidRPr="00E27F1D">
        <w:rPr>
          <w:b w:val="0"/>
          <w:noProof/>
          <w:szCs w:val="22"/>
          <w:lang w:val="hy-AM" w:eastAsia="en-US"/>
        </w:rPr>
        <w:t>նվազ</w:t>
      </w:r>
      <w:r w:rsidR="00E27F1D" w:rsidRPr="00E27F1D">
        <w:rPr>
          <w:b w:val="0"/>
          <w:noProof/>
          <w:szCs w:val="22"/>
          <w:lang w:val="en-US" w:eastAsia="en-US"/>
        </w:rPr>
        <w:t>ել</w:t>
      </w:r>
      <w:r w:rsidR="00E27F1D" w:rsidRPr="00E27F1D">
        <w:rPr>
          <w:b w:val="0"/>
          <w:noProof/>
          <w:szCs w:val="22"/>
          <w:lang w:val="af-ZA" w:eastAsia="en-US"/>
        </w:rPr>
        <w:t xml:space="preserve"> </w:t>
      </w:r>
      <w:r w:rsidR="00E27F1D" w:rsidRPr="00E27F1D">
        <w:rPr>
          <w:b w:val="0"/>
          <w:noProof/>
          <w:szCs w:val="22"/>
          <w:lang w:val="en-US" w:eastAsia="en-US"/>
        </w:rPr>
        <w:t>են՝</w:t>
      </w:r>
      <w:r w:rsidR="00E27F1D" w:rsidRPr="00E27F1D">
        <w:rPr>
          <w:b w:val="0"/>
          <w:noProof/>
          <w:szCs w:val="22"/>
          <w:lang w:val="af-ZA" w:eastAsia="en-US"/>
        </w:rPr>
        <w:t xml:space="preserve"> </w:t>
      </w:r>
      <w:r w:rsidR="00E27F1D" w:rsidRPr="00E27F1D">
        <w:rPr>
          <w:b w:val="0"/>
          <w:noProof/>
          <w:szCs w:val="22"/>
          <w:lang w:val="hy-AM" w:eastAsia="en-US"/>
        </w:rPr>
        <w:t>8</w:t>
      </w:r>
      <w:r w:rsidR="00E27F1D" w:rsidRPr="00E27F1D">
        <w:rPr>
          <w:b w:val="0"/>
          <w:noProof/>
          <w:szCs w:val="22"/>
          <w:lang w:val="af-ZA" w:eastAsia="en-US"/>
        </w:rPr>
        <w:t>4.</w:t>
      </w:r>
      <w:r w:rsidR="00E27F1D" w:rsidRPr="00E27F1D">
        <w:rPr>
          <w:b w:val="0"/>
          <w:noProof/>
          <w:szCs w:val="22"/>
          <w:lang w:val="hy-AM" w:eastAsia="en-US"/>
        </w:rPr>
        <w:t>6</w:t>
      </w:r>
      <w:r w:rsidR="00E27F1D" w:rsidRPr="00E27F1D">
        <w:rPr>
          <w:b w:val="0"/>
          <w:noProof/>
          <w:szCs w:val="22"/>
          <w:lang w:val="af-ZA" w:eastAsia="en-US"/>
        </w:rPr>
        <w:t xml:space="preserve"> </w:t>
      </w:r>
      <w:r w:rsidR="00E27F1D" w:rsidRPr="00E27F1D">
        <w:rPr>
          <w:b w:val="0"/>
          <w:noProof/>
          <w:szCs w:val="22"/>
          <w:lang w:val="en-US" w:eastAsia="en-US"/>
        </w:rPr>
        <w:t>մլն</w:t>
      </w:r>
      <w:r w:rsidR="00E27F1D" w:rsidRPr="00E27F1D">
        <w:rPr>
          <w:b w:val="0"/>
          <w:noProof/>
          <w:szCs w:val="22"/>
          <w:lang w:val="af-ZA" w:eastAsia="en-US"/>
        </w:rPr>
        <w:t xml:space="preserve"> </w:t>
      </w:r>
      <w:r w:rsidR="00E27F1D" w:rsidRPr="00E27F1D">
        <w:rPr>
          <w:b w:val="0"/>
          <w:noProof/>
          <w:szCs w:val="22"/>
          <w:lang w:val="en-US" w:eastAsia="en-US"/>
        </w:rPr>
        <w:t>դրամով</w:t>
      </w:r>
      <w:r w:rsidR="00E27F1D" w:rsidRPr="00E27F1D">
        <w:rPr>
          <w:b w:val="0"/>
          <w:noProof/>
          <w:szCs w:val="22"/>
          <w:lang w:val="af-ZA" w:eastAsia="en-US"/>
        </w:rPr>
        <w:t xml:space="preserve">, </w:t>
      </w:r>
      <w:r w:rsidR="00E27F1D" w:rsidRPr="00E27F1D">
        <w:rPr>
          <w:b w:val="0"/>
          <w:noProof/>
          <w:szCs w:val="22"/>
          <w:lang w:val="en-US" w:eastAsia="en-US"/>
        </w:rPr>
        <w:t>կամ</w:t>
      </w:r>
      <w:r w:rsidR="00E27F1D" w:rsidRPr="00E27F1D">
        <w:rPr>
          <w:b w:val="0"/>
          <w:noProof/>
          <w:szCs w:val="22"/>
          <w:lang w:val="af-ZA" w:eastAsia="en-US"/>
        </w:rPr>
        <w:t xml:space="preserve"> </w:t>
      </w:r>
      <w:r w:rsidR="00E27F1D" w:rsidRPr="00E27F1D">
        <w:rPr>
          <w:b w:val="0"/>
          <w:noProof/>
          <w:szCs w:val="22"/>
          <w:lang w:val="hy-AM" w:eastAsia="en-US"/>
        </w:rPr>
        <w:t>4</w:t>
      </w:r>
      <w:r w:rsidR="00E27F1D" w:rsidRPr="00E27F1D">
        <w:rPr>
          <w:b w:val="0"/>
          <w:noProof/>
          <w:szCs w:val="22"/>
          <w:lang w:val="af-ZA" w:eastAsia="en-US"/>
        </w:rPr>
        <w:t>.</w:t>
      </w:r>
      <w:r w:rsidR="00E27F1D" w:rsidRPr="00E27F1D">
        <w:rPr>
          <w:b w:val="0"/>
          <w:noProof/>
          <w:szCs w:val="22"/>
          <w:lang w:val="hy-AM" w:eastAsia="en-US"/>
        </w:rPr>
        <w:t>8</w:t>
      </w:r>
      <w:r w:rsidR="00E27F1D" w:rsidRPr="00E27F1D">
        <w:rPr>
          <w:b w:val="0"/>
          <w:noProof/>
          <w:szCs w:val="22"/>
          <w:lang w:val="af-ZA" w:eastAsia="en-US"/>
        </w:rPr>
        <w:t xml:space="preserve"> %-</w:t>
      </w:r>
      <w:r w:rsidR="00E27F1D" w:rsidRPr="00E27F1D">
        <w:rPr>
          <w:b w:val="0"/>
          <w:noProof/>
          <w:szCs w:val="22"/>
          <w:lang w:val="en-US" w:eastAsia="en-US"/>
        </w:rPr>
        <w:t>ով</w:t>
      </w:r>
      <w:r w:rsidR="00E27F1D" w:rsidRPr="00E27F1D">
        <w:rPr>
          <w:b w:val="0"/>
          <w:noProof/>
          <w:szCs w:val="22"/>
          <w:lang w:val="af-ZA" w:eastAsia="en-US"/>
        </w:rPr>
        <w:t xml:space="preserve">, </w:t>
      </w:r>
      <w:r w:rsidR="00E27F1D" w:rsidRPr="00E27F1D">
        <w:rPr>
          <w:b w:val="0"/>
          <w:noProof/>
          <w:szCs w:val="22"/>
          <w:lang w:val="en-US" w:eastAsia="en-US"/>
        </w:rPr>
        <w:t>որը</w:t>
      </w:r>
      <w:r w:rsidR="00E27F1D" w:rsidRPr="00E27F1D">
        <w:rPr>
          <w:b w:val="0"/>
          <w:noProof/>
          <w:szCs w:val="22"/>
          <w:lang w:val="af-ZA" w:eastAsia="en-US"/>
        </w:rPr>
        <w:t xml:space="preserve"> </w:t>
      </w:r>
      <w:r w:rsidR="00E27F1D" w:rsidRPr="00E27F1D">
        <w:rPr>
          <w:b w:val="0"/>
          <w:noProof/>
          <w:szCs w:val="22"/>
          <w:lang w:val="en-US" w:eastAsia="en-US"/>
        </w:rPr>
        <w:t>պայմանավորված</w:t>
      </w:r>
      <w:r w:rsidR="00E27F1D" w:rsidRPr="00E27F1D">
        <w:rPr>
          <w:b w:val="0"/>
          <w:noProof/>
          <w:szCs w:val="22"/>
          <w:lang w:val="af-ZA" w:eastAsia="en-US"/>
        </w:rPr>
        <w:t xml:space="preserve"> </w:t>
      </w:r>
      <w:r w:rsidR="00E27F1D" w:rsidRPr="00E27F1D">
        <w:rPr>
          <w:b w:val="0"/>
          <w:noProof/>
          <w:szCs w:val="22"/>
          <w:lang w:val="en-US" w:eastAsia="en-US"/>
        </w:rPr>
        <w:t>է</w:t>
      </w:r>
      <w:r w:rsidR="00E27F1D" w:rsidRPr="00E27F1D">
        <w:rPr>
          <w:b w:val="0"/>
          <w:noProof/>
          <w:szCs w:val="22"/>
          <w:lang w:val="hy-AM" w:eastAsia="en-US"/>
        </w:rPr>
        <w:t xml:space="preserve"> ծախսային գերակայություններով, առաջնահերթություններով</w:t>
      </w:r>
      <w:r w:rsidR="00E27F1D"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noProof/>
          <w:szCs w:val="22"/>
          <w:lang w:val="hy-AM" w:eastAsia="en-US"/>
        </w:rPr>
        <w:t xml:space="preserve">       </w:t>
      </w:r>
      <w:r w:rsidR="002958DC" w:rsidRPr="005578F9">
        <w:rPr>
          <w:noProof/>
          <w:szCs w:val="22"/>
          <w:lang w:val="af-ZA" w:eastAsia="en-US"/>
        </w:rPr>
        <w:tab/>
      </w:r>
      <w:r w:rsidRPr="00AB56B7">
        <w:rPr>
          <w:noProof/>
          <w:szCs w:val="22"/>
          <w:lang w:val="hy-AM" w:eastAsia="en-US"/>
        </w:rPr>
        <w:t>Ազգային</w:t>
      </w:r>
      <w:r w:rsidRPr="00E27F1D">
        <w:rPr>
          <w:noProof/>
          <w:szCs w:val="22"/>
          <w:lang w:val="af-ZA" w:eastAsia="en-US"/>
        </w:rPr>
        <w:t xml:space="preserve"> </w:t>
      </w:r>
      <w:r w:rsidRPr="00AB56B7">
        <w:rPr>
          <w:noProof/>
          <w:szCs w:val="22"/>
          <w:lang w:val="hy-AM" w:eastAsia="en-US"/>
        </w:rPr>
        <w:t>արխիվի</w:t>
      </w:r>
      <w:r w:rsidRPr="00E27F1D">
        <w:rPr>
          <w:noProof/>
          <w:szCs w:val="22"/>
          <w:lang w:val="af-ZA" w:eastAsia="en-US"/>
        </w:rPr>
        <w:t xml:space="preserve"> </w:t>
      </w:r>
      <w:r w:rsidRPr="00AB56B7">
        <w:rPr>
          <w:noProof/>
          <w:szCs w:val="22"/>
          <w:lang w:val="hy-AM" w:eastAsia="en-US"/>
        </w:rPr>
        <w:t>ծրագրի</w:t>
      </w:r>
      <w:r w:rsidRPr="00E27F1D">
        <w:rPr>
          <w:b w:val="0"/>
          <w:noProof/>
          <w:szCs w:val="22"/>
          <w:lang w:val="af-ZA" w:eastAsia="en-US"/>
        </w:rPr>
        <w:t xml:space="preserve"> </w:t>
      </w:r>
      <w:r w:rsidRPr="00AB56B7">
        <w:rPr>
          <w:b w:val="0"/>
          <w:noProof/>
          <w:szCs w:val="22"/>
          <w:lang w:val="hy-AM" w:eastAsia="en-US"/>
        </w:rPr>
        <w:t>նպատակ</w:t>
      </w:r>
      <w:r w:rsidRPr="00E27F1D">
        <w:rPr>
          <w:b w:val="0"/>
          <w:noProof/>
          <w:szCs w:val="22"/>
          <w:lang w:val="hy-AM" w:eastAsia="en-US"/>
        </w:rPr>
        <w:t>ը՝</w:t>
      </w:r>
      <w:r w:rsidRPr="00E27F1D">
        <w:rPr>
          <w:b w:val="0"/>
          <w:noProof/>
          <w:szCs w:val="22"/>
          <w:lang w:val="af-ZA" w:eastAsia="en-US"/>
        </w:rPr>
        <w:t xml:space="preserve"> </w:t>
      </w:r>
      <w:r w:rsidRPr="00AB56B7">
        <w:rPr>
          <w:b w:val="0"/>
          <w:noProof/>
          <w:szCs w:val="22"/>
          <w:lang w:val="hy-AM" w:eastAsia="en-US"/>
        </w:rPr>
        <w:t>ապահովել</w:t>
      </w:r>
      <w:r w:rsidRPr="00E27F1D">
        <w:rPr>
          <w:b w:val="0"/>
          <w:noProof/>
          <w:szCs w:val="22"/>
          <w:lang w:val="af-ZA" w:eastAsia="en-US"/>
        </w:rPr>
        <w:t xml:space="preserve">  </w:t>
      </w:r>
      <w:r w:rsidRPr="00AB56B7">
        <w:rPr>
          <w:b w:val="0"/>
          <w:noProof/>
          <w:szCs w:val="22"/>
          <w:lang w:val="hy-AM" w:eastAsia="en-US"/>
        </w:rPr>
        <w:t>ՀՀ</w:t>
      </w:r>
      <w:r w:rsidRPr="00E27F1D">
        <w:rPr>
          <w:b w:val="0"/>
          <w:noProof/>
          <w:szCs w:val="22"/>
          <w:lang w:val="af-ZA" w:eastAsia="en-US"/>
        </w:rPr>
        <w:t xml:space="preserve"> </w:t>
      </w:r>
      <w:r w:rsidRPr="00AB56B7">
        <w:rPr>
          <w:b w:val="0"/>
          <w:noProof/>
          <w:szCs w:val="22"/>
          <w:lang w:val="hy-AM" w:eastAsia="en-US"/>
        </w:rPr>
        <w:t>ազգային</w:t>
      </w:r>
      <w:r w:rsidRPr="00E27F1D">
        <w:rPr>
          <w:b w:val="0"/>
          <w:noProof/>
          <w:szCs w:val="22"/>
          <w:lang w:val="af-ZA" w:eastAsia="en-US"/>
        </w:rPr>
        <w:t xml:space="preserve"> </w:t>
      </w:r>
      <w:r w:rsidRPr="00AB56B7">
        <w:rPr>
          <w:b w:val="0"/>
          <w:noProof/>
          <w:szCs w:val="22"/>
          <w:lang w:val="hy-AM" w:eastAsia="en-US"/>
        </w:rPr>
        <w:t>արխիվային</w:t>
      </w:r>
      <w:r w:rsidRPr="00E27F1D">
        <w:rPr>
          <w:b w:val="0"/>
          <w:noProof/>
          <w:szCs w:val="22"/>
          <w:lang w:val="af-ZA" w:eastAsia="en-US"/>
        </w:rPr>
        <w:t xml:space="preserve"> </w:t>
      </w:r>
      <w:r w:rsidRPr="00AB56B7">
        <w:rPr>
          <w:b w:val="0"/>
          <w:noProof/>
          <w:szCs w:val="22"/>
          <w:lang w:val="hy-AM" w:eastAsia="en-US"/>
        </w:rPr>
        <w:t>հավաքածուի</w:t>
      </w:r>
      <w:r w:rsidRPr="00E27F1D">
        <w:rPr>
          <w:b w:val="0"/>
          <w:noProof/>
          <w:szCs w:val="22"/>
          <w:lang w:val="af-ZA" w:eastAsia="en-US"/>
        </w:rPr>
        <w:t xml:space="preserve"> </w:t>
      </w:r>
      <w:r w:rsidRPr="00AB56B7">
        <w:rPr>
          <w:b w:val="0"/>
          <w:noProof/>
          <w:szCs w:val="22"/>
          <w:lang w:val="hy-AM" w:eastAsia="en-US"/>
        </w:rPr>
        <w:t>պահպանությունը</w:t>
      </w:r>
      <w:r w:rsidRPr="00E27F1D">
        <w:rPr>
          <w:b w:val="0"/>
          <w:noProof/>
          <w:szCs w:val="22"/>
          <w:lang w:val="af-ZA" w:eastAsia="en-US"/>
        </w:rPr>
        <w:t xml:space="preserve">, </w:t>
      </w:r>
      <w:r w:rsidRPr="00AB56B7">
        <w:rPr>
          <w:b w:val="0"/>
          <w:noProof/>
          <w:szCs w:val="22"/>
          <w:lang w:val="hy-AM" w:eastAsia="en-US"/>
        </w:rPr>
        <w:t>համալրումը</w:t>
      </w:r>
      <w:r w:rsidRPr="00E27F1D">
        <w:rPr>
          <w:b w:val="0"/>
          <w:noProof/>
          <w:szCs w:val="22"/>
          <w:lang w:val="af-ZA" w:eastAsia="en-US"/>
        </w:rPr>
        <w:t xml:space="preserve">, </w:t>
      </w:r>
      <w:r w:rsidRPr="00AB56B7">
        <w:rPr>
          <w:b w:val="0"/>
          <w:noProof/>
          <w:szCs w:val="22"/>
          <w:lang w:val="hy-AM" w:eastAsia="en-US"/>
        </w:rPr>
        <w:t>հաշվառումը</w:t>
      </w:r>
      <w:r w:rsidRPr="00E27F1D">
        <w:rPr>
          <w:b w:val="0"/>
          <w:noProof/>
          <w:szCs w:val="22"/>
          <w:lang w:val="af-ZA" w:eastAsia="en-US"/>
        </w:rPr>
        <w:t xml:space="preserve"> </w:t>
      </w:r>
      <w:r w:rsidRPr="00AB56B7">
        <w:rPr>
          <w:b w:val="0"/>
          <w:noProof/>
          <w:szCs w:val="22"/>
          <w:lang w:val="hy-AM" w:eastAsia="en-US"/>
        </w:rPr>
        <w:t>և</w:t>
      </w:r>
      <w:r w:rsidRPr="00E27F1D">
        <w:rPr>
          <w:b w:val="0"/>
          <w:noProof/>
          <w:szCs w:val="22"/>
          <w:lang w:val="af-ZA" w:eastAsia="en-US"/>
        </w:rPr>
        <w:t xml:space="preserve"> </w:t>
      </w:r>
      <w:r w:rsidRPr="00AB56B7">
        <w:rPr>
          <w:b w:val="0"/>
          <w:noProof/>
          <w:szCs w:val="22"/>
          <w:lang w:val="hy-AM" w:eastAsia="en-US"/>
        </w:rPr>
        <w:t>օգտագործումը</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en-US" w:eastAsia="en-US"/>
        </w:rPr>
        <w:t>Ազգային</w:t>
      </w:r>
      <w:r w:rsidRPr="00E27F1D">
        <w:rPr>
          <w:b w:val="0"/>
          <w:noProof/>
          <w:szCs w:val="22"/>
          <w:lang w:val="af-ZA" w:eastAsia="en-US"/>
        </w:rPr>
        <w:t xml:space="preserve"> </w:t>
      </w:r>
      <w:r w:rsidRPr="00E27F1D">
        <w:rPr>
          <w:b w:val="0"/>
          <w:noProof/>
          <w:szCs w:val="22"/>
          <w:lang w:val="en-US" w:eastAsia="en-US"/>
        </w:rPr>
        <w:t>արխիվի</w:t>
      </w:r>
      <w:r w:rsidRPr="00E27F1D">
        <w:rPr>
          <w:b w:val="0"/>
          <w:noProof/>
          <w:szCs w:val="22"/>
          <w:lang w:val="af-ZA" w:eastAsia="en-US"/>
        </w:rPr>
        <w:t xml:space="preserve"> </w:t>
      </w:r>
      <w:r w:rsidRPr="00E27F1D">
        <w:rPr>
          <w:b w:val="0"/>
          <w:noProof/>
          <w:szCs w:val="22"/>
          <w:lang w:val="en-US" w:eastAsia="en-US"/>
        </w:rPr>
        <w:t>ծրագրի</w:t>
      </w:r>
      <w:r w:rsidRPr="00E27F1D">
        <w:rPr>
          <w:b w:val="0"/>
          <w:noProof/>
          <w:szCs w:val="22"/>
          <w:lang w:val="af-ZA" w:eastAsia="en-US"/>
        </w:rPr>
        <w:t xml:space="preserve"> </w:t>
      </w:r>
      <w:r w:rsidRPr="00E27F1D">
        <w:rPr>
          <w:b w:val="0"/>
          <w:noProof/>
          <w:szCs w:val="22"/>
          <w:lang w:val="en-US" w:eastAsia="en-US"/>
        </w:rPr>
        <w:t>համար</w:t>
      </w:r>
      <w:r w:rsidRPr="00E27F1D">
        <w:rPr>
          <w:b w:val="0"/>
          <w:noProof/>
          <w:szCs w:val="22"/>
          <w:lang w:val="af-ZA" w:eastAsia="en-US"/>
        </w:rPr>
        <w:t xml:space="preserve"> </w:t>
      </w:r>
      <w:r w:rsidRPr="00E27F1D">
        <w:rPr>
          <w:b w:val="0"/>
          <w:noProof/>
          <w:szCs w:val="22"/>
          <w:lang w:val="en-US" w:eastAsia="en-US"/>
        </w:rPr>
        <w:t>Նախագծով</w:t>
      </w:r>
      <w:r w:rsidRPr="00E27F1D">
        <w:rPr>
          <w:b w:val="0"/>
          <w:noProof/>
          <w:szCs w:val="22"/>
          <w:lang w:val="af-ZA" w:eastAsia="en-US"/>
        </w:rPr>
        <w:t xml:space="preserve"> </w:t>
      </w:r>
      <w:r w:rsidRPr="00E27F1D">
        <w:rPr>
          <w:b w:val="0"/>
          <w:noProof/>
          <w:szCs w:val="22"/>
          <w:lang w:val="en-US" w:eastAsia="en-US"/>
        </w:rPr>
        <w:t>նախատեսվում</w:t>
      </w:r>
      <w:r w:rsidRPr="00E27F1D">
        <w:rPr>
          <w:b w:val="0"/>
          <w:noProof/>
          <w:szCs w:val="22"/>
          <w:lang w:val="af-ZA" w:eastAsia="en-US"/>
        </w:rPr>
        <w:t xml:space="preserve"> </w:t>
      </w:r>
      <w:r w:rsidRPr="00E27F1D">
        <w:rPr>
          <w:b w:val="0"/>
          <w:noProof/>
          <w:szCs w:val="22"/>
          <w:lang w:val="en-US" w:eastAsia="en-US"/>
        </w:rPr>
        <w:t>է</w:t>
      </w:r>
      <w:r w:rsidRPr="00E27F1D">
        <w:rPr>
          <w:b w:val="0"/>
          <w:noProof/>
          <w:szCs w:val="22"/>
          <w:lang w:val="af-ZA" w:eastAsia="en-US"/>
        </w:rPr>
        <w:t xml:space="preserve"> </w:t>
      </w:r>
      <w:r w:rsidRPr="00E27F1D">
        <w:rPr>
          <w:b w:val="0"/>
          <w:noProof/>
          <w:szCs w:val="22"/>
          <w:lang w:val="en-US" w:eastAsia="en-US"/>
        </w:rPr>
        <w:t>հատկացնել</w:t>
      </w:r>
      <w:r w:rsidRPr="00E27F1D">
        <w:rPr>
          <w:b w:val="0"/>
          <w:noProof/>
          <w:szCs w:val="22"/>
          <w:lang w:val="af-ZA" w:eastAsia="en-US"/>
        </w:rPr>
        <w:t xml:space="preserve"> 59</w:t>
      </w:r>
      <w:r w:rsidRPr="00E27F1D">
        <w:rPr>
          <w:b w:val="0"/>
          <w:noProof/>
          <w:szCs w:val="22"/>
          <w:lang w:val="hy-AM" w:eastAsia="en-US"/>
        </w:rPr>
        <w:t>0</w:t>
      </w:r>
      <w:r w:rsidRPr="00E27F1D">
        <w:rPr>
          <w:b w:val="0"/>
          <w:noProof/>
          <w:szCs w:val="22"/>
          <w:lang w:val="af-ZA" w:eastAsia="en-US"/>
        </w:rPr>
        <w:t>.</w:t>
      </w:r>
      <w:r w:rsidRPr="00E27F1D">
        <w:rPr>
          <w:b w:val="0"/>
          <w:noProof/>
          <w:szCs w:val="22"/>
          <w:lang w:val="hy-AM" w:eastAsia="en-US"/>
        </w:rPr>
        <w:t>2</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w:t>
      </w:r>
      <w:r w:rsidRPr="00E27F1D">
        <w:rPr>
          <w:b w:val="0"/>
          <w:noProof/>
          <w:szCs w:val="22"/>
          <w:lang w:val="af-ZA" w:eastAsia="en-US"/>
        </w:rPr>
        <w:t xml:space="preserve"> </w:t>
      </w:r>
      <w:r w:rsidRPr="00E27F1D">
        <w:rPr>
          <w:b w:val="0"/>
          <w:noProof/>
          <w:szCs w:val="22"/>
          <w:lang w:val="en-US" w:eastAsia="en-US"/>
        </w:rPr>
        <w:t>ՀՀ</w:t>
      </w:r>
      <w:r w:rsidRPr="00E27F1D">
        <w:rPr>
          <w:b w:val="0"/>
          <w:noProof/>
          <w:szCs w:val="22"/>
          <w:lang w:val="af-ZA" w:eastAsia="en-US"/>
        </w:rPr>
        <w:t xml:space="preserve"> 20</w:t>
      </w:r>
      <w:r w:rsidRPr="00E27F1D">
        <w:rPr>
          <w:b w:val="0"/>
          <w:noProof/>
          <w:szCs w:val="22"/>
          <w:lang w:val="hy-AM" w:eastAsia="en-US"/>
        </w:rPr>
        <w:t>20</w:t>
      </w:r>
      <w:r w:rsidRPr="00E27F1D">
        <w:rPr>
          <w:b w:val="0"/>
          <w:noProof/>
          <w:szCs w:val="22"/>
          <w:lang w:val="af-ZA" w:eastAsia="en-US"/>
        </w:rPr>
        <w:t xml:space="preserve"> </w:t>
      </w:r>
      <w:r w:rsidRPr="00E27F1D">
        <w:rPr>
          <w:b w:val="0"/>
          <w:noProof/>
          <w:szCs w:val="22"/>
          <w:lang w:val="en-US" w:eastAsia="en-US"/>
        </w:rPr>
        <w:t>թվականի</w:t>
      </w:r>
      <w:r w:rsidRPr="00E27F1D">
        <w:rPr>
          <w:b w:val="0"/>
          <w:noProof/>
          <w:szCs w:val="22"/>
          <w:lang w:val="af-ZA" w:eastAsia="en-US"/>
        </w:rPr>
        <w:t xml:space="preserve"> </w:t>
      </w:r>
      <w:r w:rsidRPr="00E27F1D">
        <w:rPr>
          <w:b w:val="0"/>
          <w:noProof/>
          <w:szCs w:val="22"/>
          <w:lang w:val="en-US" w:eastAsia="en-US"/>
        </w:rPr>
        <w:t>պետական</w:t>
      </w:r>
      <w:r w:rsidRPr="00E27F1D">
        <w:rPr>
          <w:b w:val="0"/>
          <w:noProof/>
          <w:szCs w:val="22"/>
          <w:lang w:val="af-ZA" w:eastAsia="en-US"/>
        </w:rPr>
        <w:t xml:space="preserve"> </w:t>
      </w:r>
      <w:r w:rsidRPr="00E27F1D">
        <w:rPr>
          <w:b w:val="0"/>
          <w:noProof/>
          <w:szCs w:val="22"/>
          <w:lang w:val="en-US" w:eastAsia="en-US"/>
        </w:rPr>
        <w:t>բյուջեով</w:t>
      </w:r>
      <w:r w:rsidRPr="00E27F1D">
        <w:rPr>
          <w:b w:val="0"/>
          <w:noProof/>
          <w:szCs w:val="22"/>
          <w:lang w:val="af-ZA" w:eastAsia="en-US"/>
        </w:rPr>
        <w:t xml:space="preserve"> </w:t>
      </w:r>
      <w:r w:rsidRPr="00E27F1D">
        <w:rPr>
          <w:b w:val="0"/>
          <w:noProof/>
          <w:szCs w:val="22"/>
          <w:lang w:val="en-US" w:eastAsia="en-US"/>
        </w:rPr>
        <w:t>հաստատված</w:t>
      </w:r>
      <w:r w:rsidRPr="00E27F1D">
        <w:rPr>
          <w:b w:val="0"/>
          <w:noProof/>
          <w:szCs w:val="22"/>
          <w:lang w:val="af-ZA" w:eastAsia="en-US"/>
        </w:rPr>
        <w:t xml:space="preserve"> 59</w:t>
      </w:r>
      <w:r w:rsidRPr="00E27F1D">
        <w:rPr>
          <w:b w:val="0"/>
          <w:noProof/>
          <w:szCs w:val="22"/>
          <w:lang w:val="hy-AM" w:eastAsia="en-US"/>
        </w:rPr>
        <w:t>6</w:t>
      </w:r>
      <w:r w:rsidRPr="00E27F1D">
        <w:rPr>
          <w:b w:val="0"/>
          <w:noProof/>
          <w:szCs w:val="22"/>
          <w:lang w:val="af-ZA" w:eastAsia="en-US"/>
        </w:rPr>
        <w:t>.</w:t>
      </w:r>
      <w:r w:rsidRPr="00E27F1D">
        <w:rPr>
          <w:b w:val="0"/>
          <w:noProof/>
          <w:szCs w:val="22"/>
          <w:lang w:val="hy-AM" w:eastAsia="en-US"/>
        </w:rPr>
        <w:t>1</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դրամի</w:t>
      </w:r>
      <w:r w:rsidRPr="00E27F1D">
        <w:rPr>
          <w:b w:val="0"/>
          <w:noProof/>
          <w:szCs w:val="22"/>
          <w:lang w:val="af-ZA" w:eastAsia="en-US"/>
        </w:rPr>
        <w:t xml:space="preserve"> </w:t>
      </w:r>
      <w:r w:rsidRPr="00E27F1D">
        <w:rPr>
          <w:b w:val="0"/>
          <w:noProof/>
          <w:szCs w:val="22"/>
          <w:lang w:val="en-US" w:eastAsia="en-US"/>
        </w:rPr>
        <w:t>դիմաց</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af-ZA" w:eastAsia="en-US"/>
        </w:rPr>
        <w:t xml:space="preserve"> </w:t>
      </w:r>
      <w:r w:rsidRPr="00E27F1D">
        <w:rPr>
          <w:b w:val="0"/>
          <w:noProof/>
          <w:szCs w:val="22"/>
          <w:lang w:val="en-US" w:eastAsia="en-US"/>
        </w:rPr>
        <w:t>Ծախսեր</w:t>
      </w:r>
      <w:r w:rsidRPr="00E27F1D">
        <w:rPr>
          <w:b w:val="0"/>
          <w:noProof/>
          <w:szCs w:val="22"/>
          <w:lang w:val="hy-AM" w:eastAsia="en-US"/>
        </w:rPr>
        <w:t>ը</w:t>
      </w:r>
      <w:r w:rsidRPr="00E27F1D">
        <w:rPr>
          <w:b w:val="0"/>
          <w:noProof/>
          <w:szCs w:val="22"/>
          <w:lang w:val="af-ZA" w:eastAsia="en-US"/>
        </w:rPr>
        <w:t xml:space="preserve"> </w:t>
      </w:r>
      <w:r w:rsidRPr="00E27F1D">
        <w:rPr>
          <w:b w:val="0"/>
          <w:noProof/>
          <w:szCs w:val="22"/>
          <w:lang w:val="hy-AM" w:eastAsia="en-US"/>
        </w:rPr>
        <w:t>նվազ</w:t>
      </w:r>
      <w:r w:rsidRPr="00E27F1D">
        <w:rPr>
          <w:b w:val="0"/>
          <w:noProof/>
          <w:szCs w:val="22"/>
          <w:lang w:val="en-US" w:eastAsia="en-US"/>
        </w:rPr>
        <w:t>ել</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5.9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դրամով</w:t>
      </w:r>
      <w:r w:rsidRPr="00E27F1D">
        <w:rPr>
          <w:b w:val="0"/>
          <w:noProof/>
          <w:szCs w:val="22"/>
          <w:lang w:val="af-ZA" w:eastAsia="en-US"/>
        </w:rPr>
        <w:t xml:space="preserve">, </w:t>
      </w:r>
      <w:r w:rsidRPr="00E27F1D">
        <w:rPr>
          <w:b w:val="0"/>
          <w:noProof/>
          <w:szCs w:val="22"/>
          <w:lang w:val="en-US" w:eastAsia="en-US"/>
        </w:rPr>
        <w:t>կամ</w:t>
      </w:r>
      <w:r w:rsidRPr="00E27F1D">
        <w:rPr>
          <w:b w:val="0"/>
          <w:noProof/>
          <w:szCs w:val="22"/>
          <w:lang w:val="af-ZA" w:eastAsia="en-US"/>
        </w:rPr>
        <w:t xml:space="preserve"> </w:t>
      </w:r>
      <w:r w:rsidRPr="00E27F1D">
        <w:rPr>
          <w:b w:val="0"/>
          <w:noProof/>
          <w:szCs w:val="22"/>
          <w:lang w:val="hy-AM" w:eastAsia="en-US"/>
        </w:rPr>
        <w:t>1</w:t>
      </w:r>
      <w:r w:rsidRPr="00E27F1D">
        <w:rPr>
          <w:b w:val="0"/>
          <w:noProof/>
          <w:szCs w:val="22"/>
          <w:lang w:val="af-ZA" w:eastAsia="en-US"/>
        </w:rPr>
        <w:t>.</w:t>
      </w:r>
      <w:r w:rsidRPr="00E27F1D">
        <w:rPr>
          <w:b w:val="0"/>
          <w:noProof/>
          <w:szCs w:val="22"/>
          <w:lang w:val="hy-AM" w:eastAsia="en-US"/>
        </w:rPr>
        <w:t>0</w:t>
      </w:r>
      <w:r w:rsidRPr="00E27F1D">
        <w:rPr>
          <w:b w:val="0"/>
          <w:noProof/>
          <w:szCs w:val="22"/>
          <w:lang w:val="af-ZA" w:eastAsia="en-US"/>
        </w:rPr>
        <w:t xml:space="preserve"> %-</w:t>
      </w:r>
      <w:r w:rsidRPr="00E27F1D">
        <w:rPr>
          <w:b w:val="0"/>
          <w:noProof/>
          <w:szCs w:val="22"/>
          <w:lang w:val="en-US" w:eastAsia="en-US"/>
        </w:rPr>
        <w:t>ով</w:t>
      </w:r>
      <w:r w:rsidRPr="00E27F1D">
        <w:rPr>
          <w:b w:val="0"/>
          <w:noProof/>
          <w:szCs w:val="22"/>
          <w:lang w:val="af-ZA" w:eastAsia="en-US"/>
        </w:rPr>
        <w:t xml:space="preserve">, </w:t>
      </w:r>
      <w:r w:rsidRPr="00E27F1D">
        <w:rPr>
          <w:b w:val="0"/>
          <w:noProof/>
          <w:szCs w:val="22"/>
          <w:lang w:val="en-US" w:eastAsia="en-US"/>
        </w:rPr>
        <w:t>որը</w:t>
      </w:r>
      <w:r w:rsidRPr="00E27F1D">
        <w:rPr>
          <w:b w:val="0"/>
          <w:noProof/>
          <w:szCs w:val="22"/>
          <w:lang w:val="af-ZA" w:eastAsia="en-US"/>
        </w:rPr>
        <w:t xml:space="preserve"> </w:t>
      </w:r>
      <w:r w:rsidRPr="00E27F1D">
        <w:rPr>
          <w:b w:val="0"/>
          <w:noProof/>
          <w:szCs w:val="22"/>
          <w:lang w:val="en-US" w:eastAsia="en-US"/>
        </w:rPr>
        <w:t>պայմանավորված</w:t>
      </w:r>
      <w:r w:rsidRPr="00E27F1D">
        <w:rPr>
          <w:b w:val="0"/>
          <w:noProof/>
          <w:szCs w:val="22"/>
          <w:lang w:val="af-ZA" w:eastAsia="en-US"/>
        </w:rPr>
        <w:t xml:space="preserve"> </w:t>
      </w:r>
      <w:r w:rsidRPr="00E27F1D">
        <w:rPr>
          <w:b w:val="0"/>
          <w:noProof/>
          <w:szCs w:val="22"/>
          <w:lang w:val="en-US" w:eastAsia="en-US"/>
        </w:rPr>
        <w:t>է</w:t>
      </w:r>
      <w:r w:rsidRPr="00E27F1D">
        <w:rPr>
          <w:b w:val="0"/>
          <w:noProof/>
          <w:szCs w:val="22"/>
          <w:lang w:val="af-ZA" w:eastAsia="en-US"/>
        </w:rPr>
        <w:t xml:space="preserve"> </w:t>
      </w:r>
      <w:r w:rsidRPr="00E27F1D">
        <w:rPr>
          <w:b w:val="0"/>
          <w:noProof/>
          <w:szCs w:val="22"/>
          <w:lang w:val="hy-AM" w:eastAsia="en-US"/>
        </w:rPr>
        <w:t>ծախսային գերակայություններով, առաջնահերթություններով</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noProof/>
          <w:szCs w:val="22"/>
          <w:lang w:val="hy-AM" w:eastAsia="en-US"/>
        </w:rPr>
        <w:t xml:space="preserve">       </w:t>
      </w:r>
      <w:r w:rsidR="002958DC" w:rsidRPr="005578F9">
        <w:rPr>
          <w:noProof/>
          <w:szCs w:val="22"/>
          <w:lang w:val="af-ZA" w:eastAsia="en-US"/>
        </w:rPr>
        <w:tab/>
      </w:r>
      <w:r w:rsidRPr="00AB56B7">
        <w:rPr>
          <w:noProof/>
          <w:szCs w:val="22"/>
          <w:lang w:val="hy-AM" w:eastAsia="en-US"/>
        </w:rPr>
        <w:t>Արվեստների</w:t>
      </w:r>
      <w:r w:rsidRPr="00E27F1D">
        <w:rPr>
          <w:noProof/>
          <w:szCs w:val="22"/>
          <w:lang w:val="af-ZA" w:eastAsia="en-US"/>
        </w:rPr>
        <w:t xml:space="preserve"> </w:t>
      </w:r>
      <w:r w:rsidRPr="00AB56B7">
        <w:rPr>
          <w:noProof/>
          <w:szCs w:val="22"/>
          <w:lang w:val="hy-AM" w:eastAsia="en-US"/>
        </w:rPr>
        <w:t>ծրագ</w:t>
      </w:r>
      <w:r w:rsidRPr="00E27F1D">
        <w:rPr>
          <w:noProof/>
          <w:szCs w:val="22"/>
          <w:lang w:val="hy-AM" w:eastAsia="en-US"/>
        </w:rPr>
        <w:t>րի</w:t>
      </w:r>
      <w:r w:rsidRPr="00E27F1D">
        <w:rPr>
          <w:b w:val="0"/>
          <w:noProof/>
          <w:szCs w:val="22"/>
          <w:lang w:val="af-ZA" w:eastAsia="en-US"/>
        </w:rPr>
        <w:t xml:space="preserve"> </w:t>
      </w:r>
      <w:r w:rsidRPr="00AB56B7">
        <w:rPr>
          <w:b w:val="0"/>
          <w:noProof/>
          <w:szCs w:val="22"/>
          <w:lang w:val="hy-AM" w:eastAsia="en-US"/>
        </w:rPr>
        <w:t>նպատակ</w:t>
      </w:r>
      <w:r w:rsidRPr="00E27F1D">
        <w:rPr>
          <w:b w:val="0"/>
          <w:noProof/>
          <w:szCs w:val="22"/>
          <w:lang w:val="hy-AM" w:eastAsia="en-US"/>
        </w:rPr>
        <w:t>ը՝</w:t>
      </w:r>
      <w:r w:rsidRPr="00E27F1D">
        <w:rPr>
          <w:b w:val="0"/>
          <w:noProof/>
          <w:szCs w:val="22"/>
          <w:lang w:val="af-ZA" w:eastAsia="en-US"/>
        </w:rPr>
        <w:t xml:space="preserve"> </w:t>
      </w:r>
      <w:r w:rsidRPr="00AB56B7">
        <w:rPr>
          <w:b w:val="0"/>
          <w:noProof/>
          <w:szCs w:val="22"/>
          <w:lang w:val="hy-AM" w:eastAsia="en-US"/>
        </w:rPr>
        <w:t>նպաստել</w:t>
      </w:r>
      <w:r w:rsidRPr="00E27F1D">
        <w:rPr>
          <w:b w:val="0"/>
          <w:noProof/>
          <w:szCs w:val="22"/>
          <w:lang w:val="af-ZA" w:eastAsia="en-US"/>
        </w:rPr>
        <w:t xml:space="preserve"> </w:t>
      </w:r>
      <w:r w:rsidRPr="00AB56B7">
        <w:rPr>
          <w:b w:val="0"/>
          <w:noProof/>
          <w:szCs w:val="22"/>
          <w:lang w:val="hy-AM" w:eastAsia="en-US"/>
        </w:rPr>
        <w:t>ազգային</w:t>
      </w:r>
      <w:r w:rsidRPr="00E27F1D">
        <w:rPr>
          <w:b w:val="0"/>
          <w:noProof/>
          <w:szCs w:val="22"/>
          <w:lang w:val="af-ZA" w:eastAsia="en-US"/>
        </w:rPr>
        <w:t xml:space="preserve"> </w:t>
      </w:r>
      <w:r w:rsidRPr="00AB56B7">
        <w:rPr>
          <w:b w:val="0"/>
          <w:noProof/>
          <w:szCs w:val="22"/>
          <w:lang w:val="hy-AM" w:eastAsia="en-US"/>
        </w:rPr>
        <w:t>հենքի</w:t>
      </w:r>
      <w:r w:rsidRPr="00E27F1D">
        <w:rPr>
          <w:b w:val="0"/>
          <w:noProof/>
          <w:szCs w:val="22"/>
          <w:lang w:val="af-ZA" w:eastAsia="en-US"/>
        </w:rPr>
        <w:t xml:space="preserve"> </w:t>
      </w:r>
      <w:r w:rsidRPr="00AB56B7">
        <w:rPr>
          <w:b w:val="0"/>
          <w:noProof/>
          <w:szCs w:val="22"/>
          <w:lang w:val="hy-AM" w:eastAsia="en-US"/>
        </w:rPr>
        <w:t>վրա</w:t>
      </w:r>
      <w:r w:rsidRPr="00E27F1D">
        <w:rPr>
          <w:b w:val="0"/>
          <w:noProof/>
          <w:szCs w:val="22"/>
          <w:lang w:val="af-ZA" w:eastAsia="en-US"/>
        </w:rPr>
        <w:t xml:space="preserve"> </w:t>
      </w:r>
      <w:r w:rsidRPr="00AB56B7">
        <w:rPr>
          <w:b w:val="0"/>
          <w:noProof/>
          <w:szCs w:val="22"/>
          <w:lang w:val="hy-AM" w:eastAsia="en-US"/>
        </w:rPr>
        <w:t>ժամանակակից</w:t>
      </w:r>
      <w:r w:rsidRPr="00E27F1D">
        <w:rPr>
          <w:b w:val="0"/>
          <w:noProof/>
          <w:szCs w:val="22"/>
          <w:lang w:val="af-ZA" w:eastAsia="en-US"/>
        </w:rPr>
        <w:t xml:space="preserve"> </w:t>
      </w:r>
      <w:r w:rsidRPr="00AB56B7">
        <w:rPr>
          <w:b w:val="0"/>
          <w:noProof/>
          <w:szCs w:val="22"/>
          <w:lang w:val="hy-AM" w:eastAsia="en-US"/>
        </w:rPr>
        <w:t>թատերարվեստի</w:t>
      </w:r>
      <w:r w:rsidRPr="00E27F1D">
        <w:rPr>
          <w:b w:val="0"/>
          <w:noProof/>
          <w:szCs w:val="22"/>
          <w:lang w:val="af-ZA" w:eastAsia="en-US"/>
        </w:rPr>
        <w:t xml:space="preserve">, </w:t>
      </w:r>
      <w:r w:rsidRPr="00AB56B7">
        <w:rPr>
          <w:b w:val="0"/>
          <w:noProof/>
          <w:szCs w:val="22"/>
          <w:lang w:val="hy-AM" w:eastAsia="en-US"/>
        </w:rPr>
        <w:t>երաժշտարվեստի</w:t>
      </w:r>
      <w:r w:rsidRPr="00E27F1D">
        <w:rPr>
          <w:b w:val="0"/>
          <w:noProof/>
          <w:szCs w:val="22"/>
          <w:lang w:val="af-ZA" w:eastAsia="en-US"/>
        </w:rPr>
        <w:t xml:space="preserve">, </w:t>
      </w:r>
      <w:r w:rsidRPr="00AB56B7">
        <w:rPr>
          <w:b w:val="0"/>
          <w:noProof/>
          <w:szCs w:val="22"/>
          <w:lang w:val="hy-AM" w:eastAsia="en-US"/>
        </w:rPr>
        <w:t>կերպարվեստի</w:t>
      </w:r>
      <w:r w:rsidRPr="00E27F1D">
        <w:rPr>
          <w:b w:val="0"/>
          <w:noProof/>
          <w:szCs w:val="22"/>
          <w:lang w:val="af-ZA" w:eastAsia="en-US"/>
        </w:rPr>
        <w:t xml:space="preserve"> </w:t>
      </w:r>
      <w:r w:rsidRPr="00AB56B7">
        <w:rPr>
          <w:b w:val="0"/>
          <w:noProof/>
          <w:szCs w:val="22"/>
          <w:lang w:val="hy-AM" w:eastAsia="en-US"/>
        </w:rPr>
        <w:t>և</w:t>
      </w:r>
      <w:r w:rsidRPr="00E27F1D">
        <w:rPr>
          <w:b w:val="0"/>
          <w:noProof/>
          <w:szCs w:val="22"/>
          <w:lang w:val="af-ZA" w:eastAsia="en-US"/>
        </w:rPr>
        <w:t xml:space="preserve"> </w:t>
      </w:r>
      <w:r w:rsidRPr="00AB56B7">
        <w:rPr>
          <w:b w:val="0"/>
          <w:noProof/>
          <w:szCs w:val="22"/>
          <w:lang w:val="hy-AM" w:eastAsia="en-US"/>
        </w:rPr>
        <w:t>պարարվեստի</w:t>
      </w:r>
      <w:r w:rsidRPr="00E27F1D">
        <w:rPr>
          <w:b w:val="0"/>
          <w:noProof/>
          <w:szCs w:val="22"/>
          <w:lang w:val="af-ZA" w:eastAsia="en-US"/>
        </w:rPr>
        <w:t xml:space="preserve"> </w:t>
      </w:r>
      <w:r w:rsidRPr="00AB56B7">
        <w:rPr>
          <w:b w:val="0"/>
          <w:noProof/>
          <w:szCs w:val="22"/>
          <w:lang w:val="hy-AM" w:eastAsia="en-US"/>
        </w:rPr>
        <w:t>զարգացմանը</w:t>
      </w:r>
      <w:r w:rsidRPr="00E27F1D">
        <w:rPr>
          <w:b w:val="0"/>
          <w:noProof/>
          <w:szCs w:val="22"/>
          <w:lang w:val="af-ZA" w:eastAsia="en-US"/>
        </w:rPr>
        <w:t xml:space="preserve"> </w:t>
      </w:r>
      <w:r w:rsidRPr="00AB56B7">
        <w:rPr>
          <w:b w:val="0"/>
          <w:noProof/>
          <w:szCs w:val="22"/>
          <w:lang w:val="hy-AM" w:eastAsia="en-US"/>
        </w:rPr>
        <w:t>և</w:t>
      </w:r>
      <w:r w:rsidRPr="00E27F1D">
        <w:rPr>
          <w:b w:val="0"/>
          <w:noProof/>
          <w:szCs w:val="22"/>
          <w:lang w:val="af-ZA" w:eastAsia="en-US"/>
        </w:rPr>
        <w:t xml:space="preserve"> </w:t>
      </w:r>
      <w:r w:rsidRPr="00AB56B7">
        <w:rPr>
          <w:b w:val="0"/>
          <w:noProof/>
          <w:szCs w:val="22"/>
          <w:lang w:val="hy-AM" w:eastAsia="en-US"/>
        </w:rPr>
        <w:t>հանրահռչակմանը</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en-US" w:eastAsia="en-US"/>
        </w:rPr>
        <w:t>Ծրագրի</w:t>
      </w:r>
      <w:r w:rsidRPr="00E27F1D">
        <w:rPr>
          <w:b w:val="0"/>
          <w:noProof/>
          <w:szCs w:val="22"/>
          <w:lang w:val="af-ZA" w:eastAsia="en-US"/>
        </w:rPr>
        <w:t xml:space="preserve"> </w:t>
      </w:r>
      <w:r w:rsidRPr="00E27F1D">
        <w:rPr>
          <w:b w:val="0"/>
          <w:noProof/>
          <w:szCs w:val="22"/>
          <w:lang w:val="en-US" w:eastAsia="en-US"/>
        </w:rPr>
        <w:t>շրջանակներում</w:t>
      </w:r>
      <w:r w:rsidRPr="00E27F1D">
        <w:rPr>
          <w:b w:val="0"/>
          <w:noProof/>
          <w:szCs w:val="22"/>
          <w:lang w:val="af-ZA" w:eastAsia="en-US"/>
        </w:rPr>
        <w:t xml:space="preserve"> </w:t>
      </w:r>
      <w:r w:rsidRPr="00E27F1D">
        <w:rPr>
          <w:b w:val="0"/>
          <w:noProof/>
          <w:szCs w:val="22"/>
          <w:lang w:val="en-US" w:eastAsia="en-US"/>
        </w:rPr>
        <w:t>հատկացումներն</w:t>
      </w:r>
      <w:r w:rsidRPr="00E27F1D">
        <w:rPr>
          <w:b w:val="0"/>
          <w:noProof/>
          <w:szCs w:val="22"/>
          <w:lang w:val="af-ZA" w:eastAsia="en-US"/>
        </w:rPr>
        <w:t xml:space="preserve"> </w:t>
      </w:r>
      <w:r w:rsidRPr="00E27F1D">
        <w:rPr>
          <w:b w:val="0"/>
          <w:noProof/>
          <w:szCs w:val="22"/>
          <w:lang w:val="en-US" w:eastAsia="en-US"/>
        </w:rPr>
        <w:t>ուղղվելու</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o</w:t>
      </w:r>
      <w:r w:rsidRPr="00E27F1D">
        <w:rPr>
          <w:b w:val="0"/>
          <w:noProof/>
          <w:szCs w:val="22"/>
          <w:lang w:val="en-US" w:eastAsia="en-US"/>
        </w:rPr>
        <w:t>պերային</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բալետային</w:t>
      </w:r>
      <w:r w:rsidRPr="00E27F1D">
        <w:rPr>
          <w:b w:val="0"/>
          <w:noProof/>
          <w:szCs w:val="22"/>
          <w:lang w:val="af-ZA" w:eastAsia="en-US"/>
        </w:rPr>
        <w:t xml:space="preserve"> </w:t>
      </w:r>
      <w:r w:rsidRPr="00E27F1D">
        <w:rPr>
          <w:b w:val="0"/>
          <w:noProof/>
          <w:szCs w:val="22"/>
          <w:lang w:val="en-US" w:eastAsia="en-US"/>
        </w:rPr>
        <w:t>արվեստի</w:t>
      </w:r>
      <w:r w:rsidRPr="00E27F1D">
        <w:rPr>
          <w:b w:val="0"/>
          <w:noProof/>
          <w:szCs w:val="22"/>
          <w:lang w:val="af-ZA" w:eastAsia="en-US"/>
        </w:rPr>
        <w:t xml:space="preserve">, </w:t>
      </w:r>
      <w:r w:rsidRPr="00E27F1D">
        <w:rPr>
          <w:b w:val="0"/>
          <w:noProof/>
          <w:szCs w:val="22"/>
          <w:lang w:val="en-US" w:eastAsia="en-US"/>
        </w:rPr>
        <w:t>թատերական</w:t>
      </w:r>
      <w:r w:rsidRPr="00E27F1D">
        <w:rPr>
          <w:b w:val="0"/>
          <w:noProof/>
          <w:szCs w:val="22"/>
          <w:lang w:val="af-ZA" w:eastAsia="en-US"/>
        </w:rPr>
        <w:t xml:space="preserve"> </w:t>
      </w:r>
      <w:r w:rsidRPr="00E27F1D">
        <w:rPr>
          <w:b w:val="0"/>
          <w:noProof/>
          <w:szCs w:val="22"/>
          <w:lang w:val="en-US" w:eastAsia="en-US"/>
        </w:rPr>
        <w:t>ներկայացումների</w:t>
      </w:r>
      <w:r w:rsidRPr="00E27F1D">
        <w:rPr>
          <w:b w:val="0"/>
          <w:noProof/>
          <w:szCs w:val="22"/>
          <w:lang w:val="af-ZA" w:eastAsia="en-US"/>
        </w:rPr>
        <w:t xml:space="preserve">, </w:t>
      </w:r>
      <w:r w:rsidRPr="00E27F1D">
        <w:rPr>
          <w:b w:val="0"/>
          <w:noProof/>
          <w:szCs w:val="22"/>
          <w:lang w:val="en-US" w:eastAsia="en-US"/>
        </w:rPr>
        <w:t>երաժշտարվեստի</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պարարվեստի</w:t>
      </w:r>
      <w:r w:rsidRPr="00E27F1D">
        <w:rPr>
          <w:b w:val="0"/>
          <w:noProof/>
          <w:szCs w:val="22"/>
          <w:lang w:val="af-ZA" w:eastAsia="en-US"/>
        </w:rPr>
        <w:t xml:space="preserve"> </w:t>
      </w:r>
      <w:r w:rsidRPr="00E27F1D">
        <w:rPr>
          <w:b w:val="0"/>
          <w:noProof/>
          <w:szCs w:val="22"/>
          <w:lang w:val="en-US" w:eastAsia="en-US"/>
        </w:rPr>
        <w:t>համերգների</w:t>
      </w:r>
      <w:r w:rsidRPr="00E27F1D">
        <w:rPr>
          <w:b w:val="0"/>
          <w:noProof/>
          <w:szCs w:val="22"/>
          <w:lang w:val="af-ZA" w:eastAsia="en-US"/>
        </w:rPr>
        <w:t xml:space="preserve">, </w:t>
      </w:r>
      <w:r w:rsidRPr="00E27F1D">
        <w:rPr>
          <w:b w:val="0"/>
          <w:noProof/>
          <w:szCs w:val="22"/>
          <w:lang w:val="en-US" w:eastAsia="en-US"/>
        </w:rPr>
        <w:t>մշակութային</w:t>
      </w:r>
      <w:r w:rsidRPr="00E27F1D">
        <w:rPr>
          <w:b w:val="0"/>
          <w:noProof/>
          <w:szCs w:val="22"/>
          <w:lang w:val="af-ZA" w:eastAsia="en-US"/>
        </w:rPr>
        <w:t xml:space="preserve"> </w:t>
      </w:r>
      <w:r w:rsidRPr="00E27F1D">
        <w:rPr>
          <w:b w:val="0"/>
          <w:noProof/>
          <w:szCs w:val="22"/>
          <w:lang w:val="en-US" w:eastAsia="en-US"/>
        </w:rPr>
        <w:t>միջոցառումների</w:t>
      </w:r>
      <w:r w:rsidRPr="00E27F1D">
        <w:rPr>
          <w:b w:val="0"/>
          <w:noProof/>
          <w:szCs w:val="22"/>
          <w:lang w:val="af-ZA" w:eastAsia="en-US"/>
        </w:rPr>
        <w:t xml:space="preserve"> </w:t>
      </w:r>
      <w:r w:rsidRPr="00E27F1D">
        <w:rPr>
          <w:b w:val="0"/>
          <w:noProof/>
          <w:szCs w:val="22"/>
          <w:lang w:val="en-US" w:eastAsia="en-US"/>
        </w:rPr>
        <w:t>իրականացմանը</w:t>
      </w:r>
      <w:r w:rsidRPr="00E27F1D">
        <w:rPr>
          <w:b w:val="0"/>
          <w:noProof/>
          <w:szCs w:val="22"/>
          <w:lang w:val="af-ZA" w:eastAsia="en-US"/>
        </w:rPr>
        <w:t>, «</w:t>
      </w:r>
      <w:r w:rsidRPr="00E27F1D">
        <w:rPr>
          <w:b w:val="0"/>
          <w:noProof/>
          <w:szCs w:val="22"/>
          <w:lang w:val="en-US" w:eastAsia="en-US"/>
        </w:rPr>
        <w:t>Ժողովրդական</w:t>
      </w:r>
      <w:r w:rsidRPr="00E27F1D">
        <w:rPr>
          <w:b w:val="0"/>
          <w:noProof/>
          <w:szCs w:val="22"/>
          <w:lang w:val="af-ZA" w:eastAsia="en-US"/>
        </w:rPr>
        <w:t xml:space="preserve">» </w:t>
      </w:r>
      <w:r w:rsidRPr="00E27F1D">
        <w:rPr>
          <w:b w:val="0"/>
          <w:noProof/>
          <w:szCs w:val="22"/>
          <w:lang w:val="en-US" w:eastAsia="en-US"/>
        </w:rPr>
        <w:t>պատվավոր</w:t>
      </w:r>
      <w:r w:rsidRPr="00E27F1D">
        <w:rPr>
          <w:b w:val="0"/>
          <w:noProof/>
          <w:szCs w:val="22"/>
          <w:lang w:val="af-ZA" w:eastAsia="en-US"/>
        </w:rPr>
        <w:t xml:space="preserve"> </w:t>
      </w:r>
      <w:r w:rsidRPr="00E27F1D">
        <w:rPr>
          <w:b w:val="0"/>
          <w:noProof/>
          <w:szCs w:val="22"/>
          <w:lang w:val="en-US" w:eastAsia="en-US"/>
        </w:rPr>
        <w:t>կոչման</w:t>
      </w:r>
      <w:r w:rsidRPr="00E27F1D">
        <w:rPr>
          <w:b w:val="0"/>
          <w:noProof/>
          <w:szCs w:val="22"/>
          <w:lang w:val="af-ZA" w:eastAsia="en-US"/>
        </w:rPr>
        <w:t xml:space="preserve"> </w:t>
      </w:r>
      <w:r w:rsidRPr="00E27F1D">
        <w:rPr>
          <w:b w:val="0"/>
          <w:noProof/>
          <w:szCs w:val="22"/>
          <w:lang w:val="en-US" w:eastAsia="en-US"/>
        </w:rPr>
        <w:t>արժանացած</w:t>
      </w:r>
      <w:r w:rsidRPr="00E27F1D">
        <w:rPr>
          <w:b w:val="0"/>
          <w:noProof/>
          <w:szCs w:val="22"/>
          <w:lang w:val="af-ZA" w:eastAsia="en-US"/>
        </w:rPr>
        <w:t xml:space="preserve"> </w:t>
      </w:r>
      <w:r w:rsidRPr="00E27F1D">
        <w:rPr>
          <w:b w:val="0"/>
          <w:noProof/>
          <w:szCs w:val="22"/>
          <w:lang w:val="en-US" w:eastAsia="en-US"/>
        </w:rPr>
        <w:t>անձանց</w:t>
      </w:r>
      <w:r w:rsidRPr="00E27F1D">
        <w:rPr>
          <w:b w:val="0"/>
          <w:noProof/>
          <w:szCs w:val="22"/>
          <w:lang w:val="af-ZA" w:eastAsia="en-US"/>
        </w:rPr>
        <w:t xml:space="preserve"> </w:t>
      </w:r>
      <w:r w:rsidRPr="00E27F1D">
        <w:rPr>
          <w:b w:val="0"/>
          <w:noProof/>
          <w:szCs w:val="22"/>
          <w:lang w:val="en-US" w:eastAsia="en-US"/>
        </w:rPr>
        <w:t>պատվովճարի</w:t>
      </w:r>
      <w:r w:rsidRPr="00E27F1D">
        <w:rPr>
          <w:b w:val="0"/>
          <w:noProof/>
          <w:szCs w:val="22"/>
          <w:lang w:val="af-ZA" w:eastAsia="en-US"/>
        </w:rPr>
        <w:t xml:space="preserve"> </w:t>
      </w:r>
      <w:r w:rsidRPr="00E27F1D">
        <w:rPr>
          <w:b w:val="0"/>
          <w:noProof/>
          <w:szCs w:val="22"/>
          <w:lang w:val="en-US" w:eastAsia="en-US"/>
        </w:rPr>
        <w:t>հատկացմանը</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b w:val="0"/>
          <w:noProof/>
          <w:szCs w:val="22"/>
          <w:lang w:val="hy-AM" w:eastAsia="en-US"/>
        </w:rPr>
        <w:t xml:space="preserve">      </w:t>
      </w:r>
      <w:r w:rsidR="002958DC" w:rsidRPr="005578F9">
        <w:rPr>
          <w:b w:val="0"/>
          <w:noProof/>
          <w:szCs w:val="22"/>
          <w:lang w:val="af-ZA" w:eastAsia="en-US"/>
        </w:rPr>
        <w:tab/>
      </w:r>
      <w:r w:rsidRPr="00AB56B7">
        <w:rPr>
          <w:b w:val="0"/>
          <w:noProof/>
          <w:szCs w:val="22"/>
          <w:lang w:val="hy-AM" w:eastAsia="en-US"/>
        </w:rPr>
        <w:t>Արվեստների</w:t>
      </w:r>
      <w:r w:rsidRPr="00E27F1D">
        <w:rPr>
          <w:b w:val="0"/>
          <w:noProof/>
          <w:szCs w:val="22"/>
          <w:lang w:val="af-ZA" w:eastAsia="en-US"/>
        </w:rPr>
        <w:t xml:space="preserve"> </w:t>
      </w:r>
      <w:r w:rsidRPr="00AB56B7">
        <w:rPr>
          <w:b w:val="0"/>
          <w:noProof/>
          <w:szCs w:val="22"/>
          <w:lang w:val="hy-AM" w:eastAsia="en-US"/>
        </w:rPr>
        <w:t>ծրագրի</w:t>
      </w:r>
      <w:r w:rsidRPr="00E27F1D">
        <w:rPr>
          <w:b w:val="0"/>
          <w:noProof/>
          <w:szCs w:val="22"/>
          <w:lang w:val="af-ZA" w:eastAsia="en-US"/>
        </w:rPr>
        <w:t xml:space="preserve"> </w:t>
      </w:r>
      <w:r w:rsidRPr="00AB56B7">
        <w:rPr>
          <w:b w:val="0"/>
          <w:noProof/>
          <w:szCs w:val="22"/>
          <w:lang w:val="hy-AM" w:eastAsia="en-US"/>
        </w:rPr>
        <w:t>համար</w:t>
      </w:r>
      <w:r w:rsidRPr="00E27F1D">
        <w:rPr>
          <w:b w:val="0"/>
          <w:noProof/>
          <w:szCs w:val="22"/>
          <w:lang w:val="af-ZA" w:eastAsia="en-US"/>
        </w:rPr>
        <w:t xml:space="preserve"> </w:t>
      </w:r>
      <w:r w:rsidRPr="00AB56B7">
        <w:rPr>
          <w:b w:val="0"/>
          <w:noProof/>
          <w:szCs w:val="22"/>
          <w:lang w:val="hy-AM" w:eastAsia="en-US"/>
        </w:rPr>
        <w:t>Նախագծով</w:t>
      </w:r>
      <w:r w:rsidRPr="00E27F1D">
        <w:rPr>
          <w:b w:val="0"/>
          <w:noProof/>
          <w:szCs w:val="22"/>
          <w:lang w:val="af-ZA" w:eastAsia="en-US"/>
        </w:rPr>
        <w:t xml:space="preserve"> </w:t>
      </w:r>
      <w:r w:rsidRPr="00AB56B7">
        <w:rPr>
          <w:b w:val="0"/>
          <w:noProof/>
          <w:szCs w:val="22"/>
          <w:lang w:val="hy-AM" w:eastAsia="en-US"/>
        </w:rPr>
        <w:t>նախատեսվում</w:t>
      </w:r>
      <w:r w:rsidRPr="00E27F1D">
        <w:rPr>
          <w:b w:val="0"/>
          <w:noProof/>
          <w:szCs w:val="22"/>
          <w:lang w:val="af-ZA" w:eastAsia="en-US"/>
        </w:rPr>
        <w:t xml:space="preserve"> </w:t>
      </w:r>
      <w:r w:rsidRPr="00AB56B7">
        <w:rPr>
          <w:b w:val="0"/>
          <w:noProof/>
          <w:szCs w:val="22"/>
          <w:lang w:val="hy-AM" w:eastAsia="en-US"/>
        </w:rPr>
        <w:t>է</w:t>
      </w:r>
      <w:r w:rsidRPr="00E27F1D">
        <w:rPr>
          <w:b w:val="0"/>
          <w:noProof/>
          <w:szCs w:val="22"/>
          <w:lang w:val="af-ZA" w:eastAsia="en-US"/>
        </w:rPr>
        <w:t xml:space="preserve"> </w:t>
      </w:r>
      <w:r w:rsidRPr="00AB56B7">
        <w:rPr>
          <w:b w:val="0"/>
          <w:noProof/>
          <w:szCs w:val="22"/>
          <w:lang w:val="hy-AM" w:eastAsia="en-US"/>
        </w:rPr>
        <w:t>հատկացնել</w:t>
      </w:r>
      <w:r w:rsidRPr="00E27F1D">
        <w:rPr>
          <w:b w:val="0"/>
          <w:noProof/>
          <w:szCs w:val="22"/>
          <w:lang w:val="af-ZA" w:eastAsia="en-US"/>
        </w:rPr>
        <w:t xml:space="preserve"> </w:t>
      </w:r>
      <w:r w:rsidRPr="00E27F1D">
        <w:rPr>
          <w:b w:val="0"/>
          <w:noProof/>
          <w:szCs w:val="22"/>
          <w:lang w:val="hy-AM" w:eastAsia="en-US"/>
        </w:rPr>
        <w:t>8</w:t>
      </w:r>
      <w:r w:rsidRPr="00E27F1D">
        <w:rPr>
          <w:b w:val="0"/>
          <w:noProof/>
          <w:szCs w:val="22"/>
          <w:lang w:val="af-ZA" w:eastAsia="en-US"/>
        </w:rPr>
        <w:t>,</w:t>
      </w:r>
      <w:r w:rsidRPr="00E27F1D">
        <w:rPr>
          <w:b w:val="0"/>
          <w:noProof/>
          <w:szCs w:val="22"/>
          <w:lang w:val="hy-AM" w:eastAsia="en-US"/>
        </w:rPr>
        <w:t>7</w:t>
      </w:r>
      <w:r w:rsidRPr="00E27F1D">
        <w:rPr>
          <w:b w:val="0"/>
          <w:noProof/>
          <w:szCs w:val="22"/>
          <w:lang w:val="af-ZA" w:eastAsia="en-US"/>
        </w:rPr>
        <w:t>38.</w:t>
      </w:r>
      <w:r w:rsidRPr="00E27F1D">
        <w:rPr>
          <w:b w:val="0"/>
          <w:noProof/>
          <w:szCs w:val="22"/>
          <w:lang w:val="hy-AM" w:eastAsia="en-US"/>
        </w:rPr>
        <w:t>1</w:t>
      </w:r>
      <w:r w:rsidRPr="00E27F1D">
        <w:rPr>
          <w:b w:val="0"/>
          <w:noProof/>
          <w:szCs w:val="22"/>
          <w:lang w:val="af-ZA" w:eastAsia="en-US"/>
        </w:rPr>
        <w:t xml:space="preserve"> </w:t>
      </w:r>
      <w:r w:rsidRPr="00AB56B7">
        <w:rPr>
          <w:b w:val="0"/>
          <w:noProof/>
          <w:szCs w:val="22"/>
          <w:lang w:val="hy-AM" w:eastAsia="en-US"/>
        </w:rPr>
        <w:t>մլն</w:t>
      </w:r>
      <w:r w:rsidRPr="00E27F1D">
        <w:rPr>
          <w:b w:val="0"/>
          <w:noProof/>
          <w:szCs w:val="22"/>
          <w:lang w:val="af-ZA" w:eastAsia="en-US"/>
        </w:rPr>
        <w:t xml:space="preserve"> </w:t>
      </w:r>
      <w:r w:rsidRPr="00AB56B7">
        <w:rPr>
          <w:b w:val="0"/>
          <w:noProof/>
          <w:szCs w:val="22"/>
          <w:lang w:val="hy-AM" w:eastAsia="en-US"/>
        </w:rPr>
        <w:t>դրամ՝</w:t>
      </w:r>
      <w:r w:rsidRPr="00E27F1D">
        <w:rPr>
          <w:b w:val="0"/>
          <w:noProof/>
          <w:szCs w:val="22"/>
          <w:lang w:val="af-ZA" w:eastAsia="en-US"/>
        </w:rPr>
        <w:t xml:space="preserve"> </w:t>
      </w:r>
      <w:r w:rsidRPr="00AB56B7">
        <w:rPr>
          <w:b w:val="0"/>
          <w:noProof/>
          <w:szCs w:val="22"/>
          <w:lang w:val="hy-AM" w:eastAsia="en-US"/>
        </w:rPr>
        <w:t>ՀՀ</w:t>
      </w:r>
      <w:r w:rsidRPr="00E27F1D">
        <w:rPr>
          <w:b w:val="0"/>
          <w:noProof/>
          <w:szCs w:val="22"/>
          <w:lang w:val="af-ZA" w:eastAsia="en-US"/>
        </w:rPr>
        <w:t xml:space="preserve"> 20</w:t>
      </w:r>
      <w:r w:rsidRPr="00E27F1D">
        <w:rPr>
          <w:b w:val="0"/>
          <w:noProof/>
          <w:szCs w:val="22"/>
          <w:lang w:val="hy-AM" w:eastAsia="en-US"/>
        </w:rPr>
        <w:t>20</w:t>
      </w:r>
      <w:r w:rsidRPr="00E27F1D">
        <w:rPr>
          <w:b w:val="0"/>
          <w:noProof/>
          <w:szCs w:val="22"/>
          <w:lang w:val="af-ZA" w:eastAsia="en-US"/>
        </w:rPr>
        <w:t xml:space="preserve"> </w:t>
      </w:r>
      <w:r w:rsidRPr="00AB56B7">
        <w:rPr>
          <w:b w:val="0"/>
          <w:noProof/>
          <w:szCs w:val="22"/>
          <w:lang w:val="hy-AM" w:eastAsia="en-US"/>
        </w:rPr>
        <w:t>թվականի</w:t>
      </w:r>
      <w:r w:rsidRPr="00E27F1D">
        <w:rPr>
          <w:b w:val="0"/>
          <w:noProof/>
          <w:szCs w:val="22"/>
          <w:lang w:val="af-ZA" w:eastAsia="en-US"/>
        </w:rPr>
        <w:t xml:space="preserve"> </w:t>
      </w:r>
      <w:r w:rsidRPr="00AB56B7">
        <w:rPr>
          <w:b w:val="0"/>
          <w:noProof/>
          <w:szCs w:val="22"/>
          <w:lang w:val="hy-AM" w:eastAsia="en-US"/>
        </w:rPr>
        <w:t>պետական</w:t>
      </w:r>
      <w:r w:rsidRPr="00E27F1D">
        <w:rPr>
          <w:b w:val="0"/>
          <w:noProof/>
          <w:szCs w:val="22"/>
          <w:lang w:val="af-ZA" w:eastAsia="en-US"/>
        </w:rPr>
        <w:t xml:space="preserve"> </w:t>
      </w:r>
      <w:r w:rsidRPr="00AB56B7">
        <w:rPr>
          <w:b w:val="0"/>
          <w:noProof/>
          <w:szCs w:val="22"/>
          <w:lang w:val="hy-AM" w:eastAsia="en-US"/>
        </w:rPr>
        <w:t>բյուջեով</w:t>
      </w:r>
      <w:r w:rsidRPr="00E27F1D">
        <w:rPr>
          <w:b w:val="0"/>
          <w:noProof/>
          <w:szCs w:val="22"/>
          <w:lang w:val="af-ZA" w:eastAsia="en-US"/>
        </w:rPr>
        <w:t xml:space="preserve"> </w:t>
      </w:r>
      <w:r w:rsidRPr="00AB56B7">
        <w:rPr>
          <w:b w:val="0"/>
          <w:noProof/>
          <w:szCs w:val="22"/>
          <w:lang w:val="hy-AM" w:eastAsia="en-US"/>
        </w:rPr>
        <w:t>հաստատված</w:t>
      </w:r>
      <w:r w:rsidRPr="00E27F1D">
        <w:rPr>
          <w:b w:val="0"/>
          <w:noProof/>
          <w:szCs w:val="22"/>
          <w:lang w:val="af-ZA" w:eastAsia="en-US"/>
        </w:rPr>
        <w:t xml:space="preserve"> </w:t>
      </w:r>
      <w:r w:rsidRPr="00E27F1D">
        <w:rPr>
          <w:b w:val="0"/>
          <w:noProof/>
          <w:szCs w:val="22"/>
          <w:lang w:val="hy-AM" w:eastAsia="en-US"/>
        </w:rPr>
        <w:t>9</w:t>
      </w:r>
      <w:r w:rsidRPr="00E27F1D">
        <w:rPr>
          <w:b w:val="0"/>
          <w:noProof/>
          <w:szCs w:val="22"/>
          <w:lang w:val="af-ZA" w:eastAsia="en-US"/>
        </w:rPr>
        <w:t>,</w:t>
      </w:r>
      <w:r w:rsidRPr="00E27F1D">
        <w:rPr>
          <w:b w:val="0"/>
          <w:noProof/>
          <w:szCs w:val="22"/>
          <w:lang w:val="hy-AM" w:eastAsia="en-US"/>
        </w:rPr>
        <w:t>114</w:t>
      </w:r>
      <w:r w:rsidRPr="00E27F1D">
        <w:rPr>
          <w:b w:val="0"/>
          <w:noProof/>
          <w:szCs w:val="22"/>
          <w:lang w:val="af-ZA" w:eastAsia="en-US"/>
        </w:rPr>
        <w:t>.</w:t>
      </w:r>
      <w:r w:rsidRPr="00E27F1D">
        <w:rPr>
          <w:b w:val="0"/>
          <w:noProof/>
          <w:szCs w:val="22"/>
          <w:lang w:val="hy-AM" w:eastAsia="en-US"/>
        </w:rPr>
        <w:t>9</w:t>
      </w:r>
      <w:r w:rsidRPr="00E27F1D">
        <w:rPr>
          <w:b w:val="0"/>
          <w:noProof/>
          <w:szCs w:val="22"/>
          <w:lang w:val="af-ZA" w:eastAsia="en-US"/>
        </w:rPr>
        <w:t xml:space="preserve"> </w:t>
      </w:r>
      <w:r w:rsidRPr="00AB56B7">
        <w:rPr>
          <w:b w:val="0"/>
          <w:noProof/>
          <w:szCs w:val="22"/>
          <w:lang w:val="hy-AM" w:eastAsia="en-US"/>
        </w:rPr>
        <w:t>մլն</w:t>
      </w:r>
      <w:r w:rsidRPr="00E27F1D">
        <w:rPr>
          <w:b w:val="0"/>
          <w:noProof/>
          <w:szCs w:val="22"/>
          <w:lang w:val="af-ZA" w:eastAsia="en-US"/>
        </w:rPr>
        <w:t xml:space="preserve"> </w:t>
      </w:r>
      <w:r w:rsidRPr="00AB56B7">
        <w:rPr>
          <w:b w:val="0"/>
          <w:noProof/>
          <w:szCs w:val="22"/>
          <w:lang w:val="hy-AM" w:eastAsia="en-US"/>
        </w:rPr>
        <w:t>դրամի</w:t>
      </w:r>
      <w:r w:rsidRPr="00E27F1D">
        <w:rPr>
          <w:b w:val="0"/>
          <w:noProof/>
          <w:szCs w:val="22"/>
          <w:lang w:val="af-ZA" w:eastAsia="en-US"/>
        </w:rPr>
        <w:t xml:space="preserve"> </w:t>
      </w:r>
      <w:r w:rsidRPr="00AB56B7">
        <w:rPr>
          <w:b w:val="0"/>
          <w:noProof/>
          <w:szCs w:val="22"/>
          <w:lang w:val="hy-AM" w:eastAsia="en-US"/>
        </w:rPr>
        <w:t>դիմաց</w:t>
      </w:r>
      <w:r w:rsidRPr="00E27F1D">
        <w:rPr>
          <w:b w:val="0"/>
          <w:noProof/>
          <w:szCs w:val="22"/>
          <w:lang w:val="af-ZA" w:eastAsia="en-US"/>
        </w:rPr>
        <w:t xml:space="preserve">: </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b w:val="0"/>
          <w:noProof/>
          <w:szCs w:val="22"/>
          <w:lang w:val="hy-AM" w:eastAsia="en-US"/>
        </w:rPr>
        <w:t xml:space="preserve">      </w:t>
      </w:r>
      <w:r w:rsidR="002958DC" w:rsidRPr="005578F9">
        <w:rPr>
          <w:b w:val="0"/>
          <w:noProof/>
          <w:szCs w:val="22"/>
          <w:lang w:val="af-ZA" w:eastAsia="en-US"/>
        </w:rPr>
        <w:tab/>
      </w:r>
      <w:r w:rsidRPr="00AB56B7">
        <w:rPr>
          <w:b w:val="0"/>
          <w:noProof/>
          <w:szCs w:val="22"/>
          <w:lang w:val="hy-AM" w:eastAsia="en-US"/>
        </w:rPr>
        <w:t>Ծախսեր</w:t>
      </w:r>
      <w:r w:rsidRPr="00E27F1D">
        <w:rPr>
          <w:b w:val="0"/>
          <w:noProof/>
          <w:szCs w:val="22"/>
          <w:lang w:val="hy-AM" w:eastAsia="en-US"/>
        </w:rPr>
        <w:t>ը</w:t>
      </w:r>
      <w:r w:rsidRPr="00E27F1D">
        <w:rPr>
          <w:b w:val="0"/>
          <w:noProof/>
          <w:szCs w:val="22"/>
          <w:lang w:val="af-ZA" w:eastAsia="en-US"/>
        </w:rPr>
        <w:t xml:space="preserve"> </w:t>
      </w:r>
      <w:r w:rsidRPr="00E27F1D">
        <w:rPr>
          <w:b w:val="0"/>
          <w:noProof/>
          <w:szCs w:val="22"/>
          <w:lang w:val="hy-AM" w:eastAsia="en-US"/>
        </w:rPr>
        <w:t>նվազել</w:t>
      </w:r>
      <w:r w:rsidRPr="00E27F1D">
        <w:rPr>
          <w:b w:val="0"/>
          <w:noProof/>
          <w:szCs w:val="22"/>
          <w:lang w:val="af-ZA" w:eastAsia="en-US"/>
        </w:rPr>
        <w:t xml:space="preserve"> </w:t>
      </w:r>
      <w:r w:rsidRPr="00AB56B7">
        <w:rPr>
          <w:b w:val="0"/>
          <w:noProof/>
          <w:szCs w:val="22"/>
          <w:lang w:val="hy-AM" w:eastAsia="en-US"/>
        </w:rPr>
        <w:t>են՝</w:t>
      </w:r>
      <w:r w:rsidRPr="00E27F1D">
        <w:rPr>
          <w:b w:val="0"/>
          <w:noProof/>
          <w:szCs w:val="22"/>
          <w:lang w:val="af-ZA" w:eastAsia="en-US"/>
        </w:rPr>
        <w:t xml:space="preserve"> </w:t>
      </w:r>
      <w:r w:rsidRPr="00E27F1D">
        <w:rPr>
          <w:b w:val="0"/>
          <w:noProof/>
          <w:szCs w:val="22"/>
          <w:lang w:val="hy-AM" w:eastAsia="en-US"/>
        </w:rPr>
        <w:t>37</w:t>
      </w:r>
      <w:r w:rsidRPr="00E27F1D">
        <w:rPr>
          <w:b w:val="0"/>
          <w:noProof/>
          <w:szCs w:val="22"/>
          <w:lang w:val="af-ZA" w:eastAsia="en-US"/>
        </w:rPr>
        <w:t xml:space="preserve">6.8 </w:t>
      </w:r>
      <w:r w:rsidRPr="00AB56B7">
        <w:rPr>
          <w:b w:val="0"/>
          <w:noProof/>
          <w:szCs w:val="22"/>
          <w:lang w:val="hy-AM" w:eastAsia="en-US"/>
        </w:rPr>
        <w:t>մլն</w:t>
      </w:r>
      <w:r w:rsidRPr="00E27F1D">
        <w:rPr>
          <w:b w:val="0"/>
          <w:noProof/>
          <w:szCs w:val="22"/>
          <w:lang w:val="af-ZA" w:eastAsia="en-US"/>
        </w:rPr>
        <w:t xml:space="preserve"> </w:t>
      </w:r>
      <w:r w:rsidRPr="00AB56B7">
        <w:rPr>
          <w:b w:val="0"/>
          <w:noProof/>
          <w:szCs w:val="22"/>
          <w:lang w:val="hy-AM" w:eastAsia="en-US"/>
        </w:rPr>
        <w:t>դրամով</w:t>
      </w:r>
      <w:r w:rsidRPr="00E27F1D">
        <w:rPr>
          <w:b w:val="0"/>
          <w:noProof/>
          <w:szCs w:val="22"/>
          <w:lang w:val="af-ZA" w:eastAsia="en-US"/>
        </w:rPr>
        <w:t xml:space="preserve">, </w:t>
      </w:r>
      <w:r w:rsidRPr="00AB56B7">
        <w:rPr>
          <w:b w:val="0"/>
          <w:noProof/>
          <w:szCs w:val="22"/>
          <w:lang w:val="hy-AM" w:eastAsia="en-US"/>
        </w:rPr>
        <w:t>կամ</w:t>
      </w:r>
      <w:r w:rsidRPr="00E27F1D">
        <w:rPr>
          <w:b w:val="0"/>
          <w:noProof/>
          <w:szCs w:val="22"/>
          <w:lang w:val="af-ZA" w:eastAsia="en-US"/>
        </w:rPr>
        <w:t xml:space="preserve"> </w:t>
      </w:r>
      <w:r w:rsidRPr="00E27F1D">
        <w:rPr>
          <w:b w:val="0"/>
          <w:noProof/>
          <w:szCs w:val="22"/>
          <w:lang w:val="hy-AM" w:eastAsia="en-US"/>
        </w:rPr>
        <w:t>4</w:t>
      </w:r>
      <w:r w:rsidRPr="00E27F1D">
        <w:rPr>
          <w:b w:val="0"/>
          <w:noProof/>
          <w:szCs w:val="22"/>
          <w:lang w:val="af-ZA" w:eastAsia="en-US"/>
        </w:rPr>
        <w:t>.</w:t>
      </w:r>
      <w:r w:rsidRPr="00E27F1D">
        <w:rPr>
          <w:b w:val="0"/>
          <w:noProof/>
          <w:szCs w:val="22"/>
          <w:lang w:val="hy-AM" w:eastAsia="en-US"/>
        </w:rPr>
        <w:t>1</w:t>
      </w:r>
      <w:r w:rsidRPr="00E27F1D">
        <w:rPr>
          <w:b w:val="0"/>
          <w:noProof/>
          <w:szCs w:val="22"/>
          <w:lang w:val="af-ZA" w:eastAsia="en-US"/>
        </w:rPr>
        <w:t>%-</w:t>
      </w:r>
      <w:r w:rsidRPr="00AB56B7">
        <w:rPr>
          <w:b w:val="0"/>
          <w:noProof/>
          <w:szCs w:val="22"/>
          <w:lang w:val="hy-AM" w:eastAsia="en-US"/>
        </w:rPr>
        <w:t>ով</w:t>
      </w:r>
      <w:r w:rsidRPr="00E27F1D">
        <w:rPr>
          <w:b w:val="0"/>
          <w:noProof/>
          <w:szCs w:val="22"/>
          <w:lang w:val="af-ZA" w:eastAsia="en-US"/>
        </w:rPr>
        <w:t xml:space="preserve">, </w:t>
      </w:r>
      <w:r w:rsidRPr="00AB56B7">
        <w:rPr>
          <w:b w:val="0"/>
          <w:noProof/>
          <w:szCs w:val="22"/>
          <w:lang w:val="hy-AM" w:eastAsia="en-US"/>
        </w:rPr>
        <w:t>որը</w:t>
      </w:r>
      <w:r w:rsidRPr="00E27F1D">
        <w:rPr>
          <w:b w:val="0"/>
          <w:noProof/>
          <w:szCs w:val="22"/>
          <w:lang w:val="af-ZA" w:eastAsia="en-US"/>
        </w:rPr>
        <w:t xml:space="preserve"> </w:t>
      </w:r>
      <w:r w:rsidRPr="00AB56B7">
        <w:rPr>
          <w:b w:val="0"/>
          <w:noProof/>
          <w:szCs w:val="22"/>
          <w:lang w:val="hy-AM" w:eastAsia="en-US"/>
        </w:rPr>
        <w:t>պայմանավորված</w:t>
      </w:r>
      <w:r w:rsidRPr="00E27F1D">
        <w:rPr>
          <w:b w:val="0"/>
          <w:noProof/>
          <w:szCs w:val="22"/>
          <w:lang w:val="af-ZA" w:eastAsia="en-US"/>
        </w:rPr>
        <w:t xml:space="preserve"> </w:t>
      </w:r>
      <w:r w:rsidRPr="00AB56B7">
        <w:rPr>
          <w:b w:val="0"/>
          <w:noProof/>
          <w:szCs w:val="22"/>
          <w:lang w:val="hy-AM" w:eastAsia="en-US"/>
        </w:rPr>
        <w:t>է</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af-ZA" w:eastAsia="en-US"/>
        </w:rPr>
        <w:t>-</w:t>
      </w:r>
      <w:r w:rsidRPr="00E27F1D">
        <w:rPr>
          <w:rFonts w:ascii="Times New Roman" w:hAnsi="Times New Roman"/>
          <w:b w:val="0"/>
          <w:szCs w:val="22"/>
          <w:lang w:val="af-ZA" w:eastAsia="en-US"/>
        </w:rPr>
        <w:t xml:space="preserve"> </w:t>
      </w:r>
      <w:r w:rsidRPr="00E27F1D">
        <w:rPr>
          <w:b w:val="0"/>
          <w:noProof/>
          <w:szCs w:val="22"/>
          <w:lang w:val="hy-AM" w:eastAsia="en-US"/>
        </w:rPr>
        <w:t>ծախսային գերակայություններով, առաջնահերթություններով</w:t>
      </w:r>
      <w:r w:rsidRPr="00E27F1D">
        <w:rPr>
          <w:b w:val="0"/>
          <w:noProof/>
          <w:szCs w:val="22"/>
          <w:lang w:val="en-US" w:eastAsia="en-US"/>
        </w:rPr>
        <w:t>՝</w:t>
      </w:r>
      <w:r w:rsidRPr="00E27F1D">
        <w:rPr>
          <w:b w:val="0"/>
          <w:noProof/>
          <w:szCs w:val="22"/>
          <w:lang w:val="af-ZA" w:eastAsia="en-US"/>
        </w:rPr>
        <w:t xml:space="preserve"> 637.2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w:t>
      </w:r>
      <w:r w:rsidRPr="00E27F1D">
        <w:rPr>
          <w:b w:val="0"/>
          <w:noProof/>
          <w:szCs w:val="22"/>
          <w:lang w:val="af-ZA" w:eastAsia="en-US"/>
        </w:rPr>
        <w:t xml:space="preserve">, </w:t>
      </w:r>
      <w:r w:rsidRPr="00E27F1D">
        <w:rPr>
          <w:b w:val="0"/>
          <w:noProof/>
          <w:szCs w:val="22"/>
          <w:lang w:val="hy-AM" w:eastAsia="en-US"/>
        </w:rPr>
        <w:t xml:space="preserve">հիմնականում կապված </w:t>
      </w:r>
      <w:r w:rsidRPr="00E27F1D">
        <w:rPr>
          <w:b w:val="0"/>
          <w:noProof/>
          <w:szCs w:val="22"/>
          <w:lang w:val="af-ZA" w:eastAsia="en-US"/>
        </w:rPr>
        <w:t xml:space="preserve"> </w:t>
      </w:r>
      <w:r w:rsidRPr="00E27F1D">
        <w:rPr>
          <w:b w:val="0"/>
          <w:noProof/>
          <w:szCs w:val="22"/>
          <w:lang w:val="hy-AM" w:eastAsia="en-US"/>
        </w:rPr>
        <w:t>մ</w:t>
      </w:r>
      <w:r w:rsidRPr="00E27F1D">
        <w:rPr>
          <w:b w:val="0"/>
          <w:noProof/>
          <w:szCs w:val="22"/>
          <w:lang w:val="af-ZA" w:eastAsia="en-US"/>
        </w:rPr>
        <w:t>շակութային միջոցառումների իրականացմ</w:t>
      </w:r>
      <w:r w:rsidRPr="00E27F1D">
        <w:rPr>
          <w:b w:val="0"/>
          <w:noProof/>
          <w:szCs w:val="22"/>
          <w:lang w:val="hy-AM" w:eastAsia="en-US"/>
        </w:rPr>
        <w:t>ան ծախսերի նվազման հետ,</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af-ZA" w:eastAsia="en-US"/>
        </w:rPr>
        <w:t>- Երաժշտարվեստի և պարարվեստի համերգներ»</w:t>
      </w:r>
      <w:r w:rsidRPr="00E27F1D">
        <w:rPr>
          <w:b w:val="0"/>
          <w:noProof/>
          <w:szCs w:val="22"/>
          <w:lang w:val="hy-AM" w:eastAsia="en-US"/>
        </w:rPr>
        <w:t xml:space="preserve"> միջոցառման ծախսերի նվազմամբ՝ 35</w:t>
      </w:r>
      <w:r w:rsidRPr="00E27F1D">
        <w:rPr>
          <w:b w:val="0"/>
          <w:noProof/>
          <w:szCs w:val="22"/>
          <w:lang w:val="af-ZA" w:eastAsia="en-US"/>
        </w:rPr>
        <w:t>.</w:t>
      </w:r>
      <w:r w:rsidRPr="00E27F1D">
        <w:rPr>
          <w:b w:val="0"/>
          <w:noProof/>
          <w:szCs w:val="22"/>
          <w:lang w:val="hy-AM" w:eastAsia="en-US"/>
        </w:rPr>
        <w:t>8</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դրամով</w:t>
      </w:r>
      <w:r w:rsidRPr="00E27F1D">
        <w:rPr>
          <w:b w:val="0"/>
          <w:noProof/>
          <w:szCs w:val="22"/>
          <w:lang w:val="hy-AM" w:eastAsia="en-US"/>
        </w:rPr>
        <w:t>, կապված Հայ հոգևոր երաժշտության կենտրոն» պետական ոչ առևտրային կազմակերպությունը Կոմիտասի թանգարան-ինստիտուտ» պետական ոչ առևտրային կազմակերպությանը միացման ձևով վերակազմակերպման հետ</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af-ZA" w:eastAsia="en-US"/>
        </w:rPr>
        <w:t>-</w:t>
      </w:r>
      <w:r w:rsidRPr="00E27F1D">
        <w:rPr>
          <w:lang w:val="af-ZA"/>
        </w:rPr>
        <w:t xml:space="preserve"> </w:t>
      </w:r>
      <w:r w:rsidRPr="00E27F1D">
        <w:rPr>
          <w:b w:val="0"/>
          <w:noProof/>
          <w:szCs w:val="22"/>
          <w:lang w:val="af-ZA" w:eastAsia="en-US"/>
        </w:rPr>
        <w:t xml:space="preserve">Մշակութային միջոցառումների իրականացում» </w:t>
      </w:r>
      <w:r w:rsidRPr="00E27F1D">
        <w:rPr>
          <w:b w:val="0"/>
          <w:noProof/>
          <w:szCs w:val="22"/>
          <w:lang w:val="hy-AM" w:eastAsia="en-US"/>
        </w:rPr>
        <w:t>միջոցառման ծախսերի նվազմամբ՝ 3</w:t>
      </w:r>
      <w:r w:rsidRPr="00E27F1D">
        <w:rPr>
          <w:b w:val="0"/>
          <w:noProof/>
          <w:szCs w:val="22"/>
          <w:lang w:val="af-ZA" w:eastAsia="en-US"/>
        </w:rPr>
        <w:t>.</w:t>
      </w:r>
      <w:r w:rsidRPr="00E27F1D">
        <w:rPr>
          <w:b w:val="0"/>
          <w:noProof/>
          <w:szCs w:val="22"/>
          <w:lang w:val="hy-AM" w:eastAsia="en-US"/>
        </w:rPr>
        <w:t xml:space="preserve">0 մլն դրամ, վերջինս վերաբաշխվել է  1215 ծրագրի </w:t>
      </w:r>
      <w:r w:rsidRPr="00E27F1D">
        <w:rPr>
          <w:b w:val="0"/>
          <w:noProof/>
          <w:szCs w:val="22"/>
          <w:lang w:val="af-ZA" w:eastAsia="en-US"/>
        </w:rPr>
        <w:t></w:t>
      </w:r>
      <w:r w:rsidRPr="00E27F1D">
        <w:rPr>
          <w:b w:val="0"/>
          <w:noProof/>
          <w:szCs w:val="22"/>
          <w:lang w:val="hy-AM" w:eastAsia="en-US"/>
        </w:rPr>
        <w:t>Աջակցություն օտարերկրյա պետություններում հայալեզու թատերական ներկայացումներին</w:t>
      </w:r>
      <w:r w:rsidRPr="00E27F1D">
        <w:rPr>
          <w:b w:val="0"/>
          <w:noProof/>
          <w:szCs w:val="22"/>
          <w:lang w:val="af-ZA" w:eastAsia="en-US"/>
        </w:rPr>
        <w:t>»</w:t>
      </w:r>
      <w:r w:rsidRPr="00E27F1D">
        <w:rPr>
          <w:b w:val="0"/>
          <w:noProof/>
          <w:szCs w:val="22"/>
          <w:lang w:val="hy-AM" w:eastAsia="en-US"/>
        </w:rPr>
        <w:t xml:space="preserve"> միջոցառմանը</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rFonts w:cs="GHEA Grapalat"/>
          <w:b w:val="0"/>
          <w:noProof/>
          <w:szCs w:val="22"/>
          <w:lang w:val="af-ZA" w:eastAsia="en-US"/>
        </w:rPr>
        <w:t xml:space="preserve">- </w:t>
      </w:r>
      <w:r w:rsidRPr="00E27F1D">
        <w:rPr>
          <w:rFonts w:cs="GHEA Grapalat"/>
          <w:b w:val="0"/>
          <w:noProof/>
          <w:szCs w:val="22"/>
          <w:lang w:val="hy-AM" w:eastAsia="en-US"/>
        </w:rPr>
        <w:t>թատրոնների</w:t>
      </w:r>
      <w:r w:rsidRPr="00E27F1D">
        <w:rPr>
          <w:b w:val="0"/>
          <w:noProof/>
          <w:szCs w:val="22"/>
          <w:lang w:val="af-ZA" w:eastAsia="en-US"/>
        </w:rPr>
        <w:t xml:space="preserve"> </w:t>
      </w:r>
      <w:r w:rsidRPr="00E27F1D">
        <w:rPr>
          <w:rFonts w:cs="GHEA Grapalat"/>
          <w:b w:val="0"/>
          <w:noProof/>
          <w:szCs w:val="22"/>
          <w:lang w:val="hy-AM" w:eastAsia="en-US"/>
        </w:rPr>
        <w:t>շենքերի</w:t>
      </w:r>
      <w:r w:rsidRPr="00E27F1D">
        <w:rPr>
          <w:b w:val="0"/>
          <w:noProof/>
          <w:szCs w:val="22"/>
          <w:lang w:val="af-ZA" w:eastAsia="en-US"/>
        </w:rPr>
        <w:t xml:space="preserve"> </w:t>
      </w:r>
      <w:r w:rsidRPr="00E27F1D">
        <w:rPr>
          <w:rFonts w:cs="GHEA Grapalat"/>
          <w:b w:val="0"/>
          <w:noProof/>
          <w:szCs w:val="22"/>
          <w:lang w:val="hy-AM" w:eastAsia="en-US"/>
        </w:rPr>
        <w:t>վերանորոգման</w:t>
      </w:r>
      <w:r w:rsidRPr="00E27F1D">
        <w:rPr>
          <w:b w:val="0"/>
          <w:noProof/>
          <w:szCs w:val="22"/>
          <w:lang w:val="af-ZA" w:eastAsia="en-US"/>
        </w:rPr>
        <w:t xml:space="preserve"> </w:t>
      </w:r>
      <w:r w:rsidRPr="00E27F1D">
        <w:rPr>
          <w:b w:val="0"/>
          <w:noProof/>
          <w:szCs w:val="22"/>
          <w:lang w:val="hy-AM" w:eastAsia="en-US"/>
        </w:rPr>
        <w:t xml:space="preserve">և կառուցման </w:t>
      </w:r>
      <w:r w:rsidRPr="00E27F1D">
        <w:rPr>
          <w:rFonts w:cs="GHEA Grapalat"/>
          <w:b w:val="0"/>
          <w:noProof/>
          <w:szCs w:val="22"/>
          <w:lang w:val="hy-AM" w:eastAsia="en-US"/>
        </w:rPr>
        <w:t>ծախսերի</w:t>
      </w:r>
      <w:r w:rsidRPr="00E27F1D">
        <w:rPr>
          <w:rFonts w:cs="GHEA Grapalat"/>
          <w:b w:val="0"/>
          <w:noProof/>
          <w:szCs w:val="22"/>
          <w:lang w:val="af-ZA" w:eastAsia="en-US"/>
        </w:rPr>
        <w:t xml:space="preserve"> </w:t>
      </w:r>
      <w:r w:rsidRPr="00E27F1D">
        <w:rPr>
          <w:rFonts w:cs="GHEA Grapalat"/>
          <w:b w:val="0"/>
          <w:noProof/>
          <w:szCs w:val="22"/>
          <w:lang w:val="hy-AM" w:eastAsia="en-US"/>
        </w:rPr>
        <w:t>նվազմամբ՝</w:t>
      </w:r>
      <w:r w:rsidRPr="00E27F1D">
        <w:rPr>
          <w:b w:val="0"/>
          <w:noProof/>
          <w:szCs w:val="22"/>
          <w:lang w:val="af-ZA" w:eastAsia="en-US"/>
        </w:rPr>
        <w:t xml:space="preserve"> </w:t>
      </w:r>
      <w:r w:rsidRPr="00E27F1D">
        <w:rPr>
          <w:b w:val="0"/>
          <w:noProof/>
          <w:szCs w:val="22"/>
          <w:lang w:val="hy-AM" w:eastAsia="en-US"/>
        </w:rPr>
        <w:t>357</w:t>
      </w:r>
      <w:r w:rsidRPr="00E27F1D">
        <w:rPr>
          <w:b w:val="0"/>
          <w:noProof/>
          <w:szCs w:val="22"/>
          <w:lang w:val="af-ZA" w:eastAsia="en-US"/>
        </w:rPr>
        <w:t>.</w:t>
      </w:r>
      <w:r w:rsidRPr="00E27F1D">
        <w:rPr>
          <w:b w:val="0"/>
          <w:noProof/>
          <w:szCs w:val="22"/>
          <w:lang w:val="hy-AM" w:eastAsia="en-US"/>
        </w:rPr>
        <w:t>3</w:t>
      </w:r>
      <w:r w:rsidRPr="00E27F1D">
        <w:rPr>
          <w:b w:val="0"/>
          <w:noProof/>
          <w:szCs w:val="22"/>
          <w:lang w:val="af-ZA" w:eastAsia="en-US"/>
        </w:rPr>
        <w:t xml:space="preserve"> </w:t>
      </w:r>
      <w:r w:rsidRPr="00E27F1D">
        <w:rPr>
          <w:rFonts w:cs="GHEA Grapalat"/>
          <w:b w:val="0"/>
          <w:noProof/>
          <w:szCs w:val="22"/>
          <w:lang w:val="hy-AM" w:eastAsia="en-US"/>
        </w:rPr>
        <w:t>մլն</w:t>
      </w:r>
      <w:r w:rsidRPr="00E27F1D">
        <w:rPr>
          <w:b w:val="0"/>
          <w:noProof/>
          <w:szCs w:val="22"/>
          <w:lang w:val="af-ZA" w:eastAsia="en-US"/>
        </w:rPr>
        <w:t xml:space="preserve"> </w:t>
      </w:r>
      <w:r w:rsidRPr="00E27F1D">
        <w:rPr>
          <w:rFonts w:cs="GHEA Grapalat"/>
          <w:b w:val="0"/>
          <w:noProof/>
          <w:szCs w:val="22"/>
          <w:lang w:val="hy-AM" w:eastAsia="en-US"/>
        </w:rPr>
        <w:t>դրամով</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b w:val="0"/>
          <w:noProof/>
          <w:szCs w:val="22"/>
          <w:lang w:val="hy-AM" w:eastAsia="en-US"/>
        </w:rPr>
        <w:t xml:space="preserve">         </w:t>
      </w:r>
      <w:r w:rsidR="002958DC" w:rsidRPr="005578F9">
        <w:rPr>
          <w:b w:val="0"/>
          <w:noProof/>
          <w:szCs w:val="22"/>
          <w:lang w:val="hy-AM" w:eastAsia="en-US"/>
        </w:rPr>
        <w:tab/>
      </w:r>
      <w:r w:rsidRPr="00AB56B7">
        <w:rPr>
          <w:b w:val="0"/>
          <w:noProof/>
          <w:szCs w:val="22"/>
          <w:lang w:val="hy-AM" w:eastAsia="en-US"/>
        </w:rPr>
        <w:t>Միաժամանակ</w:t>
      </w:r>
      <w:r w:rsidRPr="00E27F1D">
        <w:rPr>
          <w:b w:val="0"/>
          <w:noProof/>
          <w:szCs w:val="22"/>
          <w:lang w:val="af-ZA" w:eastAsia="en-US"/>
        </w:rPr>
        <w:t xml:space="preserve">, </w:t>
      </w:r>
      <w:r w:rsidRPr="00AB56B7">
        <w:rPr>
          <w:b w:val="0"/>
          <w:noProof/>
          <w:szCs w:val="22"/>
          <w:lang w:val="hy-AM" w:eastAsia="en-US"/>
        </w:rPr>
        <w:t>ծախսեր</w:t>
      </w:r>
      <w:r w:rsidRPr="00E27F1D">
        <w:rPr>
          <w:b w:val="0"/>
          <w:noProof/>
          <w:szCs w:val="22"/>
          <w:lang w:val="hy-AM" w:eastAsia="en-US"/>
        </w:rPr>
        <w:t>ն</w:t>
      </w:r>
      <w:r w:rsidRPr="00E27F1D">
        <w:rPr>
          <w:b w:val="0"/>
          <w:noProof/>
          <w:szCs w:val="22"/>
          <w:lang w:val="af-ZA" w:eastAsia="en-US"/>
        </w:rPr>
        <w:t xml:space="preserve"> </w:t>
      </w:r>
      <w:r w:rsidRPr="00E27F1D">
        <w:rPr>
          <w:b w:val="0"/>
          <w:noProof/>
          <w:szCs w:val="22"/>
          <w:lang w:val="hy-AM" w:eastAsia="en-US"/>
        </w:rPr>
        <w:t>աճել</w:t>
      </w:r>
      <w:r w:rsidRPr="00E27F1D">
        <w:rPr>
          <w:b w:val="0"/>
          <w:noProof/>
          <w:szCs w:val="22"/>
          <w:lang w:val="af-ZA" w:eastAsia="en-US"/>
        </w:rPr>
        <w:t xml:space="preserve"> </w:t>
      </w:r>
      <w:r w:rsidRPr="00AB56B7">
        <w:rPr>
          <w:b w:val="0"/>
          <w:noProof/>
          <w:szCs w:val="22"/>
          <w:lang w:val="hy-AM" w:eastAsia="en-US"/>
        </w:rPr>
        <w:t>են՝</w:t>
      </w:r>
      <w:r w:rsidRPr="00E27F1D">
        <w:rPr>
          <w:b w:val="0"/>
          <w:noProof/>
          <w:szCs w:val="22"/>
          <w:lang w:val="af-ZA" w:eastAsia="en-US"/>
        </w:rPr>
        <w:t xml:space="preserve"> 656.5 </w:t>
      </w:r>
      <w:r w:rsidRPr="00AB56B7">
        <w:rPr>
          <w:b w:val="0"/>
          <w:noProof/>
          <w:szCs w:val="22"/>
          <w:lang w:val="hy-AM" w:eastAsia="en-US"/>
        </w:rPr>
        <w:t>մլն</w:t>
      </w:r>
      <w:r w:rsidRPr="00E27F1D">
        <w:rPr>
          <w:b w:val="0"/>
          <w:noProof/>
          <w:szCs w:val="22"/>
          <w:lang w:val="af-ZA" w:eastAsia="en-US"/>
        </w:rPr>
        <w:t xml:space="preserve"> </w:t>
      </w:r>
      <w:r w:rsidRPr="00AB56B7">
        <w:rPr>
          <w:b w:val="0"/>
          <w:noProof/>
          <w:szCs w:val="22"/>
          <w:lang w:val="hy-AM" w:eastAsia="en-US"/>
        </w:rPr>
        <w:t>դրամով</w:t>
      </w:r>
      <w:r w:rsidRPr="00E27F1D">
        <w:rPr>
          <w:b w:val="0"/>
          <w:noProof/>
          <w:szCs w:val="22"/>
          <w:lang w:val="af-ZA" w:eastAsia="en-US"/>
        </w:rPr>
        <w:t xml:space="preserve">, </w:t>
      </w:r>
      <w:r w:rsidRPr="00AB56B7">
        <w:rPr>
          <w:b w:val="0"/>
          <w:noProof/>
          <w:szCs w:val="22"/>
          <w:lang w:val="hy-AM" w:eastAsia="en-US"/>
        </w:rPr>
        <w:t>որը</w:t>
      </w:r>
      <w:r w:rsidRPr="00E27F1D">
        <w:rPr>
          <w:b w:val="0"/>
          <w:noProof/>
          <w:szCs w:val="22"/>
          <w:lang w:val="af-ZA" w:eastAsia="en-US"/>
        </w:rPr>
        <w:t xml:space="preserve"> </w:t>
      </w:r>
      <w:r w:rsidRPr="00AB56B7">
        <w:rPr>
          <w:b w:val="0"/>
          <w:noProof/>
          <w:szCs w:val="22"/>
          <w:lang w:val="hy-AM" w:eastAsia="en-US"/>
        </w:rPr>
        <w:t>պայմանավորված</w:t>
      </w:r>
      <w:r w:rsidRPr="00E27F1D">
        <w:rPr>
          <w:b w:val="0"/>
          <w:noProof/>
          <w:szCs w:val="22"/>
          <w:lang w:val="af-ZA" w:eastAsia="en-US"/>
        </w:rPr>
        <w:t xml:space="preserve"> </w:t>
      </w:r>
      <w:r w:rsidRPr="00AB56B7">
        <w:rPr>
          <w:b w:val="0"/>
          <w:noProof/>
          <w:szCs w:val="22"/>
          <w:lang w:val="hy-AM" w:eastAsia="en-US"/>
        </w:rPr>
        <w:t>է</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af-ZA" w:eastAsia="en-US"/>
        </w:rPr>
        <w:t xml:space="preserve">- </w:t>
      </w:r>
      <w:r w:rsidRPr="00E27F1D">
        <w:rPr>
          <w:b w:val="0"/>
          <w:noProof/>
          <w:szCs w:val="22"/>
          <w:lang w:val="hy-AM" w:eastAsia="en-US"/>
        </w:rPr>
        <w:t>համերգային 8 կազմակերպությունների աշխատողներին լրավճարների տրամադրման հետ կապված ծախսերի աճով՝ 613</w:t>
      </w:r>
      <w:r w:rsidRPr="00E27F1D">
        <w:rPr>
          <w:b w:val="0"/>
          <w:noProof/>
          <w:szCs w:val="22"/>
          <w:lang w:val="af-ZA" w:eastAsia="en-US"/>
        </w:rPr>
        <w:t>.</w:t>
      </w:r>
      <w:r w:rsidRPr="00E27F1D">
        <w:rPr>
          <w:b w:val="0"/>
          <w:noProof/>
          <w:szCs w:val="22"/>
          <w:lang w:val="hy-AM" w:eastAsia="en-US"/>
        </w:rPr>
        <w:t>8</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դրամով</w:t>
      </w:r>
      <w:r w:rsidRPr="00E27F1D">
        <w:rPr>
          <w:b w:val="0"/>
          <w:noProof/>
          <w:szCs w:val="22"/>
          <w:lang w:val="af-ZA" w:eastAsia="en-US"/>
        </w:rPr>
        <w:t xml:space="preserve"> («Հայաստանի ազգային ֆիլհարմոնիկ նվագախումբ»</w:t>
      </w:r>
      <w:r w:rsidRPr="00E27F1D">
        <w:rPr>
          <w:b w:val="0"/>
          <w:noProof/>
          <w:szCs w:val="22"/>
          <w:lang w:val="hy-AM" w:eastAsia="en-US"/>
        </w:rPr>
        <w:t>, «Հայաստանի պետական սիմֆոնիկ նվագախումբ»,</w:t>
      </w:r>
      <w:r w:rsidRPr="00E27F1D">
        <w:rPr>
          <w:rFonts w:ascii="Times New Roman" w:hAnsi="Times New Roman"/>
          <w:b w:val="0"/>
          <w:sz w:val="24"/>
          <w:lang w:val="af-ZA" w:eastAsia="en-US"/>
        </w:rPr>
        <w:t xml:space="preserve"> </w:t>
      </w:r>
      <w:r w:rsidRPr="00E27F1D">
        <w:rPr>
          <w:b w:val="0"/>
          <w:noProof/>
          <w:szCs w:val="22"/>
          <w:lang w:val="hy-AM" w:eastAsia="en-US"/>
        </w:rPr>
        <w:t>«Կամերային երաժշտության ազգային կենտրոն»,  «Հայաստանի էստրադային ջազ նվագախումբ», «Կոմիտասի անվան ազգային քառյակ»,   «Հայաստանի պետական ազգային ակադեմիական երգչախումբ», «Գյումրու պետական սիմֆոնիկ նվագախումբ», «Գյումրու ժողովրդական գործիքների պետական նվագախումբ»</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af-ZA" w:eastAsia="en-US"/>
        </w:rPr>
        <w:t>- «Ժողովրդական» պատվավոր կոչման արժանացած անձանց պատվովճար</w:t>
      </w:r>
      <w:r w:rsidRPr="00E27F1D">
        <w:rPr>
          <w:b w:val="0"/>
          <w:noProof/>
          <w:szCs w:val="22"/>
          <w:lang w:val="hy-AM" w:eastAsia="en-US"/>
        </w:rPr>
        <w:t>ի չափի կրկնապատկման հետ կապված ծախսերի աճով՝</w:t>
      </w:r>
      <w:r w:rsidRPr="00E27F1D">
        <w:rPr>
          <w:b w:val="0"/>
          <w:noProof/>
          <w:szCs w:val="22"/>
          <w:lang w:val="af-ZA" w:eastAsia="en-US"/>
        </w:rPr>
        <w:t xml:space="preserve"> </w:t>
      </w:r>
      <w:r w:rsidRPr="00E27F1D">
        <w:rPr>
          <w:b w:val="0"/>
          <w:noProof/>
          <w:szCs w:val="22"/>
          <w:lang w:val="hy-AM" w:eastAsia="en-US"/>
        </w:rPr>
        <w:t>42</w:t>
      </w:r>
      <w:r w:rsidRPr="00E27F1D">
        <w:rPr>
          <w:b w:val="0"/>
          <w:noProof/>
          <w:szCs w:val="22"/>
          <w:lang w:val="af-ZA" w:eastAsia="en-US"/>
        </w:rPr>
        <w:t>.</w:t>
      </w:r>
      <w:r w:rsidRPr="00E27F1D">
        <w:rPr>
          <w:b w:val="0"/>
          <w:noProof/>
          <w:szCs w:val="22"/>
          <w:lang w:val="hy-AM" w:eastAsia="en-US"/>
        </w:rPr>
        <w:t>7</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w:t>
      </w:r>
      <w:r w:rsidRPr="00E27F1D">
        <w:rPr>
          <w:b w:val="0"/>
          <w:noProof/>
          <w:szCs w:val="22"/>
          <w:lang w:val="hy-AM" w:eastAsia="en-US"/>
        </w:rPr>
        <w:t xml:space="preserve">ով </w:t>
      </w:r>
      <w:r w:rsidRPr="00E27F1D">
        <w:rPr>
          <w:b w:val="0"/>
          <w:noProof/>
          <w:szCs w:val="22"/>
          <w:lang w:val="af-ZA" w:eastAsia="en-US"/>
        </w:rPr>
        <w:t>(</w:t>
      </w:r>
      <w:r w:rsidRPr="00E27F1D">
        <w:rPr>
          <w:b w:val="0"/>
          <w:noProof/>
          <w:szCs w:val="22"/>
          <w:lang w:val="hy-AM" w:eastAsia="en-US"/>
        </w:rPr>
        <w:t>պատվովճարի չափը նախատեսվել է ամսական 80</w:t>
      </w:r>
      <w:r w:rsidRPr="00E27F1D">
        <w:rPr>
          <w:b w:val="0"/>
          <w:noProof/>
          <w:szCs w:val="22"/>
          <w:lang w:val="af-ZA" w:eastAsia="en-US"/>
        </w:rPr>
        <w:t>.</w:t>
      </w:r>
      <w:r w:rsidRPr="00E27F1D">
        <w:rPr>
          <w:b w:val="0"/>
          <w:noProof/>
          <w:szCs w:val="22"/>
          <w:lang w:val="hy-AM" w:eastAsia="en-US"/>
        </w:rPr>
        <w:t>0 հազ</w:t>
      </w:r>
      <w:r w:rsidRPr="00E27F1D">
        <w:rPr>
          <w:b w:val="0"/>
          <w:noProof/>
          <w:szCs w:val="22"/>
          <w:lang w:val="af-ZA" w:eastAsia="en-US"/>
        </w:rPr>
        <w:t>.</w:t>
      </w:r>
      <w:r w:rsidRPr="00E27F1D">
        <w:rPr>
          <w:b w:val="0"/>
          <w:noProof/>
          <w:szCs w:val="22"/>
          <w:lang w:val="hy-AM" w:eastAsia="en-US"/>
        </w:rPr>
        <w:t xml:space="preserve"> դրամ՝ ներկայումս սահմանված  40</w:t>
      </w:r>
      <w:r w:rsidRPr="00E27F1D">
        <w:rPr>
          <w:b w:val="0"/>
          <w:noProof/>
          <w:szCs w:val="22"/>
          <w:lang w:val="af-ZA" w:eastAsia="en-US"/>
        </w:rPr>
        <w:t>.</w:t>
      </w:r>
      <w:r w:rsidRPr="00E27F1D">
        <w:rPr>
          <w:b w:val="0"/>
          <w:noProof/>
          <w:szCs w:val="22"/>
          <w:lang w:val="hy-AM" w:eastAsia="en-US"/>
        </w:rPr>
        <w:t>0 հազ</w:t>
      </w:r>
      <w:r w:rsidRPr="00E27F1D">
        <w:rPr>
          <w:b w:val="0"/>
          <w:noProof/>
          <w:szCs w:val="22"/>
          <w:lang w:val="af-ZA" w:eastAsia="en-US"/>
        </w:rPr>
        <w:t>.</w:t>
      </w:r>
      <w:r w:rsidRPr="00E27F1D">
        <w:rPr>
          <w:b w:val="0"/>
          <w:noProof/>
          <w:szCs w:val="22"/>
          <w:lang w:val="hy-AM" w:eastAsia="en-US"/>
        </w:rPr>
        <w:t xml:space="preserve"> դրամի փոխարեն</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noProof/>
          <w:szCs w:val="22"/>
          <w:lang w:val="hy-AM" w:eastAsia="en-US"/>
        </w:rPr>
        <w:t xml:space="preserve">       </w:t>
      </w:r>
      <w:r w:rsidR="002958DC" w:rsidRPr="005578F9">
        <w:rPr>
          <w:noProof/>
          <w:szCs w:val="22"/>
          <w:lang w:val="af-ZA" w:eastAsia="en-US"/>
        </w:rPr>
        <w:tab/>
      </w:r>
      <w:r w:rsidRPr="00AB56B7">
        <w:rPr>
          <w:noProof/>
          <w:szCs w:val="22"/>
          <w:lang w:val="hy-AM" w:eastAsia="en-US"/>
        </w:rPr>
        <w:t>Մարզ</w:t>
      </w:r>
      <w:r w:rsidRPr="00E27F1D">
        <w:rPr>
          <w:noProof/>
          <w:szCs w:val="22"/>
          <w:lang w:val="hy-AM" w:eastAsia="en-US"/>
        </w:rPr>
        <w:t>երի</w:t>
      </w:r>
      <w:r w:rsidRPr="00E27F1D">
        <w:rPr>
          <w:noProof/>
          <w:szCs w:val="22"/>
          <w:lang w:val="af-ZA" w:eastAsia="en-US"/>
        </w:rPr>
        <w:t xml:space="preserve"> </w:t>
      </w:r>
      <w:r w:rsidRPr="00AB56B7">
        <w:rPr>
          <w:noProof/>
          <w:szCs w:val="22"/>
          <w:lang w:val="hy-AM" w:eastAsia="en-US"/>
        </w:rPr>
        <w:t>մշակութային</w:t>
      </w:r>
      <w:r w:rsidRPr="00E27F1D">
        <w:rPr>
          <w:noProof/>
          <w:szCs w:val="22"/>
          <w:lang w:val="af-ZA" w:eastAsia="en-US"/>
        </w:rPr>
        <w:t xml:space="preserve"> </w:t>
      </w:r>
      <w:r w:rsidRPr="00AB56B7">
        <w:rPr>
          <w:noProof/>
          <w:szCs w:val="22"/>
          <w:lang w:val="hy-AM" w:eastAsia="en-US"/>
        </w:rPr>
        <w:t>զարգացման</w:t>
      </w:r>
      <w:r w:rsidRPr="00E27F1D">
        <w:rPr>
          <w:noProof/>
          <w:szCs w:val="22"/>
          <w:lang w:val="af-ZA" w:eastAsia="en-US"/>
        </w:rPr>
        <w:t xml:space="preserve"> </w:t>
      </w:r>
      <w:r w:rsidRPr="00AB56B7">
        <w:rPr>
          <w:noProof/>
          <w:szCs w:val="22"/>
          <w:lang w:val="hy-AM" w:eastAsia="en-US"/>
        </w:rPr>
        <w:t>ծրագրի</w:t>
      </w:r>
      <w:r w:rsidRPr="00E27F1D">
        <w:rPr>
          <w:b w:val="0"/>
          <w:noProof/>
          <w:szCs w:val="22"/>
          <w:lang w:val="af-ZA" w:eastAsia="en-US"/>
        </w:rPr>
        <w:t xml:space="preserve"> </w:t>
      </w:r>
      <w:r w:rsidRPr="00AB56B7">
        <w:rPr>
          <w:b w:val="0"/>
          <w:noProof/>
          <w:szCs w:val="22"/>
          <w:lang w:val="hy-AM" w:eastAsia="en-US"/>
        </w:rPr>
        <w:t>նպատակ</w:t>
      </w:r>
      <w:r w:rsidRPr="00E27F1D">
        <w:rPr>
          <w:b w:val="0"/>
          <w:noProof/>
          <w:szCs w:val="22"/>
          <w:lang w:val="hy-AM" w:eastAsia="en-US"/>
        </w:rPr>
        <w:t>ը՝</w:t>
      </w:r>
      <w:r w:rsidRPr="00E27F1D">
        <w:rPr>
          <w:b w:val="0"/>
          <w:noProof/>
          <w:szCs w:val="22"/>
          <w:lang w:val="af-ZA" w:eastAsia="en-US"/>
        </w:rPr>
        <w:t xml:space="preserve"> </w:t>
      </w:r>
      <w:r w:rsidRPr="00AB56B7">
        <w:rPr>
          <w:b w:val="0"/>
          <w:noProof/>
          <w:szCs w:val="22"/>
          <w:lang w:val="hy-AM" w:eastAsia="en-US"/>
        </w:rPr>
        <w:t>նպաստել</w:t>
      </w:r>
      <w:r w:rsidRPr="00E27F1D">
        <w:rPr>
          <w:b w:val="0"/>
          <w:noProof/>
          <w:szCs w:val="22"/>
          <w:lang w:val="af-ZA" w:eastAsia="en-US"/>
        </w:rPr>
        <w:t xml:space="preserve"> </w:t>
      </w:r>
      <w:r w:rsidRPr="00AB56B7">
        <w:rPr>
          <w:b w:val="0"/>
          <w:noProof/>
          <w:szCs w:val="22"/>
          <w:lang w:val="hy-AM" w:eastAsia="en-US"/>
        </w:rPr>
        <w:t>մարզերում</w:t>
      </w:r>
      <w:r w:rsidRPr="00E27F1D">
        <w:rPr>
          <w:b w:val="0"/>
          <w:noProof/>
          <w:szCs w:val="22"/>
          <w:lang w:val="af-ZA" w:eastAsia="en-US"/>
        </w:rPr>
        <w:t xml:space="preserve"> </w:t>
      </w:r>
      <w:r w:rsidRPr="00AB56B7">
        <w:rPr>
          <w:b w:val="0"/>
          <w:noProof/>
          <w:szCs w:val="22"/>
          <w:lang w:val="hy-AM" w:eastAsia="en-US"/>
        </w:rPr>
        <w:t>մշակութային</w:t>
      </w:r>
      <w:r w:rsidRPr="00E27F1D">
        <w:rPr>
          <w:b w:val="0"/>
          <w:noProof/>
          <w:szCs w:val="22"/>
          <w:lang w:val="af-ZA" w:eastAsia="en-US"/>
        </w:rPr>
        <w:t xml:space="preserve"> </w:t>
      </w:r>
      <w:r w:rsidRPr="00AB56B7">
        <w:rPr>
          <w:b w:val="0"/>
          <w:noProof/>
          <w:szCs w:val="22"/>
          <w:lang w:val="hy-AM" w:eastAsia="en-US"/>
        </w:rPr>
        <w:t>կյանքի</w:t>
      </w:r>
      <w:r w:rsidRPr="00E27F1D">
        <w:rPr>
          <w:b w:val="0"/>
          <w:noProof/>
          <w:szCs w:val="22"/>
          <w:lang w:val="af-ZA" w:eastAsia="en-US"/>
        </w:rPr>
        <w:t xml:space="preserve"> </w:t>
      </w:r>
      <w:r w:rsidRPr="00E27F1D">
        <w:rPr>
          <w:b w:val="0"/>
          <w:noProof/>
          <w:szCs w:val="22"/>
          <w:lang w:val="hy-AM" w:eastAsia="en-US"/>
        </w:rPr>
        <w:t xml:space="preserve">և մշակութաստեղծ գործունեության </w:t>
      </w:r>
      <w:r w:rsidRPr="00AB56B7">
        <w:rPr>
          <w:b w:val="0"/>
          <w:noProof/>
          <w:szCs w:val="22"/>
          <w:lang w:val="hy-AM" w:eastAsia="en-US"/>
        </w:rPr>
        <w:t>ակտիվացմանը</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en-US" w:eastAsia="en-US"/>
        </w:rPr>
        <w:t>Ծրագրի</w:t>
      </w:r>
      <w:r w:rsidRPr="00E27F1D">
        <w:rPr>
          <w:b w:val="0"/>
          <w:noProof/>
          <w:szCs w:val="22"/>
          <w:lang w:val="af-ZA" w:eastAsia="en-US"/>
        </w:rPr>
        <w:t xml:space="preserve"> </w:t>
      </w:r>
      <w:r w:rsidRPr="00E27F1D">
        <w:rPr>
          <w:b w:val="0"/>
          <w:noProof/>
          <w:szCs w:val="22"/>
          <w:lang w:val="en-US" w:eastAsia="en-US"/>
        </w:rPr>
        <w:t>շրջանակներում</w:t>
      </w:r>
      <w:r w:rsidRPr="00E27F1D">
        <w:rPr>
          <w:b w:val="0"/>
          <w:noProof/>
          <w:szCs w:val="22"/>
          <w:lang w:val="af-ZA" w:eastAsia="en-US"/>
        </w:rPr>
        <w:t xml:space="preserve"> </w:t>
      </w:r>
      <w:r w:rsidRPr="00E27F1D">
        <w:rPr>
          <w:b w:val="0"/>
          <w:noProof/>
          <w:szCs w:val="22"/>
          <w:lang w:val="en-US" w:eastAsia="en-US"/>
        </w:rPr>
        <w:t>հատկացումներն</w:t>
      </w:r>
      <w:r w:rsidRPr="00E27F1D">
        <w:rPr>
          <w:b w:val="0"/>
          <w:noProof/>
          <w:szCs w:val="22"/>
          <w:lang w:val="af-ZA" w:eastAsia="en-US"/>
        </w:rPr>
        <w:t xml:space="preserve"> </w:t>
      </w:r>
      <w:r w:rsidRPr="00E27F1D">
        <w:rPr>
          <w:b w:val="0"/>
          <w:noProof/>
          <w:szCs w:val="22"/>
          <w:lang w:val="en-US" w:eastAsia="en-US"/>
        </w:rPr>
        <w:t>ուղղվելու</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w:t>
      </w:r>
      <w:r w:rsidRPr="00E27F1D">
        <w:rPr>
          <w:b w:val="0"/>
          <w:noProof/>
          <w:szCs w:val="22"/>
          <w:lang w:val="en-US" w:eastAsia="en-US"/>
        </w:rPr>
        <w:t>մարզերում</w:t>
      </w:r>
      <w:r w:rsidRPr="00E27F1D">
        <w:rPr>
          <w:b w:val="0"/>
          <w:noProof/>
          <w:szCs w:val="22"/>
          <w:lang w:val="af-ZA" w:eastAsia="en-US"/>
        </w:rPr>
        <w:t xml:space="preserve"> </w:t>
      </w:r>
      <w:r w:rsidRPr="00E27F1D">
        <w:rPr>
          <w:b w:val="0"/>
          <w:noProof/>
          <w:szCs w:val="22"/>
          <w:lang w:val="en-US" w:eastAsia="en-US"/>
        </w:rPr>
        <w:t>մշակութային</w:t>
      </w:r>
      <w:r w:rsidRPr="00E27F1D">
        <w:rPr>
          <w:b w:val="0"/>
          <w:noProof/>
          <w:szCs w:val="22"/>
          <w:lang w:val="af-ZA" w:eastAsia="en-US"/>
        </w:rPr>
        <w:t xml:space="preserve"> </w:t>
      </w:r>
      <w:r w:rsidRPr="00E27F1D">
        <w:rPr>
          <w:b w:val="0"/>
          <w:noProof/>
          <w:szCs w:val="22"/>
          <w:lang w:val="en-US" w:eastAsia="en-US"/>
        </w:rPr>
        <w:t>միջոցառումների</w:t>
      </w:r>
      <w:r w:rsidRPr="00E27F1D">
        <w:rPr>
          <w:b w:val="0"/>
          <w:noProof/>
          <w:szCs w:val="22"/>
          <w:lang w:val="af-ZA" w:eastAsia="en-US"/>
        </w:rPr>
        <w:t xml:space="preserve"> </w:t>
      </w:r>
      <w:r w:rsidRPr="00E27F1D">
        <w:rPr>
          <w:b w:val="0"/>
          <w:noProof/>
          <w:szCs w:val="22"/>
          <w:lang w:val="en-US" w:eastAsia="en-US"/>
        </w:rPr>
        <w:t>իրականացմանը</w:t>
      </w:r>
      <w:r w:rsidRPr="00E27F1D">
        <w:rPr>
          <w:b w:val="0"/>
          <w:noProof/>
          <w:szCs w:val="22"/>
          <w:lang w:val="af-ZA" w:eastAsia="en-US"/>
        </w:rPr>
        <w:t xml:space="preserve">, </w:t>
      </w:r>
      <w:r w:rsidRPr="00E27F1D">
        <w:rPr>
          <w:b w:val="0"/>
          <w:noProof/>
          <w:szCs w:val="22"/>
          <w:lang w:val="en-US" w:eastAsia="en-US"/>
        </w:rPr>
        <w:t>համայնքային</w:t>
      </w:r>
      <w:r w:rsidRPr="00E27F1D">
        <w:rPr>
          <w:b w:val="0"/>
          <w:noProof/>
          <w:szCs w:val="22"/>
          <w:lang w:val="af-ZA" w:eastAsia="en-US"/>
        </w:rPr>
        <w:t xml:space="preserve"> </w:t>
      </w:r>
      <w:r w:rsidRPr="00E27F1D">
        <w:rPr>
          <w:b w:val="0"/>
          <w:noProof/>
          <w:szCs w:val="22"/>
          <w:lang w:val="en-US" w:eastAsia="en-US"/>
        </w:rPr>
        <w:t>մշակույթի</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ազատ</w:t>
      </w:r>
      <w:r w:rsidRPr="00E27F1D">
        <w:rPr>
          <w:b w:val="0"/>
          <w:noProof/>
          <w:szCs w:val="22"/>
          <w:lang w:val="af-ZA" w:eastAsia="en-US"/>
        </w:rPr>
        <w:t xml:space="preserve"> </w:t>
      </w:r>
      <w:r w:rsidRPr="00E27F1D">
        <w:rPr>
          <w:b w:val="0"/>
          <w:noProof/>
          <w:szCs w:val="22"/>
          <w:lang w:val="en-US" w:eastAsia="en-US"/>
        </w:rPr>
        <w:t>ժամանցի</w:t>
      </w:r>
      <w:r w:rsidRPr="00E27F1D">
        <w:rPr>
          <w:b w:val="0"/>
          <w:noProof/>
          <w:szCs w:val="22"/>
          <w:lang w:val="af-ZA" w:eastAsia="en-US"/>
        </w:rPr>
        <w:t xml:space="preserve"> </w:t>
      </w:r>
      <w:r w:rsidRPr="00E27F1D">
        <w:rPr>
          <w:b w:val="0"/>
          <w:noProof/>
          <w:szCs w:val="22"/>
          <w:lang w:val="en-US" w:eastAsia="en-US"/>
        </w:rPr>
        <w:t>կազմակերպմանը</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en-US" w:eastAsia="en-US"/>
        </w:rPr>
        <w:t>Մարզ</w:t>
      </w:r>
      <w:r w:rsidRPr="00E27F1D">
        <w:rPr>
          <w:b w:val="0"/>
          <w:noProof/>
          <w:szCs w:val="22"/>
          <w:lang w:val="hy-AM" w:eastAsia="en-US"/>
        </w:rPr>
        <w:t>երի</w:t>
      </w:r>
      <w:r w:rsidRPr="00E27F1D">
        <w:rPr>
          <w:b w:val="0"/>
          <w:noProof/>
          <w:szCs w:val="22"/>
          <w:lang w:val="af-ZA" w:eastAsia="en-US"/>
        </w:rPr>
        <w:t xml:space="preserve"> </w:t>
      </w:r>
      <w:r w:rsidRPr="00E27F1D">
        <w:rPr>
          <w:b w:val="0"/>
          <w:noProof/>
          <w:szCs w:val="22"/>
          <w:lang w:val="en-US" w:eastAsia="en-US"/>
        </w:rPr>
        <w:t>մշակութային</w:t>
      </w:r>
      <w:r w:rsidRPr="00E27F1D">
        <w:rPr>
          <w:b w:val="0"/>
          <w:noProof/>
          <w:szCs w:val="22"/>
          <w:lang w:val="af-ZA" w:eastAsia="en-US"/>
        </w:rPr>
        <w:t xml:space="preserve"> </w:t>
      </w:r>
      <w:r w:rsidRPr="00E27F1D">
        <w:rPr>
          <w:b w:val="0"/>
          <w:noProof/>
          <w:szCs w:val="22"/>
          <w:lang w:val="en-US" w:eastAsia="en-US"/>
        </w:rPr>
        <w:t>զարգացման</w:t>
      </w:r>
      <w:r w:rsidRPr="00E27F1D">
        <w:rPr>
          <w:b w:val="0"/>
          <w:noProof/>
          <w:szCs w:val="22"/>
          <w:lang w:val="af-ZA" w:eastAsia="en-US"/>
        </w:rPr>
        <w:t xml:space="preserve"> </w:t>
      </w:r>
      <w:r w:rsidRPr="00E27F1D">
        <w:rPr>
          <w:b w:val="0"/>
          <w:noProof/>
          <w:szCs w:val="22"/>
          <w:lang w:val="en-US" w:eastAsia="en-US"/>
        </w:rPr>
        <w:t>ծրագրի</w:t>
      </w:r>
      <w:r w:rsidRPr="00E27F1D">
        <w:rPr>
          <w:b w:val="0"/>
          <w:noProof/>
          <w:szCs w:val="22"/>
          <w:lang w:val="af-ZA" w:eastAsia="en-US"/>
        </w:rPr>
        <w:t xml:space="preserve"> </w:t>
      </w:r>
      <w:r w:rsidRPr="00E27F1D">
        <w:rPr>
          <w:b w:val="0"/>
          <w:noProof/>
          <w:szCs w:val="22"/>
          <w:lang w:val="en-US" w:eastAsia="en-US"/>
        </w:rPr>
        <w:t>համար</w:t>
      </w:r>
      <w:r w:rsidRPr="00E27F1D">
        <w:rPr>
          <w:b w:val="0"/>
          <w:noProof/>
          <w:szCs w:val="22"/>
          <w:lang w:val="af-ZA" w:eastAsia="en-US"/>
        </w:rPr>
        <w:t xml:space="preserve"> </w:t>
      </w:r>
      <w:r w:rsidRPr="00E27F1D">
        <w:rPr>
          <w:b w:val="0"/>
          <w:noProof/>
          <w:szCs w:val="22"/>
          <w:lang w:val="en-US" w:eastAsia="en-US"/>
        </w:rPr>
        <w:t>Նախագծով</w:t>
      </w:r>
      <w:r w:rsidRPr="00E27F1D">
        <w:rPr>
          <w:b w:val="0"/>
          <w:noProof/>
          <w:szCs w:val="22"/>
          <w:lang w:val="af-ZA" w:eastAsia="en-US"/>
        </w:rPr>
        <w:t xml:space="preserve"> </w:t>
      </w:r>
      <w:r w:rsidRPr="00E27F1D">
        <w:rPr>
          <w:b w:val="0"/>
          <w:noProof/>
          <w:szCs w:val="22"/>
          <w:lang w:val="en-US" w:eastAsia="en-US"/>
        </w:rPr>
        <w:t>նախատեսվում</w:t>
      </w:r>
      <w:r w:rsidRPr="00E27F1D">
        <w:rPr>
          <w:b w:val="0"/>
          <w:noProof/>
          <w:szCs w:val="22"/>
          <w:lang w:val="af-ZA" w:eastAsia="en-US"/>
        </w:rPr>
        <w:t xml:space="preserve"> </w:t>
      </w:r>
      <w:r w:rsidRPr="00E27F1D">
        <w:rPr>
          <w:b w:val="0"/>
          <w:noProof/>
          <w:szCs w:val="22"/>
          <w:lang w:val="en-US" w:eastAsia="en-US"/>
        </w:rPr>
        <w:t>է</w:t>
      </w:r>
      <w:r w:rsidRPr="00E27F1D">
        <w:rPr>
          <w:b w:val="0"/>
          <w:noProof/>
          <w:szCs w:val="22"/>
          <w:lang w:val="af-ZA" w:eastAsia="en-US"/>
        </w:rPr>
        <w:t xml:space="preserve"> </w:t>
      </w:r>
      <w:r w:rsidRPr="00E27F1D">
        <w:rPr>
          <w:b w:val="0"/>
          <w:noProof/>
          <w:szCs w:val="22"/>
          <w:lang w:val="en-US" w:eastAsia="en-US"/>
        </w:rPr>
        <w:t>հատկացնել</w:t>
      </w:r>
      <w:r w:rsidRPr="00E27F1D">
        <w:rPr>
          <w:b w:val="0"/>
          <w:noProof/>
          <w:szCs w:val="22"/>
          <w:lang w:val="af-ZA" w:eastAsia="en-US"/>
        </w:rPr>
        <w:t xml:space="preserve"> </w:t>
      </w:r>
      <w:r w:rsidRPr="00E27F1D">
        <w:rPr>
          <w:b w:val="0"/>
          <w:noProof/>
          <w:szCs w:val="22"/>
          <w:lang w:val="hy-AM" w:eastAsia="en-US"/>
        </w:rPr>
        <w:t>79</w:t>
      </w:r>
      <w:r w:rsidRPr="00E27F1D">
        <w:rPr>
          <w:b w:val="0"/>
          <w:noProof/>
          <w:szCs w:val="22"/>
          <w:lang w:val="af-ZA" w:eastAsia="en-US"/>
        </w:rPr>
        <w:t>.</w:t>
      </w:r>
      <w:r w:rsidRPr="00E27F1D">
        <w:rPr>
          <w:b w:val="0"/>
          <w:noProof/>
          <w:szCs w:val="22"/>
          <w:lang w:val="hy-AM" w:eastAsia="en-US"/>
        </w:rPr>
        <w:t>9</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w:t>
      </w:r>
      <w:r w:rsidRPr="00E27F1D">
        <w:rPr>
          <w:b w:val="0"/>
          <w:noProof/>
          <w:szCs w:val="22"/>
          <w:lang w:val="af-ZA" w:eastAsia="en-US"/>
        </w:rPr>
        <w:t xml:space="preserve"> </w:t>
      </w:r>
      <w:r w:rsidRPr="00E27F1D">
        <w:rPr>
          <w:b w:val="0"/>
          <w:noProof/>
          <w:szCs w:val="22"/>
          <w:lang w:val="en-US" w:eastAsia="en-US"/>
        </w:rPr>
        <w:t>ՀՀ</w:t>
      </w:r>
      <w:r w:rsidRPr="00E27F1D">
        <w:rPr>
          <w:b w:val="0"/>
          <w:noProof/>
          <w:szCs w:val="22"/>
          <w:lang w:val="af-ZA" w:eastAsia="en-US"/>
        </w:rPr>
        <w:t xml:space="preserve"> 20</w:t>
      </w:r>
      <w:r w:rsidRPr="00E27F1D">
        <w:rPr>
          <w:b w:val="0"/>
          <w:noProof/>
          <w:szCs w:val="22"/>
          <w:lang w:val="hy-AM" w:eastAsia="en-US"/>
        </w:rPr>
        <w:t>20</w:t>
      </w:r>
      <w:r w:rsidRPr="00E27F1D">
        <w:rPr>
          <w:b w:val="0"/>
          <w:noProof/>
          <w:szCs w:val="22"/>
          <w:lang w:val="af-ZA" w:eastAsia="en-US"/>
        </w:rPr>
        <w:t xml:space="preserve"> </w:t>
      </w:r>
      <w:r w:rsidRPr="00E27F1D">
        <w:rPr>
          <w:b w:val="0"/>
          <w:noProof/>
          <w:szCs w:val="22"/>
          <w:lang w:val="en-US" w:eastAsia="en-US"/>
        </w:rPr>
        <w:t>թվականի</w:t>
      </w:r>
      <w:r w:rsidRPr="00E27F1D">
        <w:rPr>
          <w:b w:val="0"/>
          <w:noProof/>
          <w:szCs w:val="22"/>
          <w:lang w:val="af-ZA" w:eastAsia="en-US"/>
        </w:rPr>
        <w:t xml:space="preserve"> </w:t>
      </w:r>
      <w:r w:rsidRPr="00E27F1D">
        <w:rPr>
          <w:b w:val="0"/>
          <w:noProof/>
          <w:szCs w:val="22"/>
          <w:lang w:val="en-US" w:eastAsia="en-US"/>
        </w:rPr>
        <w:t>պետական</w:t>
      </w:r>
      <w:r w:rsidRPr="00E27F1D">
        <w:rPr>
          <w:b w:val="0"/>
          <w:noProof/>
          <w:szCs w:val="22"/>
          <w:lang w:val="af-ZA" w:eastAsia="en-US"/>
        </w:rPr>
        <w:t xml:space="preserve"> </w:t>
      </w:r>
      <w:r w:rsidRPr="00E27F1D">
        <w:rPr>
          <w:b w:val="0"/>
          <w:noProof/>
          <w:szCs w:val="22"/>
          <w:lang w:val="en-US" w:eastAsia="en-US"/>
        </w:rPr>
        <w:t>բյուջեով</w:t>
      </w:r>
      <w:r w:rsidRPr="00E27F1D">
        <w:rPr>
          <w:b w:val="0"/>
          <w:noProof/>
          <w:szCs w:val="22"/>
          <w:lang w:val="af-ZA" w:eastAsia="en-US"/>
        </w:rPr>
        <w:t xml:space="preserve"> </w:t>
      </w:r>
      <w:r w:rsidRPr="00E27F1D">
        <w:rPr>
          <w:b w:val="0"/>
          <w:noProof/>
          <w:szCs w:val="22"/>
          <w:lang w:val="en-US" w:eastAsia="en-US"/>
        </w:rPr>
        <w:t>հաստատված</w:t>
      </w:r>
      <w:r w:rsidRPr="00E27F1D">
        <w:rPr>
          <w:b w:val="0"/>
          <w:noProof/>
          <w:szCs w:val="22"/>
          <w:lang w:val="af-ZA" w:eastAsia="en-US"/>
        </w:rPr>
        <w:t xml:space="preserve"> </w:t>
      </w:r>
      <w:r w:rsidRPr="00E27F1D">
        <w:rPr>
          <w:b w:val="0"/>
          <w:noProof/>
          <w:szCs w:val="22"/>
          <w:lang w:val="hy-AM" w:eastAsia="en-US"/>
        </w:rPr>
        <w:t>95</w:t>
      </w:r>
      <w:r w:rsidRPr="00E27F1D">
        <w:rPr>
          <w:b w:val="0"/>
          <w:noProof/>
          <w:szCs w:val="22"/>
          <w:lang w:val="af-ZA" w:eastAsia="en-US"/>
        </w:rPr>
        <w:t xml:space="preserve">.7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դրամի</w:t>
      </w:r>
      <w:r w:rsidRPr="00E27F1D">
        <w:rPr>
          <w:b w:val="0"/>
          <w:noProof/>
          <w:szCs w:val="22"/>
          <w:lang w:val="af-ZA" w:eastAsia="en-US"/>
        </w:rPr>
        <w:t xml:space="preserve"> </w:t>
      </w:r>
      <w:r w:rsidRPr="00E27F1D">
        <w:rPr>
          <w:b w:val="0"/>
          <w:noProof/>
          <w:szCs w:val="22"/>
          <w:lang w:val="en-US" w:eastAsia="en-US"/>
        </w:rPr>
        <w:t>դիմաց</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af-ZA" w:eastAsia="en-US"/>
        </w:rPr>
        <w:tab/>
      </w:r>
      <w:r w:rsidRPr="00E27F1D">
        <w:rPr>
          <w:b w:val="0"/>
          <w:noProof/>
          <w:szCs w:val="22"/>
          <w:lang w:val="en-US" w:eastAsia="en-US"/>
        </w:rPr>
        <w:t>Ծախսերը</w:t>
      </w:r>
      <w:r w:rsidRPr="00E27F1D">
        <w:rPr>
          <w:b w:val="0"/>
          <w:noProof/>
          <w:szCs w:val="22"/>
          <w:lang w:val="af-ZA" w:eastAsia="en-US"/>
        </w:rPr>
        <w:t xml:space="preserve"> </w:t>
      </w:r>
      <w:r w:rsidRPr="00E27F1D">
        <w:rPr>
          <w:b w:val="0"/>
          <w:noProof/>
          <w:szCs w:val="22"/>
          <w:lang w:val="en-US" w:eastAsia="en-US"/>
        </w:rPr>
        <w:t>նվազել</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w:t>
      </w:r>
      <w:r w:rsidRPr="00E27F1D">
        <w:rPr>
          <w:b w:val="0"/>
          <w:noProof/>
          <w:szCs w:val="22"/>
          <w:lang w:val="hy-AM" w:eastAsia="en-US"/>
        </w:rPr>
        <w:t>15</w:t>
      </w:r>
      <w:r w:rsidRPr="00E27F1D">
        <w:rPr>
          <w:b w:val="0"/>
          <w:noProof/>
          <w:szCs w:val="22"/>
          <w:lang w:val="af-ZA" w:eastAsia="en-US"/>
        </w:rPr>
        <w:t>.</w:t>
      </w:r>
      <w:r w:rsidRPr="00E27F1D">
        <w:rPr>
          <w:b w:val="0"/>
          <w:noProof/>
          <w:szCs w:val="22"/>
          <w:lang w:val="hy-AM" w:eastAsia="en-US"/>
        </w:rPr>
        <w:t>8</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դրամով</w:t>
      </w:r>
      <w:r w:rsidRPr="00E27F1D">
        <w:rPr>
          <w:b w:val="0"/>
          <w:noProof/>
          <w:szCs w:val="22"/>
          <w:lang w:val="af-ZA" w:eastAsia="en-US"/>
        </w:rPr>
        <w:t xml:space="preserve">, </w:t>
      </w:r>
      <w:r w:rsidRPr="00E27F1D">
        <w:rPr>
          <w:b w:val="0"/>
          <w:noProof/>
          <w:szCs w:val="22"/>
          <w:lang w:val="en-US" w:eastAsia="en-US"/>
        </w:rPr>
        <w:t>կամ</w:t>
      </w:r>
      <w:r w:rsidRPr="00E27F1D">
        <w:rPr>
          <w:b w:val="0"/>
          <w:noProof/>
          <w:szCs w:val="22"/>
          <w:lang w:val="af-ZA" w:eastAsia="en-US"/>
        </w:rPr>
        <w:t xml:space="preserve"> </w:t>
      </w:r>
      <w:r w:rsidRPr="00E27F1D">
        <w:rPr>
          <w:b w:val="0"/>
          <w:noProof/>
          <w:szCs w:val="22"/>
          <w:lang w:val="hy-AM" w:eastAsia="en-US"/>
        </w:rPr>
        <w:t>1</w:t>
      </w:r>
      <w:r w:rsidRPr="00E27F1D">
        <w:rPr>
          <w:b w:val="0"/>
          <w:noProof/>
          <w:szCs w:val="22"/>
          <w:lang w:val="af-ZA" w:eastAsia="en-US"/>
        </w:rPr>
        <w:t>6.</w:t>
      </w:r>
      <w:r w:rsidRPr="00E27F1D">
        <w:rPr>
          <w:b w:val="0"/>
          <w:noProof/>
          <w:szCs w:val="22"/>
          <w:lang w:val="hy-AM" w:eastAsia="en-US"/>
        </w:rPr>
        <w:t>5</w:t>
      </w:r>
      <w:r w:rsidRPr="00E27F1D">
        <w:rPr>
          <w:b w:val="0"/>
          <w:noProof/>
          <w:szCs w:val="22"/>
          <w:lang w:val="af-ZA" w:eastAsia="en-US"/>
        </w:rPr>
        <w:t xml:space="preserve"> %-</w:t>
      </w:r>
      <w:r w:rsidRPr="00E27F1D">
        <w:rPr>
          <w:b w:val="0"/>
          <w:noProof/>
          <w:szCs w:val="22"/>
          <w:lang w:val="en-US" w:eastAsia="en-US"/>
        </w:rPr>
        <w:t>ով</w:t>
      </w:r>
      <w:r w:rsidRPr="00E27F1D">
        <w:rPr>
          <w:b w:val="0"/>
          <w:noProof/>
          <w:szCs w:val="22"/>
          <w:lang w:val="af-ZA" w:eastAsia="en-US"/>
        </w:rPr>
        <w:t xml:space="preserve">, </w:t>
      </w:r>
      <w:r w:rsidRPr="00E27F1D">
        <w:rPr>
          <w:b w:val="0"/>
          <w:noProof/>
          <w:szCs w:val="22"/>
          <w:lang w:val="en-US" w:eastAsia="en-US"/>
        </w:rPr>
        <w:t>որը</w:t>
      </w:r>
      <w:r w:rsidRPr="00E27F1D">
        <w:rPr>
          <w:b w:val="0"/>
          <w:noProof/>
          <w:szCs w:val="22"/>
          <w:lang w:val="af-ZA" w:eastAsia="en-US"/>
        </w:rPr>
        <w:t xml:space="preserve"> </w:t>
      </w:r>
      <w:r w:rsidRPr="00E27F1D">
        <w:rPr>
          <w:b w:val="0"/>
          <w:noProof/>
          <w:szCs w:val="22"/>
          <w:lang w:val="en-US" w:eastAsia="en-US"/>
        </w:rPr>
        <w:t>պայմանավորված</w:t>
      </w:r>
      <w:r w:rsidRPr="00E27F1D">
        <w:rPr>
          <w:b w:val="0"/>
          <w:noProof/>
          <w:szCs w:val="22"/>
          <w:lang w:val="af-ZA" w:eastAsia="en-US"/>
        </w:rPr>
        <w:t xml:space="preserve"> </w:t>
      </w:r>
      <w:r w:rsidRPr="00E27F1D">
        <w:rPr>
          <w:b w:val="0"/>
          <w:noProof/>
          <w:szCs w:val="22"/>
          <w:lang w:val="en-US" w:eastAsia="en-US"/>
        </w:rPr>
        <w:t>է</w:t>
      </w:r>
      <w:r w:rsidRPr="00E27F1D">
        <w:rPr>
          <w:b w:val="0"/>
          <w:noProof/>
          <w:szCs w:val="22"/>
          <w:lang w:val="hy-AM" w:eastAsia="en-US"/>
        </w:rPr>
        <w:t xml:space="preserve"> ծախսային գերակայություններով, առաջնահերթություններով</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af-ZA" w:eastAsia="en-US"/>
        </w:rPr>
        <w:tab/>
      </w:r>
      <w:r w:rsidRPr="00E27F1D">
        <w:rPr>
          <w:noProof/>
          <w:szCs w:val="22"/>
          <w:lang w:val="en-US" w:eastAsia="en-US"/>
        </w:rPr>
        <w:t>Մշակութային</w:t>
      </w:r>
      <w:r w:rsidRPr="00E27F1D">
        <w:rPr>
          <w:noProof/>
          <w:szCs w:val="22"/>
          <w:lang w:val="af-ZA" w:eastAsia="en-US"/>
        </w:rPr>
        <w:t xml:space="preserve"> </w:t>
      </w:r>
      <w:r w:rsidRPr="00E27F1D">
        <w:rPr>
          <w:noProof/>
          <w:szCs w:val="22"/>
          <w:lang w:val="en-US" w:eastAsia="en-US"/>
        </w:rPr>
        <w:t>և</w:t>
      </w:r>
      <w:r w:rsidRPr="00E27F1D">
        <w:rPr>
          <w:noProof/>
          <w:szCs w:val="22"/>
          <w:lang w:val="af-ZA" w:eastAsia="en-US"/>
        </w:rPr>
        <w:t xml:space="preserve"> </w:t>
      </w:r>
      <w:r w:rsidRPr="00E27F1D">
        <w:rPr>
          <w:noProof/>
          <w:szCs w:val="22"/>
          <w:lang w:val="en-US" w:eastAsia="en-US"/>
        </w:rPr>
        <w:t>գեղագիտական</w:t>
      </w:r>
      <w:r w:rsidRPr="00E27F1D">
        <w:rPr>
          <w:noProof/>
          <w:szCs w:val="22"/>
          <w:lang w:val="af-ZA" w:eastAsia="en-US"/>
        </w:rPr>
        <w:t xml:space="preserve"> </w:t>
      </w:r>
      <w:r w:rsidRPr="00E27F1D">
        <w:rPr>
          <w:noProof/>
          <w:szCs w:val="22"/>
          <w:lang w:val="en-US" w:eastAsia="en-US"/>
        </w:rPr>
        <w:t>դաստիարակություն</w:t>
      </w:r>
      <w:r w:rsidRPr="00E27F1D">
        <w:rPr>
          <w:b w:val="0"/>
          <w:noProof/>
          <w:szCs w:val="22"/>
          <w:lang w:val="af-ZA" w:eastAsia="en-US"/>
        </w:rPr>
        <w:t xml:space="preserve"> </w:t>
      </w:r>
      <w:r w:rsidRPr="00E27F1D">
        <w:rPr>
          <w:b w:val="0"/>
          <w:noProof/>
          <w:szCs w:val="22"/>
          <w:lang w:val="en-US" w:eastAsia="en-US"/>
        </w:rPr>
        <w:t>ծրագր</w:t>
      </w:r>
      <w:r w:rsidRPr="00E27F1D">
        <w:rPr>
          <w:b w:val="0"/>
          <w:noProof/>
          <w:szCs w:val="22"/>
          <w:lang w:val="hy-AM" w:eastAsia="en-US"/>
        </w:rPr>
        <w:t>ի</w:t>
      </w:r>
      <w:r w:rsidRPr="00E27F1D">
        <w:rPr>
          <w:b w:val="0"/>
          <w:noProof/>
          <w:szCs w:val="22"/>
          <w:lang w:val="af-ZA" w:eastAsia="en-US"/>
        </w:rPr>
        <w:t xml:space="preserve"> </w:t>
      </w:r>
      <w:r w:rsidRPr="00E27F1D">
        <w:rPr>
          <w:b w:val="0"/>
          <w:noProof/>
          <w:szCs w:val="22"/>
          <w:lang w:val="en-US" w:eastAsia="en-US"/>
        </w:rPr>
        <w:t>նպատակ</w:t>
      </w:r>
      <w:r w:rsidRPr="00E27F1D">
        <w:rPr>
          <w:b w:val="0"/>
          <w:noProof/>
          <w:szCs w:val="22"/>
          <w:lang w:val="hy-AM" w:eastAsia="en-US"/>
        </w:rPr>
        <w:t>ը՝</w:t>
      </w:r>
      <w:r w:rsidRPr="00E27F1D">
        <w:rPr>
          <w:b w:val="0"/>
          <w:noProof/>
          <w:szCs w:val="22"/>
          <w:lang w:val="af-ZA" w:eastAsia="en-US"/>
        </w:rPr>
        <w:t xml:space="preserve"> </w:t>
      </w:r>
      <w:r w:rsidRPr="00E27F1D">
        <w:rPr>
          <w:b w:val="0"/>
          <w:noProof/>
          <w:szCs w:val="22"/>
          <w:lang w:val="en-US" w:eastAsia="en-US"/>
        </w:rPr>
        <w:t>նպաստել</w:t>
      </w:r>
      <w:r w:rsidRPr="00E27F1D">
        <w:rPr>
          <w:b w:val="0"/>
          <w:noProof/>
          <w:szCs w:val="22"/>
          <w:lang w:val="af-ZA" w:eastAsia="en-US"/>
        </w:rPr>
        <w:t xml:space="preserve"> </w:t>
      </w:r>
      <w:r w:rsidRPr="00E27F1D">
        <w:rPr>
          <w:b w:val="0"/>
          <w:noProof/>
          <w:szCs w:val="22"/>
          <w:lang w:val="en-US" w:eastAsia="en-US"/>
        </w:rPr>
        <w:t>երեխաների</w:t>
      </w:r>
      <w:r w:rsidRPr="00E27F1D">
        <w:rPr>
          <w:b w:val="0"/>
          <w:noProof/>
          <w:szCs w:val="22"/>
          <w:lang w:val="af-ZA" w:eastAsia="en-US"/>
        </w:rPr>
        <w:t xml:space="preserve"> </w:t>
      </w:r>
      <w:r w:rsidRPr="00E27F1D">
        <w:rPr>
          <w:b w:val="0"/>
          <w:noProof/>
          <w:szCs w:val="22"/>
          <w:lang w:val="en-US" w:eastAsia="en-US"/>
        </w:rPr>
        <w:t>հոգևոր</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գեղագիտական</w:t>
      </w:r>
      <w:r w:rsidRPr="00E27F1D">
        <w:rPr>
          <w:b w:val="0"/>
          <w:noProof/>
          <w:szCs w:val="22"/>
          <w:lang w:val="af-ZA" w:eastAsia="en-US"/>
        </w:rPr>
        <w:t xml:space="preserve"> </w:t>
      </w:r>
      <w:r w:rsidRPr="00E27F1D">
        <w:rPr>
          <w:b w:val="0"/>
          <w:noProof/>
          <w:szCs w:val="22"/>
          <w:lang w:val="en-US" w:eastAsia="en-US"/>
        </w:rPr>
        <w:t>ընդունակությունների</w:t>
      </w:r>
      <w:r w:rsidRPr="00E27F1D">
        <w:rPr>
          <w:b w:val="0"/>
          <w:noProof/>
          <w:szCs w:val="22"/>
          <w:lang w:val="af-ZA" w:eastAsia="en-US"/>
        </w:rPr>
        <w:t xml:space="preserve"> </w:t>
      </w:r>
      <w:r w:rsidRPr="00E27F1D">
        <w:rPr>
          <w:b w:val="0"/>
          <w:noProof/>
          <w:szCs w:val="22"/>
          <w:lang w:val="en-US" w:eastAsia="en-US"/>
        </w:rPr>
        <w:t>բացահայտմանը</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զարգացմանը</w:t>
      </w:r>
      <w:r w:rsidRPr="00E27F1D">
        <w:rPr>
          <w:b w:val="0"/>
          <w:noProof/>
          <w:szCs w:val="22"/>
          <w:lang w:val="af-ZA" w:eastAsia="en-US"/>
        </w:rPr>
        <w:t xml:space="preserve"> </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en-US" w:eastAsia="en-US"/>
        </w:rPr>
        <w:t>Նախագծով</w:t>
      </w:r>
      <w:r w:rsidRPr="00E27F1D">
        <w:rPr>
          <w:b w:val="0"/>
          <w:noProof/>
          <w:szCs w:val="22"/>
          <w:lang w:val="af-ZA" w:eastAsia="en-US"/>
        </w:rPr>
        <w:t xml:space="preserve"> </w:t>
      </w:r>
      <w:r w:rsidRPr="00E27F1D">
        <w:rPr>
          <w:b w:val="0"/>
          <w:noProof/>
          <w:szCs w:val="22"/>
          <w:lang w:val="en-US" w:eastAsia="en-US"/>
        </w:rPr>
        <w:t>նախատեսվում</w:t>
      </w:r>
      <w:r w:rsidRPr="00E27F1D">
        <w:rPr>
          <w:b w:val="0"/>
          <w:noProof/>
          <w:szCs w:val="22"/>
          <w:lang w:val="af-ZA" w:eastAsia="en-US"/>
        </w:rPr>
        <w:t xml:space="preserve"> </w:t>
      </w:r>
      <w:r w:rsidRPr="00E27F1D">
        <w:rPr>
          <w:b w:val="0"/>
          <w:noProof/>
          <w:szCs w:val="22"/>
          <w:lang w:val="en-US" w:eastAsia="en-US"/>
        </w:rPr>
        <w:t>է</w:t>
      </w:r>
      <w:r w:rsidRPr="00E27F1D">
        <w:rPr>
          <w:b w:val="0"/>
          <w:noProof/>
          <w:szCs w:val="22"/>
          <w:lang w:val="af-ZA" w:eastAsia="en-US"/>
        </w:rPr>
        <w:t xml:space="preserve"> </w:t>
      </w:r>
      <w:r w:rsidRPr="00E27F1D">
        <w:rPr>
          <w:b w:val="0"/>
          <w:noProof/>
          <w:szCs w:val="22"/>
          <w:lang w:val="en-US" w:eastAsia="en-US"/>
        </w:rPr>
        <w:t>հատկացնել</w:t>
      </w:r>
      <w:r w:rsidRPr="00E27F1D">
        <w:rPr>
          <w:b w:val="0"/>
          <w:noProof/>
          <w:szCs w:val="22"/>
          <w:lang w:val="af-ZA" w:eastAsia="en-US"/>
        </w:rPr>
        <w:t xml:space="preserve"> 6</w:t>
      </w:r>
      <w:r w:rsidRPr="00E27F1D">
        <w:rPr>
          <w:b w:val="0"/>
          <w:noProof/>
          <w:szCs w:val="22"/>
          <w:lang w:val="hy-AM" w:eastAsia="en-US"/>
        </w:rPr>
        <w:t>08</w:t>
      </w:r>
      <w:r w:rsidRPr="00E27F1D">
        <w:rPr>
          <w:b w:val="0"/>
          <w:noProof/>
          <w:szCs w:val="22"/>
          <w:lang w:val="af-ZA" w:eastAsia="en-US"/>
        </w:rPr>
        <w:t>.</w:t>
      </w:r>
      <w:r w:rsidRPr="00E27F1D">
        <w:rPr>
          <w:b w:val="0"/>
          <w:noProof/>
          <w:szCs w:val="22"/>
          <w:lang w:val="hy-AM" w:eastAsia="en-US"/>
        </w:rPr>
        <w:t>1</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w:t>
      </w:r>
      <w:r w:rsidRPr="00E27F1D">
        <w:rPr>
          <w:b w:val="0"/>
          <w:noProof/>
          <w:szCs w:val="22"/>
          <w:lang w:val="af-ZA" w:eastAsia="en-US"/>
        </w:rPr>
        <w:t xml:space="preserve"> </w:t>
      </w:r>
      <w:r w:rsidRPr="00E27F1D">
        <w:rPr>
          <w:b w:val="0"/>
          <w:noProof/>
          <w:szCs w:val="22"/>
          <w:lang w:val="en-US" w:eastAsia="en-US"/>
        </w:rPr>
        <w:t>ՀՀ</w:t>
      </w:r>
      <w:r w:rsidRPr="00E27F1D">
        <w:rPr>
          <w:b w:val="0"/>
          <w:noProof/>
          <w:szCs w:val="22"/>
          <w:lang w:val="af-ZA" w:eastAsia="en-US"/>
        </w:rPr>
        <w:t xml:space="preserve"> 20</w:t>
      </w:r>
      <w:r w:rsidRPr="00E27F1D">
        <w:rPr>
          <w:b w:val="0"/>
          <w:noProof/>
          <w:szCs w:val="22"/>
          <w:lang w:val="hy-AM" w:eastAsia="en-US"/>
        </w:rPr>
        <w:t>20</w:t>
      </w:r>
      <w:r w:rsidRPr="00E27F1D">
        <w:rPr>
          <w:b w:val="0"/>
          <w:noProof/>
          <w:szCs w:val="22"/>
          <w:lang w:val="af-ZA" w:eastAsia="en-US"/>
        </w:rPr>
        <w:t xml:space="preserve"> </w:t>
      </w:r>
      <w:r w:rsidRPr="00E27F1D">
        <w:rPr>
          <w:b w:val="0"/>
          <w:noProof/>
          <w:szCs w:val="22"/>
          <w:lang w:val="en-US" w:eastAsia="en-US"/>
        </w:rPr>
        <w:t>թվականի</w:t>
      </w:r>
      <w:r w:rsidRPr="00E27F1D">
        <w:rPr>
          <w:b w:val="0"/>
          <w:noProof/>
          <w:szCs w:val="22"/>
          <w:lang w:val="af-ZA" w:eastAsia="en-US"/>
        </w:rPr>
        <w:t xml:space="preserve"> </w:t>
      </w:r>
      <w:r w:rsidRPr="00E27F1D">
        <w:rPr>
          <w:b w:val="0"/>
          <w:noProof/>
          <w:szCs w:val="22"/>
          <w:lang w:val="en-US" w:eastAsia="en-US"/>
        </w:rPr>
        <w:t>պետական</w:t>
      </w:r>
      <w:r w:rsidRPr="00E27F1D">
        <w:rPr>
          <w:b w:val="0"/>
          <w:noProof/>
          <w:szCs w:val="22"/>
          <w:lang w:val="af-ZA" w:eastAsia="en-US"/>
        </w:rPr>
        <w:t xml:space="preserve"> </w:t>
      </w:r>
      <w:r w:rsidRPr="00E27F1D">
        <w:rPr>
          <w:b w:val="0"/>
          <w:noProof/>
          <w:szCs w:val="22"/>
          <w:lang w:val="en-US" w:eastAsia="en-US"/>
        </w:rPr>
        <w:t>բյուջեով</w:t>
      </w:r>
      <w:r w:rsidRPr="00E27F1D">
        <w:rPr>
          <w:b w:val="0"/>
          <w:noProof/>
          <w:szCs w:val="22"/>
          <w:lang w:val="af-ZA" w:eastAsia="en-US"/>
        </w:rPr>
        <w:t xml:space="preserve"> </w:t>
      </w:r>
      <w:r w:rsidRPr="00E27F1D">
        <w:rPr>
          <w:b w:val="0"/>
          <w:noProof/>
          <w:szCs w:val="22"/>
          <w:lang w:val="en-US" w:eastAsia="en-US"/>
        </w:rPr>
        <w:t>հաստատված</w:t>
      </w:r>
      <w:r w:rsidRPr="00E27F1D">
        <w:rPr>
          <w:b w:val="0"/>
          <w:noProof/>
          <w:szCs w:val="22"/>
          <w:lang w:val="af-ZA" w:eastAsia="en-US"/>
        </w:rPr>
        <w:t xml:space="preserve"> </w:t>
      </w:r>
      <w:r w:rsidRPr="00E27F1D">
        <w:rPr>
          <w:b w:val="0"/>
          <w:noProof/>
          <w:szCs w:val="22"/>
          <w:lang w:val="hy-AM" w:eastAsia="en-US"/>
        </w:rPr>
        <w:t>666</w:t>
      </w:r>
      <w:r w:rsidRPr="00E27F1D">
        <w:rPr>
          <w:b w:val="0"/>
          <w:noProof/>
          <w:szCs w:val="22"/>
          <w:lang w:val="af-ZA" w:eastAsia="en-US"/>
        </w:rPr>
        <w:t>.</w:t>
      </w:r>
      <w:r w:rsidRPr="00E27F1D">
        <w:rPr>
          <w:b w:val="0"/>
          <w:noProof/>
          <w:szCs w:val="22"/>
          <w:lang w:val="hy-AM" w:eastAsia="en-US"/>
        </w:rPr>
        <w:t>4</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դրամի</w:t>
      </w:r>
      <w:r w:rsidRPr="00E27F1D">
        <w:rPr>
          <w:b w:val="0"/>
          <w:noProof/>
          <w:szCs w:val="22"/>
          <w:lang w:val="af-ZA" w:eastAsia="en-US"/>
        </w:rPr>
        <w:t xml:space="preserve"> </w:t>
      </w:r>
      <w:r w:rsidRPr="00E27F1D">
        <w:rPr>
          <w:b w:val="0"/>
          <w:noProof/>
          <w:szCs w:val="22"/>
          <w:lang w:val="en-US" w:eastAsia="en-US"/>
        </w:rPr>
        <w:t>դիմաց</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en-US" w:eastAsia="en-US"/>
        </w:rPr>
        <w:t>Ծախսերը</w:t>
      </w:r>
      <w:r w:rsidRPr="00E27F1D">
        <w:rPr>
          <w:b w:val="0"/>
          <w:noProof/>
          <w:szCs w:val="22"/>
          <w:lang w:val="af-ZA" w:eastAsia="en-US"/>
        </w:rPr>
        <w:t xml:space="preserve"> </w:t>
      </w:r>
      <w:r w:rsidRPr="00E27F1D">
        <w:rPr>
          <w:b w:val="0"/>
          <w:noProof/>
          <w:szCs w:val="22"/>
          <w:lang w:val="en-US" w:eastAsia="en-US"/>
        </w:rPr>
        <w:t>նվազել</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w:t>
      </w:r>
      <w:r w:rsidRPr="00E27F1D">
        <w:rPr>
          <w:b w:val="0"/>
          <w:noProof/>
          <w:szCs w:val="22"/>
          <w:lang w:val="hy-AM" w:eastAsia="en-US"/>
        </w:rPr>
        <w:t>58</w:t>
      </w:r>
      <w:r w:rsidRPr="00E27F1D">
        <w:rPr>
          <w:b w:val="0"/>
          <w:noProof/>
          <w:szCs w:val="22"/>
          <w:lang w:val="af-ZA" w:eastAsia="en-US"/>
        </w:rPr>
        <w:t>.</w:t>
      </w:r>
      <w:r w:rsidRPr="00E27F1D">
        <w:rPr>
          <w:b w:val="0"/>
          <w:noProof/>
          <w:szCs w:val="22"/>
          <w:lang w:val="hy-AM" w:eastAsia="en-US"/>
        </w:rPr>
        <w:t>3</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դրամով</w:t>
      </w:r>
      <w:r w:rsidRPr="00E27F1D">
        <w:rPr>
          <w:b w:val="0"/>
          <w:noProof/>
          <w:szCs w:val="22"/>
          <w:lang w:val="af-ZA" w:eastAsia="en-US"/>
        </w:rPr>
        <w:t xml:space="preserve">, </w:t>
      </w:r>
      <w:r w:rsidRPr="00E27F1D">
        <w:rPr>
          <w:b w:val="0"/>
          <w:noProof/>
          <w:szCs w:val="22"/>
          <w:lang w:val="en-US" w:eastAsia="en-US"/>
        </w:rPr>
        <w:t>կամ</w:t>
      </w:r>
      <w:r w:rsidRPr="00E27F1D">
        <w:rPr>
          <w:b w:val="0"/>
          <w:noProof/>
          <w:szCs w:val="22"/>
          <w:lang w:val="af-ZA" w:eastAsia="en-US"/>
        </w:rPr>
        <w:t xml:space="preserve"> </w:t>
      </w:r>
      <w:r w:rsidRPr="00E27F1D">
        <w:rPr>
          <w:b w:val="0"/>
          <w:noProof/>
          <w:szCs w:val="22"/>
          <w:lang w:val="hy-AM" w:eastAsia="en-US"/>
        </w:rPr>
        <w:t>8</w:t>
      </w:r>
      <w:r w:rsidRPr="00E27F1D">
        <w:rPr>
          <w:b w:val="0"/>
          <w:noProof/>
          <w:szCs w:val="22"/>
          <w:lang w:val="af-ZA" w:eastAsia="en-US"/>
        </w:rPr>
        <w:t>.</w:t>
      </w:r>
      <w:r w:rsidRPr="00E27F1D">
        <w:rPr>
          <w:b w:val="0"/>
          <w:noProof/>
          <w:szCs w:val="22"/>
          <w:lang w:val="hy-AM" w:eastAsia="en-US"/>
        </w:rPr>
        <w:t>7</w:t>
      </w:r>
      <w:r w:rsidRPr="00E27F1D">
        <w:rPr>
          <w:b w:val="0"/>
          <w:noProof/>
          <w:szCs w:val="22"/>
          <w:lang w:val="af-ZA" w:eastAsia="en-US"/>
        </w:rPr>
        <w:t xml:space="preserve"> %-</w:t>
      </w:r>
      <w:r w:rsidRPr="00E27F1D">
        <w:rPr>
          <w:b w:val="0"/>
          <w:noProof/>
          <w:szCs w:val="22"/>
          <w:lang w:val="en-US" w:eastAsia="en-US"/>
        </w:rPr>
        <w:t>ով</w:t>
      </w:r>
      <w:r w:rsidRPr="00E27F1D">
        <w:rPr>
          <w:b w:val="0"/>
          <w:noProof/>
          <w:szCs w:val="22"/>
          <w:lang w:val="af-ZA" w:eastAsia="en-US"/>
        </w:rPr>
        <w:t xml:space="preserve">, </w:t>
      </w:r>
      <w:r w:rsidRPr="00E27F1D">
        <w:rPr>
          <w:b w:val="0"/>
          <w:noProof/>
          <w:szCs w:val="22"/>
          <w:lang w:val="en-US" w:eastAsia="en-US"/>
        </w:rPr>
        <w:t>որը</w:t>
      </w:r>
      <w:r w:rsidRPr="00E27F1D">
        <w:rPr>
          <w:b w:val="0"/>
          <w:noProof/>
          <w:szCs w:val="22"/>
          <w:lang w:val="af-ZA" w:eastAsia="en-US"/>
        </w:rPr>
        <w:t xml:space="preserve"> </w:t>
      </w:r>
      <w:r w:rsidRPr="00E27F1D">
        <w:rPr>
          <w:b w:val="0"/>
          <w:noProof/>
          <w:szCs w:val="22"/>
          <w:lang w:val="en-US" w:eastAsia="en-US"/>
        </w:rPr>
        <w:t>պայմանավորված</w:t>
      </w:r>
      <w:r w:rsidRPr="00E27F1D">
        <w:rPr>
          <w:b w:val="0"/>
          <w:noProof/>
          <w:szCs w:val="22"/>
          <w:lang w:val="af-ZA" w:eastAsia="en-US"/>
        </w:rPr>
        <w:t xml:space="preserve"> </w:t>
      </w:r>
      <w:r w:rsidRPr="00E27F1D">
        <w:rPr>
          <w:b w:val="0"/>
          <w:noProof/>
          <w:szCs w:val="22"/>
          <w:lang w:val="en-US" w:eastAsia="en-US"/>
        </w:rPr>
        <w:t>է</w:t>
      </w:r>
      <w:r w:rsidRPr="00E27F1D">
        <w:rPr>
          <w:b w:val="0"/>
          <w:noProof/>
          <w:szCs w:val="22"/>
          <w:lang w:val="hy-AM" w:eastAsia="en-US"/>
        </w:rPr>
        <w:t xml:space="preserve"> ծախսային գերակայություններով, առաջնահերթություններով</w:t>
      </w:r>
      <w:r w:rsidRPr="00E27F1D">
        <w:rPr>
          <w:b w:val="0"/>
          <w:noProof/>
          <w:szCs w:val="22"/>
          <w:lang w:val="af-ZA" w:eastAsia="en-US"/>
        </w:rPr>
        <w:t>:</w:t>
      </w:r>
    </w:p>
    <w:p w:rsidR="00E27F1D" w:rsidRPr="00E27F1D" w:rsidRDefault="00E27F1D" w:rsidP="007730AA">
      <w:pPr>
        <w:spacing w:before="0" w:line="276" w:lineRule="auto"/>
        <w:ind w:firstLine="0"/>
        <w:rPr>
          <w:b w:val="0"/>
          <w:lang w:val="af-ZA"/>
        </w:rPr>
      </w:pPr>
      <w:r w:rsidRPr="00E27F1D">
        <w:rPr>
          <w:b w:val="0"/>
          <w:color w:val="000000"/>
          <w:lang w:val="hy-AM" w:eastAsia="en-US"/>
        </w:rPr>
        <w:t>ՀՀ կրթության</w:t>
      </w:r>
      <w:r w:rsidRPr="00E27F1D">
        <w:rPr>
          <w:b w:val="0"/>
          <w:color w:val="000000"/>
          <w:lang w:val="af-ZA" w:eastAsia="en-US"/>
        </w:rPr>
        <w:t xml:space="preserve">, </w:t>
      </w:r>
      <w:r w:rsidRPr="00E27F1D">
        <w:rPr>
          <w:b w:val="0"/>
          <w:color w:val="000000"/>
          <w:lang w:val="hy-AM" w:eastAsia="en-US"/>
        </w:rPr>
        <w:t>գիտության</w:t>
      </w:r>
      <w:r w:rsidRPr="00E27F1D">
        <w:rPr>
          <w:b w:val="0"/>
          <w:color w:val="000000"/>
          <w:lang w:val="af-ZA" w:eastAsia="en-US"/>
        </w:rPr>
        <w:t xml:space="preserve">, </w:t>
      </w:r>
      <w:r w:rsidRPr="00E27F1D">
        <w:rPr>
          <w:b w:val="0"/>
          <w:color w:val="000000"/>
          <w:lang w:val="hy-AM" w:eastAsia="en-US"/>
        </w:rPr>
        <w:t>մշակույթի</w:t>
      </w:r>
      <w:r w:rsidRPr="00E27F1D">
        <w:rPr>
          <w:b w:val="0"/>
          <w:color w:val="000000"/>
          <w:lang w:val="af-ZA" w:eastAsia="en-US"/>
        </w:rPr>
        <w:t xml:space="preserve"> </w:t>
      </w:r>
      <w:r w:rsidRPr="00E27F1D">
        <w:rPr>
          <w:b w:val="0"/>
          <w:color w:val="000000"/>
          <w:lang w:val="hy-AM" w:eastAsia="en-US"/>
        </w:rPr>
        <w:t>և</w:t>
      </w:r>
      <w:r w:rsidRPr="00E27F1D">
        <w:rPr>
          <w:b w:val="0"/>
          <w:color w:val="000000"/>
          <w:lang w:val="af-ZA" w:eastAsia="en-US"/>
        </w:rPr>
        <w:t xml:space="preserve"> </w:t>
      </w:r>
      <w:r w:rsidRPr="00E27F1D">
        <w:rPr>
          <w:b w:val="0"/>
          <w:color w:val="000000"/>
          <w:lang w:val="hy-AM" w:eastAsia="en-US"/>
        </w:rPr>
        <w:t>սպորտի նախարարության մշակույթի ոլորտի</w:t>
      </w:r>
      <w:r w:rsidRPr="00E27F1D">
        <w:rPr>
          <w:b w:val="0"/>
          <w:color w:val="000000"/>
          <w:lang w:val="af-ZA" w:eastAsia="en-US"/>
        </w:rPr>
        <w:t xml:space="preserve"> </w:t>
      </w:r>
      <w:r w:rsidRPr="00E27F1D">
        <w:rPr>
          <w:b w:val="0"/>
          <w:color w:val="000000"/>
          <w:lang w:val="hy-AM" w:eastAsia="en-US"/>
        </w:rPr>
        <w:t>գծով</w:t>
      </w:r>
      <w:r w:rsidRPr="00E27F1D">
        <w:rPr>
          <w:b w:val="0"/>
          <w:color w:val="000000"/>
          <w:lang w:val="af-ZA" w:eastAsia="en-US"/>
        </w:rPr>
        <w:t xml:space="preserve"> </w:t>
      </w:r>
      <w:r w:rsidRPr="00E27F1D">
        <w:rPr>
          <w:b w:val="0"/>
          <w:lang w:val="af-ZA"/>
        </w:rPr>
        <w:t>202</w:t>
      </w:r>
      <w:r w:rsidRPr="00E27F1D">
        <w:rPr>
          <w:b w:val="0"/>
          <w:lang w:val="hy-AM"/>
        </w:rPr>
        <w:t>1</w:t>
      </w:r>
      <w:r w:rsidRPr="00E27F1D">
        <w:rPr>
          <w:b w:val="0"/>
          <w:lang w:val="af-ZA"/>
        </w:rPr>
        <w:t xml:space="preserve"> </w:t>
      </w:r>
      <w:r w:rsidRPr="00E27F1D">
        <w:rPr>
          <w:b w:val="0"/>
          <w:lang w:val="hy-AM"/>
        </w:rPr>
        <w:t>թվականի</w:t>
      </w:r>
      <w:r w:rsidRPr="00E27F1D">
        <w:rPr>
          <w:b w:val="0"/>
          <w:lang w:val="af-ZA"/>
        </w:rPr>
        <w:t xml:space="preserve"> </w:t>
      </w:r>
      <w:r w:rsidRPr="00E27F1D">
        <w:rPr>
          <w:b w:val="0"/>
          <w:lang w:val="hy-AM"/>
        </w:rPr>
        <w:t>բյուջետային</w:t>
      </w:r>
      <w:r w:rsidRPr="00E27F1D">
        <w:rPr>
          <w:b w:val="0"/>
          <w:lang w:val="af-ZA"/>
        </w:rPr>
        <w:t xml:space="preserve"> </w:t>
      </w:r>
      <w:r w:rsidRPr="00E27F1D">
        <w:rPr>
          <w:b w:val="0"/>
          <w:lang w:val="hy-AM"/>
        </w:rPr>
        <w:t>ծախսերի</w:t>
      </w:r>
      <w:r w:rsidRPr="00E27F1D">
        <w:rPr>
          <w:b w:val="0"/>
          <w:lang w:val="af-ZA"/>
        </w:rPr>
        <w:t xml:space="preserve"> </w:t>
      </w:r>
      <w:r w:rsidRPr="00E27F1D">
        <w:rPr>
          <w:b w:val="0"/>
          <w:lang w:val="hy-AM"/>
        </w:rPr>
        <w:t>համեմատությունը</w:t>
      </w:r>
      <w:r w:rsidRPr="00E27F1D">
        <w:rPr>
          <w:b w:val="0"/>
          <w:lang w:val="af-ZA"/>
        </w:rPr>
        <w:t xml:space="preserve"> 201</w:t>
      </w:r>
      <w:r w:rsidRPr="00E27F1D">
        <w:rPr>
          <w:b w:val="0"/>
          <w:lang w:val="hy-AM"/>
        </w:rPr>
        <w:t>9</w:t>
      </w:r>
      <w:r w:rsidRPr="00E27F1D">
        <w:rPr>
          <w:b w:val="0"/>
          <w:lang w:val="af-ZA"/>
        </w:rPr>
        <w:t>-20</w:t>
      </w:r>
      <w:r w:rsidRPr="00E27F1D">
        <w:rPr>
          <w:b w:val="0"/>
          <w:lang w:val="hy-AM"/>
        </w:rPr>
        <w:t>20</w:t>
      </w:r>
      <w:r w:rsidRPr="00E27F1D">
        <w:rPr>
          <w:b w:val="0"/>
          <w:lang w:val="af-ZA"/>
        </w:rPr>
        <w:t xml:space="preserve"> </w:t>
      </w:r>
      <w:r w:rsidRPr="00E27F1D">
        <w:rPr>
          <w:b w:val="0"/>
          <w:lang w:val="hy-AM"/>
        </w:rPr>
        <w:t>թվականների</w:t>
      </w:r>
      <w:r w:rsidRPr="00E27F1D">
        <w:rPr>
          <w:b w:val="0"/>
          <w:lang w:val="af-ZA"/>
        </w:rPr>
        <w:t xml:space="preserve"> </w:t>
      </w:r>
      <w:r w:rsidRPr="00E27F1D">
        <w:rPr>
          <w:b w:val="0"/>
          <w:lang w:val="hy-AM"/>
        </w:rPr>
        <w:t>ցուցանիշների</w:t>
      </w:r>
      <w:r w:rsidRPr="00E27F1D">
        <w:rPr>
          <w:b w:val="0"/>
          <w:lang w:val="af-ZA"/>
        </w:rPr>
        <w:t xml:space="preserve"> </w:t>
      </w:r>
      <w:r w:rsidRPr="00E27F1D">
        <w:rPr>
          <w:b w:val="0"/>
          <w:lang w:val="hy-AM"/>
        </w:rPr>
        <w:t>հետ</w:t>
      </w:r>
      <w:r w:rsidRPr="00E27F1D">
        <w:rPr>
          <w:b w:val="0"/>
          <w:lang w:val="af-ZA"/>
        </w:rPr>
        <w:t xml:space="preserve"> </w:t>
      </w:r>
      <w:r w:rsidRPr="00E27F1D">
        <w:rPr>
          <w:b w:val="0"/>
          <w:lang w:val="hy-AM"/>
        </w:rPr>
        <w:t>արտացոլված</w:t>
      </w:r>
      <w:r w:rsidRPr="00E27F1D">
        <w:rPr>
          <w:b w:val="0"/>
          <w:lang w:val="af-ZA"/>
        </w:rPr>
        <w:t xml:space="preserve"> </w:t>
      </w:r>
      <w:r w:rsidRPr="00E27F1D">
        <w:rPr>
          <w:b w:val="0"/>
          <w:lang w:val="hy-AM"/>
        </w:rPr>
        <w:t>է</w:t>
      </w:r>
      <w:r w:rsidRPr="00E27F1D">
        <w:rPr>
          <w:b w:val="0"/>
          <w:lang w:val="af-ZA"/>
        </w:rPr>
        <w:t xml:space="preserve"> </w:t>
      </w:r>
      <w:r w:rsidRPr="00E27F1D">
        <w:rPr>
          <w:b w:val="0"/>
          <w:lang w:val="hy-AM"/>
        </w:rPr>
        <w:t>սույն</w:t>
      </w:r>
      <w:r w:rsidRPr="00E27F1D">
        <w:rPr>
          <w:b w:val="0"/>
          <w:lang w:val="af-ZA"/>
        </w:rPr>
        <w:t xml:space="preserve"> </w:t>
      </w:r>
      <w:r w:rsidRPr="00E27F1D">
        <w:rPr>
          <w:b w:val="0"/>
          <w:lang w:val="hy-AM"/>
        </w:rPr>
        <w:t>բացատրագրի</w:t>
      </w:r>
      <w:r w:rsidRPr="00E27F1D">
        <w:rPr>
          <w:b w:val="0"/>
          <w:lang w:val="af-ZA"/>
        </w:rPr>
        <w:t xml:space="preserve"> N</w:t>
      </w:r>
      <w:r w:rsidRPr="00E27F1D">
        <w:rPr>
          <w:b w:val="0"/>
          <w:lang w:val="hy-AM"/>
        </w:rPr>
        <w:t xml:space="preserve"> 5 աղյուսակում</w:t>
      </w:r>
      <w:r>
        <w:rPr>
          <w:b w:val="0"/>
          <w:lang w:val="hy-AM"/>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noProof/>
          <w:szCs w:val="22"/>
          <w:lang w:val="hy-AM" w:eastAsia="en-US"/>
        </w:rPr>
        <w:t xml:space="preserve">         </w:t>
      </w:r>
      <w:r w:rsidR="002958DC" w:rsidRPr="005578F9">
        <w:rPr>
          <w:noProof/>
          <w:szCs w:val="22"/>
          <w:lang w:val="af-ZA" w:eastAsia="en-US"/>
        </w:rPr>
        <w:tab/>
      </w:r>
      <w:r w:rsidRPr="00AB56B7">
        <w:rPr>
          <w:noProof/>
          <w:szCs w:val="22"/>
          <w:lang w:val="hy-AM" w:eastAsia="en-US"/>
        </w:rPr>
        <w:t>Սպորտի</w:t>
      </w:r>
      <w:r w:rsidRPr="00E27F1D">
        <w:rPr>
          <w:noProof/>
          <w:szCs w:val="22"/>
          <w:lang w:val="af-ZA" w:eastAsia="en-US"/>
        </w:rPr>
        <w:t xml:space="preserve"> </w:t>
      </w:r>
      <w:r w:rsidRPr="00AB56B7">
        <w:rPr>
          <w:noProof/>
          <w:szCs w:val="22"/>
          <w:lang w:val="hy-AM" w:eastAsia="en-US"/>
        </w:rPr>
        <w:t>և</w:t>
      </w:r>
      <w:r w:rsidRPr="00E27F1D">
        <w:rPr>
          <w:noProof/>
          <w:szCs w:val="22"/>
          <w:lang w:val="af-ZA" w:eastAsia="en-US"/>
        </w:rPr>
        <w:t xml:space="preserve"> </w:t>
      </w:r>
      <w:r w:rsidRPr="00AB56B7">
        <w:rPr>
          <w:noProof/>
          <w:szCs w:val="22"/>
          <w:lang w:val="hy-AM" w:eastAsia="en-US"/>
        </w:rPr>
        <w:t>երիտասարդության</w:t>
      </w:r>
      <w:r w:rsidRPr="00E27F1D">
        <w:rPr>
          <w:noProof/>
          <w:szCs w:val="22"/>
          <w:lang w:val="af-ZA" w:eastAsia="en-US"/>
        </w:rPr>
        <w:t xml:space="preserve"> </w:t>
      </w:r>
      <w:r w:rsidRPr="00AB56B7">
        <w:rPr>
          <w:noProof/>
          <w:szCs w:val="22"/>
          <w:lang w:val="hy-AM" w:eastAsia="en-US"/>
        </w:rPr>
        <w:t>ոլորտ</w:t>
      </w:r>
      <w:r w:rsidRPr="00E27F1D">
        <w:rPr>
          <w:noProof/>
          <w:szCs w:val="22"/>
          <w:lang w:val="hy-AM" w:eastAsia="en-US"/>
        </w:rPr>
        <w:t>ներ</w:t>
      </w:r>
      <w:r w:rsidRPr="00AB56B7">
        <w:rPr>
          <w:noProof/>
          <w:szCs w:val="22"/>
          <w:lang w:val="hy-AM" w:eastAsia="en-US"/>
        </w:rPr>
        <w:t>ի</w:t>
      </w:r>
      <w:r w:rsidRPr="00E27F1D">
        <w:rPr>
          <w:noProof/>
          <w:szCs w:val="22"/>
          <w:lang w:val="hy-AM" w:eastAsia="en-US"/>
        </w:rPr>
        <w:t xml:space="preserve"> </w:t>
      </w:r>
      <w:r w:rsidRPr="00AB56B7">
        <w:rPr>
          <w:b w:val="0"/>
          <w:noProof/>
          <w:szCs w:val="22"/>
          <w:lang w:val="hy-AM" w:eastAsia="en-US"/>
        </w:rPr>
        <w:t>համար</w:t>
      </w:r>
      <w:r w:rsidRPr="00E27F1D">
        <w:rPr>
          <w:b w:val="0"/>
          <w:noProof/>
          <w:szCs w:val="22"/>
          <w:lang w:val="af-ZA" w:eastAsia="en-US"/>
        </w:rPr>
        <w:t xml:space="preserve"> </w:t>
      </w:r>
      <w:r w:rsidRPr="00AB56B7">
        <w:rPr>
          <w:b w:val="0"/>
          <w:noProof/>
          <w:szCs w:val="22"/>
          <w:lang w:val="hy-AM" w:eastAsia="en-US"/>
        </w:rPr>
        <w:t>ՀՀ</w:t>
      </w:r>
      <w:r w:rsidRPr="00E27F1D">
        <w:rPr>
          <w:b w:val="0"/>
          <w:noProof/>
          <w:szCs w:val="22"/>
          <w:lang w:val="af-ZA" w:eastAsia="en-US"/>
        </w:rPr>
        <w:t xml:space="preserve"> 2021 </w:t>
      </w:r>
      <w:r w:rsidRPr="00AB56B7">
        <w:rPr>
          <w:b w:val="0"/>
          <w:noProof/>
          <w:szCs w:val="22"/>
          <w:lang w:val="hy-AM" w:eastAsia="en-US"/>
        </w:rPr>
        <w:t>թվականի</w:t>
      </w:r>
      <w:r w:rsidRPr="00E27F1D">
        <w:rPr>
          <w:b w:val="0"/>
          <w:noProof/>
          <w:szCs w:val="22"/>
          <w:lang w:val="af-ZA" w:eastAsia="en-US"/>
        </w:rPr>
        <w:t xml:space="preserve"> </w:t>
      </w:r>
      <w:r w:rsidRPr="00AB56B7">
        <w:rPr>
          <w:b w:val="0"/>
          <w:noProof/>
          <w:szCs w:val="22"/>
          <w:lang w:val="hy-AM" w:eastAsia="en-US"/>
        </w:rPr>
        <w:t>պետական</w:t>
      </w:r>
      <w:r w:rsidRPr="00E27F1D">
        <w:rPr>
          <w:b w:val="0"/>
          <w:noProof/>
          <w:szCs w:val="22"/>
          <w:lang w:val="af-ZA" w:eastAsia="en-US"/>
        </w:rPr>
        <w:t xml:space="preserve"> </w:t>
      </w:r>
      <w:r w:rsidRPr="00AB56B7">
        <w:rPr>
          <w:b w:val="0"/>
          <w:noProof/>
          <w:szCs w:val="22"/>
          <w:lang w:val="hy-AM" w:eastAsia="en-US"/>
        </w:rPr>
        <w:t>բյուջեի</w:t>
      </w:r>
      <w:r w:rsidRPr="00E27F1D">
        <w:rPr>
          <w:b w:val="0"/>
          <w:noProof/>
          <w:szCs w:val="22"/>
          <w:lang w:val="af-ZA" w:eastAsia="en-US"/>
        </w:rPr>
        <w:t xml:space="preserve"> </w:t>
      </w:r>
      <w:r w:rsidRPr="00AB56B7">
        <w:rPr>
          <w:b w:val="0"/>
          <w:noProof/>
          <w:szCs w:val="22"/>
          <w:lang w:val="hy-AM" w:eastAsia="en-US"/>
        </w:rPr>
        <w:t>նախագծով</w:t>
      </w:r>
      <w:r w:rsidRPr="00E27F1D">
        <w:rPr>
          <w:b w:val="0"/>
          <w:noProof/>
          <w:szCs w:val="22"/>
          <w:lang w:val="af-ZA" w:eastAsia="en-US"/>
        </w:rPr>
        <w:t xml:space="preserve"> </w:t>
      </w:r>
      <w:r w:rsidRPr="00AB56B7">
        <w:rPr>
          <w:b w:val="0"/>
          <w:noProof/>
          <w:szCs w:val="22"/>
          <w:lang w:val="hy-AM" w:eastAsia="en-US"/>
        </w:rPr>
        <w:t>նախատեսվում</w:t>
      </w:r>
      <w:r w:rsidRPr="00E27F1D">
        <w:rPr>
          <w:b w:val="0"/>
          <w:noProof/>
          <w:szCs w:val="22"/>
          <w:lang w:val="af-ZA" w:eastAsia="en-US"/>
        </w:rPr>
        <w:t xml:space="preserve"> </w:t>
      </w:r>
      <w:r w:rsidRPr="00AB56B7">
        <w:rPr>
          <w:b w:val="0"/>
          <w:noProof/>
          <w:szCs w:val="22"/>
          <w:lang w:val="hy-AM" w:eastAsia="en-US"/>
        </w:rPr>
        <w:t>է</w:t>
      </w:r>
      <w:r w:rsidRPr="00E27F1D">
        <w:rPr>
          <w:b w:val="0"/>
          <w:noProof/>
          <w:szCs w:val="22"/>
          <w:lang w:val="af-ZA" w:eastAsia="en-US"/>
        </w:rPr>
        <w:t xml:space="preserve"> </w:t>
      </w:r>
      <w:r w:rsidRPr="00AB56B7">
        <w:rPr>
          <w:b w:val="0"/>
          <w:noProof/>
          <w:szCs w:val="22"/>
          <w:lang w:val="hy-AM" w:eastAsia="en-US"/>
        </w:rPr>
        <w:t>հատկացնել</w:t>
      </w:r>
      <w:r w:rsidRPr="00E27F1D">
        <w:rPr>
          <w:b w:val="0"/>
          <w:noProof/>
          <w:szCs w:val="22"/>
          <w:lang w:val="af-ZA" w:eastAsia="en-US"/>
        </w:rPr>
        <w:t xml:space="preserve"> 4,573.0 </w:t>
      </w:r>
      <w:r w:rsidRPr="00AB56B7">
        <w:rPr>
          <w:b w:val="0"/>
          <w:noProof/>
          <w:szCs w:val="22"/>
          <w:lang w:val="hy-AM" w:eastAsia="en-US"/>
        </w:rPr>
        <w:t>մլն</w:t>
      </w:r>
      <w:r w:rsidRPr="00E27F1D">
        <w:rPr>
          <w:b w:val="0"/>
          <w:noProof/>
          <w:szCs w:val="22"/>
          <w:lang w:val="af-ZA" w:eastAsia="en-US"/>
        </w:rPr>
        <w:t xml:space="preserve"> </w:t>
      </w:r>
      <w:r w:rsidRPr="00AB56B7">
        <w:rPr>
          <w:b w:val="0"/>
          <w:noProof/>
          <w:szCs w:val="22"/>
          <w:lang w:val="hy-AM" w:eastAsia="en-US"/>
        </w:rPr>
        <w:t>դրամ՝</w:t>
      </w:r>
      <w:r w:rsidRPr="00E27F1D">
        <w:rPr>
          <w:b w:val="0"/>
          <w:noProof/>
          <w:szCs w:val="22"/>
          <w:lang w:val="af-ZA" w:eastAsia="en-US"/>
        </w:rPr>
        <w:t xml:space="preserve"> </w:t>
      </w:r>
      <w:r w:rsidRPr="00AB56B7">
        <w:rPr>
          <w:b w:val="0"/>
          <w:noProof/>
          <w:szCs w:val="22"/>
          <w:lang w:val="hy-AM" w:eastAsia="en-US"/>
        </w:rPr>
        <w:t>ՀՀ</w:t>
      </w:r>
      <w:r w:rsidRPr="00E27F1D">
        <w:rPr>
          <w:b w:val="0"/>
          <w:noProof/>
          <w:szCs w:val="22"/>
          <w:lang w:val="af-ZA" w:eastAsia="en-US"/>
        </w:rPr>
        <w:t xml:space="preserve"> 2020 </w:t>
      </w:r>
      <w:r w:rsidRPr="00AB56B7">
        <w:rPr>
          <w:b w:val="0"/>
          <w:noProof/>
          <w:szCs w:val="22"/>
          <w:lang w:val="hy-AM" w:eastAsia="en-US"/>
        </w:rPr>
        <w:t>թվականի</w:t>
      </w:r>
      <w:r w:rsidRPr="00E27F1D">
        <w:rPr>
          <w:b w:val="0"/>
          <w:noProof/>
          <w:szCs w:val="22"/>
          <w:lang w:val="af-ZA" w:eastAsia="en-US"/>
        </w:rPr>
        <w:t xml:space="preserve"> </w:t>
      </w:r>
      <w:r w:rsidRPr="00AB56B7">
        <w:rPr>
          <w:b w:val="0"/>
          <w:noProof/>
          <w:szCs w:val="22"/>
          <w:lang w:val="hy-AM" w:eastAsia="en-US"/>
        </w:rPr>
        <w:t>պետական</w:t>
      </w:r>
      <w:r w:rsidRPr="00E27F1D">
        <w:rPr>
          <w:b w:val="0"/>
          <w:noProof/>
          <w:szCs w:val="22"/>
          <w:lang w:val="af-ZA" w:eastAsia="en-US"/>
        </w:rPr>
        <w:t xml:space="preserve"> </w:t>
      </w:r>
      <w:r w:rsidRPr="00AB56B7">
        <w:rPr>
          <w:b w:val="0"/>
          <w:noProof/>
          <w:szCs w:val="22"/>
          <w:lang w:val="hy-AM" w:eastAsia="en-US"/>
        </w:rPr>
        <w:t>բյուջեով</w:t>
      </w:r>
      <w:r w:rsidRPr="00E27F1D">
        <w:rPr>
          <w:b w:val="0"/>
          <w:noProof/>
          <w:szCs w:val="22"/>
          <w:lang w:val="af-ZA" w:eastAsia="en-US"/>
        </w:rPr>
        <w:t xml:space="preserve"> </w:t>
      </w:r>
      <w:r w:rsidRPr="00AB56B7">
        <w:rPr>
          <w:b w:val="0"/>
          <w:noProof/>
          <w:szCs w:val="22"/>
          <w:lang w:val="hy-AM" w:eastAsia="en-US"/>
        </w:rPr>
        <w:t>հաստատված</w:t>
      </w:r>
      <w:r w:rsidRPr="00E27F1D">
        <w:rPr>
          <w:b w:val="0"/>
          <w:noProof/>
          <w:szCs w:val="22"/>
          <w:lang w:val="af-ZA" w:eastAsia="en-US"/>
        </w:rPr>
        <w:t xml:space="preserve"> 6,102.9 </w:t>
      </w:r>
      <w:r w:rsidRPr="00AB56B7">
        <w:rPr>
          <w:b w:val="0"/>
          <w:noProof/>
          <w:szCs w:val="22"/>
          <w:lang w:val="hy-AM" w:eastAsia="en-US"/>
        </w:rPr>
        <w:t>մլն</w:t>
      </w:r>
      <w:r w:rsidRPr="00E27F1D">
        <w:rPr>
          <w:b w:val="0"/>
          <w:noProof/>
          <w:szCs w:val="22"/>
          <w:lang w:val="af-ZA" w:eastAsia="en-US"/>
        </w:rPr>
        <w:t xml:space="preserve"> </w:t>
      </w:r>
      <w:r w:rsidRPr="00AB56B7">
        <w:rPr>
          <w:b w:val="0"/>
          <w:noProof/>
          <w:szCs w:val="22"/>
          <w:lang w:val="hy-AM" w:eastAsia="en-US"/>
        </w:rPr>
        <w:t>դրամի</w:t>
      </w:r>
      <w:r w:rsidRPr="00E27F1D">
        <w:rPr>
          <w:b w:val="0"/>
          <w:noProof/>
          <w:szCs w:val="22"/>
          <w:lang w:val="af-ZA" w:eastAsia="en-US"/>
        </w:rPr>
        <w:t xml:space="preserve"> </w:t>
      </w:r>
      <w:r w:rsidRPr="00AB56B7">
        <w:rPr>
          <w:b w:val="0"/>
          <w:noProof/>
          <w:szCs w:val="22"/>
          <w:lang w:val="hy-AM" w:eastAsia="en-US"/>
        </w:rPr>
        <w:t>դիմաց</w:t>
      </w:r>
      <w:r w:rsidRPr="00E27F1D">
        <w:rPr>
          <w:b w:val="0"/>
          <w:noProof/>
          <w:szCs w:val="22"/>
          <w:lang w:val="af-ZA" w:eastAsia="en-US"/>
        </w:rPr>
        <w:t xml:space="preserve">: </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en-US" w:eastAsia="en-US"/>
        </w:rPr>
        <w:t>Ծախսեր</w:t>
      </w:r>
      <w:r w:rsidRPr="00E27F1D">
        <w:rPr>
          <w:b w:val="0"/>
          <w:noProof/>
          <w:szCs w:val="22"/>
          <w:lang w:val="hy-AM" w:eastAsia="en-US"/>
        </w:rPr>
        <w:t>ը</w:t>
      </w:r>
      <w:r w:rsidRPr="00E27F1D">
        <w:rPr>
          <w:b w:val="0"/>
          <w:noProof/>
          <w:szCs w:val="22"/>
          <w:lang w:val="af-ZA" w:eastAsia="en-US"/>
        </w:rPr>
        <w:t xml:space="preserve"> </w:t>
      </w:r>
      <w:r w:rsidRPr="00E27F1D">
        <w:rPr>
          <w:b w:val="0"/>
          <w:noProof/>
          <w:szCs w:val="22"/>
          <w:lang w:val="hy-AM" w:eastAsia="en-US"/>
        </w:rPr>
        <w:t>նվազ</w:t>
      </w:r>
      <w:r w:rsidRPr="00E27F1D">
        <w:rPr>
          <w:b w:val="0"/>
          <w:noProof/>
          <w:szCs w:val="22"/>
          <w:lang w:val="en-US" w:eastAsia="en-US"/>
        </w:rPr>
        <w:t>ել</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w:t>
      </w:r>
      <w:r w:rsidRPr="00E27F1D">
        <w:rPr>
          <w:b w:val="0"/>
          <w:noProof/>
          <w:szCs w:val="22"/>
          <w:lang w:val="hy-AM" w:eastAsia="en-US"/>
        </w:rPr>
        <w:t>1</w:t>
      </w:r>
      <w:r w:rsidRPr="00E27F1D">
        <w:rPr>
          <w:b w:val="0"/>
          <w:noProof/>
          <w:szCs w:val="22"/>
          <w:lang w:val="af-ZA" w:eastAsia="en-US"/>
        </w:rPr>
        <w:t xml:space="preserve">,529.9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դրամով</w:t>
      </w:r>
      <w:r w:rsidRPr="00E27F1D">
        <w:rPr>
          <w:b w:val="0"/>
          <w:noProof/>
          <w:szCs w:val="22"/>
          <w:lang w:val="af-ZA" w:eastAsia="en-US"/>
        </w:rPr>
        <w:t xml:space="preserve">, </w:t>
      </w:r>
      <w:r w:rsidRPr="00E27F1D">
        <w:rPr>
          <w:b w:val="0"/>
          <w:noProof/>
          <w:szCs w:val="22"/>
          <w:lang w:val="en-US" w:eastAsia="en-US"/>
        </w:rPr>
        <w:t>կամ</w:t>
      </w:r>
      <w:r w:rsidRPr="00E27F1D">
        <w:rPr>
          <w:b w:val="0"/>
          <w:noProof/>
          <w:szCs w:val="22"/>
          <w:lang w:val="af-ZA" w:eastAsia="en-US"/>
        </w:rPr>
        <w:t xml:space="preserve"> </w:t>
      </w:r>
      <w:r w:rsidRPr="00E27F1D">
        <w:rPr>
          <w:b w:val="0"/>
          <w:noProof/>
          <w:szCs w:val="22"/>
          <w:lang w:val="hy-AM" w:eastAsia="en-US"/>
        </w:rPr>
        <w:t>2</w:t>
      </w:r>
      <w:r w:rsidRPr="00E27F1D">
        <w:rPr>
          <w:b w:val="0"/>
          <w:noProof/>
          <w:szCs w:val="22"/>
          <w:lang w:val="af-ZA" w:eastAsia="en-US"/>
        </w:rPr>
        <w:t xml:space="preserve">5.1 </w:t>
      </w:r>
      <w:r w:rsidRPr="00E27F1D">
        <w:rPr>
          <w:b w:val="0"/>
          <w:noProof/>
          <w:szCs w:val="22"/>
          <w:lang w:val="en-US" w:eastAsia="en-US"/>
        </w:rPr>
        <w:t>տոկոսով</w:t>
      </w:r>
      <w:r w:rsidRPr="00E27F1D">
        <w:rPr>
          <w:b w:val="0"/>
          <w:noProof/>
          <w:szCs w:val="22"/>
          <w:lang w:val="af-ZA" w:eastAsia="en-US"/>
        </w:rPr>
        <w:t xml:space="preserve">, </w:t>
      </w:r>
      <w:r w:rsidRPr="00E27F1D">
        <w:rPr>
          <w:b w:val="0"/>
          <w:noProof/>
          <w:szCs w:val="22"/>
          <w:lang w:val="en-US" w:eastAsia="en-US"/>
        </w:rPr>
        <w:t>որը</w:t>
      </w:r>
      <w:r w:rsidRPr="00E27F1D">
        <w:rPr>
          <w:b w:val="0"/>
          <w:noProof/>
          <w:szCs w:val="22"/>
          <w:lang w:val="af-ZA" w:eastAsia="en-US"/>
        </w:rPr>
        <w:t xml:space="preserve"> </w:t>
      </w:r>
      <w:r w:rsidRPr="00E27F1D">
        <w:rPr>
          <w:b w:val="0"/>
          <w:noProof/>
          <w:szCs w:val="22"/>
          <w:lang w:val="en-US" w:eastAsia="en-US"/>
        </w:rPr>
        <w:t>հիմնականում</w:t>
      </w:r>
      <w:r w:rsidRPr="00E27F1D">
        <w:rPr>
          <w:b w:val="0"/>
          <w:noProof/>
          <w:szCs w:val="22"/>
          <w:lang w:val="af-ZA" w:eastAsia="en-US"/>
        </w:rPr>
        <w:t xml:space="preserve"> </w:t>
      </w:r>
      <w:r w:rsidRPr="00E27F1D">
        <w:rPr>
          <w:b w:val="0"/>
          <w:noProof/>
          <w:szCs w:val="22"/>
          <w:lang w:val="en-US" w:eastAsia="en-US"/>
        </w:rPr>
        <w:t>պայմանավորված</w:t>
      </w:r>
      <w:r w:rsidRPr="00E27F1D">
        <w:rPr>
          <w:b w:val="0"/>
          <w:noProof/>
          <w:szCs w:val="22"/>
          <w:lang w:val="af-ZA" w:eastAsia="en-US"/>
        </w:rPr>
        <w:t xml:space="preserve"> </w:t>
      </w:r>
      <w:r w:rsidRPr="00E27F1D">
        <w:rPr>
          <w:b w:val="0"/>
          <w:noProof/>
          <w:szCs w:val="22"/>
          <w:lang w:val="en-US" w:eastAsia="en-US"/>
        </w:rPr>
        <w:t>է</w:t>
      </w:r>
      <w:r w:rsidRPr="00E27F1D">
        <w:rPr>
          <w:b w:val="0"/>
          <w:noProof/>
          <w:szCs w:val="22"/>
          <w:lang w:val="af-ZA" w:eastAsia="en-US"/>
        </w:rPr>
        <w:t xml:space="preserve"> </w:t>
      </w:r>
      <w:r w:rsidRPr="00E27F1D">
        <w:rPr>
          <w:b w:val="0"/>
          <w:noProof/>
          <w:szCs w:val="22"/>
          <w:lang w:val="en-US" w:eastAsia="en-US"/>
        </w:rPr>
        <w:t>Աջակցություն</w:t>
      </w:r>
      <w:r w:rsidRPr="00E27F1D">
        <w:rPr>
          <w:b w:val="0"/>
          <w:noProof/>
          <w:szCs w:val="22"/>
          <w:lang w:val="af-ZA" w:eastAsia="en-US"/>
        </w:rPr>
        <w:t xml:space="preserve"> </w:t>
      </w:r>
      <w:r w:rsidRPr="00E27F1D">
        <w:rPr>
          <w:b w:val="0"/>
          <w:noProof/>
          <w:szCs w:val="22"/>
          <w:lang w:val="en-US" w:eastAsia="en-US"/>
        </w:rPr>
        <w:t>համայնքներին</w:t>
      </w:r>
      <w:r w:rsidRPr="00E27F1D">
        <w:rPr>
          <w:b w:val="0"/>
          <w:noProof/>
          <w:szCs w:val="22"/>
          <w:lang w:val="af-ZA" w:eastAsia="en-US"/>
        </w:rPr>
        <w:t xml:space="preserve"> </w:t>
      </w:r>
      <w:r w:rsidRPr="00E27F1D">
        <w:rPr>
          <w:b w:val="0"/>
          <w:noProof/>
          <w:szCs w:val="22"/>
          <w:lang w:val="en-US" w:eastAsia="en-US"/>
        </w:rPr>
        <w:t>մարզական</w:t>
      </w:r>
      <w:r w:rsidRPr="00E27F1D">
        <w:rPr>
          <w:b w:val="0"/>
          <w:noProof/>
          <w:szCs w:val="22"/>
          <w:lang w:val="af-ZA" w:eastAsia="en-US"/>
        </w:rPr>
        <w:t xml:space="preserve"> </w:t>
      </w:r>
      <w:r w:rsidRPr="00E27F1D">
        <w:rPr>
          <w:b w:val="0"/>
          <w:noProof/>
          <w:szCs w:val="22"/>
          <w:lang w:val="en-US" w:eastAsia="en-US"/>
        </w:rPr>
        <w:t>հաստատությունների</w:t>
      </w:r>
      <w:r w:rsidRPr="00E27F1D">
        <w:rPr>
          <w:b w:val="0"/>
          <w:noProof/>
          <w:szCs w:val="22"/>
          <w:lang w:val="af-ZA" w:eastAsia="en-US"/>
        </w:rPr>
        <w:t xml:space="preserve"> </w:t>
      </w:r>
      <w:r w:rsidRPr="00E27F1D">
        <w:rPr>
          <w:b w:val="0"/>
          <w:noProof/>
          <w:szCs w:val="22"/>
          <w:lang w:val="en-US" w:eastAsia="en-US"/>
        </w:rPr>
        <w:t>շենքային</w:t>
      </w:r>
      <w:r w:rsidRPr="00E27F1D">
        <w:rPr>
          <w:b w:val="0"/>
          <w:noProof/>
          <w:szCs w:val="22"/>
          <w:lang w:val="af-ZA" w:eastAsia="en-US"/>
        </w:rPr>
        <w:t xml:space="preserve"> </w:t>
      </w:r>
      <w:r w:rsidRPr="00E27F1D">
        <w:rPr>
          <w:b w:val="0"/>
          <w:noProof/>
          <w:szCs w:val="22"/>
          <w:lang w:val="en-US" w:eastAsia="en-US"/>
        </w:rPr>
        <w:t>պայմանների</w:t>
      </w:r>
      <w:r w:rsidRPr="00E27F1D">
        <w:rPr>
          <w:b w:val="0"/>
          <w:noProof/>
          <w:szCs w:val="22"/>
          <w:lang w:val="af-ZA" w:eastAsia="en-US"/>
        </w:rPr>
        <w:t xml:space="preserve"> </w:t>
      </w:r>
      <w:r w:rsidRPr="00E27F1D">
        <w:rPr>
          <w:b w:val="0"/>
          <w:noProof/>
          <w:szCs w:val="22"/>
          <w:lang w:val="en-US" w:eastAsia="en-US"/>
        </w:rPr>
        <w:t>բարելավման</w:t>
      </w:r>
      <w:r w:rsidRPr="00E27F1D">
        <w:rPr>
          <w:b w:val="0"/>
          <w:noProof/>
          <w:szCs w:val="22"/>
          <w:lang w:val="af-ZA" w:eastAsia="en-US"/>
        </w:rPr>
        <w:t xml:space="preserve"> </w:t>
      </w:r>
      <w:r w:rsidRPr="00E27F1D">
        <w:rPr>
          <w:b w:val="0"/>
          <w:noProof/>
          <w:szCs w:val="22"/>
          <w:lang w:val="en-US" w:eastAsia="en-US"/>
        </w:rPr>
        <w:t>համար</w:t>
      </w:r>
      <w:r w:rsidRPr="00E27F1D">
        <w:rPr>
          <w:b w:val="0"/>
          <w:noProof/>
          <w:szCs w:val="22"/>
          <w:lang w:val="af-ZA" w:eastAsia="en-US"/>
        </w:rPr>
        <w:t xml:space="preserve">»  </w:t>
      </w:r>
      <w:r w:rsidRPr="00E27F1D">
        <w:rPr>
          <w:b w:val="0"/>
          <w:noProof/>
          <w:szCs w:val="22"/>
          <w:lang w:val="en-US" w:eastAsia="en-US"/>
        </w:rPr>
        <w:t>միջոցառման</w:t>
      </w:r>
      <w:r w:rsidRPr="00E27F1D">
        <w:rPr>
          <w:b w:val="0"/>
          <w:noProof/>
          <w:szCs w:val="22"/>
          <w:lang w:val="af-ZA" w:eastAsia="en-US"/>
        </w:rPr>
        <w:t xml:space="preserve"> </w:t>
      </w:r>
      <w:r w:rsidRPr="00E27F1D">
        <w:rPr>
          <w:b w:val="0"/>
          <w:noProof/>
          <w:szCs w:val="22"/>
          <w:lang w:val="en-US" w:eastAsia="en-US"/>
        </w:rPr>
        <w:t>ծախսերի</w:t>
      </w:r>
      <w:r w:rsidRPr="00E27F1D">
        <w:rPr>
          <w:b w:val="0"/>
          <w:noProof/>
          <w:szCs w:val="22"/>
          <w:lang w:val="af-ZA" w:eastAsia="en-US"/>
        </w:rPr>
        <w:t xml:space="preserve"> </w:t>
      </w:r>
      <w:r w:rsidRPr="00E27F1D">
        <w:rPr>
          <w:b w:val="0"/>
          <w:noProof/>
          <w:szCs w:val="22"/>
          <w:lang w:val="hy-AM" w:eastAsia="en-US"/>
        </w:rPr>
        <w:t>նվազմամբ</w:t>
      </w:r>
      <w:r w:rsidRPr="00E27F1D">
        <w:rPr>
          <w:b w:val="0"/>
          <w:noProof/>
          <w:szCs w:val="22"/>
          <w:lang w:val="af-ZA" w:eastAsia="en-US"/>
        </w:rPr>
        <w:t xml:space="preserve">: </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en-US" w:eastAsia="en-US"/>
        </w:rPr>
        <w:t>Նախագծով</w:t>
      </w:r>
      <w:r w:rsidRPr="00E27F1D">
        <w:rPr>
          <w:b w:val="0"/>
          <w:noProof/>
          <w:szCs w:val="22"/>
          <w:lang w:val="af-ZA" w:eastAsia="en-US"/>
        </w:rPr>
        <w:t xml:space="preserve"> </w:t>
      </w:r>
      <w:r w:rsidRPr="00E27F1D">
        <w:rPr>
          <w:b w:val="0"/>
          <w:noProof/>
          <w:szCs w:val="22"/>
          <w:lang w:val="en-US" w:eastAsia="en-US"/>
        </w:rPr>
        <w:t>սպորտի</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երիտասարդության</w:t>
      </w:r>
      <w:r w:rsidRPr="00E27F1D">
        <w:rPr>
          <w:b w:val="0"/>
          <w:noProof/>
          <w:szCs w:val="22"/>
          <w:lang w:val="af-ZA" w:eastAsia="en-US"/>
        </w:rPr>
        <w:t xml:space="preserve"> </w:t>
      </w:r>
      <w:r w:rsidRPr="00E27F1D">
        <w:rPr>
          <w:b w:val="0"/>
          <w:noProof/>
          <w:szCs w:val="22"/>
          <w:lang w:val="en-US" w:eastAsia="en-US"/>
        </w:rPr>
        <w:t>ոլորտ</w:t>
      </w:r>
      <w:r w:rsidRPr="00E27F1D">
        <w:rPr>
          <w:b w:val="0"/>
          <w:noProof/>
          <w:szCs w:val="22"/>
          <w:lang w:val="hy-AM" w:eastAsia="en-US"/>
        </w:rPr>
        <w:t>ների</w:t>
      </w:r>
      <w:r w:rsidRPr="00E27F1D">
        <w:rPr>
          <w:b w:val="0"/>
          <w:noProof/>
          <w:szCs w:val="22"/>
          <w:lang w:val="af-ZA" w:eastAsia="en-US"/>
        </w:rPr>
        <w:t xml:space="preserve"> </w:t>
      </w:r>
      <w:r w:rsidRPr="00E27F1D">
        <w:rPr>
          <w:b w:val="0"/>
          <w:noProof/>
          <w:szCs w:val="22"/>
          <w:lang w:val="en-US" w:eastAsia="en-US"/>
        </w:rPr>
        <w:t>համար</w:t>
      </w:r>
      <w:r w:rsidRPr="00E27F1D">
        <w:rPr>
          <w:b w:val="0"/>
          <w:noProof/>
          <w:szCs w:val="22"/>
          <w:lang w:val="af-ZA" w:eastAsia="en-US"/>
        </w:rPr>
        <w:t xml:space="preserve"> </w:t>
      </w:r>
      <w:r w:rsidRPr="00E27F1D">
        <w:rPr>
          <w:b w:val="0"/>
          <w:noProof/>
          <w:szCs w:val="22"/>
          <w:lang w:val="en-US" w:eastAsia="en-US"/>
        </w:rPr>
        <w:t>նախատեսված</w:t>
      </w:r>
      <w:r w:rsidRPr="00E27F1D">
        <w:rPr>
          <w:b w:val="0"/>
          <w:noProof/>
          <w:szCs w:val="22"/>
          <w:lang w:val="af-ZA" w:eastAsia="en-US"/>
        </w:rPr>
        <w:t xml:space="preserve">  </w:t>
      </w:r>
      <w:r w:rsidRPr="00E27F1D">
        <w:rPr>
          <w:b w:val="0"/>
          <w:noProof/>
          <w:szCs w:val="22"/>
          <w:lang w:val="en-US" w:eastAsia="en-US"/>
        </w:rPr>
        <w:t>հատկացումներն</w:t>
      </w:r>
      <w:r w:rsidRPr="00E27F1D">
        <w:rPr>
          <w:b w:val="0"/>
          <w:noProof/>
          <w:szCs w:val="22"/>
          <w:lang w:val="af-ZA" w:eastAsia="en-US"/>
        </w:rPr>
        <w:t xml:space="preserve"> </w:t>
      </w:r>
      <w:r w:rsidRPr="00E27F1D">
        <w:rPr>
          <w:b w:val="0"/>
          <w:noProof/>
          <w:szCs w:val="22"/>
          <w:lang w:val="en-US" w:eastAsia="en-US"/>
        </w:rPr>
        <w:t>ուղղվելու</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3 </w:t>
      </w:r>
      <w:r w:rsidRPr="00E27F1D">
        <w:rPr>
          <w:b w:val="0"/>
          <w:noProof/>
          <w:szCs w:val="22"/>
          <w:lang w:val="en-US" w:eastAsia="en-US"/>
        </w:rPr>
        <w:t>ծրագրերի</w:t>
      </w:r>
      <w:r w:rsidRPr="00E27F1D">
        <w:rPr>
          <w:b w:val="0"/>
          <w:noProof/>
          <w:szCs w:val="22"/>
          <w:lang w:val="af-ZA" w:eastAsia="en-US"/>
        </w:rPr>
        <w:t xml:space="preserve"> </w:t>
      </w:r>
      <w:r w:rsidRPr="00E27F1D">
        <w:rPr>
          <w:b w:val="0"/>
          <w:noProof/>
          <w:szCs w:val="22"/>
          <w:lang w:val="en-US" w:eastAsia="en-US"/>
        </w:rPr>
        <w:t>իրականացմանը</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noProof/>
          <w:szCs w:val="22"/>
          <w:lang w:val="hy-AM" w:eastAsia="en-US"/>
        </w:rPr>
        <w:t xml:space="preserve">      </w:t>
      </w:r>
      <w:r w:rsidR="002958DC" w:rsidRPr="005578F9">
        <w:rPr>
          <w:noProof/>
          <w:szCs w:val="22"/>
          <w:lang w:val="af-ZA" w:eastAsia="en-US"/>
        </w:rPr>
        <w:tab/>
      </w:r>
      <w:r w:rsidRPr="00E27F1D">
        <w:rPr>
          <w:noProof/>
          <w:szCs w:val="22"/>
          <w:lang w:val="af-ZA" w:eastAsia="en-US"/>
        </w:rPr>
        <w:t></w:t>
      </w:r>
      <w:r w:rsidRPr="00AB56B7">
        <w:rPr>
          <w:noProof/>
          <w:szCs w:val="22"/>
          <w:lang w:val="hy-AM" w:eastAsia="en-US"/>
        </w:rPr>
        <w:t>Մեծ</w:t>
      </w:r>
      <w:r w:rsidRPr="00E27F1D">
        <w:rPr>
          <w:noProof/>
          <w:szCs w:val="22"/>
          <w:lang w:val="hy-AM" w:eastAsia="en-US"/>
        </w:rPr>
        <w:t xml:space="preserve"> </w:t>
      </w:r>
      <w:r w:rsidRPr="00AB56B7">
        <w:rPr>
          <w:noProof/>
          <w:szCs w:val="22"/>
          <w:lang w:val="hy-AM" w:eastAsia="en-US"/>
        </w:rPr>
        <w:t>նվաճումների</w:t>
      </w:r>
      <w:r w:rsidRPr="00E27F1D">
        <w:rPr>
          <w:noProof/>
          <w:szCs w:val="22"/>
          <w:lang w:val="af-ZA" w:eastAsia="en-US"/>
        </w:rPr>
        <w:t xml:space="preserve"> </w:t>
      </w:r>
      <w:r w:rsidRPr="00AB56B7">
        <w:rPr>
          <w:noProof/>
          <w:szCs w:val="22"/>
          <w:lang w:val="hy-AM" w:eastAsia="en-US"/>
        </w:rPr>
        <w:t>սպորտ</w:t>
      </w:r>
      <w:r w:rsidRPr="00E27F1D">
        <w:rPr>
          <w:noProof/>
          <w:szCs w:val="22"/>
          <w:lang w:val="af-ZA" w:eastAsia="en-US"/>
        </w:rPr>
        <w:t>»</w:t>
      </w:r>
      <w:r w:rsidRPr="00E27F1D">
        <w:rPr>
          <w:b w:val="0"/>
          <w:noProof/>
          <w:szCs w:val="22"/>
          <w:lang w:val="af-ZA" w:eastAsia="en-US"/>
        </w:rPr>
        <w:t xml:space="preserve"> </w:t>
      </w:r>
      <w:r w:rsidRPr="00AB56B7">
        <w:rPr>
          <w:b w:val="0"/>
          <w:noProof/>
          <w:szCs w:val="22"/>
          <w:lang w:val="hy-AM" w:eastAsia="en-US"/>
        </w:rPr>
        <w:t>ծրագր</w:t>
      </w:r>
      <w:r w:rsidRPr="00E27F1D">
        <w:rPr>
          <w:b w:val="0"/>
          <w:noProof/>
          <w:szCs w:val="22"/>
          <w:lang w:val="hy-AM" w:eastAsia="en-US"/>
        </w:rPr>
        <w:t>ի</w:t>
      </w:r>
      <w:r w:rsidRPr="00E27F1D">
        <w:rPr>
          <w:b w:val="0"/>
          <w:noProof/>
          <w:szCs w:val="22"/>
          <w:lang w:val="af-ZA" w:eastAsia="en-US"/>
        </w:rPr>
        <w:t xml:space="preserve"> </w:t>
      </w:r>
      <w:r w:rsidRPr="00AB56B7">
        <w:rPr>
          <w:b w:val="0"/>
          <w:noProof/>
          <w:szCs w:val="22"/>
          <w:lang w:val="hy-AM" w:eastAsia="en-US"/>
        </w:rPr>
        <w:t>նպատակ</w:t>
      </w:r>
      <w:r w:rsidRPr="00E27F1D">
        <w:rPr>
          <w:b w:val="0"/>
          <w:noProof/>
          <w:szCs w:val="22"/>
          <w:lang w:val="hy-AM" w:eastAsia="en-US"/>
        </w:rPr>
        <w:t>ը՝</w:t>
      </w:r>
      <w:r w:rsidRPr="00E27F1D">
        <w:rPr>
          <w:b w:val="0"/>
          <w:noProof/>
          <w:szCs w:val="22"/>
          <w:lang w:val="af-ZA" w:eastAsia="en-US"/>
        </w:rPr>
        <w:t xml:space="preserve"> </w:t>
      </w:r>
      <w:r w:rsidRPr="00AB56B7">
        <w:rPr>
          <w:b w:val="0"/>
          <w:noProof/>
          <w:szCs w:val="22"/>
          <w:lang w:val="hy-AM" w:eastAsia="en-US"/>
        </w:rPr>
        <w:t>նպաստել</w:t>
      </w:r>
      <w:r w:rsidRPr="00E27F1D">
        <w:rPr>
          <w:b w:val="0"/>
          <w:noProof/>
          <w:szCs w:val="22"/>
          <w:lang w:val="af-ZA" w:eastAsia="en-US"/>
        </w:rPr>
        <w:t xml:space="preserve"> </w:t>
      </w:r>
      <w:r w:rsidRPr="00AB56B7">
        <w:rPr>
          <w:b w:val="0"/>
          <w:noProof/>
          <w:szCs w:val="22"/>
          <w:lang w:val="hy-AM" w:eastAsia="en-US"/>
        </w:rPr>
        <w:t>Հայաստանում</w:t>
      </w:r>
      <w:r w:rsidRPr="00E27F1D">
        <w:rPr>
          <w:b w:val="0"/>
          <w:noProof/>
          <w:szCs w:val="22"/>
          <w:lang w:val="af-ZA" w:eastAsia="en-US"/>
        </w:rPr>
        <w:t xml:space="preserve"> </w:t>
      </w:r>
      <w:r w:rsidRPr="00AB56B7">
        <w:rPr>
          <w:b w:val="0"/>
          <w:noProof/>
          <w:szCs w:val="22"/>
          <w:lang w:val="hy-AM" w:eastAsia="en-US"/>
        </w:rPr>
        <w:t>մեծ</w:t>
      </w:r>
      <w:r w:rsidRPr="00E27F1D">
        <w:rPr>
          <w:b w:val="0"/>
          <w:noProof/>
          <w:szCs w:val="22"/>
          <w:lang w:val="af-ZA" w:eastAsia="en-US"/>
        </w:rPr>
        <w:t xml:space="preserve"> </w:t>
      </w:r>
      <w:r w:rsidRPr="00AB56B7">
        <w:rPr>
          <w:b w:val="0"/>
          <w:noProof/>
          <w:szCs w:val="22"/>
          <w:lang w:val="hy-AM" w:eastAsia="en-US"/>
        </w:rPr>
        <w:t>սպորտի</w:t>
      </w:r>
      <w:r w:rsidRPr="00E27F1D">
        <w:rPr>
          <w:b w:val="0"/>
          <w:noProof/>
          <w:szCs w:val="22"/>
          <w:lang w:val="af-ZA" w:eastAsia="en-US"/>
        </w:rPr>
        <w:t xml:space="preserve"> </w:t>
      </w:r>
      <w:r w:rsidRPr="00AB56B7">
        <w:rPr>
          <w:b w:val="0"/>
          <w:noProof/>
          <w:szCs w:val="22"/>
          <w:lang w:val="hy-AM" w:eastAsia="en-US"/>
        </w:rPr>
        <w:t>զարգացմանը</w:t>
      </w:r>
      <w:r w:rsidRPr="00E27F1D">
        <w:rPr>
          <w:b w:val="0"/>
          <w:noProof/>
          <w:szCs w:val="22"/>
          <w:lang w:val="af-ZA" w:eastAsia="en-US"/>
        </w:rPr>
        <w:t xml:space="preserve"> </w:t>
      </w:r>
      <w:r w:rsidRPr="00AB56B7">
        <w:rPr>
          <w:b w:val="0"/>
          <w:noProof/>
          <w:szCs w:val="22"/>
          <w:lang w:val="hy-AM" w:eastAsia="en-US"/>
        </w:rPr>
        <w:t>և</w:t>
      </w:r>
      <w:r w:rsidRPr="00E27F1D">
        <w:rPr>
          <w:b w:val="0"/>
          <w:noProof/>
          <w:szCs w:val="22"/>
          <w:lang w:val="af-ZA" w:eastAsia="en-US"/>
        </w:rPr>
        <w:t xml:space="preserve"> </w:t>
      </w:r>
      <w:r w:rsidRPr="00AB56B7">
        <w:rPr>
          <w:b w:val="0"/>
          <w:noProof/>
          <w:szCs w:val="22"/>
          <w:lang w:val="hy-AM" w:eastAsia="en-US"/>
        </w:rPr>
        <w:t>միջազգային</w:t>
      </w:r>
      <w:r w:rsidRPr="00E27F1D">
        <w:rPr>
          <w:b w:val="0"/>
          <w:noProof/>
          <w:szCs w:val="22"/>
          <w:lang w:val="af-ZA" w:eastAsia="en-US"/>
        </w:rPr>
        <w:t xml:space="preserve"> </w:t>
      </w:r>
      <w:r w:rsidRPr="00AB56B7">
        <w:rPr>
          <w:b w:val="0"/>
          <w:noProof/>
          <w:szCs w:val="22"/>
          <w:lang w:val="hy-AM" w:eastAsia="en-US"/>
        </w:rPr>
        <w:t>հարթակներում</w:t>
      </w:r>
      <w:r w:rsidRPr="00E27F1D">
        <w:rPr>
          <w:b w:val="0"/>
          <w:noProof/>
          <w:szCs w:val="22"/>
          <w:lang w:val="af-ZA" w:eastAsia="en-US"/>
        </w:rPr>
        <w:t xml:space="preserve"> </w:t>
      </w:r>
      <w:r w:rsidRPr="00AB56B7">
        <w:rPr>
          <w:b w:val="0"/>
          <w:noProof/>
          <w:szCs w:val="22"/>
          <w:lang w:val="hy-AM" w:eastAsia="en-US"/>
        </w:rPr>
        <w:t>ՀՀ</w:t>
      </w:r>
      <w:r w:rsidRPr="00E27F1D">
        <w:rPr>
          <w:b w:val="0"/>
          <w:noProof/>
          <w:szCs w:val="22"/>
          <w:lang w:val="af-ZA" w:eastAsia="en-US"/>
        </w:rPr>
        <w:t xml:space="preserve"> </w:t>
      </w:r>
      <w:r w:rsidRPr="00AB56B7">
        <w:rPr>
          <w:b w:val="0"/>
          <w:noProof/>
          <w:szCs w:val="22"/>
          <w:lang w:val="hy-AM" w:eastAsia="en-US"/>
        </w:rPr>
        <w:t>դիրքի</w:t>
      </w:r>
      <w:r w:rsidRPr="00E27F1D">
        <w:rPr>
          <w:b w:val="0"/>
          <w:noProof/>
          <w:szCs w:val="22"/>
          <w:lang w:val="af-ZA" w:eastAsia="en-US"/>
        </w:rPr>
        <w:t xml:space="preserve"> </w:t>
      </w:r>
      <w:r w:rsidRPr="00AB56B7">
        <w:rPr>
          <w:b w:val="0"/>
          <w:noProof/>
          <w:szCs w:val="22"/>
          <w:lang w:val="hy-AM" w:eastAsia="en-US"/>
        </w:rPr>
        <w:t>բարելավմանը</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en-US" w:eastAsia="en-US"/>
        </w:rPr>
        <w:t>Ծրագրի</w:t>
      </w:r>
      <w:r w:rsidRPr="00E27F1D">
        <w:rPr>
          <w:b w:val="0"/>
          <w:noProof/>
          <w:szCs w:val="22"/>
          <w:lang w:val="af-ZA" w:eastAsia="en-US"/>
        </w:rPr>
        <w:t xml:space="preserve"> </w:t>
      </w:r>
      <w:r w:rsidRPr="00E27F1D">
        <w:rPr>
          <w:b w:val="0"/>
          <w:noProof/>
          <w:szCs w:val="22"/>
          <w:lang w:val="en-US" w:eastAsia="en-US"/>
        </w:rPr>
        <w:t>շրջանակներում</w:t>
      </w:r>
      <w:r w:rsidRPr="00E27F1D">
        <w:rPr>
          <w:b w:val="0"/>
          <w:noProof/>
          <w:szCs w:val="22"/>
          <w:lang w:val="af-ZA" w:eastAsia="en-US"/>
        </w:rPr>
        <w:t xml:space="preserve"> </w:t>
      </w:r>
      <w:r w:rsidRPr="00E27F1D">
        <w:rPr>
          <w:b w:val="0"/>
          <w:noProof/>
          <w:szCs w:val="22"/>
          <w:lang w:val="en-US" w:eastAsia="en-US"/>
        </w:rPr>
        <w:t>հատկացումներն</w:t>
      </w:r>
      <w:r w:rsidRPr="00E27F1D">
        <w:rPr>
          <w:b w:val="0"/>
          <w:noProof/>
          <w:szCs w:val="22"/>
          <w:lang w:val="af-ZA" w:eastAsia="en-US"/>
        </w:rPr>
        <w:t xml:space="preserve"> </w:t>
      </w:r>
      <w:r w:rsidRPr="00E27F1D">
        <w:rPr>
          <w:b w:val="0"/>
          <w:noProof/>
          <w:szCs w:val="22"/>
          <w:lang w:val="en-US" w:eastAsia="en-US"/>
        </w:rPr>
        <w:t>ուղղվելու</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w:t>
      </w:r>
      <w:r w:rsidRPr="00E27F1D">
        <w:rPr>
          <w:b w:val="0"/>
          <w:noProof/>
          <w:szCs w:val="22"/>
          <w:lang w:val="en-US" w:eastAsia="en-US"/>
        </w:rPr>
        <w:t>օլիմպիական</w:t>
      </w:r>
      <w:r w:rsidRPr="00E27F1D">
        <w:rPr>
          <w:b w:val="0"/>
          <w:noProof/>
          <w:szCs w:val="22"/>
          <w:lang w:val="af-ZA" w:eastAsia="en-US"/>
        </w:rPr>
        <w:t xml:space="preserve"> </w:t>
      </w:r>
      <w:r w:rsidRPr="00E27F1D">
        <w:rPr>
          <w:b w:val="0"/>
          <w:noProof/>
          <w:szCs w:val="22"/>
          <w:lang w:val="en-US" w:eastAsia="en-US"/>
        </w:rPr>
        <w:t>խաղերին</w:t>
      </w:r>
      <w:r w:rsidRPr="00E27F1D">
        <w:rPr>
          <w:b w:val="0"/>
          <w:noProof/>
          <w:szCs w:val="22"/>
          <w:lang w:val="af-ZA" w:eastAsia="en-US"/>
        </w:rPr>
        <w:t xml:space="preserve">, </w:t>
      </w:r>
      <w:r w:rsidRPr="00E27F1D">
        <w:rPr>
          <w:b w:val="0"/>
          <w:noProof/>
          <w:szCs w:val="22"/>
          <w:lang w:val="en-US" w:eastAsia="en-US"/>
        </w:rPr>
        <w:t>միջազգային</w:t>
      </w:r>
      <w:r w:rsidRPr="00E27F1D">
        <w:rPr>
          <w:b w:val="0"/>
          <w:noProof/>
          <w:szCs w:val="22"/>
          <w:lang w:val="af-ZA" w:eastAsia="en-US"/>
        </w:rPr>
        <w:t xml:space="preserve"> </w:t>
      </w:r>
      <w:r w:rsidRPr="00E27F1D">
        <w:rPr>
          <w:b w:val="0"/>
          <w:noProof/>
          <w:szCs w:val="22"/>
          <w:lang w:val="en-US" w:eastAsia="en-US"/>
        </w:rPr>
        <w:t>տարբեր</w:t>
      </w:r>
      <w:r w:rsidRPr="00E27F1D">
        <w:rPr>
          <w:b w:val="0"/>
          <w:noProof/>
          <w:szCs w:val="22"/>
          <w:lang w:val="af-ZA" w:eastAsia="en-US"/>
        </w:rPr>
        <w:t xml:space="preserve"> </w:t>
      </w:r>
      <w:r w:rsidRPr="00E27F1D">
        <w:rPr>
          <w:b w:val="0"/>
          <w:noProof/>
          <w:szCs w:val="22"/>
          <w:lang w:val="en-US" w:eastAsia="en-US"/>
        </w:rPr>
        <w:t>մակարդակի</w:t>
      </w:r>
      <w:r w:rsidRPr="00E27F1D">
        <w:rPr>
          <w:b w:val="0"/>
          <w:noProof/>
          <w:szCs w:val="22"/>
          <w:lang w:val="af-ZA" w:eastAsia="en-US"/>
        </w:rPr>
        <w:t xml:space="preserve"> </w:t>
      </w:r>
      <w:r w:rsidRPr="00E27F1D">
        <w:rPr>
          <w:b w:val="0"/>
          <w:noProof/>
          <w:szCs w:val="22"/>
          <w:lang w:val="en-US" w:eastAsia="en-US"/>
        </w:rPr>
        <w:t>միջոցառումներին</w:t>
      </w:r>
      <w:r w:rsidRPr="00E27F1D">
        <w:rPr>
          <w:b w:val="0"/>
          <w:noProof/>
          <w:szCs w:val="22"/>
          <w:lang w:val="af-ZA" w:eastAsia="en-US"/>
        </w:rPr>
        <w:t xml:space="preserve">, </w:t>
      </w:r>
      <w:r w:rsidRPr="00E27F1D">
        <w:rPr>
          <w:b w:val="0"/>
          <w:noProof/>
          <w:szCs w:val="22"/>
          <w:lang w:val="en-US" w:eastAsia="en-US"/>
        </w:rPr>
        <w:t>ուսումնամարզական</w:t>
      </w:r>
      <w:r w:rsidRPr="00E27F1D">
        <w:rPr>
          <w:b w:val="0"/>
          <w:noProof/>
          <w:szCs w:val="22"/>
          <w:lang w:val="af-ZA" w:eastAsia="en-US"/>
        </w:rPr>
        <w:t xml:space="preserve"> </w:t>
      </w:r>
      <w:r w:rsidRPr="00E27F1D">
        <w:rPr>
          <w:b w:val="0"/>
          <w:noProof/>
          <w:szCs w:val="22"/>
          <w:lang w:val="en-US" w:eastAsia="en-US"/>
        </w:rPr>
        <w:t>հավաքներին</w:t>
      </w:r>
      <w:r w:rsidRPr="00E27F1D">
        <w:rPr>
          <w:b w:val="0"/>
          <w:noProof/>
          <w:szCs w:val="22"/>
          <w:lang w:val="af-ZA" w:eastAsia="en-US"/>
        </w:rPr>
        <w:t>, h</w:t>
      </w:r>
      <w:r w:rsidRPr="00E27F1D">
        <w:rPr>
          <w:b w:val="0"/>
          <w:noProof/>
          <w:szCs w:val="22"/>
          <w:lang w:val="en-US" w:eastAsia="en-US"/>
        </w:rPr>
        <w:t>անրապետական</w:t>
      </w:r>
      <w:r w:rsidRPr="00E27F1D">
        <w:rPr>
          <w:b w:val="0"/>
          <w:noProof/>
          <w:szCs w:val="22"/>
          <w:lang w:val="af-ZA" w:eastAsia="en-US"/>
        </w:rPr>
        <w:t xml:space="preserve"> </w:t>
      </w:r>
      <w:r w:rsidRPr="00E27F1D">
        <w:rPr>
          <w:b w:val="0"/>
          <w:noProof/>
          <w:szCs w:val="22"/>
          <w:lang w:val="en-US" w:eastAsia="en-US"/>
        </w:rPr>
        <w:t>առաջնություններին</w:t>
      </w:r>
      <w:r w:rsidRPr="00E27F1D">
        <w:rPr>
          <w:b w:val="0"/>
          <w:noProof/>
          <w:szCs w:val="22"/>
          <w:lang w:val="af-ZA" w:eastAsia="en-US"/>
        </w:rPr>
        <w:t xml:space="preserve"> </w:t>
      </w:r>
      <w:r w:rsidRPr="00E27F1D">
        <w:rPr>
          <w:b w:val="0"/>
          <w:noProof/>
          <w:szCs w:val="22"/>
          <w:lang w:val="en-US" w:eastAsia="en-US"/>
        </w:rPr>
        <w:t>Հայաստանի</w:t>
      </w:r>
      <w:r w:rsidRPr="00E27F1D">
        <w:rPr>
          <w:b w:val="0"/>
          <w:noProof/>
          <w:szCs w:val="22"/>
          <w:lang w:val="af-ZA" w:eastAsia="en-US"/>
        </w:rPr>
        <w:t xml:space="preserve"> </w:t>
      </w:r>
      <w:r w:rsidRPr="00E27F1D">
        <w:rPr>
          <w:b w:val="0"/>
          <w:noProof/>
          <w:szCs w:val="22"/>
          <w:lang w:val="en-US" w:eastAsia="en-US"/>
        </w:rPr>
        <w:t>հավաքական</w:t>
      </w:r>
      <w:r w:rsidRPr="00E27F1D">
        <w:rPr>
          <w:b w:val="0"/>
          <w:noProof/>
          <w:szCs w:val="22"/>
          <w:lang w:val="af-ZA" w:eastAsia="en-US"/>
        </w:rPr>
        <w:t xml:space="preserve"> </w:t>
      </w:r>
      <w:r w:rsidRPr="00E27F1D">
        <w:rPr>
          <w:b w:val="0"/>
          <w:noProof/>
          <w:szCs w:val="22"/>
          <w:lang w:val="en-US" w:eastAsia="en-US"/>
        </w:rPr>
        <w:t>թիմերի</w:t>
      </w:r>
      <w:r w:rsidRPr="00E27F1D">
        <w:rPr>
          <w:b w:val="0"/>
          <w:noProof/>
          <w:szCs w:val="22"/>
          <w:lang w:val="af-ZA" w:eastAsia="en-US"/>
        </w:rPr>
        <w:t xml:space="preserve"> </w:t>
      </w:r>
      <w:r w:rsidRPr="00E27F1D">
        <w:rPr>
          <w:b w:val="0"/>
          <w:noProof/>
          <w:szCs w:val="22"/>
          <w:lang w:val="en-US" w:eastAsia="en-US"/>
        </w:rPr>
        <w:t>մասնակցության</w:t>
      </w:r>
      <w:r w:rsidRPr="00E27F1D">
        <w:rPr>
          <w:b w:val="0"/>
          <w:noProof/>
          <w:szCs w:val="22"/>
          <w:lang w:val="af-ZA" w:eastAsia="en-US"/>
        </w:rPr>
        <w:t xml:space="preserve"> </w:t>
      </w:r>
      <w:r w:rsidRPr="00E27F1D">
        <w:rPr>
          <w:b w:val="0"/>
          <w:noProof/>
          <w:szCs w:val="22"/>
          <w:lang w:val="en-US" w:eastAsia="en-US"/>
        </w:rPr>
        <w:t>ապահովմանը</w:t>
      </w:r>
      <w:r w:rsidRPr="00E27F1D">
        <w:rPr>
          <w:b w:val="0"/>
          <w:noProof/>
          <w:szCs w:val="22"/>
          <w:lang w:val="af-ZA" w:eastAsia="en-US"/>
        </w:rPr>
        <w:t xml:space="preserve">, </w:t>
      </w:r>
      <w:r w:rsidRPr="00E27F1D">
        <w:rPr>
          <w:b w:val="0"/>
          <w:noProof/>
          <w:szCs w:val="22"/>
          <w:lang w:val="en-US" w:eastAsia="en-US"/>
        </w:rPr>
        <w:t>Աշխարհի</w:t>
      </w:r>
      <w:r w:rsidRPr="00E27F1D">
        <w:rPr>
          <w:b w:val="0"/>
          <w:noProof/>
          <w:szCs w:val="22"/>
          <w:lang w:val="af-ZA" w:eastAsia="en-US"/>
        </w:rPr>
        <w:t xml:space="preserve">, </w:t>
      </w:r>
      <w:r w:rsidRPr="00E27F1D">
        <w:rPr>
          <w:b w:val="0"/>
          <w:noProof/>
          <w:szCs w:val="22"/>
          <w:lang w:val="en-US" w:eastAsia="en-US"/>
        </w:rPr>
        <w:t>Եվրոպայի</w:t>
      </w:r>
      <w:r w:rsidRPr="00E27F1D">
        <w:rPr>
          <w:b w:val="0"/>
          <w:noProof/>
          <w:szCs w:val="22"/>
          <w:lang w:val="af-ZA" w:eastAsia="en-US"/>
        </w:rPr>
        <w:t xml:space="preserve"> </w:t>
      </w:r>
      <w:r w:rsidRPr="00E27F1D">
        <w:rPr>
          <w:b w:val="0"/>
          <w:noProof/>
          <w:szCs w:val="22"/>
          <w:lang w:val="en-US" w:eastAsia="en-US"/>
        </w:rPr>
        <w:t>առաջնություններում</w:t>
      </w:r>
      <w:r w:rsidRPr="00E27F1D">
        <w:rPr>
          <w:b w:val="0"/>
          <w:noProof/>
          <w:szCs w:val="22"/>
          <w:lang w:val="af-ZA" w:eastAsia="en-US"/>
        </w:rPr>
        <w:t xml:space="preserve"> </w:t>
      </w:r>
      <w:r w:rsidRPr="00E27F1D">
        <w:rPr>
          <w:b w:val="0"/>
          <w:noProof/>
          <w:szCs w:val="22"/>
          <w:lang w:val="en-US" w:eastAsia="en-US"/>
        </w:rPr>
        <w:t>հաղթողների</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մրցանակակիրների</w:t>
      </w:r>
      <w:r w:rsidRPr="00E27F1D">
        <w:rPr>
          <w:b w:val="0"/>
          <w:noProof/>
          <w:szCs w:val="22"/>
          <w:lang w:val="af-ZA" w:eastAsia="en-US"/>
        </w:rPr>
        <w:t xml:space="preserve"> </w:t>
      </w:r>
      <w:r w:rsidRPr="00E27F1D">
        <w:rPr>
          <w:b w:val="0"/>
          <w:noProof/>
          <w:szCs w:val="22"/>
          <w:lang w:val="en-US" w:eastAsia="en-US"/>
        </w:rPr>
        <w:t>պարգևատրման</w:t>
      </w:r>
      <w:r w:rsidRPr="00E27F1D">
        <w:rPr>
          <w:b w:val="0"/>
          <w:noProof/>
          <w:szCs w:val="22"/>
          <w:lang w:val="af-ZA" w:eastAsia="en-US"/>
        </w:rPr>
        <w:t xml:space="preserve"> </w:t>
      </w:r>
      <w:r w:rsidRPr="00E27F1D">
        <w:rPr>
          <w:b w:val="0"/>
          <w:noProof/>
          <w:szCs w:val="22"/>
          <w:lang w:val="en-US" w:eastAsia="en-US"/>
        </w:rPr>
        <w:t>ծախսերի</w:t>
      </w:r>
      <w:r w:rsidRPr="00E27F1D">
        <w:rPr>
          <w:b w:val="0"/>
          <w:noProof/>
          <w:szCs w:val="22"/>
          <w:lang w:val="af-ZA" w:eastAsia="en-US"/>
        </w:rPr>
        <w:t xml:space="preserve"> </w:t>
      </w:r>
      <w:r w:rsidRPr="00E27F1D">
        <w:rPr>
          <w:b w:val="0"/>
          <w:noProof/>
          <w:szCs w:val="22"/>
          <w:lang w:val="en-US" w:eastAsia="en-US"/>
        </w:rPr>
        <w:t>իրականացմանը</w:t>
      </w:r>
      <w:r w:rsidRPr="00E27F1D">
        <w:rPr>
          <w:b w:val="0"/>
          <w:noProof/>
          <w:szCs w:val="22"/>
          <w:lang w:val="af-ZA" w:eastAsia="en-US"/>
        </w:rPr>
        <w:t xml:space="preserve">, </w:t>
      </w:r>
      <w:r w:rsidRPr="00E27F1D">
        <w:rPr>
          <w:b w:val="0"/>
          <w:noProof/>
          <w:szCs w:val="22"/>
          <w:lang w:val="en-US" w:eastAsia="en-US"/>
        </w:rPr>
        <w:t>ՀՀ</w:t>
      </w:r>
      <w:r w:rsidRPr="00E27F1D">
        <w:rPr>
          <w:b w:val="0"/>
          <w:noProof/>
          <w:szCs w:val="22"/>
          <w:lang w:val="af-ZA" w:eastAsia="en-US"/>
        </w:rPr>
        <w:t xml:space="preserve"> </w:t>
      </w:r>
      <w:r w:rsidRPr="00E27F1D">
        <w:rPr>
          <w:b w:val="0"/>
          <w:noProof/>
          <w:szCs w:val="22"/>
          <w:lang w:val="en-US" w:eastAsia="en-US"/>
        </w:rPr>
        <w:t>հավաքական</w:t>
      </w:r>
      <w:r w:rsidRPr="00E27F1D">
        <w:rPr>
          <w:b w:val="0"/>
          <w:noProof/>
          <w:szCs w:val="22"/>
          <w:lang w:val="af-ZA" w:eastAsia="en-US"/>
        </w:rPr>
        <w:t xml:space="preserve"> </w:t>
      </w:r>
      <w:r w:rsidRPr="00E27F1D">
        <w:rPr>
          <w:b w:val="0"/>
          <w:noProof/>
          <w:szCs w:val="22"/>
          <w:lang w:val="en-US" w:eastAsia="en-US"/>
        </w:rPr>
        <w:t>թիմերի</w:t>
      </w:r>
      <w:r w:rsidRPr="00E27F1D">
        <w:rPr>
          <w:b w:val="0"/>
          <w:noProof/>
          <w:szCs w:val="22"/>
          <w:lang w:val="af-ZA" w:eastAsia="en-US"/>
        </w:rPr>
        <w:t xml:space="preserve"> </w:t>
      </w:r>
      <w:r w:rsidRPr="00E27F1D">
        <w:rPr>
          <w:b w:val="0"/>
          <w:noProof/>
          <w:szCs w:val="22"/>
          <w:lang w:val="en-US" w:eastAsia="en-US"/>
        </w:rPr>
        <w:t>գլխավոր</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ավագ</w:t>
      </w:r>
      <w:r w:rsidRPr="00E27F1D">
        <w:rPr>
          <w:b w:val="0"/>
          <w:noProof/>
          <w:szCs w:val="22"/>
          <w:lang w:val="af-ZA" w:eastAsia="en-US"/>
        </w:rPr>
        <w:t xml:space="preserve"> </w:t>
      </w:r>
      <w:r w:rsidRPr="00E27F1D">
        <w:rPr>
          <w:b w:val="0"/>
          <w:noProof/>
          <w:szCs w:val="22"/>
          <w:lang w:val="en-US" w:eastAsia="en-US"/>
        </w:rPr>
        <w:t>մարզիչների</w:t>
      </w:r>
      <w:r w:rsidRPr="00E27F1D">
        <w:rPr>
          <w:b w:val="0"/>
          <w:noProof/>
          <w:szCs w:val="22"/>
          <w:lang w:val="af-ZA" w:eastAsia="en-US"/>
        </w:rPr>
        <w:t xml:space="preserve"> </w:t>
      </w:r>
      <w:r w:rsidRPr="00E27F1D">
        <w:rPr>
          <w:b w:val="0"/>
          <w:noProof/>
          <w:szCs w:val="22"/>
          <w:lang w:val="en-US" w:eastAsia="en-US"/>
        </w:rPr>
        <w:t>վարձատրությանը</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աշխարհի</w:t>
      </w:r>
      <w:r w:rsidRPr="00E27F1D">
        <w:rPr>
          <w:b w:val="0"/>
          <w:noProof/>
          <w:szCs w:val="22"/>
          <w:lang w:val="af-ZA" w:eastAsia="en-US"/>
        </w:rPr>
        <w:t xml:space="preserve"> </w:t>
      </w:r>
      <w:r w:rsidRPr="00E27F1D">
        <w:rPr>
          <w:b w:val="0"/>
          <w:noProof/>
          <w:szCs w:val="22"/>
          <w:lang w:val="en-US" w:eastAsia="en-US"/>
        </w:rPr>
        <w:t>չեմպիոններին</w:t>
      </w:r>
      <w:r w:rsidRPr="00E27F1D">
        <w:rPr>
          <w:b w:val="0"/>
          <w:noProof/>
          <w:szCs w:val="22"/>
          <w:lang w:val="af-ZA" w:eastAsia="en-US"/>
        </w:rPr>
        <w:t xml:space="preserve">, </w:t>
      </w:r>
      <w:r w:rsidRPr="00E27F1D">
        <w:rPr>
          <w:b w:val="0"/>
          <w:noProof/>
          <w:szCs w:val="22"/>
          <w:lang w:val="en-US" w:eastAsia="en-US"/>
        </w:rPr>
        <w:t>օլիմպիական</w:t>
      </w:r>
      <w:r w:rsidRPr="00E27F1D">
        <w:rPr>
          <w:b w:val="0"/>
          <w:noProof/>
          <w:szCs w:val="22"/>
          <w:lang w:val="af-ZA" w:eastAsia="en-US"/>
        </w:rPr>
        <w:t xml:space="preserve"> </w:t>
      </w:r>
      <w:r w:rsidRPr="00E27F1D">
        <w:rPr>
          <w:b w:val="0"/>
          <w:noProof/>
          <w:szCs w:val="22"/>
          <w:lang w:val="en-US" w:eastAsia="en-US"/>
        </w:rPr>
        <w:t>խաղերի</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շախմատի</w:t>
      </w:r>
      <w:r w:rsidRPr="00E27F1D">
        <w:rPr>
          <w:b w:val="0"/>
          <w:noProof/>
          <w:szCs w:val="22"/>
          <w:lang w:val="af-ZA" w:eastAsia="en-US"/>
        </w:rPr>
        <w:t xml:space="preserve"> </w:t>
      </w:r>
      <w:r w:rsidRPr="00E27F1D">
        <w:rPr>
          <w:b w:val="0"/>
          <w:noProof/>
          <w:szCs w:val="22"/>
          <w:lang w:val="en-US" w:eastAsia="en-US"/>
        </w:rPr>
        <w:t>համաշխարհային</w:t>
      </w:r>
      <w:r w:rsidRPr="00E27F1D">
        <w:rPr>
          <w:b w:val="0"/>
          <w:noProof/>
          <w:szCs w:val="22"/>
          <w:lang w:val="af-ZA" w:eastAsia="en-US"/>
        </w:rPr>
        <w:t xml:space="preserve"> </w:t>
      </w:r>
      <w:r w:rsidRPr="00E27F1D">
        <w:rPr>
          <w:b w:val="0"/>
          <w:noProof/>
          <w:szCs w:val="22"/>
          <w:lang w:val="en-US" w:eastAsia="en-US"/>
        </w:rPr>
        <w:t>օլիմպիադայի</w:t>
      </w:r>
      <w:r w:rsidRPr="00E27F1D">
        <w:rPr>
          <w:b w:val="0"/>
          <w:noProof/>
          <w:szCs w:val="22"/>
          <w:lang w:val="af-ZA" w:eastAsia="en-US"/>
        </w:rPr>
        <w:t xml:space="preserve"> </w:t>
      </w:r>
      <w:r w:rsidRPr="00E27F1D">
        <w:rPr>
          <w:b w:val="0"/>
          <w:noProof/>
          <w:szCs w:val="22"/>
          <w:lang w:val="en-US" w:eastAsia="en-US"/>
        </w:rPr>
        <w:t>մրցանակակիրներին</w:t>
      </w:r>
      <w:r w:rsidRPr="00E27F1D">
        <w:rPr>
          <w:b w:val="0"/>
          <w:noProof/>
          <w:szCs w:val="22"/>
          <w:lang w:val="af-ZA" w:eastAsia="en-US"/>
        </w:rPr>
        <w:t xml:space="preserve"> </w:t>
      </w:r>
      <w:r w:rsidRPr="00E27F1D">
        <w:rPr>
          <w:b w:val="0"/>
          <w:noProof/>
          <w:szCs w:val="22"/>
          <w:lang w:val="en-US" w:eastAsia="en-US"/>
        </w:rPr>
        <w:t>պատվովճարի</w:t>
      </w:r>
      <w:r w:rsidRPr="00E27F1D">
        <w:rPr>
          <w:b w:val="0"/>
          <w:noProof/>
          <w:szCs w:val="22"/>
          <w:lang w:val="af-ZA" w:eastAsia="en-US"/>
        </w:rPr>
        <w:t xml:space="preserve">, </w:t>
      </w:r>
      <w:r w:rsidRPr="00E27F1D">
        <w:rPr>
          <w:b w:val="0"/>
          <w:noProof/>
          <w:szCs w:val="22"/>
          <w:lang w:val="en-US" w:eastAsia="en-US"/>
        </w:rPr>
        <w:t>օլիմպիական</w:t>
      </w:r>
      <w:r w:rsidRPr="00E27F1D">
        <w:rPr>
          <w:b w:val="0"/>
          <w:noProof/>
          <w:szCs w:val="22"/>
          <w:lang w:val="af-ZA" w:eastAsia="en-US"/>
        </w:rPr>
        <w:t xml:space="preserve"> </w:t>
      </w:r>
      <w:r w:rsidRPr="00E27F1D">
        <w:rPr>
          <w:b w:val="0"/>
          <w:noProof/>
          <w:szCs w:val="22"/>
          <w:lang w:val="en-US" w:eastAsia="en-US"/>
        </w:rPr>
        <w:t>խաղերում</w:t>
      </w:r>
      <w:r w:rsidRPr="00E27F1D">
        <w:rPr>
          <w:b w:val="0"/>
          <w:noProof/>
          <w:szCs w:val="22"/>
          <w:lang w:val="af-ZA" w:eastAsia="en-US"/>
        </w:rPr>
        <w:t xml:space="preserve">, </w:t>
      </w:r>
      <w:r w:rsidRPr="00E27F1D">
        <w:rPr>
          <w:b w:val="0"/>
          <w:noProof/>
          <w:szCs w:val="22"/>
          <w:lang w:val="en-US" w:eastAsia="en-US"/>
        </w:rPr>
        <w:t>աշխարհի</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Եվրոպայի</w:t>
      </w:r>
      <w:r w:rsidRPr="00E27F1D">
        <w:rPr>
          <w:b w:val="0"/>
          <w:noProof/>
          <w:szCs w:val="22"/>
          <w:lang w:val="af-ZA" w:eastAsia="en-US"/>
        </w:rPr>
        <w:t xml:space="preserve"> </w:t>
      </w:r>
      <w:r w:rsidRPr="00E27F1D">
        <w:rPr>
          <w:b w:val="0"/>
          <w:noProof/>
          <w:szCs w:val="22"/>
          <w:lang w:val="en-US" w:eastAsia="en-US"/>
        </w:rPr>
        <w:t>առաջնություններում</w:t>
      </w:r>
      <w:r w:rsidRPr="00E27F1D">
        <w:rPr>
          <w:b w:val="0"/>
          <w:noProof/>
          <w:szCs w:val="22"/>
          <w:lang w:val="af-ZA" w:eastAsia="en-US"/>
        </w:rPr>
        <w:t xml:space="preserve"> </w:t>
      </w:r>
      <w:r w:rsidRPr="00E27F1D">
        <w:rPr>
          <w:b w:val="0"/>
          <w:noProof/>
          <w:szCs w:val="22"/>
          <w:lang w:val="en-US" w:eastAsia="en-US"/>
        </w:rPr>
        <w:t>բարձր</w:t>
      </w:r>
      <w:r w:rsidRPr="00E27F1D">
        <w:rPr>
          <w:b w:val="0"/>
          <w:noProof/>
          <w:szCs w:val="22"/>
          <w:lang w:val="af-ZA" w:eastAsia="en-US"/>
        </w:rPr>
        <w:t xml:space="preserve"> </w:t>
      </w:r>
      <w:r w:rsidRPr="00E27F1D">
        <w:rPr>
          <w:b w:val="0"/>
          <w:noProof/>
          <w:szCs w:val="22"/>
          <w:lang w:val="en-US" w:eastAsia="en-US"/>
        </w:rPr>
        <w:t>արդյունքների</w:t>
      </w:r>
      <w:r w:rsidRPr="00E27F1D">
        <w:rPr>
          <w:b w:val="0"/>
          <w:noProof/>
          <w:szCs w:val="22"/>
          <w:lang w:val="af-ZA" w:eastAsia="en-US"/>
        </w:rPr>
        <w:t xml:space="preserve"> </w:t>
      </w:r>
      <w:r w:rsidRPr="00E27F1D">
        <w:rPr>
          <w:b w:val="0"/>
          <w:noProof/>
          <w:szCs w:val="22"/>
          <w:lang w:val="en-US" w:eastAsia="en-US"/>
        </w:rPr>
        <w:t>հասած</w:t>
      </w:r>
      <w:r w:rsidRPr="00E27F1D">
        <w:rPr>
          <w:b w:val="0"/>
          <w:noProof/>
          <w:szCs w:val="22"/>
          <w:lang w:val="af-ZA" w:eastAsia="en-US"/>
        </w:rPr>
        <w:t xml:space="preserve"> </w:t>
      </w:r>
      <w:r w:rsidRPr="00E27F1D">
        <w:rPr>
          <w:b w:val="0"/>
          <w:noProof/>
          <w:szCs w:val="22"/>
          <w:lang w:val="en-US" w:eastAsia="en-US"/>
        </w:rPr>
        <w:t>ՀՀ</w:t>
      </w:r>
      <w:r w:rsidRPr="00E27F1D">
        <w:rPr>
          <w:b w:val="0"/>
          <w:noProof/>
          <w:szCs w:val="22"/>
          <w:lang w:val="af-ZA" w:eastAsia="en-US"/>
        </w:rPr>
        <w:t xml:space="preserve"> </w:t>
      </w:r>
      <w:r w:rsidRPr="00E27F1D">
        <w:rPr>
          <w:b w:val="0"/>
          <w:noProof/>
          <w:szCs w:val="22"/>
          <w:lang w:val="en-US" w:eastAsia="en-US"/>
        </w:rPr>
        <w:t>հավաքական</w:t>
      </w:r>
      <w:r w:rsidRPr="00E27F1D">
        <w:rPr>
          <w:b w:val="0"/>
          <w:noProof/>
          <w:szCs w:val="22"/>
          <w:lang w:val="af-ZA" w:eastAsia="en-US"/>
        </w:rPr>
        <w:t xml:space="preserve"> </w:t>
      </w:r>
      <w:r w:rsidRPr="00E27F1D">
        <w:rPr>
          <w:b w:val="0"/>
          <w:noProof/>
          <w:szCs w:val="22"/>
          <w:lang w:val="en-US" w:eastAsia="en-US"/>
        </w:rPr>
        <w:t>թիմերի</w:t>
      </w:r>
      <w:r w:rsidRPr="00E27F1D">
        <w:rPr>
          <w:b w:val="0"/>
          <w:noProof/>
          <w:szCs w:val="22"/>
          <w:lang w:val="af-ZA" w:eastAsia="en-US"/>
        </w:rPr>
        <w:t xml:space="preserve"> </w:t>
      </w:r>
      <w:r w:rsidRPr="00E27F1D">
        <w:rPr>
          <w:b w:val="0"/>
          <w:noProof/>
          <w:szCs w:val="22"/>
          <w:lang w:val="en-US" w:eastAsia="en-US"/>
        </w:rPr>
        <w:t>մարզիկներին</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նրանց</w:t>
      </w:r>
      <w:r w:rsidRPr="00E27F1D">
        <w:rPr>
          <w:b w:val="0"/>
          <w:noProof/>
          <w:szCs w:val="22"/>
          <w:lang w:val="af-ZA" w:eastAsia="en-US"/>
        </w:rPr>
        <w:t xml:space="preserve"> </w:t>
      </w:r>
      <w:r w:rsidRPr="00E27F1D">
        <w:rPr>
          <w:b w:val="0"/>
          <w:noProof/>
          <w:szCs w:val="22"/>
          <w:lang w:val="en-US" w:eastAsia="en-US"/>
        </w:rPr>
        <w:t>մարզիչներին</w:t>
      </w:r>
      <w:r w:rsidRPr="00E27F1D">
        <w:rPr>
          <w:b w:val="0"/>
          <w:noProof/>
          <w:szCs w:val="22"/>
          <w:lang w:val="af-ZA" w:eastAsia="en-US"/>
        </w:rPr>
        <w:t xml:space="preserve"> </w:t>
      </w:r>
      <w:r w:rsidRPr="00E27F1D">
        <w:rPr>
          <w:b w:val="0"/>
          <w:noProof/>
          <w:szCs w:val="22"/>
          <w:lang w:val="en-US" w:eastAsia="en-US"/>
        </w:rPr>
        <w:t>անվանական</w:t>
      </w:r>
      <w:r w:rsidRPr="00E27F1D">
        <w:rPr>
          <w:b w:val="0"/>
          <w:noProof/>
          <w:szCs w:val="22"/>
          <w:lang w:val="af-ZA" w:eastAsia="en-US"/>
        </w:rPr>
        <w:t xml:space="preserve"> </w:t>
      </w:r>
      <w:r w:rsidRPr="00E27F1D">
        <w:rPr>
          <w:b w:val="0"/>
          <w:noProof/>
          <w:szCs w:val="22"/>
          <w:lang w:val="en-US" w:eastAsia="en-US"/>
        </w:rPr>
        <w:t>թոշակի</w:t>
      </w:r>
      <w:r w:rsidRPr="00E27F1D">
        <w:rPr>
          <w:b w:val="0"/>
          <w:noProof/>
          <w:szCs w:val="22"/>
          <w:lang w:val="af-ZA" w:eastAsia="en-US"/>
        </w:rPr>
        <w:t xml:space="preserve">  </w:t>
      </w:r>
      <w:r w:rsidRPr="00E27F1D">
        <w:rPr>
          <w:b w:val="0"/>
          <w:noProof/>
          <w:szCs w:val="22"/>
          <w:lang w:val="en-US" w:eastAsia="en-US"/>
        </w:rPr>
        <w:t>հատկացմանը</w:t>
      </w:r>
      <w:r w:rsidRPr="00E27F1D">
        <w:rPr>
          <w:b w:val="0"/>
          <w:noProof/>
          <w:szCs w:val="22"/>
          <w:lang w:val="af-ZA" w:eastAsia="en-US"/>
        </w:rPr>
        <w:t xml:space="preserve">, </w:t>
      </w:r>
      <w:r w:rsidRPr="00E27F1D">
        <w:rPr>
          <w:b w:val="0"/>
          <w:noProof/>
          <w:szCs w:val="22"/>
          <w:lang w:val="en-US" w:eastAsia="en-US"/>
        </w:rPr>
        <w:t>շախմատիստների</w:t>
      </w:r>
      <w:r w:rsidRPr="00E27F1D">
        <w:rPr>
          <w:b w:val="0"/>
          <w:noProof/>
          <w:szCs w:val="22"/>
          <w:lang w:val="af-ZA" w:eastAsia="en-US"/>
        </w:rPr>
        <w:t xml:space="preserve"> </w:t>
      </w:r>
      <w:r w:rsidRPr="00E27F1D">
        <w:rPr>
          <w:b w:val="0"/>
          <w:noProof/>
          <w:szCs w:val="22"/>
          <w:lang w:val="en-US" w:eastAsia="en-US"/>
        </w:rPr>
        <w:t>պատրաստմանը</w:t>
      </w:r>
      <w:r w:rsidRPr="00E27F1D">
        <w:rPr>
          <w:b w:val="0"/>
          <w:noProof/>
          <w:szCs w:val="22"/>
          <w:lang w:val="af-ZA" w:eastAsia="en-US"/>
        </w:rPr>
        <w:t xml:space="preserve">, </w:t>
      </w:r>
      <w:r w:rsidRPr="00E27F1D">
        <w:rPr>
          <w:b w:val="0"/>
          <w:noProof/>
          <w:szCs w:val="22"/>
          <w:lang w:val="en-US" w:eastAsia="en-US"/>
        </w:rPr>
        <w:t>հաշմանդամային</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նավամոդելային</w:t>
      </w:r>
      <w:r w:rsidRPr="00E27F1D">
        <w:rPr>
          <w:b w:val="0"/>
          <w:noProof/>
          <w:szCs w:val="22"/>
          <w:lang w:val="af-ZA" w:eastAsia="en-US"/>
        </w:rPr>
        <w:t xml:space="preserve"> </w:t>
      </w:r>
      <w:r w:rsidRPr="00E27F1D">
        <w:rPr>
          <w:b w:val="0"/>
          <w:noProof/>
          <w:szCs w:val="22"/>
          <w:lang w:val="en-US" w:eastAsia="en-US"/>
        </w:rPr>
        <w:t>սպորտին</w:t>
      </w:r>
      <w:r w:rsidRPr="00E27F1D">
        <w:rPr>
          <w:b w:val="0"/>
          <w:noProof/>
          <w:szCs w:val="22"/>
          <w:lang w:val="af-ZA" w:eastAsia="en-US"/>
        </w:rPr>
        <w:t xml:space="preserve"> </w:t>
      </w:r>
      <w:r w:rsidRPr="00E27F1D">
        <w:rPr>
          <w:b w:val="0"/>
          <w:noProof/>
          <w:szCs w:val="22"/>
          <w:lang w:val="en-US" w:eastAsia="en-US"/>
        </w:rPr>
        <w:t>աջակցմանը</w:t>
      </w:r>
      <w:r w:rsidRPr="00E27F1D">
        <w:rPr>
          <w:b w:val="0"/>
          <w:noProof/>
          <w:szCs w:val="22"/>
          <w:lang w:val="af-ZA" w:eastAsia="en-US"/>
        </w:rPr>
        <w:t xml:space="preserve">, </w:t>
      </w:r>
      <w:r w:rsidRPr="00E27F1D">
        <w:rPr>
          <w:b w:val="0"/>
          <w:noProof/>
          <w:szCs w:val="22"/>
          <w:lang w:val="en-US" w:eastAsia="en-US"/>
        </w:rPr>
        <w:t>սպորտային</w:t>
      </w:r>
      <w:r w:rsidRPr="00E27F1D">
        <w:rPr>
          <w:b w:val="0"/>
          <w:noProof/>
          <w:szCs w:val="22"/>
          <w:lang w:val="af-ZA" w:eastAsia="en-US"/>
        </w:rPr>
        <w:t xml:space="preserve"> </w:t>
      </w:r>
      <w:r w:rsidRPr="00E27F1D">
        <w:rPr>
          <w:b w:val="0"/>
          <w:noProof/>
          <w:szCs w:val="22"/>
          <w:lang w:val="en-US" w:eastAsia="en-US"/>
        </w:rPr>
        <w:t>բժշկության</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հակադոպինգային</w:t>
      </w:r>
      <w:r w:rsidRPr="00E27F1D">
        <w:rPr>
          <w:b w:val="0"/>
          <w:noProof/>
          <w:szCs w:val="22"/>
          <w:lang w:val="af-ZA" w:eastAsia="en-US"/>
        </w:rPr>
        <w:t xml:space="preserve"> </w:t>
      </w:r>
      <w:r w:rsidRPr="00E27F1D">
        <w:rPr>
          <w:b w:val="0"/>
          <w:noProof/>
          <w:szCs w:val="22"/>
          <w:lang w:val="en-US" w:eastAsia="en-US"/>
        </w:rPr>
        <w:t>հսկողության</w:t>
      </w:r>
      <w:r w:rsidRPr="00E27F1D">
        <w:rPr>
          <w:b w:val="0"/>
          <w:noProof/>
          <w:szCs w:val="22"/>
          <w:lang w:val="af-ZA" w:eastAsia="en-US"/>
        </w:rPr>
        <w:t xml:space="preserve"> </w:t>
      </w:r>
      <w:r w:rsidRPr="00E27F1D">
        <w:rPr>
          <w:b w:val="0"/>
          <w:noProof/>
          <w:szCs w:val="22"/>
          <w:lang w:val="en-US" w:eastAsia="en-US"/>
        </w:rPr>
        <w:t>և</w:t>
      </w:r>
      <w:r w:rsidRPr="00E27F1D">
        <w:rPr>
          <w:b w:val="0"/>
          <w:noProof/>
          <w:szCs w:val="22"/>
          <w:lang w:val="af-ZA" w:eastAsia="en-US"/>
        </w:rPr>
        <w:t xml:space="preserve"> </w:t>
      </w:r>
      <w:r w:rsidRPr="00E27F1D">
        <w:rPr>
          <w:b w:val="0"/>
          <w:noProof/>
          <w:szCs w:val="22"/>
          <w:lang w:val="en-US" w:eastAsia="en-US"/>
        </w:rPr>
        <w:t>շախմատի</w:t>
      </w:r>
      <w:r w:rsidRPr="00E27F1D">
        <w:rPr>
          <w:b w:val="0"/>
          <w:noProof/>
          <w:szCs w:val="22"/>
          <w:lang w:val="af-ZA" w:eastAsia="en-US"/>
        </w:rPr>
        <w:t xml:space="preserve"> </w:t>
      </w:r>
      <w:r w:rsidRPr="00E27F1D">
        <w:rPr>
          <w:b w:val="0"/>
          <w:noProof/>
          <w:szCs w:val="22"/>
          <w:lang w:val="en-US" w:eastAsia="en-US"/>
        </w:rPr>
        <w:t>մրցույթների</w:t>
      </w:r>
      <w:r w:rsidRPr="00E27F1D">
        <w:rPr>
          <w:b w:val="0"/>
          <w:noProof/>
          <w:szCs w:val="22"/>
          <w:lang w:val="af-ZA" w:eastAsia="en-US"/>
        </w:rPr>
        <w:t xml:space="preserve"> </w:t>
      </w:r>
      <w:r w:rsidRPr="00E27F1D">
        <w:rPr>
          <w:b w:val="0"/>
          <w:noProof/>
          <w:szCs w:val="22"/>
          <w:lang w:val="en-US" w:eastAsia="en-US"/>
        </w:rPr>
        <w:t>պատրաստման</w:t>
      </w:r>
      <w:r w:rsidRPr="00E27F1D">
        <w:rPr>
          <w:b w:val="0"/>
          <w:noProof/>
          <w:szCs w:val="22"/>
          <w:lang w:val="af-ZA" w:eastAsia="en-US"/>
        </w:rPr>
        <w:t xml:space="preserve"> </w:t>
      </w:r>
      <w:r w:rsidRPr="00E27F1D">
        <w:rPr>
          <w:b w:val="0"/>
          <w:noProof/>
          <w:szCs w:val="22"/>
          <w:lang w:val="en-US" w:eastAsia="en-US"/>
        </w:rPr>
        <w:t>ծառայությունների</w:t>
      </w:r>
      <w:r w:rsidRPr="00E27F1D">
        <w:rPr>
          <w:b w:val="0"/>
          <w:noProof/>
          <w:szCs w:val="22"/>
          <w:lang w:val="af-ZA" w:eastAsia="en-US"/>
        </w:rPr>
        <w:t xml:space="preserve"> </w:t>
      </w:r>
      <w:r w:rsidRPr="00E27F1D">
        <w:rPr>
          <w:b w:val="0"/>
          <w:noProof/>
          <w:szCs w:val="22"/>
          <w:lang w:val="en-US" w:eastAsia="en-US"/>
        </w:rPr>
        <w:t>իրականացմանը</w:t>
      </w:r>
      <w:r w:rsidRPr="00E27F1D">
        <w:rPr>
          <w:b w:val="0"/>
          <w:noProof/>
          <w:szCs w:val="22"/>
          <w:lang w:val="af-ZA" w:eastAsia="en-US"/>
        </w:rPr>
        <w:t xml:space="preserve">: </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b w:val="0"/>
          <w:noProof/>
          <w:szCs w:val="22"/>
          <w:lang w:val="hy-AM" w:eastAsia="en-US"/>
        </w:rPr>
        <w:t xml:space="preserve">         </w:t>
      </w:r>
      <w:r w:rsidR="002958DC" w:rsidRPr="005578F9">
        <w:rPr>
          <w:b w:val="0"/>
          <w:noProof/>
          <w:szCs w:val="22"/>
          <w:lang w:val="af-ZA" w:eastAsia="en-US"/>
        </w:rPr>
        <w:tab/>
      </w:r>
      <w:r w:rsidRPr="00E27F1D">
        <w:rPr>
          <w:b w:val="0"/>
          <w:noProof/>
          <w:szCs w:val="22"/>
          <w:lang w:val="af-ZA" w:eastAsia="en-US"/>
        </w:rPr>
        <w:t></w:t>
      </w:r>
      <w:r w:rsidRPr="00AB56B7">
        <w:rPr>
          <w:b w:val="0"/>
          <w:noProof/>
          <w:szCs w:val="22"/>
          <w:lang w:val="hy-AM" w:eastAsia="en-US"/>
        </w:rPr>
        <w:t>Մեծ</w:t>
      </w:r>
      <w:r w:rsidRPr="00E27F1D">
        <w:rPr>
          <w:b w:val="0"/>
          <w:noProof/>
          <w:szCs w:val="22"/>
          <w:lang w:val="af-ZA" w:eastAsia="en-US"/>
        </w:rPr>
        <w:t xml:space="preserve"> </w:t>
      </w:r>
      <w:r w:rsidRPr="00AB56B7">
        <w:rPr>
          <w:b w:val="0"/>
          <w:noProof/>
          <w:szCs w:val="22"/>
          <w:lang w:val="hy-AM" w:eastAsia="en-US"/>
        </w:rPr>
        <w:t>նվաճումների</w:t>
      </w:r>
      <w:r w:rsidRPr="00E27F1D">
        <w:rPr>
          <w:b w:val="0"/>
          <w:noProof/>
          <w:szCs w:val="22"/>
          <w:lang w:val="af-ZA" w:eastAsia="en-US"/>
        </w:rPr>
        <w:t xml:space="preserve"> </w:t>
      </w:r>
      <w:r w:rsidRPr="00AB56B7">
        <w:rPr>
          <w:b w:val="0"/>
          <w:noProof/>
          <w:szCs w:val="22"/>
          <w:lang w:val="hy-AM" w:eastAsia="en-US"/>
        </w:rPr>
        <w:t>սպորտ</w:t>
      </w:r>
      <w:r w:rsidRPr="00E27F1D">
        <w:rPr>
          <w:b w:val="0"/>
          <w:noProof/>
          <w:szCs w:val="22"/>
          <w:lang w:val="af-ZA" w:eastAsia="en-US"/>
        </w:rPr>
        <w:t xml:space="preserve">» </w:t>
      </w:r>
      <w:r w:rsidRPr="00AB56B7">
        <w:rPr>
          <w:b w:val="0"/>
          <w:noProof/>
          <w:szCs w:val="22"/>
          <w:lang w:val="hy-AM" w:eastAsia="en-US"/>
        </w:rPr>
        <w:t>ծրագրի</w:t>
      </w:r>
      <w:r w:rsidRPr="00E27F1D">
        <w:rPr>
          <w:b w:val="0"/>
          <w:noProof/>
          <w:szCs w:val="22"/>
          <w:lang w:val="af-ZA" w:eastAsia="en-US"/>
        </w:rPr>
        <w:t xml:space="preserve"> </w:t>
      </w:r>
      <w:r w:rsidRPr="00AB56B7">
        <w:rPr>
          <w:b w:val="0"/>
          <w:noProof/>
          <w:szCs w:val="22"/>
          <w:lang w:val="hy-AM" w:eastAsia="en-US"/>
        </w:rPr>
        <w:t>համար</w:t>
      </w:r>
      <w:r w:rsidRPr="00E27F1D">
        <w:rPr>
          <w:b w:val="0"/>
          <w:noProof/>
          <w:szCs w:val="22"/>
          <w:lang w:val="af-ZA" w:eastAsia="en-US"/>
        </w:rPr>
        <w:t xml:space="preserve"> </w:t>
      </w:r>
      <w:r w:rsidRPr="00AB56B7">
        <w:rPr>
          <w:b w:val="0"/>
          <w:noProof/>
          <w:szCs w:val="22"/>
          <w:lang w:val="hy-AM" w:eastAsia="en-US"/>
        </w:rPr>
        <w:t>Նախագծով</w:t>
      </w:r>
      <w:r w:rsidRPr="00E27F1D">
        <w:rPr>
          <w:b w:val="0"/>
          <w:noProof/>
          <w:szCs w:val="22"/>
          <w:lang w:val="af-ZA" w:eastAsia="en-US"/>
        </w:rPr>
        <w:t xml:space="preserve"> </w:t>
      </w:r>
      <w:r w:rsidRPr="00AB56B7">
        <w:rPr>
          <w:b w:val="0"/>
          <w:noProof/>
          <w:szCs w:val="22"/>
          <w:lang w:val="hy-AM" w:eastAsia="en-US"/>
        </w:rPr>
        <w:t>նախատեսվում</w:t>
      </w:r>
      <w:r w:rsidRPr="00E27F1D">
        <w:rPr>
          <w:b w:val="0"/>
          <w:noProof/>
          <w:szCs w:val="22"/>
          <w:lang w:val="af-ZA" w:eastAsia="en-US"/>
        </w:rPr>
        <w:t xml:space="preserve"> </w:t>
      </w:r>
      <w:r w:rsidRPr="00AB56B7">
        <w:rPr>
          <w:b w:val="0"/>
          <w:noProof/>
          <w:szCs w:val="22"/>
          <w:lang w:val="hy-AM" w:eastAsia="en-US"/>
        </w:rPr>
        <w:t>է</w:t>
      </w:r>
      <w:r w:rsidRPr="00E27F1D">
        <w:rPr>
          <w:b w:val="0"/>
          <w:noProof/>
          <w:szCs w:val="22"/>
          <w:lang w:val="af-ZA" w:eastAsia="en-US"/>
        </w:rPr>
        <w:t xml:space="preserve"> </w:t>
      </w:r>
      <w:r w:rsidRPr="00AB56B7">
        <w:rPr>
          <w:b w:val="0"/>
          <w:noProof/>
          <w:szCs w:val="22"/>
          <w:lang w:val="hy-AM" w:eastAsia="en-US"/>
        </w:rPr>
        <w:t>հատկացնել</w:t>
      </w:r>
      <w:r w:rsidRPr="00E27F1D">
        <w:rPr>
          <w:b w:val="0"/>
          <w:noProof/>
          <w:szCs w:val="22"/>
          <w:lang w:val="af-ZA" w:eastAsia="en-US"/>
        </w:rPr>
        <w:t xml:space="preserve"> 2,495.6 </w:t>
      </w:r>
      <w:r w:rsidRPr="00AB56B7">
        <w:rPr>
          <w:b w:val="0"/>
          <w:noProof/>
          <w:szCs w:val="22"/>
          <w:lang w:val="hy-AM" w:eastAsia="en-US"/>
        </w:rPr>
        <w:t>մլն</w:t>
      </w:r>
      <w:r w:rsidRPr="00E27F1D">
        <w:rPr>
          <w:b w:val="0"/>
          <w:noProof/>
          <w:szCs w:val="22"/>
          <w:lang w:val="af-ZA" w:eastAsia="en-US"/>
        </w:rPr>
        <w:t xml:space="preserve"> </w:t>
      </w:r>
      <w:r w:rsidRPr="00AB56B7">
        <w:rPr>
          <w:b w:val="0"/>
          <w:noProof/>
          <w:szCs w:val="22"/>
          <w:lang w:val="hy-AM" w:eastAsia="en-US"/>
        </w:rPr>
        <w:t>դրամ՝</w:t>
      </w:r>
      <w:r w:rsidRPr="00E27F1D">
        <w:rPr>
          <w:b w:val="0"/>
          <w:noProof/>
          <w:szCs w:val="22"/>
          <w:lang w:val="af-ZA" w:eastAsia="en-US"/>
        </w:rPr>
        <w:t xml:space="preserve"> </w:t>
      </w:r>
      <w:r w:rsidRPr="00AB56B7">
        <w:rPr>
          <w:b w:val="0"/>
          <w:noProof/>
          <w:szCs w:val="22"/>
          <w:lang w:val="hy-AM" w:eastAsia="en-US"/>
        </w:rPr>
        <w:t>ՀՀ</w:t>
      </w:r>
      <w:r w:rsidRPr="00E27F1D">
        <w:rPr>
          <w:b w:val="0"/>
          <w:noProof/>
          <w:szCs w:val="22"/>
          <w:lang w:val="af-ZA" w:eastAsia="en-US"/>
        </w:rPr>
        <w:t xml:space="preserve"> 20</w:t>
      </w:r>
      <w:r w:rsidRPr="00E27F1D">
        <w:rPr>
          <w:b w:val="0"/>
          <w:noProof/>
          <w:szCs w:val="22"/>
          <w:lang w:val="hy-AM" w:eastAsia="en-US"/>
        </w:rPr>
        <w:t>20</w:t>
      </w:r>
      <w:r w:rsidRPr="00E27F1D">
        <w:rPr>
          <w:b w:val="0"/>
          <w:noProof/>
          <w:szCs w:val="22"/>
          <w:lang w:val="af-ZA" w:eastAsia="en-US"/>
        </w:rPr>
        <w:t xml:space="preserve"> </w:t>
      </w:r>
      <w:r w:rsidRPr="00AB56B7">
        <w:rPr>
          <w:b w:val="0"/>
          <w:noProof/>
          <w:szCs w:val="22"/>
          <w:lang w:val="hy-AM" w:eastAsia="en-US"/>
        </w:rPr>
        <w:t>թվականի</w:t>
      </w:r>
      <w:r w:rsidRPr="00E27F1D">
        <w:rPr>
          <w:b w:val="0"/>
          <w:noProof/>
          <w:szCs w:val="22"/>
          <w:lang w:val="af-ZA" w:eastAsia="en-US"/>
        </w:rPr>
        <w:t xml:space="preserve"> </w:t>
      </w:r>
      <w:r w:rsidRPr="00AB56B7">
        <w:rPr>
          <w:b w:val="0"/>
          <w:noProof/>
          <w:szCs w:val="22"/>
          <w:lang w:val="hy-AM" w:eastAsia="en-US"/>
        </w:rPr>
        <w:t>պետական</w:t>
      </w:r>
      <w:r w:rsidRPr="00E27F1D">
        <w:rPr>
          <w:b w:val="0"/>
          <w:noProof/>
          <w:szCs w:val="22"/>
          <w:lang w:val="af-ZA" w:eastAsia="en-US"/>
        </w:rPr>
        <w:t xml:space="preserve"> </w:t>
      </w:r>
      <w:r w:rsidRPr="00AB56B7">
        <w:rPr>
          <w:b w:val="0"/>
          <w:noProof/>
          <w:szCs w:val="22"/>
          <w:lang w:val="hy-AM" w:eastAsia="en-US"/>
        </w:rPr>
        <w:t>բյուջեով</w:t>
      </w:r>
      <w:r w:rsidRPr="00E27F1D">
        <w:rPr>
          <w:b w:val="0"/>
          <w:noProof/>
          <w:szCs w:val="22"/>
          <w:lang w:val="af-ZA" w:eastAsia="en-US"/>
        </w:rPr>
        <w:t xml:space="preserve"> </w:t>
      </w:r>
      <w:r w:rsidRPr="00AB56B7">
        <w:rPr>
          <w:b w:val="0"/>
          <w:noProof/>
          <w:szCs w:val="22"/>
          <w:lang w:val="hy-AM" w:eastAsia="en-US"/>
        </w:rPr>
        <w:t>հաստատված</w:t>
      </w:r>
      <w:r w:rsidRPr="00E27F1D">
        <w:rPr>
          <w:b w:val="0"/>
          <w:noProof/>
          <w:szCs w:val="22"/>
          <w:lang w:val="af-ZA" w:eastAsia="en-US"/>
        </w:rPr>
        <w:t xml:space="preserve"> 2,</w:t>
      </w:r>
      <w:r w:rsidRPr="00E27F1D">
        <w:rPr>
          <w:b w:val="0"/>
          <w:noProof/>
          <w:szCs w:val="22"/>
          <w:lang w:val="hy-AM" w:eastAsia="en-US"/>
        </w:rPr>
        <w:t>342</w:t>
      </w:r>
      <w:r w:rsidRPr="00E27F1D">
        <w:rPr>
          <w:b w:val="0"/>
          <w:noProof/>
          <w:szCs w:val="22"/>
          <w:lang w:val="af-ZA" w:eastAsia="en-US"/>
        </w:rPr>
        <w:t>.</w:t>
      </w:r>
      <w:r w:rsidRPr="00E27F1D">
        <w:rPr>
          <w:b w:val="0"/>
          <w:noProof/>
          <w:szCs w:val="22"/>
          <w:lang w:val="hy-AM" w:eastAsia="en-US"/>
        </w:rPr>
        <w:t>1</w:t>
      </w:r>
      <w:r w:rsidRPr="00E27F1D">
        <w:rPr>
          <w:b w:val="0"/>
          <w:noProof/>
          <w:szCs w:val="22"/>
          <w:lang w:val="af-ZA" w:eastAsia="en-US"/>
        </w:rPr>
        <w:t xml:space="preserve"> </w:t>
      </w:r>
      <w:r w:rsidRPr="00AB56B7">
        <w:rPr>
          <w:b w:val="0"/>
          <w:noProof/>
          <w:szCs w:val="22"/>
          <w:lang w:val="hy-AM" w:eastAsia="en-US"/>
        </w:rPr>
        <w:t>մլն</w:t>
      </w:r>
      <w:r w:rsidRPr="00E27F1D">
        <w:rPr>
          <w:b w:val="0"/>
          <w:noProof/>
          <w:szCs w:val="22"/>
          <w:lang w:val="af-ZA" w:eastAsia="en-US"/>
        </w:rPr>
        <w:t xml:space="preserve"> </w:t>
      </w:r>
      <w:r w:rsidRPr="00AB56B7">
        <w:rPr>
          <w:b w:val="0"/>
          <w:noProof/>
          <w:szCs w:val="22"/>
          <w:lang w:val="hy-AM" w:eastAsia="en-US"/>
        </w:rPr>
        <w:t>դրամի</w:t>
      </w:r>
      <w:r w:rsidRPr="00E27F1D">
        <w:rPr>
          <w:b w:val="0"/>
          <w:noProof/>
          <w:szCs w:val="22"/>
          <w:lang w:val="af-ZA" w:eastAsia="en-US"/>
        </w:rPr>
        <w:t xml:space="preserve"> </w:t>
      </w:r>
      <w:r w:rsidRPr="00AB56B7">
        <w:rPr>
          <w:b w:val="0"/>
          <w:noProof/>
          <w:szCs w:val="22"/>
          <w:lang w:val="hy-AM" w:eastAsia="en-US"/>
        </w:rPr>
        <w:t>դիմաց</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Pr>
          <w:b w:val="0"/>
          <w:noProof/>
          <w:szCs w:val="22"/>
          <w:lang w:val="hy-AM" w:eastAsia="en-US"/>
        </w:rPr>
        <w:t xml:space="preserve">        </w:t>
      </w:r>
      <w:r w:rsidR="002958DC" w:rsidRPr="005578F9">
        <w:rPr>
          <w:b w:val="0"/>
          <w:noProof/>
          <w:szCs w:val="22"/>
          <w:lang w:val="af-ZA" w:eastAsia="en-US"/>
        </w:rPr>
        <w:tab/>
      </w:r>
      <w:r w:rsidRPr="00E27F1D">
        <w:rPr>
          <w:b w:val="0"/>
          <w:noProof/>
          <w:szCs w:val="22"/>
          <w:lang w:val="en-US" w:eastAsia="en-US"/>
        </w:rPr>
        <w:t>Ծախսերն</w:t>
      </w:r>
      <w:r w:rsidRPr="00E27F1D">
        <w:rPr>
          <w:b w:val="0"/>
          <w:noProof/>
          <w:szCs w:val="22"/>
          <w:lang w:val="af-ZA" w:eastAsia="en-US"/>
        </w:rPr>
        <w:t xml:space="preserve"> </w:t>
      </w:r>
      <w:r w:rsidRPr="00E27F1D">
        <w:rPr>
          <w:b w:val="0"/>
          <w:noProof/>
          <w:szCs w:val="22"/>
          <w:lang w:val="en-US" w:eastAsia="en-US"/>
        </w:rPr>
        <w:t>աճել</w:t>
      </w:r>
      <w:r w:rsidRPr="00E27F1D">
        <w:rPr>
          <w:b w:val="0"/>
          <w:noProof/>
          <w:szCs w:val="22"/>
          <w:lang w:val="af-ZA" w:eastAsia="en-US"/>
        </w:rPr>
        <w:t xml:space="preserve"> </w:t>
      </w:r>
      <w:r w:rsidRPr="00E27F1D">
        <w:rPr>
          <w:b w:val="0"/>
          <w:noProof/>
          <w:szCs w:val="22"/>
          <w:lang w:val="en-US" w:eastAsia="en-US"/>
        </w:rPr>
        <w:t>են</w:t>
      </w:r>
      <w:r w:rsidRPr="00E27F1D">
        <w:rPr>
          <w:b w:val="0"/>
          <w:noProof/>
          <w:szCs w:val="22"/>
          <w:lang w:val="af-ZA" w:eastAsia="en-US"/>
        </w:rPr>
        <w:t xml:space="preserve"> 153.5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դրամով</w:t>
      </w:r>
      <w:r w:rsidRPr="00E27F1D">
        <w:rPr>
          <w:b w:val="0"/>
          <w:noProof/>
          <w:szCs w:val="22"/>
          <w:lang w:val="af-ZA" w:eastAsia="en-US"/>
        </w:rPr>
        <w:t xml:space="preserve">, </w:t>
      </w:r>
      <w:r w:rsidRPr="00E27F1D">
        <w:rPr>
          <w:b w:val="0"/>
          <w:noProof/>
          <w:szCs w:val="22"/>
          <w:lang w:val="en-US" w:eastAsia="en-US"/>
        </w:rPr>
        <w:t>կամ</w:t>
      </w:r>
      <w:r w:rsidRPr="00E27F1D">
        <w:rPr>
          <w:b w:val="0"/>
          <w:noProof/>
          <w:szCs w:val="22"/>
          <w:lang w:val="af-ZA" w:eastAsia="en-US"/>
        </w:rPr>
        <w:t xml:space="preserve"> 6.6 %-</w:t>
      </w:r>
      <w:r w:rsidRPr="00E27F1D">
        <w:rPr>
          <w:b w:val="0"/>
          <w:noProof/>
          <w:szCs w:val="22"/>
          <w:lang w:val="en-US" w:eastAsia="en-US"/>
        </w:rPr>
        <w:t>ով</w:t>
      </w:r>
      <w:r w:rsidRPr="00E27F1D">
        <w:rPr>
          <w:b w:val="0"/>
          <w:noProof/>
          <w:szCs w:val="22"/>
          <w:lang w:val="af-ZA" w:eastAsia="en-US"/>
        </w:rPr>
        <w:t xml:space="preserve">, </w:t>
      </w:r>
      <w:r w:rsidRPr="00E27F1D">
        <w:rPr>
          <w:b w:val="0"/>
          <w:noProof/>
          <w:szCs w:val="22"/>
          <w:lang w:val="en-US" w:eastAsia="en-US"/>
        </w:rPr>
        <w:t>որը</w:t>
      </w:r>
      <w:r w:rsidRPr="00E27F1D">
        <w:rPr>
          <w:b w:val="0"/>
          <w:noProof/>
          <w:szCs w:val="22"/>
          <w:lang w:val="af-ZA" w:eastAsia="en-US"/>
        </w:rPr>
        <w:t xml:space="preserve"> </w:t>
      </w:r>
      <w:r w:rsidRPr="00E27F1D">
        <w:rPr>
          <w:b w:val="0"/>
          <w:noProof/>
          <w:szCs w:val="22"/>
          <w:lang w:val="en-US" w:eastAsia="en-US"/>
        </w:rPr>
        <w:t>պայմանավորված</w:t>
      </w:r>
      <w:r w:rsidRPr="00E27F1D">
        <w:rPr>
          <w:b w:val="0"/>
          <w:noProof/>
          <w:szCs w:val="22"/>
          <w:lang w:val="af-ZA" w:eastAsia="en-US"/>
        </w:rPr>
        <w:t xml:space="preserve"> </w:t>
      </w:r>
      <w:r w:rsidRPr="00E27F1D">
        <w:rPr>
          <w:b w:val="0"/>
          <w:noProof/>
          <w:szCs w:val="22"/>
          <w:lang w:val="en-US" w:eastAsia="en-US"/>
        </w:rPr>
        <w:t>է</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af-ZA" w:eastAsia="en-US"/>
        </w:rPr>
        <w:t xml:space="preserve">- </w:t>
      </w:r>
      <w:r w:rsidRPr="00E27F1D">
        <w:rPr>
          <w:b w:val="0"/>
          <w:noProof/>
          <w:szCs w:val="22"/>
          <w:lang w:val="en-US" w:eastAsia="en-US"/>
        </w:rPr>
        <w:t>սպորտային</w:t>
      </w:r>
      <w:r w:rsidRPr="00E27F1D">
        <w:rPr>
          <w:b w:val="0"/>
          <w:noProof/>
          <w:szCs w:val="22"/>
          <w:lang w:val="af-ZA" w:eastAsia="en-US"/>
        </w:rPr>
        <w:t xml:space="preserve"> </w:t>
      </w:r>
      <w:r w:rsidRPr="00E27F1D">
        <w:rPr>
          <w:b w:val="0"/>
          <w:noProof/>
          <w:szCs w:val="22"/>
          <w:lang w:val="en-US" w:eastAsia="en-US"/>
        </w:rPr>
        <w:t>միջոցառումների</w:t>
      </w:r>
      <w:r w:rsidRPr="00E27F1D">
        <w:rPr>
          <w:b w:val="0"/>
          <w:noProof/>
          <w:szCs w:val="22"/>
          <w:lang w:val="af-ZA" w:eastAsia="en-US"/>
        </w:rPr>
        <w:t xml:space="preserve"> </w:t>
      </w:r>
      <w:r w:rsidRPr="00E27F1D">
        <w:rPr>
          <w:b w:val="0"/>
          <w:noProof/>
          <w:szCs w:val="22"/>
          <w:lang w:val="en-US" w:eastAsia="en-US"/>
        </w:rPr>
        <w:t>անցկացման</w:t>
      </w:r>
      <w:r w:rsidRPr="00E27F1D">
        <w:rPr>
          <w:b w:val="0"/>
          <w:noProof/>
          <w:szCs w:val="22"/>
          <w:lang w:val="af-ZA" w:eastAsia="en-US"/>
        </w:rPr>
        <w:t xml:space="preserve"> </w:t>
      </w:r>
      <w:r w:rsidRPr="00E27F1D">
        <w:rPr>
          <w:b w:val="0"/>
          <w:noProof/>
          <w:szCs w:val="22"/>
          <w:lang w:val="en-US" w:eastAsia="en-US"/>
        </w:rPr>
        <w:t>ժամանակացույցով</w:t>
      </w:r>
      <w:r w:rsidRPr="00E27F1D">
        <w:rPr>
          <w:b w:val="0"/>
          <w:noProof/>
          <w:szCs w:val="22"/>
          <w:lang w:val="af-ZA" w:eastAsia="en-US"/>
        </w:rPr>
        <w:t xml:space="preserve"> </w:t>
      </w:r>
      <w:r w:rsidRPr="00E27F1D">
        <w:rPr>
          <w:b w:val="0"/>
          <w:noProof/>
          <w:szCs w:val="22"/>
          <w:lang w:val="en-US" w:eastAsia="en-US"/>
        </w:rPr>
        <w:t>պայմանավորված</w:t>
      </w:r>
      <w:r w:rsidRPr="00E27F1D">
        <w:rPr>
          <w:b w:val="0"/>
          <w:noProof/>
          <w:szCs w:val="22"/>
          <w:lang w:val="af-ZA" w:eastAsia="en-US"/>
        </w:rPr>
        <w:t xml:space="preserve"> </w:t>
      </w:r>
      <w:r w:rsidRPr="00E27F1D">
        <w:rPr>
          <w:b w:val="0"/>
          <w:noProof/>
          <w:szCs w:val="22"/>
          <w:lang w:val="en-US" w:eastAsia="en-US"/>
        </w:rPr>
        <w:t>ծախսերի</w:t>
      </w:r>
      <w:r w:rsidRPr="00E27F1D">
        <w:rPr>
          <w:b w:val="0"/>
          <w:noProof/>
          <w:szCs w:val="22"/>
          <w:lang w:val="af-ZA" w:eastAsia="en-US"/>
        </w:rPr>
        <w:t xml:space="preserve"> </w:t>
      </w:r>
      <w:r w:rsidRPr="00E27F1D">
        <w:rPr>
          <w:b w:val="0"/>
          <w:noProof/>
          <w:szCs w:val="22"/>
          <w:lang w:val="en-US" w:eastAsia="en-US"/>
        </w:rPr>
        <w:t>աճով</w:t>
      </w:r>
      <w:r w:rsidRPr="00E27F1D">
        <w:rPr>
          <w:b w:val="0"/>
          <w:noProof/>
          <w:szCs w:val="22"/>
          <w:lang w:val="af-ZA" w:eastAsia="en-US"/>
        </w:rPr>
        <w:t xml:space="preserve">` 27.8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դրամով</w:t>
      </w:r>
      <w:r w:rsidRPr="00E27F1D">
        <w:rPr>
          <w:b w:val="0"/>
          <w:noProof/>
          <w:szCs w:val="22"/>
          <w:lang w:val="hy-AM" w:eastAsia="en-US"/>
        </w:rPr>
        <w:t xml:space="preserve"> </w:t>
      </w:r>
      <w:r w:rsidRPr="00E27F1D">
        <w:rPr>
          <w:b w:val="0"/>
          <w:noProof/>
          <w:szCs w:val="22"/>
          <w:lang w:val="af-ZA" w:eastAsia="en-US"/>
        </w:rPr>
        <w:t>(</w:t>
      </w:r>
      <w:r w:rsidRPr="00E27F1D">
        <w:rPr>
          <w:b w:val="0"/>
          <w:noProof/>
          <w:szCs w:val="22"/>
          <w:lang w:val="en-US" w:eastAsia="en-US"/>
        </w:rPr>
        <w:t>Եվրոպայի</w:t>
      </w:r>
      <w:r w:rsidRPr="00E27F1D">
        <w:rPr>
          <w:b w:val="0"/>
          <w:noProof/>
          <w:szCs w:val="22"/>
          <w:lang w:val="af-ZA" w:eastAsia="en-US"/>
        </w:rPr>
        <w:t xml:space="preserve"> </w:t>
      </w:r>
      <w:r w:rsidRPr="00E27F1D">
        <w:rPr>
          <w:b w:val="0"/>
          <w:noProof/>
          <w:szCs w:val="22"/>
          <w:lang w:val="en-US" w:eastAsia="en-US"/>
        </w:rPr>
        <w:t>երիտասարդության</w:t>
      </w:r>
      <w:r w:rsidRPr="00E27F1D">
        <w:rPr>
          <w:b w:val="0"/>
          <w:noProof/>
          <w:szCs w:val="22"/>
          <w:lang w:val="af-ZA" w:eastAsia="en-US"/>
        </w:rPr>
        <w:t xml:space="preserve"> </w:t>
      </w:r>
      <w:r w:rsidRPr="00E27F1D">
        <w:rPr>
          <w:b w:val="0"/>
          <w:noProof/>
          <w:szCs w:val="22"/>
          <w:lang w:val="en-US" w:eastAsia="en-US"/>
        </w:rPr>
        <w:t>օլիմպիական</w:t>
      </w:r>
      <w:r w:rsidRPr="00E27F1D">
        <w:rPr>
          <w:b w:val="0"/>
          <w:noProof/>
          <w:szCs w:val="22"/>
          <w:lang w:val="af-ZA" w:eastAsia="en-US"/>
        </w:rPr>
        <w:t xml:space="preserve"> </w:t>
      </w:r>
      <w:r w:rsidRPr="00E27F1D">
        <w:rPr>
          <w:b w:val="0"/>
          <w:noProof/>
          <w:szCs w:val="22"/>
          <w:lang w:val="en-US" w:eastAsia="en-US"/>
        </w:rPr>
        <w:t>փառատոներին</w:t>
      </w:r>
      <w:r w:rsidRPr="00E27F1D">
        <w:rPr>
          <w:b w:val="0"/>
          <w:noProof/>
          <w:szCs w:val="22"/>
          <w:lang w:val="af-ZA" w:eastAsia="en-US"/>
        </w:rPr>
        <w:t xml:space="preserve"> </w:t>
      </w:r>
      <w:r w:rsidRPr="00E27F1D">
        <w:rPr>
          <w:b w:val="0"/>
          <w:noProof/>
          <w:szCs w:val="22"/>
          <w:lang w:val="en-US" w:eastAsia="en-US"/>
        </w:rPr>
        <w:t>մասնակցության</w:t>
      </w:r>
      <w:r w:rsidRPr="00E27F1D">
        <w:rPr>
          <w:b w:val="0"/>
          <w:noProof/>
          <w:szCs w:val="22"/>
          <w:lang w:val="af-ZA" w:eastAsia="en-US"/>
        </w:rPr>
        <w:t xml:space="preserve"> </w:t>
      </w:r>
      <w:r w:rsidRPr="00E27F1D">
        <w:rPr>
          <w:b w:val="0"/>
          <w:noProof/>
          <w:szCs w:val="22"/>
          <w:lang w:val="en-US" w:eastAsia="en-US"/>
        </w:rPr>
        <w:t>ապահովում</w:t>
      </w:r>
      <w:r w:rsidRPr="00E27F1D">
        <w:rPr>
          <w:b w:val="0"/>
          <w:noProof/>
          <w:szCs w:val="22"/>
          <w:lang w:val="af-ZA" w:eastAsia="en-US"/>
        </w:rPr>
        <w:t xml:space="preserve">» </w:t>
      </w:r>
      <w:r w:rsidRPr="00E27F1D">
        <w:rPr>
          <w:b w:val="0"/>
          <w:noProof/>
          <w:szCs w:val="22"/>
          <w:lang w:val="hy-AM" w:eastAsia="en-US"/>
        </w:rPr>
        <w:t>միջոցառումը իրականացվում է 2 տարին մեկ աանգամ</w:t>
      </w:r>
      <w:r w:rsidRPr="00E27F1D">
        <w:rPr>
          <w:b w:val="0"/>
          <w:noProof/>
          <w:szCs w:val="22"/>
          <w:lang w:val="af-ZA" w:eastAsia="en-US"/>
        </w:rPr>
        <w:t xml:space="preserve">), </w:t>
      </w:r>
    </w:p>
    <w:p w:rsidR="00E27F1D" w:rsidRPr="00E27F1D" w:rsidRDefault="00E27F1D" w:rsidP="007730AA">
      <w:pPr>
        <w:numPr>
          <w:ilvl w:val="12"/>
          <w:numId w:val="0"/>
        </w:numPr>
        <w:tabs>
          <w:tab w:val="left" w:pos="851"/>
        </w:tabs>
        <w:spacing w:before="0" w:line="276" w:lineRule="auto"/>
        <w:contextualSpacing w:val="0"/>
        <w:rPr>
          <w:b w:val="0"/>
          <w:noProof/>
          <w:szCs w:val="22"/>
          <w:lang w:val="af-ZA" w:eastAsia="en-US"/>
        </w:rPr>
      </w:pPr>
      <w:r w:rsidRPr="00E27F1D">
        <w:rPr>
          <w:b w:val="0"/>
          <w:noProof/>
          <w:szCs w:val="22"/>
          <w:lang w:val="af-ZA" w:eastAsia="en-US"/>
        </w:rPr>
        <w:t xml:space="preserve">- </w:t>
      </w:r>
      <w:r w:rsidRPr="00E27F1D">
        <w:rPr>
          <w:b w:val="0"/>
          <w:noProof/>
          <w:szCs w:val="22"/>
          <w:lang w:val="en-US" w:eastAsia="en-US"/>
        </w:rPr>
        <w:t>Ադապտիվ</w:t>
      </w:r>
      <w:r w:rsidRPr="00E27F1D">
        <w:rPr>
          <w:b w:val="0"/>
          <w:noProof/>
          <w:szCs w:val="22"/>
          <w:lang w:val="af-ZA" w:eastAsia="en-US"/>
        </w:rPr>
        <w:t xml:space="preserve"> </w:t>
      </w:r>
      <w:r w:rsidRPr="00E27F1D">
        <w:rPr>
          <w:b w:val="0"/>
          <w:noProof/>
          <w:szCs w:val="22"/>
          <w:lang w:val="en-US" w:eastAsia="en-US"/>
        </w:rPr>
        <w:t>սպորտին</w:t>
      </w:r>
      <w:r w:rsidRPr="00E27F1D">
        <w:rPr>
          <w:b w:val="0"/>
          <w:noProof/>
          <w:szCs w:val="22"/>
          <w:lang w:val="af-ZA" w:eastAsia="en-US"/>
        </w:rPr>
        <w:t xml:space="preserve"> </w:t>
      </w:r>
      <w:r w:rsidRPr="00E27F1D">
        <w:rPr>
          <w:b w:val="0"/>
          <w:noProof/>
          <w:szCs w:val="22"/>
          <w:lang w:val="en-US" w:eastAsia="en-US"/>
        </w:rPr>
        <w:t>առնչվող</w:t>
      </w:r>
      <w:r w:rsidRPr="00E27F1D">
        <w:rPr>
          <w:b w:val="0"/>
          <w:noProof/>
          <w:szCs w:val="22"/>
          <w:lang w:val="af-ZA" w:eastAsia="en-US"/>
        </w:rPr>
        <w:t xml:space="preserve"> </w:t>
      </w:r>
      <w:r w:rsidRPr="00E27F1D">
        <w:rPr>
          <w:b w:val="0"/>
          <w:noProof/>
          <w:szCs w:val="22"/>
          <w:lang w:val="en-US" w:eastAsia="en-US"/>
        </w:rPr>
        <w:t>ծառայությունների</w:t>
      </w:r>
      <w:r w:rsidRPr="00E27F1D">
        <w:rPr>
          <w:b w:val="0"/>
          <w:noProof/>
          <w:szCs w:val="22"/>
          <w:lang w:val="af-ZA" w:eastAsia="en-US"/>
        </w:rPr>
        <w:t xml:space="preserve"> </w:t>
      </w:r>
      <w:r w:rsidRPr="00E27F1D">
        <w:rPr>
          <w:b w:val="0"/>
          <w:noProof/>
          <w:szCs w:val="22"/>
          <w:lang w:val="en-US" w:eastAsia="en-US"/>
        </w:rPr>
        <w:t>ծախսերի</w:t>
      </w:r>
      <w:r w:rsidRPr="00E27F1D">
        <w:rPr>
          <w:b w:val="0"/>
          <w:noProof/>
          <w:szCs w:val="22"/>
          <w:lang w:val="af-ZA" w:eastAsia="en-US"/>
        </w:rPr>
        <w:t xml:space="preserve"> </w:t>
      </w:r>
      <w:r w:rsidRPr="00E27F1D">
        <w:rPr>
          <w:b w:val="0"/>
          <w:noProof/>
          <w:szCs w:val="22"/>
          <w:lang w:val="en-US" w:eastAsia="en-US"/>
        </w:rPr>
        <w:t>աճով՝</w:t>
      </w:r>
      <w:r w:rsidRPr="00E27F1D">
        <w:rPr>
          <w:b w:val="0"/>
          <w:noProof/>
          <w:szCs w:val="22"/>
          <w:lang w:val="af-ZA" w:eastAsia="en-US"/>
        </w:rPr>
        <w:t xml:space="preserve"> </w:t>
      </w:r>
      <w:r w:rsidRPr="00E27F1D">
        <w:rPr>
          <w:b w:val="0"/>
          <w:noProof/>
          <w:szCs w:val="22"/>
          <w:lang w:val="hy-AM" w:eastAsia="en-US"/>
        </w:rPr>
        <w:t>74</w:t>
      </w:r>
      <w:r w:rsidRPr="00E27F1D">
        <w:rPr>
          <w:b w:val="0"/>
          <w:noProof/>
          <w:szCs w:val="22"/>
          <w:lang w:val="af-ZA" w:eastAsia="en-US"/>
        </w:rPr>
        <w:t>.</w:t>
      </w:r>
      <w:r w:rsidRPr="00E27F1D">
        <w:rPr>
          <w:b w:val="0"/>
          <w:noProof/>
          <w:szCs w:val="22"/>
          <w:lang w:val="hy-AM" w:eastAsia="en-US"/>
        </w:rPr>
        <w:t>2</w:t>
      </w:r>
      <w:r w:rsidRPr="00E27F1D">
        <w:rPr>
          <w:b w:val="0"/>
          <w:noProof/>
          <w:szCs w:val="22"/>
          <w:lang w:val="af-ZA" w:eastAsia="en-US"/>
        </w:rPr>
        <w:t xml:space="preserve"> </w:t>
      </w:r>
      <w:r w:rsidRPr="00E27F1D">
        <w:rPr>
          <w:b w:val="0"/>
          <w:noProof/>
          <w:szCs w:val="22"/>
          <w:lang w:val="en-US" w:eastAsia="en-US"/>
        </w:rPr>
        <w:t>մլն</w:t>
      </w:r>
      <w:r w:rsidRPr="00E27F1D">
        <w:rPr>
          <w:b w:val="0"/>
          <w:noProof/>
          <w:szCs w:val="22"/>
          <w:lang w:val="af-ZA" w:eastAsia="en-US"/>
        </w:rPr>
        <w:t xml:space="preserve"> </w:t>
      </w:r>
      <w:r w:rsidRPr="00E27F1D">
        <w:rPr>
          <w:b w:val="0"/>
          <w:noProof/>
          <w:szCs w:val="22"/>
          <w:lang w:val="en-US" w:eastAsia="en-US"/>
        </w:rPr>
        <w:t>դրամով</w:t>
      </w:r>
      <w:r w:rsidRPr="00E27F1D">
        <w:rPr>
          <w:b w:val="0"/>
          <w:noProof/>
          <w:szCs w:val="22"/>
          <w:lang w:val="af-ZA" w:eastAsia="en-US"/>
        </w:rPr>
        <w:t xml:space="preserve">, </w:t>
      </w:r>
      <w:r w:rsidRPr="00E27F1D">
        <w:rPr>
          <w:b w:val="0"/>
          <w:noProof/>
          <w:szCs w:val="22"/>
          <w:lang w:val="en-US" w:eastAsia="en-US"/>
        </w:rPr>
        <w:t>կապված</w:t>
      </w:r>
      <w:r w:rsidRPr="00E27F1D">
        <w:rPr>
          <w:b w:val="0"/>
          <w:noProof/>
          <w:szCs w:val="22"/>
          <w:lang w:val="hy-AM" w:eastAsia="en-US"/>
        </w:rPr>
        <w:t xml:space="preserve"> միջոցառումների թվի ավելացման և 2 նոր «Հայաստանի Հանրապետության հաշմանդամային սպորտի ֆեդերացիա» և «Հաշմանդամ անձանց սեղանի թենիսի հայկական ֆեդերացիա» ՀԿ-ին աջակցության հետ</w:t>
      </w:r>
      <w:r w:rsidRPr="00E27F1D">
        <w:rPr>
          <w:b w:val="0"/>
          <w:noProof/>
          <w:szCs w:val="22"/>
          <w:lang w:val="af-ZA" w:eastAsia="en-US"/>
        </w:rPr>
        <w:t>,</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hy-AM" w:eastAsia="en-US"/>
        </w:rPr>
        <w:t xml:space="preserve">- «ՀՀ հավաքական թիմերի գլխավոր և ավագ մարզիչների վարձատրություն և աշխարհի չեմպիոններին, օլիմպիական խաղերի և շախմատի համաշխարհային օլիմպիադայի մրցանակակիրներին պատվովճարի հատկացում» միջոցառման ծախսերի աճով՝ 28.8 մլն դրամով, կապված օլիմպիական խաղերի և շախմատի համաշխարհային օլիմպիադայի չեմպիոնների ու մրցանակակիրների, աշխարհի առաջնությունների չեմպիոնների պատվովճար ստացողների ցանկում նաև Հայաստանի Հանրապետությունում մշտապես չբնակվող մարզիկներին ընդգրկելու հետ, </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hy-AM" w:eastAsia="en-US"/>
        </w:rPr>
        <w:t xml:space="preserve">- նոր նախաձեռնությունների նախատեսմամբ՝ 298.3 մլն դրամ (ՀՀ «Տարվա լավագույն մարզիկներ» մրցույթի կազմակերպում, անցկացում և հաղթող ճանաչված մարզիկների պարգևատրում»` 51.5 մլն դրամ և </w:t>
      </w:r>
      <w:r w:rsidR="004640FF" w:rsidRPr="00E27F1D">
        <w:rPr>
          <w:b w:val="0"/>
          <w:noProof/>
          <w:szCs w:val="22"/>
          <w:lang w:val="hy-AM" w:eastAsia="en-US"/>
        </w:rPr>
        <w:t></w:t>
      </w:r>
      <w:r w:rsidRPr="00E27F1D">
        <w:rPr>
          <w:b w:val="0"/>
          <w:noProof/>
          <w:szCs w:val="22"/>
          <w:lang w:val="hy-AM" w:eastAsia="en-US"/>
        </w:rPr>
        <w:t>2021 թվականի ամառային օլիմպիական խաղերին նախապատրաստվելու նպատակով ֆինանսական աջակցության տրամադրում</w:t>
      </w:r>
      <w:r w:rsidR="004640FF" w:rsidRPr="00E27F1D">
        <w:rPr>
          <w:b w:val="0"/>
          <w:noProof/>
          <w:szCs w:val="22"/>
          <w:lang w:val="hy-AM" w:eastAsia="en-US"/>
        </w:rPr>
        <w:t>»</w:t>
      </w:r>
      <w:r w:rsidRPr="00E27F1D">
        <w:rPr>
          <w:b w:val="0"/>
          <w:noProof/>
          <w:szCs w:val="22"/>
          <w:lang w:val="hy-AM" w:eastAsia="en-US"/>
        </w:rPr>
        <w:t>` 246.8 մլն դրամ):</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Pr>
          <w:b w:val="0"/>
          <w:noProof/>
          <w:szCs w:val="22"/>
          <w:lang w:val="hy-AM" w:eastAsia="en-US"/>
        </w:rPr>
        <w:t xml:space="preserve">       </w:t>
      </w:r>
      <w:r w:rsidR="002958DC" w:rsidRPr="005578F9">
        <w:rPr>
          <w:b w:val="0"/>
          <w:noProof/>
          <w:szCs w:val="22"/>
          <w:lang w:val="hy-AM" w:eastAsia="en-US"/>
        </w:rPr>
        <w:tab/>
      </w:r>
      <w:r w:rsidRPr="00E27F1D">
        <w:rPr>
          <w:b w:val="0"/>
          <w:noProof/>
          <w:szCs w:val="22"/>
          <w:lang w:val="hy-AM" w:eastAsia="en-US"/>
        </w:rPr>
        <w:t>Միաժամանակ ծախսերը նվազել են՝ 275.6 մլն դրամով, որը պայմանավորված է.</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hy-AM" w:eastAsia="en-US"/>
        </w:rPr>
        <w:t>- ծախսային գերակայություններով, առաջնահերթություններով՝ 197.6 մլն դրամով,</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hy-AM" w:eastAsia="en-US"/>
        </w:rPr>
        <w:t>- «Հայաստանի Հանրապետության հակադոպինգային ծրագրերի մշակում և իրականացում» միջոցառման ծախսերի նվազմամբ՝ 78.0 մլն դրամով (համաձայն ՀՀ կառավարության 09.07.2020 թվականի N 1156-Ն որոշման՝ «Սպորտային բժշկության և հակադոպինգային ծառայության հանրապետական կենտրոն» պետական ոչ առևտրային կազմակերպությունը վերանվանվել է «Հակադոպինգային գործակալություն» պետական ոչ առևտրային կազմակերպության, որն իրականացնելու է միայն հակադոպինգային ծառայություններ, իսկ սպորտային բժշկության համար նախատեսված գումարը վերաբաշխվել է ՀՀ առողջապահության նախարարության միջոցառումներին):</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Pr>
          <w:noProof/>
          <w:szCs w:val="22"/>
          <w:lang w:val="hy-AM" w:eastAsia="en-US"/>
        </w:rPr>
        <w:t xml:space="preserve">         </w:t>
      </w:r>
      <w:r w:rsidR="002958DC" w:rsidRPr="005578F9">
        <w:rPr>
          <w:noProof/>
          <w:szCs w:val="22"/>
          <w:lang w:val="hy-AM" w:eastAsia="en-US"/>
        </w:rPr>
        <w:tab/>
      </w:r>
      <w:r w:rsidRPr="00E27F1D">
        <w:rPr>
          <w:noProof/>
          <w:szCs w:val="22"/>
          <w:lang w:val="hy-AM" w:eastAsia="en-US"/>
        </w:rPr>
        <w:t>Երիտասարդության ծրագրի</w:t>
      </w:r>
      <w:r w:rsidRPr="00E27F1D">
        <w:rPr>
          <w:b w:val="0"/>
          <w:noProof/>
          <w:szCs w:val="22"/>
          <w:lang w:val="hy-AM" w:eastAsia="en-US"/>
        </w:rPr>
        <w:t xml:space="preserve"> նպատակը՝ նպաստել սոցիալ-տնտեսական, քաղաքական և մշակութային կյանքին երիտասարդների լիարժեք ներգրավմանը և նրանց ստեղծագործական ներուժի ամբողջական դրսևորմանը:</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hy-AM" w:eastAsia="en-US"/>
        </w:rPr>
        <w:t>Ծրագրի շրջանակներում հատկացումներն ուղղվելու են երիտասարդական պետական քաղաքականությանն ուղղված ծրագրերի և միջոցառումների, երիտասարդական ծրագրերի շրջանակներում թրաֆիքինգի դեմ պայքարի միջոցառումների իրականացմանը, մարզերում երիտասարդական կենտրոնների ստեղծմանը, երիտասարդ ընտանիքներին աջակցմանը:</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hy-AM" w:eastAsia="en-US"/>
        </w:rPr>
        <w:t>Երիտասարդության ծրագրի համար Նախագծով նախատեսվում է հատկացնել 1,846.5 մլն դրամ՝ ՀՀ 2020 թվականի պետական բյուջեով հաստատված 1,533.3 մլն դրամի դիմաց:</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hy-AM" w:eastAsia="en-US"/>
        </w:rPr>
        <w:t>Ծախսերն աճել են 313.2 մլն դրամով, կամ</w:t>
      </w:r>
      <w:r w:rsidRPr="00E27F1D">
        <w:rPr>
          <w:b w:val="0"/>
          <w:noProof/>
          <w:szCs w:val="22"/>
          <w:lang w:val="af-ZA" w:eastAsia="en-US"/>
        </w:rPr>
        <w:t xml:space="preserve"> 20.4 %-</w:t>
      </w:r>
      <w:r w:rsidRPr="00E27F1D">
        <w:rPr>
          <w:b w:val="0"/>
          <w:noProof/>
          <w:szCs w:val="22"/>
          <w:lang w:val="hy-AM" w:eastAsia="en-US"/>
        </w:rPr>
        <w:t>ով, որը պայմանավորված է.</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hy-AM" w:eastAsia="en-US"/>
        </w:rPr>
        <w:t>-Աջակցություն երիտասարդ ընտանիքներին» միջոցառման ծախսերի աճով՝ 380.6 մլն դրամով, կապված շահառուների թվի ավելացման հետ :</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hy-AM" w:eastAsia="en-US"/>
        </w:rPr>
        <w:t>Միաժամանակ, ծախսերը նվազել են՝ 67.4 մլն դրամով, որը պայմանավորված է ծախսային գերակայություններով, առաջնահերթություններով:</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Pr>
          <w:noProof/>
          <w:szCs w:val="22"/>
          <w:lang w:val="hy-AM" w:eastAsia="en-US"/>
        </w:rPr>
        <w:t xml:space="preserve">       </w:t>
      </w:r>
      <w:r w:rsidR="002958DC" w:rsidRPr="005578F9">
        <w:rPr>
          <w:noProof/>
          <w:szCs w:val="22"/>
          <w:lang w:val="hy-AM" w:eastAsia="en-US"/>
        </w:rPr>
        <w:tab/>
      </w:r>
      <w:r w:rsidRPr="00E27F1D">
        <w:rPr>
          <w:noProof/>
          <w:szCs w:val="22"/>
          <w:lang w:val="hy-AM" w:eastAsia="en-US"/>
        </w:rPr>
        <w:t>Մասսայական սպորտ»</w:t>
      </w:r>
      <w:r w:rsidRPr="00E27F1D">
        <w:rPr>
          <w:b w:val="0"/>
          <w:noProof/>
          <w:szCs w:val="22"/>
          <w:lang w:val="hy-AM" w:eastAsia="en-US"/>
        </w:rPr>
        <w:t xml:space="preserve"> ծրագրի նպատակը՝ ապահովել բնակչության շրջանում առողջ ապրելակերպի արմատավորումը, անհատի բազմակողմանի ու ներդաշնակ զարգացման գործում ֆիզիկական կուլտուրայի և սպորտի դերի բարձրացումը:</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hy-AM" w:eastAsia="en-US"/>
        </w:rPr>
        <w:t>Ծրագրի շրջանակներում հատկացումներն ուղղվելու են  մասսայական սպորտի 13 միջոցառումների իրականացմանը:</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Pr>
          <w:b w:val="0"/>
          <w:noProof/>
          <w:szCs w:val="22"/>
          <w:lang w:val="hy-AM" w:eastAsia="en-US"/>
        </w:rPr>
        <w:t xml:space="preserve">       </w:t>
      </w:r>
      <w:r w:rsidR="002958DC" w:rsidRPr="005578F9">
        <w:rPr>
          <w:b w:val="0"/>
          <w:noProof/>
          <w:szCs w:val="22"/>
          <w:lang w:val="hy-AM" w:eastAsia="en-US"/>
        </w:rPr>
        <w:tab/>
      </w:r>
      <w:r w:rsidRPr="00E27F1D">
        <w:rPr>
          <w:b w:val="0"/>
          <w:noProof/>
          <w:szCs w:val="22"/>
          <w:lang w:val="hy-AM" w:eastAsia="en-US"/>
        </w:rPr>
        <w:t>Մասսայական սպորտ» ծրագրի համար Նախագծով նախատեսվում է հատկացնել 231.0 մլն դրամ ՝ ՀՀ 2020 թվականի պետական բյուջեով հաստատված 2,227.5 մլն դրամի դիմաց:</w:t>
      </w:r>
    </w:p>
    <w:p w:rsidR="00E27F1D" w:rsidRPr="00E27F1D" w:rsidRDefault="007730AA" w:rsidP="007730AA">
      <w:pPr>
        <w:numPr>
          <w:ilvl w:val="12"/>
          <w:numId w:val="0"/>
        </w:numPr>
        <w:tabs>
          <w:tab w:val="left" w:pos="851"/>
        </w:tabs>
        <w:spacing w:before="0" w:line="276" w:lineRule="auto"/>
        <w:contextualSpacing w:val="0"/>
        <w:rPr>
          <w:b w:val="0"/>
          <w:noProof/>
          <w:szCs w:val="22"/>
          <w:lang w:val="hy-AM" w:eastAsia="en-US"/>
        </w:rPr>
      </w:pPr>
      <w:r w:rsidRPr="005578F9">
        <w:rPr>
          <w:b w:val="0"/>
          <w:noProof/>
          <w:szCs w:val="22"/>
          <w:lang w:val="hy-AM" w:eastAsia="en-US"/>
        </w:rPr>
        <w:tab/>
      </w:r>
      <w:r w:rsidR="00E27F1D" w:rsidRPr="00E27F1D">
        <w:rPr>
          <w:b w:val="0"/>
          <w:noProof/>
          <w:szCs w:val="22"/>
          <w:lang w:val="hy-AM" w:eastAsia="en-US"/>
        </w:rPr>
        <w:t>Ծախսերը նվազել են 1,996.5 մլն դրամով, կամ</w:t>
      </w:r>
      <w:r w:rsidR="00E27F1D" w:rsidRPr="00E27F1D">
        <w:rPr>
          <w:b w:val="0"/>
          <w:noProof/>
          <w:szCs w:val="22"/>
          <w:lang w:val="af-ZA" w:eastAsia="en-US"/>
        </w:rPr>
        <w:t xml:space="preserve"> </w:t>
      </w:r>
      <w:r w:rsidR="00E27F1D" w:rsidRPr="00E27F1D">
        <w:rPr>
          <w:b w:val="0"/>
          <w:noProof/>
          <w:szCs w:val="22"/>
          <w:lang w:val="hy-AM" w:eastAsia="en-US"/>
        </w:rPr>
        <w:t>89</w:t>
      </w:r>
      <w:r w:rsidR="00E27F1D" w:rsidRPr="00E27F1D">
        <w:rPr>
          <w:b w:val="0"/>
          <w:noProof/>
          <w:szCs w:val="22"/>
          <w:lang w:val="af-ZA" w:eastAsia="en-US"/>
        </w:rPr>
        <w:t>.</w:t>
      </w:r>
      <w:r w:rsidR="00E27F1D" w:rsidRPr="00E27F1D">
        <w:rPr>
          <w:b w:val="0"/>
          <w:noProof/>
          <w:szCs w:val="22"/>
          <w:lang w:val="hy-AM" w:eastAsia="en-US"/>
        </w:rPr>
        <w:t>6</w:t>
      </w:r>
      <w:r w:rsidR="00E27F1D" w:rsidRPr="00E27F1D">
        <w:rPr>
          <w:b w:val="0"/>
          <w:noProof/>
          <w:szCs w:val="22"/>
          <w:lang w:val="af-ZA" w:eastAsia="en-US"/>
        </w:rPr>
        <w:t xml:space="preserve"> %-</w:t>
      </w:r>
      <w:r w:rsidR="00E27F1D" w:rsidRPr="00E27F1D">
        <w:rPr>
          <w:b w:val="0"/>
          <w:noProof/>
          <w:szCs w:val="22"/>
          <w:lang w:val="hy-AM" w:eastAsia="en-US"/>
        </w:rPr>
        <w:t>ով, որը պայմանավորված է.</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hy-AM" w:eastAsia="en-US"/>
        </w:rPr>
        <w:t>- Աջակցություն համայնքներին մարզական հաստատությունների շենքային պայմանների բարելավման համար» միջոցառման ավարտմամբ՝ 2,000.0 մլն դրամ,</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hy-AM" w:eastAsia="en-US"/>
        </w:rPr>
        <w:t xml:space="preserve">- Ուսանողական մարզական միջոցառումներ» միջոցառման ծախսերի նվազմամբ՝ 14.1 մլն դրամով, </w:t>
      </w:r>
    </w:p>
    <w:p w:rsidR="00E27F1D" w:rsidRPr="00E27F1D" w:rsidRDefault="00E27F1D" w:rsidP="007730AA">
      <w:pPr>
        <w:numPr>
          <w:ilvl w:val="12"/>
          <w:numId w:val="0"/>
        </w:numPr>
        <w:tabs>
          <w:tab w:val="left" w:pos="851"/>
        </w:tabs>
        <w:spacing w:before="0" w:line="276" w:lineRule="auto"/>
        <w:contextualSpacing w:val="0"/>
        <w:rPr>
          <w:b w:val="0"/>
          <w:noProof/>
          <w:szCs w:val="22"/>
          <w:lang w:val="hy-AM" w:eastAsia="en-US"/>
        </w:rPr>
      </w:pPr>
      <w:r w:rsidRPr="00E27F1D">
        <w:rPr>
          <w:b w:val="0"/>
          <w:noProof/>
          <w:szCs w:val="22"/>
          <w:lang w:val="hy-AM" w:eastAsia="en-US"/>
        </w:rPr>
        <w:t>- ծախսային գերակայություններով, առաջնահերթություններով՝ 1.7 մլն դրամով:</w:t>
      </w:r>
    </w:p>
    <w:p w:rsidR="00E27F1D" w:rsidRPr="00E27F1D" w:rsidRDefault="00E27F1D" w:rsidP="007730AA">
      <w:pPr>
        <w:spacing w:before="0" w:line="276" w:lineRule="auto"/>
        <w:ind w:firstLine="0"/>
        <w:rPr>
          <w:b w:val="0"/>
          <w:lang w:val="hy-AM"/>
        </w:rPr>
      </w:pPr>
      <w:r>
        <w:rPr>
          <w:b w:val="0"/>
          <w:noProof/>
          <w:szCs w:val="22"/>
          <w:lang w:val="hy-AM" w:eastAsia="en-US"/>
        </w:rPr>
        <w:t xml:space="preserve">        </w:t>
      </w:r>
      <w:r w:rsidR="007730AA" w:rsidRPr="005578F9">
        <w:rPr>
          <w:b w:val="0"/>
          <w:noProof/>
          <w:szCs w:val="22"/>
          <w:lang w:val="hy-AM" w:eastAsia="en-US"/>
        </w:rPr>
        <w:tab/>
      </w:r>
      <w:r w:rsidRPr="00E27F1D">
        <w:rPr>
          <w:b w:val="0"/>
          <w:noProof/>
          <w:szCs w:val="22"/>
          <w:lang w:val="hy-AM" w:eastAsia="en-US"/>
        </w:rPr>
        <w:t>Միաժամանակ, ծախսերն աճել են՝ 19.3 մլն դրամով, որը պայմանավորված է Համաշխարհային ունիվերսիադային Հայաստանի ուսանողական մարզական պատվիրակության մասնակցության ապահովում» միջոցառման ծախսերի աճով:</w:t>
      </w:r>
    </w:p>
    <w:p w:rsidR="00E27F1D" w:rsidRPr="00E27F1D" w:rsidRDefault="00E27F1D" w:rsidP="007730AA">
      <w:pPr>
        <w:spacing w:before="0" w:line="276" w:lineRule="auto"/>
        <w:ind w:firstLine="0"/>
        <w:rPr>
          <w:b w:val="0"/>
          <w:lang w:val="af-ZA"/>
        </w:rPr>
      </w:pPr>
      <w:r w:rsidRPr="00E27F1D">
        <w:rPr>
          <w:b w:val="0"/>
          <w:color w:val="000000"/>
          <w:lang w:val="hy-AM" w:eastAsia="en-US"/>
        </w:rPr>
        <w:t>ՀՀ կրթության</w:t>
      </w:r>
      <w:r w:rsidRPr="00E27F1D">
        <w:rPr>
          <w:b w:val="0"/>
          <w:color w:val="000000"/>
          <w:lang w:val="af-ZA" w:eastAsia="en-US"/>
        </w:rPr>
        <w:t xml:space="preserve">, </w:t>
      </w:r>
      <w:r w:rsidRPr="00E27F1D">
        <w:rPr>
          <w:b w:val="0"/>
          <w:color w:val="000000"/>
          <w:lang w:val="hy-AM" w:eastAsia="en-US"/>
        </w:rPr>
        <w:t>գիտության</w:t>
      </w:r>
      <w:r w:rsidRPr="00E27F1D">
        <w:rPr>
          <w:b w:val="0"/>
          <w:color w:val="000000"/>
          <w:lang w:val="af-ZA" w:eastAsia="en-US"/>
        </w:rPr>
        <w:t xml:space="preserve">, </w:t>
      </w:r>
      <w:r w:rsidRPr="00E27F1D">
        <w:rPr>
          <w:b w:val="0"/>
          <w:color w:val="000000"/>
          <w:lang w:val="hy-AM" w:eastAsia="en-US"/>
        </w:rPr>
        <w:t>մշակույթի</w:t>
      </w:r>
      <w:r w:rsidRPr="00E27F1D">
        <w:rPr>
          <w:b w:val="0"/>
          <w:color w:val="000000"/>
          <w:lang w:val="af-ZA" w:eastAsia="en-US"/>
        </w:rPr>
        <w:t xml:space="preserve"> </w:t>
      </w:r>
      <w:r w:rsidRPr="00E27F1D">
        <w:rPr>
          <w:b w:val="0"/>
          <w:color w:val="000000"/>
          <w:lang w:val="hy-AM" w:eastAsia="en-US"/>
        </w:rPr>
        <w:t>և</w:t>
      </w:r>
      <w:r w:rsidRPr="00E27F1D">
        <w:rPr>
          <w:b w:val="0"/>
          <w:color w:val="000000"/>
          <w:lang w:val="af-ZA" w:eastAsia="en-US"/>
        </w:rPr>
        <w:t xml:space="preserve"> </w:t>
      </w:r>
      <w:r w:rsidRPr="00E27F1D">
        <w:rPr>
          <w:b w:val="0"/>
          <w:color w:val="000000"/>
          <w:lang w:val="hy-AM" w:eastAsia="en-US"/>
        </w:rPr>
        <w:t xml:space="preserve">սպորտի նախարարության </w:t>
      </w:r>
      <w:r w:rsidRPr="00E27F1D">
        <w:rPr>
          <w:b w:val="0"/>
          <w:lang w:val="hy-AM"/>
        </w:rPr>
        <w:t xml:space="preserve">սպորտի և երիտասարդության ոլորտների </w:t>
      </w:r>
      <w:r w:rsidRPr="00E27F1D">
        <w:rPr>
          <w:b w:val="0"/>
          <w:color w:val="000000"/>
          <w:lang w:val="hy-AM" w:eastAsia="en-US"/>
        </w:rPr>
        <w:t>գծով</w:t>
      </w:r>
      <w:r w:rsidRPr="00E27F1D">
        <w:rPr>
          <w:b w:val="0"/>
          <w:color w:val="000000"/>
          <w:lang w:val="af-ZA" w:eastAsia="en-US"/>
        </w:rPr>
        <w:t xml:space="preserve"> </w:t>
      </w:r>
      <w:r w:rsidRPr="00E27F1D">
        <w:rPr>
          <w:b w:val="0"/>
          <w:lang w:val="af-ZA"/>
        </w:rPr>
        <w:t>202</w:t>
      </w:r>
      <w:r w:rsidRPr="00E27F1D">
        <w:rPr>
          <w:b w:val="0"/>
          <w:lang w:val="hy-AM"/>
        </w:rPr>
        <w:t>1</w:t>
      </w:r>
      <w:r w:rsidRPr="00E27F1D">
        <w:rPr>
          <w:b w:val="0"/>
          <w:lang w:val="af-ZA"/>
        </w:rPr>
        <w:t xml:space="preserve"> </w:t>
      </w:r>
      <w:r w:rsidRPr="00E27F1D">
        <w:rPr>
          <w:b w:val="0"/>
          <w:lang w:val="hy-AM"/>
        </w:rPr>
        <w:t>թվականի</w:t>
      </w:r>
      <w:r w:rsidRPr="00E27F1D">
        <w:rPr>
          <w:b w:val="0"/>
          <w:lang w:val="af-ZA"/>
        </w:rPr>
        <w:t xml:space="preserve"> </w:t>
      </w:r>
      <w:r w:rsidRPr="00E27F1D">
        <w:rPr>
          <w:b w:val="0"/>
          <w:lang w:val="hy-AM"/>
        </w:rPr>
        <w:t>բյուջետային</w:t>
      </w:r>
      <w:r w:rsidRPr="00E27F1D">
        <w:rPr>
          <w:b w:val="0"/>
          <w:lang w:val="af-ZA"/>
        </w:rPr>
        <w:t xml:space="preserve"> </w:t>
      </w:r>
      <w:r w:rsidRPr="00E27F1D">
        <w:rPr>
          <w:b w:val="0"/>
          <w:lang w:val="hy-AM"/>
        </w:rPr>
        <w:t>ծախսերի</w:t>
      </w:r>
      <w:r w:rsidRPr="00E27F1D">
        <w:rPr>
          <w:b w:val="0"/>
          <w:lang w:val="af-ZA"/>
        </w:rPr>
        <w:t xml:space="preserve"> </w:t>
      </w:r>
      <w:r w:rsidRPr="00E27F1D">
        <w:rPr>
          <w:b w:val="0"/>
          <w:lang w:val="hy-AM"/>
        </w:rPr>
        <w:t>համեմատությունը</w:t>
      </w:r>
      <w:r w:rsidRPr="00E27F1D">
        <w:rPr>
          <w:b w:val="0"/>
          <w:lang w:val="af-ZA"/>
        </w:rPr>
        <w:t xml:space="preserve"> 201</w:t>
      </w:r>
      <w:r w:rsidRPr="00E27F1D">
        <w:rPr>
          <w:b w:val="0"/>
          <w:lang w:val="hy-AM"/>
        </w:rPr>
        <w:t>9</w:t>
      </w:r>
      <w:r w:rsidRPr="00E27F1D">
        <w:rPr>
          <w:b w:val="0"/>
          <w:lang w:val="af-ZA"/>
        </w:rPr>
        <w:t>-20</w:t>
      </w:r>
      <w:r w:rsidRPr="00E27F1D">
        <w:rPr>
          <w:b w:val="0"/>
          <w:lang w:val="hy-AM"/>
        </w:rPr>
        <w:t>20</w:t>
      </w:r>
      <w:r w:rsidRPr="00E27F1D">
        <w:rPr>
          <w:b w:val="0"/>
          <w:lang w:val="af-ZA"/>
        </w:rPr>
        <w:t xml:space="preserve"> </w:t>
      </w:r>
      <w:r w:rsidRPr="00E27F1D">
        <w:rPr>
          <w:b w:val="0"/>
          <w:lang w:val="hy-AM"/>
        </w:rPr>
        <w:t>թվականների</w:t>
      </w:r>
      <w:r w:rsidRPr="00E27F1D">
        <w:rPr>
          <w:b w:val="0"/>
          <w:lang w:val="af-ZA"/>
        </w:rPr>
        <w:t xml:space="preserve"> </w:t>
      </w:r>
      <w:r w:rsidRPr="00E27F1D">
        <w:rPr>
          <w:b w:val="0"/>
          <w:lang w:val="hy-AM"/>
        </w:rPr>
        <w:t>ցուցանիշների</w:t>
      </w:r>
      <w:r w:rsidRPr="00E27F1D">
        <w:rPr>
          <w:b w:val="0"/>
          <w:lang w:val="af-ZA"/>
        </w:rPr>
        <w:t xml:space="preserve"> </w:t>
      </w:r>
      <w:r w:rsidRPr="00E27F1D">
        <w:rPr>
          <w:b w:val="0"/>
          <w:lang w:val="hy-AM"/>
        </w:rPr>
        <w:t>հետ</w:t>
      </w:r>
      <w:r w:rsidRPr="00E27F1D">
        <w:rPr>
          <w:b w:val="0"/>
          <w:lang w:val="af-ZA"/>
        </w:rPr>
        <w:t xml:space="preserve"> </w:t>
      </w:r>
      <w:r w:rsidRPr="00E27F1D">
        <w:rPr>
          <w:b w:val="0"/>
          <w:lang w:val="hy-AM"/>
        </w:rPr>
        <w:t>արտացոլված</w:t>
      </w:r>
      <w:r w:rsidRPr="00E27F1D">
        <w:rPr>
          <w:b w:val="0"/>
          <w:lang w:val="af-ZA"/>
        </w:rPr>
        <w:t xml:space="preserve"> </w:t>
      </w:r>
      <w:r w:rsidRPr="00E27F1D">
        <w:rPr>
          <w:b w:val="0"/>
          <w:lang w:val="hy-AM"/>
        </w:rPr>
        <w:t>է</w:t>
      </w:r>
      <w:r w:rsidRPr="00E27F1D">
        <w:rPr>
          <w:b w:val="0"/>
          <w:lang w:val="af-ZA"/>
        </w:rPr>
        <w:t xml:space="preserve"> N</w:t>
      </w:r>
      <w:r w:rsidRPr="00E27F1D">
        <w:rPr>
          <w:b w:val="0"/>
          <w:lang w:val="hy-AM"/>
        </w:rPr>
        <w:t xml:space="preserve"> 7 աղյուսակում</w:t>
      </w:r>
      <w:r w:rsidRPr="00E27F1D">
        <w:rPr>
          <w:b w:val="0"/>
          <w:lang w:val="af-ZA"/>
        </w:rPr>
        <w:t>:</w:t>
      </w:r>
    </w:p>
    <w:p w:rsidR="009506DE" w:rsidRPr="009C38B5" w:rsidRDefault="00640206" w:rsidP="007730AA">
      <w:pPr>
        <w:pStyle w:val="Heading3"/>
        <w:spacing w:before="0"/>
        <w:jc w:val="both"/>
        <w:rPr>
          <w:noProof/>
        </w:rPr>
      </w:pPr>
      <w:bookmarkStart w:id="226" w:name="_Toc526009805"/>
      <w:bookmarkEnd w:id="225"/>
      <w:r>
        <w:rPr>
          <w:noProof/>
        </w:rPr>
        <w:tab/>
      </w:r>
      <w:bookmarkStart w:id="227" w:name="_Toc57655476"/>
      <w:r w:rsidR="009506DE" w:rsidRPr="009C38B5">
        <w:rPr>
          <w:noProof/>
        </w:rPr>
        <w:t>ՀՀ աշխատանքի և սոցիալական հարցերի նախարարություն</w:t>
      </w:r>
      <w:bookmarkEnd w:id="226"/>
      <w:bookmarkEnd w:id="227"/>
      <w:r w:rsidR="009506DE" w:rsidRPr="009C38B5">
        <w:rPr>
          <w:noProof/>
        </w:rPr>
        <w:t xml:space="preserve"> </w:t>
      </w:r>
    </w:p>
    <w:p w:rsidR="00500235" w:rsidRPr="009070BD" w:rsidRDefault="00500235" w:rsidP="007730AA">
      <w:pPr>
        <w:spacing w:before="0" w:line="276" w:lineRule="auto"/>
        <w:ind w:firstLine="718"/>
        <w:rPr>
          <w:rFonts w:cs="Sylfaen"/>
          <w:b w:val="0"/>
          <w:szCs w:val="22"/>
          <w:lang w:val="hy-AM"/>
        </w:rPr>
      </w:pPr>
      <w:r w:rsidRPr="009070BD">
        <w:rPr>
          <w:rFonts w:cs="Sylfaen"/>
          <w:b w:val="0"/>
          <w:szCs w:val="22"/>
          <w:lang w:val="hy-AM"/>
        </w:rPr>
        <w:t xml:space="preserve">ՀՀ աշխատանքի և սոցիալական հարցերի նախարարության գծով ծախսերը </w:t>
      </w:r>
      <w:r w:rsidRPr="009070BD">
        <w:rPr>
          <w:b w:val="0"/>
          <w:szCs w:val="22"/>
          <w:lang w:val="hy-AM"/>
        </w:rPr>
        <w:t xml:space="preserve">(առանց ապարատի պահպանման ծախսերի) </w:t>
      </w:r>
      <w:r w:rsidRPr="009070BD">
        <w:rPr>
          <w:rFonts w:cs="Sylfaen"/>
          <w:b w:val="0"/>
          <w:szCs w:val="22"/>
          <w:lang w:val="hy-AM"/>
        </w:rPr>
        <w:t xml:space="preserve">կկազմեն </w:t>
      </w:r>
      <w:r w:rsidRPr="00C34A99">
        <w:rPr>
          <w:rFonts w:cs="Sylfaen"/>
          <w:b w:val="0"/>
          <w:szCs w:val="22"/>
          <w:lang w:val="hy-AM"/>
        </w:rPr>
        <w:t>497</w:t>
      </w:r>
      <w:r w:rsidRPr="00C34A99">
        <w:rPr>
          <w:rFonts w:ascii="Calibri" w:hAnsi="Calibri" w:cs="Calibri"/>
          <w:b w:val="0"/>
          <w:szCs w:val="22"/>
          <w:lang w:val="hy-AM"/>
        </w:rPr>
        <w:t> </w:t>
      </w:r>
      <w:r w:rsidRPr="00C34A99">
        <w:rPr>
          <w:rFonts w:cs="Sylfaen"/>
          <w:b w:val="0"/>
          <w:szCs w:val="22"/>
          <w:lang w:val="hy-AM"/>
        </w:rPr>
        <w:t>7</w:t>
      </w:r>
      <w:r w:rsidR="00802B1C" w:rsidRPr="00C34A99">
        <w:rPr>
          <w:rFonts w:cs="Sylfaen"/>
          <w:b w:val="0"/>
          <w:szCs w:val="22"/>
          <w:lang w:val="af-ZA"/>
        </w:rPr>
        <w:t>59.8</w:t>
      </w:r>
      <w:r w:rsidRPr="009070BD">
        <w:rPr>
          <w:rFonts w:cs="Sylfaen"/>
          <w:b w:val="0"/>
          <w:szCs w:val="22"/>
          <w:lang w:val="hy-AM"/>
        </w:rPr>
        <w:t xml:space="preserve"> մլն դրամ կամ </w:t>
      </w:r>
      <w:r w:rsidRPr="009070BD">
        <w:rPr>
          <w:b w:val="0"/>
          <w:szCs w:val="22"/>
          <w:lang w:val="hy-AM"/>
        </w:rPr>
        <w:t xml:space="preserve">2021 </w:t>
      </w:r>
      <w:r w:rsidRPr="009070BD">
        <w:rPr>
          <w:rFonts w:cs="Sylfaen"/>
          <w:b w:val="0"/>
          <w:szCs w:val="22"/>
          <w:lang w:val="hy-AM"/>
        </w:rPr>
        <w:t>թվականի պետական բյուջեի ծախսերը</w:t>
      </w:r>
      <w:r w:rsidRPr="009070BD">
        <w:rPr>
          <w:b w:val="0"/>
          <w:szCs w:val="22"/>
          <w:lang w:val="hy-AM"/>
        </w:rPr>
        <w:t xml:space="preserve"> 2020 </w:t>
      </w:r>
      <w:r w:rsidRPr="009070BD">
        <w:rPr>
          <w:rFonts w:cs="Sylfaen"/>
          <w:b w:val="0"/>
          <w:szCs w:val="22"/>
          <w:lang w:val="hy-AM"/>
        </w:rPr>
        <w:t>թվականի</w:t>
      </w:r>
      <w:r w:rsidRPr="009070BD">
        <w:rPr>
          <w:b w:val="0"/>
          <w:szCs w:val="22"/>
          <w:lang w:val="hy-AM"/>
        </w:rPr>
        <w:t xml:space="preserve"> հաստատված </w:t>
      </w:r>
      <w:r w:rsidRPr="009070BD">
        <w:rPr>
          <w:rFonts w:cs="Sylfaen"/>
          <w:b w:val="0"/>
          <w:szCs w:val="22"/>
          <w:lang w:val="hy-AM"/>
        </w:rPr>
        <w:t>պետական բյուջեի նկատմամբ</w:t>
      </w:r>
      <w:r w:rsidRPr="009070BD">
        <w:rPr>
          <w:b w:val="0"/>
          <w:szCs w:val="22"/>
          <w:lang w:val="hy-AM"/>
        </w:rPr>
        <w:t xml:space="preserve"> աճում </w:t>
      </w:r>
      <w:r w:rsidRPr="009070BD">
        <w:rPr>
          <w:rFonts w:cs="Sylfaen"/>
          <w:b w:val="0"/>
          <w:szCs w:val="22"/>
          <w:lang w:val="hy-AM"/>
        </w:rPr>
        <w:t>են շուրջ 10</w:t>
      </w:r>
      <w:r w:rsidRPr="009070BD">
        <w:rPr>
          <w:rFonts w:ascii="Calibri" w:hAnsi="Calibri" w:cs="Calibri"/>
          <w:b w:val="0"/>
          <w:szCs w:val="22"/>
          <w:lang w:val="hy-AM"/>
        </w:rPr>
        <w:t> </w:t>
      </w:r>
      <w:r w:rsidR="00802B1C" w:rsidRPr="00802B1C">
        <w:rPr>
          <w:rFonts w:cs="Sylfaen"/>
          <w:b w:val="0"/>
          <w:szCs w:val="22"/>
          <w:lang w:val="af-ZA"/>
        </w:rPr>
        <w:t>696.5</w:t>
      </w:r>
      <w:r w:rsidRPr="009070BD">
        <w:rPr>
          <w:rFonts w:cs="Sylfaen"/>
          <w:b w:val="0"/>
          <w:szCs w:val="22"/>
          <w:lang w:val="hy-AM"/>
        </w:rPr>
        <w:t xml:space="preserve"> մլն դրամով</w:t>
      </w:r>
      <w:r w:rsidRPr="009070BD">
        <w:rPr>
          <w:b w:val="0"/>
          <w:szCs w:val="22"/>
          <w:lang w:val="hy-AM"/>
        </w:rPr>
        <w:t xml:space="preserve"> (2020 </w:t>
      </w:r>
      <w:r w:rsidRPr="009070BD">
        <w:rPr>
          <w:rFonts w:cs="Sylfaen"/>
          <w:b w:val="0"/>
          <w:szCs w:val="22"/>
          <w:lang w:val="af-ZA"/>
        </w:rPr>
        <w:t>թվականին</w:t>
      </w:r>
      <w:r w:rsidRPr="009070BD">
        <w:rPr>
          <w:b w:val="0"/>
          <w:szCs w:val="22"/>
          <w:lang w:val="hy-AM"/>
        </w:rPr>
        <w:t>` 487</w:t>
      </w:r>
      <w:r w:rsidRPr="009070BD">
        <w:rPr>
          <w:rFonts w:ascii="Calibri" w:hAnsi="Calibri" w:cs="Calibri"/>
          <w:b w:val="0"/>
          <w:szCs w:val="22"/>
          <w:lang w:val="hy-AM"/>
        </w:rPr>
        <w:t> </w:t>
      </w:r>
      <w:r w:rsidRPr="009070BD">
        <w:rPr>
          <w:b w:val="0"/>
          <w:szCs w:val="22"/>
          <w:lang w:val="hy-AM"/>
        </w:rPr>
        <w:t xml:space="preserve">063.3 </w:t>
      </w:r>
      <w:r w:rsidRPr="009070BD">
        <w:rPr>
          <w:rFonts w:cs="Sylfaen"/>
          <w:b w:val="0"/>
          <w:szCs w:val="22"/>
          <w:lang w:val="hy-AM"/>
        </w:rPr>
        <w:t>մլն դրամ)</w:t>
      </w:r>
      <w:r w:rsidRPr="009070BD">
        <w:rPr>
          <w:b w:val="0"/>
          <w:szCs w:val="22"/>
          <w:lang w:val="hy-AM"/>
        </w:rPr>
        <w:t xml:space="preserve"> (</w:t>
      </w:r>
      <w:r w:rsidRPr="009070BD">
        <w:rPr>
          <w:rFonts w:cs="Sylfaen"/>
          <w:b w:val="0"/>
          <w:szCs w:val="22"/>
          <w:lang w:val="hy-AM"/>
        </w:rPr>
        <w:t>ստորև ներկայացված տեքստում համեմատությունը կատարվում է</w:t>
      </w:r>
      <w:r w:rsidRPr="009070BD">
        <w:rPr>
          <w:b w:val="0"/>
          <w:szCs w:val="22"/>
          <w:lang w:val="hy-AM"/>
        </w:rPr>
        <w:t xml:space="preserve"> 2020 </w:t>
      </w:r>
      <w:r w:rsidRPr="009070BD">
        <w:rPr>
          <w:rFonts w:cs="Sylfaen"/>
          <w:b w:val="0"/>
          <w:szCs w:val="22"/>
          <w:lang w:val="hy-AM"/>
        </w:rPr>
        <w:t xml:space="preserve">թվականի </w:t>
      </w:r>
      <w:r w:rsidRPr="009070BD">
        <w:rPr>
          <w:b w:val="0"/>
          <w:szCs w:val="22"/>
          <w:lang w:val="hy-AM"/>
        </w:rPr>
        <w:t xml:space="preserve">հաստատված </w:t>
      </w:r>
      <w:r w:rsidRPr="009070BD">
        <w:rPr>
          <w:rFonts w:cs="Sylfaen"/>
          <w:b w:val="0"/>
          <w:szCs w:val="22"/>
          <w:lang w:val="hy-AM"/>
        </w:rPr>
        <w:t>պետական</w:t>
      </w:r>
      <w:r w:rsidRPr="009070BD">
        <w:rPr>
          <w:b w:val="0"/>
          <w:szCs w:val="22"/>
          <w:lang w:val="hy-AM"/>
        </w:rPr>
        <w:t xml:space="preserve"> բյուջեի </w:t>
      </w:r>
      <w:r w:rsidRPr="009070BD">
        <w:rPr>
          <w:rFonts w:cs="Sylfaen"/>
          <w:b w:val="0"/>
          <w:szCs w:val="22"/>
          <w:lang w:val="hy-AM"/>
        </w:rPr>
        <w:t xml:space="preserve">նկատմամբ): </w:t>
      </w:r>
    </w:p>
    <w:p w:rsidR="00500235" w:rsidRPr="009070BD" w:rsidRDefault="007730AA" w:rsidP="007730AA">
      <w:pPr>
        <w:tabs>
          <w:tab w:val="left" w:pos="-720"/>
        </w:tabs>
        <w:spacing w:before="0" w:line="276" w:lineRule="auto"/>
        <w:ind w:firstLine="720"/>
        <w:rPr>
          <w:b w:val="0"/>
          <w:szCs w:val="22"/>
          <w:lang w:val="hy-AM"/>
        </w:rPr>
      </w:pPr>
      <w:r w:rsidRPr="005578F9">
        <w:rPr>
          <w:rFonts w:cs="Sylfaen"/>
          <w:b w:val="0"/>
          <w:szCs w:val="22"/>
          <w:lang w:val="af-ZA"/>
        </w:rPr>
        <w:tab/>
      </w:r>
      <w:r w:rsidRPr="005578F9">
        <w:rPr>
          <w:rFonts w:cs="Sylfaen"/>
          <w:b w:val="0"/>
          <w:szCs w:val="22"/>
          <w:lang w:val="af-ZA"/>
        </w:rPr>
        <w:tab/>
      </w:r>
      <w:r w:rsidR="00500235" w:rsidRPr="009070BD">
        <w:rPr>
          <w:rFonts w:cs="Sylfaen"/>
          <w:b w:val="0"/>
          <w:szCs w:val="22"/>
          <w:lang w:val="hy-AM"/>
        </w:rPr>
        <w:t>ՀՀ աշխատանքի և սոցիալական հարցերի նախարարության ծախսերը</w:t>
      </w:r>
      <w:r w:rsidR="00500235" w:rsidRPr="009070BD">
        <w:rPr>
          <w:rFonts w:cs="Sylfaen"/>
          <w:b w:val="0"/>
          <w:szCs w:val="22"/>
          <w:lang w:val="af-ZA"/>
        </w:rPr>
        <w:t xml:space="preserve"> </w:t>
      </w:r>
      <w:r w:rsidR="00500235" w:rsidRPr="009070BD">
        <w:rPr>
          <w:rFonts w:cs="Sylfaen"/>
          <w:b w:val="0"/>
          <w:szCs w:val="22"/>
          <w:lang w:val="hy-AM"/>
        </w:rPr>
        <w:t>ըստ</w:t>
      </w:r>
      <w:r w:rsidR="00500235" w:rsidRPr="009070BD">
        <w:rPr>
          <w:b w:val="0"/>
          <w:szCs w:val="22"/>
          <w:lang w:val="hy-AM"/>
        </w:rPr>
        <w:t xml:space="preserve"> ծրագրերի (միջոցառումների) </w:t>
      </w:r>
      <w:r w:rsidR="00500235" w:rsidRPr="009070BD">
        <w:rPr>
          <w:rFonts w:cs="Sylfaen"/>
          <w:b w:val="0"/>
          <w:szCs w:val="22"/>
          <w:lang w:val="hy-AM"/>
        </w:rPr>
        <w:t>բնութագրվում</w:t>
      </w:r>
      <w:r w:rsidR="00500235" w:rsidRPr="009070BD">
        <w:rPr>
          <w:rFonts w:cs="Sylfaen"/>
          <w:b w:val="0"/>
          <w:szCs w:val="22"/>
          <w:lang w:val="af-ZA"/>
        </w:rPr>
        <w:t xml:space="preserve"> </w:t>
      </w:r>
      <w:r w:rsidR="00500235" w:rsidRPr="009070BD">
        <w:rPr>
          <w:rFonts w:cs="Sylfaen"/>
          <w:b w:val="0"/>
          <w:szCs w:val="22"/>
          <w:lang w:val="hy-AM"/>
        </w:rPr>
        <w:t>են</w:t>
      </w:r>
      <w:r w:rsidR="00500235" w:rsidRPr="009070BD">
        <w:rPr>
          <w:rFonts w:cs="Sylfaen"/>
          <w:b w:val="0"/>
          <w:szCs w:val="22"/>
          <w:lang w:val="af-ZA"/>
        </w:rPr>
        <w:t xml:space="preserve"> </w:t>
      </w:r>
      <w:r w:rsidR="00500235" w:rsidRPr="009070BD">
        <w:rPr>
          <w:rFonts w:cs="Sylfaen"/>
          <w:b w:val="0"/>
          <w:szCs w:val="22"/>
          <w:lang w:val="hy-AM"/>
        </w:rPr>
        <w:t>հետևյալ</w:t>
      </w:r>
      <w:r w:rsidR="00500235" w:rsidRPr="009070BD">
        <w:rPr>
          <w:rFonts w:cs="Sylfaen"/>
          <w:b w:val="0"/>
          <w:szCs w:val="22"/>
          <w:lang w:val="af-ZA"/>
        </w:rPr>
        <w:t xml:space="preserve"> </w:t>
      </w:r>
      <w:r w:rsidR="00500235" w:rsidRPr="009070BD">
        <w:rPr>
          <w:rFonts w:cs="Sylfaen"/>
          <w:b w:val="0"/>
          <w:szCs w:val="22"/>
          <w:lang w:val="hy-AM"/>
        </w:rPr>
        <w:t>կերպ</w:t>
      </w:r>
      <w:r w:rsidR="00500235" w:rsidRPr="009070BD">
        <w:rPr>
          <w:b w:val="0"/>
          <w:szCs w:val="22"/>
          <w:lang w:val="hy-AM"/>
        </w:rPr>
        <w:t>.</w:t>
      </w:r>
    </w:p>
    <w:p w:rsidR="00500235" w:rsidRPr="009070BD" w:rsidRDefault="00500235" w:rsidP="007730AA">
      <w:pPr>
        <w:tabs>
          <w:tab w:val="left" w:pos="9180"/>
        </w:tabs>
        <w:spacing w:before="0" w:line="276" w:lineRule="auto"/>
        <w:ind w:firstLine="720"/>
        <w:rPr>
          <w:rFonts w:cs="Sylfaen"/>
          <w:b w:val="0"/>
          <w:szCs w:val="22"/>
          <w:lang w:val="af-ZA"/>
        </w:rPr>
      </w:pPr>
      <w:r w:rsidRPr="009070BD">
        <w:rPr>
          <w:rFonts w:cs="Sylfaen"/>
          <w:b w:val="0"/>
          <w:szCs w:val="22"/>
          <w:lang w:val="af-ZA"/>
        </w:rPr>
        <w:t>Պարգևավճարներ և պատվովճարներ</w:t>
      </w:r>
    </w:p>
    <w:p w:rsidR="00500235" w:rsidRPr="009070BD" w:rsidRDefault="00500235" w:rsidP="007730AA">
      <w:pPr>
        <w:spacing w:before="0" w:line="276" w:lineRule="auto"/>
        <w:rPr>
          <w:rFonts w:cs="Sylfaen"/>
          <w:b w:val="0"/>
          <w:szCs w:val="22"/>
          <w:lang w:val="af-ZA"/>
        </w:rPr>
      </w:pPr>
      <w:r w:rsidRPr="009070BD">
        <w:rPr>
          <w:rFonts w:cs="Sylfaen"/>
          <w:b w:val="0"/>
          <w:szCs w:val="22"/>
          <w:lang w:val="hy-AM"/>
        </w:rPr>
        <w:t>-</w:t>
      </w:r>
      <w:r w:rsidRPr="009070BD">
        <w:rPr>
          <w:b w:val="0"/>
          <w:szCs w:val="22"/>
          <w:lang w:val="pt-BR"/>
        </w:rPr>
        <w:t>«</w:t>
      </w:r>
      <w:r w:rsidRPr="009070BD">
        <w:rPr>
          <w:b w:val="0"/>
          <w:szCs w:val="22"/>
          <w:lang w:val="hy-AM"/>
        </w:rPr>
        <w:t>Զոհված՝</w:t>
      </w:r>
      <w:r w:rsidRPr="009070BD">
        <w:rPr>
          <w:b w:val="0"/>
          <w:szCs w:val="22"/>
          <w:lang w:val="af-ZA"/>
        </w:rPr>
        <w:t xml:space="preserve"> </w:t>
      </w:r>
      <w:r w:rsidRPr="009070BD">
        <w:rPr>
          <w:b w:val="0"/>
          <w:szCs w:val="22"/>
          <w:lang w:val="hy-AM"/>
        </w:rPr>
        <w:t>հետմահու</w:t>
      </w:r>
      <w:r w:rsidRPr="009070BD">
        <w:rPr>
          <w:b w:val="0"/>
          <w:szCs w:val="22"/>
          <w:lang w:val="af-ZA"/>
        </w:rPr>
        <w:t xml:space="preserve"> </w:t>
      </w:r>
      <w:r w:rsidRPr="009070BD">
        <w:rPr>
          <w:b w:val="0"/>
          <w:szCs w:val="22"/>
          <w:lang w:val="hy-AM"/>
        </w:rPr>
        <w:t>«Հայաստանի</w:t>
      </w:r>
      <w:r w:rsidRPr="009070BD">
        <w:rPr>
          <w:b w:val="0"/>
          <w:szCs w:val="22"/>
          <w:lang w:val="af-ZA"/>
        </w:rPr>
        <w:t xml:space="preserve"> </w:t>
      </w:r>
      <w:r w:rsidRPr="009070BD">
        <w:rPr>
          <w:b w:val="0"/>
          <w:szCs w:val="22"/>
          <w:lang w:val="hy-AM"/>
        </w:rPr>
        <w:t>ազգային</w:t>
      </w:r>
      <w:r w:rsidRPr="009070BD">
        <w:rPr>
          <w:b w:val="0"/>
          <w:szCs w:val="22"/>
          <w:lang w:val="af-ZA"/>
        </w:rPr>
        <w:t xml:space="preserve"> </w:t>
      </w:r>
      <w:r w:rsidRPr="009070BD">
        <w:rPr>
          <w:b w:val="0"/>
          <w:szCs w:val="22"/>
          <w:lang w:val="hy-AM"/>
        </w:rPr>
        <w:t>հերոս»</w:t>
      </w:r>
      <w:r w:rsidRPr="009070BD">
        <w:rPr>
          <w:b w:val="0"/>
          <w:szCs w:val="22"/>
          <w:lang w:val="af-ZA"/>
        </w:rPr>
        <w:t xml:space="preserve"> </w:t>
      </w:r>
      <w:r w:rsidRPr="009070BD">
        <w:rPr>
          <w:b w:val="0"/>
          <w:szCs w:val="22"/>
          <w:lang w:val="hy-AM"/>
        </w:rPr>
        <w:t>ՀՀ</w:t>
      </w:r>
      <w:r w:rsidRPr="009070BD">
        <w:rPr>
          <w:b w:val="0"/>
          <w:szCs w:val="22"/>
          <w:lang w:val="af-ZA"/>
        </w:rPr>
        <w:t xml:space="preserve"> </w:t>
      </w:r>
      <w:r w:rsidRPr="009070BD">
        <w:rPr>
          <w:b w:val="0"/>
          <w:szCs w:val="22"/>
          <w:lang w:val="hy-AM"/>
        </w:rPr>
        <w:t>բարձրագույն</w:t>
      </w:r>
      <w:r w:rsidRPr="009070BD">
        <w:rPr>
          <w:b w:val="0"/>
          <w:szCs w:val="22"/>
          <w:lang w:val="af-ZA"/>
        </w:rPr>
        <w:t xml:space="preserve"> </w:t>
      </w:r>
      <w:r w:rsidRPr="009070BD">
        <w:rPr>
          <w:b w:val="0"/>
          <w:szCs w:val="22"/>
          <w:lang w:val="hy-AM"/>
        </w:rPr>
        <w:t>կոչում</w:t>
      </w:r>
      <w:r w:rsidRPr="009070BD">
        <w:rPr>
          <w:b w:val="0"/>
          <w:szCs w:val="22"/>
          <w:lang w:val="af-ZA"/>
        </w:rPr>
        <w:t xml:space="preserve"> </w:t>
      </w:r>
      <w:r w:rsidRPr="009070BD">
        <w:rPr>
          <w:b w:val="0"/>
          <w:szCs w:val="22"/>
          <w:lang w:val="hy-AM"/>
        </w:rPr>
        <w:t>ստացած</w:t>
      </w:r>
      <w:r w:rsidRPr="009070BD">
        <w:rPr>
          <w:b w:val="0"/>
          <w:szCs w:val="22"/>
          <w:lang w:val="af-ZA"/>
        </w:rPr>
        <w:t xml:space="preserve"> </w:t>
      </w:r>
      <w:r w:rsidRPr="009070BD">
        <w:rPr>
          <w:b w:val="0"/>
          <w:szCs w:val="22"/>
          <w:lang w:val="hy-AM"/>
        </w:rPr>
        <w:t>կամ</w:t>
      </w:r>
      <w:r w:rsidRPr="009070BD">
        <w:rPr>
          <w:b w:val="0"/>
          <w:szCs w:val="22"/>
          <w:lang w:val="af-ZA"/>
        </w:rPr>
        <w:t xml:space="preserve"> </w:t>
      </w:r>
      <w:r w:rsidRPr="009070BD">
        <w:rPr>
          <w:b w:val="0"/>
          <w:szCs w:val="22"/>
          <w:lang w:val="hy-AM"/>
        </w:rPr>
        <w:t>«Մարտական</w:t>
      </w:r>
      <w:r w:rsidRPr="009070BD">
        <w:rPr>
          <w:b w:val="0"/>
          <w:szCs w:val="22"/>
          <w:lang w:val="af-ZA"/>
        </w:rPr>
        <w:t xml:space="preserve"> </w:t>
      </w:r>
      <w:r w:rsidRPr="009070BD">
        <w:rPr>
          <w:b w:val="0"/>
          <w:szCs w:val="22"/>
          <w:lang w:val="hy-AM"/>
        </w:rPr>
        <w:t>խաչ»</w:t>
      </w:r>
      <w:r w:rsidRPr="009070BD">
        <w:rPr>
          <w:b w:val="0"/>
          <w:szCs w:val="22"/>
          <w:lang w:val="af-ZA"/>
        </w:rPr>
        <w:t xml:space="preserve"> </w:t>
      </w:r>
      <w:r w:rsidRPr="009070BD">
        <w:rPr>
          <w:b w:val="0"/>
          <w:szCs w:val="22"/>
          <w:lang w:val="hy-AM"/>
        </w:rPr>
        <w:t>շքանշանով</w:t>
      </w:r>
      <w:r w:rsidRPr="009070BD">
        <w:rPr>
          <w:b w:val="0"/>
          <w:szCs w:val="22"/>
          <w:lang w:val="af-ZA"/>
        </w:rPr>
        <w:t xml:space="preserve"> </w:t>
      </w:r>
      <w:r w:rsidRPr="009070BD">
        <w:rPr>
          <w:b w:val="0"/>
          <w:szCs w:val="22"/>
          <w:lang w:val="hy-AM"/>
        </w:rPr>
        <w:t>պարգևատրված</w:t>
      </w:r>
      <w:r w:rsidRPr="009070BD">
        <w:rPr>
          <w:b w:val="0"/>
          <w:szCs w:val="22"/>
          <w:lang w:val="af-ZA"/>
        </w:rPr>
        <w:t xml:space="preserve"> </w:t>
      </w:r>
      <w:r w:rsidRPr="009070BD">
        <w:rPr>
          <w:b w:val="0"/>
          <w:szCs w:val="22"/>
          <w:lang w:val="hy-AM"/>
        </w:rPr>
        <w:t>անձի</w:t>
      </w:r>
      <w:r w:rsidRPr="009070BD">
        <w:rPr>
          <w:b w:val="0"/>
          <w:szCs w:val="22"/>
          <w:lang w:val="af-ZA"/>
        </w:rPr>
        <w:t xml:space="preserve"> </w:t>
      </w:r>
      <w:r w:rsidRPr="009070BD">
        <w:rPr>
          <w:b w:val="0"/>
          <w:szCs w:val="22"/>
          <w:lang w:val="hy-AM"/>
        </w:rPr>
        <w:t>ընտանիքին</w:t>
      </w:r>
      <w:r w:rsidRPr="009070BD">
        <w:rPr>
          <w:b w:val="0"/>
          <w:szCs w:val="22"/>
          <w:lang w:val="af-ZA"/>
        </w:rPr>
        <w:t xml:space="preserve"> </w:t>
      </w:r>
      <w:r w:rsidRPr="009070BD">
        <w:rPr>
          <w:b w:val="0"/>
          <w:szCs w:val="22"/>
          <w:lang w:val="hy-AM"/>
        </w:rPr>
        <w:t>պարգևավճարի</w:t>
      </w:r>
      <w:r w:rsidRPr="009070BD">
        <w:rPr>
          <w:b w:val="0"/>
          <w:szCs w:val="22"/>
          <w:lang w:val="af-ZA"/>
        </w:rPr>
        <w:t xml:space="preserve"> </w:t>
      </w:r>
      <w:r w:rsidRPr="009070BD">
        <w:rPr>
          <w:b w:val="0"/>
          <w:szCs w:val="22"/>
          <w:lang w:val="hy-AM"/>
        </w:rPr>
        <w:t>տրամադրման</w:t>
      </w:r>
      <w:r w:rsidRPr="009070BD">
        <w:rPr>
          <w:b w:val="0"/>
          <w:szCs w:val="22"/>
          <w:lang w:val="af-ZA"/>
        </w:rPr>
        <w:t xml:space="preserve"> </w:t>
      </w:r>
      <w:r w:rsidRPr="009070BD">
        <w:rPr>
          <w:b w:val="0"/>
          <w:szCs w:val="22"/>
          <w:lang w:val="hy-AM"/>
        </w:rPr>
        <w:t>ապահովում</w:t>
      </w:r>
      <w:r w:rsidRPr="009070BD">
        <w:rPr>
          <w:b w:val="0"/>
          <w:szCs w:val="22"/>
          <w:lang w:val="pt-BR"/>
        </w:rPr>
        <w:t xml:space="preserve">» </w:t>
      </w:r>
      <w:r w:rsidRPr="009070BD">
        <w:rPr>
          <w:rFonts w:cs="Sylfaen"/>
          <w:b w:val="0"/>
          <w:szCs w:val="22"/>
          <w:lang w:val="af-ZA"/>
        </w:rPr>
        <w:t xml:space="preserve">միջոցառման գծով նախատեսվում է ծախս 0.6 մլն դրամի չափով (2020 </w:t>
      </w:r>
      <w:r w:rsidRPr="009070BD">
        <w:rPr>
          <w:rFonts w:cs="Sylfaen"/>
          <w:b w:val="0"/>
          <w:szCs w:val="22"/>
          <w:lang w:val="hy-AM"/>
        </w:rPr>
        <w:t>թվականին</w:t>
      </w:r>
      <w:r w:rsidRPr="009070BD">
        <w:rPr>
          <w:rFonts w:cs="Sylfaen"/>
          <w:b w:val="0"/>
          <w:szCs w:val="22"/>
          <w:lang w:val="af-ZA"/>
        </w:rPr>
        <w:t xml:space="preserve">` 0.7 մլն դրամ): Ծախսերի նվազումը 0.1 մլն դրամի չափով պայմանավորված է </w:t>
      </w:r>
      <w:r w:rsidRPr="009070BD">
        <w:rPr>
          <w:rFonts w:cs="Sylfaen"/>
          <w:b w:val="0"/>
          <w:szCs w:val="22"/>
          <w:lang w:val="hy-AM"/>
        </w:rPr>
        <w:t>պարգևավճարի</w:t>
      </w:r>
      <w:r w:rsidRPr="009070BD">
        <w:rPr>
          <w:rFonts w:cs="Sylfaen"/>
          <w:b w:val="0"/>
          <w:szCs w:val="22"/>
          <w:lang w:val="af-ZA"/>
        </w:rPr>
        <w:t>ն ուղղվող ծախսերի փոփոխությամբ</w:t>
      </w:r>
      <w:r w:rsidRPr="009070BD">
        <w:rPr>
          <w:rFonts w:cs="Sylfaen"/>
          <w:b w:val="0"/>
          <w:szCs w:val="22"/>
          <w:lang w:val="hy-AM"/>
        </w:rPr>
        <w:t>:</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b w:val="0"/>
          <w:szCs w:val="22"/>
        </w:rPr>
        <w:t>Զինծառայողներին</w:t>
      </w:r>
      <w:r w:rsidRPr="009070BD">
        <w:rPr>
          <w:b w:val="0"/>
          <w:szCs w:val="22"/>
          <w:lang w:val="af-ZA"/>
        </w:rPr>
        <w:t xml:space="preserve">, </w:t>
      </w:r>
      <w:r w:rsidRPr="009070BD">
        <w:rPr>
          <w:b w:val="0"/>
          <w:szCs w:val="22"/>
        </w:rPr>
        <w:t>ՀՄՊ</w:t>
      </w:r>
      <w:r w:rsidRPr="009070BD">
        <w:rPr>
          <w:b w:val="0"/>
          <w:szCs w:val="22"/>
          <w:lang w:val="af-ZA"/>
        </w:rPr>
        <w:t xml:space="preserve"> </w:t>
      </w:r>
      <w:r w:rsidRPr="009070BD">
        <w:rPr>
          <w:b w:val="0"/>
          <w:szCs w:val="22"/>
        </w:rPr>
        <w:t>մասնակիցներին</w:t>
      </w:r>
      <w:r w:rsidRPr="009070BD">
        <w:rPr>
          <w:b w:val="0"/>
          <w:szCs w:val="22"/>
          <w:lang w:val="hy-AM"/>
        </w:rPr>
        <w:t xml:space="preserve">, </w:t>
      </w:r>
      <w:r w:rsidRPr="009070BD">
        <w:rPr>
          <w:b w:val="0"/>
          <w:szCs w:val="22"/>
        </w:rPr>
        <w:t>այլ</w:t>
      </w:r>
      <w:r w:rsidRPr="009070BD">
        <w:rPr>
          <w:b w:val="0"/>
          <w:szCs w:val="22"/>
          <w:lang w:val="af-ZA"/>
        </w:rPr>
        <w:t xml:space="preserve"> </w:t>
      </w:r>
      <w:r w:rsidRPr="009070BD">
        <w:rPr>
          <w:b w:val="0"/>
          <w:szCs w:val="22"/>
        </w:rPr>
        <w:t>պետություններում</w:t>
      </w:r>
      <w:r w:rsidRPr="009070BD">
        <w:rPr>
          <w:b w:val="0"/>
          <w:szCs w:val="22"/>
          <w:lang w:val="af-ZA"/>
        </w:rPr>
        <w:t xml:space="preserve"> </w:t>
      </w:r>
      <w:r w:rsidRPr="009070BD">
        <w:rPr>
          <w:b w:val="0"/>
          <w:szCs w:val="22"/>
        </w:rPr>
        <w:t>մարտական</w:t>
      </w:r>
      <w:r w:rsidRPr="009070BD">
        <w:rPr>
          <w:b w:val="0"/>
          <w:szCs w:val="22"/>
          <w:lang w:val="af-ZA"/>
        </w:rPr>
        <w:t xml:space="preserve"> </w:t>
      </w:r>
      <w:r w:rsidRPr="009070BD">
        <w:rPr>
          <w:b w:val="0"/>
          <w:szCs w:val="22"/>
        </w:rPr>
        <w:t>գործողությունների</w:t>
      </w:r>
      <w:r w:rsidRPr="009070BD">
        <w:rPr>
          <w:b w:val="0"/>
          <w:szCs w:val="22"/>
          <w:lang w:val="af-ZA"/>
        </w:rPr>
        <w:t xml:space="preserve"> </w:t>
      </w:r>
      <w:r w:rsidRPr="009070BD">
        <w:rPr>
          <w:b w:val="0"/>
          <w:szCs w:val="22"/>
        </w:rPr>
        <w:t>մասնակիցներին</w:t>
      </w:r>
      <w:r w:rsidRPr="009070BD">
        <w:rPr>
          <w:b w:val="0"/>
          <w:szCs w:val="22"/>
          <w:lang w:val="af-ZA"/>
        </w:rPr>
        <w:t xml:space="preserve">, </w:t>
      </w:r>
      <w:r w:rsidRPr="009070BD">
        <w:rPr>
          <w:b w:val="0"/>
          <w:szCs w:val="22"/>
        </w:rPr>
        <w:t>զոհված</w:t>
      </w:r>
      <w:r w:rsidRPr="009070BD">
        <w:rPr>
          <w:b w:val="0"/>
          <w:szCs w:val="22"/>
          <w:lang w:val="af-ZA"/>
        </w:rPr>
        <w:t xml:space="preserve"> (</w:t>
      </w:r>
      <w:r w:rsidRPr="009070BD">
        <w:rPr>
          <w:b w:val="0"/>
          <w:szCs w:val="22"/>
        </w:rPr>
        <w:t>մահացած</w:t>
      </w:r>
      <w:r w:rsidRPr="009070BD">
        <w:rPr>
          <w:b w:val="0"/>
          <w:szCs w:val="22"/>
          <w:lang w:val="af-ZA"/>
        </w:rPr>
        <w:t xml:space="preserve">) </w:t>
      </w:r>
      <w:r w:rsidRPr="009070BD">
        <w:rPr>
          <w:b w:val="0"/>
          <w:szCs w:val="22"/>
        </w:rPr>
        <w:t>զինծառայողի</w:t>
      </w:r>
      <w:r w:rsidRPr="009070BD">
        <w:rPr>
          <w:b w:val="0"/>
          <w:szCs w:val="22"/>
          <w:lang w:val="af-ZA"/>
        </w:rPr>
        <w:t xml:space="preserve"> </w:t>
      </w:r>
      <w:r w:rsidRPr="009070BD">
        <w:rPr>
          <w:b w:val="0"/>
          <w:szCs w:val="22"/>
        </w:rPr>
        <w:t>ընտանիքի</w:t>
      </w:r>
      <w:r w:rsidRPr="009070BD">
        <w:rPr>
          <w:b w:val="0"/>
          <w:szCs w:val="22"/>
          <w:lang w:val="af-ZA"/>
        </w:rPr>
        <w:t xml:space="preserve"> </w:t>
      </w:r>
      <w:r w:rsidRPr="009070BD">
        <w:rPr>
          <w:b w:val="0"/>
          <w:szCs w:val="22"/>
        </w:rPr>
        <w:t>անդամներին</w:t>
      </w:r>
      <w:r w:rsidRPr="009070BD">
        <w:rPr>
          <w:b w:val="0"/>
          <w:szCs w:val="22"/>
          <w:lang w:val="af-ZA"/>
        </w:rPr>
        <w:t xml:space="preserve">, </w:t>
      </w:r>
      <w:r w:rsidRPr="009070BD">
        <w:rPr>
          <w:b w:val="0"/>
          <w:szCs w:val="22"/>
        </w:rPr>
        <w:t>ընտանիքներին</w:t>
      </w:r>
      <w:r w:rsidRPr="009070BD">
        <w:rPr>
          <w:b w:val="0"/>
          <w:szCs w:val="22"/>
          <w:lang w:val="af-ZA"/>
        </w:rPr>
        <w:t xml:space="preserve"> </w:t>
      </w:r>
      <w:r w:rsidRPr="009070BD">
        <w:rPr>
          <w:b w:val="0"/>
          <w:szCs w:val="22"/>
        </w:rPr>
        <w:t>տրվող</w:t>
      </w:r>
      <w:r w:rsidRPr="009070BD">
        <w:rPr>
          <w:b w:val="0"/>
          <w:szCs w:val="22"/>
          <w:lang w:val="af-ZA"/>
        </w:rPr>
        <w:t xml:space="preserve"> </w:t>
      </w:r>
      <w:r w:rsidRPr="009070BD">
        <w:rPr>
          <w:b w:val="0"/>
          <w:szCs w:val="22"/>
        </w:rPr>
        <w:t>պարգևավճարներ</w:t>
      </w:r>
      <w:r w:rsidRPr="009070BD">
        <w:rPr>
          <w:b w:val="0"/>
          <w:szCs w:val="22"/>
          <w:lang w:val="pt-BR"/>
        </w:rPr>
        <w:t>»</w:t>
      </w:r>
      <w:r w:rsidRPr="009070BD">
        <w:rPr>
          <w:rFonts w:cs="Sylfaen"/>
          <w:b w:val="0"/>
          <w:szCs w:val="22"/>
          <w:lang w:val="af-ZA"/>
        </w:rPr>
        <w:t xml:space="preserve"> միջոցառման գծով </w:t>
      </w:r>
      <w:r w:rsidRPr="009070BD">
        <w:rPr>
          <w:rFonts w:cs="Sylfaen"/>
          <w:b w:val="0"/>
          <w:szCs w:val="22"/>
          <w:lang w:val="hy-AM"/>
        </w:rPr>
        <w:t>ծախսը</w:t>
      </w:r>
      <w:r w:rsidRPr="009070BD">
        <w:rPr>
          <w:rFonts w:cs="Sylfaen"/>
          <w:b w:val="0"/>
          <w:szCs w:val="22"/>
          <w:lang w:val="af-ZA"/>
        </w:rPr>
        <w:t xml:space="preserve"> </w:t>
      </w:r>
      <w:r w:rsidRPr="009070BD">
        <w:rPr>
          <w:rFonts w:cs="Sylfaen"/>
          <w:b w:val="0"/>
          <w:szCs w:val="22"/>
          <w:lang w:val="hy-AM"/>
        </w:rPr>
        <w:t>կազմում</w:t>
      </w:r>
      <w:r w:rsidRPr="009070BD">
        <w:rPr>
          <w:rFonts w:cs="Sylfaen"/>
          <w:b w:val="0"/>
          <w:szCs w:val="22"/>
          <w:lang w:val="af-ZA"/>
        </w:rPr>
        <w:t xml:space="preserve"> </w:t>
      </w:r>
      <w:r w:rsidRPr="009070BD">
        <w:rPr>
          <w:rFonts w:cs="Sylfaen"/>
          <w:b w:val="0"/>
          <w:szCs w:val="22"/>
          <w:lang w:val="hy-AM"/>
        </w:rPr>
        <w:t xml:space="preserve">է </w:t>
      </w:r>
      <w:r w:rsidRPr="009070BD">
        <w:rPr>
          <w:rFonts w:cs="Sylfaen"/>
          <w:b w:val="0"/>
          <w:szCs w:val="22"/>
          <w:lang w:val="af-ZA"/>
        </w:rPr>
        <w:t>10</w:t>
      </w:r>
      <w:r w:rsidRPr="009070BD">
        <w:rPr>
          <w:rFonts w:ascii="Calibri" w:hAnsi="Calibri" w:cs="Calibri"/>
          <w:b w:val="0"/>
          <w:szCs w:val="22"/>
          <w:lang w:val="af-ZA"/>
        </w:rPr>
        <w:t> </w:t>
      </w:r>
      <w:r w:rsidRPr="009070BD">
        <w:rPr>
          <w:rFonts w:cs="Sylfaen"/>
          <w:b w:val="0"/>
          <w:szCs w:val="22"/>
          <w:lang w:val="af-ZA"/>
        </w:rPr>
        <w:t xml:space="preserve">898.3 մլն </w:t>
      </w:r>
      <w:r w:rsidRPr="009070BD">
        <w:rPr>
          <w:rFonts w:cs="Sylfaen"/>
          <w:b w:val="0"/>
          <w:szCs w:val="22"/>
          <w:lang w:val="hy-AM"/>
        </w:rPr>
        <w:t>դրամ</w:t>
      </w:r>
      <w:r w:rsidRPr="009070BD">
        <w:rPr>
          <w:rFonts w:cs="Sylfaen"/>
          <w:b w:val="0"/>
          <w:szCs w:val="22"/>
          <w:lang w:val="af-ZA"/>
        </w:rPr>
        <w:t xml:space="preserve"> (2020 </w:t>
      </w:r>
      <w:r w:rsidRPr="009070BD">
        <w:rPr>
          <w:rFonts w:cs="Sylfaen"/>
          <w:b w:val="0"/>
          <w:szCs w:val="22"/>
          <w:lang w:val="hy-AM"/>
        </w:rPr>
        <w:t>թվականին</w:t>
      </w:r>
      <w:r w:rsidRPr="009070BD">
        <w:rPr>
          <w:rFonts w:cs="Sylfaen"/>
          <w:b w:val="0"/>
          <w:szCs w:val="22"/>
          <w:lang w:val="af-ZA"/>
        </w:rPr>
        <w:t xml:space="preserve">` 11 117.7  մլն դրամ): Ծախսերի նվազումը 219.4 մլն դրամի չափով պայմանավորված է շահառուների թվի նվազմամբ՝ 2021 թվականին կանխատեսվում է 36 168 շահառու 2020 թվականի 36 896 շահառուի դիմաց` պահպանելով </w:t>
      </w:r>
      <w:r w:rsidRPr="009070BD">
        <w:rPr>
          <w:b w:val="0"/>
          <w:szCs w:val="22"/>
        </w:rPr>
        <w:t>պարգևավճարներ</w:t>
      </w:r>
      <w:r w:rsidRPr="009070BD">
        <w:rPr>
          <w:rFonts w:cs="Sylfaen"/>
          <w:b w:val="0"/>
          <w:szCs w:val="22"/>
          <w:lang w:val="af-ZA"/>
        </w:rPr>
        <w:t>ի ամսական չափերը: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hy-AM"/>
        </w:rPr>
        <w:t>Վետերանների</w:t>
      </w:r>
      <w:r w:rsidRPr="009070BD">
        <w:rPr>
          <w:rFonts w:cs="Sylfaen"/>
          <w:b w:val="0"/>
          <w:szCs w:val="22"/>
          <w:lang w:val="af-ZA"/>
        </w:rPr>
        <w:t xml:space="preserve"> </w:t>
      </w:r>
      <w:r w:rsidRPr="009070BD">
        <w:rPr>
          <w:rFonts w:cs="Sylfaen"/>
          <w:b w:val="0"/>
          <w:szCs w:val="22"/>
          <w:lang w:val="hy-AM"/>
        </w:rPr>
        <w:t>պատվովճարներ</w:t>
      </w:r>
      <w:r w:rsidRPr="009070BD">
        <w:rPr>
          <w:b w:val="0"/>
          <w:szCs w:val="22"/>
          <w:lang w:val="pt-BR"/>
        </w:rPr>
        <w:t>»</w:t>
      </w:r>
      <w:r w:rsidRPr="009070BD">
        <w:rPr>
          <w:rFonts w:cs="Sylfaen"/>
          <w:b w:val="0"/>
          <w:szCs w:val="22"/>
          <w:lang w:val="af-ZA"/>
        </w:rPr>
        <w:t xml:space="preserve"> միջոցառման գծով նախատեսվում է ծախս 199.2 մլն դրամի չափով (2020 </w:t>
      </w:r>
      <w:r w:rsidRPr="009070BD">
        <w:rPr>
          <w:rFonts w:cs="Sylfaen"/>
          <w:b w:val="0"/>
          <w:szCs w:val="22"/>
          <w:lang w:val="hy-AM"/>
        </w:rPr>
        <w:t>թվականին</w:t>
      </w:r>
      <w:r w:rsidRPr="009070BD">
        <w:rPr>
          <w:rFonts w:cs="Sylfaen"/>
          <w:b w:val="0"/>
          <w:szCs w:val="22"/>
          <w:lang w:val="af-ZA"/>
        </w:rPr>
        <w:t xml:space="preserve">` 282.0 մլն դրամ): Ծախսերի նվազումը 82.8 մլն դրամի չափով պայմանավորված է շահառուների թվի նվազմամբ՝ 2021 թվականին կանխատեսվում է 166 շահառու 2020 թվականի 235 շահառուի դիմաց` պահպանելով </w:t>
      </w:r>
      <w:r w:rsidRPr="009070BD">
        <w:rPr>
          <w:b w:val="0"/>
          <w:szCs w:val="22"/>
          <w:lang w:val="af-ZA"/>
        </w:rPr>
        <w:t>պատվովճարի</w:t>
      </w:r>
      <w:r w:rsidRPr="009070BD">
        <w:rPr>
          <w:rFonts w:cs="Sylfaen"/>
          <w:b w:val="0"/>
          <w:szCs w:val="22"/>
          <w:lang w:val="af-ZA"/>
        </w:rPr>
        <w:t xml:space="preserve"> ամսական չափը: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b w:val="0"/>
          <w:szCs w:val="22"/>
          <w:lang w:val="hy-AM"/>
        </w:rPr>
        <w:t>Զոհված՝ հետմահու «Հայաստանի ազգային հերոս» ՀՀ բարձրագույն կոչում ստացած կամ «Մարտական խաչ» շքանշանով պարգևատրված անձի ընտանիքին տրվող պարգևավճար</w:t>
      </w:r>
      <w:r w:rsidRPr="009070BD">
        <w:rPr>
          <w:b w:val="0"/>
          <w:szCs w:val="22"/>
          <w:lang w:val="pt-BR"/>
        </w:rPr>
        <w:t xml:space="preserve">» </w:t>
      </w:r>
      <w:r w:rsidRPr="009070BD">
        <w:rPr>
          <w:rFonts w:cs="Sylfaen"/>
          <w:b w:val="0"/>
          <w:szCs w:val="22"/>
          <w:lang w:val="af-ZA"/>
        </w:rPr>
        <w:t xml:space="preserve">միջոցառման </w:t>
      </w:r>
      <w:r w:rsidRPr="009070BD">
        <w:rPr>
          <w:rFonts w:cs="Sylfaen"/>
          <w:b w:val="0"/>
          <w:szCs w:val="22"/>
          <w:lang w:val="hy-AM"/>
        </w:rPr>
        <w:t>ծախսը</w:t>
      </w:r>
      <w:r w:rsidRPr="009070BD">
        <w:rPr>
          <w:rFonts w:cs="Sylfaen"/>
          <w:b w:val="0"/>
          <w:szCs w:val="22"/>
          <w:lang w:val="af-ZA"/>
        </w:rPr>
        <w:t xml:space="preserve"> </w:t>
      </w:r>
      <w:r w:rsidRPr="009070BD">
        <w:rPr>
          <w:rFonts w:cs="Sylfaen"/>
          <w:b w:val="0"/>
          <w:szCs w:val="22"/>
          <w:lang w:val="hy-AM"/>
        </w:rPr>
        <w:t>կազմում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163.2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w:t>
      </w:r>
      <w:r w:rsidRPr="009070BD">
        <w:rPr>
          <w:rFonts w:cs="Sylfaen"/>
          <w:b w:val="0"/>
          <w:szCs w:val="22"/>
          <w:lang w:val="af-ZA"/>
        </w:rPr>
        <w:t xml:space="preserve">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w:t>
      </w:r>
    </w:p>
    <w:p w:rsidR="00500235" w:rsidRPr="009070BD" w:rsidRDefault="00500235" w:rsidP="007730AA">
      <w:pPr>
        <w:spacing w:before="0" w:line="276" w:lineRule="auto"/>
        <w:ind w:firstLine="719"/>
        <w:rPr>
          <w:rFonts w:cs="Sylfaen"/>
          <w:b w:val="0"/>
          <w:szCs w:val="22"/>
          <w:lang w:val="af-ZA"/>
        </w:rPr>
      </w:pPr>
      <w:r w:rsidRPr="009070BD">
        <w:rPr>
          <w:rFonts w:cs="Sylfaen"/>
          <w:b w:val="0"/>
          <w:szCs w:val="22"/>
          <w:lang w:val="af-ZA"/>
        </w:rPr>
        <w:t>Անապահով սոցիալական խմբերին աջակցություն</w:t>
      </w:r>
    </w:p>
    <w:p w:rsidR="00500235" w:rsidRPr="009070BD" w:rsidRDefault="00500235" w:rsidP="007730AA">
      <w:pPr>
        <w:spacing w:before="0" w:line="276" w:lineRule="auto"/>
        <w:rPr>
          <w:rFonts w:cs="Sylfaen"/>
          <w:b w:val="0"/>
          <w:szCs w:val="22"/>
          <w:lang w:val="af-ZA"/>
        </w:rPr>
      </w:pPr>
      <w:r w:rsidRPr="009070BD">
        <w:rPr>
          <w:rFonts w:cs="Sylfaen"/>
          <w:b w:val="0"/>
          <w:szCs w:val="22"/>
          <w:lang w:val="hy-AM"/>
        </w:rPr>
        <w:t>-</w:t>
      </w:r>
      <w:r w:rsidRPr="009070BD">
        <w:rPr>
          <w:b w:val="0"/>
          <w:szCs w:val="22"/>
          <w:lang w:val="pt-BR"/>
        </w:rPr>
        <w:t xml:space="preserve">«Ընտանիքի կենսամակարդակի բարձրացմանն ուղղված նպաստների իրականացման ապահովում» </w:t>
      </w:r>
      <w:r w:rsidRPr="009070BD">
        <w:rPr>
          <w:rFonts w:cs="Sylfaen"/>
          <w:b w:val="0"/>
          <w:szCs w:val="22"/>
          <w:lang w:val="af-ZA"/>
        </w:rPr>
        <w:t xml:space="preserve">միջոցառման գծով նախատեսվում է ծախս 366.8 մլն դրամի չափով (2020 </w:t>
      </w:r>
      <w:r w:rsidRPr="009070BD">
        <w:rPr>
          <w:rFonts w:cs="Sylfaen"/>
          <w:b w:val="0"/>
          <w:szCs w:val="22"/>
          <w:lang w:val="hy-AM"/>
        </w:rPr>
        <w:t>թվականին</w:t>
      </w:r>
      <w:r w:rsidRPr="009070BD">
        <w:rPr>
          <w:rFonts w:cs="Sylfaen"/>
          <w:b w:val="0"/>
          <w:szCs w:val="22"/>
          <w:lang w:val="af-ZA"/>
        </w:rPr>
        <w:t xml:space="preserve">` շուրջ 377.0 մլն դրամ): Ծախսերի </w:t>
      </w:r>
      <w:r w:rsidRPr="009070BD">
        <w:rPr>
          <w:rFonts w:cs="Sylfaen"/>
          <w:b w:val="0"/>
          <w:szCs w:val="22"/>
          <w:lang w:val="hy-AM"/>
        </w:rPr>
        <w:t>նվազումը</w:t>
      </w:r>
      <w:r w:rsidRPr="009070BD">
        <w:rPr>
          <w:rFonts w:cs="Sylfaen"/>
          <w:b w:val="0"/>
          <w:szCs w:val="22"/>
          <w:lang w:val="af-ZA"/>
        </w:rPr>
        <w:t xml:space="preserve"> 5.4 մլն դրամի չափով պայմանավորված է </w:t>
      </w:r>
      <w:r w:rsidRPr="009070BD">
        <w:rPr>
          <w:b w:val="0"/>
          <w:szCs w:val="22"/>
          <w:lang w:val="pt-BR"/>
        </w:rPr>
        <w:t>նպաստների</w:t>
      </w:r>
      <w:r w:rsidRPr="009070BD">
        <w:rPr>
          <w:rFonts w:cs="Sylfaen"/>
          <w:b w:val="0"/>
          <w:szCs w:val="22"/>
          <w:lang w:val="af-ZA"/>
        </w:rPr>
        <w:t xml:space="preserve"> միջոցառմամբ շահառուների թվի նվազմամբ՝ 2021 թվականին կանխատեսվում է 97 216 շահառու 2020 թվականի 98 666 շահառուի դիմաց:</w:t>
      </w:r>
    </w:p>
    <w:p w:rsidR="00500235" w:rsidRPr="009070BD" w:rsidRDefault="00500235" w:rsidP="007730AA">
      <w:pPr>
        <w:spacing w:before="0" w:line="276" w:lineRule="auto"/>
        <w:rPr>
          <w:b w:val="0"/>
          <w:szCs w:val="22"/>
          <w:lang w:val="hy-AM"/>
        </w:rPr>
      </w:pPr>
      <w:r w:rsidRPr="009070BD">
        <w:rPr>
          <w:rFonts w:cs="Sylfaen"/>
          <w:b w:val="0"/>
          <w:szCs w:val="22"/>
          <w:lang w:val="af-ZA"/>
        </w:rPr>
        <w:t>-</w:t>
      </w:r>
      <w:r w:rsidRPr="009070BD">
        <w:rPr>
          <w:b w:val="0"/>
          <w:szCs w:val="22"/>
          <w:lang w:val="pt-BR"/>
        </w:rPr>
        <w:t>«Ընտանիքի կենսամակարդակի բարձրացմանն ուղղված նպաստների տրամադրման համար անհրաժեշտ ձևաթղթերի տպագրություն»</w:t>
      </w:r>
      <w:r w:rsidRPr="009070BD">
        <w:rPr>
          <w:rFonts w:cs="Sylfaen"/>
          <w:b w:val="0"/>
          <w:szCs w:val="22"/>
          <w:lang w:val="af-ZA"/>
        </w:rPr>
        <w:t xml:space="preserve"> միջոցառման գծով նախատեսվում է ծախս 4.8 մլն դրամի չափով (2020 </w:t>
      </w:r>
      <w:r w:rsidRPr="009070BD">
        <w:rPr>
          <w:rFonts w:cs="Sylfaen"/>
          <w:b w:val="0"/>
          <w:szCs w:val="22"/>
          <w:lang w:val="hy-AM"/>
        </w:rPr>
        <w:t>թվականին</w:t>
      </w:r>
      <w:r w:rsidRPr="009070BD">
        <w:rPr>
          <w:rFonts w:cs="Sylfaen"/>
          <w:b w:val="0"/>
          <w:szCs w:val="22"/>
          <w:lang w:val="af-ZA"/>
        </w:rPr>
        <w:t xml:space="preserve">` 7.3 մլն դրամ): Ծախսերի </w:t>
      </w:r>
      <w:r w:rsidRPr="009070BD">
        <w:rPr>
          <w:rFonts w:cs="Sylfaen"/>
          <w:b w:val="0"/>
          <w:szCs w:val="22"/>
          <w:lang w:val="hy-AM"/>
        </w:rPr>
        <w:t>նվազումը</w:t>
      </w:r>
      <w:r w:rsidRPr="009070BD">
        <w:rPr>
          <w:rFonts w:cs="Sylfaen"/>
          <w:b w:val="0"/>
          <w:szCs w:val="22"/>
          <w:lang w:val="af-ZA"/>
        </w:rPr>
        <w:t xml:space="preserve"> 2.5 մլն դրամի չափով պայմանավորված է</w:t>
      </w:r>
      <w:r w:rsidRPr="009070BD">
        <w:rPr>
          <w:rFonts w:cs="Sylfaen"/>
          <w:b w:val="0"/>
          <w:szCs w:val="22"/>
          <w:lang w:val="hy-AM"/>
        </w:rPr>
        <w:t xml:space="preserve"> ձեռքբերվելիք</w:t>
      </w:r>
      <w:r w:rsidRPr="009070BD">
        <w:rPr>
          <w:rFonts w:cs="Sylfaen"/>
          <w:b w:val="0"/>
          <w:szCs w:val="22"/>
          <w:lang w:val="af-ZA"/>
        </w:rPr>
        <w:t xml:space="preserve"> </w:t>
      </w:r>
      <w:r w:rsidRPr="009070BD">
        <w:rPr>
          <w:rFonts w:cs="Sylfaen"/>
          <w:b w:val="0"/>
          <w:szCs w:val="22"/>
          <w:lang w:val="hy-AM"/>
        </w:rPr>
        <w:t>ձևաթղթերի</w:t>
      </w:r>
      <w:r w:rsidRPr="009070BD">
        <w:rPr>
          <w:rFonts w:cs="Sylfaen"/>
          <w:b w:val="0"/>
          <w:szCs w:val="22"/>
          <w:lang w:val="af-ZA"/>
        </w:rPr>
        <w:t xml:space="preserve"> </w:t>
      </w:r>
      <w:r w:rsidRPr="009070BD">
        <w:rPr>
          <w:rFonts w:cs="Sylfaen"/>
          <w:b w:val="0"/>
          <w:szCs w:val="22"/>
          <w:lang w:val="hy-AM"/>
        </w:rPr>
        <w:t>քանակի</w:t>
      </w:r>
      <w:r w:rsidRPr="009070BD">
        <w:rPr>
          <w:rFonts w:cs="Sylfaen"/>
          <w:b w:val="0"/>
          <w:szCs w:val="22"/>
          <w:lang w:val="af-ZA"/>
        </w:rPr>
        <w:t xml:space="preserve"> </w:t>
      </w:r>
      <w:r w:rsidRPr="009070BD">
        <w:rPr>
          <w:rFonts w:cs="Sylfaen"/>
          <w:b w:val="0"/>
          <w:szCs w:val="22"/>
          <w:lang w:val="hy-AM"/>
        </w:rPr>
        <w:t>նվազմամբ</w:t>
      </w:r>
      <w:r w:rsidRPr="009070BD">
        <w:rPr>
          <w:rFonts w:cs="Sylfaen"/>
          <w:b w:val="0"/>
          <w:szCs w:val="22"/>
          <w:lang w:val="en-US"/>
        </w:rPr>
        <w:t>՝</w:t>
      </w:r>
      <w:r w:rsidRPr="009070BD">
        <w:rPr>
          <w:rFonts w:cs="Sylfaen"/>
          <w:b w:val="0"/>
          <w:szCs w:val="22"/>
          <w:lang w:val="af-ZA"/>
        </w:rPr>
        <w:t xml:space="preserve"> </w:t>
      </w:r>
      <w:r w:rsidRPr="009070BD">
        <w:rPr>
          <w:b w:val="0"/>
          <w:szCs w:val="22"/>
          <w:lang w:val="af-ZA"/>
        </w:rPr>
        <w:t xml:space="preserve">2021 </w:t>
      </w:r>
      <w:r w:rsidRPr="009070BD">
        <w:rPr>
          <w:rFonts w:cs="Sylfaen"/>
          <w:b w:val="0"/>
          <w:szCs w:val="22"/>
          <w:lang w:val="af-ZA"/>
        </w:rPr>
        <w:t xml:space="preserve">թվականին կանխատեսվում է ձեռքբերել 346 140 հատ </w:t>
      </w:r>
      <w:r w:rsidRPr="009070BD">
        <w:rPr>
          <w:rFonts w:cs="Sylfaen"/>
          <w:b w:val="0"/>
          <w:szCs w:val="22"/>
          <w:lang w:val="hy-AM"/>
        </w:rPr>
        <w:t>ձևաթ</w:t>
      </w:r>
      <w:r w:rsidRPr="009070BD">
        <w:rPr>
          <w:rFonts w:cs="Sylfaen"/>
          <w:b w:val="0"/>
          <w:szCs w:val="22"/>
          <w:lang w:val="en-US"/>
        </w:rPr>
        <w:t>ու</w:t>
      </w:r>
      <w:r w:rsidRPr="009070BD">
        <w:rPr>
          <w:rFonts w:cs="Sylfaen"/>
          <w:b w:val="0"/>
          <w:szCs w:val="22"/>
          <w:lang w:val="hy-AM"/>
        </w:rPr>
        <w:t>ղթ</w:t>
      </w:r>
      <w:r w:rsidRPr="009070BD">
        <w:rPr>
          <w:rFonts w:cs="Sylfaen"/>
          <w:b w:val="0"/>
          <w:szCs w:val="22"/>
          <w:lang w:val="af-ZA"/>
        </w:rPr>
        <w:t xml:space="preserve"> </w:t>
      </w:r>
      <w:r w:rsidRPr="009070BD">
        <w:rPr>
          <w:b w:val="0"/>
          <w:szCs w:val="22"/>
          <w:lang w:val="af-ZA"/>
        </w:rPr>
        <w:t xml:space="preserve">2020 թվականի </w:t>
      </w:r>
      <w:r w:rsidRPr="009070BD">
        <w:rPr>
          <w:rFonts w:cs="Sylfaen"/>
          <w:b w:val="0"/>
          <w:szCs w:val="22"/>
          <w:lang w:val="af-ZA"/>
        </w:rPr>
        <w:t>562</w:t>
      </w:r>
      <w:r w:rsidRPr="009070BD">
        <w:rPr>
          <w:rFonts w:ascii="Calibri" w:hAnsi="Calibri" w:cs="Calibri"/>
          <w:b w:val="0"/>
          <w:szCs w:val="22"/>
          <w:lang w:val="af-ZA"/>
        </w:rPr>
        <w:t> </w:t>
      </w:r>
      <w:r w:rsidRPr="009070BD">
        <w:rPr>
          <w:rFonts w:cs="Sylfaen"/>
          <w:b w:val="0"/>
          <w:szCs w:val="22"/>
          <w:lang w:val="af-ZA"/>
        </w:rPr>
        <w:t xml:space="preserve">140 </w:t>
      </w:r>
      <w:r w:rsidRPr="009070BD">
        <w:rPr>
          <w:b w:val="0"/>
          <w:szCs w:val="22"/>
          <w:lang w:val="af-ZA"/>
        </w:rPr>
        <w:t>դիմաց:</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Ընտանիքի կենսամակարդակի բարձրացմանն ուղղված նպաստներ</w:t>
      </w:r>
      <w:r w:rsidRPr="009070BD">
        <w:rPr>
          <w:b w:val="0"/>
          <w:szCs w:val="22"/>
          <w:lang w:val="pt-BR"/>
        </w:rPr>
        <w:t>»</w:t>
      </w:r>
      <w:r w:rsidRPr="009070BD">
        <w:rPr>
          <w:rFonts w:cs="Sylfaen"/>
          <w:b w:val="0"/>
          <w:szCs w:val="22"/>
          <w:lang w:val="af-ZA"/>
        </w:rPr>
        <w:t xml:space="preserve"> միջոցառման գծով նախատեսվում է ծախս 36 680.1 մլն դրամի չափով (2020 </w:t>
      </w:r>
      <w:r w:rsidRPr="009070BD">
        <w:rPr>
          <w:rFonts w:cs="Sylfaen"/>
          <w:b w:val="0"/>
          <w:szCs w:val="22"/>
          <w:lang w:val="hy-AM"/>
        </w:rPr>
        <w:t>թվականին</w:t>
      </w:r>
      <w:r w:rsidRPr="009070BD">
        <w:rPr>
          <w:rFonts w:cs="Sylfaen"/>
          <w:b w:val="0"/>
          <w:szCs w:val="22"/>
          <w:lang w:val="af-ZA"/>
        </w:rPr>
        <w:t>` 37</w:t>
      </w:r>
      <w:r w:rsidRPr="009070BD">
        <w:rPr>
          <w:rFonts w:ascii="Calibri" w:hAnsi="Calibri" w:cs="Calibri"/>
          <w:b w:val="0"/>
          <w:szCs w:val="22"/>
          <w:lang w:val="af-ZA"/>
        </w:rPr>
        <w:t> </w:t>
      </w:r>
      <w:r w:rsidRPr="009070BD">
        <w:rPr>
          <w:rFonts w:cs="Sylfaen"/>
          <w:b w:val="0"/>
          <w:szCs w:val="22"/>
          <w:lang w:val="af-ZA"/>
        </w:rPr>
        <w:t xml:space="preserve">227.1 մլն դրամ): Ծախսերի </w:t>
      </w:r>
      <w:r w:rsidRPr="009070BD">
        <w:rPr>
          <w:rFonts w:cs="Sylfaen"/>
          <w:b w:val="0"/>
          <w:szCs w:val="22"/>
          <w:lang w:val="hy-AM"/>
        </w:rPr>
        <w:t>նվազումը</w:t>
      </w:r>
      <w:r w:rsidRPr="009070BD">
        <w:rPr>
          <w:rFonts w:cs="Sylfaen"/>
          <w:b w:val="0"/>
          <w:szCs w:val="22"/>
          <w:lang w:val="af-ZA"/>
        </w:rPr>
        <w:t xml:space="preserve"> 547.1 մլն դրամի չափով պայմանավորված է շահառուների թվի նվազմամբ՝ 2021 թվականին կանխատեսվում է 97 216 շահառու 2020 թվականի 98 666 շահառուի դիմաց:</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Սոցիալական շտապ օգնություն</w:t>
      </w:r>
      <w:r w:rsidRPr="009070BD">
        <w:rPr>
          <w:b w:val="0"/>
          <w:szCs w:val="22"/>
          <w:lang w:val="pt-BR"/>
        </w:rPr>
        <w:t>»</w:t>
      </w:r>
      <w:r w:rsidRPr="009070BD">
        <w:rPr>
          <w:rFonts w:cs="Sylfaen"/>
          <w:b w:val="0"/>
          <w:szCs w:val="22"/>
          <w:lang w:val="af-ZA"/>
        </w:rPr>
        <w:t xml:space="preserve"> միջոցառման </w:t>
      </w:r>
      <w:r w:rsidRPr="009070BD">
        <w:rPr>
          <w:rFonts w:cs="Sylfaen"/>
          <w:b w:val="0"/>
          <w:szCs w:val="22"/>
          <w:lang w:val="hy-AM"/>
        </w:rPr>
        <w:t>ծախսը</w:t>
      </w:r>
      <w:r w:rsidRPr="009070BD">
        <w:rPr>
          <w:rFonts w:cs="Sylfaen"/>
          <w:b w:val="0"/>
          <w:szCs w:val="22"/>
          <w:lang w:val="af-ZA"/>
        </w:rPr>
        <w:t xml:space="preserve"> </w:t>
      </w:r>
      <w:r w:rsidRPr="009070BD">
        <w:rPr>
          <w:rFonts w:cs="Sylfaen"/>
          <w:b w:val="0"/>
          <w:szCs w:val="22"/>
          <w:lang w:val="hy-AM"/>
        </w:rPr>
        <w:t>կազմում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5.6 մլն դրամ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w:t>
      </w:r>
    </w:p>
    <w:p w:rsidR="00500235" w:rsidRPr="009070BD" w:rsidRDefault="00500235" w:rsidP="007730AA">
      <w:pPr>
        <w:spacing w:before="0" w:line="276" w:lineRule="auto"/>
        <w:ind w:firstLine="719"/>
        <w:rPr>
          <w:rFonts w:cs="Sylfaen"/>
          <w:b w:val="0"/>
          <w:szCs w:val="22"/>
          <w:lang w:val="af-ZA"/>
        </w:rPr>
      </w:pPr>
      <w:r w:rsidRPr="009070BD">
        <w:rPr>
          <w:rFonts w:cs="Sylfaen"/>
          <w:b w:val="0"/>
          <w:szCs w:val="22"/>
          <w:lang w:val="af-ZA"/>
        </w:rPr>
        <w:t>Սոցիալական փաթեթների ապահովում</w:t>
      </w:r>
    </w:p>
    <w:p w:rsidR="00500235" w:rsidRPr="009070BD" w:rsidRDefault="00500235" w:rsidP="007730AA">
      <w:pPr>
        <w:spacing w:before="0" w:line="276" w:lineRule="auto"/>
        <w:rPr>
          <w:rFonts w:cs="Sylfaen"/>
          <w:b w:val="0"/>
          <w:szCs w:val="22"/>
          <w:lang w:val="af-ZA"/>
        </w:rPr>
      </w:pPr>
      <w:r w:rsidRPr="009070BD">
        <w:rPr>
          <w:b w:val="0"/>
          <w:szCs w:val="22"/>
          <w:lang w:val="af-ZA"/>
        </w:rPr>
        <w:t>-</w:t>
      </w:r>
      <w:r w:rsidRPr="009070BD">
        <w:rPr>
          <w:b w:val="0"/>
          <w:szCs w:val="22"/>
          <w:lang w:val="pt-BR"/>
        </w:rPr>
        <w:t>«</w:t>
      </w:r>
      <w:r w:rsidRPr="009070BD">
        <w:rPr>
          <w:b w:val="0"/>
          <w:szCs w:val="22"/>
          <w:lang w:val="af-ZA"/>
        </w:rPr>
        <w:t>Պետական հիմնարկների և կազմակերպությունների աշխատողների սոցիալական փաթեթով ապահովում</w:t>
      </w:r>
      <w:r w:rsidRPr="009070BD">
        <w:rPr>
          <w:b w:val="0"/>
          <w:szCs w:val="22"/>
          <w:lang w:val="pt-BR"/>
        </w:rPr>
        <w:t>»</w:t>
      </w:r>
      <w:r w:rsidRPr="009070BD">
        <w:rPr>
          <w:rFonts w:cs="Sylfaen"/>
          <w:b w:val="0"/>
          <w:szCs w:val="22"/>
          <w:lang w:val="af-ZA"/>
        </w:rPr>
        <w:t xml:space="preserve"> միջոցառմամբ </w:t>
      </w:r>
      <w:r w:rsidRPr="009070BD">
        <w:rPr>
          <w:rFonts w:cs="Sylfaen"/>
          <w:b w:val="0"/>
          <w:szCs w:val="22"/>
        </w:rPr>
        <w:t>ծախսը</w:t>
      </w:r>
      <w:r w:rsidRPr="009070BD">
        <w:rPr>
          <w:rFonts w:cs="Sylfaen"/>
          <w:b w:val="0"/>
          <w:szCs w:val="22"/>
          <w:lang w:val="af-ZA"/>
        </w:rPr>
        <w:t xml:space="preserve"> </w:t>
      </w:r>
      <w:r w:rsidRPr="009070BD">
        <w:rPr>
          <w:rFonts w:cs="Sylfaen"/>
          <w:b w:val="0"/>
          <w:szCs w:val="22"/>
        </w:rPr>
        <w:t>կազմում</w:t>
      </w:r>
      <w:r w:rsidRPr="009070BD">
        <w:rPr>
          <w:rFonts w:cs="Sylfaen"/>
          <w:b w:val="0"/>
          <w:szCs w:val="22"/>
          <w:lang w:val="af-ZA"/>
        </w:rPr>
        <w:t xml:space="preserve"> </w:t>
      </w:r>
      <w:r w:rsidRPr="009070BD">
        <w:rPr>
          <w:rFonts w:cs="Sylfaen"/>
          <w:b w:val="0"/>
          <w:szCs w:val="22"/>
        </w:rPr>
        <w:t>է</w:t>
      </w:r>
      <w:r w:rsidRPr="009070BD">
        <w:rPr>
          <w:rFonts w:cs="Sylfaen"/>
          <w:b w:val="0"/>
          <w:szCs w:val="22"/>
          <w:lang w:val="af-ZA"/>
        </w:rPr>
        <w:t xml:space="preserve"> 10 619.5 մլն դրամ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Խնամքի ծառայություններ 18 տարեկանից բարձր տարիքի անձանց</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Տարեցների և հաշմանդամություն ունեցող 18 տարին լրացած անձանց շուրջօրյա խնամքի ծառայություններ</w:t>
      </w:r>
      <w:r w:rsidRPr="009070BD">
        <w:rPr>
          <w:b w:val="0"/>
          <w:szCs w:val="22"/>
          <w:lang w:val="pt-BR"/>
        </w:rPr>
        <w:t xml:space="preserve">» </w:t>
      </w:r>
      <w:r w:rsidRPr="009070BD">
        <w:rPr>
          <w:rFonts w:cs="Sylfaen"/>
          <w:b w:val="0"/>
          <w:szCs w:val="22"/>
          <w:lang w:val="af-ZA"/>
        </w:rPr>
        <w:t>միջոցառման գծով նախատեսվում է ծախս 2</w:t>
      </w:r>
      <w:r w:rsidRPr="009070BD">
        <w:rPr>
          <w:rFonts w:ascii="Calibri" w:hAnsi="Calibri" w:cs="Calibri"/>
          <w:b w:val="0"/>
          <w:szCs w:val="22"/>
          <w:lang w:val="af-ZA"/>
        </w:rPr>
        <w:t> </w:t>
      </w:r>
      <w:r w:rsidRPr="009070BD">
        <w:rPr>
          <w:rFonts w:cs="Sylfaen"/>
          <w:b w:val="0"/>
          <w:szCs w:val="22"/>
          <w:lang w:val="af-ZA"/>
        </w:rPr>
        <w:t xml:space="preserve">512.3 մլն դրամի չափով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«Տարեցներին և հաշմանդամություն ունեցող անձանց տնային պայմաններում խնամքի ծառայություններ»</w:t>
      </w:r>
      <w:r w:rsidRPr="009070BD">
        <w:rPr>
          <w:rFonts w:cs="Sylfaen"/>
          <w:b w:val="0"/>
          <w:szCs w:val="22"/>
          <w:lang w:val="af-ZA"/>
        </w:rPr>
        <w:t xml:space="preserve"> միջոցառման գծով նախատեսվում է ծախս 236.9 մլն դրամի չափով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Տարեցներին, հաշմանդամություն ունեցող անձանց ցերեկային խնամքի ծառայություններ (սննդի տրամադրման գծով)</w:t>
      </w:r>
      <w:r w:rsidRPr="009070BD">
        <w:rPr>
          <w:b w:val="0"/>
          <w:szCs w:val="22"/>
          <w:lang w:val="pt-BR"/>
        </w:rPr>
        <w:t>»</w:t>
      </w:r>
      <w:r w:rsidRPr="009070BD">
        <w:rPr>
          <w:rFonts w:cs="Sylfaen"/>
          <w:b w:val="0"/>
          <w:szCs w:val="22"/>
          <w:lang w:val="af-ZA"/>
        </w:rPr>
        <w:t xml:space="preserve"> միջոցառման գծով նախատեսվում է ծախս 210.9 մլն դրամի չափով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«Տարեցների և հաշմանդամություն ունեցող 18 տարին լրացած անձանց շուրջօրյա խնամքի ծառայություններ՝ Լոռու մարզում»</w:t>
      </w:r>
      <w:r w:rsidRPr="009070BD">
        <w:rPr>
          <w:rFonts w:cs="Sylfaen"/>
          <w:b w:val="0"/>
          <w:szCs w:val="22"/>
          <w:lang w:val="af-ZA"/>
        </w:rPr>
        <w:t xml:space="preserve"> միջոցառման գծով նախատեսվում է ծախս 30.0 մլն դրամի չափով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w:t>
      </w:r>
    </w:p>
    <w:p w:rsidR="00500235" w:rsidRPr="009070BD" w:rsidRDefault="00500235" w:rsidP="007730AA">
      <w:pPr>
        <w:spacing w:before="0" w:line="276" w:lineRule="auto"/>
        <w:rPr>
          <w:rFonts w:cs="Sylfaen"/>
          <w:b w:val="0"/>
          <w:szCs w:val="22"/>
          <w:lang w:val="hy-AM"/>
        </w:rPr>
      </w:pPr>
      <w:r w:rsidRPr="009070BD">
        <w:rPr>
          <w:rFonts w:cs="Sylfaen"/>
          <w:b w:val="0"/>
          <w:szCs w:val="22"/>
          <w:lang w:val="af-ZA"/>
        </w:rPr>
        <w:t>-</w:t>
      </w:r>
      <w:r w:rsidRPr="009070BD">
        <w:rPr>
          <w:b w:val="0"/>
          <w:szCs w:val="22"/>
          <w:lang w:val="pt-BR"/>
        </w:rPr>
        <w:t>«Հատուկ խմբերին դասված որոշակի կատեգորիայի անձանց կացարանով ապահովման ծառայություններ»</w:t>
      </w:r>
      <w:r w:rsidRPr="009070BD">
        <w:rPr>
          <w:rFonts w:cs="Sylfaen"/>
          <w:b w:val="0"/>
          <w:szCs w:val="22"/>
          <w:lang w:val="af-ZA"/>
        </w:rPr>
        <w:t xml:space="preserve"> միջոցառման</w:t>
      </w:r>
      <w:r w:rsidRPr="009070BD">
        <w:rPr>
          <w:rFonts w:cs="Sylfaen"/>
          <w:b w:val="0"/>
          <w:szCs w:val="22"/>
          <w:lang w:val="hy-AM"/>
        </w:rPr>
        <w:t xml:space="preserve"> </w:t>
      </w:r>
      <w:r w:rsidRPr="009070BD">
        <w:rPr>
          <w:rFonts w:cs="Sylfaen"/>
          <w:b w:val="0"/>
          <w:szCs w:val="22"/>
          <w:lang w:val="af-ZA"/>
        </w:rPr>
        <w:t xml:space="preserve">գծով նախատեսվում է ծախս </w:t>
      </w:r>
      <w:r w:rsidRPr="009070BD">
        <w:rPr>
          <w:rFonts w:cs="Sylfaen"/>
          <w:b w:val="0"/>
          <w:szCs w:val="22"/>
          <w:lang w:val="hy-AM"/>
        </w:rPr>
        <w:t>6.7</w:t>
      </w:r>
      <w:r w:rsidRPr="009070BD">
        <w:rPr>
          <w:rFonts w:cs="Sylfaen"/>
          <w:b w:val="0"/>
          <w:szCs w:val="22"/>
          <w:lang w:val="af-ZA"/>
        </w:rPr>
        <w:t xml:space="preserve"> մլն դրամի չափով </w:t>
      </w:r>
      <w:r w:rsidRPr="009070BD">
        <w:rPr>
          <w:b w:val="0"/>
          <w:szCs w:val="22"/>
          <w:lang w:val="hy-AM"/>
        </w:rPr>
        <w:t>(պահպանվել է 20</w:t>
      </w:r>
      <w:r w:rsidRPr="009070BD">
        <w:rPr>
          <w:b w:val="0"/>
          <w:szCs w:val="22"/>
          <w:lang w:val="af-ZA"/>
        </w:rPr>
        <w:t xml:space="preserve">20 </w:t>
      </w:r>
      <w:r w:rsidRPr="009070BD">
        <w:rPr>
          <w:rFonts w:cs="Sylfaen"/>
          <w:b w:val="0"/>
          <w:szCs w:val="22"/>
          <w:lang w:val="hy-AM"/>
        </w:rPr>
        <w:t>թվականի համար նախատեսված</w:t>
      </w:r>
      <w:r w:rsidRPr="009070BD">
        <w:rPr>
          <w:rFonts w:cs="Sylfaen"/>
          <w:b w:val="0"/>
          <w:szCs w:val="22"/>
          <w:lang w:val="af-ZA"/>
        </w:rPr>
        <w:t xml:space="preserve"> </w:t>
      </w:r>
      <w:r w:rsidRPr="009070BD">
        <w:rPr>
          <w:rFonts w:cs="Sylfaen"/>
          <w:b w:val="0"/>
          <w:szCs w:val="22"/>
          <w:lang w:val="hy-AM"/>
        </w:rPr>
        <w:t>չափը</w:t>
      </w:r>
      <w:r w:rsidRPr="009070BD">
        <w:rPr>
          <w:b w:val="0"/>
          <w:szCs w:val="22"/>
          <w:lang w:val="hy-AM"/>
        </w:rPr>
        <w:t>)</w:t>
      </w:r>
      <w:r w:rsidRPr="009070BD">
        <w:rPr>
          <w:rFonts w:cs="Sylfaen"/>
          <w:b w:val="0"/>
          <w:szCs w:val="22"/>
          <w:lang w:val="hy-AM"/>
        </w:rPr>
        <w:t xml:space="preserve">: </w:t>
      </w:r>
    </w:p>
    <w:p w:rsidR="00500235" w:rsidRPr="009070BD" w:rsidRDefault="00500235" w:rsidP="007730AA">
      <w:pPr>
        <w:spacing w:before="0" w:line="276" w:lineRule="auto"/>
        <w:rPr>
          <w:rFonts w:cs="Sylfaen"/>
          <w:b w:val="0"/>
          <w:szCs w:val="22"/>
          <w:lang w:val="hy-AM"/>
        </w:rPr>
      </w:pPr>
      <w:r w:rsidRPr="009070BD">
        <w:rPr>
          <w:rFonts w:cs="Sylfaen"/>
          <w:b w:val="0"/>
          <w:szCs w:val="22"/>
          <w:lang w:val="af-ZA"/>
        </w:rPr>
        <w:t>-</w:t>
      </w:r>
      <w:r w:rsidRPr="009070BD">
        <w:rPr>
          <w:b w:val="0"/>
          <w:szCs w:val="22"/>
          <w:lang w:val="pt-BR"/>
        </w:rPr>
        <w:t>«</w:t>
      </w:r>
      <w:r w:rsidRPr="009070BD">
        <w:rPr>
          <w:rFonts w:cs="Sylfaen"/>
          <w:b w:val="0"/>
          <w:szCs w:val="22"/>
          <w:lang w:val="hy-AM"/>
        </w:rPr>
        <w:t>Անօթևան մարդկանց համար ժամանակավոր օթևանի տրամադրման ծառայություններ</w:t>
      </w:r>
      <w:r w:rsidRPr="009070BD">
        <w:rPr>
          <w:b w:val="0"/>
          <w:szCs w:val="22"/>
          <w:lang w:val="pt-BR"/>
        </w:rPr>
        <w:t>»</w:t>
      </w:r>
      <w:r w:rsidRPr="009070BD">
        <w:rPr>
          <w:rFonts w:cs="Sylfaen"/>
          <w:b w:val="0"/>
          <w:szCs w:val="22"/>
          <w:lang w:val="af-ZA"/>
        </w:rPr>
        <w:t xml:space="preserve"> միջոցառման գծով նախատեսվում է ծախս 58.9 մլն դրամի չափով </w:t>
      </w:r>
      <w:r w:rsidRPr="009070BD">
        <w:rPr>
          <w:b w:val="0"/>
          <w:szCs w:val="22"/>
          <w:lang w:val="hy-AM"/>
        </w:rPr>
        <w:t>(պահպանվել է 20</w:t>
      </w:r>
      <w:r w:rsidRPr="009070BD">
        <w:rPr>
          <w:b w:val="0"/>
          <w:szCs w:val="22"/>
          <w:lang w:val="af-ZA"/>
        </w:rPr>
        <w:t xml:space="preserve">20 </w:t>
      </w:r>
      <w:r w:rsidRPr="009070BD">
        <w:rPr>
          <w:rFonts w:cs="Sylfaen"/>
          <w:b w:val="0"/>
          <w:szCs w:val="22"/>
          <w:lang w:val="hy-AM"/>
        </w:rPr>
        <w:t>թվականի համար նախատեսված</w:t>
      </w:r>
      <w:r w:rsidRPr="009070BD">
        <w:rPr>
          <w:rFonts w:cs="Sylfaen"/>
          <w:b w:val="0"/>
          <w:szCs w:val="22"/>
          <w:lang w:val="af-ZA"/>
        </w:rPr>
        <w:t xml:space="preserve"> </w:t>
      </w:r>
      <w:r w:rsidRPr="009070BD">
        <w:rPr>
          <w:rFonts w:cs="Sylfaen"/>
          <w:b w:val="0"/>
          <w:szCs w:val="22"/>
          <w:lang w:val="hy-AM"/>
        </w:rPr>
        <w:t>չափը</w:t>
      </w:r>
      <w:r w:rsidRPr="009070BD">
        <w:rPr>
          <w:b w:val="0"/>
          <w:szCs w:val="22"/>
          <w:lang w:val="hy-AM"/>
        </w:rPr>
        <w:t>)</w:t>
      </w:r>
      <w:r w:rsidRPr="009070BD">
        <w:rPr>
          <w:rFonts w:cs="Sylfaen"/>
          <w:b w:val="0"/>
          <w:szCs w:val="22"/>
          <w:lang w:val="hy-AM"/>
        </w:rPr>
        <w:t xml:space="preserve">: </w:t>
      </w:r>
    </w:p>
    <w:p w:rsidR="00500235" w:rsidRPr="009070BD" w:rsidRDefault="00500235" w:rsidP="007730AA">
      <w:pPr>
        <w:spacing w:before="0" w:line="276" w:lineRule="auto"/>
        <w:rPr>
          <w:rFonts w:cs="Sylfaen"/>
          <w:b w:val="0"/>
          <w:szCs w:val="22"/>
          <w:lang w:val="hy-AM"/>
        </w:rPr>
      </w:pPr>
      <w:r w:rsidRPr="009070BD">
        <w:rPr>
          <w:rFonts w:cs="Sylfaen"/>
          <w:b w:val="0"/>
          <w:szCs w:val="22"/>
          <w:lang w:val="af-ZA"/>
        </w:rPr>
        <w:t>-</w:t>
      </w:r>
      <w:r w:rsidRPr="009070BD">
        <w:rPr>
          <w:b w:val="0"/>
          <w:szCs w:val="22"/>
          <w:lang w:val="pt-BR"/>
        </w:rPr>
        <w:t>«</w:t>
      </w:r>
      <w:r w:rsidRPr="009070BD">
        <w:rPr>
          <w:b w:val="0"/>
          <w:szCs w:val="22"/>
          <w:lang w:val="af-ZA"/>
        </w:rPr>
        <w:t>Սոցիալական բնակարանային ֆոնդի սպասարկման ծառայություններ</w:t>
      </w:r>
      <w:r w:rsidRPr="009070BD">
        <w:rPr>
          <w:b w:val="0"/>
          <w:szCs w:val="22"/>
          <w:lang w:val="pt-BR"/>
        </w:rPr>
        <w:t xml:space="preserve">» </w:t>
      </w:r>
      <w:r w:rsidRPr="009070BD">
        <w:rPr>
          <w:rFonts w:cs="Sylfaen"/>
          <w:b w:val="0"/>
          <w:szCs w:val="22"/>
          <w:lang w:val="af-ZA"/>
        </w:rPr>
        <w:t xml:space="preserve">միջոցառման գծով նախատեսվում է ծախս </w:t>
      </w:r>
      <w:r w:rsidRPr="009070BD">
        <w:rPr>
          <w:rFonts w:cs="Sylfaen"/>
          <w:b w:val="0"/>
          <w:szCs w:val="22"/>
          <w:lang w:val="hy-AM"/>
        </w:rPr>
        <w:t xml:space="preserve">19.9 </w:t>
      </w:r>
      <w:r w:rsidRPr="009070BD">
        <w:rPr>
          <w:rFonts w:cs="Sylfaen"/>
          <w:b w:val="0"/>
          <w:szCs w:val="22"/>
          <w:lang w:val="af-ZA"/>
        </w:rPr>
        <w:t>մլն դրամի չափով (</w:t>
      </w:r>
      <w:r w:rsidRPr="009070BD">
        <w:rPr>
          <w:b w:val="0"/>
          <w:szCs w:val="22"/>
          <w:lang w:val="hy-AM"/>
        </w:rPr>
        <w:t xml:space="preserve">պահպանվել է 2020 </w:t>
      </w:r>
      <w:r w:rsidRPr="009070BD">
        <w:rPr>
          <w:rFonts w:cs="Sylfaen"/>
          <w:b w:val="0"/>
          <w:szCs w:val="22"/>
          <w:lang w:val="hy-AM"/>
        </w:rPr>
        <w:t>թվականի համար նախատեսված չափը</w:t>
      </w:r>
      <w:r w:rsidRPr="009070BD">
        <w:rPr>
          <w:b w:val="0"/>
          <w:szCs w:val="22"/>
          <w:lang w:val="hy-AM"/>
        </w:rPr>
        <w:t>)</w:t>
      </w:r>
      <w:r w:rsidRPr="009070BD">
        <w:rPr>
          <w:rFonts w:cs="Sylfaen"/>
          <w:b w:val="0"/>
          <w:szCs w:val="22"/>
          <w:lang w:val="hy-AM"/>
        </w:rPr>
        <w:t>:</w:t>
      </w:r>
    </w:p>
    <w:p w:rsidR="00500235" w:rsidRPr="009070BD" w:rsidRDefault="00500235" w:rsidP="007730AA">
      <w:pPr>
        <w:spacing w:before="0" w:line="276" w:lineRule="auto"/>
        <w:rPr>
          <w:rFonts w:cs="Sylfaen"/>
          <w:b w:val="0"/>
          <w:szCs w:val="22"/>
          <w:lang w:val="hy-AM"/>
        </w:rPr>
      </w:pPr>
      <w:r w:rsidRPr="009070BD">
        <w:rPr>
          <w:rFonts w:cs="Sylfaen"/>
          <w:b w:val="0"/>
          <w:szCs w:val="22"/>
          <w:lang w:val="af-ZA"/>
        </w:rPr>
        <w:t>-</w:t>
      </w:r>
      <w:r w:rsidRPr="009070BD">
        <w:rPr>
          <w:b w:val="0"/>
          <w:szCs w:val="22"/>
          <w:lang w:val="pt-BR"/>
        </w:rPr>
        <w:t>«</w:t>
      </w:r>
      <w:r w:rsidRPr="009070BD">
        <w:rPr>
          <w:rFonts w:cs="Sylfaen"/>
          <w:b w:val="0"/>
          <w:szCs w:val="22"/>
          <w:lang w:val="hy-AM"/>
        </w:rPr>
        <w:t>Տնային խնամք հոգեկան առողջության խնդիրներ ունեցող անձանց</w:t>
      </w:r>
      <w:r w:rsidRPr="009070BD">
        <w:rPr>
          <w:b w:val="0"/>
          <w:szCs w:val="22"/>
          <w:lang w:val="pt-BR"/>
        </w:rPr>
        <w:t xml:space="preserve">» </w:t>
      </w:r>
      <w:r w:rsidRPr="009070BD">
        <w:rPr>
          <w:rFonts w:cs="Sylfaen"/>
          <w:b w:val="0"/>
          <w:szCs w:val="22"/>
          <w:lang w:val="af-ZA"/>
        </w:rPr>
        <w:t xml:space="preserve">միջոցառման գծով նախատեսվում է ծախս </w:t>
      </w:r>
      <w:r w:rsidRPr="009070BD">
        <w:rPr>
          <w:rFonts w:cs="Sylfaen"/>
          <w:b w:val="0"/>
          <w:szCs w:val="22"/>
          <w:lang w:val="hy-AM"/>
        </w:rPr>
        <w:t xml:space="preserve">14.4 </w:t>
      </w:r>
      <w:r w:rsidRPr="009070BD">
        <w:rPr>
          <w:rFonts w:cs="Sylfaen"/>
          <w:b w:val="0"/>
          <w:szCs w:val="22"/>
          <w:lang w:val="af-ZA"/>
        </w:rPr>
        <w:t>մլն դրամի չափով (</w:t>
      </w:r>
      <w:r w:rsidRPr="009070BD">
        <w:rPr>
          <w:b w:val="0"/>
          <w:szCs w:val="22"/>
          <w:lang w:val="hy-AM"/>
        </w:rPr>
        <w:t xml:space="preserve">պահպանվել է 2020 </w:t>
      </w:r>
      <w:r w:rsidRPr="009070BD">
        <w:rPr>
          <w:rFonts w:cs="Sylfaen"/>
          <w:b w:val="0"/>
          <w:szCs w:val="22"/>
          <w:lang w:val="hy-AM"/>
        </w:rPr>
        <w:t>թվականի համար նախատեսված չափը</w:t>
      </w:r>
      <w:r w:rsidRPr="009070BD">
        <w:rPr>
          <w:b w:val="0"/>
          <w:szCs w:val="22"/>
          <w:lang w:val="hy-AM"/>
        </w:rPr>
        <w:t>)</w:t>
      </w:r>
      <w:r w:rsidRPr="009070BD">
        <w:rPr>
          <w:rFonts w:cs="Sylfaen"/>
          <w:b w:val="0"/>
          <w:szCs w:val="22"/>
          <w:lang w:val="hy-AM"/>
        </w:rPr>
        <w:t>:</w:t>
      </w:r>
    </w:p>
    <w:p w:rsidR="00500235" w:rsidRPr="009070BD" w:rsidRDefault="00500235" w:rsidP="007730AA">
      <w:pPr>
        <w:overflowPunct w:val="0"/>
        <w:autoSpaceDE w:val="0"/>
        <w:autoSpaceDN w:val="0"/>
        <w:adjustRightInd w:val="0"/>
        <w:spacing w:before="0" w:line="276" w:lineRule="auto"/>
        <w:textAlignment w:val="baseline"/>
        <w:rPr>
          <w:rFonts w:cs="Sylfaen"/>
          <w:b w:val="0"/>
          <w:bCs/>
          <w:szCs w:val="22"/>
          <w:lang w:val="fr-FR"/>
        </w:rPr>
      </w:pPr>
      <w:r w:rsidRPr="009070BD">
        <w:rPr>
          <w:rFonts w:cs="Sylfaen"/>
          <w:b w:val="0"/>
          <w:bCs/>
          <w:szCs w:val="22"/>
          <w:lang w:val="fr-FR"/>
        </w:rPr>
        <w:t>-</w:t>
      </w:r>
      <w:r w:rsidRPr="009070BD">
        <w:rPr>
          <w:b w:val="0"/>
          <w:szCs w:val="22"/>
          <w:lang w:val="pt-BR"/>
        </w:rPr>
        <w:t>«</w:t>
      </w:r>
      <w:r w:rsidRPr="009070BD">
        <w:rPr>
          <w:rFonts w:cs="Sylfaen"/>
          <w:b w:val="0"/>
          <w:bCs/>
          <w:szCs w:val="22"/>
          <w:lang w:val="fr-FR"/>
        </w:rPr>
        <w:t>Սոցիալական բնակարանային ֆոնդի կացարաններում բնակվող միայնակ կենսաթոշակառուներին կոմունալ ծախսերի դիմաց դրամական փոխհատուցում</w:t>
      </w:r>
      <w:r w:rsidRPr="009070BD">
        <w:rPr>
          <w:b w:val="0"/>
          <w:szCs w:val="22"/>
          <w:lang w:val="pt-BR"/>
        </w:rPr>
        <w:t xml:space="preserve">» </w:t>
      </w:r>
      <w:r w:rsidRPr="009070BD">
        <w:rPr>
          <w:rFonts w:cs="Sylfaen"/>
          <w:b w:val="0"/>
          <w:szCs w:val="22"/>
          <w:lang w:val="af-ZA"/>
        </w:rPr>
        <w:t xml:space="preserve">միջոցառման գծով նախատեսվում է ծախս </w:t>
      </w:r>
      <w:r w:rsidRPr="009070BD">
        <w:rPr>
          <w:rFonts w:cs="Sylfaen"/>
          <w:b w:val="0"/>
          <w:szCs w:val="22"/>
          <w:lang w:val="hy-AM"/>
        </w:rPr>
        <w:t xml:space="preserve">14.4 </w:t>
      </w:r>
      <w:r w:rsidRPr="009070BD">
        <w:rPr>
          <w:rFonts w:cs="Sylfaen"/>
          <w:b w:val="0"/>
          <w:szCs w:val="22"/>
          <w:lang w:val="af-ZA"/>
        </w:rPr>
        <w:t>մլն դրամի չափով</w:t>
      </w:r>
      <w:r w:rsidR="00640206" w:rsidRPr="00640206">
        <w:rPr>
          <w:rFonts w:cs="Sylfaen"/>
          <w:b w:val="0"/>
          <w:szCs w:val="22"/>
          <w:lang w:val="af-ZA"/>
        </w:rPr>
        <w:t>՝ 100 շահառուի համար</w:t>
      </w:r>
      <w:r w:rsidRPr="00640206">
        <w:rPr>
          <w:rFonts w:cs="Sylfaen"/>
          <w:b w:val="0"/>
          <w:szCs w:val="22"/>
          <w:lang w:val="af-ZA"/>
        </w:rPr>
        <w:t>:</w:t>
      </w:r>
      <w:r w:rsidRPr="009070BD">
        <w:rPr>
          <w:rFonts w:cs="Sylfaen"/>
          <w:b w:val="0"/>
          <w:bCs/>
          <w:szCs w:val="22"/>
          <w:lang w:val="fr-FR"/>
        </w:rPr>
        <w:t xml:space="preserve"> </w:t>
      </w:r>
    </w:p>
    <w:p w:rsidR="00500235" w:rsidRPr="009070BD" w:rsidRDefault="00500235" w:rsidP="007730AA">
      <w:pPr>
        <w:spacing w:before="0" w:line="276" w:lineRule="auto"/>
        <w:rPr>
          <w:rFonts w:cs="Sylfaen"/>
          <w:b w:val="0"/>
          <w:szCs w:val="22"/>
          <w:lang w:val="hy-AM"/>
        </w:rPr>
      </w:pPr>
      <w:r w:rsidRPr="009070BD">
        <w:rPr>
          <w:rFonts w:cs="Sylfaen"/>
          <w:b w:val="0"/>
          <w:szCs w:val="22"/>
          <w:lang w:val="hy-AM"/>
        </w:rPr>
        <w:t>Ժողովրդագրական վիճակի բարելավում</w:t>
      </w:r>
    </w:p>
    <w:p w:rsidR="00500235" w:rsidRPr="009070BD" w:rsidRDefault="00500235" w:rsidP="007730AA">
      <w:pPr>
        <w:spacing w:before="0" w:line="276" w:lineRule="auto"/>
        <w:rPr>
          <w:rFonts w:cs="Sylfaen"/>
          <w:b w:val="0"/>
          <w:szCs w:val="22"/>
          <w:lang w:val="af-ZA"/>
        </w:rPr>
      </w:pPr>
      <w:r w:rsidRPr="009070BD">
        <w:rPr>
          <w:rFonts w:cs="Sylfaen"/>
          <w:b w:val="0"/>
          <w:szCs w:val="22"/>
          <w:lang w:val="hy-AM"/>
        </w:rPr>
        <w:t>-</w:t>
      </w:r>
      <w:r w:rsidRPr="009070BD">
        <w:rPr>
          <w:b w:val="0"/>
          <w:szCs w:val="22"/>
          <w:lang w:val="pt-BR"/>
        </w:rPr>
        <w:t xml:space="preserve">«Մինչև 2 տարեկան երեխայի խնամքի նպաստի տրամադրման ապահովում» </w:t>
      </w:r>
      <w:r w:rsidRPr="009070BD">
        <w:rPr>
          <w:rFonts w:cs="Sylfaen"/>
          <w:b w:val="0"/>
          <w:szCs w:val="22"/>
          <w:lang w:val="af-ZA"/>
        </w:rPr>
        <w:t xml:space="preserve">միջոցառման գծով նախատեսվում է ծախս 9.4 մլն դրամի չափով (2020 </w:t>
      </w:r>
      <w:r w:rsidRPr="009070BD">
        <w:rPr>
          <w:rFonts w:cs="Sylfaen"/>
          <w:b w:val="0"/>
          <w:szCs w:val="22"/>
          <w:lang w:val="hy-AM"/>
        </w:rPr>
        <w:t>թվականին</w:t>
      </w:r>
      <w:r w:rsidRPr="009070BD">
        <w:rPr>
          <w:rFonts w:cs="Sylfaen"/>
          <w:b w:val="0"/>
          <w:szCs w:val="22"/>
          <w:lang w:val="af-ZA"/>
        </w:rPr>
        <w:t xml:space="preserve">` 10.1 մլն դրամ): Ծախսերի </w:t>
      </w:r>
      <w:r w:rsidRPr="009070BD">
        <w:rPr>
          <w:rFonts w:cs="Sylfaen"/>
          <w:b w:val="0"/>
          <w:szCs w:val="22"/>
          <w:lang w:val="hy-AM"/>
        </w:rPr>
        <w:t xml:space="preserve">նվազումը </w:t>
      </w:r>
      <w:r w:rsidRPr="009070BD">
        <w:rPr>
          <w:rFonts w:cs="Sylfaen"/>
          <w:b w:val="0"/>
          <w:szCs w:val="22"/>
          <w:lang w:val="af-ZA"/>
        </w:rPr>
        <w:t>0.6 մլն դրամի չափով պայմանավորված է նպաստին ուղղվող ծախսերի փոփոխությամբ</w:t>
      </w:r>
      <w:r w:rsidRPr="009070BD">
        <w:rPr>
          <w:rFonts w:cs="Sylfaen"/>
          <w:b w:val="0"/>
          <w:szCs w:val="22"/>
          <w:lang w:val="hy-AM"/>
        </w:rPr>
        <w:t>:</w:t>
      </w:r>
    </w:p>
    <w:p w:rsidR="00500235" w:rsidRPr="009070BD" w:rsidRDefault="00500235" w:rsidP="007730AA">
      <w:pPr>
        <w:spacing w:before="0" w:line="276" w:lineRule="auto"/>
        <w:ind w:firstLine="426"/>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Մինչև 2 տարեկան երեխայի խնամքի նպաստի տրամադրում</w:t>
      </w:r>
      <w:r w:rsidRPr="009070BD">
        <w:rPr>
          <w:b w:val="0"/>
          <w:szCs w:val="22"/>
          <w:lang w:val="pt-BR"/>
        </w:rPr>
        <w:t>»</w:t>
      </w:r>
      <w:r w:rsidRPr="009070BD">
        <w:rPr>
          <w:rFonts w:cs="Sylfaen"/>
          <w:b w:val="0"/>
          <w:szCs w:val="22"/>
          <w:lang w:val="af-ZA"/>
        </w:rPr>
        <w:t xml:space="preserve"> միջոցառմամբ</w:t>
      </w:r>
      <w:r w:rsidRPr="009070BD">
        <w:rPr>
          <w:rFonts w:cs="Sylfaen"/>
          <w:b w:val="0"/>
          <w:szCs w:val="22"/>
          <w:lang w:val="hy-AM"/>
        </w:rPr>
        <w:t xml:space="preserve"> 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7</w:t>
      </w:r>
      <w:r w:rsidRPr="009070BD">
        <w:rPr>
          <w:rFonts w:ascii="Calibri" w:hAnsi="Calibri" w:cs="Calibri"/>
          <w:b w:val="0"/>
          <w:szCs w:val="22"/>
          <w:lang w:val="af-ZA"/>
        </w:rPr>
        <w:t> </w:t>
      </w:r>
      <w:r w:rsidRPr="009070BD">
        <w:rPr>
          <w:rFonts w:cs="Sylfaen"/>
          <w:b w:val="0"/>
          <w:szCs w:val="22"/>
          <w:lang w:val="af-ZA"/>
        </w:rPr>
        <w:t>861.3</w:t>
      </w:r>
      <w:r w:rsidRPr="009070BD">
        <w:rPr>
          <w:b w:val="0"/>
          <w:szCs w:val="22"/>
          <w:lang w:val="af-ZA"/>
        </w:rPr>
        <w:t xml:space="preserve">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դրամի</w:t>
      </w:r>
      <w:r w:rsidRPr="009070BD">
        <w:rPr>
          <w:rFonts w:cs="Sylfaen"/>
          <w:b w:val="0"/>
          <w:szCs w:val="22"/>
          <w:lang w:val="af-ZA"/>
        </w:rPr>
        <w:t xml:space="preserve"> </w:t>
      </w:r>
      <w:r w:rsidRPr="009070BD">
        <w:rPr>
          <w:rFonts w:cs="Sylfaen"/>
          <w:b w:val="0"/>
          <w:szCs w:val="22"/>
          <w:lang w:val="hy-AM"/>
        </w:rPr>
        <w:t>չափով</w:t>
      </w:r>
      <w:r w:rsidRPr="009070BD">
        <w:rPr>
          <w:rFonts w:cs="Sylfaen"/>
          <w:b w:val="0"/>
          <w:szCs w:val="22"/>
          <w:lang w:val="af-ZA"/>
        </w:rPr>
        <w:t xml:space="preserve"> </w:t>
      </w:r>
      <w:r w:rsidRPr="009070BD">
        <w:rPr>
          <w:rFonts w:cs="Sylfaen"/>
          <w:b w:val="0"/>
          <w:szCs w:val="22"/>
          <w:lang w:val="hy-AM"/>
        </w:rPr>
        <w:t>ծախս</w:t>
      </w:r>
      <w:r w:rsidRPr="009070BD">
        <w:rPr>
          <w:b w:val="0"/>
          <w:szCs w:val="22"/>
          <w:lang w:val="af-ZA"/>
        </w:rPr>
        <w:t xml:space="preserve"> (2020 </w:t>
      </w:r>
      <w:r w:rsidRPr="009070BD">
        <w:rPr>
          <w:rFonts w:cs="Sylfaen"/>
          <w:b w:val="0"/>
          <w:szCs w:val="22"/>
          <w:lang w:val="hy-AM"/>
        </w:rPr>
        <w:t>թվականին</w:t>
      </w:r>
      <w:r w:rsidRPr="009070BD">
        <w:rPr>
          <w:b w:val="0"/>
          <w:szCs w:val="22"/>
          <w:lang w:val="af-ZA"/>
        </w:rPr>
        <w:t xml:space="preserve">` 3 740.9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w:t>
      </w:r>
      <w:r w:rsidRPr="009070BD">
        <w:rPr>
          <w:b w:val="0"/>
          <w:szCs w:val="22"/>
          <w:lang w:val="af-ZA"/>
        </w:rPr>
        <w:t>)</w:t>
      </w:r>
      <w:r w:rsidRPr="009070BD">
        <w:rPr>
          <w:rFonts w:cs="Sylfaen"/>
          <w:b w:val="0"/>
          <w:szCs w:val="22"/>
          <w:lang w:val="af-ZA"/>
        </w:rPr>
        <w:t xml:space="preserve">: </w:t>
      </w:r>
      <w:r w:rsidRPr="009070BD">
        <w:rPr>
          <w:rFonts w:cs="Sylfaen"/>
          <w:b w:val="0"/>
          <w:szCs w:val="22"/>
          <w:lang w:val="hy-AM"/>
        </w:rPr>
        <w:t>Ծախսերը</w:t>
      </w:r>
      <w:r w:rsidRPr="009070BD">
        <w:rPr>
          <w:rFonts w:cs="Sylfaen"/>
          <w:b w:val="0"/>
          <w:szCs w:val="22"/>
          <w:lang w:val="af-ZA"/>
        </w:rPr>
        <w:t xml:space="preserve"> </w:t>
      </w:r>
      <w:r w:rsidRPr="009070BD">
        <w:rPr>
          <w:b w:val="0"/>
          <w:szCs w:val="22"/>
          <w:lang w:val="af-ZA"/>
        </w:rPr>
        <w:t>աճում են 4</w:t>
      </w:r>
      <w:r w:rsidRPr="009070BD">
        <w:rPr>
          <w:rFonts w:ascii="Calibri" w:hAnsi="Calibri" w:cs="Calibri"/>
          <w:b w:val="0"/>
          <w:szCs w:val="22"/>
          <w:lang w:val="af-ZA"/>
        </w:rPr>
        <w:t> </w:t>
      </w:r>
      <w:r w:rsidRPr="009070BD">
        <w:rPr>
          <w:b w:val="0"/>
          <w:szCs w:val="22"/>
          <w:lang w:val="af-ZA"/>
        </w:rPr>
        <w:t xml:space="preserve">120.3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դրամով</w:t>
      </w:r>
      <w:r w:rsidRPr="009070BD">
        <w:rPr>
          <w:rFonts w:cs="Sylfaen"/>
          <w:b w:val="0"/>
          <w:szCs w:val="22"/>
          <w:lang w:val="af-ZA"/>
        </w:rPr>
        <w:t xml:space="preserve">, որը պայմանավորված է </w:t>
      </w:r>
      <w:r w:rsidRPr="009070BD">
        <w:rPr>
          <w:rFonts w:cs="Sylfaen"/>
          <w:b w:val="0"/>
          <w:bCs/>
          <w:szCs w:val="22"/>
          <w:lang w:val="fr-FR"/>
        </w:rPr>
        <w:t>շահառուների</w:t>
      </w:r>
      <w:r w:rsidRPr="009070BD">
        <w:rPr>
          <w:rFonts w:cs="Sylfaen"/>
          <w:bCs/>
          <w:szCs w:val="22"/>
          <w:lang w:val="fr-FR"/>
        </w:rPr>
        <w:t xml:space="preserve"> </w:t>
      </w:r>
      <w:r w:rsidRPr="009070BD">
        <w:rPr>
          <w:rFonts w:cs="Sylfaen"/>
          <w:b w:val="0"/>
          <w:szCs w:val="22"/>
          <w:lang w:val="af-ZA"/>
        </w:rPr>
        <w:t>թվաքանակի փոփոխությամբ՝ 2021 թվականին կանխատեսվում է 24</w:t>
      </w:r>
      <w:r w:rsidRPr="009070BD">
        <w:rPr>
          <w:rFonts w:ascii="Calibri" w:hAnsi="Calibri" w:cs="Calibri"/>
          <w:b w:val="0"/>
          <w:szCs w:val="22"/>
          <w:lang w:val="af-ZA"/>
        </w:rPr>
        <w:t> </w:t>
      </w:r>
      <w:r w:rsidRPr="009070BD">
        <w:rPr>
          <w:rFonts w:cs="Sylfaen"/>
          <w:b w:val="0"/>
          <w:szCs w:val="22"/>
          <w:lang w:val="af-ZA"/>
        </w:rPr>
        <w:t>721 շահառու</w:t>
      </w:r>
      <w:r w:rsidR="00B95315">
        <w:rPr>
          <w:rFonts w:cs="Sylfaen"/>
          <w:b w:val="0"/>
          <w:szCs w:val="22"/>
          <w:lang w:val="af-ZA"/>
        </w:rPr>
        <w:t>,</w:t>
      </w:r>
      <w:r w:rsidRPr="009070BD">
        <w:rPr>
          <w:rFonts w:cs="Sylfaen"/>
          <w:b w:val="0"/>
          <w:szCs w:val="22"/>
          <w:lang w:val="af-ZA"/>
        </w:rPr>
        <w:t xml:space="preserve"> </w:t>
      </w:r>
      <w:r w:rsidR="00B95315" w:rsidRPr="00B95315">
        <w:rPr>
          <w:rFonts w:cs="Sylfaen"/>
          <w:b w:val="0"/>
          <w:szCs w:val="22"/>
          <w:lang w:val="af-ZA"/>
        </w:rPr>
        <w:t xml:space="preserve">որից գյուղական բնակավայրերում՝ շուրջ 12000 շահառու </w:t>
      </w:r>
      <w:r w:rsidRPr="00B95315">
        <w:rPr>
          <w:rFonts w:cs="Sylfaen"/>
          <w:b w:val="0"/>
          <w:szCs w:val="22"/>
          <w:lang w:val="af-ZA"/>
        </w:rPr>
        <w:t>(2020 թվականի 14</w:t>
      </w:r>
      <w:r w:rsidRPr="00B95315">
        <w:rPr>
          <w:rFonts w:ascii="Calibri" w:hAnsi="Calibri" w:cs="Calibri"/>
          <w:b w:val="0"/>
          <w:szCs w:val="22"/>
          <w:lang w:val="af-ZA"/>
        </w:rPr>
        <w:t> </w:t>
      </w:r>
      <w:r w:rsidRPr="00B95315">
        <w:rPr>
          <w:rFonts w:cs="Sylfaen"/>
          <w:b w:val="0"/>
          <w:szCs w:val="22"/>
          <w:lang w:val="af-ZA"/>
        </w:rPr>
        <w:t>371 մարդու</w:t>
      </w:r>
      <w:r w:rsidRPr="009070BD">
        <w:rPr>
          <w:rFonts w:cs="Sylfaen"/>
          <w:b w:val="0"/>
          <w:szCs w:val="22"/>
          <w:lang w:val="af-ZA"/>
        </w:rPr>
        <w:t xml:space="preserve"> դիմաց): </w:t>
      </w:r>
      <w:r w:rsidRPr="009070BD">
        <w:rPr>
          <w:rFonts w:cs="Sylfaen"/>
          <w:b w:val="0"/>
          <w:bCs/>
          <w:szCs w:val="22"/>
          <w:lang w:val="fr-FR"/>
        </w:rPr>
        <w:t>2021 թվականին կպահպանվի 2020 թվականի համար խնամքի նպաստի գծով գործող քաղաքականությունը (շահառուների շրջանակի և նպաստի ամսական չափի մասով)՝ հաշվարկը տարածելով տարվա կտրվածքով (2020 թվականի հուլիսի 1-ից խնամքի նպաստի ամսական չափը սահմանվեց 26.5 հազ. դրամ՝ տարեսկզբի 18.0 հազ. դրամի դիմաց, խնամքի նպաստը գյուղական բնակավայրում կտրվի նաև անկախ ծնողի աշխատելու հանգամանքից):</w:t>
      </w:r>
      <w:r w:rsidRPr="009070BD">
        <w:rPr>
          <w:rFonts w:cs="Sylfaen"/>
          <w:b w:val="0"/>
          <w:szCs w:val="22"/>
          <w:lang w:val="af-ZA"/>
        </w:rPr>
        <w:t xml:space="preserve"> </w:t>
      </w:r>
    </w:p>
    <w:p w:rsidR="00500235" w:rsidRPr="009070BD" w:rsidRDefault="00500235" w:rsidP="007730AA">
      <w:pPr>
        <w:tabs>
          <w:tab w:val="left" w:pos="0"/>
          <w:tab w:val="left" w:pos="10065"/>
          <w:tab w:val="left" w:pos="10206"/>
        </w:tabs>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Երեխայի ծննդյան միանվագ նպաստ</w:t>
      </w:r>
      <w:r w:rsidRPr="009070BD">
        <w:rPr>
          <w:b w:val="0"/>
          <w:szCs w:val="22"/>
          <w:lang w:val="pt-BR"/>
        </w:rPr>
        <w:t>»</w:t>
      </w:r>
      <w:r w:rsidRPr="009070BD">
        <w:rPr>
          <w:rFonts w:cs="Sylfaen"/>
          <w:b w:val="0"/>
          <w:szCs w:val="22"/>
          <w:lang w:val="af-ZA"/>
        </w:rPr>
        <w:t xml:space="preserve"> միջոցառմամբ </w:t>
      </w:r>
      <w:r w:rsidRPr="009070BD">
        <w:rPr>
          <w:rFonts w:cs="Sylfaen"/>
          <w:b w:val="0"/>
          <w:szCs w:val="22"/>
          <w:lang w:val="hy-AM"/>
        </w:rPr>
        <w:t>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w:t>
      </w:r>
      <w:r w:rsidRPr="009070BD">
        <w:rPr>
          <w:rFonts w:cs="Sylfaen"/>
          <w:b w:val="0"/>
          <w:szCs w:val="22"/>
          <w:lang w:val="hy-AM"/>
        </w:rPr>
        <w:t>ծախս</w:t>
      </w:r>
      <w:r w:rsidRPr="009070BD">
        <w:rPr>
          <w:rFonts w:cs="Sylfaen"/>
          <w:b w:val="0"/>
          <w:szCs w:val="22"/>
          <w:lang w:val="af-ZA"/>
        </w:rPr>
        <w:t xml:space="preserve"> 16</w:t>
      </w:r>
      <w:r w:rsidRPr="009070BD">
        <w:rPr>
          <w:rFonts w:ascii="Calibri" w:hAnsi="Calibri" w:cs="Calibri"/>
          <w:b w:val="0"/>
          <w:szCs w:val="22"/>
          <w:lang w:val="af-ZA"/>
        </w:rPr>
        <w:t> </w:t>
      </w:r>
      <w:r w:rsidRPr="009070BD">
        <w:rPr>
          <w:rFonts w:cs="Sylfaen"/>
          <w:b w:val="0"/>
          <w:szCs w:val="22"/>
          <w:lang w:val="af-ZA"/>
        </w:rPr>
        <w:t xml:space="preserve">852.2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դրամի</w:t>
      </w:r>
      <w:r w:rsidRPr="009070BD">
        <w:rPr>
          <w:rFonts w:cs="Sylfaen"/>
          <w:b w:val="0"/>
          <w:szCs w:val="22"/>
          <w:lang w:val="af-ZA"/>
        </w:rPr>
        <w:t xml:space="preserve"> </w:t>
      </w:r>
      <w:r w:rsidRPr="009070BD">
        <w:rPr>
          <w:rFonts w:cs="Sylfaen"/>
          <w:b w:val="0"/>
          <w:szCs w:val="22"/>
          <w:lang w:val="hy-AM"/>
        </w:rPr>
        <w:t>չափով</w:t>
      </w:r>
      <w:r w:rsidRPr="009070BD">
        <w:rPr>
          <w:b w:val="0"/>
          <w:szCs w:val="22"/>
          <w:lang w:val="af-ZA"/>
        </w:rPr>
        <w:t xml:space="preserve"> (2020 </w:t>
      </w:r>
      <w:r w:rsidRPr="009070BD">
        <w:rPr>
          <w:rFonts w:cs="Sylfaen"/>
          <w:b w:val="0"/>
          <w:szCs w:val="22"/>
          <w:lang w:val="hy-AM"/>
        </w:rPr>
        <w:t>թվականին</w:t>
      </w:r>
      <w:r w:rsidRPr="009070BD">
        <w:rPr>
          <w:b w:val="0"/>
          <w:szCs w:val="22"/>
          <w:lang w:val="af-ZA"/>
        </w:rPr>
        <w:t xml:space="preserve">` 13 755.4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w:t>
      </w:r>
      <w:r w:rsidRPr="009070BD">
        <w:rPr>
          <w:b w:val="0"/>
          <w:szCs w:val="22"/>
          <w:lang w:val="af-ZA"/>
        </w:rPr>
        <w:t xml:space="preserve">): </w:t>
      </w:r>
      <w:r w:rsidRPr="009070BD">
        <w:rPr>
          <w:rFonts w:cs="Sylfaen"/>
          <w:b w:val="0"/>
          <w:szCs w:val="22"/>
          <w:lang w:val="hy-AM"/>
        </w:rPr>
        <w:t>Ծախսերը</w:t>
      </w:r>
      <w:r w:rsidRPr="009070BD">
        <w:rPr>
          <w:rFonts w:cs="Sylfaen"/>
          <w:b w:val="0"/>
          <w:szCs w:val="22"/>
          <w:lang w:val="af-ZA"/>
        </w:rPr>
        <w:t xml:space="preserve"> </w:t>
      </w:r>
      <w:r w:rsidRPr="009070BD">
        <w:rPr>
          <w:b w:val="0"/>
          <w:szCs w:val="22"/>
          <w:lang w:val="af-ZA"/>
        </w:rPr>
        <w:t>աճում են 3</w:t>
      </w:r>
      <w:r w:rsidRPr="009070BD">
        <w:rPr>
          <w:rFonts w:ascii="Calibri" w:hAnsi="Calibri" w:cs="Calibri"/>
          <w:b w:val="0"/>
          <w:szCs w:val="22"/>
          <w:lang w:val="af-ZA"/>
        </w:rPr>
        <w:t> </w:t>
      </w:r>
      <w:r w:rsidRPr="009070BD">
        <w:rPr>
          <w:b w:val="0"/>
          <w:szCs w:val="22"/>
          <w:lang w:val="af-ZA"/>
        </w:rPr>
        <w:t xml:space="preserve">096.9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դրամով</w:t>
      </w:r>
      <w:r w:rsidRPr="009070BD">
        <w:rPr>
          <w:rFonts w:cs="Sylfaen"/>
          <w:b w:val="0"/>
          <w:szCs w:val="22"/>
          <w:lang w:val="af-ZA"/>
        </w:rPr>
        <w:t xml:space="preserve">, </w:t>
      </w:r>
      <w:r w:rsidRPr="009070BD">
        <w:rPr>
          <w:rFonts w:cs="Sylfaen"/>
          <w:b w:val="0"/>
          <w:szCs w:val="22"/>
          <w:lang w:val="hy-AM"/>
        </w:rPr>
        <w:t>որը</w:t>
      </w:r>
      <w:r w:rsidRPr="009070BD">
        <w:rPr>
          <w:rFonts w:cs="Sylfaen"/>
          <w:b w:val="0"/>
          <w:szCs w:val="22"/>
          <w:lang w:val="af-ZA"/>
        </w:rPr>
        <w:t xml:space="preserve"> </w:t>
      </w:r>
      <w:r w:rsidRPr="009070BD">
        <w:rPr>
          <w:rFonts w:cs="Sylfaen"/>
          <w:b w:val="0"/>
          <w:szCs w:val="22"/>
          <w:lang w:val="hy-AM"/>
        </w:rPr>
        <w:t>պայմանավորված</w:t>
      </w:r>
      <w:r w:rsidRPr="009070BD">
        <w:rPr>
          <w:rFonts w:cs="Sylfaen"/>
          <w:b w:val="0"/>
          <w:szCs w:val="22"/>
          <w:lang w:val="af-ZA"/>
        </w:rPr>
        <w:t xml:space="preserve"> </w:t>
      </w:r>
      <w:r w:rsidRPr="009070BD">
        <w:rPr>
          <w:rFonts w:cs="Sylfaen"/>
          <w:b w:val="0"/>
          <w:szCs w:val="22"/>
          <w:lang w:val="hy-AM"/>
        </w:rPr>
        <w:t>է</w:t>
      </w:r>
      <w:r w:rsidRPr="009070BD">
        <w:rPr>
          <w:rFonts w:cs="Sylfaen"/>
          <w:b w:val="0"/>
          <w:bCs/>
          <w:szCs w:val="22"/>
          <w:lang w:val="fr-FR"/>
        </w:rPr>
        <w:t xml:space="preserve"> 2020 թվականի հուլիսի 1-ից հետո ծնված 1-ին և 2-րդ երեխայի ծննդյան դեպքում միանվագ նպաստի նոր չափի (300.0 հազ. դրամ) սահմանման հետ կապված ծախսերի տարածմամբ տարվա կտրվածքով` </w:t>
      </w:r>
      <w:r w:rsidRPr="009070BD">
        <w:rPr>
          <w:rFonts w:cs="Sylfaen"/>
          <w:b w:val="0"/>
          <w:szCs w:val="22"/>
          <w:lang w:val="af-ZA"/>
        </w:rPr>
        <w:t xml:space="preserve">շահառուների թվաքանակի պահպանման պայմաններում (36 200 շահառու): </w:t>
      </w:r>
    </w:p>
    <w:p w:rsidR="00500235" w:rsidRPr="009070BD" w:rsidRDefault="00500235" w:rsidP="007730AA">
      <w:pPr>
        <w:numPr>
          <w:ilvl w:val="12"/>
          <w:numId w:val="0"/>
        </w:numPr>
        <w:tabs>
          <w:tab w:val="left" w:pos="851"/>
        </w:tabs>
        <w:spacing w:before="0" w:line="276" w:lineRule="auto"/>
        <w:ind w:firstLine="540"/>
        <w:rPr>
          <w:b w:val="0"/>
          <w:noProof/>
          <w:szCs w:val="22"/>
          <w:lang w:val="af-ZA"/>
        </w:rPr>
      </w:pPr>
      <w:r w:rsidRPr="009070BD">
        <w:rPr>
          <w:b w:val="0"/>
          <w:noProof/>
          <w:szCs w:val="22"/>
          <w:lang w:val="af-ZA"/>
        </w:rPr>
        <w:t>-</w:t>
      </w:r>
      <w:r w:rsidRPr="009070BD">
        <w:rPr>
          <w:b w:val="0"/>
          <w:noProof/>
          <w:szCs w:val="22"/>
          <w:lang w:val="hy-AM"/>
        </w:rPr>
        <w:t>Ե</w:t>
      </w:r>
      <w:r w:rsidRPr="009070BD">
        <w:rPr>
          <w:b w:val="0"/>
          <w:noProof/>
          <w:szCs w:val="22"/>
        </w:rPr>
        <w:t>րեխա</w:t>
      </w:r>
      <w:r w:rsidRPr="009070BD">
        <w:rPr>
          <w:b w:val="0"/>
          <w:noProof/>
          <w:szCs w:val="22"/>
          <w:lang w:val="pt-BR"/>
        </w:rPr>
        <w:t xml:space="preserve"> </w:t>
      </w:r>
      <w:r w:rsidRPr="009070BD">
        <w:rPr>
          <w:b w:val="0"/>
          <w:noProof/>
          <w:szCs w:val="22"/>
        </w:rPr>
        <w:t>ունեցող</w:t>
      </w:r>
      <w:r w:rsidRPr="009070BD">
        <w:rPr>
          <w:b w:val="0"/>
          <w:noProof/>
          <w:szCs w:val="22"/>
          <w:lang w:val="pt-BR"/>
        </w:rPr>
        <w:t xml:space="preserve"> </w:t>
      </w:r>
      <w:r w:rsidRPr="009070BD">
        <w:rPr>
          <w:b w:val="0"/>
          <w:noProof/>
          <w:szCs w:val="22"/>
        </w:rPr>
        <w:t>ընտանիքների</w:t>
      </w:r>
      <w:r w:rsidRPr="009070BD">
        <w:rPr>
          <w:b w:val="0"/>
          <w:noProof/>
          <w:szCs w:val="22"/>
          <w:lang w:val="pt-BR"/>
        </w:rPr>
        <w:t xml:space="preserve"> </w:t>
      </w:r>
      <w:r w:rsidRPr="009070BD">
        <w:rPr>
          <w:b w:val="0"/>
          <w:noProof/>
          <w:szCs w:val="22"/>
        </w:rPr>
        <w:t>բնակարանային</w:t>
      </w:r>
      <w:r w:rsidRPr="009070BD">
        <w:rPr>
          <w:b w:val="0"/>
          <w:noProof/>
          <w:szCs w:val="22"/>
          <w:lang w:val="pt-BR"/>
        </w:rPr>
        <w:t xml:space="preserve"> </w:t>
      </w:r>
      <w:r w:rsidRPr="009070BD">
        <w:rPr>
          <w:b w:val="0"/>
          <w:noProof/>
          <w:szCs w:val="22"/>
        </w:rPr>
        <w:t>ապահովման</w:t>
      </w:r>
      <w:r w:rsidRPr="009070BD">
        <w:rPr>
          <w:b w:val="0"/>
          <w:noProof/>
          <w:szCs w:val="22"/>
          <w:lang w:val="pt-BR"/>
        </w:rPr>
        <w:t xml:space="preserve"> </w:t>
      </w:r>
      <w:r w:rsidRPr="009070BD">
        <w:rPr>
          <w:b w:val="0"/>
          <w:noProof/>
          <w:szCs w:val="22"/>
        </w:rPr>
        <w:t>աջակցություն</w:t>
      </w:r>
      <w:r w:rsidRPr="009070BD">
        <w:rPr>
          <w:b w:val="0"/>
          <w:noProof/>
          <w:szCs w:val="22"/>
          <w:lang w:val="af-ZA"/>
        </w:rPr>
        <w:t xml:space="preserve">»  </w:t>
      </w:r>
      <w:r w:rsidRPr="009070BD">
        <w:rPr>
          <w:rFonts w:cs="Sylfaen"/>
          <w:b w:val="0"/>
          <w:szCs w:val="22"/>
          <w:lang w:val="af-ZA"/>
        </w:rPr>
        <w:t xml:space="preserve">միջոցառմամբ </w:t>
      </w:r>
      <w:r w:rsidRPr="009070BD">
        <w:rPr>
          <w:rFonts w:cs="Sylfaen"/>
          <w:b w:val="0"/>
          <w:szCs w:val="22"/>
          <w:lang w:val="hy-AM"/>
        </w:rPr>
        <w:t>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w:t>
      </w:r>
      <w:r w:rsidRPr="009070BD">
        <w:rPr>
          <w:rFonts w:cs="Sylfaen"/>
          <w:b w:val="0"/>
          <w:szCs w:val="22"/>
          <w:lang w:val="hy-AM"/>
        </w:rPr>
        <w:t>ծախս</w:t>
      </w:r>
      <w:r w:rsidRPr="009070BD">
        <w:rPr>
          <w:b w:val="0"/>
          <w:noProof/>
          <w:szCs w:val="22"/>
          <w:lang w:val="af-ZA"/>
        </w:rPr>
        <w:t xml:space="preserve"> 526.8 </w:t>
      </w:r>
      <w:r w:rsidRPr="009070BD">
        <w:rPr>
          <w:b w:val="0"/>
          <w:noProof/>
          <w:szCs w:val="22"/>
        </w:rPr>
        <w:t>մլն</w:t>
      </w:r>
      <w:r w:rsidRPr="009070BD">
        <w:rPr>
          <w:b w:val="0"/>
          <w:noProof/>
          <w:szCs w:val="22"/>
          <w:lang w:val="af-ZA"/>
        </w:rPr>
        <w:t xml:space="preserve"> </w:t>
      </w:r>
      <w:r w:rsidRPr="009070BD">
        <w:rPr>
          <w:b w:val="0"/>
          <w:noProof/>
          <w:szCs w:val="22"/>
        </w:rPr>
        <w:t>դրամ</w:t>
      </w:r>
      <w:r w:rsidRPr="009070BD">
        <w:rPr>
          <w:b w:val="0"/>
          <w:noProof/>
          <w:szCs w:val="22"/>
          <w:lang w:val="en-US"/>
        </w:rPr>
        <w:t>ի</w:t>
      </w:r>
      <w:r w:rsidRPr="009070BD">
        <w:rPr>
          <w:b w:val="0"/>
          <w:noProof/>
          <w:szCs w:val="22"/>
          <w:lang w:val="af-ZA"/>
        </w:rPr>
        <w:t xml:space="preserve"> </w:t>
      </w:r>
      <w:r w:rsidRPr="009070BD">
        <w:rPr>
          <w:b w:val="0"/>
          <w:noProof/>
          <w:szCs w:val="22"/>
          <w:lang w:val="en-US"/>
        </w:rPr>
        <w:t>չափով</w:t>
      </w:r>
      <w:r w:rsidRPr="009070BD">
        <w:rPr>
          <w:b w:val="0"/>
          <w:noProof/>
          <w:szCs w:val="22"/>
          <w:lang w:val="af-ZA"/>
        </w:rPr>
        <w:t xml:space="preserve">: </w:t>
      </w:r>
    </w:p>
    <w:p w:rsidR="00500235" w:rsidRPr="009070BD" w:rsidRDefault="00500235" w:rsidP="007730AA">
      <w:pPr>
        <w:numPr>
          <w:ilvl w:val="12"/>
          <w:numId w:val="0"/>
        </w:numPr>
        <w:tabs>
          <w:tab w:val="left" w:pos="851"/>
        </w:tabs>
        <w:spacing w:before="0" w:line="276" w:lineRule="auto"/>
        <w:ind w:firstLine="540"/>
        <w:rPr>
          <w:b w:val="0"/>
          <w:noProof/>
          <w:szCs w:val="22"/>
          <w:lang w:val="pt-BR"/>
        </w:rPr>
      </w:pPr>
      <w:r w:rsidRPr="009070BD">
        <w:rPr>
          <w:b w:val="0"/>
          <w:noProof/>
          <w:szCs w:val="22"/>
          <w:lang w:val="hy-AM"/>
        </w:rPr>
        <w:t>Համաձայն ՀՀ կառավարության 14</w:t>
      </w:r>
      <w:r w:rsidRPr="009070BD">
        <w:rPr>
          <w:b w:val="0"/>
          <w:noProof/>
          <w:szCs w:val="22"/>
          <w:lang w:val="pt-BR"/>
        </w:rPr>
        <w:t>.</w:t>
      </w:r>
      <w:r w:rsidRPr="009070BD">
        <w:rPr>
          <w:b w:val="0"/>
          <w:noProof/>
          <w:szCs w:val="22"/>
          <w:lang w:val="hy-AM"/>
        </w:rPr>
        <w:t>05</w:t>
      </w:r>
      <w:r w:rsidRPr="009070BD">
        <w:rPr>
          <w:b w:val="0"/>
          <w:noProof/>
          <w:szCs w:val="22"/>
          <w:lang w:val="pt-BR"/>
        </w:rPr>
        <w:t>.</w:t>
      </w:r>
      <w:r w:rsidRPr="009070BD">
        <w:rPr>
          <w:b w:val="0"/>
          <w:noProof/>
          <w:szCs w:val="22"/>
          <w:lang w:val="hy-AM"/>
        </w:rPr>
        <w:t xml:space="preserve">2020 թվականի </w:t>
      </w:r>
      <w:r w:rsidRPr="009070BD">
        <w:rPr>
          <w:b w:val="0"/>
          <w:noProof/>
          <w:szCs w:val="22"/>
          <w:lang w:val="af-ZA"/>
        </w:rPr>
        <w:t xml:space="preserve">N </w:t>
      </w:r>
      <w:r w:rsidRPr="009070BD">
        <w:rPr>
          <w:b w:val="0"/>
          <w:noProof/>
          <w:szCs w:val="22"/>
          <w:lang w:val="hy-AM"/>
        </w:rPr>
        <w:t>968-Լ որոշման, ն</w:t>
      </w:r>
      <w:r w:rsidRPr="009070BD">
        <w:rPr>
          <w:b w:val="0"/>
          <w:noProof/>
          <w:szCs w:val="22"/>
        </w:rPr>
        <w:t>շված</w:t>
      </w:r>
      <w:r w:rsidRPr="009070BD">
        <w:rPr>
          <w:b w:val="0"/>
          <w:noProof/>
          <w:szCs w:val="22"/>
          <w:lang w:val="pt-BR"/>
        </w:rPr>
        <w:t xml:space="preserve"> </w:t>
      </w:r>
      <w:r w:rsidRPr="009070BD">
        <w:rPr>
          <w:b w:val="0"/>
          <w:noProof/>
          <w:szCs w:val="22"/>
        </w:rPr>
        <w:t>միջոցառման</w:t>
      </w:r>
      <w:r w:rsidRPr="009070BD">
        <w:rPr>
          <w:b w:val="0"/>
          <w:noProof/>
          <w:szCs w:val="22"/>
          <w:lang w:val="pt-BR"/>
        </w:rPr>
        <w:t xml:space="preserve"> </w:t>
      </w:r>
      <w:r w:rsidRPr="009070BD">
        <w:rPr>
          <w:b w:val="0"/>
          <w:noProof/>
          <w:szCs w:val="22"/>
        </w:rPr>
        <w:t>շրջանակներում</w:t>
      </w:r>
      <w:r w:rsidRPr="009070BD">
        <w:rPr>
          <w:b w:val="0"/>
          <w:noProof/>
          <w:szCs w:val="22"/>
          <w:lang w:val="pt-BR"/>
        </w:rPr>
        <w:t xml:space="preserve"> </w:t>
      </w:r>
      <w:r w:rsidRPr="009070BD">
        <w:rPr>
          <w:b w:val="0"/>
          <w:noProof/>
          <w:szCs w:val="22"/>
        </w:rPr>
        <w:t>նախատեսվում</w:t>
      </w:r>
      <w:r w:rsidRPr="009070BD">
        <w:rPr>
          <w:b w:val="0"/>
          <w:noProof/>
          <w:szCs w:val="22"/>
          <w:lang w:val="pt-BR"/>
        </w:rPr>
        <w:t xml:space="preserve"> </w:t>
      </w:r>
      <w:r w:rsidRPr="009070BD">
        <w:rPr>
          <w:b w:val="0"/>
          <w:noProof/>
          <w:szCs w:val="22"/>
        </w:rPr>
        <w:t>է՚</w:t>
      </w:r>
    </w:p>
    <w:p w:rsidR="00500235" w:rsidRPr="009070BD" w:rsidRDefault="00500235" w:rsidP="007730AA">
      <w:pPr>
        <w:numPr>
          <w:ilvl w:val="12"/>
          <w:numId w:val="0"/>
        </w:numPr>
        <w:tabs>
          <w:tab w:val="left" w:pos="851"/>
        </w:tabs>
        <w:spacing w:before="0" w:line="276" w:lineRule="auto"/>
        <w:ind w:firstLine="540"/>
        <w:rPr>
          <w:b w:val="0"/>
          <w:noProof/>
          <w:szCs w:val="22"/>
          <w:lang w:val="hy-AM"/>
        </w:rPr>
      </w:pPr>
      <w:r w:rsidRPr="009070BD">
        <w:rPr>
          <w:b w:val="0"/>
          <w:noProof/>
          <w:szCs w:val="22"/>
          <w:lang w:val="hy-AM"/>
        </w:rPr>
        <w:t>- մարզային բնակավայրերում բնակարան ձեռք բերելու համար միանվագ դրամական աջակցության տրամադրում,</w:t>
      </w:r>
    </w:p>
    <w:p w:rsidR="00500235" w:rsidRPr="009070BD" w:rsidRDefault="00500235" w:rsidP="007730AA">
      <w:pPr>
        <w:numPr>
          <w:ilvl w:val="12"/>
          <w:numId w:val="0"/>
        </w:numPr>
        <w:tabs>
          <w:tab w:val="left" w:pos="851"/>
        </w:tabs>
        <w:spacing w:before="0" w:line="276" w:lineRule="auto"/>
        <w:ind w:firstLine="540"/>
        <w:rPr>
          <w:b w:val="0"/>
          <w:noProof/>
          <w:szCs w:val="22"/>
          <w:lang w:val="hy-AM"/>
        </w:rPr>
      </w:pPr>
      <w:r w:rsidRPr="009070BD">
        <w:rPr>
          <w:b w:val="0"/>
          <w:noProof/>
          <w:szCs w:val="22"/>
          <w:lang w:val="hy-AM"/>
        </w:rPr>
        <w:t xml:space="preserve">- կանխավճարի (հիփոթեքային պարտավորության) ապահովագրության համար դրամական աջակցության տրամադրում, </w:t>
      </w:r>
    </w:p>
    <w:p w:rsidR="00500235" w:rsidRPr="009070BD" w:rsidRDefault="00500235" w:rsidP="007730AA">
      <w:pPr>
        <w:numPr>
          <w:ilvl w:val="12"/>
          <w:numId w:val="0"/>
        </w:numPr>
        <w:spacing w:before="0" w:line="276" w:lineRule="auto"/>
        <w:ind w:firstLine="540"/>
        <w:rPr>
          <w:b w:val="0"/>
          <w:noProof/>
          <w:szCs w:val="22"/>
          <w:lang w:val="pt-BR"/>
        </w:rPr>
      </w:pPr>
      <w:r w:rsidRPr="009070BD">
        <w:rPr>
          <w:b w:val="0"/>
          <w:noProof/>
          <w:szCs w:val="22"/>
          <w:lang w:val="pt-BR"/>
        </w:rPr>
        <w:t xml:space="preserve">- </w:t>
      </w:r>
      <w:r w:rsidRPr="009070BD">
        <w:rPr>
          <w:b w:val="0"/>
          <w:noProof/>
          <w:szCs w:val="22"/>
          <w:lang w:val="hy-AM"/>
        </w:rPr>
        <w:t>երեխայի</w:t>
      </w:r>
      <w:r w:rsidRPr="009070BD">
        <w:rPr>
          <w:b w:val="0"/>
          <w:noProof/>
          <w:szCs w:val="22"/>
          <w:lang w:val="pt-BR"/>
        </w:rPr>
        <w:t xml:space="preserve"> </w:t>
      </w:r>
      <w:r w:rsidRPr="009070BD">
        <w:rPr>
          <w:b w:val="0"/>
          <w:noProof/>
          <w:szCs w:val="22"/>
          <w:lang w:val="hy-AM"/>
        </w:rPr>
        <w:t>ծննդով</w:t>
      </w:r>
      <w:r w:rsidRPr="009070BD">
        <w:rPr>
          <w:b w:val="0"/>
          <w:noProof/>
          <w:szCs w:val="22"/>
          <w:lang w:val="pt-BR"/>
        </w:rPr>
        <w:t xml:space="preserve"> </w:t>
      </w:r>
      <w:r w:rsidRPr="009070BD">
        <w:rPr>
          <w:b w:val="0"/>
          <w:noProof/>
          <w:szCs w:val="22"/>
          <w:lang w:val="hy-AM"/>
        </w:rPr>
        <w:t>պայմանավորված</w:t>
      </w:r>
      <w:r w:rsidRPr="009070BD">
        <w:rPr>
          <w:b w:val="0"/>
          <w:noProof/>
          <w:szCs w:val="22"/>
          <w:lang w:val="pt-BR"/>
        </w:rPr>
        <w:t xml:space="preserve">` </w:t>
      </w:r>
      <w:r w:rsidRPr="009070BD">
        <w:rPr>
          <w:b w:val="0"/>
          <w:noProof/>
          <w:szCs w:val="22"/>
          <w:lang w:val="hy-AM"/>
        </w:rPr>
        <w:t>հիփոթեքային</w:t>
      </w:r>
      <w:r w:rsidRPr="009070BD">
        <w:rPr>
          <w:b w:val="0"/>
          <w:noProof/>
          <w:szCs w:val="22"/>
          <w:lang w:val="pt-BR"/>
        </w:rPr>
        <w:t xml:space="preserve"> </w:t>
      </w:r>
      <w:r w:rsidRPr="009070BD">
        <w:rPr>
          <w:b w:val="0"/>
          <w:noProof/>
          <w:szCs w:val="22"/>
          <w:lang w:val="hy-AM"/>
        </w:rPr>
        <w:t>վարկ</w:t>
      </w:r>
      <w:r w:rsidRPr="009070BD">
        <w:rPr>
          <w:b w:val="0"/>
          <w:noProof/>
          <w:szCs w:val="22"/>
          <w:lang w:val="pt-BR"/>
        </w:rPr>
        <w:t xml:space="preserve"> </w:t>
      </w:r>
      <w:r w:rsidRPr="009070BD">
        <w:rPr>
          <w:b w:val="0"/>
          <w:noProof/>
          <w:szCs w:val="22"/>
          <w:lang w:val="hy-AM"/>
        </w:rPr>
        <w:t>մարող</w:t>
      </w:r>
      <w:r w:rsidRPr="009070BD">
        <w:rPr>
          <w:b w:val="0"/>
          <w:noProof/>
          <w:szCs w:val="22"/>
          <w:lang w:val="pt-BR"/>
        </w:rPr>
        <w:t xml:space="preserve"> </w:t>
      </w:r>
      <w:r w:rsidRPr="009070BD">
        <w:rPr>
          <w:b w:val="0"/>
          <w:noProof/>
          <w:szCs w:val="22"/>
          <w:lang w:val="hy-AM"/>
        </w:rPr>
        <w:t>ընտանիքներին</w:t>
      </w:r>
      <w:r w:rsidRPr="009070BD">
        <w:rPr>
          <w:b w:val="0"/>
          <w:noProof/>
          <w:szCs w:val="22"/>
          <w:lang w:val="pt-BR"/>
        </w:rPr>
        <w:t xml:space="preserve"> </w:t>
      </w:r>
      <w:r w:rsidRPr="009070BD">
        <w:rPr>
          <w:b w:val="0"/>
          <w:noProof/>
          <w:szCs w:val="22"/>
          <w:lang w:val="hy-AM"/>
        </w:rPr>
        <w:t>դրամական</w:t>
      </w:r>
      <w:r w:rsidRPr="009070BD">
        <w:rPr>
          <w:b w:val="0"/>
          <w:noProof/>
          <w:szCs w:val="22"/>
          <w:lang w:val="pt-BR"/>
        </w:rPr>
        <w:t xml:space="preserve"> </w:t>
      </w:r>
      <w:r w:rsidRPr="009070BD">
        <w:rPr>
          <w:b w:val="0"/>
          <w:noProof/>
          <w:szCs w:val="22"/>
          <w:lang w:val="hy-AM"/>
        </w:rPr>
        <w:t>աջակցության</w:t>
      </w:r>
      <w:r w:rsidRPr="009070BD">
        <w:rPr>
          <w:b w:val="0"/>
          <w:noProof/>
          <w:szCs w:val="22"/>
          <w:lang w:val="pt-BR"/>
        </w:rPr>
        <w:t xml:space="preserve"> </w:t>
      </w:r>
      <w:r w:rsidRPr="009070BD">
        <w:rPr>
          <w:b w:val="0"/>
          <w:noProof/>
          <w:szCs w:val="22"/>
          <w:lang w:val="hy-AM"/>
        </w:rPr>
        <w:t>տրամադրում։</w:t>
      </w:r>
    </w:p>
    <w:p w:rsidR="00500235" w:rsidRPr="009070BD" w:rsidRDefault="00500235" w:rsidP="007730AA">
      <w:pPr>
        <w:numPr>
          <w:ilvl w:val="12"/>
          <w:numId w:val="0"/>
        </w:numPr>
        <w:tabs>
          <w:tab w:val="left" w:pos="284"/>
        </w:tabs>
        <w:spacing w:before="0" w:line="276" w:lineRule="auto"/>
        <w:ind w:firstLine="540"/>
        <w:rPr>
          <w:rFonts w:cs="Sylfaen"/>
          <w:b w:val="0"/>
          <w:szCs w:val="22"/>
          <w:lang w:val="af-ZA"/>
        </w:rPr>
      </w:pPr>
      <w:r w:rsidRPr="009070BD">
        <w:rPr>
          <w:rFonts w:cs="Sylfaen"/>
          <w:b w:val="0"/>
          <w:szCs w:val="22"/>
          <w:lang w:val="af-ZA"/>
        </w:rPr>
        <w:t>Սոցիալական աջակցություն անաշխատունակության դեպքում</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hy-AM"/>
        </w:rPr>
        <w:t>Ժամանակավոր</w:t>
      </w:r>
      <w:r w:rsidRPr="009070BD">
        <w:rPr>
          <w:rFonts w:cs="Sylfaen"/>
          <w:b w:val="0"/>
          <w:szCs w:val="22"/>
          <w:lang w:val="af-ZA"/>
        </w:rPr>
        <w:t xml:space="preserve"> </w:t>
      </w:r>
      <w:r w:rsidRPr="009070BD">
        <w:rPr>
          <w:rFonts w:cs="Sylfaen"/>
          <w:b w:val="0"/>
          <w:szCs w:val="22"/>
          <w:lang w:val="hy-AM"/>
        </w:rPr>
        <w:t>անաշխատունակության</w:t>
      </w:r>
      <w:r w:rsidRPr="009070BD">
        <w:rPr>
          <w:rFonts w:cs="Sylfaen"/>
          <w:b w:val="0"/>
          <w:szCs w:val="22"/>
          <w:lang w:val="af-ZA"/>
        </w:rPr>
        <w:t xml:space="preserve"> </w:t>
      </w:r>
      <w:r w:rsidRPr="009070BD">
        <w:rPr>
          <w:rFonts w:cs="Sylfaen"/>
          <w:b w:val="0"/>
          <w:szCs w:val="22"/>
          <w:lang w:val="hy-AM"/>
        </w:rPr>
        <w:t>թերթիկների</w:t>
      </w:r>
      <w:r w:rsidRPr="009070BD">
        <w:rPr>
          <w:rFonts w:cs="Sylfaen"/>
          <w:b w:val="0"/>
          <w:szCs w:val="22"/>
          <w:lang w:val="af-ZA"/>
        </w:rPr>
        <w:t xml:space="preserve"> </w:t>
      </w:r>
      <w:r w:rsidRPr="009070BD">
        <w:rPr>
          <w:rFonts w:cs="Sylfaen"/>
          <w:b w:val="0"/>
          <w:szCs w:val="22"/>
          <w:lang w:val="hy-AM"/>
        </w:rPr>
        <w:t>տպագրություն</w:t>
      </w:r>
      <w:r w:rsidRPr="009070BD">
        <w:rPr>
          <w:b w:val="0"/>
          <w:szCs w:val="22"/>
          <w:lang w:val="pt-BR"/>
        </w:rPr>
        <w:t>»</w:t>
      </w:r>
      <w:r w:rsidRPr="009070BD">
        <w:rPr>
          <w:rFonts w:cs="Sylfaen"/>
          <w:b w:val="0"/>
          <w:szCs w:val="22"/>
          <w:lang w:val="af-ZA"/>
        </w:rPr>
        <w:t xml:space="preserve"> միջոցառման գծով նախատեսվում է ծախս 6.3 մլն դրամի չափով (2020 </w:t>
      </w:r>
      <w:r w:rsidRPr="009070BD">
        <w:rPr>
          <w:rFonts w:cs="Sylfaen"/>
          <w:b w:val="0"/>
          <w:szCs w:val="22"/>
          <w:lang w:val="hy-AM"/>
        </w:rPr>
        <w:t>թվականին</w:t>
      </w:r>
      <w:r w:rsidRPr="009070BD">
        <w:rPr>
          <w:rFonts w:cs="Sylfaen"/>
          <w:b w:val="0"/>
          <w:szCs w:val="22"/>
          <w:lang w:val="af-ZA"/>
        </w:rPr>
        <w:t>` 3.3 մլն դրամ): Ծախսերի աճ</w:t>
      </w:r>
      <w:r w:rsidRPr="009070BD">
        <w:rPr>
          <w:rFonts w:cs="Sylfaen"/>
          <w:b w:val="0"/>
          <w:szCs w:val="22"/>
          <w:lang w:val="hy-AM"/>
        </w:rPr>
        <w:t xml:space="preserve">ը </w:t>
      </w:r>
      <w:r w:rsidRPr="009070BD">
        <w:rPr>
          <w:rFonts w:cs="Sylfaen"/>
          <w:b w:val="0"/>
          <w:szCs w:val="22"/>
          <w:lang w:val="af-ZA"/>
        </w:rPr>
        <w:t xml:space="preserve">3.0 մլն դրամի չափով պայմանավորված է ձեռքբերվելիք </w:t>
      </w:r>
      <w:r w:rsidRPr="009070BD">
        <w:rPr>
          <w:rFonts w:cs="Sylfaen"/>
          <w:b w:val="0"/>
          <w:szCs w:val="22"/>
          <w:lang w:val="hy-AM"/>
        </w:rPr>
        <w:t>ձևաթղթերի</w:t>
      </w:r>
      <w:r w:rsidRPr="009070BD">
        <w:rPr>
          <w:rFonts w:cs="Sylfaen"/>
          <w:b w:val="0"/>
          <w:szCs w:val="22"/>
          <w:lang w:val="af-ZA"/>
        </w:rPr>
        <w:t xml:space="preserve"> </w:t>
      </w:r>
      <w:r w:rsidRPr="009070BD">
        <w:rPr>
          <w:rFonts w:cs="Sylfaen"/>
          <w:b w:val="0"/>
          <w:szCs w:val="22"/>
        </w:rPr>
        <w:t>քանակի</w:t>
      </w:r>
      <w:r w:rsidRPr="009070BD">
        <w:rPr>
          <w:rFonts w:cs="Sylfaen"/>
          <w:b w:val="0"/>
          <w:szCs w:val="22"/>
          <w:lang w:val="af-ZA"/>
        </w:rPr>
        <w:t xml:space="preserve"> աճով՝ 2021 թվականին </w:t>
      </w:r>
      <w:r w:rsidRPr="009070BD">
        <w:rPr>
          <w:rFonts w:cs="Sylfaen"/>
          <w:b w:val="0"/>
          <w:szCs w:val="22"/>
        </w:rPr>
        <w:t>կանխատեսվում</w:t>
      </w:r>
      <w:r w:rsidRPr="009070BD">
        <w:rPr>
          <w:rFonts w:cs="Sylfaen"/>
          <w:b w:val="0"/>
          <w:szCs w:val="22"/>
          <w:lang w:val="af-ZA"/>
        </w:rPr>
        <w:t xml:space="preserve"> </w:t>
      </w:r>
      <w:r w:rsidRPr="009070BD">
        <w:rPr>
          <w:rFonts w:cs="Sylfaen"/>
          <w:b w:val="0"/>
          <w:szCs w:val="22"/>
        </w:rPr>
        <w:t>է</w:t>
      </w:r>
      <w:r w:rsidRPr="009070BD">
        <w:rPr>
          <w:rFonts w:cs="Sylfaen"/>
          <w:b w:val="0"/>
          <w:szCs w:val="22"/>
          <w:lang w:val="af-ZA"/>
        </w:rPr>
        <w:t xml:space="preserve"> ձեռք բերել 150</w:t>
      </w:r>
      <w:r w:rsidRPr="009070BD">
        <w:rPr>
          <w:rFonts w:ascii="Calibri" w:hAnsi="Calibri" w:cs="Calibri"/>
          <w:b w:val="0"/>
          <w:szCs w:val="22"/>
          <w:lang w:val="af-ZA"/>
        </w:rPr>
        <w:t> </w:t>
      </w:r>
      <w:r w:rsidRPr="009070BD">
        <w:rPr>
          <w:rFonts w:cs="Sylfaen"/>
          <w:b w:val="0"/>
          <w:szCs w:val="22"/>
          <w:lang w:val="af-ZA"/>
        </w:rPr>
        <w:t xml:space="preserve">000 </w:t>
      </w:r>
      <w:r w:rsidRPr="009070BD">
        <w:rPr>
          <w:rFonts w:cs="Sylfaen"/>
          <w:b w:val="0"/>
          <w:szCs w:val="22"/>
        </w:rPr>
        <w:t>հատ</w:t>
      </w:r>
      <w:r w:rsidRPr="009070BD">
        <w:rPr>
          <w:rFonts w:cs="Sylfaen"/>
          <w:b w:val="0"/>
          <w:szCs w:val="22"/>
          <w:lang w:val="af-ZA"/>
        </w:rPr>
        <w:t xml:space="preserve"> ձևաթուղթ 2020 </w:t>
      </w:r>
      <w:r w:rsidRPr="009070BD">
        <w:rPr>
          <w:rFonts w:cs="Sylfaen"/>
          <w:b w:val="0"/>
          <w:szCs w:val="22"/>
        </w:rPr>
        <w:t>թվականի</w:t>
      </w:r>
      <w:r w:rsidRPr="009070BD">
        <w:rPr>
          <w:rFonts w:cs="Sylfaen"/>
          <w:b w:val="0"/>
          <w:szCs w:val="22"/>
          <w:lang w:val="af-ZA"/>
        </w:rPr>
        <w:t xml:space="preserve"> 79</w:t>
      </w:r>
      <w:r w:rsidRPr="009070BD">
        <w:rPr>
          <w:rFonts w:ascii="Calibri" w:hAnsi="Calibri" w:cs="Calibri"/>
          <w:b w:val="0"/>
          <w:szCs w:val="22"/>
          <w:lang w:val="af-ZA"/>
        </w:rPr>
        <w:t> </w:t>
      </w:r>
      <w:r w:rsidRPr="009070BD">
        <w:rPr>
          <w:rFonts w:cs="Sylfaen"/>
          <w:b w:val="0"/>
          <w:szCs w:val="22"/>
          <w:lang w:val="af-ZA"/>
        </w:rPr>
        <w:t xml:space="preserve">170 </w:t>
      </w:r>
      <w:r w:rsidRPr="009070BD">
        <w:rPr>
          <w:rFonts w:cs="Sylfaen"/>
          <w:b w:val="0"/>
          <w:szCs w:val="22"/>
        </w:rPr>
        <w:t>դիմաց</w:t>
      </w:r>
      <w:r w:rsidRPr="009070BD">
        <w:rPr>
          <w:rFonts w:cs="Sylfaen"/>
          <w:b w:val="0"/>
          <w:szCs w:val="22"/>
          <w:lang w:val="af-ZA"/>
        </w:rPr>
        <w:t>:</w:t>
      </w:r>
    </w:p>
    <w:p w:rsidR="00500235" w:rsidRPr="009070BD" w:rsidRDefault="00500235" w:rsidP="007730AA">
      <w:pPr>
        <w:spacing w:before="0" w:line="276" w:lineRule="auto"/>
        <w:rPr>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Մայրության նպաստ</w:t>
      </w:r>
      <w:r w:rsidRPr="009070BD">
        <w:rPr>
          <w:b w:val="0"/>
          <w:szCs w:val="22"/>
          <w:lang w:val="pt-BR"/>
        </w:rPr>
        <w:t>»</w:t>
      </w:r>
      <w:r w:rsidRPr="009070BD">
        <w:rPr>
          <w:rFonts w:cs="Sylfaen"/>
          <w:b w:val="0"/>
          <w:szCs w:val="22"/>
          <w:lang w:val="af-ZA"/>
        </w:rPr>
        <w:t xml:space="preserve"> միջոցառմամբ </w:t>
      </w:r>
      <w:r w:rsidRPr="009070BD">
        <w:rPr>
          <w:rFonts w:cs="Sylfaen"/>
          <w:b w:val="0"/>
          <w:szCs w:val="22"/>
        </w:rPr>
        <w:t>նախատեսվում</w:t>
      </w:r>
      <w:r w:rsidRPr="009070BD">
        <w:rPr>
          <w:rFonts w:cs="Sylfaen"/>
          <w:b w:val="0"/>
          <w:szCs w:val="22"/>
          <w:lang w:val="af-ZA"/>
        </w:rPr>
        <w:t xml:space="preserve"> </w:t>
      </w:r>
      <w:r w:rsidRPr="009070BD">
        <w:rPr>
          <w:rFonts w:cs="Sylfaen"/>
          <w:b w:val="0"/>
          <w:szCs w:val="22"/>
        </w:rPr>
        <w:t>է</w:t>
      </w:r>
      <w:r w:rsidRPr="009070BD">
        <w:rPr>
          <w:rFonts w:cs="Sylfaen"/>
          <w:b w:val="0"/>
          <w:szCs w:val="22"/>
          <w:lang w:val="af-ZA"/>
        </w:rPr>
        <w:t xml:space="preserve"> 11</w:t>
      </w:r>
      <w:r w:rsidRPr="009070BD">
        <w:rPr>
          <w:rFonts w:ascii="Calibri" w:hAnsi="Calibri" w:cs="Calibri"/>
          <w:b w:val="0"/>
          <w:szCs w:val="22"/>
          <w:lang w:val="af-ZA"/>
        </w:rPr>
        <w:t> </w:t>
      </w:r>
      <w:r w:rsidRPr="009070BD">
        <w:rPr>
          <w:rFonts w:cs="Sylfaen"/>
          <w:b w:val="0"/>
          <w:szCs w:val="22"/>
          <w:lang w:val="af-ZA"/>
        </w:rPr>
        <w:t xml:space="preserve">260.3 </w:t>
      </w:r>
      <w:r w:rsidRPr="009070BD">
        <w:rPr>
          <w:rFonts w:cs="Sylfaen"/>
          <w:b w:val="0"/>
          <w:szCs w:val="22"/>
        </w:rPr>
        <w:t>մլն</w:t>
      </w:r>
      <w:r w:rsidRPr="009070BD">
        <w:rPr>
          <w:rFonts w:cs="Sylfaen"/>
          <w:b w:val="0"/>
          <w:szCs w:val="22"/>
          <w:lang w:val="af-ZA"/>
        </w:rPr>
        <w:t xml:space="preserve"> </w:t>
      </w:r>
      <w:r w:rsidRPr="009070BD">
        <w:rPr>
          <w:rFonts w:cs="Sylfaen"/>
          <w:b w:val="0"/>
          <w:szCs w:val="22"/>
        </w:rPr>
        <w:t>դրամի</w:t>
      </w:r>
      <w:r w:rsidRPr="009070BD">
        <w:rPr>
          <w:rFonts w:cs="Sylfaen"/>
          <w:b w:val="0"/>
          <w:szCs w:val="22"/>
          <w:lang w:val="af-ZA"/>
        </w:rPr>
        <w:t xml:space="preserve"> </w:t>
      </w:r>
      <w:r w:rsidRPr="009070BD">
        <w:rPr>
          <w:rFonts w:cs="Sylfaen"/>
          <w:b w:val="0"/>
          <w:szCs w:val="22"/>
        </w:rPr>
        <w:t>չափով</w:t>
      </w:r>
      <w:r w:rsidRPr="009070BD">
        <w:rPr>
          <w:rFonts w:cs="Sylfaen"/>
          <w:b w:val="0"/>
          <w:szCs w:val="22"/>
          <w:lang w:val="af-ZA"/>
        </w:rPr>
        <w:t xml:space="preserve"> </w:t>
      </w:r>
      <w:r w:rsidRPr="009070BD">
        <w:rPr>
          <w:rFonts w:cs="Sylfaen"/>
          <w:b w:val="0"/>
          <w:szCs w:val="22"/>
        </w:rPr>
        <w:t>ծախս</w:t>
      </w:r>
      <w:r w:rsidRPr="009070BD">
        <w:rPr>
          <w:rFonts w:cs="Sylfaen"/>
          <w:b w:val="0"/>
          <w:szCs w:val="22"/>
          <w:lang w:val="af-ZA"/>
        </w:rPr>
        <w:t xml:space="preserve"> </w:t>
      </w:r>
      <w:r w:rsidRPr="009070BD">
        <w:rPr>
          <w:b w:val="0"/>
          <w:szCs w:val="22"/>
          <w:lang w:val="af-ZA"/>
        </w:rPr>
        <w:t xml:space="preserve">(2020 </w:t>
      </w:r>
      <w:r w:rsidRPr="009070BD">
        <w:rPr>
          <w:rFonts w:cs="Sylfaen"/>
          <w:b w:val="0"/>
          <w:szCs w:val="22"/>
        </w:rPr>
        <w:t>թվականին</w:t>
      </w:r>
      <w:r w:rsidRPr="009070BD">
        <w:rPr>
          <w:b w:val="0"/>
          <w:szCs w:val="22"/>
          <w:lang w:val="af-ZA"/>
        </w:rPr>
        <w:t xml:space="preserve">` 8 268.3 </w:t>
      </w:r>
      <w:r w:rsidRPr="009070BD">
        <w:rPr>
          <w:rFonts w:cs="Sylfaen"/>
          <w:b w:val="0"/>
          <w:szCs w:val="22"/>
        </w:rPr>
        <w:t>մլն</w:t>
      </w:r>
      <w:r w:rsidRPr="009070BD">
        <w:rPr>
          <w:rFonts w:cs="Sylfaen"/>
          <w:b w:val="0"/>
          <w:szCs w:val="22"/>
          <w:lang w:val="af-ZA"/>
        </w:rPr>
        <w:t xml:space="preserve"> </w:t>
      </w:r>
      <w:r w:rsidRPr="009070BD">
        <w:rPr>
          <w:rFonts w:cs="Sylfaen"/>
          <w:b w:val="0"/>
          <w:szCs w:val="22"/>
        </w:rPr>
        <w:t>դրամ</w:t>
      </w:r>
      <w:r w:rsidRPr="009070BD">
        <w:rPr>
          <w:b w:val="0"/>
          <w:szCs w:val="22"/>
          <w:lang w:val="af-ZA"/>
        </w:rPr>
        <w:t xml:space="preserve">): </w:t>
      </w:r>
      <w:r w:rsidRPr="009070BD">
        <w:rPr>
          <w:rFonts w:cs="Sylfaen"/>
          <w:b w:val="0"/>
          <w:szCs w:val="22"/>
          <w:lang w:val="af-ZA"/>
        </w:rPr>
        <w:t>Ծախսերի աճ</w:t>
      </w:r>
      <w:r w:rsidRPr="009070BD">
        <w:rPr>
          <w:rFonts w:cs="Sylfaen"/>
          <w:b w:val="0"/>
          <w:szCs w:val="22"/>
          <w:lang w:val="hy-AM"/>
        </w:rPr>
        <w:t xml:space="preserve">ը </w:t>
      </w:r>
      <w:r w:rsidRPr="009070BD">
        <w:rPr>
          <w:rFonts w:cs="Sylfaen"/>
          <w:b w:val="0"/>
          <w:szCs w:val="22"/>
          <w:lang w:val="af-ZA"/>
        </w:rPr>
        <w:t>1</w:t>
      </w:r>
      <w:r w:rsidRPr="009070BD">
        <w:rPr>
          <w:rFonts w:ascii="Calibri" w:hAnsi="Calibri" w:cs="Calibri"/>
          <w:b w:val="0"/>
          <w:szCs w:val="22"/>
          <w:lang w:val="af-ZA"/>
        </w:rPr>
        <w:t> </w:t>
      </w:r>
      <w:r w:rsidRPr="009070BD">
        <w:rPr>
          <w:rFonts w:cs="Sylfaen"/>
          <w:b w:val="0"/>
          <w:szCs w:val="22"/>
          <w:lang w:val="af-ZA"/>
        </w:rPr>
        <w:t>366.2 մլն դրամի չափով պայմանավորված է փաստացի կատարողականով:</w:t>
      </w:r>
    </w:p>
    <w:p w:rsidR="00500235" w:rsidRPr="009070BD" w:rsidRDefault="00500235" w:rsidP="007730AA">
      <w:pPr>
        <w:spacing w:before="0" w:line="276" w:lineRule="auto"/>
        <w:rPr>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hy-AM"/>
        </w:rPr>
        <w:t>Ժամանակավոր</w:t>
      </w:r>
      <w:r w:rsidRPr="009070BD">
        <w:rPr>
          <w:rFonts w:cs="Sylfaen"/>
          <w:b w:val="0"/>
          <w:szCs w:val="22"/>
          <w:lang w:val="af-ZA"/>
        </w:rPr>
        <w:t xml:space="preserve"> </w:t>
      </w:r>
      <w:r w:rsidRPr="009070BD">
        <w:rPr>
          <w:rFonts w:cs="Sylfaen"/>
          <w:b w:val="0"/>
          <w:szCs w:val="22"/>
          <w:lang w:val="hy-AM"/>
        </w:rPr>
        <w:t>անաշխատունակության</w:t>
      </w:r>
      <w:r w:rsidRPr="009070BD">
        <w:rPr>
          <w:rFonts w:cs="Sylfaen"/>
          <w:b w:val="0"/>
          <w:szCs w:val="22"/>
          <w:lang w:val="af-ZA"/>
        </w:rPr>
        <w:t xml:space="preserve"> </w:t>
      </w:r>
      <w:r w:rsidRPr="009070BD">
        <w:rPr>
          <w:rFonts w:cs="Sylfaen"/>
          <w:b w:val="0"/>
          <w:szCs w:val="22"/>
          <w:lang w:val="hy-AM"/>
        </w:rPr>
        <w:t>դեպքում</w:t>
      </w:r>
      <w:r w:rsidRPr="009070BD">
        <w:rPr>
          <w:rFonts w:cs="Sylfaen"/>
          <w:b w:val="0"/>
          <w:szCs w:val="22"/>
          <w:lang w:val="af-ZA"/>
        </w:rPr>
        <w:t xml:space="preserve"> </w:t>
      </w:r>
      <w:r w:rsidRPr="009070BD">
        <w:rPr>
          <w:rFonts w:cs="Sylfaen"/>
          <w:b w:val="0"/>
          <w:szCs w:val="22"/>
          <w:lang w:val="hy-AM"/>
        </w:rPr>
        <w:t>նպաստ</w:t>
      </w:r>
      <w:r w:rsidRPr="009070BD">
        <w:rPr>
          <w:b w:val="0"/>
          <w:szCs w:val="22"/>
          <w:lang w:val="pt-BR"/>
        </w:rPr>
        <w:t>»</w:t>
      </w:r>
      <w:r w:rsidRPr="009070BD">
        <w:rPr>
          <w:rFonts w:cs="Sylfaen"/>
          <w:b w:val="0"/>
          <w:szCs w:val="22"/>
          <w:lang w:val="af-ZA"/>
        </w:rPr>
        <w:t xml:space="preserve"> միջոցառման գծով նախատեսվում է ծախս 3</w:t>
      </w:r>
      <w:r w:rsidRPr="009070BD">
        <w:rPr>
          <w:rFonts w:ascii="Calibri" w:hAnsi="Calibri" w:cs="Calibri"/>
          <w:b w:val="0"/>
          <w:szCs w:val="22"/>
          <w:lang w:val="af-ZA"/>
        </w:rPr>
        <w:t> </w:t>
      </w:r>
      <w:r w:rsidRPr="009070BD">
        <w:rPr>
          <w:rFonts w:cs="Sylfaen"/>
          <w:b w:val="0"/>
          <w:szCs w:val="22"/>
          <w:lang w:val="af-ZA"/>
        </w:rPr>
        <w:t xml:space="preserve">009.2 մլն դրամի չափով (2020 </w:t>
      </w:r>
      <w:r w:rsidRPr="009070BD">
        <w:rPr>
          <w:rFonts w:cs="Sylfaen"/>
          <w:b w:val="0"/>
          <w:szCs w:val="22"/>
          <w:lang w:val="hy-AM"/>
        </w:rPr>
        <w:t>թվականին</w:t>
      </w:r>
      <w:r w:rsidRPr="009070BD">
        <w:rPr>
          <w:rFonts w:cs="Sylfaen"/>
          <w:b w:val="0"/>
          <w:szCs w:val="22"/>
          <w:lang w:val="af-ZA"/>
        </w:rPr>
        <w:t>` 1 643.1 մլն դրամ): Ծախսերի աճ</w:t>
      </w:r>
      <w:r w:rsidRPr="009070BD">
        <w:rPr>
          <w:rFonts w:cs="Sylfaen"/>
          <w:b w:val="0"/>
          <w:szCs w:val="22"/>
          <w:lang w:val="hy-AM"/>
        </w:rPr>
        <w:t xml:space="preserve">ը </w:t>
      </w:r>
      <w:r w:rsidRPr="009070BD">
        <w:rPr>
          <w:rFonts w:cs="Sylfaen"/>
          <w:b w:val="0"/>
          <w:szCs w:val="22"/>
          <w:lang w:val="af-ZA"/>
        </w:rPr>
        <w:t>2</w:t>
      </w:r>
      <w:r w:rsidRPr="009070BD">
        <w:rPr>
          <w:rFonts w:ascii="Calibri" w:hAnsi="Calibri" w:cs="Calibri"/>
          <w:b w:val="0"/>
          <w:szCs w:val="22"/>
          <w:lang w:val="af-ZA"/>
        </w:rPr>
        <w:t> </w:t>
      </w:r>
      <w:r w:rsidRPr="009070BD">
        <w:rPr>
          <w:rFonts w:cs="Sylfaen"/>
          <w:b w:val="0"/>
          <w:szCs w:val="22"/>
          <w:lang w:val="af-ZA"/>
        </w:rPr>
        <w:t>992.1 մլն դրամի չափով պայմանավորված է փաստացի կատարողականով:</w:t>
      </w:r>
    </w:p>
    <w:p w:rsidR="00500235" w:rsidRPr="009070BD" w:rsidRDefault="00500235" w:rsidP="007730AA">
      <w:pPr>
        <w:spacing w:before="0" w:line="276" w:lineRule="auto"/>
        <w:rPr>
          <w:b w:val="0"/>
          <w:szCs w:val="22"/>
          <w:lang w:val="hy-AM"/>
        </w:rPr>
      </w:pPr>
      <w:r w:rsidRPr="009070BD">
        <w:rPr>
          <w:rFonts w:cs="Sylfaen"/>
          <w:b w:val="0"/>
          <w:szCs w:val="22"/>
          <w:lang w:val="hy-AM"/>
        </w:rPr>
        <w:t>-</w:t>
      </w:r>
      <w:r w:rsidRPr="009070BD">
        <w:rPr>
          <w:b w:val="0"/>
          <w:szCs w:val="22"/>
          <w:lang w:val="pt-BR"/>
        </w:rPr>
        <w:t xml:space="preserve">«Աշխատողների աշխատանքային պարտականությունների կատարման հետ կապված խեղման, մասնագիտական հիվանդության և առողջության այլ վնասման հետևանքով պատճառված վնասի փոխհատուցում» </w:t>
      </w:r>
      <w:r w:rsidRPr="009070BD">
        <w:rPr>
          <w:rFonts w:cs="Sylfaen"/>
          <w:b w:val="0"/>
          <w:szCs w:val="22"/>
          <w:lang w:val="af-ZA"/>
        </w:rPr>
        <w:t>միջոցառման</w:t>
      </w:r>
      <w:r w:rsidRPr="009070BD">
        <w:rPr>
          <w:rFonts w:cs="Sylfaen"/>
          <w:b w:val="0"/>
          <w:szCs w:val="22"/>
          <w:lang w:val="hy-AM"/>
        </w:rPr>
        <w:t xml:space="preserve"> գծով</w:t>
      </w:r>
      <w:r w:rsidRPr="009070BD">
        <w:rPr>
          <w:rFonts w:cs="Sylfaen"/>
          <w:b w:val="0"/>
          <w:szCs w:val="22"/>
          <w:lang w:val="af-ZA"/>
        </w:rPr>
        <w:t xml:space="preserve"> </w:t>
      </w:r>
      <w:r w:rsidRPr="009070BD">
        <w:rPr>
          <w:rFonts w:cs="Sylfaen"/>
          <w:b w:val="0"/>
          <w:szCs w:val="22"/>
          <w:lang w:val="hy-AM"/>
        </w:rPr>
        <w:t>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76.1</w:t>
      </w:r>
      <w:r w:rsidRPr="009070BD">
        <w:rPr>
          <w:b w:val="0"/>
          <w:szCs w:val="22"/>
          <w:lang w:val="af-ZA"/>
        </w:rPr>
        <w:t xml:space="preserve">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դրամի</w:t>
      </w:r>
      <w:r w:rsidRPr="009070BD">
        <w:rPr>
          <w:rFonts w:cs="Sylfaen"/>
          <w:b w:val="0"/>
          <w:szCs w:val="22"/>
          <w:lang w:val="af-ZA"/>
        </w:rPr>
        <w:t xml:space="preserve"> </w:t>
      </w:r>
      <w:r w:rsidRPr="009070BD">
        <w:rPr>
          <w:rFonts w:cs="Sylfaen"/>
          <w:b w:val="0"/>
          <w:szCs w:val="22"/>
          <w:lang w:val="hy-AM"/>
        </w:rPr>
        <w:t>չափով</w:t>
      </w:r>
      <w:r w:rsidRPr="009070BD">
        <w:rPr>
          <w:rFonts w:cs="Sylfaen"/>
          <w:b w:val="0"/>
          <w:szCs w:val="22"/>
          <w:lang w:val="af-ZA"/>
        </w:rPr>
        <w:t xml:space="preserve"> </w:t>
      </w:r>
      <w:r w:rsidRPr="009070BD">
        <w:rPr>
          <w:rFonts w:cs="Sylfaen"/>
          <w:b w:val="0"/>
          <w:szCs w:val="22"/>
          <w:lang w:val="hy-AM"/>
        </w:rPr>
        <w:t>ծախս</w:t>
      </w:r>
      <w:r w:rsidRPr="009070BD">
        <w:rPr>
          <w:b w:val="0"/>
          <w:szCs w:val="22"/>
          <w:lang w:val="hy-AM"/>
        </w:rPr>
        <w:t xml:space="preserve"> (20</w:t>
      </w:r>
      <w:r w:rsidRPr="009070BD">
        <w:rPr>
          <w:b w:val="0"/>
          <w:szCs w:val="22"/>
          <w:lang w:val="af-ZA"/>
        </w:rPr>
        <w:t xml:space="preserve">20 </w:t>
      </w:r>
      <w:r w:rsidRPr="009070BD">
        <w:rPr>
          <w:rFonts w:cs="Sylfaen"/>
          <w:b w:val="0"/>
          <w:szCs w:val="22"/>
          <w:lang w:val="hy-AM"/>
        </w:rPr>
        <w:t>թվականին</w:t>
      </w:r>
      <w:r w:rsidRPr="009070BD">
        <w:rPr>
          <w:b w:val="0"/>
          <w:szCs w:val="22"/>
          <w:lang w:val="hy-AM"/>
        </w:rPr>
        <w:t xml:space="preserve">` </w:t>
      </w:r>
      <w:r w:rsidRPr="009070BD">
        <w:rPr>
          <w:b w:val="0"/>
          <w:szCs w:val="22"/>
          <w:lang w:val="af-ZA"/>
        </w:rPr>
        <w:t xml:space="preserve">82.4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w:t>
      </w:r>
      <w:r w:rsidRPr="009070BD">
        <w:rPr>
          <w:b w:val="0"/>
          <w:szCs w:val="22"/>
          <w:lang w:val="hy-AM"/>
        </w:rPr>
        <w:t xml:space="preserve">): </w:t>
      </w:r>
      <w:r w:rsidRPr="009070BD">
        <w:rPr>
          <w:rFonts w:cs="Sylfaen"/>
          <w:b w:val="0"/>
          <w:szCs w:val="22"/>
          <w:lang w:val="hy-AM"/>
        </w:rPr>
        <w:t>Ծախսերի</w:t>
      </w:r>
      <w:r w:rsidRPr="009070BD">
        <w:rPr>
          <w:rFonts w:cs="Sylfaen"/>
          <w:b w:val="0"/>
          <w:szCs w:val="22"/>
          <w:lang w:val="af-ZA"/>
        </w:rPr>
        <w:t xml:space="preserve"> նվազումը </w:t>
      </w:r>
      <w:r w:rsidRPr="009070BD">
        <w:rPr>
          <w:b w:val="0"/>
          <w:szCs w:val="22"/>
          <w:lang w:val="hy-AM"/>
        </w:rPr>
        <w:t xml:space="preserve">կազմում է </w:t>
      </w:r>
      <w:r w:rsidRPr="009070BD">
        <w:rPr>
          <w:b w:val="0"/>
          <w:szCs w:val="22"/>
          <w:lang w:val="af-ZA"/>
        </w:rPr>
        <w:t xml:space="preserve">6.3 </w:t>
      </w:r>
      <w:r w:rsidRPr="009070BD">
        <w:rPr>
          <w:b w:val="0"/>
          <w:szCs w:val="22"/>
          <w:lang w:val="hy-AM"/>
        </w:rPr>
        <w:t>մլն դրամ, որը պայմանավորված է շահառուների թվի նվազմամբ</w:t>
      </w:r>
      <w:r w:rsidRPr="009070BD">
        <w:rPr>
          <w:b w:val="0"/>
          <w:szCs w:val="22"/>
          <w:lang w:val="en-US"/>
        </w:rPr>
        <w:t>՝</w:t>
      </w:r>
      <w:r w:rsidRPr="009070BD">
        <w:rPr>
          <w:b w:val="0"/>
          <w:szCs w:val="22"/>
          <w:lang w:val="af-ZA"/>
        </w:rPr>
        <w:t xml:space="preserve"> </w:t>
      </w:r>
      <w:r w:rsidRPr="009070BD">
        <w:rPr>
          <w:rFonts w:cs="Sylfaen"/>
          <w:b w:val="0"/>
          <w:szCs w:val="22"/>
          <w:lang w:val="af-ZA"/>
        </w:rPr>
        <w:t xml:space="preserve">2021 թվականին </w:t>
      </w:r>
      <w:r w:rsidRPr="009070BD">
        <w:rPr>
          <w:b w:val="0"/>
          <w:szCs w:val="22"/>
          <w:lang w:val="hy-AM"/>
        </w:rPr>
        <w:t xml:space="preserve">կանխատեսվում է </w:t>
      </w:r>
      <w:r w:rsidRPr="009070BD">
        <w:rPr>
          <w:b w:val="0"/>
          <w:szCs w:val="22"/>
          <w:lang w:val="af-ZA"/>
        </w:rPr>
        <w:t xml:space="preserve">309 </w:t>
      </w:r>
      <w:r w:rsidRPr="009070BD">
        <w:rPr>
          <w:b w:val="0"/>
          <w:szCs w:val="22"/>
          <w:lang w:val="en-US"/>
        </w:rPr>
        <w:t>շահառու</w:t>
      </w:r>
      <w:r w:rsidRPr="009070BD">
        <w:rPr>
          <w:b w:val="0"/>
          <w:szCs w:val="22"/>
          <w:lang w:val="hy-AM"/>
        </w:rPr>
        <w:t xml:space="preserve"> 20</w:t>
      </w:r>
      <w:r w:rsidRPr="009070BD">
        <w:rPr>
          <w:b w:val="0"/>
          <w:szCs w:val="22"/>
          <w:lang w:val="af-ZA"/>
        </w:rPr>
        <w:t>20</w:t>
      </w:r>
      <w:r w:rsidRPr="009070BD">
        <w:rPr>
          <w:b w:val="0"/>
          <w:szCs w:val="22"/>
          <w:lang w:val="hy-AM"/>
        </w:rPr>
        <w:t xml:space="preserve"> թվականի </w:t>
      </w:r>
      <w:r w:rsidRPr="009070BD">
        <w:rPr>
          <w:b w:val="0"/>
          <w:szCs w:val="22"/>
          <w:lang w:val="af-ZA"/>
        </w:rPr>
        <w:t>335</w:t>
      </w:r>
      <w:r w:rsidRPr="009070BD">
        <w:rPr>
          <w:b w:val="0"/>
          <w:szCs w:val="22"/>
          <w:lang w:val="hy-AM"/>
        </w:rPr>
        <w:t xml:space="preserve"> մարդու դիմաց: </w:t>
      </w:r>
    </w:p>
    <w:p w:rsidR="00500235" w:rsidRPr="009070BD" w:rsidRDefault="00500235" w:rsidP="007730AA">
      <w:pPr>
        <w:spacing w:before="0" w:line="276" w:lineRule="auto"/>
        <w:ind w:firstLine="720"/>
        <w:rPr>
          <w:rFonts w:cs="Sylfaen"/>
          <w:b w:val="0"/>
          <w:szCs w:val="22"/>
          <w:lang w:val="af-ZA"/>
        </w:rPr>
      </w:pPr>
      <w:r w:rsidRPr="009070BD">
        <w:rPr>
          <w:rFonts w:cs="Sylfaen"/>
          <w:b w:val="0"/>
          <w:szCs w:val="22"/>
          <w:lang w:val="af-ZA"/>
        </w:rPr>
        <w:t>Կենսաթոշակային ապահովություն</w:t>
      </w:r>
    </w:p>
    <w:p w:rsidR="00500235" w:rsidRPr="009070BD" w:rsidRDefault="00500235" w:rsidP="007730AA">
      <w:pPr>
        <w:spacing w:before="0" w:line="276" w:lineRule="auto"/>
        <w:rPr>
          <w:rFonts w:cs="Sylfaen"/>
          <w:b w:val="0"/>
          <w:szCs w:val="22"/>
          <w:lang w:val="af-ZA"/>
        </w:rPr>
      </w:pPr>
      <w:r w:rsidRPr="009070BD">
        <w:rPr>
          <w:b w:val="0"/>
          <w:szCs w:val="22"/>
          <w:lang w:val="pt-BR"/>
        </w:rPr>
        <w:t>-«</w:t>
      </w:r>
      <w:r w:rsidRPr="009070BD">
        <w:rPr>
          <w:rFonts w:cs="Sylfaen"/>
          <w:b w:val="0"/>
          <w:szCs w:val="22"/>
          <w:lang w:val="af-ZA"/>
        </w:rPr>
        <w:t>Կենսաթոշակների և այլ դրամական վճարների տրամադրման տեղեկատվական միասնական համակարգերի սպասարկում և շահագործում</w:t>
      </w:r>
      <w:r w:rsidRPr="009070BD">
        <w:rPr>
          <w:b w:val="0"/>
          <w:szCs w:val="22"/>
          <w:lang w:val="pt-BR"/>
        </w:rPr>
        <w:t xml:space="preserve">» </w:t>
      </w:r>
      <w:r w:rsidRPr="009070BD">
        <w:rPr>
          <w:rFonts w:cs="Sylfaen"/>
          <w:b w:val="0"/>
          <w:szCs w:val="22"/>
          <w:lang w:val="af-ZA"/>
        </w:rPr>
        <w:t xml:space="preserve">միջոցառման գծով նախատեսվում է ծախս 72.4 մլն դրամի չափով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 xml:space="preserve">): </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 xml:space="preserve"> </w:t>
      </w:r>
      <w:r w:rsidRPr="009070BD">
        <w:rPr>
          <w:b w:val="0"/>
          <w:szCs w:val="22"/>
          <w:lang w:val="pt-BR"/>
        </w:rPr>
        <w:t>-«</w:t>
      </w:r>
      <w:r w:rsidRPr="009070BD">
        <w:rPr>
          <w:rFonts w:cs="Sylfaen"/>
          <w:b w:val="0"/>
          <w:szCs w:val="22"/>
          <w:lang w:val="af-ZA"/>
        </w:rPr>
        <w:t>Կենսաթոշակների և այլ դրամական վճարների իրականացման ապահովում</w:t>
      </w:r>
      <w:r w:rsidRPr="009070BD">
        <w:rPr>
          <w:b w:val="0"/>
          <w:szCs w:val="22"/>
          <w:lang w:val="pt-BR"/>
        </w:rPr>
        <w:t>»</w:t>
      </w:r>
      <w:r w:rsidRPr="009070BD">
        <w:rPr>
          <w:rFonts w:cs="Sylfaen"/>
          <w:b w:val="0"/>
          <w:szCs w:val="22"/>
          <w:lang w:val="af-ZA"/>
        </w:rPr>
        <w:t xml:space="preserve"> միջոցառման գծով նախատեսվում է ծախս 1</w:t>
      </w:r>
      <w:r w:rsidRPr="009070BD">
        <w:rPr>
          <w:rFonts w:ascii="Calibri" w:hAnsi="Calibri" w:cs="Calibri"/>
          <w:b w:val="0"/>
          <w:szCs w:val="22"/>
          <w:lang w:val="af-ZA"/>
        </w:rPr>
        <w:t> </w:t>
      </w:r>
      <w:r w:rsidRPr="009070BD">
        <w:rPr>
          <w:rFonts w:cs="Sylfaen"/>
          <w:b w:val="0"/>
          <w:szCs w:val="22"/>
          <w:lang w:val="af-ZA"/>
        </w:rPr>
        <w:t xml:space="preserve">072.3 մլն դրամի չափով (2020 </w:t>
      </w:r>
      <w:r w:rsidRPr="009070BD">
        <w:rPr>
          <w:rFonts w:cs="Sylfaen"/>
          <w:b w:val="0"/>
          <w:szCs w:val="22"/>
        </w:rPr>
        <w:t>թվականին</w:t>
      </w:r>
      <w:r w:rsidRPr="009070BD">
        <w:rPr>
          <w:rFonts w:cs="Sylfaen"/>
          <w:b w:val="0"/>
          <w:szCs w:val="22"/>
          <w:lang w:val="af-ZA"/>
        </w:rPr>
        <w:t xml:space="preserve">` </w:t>
      </w:r>
      <w:r w:rsidRPr="009070BD">
        <w:rPr>
          <w:rFonts w:cs="Sylfaen"/>
          <w:b w:val="0"/>
          <w:szCs w:val="22"/>
          <w:lang w:val="hy-AM"/>
        </w:rPr>
        <w:t>1</w:t>
      </w:r>
      <w:r w:rsidRPr="009070BD">
        <w:rPr>
          <w:rFonts w:cs="Sylfaen"/>
          <w:b w:val="0"/>
          <w:szCs w:val="22"/>
          <w:lang w:val="af-ZA"/>
        </w:rPr>
        <w:t xml:space="preserve"> 374.9 մլն դրամ): Ծախսերի նվազումը 302.5 մլն դրամի չափով պայմանավորված է կենսաթոշակներին, ծ</w:t>
      </w:r>
      <w:r w:rsidRPr="009070BD">
        <w:rPr>
          <w:b w:val="0"/>
          <w:szCs w:val="22"/>
        </w:rPr>
        <w:t>երության</w:t>
      </w:r>
      <w:r w:rsidRPr="009070BD">
        <w:rPr>
          <w:b w:val="0"/>
          <w:szCs w:val="22"/>
          <w:lang w:val="af-ZA"/>
        </w:rPr>
        <w:t xml:space="preserve">, </w:t>
      </w:r>
      <w:r w:rsidRPr="009070BD">
        <w:rPr>
          <w:b w:val="0"/>
          <w:szCs w:val="22"/>
        </w:rPr>
        <w:t>հաշմանդամության</w:t>
      </w:r>
      <w:r w:rsidRPr="009070BD">
        <w:rPr>
          <w:b w:val="0"/>
          <w:szCs w:val="22"/>
          <w:lang w:val="af-ZA"/>
        </w:rPr>
        <w:t xml:space="preserve">, </w:t>
      </w:r>
      <w:r w:rsidRPr="009070BD">
        <w:rPr>
          <w:b w:val="0"/>
          <w:szCs w:val="22"/>
        </w:rPr>
        <w:t>կերակրողին</w:t>
      </w:r>
      <w:r w:rsidRPr="009070BD">
        <w:rPr>
          <w:b w:val="0"/>
          <w:szCs w:val="22"/>
          <w:lang w:val="af-ZA"/>
        </w:rPr>
        <w:t xml:space="preserve"> </w:t>
      </w:r>
      <w:r w:rsidRPr="009070BD">
        <w:rPr>
          <w:b w:val="0"/>
          <w:szCs w:val="22"/>
        </w:rPr>
        <w:t>կորցնելու</w:t>
      </w:r>
      <w:r w:rsidRPr="009070BD">
        <w:rPr>
          <w:b w:val="0"/>
          <w:szCs w:val="22"/>
          <w:lang w:val="af-ZA"/>
        </w:rPr>
        <w:t xml:space="preserve"> </w:t>
      </w:r>
      <w:r w:rsidRPr="009070BD">
        <w:rPr>
          <w:b w:val="0"/>
          <w:szCs w:val="22"/>
        </w:rPr>
        <w:t>դեպքում</w:t>
      </w:r>
      <w:r w:rsidRPr="009070BD">
        <w:rPr>
          <w:b w:val="0"/>
          <w:szCs w:val="22"/>
          <w:lang w:val="af-ZA"/>
        </w:rPr>
        <w:t xml:space="preserve"> </w:t>
      </w:r>
      <w:r w:rsidRPr="009070BD">
        <w:rPr>
          <w:b w:val="0"/>
          <w:szCs w:val="22"/>
        </w:rPr>
        <w:t>նպաստներին</w:t>
      </w:r>
      <w:r w:rsidRPr="009070BD">
        <w:rPr>
          <w:b w:val="0"/>
          <w:szCs w:val="22"/>
          <w:lang w:val="af-ZA"/>
        </w:rPr>
        <w:t>,</w:t>
      </w:r>
      <w:r w:rsidRPr="009070BD">
        <w:rPr>
          <w:rFonts w:cs="Sylfaen"/>
          <w:b w:val="0"/>
          <w:szCs w:val="22"/>
          <w:lang w:val="af-ZA"/>
        </w:rPr>
        <w:t xml:space="preserve"> պարգևավճարներին, պատվովճարին և այլ միջոցառումներին ուղղվող ծախսերի փոփոխությամբ` վճարման ծառայության գումարի չափի վերանայման պայմաններում</w:t>
      </w:r>
      <w:r w:rsidRPr="009070BD">
        <w:rPr>
          <w:rFonts w:cs="Sylfaen"/>
          <w:b w:val="0"/>
          <w:szCs w:val="22"/>
          <w:lang w:val="hy-AM"/>
        </w:rPr>
        <w:t>:</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hy-AM"/>
        </w:rPr>
        <w:t>Կենսաթոշակների</w:t>
      </w:r>
      <w:r w:rsidRPr="009070BD">
        <w:rPr>
          <w:rFonts w:cs="Sylfaen"/>
          <w:b w:val="0"/>
          <w:szCs w:val="22"/>
          <w:lang w:val="af-ZA"/>
        </w:rPr>
        <w:t xml:space="preserve"> </w:t>
      </w:r>
      <w:r w:rsidRPr="009070BD">
        <w:rPr>
          <w:rFonts w:cs="Sylfaen"/>
          <w:b w:val="0"/>
          <w:szCs w:val="22"/>
          <w:lang w:val="hy-AM"/>
        </w:rPr>
        <w:t>ձևաթղթերի</w:t>
      </w:r>
      <w:r w:rsidRPr="009070BD">
        <w:rPr>
          <w:rFonts w:cs="Sylfaen"/>
          <w:b w:val="0"/>
          <w:szCs w:val="22"/>
          <w:lang w:val="af-ZA"/>
        </w:rPr>
        <w:t xml:space="preserve"> </w:t>
      </w:r>
      <w:r w:rsidRPr="009070BD">
        <w:rPr>
          <w:rFonts w:cs="Sylfaen"/>
          <w:b w:val="0"/>
          <w:szCs w:val="22"/>
          <w:lang w:val="hy-AM"/>
        </w:rPr>
        <w:t>տպագրություն</w:t>
      </w:r>
      <w:r w:rsidRPr="009070BD">
        <w:rPr>
          <w:b w:val="0"/>
          <w:szCs w:val="22"/>
          <w:lang w:val="pt-BR"/>
        </w:rPr>
        <w:t>»</w:t>
      </w:r>
      <w:r w:rsidRPr="009070BD">
        <w:rPr>
          <w:rFonts w:cs="Sylfaen"/>
          <w:b w:val="0"/>
          <w:szCs w:val="22"/>
          <w:lang w:val="af-ZA"/>
        </w:rPr>
        <w:t xml:space="preserve"> միջոցառման գծով նախատեսվում է ծախս 0.8 մլն դրամի չափով </w:t>
      </w:r>
      <w:r w:rsidRPr="009070BD">
        <w:rPr>
          <w:b w:val="0"/>
          <w:szCs w:val="22"/>
          <w:lang w:val="af-ZA"/>
        </w:rPr>
        <w:t xml:space="preserve">(2020 </w:t>
      </w:r>
      <w:r w:rsidRPr="009070BD">
        <w:rPr>
          <w:rFonts w:cs="Sylfaen"/>
          <w:b w:val="0"/>
          <w:szCs w:val="22"/>
          <w:lang w:val="hy-AM"/>
        </w:rPr>
        <w:t>թվականին</w:t>
      </w:r>
      <w:r w:rsidRPr="009070BD">
        <w:rPr>
          <w:b w:val="0"/>
          <w:szCs w:val="22"/>
          <w:lang w:val="af-ZA"/>
        </w:rPr>
        <w:t xml:space="preserve">` 0.6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w:t>
      </w:r>
      <w:r w:rsidRPr="009070BD">
        <w:rPr>
          <w:b w:val="0"/>
          <w:szCs w:val="22"/>
          <w:lang w:val="af-ZA"/>
        </w:rPr>
        <w:t xml:space="preserve">): </w:t>
      </w:r>
      <w:r w:rsidRPr="009070BD">
        <w:rPr>
          <w:rFonts w:cs="Sylfaen"/>
          <w:b w:val="0"/>
          <w:szCs w:val="22"/>
          <w:lang w:val="hy-AM"/>
        </w:rPr>
        <w:t>Ծախսերի</w:t>
      </w:r>
      <w:r w:rsidRPr="009070BD">
        <w:rPr>
          <w:rFonts w:cs="Sylfaen"/>
          <w:b w:val="0"/>
          <w:szCs w:val="22"/>
          <w:lang w:val="af-ZA"/>
        </w:rPr>
        <w:t xml:space="preserve"> </w:t>
      </w:r>
      <w:r w:rsidRPr="009070BD">
        <w:rPr>
          <w:b w:val="0"/>
          <w:szCs w:val="22"/>
          <w:lang w:val="hy-AM"/>
        </w:rPr>
        <w:t>աճ</w:t>
      </w:r>
      <w:r w:rsidRPr="009070BD">
        <w:rPr>
          <w:b w:val="0"/>
          <w:szCs w:val="22"/>
          <w:lang w:val="af-ZA"/>
        </w:rPr>
        <w:t xml:space="preserve">ը 0.2 մլն դրամի չափով պայմանավորված է </w:t>
      </w:r>
      <w:r w:rsidRPr="009070BD">
        <w:rPr>
          <w:rFonts w:cs="Sylfaen"/>
          <w:b w:val="0"/>
          <w:szCs w:val="22"/>
          <w:lang w:val="af-ZA"/>
        </w:rPr>
        <w:t xml:space="preserve">ձեռքբերվելիք </w:t>
      </w:r>
      <w:r w:rsidRPr="009070BD">
        <w:rPr>
          <w:rFonts w:cs="Sylfaen"/>
          <w:b w:val="0"/>
          <w:szCs w:val="22"/>
          <w:lang w:val="hy-AM"/>
        </w:rPr>
        <w:t>ձևաթղթերի</w:t>
      </w:r>
      <w:r w:rsidRPr="009070BD">
        <w:rPr>
          <w:rFonts w:cs="Sylfaen"/>
          <w:b w:val="0"/>
          <w:szCs w:val="22"/>
          <w:lang w:val="af-ZA"/>
        </w:rPr>
        <w:t xml:space="preserve"> </w:t>
      </w:r>
      <w:r w:rsidRPr="009070BD">
        <w:rPr>
          <w:rFonts w:cs="Sylfaen"/>
          <w:b w:val="0"/>
          <w:szCs w:val="22"/>
        </w:rPr>
        <w:t>քանակի</w:t>
      </w:r>
      <w:r w:rsidRPr="009070BD">
        <w:rPr>
          <w:rFonts w:cs="Sylfaen"/>
          <w:b w:val="0"/>
          <w:szCs w:val="22"/>
          <w:lang w:val="af-ZA"/>
        </w:rPr>
        <w:t xml:space="preserve"> աճով՝ 2021 թվականին </w:t>
      </w:r>
      <w:r w:rsidRPr="009070BD">
        <w:rPr>
          <w:rFonts w:cs="Sylfaen"/>
          <w:b w:val="0"/>
          <w:szCs w:val="22"/>
        </w:rPr>
        <w:t>կանխատեսվում</w:t>
      </w:r>
      <w:r w:rsidRPr="009070BD">
        <w:rPr>
          <w:rFonts w:cs="Sylfaen"/>
          <w:b w:val="0"/>
          <w:szCs w:val="22"/>
          <w:lang w:val="af-ZA"/>
        </w:rPr>
        <w:t xml:space="preserve"> </w:t>
      </w:r>
      <w:r w:rsidRPr="009070BD">
        <w:rPr>
          <w:rFonts w:cs="Sylfaen"/>
          <w:b w:val="0"/>
          <w:szCs w:val="22"/>
        </w:rPr>
        <w:t>է</w:t>
      </w:r>
      <w:r w:rsidRPr="009070BD">
        <w:rPr>
          <w:rFonts w:cs="Sylfaen"/>
          <w:b w:val="0"/>
          <w:szCs w:val="22"/>
          <w:lang w:val="af-ZA"/>
        </w:rPr>
        <w:t xml:space="preserve"> ձեռք բերել 90 900 </w:t>
      </w:r>
      <w:r w:rsidRPr="009070BD">
        <w:rPr>
          <w:rFonts w:cs="Sylfaen"/>
          <w:b w:val="0"/>
          <w:szCs w:val="22"/>
        </w:rPr>
        <w:t>հատ</w:t>
      </w:r>
      <w:r w:rsidRPr="009070BD">
        <w:rPr>
          <w:rFonts w:cs="Sylfaen"/>
          <w:b w:val="0"/>
          <w:szCs w:val="22"/>
          <w:lang w:val="af-ZA"/>
        </w:rPr>
        <w:t xml:space="preserve"> ձևաթուղթ 2020 </w:t>
      </w:r>
      <w:r w:rsidRPr="009070BD">
        <w:rPr>
          <w:rFonts w:cs="Sylfaen"/>
          <w:b w:val="0"/>
          <w:szCs w:val="22"/>
        </w:rPr>
        <w:t>թվականի</w:t>
      </w:r>
      <w:r w:rsidRPr="009070BD">
        <w:rPr>
          <w:rFonts w:cs="Sylfaen"/>
          <w:b w:val="0"/>
          <w:szCs w:val="22"/>
          <w:lang w:val="af-ZA"/>
        </w:rPr>
        <w:t xml:space="preserve"> 50 000 </w:t>
      </w:r>
      <w:r w:rsidRPr="009070BD">
        <w:rPr>
          <w:rFonts w:cs="Sylfaen"/>
          <w:b w:val="0"/>
          <w:szCs w:val="22"/>
        </w:rPr>
        <w:t>դիմաց</w:t>
      </w:r>
      <w:r w:rsidRPr="009070BD">
        <w:rPr>
          <w:rFonts w:cs="Sylfaen"/>
          <w:b w:val="0"/>
          <w:szCs w:val="22"/>
          <w:lang w:val="af-ZA"/>
        </w:rPr>
        <w:t>:</w:t>
      </w:r>
    </w:p>
    <w:p w:rsidR="00500235" w:rsidRPr="009070BD" w:rsidRDefault="00500235" w:rsidP="007730AA">
      <w:pPr>
        <w:spacing w:before="0" w:line="276" w:lineRule="auto"/>
        <w:rPr>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Սպայական անձնակազմի և նրանց ընտանիքների անդամների կենսաթոշակներ</w:t>
      </w:r>
      <w:r w:rsidRPr="009070BD">
        <w:rPr>
          <w:b w:val="0"/>
          <w:szCs w:val="22"/>
          <w:lang w:val="pt-BR"/>
        </w:rPr>
        <w:t>»</w:t>
      </w:r>
      <w:r w:rsidRPr="009070BD">
        <w:rPr>
          <w:rFonts w:cs="Sylfaen"/>
          <w:b w:val="0"/>
          <w:szCs w:val="22"/>
          <w:lang w:val="af-ZA"/>
        </w:rPr>
        <w:t xml:space="preserve"> միջոցառմամբ</w:t>
      </w:r>
      <w:r w:rsidRPr="009070BD">
        <w:rPr>
          <w:rFonts w:cs="Sylfaen"/>
          <w:b w:val="0"/>
          <w:szCs w:val="22"/>
          <w:lang w:val="hy-AM"/>
        </w:rPr>
        <w:t xml:space="preserve"> 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32</w:t>
      </w:r>
      <w:r w:rsidRPr="009070BD">
        <w:rPr>
          <w:rFonts w:ascii="Calibri" w:hAnsi="Calibri" w:cs="Calibri"/>
          <w:b w:val="0"/>
          <w:szCs w:val="22"/>
          <w:lang w:val="af-ZA"/>
        </w:rPr>
        <w:t> </w:t>
      </w:r>
      <w:r w:rsidRPr="009070BD">
        <w:rPr>
          <w:rFonts w:cs="Sylfaen"/>
          <w:b w:val="0"/>
          <w:szCs w:val="22"/>
          <w:lang w:val="af-ZA"/>
        </w:rPr>
        <w:t>610.2</w:t>
      </w:r>
      <w:r w:rsidRPr="009070BD">
        <w:rPr>
          <w:b w:val="0"/>
          <w:szCs w:val="22"/>
          <w:lang w:val="af-ZA"/>
        </w:rPr>
        <w:t xml:space="preserve">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դրամի</w:t>
      </w:r>
      <w:r w:rsidRPr="009070BD">
        <w:rPr>
          <w:rFonts w:cs="Sylfaen"/>
          <w:b w:val="0"/>
          <w:szCs w:val="22"/>
          <w:lang w:val="af-ZA"/>
        </w:rPr>
        <w:t xml:space="preserve"> </w:t>
      </w:r>
      <w:r w:rsidRPr="009070BD">
        <w:rPr>
          <w:rFonts w:cs="Sylfaen"/>
          <w:b w:val="0"/>
          <w:szCs w:val="22"/>
          <w:lang w:val="hy-AM"/>
        </w:rPr>
        <w:t>չափով</w:t>
      </w:r>
      <w:r w:rsidRPr="009070BD">
        <w:rPr>
          <w:rFonts w:cs="Sylfaen"/>
          <w:b w:val="0"/>
          <w:szCs w:val="22"/>
          <w:lang w:val="af-ZA"/>
        </w:rPr>
        <w:t xml:space="preserve"> </w:t>
      </w:r>
      <w:r w:rsidRPr="009070BD">
        <w:rPr>
          <w:rFonts w:cs="Sylfaen"/>
          <w:b w:val="0"/>
          <w:szCs w:val="22"/>
          <w:lang w:val="hy-AM"/>
        </w:rPr>
        <w:t>ծախս</w:t>
      </w:r>
      <w:r w:rsidRPr="009070BD">
        <w:rPr>
          <w:b w:val="0"/>
          <w:szCs w:val="22"/>
          <w:lang w:val="af-ZA"/>
        </w:rPr>
        <w:t xml:space="preserve"> (2020 </w:t>
      </w:r>
      <w:r w:rsidRPr="009070BD">
        <w:rPr>
          <w:rFonts w:cs="Sylfaen"/>
          <w:b w:val="0"/>
          <w:szCs w:val="22"/>
          <w:lang w:val="hy-AM"/>
        </w:rPr>
        <w:t>թվականին</w:t>
      </w:r>
      <w:r w:rsidRPr="009070BD">
        <w:rPr>
          <w:b w:val="0"/>
          <w:szCs w:val="22"/>
          <w:lang w:val="af-ZA"/>
        </w:rPr>
        <w:t xml:space="preserve">` 30 133.7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w:t>
      </w:r>
      <w:r w:rsidRPr="009070BD">
        <w:rPr>
          <w:b w:val="0"/>
          <w:szCs w:val="22"/>
          <w:lang w:val="af-ZA"/>
        </w:rPr>
        <w:t xml:space="preserve">): </w:t>
      </w:r>
      <w:r w:rsidRPr="009070BD">
        <w:rPr>
          <w:rFonts w:cs="Sylfaen"/>
          <w:b w:val="0"/>
          <w:szCs w:val="22"/>
          <w:lang w:val="hy-AM"/>
        </w:rPr>
        <w:t>Ծախսերի</w:t>
      </w:r>
      <w:r w:rsidRPr="009070BD">
        <w:rPr>
          <w:rFonts w:cs="Sylfaen"/>
          <w:b w:val="0"/>
          <w:szCs w:val="22"/>
          <w:lang w:val="af-ZA"/>
        </w:rPr>
        <w:t xml:space="preserve"> </w:t>
      </w:r>
      <w:r w:rsidRPr="009070BD">
        <w:rPr>
          <w:b w:val="0"/>
          <w:szCs w:val="22"/>
          <w:lang w:val="hy-AM"/>
        </w:rPr>
        <w:t>աճ</w:t>
      </w:r>
      <w:r w:rsidRPr="009070BD">
        <w:rPr>
          <w:b w:val="0"/>
          <w:szCs w:val="22"/>
          <w:lang w:val="af-ZA"/>
        </w:rPr>
        <w:t>ը 2</w:t>
      </w:r>
      <w:r w:rsidRPr="009070BD">
        <w:rPr>
          <w:rFonts w:ascii="Calibri" w:hAnsi="Calibri" w:cs="Calibri"/>
          <w:b w:val="0"/>
          <w:szCs w:val="22"/>
          <w:lang w:val="af-ZA"/>
        </w:rPr>
        <w:t> </w:t>
      </w:r>
      <w:r w:rsidRPr="009070BD">
        <w:rPr>
          <w:b w:val="0"/>
          <w:szCs w:val="22"/>
          <w:lang w:val="af-ZA"/>
        </w:rPr>
        <w:t xml:space="preserve">476.5 մլն դրամի չափով պայմանավորված է կենսաթոշակառուների թվաքանակի </w:t>
      </w:r>
      <w:r w:rsidRPr="009070BD">
        <w:rPr>
          <w:b w:val="0"/>
          <w:szCs w:val="22"/>
          <w:lang w:val="hy-AM"/>
        </w:rPr>
        <w:t>աճով` 202</w:t>
      </w:r>
      <w:r w:rsidRPr="009070BD">
        <w:rPr>
          <w:b w:val="0"/>
          <w:szCs w:val="22"/>
          <w:lang w:val="af-ZA"/>
        </w:rPr>
        <w:t>1</w:t>
      </w:r>
      <w:r w:rsidRPr="009070BD">
        <w:rPr>
          <w:b w:val="0"/>
          <w:szCs w:val="22"/>
          <w:lang w:val="hy-AM"/>
        </w:rPr>
        <w:t xml:space="preserve"> թվականին կանխատեսվում է միջին տարեկան </w:t>
      </w:r>
      <w:r w:rsidRPr="009070BD">
        <w:rPr>
          <w:b w:val="0"/>
          <w:szCs w:val="22"/>
          <w:lang w:val="af-ZA"/>
        </w:rPr>
        <w:t>34</w:t>
      </w:r>
      <w:r w:rsidRPr="009070BD">
        <w:rPr>
          <w:rFonts w:ascii="Calibri" w:hAnsi="Calibri" w:cs="Calibri"/>
          <w:b w:val="0"/>
          <w:szCs w:val="22"/>
          <w:lang w:val="af-ZA"/>
        </w:rPr>
        <w:t> </w:t>
      </w:r>
      <w:r w:rsidRPr="009070BD">
        <w:rPr>
          <w:b w:val="0"/>
          <w:szCs w:val="22"/>
          <w:lang w:val="af-ZA"/>
        </w:rPr>
        <w:t xml:space="preserve">440 շահառու </w:t>
      </w:r>
      <w:r w:rsidRPr="009070BD">
        <w:rPr>
          <w:b w:val="0"/>
          <w:szCs w:val="22"/>
          <w:lang w:val="hy-AM"/>
        </w:rPr>
        <w:t>20</w:t>
      </w:r>
      <w:r w:rsidRPr="009070BD">
        <w:rPr>
          <w:b w:val="0"/>
          <w:szCs w:val="22"/>
          <w:lang w:val="af-ZA"/>
        </w:rPr>
        <w:t>20</w:t>
      </w:r>
      <w:r w:rsidRPr="009070BD">
        <w:rPr>
          <w:b w:val="0"/>
          <w:szCs w:val="22"/>
          <w:lang w:val="hy-AM"/>
        </w:rPr>
        <w:t xml:space="preserve"> թվականի 33</w:t>
      </w:r>
      <w:r w:rsidRPr="009070BD">
        <w:rPr>
          <w:rFonts w:ascii="Calibri" w:hAnsi="Calibri" w:cs="Calibri"/>
          <w:b w:val="0"/>
          <w:szCs w:val="22"/>
          <w:lang w:val="hy-AM"/>
        </w:rPr>
        <w:t> </w:t>
      </w:r>
      <w:r w:rsidRPr="009070BD">
        <w:rPr>
          <w:b w:val="0"/>
          <w:szCs w:val="22"/>
          <w:lang w:val="hy-AM"/>
        </w:rPr>
        <w:t xml:space="preserve">646 </w:t>
      </w:r>
      <w:r w:rsidRPr="009070BD">
        <w:rPr>
          <w:b w:val="0"/>
          <w:szCs w:val="22"/>
          <w:lang w:val="af-ZA"/>
        </w:rPr>
        <w:t>շահառուի</w:t>
      </w:r>
      <w:r w:rsidRPr="009070BD">
        <w:rPr>
          <w:b w:val="0"/>
          <w:szCs w:val="22"/>
          <w:lang w:val="hy-AM"/>
        </w:rPr>
        <w:t xml:space="preserve"> դիմաց</w:t>
      </w:r>
      <w:r w:rsidRPr="009070BD">
        <w:rPr>
          <w:b w:val="0"/>
          <w:szCs w:val="22"/>
          <w:lang w:val="en-US"/>
        </w:rPr>
        <w:t>՝</w:t>
      </w:r>
      <w:r w:rsidRPr="009070BD">
        <w:rPr>
          <w:b w:val="0"/>
          <w:szCs w:val="22"/>
          <w:lang w:val="af-ZA"/>
        </w:rPr>
        <w:t xml:space="preserve"> կենսաթոշակի միջին ամսական չափի պահպանման պայմաններում:</w:t>
      </w:r>
    </w:p>
    <w:p w:rsidR="00500235" w:rsidRPr="009070BD" w:rsidRDefault="00500235" w:rsidP="007730AA">
      <w:pPr>
        <w:spacing w:before="0" w:line="276" w:lineRule="auto"/>
        <w:rPr>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Շարքային զինծառայողների և նրանց ընտանիքների անդամների կենսաթոշակներ</w:t>
      </w:r>
      <w:r w:rsidRPr="009070BD">
        <w:rPr>
          <w:b w:val="0"/>
          <w:szCs w:val="22"/>
          <w:lang w:val="pt-BR"/>
        </w:rPr>
        <w:t>»</w:t>
      </w:r>
      <w:r w:rsidRPr="009070BD">
        <w:rPr>
          <w:rFonts w:cs="Sylfaen"/>
          <w:b w:val="0"/>
          <w:szCs w:val="22"/>
          <w:lang w:val="af-ZA"/>
        </w:rPr>
        <w:t xml:space="preserve"> միջոցառմամբ </w:t>
      </w:r>
      <w:r w:rsidRPr="009070BD">
        <w:rPr>
          <w:rFonts w:cs="Sylfaen"/>
          <w:b w:val="0"/>
          <w:szCs w:val="22"/>
          <w:lang w:val="hy-AM"/>
        </w:rPr>
        <w:t>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593.5</w:t>
      </w:r>
      <w:r w:rsidRPr="009070BD">
        <w:rPr>
          <w:b w:val="0"/>
          <w:szCs w:val="22"/>
          <w:lang w:val="af-ZA"/>
        </w:rPr>
        <w:t xml:space="preserve">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դրամի</w:t>
      </w:r>
      <w:r w:rsidRPr="009070BD">
        <w:rPr>
          <w:rFonts w:cs="Sylfaen"/>
          <w:b w:val="0"/>
          <w:szCs w:val="22"/>
          <w:lang w:val="af-ZA"/>
        </w:rPr>
        <w:t xml:space="preserve"> </w:t>
      </w:r>
      <w:r w:rsidRPr="009070BD">
        <w:rPr>
          <w:rFonts w:cs="Sylfaen"/>
          <w:b w:val="0"/>
          <w:szCs w:val="22"/>
          <w:lang w:val="hy-AM"/>
        </w:rPr>
        <w:t>չափով</w:t>
      </w:r>
      <w:r w:rsidRPr="009070BD">
        <w:rPr>
          <w:rFonts w:cs="Sylfaen"/>
          <w:b w:val="0"/>
          <w:szCs w:val="22"/>
          <w:lang w:val="af-ZA"/>
        </w:rPr>
        <w:t xml:space="preserve"> </w:t>
      </w:r>
      <w:r w:rsidRPr="009070BD">
        <w:rPr>
          <w:rFonts w:cs="Sylfaen"/>
          <w:b w:val="0"/>
          <w:szCs w:val="22"/>
          <w:lang w:val="hy-AM"/>
        </w:rPr>
        <w:t>ծախս</w:t>
      </w:r>
      <w:r w:rsidRPr="009070BD">
        <w:rPr>
          <w:b w:val="0"/>
          <w:szCs w:val="22"/>
          <w:lang w:val="af-ZA"/>
        </w:rPr>
        <w:t xml:space="preserve"> (2020 </w:t>
      </w:r>
      <w:r w:rsidRPr="009070BD">
        <w:rPr>
          <w:rFonts w:cs="Sylfaen"/>
          <w:b w:val="0"/>
          <w:szCs w:val="22"/>
          <w:lang w:val="hy-AM"/>
        </w:rPr>
        <w:t>թվականին</w:t>
      </w:r>
      <w:r w:rsidRPr="009070BD">
        <w:rPr>
          <w:b w:val="0"/>
          <w:szCs w:val="22"/>
          <w:lang w:val="af-ZA"/>
        </w:rPr>
        <w:t xml:space="preserve">` 622.0 </w:t>
      </w:r>
      <w:r w:rsidRPr="009070BD">
        <w:rPr>
          <w:rFonts w:cs="Sylfaen"/>
          <w:b w:val="0"/>
          <w:szCs w:val="22"/>
          <w:lang w:val="hy-AM"/>
        </w:rPr>
        <w:t>մլնդրամ</w:t>
      </w:r>
      <w:r w:rsidRPr="009070BD">
        <w:rPr>
          <w:b w:val="0"/>
          <w:szCs w:val="22"/>
          <w:lang w:val="af-ZA"/>
        </w:rPr>
        <w:t xml:space="preserve">): </w:t>
      </w:r>
      <w:r w:rsidRPr="009070BD">
        <w:rPr>
          <w:rFonts w:cs="Sylfaen"/>
          <w:b w:val="0"/>
          <w:szCs w:val="22"/>
          <w:lang w:val="hy-AM"/>
        </w:rPr>
        <w:t>Ծախսերի</w:t>
      </w:r>
      <w:r w:rsidRPr="009070BD">
        <w:rPr>
          <w:rFonts w:cs="Sylfaen"/>
          <w:b w:val="0"/>
          <w:szCs w:val="22"/>
          <w:lang w:val="af-ZA"/>
        </w:rPr>
        <w:t xml:space="preserve"> նվազումը </w:t>
      </w:r>
      <w:r w:rsidRPr="009070BD">
        <w:rPr>
          <w:b w:val="0"/>
          <w:szCs w:val="22"/>
          <w:lang w:val="af-ZA"/>
        </w:rPr>
        <w:t xml:space="preserve">28.5 </w:t>
      </w:r>
      <w:r w:rsidRPr="009070BD">
        <w:rPr>
          <w:b w:val="0"/>
          <w:szCs w:val="22"/>
          <w:lang w:val="en-US"/>
        </w:rPr>
        <w:t>մ</w:t>
      </w:r>
      <w:r w:rsidRPr="009070BD">
        <w:rPr>
          <w:b w:val="0"/>
          <w:szCs w:val="22"/>
          <w:lang w:val="hy-AM"/>
        </w:rPr>
        <w:t>լն</w:t>
      </w:r>
      <w:r w:rsidRPr="009070BD">
        <w:rPr>
          <w:b w:val="0"/>
          <w:szCs w:val="22"/>
          <w:lang w:val="af-ZA"/>
        </w:rPr>
        <w:t xml:space="preserve"> </w:t>
      </w:r>
      <w:r w:rsidRPr="009070BD">
        <w:rPr>
          <w:b w:val="0"/>
          <w:szCs w:val="22"/>
          <w:lang w:val="hy-AM"/>
        </w:rPr>
        <w:t>դրամի</w:t>
      </w:r>
      <w:r w:rsidRPr="009070BD">
        <w:rPr>
          <w:b w:val="0"/>
          <w:szCs w:val="22"/>
          <w:lang w:val="af-ZA"/>
        </w:rPr>
        <w:t xml:space="preserve"> </w:t>
      </w:r>
      <w:r w:rsidRPr="009070BD">
        <w:rPr>
          <w:b w:val="0"/>
          <w:szCs w:val="22"/>
          <w:lang w:val="hy-AM"/>
        </w:rPr>
        <w:t>չափով</w:t>
      </w:r>
      <w:r w:rsidRPr="009070BD">
        <w:rPr>
          <w:b w:val="0"/>
          <w:szCs w:val="22"/>
          <w:lang w:val="af-ZA"/>
        </w:rPr>
        <w:t xml:space="preserve"> </w:t>
      </w:r>
      <w:r w:rsidRPr="009070BD">
        <w:rPr>
          <w:b w:val="0"/>
          <w:szCs w:val="22"/>
          <w:lang w:val="hy-AM"/>
        </w:rPr>
        <w:t>պայմանավորված</w:t>
      </w:r>
      <w:r w:rsidRPr="009070BD">
        <w:rPr>
          <w:b w:val="0"/>
          <w:szCs w:val="22"/>
          <w:lang w:val="af-ZA"/>
        </w:rPr>
        <w:t xml:space="preserve"> </w:t>
      </w:r>
      <w:r w:rsidRPr="009070BD">
        <w:rPr>
          <w:b w:val="0"/>
          <w:szCs w:val="22"/>
          <w:lang w:val="hy-AM"/>
        </w:rPr>
        <w:t>է</w:t>
      </w:r>
      <w:r w:rsidRPr="009070BD">
        <w:rPr>
          <w:b w:val="0"/>
          <w:szCs w:val="22"/>
          <w:lang w:val="af-ZA"/>
        </w:rPr>
        <w:t xml:space="preserve"> </w:t>
      </w:r>
      <w:r w:rsidRPr="009070BD">
        <w:rPr>
          <w:b w:val="0"/>
          <w:szCs w:val="22"/>
          <w:lang w:val="hy-AM"/>
        </w:rPr>
        <w:t>կենսաթոշակառուների թվաքանակի նվազմամբ՝</w:t>
      </w:r>
      <w:r w:rsidRPr="009070BD">
        <w:rPr>
          <w:b w:val="0"/>
          <w:szCs w:val="22"/>
          <w:lang w:val="af-ZA"/>
        </w:rPr>
        <w:t xml:space="preserve"> </w:t>
      </w:r>
      <w:r w:rsidRPr="009070BD">
        <w:rPr>
          <w:b w:val="0"/>
          <w:szCs w:val="22"/>
          <w:lang w:val="hy-AM"/>
        </w:rPr>
        <w:t>202</w:t>
      </w:r>
      <w:r w:rsidRPr="009070BD">
        <w:rPr>
          <w:b w:val="0"/>
          <w:szCs w:val="22"/>
          <w:lang w:val="af-ZA"/>
        </w:rPr>
        <w:t>1</w:t>
      </w:r>
      <w:r w:rsidRPr="009070BD">
        <w:rPr>
          <w:b w:val="0"/>
          <w:szCs w:val="22"/>
          <w:lang w:val="hy-AM"/>
        </w:rPr>
        <w:t xml:space="preserve"> թվականին կանխատեսվում է միջին տարեկան</w:t>
      </w:r>
      <w:r w:rsidRPr="009070BD">
        <w:rPr>
          <w:b w:val="0"/>
          <w:szCs w:val="22"/>
          <w:lang w:val="af-ZA"/>
        </w:rPr>
        <w:t xml:space="preserve"> 1 655</w:t>
      </w:r>
      <w:r w:rsidRPr="009070BD">
        <w:rPr>
          <w:b w:val="0"/>
          <w:szCs w:val="22"/>
          <w:lang w:val="hy-AM"/>
        </w:rPr>
        <w:t xml:space="preserve"> </w:t>
      </w:r>
      <w:r w:rsidRPr="009070BD">
        <w:rPr>
          <w:b w:val="0"/>
          <w:szCs w:val="22"/>
          <w:lang w:val="af-ZA"/>
        </w:rPr>
        <w:t xml:space="preserve">շահառու </w:t>
      </w:r>
      <w:r w:rsidRPr="009070BD">
        <w:rPr>
          <w:b w:val="0"/>
          <w:szCs w:val="22"/>
          <w:lang w:val="hy-AM"/>
        </w:rPr>
        <w:t>20</w:t>
      </w:r>
      <w:r w:rsidRPr="009070BD">
        <w:rPr>
          <w:b w:val="0"/>
          <w:szCs w:val="22"/>
          <w:lang w:val="af-ZA"/>
        </w:rPr>
        <w:t>20</w:t>
      </w:r>
      <w:r w:rsidRPr="009070BD">
        <w:rPr>
          <w:b w:val="0"/>
          <w:szCs w:val="22"/>
          <w:lang w:val="hy-AM"/>
        </w:rPr>
        <w:t xml:space="preserve"> թվականի 1</w:t>
      </w:r>
      <w:r w:rsidRPr="009070BD">
        <w:rPr>
          <w:b w:val="0"/>
          <w:szCs w:val="22"/>
          <w:lang w:val="af-ZA"/>
        </w:rPr>
        <w:t xml:space="preserve"> </w:t>
      </w:r>
      <w:r w:rsidRPr="009070BD">
        <w:rPr>
          <w:b w:val="0"/>
          <w:szCs w:val="22"/>
          <w:lang w:val="hy-AM"/>
        </w:rPr>
        <w:t>7</w:t>
      </w:r>
      <w:r w:rsidRPr="009070BD">
        <w:rPr>
          <w:b w:val="0"/>
          <w:szCs w:val="22"/>
          <w:lang w:val="af-ZA"/>
        </w:rPr>
        <w:t>34 շահառուի</w:t>
      </w:r>
      <w:r w:rsidRPr="009070BD">
        <w:rPr>
          <w:b w:val="0"/>
          <w:szCs w:val="22"/>
          <w:lang w:val="hy-AM"/>
        </w:rPr>
        <w:t xml:space="preserve"> դիմաց</w:t>
      </w:r>
      <w:r w:rsidRPr="009070BD">
        <w:rPr>
          <w:b w:val="0"/>
          <w:szCs w:val="22"/>
          <w:lang w:val="en-US"/>
        </w:rPr>
        <w:t>՝</w:t>
      </w:r>
      <w:r w:rsidRPr="009070BD">
        <w:rPr>
          <w:b w:val="0"/>
          <w:szCs w:val="22"/>
          <w:lang w:val="af-ZA"/>
        </w:rPr>
        <w:t xml:space="preserve"> կենսաթոշակի միջին ամսական չափի պահպանման պայմաններում:</w:t>
      </w:r>
    </w:p>
    <w:p w:rsidR="00500235" w:rsidRPr="009070BD" w:rsidRDefault="00500235" w:rsidP="007730AA">
      <w:pPr>
        <w:spacing w:before="0" w:line="276" w:lineRule="auto"/>
        <w:rPr>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Աշխատանքային կենսաթոշակներ</w:t>
      </w:r>
      <w:r w:rsidRPr="009070BD">
        <w:rPr>
          <w:b w:val="0"/>
          <w:szCs w:val="22"/>
          <w:lang w:val="pt-BR"/>
        </w:rPr>
        <w:t>»</w:t>
      </w:r>
      <w:r w:rsidRPr="009070BD">
        <w:rPr>
          <w:rFonts w:cs="Sylfaen"/>
          <w:b w:val="0"/>
          <w:szCs w:val="22"/>
          <w:lang w:val="af-ZA"/>
        </w:rPr>
        <w:t xml:space="preserve"> միջոցառմամբ</w:t>
      </w:r>
      <w:r w:rsidRPr="009070BD">
        <w:rPr>
          <w:rFonts w:cs="Sylfaen"/>
          <w:b w:val="0"/>
          <w:szCs w:val="22"/>
          <w:lang w:val="hy-AM"/>
        </w:rPr>
        <w:t xml:space="preserve"> 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w:t>
      </w:r>
      <w:r w:rsidRPr="009070BD">
        <w:rPr>
          <w:b w:val="0"/>
          <w:szCs w:val="22"/>
          <w:lang w:val="hy-AM"/>
        </w:rPr>
        <w:t>24</w:t>
      </w:r>
      <w:r w:rsidRPr="009070BD">
        <w:rPr>
          <w:b w:val="0"/>
          <w:szCs w:val="22"/>
          <w:lang w:val="af-ZA"/>
        </w:rPr>
        <w:t>5</w:t>
      </w:r>
      <w:r w:rsidRPr="009070BD">
        <w:rPr>
          <w:rFonts w:ascii="Calibri" w:hAnsi="Calibri" w:cs="Calibri"/>
          <w:b w:val="0"/>
          <w:szCs w:val="22"/>
          <w:lang w:val="af-ZA"/>
        </w:rPr>
        <w:t> </w:t>
      </w:r>
      <w:r w:rsidRPr="009070BD">
        <w:rPr>
          <w:b w:val="0"/>
          <w:szCs w:val="22"/>
          <w:lang w:val="af-ZA"/>
        </w:rPr>
        <w:t xml:space="preserve">315.9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դրամի</w:t>
      </w:r>
      <w:r w:rsidRPr="009070BD">
        <w:rPr>
          <w:rFonts w:cs="Sylfaen"/>
          <w:b w:val="0"/>
          <w:szCs w:val="22"/>
          <w:lang w:val="af-ZA"/>
        </w:rPr>
        <w:t xml:space="preserve"> </w:t>
      </w:r>
      <w:r w:rsidRPr="009070BD">
        <w:rPr>
          <w:rFonts w:cs="Sylfaen"/>
          <w:b w:val="0"/>
          <w:szCs w:val="22"/>
          <w:lang w:val="hy-AM"/>
        </w:rPr>
        <w:t>չափով</w:t>
      </w:r>
      <w:r w:rsidRPr="009070BD">
        <w:rPr>
          <w:rFonts w:cs="Sylfaen"/>
          <w:b w:val="0"/>
          <w:szCs w:val="22"/>
          <w:lang w:val="af-ZA"/>
        </w:rPr>
        <w:t xml:space="preserve"> </w:t>
      </w:r>
      <w:r w:rsidRPr="009070BD">
        <w:rPr>
          <w:rFonts w:cs="Sylfaen"/>
          <w:b w:val="0"/>
          <w:szCs w:val="22"/>
          <w:lang w:val="hy-AM"/>
        </w:rPr>
        <w:t>ծախս</w:t>
      </w:r>
      <w:r w:rsidRPr="009070BD">
        <w:rPr>
          <w:b w:val="0"/>
          <w:szCs w:val="22"/>
          <w:lang w:val="af-ZA"/>
        </w:rPr>
        <w:t xml:space="preserve"> (2020 </w:t>
      </w:r>
      <w:r w:rsidRPr="009070BD">
        <w:rPr>
          <w:rFonts w:cs="Sylfaen"/>
          <w:b w:val="0"/>
          <w:szCs w:val="22"/>
          <w:lang w:val="hy-AM"/>
        </w:rPr>
        <w:t>թվականին</w:t>
      </w:r>
      <w:r w:rsidRPr="009070BD">
        <w:rPr>
          <w:b w:val="0"/>
          <w:szCs w:val="22"/>
          <w:lang w:val="af-ZA"/>
        </w:rPr>
        <w:t xml:space="preserve">` </w:t>
      </w:r>
      <w:r w:rsidRPr="009070BD">
        <w:rPr>
          <w:b w:val="0"/>
          <w:szCs w:val="22"/>
          <w:lang w:val="hy-AM"/>
        </w:rPr>
        <w:t>246 472.0</w:t>
      </w:r>
      <w:r w:rsidRPr="009070BD">
        <w:rPr>
          <w:b w:val="0"/>
          <w:szCs w:val="22"/>
          <w:lang w:val="af-ZA"/>
        </w:rPr>
        <w:t xml:space="preserve">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w:t>
      </w:r>
      <w:r w:rsidRPr="009070BD">
        <w:rPr>
          <w:b w:val="0"/>
          <w:szCs w:val="22"/>
          <w:lang w:val="af-ZA"/>
        </w:rPr>
        <w:t xml:space="preserve">): </w:t>
      </w:r>
      <w:r w:rsidRPr="009070BD">
        <w:rPr>
          <w:rFonts w:cs="Sylfaen"/>
          <w:b w:val="0"/>
          <w:szCs w:val="22"/>
          <w:lang w:val="hy-AM"/>
        </w:rPr>
        <w:t>Ծախսերի</w:t>
      </w:r>
      <w:r w:rsidRPr="009070BD">
        <w:rPr>
          <w:rFonts w:cs="Sylfaen"/>
          <w:b w:val="0"/>
          <w:szCs w:val="22"/>
          <w:lang w:val="af-ZA"/>
        </w:rPr>
        <w:t xml:space="preserve"> նվազումը</w:t>
      </w:r>
      <w:r w:rsidRPr="009070BD">
        <w:rPr>
          <w:rFonts w:cs="Sylfaen"/>
          <w:b w:val="0"/>
          <w:szCs w:val="22"/>
          <w:lang w:val="hy-AM"/>
        </w:rPr>
        <w:t xml:space="preserve"> </w:t>
      </w:r>
      <w:r w:rsidRPr="009070BD">
        <w:rPr>
          <w:rFonts w:cs="Sylfaen"/>
          <w:b w:val="0"/>
          <w:szCs w:val="22"/>
          <w:lang w:val="af-ZA"/>
        </w:rPr>
        <w:t>1</w:t>
      </w:r>
      <w:r w:rsidRPr="009070BD">
        <w:rPr>
          <w:rFonts w:ascii="Calibri" w:hAnsi="Calibri" w:cs="Calibri"/>
          <w:b w:val="0"/>
          <w:szCs w:val="22"/>
          <w:lang w:val="af-ZA"/>
        </w:rPr>
        <w:t> </w:t>
      </w:r>
      <w:r w:rsidRPr="009070BD">
        <w:rPr>
          <w:rFonts w:cs="Sylfaen"/>
          <w:b w:val="0"/>
          <w:szCs w:val="22"/>
          <w:lang w:val="af-ZA"/>
        </w:rPr>
        <w:t>156.1</w:t>
      </w:r>
      <w:r w:rsidRPr="009070BD">
        <w:rPr>
          <w:rFonts w:cs="Sylfaen"/>
          <w:b w:val="0"/>
          <w:szCs w:val="22"/>
          <w:lang w:val="hy-AM"/>
        </w:rPr>
        <w:t xml:space="preserve"> մլն</w:t>
      </w:r>
      <w:r w:rsidRPr="009070BD">
        <w:rPr>
          <w:rFonts w:cs="Sylfaen"/>
          <w:b w:val="0"/>
          <w:szCs w:val="22"/>
          <w:lang w:val="af-ZA"/>
        </w:rPr>
        <w:t xml:space="preserve"> </w:t>
      </w:r>
      <w:r w:rsidRPr="009070BD">
        <w:rPr>
          <w:rFonts w:cs="Sylfaen"/>
          <w:b w:val="0"/>
          <w:szCs w:val="22"/>
          <w:lang w:val="hy-AM"/>
        </w:rPr>
        <w:t>դրամով</w:t>
      </w:r>
      <w:r w:rsidRPr="009070BD">
        <w:rPr>
          <w:rFonts w:cs="Sylfaen"/>
          <w:b w:val="0"/>
          <w:szCs w:val="22"/>
          <w:lang w:val="af-ZA"/>
        </w:rPr>
        <w:t xml:space="preserve"> </w:t>
      </w:r>
      <w:r w:rsidRPr="009070BD">
        <w:rPr>
          <w:rFonts w:cs="Sylfaen"/>
          <w:b w:val="0"/>
          <w:szCs w:val="22"/>
          <w:lang w:val="hy-AM"/>
        </w:rPr>
        <w:t>պայմանավորված</w:t>
      </w:r>
      <w:r w:rsidRPr="009070BD">
        <w:rPr>
          <w:rFonts w:cs="Sylfaen"/>
          <w:b w:val="0"/>
          <w:szCs w:val="22"/>
          <w:lang w:val="af-ZA"/>
        </w:rPr>
        <w:t xml:space="preserve"> </w:t>
      </w:r>
      <w:r w:rsidRPr="009070BD">
        <w:rPr>
          <w:b w:val="0"/>
          <w:szCs w:val="22"/>
          <w:lang w:val="af-ZA"/>
        </w:rPr>
        <w:t>է կենսաթոշակառուների թվաքանակի փոփոխությամբ</w:t>
      </w:r>
      <w:r w:rsidRPr="009070BD">
        <w:rPr>
          <w:b w:val="0"/>
          <w:szCs w:val="22"/>
          <w:lang w:val="hy-AM"/>
        </w:rPr>
        <w:t>` 202</w:t>
      </w:r>
      <w:r w:rsidRPr="009070BD">
        <w:rPr>
          <w:b w:val="0"/>
          <w:szCs w:val="22"/>
          <w:lang w:val="af-ZA"/>
        </w:rPr>
        <w:t>1</w:t>
      </w:r>
      <w:r w:rsidRPr="009070BD">
        <w:rPr>
          <w:b w:val="0"/>
          <w:szCs w:val="22"/>
          <w:lang w:val="hy-AM"/>
        </w:rPr>
        <w:t xml:space="preserve"> թվականին կանխատեսվում է միջին տարեկան </w:t>
      </w:r>
      <w:r w:rsidRPr="009070BD">
        <w:rPr>
          <w:b w:val="0"/>
          <w:szCs w:val="22"/>
          <w:lang w:val="af-ZA"/>
        </w:rPr>
        <w:t xml:space="preserve">467 151 շահառու </w:t>
      </w:r>
      <w:r w:rsidRPr="009070BD">
        <w:rPr>
          <w:b w:val="0"/>
          <w:szCs w:val="22"/>
          <w:lang w:val="hy-AM"/>
        </w:rPr>
        <w:t>20</w:t>
      </w:r>
      <w:r w:rsidRPr="009070BD">
        <w:rPr>
          <w:b w:val="0"/>
          <w:szCs w:val="22"/>
          <w:lang w:val="af-ZA"/>
        </w:rPr>
        <w:t>20</w:t>
      </w:r>
      <w:r w:rsidRPr="009070BD">
        <w:rPr>
          <w:b w:val="0"/>
          <w:szCs w:val="22"/>
          <w:lang w:val="hy-AM"/>
        </w:rPr>
        <w:t xml:space="preserve"> թվականի </w:t>
      </w:r>
      <w:r w:rsidRPr="009070BD">
        <w:rPr>
          <w:rFonts w:cs="Sylfaen"/>
          <w:b w:val="0"/>
          <w:szCs w:val="22"/>
          <w:lang w:val="af-ZA"/>
        </w:rPr>
        <w:t>468</w:t>
      </w:r>
      <w:r w:rsidRPr="009070BD">
        <w:rPr>
          <w:rFonts w:ascii="Calibri" w:hAnsi="Calibri" w:cs="Calibri"/>
          <w:b w:val="0"/>
          <w:szCs w:val="22"/>
          <w:lang w:val="af-ZA"/>
        </w:rPr>
        <w:t> </w:t>
      </w:r>
      <w:r w:rsidRPr="009070BD">
        <w:rPr>
          <w:rFonts w:cs="Sylfaen"/>
          <w:b w:val="0"/>
          <w:szCs w:val="22"/>
          <w:lang w:val="af-ZA"/>
        </w:rPr>
        <w:t xml:space="preserve">761 </w:t>
      </w:r>
      <w:r w:rsidRPr="009070BD">
        <w:rPr>
          <w:b w:val="0"/>
          <w:szCs w:val="22"/>
          <w:lang w:val="af-ZA"/>
        </w:rPr>
        <w:t>շահառուի</w:t>
      </w:r>
      <w:r w:rsidRPr="009070BD">
        <w:rPr>
          <w:b w:val="0"/>
          <w:szCs w:val="22"/>
          <w:lang w:val="hy-AM"/>
        </w:rPr>
        <w:t xml:space="preserve"> դիմաց՝</w:t>
      </w:r>
      <w:r w:rsidRPr="009070BD">
        <w:rPr>
          <w:b w:val="0"/>
          <w:szCs w:val="22"/>
          <w:lang w:val="af-ZA"/>
        </w:rPr>
        <w:t xml:space="preserve"> կենսաթոշակի միջին ամսական չափի պահպանման պայմաններում:</w:t>
      </w:r>
    </w:p>
    <w:p w:rsidR="00500235" w:rsidRPr="009070BD" w:rsidRDefault="00500235" w:rsidP="007730AA">
      <w:pPr>
        <w:spacing w:before="0" w:line="276" w:lineRule="auto"/>
        <w:rPr>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ՀՀ օրենքներով նշանակված կենսաթոշակներ</w:t>
      </w:r>
      <w:r w:rsidRPr="009070BD">
        <w:rPr>
          <w:b w:val="0"/>
          <w:szCs w:val="22"/>
          <w:lang w:val="pt-BR"/>
        </w:rPr>
        <w:t>»</w:t>
      </w:r>
      <w:r w:rsidRPr="009070BD">
        <w:rPr>
          <w:rFonts w:cs="Sylfaen"/>
          <w:b w:val="0"/>
          <w:szCs w:val="22"/>
          <w:lang w:val="af-ZA"/>
        </w:rPr>
        <w:t xml:space="preserve"> միջոցառմամբ</w:t>
      </w:r>
      <w:r w:rsidRPr="009070BD">
        <w:rPr>
          <w:rFonts w:cs="Sylfaen"/>
          <w:b w:val="0"/>
          <w:szCs w:val="22"/>
          <w:lang w:val="hy-AM"/>
        </w:rPr>
        <w:t xml:space="preserve"> նախատեսվում</w:t>
      </w:r>
      <w:r w:rsidRPr="009070BD">
        <w:rPr>
          <w:rFonts w:cs="Sylfaen"/>
          <w:b w:val="0"/>
          <w:szCs w:val="22"/>
          <w:lang w:val="af-ZA"/>
        </w:rPr>
        <w:t xml:space="preserve"> </w:t>
      </w:r>
      <w:r w:rsidRPr="009070BD">
        <w:rPr>
          <w:rFonts w:cs="Sylfaen"/>
          <w:b w:val="0"/>
          <w:szCs w:val="22"/>
          <w:lang w:val="hy-AM"/>
        </w:rPr>
        <w:t xml:space="preserve">է </w:t>
      </w:r>
      <w:r w:rsidRPr="009070BD">
        <w:rPr>
          <w:rFonts w:cs="Sylfaen"/>
          <w:b w:val="0"/>
          <w:szCs w:val="22"/>
          <w:lang w:val="af-ZA"/>
        </w:rPr>
        <w:t>3</w:t>
      </w:r>
      <w:r w:rsidRPr="009070BD">
        <w:rPr>
          <w:rFonts w:ascii="Calibri" w:hAnsi="Calibri" w:cs="Calibri"/>
          <w:b w:val="0"/>
          <w:szCs w:val="22"/>
          <w:lang w:val="af-ZA"/>
        </w:rPr>
        <w:t> </w:t>
      </w:r>
      <w:r w:rsidRPr="009070BD">
        <w:rPr>
          <w:rFonts w:cs="Sylfaen"/>
          <w:b w:val="0"/>
          <w:szCs w:val="22"/>
          <w:lang w:val="af-ZA"/>
        </w:rPr>
        <w:t xml:space="preserve">009.9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դրամի</w:t>
      </w:r>
      <w:r w:rsidRPr="009070BD">
        <w:rPr>
          <w:rFonts w:cs="Sylfaen"/>
          <w:b w:val="0"/>
          <w:szCs w:val="22"/>
          <w:lang w:val="af-ZA"/>
        </w:rPr>
        <w:t xml:space="preserve"> </w:t>
      </w:r>
      <w:r w:rsidRPr="009070BD">
        <w:rPr>
          <w:rFonts w:cs="Sylfaen"/>
          <w:b w:val="0"/>
          <w:szCs w:val="22"/>
          <w:lang w:val="hy-AM"/>
        </w:rPr>
        <w:t>չափով</w:t>
      </w:r>
      <w:r w:rsidRPr="009070BD">
        <w:rPr>
          <w:rFonts w:cs="Sylfaen"/>
          <w:b w:val="0"/>
          <w:szCs w:val="22"/>
          <w:lang w:val="af-ZA"/>
        </w:rPr>
        <w:t xml:space="preserve"> </w:t>
      </w:r>
      <w:r w:rsidRPr="009070BD">
        <w:rPr>
          <w:rFonts w:cs="Sylfaen"/>
          <w:b w:val="0"/>
          <w:szCs w:val="22"/>
          <w:lang w:val="hy-AM"/>
        </w:rPr>
        <w:t>ծախս</w:t>
      </w:r>
      <w:r w:rsidRPr="009070BD">
        <w:rPr>
          <w:b w:val="0"/>
          <w:szCs w:val="22"/>
          <w:lang w:val="af-ZA"/>
        </w:rPr>
        <w:t xml:space="preserve"> (2020 </w:t>
      </w:r>
      <w:r w:rsidRPr="009070BD">
        <w:rPr>
          <w:rFonts w:cs="Sylfaen"/>
          <w:b w:val="0"/>
          <w:szCs w:val="22"/>
          <w:lang w:val="hy-AM"/>
        </w:rPr>
        <w:t>թվականին</w:t>
      </w:r>
      <w:r w:rsidRPr="009070BD">
        <w:rPr>
          <w:b w:val="0"/>
          <w:szCs w:val="22"/>
          <w:lang w:val="af-ZA"/>
        </w:rPr>
        <w:t xml:space="preserve">` </w:t>
      </w:r>
      <w:r w:rsidRPr="009070BD">
        <w:rPr>
          <w:rFonts w:cs="Sylfaen"/>
          <w:b w:val="0"/>
          <w:szCs w:val="22"/>
          <w:lang w:val="hy-AM"/>
        </w:rPr>
        <w:t>2 959.5 մլն</w:t>
      </w:r>
      <w:r w:rsidRPr="009070BD">
        <w:rPr>
          <w:rFonts w:cs="Sylfaen"/>
          <w:b w:val="0"/>
          <w:szCs w:val="22"/>
          <w:lang w:val="af-ZA"/>
        </w:rPr>
        <w:t xml:space="preserve"> </w:t>
      </w:r>
      <w:r w:rsidRPr="009070BD">
        <w:rPr>
          <w:rFonts w:cs="Sylfaen"/>
          <w:b w:val="0"/>
          <w:szCs w:val="22"/>
          <w:lang w:val="hy-AM"/>
        </w:rPr>
        <w:t>դրամ</w:t>
      </w:r>
      <w:r w:rsidRPr="009070BD">
        <w:rPr>
          <w:b w:val="0"/>
          <w:szCs w:val="22"/>
          <w:lang w:val="af-ZA"/>
        </w:rPr>
        <w:t xml:space="preserve">): </w:t>
      </w:r>
      <w:r w:rsidRPr="009070BD">
        <w:rPr>
          <w:rFonts w:cs="Sylfaen"/>
          <w:b w:val="0"/>
          <w:szCs w:val="22"/>
          <w:lang w:val="hy-AM"/>
        </w:rPr>
        <w:t>Ծախսերը</w:t>
      </w:r>
      <w:r w:rsidRPr="009070BD">
        <w:rPr>
          <w:rFonts w:cs="Sylfaen"/>
          <w:b w:val="0"/>
          <w:szCs w:val="22"/>
          <w:lang w:val="af-ZA"/>
        </w:rPr>
        <w:t xml:space="preserve"> </w:t>
      </w:r>
      <w:r w:rsidRPr="009070BD">
        <w:rPr>
          <w:b w:val="0"/>
          <w:szCs w:val="22"/>
          <w:lang w:val="hy-AM"/>
        </w:rPr>
        <w:t>աճում</w:t>
      </w:r>
      <w:r w:rsidRPr="009070BD">
        <w:rPr>
          <w:b w:val="0"/>
          <w:szCs w:val="22"/>
          <w:lang w:val="af-ZA"/>
        </w:rPr>
        <w:t xml:space="preserve"> են 50.5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դրամով</w:t>
      </w:r>
      <w:r w:rsidRPr="009070BD">
        <w:rPr>
          <w:rFonts w:cs="Sylfaen"/>
          <w:b w:val="0"/>
          <w:szCs w:val="22"/>
          <w:lang w:val="af-ZA"/>
        </w:rPr>
        <w:t xml:space="preserve">, </w:t>
      </w:r>
      <w:r w:rsidRPr="009070BD">
        <w:rPr>
          <w:rFonts w:cs="Sylfaen"/>
          <w:b w:val="0"/>
          <w:szCs w:val="22"/>
          <w:lang w:val="hy-AM"/>
        </w:rPr>
        <w:t>որը</w:t>
      </w:r>
      <w:r w:rsidRPr="009070BD">
        <w:rPr>
          <w:rFonts w:cs="Sylfaen"/>
          <w:b w:val="0"/>
          <w:szCs w:val="22"/>
          <w:lang w:val="af-ZA"/>
        </w:rPr>
        <w:t xml:space="preserve"> </w:t>
      </w:r>
      <w:r w:rsidRPr="009070BD">
        <w:rPr>
          <w:b w:val="0"/>
          <w:szCs w:val="22"/>
          <w:lang w:val="af-ZA"/>
        </w:rPr>
        <w:t xml:space="preserve">պայմանավորված է կենսաթոշակառուների թվաքանակի </w:t>
      </w:r>
      <w:r w:rsidRPr="009070BD">
        <w:rPr>
          <w:b w:val="0"/>
          <w:szCs w:val="22"/>
          <w:lang w:val="hy-AM"/>
        </w:rPr>
        <w:t>աճով` 202</w:t>
      </w:r>
      <w:r w:rsidRPr="009070BD">
        <w:rPr>
          <w:b w:val="0"/>
          <w:szCs w:val="22"/>
          <w:lang w:val="af-ZA"/>
        </w:rPr>
        <w:t>1</w:t>
      </w:r>
      <w:r w:rsidRPr="009070BD">
        <w:rPr>
          <w:b w:val="0"/>
          <w:szCs w:val="22"/>
          <w:lang w:val="hy-AM"/>
        </w:rPr>
        <w:t xml:space="preserve"> թվականին կանխատեսվում է միջին տարեկան </w:t>
      </w:r>
      <w:r w:rsidRPr="009070BD">
        <w:rPr>
          <w:b w:val="0"/>
          <w:szCs w:val="22"/>
          <w:lang w:val="af-ZA"/>
        </w:rPr>
        <w:t xml:space="preserve">730 շահառու </w:t>
      </w:r>
      <w:r w:rsidRPr="009070BD">
        <w:rPr>
          <w:b w:val="0"/>
          <w:szCs w:val="22"/>
          <w:lang w:val="hy-AM"/>
        </w:rPr>
        <w:t>20</w:t>
      </w:r>
      <w:r w:rsidRPr="009070BD">
        <w:rPr>
          <w:b w:val="0"/>
          <w:szCs w:val="22"/>
          <w:lang w:val="af-ZA"/>
        </w:rPr>
        <w:t>20</w:t>
      </w:r>
      <w:r w:rsidRPr="009070BD">
        <w:rPr>
          <w:b w:val="0"/>
          <w:szCs w:val="22"/>
          <w:lang w:val="hy-AM"/>
        </w:rPr>
        <w:t xml:space="preserve"> թվականի </w:t>
      </w:r>
      <w:r w:rsidRPr="009070BD">
        <w:rPr>
          <w:b w:val="0"/>
          <w:szCs w:val="22"/>
          <w:lang w:val="af-ZA"/>
        </w:rPr>
        <w:t>720</w:t>
      </w:r>
      <w:r w:rsidRPr="009070BD">
        <w:rPr>
          <w:b w:val="0"/>
          <w:szCs w:val="22"/>
          <w:lang w:val="hy-AM"/>
        </w:rPr>
        <w:t xml:space="preserve"> </w:t>
      </w:r>
      <w:r w:rsidRPr="009070BD">
        <w:rPr>
          <w:b w:val="0"/>
          <w:szCs w:val="22"/>
          <w:lang w:val="af-ZA"/>
        </w:rPr>
        <w:t>շահառուի</w:t>
      </w:r>
      <w:r w:rsidRPr="009070BD">
        <w:rPr>
          <w:b w:val="0"/>
          <w:szCs w:val="22"/>
          <w:lang w:val="hy-AM"/>
        </w:rPr>
        <w:t xml:space="preserve"> դիմաց՝</w:t>
      </w:r>
      <w:r w:rsidRPr="009070BD">
        <w:rPr>
          <w:b w:val="0"/>
          <w:szCs w:val="22"/>
          <w:lang w:val="af-ZA"/>
        </w:rPr>
        <w:t xml:space="preserve"> կենսաթոշակի միջին ամսական չափի պահպանման պայմաններում:</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Կուտակային հատկացումներ մասնակցի կենսաթոշակային հաշվին</w:t>
      </w:r>
      <w:r w:rsidRPr="009070BD">
        <w:rPr>
          <w:b w:val="0"/>
          <w:szCs w:val="22"/>
          <w:lang w:val="pt-BR"/>
        </w:rPr>
        <w:t>»</w:t>
      </w:r>
      <w:r w:rsidRPr="009070BD">
        <w:rPr>
          <w:rFonts w:cs="Sylfaen"/>
          <w:b w:val="0"/>
          <w:szCs w:val="22"/>
          <w:lang w:val="af-ZA"/>
        </w:rPr>
        <w:t xml:space="preserve"> միջոցառման գծով նախատեսվում է ծախս 70 007.6 մլն դրամի չափով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 xml:space="preserve">): </w:t>
      </w:r>
    </w:p>
    <w:p w:rsidR="00500235" w:rsidRPr="009070BD" w:rsidRDefault="00500235" w:rsidP="007730AA">
      <w:pPr>
        <w:spacing w:before="0" w:line="276" w:lineRule="auto"/>
        <w:ind w:firstLine="720"/>
        <w:rPr>
          <w:rFonts w:cs="Sylfaen"/>
          <w:b w:val="0"/>
          <w:szCs w:val="22"/>
          <w:lang w:val="hy-AM"/>
        </w:rPr>
      </w:pPr>
      <w:r w:rsidRPr="009070BD">
        <w:rPr>
          <w:rFonts w:cs="Sylfaen"/>
          <w:b w:val="0"/>
          <w:szCs w:val="22"/>
          <w:lang w:val="hy-AM"/>
        </w:rPr>
        <w:t>Հաշմանդամություն ունեցող անձանց աջակցություն</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Հաշմանդամություն ունեցող անձանց աջակցող միջոցների վերանորոգում</w:t>
      </w:r>
      <w:r w:rsidRPr="009070BD">
        <w:rPr>
          <w:b w:val="0"/>
          <w:szCs w:val="22"/>
          <w:lang w:val="pt-BR"/>
        </w:rPr>
        <w:t>»</w:t>
      </w:r>
      <w:r w:rsidRPr="009070BD">
        <w:rPr>
          <w:rFonts w:cs="Sylfaen"/>
          <w:b w:val="0"/>
          <w:szCs w:val="22"/>
          <w:lang w:val="af-ZA"/>
        </w:rPr>
        <w:t xml:space="preserve"> միջոցառման</w:t>
      </w:r>
      <w:r w:rsidRPr="009070BD">
        <w:rPr>
          <w:rFonts w:cs="Sylfaen"/>
          <w:b w:val="0"/>
          <w:szCs w:val="22"/>
          <w:lang w:val="hy-AM"/>
        </w:rPr>
        <w:t xml:space="preserve"> գծով</w:t>
      </w:r>
      <w:r w:rsidRPr="009070BD">
        <w:rPr>
          <w:rFonts w:cs="Sylfaen"/>
          <w:b w:val="0"/>
          <w:szCs w:val="22"/>
          <w:lang w:val="af-ZA"/>
        </w:rPr>
        <w:t xml:space="preserve"> </w:t>
      </w:r>
      <w:r w:rsidRPr="009070BD">
        <w:rPr>
          <w:rFonts w:cs="Sylfaen"/>
          <w:b w:val="0"/>
          <w:szCs w:val="22"/>
          <w:lang w:val="hy-AM"/>
        </w:rPr>
        <w:t xml:space="preserve">նախատեսվում է ծախս </w:t>
      </w:r>
      <w:r w:rsidRPr="009070BD">
        <w:rPr>
          <w:b w:val="0"/>
          <w:szCs w:val="22"/>
          <w:lang w:val="hy-AM"/>
        </w:rPr>
        <w:t xml:space="preserve">8.1 </w:t>
      </w:r>
      <w:r w:rsidRPr="009070BD">
        <w:rPr>
          <w:rFonts w:cs="Sylfaen"/>
          <w:b w:val="0"/>
          <w:szCs w:val="22"/>
          <w:lang w:val="hy-AM"/>
        </w:rPr>
        <w:t>մլն դրամի չափով</w:t>
      </w:r>
      <w:r w:rsidRPr="009070BD">
        <w:rPr>
          <w:b w:val="0"/>
          <w:szCs w:val="22"/>
          <w:lang w:val="hy-AM"/>
        </w:rPr>
        <w:t xml:space="preserve"> </w:t>
      </w:r>
      <w:r w:rsidRPr="009070BD">
        <w:rPr>
          <w:rFonts w:cs="Sylfaen"/>
          <w:b w:val="0"/>
          <w:szCs w:val="22"/>
          <w:lang w:val="af-ZA"/>
        </w:rPr>
        <w:t xml:space="preserve">(պահպանվել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 xml:space="preserve">): </w:t>
      </w:r>
    </w:p>
    <w:p w:rsidR="00500235" w:rsidRPr="009070BD" w:rsidRDefault="00500235" w:rsidP="007730AA">
      <w:pPr>
        <w:spacing w:before="0" w:line="276" w:lineRule="auto"/>
        <w:rPr>
          <w:b w:val="0"/>
          <w:szCs w:val="22"/>
          <w:lang w:val="hy-AM"/>
        </w:rPr>
      </w:pPr>
      <w:r w:rsidRPr="009070BD">
        <w:rPr>
          <w:rFonts w:cs="Sylfaen"/>
          <w:b w:val="0"/>
          <w:szCs w:val="22"/>
          <w:lang w:val="af-ZA"/>
        </w:rPr>
        <w:t>-</w:t>
      </w:r>
      <w:r w:rsidRPr="009070BD">
        <w:rPr>
          <w:b w:val="0"/>
          <w:szCs w:val="22"/>
          <w:lang w:val="pt-BR"/>
        </w:rPr>
        <w:t>«</w:t>
      </w:r>
      <w:r w:rsidRPr="009070BD">
        <w:rPr>
          <w:b w:val="0"/>
          <w:szCs w:val="22"/>
          <w:lang w:val="hy-AM"/>
        </w:rPr>
        <w:t>Պետական հավաստագրերով աջակցող միջոցների տրամադրում</w:t>
      </w:r>
      <w:r w:rsidRPr="009070BD">
        <w:rPr>
          <w:b w:val="0"/>
          <w:szCs w:val="22"/>
          <w:lang w:val="pt-BR"/>
        </w:rPr>
        <w:t>»</w:t>
      </w:r>
      <w:r w:rsidRPr="009070BD">
        <w:rPr>
          <w:rFonts w:cs="Sylfaen"/>
          <w:b w:val="0"/>
          <w:szCs w:val="22"/>
          <w:lang w:val="af-ZA"/>
        </w:rPr>
        <w:t xml:space="preserve"> միջոցառման</w:t>
      </w:r>
      <w:r w:rsidRPr="009070BD">
        <w:rPr>
          <w:rFonts w:cs="Sylfaen"/>
          <w:b w:val="0"/>
          <w:szCs w:val="22"/>
          <w:lang w:val="hy-AM"/>
        </w:rPr>
        <w:t xml:space="preserve"> ծախսը</w:t>
      </w:r>
      <w:r w:rsidRPr="009070BD">
        <w:rPr>
          <w:rFonts w:cs="Sylfaen"/>
          <w:b w:val="0"/>
          <w:szCs w:val="22"/>
          <w:lang w:val="af-ZA"/>
        </w:rPr>
        <w:t xml:space="preserve"> </w:t>
      </w:r>
      <w:r w:rsidRPr="009070BD">
        <w:rPr>
          <w:rFonts w:cs="Sylfaen"/>
          <w:b w:val="0"/>
          <w:szCs w:val="22"/>
          <w:lang w:val="hy-AM"/>
        </w:rPr>
        <w:t>կազ</w:t>
      </w:r>
      <w:r w:rsidRPr="009070BD">
        <w:rPr>
          <w:rFonts w:cs="Sylfaen"/>
          <w:b w:val="0"/>
          <w:szCs w:val="22"/>
          <w:lang w:val="af-ZA"/>
        </w:rPr>
        <w:softHyphen/>
      </w:r>
      <w:r w:rsidRPr="009070BD">
        <w:rPr>
          <w:rFonts w:cs="Sylfaen"/>
          <w:b w:val="0"/>
          <w:szCs w:val="22"/>
          <w:lang w:val="hy-AM"/>
        </w:rPr>
        <w:t>մում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886.7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w:t>
      </w:r>
      <w:r w:rsidRPr="009070BD">
        <w:rPr>
          <w:rFonts w:cs="Sylfaen"/>
          <w:b w:val="0"/>
          <w:szCs w:val="22"/>
          <w:lang w:val="af-ZA"/>
        </w:rPr>
        <w:t xml:space="preserve"> </w:t>
      </w:r>
      <w:r w:rsidRPr="009070BD">
        <w:rPr>
          <w:b w:val="0"/>
          <w:szCs w:val="22"/>
          <w:lang w:val="af-ZA"/>
        </w:rPr>
        <w:t xml:space="preserve">(2020 </w:t>
      </w:r>
      <w:r w:rsidRPr="009070BD">
        <w:rPr>
          <w:rFonts w:cs="Sylfaen"/>
          <w:b w:val="0"/>
          <w:szCs w:val="22"/>
          <w:lang w:val="hy-AM"/>
        </w:rPr>
        <w:t>թվականին</w:t>
      </w:r>
      <w:r w:rsidRPr="009070BD">
        <w:rPr>
          <w:b w:val="0"/>
          <w:szCs w:val="22"/>
          <w:lang w:val="af-ZA"/>
        </w:rPr>
        <w:t xml:space="preserve">` </w:t>
      </w:r>
      <w:r w:rsidRPr="009070BD">
        <w:rPr>
          <w:rFonts w:cs="Sylfaen"/>
          <w:b w:val="0"/>
          <w:szCs w:val="22"/>
          <w:lang w:val="af-ZA"/>
        </w:rPr>
        <w:t xml:space="preserve">952.8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w:t>
      </w:r>
      <w:r w:rsidRPr="009070BD">
        <w:rPr>
          <w:b w:val="0"/>
          <w:szCs w:val="22"/>
          <w:lang w:val="af-ZA"/>
        </w:rPr>
        <w:t>)</w:t>
      </w:r>
      <w:r w:rsidRPr="009070BD">
        <w:rPr>
          <w:rFonts w:cs="Sylfaen"/>
          <w:b w:val="0"/>
          <w:szCs w:val="22"/>
          <w:lang w:val="af-ZA"/>
        </w:rPr>
        <w:t>: 2021 թվականին կանխատեսվում է տրամադրել 13</w:t>
      </w:r>
      <w:r w:rsidRPr="009070BD">
        <w:rPr>
          <w:rFonts w:ascii="Calibri" w:hAnsi="Calibri" w:cs="Calibri"/>
          <w:b w:val="0"/>
          <w:szCs w:val="22"/>
          <w:lang w:val="af-ZA"/>
        </w:rPr>
        <w:t> </w:t>
      </w:r>
      <w:r w:rsidRPr="009070BD">
        <w:rPr>
          <w:rFonts w:cs="Sylfaen"/>
          <w:b w:val="0"/>
          <w:szCs w:val="22"/>
          <w:lang w:val="af-ZA"/>
        </w:rPr>
        <w:t>311 պ</w:t>
      </w:r>
      <w:r w:rsidRPr="009070BD">
        <w:rPr>
          <w:b w:val="0"/>
          <w:szCs w:val="22"/>
          <w:lang w:val="hy-AM"/>
        </w:rPr>
        <w:t>ետական հավաստագիր</w:t>
      </w:r>
      <w:r w:rsidRPr="009070BD">
        <w:rPr>
          <w:rFonts w:cs="Sylfaen"/>
          <w:b w:val="0"/>
          <w:szCs w:val="22"/>
          <w:lang w:val="af-ZA"/>
        </w:rPr>
        <w:t xml:space="preserve"> 2020 թվականի 13</w:t>
      </w:r>
      <w:r w:rsidRPr="009070BD">
        <w:rPr>
          <w:rFonts w:ascii="Calibri" w:hAnsi="Calibri" w:cs="Calibri"/>
          <w:b w:val="0"/>
          <w:szCs w:val="22"/>
          <w:lang w:val="af-ZA"/>
        </w:rPr>
        <w:t> </w:t>
      </w:r>
      <w:r w:rsidRPr="009070BD">
        <w:rPr>
          <w:rFonts w:cs="Sylfaen"/>
          <w:b w:val="0"/>
          <w:szCs w:val="22"/>
          <w:lang w:val="af-ZA"/>
        </w:rPr>
        <w:t>822 դիմաց</w:t>
      </w:r>
      <w:r w:rsidRPr="009070BD">
        <w:rPr>
          <w:b w:val="0"/>
          <w:szCs w:val="22"/>
          <w:lang w:val="hy-AM"/>
        </w:rPr>
        <w:t>:</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Մտավոր հաշմանդամություն ունեցող անձանց ցերեկային սոցիալ-վերականգնողական ծառայություններ</w:t>
      </w:r>
      <w:r w:rsidRPr="009070BD">
        <w:rPr>
          <w:b w:val="0"/>
          <w:szCs w:val="22"/>
          <w:lang w:val="pt-BR"/>
        </w:rPr>
        <w:t>»</w:t>
      </w:r>
      <w:r w:rsidRPr="009070BD">
        <w:rPr>
          <w:rFonts w:cs="Sylfaen"/>
          <w:b w:val="0"/>
          <w:szCs w:val="22"/>
          <w:lang w:val="af-ZA"/>
        </w:rPr>
        <w:t xml:space="preserve"> միջոցառման</w:t>
      </w:r>
      <w:r w:rsidRPr="009070BD">
        <w:rPr>
          <w:rFonts w:cs="Sylfaen"/>
          <w:b w:val="0"/>
          <w:szCs w:val="22"/>
          <w:lang w:val="hy-AM"/>
        </w:rPr>
        <w:t xml:space="preserve"> ծախսը կազ</w:t>
      </w:r>
      <w:r w:rsidRPr="009070BD">
        <w:rPr>
          <w:rFonts w:cs="Sylfaen"/>
          <w:b w:val="0"/>
          <w:szCs w:val="22"/>
          <w:lang w:val="af-ZA"/>
        </w:rPr>
        <w:softHyphen/>
      </w:r>
      <w:r w:rsidRPr="009070BD">
        <w:rPr>
          <w:rFonts w:cs="Sylfaen"/>
          <w:b w:val="0"/>
          <w:szCs w:val="22"/>
          <w:lang w:val="hy-AM"/>
        </w:rPr>
        <w:t xml:space="preserve">մում է </w:t>
      </w:r>
      <w:r w:rsidRPr="009070BD">
        <w:rPr>
          <w:rFonts w:cs="Sylfaen"/>
          <w:b w:val="0"/>
          <w:szCs w:val="22"/>
          <w:lang w:val="af-ZA"/>
        </w:rPr>
        <w:t xml:space="preserve">87.5 </w:t>
      </w:r>
      <w:r w:rsidRPr="009070BD">
        <w:rPr>
          <w:rFonts w:cs="Sylfaen"/>
          <w:b w:val="0"/>
          <w:szCs w:val="22"/>
          <w:lang w:val="hy-AM"/>
        </w:rPr>
        <w:t>մլն դրամ</w:t>
      </w:r>
      <w:r w:rsidRPr="009070BD">
        <w:rPr>
          <w:rFonts w:cs="Sylfaen"/>
          <w:b w:val="0"/>
          <w:szCs w:val="22"/>
          <w:lang w:val="af-ZA"/>
        </w:rPr>
        <w:t xml:space="preserve">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 xml:space="preserve">): </w:t>
      </w:r>
    </w:p>
    <w:p w:rsidR="00500235" w:rsidRPr="009070BD" w:rsidRDefault="00500235" w:rsidP="007730AA">
      <w:pPr>
        <w:spacing w:before="0" w:line="276" w:lineRule="auto"/>
        <w:rPr>
          <w:rFonts w:cs="Sylfaen"/>
          <w:b w:val="0"/>
          <w:szCs w:val="22"/>
          <w:lang w:val="af-ZA"/>
        </w:rPr>
      </w:pPr>
      <w:r w:rsidRPr="009070BD">
        <w:rPr>
          <w:rFonts w:cs="Sylfaen"/>
          <w:b w:val="0"/>
          <w:szCs w:val="22"/>
          <w:lang w:val="hy-AM"/>
        </w:rPr>
        <w:t>-</w:t>
      </w:r>
      <w:r w:rsidRPr="009070BD">
        <w:rPr>
          <w:b w:val="0"/>
          <w:szCs w:val="22"/>
          <w:lang w:val="pt-BR"/>
        </w:rPr>
        <w:t>«</w:t>
      </w:r>
      <w:r w:rsidRPr="009070BD">
        <w:rPr>
          <w:rFonts w:cs="Sylfaen"/>
          <w:b w:val="0"/>
          <w:szCs w:val="22"/>
          <w:lang w:val="hy-AM"/>
        </w:rPr>
        <w:t>Հաշմանդամություն ունեցող անձանց սոցիալ-հոգեբանական աջակցություն ցերեկային կենտրոնում</w:t>
      </w:r>
      <w:r w:rsidRPr="009070BD">
        <w:rPr>
          <w:b w:val="0"/>
          <w:szCs w:val="22"/>
          <w:lang w:val="pt-BR"/>
        </w:rPr>
        <w:t>»</w:t>
      </w:r>
      <w:r w:rsidRPr="009070BD">
        <w:rPr>
          <w:rFonts w:cs="Sylfaen"/>
          <w:b w:val="0"/>
          <w:szCs w:val="22"/>
          <w:lang w:val="af-ZA"/>
        </w:rPr>
        <w:t xml:space="preserve"> միջոցառմամբ</w:t>
      </w:r>
      <w:r w:rsidRPr="009070BD">
        <w:rPr>
          <w:rFonts w:cs="Sylfaen"/>
          <w:b w:val="0"/>
          <w:szCs w:val="22"/>
          <w:lang w:val="hy-AM"/>
        </w:rPr>
        <w:t xml:space="preserve"> 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w:t>
      </w:r>
      <w:r w:rsidRPr="009070BD">
        <w:rPr>
          <w:b w:val="0"/>
          <w:szCs w:val="22"/>
          <w:lang w:val="hy-AM"/>
        </w:rPr>
        <w:t>ծախս</w:t>
      </w:r>
      <w:r w:rsidRPr="009070BD">
        <w:rPr>
          <w:b w:val="0"/>
          <w:szCs w:val="22"/>
          <w:lang w:val="af-ZA"/>
        </w:rPr>
        <w:t xml:space="preserve"> </w:t>
      </w:r>
      <w:r w:rsidRPr="009070BD">
        <w:rPr>
          <w:rFonts w:cs="Sylfaen"/>
          <w:b w:val="0"/>
          <w:szCs w:val="22"/>
          <w:lang w:val="af-ZA"/>
        </w:rPr>
        <w:t xml:space="preserve">28.9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դրամի</w:t>
      </w:r>
      <w:r w:rsidRPr="009070BD">
        <w:rPr>
          <w:rFonts w:cs="Sylfaen"/>
          <w:b w:val="0"/>
          <w:szCs w:val="22"/>
          <w:lang w:val="af-ZA"/>
        </w:rPr>
        <w:t xml:space="preserve"> </w:t>
      </w:r>
      <w:r w:rsidRPr="009070BD">
        <w:rPr>
          <w:rFonts w:cs="Sylfaen"/>
          <w:b w:val="0"/>
          <w:szCs w:val="22"/>
          <w:lang w:val="hy-AM"/>
        </w:rPr>
        <w:t xml:space="preserve">չափով </w:t>
      </w:r>
      <w:r w:rsidRPr="009070BD">
        <w:rPr>
          <w:rFonts w:cs="Sylfaen"/>
          <w:b w:val="0"/>
          <w:szCs w:val="22"/>
          <w:lang w:val="af-ZA"/>
        </w:rPr>
        <w:t xml:space="preserve">(պահպանվել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 xml:space="preserve">): </w:t>
      </w:r>
    </w:p>
    <w:p w:rsidR="00500235" w:rsidRPr="009070BD" w:rsidRDefault="00500235" w:rsidP="007730AA">
      <w:pPr>
        <w:spacing w:before="0" w:line="276" w:lineRule="auto"/>
        <w:rPr>
          <w:rFonts w:cs="Sylfaen"/>
          <w:b w:val="0"/>
          <w:szCs w:val="22"/>
          <w:lang w:val="af-ZA"/>
        </w:rPr>
      </w:pPr>
      <w:r w:rsidRPr="009070BD">
        <w:rPr>
          <w:rFonts w:cs="Sylfaen"/>
          <w:b w:val="0"/>
          <w:szCs w:val="22"/>
          <w:lang w:val="hy-AM"/>
        </w:rPr>
        <w:t>-</w:t>
      </w:r>
      <w:r w:rsidRPr="009070BD">
        <w:rPr>
          <w:b w:val="0"/>
          <w:szCs w:val="22"/>
          <w:lang w:val="pt-BR"/>
        </w:rPr>
        <w:t>«</w:t>
      </w:r>
      <w:r w:rsidRPr="009070BD">
        <w:rPr>
          <w:rFonts w:cs="Sylfaen"/>
          <w:b w:val="0"/>
          <w:szCs w:val="22"/>
          <w:lang w:val="hy-AM"/>
        </w:rPr>
        <w:t>Աուտիզմ ունեցող անձանց սոցիալ-հոգեբանական աջակցություն ցերեկային կենտրոնում</w:t>
      </w:r>
      <w:r w:rsidRPr="009070BD">
        <w:rPr>
          <w:b w:val="0"/>
          <w:szCs w:val="22"/>
          <w:lang w:val="pt-BR"/>
        </w:rPr>
        <w:t>»</w:t>
      </w:r>
      <w:r w:rsidRPr="009070BD">
        <w:rPr>
          <w:rFonts w:cs="Sylfaen"/>
          <w:b w:val="0"/>
          <w:szCs w:val="22"/>
          <w:lang w:val="af-ZA"/>
        </w:rPr>
        <w:t xml:space="preserve"> միջոցառմամբ </w:t>
      </w:r>
      <w:r w:rsidRPr="009070BD">
        <w:rPr>
          <w:rFonts w:cs="Sylfaen"/>
          <w:b w:val="0"/>
          <w:szCs w:val="22"/>
          <w:lang w:val="hy-AM"/>
        </w:rPr>
        <w:t>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w:t>
      </w:r>
      <w:r w:rsidRPr="009070BD">
        <w:rPr>
          <w:b w:val="0"/>
          <w:szCs w:val="22"/>
          <w:lang w:val="hy-AM"/>
        </w:rPr>
        <w:t>ծախս</w:t>
      </w:r>
      <w:r w:rsidRPr="009070BD">
        <w:rPr>
          <w:b w:val="0"/>
          <w:szCs w:val="22"/>
          <w:lang w:val="af-ZA"/>
        </w:rPr>
        <w:t xml:space="preserve"> </w:t>
      </w:r>
      <w:r w:rsidRPr="009070BD">
        <w:rPr>
          <w:rFonts w:cs="Sylfaen"/>
          <w:b w:val="0"/>
          <w:szCs w:val="22"/>
          <w:lang w:val="af-ZA"/>
        </w:rPr>
        <w:t xml:space="preserve">85.0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դրամի</w:t>
      </w:r>
      <w:r w:rsidRPr="009070BD">
        <w:rPr>
          <w:rFonts w:cs="Sylfaen"/>
          <w:b w:val="0"/>
          <w:szCs w:val="22"/>
          <w:lang w:val="af-ZA"/>
        </w:rPr>
        <w:t xml:space="preserve"> </w:t>
      </w:r>
      <w:r w:rsidRPr="009070BD">
        <w:rPr>
          <w:rFonts w:cs="Sylfaen"/>
          <w:b w:val="0"/>
          <w:szCs w:val="22"/>
          <w:lang w:val="hy-AM"/>
        </w:rPr>
        <w:t xml:space="preserve">չափով </w:t>
      </w:r>
      <w:r w:rsidRPr="009070BD">
        <w:rPr>
          <w:rFonts w:cs="Sylfaen"/>
          <w:b w:val="0"/>
          <w:szCs w:val="22"/>
          <w:lang w:val="af-ZA"/>
        </w:rPr>
        <w:t xml:space="preserve">(պահպանվել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 xml:space="preserve">): </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«Հաշմանդամություն ունեցող անձանց մատուցվող ծառայությունների ծրագրի իրականացման ապահովում»</w:t>
      </w:r>
      <w:r w:rsidRPr="009070BD">
        <w:rPr>
          <w:rFonts w:cs="Sylfaen"/>
          <w:b w:val="0"/>
          <w:szCs w:val="22"/>
          <w:lang w:val="af-ZA"/>
        </w:rPr>
        <w:t xml:space="preserve"> միջոցառման գծով նախատեսվում է ծախս 3.1 մլն դրամի չափով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 xml:space="preserve">): </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 xml:space="preserve">-«Տեսողության խնդիրներ ունեցող անձանց սոցիալ-հոգեբանական վերականգնում» միջոցառման գծով նախատեսվում է ծախս 12.4 մլն դրամի չափով: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 xml:space="preserve">): </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Մտավոր խնդիրներ ունեցող անձանց շուրջօրյա խնամքի ծառայություններ</w:t>
      </w:r>
      <w:r w:rsidRPr="009070BD">
        <w:rPr>
          <w:b w:val="0"/>
          <w:szCs w:val="22"/>
          <w:lang w:val="pt-BR"/>
        </w:rPr>
        <w:t>»</w:t>
      </w:r>
      <w:r w:rsidRPr="009070BD">
        <w:rPr>
          <w:rFonts w:cs="Sylfaen"/>
          <w:b w:val="0"/>
          <w:szCs w:val="22"/>
          <w:lang w:val="af-ZA"/>
        </w:rPr>
        <w:t xml:space="preserve"> միջոցառման</w:t>
      </w:r>
      <w:r w:rsidRPr="009070BD">
        <w:rPr>
          <w:rFonts w:cs="Sylfaen"/>
          <w:b w:val="0"/>
          <w:szCs w:val="22"/>
          <w:lang w:val="hy-AM"/>
        </w:rPr>
        <w:t xml:space="preserve"> </w:t>
      </w:r>
      <w:r w:rsidRPr="009070BD">
        <w:rPr>
          <w:rFonts w:cs="Sylfaen"/>
          <w:b w:val="0"/>
          <w:szCs w:val="22"/>
          <w:lang w:val="af-ZA"/>
        </w:rPr>
        <w:t xml:space="preserve">գծով նախատեսվում է ծախս 43.8 մլն դրամի չափով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 xml:space="preserve">): </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Հոգեկան առողջության խնդիրներ ունեցող անձանց շուրջօրյա խնամքի ծառայություններ</w:t>
      </w:r>
      <w:r w:rsidRPr="009070BD">
        <w:rPr>
          <w:b w:val="0"/>
          <w:szCs w:val="22"/>
          <w:lang w:val="pt-BR"/>
        </w:rPr>
        <w:t>»</w:t>
      </w:r>
      <w:r w:rsidRPr="009070BD">
        <w:rPr>
          <w:rFonts w:cs="Sylfaen"/>
          <w:b w:val="0"/>
          <w:szCs w:val="22"/>
          <w:lang w:val="af-ZA"/>
        </w:rPr>
        <w:t xml:space="preserve"> միջոցառման գծով նախատեսվում է ծախս 37.8 մլն դրամի չափով (պահպանվել է 2020 </w:t>
      </w:r>
      <w:r w:rsidRPr="009070BD">
        <w:rPr>
          <w:rFonts w:cs="Sylfaen"/>
          <w:b w:val="0"/>
          <w:szCs w:val="22"/>
          <w:lang w:val="hy-AM"/>
        </w:rPr>
        <w:t>թվականի</w:t>
      </w:r>
      <w:r w:rsidRPr="009070BD">
        <w:rPr>
          <w:rFonts w:cs="Sylfaen"/>
          <w:b w:val="0"/>
          <w:szCs w:val="22"/>
          <w:lang w:val="af-ZA"/>
        </w:rPr>
        <w:t xml:space="preserve"> </w:t>
      </w:r>
      <w:r w:rsidRPr="009070BD">
        <w:rPr>
          <w:rFonts w:cs="Sylfaen"/>
          <w:b w:val="0"/>
          <w:szCs w:val="22"/>
          <w:lang w:val="hy-AM"/>
        </w:rPr>
        <w:t>մակարդակը</w:t>
      </w:r>
      <w:r w:rsidRPr="009070BD">
        <w:rPr>
          <w:rFonts w:cs="Sylfaen"/>
          <w:b w:val="0"/>
          <w:szCs w:val="22"/>
          <w:lang w:val="af-ZA"/>
        </w:rPr>
        <w:t>):</w:t>
      </w:r>
    </w:p>
    <w:p w:rsidR="00500235" w:rsidRPr="009070BD" w:rsidRDefault="00500235" w:rsidP="007730AA">
      <w:pPr>
        <w:spacing w:before="0" w:line="276" w:lineRule="auto"/>
        <w:ind w:firstLine="720"/>
        <w:rPr>
          <w:rFonts w:cs="Sylfaen"/>
          <w:b w:val="0"/>
          <w:szCs w:val="22"/>
          <w:lang w:val="af-ZA"/>
        </w:rPr>
      </w:pPr>
      <w:r w:rsidRPr="009070BD">
        <w:rPr>
          <w:rFonts w:cs="Sylfaen"/>
          <w:b w:val="0"/>
          <w:szCs w:val="22"/>
          <w:lang w:val="af-ZA"/>
        </w:rPr>
        <w:t>Ավանդների փոխհատուցում</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-«Մինչև 1993 թվականի հունիսի 10-ը ներդրված ավանդների դիմաց փոխհատուցման միջոցառման իրականացման ապահովում» միջոցառմանգծով նախատեսվում է ծախս 12.0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-«ՎՏԲ-Հայաստան» ՓԲԸ-ում ավանդատու հանդիսացող քաղաքացիների, որպես նախկին ԽՍՀՄ Խնայբանկի ՀԽՍՀ հանրապետական բանկում մինչև 1993 թվականի հունիսի 10-ը ներդրված դրամական ավանդների դիմաց փոխհատուցում» միջոցառման գծով ծախսը կազմում է 1 200.0 մլն դրամ (պահպանվել է 2020 թվականի մակարդակը): 2021 թվականին նախատեսվում է փոխհատուցում տրամադրել «Հայաստանի Հանրապետության 2006 թվականի պետական բյուջեի մասին</w:t>
      </w:r>
      <w:r w:rsidRPr="009070BD">
        <w:rPr>
          <w:b w:val="0"/>
          <w:szCs w:val="22"/>
          <w:lang w:val="pt-BR"/>
        </w:rPr>
        <w:t>»</w:t>
      </w:r>
      <w:r w:rsidRPr="009070BD">
        <w:rPr>
          <w:rFonts w:cs="Sylfaen"/>
          <w:b w:val="0"/>
          <w:szCs w:val="22"/>
          <w:lang w:val="af-ZA"/>
        </w:rPr>
        <w:t xml:space="preserve"> ՀՀ օրենքի N 8 հավելվածի 4-րդ կետով սահմանված սանդղակին համապատասխան` մինչև 1938 թվականի դեկտեմբերի 31-ը ներառյալ ծնված կամ Հայաստանի Հանրապետության պաշտպանության մարտական գործողությունների մասնակից կամ մարտական գործողությունների հետևանքով չօգտագործվող և հակառակորդի կողմից հողատարածքների գնդակոծման դեպքեր ունեցող` Հայաստանի Հանրապետության սահմանամերձ համայնքներում 2014 թվականի օգոստոսի 1-ի դրությամբ հաշվառված անձանց, ինչպես նաև կառավարության սահմանած այլ սոցիալական խմբերին` կառավարության սահմանած կարգով:</w:t>
      </w:r>
    </w:p>
    <w:p w:rsidR="00500235" w:rsidRPr="009070BD" w:rsidRDefault="00500235" w:rsidP="007730AA">
      <w:pPr>
        <w:spacing w:before="0" w:line="276" w:lineRule="auto"/>
        <w:ind w:firstLine="720"/>
        <w:rPr>
          <w:rFonts w:cs="Sylfaen"/>
          <w:b w:val="0"/>
          <w:szCs w:val="22"/>
          <w:lang w:val="af-ZA"/>
        </w:rPr>
      </w:pPr>
      <w:r w:rsidRPr="009070BD">
        <w:rPr>
          <w:rFonts w:cs="Sylfaen"/>
          <w:b w:val="0"/>
          <w:szCs w:val="22"/>
          <w:lang w:val="af-ZA"/>
        </w:rPr>
        <w:t>Սոցիալական ապահովություն</w:t>
      </w:r>
    </w:p>
    <w:p w:rsidR="00500235" w:rsidRPr="009070BD" w:rsidRDefault="00500235" w:rsidP="007730AA">
      <w:pPr>
        <w:spacing w:before="0" w:line="276" w:lineRule="auto"/>
        <w:rPr>
          <w:b w:val="0"/>
          <w:szCs w:val="22"/>
          <w:lang w:val="af-ZA"/>
        </w:rPr>
      </w:pPr>
      <w:r w:rsidRPr="009070BD">
        <w:rPr>
          <w:b w:val="0"/>
          <w:szCs w:val="22"/>
          <w:lang w:val="af-ZA"/>
        </w:rPr>
        <w:t>-</w:t>
      </w:r>
      <w:r w:rsidRPr="009070BD">
        <w:rPr>
          <w:b w:val="0"/>
          <w:szCs w:val="22"/>
          <w:lang w:val="pt-BR"/>
        </w:rPr>
        <w:t>«</w:t>
      </w:r>
      <w:r w:rsidRPr="009070BD">
        <w:rPr>
          <w:b w:val="0"/>
          <w:szCs w:val="22"/>
          <w:lang w:val="hy-AM"/>
        </w:rPr>
        <w:t>Ծերության, հաշմանդամության, կերակրողին կորցնելու դեպքում սոցիալական նպաստների տրամադրում</w:t>
      </w:r>
      <w:r w:rsidRPr="009070BD">
        <w:rPr>
          <w:b w:val="0"/>
          <w:szCs w:val="22"/>
          <w:lang w:val="pt-BR"/>
        </w:rPr>
        <w:t xml:space="preserve">» </w:t>
      </w:r>
      <w:r w:rsidRPr="009070BD">
        <w:rPr>
          <w:rFonts w:cs="Sylfaen"/>
          <w:b w:val="0"/>
          <w:szCs w:val="22"/>
          <w:lang w:val="af-ZA"/>
        </w:rPr>
        <w:t>միջոցառմամբ</w:t>
      </w:r>
      <w:r w:rsidRPr="009070BD">
        <w:rPr>
          <w:rFonts w:cs="Sylfaen"/>
          <w:b w:val="0"/>
          <w:szCs w:val="22"/>
          <w:lang w:val="hy-AM"/>
        </w:rPr>
        <w:t xml:space="preserve"> 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25</w:t>
      </w:r>
      <w:r w:rsidRPr="009070BD">
        <w:rPr>
          <w:rFonts w:ascii="Calibri" w:hAnsi="Calibri" w:cs="Calibri"/>
          <w:b w:val="0"/>
          <w:szCs w:val="22"/>
          <w:lang w:val="af-ZA"/>
        </w:rPr>
        <w:t> </w:t>
      </w:r>
      <w:r w:rsidRPr="009070BD">
        <w:rPr>
          <w:rFonts w:cs="Sylfaen"/>
          <w:b w:val="0"/>
          <w:szCs w:val="22"/>
          <w:lang w:val="af-ZA"/>
        </w:rPr>
        <w:t xml:space="preserve">395.4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դրամի</w:t>
      </w:r>
      <w:r w:rsidRPr="009070BD">
        <w:rPr>
          <w:rFonts w:cs="Sylfaen"/>
          <w:b w:val="0"/>
          <w:szCs w:val="22"/>
          <w:lang w:val="af-ZA"/>
        </w:rPr>
        <w:t xml:space="preserve"> </w:t>
      </w:r>
      <w:r w:rsidRPr="009070BD">
        <w:rPr>
          <w:rFonts w:cs="Sylfaen"/>
          <w:b w:val="0"/>
          <w:szCs w:val="22"/>
          <w:lang w:val="hy-AM"/>
        </w:rPr>
        <w:t>չափով</w:t>
      </w:r>
      <w:r w:rsidRPr="009070BD">
        <w:rPr>
          <w:rFonts w:cs="Sylfaen"/>
          <w:b w:val="0"/>
          <w:szCs w:val="22"/>
          <w:lang w:val="af-ZA"/>
        </w:rPr>
        <w:t xml:space="preserve"> </w:t>
      </w:r>
      <w:r w:rsidRPr="009070BD">
        <w:rPr>
          <w:rFonts w:cs="Sylfaen"/>
          <w:b w:val="0"/>
          <w:szCs w:val="22"/>
          <w:lang w:val="hy-AM"/>
        </w:rPr>
        <w:t>ծախս</w:t>
      </w:r>
      <w:r w:rsidRPr="009070BD">
        <w:rPr>
          <w:b w:val="0"/>
          <w:szCs w:val="22"/>
          <w:lang w:val="af-ZA"/>
        </w:rPr>
        <w:t xml:space="preserve"> (2020 </w:t>
      </w:r>
      <w:r w:rsidRPr="009070BD">
        <w:rPr>
          <w:rFonts w:cs="Sylfaen"/>
          <w:b w:val="0"/>
          <w:szCs w:val="22"/>
          <w:lang w:val="hy-AM"/>
        </w:rPr>
        <w:t>թվականին</w:t>
      </w:r>
      <w:r w:rsidRPr="009070BD">
        <w:rPr>
          <w:rFonts w:cs="Sylfaen"/>
          <w:b w:val="0"/>
          <w:szCs w:val="22"/>
          <w:lang w:val="af-ZA"/>
        </w:rPr>
        <w:t xml:space="preserve">` 20 640.2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w:t>
      </w:r>
      <w:r w:rsidRPr="009070BD">
        <w:rPr>
          <w:b w:val="0"/>
          <w:szCs w:val="22"/>
          <w:lang w:val="af-ZA"/>
        </w:rPr>
        <w:t xml:space="preserve">): </w:t>
      </w:r>
      <w:r w:rsidRPr="009070BD">
        <w:rPr>
          <w:rFonts w:cs="Sylfaen"/>
          <w:b w:val="0"/>
          <w:szCs w:val="22"/>
          <w:lang w:val="hy-AM"/>
        </w:rPr>
        <w:t>Ծախսերը</w:t>
      </w:r>
      <w:r w:rsidRPr="009070BD">
        <w:rPr>
          <w:b w:val="0"/>
          <w:szCs w:val="22"/>
          <w:lang w:val="af-ZA"/>
        </w:rPr>
        <w:t xml:space="preserve"> աճու</w:t>
      </w:r>
      <w:r w:rsidRPr="009070BD">
        <w:rPr>
          <w:b w:val="0"/>
          <w:szCs w:val="22"/>
          <w:lang w:val="hy-AM"/>
        </w:rPr>
        <w:t>մ</w:t>
      </w:r>
      <w:r w:rsidRPr="009070BD">
        <w:rPr>
          <w:b w:val="0"/>
          <w:szCs w:val="22"/>
          <w:lang w:val="af-ZA"/>
        </w:rPr>
        <w:t xml:space="preserve"> են 4</w:t>
      </w:r>
      <w:r w:rsidRPr="009070BD">
        <w:rPr>
          <w:rFonts w:ascii="Calibri" w:hAnsi="Calibri" w:cs="Calibri"/>
          <w:b w:val="0"/>
          <w:szCs w:val="22"/>
          <w:lang w:val="af-ZA"/>
        </w:rPr>
        <w:t> </w:t>
      </w:r>
      <w:r w:rsidRPr="009070BD">
        <w:rPr>
          <w:b w:val="0"/>
          <w:szCs w:val="22"/>
          <w:lang w:val="af-ZA"/>
        </w:rPr>
        <w:t xml:space="preserve">755.2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դրամով</w:t>
      </w:r>
      <w:r w:rsidRPr="009070BD">
        <w:rPr>
          <w:rFonts w:cs="Sylfaen"/>
          <w:b w:val="0"/>
          <w:szCs w:val="22"/>
          <w:lang w:val="af-ZA"/>
        </w:rPr>
        <w:t xml:space="preserve">, </w:t>
      </w:r>
      <w:r w:rsidRPr="009070BD">
        <w:rPr>
          <w:rFonts w:cs="Sylfaen"/>
          <w:b w:val="0"/>
          <w:szCs w:val="22"/>
          <w:lang w:val="hy-AM"/>
        </w:rPr>
        <w:t>որը</w:t>
      </w:r>
      <w:r w:rsidRPr="009070BD">
        <w:rPr>
          <w:rFonts w:cs="Sylfaen"/>
          <w:b w:val="0"/>
          <w:szCs w:val="22"/>
          <w:lang w:val="af-ZA"/>
        </w:rPr>
        <w:t xml:space="preserve"> </w:t>
      </w:r>
      <w:r w:rsidRPr="009070BD">
        <w:rPr>
          <w:rFonts w:cs="Sylfaen"/>
          <w:b w:val="0"/>
          <w:szCs w:val="22"/>
          <w:lang w:val="hy-AM"/>
        </w:rPr>
        <w:t>պայմանավորված</w:t>
      </w:r>
      <w:r w:rsidRPr="009070BD">
        <w:rPr>
          <w:rFonts w:cs="Sylfaen"/>
          <w:b w:val="0"/>
          <w:szCs w:val="22"/>
          <w:lang w:val="af-ZA"/>
        </w:rPr>
        <w:t xml:space="preserve"> </w:t>
      </w:r>
      <w:r w:rsidRPr="009070BD">
        <w:rPr>
          <w:rFonts w:cs="Sylfaen"/>
          <w:b w:val="0"/>
          <w:szCs w:val="22"/>
          <w:lang w:val="hy-AM"/>
        </w:rPr>
        <w:t>է</w:t>
      </w:r>
      <w:r w:rsidRPr="009070BD">
        <w:rPr>
          <w:b w:val="0"/>
          <w:szCs w:val="22"/>
          <w:lang w:val="af-ZA"/>
        </w:rPr>
        <w:t xml:space="preserve"> նպաստ ստացողների թվաքանակի աճով՝ 2021 թվականին </w:t>
      </w:r>
      <w:r w:rsidRPr="009070BD">
        <w:rPr>
          <w:b w:val="0"/>
          <w:szCs w:val="22"/>
          <w:lang w:val="hy-AM"/>
        </w:rPr>
        <w:t>կան</w:t>
      </w:r>
      <w:r w:rsidRPr="009070BD">
        <w:rPr>
          <w:b w:val="0"/>
          <w:szCs w:val="22"/>
          <w:lang w:val="af-ZA"/>
        </w:rPr>
        <w:t xml:space="preserve">խատեսվում է </w:t>
      </w:r>
      <w:r w:rsidRPr="009070BD">
        <w:rPr>
          <w:rFonts w:cs="Sylfaen"/>
          <w:b w:val="0"/>
          <w:szCs w:val="22"/>
          <w:lang w:val="af-ZA"/>
        </w:rPr>
        <w:t>միջին տարեկան 79</w:t>
      </w:r>
      <w:r w:rsidRPr="009070BD">
        <w:rPr>
          <w:rFonts w:ascii="Calibri" w:hAnsi="Calibri" w:cs="Calibri"/>
          <w:b w:val="0"/>
          <w:szCs w:val="22"/>
          <w:lang w:val="af-ZA"/>
        </w:rPr>
        <w:t> </w:t>
      </w:r>
      <w:r w:rsidRPr="009070BD">
        <w:rPr>
          <w:rFonts w:cs="Sylfaen"/>
          <w:b w:val="0"/>
          <w:szCs w:val="22"/>
          <w:lang w:val="af-ZA"/>
        </w:rPr>
        <w:t xml:space="preserve">461 </w:t>
      </w:r>
      <w:r w:rsidRPr="009070BD">
        <w:rPr>
          <w:b w:val="0"/>
          <w:szCs w:val="22"/>
          <w:lang w:val="hy-AM"/>
        </w:rPr>
        <w:t>շահառու</w:t>
      </w:r>
      <w:r w:rsidRPr="009070BD">
        <w:rPr>
          <w:b w:val="0"/>
          <w:szCs w:val="22"/>
          <w:lang w:val="af-ZA"/>
        </w:rPr>
        <w:t xml:space="preserve"> </w:t>
      </w:r>
      <w:r w:rsidRPr="009070BD">
        <w:rPr>
          <w:b w:val="0"/>
          <w:szCs w:val="22"/>
          <w:lang w:val="hy-AM"/>
        </w:rPr>
        <w:t>20</w:t>
      </w:r>
      <w:r w:rsidRPr="009070BD">
        <w:rPr>
          <w:b w:val="0"/>
          <w:szCs w:val="22"/>
          <w:lang w:val="af-ZA"/>
        </w:rPr>
        <w:t>20 թ</w:t>
      </w:r>
      <w:r w:rsidRPr="009070BD">
        <w:rPr>
          <w:b w:val="0"/>
          <w:szCs w:val="22"/>
          <w:lang w:val="hy-AM"/>
        </w:rPr>
        <w:t>վականի</w:t>
      </w:r>
      <w:r w:rsidRPr="009070BD">
        <w:rPr>
          <w:b w:val="0"/>
          <w:szCs w:val="22"/>
          <w:lang w:val="af-ZA"/>
        </w:rPr>
        <w:t xml:space="preserve"> 67</w:t>
      </w:r>
      <w:r w:rsidRPr="009070BD">
        <w:rPr>
          <w:rFonts w:ascii="Calibri" w:hAnsi="Calibri" w:cs="Calibri"/>
          <w:b w:val="0"/>
          <w:szCs w:val="22"/>
          <w:lang w:val="af-ZA"/>
        </w:rPr>
        <w:t> </w:t>
      </w:r>
      <w:r w:rsidRPr="009070BD">
        <w:rPr>
          <w:b w:val="0"/>
          <w:szCs w:val="22"/>
          <w:lang w:val="af-ZA"/>
        </w:rPr>
        <w:t xml:space="preserve">087 </w:t>
      </w:r>
      <w:r w:rsidRPr="009070BD">
        <w:rPr>
          <w:b w:val="0"/>
          <w:szCs w:val="22"/>
          <w:lang w:val="hy-AM"/>
        </w:rPr>
        <w:t>մարդու դիմաց</w:t>
      </w:r>
      <w:r w:rsidRPr="009070BD">
        <w:rPr>
          <w:b w:val="0"/>
          <w:szCs w:val="22"/>
          <w:lang w:val="en-US"/>
        </w:rPr>
        <w:t>՝</w:t>
      </w:r>
      <w:r w:rsidRPr="009070BD">
        <w:rPr>
          <w:b w:val="0"/>
          <w:szCs w:val="22"/>
          <w:lang w:val="af-ZA"/>
        </w:rPr>
        <w:t xml:space="preserve"> </w:t>
      </w:r>
      <w:r w:rsidRPr="009070BD">
        <w:rPr>
          <w:b w:val="0"/>
          <w:szCs w:val="22"/>
          <w:lang w:val="en-US"/>
        </w:rPr>
        <w:t>պահպանելով</w:t>
      </w:r>
      <w:r w:rsidRPr="009070BD">
        <w:rPr>
          <w:b w:val="0"/>
          <w:szCs w:val="22"/>
          <w:lang w:val="af-ZA"/>
        </w:rPr>
        <w:t xml:space="preserve"> 2020 թվականի </w:t>
      </w:r>
      <w:r w:rsidRPr="009070BD">
        <w:rPr>
          <w:b w:val="0"/>
          <w:szCs w:val="22"/>
          <w:lang w:val="en-US"/>
        </w:rPr>
        <w:t>նպաստի</w:t>
      </w:r>
      <w:r w:rsidRPr="009070BD">
        <w:rPr>
          <w:b w:val="0"/>
          <w:szCs w:val="22"/>
          <w:lang w:val="af-ZA"/>
        </w:rPr>
        <w:t xml:space="preserve"> </w:t>
      </w:r>
      <w:r w:rsidRPr="009070BD">
        <w:rPr>
          <w:b w:val="0"/>
          <w:szCs w:val="22"/>
          <w:lang w:val="en-US"/>
        </w:rPr>
        <w:t>միջին</w:t>
      </w:r>
      <w:r w:rsidRPr="009070BD">
        <w:rPr>
          <w:b w:val="0"/>
          <w:szCs w:val="22"/>
          <w:lang w:val="af-ZA"/>
        </w:rPr>
        <w:t xml:space="preserve"> </w:t>
      </w:r>
      <w:r w:rsidRPr="009070BD">
        <w:rPr>
          <w:b w:val="0"/>
          <w:szCs w:val="22"/>
          <w:lang w:val="en-US"/>
        </w:rPr>
        <w:t>ամսական</w:t>
      </w:r>
      <w:r w:rsidRPr="009070BD">
        <w:rPr>
          <w:b w:val="0"/>
          <w:szCs w:val="22"/>
          <w:lang w:val="af-ZA"/>
        </w:rPr>
        <w:t xml:space="preserve"> </w:t>
      </w:r>
      <w:r w:rsidRPr="009070BD">
        <w:rPr>
          <w:b w:val="0"/>
          <w:szCs w:val="22"/>
          <w:lang w:val="en-US"/>
        </w:rPr>
        <w:t>չափը</w:t>
      </w:r>
      <w:r w:rsidRPr="009070BD">
        <w:rPr>
          <w:b w:val="0"/>
          <w:szCs w:val="22"/>
          <w:lang w:val="af-ZA"/>
        </w:rPr>
        <w:t>:</w:t>
      </w:r>
    </w:p>
    <w:p w:rsidR="00500235" w:rsidRPr="009070BD" w:rsidRDefault="00500235" w:rsidP="007730AA">
      <w:pPr>
        <w:spacing w:before="0" w:line="276" w:lineRule="auto"/>
        <w:rPr>
          <w:b w:val="0"/>
          <w:szCs w:val="22"/>
          <w:lang w:val="af-ZA"/>
        </w:rPr>
      </w:pPr>
      <w:r w:rsidRPr="009070BD">
        <w:rPr>
          <w:b w:val="0"/>
          <w:szCs w:val="22"/>
          <w:lang w:val="af-ZA"/>
        </w:rPr>
        <w:t>-</w:t>
      </w:r>
      <w:r w:rsidRPr="009070BD">
        <w:rPr>
          <w:b w:val="0"/>
          <w:szCs w:val="22"/>
          <w:lang w:val="pt-BR"/>
        </w:rPr>
        <w:t>«</w:t>
      </w:r>
      <w:r w:rsidRPr="009070BD">
        <w:rPr>
          <w:b w:val="0"/>
          <w:szCs w:val="22"/>
          <w:lang w:val="af-ZA"/>
        </w:rPr>
        <w:t>Կենսաթոշակ, ծերության նպաստ, կերակրողին կորցնելու դեպքում նպաստ կամ հաշմանդամության նպաստ ստանալու իրավունք ունեցող անձանց մահվան դեպքում տրվող թաղման նպաստ</w:t>
      </w:r>
      <w:r w:rsidRPr="009070BD">
        <w:rPr>
          <w:b w:val="0"/>
          <w:szCs w:val="22"/>
          <w:lang w:val="pt-BR"/>
        </w:rPr>
        <w:t xml:space="preserve">» </w:t>
      </w:r>
      <w:r w:rsidRPr="009070BD">
        <w:rPr>
          <w:rFonts w:cs="Sylfaen"/>
          <w:b w:val="0"/>
          <w:szCs w:val="22"/>
          <w:lang w:val="af-ZA"/>
        </w:rPr>
        <w:t xml:space="preserve">միջոցառմամբ </w:t>
      </w:r>
      <w:r w:rsidRPr="009070BD">
        <w:rPr>
          <w:rFonts w:cs="Sylfaen"/>
          <w:b w:val="0"/>
          <w:szCs w:val="22"/>
          <w:lang w:val="hy-AM"/>
        </w:rPr>
        <w:t>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4</w:t>
      </w:r>
      <w:r w:rsidRPr="009070BD">
        <w:rPr>
          <w:rFonts w:ascii="Calibri" w:hAnsi="Calibri" w:cs="Calibri"/>
          <w:b w:val="0"/>
          <w:szCs w:val="22"/>
          <w:lang w:val="af-ZA"/>
        </w:rPr>
        <w:t> </w:t>
      </w:r>
      <w:r w:rsidRPr="009070BD">
        <w:rPr>
          <w:rFonts w:cs="Sylfaen"/>
          <w:b w:val="0"/>
          <w:szCs w:val="22"/>
          <w:lang w:val="af-ZA"/>
        </w:rPr>
        <w:t>456.8</w:t>
      </w:r>
      <w:r w:rsidRPr="009070BD">
        <w:rPr>
          <w:b w:val="0"/>
          <w:szCs w:val="22"/>
          <w:lang w:val="af-ZA"/>
        </w:rPr>
        <w:t xml:space="preserve">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դրամի</w:t>
      </w:r>
      <w:r w:rsidRPr="009070BD">
        <w:rPr>
          <w:rFonts w:cs="Sylfaen"/>
          <w:b w:val="0"/>
          <w:szCs w:val="22"/>
          <w:lang w:val="af-ZA"/>
        </w:rPr>
        <w:t xml:space="preserve"> </w:t>
      </w:r>
      <w:r w:rsidRPr="009070BD">
        <w:rPr>
          <w:rFonts w:cs="Sylfaen"/>
          <w:b w:val="0"/>
          <w:szCs w:val="22"/>
          <w:lang w:val="hy-AM"/>
        </w:rPr>
        <w:t>չափով</w:t>
      </w:r>
      <w:r w:rsidRPr="009070BD">
        <w:rPr>
          <w:rFonts w:cs="Sylfaen"/>
          <w:b w:val="0"/>
          <w:szCs w:val="22"/>
          <w:lang w:val="af-ZA"/>
        </w:rPr>
        <w:t xml:space="preserve"> </w:t>
      </w:r>
      <w:r w:rsidRPr="009070BD">
        <w:rPr>
          <w:rFonts w:cs="Sylfaen"/>
          <w:b w:val="0"/>
          <w:szCs w:val="22"/>
          <w:lang w:val="hy-AM"/>
        </w:rPr>
        <w:t>ծախս</w:t>
      </w:r>
      <w:r w:rsidRPr="009070BD">
        <w:rPr>
          <w:b w:val="0"/>
          <w:szCs w:val="22"/>
          <w:lang w:val="af-ZA"/>
        </w:rPr>
        <w:t xml:space="preserve"> (2020 </w:t>
      </w:r>
      <w:r w:rsidRPr="009070BD">
        <w:rPr>
          <w:rFonts w:cs="Sylfaen"/>
          <w:b w:val="0"/>
          <w:szCs w:val="22"/>
          <w:lang w:val="hy-AM"/>
        </w:rPr>
        <w:t>թվականին</w:t>
      </w:r>
      <w:r w:rsidRPr="009070BD">
        <w:rPr>
          <w:b w:val="0"/>
          <w:szCs w:val="22"/>
          <w:lang w:val="af-ZA"/>
        </w:rPr>
        <w:t>` 4</w:t>
      </w:r>
      <w:r w:rsidRPr="009070BD">
        <w:rPr>
          <w:rFonts w:ascii="Calibri" w:hAnsi="Calibri" w:cs="Calibri"/>
          <w:b w:val="0"/>
          <w:szCs w:val="22"/>
          <w:lang w:val="af-ZA"/>
        </w:rPr>
        <w:t> </w:t>
      </w:r>
      <w:r w:rsidRPr="009070BD">
        <w:rPr>
          <w:b w:val="0"/>
          <w:szCs w:val="22"/>
          <w:lang w:val="af-ZA"/>
        </w:rPr>
        <w:t xml:space="preserve">402.0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w:t>
      </w:r>
      <w:r w:rsidRPr="009070BD">
        <w:rPr>
          <w:b w:val="0"/>
          <w:szCs w:val="22"/>
          <w:lang w:val="af-ZA"/>
        </w:rPr>
        <w:t xml:space="preserve">): </w:t>
      </w:r>
      <w:r w:rsidRPr="009070BD">
        <w:rPr>
          <w:rFonts w:cs="Sylfaen"/>
          <w:b w:val="0"/>
          <w:szCs w:val="22"/>
          <w:lang w:val="af-ZA"/>
        </w:rPr>
        <w:t>Ծախսերի աճ</w:t>
      </w:r>
      <w:r w:rsidRPr="009070BD">
        <w:rPr>
          <w:rFonts w:cs="Sylfaen"/>
          <w:b w:val="0"/>
          <w:szCs w:val="22"/>
          <w:lang w:val="hy-AM"/>
        </w:rPr>
        <w:t>ը</w:t>
      </w:r>
      <w:r w:rsidRPr="009070BD">
        <w:rPr>
          <w:rFonts w:cs="Sylfaen"/>
          <w:b w:val="0"/>
          <w:szCs w:val="22"/>
          <w:lang w:val="af-ZA"/>
        </w:rPr>
        <w:t xml:space="preserve"> 54.8 մլն դրամի չափով պայմանավորված է </w:t>
      </w:r>
      <w:r w:rsidRPr="009070BD">
        <w:rPr>
          <w:b w:val="0"/>
          <w:szCs w:val="22"/>
          <w:lang w:val="af-ZA"/>
        </w:rPr>
        <w:t xml:space="preserve">շահառուների թվաքանակի աճով` 2021 թվականին </w:t>
      </w:r>
      <w:r w:rsidRPr="009070BD">
        <w:rPr>
          <w:b w:val="0"/>
          <w:szCs w:val="22"/>
          <w:lang w:val="hy-AM"/>
        </w:rPr>
        <w:t>կան</w:t>
      </w:r>
      <w:r w:rsidRPr="009070BD">
        <w:rPr>
          <w:b w:val="0"/>
          <w:szCs w:val="22"/>
          <w:lang w:val="af-ZA"/>
        </w:rPr>
        <w:t>խատեսվում է 22 284 շահառու 2020 թվականի 22</w:t>
      </w:r>
      <w:r w:rsidRPr="009070BD">
        <w:rPr>
          <w:rFonts w:ascii="Calibri" w:hAnsi="Calibri" w:cs="Calibri"/>
          <w:b w:val="0"/>
          <w:szCs w:val="22"/>
          <w:lang w:val="af-ZA"/>
        </w:rPr>
        <w:t> </w:t>
      </w:r>
      <w:r w:rsidRPr="009070BD">
        <w:rPr>
          <w:b w:val="0"/>
          <w:szCs w:val="22"/>
          <w:lang w:val="af-ZA"/>
        </w:rPr>
        <w:t xml:space="preserve">010 դիմաց` պահպանելով </w:t>
      </w:r>
      <w:r w:rsidRPr="009070BD">
        <w:rPr>
          <w:rFonts w:cs="Sylfaen"/>
          <w:b w:val="0"/>
          <w:szCs w:val="22"/>
          <w:lang w:val="af-ZA"/>
        </w:rPr>
        <w:t>հուղարկավորությունը կատարող անձանց</w:t>
      </w:r>
      <w:r w:rsidRPr="009070BD">
        <w:rPr>
          <w:b w:val="0"/>
          <w:szCs w:val="22"/>
          <w:lang w:val="af-ZA"/>
        </w:rPr>
        <w:t xml:space="preserve"> տրվող թաղման նպաստի չափը: </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w:t>
      </w:r>
      <w:r w:rsidRPr="009070BD">
        <w:rPr>
          <w:b w:val="0"/>
          <w:szCs w:val="22"/>
          <w:lang w:val="pt-BR"/>
        </w:rPr>
        <w:t>«</w:t>
      </w:r>
      <w:r w:rsidRPr="009070BD">
        <w:rPr>
          <w:rFonts w:cs="Sylfaen"/>
          <w:b w:val="0"/>
          <w:szCs w:val="22"/>
          <w:lang w:val="af-ZA"/>
        </w:rPr>
        <w:t>Վնասի փոխհատուցում կերակրողը կորցրած անձանց</w:t>
      </w:r>
      <w:r w:rsidRPr="009070BD">
        <w:rPr>
          <w:b w:val="0"/>
          <w:szCs w:val="22"/>
          <w:lang w:val="pt-BR"/>
        </w:rPr>
        <w:t>»</w:t>
      </w:r>
      <w:r w:rsidRPr="009070BD">
        <w:rPr>
          <w:rFonts w:cs="Sylfaen"/>
          <w:b w:val="0"/>
          <w:szCs w:val="22"/>
          <w:lang w:val="af-ZA"/>
        </w:rPr>
        <w:t xml:space="preserve"> միջոցառմամբ</w:t>
      </w:r>
      <w:r w:rsidRPr="009070BD">
        <w:rPr>
          <w:rFonts w:cs="Sylfaen"/>
          <w:b w:val="0"/>
          <w:szCs w:val="22"/>
          <w:lang w:val="hy-AM"/>
        </w:rPr>
        <w:t xml:space="preserve"> 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w:t>
      </w:r>
      <w:r w:rsidRPr="009070BD">
        <w:rPr>
          <w:rFonts w:cs="Sylfaen"/>
          <w:b w:val="0"/>
          <w:szCs w:val="22"/>
          <w:lang w:val="hy-AM"/>
        </w:rPr>
        <w:t>հատկացնել</w:t>
      </w:r>
      <w:r w:rsidRPr="009070BD">
        <w:rPr>
          <w:b w:val="0"/>
          <w:szCs w:val="22"/>
          <w:lang w:val="af-ZA"/>
        </w:rPr>
        <w:t xml:space="preserve"> շուրջ 4.0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դրամի</w:t>
      </w:r>
      <w:r w:rsidRPr="009070BD">
        <w:rPr>
          <w:rFonts w:cs="Sylfaen"/>
          <w:b w:val="0"/>
          <w:szCs w:val="22"/>
          <w:lang w:val="af-ZA"/>
        </w:rPr>
        <w:t xml:space="preserve"> </w:t>
      </w:r>
      <w:r w:rsidRPr="009070BD">
        <w:rPr>
          <w:rFonts w:cs="Sylfaen"/>
          <w:b w:val="0"/>
          <w:szCs w:val="22"/>
          <w:lang w:val="hy-AM"/>
        </w:rPr>
        <w:t>չափով</w:t>
      </w:r>
      <w:r w:rsidRPr="009070BD">
        <w:rPr>
          <w:rFonts w:cs="Sylfaen"/>
          <w:b w:val="0"/>
          <w:szCs w:val="22"/>
          <w:lang w:val="af-ZA"/>
        </w:rPr>
        <w:t xml:space="preserve"> </w:t>
      </w:r>
      <w:r w:rsidRPr="009070BD">
        <w:rPr>
          <w:rFonts w:cs="Sylfaen"/>
          <w:b w:val="0"/>
          <w:szCs w:val="22"/>
          <w:lang w:val="hy-AM"/>
        </w:rPr>
        <w:t>ծախս</w:t>
      </w:r>
      <w:r w:rsidRPr="009070BD">
        <w:rPr>
          <w:rFonts w:cs="Sylfaen"/>
          <w:b w:val="0"/>
          <w:szCs w:val="22"/>
          <w:lang w:val="af-ZA"/>
        </w:rPr>
        <w:t xml:space="preserve"> </w:t>
      </w:r>
      <w:r w:rsidRPr="009070BD">
        <w:rPr>
          <w:b w:val="0"/>
          <w:szCs w:val="22"/>
          <w:lang w:val="af-ZA"/>
        </w:rPr>
        <w:t xml:space="preserve">(2020 </w:t>
      </w:r>
      <w:r w:rsidRPr="009070BD">
        <w:rPr>
          <w:rFonts w:cs="Sylfaen"/>
          <w:b w:val="0"/>
          <w:szCs w:val="22"/>
          <w:lang w:val="hy-AM"/>
        </w:rPr>
        <w:t>թվականին</w:t>
      </w:r>
      <w:r w:rsidRPr="009070BD">
        <w:rPr>
          <w:b w:val="0"/>
          <w:szCs w:val="22"/>
          <w:lang w:val="af-ZA"/>
        </w:rPr>
        <w:t xml:space="preserve">` 4.9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w:t>
      </w:r>
      <w:r w:rsidRPr="009070BD">
        <w:rPr>
          <w:b w:val="0"/>
          <w:szCs w:val="22"/>
          <w:lang w:val="af-ZA"/>
        </w:rPr>
        <w:t xml:space="preserve">): </w:t>
      </w:r>
      <w:r w:rsidRPr="009070BD">
        <w:rPr>
          <w:rFonts w:cs="Sylfaen"/>
          <w:b w:val="0"/>
          <w:szCs w:val="22"/>
          <w:lang w:val="af-ZA"/>
        </w:rPr>
        <w:t xml:space="preserve">Ծախսերի նվազումը շուրջ 1.0 մլն դրամի չափով պայմանավորված է </w:t>
      </w:r>
      <w:r w:rsidRPr="009070BD">
        <w:rPr>
          <w:b w:val="0"/>
          <w:szCs w:val="22"/>
          <w:lang w:val="af-ZA"/>
        </w:rPr>
        <w:t xml:space="preserve">դատարանների վճիռներով սահմանված ժամկետների </w:t>
      </w:r>
      <w:r w:rsidRPr="009070BD">
        <w:rPr>
          <w:b w:val="0"/>
          <w:szCs w:val="22"/>
          <w:lang w:val="en-US"/>
        </w:rPr>
        <w:t>հետ</w:t>
      </w:r>
      <w:r w:rsidRPr="009070BD">
        <w:rPr>
          <w:b w:val="0"/>
          <w:szCs w:val="22"/>
          <w:lang w:val="af-ZA"/>
        </w:rPr>
        <w:t xml:space="preserve"> </w:t>
      </w:r>
      <w:r w:rsidRPr="009070BD">
        <w:rPr>
          <w:b w:val="0"/>
          <w:szCs w:val="22"/>
          <w:lang w:val="en-US"/>
        </w:rPr>
        <w:t>կապված</w:t>
      </w:r>
      <w:r w:rsidRPr="009070BD">
        <w:rPr>
          <w:b w:val="0"/>
          <w:szCs w:val="22"/>
          <w:lang w:val="af-ZA"/>
        </w:rPr>
        <w:t xml:space="preserve"> ծախսերի վերանայմամբ:</w:t>
      </w:r>
    </w:p>
    <w:p w:rsidR="00500235" w:rsidRPr="009070BD" w:rsidRDefault="00500235" w:rsidP="007730AA">
      <w:pPr>
        <w:spacing w:before="0" w:line="276" w:lineRule="auto"/>
        <w:rPr>
          <w:b w:val="0"/>
          <w:szCs w:val="22"/>
          <w:lang w:val="af-ZA"/>
        </w:rPr>
      </w:pPr>
      <w:r w:rsidRPr="009070BD">
        <w:rPr>
          <w:b w:val="0"/>
          <w:szCs w:val="22"/>
          <w:lang w:val="af-ZA"/>
        </w:rPr>
        <w:t>-«</w:t>
      </w:r>
      <w:r w:rsidRPr="009070BD">
        <w:rPr>
          <w:b w:val="0"/>
          <w:szCs w:val="22"/>
        </w:rPr>
        <w:t>ԱՊՀ</w:t>
      </w:r>
      <w:r w:rsidRPr="009070BD">
        <w:rPr>
          <w:b w:val="0"/>
          <w:szCs w:val="22"/>
          <w:lang w:val="af-ZA"/>
        </w:rPr>
        <w:t xml:space="preserve"> </w:t>
      </w:r>
      <w:r w:rsidRPr="009070BD">
        <w:rPr>
          <w:b w:val="0"/>
          <w:szCs w:val="22"/>
        </w:rPr>
        <w:t>տարածքում</w:t>
      </w:r>
      <w:r w:rsidRPr="009070BD">
        <w:rPr>
          <w:b w:val="0"/>
          <w:szCs w:val="22"/>
          <w:lang w:val="af-ZA"/>
        </w:rPr>
        <w:t xml:space="preserve"> </w:t>
      </w:r>
      <w:r w:rsidRPr="009070BD">
        <w:rPr>
          <w:b w:val="0"/>
          <w:szCs w:val="22"/>
        </w:rPr>
        <w:t>Հայրենական</w:t>
      </w:r>
      <w:r w:rsidRPr="009070BD">
        <w:rPr>
          <w:b w:val="0"/>
          <w:szCs w:val="22"/>
          <w:lang w:val="af-ZA"/>
        </w:rPr>
        <w:t xml:space="preserve"> </w:t>
      </w:r>
      <w:r w:rsidRPr="009070BD">
        <w:rPr>
          <w:b w:val="0"/>
          <w:szCs w:val="22"/>
        </w:rPr>
        <w:t>մեծ</w:t>
      </w:r>
      <w:r w:rsidRPr="009070BD">
        <w:rPr>
          <w:b w:val="0"/>
          <w:szCs w:val="22"/>
          <w:lang w:val="af-ZA"/>
        </w:rPr>
        <w:t xml:space="preserve"> </w:t>
      </w:r>
      <w:r w:rsidRPr="009070BD">
        <w:rPr>
          <w:b w:val="0"/>
          <w:szCs w:val="22"/>
        </w:rPr>
        <w:t>պատերազմի</w:t>
      </w:r>
      <w:r w:rsidRPr="009070BD">
        <w:rPr>
          <w:b w:val="0"/>
          <w:szCs w:val="22"/>
          <w:lang w:val="af-ZA"/>
        </w:rPr>
        <w:t xml:space="preserve"> </w:t>
      </w:r>
      <w:r w:rsidRPr="009070BD">
        <w:rPr>
          <w:b w:val="0"/>
          <w:szCs w:val="22"/>
        </w:rPr>
        <w:t>հաշմանդամների</w:t>
      </w:r>
      <w:r w:rsidRPr="009070BD">
        <w:rPr>
          <w:b w:val="0"/>
          <w:szCs w:val="22"/>
          <w:lang w:val="af-ZA"/>
        </w:rPr>
        <w:t xml:space="preserve"> </w:t>
      </w:r>
      <w:r w:rsidRPr="009070BD">
        <w:rPr>
          <w:b w:val="0"/>
          <w:szCs w:val="22"/>
        </w:rPr>
        <w:t>և</w:t>
      </w:r>
      <w:r w:rsidRPr="009070BD">
        <w:rPr>
          <w:b w:val="0"/>
          <w:szCs w:val="22"/>
          <w:lang w:val="af-ZA"/>
        </w:rPr>
        <w:t xml:space="preserve"> </w:t>
      </w:r>
      <w:r w:rsidRPr="009070BD">
        <w:rPr>
          <w:b w:val="0"/>
          <w:szCs w:val="22"/>
        </w:rPr>
        <w:t>մասնակիցների</w:t>
      </w:r>
      <w:r w:rsidRPr="009070BD">
        <w:rPr>
          <w:b w:val="0"/>
          <w:szCs w:val="22"/>
          <w:lang w:val="af-ZA"/>
        </w:rPr>
        <w:t xml:space="preserve"> </w:t>
      </w:r>
      <w:r w:rsidRPr="009070BD">
        <w:rPr>
          <w:b w:val="0"/>
          <w:szCs w:val="22"/>
        </w:rPr>
        <w:t>օդային</w:t>
      </w:r>
      <w:r w:rsidRPr="009070BD">
        <w:rPr>
          <w:b w:val="0"/>
          <w:szCs w:val="22"/>
          <w:lang w:val="af-ZA"/>
        </w:rPr>
        <w:t xml:space="preserve"> </w:t>
      </w:r>
      <w:r w:rsidRPr="009070BD">
        <w:rPr>
          <w:b w:val="0"/>
          <w:szCs w:val="22"/>
        </w:rPr>
        <w:t>տրանսպորտով</w:t>
      </w:r>
      <w:r w:rsidRPr="009070BD">
        <w:rPr>
          <w:b w:val="0"/>
          <w:szCs w:val="22"/>
          <w:lang w:val="af-ZA"/>
        </w:rPr>
        <w:t xml:space="preserve"> </w:t>
      </w:r>
      <w:r w:rsidRPr="009070BD">
        <w:rPr>
          <w:b w:val="0"/>
          <w:szCs w:val="22"/>
        </w:rPr>
        <w:t>մատուցվող</w:t>
      </w:r>
      <w:r w:rsidRPr="009070BD">
        <w:rPr>
          <w:b w:val="0"/>
          <w:szCs w:val="22"/>
          <w:lang w:val="af-ZA"/>
        </w:rPr>
        <w:t xml:space="preserve"> </w:t>
      </w:r>
      <w:r w:rsidRPr="009070BD">
        <w:rPr>
          <w:b w:val="0"/>
          <w:szCs w:val="22"/>
        </w:rPr>
        <w:t>ծառայությունների</w:t>
      </w:r>
      <w:r w:rsidRPr="009070BD">
        <w:rPr>
          <w:b w:val="0"/>
          <w:szCs w:val="22"/>
          <w:lang w:val="af-ZA"/>
        </w:rPr>
        <w:t xml:space="preserve"> </w:t>
      </w:r>
      <w:r w:rsidRPr="009070BD">
        <w:rPr>
          <w:b w:val="0"/>
          <w:szCs w:val="22"/>
        </w:rPr>
        <w:t>դիմաց</w:t>
      </w:r>
      <w:r w:rsidRPr="009070BD">
        <w:rPr>
          <w:b w:val="0"/>
          <w:szCs w:val="22"/>
          <w:lang w:val="af-ZA"/>
        </w:rPr>
        <w:t xml:space="preserve"> </w:t>
      </w:r>
      <w:r w:rsidRPr="009070BD">
        <w:rPr>
          <w:b w:val="0"/>
          <w:szCs w:val="22"/>
        </w:rPr>
        <w:t>փոխհատուցում</w:t>
      </w:r>
      <w:r w:rsidRPr="009070BD">
        <w:rPr>
          <w:b w:val="0"/>
          <w:szCs w:val="22"/>
          <w:lang w:val="af-ZA"/>
        </w:rPr>
        <w:t xml:space="preserve">» </w:t>
      </w:r>
      <w:r w:rsidRPr="009070BD">
        <w:rPr>
          <w:b w:val="0"/>
          <w:szCs w:val="22"/>
        </w:rPr>
        <w:t>միջոցառմամբ</w:t>
      </w:r>
      <w:r w:rsidRPr="009070BD">
        <w:rPr>
          <w:b w:val="0"/>
          <w:szCs w:val="22"/>
          <w:lang w:val="af-ZA"/>
        </w:rPr>
        <w:t xml:space="preserve"> </w:t>
      </w:r>
      <w:r w:rsidRPr="009070BD">
        <w:rPr>
          <w:b w:val="0"/>
          <w:szCs w:val="22"/>
        </w:rPr>
        <w:t>ՀՀ</w:t>
      </w:r>
      <w:r w:rsidRPr="009070BD">
        <w:rPr>
          <w:b w:val="0"/>
          <w:szCs w:val="22"/>
          <w:lang w:val="af-ZA"/>
        </w:rPr>
        <w:t xml:space="preserve"> </w:t>
      </w:r>
      <w:r w:rsidRPr="009070BD">
        <w:rPr>
          <w:b w:val="0"/>
          <w:szCs w:val="22"/>
        </w:rPr>
        <w:t>քաղաքացիներ</w:t>
      </w:r>
      <w:r w:rsidRPr="009070BD">
        <w:rPr>
          <w:b w:val="0"/>
          <w:szCs w:val="22"/>
          <w:lang w:val="af-ZA"/>
        </w:rPr>
        <w:t xml:space="preserve"> </w:t>
      </w:r>
      <w:r w:rsidRPr="009070BD">
        <w:rPr>
          <w:b w:val="0"/>
          <w:szCs w:val="22"/>
        </w:rPr>
        <w:t>հանդիսացող</w:t>
      </w:r>
      <w:r w:rsidRPr="009070BD">
        <w:rPr>
          <w:b w:val="0"/>
          <w:szCs w:val="22"/>
          <w:lang w:val="af-ZA"/>
        </w:rPr>
        <w:t xml:space="preserve"> </w:t>
      </w:r>
      <w:r w:rsidRPr="009070BD">
        <w:rPr>
          <w:b w:val="0"/>
          <w:szCs w:val="22"/>
        </w:rPr>
        <w:t>Հայրենական</w:t>
      </w:r>
      <w:r w:rsidRPr="009070BD">
        <w:rPr>
          <w:b w:val="0"/>
          <w:szCs w:val="22"/>
          <w:lang w:val="af-ZA"/>
        </w:rPr>
        <w:t xml:space="preserve"> </w:t>
      </w:r>
      <w:r w:rsidRPr="009070BD">
        <w:rPr>
          <w:b w:val="0"/>
          <w:szCs w:val="22"/>
        </w:rPr>
        <w:t>մեծ</w:t>
      </w:r>
      <w:r w:rsidRPr="009070BD">
        <w:rPr>
          <w:b w:val="0"/>
          <w:szCs w:val="22"/>
          <w:lang w:val="af-ZA"/>
        </w:rPr>
        <w:t xml:space="preserve"> </w:t>
      </w:r>
      <w:r w:rsidRPr="009070BD">
        <w:rPr>
          <w:b w:val="0"/>
          <w:szCs w:val="22"/>
        </w:rPr>
        <w:t>պա</w:t>
      </w:r>
      <w:r w:rsidRPr="009070BD">
        <w:rPr>
          <w:b w:val="0"/>
          <w:szCs w:val="22"/>
          <w:lang w:val="af-ZA"/>
        </w:rPr>
        <w:softHyphen/>
      </w:r>
      <w:r w:rsidRPr="009070BD">
        <w:rPr>
          <w:b w:val="0"/>
          <w:szCs w:val="22"/>
        </w:rPr>
        <w:t>տերազմի</w:t>
      </w:r>
      <w:r w:rsidRPr="009070BD">
        <w:rPr>
          <w:b w:val="0"/>
          <w:szCs w:val="22"/>
          <w:lang w:val="af-ZA"/>
        </w:rPr>
        <w:t xml:space="preserve"> </w:t>
      </w:r>
      <w:r w:rsidRPr="009070BD">
        <w:rPr>
          <w:b w:val="0"/>
          <w:szCs w:val="22"/>
        </w:rPr>
        <w:t>հաշմանդամներին</w:t>
      </w:r>
      <w:r w:rsidRPr="009070BD">
        <w:rPr>
          <w:b w:val="0"/>
          <w:szCs w:val="22"/>
          <w:lang w:val="af-ZA"/>
        </w:rPr>
        <w:t xml:space="preserve"> </w:t>
      </w:r>
      <w:r w:rsidRPr="009070BD">
        <w:rPr>
          <w:b w:val="0"/>
          <w:szCs w:val="22"/>
        </w:rPr>
        <w:t>և</w:t>
      </w:r>
      <w:r w:rsidRPr="009070BD">
        <w:rPr>
          <w:b w:val="0"/>
          <w:szCs w:val="22"/>
          <w:lang w:val="af-ZA"/>
        </w:rPr>
        <w:t xml:space="preserve"> </w:t>
      </w:r>
      <w:r w:rsidRPr="009070BD">
        <w:rPr>
          <w:b w:val="0"/>
          <w:szCs w:val="22"/>
        </w:rPr>
        <w:t>մասնակիցներին</w:t>
      </w:r>
      <w:r w:rsidRPr="009070BD">
        <w:rPr>
          <w:b w:val="0"/>
          <w:szCs w:val="22"/>
          <w:lang w:val="af-ZA"/>
        </w:rPr>
        <w:t xml:space="preserve">, </w:t>
      </w:r>
      <w:r w:rsidRPr="009070BD">
        <w:rPr>
          <w:b w:val="0"/>
          <w:szCs w:val="22"/>
        </w:rPr>
        <w:t>ինչպես</w:t>
      </w:r>
      <w:r w:rsidRPr="009070BD">
        <w:rPr>
          <w:b w:val="0"/>
          <w:szCs w:val="22"/>
          <w:lang w:val="af-ZA"/>
        </w:rPr>
        <w:t xml:space="preserve"> </w:t>
      </w:r>
      <w:r w:rsidRPr="009070BD">
        <w:rPr>
          <w:b w:val="0"/>
          <w:szCs w:val="22"/>
        </w:rPr>
        <w:t>նաև</w:t>
      </w:r>
      <w:r w:rsidRPr="009070BD">
        <w:rPr>
          <w:b w:val="0"/>
          <w:szCs w:val="22"/>
          <w:lang w:val="af-ZA"/>
        </w:rPr>
        <w:t xml:space="preserve"> </w:t>
      </w:r>
      <w:r w:rsidRPr="009070BD">
        <w:rPr>
          <w:b w:val="0"/>
          <w:szCs w:val="22"/>
        </w:rPr>
        <w:t>նրանց</w:t>
      </w:r>
      <w:r w:rsidRPr="009070BD">
        <w:rPr>
          <w:b w:val="0"/>
          <w:szCs w:val="22"/>
          <w:lang w:val="af-ZA"/>
        </w:rPr>
        <w:t xml:space="preserve"> </w:t>
      </w:r>
      <w:r w:rsidRPr="009070BD">
        <w:rPr>
          <w:b w:val="0"/>
          <w:szCs w:val="22"/>
        </w:rPr>
        <w:t>հավասարեցված</w:t>
      </w:r>
      <w:r w:rsidRPr="009070BD">
        <w:rPr>
          <w:b w:val="0"/>
          <w:szCs w:val="22"/>
          <w:lang w:val="af-ZA"/>
        </w:rPr>
        <w:t xml:space="preserve"> </w:t>
      </w:r>
      <w:r w:rsidRPr="009070BD">
        <w:rPr>
          <w:b w:val="0"/>
          <w:szCs w:val="22"/>
        </w:rPr>
        <w:t>անձանց</w:t>
      </w:r>
      <w:r w:rsidRPr="009070BD">
        <w:rPr>
          <w:b w:val="0"/>
          <w:szCs w:val="22"/>
          <w:lang w:val="af-ZA"/>
        </w:rPr>
        <w:t xml:space="preserve"> (</w:t>
      </w:r>
      <w:r w:rsidRPr="009070BD">
        <w:rPr>
          <w:b w:val="0"/>
          <w:szCs w:val="22"/>
        </w:rPr>
        <w:t>ծրագրավորված՝</w:t>
      </w:r>
      <w:r w:rsidRPr="009070BD">
        <w:rPr>
          <w:b w:val="0"/>
          <w:szCs w:val="22"/>
          <w:lang w:val="af-ZA"/>
        </w:rPr>
        <w:t xml:space="preserve"> </w:t>
      </w:r>
      <w:r w:rsidRPr="009070BD">
        <w:rPr>
          <w:b w:val="0"/>
          <w:szCs w:val="22"/>
        </w:rPr>
        <w:t>թվով</w:t>
      </w:r>
      <w:r w:rsidRPr="009070BD">
        <w:rPr>
          <w:b w:val="0"/>
          <w:szCs w:val="22"/>
          <w:lang w:val="af-ZA"/>
        </w:rPr>
        <w:t xml:space="preserve"> 45 </w:t>
      </w:r>
      <w:r w:rsidRPr="009070BD">
        <w:rPr>
          <w:b w:val="0"/>
          <w:szCs w:val="22"/>
        </w:rPr>
        <w:t>անձիք</w:t>
      </w:r>
      <w:r w:rsidRPr="009070BD">
        <w:rPr>
          <w:b w:val="0"/>
          <w:szCs w:val="22"/>
          <w:lang w:val="af-ZA"/>
        </w:rPr>
        <w:t xml:space="preserve">) </w:t>
      </w:r>
      <w:r w:rsidRPr="009070BD">
        <w:rPr>
          <w:b w:val="0"/>
          <w:szCs w:val="22"/>
        </w:rPr>
        <w:t>ԱՊՀ</w:t>
      </w:r>
      <w:r w:rsidRPr="009070BD">
        <w:rPr>
          <w:b w:val="0"/>
          <w:szCs w:val="22"/>
          <w:lang w:val="af-ZA"/>
        </w:rPr>
        <w:t xml:space="preserve"> </w:t>
      </w:r>
      <w:r w:rsidRPr="009070BD">
        <w:rPr>
          <w:b w:val="0"/>
          <w:szCs w:val="22"/>
        </w:rPr>
        <w:t>տարածքում</w:t>
      </w:r>
      <w:r w:rsidRPr="009070BD">
        <w:rPr>
          <w:b w:val="0"/>
          <w:szCs w:val="22"/>
          <w:lang w:val="af-ZA"/>
        </w:rPr>
        <w:t xml:space="preserve"> </w:t>
      </w:r>
      <w:r w:rsidRPr="009070BD">
        <w:rPr>
          <w:b w:val="0"/>
          <w:szCs w:val="22"/>
        </w:rPr>
        <w:t>զեղչ</w:t>
      </w:r>
      <w:r w:rsidRPr="009070BD">
        <w:rPr>
          <w:b w:val="0"/>
          <w:szCs w:val="22"/>
          <w:lang w:val="af-ZA"/>
        </w:rPr>
        <w:t xml:space="preserve"> </w:t>
      </w:r>
      <w:r w:rsidRPr="009070BD">
        <w:rPr>
          <w:b w:val="0"/>
          <w:szCs w:val="22"/>
        </w:rPr>
        <w:t>սակագնով</w:t>
      </w:r>
      <w:r w:rsidRPr="009070BD">
        <w:rPr>
          <w:b w:val="0"/>
          <w:szCs w:val="22"/>
          <w:lang w:val="af-ZA"/>
        </w:rPr>
        <w:t xml:space="preserve"> </w:t>
      </w:r>
      <w:r w:rsidRPr="009070BD">
        <w:rPr>
          <w:b w:val="0"/>
          <w:szCs w:val="22"/>
        </w:rPr>
        <w:t>կամ</w:t>
      </w:r>
      <w:r w:rsidRPr="009070BD">
        <w:rPr>
          <w:b w:val="0"/>
          <w:szCs w:val="22"/>
          <w:lang w:val="af-ZA"/>
        </w:rPr>
        <w:t xml:space="preserve"> </w:t>
      </w:r>
      <w:r w:rsidRPr="009070BD">
        <w:rPr>
          <w:b w:val="0"/>
          <w:szCs w:val="22"/>
        </w:rPr>
        <w:t>անվճար</w:t>
      </w:r>
      <w:r w:rsidRPr="009070BD">
        <w:rPr>
          <w:b w:val="0"/>
          <w:szCs w:val="22"/>
          <w:lang w:val="af-ZA"/>
        </w:rPr>
        <w:t xml:space="preserve"> </w:t>
      </w:r>
      <w:r w:rsidRPr="009070BD">
        <w:rPr>
          <w:b w:val="0"/>
          <w:szCs w:val="22"/>
        </w:rPr>
        <w:t>ծառա</w:t>
      </w:r>
      <w:r w:rsidRPr="009070BD">
        <w:rPr>
          <w:b w:val="0"/>
          <w:szCs w:val="22"/>
          <w:lang w:val="af-ZA"/>
        </w:rPr>
        <w:softHyphen/>
      </w:r>
      <w:r w:rsidRPr="009070BD">
        <w:rPr>
          <w:b w:val="0"/>
          <w:szCs w:val="22"/>
        </w:rPr>
        <w:t>յություն</w:t>
      </w:r>
      <w:r w:rsidRPr="009070BD">
        <w:rPr>
          <w:b w:val="0"/>
          <w:szCs w:val="22"/>
          <w:lang w:val="af-ZA"/>
        </w:rPr>
        <w:softHyphen/>
      </w:r>
      <w:r w:rsidRPr="009070BD">
        <w:rPr>
          <w:b w:val="0"/>
          <w:szCs w:val="22"/>
        </w:rPr>
        <w:t>ներ</w:t>
      </w:r>
      <w:r w:rsidRPr="009070BD">
        <w:rPr>
          <w:b w:val="0"/>
          <w:szCs w:val="22"/>
          <w:lang w:val="af-ZA"/>
        </w:rPr>
        <w:t xml:space="preserve"> </w:t>
      </w:r>
      <w:r w:rsidRPr="009070BD">
        <w:rPr>
          <w:b w:val="0"/>
          <w:szCs w:val="22"/>
        </w:rPr>
        <w:t>մատուցելու</w:t>
      </w:r>
      <w:r w:rsidRPr="009070BD">
        <w:rPr>
          <w:b w:val="0"/>
          <w:szCs w:val="22"/>
          <w:lang w:val="af-ZA"/>
        </w:rPr>
        <w:t xml:space="preserve"> </w:t>
      </w:r>
      <w:r w:rsidRPr="009070BD">
        <w:rPr>
          <w:b w:val="0"/>
          <w:szCs w:val="22"/>
        </w:rPr>
        <w:t>հետևանքով</w:t>
      </w:r>
      <w:r w:rsidRPr="009070BD">
        <w:rPr>
          <w:b w:val="0"/>
          <w:szCs w:val="22"/>
          <w:lang w:val="af-ZA"/>
        </w:rPr>
        <w:t xml:space="preserve"> </w:t>
      </w:r>
      <w:r w:rsidRPr="009070BD">
        <w:rPr>
          <w:b w:val="0"/>
          <w:szCs w:val="22"/>
        </w:rPr>
        <w:t>չստացված</w:t>
      </w:r>
      <w:r w:rsidRPr="009070BD">
        <w:rPr>
          <w:b w:val="0"/>
          <w:szCs w:val="22"/>
          <w:lang w:val="af-ZA"/>
        </w:rPr>
        <w:t xml:space="preserve"> </w:t>
      </w:r>
      <w:r w:rsidRPr="009070BD">
        <w:rPr>
          <w:b w:val="0"/>
          <w:szCs w:val="22"/>
        </w:rPr>
        <w:t>եկամուտների</w:t>
      </w:r>
      <w:r w:rsidRPr="009070BD">
        <w:rPr>
          <w:b w:val="0"/>
          <w:szCs w:val="22"/>
          <w:lang w:val="af-ZA"/>
        </w:rPr>
        <w:t xml:space="preserve"> </w:t>
      </w:r>
      <w:r w:rsidRPr="009070BD">
        <w:rPr>
          <w:b w:val="0"/>
          <w:szCs w:val="22"/>
        </w:rPr>
        <w:t>փոխհատուցման</w:t>
      </w:r>
      <w:r w:rsidRPr="009070BD">
        <w:rPr>
          <w:b w:val="0"/>
          <w:szCs w:val="22"/>
          <w:lang w:val="af-ZA"/>
        </w:rPr>
        <w:t xml:space="preserve"> </w:t>
      </w:r>
      <w:r w:rsidRPr="009070BD">
        <w:rPr>
          <w:b w:val="0"/>
          <w:szCs w:val="22"/>
        </w:rPr>
        <w:t>նպատակով</w:t>
      </w:r>
      <w:r w:rsidRPr="009070BD">
        <w:rPr>
          <w:b w:val="0"/>
          <w:szCs w:val="22"/>
          <w:lang w:val="af-ZA"/>
        </w:rPr>
        <w:t xml:space="preserve"> «</w:t>
      </w:r>
      <w:r w:rsidRPr="009070BD">
        <w:rPr>
          <w:b w:val="0"/>
          <w:szCs w:val="22"/>
        </w:rPr>
        <w:t>Սիբիր</w:t>
      </w:r>
      <w:r w:rsidRPr="009070BD">
        <w:rPr>
          <w:b w:val="0"/>
          <w:szCs w:val="22"/>
          <w:lang w:val="af-ZA"/>
        </w:rPr>
        <w:t xml:space="preserve">» </w:t>
      </w:r>
      <w:r w:rsidRPr="009070BD">
        <w:rPr>
          <w:b w:val="0"/>
          <w:szCs w:val="22"/>
        </w:rPr>
        <w:t>ավիաընկերություն</w:t>
      </w:r>
      <w:r w:rsidRPr="009070BD">
        <w:rPr>
          <w:b w:val="0"/>
          <w:szCs w:val="22"/>
          <w:lang w:val="af-ZA"/>
        </w:rPr>
        <w:t xml:space="preserve">» </w:t>
      </w:r>
      <w:r w:rsidRPr="009070BD">
        <w:rPr>
          <w:b w:val="0"/>
          <w:szCs w:val="22"/>
        </w:rPr>
        <w:t>ԲԲԸ</w:t>
      </w:r>
      <w:r w:rsidRPr="009070BD">
        <w:rPr>
          <w:b w:val="0"/>
          <w:szCs w:val="22"/>
          <w:lang w:val="af-ZA"/>
        </w:rPr>
        <w:t>-</w:t>
      </w:r>
      <w:r w:rsidRPr="009070BD">
        <w:rPr>
          <w:b w:val="0"/>
          <w:szCs w:val="22"/>
        </w:rPr>
        <w:t>ին</w:t>
      </w:r>
      <w:r w:rsidRPr="009070BD">
        <w:rPr>
          <w:b w:val="0"/>
          <w:szCs w:val="22"/>
          <w:lang w:val="af-ZA"/>
        </w:rPr>
        <w:t xml:space="preserve"> </w:t>
      </w:r>
      <w:r w:rsidRPr="009070BD">
        <w:rPr>
          <w:b w:val="0"/>
          <w:szCs w:val="22"/>
        </w:rPr>
        <w:t>փոխհա</w:t>
      </w:r>
      <w:r w:rsidRPr="009070BD">
        <w:rPr>
          <w:b w:val="0"/>
          <w:szCs w:val="22"/>
          <w:lang w:val="af-ZA"/>
        </w:rPr>
        <w:softHyphen/>
      </w:r>
      <w:r w:rsidRPr="009070BD">
        <w:rPr>
          <w:b w:val="0"/>
          <w:szCs w:val="22"/>
        </w:rPr>
        <w:t>տուցելու</w:t>
      </w:r>
      <w:r w:rsidRPr="009070BD">
        <w:rPr>
          <w:b w:val="0"/>
          <w:szCs w:val="22"/>
          <w:lang w:val="af-ZA"/>
        </w:rPr>
        <w:t xml:space="preserve"> </w:t>
      </w:r>
      <w:r w:rsidRPr="009070BD">
        <w:rPr>
          <w:b w:val="0"/>
          <w:szCs w:val="22"/>
        </w:rPr>
        <w:t>համար</w:t>
      </w:r>
      <w:r w:rsidRPr="009070BD">
        <w:rPr>
          <w:b w:val="0"/>
          <w:szCs w:val="22"/>
          <w:lang w:val="af-ZA"/>
        </w:rPr>
        <w:t xml:space="preserve"> </w:t>
      </w:r>
      <w:r w:rsidRPr="009070BD">
        <w:rPr>
          <w:b w:val="0"/>
          <w:szCs w:val="22"/>
        </w:rPr>
        <w:t>նախատեսվում</w:t>
      </w:r>
      <w:r w:rsidRPr="009070BD">
        <w:rPr>
          <w:b w:val="0"/>
          <w:szCs w:val="22"/>
          <w:lang w:val="af-ZA"/>
        </w:rPr>
        <w:t xml:space="preserve"> </w:t>
      </w:r>
      <w:r w:rsidRPr="009070BD">
        <w:rPr>
          <w:b w:val="0"/>
          <w:szCs w:val="22"/>
        </w:rPr>
        <w:t>է</w:t>
      </w:r>
      <w:r w:rsidRPr="009070BD">
        <w:rPr>
          <w:b w:val="0"/>
          <w:szCs w:val="22"/>
          <w:lang w:val="af-ZA"/>
        </w:rPr>
        <w:t xml:space="preserve"> </w:t>
      </w:r>
      <w:r w:rsidRPr="009070BD">
        <w:rPr>
          <w:b w:val="0"/>
          <w:szCs w:val="22"/>
        </w:rPr>
        <w:t>հատկացնել</w:t>
      </w:r>
      <w:r w:rsidRPr="009070BD">
        <w:rPr>
          <w:b w:val="0"/>
          <w:szCs w:val="22"/>
          <w:lang w:val="af-ZA"/>
        </w:rPr>
        <w:t xml:space="preserve"> 15.0 </w:t>
      </w:r>
      <w:r w:rsidRPr="009070BD">
        <w:rPr>
          <w:b w:val="0"/>
          <w:szCs w:val="22"/>
        </w:rPr>
        <w:t>մլն</w:t>
      </w:r>
      <w:r w:rsidRPr="009070BD">
        <w:rPr>
          <w:b w:val="0"/>
          <w:szCs w:val="22"/>
          <w:lang w:val="af-ZA"/>
        </w:rPr>
        <w:t xml:space="preserve"> </w:t>
      </w:r>
      <w:r w:rsidRPr="009070BD">
        <w:rPr>
          <w:b w:val="0"/>
          <w:szCs w:val="22"/>
        </w:rPr>
        <w:t>դրամ</w:t>
      </w:r>
      <w:r w:rsidRPr="009070BD">
        <w:rPr>
          <w:b w:val="0"/>
          <w:szCs w:val="22"/>
          <w:lang w:val="af-ZA"/>
        </w:rPr>
        <w:t xml:space="preserve"> (2020 </w:t>
      </w:r>
      <w:r w:rsidRPr="009070BD">
        <w:rPr>
          <w:b w:val="0"/>
          <w:szCs w:val="22"/>
        </w:rPr>
        <w:t>թվականի</w:t>
      </w:r>
      <w:r w:rsidRPr="009070BD">
        <w:rPr>
          <w:b w:val="0"/>
          <w:szCs w:val="22"/>
          <w:lang w:val="af-ZA"/>
        </w:rPr>
        <w:t xml:space="preserve"> </w:t>
      </w:r>
      <w:r w:rsidRPr="009070BD">
        <w:rPr>
          <w:b w:val="0"/>
          <w:szCs w:val="22"/>
        </w:rPr>
        <w:t>համեմատ</w:t>
      </w:r>
      <w:r w:rsidRPr="009070BD">
        <w:rPr>
          <w:b w:val="0"/>
          <w:szCs w:val="22"/>
          <w:lang w:val="af-ZA"/>
        </w:rPr>
        <w:t xml:space="preserve"> 32%</w:t>
      </w:r>
      <w:r w:rsidRPr="009070BD">
        <w:rPr>
          <w:b w:val="0"/>
          <w:szCs w:val="22"/>
        </w:rPr>
        <w:t>ով</w:t>
      </w:r>
      <w:r w:rsidRPr="009070BD">
        <w:rPr>
          <w:b w:val="0"/>
          <w:szCs w:val="22"/>
          <w:lang w:val="af-ZA"/>
        </w:rPr>
        <w:t xml:space="preserve"> </w:t>
      </w:r>
      <w:r w:rsidRPr="009070BD">
        <w:rPr>
          <w:b w:val="0"/>
          <w:szCs w:val="22"/>
        </w:rPr>
        <w:t>պակաս</w:t>
      </w:r>
      <w:r w:rsidRPr="009070BD">
        <w:rPr>
          <w:b w:val="0"/>
          <w:szCs w:val="22"/>
          <w:lang w:val="af-ZA"/>
        </w:rPr>
        <w:t xml:space="preserve">): </w:t>
      </w:r>
    </w:p>
    <w:p w:rsidR="00500235" w:rsidRPr="009070BD" w:rsidRDefault="00500235" w:rsidP="007730AA">
      <w:pPr>
        <w:spacing w:before="0" w:line="276" w:lineRule="auto"/>
        <w:ind w:firstLine="720"/>
        <w:rPr>
          <w:rFonts w:cs="Sylfaen"/>
          <w:b w:val="0"/>
          <w:szCs w:val="22"/>
          <w:lang w:val="hy-AM"/>
        </w:rPr>
      </w:pPr>
      <w:r w:rsidRPr="009070BD">
        <w:rPr>
          <w:rFonts w:cs="Sylfaen"/>
          <w:b w:val="0"/>
          <w:szCs w:val="22"/>
          <w:lang w:val="hy-AM"/>
        </w:rPr>
        <w:t>Զբաղվածության ծրագիր</w:t>
      </w:r>
    </w:p>
    <w:p w:rsidR="00500235" w:rsidRPr="009070BD" w:rsidRDefault="00500235" w:rsidP="007730AA">
      <w:pPr>
        <w:spacing w:before="0" w:line="276" w:lineRule="auto"/>
        <w:rPr>
          <w:rFonts w:cs="Sylfaen"/>
          <w:b w:val="0"/>
          <w:szCs w:val="22"/>
          <w:lang w:val="af-ZA"/>
        </w:rPr>
      </w:pPr>
      <w:r w:rsidRPr="009070BD">
        <w:rPr>
          <w:rFonts w:cs="Sylfaen"/>
          <w:b w:val="0"/>
          <w:bCs/>
          <w:szCs w:val="22"/>
          <w:lang w:val="fr-FR"/>
        </w:rPr>
        <w:t xml:space="preserve">- </w:t>
      </w:r>
      <w:r w:rsidRPr="009070BD">
        <w:rPr>
          <w:rFonts w:cs="Sylfaen"/>
          <w:b w:val="0"/>
          <w:szCs w:val="22"/>
          <w:lang w:val="af-ZA"/>
        </w:rPr>
        <w:t>«Գործազուրկների՝ աշխատանաքից ազատման ռիսկ ունեցող՝ ինչպես նաև ազատազրկման ձևով պատիժը կրելու ավարտին վեց ամիս մնացած աշխատանք փնտրող անձանց մասնագիտական ուսուցման կազմակերպում» միջոցառման գծով նախատեսվում է ծախս 63,9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 «Աշխատանքի տոնավաճառի կազմակերպում» միջոցառման գծով նախատեսվում է ծախս 7,0 մլն դրամի չափով (պահպանվել է 2020 թվականի մակարդակը):</w:t>
      </w:r>
    </w:p>
    <w:p w:rsidR="00500235" w:rsidRPr="009070BD" w:rsidRDefault="00500235" w:rsidP="007730AA">
      <w:pPr>
        <w:tabs>
          <w:tab w:val="left" w:pos="720"/>
        </w:tabs>
        <w:spacing w:before="0" w:line="276" w:lineRule="auto"/>
        <w:rPr>
          <w:rFonts w:cs="Sylfaen"/>
          <w:b w:val="0"/>
          <w:szCs w:val="22"/>
          <w:lang w:val="af-ZA"/>
        </w:rPr>
      </w:pPr>
      <w:r w:rsidRPr="009070BD">
        <w:rPr>
          <w:rFonts w:cs="Sylfaen"/>
          <w:b w:val="0"/>
          <w:szCs w:val="22"/>
          <w:lang w:val="af-ZA"/>
        </w:rPr>
        <w:t>-«Աշխատաշուկայում անմրցունակ անձանց փոքր ձեռնարկատիրական գործունեության աջակցության տրամադրում ծրագրի ուսուցման կազմակերպման և խորհրդատվական ծառայություններ» միջոցառման գծով նախատեսվում է ծախս 10,0 մլն դրամի չափով (պահպանվել է 2020 թվականի մակարդակը):</w:t>
      </w:r>
    </w:p>
    <w:p w:rsidR="00500235" w:rsidRPr="009070BD" w:rsidRDefault="00500235" w:rsidP="007730AA">
      <w:pPr>
        <w:spacing w:before="0" w:line="276" w:lineRule="auto"/>
        <w:rPr>
          <w:rFonts w:cs="Sylfaen"/>
          <w:b w:val="0"/>
          <w:szCs w:val="22"/>
          <w:lang w:val="hy-AM"/>
        </w:rPr>
      </w:pPr>
      <w:r w:rsidRPr="009070BD">
        <w:rPr>
          <w:rFonts w:cs="Sylfaen"/>
          <w:b w:val="0"/>
          <w:szCs w:val="22"/>
          <w:lang w:val="af-ZA"/>
        </w:rPr>
        <w:t xml:space="preserve">- «Վարձատրվող հասարակական աշխատանքների իրականացման ապահովում» միջոցառման գծով նախատեսվում է 1,3 մլն դրամի չափով ծախս (2020 թվականին` 0,9 մլն դրամ): Ծախսերի աճը կազմում է </w:t>
      </w:r>
      <w:r w:rsidRPr="009070BD">
        <w:rPr>
          <w:rFonts w:cs="Sylfaen"/>
          <w:b w:val="0"/>
          <w:szCs w:val="22"/>
          <w:lang w:val="hy-AM"/>
        </w:rPr>
        <w:t>0,4</w:t>
      </w:r>
      <w:r w:rsidRPr="009070BD">
        <w:rPr>
          <w:rFonts w:cs="Sylfaen"/>
          <w:b w:val="0"/>
          <w:szCs w:val="22"/>
          <w:lang w:val="af-ZA"/>
        </w:rPr>
        <w:t xml:space="preserve"> մլն դրամ, որը պայմանավորված է «Վարձատրվող հասարակական աշխատանքների կազմակերպման միջոցով գործազուրկների ժամանակավոր զբաղվածության ապահովում» միջոցառման գծով ծախսերի ավելացմամբ</w:t>
      </w:r>
      <w:r w:rsidRPr="009070BD">
        <w:rPr>
          <w:rFonts w:cs="Sylfaen"/>
          <w:b w:val="0"/>
          <w:szCs w:val="22"/>
          <w:lang w:val="hy-AM"/>
        </w:rPr>
        <w:t xml:space="preserve">: </w:t>
      </w:r>
    </w:p>
    <w:p w:rsidR="00500235" w:rsidRPr="009070BD" w:rsidRDefault="00500235" w:rsidP="007730AA">
      <w:pPr>
        <w:tabs>
          <w:tab w:val="left" w:pos="720"/>
        </w:tabs>
        <w:spacing w:before="0" w:line="276" w:lineRule="auto"/>
        <w:rPr>
          <w:rFonts w:cs="Sylfaen"/>
          <w:b w:val="0"/>
          <w:szCs w:val="22"/>
          <w:lang w:val="af-ZA"/>
        </w:rPr>
      </w:pPr>
      <w:r w:rsidRPr="009070BD">
        <w:rPr>
          <w:rFonts w:cs="Sylfaen"/>
          <w:b w:val="0"/>
          <w:szCs w:val="22"/>
          <w:lang w:val="hy-AM"/>
        </w:rPr>
        <w:t>-</w:t>
      </w:r>
      <w:r w:rsidRPr="009070BD">
        <w:rPr>
          <w:rFonts w:cs="Sylfaen"/>
          <w:b w:val="0"/>
          <w:szCs w:val="22"/>
          <w:lang w:val="af-ZA"/>
        </w:rPr>
        <w:t>«Հաշմանդամություն ունեցող երեխաների ծնողների համար դասընթացների կազմակերպում»</w:t>
      </w:r>
      <w:r w:rsidRPr="009070BD">
        <w:rPr>
          <w:rFonts w:cs="Sylfaen"/>
          <w:b w:val="0"/>
          <w:szCs w:val="22"/>
          <w:lang w:val="hy-AM"/>
        </w:rPr>
        <w:t xml:space="preserve"> </w:t>
      </w:r>
      <w:r w:rsidRPr="009070BD">
        <w:rPr>
          <w:rFonts w:cs="Sylfaen"/>
          <w:b w:val="0"/>
          <w:szCs w:val="22"/>
          <w:lang w:val="af-ZA"/>
        </w:rPr>
        <w:t xml:space="preserve">միջոցառման գծով նախատեսվում է շուրջ </w:t>
      </w:r>
      <w:r w:rsidRPr="009070BD">
        <w:rPr>
          <w:rFonts w:cs="Sylfaen"/>
          <w:b w:val="0"/>
          <w:szCs w:val="22"/>
          <w:lang w:val="hy-AM"/>
        </w:rPr>
        <w:t>2,6</w:t>
      </w:r>
      <w:r w:rsidRPr="009070BD">
        <w:rPr>
          <w:rFonts w:cs="Sylfaen"/>
          <w:b w:val="0"/>
          <w:szCs w:val="22"/>
          <w:lang w:val="af-ZA"/>
        </w:rPr>
        <w:t xml:space="preserve"> մլն դրամի չափով ծախս (2020 թվականին` </w:t>
      </w:r>
      <w:r w:rsidRPr="009070BD">
        <w:rPr>
          <w:rFonts w:cs="Sylfaen"/>
          <w:b w:val="0"/>
          <w:szCs w:val="22"/>
          <w:lang w:val="hy-AM"/>
        </w:rPr>
        <w:t>2,2</w:t>
      </w:r>
      <w:r w:rsidRPr="009070BD">
        <w:rPr>
          <w:rFonts w:cs="Sylfaen"/>
          <w:b w:val="0"/>
          <w:szCs w:val="22"/>
          <w:lang w:val="af-ZA"/>
        </w:rPr>
        <w:t xml:space="preserve"> մլն դրամ): Ծախսերի աճը կազմում էշուրջ 0,4 մլն դրամ, որը պայմանավորված է շահառուների աճով: </w:t>
      </w:r>
    </w:p>
    <w:p w:rsidR="00500235" w:rsidRPr="009070BD" w:rsidRDefault="00500235" w:rsidP="007730AA">
      <w:pPr>
        <w:tabs>
          <w:tab w:val="left" w:pos="720"/>
          <w:tab w:val="left" w:pos="810"/>
        </w:tabs>
        <w:spacing w:before="0" w:line="276" w:lineRule="auto"/>
        <w:rPr>
          <w:rFonts w:cs="Sylfaen"/>
          <w:b w:val="0"/>
          <w:szCs w:val="22"/>
          <w:lang w:val="af-ZA"/>
        </w:rPr>
      </w:pPr>
      <w:r w:rsidRPr="009070BD">
        <w:rPr>
          <w:rFonts w:cs="Sylfaen"/>
          <w:b w:val="0"/>
          <w:szCs w:val="22"/>
          <w:lang w:val="af-ZA"/>
        </w:rPr>
        <w:t>-«Աշխատաշուկայում անմրցունակ անձանց փոքր ձեռնարկատիրական գործունեության աջակցության տրամադրում» միջոցառման գծով նախատեսվում է ծախս 50,0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ab/>
        <w:t>-«Աշխատաշուկայում անմրցունակ անձանց աշխատանքի տեղավորման դեպքում գործատուին աշխատավարձի մասնակի փոխհատուցում և հաշմանդամություն ունեցող անձին ուղեկցողի համար դրամական օգնության տրամադրում» միջոցառման գծով նախատեսվում է ծախս 42,8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-«Գործազուրկին այլ վայրում աշխատանքի տեղավորման աջակցության տրամադրում» միջոցառման գծով նախատեսվում է ծախս 23,3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-«Ձեռք բերած մասնագիտությամբ մասնագիտական աշխատանքային փորձ ձեռք բերելու համար գործազուրկներին աջակցության տրամադրում» միջոցառման գծով նախատեսվում է ծախս 164,3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-«Աշխատաշուկայում անմրցունակ անձանց աշխատանքի տեղավորման դեպքում գործատուին միանվագ փոխհատուցման տրամադրում» միջոցառման գծով նախատեսվում է ծախս 207,5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 xml:space="preserve">-«Սեզոնային զբաղվածության խթանման միջոցով գյուղացիական տնտեսությանն աջակցության տրամադրում» միջոցառման գծով նախատեսվում է 192,8 մլն դրամի չափով ծախս (2020 թվականին` 605,3 մլն դրամ): Ծախսերի նվազումը կազմում է 412,5 մլն դրամ, որը պայմանավորված է շահառուների թվի նվազմամբ: </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-«Գործազուրկների՝ աշխատանաքից ազատման ռիսկ ունեցող՝ ինչպես նաև ազատազրկման ձևով պատիժը կրելու ավարտին վեց ամիս մնացած աշխատանք փնտրող անձանց կրթաթոշակի տրամադրում» միջոցառման գծով նախատեսվում է ծախս 71,4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-«Մինչև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աջակցության տրամադրում» միջոցառման գծով նախատեսվում է ծախս 448,8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-«Աշխատաշուկայում անմրցունակ և մասնագիտություն չունեցող երիտասարդ մայրերի համար գործատուի մոտ մասնագիտական ուսուցման կազմակերպում» միջոցառման գծով նախատեսվում է 113,5 մլն դրամի չափով ծախս (2020 թվականին` 129,1 մլն դրամ): Ծախսերի նվազումը կազմում է 15,6 մլն դրամ, որը պայմանավորված է շահառուների թվի նվազմամբ:</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-«Վարձատրվող հասարակական աշխատանքների կազմակերպման միջոցով գործազուրկների ժամանակավոր զբաղվածության ապահովում» միջոցառման գծով նախատեսվում է 126,0 մլն դրամի չափով ծախս (2020 թվականին` 90,0 մլն դրամ): Ծախսերի աճը կազմում է 36,0 մլն դրամ, որը պայմանավորված է շահառուների թվի աճով:</w:t>
      </w:r>
    </w:p>
    <w:p w:rsidR="00500235" w:rsidRPr="009070BD" w:rsidRDefault="00500235" w:rsidP="007730AA">
      <w:pPr>
        <w:spacing w:before="0" w:line="276" w:lineRule="auto"/>
        <w:rPr>
          <w:rFonts w:cs="Sylfaen"/>
          <w:b w:val="0"/>
          <w:szCs w:val="22"/>
          <w:lang w:val="hy-AM"/>
        </w:rPr>
      </w:pPr>
      <w:r w:rsidRPr="009070BD">
        <w:rPr>
          <w:rFonts w:cs="Sylfaen"/>
          <w:b w:val="0"/>
          <w:szCs w:val="22"/>
          <w:lang w:val="af-ZA"/>
        </w:rPr>
        <w:t xml:space="preserve">-«Աշխատաշուկայում անմրցունակ անձանց անասնապահությամբ զբաղվելու համար աջակցության տրամադրում» միջոցառման գծով նախատեսվում է </w:t>
      </w:r>
      <w:r w:rsidRPr="009070BD">
        <w:rPr>
          <w:rFonts w:cs="Sylfaen"/>
          <w:b w:val="0"/>
          <w:szCs w:val="22"/>
          <w:lang w:val="hy-AM"/>
        </w:rPr>
        <w:t>575,6</w:t>
      </w:r>
      <w:r w:rsidRPr="009070BD">
        <w:rPr>
          <w:rFonts w:cs="Sylfaen"/>
          <w:b w:val="0"/>
          <w:szCs w:val="22"/>
          <w:lang w:val="af-ZA"/>
        </w:rPr>
        <w:t xml:space="preserve"> մլն դրամի չափով ծախս (2020 թվականին` </w:t>
      </w:r>
      <w:r w:rsidRPr="009070BD">
        <w:rPr>
          <w:rFonts w:cs="Sylfaen"/>
          <w:b w:val="0"/>
          <w:szCs w:val="22"/>
          <w:lang w:val="hy-AM"/>
        </w:rPr>
        <w:t>510</w:t>
      </w:r>
      <w:r w:rsidRPr="009070BD">
        <w:rPr>
          <w:rFonts w:cs="Sylfaen"/>
          <w:b w:val="0"/>
          <w:szCs w:val="22"/>
          <w:lang w:val="af-ZA"/>
        </w:rPr>
        <w:t xml:space="preserve"> մլն դրամ): Ծախսերի աճը կազմում է </w:t>
      </w:r>
      <w:r w:rsidRPr="009070BD">
        <w:rPr>
          <w:rFonts w:cs="Sylfaen"/>
          <w:b w:val="0"/>
          <w:szCs w:val="22"/>
          <w:lang w:val="hy-AM"/>
        </w:rPr>
        <w:t>65,6</w:t>
      </w:r>
      <w:r w:rsidRPr="009070BD">
        <w:rPr>
          <w:rFonts w:cs="Sylfaen"/>
          <w:b w:val="0"/>
          <w:szCs w:val="22"/>
          <w:lang w:val="af-ZA"/>
        </w:rPr>
        <w:t xml:space="preserve"> մլն դրամ, որը պայմանավորված է շահառուների թվի աճով:</w:t>
      </w:r>
    </w:p>
    <w:p w:rsidR="00500235" w:rsidRPr="009070BD" w:rsidRDefault="00500235" w:rsidP="007730AA">
      <w:pPr>
        <w:spacing w:before="0" w:line="276" w:lineRule="auto"/>
        <w:ind w:firstLine="720"/>
        <w:rPr>
          <w:rFonts w:cs="Sylfaen"/>
          <w:b w:val="0"/>
          <w:szCs w:val="22"/>
          <w:lang w:val="hy-AM"/>
        </w:rPr>
      </w:pPr>
      <w:r w:rsidRPr="009070BD">
        <w:rPr>
          <w:rFonts w:cs="Sylfaen"/>
          <w:b w:val="0"/>
          <w:szCs w:val="22"/>
          <w:lang w:val="hy-AM"/>
        </w:rPr>
        <w:t>Սոցիալական պաշտպանության բնագավառում պետական քաղաքականության մշակում, ծրագրերի համակարգում և մոնիթորինգ</w:t>
      </w:r>
    </w:p>
    <w:p w:rsidR="00500235" w:rsidRPr="009070BD" w:rsidRDefault="00500235" w:rsidP="007730AA">
      <w:pPr>
        <w:spacing w:before="0" w:line="276" w:lineRule="auto"/>
        <w:rPr>
          <w:rFonts w:cs="Sylfaen"/>
          <w:b w:val="0"/>
          <w:szCs w:val="22"/>
          <w:lang w:val="hy-AM"/>
        </w:rPr>
      </w:pPr>
      <w:r w:rsidRPr="009070BD">
        <w:rPr>
          <w:rFonts w:cs="Sylfaen"/>
          <w:b w:val="0"/>
          <w:szCs w:val="22"/>
          <w:lang w:val="af-ZA"/>
        </w:rPr>
        <w:t xml:space="preserve">-«Հանրային իրազեկման միջոցառումների իրականացում» միջոցառման գծով նախատեսվում է ծախս </w:t>
      </w:r>
      <w:r w:rsidRPr="009070BD">
        <w:rPr>
          <w:rFonts w:cs="Sylfaen"/>
          <w:b w:val="0"/>
          <w:szCs w:val="22"/>
          <w:lang w:val="hy-AM"/>
        </w:rPr>
        <w:t>21.3</w:t>
      </w:r>
      <w:r w:rsidRPr="009070BD">
        <w:rPr>
          <w:rFonts w:cs="Sylfaen"/>
          <w:b w:val="0"/>
          <w:szCs w:val="22"/>
          <w:lang w:val="af-ZA"/>
        </w:rPr>
        <w:t xml:space="preserve"> մլն դրամի չափով (պահպանվել է 2020 թվականի մակարդակը):</w:t>
      </w:r>
    </w:p>
    <w:p w:rsidR="00500235" w:rsidRPr="009070BD" w:rsidRDefault="00500235" w:rsidP="007730AA">
      <w:pPr>
        <w:spacing w:before="0" w:line="276" w:lineRule="auto"/>
        <w:rPr>
          <w:rFonts w:cs="Sylfaen"/>
          <w:b w:val="0"/>
          <w:szCs w:val="22"/>
          <w:lang w:val="hy-AM"/>
        </w:rPr>
      </w:pPr>
      <w:r w:rsidRPr="009070BD">
        <w:rPr>
          <w:rFonts w:cs="Sylfaen"/>
          <w:b w:val="0"/>
          <w:szCs w:val="22"/>
          <w:lang w:val="af-ZA"/>
        </w:rPr>
        <w:t xml:space="preserve">-«Սոցիալական պաշտպանության ոլորտի տեղեկատվական համակարգի սպասարկման (կատարելագործման)՝ շահագործման և տեղեկատվության տրամադրման ծառայություններ» միջոցառման գծով նախատեսվում է ծախս </w:t>
      </w:r>
      <w:r w:rsidRPr="009070BD">
        <w:rPr>
          <w:rFonts w:cs="Sylfaen"/>
          <w:b w:val="0"/>
          <w:szCs w:val="22"/>
          <w:lang w:val="hy-AM"/>
        </w:rPr>
        <w:t>315,0</w:t>
      </w:r>
      <w:r w:rsidRPr="009070BD">
        <w:rPr>
          <w:rFonts w:cs="Sylfaen"/>
          <w:b w:val="0"/>
          <w:szCs w:val="22"/>
          <w:lang w:val="af-ZA"/>
        </w:rPr>
        <w:t xml:space="preserve"> մլն դրամի չափով (պահպանվել է 2020 թվականի մակարդակը):</w:t>
      </w:r>
    </w:p>
    <w:p w:rsidR="00500235" w:rsidRPr="009070BD" w:rsidRDefault="00500235" w:rsidP="007730AA">
      <w:pPr>
        <w:spacing w:before="0" w:line="276" w:lineRule="auto"/>
        <w:ind w:firstLine="720"/>
        <w:rPr>
          <w:rFonts w:cs="Sylfaen"/>
          <w:b w:val="0"/>
          <w:szCs w:val="22"/>
          <w:lang w:val="af-ZA"/>
        </w:rPr>
      </w:pPr>
      <w:r w:rsidRPr="009070BD">
        <w:rPr>
          <w:rFonts w:cs="Sylfaen"/>
          <w:b w:val="0"/>
          <w:szCs w:val="22"/>
          <w:lang w:val="af-ZA"/>
        </w:rPr>
        <w:t>Ընտանիքներին, կանանց և երեխաներին աջակցություն</w:t>
      </w:r>
    </w:p>
    <w:p w:rsidR="00500235" w:rsidRPr="009070BD" w:rsidRDefault="00500235" w:rsidP="007730AA">
      <w:pPr>
        <w:spacing w:before="0" w:line="276" w:lineRule="auto"/>
        <w:rPr>
          <w:rFonts w:cs="Sylfaen"/>
          <w:b w:val="0"/>
          <w:szCs w:val="22"/>
          <w:lang w:val="hy-AM"/>
        </w:rPr>
      </w:pPr>
      <w:r w:rsidRPr="009070BD">
        <w:rPr>
          <w:rFonts w:cs="Sylfaen"/>
          <w:b w:val="0"/>
          <w:szCs w:val="22"/>
          <w:lang w:val="af-ZA"/>
        </w:rPr>
        <w:t xml:space="preserve">-«Երեխաների շուրջօրյա խնամքի ծառայություններ» միջոցառման գծով նախատեսվում է ծախս </w:t>
      </w:r>
      <w:r w:rsidRPr="009070BD">
        <w:rPr>
          <w:rFonts w:cs="Sylfaen"/>
          <w:b w:val="0"/>
          <w:szCs w:val="22"/>
          <w:lang w:val="hy-AM"/>
        </w:rPr>
        <w:t>2,017,3</w:t>
      </w:r>
      <w:r w:rsidRPr="009070BD">
        <w:rPr>
          <w:rFonts w:cs="Sylfaen"/>
          <w:b w:val="0"/>
          <w:szCs w:val="22"/>
          <w:lang w:val="af-ZA"/>
        </w:rPr>
        <w:t xml:space="preserve"> մլն դրամի չափով (պահպանվել է 2020 թվականի մակարդակը):</w:t>
      </w:r>
    </w:p>
    <w:p w:rsidR="00500235" w:rsidRPr="009070BD" w:rsidRDefault="00500235" w:rsidP="007730AA">
      <w:pPr>
        <w:spacing w:before="0" w:line="276" w:lineRule="auto"/>
        <w:rPr>
          <w:rFonts w:cs="Sylfaen"/>
          <w:b w:val="0"/>
          <w:szCs w:val="22"/>
          <w:lang w:val="hy-AM"/>
        </w:rPr>
      </w:pPr>
      <w:r w:rsidRPr="009070BD">
        <w:rPr>
          <w:rFonts w:cs="Sylfaen"/>
          <w:b w:val="0"/>
          <w:szCs w:val="22"/>
          <w:lang w:val="af-ZA"/>
        </w:rPr>
        <w:t xml:space="preserve">-«ՀՀ երեխաների շուրջօրյա խնամք և պաշտպանություն իրականացնող հաստատություններում խնամվող և հաստատությունում հայտնվելու ռիսկի խմբում գտնվող երեխաների ընտանիք վերադարձնելու և մուտքը հաստատություններ կանխարգելելու ծառայություններ» միջոցառման գծով նախատեսվում է ծախս </w:t>
      </w:r>
      <w:r w:rsidRPr="009070BD">
        <w:rPr>
          <w:rFonts w:cs="Sylfaen"/>
          <w:b w:val="0"/>
          <w:szCs w:val="22"/>
          <w:lang w:val="hy-AM"/>
        </w:rPr>
        <w:t>28,4</w:t>
      </w:r>
      <w:r w:rsidRPr="009070BD">
        <w:rPr>
          <w:rFonts w:cs="Sylfaen"/>
          <w:b w:val="0"/>
          <w:szCs w:val="22"/>
          <w:lang w:val="af-ZA"/>
        </w:rPr>
        <w:t xml:space="preserve"> մլն դրամի չափով (2020 թվականին` </w:t>
      </w:r>
      <w:r w:rsidRPr="009070BD">
        <w:rPr>
          <w:rFonts w:cs="Sylfaen"/>
          <w:b w:val="0"/>
          <w:szCs w:val="22"/>
          <w:lang w:val="hy-AM"/>
        </w:rPr>
        <w:t>19,6</w:t>
      </w:r>
      <w:r w:rsidRPr="009070BD">
        <w:rPr>
          <w:rFonts w:cs="Sylfaen"/>
          <w:b w:val="0"/>
          <w:szCs w:val="22"/>
          <w:lang w:val="af-ZA"/>
        </w:rPr>
        <w:t xml:space="preserve"> մլն դրամ): Ծախսերի աճը կազմում է </w:t>
      </w:r>
      <w:r w:rsidRPr="009070BD">
        <w:rPr>
          <w:rFonts w:cs="Sylfaen"/>
          <w:b w:val="0"/>
          <w:szCs w:val="22"/>
          <w:lang w:val="hy-AM"/>
        </w:rPr>
        <w:t>8,8</w:t>
      </w:r>
      <w:r w:rsidRPr="009070BD">
        <w:rPr>
          <w:rFonts w:cs="Sylfaen"/>
          <w:b w:val="0"/>
          <w:szCs w:val="22"/>
          <w:lang w:val="af-ZA"/>
        </w:rPr>
        <w:t xml:space="preserve"> մլն դրամ, որը պայմանավորված է շահառուների թվի աճով: </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 xml:space="preserve">-«Կյանքի դժվարին իրավիճակում հայտնված երեխաներին ժամանակավոր խնամքի տրամադրման ծառայություններ» միջոցառման գծով նախատեսվում է ծախս </w:t>
      </w:r>
      <w:r w:rsidRPr="009070BD">
        <w:rPr>
          <w:rFonts w:cs="Sylfaen"/>
          <w:b w:val="0"/>
          <w:szCs w:val="22"/>
          <w:lang w:val="hy-AM"/>
        </w:rPr>
        <w:t>470,9</w:t>
      </w:r>
      <w:r w:rsidRPr="009070BD">
        <w:rPr>
          <w:rFonts w:cs="Sylfaen"/>
          <w:b w:val="0"/>
          <w:szCs w:val="22"/>
          <w:lang w:val="af-ZA"/>
        </w:rPr>
        <w:t xml:space="preserve"> մլն դրամի չափով (2020 թվականին` 52,8 մլն դրամ): Ծախսերի աճը կազմում է 418,1 մլն դրամ, որը պայմանավորված է շահառուների թվի աճով:</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-«Երեխաների և ընտանիքների աջակցության տրամադրման ծառայություններ» միջոցառման գծով նախատեսվում է ծախս 545,8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-«Թրաֆիքինգի և շահագործման, սեռական բռնության ենթարկված անձանց սոցիալ-հոգեբանական վերականգնողական ծառայություններ» միջոցառման գծով նախատեսվում է ծախս 40,2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-«Երեխաների շուրջօրյա խնամքի բնակչության սոցիալական պաշտպանության հաստատություններում խնամվող դպրոցում սովորող երեխաներին դրամական աջակցության տրամադրում» միջոցառման գծով նախատեսվում է ծախս 6,4 մլն դրամի չափով (2020 թվականին` 2,7 մլն դրամ): Ծախսերի աճը կազմում է 3,7 մլն դրամ, որը պայմանավորված է շահառուների թվի աճով:</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-«Երեխաների շուրջօրյա խնամքի բնակչության սոցիալական պաշտպանության հաստատությունների շրջանավարտներին միանվագ դրամական օգնության տրամադրում» միջոցառման գծով նախատեսվում է ծախս 0,4 մլն դրամի չափով (2020 թվականին` 0,2 մլն դրամ): Ծախսերի աճը կազմում է 0,2 մլն դրամ, որը պայմանավորված է շահառուների թվի աճով:</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-«Խնամատար ընտանիքում երեխայի խնամքի և դաստիարակության աջակցության տրամադրում» միջոցառման գծով նախատեսվում է ծախս 168,9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-«Մարդկանց թրաֆիքինգի (և/կամ) շահագործման զոհերին միանվագ դրամական փոխհատուցման տրամադրում» միջոցառման գծով նախատեսվում է ծախս 1,7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-«Ընտանիքում բռնության ենթարկված անձանց ապաստարանի ծառայություններ» միջոցառման գծով նախատեսվում է ծախս 13,3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-«Ընտանեկան բռնության ենթարկված անձանց աջակցության կենտրոնների ծառայություններ» միջոցառման գծով նախատեսվում է ծախս 66,7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-«Ընտանիքում բռնության ենթարկվածների ժամանակավոր աջակցություն» միջոցառման գծով նախատեսվում է ծախս 10,0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-«Երեխաների խնամքի ցերեկային ծառայությունների տրամադրում» միջոցառման գծով նախատեսվում է ծախս 291,2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-«Կենսաբանական ընտանիք տեղափոխված և հաստատություն մուտքը կանխարգելված երեխաների ընտանիքների  բնաիրային օգնության փաթեթի տրամադրում» միջոցառման գծով նախատեսվում է ծախս 34 մլն դրամի չափով (2020 թվականին` 79,4 մլն դրամ): Ծախսերի նվազումը կազմում է 45,4 մլն դրամ, որը պայմանավորված է շահառուների թվի կրճատմամբ:</w:t>
      </w:r>
    </w:p>
    <w:p w:rsidR="00500235" w:rsidRPr="009070BD" w:rsidRDefault="00500235" w:rsidP="007730AA">
      <w:pPr>
        <w:spacing w:before="0" w:line="276" w:lineRule="auto"/>
        <w:ind w:firstLine="720"/>
        <w:rPr>
          <w:rFonts w:cs="Sylfaen"/>
          <w:b w:val="0"/>
          <w:szCs w:val="22"/>
          <w:lang w:val="af-ZA"/>
        </w:rPr>
      </w:pPr>
      <w:r w:rsidRPr="009070BD">
        <w:rPr>
          <w:rFonts w:cs="Sylfaen"/>
          <w:b w:val="0"/>
          <w:szCs w:val="22"/>
          <w:lang w:val="af-ZA"/>
        </w:rPr>
        <w:t>Սոցիալական պաշտպանության ոլորտի զարգացման ծրագիր</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 xml:space="preserve">-«Մեթոդաբանական ձեռնարկների մշակում՝ հետազոտությունների անցկացում և սոցիալական ապահովության ոլորտի կադրերի վերապատրաստում» միջոցառման գծով նախատեսվում է ծախս </w:t>
      </w:r>
      <w:r w:rsidRPr="009070BD">
        <w:rPr>
          <w:rFonts w:cs="Sylfaen"/>
          <w:b w:val="0"/>
          <w:szCs w:val="22"/>
          <w:lang w:val="hy-AM"/>
        </w:rPr>
        <w:t>104,3</w:t>
      </w:r>
      <w:r w:rsidRPr="009070BD">
        <w:rPr>
          <w:rFonts w:cs="Sylfaen"/>
          <w:b w:val="0"/>
          <w:szCs w:val="22"/>
          <w:lang w:val="af-ZA"/>
        </w:rPr>
        <w:t xml:space="preserve"> մլն դրամի չափով (պահպանվել է 2020 թվականի մակարդակը):</w:t>
      </w:r>
    </w:p>
    <w:p w:rsidR="00500235" w:rsidRPr="009070BD" w:rsidRDefault="00500235" w:rsidP="007730AA">
      <w:pPr>
        <w:spacing w:before="0" w:line="276" w:lineRule="auto"/>
        <w:rPr>
          <w:rFonts w:cs="Sylfaen"/>
          <w:b w:val="0"/>
          <w:szCs w:val="22"/>
          <w:lang w:val="af-ZA"/>
        </w:rPr>
      </w:pPr>
      <w:r w:rsidRPr="009070BD">
        <w:rPr>
          <w:rFonts w:cs="Sylfaen"/>
          <w:b w:val="0"/>
          <w:szCs w:val="22"/>
          <w:lang w:val="af-ZA"/>
        </w:rPr>
        <w:t xml:space="preserve">-«Մասնագիտական կողմնորոշման՝ համակարգի մեթոդաբանության ապահովման և կադրերի վերապատրաստման ծառայություններ» միջոցառման գծով նախատեսվում է ծախս </w:t>
      </w:r>
      <w:r w:rsidRPr="009070BD">
        <w:rPr>
          <w:rFonts w:cs="Sylfaen"/>
          <w:b w:val="0"/>
          <w:szCs w:val="22"/>
          <w:lang w:val="hy-AM"/>
        </w:rPr>
        <w:t>24,1</w:t>
      </w:r>
      <w:r w:rsidRPr="009070BD">
        <w:rPr>
          <w:rFonts w:cs="Sylfaen"/>
          <w:b w:val="0"/>
          <w:szCs w:val="22"/>
          <w:lang w:val="af-ZA"/>
        </w:rPr>
        <w:t xml:space="preserve"> մլն դրամի չափով (պահպանվել է 2020 թվականի մակարդակը):</w:t>
      </w:r>
    </w:p>
    <w:p w:rsidR="00500235" w:rsidRPr="009070BD" w:rsidRDefault="00500235" w:rsidP="007730AA">
      <w:pPr>
        <w:spacing w:before="0" w:line="276" w:lineRule="auto"/>
        <w:ind w:firstLine="720"/>
        <w:rPr>
          <w:rFonts w:cs="Sylfaen"/>
          <w:b w:val="0"/>
          <w:color w:val="000000" w:themeColor="text1"/>
          <w:szCs w:val="22"/>
          <w:lang w:val="af-ZA"/>
        </w:rPr>
      </w:pPr>
      <w:r w:rsidRPr="009070BD">
        <w:rPr>
          <w:rFonts w:cs="Sylfaen"/>
          <w:b w:val="0"/>
          <w:color w:val="000000" w:themeColor="text1"/>
          <w:szCs w:val="22"/>
          <w:lang w:val="af-ZA"/>
        </w:rPr>
        <w:t>Բնակարանային ապահովում.</w:t>
      </w:r>
    </w:p>
    <w:p w:rsidR="00500235" w:rsidRPr="009070BD" w:rsidRDefault="00500235" w:rsidP="007730AA">
      <w:pPr>
        <w:pStyle w:val="ListParagraph"/>
        <w:numPr>
          <w:ilvl w:val="0"/>
          <w:numId w:val="52"/>
        </w:numPr>
        <w:spacing w:before="0" w:line="276" w:lineRule="auto"/>
        <w:ind w:left="0" w:firstLine="567"/>
        <w:rPr>
          <w:b w:val="0"/>
          <w:lang w:val="af-ZA"/>
        </w:rPr>
      </w:pPr>
      <w:r w:rsidRPr="009070BD">
        <w:rPr>
          <w:b w:val="0"/>
          <w:lang w:val="af-ZA"/>
        </w:rPr>
        <w:t xml:space="preserve"> «</w:t>
      </w:r>
      <w:r w:rsidRPr="009070BD">
        <w:rPr>
          <w:b w:val="0"/>
        </w:rPr>
        <w:t>Զոհված</w:t>
      </w:r>
      <w:r w:rsidRPr="009070BD">
        <w:rPr>
          <w:b w:val="0"/>
          <w:lang w:val="af-ZA"/>
        </w:rPr>
        <w:t xml:space="preserve"> (</w:t>
      </w:r>
      <w:r w:rsidRPr="009070BD">
        <w:rPr>
          <w:b w:val="0"/>
        </w:rPr>
        <w:t>մահացած</w:t>
      </w:r>
      <w:r w:rsidRPr="009070BD">
        <w:rPr>
          <w:b w:val="0"/>
          <w:lang w:val="af-ZA"/>
        </w:rPr>
        <w:t xml:space="preserve">) </w:t>
      </w:r>
      <w:r w:rsidRPr="009070BD">
        <w:rPr>
          <w:b w:val="0"/>
        </w:rPr>
        <w:t>առաջին</w:t>
      </w:r>
      <w:r w:rsidRPr="009070BD">
        <w:rPr>
          <w:b w:val="0"/>
          <w:lang w:val="af-ZA"/>
        </w:rPr>
        <w:t xml:space="preserve">, </w:t>
      </w:r>
      <w:r w:rsidRPr="009070BD">
        <w:rPr>
          <w:b w:val="0"/>
        </w:rPr>
        <w:t>երկրորդ</w:t>
      </w:r>
      <w:r w:rsidRPr="009070BD">
        <w:rPr>
          <w:b w:val="0"/>
          <w:lang w:val="af-ZA"/>
        </w:rPr>
        <w:t xml:space="preserve"> </w:t>
      </w:r>
      <w:r w:rsidRPr="009070BD">
        <w:rPr>
          <w:b w:val="0"/>
        </w:rPr>
        <w:t>և</w:t>
      </w:r>
      <w:r w:rsidRPr="009070BD">
        <w:rPr>
          <w:b w:val="0"/>
          <w:lang w:val="af-ZA"/>
        </w:rPr>
        <w:t xml:space="preserve"> </w:t>
      </w:r>
      <w:r w:rsidRPr="009070BD">
        <w:rPr>
          <w:b w:val="0"/>
        </w:rPr>
        <w:t>երրորդ</w:t>
      </w:r>
      <w:r w:rsidRPr="009070BD">
        <w:rPr>
          <w:b w:val="0"/>
          <w:lang w:val="af-ZA"/>
        </w:rPr>
        <w:t xml:space="preserve"> </w:t>
      </w:r>
      <w:r w:rsidR="007E474B">
        <w:rPr>
          <w:b w:val="0"/>
          <w:lang w:val="en-US"/>
        </w:rPr>
        <w:t>խմբի</w:t>
      </w:r>
      <w:r w:rsidRPr="009070BD">
        <w:rPr>
          <w:b w:val="0"/>
          <w:lang w:val="af-ZA"/>
        </w:rPr>
        <w:t xml:space="preserve"> </w:t>
      </w:r>
      <w:r w:rsidRPr="009070BD">
        <w:rPr>
          <w:b w:val="0"/>
        </w:rPr>
        <w:t>հաշմանդամ</w:t>
      </w:r>
      <w:r w:rsidRPr="009070BD">
        <w:rPr>
          <w:b w:val="0"/>
          <w:lang w:val="af-ZA"/>
        </w:rPr>
        <w:t xml:space="preserve"> </w:t>
      </w:r>
      <w:r w:rsidRPr="009070BD">
        <w:rPr>
          <w:b w:val="0"/>
        </w:rPr>
        <w:t>զինծառայողների</w:t>
      </w:r>
      <w:r w:rsidRPr="009070BD">
        <w:rPr>
          <w:b w:val="0"/>
          <w:lang w:val="af-ZA"/>
        </w:rPr>
        <w:t xml:space="preserve"> </w:t>
      </w:r>
      <w:r w:rsidRPr="009070BD">
        <w:rPr>
          <w:b w:val="0"/>
        </w:rPr>
        <w:t>անօթևան</w:t>
      </w:r>
      <w:r w:rsidRPr="009070BD">
        <w:rPr>
          <w:b w:val="0"/>
          <w:lang w:val="af-ZA"/>
        </w:rPr>
        <w:t xml:space="preserve"> </w:t>
      </w:r>
      <w:r w:rsidRPr="009070BD">
        <w:rPr>
          <w:b w:val="0"/>
        </w:rPr>
        <w:t>ընտանիքներին</w:t>
      </w:r>
      <w:r w:rsidRPr="009070BD">
        <w:rPr>
          <w:b w:val="0"/>
          <w:lang w:val="af-ZA"/>
        </w:rPr>
        <w:t xml:space="preserve"> </w:t>
      </w:r>
      <w:r w:rsidRPr="009070BD">
        <w:rPr>
          <w:b w:val="0"/>
        </w:rPr>
        <w:t>բնակարանով</w:t>
      </w:r>
      <w:r w:rsidRPr="009070BD">
        <w:rPr>
          <w:b w:val="0"/>
          <w:lang w:val="af-ZA"/>
        </w:rPr>
        <w:t xml:space="preserve"> </w:t>
      </w:r>
      <w:r w:rsidRPr="009070BD">
        <w:rPr>
          <w:b w:val="0"/>
        </w:rPr>
        <w:t>ապահովում</w:t>
      </w:r>
      <w:r w:rsidRPr="009070BD">
        <w:rPr>
          <w:b w:val="0"/>
          <w:lang w:val="af-ZA"/>
        </w:rPr>
        <w:t xml:space="preserve"> </w:t>
      </w:r>
      <w:r w:rsidRPr="009070BD">
        <w:rPr>
          <w:b w:val="0"/>
        </w:rPr>
        <w:t>և</w:t>
      </w:r>
      <w:r w:rsidRPr="009070BD">
        <w:rPr>
          <w:b w:val="0"/>
          <w:lang w:val="af-ZA"/>
        </w:rPr>
        <w:t xml:space="preserve"> </w:t>
      </w:r>
      <w:r w:rsidRPr="009070BD">
        <w:rPr>
          <w:b w:val="0"/>
        </w:rPr>
        <w:t>բնակարանային</w:t>
      </w:r>
      <w:r w:rsidRPr="009070BD">
        <w:rPr>
          <w:b w:val="0"/>
          <w:lang w:val="af-ZA"/>
        </w:rPr>
        <w:t xml:space="preserve"> </w:t>
      </w:r>
      <w:r w:rsidRPr="009070BD">
        <w:rPr>
          <w:b w:val="0"/>
        </w:rPr>
        <w:t>պայմանների</w:t>
      </w:r>
      <w:r w:rsidRPr="009070BD">
        <w:rPr>
          <w:b w:val="0"/>
          <w:lang w:val="af-ZA"/>
        </w:rPr>
        <w:t xml:space="preserve"> </w:t>
      </w:r>
      <w:r w:rsidRPr="009070BD">
        <w:rPr>
          <w:b w:val="0"/>
        </w:rPr>
        <w:t>բարելավում</w:t>
      </w:r>
      <w:r w:rsidRPr="009070BD">
        <w:rPr>
          <w:b w:val="0"/>
          <w:lang w:val="af-ZA"/>
        </w:rPr>
        <w:t xml:space="preserve">» </w:t>
      </w:r>
      <w:r w:rsidRPr="009070BD">
        <w:rPr>
          <w:b w:val="0"/>
        </w:rPr>
        <w:t>միջոցառմամբ</w:t>
      </w:r>
      <w:r w:rsidRPr="009070BD">
        <w:rPr>
          <w:b w:val="0"/>
          <w:lang w:val="af-ZA"/>
        </w:rPr>
        <w:t xml:space="preserve"> </w:t>
      </w:r>
      <w:r w:rsidRPr="009070BD">
        <w:rPr>
          <w:b w:val="0"/>
        </w:rPr>
        <w:t>նախատեսվում</w:t>
      </w:r>
      <w:r w:rsidRPr="009070BD">
        <w:rPr>
          <w:b w:val="0"/>
          <w:lang w:val="af-ZA"/>
        </w:rPr>
        <w:t xml:space="preserve"> </w:t>
      </w:r>
      <w:r w:rsidRPr="009070BD">
        <w:rPr>
          <w:b w:val="0"/>
        </w:rPr>
        <w:t>է</w:t>
      </w:r>
      <w:r w:rsidRPr="009070BD">
        <w:rPr>
          <w:b w:val="0"/>
          <w:lang w:val="af-ZA"/>
        </w:rPr>
        <w:t xml:space="preserve"> 500.0 </w:t>
      </w:r>
      <w:r w:rsidRPr="009070BD">
        <w:rPr>
          <w:b w:val="0"/>
        </w:rPr>
        <w:t>մլն</w:t>
      </w:r>
      <w:r w:rsidRPr="009070BD">
        <w:rPr>
          <w:b w:val="0"/>
          <w:lang w:val="af-ZA"/>
        </w:rPr>
        <w:t xml:space="preserve"> </w:t>
      </w:r>
      <w:r w:rsidRPr="009070BD">
        <w:rPr>
          <w:b w:val="0"/>
        </w:rPr>
        <w:t>դրամ</w:t>
      </w:r>
      <w:r w:rsidRPr="009070BD">
        <w:rPr>
          <w:b w:val="0"/>
          <w:lang w:val="af-ZA"/>
        </w:rPr>
        <w:t xml:space="preserve"> (</w:t>
      </w:r>
      <w:r w:rsidRPr="009070BD">
        <w:rPr>
          <w:b w:val="0"/>
        </w:rPr>
        <w:t>պահպանվել</w:t>
      </w:r>
      <w:r w:rsidRPr="009070BD">
        <w:rPr>
          <w:b w:val="0"/>
          <w:lang w:val="af-ZA"/>
        </w:rPr>
        <w:t xml:space="preserve"> </w:t>
      </w:r>
      <w:r w:rsidRPr="009070BD">
        <w:rPr>
          <w:b w:val="0"/>
        </w:rPr>
        <w:t>է</w:t>
      </w:r>
      <w:r w:rsidRPr="009070BD">
        <w:rPr>
          <w:b w:val="0"/>
          <w:lang w:val="af-ZA"/>
        </w:rPr>
        <w:t xml:space="preserve"> 2020 </w:t>
      </w:r>
      <w:r w:rsidRPr="009070BD">
        <w:rPr>
          <w:b w:val="0"/>
        </w:rPr>
        <w:t>թվականի</w:t>
      </w:r>
      <w:r w:rsidRPr="009070BD">
        <w:rPr>
          <w:b w:val="0"/>
          <w:lang w:val="af-ZA"/>
        </w:rPr>
        <w:t xml:space="preserve"> </w:t>
      </w:r>
      <w:r w:rsidRPr="009070BD">
        <w:rPr>
          <w:b w:val="0"/>
        </w:rPr>
        <w:t>մակարդակը</w:t>
      </w:r>
      <w:r w:rsidRPr="009070BD">
        <w:rPr>
          <w:b w:val="0"/>
          <w:lang w:val="af-ZA"/>
        </w:rPr>
        <w:t xml:space="preserve">), </w:t>
      </w:r>
      <w:r w:rsidRPr="009070BD">
        <w:rPr>
          <w:b w:val="0"/>
        </w:rPr>
        <w:t>որի</w:t>
      </w:r>
      <w:r w:rsidRPr="009070BD">
        <w:rPr>
          <w:b w:val="0"/>
          <w:lang w:val="af-ZA"/>
        </w:rPr>
        <w:t xml:space="preserve"> </w:t>
      </w:r>
      <w:r w:rsidRPr="009070BD">
        <w:rPr>
          <w:b w:val="0"/>
        </w:rPr>
        <w:t>շրջանակներում</w:t>
      </w:r>
      <w:r w:rsidRPr="009070BD">
        <w:rPr>
          <w:b w:val="0"/>
          <w:lang w:val="af-ZA"/>
        </w:rPr>
        <w:t xml:space="preserve"> </w:t>
      </w:r>
      <w:r w:rsidRPr="009070BD">
        <w:rPr>
          <w:b w:val="0"/>
        </w:rPr>
        <w:t>նախատես</w:t>
      </w:r>
      <w:r w:rsidRPr="009070BD">
        <w:rPr>
          <w:b w:val="0"/>
          <w:lang w:val="af-ZA"/>
        </w:rPr>
        <w:softHyphen/>
      </w:r>
      <w:r w:rsidRPr="009070BD">
        <w:rPr>
          <w:b w:val="0"/>
        </w:rPr>
        <w:t>վում</w:t>
      </w:r>
      <w:r w:rsidRPr="009070BD">
        <w:rPr>
          <w:b w:val="0"/>
          <w:lang w:val="af-ZA"/>
        </w:rPr>
        <w:t xml:space="preserve"> </w:t>
      </w:r>
      <w:r w:rsidRPr="009070BD">
        <w:rPr>
          <w:b w:val="0"/>
        </w:rPr>
        <w:t>է</w:t>
      </w:r>
      <w:r w:rsidRPr="009070BD">
        <w:rPr>
          <w:b w:val="0"/>
          <w:lang w:val="af-ZA"/>
        </w:rPr>
        <w:t xml:space="preserve"> </w:t>
      </w:r>
      <w:r w:rsidRPr="009070BD">
        <w:rPr>
          <w:b w:val="0"/>
        </w:rPr>
        <w:t>լուծել</w:t>
      </w:r>
      <w:r w:rsidRPr="009070BD">
        <w:rPr>
          <w:b w:val="0"/>
          <w:lang w:val="af-ZA"/>
        </w:rPr>
        <w:t xml:space="preserve"> 66 </w:t>
      </w:r>
      <w:r w:rsidRPr="009070BD">
        <w:rPr>
          <w:b w:val="0"/>
        </w:rPr>
        <w:t>ընտանիքի</w:t>
      </w:r>
      <w:r w:rsidRPr="009070BD">
        <w:rPr>
          <w:b w:val="0"/>
          <w:lang w:val="af-ZA"/>
        </w:rPr>
        <w:t xml:space="preserve"> (2020 </w:t>
      </w:r>
      <w:r w:rsidRPr="009070BD">
        <w:rPr>
          <w:b w:val="0"/>
        </w:rPr>
        <w:t>թվականին՝</w:t>
      </w:r>
      <w:r w:rsidRPr="009070BD">
        <w:rPr>
          <w:b w:val="0"/>
          <w:lang w:val="af-ZA"/>
        </w:rPr>
        <w:t xml:space="preserve"> 62 </w:t>
      </w:r>
      <w:r w:rsidRPr="009070BD">
        <w:rPr>
          <w:b w:val="0"/>
        </w:rPr>
        <w:t>ընտանիք</w:t>
      </w:r>
      <w:r w:rsidRPr="009070BD">
        <w:rPr>
          <w:b w:val="0"/>
          <w:lang w:val="af-ZA"/>
        </w:rPr>
        <w:t xml:space="preserve">) </w:t>
      </w:r>
      <w:r w:rsidRPr="009070BD">
        <w:rPr>
          <w:b w:val="0"/>
        </w:rPr>
        <w:t>բնակարանային</w:t>
      </w:r>
      <w:r w:rsidRPr="009070BD">
        <w:rPr>
          <w:b w:val="0"/>
          <w:lang w:val="af-ZA"/>
        </w:rPr>
        <w:t xml:space="preserve"> </w:t>
      </w:r>
      <w:r w:rsidRPr="009070BD">
        <w:rPr>
          <w:b w:val="0"/>
        </w:rPr>
        <w:t>ապահովման</w:t>
      </w:r>
      <w:r w:rsidRPr="009070BD">
        <w:rPr>
          <w:b w:val="0"/>
          <w:lang w:val="af-ZA"/>
        </w:rPr>
        <w:t xml:space="preserve"> </w:t>
      </w:r>
      <w:r w:rsidRPr="009070BD">
        <w:rPr>
          <w:b w:val="0"/>
        </w:rPr>
        <w:t>խնդիրը</w:t>
      </w:r>
      <w:r w:rsidRPr="009070BD">
        <w:rPr>
          <w:b w:val="0"/>
          <w:lang w:val="af-ZA"/>
        </w:rPr>
        <w:t xml:space="preserve">` </w:t>
      </w:r>
      <w:r w:rsidRPr="009070BD">
        <w:rPr>
          <w:b w:val="0"/>
        </w:rPr>
        <w:t>ֆինանսական</w:t>
      </w:r>
      <w:r w:rsidRPr="009070BD">
        <w:rPr>
          <w:b w:val="0"/>
          <w:lang w:val="af-ZA"/>
        </w:rPr>
        <w:t xml:space="preserve"> </w:t>
      </w:r>
      <w:r w:rsidRPr="009070BD">
        <w:rPr>
          <w:b w:val="0"/>
        </w:rPr>
        <w:t>աջակցության</w:t>
      </w:r>
      <w:r w:rsidRPr="009070BD">
        <w:rPr>
          <w:b w:val="0"/>
          <w:lang w:val="af-ZA"/>
        </w:rPr>
        <w:t xml:space="preserve"> </w:t>
      </w:r>
      <w:r w:rsidRPr="009070BD">
        <w:rPr>
          <w:b w:val="0"/>
        </w:rPr>
        <w:t>տրամադրմամբ</w:t>
      </w:r>
      <w:r w:rsidRPr="009070BD">
        <w:rPr>
          <w:b w:val="0"/>
          <w:lang w:val="af-ZA"/>
        </w:rPr>
        <w:t xml:space="preserve">: </w:t>
      </w:r>
      <w:r w:rsidRPr="009070BD">
        <w:rPr>
          <w:b w:val="0"/>
        </w:rPr>
        <w:t>Ֆինանսավորման</w:t>
      </w:r>
      <w:r w:rsidRPr="009070BD">
        <w:rPr>
          <w:b w:val="0"/>
          <w:lang w:val="af-ZA"/>
        </w:rPr>
        <w:t xml:space="preserve"> </w:t>
      </w:r>
      <w:r w:rsidRPr="009070BD">
        <w:rPr>
          <w:b w:val="0"/>
        </w:rPr>
        <w:t>նույն</w:t>
      </w:r>
      <w:r w:rsidRPr="009070BD">
        <w:rPr>
          <w:b w:val="0"/>
          <w:lang w:val="af-ZA"/>
        </w:rPr>
        <w:t xml:space="preserve"> </w:t>
      </w:r>
      <w:r w:rsidRPr="009070BD">
        <w:rPr>
          <w:b w:val="0"/>
        </w:rPr>
        <w:t>մակարդակի</w:t>
      </w:r>
      <w:r w:rsidRPr="009070BD">
        <w:rPr>
          <w:b w:val="0"/>
          <w:lang w:val="af-ZA"/>
        </w:rPr>
        <w:t xml:space="preserve"> </w:t>
      </w:r>
      <w:r w:rsidRPr="009070BD">
        <w:rPr>
          <w:b w:val="0"/>
        </w:rPr>
        <w:t>պահպանմամբ</w:t>
      </w:r>
      <w:r w:rsidRPr="009070BD">
        <w:rPr>
          <w:b w:val="0"/>
          <w:lang w:val="af-ZA"/>
        </w:rPr>
        <w:t xml:space="preserve"> </w:t>
      </w:r>
      <w:r w:rsidRPr="009070BD">
        <w:rPr>
          <w:b w:val="0"/>
        </w:rPr>
        <w:t>ֆինանսական</w:t>
      </w:r>
      <w:r w:rsidRPr="009070BD">
        <w:rPr>
          <w:b w:val="0"/>
          <w:lang w:val="af-ZA"/>
        </w:rPr>
        <w:t xml:space="preserve"> </w:t>
      </w:r>
      <w:r w:rsidRPr="009070BD">
        <w:rPr>
          <w:b w:val="0"/>
        </w:rPr>
        <w:t>աջակցություն</w:t>
      </w:r>
      <w:r w:rsidRPr="009070BD">
        <w:rPr>
          <w:b w:val="0"/>
          <w:lang w:val="af-ZA"/>
        </w:rPr>
        <w:t xml:space="preserve"> </w:t>
      </w:r>
      <w:r w:rsidRPr="009070BD">
        <w:rPr>
          <w:b w:val="0"/>
        </w:rPr>
        <w:t>ստացող</w:t>
      </w:r>
      <w:r w:rsidRPr="009070BD">
        <w:rPr>
          <w:b w:val="0"/>
          <w:lang w:val="af-ZA"/>
        </w:rPr>
        <w:t xml:space="preserve"> </w:t>
      </w:r>
      <w:r w:rsidRPr="009070BD">
        <w:rPr>
          <w:b w:val="0"/>
        </w:rPr>
        <w:t>ընտանիքների</w:t>
      </w:r>
      <w:r w:rsidRPr="009070BD">
        <w:rPr>
          <w:b w:val="0"/>
          <w:lang w:val="af-ZA"/>
        </w:rPr>
        <w:t xml:space="preserve"> </w:t>
      </w:r>
      <w:r w:rsidRPr="009070BD">
        <w:rPr>
          <w:b w:val="0"/>
        </w:rPr>
        <w:t>թվի</w:t>
      </w:r>
      <w:r w:rsidRPr="009070BD">
        <w:rPr>
          <w:b w:val="0"/>
          <w:lang w:val="af-ZA"/>
        </w:rPr>
        <w:t xml:space="preserve"> </w:t>
      </w:r>
      <w:r w:rsidRPr="009070BD">
        <w:rPr>
          <w:b w:val="0"/>
        </w:rPr>
        <w:t>աճը</w:t>
      </w:r>
      <w:r w:rsidRPr="009070BD">
        <w:rPr>
          <w:b w:val="0"/>
          <w:lang w:val="af-ZA"/>
        </w:rPr>
        <w:t xml:space="preserve"> </w:t>
      </w:r>
      <w:r w:rsidRPr="009070BD">
        <w:rPr>
          <w:b w:val="0"/>
        </w:rPr>
        <w:t>պայմանավորված</w:t>
      </w:r>
      <w:r w:rsidRPr="009070BD">
        <w:rPr>
          <w:b w:val="0"/>
          <w:lang w:val="af-ZA"/>
        </w:rPr>
        <w:t xml:space="preserve"> </w:t>
      </w:r>
      <w:r w:rsidRPr="009070BD">
        <w:rPr>
          <w:b w:val="0"/>
        </w:rPr>
        <w:t>է</w:t>
      </w:r>
      <w:r w:rsidRPr="009070BD">
        <w:rPr>
          <w:b w:val="0"/>
          <w:lang w:val="af-ZA"/>
        </w:rPr>
        <w:t xml:space="preserve"> </w:t>
      </w:r>
      <w:r w:rsidRPr="009070BD">
        <w:rPr>
          <w:b w:val="0"/>
        </w:rPr>
        <w:t>Երևան</w:t>
      </w:r>
      <w:r w:rsidRPr="009070BD">
        <w:rPr>
          <w:b w:val="0"/>
          <w:lang w:val="af-ZA"/>
        </w:rPr>
        <w:t xml:space="preserve"> </w:t>
      </w:r>
      <w:r w:rsidRPr="009070BD">
        <w:rPr>
          <w:b w:val="0"/>
        </w:rPr>
        <w:t>քաղաքում</w:t>
      </w:r>
      <w:r w:rsidRPr="009070BD">
        <w:rPr>
          <w:b w:val="0"/>
          <w:lang w:val="af-ZA"/>
        </w:rPr>
        <w:t xml:space="preserve"> </w:t>
      </w:r>
      <w:r w:rsidRPr="009070BD">
        <w:rPr>
          <w:b w:val="0"/>
        </w:rPr>
        <w:t>և</w:t>
      </w:r>
      <w:r w:rsidRPr="009070BD">
        <w:rPr>
          <w:b w:val="0"/>
          <w:lang w:val="af-ZA"/>
        </w:rPr>
        <w:t xml:space="preserve"> </w:t>
      </w:r>
      <w:r w:rsidRPr="009070BD">
        <w:rPr>
          <w:b w:val="0"/>
        </w:rPr>
        <w:t>ՀՀ</w:t>
      </w:r>
      <w:r w:rsidRPr="009070BD">
        <w:rPr>
          <w:b w:val="0"/>
          <w:lang w:val="af-ZA"/>
        </w:rPr>
        <w:t xml:space="preserve"> </w:t>
      </w:r>
      <w:r w:rsidRPr="009070BD">
        <w:rPr>
          <w:b w:val="0"/>
        </w:rPr>
        <w:t>մարզերում</w:t>
      </w:r>
      <w:r w:rsidRPr="009070BD">
        <w:rPr>
          <w:b w:val="0"/>
          <w:lang w:val="af-ZA"/>
        </w:rPr>
        <w:t xml:space="preserve"> </w:t>
      </w:r>
      <w:r w:rsidRPr="009070BD">
        <w:rPr>
          <w:b w:val="0"/>
        </w:rPr>
        <w:t>աջակցություն</w:t>
      </w:r>
      <w:r w:rsidRPr="009070BD">
        <w:rPr>
          <w:b w:val="0"/>
          <w:lang w:val="af-ZA"/>
        </w:rPr>
        <w:t xml:space="preserve"> </w:t>
      </w:r>
      <w:r w:rsidRPr="009070BD">
        <w:rPr>
          <w:b w:val="0"/>
        </w:rPr>
        <w:t>ստացող</w:t>
      </w:r>
      <w:r w:rsidRPr="009070BD">
        <w:rPr>
          <w:b w:val="0"/>
          <w:lang w:val="af-ZA"/>
        </w:rPr>
        <w:t xml:space="preserve"> ընտանիքների </w:t>
      </w:r>
      <w:r w:rsidRPr="009070BD">
        <w:rPr>
          <w:b w:val="0"/>
        </w:rPr>
        <w:t>թվերի</w:t>
      </w:r>
      <w:r w:rsidRPr="009070BD">
        <w:rPr>
          <w:b w:val="0"/>
          <w:lang w:val="af-ZA"/>
        </w:rPr>
        <w:t xml:space="preserve"> </w:t>
      </w:r>
      <w:r w:rsidRPr="009070BD">
        <w:rPr>
          <w:b w:val="0"/>
        </w:rPr>
        <w:t>հարաբերակցությամբ</w:t>
      </w:r>
      <w:r w:rsidRPr="009070BD">
        <w:rPr>
          <w:b w:val="0"/>
          <w:lang w:val="af-ZA"/>
        </w:rPr>
        <w:t xml:space="preserve">: </w:t>
      </w:r>
    </w:p>
    <w:p w:rsidR="00500235" w:rsidRPr="009070BD" w:rsidRDefault="00500235" w:rsidP="007730AA">
      <w:pPr>
        <w:pStyle w:val="ListParagraph"/>
        <w:numPr>
          <w:ilvl w:val="0"/>
          <w:numId w:val="52"/>
        </w:numPr>
        <w:spacing w:before="0" w:line="276" w:lineRule="auto"/>
        <w:ind w:left="0" w:firstLine="567"/>
        <w:rPr>
          <w:b w:val="0"/>
          <w:lang w:val="af-ZA"/>
        </w:rPr>
      </w:pPr>
      <w:r w:rsidRPr="009070BD">
        <w:rPr>
          <w:b w:val="0"/>
          <w:lang w:val="af-ZA"/>
        </w:rPr>
        <w:t>«</w:t>
      </w:r>
      <w:r w:rsidRPr="009070BD">
        <w:rPr>
          <w:b w:val="0"/>
        </w:rPr>
        <w:t>Բնակարանային</w:t>
      </w:r>
      <w:r w:rsidRPr="009070BD">
        <w:rPr>
          <w:b w:val="0"/>
          <w:lang w:val="af-ZA"/>
        </w:rPr>
        <w:t xml:space="preserve"> </w:t>
      </w:r>
      <w:r w:rsidRPr="009070BD">
        <w:rPr>
          <w:b w:val="0"/>
        </w:rPr>
        <w:t>շինարարություն</w:t>
      </w:r>
      <w:r w:rsidRPr="009070BD">
        <w:rPr>
          <w:b w:val="0"/>
          <w:lang w:val="af-ZA"/>
        </w:rPr>
        <w:t xml:space="preserve">» </w:t>
      </w:r>
      <w:r w:rsidRPr="009070BD">
        <w:rPr>
          <w:b w:val="0"/>
        </w:rPr>
        <w:t>միջոցառման</w:t>
      </w:r>
      <w:r w:rsidRPr="009070BD">
        <w:rPr>
          <w:b w:val="0"/>
          <w:lang w:val="af-ZA"/>
        </w:rPr>
        <w:t xml:space="preserve"> </w:t>
      </w:r>
      <w:r w:rsidRPr="009070BD">
        <w:rPr>
          <w:b w:val="0"/>
        </w:rPr>
        <w:t>գծով</w:t>
      </w:r>
      <w:r w:rsidRPr="009070BD">
        <w:rPr>
          <w:b w:val="0"/>
          <w:lang w:val="af-ZA"/>
        </w:rPr>
        <w:t xml:space="preserve"> </w:t>
      </w:r>
      <w:r w:rsidRPr="009070BD">
        <w:rPr>
          <w:b w:val="0"/>
        </w:rPr>
        <w:t>նախատեսվել</w:t>
      </w:r>
      <w:r w:rsidRPr="009070BD">
        <w:rPr>
          <w:b w:val="0"/>
          <w:lang w:val="af-ZA"/>
        </w:rPr>
        <w:t xml:space="preserve"> </w:t>
      </w:r>
      <w:r w:rsidRPr="009070BD">
        <w:rPr>
          <w:b w:val="0"/>
        </w:rPr>
        <w:t>է</w:t>
      </w:r>
      <w:r w:rsidRPr="009070BD">
        <w:rPr>
          <w:b w:val="0"/>
          <w:lang w:val="af-ZA"/>
        </w:rPr>
        <w:t xml:space="preserve"> 1,290.6 </w:t>
      </w:r>
      <w:r w:rsidRPr="009070BD">
        <w:rPr>
          <w:b w:val="0"/>
        </w:rPr>
        <w:t>մլն</w:t>
      </w:r>
      <w:r w:rsidRPr="009070BD">
        <w:rPr>
          <w:b w:val="0"/>
          <w:lang w:val="af-ZA"/>
        </w:rPr>
        <w:t xml:space="preserve"> </w:t>
      </w:r>
      <w:r w:rsidRPr="009070BD">
        <w:rPr>
          <w:b w:val="0"/>
        </w:rPr>
        <w:t>դրամ</w:t>
      </w:r>
      <w:r w:rsidRPr="009070BD">
        <w:rPr>
          <w:b w:val="0"/>
          <w:lang w:val="af-ZA"/>
        </w:rPr>
        <w:t xml:space="preserve">, </w:t>
      </w:r>
      <w:r w:rsidRPr="009070BD">
        <w:rPr>
          <w:b w:val="0"/>
        </w:rPr>
        <w:t>որը</w:t>
      </w:r>
      <w:r w:rsidRPr="009070BD">
        <w:rPr>
          <w:b w:val="0"/>
          <w:lang w:val="af-ZA"/>
        </w:rPr>
        <w:t xml:space="preserve"> </w:t>
      </w:r>
      <w:r w:rsidRPr="009070BD">
        <w:rPr>
          <w:b w:val="0"/>
        </w:rPr>
        <w:t>ՀՀ</w:t>
      </w:r>
      <w:r w:rsidRPr="009070BD">
        <w:rPr>
          <w:b w:val="0"/>
          <w:lang w:val="af-ZA"/>
        </w:rPr>
        <w:t xml:space="preserve"> 2020 </w:t>
      </w:r>
      <w:r w:rsidRPr="009070BD">
        <w:rPr>
          <w:b w:val="0"/>
        </w:rPr>
        <w:t>թվականի</w:t>
      </w:r>
      <w:r w:rsidRPr="009070BD">
        <w:rPr>
          <w:b w:val="0"/>
          <w:lang w:val="af-ZA"/>
        </w:rPr>
        <w:t xml:space="preserve"> </w:t>
      </w:r>
      <w:r w:rsidRPr="009070BD">
        <w:rPr>
          <w:b w:val="0"/>
        </w:rPr>
        <w:t>պետական</w:t>
      </w:r>
      <w:r w:rsidRPr="009070BD">
        <w:rPr>
          <w:b w:val="0"/>
          <w:lang w:val="af-ZA"/>
        </w:rPr>
        <w:t xml:space="preserve"> </w:t>
      </w:r>
      <w:r w:rsidRPr="009070BD">
        <w:rPr>
          <w:b w:val="0"/>
        </w:rPr>
        <w:t>բյուջեով</w:t>
      </w:r>
      <w:r w:rsidRPr="009070BD">
        <w:rPr>
          <w:b w:val="0"/>
          <w:lang w:val="af-ZA"/>
        </w:rPr>
        <w:t xml:space="preserve"> </w:t>
      </w:r>
      <w:r w:rsidRPr="009070BD">
        <w:rPr>
          <w:b w:val="0"/>
        </w:rPr>
        <w:t>հաստատված</w:t>
      </w:r>
      <w:r w:rsidRPr="009070BD">
        <w:rPr>
          <w:b w:val="0"/>
          <w:lang w:val="af-ZA"/>
        </w:rPr>
        <w:t xml:space="preserve"> </w:t>
      </w:r>
      <w:r w:rsidRPr="009070BD">
        <w:rPr>
          <w:b w:val="0"/>
        </w:rPr>
        <w:t>համադրելի</w:t>
      </w:r>
      <w:r w:rsidRPr="009070BD">
        <w:rPr>
          <w:b w:val="0"/>
          <w:lang w:val="af-ZA"/>
        </w:rPr>
        <w:t xml:space="preserve"> </w:t>
      </w:r>
      <w:r w:rsidRPr="009070BD">
        <w:rPr>
          <w:b w:val="0"/>
        </w:rPr>
        <w:t>ցուցանիշից՝</w:t>
      </w:r>
      <w:r w:rsidRPr="009070BD">
        <w:rPr>
          <w:b w:val="0"/>
          <w:lang w:val="af-ZA"/>
        </w:rPr>
        <w:t xml:space="preserve"> 522.0 </w:t>
      </w:r>
      <w:r w:rsidRPr="009070BD">
        <w:rPr>
          <w:b w:val="0"/>
        </w:rPr>
        <w:t>մլն</w:t>
      </w:r>
      <w:r w:rsidRPr="009070BD">
        <w:rPr>
          <w:b w:val="0"/>
          <w:lang w:val="af-ZA"/>
        </w:rPr>
        <w:t xml:space="preserve"> </w:t>
      </w:r>
      <w:r w:rsidRPr="009070BD">
        <w:rPr>
          <w:b w:val="0"/>
        </w:rPr>
        <w:t>դրամից</w:t>
      </w:r>
      <w:r w:rsidRPr="009070BD">
        <w:rPr>
          <w:b w:val="0"/>
          <w:lang w:val="af-ZA"/>
        </w:rPr>
        <w:t xml:space="preserve"> </w:t>
      </w:r>
      <w:r w:rsidRPr="009070BD">
        <w:rPr>
          <w:b w:val="0"/>
        </w:rPr>
        <w:t>ավել</w:t>
      </w:r>
      <w:r w:rsidRPr="009070BD">
        <w:rPr>
          <w:b w:val="0"/>
          <w:lang w:val="af-ZA"/>
        </w:rPr>
        <w:t xml:space="preserve"> </w:t>
      </w:r>
      <w:r w:rsidRPr="009070BD">
        <w:rPr>
          <w:b w:val="0"/>
        </w:rPr>
        <w:t>է</w:t>
      </w:r>
      <w:r w:rsidRPr="009070BD">
        <w:rPr>
          <w:b w:val="0"/>
          <w:lang w:val="af-ZA"/>
        </w:rPr>
        <w:t xml:space="preserve"> 147.2%-</w:t>
      </w:r>
      <w:r w:rsidRPr="009070BD">
        <w:rPr>
          <w:b w:val="0"/>
        </w:rPr>
        <w:t>ով</w:t>
      </w:r>
      <w:r w:rsidRPr="009070BD">
        <w:rPr>
          <w:b w:val="0"/>
          <w:lang w:val="af-ZA"/>
        </w:rPr>
        <w:t xml:space="preserve">: </w:t>
      </w:r>
      <w:r w:rsidRPr="009070BD">
        <w:rPr>
          <w:b w:val="0"/>
        </w:rPr>
        <w:t>Ց</w:t>
      </w:r>
      <w:r w:rsidRPr="009070BD">
        <w:rPr>
          <w:b w:val="0"/>
          <w:lang w:val="en-US"/>
        </w:rPr>
        <w:t>ուցանիշ</w:t>
      </w:r>
      <w:r w:rsidRPr="009070BD">
        <w:rPr>
          <w:b w:val="0"/>
        </w:rPr>
        <w:t>ի</w:t>
      </w:r>
      <w:r w:rsidRPr="009070BD">
        <w:rPr>
          <w:b w:val="0"/>
          <w:lang w:val="af-ZA"/>
        </w:rPr>
        <w:t xml:space="preserve"> </w:t>
      </w:r>
      <w:r w:rsidRPr="009070BD">
        <w:rPr>
          <w:b w:val="0"/>
        </w:rPr>
        <w:t>աճը</w:t>
      </w:r>
      <w:r w:rsidRPr="009070BD">
        <w:rPr>
          <w:b w:val="0"/>
          <w:lang w:val="af-ZA"/>
        </w:rPr>
        <w:t xml:space="preserve"> </w:t>
      </w:r>
      <w:r w:rsidRPr="009070BD">
        <w:rPr>
          <w:b w:val="0"/>
          <w:lang w:val="en-US"/>
        </w:rPr>
        <w:t>պայմանավորված</w:t>
      </w:r>
      <w:r w:rsidRPr="009070BD">
        <w:rPr>
          <w:b w:val="0"/>
          <w:lang w:val="af-ZA"/>
        </w:rPr>
        <w:t xml:space="preserve"> </w:t>
      </w:r>
      <w:r w:rsidRPr="009070BD">
        <w:rPr>
          <w:b w:val="0"/>
          <w:lang w:val="en-US"/>
        </w:rPr>
        <w:t>է</w:t>
      </w:r>
      <w:r w:rsidRPr="009070BD">
        <w:rPr>
          <w:b w:val="0"/>
          <w:lang w:val="af-ZA"/>
        </w:rPr>
        <w:t xml:space="preserve"> </w:t>
      </w:r>
      <w:r w:rsidRPr="009070BD">
        <w:rPr>
          <w:b w:val="0"/>
          <w:lang w:val="en-US"/>
        </w:rPr>
        <w:t>շինարարական</w:t>
      </w:r>
      <w:r w:rsidRPr="009070BD">
        <w:rPr>
          <w:b w:val="0"/>
          <w:lang w:val="af-ZA"/>
        </w:rPr>
        <w:t xml:space="preserve"> </w:t>
      </w:r>
      <w:r w:rsidRPr="009070BD">
        <w:rPr>
          <w:b w:val="0"/>
        </w:rPr>
        <w:t>որոշ</w:t>
      </w:r>
      <w:r w:rsidRPr="009070BD">
        <w:rPr>
          <w:b w:val="0"/>
          <w:lang w:val="af-ZA"/>
        </w:rPr>
        <w:t xml:space="preserve"> </w:t>
      </w:r>
      <w:r w:rsidRPr="009070BD">
        <w:rPr>
          <w:b w:val="0"/>
          <w:lang w:val="en-US"/>
        </w:rPr>
        <w:t>աշխատանքների</w:t>
      </w:r>
      <w:r w:rsidRPr="009070BD">
        <w:rPr>
          <w:b w:val="0"/>
          <w:lang w:val="af-ZA"/>
        </w:rPr>
        <w:t xml:space="preserve"> </w:t>
      </w:r>
      <w:r w:rsidRPr="009070BD">
        <w:rPr>
          <w:b w:val="0"/>
          <w:lang w:val="en-US"/>
        </w:rPr>
        <w:t>մեկնարկով</w:t>
      </w:r>
      <w:r w:rsidRPr="009070BD">
        <w:rPr>
          <w:b w:val="0"/>
          <w:lang w:val="af-ZA"/>
        </w:rPr>
        <w:t>: Ծ</w:t>
      </w:r>
      <w:r w:rsidRPr="009070BD">
        <w:rPr>
          <w:b w:val="0"/>
        </w:rPr>
        <w:t>րագրում</w:t>
      </w:r>
      <w:r w:rsidRPr="009070BD">
        <w:rPr>
          <w:b w:val="0"/>
          <w:lang w:val="af-ZA"/>
        </w:rPr>
        <w:t xml:space="preserve"> </w:t>
      </w:r>
      <w:r w:rsidRPr="009070BD">
        <w:rPr>
          <w:b w:val="0"/>
        </w:rPr>
        <w:t>ներառված</w:t>
      </w:r>
      <w:r w:rsidRPr="009070BD">
        <w:rPr>
          <w:b w:val="0"/>
          <w:lang w:val="af-ZA"/>
        </w:rPr>
        <w:t xml:space="preserve"> </w:t>
      </w:r>
      <w:r w:rsidRPr="009070BD">
        <w:rPr>
          <w:b w:val="0"/>
        </w:rPr>
        <w:t>են</w:t>
      </w:r>
      <w:r w:rsidRPr="009070BD">
        <w:rPr>
          <w:b w:val="0"/>
          <w:lang w:val="af-ZA"/>
        </w:rPr>
        <w:t xml:space="preserve"> </w:t>
      </w:r>
      <w:r w:rsidRPr="009070BD">
        <w:rPr>
          <w:b w:val="0"/>
        </w:rPr>
        <w:t>հետևյալ</w:t>
      </w:r>
      <w:r w:rsidRPr="009070BD">
        <w:rPr>
          <w:b w:val="0"/>
          <w:lang w:val="af-ZA"/>
        </w:rPr>
        <w:t xml:space="preserve"> </w:t>
      </w:r>
      <w:r w:rsidRPr="009070BD">
        <w:rPr>
          <w:b w:val="0"/>
        </w:rPr>
        <w:t>աշխատանքները</w:t>
      </w:r>
      <w:r w:rsidRPr="009070BD">
        <w:rPr>
          <w:b w:val="0"/>
          <w:lang w:val="af-ZA"/>
        </w:rPr>
        <w:t xml:space="preserve">. </w:t>
      </w:r>
    </w:p>
    <w:p w:rsidR="00500235" w:rsidRPr="009070BD" w:rsidRDefault="00500235" w:rsidP="007730AA">
      <w:pPr>
        <w:spacing w:before="0" w:line="276" w:lineRule="auto"/>
        <w:rPr>
          <w:b w:val="0"/>
          <w:lang w:val="af-ZA"/>
        </w:rPr>
      </w:pPr>
      <w:r w:rsidRPr="009070BD">
        <w:rPr>
          <w:b w:val="0"/>
        </w:rPr>
        <w:t>ա</w:t>
      </w:r>
      <w:r w:rsidRPr="009070BD">
        <w:rPr>
          <w:b w:val="0"/>
          <w:lang w:val="af-ZA"/>
        </w:rPr>
        <w:t xml:space="preserve">/ </w:t>
      </w:r>
      <w:r w:rsidRPr="009070BD">
        <w:rPr>
          <w:b w:val="0"/>
        </w:rPr>
        <w:t>ՀՀ</w:t>
      </w:r>
      <w:r w:rsidRPr="009070BD">
        <w:rPr>
          <w:b w:val="0"/>
          <w:lang w:val="af-ZA"/>
        </w:rPr>
        <w:t xml:space="preserve"> </w:t>
      </w:r>
      <w:r w:rsidRPr="009070BD">
        <w:rPr>
          <w:b w:val="0"/>
        </w:rPr>
        <w:t>Արագածոտնի</w:t>
      </w:r>
      <w:r w:rsidRPr="009070BD">
        <w:rPr>
          <w:b w:val="0"/>
          <w:lang w:val="af-ZA"/>
        </w:rPr>
        <w:t xml:space="preserve"> </w:t>
      </w:r>
      <w:r w:rsidRPr="009070BD">
        <w:rPr>
          <w:b w:val="0"/>
        </w:rPr>
        <w:t>մարզի</w:t>
      </w:r>
      <w:r w:rsidRPr="009070BD">
        <w:rPr>
          <w:b w:val="0"/>
          <w:lang w:val="af-ZA"/>
        </w:rPr>
        <w:t xml:space="preserve"> </w:t>
      </w:r>
      <w:r w:rsidRPr="009070BD">
        <w:rPr>
          <w:b w:val="0"/>
        </w:rPr>
        <w:t>Ապարան</w:t>
      </w:r>
      <w:r w:rsidRPr="009070BD">
        <w:rPr>
          <w:b w:val="0"/>
          <w:lang w:val="af-ZA"/>
        </w:rPr>
        <w:t xml:space="preserve"> </w:t>
      </w:r>
      <w:r w:rsidRPr="009070BD">
        <w:rPr>
          <w:b w:val="0"/>
        </w:rPr>
        <w:t>քաղաքի</w:t>
      </w:r>
      <w:r w:rsidRPr="009070BD">
        <w:rPr>
          <w:b w:val="0"/>
          <w:lang w:val="af-ZA"/>
        </w:rPr>
        <w:t xml:space="preserve"> </w:t>
      </w:r>
      <w:r w:rsidRPr="009070BD">
        <w:rPr>
          <w:b w:val="0"/>
        </w:rPr>
        <w:t>Բաղրամյան</w:t>
      </w:r>
      <w:r w:rsidRPr="009070BD">
        <w:rPr>
          <w:b w:val="0"/>
          <w:lang w:val="af-ZA"/>
        </w:rPr>
        <w:t xml:space="preserve"> 43 </w:t>
      </w:r>
      <w:r w:rsidRPr="009070BD">
        <w:rPr>
          <w:b w:val="0"/>
        </w:rPr>
        <w:t>հասցեի</w:t>
      </w:r>
      <w:r w:rsidRPr="009070BD">
        <w:rPr>
          <w:b w:val="0"/>
          <w:lang w:val="af-ZA"/>
        </w:rPr>
        <w:t xml:space="preserve"> </w:t>
      </w:r>
      <w:r w:rsidRPr="009070BD">
        <w:rPr>
          <w:b w:val="0"/>
        </w:rPr>
        <w:t>վթարային</w:t>
      </w:r>
      <w:r w:rsidRPr="009070BD">
        <w:rPr>
          <w:b w:val="0"/>
          <w:lang w:val="af-ZA"/>
        </w:rPr>
        <w:t xml:space="preserve"> </w:t>
      </w:r>
      <w:r w:rsidRPr="009070BD">
        <w:rPr>
          <w:b w:val="0"/>
        </w:rPr>
        <w:t>շենքի</w:t>
      </w:r>
      <w:r w:rsidRPr="009070BD">
        <w:rPr>
          <w:b w:val="0"/>
          <w:lang w:val="af-ZA"/>
        </w:rPr>
        <w:t xml:space="preserve"> </w:t>
      </w:r>
      <w:r w:rsidRPr="009070BD">
        <w:rPr>
          <w:b w:val="0"/>
        </w:rPr>
        <w:t>փոխարեն</w:t>
      </w:r>
      <w:r w:rsidRPr="009070BD">
        <w:rPr>
          <w:b w:val="0"/>
          <w:lang w:val="af-ZA"/>
        </w:rPr>
        <w:t xml:space="preserve"> </w:t>
      </w:r>
      <w:r w:rsidRPr="009070BD">
        <w:rPr>
          <w:b w:val="0"/>
        </w:rPr>
        <w:t>նոր</w:t>
      </w:r>
      <w:r w:rsidRPr="009070BD">
        <w:rPr>
          <w:b w:val="0"/>
          <w:lang w:val="af-ZA"/>
        </w:rPr>
        <w:t xml:space="preserve"> </w:t>
      </w:r>
      <w:r w:rsidRPr="009070BD">
        <w:rPr>
          <w:b w:val="0"/>
        </w:rPr>
        <w:t>շենքի</w:t>
      </w:r>
      <w:r w:rsidRPr="009070BD">
        <w:rPr>
          <w:b w:val="0"/>
          <w:lang w:val="af-ZA"/>
        </w:rPr>
        <w:t xml:space="preserve"> </w:t>
      </w:r>
      <w:r w:rsidRPr="009070BD">
        <w:rPr>
          <w:b w:val="0"/>
        </w:rPr>
        <w:t>շինարարության</w:t>
      </w:r>
      <w:r w:rsidRPr="009070BD">
        <w:rPr>
          <w:b w:val="0"/>
          <w:lang w:val="af-ZA"/>
        </w:rPr>
        <w:t xml:space="preserve"> </w:t>
      </w:r>
      <w:r w:rsidRPr="009070BD">
        <w:rPr>
          <w:b w:val="0"/>
        </w:rPr>
        <w:t>շարունակման</w:t>
      </w:r>
      <w:r w:rsidRPr="009070BD">
        <w:rPr>
          <w:b w:val="0"/>
          <w:lang w:val="af-ZA"/>
        </w:rPr>
        <w:t xml:space="preserve"> </w:t>
      </w:r>
      <w:r w:rsidRPr="009070BD">
        <w:rPr>
          <w:b w:val="0"/>
        </w:rPr>
        <w:t>և</w:t>
      </w:r>
      <w:r w:rsidRPr="009070BD">
        <w:rPr>
          <w:b w:val="0"/>
          <w:lang w:val="af-ZA"/>
        </w:rPr>
        <w:t xml:space="preserve"> </w:t>
      </w:r>
      <w:r w:rsidRPr="009070BD">
        <w:rPr>
          <w:b w:val="0"/>
          <w:lang w:val="en-US"/>
        </w:rPr>
        <w:t>ավարտման</w:t>
      </w:r>
      <w:r w:rsidRPr="009070BD">
        <w:rPr>
          <w:b w:val="0"/>
          <w:lang w:val="af-ZA"/>
        </w:rPr>
        <w:t xml:space="preserve"> </w:t>
      </w:r>
      <w:r w:rsidRPr="009070BD">
        <w:rPr>
          <w:b w:val="0"/>
        </w:rPr>
        <w:t>աշխատանքները՝</w:t>
      </w:r>
      <w:r w:rsidRPr="009070BD">
        <w:rPr>
          <w:b w:val="0"/>
          <w:lang w:val="af-ZA"/>
        </w:rPr>
        <w:t xml:space="preserve"> 309.6 </w:t>
      </w:r>
      <w:r w:rsidRPr="009070BD">
        <w:rPr>
          <w:b w:val="0"/>
        </w:rPr>
        <w:t>մլն</w:t>
      </w:r>
      <w:r w:rsidRPr="009070BD">
        <w:rPr>
          <w:b w:val="0"/>
          <w:lang w:val="af-ZA"/>
        </w:rPr>
        <w:t xml:space="preserve"> </w:t>
      </w:r>
      <w:r w:rsidRPr="009070BD">
        <w:rPr>
          <w:b w:val="0"/>
        </w:rPr>
        <w:t>դրամ</w:t>
      </w:r>
      <w:r w:rsidRPr="009070BD">
        <w:rPr>
          <w:b w:val="0"/>
          <w:lang w:val="af-ZA"/>
        </w:rPr>
        <w:t>:</w:t>
      </w:r>
    </w:p>
    <w:p w:rsidR="00500235" w:rsidRPr="009070BD" w:rsidRDefault="00500235" w:rsidP="007730AA">
      <w:pPr>
        <w:spacing w:before="0" w:line="276" w:lineRule="auto"/>
        <w:rPr>
          <w:b w:val="0"/>
          <w:lang w:val="af-ZA"/>
        </w:rPr>
      </w:pPr>
      <w:r w:rsidRPr="009070BD">
        <w:rPr>
          <w:b w:val="0"/>
        </w:rPr>
        <w:t>բ</w:t>
      </w:r>
      <w:r w:rsidRPr="009070BD">
        <w:rPr>
          <w:b w:val="0"/>
          <w:lang w:val="af-ZA"/>
        </w:rPr>
        <w:t xml:space="preserve">/  </w:t>
      </w:r>
      <w:r w:rsidRPr="009070BD">
        <w:rPr>
          <w:b w:val="0"/>
        </w:rPr>
        <w:t>Երկրաշարժից</w:t>
      </w:r>
      <w:r w:rsidRPr="009070BD">
        <w:rPr>
          <w:b w:val="0"/>
          <w:lang w:val="af-ZA"/>
        </w:rPr>
        <w:t xml:space="preserve"> </w:t>
      </w:r>
      <w:r w:rsidRPr="009070BD">
        <w:rPr>
          <w:b w:val="0"/>
        </w:rPr>
        <w:t>հետո</w:t>
      </w:r>
      <w:r w:rsidRPr="009070BD">
        <w:rPr>
          <w:b w:val="0"/>
          <w:lang w:val="af-ZA"/>
        </w:rPr>
        <w:t xml:space="preserve"> </w:t>
      </w:r>
      <w:r w:rsidRPr="009070BD">
        <w:rPr>
          <w:b w:val="0"/>
        </w:rPr>
        <w:t>աղետի</w:t>
      </w:r>
      <w:r w:rsidRPr="009070BD">
        <w:rPr>
          <w:b w:val="0"/>
          <w:lang w:val="af-ZA"/>
        </w:rPr>
        <w:t xml:space="preserve"> </w:t>
      </w:r>
      <w:r w:rsidRPr="009070BD">
        <w:rPr>
          <w:b w:val="0"/>
        </w:rPr>
        <w:t>գոտու</w:t>
      </w:r>
      <w:r w:rsidRPr="009070BD">
        <w:rPr>
          <w:b w:val="0"/>
          <w:lang w:val="af-ZA"/>
        </w:rPr>
        <w:t xml:space="preserve"> </w:t>
      </w:r>
      <w:r w:rsidRPr="009070BD">
        <w:rPr>
          <w:b w:val="0"/>
        </w:rPr>
        <w:t>բնակավայրերում</w:t>
      </w:r>
      <w:r w:rsidRPr="009070BD">
        <w:rPr>
          <w:b w:val="0"/>
          <w:lang w:val="af-ZA"/>
        </w:rPr>
        <w:t xml:space="preserve"> </w:t>
      </w:r>
      <w:r w:rsidRPr="009070BD">
        <w:rPr>
          <w:b w:val="0"/>
        </w:rPr>
        <w:t>կառուցված</w:t>
      </w:r>
      <w:r w:rsidRPr="009070BD">
        <w:rPr>
          <w:b w:val="0"/>
          <w:lang w:val="af-ZA"/>
        </w:rPr>
        <w:t xml:space="preserve"> </w:t>
      </w:r>
      <w:r w:rsidRPr="009070BD">
        <w:rPr>
          <w:b w:val="0"/>
        </w:rPr>
        <w:t>ոչ</w:t>
      </w:r>
      <w:r w:rsidRPr="009070BD">
        <w:rPr>
          <w:b w:val="0"/>
          <w:lang w:val="af-ZA"/>
        </w:rPr>
        <w:t xml:space="preserve"> </w:t>
      </w:r>
      <w:r w:rsidRPr="009070BD">
        <w:rPr>
          <w:b w:val="0"/>
        </w:rPr>
        <w:t>հիմնական</w:t>
      </w:r>
      <w:r w:rsidRPr="009070BD">
        <w:rPr>
          <w:b w:val="0"/>
          <w:lang w:val="af-ZA"/>
        </w:rPr>
        <w:t xml:space="preserve"> </w:t>
      </w:r>
      <w:r w:rsidRPr="009070BD">
        <w:rPr>
          <w:b w:val="0"/>
        </w:rPr>
        <w:t>շինություններում</w:t>
      </w:r>
      <w:r w:rsidRPr="009070BD">
        <w:rPr>
          <w:b w:val="0"/>
          <w:lang w:val="af-ZA"/>
        </w:rPr>
        <w:t xml:space="preserve"> </w:t>
      </w:r>
      <w:r w:rsidRPr="009070BD">
        <w:rPr>
          <w:b w:val="0"/>
        </w:rPr>
        <w:t>բնակվող</w:t>
      </w:r>
      <w:r w:rsidRPr="009070BD">
        <w:rPr>
          <w:b w:val="0"/>
          <w:lang w:val="af-ZA"/>
        </w:rPr>
        <w:t xml:space="preserve"> </w:t>
      </w:r>
      <w:r w:rsidRPr="009070BD">
        <w:rPr>
          <w:b w:val="0"/>
        </w:rPr>
        <w:t>ընտանիքների</w:t>
      </w:r>
      <w:r w:rsidRPr="009070BD">
        <w:rPr>
          <w:b w:val="0"/>
          <w:lang w:val="af-ZA"/>
        </w:rPr>
        <w:t xml:space="preserve"> </w:t>
      </w:r>
      <w:r w:rsidRPr="009070BD">
        <w:rPr>
          <w:b w:val="0"/>
        </w:rPr>
        <w:t>բնակարանային</w:t>
      </w:r>
      <w:r w:rsidRPr="009070BD">
        <w:rPr>
          <w:b w:val="0"/>
          <w:lang w:val="af-ZA"/>
        </w:rPr>
        <w:t xml:space="preserve"> </w:t>
      </w:r>
      <w:r w:rsidRPr="009070BD">
        <w:rPr>
          <w:b w:val="0"/>
        </w:rPr>
        <w:t>պայմանների</w:t>
      </w:r>
      <w:r w:rsidRPr="009070BD">
        <w:rPr>
          <w:b w:val="0"/>
          <w:lang w:val="af-ZA"/>
        </w:rPr>
        <w:t xml:space="preserve"> </w:t>
      </w:r>
      <w:r w:rsidRPr="009070BD">
        <w:rPr>
          <w:b w:val="0"/>
        </w:rPr>
        <w:t>բարելավման</w:t>
      </w:r>
      <w:r w:rsidRPr="009070BD">
        <w:rPr>
          <w:b w:val="0"/>
          <w:lang w:val="af-ZA"/>
        </w:rPr>
        <w:t xml:space="preserve"> </w:t>
      </w:r>
      <w:r w:rsidRPr="009070BD">
        <w:rPr>
          <w:b w:val="0"/>
        </w:rPr>
        <w:t>նպատակով</w:t>
      </w:r>
      <w:r w:rsidRPr="009070BD">
        <w:rPr>
          <w:b w:val="0"/>
          <w:lang w:val="af-ZA"/>
        </w:rPr>
        <w:t xml:space="preserve"> </w:t>
      </w:r>
      <w:r w:rsidRPr="009070BD">
        <w:rPr>
          <w:b w:val="0"/>
        </w:rPr>
        <w:t>լուծման</w:t>
      </w:r>
      <w:r w:rsidRPr="009070BD">
        <w:rPr>
          <w:b w:val="0"/>
          <w:lang w:val="af-ZA"/>
        </w:rPr>
        <w:t xml:space="preserve"> </w:t>
      </w:r>
      <w:r w:rsidRPr="009070BD">
        <w:rPr>
          <w:b w:val="0"/>
        </w:rPr>
        <w:t>կարիք</w:t>
      </w:r>
      <w:r w:rsidRPr="009070BD">
        <w:rPr>
          <w:b w:val="0"/>
          <w:lang w:val="af-ZA"/>
        </w:rPr>
        <w:t xml:space="preserve"> </w:t>
      </w:r>
      <w:r w:rsidRPr="009070BD">
        <w:rPr>
          <w:b w:val="0"/>
        </w:rPr>
        <w:t>ունի</w:t>
      </w:r>
      <w:r w:rsidRPr="009070BD">
        <w:rPr>
          <w:b w:val="0"/>
          <w:lang w:val="af-ZA"/>
        </w:rPr>
        <w:t xml:space="preserve"> </w:t>
      </w:r>
      <w:r w:rsidRPr="009070BD">
        <w:rPr>
          <w:b w:val="0"/>
        </w:rPr>
        <w:t>անվտանգ</w:t>
      </w:r>
      <w:r w:rsidRPr="009070BD">
        <w:rPr>
          <w:b w:val="0"/>
          <w:lang w:val="af-ZA"/>
        </w:rPr>
        <w:t xml:space="preserve">, </w:t>
      </w:r>
      <w:r w:rsidRPr="009070BD">
        <w:rPr>
          <w:b w:val="0"/>
        </w:rPr>
        <w:t>հուսալի</w:t>
      </w:r>
      <w:r w:rsidRPr="009070BD">
        <w:rPr>
          <w:b w:val="0"/>
          <w:lang w:val="af-ZA"/>
        </w:rPr>
        <w:t xml:space="preserve"> </w:t>
      </w:r>
      <w:r w:rsidRPr="009070BD">
        <w:rPr>
          <w:b w:val="0"/>
        </w:rPr>
        <w:t>բնակֆոնդի</w:t>
      </w:r>
      <w:r w:rsidRPr="009070BD">
        <w:rPr>
          <w:b w:val="0"/>
          <w:lang w:val="af-ZA"/>
        </w:rPr>
        <w:t xml:space="preserve"> </w:t>
      </w:r>
      <w:r w:rsidRPr="009070BD">
        <w:rPr>
          <w:b w:val="0"/>
        </w:rPr>
        <w:t>ստեղծման</w:t>
      </w:r>
      <w:r w:rsidRPr="009070BD">
        <w:rPr>
          <w:b w:val="0"/>
          <w:lang w:val="af-ZA"/>
        </w:rPr>
        <w:t xml:space="preserve"> </w:t>
      </w:r>
      <w:r w:rsidRPr="009070BD">
        <w:rPr>
          <w:b w:val="0"/>
        </w:rPr>
        <w:t>հիմնախնդիրը։</w:t>
      </w:r>
      <w:r w:rsidRPr="009070BD">
        <w:rPr>
          <w:b w:val="0"/>
          <w:lang w:val="af-ZA"/>
        </w:rPr>
        <w:t xml:space="preserve"> </w:t>
      </w:r>
      <w:r w:rsidRPr="009070BD">
        <w:rPr>
          <w:b w:val="0"/>
        </w:rPr>
        <w:t>Այն</w:t>
      </w:r>
      <w:r w:rsidRPr="009070BD">
        <w:rPr>
          <w:b w:val="0"/>
          <w:lang w:val="af-ZA"/>
        </w:rPr>
        <w:t xml:space="preserve"> </w:t>
      </w:r>
      <w:r w:rsidRPr="009070BD">
        <w:rPr>
          <w:b w:val="0"/>
        </w:rPr>
        <w:t>համայնքներում</w:t>
      </w:r>
      <w:r w:rsidRPr="009070BD">
        <w:rPr>
          <w:b w:val="0"/>
          <w:lang w:val="af-ZA"/>
        </w:rPr>
        <w:t xml:space="preserve">, </w:t>
      </w:r>
      <w:r w:rsidRPr="009070BD">
        <w:rPr>
          <w:b w:val="0"/>
        </w:rPr>
        <w:t>որտեղ</w:t>
      </w:r>
      <w:r w:rsidRPr="009070BD">
        <w:rPr>
          <w:b w:val="0"/>
          <w:lang w:val="af-ZA"/>
        </w:rPr>
        <w:t xml:space="preserve"> </w:t>
      </w:r>
      <w:r w:rsidRPr="009070BD">
        <w:rPr>
          <w:b w:val="0"/>
        </w:rPr>
        <w:t>կենտրոնացված</w:t>
      </w:r>
      <w:r w:rsidRPr="009070BD">
        <w:rPr>
          <w:b w:val="0"/>
          <w:lang w:val="af-ZA"/>
        </w:rPr>
        <w:t xml:space="preserve"> </w:t>
      </w:r>
      <w:r w:rsidRPr="009070BD">
        <w:rPr>
          <w:b w:val="0"/>
        </w:rPr>
        <w:t>են</w:t>
      </w:r>
      <w:r w:rsidRPr="009070BD">
        <w:rPr>
          <w:b w:val="0"/>
          <w:lang w:val="af-ZA"/>
        </w:rPr>
        <w:t xml:space="preserve"> </w:t>
      </w:r>
      <w:r w:rsidRPr="009070BD">
        <w:rPr>
          <w:b w:val="0"/>
        </w:rPr>
        <w:t>վերը</w:t>
      </w:r>
      <w:r w:rsidRPr="009070BD">
        <w:rPr>
          <w:b w:val="0"/>
          <w:lang w:val="af-ZA"/>
        </w:rPr>
        <w:t xml:space="preserve"> </w:t>
      </w:r>
      <w:r w:rsidRPr="009070BD">
        <w:rPr>
          <w:b w:val="0"/>
        </w:rPr>
        <w:t>նշված</w:t>
      </w:r>
      <w:r w:rsidRPr="009070BD">
        <w:rPr>
          <w:b w:val="0"/>
          <w:lang w:val="af-ZA"/>
        </w:rPr>
        <w:t xml:space="preserve"> </w:t>
      </w:r>
      <w:r w:rsidRPr="009070BD">
        <w:rPr>
          <w:b w:val="0"/>
        </w:rPr>
        <w:t>խնդիրները</w:t>
      </w:r>
      <w:r w:rsidRPr="009070BD">
        <w:rPr>
          <w:b w:val="0"/>
          <w:lang w:val="af-ZA"/>
        </w:rPr>
        <w:t xml:space="preserve">, </w:t>
      </w:r>
      <w:r w:rsidRPr="009070BD">
        <w:rPr>
          <w:b w:val="0"/>
        </w:rPr>
        <w:t>նախատեսվում</w:t>
      </w:r>
      <w:r w:rsidRPr="009070BD">
        <w:rPr>
          <w:b w:val="0"/>
          <w:lang w:val="af-ZA"/>
        </w:rPr>
        <w:t xml:space="preserve"> </w:t>
      </w:r>
      <w:r w:rsidRPr="009070BD">
        <w:rPr>
          <w:b w:val="0"/>
        </w:rPr>
        <w:t>է</w:t>
      </w:r>
      <w:r w:rsidRPr="009070BD">
        <w:rPr>
          <w:b w:val="0"/>
          <w:lang w:val="af-ZA"/>
        </w:rPr>
        <w:t xml:space="preserve"> </w:t>
      </w:r>
      <w:r w:rsidRPr="009070BD">
        <w:rPr>
          <w:b w:val="0"/>
        </w:rPr>
        <w:t>կառուցել</w:t>
      </w:r>
      <w:r w:rsidRPr="009070BD">
        <w:rPr>
          <w:b w:val="0"/>
          <w:lang w:val="af-ZA"/>
        </w:rPr>
        <w:t xml:space="preserve"> </w:t>
      </w:r>
      <w:r w:rsidRPr="009070BD">
        <w:rPr>
          <w:b w:val="0"/>
        </w:rPr>
        <w:t>թվով</w:t>
      </w:r>
      <w:r w:rsidRPr="009070BD">
        <w:rPr>
          <w:b w:val="0"/>
          <w:lang w:val="af-ZA"/>
        </w:rPr>
        <w:t xml:space="preserve"> 5 </w:t>
      </w:r>
      <w:r w:rsidRPr="009070BD">
        <w:rPr>
          <w:b w:val="0"/>
        </w:rPr>
        <w:t>բազմաբնակարան</w:t>
      </w:r>
      <w:r w:rsidRPr="009070BD">
        <w:rPr>
          <w:b w:val="0"/>
          <w:lang w:val="af-ZA"/>
        </w:rPr>
        <w:t xml:space="preserve"> </w:t>
      </w:r>
      <w:r w:rsidRPr="009070BD">
        <w:rPr>
          <w:b w:val="0"/>
        </w:rPr>
        <w:t>շենք</w:t>
      </w:r>
      <w:r w:rsidRPr="009070BD">
        <w:rPr>
          <w:b w:val="0"/>
          <w:lang w:val="af-ZA"/>
        </w:rPr>
        <w:t xml:space="preserve">, </w:t>
      </w:r>
      <w:r w:rsidRPr="009070BD">
        <w:rPr>
          <w:b w:val="0"/>
        </w:rPr>
        <w:t>ընդ</w:t>
      </w:r>
      <w:r w:rsidRPr="009070BD">
        <w:rPr>
          <w:b w:val="0"/>
          <w:lang w:val="af-ZA"/>
        </w:rPr>
        <w:t xml:space="preserve"> </w:t>
      </w:r>
      <w:r w:rsidRPr="009070BD">
        <w:rPr>
          <w:b w:val="0"/>
        </w:rPr>
        <w:t>որում</w:t>
      </w:r>
      <w:r w:rsidRPr="009070BD">
        <w:rPr>
          <w:b w:val="0"/>
          <w:lang w:val="af-ZA"/>
        </w:rPr>
        <w:t xml:space="preserve"> 5 </w:t>
      </w:r>
      <w:r w:rsidRPr="009070BD">
        <w:rPr>
          <w:b w:val="0"/>
        </w:rPr>
        <w:t>շենքից</w:t>
      </w:r>
      <w:r w:rsidRPr="009070BD">
        <w:rPr>
          <w:b w:val="0"/>
          <w:lang w:val="af-ZA"/>
        </w:rPr>
        <w:t xml:space="preserve"> 1-</w:t>
      </w:r>
      <w:r w:rsidRPr="009070BD">
        <w:rPr>
          <w:b w:val="0"/>
        </w:rPr>
        <w:t>ի</w:t>
      </w:r>
      <w:r w:rsidRPr="009070BD">
        <w:rPr>
          <w:b w:val="0"/>
          <w:lang w:val="af-ZA"/>
        </w:rPr>
        <w:t xml:space="preserve"> </w:t>
      </w:r>
      <w:r w:rsidRPr="009070BD">
        <w:rPr>
          <w:b w:val="0"/>
        </w:rPr>
        <w:t>դեպքում</w:t>
      </w:r>
      <w:r w:rsidRPr="009070BD">
        <w:rPr>
          <w:b w:val="0"/>
          <w:lang w:val="af-ZA"/>
        </w:rPr>
        <w:t xml:space="preserve"> </w:t>
      </w:r>
      <w:r w:rsidRPr="009070BD">
        <w:rPr>
          <w:b w:val="0"/>
        </w:rPr>
        <w:t>նախատեսվում</w:t>
      </w:r>
      <w:r w:rsidRPr="009070BD">
        <w:rPr>
          <w:b w:val="0"/>
          <w:lang w:val="af-ZA"/>
        </w:rPr>
        <w:t xml:space="preserve"> </w:t>
      </w:r>
      <w:r w:rsidRPr="009070BD">
        <w:rPr>
          <w:b w:val="0"/>
        </w:rPr>
        <w:t>է</w:t>
      </w:r>
      <w:r w:rsidRPr="009070BD">
        <w:rPr>
          <w:b w:val="0"/>
          <w:lang w:val="af-ZA"/>
        </w:rPr>
        <w:t xml:space="preserve"> </w:t>
      </w:r>
      <w:r w:rsidRPr="009070BD">
        <w:rPr>
          <w:b w:val="0"/>
        </w:rPr>
        <w:t>Սպիտակ</w:t>
      </w:r>
      <w:r w:rsidRPr="009070BD">
        <w:rPr>
          <w:b w:val="0"/>
          <w:lang w:val="af-ZA"/>
        </w:rPr>
        <w:t xml:space="preserve"> </w:t>
      </w:r>
      <w:r w:rsidRPr="009070BD">
        <w:rPr>
          <w:b w:val="0"/>
        </w:rPr>
        <w:t>քաղաքում</w:t>
      </w:r>
      <w:r w:rsidRPr="009070BD">
        <w:rPr>
          <w:b w:val="0"/>
          <w:lang w:val="af-ZA"/>
        </w:rPr>
        <w:t xml:space="preserve"> </w:t>
      </w:r>
      <w:r w:rsidRPr="009070BD">
        <w:rPr>
          <w:b w:val="0"/>
        </w:rPr>
        <w:t>կառուցել</w:t>
      </w:r>
      <w:r w:rsidRPr="009070BD">
        <w:rPr>
          <w:b w:val="0"/>
          <w:lang w:val="af-ZA"/>
        </w:rPr>
        <w:t xml:space="preserve"> </w:t>
      </w:r>
      <w:r w:rsidRPr="009070BD">
        <w:rPr>
          <w:b w:val="0"/>
        </w:rPr>
        <w:t>նոր</w:t>
      </w:r>
      <w:r w:rsidRPr="009070BD">
        <w:rPr>
          <w:b w:val="0"/>
          <w:lang w:val="af-ZA"/>
        </w:rPr>
        <w:t xml:space="preserve"> </w:t>
      </w:r>
      <w:r w:rsidRPr="009070BD">
        <w:rPr>
          <w:b w:val="0"/>
        </w:rPr>
        <w:t>բազմաբնակարան</w:t>
      </w:r>
      <w:r w:rsidRPr="009070BD">
        <w:rPr>
          <w:b w:val="0"/>
          <w:lang w:val="af-ZA"/>
        </w:rPr>
        <w:t xml:space="preserve"> </w:t>
      </w:r>
      <w:r w:rsidRPr="009070BD">
        <w:rPr>
          <w:b w:val="0"/>
        </w:rPr>
        <w:t>շենք</w:t>
      </w:r>
      <w:r w:rsidRPr="009070BD">
        <w:rPr>
          <w:b w:val="0"/>
          <w:lang w:val="en-US"/>
        </w:rPr>
        <w:t>՝</w:t>
      </w:r>
      <w:r w:rsidRPr="009070BD">
        <w:rPr>
          <w:b w:val="0"/>
          <w:lang w:val="af-ZA"/>
        </w:rPr>
        <w:t xml:space="preserve"> 428.6 </w:t>
      </w:r>
      <w:r w:rsidRPr="009070BD">
        <w:rPr>
          <w:b w:val="0"/>
          <w:lang w:val="en-US"/>
        </w:rPr>
        <w:t>մլն</w:t>
      </w:r>
      <w:r w:rsidRPr="009070BD">
        <w:rPr>
          <w:b w:val="0"/>
          <w:lang w:val="af-ZA"/>
        </w:rPr>
        <w:t xml:space="preserve"> </w:t>
      </w:r>
      <w:r w:rsidRPr="009070BD">
        <w:rPr>
          <w:b w:val="0"/>
          <w:lang w:val="en-US"/>
        </w:rPr>
        <w:t>դրամ</w:t>
      </w:r>
      <w:r w:rsidRPr="009070BD">
        <w:rPr>
          <w:b w:val="0"/>
          <w:lang w:val="af-ZA"/>
        </w:rPr>
        <w:t xml:space="preserve">, </w:t>
      </w:r>
      <w:r w:rsidRPr="009070BD">
        <w:rPr>
          <w:b w:val="0"/>
        </w:rPr>
        <w:t>իսկ</w:t>
      </w:r>
      <w:r w:rsidRPr="009070BD">
        <w:rPr>
          <w:b w:val="0"/>
          <w:lang w:val="af-ZA"/>
        </w:rPr>
        <w:t xml:space="preserve"> 4-</w:t>
      </w:r>
      <w:r w:rsidRPr="009070BD">
        <w:rPr>
          <w:b w:val="0"/>
        </w:rPr>
        <w:t>ի</w:t>
      </w:r>
      <w:r w:rsidRPr="009070BD">
        <w:rPr>
          <w:b w:val="0"/>
          <w:lang w:val="af-ZA"/>
        </w:rPr>
        <w:t xml:space="preserve"> </w:t>
      </w:r>
      <w:r w:rsidRPr="009070BD">
        <w:rPr>
          <w:b w:val="0"/>
        </w:rPr>
        <w:t>դեպքում</w:t>
      </w:r>
      <w:r w:rsidRPr="009070BD">
        <w:rPr>
          <w:b w:val="0"/>
          <w:lang w:val="af-ZA"/>
        </w:rPr>
        <w:t xml:space="preserve"> </w:t>
      </w:r>
      <w:r w:rsidRPr="009070BD">
        <w:rPr>
          <w:b w:val="0"/>
        </w:rPr>
        <w:t>նախատեսվում</w:t>
      </w:r>
      <w:r w:rsidRPr="009070BD">
        <w:rPr>
          <w:b w:val="0"/>
          <w:lang w:val="af-ZA"/>
        </w:rPr>
        <w:t xml:space="preserve"> </w:t>
      </w:r>
      <w:r w:rsidRPr="009070BD">
        <w:rPr>
          <w:b w:val="0"/>
        </w:rPr>
        <w:t>է</w:t>
      </w:r>
      <w:r w:rsidRPr="009070BD">
        <w:rPr>
          <w:b w:val="0"/>
          <w:lang w:val="af-ZA"/>
        </w:rPr>
        <w:t xml:space="preserve"> </w:t>
      </w:r>
      <w:r w:rsidRPr="009070BD">
        <w:rPr>
          <w:b w:val="0"/>
        </w:rPr>
        <w:t>ավարտին</w:t>
      </w:r>
      <w:r w:rsidRPr="009070BD">
        <w:rPr>
          <w:b w:val="0"/>
          <w:lang w:val="af-ZA"/>
        </w:rPr>
        <w:t xml:space="preserve"> </w:t>
      </w:r>
      <w:r w:rsidRPr="009070BD">
        <w:rPr>
          <w:b w:val="0"/>
        </w:rPr>
        <w:t>հասցնել</w:t>
      </w:r>
      <w:r w:rsidRPr="009070BD">
        <w:rPr>
          <w:b w:val="0"/>
          <w:lang w:val="af-ZA"/>
        </w:rPr>
        <w:t xml:space="preserve"> </w:t>
      </w:r>
      <w:r w:rsidRPr="009070BD">
        <w:rPr>
          <w:b w:val="0"/>
        </w:rPr>
        <w:t>Գյումրի</w:t>
      </w:r>
      <w:r w:rsidRPr="009070BD">
        <w:rPr>
          <w:b w:val="0"/>
          <w:lang w:val="af-ZA"/>
        </w:rPr>
        <w:t xml:space="preserve"> </w:t>
      </w:r>
      <w:r w:rsidRPr="009070BD">
        <w:rPr>
          <w:b w:val="0"/>
        </w:rPr>
        <w:t>քաղաք</w:t>
      </w:r>
      <w:r w:rsidRPr="009070BD">
        <w:rPr>
          <w:b w:val="0"/>
          <w:lang w:val="en-US"/>
        </w:rPr>
        <w:t>ում</w:t>
      </w:r>
      <w:r w:rsidRPr="009070BD">
        <w:rPr>
          <w:b w:val="0"/>
          <w:lang w:val="af-ZA"/>
        </w:rPr>
        <w:t xml:space="preserve"> առկա կիսակառույց բազմաբնակարան շենքերից 3-ի, </w:t>
      </w:r>
      <w:r w:rsidRPr="009070BD">
        <w:rPr>
          <w:b w:val="0"/>
        </w:rPr>
        <w:t>Վանաձոր</w:t>
      </w:r>
      <w:r w:rsidRPr="009070BD">
        <w:rPr>
          <w:b w:val="0"/>
          <w:lang w:val="af-ZA"/>
        </w:rPr>
        <w:t xml:space="preserve"> </w:t>
      </w:r>
      <w:r w:rsidRPr="009070BD">
        <w:rPr>
          <w:b w:val="0"/>
        </w:rPr>
        <w:t>քաղաք</w:t>
      </w:r>
      <w:r w:rsidRPr="009070BD">
        <w:rPr>
          <w:b w:val="0"/>
          <w:lang w:val="en-US"/>
        </w:rPr>
        <w:t>ում</w:t>
      </w:r>
      <w:r w:rsidRPr="009070BD">
        <w:rPr>
          <w:b w:val="0"/>
          <w:lang w:val="af-ZA"/>
        </w:rPr>
        <w:t xml:space="preserve"> </w:t>
      </w:r>
      <w:r w:rsidRPr="009070BD">
        <w:rPr>
          <w:b w:val="0"/>
          <w:lang w:val="en-US"/>
        </w:rPr>
        <w:t>առկա</w:t>
      </w:r>
      <w:r w:rsidRPr="009070BD">
        <w:rPr>
          <w:b w:val="0"/>
          <w:lang w:val="af-ZA"/>
        </w:rPr>
        <w:t xml:space="preserve"> կիսակ</w:t>
      </w:r>
      <w:r w:rsidR="009C218A" w:rsidRPr="009070BD">
        <w:rPr>
          <w:b w:val="0"/>
          <w:lang w:val="af-ZA"/>
        </w:rPr>
        <w:t>առույց բազմաբնակարան շենքերից 1-</w:t>
      </w:r>
      <w:r w:rsidRPr="009070BD">
        <w:rPr>
          <w:b w:val="0"/>
        </w:rPr>
        <w:t>ի</w:t>
      </w:r>
      <w:r w:rsidRPr="009070BD">
        <w:rPr>
          <w:b w:val="0"/>
          <w:lang w:val="af-ZA"/>
        </w:rPr>
        <w:t xml:space="preserve"> </w:t>
      </w:r>
      <w:r w:rsidRPr="009070BD">
        <w:rPr>
          <w:b w:val="0"/>
        </w:rPr>
        <w:t>շինարարությունը</w:t>
      </w:r>
      <w:r w:rsidRPr="009070BD">
        <w:rPr>
          <w:b w:val="0"/>
          <w:lang w:val="af-ZA"/>
        </w:rPr>
        <w:t xml:space="preserve">` 552.4 </w:t>
      </w:r>
      <w:r w:rsidRPr="009070BD">
        <w:rPr>
          <w:b w:val="0"/>
        </w:rPr>
        <w:t>մլն</w:t>
      </w:r>
      <w:r w:rsidRPr="009070BD">
        <w:rPr>
          <w:b w:val="0"/>
          <w:lang w:val="af-ZA"/>
        </w:rPr>
        <w:t xml:space="preserve"> </w:t>
      </w:r>
      <w:r w:rsidRPr="009070BD">
        <w:rPr>
          <w:b w:val="0"/>
        </w:rPr>
        <w:t>դրամ</w:t>
      </w:r>
      <w:r w:rsidRPr="009070BD">
        <w:rPr>
          <w:b w:val="0"/>
          <w:lang w:val="af-ZA"/>
        </w:rPr>
        <w:t xml:space="preserve">: </w:t>
      </w:r>
    </w:p>
    <w:p w:rsidR="00500235" w:rsidRPr="009070BD" w:rsidRDefault="00500235" w:rsidP="007730AA">
      <w:pPr>
        <w:pStyle w:val="Bullet2"/>
        <w:spacing w:before="0"/>
      </w:pPr>
      <w:r w:rsidRPr="009070BD">
        <w:t>Միաժամանակ սոցիալական ապահովության ոլորտում նախատեսվում է շարունակել և իրականացնել արտաքին աղբյուրներից ստացվող նպատակային վարկային և դրամաշնորհային միջոցներով հետևյալ ծրագիրը.</w:t>
      </w:r>
    </w:p>
    <w:p w:rsidR="00500235" w:rsidRPr="009070BD" w:rsidRDefault="00500235" w:rsidP="007730AA">
      <w:pPr>
        <w:pStyle w:val="Bullet2"/>
        <w:spacing w:before="0"/>
      </w:pPr>
      <w:r w:rsidRPr="009070BD">
        <w:t>Համաշխարհային բանկի աջակցությամբ իրականացվող Սոցիալական պաշտպանության ոլորտի վարչարարության երկրորդ ծրագիր, որի նպատակներն են բարելավել սոցիալական պաշտպանության ծառայությունների տրամադրումը, հզորացնել սոցիալական պաշտպա</w:t>
      </w:r>
      <w:r w:rsidRPr="009070BD">
        <w:softHyphen/>
        <w:t>նու</w:t>
      </w:r>
      <w:r w:rsidRPr="009070BD">
        <w:softHyphen/>
        <w:t>թյան նպաստներ վճարող և ծառայություններ տրամադրող մարմինների վերլուծական, մշտադիտարկման և գնահատման գործառույթները:</w:t>
      </w:r>
    </w:p>
    <w:p w:rsidR="00500235" w:rsidRPr="009070BD" w:rsidRDefault="00500235" w:rsidP="007730AA">
      <w:pPr>
        <w:pStyle w:val="Bullet2"/>
        <w:spacing w:before="0"/>
      </w:pPr>
      <w:r w:rsidRPr="009070BD">
        <w:t>Ծրագիրը բաղկացած է հետևյալ բաղադրիչներից.</w:t>
      </w:r>
    </w:p>
    <w:p w:rsidR="00500235" w:rsidRPr="009070BD" w:rsidRDefault="00500235" w:rsidP="007730AA">
      <w:pPr>
        <w:pStyle w:val="Bullet2"/>
        <w:numPr>
          <w:ilvl w:val="0"/>
          <w:numId w:val="21"/>
        </w:numPr>
        <w:spacing w:before="0"/>
        <w:ind w:left="0"/>
      </w:pPr>
      <w:r w:rsidRPr="009070BD">
        <w:t>Համալիր սոցիալական պաշտպանության ծառայությունների տրամադրման ընդլայնում:</w:t>
      </w:r>
    </w:p>
    <w:p w:rsidR="00500235" w:rsidRPr="009070BD" w:rsidRDefault="00500235" w:rsidP="007730AA">
      <w:pPr>
        <w:pStyle w:val="Bullet2"/>
        <w:numPr>
          <w:ilvl w:val="0"/>
          <w:numId w:val="21"/>
        </w:numPr>
        <w:spacing w:before="0"/>
        <w:ind w:left="0"/>
      </w:pPr>
      <w:r w:rsidRPr="009070BD">
        <w:t>Աջակցություն զբաղվածության նոր ռազմավարության իրականացմանը:</w:t>
      </w:r>
    </w:p>
    <w:p w:rsidR="00500235" w:rsidRPr="009070BD" w:rsidRDefault="00500235" w:rsidP="007730AA">
      <w:pPr>
        <w:pStyle w:val="Bullet2"/>
        <w:numPr>
          <w:ilvl w:val="0"/>
          <w:numId w:val="21"/>
        </w:numPr>
        <w:spacing w:before="0"/>
        <w:ind w:left="0"/>
      </w:pPr>
      <w:r w:rsidRPr="009070BD">
        <w:t>Կենսաթոշակային համակարգի արդիականացում:</w:t>
      </w:r>
    </w:p>
    <w:p w:rsidR="00500235" w:rsidRPr="009070BD" w:rsidRDefault="00500235" w:rsidP="007730AA">
      <w:pPr>
        <w:pStyle w:val="Bullet2"/>
        <w:numPr>
          <w:ilvl w:val="0"/>
          <w:numId w:val="21"/>
        </w:numPr>
        <w:spacing w:before="0"/>
        <w:ind w:left="0"/>
      </w:pPr>
      <w:r w:rsidRPr="009070BD">
        <w:t>Աշխատանքի և սոցիալական հարցերի նախարարության վերլուծական կարողու</w:t>
      </w:r>
      <w:r w:rsidRPr="009070BD">
        <w:softHyphen/>
        <w:t>թյուն</w:t>
      </w:r>
      <w:r w:rsidRPr="009070BD">
        <w:softHyphen/>
        <w:t>ների և մշտադիտարկման ու գնահատման համակարգերի հզորացում:</w:t>
      </w:r>
    </w:p>
    <w:p w:rsidR="00500235" w:rsidRPr="009070BD" w:rsidRDefault="00500235" w:rsidP="007730AA">
      <w:pPr>
        <w:pStyle w:val="Bullet2"/>
        <w:numPr>
          <w:ilvl w:val="0"/>
          <w:numId w:val="21"/>
        </w:numPr>
        <w:spacing w:before="0"/>
        <w:ind w:left="0"/>
      </w:pPr>
      <w:r w:rsidRPr="009070BD">
        <w:t>Ծրագրի կառավարում՝ 2021թ. 2,</w:t>
      </w:r>
      <w:r w:rsidR="00135FF8">
        <w:t>112.2</w:t>
      </w:r>
      <w:r w:rsidRPr="009070BD">
        <w:t xml:space="preserve"> մլն դրամ, այդ թվում վարկային միջոցներ</w:t>
      </w:r>
      <w:r w:rsidR="00135FF8">
        <w:t>` 1,667.6</w:t>
      </w:r>
      <w:r w:rsidRPr="009070BD">
        <w:t xml:space="preserve"> մլն դրամ, ՀՀ համաֆինանսավորում` 4</w:t>
      </w:r>
      <w:r w:rsidR="00135FF8">
        <w:t>44.6</w:t>
      </w:r>
      <w:r w:rsidRPr="009070BD">
        <w:t xml:space="preserve"> մլն դրամ:</w:t>
      </w:r>
    </w:p>
    <w:p w:rsidR="00500235" w:rsidRDefault="00500235" w:rsidP="007730AA">
      <w:pPr>
        <w:spacing w:before="0" w:line="240" w:lineRule="auto"/>
        <w:ind w:firstLine="720"/>
        <w:rPr>
          <w:rFonts w:cs="Sylfaen"/>
          <w:b w:val="0"/>
          <w:iCs/>
          <w:szCs w:val="22"/>
          <w:lang w:val="af-ZA"/>
        </w:rPr>
      </w:pPr>
      <w:r w:rsidRPr="009070BD">
        <w:rPr>
          <w:b w:val="0"/>
          <w:szCs w:val="22"/>
          <w:lang w:val="af-ZA"/>
        </w:rPr>
        <w:t>ՀՀ աշխատանքի և սոցիալական հարցերի նախարարության 2021 թվականի բյուջետային</w:t>
      </w:r>
      <w:r w:rsidRPr="009070BD">
        <w:rPr>
          <w:rFonts w:cs="Sylfaen"/>
          <w:b w:val="0"/>
          <w:iCs/>
          <w:szCs w:val="22"/>
          <w:lang w:val="af-ZA"/>
        </w:rPr>
        <w:t xml:space="preserve"> ծախսերի </w:t>
      </w:r>
      <w:r w:rsidRPr="00F744E0">
        <w:rPr>
          <w:rFonts w:cs="Sylfaen"/>
          <w:b w:val="0"/>
          <w:iCs/>
          <w:szCs w:val="22"/>
          <w:lang w:val="af-ZA"/>
        </w:rPr>
        <w:t>համեմատությունը 2019-2020 թվականների ցուցանիշների հետ արտացոլված է սույն բացատրագրի N 9 աղյուսակում:</w:t>
      </w:r>
    </w:p>
    <w:p w:rsidR="00B04425" w:rsidRPr="00B04425" w:rsidRDefault="00B04425" w:rsidP="007730AA">
      <w:pPr>
        <w:spacing w:before="0" w:line="240" w:lineRule="auto"/>
        <w:ind w:firstLine="720"/>
        <w:rPr>
          <w:b w:val="0"/>
          <w:szCs w:val="22"/>
          <w:lang w:val="af-ZA"/>
        </w:rPr>
      </w:pPr>
      <w:r w:rsidRPr="00B04425">
        <w:rPr>
          <w:b w:val="0"/>
          <w:szCs w:val="22"/>
          <w:lang w:val="af-ZA"/>
        </w:rPr>
        <w:t>ՀՀ աշխատանքի և սոցիալական հարցերի նախարարության զբաղվածության կարգավորման 2021 թվականի պետական ծրագիրը, հաշմանդամություն ունեցող անձանց սոցիալական ներառման 2021 թվականի տարեկան ծրագիրը, երեխայի իրավունքների պաշտպանության 2021 թվականի տարեկան ծրագիրն արտացոլված են սույն բացատրագրի համապատասխանաբար NN 9-րդ, 10-րդ և 11-րդ հավելվածներում:</w:t>
      </w:r>
    </w:p>
    <w:p w:rsidR="00B04425" w:rsidRPr="00B04425" w:rsidRDefault="00B04425" w:rsidP="007730AA">
      <w:pPr>
        <w:spacing w:before="0" w:line="276" w:lineRule="auto"/>
        <w:ind w:firstLine="720"/>
        <w:rPr>
          <w:rFonts w:cs="Sylfaen"/>
          <w:b w:val="0"/>
          <w:color w:val="FF0000"/>
          <w:szCs w:val="22"/>
          <w:lang w:val="af-ZA"/>
        </w:rPr>
      </w:pPr>
    </w:p>
    <w:p w:rsidR="00366B0D" w:rsidRPr="009070BD" w:rsidRDefault="00366B0D" w:rsidP="007730AA">
      <w:pPr>
        <w:pStyle w:val="Heading3"/>
        <w:spacing w:before="0"/>
        <w:ind w:firstLine="720"/>
        <w:rPr>
          <w:lang w:val="fr-FR"/>
        </w:rPr>
      </w:pPr>
      <w:bookmarkStart w:id="228" w:name="_Toc57655477"/>
      <w:r w:rsidRPr="009070BD">
        <w:t>ՀՀ</w:t>
      </w:r>
      <w:r w:rsidRPr="009070BD">
        <w:rPr>
          <w:lang w:val="fr-FR"/>
        </w:rPr>
        <w:t xml:space="preserve"> </w:t>
      </w:r>
      <w:r w:rsidR="004E7CE1" w:rsidRPr="009070BD">
        <w:rPr>
          <w:lang w:val="hy-AM"/>
        </w:rPr>
        <w:t>տարածքային</w:t>
      </w:r>
      <w:r w:rsidR="004E7CE1" w:rsidRPr="009070BD">
        <w:t xml:space="preserve"> </w:t>
      </w:r>
      <w:r w:rsidR="004E7CE1" w:rsidRPr="009070BD">
        <w:rPr>
          <w:lang w:val="hy-AM"/>
        </w:rPr>
        <w:t>կառավարման</w:t>
      </w:r>
      <w:r w:rsidR="004E7CE1" w:rsidRPr="009070BD">
        <w:t xml:space="preserve"> </w:t>
      </w:r>
      <w:r w:rsidR="004E7CE1" w:rsidRPr="009070BD">
        <w:rPr>
          <w:lang w:val="hy-AM"/>
        </w:rPr>
        <w:t>և</w:t>
      </w:r>
      <w:r w:rsidRPr="009070BD">
        <w:rPr>
          <w:lang w:val="fr-FR"/>
        </w:rPr>
        <w:t xml:space="preserve"> </w:t>
      </w:r>
      <w:r w:rsidRPr="009070BD">
        <w:t>ենթակառուցվածքների</w:t>
      </w:r>
      <w:r w:rsidRPr="009070BD">
        <w:rPr>
          <w:lang w:val="fr-FR"/>
        </w:rPr>
        <w:t xml:space="preserve"> </w:t>
      </w:r>
      <w:r w:rsidRPr="009070BD">
        <w:t>նախարարություն</w:t>
      </w:r>
      <w:bookmarkEnd w:id="228"/>
    </w:p>
    <w:p w:rsidR="001971B9" w:rsidRPr="009070BD" w:rsidRDefault="001971B9" w:rsidP="007730AA">
      <w:pPr>
        <w:spacing w:before="0" w:line="276" w:lineRule="auto"/>
        <w:ind w:firstLine="720"/>
        <w:rPr>
          <w:b w:val="0"/>
          <w:bCs/>
          <w:iCs/>
          <w:lang w:val="fr-FR"/>
        </w:rPr>
      </w:pPr>
      <w:r w:rsidRPr="009070BD">
        <w:rPr>
          <w:b w:val="0"/>
          <w:bCs/>
          <w:iCs/>
        </w:rPr>
        <w:t>ՀՀ</w:t>
      </w:r>
      <w:r w:rsidRPr="009070BD">
        <w:rPr>
          <w:b w:val="0"/>
          <w:bCs/>
          <w:iCs/>
          <w:lang w:val="fr-FR"/>
        </w:rPr>
        <w:t xml:space="preserve"> </w:t>
      </w:r>
      <w:r w:rsidRPr="009070BD">
        <w:rPr>
          <w:b w:val="0"/>
          <w:bCs/>
          <w:iCs/>
        </w:rPr>
        <w:t>տարածքային</w:t>
      </w:r>
      <w:r w:rsidRPr="009070BD">
        <w:rPr>
          <w:b w:val="0"/>
          <w:bCs/>
          <w:iCs/>
          <w:lang w:val="fr-FR"/>
        </w:rPr>
        <w:t xml:space="preserve"> կառավարման և ենթակառուցվածքների նախարարության գծով նախագծով նախատեսվում է </w:t>
      </w:r>
      <w:r w:rsidRPr="00EF6605">
        <w:rPr>
          <w:b w:val="0"/>
          <w:bCs/>
          <w:iCs/>
          <w:lang w:val="hy-AM"/>
        </w:rPr>
        <w:t>243,</w:t>
      </w:r>
      <w:r w:rsidR="00EF6605" w:rsidRPr="00EF6605">
        <w:rPr>
          <w:b w:val="0"/>
          <w:bCs/>
          <w:iCs/>
          <w:lang w:val="fr-FR"/>
        </w:rPr>
        <w:t>822.</w:t>
      </w:r>
      <w:r w:rsidR="00EF6605">
        <w:rPr>
          <w:b w:val="0"/>
          <w:bCs/>
          <w:iCs/>
          <w:lang w:val="fr-FR"/>
        </w:rPr>
        <w:t>7</w:t>
      </w:r>
      <w:r w:rsidRPr="009070BD">
        <w:rPr>
          <w:b w:val="0"/>
          <w:bCs/>
          <w:iCs/>
          <w:lang w:val="fr-FR"/>
        </w:rPr>
        <w:t xml:space="preserve"> մլն </w:t>
      </w:r>
      <w:r w:rsidRPr="0032034F">
        <w:rPr>
          <w:b w:val="0"/>
          <w:bCs/>
          <w:iCs/>
          <w:lang w:val="fr-FR"/>
        </w:rPr>
        <w:t>դրամ (առանց կառավարման ապարատի</w:t>
      </w:r>
      <w:r w:rsidR="00155864" w:rsidRPr="0032034F">
        <w:rPr>
          <w:b w:val="0"/>
          <w:bCs/>
          <w:iCs/>
          <w:lang w:val="fr-FR"/>
        </w:rPr>
        <w:t xml:space="preserve"> և ՀԱԷԿ-ին տրվող բյուջետային </w:t>
      </w:r>
      <w:r w:rsidR="00CE6CA9" w:rsidRPr="0032034F">
        <w:rPr>
          <w:b w:val="0"/>
          <w:bCs/>
          <w:iCs/>
          <w:lang w:val="fr-FR"/>
        </w:rPr>
        <w:t>վարկի</w:t>
      </w:r>
      <w:r w:rsidRPr="0032034F">
        <w:rPr>
          <w:b w:val="0"/>
          <w:bCs/>
          <w:iCs/>
          <w:lang w:val="fr-FR"/>
        </w:rPr>
        <w:t>)¸</w:t>
      </w:r>
      <w:r w:rsidRPr="009070BD">
        <w:rPr>
          <w:b w:val="0"/>
          <w:bCs/>
          <w:iCs/>
          <w:lang w:val="fr-FR"/>
        </w:rPr>
        <w:t xml:space="preserve"> </w:t>
      </w:r>
      <w:r w:rsidRPr="009070BD">
        <w:rPr>
          <w:b w:val="0"/>
          <w:bCs/>
          <w:iCs/>
        </w:rPr>
        <w:t>որի</w:t>
      </w:r>
      <w:r w:rsidRPr="009070BD">
        <w:rPr>
          <w:b w:val="0"/>
          <w:bCs/>
          <w:iCs/>
          <w:lang w:val="fr-FR"/>
        </w:rPr>
        <w:t xml:space="preserve"> </w:t>
      </w:r>
      <w:r w:rsidRPr="009070BD">
        <w:rPr>
          <w:b w:val="0"/>
          <w:bCs/>
          <w:iCs/>
        </w:rPr>
        <w:t>շրջանակներում</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իրականացնել</w:t>
      </w:r>
      <w:r w:rsidRPr="009070BD">
        <w:rPr>
          <w:b w:val="0"/>
          <w:bCs/>
          <w:iCs/>
          <w:lang w:val="fr-FR"/>
        </w:rPr>
        <w:t xml:space="preserve"> </w:t>
      </w:r>
      <w:r w:rsidRPr="009070BD">
        <w:rPr>
          <w:b w:val="0"/>
          <w:bCs/>
          <w:iCs/>
        </w:rPr>
        <w:t>հետևյալ</w:t>
      </w:r>
      <w:r w:rsidRPr="009070BD">
        <w:rPr>
          <w:b w:val="0"/>
          <w:bCs/>
          <w:iCs/>
          <w:lang w:val="fr-FR"/>
        </w:rPr>
        <w:t xml:space="preserve"> </w:t>
      </w:r>
      <w:r w:rsidRPr="009070BD">
        <w:rPr>
          <w:b w:val="0"/>
          <w:bCs/>
          <w:iCs/>
        </w:rPr>
        <w:t>ծրագրերը</w:t>
      </w:r>
      <w:r w:rsidRPr="009070BD">
        <w:rPr>
          <w:b w:val="0"/>
          <w:bCs/>
          <w:iCs/>
          <w:lang w:val="fr-FR"/>
        </w:rPr>
        <w:t xml:space="preserve">. </w:t>
      </w:r>
    </w:p>
    <w:p w:rsidR="001971B9" w:rsidRPr="009070BD" w:rsidRDefault="001971B9" w:rsidP="007730AA">
      <w:pPr>
        <w:numPr>
          <w:ilvl w:val="0"/>
          <w:numId w:val="60"/>
        </w:numPr>
        <w:spacing w:before="0" w:line="276" w:lineRule="auto"/>
        <w:ind w:left="0" w:firstLine="720"/>
        <w:rPr>
          <w:b w:val="0"/>
          <w:bCs/>
          <w:iCs/>
          <w:lang w:val="hy-AM"/>
        </w:rPr>
      </w:pPr>
      <w:r w:rsidRPr="009070BD">
        <w:rPr>
          <w:bCs/>
          <w:iCs/>
          <w:lang w:val="hy-AM"/>
        </w:rPr>
        <w:t>«Ոռոգման համակարգի առողջացում» ծրագիր.</w:t>
      </w:r>
    </w:p>
    <w:p w:rsidR="001971B9" w:rsidRPr="009070BD" w:rsidRDefault="001971B9" w:rsidP="007730AA">
      <w:pPr>
        <w:spacing w:before="0" w:line="276" w:lineRule="auto"/>
        <w:ind w:firstLine="720"/>
        <w:rPr>
          <w:b w:val="0"/>
          <w:bCs/>
          <w:iCs/>
          <w:lang w:val="fr-FR"/>
        </w:rPr>
      </w:pPr>
      <w:r w:rsidRPr="009070BD">
        <w:rPr>
          <w:b w:val="0"/>
          <w:bCs/>
          <w:iCs/>
          <w:lang w:val="hy-AM"/>
        </w:rPr>
        <w:t>Ծրագրի նպատակն է ոռոգման ծառայությունների հասանելիության և մատչելիության ապահովումը, որի շրջանակներում</w:t>
      </w:r>
      <w:r w:rsidRPr="009070BD">
        <w:rPr>
          <w:b w:val="0"/>
          <w:bCs/>
          <w:iCs/>
          <w:lang w:val="fr-FR"/>
        </w:rPr>
        <w:t xml:space="preserve"> </w:t>
      </w:r>
      <w:r w:rsidRPr="009070BD">
        <w:rPr>
          <w:b w:val="0"/>
          <w:bCs/>
          <w:iCs/>
          <w:lang w:val="hy-AM"/>
        </w:rPr>
        <w:t>նախա</w:t>
      </w:r>
      <w:r w:rsidRPr="009070BD">
        <w:rPr>
          <w:b w:val="0"/>
          <w:bCs/>
          <w:iCs/>
          <w:lang w:val="fr-FR"/>
        </w:rPr>
        <w:softHyphen/>
      </w:r>
      <w:r w:rsidRPr="009070BD">
        <w:rPr>
          <w:b w:val="0"/>
          <w:bCs/>
          <w:iCs/>
          <w:lang w:val="hy-AM"/>
        </w:rPr>
        <w:t>տեսվում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իրականացնել</w:t>
      </w:r>
      <w:r w:rsidRPr="009070BD">
        <w:rPr>
          <w:b w:val="0"/>
          <w:bCs/>
          <w:iCs/>
          <w:lang w:val="fr-FR"/>
        </w:rPr>
        <w:t xml:space="preserve"> </w:t>
      </w:r>
      <w:r w:rsidRPr="009070BD">
        <w:rPr>
          <w:b w:val="0"/>
          <w:bCs/>
          <w:iCs/>
          <w:lang w:val="hy-AM"/>
        </w:rPr>
        <w:t>հետևյալ</w:t>
      </w:r>
      <w:r w:rsidRPr="009070BD">
        <w:rPr>
          <w:b w:val="0"/>
          <w:bCs/>
          <w:iCs/>
          <w:lang w:val="fr-FR"/>
        </w:rPr>
        <w:t xml:space="preserve"> </w:t>
      </w:r>
      <w:r w:rsidRPr="009070BD">
        <w:rPr>
          <w:b w:val="0"/>
          <w:bCs/>
          <w:iCs/>
          <w:lang w:val="hy-AM"/>
        </w:rPr>
        <w:t>միջոցառումները</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1.1 «</w:t>
      </w:r>
      <w:r w:rsidRPr="009070BD">
        <w:rPr>
          <w:b w:val="0"/>
          <w:bCs/>
          <w:iCs/>
          <w:lang w:val="hy-AM"/>
        </w:rPr>
        <w:t>Ոռոգում</w:t>
      </w:r>
      <w:r w:rsidRPr="009070BD">
        <w:rPr>
          <w:b w:val="0"/>
          <w:bCs/>
          <w:iCs/>
          <w:lang w:val="fr-FR"/>
        </w:rPr>
        <w:t>-</w:t>
      </w:r>
      <w:r w:rsidRPr="009070BD">
        <w:rPr>
          <w:b w:val="0"/>
          <w:bCs/>
          <w:iCs/>
          <w:lang w:val="hy-AM"/>
        </w:rPr>
        <w:t>ջրառ</w:t>
      </w:r>
      <w:r w:rsidRPr="009070BD">
        <w:rPr>
          <w:b w:val="0"/>
          <w:bCs/>
          <w:iCs/>
          <w:lang w:val="fr-FR"/>
        </w:rPr>
        <w:t xml:space="preserve"> </w:t>
      </w:r>
      <w:r w:rsidRPr="009070BD">
        <w:rPr>
          <w:b w:val="0"/>
          <w:bCs/>
          <w:iCs/>
          <w:lang w:val="hy-AM"/>
        </w:rPr>
        <w:t>իրականացնող</w:t>
      </w:r>
      <w:r w:rsidRPr="009070BD">
        <w:rPr>
          <w:b w:val="0"/>
          <w:bCs/>
          <w:iCs/>
          <w:lang w:val="fr-FR"/>
        </w:rPr>
        <w:t xml:space="preserve"> </w:t>
      </w:r>
      <w:r w:rsidRPr="009070BD">
        <w:rPr>
          <w:b w:val="0"/>
          <w:bCs/>
          <w:iCs/>
          <w:lang w:val="hy-AM"/>
        </w:rPr>
        <w:t>կազմակերպություններին</w:t>
      </w:r>
      <w:r w:rsidRPr="009070BD">
        <w:rPr>
          <w:b w:val="0"/>
          <w:bCs/>
          <w:iCs/>
          <w:lang w:val="fr-FR"/>
        </w:rPr>
        <w:t xml:space="preserve"> </w:t>
      </w:r>
      <w:r w:rsidRPr="009070BD">
        <w:rPr>
          <w:b w:val="0"/>
          <w:bCs/>
          <w:iCs/>
          <w:lang w:val="hy-AM"/>
        </w:rPr>
        <w:t>ֆինանսական</w:t>
      </w:r>
      <w:r w:rsidRPr="009070BD">
        <w:rPr>
          <w:b w:val="0"/>
          <w:bCs/>
          <w:iCs/>
          <w:lang w:val="fr-FR"/>
        </w:rPr>
        <w:t xml:space="preserve"> </w:t>
      </w:r>
      <w:r w:rsidRPr="009070BD">
        <w:rPr>
          <w:b w:val="0"/>
          <w:bCs/>
          <w:iCs/>
          <w:lang w:val="hy-AM"/>
        </w:rPr>
        <w:t>աջակ</w:t>
      </w:r>
      <w:r w:rsidRPr="009070BD">
        <w:rPr>
          <w:b w:val="0"/>
          <w:bCs/>
          <w:iCs/>
          <w:lang w:val="fr-FR"/>
        </w:rPr>
        <w:softHyphen/>
      </w:r>
      <w:r w:rsidRPr="009070BD">
        <w:rPr>
          <w:b w:val="0"/>
          <w:bCs/>
          <w:iCs/>
          <w:lang w:val="hy-AM"/>
        </w:rPr>
        <w:t>ցու</w:t>
      </w:r>
      <w:r w:rsidRPr="009070BD">
        <w:rPr>
          <w:b w:val="0"/>
          <w:bCs/>
          <w:iCs/>
          <w:lang w:val="fr-FR"/>
        </w:rPr>
        <w:softHyphen/>
      </w:r>
      <w:r w:rsidRPr="009070BD">
        <w:rPr>
          <w:b w:val="0"/>
          <w:bCs/>
          <w:iCs/>
          <w:lang w:val="hy-AM"/>
        </w:rPr>
        <w:t>թյան</w:t>
      </w:r>
      <w:r w:rsidRPr="009070BD">
        <w:rPr>
          <w:b w:val="0"/>
          <w:bCs/>
          <w:iCs/>
          <w:lang w:val="fr-FR"/>
        </w:rPr>
        <w:t xml:space="preserve"> </w:t>
      </w:r>
      <w:r w:rsidRPr="009070BD">
        <w:rPr>
          <w:b w:val="0"/>
          <w:bCs/>
          <w:iCs/>
          <w:lang w:val="hy-AM"/>
        </w:rPr>
        <w:t>տրամադրում</w:t>
      </w:r>
      <w:r w:rsidRPr="009070BD">
        <w:rPr>
          <w:b w:val="0"/>
          <w:bCs/>
          <w:iCs/>
          <w:lang w:val="fr-FR"/>
        </w:rPr>
        <w:t xml:space="preserve">» </w:t>
      </w:r>
      <w:r w:rsidRPr="009070BD">
        <w:rPr>
          <w:b w:val="0"/>
          <w:bCs/>
          <w:iCs/>
          <w:lang w:val="hy-AM"/>
        </w:rPr>
        <w:t>միջոցառման</w:t>
      </w:r>
      <w:r w:rsidRPr="009070BD">
        <w:rPr>
          <w:b w:val="0"/>
          <w:bCs/>
          <w:iCs/>
          <w:lang w:val="fr-FR"/>
        </w:rPr>
        <w:t xml:space="preserve"> </w:t>
      </w:r>
      <w:r w:rsidRPr="009070BD">
        <w:rPr>
          <w:b w:val="0"/>
          <w:bCs/>
          <w:iCs/>
          <w:lang w:val="hy-AM"/>
        </w:rPr>
        <w:t>համար</w:t>
      </w:r>
      <w:r w:rsidRPr="009070BD">
        <w:rPr>
          <w:b w:val="0"/>
          <w:bCs/>
          <w:iCs/>
          <w:lang w:val="fr-FR"/>
        </w:rPr>
        <w:t xml:space="preserve"> </w:t>
      </w:r>
      <w:r w:rsidRPr="009070BD">
        <w:rPr>
          <w:b w:val="0"/>
          <w:bCs/>
          <w:iCs/>
          <w:lang w:val="hy-AM"/>
        </w:rPr>
        <w:t>Նախագծով</w:t>
      </w:r>
      <w:r w:rsidRPr="009070BD">
        <w:rPr>
          <w:b w:val="0"/>
          <w:bCs/>
          <w:iCs/>
          <w:lang w:val="fr-FR"/>
        </w:rPr>
        <w:t xml:space="preserve"> </w:t>
      </w:r>
      <w:r w:rsidRPr="009070BD">
        <w:rPr>
          <w:b w:val="0"/>
          <w:bCs/>
          <w:iCs/>
          <w:lang w:val="hy-AM"/>
        </w:rPr>
        <w:t>նա</w:t>
      </w:r>
      <w:r w:rsidRPr="009070BD">
        <w:rPr>
          <w:b w:val="0"/>
          <w:bCs/>
          <w:iCs/>
          <w:lang w:val="fr-FR"/>
        </w:rPr>
        <w:softHyphen/>
      </w:r>
      <w:r w:rsidRPr="009070BD">
        <w:rPr>
          <w:b w:val="0"/>
          <w:bCs/>
          <w:iCs/>
          <w:lang w:val="hy-AM"/>
        </w:rPr>
        <w:t>խատեսվում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հատկացնել</w:t>
      </w:r>
      <w:r w:rsidRPr="009070BD">
        <w:rPr>
          <w:b w:val="0"/>
          <w:bCs/>
          <w:iCs/>
          <w:lang w:val="fr-FR"/>
        </w:rPr>
        <w:t xml:space="preserve"> 1,089.3 </w:t>
      </w:r>
      <w:r w:rsidRPr="009070BD">
        <w:rPr>
          <w:b w:val="0"/>
          <w:bCs/>
          <w:iCs/>
          <w:lang w:val="hy-AM"/>
        </w:rPr>
        <w:t>մլն</w:t>
      </w:r>
      <w:r w:rsidRPr="009070BD">
        <w:rPr>
          <w:b w:val="0"/>
          <w:bCs/>
          <w:iCs/>
          <w:lang w:val="fr-FR"/>
        </w:rPr>
        <w:t xml:space="preserve"> </w:t>
      </w:r>
      <w:r w:rsidRPr="009070BD">
        <w:rPr>
          <w:b w:val="0"/>
          <w:bCs/>
          <w:iCs/>
          <w:lang w:val="hy-AM"/>
        </w:rPr>
        <w:t>դրամ</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մակարդակին</w:t>
      </w:r>
      <w:r w:rsidRPr="009070BD">
        <w:rPr>
          <w:b w:val="0"/>
          <w:bCs/>
          <w:iCs/>
          <w:lang w:val="fr-FR"/>
        </w:rPr>
        <w:t xml:space="preserve"> </w:t>
      </w:r>
      <w:r w:rsidRPr="009070BD">
        <w:rPr>
          <w:b w:val="0"/>
          <w:bCs/>
          <w:iCs/>
        </w:rPr>
        <w:t>համապատասխան</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rPr>
        <w:t>Միջոցառմամբ</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ոռոգում</w:t>
      </w:r>
      <w:r w:rsidRPr="009070BD">
        <w:rPr>
          <w:b w:val="0"/>
          <w:bCs/>
          <w:iCs/>
          <w:lang w:val="fr-FR"/>
        </w:rPr>
        <w:t>-</w:t>
      </w:r>
      <w:r w:rsidRPr="009070BD">
        <w:rPr>
          <w:b w:val="0"/>
          <w:bCs/>
          <w:iCs/>
        </w:rPr>
        <w:t>ջրառ</w:t>
      </w:r>
      <w:r w:rsidRPr="009070BD">
        <w:rPr>
          <w:b w:val="0"/>
          <w:bCs/>
          <w:iCs/>
          <w:lang w:val="fr-FR"/>
        </w:rPr>
        <w:t xml:space="preserve"> </w:t>
      </w:r>
      <w:r w:rsidRPr="009070BD">
        <w:rPr>
          <w:b w:val="0"/>
          <w:bCs/>
          <w:iCs/>
        </w:rPr>
        <w:t>իրականացնող</w:t>
      </w:r>
      <w:r w:rsidRPr="009070BD">
        <w:rPr>
          <w:b w:val="0"/>
          <w:bCs/>
          <w:iCs/>
          <w:lang w:val="fr-FR"/>
        </w:rPr>
        <w:t xml:space="preserve"> </w:t>
      </w:r>
      <w:r w:rsidRPr="009070BD">
        <w:rPr>
          <w:b w:val="0"/>
          <w:bCs/>
          <w:iCs/>
        </w:rPr>
        <w:t>կազմակերպությունների</w:t>
      </w:r>
      <w:r w:rsidRPr="009070BD">
        <w:rPr>
          <w:b w:val="0"/>
          <w:bCs/>
          <w:iCs/>
          <w:lang w:val="fr-FR"/>
        </w:rPr>
        <w:t xml:space="preserve"> </w:t>
      </w:r>
      <w:r w:rsidRPr="009070BD">
        <w:rPr>
          <w:b w:val="0"/>
          <w:bCs/>
          <w:iCs/>
        </w:rPr>
        <w:t>ըն</w:t>
      </w:r>
      <w:r w:rsidRPr="009070BD">
        <w:rPr>
          <w:b w:val="0"/>
          <w:bCs/>
          <w:iCs/>
          <w:lang w:val="fr-FR"/>
        </w:rPr>
        <w:softHyphen/>
      </w:r>
      <w:r w:rsidRPr="009070BD">
        <w:rPr>
          <w:b w:val="0"/>
          <w:bCs/>
          <w:iCs/>
        </w:rPr>
        <w:t>թա</w:t>
      </w:r>
      <w:r w:rsidRPr="009070BD">
        <w:rPr>
          <w:b w:val="0"/>
          <w:bCs/>
          <w:iCs/>
          <w:lang w:val="fr-FR"/>
        </w:rPr>
        <w:softHyphen/>
      </w:r>
      <w:r w:rsidRPr="009070BD">
        <w:rPr>
          <w:b w:val="0"/>
          <w:bCs/>
          <w:iCs/>
        </w:rPr>
        <w:t>ցիկ</w:t>
      </w:r>
      <w:r w:rsidRPr="009070BD">
        <w:rPr>
          <w:b w:val="0"/>
          <w:bCs/>
          <w:iCs/>
          <w:lang w:val="fr-FR"/>
        </w:rPr>
        <w:t xml:space="preserve"> </w:t>
      </w:r>
      <w:r w:rsidRPr="009070BD">
        <w:rPr>
          <w:b w:val="0"/>
          <w:bCs/>
          <w:iCs/>
        </w:rPr>
        <w:t>ֆինանսական</w:t>
      </w:r>
      <w:r w:rsidRPr="009070BD">
        <w:rPr>
          <w:b w:val="0"/>
          <w:bCs/>
          <w:iCs/>
          <w:lang w:val="fr-FR"/>
        </w:rPr>
        <w:t xml:space="preserve"> </w:t>
      </w:r>
      <w:r w:rsidRPr="009070BD">
        <w:rPr>
          <w:b w:val="0"/>
          <w:bCs/>
          <w:iCs/>
        </w:rPr>
        <w:t>ճեղքվածքի</w:t>
      </w:r>
      <w:r w:rsidRPr="009070BD">
        <w:rPr>
          <w:b w:val="0"/>
          <w:bCs/>
          <w:iCs/>
          <w:lang w:val="fr-FR"/>
        </w:rPr>
        <w:t xml:space="preserve"> </w:t>
      </w:r>
      <w:r w:rsidRPr="009070BD">
        <w:rPr>
          <w:b w:val="0"/>
          <w:bCs/>
          <w:iCs/>
        </w:rPr>
        <w:t>ծածկման</w:t>
      </w:r>
      <w:r w:rsidRPr="009070BD">
        <w:rPr>
          <w:b w:val="0"/>
          <w:bCs/>
          <w:iCs/>
          <w:lang w:val="fr-FR"/>
        </w:rPr>
        <w:t xml:space="preserve"> </w:t>
      </w:r>
      <w:r w:rsidRPr="009070BD">
        <w:rPr>
          <w:b w:val="0"/>
          <w:bCs/>
          <w:iCs/>
        </w:rPr>
        <w:t>նպատակով</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աջակցության</w:t>
      </w:r>
      <w:r w:rsidRPr="009070BD">
        <w:rPr>
          <w:b w:val="0"/>
          <w:bCs/>
          <w:iCs/>
          <w:lang w:val="fr-FR"/>
        </w:rPr>
        <w:t xml:space="preserve"> </w:t>
      </w:r>
      <w:r w:rsidRPr="009070BD">
        <w:rPr>
          <w:b w:val="0"/>
          <w:bCs/>
          <w:iCs/>
        </w:rPr>
        <w:t>տրա</w:t>
      </w:r>
      <w:r w:rsidRPr="009070BD">
        <w:rPr>
          <w:b w:val="0"/>
          <w:bCs/>
          <w:iCs/>
          <w:lang w:val="fr-FR"/>
        </w:rPr>
        <w:softHyphen/>
      </w:r>
      <w:r w:rsidRPr="009070BD">
        <w:rPr>
          <w:b w:val="0"/>
          <w:bCs/>
          <w:iCs/>
        </w:rPr>
        <w:t>մադրում</w:t>
      </w:r>
      <w:r w:rsidRPr="009070BD">
        <w:rPr>
          <w:b w:val="0"/>
          <w:bCs/>
          <w:iCs/>
          <w:lang w:val="fr-FR"/>
        </w:rPr>
        <w:t xml:space="preserve">` </w:t>
      </w:r>
      <w:r w:rsidRPr="009070BD">
        <w:rPr>
          <w:b w:val="0"/>
          <w:bCs/>
          <w:iCs/>
        </w:rPr>
        <w:t>վեր</w:t>
      </w:r>
      <w:r w:rsidRPr="009070BD">
        <w:rPr>
          <w:b w:val="0"/>
          <w:bCs/>
          <w:iCs/>
          <w:lang w:val="fr-FR"/>
        </w:rPr>
        <w:softHyphen/>
      </w:r>
      <w:r w:rsidRPr="009070BD">
        <w:rPr>
          <w:b w:val="0"/>
          <w:bCs/>
          <w:iCs/>
        </w:rPr>
        <w:t>ջիններիս</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հաստատված</w:t>
      </w:r>
      <w:r w:rsidRPr="009070BD">
        <w:rPr>
          <w:b w:val="0"/>
          <w:bCs/>
          <w:iCs/>
          <w:lang w:val="fr-FR"/>
        </w:rPr>
        <w:t xml:space="preserve"> </w:t>
      </w:r>
      <w:r w:rsidRPr="009070BD">
        <w:rPr>
          <w:b w:val="0"/>
          <w:bCs/>
          <w:iCs/>
        </w:rPr>
        <w:t>սակագնի</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նվազագույն</w:t>
      </w:r>
      <w:r w:rsidRPr="009070BD">
        <w:rPr>
          <w:b w:val="0"/>
          <w:bCs/>
          <w:iCs/>
          <w:lang w:val="fr-FR"/>
        </w:rPr>
        <w:t xml:space="preserve"> </w:t>
      </w:r>
      <w:r w:rsidRPr="009070BD">
        <w:rPr>
          <w:b w:val="0"/>
          <w:bCs/>
          <w:iCs/>
        </w:rPr>
        <w:t>շահավետ</w:t>
      </w:r>
      <w:r w:rsidRPr="009070BD">
        <w:rPr>
          <w:b w:val="0"/>
          <w:bCs/>
          <w:iCs/>
          <w:lang w:val="fr-FR"/>
        </w:rPr>
        <w:t xml:space="preserve"> </w:t>
      </w:r>
      <w:r w:rsidRPr="009070BD">
        <w:rPr>
          <w:b w:val="0"/>
          <w:bCs/>
          <w:iCs/>
        </w:rPr>
        <w:t>գնի</w:t>
      </w:r>
      <w:r w:rsidRPr="009070BD">
        <w:rPr>
          <w:b w:val="0"/>
          <w:bCs/>
          <w:iCs/>
          <w:lang w:val="fr-FR"/>
        </w:rPr>
        <w:t xml:space="preserve"> </w:t>
      </w:r>
      <w:r w:rsidRPr="009070BD">
        <w:rPr>
          <w:b w:val="0"/>
          <w:bCs/>
          <w:iCs/>
        </w:rPr>
        <w:t>տարբե</w:t>
      </w:r>
      <w:r w:rsidRPr="009070BD">
        <w:rPr>
          <w:b w:val="0"/>
          <w:bCs/>
          <w:iCs/>
          <w:lang w:val="fr-FR"/>
        </w:rPr>
        <w:softHyphen/>
      </w:r>
      <w:r w:rsidRPr="009070BD">
        <w:rPr>
          <w:b w:val="0"/>
          <w:bCs/>
          <w:iCs/>
        </w:rPr>
        <w:t>րության</w:t>
      </w:r>
      <w:r w:rsidRPr="009070BD">
        <w:rPr>
          <w:b w:val="0"/>
          <w:bCs/>
          <w:iCs/>
          <w:lang w:val="fr-FR"/>
        </w:rPr>
        <w:t xml:space="preserve"> </w:t>
      </w:r>
      <w:r w:rsidRPr="009070BD">
        <w:rPr>
          <w:b w:val="0"/>
          <w:bCs/>
          <w:iCs/>
        </w:rPr>
        <w:t>չա</w:t>
      </w:r>
      <w:r w:rsidRPr="009070BD">
        <w:rPr>
          <w:b w:val="0"/>
          <w:bCs/>
          <w:iCs/>
          <w:lang w:val="fr-FR"/>
        </w:rPr>
        <w:softHyphen/>
      </w:r>
      <w:r w:rsidRPr="009070BD">
        <w:rPr>
          <w:b w:val="0"/>
          <w:bCs/>
          <w:iCs/>
        </w:rPr>
        <w:t>փով</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rPr>
        <w:t>Գումարի</w:t>
      </w:r>
      <w:r w:rsidRPr="009070BD">
        <w:rPr>
          <w:b w:val="0"/>
          <w:bCs/>
          <w:iCs/>
          <w:lang w:val="fr-FR"/>
        </w:rPr>
        <w:t xml:space="preserve"> </w:t>
      </w:r>
      <w:r w:rsidRPr="009070BD">
        <w:rPr>
          <w:b w:val="0"/>
          <w:bCs/>
          <w:iCs/>
        </w:rPr>
        <w:t>հաշվարկման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հիմք</w:t>
      </w:r>
      <w:r w:rsidRPr="009070BD">
        <w:rPr>
          <w:b w:val="0"/>
          <w:bCs/>
          <w:iCs/>
          <w:lang w:val="fr-FR"/>
        </w:rPr>
        <w:t xml:space="preserve"> </w:t>
      </w:r>
      <w:r w:rsidRPr="009070BD">
        <w:rPr>
          <w:b w:val="0"/>
          <w:bCs/>
          <w:iCs/>
        </w:rPr>
        <w:t>են</w:t>
      </w:r>
      <w:r w:rsidRPr="009070BD">
        <w:rPr>
          <w:b w:val="0"/>
          <w:bCs/>
          <w:iCs/>
          <w:lang w:val="fr-FR"/>
        </w:rPr>
        <w:t xml:space="preserve"> </w:t>
      </w:r>
      <w:r w:rsidRPr="009070BD">
        <w:rPr>
          <w:b w:val="0"/>
          <w:bCs/>
          <w:iCs/>
        </w:rPr>
        <w:t>հանդիսացել</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հանրային</w:t>
      </w:r>
      <w:r w:rsidRPr="009070BD">
        <w:rPr>
          <w:b w:val="0"/>
          <w:bCs/>
          <w:iCs/>
          <w:lang w:val="fr-FR"/>
        </w:rPr>
        <w:t xml:space="preserve"> </w:t>
      </w:r>
      <w:r w:rsidRPr="009070BD">
        <w:rPr>
          <w:b w:val="0"/>
          <w:bCs/>
          <w:iCs/>
        </w:rPr>
        <w:t>ծառայությունները</w:t>
      </w:r>
      <w:r w:rsidRPr="009070BD">
        <w:rPr>
          <w:b w:val="0"/>
          <w:bCs/>
          <w:iCs/>
          <w:lang w:val="fr-FR"/>
        </w:rPr>
        <w:t xml:space="preserve"> </w:t>
      </w:r>
      <w:r w:rsidRPr="009070BD">
        <w:rPr>
          <w:b w:val="0"/>
          <w:bCs/>
          <w:iCs/>
        </w:rPr>
        <w:t>կարգավորող</w:t>
      </w:r>
      <w:r w:rsidRPr="009070BD">
        <w:rPr>
          <w:b w:val="0"/>
          <w:bCs/>
          <w:iCs/>
          <w:lang w:val="fr-FR"/>
        </w:rPr>
        <w:t xml:space="preserve"> </w:t>
      </w:r>
      <w:r w:rsidRPr="009070BD">
        <w:rPr>
          <w:b w:val="0"/>
          <w:bCs/>
          <w:iCs/>
        </w:rPr>
        <w:t>հանձնաժողովի</w:t>
      </w:r>
      <w:r w:rsidRPr="009070BD">
        <w:rPr>
          <w:b w:val="0"/>
          <w:bCs/>
          <w:iCs/>
          <w:lang w:val="fr-FR"/>
        </w:rPr>
        <w:t xml:space="preserve"> </w:t>
      </w:r>
      <w:r w:rsidRPr="009070BD">
        <w:rPr>
          <w:b w:val="0"/>
          <w:bCs/>
          <w:iCs/>
        </w:rPr>
        <w:t>կողմից</w:t>
      </w:r>
      <w:r w:rsidRPr="009070BD">
        <w:rPr>
          <w:b w:val="0"/>
          <w:bCs/>
          <w:iCs/>
          <w:lang w:val="fr-FR"/>
        </w:rPr>
        <w:t xml:space="preserve"> 2007</w:t>
      </w:r>
      <w:r w:rsidRPr="009070BD">
        <w:rPr>
          <w:b w:val="0"/>
          <w:bCs/>
          <w:iCs/>
        </w:rPr>
        <w:t>թ</w:t>
      </w:r>
      <w:r w:rsidRPr="009070BD">
        <w:rPr>
          <w:b w:val="0"/>
          <w:bCs/>
          <w:iCs/>
          <w:lang w:val="fr-FR"/>
        </w:rPr>
        <w:t xml:space="preserve">. </w:t>
      </w:r>
      <w:r w:rsidRPr="009070BD">
        <w:rPr>
          <w:b w:val="0"/>
          <w:bCs/>
          <w:iCs/>
        </w:rPr>
        <w:t>սահմանված</w:t>
      </w:r>
      <w:r w:rsidRPr="009070BD">
        <w:rPr>
          <w:b w:val="0"/>
          <w:bCs/>
          <w:iCs/>
          <w:lang w:val="fr-FR"/>
        </w:rPr>
        <w:t xml:space="preserve"> </w:t>
      </w:r>
      <w:r w:rsidRPr="009070BD">
        <w:rPr>
          <w:b w:val="0"/>
          <w:bCs/>
          <w:iCs/>
        </w:rPr>
        <w:t>ոռոգման</w:t>
      </w:r>
      <w:r w:rsidRPr="009070BD">
        <w:rPr>
          <w:b w:val="0"/>
          <w:bCs/>
          <w:iCs/>
          <w:lang w:val="fr-FR"/>
        </w:rPr>
        <w:t xml:space="preserve"> </w:t>
      </w:r>
      <w:r w:rsidRPr="009070BD">
        <w:rPr>
          <w:b w:val="0"/>
          <w:bCs/>
          <w:iCs/>
        </w:rPr>
        <w:t>ջրի</w:t>
      </w:r>
      <w:r w:rsidRPr="009070BD">
        <w:rPr>
          <w:b w:val="0"/>
          <w:bCs/>
          <w:iCs/>
          <w:lang w:val="fr-FR"/>
        </w:rPr>
        <w:t xml:space="preserve"> </w:t>
      </w:r>
      <w:r w:rsidRPr="009070BD">
        <w:rPr>
          <w:b w:val="0"/>
          <w:bCs/>
          <w:iCs/>
        </w:rPr>
        <w:t>սակագների</w:t>
      </w:r>
      <w:r w:rsidRPr="009070BD">
        <w:rPr>
          <w:b w:val="0"/>
          <w:bCs/>
          <w:iCs/>
          <w:lang w:val="fr-FR"/>
        </w:rPr>
        <w:t xml:space="preserve"> </w:t>
      </w:r>
      <w:r w:rsidRPr="009070BD">
        <w:rPr>
          <w:b w:val="0"/>
          <w:bCs/>
          <w:iCs/>
        </w:rPr>
        <w:t>հաշ</w:t>
      </w:r>
      <w:r w:rsidRPr="009070BD">
        <w:rPr>
          <w:b w:val="0"/>
          <w:bCs/>
          <w:iCs/>
          <w:lang w:val="fr-FR"/>
        </w:rPr>
        <w:softHyphen/>
      </w:r>
      <w:r w:rsidRPr="009070BD">
        <w:rPr>
          <w:b w:val="0"/>
          <w:bCs/>
          <w:iCs/>
        </w:rPr>
        <w:t>վարկ</w:t>
      </w:r>
      <w:r w:rsidRPr="009070BD">
        <w:rPr>
          <w:b w:val="0"/>
          <w:bCs/>
          <w:iCs/>
          <w:lang w:val="fr-FR"/>
        </w:rPr>
        <w:softHyphen/>
      </w:r>
      <w:r w:rsidRPr="009070BD">
        <w:rPr>
          <w:b w:val="0"/>
          <w:bCs/>
          <w:iCs/>
        </w:rPr>
        <w:t>ները</w:t>
      </w:r>
      <w:r w:rsidRPr="009070BD">
        <w:rPr>
          <w:b w:val="0"/>
          <w:bCs/>
          <w:iCs/>
          <w:lang w:val="fr-FR"/>
        </w:rPr>
        <w:t xml:space="preserve"> </w:t>
      </w:r>
      <w:r w:rsidRPr="009070BD">
        <w:rPr>
          <w:b w:val="0"/>
          <w:bCs/>
          <w:iCs/>
        </w:rPr>
        <w:t>և</w:t>
      </w:r>
      <w:r w:rsidRPr="009070BD">
        <w:rPr>
          <w:b w:val="0"/>
          <w:bCs/>
          <w:iCs/>
          <w:lang w:val="fr-FR"/>
        </w:rPr>
        <w:t xml:space="preserve"> 2010</w:t>
      </w:r>
      <w:r w:rsidRPr="009070BD">
        <w:rPr>
          <w:b w:val="0"/>
          <w:bCs/>
          <w:iCs/>
        </w:rPr>
        <w:t>թ</w:t>
      </w:r>
      <w:r w:rsidRPr="009070BD">
        <w:rPr>
          <w:b w:val="0"/>
          <w:bCs/>
          <w:iCs/>
          <w:lang w:val="fr-FR"/>
        </w:rPr>
        <w:t xml:space="preserve">. </w:t>
      </w:r>
      <w:r w:rsidRPr="009070BD">
        <w:rPr>
          <w:b w:val="0"/>
          <w:bCs/>
          <w:iCs/>
        </w:rPr>
        <w:t>վերանայված</w:t>
      </w:r>
      <w:r w:rsidRPr="009070BD">
        <w:rPr>
          <w:b w:val="0"/>
          <w:bCs/>
          <w:iCs/>
          <w:lang w:val="fr-FR"/>
        </w:rPr>
        <w:t xml:space="preserve"> </w:t>
      </w:r>
      <w:r w:rsidRPr="009070BD">
        <w:rPr>
          <w:b w:val="0"/>
          <w:bCs/>
          <w:iCs/>
        </w:rPr>
        <w:t>տարբերակները</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1.2 «</w:t>
      </w:r>
      <w:r w:rsidRPr="009070BD">
        <w:rPr>
          <w:b w:val="0"/>
          <w:bCs/>
          <w:iCs/>
        </w:rPr>
        <w:t>Ոռոգման</w:t>
      </w:r>
      <w:r w:rsidRPr="009070BD">
        <w:rPr>
          <w:b w:val="0"/>
          <w:bCs/>
          <w:iCs/>
          <w:lang w:val="fr-FR"/>
        </w:rPr>
        <w:t xml:space="preserve"> </w:t>
      </w:r>
      <w:r w:rsidRPr="009070BD">
        <w:rPr>
          <w:b w:val="0"/>
          <w:bCs/>
          <w:iCs/>
        </w:rPr>
        <w:t>ծառայություններ</w:t>
      </w:r>
      <w:r w:rsidRPr="009070BD">
        <w:rPr>
          <w:b w:val="0"/>
          <w:bCs/>
          <w:iCs/>
          <w:lang w:val="fr-FR"/>
        </w:rPr>
        <w:t xml:space="preserve"> </w:t>
      </w:r>
      <w:r w:rsidRPr="009070BD">
        <w:rPr>
          <w:b w:val="0"/>
          <w:bCs/>
          <w:iCs/>
        </w:rPr>
        <w:t>մատուցող</w:t>
      </w:r>
      <w:r w:rsidRPr="009070BD">
        <w:rPr>
          <w:b w:val="0"/>
          <w:bCs/>
          <w:iCs/>
          <w:lang w:val="fr-FR"/>
        </w:rPr>
        <w:t xml:space="preserve"> </w:t>
      </w:r>
      <w:r w:rsidRPr="009070BD">
        <w:rPr>
          <w:b w:val="0"/>
          <w:bCs/>
          <w:iCs/>
        </w:rPr>
        <w:t>ընկերություններին</w:t>
      </w:r>
      <w:r w:rsidRPr="009070BD">
        <w:rPr>
          <w:b w:val="0"/>
          <w:bCs/>
          <w:iCs/>
          <w:lang w:val="fr-FR"/>
        </w:rPr>
        <w:t xml:space="preserve"> </w:t>
      </w:r>
      <w:r w:rsidRPr="009070BD">
        <w:rPr>
          <w:b w:val="0"/>
          <w:bCs/>
          <w:iCs/>
        </w:rPr>
        <w:t>ֆինանսական</w:t>
      </w:r>
      <w:r w:rsidRPr="009070BD">
        <w:rPr>
          <w:b w:val="0"/>
          <w:bCs/>
          <w:iCs/>
          <w:lang w:val="fr-FR"/>
        </w:rPr>
        <w:t xml:space="preserve"> </w:t>
      </w:r>
      <w:r w:rsidRPr="009070BD">
        <w:rPr>
          <w:b w:val="0"/>
          <w:bCs/>
          <w:iCs/>
        </w:rPr>
        <w:t>աջակ</w:t>
      </w:r>
      <w:r w:rsidRPr="009070BD">
        <w:rPr>
          <w:b w:val="0"/>
          <w:bCs/>
          <w:iCs/>
          <w:lang w:val="fr-FR"/>
        </w:rPr>
        <w:softHyphen/>
      </w:r>
      <w:r w:rsidRPr="009070BD">
        <w:rPr>
          <w:b w:val="0"/>
          <w:bCs/>
          <w:iCs/>
        </w:rPr>
        <w:t>ցության</w:t>
      </w:r>
      <w:r w:rsidRPr="009070BD">
        <w:rPr>
          <w:b w:val="0"/>
          <w:bCs/>
          <w:iCs/>
          <w:lang w:val="fr-FR"/>
        </w:rPr>
        <w:t xml:space="preserve"> </w:t>
      </w:r>
      <w:r w:rsidRPr="009070BD">
        <w:rPr>
          <w:b w:val="0"/>
          <w:bCs/>
          <w:iCs/>
        </w:rPr>
        <w:t>տրամադրում</w:t>
      </w:r>
      <w:r w:rsidRPr="009070BD">
        <w:rPr>
          <w:b w:val="0"/>
          <w:bCs/>
          <w:iCs/>
          <w:lang w:val="fr-FR"/>
        </w:rPr>
        <w:t xml:space="preserve">» </w:t>
      </w:r>
      <w:r w:rsidRPr="009070BD">
        <w:rPr>
          <w:b w:val="0"/>
          <w:bCs/>
          <w:iCs/>
        </w:rPr>
        <w:t>միջոցառման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Նախագծով</w:t>
      </w:r>
      <w:r w:rsidRPr="009070BD">
        <w:rPr>
          <w:b w:val="0"/>
          <w:bCs/>
          <w:iCs/>
          <w:lang w:val="fr-FR"/>
        </w:rPr>
        <w:t xml:space="preserve"> </w:t>
      </w:r>
      <w:r w:rsidRPr="009070BD">
        <w:rPr>
          <w:b w:val="0"/>
          <w:bCs/>
          <w:iCs/>
        </w:rPr>
        <w:t>նախա</w:t>
      </w:r>
      <w:r w:rsidRPr="009070BD">
        <w:rPr>
          <w:b w:val="0"/>
          <w:bCs/>
          <w:iCs/>
          <w:lang w:val="fr-FR"/>
        </w:rPr>
        <w:softHyphen/>
      </w:r>
      <w:r w:rsidRPr="009070BD">
        <w:rPr>
          <w:b w:val="0"/>
          <w:bCs/>
          <w:iCs/>
          <w:lang w:val="fr-FR"/>
        </w:rPr>
        <w:softHyphen/>
      </w:r>
      <w:r w:rsidRPr="009070BD">
        <w:rPr>
          <w:b w:val="0"/>
          <w:bCs/>
          <w:iCs/>
        </w:rPr>
        <w:t>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հատկացնել</w:t>
      </w:r>
      <w:r w:rsidRPr="009070BD">
        <w:rPr>
          <w:b w:val="0"/>
          <w:bCs/>
          <w:iCs/>
          <w:lang w:val="fr-FR"/>
        </w:rPr>
        <w:t xml:space="preserve"> 2,856.0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մակարդակին</w:t>
      </w:r>
      <w:r w:rsidRPr="009070BD">
        <w:rPr>
          <w:b w:val="0"/>
          <w:bCs/>
          <w:iCs/>
          <w:lang w:val="fr-FR"/>
        </w:rPr>
        <w:t xml:space="preserve"> </w:t>
      </w:r>
      <w:r w:rsidRPr="009070BD">
        <w:rPr>
          <w:b w:val="0"/>
          <w:bCs/>
          <w:iCs/>
        </w:rPr>
        <w:t>համապատասխան</w:t>
      </w:r>
      <w:r w:rsidRPr="009070BD">
        <w:rPr>
          <w:b w:val="0"/>
          <w:bCs/>
          <w:iCs/>
          <w:lang w:val="fr-FR"/>
        </w:rPr>
        <w:t xml:space="preserve">, </w:t>
      </w:r>
      <w:r w:rsidRPr="009070BD">
        <w:rPr>
          <w:b w:val="0"/>
          <w:bCs/>
          <w:iCs/>
        </w:rPr>
        <w:t>որի</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հիմք</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հանդիսացել</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կառավարության</w:t>
      </w:r>
      <w:r w:rsidRPr="009070BD">
        <w:rPr>
          <w:b w:val="0"/>
          <w:bCs/>
          <w:iCs/>
          <w:lang w:val="fr-FR"/>
        </w:rPr>
        <w:t xml:space="preserve"> 25.08.2016</w:t>
      </w:r>
      <w:r w:rsidRPr="009070BD">
        <w:rPr>
          <w:b w:val="0"/>
          <w:bCs/>
          <w:iCs/>
        </w:rPr>
        <w:t>թ</w:t>
      </w:r>
      <w:r w:rsidRPr="009070BD">
        <w:rPr>
          <w:b w:val="0"/>
          <w:bCs/>
          <w:iCs/>
          <w:lang w:val="fr-FR"/>
        </w:rPr>
        <w:t xml:space="preserve">. N33-18 </w:t>
      </w:r>
      <w:r w:rsidRPr="009070BD">
        <w:rPr>
          <w:b w:val="0"/>
          <w:bCs/>
          <w:iCs/>
        </w:rPr>
        <w:t>արձանագրային</w:t>
      </w:r>
      <w:r w:rsidRPr="009070BD">
        <w:rPr>
          <w:b w:val="0"/>
          <w:bCs/>
          <w:iCs/>
          <w:lang w:val="fr-FR"/>
        </w:rPr>
        <w:t xml:space="preserve"> </w:t>
      </w:r>
      <w:r w:rsidRPr="009070BD">
        <w:rPr>
          <w:b w:val="0"/>
          <w:bCs/>
          <w:iCs/>
        </w:rPr>
        <w:t>որոշմամբ</w:t>
      </w:r>
      <w:r w:rsidRPr="009070BD">
        <w:rPr>
          <w:b w:val="0"/>
          <w:bCs/>
          <w:iCs/>
          <w:lang w:val="fr-FR"/>
        </w:rPr>
        <w:t xml:space="preserve"> </w:t>
      </w:r>
      <w:r w:rsidRPr="009070BD">
        <w:rPr>
          <w:b w:val="0"/>
          <w:bCs/>
          <w:iCs/>
        </w:rPr>
        <w:t>հավանության</w:t>
      </w:r>
      <w:r w:rsidRPr="009070BD">
        <w:rPr>
          <w:b w:val="0"/>
          <w:bCs/>
          <w:iCs/>
          <w:lang w:val="fr-FR"/>
        </w:rPr>
        <w:t xml:space="preserve"> </w:t>
      </w:r>
      <w:r w:rsidRPr="009070BD">
        <w:rPr>
          <w:b w:val="0"/>
          <w:bCs/>
          <w:iCs/>
        </w:rPr>
        <w:t>արժանացած</w:t>
      </w:r>
      <w:r w:rsidRPr="009070BD">
        <w:rPr>
          <w:b w:val="0"/>
          <w:bCs/>
          <w:iCs/>
          <w:lang w:val="fr-FR"/>
        </w:rPr>
        <w:t xml:space="preserve"> «</w:t>
      </w:r>
      <w:r w:rsidRPr="009070BD">
        <w:rPr>
          <w:b w:val="0"/>
          <w:bCs/>
          <w:iCs/>
        </w:rPr>
        <w:t>Ոռոգման</w:t>
      </w:r>
      <w:r w:rsidRPr="009070BD">
        <w:rPr>
          <w:b w:val="0"/>
          <w:bCs/>
          <w:iCs/>
          <w:lang w:val="fr-FR"/>
        </w:rPr>
        <w:t xml:space="preserve"> </w:t>
      </w:r>
      <w:r w:rsidRPr="009070BD">
        <w:rPr>
          <w:b w:val="0"/>
          <w:bCs/>
          <w:iCs/>
        </w:rPr>
        <w:t>ոլորտի</w:t>
      </w:r>
      <w:r w:rsidRPr="009070BD">
        <w:rPr>
          <w:b w:val="0"/>
          <w:bCs/>
          <w:iCs/>
          <w:lang w:val="fr-FR"/>
        </w:rPr>
        <w:t xml:space="preserve"> </w:t>
      </w:r>
      <w:r w:rsidRPr="009070BD">
        <w:rPr>
          <w:b w:val="0"/>
          <w:bCs/>
          <w:iCs/>
        </w:rPr>
        <w:t>ֆինանսական</w:t>
      </w:r>
      <w:r w:rsidRPr="009070BD">
        <w:rPr>
          <w:b w:val="0"/>
          <w:bCs/>
          <w:iCs/>
          <w:lang w:val="fr-FR"/>
        </w:rPr>
        <w:t xml:space="preserve"> </w:t>
      </w:r>
      <w:r w:rsidRPr="009070BD">
        <w:rPr>
          <w:b w:val="0"/>
          <w:bCs/>
          <w:iCs/>
        </w:rPr>
        <w:t>կայունության</w:t>
      </w:r>
      <w:r w:rsidRPr="009070BD">
        <w:rPr>
          <w:b w:val="0"/>
          <w:bCs/>
          <w:iCs/>
          <w:lang w:val="fr-FR"/>
        </w:rPr>
        <w:t xml:space="preserve"> </w:t>
      </w:r>
      <w:r w:rsidRPr="009070BD">
        <w:rPr>
          <w:b w:val="0"/>
          <w:bCs/>
          <w:iCs/>
        </w:rPr>
        <w:t>բարելավման</w:t>
      </w:r>
      <w:r w:rsidRPr="009070BD">
        <w:rPr>
          <w:b w:val="0"/>
          <w:bCs/>
          <w:iCs/>
          <w:lang w:val="fr-FR"/>
        </w:rPr>
        <w:t xml:space="preserve"> </w:t>
      </w:r>
      <w:r w:rsidRPr="009070BD">
        <w:rPr>
          <w:b w:val="0"/>
          <w:bCs/>
          <w:iCs/>
        </w:rPr>
        <w:t>ռազմավարությանը</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միջոցառումների</w:t>
      </w:r>
      <w:r w:rsidRPr="009070BD">
        <w:rPr>
          <w:b w:val="0"/>
          <w:bCs/>
          <w:iCs/>
          <w:lang w:val="fr-FR"/>
        </w:rPr>
        <w:t xml:space="preserve"> </w:t>
      </w:r>
      <w:r w:rsidRPr="009070BD">
        <w:rPr>
          <w:b w:val="0"/>
          <w:bCs/>
          <w:iCs/>
        </w:rPr>
        <w:t>ծրագրին</w:t>
      </w:r>
      <w:r w:rsidRPr="009070BD">
        <w:rPr>
          <w:b w:val="0"/>
          <w:bCs/>
          <w:iCs/>
          <w:lang w:val="fr-FR"/>
        </w:rPr>
        <w:t xml:space="preserve"> </w:t>
      </w:r>
      <w:r w:rsidRPr="009070BD">
        <w:rPr>
          <w:b w:val="0"/>
          <w:bCs/>
          <w:iCs/>
        </w:rPr>
        <w:t>հավանություն</w:t>
      </w:r>
      <w:r w:rsidRPr="009070BD">
        <w:rPr>
          <w:b w:val="0"/>
          <w:bCs/>
          <w:iCs/>
          <w:lang w:val="fr-FR"/>
        </w:rPr>
        <w:t xml:space="preserve"> </w:t>
      </w:r>
      <w:r w:rsidRPr="009070BD">
        <w:rPr>
          <w:b w:val="0"/>
          <w:bCs/>
          <w:iCs/>
        </w:rPr>
        <w:t>տալու</w:t>
      </w:r>
      <w:r w:rsidRPr="009070BD">
        <w:rPr>
          <w:b w:val="0"/>
          <w:bCs/>
          <w:iCs/>
          <w:lang w:val="fr-FR"/>
        </w:rPr>
        <w:t xml:space="preserve"> </w:t>
      </w:r>
      <w:r w:rsidRPr="009070BD">
        <w:rPr>
          <w:b w:val="0"/>
          <w:bCs/>
          <w:iCs/>
        </w:rPr>
        <w:t>մասին</w:t>
      </w:r>
      <w:r w:rsidRPr="009070BD">
        <w:rPr>
          <w:b w:val="0"/>
          <w:bCs/>
          <w:iCs/>
          <w:lang w:val="fr-FR"/>
        </w:rPr>
        <w:t xml:space="preserve">» </w:t>
      </w:r>
      <w:r w:rsidRPr="009070BD">
        <w:rPr>
          <w:b w:val="0"/>
          <w:bCs/>
          <w:iCs/>
        </w:rPr>
        <w:t>ռազմավարությունը</w:t>
      </w:r>
      <w:r w:rsidRPr="009070BD">
        <w:rPr>
          <w:b w:val="0"/>
          <w:bCs/>
          <w:iCs/>
          <w:lang w:val="fr-FR"/>
        </w:rPr>
        <w:t>:</w:t>
      </w:r>
    </w:p>
    <w:p w:rsidR="001971B9" w:rsidRPr="009070BD" w:rsidRDefault="001971B9" w:rsidP="007730AA">
      <w:pPr>
        <w:spacing w:before="0" w:line="276" w:lineRule="auto"/>
        <w:rPr>
          <w:b w:val="0"/>
          <w:bCs/>
          <w:iCs/>
          <w:lang w:val="fr-FR"/>
        </w:rPr>
      </w:pPr>
      <w:r w:rsidRPr="009070BD">
        <w:rPr>
          <w:b w:val="0"/>
          <w:bCs/>
          <w:iCs/>
          <w:lang w:val="fr-FR"/>
        </w:rPr>
        <w:t>1.3 «</w:t>
      </w:r>
      <w:r w:rsidRPr="009070BD">
        <w:rPr>
          <w:b w:val="0"/>
          <w:bCs/>
          <w:iCs/>
        </w:rPr>
        <w:t>Աջակցություն</w:t>
      </w:r>
      <w:r w:rsidRPr="009070BD">
        <w:rPr>
          <w:b w:val="0"/>
          <w:bCs/>
          <w:iCs/>
          <w:lang w:val="fr-FR"/>
        </w:rPr>
        <w:t xml:space="preserve"> </w:t>
      </w:r>
      <w:r w:rsidRPr="009070BD">
        <w:rPr>
          <w:b w:val="0"/>
          <w:bCs/>
          <w:iCs/>
        </w:rPr>
        <w:t>ոռոգման</w:t>
      </w:r>
      <w:r w:rsidRPr="009070BD">
        <w:rPr>
          <w:b w:val="0"/>
          <w:bCs/>
          <w:iCs/>
          <w:lang w:val="fr-FR"/>
        </w:rPr>
        <w:t xml:space="preserve"> </w:t>
      </w:r>
      <w:r w:rsidRPr="009070BD">
        <w:rPr>
          <w:b w:val="0"/>
          <w:bCs/>
          <w:iCs/>
        </w:rPr>
        <w:t>համակարգի</w:t>
      </w:r>
      <w:r w:rsidRPr="009070BD">
        <w:rPr>
          <w:b w:val="0"/>
          <w:bCs/>
          <w:iCs/>
          <w:lang w:val="fr-FR"/>
        </w:rPr>
        <w:t xml:space="preserve"> </w:t>
      </w:r>
      <w:r w:rsidRPr="009070BD">
        <w:rPr>
          <w:b w:val="0"/>
          <w:bCs/>
          <w:iCs/>
        </w:rPr>
        <w:t>առողջացմա</w:t>
      </w:r>
      <w:r w:rsidRPr="009070BD">
        <w:rPr>
          <w:b w:val="0"/>
          <w:bCs/>
          <w:iCs/>
          <w:lang w:val="en-US"/>
        </w:rPr>
        <w:t>նը</w:t>
      </w:r>
      <w:r w:rsidRPr="009070BD">
        <w:rPr>
          <w:b w:val="0"/>
          <w:bCs/>
          <w:iCs/>
          <w:lang w:val="fr-FR"/>
        </w:rPr>
        <w:t xml:space="preserve">» </w:t>
      </w:r>
      <w:r w:rsidRPr="009070BD">
        <w:rPr>
          <w:b w:val="0"/>
          <w:bCs/>
          <w:iCs/>
        </w:rPr>
        <w:t>միջոցառման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Նախագծով</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հատկացնել</w:t>
      </w:r>
      <w:r w:rsidRPr="009070BD">
        <w:rPr>
          <w:b w:val="0"/>
          <w:bCs/>
          <w:iCs/>
          <w:lang w:val="fr-FR"/>
        </w:rPr>
        <w:t xml:space="preserve"> 1,795.8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մակարդակին</w:t>
      </w:r>
      <w:r w:rsidRPr="009070BD">
        <w:rPr>
          <w:b w:val="0"/>
          <w:bCs/>
          <w:iCs/>
          <w:lang w:val="fr-FR"/>
        </w:rPr>
        <w:t xml:space="preserve"> </w:t>
      </w:r>
      <w:r w:rsidRPr="009070BD">
        <w:rPr>
          <w:b w:val="0"/>
          <w:bCs/>
          <w:iCs/>
        </w:rPr>
        <w:t>համապատասխան</w:t>
      </w:r>
      <w:r w:rsidRPr="009070BD">
        <w:rPr>
          <w:b w:val="0"/>
          <w:bCs/>
          <w:iCs/>
          <w:lang w:val="fr-FR"/>
        </w:rPr>
        <w:t xml:space="preserve">: </w:t>
      </w:r>
    </w:p>
    <w:p w:rsidR="001971B9" w:rsidRPr="009070BD" w:rsidRDefault="001971B9" w:rsidP="007730AA">
      <w:pPr>
        <w:spacing w:before="0" w:line="276" w:lineRule="auto"/>
        <w:rPr>
          <w:b w:val="0"/>
          <w:bCs/>
          <w:iCs/>
          <w:lang w:val="fr-FR"/>
        </w:rPr>
      </w:pPr>
      <w:r w:rsidRPr="009070BD">
        <w:rPr>
          <w:b w:val="0"/>
          <w:bCs/>
          <w:iCs/>
          <w:lang w:val="fr-FR"/>
        </w:rPr>
        <w:t>1.4 «</w:t>
      </w:r>
      <w:r w:rsidRPr="009070BD">
        <w:rPr>
          <w:b w:val="0"/>
          <w:bCs/>
          <w:iCs/>
        </w:rPr>
        <w:t>Ջրային</w:t>
      </w:r>
      <w:r w:rsidRPr="009070BD">
        <w:rPr>
          <w:b w:val="0"/>
          <w:bCs/>
          <w:iCs/>
          <w:lang w:val="fr-FR"/>
        </w:rPr>
        <w:t xml:space="preserve"> </w:t>
      </w:r>
      <w:r w:rsidRPr="009070BD">
        <w:rPr>
          <w:b w:val="0"/>
          <w:bCs/>
          <w:iCs/>
        </w:rPr>
        <w:t>տնտեսության</w:t>
      </w:r>
      <w:r w:rsidRPr="009070BD">
        <w:rPr>
          <w:b w:val="0"/>
          <w:bCs/>
          <w:iCs/>
          <w:lang w:val="fr-FR"/>
        </w:rPr>
        <w:t xml:space="preserve"> </w:t>
      </w:r>
      <w:r w:rsidRPr="009070BD">
        <w:rPr>
          <w:b w:val="0"/>
          <w:bCs/>
          <w:iCs/>
        </w:rPr>
        <w:t>հիդրոտեխնիկական</w:t>
      </w:r>
      <w:r w:rsidRPr="009070BD">
        <w:rPr>
          <w:b w:val="0"/>
          <w:bCs/>
          <w:iCs/>
          <w:lang w:val="fr-FR"/>
        </w:rPr>
        <w:t xml:space="preserve"> </w:t>
      </w:r>
      <w:r w:rsidRPr="009070BD">
        <w:rPr>
          <w:b w:val="0"/>
          <w:bCs/>
          <w:iCs/>
        </w:rPr>
        <w:t>սարքավորումների</w:t>
      </w:r>
      <w:r w:rsidRPr="009070BD">
        <w:rPr>
          <w:b w:val="0"/>
          <w:bCs/>
          <w:iCs/>
          <w:lang w:val="fr-FR"/>
        </w:rPr>
        <w:t xml:space="preserve"> </w:t>
      </w:r>
      <w:r w:rsidRPr="009070BD">
        <w:rPr>
          <w:b w:val="0"/>
          <w:bCs/>
          <w:iCs/>
        </w:rPr>
        <w:t>տեղադրում</w:t>
      </w:r>
      <w:r w:rsidRPr="009070BD">
        <w:rPr>
          <w:b w:val="0"/>
          <w:bCs/>
          <w:iCs/>
          <w:lang w:val="fr-FR"/>
        </w:rPr>
        <w:t xml:space="preserve">» </w:t>
      </w:r>
      <w:r w:rsidRPr="009070BD">
        <w:rPr>
          <w:b w:val="0"/>
          <w:bCs/>
          <w:iCs/>
        </w:rPr>
        <w:t>միջոցառման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ՀՀ</w:t>
      </w:r>
      <w:r w:rsidRPr="009070BD">
        <w:rPr>
          <w:b w:val="0"/>
          <w:bCs/>
          <w:iCs/>
          <w:lang w:val="fr-FR"/>
        </w:rPr>
        <w:t xml:space="preserve"> 2021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նախագծով</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հատկացնել</w:t>
      </w:r>
      <w:r w:rsidRPr="009070BD">
        <w:rPr>
          <w:b w:val="0"/>
          <w:bCs/>
          <w:iCs/>
          <w:lang w:val="fr-FR"/>
        </w:rPr>
        <w:t xml:space="preserve"> 787.0 </w:t>
      </w:r>
      <w:r w:rsidRPr="009070BD">
        <w:rPr>
          <w:b w:val="0"/>
          <w:bCs/>
          <w:iCs/>
        </w:rPr>
        <w:t>մլն</w:t>
      </w:r>
      <w:r w:rsidRPr="009070BD">
        <w:rPr>
          <w:b w:val="0"/>
          <w:bCs/>
          <w:iCs/>
          <w:lang w:val="fr-FR"/>
        </w:rPr>
        <w:t xml:space="preserve"> </w:t>
      </w:r>
      <w:r w:rsidRPr="009070BD">
        <w:rPr>
          <w:b w:val="0"/>
          <w:bCs/>
          <w:iCs/>
        </w:rPr>
        <w:t>դրամ</w:t>
      </w:r>
      <w:r w:rsidRPr="009070BD">
        <w:rPr>
          <w:b w:val="0"/>
          <w:bCs/>
          <w:iCs/>
          <w:lang w:val="en-US"/>
        </w:rPr>
        <w:t>՝</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բյուջեով</w:t>
      </w:r>
      <w:r w:rsidRPr="009070BD">
        <w:rPr>
          <w:b w:val="0"/>
          <w:bCs/>
          <w:iCs/>
          <w:lang w:val="fr-FR"/>
        </w:rPr>
        <w:t xml:space="preserve"> </w:t>
      </w:r>
      <w:r w:rsidRPr="009070BD">
        <w:rPr>
          <w:b w:val="0"/>
          <w:bCs/>
          <w:iCs/>
        </w:rPr>
        <w:t>հաստատված</w:t>
      </w:r>
      <w:r w:rsidRPr="009070BD">
        <w:rPr>
          <w:b w:val="0"/>
          <w:bCs/>
          <w:iCs/>
          <w:lang w:val="fr-FR"/>
        </w:rPr>
        <w:t xml:space="preserve"> 360.0 մլն դրամի </w:t>
      </w:r>
      <w:r w:rsidRPr="009070BD">
        <w:rPr>
          <w:b w:val="0"/>
          <w:bCs/>
          <w:iCs/>
        </w:rPr>
        <w:t>դիմաց</w:t>
      </w:r>
      <w:r w:rsidRPr="009070BD">
        <w:rPr>
          <w:b w:val="0"/>
          <w:bCs/>
          <w:iCs/>
          <w:lang w:val="fr-FR"/>
        </w:rPr>
        <w:t xml:space="preserve">, </w:t>
      </w:r>
      <w:r w:rsidRPr="009070BD">
        <w:rPr>
          <w:b w:val="0"/>
          <w:bCs/>
          <w:iCs/>
        </w:rPr>
        <w:t>կամ</w:t>
      </w:r>
      <w:r w:rsidRPr="009070BD">
        <w:rPr>
          <w:b w:val="0"/>
          <w:bCs/>
          <w:iCs/>
          <w:lang w:val="fr-FR"/>
        </w:rPr>
        <w:t xml:space="preserve"> </w:t>
      </w:r>
      <w:r w:rsidRPr="009070BD">
        <w:rPr>
          <w:b w:val="0"/>
          <w:bCs/>
          <w:iCs/>
        </w:rPr>
        <w:t>ավել</w:t>
      </w:r>
      <w:r w:rsidRPr="009070BD">
        <w:rPr>
          <w:b w:val="0"/>
          <w:bCs/>
          <w:iCs/>
          <w:lang w:val="fr-FR"/>
        </w:rPr>
        <w:t xml:space="preserve"> 427.0 </w:t>
      </w:r>
      <w:r w:rsidRPr="009070BD">
        <w:rPr>
          <w:b w:val="0"/>
          <w:bCs/>
          <w:iCs/>
        </w:rPr>
        <w:t>մլն</w:t>
      </w:r>
      <w:r w:rsidRPr="009070BD">
        <w:rPr>
          <w:b w:val="0"/>
          <w:bCs/>
          <w:iCs/>
          <w:lang w:val="fr-FR"/>
        </w:rPr>
        <w:t xml:space="preserve"> </w:t>
      </w:r>
      <w:r w:rsidRPr="009070BD">
        <w:rPr>
          <w:b w:val="0"/>
          <w:bCs/>
          <w:iCs/>
        </w:rPr>
        <w:t>դրամով</w:t>
      </w:r>
      <w:r w:rsidRPr="009070BD">
        <w:rPr>
          <w:b w:val="0"/>
          <w:bCs/>
          <w:iCs/>
          <w:lang w:val="fr-FR"/>
        </w:rPr>
        <w:t xml:space="preserve">` </w:t>
      </w:r>
      <w:r w:rsidRPr="009070BD">
        <w:rPr>
          <w:b w:val="0"/>
          <w:bCs/>
          <w:iCs/>
        </w:rPr>
        <w:t>պայմանավորված</w:t>
      </w:r>
      <w:r w:rsidRPr="009070BD">
        <w:rPr>
          <w:b w:val="0"/>
          <w:bCs/>
          <w:iCs/>
          <w:lang w:val="fr-FR"/>
        </w:rPr>
        <w:t xml:space="preserve"> </w:t>
      </w:r>
      <w:r w:rsidRPr="009070BD">
        <w:rPr>
          <w:b w:val="0"/>
          <w:bCs/>
          <w:iCs/>
        </w:rPr>
        <w:t>աշխատանքների</w:t>
      </w:r>
      <w:r w:rsidRPr="009070BD">
        <w:rPr>
          <w:b w:val="0"/>
          <w:bCs/>
          <w:iCs/>
          <w:lang w:val="fr-FR"/>
        </w:rPr>
        <w:t xml:space="preserve"> </w:t>
      </w:r>
      <w:r w:rsidRPr="009070BD">
        <w:rPr>
          <w:b w:val="0"/>
          <w:bCs/>
          <w:iCs/>
        </w:rPr>
        <w:t>ծավալների</w:t>
      </w:r>
      <w:r w:rsidRPr="009070BD">
        <w:rPr>
          <w:b w:val="0"/>
          <w:bCs/>
          <w:iCs/>
          <w:lang w:val="fr-FR"/>
        </w:rPr>
        <w:t xml:space="preserve"> </w:t>
      </w:r>
      <w:r w:rsidRPr="009070BD">
        <w:rPr>
          <w:b w:val="0"/>
          <w:bCs/>
          <w:iCs/>
        </w:rPr>
        <w:t>ավելացմամբ</w:t>
      </w:r>
      <w:r w:rsidRPr="009070BD">
        <w:rPr>
          <w:b w:val="0"/>
          <w:bCs/>
          <w:iCs/>
          <w:lang w:val="fr-FR"/>
        </w:rPr>
        <w:t xml:space="preserve">: </w:t>
      </w:r>
      <w:r w:rsidRPr="009070BD">
        <w:rPr>
          <w:b w:val="0"/>
          <w:bCs/>
          <w:iCs/>
        </w:rPr>
        <w:t>Միջոցառման</w:t>
      </w:r>
      <w:r w:rsidRPr="009070BD">
        <w:rPr>
          <w:b w:val="0"/>
          <w:bCs/>
          <w:iCs/>
          <w:lang w:val="fr-FR"/>
        </w:rPr>
        <w:t xml:space="preserve"> </w:t>
      </w:r>
      <w:r w:rsidRPr="009070BD">
        <w:rPr>
          <w:b w:val="0"/>
          <w:bCs/>
          <w:iCs/>
        </w:rPr>
        <w:t>շրջանակներում</w:t>
      </w:r>
      <w:r w:rsidRPr="009070BD">
        <w:rPr>
          <w:b w:val="0"/>
          <w:bCs/>
          <w:iCs/>
          <w:lang w:val="fr-FR"/>
        </w:rPr>
        <w:t xml:space="preserve"> 2021 թվականին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ոռոգման</w:t>
      </w:r>
      <w:r w:rsidRPr="009070BD">
        <w:rPr>
          <w:b w:val="0"/>
          <w:bCs/>
          <w:iCs/>
          <w:lang w:val="fr-FR"/>
        </w:rPr>
        <w:t xml:space="preserve"> </w:t>
      </w:r>
      <w:r w:rsidRPr="009070BD">
        <w:rPr>
          <w:b w:val="0"/>
          <w:bCs/>
          <w:iCs/>
        </w:rPr>
        <w:t>համակարգերի</w:t>
      </w:r>
      <w:r w:rsidRPr="009070BD">
        <w:rPr>
          <w:b w:val="0"/>
          <w:bCs/>
          <w:iCs/>
          <w:lang w:val="fr-FR"/>
        </w:rPr>
        <w:t xml:space="preserve"> </w:t>
      </w:r>
      <w:r w:rsidRPr="009070BD">
        <w:rPr>
          <w:b w:val="0"/>
          <w:bCs/>
          <w:iCs/>
        </w:rPr>
        <w:t>մայր</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երկրորդ</w:t>
      </w:r>
      <w:r w:rsidRPr="009070BD">
        <w:rPr>
          <w:b w:val="0"/>
          <w:bCs/>
          <w:iCs/>
          <w:lang w:val="fr-FR"/>
        </w:rPr>
        <w:t xml:space="preserve"> </w:t>
      </w:r>
      <w:r w:rsidRPr="009070BD">
        <w:rPr>
          <w:b w:val="0"/>
          <w:bCs/>
          <w:iCs/>
        </w:rPr>
        <w:t>կարգի</w:t>
      </w:r>
      <w:r w:rsidRPr="009070BD">
        <w:rPr>
          <w:b w:val="0"/>
          <w:bCs/>
          <w:iCs/>
          <w:lang w:val="fr-FR"/>
        </w:rPr>
        <w:t xml:space="preserve"> </w:t>
      </w:r>
      <w:r w:rsidRPr="009070BD">
        <w:rPr>
          <w:b w:val="0"/>
          <w:bCs/>
          <w:iCs/>
        </w:rPr>
        <w:t>ջրանցքների</w:t>
      </w:r>
      <w:r w:rsidRPr="009070BD">
        <w:rPr>
          <w:b w:val="0"/>
          <w:bCs/>
          <w:iCs/>
          <w:lang w:val="fr-FR"/>
        </w:rPr>
        <w:t xml:space="preserve"> </w:t>
      </w:r>
      <w:r w:rsidRPr="009070BD">
        <w:rPr>
          <w:b w:val="0"/>
          <w:bCs/>
          <w:iCs/>
        </w:rPr>
        <w:t>բաժանարար</w:t>
      </w:r>
      <w:r w:rsidRPr="009070BD">
        <w:rPr>
          <w:b w:val="0"/>
          <w:bCs/>
          <w:iCs/>
          <w:lang w:val="fr-FR"/>
        </w:rPr>
        <w:t xml:space="preserve"> </w:t>
      </w:r>
      <w:r w:rsidRPr="009070BD">
        <w:rPr>
          <w:b w:val="0"/>
          <w:bCs/>
          <w:iCs/>
        </w:rPr>
        <w:t>կետերը</w:t>
      </w:r>
      <w:r w:rsidRPr="009070BD">
        <w:rPr>
          <w:b w:val="0"/>
          <w:bCs/>
          <w:iCs/>
          <w:lang w:val="fr-FR"/>
        </w:rPr>
        <w:t xml:space="preserve"> </w:t>
      </w:r>
      <w:r w:rsidRPr="009070BD">
        <w:rPr>
          <w:b w:val="0"/>
          <w:bCs/>
          <w:iCs/>
        </w:rPr>
        <w:t>կահավորել</w:t>
      </w:r>
      <w:r w:rsidRPr="009070BD">
        <w:rPr>
          <w:b w:val="0"/>
          <w:bCs/>
          <w:iCs/>
          <w:lang w:val="fr-FR"/>
        </w:rPr>
        <w:t xml:space="preserve"> </w:t>
      </w:r>
      <w:r w:rsidRPr="009070BD">
        <w:rPr>
          <w:b w:val="0"/>
          <w:bCs/>
          <w:iCs/>
        </w:rPr>
        <w:t>կարգավարական</w:t>
      </w:r>
      <w:r w:rsidRPr="009070BD">
        <w:rPr>
          <w:b w:val="0"/>
          <w:bCs/>
          <w:iCs/>
          <w:lang w:val="fr-FR"/>
        </w:rPr>
        <w:t xml:space="preserve"> /</w:t>
      </w:r>
      <w:r w:rsidRPr="009070BD">
        <w:rPr>
          <w:b w:val="0"/>
          <w:bCs/>
          <w:iCs/>
        </w:rPr>
        <w:t>դիսպետչերական</w:t>
      </w:r>
      <w:r w:rsidRPr="009070BD">
        <w:rPr>
          <w:b w:val="0"/>
          <w:bCs/>
          <w:iCs/>
          <w:lang w:val="fr-FR"/>
        </w:rPr>
        <w:t xml:space="preserve"> </w:t>
      </w:r>
      <w:r w:rsidRPr="009070BD">
        <w:rPr>
          <w:b w:val="0"/>
          <w:bCs/>
          <w:iCs/>
        </w:rPr>
        <w:t>հսկողություն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տվյալների</w:t>
      </w:r>
      <w:r w:rsidRPr="009070BD">
        <w:rPr>
          <w:b w:val="0"/>
          <w:bCs/>
          <w:iCs/>
          <w:lang w:val="fr-FR"/>
        </w:rPr>
        <w:t xml:space="preserve"> </w:t>
      </w:r>
      <w:r w:rsidRPr="009070BD">
        <w:rPr>
          <w:b w:val="0"/>
          <w:bCs/>
          <w:iCs/>
        </w:rPr>
        <w:t>ձեռքբերում</w:t>
      </w:r>
      <w:r w:rsidRPr="009070BD">
        <w:rPr>
          <w:b w:val="0"/>
          <w:bCs/>
          <w:iCs/>
          <w:lang w:val="fr-FR"/>
        </w:rPr>
        <w:t xml:space="preserve">/ SCADA </w:t>
      </w:r>
      <w:r w:rsidRPr="009070BD">
        <w:rPr>
          <w:b w:val="0"/>
          <w:bCs/>
          <w:iCs/>
        </w:rPr>
        <w:t>համակարգով</w:t>
      </w:r>
      <w:r w:rsidRPr="009070BD">
        <w:rPr>
          <w:b w:val="0"/>
          <w:bCs/>
          <w:iCs/>
          <w:lang w:val="fr-FR"/>
        </w:rPr>
        <w:t xml:space="preserve"> </w:t>
      </w:r>
      <w:r w:rsidRPr="009070BD">
        <w:rPr>
          <w:b w:val="0"/>
          <w:bCs/>
          <w:iCs/>
        </w:rPr>
        <w:t>հագեցած</w:t>
      </w:r>
      <w:r w:rsidRPr="009070BD">
        <w:rPr>
          <w:b w:val="0"/>
          <w:bCs/>
          <w:iCs/>
          <w:lang w:val="fr-FR"/>
        </w:rPr>
        <w:t xml:space="preserve"> </w:t>
      </w:r>
      <w:r w:rsidRPr="009070BD">
        <w:rPr>
          <w:b w:val="0"/>
          <w:bCs/>
          <w:iCs/>
        </w:rPr>
        <w:t>շուրջ</w:t>
      </w:r>
      <w:r w:rsidRPr="009070BD">
        <w:rPr>
          <w:b w:val="0"/>
          <w:bCs/>
          <w:iCs/>
          <w:lang w:val="fr-FR"/>
        </w:rPr>
        <w:t xml:space="preserve"> 1066 </w:t>
      </w:r>
      <w:r w:rsidRPr="009070BD">
        <w:rPr>
          <w:b w:val="0"/>
          <w:bCs/>
          <w:iCs/>
        </w:rPr>
        <w:t>ջրաչափական</w:t>
      </w:r>
      <w:r w:rsidRPr="009070BD">
        <w:rPr>
          <w:b w:val="0"/>
          <w:bCs/>
          <w:iCs/>
          <w:lang w:val="fr-FR"/>
        </w:rPr>
        <w:t xml:space="preserve"> </w:t>
      </w:r>
      <w:r w:rsidRPr="009070BD">
        <w:rPr>
          <w:b w:val="0"/>
          <w:bCs/>
          <w:iCs/>
        </w:rPr>
        <w:t>սարքավորումներով</w:t>
      </w:r>
      <w:r w:rsidRPr="009070BD">
        <w:rPr>
          <w:b w:val="0"/>
          <w:bCs/>
          <w:iCs/>
          <w:lang w:val="fr-FR"/>
        </w:rPr>
        <w:t xml:space="preserve">: </w:t>
      </w:r>
    </w:p>
    <w:p w:rsidR="001971B9" w:rsidRPr="009070BD" w:rsidRDefault="001971B9" w:rsidP="007730AA">
      <w:pPr>
        <w:spacing w:before="0" w:line="276" w:lineRule="auto"/>
        <w:rPr>
          <w:b w:val="0"/>
          <w:bCs/>
          <w:iCs/>
          <w:lang w:val="fr-FR"/>
        </w:rPr>
      </w:pPr>
      <w:r w:rsidRPr="009070BD">
        <w:rPr>
          <w:b w:val="0"/>
          <w:bCs/>
          <w:iCs/>
          <w:lang w:val="fr-FR"/>
        </w:rPr>
        <w:t>1.5 «</w:t>
      </w:r>
      <w:r w:rsidRPr="009070BD">
        <w:rPr>
          <w:b w:val="0"/>
          <w:bCs/>
          <w:iCs/>
        </w:rPr>
        <w:t>Հեր</w:t>
      </w:r>
      <w:r w:rsidRPr="009070BD">
        <w:rPr>
          <w:b w:val="0"/>
          <w:bCs/>
          <w:iCs/>
          <w:lang w:val="fr-FR"/>
        </w:rPr>
        <w:t>-</w:t>
      </w:r>
      <w:r w:rsidRPr="009070BD">
        <w:rPr>
          <w:b w:val="0"/>
          <w:bCs/>
          <w:iCs/>
        </w:rPr>
        <w:t>Հերի</w:t>
      </w:r>
      <w:r w:rsidRPr="009070BD">
        <w:rPr>
          <w:b w:val="0"/>
          <w:bCs/>
          <w:iCs/>
          <w:lang w:val="fr-FR"/>
        </w:rPr>
        <w:t xml:space="preserve"> </w:t>
      </w:r>
      <w:r w:rsidRPr="009070BD">
        <w:rPr>
          <w:b w:val="0"/>
          <w:bCs/>
          <w:iCs/>
        </w:rPr>
        <w:t>ջրամբարից</w:t>
      </w:r>
      <w:r w:rsidRPr="009070BD">
        <w:rPr>
          <w:b w:val="0"/>
          <w:bCs/>
          <w:iCs/>
          <w:lang w:val="fr-FR"/>
        </w:rPr>
        <w:t xml:space="preserve"> </w:t>
      </w:r>
      <w:r w:rsidRPr="009070BD">
        <w:rPr>
          <w:b w:val="0"/>
          <w:bCs/>
          <w:iCs/>
        </w:rPr>
        <w:t>ինքնահոս</w:t>
      </w:r>
      <w:r w:rsidRPr="009070BD">
        <w:rPr>
          <w:b w:val="0"/>
          <w:bCs/>
          <w:iCs/>
          <w:lang w:val="fr-FR"/>
        </w:rPr>
        <w:t xml:space="preserve"> </w:t>
      </w:r>
      <w:r w:rsidRPr="009070BD">
        <w:rPr>
          <w:b w:val="0"/>
          <w:bCs/>
          <w:iCs/>
        </w:rPr>
        <w:t>ջրատարի</w:t>
      </w:r>
      <w:r w:rsidRPr="009070BD">
        <w:rPr>
          <w:b w:val="0"/>
          <w:bCs/>
          <w:iCs/>
          <w:lang w:val="fr-FR"/>
        </w:rPr>
        <w:t xml:space="preserve"> </w:t>
      </w:r>
      <w:r w:rsidRPr="009070BD">
        <w:rPr>
          <w:b w:val="0"/>
          <w:bCs/>
          <w:iCs/>
        </w:rPr>
        <w:t>կառուցում</w:t>
      </w:r>
      <w:r w:rsidRPr="009070BD">
        <w:rPr>
          <w:b w:val="0"/>
          <w:bCs/>
          <w:iCs/>
          <w:lang w:val="fr-FR"/>
        </w:rPr>
        <w:t xml:space="preserve">» </w:t>
      </w:r>
      <w:r w:rsidRPr="009070BD">
        <w:rPr>
          <w:b w:val="0"/>
          <w:bCs/>
          <w:iCs/>
        </w:rPr>
        <w:t>միջոցառման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ՀՀ</w:t>
      </w:r>
      <w:r w:rsidRPr="009070BD">
        <w:rPr>
          <w:b w:val="0"/>
          <w:bCs/>
          <w:iCs/>
          <w:lang w:val="fr-FR"/>
        </w:rPr>
        <w:t xml:space="preserve"> Ն</w:t>
      </w:r>
      <w:r w:rsidRPr="009070BD">
        <w:rPr>
          <w:b w:val="0"/>
          <w:bCs/>
          <w:iCs/>
        </w:rPr>
        <w:t>ախագծով</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հատկացնել</w:t>
      </w:r>
      <w:r w:rsidRPr="009070BD">
        <w:rPr>
          <w:b w:val="0"/>
          <w:bCs/>
          <w:iCs/>
          <w:lang w:val="fr-FR"/>
        </w:rPr>
        <w:t xml:space="preserve"> </w:t>
      </w:r>
      <w:r w:rsidRPr="009070BD">
        <w:rPr>
          <w:b w:val="0"/>
          <w:bCs/>
          <w:iCs/>
        </w:rPr>
        <w:t>շուրջ</w:t>
      </w:r>
      <w:r w:rsidRPr="009070BD">
        <w:rPr>
          <w:b w:val="0"/>
          <w:bCs/>
          <w:iCs/>
          <w:lang w:val="fr-FR"/>
        </w:rPr>
        <w:t xml:space="preserve"> 900.0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lang w:val="en-US"/>
        </w:rPr>
        <w:t>ջրամբարից</w:t>
      </w:r>
      <w:r w:rsidRPr="009070BD">
        <w:rPr>
          <w:b w:val="0"/>
          <w:bCs/>
          <w:iCs/>
          <w:lang w:val="fr-FR"/>
        </w:rPr>
        <w:t xml:space="preserve"> </w:t>
      </w:r>
      <w:r w:rsidRPr="009070BD">
        <w:rPr>
          <w:b w:val="0"/>
          <w:bCs/>
          <w:iCs/>
          <w:lang w:val="en-US"/>
        </w:rPr>
        <w:t>ինքնահոս</w:t>
      </w:r>
      <w:r w:rsidRPr="009070BD">
        <w:rPr>
          <w:b w:val="0"/>
          <w:bCs/>
          <w:iCs/>
          <w:lang w:val="fr-FR"/>
        </w:rPr>
        <w:t xml:space="preserve"> </w:t>
      </w:r>
      <w:r w:rsidRPr="009070BD">
        <w:rPr>
          <w:b w:val="0"/>
          <w:bCs/>
          <w:iCs/>
          <w:lang w:val="en-US"/>
        </w:rPr>
        <w:t>ջրատար</w:t>
      </w:r>
      <w:r w:rsidRPr="009070BD">
        <w:rPr>
          <w:b w:val="0"/>
          <w:bCs/>
          <w:iCs/>
          <w:lang w:val="fr-FR"/>
        </w:rPr>
        <w:t xml:space="preserve"> </w:t>
      </w:r>
      <w:r w:rsidRPr="009070BD">
        <w:rPr>
          <w:b w:val="0"/>
          <w:bCs/>
          <w:iCs/>
          <w:lang w:val="en-US"/>
        </w:rPr>
        <w:t>համակարգի</w:t>
      </w:r>
      <w:r w:rsidRPr="009070BD">
        <w:rPr>
          <w:b w:val="0"/>
          <w:bCs/>
          <w:iCs/>
          <w:lang w:val="fr-FR"/>
        </w:rPr>
        <w:t xml:space="preserve"> </w:t>
      </w:r>
      <w:r w:rsidRPr="009070BD">
        <w:rPr>
          <w:b w:val="0"/>
          <w:bCs/>
          <w:iCs/>
          <w:lang w:val="en-US"/>
        </w:rPr>
        <w:t>կառուցման</w:t>
      </w:r>
      <w:r w:rsidRPr="009070BD">
        <w:rPr>
          <w:b w:val="0"/>
          <w:bCs/>
          <w:iCs/>
          <w:lang w:val="fr-FR"/>
        </w:rPr>
        <w:t xml:space="preserve"> </w:t>
      </w:r>
      <w:r w:rsidRPr="009070BD">
        <w:rPr>
          <w:b w:val="0"/>
          <w:bCs/>
          <w:iCs/>
          <w:lang w:val="en-US"/>
        </w:rPr>
        <w:t>աշխատանքների</w:t>
      </w:r>
      <w:r w:rsidRPr="009070BD">
        <w:rPr>
          <w:b w:val="0"/>
          <w:bCs/>
          <w:iCs/>
          <w:lang w:val="fr-FR"/>
        </w:rPr>
        <w:t xml:space="preserve"> </w:t>
      </w:r>
      <w:r w:rsidRPr="009070BD">
        <w:rPr>
          <w:b w:val="0"/>
          <w:bCs/>
          <w:iCs/>
          <w:lang w:val="en-US"/>
        </w:rPr>
        <w:t>համար</w:t>
      </w:r>
      <w:r w:rsidRPr="009070BD">
        <w:rPr>
          <w:b w:val="0"/>
          <w:bCs/>
          <w:iCs/>
          <w:lang w:val="fr-FR"/>
        </w:rPr>
        <w:t xml:space="preserve">: </w:t>
      </w:r>
    </w:p>
    <w:p w:rsidR="001971B9" w:rsidRPr="009070BD" w:rsidRDefault="001971B9" w:rsidP="007730AA">
      <w:pPr>
        <w:numPr>
          <w:ilvl w:val="0"/>
          <w:numId w:val="60"/>
        </w:numPr>
        <w:spacing w:before="0" w:line="276" w:lineRule="auto"/>
        <w:ind w:left="0"/>
        <w:rPr>
          <w:b w:val="0"/>
          <w:bCs/>
          <w:iCs/>
          <w:lang w:val="hy-AM"/>
        </w:rPr>
      </w:pPr>
      <w:r w:rsidRPr="009070BD">
        <w:rPr>
          <w:bCs/>
          <w:iCs/>
          <w:lang w:val="hy-AM"/>
        </w:rPr>
        <w:t xml:space="preserve"> «Որոտան-Արփա-Սևան թունելի ջրային համակարգի կառավարում» ծրագիր</w:t>
      </w:r>
      <w:r w:rsidRPr="009070BD">
        <w:rPr>
          <w:b w:val="0"/>
          <w:bCs/>
          <w:iCs/>
          <w:lang w:val="hy-AM"/>
        </w:rPr>
        <w:t>.</w:t>
      </w:r>
    </w:p>
    <w:p w:rsidR="001971B9" w:rsidRPr="009070BD" w:rsidRDefault="001971B9" w:rsidP="007730AA">
      <w:pPr>
        <w:spacing w:before="0" w:line="276" w:lineRule="auto"/>
        <w:ind w:firstLine="720"/>
        <w:rPr>
          <w:b w:val="0"/>
          <w:bCs/>
          <w:iCs/>
          <w:lang w:val="fr-FR"/>
        </w:rPr>
      </w:pPr>
      <w:r w:rsidRPr="009070BD">
        <w:rPr>
          <w:b w:val="0"/>
          <w:bCs/>
          <w:iCs/>
          <w:lang w:val="hy-AM"/>
        </w:rPr>
        <w:t>Ծրագրի նպատակն է Որոտան-Արփա-Սևան թունելի ջրային համակարգի պահպանումն ու շահագործումը, որի շրջանակներում</w:t>
      </w:r>
      <w:r w:rsidRPr="009070BD">
        <w:rPr>
          <w:b w:val="0"/>
          <w:bCs/>
          <w:iCs/>
          <w:lang w:val="fr-FR"/>
        </w:rPr>
        <w:t xml:space="preserve"> </w:t>
      </w:r>
      <w:r w:rsidRPr="009070BD">
        <w:rPr>
          <w:b w:val="0"/>
          <w:bCs/>
          <w:iCs/>
          <w:lang w:val="hy-AM"/>
        </w:rPr>
        <w:t xml:space="preserve">2021 թվականին նախատեսված </w:t>
      </w:r>
      <w:r w:rsidRPr="009070BD">
        <w:rPr>
          <w:b w:val="0"/>
          <w:bCs/>
          <w:iCs/>
          <w:lang w:val="fr-FR"/>
        </w:rPr>
        <w:t>«</w:t>
      </w:r>
      <w:r w:rsidRPr="009070BD">
        <w:rPr>
          <w:b w:val="0"/>
          <w:bCs/>
          <w:iCs/>
          <w:lang w:val="hy-AM"/>
        </w:rPr>
        <w:t>Արփա</w:t>
      </w:r>
      <w:r w:rsidRPr="009070BD">
        <w:rPr>
          <w:b w:val="0"/>
          <w:bCs/>
          <w:iCs/>
          <w:lang w:val="fr-FR"/>
        </w:rPr>
        <w:t>-</w:t>
      </w:r>
      <w:r w:rsidRPr="009070BD">
        <w:rPr>
          <w:b w:val="0"/>
          <w:bCs/>
          <w:iCs/>
          <w:lang w:val="hy-AM"/>
        </w:rPr>
        <w:t>Սևան</w:t>
      </w:r>
      <w:r w:rsidRPr="009070BD">
        <w:rPr>
          <w:b w:val="0"/>
          <w:bCs/>
          <w:iCs/>
          <w:lang w:val="fr-FR"/>
        </w:rPr>
        <w:t xml:space="preserve"> </w:t>
      </w:r>
      <w:r w:rsidRPr="009070BD">
        <w:rPr>
          <w:b w:val="0"/>
          <w:bCs/>
          <w:iCs/>
          <w:lang w:val="hy-AM"/>
        </w:rPr>
        <w:t>թունելի</w:t>
      </w:r>
      <w:r w:rsidRPr="009070BD">
        <w:rPr>
          <w:b w:val="0"/>
          <w:bCs/>
          <w:iCs/>
          <w:lang w:val="fr-FR"/>
        </w:rPr>
        <w:t xml:space="preserve"> </w:t>
      </w:r>
      <w:r w:rsidRPr="009070BD">
        <w:rPr>
          <w:b w:val="0"/>
          <w:bCs/>
          <w:iCs/>
          <w:lang w:val="hy-AM"/>
        </w:rPr>
        <w:t>հավատարմագրային</w:t>
      </w:r>
      <w:r w:rsidRPr="009070BD">
        <w:rPr>
          <w:b w:val="0"/>
          <w:bCs/>
          <w:iCs/>
          <w:lang w:val="fr-FR"/>
        </w:rPr>
        <w:t xml:space="preserve"> </w:t>
      </w:r>
      <w:r w:rsidRPr="009070BD">
        <w:rPr>
          <w:b w:val="0"/>
          <w:bCs/>
          <w:iCs/>
          <w:lang w:val="hy-AM"/>
        </w:rPr>
        <w:t>կառավարում</w:t>
      </w:r>
      <w:r w:rsidRPr="009070BD">
        <w:rPr>
          <w:b w:val="0"/>
          <w:bCs/>
          <w:iCs/>
          <w:lang w:val="fr-FR"/>
        </w:rPr>
        <w:t xml:space="preserve">» </w:t>
      </w:r>
      <w:r w:rsidRPr="009070BD">
        <w:rPr>
          <w:b w:val="0"/>
          <w:bCs/>
          <w:iCs/>
          <w:lang w:val="hy-AM"/>
        </w:rPr>
        <w:t>միջոցառմամբ</w:t>
      </w:r>
      <w:r w:rsidRPr="009070BD">
        <w:rPr>
          <w:b w:val="0"/>
          <w:bCs/>
          <w:iCs/>
          <w:lang w:val="fr-FR"/>
        </w:rPr>
        <w:t xml:space="preserve"> </w:t>
      </w:r>
      <w:r w:rsidRPr="009070BD">
        <w:rPr>
          <w:b w:val="0"/>
          <w:bCs/>
          <w:iCs/>
          <w:lang w:val="hy-AM"/>
        </w:rPr>
        <w:t>նախատեսվում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Որոտան</w:t>
      </w:r>
      <w:r w:rsidRPr="009070BD">
        <w:rPr>
          <w:b w:val="0"/>
          <w:bCs/>
          <w:iCs/>
          <w:lang w:val="fr-FR"/>
        </w:rPr>
        <w:t>-</w:t>
      </w:r>
      <w:r w:rsidRPr="009070BD">
        <w:rPr>
          <w:b w:val="0"/>
          <w:bCs/>
          <w:iCs/>
          <w:lang w:val="hy-AM"/>
        </w:rPr>
        <w:t>Արփա</w:t>
      </w:r>
      <w:r w:rsidRPr="009070BD">
        <w:rPr>
          <w:b w:val="0"/>
          <w:bCs/>
          <w:iCs/>
          <w:lang w:val="fr-FR"/>
        </w:rPr>
        <w:t>-</w:t>
      </w:r>
      <w:r w:rsidRPr="009070BD">
        <w:rPr>
          <w:b w:val="0"/>
          <w:bCs/>
          <w:iCs/>
          <w:lang w:val="hy-AM"/>
        </w:rPr>
        <w:t>Սևան</w:t>
      </w:r>
      <w:r w:rsidRPr="009070BD">
        <w:rPr>
          <w:b w:val="0"/>
          <w:bCs/>
          <w:iCs/>
          <w:lang w:val="fr-FR"/>
        </w:rPr>
        <w:t xml:space="preserve"> </w:t>
      </w:r>
      <w:r w:rsidRPr="009070BD">
        <w:rPr>
          <w:b w:val="0"/>
          <w:bCs/>
          <w:iCs/>
          <w:lang w:val="hy-AM"/>
        </w:rPr>
        <w:t>ջրային</w:t>
      </w:r>
      <w:r w:rsidRPr="009070BD">
        <w:rPr>
          <w:b w:val="0"/>
          <w:bCs/>
          <w:iCs/>
          <w:lang w:val="fr-FR"/>
        </w:rPr>
        <w:t xml:space="preserve"> </w:t>
      </w:r>
      <w:r w:rsidRPr="009070BD">
        <w:rPr>
          <w:b w:val="0"/>
          <w:bCs/>
          <w:iCs/>
          <w:lang w:val="hy-AM"/>
        </w:rPr>
        <w:t>համակարգի</w:t>
      </w:r>
      <w:r w:rsidRPr="009070BD">
        <w:rPr>
          <w:b w:val="0"/>
          <w:bCs/>
          <w:iCs/>
          <w:lang w:val="fr-FR"/>
        </w:rPr>
        <w:t xml:space="preserve"> </w:t>
      </w:r>
      <w:r w:rsidRPr="009070BD">
        <w:rPr>
          <w:b w:val="0"/>
          <w:bCs/>
          <w:iCs/>
          <w:lang w:val="hy-AM"/>
        </w:rPr>
        <w:t>պահպանման</w:t>
      </w:r>
      <w:r w:rsidRPr="009070BD">
        <w:rPr>
          <w:b w:val="0"/>
          <w:bCs/>
          <w:iCs/>
          <w:lang w:val="fr-FR"/>
        </w:rPr>
        <w:t xml:space="preserve"> </w:t>
      </w:r>
      <w:r w:rsidRPr="009070BD">
        <w:rPr>
          <w:b w:val="0"/>
          <w:bCs/>
          <w:iCs/>
          <w:lang w:val="hy-AM"/>
        </w:rPr>
        <w:t>ու</w:t>
      </w:r>
      <w:r w:rsidRPr="009070BD">
        <w:rPr>
          <w:b w:val="0"/>
          <w:bCs/>
          <w:iCs/>
          <w:lang w:val="fr-FR"/>
        </w:rPr>
        <w:t xml:space="preserve"> </w:t>
      </w:r>
      <w:r w:rsidRPr="009070BD">
        <w:rPr>
          <w:b w:val="0"/>
          <w:bCs/>
          <w:iCs/>
          <w:lang w:val="hy-AM"/>
        </w:rPr>
        <w:t>շահագործման</w:t>
      </w:r>
      <w:r w:rsidRPr="009070BD">
        <w:rPr>
          <w:b w:val="0"/>
          <w:bCs/>
          <w:iCs/>
          <w:lang w:val="fr-FR"/>
        </w:rPr>
        <w:t xml:space="preserve"> </w:t>
      </w:r>
      <w:r w:rsidRPr="009070BD">
        <w:rPr>
          <w:b w:val="0"/>
          <w:bCs/>
          <w:iCs/>
          <w:lang w:val="hy-AM"/>
        </w:rPr>
        <w:t>նպատակով</w:t>
      </w:r>
      <w:r w:rsidRPr="009070BD">
        <w:rPr>
          <w:b w:val="0"/>
          <w:bCs/>
          <w:iCs/>
          <w:lang w:val="fr-FR"/>
        </w:rPr>
        <w:t xml:space="preserve"> </w:t>
      </w:r>
      <w:r w:rsidRPr="009070BD">
        <w:rPr>
          <w:b w:val="0"/>
          <w:bCs/>
          <w:iCs/>
          <w:lang w:val="hy-AM"/>
        </w:rPr>
        <w:t>հավատարմագրային</w:t>
      </w:r>
      <w:r w:rsidRPr="009070BD">
        <w:rPr>
          <w:b w:val="0"/>
          <w:bCs/>
          <w:iCs/>
          <w:lang w:val="fr-FR"/>
        </w:rPr>
        <w:t xml:space="preserve"> </w:t>
      </w:r>
      <w:r w:rsidRPr="009070BD">
        <w:rPr>
          <w:b w:val="0"/>
          <w:bCs/>
          <w:iCs/>
          <w:lang w:val="hy-AM"/>
        </w:rPr>
        <w:t>կառավարման</w:t>
      </w:r>
      <w:r w:rsidRPr="009070BD">
        <w:rPr>
          <w:b w:val="0"/>
          <w:bCs/>
          <w:iCs/>
          <w:lang w:val="fr-FR"/>
        </w:rPr>
        <w:t xml:space="preserve"> </w:t>
      </w:r>
      <w:r w:rsidRPr="009070BD">
        <w:rPr>
          <w:b w:val="0"/>
          <w:bCs/>
          <w:iCs/>
          <w:lang w:val="hy-AM"/>
        </w:rPr>
        <w:t>պայմանագրով</w:t>
      </w:r>
      <w:r w:rsidRPr="009070BD">
        <w:rPr>
          <w:b w:val="0"/>
          <w:bCs/>
          <w:iCs/>
          <w:lang w:val="fr-FR"/>
        </w:rPr>
        <w:t xml:space="preserve"> </w:t>
      </w:r>
      <w:r w:rsidRPr="009070BD">
        <w:rPr>
          <w:b w:val="0"/>
          <w:bCs/>
          <w:iCs/>
          <w:lang w:val="hy-AM"/>
        </w:rPr>
        <w:t>նախատեսված</w:t>
      </w:r>
      <w:r w:rsidRPr="009070BD">
        <w:rPr>
          <w:b w:val="0"/>
          <w:bCs/>
          <w:iCs/>
          <w:lang w:val="fr-FR"/>
        </w:rPr>
        <w:t xml:space="preserve"> </w:t>
      </w:r>
      <w:r w:rsidRPr="009070BD">
        <w:rPr>
          <w:b w:val="0"/>
          <w:bCs/>
          <w:iCs/>
          <w:lang w:val="hy-AM"/>
        </w:rPr>
        <w:t>ծառայությունների</w:t>
      </w:r>
      <w:r w:rsidRPr="009070BD">
        <w:rPr>
          <w:b w:val="0"/>
          <w:bCs/>
          <w:iCs/>
          <w:lang w:val="fr-FR"/>
        </w:rPr>
        <w:t xml:space="preserve"> </w:t>
      </w:r>
      <w:r w:rsidRPr="009070BD">
        <w:rPr>
          <w:b w:val="0"/>
          <w:bCs/>
          <w:iCs/>
          <w:lang w:val="hy-AM"/>
        </w:rPr>
        <w:t>մատուցում</w:t>
      </w:r>
      <w:r w:rsidRPr="009070BD">
        <w:rPr>
          <w:b w:val="0"/>
          <w:bCs/>
          <w:iCs/>
          <w:lang w:val="fr-FR"/>
        </w:rPr>
        <w:t xml:space="preserve">` </w:t>
      </w:r>
      <w:r w:rsidRPr="009070BD">
        <w:rPr>
          <w:b w:val="0"/>
          <w:bCs/>
          <w:iCs/>
          <w:lang w:val="hy-AM"/>
        </w:rPr>
        <w:t>ապահովելով</w:t>
      </w:r>
      <w:r w:rsidRPr="009070BD">
        <w:rPr>
          <w:b w:val="0"/>
          <w:bCs/>
          <w:iCs/>
          <w:lang w:val="fr-FR"/>
        </w:rPr>
        <w:t xml:space="preserve"> </w:t>
      </w:r>
      <w:r w:rsidRPr="009070BD">
        <w:rPr>
          <w:b w:val="0"/>
          <w:bCs/>
          <w:iCs/>
          <w:lang w:val="hy-AM"/>
        </w:rPr>
        <w:t>համակարգի</w:t>
      </w:r>
      <w:r w:rsidRPr="009070BD">
        <w:rPr>
          <w:b w:val="0"/>
          <w:bCs/>
          <w:iCs/>
          <w:lang w:val="fr-FR"/>
        </w:rPr>
        <w:t xml:space="preserve"> </w:t>
      </w:r>
      <w:r w:rsidRPr="009070BD">
        <w:rPr>
          <w:b w:val="0"/>
          <w:bCs/>
          <w:iCs/>
          <w:lang w:val="hy-AM"/>
        </w:rPr>
        <w:t>անվտանգ</w:t>
      </w:r>
      <w:r w:rsidRPr="009070BD">
        <w:rPr>
          <w:b w:val="0"/>
          <w:bCs/>
          <w:iCs/>
          <w:lang w:val="fr-FR"/>
        </w:rPr>
        <w:t xml:space="preserve">, </w:t>
      </w:r>
      <w:r w:rsidRPr="009070BD">
        <w:rPr>
          <w:b w:val="0"/>
          <w:bCs/>
          <w:iCs/>
          <w:lang w:val="hy-AM"/>
        </w:rPr>
        <w:t>անխափան</w:t>
      </w:r>
      <w:r w:rsidRPr="009070BD">
        <w:rPr>
          <w:b w:val="0"/>
          <w:bCs/>
          <w:iCs/>
          <w:lang w:val="fr-FR"/>
        </w:rPr>
        <w:t xml:space="preserve"> </w:t>
      </w:r>
      <w:r w:rsidRPr="009070BD">
        <w:rPr>
          <w:b w:val="0"/>
          <w:bCs/>
          <w:iCs/>
          <w:lang w:val="hy-AM"/>
        </w:rPr>
        <w:t>շահագործումն</w:t>
      </w:r>
      <w:r w:rsidRPr="009070BD">
        <w:rPr>
          <w:b w:val="0"/>
          <w:bCs/>
          <w:iCs/>
          <w:lang w:val="fr-FR"/>
        </w:rPr>
        <w:t xml:space="preserve"> </w:t>
      </w:r>
      <w:r w:rsidRPr="009070BD">
        <w:rPr>
          <w:b w:val="0"/>
          <w:bCs/>
          <w:iCs/>
          <w:lang w:val="hy-AM"/>
        </w:rPr>
        <w:t>և</w:t>
      </w:r>
      <w:r w:rsidRPr="009070BD">
        <w:rPr>
          <w:b w:val="0"/>
          <w:bCs/>
          <w:iCs/>
          <w:lang w:val="fr-FR"/>
        </w:rPr>
        <w:t xml:space="preserve"> </w:t>
      </w:r>
      <w:r w:rsidRPr="009070BD">
        <w:rPr>
          <w:b w:val="0"/>
          <w:bCs/>
          <w:iCs/>
          <w:lang w:val="hy-AM"/>
        </w:rPr>
        <w:t>պահպանումը</w:t>
      </w:r>
      <w:r w:rsidRPr="009070BD">
        <w:rPr>
          <w:b w:val="0"/>
          <w:bCs/>
          <w:iCs/>
          <w:lang w:val="fr-FR"/>
        </w:rPr>
        <w:t xml:space="preserve">, </w:t>
      </w:r>
      <w:r w:rsidRPr="009070BD">
        <w:rPr>
          <w:b w:val="0"/>
          <w:bCs/>
          <w:iCs/>
          <w:lang w:val="hy-AM"/>
        </w:rPr>
        <w:t>ինչը</w:t>
      </w:r>
      <w:r w:rsidRPr="009070BD">
        <w:rPr>
          <w:b w:val="0"/>
          <w:bCs/>
          <w:iCs/>
          <w:lang w:val="fr-FR"/>
        </w:rPr>
        <w:t xml:space="preserve"> </w:t>
      </w:r>
      <w:r w:rsidRPr="009070BD">
        <w:rPr>
          <w:b w:val="0"/>
          <w:bCs/>
          <w:iCs/>
          <w:lang w:val="hy-AM"/>
        </w:rPr>
        <w:t>թույլ</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տալիս</w:t>
      </w:r>
      <w:r w:rsidRPr="009070BD">
        <w:rPr>
          <w:b w:val="0"/>
          <w:bCs/>
          <w:iCs/>
          <w:lang w:val="fr-FR"/>
        </w:rPr>
        <w:t xml:space="preserve"> </w:t>
      </w:r>
      <w:r w:rsidRPr="009070BD">
        <w:rPr>
          <w:b w:val="0"/>
          <w:bCs/>
          <w:iCs/>
          <w:lang w:val="hy-AM"/>
        </w:rPr>
        <w:t>առավելագույն</w:t>
      </w:r>
      <w:r w:rsidRPr="009070BD">
        <w:rPr>
          <w:b w:val="0"/>
          <w:bCs/>
          <w:iCs/>
          <w:lang w:val="fr-FR"/>
        </w:rPr>
        <w:t xml:space="preserve"> </w:t>
      </w:r>
      <w:r w:rsidRPr="009070BD">
        <w:rPr>
          <w:b w:val="0"/>
          <w:bCs/>
          <w:iCs/>
          <w:lang w:val="hy-AM"/>
        </w:rPr>
        <w:t>քանակի</w:t>
      </w:r>
      <w:r w:rsidRPr="009070BD">
        <w:rPr>
          <w:b w:val="0"/>
          <w:bCs/>
          <w:iCs/>
          <w:lang w:val="fr-FR"/>
        </w:rPr>
        <w:t xml:space="preserve"> </w:t>
      </w:r>
      <w:r w:rsidRPr="009070BD">
        <w:rPr>
          <w:b w:val="0"/>
          <w:bCs/>
          <w:iCs/>
          <w:lang w:val="hy-AM"/>
        </w:rPr>
        <w:t>ջուր</w:t>
      </w:r>
      <w:r w:rsidRPr="009070BD">
        <w:rPr>
          <w:b w:val="0"/>
          <w:bCs/>
          <w:iCs/>
          <w:lang w:val="fr-FR"/>
        </w:rPr>
        <w:t xml:space="preserve"> </w:t>
      </w:r>
      <w:r w:rsidRPr="009070BD">
        <w:rPr>
          <w:b w:val="0"/>
          <w:bCs/>
          <w:iCs/>
          <w:lang w:val="hy-AM"/>
        </w:rPr>
        <w:t>տեղափոխել</w:t>
      </w:r>
      <w:r w:rsidRPr="009070BD">
        <w:rPr>
          <w:b w:val="0"/>
          <w:bCs/>
          <w:iCs/>
          <w:lang w:val="fr-FR"/>
        </w:rPr>
        <w:t xml:space="preserve"> </w:t>
      </w:r>
      <w:r w:rsidRPr="009070BD">
        <w:rPr>
          <w:b w:val="0"/>
          <w:bCs/>
          <w:iCs/>
          <w:lang w:val="hy-AM"/>
        </w:rPr>
        <w:t>Սևանա</w:t>
      </w:r>
      <w:r w:rsidRPr="009070BD">
        <w:rPr>
          <w:b w:val="0"/>
          <w:bCs/>
          <w:iCs/>
          <w:lang w:val="fr-FR"/>
        </w:rPr>
        <w:t xml:space="preserve"> </w:t>
      </w:r>
      <w:r w:rsidRPr="009070BD">
        <w:rPr>
          <w:b w:val="0"/>
          <w:bCs/>
          <w:iCs/>
          <w:lang w:val="hy-AM"/>
        </w:rPr>
        <w:t>լիճ</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 xml:space="preserve">2004 </w:t>
      </w:r>
      <w:r w:rsidRPr="009070BD">
        <w:rPr>
          <w:b w:val="0"/>
          <w:bCs/>
          <w:iCs/>
        </w:rPr>
        <w:t>թվականի</w:t>
      </w:r>
      <w:r w:rsidRPr="009070BD">
        <w:rPr>
          <w:b w:val="0"/>
          <w:bCs/>
          <w:iCs/>
          <w:lang w:val="fr-FR"/>
        </w:rPr>
        <w:t xml:space="preserve"> </w:t>
      </w:r>
      <w:r w:rsidRPr="009070BD">
        <w:rPr>
          <w:b w:val="0"/>
          <w:bCs/>
          <w:iCs/>
        </w:rPr>
        <w:t>օգոստոսի</w:t>
      </w:r>
      <w:r w:rsidRPr="009070BD">
        <w:rPr>
          <w:b w:val="0"/>
          <w:bCs/>
          <w:iCs/>
          <w:lang w:val="fr-FR"/>
        </w:rPr>
        <w:t xml:space="preserve"> 17-</w:t>
      </w:r>
      <w:r w:rsidRPr="009070BD">
        <w:rPr>
          <w:b w:val="0"/>
          <w:bCs/>
          <w:iCs/>
        </w:rPr>
        <w:t>ին</w:t>
      </w:r>
      <w:r w:rsidRPr="009070BD">
        <w:rPr>
          <w:b w:val="0"/>
          <w:bCs/>
          <w:iCs/>
          <w:lang w:val="fr-FR"/>
        </w:rPr>
        <w:t xml:space="preserve"> </w:t>
      </w:r>
      <w:r w:rsidRPr="009070BD">
        <w:rPr>
          <w:b w:val="0"/>
          <w:bCs/>
          <w:iCs/>
        </w:rPr>
        <w:t>կնքված</w:t>
      </w:r>
      <w:r w:rsidRPr="009070BD">
        <w:rPr>
          <w:b w:val="0"/>
          <w:bCs/>
          <w:iCs/>
          <w:lang w:val="fr-FR"/>
        </w:rPr>
        <w:t xml:space="preserve"> N</w:t>
      </w:r>
      <w:r w:rsidRPr="009070BD">
        <w:rPr>
          <w:b w:val="0"/>
          <w:bCs/>
          <w:iCs/>
        </w:rPr>
        <w:t>ԾՁԲ</w:t>
      </w:r>
      <w:r w:rsidRPr="009070BD">
        <w:rPr>
          <w:b w:val="0"/>
          <w:bCs/>
          <w:iCs/>
          <w:lang w:val="fr-FR"/>
        </w:rPr>
        <w:t xml:space="preserve">-04/36 </w:t>
      </w:r>
      <w:r w:rsidRPr="009070BD">
        <w:rPr>
          <w:b w:val="0"/>
          <w:bCs/>
          <w:iCs/>
        </w:rPr>
        <w:t>պայմանագրի</w:t>
      </w:r>
      <w:r w:rsidRPr="009070BD">
        <w:rPr>
          <w:b w:val="0"/>
          <w:bCs/>
          <w:iCs/>
          <w:lang w:val="fr-FR"/>
        </w:rPr>
        <w:t xml:space="preserve"> </w:t>
      </w:r>
      <w:r w:rsidRPr="009070BD">
        <w:rPr>
          <w:b w:val="0"/>
          <w:bCs/>
          <w:iCs/>
        </w:rPr>
        <w:t>համաձայն</w:t>
      </w:r>
      <w:r w:rsidRPr="009070BD">
        <w:rPr>
          <w:b w:val="0"/>
          <w:bCs/>
          <w:iCs/>
          <w:lang w:val="fr-FR"/>
        </w:rPr>
        <w:t xml:space="preserve"> (</w:t>
      </w:r>
      <w:r w:rsidRPr="009070BD">
        <w:rPr>
          <w:b w:val="0"/>
          <w:bCs/>
          <w:iCs/>
        </w:rPr>
        <w:t>որով</w:t>
      </w:r>
      <w:r w:rsidRPr="009070BD">
        <w:rPr>
          <w:b w:val="0"/>
          <w:bCs/>
          <w:iCs/>
          <w:lang w:val="fr-FR"/>
        </w:rPr>
        <w:t xml:space="preserve"> </w:t>
      </w:r>
      <w:r w:rsidRPr="009070BD">
        <w:rPr>
          <w:b w:val="0"/>
          <w:bCs/>
          <w:iCs/>
        </w:rPr>
        <w:t>նախատեսվել</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Որոտան</w:t>
      </w:r>
      <w:r w:rsidRPr="009070BD">
        <w:rPr>
          <w:b w:val="0"/>
          <w:bCs/>
          <w:iCs/>
          <w:lang w:val="fr-FR"/>
        </w:rPr>
        <w:t>-</w:t>
      </w:r>
      <w:r w:rsidRPr="009070BD">
        <w:rPr>
          <w:b w:val="0"/>
          <w:bCs/>
          <w:iCs/>
        </w:rPr>
        <w:t>Արփա</w:t>
      </w:r>
      <w:r w:rsidRPr="009070BD">
        <w:rPr>
          <w:b w:val="0"/>
          <w:bCs/>
          <w:iCs/>
          <w:lang w:val="fr-FR"/>
        </w:rPr>
        <w:t>-</w:t>
      </w:r>
      <w:r w:rsidRPr="009070BD">
        <w:rPr>
          <w:b w:val="0"/>
          <w:bCs/>
          <w:iCs/>
        </w:rPr>
        <w:t>Սևան</w:t>
      </w:r>
      <w:r w:rsidRPr="009070BD">
        <w:rPr>
          <w:b w:val="0"/>
          <w:bCs/>
          <w:iCs/>
          <w:lang w:val="fr-FR"/>
        </w:rPr>
        <w:t xml:space="preserve">» </w:t>
      </w:r>
      <w:r w:rsidRPr="009070BD">
        <w:rPr>
          <w:b w:val="0"/>
          <w:bCs/>
          <w:iCs/>
        </w:rPr>
        <w:t>հիդրոհանգույցի</w:t>
      </w:r>
      <w:r w:rsidRPr="009070BD">
        <w:rPr>
          <w:b w:val="0"/>
          <w:bCs/>
          <w:iCs/>
          <w:lang w:val="fr-FR"/>
        </w:rPr>
        <w:t xml:space="preserve"> </w:t>
      </w:r>
      <w:r w:rsidRPr="009070BD">
        <w:rPr>
          <w:b w:val="0"/>
          <w:bCs/>
          <w:iCs/>
        </w:rPr>
        <w:t>ջրային</w:t>
      </w:r>
      <w:r w:rsidRPr="009070BD">
        <w:rPr>
          <w:b w:val="0"/>
          <w:bCs/>
          <w:iCs/>
          <w:lang w:val="fr-FR"/>
        </w:rPr>
        <w:t xml:space="preserve"> </w:t>
      </w:r>
      <w:r w:rsidRPr="009070BD">
        <w:rPr>
          <w:b w:val="0"/>
          <w:bCs/>
          <w:iCs/>
        </w:rPr>
        <w:t>համակարգը</w:t>
      </w:r>
      <w:r w:rsidRPr="009070BD">
        <w:rPr>
          <w:b w:val="0"/>
          <w:bCs/>
          <w:iCs/>
          <w:lang w:val="fr-FR"/>
        </w:rPr>
        <w:t xml:space="preserve"> </w:t>
      </w:r>
      <w:r w:rsidRPr="009070BD">
        <w:rPr>
          <w:b w:val="0"/>
          <w:bCs/>
          <w:iCs/>
        </w:rPr>
        <w:t>հանձնել</w:t>
      </w:r>
      <w:r w:rsidRPr="009070BD">
        <w:rPr>
          <w:b w:val="0"/>
          <w:bCs/>
          <w:iCs/>
          <w:lang w:val="fr-FR"/>
        </w:rPr>
        <w:t xml:space="preserve"> </w:t>
      </w:r>
      <w:r w:rsidRPr="009070BD">
        <w:rPr>
          <w:b w:val="0"/>
          <w:bCs/>
          <w:iCs/>
        </w:rPr>
        <w:t>հավա</w:t>
      </w:r>
      <w:r w:rsidRPr="009070BD">
        <w:rPr>
          <w:b w:val="0"/>
          <w:bCs/>
          <w:iCs/>
          <w:lang w:val="fr-FR"/>
        </w:rPr>
        <w:softHyphen/>
      </w:r>
      <w:r w:rsidRPr="009070BD">
        <w:rPr>
          <w:b w:val="0"/>
          <w:bCs/>
          <w:iCs/>
        </w:rPr>
        <w:t>տար</w:t>
      </w:r>
      <w:r w:rsidRPr="009070BD">
        <w:rPr>
          <w:b w:val="0"/>
          <w:bCs/>
          <w:iCs/>
          <w:lang w:val="fr-FR"/>
        </w:rPr>
        <w:softHyphen/>
      </w:r>
      <w:r w:rsidRPr="009070BD">
        <w:rPr>
          <w:b w:val="0"/>
          <w:bCs/>
          <w:iCs/>
        </w:rPr>
        <w:t>մագրային</w:t>
      </w:r>
      <w:r w:rsidRPr="009070BD">
        <w:rPr>
          <w:b w:val="0"/>
          <w:bCs/>
          <w:iCs/>
          <w:lang w:val="fr-FR"/>
        </w:rPr>
        <w:t xml:space="preserve"> </w:t>
      </w:r>
      <w:r w:rsidRPr="009070BD">
        <w:rPr>
          <w:b w:val="0"/>
          <w:bCs/>
          <w:iCs/>
        </w:rPr>
        <w:t>կառավարման</w:t>
      </w:r>
      <w:r w:rsidRPr="009070BD">
        <w:rPr>
          <w:b w:val="0"/>
          <w:bCs/>
          <w:iCs/>
          <w:lang w:val="fr-FR"/>
        </w:rPr>
        <w:t xml:space="preserve">) </w:t>
      </w:r>
      <w:r w:rsidRPr="009070BD">
        <w:rPr>
          <w:b w:val="0"/>
          <w:bCs/>
          <w:iCs/>
        </w:rPr>
        <w:t>Նախագծով</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Արփա</w:t>
      </w:r>
      <w:r w:rsidRPr="009070BD">
        <w:rPr>
          <w:b w:val="0"/>
          <w:bCs/>
          <w:iCs/>
          <w:lang w:val="fr-FR"/>
        </w:rPr>
        <w:t>-</w:t>
      </w:r>
      <w:r w:rsidRPr="009070BD">
        <w:rPr>
          <w:b w:val="0"/>
          <w:bCs/>
          <w:iCs/>
        </w:rPr>
        <w:t>Սևան</w:t>
      </w:r>
      <w:r w:rsidRPr="009070BD">
        <w:rPr>
          <w:b w:val="0"/>
          <w:bCs/>
          <w:iCs/>
          <w:lang w:val="fr-FR"/>
        </w:rPr>
        <w:t xml:space="preserve"> </w:t>
      </w:r>
      <w:r w:rsidRPr="009070BD">
        <w:rPr>
          <w:b w:val="0"/>
          <w:bCs/>
          <w:iCs/>
        </w:rPr>
        <w:t>թունելի</w:t>
      </w:r>
      <w:r w:rsidRPr="009070BD">
        <w:rPr>
          <w:b w:val="0"/>
          <w:bCs/>
          <w:iCs/>
          <w:lang w:val="fr-FR"/>
        </w:rPr>
        <w:t xml:space="preserve"> </w:t>
      </w:r>
      <w:r w:rsidRPr="009070BD">
        <w:rPr>
          <w:b w:val="0"/>
          <w:bCs/>
          <w:iCs/>
        </w:rPr>
        <w:t>պահպանման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շահագործման</w:t>
      </w:r>
      <w:r w:rsidRPr="009070BD">
        <w:rPr>
          <w:b w:val="0"/>
          <w:bCs/>
          <w:iCs/>
          <w:lang w:val="fr-FR"/>
        </w:rPr>
        <w:t xml:space="preserve"> </w:t>
      </w:r>
      <w:r w:rsidRPr="009070BD">
        <w:rPr>
          <w:b w:val="0"/>
          <w:bCs/>
          <w:iCs/>
        </w:rPr>
        <w:t>նպատակով</w:t>
      </w:r>
      <w:r w:rsidRPr="009070BD">
        <w:rPr>
          <w:b w:val="0"/>
          <w:bCs/>
          <w:iCs/>
          <w:lang w:val="fr-FR"/>
        </w:rPr>
        <w:t xml:space="preserve"> </w:t>
      </w:r>
      <w:r w:rsidRPr="009070BD">
        <w:rPr>
          <w:b w:val="0"/>
          <w:bCs/>
          <w:iCs/>
        </w:rPr>
        <w:t>հավատարմագրային</w:t>
      </w:r>
      <w:r w:rsidRPr="009070BD">
        <w:rPr>
          <w:b w:val="0"/>
          <w:bCs/>
          <w:iCs/>
          <w:lang w:val="fr-FR"/>
        </w:rPr>
        <w:t xml:space="preserve"> </w:t>
      </w:r>
      <w:r w:rsidRPr="009070BD">
        <w:rPr>
          <w:b w:val="0"/>
          <w:bCs/>
          <w:iCs/>
        </w:rPr>
        <w:t>կառավարչի</w:t>
      </w:r>
      <w:r w:rsidRPr="009070BD">
        <w:rPr>
          <w:b w:val="0"/>
          <w:bCs/>
          <w:iCs/>
          <w:lang w:val="fr-FR"/>
        </w:rPr>
        <w:t xml:space="preserve"> </w:t>
      </w:r>
      <w:r w:rsidRPr="009070BD">
        <w:rPr>
          <w:b w:val="0"/>
          <w:bCs/>
          <w:iCs/>
        </w:rPr>
        <w:t>պահպանման</w:t>
      </w:r>
      <w:r w:rsidRPr="009070BD">
        <w:rPr>
          <w:b w:val="0"/>
          <w:bCs/>
          <w:iCs/>
          <w:lang w:val="fr-FR"/>
        </w:rPr>
        <w:t xml:space="preserve"> </w:t>
      </w:r>
      <w:r w:rsidRPr="009070BD">
        <w:rPr>
          <w:b w:val="0"/>
          <w:bCs/>
          <w:iCs/>
        </w:rPr>
        <w:t>ծախսերի</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հատկացնել</w:t>
      </w:r>
      <w:r w:rsidRPr="009070BD">
        <w:rPr>
          <w:b w:val="0"/>
          <w:bCs/>
          <w:iCs/>
          <w:lang w:val="fr-FR"/>
        </w:rPr>
        <w:t xml:space="preserve"> 205.8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պահպանելով</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բյուջեով</w:t>
      </w:r>
      <w:r w:rsidRPr="009070BD">
        <w:rPr>
          <w:b w:val="0"/>
          <w:bCs/>
          <w:iCs/>
          <w:lang w:val="fr-FR"/>
        </w:rPr>
        <w:t xml:space="preserve"> </w:t>
      </w:r>
      <w:r w:rsidRPr="009070BD">
        <w:rPr>
          <w:b w:val="0"/>
          <w:bCs/>
          <w:iCs/>
        </w:rPr>
        <w:t>հաս</w:t>
      </w:r>
      <w:r w:rsidRPr="009070BD">
        <w:rPr>
          <w:b w:val="0"/>
          <w:bCs/>
          <w:iCs/>
          <w:lang w:val="fr-FR"/>
        </w:rPr>
        <w:softHyphen/>
      </w:r>
      <w:r w:rsidRPr="009070BD">
        <w:rPr>
          <w:b w:val="0"/>
          <w:bCs/>
          <w:iCs/>
        </w:rPr>
        <w:t>տատված</w:t>
      </w:r>
      <w:r w:rsidRPr="009070BD">
        <w:rPr>
          <w:b w:val="0"/>
          <w:bCs/>
          <w:iCs/>
          <w:lang w:val="fr-FR"/>
        </w:rPr>
        <w:t xml:space="preserve"> </w:t>
      </w:r>
      <w:r w:rsidRPr="009070BD">
        <w:rPr>
          <w:b w:val="0"/>
          <w:bCs/>
          <w:iCs/>
        </w:rPr>
        <w:t>չափաքանակը</w:t>
      </w:r>
      <w:r w:rsidRPr="009070BD">
        <w:rPr>
          <w:b w:val="0"/>
          <w:bCs/>
          <w:iCs/>
          <w:lang w:val="fr-FR"/>
        </w:rPr>
        <w:t>:</w:t>
      </w:r>
    </w:p>
    <w:p w:rsidR="001971B9" w:rsidRPr="009070BD" w:rsidRDefault="001971B9" w:rsidP="007730AA">
      <w:pPr>
        <w:spacing w:before="0" w:line="276" w:lineRule="auto"/>
        <w:ind w:firstLine="720"/>
        <w:rPr>
          <w:bCs/>
          <w:iCs/>
          <w:lang w:val="fr-FR"/>
        </w:rPr>
      </w:pPr>
      <w:r w:rsidRPr="009070BD">
        <w:rPr>
          <w:bCs/>
          <w:iCs/>
          <w:lang w:val="fr-FR"/>
        </w:rPr>
        <w:t>3. «</w:t>
      </w:r>
      <w:r w:rsidRPr="009070BD">
        <w:rPr>
          <w:bCs/>
          <w:iCs/>
        </w:rPr>
        <w:t>Կոլեկտորադրենաժային</w:t>
      </w:r>
      <w:r w:rsidRPr="009070BD">
        <w:rPr>
          <w:bCs/>
          <w:iCs/>
          <w:lang w:val="fr-FR"/>
        </w:rPr>
        <w:t xml:space="preserve"> </w:t>
      </w:r>
      <w:r w:rsidRPr="009070BD">
        <w:rPr>
          <w:bCs/>
          <w:iCs/>
        </w:rPr>
        <w:t>ծառայություններ</w:t>
      </w:r>
      <w:r w:rsidRPr="009070BD">
        <w:rPr>
          <w:bCs/>
          <w:iCs/>
          <w:lang w:val="fr-FR"/>
        </w:rPr>
        <w:t xml:space="preserve">» </w:t>
      </w:r>
      <w:r w:rsidRPr="009070BD">
        <w:rPr>
          <w:bCs/>
          <w:iCs/>
        </w:rPr>
        <w:t>ծրագիր</w:t>
      </w:r>
      <w:r w:rsidRPr="009070BD">
        <w:rPr>
          <w:bCs/>
          <w:iCs/>
          <w:lang w:val="fr-FR"/>
        </w:rPr>
        <w:t>.</w:t>
      </w:r>
    </w:p>
    <w:p w:rsidR="001971B9" w:rsidRPr="009070BD" w:rsidRDefault="001971B9" w:rsidP="007730AA">
      <w:pPr>
        <w:spacing w:before="0" w:line="276" w:lineRule="auto"/>
        <w:ind w:firstLine="720"/>
        <w:rPr>
          <w:b w:val="0"/>
          <w:bCs/>
          <w:iCs/>
          <w:lang w:val="fr-FR"/>
        </w:rPr>
      </w:pPr>
      <w:r w:rsidRPr="009070BD">
        <w:rPr>
          <w:b w:val="0"/>
          <w:bCs/>
          <w:iCs/>
        </w:rPr>
        <w:t>Ծրագրի</w:t>
      </w:r>
      <w:r w:rsidRPr="009070BD">
        <w:rPr>
          <w:b w:val="0"/>
          <w:bCs/>
          <w:iCs/>
          <w:lang w:val="fr-FR"/>
        </w:rPr>
        <w:t xml:space="preserve"> </w:t>
      </w:r>
      <w:r w:rsidRPr="009070BD">
        <w:rPr>
          <w:b w:val="0"/>
          <w:bCs/>
          <w:iCs/>
        </w:rPr>
        <w:t>նպատակն</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կոլեկտորադրենաժային</w:t>
      </w:r>
      <w:r w:rsidRPr="009070BD">
        <w:rPr>
          <w:b w:val="0"/>
          <w:bCs/>
          <w:iCs/>
          <w:lang w:val="fr-FR"/>
        </w:rPr>
        <w:t xml:space="preserve"> </w:t>
      </w:r>
      <w:r w:rsidRPr="009070BD">
        <w:rPr>
          <w:b w:val="0"/>
          <w:bCs/>
          <w:iCs/>
        </w:rPr>
        <w:t>ցանցի</w:t>
      </w:r>
      <w:r w:rsidRPr="009070BD">
        <w:rPr>
          <w:b w:val="0"/>
          <w:bCs/>
          <w:iCs/>
          <w:lang w:val="fr-FR"/>
        </w:rPr>
        <w:t xml:space="preserve"> </w:t>
      </w:r>
      <w:r w:rsidRPr="009070BD">
        <w:rPr>
          <w:b w:val="0"/>
          <w:bCs/>
          <w:iCs/>
        </w:rPr>
        <w:t>միջոցով</w:t>
      </w:r>
      <w:r w:rsidRPr="009070BD">
        <w:rPr>
          <w:b w:val="0"/>
          <w:bCs/>
          <w:iCs/>
          <w:lang w:val="fr-FR"/>
        </w:rPr>
        <w:t xml:space="preserve"> </w:t>
      </w:r>
      <w:r w:rsidRPr="009070BD">
        <w:rPr>
          <w:b w:val="0"/>
          <w:bCs/>
          <w:iCs/>
        </w:rPr>
        <w:t>գրունտային</w:t>
      </w:r>
      <w:r w:rsidRPr="009070BD">
        <w:rPr>
          <w:b w:val="0"/>
          <w:bCs/>
          <w:iCs/>
          <w:lang w:val="fr-FR"/>
        </w:rPr>
        <w:t xml:space="preserve"> </w:t>
      </w:r>
      <w:r w:rsidRPr="009070BD">
        <w:rPr>
          <w:b w:val="0"/>
          <w:bCs/>
          <w:iCs/>
        </w:rPr>
        <w:t>ջրերի</w:t>
      </w:r>
      <w:r w:rsidRPr="009070BD">
        <w:rPr>
          <w:b w:val="0"/>
          <w:bCs/>
          <w:iCs/>
          <w:lang w:val="fr-FR"/>
        </w:rPr>
        <w:t xml:space="preserve"> </w:t>
      </w:r>
      <w:r w:rsidRPr="009070BD">
        <w:rPr>
          <w:b w:val="0"/>
          <w:bCs/>
          <w:iCs/>
        </w:rPr>
        <w:t>հեռացումն</w:t>
      </w:r>
      <w:r w:rsidRPr="009070BD">
        <w:rPr>
          <w:b w:val="0"/>
          <w:bCs/>
          <w:iCs/>
          <w:lang w:val="fr-FR"/>
        </w:rPr>
        <w:t xml:space="preserve"> </w:t>
      </w:r>
      <w:r w:rsidRPr="009070BD">
        <w:rPr>
          <w:b w:val="0"/>
          <w:bCs/>
          <w:iCs/>
        </w:rPr>
        <w:t>ու</w:t>
      </w:r>
      <w:r w:rsidRPr="009070BD">
        <w:rPr>
          <w:b w:val="0"/>
          <w:bCs/>
          <w:iCs/>
          <w:lang w:val="fr-FR"/>
        </w:rPr>
        <w:t xml:space="preserve"> </w:t>
      </w:r>
      <w:r w:rsidRPr="009070BD">
        <w:rPr>
          <w:b w:val="0"/>
          <w:bCs/>
          <w:iCs/>
        </w:rPr>
        <w:t>համակարգի</w:t>
      </w:r>
      <w:r w:rsidRPr="009070BD">
        <w:rPr>
          <w:b w:val="0"/>
          <w:bCs/>
          <w:iCs/>
          <w:lang w:val="fr-FR"/>
        </w:rPr>
        <w:t xml:space="preserve"> </w:t>
      </w:r>
      <w:r w:rsidRPr="009070BD">
        <w:rPr>
          <w:b w:val="0"/>
          <w:bCs/>
          <w:iCs/>
        </w:rPr>
        <w:t>կենսունակության</w:t>
      </w:r>
      <w:r w:rsidRPr="009070BD">
        <w:rPr>
          <w:b w:val="0"/>
          <w:bCs/>
          <w:iCs/>
          <w:lang w:val="fr-FR"/>
        </w:rPr>
        <w:t xml:space="preserve"> </w:t>
      </w:r>
      <w:r w:rsidRPr="009070BD">
        <w:rPr>
          <w:b w:val="0"/>
          <w:bCs/>
          <w:iCs/>
        </w:rPr>
        <w:t>բարելավումը</w:t>
      </w:r>
      <w:r w:rsidRPr="009070BD">
        <w:rPr>
          <w:b w:val="0"/>
          <w:bCs/>
          <w:iCs/>
          <w:lang w:val="fr-FR"/>
        </w:rPr>
        <w:t xml:space="preserve">, </w:t>
      </w:r>
      <w:r w:rsidRPr="009070BD">
        <w:rPr>
          <w:b w:val="0"/>
          <w:bCs/>
          <w:iCs/>
        </w:rPr>
        <w:t>որի</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Կոլեկտորադրենաժային</w:t>
      </w:r>
      <w:r w:rsidRPr="009070BD">
        <w:rPr>
          <w:b w:val="0"/>
          <w:bCs/>
          <w:iCs/>
          <w:lang w:val="fr-FR"/>
        </w:rPr>
        <w:t xml:space="preserve"> </w:t>
      </w:r>
      <w:r w:rsidRPr="009070BD">
        <w:rPr>
          <w:b w:val="0"/>
          <w:bCs/>
          <w:iCs/>
        </w:rPr>
        <w:t>ցանցերի</w:t>
      </w:r>
      <w:r w:rsidRPr="009070BD">
        <w:rPr>
          <w:b w:val="0"/>
          <w:bCs/>
          <w:iCs/>
          <w:lang w:val="fr-FR"/>
        </w:rPr>
        <w:t xml:space="preserve"> </w:t>
      </w:r>
      <w:r w:rsidRPr="009070BD">
        <w:rPr>
          <w:b w:val="0"/>
          <w:bCs/>
          <w:iCs/>
        </w:rPr>
        <w:t>պահպանում</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շահագործում</w:t>
      </w:r>
      <w:r w:rsidRPr="009070BD">
        <w:rPr>
          <w:b w:val="0"/>
          <w:bCs/>
          <w:iCs/>
          <w:lang w:val="fr-FR"/>
        </w:rPr>
        <w:t xml:space="preserve">» </w:t>
      </w:r>
      <w:r w:rsidRPr="009070BD">
        <w:rPr>
          <w:b w:val="0"/>
          <w:bCs/>
          <w:iCs/>
        </w:rPr>
        <w:t>միջոցառմամբ</w:t>
      </w:r>
      <w:r w:rsidRPr="009070BD">
        <w:rPr>
          <w:b w:val="0"/>
          <w:bCs/>
          <w:iCs/>
          <w:lang w:val="fr-FR"/>
        </w:rPr>
        <w:t xml:space="preserve"> </w:t>
      </w:r>
      <w:r w:rsidRPr="009070BD">
        <w:rPr>
          <w:b w:val="0"/>
          <w:bCs/>
          <w:iCs/>
        </w:rPr>
        <w:t>նախատես</w:t>
      </w:r>
      <w:r w:rsidRPr="009070BD">
        <w:rPr>
          <w:b w:val="0"/>
          <w:bCs/>
          <w:iCs/>
          <w:lang w:val="fr-FR"/>
        </w:rPr>
        <w:softHyphen/>
      </w:r>
      <w:r w:rsidRPr="009070BD">
        <w:rPr>
          <w:b w:val="0"/>
          <w:bCs/>
          <w:iCs/>
        </w:rPr>
        <w:t>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հատկացնել</w:t>
      </w:r>
      <w:r w:rsidRPr="009070BD">
        <w:rPr>
          <w:b w:val="0"/>
          <w:bCs/>
          <w:iCs/>
          <w:lang w:val="fr-FR"/>
        </w:rPr>
        <w:t xml:space="preserve"> 336.5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մակարդակին</w:t>
      </w:r>
      <w:r w:rsidRPr="009070BD">
        <w:rPr>
          <w:b w:val="0"/>
          <w:bCs/>
          <w:iCs/>
          <w:lang w:val="fr-FR"/>
        </w:rPr>
        <w:t xml:space="preserve"> </w:t>
      </w:r>
      <w:r w:rsidRPr="009070BD">
        <w:rPr>
          <w:b w:val="0"/>
          <w:bCs/>
          <w:iCs/>
        </w:rPr>
        <w:t>համապատասխան</w:t>
      </w:r>
      <w:r w:rsidRPr="009070BD">
        <w:rPr>
          <w:b w:val="0"/>
          <w:bCs/>
          <w:iCs/>
          <w:lang w:val="fr-FR"/>
        </w:rPr>
        <w:t xml:space="preserve">: </w:t>
      </w:r>
      <w:r w:rsidRPr="009070BD">
        <w:rPr>
          <w:b w:val="0"/>
          <w:bCs/>
          <w:iCs/>
        </w:rPr>
        <w:t>Միջոցառման</w:t>
      </w:r>
      <w:r w:rsidRPr="009070BD">
        <w:rPr>
          <w:b w:val="0"/>
          <w:bCs/>
          <w:iCs/>
          <w:lang w:val="fr-FR"/>
        </w:rPr>
        <w:t xml:space="preserve"> </w:t>
      </w:r>
      <w:r w:rsidRPr="009070BD">
        <w:rPr>
          <w:b w:val="0"/>
          <w:bCs/>
          <w:iCs/>
        </w:rPr>
        <w:t>շրջանակներում</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մաքրել</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վերանորոգել</w:t>
      </w:r>
      <w:r w:rsidRPr="009070BD">
        <w:rPr>
          <w:b w:val="0"/>
          <w:bCs/>
          <w:iCs/>
          <w:lang w:val="fr-FR"/>
        </w:rPr>
        <w:t xml:space="preserve"> 198 </w:t>
      </w:r>
      <w:r w:rsidRPr="009070BD">
        <w:rPr>
          <w:b w:val="0"/>
          <w:bCs/>
          <w:iCs/>
        </w:rPr>
        <w:t>կմ</w:t>
      </w:r>
      <w:r w:rsidRPr="009070BD">
        <w:rPr>
          <w:b w:val="0"/>
          <w:bCs/>
          <w:iCs/>
          <w:lang w:val="fr-FR"/>
        </w:rPr>
        <w:t xml:space="preserve"> </w:t>
      </w:r>
      <w:r w:rsidRPr="009070BD">
        <w:rPr>
          <w:b w:val="0"/>
          <w:bCs/>
          <w:iCs/>
        </w:rPr>
        <w:t>երկարությամբ</w:t>
      </w:r>
      <w:r w:rsidRPr="009070BD">
        <w:rPr>
          <w:b w:val="0"/>
          <w:bCs/>
          <w:iCs/>
          <w:lang w:val="fr-FR"/>
        </w:rPr>
        <w:t xml:space="preserve"> </w:t>
      </w:r>
      <w:r w:rsidRPr="009070BD">
        <w:rPr>
          <w:b w:val="0"/>
          <w:bCs/>
          <w:iCs/>
        </w:rPr>
        <w:t>կոլեկտորադրենաժային</w:t>
      </w:r>
      <w:r w:rsidRPr="009070BD">
        <w:rPr>
          <w:b w:val="0"/>
          <w:bCs/>
          <w:iCs/>
          <w:lang w:val="fr-FR"/>
        </w:rPr>
        <w:t xml:space="preserve"> </w:t>
      </w:r>
      <w:r w:rsidRPr="009070BD">
        <w:rPr>
          <w:b w:val="0"/>
          <w:bCs/>
          <w:iCs/>
        </w:rPr>
        <w:t>ցանց</w:t>
      </w:r>
      <w:r w:rsidRPr="009070BD">
        <w:rPr>
          <w:b w:val="0"/>
          <w:bCs/>
          <w:iCs/>
          <w:lang w:val="fr-FR"/>
        </w:rPr>
        <w:t>:</w:t>
      </w:r>
    </w:p>
    <w:p w:rsidR="001971B9" w:rsidRPr="009070BD" w:rsidRDefault="001971B9" w:rsidP="007730AA">
      <w:pPr>
        <w:spacing w:before="0" w:line="276" w:lineRule="auto"/>
        <w:ind w:firstLine="720"/>
        <w:rPr>
          <w:bCs/>
          <w:iCs/>
          <w:lang w:val="fr-FR"/>
        </w:rPr>
      </w:pPr>
      <w:r w:rsidRPr="009070BD">
        <w:rPr>
          <w:bCs/>
          <w:iCs/>
          <w:lang w:val="fr-FR"/>
        </w:rPr>
        <w:t>4. «</w:t>
      </w:r>
      <w:r w:rsidRPr="009070BD">
        <w:rPr>
          <w:bCs/>
          <w:iCs/>
        </w:rPr>
        <w:t>Տարածքային</w:t>
      </w:r>
      <w:r w:rsidRPr="009070BD">
        <w:rPr>
          <w:bCs/>
          <w:iCs/>
          <w:lang w:val="fr-FR"/>
        </w:rPr>
        <w:t xml:space="preserve"> </w:t>
      </w:r>
      <w:r w:rsidRPr="009070BD">
        <w:rPr>
          <w:bCs/>
          <w:iCs/>
        </w:rPr>
        <w:t>կառավարման</w:t>
      </w:r>
      <w:r w:rsidRPr="009070BD">
        <w:rPr>
          <w:bCs/>
          <w:iCs/>
          <w:lang w:val="fr-FR"/>
        </w:rPr>
        <w:t xml:space="preserve"> </w:t>
      </w:r>
      <w:r w:rsidRPr="009070BD">
        <w:rPr>
          <w:bCs/>
          <w:iCs/>
        </w:rPr>
        <w:t>և</w:t>
      </w:r>
      <w:r w:rsidRPr="009070BD">
        <w:rPr>
          <w:bCs/>
          <w:iCs/>
          <w:lang w:val="fr-FR"/>
        </w:rPr>
        <w:t xml:space="preserve"> </w:t>
      </w:r>
      <w:r w:rsidRPr="009070BD">
        <w:rPr>
          <w:bCs/>
          <w:iCs/>
        </w:rPr>
        <w:t>տեղական</w:t>
      </w:r>
      <w:r w:rsidRPr="009070BD">
        <w:rPr>
          <w:bCs/>
          <w:iCs/>
          <w:lang w:val="fr-FR"/>
        </w:rPr>
        <w:t xml:space="preserve"> </w:t>
      </w:r>
      <w:r w:rsidRPr="009070BD">
        <w:rPr>
          <w:bCs/>
          <w:iCs/>
        </w:rPr>
        <w:t>ինքնակառավարման</w:t>
      </w:r>
      <w:r w:rsidRPr="009070BD">
        <w:rPr>
          <w:bCs/>
          <w:iCs/>
          <w:lang w:val="fr-FR"/>
        </w:rPr>
        <w:t xml:space="preserve"> </w:t>
      </w:r>
      <w:r w:rsidRPr="009070BD">
        <w:rPr>
          <w:bCs/>
          <w:iCs/>
        </w:rPr>
        <w:t>մարմինների</w:t>
      </w:r>
      <w:r w:rsidRPr="009070BD">
        <w:rPr>
          <w:bCs/>
          <w:iCs/>
          <w:lang w:val="fr-FR"/>
        </w:rPr>
        <w:t xml:space="preserve"> </w:t>
      </w:r>
      <w:r w:rsidRPr="009070BD">
        <w:rPr>
          <w:bCs/>
          <w:iCs/>
        </w:rPr>
        <w:t>ներկայացուցիչների</w:t>
      </w:r>
      <w:r w:rsidRPr="009070BD">
        <w:rPr>
          <w:bCs/>
          <w:iCs/>
          <w:lang w:val="fr-FR"/>
        </w:rPr>
        <w:t xml:space="preserve"> </w:t>
      </w:r>
      <w:r w:rsidRPr="009070BD">
        <w:rPr>
          <w:bCs/>
          <w:iCs/>
        </w:rPr>
        <w:t>մասնագիտական</w:t>
      </w:r>
      <w:r w:rsidRPr="009070BD">
        <w:rPr>
          <w:bCs/>
          <w:iCs/>
          <w:lang w:val="fr-FR"/>
        </w:rPr>
        <w:t xml:space="preserve"> </w:t>
      </w:r>
      <w:r w:rsidRPr="009070BD">
        <w:rPr>
          <w:bCs/>
          <w:iCs/>
        </w:rPr>
        <w:t>վերապատրաստում</w:t>
      </w:r>
      <w:r w:rsidRPr="009070BD">
        <w:rPr>
          <w:bCs/>
          <w:iCs/>
          <w:lang w:val="fr-FR"/>
        </w:rPr>
        <w:t xml:space="preserve"> </w:t>
      </w:r>
      <w:r w:rsidRPr="009070BD">
        <w:rPr>
          <w:bCs/>
          <w:iCs/>
        </w:rPr>
        <w:t>և</w:t>
      </w:r>
      <w:r w:rsidRPr="009070BD">
        <w:rPr>
          <w:bCs/>
          <w:iCs/>
          <w:lang w:val="fr-FR"/>
        </w:rPr>
        <w:t xml:space="preserve"> </w:t>
      </w:r>
      <w:r w:rsidRPr="009070BD">
        <w:rPr>
          <w:bCs/>
          <w:iCs/>
        </w:rPr>
        <w:t>հատուկ</w:t>
      </w:r>
      <w:r w:rsidRPr="009070BD">
        <w:rPr>
          <w:bCs/>
          <w:iCs/>
          <w:lang w:val="fr-FR"/>
        </w:rPr>
        <w:t xml:space="preserve"> </w:t>
      </w:r>
      <w:r w:rsidRPr="009070BD">
        <w:rPr>
          <w:bCs/>
          <w:iCs/>
        </w:rPr>
        <w:t>ուսուցում</w:t>
      </w:r>
      <w:r w:rsidRPr="009070BD">
        <w:rPr>
          <w:bCs/>
          <w:iCs/>
          <w:lang w:val="fr-FR"/>
        </w:rPr>
        <w:t xml:space="preserve">» </w:t>
      </w:r>
      <w:r w:rsidRPr="009070BD">
        <w:rPr>
          <w:bCs/>
          <w:iCs/>
        </w:rPr>
        <w:t>ծրագիր</w:t>
      </w:r>
      <w:r w:rsidRPr="009070BD">
        <w:rPr>
          <w:bCs/>
          <w:iCs/>
          <w:lang w:val="fr-FR"/>
        </w:rPr>
        <w:t>.</w:t>
      </w:r>
    </w:p>
    <w:p w:rsidR="001971B9" w:rsidRPr="009070BD" w:rsidRDefault="001971B9" w:rsidP="007730AA">
      <w:pPr>
        <w:spacing w:before="0" w:line="276" w:lineRule="auto"/>
        <w:rPr>
          <w:b w:val="0"/>
          <w:bCs/>
          <w:iCs/>
          <w:lang w:val="hy-AM"/>
        </w:rPr>
      </w:pPr>
      <w:r w:rsidRPr="009070BD">
        <w:rPr>
          <w:b w:val="0"/>
          <w:bCs/>
          <w:iCs/>
        </w:rPr>
        <w:t>Ծրագրի</w:t>
      </w:r>
      <w:r w:rsidRPr="009070BD">
        <w:rPr>
          <w:b w:val="0"/>
          <w:bCs/>
          <w:iCs/>
          <w:lang w:val="fr-FR"/>
        </w:rPr>
        <w:t xml:space="preserve"> </w:t>
      </w:r>
      <w:r w:rsidRPr="009070BD">
        <w:rPr>
          <w:b w:val="0"/>
          <w:bCs/>
          <w:iCs/>
        </w:rPr>
        <w:t>նպատակն</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տարածքային</w:t>
      </w:r>
      <w:r w:rsidRPr="009070BD">
        <w:rPr>
          <w:b w:val="0"/>
          <w:bCs/>
          <w:iCs/>
          <w:lang w:val="fr-FR"/>
        </w:rPr>
        <w:t xml:space="preserve"> </w:t>
      </w:r>
      <w:r w:rsidRPr="009070BD">
        <w:rPr>
          <w:b w:val="0"/>
          <w:bCs/>
          <w:iCs/>
        </w:rPr>
        <w:t>կառավարման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տեղական</w:t>
      </w:r>
      <w:r w:rsidRPr="009070BD">
        <w:rPr>
          <w:b w:val="0"/>
          <w:bCs/>
          <w:iCs/>
          <w:lang w:val="fr-FR"/>
        </w:rPr>
        <w:t xml:space="preserve"> </w:t>
      </w:r>
      <w:r w:rsidRPr="009070BD">
        <w:rPr>
          <w:b w:val="0"/>
          <w:bCs/>
          <w:iCs/>
        </w:rPr>
        <w:t>ինքնակառավարման</w:t>
      </w:r>
      <w:r w:rsidRPr="009070BD">
        <w:rPr>
          <w:b w:val="0"/>
          <w:bCs/>
          <w:iCs/>
          <w:lang w:val="fr-FR"/>
        </w:rPr>
        <w:t xml:space="preserve"> </w:t>
      </w:r>
      <w:r w:rsidRPr="009070BD">
        <w:rPr>
          <w:b w:val="0"/>
          <w:bCs/>
          <w:iCs/>
        </w:rPr>
        <w:t>մարմինների</w:t>
      </w:r>
      <w:r w:rsidRPr="009070BD">
        <w:rPr>
          <w:b w:val="0"/>
          <w:bCs/>
          <w:iCs/>
          <w:lang w:val="fr-FR"/>
        </w:rPr>
        <w:t xml:space="preserve"> </w:t>
      </w:r>
      <w:r w:rsidRPr="009070BD">
        <w:rPr>
          <w:b w:val="0"/>
          <w:bCs/>
          <w:iCs/>
        </w:rPr>
        <w:t>աշխատակիցների</w:t>
      </w:r>
      <w:r w:rsidRPr="009070BD">
        <w:rPr>
          <w:b w:val="0"/>
          <w:bCs/>
          <w:iCs/>
          <w:lang w:val="fr-FR"/>
        </w:rPr>
        <w:t xml:space="preserve"> </w:t>
      </w:r>
      <w:r w:rsidRPr="009070BD">
        <w:rPr>
          <w:b w:val="0"/>
          <w:bCs/>
          <w:iCs/>
        </w:rPr>
        <w:t>աշխատանքի</w:t>
      </w:r>
      <w:r w:rsidRPr="009070BD">
        <w:rPr>
          <w:b w:val="0"/>
          <w:bCs/>
          <w:iCs/>
          <w:lang w:val="fr-FR"/>
        </w:rPr>
        <w:t xml:space="preserve"> </w:t>
      </w:r>
      <w:r w:rsidRPr="009070BD">
        <w:rPr>
          <w:b w:val="0"/>
          <w:bCs/>
          <w:iCs/>
        </w:rPr>
        <w:t>արդյունավետության</w:t>
      </w:r>
      <w:r w:rsidRPr="009070BD">
        <w:rPr>
          <w:b w:val="0"/>
          <w:bCs/>
          <w:iCs/>
          <w:lang w:val="fr-FR"/>
        </w:rPr>
        <w:t xml:space="preserve"> </w:t>
      </w:r>
      <w:r w:rsidRPr="009070BD">
        <w:rPr>
          <w:b w:val="0"/>
          <w:bCs/>
          <w:iCs/>
        </w:rPr>
        <w:t>բարելավումը</w:t>
      </w:r>
      <w:r w:rsidRPr="009070BD">
        <w:rPr>
          <w:b w:val="0"/>
          <w:bCs/>
          <w:iCs/>
          <w:lang w:val="fr-FR"/>
        </w:rPr>
        <w:t xml:space="preserve">, </w:t>
      </w:r>
      <w:r w:rsidRPr="009070BD">
        <w:rPr>
          <w:b w:val="0"/>
          <w:bCs/>
          <w:iCs/>
        </w:rPr>
        <w:t>որի</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Cs/>
          <w:iCs/>
          <w:lang w:val="fr-FR"/>
        </w:rPr>
        <w:t>«</w:t>
      </w:r>
      <w:r w:rsidRPr="009070BD">
        <w:rPr>
          <w:b w:val="0"/>
          <w:bCs/>
          <w:iCs/>
          <w:lang w:val="en-US"/>
        </w:rPr>
        <w:t>Վերապատրաստման</w:t>
      </w:r>
      <w:r w:rsidRPr="009070BD">
        <w:rPr>
          <w:b w:val="0"/>
          <w:bCs/>
          <w:iCs/>
          <w:lang w:val="fr-FR"/>
        </w:rPr>
        <w:t xml:space="preserve"> </w:t>
      </w:r>
      <w:r w:rsidRPr="009070BD">
        <w:rPr>
          <w:b w:val="0"/>
          <w:bCs/>
          <w:iCs/>
          <w:lang w:val="en-US"/>
        </w:rPr>
        <w:t>ծառայություններ</w:t>
      </w:r>
      <w:r w:rsidRPr="009070BD">
        <w:rPr>
          <w:b w:val="0"/>
          <w:bCs/>
          <w:iCs/>
          <w:lang w:val="fr-FR"/>
        </w:rPr>
        <w:t xml:space="preserve"> միջոցառման գծով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հատկացնել</w:t>
      </w:r>
      <w:r w:rsidRPr="009070BD">
        <w:rPr>
          <w:b w:val="0"/>
          <w:bCs/>
          <w:iCs/>
          <w:lang w:val="fr-FR"/>
        </w:rPr>
        <w:t xml:space="preserve"> </w:t>
      </w:r>
      <w:r w:rsidRPr="009070BD">
        <w:rPr>
          <w:b w:val="0"/>
          <w:bCs/>
          <w:iCs/>
          <w:lang w:val="hy-AM"/>
        </w:rPr>
        <w:t>26.1 մլն դրամ՝ ՀՀ 2020 թվականի պետական բյուջեի մակարդակից 46.4% պակաս, որը պայմանավորված է գործող օրենսդրությամբ սահմանված կարգավորումներով:</w:t>
      </w:r>
    </w:p>
    <w:p w:rsidR="001971B9" w:rsidRPr="009070BD" w:rsidRDefault="001971B9" w:rsidP="007730AA">
      <w:pPr>
        <w:spacing w:before="0" w:line="276" w:lineRule="auto"/>
        <w:rPr>
          <w:b w:val="0"/>
          <w:bCs/>
          <w:iCs/>
          <w:lang w:val="fr-FR"/>
        </w:rPr>
      </w:pPr>
      <w:r w:rsidRPr="009070BD">
        <w:rPr>
          <w:b w:val="0"/>
          <w:bCs/>
          <w:iCs/>
          <w:lang w:val="hy-AM"/>
        </w:rPr>
        <w:t>Միջոցառմամբ նախատեսվում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իրականացնել</w:t>
      </w:r>
      <w:r w:rsidRPr="009070BD">
        <w:rPr>
          <w:b w:val="0"/>
          <w:bCs/>
          <w:iCs/>
          <w:lang w:val="fr-FR"/>
        </w:rPr>
        <w:t xml:space="preserve"> </w:t>
      </w:r>
      <w:r w:rsidRPr="009070BD">
        <w:rPr>
          <w:b w:val="0"/>
          <w:bCs/>
          <w:iCs/>
          <w:lang w:val="hy-AM"/>
        </w:rPr>
        <w:t>հ</w:t>
      </w:r>
      <w:r w:rsidRPr="009070BD">
        <w:rPr>
          <w:b w:val="0"/>
          <w:bCs/>
          <w:iCs/>
          <w:lang w:val="fr-FR"/>
        </w:rPr>
        <w:t>ամայնքային ծառայողների, տեղական ինքնակառավարման և տարածքային կառավարման մարմիններ աշխատակիցների վերապատրաստում:</w:t>
      </w:r>
    </w:p>
    <w:p w:rsidR="001971B9" w:rsidRPr="009070BD" w:rsidRDefault="001971B9" w:rsidP="007730AA">
      <w:pPr>
        <w:spacing w:before="0" w:line="276" w:lineRule="auto"/>
        <w:ind w:firstLine="720"/>
        <w:rPr>
          <w:bCs/>
          <w:iCs/>
          <w:lang w:val="hy-AM"/>
        </w:rPr>
      </w:pPr>
      <w:r w:rsidRPr="009070BD">
        <w:rPr>
          <w:bCs/>
          <w:iCs/>
          <w:lang w:val="fr-FR"/>
        </w:rPr>
        <w:t xml:space="preserve">5. </w:t>
      </w:r>
      <w:r w:rsidRPr="009070BD">
        <w:rPr>
          <w:bCs/>
          <w:iCs/>
          <w:lang w:val="hy-AM"/>
        </w:rPr>
        <w:t>«Ճանապարհային ցանցի բարելավում» ծրագիր.</w:t>
      </w:r>
    </w:p>
    <w:p w:rsidR="001971B9" w:rsidRPr="009070BD" w:rsidRDefault="001971B9" w:rsidP="007730AA">
      <w:pPr>
        <w:spacing w:before="0" w:line="276" w:lineRule="auto"/>
        <w:ind w:firstLine="720"/>
        <w:rPr>
          <w:b w:val="0"/>
          <w:bCs/>
          <w:iCs/>
          <w:lang w:val="fr-FR"/>
        </w:rPr>
      </w:pPr>
      <w:r w:rsidRPr="009070BD">
        <w:rPr>
          <w:b w:val="0"/>
          <w:bCs/>
          <w:iCs/>
          <w:lang w:val="hy-AM"/>
        </w:rPr>
        <w:t>Ծրագրի նպատակն է ճանապարհային ցանցի բարելավումն ու անվտանգ երթևեկության ապահովումը, որի</w:t>
      </w:r>
      <w:r w:rsidRPr="009070BD">
        <w:rPr>
          <w:b w:val="0"/>
          <w:bCs/>
          <w:iCs/>
          <w:lang w:val="fr-FR"/>
        </w:rPr>
        <w:t xml:space="preserve"> </w:t>
      </w:r>
      <w:r w:rsidRPr="009070BD">
        <w:rPr>
          <w:b w:val="0"/>
          <w:bCs/>
          <w:iCs/>
          <w:lang w:val="hy-AM"/>
        </w:rPr>
        <w:t>շրջանակներում</w:t>
      </w:r>
      <w:r w:rsidRPr="009070BD">
        <w:rPr>
          <w:b w:val="0"/>
          <w:bCs/>
          <w:iCs/>
          <w:lang w:val="fr-FR"/>
        </w:rPr>
        <w:t xml:space="preserve"> </w:t>
      </w:r>
      <w:r w:rsidRPr="009070BD">
        <w:rPr>
          <w:b w:val="0"/>
          <w:bCs/>
          <w:iCs/>
          <w:lang w:val="hy-AM"/>
        </w:rPr>
        <w:t>նախա</w:t>
      </w:r>
      <w:r w:rsidRPr="009070BD">
        <w:rPr>
          <w:b w:val="0"/>
          <w:bCs/>
          <w:iCs/>
          <w:lang w:val="fr-FR"/>
        </w:rPr>
        <w:softHyphen/>
      </w:r>
      <w:r w:rsidRPr="009070BD">
        <w:rPr>
          <w:b w:val="0"/>
          <w:bCs/>
          <w:iCs/>
          <w:lang w:val="hy-AM"/>
        </w:rPr>
        <w:t>տեսվում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իրականացնել</w:t>
      </w:r>
      <w:r w:rsidRPr="009070BD">
        <w:rPr>
          <w:b w:val="0"/>
          <w:bCs/>
          <w:iCs/>
          <w:lang w:val="fr-FR"/>
        </w:rPr>
        <w:t xml:space="preserve"> </w:t>
      </w:r>
      <w:r w:rsidRPr="009070BD">
        <w:rPr>
          <w:b w:val="0"/>
          <w:bCs/>
          <w:iCs/>
          <w:lang w:val="hy-AM"/>
        </w:rPr>
        <w:t>հետևյալ</w:t>
      </w:r>
      <w:r w:rsidRPr="009070BD">
        <w:rPr>
          <w:b w:val="0"/>
          <w:bCs/>
          <w:iCs/>
          <w:lang w:val="fr-FR"/>
        </w:rPr>
        <w:t xml:space="preserve"> </w:t>
      </w:r>
      <w:r w:rsidRPr="009070BD">
        <w:rPr>
          <w:b w:val="0"/>
          <w:bCs/>
          <w:iCs/>
          <w:lang w:val="hy-AM"/>
        </w:rPr>
        <w:t>միջոցառումները</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hy-AM"/>
        </w:rPr>
        <w:t>5</w:t>
      </w:r>
      <w:r w:rsidRPr="009070BD">
        <w:rPr>
          <w:b w:val="0"/>
          <w:bCs/>
          <w:iCs/>
          <w:lang w:val="fr-FR"/>
        </w:rPr>
        <w:t>.1 «</w:t>
      </w:r>
      <w:r w:rsidRPr="009070BD">
        <w:rPr>
          <w:b w:val="0"/>
          <w:bCs/>
          <w:iCs/>
        </w:rPr>
        <w:t>Միջպետական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հանրապետական</w:t>
      </w:r>
      <w:r w:rsidRPr="009070BD">
        <w:rPr>
          <w:b w:val="0"/>
          <w:bCs/>
          <w:iCs/>
          <w:lang w:val="fr-FR"/>
        </w:rPr>
        <w:t xml:space="preserve"> </w:t>
      </w:r>
      <w:r w:rsidRPr="009070BD">
        <w:rPr>
          <w:b w:val="0"/>
          <w:bCs/>
          <w:iCs/>
        </w:rPr>
        <w:t>նշանակության</w:t>
      </w:r>
      <w:r w:rsidRPr="009070BD">
        <w:rPr>
          <w:b w:val="0"/>
          <w:bCs/>
          <w:iCs/>
          <w:lang w:val="fr-FR"/>
        </w:rPr>
        <w:t xml:space="preserve"> </w:t>
      </w:r>
      <w:r w:rsidRPr="009070BD">
        <w:rPr>
          <w:b w:val="0"/>
          <w:bCs/>
          <w:iCs/>
        </w:rPr>
        <w:t>ավտոճանապարհների</w:t>
      </w:r>
      <w:r w:rsidRPr="009070BD">
        <w:rPr>
          <w:b w:val="0"/>
          <w:bCs/>
          <w:iCs/>
          <w:lang w:val="fr-FR"/>
        </w:rPr>
        <w:t xml:space="preserve"> </w:t>
      </w:r>
      <w:r w:rsidRPr="009070BD">
        <w:rPr>
          <w:b w:val="0"/>
          <w:bCs/>
          <w:iCs/>
        </w:rPr>
        <w:t>բարելավման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անվտանգ</w:t>
      </w:r>
      <w:r w:rsidRPr="009070BD">
        <w:rPr>
          <w:b w:val="0"/>
          <w:bCs/>
          <w:iCs/>
          <w:lang w:val="fr-FR"/>
        </w:rPr>
        <w:t xml:space="preserve"> </w:t>
      </w:r>
      <w:r w:rsidRPr="009070BD">
        <w:rPr>
          <w:b w:val="0"/>
          <w:bCs/>
          <w:iCs/>
        </w:rPr>
        <w:t>երթևեկության</w:t>
      </w:r>
      <w:r w:rsidRPr="009070BD">
        <w:rPr>
          <w:b w:val="0"/>
          <w:bCs/>
          <w:iCs/>
          <w:lang w:val="fr-FR"/>
        </w:rPr>
        <w:t xml:space="preserve"> </w:t>
      </w:r>
      <w:r w:rsidRPr="009070BD">
        <w:rPr>
          <w:b w:val="0"/>
          <w:bCs/>
          <w:iCs/>
        </w:rPr>
        <w:t>ծառայություններ</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rPr>
        <w:t>Միջոցառման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ՀՀ</w:t>
      </w:r>
      <w:r w:rsidRPr="009070BD">
        <w:rPr>
          <w:b w:val="0"/>
          <w:bCs/>
          <w:iCs/>
          <w:lang w:val="fr-FR"/>
        </w:rPr>
        <w:t xml:space="preserve"> 2021 </w:t>
      </w:r>
      <w:r w:rsidRPr="009070BD">
        <w:rPr>
          <w:b w:val="0"/>
          <w:bCs/>
          <w:iCs/>
        </w:rPr>
        <w:t>թվա</w:t>
      </w:r>
      <w:r w:rsidRPr="009070BD">
        <w:rPr>
          <w:b w:val="0"/>
          <w:bCs/>
          <w:iCs/>
          <w:lang w:val="fr-FR"/>
        </w:rPr>
        <w:softHyphen/>
      </w:r>
      <w:r w:rsidRPr="009070BD">
        <w:rPr>
          <w:b w:val="0"/>
          <w:bCs/>
          <w:iCs/>
        </w:rPr>
        <w:t>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նախագծով</w:t>
      </w:r>
      <w:r w:rsidRPr="009070BD">
        <w:rPr>
          <w:b w:val="0"/>
          <w:bCs/>
          <w:iCs/>
          <w:lang w:val="fr-FR"/>
        </w:rPr>
        <w:t xml:space="preserve"> </w:t>
      </w:r>
      <w:r w:rsidRPr="009070BD">
        <w:rPr>
          <w:b w:val="0"/>
          <w:bCs/>
          <w:iCs/>
        </w:rPr>
        <w:t>նախա</w:t>
      </w:r>
      <w:r w:rsidRPr="009070BD">
        <w:rPr>
          <w:b w:val="0"/>
          <w:bCs/>
          <w:iCs/>
          <w:lang w:val="fr-FR"/>
        </w:rPr>
        <w:softHyphen/>
      </w:r>
      <w:r w:rsidRPr="009070BD">
        <w:rPr>
          <w:b w:val="0"/>
          <w:bCs/>
          <w:iCs/>
        </w:rPr>
        <w:t>տեսվում</w:t>
      </w:r>
      <w:r w:rsidRPr="009070BD">
        <w:rPr>
          <w:b w:val="0"/>
          <w:bCs/>
          <w:iCs/>
          <w:lang w:val="fr-FR"/>
        </w:rPr>
        <w:t xml:space="preserve"> </w:t>
      </w:r>
      <w:r w:rsidRPr="009070BD">
        <w:rPr>
          <w:b w:val="0"/>
          <w:bCs/>
          <w:iCs/>
        </w:rPr>
        <w:t>է</w:t>
      </w:r>
      <w:r w:rsidRPr="009070BD">
        <w:rPr>
          <w:b w:val="0"/>
          <w:bCs/>
          <w:iCs/>
          <w:lang w:val="fr-FR"/>
        </w:rPr>
        <w:t xml:space="preserve"> 10,895.9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բյուջեով</w:t>
      </w:r>
      <w:r w:rsidRPr="009070BD">
        <w:rPr>
          <w:b w:val="0"/>
          <w:bCs/>
          <w:iCs/>
          <w:lang w:val="fr-FR"/>
        </w:rPr>
        <w:t xml:space="preserve"> </w:t>
      </w:r>
      <w:r w:rsidRPr="009070BD">
        <w:rPr>
          <w:b w:val="0"/>
          <w:bCs/>
          <w:iCs/>
        </w:rPr>
        <w:t>հաստատված</w:t>
      </w:r>
      <w:r w:rsidRPr="009070BD">
        <w:rPr>
          <w:b w:val="0"/>
          <w:bCs/>
          <w:iCs/>
          <w:lang w:val="fr-FR"/>
        </w:rPr>
        <w:t xml:space="preserve"> 10,377.0 </w:t>
      </w:r>
      <w:r w:rsidRPr="009070BD">
        <w:rPr>
          <w:b w:val="0"/>
          <w:bCs/>
          <w:iCs/>
        </w:rPr>
        <w:t>մլն</w:t>
      </w:r>
      <w:r w:rsidRPr="009070BD">
        <w:rPr>
          <w:b w:val="0"/>
          <w:bCs/>
          <w:iCs/>
          <w:lang w:val="fr-FR"/>
        </w:rPr>
        <w:t xml:space="preserve"> </w:t>
      </w:r>
      <w:r w:rsidRPr="009070BD">
        <w:rPr>
          <w:b w:val="0"/>
          <w:bCs/>
          <w:iCs/>
        </w:rPr>
        <w:t>դրամի</w:t>
      </w:r>
      <w:r w:rsidRPr="009070BD">
        <w:rPr>
          <w:b w:val="0"/>
          <w:bCs/>
          <w:iCs/>
          <w:lang w:val="fr-FR"/>
        </w:rPr>
        <w:t xml:space="preserve"> </w:t>
      </w:r>
      <w:r w:rsidRPr="009070BD">
        <w:rPr>
          <w:b w:val="0"/>
          <w:bCs/>
          <w:iCs/>
        </w:rPr>
        <w:t>դիմաց</w:t>
      </w:r>
      <w:r w:rsidRPr="009070BD">
        <w:rPr>
          <w:b w:val="0"/>
          <w:bCs/>
          <w:iCs/>
          <w:lang w:val="fr-FR"/>
        </w:rPr>
        <w:t xml:space="preserve">, </w:t>
      </w:r>
      <w:r w:rsidRPr="009070BD">
        <w:rPr>
          <w:b w:val="0"/>
          <w:bCs/>
          <w:iCs/>
        </w:rPr>
        <w:t>կամ</w:t>
      </w:r>
      <w:r w:rsidRPr="009070BD">
        <w:rPr>
          <w:b w:val="0"/>
          <w:bCs/>
          <w:iCs/>
          <w:lang w:val="fr-FR"/>
        </w:rPr>
        <w:t xml:space="preserve"> </w:t>
      </w:r>
      <w:r w:rsidRPr="009070BD">
        <w:rPr>
          <w:b w:val="0"/>
          <w:bCs/>
          <w:iCs/>
        </w:rPr>
        <w:t>ավել</w:t>
      </w:r>
      <w:r w:rsidRPr="009070BD">
        <w:rPr>
          <w:b w:val="0"/>
          <w:bCs/>
          <w:iCs/>
          <w:lang w:val="fr-FR"/>
        </w:rPr>
        <w:t xml:space="preserve"> 518.8 </w:t>
      </w:r>
      <w:r w:rsidRPr="009070BD">
        <w:rPr>
          <w:b w:val="0"/>
          <w:bCs/>
          <w:iCs/>
        </w:rPr>
        <w:t>մլն</w:t>
      </w:r>
      <w:r w:rsidRPr="009070BD">
        <w:rPr>
          <w:b w:val="0"/>
          <w:bCs/>
          <w:iCs/>
          <w:lang w:val="fr-FR"/>
        </w:rPr>
        <w:t xml:space="preserve"> </w:t>
      </w:r>
      <w:r w:rsidRPr="009070BD">
        <w:rPr>
          <w:b w:val="0"/>
          <w:bCs/>
          <w:iCs/>
        </w:rPr>
        <w:t>դրամով</w:t>
      </w:r>
      <w:r w:rsidRPr="009070BD">
        <w:rPr>
          <w:b w:val="0"/>
          <w:bCs/>
          <w:iCs/>
          <w:lang w:val="fr-FR"/>
        </w:rPr>
        <w:t xml:space="preserve">` </w:t>
      </w:r>
      <w:r w:rsidRPr="009070BD">
        <w:rPr>
          <w:b w:val="0"/>
          <w:bCs/>
          <w:iCs/>
        </w:rPr>
        <w:t>պայմանավորված</w:t>
      </w:r>
      <w:r w:rsidRPr="009070BD">
        <w:rPr>
          <w:b w:val="0"/>
          <w:bCs/>
          <w:iCs/>
          <w:lang w:val="fr-FR"/>
        </w:rPr>
        <w:t xml:space="preserve"> </w:t>
      </w:r>
      <w:r w:rsidRPr="009070BD">
        <w:rPr>
          <w:b w:val="0"/>
          <w:bCs/>
          <w:iCs/>
        </w:rPr>
        <w:t>Հյուսիս</w:t>
      </w:r>
      <w:r w:rsidRPr="009070BD">
        <w:rPr>
          <w:b w:val="0"/>
          <w:bCs/>
          <w:iCs/>
          <w:lang w:val="fr-FR"/>
        </w:rPr>
        <w:t>-</w:t>
      </w:r>
      <w:r w:rsidRPr="009070BD">
        <w:rPr>
          <w:b w:val="0"/>
          <w:bCs/>
          <w:iCs/>
        </w:rPr>
        <w:t>հարավ</w:t>
      </w:r>
      <w:r w:rsidRPr="009070BD">
        <w:rPr>
          <w:b w:val="0"/>
          <w:bCs/>
          <w:iCs/>
          <w:lang w:val="fr-FR"/>
        </w:rPr>
        <w:t xml:space="preserve"> </w:t>
      </w:r>
      <w:r w:rsidRPr="009070BD">
        <w:rPr>
          <w:b w:val="0"/>
          <w:bCs/>
          <w:iCs/>
        </w:rPr>
        <w:t>ճանապար</w:t>
      </w:r>
      <w:r w:rsidRPr="009070BD">
        <w:rPr>
          <w:b w:val="0"/>
          <w:bCs/>
          <w:iCs/>
          <w:lang w:val="fr-FR"/>
        </w:rPr>
        <w:softHyphen/>
      </w:r>
      <w:r w:rsidRPr="009070BD">
        <w:rPr>
          <w:b w:val="0"/>
          <w:bCs/>
          <w:iCs/>
        </w:rPr>
        <w:t>հային</w:t>
      </w:r>
      <w:r w:rsidRPr="009070BD">
        <w:rPr>
          <w:b w:val="0"/>
          <w:bCs/>
          <w:iCs/>
          <w:lang w:val="fr-FR"/>
        </w:rPr>
        <w:t xml:space="preserve"> </w:t>
      </w:r>
      <w:r w:rsidRPr="009070BD">
        <w:rPr>
          <w:b w:val="0"/>
          <w:bCs/>
          <w:iCs/>
        </w:rPr>
        <w:t>միջանցքի</w:t>
      </w:r>
      <w:r w:rsidRPr="009070BD">
        <w:rPr>
          <w:b w:val="0"/>
          <w:bCs/>
          <w:iCs/>
          <w:lang w:val="fr-FR"/>
        </w:rPr>
        <w:t xml:space="preserve"> </w:t>
      </w:r>
      <w:r w:rsidRPr="009070BD">
        <w:rPr>
          <w:b w:val="0"/>
          <w:bCs/>
          <w:iCs/>
        </w:rPr>
        <w:t>ներդրումային</w:t>
      </w:r>
      <w:r w:rsidRPr="009070BD">
        <w:rPr>
          <w:b w:val="0"/>
          <w:bCs/>
          <w:iCs/>
          <w:lang w:val="fr-FR"/>
        </w:rPr>
        <w:t xml:space="preserve"> </w:t>
      </w:r>
      <w:r w:rsidRPr="009070BD">
        <w:rPr>
          <w:b w:val="0"/>
          <w:bCs/>
          <w:iCs/>
        </w:rPr>
        <w:t>ծրագրի</w:t>
      </w:r>
      <w:r w:rsidRPr="009070BD">
        <w:rPr>
          <w:b w:val="0"/>
          <w:bCs/>
          <w:iCs/>
          <w:lang w:val="fr-FR"/>
        </w:rPr>
        <w:t xml:space="preserve"> </w:t>
      </w:r>
      <w:r w:rsidRPr="009070BD">
        <w:rPr>
          <w:b w:val="0"/>
          <w:bCs/>
          <w:iCs/>
        </w:rPr>
        <w:t>վարկա</w:t>
      </w:r>
      <w:r w:rsidRPr="009070BD">
        <w:rPr>
          <w:b w:val="0"/>
          <w:bCs/>
          <w:iCs/>
          <w:lang w:val="fr-FR"/>
        </w:rPr>
        <w:softHyphen/>
      </w:r>
      <w:r w:rsidRPr="009070BD">
        <w:rPr>
          <w:b w:val="0"/>
          <w:bCs/>
          <w:iCs/>
        </w:rPr>
        <w:t>յին</w:t>
      </w:r>
      <w:r w:rsidRPr="009070BD">
        <w:rPr>
          <w:b w:val="0"/>
          <w:bCs/>
          <w:iCs/>
          <w:lang w:val="fr-FR"/>
        </w:rPr>
        <w:t xml:space="preserve"> </w:t>
      </w:r>
      <w:r w:rsidRPr="009070BD">
        <w:rPr>
          <w:b w:val="0"/>
          <w:bCs/>
          <w:iCs/>
        </w:rPr>
        <w:t>համաձայնագրով</w:t>
      </w:r>
      <w:r w:rsidRPr="009070BD">
        <w:rPr>
          <w:b w:val="0"/>
          <w:bCs/>
          <w:iCs/>
          <w:lang w:val="fr-FR"/>
        </w:rPr>
        <w:t xml:space="preserve"> </w:t>
      </w:r>
      <w:r w:rsidRPr="009070BD">
        <w:rPr>
          <w:b w:val="0"/>
          <w:bCs/>
          <w:iCs/>
        </w:rPr>
        <w:t>ստանձնած</w:t>
      </w:r>
      <w:r w:rsidRPr="009070BD">
        <w:rPr>
          <w:b w:val="0"/>
          <w:bCs/>
          <w:iCs/>
          <w:lang w:val="fr-FR"/>
        </w:rPr>
        <w:t xml:space="preserve"> </w:t>
      </w:r>
      <w:r w:rsidRPr="009070BD">
        <w:rPr>
          <w:b w:val="0"/>
          <w:bCs/>
          <w:iCs/>
        </w:rPr>
        <w:t>պարտավո</w:t>
      </w:r>
      <w:r w:rsidRPr="009070BD">
        <w:rPr>
          <w:b w:val="0"/>
          <w:bCs/>
          <w:iCs/>
          <w:lang w:val="fr-FR"/>
        </w:rPr>
        <w:softHyphen/>
      </w:r>
      <w:r w:rsidRPr="009070BD">
        <w:rPr>
          <w:b w:val="0"/>
          <w:bCs/>
          <w:iCs/>
        </w:rPr>
        <w:t>րություն</w:t>
      </w:r>
      <w:r w:rsidRPr="009070BD">
        <w:rPr>
          <w:b w:val="0"/>
          <w:bCs/>
          <w:iCs/>
          <w:lang w:val="fr-FR"/>
        </w:rPr>
        <w:softHyphen/>
      </w:r>
      <w:r w:rsidRPr="009070BD">
        <w:rPr>
          <w:b w:val="0"/>
          <w:bCs/>
          <w:iCs/>
        </w:rPr>
        <w:t>ներով</w:t>
      </w:r>
      <w:r w:rsidRPr="009070BD">
        <w:rPr>
          <w:b w:val="0"/>
          <w:bCs/>
          <w:iCs/>
          <w:lang w:val="fr-FR"/>
        </w:rPr>
        <w:t xml:space="preserve"> (</w:t>
      </w:r>
      <w:r w:rsidRPr="009070BD">
        <w:rPr>
          <w:b w:val="0"/>
          <w:bCs/>
          <w:iCs/>
        </w:rPr>
        <w:t>սկսած</w:t>
      </w:r>
      <w:r w:rsidRPr="009070BD">
        <w:rPr>
          <w:b w:val="0"/>
          <w:bCs/>
          <w:iCs/>
          <w:lang w:val="fr-FR"/>
        </w:rPr>
        <w:t xml:space="preserve"> 2014</w:t>
      </w:r>
      <w:r w:rsidRPr="009070BD">
        <w:rPr>
          <w:b w:val="0"/>
          <w:bCs/>
          <w:iCs/>
        </w:rPr>
        <w:t>թ</w:t>
      </w:r>
      <w:r w:rsidRPr="009070BD">
        <w:rPr>
          <w:b w:val="0"/>
          <w:bCs/>
          <w:iCs/>
          <w:lang w:val="fr-FR"/>
        </w:rPr>
        <w:t>.-</w:t>
      </w:r>
      <w:r w:rsidRPr="009070BD">
        <w:rPr>
          <w:b w:val="0"/>
          <w:bCs/>
          <w:iCs/>
        </w:rPr>
        <w:t>ից</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յուրաքանչյուր</w:t>
      </w:r>
      <w:r w:rsidRPr="009070BD">
        <w:rPr>
          <w:b w:val="0"/>
          <w:bCs/>
          <w:iCs/>
          <w:lang w:val="fr-FR"/>
        </w:rPr>
        <w:t xml:space="preserve"> </w:t>
      </w:r>
      <w:r w:rsidRPr="009070BD">
        <w:rPr>
          <w:b w:val="0"/>
          <w:bCs/>
          <w:iCs/>
        </w:rPr>
        <w:t>ֆիս</w:t>
      </w:r>
      <w:r w:rsidRPr="009070BD">
        <w:rPr>
          <w:b w:val="0"/>
          <w:bCs/>
          <w:iCs/>
          <w:lang w:val="fr-FR"/>
        </w:rPr>
        <w:softHyphen/>
      </w:r>
      <w:r w:rsidRPr="009070BD">
        <w:rPr>
          <w:b w:val="0"/>
          <w:bCs/>
          <w:iCs/>
        </w:rPr>
        <w:t>կալ</w:t>
      </w:r>
      <w:r w:rsidRPr="009070BD">
        <w:rPr>
          <w:b w:val="0"/>
          <w:bCs/>
          <w:iCs/>
          <w:lang w:val="fr-FR"/>
        </w:rPr>
        <w:t xml:space="preserve"> </w:t>
      </w:r>
      <w:r w:rsidRPr="009070BD">
        <w:rPr>
          <w:b w:val="0"/>
          <w:bCs/>
          <w:iCs/>
        </w:rPr>
        <w:t>տարվա</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հանրապետական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միջպե</w:t>
      </w:r>
      <w:r w:rsidRPr="009070BD">
        <w:rPr>
          <w:b w:val="0"/>
          <w:bCs/>
          <w:iCs/>
          <w:lang w:val="fr-FR"/>
        </w:rPr>
        <w:softHyphen/>
      </w:r>
      <w:r w:rsidRPr="009070BD">
        <w:rPr>
          <w:b w:val="0"/>
          <w:bCs/>
          <w:iCs/>
        </w:rPr>
        <w:t>տական</w:t>
      </w:r>
      <w:r w:rsidRPr="009070BD">
        <w:rPr>
          <w:b w:val="0"/>
          <w:bCs/>
          <w:iCs/>
          <w:lang w:val="fr-FR"/>
        </w:rPr>
        <w:t xml:space="preserve"> </w:t>
      </w:r>
      <w:r w:rsidRPr="009070BD">
        <w:rPr>
          <w:b w:val="0"/>
          <w:bCs/>
          <w:iCs/>
        </w:rPr>
        <w:t>ճանապարհների</w:t>
      </w:r>
      <w:r w:rsidRPr="009070BD">
        <w:rPr>
          <w:b w:val="0"/>
          <w:bCs/>
          <w:iCs/>
          <w:lang w:val="fr-FR"/>
        </w:rPr>
        <w:t xml:space="preserve"> </w:t>
      </w:r>
      <w:r w:rsidRPr="009070BD">
        <w:rPr>
          <w:b w:val="0"/>
          <w:bCs/>
          <w:iCs/>
        </w:rPr>
        <w:t>շահագործման</w:t>
      </w:r>
      <w:r w:rsidRPr="009070BD">
        <w:rPr>
          <w:b w:val="0"/>
          <w:bCs/>
          <w:iCs/>
          <w:lang w:val="fr-FR"/>
        </w:rPr>
        <w:t>/</w:t>
      </w:r>
      <w:r w:rsidRPr="009070BD">
        <w:rPr>
          <w:b w:val="0"/>
          <w:bCs/>
          <w:iCs/>
        </w:rPr>
        <w:t>պահ</w:t>
      </w:r>
      <w:r w:rsidRPr="009070BD">
        <w:rPr>
          <w:b w:val="0"/>
          <w:bCs/>
          <w:iCs/>
          <w:lang w:val="fr-FR"/>
        </w:rPr>
        <w:softHyphen/>
      </w:r>
      <w:r w:rsidRPr="009070BD">
        <w:rPr>
          <w:b w:val="0"/>
          <w:bCs/>
          <w:iCs/>
        </w:rPr>
        <w:t>պանման</w:t>
      </w:r>
      <w:r w:rsidRPr="009070BD">
        <w:rPr>
          <w:b w:val="0"/>
          <w:bCs/>
          <w:iCs/>
          <w:lang w:val="fr-FR"/>
        </w:rPr>
        <w:t xml:space="preserve"> </w:t>
      </w:r>
      <w:r w:rsidRPr="009070BD">
        <w:rPr>
          <w:b w:val="0"/>
          <w:bCs/>
          <w:iCs/>
        </w:rPr>
        <w:t>տարեկան</w:t>
      </w:r>
      <w:r w:rsidRPr="009070BD">
        <w:rPr>
          <w:b w:val="0"/>
          <w:bCs/>
          <w:iCs/>
          <w:lang w:val="fr-FR"/>
        </w:rPr>
        <w:t xml:space="preserve"> </w:t>
      </w:r>
      <w:r w:rsidRPr="009070BD">
        <w:rPr>
          <w:b w:val="0"/>
          <w:bCs/>
          <w:iCs/>
        </w:rPr>
        <w:t>բյուջեն</w:t>
      </w:r>
      <w:r w:rsidRPr="009070BD">
        <w:rPr>
          <w:b w:val="0"/>
          <w:bCs/>
          <w:iCs/>
          <w:lang w:val="fr-FR"/>
        </w:rPr>
        <w:t xml:space="preserve"> </w:t>
      </w:r>
      <w:r w:rsidRPr="009070BD">
        <w:rPr>
          <w:b w:val="0"/>
          <w:bCs/>
          <w:iCs/>
        </w:rPr>
        <w:t>ավելացվում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առնվազն</w:t>
      </w:r>
      <w:r w:rsidRPr="009070BD">
        <w:rPr>
          <w:b w:val="0"/>
          <w:bCs/>
          <w:iCs/>
          <w:lang w:val="fr-FR"/>
        </w:rPr>
        <w:t xml:space="preserve"> 5%-</w:t>
      </w:r>
      <w:r w:rsidRPr="009070BD">
        <w:rPr>
          <w:b w:val="0"/>
          <w:bCs/>
          <w:iCs/>
        </w:rPr>
        <w:t>ով</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rPr>
        <w:t>Նշված</w:t>
      </w:r>
      <w:r w:rsidRPr="009070BD">
        <w:rPr>
          <w:b w:val="0"/>
          <w:bCs/>
          <w:iCs/>
          <w:lang w:val="fr-FR"/>
        </w:rPr>
        <w:t xml:space="preserve"> </w:t>
      </w:r>
      <w:r w:rsidRPr="009070BD">
        <w:rPr>
          <w:b w:val="0"/>
          <w:bCs/>
          <w:iCs/>
        </w:rPr>
        <w:t>միջոցառմամբ</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իրականացնել</w:t>
      </w:r>
      <w:r w:rsidRPr="009070BD">
        <w:rPr>
          <w:b w:val="0"/>
          <w:bCs/>
          <w:iCs/>
          <w:lang w:val="fr-FR"/>
        </w:rPr>
        <w:t xml:space="preserve"> 3055 </w:t>
      </w:r>
      <w:r w:rsidRPr="009070BD">
        <w:rPr>
          <w:b w:val="0"/>
          <w:bCs/>
          <w:iCs/>
        </w:rPr>
        <w:t>կմ</w:t>
      </w:r>
      <w:r w:rsidRPr="009070BD">
        <w:rPr>
          <w:b w:val="0"/>
          <w:bCs/>
          <w:iCs/>
          <w:lang w:val="fr-FR"/>
        </w:rPr>
        <w:t xml:space="preserve"> </w:t>
      </w:r>
      <w:r w:rsidRPr="009070BD">
        <w:rPr>
          <w:b w:val="0"/>
          <w:bCs/>
          <w:iCs/>
        </w:rPr>
        <w:t>միջպե</w:t>
      </w:r>
      <w:r w:rsidRPr="009070BD">
        <w:rPr>
          <w:b w:val="0"/>
          <w:bCs/>
          <w:iCs/>
          <w:lang w:val="fr-FR"/>
        </w:rPr>
        <w:softHyphen/>
      </w:r>
      <w:r w:rsidRPr="009070BD">
        <w:rPr>
          <w:b w:val="0"/>
          <w:bCs/>
          <w:iCs/>
        </w:rPr>
        <w:t>տական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հանրա</w:t>
      </w:r>
      <w:r w:rsidRPr="009070BD">
        <w:rPr>
          <w:b w:val="0"/>
          <w:bCs/>
          <w:iCs/>
          <w:lang w:val="fr-FR"/>
        </w:rPr>
        <w:softHyphen/>
      </w:r>
      <w:r w:rsidRPr="009070BD">
        <w:rPr>
          <w:b w:val="0"/>
          <w:bCs/>
          <w:iCs/>
        </w:rPr>
        <w:t>պետական</w:t>
      </w:r>
      <w:r w:rsidRPr="009070BD">
        <w:rPr>
          <w:b w:val="0"/>
          <w:bCs/>
          <w:iCs/>
          <w:lang w:val="fr-FR"/>
        </w:rPr>
        <w:t xml:space="preserve"> </w:t>
      </w:r>
      <w:r w:rsidRPr="009070BD">
        <w:rPr>
          <w:b w:val="0"/>
          <w:bCs/>
          <w:iCs/>
        </w:rPr>
        <w:t>նշանակության</w:t>
      </w:r>
      <w:r w:rsidRPr="009070BD">
        <w:rPr>
          <w:b w:val="0"/>
          <w:bCs/>
          <w:iCs/>
          <w:lang w:val="fr-FR"/>
        </w:rPr>
        <w:t xml:space="preserve"> </w:t>
      </w:r>
      <w:r w:rsidRPr="009070BD">
        <w:rPr>
          <w:b w:val="0"/>
          <w:bCs/>
          <w:iCs/>
        </w:rPr>
        <w:t>ավտոճանապարհների</w:t>
      </w:r>
      <w:r w:rsidRPr="009070BD">
        <w:rPr>
          <w:b w:val="0"/>
          <w:bCs/>
          <w:iCs/>
          <w:lang w:val="fr-FR"/>
        </w:rPr>
        <w:t xml:space="preserve"> </w:t>
      </w:r>
      <w:r w:rsidRPr="009070BD">
        <w:rPr>
          <w:b w:val="0"/>
          <w:bCs/>
          <w:iCs/>
        </w:rPr>
        <w:t>ամառային</w:t>
      </w:r>
      <w:r w:rsidRPr="009070BD">
        <w:rPr>
          <w:b w:val="0"/>
          <w:bCs/>
          <w:iCs/>
          <w:lang w:val="fr-FR"/>
        </w:rPr>
        <w:t xml:space="preserve"> </w:t>
      </w:r>
      <w:r w:rsidRPr="009070BD">
        <w:rPr>
          <w:b w:val="0"/>
          <w:bCs/>
          <w:iCs/>
        </w:rPr>
        <w:t>պահպանման</w:t>
      </w:r>
      <w:r w:rsidRPr="009070BD">
        <w:rPr>
          <w:b w:val="0"/>
          <w:bCs/>
          <w:iCs/>
          <w:lang w:val="fr-FR"/>
        </w:rPr>
        <w:t xml:space="preserve"> </w:t>
      </w:r>
      <w:r w:rsidRPr="009070BD">
        <w:rPr>
          <w:b w:val="0"/>
          <w:bCs/>
          <w:iCs/>
        </w:rPr>
        <w:t>և</w:t>
      </w:r>
      <w:r w:rsidRPr="009070BD">
        <w:rPr>
          <w:b w:val="0"/>
          <w:bCs/>
          <w:iCs/>
          <w:lang w:val="fr-FR"/>
        </w:rPr>
        <w:t xml:space="preserve"> 3477.6 </w:t>
      </w:r>
      <w:r w:rsidRPr="009070BD">
        <w:rPr>
          <w:b w:val="0"/>
          <w:bCs/>
          <w:iCs/>
        </w:rPr>
        <w:t>կմ</w:t>
      </w:r>
      <w:r w:rsidRPr="009070BD">
        <w:rPr>
          <w:b w:val="0"/>
          <w:bCs/>
          <w:iCs/>
          <w:lang w:val="fr-FR"/>
        </w:rPr>
        <w:t xml:space="preserve"> </w:t>
      </w:r>
      <w:r w:rsidRPr="009070BD">
        <w:rPr>
          <w:b w:val="0"/>
          <w:bCs/>
          <w:iCs/>
        </w:rPr>
        <w:t>ձմեռային</w:t>
      </w:r>
      <w:r w:rsidRPr="009070BD">
        <w:rPr>
          <w:b w:val="0"/>
          <w:bCs/>
          <w:iCs/>
          <w:lang w:val="fr-FR"/>
        </w:rPr>
        <w:t xml:space="preserve"> </w:t>
      </w:r>
      <w:r w:rsidRPr="009070BD">
        <w:rPr>
          <w:b w:val="0"/>
          <w:bCs/>
          <w:iCs/>
        </w:rPr>
        <w:t>պահպանման</w:t>
      </w:r>
      <w:r w:rsidRPr="009070BD">
        <w:rPr>
          <w:b w:val="0"/>
          <w:bCs/>
          <w:iCs/>
          <w:lang w:val="fr-FR"/>
        </w:rPr>
        <w:t>, 60 կմ պարբերական պահպանման (միջին նորոգման), 72</w:t>
      </w:r>
      <w:r w:rsidR="00D73EDF">
        <w:rPr>
          <w:b w:val="0"/>
          <w:bCs/>
          <w:iCs/>
          <w:lang w:val="fr-FR"/>
        </w:rPr>
        <w:t>0</w:t>
      </w:r>
      <w:r w:rsidRPr="009070BD">
        <w:rPr>
          <w:b w:val="0"/>
          <w:bCs/>
          <w:iCs/>
          <w:lang w:val="fr-FR"/>
        </w:rPr>
        <w:t xml:space="preserve">.6 կմ մետաղական արգելափակոցների պահպանման և վերականգնման, </w:t>
      </w:r>
      <w:r w:rsidRPr="009070BD">
        <w:rPr>
          <w:b w:val="0"/>
          <w:bCs/>
          <w:iCs/>
        </w:rPr>
        <w:t>ինչպես</w:t>
      </w:r>
      <w:r w:rsidRPr="009070BD">
        <w:rPr>
          <w:b w:val="0"/>
          <w:bCs/>
          <w:iCs/>
          <w:lang w:val="fr-FR"/>
        </w:rPr>
        <w:t xml:space="preserve"> </w:t>
      </w:r>
      <w:r w:rsidRPr="009070BD">
        <w:rPr>
          <w:b w:val="0"/>
          <w:bCs/>
          <w:iCs/>
        </w:rPr>
        <w:t>նաև</w:t>
      </w:r>
      <w:r w:rsidRPr="009070BD">
        <w:rPr>
          <w:b w:val="0"/>
          <w:bCs/>
          <w:iCs/>
          <w:lang w:val="fr-FR"/>
        </w:rPr>
        <w:t xml:space="preserve"> </w:t>
      </w:r>
      <w:r w:rsidRPr="009070BD">
        <w:rPr>
          <w:b w:val="0"/>
          <w:bCs/>
          <w:iCs/>
        </w:rPr>
        <w:t>երեք</w:t>
      </w:r>
      <w:r w:rsidRPr="009070BD">
        <w:rPr>
          <w:b w:val="0"/>
          <w:bCs/>
          <w:iCs/>
          <w:lang w:val="fr-FR"/>
        </w:rPr>
        <w:t xml:space="preserve"> </w:t>
      </w:r>
      <w:r w:rsidRPr="009070BD">
        <w:rPr>
          <w:b w:val="0"/>
          <w:bCs/>
          <w:iCs/>
        </w:rPr>
        <w:t>թունելների</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հինգ</w:t>
      </w:r>
      <w:r w:rsidRPr="009070BD">
        <w:rPr>
          <w:b w:val="0"/>
          <w:bCs/>
          <w:iCs/>
          <w:lang w:val="fr-FR"/>
        </w:rPr>
        <w:t xml:space="preserve"> </w:t>
      </w:r>
      <w:r w:rsidRPr="009070BD">
        <w:rPr>
          <w:b w:val="0"/>
          <w:bCs/>
          <w:iCs/>
        </w:rPr>
        <w:t>կամուրջների</w:t>
      </w:r>
      <w:r w:rsidRPr="009070BD">
        <w:rPr>
          <w:b w:val="0"/>
          <w:bCs/>
          <w:iCs/>
          <w:lang w:val="fr-FR"/>
        </w:rPr>
        <w:t xml:space="preserve"> </w:t>
      </w:r>
      <w:r w:rsidRPr="009070BD">
        <w:rPr>
          <w:b w:val="0"/>
          <w:bCs/>
          <w:iCs/>
        </w:rPr>
        <w:t>պահպանման</w:t>
      </w:r>
      <w:r w:rsidRPr="009070BD">
        <w:rPr>
          <w:b w:val="0"/>
          <w:bCs/>
          <w:iCs/>
          <w:lang w:val="fr-FR"/>
        </w:rPr>
        <w:t xml:space="preserve"> </w:t>
      </w:r>
      <w:r w:rsidRPr="009070BD">
        <w:rPr>
          <w:b w:val="0"/>
          <w:bCs/>
          <w:iCs/>
        </w:rPr>
        <w:t>ու</w:t>
      </w:r>
      <w:r w:rsidRPr="009070BD">
        <w:rPr>
          <w:b w:val="0"/>
          <w:bCs/>
          <w:iCs/>
          <w:lang w:val="fr-FR"/>
        </w:rPr>
        <w:t xml:space="preserve"> </w:t>
      </w:r>
      <w:r w:rsidRPr="009070BD">
        <w:rPr>
          <w:b w:val="0"/>
          <w:bCs/>
          <w:iCs/>
        </w:rPr>
        <w:t>շահագործման</w:t>
      </w:r>
      <w:r w:rsidRPr="009070BD">
        <w:rPr>
          <w:b w:val="0"/>
          <w:bCs/>
          <w:iCs/>
          <w:lang w:val="fr-FR"/>
        </w:rPr>
        <w:t xml:space="preserve"> </w:t>
      </w:r>
      <w:r w:rsidRPr="009070BD">
        <w:rPr>
          <w:b w:val="0"/>
          <w:bCs/>
          <w:iCs/>
        </w:rPr>
        <w:t>աշխատանքներ</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rPr>
        <w:t>Միջոցառման</w:t>
      </w:r>
      <w:r w:rsidRPr="009070BD">
        <w:rPr>
          <w:b w:val="0"/>
          <w:bCs/>
          <w:iCs/>
          <w:lang w:val="fr-FR"/>
        </w:rPr>
        <w:t xml:space="preserve"> </w:t>
      </w:r>
      <w:r w:rsidRPr="009070BD">
        <w:rPr>
          <w:b w:val="0"/>
          <w:bCs/>
          <w:iCs/>
        </w:rPr>
        <w:t>նպատակն</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ապահովել</w:t>
      </w:r>
      <w:r w:rsidRPr="009070BD">
        <w:rPr>
          <w:b w:val="0"/>
          <w:bCs/>
          <w:iCs/>
          <w:lang w:val="fr-FR"/>
        </w:rPr>
        <w:t xml:space="preserve"> </w:t>
      </w:r>
      <w:r w:rsidRPr="009070BD">
        <w:rPr>
          <w:b w:val="0"/>
          <w:bCs/>
          <w:iCs/>
        </w:rPr>
        <w:t>անվտանգ</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անխափան</w:t>
      </w:r>
      <w:r w:rsidRPr="009070BD">
        <w:rPr>
          <w:b w:val="0"/>
          <w:bCs/>
          <w:iCs/>
          <w:lang w:val="fr-FR"/>
        </w:rPr>
        <w:t xml:space="preserve"> </w:t>
      </w:r>
      <w:r w:rsidRPr="009070BD">
        <w:rPr>
          <w:b w:val="0"/>
          <w:bCs/>
          <w:iCs/>
        </w:rPr>
        <w:t>երթևեկության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ընդհանուր</w:t>
      </w:r>
      <w:r w:rsidRPr="009070BD">
        <w:rPr>
          <w:b w:val="0"/>
          <w:bCs/>
          <w:iCs/>
          <w:lang w:val="fr-FR"/>
        </w:rPr>
        <w:t xml:space="preserve"> </w:t>
      </w:r>
      <w:r w:rsidRPr="009070BD">
        <w:rPr>
          <w:b w:val="0"/>
          <w:bCs/>
          <w:iCs/>
        </w:rPr>
        <w:t>օգտագործման</w:t>
      </w:r>
      <w:r w:rsidRPr="009070BD">
        <w:rPr>
          <w:b w:val="0"/>
          <w:bCs/>
          <w:iCs/>
          <w:lang w:val="fr-FR"/>
        </w:rPr>
        <w:t xml:space="preserve"> </w:t>
      </w:r>
      <w:r w:rsidRPr="009070BD">
        <w:rPr>
          <w:b w:val="0"/>
          <w:bCs/>
          <w:iCs/>
        </w:rPr>
        <w:t>միջպետական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հանրապետական</w:t>
      </w:r>
      <w:r w:rsidRPr="009070BD">
        <w:rPr>
          <w:b w:val="0"/>
          <w:bCs/>
          <w:iCs/>
          <w:lang w:val="fr-FR"/>
        </w:rPr>
        <w:t xml:space="preserve"> </w:t>
      </w:r>
      <w:r w:rsidRPr="009070BD">
        <w:rPr>
          <w:b w:val="0"/>
          <w:bCs/>
          <w:iCs/>
        </w:rPr>
        <w:t>նշանակության</w:t>
      </w:r>
      <w:r w:rsidRPr="009070BD">
        <w:rPr>
          <w:b w:val="0"/>
          <w:bCs/>
          <w:iCs/>
          <w:lang w:val="fr-FR"/>
        </w:rPr>
        <w:t xml:space="preserve"> </w:t>
      </w:r>
      <w:r w:rsidRPr="009070BD">
        <w:rPr>
          <w:b w:val="0"/>
          <w:bCs/>
          <w:iCs/>
        </w:rPr>
        <w:t>ավտոմոբիլային</w:t>
      </w:r>
      <w:r w:rsidRPr="009070BD">
        <w:rPr>
          <w:b w:val="0"/>
          <w:bCs/>
          <w:iCs/>
          <w:lang w:val="fr-FR"/>
        </w:rPr>
        <w:t xml:space="preserve"> </w:t>
      </w:r>
      <w:r w:rsidRPr="009070BD">
        <w:rPr>
          <w:b w:val="0"/>
          <w:bCs/>
          <w:iCs/>
        </w:rPr>
        <w:t>ճանապարհների</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դրանց</w:t>
      </w:r>
      <w:r w:rsidRPr="009070BD">
        <w:rPr>
          <w:b w:val="0"/>
          <w:bCs/>
          <w:iCs/>
          <w:lang w:val="fr-FR"/>
        </w:rPr>
        <w:t xml:space="preserve"> </w:t>
      </w:r>
      <w:r w:rsidRPr="009070BD">
        <w:rPr>
          <w:b w:val="0"/>
          <w:bCs/>
          <w:iCs/>
        </w:rPr>
        <w:t>վրա</w:t>
      </w:r>
      <w:r w:rsidRPr="009070BD">
        <w:rPr>
          <w:b w:val="0"/>
          <w:bCs/>
          <w:iCs/>
          <w:lang w:val="fr-FR"/>
        </w:rPr>
        <w:t xml:space="preserve"> </w:t>
      </w:r>
      <w:r w:rsidRPr="009070BD">
        <w:rPr>
          <w:b w:val="0"/>
          <w:bCs/>
          <w:iCs/>
        </w:rPr>
        <w:t>գտնվող</w:t>
      </w:r>
      <w:r w:rsidRPr="009070BD">
        <w:rPr>
          <w:b w:val="0"/>
          <w:bCs/>
          <w:iCs/>
          <w:lang w:val="fr-FR"/>
        </w:rPr>
        <w:t xml:space="preserve"> </w:t>
      </w:r>
      <w:r w:rsidRPr="009070BD">
        <w:rPr>
          <w:b w:val="0"/>
          <w:bCs/>
          <w:iCs/>
        </w:rPr>
        <w:t>արհեստական</w:t>
      </w:r>
      <w:r w:rsidRPr="009070BD">
        <w:rPr>
          <w:b w:val="0"/>
          <w:bCs/>
          <w:iCs/>
          <w:lang w:val="fr-FR"/>
        </w:rPr>
        <w:t xml:space="preserve"> </w:t>
      </w:r>
      <w:r w:rsidRPr="009070BD">
        <w:rPr>
          <w:b w:val="0"/>
          <w:bCs/>
          <w:iCs/>
        </w:rPr>
        <w:t>կառույցների</w:t>
      </w:r>
      <w:r w:rsidRPr="009070BD">
        <w:rPr>
          <w:b w:val="0"/>
          <w:bCs/>
          <w:iCs/>
          <w:lang w:val="fr-FR"/>
        </w:rPr>
        <w:t xml:space="preserve"> </w:t>
      </w:r>
      <w:r w:rsidRPr="009070BD">
        <w:rPr>
          <w:b w:val="0"/>
          <w:bCs/>
          <w:iCs/>
        </w:rPr>
        <w:t>պահպանվածությունը</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hy-AM"/>
        </w:rPr>
        <w:t>5</w:t>
      </w:r>
      <w:r w:rsidRPr="009070BD">
        <w:rPr>
          <w:b w:val="0"/>
          <w:bCs/>
          <w:iCs/>
          <w:lang w:val="fr-FR"/>
        </w:rPr>
        <w:t>.2 «</w:t>
      </w:r>
      <w:r w:rsidRPr="009070BD">
        <w:rPr>
          <w:b w:val="0"/>
          <w:bCs/>
          <w:iCs/>
        </w:rPr>
        <w:t>Մարզային</w:t>
      </w:r>
      <w:r w:rsidRPr="009070BD">
        <w:rPr>
          <w:b w:val="0"/>
          <w:bCs/>
          <w:iCs/>
          <w:lang w:val="fr-FR"/>
        </w:rPr>
        <w:t xml:space="preserve"> </w:t>
      </w:r>
      <w:r w:rsidRPr="009070BD">
        <w:rPr>
          <w:b w:val="0"/>
          <w:bCs/>
          <w:iCs/>
        </w:rPr>
        <w:t>նշանակության</w:t>
      </w:r>
      <w:r w:rsidRPr="009070BD">
        <w:rPr>
          <w:b w:val="0"/>
          <w:bCs/>
          <w:iCs/>
          <w:lang w:val="fr-FR"/>
        </w:rPr>
        <w:t xml:space="preserve"> </w:t>
      </w:r>
      <w:r w:rsidRPr="009070BD">
        <w:rPr>
          <w:b w:val="0"/>
          <w:bCs/>
          <w:iCs/>
        </w:rPr>
        <w:t>ավտոճանապարհների</w:t>
      </w:r>
      <w:r w:rsidRPr="009070BD">
        <w:rPr>
          <w:b w:val="0"/>
          <w:bCs/>
          <w:iCs/>
          <w:lang w:val="fr-FR"/>
        </w:rPr>
        <w:t xml:space="preserve"> </w:t>
      </w:r>
      <w:r w:rsidRPr="009070BD">
        <w:rPr>
          <w:b w:val="0"/>
          <w:bCs/>
          <w:iCs/>
        </w:rPr>
        <w:t>բարելավման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անվտանգ</w:t>
      </w:r>
      <w:r w:rsidRPr="009070BD">
        <w:rPr>
          <w:b w:val="0"/>
          <w:bCs/>
          <w:iCs/>
          <w:lang w:val="fr-FR"/>
        </w:rPr>
        <w:t xml:space="preserve"> </w:t>
      </w:r>
      <w:r w:rsidRPr="009070BD">
        <w:rPr>
          <w:b w:val="0"/>
          <w:bCs/>
          <w:iCs/>
        </w:rPr>
        <w:t>երթևեկության</w:t>
      </w:r>
      <w:r w:rsidRPr="009070BD">
        <w:rPr>
          <w:b w:val="0"/>
          <w:bCs/>
          <w:iCs/>
          <w:lang w:val="fr-FR"/>
        </w:rPr>
        <w:t xml:space="preserve"> </w:t>
      </w:r>
      <w:r w:rsidRPr="009070BD">
        <w:rPr>
          <w:b w:val="0"/>
          <w:bCs/>
          <w:iCs/>
        </w:rPr>
        <w:t>ծառայություններ</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rPr>
        <w:t>Միջոցառման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ՀՀ</w:t>
      </w:r>
      <w:r w:rsidRPr="009070BD">
        <w:rPr>
          <w:b w:val="0"/>
          <w:bCs/>
          <w:iCs/>
          <w:lang w:val="fr-FR"/>
        </w:rPr>
        <w:t xml:space="preserve"> 2021 </w:t>
      </w:r>
      <w:r w:rsidRPr="009070BD">
        <w:rPr>
          <w:b w:val="0"/>
          <w:bCs/>
          <w:iCs/>
        </w:rPr>
        <w:t>թվա</w:t>
      </w:r>
      <w:r w:rsidRPr="009070BD">
        <w:rPr>
          <w:b w:val="0"/>
          <w:bCs/>
          <w:iCs/>
          <w:lang w:val="fr-FR"/>
        </w:rPr>
        <w:softHyphen/>
      </w:r>
      <w:r w:rsidRPr="009070BD">
        <w:rPr>
          <w:b w:val="0"/>
          <w:bCs/>
          <w:iCs/>
        </w:rPr>
        <w:t>կանի</w:t>
      </w:r>
      <w:r w:rsidRPr="009070BD">
        <w:rPr>
          <w:b w:val="0"/>
          <w:bCs/>
          <w:iCs/>
          <w:lang w:val="en-US"/>
        </w:rPr>
        <w:t>ն</w:t>
      </w:r>
      <w:r w:rsidRPr="009070BD">
        <w:rPr>
          <w:b w:val="0"/>
          <w:bCs/>
          <w:iCs/>
          <w:lang w:val="fr-FR"/>
        </w:rPr>
        <w:t xml:space="preserve"> </w:t>
      </w:r>
      <w:r w:rsidRPr="009070BD">
        <w:rPr>
          <w:b w:val="0"/>
          <w:bCs/>
          <w:iCs/>
        </w:rPr>
        <w:t>նախա</w:t>
      </w:r>
      <w:r w:rsidRPr="009070BD">
        <w:rPr>
          <w:b w:val="0"/>
          <w:bCs/>
          <w:iCs/>
          <w:lang w:val="fr-FR"/>
        </w:rPr>
        <w:softHyphen/>
      </w:r>
      <w:r w:rsidRPr="009070BD">
        <w:rPr>
          <w:b w:val="0"/>
          <w:bCs/>
          <w:iCs/>
        </w:rPr>
        <w:t>տեսվում</w:t>
      </w:r>
      <w:r w:rsidRPr="009070BD">
        <w:rPr>
          <w:b w:val="0"/>
          <w:bCs/>
          <w:iCs/>
          <w:lang w:val="fr-FR"/>
        </w:rPr>
        <w:t xml:space="preserve"> </w:t>
      </w:r>
      <w:r w:rsidRPr="009070BD">
        <w:rPr>
          <w:b w:val="0"/>
          <w:bCs/>
          <w:iCs/>
        </w:rPr>
        <w:t>է</w:t>
      </w:r>
      <w:r w:rsidRPr="009070BD">
        <w:rPr>
          <w:b w:val="0"/>
          <w:bCs/>
          <w:iCs/>
          <w:lang w:val="fr-FR"/>
        </w:rPr>
        <w:t xml:space="preserve"> 1,466.3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բյուջեով</w:t>
      </w:r>
      <w:r w:rsidRPr="009070BD">
        <w:rPr>
          <w:b w:val="0"/>
          <w:bCs/>
          <w:iCs/>
          <w:lang w:val="fr-FR"/>
        </w:rPr>
        <w:t xml:space="preserve"> </w:t>
      </w:r>
      <w:r w:rsidRPr="009070BD">
        <w:rPr>
          <w:b w:val="0"/>
          <w:bCs/>
          <w:iCs/>
        </w:rPr>
        <w:t>հաստատված</w:t>
      </w:r>
      <w:r w:rsidRPr="009070BD">
        <w:rPr>
          <w:b w:val="0"/>
          <w:bCs/>
          <w:iCs/>
          <w:lang w:val="fr-FR"/>
        </w:rPr>
        <w:t xml:space="preserve"> 1,396.5 </w:t>
      </w:r>
      <w:r w:rsidRPr="009070BD">
        <w:rPr>
          <w:b w:val="0"/>
          <w:bCs/>
          <w:iCs/>
        </w:rPr>
        <w:t>մլն</w:t>
      </w:r>
      <w:r w:rsidRPr="009070BD">
        <w:rPr>
          <w:b w:val="0"/>
          <w:bCs/>
          <w:iCs/>
          <w:lang w:val="fr-FR"/>
        </w:rPr>
        <w:t xml:space="preserve"> </w:t>
      </w:r>
      <w:r w:rsidRPr="009070BD">
        <w:rPr>
          <w:b w:val="0"/>
          <w:bCs/>
          <w:iCs/>
        </w:rPr>
        <w:t>դրամի</w:t>
      </w:r>
      <w:r w:rsidRPr="009070BD">
        <w:rPr>
          <w:b w:val="0"/>
          <w:bCs/>
          <w:iCs/>
          <w:lang w:val="fr-FR"/>
        </w:rPr>
        <w:t xml:space="preserve"> </w:t>
      </w:r>
      <w:r w:rsidRPr="009070BD">
        <w:rPr>
          <w:b w:val="0"/>
          <w:bCs/>
          <w:iCs/>
        </w:rPr>
        <w:t>դիմաց</w:t>
      </w:r>
      <w:r w:rsidRPr="009070BD">
        <w:rPr>
          <w:b w:val="0"/>
          <w:bCs/>
          <w:iCs/>
          <w:lang w:val="fr-FR"/>
        </w:rPr>
        <w:t xml:space="preserve">, </w:t>
      </w:r>
      <w:r w:rsidRPr="009070BD">
        <w:rPr>
          <w:b w:val="0"/>
          <w:bCs/>
          <w:iCs/>
        </w:rPr>
        <w:t>կամ</w:t>
      </w:r>
      <w:r w:rsidRPr="009070BD">
        <w:rPr>
          <w:b w:val="0"/>
          <w:bCs/>
          <w:iCs/>
          <w:lang w:val="fr-FR"/>
        </w:rPr>
        <w:t xml:space="preserve"> </w:t>
      </w:r>
      <w:r w:rsidRPr="009070BD">
        <w:rPr>
          <w:b w:val="0"/>
          <w:bCs/>
          <w:iCs/>
        </w:rPr>
        <w:t>ավել</w:t>
      </w:r>
      <w:r w:rsidRPr="009070BD">
        <w:rPr>
          <w:b w:val="0"/>
          <w:bCs/>
          <w:iCs/>
          <w:lang w:val="fr-FR"/>
        </w:rPr>
        <w:t xml:space="preserve"> 69.8 </w:t>
      </w:r>
      <w:r w:rsidRPr="009070BD">
        <w:rPr>
          <w:b w:val="0"/>
          <w:bCs/>
          <w:iCs/>
        </w:rPr>
        <w:t>մլն</w:t>
      </w:r>
      <w:r w:rsidRPr="009070BD">
        <w:rPr>
          <w:b w:val="0"/>
          <w:bCs/>
          <w:iCs/>
          <w:lang w:val="fr-FR"/>
        </w:rPr>
        <w:t xml:space="preserve"> </w:t>
      </w:r>
      <w:r w:rsidRPr="009070BD">
        <w:rPr>
          <w:b w:val="0"/>
          <w:bCs/>
          <w:iCs/>
        </w:rPr>
        <w:t>դրամով</w:t>
      </w:r>
      <w:r w:rsidRPr="009070BD">
        <w:rPr>
          <w:b w:val="0"/>
          <w:bCs/>
          <w:iCs/>
          <w:lang w:val="fr-FR"/>
        </w:rPr>
        <w:t xml:space="preserve">` </w:t>
      </w:r>
      <w:r w:rsidRPr="009070BD">
        <w:rPr>
          <w:b w:val="0"/>
          <w:bCs/>
          <w:iCs/>
        </w:rPr>
        <w:t>պայմանավորված</w:t>
      </w:r>
      <w:r w:rsidRPr="009070BD">
        <w:rPr>
          <w:b w:val="0"/>
          <w:bCs/>
          <w:iCs/>
          <w:lang w:val="fr-FR"/>
        </w:rPr>
        <w:t xml:space="preserve"> </w:t>
      </w:r>
      <w:r w:rsidRPr="009070BD">
        <w:rPr>
          <w:b w:val="0"/>
          <w:bCs/>
          <w:iCs/>
        </w:rPr>
        <w:t>Համաշխարհային</w:t>
      </w:r>
      <w:r w:rsidRPr="009070BD">
        <w:rPr>
          <w:b w:val="0"/>
          <w:bCs/>
          <w:iCs/>
          <w:lang w:val="fr-FR"/>
        </w:rPr>
        <w:t xml:space="preserve"> </w:t>
      </w:r>
      <w:r w:rsidRPr="009070BD">
        <w:rPr>
          <w:b w:val="0"/>
          <w:bCs/>
          <w:iCs/>
        </w:rPr>
        <w:t>բանկի</w:t>
      </w:r>
      <w:r w:rsidRPr="009070BD">
        <w:rPr>
          <w:b w:val="0"/>
          <w:bCs/>
          <w:iCs/>
          <w:lang w:val="fr-FR"/>
        </w:rPr>
        <w:t xml:space="preserve"> </w:t>
      </w:r>
      <w:r w:rsidRPr="009070BD">
        <w:rPr>
          <w:b w:val="0"/>
          <w:bCs/>
          <w:iCs/>
        </w:rPr>
        <w:t>կողմից</w:t>
      </w:r>
      <w:r w:rsidRPr="009070BD">
        <w:rPr>
          <w:b w:val="0"/>
          <w:bCs/>
          <w:iCs/>
          <w:lang w:val="fr-FR"/>
        </w:rPr>
        <w:t xml:space="preserve"> </w:t>
      </w:r>
      <w:r w:rsidRPr="009070BD">
        <w:rPr>
          <w:b w:val="0"/>
          <w:bCs/>
          <w:iCs/>
        </w:rPr>
        <w:t>իրականացվող</w:t>
      </w:r>
      <w:r w:rsidRPr="009070BD">
        <w:rPr>
          <w:b w:val="0"/>
          <w:bCs/>
          <w:iCs/>
          <w:lang w:val="fr-FR"/>
        </w:rPr>
        <w:t xml:space="preserve"> </w:t>
      </w:r>
      <w:r w:rsidRPr="009070BD">
        <w:rPr>
          <w:b w:val="0"/>
          <w:bCs/>
          <w:iCs/>
        </w:rPr>
        <w:t>Կենսական</w:t>
      </w:r>
      <w:r w:rsidRPr="009070BD">
        <w:rPr>
          <w:b w:val="0"/>
          <w:bCs/>
          <w:iCs/>
          <w:lang w:val="fr-FR"/>
        </w:rPr>
        <w:t xml:space="preserve"> </w:t>
      </w:r>
      <w:r w:rsidRPr="009070BD">
        <w:rPr>
          <w:b w:val="0"/>
          <w:bCs/>
          <w:iCs/>
        </w:rPr>
        <w:t>նշանակության</w:t>
      </w:r>
      <w:r w:rsidRPr="009070BD">
        <w:rPr>
          <w:b w:val="0"/>
          <w:bCs/>
          <w:iCs/>
          <w:lang w:val="fr-FR"/>
        </w:rPr>
        <w:t xml:space="preserve"> </w:t>
      </w:r>
      <w:r w:rsidRPr="009070BD">
        <w:rPr>
          <w:b w:val="0"/>
          <w:bCs/>
          <w:iCs/>
        </w:rPr>
        <w:t>ճանապարհային</w:t>
      </w:r>
      <w:r w:rsidRPr="009070BD">
        <w:rPr>
          <w:b w:val="0"/>
          <w:bCs/>
          <w:iCs/>
          <w:lang w:val="fr-FR"/>
        </w:rPr>
        <w:t xml:space="preserve"> </w:t>
      </w:r>
      <w:r w:rsidRPr="009070BD">
        <w:rPr>
          <w:b w:val="0"/>
          <w:bCs/>
          <w:iCs/>
        </w:rPr>
        <w:t>ցանցի</w:t>
      </w:r>
      <w:r w:rsidRPr="009070BD">
        <w:rPr>
          <w:b w:val="0"/>
          <w:bCs/>
          <w:iCs/>
          <w:lang w:val="fr-FR"/>
        </w:rPr>
        <w:t xml:space="preserve"> </w:t>
      </w:r>
      <w:r w:rsidRPr="009070BD">
        <w:rPr>
          <w:b w:val="0"/>
          <w:bCs/>
          <w:iCs/>
        </w:rPr>
        <w:t>բարելավման</w:t>
      </w:r>
      <w:r w:rsidRPr="009070BD">
        <w:rPr>
          <w:b w:val="0"/>
          <w:bCs/>
          <w:iCs/>
          <w:lang w:val="fr-FR"/>
        </w:rPr>
        <w:t xml:space="preserve"> </w:t>
      </w:r>
      <w:r w:rsidRPr="009070BD">
        <w:rPr>
          <w:b w:val="0"/>
          <w:bCs/>
          <w:iCs/>
        </w:rPr>
        <w:t>վարկային</w:t>
      </w:r>
      <w:r w:rsidRPr="009070BD">
        <w:rPr>
          <w:b w:val="0"/>
          <w:bCs/>
          <w:iCs/>
          <w:lang w:val="fr-FR"/>
        </w:rPr>
        <w:t xml:space="preserve"> </w:t>
      </w:r>
      <w:r w:rsidRPr="009070BD">
        <w:rPr>
          <w:b w:val="0"/>
          <w:bCs/>
          <w:iCs/>
        </w:rPr>
        <w:t>ծրագրով</w:t>
      </w:r>
      <w:r w:rsidRPr="009070BD">
        <w:rPr>
          <w:b w:val="0"/>
          <w:bCs/>
          <w:iCs/>
          <w:lang w:val="fr-FR"/>
        </w:rPr>
        <w:t xml:space="preserve"> </w:t>
      </w:r>
      <w:r w:rsidRPr="009070BD">
        <w:rPr>
          <w:b w:val="0"/>
          <w:bCs/>
          <w:iCs/>
        </w:rPr>
        <w:t>ստանձնած</w:t>
      </w:r>
      <w:r w:rsidRPr="009070BD">
        <w:rPr>
          <w:b w:val="0"/>
          <w:bCs/>
          <w:iCs/>
          <w:lang w:val="fr-FR"/>
        </w:rPr>
        <w:t xml:space="preserve"> </w:t>
      </w:r>
      <w:r w:rsidRPr="009070BD">
        <w:rPr>
          <w:b w:val="0"/>
          <w:bCs/>
          <w:iCs/>
        </w:rPr>
        <w:t>պարտավորություններով</w:t>
      </w:r>
      <w:r w:rsidRPr="009070BD">
        <w:rPr>
          <w:b w:val="0"/>
          <w:bCs/>
          <w:iCs/>
          <w:lang w:val="fr-FR"/>
        </w:rPr>
        <w:t xml:space="preserve"> (</w:t>
      </w:r>
      <w:r w:rsidRPr="009070BD">
        <w:rPr>
          <w:b w:val="0"/>
          <w:bCs/>
          <w:iCs/>
        </w:rPr>
        <w:t>Փոխառուն</w:t>
      </w:r>
      <w:r w:rsidRPr="009070BD">
        <w:rPr>
          <w:b w:val="0"/>
          <w:bCs/>
          <w:iCs/>
          <w:lang w:val="fr-FR"/>
        </w:rPr>
        <w:t xml:space="preserve"> </w:t>
      </w:r>
      <w:r w:rsidRPr="009070BD">
        <w:rPr>
          <w:b w:val="0"/>
          <w:bCs/>
          <w:iCs/>
        </w:rPr>
        <w:t>պետք</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մինչև</w:t>
      </w:r>
      <w:r w:rsidRPr="009070BD">
        <w:rPr>
          <w:b w:val="0"/>
          <w:bCs/>
          <w:iCs/>
          <w:lang w:val="fr-FR"/>
        </w:rPr>
        <w:t xml:space="preserve"> </w:t>
      </w:r>
      <w:r w:rsidRPr="009070BD">
        <w:rPr>
          <w:b w:val="0"/>
          <w:bCs/>
          <w:iCs/>
        </w:rPr>
        <w:t>Ծրագրի</w:t>
      </w:r>
      <w:r w:rsidRPr="009070BD">
        <w:rPr>
          <w:b w:val="0"/>
          <w:bCs/>
          <w:iCs/>
          <w:lang w:val="fr-FR"/>
        </w:rPr>
        <w:t xml:space="preserve"> </w:t>
      </w:r>
      <w:r w:rsidRPr="009070BD">
        <w:rPr>
          <w:b w:val="0"/>
          <w:bCs/>
          <w:iCs/>
        </w:rPr>
        <w:t>ավարտն</w:t>
      </w:r>
      <w:r w:rsidRPr="009070BD">
        <w:rPr>
          <w:b w:val="0"/>
          <w:bCs/>
          <w:iCs/>
          <w:lang w:val="fr-FR"/>
        </w:rPr>
        <w:t xml:space="preserve"> </w:t>
      </w:r>
      <w:r w:rsidRPr="009070BD">
        <w:rPr>
          <w:b w:val="0"/>
          <w:bCs/>
          <w:iCs/>
        </w:rPr>
        <w:t>ապահովի</w:t>
      </w:r>
      <w:r w:rsidRPr="009070BD">
        <w:rPr>
          <w:b w:val="0"/>
          <w:bCs/>
          <w:iCs/>
          <w:lang w:val="fr-FR"/>
        </w:rPr>
        <w:t xml:space="preserve">, </w:t>
      </w:r>
      <w:r w:rsidRPr="009070BD">
        <w:rPr>
          <w:b w:val="0"/>
          <w:bCs/>
          <w:iCs/>
        </w:rPr>
        <w:t>որ</w:t>
      </w:r>
      <w:r w:rsidRPr="009070BD">
        <w:rPr>
          <w:b w:val="0"/>
          <w:bCs/>
          <w:iCs/>
          <w:lang w:val="fr-FR"/>
        </w:rPr>
        <w:t xml:space="preserve"> </w:t>
      </w:r>
      <w:r w:rsidRPr="009070BD">
        <w:rPr>
          <w:b w:val="0"/>
          <w:bCs/>
          <w:iCs/>
        </w:rPr>
        <w:t>Ծրագրի</w:t>
      </w:r>
      <w:r w:rsidRPr="009070BD">
        <w:rPr>
          <w:b w:val="0"/>
          <w:bCs/>
          <w:iCs/>
          <w:lang w:val="fr-FR"/>
        </w:rPr>
        <w:t xml:space="preserve"> </w:t>
      </w:r>
      <w:r w:rsidRPr="009070BD">
        <w:rPr>
          <w:b w:val="0"/>
          <w:bCs/>
          <w:iCs/>
        </w:rPr>
        <w:t>շրջանակում</w:t>
      </w:r>
      <w:r w:rsidRPr="009070BD">
        <w:rPr>
          <w:b w:val="0"/>
          <w:bCs/>
          <w:iCs/>
          <w:lang w:val="fr-FR"/>
        </w:rPr>
        <w:t xml:space="preserve"> </w:t>
      </w:r>
      <w:r w:rsidRPr="009070BD">
        <w:rPr>
          <w:b w:val="0"/>
          <w:bCs/>
          <w:iCs/>
        </w:rPr>
        <w:t>կենսական</w:t>
      </w:r>
      <w:r w:rsidRPr="009070BD">
        <w:rPr>
          <w:b w:val="0"/>
          <w:bCs/>
          <w:iCs/>
          <w:lang w:val="fr-FR"/>
        </w:rPr>
        <w:t xml:space="preserve"> </w:t>
      </w:r>
      <w:r w:rsidRPr="009070BD">
        <w:rPr>
          <w:b w:val="0"/>
          <w:bCs/>
          <w:iCs/>
        </w:rPr>
        <w:t>նշանակության</w:t>
      </w:r>
      <w:r w:rsidRPr="009070BD">
        <w:rPr>
          <w:b w:val="0"/>
          <w:bCs/>
          <w:iCs/>
          <w:lang w:val="fr-FR"/>
        </w:rPr>
        <w:t xml:space="preserve"> </w:t>
      </w:r>
      <w:r w:rsidRPr="009070BD">
        <w:rPr>
          <w:b w:val="0"/>
          <w:bCs/>
          <w:iCs/>
        </w:rPr>
        <w:t>ճանապարհային</w:t>
      </w:r>
      <w:r w:rsidRPr="009070BD">
        <w:rPr>
          <w:b w:val="0"/>
          <w:bCs/>
          <w:iCs/>
          <w:lang w:val="fr-FR"/>
        </w:rPr>
        <w:t xml:space="preserve"> </w:t>
      </w:r>
      <w:r w:rsidRPr="009070BD">
        <w:rPr>
          <w:b w:val="0"/>
          <w:bCs/>
          <w:iCs/>
        </w:rPr>
        <w:t>ցանցի</w:t>
      </w:r>
      <w:r w:rsidRPr="009070BD">
        <w:rPr>
          <w:b w:val="0"/>
          <w:bCs/>
          <w:iCs/>
          <w:lang w:val="fr-FR"/>
        </w:rPr>
        <w:t xml:space="preserve"> </w:t>
      </w:r>
      <w:r w:rsidRPr="009070BD">
        <w:rPr>
          <w:b w:val="0"/>
          <w:bCs/>
          <w:iCs/>
        </w:rPr>
        <w:t>հիմնանորոգված</w:t>
      </w:r>
      <w:r w:rsidRPr="009070BD">
        <w:rPr>
          <w:b w:val="0"/>
          <w:bCs/>
          <w:iCs/>
          <w:lang w:val="fr-FR"/>
        </w:rPr>
        <w:t xml:space="preserve"> </w:t>
      </w:r>
      <w:r w:rsidRPr="009070BD">
        <w:rPr>
          <w:b w:val="0"/>
          <w:bCs/>
          <w:iCs/>
        </w:rPr>
        <w:t>ճանապարհային</w:t>
      </w:r>
      <w:r w:rsidRPr="009070BD">
        <w:rPr>
          <w:b w:val="0"/>
          <w:bCs/>
          <w:iCs/>
          <w:lang w:val="fr-FR"/>
        </w:rPr>
        <w:t xml:space="preserve"> </w:t>
      </w:r>
      <w:r w:rsidRPr="009070BD">
        <w:rPr>
          <w:b w:val="0"/>
          <w:bCs/>
          <w:iCs/>
        </w:rPr>
        <w:t>հատվածների</w:t>
      </w:r>
      <w:r w:rsidRPr="009070BD">
        <w:rPr>
          <w:b w:val="0"/>
          <w:bCs/>
          <w:iCs/>
          <w:lang w:val="fr-FR"/>
        </w:rPr>
        <w:t xml:space="preserve"> </w:t>
      </w:r>
      <w:r w:rsidRPr="009070BD">
        <w:rPr>
          <w:b w:val="0"/>
          <w:bCs/>
          <w:iCs/>
        </w:rPr>
        <w:t>պահպանության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հատկացվեն</w:t>
      </w:r>
      <w:r w:rsidRPr="009070BD">
        <w:rPr>
          <w:b w:val="0"/>
          <w:bCs/>
          <w:iCs/>
          <w:lang w:val="fr-FR"/>
        </w:rPr>
        <w:t xml:space="preserve"> </w:t>
      </w:r>
      <w:r w:rsidRPr="009070BD">
        <w:rPr>
          <w:b w:val="0"/>
          <w:bCs/>
          <w:iCs/>
        </w:rPr>
        <w:t>բավարար</w:t>
      </w:r>
      <w:r w:rsidRPr="009070BD">
        <w:rPr>
          <w:b w:val="0"/>
          <w:bCs/>
          <w:iCs/>
          <w:lang w:val="fr-FR"/>
        </w:rPr>
        <w:t xml:space="preserve"> </w:t>
      </w:r>
      <w:r w:rsidRPr="009070BD">
        <w:rPr>
          <w:b w:val="0"/>
          <w:bCs/>
          <w:iCs/>
        </w:rPr>
        <w:t>բյուջետային</w:t>
      </w:r>
      <w:r w:rsidRPr="009070BD">
        <w:rPr>
          <w:b w:val="0"/>
          <w:bCs/>
          <w:iCs/>
          <w:lang w:val="fr-FR"/>
        </w:rPr>
        <w:t xml:space="preserve"> </w:t>
      </w:r>
      <w:r w:rsidRPr="009070BD">
        <w:rPr>
          <w:b w:val="0"/>
          <w:bCs/>
          <w:iCs/>
        </w:rPr>
        <w:t>միջոցներ</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rPr>
        <w:t>Միջոցառմամբ</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իրականացնել</w:t>
      </w:r>
      <w:r w:rsidRPr="009070BD">
        <w:rPr>
          <w:b w:val="0"/>
          <w:bCs/>
          <w:iCs/>
          <w:lang w:val="fr-FR"/>
        </w:rPr>
        <w:t xml:space="preserve"> 1213.6 </w:t>
      </w:r>
      <w:r w:rsidRPr="009070BD">
        <w:rPr>
          <w:b w:val="0"/>
          <w:bCs/>
          <w:iCs/>
        </w:rPr>
        <w:t>կմ</w:t>
      </w:r>
      <w:r w:rsidRPr="009070BD">
        <w:rPr>
          <w:b w:val="0"/>
          <w:bCs/>
          <w:iCs/>
          <w:lang w:val="fr-FR"/>
        </w:rPr>
        <w:t xml:space="preserve"> </w:t>
      </w:r>
      <w:r w:rsidRPr="009070BD">
        <w:rPr>
          <w:b w:val="0"/>
          <w:bCs/>
          <w:iCs/>
        </w:rPr>
        <w:t>մարզային</w:t>
      </w:r>
      <w:r w:rsidRPr="009070BD">
        <w:rPr>
          <w:b w:val="0"/>
          <w:bCs/>
          <w:iCs/>
          <w:lang w:val="fr-FR"/>
        </w:rPr>
        <w:t xml:space="preserve"> </w:t>
      </w:r>
      <w:r w:rsidRPr="009070BD">
        <w:rPr>
          <w:b w:val="0"/>
          <w:bCs/>
          <w:iCs/>
        </w:rPr>
        <w:t>նշանակության</w:t>
      </w:r>
      <w:r w:rsidRPr="009070BD">
        <w:rPr>
          <w:b w:val="0"/>
          <w:bCs/>
          <w:iCs/>
          <w:lang w:val="fr-FR"/>
        </w:rPr>
        <w:t xml:space="preserve"> </w:t>
      </w:r>
      <w:r w:rsidRPr="009070BD">
        <w:rPr>
          <w:b w:val="0"/>
          <w:bCs/>
          <w:iCs/>
        </w:rPr>
        <w:t>ավտոճանապարհների</w:t>
      </w:r>
      <w:r w:rsidRPr="009070BD">
        <w:rPr>
          <w:b w:val="0"/>
          <w:bCs/>
          <w:iCs/>
          <w:lang w:val="fr-FR"/>
        </w:rPr>
        <w:t xml:space="preserve"> </w:t>
      </w:r>
      <w:r w:rsidRPr="009070BD">
        <w:rPr>
          <w:b w:val="0"/>
          <w:bCs/>
          <w:iCs/>
        </w:rPr>
        <w:t>ընթացիկ</w:t>
      </w:r>
      <w:r w:rsidRPr="009070BD">
        <w:rPr>
          <w:b w:val="0"/>
          <w:bCs/>
          <w:iCs/>
          <w:lang w:val="fr-FR"/>
        </w:rPr>
        <w:t xml:space="preserve"> </w:t>
      </w:r>
      <w:r w:rsidRPr="009070BD">
        <w:rPr>
          <w:b w:val="0"/>
          <w:bCs/>
          <w:iCs/>
        </w:rPr>
        <w:t>նորոգման</w:t>
      </w:r>
      <w:r w:rsidRPr="009070BD">
        <w:rPr>
          <w:b w:val="0"/>
          <w:bCs/>
          <w:iCs/>
          <w:lang w:val="fr-FR"/>
        </w:rPr>
        <w:t xml:space="preserve"> </w:t>
      </w:r>
      <w:r w:rsidRPr="009070BD">
        <w:rPr>
          <w:b w:val="0"/>
          <w:bCs/>
          <w:iCs/>
        </w:rPr>
        <w:t>և</w:t>
      </w:r>
      <w:r w:rsidRPr="009070BD">
        <w:rPr>
          <w:b w:val="0"/>
          <w:bCs/>
          <w:iCs/>
          <w:lang w:val="fr-FR"/>
        </w:rPr>
        <w:t xml:space="preserve"> 2133.5 </w:t>
      </w:r>
      <w:r w:rsidRPr="009070BD">
        <w:rPr>
          <w:b w:val="0"/>
          <w:bCs/>
          <w:iCs/>
        </w:rPr>
        <w:t>կմ</w:t>
      </w:r>
      <w:r w:rsidRPr="009070BD">
        <w:rPr>
          <w:b w:val="0"/>
          <w:bCs/>
          <w:iCs/>
          <w:lang w:val="fr-FR"/>
        </w:rPr>
        <w:t xml:space="preserve"> </w:t>
      </w:r>
      <w:r w:rsidRPr="009070BD">
        <w:rPr>
          <w:b w:val="0"/>
          <w:bCs/>
          <w:iCs/>
        </w:rPr>
        <w:t>ձմեռային</w:t>
      </w:r>
      <w:r w:rsidRPr="009070BD">
        <w:rPr>
          <w:b w:val="0"/>
          <w:bCs/>
          <w:iCs/>
          <w:lang w:val="fr-FR"/>
        </w:rPr>
        <w:t xml:space="preserve"> </w:t>
      </w:r>
      <w:r w:rsidRPr="009070BD">
        <w:rPr>
          <w:b w:val="0"/>
          <w:bCs/>
          <w:iCs/>
        </w:rPr>
        <w:t>պահպանման</w:t>
      </w:r>
      <w:r w:rsidRPr="009070BD">
        <w:rPr>
          <w:b w:val="0"/>
          <w:bCs/>
          <w:iCs/>
          <w:lang w:val="fr-FR"/>
        </w:rPr>
        <w:t xml:space="preserve"> </w:t>
      </w:r>
      <w:r w:rsidRPr="009070BD">
        <w:rPr>
          <w:b w:val="0"/>
          <w:bCs/>
          <w:iCs/>
        </w:rPr>
        <w:t>աշխատանքներ</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rPr>
        <w:t>Նշված</w:t>
      </w:r>
      <w:r w:rsidRPr="009070BD">
        <w:rPr>
          <w:b w:val="0"/>
          <w:bCs/>
          <w:iCs/>
          <w:lang w:val="fr-FR"/>
        </w:rPr>
        <w:t xml:space="preserve"> </w:t>
      </w:r>
      <w:r w:rsidRPr="009070BD">
        <w:rPr>
          <w:b w:val="0"/>
          <w:bCs/>
          <w:iCs/>
        </w:rPr>
        <w:t>միջոցառման</w:t>
      </w:r>
      <w:r w:rsidRPr="009070BD">
        <w:rPr>
          <w:b w:val="0"/>
          <w:bCs/>
          <w:iCs/>
          <w:lang w:val="fr-FR"/>
        </w:rPr>
        <w:t xml:space="preserve"> </w:t>
      </w:r>
      <w:r w:rsidRPr="009070BD">
        <w:rPr>
          <w:b w:val="0"/>
          <w:bCs/>
          <w:iCs/>
        </w:rPr>
        <w:t>նպատակն</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ապահովել</w:t>
      </w:r>
      <w:r w:rsidRPr="009070BD">
        <w:rPr>
          <w:b w:val="0"/>
          <w:bCs/>
          <w:iCs/>
          <w:lang w:val="fr-FR"/>
        </w:rPr>
        <w:t xml:space="preserve"> </w:t>
      </w:r>
      <w:r w:rsidRPr="009070BD">
        <w:rPr>
          <w:b w:val="0"/>
          <w:bCs/>
          <w:iCs/>
        </w:rPr>
        <w:t>անվտանգ</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անխափան</w:t>
      </w:r>
      <w:r w:rsidRPr="009070BD">
        <w:rPr>
          <w:b w:val="0"/>
          <w:bCs/>
          <w:iCs/>
          <w:lang w:val="fr-FR"/>
        </w:rPr>
        <w:t xml:space="preserve"> </w:t>
      </w:r>
      <w:r w:rsidRPr="009070BD">
        <w:rPr>
          <w:b w:val="0"/>
          <w:bCs/>
          <w:iCs/>
        </w:rPr>
        <w:t>երթևեկության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ընդհանուր</w:t>
      </w:r>
      <w:r w:rsidRPr="009070BD">
        <w:rPr>
          <w:b w:val="0"/>
          <w:bCs/>
          <w:iCs/>
          <w:lang w:val="fr-FR"/>
        </w:rPr>
        <w:t xml:space="preserve"> </w:t>
      </w:r>
      <w:r w:rsidRPr="009070BD">
        <w:rPr>
          <w:b w:val="0"/>
          <w:bCs/>
          <w:iCs/>
        </w:rPr>
        <w:t>օգտագործման</w:t>
      </w:r>
      <w:r w:rsidRPr="009070BD">
        <w:rPr>
          <w:b w:val="0"/>
          <w:bCs/>
          <w:iCs/>
          <w:lang w:val="fr-FR"/>
        </w:rPr>
        <w:t xml:space="preserve"> </w:t>
      </w:r>
      <w:r w:rsidRPr="009070BD">
        <w:rPr>
          <w:b w:val="0"/>
          <w:bCs/>
          <w:iCs/>
        </w:rPr>
        <w:t>մարզային</w:t>
      </w:r>
      <w:r w:rsidRPr="009070BD">
        <w:rPr>
          <w:b w:val="0"/>
          <w:bCs/>
          <w:iCs/>
          <w:lang w:val="fr-FR"/>
        </w:rPr>
        <w:t xml:space="preserve"> </w:t>
      </w:r>
      <w:r w:rsidRPr="009070BD">
        <w:rPr>
          <w:b w:val="0"/>
          <w:bCs/>
          <w:iCs/>
        </w:rPr>
        <w:t>նշանակության</w:t>
      </w:r>
      <w:r w:rsidRPr="009070BD">
        <w:rPr>
          <w:b w:val="0"/>
          <w:bCs/>
          <w:iCs/>
          <w:lang w:val="fr-FR"/>
        </w:rPr>
        <w:t xml:space="preserve"> </w:t>
      </w:r>
      <w:r w:rsidRPr="009070BD">
        <w:rPr>
          <w:b w:val="0"/>
          <w:bCs/>
          <w:iCs/>
        </w:rPr>
        <w:t>ավտոմոբիլային</w:t>
      </w:r>
      <w:r w:rsidRPr="009070BD">
        <w:rPr>
          <w:b w:val="0"/>
          <w:bCs/>
          <w:iCs/>
          <w:lang w:val="fr-FR"/>
        </w:rPr>
        <w:t xml:space="preserve"> </w:t>
      </w:r>
      <w:r w:rsidRPr="009070BD">
        <w:rPr>
          <w:b w:val="0"/>
          <w:bCs/>
          <w:iCs/>
        </w:rPr>
        <w:t>ճանապարհների</w:t>
      </w:r>
      <w:r w:rsidRPr="009070BD">
        <w:rPr>
          <w:b w:val="0"/>
          <w:bCs/>
          <w:iCs/>
          <w:lang w:val="fr-FR"/>
        </w:rPr>
        <w:t xml:space="preserve"> </w:t>
      </w:r>
      <w:r w:rsidRPr="009070BD">
        <w:rPr>
          <w:b w:val="0"/>
          <w:bCs/>
          <w:iCs/>
        </w:rPr>
        <w:t>պահպանվածությունը</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hy-AM"/>
        </w:rPr>
        <w:t>5</w:t>
      </w:r>
      <w:r w:rsidRPr="009070BD">
        <w:rPr>
          <w:b w:val="0"/>
          <w:bCs/>
          <w:iCs/>
          <w:lang w:val="fr-FR"/>
        </w:rPr>
        <w:t>.3 «</w:t>
      </w:r>
      <w:r w:rsidRPr="009070BD">
        <w:rPr>
          <w:b w:val="0"/>
          <w:bCs/>
          <w:iCs/>
        </w:rPr>
        <w:t>Հայաստանի</w:t>
      </w:r>
      <w:r w:rsidRPr="009070BD">
        <w:rPr>
          <w:b w:val="0"/>
          <w:bCs/>
          <w:iCs/>
          <w:lang w:val="fr-FR"/>
        </w:rPr>
        <w:t xml:space="preserve"> </w:t>
      </w:r>
      <w:r w:rsidRPr="009070BD">
        <w:rPr>
          <w:b w:val="0"/>
          <w:bCs/>
          <w:iCs/>
        </w:rPr>
        <w:t>Հանրապետությունում</w:t>
      </w:r>
      <w:r w:rsidRPr="009070BD">
        <w:rPr>
          <w:b w:val="0"/>
          <w:bCs/>
          <w:iCs/>
          <w:lang w:val="fr-FR"/>
        </w:rPr>
        <w:t xml:space="preserve"> </w:t>
      </w:r>
      <w:r w:rsidRPr="009070BD">
        <w:rPr>
          <w:b w:val="0"/>
          <w:bCs/>
          <w:iCs/>
        </w:rPr>
        <w:t>հսկիչ</w:t>
      </w:r>
      <w:r w:rsidRPr="009070BD">
        <w:rPr>
          <w:b w:val="0"/>
          <w:bCs/>
          <w:iCs/>
          <w:lang w:val="fr-FR"/>
        </w:rPr>
        <w:t xml:space="preserve"> </w:t>
      </w:r>
      <w:r w:rsidRPr="009070BD">
        <w:rPr>
          <w:b w:val="0"/>
          <w:bCs/>
          <w:iCs/>
        </w:rPr>
        <w:t>սարքերի</w:t>
      </w:r>
      <w:r w:rsidRPr="009070BD">
        <w:rPr>
          <w:b w:val="0"/>
          <w:bCs/>
          <w:iCs/>
          <w:lang w:val="fr-FR"/>
        </w:rPr>
        <w:t xml:space="preserve"> (</w:t>
      </w:r>
      <w:r w:rsidRPr="009070BD">
        <w:rPr>
          <w:b w:val="0"/>
          <w:bCs/>
          <w:iCs/>
        </w:rPr>
        <w:t>թվային</w:t>
      </w:r>
      <w:r w:rsidRPr="009070BD">
        <w:rPr>
          <w:b w:val="0"/>
          <w:bCs/>
          <w:iCs/>
          <w:lang w:val="fr-FR"/>
        </w:rPr>
        <w:t xml:space="preserve"> </w:t>
      </w:r>
      <w:r w:rsidRPr="009070BD">
        <w:rPr>
          <w:b w:val="0"/>
          <w:bCs/>
          <w:iCs/>
        </w:rPr>
        <w:t>տախոգրաֆի</w:t>
      </w:r>
      <w:r w:rsidRPr="009070BD">
        <w:rPr>
          <w:b w:val="0"/>
          <w:bCs/>
          <w:iCs/>
          <w:lang w:val="fr-FR"/>
        </w:rPr>
        <w:t xml:space="preserve">) </w:t>
      </w:r>
      <w:r w:rsidRPr="009070BD">
        <w:rPr>
          <w:b w:val="0"/>
          <w:bCs/>
          <w:iCs/>
        </w:rPr>
        <w:t>համակարգի</w:t>
      </w:r>
      <w:r w:rsidRPr="009070BD">
        <w:rPr>
          <w:b w:val="0"/>
          <w:bCs/>
          <w:iCs/>
          <w:lang w:val="fr-FR"/>
        </w:rPr>
        <w:t xml:space="preserve"> </w:t>
      </w:r>
      <w:r w:rsidRPr="009070BD">
        <w:rPr>
          <w:b w:val="0"/>
          <w:bCs/>
          <w:iCs/>
        </w:rPr>
        <w:t>կարգավորում</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rPr>
        <w:t>Նշված</w:t>
      </w:r>
      <w:r w:rsidRPr="009070BD">
        <w:rPr>
          <w:b w:val="0"/>
          <w:bCs/>
          <w:iCs/>
          <w:lang w:val="fr-FR"/>
        </w:rPr>
        <w:t xml:space="preserve"> </w:t>
      </w:r>
      <w:r w:rsidRPr="009070BD">
        <w:rPr>
          <w:b w:val="0"/>
          <w:bCs/>
          <w:iCs/>
        </w:rPr>
        <w:t>միջոցառման</w:t>
      </w:r>
      <w:r w:rsidRPr="009070BD">
        <w:rPr>
          <w:b w:val="0"/>
          <w:bCs/>
          <w:iCs/>
          <w:lang w:val="fr-FR"/>
        </w:rPr>
        <w:t xml:space="preserve"> </w:t>
      </w:r>
      <w:r w:rsidRPr="009070BD">
        <w:rPr>
          <w:b w:val="0"/>
          <w:bCs/>
          <w:iCs/>
        </w:rPr>
        <w:t>նպատակն</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Հայաստանի</w:t>
      </w:r>
      <w:r w:rsidRPr="009070BD">
        <w:rPr>
          <w:b w:val="0"/>
          <w:bCs/>
          <w:iCs/>
          <w:lang w:val="fr-FR"/>
        </w:rPr>
        <w:t xml:space="preserve"> </w:t>
      </w:r>
      <w:r w:rsidRPr="009070BD">
        <w:rPr>
          <w:b w:val="0"/>
          <w:bCs/>
          <w:iCs/>
        </w:rPr>
        <w:t>Հանրապետությունում</w:t>
      </w:r>
      <w:r w:rsidRPr="009070BD">
        <w:rPr>
          <w:b w:val="0"/>
          <w:bCs/>
          <w:iCs/>
          <w:lang w:val="fr-FR"/>
        </w:rPr>
        <w:t xml:space="preserve"> </w:t>
      </w:r>
      <w:r w:rsidRPr="009070BD">
        <w:rPr>
          <w:b w:val="0"/>
          <w:bCs/>
          <w:iCs/>
        </w:rPr>
        <w:t>տախոնետ</w:t>
      </w:r>
      <w:r w:rsidRPr="009070BD">
        <w:rPr>
          <w:b w:val="0"/>
          <w:bCs/>
          <w:iCs/>
          <w:lang w:val="fr-FR"/>
        </w:rPr>
        <w:t xml:space="preserve"> </w:t>
      </w:r>
      <w:r w:rsidRPr="009070BD">
        <w:rPr>
          <w:b w:val="0"/>
          <w:bCs/>
          <w:iCs/>
        </w:rPr>
        <w:t>համակարգի</w:t>
      </w:r>
      <w:r w:rsidRPr="009070BD">
        <w:rPr>
          <w:b w:val="0"/>
          <w:bCs/>
          <w:iCs/>
          <w:lang w:val="fr-FR"/>
        </w:rPr>
        <w:t xml:space="preserve"> </w:t>
      </w:r>
      <w:r w:rsidRPr="009070BD">
        <w:rPr>
          <w:b w:val="0"/>
          <w:bCs/>
          <w:iCs/>
        </w:rPr>
        <w:t>անընդհատ</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անխափան</w:t>
      </w:r>
      <w:r w:rsidRPr="009070BD">
        <w:rPr>
          <w:b w:val="0"/>
          <w:bCs/>
          <w:iCs/>
          <w:lang w:val="fr-FR"/>
        </w:rPr>
        <w:t xml:space="preserve"> </w:t>
      </w:r>
      <w:r w:rsidRPr="009070BD">
        <w:rPr>
          <w:b w:val="0"/>
          <w:bCs/>
          <w:iCs/>
        </w:rPr>
        <w:t>աշխատանքի</w:t>
      </w:r>
      <w:r w:rsidRPr="009070BD">
        <w:rPr>
          <w:b w:val="0"/>
          <w:bCs/>
          <w:iCs/>
          <w:lang w:val="fr-FR"/>
        </w:rPr>
        <w:t xml:space="preserve"> </w:t>
      </w:r>
      <w:r w:rsidRPr="009070BD">
        <w:rPr>
          <w:b w:val="0"/>
          <w:bCs/>
          <w:iCs/>
        </w:rPr>
        <w:t>ապահովումը</w:t>
      </w:r>
      <w:r w:rsidRPr="009070BD">
        <w:rPr>
          <w:b w:val="0"/>
          <w:bCs/>
          <w:iCs/>
          <w:lang w:val="fr-FR"/>
        </w:rPr>
        <w:t xml:space="preserve">: </w:t>
      </w:r>
      <w:r w:rsidRPr="009070BD">
        <w:rPr>
          <w:b w:val="0"/>
          <w:bCs/>
          <w:iCs/>
        </w:rPr>
        <w:t>Համակարգի</w:t>
      </w:r>
      <w:r w:rsidRPr="009070BD">
        <w:rPr>
          <w:b w:val="0"/>
          <w:bCs/>
          <w:iCs/>
          <w:lang w:val="fr-FR"/>
        </w:rPr>
        <w:t xml:space="preserve"> </w:t>
      </w:r>
      <w:r w:rsidRPr="009070BD">
        <w:rPr>
          <w:b w:val="0"/>
          <w:bCs/>
          <w:iCs/>
        </w:rPr>
        <w:t>առկայության</w:t>
      </w:r>
      <w:r w:rsidRPr="009070BD">
        <w:rPr>
          <w:b w:val="0"/>
          <w:bCs/>
          <w:iCs/>
          <w:lang w:val="fr-FR"/>
        </w:rPr>
        <w:t xml:space="preserve"> </w:t>
      </w:r>
      <w:r w:rsidRPr="009070BD">
        <w:rPr>
          <w:b w:val="0"/>
          <w:bCs/>
          <w:iCs/>
        </w:rPr>
        <w:t>պահանջը</w:t>
      </w:r>
      <w:r w:rsidRPr="009070BD">
        <w:rPr>
          <w:b w:val="0"/>
          <w:bCs/>
          <w:iCs/>
          <w:lang w:val="fr-FR"/>
        </w:rPr>
        <w:t xml:space="preserve"> </w:t>
      </w:r>
      <w:r w:rsidRPr="009070BD">
        <w:rPr>
          <w:b w:val="0"/>
          <w:bCs/>
          <w:iCs/>
        </w:rPr>
        <w:t>բխում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Միջազգային</w:t>
      </w:r>
      <w:r w:rsidRPr="009070BD">
        <w:rPr>
          <w:b w:val="0"/>
          <w:bCs/>
          <w:iCs/>
          <w:lang w:val="fr-FR"/>
        </w:rPr>
        <w:t xml:space="preserve"> </w:t>
      </w:r>
      <w:r w:rsidRPr="009070BD">
        <w:rPr>
          <w:b w:val="0"/>
          <w:bCs/>
          <w:iCs/>
        </w:rPr>
        <w:t>ավտոճանապարհային</w:t>
      </w:r>
      <w:r w:rsidRPr="009070BD">
        <w:rPr>
          <w:b w:val="0"/>
          <w:bCs/>
          <w:iCs/>
          <w:lang w:val="fr-FR"/>
        </w:rPr>
        <w:t xml:space="preserve"> </w:t>
      </w:r>
      <w:r w:rsidRPr="009070BD">
        <w:rPr>
          <w:b w:val="0"/>
          <w:bCs/>
          <w:iCs/>
        </w:rPr>
        <w:t>փոխադրումներ</w:t>
      </w:r>
      <w:r w:rsidRPr="009070BD">
        <w:rPr>
          <w:b w:val="0"/>
          <w:bCs/>
          <w:iCs/>
          <w:lang w:val="fr-FR"/>
        </w:rPr>
        <w:t xml:space="preserve"> </w:t>
      </w:r>
      <w:r w:rsidRPr="009070BD">
        <w:rPr>
          <w:b w:val="0"/>
          <w:bCs/>
          <w:iCs/>
        </w:rPr>
        <w:t>կատարող</w:t>
      </w:r>
      <w:r w:rsidRPr="009070BD">
        <w:rPr>
          <w:b w:val="0"/>
          <w:bCs/>
          <w:iCs/>
          <w:lang w:val="fr-FR"/>
        </w:rPr>
        <w:t xml:space="preserve"> </w:t>
      </w:r>
      <w:r w:rsidRPr="009070BD">
        <w:rPr>
          <w:b w:val="0"/>
          <w:bCs/>
          <w:iCs/>
        </w:rPr>
        <w:t>տրանսպորտային</w:t>
      </w:r>
      <w:r w:rsidRPr="009070BD">
        <w:rPr>
          <w:b w:val="0"/>
          <w:bCs/>
          <w:iCs/>
          <w:lang w:val="fr-FR"/>
        </w:rPr>
        <w:t xml:space="preserve"> </w:t>
      </w:r>
      <w:r w:rsidRPr="009070BD">
        <w:rPr>
          <w:b w:val="0"/>
          <w:bCs/>
          <w:iCs/>
        </w:rPr>
        <w:t>միջոցների</w:t>
      </w:r>
      <w:r w:rsidRPr="009070BD">
        <w:rPr>
          <w:b w:val="0"/>
          <w:bCs/>
          <w:iCs/>
          <w:lang w:val="fr-FR"/>
        </w:rPr>
        <w:t xml:space="preserve"> </w:t>
      </w:r>
      <w:r w:rsidRPr="009070BD">
        <w:rPr>
          <w:b w:val="0"/>
          <w:bCs/>
          <w:iCs/>
        </w:rPr>
        <w:t>անձնակազմի</w:t>
      </w:r>
      <w:r w:rsidRPr="009070BD">
        <w:rPr>
          <w:b w:val="0"/>
          <w:bCs/>
          <w:iCs/>
          <w:lang w:val="fr-FR"/>
        </w:rPr>
        <w:t xml:space="preserve"> </w:t>
      </w:r>
      <w:r w:rsidRPr="009070BD">
        <w:rPr>
          <w:b w:val="0"/>
          <w:bCs/>
          <w:iCs/>
        </w:rPr>
        <w:t>աշխատանքի</w:t>
      </w:r>
      <w:r w:rsidRPr="009070BD">
        <w:rPr>
          <w:b w:val="0"/>
          <w:bCs/>
          <w:iCs/>
          <w:lang w:val="fr-FR"/>
        </w:rPr>
        <w:t xml:space="preserve"> </w:t>
      </w:r>
      <w:r w:rsidRPr="009070BD">
        <w:rPr>
          <w:b w:val="0"/>
          <w:bCs/>
          <w:iCs/>
        </w:rPr>
        <w:t>մասին</w:t>
      </w:r>
      <w:r w:rsidRPr="009070BD">
        <w:rPr>
          <w:b w:val="0"/>
          <w:bCs/>
          <w:iCs/>
          <w:lang w:val="fr-FR"/>
        </w:rPr>
        <w:t xml:space="preserve">» </w:t>
      </w:r>
      <w:r w:rsidRPr="009070BD">
        <w:rPr>
          <w:b w:val="0"/>
          <w:bCs/>
          <w:iCs/>
        </w:rPr>
        <w:t>Եվրոպական</w:t>
      </w:r>
      <w:r w:rsidRPr="009070BD">
        <w:rPr>
          <w:b w:val="0"/>
          <w:bCs/>
          <w:iCs/>
          <w:lang w:val="fr-FR"/>
        </w:rPr>
        <w:t xml:space="preserve"> </w:t>
      </w:r>
      <w:r w:rsidRPr="009070BD">
        <w:rPr>
          <w:b w:val="0"/>
          <w:bCs/>
          <w:iCs/>
        </w:rPr>
        <w:t>համաձայնագրից</w:t>
      </w:r>
      <w:r w:rsidRPr="009070BD">
        <w:rPr>
          <w:b w:val="0"/>
          <w:bCs/>
          <w:iCs/>
          <w:lang w:val="fr-FR"/>
        </w:rPr>
        <w:t xml:space="preserve">, </w:t>
      </w:r>
      <w:r w:rsidRPr="009070BD">
        <w:rPr>
          <w:b w:val="0"/>
          <w:bCs/>
          <w:iCs/>
        </w:rPr>
        <w:t>որին</w:t>
      </w:r>
      <w:r w:rsidRPr="009070BD">
        <w:rPr>
          <w:b w:val="0"/>
          <w:bCs/>
          <w:iCs/>
          <w:lang w:val="fr-FR"/>
        </w:rPr>
        <w:t xml:space="preserve"> </w:t>
      </w:r>
      <w:r w:rsidRPr="009070BD">
        <w:rPr>
          <w:b w:val="0"/>
          <w:bCs/>
          <w:iCs/>
        </w:rPr>
        <w:t>Հայաս</w:t>
      </w:r>
      <w:r w:rsidRPr="009070BD">
        <w:rPr>
          <w:b w:val="0"/>
          <w:bCs/>
          <w:iCs/>
          <w:lang w:val="fr-FR"/>
        </w:rPr>
        <w:softHyphen/>
      </w:r>
      <w:r w:rsidRPr="009070BD">
        <w:rPr>
          <w:b w:val="0"/>
          <w:bCs/>
          <w:iCs/>
        </w:rPr>
        <w:t>տանի</w:t>
      </w:r>
      <w:r w:rsidRPr="009070BD">
        <w:rPr>
          <w:b w:val="0"/>
          <w:bCs/>
          <w:iCs/>
          <w:lang w:val="fr-FR"/>
        </w:rPr>
        <w:t xml:space="preserve"> </w:t>
      </w:r>
      <w:r w:rsidRPr="009070BD">
        <w:rPr>
          <w:b w:val="0"/>
          <w:bCs/>
          <w:iCs/>
        </w:rPr>
        <w:t>Հանրապետությունը</w:t>
      </w:r>
      <w:r w:rsidRPr="009070BD">
        <w:rPr>
          <w:b w:val="0"/>
          <w:bCs/>
          <w:iCs/>
          <w:lang w:val="fr-FR"/>
        </w:rPr>
        <w:t xml:space="preserve"> </w:t>
      </w:r>
      <w:r w:rsidRPr="009070BD">
        <w:rPr>
          <w:b w:val="0"/>
          <w:bCs/>
          <w:iCs/>
        </w:rPr>
        <w:t>միացել</w:t>
      </w:r>
      <w:r w:rsidRPr="009070BD">
        <w:rPr>
          <w:b w:val="0"/>
          <w:bCs/>
          <w:iCs/>
          <w:lang w:val="fr-FR"/>
        </w:rPr>
        <w:t xml:space="preserve"> </w:t>
      </w:r>
      <w:r w:rsidRPr="009070BD">
        <w:rPr>
          <w:b w:val="0"/>
          <w:bCs/>
          <w:iCs/>
        </w:rPr>
        <w:t>է</w:t>
      </w:r>
      <w:r w:rsidRPr="009070BD">
        <w:rPr>
          <w:b w:val="0"/>
          <w:bCs/>
          <w:iCs/>
          <w:lang w:val="fr-FR"/>
        </w:rPr>
        <w:t xml:space="preserve"> 2006 </w:t>
      </w:r>
      <w:r w:rsidRPr="009070BD">
        <w:rPr>
          <w:b w:val="0"/>
          <w:bCs/>
          <w:iCs/>
        </w:rPr>
        <w:t>թվականից</w:t>
      </w:r>
      <w:r w:rsidRPr="009070BD">
        <w:rPr>
          <w:b w:val="0"/>
          <w:bCs/>
          <w:iCs/>
          <w:lang w:val="fr-FR"/>
        </w:rPr>
        <w:t xml:space="preserve">: </w:t>
      </w:r>
      <w:r w:rsidRPr="009070BD">
        <w:rPr>
          <w:b w:val="0"/>
          <w:bCs/>
          <w:iCs/>
        </w:rPr>
        <w:t>Հսկիչ</w:t>
      </w:r>
      <w:r w:rsidRPr="009070BD">
        <w:rPr>
          <w:b w:val="0"/>
          <w:bCs/>
          <w:iCs/>
          <w:lang w:val="fr-FR"/>
        </w:rPr>
        <w:t xml:space="preserve"> </w:t>
      </w:r>
      <w:r w:rsidRPr="009070BD">
        <w:rPr>
          <w:b w:val="0"/>
          <w:bCs/>
          <w:iCs/>
        </w:rPr>
        <w:t>սարքերը</w:t>
      </w:r>
      <w:r w:rsidRPr="009070BD">
        <w:rPr>
          <w:b w:val="0"/>
          <w:bCs/>
          <w:iCs/>
          <w:lang w:val="fr-FR"/>
        </w:rPr>
        <w:t xml:space="preserve"> (</w:t>
      </w:r>
      <w:r w:rsidRPr="009070BD">
        <w:rPr>
          <w:b w:val="0"/>
          <w:bCs/>
          <w:iCs/>
        </w:rPr>
        <w:t>թվային</w:t>
      </w:r>
      <w:r w:rsidRPr="009070BD">
        <w:rPr>
          <w:b w:val="0"/>
          <w:bCs/>
          <w:iCs/>
          <w:lang w:val="fr-FR"/>
        </w:rPr>
        <w:t xml:space="preserve"> </w:t>
      </w:r>
      <w:r w:rsidRPr="009070BD">
        <w:rPr>
          <w:b w:val="0"/>
          <w:bCs/>
          <w:iCs/>
        </w:rPr>
        <w:t>տախոգրաֆ</w:t>
      </w:r>
      <w:r w:rsidRPr="009070BD">
        <w:rPr>
          <w:b w:val="0"/>
          <w:bCs/>
          <w:iCs/>
          <w:lang w:val="fr-FR"/>
        </w:rPr>
        <w:softHyphen/>
      </w:r>
      <w:r w:rsidRPr="009070BD">
        <w:rPr>
          <w:b w:val="0"/>
          <w:bCs/>
          <w:iCs/>
        </w:rPr>
        <w:t>ները</w:t>
      </w:r>
      <w:r w:rsidRPr="009070BD">
        <w:rPr>
          <w:b w:val="0"/>
          <w:bCs/>
          <w:iCs/>
          <w:lang w:val="fr-FR"/>
        </w:rPr>
        <w:t xml:space="preserve">) </w:t>
      </w:r>
      <w:r w:rsidRPr="009070BD">
        <w:rPr>
          <w:b w:val="0"/>
          <w:bCs/>
          <w:iCs/>
        </w:rPr>
        <w:t>կիրառվում</w:t>
      </w:r>
      <w:r w:rsidRPr="009070BD">
        <w:rPr>
          <w:b w:val="0"/>
          <w:bCs/>
          <w:iCs/>
          <w:lang w:val="fr-FR"/>
        </w:rPr>
        <w:t xml:space="preserve"> </w:t>
      </w:r>
      <w:r w:rsidRPr="009070BD">
        <w:rPr>
          <w:b w:val="0"/>
          <w:bCs/>
          <w:iCs/>
        </w:rPr>
        <w:t>են</w:t>
      </w:r>
      <w:r w:rsidRPr="009070BD">
        <w:rPr>
          <w:b w:val="0"/>
          <w:bCs/>
          <w:iCs/>
          <w:lang w:val="fr-FR"/>
        </w:rPr>
        <w:t xml:space="preserve"> </w:t>
      </w:r>
      <w:r w:rsidRPr="009070BD">
        <w:rPr>
          <w:b w:val="0"/>
          <w:bCs/>
          <w:iCs/>
        </w:rPr>
        <w:t>միջպետական</w:t>
      </w:r>
      <w:r w:rsidRPr="009070BD">
        <w:rPr>
          <w:b w:val="0"/>
          <w:bCs/>
          <w:iCs/>
          <w:lang w:val="fr-FR"/>
        </w:rPr>
        <w:t xml:space="preserve"> </w:t>
      </w:r>
      <w:r w:rsidRPr="009070BD">
        <w:rPr>
          <w:b w:val="0"/>
          <w:bCs/>
          <w:iCs/>
        </w:rPr>
        <w:t>բեռնափոխադրումներ</w:t>
      </w:r>
      <w:r w:rsidRPr="009070BD">
        <w:rPr>
          <w:b w:val="0"/>
          <w:bCs/>
          <w:iCs/>
          <w:lang w:val="fr-FR"/>
        </w:rPr>
        <w:t xml:space="preserve"> </w:t>
      </w:r>
      <w:r w:rsidRPr="009070BD">
        <w:rPr>
          <w:b w:val="0"/>
          <w:bCs/>
          <w:iCs/>
        </w:rPr>
        <w:t>իրականացնող</w:t>
      </w:r>
      <w:r w:rsidRPr="009070BD">
        <w:rPr>
          <w:b w:val="0"/>
          <w:bCs/>
          <w:iCs/>
          <w:lang w:val="fr-FR"/>
        </w:rPr>
        <w:t xml:space="preserve"> </w:t>
      </w:r>
      <w:r w:rsidRPr="009070BD">
        <w:rPr>
          <w:b w:val="0"/>
          <w:bCs/>
          <w:iCs/>
        </w:rPr>
        <w:t>բեռնատար</w:t>
      </w:r>
      <w:r w:rsidRPr="009070BD">
        <w:rPr>
          <w:b w:val="0"/>
          <w:bCs/>
          <w:iCs/>
          <w:lang w:val="fr-FR"/>
        </w:rPr>
        <w:t xml:space="preserve"> </w:t>
      </w:r>
      <w:r w:rsidRPr="009070BD">
        <w:rPr>
          <w:b w:val="0"/>
          <w:bCs/>
          <w:iCs/>
        </w:rPr>
        <w:t>տրանս</w:t>
      </w:r>
      <w:r w:rsidRPr="009070BD">
        <w:rPr>
          <w:b w:val="0"/>
          <w:bCs/>
          <w:iCs/>
          <w:lang w:val="fr-FR"/>
        </w:rPr>
        <w:softHyphen/>
      </w:r>
      <w:r w:rsidRPr="009070BD">
        <w:rPr>
          <w:b w:val="0"/>
          <w:bCs/>
          <w:iCs/>
        </w:rPr>
        <w:t>պորտային</w:t>
      </w:r>
      <w:r w:rsidRPr="009070BD">
        <w:rPr>
          <w:b w:val="0"/>
          <w:bCs/>
          <w:iCs/>
          <w:lang w:val="fr-FR"/>
        </w:rPr>
        <w:t xml:space="preserve"> </w:t>
      </w:r>
      <w:r w:rsidRPr="009070BD">
        <w:rPr>
          <w:b w:val="0"/>
          <w:bCs/>
          <w:iCs/>
        </w:rPr>
        <w:t>միջոցների</w:t>
      </w:r>
      <w:r w:rsidRPr="009070BD">
        <w:rPr>
          <w:b w:val="0"/>
          <w:bCs/>
          <w:iCs/>
          <w:lang w:val="fr-FR"/>
        </w:rPr>
        <w:t xml:space="preserve"> </w:t>
      </w:r>
      <w:r w:rsidRPr="009070BD">
        <w:rPr>
          <w:b w:val="0"/>
          <w:bCs/>
          <w:iCs/>
        </w:rPr>
        <w:t>վրա</w:t>
      </w:r>
      <w:r w:rsidRPr="009070BD">
        <w:rPr>
          <w:b w:val="0"/>
          <w:bCs/>
          <w:iCs/>
          <w:lang w:val="fr-FR"/>
        </w:rPr>
        <w:t xml:space="preserve">` </w:t>
      </w:r>
      <w:r w:rsidRPr="009070BD">
        <w:rPr>
          <w:b w:val="0"/>
          <w:bCs/>
          <w:iCs/>
        </w:rPr>
        <w:t>տրանսպորտային</w:t>
      </w:r>
      <w:r w:rsidRPr="009070BD">
        <w:rPr>
          <w:b w:val="0"/>
          <w:bCs/>
          <w:iCs/>
          <w:lang w:val="fr-FR"/>
        </w:rPr>
        <w:t xml:space="preserve"> </w:t>
      </w:r>
      <w:r w:rsidRPr="009070BD">
        <w:rPr>
          <w:b w:val="0"/>
          <w:bCs/>
          <w:iCs/>
        </w:rPr>
        <w:t>միջոցի</w:t>
      </w:r>
      <w:r w:rsidRPr="009070BD">
        <w:rPr>
          <w:b w:val="0"/>
          <w:bCs/>
          <w:iCs/>
          <w:lang w:val="fr-FR"/>
        </w:rPr>
        <w:t xml:space="preserve"> </w:t>
      </w:r>
      <w:r w:rsidRPr="009070BD">
        <w:rPr>
          <w:b w:val="0"/>
          <w:bCs/>
          <w:iCs/>
        </w:rPr>
        <w:t>արագությունը</w:t>
      </w:r>
      <w:r w:rsidRPr="009070BD">
        <w:rPr>
          <w:b w:val="0"/>
          <w:bCs/>
          <w:iCs/>
          <w:lang w:val="fr-FR"/>
        </w:rPr>
        <w:t xml:space="preserve">, </w:t>
      </w:r>
      <w:r w:rsidRPr="009070BD">
        <w:rPr>
          <w:b w:val="0"/>
          <w:bCs/>
          <w:iCs/>
        </w:rPr>
        <w:t>անցած</w:t>
      </w:r>
      <w:r w:rsidRPr="009070BD">
        <w:rPr>
          <w:b w:val="0"/>
          <w:bCs/>
          <w:iCs/>
          <w:lang w:val="fr-FR"/>
        </w:rPr>
        <w:t xml:space="preserve"> </w:t>
      </w:r>
      <w:r w:rsidRPr="009070BD">
        <w:rPr>
          <w:b w:val="0"/>
          <w:bCs/>
          <w:iCs/>
        </w:rPr>
        <w:t>ճանա</w:t>
      </w:r>
      <w:r w:rsidRPr="009070BD">
        <w:rPr>
          <w:b w:val="0"/>
          <w:bCs/>
          <w:iCs/>
          <w:lang w:val="fr-FR"/>
        </w:rPr>
        <w:softHyphen/>
      </w:r>
      <w:r w:rsidRPr="009070BD">
        <w:rPr>
          <w:b w:val="0"/>
          <w:bCs/>
          <w:iCs/>
        </w:rPr>
        <w:t>պարհը</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վարորդի</w:t>
      </w:r>
      <w:r w:rsidRPr="009070BD">
        <w:rPr>
          <w:b w:val="0"/>
          <w:bCs/>
          <w:iCs/>
          <w:lang w:val="fr-FR"/>
        </w:rPr>
        <w:t xml:space="preserve"> </w:t>
      </w:r>
      <w:r w:rsidRPr="009070BD">
        <w:rPr>
          <w:b w:val="0"/>
          <w:bCs/>
          <w:iCs/>
        </w:rPr>
        <w:t>վարելու</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հանգստի</w:t>
      </w:r>
      <w:r w:rsidRPr="009070BD">
        <w:rPr>
          <w:b w:val="0"/>
          <w:bCs/>
          <w:iCs/>
          <w:lang w:val="fr-FR"/>
        </w:rPr>
        <w:t xml:space="preserve"> </w:t>
      </w:r>
      <w:r w:rsidRPr="009070BD">
        <w:rPr>
          <w:b w:val="0"/>
          <w:bCs/>
          <w:iCs/>
        </w:rPr>
        <w:t>ռեժիմները</w:t>
      </w:r>
      <w:r w:rsidRPr="009070BD">
        <w:rPr>
          <w:b w:val="0"/>
          <w:bCs/>
          <w:iCs/>
          <w:lang w:val="fr-FR"/>
        </w:rPr>
        <w:t xml:space="preserve"> </w:t>
      </w:r>
      <w:r w:rsidRPr="009070BD">
        <w:rPr>
          <w:b w:val="0"/>
          <w:bCs/>
          <w:iCs/>
        </w:rPr>
        <w:t>արձանագրելու</w:t>
      </w:r>
      <w:r w:rsidRPr="009070BD">
        <w:rPr>
          <w:b w:val="0"/>
          <w:bCs/>
          <w:iCs/>
          <w:lang w:val="fr-FR"/>
        </w:rPr>
        <w:t xml:space="preserve"> </w:t>
      </w:r>
      <w:r w:rsidRPr="009070BD">
        <w:rPr>
          <w:b w:val="0"/>
          <w:bCs/>
          <w:iCs/>
        </w:rPr>
        <w:t>համար</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rPr>
        <w:t>Միջոցառմամբ</w:t>
      </w:r>
      <w:r w:rsidRPr="009070BD">
        <w:rPr>
          <w:b w:val="0"/>
          <w:bCs/>
          <w:iCs/>
          <w:lang w:val="fr-FR"/>
        </w:rPr>
        <w:t xml:space="preserve"> </w:t>
      </w:r>
      <w:r w:rsidRPr="009070BD">
        <w:rPr>
          <w:b w:val="0"/>
          <w:bCs/>
          <w:iCs/>
        </w:rPr>
        <w:t>տախոնետ</w:t>
      </w:r>
      <w:r w:rsidRPr="009070BD">
        <w:rPr>
          <w:b w:val="0"/>
          <w:bCs/>
          <w:iCs/>
          <w:lang w:val="fr-FR"/>
        </w:rPr>
        <w:t xml:space="preserve"> </w:t>
      </w:r>
      <w:r w:rsidRPr="009070BD">
        <w:rPr>
          <w:b w:val="0"/>
          <w:bCs/>
          <w:iCs/>
        </w:rPr>
        <w:t>համակարգի</w:t>
      </w:r>
      <w:r w:rsidRPr="009070BD">
        <w:rPr>
          <w:b w:val="0"/>
          <w:bCs/>
          <w:iCs/>
          <w:lang w:val="fr-FR"/>
        </w:rPr>
        <w:t xml:space="preserve"> </w:t>
      </w:r>
      <w:r w:rsidRPr="009070BD">
        <w:rPr>
          <w:b w:val="0"/>
          <w:bCs/>
          <w:iCs/>
        </w:rPr>
        <w:t>պահպանման</w:t>
      </w:r>
      <w:r w:rsidRPr="009070BD">
        <w:rPr>
          <w:b w:val="0"/>
          <w:bCs/>
          <w:iCs/>
          <w:lang w:val="fr-FR"/>
        </w:rPr>
        <w:t xml:space="preserve"> (</w:t>
      </w:r>
      <w:r w:rsidRPr="009070BD">
        <w:rPr>
          <w:b w:val="0"/>
          <w:bCs/>
          <w:iCs/>
        </w:rPr>
        <w:t>սպասարկման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ՀՀ</w:t>
      </w:r>
      <w:r w:rsidRPr="009070BD">
        <w:rPr>
          <w:b w:val="0"/>
          <w:bCs/>
          <w:iCs/>
          <w:lang w:val="fr-FR"/>
        </w:rPr>
        <w:t xml:space="preserve"> 2021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նախագծով</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1</w:t>
      </w:r>
      <w:r w:rsidR="0078718A">
        <w:rPr>
          <w:b w:val="0"/>
          <w:bCs/>
          <w:iCs/>
          <w:lang w:val="hy-AM"/>
        </w:rPr>
        <w:t>7</w:t>
      </w:r>
      <w:r w:rsidRPr="009070BD">
        <w:rPr>
          <w:b w:val="0"/>
          <w:bCs/>
          <w:iCs/>
          <w:lang w:val="fr-FR"/>
        </w:rPr>
        <w:t>.</w:t>
      </w:r>
      <w:r w:rsidR="0078718A">
        <w:rPr>
          <w:b w:val="0"/>
          <w:bCs/>
          <w:iCs/>
          <w:lang w:val="hy-AM"/>
        </w:rPr>
        <w:t>2</w:t>
      </w:r>
      <w:r w:rsidRPr="009070BD">
        <w:rPr>
          <w:b w:val="0"/>
          <w:bCs/>
          <w:iCs/>
          <w:lang w:val="fr-FR"/>
        </w:rPr>
        <w:t xml:space="preserve">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բյուջեով</w:t>
      </w:r>
      <w:r w:rsidRPr="009070BD">
        <w:rPr>
          <w:b w:val="0"/>
          <w:bCs/>
          <w:iCs/>
          <w:lang w:val="fr-FR"/>
        </w:rPr>
        <w:t xml:space="preserve"> </w:t>
      </w:r>
      <w:r w:rsidRPr="009070BD">
        <w:rPr>
          <w:b w:val="0"/>
          <w:bCs/>
          <w:iCs/>
        </w:rPr>
        <w:t>հաստատված</w:t>
      </w:r>
      <w:r w:rsidRPr="009070BD">
        <w:rPr>
          <w:b w:val="0"/>
          <w:bCs/>
          <w:iCs/>
          <w:lang w:val="fr-FR"/>
        </w:rPr>
        <w:t xml:space="preserve"> 15.9 </w:t>
      </w:r>
      <w:r w:rsidRPr="009070BD">
        <w:rPr>
          <w:b w:val="0"/>
          <w:bCs/>
          <w:iCs/>
        </w:rPr>
        <w:t>մլն</w:t>
      </w:r>
      <w:r w:rsidRPr="009070BD">
        <w:rPr>
          <w:b w:val="0"/>
          <w:bCs/>
          <w:iCs/>
          <w:lang w:val="fr-FR"/>
        </w:rPr>
        <w:t xml:space="preserve"> </w:t>
      </w:r>
      <w:r w:rsidRPr="009070BD">
        <w:rPr>
          <w:b w:val="0"/>
          <w:bCs/>
          <w:iCs/>
        </w:rPr>
        <w:t>դրամի</w:t>
      </w:r>
      <w:r w:rsidRPr="009070BD">
        <w:rPr>
          <w:b w:val="0"/>
          <w:bCs/>
          <w:iCs/>
          <w:lang w:val="fr-FR"/>
        </w:rPr>
        <w:t xml:space="preserve"> </w:t>
      </w:r>
      <w:r w:rsidRPr="009070BD">
        <w:rPr>
          <w:b w:val="0"/>
          <w:bCs/>
          <w:iCs/>
        </w:rPr>
        <w:t>դիմաց</w:t>
      </w:r>
      <w:r w:rsidRPr="009070BD">
        <w:rPr>
          <w:b w:val="0"/>
          <w:bCs/>
          <w:iCs/>
          <w:lang w:val="fr-FR"/>
        </w:rPr>
        <w:t xml:space="preserve">, </w:t>
      </w:r>
      <w:r w:rsidRPr="009070BD">
        <w:rPr>
          <w:b w:val="0"/>
          <w:bCs/>
          <w:iCs/>
        </w:rPr>
        <w:t>կամ</w:t>
      </w:r>
      <w:r w:rsidRPr="009070BD">
        <w:rPr>
          <w:b w:val="0"/>
          <w:bCs/>
          <w:iCs/>
          <w:lang w:val="fr-FR"/>
        </w:rPr>
        <w:t xml:space="preserve"> </w:t>
      </w:r>
      <w:r w:rsidR="0078718A">
        <w:rPr>
          <w:b w:val="0"/>
          <w:bCs/>
          <w:iCs/>
          <w:lang w:val="hy-AM"/>
        </w:rPr>
        <w:t>ավել</w:t>
      </w:r>
      <w:r w:rsidRPr="009070BD">
        <w:rPr>
          <w:b w:val="0"/>
          <w:bCs/>
          <w:iCs/>
          <w:lang w:val="fr-FR"/>
        </w:rPr>
        <w:t xml:space="preserve"> </w:t>
      </w:r>
      <w:r w:rsidR="0078718A">
        <w:rPr>
          <w:b w:val="0"/>
          <w:bCs/>
          <w:iCs/>
          <w:lang w:val="hy-AM"/>
        </w:rPr>
        <w:t>1</w:t>
      </w:r>
      <w:r w:rsidR="0078718A">
        <w:rPr>
          <w:b w:val="0"/>
          <w:bCs/>
          <w:iCs/>
          <w:lang w:val="fr-FR"/>
        </w:rPr>
        <w:t>.</w:t>
      </w:r>
      <w:r w:rsidR="0078718A">
        <w:rPr>
          <w:b w:val="0"/>
          <w:bCs/>
          <w:iCs/>
          <w:lang w:val="hy-AM"/>
        </w:rPr>
        <w:t>3</w:t>
      </w:r>
      <w:r w:rsidRPr="009070BD">
        <w:rPr>
          <w:b w:val="0"/>
          <w:bCs/>
          <w:iCs/>
          <w:lang w:val="fr-FR"/>
        </w:rPr>
        <w:t xml:space="preserve"> </w:t>
      </w:r>
      <w:r w:rsidRPr="009070BD">
        <w:rPr>
          <w:b w:val="0"/>
          <w:bCs/>
          <w:iCs/>
        </w:rPr>
        <w:t>մլն</w:t>
      </w:r>
      <w:r w:rsidRPr="009070BD">
        <w:rPr>
          <w:b w:val="0"/>
          <w:bCs/>
          <w:iCs/>
          <w:lang w:val="fr-FR"/>
        </w:rPr>
        <w:t xml:space="preserve"> </w:t>
      </w:r>
      <w:r w:rsidRPr="009070BD">
        <w:rPr>
          <w:b w:val="0"/>
          <w:bCs/>
          <w:iCs/>
        </w:rPr>
        <w:t>դրամով</w:t>
      </w:r>
      <w:r w:rsidRPr="009070BD">
        <w:rPr>
          <w:b w:val="0"/>
          <w:bCs/>
          <w:iCs/>
          <w:lang w:val="fr-FR"/>
        </w:rPr>
        <w:t xml:space="preserve">` </w:t>
      </w:r>
      <w:r w:rsidRPr="009070BD">
        <w:rPr>
          <w:b w:val="0"/>
          <w:bCs/>
          <w:iCs/>
        </w:rPr>
        <w:t>որն</w:t>
      </w:r>
      <w:r w:rsidRPr="009070BD">
        <w:rPr>
          <w:b w:val="0"/>
          <w:bCs/>
          <w:iCs/>
          <w:lang w:val="fr-FR"/>
        </w:rPr>
        <w:t xml:space="preserve"> </w:t>
      </w:r>
      <w:r w:rsidRPr="009070BD">
        <w:rPr>
          <w:b w:val="0"/>
          <w:bCs/>
          <w:iCs/>
        </w:rPr>
        <w:t>արդյունք</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փոխարժեքի</w:t>
      </w:r>
      <w:r w:rsidRPr="009070BD">
        <w:rPr>
          <w:b w:val="0"/>
          <w:bCs/>
          <w:iCs/>
          <w:lang w:val="fr-FR"/>
        </w:rPr>
        <w:t xml:space="preserve"> </w:t>
      </w:r>
      <w:r w:rsidRPr="009070BD">
        <w:rPr>
          <w:b w:val="0"/>
          <w:bCs/>
          <w:iCs/>
        </w:rPr>
        <w:t>տարբերության</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lang w:val="fr-FR"/>
        </w:rPr>
        <w:t>5.4 «</w:t>
      </w:r>
      <w:r w:rsidRPr="009070BD">
        <w:rPr>
          <w:b w:val="0"/>
          <w:bCs/>
          <w:iCs/>
        </w:rPr>
        <w:t>Ավտոմոբիլային</w:t>
      </w:r>
      <w:r w:rsidRPr="009070BD">
        <w:rPr>
          <w:b w:val="0"/>
          <w:bCs/>
          <w:iCs/>
          <w:lang w:val="fr-FR"/>
        </w:rPr>
        <w:t xml:space="preserve"> </w:t>
      </w:r>
      <w:r w:rsidRPr="009070BD">
        <w:rPr>
          <w:b w:val="0"/>
          <w:bCs/>
          <w:iCs/>
        </w:rPr>
        <w:t>ճանապարհների</w:t>
      </w:r>
      <w:r w:rsidRPr="009070BD">
        <w:rPr>
          <w:b w:val="0"/>
          <w:bCs/>
          <w:iCs/>
          <w:lang w:val="fr-FR"/>
        </w:rPr>
        <w:t xml:space="preserve"> </w:t>
      </w:r>
      <w:r w:rsidRPr="009070BD">
        <w:rPr>
          <w:b w:val="0"/>
          <w:bCs/>
          <w:iCs/>
        </w:rPr>
        <w:t>ցանցի</w:t>
      </w:r>
      <w:r w:rsidRPr="009070BD">
        <w:rPr>
          <w:b w:val="0"/>
          <w:bCs/>
          <w:iCs/>
          <w:lang w:val="fr-FR"/>
        </w:rPr>
        <w:t xml:space="preserve"> </w:t>
      </w:r>
      <w:r w:rsidRPr="009070BD">
        <w:rPr>
          <w:b w:val="0"/>
          <w:bCs/>
          <w:iCs/>
        </w:rPr>
        <w:t>հսկողություն</w:t>
      </w:r>
      <w:r w:rsidRPr="009070BD">
        <w:rPr>
          <w:b w:val="0"/>
          <w:bCs/>
          <w:iCs/>
          <w:lang w:val="fr-FR"/>
        </w:rPr>
        <w:t xml:space="preserve">, </w:t>
      </w:r>
      <w:r w:rsidRPr="009070BD">
        <w:rPr>
          <w:b w:val="0"/>
          <w:bCs/>
          <w:iCs/>
        </w:rPr>
        <w:t>ուսումնասիրություններ</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փորձաքննություններ</w:t>
      </w:r>
      <w:r w:rsidRPr="009070BD">
        <w:rPr>
          <w:b w:val="0"/>
          <w:bCs/>
          <w:iCs/>
          <w:lang w:val="fr-FR"/>
        </w:rPr>
        <w:t xml:space="preserve">» </w:t>
      </w:r>
      <w:r w:rsidRPr="009070BD">
        <w:rPr>
          <w:b w:val="0"/>
          <w:bCs/>
          <w:iCs/>
        </w:rPr>
        <w:t>միջոցառման</w:t>
      </w:r>
      <w:r w:rsidRPr="009070BD">
        <w:rPr>
          <w:b w:val="0"/>
          <w:bCs/>
          <w:iCs/>
          <w:lang w:val="fr-FR"/>
        </w:rPr>
        <w:t xml:space="preserve"> </w:t>
      </w:r>
      <w:r w:rsidRPr="009070BD">
        <w:rPr>
          <w:b w:val="0"/>
          <w:bCs/>
          <w:iCs/>
        </w:rPr>
        <w:t>գծով</w:t>
      </w:r>
      <w:r w:rsidRPr="009070BD">
        <w:rPr>
          <w:b w:val="0"/>
          <w:bCs/>
          <w:iCs/>
          <w:lang w:val="fr-FR"/>
        </w:rPr>
        <w:t xml:space="preserve"> «</w:t>
      </w:r>
      <w:r w:rsidR="00B54E6D">
        <w:rPr>
          <w:b w:val="0"/>
          <w:bCs/>
          <w:iCs/>
        </w:rPr>
        <w:t>Ճ</w:t>
      </w:r>
      <w:r w:rsidRPr="009070BD">
        <w:rPr>
          <w:b w:val="0"/>
          <w:bCs/>
          <w:iCs/>
        </w:rPr>
        <w:t>անապարհ</w:t>
      </w:r>
      <w:r w:rsidR="00B54E6D">
        <w:rPr>
          <w:b w:val="0"/>
          <w:bCs/>
          <w:iCs/>
          <w:lang w:val="hy-AM"/>
        </w:rPr>
        <w:t>ային դեպարտամենտ</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ոչ</w:t>
      </w:r>
      <w:r w:rsidRPr="009070BD">
        <w:rPr>
          <w:b w:val="0"/>
          <w:bCs/>
          <w:iCs/>
          <w:lang w:val="fr-FR"/>
        </w:rPr>
        <w:t xml:space="preserve"> </w:t>
      </w:r>
      <w:r w:rsidRPr="009070BD">
        <w:rPr>
          <w:b w:val="0"/>
          <w:bCs/>
          <w:iCs/>
        </w:rPr>
        <w:t>առևտրային</w:t>
      </w:r>
      <w:r w:rsidRPr="009070BD">
        <w:rPr>
          <w:b w:val="0"/>
          <w:bCs/>
          <w:iCs/>
          <w:lang w:val="fr-FR"/>
        </w:rPr>
        <w:t xml:space="preserve"> </w:t>
      </w:r>
      <w:r w:rsidRPr="009070BD">
        <w:rPr>
          <w:b w:val="0"/>
          <w:bCs/>
          <w:iCs/>
        </w:rPr>
        <w:t>կազմակեր</w:t>
      </w:r>
      <w:r w:rsidRPr="009070BD">
        <w:rPr>
          <w:b w:val="0"/>
          <w:bCs/>
          <w:iCs/>
          <w:lang w:val="fr-FR"/>
        </w:rPr>
        <w:softHyphen/>
      </w:r>
      <w:r w:rsidRPr="009070BD">
        <w:rPr>
          <w:b w:val="0"/>
          <w:bCs/>
          <w:iCs/>
        </w:rPr>
        <w:t>պության</w:t>
      </w:r>
      <w:r w:rsidRPr="009070BD">
        <w:rPr>
          <w:b w:val="0"/>
          <w:bCs/>
          <w:iCs/>
          <w:lang w:val="fr-FR"/>
        </w:rPr>
        <w:t xml:space="preserve"> </w:t>
      </w:r>
      <w:r w:rsidRPr="009070BD">
        <w:rPr>
          <w:b w:val="0"/>
          <w:bCs/>
          <w:iCs/>
        </w:rPr>
        <w:t>կանոնադրական</w:t>
      </w:r>
      <w:r w:rsidRPr="009070BD">
        <w:rPr>
          <w:b w:val="0"/>
          <w:bCs/>
          <w:iCs/>
          <w:lang w:val="fr-FR"/>
        </w:rPr>
        <w:t xml:space="preserve"> </w:t>
      </w:r>
      <w:r w:rsidRPr="009070BD">
        <w:rPr>
          <w:b w:val="0"/>
          <w:bCs/>
          <w:iCs/>
        </w:rPr>
        <w:t>խնդիրների</w:t>
      </w:r>
      <w:r w:rsidRPr="009070BD">
        <w:rPr>
          <w:b w:val="0"/>
          <w:bCs/>
          <w:iCs/>
          <w:lang w:val="fr-FR"/>
        </w:rPr>
        <w:t xml:space="preserve"> </w:t>
      </w:r>
      <w:r w:rsidRPr="009070BD">
        <w:rPr>
          <w:b w:val="0"/>
          <w:bCs/>
          <w:iCs/>
        </w:rPr>
        <w:t>իրագործ</w:t>
      </w:r>
      <w:r w:rsidRPr="009070BD">
        <w:rPr>
          <w:b w:val="0"/>
          <w:bCs/>
          <w:iCs/>
          <w:lang w:val="fr-FR"/>
        </w:rPr>
        <w:softHyphen/>
      </w:r>
      <w:r w:rsidRPr="009070BD">
        <w:rPr>
          <w:b w:val="0"/>
          <w:bCs/>
          <w:iCs/>
        </w:rPr>
        <w:t>ման</w:t>
      </w:r>
      <w:r w:rsidRPr="009070BD">
        <w:rPr>
          <w:b w:val="0"/>
          <w:bCs/>
          <w:iCs/>
          <w:lang w:val="fr-FR"/>
        </w:rPr>
        <w:t xml:space="preserve"> </w:t>
      </w:r>
      <w:r w:rsidRPr="009070BD">
        <w:rPr>
          <w:b w:val="0"/>
          <w:bCs/>
          <w:iCs/>
        </w:rPr>
        <w:t>նպատակով</w:t>
      </w:r>
      <w:r w:rsidRPr="009070BD">
        <w:rPr>
          <w:b w:val="0"/>
          <w:bCs/>
          <w:iCs/>
          <w:lang w:val="fr-FR"/>
        </w:rPr>
        <w:t xml:space="preserve"> </w:t>
      </w:r>
      <w:r w:rsidRPr="009070BD">
        <w:rPr>
          <w:b w:val="0"/>
          <w:bCs/>
          <w:iCs/>
        </w:rPr>
        <w:t>ՀՀ</w:t>
      </w:r>
      <w:r w:rsidRPr="009070BD">
        <w:rPr>
          <w:b w:val="0"/>
          <w:bCs/>
          <w:iCs/>
          <w:lang w:val="fr-FR"/>
        </w:rPr>
        <w:t xml:space="preserve"> 2021 </w:t>
      </w:r>
      <w:r w:rsidRPr="009070BD">
        <w:rPr>
          <w:b w:val="0"/>
          <w:bCs/>
          <w:iCs/>
        </w:rPr>
        <w:t>թվականին</w:t>
      </w:r>
      <w:r w:rsidRPr="009070BD">
        <w:rPr>
          <w:b w:val="0"/>
          <w:bCs/>
          <w:iCs/>
          <w:lang w:val="fr-FR"/>
        </w:rPr>
        <w:t xml:space="preserve"> </w:t>
      </w:r>
      <w:r w:rsidRPr="009070BD">
        <w:rPr>
          <w:b w:val="0"/>
          <w:bCs/>
          <w:iCs/>
        </w:rPr>
        <w:t>նախա</w:t>
      </w:r>
      <w:r w:rsidRPr="009070BD">
        <w:rPr>
          <w:b w:val="0"/>
          <w:bCs/>
          <w:iCs/>
          <w:lang w:val="fr-FR"/>
        </w:rPr>
        <w:softHyphen/>
      </w:r>
      <w:r w:rsidRPr="009070BD">
        <w:rPr>
          <w:b w:val="0"/>
          <w:bCs/>
          <w:iCs/>
        </w:rPr>
        <w:t>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հատկացնել</w:t>
      </w:r>
      <w:r w:rsidRPr="009070BD">
        <w:rPr>
          <w:b w:val="0"/>
          <w:bCs/>
          <w:iCs/>
          <w:lang w:val="fr-FR"/>
        </w:rPr>
        <w:t xml:space="preserve"> 218.1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մակարդակին</w:t>
      </w:r>
      <w:r w:rsidRPr="009070BD">
        <w:rPr>
          <w:b w:val="0"/>
          <w:bCs/>
          <w:iCs/>
          <w:lang w:val="fr-FR"/>
        </w:rPr>
        <w:t xml:space="preserve"> </w:t>
      </w:r>
      <w:r w:rsidRPr="009070BD">
        <w:rPr>
          <w:b w:val="0"/>
          <w:bCs/>
          <w:iCs/>
        </w:rPr>
        <w:t>համապատասխան</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hy-AM"/>
        </w:rPr>
        <w:t>5</w:t>
      </w:r>
      <w:r w:rsidRPr="009070BD">
        <w:rPr>
          <w:b w:val="0"/>
          <w:bCs/>
          <w:iCs/>
          <w:lang w:val="fr-FR"/>
        </w:rPr>
        <w:t>.5 «</w:t>
      </w:r>
      <w:r w:rsidRPr="009070BD">
        <w:rPr>
          <w:b w:val="0"/>
          <w:bCs/>
          <w:iCs/>
        </w:rPr>
        <w:t>Պետական</w:t>
      </w:r>
      <w:r w:rsidRPr="009070BD">
        <w:rPr>
          <w:b w:val="0"/>
          <w:bCs/>
          <w:iCs/>
          <w:lang w:val="fr-FR"/>
        </w:rPr>
        <w:t xml:space="preserve"> </w:t>
      </w:r>
      <w:r w:rsidRPr="009070BD">
        <w:rPr>
          <w:b w:val="0"/>
          <w:bCs/>
          <w:iCs/>
        </w:rPr>
        <w:t>նշանակության</w:t>
      </w:r>
      <w:r w:rsidRPr="009070BD">
        <w:rPr>
          <w:b w:val="0"/>
          <w:bCs/>
          <w:iCs/>
          <w:lang w:val="fr-FR"/>
        </w:rPr>
        <w:t xml:space="preserve"> </w:t>
      </w:r>
      <w:r w:rsidRPr="009070BD">
        <w:rPr>
          <w:b w:val="0"/>
          <w:bCs/>
          <w:iCs/>
        </w:rPr>
        <w:t>ավտոճանապարհների</w:t>
      </w:r>
      <w:r w:rsidRPr="009070BD">
        <w:rPr>
          <w:b w:val="0"/>
          <w:bCs/>
          <w:iCs/>
          <w:lang w:val="fr-FR"/>
        </w:rPr>
        <w:t xml:space="preserve"> </w:t>
      </w:r>
      <w:r w:rsidRPr="009070BD">
        <w:rPr>
          <w:b w:val="0"/>
          <w:bCs/>
          <w:iCs/>
        </w:rPr>
        <w:t>հիմնանորոգում</w:t>
      </w:r>
      <w:r w:rsidRPr="009070BD">
        <w:rPr>
          <w:b w:val="0"/>
          <w:bCs/>
          <w:iCs/>
          <w:lang w:val="fr-FR"/>
        </w:rPr>
        <w:t xml:space="preserve">» </w:t>
      </w:r>
      <w:r w:rsidRPr="009070BD">
        <w:rPr>
          <w:b w:val="0"/>
          <w:bCs/>
          <w:iCs/>
        </w:rPr>
        <w:t>միջոցա</w:t>
      </w:r>
      <w:r w:rsidRPr="009070BD">
        <w:rPr>
          <w:b w:val="0"/>
          <w:bCs/>
          <w:iCs/>
          <w:lang w:val="fr-FR"/>
        </w:rPr>
        <w:softHyphen/>
      </w:r>
      <w:r w:rsidRPr="009070BD">
        <w:rPr>
          <w:b w:val="0"/>
          <w:bCs/>
          <w:iCs/>
        </w:rPr>
        <w:t>ռ</w:t>
      </w:r>
      <w:r w:rsidRPr="009070BD">
        <w:rPr>
          <w:b w:val="0"/>
          <w:bCs/>
          <w:iCs/>
          <w:lang w:val="en-US"/>
        </w:rPr>
        <w:t>ման</w:t>
      </w:r>
      <w:r w:rsidRPr="009070BD">
        <w:rPr>
          <w:b w:val="0"/>
          <w:bCs/>
          <w:iCs/>
          <w:lang w:val="fr-FR"/>
        </w:rPr>
        <w:t xml:space="preserve"> </w:t>
      </w:r>
      <w:r w:rsidRPr="009070BD">
        <w:rPr>
          <w:b w:val="0"/>
          <w:bCs/>
          <w:iCs/>
          <w:lang w:val="en-US"/>
        </w:rPr>
        <w:t>համար</w:t>
      </w:r>
      <w:r w:rsidRPr="009070BD">
        <w:rPr>
          <w:b w:val="0"/>
          <w:bCs/>
          <w:iCs/>
          <w:lang w:val="fr-FR"/>
        </w:rPr>
        <w:t xml:space="preserve"> 2021 </w:t>
      </w:r>
      <w:r w:rsidRPr="009070BD">
        <w:rPr>
          <w:b w:val="0"/>
          <w:bCs/>
          <w:iCs/>
        </w:rPr>
        <w:t>թվականի</w:t>
      </w:r>
      <w:r w:rsidRPr="009070BD">
        <w:rPr>
          <w:b w:val="0"/>
          <w:bCs/>
          <w:iCs/>
          <w:lang w:val="en-US"/>
        </w:rPr>
        <w:t>ն</w:t>
      </w:r>
      <w:r w:rsidRPr="009070BD">
        <w:rPr>
          <w:b w:val="0"/>
          <w:bCs/>
          <w:iCs/>
          <w:lang w:val="fr-FR"/>
        </w:rPr>
        <w:t xml:space="preserve"> </w:t>
      </w:r>
      <w:r w:rsidRPr="009070BD">
        <w:rPr>
          <w:b w:val="0"/>
          <w:bCs/>
          <w:iCs/>
        </w:rPr>
        <w:t>նախատեսվ</w:t>
      </w:r>
      <w:r w:rsidRPr="009070BD">
        <w:rPr>
          <w:b w:val="0"/>
          <w:bCs/>
          <w:iCs/>
          <w:lang w:val="en-US"/>
        </w:rPr>
        <w:t>ում</w:t>
      </w:r>
      <w:r w:rsidRPr="009070BD">
        <w:rPr>
          <w:b w:val="0"/>
          <w:bCs/>
          <w:iCs/>
          <w:lang w:val="af-ZA"/>
        </w:rPr>
        <w:t xml:space="preserve"> </w:t>
      </w:r>
      <w:r w:rsidRPr="009070BD">
        <w:rPr>
          <w:b w:val="0"/>
          <w:bCs/>
          <w:iCs/>
          <w:lang w:val="en-US"/>
        </w:rPr>
        <w:t>է</w:t>
      </w:r>
      <w:r w:rsidRPr="009070BD">
        <w:rPr>
          <w:b w:val="0"/>
          <w:bCs/>
          <w:iCs/>
          <w:lang w:val="af-ZA"/>
        </w:rPr>
        <w:t xml:space="preserve"> </w:t>
      </w:r>
      <w:r w:rsidRPr="009070BD">
        <w:rPr>
          <w:b w:val="0"/>
          <w:bCs/>
          <w:iCs/>
          <w:lang w:val="en-US"/>
        </w:rPr>
        <w:t>հատկացնել</w:t>
      </w:r>
      <w:r w:rsidRPr="009070BD">
        <w:rPr>
          <w:b w:val="0"/>
          <w:bCs/>
          <w:iCs/>
          <w:lang w:val="fr-FR"/>
        </w:rPr>
        <w:t xml:space="preserve"> 33039.2</w:t>
      </w:r>
      <w:r w:rsidRPr="009070BD">
        <w:rPr>
          <w:rFonts w:hint="eastAsia"/>
          <w:b w:val="0"/>
          <w:bCs/>
          <w:iCs/>
          <w:lang w:val="fr-FR"/>
        </w:rPr>
        <w:t xml:space="preserve"> </w:t>
      </w:r>
      <w:r w:rsidRPr="009070BD">
        <w:rPr>
          <w:b w:val="0"/>
          <w:bCs/>
          <w:iCs/>
        </w:rPr>
        <w:t>մլն</w:t>
      </w:r>
      <w:r w:rsidRPr="009070BD">
        <w:rPr>
          <w:b w:val="0"/>
          <w:bCs/>
          <w:iCs/>
          <w:lang w:val="fr-FR"/>
        </w:rPr>
        <w:t xml:space="preserve"> </w:t>
      </w:r>
      <w:r w:rsidRPr="009070BD">
        <w:rPr>
          <w:b w:val="0"/>
          <w:bCs/>
          <w:iCs/>
        </w:rPr>
        <w:t>դրամ</w:t>
      </w:r>
      <w:r w:rsidRPr="009070BD">
        <w:rPr>
          <w:b w:val="0"/>
          <w:bCs/>
          <w:iCs/>
          <w:lang w:val="en-US"/>
        </w:rPr>
        <w:t>՝</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բյուջեով</w:t>
      </w:r>
      <w:r w:rsidRPr="009070BD">
        <w:rPr>
          <w:b w:val="0"/>
          <w:bCs/>
          <w:iCs/>
          <w:lang w:val="fr-FR"/>
        </w:rPr>
        <w:t xml:space="preserve"> </w:t>
      </w:r>
      <w:r w:rsidRPr="009070BD">
        <w:rPr>
          <w:b w:val="0"/>
          <w:bCs/>
          <w:iCs/>
        </w:rPr>
        <w:t>հաստատված</w:t>
      </w:r>
      <w:r w:rsidRPr="009070BD">
        <w:rPr>
          <w:b w:val="0"/>
          <w:bCs/>
          <w:iCs/>
          <w:lang w:val="fr-FR"/>
        </w:rPr>
        <w:t xml:space="preserve"> 21</w:t>
      </w:r>
      <w:r w:rsidRPr="009070BD">
        <w:rPr>
          <w:b w:val="0"/>
          <w:bCs/>
          <w:iCs/>
          <w:lang w:val="af-ZA"/>
        </w:rPr>
        <w:t></w:t>
      </w:r>
      <w:r w:rsidRPr="009070BD">
        <w:rPr>
          <w:b w:val="0"/>
          <w:bCs/>
          <w:iCs/>
          <w:lang w:val="fr-FR"/>
        </w:rPr>
        <w:t xml:space="preserve">559.6 </w:t>
      </w:r>
      <w:r w:rsidRPr="009070BD">
        <w:rPr>
          <w:b w:val="0"/>
          <w:bCs/>
          <w:iCs/>
        </w:rPr>
        <w:t>մլն</w:t>
      </w:r>
      <w:r w:rsidRPr="009070BD">
        <w:rPr>
          <w:b w:val="0"/>
          <w:bCs/>
          <w:iCs/>
          <w:lang w:val="fr-FR"/>
        </w:rPr>
        <w:t xml:space="preserve"> </w:t>
      </w:r>
      <w:r w:rsidRPr="009070BD">
        <w:rPr>
          <w:b w:val="0"/>
          <w:bCs/>
          <w:iCs/>
        </w:rPr>
        <w:t>դրամի</w:t>
      </w:r>
      <w:r w:rsidRPr="009070BD">
        <w:rPr>
          <w:b w:val="0"/>
          <w:bCs/>
          <w:iCs/>
          <w:lang w:val="fr-FR"/>
        </w:rPr>
        <w:t xml:space="preserve"> </w:t>
      </w:r>
      <w:r w:rsidRPr="009070BD">
        <w:rPr>
          <w:b w:val="0"/>
          <w:bCs/>
          <w:iCs/>
        </w:rPr>
        <w:t>դիմաց</w:t>
      </w:r>
      <w:r w:rsidRPr="009070BD">
        <w:rPr>
          <w:b w:val="0"/>
          <w:bCs/>
          <w:iCs/>
          <w:lang w:val="fr-FR"/>
        </w:rPr>
        <w:t>:</w:t>
      </w:r>
    </w:p>
    <w:p w:rsidR="001971B9" w:rsidRPr="009070BD" w:rsidRDefault="001971B9" w:rsidP="007730AA">
      <w:pPr>
        <w:spacing w:before="0" w:line="276" w:lineRule="auto"/>
        <w:ind w:firstLine="720"/>
        <w:rPr>
          <w:bCs/>
          <w:iCs/>
          <w:lang w:val="fr-FR"/>
        </w:rPr>
      </w:pPr>
      <w:r w:rsidRPr="009070BD">
        <w:rPr>
          <w:b w:val="0"/>
          <w:bCs/>
          <w:iCs/>
          <w:lang w:val="fr-FR"/>
        </w:rPr>
        <w:t xml:space="preserve">5.6.«Տրանսպորտային օբյեկտների հիմնանորոգում» </w:t>
      </w:r>
      <w:r w:rsidRPr="009070BD">
        <w:rPr>
          <w:b w:val="0"/>
          <w:bCs/>
          <w:iCs/>
        </w:rPr>
        <w:t>միջոցա</w:t>
      </w:r>
      <w:r w:rsidRPr="009070BD">
        <w:rPr>
          <w:b w:val="0"/>
          <w:bCs/>
          <w:iCs/>
          <w:lang w:val="fr-FR"/>
        </w:rPr>
        <w:softHyphen/>
      </w:r>
      <w:r w:rsidRPr="009070BD">
        <w:rPr>
          <w:b w:val="0"/>
          <w:bCs/>
          <w:iCs/>
        </w:rPr>
        <w:t>ռ</w:t>
      </w:r>
      <w:r w:rsidRPr="009070BD">
        <w:rPr>
          <w:b w:val="0"/>
          <w:bCs/>
          <w:iCs/>
          <w:lang w:val="en-US"/>
        </w:rPr>
        <w:t>ման</w:t>
      </w:r>
      <w:r w:rsidRPr="009070BD">
        <w:rPr>
          <w:b w:val="0"/>
          <w:bCs/>
          <w:iCs/>
          <w:lang w:val="fr-FR"/>
        </w:rPr>
        <w:t xml:space="preserve"> </w:t>
      </w:r>
      <w:r w:rsidRPr="009070BD">
        <w:rPr>
          <w:b w:val="0"/>
          <w:bCs/>
          <w:iCs/>
          <w:lang w:val="en-US"/>
        </w:rPr>
        <w:t>համար</w:t>
      </w:r>
      <w:r w:rsidRPr="009070BD">
        <w:rPr>
          <w:b w:val="0"/>
          <w:bCs/>
          <w:iCs/>
          <w:lang w:val="fr-FR"/>
        </w:rPr>
        <w:t xml:space="preserve"> 2021 </w:t>
      </w:r>
      <w:r w:rsidRPr="009070BD">
        <w:rPr>
          <w:b w:val="0"/>
          <w:bCs/>
          <w:iCs/>
        </w:rPr>
        <w:t>թվականի</w:t>
      </w:r>
      <w:r w:rsidRPr="009070BD">
        <w:rPr>
          <w:b w:val="0"/>
          <w:bCs/>
          <w:iCs/>
          <w:lang w:val="en-US"/>
        </w:rPr>
        <w:t>ն</w:t>
      </w:r>
      <w:r w:rsidRPr="009070BD">
        <w:rPr>
          <w:b w:val="0"/>
          <w:bCs/>
          <w:iCs/>
          <w:lang w:val="fr-FR"/>
        </w:rPr>
        <w:t xml:space="preserve"> </w:t>
      </w:r>
      <w:r w:rsidRPr="009070BD">
        <w:rPr>
          <w:b w:val="0"/>
          <w:bCs/>
          <w:iCs/>
        </w:rPr>
        <w:t>նախատեսվ</w:t>
      </w:r>
      <w:r w:rsidRPr="009070BD">
        <w:rPr>
          <w:b w:val="0"/>
          <w:bCs/>
          <w:iCs/>
          <w:lang w:val="en-US"/>
        </w:rPr>
        <w:t>ում</w:t>
      </w:r>
      <w:r w:rsidRPr="009070BD">
        <w:rPr>
          <w:b w:val="0"/>
          <w:bCs/>
          <w:iCs/>
          <w:lang w:val="af-ZA"/>
        </w:rPr>
        <w:t xml:space="preserve"> </w:t>
      </w:r>
      <w:r w:rsidRPr="009070BD">
        <w:rPr>
          <w:b w:val="0"/>
          <w:bCs/>
          <w:iCs/>
          <w:lang w:val="en-US"/>
        </w:rPr>
        <w:t>է</w:t>
      </w:r>
      <w:r w:rsidRPr="009070BD">
        <w:rPr>
          <w:b w:val="0"/>
          <w:bCs/>
          <w:iCs/>
          <w:lang w:val="af-ZA"/>
        </w:rPr>
        <w:t xml:space="preserve"> </w:t>
      </w:r>
      <w:r w:rsidRPr="009070BD">
        <w:rPr>
          <w:b w:val="0"/>
          <w:bCs/>
          <w:iCs/>
          <w:lang w:val="en-US"/>
        </w:rPr>
        <w:t>հատկացնել</w:t>
      </w:r>
      <w:r w:rsidRPr="009070BD">
        <w:rPr>
          <w:b w:val="0"/>
          <w:bCs/>
          <w:iCs/>
          <w:lang w:val="fr-FR"/>
        </w:rPr>
        <w:t xml:space="preserve"> 1101.0</w:t>
      </w:r>
      <w:r w:rsidRPr="009070BD">
        <w:rPr>
          <w:rFonts w:hint="eastAsia"/>
          <w:b w:val="0"/>
          <w:bCs/>
          <w:iCs/>
          <w:lang w:val="fr-FR"/>
        </w:rPr>
        <w:t xml:space="preserve">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w:t>
      </w:r>
      <w:r w:rsidRPr="009070BD">
        <w:rPr>
          <w:bCs/>
          <w:iCs/>
          <w:lang w:val="fr-FR"/>
        </w:rPr>
        <w:t xml:space="preserve"> </w:t>
      </w:r>
    </w:p>
    <w:p w:rsidR="001971B9" w:rsidRPr="009070BD" w:rsidRDefault="001971B9" w:rsidP="007730AA">
      <w:pPr>
        <w:spacing w:before="0" w:line="276" w:lineRule="auto"/>
        <w:ind w:firstLine="720"/>
        <w:rPr>
          <w:bCs/>
          <w:iCs/>
          <w:lang w:val="hy-AM"/>
        </w:rPr>
      </w:pPr>
      <w:r w:rsidRPr="009070BD">
        <w:rPr>
          <w:bCs/>
          <w:iCs/>
          <w:lang w:val="fr-FR"/>
        </w:rPr>
        <w:t xml:space="preserve">6. </w:t>
      </w:r>
      <w:r w:rsidRPr="009070BD">
        <w:rPr>
          <w:bCs/>
          <w:iCs/>
          <w:lang w:val="hy-AM"/>
        </w:rPr>
        <w:t>«Աջակցություն փախստականների ինտեգրմանը» ծրագիր.</w:t>
      </w:r>
    </w:p>
    <w:p w:rsidR="001971B9" w:rsidRPr="009070BD" w:rsidRDefault="001971B9" w:rsidP="007730AA">
      <w:pPr>
        <w:spacing w:before="0" w:line="276" w:lineRule="auto"/>
        <w:ind w:firstLine="720"/>
        <w:rPr>
          <w:b w:val="0"/>
          <w:bCs/>
          <w:iCs/>
          <w:lang w:val="hy-AM"/>
        </w:rPr>
      </w:pPr>
      <w:r w:rsidRPr="009070BD">
        <w:rPr>
          <w:b w:val="0"/>
          <w:bCs/>
          <w:iCs/>
          <w:lang w:val="hy-AM"/>
        </w:rPr>
        <w:t>Ծրագրի նպատակն է ապահովել փախստականների ինտեգրումը հասարակությանը, որի շրջանակներում նախա</w:t>
      </w:r>
      <w:r w:rsidRPr="009070BD">
        <w:rPr>
          <w:b w:val="0"/>
          <w:bCs/>
          <w:iCs/>
          <w:lang w:val="fr-FR"/>
        </w:rPr>
        <w:softHyphen/>
      </w:r>
      <w:r w:rsidRPr="009070BD">
        <w:rPr>
          <w:b w:val="0"/>
          <w:bCs/>
          <w:iCs/>
          <w:lang w:val="hy-AM"/>
        </w:rPr>
        <w:t>տեսվում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իրականացնել</w:t>
      </w:r>
      <w:r w:rsidRPr="009070BD">
        <w:rPr>
          <w:b w:val="0"/>
          <w:bCs/>
          <w:iCs/>
          <w:lang w:val="fr-FR"/>
        </w:rPr>
        <w:t xml:space="preserve"> </w:t>
      </w:r>
      <w:r w:rsidRPr="009070BD">
        <w:rPr>
          <w:b w:val="0"/>
          <w:bCs/>
          <w:iCs/>
          <w:lang w:val="hy-AM"/>
        </w:rPr>
        <w:t>հետևյալ</w:t>
      </w:r>
      <w:r w:rsidRPr="009070BD">
        <w:rPr>
          <w:b w:val="0"/>
          <w:bCs/>
          <w:iCs/>
          <w:lang w:val="fr-FR"/>
        </w:rPr>
        <w:t xml:space="preserve"> </w:t>
      </w:r>
      <w:r w:rsidRPr="009070BD">
        <w:rPr>
          <w:b w:val="0"/>
          <w:bCs/>
          <w:iCs/>
          <w:lang w:val="hy-AM"/>
        </w:rPr>
        <w:t>միջոցառումները</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6.1 «</w:t>
      </w:r>
      <w:r w:rsidRPr="009070BD">
        <w:rPr>
          <w:b w:val="0"/>
          <w:bCs/>
          <w:iCs/>
          <w:lang w:val="hy-AM"/>
        </w:rPr>
        <w:t>Ապաստան հայցողների կեցության խնդիրների լուծման  միջոցառումների իրականացում</w:t>
      </w:r>
      <w:r w:rsidRPr="009070BD">
        <w:rPr>
          <w:b w:val="0"/>
          <w:bCs/>
          <w:iCs/>
          <w:lang w:val="fr-FR"/>
        </w:rPr>
        <w:t xml:space="preserve">» </w:t>
      </w:r>
      <w:r w:rsidRPr="009070BD">
        <w:rPr>
          <w:b w:val="0"/>
          <w:bCs/>
          <w:iCs/>
          <w:lang w:val="hy-AM"/>
        </w:rPr>
        <w:t>միջոցառման</w:t>
      </w:r>
      <w:r w:rsidRPr="009070BD">
        <w:rPr>
          <w:b w:val="0"/>
          <w:bCs/>
          <w:iCs/>
          <w:lang w:val="fr-FR"/>
        </w:rPr>
        <w:t xml:space="preserve"> </w:t>
      </w:r>
      <w:r w:rsidRPr="009070BD">
        <w:rPr>
          <w:b w:val="0"/>
          <w:bCs/>
          <w:iCs/>
          <w:lang w:val="hy-AM"/>
        </w:rPr>
        <w:t>գծով</w:t>
      </w:r>
      <w:r w:rsidRPr="009070BD">
        <w:rPr>
          <w:b w:val="0"/>
          <w:bCs/>
          <w:iCs/>
          <w:lang w:val="fr-FR"/>
        </w:rPr>
        <w:t xml:space="preserve"> </w:t>
      </w:r>
      <w:r w:rsidRPr="009070BD">
        <w:rPr>
          <w:b w:val="0"/>
          <w:bCs/>
          <w:iCs/>
          <w:lang w:val="hy-AM"/>
        </w:rPr>
        <w:t>նախատեսվում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ծախս</w:t>
      </w:r>
      <w:r w:rsidRPr="009070BD">
        <w:rPr>
          <w:b w:val="0"/>
          <w:bCs/>
          <w:iCs/>
          <w:lang w:val="fr-FR"/>
        </w:rPr>
        <w:t xml:space="preserve"> 29.5 </w:t>
      </w:r>
      <w:r w:rsidRPr="009070BD">
        <w:rPr>
          <w:b w:val="0"/>
          <w:bCs/>
          <w:iCs/>
          <w:lang w:val="hy-AM"/>
        </w:rPr>
        <w:t>մլն</w:t>
      </w:r>
      <w:r w:rsidRPr="009070BD">
        <w:rPr>
          <w:b w:val="0"/>
          <w:bCs/>
          <w:iCs/>
          <w:lang w:val="fr-FR"/>
        </w:rPr>
        <w:t xml:space="preserve"> </w:t>
      </w:r>
      <w:r w:rsidRPr="009070BD">
        <w:rPr>
          <w:b w:val="0"/>
          <w:bCs/>
          <w:iCs/>
          <w:lang w:val="hy-AM"/>
        </w:rPr>
        <w:t>դրամ</w:t>
      </w:r>
      <w:r w:rsidRPr="009070BD">
        <w:rPr>
          <w:b w:val="0"/>
          <w:bCs/>
          <w:iCs/>
          <w:lang w:val="fr-FR"/>
        </w:rPr>
        <w:t xml:space="preserve">` </w:t>
      </w:r>
      <w:r w:rsidRPr="009070BD">
        <w:rPr>
          <w:b w:val="0"/>
          <w:bCs/>
          <w:iCs/>
          <w:lang w:val="hy-AM"/>
        </w:rPr>
        <w:t>ՀՀ</w:t>
      </w:r>
      <w:r w:rsidRPr="009070BD">
        <w:rPr>
          <w:b w:val="0"/>
          <w:bCs/>
          <w:iCs/>
          <w:lang w:val="fr-FR"/>
        </w:rPr>
        <w:t xml:space="preserve"> 2020 </w:t>
      </w:r>
      <w:r w:rsidRPr="009070BD">
        <w:rPr>
          <w:b w:val="0"/>
          <w:bCs/>
          <w:iCs/>
          <w:lang w:val="hy-AM"/>
        </w:rPr>
        <w:t>թվականի</w:t>
      </w:r>
      <w:r w:rsidRPr="009070BD">
        <w:rPr>
          <w:b w:val="0"/>
          <w:bCs/>
          <w:iCs/>
          <w:lang w:val="fr-FR"/>
        </w:rPr>
        <w:t xml:space="preserve"> </w:t>
      </w:r>
      <w:r w:rsidRPr="009070BD">
        <w:rPr>
          <w:b w:val="0"/>
          <w:bCs/>
          <w:iCs/>
          <w:lang w:val="hy-AM"/>
        </w:rPr>
        <w:t>պետական</w:t>
      </w:r>
      <w:r w:rsidRPr="009070BD">
        <w:rPr>
          <w:b w:val="0"/>
          <w:bCs/>
          <w:iCs/>
          <w:lang w:val="fr-FR"/>
        </w:rPr>
        <w:t xml:space="preserve"> </w:t>
      </w:r>
      <w:r w:rsidRPr="009070BD">
        <w:rPr>
          <w:b w:val="0"/>
          <w:bCs/>
          <w:iCs/>
          <w:lang w:val="hy-AM"/>
        </w:rPr>
        <w:t>բյուջեով</w:t>
      </w:r>
      <w:r w:rsidRPr="009070BD">
        <w:rPr>
          <w:b w:val="0"/>
          <w:bCs/>
          <w:iCs/>
          <w:lang w:val="fr-FR"/>
        </w:rPr>
        <w:t xml:space="preserve"> </w:t>
      </w:r>
      <w:r w:rsidRPr="009070BD">
        <w:rPr>
          <w:b w:val="0"/>
          <w:bCs/>
          <w:iCs/>
          <w:lang w:val="hy-AM"/>
        </w:rPr>
        <w:t>հաստատված</w:t>
      </w:r>
      <w:r w:rsidRPr="009070BD">
        <w:rPr>
          <w:b w:val="0"/>
          <w:bCs/>
          <w:iCs/>
          <w:lang w:val="fr-FR"/>
        </w:rPr>
        <w:t xml:space="preserve"> </w:t>
      </w:r>
      <w:r w:rsidRPr="009070BD">
        <w:rPr>
          <w:b w:val="0"/>
          <w:bCs/>
          <w:iCs/>
          <w:lang w:val="hy-AM"/>
        </w:rPr>
        <w:t>գումարի</w:t>
      </w:r>
      <w:r w:rsidRPr="009070BD">
        <w:rPr>
          <w:b w:val="0"/>
          <w:bCs/>
          <w:iCs/>
          <w:lang w:val="fr-FR"/>
        </w:rPr>
        <w:t xml:space="preserve"> </w:t>
      </w:r>
      <w:r w:rsidRPr="009070BD">
        <w:rPr>
          <w:b w:val="0"/>
          <w:bCs/>
          <w:iCs/>
          <w:lang w:val="hy-AM"/>
        </w:rPr>
        <w:t>չափով</w:t>
      </w:r>
      <w:r w:rsidRPr="009070BD">
        <w:rPr>
          <w:b w:val="0"/>
          <w:bCs/>
          <w:iCs/>
          <w:lang w:val="fr-FR"/>
        </w:rPr>
        <w:t xml:space="preserve">:  </w:t>
      </w:r>
    </w:p>
    <w:p w:rsidR="001971B9" w:rsidRPr="009070BD" w:rsidRDefault="001971B9" w:rsidP="007730AA">
      <w:pPr>
        <w:spacing w:before="0" w:line="276" w:lineRule="auto"/>
        <w:ind w:firstLine="720"/>
        <w:rPr>
          <w:b w:val="0"/>
          <w:bCs/>
          <w:iCs/>
          <w:lang w:val="hy-AM"/>
        </w:rPr>
      </w:pPr>
      <w:r w:rsidRPr="009070BD">
        <w:rPr>
          <w:b w:val="0"/>
          <w:bCs/>
          <w:iCs/>
          <w:lang w:val="fr-FR"/>
        </w:rPr>
        <w:t>6.2 «</w:t>
      </w:r>
      <w:r w:rsidRPr="009070BD">
        <w:rPr>
          <w:b w:val="0"/>
          <w:bCs/>
          <w:iCs/>
          <w:lang w:val="hy-AM"/>
        </w:rPr>
        <w:t>ժամանակավոր</w:t>
      </w:r>
      <w:r w:rsidRPr="009070BD">
        <w:rPr>
          <w:b w:val="0"/>
          <w:bCs/>
          <w:iCs/>
          <w:lang w:val="fr-FR"/>
        </w:rPr>
        <w:t xml:space="preserve"> </w:t>
      </w:r>
      <w:r w:rsidRPr="009070BD">
        <w:rPr>
          <w:b w:val="0"/>
          <w:bCs/>
          <w:iCs/>
          <w:lang w:val="hy-AM"/>
        </w:rPr>
        <w:t>կացարաններում</w:t>
      </w:r>
      <w:r w:rsidRPr="009070BD">
        <w:rPr>
          <w:b w:val="0"/>
          <w:bCs/>
          <w:iCs/>
          <w:lang w:val="fr-FR"/>
        </w:rPr>
        <w:t xml:space="preserve"> </w:t>
      </w:r>
      <w:r w:rsidRPr="009070BD">
        <w:rPr>
          <w:b w:val="0"/>
          <w:bCs/>
          <w:iCs/>
          <w:lang w:val="hy-AM"/>
        </w:rPr>
        <w:t>բնակվող</w:t>
      </w:r>
      <w:r w:rsidRPr="009070BD">
        <w:rPr>
          <w:b w:val="0"/>
          <w:bCs/>
          <w:iCs/>
          <w:lang w:val="fr-FR"/>
        </w:rPr>
        <w:t xml:space="preserve"> </w:t>
      </w:r>
      <w:r w:rsidRPr="009070BD">
        <w:rPr>
          <w:b w:val="0"/>
          <w:bCs/>
          <w:iCs/>
          <w:lang w:val="hy-AM"/>
        </w:rPr>
        <w:t>փախստականների</w:t>
      </w:r>
      <w:r w:rsidRPr="009070BD">
        <w:rPr>
          <w:b w:val="0"/>
          <w:bCs/>
          <w:iCs/>
          <w:lang w:val="fr-FR"/>
        </w:rPr>
        <w:t xml:space="preserve"> </w:t>
      </w:r>
      <w:r w:rsidRPr="009070BD">
        <w:rPr>
          <w:b w:val="0"/>
          <w:bCs/>
          <w:iCs/>
          <w:lang w:val="hy-AM"/>
        </w:rPr>
        <w:t>կենցաղային</w:t>
      </w:r>
      <w:r w:rsidRPr="009070BD">
        <w:rPr>
          <w:b w:val="0"/>
          <w:bCs/>
          <w:iCs/>
          <w:lang w:val="fr-FR"/>
        </w:rPr>
        <w:t xml:space="preserve"> </w:t>
      </w:r>
      <w:r w:rsidRPr="009070BD">
        <w:rPr>
          <w:b w:val="0"/>
          <w:bCs/>
          <w:iCs/>
          <w:lang w:val="hy-AM"/>
        </w:rPr>
        <w:t>խնդիր</w:t>
      </w:r>
      <w:r w:rsidRPr="009070BD">
        <w:rPr>
          <w:b w:val="0"/>
          <w:bCs/>
          <w:iCs/>
          <w:lang w:val="fr-FR"/>
        </w:rPr>
        <w:softHyphen/>
      </w:r>
      <w:r w:rsidRPr="009070BD">
        <w:rPr>
          <w:b w:val="0"/>
          <w:bCs/>
          <w:iCs/>
          <w:lang w:val="hy-AM"/>
        </w:rPr>
        <w:t>ների</w:t>
      </w:r>
      <w:r w:rsidRPr="009070BD">
        <w:rPr>
          <w:b w:val="0"/>
          <w:bCs/>
          <w:iCs/>
          <w:lang w:val="fr-FR"/>
        </w:rPr>
        <w:t xml:space="preserve"> </w:t>
      </w:r>
      <w:r w:rsidRPr="009070BD">
        <w:rPr>
          <w:b w:val="0"/>
          <w:bCs/>
          <w:iCs/>
          <w:lang w:val="hy-AM"/>
        </w:rPr>
        <w:t>լուծման</w:t>
      </w:r>
      <w:r w:rsidRPr="009070BD">
        <w:rPr>
          <w:b w:val="0"/>
          <w:bCs/>
          <w:iCs/>
          <w:lang w:val="fr-FR"/>
        </w:rPr>
        <w:t xml:space="preserve"> </w:t>
      </w:r>
      <w:r w:rsidRPr="009070BD">
        <w:rPr>
          <w:b w:val="0"/>
          <w:bCs/>
          <w:iCs/>
          <w:lang w:val="hy-AM"/>
        </w:rPr>
        <w:t>միջոցառումների</w:t>
      </w:r>
      <w:r w:rsidRPr="009070BD">
        <w:rPr>
          <w:b w:val="0"/>
          <w:bCs/>
          <w:iCs/>
          <w:lang w:val="fr-FR"/>
        </w:rPr>
        <w:t xml:space="preserve"> </w:t>
      </w:r>
      <w:r w:rsidRPr="009070BD">
        <w:rPr>
          <w:b w:val="0"/>
          <w:bCs/>
          <w:iCs/>
          <w:lang w:val="hy-AM"/>
        </w:rPr>
        <w:t>իրականացում</w:t>
      </w:r>
      <w:r w:rsidRPr="009070BD">
        <w:rPr>
          <w:b w:val="0"/>
          <w:bCs/>
          <w:iCs/>
          <w:lang w:val="fr-FR"/>
        </w:rPr>
        <w:t xml:space="preserve">» </w:t>
      </w:r>
      <w:r w:rsidRPr="009070BD">
        <w:rPr>
          <w:b w:val="0"/>
          <w:bCs/>
          <w:iCs/>
          <w:lang w:val="hy-AM"/>
        </w:rPr>
        <w:t>միջոցառման</w:t>
      </w:r>
      <w:r w:rsidRPr="009070BD">
        <w:rPr>
          <w:b w:val="0"/>
          <w:bCs/>
          <w:iCs/>
          <w:lang w:val="fr-FR"/>
        </w:rPr>
        <w:t xml:space="preserve"> </w:t>
      </w:r>
      <w:r w:rsidRPr="009070BD">
        <w:rPr>
          <w:b w:val="0"/>
          <w:bCs/>
          <w:iCs/>
          <w:lang w:val="hy-AM"/>
        </w:rPr>
        <w:t>գծով</w:t>
      </w:r>
      <w:r w:rsidRPr="009070BD">
        <w:rPr>
          <w:b w:val="0"/>
          <w:bCs/>
          <w:iCs/>
          <w:lang w:val="fr-FR"/>
        </w:rPr>
        <w:t xml:space="preserve"> </w:t>
      </w:r>
      <w:r w:rsidRPr="009070BD">
        <w:rPr>
          <w:b w:val="0"/>
          <w:bCs/>
          <w:iCs/>
          <w:lang w:val="hy-AM"/>
        </w:rPr>
        <w:t>նախատեսվում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ծախս</w:t>
      </w:r>
      <w:r w:rsidRPr="009070BD">
        <w:rPr>
          <w:b w:val="0"/>
          <w:bCs/>
          <w:iCs/>
          <w:lang w:val="fr-FR"/>
        </w:rPr>
        <w:t xml:space="preserve"> 37.8 </w:t>
      </w:r>
      <w:r w:rsidRPr="009070BD">
        <w:rPr>
          <w:b w:val="0"/>
          <w:bCs/>
          <w:iCs/>
          <w:lang w:val="hy-AM"/>
        </w:rPr>
        <w:t>մլն</w:t>
      </w:r>
      <w:r w:rsidRPr="009070BD">
        <w:rPr>
          <w:b w:val="0"/>
          <w:bCs/>
          <w:iCs/>
          <w:lang w:val="fr-FR"/>
        </w:rPr>
        <w:t xml:space="preserve"> </w:t>
      </w:r>
      <w:r w:rsidRPr="009070BD">
        <w:rPr>
          <w:b w:val="0"/>
          <w:bCs/>
          <w:iCs/>
          <w:lang w:val="hy-AM"/>
        </w:rPr>
        <w:t>դրամ՝</w:t>
      </w:r>
      <w:r w:rsidRPr="009070BD">
        <w:rPr>
          <w:b w:val="0"/>
          <w:bCs/>
          <w:iCs/>
          <w:lang w:val="fr-FR"/>
        </w:rPr>
        <w:t xml:space="preserve"> </w:t>
      </w:r>
      <w:r w:rsidRPr="009070BD">
        <w:rPr>
          <w:b w:val="0"/>
          <w:bCs/>
          <w:iCs/>
          <w:lang w:val="hy-AM"/>
        </w:rPr>
        <w:t>ՀՀ</w:t>
      </w:r>
      <w:r w:rsidRPr="009070BD">
        <w:rPr>
          <w:b w:val="0"/>
          <w:bCs/>
          <w:iCs/>
          <w:lang w:val="fr-FR"/>
        </w:rPr>
        <w:t xml:space="preserve"> 2020 </w:t>
      </w:r>
      <w:r w:rsidRPr="009070BD">
        <w:rPr>
          <w:b w:val="0"/>
          <w:bCs/>
          <w:iCs/>
          <w:lang w:val="hy-AM"/>
        </w:rPr>
        <w:t>թվականի</w:t>
      </w:r>
      <w:r w:rsidRPr="009070BD">
        <w:rPr>
          <w:b w:val="0"/>
          <w:bCs/>
          <w:iCs/>
          <w:lang w:val="fr-FR"/>
        </w:rPr>
        <w:t xml:space="preserve"> </w:t>
      </w:r>
      <w:r w:rsidRPr="009070BD">
        <w:rPr>
          <w:b w:val="0"/>
          <w:bCs/>
          <w:iCs/>
          <w:lang w:val="hy-AM"/>
        </w:rPr>
        <w:t>պետական</w:t>
      </w:r>
      <w:r w:rsidRPr="009070BD">
        <w:rPr>
          <w:b w:val="0"/>
          <w:bCs/>
          <w:iCs/>
          <w:lang w:val="fr-FR"/>
        </w:rPr>
        <w:t xml:space="preserve"> </w:t>
      </w:r>
      <w:r w:rsidRPr="009070BD">
        <w:rPr>
          <w:b w:val="0"/>
          <w:bCs/>
          <w:iCs/>
          <w:lang w:val="hy-AM"/>
        </w:rPr>
        <w:t>բյուջեով</w:t>
      </w:r>
      <w:r w:rsidRPr="009070BD">
        <w:rPr>
          <w:b w:val="0"/>
          <w:bCs/>
          <w:iCs/>
          <w:lang w:val="fr-FR"/>
        </w:rPr>
        <w:t xml:space="preserve"> </w:t>
      </w:r>
      <w:r w:rsidRPr="009070BD">
        <w:rPr>
          <w:b w:val="0"/>
          <w:bCs/>
          <w:iCs/>
          <w:lang w:val="hy-AM"/>
        </w:rPr>
        <w:t>հաստատված</w:t>
      </w:r>
      <w:r w:rsidRPr="009070BD">
        <w:rPr>
          <w:b w:val="0"/>
          <w:bCs/>
          <w:iCs/>
          <w:lang w:val="fr-FR"/>
        </w:rPr>
        <w:t xml:space="preserve"> </w:t>
      </w:r>
      <w:r w:rsidRPr="009070BD">
        <w:rPr>
          <w:b w:val="0"/>
          <w:bCs/>
          <w:iCs/>
          <w:lang w:val="hy-AM"/>
        </w:rPr>
        <w:t>գումարի</w:t>
      </w:r>
      <w:r w:rsidRPr="009070BD">
        <w:rPr>
          <w:b w:val="0"/>
          <w:bCs/>
          <w:iCs/>
          <w:lang w:val="fr-FR"/>
        </w:rPr>
        <w:t xml:space="preserve"> </w:t>
      </w:r>
      <w:r w:rsidRPr="009070BD">
        <w:rPr>
          <w:b w:val="0"/>
          <w:bCs/>
          <w:iCs/>
          <w:lang w:val="hy-AM"/>
        </w:rPr>
        <w:t>չափով</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lang w:val="fr-FR"/>
        </w:rPr>
        <w:t>6.3 «</w:t>
      </w:r>
      <w:r w:rsidRPr="009070BD">
        <w:rPr>
          <w:b w:val="0"/>
          <w:bCs/>
          <w:iCs/>
          <w:lang w:val="hy-AM"/>
        </w:rPr>
        <w:t>ՀՀ</w:t>
      </w:r>
      <w:r w:rsidRPr="009070BD">
        <w:rPr>
          <w:b w:val="0"/>
          <w:bCs/>
          <w:iCs/>
          <w:lang w:val="fr-FR"/>
        </w:rPr>
        <w:t>-</w:t>
      </w:r>
      <w:r w:rsidRPr="009070BD">
        <w:rPr>
          <w:b w:val="0"/>
          <w:bCs/>
          <w:iCs/>
          <w:lang w:val="hy-AM"/>
        </w:rPr>
        <w:t>ում</w:t>
      </w:r>
      <w:r w:rsidRPr="009070BD">
        <w:rPr>
          <w:b w:val="0"/>
          <w:bCs/>
          <w:iCs/>
          <w:lang w:val="fr-FR"/>
        </w:rPr>
        <w:t xml:space="preserve"> </w:t>
      </w:r>
      <w:r w:rsidRPr="009070BD">
        <w:rPr>
          <w:b w:val="0"/>
          <w:bCs/>
          <w:iCs/>
          <w:lang w:val="hy-AM"/>
        </w:rPr>
        <w:t>փախստական</w:t>
      </w:r>
      <w:r w:rsidRPr="009070BD">
        <w:rPr>
          <w:b w:val="0"/>
          <w:bCs/>
          <w:iCs/>
          <w:lang w:val="fr-FR"/>
        </w:rPr>
        <w:t xml:space="preserve"> </w:t>
      </w:r>
      <w:r w:rsidRPr="009070BD">
        <w:rPr>
          <w:b w:val="0"/>
          <w:bCs/>
          <w:iCs/>
          <w:lang w:val="hy-AM"/>
        </w:rPr>
        <w:t>ճանաչված</w:t>
      </w:r>
      <w:r w:rsidRPr="009070BD">
        <w:rPr>
          <w:b w:val="0"/>
          <w:bCs/>
          <w:iCs/>
          <w:lang w:val="fr-FR"/>
        </w:rPr>
        <w:t xml:space="preserve"> </w:t>
      </w:r>
      <w:r w:rsidRPr="009070BD">
        <w:rPr>
          <w:b w:val="0"/>
          <w:bCs/>
          <w:iCs/>
          <w:lang w:val="hy-AM"/>
        </w:rPr>
        <w:t>և</w:t>
      </w:r>
      <w:r w:rsidRPr="009070BD">
        <w:rPr>
          <w:b w:val="0"/>
          <w:bCs/>
          <w:iCs/>
          <w:lang w:val="fr-FR"/>
        </w:rPr>
        <w:t xml:space="preserve"> </w:t>
      </w:r>
      <w:r w:rsidRPr="009070BD">
        <w:rPr>
          <w:b w:val="0"/>
          <w:bCs/>
          <w:iCs/>
          <w:lang w:val="hy-AM"/>
        </w:rPr>
        <w:t>ապաստան</w:t>
      </w:r>
      <w:r w:rsidRPr="009070BD">
        <w:rPr>
          <w:b w:val="0"/>
          <w:bCs/>
          <w:iCs/>
          <w:lang w:val="fr-FR"/>
        </w:rPr>
        <w:t xml:space="preserve"> </w:t>
      </w:r>
      <w:r w:rsidRPr="009070BD">
        <w:rPr>
          <w:b w:val="0"/>
          <w:bCs/>
          <w:iCs/>
          <w:lang w:val="hy-AM"/>
        </w:rPr>
        <w:t>ստացած</w:t>
      </w:r>
      <w:r w:rsidRPr="009070BD">
        <w:rPr>
          <w:b w:val="0"/>
          <w:bCs/>
          <w:iCs/>
          <w:lang w:val="fr-FR"/>
        </w:rPr>
        <w:t xml:space="preserve"> </w:t>
      </w:r>
      <w:r w:rsidRPr="009070BD">
        <w:rPr>
          <w:b w:val="0"/>
          <w:bCs/>
          <w:iCs/>
          <w:lang w:val="hy-AM"/>
        </w:rPr>
        <w:t>անձանց</w:t>
      </w:r>
      <w:r w:rsidRPr="009070BD">
        <w:rPr>
          <w:b w:val="0"/>
          <w:bCs/>
          <w:iCs/>
          <w:lang w:val="fr-FR"/>
        </w:rPr>
        <w:t xml:space="preserve"> </w:t>
      </w:r>
      <w:r w:rsidRPr="009070BD">
        <w:rPr>
          <w:b w:val="0"/>
          <w:bCs/>
          <w:iCs/>
          <w:lang w:val="hy-AM"/>
        </w:rPr>
        <w:t>համար</w:t>
      </w:r>
      <w:r w:rsidRPr="009070BD">
        <w:rPr>
          <w:b w:val="0"/>
          <w:bCs/>
          <w:iCs/>
          <w:lang w:val="fr-FR"/>
        </w:rPr>
        <w:t xml:space="preserve"> </w:t>
      </w:r>
      <w:r w:rsidRPr="009070BD">
        <w:rPr>
          <w:b w:val="0"/>
          <w:bCs/>
          <w:iCs/>
          <w:lang w:val="hy-AM"/>
        </w:rPr>
        <w:t>քաղա</w:t>
      </w:r>
      <w:r w:rsidRPr="009070BD">
        <w:rPr>
          <w:b w:val="0"/>
          <w:bCs/>
          <w:iCs/>
          <w:lang w:val="fr-FR"/>
        </w:rPr>
        <w:softHyphen/>
      </w:r>
      <w:r w:rsidRPr="009070BD">
        <w:rPr>
          <w:b w:val="0"/>
          <w:bCs/>
          <w:iCs/>
          <w:lang w:val="hy-AM"/>
        </w:rPr>
        <w:t>քացիական</w:t>
      </w:r>
      <w:r w:rsidRPr="009070BD">
        <w:rPr>
          <w:b w:val="0"/>
          <w:bCs/>
          <w:iCs/>
          <w:lang w:val="fr-FR"/>
        </w:rPr>
        <w:t xml:space="preserve"> </w:t>
      </w:r>
      <w:r w:rsidRPr="009070BD">
        <w:rPr>
          <w:b w:val="0"/>
          <w:bCs/>
          <w:iCs/>
          <w:lang w:val="hy-AM"/>
        </w:rPr>
        <w:t>կողմնորոշման</w:t>
      </w:r>
      <w:r w:rsidRPr="009070BD">
        <w:rPr>
          <w:b w:val="0"/>
          <w:bCs/>
          <w:iCs/>
          <w:lang w:val="fr-FR"/>
        </w:rPr>
        <w:t xml:space="preserve"> </w:t>
      </w:r>
      <w:r w:rsidRPr="009070BD">
        <w:rPr>
          <w:b w:val="0"/>
          <w:bCs/>
          <w:iCs/>
          <w:lang w:val="hy-AM"/>
        </w:rPr>
        <w:t>դասընթացների</w:t>
      </w:r>
      <w:r w:rsidRPr="009070BD">
        <w:rPr>
          <w:b w:val="0"/>
          <w:bCs/>
          <w:iCs/>
          <w:lang w:val="fr-FR"/>
        </w:rPr>
        <w:t xml:space="preserve"> </w:t>
      </w:r>
      <w:r w:rsidRPr="009070BD">
        <w:rPr>
          <w:b w:val="0"/>
          <w:bCs/>
          <w:iCs/>
          <w:lang w:val="hy-AM"/>
        </w:rPr>
        <w:t>կազմակերպում</w:t>
      </w:r>
      <w:r w:rsidRPr="009070BD">
        <w:rPr>
          <w:b w:val="0"/>
          <w:bCs/>
          <w:iCs/>
          <w:lang w:val="fr-FR"/>
        </w:rPr>
        <w:t xml:space="preserve">» </w:t>
      </w:r>
      <w:r w:rsidRPr="009070BD">
        <w:rPr>
          <w:b w:val="0"/>
          <w:bCs/>
          <w:iCs/>
          <w:lang w:val="hy-AM"/>
        </w:rPr>
        <w:t>միջոցառմամբ</w:t>
      </w:r>
      <w:r w:rsidRPr="009070BD">
        <w:rPr>
          <w:b w:val="0"/>
          <w:bCs/>
          <w:iCs/>
          <w:lang w:val="fr-FR"/>
        </w:rPr>
        <w:t xml:space="preserve"> </w:t>
      </w:r>
      <w:r w:rsidRPr="009070BD">
        <w:rPr>
          <w:b w:val="0"/>
          <w:bCs/>
          <w:iCs/>
          <w:lang w:val="hy-AM"/>
        </w:rPr>
        <w:t>նախատես</w:t>
      </w:r>
      <w:r w:rsidRPr="009070BD">
        <w:rPr>
          <w:b w:val="0"/>
          <w:bCs/>
          <w:iCs/>
          <w:lang w:val="fr-FR"/>
        </w:rPr>
        <w:softHyphen/>
      </w:r>
      <w:r w:rsidRPr="009070BD">
        <w:rPr>
          <w:b w:val="0"/>
          <w:bCs/>
          <w:iCs/>
          <w:lang w:val="hy-AM"/>
        </w:rPr>
        <w:t>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հատկացնել</w:t>
      </w:r>
      <w:r w:rsidRPr="009070BD">
        <w:rPr>
          <w:b w:val="0"/>
          <w:bCs/>
          <w:iCs/>
          <w:lang w:val="fr-FR"/>
        </w:rPr>
        <w:t xml:space="preserve"> 2.3 </w:t>
      </w:r>
      <w:r w:rsidRPr="009070BD">
        <w:rPr>
          <w:b w:val="0"/>
          <w:bCs/>
          <w:iCs/>
          <w:lang w:val="hy-AM"/>
        </w:rPr>
        <w:t>մլն</w:t>
      </w:r>
      <w:r w:rsidRPr="009070BD">
        <w:rPr>
          <w:b w:val="0"/>
          <w:bCs/>
          <w:iCs/>
          <w:lang w:val="fr-FR"/>
        </w:rPr>
        <w:t xml:space="preserve"> </w:t>
      </w:r>
      <w:r w:rsidRPr="009070BD">
        <w:rPr>
          <w:b w:val="0"/>
          <w:bCs/>
          <w:iCs/>
          <w:lang w:val="hy-AM"/>
        </w:rPr>
        <w:t>դրամ</w:t>
      </w:r>
      <w:r w:rsidRPr="009070BD">
        <w:rPr>
          <w:b w:val="0"/>
          <w:bCs/>
          <w:iCs/>
          <w:lang w:val="fr-FR"/>
        </w:rPr>
        <w:t xml:space="preserve">` </w:t>
      </w:r>
      <w:r w:rsidRPr="009070BD">
        <w:rPr>
          <w:b w:val="0"/>
          <w:bCs/>
          <w:iCs/>
          <w:lang w:val="hy-AM"/>
        </w:rPr>
        <w:t>ՀՀ</w:t>
      </w:r>
      <w:r w:rsidRPr="009070BD">
        <w:rPr>
          <w:b w:val="0"/>
          <w:bCs/>
          <w:iCs/>
          <w:lang w:val="fr-FR"/>
        </w:rPr>
        <w:t xml:space="preserve"> 2020 </w:t>
      </w:r>
      <w:r w:rsidRPr="009070BD">
        <w:rPr>
          <w:b w:val="0"/>
          <w:bCs/>
          <w:iCs/>
          <w:lang w:val="hy-AM"/>
        </w:rPr>
        <w:t>թվականի</w:t>
      </w:r>
      <w:r w:rsidRPr="009070BD">
        <w:rPr>
          <w:b w:val="0"/>
          <w:bCs/>
          <w:iCs/>
          <w:lang w:val="fr-FR"/>
        </w:rPr>
        <w:t xml:space="preserve"> </w:t>
      </w:r>
      <w:r w:rsidRPr="009070BD">
        <w:rPr>
          <w:b w:val="0"/>
          <w:bCs/>
          <w:iCs/>
          <w:lang w:val="hy-AM"/>
        </w:rPr>
        <w:t>պետական</w:t>
      </w:r>
      <w:r w:rsidRPr="009070BD">
        <w:rPr>
          <w:b w:val="0"/>
          <w:bCs/>
          <w:iCs/>
          <w:lang w:val="fr-FR"/>
        </w:rPr>
        <w:t xml:space="preserve"> </w:t>
      </w:r>
      <w:r w:rsidRPr="009070BD">
        <w:rPr>
          <w:b w:val="0"/>
          <w:bCs/>
          <w:iCs/>
          <w:lang w:val="hy-AM"/>
        </w:rPr>
        <w:t>բյուջեով</w:t>
      </w:r>
      <w:r w:rsidRPr="009070BD">
        <w:rPr>
          <w:b w:val="0"/>
          <w:bCs/>
          <w:iCs/>
          <w:lang w:val="fr-FR"/>
        </w:rPr>
        <w:t xml:space="preserve"> </w:t>
      </w:r>
      <w:r w:rsidRPr="009070BD">
        <w:rPr>
          <w:b w:val="0"/>
          <w:bCs/>
          <w:iCs/>
          <w:lang w:val="hy-AM"/>
        </w:rPr>
        <w:t>հաստատված</w:t>
      </w:r>
      <w:r w:rsidRPr="009070BD">
        <w:rPr>
          <w:b w:val="0"/>
          <w:bCs/>
          <w:iCs/>
          <w:lang w:val="fr-FR"/>
        </w:rPr>
        <w:t xml:space="preserve"> </w:t>
      </w:r>
      <w:r w:rsidRPr="009070BD">
        <w:rPr>
          <w:b w:val="0"/>
          <w:bCs/>
          <w:iCs/>
          <w:lang w:val="hy-AM"/>
        </w:rPr>
        <w:t>գումարի</w:t>
      </w:r>
      <w:r w:rsidRPr="009070BD">
        <w:rPr>
          <w:b w:val="0"/>
          <w:bCs/>
          <w:iCs/>
          <w:lang w:val="fr-FR"/>
        </w:rPr>
        <w:t xml:space="preserve"> </w:t>
      </w:r>
      <w:r w:rsidRPr="009070BD">
        <w:rPr>
          <w:b w:val="0"/>
          <w:bCs/>
          <w:iCs/>
          <w:lang w:val="hy-AM"/>
        </w:rPr>
        <w:t>չափով</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lang w:val="fr-FR"/>
        </w:rPr>
        <w:t>6.4 «</w:t>
      </w:r>
      <w:r w:rsidRPr="009070BD">
        <w:rPr>
          <w:b w:val="0"/>
          <w:bCs/>
          <w:iCs/>
        </w:rPr>
        <w:t>Ապաստանի</w:t>
      </w:r>
      <w:r w:rsidRPr="009070BD">
        <w:rPr>
          <w:b w:val="0"/>
          <w:bCs/>
          <w:iCs/>
          <w:lang w:val="fr-FR"/>
        </w:rPr>
        <w:t xml:space="preserve"> </w:t>
      </w:r>
      <w:r w:rsidRPr="009070BD">
        <w:rPr>
          <w:b w:val="0"/>
          <w:bCs/>
          <w:iCs/>
        </w:rPr>
        <w:t>ընթացակարգում</w:t>
      </w:r>
      <w:r w:rsidRPr="009070BD">
        <w:rPr>
          <w:b w:val="0"/>
          <w:bCs/>
          <w:iCs/>
          <w:lang w:val="fr-FR"/>
        </w:rPr>
        <w:t xml:space="preserve"> </w:t>
      </w:r>
      <w:r w:rsidRPr="009070BD">
        <w:rPr>
          <w:b w:val="0"/>
          <w:bCs/>
          <w:iCs/>
        </w:rPr>
        <w:t>թարգմանչական</w:t>
      </w:r>
      <w:r w:rsidRPr="009070BD">
        <w:rPr>
          <w:b w:val="0"/>
          <w:bCs/>
          <w:iCs/>
          <w:lang w:val="fr-FR"/>
        </w:rPr>
        <w:t xml:space="preserve"> </w:t>
      </w:r>
      <w:r w:rsidRPr="009070BD">
        <w:rPr>
          <w:b w:val="0"/>
          <w:bCs/>
          <w:iCs/>
        </w:rPr>
        <w:t>ծառայությունների</w:t>
      </w:r>
      <w:r w:rsidRPr="009070BD">
        <w:rPr>
          <w:b w:val="0"/>
          <w:bCs/>
          <w:iCs/>
          <w:lang w:val="fr-FR"/>
        </w:rPr>
        <w:t xml:space="preserve"> </w:t>
      </w:r>
      <w:r w:rsidRPr="009070BD">
        <w:rPr>
          <w:b w:val="0"/>
          <w:bCs/>
          <w:iCs/>
        </w:rPr>
        <w:t>ձեռք</w:t>
      </w:r>
      <w:r w:rsidRPr="009070BD">
        <w:rPr>
          <w:b w:val="0"/>
          <w:bCs/>
          <w:iCs/>
          <w:lang w:val="fr-FR"/>
        </w:rPr>
        <w:t xml:space="preserve"> </w:t>
      </w:r>
      <w:r w:rsidRPr="009070BD">
        <w:rPr>
          <w:b w:val="0"/>
          <w:bCs/>
          <w:iCs/>
        </w:rPr>
        <w:t>բերում</w:t>
      </w:r>
      <w:r w:rsidRPr="009070BD">
        <w:rPr>
          <w:b w:val="0"/>
          <w:bCs/>
          <w:iCs/>
          <w:lang w:val="fr-FR"/>
        </w:rPr>
        <w:t xml:space="preserve">» </w:t>
      </w:r>
      <w:r w:rsidRPr="009070BD">
        <w:rPr>
          <w:b w:val="0"/>
          <w:bCs/>
          <w:iCs/>
        </w:rPr>
        <w:t>միջոցառմամբ</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հատկացնել</w:t>
      </w:r>
      <w:r w:rsidRPr="009070BD">
        <w:rPr>
          <w:b w:val="0"/>
          <w:bCs/>
          <w:iCs/>
          <w:lang w:val="fr-FR"/>
        </w:rPr>
        <w:t xml:space="preserve"> 2.1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բյուջեով</w:t>
      </w:r>
      <w:r w:rsidRPr="009070BD">
        <w:rPr>
          <w:b w:val="0"/>
          <w:bCs/>
          <w:iCs/>
          <w:lang w:val="fr-FR"/>
        </w:rPr>
        <w:t xml:space="preserve"> </w:t>
      </w:r>
      <w:r w:rsidRPr="009070BD">
        <w:rPr>
          <w:b w:val="0"/>
          <w:bCs/>
          <w:iCs/>
        </w:rPr>
        <w:t>հաստատված</w:t>
      </w:r>
      <w:r w:rsidRPr="009070BD">
        <w:rPr>
          <w:b w:val="0"/>
          <w:bCs/>
          <w:iCs/>
          <w:lang w:val="fr-FR"/>
        </w:rPr>
        <w:t xml:space="preserve"> </w:t>
      </w:r>
      <w:r w:rsidRPr="009070BD">
        <w:rPr>
          <w:b w:val="0"/>
          <w:bCs/>
          <w:iCs/>
        </w:rPr>
        <w:t>գումարի</w:t>
      </w:r>
      <w:r w:rsidRPr="009070BD">
        <w:rPr>
          <w:b w:val="0"/>
          <w:bCs/>
          <w:iCs/>
          <w:lang w:val="fr-FR"/>
        </w:rPr>
        <w:t xml:space="preserve"> </w:t>
      </w:r>
      <w:r w:rsidRPr="009070BD">
        <w:rPr>
          <w:b w:val="0"/>
          <w:bCs/>
          <w:iCs/>
        </w:rPr>
        <w:t>չափով</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lang w:val="fr-FR"/>
        </w:rPr>
        <w:t>6.5 «</w:t>
      </w:r>
      <w:r w:rsidRPr="009070BD">
        <w:rPr>
          <w:b w:val="0"/>
          <w:bCs/>
          <w:iCs/>
          <w:lang w:val="hy-AM"/>
        </w:rPr>
        <w:t>Ժամանակավոր</w:t>
      </w:r>
      <w:r w:rsidRPr="009070BD">
        <w:rPr>
          <w:b w:val="0"/>
          <w:bCs/>
          <w:iCs/>
          <w:lang w:val="fr-FR"/>
        </w:rPr>
        <w:t xml:space="preserve"> </w:t>
      </w:r>
      <w:r w:rsidRPr="009070BD">
        <w:rPr>
          <w:b w:val="0"/>
          <w:bCs/>
          <w:iCs/>
          <w:lang w:val="hy-AM"/>
        </w:rPr>
        <w:t>տեղավորման</w:t>
      </w:r>
      <w:r w:rsidRPr="009070BD">
        <w:rPr>
          <w:b w:val="0"/>
          <w:bCs/>
          <w:iCs/>
          <w:lang w:val="fr-FR"/>
        </w:rPr>
        <w:t xml:space="preserve"> </w:t>
      </w:r>
      <w:r w:rsidRPr="009070BD">
        <w:rPr>
          <w:b w:val="0"/>
          <w:bCs/>
          <w:iCs/>
          <w:lang w:val="hy-AM"/>
        </w:rPr>
        <w:t>կենտրոնում</w:t>
      </w:r>
      <w:r w:rsidRPr="009070BD">
        <w:rPr>
          <w:b w:val="0"/>
          <w:bCs/>
          <w:iCs/>
          <w:lang w:val="fr-FR"/>
        </w:rPr>
        <w:t xml:space="preserve"> </w:t>
      </w:r>
      <w:r w:rsidRPr="009070BD">
        <w:rPr>
          <w:b w:val="0"/>
          <w:bCs/>
          <w:iCs/>
          <w:lang w:val="hy-AM"/>
        </w:rPr>
        <w:t>չտեղավորված</w:t>
      </w:r>
      <w:r w:rsidRPr="009070BD">
        <w:rPr>
          <w:b w:val="0"/>
          <w:bCs/>
          <w:iCs/>
          <w:lang w:val="fr-FR"/>
        </w:rPr>
        <w:t xml:space="preserve"> </w:t>
      </w:r>
      <w:r w:rsidRPr="009070BD">
        <w:rPr>
          <w:b w:val="0"/>
          <w:bCs/>
          <w:iCs/>
          <w:lang w:val="hy-AM"/>
        </w:rPr>
        <w:t>ապաստան</w:t>
      </w:r>
      <w:r w:rsidRPr="009070BD">
        <w:rPr>
          <w:b w:val="0"/>
          <w:bCs/>
          <w:iCs/>
          <w:lang w:val="fr-FR"/>
        </w:rPr>
        <w:t xml:space="preserve"> </w:t>
      </w:r>
      <w:r w:rsidRPr="009070BD">
        <w:rPr>
          <w:b w:val="0"/>
          <w:bCs/>
          <w:iCs/>
          <w:lang w:val="hy-AM"/>
        </w:rPr>
        <w:t>հայցողներին</w:t>
      </w:r>
      <w:r w:rsidRPr="009070BD">
        <w:rPr>
          <w:b w:val="0"/>
          <w:bCs/>
          <w:iCs/>
          <w:lang w:val="fr-FR"/>
        </w:rPr>
        <w:t xml:space="preserve"> </w:t>
      </w:r>
      <w:r w:rsidRPr="009070BD">
        <w:rPr>
          <w:b w:val="0"/>
          <w:bCs/>
          <w:iCs/>
          <w:lang w:val="hy-AM"/>
        </w:rPr>
        <w:t>դրամական</w:t>
      </w:r>
      <w:r w:rsidRPr="009070BD">
        <w:rPr>
          <w:b w:val="0"/>
          <w:bCs/>
          <w:iCs/>
          <w:lang w:val="fr-FR"/>
        </w:rPr>
        <w:t xml:space="preserve"> </w:t>
      </w:r>
      <w:r w:rsidRPr="009070BD">
        <w:rPr>
          <w:b w:val="0"/>
          <w:bCs/>
          <w:iCs/>
          <w:lang w:val="hy-AM"/>
        </w:rPr>
        <w:t>օգնության</w:t>
      </w:r>
      <w:r w:rsidRPr="009070BD">
        <w:rPr>
          <w:b w:val="0"/>
          <w:bCs/>
          <w:iCs/>
          <w:lang w:val="fr-FR"/>
        </w:rPr>
        <w:t xml:space="preserve"> </w:t>
      </w:r>
      <w:r w:rsidRPr="009070BD">
        <w:rPr>
          <w:b w:val="0"/>
          <w:bCs/>
          <w:iCs/>
          <w:lang w:val="hy-AM"/>
        </w:rPr>
        <w:t>տրամադրում</w:t>
      </w:r>
      <w:r w:rsidRPr="009070BD">
        <w:rPr>
          <w:b w:val="0"/>
          <w:bCs/>
          <w:iCs/>
          <w:lang w:val="fr-FR"/>
        </w:rPr>
        <w:t xml:space="preserve">» </w:t>
      </w:r>
      <w:r w:rsidRPr="009070BD">
        <w:rPr>
          <w:b w:val="0"/>
          <w:bCs/>
          <w:iCs/>
          <w:lang w:val="hy-AM"/>
        </w:rPr>
        <w:t>միջոցառման</w:t>
      </w:r>
      <w:r w:rsidRPr="009070BD">
        <w:rPr>
          <w:b w:val="0"/>
          <w:bCs/>
          <w:iCs/>
          <w:lang w:val="fr-FR"/>
        </w:rPr>
        <w:t xml:space="preserve"> </w:t>
      </w:r>
      <w:r w:rsidRPr="009070BD">
        <w:rPr>
          <w:b w:val="0"/>
          <w:bCs/>
          <w:iCs/>
          <w:lang w:val="hy-AM"/>
        </w:rPr>
        <w:t>գծով</w:t>
      </w:r>
      <w:r w:rsidRPr="009070BD">
        <w:rPr>
          <w:b w:val="0"/>
          <w:bCs/>
          <w:iCs/>
          <w:lang w:val="fr-FR"/>
        </w:rPr>
        <w:t xml:space="preserve"> </w:t>
      </w:r>
      <w:r w:rsidRPr="009070BD">
        <w:rPr>
          <w:b w:val="0"/>
          <w:bCs/>
          <w:iCs/>
          <w:lang w:val="hy-AM"/>
        </w:rPr>
        <w:t>նախատեսվում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ծախս</w:t>
      </w:r>
      <w:r w:rsidRPr="009070BD">
        <w:rPr>
          <w:b w:val="0"/>
          <w:bCs/>
          <w:iCs/>
          <w:lang w:val="fr-FR"/>
        </w:rPr>
        <w:t xml:space="preserve"> 1.3 </w:t>
      </w:r>
      <w:r w:rsidRPr="009070BD">
        <w:rPr>
          <w:b w:val="0"/>
          <w:bCs/>
          <w:iCs/>
          <w:lang w:val="hy-AM"/>
        </w:rPr>
        <w:t>մլն</w:t>
      </w:r>
      <w:r w:rsidRPr="009070BD">
        <w:rPr>
          <w:b w:val="0"/>
          <w:bCs/>
          <w:iCs/>
          <w:lang w:val="fr-FR"/>
        </w:rPr>
        <w:t xml:space="preserve"> </w:t>
      </w:r>
      <w:r w:rsidRPr="009070BD">
        <w:rPr>
          <w:b w:val="0"/>
          <w:bCs/>
          <w:iCs/>
          <w:lang w:val="hy-AM"/>
        </w:rPr>
        <w:t>դրամ</w:t>
      </w:r>
      <w:r w:rsidRPr="009070BD">
        <w:rPr>
          <w:b w:val="0"/>
          <w:bCs/>
          <w:iCs/>
          <w:lang w:val="fr-FR"/>
        </w:rPr>
        <w:t xml:space="preserve">` </w:t>
      </w:r>
      <w:r w:rsidRPr="009070BD">
        <w:rPr>
          <w:b w:val="0"/>
          <w:bCs/>
          <w:iCs/>
          <w:lang w:val="hy-AM"/>
        </w:rPr>
        <w:t>ՀՀ</w:t>
      </w:r>
      <w:r w:rsidRPr="009070BD">
        <w:rPr>
          <w:b w:val="0"/>
          <w:bCs/>
          <w:iCs/>
          <w:lang w:val="fr-FR"/>
        </w:rPr>
        <w:t xml:space="preserve"> 2020 </w:t>
      </w:r>
      <w:r w:rsidRPr="009070BD">
        <w:rPr>
          <w:b w:val="0"/>
          <w:bCs/>
          <w:iCs/>
          <w:lang w:val="hy-AM"/>
        </w:rPr>
        <w:t>թվականի</w:t>
      </w:r>
      <w:r w:rsidRPr="009070BD">
        <w:rPr>
          <w:b w:val="0"/>
          <w:bCs/>
          <w:iCs/>
          <w:lang w:val="fr-FR"/>
        </w:rPr>
        <w:t xml:space="preserve"> </w:t>
      </w:r>
      <w:r w:rsidRPr="009070BD">
        <w:rPr>
          <w:b w:val="0"/>
          <w:bCs/>
          <w:iCs/>
          <w:lang w:val="hy-AM"/>
        </w:rPr>
        <w:t>պետական</w:t>
      </w:r>
      <w:r w:rsidRPr="009070BD">
        <w:rPr>
          <w:b w:val="0"/>
          <w:bCs/>
          <w:iCs/>
          <w:lang w:val="fr-FR"/>
        </w:rPr>
        <w:t xml:space="preserve"> </w:t>
      </w:r>
      <w:r w:rsidRPr="009070BD">
        <w:rPr>
          <w:b w:val="0"/>
          <w:bCs/>
          <w:iCs/>
          <w:lang w:val="hy-AM"/>
        </w:rPr>
        <w:t>բյուջեով</w:t>
      </w:r>
      <w:r w:rsidRPr="009070BD">
        <w:rPr>
          <w:b w:val="0"/>
          <w:bCs/>
          <w:iCs/>
          <w:lang w:val="fr-FR"/>
        </w:rPr>
        <w:t xml:space="preserve"> </w:t>
      </w:r>
      <w:r w:rsidRPr="009070BD">
        <w:rPr>
          <w:b w:val="0"/>
          <w:bCs/>
          <w:iCs/>
          <w:lang w:val="hy-AM"/>
        </w:rPr>
        <w:t>հաստատված</w:t>
      </w:r>
      <w:r w:rsidRPr="009070BD">
        <w:rPr>
          <w:b w:val="0"/>
          <w:bCs/>
          <w:iCs/>
          <w:lang w:val="fr-FR"/>
        </w:rPr>
        <w:t xml:space="preserve"> </w:t>
      </w:r>
      <w:r w:rsidRPr="009070BD">
        <w:rPr>
          <w:b w:val="0"/>
          <w:bCs/>
          <w:iCs/>
          <w:lang w:val="hy-AM"/>
        </w:rPr>
        <w:t>գումարի</w:t>
      </w:r>
      <w:r w:rsidRPr="009070BD">
        <w:rPr>
          <w:b w:val="0"/>
          <w:bCs/>
          <w:iCs/>
          <w:lang w:val="fr-FR"/>
        </w:rPr>
        <w:t xml:space="preserve"> </w:t>
      </w:r>
      <w:r w:rsidRPr="009070BD">
        <w:rPr>
          <w:b w:val="0"/>
          <w:bCs/>
          <w:iCs/>
          <w:lang w:val="hy-AM"/>
        </w:rPr>
        <w:t>չափով</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lang w:val="fr-FR"/>
        </w:rPr>
        <w:t>6.6 «</w:t>
      </w:r>
      <w:r w:rsidRPr="009070BD">
        <w:rPr>
          <w:b w:val="0"/>
          <w:bCs/>
          <w:iCs/>
        </w:rPr>
        <w:t>ՀՀ</w:t>
      </w:r>
      <w:r w:rsidRPr="009070BD">
        <w:rPr>
          <w:b w:val="0"/>
          <w:bCs/>
          <w:iCs/>
          <w:lang w:val="fr-FR"/>
        </w:rPr>
        <w:t>-</w:t>
      </w:r>
      <w:r w:rsidRPr="009070BD">
        <w:rPr>
          <w:b w:val="0"/>
          <w:bCs/>
          <w:iCs/>
        </w:rPr>
        <w:t>ում</w:t>
      </w:r>
      <w:r w:rsidRPr="009070BD">
        <w:rPr>
          <w:b w:val="0"/>
          <w:bCs/>
          <w:iCs/>
          <w:lang w:val="fr-FR"/>
        </w:rPr>
        <w:t xml:space="preserve"> </w:t>
      </w:r>
      <w:r w:rsidRPr="009070BD">
        <w:rPr>
          <w:b w:val="0"/>
          <w:bCs/>
          <w:iCs/>
        </w:rPr>
        <w:t>փախստական</w:t>
      </w:r>
      <w:r w:rsidRPr="009070BD">
        <w:rPr>
          <w:b w:val="0"/>
          <w:bCs/>
          <w:iCs/>
          <w:lang w:val="fr-FR"/>
        </w:rPr>
        <w:t xml:space="preserve"> </w:t>
      </w:r>
      <w:r w:rsidRPr="009070BD">
        <w:rPr>
          <w:b w:val="0"/>
          <w:bCs/>
          <w:iCs/>
        </w:rPr>
        <w:t>ճանաչված</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ապաստան</w:t>
      </w:r>
      <w:r w:rsidRPr="009070BD">
        <w:rPr>
          <w:b w:val="0"/>
          <w:bCs/>
          <w:iCs/>
          <w:lang w:val="fr-FR"/>
        </w:rPr>
        <w:t xml:space="preserve"> </w:t>
      </w:r>
      <w:r w:rsidRPr="009070BD">
        <w:rPr>
          <w:b w:val="0"/>
          <w:bCs/>
          <w:iCs/>
        </w:rPr>
        <w:t>ստացած</w:t>
      </w:r>
      <w:r w:rsidRPr="009070BD">
        <w:rPr>
          <w:b w:val="0"/>
          <w:bCs/>
          <w:iCs/>
          <w:lang w:val="fr-FR"/>
        </w:rPr>
        <w:t xml:space="preserve"> </w:t>
      </w:r>
      <w:r w:rsidRPr="009070BD">
        <w:rPr>
          <w:b w:val="0"/>
          <w:bCs/>
          <w:iCs/>
        </w:rPr>
        <w:t>անձանց</w:t>
      </w:r>
      <w:r w:rsidRPr="009070BD">
        <w:rPr>
          <w:b w:val="0"/>
          <w:bCs/>
          <w:iCs/>
          <w:lang w:val="fr-FR"/>
        </w:rPr>
        <w:t xml:space="preserve"> </w:t>
      </w:r>
      <w:r w:rsidRPr="009070BD">
        <w:rPr>
          <w:b w:val="0"/>
          <w:bCs/>
          <w:iCs/>
        </w:rPr>
        <w:t>վարձակալությամբ</w:t>
      </w:r>
      <w:r w:rsidRPr="009070BD">
        <w:rPr>
          <w:b w:val="0"/>
          <w:bCs/>
          <w:iCs/>
          <w:lang w:val="fr-FR"/>
        </w:rPr>
        <w:t xml:space="preserve"> </w:t>
      </w:r>
      <w:r w:rsidRPr="009070BD">
        <w:rPr>
          <w:b w:val="0"/>
          <w:bCs/>
          <w:iCs/>
        </w:rPr>
        <w:t>բնակարանների</w:t>
      </w:r>
      <w:r w:rsidRPr="009070BD">
        <w:rPr>
          <w:b w:val="0"/>
          <w:bCs/>
          <w:iCs/>
          <w:lang w:val="fr-FR"/>
        </w:rPr>
        <w:t xml:space="preserve"> </w:t>
      </w:r>
      <w:r w:rsidRPr="009070BD">
        <w:rPr>
          <w:b w:val="0"/>
          <w:bCs/>
          <w:iCs/>
        </w:rPr>
        <w:t>ձեռքբերման</w:t>
      </w:r>
      <w:r w:rsidRPr="009070BD">
        <w:rPr>
          <w:b w:val="0"/>
          <w:bCs/>
          <w:iCs/>
          <w:lang w:val="fr-FR"/>
        </w:rPr>
        <w:t xml:space="preserve"> </w:t>
      </w:r>
      <w:r w:rsidRPr="009070BD">
        <w:rPr>
          <w:b w:val="0"/>
          <w:bCs/>
          <w:iCs/>
        </w:rPr>
        <w:t>ծախսերի</w:t>
      </w:r>
      <w:r w:rsidRPr="009070BD">
        <w:rPr>
          <w:b w:val="0"/>
          <w:bCs/>
          <w:iCs/>
          <w:lang w:val="fr-FR"/>
        </w:rPr>
        <w:t xml:space="preserve"> </w:t>
      </w:r>
      <w:r w:rsidRPr="009070BD">
        <w:rPr>
          <w:b w:val="0"/>
          <w:bCs/>
          <w:iCs/>
        </w:rPr>
        <w:t>փոխհատուցում</w:t>
      </w:r>
      <w:r w:rsidRPr="009070BD">
        <w:rPr>
          <w:b w:val="0"/>
          <w:bCs/>
          <w:iCs/>
          <w:lang w:val="fr-FR"/>
        </w:rPr>
        <w:t xml:space="preserve">» </w:t>
      </w:r>
      <w:r w:rsidRPr="009070BD">
        <w:rPr>
          <w:b w:val="0"/>
          <w:bCs/>
          <w:iCs/>
        </w:rPr>
        <w:t>միջոցառմամբ</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հատկացնել</w:t>
      </w:r>
      <w:r w:rsidRPr="009070BD">
        <w:rPr>
          <w:b w:val="0"/>
          <w:bCs/>
          <w:iCs/>
          <w:lang w:val="fr-FR"/>
        </w:rPr>
        <w:t xml:space="preserve"> 13.5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բյուջեով</w:t>
      </w:r>
      <w:r w:rsidRPr="009070BD">
        <w:rPr>
          <w:b w:val="0"/>
          <w:bCs/>
          <w:iCs/>
          <w:lang w:val="fr-FR"/>
        </w:rPr>
        <w:t xml:space="preserve"> </w:t>
      </w:r>
      <w:r w:rsidRPr="009070BD">
        <w:rPr>
          <w:b w:val="0"/>
          <w:bCs/>
          <w:iCs/>
        </w:rPr>
        <w:t>հաստատված</w:t>
      </w:r>
      <w:r w:rsidRPr="009070BD">
        <w:rPr>
          <w:b w:val="0"/>
          <w:bCs/>
          <w:iCs/>
          <w:lang w:val="fr-FR"/>
        </w:rPr>
        <w:t xml:space="preserve"> </w:t>
      </w:r>
      <w:r w:rsidRPr="009070BD">
        <w:rPr>
          <w:b w:val="0"/>
          <w:bCs/>
          <w:iCs/>
        </w:rPr>
        <w:t>գումարի</w:t>
      </w:r>
      <w:r w:rsidRPr="009070BD">
        <w:rPr>
          <w:b w:val="0"/>
          <w:bCs/>
          <w:iCs/>
          <w:lang w:val="fr-FR"/>
        </w:rPr>
        <w:t xml:space="preserve"> </w:t>
      </w:r>
      <w:r w:rsidRPr="009070BD">
        <w:rPr>
          <w:b w:val="0"/>
          <w:bCs/>
          <w:iCs/>
        </w:rPr>
        <w:t>չափով</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lang w:val="fr-FR"/>
        </w:rPr>
        <w:t>6.7 «1988-1992 թվականներին բռնագաղթված և Հայաստանի Հանրապետու</w:t>
      </w:r>
      <w:r w:rsidRPr="009070BD">
        <w:rPr>
          <w:b w:val="0"/>
          <w:bCs/>
          <w:iCs/>
          <w:lang w:val="fr-FR"/>
        </w:rPr>
        <w:softHyphen/>
        <w:t xml:space="preserve">թյունում ապաստանած </w:t>
      </w:r>
      <w:r w:rsidRPr="009070BD">
        <w:rPr>
          <w:b w:val="0"/>
          <w:bCs/>
          <w:iCs/>
        </w:rPr>
        <w:t>փախստական</w:t>
      </w:r>
      <w:r w:rsidRPr="009070BD">
        <w:rPr>
          <w:b w:val="0"/>
          <w:bCs/>
          <w:iCs/>
          <w:lang w:val="fr-FR"/>
        </w:rPr>
        <w:t xml:space="preserve"> </w:t>
      </w:r>
      <w:r w:rsidRPr="009070BD">
        <w:rPr>
          <w:b w:val="0"/>
          <w:bCs/>
          <w:iCs/>
          <w:lang w:val="en-US"/>
        </w:rPr>
        <w:t>ընտանիքների</w:t>
      </w:r>
      <w:r w:rsidRPr="009070BD">
        <w:rPr>
          <w:b w:val="0"/>
          <w:bCs/>
          <w:iCs/>
          <w:lang w:val="fr-FR"/>
        </w:rPr>
        <w:t xml:space="preserve"> </w:t>
      </w:r>
      <w:r w:rsidRPr="009070BD">
        <w:rPr>
          <w:b w:val="0"/>
          <w:bCs/>
          <w:iCs/>
          <w:lang w:val="en-US"/>
        </w:rPr>
        <w:t>բնակարանային</w:t>
      </w:r>
      <w:r w:rsidRPr="009070BD">
        <w:rPr>
          <w:b w:val="0"/>
          <w:bCs/>
          <w:iCs/>
          <w:lang w:val="fr-FR"/>
        </w:rPr>
        <w:t xml:space="preserve"> </w:t>
      </w:r>
      <w:r w:rsidRPr="009070BD">
        <w:rPr>
          <w:b w:val="0"/>
          <w:bCs/>
          <w:iCs/>
          <w:lang w:val="en-US"/>
        </w:rPr>
        <w:t>ապահովում</w:t>
      </w:r>
      <w:r w:rsidRPr="009070BD">
        <w:rPr>
          <w:b w:val="0"/>
          <w:bCs/>
          <w:iCs/>
          <w:lang w:val="fr-FR"/>
        </w:rPr>
        <w:t xml:space="preserve">» </w:t>
      </w:r>
      <w:r w:rsidRPr="009070BD">
        <w:rPr>
          <w:b w:val="0"/>
          <w:bCs/>
          <w:iCs/>
        </w:rPr>
        <w:t>միջոցառ</w:t>
      </w:r>
      <w:r w:rsidRPr="009070BD">
        <w:rPr>
          <w:b w:val="0"/>
          <w:bCs/>
          <w:iCs/>
          <w:lang w:val="fr-FR"/>
        </w:rPr>
        <w:softHyphen/>
      </w:r>
      <w:r w:rsidRPr="009070BD">
        <w:rPr>
          <w:b w:val="0"/>
          <w:bCs/>
          <w:iCs/>
        </w:rPr>
        <w:t>մամբ</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հատկացնել</w:t>
      </w:r>
      <w:r w:rsidRPr="009070BD">
        <w:rPr>
          <w:b w:val="0"/>
          <w:bCs/>
          <w:iCs/>
          <w:lang w:val="fr-FR"/>
        </w:rPr>
        <w:t xml:space="preserve"> 2,169.7 </w:t>
      </w:r>
      <w:r w:rsidRPr="009070BD">
        <w:rPr>
          <w:b w:val="0"/>
          <w:bCs/>
          <w:iCs/>
        </w:rPr>
        <w:t>մլն</w:t>
      </w:r>
      <w:r w:rsidRPr="009070BD">
        <w:rPr>
          <w:b w:val="0"/>
          <w:bCs/>
          <w:iCs/>
          <w:lang w:val="fr-FR"/>
        </w:rPr>
        <w:t xml:space="preserve"> </w:t>
      </w:r>
      <w:r w:rsidRPr="009070BD">
        <w:rPr>
          <w:b w:val="0"/>
          <w:bCs/>
          <w:iCs/>
        </w:rPr>
        <w:t>դրամ</w:t>
      </w:r>
      <w:r w:rsidRPr="009070BD">
        <w:rPr>
          <w:b w:val="0"/>
          <w:bCs/>
          <w:iCs/>
          <w:lang w:val="en-US"/>
        </w:rPr>
        <w:t>՝</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բյուջեով</w:t>
      </w:r>
      <w:r w:rsidRPr="009070BD">
        <w:rPr>
          <w:b w:val="0"/>
          <w:bCs/>
          <w:iCs/>
          <w:lang w:val="fr-FR"/>
        </w:rPr>
        <w:t xml:space="preserve"> </w:t>
      </w:r>
      <w:r w:rsidRPr="009070BD">
        <w:rPr>
          <w:b w:val="0"/>
          <w:bCs/>
          <w:iCs/>
        </w:rPr>
        <w:t>հաստատված</w:t>
      </w:r>
      <w:r w:rsidRPr="009070BD">
        <w:rPr>
          <w:b w:val="0"/>
          <w:bCs/>
          <w:iCs/>
          <w:lang w:val="fr-FR"/>
        </w:rPr>
        <w:t xml:space="preserve"> 2,169.9 </w:t>
      </w:r>
      <w:r w:rsidRPr="009070BD">
        <w:rPr>
          <w:b w:val="0"/>
          <w:bCs/>
          <w:iCs/>
          <w:lang w:val="en-US"/>
        </w:rPr>
        <w:t>մլն</w:t>
      </w:r>
      <w:r w:rsidRPr="009070BD">
        <w:rPr>
          <w:b w:val="0"/>
          <w:bCs/>
          <w:iCs/>
          <w:lang w:val="fr-FR"/>
        </w:rPr>
        <w:t xml:space="preserve"> </w:t>
      </w:r>
      <w:r w:rsidRPr="009070BD">
        <w:rPr>
          <w:b w:val="0"/>
          <w:bCs/>
          <w:iCs/>
          <w:lang w:val="en-US"/>
        </w:rPr>
        <w:t>դրամի</w:t>
      </w:r>
      <w:r w:rsidRPr="009070BD">
        <w:rPr>
          <w:b w:val="0"/>
          <w:bCs/>
          <w:iCs/>
          <w:lang w:val="fr-FR"/>
        </w:rPr>
        <w:t xml:space="preserve"> </w:t>
      </w:r>
      <w:r w:rsidRPr="009070BD">
        <w:rPr>
          <w:b w:val="0"/>
          <w:bCs/>
          <w:iCs/>
          <w:lang w:val="en-US"/>
        </w:rPr>
        <w:t>դիմաց</w:t>
      </w:r>
      <w:r w:rsidRPr="009070BD">
        <w:rPr>
          <w:b w:val="0"/>
          <w:bCs/>
          <w:iCs/>
          <w:lang w:val="fr-FR"/>
        </w:rPr>
        <w:t xml:space="preserve">, </w:t>
      </w:r>
      <w:r w:rsidRPr="009070BD">
        <w:rPr>
          <w:b w:val="0"/>
          <w:bCs/>
          <w:iCs/>
          <w:lang w:val="en-US"/>
        </w:rPr>
        <w:t>կամ</w:t>
      </w:r>
      <w:r w:rsidRPr="009070BD">
        <w:rPr>
          <w:b w:val="0"/>
          <w:bCs/>
          <w:iCs/>
          <w:lang w:val="fr-FR"/>
        </w:rPr>
        <w:t xml:space="preserve"> </w:t>
      </w:r>
      <w:r w:rsidRPr="009070BD">
        <w:rPr>
          <w:b w:val="0"/>
          <w:bCs/>
          <w:iCs/>
          <w:lang w:val="en-US"/>
        </w:rPr>
        <w:t>պակաս</w:t>
      </w:r>
      <w:r w:rsidRPr="009070BD">
        <w:rPr>
          <w:b w:val="0"/>
          <w:bCs/>
          <w:iCs/>
          <w:lang w:val="fr-FR"/>
        </w:rPr>
        <w:t xml:space="preserve"> 0.2 մլն </w:t>
      </w:r>
      <w:r w:rsidRPr="009070BD">
        <w:rPr>
          <w:b w:val="0"/>
          <w:bCs/>
          <w:iCs/>
          <w:lang w:val="en-US"/>
        </w:rPr>
        <w:t>դրամով</w:t>
      </w:r>
      <w:r w:rsidRPr="009070BD">
        <w:rPr>
          <w:b w:val="0"/>
          <w:bCs/>
          <w:iCs/>
          <w:lang w:val="fr-FR"/>
        </w:rPr>
        <w:t xml:space="preserve">: </w:t>
      </w:r>
      <w:r w:rsidRPr="009070BD">
        <w:rPr>
          <w:b w:val="0"/>
          <w:bCs/>
          <w:iCs/>
          <w:lang w:val="en-US"/>
        </w:rPr>
        <w:t>Տարբերությունը</w:t>
      </w:r>
      <w:r w:rsidRPr="009070BD">
        <w:rPr>
          <w:b w:val="0"/>
          <w:bCs/>
          <w:iCs/>
          <w:lang w:val="fr-FR"/>
        </w:rPr>
        <w:t xml:space="preserve"> </w:t>
      </w:r>
      <w:r w:rsidRPr="009070BD">
        <w:rPr>
          <w:b w:val="0"/>
          <w:bCs/>
          <w:iCs/>
          <w:lang w:val="en-US"/>
        </w:rPr>
        <w:t>պայմանավորված</w:t>
      </w:r>
      <w:r w:rsidR="007C2D2A" w:rsidRPr="009070BD">
        <w:rPr>
          <w:b w:val="0"/>
          <w:bCs/>
          <w:iCs/>
          <w:lang w:val="fr-FR"/>
        </w:rPr>
        <w:t xml:space="preserve"> </w:t>
      </w:r>
      <w:r w:rsidRPr="009070BD">
        <w:rPr>
          <w:b w:val="0"/>
          <w:bCs/>
          <w:iCs/>
          <w:lang w:val="en-US"/>
        </w:rPr>
        <w:t>է</w:t>
      </w:r>
      <w:r w:rsidRPr="009070BD">
        <w:rPr>
          <w:b w:val="0"/>
          <w:bCs/>
          <w:iCs/>
          <w:lang w:val="fr-FR"/>
        </w:rPr>
        <w:t xml:space="preserve"> </w:t>
      </w:r>
      <w:r w:rsidR="007C2D2A" w:rsidRPr="009070BD">
        <w:rPr>
          <w:b w:val="0"/>
          <w:bCs/>
          <w:iCs/>
          <w:lang w:val="fr-FR"/>
        </w:rPr>
        <w:t xml:space="preserve">ՀՀ 2020թ-ի պետական բյուջեով </w:t>
      </w:r>
      <w:r w:rsidRPr="009070BD">
        <w:rPr>
          <w:b w:val="0"/>
          <w:bCs/>
          <w:iCs/>
          <w:lang w:val="en-US"/>
        </w:rPr>
        <w:t>նոտարների</w:t>
      </w:r>
      <w:r w:rsidRPr="009070BD">
        <w:rPr>
          <w:b w:val="0"/>
          <w:bCs/>
          <w:iCs/>
          <w:lang w:val="fr-FR"/>
        </w:rPr>
        <w:t xml:space="preserve"> </w:t>
      </w:r>
      <w:r w:rsidRPr="009070BD">
        <w:rPr>
          <w:b w:val="0"/>
          <w:bCs/>
          <w:iCs/>
          <w:lang w:val="en-US"/>
        </w:rPr>
        <w:t>դեպոզիտ</w:t>
      </w:r>
      <w:r w:rsidRPr="009070BD">
        <w:rPr>
          <w:b w:val="0"/>
          <w:bCs/>
          <w:iCs/>
          <w:lang w:val="fr-FR"/>
        </w:rPr>
        <w:t xml:space="preserve"> </w:t>
      </w:r>
      <w:r w:rsidRPr="009070BD">
        <w:rPr>
          <w:b w:val="0"/>
          <w:bCs/>
          <w:iCs/>
          <w:lang w:val="en-US"/>
        </w:rPr>
        <w:t>հաշիվների</w:t>
      </w:r>
      <w:r w:rsidRPr="009070BD">
        <w:rPr>
          <w:b w:val="0"/>
          <w:bCs/>
          <w:iCs/>
          <w:lang w:val="fr-FR"/>
        </w:rPr>
        <w:t xml:space="preserve"> </w:t>
      </w:r>
      <w:r w:rsidRPr="009070BD">
        <w:rPr>
          <w:b w:val="0"/>
          <w:bCs/>
          <w:iCs/>
          <w:lang w:val="en-US"/>
        </w:rPr>
        <w:t>սպասարկման</w:t>
      </w:r>
      <w:r w:rsidRPr="009070BD">
        <w:rPr>
          <w:b w:val="0"/>
          <w:bCs/>
          <w:iCs/>
          <w:lang w:val="fr-FR"/>
        </w:rPr>
        <w:t xml:space="preserve"> </w:t>
      </w:r>
      <w:r w:rsidRPr="009070BD">
        <w:rPr>
          <w:b w:val="0"/>
          <w:bCs/>
          <w:iCs/>
          <w:lang w:val="en-US"/>
        </w:rPr>
        <w:t>նպատակով</w:t>
      </w:r>
      <w:r w:rsidRPr="009070BD">
        <w:rPr>
          <w:b w:val="0"/>
          <w:bCs/>
          <w:iCs/>
          <w:lang w:val="fr-FR"/>
        </w:rPr>
        <w:t xml:space="preserve"> </w:t>
      </w:r>
      <w:r w:rsidRPr="009070BD">
        <w:rPr>
          <w:b w:val="0"/>
          <w:bCs/>
          <w:iCs/>
          <w:lang w:val="en-US"/>
        </w:rPr>
        <w:t>գումարների</w:t>
      </w:r>
      <w:r w:rsidRPr="009070BD">
        <w:rPr>
          <w:b w:val="0"/>
          <w:bCs/>
          <w:iCs/>
          <w:lang w:val="fr-FR"/>
        </w:rPr>
        <w:t xml:space="preserve"> </w:t>
      </w:r>
      <w:r w:rsidRPr="009070BD">
        <w:rPr>
          <w:b w:val="0"/>
          <w:bCs/>
          <w:iCs/>
          <w:lang w:val="en-US"/>
        </w:rPr>
        <w:t>հատկացմամբ</w:t>
      </w:r>
      <w:r w:rsidRPr="009070BD">
        <w:rPr>
          <w:b w:val="0"/>
          <w:bCs/>
          <w:iCs/>
          <w:lang w:val="fr-FR"/>
        </w:rPr>
        <w:t xml:space="preserve">: </w:t>
      </w:r>
      <w:r w:rsidRPr="009070BD">
        <w:rPr>
          <w:b w:val="0"/>
          <w:bCs/>
          <w:iCs/>
          <w:lang w:val="en-US"/>
        </w:rPr>
        <w:t>Միջոցառման</w:t>
      </w:r>
      <w:r w:rsidRPr="009070BD">
        <w:rPr>
          <w:b w:val="0"/>
          <w:bCs/>
          <w:iCs/>
          <w:lang w:val="fr-FR"/>
        </w:rPr>
        <w:t xml:space="preserve"> </w:t>
      </w:r>
      <w:r w:rsidRPr="009070BD">
        <w:rPr>
          <w:b w:val="0"/>
          <w:bCs/>
          <w:iCs/>
          <w:lang w:val="en-US"/>
        </w:rPr>
        <w:t>նպատակն</w:t>
      </w:r>
      <w:r w:rsidRPr="009070BD">
        <w:rPr>
          <w:b w:val="0"/>
          <w:bCs/>
          <w:iCs/>
          <w:lang w:val="fr-FR"/>
        </w:rPr>
        <w:t xml:space="preserve"> </w:t>
      </w:r>
      <w:r w:rsidRPr="009070BD">
        <w:rPr>
          <w:b w:val="0"/>
          <w:bCs/>
          <w:iCs/>
          <w:lang w:val="en-US"/>
        </w:rPr>
        <w:t>է</w:t>
      </w:r>
      <w:r w:rsidRPr="009070BD">
        <w:rPr>
          <w:b w:val="0"/>
          <w:bCs/>
          <w:iCs/>
          <w:lang w:val="fr-FR"/>
        </w:rPr>
        <w:t xml:space="preserve"> </w:t>
      </w:r>
      <w:r w:rsidRPr="009070BD">
        <w:rPr>
          <w:b w:val="0"/>
          <w:bCs/>
          <w:iCs/>
          <w:lang w:val="en-US"/>
        </w:rPr>
        <w:t>բնակության</w:t>
      </w:r>
      <w:r w:rsidRPr="009070BD">
        <w:rPr>
          <w:b w:val="0"/>
          <w:bCs/>
          <w:iCs/>
          <w:lang w:val="fr-FR"/>
        </w:rPr>
        <w:t xml:space="preserve"> </w:t>
      </w:r>
      <w:r w:rsidRPr="009070BD">
        <w:rPr>
          <w:b w:val="0"/>
          <w:bCs/>
          <w:iCs/>
          <w:lang w:val="en-US"/>
        </w:rPr>
        <w:t>վայր</w:t>
      </w:r>
      <w:r w:rsidRPr="009070BD">
        <w:rPr>
          <w:b w:val="0"/>
          <w:bCs/>
          <w:iCs/>
          <w:lang w:val="fr-FR"/>
        </w:rPr>
        <w:t xml:space="preserve"> </w:t>
      </w:r>
      <w:r w:rsidRPr="009070BD">
        <w:rPr>
          <w:b w:val="0"/>
          <w:bCs/>
          <w:iCs/>
          <w:lang w:val="en-US"/>
        </w:rPr>
        <w:t>չունեցող</w:t>
      </w:r>
      <w:r w:rsidRPr="009070BD">
        <w:rPr>
          <w:b w:val="0"/>
          <w:bCs/>
          <w:iCs/>
          <w:lang w:val="fr-FR"/>
        </w:rPr>
        <w:t xml:space="preserve"> </w:t>
      </w:r>
      <w:r w:rsidRPr="009070BD">
        <w:rPr>
          <w:b w:val="0"/>
          <w:bCs/>
          <w:iCs/>
          <w:lang w:val="en-US"/>
        </w:rPr>
        <w:t>փախստա</w:t>
      </w:r>
      <w:r w:rsidRPr="009070BD">
        <w:rPr>
          <w:b w:val="0"/>
          <w:bCs/>
          <w:iCs/>
          <w:lang w:val="fr-FR"/>
        </w:rPr>
        <w:softHyphen/>
      </w:r>
      <w:r w:rsidRPr="009070BD">
        <w:rPr>
          <w:b w:val="0"/>
          <w:bCs/>
          <w:iCs/>
          <w:lang w:val="en-US"/>
        </w:rPr>
        <w:t>կան</w:t>
      </w:r>
      <w:r w:rsidRPr="009070BD">
        <w:rPr>
          <w:b w:val="0"/>
          <w:bCs/>
          <w:iCs/>
          <w:lang w:val="fr-FR"/>
        </w:rPr>
        <w:t xml:space="preserve"> </w:t>
      </w:r>
      <w:r w:rsidRPr="009070BD">
        <w:rPr>
          <w:b w:val="0"/>
          <w:bCs/>
          <w:iCs/>
          <w:lang w:val="en-US"/>
        </w:rPr>
        <w:t>ընտանիքների</w:t>
      </w:r>
      <w:r w:rsidRPr="009070BD">
        <w:rPr>
          <w:b w:val="0"/>
          <w:bCs/>
          <w:iCs/>
          <w:lang w:val="fr-FR"/>
        </w:rPr>
        <w:t xml:space="preserve"> </w:t>
      </w:r>
      <w:r w:rsidRPr="009070BD">
        <w:rPr>
          <w:b w:val="0"/>
          <w:bCs/>
          <w:iCs/>
          <w:lang w:val="en-US"/>
        </w:rPr>
        <w:t>բնակարանային</w:t>
      </w:r>
      <w:r w:rsidRPr="009070BD">
        <w:rPr>
          <w:b w:val="0"/>
          <w:bCs/>
          <w:iCs/>
          <w:lang w:val="fr-FR"/>
        </w:rPr>
        <w:t xml:space="preserve"> </w:t>
      </w:r>
      <w:r w:rsidRPr="009070BD">
        <w:rPr>
          <w:b w:val="0"/>
          <w:bCs/>
          <w:iCs/>
          <w:lang w:val="en-US"/>
        </w:rPr>
        <w:t>ապահովման</w:t>
      </w:r>
      <w:r w:rsidRPr="009070BD">
        <w:rPr>
          <w:b w:val="0"/>
          <w:bCs/>
          <w:iCs/>
          <w:lang w:val="fr-FR"/>
        </w:rPr>
        <w:t xml:space="preserve"> </w:t>
      </w:r>
      <w:r w:rsidRPr="009070BD">
        <w:rPr>
          <w:b w:val="0"/>
          <w:bCs/>
          <w:iCs/>
          <w:lang w:val="en-US"/>
        </w:rPr>
        <w:t>աջակցությունը</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lang w:val="fr-FR"/>
        </w:rPr>
        <w:t xml:space="preserve">6.8 «ՀՀ վերադարձող քաղաքացիների վերաինտեգրմանն ուղղված առաջնային աջակցության պետական ծրագիր» </w:t>
      </w:r>
      <w:r w:rsidRPr="009070BD">
        <w:rPr>
          <w:b w:val="0"/>
          <w:bCs/>
          <w:iCs/>
        </w:rPr>
        <w:t>միջոցառ</w:t>
      </w:r>
      <w:r w:rsidRPr="009070BD">
        <w:rPr>
          <w:b w:val="0"/>
          <w:bCs/>
          <w:iCs/>
          <w:lang w:val="fr-FR"/>
        </w:rPr>
        <w:softHyphen/>
      </w:r>
      <w:r w:rsidRPr="009070BD">
        <w:rPr>
          <w:b w:val="0"/>
          <w:bCs/>
          <w:iCs/>
        </w:rPr>
        <w:t>մամբ</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հատկացնել</w:t>
      </w:r>
      <w:r w:rsidRPr="009070BD">
        <w:rPr>
          <w:b w:val="0"/>
          <w:bCs/>
          <w:iCs/>
          <w:lang w:val="fr-FR"/>
        </w:rPr>
        <w:t xml:space="preserve"> 13.7 </w:t>
      </w:r>
      <w:r w:rsidRPr="009070BD">
        <w:rPr>
          <w:b w:val="0"/>
          <w:bCs/>
          <w:iCs/>
        </w:rPr>
        <w:t>մլն</w:t>
      </w:r>
      <w:r w:rsidRPr="009070BD">
        <w:rPr>
          <w:b w:val="0"/>
          <w:bCs/>
          <w:iCs/>
          <w:lang w:val="fr-FR"/>
        </w:rPr>
        <w:t xml:space="preserve"> </w:t>
      </w:r>
      <w:r w:rsidRPr="009070BD">
        <w:rPr>
          <w:b w:val="0"/>
          <w:bCs/>
          <w:iCs/>
        </w:rPr>
        <w:t>դրամ</w:t>
      </w:r>
      <w:r w:rsidRPr="009070BD">
        <w:rPr>
          <w:b w:val="0"/>
          <w:bCs/>
          <w:iCs/>
          <w:lang w:val="en-US"/>
        </w:rPr>
        <w:t>՝</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բյուջեով</w:t>
      </w:r>
      <w:r w:rsidRPr="009070BD">
        <w:rPr>
          <w:b w:val="0"/>
          <w:bCs/>
          <w:iCs/>
          <w:lang w:val="fr-FR"/>
        </w:rPr>
        <w:t xml:space="preserve"> </w:t>
      </w:r>
      <w:r w:rsidRPr="009070BD">
        <w:rPr>
          <w:b w:val="0"/>
          <w:bCs/>
          <w:iCs/>
        </w:rPr>
        <w:t>հաստատված</w:t>
      </w:r>
      <w:r w:rsidRPr="009070BD">
        <w:rPr>
          <w:b w:val="0"/>
          <w:bCs/>
          <w:iCs/>
          <w:lang w:val="fr-FR"/>
        </w:rPr>
        <w:t xml:space="preserve"> 13.8 </w:t>
      </w:r>
      <w:r w:rsidRPr="009070BD">
        <w:rPr>
          <w:b w:val="0"/>
          <w:bCs/>
          <w:iCs/>
          <w:lang w:val="en-US"/>
        </w:rPr>
        <w:t>մլն</w:t>
      </w:r>
      <w:r w:rsidRPr="009070BD">
        <w:rPr>
          <w:b w:val="0"/>
          <w:bCs/>
          <w:iCs/>
          <w:lang w:val="fr-FR"/>
        </w:rPr>
        <w:t xml:space="preserve"> </w:t>
      </w:r>
      <w:r w:rsidRPr="009070BD">
        <w:rPr>
          <w:b w:val="0"/>
          <w:bCs/>
          <w:iCs/>
          <w:lang w:val="en-US"/>
        </w:rPr>
        <w:t>դրամի</w:t>
      </w:r>
      <w:r w:rsidRPr="009070BD">
        <w:rPr>
          <w:b w:val="0"/>
          <w:bCs/>
          <w:iCs/>
          <w:lang w:val="fr-FR"/>
        </w:rPr>
        <w:t xml:space="preserve"> </w:t>
      </w:r>
      <w:r w:rsidRPr="009070BD">
        <w:rPr>
          <w:b w:val="0"/>
          <w:bCs/>
          <w:iCs/>
          <w:lang w:val="en-US"/>
        </w:rPr>
        <w:t>դիմաց</w:t>
      </w:r>
      <w:r w:rsidRPr="009070BD">
        <w:rPr>
          <w:b w:val="0"/>
          <w:bCs/>
          <w:iCs/>
          <w:lang w:val="fr-FR"/>
        </w:rPr>
        <w:t xml:space="preserve">, </w:t>
      </w:r>
      <w:r w:rsidRPr="009070BD">
        <w:rPr>
          <w:b w:val="0"/>
          <w:bCs/>
          <w:iCs/>
          <w:lang w:val="en-US"/>
        </w:rPr>
        <w:t>կամ</w:t>
      </w:r>
      <w:r w:rsidRPr="009070BD">
        <w:rPr>
          <w:b w:val="0"/>
          <w:bCs/>
          <w:iCs/>
          <w:lang w:val="fr-FR"/>
        </w:rPr>
        <w:t xml:space="preserve"> </w:t>
      </w:r>
      <w:r w:rsidRPr="009070BD">
        <w:rPr>
          <w:b w:val="0"/>
          <w:bCs/>
          <w:iCs/>
          <w:lang w:val="en-US"/>
        </w:rPr>
        <w:t>պակաս</w:t>
      </w:r>
      <w:r w:rsidRPr="009070BD">
        <w:rPr>
          <w:b w:val="0"/>
          <w:bCs/>
          <w:iCs/>
          <w:lang w:val="fr-FR"/>
        </w:rPr>
        <w:t xml:space="preserve"> 0.1 մլն </w:t>
      </w:r>
      <w:r w:rsidRPr="009070BD">
        <w:rPr>
          <w:b w:val="0"/>
          <w:bCs/>
          <w:iCs/>
          <w:lang w:val="en-US"/>
        </w:rPr>
        <w:t>դրամով</w:t>
      </w:r>
      <w:r w:rsidRPr="009070BD">
        <w:rPr>
          <w:b w:val="0"/>
          <w:bCs/>
          <w:iCs/>
          <w:lang w:val="fr-FR"/>
        </w:rPr>
        <w:t xml:space="preserve">: </w:t>
      </w:r>
      <w:r w:rsidRPr="009070BD">
        <w:rPr>
          <w:b w:val="0"/>
          <w:bCs/>
          <w:iCs/>
          <w:lang w:val="en-US"/>
        </w:rPr>
        <w:t>ՀՀ</w:t>
      </w:r>
      <w:r w:rsidRPr="009070BD">
        <w:rPr>
          <w:b w:val="0"/>
          <w:bCs/>
          <w:iCs/>
          <w:lang w:val="fr-FR"/>
        </w:rPr>
        <w:t xml:space="preserve"> վերադարձող քաղաքացիներին վերաինտեգրման նպատակով: </w:t>
      </w:r>
    </w:p>
    <w:p w:rsidR="001971B9" w:rsidRPr="009070BD" w:rsidRDefault="001971B9" w:rsidP="007730AA">
      <w:pPr>
        <w:spacing w:before="0" w:line="276" w:lineRule="auto"/>
        <w:ind w:firstLine="720"/>
        <w:rPr>
          <w:b w:val="0"/>
          <w:bCs/>
          <w:iCs/>
          <w:lang w:val="fr-FR"/>
        </w:rPr>
      </w:pPr>
      <w:r w:rsidRPr="009070BD">
        <w:rPr>
          <w:bCs/>
          <w:iCs/>
          <w:lang w:val="fr-FR"/>
        </w:rPr>
        <w:t>7. «</w:t>
      </w:r>
      <w:r w:rsidRPr="009070BD">
        <w:rPr>
          <w:bCs/>
          <w:iCs/>
        </w:rPr>
        <w:t>Ընդերքի</w:t>
      </w:r>
      <w:r w:rsidRPr="009070BD">
        <w:rPr>
          <w:bCs/>
          <w:iCs/>
          <w:lang w:val="fr-FR"/>
        </w:rPr>
        <w:t xml:space="preserve"> </w:t>
      </w:r>
      <w:r w:rsidRPr="009070BD">
        <w:rPr>
          <w:bCs/>
          <w:iCs/>
        </w:rPr>
        <w:t>ուսումնասիրության</w:t>
      </w:r>
      <w:r w:rsidRPr="009070BD">
        <w:rPr>
          <w:bCs/>
          <w:iCs/>
          <w:lang w:val="fr-FR"/>
        </w:rPr>
        <w:t xml:space="preserve">, </w:t>
      </w:r>
      <w:r w:rsidRPr="009070BD">
        <w:rPr>
          <w:bCs/>
          <w:iCs/>
        </w:rPr>
        <w:t>օգտագործման</w:t>
      </w:r>
      <w:r w:rsidRPr="009070BD">
        <w:rPr>
          <w:bCs/>
          <w:iCs/>
          <w:lang w:val="fr-FR"/>
        </w:rPr>
        <w:t xml:space="preserve"> </w:t>
      </w:r>
      <w:r w:rsidRPr="009070BD">
        <w:rPr>
          <w:bCs/>
          <w:iCs/>
        </w:rPr>
        <w:t>և</w:t>
      </w:r>
      <w:r w:rsidRPr="009070BD">
        <w:rPr>
          <w:bCs/>
          <w:iCs/>
          <w:lang w:val="fr-FR"/>
        </w:rPr>
        <w:t xml:space="preserve"> </w:t>
      </w:r>
      <w:r w:rsidRPr="009070BD">
        <w:rPr>
          <w:bCs/>
          <w:iCs/>
        </w:rPr>
        <w:t>պահպանման</w:t>
      </w:r>
      <w:r w:rsidRPr="009070BD">
        <w:rPr>
          <w:bCs/>
          <w:iCs/>
          <w:lang w:val="fr-FR"/>
        </w:rPr>
        <w:t xml:space="preserve"> </w:t>
      </w:r>
      <w:r w:rsidRPr="009070BD">
        <w:rPr>
          <w:bCs/>
          <w:iCs/>
        </w:rPr>
        <w:t>ծառայություններ</w:t>
      </w:r>
      <w:r w:rsidRPr="009070BD">
        <w:rPr>
          <w:bCs/>
          <w:iCs/>
          <w:lang w:val="fr-FR"/>
        </w:rPr>
        <w:t xml:space="preserve">» </w:t>
      </w:r>
      <w:r w:rsidRPr="009070BD">
        <w:rPr>
          <w:bCs/>
          <w:iCs/>
        </w:rPr>
        <w:t>ծրագիր</w:t>
      </w:r>
      <w:r w:rsidRPr="009070BD">
        <w:rPr>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rPr>
        <w:t>Ծրագրի</w:t>
      </w:r>
      <w:r w:rsidRPr="009070BD">
        <w:rPr>
          <w:b w:val="0"/>
          <w:bCs/>
          <w:iCs/>
          <w:lang w:val="fr-FR"/>
        </w:rPr>
        <w:t xml:space="preserve"> </w:t>
      </w:r>
      <w:r w:rsidRPr="009070BD">
        <w:rPr>
          <w:b w:val="0"/>
          <w:bCs/>
          <w:iCs/>
        </w:rPr>
        <w:t>նպատակն</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ընդերքի</w:t>
      </w:r>
      <w:r w:rsidRPr="009070BD">
        <w:rPr>
          <w:b w:val="0"/>
          <w:bCs/>
          <w:iCs/>
          <w:lang w:val="fr-FR"/>
        </w:rPr>
        <w:t xml:space="preserve"> </w:t>
      </w:r>
      <w:r w:rsidRPr="009070BD">
        <w:rPr>
          <w:b w:val="0"/>
          <w:bCs/>
          <w:iCs/>
        </w:rPr>
        <w:t>օգտագործման</w:t>
      </w:r>
      <w:r w:rsidRPr="009070BD">
        <w:rPr>
          <w:b w:val="0"/>
          <w:bCs/>
          <w:iCs/>
          <w:lang w:val="fr-FR"/>
        </w:rPr>
        <w:t xml:space="preserve"> </w:t>
      </w:r>
      <w:r w:rsidRPr="009070BD">
        <w:rPr>
          <w:b w:val="0"/>
          <w:bCs/>
          <w:iCs/>
        </w:rPr>
        <w:t>արդյունավետության</w:t>
      </w:r>
      <w:r w:rsidRPr="009070BD">
        <w:rPr>
          <w:b w:val="0"/>
          <w:bCs/>
          <w:iCs/>
          <w:lang w:val="fr-FR"/>
        </w:rPr>
        <w:t xml:space="preserve"> </w:t>
      </w:r>
      <w:r w:rsidRPr="009070BD">
        <w:rPr>
          <w:b w:val="0"/>
          <w:bCs/>
          <w:iCs/>
        </w:rPr>
        <w:t>բարձրացումը</w:t>
      </w:r>
      <w:r w:rsidRPr="009070BD">
        <w:rPr>
          <w:b w:val="0"/>
          <w:bCs/>
          <w:iCs/>
          <w:lang w:val="fr-FR"/>
        </w:rPr>
        <w:t xml:space="preserve">, </w:t>
      </w:r>
      <w:r w:rsidRPr="009070BD">
        <w:rPr>
          <w:b w:val="0"/>
          <w:bCs/>
          <w:iCs/>
        </w:rPr>
        <w:t>որի</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Ընդերքի</w:t>
      </w:r>
      <w:r w:rsidRPr="009070BD">
        <w:rPr>
          <w:b w:val="0"/>
          <w:bCs/>
          <w:iCs/>
          <w:lang w:val="fr-FR"/>
        </w:rPr>
        <w:t xml:space="preserve"> </w:t>
      </w:r>
      <w:r w:rsidRPr="009070BD">
        <w:rPr>
          <w:b w:val="0"/>
          <w:bCs/>
          <w:iCs/>
        </w:rPr>
        <w:t>մասին</w:t>
      </w:r>
      <w:r w:rsidRPr="009070BD">
        <w:rPr>
          <w:b w:val="0"/>
          <w:bCs/>
          <w:iCs/>
          <w:lang w:val="fr-FR"/>
        </w:rPr>
        <w:t xml:space="preserve"> </w:t>
      </w:r>
      <w:r w:rsidRPr="009070BD">
        <w:rPr>
          <w:b w:val="0"/>
          <w:bCs/>
          <w:iCs/>
        </w:rPr>
        <w:t>տեղեկատվություն</w:t>
      </w:r>
      <w:r w:rsidRPr="009070BD">
        <w:rPr>
          <w:b w:val="0"/>
          <w:bCs/>
          <w:iCs/>
          <w:lang w:val="fr-FR"/>
        </w:rPr>
        <w:t xml:space="preserve"> </w:t>
      </w:r>
      <w:r w:rsidRPr="009070BD">
        <w:rPr>
          <w:b w:val="0"/>
          <w:bCs/>
          <w:iCs/>
        </w:rPr>
        <w:t>տրամադրման</w:t>
      </w:r>
      <w:r w:rsidRPr="009070BD">
        <w:rPr>
          <w:b w:val="0"/>
          <w:bCs/>
          <w:iCs/>
          <w:lang w:val="fr-FR"/>
        </w:rPr>
        <w:t xml:space="preserve"> </w:t>
      </w:r>
      <w:r w:rsidRPr="009070BD">
        <w:rPr>
          <w:b w:val="0"/>
          <w:bCs/>
          <w:iCs/>
        </w:rPr>
        <w:t>ծառայություններ</w:t>
      </w:r>
      <w:r w:rsidRPr="009070BD">
        <w:rPr>
          <w:b w:val="0"/>
          <w:bCs/>
          <w:iCs/>
          <w:lang w:val="fr-FR"/>
        </w:rPr>
        <w:t xml:space="preserve"> </w:t>
      </w:r>
      <w:r w:rsidRPr="009070BD">
        <w:rPr>
          <w:b w:val="0"/>
          <w:bCs/>
          <w:iCs/>
        </w:rPr>
        <w:t>միջոցառմամբ</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հատկացնել</w:t>
      </w:r>
      <w:r w:rsidRPr="009070BD">
        <w:rPr>
          <w:b w:val="0"/>
          <w:bCs/>
          <w:iCs/>
          <w:lang w:val="fr-FR"/>
        </w:rPr>
        <w:t xml:space="preserve"> 16.9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մակարդակին</w:t>
      </w:r>
      <w:r w:rsidRPr="009070BD">
        <w:rPr>
          <w:b w:val="0"/>
          <w:bCs/>
          <w:iCs/>
          <w:lang w:val="fr-FR"/>
        </w:rPr>
        <w:t xml:space="preserve"> </w:t>
      </w:r>
      <w:r w:rsidRPr="009070BD">
        <w:rPr>
          <w:b w:val="0"/>
          <w:bCs/>
          <w:iCs/>
        </w:rPr>
        <w:t>համապատասխան</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 xml:space="preserve">Միջոցառման </w:t>
      </w:r>
      <w:r w:rsidRPr="009070BD">
        <w:rPr>
          <w:b w:val="0"/>
          <w:bCs/>
          <w:iCs/>
        </w:rPr>
        <w:t>նպատակն</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Հայաստանի</w:t>
      </w:r>
      <w:r w:rsidRPr="009070BD">
        <w:rPr>
          <w:b w:val="0"/>
          <w:bCs/>
          <w:iCs/>
          <w:lang w:val="fr-FR"/>
        </w:rPr>
        <w:t xml:space="preserve"> </w:t>
      </w:r>
      <w:r w:rsidRPr="009070BD">
        <w:rPr>
          <w:b w:val="0"/>
          <w:bCs/>
          <w:iCs/>
        </w:rPr>
        <w:t>Հանրապետության</w:t>
      </w:r>
      <w:r w:rsidRPr="009070BD">
        <w:rPr>
          <w:b w:val="0"/>
          <w:bCs/>
          <w:iCs/>
          <w:lang w:val="fr-FR"/>
        </w:rPr>
        <w:t xml:space="preserve"> </w:t>
      </w:r>
      <w:r w:rsidRPr="009070BD">
        <w:rPr>
          <w:b w:val="0"/>
          <w:bCs/>
          <w:iCs/>
        </w:rPr>
        <w:t>տարածքում</w:t>
      </w:r>
      <w:r w:rsidRPr="009070BD">
        <w:rPr>
          <w:b w:val="0"/>
          <w:bCs/>
          <w:iCs/>
          <w:lang w:val="fr-FR"/>
        </w:rPr>
        <w:t xml:space="preserve"> </w:t>
      </w:r>
      <w:r w:rsidRPr="009070BD">
        <w:rPr>
          <w:b w:val="0"/>
          <w:bCs/>
          <w:iCs/>
        </w:rPr>
        <w:t>ընդերքի</w:t>
      </w:r>
      <w:r w:rsidRPr="009070BD">
        <w:rPr>
          <w:b w:val="0"/>
          <w:bCs/>
          <w:iCs/>
          <w:lang w:val="fr-FR"/>
        </w:rPr>
        <w:t xml:space="preserve"> </w:t>
      </w:r>
      <w:r w:rsidRPr="009070BD">
        <w:rPr>
          <w:b w:val="0"/>
          <w:bCs/>
          <w:iCs/>
        </w:rPr>
        <w:t>վերաբերյալ</w:t>
      </w:r>
      <w:r w:rsidRPr="009070BD">
        <w:rPr>
          <w:b w:val="0"/>
          <w:bCs/>
          <w:iCs/>
          <w:lang w:val="fr-FR"/>
        </w:rPr>
        <w:t xml:space="preserve"> </w:t>
      </w:r>
      <w:r w:rsidRPr="009070BD">
        <w:rPr>
          <w:b w:val="0"/>
          <w:bCs/>
          <w:iCs/>
        </w:rPr>
        <w:t>երկրաբանական</w:t>
      </w:r>
      <w:r w:rsidRPr="009070BD">
        <w:rPr>
          <w:b w:val="0"/>
          <w:bCs/>
          <w:iCs/>
          <w:lang w:val="fr-FR"/>
        </w:rPr>
        <w:t xml:space="preserve"> </w:t>
      </w:r>
      <w:r w:rsidRPr="009070BD">
        <w:rPr>
          <w:b w:val="0"/>
          <w:bCs/>
          <w:iCs/>
        </w:rPr>
        <w:t>տեղեկությունների</w:t>
      </w:r>
      <w:r w:rsidRPr="009070BD">
        <w:rPr>
          <w:b w:val="0"/>
          <w:bCs/>
          <w:iCs/>
          <w:lang w:val="fr-FR"/>
        </w:rPr>
        <w:t xml:space="preserve"> </w:t>
      </w:r>
      <w:r w:rsidRPr="009070BD">
        <w:rPr>
          <w:b w:val="0"/>
          <w:bCs/>
          <w:iCs/>
        </w:rPr>
        <w:t>ընդունումը</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պահպանումը</w:t>
      </w:r>
      <w:r w:rsidRPr="009070BD">
        <w:rPr>
          <w:b w:val="0"/>
          <w:bCs/>
          <w:iCs/>
          <w:lang w:val="fr-FR"/>
        </w:rPr>
        <w:t xml:space="preserve">, </w:t>
      </w:r>
      <w:r w:rsidRPr="009070BD">
        <w:rPr>
          <w:b w:val="0"/>
          <w:bCs/>
          <w:iCs/>
        </w:rPr>
        <w:t>հանքավայրերի</w:t>
      </w:r>
      <w:r w:rsidRPr="009070BD">
        <w:rPr>
          <w:b w:val="0"/>
          <w:bCs/>
          <w:iCs/>
          <w:lang w:val="fr-FR"/>
        </w:rPr>
        <w:t xml:space="preserve"> </w:t>
      </w:r>
      <w:r w:rsidRPr="009070BD">
        <w:rPr>
          <w:b w:val="0"/>
          <w:bCs/>
          <w:iCs/>
        </w:rPr>
        <w:t>ու</w:t>
      </w:r>
      <w:r w:rsidRPr="009070BD">
        <w:rPr>
          <w:b w:val="0"/>
          <w:bCs/>
          <w:iCs/>
          <w:lang w:val="fr-FR"/>
        </w:rPr>
        <w:t xml:space="preserve"> </w:t>
      </w:r>
      <w:r w:rsidRPr="009070BD">
        <w:rPr>
          <w:b w:val="0"/>
          <w:bCs/>
          <w:iCs/>
        </w:rPr>
        <w:t>օգտակար</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lang w:val="fr-FR"/>
        </w:rPr>
        <w:softHyphen/>
      </w:r>
      <w:r w:rsidRPr="009070BD">
        <w:rPr>
          <w:b w:val="0"/>
          <w:bCs/>
          <w:iCs/>
        </w:rPr>
        <w:t>նածոների</w:t>
      </w:r>
      <w:r w:rsidRPr="009070BD">
        <w:rPr>
          <w:b w:val="0"/>
          <w:bCs/>
          <w:iCs/>
          <w:lang w:val="fr-FR"/>
        </w:rPr>
        <w:t xml:space="preserve"> </w:t>
      </w:r>
      <w:r w:rsidRPr="009070BD">
        <w:rPr>
          <w:b w:val="0"/>
          <w:bCs/>
          <w:iCs/>
        </w:rPr>
        <w:t>երևակումների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կադաստրի</w:t>
      </w:r>
      <w:r w:rsidRPr="009070BD">
        <w:rPr>
          <w:b w:val="0"/>
          <w:bCs/>
          <w:iCs/>
          <w:lang w:val="fr-FR"/>
        </w:rPr>
        <w:t xml:space="preserve"> </w:t>
      </w:r>
      <w:r w:rsidRPr="009070BD">
        <w:rPr>
          <w:b w:val="0"/>
          <w:bCs/>
          <w:iCs/>
        </w:rPr>
        <w:t>վարումը</w:t>
      </w:r>
      <w:r w:rsidRPr="009070BD">
        <w:rPr>
          <w:b w:val="0"/>
          <w:bCs/>
          <w:iCs/>
          <w:lang w:val="fr-FR"/>
        </w:rPr>
        <w:t xml:space="preserve">, </w:t>
      </w:r>
      <w:r w:rsidRPr="009070BD">
        <w:rPr>
          <w:b w:val="0"/>
          <w:bCs/>
          <w:iCs/>
        </w:rPr>
        <w:t>երկրաբանական</w:t>
      </w:r>
      <w:r w:rsidRPr="009070BD">
        <w:rPr>
          <w:b w:val="0"/>
          <w:bCs/>
          <w:iCs/>
          <w:lang w:val="fr-FR"/>
        </w:rPr>
        <w:t xml:space="preserve"> </w:t>
      </w:r>
      <w:r w:rsidRPr="009070BD">
        <w:rPr>
          <w:b w:val="0"/>
          <w:bCs/>
          <w:iCs/>
        </w:rPr>
        <w:t>տեղեկության</w:t>
      </w:r>
      <w:r w:rsidRPr="009070BD">
        <w:rPr>
          <w:b w:val="0"/>
          <w:bCs/>
          <w:iCs/>
          <w:lang w:val="fr-FR"/>
        </w:rPr>
        <w:t xml:space="preserve"> </w:t>
      </w:r>
      <w:r w:rsidRPr="009070BD">
        <w:rPr>
          <w:b w:val="0"/>
          <w:bCs/>
          <w:iCs/>
        </w:rPr>
        <w:t>միաս</w:t>
      </w:r>
      <w:r w:rsidRPr="009070BD">
        <w:rPr>
          <w:b w:val="0"/>
          <w:bCs/>
          <w:iCs/>
          <w:lang w:val="fr-FR"/>
        </w:rPr>
        <w:softHyphen/>
      </w:r>
      <w:r w:rsidRPr="009070BD">
        <w:rPr>
          <w:b w:val="0"/>
          <w:bCs/>
          <w:iCs/>
          <w:lang w:val="fr-FR"/>
        </w:rPr>
        <w:softHyphen/>
      </w:r>
      <w:r w:rsidRPr="009070BD">
        <w:rPr>
          <w:b w:val="0"/>
          <w:bCs/>
          <w:iCs/>
        </w:rPr>
        <w:t>նական</w:t>
      </w:r>
      <w:r w:rsidRPr="009070BD">
        <w:rPr>
          <w:b w:val="0"/>
          <w:bCs/>
          <w:iCs/>
          <w:lang w:val="fr-FR"/>
        </w:rPr>
        <w:t xml:space="preserve"> </w:t>
      </w:r>
      <w:r w:rsidRPr="009070BD">
        <w:rPr>
          <w:b w:val="0"/>
          <w:bCs/>
          <w:iCs/>
        </w:rPr>
        <w:t>համակարգի</w:t>
      </w:r>
      <w:r w:rsidRPr="009070BD">
        <w:rPr>
          <w:b w:val="0"/>
          <w:bCs/>
          <w:iCs/>
          <w:lang w:val="fr-FR"/>
        </w:rPr>
        <w:t xml:space="preserve"> </w:t>
      </w:r>
      <w:r w:rsidRPr="009070BD">
        <w:rPr>
          <w:b w:val="0"/>
          <w:bCs/>
          <w:iCs/>
        </w:rPr>
        <w:t>ստեղծումը</w:t>
      </w:r>
      <w:r w:rsidRPr="009070BD">
        <w:rPr>
          <w:b w:val="0"/>
          <w:bCs/>
          <w:iCs/>
          <w:lang w:val="fr-FR"/>
        </w:rPr>
        <w:t xml:space="preserve">, </w:t>
      </w:r>
      <w:r w:rsidRPr="009070BD">
        <w:rPr>
          <w:b w:val="0"/>
          <w:bCs/>
          <w:iCs/>
        </w:rPr>
        <w:t>վարումը</w:t>
      </w:r>
      <w:r w:rsidRPr="009070BD">
        <w:rPr>
          <w:b w:val="0"/>
          <w:bCs/>
          <w:iCs/>
          <w:lang w:val="fr-FR"/>
        </w:rPr>
        <w:t xml:space="preserve">, </w:t>
      </w:r>
      <w:r w:rsidRPr="009070BD">
        <w:rPr>
          <w:b w:val="0"/>
          <w:bCs/>
          <w:iCs/>
        </w:rPr>
        <w:t>տնօրինումը</w:t>
      </w:r>
      <w:r w:rsidRPr="009070BD">
        <w:rPr>
          <w:b w:val="0"/>
          <w:bCs/>
          <w:iCs/>
          <w:lang w:val="fr-FR"/>
        </w:rPr>
        <w:t xml:space="preserve">, </w:t>
      </w:r>
      <w:r w:rsidRPr="009070BD">
        <w:rPr>
          <w:b w:val="0"/>
          <w:bCs/>
          <w:iCs/>
        </w:rPr>
        <w:t>տրամադրումը</w:t>
      </w:r>
      <w:r w:rsidRPr="009070BD">
        <w:rPr>
          <w:b w:val="0"/>
          <w:bCs/>
          <w:iCs/>
          <w:lang w:val="fr-FR"/>
        </w:rPr>
        <w:t xml:space="preserve">, </w:t>
      </w:r>
      <w:r w:rsidRPr="009070BD">
        <w:rPr>
          <w:b w:val="0"/>
          <w:bCs/>
          <w:iCs/>
        </w:rPr>
        <w:t>միասնական</w:t>
      </w:r>
      <w:r w:rsidRPr="009070BD">
        <w:rPr>
          <w:b w:val="0"/>
          <w:bCs/>
          <w:iCs/>
          <w:lang w:val="fr-FR"/>
        </w:rPr>
        <w:t xml:space="preserve"> </w:t>
      </w:r>
      <w:r w:rsidRPr="009070BD">
        <w:rPr>
          <w:b w:val="0"/>
          <w:bCs/>
          <w:iCs/>
        </w:rPr>
        <w:t>կոոր</w:t>
      </w:r>
      <w:r w:rsidRPr="009070BD">
        <w:rPr>
          <w:b w:val="0"/>
          <w:bCs/>
          <w:iCs/>
          <w:lang w:val="fr-FR"/>
        </w:rPr>
        <w:softHyphen/>
      </w:r>
      <w:r w:rsidRPr="009070BD">
        <w:rPr>
          <w:b w:val="0"/>
          <w:bCs/>
          <w:iCs/>
        </w:rPr>
        <w:t>դի</w:t>
      </w:r>
      <w:r w:rsidRPr="009070BD">
        <w:rPr>
          <w:b w:val="0"/>
          <w:bCs/>
          <w:iCs/>
          <w:lang w:val="fr-FR"/>
        </w:rPr>
        <w:softHyphen/>
      </w:r>
      <w:r w:rsidRPr="009070BD">
        <w:rPr>
          <w:b w:val="0"/>
          <w:bCs/>
          <w:iCs/>
          <w:lang w:val="fr-FR"/>
        </w:rPr>
        <w:softHyphen/>
      </w:r>
      <w:r w:rsidRPr="009070BD">
        <w:rPr>
          <w:b w:val="0"/>
          <w:bCs/>
          <w:iCs/>
        </w:rPr>
        <w:t>նատային</w:t>
      </w:r>
      <w:r w:rsidRPr="009070BD">
        <w:rPr>
          <w:b w:val="0"/>
          <w:bCs/>
          <w:iCs/>
          <w:lang w:val="fr-FR"/>
        </w:rPr>
        <w:t xml:space="preserve"> </w:t>
      </w:r>
      <w:r w:rsidRPr="009070BD">
        <w:rPr>
          <w:b w:val="0"/>
          <w:bCs/>
          <w:iCs/>
        </w:rPr>
        <w:t>համակարգով</w:t>
      </w:r>
      <w:r w:rsidRPr="009070BD">
        <w:rPr>
          <w:b w:val="0"/>
          <w:bCs/>
          <w:iCs/>
          <w:lang w:val="fr-FR"/>
        </w:rPr>
        <w:t xml:space="preserve"> </w:t>
      </w:r>
      <w:r w:rsidRPr="009070BD">
        <w:rPr>
          <w:b w:val="0"/>
          <w:bCs/>
          <w:iCs/>
        </w:rPr>
        <w:t>տրամադրված</w:t>
      </w:r>
      <w:r w:rsidRPr="009070BD">
        <w:rPr>
          <w:b w:val="0"/>
          <w:bCs/>
          <w:iCs/>
          <w:lang w:val="fr-FR"/>
        </w:rPr>
        <w:t xml:space="preserve"> </w:t>
      </w:r>
      <w:r w:rsidRPr="009070BD">
        <w:rPr>
          <w:b w:val="0"/>
          <w:bCs/>
          <w:iCs/>
        </w:rPr>
        <w:t>ընդերքի</w:t>
      </w:r>
      <w:r w:rsidRPr="009070BD">
        <w:rPr>
          <w:b w:val="0"/>
          <w:bCs/>
          <w:iCs/>
          <w:lang w:val="fr-FR"/>
        </w:rPr>
        <w:t xml:space="preserve"> </w:t>
      </w:r>
      <w:r w:rsidRPr="009070BD">
        <w:rPr>
          <w:b w:val="0"/>
          <w:bCs/>
          <w:iCs/>
        </w:rPr>
        <w:t>տեղամասերի</w:t>
      </w:r>
      <w:r w:rsidRPr="009070BD">
        <w:rPr>
          <w:b w:val="0"/>
          <w:bCs/>
          <w:iCs/>
          <w:lang w:val="fr-FR"/>
        </w:rPr>
        <w:t xml:space="preserve"> </w:t>
      </w:r>
      <w:r w:rsidRPr="009070BD">
        <w:rPr>
          <w:b w:val="0"/>
          <w:bCs/>
          <w:iCs/>
        </w:rPr>
        <w:t>ծայրակետային</w:t>
      </w:r>
      <w:r w:rsidRPr="009070BD">
        <w:rPr>
          <w:b w:val="0"/>
          <w:bCs/>
          <w:iCs/>
          <w:lang w:val="fr-FR"/>
        </w:rPr>
        <w:t xml:space="preserve"> </w:t>
      </w:r>
      <w:r w:rsidRPr="009070BD">
        <w:rPr>
          <w:b w:val="0"/>
          <w:bCs/>
          <w:iCs/>
        </w:rPr>
        <w:t>կոորդի</w:t>
      </w:r>
      <w:r w:rsidRPr="009070BD">
        <w:rPr>
          <w:b w:val="0"/>
          <w:bCs/>
          <w:iCs/>
          <w:lang w:val="fr-FR"/>
        </w:rPr>
        <w:softHyphen/>
      </w:r>
      <w:r w:rsidRPr="009070BD">
        <w:rPr>
          <w:b w:val="0"/>
          <w:bCs/>
          <w:iCs/>
        </w:rPr>
        <w:t>նատների</w:t>
      </w:r>
      <w:r w:rsidRPr="009070BD">
        <w:rPr>
          <w:b w:val="0"/>
          <w:bCs/>
          <w:iCs/>
          <w:lang w:val="fr-FR"/>
        </w:rPr>
        <w:t xml:space="preserve"> </w:t>
      </w:r>
      <w:r w:rsidRPr="009070BD">
        <w:rPr>
          <w:b w:val="0"/>
          <w:bCs/>
          <w:iCs/>
        </w:rPr>
        <w:t>համադրումը</w:t>
      </w:r>
      <w:r w:rsidRPr="009070BD">
        <w:rPr>
          <w:b w:val="0"/>
          <w:bCs/>
          <w:iCs/>
          <w:lang w:val="fr-FR"/>
        </w:rPr>
        <w:t xml:space="preserve"> </w:t>
      </w:r>
      <w:r w:rsidRPr="009070BD">
        <w:rPr>
          <w:b w:val="0"/>
          <w:bCs/>
          <w:iCs/>
        </w:rPr>
        <w:t>ֆոնդային</w:t>
      </w:r>
      <w:r w:rsidRPr="009070BD">
        <w:rPr>
          <w:b w:val="0"/>
          <w:bCs/>
          <w:iCs/>
          <w:lang w:val="fr-FR"/>
        </w:rPr>
        <w:t xml:space="preserve"> </w:t>
      </w:r>
      <w:r w:rsidRPr="009070BD">
        <w:rPr>
          <w:b w:val="0"/>
          <w:bCs/>
          <w:iCs/>
        </w:rPr>
        <w:t>նյութերի</w:t>
      </w:r>
      <w:r w:rsidRPr="009070BD">
        <w:rPr>
          <w:b w:val="0"/>
          <w:bCs/>
          <w:iCs/>
          <w:lang w:val="fr-FR"/>
        </w:rPr>
        <w:t xml:space="preserve"> </w:t>
      </w:r>
      <w:r w:rsidRPr="009070BD">
        <w:rPr>
          <w:b w:val="0"/>
          <w:bCs/>
          <w:iCs/>
        </w:rPr>
        <w:t>հետ</w:t>
      </w:r>
      <w:r w:rsidRPr="009070BD">
        <w:rPr>
          <w:b w:val="0"/>
          <w:bCs/>
          <w:iCs/>
          <w:lang w:val="fr-FR"/>
        </w:rPr>
        <w:t xml:space="preserve">, </w:t>
      </w:r>
      <w:r w:rsidRPr="009070BD">
        <w:rPr>
          <w:b w:val="0"/>
          <w:bCs/>
          <w:iCs/>
        </w:rPr>
        <w:t>ընդերքօգտագործման</w:t>
      </w:r>
      <w:r w:rsidRPr="009070BD">
        <w:rPr>
          <w:b w:val="0"/>
          <w:bCs/>
          <w:iCs/>
          <w:lang w:val="fr-FR"/>
        </w:rPr>
        <w:t xml:space="preserve"> </w:t>
      </w:r>
      <w:r w:rsidRPr="009070BD">
        <w:rPr>
          <w:b w:val="0"/>
          <w:bCs/>
          <w:iCs/>
        </w:rPr>
        <w:t>ֆոնդի</w:t>
      </w:r>
      <w:r w:rsidRPr="009070BD">
        <w:rPr>
          <w:b w:val="0"/>
          <w:bCs/>
          <w:iCs/>
          <w:lang w:val="fr-FR"/>
        </w:rPr>
        <w:t xml:space="preserve"> </w:t>
      </w:r>
      <w:r w:rsidRPr="009070BD">
        <w:rPr>
          <w:b w:val="0"/>
          <w:bCs/>
          <w:iCs/>
        </w:rPr>
        <w:t>ստեղծումը</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վա</w:t>
      </w:r>
      <w:r w:rsidRPr="009070BD">
        <w:rPr>
          <w:b w:val="0"/>
          <w:bCs/>
          <w:iCs/>
          <w:lang w:val="fr-FR"/>
        </w:rPr>
        <w:softHyphen/>
      </w:r>
      <w:r w:rsidRPr="009070BD">
        <w:rPr>
          <w:b w:val="0"/>
          <w:bCs/>
          <w:iCs/>
        </w:rPr>
        <w:t>րումը</w:t>
      </w:r>
      <w:r w:rsidRPr="009070BD">
        <w:rPr>
          <w:b w:val="0"/>
          <w:bCs/>
          <w:iCs/>
          <w:lang w:val="fr-FR"/>
        </w:rPr>
        <w:t xml:space="preserve">: </w:t>
      </w:r>
    </w:p>
    <w:p w:rsidR="001971B9" w:rsidRPr="009070BD" w:rsidRDefault="001971B9" w:rsidP="007730AA">
      <w:pPr>
        <w:spacing w:before="0" w:line="276" w:lineRule="auto"/>
        <w:ind w:firstLine="720"/>
        <w:rPr>
          <w:bCs/>
          <w:iCs/>
          <w:lang w:val="fr-FR"/>
        </w:rPr>
      </w:pPr>
      <w:r w:rsidRPr="009070BD">
        <w:rPr>
          <w:bCs/>
          <w:iCs/>
          <w:lang w:val="fr-FR"/>
        </w:rPr>
        <w:t>8. «</w:t>
      </w:r>
      <w:r w:rsidRPr="009070BD">
        <w:rPr>
          <w:bCs/>
          <w:iCs/>
        </w:rPr>
        <w:t>Երկաթուղային</w:t>
      </w:r>
      <w:r w:rsidRPr="009070BD">
        <w:rPr>
          <w:bCs/>
          <w:iCs/>
          <w:lang w:val="fr-FR"/>
        </w:rPr>
        <w:t xml:space="preserve"> </w:t>
      </w:r>
      <w:r w:rsidRPr="009070BD">
        <w:rPr>
          <w:bCs/>
          <w:iCs/>
        </w:rPr>
        <w:t>ցանցի</w:t>
      </w:r>
      <w:r w:rsidRPr="009070BD">
        <w:rPr>
          <w:bCs/>
          <w:iCs/>
          <w:lang w:val="fr-FR"/>
        </w:rPr>
        <w:t xml:space="preserve"> </w:t>
      </w:r>
      <w:r w:rsidRPr="009070BD">
        <w:rPr>
          <w:bCs/>
          <w:iCs/>
        </w:rPr>
        <w:t>զարգացում</w:t>
      </w:r>
      <w:r w:rsidRPr="009070BD">
        <w:rPr>
          <w:bCs/>
          <w:iCs/>
          <w:lang w:val="fr-FR"/>
        </w:rPr>
        <w:t xml:space="preserve">» </w:t>
      </w:r>
      <w:r w:rsidRPr="009070BD">
        <w:rPr>
          <w:bCs/>
          <w:iCs/>
        </w:rPr>
        <w:t>ծրագիր</w:t>
      </w:r>
      <w:r w:rsidRPr="009070BD">
        <w:rPr>
          <w:bCs/>
          <w:iCs/>
          <w:lang w:val="fr-FR"/>
        </w:rPr>
        <w:t xml:space="preserve">. </w:t>
      </w:r>
    </w:p>
    <w:p w:rsidR="001971B9" w:rsidRPr="009070BD" w:rsidRDefault="001971B9" w:rsidP="007730AA">
      <w:pPr>
        <w:spacing w:before="0" w:line="276" w:lineRule="auto"/>
        <w:ind w:firstLine="720"/>
        <w:rPr>
          <w:b w:val="0"/>
          <w:bCs/>
          <w:iCs/>
          <w:lang w:val="hy-AM"/>
        </w:rPr>
      </w:pPr>
      <w:r w:rsidRPr="009070BD">
        <w:rPr>
          <w:b w:val="0"/>
          <w:bCs/>
          <w:iCs/>
          <w:lang w:val="hy-AM"/>
        </w:rPr>
        <w:t>Ծրագրի շրջանակում նախատեսված «Ուղևորափո</w:t>
      </w:r>
      <w:r w:rsidRPr="009070BD">
        <w:rPr>
          <w:b w:val="0"/>
          <w:bCs/>
          <w:iCs/>
          <w:lang w:val="hy-AM"/>
        </w:rPr>
        <w:softHyphen/>
        <w:t>խադրումներից ստացված վնասի դիմաց «Հարավկովկասյան երկա</w:t>
      </w:r>
      <w:r w:rsidRPr="009070BD">
        <w:rPr>
          <w:b w:val="0"/>
          <w:bCs/>
          <w:iCs/>
          <w:lang w:val="hy-AM"/>
        </w:rPr>
        <w:softHyphen/>
        <w:t>թուղի» ՓԲԸ-ին սուբսիդիայի տրամադրում» միջոցառմամբ ուղևորափոխադրումներից ստացված վնասի դիմաց «Հարավկովկասյան երկաթուղի» ՓԲԸ-ին սուբսիդիայի տրամադրման համար նախատեսվում է 2021 թվականին հատկացնել 393.6 մլն դրամ՝ ՀՀ 2020 թվականի պետական բյուջեի ցուցանիշից 12%</w:t>
      </w:r>
      <w:r w:rsidRPr="009070BD">
        <w:rPr>
          <w:b w:val="0"/>
          <w:bCs/>
          <w:iCs/>
          <w:lang w:val="fr-FR"/>
        </w:rPr>
        <w:t xml:space="preserve"> </w:t>
      </w:r>
      <w:r w:rsidRPr="009070BD">
        <w:rPr>
          <w:b w:val="0"/>
          <w:bCs/>
          <w:iCs/>
          <w:lang w:val="en-US"/>
        </w:rPr>
        <w:t>ավել</w:t>
      </w:r>
      <w:r w:rsidRPr="009070BD">
        <w:rPr>
          <w:b w:val="0"/>
          <w:bCs/>
          <w:iCs/>
          <w:lang w:val="hy-AM"/>
        </w:rPr>
        <w:t xml:space="preserve">, ելնելով ՀՀ կառավարության 07.02.2008թ «Ռուսական երկաթուղիներ» բաց բաժնետիրական ընկերության կողմից ստեղծված «Հարավկովկասյան երկաթուղի» փակ բաժնետիրական ընկերությանը փոխանցելու մասին կոնցեսիոն պայմանագրի նախագծին հավանություն տալու և ՀՀ տրանսպորտի և կապի նախարարին լիազորություն վերապահելու մասին» N 83-Ա որոշումից (կոնցեսիոների կողմից կանխատեսվող կոնցեսիոն տարեկան վճարի չափով): </w:t>
      </w:r>
    </w:p>
    <w:p w:rsidR="001971B9" w:rsidRPr="009070BD" w:rsidRDefault="001971B9" w:rsidP="007730AA">
      <w:pPr>
        <w:spacing w:before="0" w:line="276" w:lineRule="auto"/>
        <w:ind w:firstLine="720"/>
        <w:rPr>
          <w:b w:val="0"/>
          <w:bCs/>
          <w:iCs/>
          <w:lang w:val="fr-FR"/>
        </w:rPr>
      </w:pPr>
      <w:r w:rsidRPr="009070BD">
        <w:rPr>
          <w:b w:val="0"/>
          <w:bCs/>
          <w:iCs/>
          <w:lang w:val="hy-AM"/>
        </w:rPr>
        <w:t>Միջոցառման նպատակն է ՀՀ կառավարության 07.02.2008թ. N 83-Ա որոշմամբ հաս</w:t>
      </w:r>
      <w:r w:rsidRPr="009070BD">
        <w:rPr>
          <w:b w:val="0"/>
          <w:bCs/>
          <w:iCs/>
          <w:lang w:val="hy-AM"/>
        </w:rPr>
        <w:softHyphen/>
        <w:t>տատված Կոնցեսիոն պայմա</w:t>
      </w:r>
      <w:r w:rsidRPr="009070BD">
        <w:rPr>
          <w:b w:val="0"/>
          <w:bCs/>
          <w:iCs/>
          <w:lang w:val="hy-AM"/>
        </w:rPr>
        <w:softHyphen/>
        <w:t>նագրի համաձայն սուբսիդավորել համաձայնեցված ծավալներով և ուղղու</w:t>
      </w:r>
      <w:r w:rsidRPr="009070BD">
        <w:rPr>
          <w:b w:val="0"/>
          <w:bCs/>
          <w:iCs/>
          <w:lang w:val="hy-AM"/>
        </w:rPr>
        <w:softHyphen/>
        <w:t>թյուն</w:t>
      </w:r>
      <w:r w:rsidRPr="009070BD">
        <w:rPr>
          <w:b w:val="0"/>
          <w:bCs/>
          <w:iCs/>
          <w:lang w:val="hy-AM"/>
        </w:rPr>
        <w:softHyphen/>
        <w:t>ներով ուղևորափոխադրումներից «Հարավկով</w:t>
      </w:r>
      <w:r w:rsidRPr="009070BD">
        <w:rPr>
          <w:b w:val="0"/>
          <w:bCs/>
          <w:iCs/>
          <w:lang w:val="hy-AM"/>
        </w:rPr>
        <w:softHyphen/>
        <w:t>կասյան</w:t>
      </w:r>
      <w:r w:rsidRPr="009070BD">
        <w:rPr>
          <w:b w:val="0"/>
          <w:bCs/>
          <w:iCs/>
          <w:lang w:val="fr-FR"/>
        </w:rPr>
        <w:t xml:space="preserve"> </w:t>
      </w:r>
      <w:r w:rsidRPr="009070BD">
        <w:rPr>
          <w:b w:val="0"/>
          <w:bCs/>
          <w:iCs/>
          <w:lang w:val="hy-AM"/>
        </w:rPr>
        <w:t>երկաթուղի</w:t>
      </w:r>
      <w:r w:rsidRPr="009070BD">
        <w:rPr>
          <w:b w:val="0"/>
          <w:bCs/>
          <w:iCs/>
          <w:lang w:val="fr-FR"/>
        </w:rPr>
        <w:t xml:space="preserve">» </w:t>
      </w:r>
      <w:r w:rsidRPr="009070BD">
        <w:rPr>
          <w:b w:val="0"/>
          <w:bCs/>
          <w:iCs/>
          <w:lang w:val="hy-AM"/>
        </w:rPr>
        <w:t>ՓԲԸ</w:t>
      </w:r>
      <w:r w:rsidRPr="009070BD">
        <w:rPr>
          <w:b w:val="0"/>
          <w:bCs/>
          <w:iCs/>
          <w:lang w:val="fr-FR"/>
        </w:rPr>
        <w:t>-</w:t>
      </w:r>
      <w:r w:rsidRPr="009070BD">
        <w:rPr>
          <w:b w:val="0"/>
          <w:bCs/>
          <w:iCs/>
          <w:lang w:val="hy-AM"/>
        </w:rPr>
        <w:t>ի</w:t>
      </w:r>
      <w:r w:rsidRPr="009070BD">
        <w:rPr>
          <w:b w:val="0"/>
          <w:bCs/>
          <w:iCs/>
          <w:lang w:val="fr-FR"/>
        </w:rPr>
        <w:t xml:space="preserve"> </w:t>
      </w:r>
      <w:r w:rsidRPr="009070BD">
        <w:rPr>
          <w:b w:val="0"/>
          <w:bCs/>
          <w:iCs/>
          <w:lang w:val="hy-AM"/>
        </w:rPr>
        <w:t>նախորդ</w:t>
      </w:r>
      <w:r w:rsidRPr="009070BD">
        <w:rPr>
          <w:b w:val="0"/>
          <w:bCs/>
          <w:iCs/>
          <w:lang w:val="fr-FR"/>
        </w:rPr>
        <w:t xml:space="preserve"> </w:t>
      </w:r>
      <w:r w:rsidRPr="009070BD">
        <w:rPr>
          <w:b w:val="0"/>
          <w:bCs/>
          <w:iCs/>
          <w:lang w:val="hy-AM"/>
        </w:rPr>
        <w:t>տարվա</w:t>
      </w:r>
      <w:r w:rsidRPr="009070BD">
        <w:rPr>
          <w:b w:val="0"/>
          <w:bCs/>
          <w:iCs/>
          <w:lang w:val="fr-FR"/>
        </w:rPr>
        <w:t xml:space="preserve"> </w:t>
      </w:r>
      <w:r w:rsidRPr="009070BD">
        <w:rPr>
          <w:b w:val="0"/>
          <w:bCs/>
          <w:iCs/>
          <w:lang w:val="hy-AM"/>
        </w:rPr>
        <w:t>արդյունքներով</w:t>
      </w:r>
      <w:r w:rsidRPr="009070BD">
        <w:rPr>
          <w:b w:val="0"/>
          <w:bCs/>
          <w:iCs/>
          <w:lang w:val="fr-FR"/>
        </w:rPr>
        <w:t xml:space="preserve"> </w:t>
      </w:r>
      <w:r w:rsidRPr="009070BD">
        <w:rPr>
          <w:b w:val="0"/>
          <w:bCs/>
          <w:iCs/>
          <w:lang w:val="hy-AM"/>
        </w:rPr>
        <w:t>առաջացած</w:t>
      </w:r>
      <w:r w:rsidRPr="009070BD">
        <w:rPr>
          <w:b w:val="0"/>
          <w:bCs/>
          <w:iCs/>
          <w:lang w:val="fr-FR"/>
        </w:rPr>
        <w:t xml:space="preserve"> </w:t>
      </w:r>
      <w:r w:rsidRPr="009070BD">
        <w:rPr>
          <w:b w:val="0"/>
          <w:bCs/>
          <w:iCs/>
          <w:lang w:val="hy-AM"/>
        </w:rPr>
        <w:t>տարեկան</w:t>
      </w:r>
      <w:r w:rsidRPr="009070BD">
        <w:rPr>
          <w:b w:val="0"/>
          <w:bCs/>
          <w:iCs/>
          <w:lang w:val="fr-FR"/>
        </w:rPr>
        <w:t xml:space="preserve"> </w:t>
      </w:r>
      <w:r w:rsidRPr="009070BD">
        <w:rPr>
          <w:b w:val="0"/>
          <w:bCs/>
          <w:iCs/>
          <w:lang w:val="hy-AM"/>
        </w:rPr>
        <w:t>վնասը</w:t>
      </w:r>
      <w:r w:rsidRPr="009070BD">
        <w:rPr>
          <w:b w:val="0"/>
          <w:bCs/>
          <w:iCs/>
          <w:lang w:val="fr-FR"/>
        </w:rPr>
        <w:t xml:space="preserve"> (30%): </w:t>
      </w:r>
    </w:p>
    <w:p w:rsidR="001971B9" w:rsidRPr="009070BD" w:rsidRDefault="001971B9" w:rsidP="007730AA">
      <w:pPr>
        <w:spacing w:before="0" w:line="276" w:lineRule="auto"/>
        <w:ind w:firstLine="720"/>
        <w:rPr>
          <w:bCs/>
          <w:iCs/>
          <w:lang w:val="fr-FR"/>
        </w:rPr>
      </w:pPr>
      <w:r w:rsidRPr="009070BD">
        <w:rPr>
          <w:bCs/>
          <w:iCs/>
          <w:lang w:val="fr-FR"/>
        </w:rPr>
        <w:t>9. «</w:t>
      </w:r>
      <w:r w:rsidRPr="009070BD">
        <w:rPr>
          <w:bCs/>
          <w:iCs/>
        </w:rPr>
        <w:t>Պետական</w:t>
      </w:r>
      <w:r w:rsidRPr="009070BD">
        <w:rPr>
          <w:bCs/>
          <w:iCs/>
          <w:lang w:val="fr-FR"/>
        </w:rPr>
        <w:t xml:space="preserve"> </w:t>
      </w:r>
      <w:r w:rsidRPr="009070BD">
        <w:rPr>
          <w:bCs/>
          <w:iCs/>
        </w:rPr>
        <w:t>գույքի</w:t>
      </w:r>
      <w:r w:rsidRPr="009070BD">
        <w:rPr>
          <w:bCs/>
          <w:iCs/>
          <w:lang w:val="fr-FR"/>
        </w:rPr>
        <w:t xml:space="preserve"> </w:t>
      </w:r>
      <w:r w:rsidRPr="009070BD">
        <w:rPr>
          <w:bCs/>
          <w:iCs/>
        </w:rPr>
        <w:t>կառավարում</w:t>
      </w:r>
      <w:r w:rsidRPr="009070BD">
        <w:rPr>
          <w:bCs/>
          <w:iCs/>
          <w:lang w:val="fr-FR"/>
        </w:rPr>
        <w:t xml:space="preserve">» </w:t>
      </w:r>
      <w:r w:rsidRPr="009070BD">
        <w:rPr>
          <w:bCs/>
          <w:iCs/>
        </w:rPr>
        <w:t>ծրագիր</w:t>
      </w:r>
      <w:r w:rsidRPr="009070BD">
        <w:rPr>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hy-AM"/>
        </w:rPr>
        <w:t>Նշված</w:t>
      </w:r>
      <w:r w:rsidRPr="009070BD">
        <w:rPr>
          <w:b w:val="0"/>
          <w:bCs/>
          <w:iCs/>
          <w:lang w:val="fr-FR"/>
        </w:rPr>
        <w:t xml:space="preserve"> </w:t>
      </w:r>
      <w:r w:rsidRPr="009070BD">
        <w:rPr>
          <w:b w:val="0"/>
          <w:bCs/>
          <w:iCs/>
          <w:lang w:val="hy-AM"/>
        </w:rPr>
        <w:t>ծրագրի</w:t>
      </w:r>
      <w:r w:rsidRPr="009070BD">
        <w:rPr>
          <w:b w:val="0"/>
          <w:bCs/>
          <w:iCs/>
          <w:lang w:val="fr-FR"/>
        </w:rPr>
        <w:t xml:space="preserve"> </w:t>
      </w:r>
      <w:r w:rsidRPr="009070BD">
        <w:rPr>
          <w:b w:val="0"/>
          <w:bCs/>
          <w:iCs/>
          <w:lang w:val="hy-AM"/>
        </w:rPr>
        <w:t>շրջանակներում</w:t>
      </w:r>
      <w:r w:rsidRPr="009070BD">
        <w:rPr>
          <w:b w:val="0"/>
          <w:bCs/>
          <w:iCs/>
          <w:lang w:val="fr-FR"/>
        </w:rPr>
        <w:t xml:space="preserve"> </w:t>
      </w:r>
      <w:r w:rsidRPr="009070BD">
        <w:rPr>
          <w:b w:val="0"/>
          <w:bCs/>
          <w:iCs/>
          <w:lang w:val="hy-AM"/>
        </w:rPr>
        <w:t>նախա</w:t>
      </w:r>
      <w:r w:rsidRPr="009070BD">
        <w:rPr>
          <w:b w:val="0"/>
          <w:bCs/>
          <w:iCs/>
          <w:lang w:val="fr-FR"/>
        </w:rPr>
        <w:softHyphen/>
      </w:r>
      <w:r w:rsidRPr="009070BD">
        <w:rPr>
          <w:b w:val="0"/>
          <w:bCs/>
          <w:iCs/>
          <w:lang w:val="hy-AM"/>
        </w:rPr>
        <w:t>տեսվում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իրականացնել</w:t>
      </w:r>
      <w:r w:rsidRPr="009070BD">
        <w:rPr>
          <w:b w:val="0"/>
          <w:bCs/>
          <w:iCs/>
          <w:lang w:val="fr-FR"/>
        </w:rPr>
        <w:t xml:space="preserve"> </w:t>
      </w:r>
      <w:r w:rsidRPr="009070BD">
        <w:rPr>
          <w:b w:val="0"/>
          <w:bCs/>
          <w:iCs/>
          <w:lang w:val="hy-AM"/>
        </w:rPr>
        <w:t>հետևյալ</w:t>
      </w:r>
      <w:r w:rsidRPr="009070BD">
        <w:rPr>
          <w:b w:val="0"/>
          <w:bCs/>
          <w:iCs/>
          <w:lang w:val="fr-FR"/>
        </w:rPr>
        <w:t xml:space="preserve"> </w:t>
      </w:r>
      <w:r w:rsidRPr="009070BD">
        <w:rPr>
          <w:b w:val="0"/>
          <w:bCs/>
          <w:iCs/>
          <w:lang w:val="hy-AM"/>
        </w:rPr>
        <w:t>միջոցառումները</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9.1 Պետական գույքի հաշվառման, գույքագրման, գնահատման, անշարժ գույքի պահառության, սպասարկման աշխատանքների և աճուրդների իրականացման ծառայություններ միջոցառման կատարումն ապահովելու համար 2021 թվականին նախատեսվում է հատկաց</w:t>
      </w:r>
      <w:r w:rsidRPr="009070BD">
        <w:rPr>
          <w:b w:val="0"/>
          <w:bCs/>
          <w:iCs/>
          <w:lang w:val="fr-FR"/>
        </w:rPr>
        <w:softHyphen/>
        <w:t>նել 418.1 մլն դրամ:</w:t>
      </w:r>
    </w:p>
    <w:p w:rsidR="001971B9" w:rsidRPr="009070BD" w:rsidRDefault="001971B9" w:rsidP="007730AA">
      <w:pPr>
        <w:spacing w:before="0" w:line="276" w:lineRule="auto"/>
        <w:ind w:firstLine="720"/>
        <w:rPr>
          <w:b w:val="0"/>
          <w:bCs/>
          <w:iCs/>
          <w:lang w:val="hy-AM"/>
        </w:rPr>
      </w:pPr>
      <w:r w:rsidRPr="009070BD">
        <w:rPr>
          <w:b w:val="0"/>
          <w:bCs/>
          <w:iCs/>
          <w:lang w:val="fr-FR"/>
        </w:rPr>
        <w:t>Միջոցառման նպատակն է ապահովել պետական սեփականություն հանդիսացող գույքի գույքագրման, գնահատման, հաշվառման, հաշվառված գույքի տվյալների մշակման, փոփոխությունների գրանցման, տեղեկատվության տրամադրման աշխատանքների, թվով 8 անշարժ գույքի պահառության, ա</w:t>
      </w:r>
      <w:r w:rsidRPr="009070BD">
        <w:rPr>
          <w:b w:val="0"/>
          <w:bCs/>
          <w:iCs/>
          <w:lang w:val="af-ZA"/>
        </w:rPr>
        <w:t>ճուրդների կազմակերպման և անցկացման ծառայությունների իրականացում,  ինչպես նաև պետական գույքի հաշվառման նոր ավտոմատացված ու ամբողջական համակարգի և էլեկտրոնային աճուրդների կազմակերպման ծրագրերի սպասարկում</w:t>
      </w:r>
      <w:r w:rsidRPr="009070BD">
        <w:rPr>
          <w:b w:val="0"/>
          <w:bCs/>
          <w:iCs/>
          <w:lang w:val="hy-AM"/>
        </w:rPr>
        <w:t xml:space="preserve">, բացի այդ </w:t>
      </w:r>
      <w:r w:rsidRPr="009070BD">
        <w:rPr>
          <w:b w:val="0"/>
          <w:bCs/>
          <w:iCs/>
          <w:lang w:val="fr-FR"/>
        </w:rPr>
        <w:t xml:space="preserve">Կառավարական N 2 (հասցե` ք.Երևան, Վ.Սարգսյան 3, Վ.Սարգսյան 3/8 և Վ. Սարգսյան 3/3) </w:t>
      </w:r>
      <w:r w:rsidRPr="009070BD">
        <w:rPr>
          <w:b w:val="0"/>
          <w:bCs/>
          <w:iCs/>
          <w:lang w:val="hy-AM"/>
        </w:rPr>
        <w:t xml:space="preserve">և </w:t>
      </w:r>
      <w:r w:rsidRPr="009070BD">
        <w:rPr>
          <w:b w:val="0"/>
          <w:bCs/>
          <w:iCs/>
          <w:lang w:val="fr-FR"/>
        </w:rPr>
        <w:t xml:space="preserve">Կառավարական N 3 </w:t>
      </w:r>
      <w:r w:rsidRPr="009070BD">
        <w:rPr>
          <w:b w:val="0"/>
          <w:bCs/>
          <w:iCs/>
          <w:lang w:val="hy-AM"/>
        </w:rPr>
        <w:t>շենքերի</w:t>
      </w:r>
      <w:r w:rsidRPr="009070BD">
        <w:rPr>
          <w:b w:val="0"/>
          <w:bCs/>
          <w:iCs/>
          <w:lang w:val="fr-FR"/>
        </w:rPr>
        <w:t xml:space="preserve"> սպասարկման ծառայությունների իրականացումը, </w:t>
      </w:r>
      <w:r w:rsidRPr="009070BD">
        <w:rPr>
          <w:b w:val="0"/>
          <w:bCs/>
          <w:iCs/>
          <w:lang w:val="hy-AM"/>
        </w:rPr>
        <w:t xml:space="preserve">որի մեջ ներառվում է նաև </w:t>
      </w:r>
      <w:r w:rsidRPr="009070BD">
        <w:rPr>
          <w:b w:val="0"/>
          <w:bCs/>
          <w:iCs/>
          <w:lang w:val="fr-FR"/>
        </w:rPr>
        <w:t>Կառավարական N 2 (հասցե` ք.Երևան, Վ.Սարգսյան 3, Վ.Սարգսյան 3/8 և Վ. Սարգսյան 3/3)</w:t>
      </w:r>
      <w:r w:rsidRPr="009070BD">
        <w:rPr>
          <w:b w:val="0"/>
          <w:bCs/>
          <w:iCs/>
          <w:lang w:val="hy-AM"/>
        </w:rPr>
        <w:t>,</w:t>
      </w:r>
      <w:r w:rsidRPr="009070BD">
        <w:rPr>
          <w:b w:val="0"/>
          <w:bCs/>
          <w:iCs/>
          <w:lang w:val="fr-FR"/>
        </w:rPr>
        <w:t xml:space="preserve"> և Կառավարական N 3 </w:t>
      </w:r>
      <w:r w:rsidRPr="009070BD">
        <w:rPr>
          <w:b w:val="0"/>
          <w:bCs/>
          <w:iCs/>
          <w:lang w:val="hy-AM"/>
        </w:rPr>
        <w:t>շենքերի</w:t>
      </w:r>
      <w:r w:rsidRPr="009070BD">
        <w:rPr>
          <w:b w:val="0"/>
          <w:bCs/>
          <w:iCs/>
          <w:lang w:val="fr-FR"/>
        </w:rPr>
        <w:t xml:space="preserve"> թվով </w:t>
      </w:r>
      <w:r w:rsidRPr="009070BD">
        <w:rPr>
          <w:b w:val="0"/>
          <w:bCs/>
          <w:iCs/>
          <w:lang w:val="hy-AM"/>
        </w:rPr>
        <w:t>տասնվեց վ</w:t>
      </w:r>
      <w:r w:rsidRPr="009070BD">
        <w:rPr>
          <w:b w:val="0"/>
          <w:bCs/>
          <w:iCs/>
          <w:lang w:val="fr-FR"/>
        </w:rPr>
        <w:t xml:space="preserve">երելակների, օդորակման և օդափոխության համակարգերի, հաստիքային և վթարային էլեկտրասնուցման համակարգերի, ներքին ու արտաքին լուսավորության համակարգերի, ջրամատակարարման ու կոյուղուհամակարգի, հակահրդեհային անվտանգության ու ծխահեռացման համակարգի, </w:t>
      </w:r>
      <w:r w:rsidRPr="009070BD">
        <w:rPr>
          <w:b w:val="0"/>
          <w:bCs/>
          <w:iCs/>
          <w:lang w:val="hy-AM"/>
        </w:rPr>
        <w:t>անցակետային</w:t>
      </w:r>
      <w:r w:rsidRPr="009070BD">
        <w:rPr>
          <w:b w:val="0"/>
          <w:bCs/>
          <w:iCs/>
          <w:lang w:val="fr-FR"/>
        </w:rPr>
        <w:t>, անվտանգության և տեսահսկման համակարգի, հեռախոսային կապի և ինտերնետի ներքին ցանցերի, հետերաշխիքային սպասարկման ապահովումը</w:t>
      </w:r>
      <w:r w:rsidRPr="009070BD">
        <w:rPr>
          <w:b w:val="0"/>
          <w:bCs/>
          <w:iCs/>
          <w:lang w:val="hy-AM"/>
        </w:rPr>
        <w:t>։</w:t>
      </w:r>
    </w:p>
    <w:p w:rsidR="001971B9" w:rsidRPr="009070BD" w:rsidRDefault="001971B9" w:rsidP="007730AA">
      <w:pPr>
        <w:spacing w:before="0" w:line="276" w:lineRule="auto"/>
        <w:ind w:firstLine="720"/>
        <w:rPr>
          <w:b w:val="0"/>
          <w:bCs/>
          <w:iCs/>
          <w:lang w:val="fr-FR"/>
        </w:rPr>
      </w:pPr>
      <w:r w:rsidRPr="009070BD">
        <w:rPr>
          <w:b w:val="0"/>
          <w:bCs/>
          <w:iCs/>
          <w:lang w:val="fr-FR"/>
        </w:rPr>
        <w:t>9.2 «Շարժական գույքի պահառության կազմակերպում» միջոցառման համար Նախագծով նախատեսվել է հատկացնել 30.9 մլն դրամ:</w:t>
      </w:r>
    </w:p>
    <w:p w:rsidR="001971B9" w:rsidRPr="009070BD" w:rsidRDefault="001971B9" w:rsidP="007730AA">
      <w:pPr>
        <w:spacing w:before="0" w:line="276" w:lineRule="auto"/>
        <w:ind w:firstLine="720"/>
        <w:rPr>
          <w:b w:val="0"/>
          <w:bCs/>
          <w:iCs/>
          <w:lang w:val="fr-FR"/>
        </w:rPr>
      </w:pPr>
      <w:r w:rsidRPr="009070BD">
        <w:rPr>
          <w:b w:val="0"/>
          <w:bCs/>
          <w:iCs/>
          <w:lang w:val="fr-FR"/>
        </w:rPr>
        <w:t>Միջոցառման նպատակն է պետական մարմիններին և կազմակերպություններին ամրացված՝ յուրաքանչյուր միավոր մինչև 5 մլն դրամ գնահատված արժեքով շարժական գույքի օտարման գործընթացում գտնվելու ժամանակահատվածում գույքի պահառության կազմակերպումը:</w:t>
      </w:r>
    </w:p>
    <w:p w:rsidR="001971B9" w:rsidRPr="009070BD" w:rsidRDefault="001971B9" w:rsidP="007730AA">
      <w:pPr>
        <w:spacing w:before="0" w:line="276" w:lineRule="auto"/>
        <w:ind w:firstLine="720"/>
        <w:rPr>
          <w:bCs/>
          <w:iCs/>
          <w:lang w:val="hy-AM"/>
        </w:rPr>
      </w:pPr>
      <w:r w:rsidRPr="009070BD">
        <w:rPr>
          <w:b w:val="0"/>
          <w:bCs/>
          <w:iCs/>
          <w:lang w:val="af-ZA"/>
        </w:rPr>
        <w:t xml:space="preserve"> </w:t>
      </w:r>
      <w:r w:rsidRPr="009070BD">
        <w:rPr>
          <w:b w:val="0"/>
          <w:bCs/>
          <w:iCs/>
          <w:lang w:val="fr-FR"/>
        </w:rPr>
        <w:t>10</w:t>
      </w:r>
      <w:r w:rsidRPr="009070BD">
        <w:rPr>
          <w:bCs/>
          <w:iCs/>
          <w:lang w:val="hy-AM"/>
        </w:rPr>
        <w:t>. «Այլընտրանքային աշխատանքային ծառայություն» ծրագիր.</w:t>
      </w:r>
    </w:p>
    <w:p w:rsidR="001971B9" w:rsidRPr="009070BD" w:rsidRDefault="001971B9" w:rsidP="007730AA">
      <w:pPr>
        <w:spacing w:before="0" w:line="276" w:lineRule="auto"/>
        <w:ind w:firstLine="720"/>
        <w:rPr>
          <w:b w:val="0"/>
          <w:bCs/>
          <w:iCs/>
          <w:lang w:val="fr-FR"/>
        </w:rPr>
      </w:pPr>
      <w:r w:rsidRPr="009070BD">
        <w:rPr>
          <w:b w:val="0"/>
          <w:bCs/>
          <w:iCs/>
          <w:lang w:val="fr-FR"/>
        </w:rPr>
        <w:t>Ծրագրի նպատակն է քաղաքացիական պարտքի կատարման այլընտրանքային տարբերակների ապահովումը, որի շրջանակում «Այլընտրանքային աշխատանքային ծառայողներին դրամական բավարարման և դրամական փոխհատուցման տրամադրում» միջոցառմամբ նախատեսվում է ՀՀ-ում այլընտրանքային աշխատանքային ծառայության անցած ՀՀ քաղա</w:t>
      </w:r>
      <w:r w:rsidRPr="009070BD">
        <w:rPr>
          <w:b w:val="0"/>
          <w:bCs/>
          <w:iCs/>
          <w:lang w:val="fr-FR"/>
        </w:rPr>
        <w:softHyphen/>
        <w:t>քա</w:t>
      </w:r>
      <w:r w:rsidRPr="009070BD">
        <w:rPr>
          <w:b w:val="0"/>
          <w:bCs/>
          <w:iCs/>
          <w:lang w:val="fr-FR"/>
        </w:rPr>
        <w:softHyphen/>
        <w:t xml:space="preserve">ցիաներին «Այլընտրանքային ծառայության մասին» ՀՀ օրենքով սահմանված դրամական դրամական բավարարման և դրամական փոխհատուցման տրամադրման համար 2021 թվականին հատկացնել 24.6 մլն դրամ՝ ՀՀ 2020 թվականի պետական բյուջեի ցուցանիշից 42.4% պակաս, որը պայմանավորված է կատարման ապահովման համար ներկա գնահատմամբ: </w:t>
      </w:r>
    </w:p>
    <w:p w:rsidR="001971B9" w:rsidRPr="009070BD" w:rsidRDefault="001971B9" w:rsidP="007730AA">
      <w:pPr>
        <w:spacing w:before="0" w:line="276" w:lineRule="auto"/>
        <w:ind w:firstLine="720"/>
        <w:rPr>
          <w:bCs/>
          <w:iCs/>
          <w:lang w:val="hy-AM"/>
        </w:rPr>
      </w:pPr>
      <w:r w:rsidRPr="009070BD">
        <w:rPr>
          <w:bCs/>
          <w:iCs/>
          <w:lang w:val="fr-FR"/>
        </w:rPr>
        <w:t>11</w:t>
      </w:r>
      <w:r w:rsidRPr="009070BD">
        <w:rPr>
          <w:bCs/>
          <w:iCs/>
          <w:lang w:val="hy-AM"/>
        </w:rPr>
        <w:t>. «Քաղաքային զարգացում» ծրագիր.</w:t>
      </w:r>
    </w:p>
    <w:p w:rsidR="001971B9" w:rsidRPr="009070BD" w:rsidRDefault="001971B9" w:rsidP="007730AA">
      <w:pPr>
        <w:spacing w:before="0" w:line="276" w:lineRule="auto"/>
        <w:ind w:firstLine="720"/>
        <w:rPr>
          <w:b w:val="0"/>
          <w:bCs/>
          <w:iCs/>
          <w:lang w:val="fr-FR"/>
        </w:rPr>
      </w:pPr>
      <w:r w:rsidRPr="009070BD">
        <w:rPr>
          <w:b w:val="0"/>
          <w:bCs/>
          <w:iCs/>
          <w:lang w:val="fr-FR"/>
        </w:rPr>
        <w:t xml:space="preserve">Ծրագրի նպատակն է քաղաքային ենթակառուցվածքների զարգացումը, որի </w:t>
      </w:r>
      <w:r w:rsidR="00357AB9">
        <w:rPr>
          <w:b w:val="0"/>
          <w:bCs/>
          <w:iCs/>
          <w:lang w:val="fr-FR"/>
        </w:rPr>
        <w:t>շրջանակներում նախատեսվում է իրականացնել հետևյալ միջոցառումները.</w:t>
      </w:r>
    </w:p>
    <w:p w:rsidR="001971B9" w:rsidRPr="009070BD" w:rsidRDefault="001971B9" w:rsidP="007730AA">
      <w:pPr>
        <w:spacing w:before="0" w:line="276" w:lineRule="auto"/>
        <w:ind w:firstLine="720"/>
        <w:rPr>
          <w:b w:val="0"/>
          <w:bCs/>
          <w:iCs/>
          <w:lang w:val="fr-FR"/>
        </w:rPr>
      </w:pPr>
      <w:r w:rsidRPr="009070BD">
        <w:rPr>
          <w:b w:val="0"/>
          <w:bCs/>
          <w:iCs/>
          <w:lang w:val="fr-FR"/>
        </w:rPr>
        <w:t>11.1 «</w:t>
      </w:r>
      <w:r w:rsidRPr="009070BD">
        <w:rPr>
          <w:b w:val="0"/>
          <w:bCs/>
          <w:iCs/>
          <w:lang w:val="hy-AM"/>
        </w:rPr>
        <w:t>Երևանի</w:t>
      </w:r>
      <w:r w:rsidRPr="009070BD">
        <w:rPr>
          <w:b w:val="0"/>
          <w:bCs/>
          <w:iCs/>
          <w:lang w:val="fr-FR"/>
        </w:rPr>
        <w:t xml:space="preserve"> </w:t>
      </w:r>
      <w:r w:rsidRPr="009070BD">
        <w:rPr>
          <w:b w:val="0"/>
          <w:bCs/>
          <w:iCs/>
          <w:lang w:val="hy-AM"/>
        </w:rPr>
        <w:t>մետրոպոլիտենով</w:t>
      </w:r>
      <w:r w:rsidRPr="009070BD">
        <w:rPr>
          <w:b w:val="0"/>
          <w:bCs/>
          <w:iCs/>
          <w:lang w:val="fr-FR"/>
        </w:rPr>
        <w:t xml:space="preserve"> </w:t>
      </w:r>
      <w:r w:rsidRPr="009070BD">
        <w:rPr>
          <w:b w:val="0"/>
          <w:bCs/>
          <w:iCs/>
          <w:lang w:val="hy-AM"/>
        </w:rPr>
        <w:t>ուղևորափոխադրման</w:t>
      </w:r>
      <w:r w:rsidRPr="009070BD">
        <w:rPr>
          <w:b w:val="0"/>
          <w:bCs/>
          <w:iCs/>
          <w:lang w:val="fr-FR"/>
        </w:rPr>
        <w:t xml:space="preserve"> </w:t>
      </w:r>
      <w:r w:rsidRPr="009070BD">
        <w:rPr>
          <w:b w:val="0"/>
          <w:bCs/>
          <w:iCs/>
          <w:lang w:val="hy-AM"/>
        </w:rPr>
        <w:t>ծառայությունների</w:t>
      </w:r>
      <w:r w:rsidRPr="009070BD">
        <w:rPr>
          <w:b w:val="0"/>
          <w:bCs/>
          <w:iCs/>
          <w:lang w:val="fr-FR"/>
        </w:rPr>
        <w:t xml:space="preserve"> </w:t>
      </w:r>
      <w:r w:rsidRPr="009070BD">
        <w:rPr>
          <w:b w:val="0"/>
          <w:bCs/>
          <w:iCs/>
          <w:lang w:val="hy-AM"/>
        </w:rPr>
        <w:t>գծով</w:t>
      </w:r>
      <w:r w:rsidRPr="009070BD">
        <w:rPr>
          <w:b w:val="0"/>
          <w:bCs/>
          <w:iCs/>
          <w:lang w:val="fr-FR"/>
        </w:rPr>
        <w:t xml:space="preserve"> </w:t>
      </w:r>
      <w:r w:rsidRPr="009070BD">
        <w:rPr>
          <w:b w:val="0"/>
          <w:bCs/>
          <w:iCs/>
          <w:lang w:val="hy-AM"/>
        </w:rPr>
        <w:t>պետության</w:t>
      </w:r>
      <w:r w:rsidRPr="009070BD">
        <w:rPr>
          <w:b w:val="0"/>
          <w:bCs/>
          <w:iCs/>
          <w:lang w:val="fr-FR"/>
        </w:rPr>
        <w:t xml:space="preserve"> </w:t>
      </w:r>
      <w:r w:rsidRPr="009070BD">
        <w:rPr>
          <w:b w:val="0"/>
          <w:bCs/>
          <w:iCs/>
          <w:lang w:val="hy-AM"/>
        </w:rPr>
        <w:t>կողմից</w:t>
      </w:r>
      <w:r w:rsidRPr="009070BD">
        <w:rPr>
          <w:b w:val="0"/>
          <w:bCs/>
          <w:iCs/>
          <w:lang w:val="fr-FR"/>
        </w:rPr>
        <w:t xml:space="preserve"> </w:t>
      </w:r>
      <w:r w:rsidRPr="009070BD">
        <w:rPr>
          <w:b w:val="0"/>
          <w:bCs/>
          <w:iCs/>
          <w:lang w:val="hy-AM"/>
        </w:rPr>
        <w:t>համայնքի</w:t>
      </w:r>
      <w:r w:rsidRPr="009070BD">
        <w:rPr>
          <w:b w:val="0"/>
          <w:bCs/>
          <w:iCs/>
          <w:lang w:val="fr-FR"/>
        </w:rPr>
        <w:t xml:space="preserve"> </w:t>
      </w:r>
      <w:r w:rsidRPr="009070BD">
        <w:rPr>
          <w:b w:val="0"/>
          <w:bCs/>
          <w:iCs/>
          <w:lang w:val="hy-AM"/>
        </w:rPr>
        <w:t>ղեկավարին</w:t>
      </w:r>
      <w:r w:rsidRPr="009070BD">
        <w:rPr>
          <w:b w:val="0"/>
          <w:bCs/>
          <w:iCs/>
          <w:lang w:val="fr-FR"/>
        </w:rPr>
        <w:t xml:space="preserve"> </w:t>
      </w:r>
      <w:r w:rsidRPr="009070BD">
        <w:rPr>
          <w:b w:val="0"/>
          <w:bCs/>
          <w:iCs/>
          <w:lang w:val="hy-AM"/>
        </w:rPr>
        <w:t>պատվիրակված</w:t>
      </w:r>
      <w:r w:rsidRPr="009070BD">
        <w:rPr>
          <w:b w:val="0"/>
          <w:bCs/>
          <w:iCs/>
          <w:lang w:val="fr-FR"/>
        </w:rPr>
        <w:t xml:space="preserve"> </w:t>
      </w:r>
      <w:r w:rsidRPr="009070BD">
        <w:rPr>
          <w:b w:val="0"/>
          <w:bCs/>
          <w:iCs/>
          <w:lang w:val="hy-AM"/>
        </w:rPr>
        <w:t>լիազորությունների</w:t>
      </w:r>
      <w:r w:rsidRPr="009070BD">
        <w:rPr>
          <w:b w:val="0"/>
          <w:bCs/>
          <w:iCs/>
          <w:lang w:val="fr-FR"/>
        </w:rPr>
        <w:t xml:space="preserve"> </w:t>
      </w:r>
      <w:r w:rsidRPr="009070BD">
        <w:rPr>
          <w:b w:val="0"/>
          <w:bCs/>
          <w:iCs/>
          <w:lang w:val="hy-AM"/>
        </w:rPr>
        <w:t>իրականացում</w:t>
      </w:r>
      <w:r w:rsidRPr="009070BD">
        <w:rPr>
          <w:b w:val="0"/>
          <w:bCs/>
          <w:iCs/>
          <w:lang w:val="fr-FR"/>
        </w:rPr>
        <w:t xml:space="preserve">» </w:t>
      </w:r>
      <w:r w:rsidRPr="009070BD">
        <w:rPr>
          <w:b w:val="0"/>
          <w:bCs/>
          <w:iCs/>
          <w:lang w:val="hy-AM"/>
        </w:rPr>
        <w:t>միջոցառ</w:t>
      </w:r>
      <w:r w:rsidRPr="009070BD">
        <w:rPr>
          <w:b w:val="0"/>
          <w:bCs/>
          <w:iCs/>
          <w:lang w:val="fr-FR"/>
        </w:rPr>
        <w:softHyphen/>
      </w:r>
      <w:r w:rsidRPr="009070BD">
        <w:rPr>
          <w:b w:val="0"/>
          <w:bCs/>
          <w:iCs/>
          <w:lang w:val="hy-AM"/>
        </w:rPr>
        <w:t>մամբ</w:t>
      </w:r>
      <w:r w:rsidRPr="009070BD">
        <w:rPr>
          <w:b w:val="0"/>
          <w:bCs/>
          <w:iCs/>
          <w:lang w:val="fr-FR"/>
        </w:rPr>
        <w:t xml:space="preserve"> </w:t>
      </w:r>
      <w:r w:rsidRPr="009070BD">
        <w:rPr>
          <w:b w:val="0"/>
          <w:bCs/>
          <w:iCs/>
          <w:lang w:val="hy-AM"/>
        </w:rPr>
        <w:t>մետրոպոլիտենով</w:t>
      </w:r>
      <w:r w:rsidRPr="009070BD">
        <w:rPr>
          <w:b w:val="0"/>
          <w:bCs/>
          <w:iCs/>
          <w:lang w:val="fr-FR"/>
        </w:rPr>
        <w:t xml:space="preserve"> </w:t>
      </w:r>
      <w:r w:rsidRPr="009070BD">
        <w:rPr>
          <w:b w:val="0"/>
          <w:bCs/>
          <w:iCs/>
          <w:lang w:val="hy-AM"/>
        </w:rPr>
        <w:t>ուղևորափոխադրումների</w:t>
      </w:r>
      <w:r w:rsidRPr="009070BD">
        <w:rPr>
          <w:b w:val="0"/>
          <w:bCs/>
          <w:iCs/>
          <w:lang w:val="fr-FR"/>
        </w:rPr>
        <w:t xml:space="preserve"> </w:t>
      </w:r>
      <w:r w:rsidRPr="009070BD">
        <w:rPr>
          <w:b w:val="0"/>
          <w:bCs/>
          <w:iCs/>
          <w:lang w:val="hy-AM"/>
        </w:rPr>
        <w:t>սպա</w:t>
      </w:r>
      <w:r w:rsidRPr="009070BD">
        <w:rPr>
          <w:b w:val="0"/>
          <w:bCs/>
          <w:iCs/>
          <w:lang w:val="fr-FR"/>
        </w:rPr>
        <w:softHyphen/>
      </w:r>
      <w:r w:rsidRPr="009070BD">
        <w:rPr>
          <w:b w:val="0"/>
          <w:bCs/>
          <w:iCs/>
          <w:lang w:val="hy-AM"/>
        </w:rPr>
        <w:t>սարկ</w:t>
      </w:r>
      <w:r w:rsidRPr="009070BD">
        <w:rPr>
          <w:b w:val="0"/>
          <w:bCs/>
          <w:iCs/>
          <w:lang w:val="fr-FR"/>
        </w:rPr>
        <w:softHyphen/>
      </w:r>
      <w:r w:rsidRPr="009070BD">
        <w:rPr>
          <w:b w:val="0"/>
          <w:bCs/>
          <w:iCs/>
          <w:lang w:val="hy-AM"/>
        </w:rPr>
        <w:t>ման</w:t>
      </w:r>
      <w:r w:rsidRPr="009070BD">
        <w:rPr>
          <w:b w:val="0"/>
          <w:bCs/>
          <w:iCs/>
          <w:lang w:val="fr-FR"/>
        </w:rPr>
        <w:t xml:space="preserve"> </w:t>
      </w:r>
      <w:r w:rsidRPr="009070BD">
        <w:rPr>
          <w:b w:val="0"/>
          <w:bCs/>
          <w:iCs/>
          <w:lang w:val="hy-AM"/>
        </w:rPr>
        <w:t>որակի</w:t>
      </w:r>
      <w:r w:rsidRPr="009070BD">
        <w:rPr>
          <w:b w:val="0"/>
          <w:bCs/>
          <w:iCs/>
          <w:lang w:val="fr-FR"/>
        </w:rPr>
        <w:t xml:space="preserve"> </w:t>
      </w:r>
      <w:r w:rsidRPr="009070BD">
        <w:rPr>
          <w:b w:val="0"/>
          <w:bCs/>
          <w:iCs/>
          <w:lang w:val="hy-AM"/>
        </w:rPr>
        <w:t>բարելավման</w:t>
      </w:r>
      <w:r w:rsidRPr="009070BD">
        <w:rPr>
          <w:b w:val="0"/>
          <w:bCs/>
          <w:iCs/>
          <w:lang w:val="fr-FR"/>
        </w:rPr>
        <w:t xml:space="preserve"> </w:t>
      </w:r>
      <w:r w:rsidRPr="009070BD">
        <w:rPr>
          <w:b w:val="0"/>
          <w:bCs/>
          <w:iCs/>
          <w:lang w:val="hy-AM"/>
        </w:rPr>
        <w:t>և</w:t>
      </w:r>
      <w:r w:rsidRPr="009070BD">
        <w:rPr>
          <w:b w:val="0"/>
          <w:bCs/>
          <w:iCs/>
          <w:lang w:val="fr-FR"/>
        </w:rPr>
        <w:t xml:space="preserve"> </w:t>
      </w:r>
      <w:r w:rsidRPr="009070BD">
        <w:rPr>
          <w:b w:val="0"/>
          <w:bCs/>
          <w:iCs/>
          <w:lang w:val="hy-AM"/>
        </w:rPr>
        <w:t>երթևե</w:t>
      </w:r>
      <w:r w:rsidRPr="009070BD">
        <w:rPr>
          <w:b w:val="0"/>
          <w:bCs/>
          <w:iCs/>
          <w:lang w:val="fr-FR"/>
        </w:rPr>
        <w:softHyphen/>
      </w:r>
      <w:r w:rsidRPr="009070BD">
        <w:rPr>
          <w:b w:val="0"/>
          <w:bCs/>
          <w:iCs/>
          <w:lang w:val="hy-AM"/>
        </w:rPr>
        <w:t>կության</w:t>
      </w:r>
      <w:r w:rsidRPr="009070BD">
        <w:rPr>
          <w:b w:val="0"/>
          <w:bCs/>
          <w:iCs/>
          <w:lang w:val="fr-FR"/>
        </w:rPr>
        <w:t xml:space="preserve"> </w:t>
      </w:r>
      <w:r w:rsidRPr="009070BD">
        <w:rPr>
          <w:b w:val="0"/>
          <w:bCs/>
          <w:iCs/>
          <w:lang w:val="hy-AM"/>
        </w:rPr>
        <w:t>անվտանգության</w:t>
      </w:r>
      <w:r w:rsidRPr="009070BD">
        <w:rPr>
          <w:b w:val="0"/>
          <w:bCs/>
          <w:iCs/>
          <w:lang w:val="fr-FR"/>
        </w:rPr>
        <w:t xml:space="preserve"> </w:t>
      </w:r>
      <w:r w:rsidRPr="009070BD">
        <w:rPr>
          <w:b w:val="0"/>
          <w:bCs/>
          <w:iCs/>
          <w:lang w:val="hy-AM"/>
        </w:rPr>
        <w:t>ապահովման</w:t>
      </w:r>
      <w:r w:rsidRPr="009070BD">
        <w:rPr>
          <w:b w:val="0"/>
          <w:bCs/>
          <w:iCs/>
          <w:lang w:val="fr-FR"/>
        </w:rPr>
        <w:t xml:space="preserve"> </w:t>
      </w:r>
      <w:r w:rsidRPr="009070BD">
        <w:rPr>
          <w:b w:val="0"/>
          <w:bCs/>
          <w:iCs/>
          <w:lang w:val="hy-AM"/>
        </w:rPr>
        <w:t>նպատակով</w:t>
      </w:r>
      <w:r w:rsidRPr="009070BD">
        <w:rPr>
          <w:b w:val="0"/>
          <w:bCs/>
          <w:iCs/>
          <w:lang w:val="fr-FR"/>
        </w:rPr>
        <w:t xml:space="preserve"> </w:t>
      </w:r>
      <w:r w:rsidRPr="009070BD">
        <w:rPr>
          <w:b w:val="0"/>
          <w:bCs/>
          <w:iCs/>
          <w:lang w:val="hy-AM"/>
        </w:rPr>
        <w:t>ՀՀ</w:t>
      </w:r>
      <w:r w:rsidRPr="009070BD">
        <w:rPr>
          <w:b w:val="0"/>
          <w:bCs/>
          <w:iCs/>
          <w:lang w:val="fr-FR"/>
        </w:rPr>
        <w:t xml:space="preserve"> 2021 </w:t>
      </w:r>
      <w:r w:rsidRPr="009070BD">
        <w:rPr>
          <w:b w:val="0"/>
          <w:bCs/>
          <w:iCs/>
          <w:lang w:val="hy-AM"/>
        </w:rPr>
        <w:t>թվականի</w:t>
      </w:r>
      <w:r w:rsidRPr="009070BD">
        <w:rPr>
          <w:b w:val="0"/>
          <w:bCs/>
          <w:iCs/>
          <w:lang w:val="fr-FR"/>
        </w:rPr>
        <w:t xml:space="preserve"> </w:t>
      </w:r>
      <w:r w:rsidRPr="009070BD">
        <w:rPr>
          <w:b w:val="0"/>
          <w:bCs/>
          <w:iCs/>
          <w:lang w:val="hy-AM"/>
        </w:rPr>
        <w:t>պետական</w:t>
      </w:r>
      <w:r w:rsidRPr="009070BD">
        <w:rPr>
          <w:b w:val="0"/>
          <w:bCs/>
          <w:iCs/>
          <w:lang w:val="fr-FR"/>
        </w:rPr>
        <w:t xml:space="preserve"> </w:t>
      </w:r>
      <w:r w:rsidRPr="009070BD">
        <w:rPr>
          <w:b w:val="0"/>
          <w:bCs/>
          <w:iCs/>
          <w:lang w:val="hy-AM"/>
        </w:rPr>
        <w:t>բյուջեի</w:t>
      </w:r>
      <w:r w:rsidRPr="009070BD">
        <w:rPr>
          <w:b w:val="0"/>
          <w:bCs/>
          <w:iCs/>
          <w:lang w:val="fr-FR"/>
        </w:rPr>
        <w:t xml:space="preserve"> </w:t>
      </w:r>
      <w:r w:rsidRPr="009070BD">
        <w:rPr>
          <w:b w:val="0"/>
          <w:bCs/>
          <w:iCs/>
          <w:lang w:val="hy-AM"/>
        </w:rPr>
        <w:t>նախագծով</w:t>
      </w:r>
      <w:r w:rsidRPr="009070BD">
        <w:rPr>
          <w:b w:val="0"/>
          <w:bCs/>
          <w:iCs/>
          <w:lang w:val="fr-FR"/>
        </w:rPr>
        <w:t xml:space="preserve"> </w:t>
      </w:r>
      <w:r w:rsidRPr="009070BD">
        <w:rPr>
          <w:b w:val="0"/>
          <w:bCs/>
          <w:iCs/>
          <w:lang w:val="hy-AM"/>
        </w:rPr>
        <w:t>նախա</w:t>
      </w:r>
      <w:r w:rsidRPr="009070BD">
        <w:rPr>
          <w:b w:val="0"/>
          <w:bCs/>
          <w:iCs/>
          <w:lang w:val="fr-FR"/>
        </w:rPr>
        <w:softHyphen/>
      </w:r>
      <w:r w:rsidRPr="009070BD">
        <w:rPr>
          <w:b w:val="0"/>
          <w:bCs/>
          <w:iCs/>
          <w:lang w:val="hy-AM"/>
        </w:rPr>
        <w:t>տեսվում</w:t>
      </w:r>
      <w:r w:rsidRPr="009070BD">
        <w:rPr>
          <w:b w:val="0"/>
          <w:bCs/>
          <w:iCs/>
          <w:lang w:val="fr-FR"/>
        </w:rPr>
        <w:t xml:space="preserve"> </w:t>
      </w:r>
      <w:r w:rsidRPr="009070BD">
        <w:rPr>
          <w:b w:val="0"/>
          <w:bCs/>
          <w:iCs/>
          <w:lang w:val="hy-AM"/>
        </w:rPr>
        <w:t>է</w:t>
      </w:r>
      <w:r w:rsidRPr="009070BD">
        <w:rPr>
          <w:b w:val="0"/>
          <w:bCs/>
          <w:iCs/>
          <w:lang w:val="fr-FR"/>
        </w:rPr>
        <w:t xml:space="preserve"> հատկացնել 2</w:t>
      </w:r>
      <w:r w:rsidR="0078718A">
        <w:rPr>
          <w:b w:val="0"/>
          <w:bCs/>
          <w:iCs/>
          <w:lang w:val="hy-AM"/>
        </w:rPr>
        <w:t>,862</w:t>
      </w:r>
      <w:r w:rsidRPr="009070BD">
        <w:rPr>
          <w:b w:val="0"/>
          <w:bCs/>
          <w:iCs/>
          <w:lang w:val="fr-FR"/>
        </w:rPr>
        <w:t>.</w:t>
      </w:r>
      <w:r w:rsidR="0078718A">
        <w:rPr>
          <w:b w:val="0"/>
          <w:bCs/>
          <w:iCs/>
          <w:lang w:val="hy-AM"/>
        </w:rPr>
        <w:t>4</w:t>
      </w:r>
      <w:r w:rsidRPr="009070BD">
        <w:rPr>
          <w:b w:val="0"/>
          <w:bCs/>
          <w:iCs/>
          <w:lang w:val="fr-FR"/>
        </w:rPr>
        <w:t xml:space="preserve"> </w:t>
      </w:r>
      <w:r w:rsidRPr="009070BD">
        <w:rPr>
          <w:b w:val="0"/>
          <w:bCs/>
          <w:iCs/>
          <w:lang w:val="hy-AM"/>
        </w:rPr>
        <w:t>մլն</w:t>
      </w:r>
      <w:r w:rsidRPr="009070BD">
        <w:rPr>
          <w:b w:val="0"/>
          <w:bCs/>
          <w:iCs/>
          <w:lang w:val="fr-FR"/>
        </w:rPr>
        <w:t xml:space="preserve"> </w:t>
      </w:r>
      <w:r w:rsidRPr="009070BD">
        <w:rPr>
          <w:b w:val="0"/>
          <w:bCs/>
          <w:iCs/>
          <w:lang w:val="hy-AM"/>
        </w:rPr>
        <w:t>դրամ</w:t>
      </w:r>
      <w:r w:rsidRPr="009070BD">
        <w:rPr>
          <w:b w:val="0"/>
          <w:bCs/>
          <w:iCs/>
          <w:lang w:val="fr-FR"/>
        </w:rPr>
        <w:t xml:space="preserve">, </w:t>
      </w:r>
      <w:r w:rsidRPr="009070BD">
        <w:rPr>
          <w:b w:val="0"/>
          <w:bCs/>
          <w:iCs/>
          <w:lang w:val="hy-AM"/>
        </w:rPr>
        <w:t>որից</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rPr>
        <w:t>ա</w:t>
      </w:r>
      <w:r w:rsidRPr="009070BD">
        <w:rPr>
          <w:b w:val="0"/>
          <w:bCs/>
          <w:iCs/>
          <w:lang w:val="fr-FR"/>
        </w:rPr>
        <w:t xml:space="preserve">/ 2,001.7 </w:t>
      </w:r>
      <w:r w:rsidRPr="009070BD">
        <w:rPr>
          <w:b w:val="0"/>
          <w:bCs/>
          <w:iCs/>
        </w:rPr>
        <w:t>մլն</w:t>
      </w:r>
      <w:r w:rsidRPr="009070BD">
        <w:rPr>
          <w:b w:val="0"/>
          <w:bCs/>
          <w:iCs/>
          <w:lang w:val="fr-FR"/>
        </w:rPr>
        <w:t xml:space="preserve"> </w:t>
      </w:r>
      <w:r w:rsidRPr="009070BD">
        <w:rPr>
          <w:b w:val="0"/>
          <w:bCs/>
          <w:iCs/>
        </w:rPr>
        <w:t>դրամը</w:t>
      </w:r>
      <w:r w:rsidRPr="009070BD">
        <w:rPr>
          <w:b w:val="0"/>
          <w:bCs/>
          <w:iCs/>
          <w:lang w:val="fr-FR"/>
        </w:rPr>
        <w:t>` «</w:t>
      </w:r>
      <w:r w:rsidRPr="009070BD">
        <w:rPr>
          <w:b w:val="0"/>
          <w:bCs/>
          <w:iCs/>
        </w:rPr>
        <w:t>Կարեն</w:t>
      </w:r>
      <w:r w:rsidRPr="009070BD">
        <w:rPr>
          <w:b w:val="0"/>
          <w:bCs/>
          <w:iCs/>
          <w:lang w:val="fr-FR"/>
        </w:rPr>
        <w:t xml:space="preserve"> </w:t>
      </w:r>
      <w:r w:rsidRPr="009070BD">
        <w:rPr>
          <w:b w:val="0"/>
          <w:bCs/>
          <w:iCs/>
        </w:rPr>
        <w:t>Դեմիրճյանի</w:t>
      </w:r>
      <w:r w:rsidRPr="009070BD">
        <w:rPr>
          <w:b w:val="0"/>
          <w:bCs/>
          <w:iCs/>
          <w:lang w:val="fr-FR"/>
        </w:rPr>
        <w:t xml:space="preserve"> </w:t>
      </w:r>
      <w:r w:rsidRPr="009070BD">
        <w:rPr>
          <w:b w:val="0"/>
          <w:bCs/>
          <w:iCs/>
        </w:rPr>
        <w:t>անվան</w:t>
      </w:r>
      <w:r w:rsidRPr="009070BD">
        <w:rPr>
          <w:b w:val="0"/>
          <w:bCs/>
          <w:iCs/>
          <w:lang w:val="fr-FR"/>
        </w:rPr>
        <w:t xml:space="preserve"> </w:t>
      </w:r>
      <w:r w:rsidRPr="009070BD">
        <w:rPr>
          <w:b w:val="0"/>
          <w:bCs/>
          <w:iCs/>
        </w:rPr>
        <w:t>Երևանի</w:t>
      </w:r>
      <w:r w:rsidRPr="009070BD">
        <w:rPr>
          <w:b w:val="0"/>
          <w:bCs/>
          <w:iCs/>
          <w:lang w:val="fr-FR"/>
        </w:rPr>
        <w:t xml:space="preserve"> </w:t>
      </w:r>
      <w:r w:rsidRPr="009070BD">
        <w:rPr>
          <w:b w:val="0"/>
          <w:bCs/>
          <w:iCs/>
        </w:rPr>
        <w:t>մետրոպոլիտեն</w:t>
      </w:r>
      <w:r w:rsidRPr="009070BD">
        <w:rPr>
          <w:b w:val="0"/>
          <w:bCs/>
          <w:iCs/>
          <w:lang w:val="fr-FR"/>
        </w:rPr>
        <w:t xml:space="preserve">» </w:t>
      </w:r>
      <w:r w:rsidRPr="009070BD">
        <w:rPr>
          <w:b w:val="0"/>
          <w:bCs/>
          <w:iCs/>
        </w:rPr>
        <w:t>փակ</w:t>
      </w:r>
      <w:r w:rsidRPr="009070BD">
        <w:rPr>
          <w:b w:val="0"/>
          <w:bCs/>
          <w:iCs/>
          <w:lang w:val="fr-FR"/>
        </w:rPr>
        <w:t xml:space="preserve"> </w:t>
      </w:r>
      <w:r w:rsidRPr="009070BD">
        <w:rPr>
          <w:b w:val="0"/>
          <w:bCs/>
          <w:iCs/>
        </w:rPr>
        <w:t>բաժնետիրական</w:t>
      </w:r>
      <w:r w:rsidRPr="009070BD">
        <w:rPr>
          <w:b w:val="0"/>
          <w:bCs/>
          <w:iCs/>
          <w:lang w:val="fr-FR"/>
        </w:rPr>
        <w:t xml:space="preserve"> </w:t>
      </w:r>
      <w:r w:rsidRPr="009070BD">
        <w:rPr>
          <w:b w:val="0"/>
          <w:bCs/>
          <w:iCs/>
        </w:rPr>
        <w:t>ընկերության</w:t>
      </w:r>
      <w:r w:rsidRPr="009070BD">
        <w:rPr>
          <w:b w:val="0"/>
          <w:bCs/>
          <w:iCs/>
          <w:lang w:val="fr-FR"/>
        </w:rPr>
        <w:t xml:space="preserve"> </w:t>
      </w:r>
      <w:r w:rsidRPr="009070BD">
        <w:rPr>
          <w:b w:val="0"/>
          <w:bCs/>
          <w:iCs/>
        </w:rPr>
        <w:t>կողմից</w:t>
      </w:r>
      <w:r w:rsidRPr="009070BD">
        <w:rPr>
          <w:b w:val="0"/>
          <w:bCs/>
          <w:iCs/>
          <w:lang w:val="fr-FR"/>
        </w:rPr>
        <w:t xml:space="preserve"> </w:t>
      </w:r>
      <w:r w:rsidRPr="009070BD">
        <w:rPr>
          <w:b w:val="0"/>
          <w:bCs/>
          <w:iCs/>
        </w:rPr>
        <w:t>մատուցվող</w:t>
      </w:r>
      <w:r w:rsidRPr="009070BD">
        <w:rPr>
          <w:b w:val="0"/>
          <w:bCs/>
          <w:iCs/>
          <w:lang w:val="fr-FR"/>
        </w:rPr>
        <w:t xml:space="preserve"> </w:t>
      </w:r>
      <w:r w:rsidRPr="009070BD">
        <w:rPr>
          <w:b w:val="0"/>
          <w:bCs/>
          <w:iCs/>
        </w:rPr>
        <w:t>ուղևորափոխադրման</w:t>
      </w:r>
      <w:r w:rsidRPr="009070BD">
        <w:rPr>
          <w:b w:val="0"/>
          <w:bCs/>
          <w:iCs/>
          <w:lang w:val="fr-FR"/>
        </w:rPr>
        <w:t xml:space="preserve"> </w:t>
      </w:r>
      <w:r w:rsidRPr="009070BD">
        <w:rPr>
          <w:b w:val="0"/>
          <w:bCs/>
          <w:iCs/>
        </w:rPr>
        <w:t>ծառայու</w:t>
      </w:r>
      <w:r w:rsidRPr="009070BD">
        <w:rPr>
          <w:b w:val="0"/>
          <w:bCs/>
          <w:iCs/>
          <w:lang w:val="fr-FR"/>
        </w:rPr>
        <w:softHyphen/>
      </w:r>
      <w:r w:rsidRPr="009070BD">
        <w:rPr>
          <w:b w:val="0"/>
          <w:bCs/>
          <w:iCs/>
        </w:rPr>
        <w:t>թյուն</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սուբսիդավորման</w:t>
      </w:r>
      <w:r w:rsidRPr="009070BD">
        <w:rPr>
          <w:b w:val="0"/>
          <w:bCs/>
          <w:iCs/>
          <w:lang w:val="fr-FR"/>
        </w:rPr>
        <w:t xml:space="preserve"> </w:t>
      </w:r>
      <w:r w:rsidRPr="009070BD">
        <w:rPr>
          <w:b w:val="0"/>
          <w:bCs/>
          <w:iCs/>
        </w:rPr>
        <w:t>համար</w:t>
      </w:r>
      <w:r w:rsidRPr="009070BD">
        <w:rPr>
          <w:b w:val="0"/>
          <w:bCs/>
          <w:iCs/>
          <w:lang w:val="fr-FR"/>
        </w:rPr>
        <w:t xml:space="preserve"> (պահպանվել է 2020 </w:t>
      </w:r>
      <w:r w:rsidRPr="009070BD">
        <w:rPr>
          <w:b w:val="0"/>
          <w:bCs/>
          <w:iCs/>
        </w:rPr>
        <w:t>թվականի</w:t>
      </w:r>
      <w:r w:rsidRPr="009070BD">
        <w:rPr>
          <w:b w:val="0"/>
          <w:bCs/>
          <w:iCs/>
          <w:lang w:val="fr-FR"/>
        </w:rPr>
        <w:t xml:space="preserve"> մակարդակը):</w:t>
      </w:r>
    </w:p>
    <w:p w:rsidR="001971B9" w:rsidRPr="009070BD" w:rsidRDefault="001971B9" w:rsidP="007730AA">
      <w:pPr>
        <w:spacing w:before="0" w:line="276" w:lineRule="auto"/>
        <w:ind w:firstLine="720"/>
        <w:rPr>
          <w:b w:val="0"/>
          <w:bCs/>
          <w:iCs/>
          <w:lang w:val="fr-FR"/>
        </w:rPr>
      </w:pPr>
      <w:r w:rsidRPr="009070BD">
        <w:rPr>
          <w:b w:val="0"/>
          <w:bCs/>
          <w:iCs/>
        </w:rPr>
        <w:t>բ</w:t>
      </w:r>
      <w:r w:rsidRPr="009070BD">
        <w:rPr>
          <w:b w:val="0"/>
          <w:bCs/>
          <w:iCs/>
          <w:lang w:val="fr-FR"/>
        </w:rPr>
        <w:t xml:space="preserve">/ </w:t>
      </w:r>
      <w:r w:rsidR="0078718A">
        <w:rPr>
          <w:b w:val="0"/>
          <w:bCs/>
          <w:iCs/>
          <w:lang w:val="hy-AM"/>
        </w:rPr>
        <w:t>860</w:t>
      </w:r>
      <w:r w:rsidRPr="009070BD">
        <w:rPr>
          <w:b w:val="0"/>
          <w:bCs/>
          <w:iCs/>
          <w:lang w:val="fr-FR"/>
        </w:rPr>
        <w:t>.</w:t>
      </w:r>
      <w:r w:rsidR="0078718A">
        <w:rPr>
          <w:b w:val="0"/>
          <w:bCs/>
          <w:iCs/>
          <w:lang w:val="hy-AM"/>
        </w:rPr>
        <w:t>7</w:t>
      </w:r>
      <w:r w:rsidRPr="009070BD">
        <w:rPr>
          <w:b w:val="0"/>
          <w:bCs/>
          <w:iCs/>
          <w:lang w:val="fr-FR"/>
        </w:rPr>
        <w:t xml:space="preserve"> </w:t>
      </w:r>
      <w:r w:rsidRPr="009070BD">
        <w:rPr>
          <w:b w:val="0"/>
          <w:bCs/>
          <w:iCs/>
        </w:rPr>
        <w:t>մլն</w:t>
      </w:r>
      <w:r w:rsidRPr="009070BD">
        <w:rPr>
          <w:b w:val="0"/>
          <w:bCs/>
          <w:iCs/>
          <w:lang w:val="fr-FR"/>
        </w:rPr>
        <w:t xml:space="preserve"> </w:t>
      </w:r>
      <w:r w:rsidRPr="009070BD">
        <w:rPr>
          <w:b w:val="0"/>
          <w:bCs/>
          <w:iCs/>
        </w:rPr>
        <w:t>դրամը</w:t>
      </w:r>
      <w:r w:rsidRPr="009070BD">
        <w:rPr>
          <w:b w:val="0"/>
          <w:bCs/>
          <w:iCs/>
          <w:lang w:val="fr-FR"/>
        </w:rPr>
        <w:t xml:space="preserve">` </w:t>
      </w:r>
      <w:r w:rsidRPr="009070BD">
        <w:rPr>
          <w:b w:val="0"/>
          <w:bCs/>
          <w:iCs/>
        </w:rPr>
        <w:t>Վերակառուցման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զարգացման</w:t>
      </w:r>
      <w:r w:rsidRPr="009070BD">
        <w:rPr>
          <w:b w:val="0"/>
          <w:bCs/>
          <w:iCs/>
          <w:lang w:val="fr-FR"/>
        </w:rPr>
        <w:t xml:space="preserve"> </w:t>
      </w:r>
      <w:r w:rsidRPr="009070BD">
        <w:rPr>
          <w:b w:val="0"/>
          <w:bCs/>
          <w:iCs/>
        </w:rPr>
        <w:t>եվրոպական</w:t>
      </w:r>
      <w:r w:rsidRPr="009070BD">
        <w:rPr>
          <w:b w:val="0"/>
          <w:bCs/>
          <w:iCs/>
          <w:lang w:val="fr-FR"/>
        </w:rPr>
        <w:t xml:space="preserve"> </w:t>
      </w:r>
      <w:r w:rsidRPr="009070BD">
        <w:rPr>
          <w:b w:val="0"/>
          <w:bCs/>
          <w:iCs/>
        </w:rPr>
        <w:t>բանկի</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Եվրոպական</w:t>
      </w:r>
      <w:r w:rsidRPr="009070BD">
        <w:rPr>
          <w:b w:val="0"/>
          <w:bCs/>
          <w:iCs/>
          <w:lang w:val="fr-FR"/>
        </w:rPr>
        <w:t xml:space="preserve"> </w:t>
      </w:r>
      <w:r w:rsidRPr="009070BD">
        <w:rPr>
          <w:b w:val="0"/>
          <w:bCs/>
          <w:iCs/>
        </w:rPr>
        <w:t>ներդրումային</w:t>
      </w:r>
      <w:r w:rsidRPr="009070BD">
        <w:rPr>
          <w:b w:val="0"/>
          <w:bCs/>
          <w:iCs/>
          <w:lang w:val="fr-FR"/>
        </w:rPr>
        <w:t xml:space="preserve"> </w:t>
      </w:r>
      <w:r w:rsidRPr="009070BD">
        <w:rPr>
          <w:b w:val="0"/>
          <w:bCs/>
          <w:iCs/>
        </w:rPr>
        <w:t>բանկի</w:t>
      </w:r>
      <w:r w:rsidRPr="009070BD">
        <w:rPr>
          <w:b w:val="0"/>
          <w:bCs/>
          <w:iCs/>
          <w:lang w:val="fr-FR"/>
        </w:rPr>
        <w:t xml:space="preserve"> </w:t>
      </w:r>
      <w:r w:rsidRPr="009070BD">
        <w:rPr>
          <w:b w:val="0"/>
          <w:bCs/>
          <w:iCs/>
        </w:rPr>
        <w:t>նկատմամբ</w:t>
      </w:r>
      <w:r w:rsidRPr="009070BD">
        <w:rPr>
          <w:b w:val="0"/>
          <w:bCs/>
          <w:iCs/>
          <w:lang w:val="fr-FR"/>
        </w:rPr>
        <w:t xml:space="preserve"> </w:t>
      </w:r>
      <w:r w:rsidRPr="009070BD">
        <w:rPr>
          <w:b w:val="0"/>
          <w:bCs/>
          <w:iCs/>
        </w:rPr>
        <w:t>ունեցած</w:t>
      </w:r>
      <w:r w:rsidRPr="009070BD">
        <w:rPr>
          <w:b w:val="0"/>
          <w:bCs/>
          <w:iCs/>
          <w:lang w:val="fr-FR"/>
        </w:rPr>
        <w:t xml:space="preserve"> </w:t>
      </w:r>
      <w:r w:rsidRPr="009070BD">
        <w:rPr>
          <w:b w:val="0"/>
          <w:bCs/>
          <w:iCs/>
        </w:rPr>
        <w:t>վարկային</w:t>
      </w:r>
      <w:r w:rsidRPr="009070BD">
        <w:rPr>
          <w:b w:val="0"/>
          <w:bCs/>
          <w:iCs/>
          <w:lang w:val="fr-FR"/>
        </w:rPr>
        <w:t xml:space="preserve"> </w:t>
      </w:r>
      <w:r w:rsidRPr="009070BD">
        <w:rPr>
          <w:b w:val="0"/>
          <w:bCs/>
          <w:iCs/>
        </w:rPr>
        <w:t>պարտավորությունների</w:t>
      </w:r>
      <w:r w:rsidRPr="009070BD">
        <w:rPr>
          <w:b w:val="0"/>
          <w:bCs/>
          <w:iCs/>
          <w:lang w:val="fr-FR"/>
        </w:rPr>
        <w:t xml:space="preserve"> </w:t>
      </w:r>
      <w:r w:rsidRPr="009070BD">
        <w:rPr>
          <w:b w:val="0"/>
          <w:bCs/>
          <w:iCs/>
        </w:rPr>
        <w:t>գծով</w:t>
      </w:r>
      <w:r w:rsidRPr="009070BD">
        <w:rPr>
          <w:b w:val="0"/>
          <w:bCs/>
          <w:iCs/>
          <w:lang w:val="fr-FR"/>
        </w:rPr>
        <w:t xml:space="preserve"> </w:t>
      </w:r>
      <w:r w:rsidRPr="009070BD">
        <w:rPr>
          <w:b w:val="0"/>
          <w:bCs/>
          <w:iCs/>
        </w:rPr>
        <w:t>տոկոս</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մայր</w:t>
      </w:r>
      <w:r w:rsidRPr="009070BD">
        <w:rPr>
          <w:b w:val="0"/>
          <w:bCs/>
          <w:iCs/>
          <w:lang w:val="fr-FR"/>
        </w:rPr>
        <w:t xml:space="preserve"> </w:t>
      </w:r>
      <w:r w:rsidRPr="009070BD">
        <w:rPr>
          <w:b w:val="0"/>
          <w:bCs/>
          <w:iCs/>
        </w:rPr>
        <w:t>գումարի</w:t>
      </w:r>
      <w:r w:rsidRPr="009070BD">
        <w:rPr>
          <w:b w:val="0"/>
          <w:bCs/>
          <w:iCs/>
          <w:lang w:val="fr-FR"/>
        </w:rPr>
        <w:t xml:space="preserve"> </w:t>
      </w:r>
      <w:r w:rsidRPr="009070BD">
        <w:rPr>
          <w:b w:val="0"/>
          <w:bCs/>
          <w:iCs/>
        </w:rPr>
        <w:t>մարման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որը</w:t>
      </w:r>
      <w:r w:rsidRPr="009070BD">
        <w:rPr>
          <w:b w:val="0"/>
          <w:bCs/>
          <w:iCs/>
          <w:lang w:val="fr-FR"/>
        </w:rPr>
        <w:t xml:space="preserve"> </w:t>
      </w:r>
      <w:r w:rsidRPr="009070BD">
        <w:rPr>
          <w:b w:val="0"/>
          <w:bCs/>
          <w:iCs/>
        </w:rPr>
        <w:t>ՀՀ</w:t>
      </w:r>
      <w:r w:rsidRPr="009070BD">
        <w:rPr>
          <w:b w:val="0"/>
          <w:bCs/>
          <w:iCs/>
          <w:lang w:val="fr-FR"/>
        </w:rPr>
        <w:t xml:space="preserve"> 2020</w:t>
      </w:r>
      <w:r w:rsidRPr="009070BD">
        <w:rPr>
          <w:b w:val="0"/>
          <w:bCs/>
          <w:iCs/>
        </w:rPr>
        <w:t>թ</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w:t>
      </w:r>
      <w:r w:rsidRPr="009070BD">
        <w:rPr>
          <w:b w:val="0"/>
          <w:bCs/>
          <w:iCs/>
          <w:lang w:val="en-US"/>
        </w:rPr>
        <w:t>ով</w:t>
      </w:r>
      <w:r w:rsidRPr="009070BD">
        <w:rPr>
          <w:b w:val="0"/>
          <w:bCs/>
          <w:iCs/>
          <w:lang w:val="fr-FR"/>
        </w:rPr>
        <w:t xml:space="preserve"> </w:t>
      </w:r>
      <w:r w:rsidRPr="009070BD">
        <w:rPr>
          <w:b w:val="0"/>
          <w:bCs/>
          <w:iCs/>
        </w:rPr>
        <w:t>հաստատված</w:t>
      </w:r>
      <w:r w:rsidRPr="009070BD">
        <w:rPr>
          <w:b w:val="0"/>
          <w:bCs/>
          <w:iCs/>
          <w:lang w:val="fr-FR"/>
        </w:rPr>
        <w:t xml:space="preserve"> </w:t>
      </w:r>
      <w:r w:rsidRPr="009070BD">
        <w:rPr>
          <w:b w:val="0"/>
          <w:bCs/>
          <w:iCs/>
        </w:rPr>
        <w:t>ցուցանիշի</w:t>
      </w:r>
      <w:r w:rsidRPr="009070BD">
        <w:rPr>
          <w:b w:val="0"/>
          <w:bCs/>
          <w:iCs/>
          <w:lang w:val="fr-FR"/>
        </w:rPr>
        <w:t xml:space="preserve"> </w:t>
      </w:r>
      <w:r w:rsidRPr="009070BD">
        <w:rPr>
          <w:b w:val="0"/>
          <w:bCs/>
          <w:iCs/>
        </w:rPr>
        <w:t>նկատմամբ</w:t>
      </w:r>
      <w:r w:rsidRPr="009070BD">
        <w:rPr>
          <w:b w:val="0"/>
          <w:bCs/>
          <w:iCs/>
          <w:lang w:val="fr-FR"/>
        </w:rPr>
        <w:t xml:space="preserve"> </w:t>
      </w:r>
      <w:r w:rsidR="0078718A">
        <w:rPr>
          <w:b w:val="0"/>
          <w:bCs/>
          <w:iCs/>
          <w:lang w:val="hy-AM"/>
        </w:rPr>
        <w:t xml:space="preserve">ավել </w:t>
      </w:r>
      <w:r w:rsidRPr="009070BD">
        <w:rPr>
          <w:b w:val="0"/>
          <w:bCs/>
          <w:iCs/>
        </w:rPr>
        <w:t>է</w:t>
      </w:r>
      <w:r w:rsidRPr="009070BD">
        <w:rPr>
          <w:b w:val="0"/>
          <w:bCs/>
          <w:iCs/>
          <w:lang w:val="fr-FR"/>
        </w:rPr>
        <w:t xml:space="preserve"> </w:t>
      </w:r>
      <w:r w:rsidR="0078718A">
        <w:rPr>
          <w:b w:val="0"/>
          <w:bCs/>
          <w:iCs/>
          <w:lang w:val="hy-AM"/>
        </w:rPr>
        <w:t>6</w:t>
      </w:r>
      <w:r w:rsidRPr="009070BD">
        <w:rPr>
          <w:b w:val="0"/>
          <w:bCs/>
          <w:iCs/>
          <w:lang w:val="fr-FR"/>
        </w:rPr>
        <w:t xml:space="preserve">1.3 </w:t>
      </w:r>
      <w:r w:rsidRPr="009070BD">
        <w:rPr>
          <w:b w:val="0"/>
          <w:bCs/>
          <w:iCs/>
        </w:rPr>
        <w:t>մլն</w:t>
      </w:r>
      <w:r w:rsidRPr="009070BD">
        <w:rPr>
          <w:b w:val="0"/>
          <w:bCs/>
          <w:iCs/>
          <w:lang w:val="fr-FR"/>
        </w:rPr>
        <w:t xml:space="preserve"> </w:t>
      </w:r>
      <w:r w:rsidRPr="009070BD">
        <w:rPr>
          <w:b w:val="0"/>
          <w:bCs/>
          <w:iCs/>
        </w:rPr>
        <w:t>դրամով</w:t>
      </w:r>
      <w:r w:rsidRPr="009070BD">
        <w:rPr>
          <w:b w:val="0"/>
          <w:bCs/>
          <w:iCs/>
          <w:lang w:val="fr-FR"/>
        </w:rPr>
        <w:t xml:space="preserve">` </w:t>
      </w:r>
      <w:r w:rsidRPr="009070BD">
        <w:rPr>
          <w:b w:val="0"/>
          <w:bCs/>
          <w:iCs/>
        </w:rPr>
        <w:t>փոխարժեքի</w:t>
      </w:r>
      <w:r w:rsidRPr="009070BD">
        <w:rPr>
          <w:b w:val="0"/>
          <w:bCs/>
          <w:iCs/>
          <w:lang w:val="fr-FR"/>
        </w:rPr>
        <w:t xml:space="preserve"> </w:t>
      </w:r>
      <w:r w:rsidRPr="009070BD">
        <w:rPr>
          <w:b w:val="0"/>
          <w:bCs/>
          <w:iCs/>
        </w:rPr>
        <w:t>փոփոխություններ</w:t>
      </w:r>
      <w:r w:rsidRPr="009070BD">
        <w:rPr>
          <w:b w:val="0"/>
          <w:bCs/>
          <w:iCs/>
          <w:lang w:val="en-US"/>
        </w:rPr>
        <w:t>ով</w:t>
      </w:r>
      <w:r w:rsidRPr="009070BD">
        <w:rPr>
          <w:b w:val="0"/>
          <w:bCs/>
          <w:iCs/>
          <w:lang w:val="fr-FR"/>
        </w:rPr>
        <w:t xml:space="preserve"> </w:t>
      </w:r>
      <w:r w:rsidRPr="009070BD">
        <w:rPr>
          <w:b w:val="0"/>
          <w:bCs/>
          <w:iCs/>
          <w:lang w:val="en-US"/>
        </w:rPr>
        <w:t>պայմանավորված</w:t>
      </w:r>
      <w:r w:rsidRPr="009070BD">
        <w:rPr>
          <w:b w:val="0"/>
          <w:bCs/>
          <w:iCs/>
          <w:lang w:val="fr-FR"/>
        </w:rPr>
        <w:t>:</w:t>
      </w:r>
    </w:p>
    <w:p w:rsidR="001971B9" w:rsidRPr="009070BD" w:rsidRDefault="00C1673D" w:rsidP="007730AA">
      <w:pPr>
        <w:spacing w:before="0" w:line="276" w:lineRule="auto"/>
        <w:ind w:firstLine="720"/>
        <w:rPr>
          <w:b w:val="0"/>
          <w:bCs/>
          <w:iCs/>
          <w:lang w:val="fr-FR"/>
        </w:rPr>
      </w:pPr>
      <w:r>
        <w:rPr>
          <w:b w:val="0"/>
          <w:bCs/>
          <w:iCs/>
          <w:lang w:val="fr-FR"/>
        </w:rPr>
        <w:t>11</w:t>
      </w:r>
      <w:r w:rsidR="001971B9" w:rsidRPr="009070BD">
        <w:rPr>
          <w:b w:val="0"/>
          <w:bCs/>
          <w:iCs/>
          <w:lang w:val="fr-FR"/>
        </w:rPr>
        <w:t>.2 «</w:t>
      </w:r>
      <w:r w:rsidR="001971B9" w:rsidRPr="009070BD">
        <w:rPr>
          <w:b w:val="0"/>
          <w:bCs/>
          <w:iCs/>
        </w:rPr>
        <w:t>Վերգետնյա</w:t>
      </w:r>
      <w:r w:rsidR="001971B9" w:rsidRPr="009070BD">
        <w:rPr>
          <w:b w:val="0"/>
          <w:bCs/>
          <w:iCs/>
          <w:lang w:val="fr-FR"/>
        </w:rPr>
        <w:t xml:space="preserve"> </w:t>
      </w:r>
      <w:r w:rsidR="001971B9" w:rsidRPr="009070BD">
        <w:rPr>
          <w:b w:val="0"/>
          <w:bCs/>
          <w:iCs/>
        </w:rPr>
        <w:t>էլեկտրոտրանսպորտով</w:t>
      </w:r>
      <w:r w:rsidR="001971B9" w:rsidRPr="009070BD">
        <w:rPr>
          <w:b w:val="0"/>
          <w:bCs/>
          <w:iCs/>
          <w:lang w:val="fr-FR"/>
        </w:rPr>
        <w:t xml:space="preserve"> </w:t>
      </w:r>
      <w:r w:rsidR="001971B9" w:rsidRPr="009070BD">
        <w:rPr>
          <w:b w:val="0"/>
          <w:bCs/>
          <w:iCs/>
        </w:rPr>
        <w:t>ուղևորափոխադրումների</w:t>
      </w:r>
      <w:r w:rsidR="001971B9" w:rsidRPr="009070BD">
        <w:rPr>
          <w:b w:val="0"/>
          <w:bCs/>
          <w:iCs/>
          <w:lang w:val="fr-FR"/>
        </w:rPr>
        <w:t xml:space="preserve"> </w:t>
      </w:r>
      <w:r w:rsidR="001971B9" w:rsidRPr="009070BD">
        <w:rPr>
          <w:b w:val="0"/>
          <w:bCs/>
          <w:iCs/>
        </w:rPr>
        <w:t>ծառայությունների</w:t>
      </w:r>
      <w:r w:rsidR="001971B9" w:rsidRPr="009070BD">
        <w:rPr>
          <w:b w:val="0"/>
          <w:bCs/>
          <w:iCs/>
          <w:lang w:val="fr-FR"/>
        </w:rPr>
        <w:t xml:space="preserve"> </w:t>
      </w:r>
      <w:r w:rsidR="001971B9" w:rsidRPr="009070BD">
        <w:rPr>
          <w:b w:val="0"/>
          <w:bCs/>
          <w:iCs/>
        </w:rPr>
        <w:t>մատուցում</w:t>
      </w:r>
      <w:r w:rsidR="001971B9" w:rsidRPr="009070BD">
        <w:rPr>
          <w:b w:val="0"/>
          <w:bCs/>
          <w:iCs/>
          <w:lang w:val="fr-FR"/>
        </w:rPr>
        <w:t xml:space="preserve">» </w:t>
      </w:r>
      <w:r w:rsidR="001971B9" w:rsidRPr="009070BD">
        <w:rPr>
          <w:b w:val="0"/>
          <w:bCs/>
          <w:iCs/>
        </w:rPr>
        <w:t>միջոցառմամբ</w:t>
      </w:r>
      <w:r w:rsidR="001971B9" w:rsidRPr="009070BD">
        <w:rPr>
          <w:b w:val="0"/>
          <w:bCs/>
          <w:iCs/>
          <w:lang w:val="fr-FR"/>
        </w:rPr>
        <w:t xml:space="preserve"> </w:t>
      </w:r>
      <w:r w:rsidR="001971B9" w:rsidRPr="009070BD">
        <w:rPr>
          <w:b w:val="0"/>
          <w:bCs/>
          <w:iCs/>
        </w:rPr>
        <w:t>վերգետնյա</w:t>
      </w:r>
      <w:r w:rsidR="001971B9" w:rsidRPr="009070BD">
        <w:rPr>
          <w:b w:val="0"/>
          <w:bCs/>
          <w:iCs/>
          <w:lang w:val="fr-FR"/>
        </w:rPr>
        <w:t xml:space="preserve"> </w:t>
      </w:r>
      <w:r w:rsidR="001971B9" w:rsidRPr="009070BD">
        <w:rPr>
          <w:b w:val="0"/>
          <w:bCs/>
          <w:iCs/>
        </w:rPr>
        <w:t>էլեկտրատրանսպորտով</w:t>
      </w:r>
      <w:r w:rsidR="001971B9" w:rsidRPr="009070BD">
        <w:rPr>
          <w:b w:val="0"/>
          <w:bCs/>
          <w:iCs/>
          <w:lang w:val="fr-FR"/>
        </w:rPr>
        <w:t xml:space="preserve"> </w:t>
      </w:r>
      <w:r w:rsidR="001971B9" w:rsidRPr="009070BD">
        <w:rPr>
          <w:b w:val="0"/>
          <w:bCs/>
          <w:iCs/>
        </w:rPr>
        <w:t>ուղևորափո</w:t>
      </w:r>
      <w:r w:rsidR="001971B9" w:rsidRPr="009070BD">
        <w:rPr>
          <w:b w:val="0"/>
          <w:bCs/>
          <w:iCs/>
          <w:lang w:val="fr-FR"/>
        </w:rPr>
        <w:softHyphen/>
      </w:r>
      <w:r w:rsidR="001971B9" w:rsidRPr="009070BD">
        <w:rPr>
          <w:b w:val="0"/>
          <w:bCs/>
          <w:iCs/>
        </w:rPr>
        <w:t>խադրում</w:t>
      </w:r>
      <w:r w:rsidR="001971B9" w:rsidRPr="009070BD">
        <w:rPr>
          <w:b w:val="0"/>
          <w:bCs/>
          <w:iCs/>
          <w:lang w:val="fr-FR"/>
        </w:rPr>
        <w:softHyphen/>
      </w:r>
      <w:r w:rsidR="001971B9" w:rsidRPr="009070BD">
        <w:rPr>
          <w:b w:val="0"/>
          <w:bCs/>
          <w:iCs/>
        </w:rPr>
        <w:t>ների</w:t>
      </w:r>
      <w:r w:rsidR="001971B9" w:rsidRPr="009070BD">
        <w:rPr>
          <w:b w:val="0"/>
          <w:bCs/>
          <w:iCs/>
          <w:lang w:val="fr-FR"/>
        </w:rPr>
        <w:t xml:space="preserve"> </w:t>
      </w:r>
      <w:r w:rsidR="001971B9" w:rsidRPr="009070BD">
        <w:rPr>
          <w:b w:val="0"/>
          <w:bCs/>
          <w:iCs/>
        </w:rPr>
        <w:t>սպասարկման</w:t>
      </w:r>
      <w:r w:rsidR="001971B9" w:rsidRPr="009070BD">
        <w:rPr>
          <w:b w:val="0"/>
          <w:bCs/>
          <w:iCs/>
          <w:lang w:val="fr-FR"/>
        </w:rPr>
        <w:t xml:space="preserve"> </w:t>
      </w:r>
      <w:r w:rsidR="001971B9" w:rsidRPr="009070BD">
        <w:rPr>
          <w:b w:val="0"/>
          <w:bCs/>
          <w:iCs/>
        </w:rPr>
        <w:t>որակի</w:t>
      </w:r>
      <w:r w:rsidR="001971B9" w:rsidRPr="009070BD">
        <w:rPr>
          <w:b w:val="0"/>
          <w:bCs/>
          <w:iCs/>
          <w:lang w:val="fr-FR"/>
        </w:rPr>
        <w:t xml:space="preserve"> </w:t>
      </w:r>
      <w:r w:rsidR="001971B9" w:rsidRPr="009070BD">
        <w:rPr>
          <w:b w:val="0"/>
          <w:bCs/>
          <w:iCs/>
        </w:rPr>
        <w:t>բարելավման</w:t>
      </w:r>
      <w:r w:rsidR="001971B9" w:rsidRPr="009070BD">
        <w:rPr>
          <w:b w:val="0"/>
          <w:bCs/>
          <w:iCs/>
          <w:lang w:val="fr-FR"/>
        </w:rPr>
        <w:t xml:space="preserve"> </w:t>
      </w:r>
      <w:r w:rsidR="001971B9" w:rsidRPr="009070BD">
        <w:rPr>
          <w:b w:val="0"/>
          <w:bCs/>
          <w:iCs/>
        </w:rPr>
        <w:t>և</w:t>
      </w:r>
      <w:r w:rsidR="001971B9" w:rsidRPr="009070BD">
        <w:rPr>
          <w:b w:val="0"/>
          <w:bCs/>
          <w:iCs/>
          <w:lang w:val="fr-FR"/>
        </w:rPr>
        <w:t xml:space="preserve"> </w:t>
      </w:r>
      <w:r w:rsidR="001971B9" w:rsidRPr="009070BD">
        <w:rPr>
          <w:b w:val="0"/>
          <w:bCs/>
          <w:iCs/>
        </w:rPr>
        <w:t>երթևեկության</w:t>
      </w:r>
      <w:r w:rsidR="001971B9" w:rsidRPr="009070BD">
        <w:rPr>
          <w:b w:val="0"/>
          <w:bCs/>
          <w:iCs/>
          <w:lang w:val="fr-FR"/>
        </w:rPr>
        <w:t xml:space="preserve"> </w:t>
      </w:r>
      <w:r w:rsidR="001971B9" w:rsidRPr="009070BD">
        <w:rPr>
          <w:b w:val="0"/>
          <w:bCs/>
          <w:iCs/>
        </w:rPr>
        <w:t>անվտանգության</w:t>
      </w:r>
      <w:r w:rsidR="001971B9" w:rsidRPr="009070BD">
        <w:rPr>
          <w:b w:val="0"/>
          <w:bCs/>
          <w:iCs/>
          <w:lang w:val="fr-FR"/>
        </w:rPr>
        <w:t xml:space="preserve"> </w:t>
      </w:r>
      <w:r w:rsidR="001971B9" w:rsidRPr="009070BD">
        <w:rPr>
          <w:b w:val="0"/>
          <w:bCs/>
          <w:iCs/>
        </w:rPr>
        <w:t>ապահովման</w:t>
      </w:r>
      <w:r w:rsidR="001971B9" w:rsidRPr="009070BD">
        <w:rPr>
          <w:b w:val="0"/>
          <w:bCs/>
          <w:iCs/>
          <w:lang w:val="fr-FR"/>
        </w:rPr>
        <w:t xml:space="preserve"> </w:t>
      </w:r>
      <w:r w:rsidR="001971B9" w:rsidRPr="009070BD">
        <w:rPr>
          <w:b w:val="0"/>
          <w:bCs/>
          <w:iCs/>
        </w:rPr>
        <w:t>նպատակով</w:t>
      </w:r>
      <w:r w:rsidR="001971B9" w:rsidRPr="009070BD">
        <w:rPr>
          <w:b w:val="0"/>
          <w:bCs/>
          <w:iCs/>
          <w:lang w:val="fr-FR"/>
        </w:rPr>
        <w:t xml:space="preserve"> </w:t>
      </w:r>
      <w:r w:rsidR="001971B9" w:rsidRPr="009070BD">
        <w:rPr>
          <w:b w:val="0"/>
          <w:bCs/>
          <w:iCs/>
        </w:rPr>
        <w:t>ՀՀ</w:t>
      </w:r>
      <w:r w:rsidR="001971B9" w:rsidRPr="009070BD">
        <w:rPr>
          <w:b w:val="0"/>
          <w:bCs/>
          <w:iCs/>
          <w:lang w:val="fr-FR"/>
        </w:rPr>
        <w:t xml:space="preserve"> 2021 </w:t>
      </w:r>
      <w:r w:rsidR="001971B9" w:rsidRPr="009070BD">
        <w:rPr>
          <w:b w:val="0"/>
          <w:bCs/>
          <w:iCs/>
        </w:rPr>
        <w:t>թվականի</w:t>
      </w:r>
      <w:r w:rsidR="001971B9" w:rsidRPr="009070BD">
        <w:rPr>
          <w:b w:val="0"/>
          <w:bCs/>
          <w:iCs/>
          <w:lang w:val="en-US"/>
        </w:rPr>
        <w:t>ն</w:t>
      </w:r>
      <w:r w:rsidR="001971B9" w:rsidRPr="009070BD">
        <w:rPr>
          <w:b w:val="0"/>
          <w:bCs/>
          <w:iCs/>
          <w:lang w:val="fr-FR"/>
        </w:rPr>
        <w:t xml:space="preserve"> </w:t>
      </w:r>
      <w:r w:rsidR="001971B9" w:rsidRPr="009070BD">
        <w:rPr>
          <w:b w:val="0"/>
          <w:bCs/>
          <w:iCs/>
          <w:lang w:val="en-US"/>
        </w:rPr>
        <w:t>նա</w:t>
      </w:r>
      <w:r w:rsidR="001971B9" w:rsidRPr="009070BD">
        <w:rPr>
          <w:b w:val="0"/>
          <w:bCs/>
          <w:iCs/>
        </w:rPr>
        <w:t>խա</w:t>
      </w:r>
      <w:r w:rsidR="001971B9" w:rsidRPr="009070BD">
        <w:rPr>
          <w:b w:val="0"/>
          <w:bCs/>
          <w:iCs/>
          <w:lang w:val="fr-FR"/>
        </w:rPr>
        <w:softHyphen/>
      </w:r>
      <w:r w:rsidR="001971B9" w:rsidRPr="009070BD">
        <w:rPr>
          <w:b w:val="0"/>
          <w:bCs/>
          <w:iCs/>
        </w:rPr>
        <w:t>տեսվում</w:t>
      </w:r>
      <w:r w:rsidR="001971B9" w:rsidRPr="009070BD">
        <w:rPr>
          <w:b w:val="0"/>
          <w:bCs/>
          <w:iCs/>
          <w:lang w:val="fr-FR"/>
        </w:rPr>
        <w:t xml:space="preserve"> </w:t>
      </w:r>
      <w:r w:rsidR="001971B9" w:rsidRPr="009070BD">
        <w:rPr>
          <w:b w:val="0"/>
          <w:bCs/>
          <w:iCs/>
        </w:rPr>
        <w:t>է</w:t>
      </w:r>
      <w:r w:rsidR="001971B9" w:rsidRPr="009070BD">
        <w:rPr>
          <w:b w:val="0"/>
          <w:bCs/>
          <w:iCs/>
          <w:lang w:val="fr-FR"/>
        </w:rPr>
        <w:t xml:space="preserve"> հատկացնել 628.3 մլն դրամ (պահպանվել է 2020 </w:t>
      </w:r>
      <w:r w:rsidR="001971B9" w:rsidRPr="009070BD">
        <w:rPr>
          <w:b w:val="0"/>
          <w:bCs/>
          <w:iCs/>
        </w:rPr>
        <w:t>թվականի</w:t>
      </w:r>
      <w:r w:rsidR="001971B9" w:rsidRPr="009070BD">
        <w:rPr>
          <w:b w:val="0"/>
          <w:bCs/>
          <w:iCs/>
          <w:lang w:val="fr-FR"/>
        </w:rPr>
        <w:t xml:space="preserve"> մակարդակը), </w:t>
      </w:r>
      <w:r w:rsidR="001971B9" w:rsidRPr="009070BD">
        <w:rPr>
          <w:b w:val="0"/>
          <w:bCs/>
          <w:iCs/>
        </w:rPr>
        <w:t>որը</w:t>
      </w:r>
      <w:r w:rsidR="001971B9" w:rsidRPr="009070BD">
        <w:rPr>
          <w:b w:val="0"/>
          <w:bCs/>
          <w:iCs/>
          <w:lang w:val="fr-FR"/>
        </w:rPr>
        <w:t xml:space="preserve"> </w:t>
      </w:r>
      <w:r w:rsidR="001971B9" w:rsidRPr="009070BD">
        <w:rPr>
          <w:b w:val="0"/>
          <w:bCs/>
          <w:iCs/>
        </w:rPr>
        <w:t>կուղղվի</w:t>
      </w:r>
      <w:r w:rsidR="001971B9" w:rsidRPr="009070BD">
        <w:rPr>
          <w:b w:val="0"/>
          <w:bCs/>
          <w:iCs/>
          <w:lang w:val="fr-FR"/>
        </w:rPr>
        <w:t xml:space="preserve"> «</w:t>
      </w:r>
      <w:r w:rsidR="001971B9" w:rsidRPr="009070BD">
        <w:rPr>
          <w:b w:val="0"/>
          <w:bCs/>
          <w:iCs/>
        </w:rPr>
        <w:t>Երևանի</w:t>
      </w:r>
      <w:r w:rsidR="001971B9" w:rsidRPr="009070BD">
        <w:rPr>
          <w:b w:val="0"/>
          <w:bCs/>
          <w:iCs/>
          <w:lang w:val="fr-FR"/>
        </w:rPr>
        <w:t xml:space="preserve"> </w:t>
      </w:r>
      <w:r w:rsidR="001971B9" w:rsidRPr="009070BD">
        <w:rPr>
          <w:b w:val="0"/>
          <w:bCs/>
          <w:iCs/>
        </w:rPr>
        <w:t>էլեկտրատրանսպորտ</w:t>
      </w:r>
      <w:r w:rsidR="001971B9" w:rsidRPr="009070BD">
        <w:rPr>
          <w:b w:val="0"/>
          <w:bCs/>
          <w:iCs/>
          <w:lang w:val="fr-FR"/>
        </w:rPr>
        <w:t xml:space="preserve">» </w:t>
      </w:r>
      <w:r w:rsidR="001971B9" w:rsidRPr="009070BD">
        <w:rPr>
          <w:b w:val="0"/>
          <w:bCs/>
          <w:iCs/>
        </w:rPr>
        <w:t>ՓԲԸ</w:t>
      </w:r>
      <w:r w:rsidR="001971B9" w:rsidRPr="009070BD">
        <w:rPr>
          <w:b w:val="0"/>
          <w:bCs/>
          <w:iCs/>
          <w:lang w:val="fr-FR"/>
        </w:rPr>
        <w:t>-</w:t>
      </w:r>
      <w:r w:rsidR="001971B9" w:rsidRPr="009070BD">
        <w:rPr>
          <w:b w:val="0"/>
          <w:bCs/>
          <w:iCs/>
        </w:rPr>
        <w:t>ի</w:t>
      </w:r>
      <w:r w:rsidR="001971B9" w:rsidRPr="009070BD">
        <w:rPr>
          <w:b w:val="0"/>
          <w:bCs/>
          <w:iCs/>
          <w:lang w:val="fr-FR"/>
        </w:rPr>
        <w:t xml:space="preserve"> </w:t>
      </w:r>
      <w:r w:rsidR="001971B9" w:rsidRPr="009070BD">
        <w:rPr>
          <w:b w:val="0"/>
          <w:bCs/>
          <w:iCs/>
        </w:rPr>
        <w:t>կողմից</w:t>
      </w:r>
      <w:r w:rsidR="001971B9" w:rsidRPr="009070BD">
        <w:rPr>
          <w:b w:val="0"/>
          <w:bCs/>
          <w:iCs/>
          <w:lang w:val="fr-FR"/>
        </w:rPr>
        <w:t xml:space="preserve"> </w:t>
      </w:r>
      <w:r w:rsidR="001971B9" w:rsidRPr="009070BD">
        <w:rPr>
          <w:b w:val="0"/>
          <w:bCs/>
          <w:iCs/>
        </w:rPr>
        <w:t>ուղևորափոխադրման</w:t>
      </w:r>
      <w:r w:rsidR="001971B9" w:rsidRPr="009070BD">
        <w:rPr>
          <w:b w:val="0"/>
          <w:bCs/>
          <w:iCs/>
          <w:lang w:val="fr-FR"/>
        </w:rPr>
        <w:t xml:space="preserve"> </w:t>
      </w:r>
      <w:r w:rsidR="001971B9" w:rsidRPr="009070BD">
        <w:rPr>
          <w:b w:val="0"/>
          <w:bCs/>
          <w:iCs/>
        </w:rPr>
        <w:t>ծառայությունների</w:t>
      </w:r>
      <w:r w:rsidR="001971B9" w:rsidRPr="009070BD">
        <w:rPr>
          <w:b w:val="0"/>
          <w:bCs/>
          <w:iCs/>
          <w:lang w:val="fr-FR"/>
        </w:rPr>
        <w:t xml:space="preserve"> </w:t>
      </w:r>
      <w:r w:rsidR="001971B9" w:rsidRPr="009070BD">
        <w:rPr>
          <w:b w:val="0"/>
          <w:bCs/>
          <w:iCs/>
        </w:rPr>
        <w:t>մատուցման</w:t>
      </w:r>
      <w:r w:rsidR="001971B9" w:rsidRPr="009070BD">
        <w:rPr>
          <w:b w:val="0"/>
          <w:bCs/>
          <w:iCs/>
          <w:lang w:val="fr-FR"/>
        </w:rPr>
        <w:t xml:space="preserve"> </w:t>
      </w:r>
      <w:r w:rsidR="001971B9" w:rsidRPr="009070BD">
        <w:rPr>
          <w:b w:val="0"/>
          <w:bCs/>
          <w:iCs/>
        </w:rPr>
        <w:t>արդյունքում</w:t>
      </w:r>
      <w:r w:rsidR="001971B9" w:rsidRPr="009070BD">
        <w:rPr>
          <w:b w:val="0"/>
          <w:bCs/>
          <w:iCs/>
          <w:lang w:val="fr-FR"/>
        </w:rPr>
        <w:t xml:space="preserve"> </w:t>
      </w:r>
      <w:r w:rsidR="001971B9" w:rsidRPr="009070BD">
        <w:rPr>
          <w:b w:val="0"/>
          <w:bCs/>
          <w:iCs/>
        </w:rPr>
        <w:t>կրած</w:t>
      </w:r>
      <w:r w:rsidR="001971B9" w:rsidRPr="009070BD">
        <w:rPr>
          <w:b w:val="0"/>
          <w:bCs/>
          <w:iCs/>
          <w:lang w:val="fr-FR"/>
        </w:rPr>
        <w:t xml:space="preserve"> </w:t>
      </w:r>
      <w:r w:rsidR="001971B9" w:rsidRPr="009070BD">
        <w:rPr>
          <w:b w:val="0"/>
          <w:bCs/>
          <w:iCs/>
        </w:rPr>
        <w:t>վնասի</w:t>
      </w:r>
      <w:r w:rsidR="001971B9" w:rsidRPr="009070BD">
        <w:rPr>
          <w:b w:val="0"/>
          <w:bCs/>
          <w:iCs/>
          <w:lang w:val="fr-FR"/>
        </w:rPr>
        <w:t xml:space="preserve"> </w:t>
      </w:r>
      <w:r w:rsidR="001971B9" w:rsidRPr="009070BD">
        <w:rPr>
          <w:b w:val="0"/>
          <w:bCs/>
          <w:iCs/>
        </w:rPr>
        <w:t>փոխհատուցմանը</w:t>
      </w:r>
      <w:r w:rsidR="001971B9"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rPr>
        <w:t>Միջոցառման</w:t>
      </w:r>
      <w:r w:rsidRPr="009070BD">
        <w:rPr>
          <w:b w:val="0"/>
          <w:bCs/>
          <w:iCs/>
          <w:lang w:val="fr-FR"/>
        </w:rPr>
        <w:t xml:space="preserve"> </w:t>
      </w:r>
      <w:r w:rsidRPr="009070BD">
        <w:rPr>
          <w:b w:val="0"/>
          <w:bCs/>
          <w:iCs/>
        </w:rPr>
        <w:t>նպատակն</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աջակցել</w:t>
      </w:r>
      <w:r w:rsidRPr="009070BD">
        <w:rPr>
          <w:b w:val="0"/>
          <w:bCs/>
          <w:iCs/>
          <w:lang w:val="fr-FR"/>
        </w:rPr>
        <w:t xml:space="preserve"> </w:t>
      </w:r>
      <w:r w:rsidRPr="009070BD">
        <w:rPr>
          <w:b w:val="0"/>
          <w:bCs/>
          <w:iCs/>
        </w:rPr>
        <w:t>Երևանի</w:t>
      </w:r>
      <w:r w:rsidRPr="009070BD">
        <w:rPr>
          <w:b w:val="0"/>
          <w:bCs/>
          <w:iCs/>
          <w:lang w:val="fr-FR"/>
        </w:rPr>
        <w:t xml:space="preserve"> </w:t>
      </w:r>
      <w:r w:rsidRPr="009070BD">
        <w:rPr>
          <w:b w:val="0"/>
          <w:bCs/>
          <w:iCs/>
        </w:rPr>
        <w:t>քաղաքապետարանին</w:t>
      </w:r>
      <w:r w:rsidRPr="009070BD">
        <w:rPr>
          <w:b w:val="0"/>
          <w:bCs/>
          <w:iCs/>
          <w:lang w:val="fr-FR"/>
        </w:rPr>
        <w:t xml:space="preserve">` </w:t>
      </w:r>
      <w:r w:rsidRPr="009070BD">
        <w:rPr>
          <w:b w:val="0"/>
          <w:bCs/>
          <w:iCs/>
        </w:rPr>
        <w:t>վերգետնյա</w:t>
      </w:r>
      <w:r w:rsidRPr="009070BD">
        <w:rPr>
          <w:b w:val="0"/>
          <w:bCs/>
          <w:iCs/>
          <w:lang w:val="fr-FR"/>
        </w:rPr>
        <w:t xml:space="preserve"> </w:t>
      </w:r>
      <w:r w:rsidRPr="009070BD">
        <w:rPr>
          <w:b w:val="0"/>
          <w:bCs/>
          <w:iCs/>
        </w:rPr>
        <w:t>էլեկտրատրանս</w:t>
      </w:r>
      <w:r w:rsidRPr="009070BD">
        <w:rPr>
          <w:b w:val="0"/>
          <w:bCs/>
          <w:iCs/>
          <w:lang w:val="fr-FR"/>
        </w:rPr>
        <w:softHyphen/>
      </w:r>
      <w:r w:rsidRPr="009070BD">
        <w:rPr>
          <w:b w:val="0"/>
          <w:bCs/>
          <w:iCs/>
        </w:rPr>
        <w:t>պորտով</w:t>
      </w:r>
      <w:r w:rsidRPr="009070BD">
        <w:rPr>
          <w:b w:val="0"/>
          <w:bCs/>
          <w:iCs/>
          <w:lang w:val="fr-FR"/>
        </w:rPr>
        <w:t xml:space="preserve"> </w:t>
      </w:r>
      <w:r w:rsidRPr="009070BD">
        <w:rPr>
          <w:b w:val="0"/>
          <w:bCs/>
          <w:iCs/>
        </w:rPr>
        <w:t>ուղևորափոխադրման</w:t>
      </w:r>
      <w:r w:rsidRPr="009070BD">
        <w:rPr>
          <w:b w:val="0"/>
          <w:bCs/>
          <w:iCs/>
          <w:lang w:val="fr-FR"/>
        </w:rPr>
        <w:t xml:space="preserve"> </w:t>
      </w:r>
      <w:r w:rsidRPr="009070BD">
        <w:rPr>
          <w:b w:val="0"/>
          <w:bCs/>
          <w:iCs/>
        </w:rPr>
        <w:t>ծառայությունների</w:t>
      </w:r>
      <w:r w:rsidRPr="009070BD">
        <w:rPr>
          <w:b w:val="0"/>
          <w:bCs/>
          <w:iCs/>
          <w:lang w:val="fr-FR"/>
        </w:rPr>
        <w:t xml:space="preserve"> </w:t>
      </w:r>
      <w:r w:rsidRPr="009070BD">
        <w:rPr>
          <w:b w:val="0"/>
          <w:bCs/>
          <w:iCs/>
        </w:rPr>
        <w:t>սուբսիդավորման</w:t>
      </w:r>
      <w:r w:rsidRPr="009070BD">
        <w:rPr>
          <w:b w:val="0"/>
          <w:bCs/>
          <w:iCs/>
          <w:lang w:val="fr-FR"/>
        </w:rPr>
        <w:t xml:space="preserve"> </w:t>
      </w:r>
      <w:r w:rsidRPr="009070BD">
        <w:rPr>
          <w:b w:val="0"/>
          <w:bCs/>
          <w:iCs/>
        </w:rPr>
        <w:t>նպատակով</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1</w:t>
      </w:r>
      <w:r w:rsidR="00C1673D">
        <w:rPr>
          <w:b w:val="0"/>
          <w:bCs/>
          <w:iCs/>
          <w:lang w:val="fr-FR"/>
        </w:rPr>
        <w:t>1</w:t>
      </w:r>
      <w:r w:rsidRPr="009070BD">
        <w:rPr>
          <w:b w:val="0"/>
          <w:bCs/>
          <w:iCs/>
          <w:lang w:val="fr-FR"/>
        </w:rPr>
        <w:t xml:space="preserve">.3 «Պետական աջակցություն </w:t>
      </w:r>
      <w:r w:rsidRPr="009070BD">
        <w:rPr>
          <w:b w:val="0"/>
          <w:bCs/>
          <w:iCs/>
        </w:rPr>
        <w:t>Երևան</w:t>
      </w:r>
      <w:r w:rsidRPr="009070BD">
        <w:rPr>
          <w:b w:val="0"/>
          <w:bCs/>
          <w:iCs/>
          <w:lang w:val="fr-FR"/>
        </w:rPr>
        <w:t xml:space="preserve"> </w:t>
      </w:r>
      <w:r w:rsidRPr="009070BD">
        <w:rPr>
          <w:b w:val="0"/>
          <w:bCs/>
          <w:iCs/>
        </w:rPr>
        <w:t>քաղաքի</w:t>
      </w:r>
      <w:r w:rsidRPr="009070BD">
        <w:rPr>
          <w:b w:val="0"/>
          <w:bCs/>
          <w:iCs/>
          <w:lang w:val="fr-FR"/>
        </w:rPr>
        <w:t xml:space="preserve"> </w:t>
      </w:r>
      <w:r w:rsidRPr="009070BD">
        <w:rPr>
          <w:b w:val="0"/>
          <w:bCs/>
          <w:iCs/>
        </w:rPr>
        <w:t>փողոցների</w:t>
      </w:r>
      <w:r w:rsidRPr="009070BD">
        <w:rPr>
          <w:b w:val="0"/>
          <w:bCs/>
          <w:iCs/>
          <w:lang w:val="fr-FR"/>
        </w:rPr>
        <w:t xml:space="preserve"> </w:t>
      </w:r>
      <w:r w:rsidRPr="009070BD">
        <w:rPr>
          <w:b w:val="0"/>
          <w:bCs/>
          <w:iCs/>
        </w:rPr>
        <w:t>ընթացիկ</w:t>
      </w:r>
      <w:r w:rsidRPr="009070BD">
        <w:rPr>
          <w:b w:val="0"/>
          <w:bCs/>
          <w:iCs/>
          <w:lang w:val="fr-FR"/>
        </w:rPr>
        <w:t xml:space="preserve"> </w:t>
      </w:r>
      <w:r w:rsidRPr="009070BD">
        <w:rPr>
          <w:b w:val="0"/>
          <w:bCs/>
          <w:iCs/>
        </w:rPr>
        <w:t>նորոգման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ճաքալցման</w:t>
      </w:r>
      <w:r w:rsidRPr="009070BD">
        <w:rPr>
          <w:b w:val="0"/>
          <w:bCs/>
          <w:iCs/>
          <w:lang w:val="fr-FR"/>
        </w:rPr>
        <w:t xml:space="preserve"> </w:t>
      </w:r>
      <w:r w:rsidRPr="009070BD">
        <w:rPr>
          <w:b w:val="0"/>
          <w:bCs/>
          <w:iCs/>
        </w:rPr>
        <w:t>աշխատանքների</w:t>
      </w:r>
      <w:r w:rsidRPr="009070BD">
        <w:rPr>
          <w:b w:val="0"/>
          <w:bCs/>
          <w:iCs/>
          <w:lang w:val="fr-FR"/>
        </w:rPr>
        <w:t xml:space="preserve"> </w:t>
      </w:r>
      <w:r w:rsidRPr="009070BD">
        <w:rPr>
          <w:b w:val="0"/>
          <w:bCs/>
          <w:iCs/>
        </w:rPr>
        <w:t>իրականացման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աջակցություն</w:t>
      </w:r>
      <w:r w:rsidRPr="009070BD">
        <w:rPr>
          <w:b w:val="0"/>
          <w:bCs/>
          <w:iCs/>
          <w:lang w:val="fr-FR"/>
        </w:rPr>
        <w:t xml:space="preserve"> </w:t>
      </w:r>
      <w:r w:rsidRPr="009070BD">
        <w:rPr>
          <w:b w:val="0"/>
          <w:bCs/>
          <w:iCs/>
        </w:rPr>
        <w:t>Երևան</w:t>
      </w:r>
      <w:r w:rsidRPr="009070BD">
        <w:rPr>
          <w:b w:val="0"/>
          <w:bCs/>
          <w:iCs/>
          <w:lang w:val="fr-FR"/>
        </w:rPr>
        <w:t xml:space="preserve"> </w:t>
      </w:r>
      <w:r w:rsidRPr="009070BD">
        <w:rPr>
          <w:b w:val="0"/>
          <w:bCs/>
          <w:iCs/>
        </w:rPr>
        <w:t>քաղաքի</w:t>
      </w:r>
      <w:r w:rsidRPr="009070BD">
        <w:rPr>
          <w:b w:val="0"/>
          <w:bCs/>
          <w:iCs/>
          <w:lang w:val="fr-FR"/>
        </w:rPr>
        <w:t xml:space="preserve"> </w:t>
      </w:r>
      <w:r w:rsidRPr="009070BD">
        <w:rPr>
          <w:b w:val="0"/>
          <w:bCs/>
          <w:iCs/>
        </w:rPr>
        <w:t>արտաքին</w:t>
      </w:r>
      <w:r w:rsidRPr="009070BD">
        <w:rPr>
          <w:b w:val="0"/>
          <w:bCs/>
          <w:iCs/>
          <w:lang w:val="fr-FR"/>
        </w:rPr>
        <w:t xml:space="preserve"> </w:t>
      </w:r>
      <w:r w:rsidRPr="009070BD">
        <w:rPr>
          <w:b w:val="0"/>
          <w:bCs/>
          <w:iCs/>
        </w:rPr>
        <w:t>լուսավորության</w:t>
      </w:r>
      <w:r w:rsidRPr="009070BD">
        <w:rPr>
          <w:b w:val="0"/>
          <w:bCs/>
          <w:iCs/>
          <w:lang w:val="fr-FR"/>
        </w:rPr>
        <w:t xml:space="preserve"> </w:t>
      </w:r>
      <w:r w:rsidRPr="009070BD">
        <w:rPr>
          <w:b w:val="0"/>
          <w:bCs/>
          <w:iCs/>
        </w:rPr>
        <w:t>ցանցի</w:t>
      </w:r>
      <w:r w:rsidRPr="009070BD">
        <w:rPr>
          <w:b w:val="0"/>
          <w:bCs/>
          <w:iCs/>
          <w:lang w:val="fr-FR"/>
        </w:rPr>
        <w:t xml:space="preserve"> </w:t>
      </w:r>
      <w:r w:rsidRPr="009070BD">
        <w:rPr>
          <w:b w:val="0"/>
          <w:bCs/>
          <w:iCs/>
        </w:rPr>
        <w:t>շահագործման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պահպանման</w:t>
      </w:r>
      <w:r w:rsidRPr="009070BD">
        <w:rPr>
          <w:b w:val="0"/>
          <w:bCs/>
          <w:iCs/>
          <w:lang w:val="fr-FR"/>
        </w:rPr>
        <w:t xml:space="preserve"> </w:t>
      </w:r>
      <w:r w:rsidRPr="009070BD">
        <w:rPr>
          <w:b w:val="0"/>
          <w:bCs/>
          <w:iCs/>
        </w:rPr>
        <w:t>աշխատանքների</w:t>
      </w:r>
      <w:r w:rsidRPr="009070BD">
        <w:rPr>
          <w:b w:val="0"/>
          <w:bCs/>
          <w:iCs/>
          <w:lang w:val="fr-FR"/>
        </w:rPr>
        <w:t xml:space="preserve"> </w:t>
      </w:r>
      <w:r w:rsidRPr="009070BD">
        <w:rPr>
          <w:b w:val="0"/>
          <w:bCs/>
          <w:iCs/>
        </w:rPr>
        <w:t>իրականացման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միջոցառումների</w:t>
      </w:r>
      <w:r w:rsidRPr="009070BD">
        <w:rPr>
          <w:b w:val="0"/>
          <w:bCs/>
          <w:iCs/>
          <w:lang w:val="fr-FR"/>
        </w:rPr>
        <w:t xml:space="preserve"> </w:t>
      </w:r>
      <w:r w:rsidRPr="009070BD">
        <w:rPr>
          <w:b w:val="0"/>
          <w:bCs/>
          <w:iCs/>
        </w:rPr>
        <w:t>գծով</w:t>
      </w:r>
      <w:r w:rsidRPr="009070BD">
        <w:rPr>
          <w:b w:val="0"/>
          <w:bCs/>
          <w:iCs/>
          <w:lang w:val="fr-FR"/>
        </w:rPr>
        <w:t xml:space="preserve"> </w:t>
      </w:r>
      <w:r w:rsidRPr="009070BD">
        <w:rPr>
          <w:b w:val="0"/>
          <w:bCs/>
          <w:iCs/>
        </w:rPr>
        <w:t>ՀՀ</w:t>
      </w:r>
      <w:r w:rsidRPr="009070BD">
        <w:rPr>
          <w:b w:val="0"/>
          <w:bCs/>
          <w:iCs/>
          <w:lang w:val="fr-FR"/>
        </w:rPr>
        <w:t xml:space="preserve"> 2021 </w:t>
      </w:r>
      <w:r w:rsidRPr="009070BD">
        <w:rPr>
          <w:b w:val="0"/>
          <w:bCs/>
          <w:iCs/>
        </w:rPr>
        <w:t>թվականի</w:t>
      </w:r>
      <w:r w:rsidRPr="009070BD">
        <w:rPr>
          <w:b w:val="0"/>
          <w:bCs/>
          <w:iCs/>
          <w:lang w:val="en-US"/>
        </w:rPr>
        <w:t>ն</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հատկացնել </w:t>
      </w:r>
      <w:r w:rsidRPr="009070BD">
        <w:rPr>
          <w:b w:val="0"/>
          <w:bCs/>
          <w:iCs/>
        </w:rPr>
        <w:t>համապատասխանաբար</w:t>
      </w:r>
      <w:r w:rsidRPr="009070BD">
        <w:rPr>
          <w:b w:val="0"/>
          <w:bCs/>
          <w:iCs/>
          <w:lang w:val="fr-FR"/>
        </w:rPr>
        <w:t xml:space="preserve"> 3,284.0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և</w:t>
      </w:r>
      <w:r w:rsidRPr="009070BD">
        <w:rPr>
          <w:b w:val="0"/>
          <w:bCs/>
          <w:iCs/>
          <w:lang w:val="fr-FR"/>
        </w:rPr>
        <w:t xml:space="preserve"> 2,229.9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բյուջեով</w:t>
      </w:r>
      <w:r w:rsidRPr="009070BD">
        <w:rPr>
          <w:b w:val="0"/>
          <w:bCs/>
          <w:iCs/>
          <w:lang w:val="fr-FR"/>
        </w:rPr>
        <w:t xml:space="preserve"> </w:t>
      </w:r>
      <w:r w:rsidRPr="009070BD">
        <w:rPr>
          <w:b w:val="0"/>
          <w:bCs/>
          <w:iCs/>
        </w:rPr>
        <w:t>հաստատված</w:t>
      </w:r>
      <w:r w:rsidRPr="009070BD">
        <w:rPr>
          <w:b w:val="0"/>
          <w:bCs/>
          <w:iCs/>
          <w:lang w:val="fr-FR"/>
        </w:rPr>
        <w:t xml:space="preserve"> </w:t>
      </w:r>
      <w:r w:rsidRPr="009070BD">
        <w:rPr>
          <w:b w:val="0"/>
          <w:bCs/>
          <w:iCs/>
        </w:rPr>
        <w:t>գումարների</w:t>
      </w:r>
      <w:r w:rsidRPr="009070BD">
        <w:rPr>
          <w:b w:val="0"/>
          <w:bCs/>
          <w:iCs/>
          <w:lang w:val="fr-FR"/>
        </w:rPr>
        <w:t xml:space="preserve"> </w:t>
      </w:r>
      <w:r w:rsidRPr="009070BD">
        <w:rPr>
          <w:b w:val="0"/>
          <w:bCs/>
          <w:iCs/>
        </w:rPr>
        <w:t>չափով</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rPr>
        <w:t>Նշված</w:t>
      </w:r>
      <w:r w:rsidRPr="009070BD">
        <w:rPr>
          <w:b w:val="0"/>
          <w:bCs/>
          <w:iCs/>
          <w:lang w:val="fr-FR"/>
        </w:rPr>
        <w:t xml:space="preserve"> </w:t>
      </w:r>
      <w:r w:rsidRPr="009070BD">
        <w:rPr>
          <w:b w:val="0"/>
          <w:bCs/>
          <w:iCs/>
        </w:rPr>
        <w:t>միջոցառումների</w:t>
      </w:r>
      <w:r w:rsidRPr="009070BD">
        <w:rPr>
          <w:b w:val="0"/>
          <w:bCs/>
          <w:iCs/>
          <w:lang w:val="fr-FR"/>
        </w:rPr>
        <w:t xml:space="preserve"> </w:t>
      </w:r>
      <w:r w:rsidRPr="009070BD">
        <w:rPr>
          <w:b w:val="0"/>
          <w:bCs/>
          <w:iCs/>
        </w:rPr>
        <w:t>նպատակն</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աջակցել</w:t>
      </w:r>
      <w:r w:rsidRPr="009070BD">
        <w:rPr>
          <w:b w:val="0"/>
          <w:bCs/>
          <w:iCs/>
          <w:lang w:val="fr-FR"/>
        </w:rPr>
        <w:t xml:space="preserve"> </w:t>
      </w:r>
      <w:r w:rsidRPr="009070BD">
        <w:rPr>
          <w:b w:val="0"/>
          <w:bCs/>
          <w:iCs/>
        </w:rPr>
        <w:t>Երևանի</w:t>
      </w:r>
      <w:r w:rsidRPr="009070BD">
        <w:rPr>
          <w:b w:val="0"/>
          <w:bCs/>
          <w:iCs/>
          <w:lang w:val="fr-FR"/>
        </w:rPr>
        <w:t xml:space="preserve"> </w:t>
      </w:r>
      <w:r w:rsidRPr="009070BD">
        <w:rPr>
          <w:b w:val="0"/>
          <w:bCs/>
          <w:iCs/>
        </w:rPr>
        <w:t>քաղաքապետարանին</w:t>
      </w:r>
      <w:r w:rsidRPr="009070BD">
        <w:rPr>
          <w:b w:val="0"/>
          <w:bCs/>
          <w:iCs/>
          <w:lang w:val="fr-FR"/>
        </w:rPr>
        <w:t xml:space="preserve">` </w:t>
      </w:r>
      <w:r w:rsidRPr="009070BD">
        <w:rPr>
          <w:b w:val="0"/>
          <w:bCs/>
          <w:iCs/>
        </w:rPr>
        <w:t>Երևան</w:t>
      </w:r>
      <w:r w:rsidRPr="009070BD">
        <w:rPr>
          <w:b w:val="0"/>
          <w:bCs/>
          <w:iCs/>
          <w:lang w:val="fr-FR"/>
        </w:rPr>
        <w:t xml:space="preserve"> </w:t>
      </w:r>
      <w:r w:rsidRPr="009070BD">
        <w:rPr>
          <w:b w:val="0"/>
          <w:bCs/>
          <w:iCs/>
        </w:rPr>
        <w:t>քաղաքի</w:t>
      </w:r>
      <w:r w:rsidRPr="009070BD">
        <w:rPr>
          <w:b w:val="0"/>
          <w:bCs/>
          <w:iCs/>
          <w:lang w:val="fr-FR"/>
        </w:rPr>
        <w:t xml:space="preserve"> </w:t>
      </w:r>
      <w:r w:rsidRPr="009070BD">
        <w:rPr>
          <w:b w:val="0"/>
          <w:bCs/>
          <w:iCs/>
        </w:rPr>
        <w:t>փողոցների</w:t>
      </w:r>
      <w:r w:rsidRPr="009070BD">
        <w:rPr>
          <w:b w:val="0"/>
          <w:bCs/>
          <w:iCs/>
          <w:lang w:val="fr-FR"/>
        </w:rPr>
        <w:t xml:space="preserve"> </w:t>
      </w:r>
      <w:r w:rsidRPr="009070BD">
        <w:rPr>
          <w:b w:val="0"/>
          <w:bCs/>
          <w:iCs/>
        </w:rPr>
        <w:t>ընթացիկ</w:t>
      </w:r>
      <w:r w:rsidRPr="009070BD">
        <w:rPr>
          <w:b w:val="0"/>
          <w:bCs/>
          <w:iCs/>
          <w:lang w:val="fr-FR"/>
        </w:rPr>
        <w:t xml:space="preserve"> </w:t>
      </w:r>
      <w:r w:rsidRPr="009070BD">
        <w:rPr>
          <w:b w:val="0"/>
          <w:bCs/>
          <w:iCs/>
        </w:rPr>
        <w:t>նորոգման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արտաքին</w:t>
      </w:r>
      <w:r w:rsidRPr="009070BD">
        <w:rPr>
          <w:b w:val="0"/>
          <w:bCs/>
          <w:iCs/>
          <w:lang w:val="fr-FR"/>
        </w:rPr>
        <w:t xml:space="preserve"> </w:t>
      </w:r>
      <w:r w:rsidRPr="009070BD">
        <w:rPr>
          <w:b w:val="0"/>
          <w:bCs/>
          <w:iCs/>
        </w:rPr>
        <w:t>լուսավորության</w:t>
      </w:r>
      <w:r w:rsidRPr="009070BD">
        <w:rPr>
          <w:b w:val="0"/>
          <w:bCs/>
          <w:iCs/>
          <w:lang w:val="fr-FR"/>
        </w:rPr>
        <w:t xml:space="preserve"> </w:t>
      </w:r>
      <w:r w:rsidRPr="009070BD">
        <w:rPr>
          <w:b w:val="0"/>
          <w:bCs/>
          <w:iCs/>
        </w:rPr>
        <w:t>ցանցի</w:t>
      </w:r>
      <w:r w:rsidRPr="009070BD">
        <w:rPr>
          <w:b w:val="0"/>
          <w:bCs/>
          <w:iCs/>
          <w:lang w:val="fr-FR"/>
        </w:rPr>
        <w:t xml:space="preserve"> </w:t>
      </w:r>
      <w:r w:rsidRPr="009070BD">
        <w:rPr>
          <w:b w:val="0"/>
          <w:bCs/>
          <w:iCs/>
        </w:rPr>
        <w:t>շահագործման</w:t>
      </w:r>
      <w:r w:rsidRPr="009070BD">
        <w:rPr>
          <w:b w:val="0"/>
          <w:bCs/>
          <w:iCs/>
          <w:lang w:val="fr-FR"/>
        </w:rPr>
        <w:t xml:space="preserve"> </w:t>
      </w:r>
      <w:r w:rsidRPr="009070BD">
        <w:rPr>
          <w:b w:val="0"/>
          <w:bCs/>
          <w:iCs/>
        </w:rPr>
        <w:t>ու</w:t>
      </w:r>
      <w:r w:rsidRPr="009070BD">
        <w:rPr>
          <w:b w:val="0"/>
          <w:bCs/>
          <w:iCs/>
          <w:lang w:val="fr-FR"/>
        </w:rPr>
        <w:t xml:space="preserve"> </w:t>
      </w:r>
      <w:r w:rsidRPr="009070BD">
        <w:rPr>
          <w:b w:val="0"/>
          <w:bCs/>
          <w:iCs/>
        </w:rPr>
        <w:t>պահպանման</w:t>
      </w:r>
      <w:r w:rsidRPr="009070BD">
        <w:rPr>
          <w:b w:val="0"/>
          <w:bCs/>
          <w:iCs/>
          <w:lang w:val="fr-FR"/>
        </w:rPr>
        <w:t xml:space="preserve"> </w:t>
      </w:r>
      <w:r w:rsidRPr="009070BD">
        <w:rPr>
          <w:b w:val="0"/>
          <w:bCs/>
          <w:iCs/>
        </w:rPr>
        <w:t>աշխատանքների</w:t>
      </w:r>
      <w:r w:rsidRPr="009070BD">
        <w:rPr>
          <w:b w:val="0"/>
          <w:bCs/>
          <w:iCs/>
          <w:lang w:val="fr-FR"/>
        </w:rPr>
        <w:t xml:space="preserve"> </w:t>
      </w:r>
      <w:r w:rsidRPr="009070BD">
        <w:rPr>
          <w:b w:val="0"/>
          <w:bCs/>
          <w:iCs/>
        </w:rPr>
        <w:t>իրականացման</w:t>
      </w:r>
      <w:r w:rsidRPr="009070BD">
        <w:rPr>
          <w:b w:val="0"/>
          <w:bCs/>
          <w:iCs/>
          <w:lang w:val="fr-FR"/>
        </w:rPr>
        <w:t xml:space="preserve"> </w:t>
      </w:r>
      <w:r w:rsidRPr="009070BD">
        <w:rPr>
          <w:b w:val="0"/>
          <w:bCs/>
          <w:iCs/>
        </w:rPr>
        <w:t>նպատակով</w:t>
      </w:r>
      <w:r w:rsidRPr="009070BD">
        <w:rPr>
          <w:b w:val="0"/>
          <w:bCs/>
          <w:iCs/>
          <w:lang w:val="fr-FR"/>
        </w:rPr>
        <w:t>:</w:t>
      </w:r>
    </w:p>
    <w:p w:rsidR="001971B9" w:rsidRPr="009070BD" w:rsidRDefault="00C1673D" w:rsidP="007730AA">
      <w:pPr>
        <w:spacing w:before="0" w:line="276" w:lineRule="auto"/>
        <w:ind w:firstLine="720"/>
        <w:rPr>
          <w:bCs/>
          <w:iCs/>
          <w:lang w:val="hy-AM"/>
        </w:rPr>
      </w:pPr>
      <w:r>
        <w:rPr>
          <w:bCs/>
          <w:iCs/>
          <w:lang w:val="fr-FR"/>
        </w:rPr>
        <w:t>12.</w:t>
      </w:r>
      <w:r w:rsidR="001971B9" w:rsidRPr="009070BD">
        <w:rPr>
          <w:bCs/>
          <w:iCs/>
          <w:lang w:val="fr-FR"/>
        </w:rPr>
        <w:t xml:space="preserve"> Եվրոպական ներդրումային բանկի աջակցությամբ իրականացվող Երևանի էներգաարդյունավետության ծրագրին պետական աջակցություն միջոցառման</w:t>
      </w:r>
      <w:r w:rsidR="001971B9" w:rsidRPr="009070BD">
        <w:rPr>
          <w:b w:val="0"/>
          <w:bCs/>
          <w:iCs/>
          <w:lang w:val="hy-AM"/>
        </w:rPr>
        <w:t xml:space="preserve"> նպատակն է աջակցել Երևանի քաղաքապետարանին՝ իրականացնելու մի շարք հանրային շենքերում (մանկապարտեզներ, պոլիկլինիկաներ, մշակութային օջախներ, սպորտդպրոցներ և այլն) էներգետիկ  արդյունավետության բարձրացման</w:t>
      </w:r>
      <w:r w:rsidR="001971B9" w:rsidRPr="009070BD">
        <w:rPr>
          <w:b w:val="0"/>
          <w:bCs/>
          <w:iCs/>
          <w:lang w:val="en-US"/>
        </w:rPr>
        <w:t>ն</w:t>
      </w:r>
      <w:r w:rsidR="001971B9" w:rsidRPr="009070BD">
        <w:rPr>
          <w:b w:val="0"/>
          <w:bCs/>
          <w:iCs/>
          <w:lang w:val="fr-FR"/>
        </w:rPr>
        <w:t xml:space="preserve"> և</w:t>
      </w:r>
      <w:r w:rsidR="001971B9" w:rsidRPr="009070BD">
        <w:rPr>
          <w:b w:val="0"/>
          <w:bCs/>
          <w:iCs/>
          <w:lang w:val="hy-AM"/>
        </w:rPr>
        <w:t xml:space="preserve">  արդիականացման</w:t>
      </w:r>
      <w:r w:rsidR="001971B9" w:rsidRPr="009070BD">
        <w:rPr>
          <w:b w:val="0"/>
          <w:bCs/>
          <w:iCs/>
          <w:lang w:val="en-US"/>
        </w:rPr>
        <w:t>ն</w:t>
      </w:r>
      <w:r w:rsidR="001971B9" w:rsidRPr="009070BD">
        <w:rPr>
          <w:b w:val="0"/>
          <w:bCs/>
          <w:iCs/>
          <w:lang w:val="hy-AM"/>
        </w:rPr>
        <w:t xml:space="preserve"> ուղղված միջոցառումներ</w:t>
      </w:r>
      <w:r w:rsidR="001971B9" w:rsidRPr="009070BD">
        <w:rPr>
          <w:b w:val="0"/>
          <w:bCs/>
          <w:iCs/>
          <w:lang w:val="fr-FR"/>
        </w:rPr>
        <w:t xml:space="preserve">, </w:t>
      </w:r>
      <w:r w:rsidR="001971B9" w:rsidRPr="009070BD">
        <w:rPr>
          <w:b w:val="0"/>
          <w:bCs/>
          <w:iCs/>
          <w:lang w:val="en-US"/>
        </w:rPr>
        <w:t>ինչպես</w:t>
      </w:r>
      <w:r w:rsidR="001971B9" w:rsidRPr="009070BD">
        <w:rPr>
          <w:b w:val="0"/>
          <w:bCs/>
          <w:iCs/>
          <w:lang w:val="fr-FR"/>
        </w:rPr>
        <w:t xml:space="preserve"> </w:t>
      </w:r>
      <w:r w:rsidR="001971B9" w:rsidRPr="009070BD">
        <w:rPr>
          <w:b w:val="0"/>
          <w:bCs/>
          <w:iCs/>
          <w:lang w:val="en-US"/>
        </w:rPr>
        <w:t>նաև</w:t>
      </w:r>
      <w:r w:rsidR="001971B9" w:rsidRPr="009070BD">
        <w:rPr>
          <w:b w:val="0"/>
          <w:bCs/>
          <w:iCs/>
          <w:lang w:val="hy-AM"/>
        </w:rPr>
        <w:t xml:space="preserve"> վերականգնվող էներգիայի՝ արևային ֆոտովոլտային կայանների և արևային ջրատաքացուցիչների կիրառ</w:t>
      </w:r>
      <w:r w:rsidR="001971B9" w:rsidRPr="009070BD">
        <w:rPr>
          <w:b w:val="0"/>
          <w:bCs/>
          <w:iCs/>
          <w:lang w:val="en-US"/>
        </w:rPr>
        <w:t>ման</w:t>
      </w:r>
      <w:r w:rsidR="001971B9" w:rsidRPr="009070BD">
        <w:rPr>
          <w:b w:val="0"/>
          <w:bCs/>
          <w:iCs/>
          <w:lang w:val="fr-FR"/>
        </w:rPr>
        <w:t xml:space="preserve"> </w:t>
      </w:r>
      <w:r w:rsidR="001971B9" w:rsidRPr="009070BD">
        <w:rPr>
          <w:b w:val="0"/>
          <w:bCs/>
          <w:iCs/>
          <w:lang w:val="en-US"/>
        </w:rPr>
        <w:t>աշխատանքներ</w:t>
      </w:r>
      <w:r w:rsidR="001971B9" w:rsidRPr="009070BD">
        <w:rPr>
          <w:bCs/>
          <w:iCs/>
          <w:lang w:val="hy-AM"/>
        </w:rPr>
        <w:t xml:space="preserve">: </w:t>
      </w:r>
      <w:r w:rsidR="001971B9" w:rsidRPr="009070BD">
        <w:rPr>
          <w:b w:val="0"/>
          <w:bCs/>
          <w:iCs/>
          <w:lang w:val="hy-AM"/>
        </w:rPr>
        <w:t>Մ</w:t>
      </w:r>
      <w:r w:rsidR="001971B9" w:rsidRPr="009070BD">
        <w:rPr>
          <w:b w:val="0"/>
          <w:bCs/>
          <w:iCs/>
        </w:rPr>
        <w:t>իջոցառմ</w:t>
      </w:r>
      <w:r w:rsidR="001971B9" w:rsidRPr="009070BD">
        <w:rPr>
          <w:b w:val="0"/>
          <w:bCs/>
          <w:iCs/>
          <w:lang w:val="hy-AM"/>
        </w:rPr>
        <w:t xml:space="preserve">ան </w:t>
      </w:r>
      <w:r w:rsidR="001971B9" w:rsidRPr="009070BD">
        <w:rPr>
          <w:b w:val="0"/>
          <w:bCs/>
          <w:iCs/>
        </w:rPr>
        <w:t>գծով</w:t>
      </w:r>
      <w:r w:rsidR="001971B9" w:rsidRPr="009070BD">
        <w:rPr>
          <w:b w:val="0"/>
          <w:bCs/>
          <w:iCs/>
          <w:lang w:val="fr-FR"/>
        </w:rPr>
        <w:t xml:space="preserve"> </w:t>
      </w:r>
      <w:r w:rsidR="001971B9" w:rsidRPr="009070BD">
        <w:rPr>
          <w:b w:val="0"/>
          <w:bCs/>
          <w:iCs/>
        </w:rPr>
        <w:t>ՀՀ</w:t>
      </w:r>
      <w:r w:rsidR="001971B9" w:rsidRPr="009070BD">
        <w:rPr>
          <w:b w:val="0"/>
          <w:bCs/>
          <w:iCs/>
          <w:lang w:val="fr-FR"/>
        </w:rPr>
        <w:t xml:space="preserve"> 2021 </w:t>
      </w:r>
      <w:r w:rsidR="001971B9" w:rsidRPr="009070BD">
        <w:rPr>
          <w:b w:val="0"/>
          <w:bCs/>
          <w:iCs/>
        </w:rPr>
        <w:t>թվականի</w:t>
      </w:r>
      <w:r w:rsidR="001971B9" w:rsidRPr="009070BD">
        <w:rPr>
          <w:b w:val="0"/>
          <w:bCs/>
          <w:iCs/>
          <w:lang w:val="en-US"/>
        </w:rPr>
        <w:t>ն</w:t>
      </w:r>
      <w:r w:rsidR="001971B9" w:rsidRPr="009070BD">
        <w:rPr>
          <w:b w:val="0"/>
          <w:bCs/>
          <w:iCs/>
          <w:lang w:val="fr-FR"/>
        </w:rPr>
        <w:t xml:space="preserve"> </w:t>
      </w:r>
      <w:r w:rsidR="001971B9" w:rsidRPr="009070BD">
        <w:rPr>
          <w:b w:val="0"/>
          <w:bCs/>
          <w:iCs/>
        </w:rPr>
        <w:t>նախատեսվում</w:t>
      </w:r>
      <w:r w:rsidR="001971B9" w:rsidRPr="009070BD">
        <w:rPr>
          <w:b w:val="0"/>
          <w:bCs/>
          <w:iCs/>
          <w:lang w:val="fr-FR"/>
        </w:rPr>
        <w:t xml:space="preserve"> </w:t>
      </w:r>
      <w:r w:rsidR="001971B9" w:rsidRPr="009070BD">
        <w:rPr>
          <w:b w:val="0"/>
          <w:bCs/>
          <w:iCs/>
        </w:rPr>
        <w:t>է</w:t>
      </w:r>
      <w:r w:rsidR="001971B9" w:rsidRPr="009070BD">
        <w:rPr>
          <w:b w:val="0"/>
          <w:bCs/>
          <w:iCs/>
          <w:lang w:val="fr-FR"/>
        </w:rPr>
        <w:t xml:space="preserve"> հատկացնել</w:t>
      </w:r>
      <w:r w:rsidR="001971B9" w:rsidRPr="009070BD">
        <w:rPr>
          <w:b w:val="0"/>
          <w:bCs/>
          <w:iCs/>
          <w:lang w:val="hy-AM"/>
        </w:rPr>
        <w:t xml:space="preserve"> 600,0 մլն դրամ:</w:t>
      </w:r>
    </w:p>
    <w:p w:rsidR="001971B9" w:rsidRPr="009070BD" w:rsidRDefault="001971B9" w:rsidP="007730AA">
      <w:pPr>
        <w:spacing w:before="0" w:line="276" w:lineRule="auto"/>
        <w:ind w:firstLine="720"/>
        <w:rPr>
          <w:bCs/>
          <w:iCs/>
          <w:lang w:val="fr-FR"/>
        </w:rPr>
      </w:pPr>
      <w:r w:rsidRPr="009070BD">
        <w:rPr>
          <w:bCs/>
          <w:iCs/>
          <w:lang w:val="fr-FR"/>
        </w:rPr>
        <w:t>13. «</w:t>
      </w:r>
      <w:r w:rsidRPr="009070BD">
        <w:rPr>
          <w:bCs/>
          <w:iCs/>
          <w:lang w:val="hy-AM"/>
        </w:rPr>
        <w:t>Ռադիոակտիվ</w:t>
      </w:r>
      <w:r w:rsidRPr="009070BD">
        <w:rPr>
          <w:bCs/>
          <w:iCs/>
          <w:lang w:val="fr-FR"/>
        </w:rPr>
        <w:t xml:space="preserve"> </w:t>
      </w:r>
      <w:r w:rsidRPr="009070BD">
        <w:rPr>
          <w:bCs/>
          <w:iCs/>
          <w:lang w:val="hy-AM"/>
        </w:rPr>
        <w:t>թափոնների</w:t>
      </w:r>
      <w:r w:rsidRPr="009070BD">
        <w:rPr>
          <w:bCs/>
          <w:iCs/>
          <w:lang w:val="fr-FR"/>
        </w:rPr>
        <w:t xml:space="preserve"> </w:t>
      </w:r>
      <w:r w:rsidRPr="009070BD">
        <w:rPr>
          <w:bCs/>
          <w:iCs/>
          <w:lang w:val="hy-AM"/>
        </w:rPr>
        <w:t>կառավարում</w:t>
      </w:r>
      <w:r w:rsidRPr="009070BD">
        <w:rPr>
          <w:bCs/>
          <w:iCs/>
          <w:lang w:val="fr-FR"/>
        </w:rPr>
        <w:t xml:space="preserve">» </w:t>
      </w:r>
      <w:r w:rsidRPr="009070BD">
        <w:rPr>
          <w:bCs/>
          <w:iCs/>
          <w:lang w:val="hy-AM"/>
        </w:rPr>
        <w:t>ծրագիր</w:t>
      </w:r>
      <w:r w:rsidRPr="009070BD">
        <w:rPr>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lang w:val="hy-AM"/>
        </w:rPr>
        <w:t>Նշված</w:t>
      </w:r>
      <w:r w:rsidRPr="009070BD">
        <w:rPr>
          <w:b w:val="0"/>
          <w:bCs/>
          <w:iCs/>
          <w:lang w:val="fr-FR"/>
        </w:rPr>
        <w:t xml:space="preserve"> </w:t>
      </w:r>
      <w:r w:rsidRPr="009070BD">
        <w:rPr>
          <w:b w:val="0"/>
          <w:bCs/>
          <w:iCs/>
          <w:lang w:val="hy-AM"/>
        </w:rPr>
        <w:t>ծրագրով</w:t>
      </w:r>
      <w:r w:rsidRPr="009070BD">
        <w:rPr>
          <w:b w:val="0"/>
          <w:bCs/>
          <w:iCs/>
          <w:lang w:val="fr-FR"/>
        </w:rPr>
        <w:t xml:space="preserve"> </w:t>
      </w:r>
      <w:r w:rsidRPr="009070BD">
        <w:rPr>
          <w:b w:val="0"/>
          <w:bCs/>
          <w:iCs/>
          <w:lang w:val="hy-AM"/>
        </w:rPr>
        <w:t>նախատեսված</w:t>
      </w:r>
      <w:r w:rsidRPr="009070BD">
        <w:rPr>
          <w:b w:val="0"/>
          <w:bCs/>
          <w:iCs/>
          <w:lang w:val="fr-FR"/>
        </w:rPr>
        <w:t xml:space="preserve"> «</w:t>
      </w:r>
      <w:r w:rsidRPr="009070BD">
        <w:rPr>
          <w:b w:val="0"/>
          <w:bCs/>
          <w:iCs/>
          <w:lang w:val="hy-AM"/>
        </w:rPr>
        <w:t>Ռադիոակտիվ</w:t>
      </w:r>
      <w:r w:rsidRPr="009070BD">
        <w:rPr>
          <w:b w:val="0"/>
          <w:bCs/>
          <w:iCs/>
          <w:lang w:val="fr-FR"/>
        </w:rPr>
        <w:t xml:space="preserve"> </w:t>
      </w:r>
      <w:r w:rsidRPr="009070BD">
        <w:rPr>
          <w:b w:val="0"/>
          <w:bCs/>
          <w:iCs/>
          <w:lang w:val="hy-AM"/>
        </w:rPr>
        <w:t>թափոնների</w:t>
      </w:r>
      <w:r w:rsidRPr="009070BD">
        <w:rPr>
          <w:b w:val="0"/>
          <w:bCs/>
          <w:iCs/>
          <w:lang w:val="fr-FR"/>
        </w:rPr>
        <w:t xml:space="preserve"> </w:t>
      </w:r>
      <w:r w:rsidRPr="009070BD">
        <w:rPr>
          <w:b w:val="0"/>
          <w:bCs/>
          <w:iCs/>
          <w:lang w:val="hy-AM"/>
        </w:rPr>
        <w:t>վնասազերծման</w:t>
      </w:r>
      <w:r w:rsidRPr="009070BD">
        <w:rPr>
          <w:b w:val="0"/>
          <w:bCs/>
          <w:iCs/>
          <w:lang w:val="fr-FR"/>
        </w:rPr>
        <w:t xml:space="preserve"> </w:t>
      </w:r>
      <w:r w:rsidRPr="009070BD">
        <w:rPr>
          <w:b w:val="0"/>
          <w:bCs/>
          <w:iCs/>
          <w:lang w:val="hy-AM"/>
        </w:rPr>
        <w:t>ծառայու</w:t>
      </w:r>
      <w:r w:rsidRPr="009070BD">
        <w:rPr>
          <w:b w:val="0"/>
          <w:bCs/>
          <w:iCs/>
          <w:lang w:val="fr-FR"/>
        </w:rPr>
        <w:softHyphen/>
      </w:r>
      <w:r w:rsidRPr="009070BD">
        <w:rPr>
          <w:b w:val="0"/>
          <w:bCs/>
          <w:iCs/>
          <w:lang w:val="hy-AM"/>
        </w:rPr>
        <w:t>թյուններ</w:t>
      </w:r>
      <w:r w:rsidRPr="009070BD">
        <w:rPr>
          <w:b w:val="0"/>
          <w:bCs/>
          <w:iCs/>
          <w:lang w:val="fr-FR"/>
        </w:rPr>
        <w:t xml:space="preserve">» </w:t>
      </w:r>
      <w:r w:rsidRPr="009070BD">
        <w:rPr>
          <w:b w:val="0"/>
          <w:bCs/>
          <w:iCs/>
          <w:lang w:val="hy-AM"/>
        </w:rPr>
        <w:t>միջոցառմամբ</w:t>
      </w:r>
      <w:r w:rsidRPr="009070BD">
        <w:rPr>
          <w:b w:val="0"/>
          <w:bCs/>
          <w:iCs/>
          <w:lang w:val="fr-FR"/>
        </w:rPr>
        <w:t xml:space="preserve">  </w:t>
      </w:r>
      <w:r w:rsidRPr="009070BD">
        <w:rPr>
          <w:b w:val="0"/>
          <w:bCs/>
          <w:iCs/>
          <w:lang w:val="hy-AM"/>
        </w:rPr>
        <w:t>ՀՀ</w:t>
      </w:r>
      <w:r w:rsidRPr="009070BD">
        <w:rPr>
          <w:b w:val="0"/>
          <w:bCs/>
          <w:iCs/>
          <w:lang w:val="fr-FR"/>
        </w:rPr>
        <w:t xml:space="preserve"> 2021 </w:t>
      </w:r>
      <w:r w:rsidRPr="009070BD">
        <w:rPr>
          <w:b w:val="0"/>
          <w:bCs/>
          <w:iCs/>
          <w:lang w:val="hy-AM"/>
        </w:rPr>
        <w:t>թվականին</w:t>
      </w:r>
      <w:r w:rsidRPr="009070BD">
        <w:rPr>
          <w:b w:val="0"/>
          <w:bCs/>
          <w:iCs/>
          <w:lang w:val="fr-FR"/>
        </w:rPr>
        <w:t xml:space="preserve"> </w:t>
      </w:r>
      <w:r w:rsidRPr="009070BD">
        <w:rPr>
          <w:b w:val="0"/>
          <w:bCs/>
          <w:iCs/>
          <w:lang w:val="hy-AM"/>
        </w:rPr>
        <w:t>նախա</w:t>
      </w:r>
      <w:r w:rsidRPr="009070BD">
        <w:rPr>
          <w:b w:val="0"/>
          <w:bCs/>
          <w:iCs/>
          <w:lang w:val="fr-FR"/>
        </w:rPr>
        <w:softHyphen/>
      </w:r>
      <w:r w:rsidRPr="009070BD">
        <w:rPr>
          <w:b w:val="0"/>
          <w:bCs/>
          <w:iCs/>
          <w:lang w:val="hy-AM"/>
        </w:rPr>
        <w:t>տեսվում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հատկացնել</w:t>
      </w:r>
      <w:r w:rsidRPr="009070BD">
        <w:rPr>
          <w:b w:val="0"/>
          <w:bCs/>
          <w:iCs/>
          <w:lang w:val="fr-FR"/>
        </w:rPr>
        <w:t xml:space="preserve"> 37.0 </w:t>
      </w:r>
      <w:r w:rsidRPr="009070BD">
        <w:rPr>
          <w:b w:val="0"/>
          <w:bCs/>
          <w:iCs/>
          <w:lang w:val="hy-AM"/>
        </w:rPr>
        <w:t>մլն</w:t>
      </w:r>
      <w:r w:rsidRPr="009070BD">
        <w:rPr>
          <w:b w:val="0"/>
          <w:bCs/>
          <w:iCs/>
          <w:lang w:val="fr-FR"/>
        </w:rPr>
        <w:t xml:space="preserve"> </w:t>
      </w:r>
      <w:r w:rsidRPr="009070BD">
        <w:rPr>
          <w:b w:val="0"/>
          <w:bCs/>
          <w:iCs/>
          <w:lang w:val="hy-AM"/>
        </w:rPr>
        <w:t>դրամ՝</w:t>
      </w:r>
      <w:r w:rsidRPr="009070BD">
        <w:rPr>
          <w:b w:val="0"/>
          <w:bCs/>
          <w:iCs/>
          <w:lang w:val="fr-FR"/>
        </w:rPr>
        <w:t xml:space="preserve"> </w:t>
      </w:r>
      <w:r w:rsidRPr="009070BD">
        <w:rPr>
          <w:b w:val="0"/>
          <w:bCs/>
          <w:iCs/>
          <w:lang w:val="hy-AM"/>
        </w:rPr>
        <w:t>ՀՀ</w:t>
      </w:r>
      <w:r w:rsidRPr="009070BD">
        <w:rPr>
          <w:b w:val="0"/>
          <w:bCs/>
          <w:iCs/>
          <w:lang w:val="fr-FR"/>
        </w:rPr>
        <w:t xml:space="preserve"> 2020 </w:t>
      </w:r>
      <w:r w:rsidRPr="009070BD">
        <w:rPr>
          <w:b w:val="0"/>
          <w:bCs/>
          <w:iCs/>
          <w:lang w:val="hy-AM"/>
        </w:rPr>
        <w:t>թվականի</w:t>
      </w:r>
      <w:r w:rsidRPr="009070BD">
        <w:rPr>
          <w:b w:val="0"/>
          <w:bCs/>
          <w:iCs/>
          <w:lang w:val="fr-FR"/>
        </w:rPr>
        <w:t xml:space="preserve"> </w:t>
      </w:r>
      <w:r w:rsidRPr="009070BD">
        <w:rPr>
          <w:b w:val="0"/>
          <w:bCs/>
          <w:iCs/>
          <w:lang w:val="hy-AM"/>
        </w:rPr>
        <w:t>պետական</w:t>
      </w:r>
      <w:r w:rsidRPr="009070BD">
        <w:rPr>
          <w:b w:val="0"/>
          <w:bCs/>
          <w:iCs/>
          <w:lang w:val="fr-FR"/>
        </w:rPr>
        <w:t xml:space="preserve"> </w:t>
      </w:r>
      <w:r w:rsidRPr="009070BD">
        <w:rPr>
          <w:b w:val="0"/>
          <w:bCs/>
          <w:iCs/>
          <w:lang w:val="hy-AM"/>
        </w:rPr>
        <w:t>բյուջեի</w:t>
      </w:r>
      <w:r w:rsidRPr="009070BD">
        <w:rPr>
          <w:b w:val="0"/>
          <w:bCs/>
          <w:iCs/>
          <w:lang w:val="fr-FR"/>
        </w:rPr>
        <w:t xml:space="preserve"> </w:t>
      </w:r>
      <w:r w:rsidRPr="009070BD">
        <w:rPr>
          <w:b w:val="0"/>
          <w:bCs/>
          <w:iCs/>
          <w:lang w:val="hy-AM"/>
        </w:rPr>
        <w:t>մակարդակին</w:t>
      </w:r>
      <w:r w:rsidRPr="009070BD">
        <w:rPr>
          <w:b w:val="0"/>
          <w:bCs/>
          <w:iCs/>
          <w:lang w:val="fr-FR"/>
        </w:rPr>
        <w:t xml:space="preserve"> </w:t>
      </w:r>
      <w:r w:rsidRPr="009070BD">
        <w:rPr>
          <w:b w:val="0"/>
          <w:bCs/>
          <w:iCs/>
          <w:lang w:val="hy-AM"/>
        </w:rPr>
        <w:t>համապատասխան</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rPr>
        <w:t>Ծրագրի</w:t>
      </w:r>
      <w:r w:rsidRPr="009070BD">
        <w:rPr>
          <w:b w:val="0"/>
          <w:bCs/>
          <w:iCs/>
          <w:lang w:val="fr-FR"/>
        </w:rPr>
        <w:t xml:space="preserve"> </w:t>
      </w:r>
      <w:r w:rsidRPr="009070BD">
        <w:rPr>
          <w:b w:val="0"/>
          <w:bCs/>
          <w:iCs/>
        </w:rPr>
        <w:t>նպատակն</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միջուկային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ճառագայթային</w:t>
      </w:r>
      <w:r w:rsidRPr="009070BD">
        <w:rPr>
          <w:b w:val="0"/>
          <w:bCs/>
          <w:iCs/>
          <w:lang w:val="fr-FR"/>
        </w:rPr>
        <w:t xml:space="preserve"> </w:t>
      </w:r>
      <w:r w:rsidRPr="009070BD">
        <w:rPr>
          <w:b w:val="0"/>
          <w:bCs/>
          <w:iCs/>
        </w:rPr>
        <w:t>անվտանգության</w:t>
      </w:r>
      <w:r w:rsidRPr="009070BD">
        <w:rPr>
          <w:b w:val="0"/>
          <w:bCs/>
          <w:iCs/>
          <w:lang w:val="fr-FR"/>
        </w:rPr>
        <w:t xml:space="preserve"> </w:t>
      </w:r>
      <w:r w:rsidRPr="009070BD">
        <w:rPr>
          <w:b w:val="0"/>
          <w:bCs/>
          <w:iCs/>
        </w:rPr>
        <w:t>նորմերի</w:t>
      </w:r>
      <w:r w:rsidRPr="009070BD">
        <w:rPr>
          <w:b w:val="0"/>
          <w:bCs/>
          <w:iCs/>
          <w:lang w:val="fr-FR"/>
        </w:rPr>
        <w:t xml:space="preserve"> </w:t>
      </w:r>
      <w:r w:rsidRPr="009070BD">
        <w:rPr>
          <w:b w:val="0"/>
          <w:bCs/>
          <w:iCs/>
        </w:rPr>
        <w:t>ու</w:t>
      </w:r>
      <w:r w:rsidRPr="009070BD">
        <w:rPr>
          <w:b w:val="0"/>
          <w:bCs/>
          <w:iCs/>
          <w:lang w:val="fr-FR"/>
        </w:rPr>
        <w:t xml:space="preserve"> </w:t>
      </w:r>
      <w:r w:rsidRPr="009070BD">
        <w:rPr>
          <w:b w:val="0"/>
          <w:bCs/>
          <w:iCs/>
        </w:rPr>
        <w:t>կանոնների</w:t>
      </w:r>
      <w:r w:rsidRPr="009070BD">
        <w:rPr>
          <w:b w:val="0"/>
          <w:bCs/>
          <w:iCs/>
          <w:lang w:val="fr-FR"/>
        </w:rPr>
        <w:t xml:space="preserve"> </w:t>
      </w:r>
      <w:r w:rsidRPr="009070BD">
        <w:rPr>
          <w:b w:val="0"/>
          <w:bCs/>
          <w:iCs/>
        </w:rPr>
        <w:t>պահպանմամբ</w:t>
      </w:r>
      <w:r w:rsidRPr="009070BD">
        <w:rPr>
          <w:b w:val="0"/>
          <w:bCs/>
          <w:iCs/>
          <w:lang w:val="fr-FR"/>
        </w:rPr>
        <w:t xml:space="preserve"> </w:t>
      </w:r>
      <w:r w:rsidRPr="009070BD">
        <w:rPr>
          <w:b w:val="0"/>
          <w:bCs/>
          <w:iCs/>
        </w:rPr>
        <w:t>ռադիոակտիվ</w:t>
      </w:r>
      <w:r w:rsidRPr="009070BD">
        <w:rPr>
          <w:b w:val="0"/>
          <w:bCs/>
          <w:iCs/>
          <w:lang w:val="fr-FR"/>
        </w:rPr>
        <w:t xml:space="preserve"> </w:t>
      </w:r>
      <w:r w:rsidRPr="009070BD">
        <w:rPr>
          <w:b w:val="0"/>
          <w:bCs/>
          <w:iCs/>
        </w:rPr>
        <w:t>թափոնների</w:t>
      </w:r>
      <w:r w:rsidRPr="009070BD">
        <w:rPr>
          <w:b w:val="0"/>
          <w:bCs/>
          <w:iCs/>
          <w:lang w:val="fr-FR"/>
        </w:rPr>
        <w:t xml:space="preserve"> </w:t>
      </w:r>
      <w:r w:rsidRPr="009070BD">
        <w:rPr>
          <w:b w:val="0"/>
          <w:bCs/>
          <w:iCs/>
        </w:rPr>
        <w:t>կենտրոնացված</w:t>
      </w:r>
      <w:r w:rsidRPr="009070BD">
        <w:rPr>
          <w:b w:val="0"/>
          <w:bCs/>
          <w:iCs/>
          <w:lang w:val="fr-FR"/>
        </w:rPr>
        <w:t xml:space="preserve"> </w:t>
      </w:r>
      <w:r w:rsidRPr="009070BD">
        <w:rPr>
          <w:b w:val="0"/>
          <w:bCs/>
          <w:iCs/>
        </w:rPr>
        <w:t>փոխադրման</w:t>
      </w:r>
      <w:r w:rsidRPr="009070BD">
        <w:rPr>
          <w:b w:val="0"/>
          <w:bCs/>
          <w:iCs/>
          <w:lang w:val="fr-FR"/>
        </w:rPr>
        <w:t xml:space="preserve">, </w:t>
      </w:r>
      <w:r w:rsidRPr="009070BD">
        <w:rPr>
          <w:b w:val="0"/>
          <w:bCs/>
          <w:iCs/>
        </w:rPr>
        <w:t>ուսումնասիրման</w:t>
      </w:r>
      <w:r w:rsidRPr="009070BD">
        <w:rPr>
          <w:b w:val="0"/>
          <w:bCs/>
          <w:iCs/>
          <w:lang w:val="fr-FR"/>
        </w:rPr>
        <w:t xml:space="preserve">, </w:t>
      </w:r>
      <w:r w:rsidRPr="009070BD">
        <w:rPr>
          <w:b w:val="0"/>
          <w:bCs/>
          <w:iCs/>
        </w:rPr>
        <w:t>պահպանման</w:t>
      </w:r>
      <w:r w:rsidRPr="009070BD">
        <w:rPr>
          <w:b w:val="0"/>
          <w:bCs/>
          <w:iCs/>
          <w:lang w:val="fr-FR"/>
        </w:rPr>
        <w:t xml:space="preserve">, </w:t>
      </w:r>
      <w:r w:rsidRPr="009070BD">
        <w:rPr>
          <w:b w:val="0"/>
          <w:bCs/>
          <w:iCs/>
        </w:rPr>
        <w:t>վնասազերծման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թաղման</w:t>
      </w:r>
      <w:r w:rsidRPr="009070BD">
        <w:rPr>
          <w:b w:val="0"/>
          <w:bCs/>
          <w:iCs/>
          <w:lang w:val="fr-FR"/>
        </w:rPr>
        <w:t xml:space="preserve"> </w:t>
      </w:r>
      <w:r w:rsidRPr="009070BD">
        <w:rPr>
          <w:b w:val="0"/>
          <w:bCs/>
          <w:iCs/>
        </w:rPr>
        <w:t>ապահովումը</w:t>
      </w:r>
      <w:r w:rsidRPr="009070BD">
        <w:rPr>
          <w:b w:val="0"/>
          <w:bCs/>
          <w:iCs/>
          <w:lang w:val="fr-FR"/>
        </w:rPr>
        <w:t xml:space="preserve">` </w:t>
      </w:r>
      <w:r w:rsidRPr="009070BD">
        <w:rPr>
          <w:b w:val="0"/>
          <w:bCs/>
          <w:iCs/>
        </w:rPr>
        <w:t>մարդկանց</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շրջակա</w:t>
      </w:r>
      <w:r w:rsidRPr="009070BD">
        <w:rPr>
          <w:b w:val="0"/>
          <w:bCs/>
          <w:iCs/>
          <w:lang w:val="fr-FR"/>
        </w:rPr>
        <w:t xml:space="preserve"> </w:t>
      </w:r>
      <w:r w:rsidRPr="009070BD">
        <w:rPr>
          <w:b w:val="0"/>
          <w:bCs/>
          <w:iCs/>
        </w:rPr>
        <w:t>միջավայրի</w:t>
      </w:r>
      <w:r w:rsidRPr="009070BD">
        <w:rPr>
          <w:b w:val="0"/>
          <w:bCs/>
          <w:iCs/>
          <w:lang w:val="fr-FR"/>
        </w:rPr>
        <w:t xml:space="preserve"> </w:t>
      </w:r>
      <w:r w:rsidRPr="009070BD">
        <w:rPr>
          <w:b w:val="0"/>
          <w:bCs/>
          <w:iCs/>
        </w:rPr>
        <w:t>իոնացնող</w:t>
      </w:r>
      <w:r w:rsidRPr="009070BD">
        <w:rPr>
          <w:b w:val="0"/>
          <w:bCs/>
          <w:iCs/>
          <w:lang w:val="fr-FR"/>
        </w:rPr>
        <w:t xml:space="preserve"> </w:t>
      </w:r>
      <w:r w:rsidRPr="009070BD">
        <w:rPr>
          <w:b w:val="0"/>
          <w:bCs/>
          <w:iCs/>
        </w:rPr>
        <w:t>ճառագայթման</w:t>
      </w:r>
      <w:r w:rsidRPr="009070BD">
        <w:rPr>
          <w:b w:val="0"/>
          <w:bCs/>
          <w:iCs/>
          <w:lang w:val="fr-FR"/>
        </w:rPr>
        <w:t xml:space="preserve"> </w:t>
      </w:r>
      <w:r w:rsidRPr="009070BD">
        <w:rPr>
          <w:b w:val="0"/>
          <w:bCs/>
          <w:iCs/>
        </w:rPr>
        <w:t>վնասակար</w:t>
      </w:r>
      <w:r w:rsidRPr="009070BD">
        <w:rPr>
          <w:b w:val="0"/>
          <w:bCs/>
          <w:iCs/>
          <w:lang w:val="fr-FR"/>
        </w:rPr>
        <w:t xml:space="preserve"> </w:t>
      </w:r>
      <w:r w:rsidRPr="009070BD">
        <w:rPr>
          <w:b w:val="0"/>
          <w:bCs/>
          <w:iCs/>
        </w:rPr>
        <w:t>ազդեցությունից</w:t>
      </w:r>
      <w:r w:rsidRPr="009070BD">
        <w:rPr>
          <w:b w:val="0"/>
          <w:bCs/>
          <w:iCs/>
          <w:lang w:val="fr-FR"/>
        </w:rPr>
        <w:t xml:space="preserve"> </w:t>
      </w:r>
      <w:r w:rsidRPr="009070BD">
        <w:rPr>
          <w:b w:val="0"/>
          <w:bCs/>
          <w:iCs/>
        </w:rPr>
        <w:t>պաշտպանելու</w:t>
      </w:r>
      <w:r w:rsidRPr="009070BD">
        <w:rPr>
          <w:b w:val="0"/>
          <w:bCs/>
          <w:iCs/>
          <w:lang w:val="fr-FR"/>
        </w:rPr>
        <w:t xml:space="preserve"> </w:t>
      </w:r>
      <w:r w:rsidRPr="009070BD">
        <w:rPr>
          <w:b w:val="0"/>
          <w:bCs/>
          <w:iCs/>
        </w:rPr>
        <w:t>համար</w:t>
      </w:r>
      <w:r w:rsidRPr="009070BD">
        <w:rPr>
          <w:b w:val="0"/>
          <w:bCs/>
          <w:iCs/>
          <w:lang w:val="fr-FR"/>
        </w:rPr>
        <w:t xml:space="preserve">: </w:t>
      </w:r>
    </w:p>
    <w:p w:rsidR="001971B9" w:rsidRPr="009070BD" w:rsidRDefault="001971B9" w:rsidP="007730AA">
      <w:pPr>
        <w:spacing w:before="0" w:line="276" w:lineRule="auto"/>
        <w:ind w:firstLine="720"/>
        <w:rPr>
          <w:bCs/>
          <w:iCs/>
          <w:lang w:val="fr-FR"/>
        </w:rPr>
      </w:pPr>
      <w:r w:rsidRPr="009070BD">
        <w:rPr>
          <w:bCs/>
          <w:iCs/>
          <w:lang w:val="fr-FR"/>
        </w:rPr>
        <w:t>14. «</w:t>
      </w:r>
      <w:r w:rsidRPr="009070BD">
        <w:rPr>
          <w:bCs/>
          <w:iCs/>
        </w:rPr>
        <w:t>Ավիացիայի</w:t>
      </w:r>
      <w:r w:rsidRPr="009070BD">
        <w:rPr>
          <w:bCs/>
          <w:iCs/>
          <w:lang w:val="fr-FR"/>
        </w:rPr>
        <w:t xml:space="preserve"> </w:t>
      </w:r>
      <w:r w:rsidRPr="009070BD">
        <w:rPr>
          <w:bCs/>
          <w:iCs/>
        </w:rPr>
        <w:t>բնագավառում</w:t>
      </w:r>
      <w:r w:rsidRPr="009070BD">
        <w:rPr>
          <w:bCs/>
          <w:iCs/>
          <w:lang w:val="fr-FR"/>
        </w:rPr>
        <w:t xml:space="preserve"> </w:t>
      </w:r>
      <w:r w:rsidRPr="009070BD">
        <w:rPr>
          <w:bCs/>
          <w:iCs/>
        </w:rPr>
        <w:t>վերահսկողության</w:t>
      </w:r>
      <w:r w:rsidRPr="009070BD">
        <w:rPr>
          <w:bCs/>
          <w:iCs/>
          <w:lang w:val="fr-FR"/>
        </w:rPr>
        <w:t xml:space="preserve">, </w:t>
      </w:r>
      <w:r w:rsidRPr="009070BD">
        <w:rPr>
          <w:bCs/>
          <w:iCs/>
        </w:rPr>
        <w:t>կանոնակարգման</w:t>
      </w:r>
      <w:r w:rsidRPr="009070BD">
        <w:rPr>
          <w:bCs/>
          <w:iCs/>
          <w:lang w:val="fr-FR"/>
        </w:rPr>
        <w:t xml:space="preserve"> և զարգացման </w:t>
      </w:r>
      <w:r w:rsidRPr="009070BD">
        <w:rPr>
          <w:bCs/>
          <w:iCs/>
        </w:rPr>
        <w:t>ապահովում</w:t>
      </w:r>
      <w:r w:rsidRPr="009070BD">
        <w:rPr>
          <w:bCs/>
          <w:iCs/>
          <w:lang w:val="fr-FR"/>
        </w:rPr>
        <w:t xml:space="preserve">» </w:t>
      </w:r>
      <w:r w:rsidRPr="009070BD">
        <w:rPr>
          <w:bCs/>
          <w:iCs/>
        </w:rPr>
        <w:t>ծրագիր</w:t>
      </w:r>
      <w:r w:rsidRPr="009070BD">
        <w:rPr>
          <w:bCs/>
          <w:iCs/>
          <w:lang w:val="fr-FR"/>
        </w:rPr>
        <w:t>.</w:t>
      </w:r>
    </w:p>
    <w:p w:rsidR="001971B9" w:rsidRPr="009070BD" w:rsidRDefault="001971B9" w:rsidP="007730AA">
      <w:pPr>
        <w:spacing w:before="0" w:line="276" w:lineRule="auto"/>
        <w:ind w:firstLine="720"/>
        <w:rPr>
          <w:b w:val="0"/>
          <w:bCs/>
          <w:iCs/>
          <w:lang w:val="fr-FR"/>
        </w:rPr>
      </w:pPr>
      <w:r w:rsidRPr="009070BD">
        <w:rPr>
          <w:b w:val="0"/>
          <w:bCs/>
          <w:iCs/>
        </w:rPr>
        <w:t>Նշված</w:t>
      </w:r>
      <w:r w:rsidRPr="009070BD">
        <w:rPr>
          <w:b w:val="0"/>
          <w:bCs/>
          <w:iCs/>
          <w:lang w:val="fr-FR"/>
        </w:rPr>
        <w:t xml:space="preserve"> </w:t>
      </w:r>
      <w:r w:rsidRPr="009070BD">
        <w:rPr>
          <w:b w:val="0"/>
          <w:bCs/>
          <w:iCs/>
        </w:rPr>
        <w:t>ծրագրի</w:t>
      </w:r>
      <w:r w:rsidRPr="009070BD">
        <w:rPr>
          <w:b w:val="0"/>
          <w:bCs/>
          <w:iCs/>
          <w:lang w:val="fr-FR"/>
        </w:rPr>
        <w:t xml:space="preserve"> </w:t>
      </w:r>
      <w:r w:rsidRPr="009070BD">
        <w:rPr>
          <w:b w:val="0"/>
          <w:bCs/>
          <w:iCs/>
        </w:rPr>
        <w:t>շրջանակներում</w:t>
      </w:r>
      <w:r w:rsidRPr="009070BD">
        <w:rPr>
          <w:b w:val="0"/>
          <w:bCs/>
          <w:iCs/>
          <w:lang w:val="fr-FR"/>
        </w:rPr>
        <w:t xml:space="preserve"> </w:t>
      </w:r>
      <w:r w:rsidRPr="009070BD">
        <w:rPr>
          <w:bCs/>
          <w:iCs/>
          <w:lang w:val="fr-FR"/>
        </w:rPr>
        <w:t>«</w:t>
      </w:r>
      <w:r w:rsidRPr="009070BD">
        <w:rPr>
          <w:b w:val="0"/>
          <w:bCs/>
          <w:iCs/>
          <w:lang w:val="fr-FR"/>
        </w:rPr>
        <w:t xml:space="preserve">Աշխատակազմի մասնագիտական կարողությունների զարգացում միջոցառման գծով 2021 </w:t>
      </w:r>
      <w:r w:rsidRPr="009070BD">
        <w:rPr>
          <w:b w:val="0"/>
          <w:bCs/>
          <w:iCs/>
          <w:lang w:val="en-US"/>
        </w:rPr>
        <w:t>թվականին</w:t>
      </w:r>
      <w:r w:rsidRPr="009070BD">
        <w:rPr>
          <w:b w:val="0"/>
          <w:bCs/>
          <w:iCs/>
          <w:lang w:val="fr-FR"/>
        </w:rPr>
        <w:t xml:space="preserve"> </w:t>
      </w:r>
      <w:r w:rsidRPr="009070BD">
        <w:rPr>
          <w:b w:val="0"/>
          <w:bCs/>
          <w:iCs/>
          <w:lang w:val="hy-AM"/>
        </w:rPr>
        <w:t>նախատեսվում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հատկացնել</w:t>
      </w:r>
      <w:r w:rsidRPr="009070BD">
        <w:rPr>
          <w:b w:val="0"/>
          <w:bCs/>
          <w:iCs/>
          <w:lang w:val="fr-FR"/>
        </w:rPr>
        <w:t xml:space="preserve"> 36.5 մլն դրամ՝</w:t>
      </w:r>
      <w:r w:rsidRPr="009070BD">
        <w:rPr>
          <w:bCs/>
          <w:iCs/>
          <w:lang w:val="fr-FR"/>
        </w:rPr>
        <w:t xml:space="preserve"> </w:t>
      </w:r>
      <w:r w:rsidRPr="009070BD">
        <w:rPr>
          <w:b w:val="0"/>
          <w:bCs/>
          <w:iCs/>
          <w:lang w:val="hy-AM"/>
        </w:rPr>
        <w:t>ՀՀ</w:t>
      </w:r>
      <w:r w:rsidRPr="009070BD">
        <w:rPr>
          <w:b w:val="0"/>
          <w:bCs/>
          <w:iCs/>
          <w:lang w:val="fr-FR"/>
        </w:rPr>
        <w:t xml:space="preserve"> </w:t>
      </w:r>
      <w:r w:rsidRPr="009070BD">
        <w:rPr>
          <w:b w:val="0"/>
          <w:bCs/>
          <w:iCs/>
          <w:lang w:val="hy-AM"/>
        </w:rPr>
        <w:t>տարածքային</w:t>
      </w:r>
      <w:r w:rsidRPr="009070BD">
        <w:rPr>
          <w:b w:val="0"/>
          <w:bCs/>
          <w:iCs/>
          <w:lang w:val="fr-FR"/>
        </w:rPr>
        <w:t xml:space="preserve"> </w:t>
      </w:r>
      <w:r w:rsidRPr="009070BD">
        <w:rPr>
          <w:b w:val="0"/>
          <w:bCs/>
          <w:iCs/>
          <w:lang w:val="hy-AM"/>
        </w:rPr>
        <w:t>կառավարման</w:t>
      </w:r>
      <w:r w:rsidRPr="009070BD">
        <w:rPr>
          <w:b w:val="0"/>
          <w:bCs/>
          <w:iCs/>
          <w:lang w:val="fr-FR"/>
        </w:rPr>
        <w:t xml:space="preserve"> </w:t>
      </w:r>
      <w:r w:rsidRPr="009070BD">
        <w:rPr>
          <w:b w:val="0"/>
          <w:bCs/>
          <w:iCs/>
          <w:lang w:val="hy-AM"/>
        </w:rPr>
        <w:t>և</w:t>
      </w:r>
      <w:r w:rsidRPr="009070BD">
        <w:rPr>
          <w:b w:val="0"/>
          <w:bCs/>
          <w:iCs/>
          <w:lang w:val="fr-FR"/>
        </w:rPr>
        <w:t xml:space="preserve"> </w:t>
      </w:r>
      <w:r w:rsidRPr="009070BD">
        <w:rPr>
          <w:b w:val="0"/>
          <w:bCs/>
          <w:iCs/>
          <w:lang w:val="hy-AM"/>
        </w:rPr>
        <w:t>ենթակառուցվածքների</w:t>
      </w:r>
      <w:r w:rsidRPr="009070BD">
        <w:rPr>
          <w:b w:val="0"/>
          <w:bCs/>
          <w:iCs/>
          <w:lang w:val="fr-FR"/>
        </w:rPr>
        <w:t xml:space="preserve"> </w:t>
      </w:r>
      <w:r w:rsidRPr="009070BD">
        <w:rPr>
          <w:b w:val="0"/>
          <w:bCs/>
          <w:iCs/>
          <w:lang w:val="hy-AM"/>
        </w:rPr>
        <w:t>նախարարության</w:t>
      </w:r>
      <w:r w:rsidRPr="009070BD">
        <w:rPr>
          <w:b w:val="0"/>
          <w:bCs/>
          <w:iCs/>
          <w:lang w:val="fr-FR"/>
        </w:rPr>
        <w:t xml:space="preserve"> </w:t>
      </w:r>
      <w:r w:rsidRPr="009070BD">
        <w:rPr>
          <w:b w:val="0"/>
          <w:bCs/>
          <w:iCs/>
          <w:lang w:val="hy-AM"/>
        </w:rPr>
        <w:t>քաղաքացիական</w:t>
      </w:r>
      <w:r w:rsidRPr="009070BD">
        <w:rPr>
          <w:b w:val="0"/>
          <w:bCs/>
          <w:iCs/>
          <w:lang w:val="fr-FR"/>
        </w:rPr>
        <w:t xml:space="preserve"> </w:t>
      </w:r>
      <w:r w:rsidRPr="009070BD">
        <w:rPr>
          <w:b w:val="0"/>
          <w:bCs/>
          <w:iCs/>
          <w:lang w:val="hy-AM"/>
        </w:rPr>
        <w:t>ավիացիայի</w:t>
      </w:r>
      <w:r w:rsidRPr="009070BD">
        <w:rPr>
          <w:b w:val="0"/>
          <w:bCs/>
          <w:iCs/>
          <w:lang w:val="fr-FR"/>
        </w:rPr>
        <w:t xml:space="preserve"> </w:t>
      </w:r>
      <w:r w:rsidRPr="009070BD">
        <w:rPr>
          <w:b w:val="0"/>
          <w:bCs/>
          <w:iCs/>
          <w:lang w:val="hy-AM"/>
        </w:rPr>
        <w:t>կոմիտե</w:t>
      </w:r>
      <w:r w:rsidR="002724FD">
        <w:rPr>
          <w:b w:val="0"/>
          <w:bCs/>
          <w:iCs/>
          <w:lang w:val="hy-AM"/>
        </w:rPr>
        <w:t>ի</w:t>
      </w:r>
      <w:r w:rsidRPr="009070BD">
        <w:rPr>
          <w:b w:val="0"/>
          <w:bCs/>
          <w:iCs/>
          <w:lang w:val="fr-FR"/>
        </w:rPr>
        <w:t xml:space="preserve"> աշխատակիցների վերապատրաստման նպատակով:</w:t>
      </w:r>
    </w:p>
    <w:p w:rsidR="001971B9" w:rsidRPr="009070BD" w:rsidRDefault="001971B9" w:rsidP="007730AA">
      <w:pPr>
        <w:spacing w:before="0" w:line="276" w:lineRule="auto"/>
        <w:ind w:firstLine="720"/>
        <w:rPr>
          <w:bCs/>
          <w:iCs/>
          <w:lang w:val="fr-FR"/>
        </w:rPr>
      </w:pPr>
      <w:r w:rsidRPr="009070BD">
        <w:rPr>
          <w:bCs/>
          <w:iCs/>
          <w:lang w:val="fr-FR"/>
        </w:rPr>
        <w:t>15.</w:t>
      </w:r>
      <w:r w:rsidRPr="009070BD">
        <w:rPr>
          <w:bCs/>
          <w:iCs/>
          <w:lang w:val="hy-AM"/>
        </w:rPr>
        <w:t xml:space="preserve"> </w:t>
      </w:r>
      <w:r w:rsidRPr="009070BD">
        <w:rPr>
          <w:bCs/>
          <w:iCs/>
          <w:lang w:val="fr-FR"/>
        </w:rPr>
        <w:t>«</w:t>
      </w:r>
      <w:r w:rsidRPr="009070BD">
        <w:rPr>
          <w:bCs/>
          <w:iCs/>
        </w:rPr>
        <w:t>Տարածքային</w:t>
      </w:r>
      <w:r w:rsidRPr="009070BD">
        <w:rPr>
          <w:bCs/>
          <w:iCs/>
          <w:lang w:val="fr-FR"/>
        </w:rPr>
        <w:t xml:space="preserve"> </w:t>
      </w:r>
      <w:r w:rsidRPr="009070BD">
        <w:rPr>
          <w:bCs/>
          <w:iCs/>
        </w:rPr>
        <w:t>զարգացում</w:t>
      </w:r>
      <w:r w:rsidRPr="009070BD">
        <w:rPr>
          <w:bCs/>
          <w:iCs/>
          <w:lang w:val="fr-FR"/>
        </w:rPr>
        <w:t xml:space="preserve">» </w:t>
      </w:r>
      <w:r w:rsidRPr="009070BD">
        <w:rPr>
          <w:bCs/>
          <w:iCs/>
        </w:rPr>
        <w:t>ծրագիր</w:t>
      </w:r>
      <w:r w:rsidRPr="009070BD">
        <w:rPr>
          <w:bCs/>
          <w:iCs/>
          <w:lang w:val="fr-FR"/>
        </w:rPr>
        <w:t>.</w:t>
      </w:r>
    </w:p>
    <w:p w:rsidR="001971B9" w:rsidRPr="009070BD" w:rsidRDefault="001971B9" w:rsidP="007730AA">
      <w:pPr>
        <w:spacing w:before="0" w:line="276" w:lineRule="auto"/>
        <w:ind w:firstLine="720"/>
        <w:rPr>
          <w:b w:val="0"/>
          <w:bCs/>
          <w:iCs/>
          <w:lang w:val="hy-AM"/>
        </w:rPr>
      </w:pPr>
      <w:r w:rsidRPr="009070BD">
        <w:rPr>
          <w:b w:val="0"/>
          <w:bCs/>
          <w:iCs/>
          <w:lang w:val="hy-AM"/>
        </w:rPr>
        <w:t>Ծրագրի  նպատակն է ՀՀ համայնքների կառավարման արդյունավետության բարձրացումն ու տնտեսական գործունեության խթանումը:</w:t>
      </w:r>
    </w:p>
    <w:p w:rsidR="001971B9" w:rsidRPr="009070BD" w:rsidRDefault="001971B9" w:rsidP="007730AA">
      <w:pPr>
        <w:spacing w:before="0" w:line="276" w:lineRule="auto"/>
        <w:ind w:firstLine="720"/>
        <w:rPr>
          <w:b w:val="0"/>
          <w:bCs/>
          <w:iCs/>
          <w:lang w:val="fr-FR"/>
        </w:rPr>
      </w:pPr>
      <w:r w:rsidRPr="009070BD">
        <w:rPr>
          <w:b w:val="0"/>
          <w:bCs/>
          <w:iCs/>
          <w:lang w:val="hy-AM"/>
        </w:rPr>
        <w:t>Նշված</w:t>
      </w:r>
      <w:r w:rsidRPr="009070BD">
        <w:rPr>
          <w:b w:val="0"/>
          <w:bCs/>
          <w:iCs/>
          <w:lang w:val="fr-FR"/>
        </w:rPr>
        <w:t xml:space="preserve"> </w:t>
      </w:r>
      <w:r w:rsidRPr="009070BD">
        <w:rPr>
          <w:b w:val="0"/>
          <w:bCs/>
          <w:iCs/>
          <w:lang w:val="hy-AM"/>
        </w:rPr>
        <w:t>ծրագրի</w:t>
      </w:r>
      <w:r w:rsidRPr="009070BD">
        <w:rPr>
          <w:b w:val="0"/>
          <w:bCs/>
          <w:iCs/>
          <w:lang w:val="fr-FR"/>
        </w:rPr>
        <w:t xml:space="preserve"> </w:t>
      </w:r>
      <w:r w:rsidRPr="009070BD">
        <w:rPr>
          <w:b w:val="0"/>
          <w:bCs/>
          <w:iCs/>
          <w:lang w:val="hy-AM"/>
        </w:rPr>
        <w:t>շրջանակներում</w:t>
      </w:r>
      <w:r w:rsidRPr="009070BD">
        <w:rPr>
          <w:b w:val="0"/>
          <w:bCs/>
          <w:iCs/>
          <w:lang w:val="fr-FR"/>
        </w:rPr>
        <w:t xml:space="preserve"> </w:t>
      </w:r>
      <w:r w:rsidRPr="009070BD">
        <w:rPr>
          <w:b w:val="0"/>
          <w:bCs/>
          <w:iCs/>
          <w:lang w:val="hy-AM"/>
        </w:rPr>
        <w:t>նախա</w:t>
      </w:r>
      <w:r w:rsidRPr="009070BD">
        <w:rPr>
          <w:b w:val="0"/>
          <w:bCs/>
          <w:iCs/>
          <w:lang w:val="fr-FR"/>
        </w:rPr>
        <w:softHyphen/>
      </w:r>
      <w:r w:rsidRPr="009070BD">
        <w:rPr>
          <w:b w:val="0"/>
          <w:bCs/>
          <w:iCs/>
          <w:lang w:val="hy-AM"/>
        </w:rPr>
        <w:t>տեսվում</w:t>
      </w:r>
      <w:r w:rsidRPr="009070BD">
        <w:rPr>
          <w:b w:val="0"/>
          <w:bCs/>
          <w:iCs/>
          <w:lang w:val="fr-FR"/>
        </w:rPr>
        <w:t xml:space="preserve"> </w:t>
      </w:r>
      <w:r w:rsidRPr="009070BD">
        <w:rPr>
          <w:b w:val="0"/>
          <w:bCs/>
          <w:iCs/>
          <w:lang w:val="hy-AM"/>
        </w:rPr>
        <w:t>է</w:t>
      </w:r>
      <w:r w:rsidRPr="009070BD">
        <w:rPr>
          <w:b w:val="0"/>
          <w:bCs/>
          <w:iCs/>
          <w:lang w:val="fr-FR"/>
        </w:rPr>
        <w:t xml:space="preserve"> </w:t>
      </w:r>
      <w:r w:rsidRPr="009070BD">
        <w:rPr>
          <w:b w:val="0"/>
          <w:bCs/>
          <w:iCs/>
          <w:lang w:val="hy-AM"/>
        </w:rPr>
        <w:t>իրականացնել</w:t>
      </w:r>
      <w:r w:rsidRPr="009070BD">
        <w:rPr>
          <w:b w:val="0"/>
          <w:bCs/>
          <w:iCs/>
          <w:lang w:val="fr-FR"/>
        </w:rPr>
        <w:t xml:space="preserve"> </w:t>
      </w:r>
      <w:r w:rsidRPr="009070BD">
        <w:rPr>
          <w:b w:val="0"/>
          <w:bCs/>
          <w:iCs/>
          <w:lang w:val="hy-AM"/>
        </w:rPr>
        <w:t>հետևյալ</w:t>
      </w:r>
      <w:r w:rsidRPr="009070BD">
        <w:rPr>
          <w:b w:val="0"/>
          <w:bCs/>
          <w:iCs/>
          <w:lang w:val="fr-FR"/>
        </w:rPr>
        <w:t xml:space="preserve"> </w:t>
      </w:r>
      <w:r w:rsidRPr="009070BD">
        <w:rPr>
          <w:b w:val="0"/>
          <w:bCs/>
          <w:iCs/>
          <w:lang w:val="hy-AM"/>
        </w:rPr>
        <w:t>միջոցառումները</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 xml:space="preserve">15.1 </w:t>
      </w:r>
      <w:r w:rsidRPr="009070BD">
        <w:rPr>
          <w:b w:val="0"/>
          <w:bCs/>
          <w:iCs/>
          <w:lang w:val="hy-AM"/>
        </w:rPr>
        <w:t>Ֆինանսական աջակցություն տեղական ինքնակառավարման մարմիններին.</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lang w:val="fr-FR"/>
        </w:rPr>
        <w:t>«</w:t>
      </w:r>
      <w:r w:rsidRPr="009070BD">
        <w:rPr>
          <w:b w:val="0"/>
          <w:bCs/>
          <w:iCs/>
        </w:rPr>
        <w:t>Տեղական</w:t>
      </w:r>
      <w:r w:rsidRPr="009070BD">
        <w:rPr>
          <w:b w:val="0"/>
          <w:bCs/>
          <w:iCs/>
          <w:lang w:val="fr-FR"/>
        </w:rPr>
        <w:t xml:space="preserve"> </w:t>
      </w:r>
      <w:r w:rsidRPr="009070BD">
        <w:rPr>
          <w:b w:val="0"/>
          <w:bCs/>
          <w:iCs/>
        </w:rPr>
        <w:t>ինքնակառավարման</w:t>
      </w:r>
      <w:r w:rsidRPr="009070BD">
        <w:rPr>
          <w:b w:val="0"/>
          <w:bCs/>
          <w:iCs/>
          <w:lang w:val="fr-FR"/>
        </w:rPr>
        <w:t xml:space="preserve"> </w:t>
      </w:r>
      <w:r w:rsidRPr="009070BD">
        <w:rPr>
          <w:b w:val="0"/>
          <w:bCs/>
          <w:iCs/>
        </w:rPr>
        <w:t>մասին</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օրենքի</w:t>
      </w:r>
      <w:r w:rsidRPr="009070BD">
        <w:rPr>
          <w:b w:val="0"/>
          <w:bCs/>
          <w:iCs/>
          <w:lang w:val="fr-FR"/>
        </w:rPr>
        <w:t xml:space="preserve"> 87-</w:t>
      </w:r>
      <w:r w:rsidRPr="009070BD">
        <w:rPr>
          <w:b w:val="0"/>
          <w:bCs/>
          <w:iCs/>
        </w:rPr>
        <w:t>րդ</w:t>
      </w:r>
      <w:r w:rsidRPr="009070BD">
        <w:rPr>
          <w:b w:val="0"/>
          <w:bCs/>
          <w:iCs/>
          <w:lang w:val="fr-FR"/>
        </w:rPr>
        <w:t xml:space="preserve"> </w:t>
      </w:r>
      <w:r w:rsidRPr="009070BD">
        <w:rPr>
          <w:b w:val="0"/>
          <w:bCs/>
          <w:iCs/>
        </w:rPr>
        <w:t>հոդվածի</w:t>
      </w:r>
      <w:r w:rsidRPr="009070BD">
        <w:rPr>
          <w:b w:val="0"/>
          <w:bCs/>
          <w:iCs/>
          <w:lang w:val="fr-FR"/>
        </w:rPr>
        <w:t xml:space="preserve"> 2-</w:t>
      </w:r>
      <w:r w:rsidRPr="009070BD">
        <w:rPr>
          <w:b w:val="0"/>
          <w:bCs/>
          <w:iCs/>
        </w:rPr>
        <w:t>րդ</w:t>
      </w:r>
      <w:r w:rsidRPr="009070BD">
        <w:rPr>
          <w:b w:val="0"/>
          <w:bCs/>
          <w:iCs/>
          <w:lang w:val="fr-FR"/>
        </w:rPr>
        <w:t xml:space="preserve"> </w:t>
      </w:r>
      <w:r w:rsidRPr="009070BD">
        <w:rPr>
          <w:b w:val="0"/>
          <w:bCs/>
          <w:iCs/>
        </w:rPr>
        <w:t>մասի</w:t>
      </w:r>
      <w:r w:rsidRPr="009070BD">
        <w:rPr>
          <w:b w:val="0"/>
          <w:bCs/>
          <w:iCs/>
          <w:lang w:val="fr-FR"/>
        </w:rPr>
        <w:t xml:space="preserve"> </w:t>
      </w:r>
      <w:r w:rsidRPr="009070BD">
        <w:rPr>
          <w:b w:val="0"/>
          <w:bCs/>
          <w:iCs/>
        </w:rPr>
        <w:t>դրույթը</w:t>
      </w:r>
      <w:r w:rsidRPr="009070BD">
        <w:rPr>
          <w:b w:val="0"/>
          <w:bCs/>
          <w:iCs/>
          <w:lang w:val="fr-FR"/>
        </w:rPr>
        <w:t xml:space="preserve"> </w:t>
      </w:r>
      <w:r w:rsidRPr="009070BD">
        <w:rPr>
          <w:b w:val="0"/>
          <w:bCs/>
          <w:iCs/>
        </w:rPr>
        <w:t>սահմանում</w:t>
      </w:r>
      <w:r w:rsidRPr="009070BD">
        <w:rPr>
          <w:b w:val="0"/>
          <w:bCs/>
          <w:iCs/>
          <w:lang w:val="fr-FR"/>
        </w:rPr>
        <w:t xml:space="preserve"> </w:t>
      </w:r>
      <w:r w:rsidRPr="009070BD">
        <w:rPr>
          <w:b w:val="0"/>
          <w:bCs/>
          <w:iCs/>
        </w:rPr>
        <w:t>է</w:t>
      </w:r>
      <w:r w:rsidRPr="009070BD">
        <w:rPr>
          <w:b w:val="0"/>
          <w:bCs/>
          <w:iCs/>
          <w:lang w:val="fr-FR"/>
        </w:rPr>
        <w:t xml:space="preserve"> (h</w:t>
      </w:r>
      <w:r w:rsidRPr="009070BD">
        <w:rPr>
          <w:b w:val="0"/>
          <w:bCs/>
          <w:iCs/>
        </w:rPr>
        <w:t>ամանման</w:t>
      </w:r>
      <w:r w:rsidRPr="009070BD">
        <w:rPr>
          <w:b w:val="0"/>
          <w:bCs/>
          <w:iCs/>
          <w:lang w:val="fr-FR"/>
        </w:rPr>
        <w:t xml:space="preserve"> </w:t>
      </w:r>
      <w:r w:rsidRPr="009070BD">
        <w:rPr>
          <w:b w:val="0"/>
          <w:bCs/>
          <w:iCs/>
        </w:rPr>
        <w:t>սահմանմամբ</w:t>
      </w:r>
      <w:r w:rsidRPr="009070BD">
        <w:rPr>
          <w:b w:val="0"/>
          <w:bCs/>
          <w:iCs/>
          <w:lang w:val="fr-FR"/>
        </w:rPr>
        <w:t xml:space="preserve"> </w:t>
      </w:r>
      <w:r w:rsidRPr="009070BD">
        <w:rPr>
          <w:b w:val="0"/>
          <w:bCs/>
          <w:iCs/>
        </w:rPr>
        <w:t>դրույթ</w:t>
      </w:r>
      <w:r w:rsidRPr="009070BD">
        <w:rPr>
          <w:b w:val="0"/>
          <w:bCs/>
          <w:iCs/>
          <w:lang w:val="fr-FR"/>
        </w:rPr>
        <w:t xml:space="preserve"> </w:t>
      </w:r>
      <w:r w:rsidRPr="009070BD">
        <w:rPr>
          <w:b w:val="0"/>
          <w:bCs/>
          <w:iCs/>
        </w:rPr>
        <w:t>բերված</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նաև</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յաս</w:t>
      </w:r>
      <w:r w:rsidRPr="009070BD">
        <w:rPr>
          <w:b w:val="0"/>
          <w:bCs/>
          <w:iCs/>
          <w:lang w:val="fr-FR"/>
        </w:rPr>
        <w:softHyphen/>
      </w:r>
      <w:r w:rsidRPr="009070BD">
        <w:rPr>
          <w:b w:val="0"/>
          <w:bCs/>
          <w:iCs/>
        </w:rPr>
        <w:t>տա</w:t>
      </w:r>
      <w:r w:rsidRPr="009070BD">
        <w:rPr>
          <w:b w:val="0"/>
          <w:bCs/>
          <w:iCs/>
          <w:lang w:val="fr-FR"/>
        </w:rPr>
        <w:softHyphen/>
      </w:r>
      <w:r w:rsidRPr="009070BD">
        <w:rPr>
          <w:b w:val="0"/>
          <w:bCs/>
          <w:iCs/>
        </w:rPr>
        <w:t>նի</w:t>
      </w:r>
      <w:r w:rsidRPr="009070BD">
        <w:rPr>
          <w:b w:val="0"/>
          <w:bCs/>
          <w:iCs/>
          <w:lang w:val="fr-FR"/>
        </w:rPr>
        <w:t xml:space="preserve"> </w:t>
      </w:r>
      <w:r w:rsidRPr="009070BD">
        <w:rPr>
          <w:b w:val="0"/>
          <w:bCs/>
          <w:iCs/>
        </w:rPr>
        <w:t>Հանրապետության</w:t>
      </w:r>
      <w:r w:rsidRPr="009070BD">
        <w:rPr>
          <w:b w:val="0"/>
          <w:bCs/>
          <w:iCs/>
          <w:lang w:val="fr-FR"/>
        </w:rPr>
        <w:t xml:space="preserve"> </w:t>
      </w:r>
      <w:r w:rsidRPr="009070BD">
        <w:rPr>
          <w:b w:val="0"/>
          <w:bCs/>
          <w:iCs/>
        </w:rPr>
        <w:t>բյուջետային</w:t>
      </w:r>
      <w:r w:rsidRPr="009070BD">
        <w:rPr>
          <w:b w:val="0"/>
          <w:bCs/>
          <w:iCs/>
          <w:lang w:val="fr-FR"/>
        </w:rPr>
        <w:t xml:space="preserve"> </w:t>
      </w:r>
      <w:r w:rsidRPr="009070BD">
        <w:rPr>
          <w:b w:val="0"/>
          <w:bCs/>
          <w:iCs/>
        </w:rPr>
        <w:t>համակարգի</w:t>
      </w:r>
      <w:r w:rsidRPr="009070BD">
        <w:rPr>
          <w:b w:val="0"/>
          <w:bCs/>
          <w:iCs/>
          <w:lang w:val="fr-FR"/>
        </w:rPr>
        <w:t xml:space="preserve"> </w:t>
      </w:r>
      <w:r w:rsidRPr="009070BD">
        <w:rPr>
          <w:b w:val="0"/>
          <w:bCs/>
          <w:iCs/>
        </w:rPr>
        <w:t>մասին</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օրենքի</w:t>
      </w:r>
      <w:r w:rsidRPr="009070BD">
        <w:rPr>
          <w:b w:val="0"/>
          <w:bCs/>
          <w:iCs/>
          <w:lang w:val="fr-FR"/>
        </w:rPr>
        <w:t xml:space="preserve"> 20-</w:t>
      </w:r>
      <w:r w:rsidRPr="009070BD">
        <w:rPr>
          <w:b w:val="0"/>
          <w:bCs/>
          <w:iCs/>
        </w:rPr>
        <w:t>րդ</w:t>
      </w:r>
      <w:r w:rsidRPr="009070BD">
        <w:rPr>
          <w:b w:val="0"/>
          <w:bCs/>
          <w:iCs/>
          <w:lang w:val="fr-FR"/>
        </w:rPr>
        <w:t xml:space="preserve"> </w:t>
      </w:r>
      <w:r w:rsidRPr="009070BD">
        <w:rPr>
          <w:b w:val="0"/>
          <w:bCs/>
          <w:iCs/>
        </w:rPr>
        <w:t>հոդ</w:t>
      </w:r>
      <w:r w:rsidRPr="009070BD">
        <w:rPr>
          <w:b w:val="0"/>
          <w:bCs/>
          <w:iCs/>
          <w:lang w:val="fr-FR"/>
        </w:rPr>
        <w:softHyphen/>
      </w:r>
      <w:r w:rsidRPr="009070BD">
        <w:rPr>
          <w:b w:val="0"/>
          <w:bCs/>
          <w:iCs/>
        </w:rPr>
        <w:t>վածի</w:t>
      </w:r>
      <w:r w:rsidRPr="009070BD">
        <w:rPr>
          <w:b w:val="0"/>
          <w:bCs/>
          <w:iCs/>
          <w:lang w:val="fr-FR"/>
        </w:rPr>
        <w:t xml:space="preserve"> 2-</w:t>
      </w:r>
      <w:r w:rsidRPr="009070BD">
        <w:rPr>
          <w:b w:val="0"/>
          <w:bCs/>
          <w:iCs/>
        </w:rPr>
        <w:t>րդ</w:t>
      </w:r>
      <w:r w:rsidRPr="009070BD">
        <w:rPr>
          <w:b w:val="0"/>
          <w:bCs/>
          <w:iCs/>
          <w:lang w:val="fr-FR"/>
        </w:rPr>
        <w:t xml:space="preserve"> </w:t>
      </w:r>
      <w:r w:rsidRPr="009070BD">
        <w:rPr>
          <w:b w:val="0"/>
          <w:bCs/>
          <w:iCs/>
        </w:rPr>
        <w:t>մասի</w:t>
      </w:r>
      <w:r w:rsidRPr="009070BD">
        <w:rPr>
          <w:b w:val="0"/>
          <w:bCs/>
          <w:iCs/>
          <w:lang w:val="fr-FR"/>
        </w:rPr>
        <w:t xml:space="preserve"> </w:t>
      </w:r>
      <w:r w:rsidRPr="009070BD">
        <w:rPr>
          <w:b w:val="0"/>
          <w:bCs/>
          <w:iCs/>
        </w:rPr>
        <w:t>երկ</w:t>
      </w:r>
      <w:r w:rsidRPr="009070BD">
        <w:rPr>
          <w:b w:val="0"/>
          <w:bCs/>
          <w:iCs/>
          <w:lang w:val="fr-FR"/>
        </w:rPr>
        <w:softHyphen/>
      </w:r>
      <w:r w:rsidRPr="009070BD">
        <w:rPr>
          <w:b w:val="0"/>
          <w:bCs/>
          <w:iCs/>
        </w:rPr>
        <w:t>րորդ</w:t>
      </w:r>
      <w:r w:rsidRPr="009070BD">
        <w:rPr>
          <w:b w:val="0"/>
          <w:bCs/>
          <w:iCs/>
          <w:lang w:val="fr-FR"/>
        </w:rPr>
        <w:t xml:space="preserve"> </w:t>
      </w:r>
      <w:r w:rsidRPr="009070BD">
        <w:rPr>
          <w:b w:val="0"/>
          <w:bCs/>
          <w:iCs/>
        </w:rPr>
        <w:t>պարբերությունում</w:t>
      </w:r>
      <w:r w:rsidRPr="009070BD">
        <w:rPr>
          <w:b w:val="0"/>
          <w:bCs/>
          <w:iCs/>
          <w:lang w:val="fr-FR"/>
        </w:rPr>
        <w:t xml:space="preserve">), </w:t>
      </w:r>
      <w:r w:rsidRPr="009070BD">
        <w:rPr>
          <w:b w:val="0"/>
          <w:bCs/>
          <w:iCs/>
        </w:rPr>
        <w:t>որ</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բյուջեից</w:t>
      </w:r>
      <w:r w:rsidRPr="009070BD">
        <w:rPr>
          <w:b w:val="0"/>
          <w:bCs/>
          <w:iCs/>
          <w:lang w:val="fr-FR"/>
        </w:rPr>
        <w:t xml:space="preserve"> </w:t>
      </w:r>
      <w:r w:rsidRPr="009070BD">
        <w:rPr>
          <w:b w:val="0"/>
          <w:bCs/>
          <w:iCs/>
        </w:rPr>
        <w:t>համայնքներին</w:t>
      </w:r>
      <w:r w:rsidRPr="009070BD">
        <w:rPr>
          <w:b w:val="0"/>
          <w:bCs/>
          <w:iCs/>
          <w:lang w:val="fr-FR"/>
        </w:rPr>
        <w:t xml:space="preserve"> </w:t>
      </w:r>
      <w:r w:rsidRPr="009070BD">
        <w:rPr>
          <w:b w:val="0"/>
          <w:bCs/>
          <w:iCs/>
        </w:rPr>
        <w:t>ֆինան</w:t>
      </w:r>
      <w:r w:rsidRPr="009070BD">
        <w:rPr>
          <w:b w:val="0"/>
          <w:bCs/>
          <w:iCs/>
          <w:lang w:val="fr-FR"/>
        </w:rPr>
        <w:softHyphen/>
      </w:r>
      <w:r w:rsidRPr="009070BD">
        <w:rPr>
          <w:b w:val="0"/>
          <w:bCs/>
          <w:iCs/>
        </w:rPr>
        <w:t>սա</w:t>
      </w:r>
      <w:r w:rsidRPr="009070BD">
        <w:rPr>
          <w:b w:val="0"/>
          <w:bCs/>
          <w:iCs/>
          <w:lang w:val="fr-FR"/>
        </w:rPr>
        <w:softHyphen/>
      </w:r>
      <w:r w:rsidRPr="009070BD">
        <w:rPr>
          <w:b w:val="0"/>
          <w:bCs/>
          <w:iCs/>
        </w:rPr>
        <w:t>կան</w:t>
      </w:r>
      <w:r w:rsidRPr="009070BD">
        <w:rPr>
          <w:b w:val="0"/>
          <w:bCs/>
          <w:iCs/>
          <w:lang w:val="fr-FR"/>
        </w:rPr>
        <w:t xml:space="preserve"> </w:t>
      </w:r>
      <w:r w:rsidRPr="009070BD">
        <w:rPr>
          <w:b w:val="0"/>
          <w:bCs/>
          <w:iCs/>
        </w:rPr>
        <w:t>համա</w:t>
      </w:r>
      <w:r w:rsidRPr="009070BD">
        <w:rPr>
          <w:b w:val="0"/>
          <w:bCs/>
          <w:iCs/>
          <w:lang w:val="fr-FR"/>
        </w:rPr>
        <w:softHyphen/>
      </w:r>
      <w:r w:rsidRPr="009070BD">
        <w:rPr>
          <w:b w:val="0"/>
          <w:bCs/>
          <w:iCs/>
        </w:rPr>
        <w:t>հարթեցման</w:t>
      </w:r>
      <w:r w:rsidRPr="009070BD">
        <w:rPr>
          <w:b w:val="0"/>
          <w:bCs/>
          <w:iCs/>
          <w:lang w:val="fr-FR"/>
        </w:rPr>
        <w:t xml:space="preserve"> </w:t>
      </w:r>
      <w:r w:rsidRPr="009070BD">
        <w:rPr>
          <w:b w:val="0"/>
          <w:bCs/>
          <w:iCs/>
        </w:rPr>
        <w:t>սկզբունքով</w:t>
      </w:r>
      <w:r w:rsidRPr="009070BD">
        <w:rPr>
          <w:b w:val="0"/>
          <w:bCs/>
          <w:iCs/>
          <w:lang w:val="fr-FR"/>
        </w:rPr>
        <w:t xml:space="preserve"> </w:t>
      </w:r>
      <w:r w:rsidRPr="009070BD">
        <w:rPr>
          <w:b w:val="0"/>
          <w:bCs/>
          <w:iCs/>
        </w:rPr>
        <w:t>տվյալ</w:t>
      </w:r>
      <w:r w:rsidRPr="009070BD">
        <w:rPr>
          <w:b w:val="0"/>
          <w:bCs/>
          <w:iCs/>
          <w:lang w:val="fr-FR"/>
        </w:rPr>
        <w:t xml:space="preserve"> </w:t>
      </w:r>
      <w:r w:rsidRPr="009070BD">
        <w:rPr>
          <w:b w:val="0"/>
          <w:bCs/>
          <w:iCs/>
        </w:rPr>
        <w:t>տարում</w:t>
      </w:r>
      <w:r w:rsidRPr="009070BD">
        <w:rPr>
          <w:b w:val="0"/>
          <w:bCs/>
          <w:iCs/>
          <w:lang w:val="fr-FR"/>
        </w:rPr>
        <w:t xml:space="preserve"> </w:t>
      </w:r>
      <w:r w:rsidRPr="009070BD">
        <w:rPr>
          <w:b w:val="0"/>
          <w:bCs/>
          <w:iCs/>
        </w:rPr>
        <w:t>տրամադրվող</w:t>
      </w:r>
      <w:r w:rsidRPr="009070BD">
        <w:rPr>
          <w:b w:val="0"/>
          <w:bCs/>
          <w:iCs/>
          <w:lang w:val="fr-FR"/>
        </w:rPr>
        <w:t xml:space="preserve"> </w:t>
      </w:r>
      <w:r w:rsidRPr="009070BD">
        <w:rPr>
          <w:b w:val="0"/>
          <w:bCs/>
          <w:iCs/>
        </w:rPr>
        <w:t>դոտացիաների</w:t>
      </w:r>
      <w:r w:rsidRPr="009070BD">
        <w:rPr>
          <w:b w:val="0"/>
          <w:bCs/>
          <w:iCs/>
          <w:lang w:val="fr-FR"/>
        </w:rPr>
        <w:t xml:space="preserve"> </w:t>
      </w:r>
      <w:r w:rsidRPr="009070BD">
        <w:rPr>
          <w:b w:val="0"/>
          <w:bCs/>
          <w:iCs/>
        </w:rPr>
        <w:t>ընդհանուր</w:t>
      </w:r>
      <w:r w:rsidRPr="009070BD">
        <w:rPr>
          <w:b w:val="0"/>
          <w:bCs/>
          <w:iCs/>
          <w:lang w:val="fr-FR"/>
        </w:rPr>
        <w:t xml:space="preserve"> </w:t>
      </w:r>
      <w:r w:rsidRPr="009070BD">
        <w:rPr>
          <w:b w:val="0"/>
          <w:bCs/>
          <w:iCs/>
        </w:rPr>
        <w:t>գումարը</w:t>
      </w:r>
      <w:r w:rsidRPr="009070BD">
        <w:rPr>
          <w:b w:val="0"/>
          <w:bCs/>
          <w:iCs/>
          <w:lang w:val="fr-FR"/>
        </w:rPr>
        <w:t xml:space="preserve"> (</w:t>
      </w:r>
      <w:r w:rsidRPr="009070BD">
        <w:rPr>
          <w:b w:val="0"/>
          <w:bCs/>
          <w:iCs/>
        </w:rPr>
        <w:t>ներառյալ</w:t>
      </w:r>
      <w:r w:rsidRPr="009070BD">
        <w:rPr>
          <w:b w:val="0"/>
          <w:bCs/>
          <w:iCs/>
          <w:lang w:val="fr-FR"/>
        </w:rPr>
        <w:t>` «</w:t>
      </w:r>
      <w:r w:rsidRPr="009070BD">
        <w:rPr>
          <w:b w:val="0"/>
          <w:bCs/>
          <w:iCs/>
        </w:rPr>
        <w:t>Տեղական</w:t>
      </w:r>
      <w:r w:rsidRPr="009070BD">
        <w:rPr>
          <w:b w:val="0"/>
          <w:bCs/>
          <w:iCs/>
          <w:lang w:val="fr-FR"/>
        </w:rPr>
        <w:t xml:space="preserve"> </w:t>
      </w:r>
      <w:r w:rsidRPr="009070BD">
        <w:rPr>
          <w:b w:val="0"/>
          <w:bCs/>
          <w:iCs/>
        </w:rPr>
        <w:t>ինքնակառավարման</w:t>
      </w:r>
      <w:r w:rsidRPr="009070BD">
        <w:rPr>
          <w:b w:val="0"/>
          <w:bCs/>
          <w:iCs/>
          <w:lang w:val="fr-FR"/>
        </w:rPr>
        <w:t xml:space="preserve"> </w:t>
      </w:r>
      <w:r w:rsidRPr="009070BD">
        <w:rPr>
          <w:b w:val="0"/>
          <w:bCs/>
          <w:iCs/>
        </w:rPr>
        <w:t>մասին</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օրենքի</w:t>
      </w:r>
      <w:r w:rsidRPr="009070BD">
        <w:rPr>
          <w:b w:val="0"/>
          <w:bCs/>
          <w:iCs/>
          <w:lang w:val="fr-FR"/>
        </w:rPr>
        <w:t xml:space="preserve"> 93-</w:t>
      </w:r>
      <w:r w:rsidRPr="009070BD">
        <w:rPr>
          <w:b w:val="0"/>
          <w:bCs/>
          <w:iCs/>
        </w:rPr>
        <w:t>րդ</w:t>
      </w:r>
      <w:r w:rsidRPr="009070BD">
        <w:rPr>
          <w:b w:val="0"/>
          <w:bCs/>
          <w:iCs/>
          <w:lang w:val="fr-FR"/>
        </w:rPr>
        <w:t xml:space="preserve"> </w:t>
      </w:r>
      <w:r w:rsidRPr="009070BD">
        <w:rPr>
          <w:b w:val="0"/>
          <w:bCs/>
          <w:iCs/>
        </w:rPr>
        <w:t>հոդվածի</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մաձայն</w:t>
      </w:r>
      <w:r w:rsidRPr="009070BD">
        <w:rPr>
          <w:b w:val="0"/>
          <w:bCs/>
          <w:iCs/>
          <w:lang w:val="fr-FR"/>
        </w:rPr>
        <w:t xml:space="preserve"> </w:t>
      </w:r>
      <w:r w:rsidRPr="009070BD">
        <w:rPr>
          <w:b w:val="0"/>
          <w:bCs/>
          <w:iCs/>
        </w:rPr>
        <w:t>պետության</w:t>
      </w:r>
      <w:r w:rsidRPr="009070BD">
        <w:rPr>
          <w:b w:val="0"/>
          <w:bCs/>
          <w:iCs/>
          <w:lang w:val="fr-FR"/>
        </w:rPr>
        <w:t xml:space="preserve"> </w:t>
      </w:r>
      <w:r w:rsidRPr="009070BD">
        <w:rPr>
          <w:b w:val="0"/>
          <w:bCs/>
          <w:iCs/>
        </w:rPr>
        <w:t>կողմից</w:t>
      </w:r>
      <w:r w:rsidRPr="009070BD">
        <w:rPr>
          <w:b w:val="0"/>
          <w:bCs/>
          <w:iCs/>
          <w:lang w:val="fr-FR"/>
        </w:rPr>
        <w:t xml:space="preserve"> </w:t>
      </w:r>
      <w:r w:rsidRPr="009070BD">
        <w:rPr>
          <w:b w:val="0"/>
          <w:bCs/>
          <w:iCs/>
        </w:rPr>
        <w:t>համայնքներին</w:t>
      </w:r>
      <w:r w:rsidRPr="009070BD">
        <w:rPr>
          <w:b w:val="0"/>
          <w:bCs/>
          <w:iCs/>
          <w:lang w:val="fr-FR"/>
        </w:rPr>
        <w:t xml:space="preserve"> </w:t>
      </w:r>
      <w:r w:rsidRPr="009070BD">
        <w:rPr>
          <w:b w:val="0"/>
          <w:bCs/>
          <w:iCs/>
        </w:rPr>
        <w:t>տվյալ</w:t>
      </w:r>
      <w:r w:rsidRPr="009070BD">
        <w:rPr>
          <w:b w:val="0"/>
          <w:bCs/>
          <w:iCs/>
          <w:lang w:val="fr-FR"/>
        </w:rPr>
        <w:t xml:space="preserve"> </w:t>
      </w:r>
      <w:r w:rsidRPr="009070BD">
        <w:rPr>
          <w:b w:val="0"/>
          <w:bCs/>
          <w:iCs/>
        </w:rPr>
        <w:t>տարում</w:t>
      </w:r>
      <w:r w:rsidRPr="009070BD">
        <w:rPr>
          <w:b w:val="0"/>
          <w:bCs/>
          <w:iCs/>
          <w:lang w:val="fr-FR"/>
        </w:rPr>
        <w:t xml:space="preserve"> </w:t>
      </w:r>
      <w:r w:rsidRPr="009070BD">
        <w:rPr>
          <w:b w:val="0"/>
          <w:bCs/>
          <w:iCs/>
        </w:rPr>
        <w:t>տրվող</w:t>
      </w:r>
      <w:r w:rsidRPr="009070BD">
        <w:rPr>
          <w:b w:val="0"/>
          <w:bCs/>
          <w:iCs/>
          <w:lang w:val="fr-FR"/>
        </w:rPr>
        <w:t xml:space="preserve"> </w:t>
      </w:r>
      <w:r w:rsidRPr="009070BD">
        <w:rPr>
          <w:b w:val="0"/>
          <w:bCs/>
          <w:iCs/>
        </w:rPr>
        <w:t>փոխհատուցման</w:t>
      </w:r>
      <w:r w:rsidRPr="009070BD">
        <w:rPr>
          <w:b w:val="0"/>
          <w:bCs/>
          <w:iCs/>
          <w:lang w:val="fr-FR"/>
        </w:rPr>
        <w:t xml:space="preserve"> </w:t>
      </w:r>
      <w:r w:rsidRPr="009070BD">
        <w:rPr>
          <w:b w:val="0"/>
          <w:bCs/>
          <w:iCs/>
        </w:rPr>
        <w:t>գումար</w:t>
      </w:r>
      <w:r w:rsidRPr="009070BD">
        <w:rPr>
          <w:b w:val="0"/>
          <w:bCs/>
          <w:iCs/>
          <w:lang w:val="fr-FR"/>
        </w:rPr>
        <w:softHyphen/>
      </w:r>
      <w:r w:rsidRPr="009070BD">
        <w:rPr>
          <w:b w:val="0"/>
          <w:bCs/>
          <w:iCs/>
        </w:rPr>
        <w:t>նե</w:t>
      </w:r>
      <w:r w:rsidRPr="009070BD">
        <w:rPr>
          <w:b w:val="0"/>
          <w:bCs/>
          <w:iCs/>
          <w:lang w:val="fr-FR"/>
        </w:rPr>
        <w:softHyphen/>
      </w:r>
      <w:r w:rsidRPr="009070BD">
        <w:rPr>
          <w:b w:val="0"/>
          <w:bCs/>
          <w:iCs/>
        </w:rPr>
        <w:t>րը</w:t>
      </w:r>
      <w:r w:rsidRPr="009070BD">
        <w:rPr>
          <w:b w:val="0"/>
          <w:bCs/>
          <w:iCs/>
          <w:lang w:val="fr-FR"/>
        </w:rPr>
        <w:t xml:space="preserve">) </w:t>
      </w:r>
      <w:r w:rsidRPr="009070BD">
        <w:rPr>
          <w:b w:val="0"/>
          <w:bCs/>
          <w:iCs/>
        </w:rPr>
        <w:t>սահ</w:t>
      </w:r>
      <w:r w:rsidRPr="009070BD">
        <w:rPr>
          <w:b w:val="0"/>
          <w:bCs/>
          <w:iCs/>
          <w:lang w:val="fr-FR"/>
        </w:rPr>
        <w:softHyphen/>
      </w:r>
      <w:r w:rsidRPr="009070BD">
        <w:rPr>
          <w:b w:val="0"/>
          <w:bCs/>
          <w:iCs/>
        </w:rPr>
        <w:t>մանվում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ոչ</w:t>
      </w:r>
      <w:r w:rsidRPr="009070BD">
        <w:rPr>
          <w:b w:val="0"/>
          <w:bCs/>
          <w:iCs/>
          <w:lang w:val="fr-FR"/>
        </w:rPr>
        <w:t xml:space="preserve"> </w:t>
      </w:r>
      <w:r w:rsidRPr="009070BD">
        <w:rPr>
          <w:b w:val="0"/>
          <w:bCs/>
          <w:iCs/>
        </w:rPr>
        <w:t>պակաս</w:t>
      </w:r>
      <w:r w:rsidRPr="009070BD">
        <w:rPr>
          <w:b w:val="0"/>
          <w:bCs/>
          <w:iCs/>
          <w:lang w:val="fr-FR"/>
        </w:rPr>
        <w:t xml:space="preserve">, </w:t>
      </w:r>
      <w:r w:rsidRPr="009070BD">
        <w:rPr>
          <w:b w:val="0"/>
          <w:bCs/>
          <w:iCs/>
        </w:rPr>
        <w:t>քան</w:t>
      </w:r>
      <w:r w:rsidRPr="009070BD">
        <w:rPr>
          <w:b w:val="0"/>
          <w:bCs/>
          <w:iCs/>
          <w:lang w:val="fr-FR"/>
        </w:rPr>
        <w:t xml:space="preserve"> </w:t>
      </w:r>
      <w:r w:rsidRPr="009070BD">
        <w:rPr>
          <w:b w:val="0"/>
          <w:bCs/>
          <w:iCs/>
        </w:rPr>
        <w:t>տվյալ</w:t>
      </w:r>
      <w:r w:rsidRPr="009070BD">
        <w:rPr>
          <w:b w:val="0"/>
          <w:bCs/>
          <w:iCs/>
          <w:lang w:val="fr-FR"/>
        </w:rPr>
        <w:t xml:space="preserve"> </w:t>
      </w:r>
      <w:r w:rsidRPr="009070BD">
        <w:rPr>
          <w:b w:val="0"/>
          <w:bCs/>
          <w:iCs/>
        </w:rPr>
        <w:t>տարվան</w:t>
      </w:r>
      <w:r w:rsidRPr="009070BD">
        <w:rPr>
          <w:b w:val="0"/>
          <w:bCs/>
          <w:iCs/>
          <w:lang w:val="fr-FR"/>
        </w:rPr>
        <w:t xml:space="preserve"> </w:t>
      </w:r>
      <w:r w:rsidRPr="009070BD">
        <w:rPr>
          <w:b w:val="0"/>
          <w:bCs/>
          <w:iCs/>
        </w:rPr>
        <w:t>նախորդող</w:t>
      </w:r>
      <w:r w:rsidRPr="009070BD">
        <w:rPr>
          <w:b w:val="0"/>
          <w:bCs/>
          <w:iCs/>
          <w:lang w:val="fr-FR"/>
        </w:rPr>
        <w:t xml:space="preserve"> </w:t>
      </w:r>
      <w:r w:rsidRPr="009070BD">
        <w:rPr>
          <w:b w:val="0"/>
          <w:bCs/>
          <w:iCs/>
        </w:rPr>
        <w:t>երկրորդ</w:t>
      </w:r>
      <w:r w:rsidRPr="009070BD">
        <w:rPr>
          <w:b w:val="0"/>
          <w:bCs/>
          <w:iCs/>
          <w:lang w:val="fr-FR"/>
        </w:rPr>
        <w:t xml:space="preserve"> </w:t>
      </w:r>
      <w:r w:rsidRPr="009070BD">
        <w:rPr>
          <w:b w:val="0"/>
          <w:bCs/>
          <w:iCs/>
        </w:rPr>
        <w:t>բյուջետային</w:t>
      </w:r>
      <w:r w:rsidRPr="009070BD">
        <w:rPr>
          <w:b w:val="0"/>
          <w:bCs/>
          <w:iCs/>
          <w:lang w:val="fr-FR"/>
        </w:rPr>
        <w:t xml:space="preserve"> </w:t>
      </w:r>
      <w:r w:rsidRPr="009070BD">
        <w:rPr>
          <w:b w:val="0"/>
          <w:bCs/>
          <w:iCs/>
        </w:rPr>
        <w:t>տարում</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մախմբված</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փաստացի</w:t>
      </w:r>
      <w:r w:rsidRPr="009070BD">
        <w:rPr>
          <w:b w:val="0"/>
          <w:bCs/>
          <w:iCs/>
          <w:lang w:val="fr-FR"/>
        </w:rPr>
        <w:t xml:space="preserve"> </w:t>
      </w:r>
      <w:r w:rsidRPr="009070BD">
        <w:rPr>
          <w:b w:val="0"/>
          <w:bCs/>
          <w:iCs/>
        </w:rPr>
        <w:t>եկամուտների</w:t>
      </w:r>
      <w:r w:rsidRPr="009070BD">
        <w:rPr>
          <w:b w:val="0"/>
          <w:bCs/>
          <w:iCs/>
          <w:lang w:val="fr-FR"/>
        </w:rPr>
        <w:t xml:space="preserve"> </w:t>
      </w:r>
      <w:r w:rsidRPr="009070BD">
        <w:rPr>
          <w:b w:val="0"/>
          <w:bCs/>
          <w:iCs/>
        </w:rPr>
        <w:t>հանրագու</w:t>
      </w:r>
      <w:r w:rsidRPr="009070BD">
        <w:rPr>
          <w:b w:val="0"/>
          <w:bCs/>
          <w:iCs/>
          <w:lang w:val="fr-FR"/>
        </w:rPr>
        <w:softHyphen/>
      </w:r>
      <w:r w:rsidRPr="009070BD">
        <w:rPr>
          <w:b w:val="0"/>
          <w:bCs/>
          <w:iCs/>
        </w:rPr>
        <w:t>մարի</w:t>
      </w:r>
      <w:r w:rsidRPr="009070BD">
        <w:rPr>
          <w:b w:val="0"/>
          <w:bCs/>
          <w:iCs/>
          <w:lang w:val="fr-FR"/>
        </w:rPr>
        <w:t xml:space="preserve"> </w:t>
      </w:r>
      <w:r w:rsidRPr="009070BD">
        <w:rPr>
          <w:b w:val="0"/>
          <w:bCs/>
          <w:iCs/>
        </w:rPr>
        <w:t>չորս</w:t>
      </w:r>
      <w:r w:rsidRPr="009070BD">
        <w:rPr>
          <w:b w:val="0"/>
          <w:bCs/>
          <w:iCs/>
          <w:lang w:val="fr-FR"/>
        </w:rPr>
        <w:t xml:space="preserve"> </w:t>
      </w:r>
      <w:r w:rsidRPr="009070BD">
        <w:rPr>
          <w:b w:val="0"/>
          <w:bCs/>
          <w:iCs/>
        </w:rPr>
        <w:t>տոկոսը</w:t>
      </w:r>
      <w:r w:rsidRPr="009070BD">
        <w:rPr>
          <w:b w:val="0"/>
          <w:bCs/>
          <w:iCs/>
          <w:lang w:val="fr-FR"/>
        </w:rPr>
        <w:t xml:space="preserve">: 2021 </w:t>
      </w:r>
      <w:r w:rsidRPr="009070BD">
        <w:rPr>
          <w:b w:val="0"/>
          <w:bCs/>
          <w:iCs/>
        </w:rPr>
        <w:t>թվա</w:t>
      </w:r>
      <w:r w:rsidRPr="009070BD">
        <w:rPr>
          <w:b w:val="0"/>
          <w:bCs/>
          <w:iCs/>
          <w:lang w:val="fr-FR"/>
        </w:rPr>
        <w:softHyphen/>
      </w:r>
      <w:r w:rsidRPr="009070BD">
        <w:rPr>
          <w:b w:val="0"/>
          <w:bCs/>
          <w:iCs/>
        </w:rPr>
        <w:t>կանի</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նա</w:t>
      </w:r>
      <w:r w:rsidRPr="009070BD">
        <w:rPr>
          <w:b w:val="0"/>
          <w:bCs/>
          <w:iCs/>
          <w:lang w:val="fr-FR"/>
        </w:rPr>
        <w:softHyphen/>
      </w:r>
      <w:r w:rsidRPr="009070BD">
        <w:rPr>
          <w:b w:val="0"/>
          <w:bCs/>
          <w:iCs/>
        </w:rPr>
        <w:t>խոր</w:t>
      </w:r>
      <w:r w:rsidRPr="009070BD">
        <w:rPr>
          <w:b w:val="0"/>
          <w:bCs/>
          <w:iCs/>
          <w:lang w:val="fr-FR"/>
        </w:rPr>
        <w:softHyphen/>
      </w:r>
      <w:r w:rsidRPr="009070BD">
        <w:rPr>
          <w:b w:val="0"/>
          <w:bCs/>
          <w:iCs/>
        </w:rPr>
        <w:t>դող</w:t>
      </w:r>
      <w:r w:rsidRPr="009070BD">
        <w:rPr>
          <w:b w:val="0"/>
          <w:bCs/>
          <w:iCs/>
          <w:lang w:val="fr-FR"/>
        </w:rPr>
        <w:t xml:space="preserve"> </w:t>
      </w:r>
      <w:r w:rsidRPr="009070BD">
        <w:rPr>
          <w:b w:val="0"/>
          <w:bCs/>
          <w:iCs/>
        </w:rPr>
        <w:t>երկրորդ</w:t>
      </w:r>
      <w:r w:rsidRPr="009070BD">
        <w:rPr>
          <w:b w:val="0"/>
          <w:bCs/>
          <w:iCs/>
          <w:lang w:val="fr-FR"/>
        </w:rPr>
        <w:t xml:space="preserve"> </w:t>
      </w:r>
      <w:r w:rsidRPr="009070BD">
        <w:rPr>
          <w:b w:val="0"/>
          <w:bCs/>
          <w:iCs/>
        </w:rPr>
        <w:t>բյուջե</w:t>
      </w:r>
      <w:r w:rsidRPr="009070BD">
        <w:rPr>
          <w:b w:val="0"/>
          <w:bCs/>
          <w:iCs/>
          <w:lang w:val="fr-FR"/>
        </w:rPr>
        <w:softHyphen/>
      </w:r>
      <w:r w:rsidRPr="009070BD">
        <w:rPr>
          <w:b w:val="0"/>
          <w:bCs/>
          <w:iCs/>
        </w:rPr>
        <w:t>տային</w:t>
      </w:r>
      <w:r w:rsidRPr="009070BD">
        <w:rPr>
          <w:b w:val="0"/>
          <w:bCs/>
          <w:iCs/>
          <w:lang w:val="fr-FR"/>
        </w:rPr>
        <w:t xml:space="preserve"> </w:t>
      </w:r>
      <w:r w:rsidRPr="009070BD">
        <w:rPr>
          <w:b w:val="0"/>
          <w:bCs/>
          <w:iCs/>
        </w:rPr>
        <w:t>տարին</w:t>
      </w:r>
      <w:r w:rsidRPr="009070BD">
        <w:rPr>
          <w:b w:val="0"/>
          <w:bCs/>
          <w:iCs/>
          <w:lang w:val="fr-FR"/>
        </w:rPr>
        <w:t xml:space="preserve">` 2019 </w:t>
      </w:r>
      <w:r w:rsidRPr="009070BD">
        <w:rPr>
          <w:b w:val="0"/>
          <w:bCs/>
          <w:iCs/>
        </w:rPr>
        <w:t>թվա</w:t>
      </w:r>
      <w:r w:rsidRPr="009070BD">
        <w:rPr>
          <w:b w:val="0"/>
          <w:bCs/>
          <w:iCs/>
          <w:lang w:val="fr-FR"/>
        </w:rPr>
        <w:softHyphen/>
      </w:r>
      <w:r w:rsidRPr="009070BD">
        <w:rPr>
          <w:b w:val="0"/>
          <w:bCs/>
          <w:iCs/>
        </w:rPr>
        <w:t>կանի</w:t>
      </w:r>
      <w:r w:rsidRPr="009070BD">
        <w:rPr>
          <w:b w:val="0"/>
          <w:bCs/>
          <w:iCs/>
          <w:lang w:val="fr-FR"/>
        </w:rPr>
        <w:t xml:space="preserve"> </w:t>
      </w:r>
      <w:r w:rsidRPr="009070BD">
        <w:rPr>
          <w:b w:val="0"/>
          <w:bCs/>
          <w:iCs/>
        </w:rPr>
        <w:t>բյուջետային</w:t>
      </w:r>
      <w:r w:rsidRPr="009070BD">
        <w:rPr>
          <w:b w:val="0"/>
          <w:bCs/>
          <w:iCs/>
          <w:lang w:val="fr-FR"/>
        </w:rPr>
        <w:t xml:space="preserve"> </w:t>
      </w:r>
      <w:r w:rsidRPr="009070BD">
        <w:rPr>
          <w:b w:val="0"/>
          <w:bCs/>
          <w:iCs/>
        </w:rPr>
        <w:t>տարին</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հետևա</w:t>
      </w:r>
      <w:r w:rsidRPr="009070BD">
        <w:rPr>
          <w:b w:val="0"/>
          <w:bCs/>
          <w:iCs/>
          <w:lang w:val="fr-FR"/>
        </w:rPr>
        <w:softHyphen/>
      </w:r>
      <w:r w:rsidRPr="009070BD">
        <w:rPr>
          <w:b w:val="0"/>
          <w:bCs/>
          <w:iCs/>
          <w:lang w:val="fr-FR"/>
        </w:rPr>
        <w:softHyphen/>
      </w:r>
      <w:r w:rsidRPr="009070BD">
        <w:rPr>
          <w:b w:val="0"/>
          <w:bCs/>
          <w:iCs/>
        </w:rPr>
        <w:t>բար</w:t>
      </w:r>
      <w:r w:rsidRPr="009070BD">
        <w:rPr>
          <w:b w:val="0"/>
          <w:bCs/>
          <w:iCs/>
          <w:lang w:val="fr-FR"/>
        </w:rPr>
        <w:t xml:space="preserve"> </w:t>
      </w:r>
      <w:r w:rsidRPr="009070BD">
        <w:rPr>
          <w:b w:val="0"/>
          <w:bCs/>
          <w:iCs/>
        </w:rPr>
        <w:t>ըստ</w:t>
      </w:r>
      <w:r w:rsidRPr="009070BD">
        <w:rPr>
          <w:b w:val="0"/>
          <w:bCs/>
          <w:iCs/>
          <w:lang w:val="fr-FR"/>
        </w:rPr>
        <w:t xml:space="preserve"> </w:t>
      </w:r>
      <w:r w:rsidRPr="009070BD">
        <w:rPr>
          <w:b w:val="0"/>
          <w:bCs/>
          <w:iCs/>
        </w:rPr>
        <w:t>վերոհիշյալ</w:t>
      </w:r>
      <w:r w:rsidRPr="009070BD">
        <w:rPr>
          <w:b w:val="0"/>
          <w:bCs/>
          <w:iCs/>
          <w:lang w:val="fr-FR"/>
        </w:rPr>
        <w:t xml:space="preserve"> </w:t>
      </w:r>
      <w:r w:rsidRPr="009070BD">
        <w:rPr>
          <w:b w:val="0"/>
          <w:bCs/>
          <w:iCs/>
        </w:rPr>
        <w:t>օրենք</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վերը</w:t>
      </w:r>
      <w:r w:rsidRPr="009070BD">
        <w:rPr>
          <w:b w:val="0"/>
          <w:bCs/>
          <w:iCs/>
          <w:lang w:val="fr-FR"/>
        </w:rPr>
        <w:t xml:space="preserve"> </w:t>
      </w:r>
      <w:r w:rsidRPr="009070BD">
        <w:rPr>
          <w:b w:val="0"/>
          <w:bCs/>
          <w:iCs/>
        </w:rPr>
        <w:t>նշված</w:t>
      </w:r>
      <w:r w:rsidRPr="009070BD">
        <w:rPr>
          <w:b w:val="0"/>
          <w:bCs/>
          <w:iCs/>
          <w:lang w:val="fr-FR"/>
        </w:rPr>
        <w:t xml:space="preserve"> </w:t>
      </w:r>
      <w:r w:rsidRPr="009070BD">
        <w:rPr>
          <w:b w:val="0"/>
          <w:bCs/>
          <w:iCs/>
        </w:rPr>
        <w:t>պա</w:t>
      </w:r>
      <w:r w:rsidRPr="009070BD">
        <w:rPr>
          <w:b w:val="0"/>
          <w:bCs/>
          <w:iCs/>
          <w:lang w:val="fr-FR"/>
        </w:rPr>
        <w:softHyphen/>
      </w:r>
      <w:r w:rsidRPr="009070BD">
        <w:rPr>
          <w:b w:val="0"/>
          <w:bCs/>
          <w:iCs/>
        </w:rPr>
        <w:t>հան</w:t>
      </w:r>
      <w:r w:rsidRPr="009070BD">
        <w:rPr>
          <w:b w:val="0"/>
          <w:bCs/>
          <w:iCs/>
          <w:lang w:val="fr-FR"/>
        </w:rPr>
        <w:softHyphen/>
      </w:r>
      <w:r w:rsidRPr="009070BD">
        <w:rPr>
          <w:b w:val="0"/>
          <w:bCs/>
          <w:iCs/>
        </w:rPr>
        <w:t>ջի՝</w:t>
      </w:r>
      <w:r w:rsidRPr="009070BD">
        <w:rPr>
          <w:b w:val="0"/>
          <w:bCs/>
          <w:iCs/>
          <w:lang w:val="fr-FR"/>
        </w:rPr>
        <w:t xml:space="preserve"> 2021 </w:t>
      </w:r>
      <w:r w:rsidRPr="009070BD">
        <w:rPr>
          <w:b w:val="0"/>
          <w:bCs/>
          <w:iCs/>
        </w:rPr>
        <w:t>թվականին</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մայնք</w:t>
      </w:r>
      <w:r w:rsidRPr="009070BD">
        <w:rPr>
          <w:b w:val="0"/>
          <w:bCs/>
          <w:iCs/>
          <w:lang w:val="fr-FR"/>
        </w:rPr>
        <w:softHyphen/>
      </w:r>
      <w:r w:rsidRPr="009070BD">
        <w:rPr>
          <w:b w:val="0"/>
          <w:bCs/>
          <w:iCs/>
        </w:rPr>
        <w:t>նե</w:t>
      </w:r>
      <w:r w:rsidRPr="009070BD">
        <w:rPr>
          <w:b w:val="0"/>
          <w:bCs/>
          <w:iCs/>
          <w:lang w:val="fr-FR"/>
        </w:rPr>
        <w:softHyphen/>
      </w:r>
      <w:r w:rsidRPr="009070BD">
        <w:rPr>
          <w:b w:val="0"/>
          <w:bCs/>
          <w:iCs/>
        </w:rPr>
        <w:t>րին</w:t>
      </w:r>
      <w:r w:rsidRPr="009070BD">
        <w:rPr>
          <w:b w:val="0"/>
          <w:bCs/>
          <w:iCs/>
          <w:lang w:val="fr-FR"/>
        </w:rPr>
        <w:t xml:space="preserve"> </w:t>
      </w:r>
      <w:r w:rsidRPr="009070BD">
        <w:rPr>
          <w:b w:val="0"/>
          <w:bCs/>
          <w:iCs/>
        </w:rPr>
        <w:t>տրա</w:t>
      </w:r>
      <w:r w:rsidRPr="009070BD">
        <w:rPr>
          <w:b w:val="0"/>
          <w:bCs/>
          <w:iCs/>
          <w:lang w:val="fr-FR"/>
        </w:rPr>
        <w:softHyphen/>
      </w:r>
      <w:r w:rsidRPr="009070BD">
        <w:rPr>
          <w:b w:val="0"/>
          <w:bCs/>
          <w:iCs/>
          <w:lang w:val="fr-FR"/>
        </w:rPr>
        <w:softHyphen/>
      </w:r>
      <w:r w:rsidRPr="009070BD">
        <w:rPr>
          <w:b w:val="0"/>
          <w:bCs/>
          <w:iCs/>
        </w:rPr>
        <w:t>մադրվող</w:t>
      </w:r>
      <w:r w:rsidRPr="009070BD">
        <w:rPr>
          <w:b w:val="0"/>
          <w:bCs/>
          <w:iCs/>
          <w:lang w:val="fr-FR"/>
        </w:rPr>
        <w:t xml:space="preserve"> </w:t>
      </w:r>
      <w:r w:rsidRPr="009070BD">
        <w:rPr>
          <w:b w:val="0"/>
          <w:bCs/>
          <w:iCs/>
        </w:rPr>
        <w:t>ֆինան</w:t>
      </w:r>
      <w:r w:rsidRPr="009070BD">
        <w:rPr>
          <w:b w:val="0"/>
          <w:bCs/>
          <w:iCs/>
          <w:lang w:val="fr-FR"/>
        </w:rPr>
        <w:softHyphen/>
      </w:r>
      <w:r w:rsidRPr="009070BD">
        <w:rPr>
          <w:b w:val="0"/>
          <w:bCs/>
          <w:iCs/>
        </w:rPr>
        <w:t>սական</w:t>
      </w:r>
      <w:r w:rsidRPr="009070BD">
        <w:rPr>
          <w:b w:val="0"/>
          <w:bCs/>
          <w:iCs/>
          <w:lang w:val="fr-FR"/>
        </w:rPr>
        <w:t xml:space="preserve"> </w:t>
      </w:r>
      <w:r w:rsidRPr="009070BD">
        <w:rPr>
          <w:b w:val="0"/>
          <w:bCs/>
          <w:iCs/>
        </w:rPr>
        <w:t>համա</w:t>
      </w:r>
      <w:r w:rsidRPr="009070BD">
        <w:rPr>
          <w:b w:val="0"/>
          <w:bCs/>
          <w:iCs/>
          <w:lang w:val="fr-FR"/>
        </w:rPr>
        <w:softHyphen/>
      </w:r>
      <w:r w:rsidRPr="009070BD">
        <w:rPr>
          <w:b w:val="0"/>
          <w:bCs/>
          <w:iCs/>
        </w:rPr>
        <w:t>հարթեցման</w:t>
      </w:r>
      <w:r w:rsidRPr="009070BD">
        <w:rPr>
          <w:b w:val="0"/>
          <w:bCs/>
          <w:iCs/>
          <w:lang w:val="fr-FR"/>
        </w:rPr>
        <w:t xml:space="preserve"> </w:t>
      </w:r>
      <w:r w:rsidRPr="009070BD">
        <w:rPr>
          <w:b w:val="0"/>
          <w:bCs/>
          <w:iCs/>
        </w:rPr>
        <w:t>դոտա</w:t>
      </w:r>
      <w:r w:rsidRPr="009070BD">
        <w:rPr>
          <w:b w:val="0"/>
          <w:bCs/>
          <w:iCs/>
          <w:lang w:val="fr-FR"/>
        </w:rPr>
        <w:softHyphen/>
      </w:r>
      <w:r w:rsidRPr="009070BD">
        <w:rPr>
          <w:b w:val="0"/>
          <w:bCs/>
          <w:iCs/>
        </w:rPr>
        <w:t>ցիա</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ընդհա</w:t>
      </w:r>
      <w:r w:rsidRPr="009070BD">
        <w:rPr>
          <w:b w:val="0"/>
          <w:bCs/>
          <w:iCs/>
          <w:lang w:val="fr-FR"/>
        </w:rPr>
        <w:softHyphen/>
      </w:r>
      <w:r w:rsidRPr="009070BD">
        <w:rPr>
          <w:b w:val="0"/>
          <w:bCs/>
          <w:iCs/>
        </w:rPr>
        <w:t>նուր</w:t>
      </w:r>
      <w:r w:rsidRPr="009070BD">
        <w:rPr>
          <w:b w:val="0"/>
          <w:bCs/>
          <w:iCs/>
          <w:lang w:val="fr-FR"/>
        </w:rPr>
        <w:t xml:space="preserve"> </w:t>
      </w:r>
      <w:r w:rsidRPr="009070BD">
        <w:rPr>
          <w:b w:val="0"/>
          <w:bCs/>
          <w:iCs/>
        </w:rPr>
        <w:t>գումարը</w:t>
      </w:r>
      <w:r w:rsidRPr="009070BD">
        <w:rPr>
          <w:b w:val="0"/>
          <w:bCs/>
          <w:iCs/>
          <w:lang w:val="fr-FR"/>
        </w:rPr>
        <w:t xml:space="preserve"> (</w:t>
      </w:r>
      <w:r w:rsidRPr="009070BD">
        <w:rPr>
          <w:b w:val="0"/>
          <w:bCs/>
          <w:iCs/>
        </w:rPr>
        <w:t>ներ</w:t>
      </w:r>
      <w:r w:rsidRPr="009070BD">
        <w:rPr>
          <w:b w:val="0"/>
          <w:bCs/>
          <w:iCs/>
          <w:lang w:val="fr-FR"/>
        </w:rPr>
        <w:softHyphen/>
      </w:r>
      <w:r w:rsidRPr="009070BD">
        <w:rPr>
          <w:b w:val="0"/>
          <w:bCs/>
          <w:iCs/>
        </w:rPr>
        <w:t>առ</w:t>
      </w:r>
      <w:r w:rsidRPr="009070BD">
        <w:rPr>
          <w:b w:val="0"/>
          <w:bCs/>
          <w:iCs/>
          <w:lang w:val="fr-FR"/>
        </w:rPr>
        <w:softHyphen/>
      </w:r>
      <w:r w:rsidRPr="009070BD">
        <w:rPr>
          <w:b w:val="0"/>
          <w:bCs/>
          <w:iCs/>
        </w:rPr>
        <w:t>յալ</w:t>
      </w:r>
      <w:r w:rsidRPr="009070BD">
        <w:rPr>
          <w:b w:val="0"/>
          <w:bCs/>
          <w:iCs/>
          <w:lang w:val="fr-FR"/>
        </w:rPr>
        <w:t xml:space="preserve"> «</w:t>
      </w:r>
      <w:r w:rsidRPr="009070BD">
        <w:rPr>
          <w:b w:val="0"/>
          <w:bCs/>
          <w:iCs/>
        </w:rPr>
        <w:t>Տե</w:t>
      </w:r>
      <w:r w:rsidRPr="009070BD">
        <w:rPr>
          <w:b w:val="0"/>
          <w:bCs/>
          <w:iCs/>
          <w:lang w:val="fr-FR"/>
        </w:rPr>
        <w:softHyphen/>
      </w:r>
      <w:r w:rsidRPr="009070BD">
        <w:rPr>
          <w:b w:val="0"/>
          <w:bCs/>
          <w:iCs/>
        </w:rPr>
        <w:t>ղական</w:t>
      </w:r>
      <w:r w:rsidRPr="009070BD">
        <w:rPr>
          <w:b w:val="0"/>
          <w:bCs/>
          <w:iCs/>
          <w:lang w:val="fr-FR"/>
        </w:rPr>
        <w:t xml:space="preserve"> </w:t>
      </w:r>
      <w:r w:rsidRPr="009070BD">
        <w:rPr>
          <w:b w:val="0"/>
          <w:bCs/>
          <w:iCs/>
        </w:rPr>
        <w:t>ինքնա</w:t>
      </w:r>
      <w:r w:rsidRPr="009070BD">
        <w:rPr>
          <w:b w:val="0"/>
          <w:bCs/>
          <w:iCs/>
          <w:lang w:val="fr-FR"/>
        </w:rPr>
        <w:softHyphen/>
      </w:r>
      <w:r w:rsidRPr="009070BD">
        <w:rPr>
          <w:b w:val="0"/>
          <w:bCs/>
          <w:iCs/>
        </w:rPr>
        <w:t>կա</w:t>
      </w:r>
      <w:r w:rsidRPr="009070BD">
        <w:rPr>
          <w:b w:val="0"/>
          <w:bCs/>
          <w:iCs/>
          <w:lang w:val="fr-FR"/>
        </w:rPr>
        <w:softHyphen/>
      </w:r>
      <w:r w:rsidRPr="009070BD">
        <w:rPr>
          <w:b w:val="0"/>
          <w:bCs/>
          <w:iCs/>
        </w:rPr>
        <w:t>ռա</w:t>
      </w:r>
      <w:r w:rsidRPr="009070BD">
        <w:rPr>
          <w:b w:val="0"/>
          <w:bCs/>
          <w:iCs/>
          <w:lang w:val="fr-FR"/>
        </w:rPr>
        <w:softHyphen/>
      </w:r>
      <w:r w:rsidRPr="009070BD">
        <w:rPr>
          <w:b w:val="0"/>
          <w:bCs/>
          <w:iCs/>
        </w:rPr>
        <w:t>վար</w:t>
      </w:r>
      <w:r w:rsidRPr="009070BD">
        <w:rPr>
          <w:b w:val="0"/>
          <w:bCs/>
          <w:iCs/>
          <w:lang w:val="fr-FR"/>
        </w:rPr>
        <w:softHyphen/>
      </w:r>
      <w:r w:rsidRPr="009070BD">
        <w:rPr>
          <w:b w:val="0"/>
          <w:bCs/>
          <w:iCs/>
        </w:rPr>
        <w:t>ման</w:t>
      </w:r>
      <w:r w:rsidRPr="009070BD">
        <w:rPr>
          <w:b w:val="0"/>
          <w:bCs/>
          <w:iCs/>
          <w:lang w:val="fr-FR"/>
        </w:rPr>
        <w:t xml:space="preserve"> </w:t>
      </w:r>
      <w:r w:rsidRPr="009070BD">
        <w:rPr>
          <w:b w:val="0"/>
          <w:bCs/>
          <w:iCs/>
        </w:rPr>
        <w:t>մասին</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օրենքի</w:t>
      </w:r>
      <w:r w:rsidRPr="009070BD">
        <w:rPr>
          <w:b w:val="0"/>
          <w:bCs/>
          <w:iCs/>
          <w:lang w:val="fr-FR"/>
        </w:rPr>
        <w:t xml:space="preserve"> 93-</w:t>
      </w:r>
      <w:r w:rsidRPr="009070BD">
        <w:rPr>
          <w:b w:val="0"/>
          <w:bCs/>
          <w:iCs/>
        </w:rPr>
        <w:t>րդ</w:t>
      </w:r>
      <w:r w:rsidRPr="009070BD">
        <w:rPr>
          <w:b w:val="0"/>
          <w:bCs/>
          <w:iCs/>
          <w:lang w:val="fr-FR"/>
        </w:rPr>
        <w:t xml:space="preserve"> </w:t>
      </w:r>
      <w:r w:rsidRPr="009070BD">
        <w:rPr>
          <w:b w:val="0"/>
          <w:bCs/>
          <w:iCs/>
        </w:rPr>
        <w:t>հոդվածի</w:t>
      </w:r>
      <w:r w:rsidRPr="009070BD">
        <w:rPr>
          <w:b w:val="0"/>
          <w:bCs/>
          <w:iCs/>
          <w:lang w:val="fr-FR"/>
        </w:rPr>
        <w:t xml:space="preserve"> </w:t>
      </w:r>
      <w:r w:rsidRPr="009070BD">
        <w:rPr>
          <w:b w:val="0"/>
          <w:bCs/>
          <w:iCs/>
        </w:rPr>
        <w:t>համաձայն</w:t>
      </w:r>
      <w:r w:rsidRPr="009070BD">
        <w:rPr>
          <w:b w:val="0"/>
          <w:bCs/>
          <w:iCs/>
          <w:lang w:val="fr-FR"/>
        </w:rPr>
        <w:t xml:space="preserve"> </w:t>
      </w:r>
      <w:r w:rsidRPr="009070BD">
        <w:rPr>
          <w:b w:val="0"/>
          <w:bCs/>
          <w:iCs/>
        </w:rPr>
        <w:t>պե</w:t>
      </w:r>
      <w:r w:rsidRPr="009070BD">
        <w:rPr>
          <w:b w:val="0"/>
          <w:bCs/>
          <w:iCs/>
          <w:lang w:val="fr-FR"/>
        </w:rPr>
        <w:softHyphen/>
      </w:r>
      <w:r w:rsidRPr="009070BD">
        <w:rPr>
          <w:b w:val="0"/>
          <w:bCs/>
          <w:iCs/>
        </w:rPr>
        <w:t>տու</w:t>
      </w:r>
      <w:r w:rsidRPr="009070BD">
        <w:rPr>
          <w:b w:val="0"/>
          <w:bCs/>
          <w:iCs/>
          <w:lang w:val="fr-FR"/>
        </w:rPr>
        <w:softHyphen/>
      </w:r>
      <w:r w:rsidRPr="009070BD">
        <w:rPr>
          <w:b w:val="0"/>
          <w:bCs/>
          <w:iCs/>
        </w:rPr>
        <w:t>թյան</w:t>
      </w:r>
      <w:r w:rsidRPr="009070BD">
        <w:rPr>
          <w:b w:val="0"/>
          <w:bCs/>
          <w:iCs/>
          <w:lang w:val="fr-FR"/>
        </w:rPr>
        <w:t xml:space="preserve"> </w:t>
      </w:r>
      <w:r w:rsidRPr="009070BD">
        <w:rPr>
          <w:b w:val="0"/>
          <w:bCs/>
          <w:iCs/>
        </w:rPr>
        <w:t>կողմից</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lang w:val="fr-FR"/>
        </w:rPr>
        <w:softHyphen/>
      </w:r>
      <w:r w:rsidRPr="009070BD">
        <w:rPr>
          <w:b w:val="0"/>
          <w:bCs/>
          <w:iCs/>
        </w:rPr>
        <w:t>մայնք</w:t>
      </w:r>
      <w:r w:rsidRPr="009070BD">
        <w:rPr>
          <w:b w:val="0"/>
          <w:bCs/>
          <w:iCs/>
          <w:lang w:val="fr-FR"/>
        </w:rPr>
        <w:softHyphen/>
      </w:r>
      <w:r w:rsidRPr="009070BD">
        <w:rPr>
          <w:b w:val="0"/>
          <w:bCs/>
          <w:iCs/>
        </w:rPr>
        <w:t>ներին</w:t>
      </w:r>
      <w:r w:rsidRPr="009070BD">
        <w:rPr>
          <w:b w:val="0"/>
          <w:bCs/>
          <w:iCs/>
          <w:lang w:val="fr-FR"/>
        </w:rPr>
        <w:t xml:space="preserve"> </w:t>
      </w:r>
      <w:r w:rsidRPr="009070BD">
        <w:rPr>
          <w:b w:val="0"/>
          <w:bCs/>
          <w:iCs/>
        </w:rPr>
        <w:t>տվյալ</w:t>
      </w:r>
      <w:r w:rsidRPr="009070BD">
        <w:rPr>
          <w:b w:val="0"/>
          <w:bCs/>
          <w:iCs/>
          <w:lang w:val="fr-FR"/>
        </w:rPr>
        <w:t xml:space="preserve"> </w:t>
      </w:r>
      <w:r w:rsidRPr="009070BD">
        <w:rPr>
          <w:b w:val="0"/>
          <w:bCs/>
          <w:iCs/>
        </w:rPr>
        <w:t>տարում</w:t>
      </w:r>
      <w:r w:rsidRPr="009070BD">
        <w:rPr>
          <w:b w:val="0"/>
          <w:bCs/>
          <w:iCs/>
          <w:lang w:val="fr-FR"/>
        </w:rPr>
        <w:t xml:space="preserve"> </w:t>
      </w:r>
      <w:r w:rsidRPr="009070BD">
        <w:rPr>
          <w:b w:val="0"/>
          <w:bCs/>
          <w:iCs/>
        </w:rPr>
        <w:t>տրվող</w:t>
      </w:r>
      <w:r w:rsidRPr="009070BD">
        <w:rPr>
          <w:b w:val="0"/>
          <w:bCs/>
          <w:iCs/>
          <w:lang w:val="fr-FR"/>
        </w:rPr>
        <w:t xml:space="preserve"> </w:t>
      </w:r>
      <w:r w:rsidRPr="009070BD">
        <w:rPr>
          <w:b w:val="0"/>
          <w:bCs/>
          <w:iCs/>
        </w:rPr>
        <w:t>փոխհա</w:t>
      </w:r>
      <w:r w:rsidRPr="009070BD">
        <w:rPr>
          <w:b w:val="0"/>
          <w:bCs/>
          <w:iCs/>
          <w:lang w:val="fr-FR"/>
        </w:rPr>
        <w:softHyphen/>
      </w:r>
      <w:r w:rsidRPr="009070BD">
        <w:rPr>
          <w:b w:val="0"/>
          <w:bCs/>
          <w:iCs/>
        </w:rPr>
        <w:t>տուց</w:t>
      </w:r>
      <w:r w:rsidRPr="009070BD">
        <w:rPr>
          <w:b w:val="0"/>
          <w:bCs/>
          <w:iCs/>
          <w:lang w:val="fr-FR"/>
        </w:rPr>
        <w:softHyphen/>
      </w:r>
      <w:r w:rsidRPr="009070BD">
        <w:rPr>
          <w:b w:val="0"/>
          <w:bCs/>
          <w:iCs/>
        </w:rPr>
        <w:t>ման</w:t>
      </w:r>
      <w:r w:rsidRPr="009070BD">
        <w:rPr>
          <w:b w:val="0"/>
          <w:bCs/>
          <w:iCs/>
          <w:lang w:val="fr-FR"/>
        </w:rPr>
        <w:t xml:space="preserve"> </w:t>
      </w:r>
      <w:r w:rsidRPr="009070BD">
        <w:rPr>
          <w:b w:val="0"/>
          <w:bCs/>
          <w:iCs/>
        </w:rPr>
        <w:t>գումարները</w:t>
      </w:r>
      <w:r w:rsidRPr="009070BD">
        <w:rPr>
          <w:b w:val="0"/>
          <w:bCs/>
          <w:iCs/>
          <w:lang w:val="fr-FR"/>
        </w:rPr>
        <w:t xml:space="preserve">) </w:t>
      </w:r>
      <w:r w:rsidRPr="009070BD">
        <w:rPr>
          <w:b w:val="0"/>
          <w:bCs/>
          <w:iCs/>
        </w:rPr>
        <w:t>չպետք</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պա</w:t>
      </w:r>
      <w:r w:rsidRPr="009070BD">
        <w:rPr>
          <w:b w:val="0"/>
          <w:bCs/>
          <w:iCs/>
          <w:lang w:val="fr-FR"/>
        </w:rPr>
        <w:softHyphen/>
      </w:r>
      <w:r w:rsidRPr="009070BD">
        <w:rPr>
          <w:b w:val="0"/>
          <w:bCs/>
          <w:iCs/>
        </w:rPr>
        <w:t>կաս</w:t>
      </w:r>
      <w:r w:rsidRPr="009070BD">
        <w:rPr>
          <w:b w:val="0"/>
          <w:bCs/>
          <w:iCs/>
          <w:lang w:val="fr-FR"/>
        </w:rPr>
        <w:t xml:space="preserve"> </w:t>
      </w:r>
      <w:r w:rsidRPr="009070BD">
        <w:rPr>
          <w:b w:val="0"/>
          <w:bCs/>
          <w:iCs/>
        </w:rPr>
        <w:t>լինի</w:t>
      </w:r>
      <w:r w:rsidRPr="009070BD">
        <w:rPr>
          <w:b w:val="0"/>
          <w:bCs/>
          <w:iCs/>
          <w:lang w:val="fr-FR"/>
        </w:rPr>
        <w:t xml:space="preserve"> </w:t>
      </w:r>
      <w:r w:rsidRPr="009070BD">
        <w:rPr>
          <w:b w:val="0"/>
          <w:bCs/>
          <w:iCs/>
        </w:rPr>
        <w:t>ՀՀ</w:t>
      </w:r>
      <w:r w:rsidRPr="009070BD">
        <w:rPr>
          <w:b w:val="0"/>
          <w:bCs/>
          <w:iCs/>
          <w:lang w:val="fr-FR"/>
        </w:rPr>
        <w:t xml:space="preserve"> 20</w:t>
      </w:r>
      <w:r w:rsidRPr="009070BD">
        <w:rPr>
          <w:b w:val="0"/>
          <w:bCs/>
          <w:iCs/>
          <w:lang w:val="hy-AM"/>
        </w:rPr>
        <w:t>1</w:t>
      </w:r>
      <w:r w:rsidRPr="009070BD">
        <w:rPr>
          <w:b w:val="0"/>
          <w:bCs/>
          <w:iCs/>
          <w:lang w:val="fr-FR"/>
        </w:rPr>
        <w:t xml:space="preserve">9 </w:t>
      </w:r>
      <w:r w:rsidRPr="009070BD">
        <w:rPr>
          <w:b w:val="0"/>
          <w:bCs/>
          <w:iCs/>
        </w:rPr>
        <w:t>թվա</w:t>
      </w:r>
      <w:r w:rsidRPr="009070BD">
        <w:rPr>
          <w:b w:val="0"/>
          <w:bCs/>
          <w:iCs/>
          <w:lang w:val="fr-FR"/>
        </w:rPr>
        <w:softHyphen/>
      </w:r>
      <w:r w:rsidRPr="009070BD">
        <w:rPr>
          <w:b w:val="0"/>
          <w:bCs/>
          <w:iCs/>
        </w:rPr>
        <w:t>կանի</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մախմբված</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փաս</w:t>
      </w:r>
      <w:r w:rsidRPr="009070BD">
        <w:rPr>
          <w:b w:val="0"/>
          <w:bCs/>
          <w:iCs/>
          <w:lang w:val="fr-FR"/>
        </w:rPr>
        <w:softHyphen/>
      </w:r>
      <w:r w:rsidRPr="009070BD">
        <w:rPr>
          <w:b w:val="0"/>
          <w:bCs/>
          <w:iCs/>
        </w:rPr>
        <w:t>տա</w:t>
      </w:r>
      <w:r w:rsidRPr="009070BD">
        <w:rPr>
          <w:b w:val="0"/>
          <w:bCs/>
          <w:iCs/>
          <w:lang w:val="fr-FR"/>
        </w:rPr>
        <w:softHyphen/>
      </w:r>
      <w:r w:rsidRPr="009070BD">
        <w:rPr>
          <w:b w:val="0"/>
          <w:bCs/>
          <w:iCs/>
        </w:rPr>
        <w:t>ցի</w:t>
      </w:r>
      <w:r w:rsidRPr="009070BD">
        <w:rPr>
          <w:b w:val="0"/>
          <w:bCs/>
          <w:iCs/>
          <w:lang w:val="fr-FR"/>
        </w:rPr>
        <w:t xml:space="preserve"> </w:t>
      </w:r>
      <w:r w:rsidRPr="009070BD">
        <w:rPr>
          <w:b w:val="0"/>
          <w:bCs/>
          <w:iCs/>
        </w:rPr>
        <w:t>եկամուտների</w:t>
      </w:r>
      <w:r w:rsidRPr="009070BD">
        <w:rPr>
          <w:b w:val="0"/>
          <w:bCs/>
          <w:iCs/>
          <w:lang w:val="fr-FR"/>
        </w:rPr>
        <w:t xml:space="preserve"> </w:t>
      </w:r>
      <w:r w:rsidRPr="009070BD">
        <w:rPr>
          <w:b w:val="0"/>
          <w:bCs/>
          <w:iCs/>
        </w:rPr>
        <w:t>ընդ</w:t>
      </w:r>
      <w:r w:rsidRPr="009070BD">
        <w:rPr>
          <w:b w:val="0"/>
          <w:bCs/>
          <w:iCs/>
          <w:lang w:val="fr-FR"/>
        </w:rPr>
        <w:softHyphen/>
      </w:r>
      <w:r w:rsidRPr="009070BD">
        <w:rPr>
          <w:b w:val="0"/>
          <w:bCs/>
          <w:iCs/>
        </w:rPr>
        <w:t>հանուր</w:t>
      </w:r>
      <w:r w:rsidRPr="009070BD">
        <w:rPr>
          <w:b w:val="0"/>
          <w:bCs/>
          <w:iCs/>
          <w:lang w:val="fr-FR"/>
        </w:rPr>
        <w:t xml:space="preserve"> </w:t>
      </w:r>
      <w:r w:rsidRPr="009070BD">
        <w:rPr>
          <w:b w:val="0"/>
          <w:bCs/>
          <w:iCs/>
        </w:rPr>
        <w:t>գու</w:t>
      </w:r>
      <w:r w:rsidRPr="009070BD">
        <w:rPr>
          <w:b w:val="0"/>
          <w:bCs/>
          <w:iCs/>
          <w:lang w:val="fr-FR"/>
        </w:rPr>
        <w:softHyphen/>
      </w:r>
      <w:r w:rsidRPr="009070BD">
        <w:rPr>
          <w:b w:val="0"/>
          <w:bCs/>
          <w:iCs/>
        </w:rPr>
        <w:t>մարի</w:t>
      </w:r>
      <w:r w:rsidRPr="009070BD">
        <w:rPr>
          <w:b w:val="0"/>
          <w:bCs/>
          <w:iCs/>
          <w:lang w:val="fr-FR"/>
        </w:rPr>
        <w:t xml:space="preserve">` 1,614.9 </w:t>
      </w:r>
      <w:r w:rsidRPr="009070BD">
        <w:rPr>
          <w:b w:val="0"/>
          <w:bCs/>
          <w:iCs/>
        </w:rPr>
        <w:t>մլրդ</w:t>
      </w:r>
      <w:r w:rsidRPr="009070BD">
        <w:rPr>
          <w:b w:val="0"/>
          <w:bCs/>
          <w:iCs/>
          <w:lang w:val="fr-FR"/>
        </w:rPr>
        <w:t xml:space="preserve"> </w:t>
      </w:r>
      <w:r w:rsidRPr="009070BD">
        <w:rPr>
          <w:b w:val="0"/>
          <w:bCs/>
          <w:iCs/>
        </w:rPr>
        <w:t>դրամի</w:t>
      </w:r>
      <w:r w:rsidRPr="009070BD">
        <w:rPr>
          <w:b w:val="0"/>
          <w:bCs/>
          <w:iCs/>
          <w:lang w:val="fr-FR"/>
        </w:rPr>
        <w:t xml:space="preserve"> 4%-</w:t>
      </w:r>
      <w:r w:rsidRPr="009070BD">
        <w:rPr>
          <w:b w:val="0"/>
          <w:bCs/>
          <w:iCs/>
        </w:rPr>
        <w:t>ը</w:t>
      </w:r>
      <w:r w:rsidRPr="009070BD">
        <w:rPr>
          <w:b w:val="0"/>
          <w:bCs/>
          <w:iCs/>
          <w:lang w:val="fr-FR"/>
        </w:rPr>
        <w:t xml:space="preserve"> </w:t>
      </w:r>
      <w:r w:rsidRPr="009070BD">
        <w:rPr>
          <w:b w:val="0"/>
          <w:bCs/>
          <w:iCs/>
        </w:rPr>
        <w:t>կազ</w:t>
      </w:r>
      <w:r w:rsidRPr="009070BD">
        <w:rPr>
          <w:b w:val="0"/>
          <w:bCs/>
          <w:iCs/>
          <w:lang w:val="fr-FR"/>
        </w:rPr>
        <w:softHyphen/>
      </w:r>
      <w:r w:rsidRPr="009070BD">
        <w:rPr>
          <w:b w:val="0"/>
          <w:bCs/>
          <w:iCs/>
        </w:rPr>
        <w:t>մող</w:t>
      </w:r>
      <w:r w:rsidRPr="009070BD">
        <w:rPr>
          <w:b w:val="0"/>
          <w:bCs/>
          <w:iCs/>
          <w:lang w:val="fr-FR"/>
        </w:rPr>
        <w:t xml:space="preserve"> 64,597.0 </w:t>
      </w:r>
      <w:r w:rsidRPr="009070BD">
        <w:rPr>
          <w:b w:val="0"/>
          <w:bCs/>
          <w:iCs/>
        </w:rPr>
        <w:t>մլն</w:t>
      </w:r>
      <w:r w:rsidRPr="009070BD">
        <w:rPr>
          <w:b w:val="0"/>
          <w:bCs/>
          <w:iCs/>
          <w:lang w:val="fr-FR"/>
        </w:rPr>
        <w:t xml:space="preserve"> </w:t>
      </w:r>
      <w:r w:rsidRPr="009070BD">
        <w:rPr>
          <w:b w:val="0"/>
          <w:bCs/>
          <w:iCs/>
        </w:rPr>
        <w:t>դրամից</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rPr>
        <w:t>ՀՀ</w:t>
      </w:r>
      <w:r w:rsidRPr="009070BD">
        <w:rPr>
          <w:b w:val="0"/>
          <w:bCs/>
          <w:iCs/>
          <w:lang w:val="fr-FR"/>
        </w:rPr>
        <w:t xml:space="preserve"> 2021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նախագծով</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ֆինանսական</w:t>
      </w:r>
      <w:r w:rsidRPr="009070BD">
        <w:rPr>
          <w:b w:val="0"/>
          <w:bCs/>
          <w:iCs/>
          <w:lang w:val="fr-FR"/>
        </w:rPr>
        <w:t xml:space="preserve"> </w:t>
      </w:r>
      <w:r w:rsidRPr="009070BD">
        <w:rPr>
          <w:b w:val="0"/>
          <w:bCs/>
          <w:iCs/>
        </w:rPr>
        <w:t>համա</w:t>
      </w:r>
      <w:r w:rsidRPr="009070BD">
        <w:rPr>
          <w:b w:val="0"/>
          <w:bCs/>
          <w:iCs/>
          <w:lang w:val="fr-FR"/>
        </w:rPr>
        <w:softHyphen/>
      </w:r>
      <w:r w:rsidRPr="009070BD">
        <w:rPr>
          <w:b w:val="0"/>
          <w:bCs/>
          <w:iCs/>
        </w:rPr>
        <w:t>հար</w:t>
      </w:r>
      <w:r w:rsidRPr="009070BD">
        <w:rPr>
          <w:b w:val="0"/>
          <w:bCs/>
          <w:iCs/>
          <w:lang w:val="fr-FR"/>
        </w:rPr>
        <w:softHyphen/>
      </w:r>
      <w:r w:rsidRPr="009070BD">
        <w:rPr>
          <w:b w:val="0"/>
          <w:bCs/>
          <w:iCs/>
        </w:rPr>
        <w:t>թեց</w:t>
      </w:r>
      <w:r w:rsidRPr="009070BD">
        <w:rPr>
          <w:b w:val="0"/>
          <w:bCs/>
          <w:iCs/>
          <w:lang w:val="fr-FR"/>
        </w:rPr>
        <w:softHyphen/>
      </w:r>
      <w:r w:rsidRPr="009070BD">
        <w:rPr>
          <w:b w:val="0"/>
          <w:bCs/>
          <w:iCs/>
        </w:rPr>
        <w:t>ման</w:t>
      </w:r>
      <w:r w:rsidRPr="009070BD">
        <w:rPr>
          <w:b w:val="0"/>
          <w:bCs/>
          <w:iCs/>
          <w:lang w:val="fr-FR"/>
        </w:rPr>
        <w:t xml:space="preserve"> </w:t>
      </w:r>
      <w:r w:rsidRPr="009070BD">
        <w:rPr>
          <w:b w:val="0"/>
          <w:bCs/>
          <w:iCs/>
        </w:rPr>
        <w:t>սկզբունքով</w:t>
      </w:r>
      <w:r w:rsidRPr="009070BD">
        <w:rPr>
          <w:b w:val="0"/>
          <w:bCs/>
          <w:iCs/>
          <w:lang w:val="fr-FR"/>
        </w:rPr>
        <w:t xml:space="preserve"> </w:t>
      </w:r>
      <w:r w:rsidRPr="009070BD">
        <w:rPr>
          <w:b w:val="0"/>
          <w:bCs/>
          <w:iCs/>
        </w:rPr>
        <w:t>համայնքներին</w:t>
      </w:r>
      <w:r w:rsidRPr="009070BD">
        <w:rPr>
          <w:b w:val="0"/>
          <w:bCs/>
          <w:iCs/>
          <w:lang w:val="fr-FR"/>
        </w:rPr>
        <w:t xml:space="preserve"> </w:t>
      </w:r>
      <w:r w:rsidRPr="009070BD">
        <w:rPr>
          <w:b w:val="0"/>
          <w:bCs/>
          <w:iCs/>
        </w:rPr>
        <w:t>տրամադրել</w:t>
      </w:r>
      <w:r w:rsidRPr="009070BD">
        <w:rPr>
          <w:b w:val="0"/>
          <w:bCs/>
          <w:iCs/>
          <w:lang w:val="fr-FR"/>
        </w:rPr>
        <w:t xml:space="preserve"> </w:t>
      </w:r>
      <w:r w:rsidRPr="009070BD">
        <w:rPr>
          <w:b w:val="0"/>
          <w:bCs/>
          <w:iCs/>
        </w:rPr>
        <w:t>ընդհանուր</w:t>
      </w:r>
      <w:r w:rsidRPr="009070BD">
        <w:rPr>
          <w:b w:val="0"/>
          <w:bCs/>
          <w:iCs/>
          <w:lang w:val="fr-FR"/>
        </w:rPr>
        <w:t xml:space="preserve"> </w:t>
      </w:r>
      <w:r w:rsidRPr="009070BD">
        <w:rPr>
          <w:b w:val="0"/>
          <w:bCs/>
          <w:iCs/>
        </w:rPr>
        <w:t>գումարով</w:t>
      </w:r>
      <w:r w:rsidRPr="009070BD">
        <w:rPr>
          <w:b w:val="0"/>
          <w:bCs/>
          <w:iCs/>
          <w:lang w:val="fr-FR"/>
        </w:rPr>
        <w:t xml:space="preserve"> 64,597.0 </w:t>
      </w:r>
      <w:r w:rsidRPr="009070BD">
        <w:rPr>
          <w:b w:val="0"/>
          <w:bCs/>
          <w:iCs/>
        </w:rPr>
        <w:t>մլն</w:t>
      </w:r>
      <w:r w:rsidRPr="009070BD">
        <w:rPr>
          <w:b w:val="0"/>
          <w:bCs/>
          <w:iCs/>
          <w:lang w:val="fr-FR"/>
        </w:rPr>
        <w:t xml:space="preserve"> </w:t>
      </w:r>
      <w:r w:rsidRPr="009070BD">
        <w:rPr>
          <w:b w:val="0"/>
          <w:bCs/>
          <w:iCs/>
        </w:rPr>
        <w:t>դրա</w:t>
      </w:r>
      <w:r w:rsidRPr="009070BD">
        <w:rPr>
          <w:b w:val="0"/>
          <w:bCs/>
          <w:iCs/>
          <w:lang w:val="fr-FR"/>
        </w:rPr>
        <w:softHyphen/>
      </w:r>
      <w:r w:rsidRPr="009070BD">
        <w:rPr>
          <w:b w:val="0"/>
          <w:bCs/>
          <w:iCs/>
          <w:lang w:val="fr-FR"/>
        </w:rPr>
        <w:softHyphen/>
      </w:r>
      <w:r w:rsidRPr="009070BD">
        <w:rPr>
          <w:b w:val="0"/>
          <w:bCs/>
          <w:iCs/>
        </w:rPr>
        <w:t>մի</w:t>
      </w:r>
      <w:r w:rsidRPr="009070BD">
        <w:rPr>
          <w:b w:val="0"/>
          <w:bCs/>
          <w:iCs/>
          <w:lang w:val="fr-FR"/>
        </w:rPr>
        <w:t xml:space="preserve"> </w:t>
      </w:r>
      <w:r w:rsidRPr="009070BD">
        <w:rPr>
          <w:b w:val="0"/>
          <w:bCs/>
          <w:iCs/>
        </w:rPr>
        <w:t>դո</w:t>
      </w:r>
      <w:r w:rsidRPr="009070BD">
        <w:rPr>
          <w:b w:val="0"/>
          <w:bCs/>
          <w:iCs/>
          <w:lang w:val="fr-FR"/>
        </w:rPr>
        <w:softHyphen/>
      </w:r>
      <w:r w:rsidRPr="009070BD">
        <w:rPr>
          <w:b w:val="0"/>
          <w:bCs/>
          <w:iCs/>
        </w:rPr>
        <w:t>տա</w:t>
      </w:r>
      <w:r w:rsidRPr="009070BD">
        <w:rPr>
          <w:b w:val="0"/>
          <w:bCs/>
          <w:iCs/>
          <w:lang w:val="fr-FR"/>
        </w:rPr>
        <w:softHyphen/>
      </w:r>
      <w:r w:rsidRPr="009070BD">
        <w:rPr>
          <w:b w:val="0"/>
          <w:bCs/>
          <w:iCs/>
        </w:rPr>
        <w:t>ցիա</w:t>
      </w:r>
      <w:r w:rsidRPr="009070BD">
        <w:rPr>
          <w:b w:val="0"/>
          <w:bCs/>
          <w:iCs/>
          <w:lang w:val="fr-FR"/>
        </w:rPr>
        <w:softHyphen/>
      </w:r>
      <w:r w:rsidRPr="009070BD">
        <w:rPr>
          <w:b w:val="0"/>
          <w:bCs/>
          <w:iCs/>
        </w:rPr>
        <w:t>ներ</w:t>
      </w:r>
      <w:r w:rsidRPr="009070BD">
        <w:rPr>
          <w:b w:val="0"/>
          <w:bCs/>
          <w:iCs/>
          <w:lang w:val="fr-FR"/>
        </w:rPr>
        <w:t xml:space="preserve">: </w:t>
      </w:r>
      <w:r w:rsidRPr="009070BD">
        <w:rPr>
          <w:b w:val="0"/>
          <w:bCs/>
          <w:iCs/>
        </w:rPr>
        <w:t>ՀՀ</w:t>
      </w:r>
      <w:r w:rsidRPr="009070BD">
        <w:rPr>
          <w:b w:val="0"/>
          <w:bCs/>
          <w:iCs/>
          <w:lang w:val="fr-FR"/>
        </w:rPr>
        <w:t xml:space="preserve"> 2021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նախագծով</w:t>
      </w:r>
      <w:r w:rsidRPr="009070BD">
        <w:rPr>
          <w:b w:val="0"/>
          <w:bCs/>
          <w:iCs/>
          <w:lang w:val="fr-FR"/>
        </w:rPr>
        <w:t xml:space="preserve"> </w:t>
      </w:r>
      <w:r w:rsidRPr="009070BD">
        <w:rPr>
          <w:b w:val="0"/>
          <w:bCs/>
          <w:iCs/>
        </w:rPr>
        <w:t>նախատեսված</w:t>
      </w:r>
      <w:r w:rsidRPr="009070BD">
        <w:rPr>
          <w:b w:val="0"/>
          <w:bCs/>
          <w:iCs/>
          <w:lang w:val="fr-FR"/>
        </w:rPr>
        <w:t xml:space="preserve"> </w:t>
      </w:r>
      <w:r w:rsidRPr="009070BD">
        <w:rPr>
          <w:b w:val="0"/>
          <w:bCs/>
          <w:iCs/>
        </w:rPr>
        <w:t>ֆինան</w:t>
      </w:r>
      <w:r w:rsidRPr="009070BD">
        <w:rPr>
          <w:b w:val="0"/>
          <w:bCs/>
          <w:iCs/>
          <w:lang w:val="fr-FR"/>
        </w:rPr>
        <w:softHyphen/>
      </w:r>
      <w:r w:rsidRPr="009070BD">
        <w:rPr>
          <w:b w:val="0"/>
          <w:bCs/>
          <w:iCs/>
        </w:rPr>
        <w:t>սական</w:t>
      </w:r>
      <w:r w:rsidRPr="009070BD">
        <w:rPr>
          <w:b w:val="0"/>
          <w:bCs/>
          <w:iCs/>
          <w:lang w:val="fr-FR"/>
        </w:rPr>
        <w:t xml:space="preserve"> </w:t>
      </w:r>
      <w:r w:rsidRPr="009070BD">
        <w:rPr>
          <w:b w:val="0"/>
          <w:bCs/>
          <w:iCs/>
        </w:rPr>
        <w:t>համա</w:t>
      </w:r>
      <w:r w:rsidRPr="009070BD">
        <w:rPr>
          <w:b w:val="0"/>
          <w:bCs/>
          <w:iCs/>
          <w:lang w:val="fr-FR"/>
        </w:rPr>
        <w:softHyphen/>
      </w:r>
      <w:r w:rsidRPr="009070BD">
        <w:rPr>
          <w:b w:val="0"/>
          <w:bCs/>
          <w:iCs/>
        </w:rPr>
        <w:t>հար</w:t>
      </w:r>
      <w:r w:rsidRPr="009070BD">
        <w:rPr>
          <w:b w:val="0"/>
          <w:bCs/>
          <w:iCs/>
          <w:lang w:val="fr-FR"/>
        </w:rPr>
        <w:softHyphen/>
      </w:r>
      <w:r w:rsidRPr="009070BD">
        <w:rPr>
          <w:b w:val="0"/>
          <w:bCs/>
          <w:iCs/>
        </w:rPr>
        <w:t>թեց</w:t>
      </w:r>
      <w:r w:rsidRPr="009070BD">
        <w:rPr>
          <w:b w:val="0"/>
          <w:bCs/>
          <w:iCs/>
          <w:lang w:val="fr-FR"/>
        </w:rPr>
        <w:softHyphen/>
      </w:r>
      <w:r w:rsidRPr="009070BD">
        <w:rPr>
          <w:b w:val="0"/>
          <w:bCs/>
          <w:iCs/>
        </w:rPr>
        <w:t>ման</w:t>
      </w:r>
      <w:r w:rsidRPr="009070BD">
        <w:rPr>
          <w:b w:val="0"/>
          <w:bCs/>
          <w:iCs/>
          <w:lang w:val="fr-FR"/>
        </w:rPr>
        <w:t xml:space="preserve"> </w:t>
      </w:r>
      <w:r w:rsidRPr="009070BD">
        <w:rPr>
          <w:b w:val="0"/>
          <w:bCs/>
          <w:iCs/>
        </w:rPr>
        <w:t>սկզբունքով</w:t>
      </w:r>
      <w:r w:rsidRPr="009070BD">
        <w:rPr>
          <w:b w:val="0"/>
          <w:bCs/>
          <w:iCs/>
          <w:lang w:val="fr-FR"/>
        </w:rPr>
        <w:t xml:space="preserve"> </w:t>
      </w:r>
      <w:r w:rsidRPr="009070BD">
        <w:rPr>
          <w:b w:val="0"/>
          <w:bCs/>
          <w:iCs/>
        </w:rPr>
        <w:t>համայնքներին</w:t>
      </w:r>
      <w:r w:rsidRPr="009070BD">
        <w:rPr>
          <w:b w:val="0"/>
          <w:bCs/>
          <w:iCs/>
          <w:lang w:val="fr-FR"/>
        </w:rPr>
        <w:t xml:space="preserve"> </w:t>
      </w:r>
      <w:r w:rsidRPr="009070BD">
        <w:rPr>
          <w:b w:val="0"/>
          <w:bCs/>
          <w:iCs/>
        </w:rPr>
        <w:t>տրամադրվող</w:t>
      </w:r>
      <w:r w:rsidRPr="009070BD">
        <w:rPr>
          <w:b w:val="0"/>
          <w:bCs/>
          <w:iCs/>
          <w:lang w:val="fr-FR"/>
        </w:rPr>
        <w:t xml:space="preserve"> </w:t>
      </w:r>
      <w:r w:rsidRPr="009070BD">
        <w:rPr>
          <w:b w:val="0"/>
          <w:bCs/>
          <w:iCs/>
        </w:rPr>
        <w:t>դոտացիաների</w:t>
      </w:r>
      <w:r w:rsidRPr="009070BD">
        <w:rPr>
          <w:b w:val="0"/>
          <w:bCs/>
          <w:iCs/>
          <w:lang w:val="fr-FR"/>
        </w:rPr>
        <w:t xml:space="preserve"> </w:t>
      </w:r>
      <w:r w:rsidRPr="009070BD">
        <w:rPr>
          <w:b w:val="0"/>
          <w:bCs/>
          <w:iCs/>
        </w:rPr>
        <w:t>բաշխումն</w:t>
      </w:r>
      <w:r w:rsidRPr="009070BD">
        <w:rPr>
          <w:b w:val="0"/>
          <w:bCs/>
          <w:iCs/>
          <w:lang w:val="fr-FR"/>
        </w:rPr>
        <w:t xml:space="preserve"> </w:t>
      </w:r>
      <w:r w:rsidRPr="009070BD">
        <w:rPr>
          <w:b w:val="0"/>
          <w:bCs/>
          <w:iCs/>
        </w:rPr>
        <w:t>ըստ</w:t>
      </w:r>
      <w:r w:rsidRPr="009070BD">
        <w:rPr>
          <w:b w:val="0"/>
          <w:bCs/>
          <w:iCs/>
          <w:lang w:val="fr-FR"/>
        </w:rPr>
        <w:t xml:space="preserve"> </w:t>
      </w:r>
      <w:r w:rsidRPr="009070BD">
        <w:rPr>
          <w:b w:val="0"/>
          <w:bCs/>
          <w:iCs/>
        </w:rPr>
        <w:t>առանձին</w:t>
      </w:r>
      <w:r w:rsidRPr="009070BD">
        <w:rPr>
          <w:b w:val="0"/>
          <w:bCs/>
          <w:iCs/>
          <w:lang w:val="fr-FR"/>
        </w:rPr>
        <w:t xml:space="preserve"> </w:t>
      </w:r>
      <w:r w:rsidRPr="009070BD">
        <w:rPr>
          <w:b w:val="0"/>
          <w:bCs/>
          <w:iCs/>
        </w:rPr>
        <w:t>համայնք</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իրականացվել</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Ֆինանսական</w:t>
      </w:r>
      <w:r w:rsidRPr="009070BD">
        <w:rPr>
          <w:b w:val="0"/>
          <w:bCs/>
          <w:iCs/>
          <w:lang w:val="fr-FR"/>
        </w:rPr>
        <w:t xml:space="preserve"> </w:t>
      </w:r>
      <w:r w:rsidRPr="009070BD">
        <w:rPr>
          <w:b w:val="0"/>
          <w:bCs/>
          <w:iCs/>
        </w:rPr>
        <w:t>համահարթեցման</w:t>
      </w:r>
      <w:r w:rsidRPr="009070BD">
        <w:rPr>
          <w:b w:val="0"/>
          <w:bCs/>
          <w:iCs/>
          <w:lang w:val="fr-FR"/>
        </w:rPr>
        <w:t xml:space="preserve"> </w:t>
      </w:r>
      <w:r w:rsidRPr="009070BD">
        <w:rPr>
          <w:b w:val="0"/>
          <w:bCs/>
          <w:iCs/>
        </w:rPr>
        <w:t>մասին</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օրենքի</w:t>
      </w:r>
      <w:r w:rsidRPr="009070BD">
        <w:rPr>
          <w:b w:val="0"/>
          <w:bCs/>
          <w:iCs/>
          <w:lang w:val="fr-FR"/>
        </w:rPr>
        <w:t xml:space="preserve"> </w:t>
      </w:r>
      <w:r w:rsidRPr="009070BD">
        <w:rPr>
          <w:b w:val="0"/>
          <w:bCs/>
          <w:iCs/>
        </w:rPr>
        <w:t>դրույթներին</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մա</w:t>
      </w:r>
      <w:r w:rsidRPr="009070BD">
        <w:rPr>
          <w:b w:val="0"/>
          <w:bCs/>
          <w:iCs/>
          <w:lang w:val="fr-FR"/>
        </w:rPr>
        <w:softHyphen/>
      </w:r>
      <w:r w:rsidRPr="009070BD">
        <w:rPr>
          <w:b w:val="0"/>
          <w:bCs/>
          <w:iCs/>
        </w:rPr>
        <w:t>պա</w:t>
      </w:r>
      <w:r w:rsidRPr="009070BD">
        <w:rPr>
          <w:b w:val="0"/>
          <w:bCs/>
          <w:iCs/>
          <w:lang w:val="fr-FR"/>
        </w:rPr>
        <w:softHyphen/>
      </w:r>
      <w:r w:rsidRPr="009070BD">
        <w:rPr>
          <w:b w:val="0"/>
          <w:bCs/>
          <w:iCs/>
        </w:rPr>
        <w:t>տասխան</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rPr>
        <w:t>Դոտացիաները</w:t>
      </w:r>
      <w:r w:rsidRPr="009070BD">
        <w:rPr>
          <w:b w:val="0"/>
          <w:bCs/>
          <w:iCs/>
          <w:lang w:val="fr-FR"/>
        </w:rPr>
        <w:t xml:space="preserve"> </w:t>
      </w:r>
      <w:r w:rsidRPr="009070BD">
        <w:rPr>
          <w:b w:val="0"/>
          <w:bCs/>
          <w:iCs/>
        </w:rPr>
        <w:t>բաղկացած</w:t>
      </w:r>
      <w:r w:rsidRPr="009070BD">
        <w:rPr>
          <w:b w:val="0"/>
          <w:bCs/>
          <w:iCs/>
          <w:lang w:val="fr-FR"/>
        </w:rPr>
        <w:t xml:space="preserve"> </w:t>
      </w:r>
      <w:r w:rsidRPr="009070BD">
        <w:rPr>
          <w:b w:val="0"/>
          <w:bCs/>
          <w:iCs/>
        </w:rPr>
        <w:t>են</w:t>
      </w:r>
      <w:r w:rsidRPr="009070BD">
        <w:rPr>
          <w:b w:val="0"/>
          <w:bCs/>
          <w:iCs/>
          <w:lang w:val="fr-FR"/>
        </w:rPr>
        <w:t xml:space="preserve"> </w:t>
      </w:r>
      <w:r w:rsidRPr="009070BD">
        <w:rPr>
          <w:b w:val="0"/>
          <w:bCs/>
          <w:iCs/>
        </w:rPr>
        <w:t>երկու</w:t>
      </w:r>
      <w:r w:rsidRPr="009070BD">
        <w:rPr>
          <w:b w:val="0"/>
          <w:bCs/>
          <w:iCs/>
          <w:lang w:val="fr-FR"/>
        </w:rPr>
        <w:t xml:space="preserve"> </w:t>
      </w:r>
      <w:r w:rsidRPr="009070BD">
        <w:rPr>
          <w:b w:val="0"/>
          <w:bCs/>
          <w:iCs/>
        </w:rPr>
        <w:t>մասից՝</w:t>
      </w:r>
      <w:r w:rsidRPr="009070BD">
        <w:rPr>
          <w:b w:val="0"/>
          <w:bCs/>
          <w:iCs/>
          <w:lang w:val="fr-FR"/>
        </w:rPr>
        <w:t xml:space="preserve"> «</w:t>
      </w:r>
      <w:r w:rsidRPr="009070BD">
        <w:rPr>
          <w:b w:val="0"/>
          <w:bCs/>
          <w:iCs/>
        </w:rPr>
        <w:t>Ա</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Բ</w:t>
      </w:r>
      <w:r w:rsidRPr="009070BD">
        <w:rPr>
          <w:b w:val="0"/>
          <w:bCs/>
          <w:iCs/>
          <w:lang w:val="fr-FR"/>
        </w:rPr>
        <w:t xml:space="preserve">»: </w:t>
      </w:r>
      <w:r w:rsidRPr="009070BD">
        <w:rPr>
          <w:b w:val="0"/>
          <w:bCs/>
          <w:iCs/>
        </w:rPr>
        <w:t>Այդ</w:t>
      </w:r>
      <w:r w:rsidRPr="009070BD">
        <w:rPr>
          <w:b w:val="0"/>
          <w:bCs/>
          <w:iCs/>
          <w:lang w:val="fr-FR"/>
        </w:rPr>
        <w:t xml:space="preserve"> </w:t>
      </w:r>
      <w:r w:rsidRPr="009070BD">
        <w:rPr>
          <w:b w:val="0"/>
          <w:bCs/>
          <w:iCs/>
        </w:rPr>
        <w:t>մասերից</w:t>
      </w:r>
      <w:r w:rsidRPr="009070BD">
        <w:rPr>
          <w:b w:val="0"/>
          <w:bCs/>
          <w:iCs/>
          <w:lang w:val="fr-FR"/>
        </w:rPr>
        <w:t xml:space="preserve"> </w:t>
      </w:r>
      <w:r w:rsidRPr="009070BD">
        <w:rPr>
          <w:b w:val="0"/>
          <w:bCs/>
          <w:iCs/>
        </w:rPr>
        <w:t>յուրաքանչյուրը</w:t>
      </w:r>
      <w:r w:rsidRPr="009070BD">
        <w:rPr>
          <w:b w:val="0"/>
          <w:bCs/>
          <w:iCs/>
          <w:lang w:val="fr-FR"/>
        </w:rPr>
        <w:t xml:space="preserve"> </w:t>
      </w:r>
      <w:r w:rsidRPr="009070BD">
        <w:rPr>
          <w:b w:val="0"/>
          <w:bCs/>
          <w:iCs/>
        </w:rPr>
        <w:t>հաշվարկվում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ըստ</w:t>
      </w:r>
      <w:r w:rsidRPr="009070BD">
        <w:rPr>
          <w:b w:val="0"/>
          <w:bCs/>
          <w:iCs/>
          <w:lang w:val="fr-FR"/>
        </w:rPr>
        <w:t xml:space="preserve"> </w:t>
      </w:r>
      <w:r w:rsidRPr="009070BD">
        <w:rPr>
          <w:b w:val="0"/>
          <w:bCs/>
          <w:iCs/>
        </w:rPr>
        <w:t>առանձին</w:t>
      </w:r>
      <w:r w:rsidRPr="009070BD">
        <w:rPr>
          <w:b w:val="0"/>
          <w:bCs/>
          <w:iCs/>
          <w:lang w:val="fr-FR"/>
        </w:rPr>
        <w:t xml:space="preserve"> </w:t>
      </w:r>
      <w:r w:rsidRPr="009070BD">
        <w:rPr>
          <w:b w:val="0"/>
          <w:bCs/>
          <w:iCs/>
        </w:rPr>
        <w:t>համայնքների</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lang w:val="fr-FR"/>
        </w:rPr>
        <w:t>«</w:t>
      </w:r>
      <w:r w:rsidRPr="009070BD">
        <w:rPr>
          <w:b w:val="0"/>
          <w:bCs/>
          <w:iCs/>
        </w:rPr>
        <w:t>Ա</w:t>
      </w:r>
      <w:r w:rsidRPr="009070BD">
        <w:rPr>
          <w:b w:val="0"/>
          <w:bCs/>
          <w:iCs/>
          <w:lang w:val="fr-FR"/>
        </w:rPr>
        <w:t xml:space="preserve">» </w:t>
      </w:r>
      <w:r w:rsidRPr="009070BD">
        <w:rPr>
          <w:b w:val="0"/>
          <w:bCs/>
          <w:iCs/>
        </w:rPr>
        <w:t>մասով</w:t>
      </w:r>
      <w:r w:rsidRPr="009070BD">
        <w:rPr>
          <w:b w:val="0"/>
          <w:bCs/>
          <w:iCs/>
          <w:lang w:val="fr-FR"/>
        </w:rPr>
        <w:t xml:space="preserve"> </w:t>
      </w:r>
      <w:r w:rsidRPr="009070BD">
        <w:rPr>
          <w:b w:val="0"/>
          <w:bCs/>
          <w:iCs/>
        </w:rPr>
        <w:t>յուրաքանչյուր</w:t>
      </w:r>
      <w:r w:rsidRPr="009070BD">
        <w:rPr>
          <w:b w:val="0"/>
          <w:bCs/>
          <w:iCs/>
          <w:lang w:val="fr-FR"/>
        </w:rPr>
        <w:t xml:space="preserve"> </w:t>
      </w:r>
      <w:r w:rsidRPr="009070BD">
        <w:rPr>
          <w:b w:val="0"/>
          <w:bCs/>
          <w:iCs/>
        </w:rPr>
        <w:t>համայնքին</w:t>
      </w:r>
      <w:r w:rsidRPr="009070BD">
        <w:rPr>
          <w:b w:val="0"/>
          <w:bCs/>
          <w:iCs/>
          <w:lang w:val="fr-FR"/>
        </w:rPr>
        <w:t xml:space="preserve"> </w:t>
      </w:r>
      <w:r w:rsidRPr="009070BD">
        <w:rPr>
          <w:b w:val="0"/>
          <w:bCs/>
          <w:iCs/>
        </w:rPr>
        <w:t>դոտացիաները</w:t>
      </w:r>
      <w:r w:rsidRPr="009070BD">
        <w:rPr>
          <w:b w:val="0"/>
          <w:bCs/>
          <w:iCs/>
          <w:lang w:val="fr-FR"/>
        </w:rPr>
        <w:t xml:space="preserve"> </w:t>
      </w:r>
      <w:r w:rsidRPr="009070BD">
        <w:rPr>
          <w:b w:val="0"/>
          <w:bCs/>
          <w:iCs/>
        </w:rPr>
        <w:t>հատկացվում</w:t>
      </w:r>
      <w:r w:rsidRPr="009070BD">
        <w:rPr>
          <w:b w:val="0"/>
          <w:bCs/>
          <w:iCs/>
          <w:lang w:val="fr-FR"/>
        </w:rPr>
        <w:t xml:space="preserve"> </w:t>
      </w:r>
      <w:r w:rsidRPr="009070BD">
        <w:rPr>
          <w:b w:val="0"/>
          <w:bCs/>
          <w:iCs/>
        </w:rPr>
        <w:t>են</w:t>
      </w:r>
      <w:r w:rsidRPr="009070BD">
        <w:rPr>
          <w:b w:val="0"/>
          <w:bCs/>
          <w:iCs/>
          <w:lang w:val="fr-FR"/>
        </w:rPr>
        <w:t xml:space="preserve"> </w:t>
      </w:r>
      <w:r w:rsidRPr="009070BD">
        <w:rPr>
          <w:b w:val="0"/>
          <w:bCs/>
          <w:iCs/>
        </w:rPr>
        <w:t>տվյալ</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մայնքին</w:t>
      </w:r>
      <w:r w:rsidRPr="009070BD">
        <w:rPr>
          <w:b w:val="0"/>
          <w:bCs/>
          <w:iCs/>
          <w:lang w:val="fr-FR"/>
        </w:rPr>
        <w:t xml:space="preserve"> 2016 </w:t>
      </w:r>
      <w:r w:rsidRPr="009070BD">
        <w:rPr>
          <w:b w:val="0"/>
          <w:bCs/>
          <w:iCs/>
        </w:rPr>
        <w:t>թվականին</w:t>
      </w:r>
      <w:r w:rsidRPr="009070BD">
        <w:rPr>
          <w:b w:val="0"/>
          <w:bCs/>
          <w:iCs/>
          <w:lang w:val="fr-FR"/>
        </w:rPr>
        <w:t xml:space="preserve"> </w:t>
      </w:r>
      <w:r w:rsidRPr="009070BD">
        <w:rPr>
          <w:b w:val="0"/>
          <w:bCs/>
          <w:iCs/>
        </w:rPr>
        <w:t>տրամադրված</w:t>
      </w:r>
      <w:r w:rsidRPr="009070BD">
        <w:rPr>
          <w:b w:val="0"/>
          <w:bCs/>
          <w:iCs/>
          <w:lang w:val="fr-FR"/>
        </w:rPr>
        <w:t xml:space="preserve"> </w:t>
      </w:r>
      <w:r w:rsidRPr="009070BD">
        <w:rPr>
          <w:b w:val="0"/>
          <w:bCs/>
          <w:iCs/>
        </w:rPr>
        <w:t>դոտացիաների</w:t>
      </w:r>
      <w:r w:rsidRPr="009070BD">
        <w:rPr>
          <w:b w:val="0"/>
          <w:bCs/>
          <w:iCs/>
          <w:lang w:val="fr-FR"/>
        </w:rPr>
        <w:t xml:space="preserve"> </w:t>
      </w:r>
      <w:r w:rsidRPr="009070BD">
        <w:rPr>
          <w:b w:val="0"/>
          <w:bCs/>
          <w:iCs/>
        </w:rPr>
        <w:t>փաստացի</w:t>
      </w:r>
      <w:r w:rsidRPr="009070BD">
        <w:rPr>
          <w:b w:val="0"/>
          <w:bCs/>
          <w:iCs/>
          <w:lang w:val="fr-FR"/>
        </w:rPr>
        <w:t xml:space="preserve"> </w:t>
      </w:r>
      <w:r w:rsidRPr="009070BD">
        <w:rPr>
          <w:b w:val="0"/>
          <w:bCs/>
          <w:iCs/>
        </w:rPr>
        <w:t>գումարի</w:t>
      </w:r>
      <w:r w:rsidRPr="009070BD">
        <w:rPr>
          <w:b w:val="0"/>
          <w:bCs/>
          <w:iCs/>
          <w:lang w:val="fr-FR"/>
        </w:rPr>
        <w:t xml:space="preserve"> </w:t>
      </w:r>
      <w:r w:rsidRPr="009070BD">
        <w:rPr>
          <w:b w:val="0"/>
          <w:bCs/>
          <w:iCs/>
        </w:rPr>
        <w:t>չափով</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lang w:val="fr-FR"/>
        </w:rPr>
        <w:t>«</w:t>
      </w:r>
      <w:r w:rsidRPr="009070BD">
        <w:rPr>
          <w:b w:val="0"/>
          <w:bCs/>
          <w:iCs/>
        </w:rPr>
        <w:t>Բ</w:t>
      </w:r>
      <w:r w:rsidRPr="009070BD">
        <w:rPr>
          <w:b w:val="0"/>
          <w:bCs/>
          <w:iCs/>
          <w:lang w:val="fr-FR"/>
        </w:rPr>
        <w:t xml:space="preserve">» </w:t>
      </w:r>
      <w:r w:rsidRPr="009070BD">
        <w:rPr>
          <w:b w:val="0"/>
          <w:bCs/>
          <w:iCs/>
        </w:rPr>
        <w:t>մասով</w:t>
      </w:r>
      <w:r w:rsidRPr="009070BD">
        <w:rPr>
          <w:b w:val="0"/>
          <w:bCs/>
          <w:iCs/>
          <w:lang w:val="fr-FR"/>
        </w:rPr>
        <w:t xml:space="preserve"> </w:t>
      </w:r>
      <w:r w:rsidRPr="009070BD">
        <w:rPr>
          <w:b w:val="0"/>
          <w:bCs/>
          <w:iCs/>
        </w:rPr>
        <w:t>դոտացիաները</w:t>
      </w:r>
      <w:r w:rsidRPr="009070BD">
        <w:rPr>
          <w:b w:val="0"/>
          <w:bCs/>
          <w:iCs/>
          <w:lang w:val="fr-FR"/>
        </w:rPr>
        <w:t xml:space="preserve"> </w:t>
      </w:r>
      <w:r w:rsidRPr="009070BD">
        <w:rPr>
          <w:b w:val="0"/>
          <w:bCs/>
          <w:iCs/>
        </w:rPr>
        <w:t>հաշվարկվում</w:t>
      </w:r>
      <w:r w:rsidRPr="009070BD">
        <w:rPr>
          <w:b w:val="0"/>
          <w:bCs/>
          <w:iCs/>
          <w:lang w:val="fr-FR"/>
        </w:rPr>
        <w:t xml:space="preserve"> </w:t>
      </w:r>
      <w:r w:rsidRPr="009070BD">
        <w:rPr>
          <w:b w:val="0"/>
          <w:bCs/>
          <w:iCs/>
        </w:rPr>
        <w:t>են</w:t>
      </w:r>
      <w:r w:rsidRPr="009070BD">
        <w:rPr>
          <w:b w:val="0"/>
          <w:bCs/>
          <w:iCs/>
          <w:lang w:val="fr-FR"/>
        </w:rPr>
        <w:t xml:space="preserve"> </w:t>
      </w:r>
      <w:r w:rsidRPr="009070BD">
        <w:rPr>
          <w:b w:val="0"/>
          <w:bCs/>
          <w:iCs/>
        </w:rPr>
        <w:t>ըստ</w:t>
      </w:r>
      <w:r w:rsidRPr="009070BD">
        <w:rPr>
          <w:b w:val="0"/>
          <w:bCs/>
          <w:iCs/>
          <w:lang w:val="fr-FR"/>
        </w:rPr>
        <w:t xml:space="preserve"> </w:t>
      </w:r>
      <w:r w:rsidRPr="009070BD">
        <w:rPr>
          <w:b w:val="0"/>
          <w:bCs/>
          <w:iCs/>
        </w:rPr>
        <w:t>համայնքների</w:t>
      </w:r>
      <w:r w:rsidRPr="009070BD">
        <w:rPr>
          <w:b w:val="0"/>
          <w:bCs/>
          <w:iCs/>
          <w:lang w:val="fr-FR"/>
        </w:rPr>
        <w:t xml:space="preserve"> </w:t>
      </w:r>
      <w:r w:rsidRPr="009070BD">
        <w:rPr>
          <w:b w:val="0"/>
          <w:bCs/>
          <w:iCs/>
        </w:rPr>
        <w:t>բյուջետային</w:t>
      </w:r>
      <w:r w:rsidRPr="009070BD">
        <w:rPr>
          <w:b w:val="0"/>
          <w:bCs/>
          <w:iCs/>
          <w:lang w:val="fr-FR"/>
        </w:rPr>
        <w:t xml:space="preserve"> </w:t>
      </w:r>
      <w:r w:rsidRPr="009070BD">
        <w:rPr>
          <w:b w:val="0"/>
          <w:bCs/>
          <w:iCs/>
        </w:rPr>
        <w:t>ապահով</w:t>
      </w:r>
      <w:r w:rsidRPr="009070BD">
        <w:rPr>
          <w:b w:val="0"/>
          <w:bCs/>
          <w:iCs/>
          <w:lang w:val="fr-FR"/>
        </w:rPr>
        <w:softHyphen/>
      </w:r>
      <w:r w:rsidRPr="009070BD">
        <w:rPr>
          <w:b w:val="0"/>
          <w:bCs/>
          <w:iCs/>
        </w:rPr>
        <w:t>վածու</w:t>
      </w:r>
      <w:r w:rsidRPr="009070BD">
        <w:rPr>
          <w:b w:val="0"/>
          <w:bCs/>
          <w:iCs/>
          <w:lang w:val="fr-FR"/>
        </w:rPr>
        <w:softHyphen/>
      </w:r>
      <w:r w:rsidRPr="009070BD">
        <w:rPr>
          <w:b w:val="0"/>
          <w:bCs/>
          <w:iCs/>
        </w:rPr>
        <w:t>թյան</w:t>
      </w:r>
      <w:r w:rsidRPr="009070BD">
        <w:rPr>
          <w:b w:val="0"/>
          <w:bCs/>
          <w:iCs/>
          <w:lang w:val="fr-FR"/>
        </w:rPr>
        <w:t xml:space="preserve"> </w:t>
      </w:r>
      <w:r w:rsidRPr="009070BD">
        <w:rPr>
          <w:b w:val="0"/>
          <w:bCs/>
          <w:iCs/>
        </w:rPr>
        <w:t>գործակցի</w:t>
      </w:r>
      <w:r w:rsidRPr="009070BD">
        <w:rPr>
          <w:b w:val="0"/>
          <w:bCs/>
          <w:iCs/>
          <w:lang w:val="fr-FR"/>
        </w:rPr>
        <w:t xml:space="preserve">: </w:t>
      </w:r>
      <w:r w:rsidRPr="009070BD">
        <w:rPr>
          <w:b w:val="0"/>
          <w:bCs/>
          <w:iCs/>
        </w:rPr>
        <w:t>Մասնավորապես</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 xml:space="preserve">2021 </w:t>
      </w:r>
      <w:r w:rsidRPr="009070BD">
        <w:rPr>
          <w:b w:val="0"/>
          <w:bCs/>
          <w:iCs/>
        </w:rPr>
        <w:t>թվականի</w:t>
      </w:r>
      <w:r w:rsidRPr="009070BD">
        <w:rPr>
          <w:b w:val="0"/>
          <w:bCs/>
          <w:iCs/>
          <w:lang w:val="fr-FR"/>
        </w:rPr>
        <w:t xml:space="preserve"> </w:t>
      </w:r>
      <w:r w:rsidRPr="009070BD">
        <w:rPr>
          <w:b w:val="0"/>
          <w:bCs/>
          <w:iCs/>
        </w:rPr>
        <w:t>յուրաքանչյուր</w:t>
      </w:r>
      <w:r w:rsidRPr="009070BD">
        <w:rPr>
          <w:b w:val="0"/>
          <w:bCs/>
          <w:iCs/>
          <w:lang w:val="fr-FR"/>
        </w:rPr>
        <w:t xml:space="preserve"> </w:t>
      </w:r>
      <w:r w:rsidRPr="009070BD">
        <w:rPr>
          <w:b w:val="0"/>
          <w:bCs/>
          <w:iCs/>
        </w:rPr>
        <w:t>համայնքի</w:t>
      </w:r>
      <w:r w:rsidRPr="009070BD">
        <w:rPr>
          <w:b w:val="0"/>
          <w:bCs/>
          <w:iCs/>
          <w:lang w:val="fr-FR"/>
        </w:rPr>
        <w:t xml:space="preserve"> </w:t>
      </w:r>
      <w:r w:rsidRPr="009070BD">
        <w:rPr>
          <w:b w:val="0"/>
          <w:bCs/>
          <w:iCs/>
        </w:rPr>
        <w:t>դոտացիաների</w:t>
      </w:r>
      <w:r w:rsidRPr="009070BD">
        <w:rPr>
          <w:b w:val="0"/>
          <w:bCs/>
          <w:iCs/>
          <w:lang w:val="fr-FR"/>
        </w:rPr>
        <w:t xml:space="preserve"> </w:t>
      </w:r>
      <w:r w:rsidRPr="009070BD">
        <w:rPr>
          <w:b w:val="0"/>
          <w:bCs/>
          <w:iCs/>
        </w:rPr>
        <w:t>հաշվարկի</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որպես</w:t>
      </w:r>
      <w:r w:rsidRPr="009070BD">
        <w:rPr>
          <w:b w:val="0"/>
          <w:bCs/>
          <w:iCs/>
          <w:lang w:val="fr-FR"/>
        </w:rPr>
        <w:t xml:space="preserve"> </w:t>
      </w:r>
      <w:r w:rsidRPr="009070BD">
        <w:rPr>
          <w:b w:val="0"/>
          <w:bCs/>
          <w:iCs/>
        </w:rPr>
        <w:t>բազային</w:t>
      </w:r>
      <w:r w:rsidRPr="009070BD">
        <w:rPr>
          <w:b w:val="0"/>
          <w:bCs/>
          <w:iCs/>
          <w:lang w:val="fr-FR"/>
        </w:rPr>
        <w:t xml:space="preserve"> </w:t>
      </w:r>
      <w:r w:rsidRPr="009070BD">
        <w:rPr>
          <w:b w:val="0"/>
          <w:bCs/>
          <w:iCs/>
        </w:rPr>
        <w:t>անփոփոխելի</w:t>
      </w:r>
      <w:r w:rsidRPr="009070BD">
        <w:rPr>
          <w:b w:val="0"/>
          <w:bCs/>
          <w:iCs/>
          <w:lang w:val="fr-FR"/>
        </w:rPr>
        <w:t xml:space="preserve"> </w:t>
      </w:r>
      <w:r w:rsidRPr="009070BD">
        <w:rPr>
          <w:b w:val="0"/>
          <w:bCs/>
          <w:iCs/>
        </w:rPr>
        <w:t>գումար</w:t>
      </w:r>
      <w:r w:rsidRPr="009070BD">
        <w:rPr>
          <w:b w:val="0"/>
          <w:bCs/>
          <w:iCs/>
          <w:lang w:val="fr-FR"/>
        </w:rPr>
        <w:t xml:space="preserve"> </w:t>
      </w:r>
      <w:r w:rsidRPr="009070BD">
        <w:rPr>
          <w:b w:val="0"/>
          <w:bCs/>
          <w:iCs/>
        </w:rPr>
        <w:t>համարվել</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ՀՀ</w:t>
      </w:r>
      <w:r w:rsidRPr="009070BD">
        <w:rPr>
          <w:b w:val="0"/>
          <w:bCs/>
          <w:iCs/>
          <w:lang w:val="fr-FR"/>
        </w:rPr>
        <w:t xml:space="preserve"> 2016</w:t>
      </w:r>
      <w:r w:rsidRPr="009070BD">
        <w:rPr>
          <w:b w:val="0"/>
          <w:bCs/>
          <w:iCs/>
        </w:rPr>
        <w:t>թ</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բյուջեից</w:t>
      </w:r>
      <w:r w:rsidRPr="009070BD">
        <w:rPr>
          <w:b w:val="0"/>
          <w:bCs/>
          <w:iCs/>
          <w:lang w:val="fr-FR"/>
        </w:rPr>
        <w:t xml:space="preserve"> </w:t>
      </w:r>
      <w:r w:rsidRPr="009070BD">
        <w:rPr>
          <w:b w:val="0"/>
          <w:bCs/>
          <w:iCs/>
        </w:rPr>
        <w:t>համայնքների</w:t>
      </w:r>
      <w:r w:rsidRPr="009070BD">
        <w:rPr>
          <w:b w:val="0"/>
          <w:bCs/>
          <w:iCs/>
          <w:lang w:val="fr-FR"/>
        </w:rPr>
        <w:t xml:space="preserve"> </w:t>
      </w:r>
      <w:r w:rsidRPr="009070BD">
        <w:rPr>
          <w:b w:val="0"/>
          <w:bCs/>
          <w:iCs/>
        </w:rPr>
        <w:t>բյուջեներին</w:t>
      </w:r>
      <w:r w:rsidRPr="009070BD">
        <w:rPr>
          <w:b w:val="0"/>
          <w:bCs/>
          <w:iCs/>
          <w:lang w:val="fr-FR"/>
        </w:rPr>
        <w:t xml:space="preserve"> </w:t>
      </w:r>
      <w:r w:rsidRPr="009070BD">
        <w:rPr>
          <w:b w:val="0"/>
          <w:bCs/>
          <w:iCs/>
        </w:rPr>
        <w:t>տրամադրված</w:t>
      </w:r>
      <w:r w:rsidRPr="009070BD">
        <w:rPr>
          <w:b w:val="0"/>
          <w:bCs/>
          <w:iCs/>
          <w:lang w:val="fr-FR"/>
        </w:rPr>
        <w:t xml:space="preserve"> </w:t>
      </w:r>
      <w:r w:rsidRPr="009070BD">
        <w:rPr>
          <w:b w:val="0"/>
          <w:bCs/>
          <w:iCs/>
        </w:rPr>
        <w:t>ֆինանսական</w:t>
      </w:r>
      <w:r w:rsidRPr="009070BD">
        <w:rPr>
          <w:b w:val="0"/>
          <w:bCs/>
          <w:iCs/>
          <w:lang w:val="fr-FR"/>
        </w:rPr>
        <w:t xml:space="preserve"> </w:t>
      </w:r>
      <w:r w:rsidRPr="009070BD">
        <w:rPr>
          <w:b w:val="0"/>
          <w:bCs/>
          <w:iCs/>
        </w:rPr>
        <w:t>համահարթեցման</w:t>
      </w:r>
      <w:r w:rsidRPr="009070BD">
        <w:rPr>
          <w:b w:val="0"/>
          <w:bCs/>
          <w:iCs/>
          <w:lang w:val="fr-FR"/>
        </w:rPr>
        <w:t xml:space="preserve"> </w:t>
      </w:r>
      <w:r w:rsidRPr="009070BD">
        <w:rPr>
          <w:b w:val="0"/>
          <w:bCs/>
          <w:iCs/>
        </w:rPr>
        <w:t>դոտացիաների</w:t>
      </w:r>
      <w:r w:rsidRPr="009070BD">
        <w:rPr>
          <w:b w:val="0"/>
          <w:bCs/>
          <w:iCs/>
          <w:lang w:val="fr-FR"/>
        </w:rPr>
        <w:t xml:space="preserve"> </w:t>
      </w:r>
      <w:r w:rsidRPr="009070BD">
        <w:rPr>
          <w:b w:val="0"/>
          <w:bCs/>
          <w:iCs/>
        </w:rPr>
        <w:t>գումարը</w:t>
      </w:r>
      <w:r w:rsidRPr="009070BD">
        <w:rPr>
          <w:b w:val="0"/>
          <w:bCs/>
          <w:iCs/>
          <w:lang w:val="fr-FR"/>
        </w:rPr>
        <w:t xml:space="preserve"> </w:t>
      </w:r>
      <w:r w:rsidRPr="009070BD">
        <w:rPr>
          <w:b w:val="0"/>
          <w:bCs/>
          <w:iCs/>
        </w:rPr>
        <w:t>և</w:t>
      </w:r>
      <w:r w:rsidRPr="009070BD">
        <w:rPr>
          <w:b w:val="0"/>
          <w:bCs/>
          <w:iCs/>
          <w:lang w:val="fr-FR"/>
        </w:rPr>
        <w:t xml:space="preserve"> 2021 </w:t>
      </w:r>
      <w:r w:rsidRPr="009070BD">
        <w:rPr>
          <w:b w:val="0"/>
          <w:bCs/>
          <w:iCs/>
        </w:rPr>
        <w:t>թվականի</w:t>
      </w:r>
      <w:r w:rsidRPr="009070BD">
        <w:rPr>
          <w:b w:val="0"/>
          <w:bCs/>
          <w:iCs/>
          <w:lang w:val="fr-FR"/>
        </w:rPr>
        <w:t xml:space="preserve"> </w:t>
      </w:r>
      <w:r w:rsidRPr="009070BD">
        <w:rPr>
          <w:b w:val="0"/>
          <w:bCs/>
          <w:iCs/>
        </w:rPr>
        <w:t>ֆինան</w:t>
      </w:r>
      <w:r w:rsidRPr="009070BD">
        <w:rPr>
          <w:b w:val="0"/>
          <w:bCs/>
          <w:iCs/>
          <w:lang w:val="fr-FR"/>
        </w:rPr>
        <w:softHyphen/>
      </w:r>
      <w:r w:rsidRPr="009070BD">
        <w:rPr>
          <w:b w:val="0"/>
          <w:bCs/>
          <w:iCs/>
          <w:lang w:val="fr-FR"/>
        </w:rPr>
        <w:softHyphen/>
      </w:r>
      <w:r w:rsidRPr="009070BD">
        <w:rPr>
          <w:b w:val="0"/>
          <w:bCs/>
          <w:iCs/>
        </w:rPr>
        <w:t>սական</w:t>
      </w:r>
      <w:r w:rsidRPr="009070BD">
        <w:rPr>
          <w:b w:val="0"/>
          <w:bCs/>
          <w:iCs/>
          <w:lang w:val="fr-FR"/>
        </w:rPr>
        <w:t xml:space="preserve"> </w:t>
      </w:r>
      <w:r w:rsidRPr="009070BD">
        <w:rPr>
          <w:b w:val="0"/>
          <w:bCs/>
          <w:iCs/>
        </w:rPr>
        <w:t>համահարթեցման</w:t>
      </w:r>
      <w:r w:rsidRPr="009070BD">
        <w:rPr>
          <w:b w:val="0"/>
          <w:bCs/>
          <w:iCs/>
          <w:lang w:val="fr-FR"/>
        </w:rPr>
        <w:t xml:space="preserve"> </w:t>
      </w:r>
      <w:r w:rsidRPr="009070BD">
        <w:rPr>
          <w:b w:val="0"/>
          <w:bCs/>
          <w:iCs/>
        </w:rPr>
        <w:t>դոտացիայի</w:t>
      </w:r>
      <w:r w:rsidRPr="009070BD">
        <w:rPr>
          <w:b w:val="0"/>
          <w:bCs/>
          <w:iCs/>
          <w:lang w:val="fr-FR"/>
        </w:rPr>
        <w:t xml:space="preserve"> </w:t>
      </w:r>
      <w:r w:rsidRPr="009070BD">
        <w:rPr>
          <w:b w:val="0"/>
          <w:bCs/>
          <w:iCs/>
        </w:rPr>
        <w:t>ընդհանուր</w:t>
      </w:r>
      <w:r w:rsidRPr="009070BD">
        <w:rPr>
          <w:b w:val="0"/>
          <w:bCs/>
          <w:iCs/>
          <w:lang w:val="fr-FR"/>
        </w:rPr>
        <w:t xml:space="preserve"> </w:t>
      </w:r>
      <w:r w:rsidRPr="009070BD">
        <w:rPr>
          <w:b w:val="0"/>
          <w:bCs/>
          <w:iCs/>
        </w:rPr>
        <w:t>գումարի</w:t>
      </w:r>
      <w:r w:rsidRPr="009070BD">
        <w:rPr>
          <w:b w:val="0"/>
          <w:bCs/>
          <w:iCs/>
          <w:lang w:val="fr-FR"/>
        </w:rPr>
        <w:t xml:space="preserve"> (64,597.0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ու</w:t>
      </w:r>
      <w:r w:rsidRPr="009070BD">
        <w:rPr>
          <w:b w:val="0"/>
          <w:bCs/>
          <w:iCs/>
          <w:lang w:val="fr-FR"/>
        </w:rPr>
        <w:t xml:space="preserve"> 2016 </w:t>
      </w:r>
      <w:r w:rsidRPr="009070BD">
        <w:rPr>
          <w:b w:val="0"/>
          <w:bCs/>
          <w:iCs/>
        </w:rPr>
        <w:t>թվականին</w:t>
      </w:r>
      <w:r w:rsidRPr="009070BD">
        <w:rPr>
          <w:b w:val="0"/>
          <w:bCs/>
          <w:iCs/>
          <w:lang w:val="fr-FR"/>
        </w:rPr>
        <w:t xml:space="preserve"> </w:t>
      </w:r>
      <w:r w:rsidRPr="009070BD">
        <w:rPr>
          <w:b w:val="0"/>
          <w:bCs/>
          <w:iCs/>
        </w:rPr>
        <w:t>հատկացված</w:t>
      </w:r>
      <w:r w:rsidRPr="009070BD">
        <w:rPr>
          <w:b w:val="0"/>
          <w:bCs/>
          <w:iCs/>
          <w:lang w:val="fr-FR"/>
        </w:rPr>
        <w:t xml:space="preserve"> </w:t>
      </w:r>
      <w:r w:rsidRPr="009070BD">
        <w:rPr>
          <w:b w:val="0"/>
          <w:bCs/>
          <w:iCs/>
        </w:rPr>
        <w:t>դոտացիայի</w:t>
      </w:r>
      <w:r w:rsidRPr="009070BD">
        <w:rPr>
          <w:b w:val="0"/>
          <w:bCs/>
          <w:iCs/>
          <w:lang w:val="fr-FR"/>
        </w:rPr>
        <w:t xml:space="preserve"> </w:t>
      </w:r>
      <w:r w:rsidRPr="009070BD">
        <w:rPr>
          <w:b w:val="0"/>
          <w:bCs/>
          <w:iCs/>
        </w:rPr>
        <w:t>ընդհանուր</w:t>
      </w:r>
      <w:r w:rsidRPr="009070BD">
        <w:rPr>
          <w:b w:val="0"/>
          <w:bCs/>
          <w:iCs/>
          <w:lang w:val="fr-FR"/>
        </w:rPr>
        <w:t xml:space="preserve"> </w:t>
      </w:r>
      <w:r w:rsidRPr="009070BD">
        <w:rPr>
          <w:b w:val="0"/>
          <w:bCs/>
          <w:iCs/>
        </w:rPr>
        <w:t>գումարի</w:t>
      </w:r>
      <w:r w:rsidRPr="009070BD">
        <w:rPr>
          <w:b w:val="0"/>
          <w:bCs/>
          <w:iCs/>
          <w:lang w:val="fr-FR"/>
        </w:rPr>
        <w:t xml:space="preserve"> (47,127.5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տարբերության</w:t>
      </w:r>
      <w:r w:rsidRPr="009070BD">
        <w:rPr>
          <w:b w:val="0"/>
          <w:bCs/>
          <w:iCs/>
          <w:lang w:val="fr-FR"/>
        </w:rPr>
        <w:t xml:space="preserve"> </w:t>
      </w:r>
      <w:r w:rsidRPr="009070BD">
        <w:rPr>
          <w:b w:val="0"/>
          <w:bCs/>
          <w:iCs/>
        </w:rPr>
        <w:t>չափով</w:t>
      </w:r>
      <w:r w:rsidRPr="009070BD">
        <w:rPr>
          <w:b w:val="0"/>
          <w:bCs/>
          <w:iCs/>
          <w:lang w:val="fr-FR"/>
        </w:rPr>
        <w:t xml:space="preserve"> </w:t>
      </w:r>
      <w:r w:rsidRPr="009070BD">
        <w:rPr>
          <w:b w:val="0"/>
          <w:bCs/>
          <w:iCs/>
        </w:rPr>
        <w:t>հավելաճի</w:t>
      </w:r>
      <w:r w:rsidRPr="009070BD">
        <w:rPr>
          <w:b w:val="0"/>
          <w:bCs/>
          <w:iCs/>
          <w:lang w:val="fr-FR"/>
        </w:rPr>
        <w:t xml:space="preserve"> </w:t>
      </w:r>
      <w:r w:rsidRPr="009070BD">
        <w:rPr>
          <w:b w:val="0"/>
          <w:bCs/>
          <w:iCs/>
        </w:rPr>
        <w:t>գումարը</w:t>
      </w:r>
      <w:r w:rsidRPr="009070BD">
        <w:rPr>
          <w:b w:val="0"/>
          <w:bCs/>
          <w:iCs/>
          <w:lang w:val="fr-FR"/>
        </w:rPr>
        <w:t xml:space="preserve"> (17,469.5 </w:t>
      </w:r>
      <w:r w:rsidRPr="009070BD">
        <w:rPr>
          <w:b w:val="0"/>
          <w:bCs/>
          <w:iCs/>
        </w:rPr>
        <w:t>մլն</w:t>
      </w:r>
      <w:r w:rsidRPr="009070BD">
        <w:rPr>
          <w:b w:val="0"/>
          <w:bCs/>
          <w:iCs/>
          <w:lang w:val="fr-FR"/>
        </w:rPr>
        <w:t>.</w:t>
      </w:r>
      <w:r w:rsidRPr="009070BD">
        <w:rPr>
          <w:b w:val="0"/>
          <w:bCs/>
          <w:iCs/>
        </w:rPr>
        <w:t>դրամ</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 xml:space="preserve"> </w:t>
      </w:r>
      <w:r w:rsidRPr="009070BD">
        <w:rPr>
          <w:b w:val="0"/>
          <w:bCs/>
          <w:iCs/>
        </w:rPr>
        <w:t>Ընդ</w:t>
      </w:r>
      <w:r w:rsidRPr="009070BD">
        <w:rPr>
          <w:b w:val="0"/>
          <w:bCs/>
          <w:iCs/>
          <w:lang w:val="fr-FR"/>
        </w:rPr>
        <w:t xml:space="preserve"> </w:t>
      </w:r>
      <w:r w:rsidRPr="009070BD">
        <w:rPr>
          <w:b w:val="0"/>
          <w:bCs/>
          <w:iCs/>
        </w:rPr>
        <w:t>որում</w:t>
      </w:r>
      <w:r w:rsidRPr="009070BD">
        <w:rPr>
          <w:b w:val="0"/>
          <w:bCs/>
          <w:iCs/>
          <w:lang w:val="fr-FR"/>
        </w:rPr>
        <w:t>, 202</w:t>
      </w:r>
      <w:r w:rsidR="00D73D18" w:rsidRPr="009070BD">
        <w:rPr>
          <w:b w:val="0"/>
          <w:bCs/>
          <w:iCs/>
          <w:lang w:val="hy-AM"/>
        </w:rPr>
        <w:t>1</w:t>
      </w:r>
      <w:r w:rsidRPr="009070BD">
        <w:rPr>
          <w:b w:val="0"/>
          <w:bCs/>
          <w:iCs/>
          <w:lang w:val="fr-FR"/>
        </w:rPr>
        <w:t xml:space="preserve"> </w:t>
      </w:r>
      <w:r w:rsidRPr="009070BD">
        <w:rPr>
          <w:b w:val="0"/>
          <w:bCs/>
          <w:iCs/>
        </w:rPr>
        <w:t>թվականի</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հավելաճի</w:t>
      </w:r>
      <w:r w:rsidRPr="009070BD">
        <w:rPr>
          <w:b w:val="0"/>
          <w:bCs/>
          <w:iCs/>
          <w:lang w:val="fr-FR"/>
        </w:rPr>
        <w:t xml:space="preserve"> </w:t>
      </w:r>
      <w:r w:rsidRPr="009070BD">
        <w:rPr>
          <w:b w:val="0"/>
          <w:bCs/>
          <w:iCs/>
        </w:rPr>
        <w:t>մասով</w:t>
      </w:r>
      <w:r w:rsidRPr="009070BD">
        <w:rPr>
          <w:b w:val="0"/>
          <w:bCs/>
          <w:iCs/>
          <w:lang w:val="fr-FR"/>
        </w:rPr>
        <w:t xml:space="preserve"> </w:t>
      </w:r>
      <w:r w:rsidRPr="009070BD">
        <w:rPr>
          <w:b w:val="0"/>
          <w:bCs/>
          <w:iCs/>
        </w:rPr>
        <w:t>դոտացիաների</w:t>
      </w:r>
      <w:r w:rsidRPr="009070BD">
        <w:rPr>
          <w:b w:val="0"/>
          <w:bCs/>
          <w:iCs/>
          <w:lang w:val="fr-FR"/>
        </w:rPr>
        <w:t xml:space="preserve"> </w:t>
      </w:r>
      <w:r w:rsidRPr="009070BD">
        <w:rPr>
          <w:b w:val="0"/>
          <w:bCs/>
          <w:iCs/>
        </w:rPr>
        <w:t>հաշվարկը</w:t>
      </w:r>
      <w:r w:rsidRPr="009070BD">
        <w:rPr>
          <w:b w:val="0"/>
          <w:bCs/>
          <w:iCs/>
          <w:lang w:val="fr-FR"/>
        </w:rPr>
        <w:t xml:space="preserve"> </w:t>
      </w:r>
      <w:r w:rsidRPr="009070BD">
        <w:rPr>
          <w:b w:val="0"/>
          <w:bCs/>
          <w:iCs/>
        </w:rPr>
        <w:t>իրականացվել</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Բ</w:t>
      </w:r>
      <w:r w:rsidRPr="009070BD">
        <w:rPr>
          <w:b w:val="0"/>
          <w:bCs/>
          <w:iCs/>
          <w:lang w:val="fr-FR"/>
        </w:rPr>
        <w:t xml:space="preserve">» </w:t>
      </w:r>
      <w:r w:rsidRPr="009070BD">
        <w:rPr>
          <w:b w:val="0"/>
          <w:bCs/>
          <w:iCs/>
        </w:rPr>
        <w:t>մասով</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rPr>
        <w:t>Հարկ</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նշել</w:t>
      </w:r>
      <w:r w:rsidRPr="009070BD">
        <w:rPr>
          <w:b w:val="0"/>
          <w:bCs/>
          <w:iCs/>
          <w:lang w:val="fr-FR"/>
        </w:rPr>
        <w:t xml:space="preserve">, </w:t>
      </w:r>
      <w:r w:rsidRPr="009070BD">
        <w:rPr>
          <w:b w:val="0"/>
          <w:bCs/>
          <w:iCs/>
        </w:rPr>
        <w:t>որ</w:t>
      </w:r>
      <w:r w:rsidRPr="009070BD">
        <w:rPr>
          <w:b w:val="0"/>
          <w:bCs/>
          <w:iCs/>
          <w:lang w:val="fr-FR"/>
        </w:rPr>
        <w:t xml:space="preserve"> </w:t>
      </w:r>
      <w:r w:rsidRPr="009070BD">
        <w:rPr>
          <w:b w:val="0"/>
          <w:bCs/>
          <w:iCs/>
        </w:rPr>
        <w:t>համաձայն</w:t>
      </w:r>
      <w:r w:rsidRPr="009070BD">
        <w:rPr>
          <w:b w:val="0"/>
          <w:bCs/>
          <w:iCs/>
          <w:lang w:val="fr-FR"/>
        </w:rPr>
        <w:t xml:space="preserve"> «</w:t>
      </w:r>
      <w:r w:rsidRPr="009070BD">
        <w:rPr>
          <w:b w:val="0"/>
          <w:bCs/>
          <w:iCs/>
        </w:rPr>
        <w:t>Ֆինանսական</w:t>
      </w:r>
      <w:r w:rsidRPr="009070BD">
        <w:rPr>
          <w:b w:val="0"/>
          <w:bCs/>
          <w:iCs/>
          <w:lang w:val="fr-FR"/>
        </w:rPr>
        <w:t xml:space="preserve"> </w:t>
      </w:r>
      <w:r w:rsidRPr="009070BD">
        <w:rPr>
          <w:b w:val="0"/>
          <w:bCs/>
          <w:iCs/>
        </w:rPr>
        <w:t>համահարթեցման</w:t>
      </w:r>
      <w:r w:rsidRPr="009070BD">
        <w:rPr>
          <w:b w:val="0"/>
          <w:bCs/>
          <w:iCs/>
          <w:lang w:val="fr-FR"/>
        </w:rPr>
        <w:t xml:space="preserve"> </w:t>
      </w:r>
      <w:r w:rsidRPr="009070BD">
        <w:rPr>
          <w:b w:val="0"/>
          <w:bCs/>
          <w:iCs/>
        </w:rPr>
        <w:t>մասին</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օրենքի</w:t>
      </w:r>
      <w:r w:rsidRPr="009070BD">
        <w:rPr>
          <w:b w:val="0"/>
          <w:bCs/>
          <w:iCs/>
          <w:lang w:val="fr-FR"/>
        </w:rPr>
        <w:t xml:space="preserve"> 202</w:t>
      </w:r>
      <w:r w:rsidRPr="009070BD">
        <w:rPr>
          <w:b w:val="0"/>
          <w:bCs/>
          <w:iCs/>
          <w:lang w:val="hy-AM"/>
        </w:rPr>
        <w:t>1</w:t>
      </w:r>
      <w:r w:rsidRPr="009070BD">
        <w:rPr>
          <w:b w:val="0"/>
          <w:bCs/>
          <w:iCs/>
          <w:lang w:val="fr-FR"/>
        </w:rPr>
        <w:t xml:space="preserve"> </w:t>
      </w:r>
      <w:r w:rsidRPr="009070BD">
        <w:rPr>
          <w:b w:val="0"/>
          <w:bCs/>
          <w:iCs/>
        </w:rPr>
        <w:t>թվա</w:t>
      </w:r>
      <w:r w:rsidRPr="009070BD">
        <w:rPr>
          <w:b w:val="0"/>
          <w:bCs/>
          <w:iCs/>
          <w:lang w:val="fr-FR"/>
        </w:rPr>
        <w:softHyphen/>
      </w:r>
      <w:r w:rsidRPr="009070BD">
        <w:rPr>
          <w:b w:val="0"/>
          <w:bCs/>
          <w:iCs/>
          <w:lang w:val="fr-FR"/>
        </w:rPr>
        <w:softHyphen/>
      </w:r>
      <w:r w:rsidRPr="009070BD">
        <w:rPr>
          <w:b w:val="0"/>
          <w:bCs/>
          <w:iCs/>
          <w:lang w:val="fr-FR"/>
        </w:rPr>
        <w:softHyphen/>
      </w:r>
      <w:r w:rsidRPr="009070BD">
        <w:rPr>
          <w:b w:val="0"/>
          <w:bCs/>
          <w:iCs/>
          <w:lang w:val="fr-FR"/>
        </w:rPr>
        <w:softHyphen/>
      </w:r>
      <w:r w:rsidRPr="009070BD">
        <w:rPr>
          <w:b w:val="0"/>
          <w:bCs/>
          <w:iCs/>
          <w:lang w:val="fr-FR"/>
        </w:rPr>
        <w:softHyphen/>
      </w:r>
      <w:r w:rsidRPr="009070BD">
        <w:rPr>
          <w:b w:val="0"/>
          <w:bCs/>
          <w:iCs/>
        </w:rPr>
        <w:t>կանի</w:t>
      </w:r>
      <w:r w:rsidRPr="009070BD">
        <w:rPr>
          <w:b w:val="0"/>
          <w:bCs/>
          <w:iCs/>
          <w:lang w:val="fr-FR"/>
        </w:rPr>
        <w:t xml:space="preserve"> </w:t>
      </w:r>
      <w:r w:rsidRPr="009070BD">
        <w:rPr>
          <w:b w:val="0"/>
          <w:bCs/>
          <w:iCs/>
        </w:rPr>
        <w:t>ֆինան</w:t>
      </w:r>
      <w:r w:rsidRPr="009070BD">
        <w:rPr>
          <w:b w:val="0"/>
          <w:bCs/>
          <w:iCs/>
          <w:lang w:val="fr-FR"/>
        </w:rPr>
        <w:softHyphen/>
      </w:r>
      <w:r w:rsidRPr="009070BD">
        <w:rPr>
          <w:b w:val="0"/>
          <w:bCs/>
          <w:iCs/>
        </w:rPr>
        <w:t>սական</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մա</w:t>
      </w:r>
      <w:r w:rsidRPr="009070BD">
        <w:rPr>
          <w:b w:val="0"/>
          <w:bCs/>
          <w:iCs/>
          <w:lang w:val="fr-FR"/>
        </w:rPr>
        <w:softHyphen/>
      </w:r>
      <w:r w:rsidRPr="009070BD">
        <w:rPr>
          <w:b w:val="0"/>
          <w:bCs/>
          <w:iCs/>
        </w:rPr>
        <w:t>հար</w:t>
      </w:r>
      <w:r w:rsidRPr="009070BD">
        <w:rPr>
          <w:b w:val="0"/>
          <w:bCs/>
          <w:iCs/>
          <w:lang w:val="fr-FR"/>
        </w:rPr>
        <w:softHyphen/>
      </w:r>
      <w:r w:rsidRPr="009070BD">
        <w:rPr>
          <w:b w:val="0"/>
          <w:bCs/>
          <w:iCs/>
        </w:rPr>
        <w:t>թեցման</w:t>
      </w:r>
      <w:r w:rsidRPr="009070BD">
        <w:rPr>
          <w:b w:val="0"/>
          <w:bCs/>
          <w:iCs/>
          <w:lang w:val="fr-FR"/>
        </w:rPr>
        <w:t xml:space="preserve"> </w:t>
      </w:r>
      <w:r w:rsidRPr="009070BD">
        <w:rPr>
          <w:b w:val="0"/>
          <w:bCs/>
          <w:iCs/>
        </w:rPr>
        <w:t>դոտա</w:t>
      </w:r>
      <w:r w:rsidRPr="009070BD">
        <w:rPr>
          <w:b w:val="0"/>
          <w:bCs/>
          <w:iCs/>
          <w:lang w:val="fr-FR"/>
        </w:rPr>
        <w:softHyphen/>
      </w:r>
      <w:r w:rsidRPr="009070BD">
        <w:rPr>
          <w:b w:val="0"/>
          <w:bCs/>
          <w:iCs/>
        </w:rPr>
        <w:t>ցիա</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գու</w:t>
      </w:r>
      <w:r w:rsidRPr="009070BD">
        <w:rPr>
          <w:b w:val="0"/>
          <w:bCs/>
          <w:iCs/>
          <w:lang w:val="fr-FR"/>
        </w:rPr>
        <w:softHyphen/>
      </w:r>
      <w:r w:rsidRPr="009070BD">
        <w:rPr>
          <w:b w:val="0"/>
          <w:bCs/>
          <w:iCs/>
        </w:rPr>
        <w:t>մար</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հաշ</w:t>
      </w:r>
      <w:r w:rsidRPr="009070BD">
        <w:rPr>
          <w:b w:val="0"/>
          <w:bCs/>
          <w:iCs/>
          <w:lang w:val="fr-FR"/>
        </w:rPr>
        <w:softHyphen/>
      </w:r>
      <w:r w:rsidRPr="009070BD">
        <w:rPr>
          <w:b w:val="0"/>
          <w:bCs/>
          <w:iCs/>
        </w:rPr>
        <w:t>վարկ</w:t>
      </w:r>
      <w:r w:rsidRPr="009070BD">
        <w:rPr>
          <w:b w:val="0"/>
          <w:bCs/>
          <w:iCs/>
          <w:lang w:val="fr-FR"/>
        </w:rPr>
        <w:softHyphen/>
      </w:r>
      <w:r w:rsidRPr="009070BD">
        <w:rPr>
          <w:b w:val="0"/>
          <w:bCs/>
          <w:iCs/>
        </w:rPr>
        <w:t>նե</w:t>
      </w:r>
      <w:r w:rsidRPr="009070BD">
        <w:rPr>
          <w:b w:val="0"/>
          <w:bCs/>
          <w:iCs/>
          <w:lang w:val="fr-FR"/>
        </w:rPr>
        <w:softHyphen/>
      </w:r>
      <w:r w:rsidRPr="009070BD">
        <w:rPr>
          <w:b w:val="0"/>
          <w:bCs/>
          <w:iCs/>
        </w:rPr>
        <w:t>րում</w:t>
      </w:r>
      <w:r w:rsidRPr="009070BD">
        <w:rPr>
          <w:b w:val="0"/>
          <w:bCs/>
          <w:iCs/>
          <w:lang w:val="fr-FR"/>
        </w:rPr>
        <w:t xml:space="preserve"> </w:t>
      </w:r>
      <w:r w:rsidRPr="009070BD">
        <w:rPr>
          <w:b w:val="0"/>
          <w:bCs/>
          <w:iCs/>
        </w:rPr>
        <w:t>կի</w:t>
      </w:r>
      <w:r w:rsidRPr="009070BD">
        <w:rPr>
          <w:b w:val="0"/>
          <w:bCs/>
          <w:iCs/>
          <w:lang w:val="fr-FR"/>
        </w:rPr>
        <w:softHyphen/>
      </w:r>
      <w:r w:rsidRPr="009070BD">
        <w:rPr>
          <w:b w:val="0"/>
          <w:bCs/>
          <w:iCs/>
        </w:rPr>
        <w:t>րառ</w:t>
      </w:r>
      <w:r w:rsidRPr="009070BD">
        <w:rPr>
          <w:b w:val="0"/>
          <w:bCs/>
          <w:iCs/>
          <w:lang w:val="fr-FR"/>
        </w:rPr>
        <w:softHyphen/>
      </w:r>
      <w:r w:rsidRPr="009070BD">
        <w:rPr>
          <w:b w:val="0"/>
          <w:bCs/>
          <w:iCs/>
        </w:rPr>
        <w:t>ված</w:t>
      </w:r>
      <w:r w:rsidRPr="009070BD">
        <w:rPr>
          <w:b w:val="0"/>
          <w:bCs/>
          <w:iCs/>
          <w:lang w:val="fr-FR"/>
        </w:rPr>
        <w:t xml:space="preserve"> 201</w:t>
      </w:r>
      <w:r w:rsidRPr="009070BD">
        <w:rPr>
          <w:b w:val="0"/>
          <w:bCs/>
          <w:iCs/>
          <w:lang w:val="hy-AM"/>
        </w:rPr>
        <w:t>9</w:t>
      </w:r>
      <w:r w:rsidRPr="009070BD">
        <w:rPr>
          <w:b w:val="0"/>
          <w:bCs/>
          <w:iCs/>
          <w:lang w:val="fr-FR"/>
        </w:rPr>
        <w:t xml:space="preserve"> </w:t>
      </w:r>
      <w:r w:rsidRPr="009070BD">
        <w:rPr>
          <w:b w:val="0"/>
          <w:bCs/>
          <w:iCs/>
        </w:rPr>
        <w:t>թվա</w:t>
      </w:r>
      <w:r w:rsidRPr="009070BD">
        <w:rPr>
          <w:b w:val="0"/>
          <w:bCs/>
          <w:iCs/>
          <w:lang w:val="fr-FR"/>
        </w:rPr>
        <w:softHyphen/>
      </w:r>
      <w:r w:rsidRPr="009070BD">
        <w:rPr>
          <w:b w:val="0"/>
          <w:bCs/>
          <w:iCs/>
        </w:rPr>
        <w:t>կանի</w:t>
      </w:r>
      <w:r w:rsidRPr="009070BD">
        <w:rPr>
          <w:b w:val="0"/>
          <w:bCs/>
          <w:iCs/>
          <w:lang w:val="fr-FR"/>
        </w:rPr>
        <w:t xml:space="preserve"> </w:t>
      </w:r>
      <w:r w:rsidRPr="009070BD">
        <w:rPr>
          <w:b w:val="0"/>
          <w:bCs/>
          <w:iCs/>
        </w:rPr>
        <w:t>գույքահարկի</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հո</w:t>
      </w:r>
      <w:r w:rsidRPr="009070BD">
        <w:rPr>
          <w:b w:val="0"/>
          <w:bCs/>
          <w:iCs/>
          <w:lang w:val="fr-FR"/>
        </w:rPr>
        <w:softHyphen/>
      </w:r>
      <w:r w:rsidRPr="009070BD">
        <w:rPr>
          <w:b w:val="0"/>
          <w:bCs/>
          <w:iCs/>
        </w:rPr>
        <w:t>ղի</w:t>
      </w:r>
      <w:r w:rsidRPr="009070BD">
        <w:rPr>
          <w:b w:val="0"/>
          <w:bCs/>
          <w:iCs/>
          <w:lang w:val="fr-FR"/>
        </w:rPr>
        <w:t xml:space="preserve"> </w:t>
      </w:r>
      <w:r w:rsidRPr="009070BD">
        <w:rPr>
          <w:b w:val="0"/>
          <w:bCs/>
          <w:iCs/>
        </w:rPr>
        <w:t>հարկի</w:t>
      </w:r>
      <w:r w:rsidRPr="009070BD">
        <w:rPr>
          <w:b w:val="0"/>
          <w:bCs/>
          <w:iCs/>
          <w:lang w:val="fr-FR"/>
        </w:rPr>
        <w:t xml:space="preserve"> </w:t>
      </w:r>
      <w:r w:rsidRPr="009070BD">
        <w:rPr>
          <w:b w:val="0"/>
          <w:bCs/>
          <w:iCs/>
        </w:rPr>
        <w:t>գծով</w:t>
      </w:r>
      <w:r w:rsidRPr="009070BD">
        <w:rPr>
          <w:b w:val="0"/>
          <w:bCs/>
          <w:iCs/>
          <w:lang w:val="fr-FR"/>
        </w:rPr>
        <w:t xml:space="preserve"> </w:t>
      </w:r>
      <w:r w:rsidRPr="009070BD">
        <w:rPr>
          <w:b w:val="0"/>
          <w:bCs/>
          <w:iCs/>
        </w:rPr>
        <w:t>բոլոր</w:t>
      </w:r>
      <w:r w:rsidRPr="009070BD">
        <w:rPr>
          <w:b w:val="0"/>
          <w:bCs/>
          <w:iCs/>
          <w:lang w:val="fr-FR"/>
        </w:rPr>
        <w:t xml:space="preserve"> </w:t>
      </w:r>
      <w:r w:rsidRPr="009070BD">
        <w:rPr>
          <w:b w:val="0"/>
          <w:bCs/>
          <w:iCs/>
        </w:rPr>
        <w:t>ելակետային</w:t>
      </w:r>
      <w:r w:rsidRPr="009070BD">
        <w:rPr>
          <w:b w:val="0"/>
          <w:bCs/>
          <w:iCs/>
          <w:lang w:val="fr-FR"/>
        </w:rPr>
        <w:t xml:space="preserve"> </w:t>
      </w:r>
      <w:r w:rsidRPr="009070BD">
        <w:rPr>
          <w:b w:val="0"/>
          <w:bCs/>
          <w:iCs/>
        </w:rPr>
        <w:t>տվյալները</w:t>
      </w:r>
      <w:r w:rsidRPr="009070BD">
        <w:rPr>
          <w:b w:val="0"/>
          <w:bCs/>
          <w:iCs/>
          <w:lang w:val="fr-FR"/>
        </w:rPr>
        <w:t xml:space="preserve"> </w:t>
      </w:r>
      <w:r w:rsidRPr="009070BD">
        <w:rPr>
          <w:b w:val="0"/>
          <w:bCs/>
          <w:iCs/>
        </w:rPr>
        <w:t>տրա</w:t>
      </w:r>
      <w:r w:rsidRPr="009070BD">
        <w:rPr>
          <w:b w:val="0"/>
          <w:bCs/>
          <w:iCs/>
          <w:lang w:val="fr-FR"/>
        </w:rPr>
        <w:softHyphen/>
      </w:r>
      <w:r w:rsidRPr="009070BD">
        <w:rPr>
          <w:b w:val="0"/>
          <w:bCs/>
          <w:iCs/>
        </w:rPr>
        <w:t>մադր</w:t>
      </w:r>
      <w:r w:rsidRPr="009070BD">
        <w:rPr>
          <w:b w:val="0"/>
          <w:bCs/>
          <w:iCs/>
          <w:lang w:val="fr-FR"/>
        </w:rPr>
        <w:softHyphen/>
      </w:r>
      <w:r w:rsidRPr="009070BD">
        <w:rPr>
          <w:b w:val="0"/>
          <w:bCs/>
          <w:iCs/>
        </w:rPr>
        <w:t>վել</w:t>
      </w:r>
      <w:r w:rsidRPr="009070BD">
        <w:rPr>
          <w:b w:val="0"/>
          <w:bCs/>
          <w:iCs/>
          <w:lang w:val="fr-FR"/>
        </w:rPr>
        <w:t xml:space="preserve"> </w:t>
      </w:r>
      <w:r w:rsidRPr="009070BD">
        <w:rPr>
          <w:b w:val="0"/>
          <w:bCs/>
          <w:iCs/>
        </w:rPr>
        <w:t>են</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մայնք</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ղեկա</w:t>
      </w:r>
      <w:r w:rsidRPr="009070BD">
        <w:rPr>
          <w:b w:val="0"/>
          <w:bCs/>
          <w:iCs/>
          <w:lang w:val="fr-FR"/>
        </w:rPr>
        <w:softHyphen/>
      </w:r>
      <w:r w:rsidRPr="009070BD">
        <w:rPr>
          <w:b w:val="0"/>
          <w:bCs/>
          <w:iCs/>
        </w:rPr>
        <w:t>վարների</w:t>
      </w:r>
      <w:r w:rsidRPr="009070BD">
        <w:rPr>
          <w:b w:val="0"/>
          <w:bCs/>
          <w:iCs/>
          <w:lang w:val="fr-FR"/>
        </w:rPr>
        <w:t xml:space="preserve"> </w:t>
      </w:r>
      <w:r w:rsidRPr="009070BD">
        <w:rPr>
          <w:b w:val="0"/>
          <w:bCs/>
          <w:iCs/>
        </w:rPr>
        <w:t>կող</w:t>
      </w:r>
      <w:r w:rsidRPr="009070BD">
        <w:rPr>
          <w:b w:val="0"/>
          <w:bCs/>
          <w:iCs/>
          <w:lang w:val="fr-FR"/>
        </w:rPr>
        <w:softHyphen/>
      </w:r>
      <w:r w:rsidRPr="009070BD">
        <w:rPr>
          <w:b w:val="0"/>
          <w:bCs/>
          <w:iCs/>
        </w:rPr>
        <w:t>մից</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rPr>
        <w:t>Ինչ</w:t>
      </w:r>
      <w:r w:rsidRPr="009070BD">
        <w:rPr>
          <w:b w:val="0"/>
          <w:bCs/>
          <w:iCs/>
          <w:lang w:val="fr-FR"/>
        </w:rPr>
        <w:t xml:space="preserve"> </w:t>
      </w:r>
      <w:r w:rsidRPr="009070BD">
        <w:rPr>
          <w:b w:val="0"/>
          <w:bCs/>
          <w:iCs/>
        </w:rPr>
        <w:t>վերաբերում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հաշվարկներում</w:t>
      </w:r>
      <w:r w:rsidRPr="009070BD">
        <w:rPr>
          <w:b w:val="0"/>
          <w:bCs/>
          <w:iCs/>
          <w:lang w:val="fr-FR"/>
        </w:rPr>
        <w:t xml:space="preserve"> </w:t>
      </w:r>
      <w:r w:rsidRPr="009070BD">
        <w:rPr>
          <w:b w:val="0"/>
          <w:bCs/>
          <w:iCs/>
        </w:rPr>
        <w:t>կի</w:t>
      </w:r>
      <w:r w:rsidRPr="009070BD">
        <w:rPr>
          <w:b w:val="0"/>
          <w:bCs/>
          <w:iCs/>
          <w:lang w:val="fr-FR"/>
        </w:rPr>
        <w:softHyphen/>
      </w:r>
      <w:r w:rsidRPr="009070BD">
        <w:rPr>
          <w:b w:val="0"/>
          <w:bCs/>
          <w:iCs/>
        </w:rPr>
        <w:t>րառ</w:t>
      </w:r>
      <w:r w:rsidRPr="009070BD">
        <w:rPr>
          <w:b w:val="0"/>
          <w:bCs/>
          <w:iCs/>
          <w:lang w:val="fr-FR"/>
        </w:rPr>
        <w:softHyphen/>
      </w:r>
      <w:r w:rsidRPr="009070BD">
        <w:rPr>
          <w:b w:val="0"/>
          <w:bCs/>
          <w:iCs/>
        </w:rPr>
        <w:t>ված</w:t>
      </w:r>
      <w:r w:rsidRPr="009070BD">
        <w:rPr>
          <w:b w:val="0"/>
          <w:bCs/>
          <w:iCs/>
          <w:lang w:val="fr-FR"/>
        </w:rPr>
        <w:t xml:space="preserve"> </w:t>
      </w:r>
      <w:r w:rsidRPr="009070BD">
        <w:rPr>
          <w:b w:val="0"/>
          <w:bCs/>
          <w:iCs/>
        </w:rPr>
        <w:t>մյուս</w:t>
      </w:r>
      <w:r w:rsidRPr="009070BD">
        <w:rPr>
          <w:b w:val="0"/>
          <w:bCs/>
          <w:iCs/>
          <w:lang w:val="fr-FR"/>
        </w:rPr>
        <w:t xml:space="preserve"> </w:t>
      </w:r>
      <w:r w:rsidRPr="009070BD">
        <w:rPr>
          <w:b w:val="0"/>
          <w:bCs/>
          <w:iCs/>
        </w:rPr>
        <w:t>ցուցանիշներին</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rPr>
        <w:t>համայնքի</w:t>
      </w:r>
      <w:r w:rsidRPr="009070BD">
        <w:rPr>
          <w:b w:val="0"/>
          <w:bCs/>
          <w:iCs/>
          <w:lang w:val="fr-FR"/>
        </w:rPr>
        <w:t xml:space="preserve"> </w:t>
      </w:r>
      <w:r w:rsidRPr="009070BD">
        <w:rPr>
          <w:b w:val="0"/>
          <w:bCs/>
          <w:iCs/>
        </w:rPr>
        <w:t>բնակչության</w:t>
      </w:r>
      <w:r w:rsidRPr="009070BD">
        <w:rPr>
          <w:b w:val="0"/>
          <w:bCs/>
          <w:iCs/>
          <w:lang w:val="fr-FR"/>
        </w:rPr>
        <w:t xml:space="preserve"> </w:t>
      </w:r>
      <w:r w:rsidRPr="009070BD">
        <w:rPr>
          <w:b w:val="0"/>
          <w:bCs/>
          <w:iCs/>
        </w:rPr>
        <w:t>թվաքանակը՝</w:t>
      </w:r>
      <w:r w:rsidRPr="009070BD">
        <w:rPr>
          <w:b w:val="0"/>
          <w:bCs/>
          <w:iCs/>
          <w:lang w:val="fr-FR"/>
        </w:rPr>
        <w:t xml:space="preserve"> </w:t>
      </w:r>
      <w:r w:rsidRPr="009070BD">
        <w:rPr>
          <w:b w:val="0"/>
          <w:bCs/>
          <w:iCs/>
        </w:rPr>
        <w:t>տվյալ</w:t>
      </w:r>
      <w:r w:rsidRPr="009070BD">
        <w:rPr>
          <w:b w:val="0"/>
          <w:bCs/>
          <w:iCs/>
          <w:lang w:val="fr-FR"/>
        </w:rPr>
        <w:t xml:space="preserve"> </w:t>
      </w:r>
      <w:r w:rsidRPr="009070BD">
        <w:rPr>
          <w:b w:val="0"/>
          <w:bCs/>
          <w:iCs/>
        </w:rPr>
        <w:t>համայնքի</w:t>
      </w:r>
      <w:r w:rsidRPr="009070BD">
        <w:rPr>
          <w:b w:val="0"/>
          <w:bCs/>
          <w:iCs/>
          <w:lang w:val="fr-FR"/>
        </w:rPr>
        <w:t xml:space="preserve"> </w:t>
      </w:r>
      <w:r w:rsidRPr="009070BD">
        <w:rPr>
          <w:b w:val="0"/>
          <w:bCs/>
          <w:iCs/>
        </w:rPr>
        <w:t>տարածքում</w:t>
      </w:r>
      <w:r w:rsidRPr="009070BD">
        <w:rPr>
          <w:b w:val="0"/>
          <w:bCs/>
          <w:iCs/>
          <w:lang w:val="fr-FR"/>
        </w:rPr>
        <w:t xml:space="preserve"> </w:t>
      </w:r>
      <w:r w:rsidRPr="009070BD">
        <w:rPr>
          <w:b w:val="0"/>
          <w:bCs/>
          <w:iCs/>
        </w:rPr>
        <w:t>հաշվառված</w:t>
      </w:r>
      <w:r w:rsidRPr="009070BD">
        <w:rPr>
          <w:b w:val="0"/>
          <w:bCs/>
          <w:iCs/>
          <w:lang w:val="fr-FR"/>
        </w:rPr>
        <w:t xml:space="preserve"> </w:t>
      </w:r>
      <w:r w:rsidRPr="009070BD">
        <w:rPr>
          <w:b w:val="0"/>
          <w:bCs/>
          <w:iCs/>
        </w:rPr>
        <w:t>բնակ</w:t>
      </w:r>
      <w:r w:rsidRPr="009070BD">
        <w:rPr>
          <w:b w:val="0"/>
          <w:bCs/>
          <w:iCs/>
          <w:lang w:val="fr-FR"/>
        </w:rPr>
        <w:softHyphen/>
      </w:r>
      <w:r w:rsidRPr="009070BD">
        <w:rPr>
          <w:b w:val="0"/>
          <w:bCs/>
          <w:iCs/>
        </w:rPr>
        <w:t>չության</w:t>
      </w:r>
      <w:r w:rsidRPr="009070BD">
        <w:rPr>
          <w:b w:val="0"/>
          <w:bCs/>
          <w:iCs/>
          <w:lang w:val="fr-FR"/>
        </w:rPr>
        <w:t xml:space="preserve"> </w:t>
      </w:r>
      <w:r w:rsidRPr="009070BD">
        <w:rPr>
          <w:b w:val="0"/>
          <w:bCs/>
          <w:iCs/>
        </w:rPr>
        <w:t>թիվը</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rPr>
        <w:t>պետական</w:t>
      </w:r>
      <w:r w:rsidRPr="009070BD">
        <w:rPr>
          <w:b w:val="0"/>
          <w:bCs/>
          <w:iCs/>
          <w:lang w:val="fr-FR"/>
        </w:rPr>
        <w:t xml:space="preserve"> </w:t>
      </w:r>
      <w:r w:rsidRPr="009070BD">
        <w:rPr>
          <w:b w:val="0"/>
          <w:bCs/>
          <w:iCs/>
        </w:rPr>
        <w:t>տուրքերի</w:t>
      </w:r>
      <w:r w:rsidRPr="009070BD">
        <w:rPr>
          <w:b w:val="0"/>
          <w:bCs/>
          <w:iCs/>
          <w:lang w:val="fr-FR"/>
        </w:rPr>
        <w:t xml:space="preserve"> </w:t>
      </w:r>
      <w:r w:rsidRPr="009070BD">
        <w:rPr>
          <w:b w:val="0"/>
          <w:bCs/>
          <w:iCs/>
        </w:rPr>
        <w:t>հաշվարկային</w:t>
      </w:r>
      <w:r w:rsidRPr="009070BD">
        <w:rPr>
          <w:b w:val="0"/>
          <w:bCs/>
          <w:iCs/>
          <w:lang w:val="fr-FR"/>
        </w:rPr>
        <w:t xml:space="preserve"> </w:t>
      </w:r>
      <w:r w:rsidRPr="009070BD">
        <w:rPr>
          <w:b w:val="0"/>
          <w:bCs/>
          <w:iCs/>
        </w:rPr>
        <w:t>գումարը</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h</w:t>
      </w:r>
      <w:r w:rsidRPr="009070BD">
        <w:rPr>
          <w:b w:val="0"/>
          <w:bCs/>
          <w:iCs/>
        </w:rPr>
        <w:t>ամայնքի</w:t>
      </w:r>
      <w:r w:rsidRPr="009070BD">
        <w:rPr>
          <w:b w:val="0"/>
          <w:bCs/>
          <w:iCs/>
          <w:lang w:val="fr-FR"/>
        </w:rPr>
        <w:t xml:space="preserve"> </w:t>
      </w:r>
      <w:r w:rsidRPr="009070BD">
        <w:rPr>
          <w:b w:val="0"/>
          <w:bCs/>
          <w:iCs/>
        </w:rPr>
        <w:t>կենտրոնի</w:t>
      </w:r>
      <w:r w:rsidRPr="009070BD">
        <w:rPr>
          <w:b w:val="0"/>
          <w:bCs/>
          <w:iCs/>
          <w:lang w:val="fr-FR"/>
        </w:rPr>
        <w:t xml:space="preserve"> </w:t>
      </w:r>
      <w:r w:rsidRPr="009070BD">
        <w:rPr>
          <w:b w:val="0"/>
          <w:bCs/>
          <w:iCs/>
        </w:rPr>
        <w:t>հեռավորությունը</w:t>
      </w:r>
      <w:r w:rsidRPr="009070BD">
        <w:rPr>
          <w:b w:val="0"/>
          <w:bCs/>
          <w:iCs/>
          <w:lang w:val="fr-FR"/>
        </w:rPr>
        <w:t xml:space="preserve"> </w:t>
      </w:r>
      <w:r w:rsidRPr="009070BD">
        <w:rPr>
          <w:b w:val="0"/>
          <w:bCs/>
          <w:iCs/>
        </w:rPr>
        <w:t>մարզկենտրոնից</w:t>
      </w:r>
      <w:r w:rsidRPr="009070BD">
        <w:rPr>
          <w:b w:val="0"/>
          <w:bCs/>
          <w:iCs/>
          <w:lang w:val="fr-FR"/>
        </w:rPr>
        <w:t xml:space="preserve">, </w:t>
      </w:r>
      <w:r w:rsidRPr="009070BD">
        <w:rPr>
          <w:b w:val="0"/>
          <w:bCs/>
          <w:iCs/>
        </w:rPr>
        <w:t>նախկին</w:t>
      </w:r>
      <w:r w:rsidRPr="009070BD">
        <w:rPr>
          <w:b w:val="0"/>
          <w:bCs/>
          <w:iCs/>
          <w:lang w:val="fr-FR"/>
        </w:rPr>
        <w:t xml:space="preserve"> </w:t>
      </w:r>
      <w:r w:rsidRPr="009070BD">
        <w:rPr>
          <w:b w:val="0"/>
          <w:bCs/>
          <w:iCs/>
        </w:rPr>
        <w:t>շրջկենտրոնից</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մայրա</w:t>
      </w:r>
      <w:r w:rsidRPr="009070BD">
        <w:rPr>
          <w:b w:val="0"/>
          <w:bCs/>
          <w:iCs/>
          <w:lang w:val="fr-FR"/>
        </w:rPr>
        <w:softHyphen/>
      </w:r>
      <w:r w:rsidRPr="009070BD">
        <w:rPr>
          <w:b w:val="0"/>
          <w:bCs/>
          <w:iCs/>
        </w:rPr>
        <w:t>քաղաքից</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h</w:t>
      </w:r>
      <w:r w:rsidRPr="009070BD">
        <w:rPr>
          <w:b w:val="0"/>
          <w:bCs/>
          <w:iCs/>
        </w:rPr>
        <w:t>ամայնքի</w:t>
      </w:r>
      <w:r w:rsidRPr="009070BD">
        <w:rPr>
          <w:b w:val="0"/>
          <w:bCs/>
          <w:iCs/>
          <w:lang w:val="fr-FR"/>
        </w:rPr>
        <w:t xml:space="preserve"> </w:t>
      </w:r>
      <w:r w:rsidRPr="009070BD">
        <w:rPr>
          <w:b w:val="0"/>
          <w:bCs/>
          <w:iCs/>
        </w:rPr>
        <w:t>բարձրությունը</w:t>
      </w:r>
      <w:r w:rsidRPr="009070BD">
        <w:rPr>
          <w:b w:val="0"/>
          <w:bCs/>
          <w:iCs/>
          <w:lang w:val="fr-FR"/>
        </w:rPr>
        <w:t xml:space="preserve"> </w:t>
      </w:r>
      <w:r w:rsidRPr="009070BD">
        <w:rPr>
          <w:b w:val="0"/>
          <w:bCs/>
          <w:iCs/>
        </w:rPr>
        <w:t>ծովի</w:t>
      </w:r>
      <w:r w:rsidRPr="009070BD">
        <w:rPr>
          <w:b w:val="0"/>
          <w:bCs/>
          <w:iCs/>
          <w:lang w:val="fr-FR"/>
        </w:rPr>
        <w:t xml:space="preserve"> </w:t>
      </w:r>
      <w:r w:rsidRPr="009070BD">
        <w:rPr>
          <w:b w:val="0"/>
          <w:bCs/>
          <w:iCs/>
        </w:rPr>
        <w:t>մակերևույթից</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h</w:t>
      </w:r>
      <w:r w:rsidRPr="009070BD">
        <w:rPr>
          <w:b w:val="0"/>
          <w:bCs/>
          <w:iCs/>
        </w:rPr>
        <w:t>ամայնքի</w:t>
      </w:r>
      <w:r w:rsidRPr="009070BD">
        <w:rPr>
          <w:b w:val="0"/>
          <w:bCs/>
          <w:iCs/>
          <w:lang w:val="fr-FR"/>
        </w:rPr>
        <w:t xml:space="preserve"> 0-16 </w:t>
      </w:r>
      <w:r w:rsidRPr="009070BD">
        <w:rPr>
          <w:b w:val="0"/>
          <w:bCs/>
          <w:iCs/>
        </w:rPr>
        <w:t>տարեկան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կենսաթոշակային</w:t>
      </w:r>
      <w:r w:rsidRPr="009070BD">
        <w:rPr>
          <w:b w:val="0"/>
          <w:bCs/>
          <w:iCs/>
          <w:lang w:val="fr-FR"/>
        </w:rPr>
        <w:t xml:space="preserve"> </w:t>
      </w:r>
      <w:r w:rsidRPr="009070BD">
        <w:rPr>
          <w:b w:val="0"/>
          <w:bCs/>
          <w:iCs/>
        </w:rPr>
        <w:t>տարիքի</w:t>
      </w:r>
      <w:r w:rsidRPr="009070BD">
        <w:rPr>
          <w:b w:val="0"/>
          <w:bCs/>
          <w:iCs/>
          <w:lang w:val="fr-FR"/>
        </w:rPr>
        <w:t xml:space="preserve"> </w:t>
      </w:r>
      <w:r w:rsidRPr="009070BD">
        <w:rPr>
          <w:b w:val="0"/>
          <w:bCs/>
          <w:iCs/>
        </w:rPr>
        <w:t>բնակչության</w:t>
      </w:r>
      <w:r w:rsidRPr="009070BD">
        <w:rPr>
          <w:b w:val="0"/>
          <w:bCs/>
          <w:iCs/>
          <w:lang w:val="fr-FR"/>
        </w:rPr>
        <w:t xml:space="preserve"> </w:t>
      </w:r>
      <w:r w:rsidRPr="009070BD">
        <w:rPr>
          <w:b w:val="0"/>
          <w:bCs/>
          <w:iCs/>
        </w:rPr>
        <w:t>թիվը</w:t>
      </w:r>
      <w:r w:rsidRPr="009070BD">
        <w:rPr>
          <w:b w:val="0"/>
          <w:bCs/>
          <w:iCs/>
          <w:lang w:val="fr-FR"/>
        </w:rPr>
        <w:t xml:space="preserve"> </w:t>
      </w:r>
      <w:r w:rsidRPr="009070BD">
        <w:rPr>
          <w:b w:val="0"/>
          <w:bCs/>
          <w:iCs/>
        </w:rPr>
        <w:t>հաշվառված</w:t>
      </w:r>
      <w:r w:rsidRPr="009070BD">
        <w:rPr>
          <w:b w:val="0"/>
          <w:bCs/>
          <w:iCs/>
          <w:lang w:val="fr-FR"/>
        </w:rPr>
        <w:t xml:space="preserve"> </w:t>
      </w:r>
      <w:r w:rsidRPr="009070BD">
        <w:rPr>
          <w:b w:val="0"/>
          <w:bCs/>
          <w:iCs/>
        </w:rPr>
        <w:t>բնակչության</w:t>
      </w:r>
      <w:r w:rsidRPr="009070BD">
        <w:rPr>
          <w:b w:val="0"/>
          <w:bCs/>
          <w:iCs/>
          <w:lang w:val="fr-FR"/>
        </w:rPr>
        <w:t xml:space="preserve"> </w:t>
      </w:r>
      <w:r w:rsidRPr="009070BD">
        <w:rPr>
          <w:b w:val="0"/>
          <w:bCs/>
          <w:iCs/>
        </w:rPr>
        <w:t>թվի</w:t>
      </w:r>
      <w:r w:rsidRPr="009070BD">
        <w:rPr>
          <w:b w:val="0"/>
          <w:bCs/>
          <w:iCs/>
          <w:lang w:val="fr-FR"/>
        </w:rPr>
        <w:t xml:space="preserve"> </w:t>
      </w:r>
      <w:r w:rsidRPr="009070BD">
        <w:rPr>
          <w:b w:val="0"/>
          <w:bCs/>
          <w:iCs/>
        </w:rPr>
        <w:t>մեջ</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h</w:t>
      </w:r>
      <w:r w:rsidRPr="009070BD">
        <w:rPr>
          <w:b w:val="0"/>
          <w:bCs/>
          <w:iCs/>
        </w:rPr>
        <w:t>ամայնքի</w:t>
      </w:r>
      <w:r w:rsidRPr="009070BD">
        <w:rPr>
          <w:b w:val="0"/>
          <w:bCs/>
          <w:iCs/>
          <w:lang w:val="fr-FR"/>
        </w:rPr>
        <w:t xml:space="preserve"> </w:t>
      </w:r>
      <w:r w:rsidRPr="009070BD">
        <w:rPr>
          <w:b w:val="0"/>
          <w:bCs/>
          <w:iCs/>
        </w:rPr>
        <w:t>կազմում</w:t>
      </w:r>
      <w:r w:rsidRPr="009070BD">
        <w:rPr>
          <w:b w:val="0"/>
          <w:bCs/>
          <w:iCs/>
          <w:lang w:val="fr-FR"/>
        </w:rPr>
        <w:t xml:space="preserve"> </w:t>
      </w:r>
      <w:r w:rsidRPr="009070BD">
        <w:rPr>
          <w:b w:val="0"/>
          <w:bCs/>
          <w:iCs/>
        </w:rPr>
        <w:t>ընդգրկված</w:t>
      </w:r>
      <w:r w:rsidRPr="009070BD">
        <w:rPr>
          <w:b w:val="0"/>
          <w:bCs/>
          <w:iCs/>
          <w:lang w:val="fr-FR"/>
        </w:rPr>
        <w:t xml:space="preserve"> </w:t>
      </w:r>
      <w:r w:rsidRPr="009070BD">
        <w:rPr>
          <w:b w:val="0"/>
          <w:bCs/>
          <w:iCs/>
        </w:rPr>
        <w:t>բնակավայրերի</w:t>
      </w:r>
      <w:r w:rsidRPr="009070BD">
        <w:rPr>
          <w:b w:val="0"/>
          <w:bCs/>
          <w:iCs/>
          <w:lang w:val="fr-FR"/>
        </w:rPr>
        <w:t xml:space="preserve"> </w:t>
      </w:r>
      <w:r w:rsidRPr="009070BD">
        <w:rPr>
          <w:b w:val="0"/>
          <w:bCs/>
          <w:iCs/>
        </w:rPr>
        <w:t>թիվը</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rPr>
        <w:t>ապա</w:t>
      </w:r>
      <w:r w:rsidRPr="009070BD">
        <w:rPr>
          <w:b w:val="0"/>
          <w:bCs/>
          <w:iCs/>
          <w:lang w:val="fr-FR"/>
        </w:rPr>
        <w:t xml:space="preserve"> </w:t>
      </w:r>
      <w:r w:rsidRPr="009070BD">
        <w:rPr>
          <w:b w:val="0"/>
          <w:bCs/>
          <w:iCs/>
        </w:rPr>
        <w:t>վերջիններս</w:t>
      </w:r>
      <w:r w:rsidRPr="009070BD">
        <w:rPr>
          <w:b w:val="0"/>
          <w:bCs/>
          <w:iCs/>
          <w:lang w:val="fr-FR"/>
        </w:rPr>
        <w:t xml:space="preserve"> </w:t>
      </w:r>
      <w:r w:rsidRPr="009070BD">
        <w:rPr>
          <w:b w:val="0"/>
          <w:bCs/>
          <w:iCs/>
        </w:rPr>
        <w:t>տրամադրվել</w:t>
      </w:r>
      <w:r w:rsidRPr="009070BD">
        <w:rPr>
          <w:b w:val="0"/>
          <w:bCs/>
          <w:iCs/>
          <w:lang w:val="fr-FR"/>
        </w:rPr>
        <w:t xml:space="preserve"> </w:t>
      </w:r>
      <w:r w:rsidRPr="009070BD">
        <w:rPr>
          <w:b w:val="0"/>
          <w:bCs/>
          <w:iCs/>
        </w:rPr>
        <w:t>են</w:t>
      </w:r>
      <w:r w:rsidRPr="009070BD">
        <w:rPr>
          <w:b w:val="0"/>
          <w:bCs/>
          <w:iCs/>
          <w:lang w:val="fr-FR"/>
        </w:rPr>
        <w:t xml:space="preserve"> </w:t>
      </w:r>
      <w:r w:rsidRPr="009070BD">
        <w:rPr>
          <w:b w:val="0"/>
          <w:bCs/>
          <w:iCs/>
        </w:rPr>
        <w:t>համապատասխան</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լիազոր</w:t>
      </w:r>
      <w:r w:rsidRPr="009070BD">
        <w:rPr>
          <w:b w:val="0"/>
          <w:bCs/>
          <w:iCs/>
          <w:lang w:val="fr-FR"/>
        </w:rPr>
        <w:t xml:space="preserve"> </w:t>
      </w:r>
      <w:r w:rsidRPr="009070BD">
        <w:rPr>
          <w:b w:val="0"/>
          <w:bCs/>
          <w:iCs/>
        </w:rPr>
        <w:t>մարմինների</w:t>
      </w:r>
      <w:r w:rsidRPr="009070BD">
        <w:rPr>
          <w:b w:val="0"/>
          <w:bCs/>
          <w:iCs/>
          <w:lang w:val="fr-FR"/>
        </w:rPr>
        <w:t xml:space="preserve"> </w:t>
      </w:r>
      <w:r w:rsidRPr="009070BD">
        <w:rPr>
          <w:b w:val="0"/>
          <w:bCs/>
          <w:iCs/>
        </w:rPr>
        <w:t>կողմից</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w:t>
      </w:r>
      <w:r w:rsidRPr="009070BD">
        <w:rPr>
          <w:b w:val="0"/>
          <w:bCs/>
          <w:iCs/>
        </w:rPr>
        <w:t>Տեղական</w:t>
      </w:r>
      <w:r w:rsidRPr="009070BD">
        <w:rPr>
          <w:b w:val="0"/>
          <w:bCs/>
          <w:iCs/>
          <w:lang w:val="fr-FR"/>
        </w:rPr>
        <w:t xml:space="preserve"> </w:t>
      </w:r>
      <w:r w:rsidRPr="009070BD">
        <w:rPr>
          <w:b w:val="0"/>
          <w:bCs/>
          <w:iCs/>
        </w:rPr>
        <w:t>ինքնակառավարման</w:t>
      </w:r>
      <w:r w:rsidRPr="009070BD">
        <w:rPr>
          <w:b w:val="0"/>
          <w:bCs/>
          <w:iCs/>
          <w:lang w:val="fr-FR"/>
        </w:rPr>
        <w:t xml:space="preserve"> </w:t>
      </w:r>
      <w:r w:rsidRPr="009070BD">
        <w:rPr>
          <w:b w:val="0"/>
          <w:bCs/>
          <w:iCs/>
        </w:rPr>
        <w:t>մասին</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օրենքի</w:t>
      </w:r>
      <w:r w:rsidRPr="009070BD">
        <w:rPr>
          <w:b w:val="0"/>
          <w:bCs/>
          <w:iCs/>
          <w:lang w:val="fr-FR"/>
        </w:rPr>
        <w:t xml:space="preserve"> 93-</w:t>
      </w:r>
      <w:r w:rsidRPr="009070BD">
        <w:rPr>
          <w:b w:val="0"/>
          <w:bCs/>
          <w:iCs/>
        </w:rPr>
        <w:t>րդ</w:t>
      </w:r>
      <w:r w:rsidRPr="009070BD">
        <w:rPr>
          <w:b w:val="0"/>
          <w:bCs/>
          <w:iCs/>
          <w:lang w:val="fr-FR"/>
        </w:rPr>
        <w:t xml:space="preserve"> </w:t>
      </w:r>
      <w:r w:rsidRPr="009070BD">
        <w:rPr>
          <w:b w:val="0"/>
          <w:bCs/>
          <w:iCs/>
        </w:rPr>
        <w:t>հոդվածի</w:t>
      </w:r>
      <w:r w:rsidRPr="009070BD">
        <w:rPr>
          <w:b w:val="0"/>
          <w:bCs/>
          <w:iCs/>
          <w:lang w:val="fr-FR"/>
        </w:rPr>
        <w:t xml:space="preserve"> </w:t>
      </w:r>
      <w:r w:rsidRPr="009070BD">
        <w:rPr>
          <w:b w:val="0"/>
          <w:bCs/>
          <w:iCs/>
        </w:rPr>
        <w:t>երկ</w:t>
      </w:r>
      <w:r w:rsidRPr="009070BD">
        <w:rPr>
          <w:b w:val="0"/>
          <w:bCs/>
          <w:iCs/>
          <w:lang w:val="fr-FR"/>
        </w:rPr>
        <w:softHyphen/>
      </w:r>
      <w:r w:rsidRPr="009070BD">
        <w:rPr>
          <w:b w:val="0"/>
          <w:bCs/>
          <w:iCs/>
        </w:rPr>
        <w:t>րորդ</w:t>
      </w:r>
      <w:r w:rsidRPr="009070BD">
        <w:rPr>
          <w:b w:val="0"/>
          <w:bCs/>
          <w:iCs/>
          <w:lang w:val="fr-FR"/>
        </w:rPr>
        <w:t xml:space="preserve"> </w:t>
      </w:r>
      <w:r w:rsidRPr="009070BD">
        <w:rPr>
          <w:b w:val="0"/>
          <w:bCs/>
          <w:iCs/>
        </w:rPr>
        <w:t>մասի</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մա</w:t>
      </w:r>
      <w:r w:rsidRPr="009070BD">
        <w:rPr>
          <w:b w:val="0"/>
          <w:bCs/>
          <w:iCs/>
          <w:lang w:val="fr-FR"/>
        </w:rPr>
        <w:softHyphen/>
      </w:r>
      <w:r w:rsidRPr="009070BD">
        <w:rPr>
          <w:b w:val="0"/>
          <w:bCs/>
          <w:iCs/>
        </w:rPr>
        <w:t>ձայն</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օրենքներով</w:t>
      </w:r>
      <w:r w:rsidRPr="009070BD">
        <w:rPr>
          <w:b w:val="0"/>
          <w:bCs/>
          <w:iCs/>
          <w:lang w:val="fr-FR"/>
        </w:rPr>
        <w:t xml:space="preserve"> </w:t>
      </w:r>
      <w:r w:rsidRPr="009070BD">
        <w:rPr>
          <w:b w:val="0"/>
          <w:bCs/>
          <w:iCs/>
        </w:rPr>
        <w:t>համայնքների</w:t>
      </w:r>
      <w:r w:rsidRPr="009070BD">
        <w:rPr>
          <w:b w:val="0"/>
          <w:bCs/>
          <w:iCs/>
          <w:lang w:val="fr-FR"/>
        </w:rPr>
        <w:t xml:space="preserve"> </w:t>
      </w:r>
      <w:r w:rsidRPr="009070BD">
        <w:rPr>
          <w:b w:val="0"/>
          <w:bCs/>
          <w:iCs/>
        </w:rPr>
        <w:t>եկամուտների</w:t>
      </w:r>
      <w:r w:rsidRPr="009070BD">
        <w:rPr>
          <w:b w:val="0"/>
          <w:bCs/>
          <w:iCs/>
          <w:lang w:val="fr-FR"/>
        </w:rPr>
        <w:t xml:space="preserve"> </w:t>
      </w:r>
      <w:r w:rsidRPr="009070BD">
        <w:rPr>
          <w:b w:val="0"/>
          <w:bCs/>
          <w:iCs/>
        </w:rPr>
        <w:t>նվա</w:t>
      </w:r>
      <w:r w:rsidRPr="009070BD">
        <w:rPr>
          <w:b w:val="0"/>
          <w:bCs/>
          <w:iCs/>
          <w:lang w:val="fr-FR"/>
        </w:rPr>
        <w:softHyphen/>
      </w:r>
      <w:r w:rsidRPr="009070BD">
        <w:rPr>
          <w:b w:val="0"/>
          <w:bCs/>
          <w:iCs/>
        </w:rPr>
        <w:t>զեց</w:t>
      </w:r>
      <w:r w:rsidRPr="009070BD">
        <w:rPr>
          <w:b w:val="0"/>
          <w:bCs/>
          <w:iCs/>
          <w:lang w:val="fr-FR"/>
        </w:rPr>
        <w:softHyphen/>
      </w:r>
      <w:r w:rsidRPr="009070BD">
        <w:rPr>
          <w:b w:val="0"/>
          <w:bCs/>
          <w:iCs/>
        </w:rPr>
        <w:t>ման</w:t>
      </w:r>
      <w:r w:rsidRPr="009070BD">
        <w:rPr>
          <w:b w:val="0"/>
          <w:bCs/>
          <w:iCs/>
          <w:lang w:val="fr-FR"/>
        </w:rPr>
        <w:t xml:space="preserve"> </w:t>
      </w:r>
      <w:r w:rsidRPr="009070BD">
        <w:rPr>
          <w:b w:val="0"/>
          <w:bCs/>
          <w:iCs/>
        </w:rPr>
        <w:t>հետևան</w:t>
      </w:r>
      <w:r w:rsidRPr="009070BD">
        <w:rPr>
          <w:b w:val="0"/>
          <w:bCs/>
          <w:iCs/>
          <w:lang w:val="fr-FR"/>
        </w:rPr>
        <w:softHyphen/>
      </w:r>
      <w:r w:rsidRPr="009070BD">
        <w:rPr>
          <w:b w:val="0"/>
          <w:bCs/>
          <w:iCs/>
        </w:rPr>
        <w:t>քով</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մայնքների</w:t>
      </w:r>
      <w:r w:rsidRPr="009070BD">
        <w:rPr>
          <w:b w:val="0"/>
          <w:bCs/>
          <w:iCs/>
          <w:lang w:val="fr-FR"/>
        </w:rPr>
        <w:t xml:space="preserve"> </w:t>
      </w:r>
      <w:r w:rsidRPr="009070BD">
        <w:rPr>
          <w:b w:val="0"/>
          <w:bCs/>
          <w:iCs/>
        </w:rPr>
        <w:t>բյուջեներում</w:t>
      </w:r>
      <w:r w:rsidRPr="009070BD">
        <w:rPr>
          <w:b w:val="0"/>
          <w:bCs/>
          <w:iCs/>
          <w:lang w:val="fr-FR"/>
        </w:rPr>
        <w:t xml:space="preserve"> </w:t>
      </w:r>
      <w:r w:rsidRPr="009070BD">
        <w:rPr>
          <w:b w:val="0"/>
          <w:bCs/>
          <w:iCs/>
        </w:rPr>
        <w:t>առաջացող</w:t>
      </w:r>
      <w:r w:rsidRPr="009070BD">
        <w:rPr>
          <w:b w:val="0"/>
          <w:bCs/>
          <w:iCs/>
          <w:lang w:val="fr-FR"/>
        </w:rPr>
        <w:t xml:space="preserve"> </w:t>
      </w:r>
      <w:r w:rsidRPr="009070BD">
        <w:rPr>
          <w:b w:val="0"/>
          <w:bCs/>
          <w:iCs/>
        </w:rPr>
        <w:t>եկա</w:t>
      </w:r>
      <w:r w:rsidRPr="009070BD">
        <w:rPr>
          <w:b w:val="0"/>
          <w:bCs/>
          <w:iCs/>
          <w:lang w:val="fr-FR"/>
        </w:rPr>
        <w:softHyphen/>
      </w:r>
      <w:r w:rsidRPr="009070BD">
        <w:rPr>
          <w:b w:val="0"/>
          <w:bCs/>
          <w:iCs/>
        </w:rPr>
        <w:t>մուտ</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կորուս</w:t>
      </w:r>
      <w:r w:rsidRPr="009070BD">
        <w:rPr>
          <w:b w:val="0"/>
          <w:bCs/>
          <w:iCs/>
          <w:lang w:val="fr-FR"/>
        </w:rPr>
        <w:softHyphen/>
      </w:r>
      <w:r w:rsidRPr="009070BD">
        <w:rPr>
          <w:b w:val="0"/>
          <w:bCs/>
          <w:iCs/>
        </w:rPr>
        <w:t>տների</w:t>
      </w:r>
      <w:r w:rsidRPr="009070BD">
        <w:rPr>
          <w:b w:val="0"/>
          <w:bCs/>
          <w:iCs/>
          <w:lang w:val="fr-FR"/>
        </w:rPr>
        <w:t xml:space="preserve"> </w:t>
      </w:r>
      <w:r w:rsidRPr="009070BD">
        <w:rPr>
          <w:b w:val="0"/>
          <w:bCs/>
          <w:iCs/>
        </w:rPr>
        <w:t>գումարները</w:t>
      </w:r>
      <w:r w:rsidRPr="009070BD">
        <w:rPr>
          <w:b w:val="0"/>
          <w:bCs/>
          <w:iCs/>
          <w:lang w:val="fr-FR"/>
        </w:rPr>
        <w:t xml:space="preserve"> </w:t>
      </w:r>
      <w:r w:rsidRPr="009070BD">
        <w:rPr>
          <w:b w:val="0"/>
          <w:bCs/>
          <w:iCs/>
        </w:rPr>
        <w:t>են</w:t>
      </w:r>
      <w:r w:rsidRPr="009070BD">
        <w:rPr>
          <w:b w:val="0"/>
          <w:bCs/>
          <w:iCs/>
          <w:lang w:val="fr-FR"/>
        </w:rPr>
        <w:softHyphen/>
      </w:r>
      <w:r w:rsidRPr="009070BD">
        <w:rPr>
          <w:b w:val="0"/>
          <w:bCs/>
          <w:iCs/>
        </w:rPr>
        <w:t>թա</w:t>
      </w:r>
      <w:r w:rsidRPr="009070BD">
        <w:rPr>
          <w:b w:val="0"/>
          <w:bCs/>
          <w:iCs/>
          <w:lang w:val="fr-FR"/>
        </w:rPr>
        <w:softHyphen/>
      </w:r>
      <w:r w:rsidRPr="009070BD">
        <w:rPr>
          <w:b w:val="0"/>
          <w:bCs/>
          <w:iCs/>
        </w:rPr>
        <w:t>կա</w:t>
      </w:r>
      <w:r w:rsidRPr="009070BD">
        <w:rPr>
          <w:b w:val="0"/>
          <w:bCs/>
          <w:iCs/>
          <w:lang w:val="fr-FR"/>
        </w:rPr>
        <w:t xml:space="preserve"> </w:t>
      </w:r>
      <w:r w:rsidRPr="009070BD">
        <w:rPr>
          <w:b w:val="0"/>
          <w:bCs/>
          <w:iCs/>
        </w:rPr>
        <w:t>են</w:t>
      </w:r>
      <w:r w:rsidRPr="009070BD">
        <w:rPr>
          <w:b w:val="0"/>
          <w:bCs/>
          <w:iCs/>
          <w:lang w:val="fr-FR"/>
        </w:rPr>
        <w:t xml:space="preserve"> </w:t>
      </w:r>
      <w:r w:rsidRPr="009070BD">
        <w:rPr>
          <w:b w:val="0"/>
          <w:bCs/>
          <w:iCs/>
        </w:rPr>
        <w:t>փոխհա</w:t>
      </w:r>
      <w:r w:rsidRPr="009070BD">
        <w:rPr>
          <w:b w:val="0"/>
          <w:bCs/>
          <w:iCs/>
          <w:lang w:val="fr-FR"/>
        </w:rPr>
        <w:softHyphen/>
      </w:r>
      <w:r w:rsidRPr="009070BD">
        <w:rPr>
          <w:b w:val="0"/>
          <w:bCs/>
          <w:iCs/>
        </w:rPr>
        <w:t>տուց</w:t>
      </w:r>
      <w:r w:rsidRPr="009070BD">
        <w:rPr>
          <w:b w:val="0"/>
          <w:bCs/>
          <w:iCs/>
          <w:lang w:val="fr-FR"/>
        </w:rPr>
        <w:softHyphen/>
      </w:r>
      <w:r w:rsidRPr="009070BD">
        <w:rPr>
          <w:b w:val="0"/>
          <w:bCs/>
          <w:iCs/>
        </w:rPr>
        <w:t>ման</w:t>
      </w:r>
      <w:r w:rsidRPr="009070BD">
        <w:rPr>
          <w:b w:val="0"/>
          <w:bCs/>
          <w:iCs/>
          <w:lang w:val="fr-FR"/>
        </w:rPr>
        <w:t xml:space="preserve"> </w:t>
      </w:r>
      <w:r w:rsidRPr="009070BD">
        <w:rPr>
          <w:b w:val="0"/>
          <w:bCs/>
          <w:iCs/>
        </w:rPr>
        <w:t>պետության</w:t>
      </w:r>
      <w:r w:rsidRPr="009070BD">
        <w:rPr>
          <w:b w:val="0"/>
          <w:bCs/>
          <w:iCs/>
          <w:lang w:val="fr-FR"/>
        </w:rPr>
        <w:t xml:space="preserve"> </w:t>
      </w:r>
      <w:r w:rsidRPr="009070BD">
        <w:rPr>
          <w:b w:val="0"/>
          <w:bCs/>
          <w:iCs/>
        </w:rPr>
        <w:t>կող</w:t>
      </w:r>
      <w:r w:rsidRPr="009070BD">
        <w:rPr>
          <w:b w:val="0"/>
          <w:bCs/>
          <w:iCs/>
          <w:lang w:val="fr-FR"/>
        </w:rPr>
        <w:softHyphen/>
      </w:r>
      <w:r w:rsidRPr="009070BD">
        <w:rPr>
          <w:b w:val="0"/>
          <w:bCs/>
          <w:iCs/>
        </w:rPr>
        <w:t>մից</w:t>
      </w:r>
      <w:r w:rsidRPr="009070BD">
        <w:rPr>
          <w:b w:val="0"/>
          <w:bCs/>
          <w:iCs/>
          <w:lang w:val="fr-FR"/>
        </w:rPr>
        <w:t xml:space="preserve">: </w:t>
      </w:r>
      <w:r w:rsidRPr="009070BD">
        <w:rPr>
          <w:b w:val="0"/>
          <w:bCs/>
          <w:iCs/>
        </w:rPr>
        <w:t>Այդ</w:t>
      </w:r>
      <w:r w:rsidRPr="009070BD">
        <w:rPr>
          <w:b w:val="0"/>
          <w:bCs/>
          <w:iCs/>
          <w:lang w:val="fr-FR"/>
        </w:rPr>
        <w:t xml:space="preserve"> </w:t>
      </w:r>
      <w:r w:rsidRPr="009070BD">
        <w:rPr>
          <w:b w:val="0"/>
          <w:bCs/>
          <w:iCs/>
        </w:rPr>
        <w:t>կապակցությամբ</w:t>
      </w:r>
      <w:r w:rsidRPr="009070BD">
        <w:rPr>
          <w:b w:val="0"/>
          <w:bCs/>
          <w:iCs/>
          <w:lang w:val="fr-FR"/>
        </w:rPr>
        <w:t>, «</w:t>
      </w:r>
      <w:r w:rsidRPr="009070BD">
        <w:rPr>
          <w:b w:val="0"/>
          <w:bCs/>
          <w:iCs/>
        </w:rPr>
        <w:t>Համայն</w:t>
      </w:r>
      <w:r w:rsidRPr="009070BD">
        <w:rPr>
          <w:b w:val="0"/>
          <w:bCs/>
          <w:iCs/>
          <w:lang w:val="fr-FR"/>
        </w:rPr>
        <w:softHyphen/>
      </w:r>
      <w:r w:rsidRPr="009070BD">
        <w:rPr>
          <w:b w:val="0"/>
          <w:bCs/>
          <w:iCs/>
        </w:rPr>
        <w:t>քի</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եկամուտ</w:t>
      </w:r>
      <w:r w:rsidRPr="009070BD">
        <w:rPr>
          <w:b w:val="0"/>
          <w:bCs/>
          <w:iCs/>
          <w:lang w:val="fr-FR"/>
        </w:rPr>
        <w:softHyphen/>
      </w:r>
      <w:r w:rsidRPr="009070BD">
        <w:rPr>
          <w:b w:val="0"/>
          <w:bCs/>
          <w:iCs/>
        </w:rPr>
        <w:t>նե</w:t>
      </w:r>
      <w:r w:rsidRPr="009070BD">
        <w:rPr>
          <w:b w:val="0"/>
          <w:bCs/>
          <w:iCs/>
          <w:lang w:val="fr-FR"/>
        </w:rPr>
        <w:softHyphen/>
      </w:r>
      <w:r w:rsidRPr="009070BD">
        <w:rPr>
          <w:b w:val="0"/>
          <w:bCs/>
          <w:iCs/>
        </w:rPr>
        <w:t>րը</w:t>
      </w:r>
      <w:r w:rsidRPr="009070BD">
        <w:rPr>
          <w:b w:val="0"/>
          <w:bCs/>
          <w:iCs/>
          <w:lang w:val="fr-FR"/>
        </w:rPr>
        <w:t xml:space="preserve"> </w:t>
      </w:r>
      <w:r w:rsidRPr="009070BD">
        <w:rPr>
          <w:b w:val="0"/>
          <w:bCs/>
          <w:iCs/>
        </w:rPr>
        <w:t>նվազեցնող</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յաս</w:t>
      </w:r>
      <w:r w:rsidRPr="009070BD">
        <w:rPr>
          <w:b w:val="0"/>
          <w:bCs/>
          <w:iCs/>
          <w:lang w:val="fr-FR"/>
        </w:rPr>
        <w:softHyphen/>
      </w:r>
      <w:r w:rsidRPr="009070BD">
        <w:rPr>
          <w:b w:val="0"/>
          <w:bCs/>
          <w:iCs/>
        </w:rPr>
        <w:t>տանի</w:t>
      </w:r>
      <w:r w:rsidRPr="009070BD">
        <w:rPr>
          <w:b w:val="0"/>
          <w:bCs/>
          <w:iCs/>
          <w:lang w:val="fr-FR"/>
        </w:rPr>
        <w:t xml:space="preserve"> </w:t>
      </w:r>
      <w:r w:rsidRPr="009070BD">
        <w:rPr>
          <w:b w:val="0"/>
          <w:bCs/>
          <w:iCs/>
        </w:rPr>
        <w:t>Հանրապետության</w:t>
      </w:r>
      <w:r w:rsidRPr="009070BD">
        <w:rPr>
          <w:b w:val="0"/>
          <w:bCs/>
          <w:iCs/>
          <w:lang w:val="fr-FR"/>
        </w:rPr>
        <w:t xml:space="preserve"> </w:t>
      </w:r>
      <w:r w:rsidRPr="009070BD">
        <w:rPr>
          <w:b w:val="0"/>
          <w:bCs/>
          <w:iCs/>
        </w:rPr>
        <w:t>օրենք</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կիրարկման</w:t>
      </w:r>
      <w:r w:rsidRPr="009070BD">
        <w:rPr>
          <w:b w:val="0"/>
          <w:bCs/>
          <w:iCs/>
          <w:lang w:val="fr-FR"/>
        </w:rPr>
        <w:t xml:space="preserve"> </w:t>
      </w:r>
      <w:r w:rsidRPr="009070BD">
        <w:rPr>
          <w:b w:val="0"/>
          <w:bCs/>
          <w:iCs/>
        </w:rPr>
        <w:t>արդյուն</w:t>
      </w:r>
      <w:r w:rsidRPr="009070BD">
        <w:rPr>
          <w:b w:val="0"/>
          <w:bCs/>
          <w:iCs/>
          <w:lang w:val="fr-FR"/>
        </w:rPr>
        <w:softHyphen/>
      </w:r>
      <w:r w:rsidRPr="009070BD">
        <w:rPr>
          <w:b w:val="0"/>
          <w:bCs/>
          <w:iCs/>
        </w:rPr>
        <w:t>քում</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մայնքի</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եկամուտ</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կորուստները</w:t>
      </w:r>
      <w:r w:rsidRPr="009070BD">
        <w:rPr>
          <w:b w:val="0"/>
          <w:bCs/>
          <w:iCs/>
          <w:lang w:val="fr-FR"/>
        </w:rPr>
        <w:t xml:space="preserve"> </w:t>
      </w:r>
      <w:r w:rsidRPr="009070BD">
        <w:rPr>
          <w:b w:val="0"/>
          <w:bCs/>
          <w:iCs/>
        </w:rPr>
        <w:t>պե</w:t>
      </w:r>
      <w:r w:rsidRPr="009070BD">
        <w:rPr>
          <w:b w:val="0"/>
          <w:bCs/>
          <w:iCs/>
          <w:lang w:val="fr-FR"/>
        </w:rPr>
        <w:softHyphen/>
      </w:r>
      <w:r w:rsidRPr="009070BD">
        <w:rPr>
          <w:b w:val="0"/>
          <w:bCs/>
          <w:iCs/>
        </w:rPr>
        <w:t>տության</w:t>
      </w:r>
      <w:r w:rsidRPr="009070BD">
        <w:rPr>
          <w:b w:val="0"/>
          <w:bCs/>
          <w:iCs/>
          <w:lang w:val="fr-FR"/>
        </w:rPr>
        <w:t xml:space="preserve"> </w:t>
      </w:r>
      <w:r w:rsidRPr="009070BD">
        <w:rPr>
          <w:b w:val="0"/>
          <w:bCs/>
          <w:iCs/>
        </w:rPr>
        <w:t>կողմից</w:t>
      </w:r>
      <w:r w:rsidRPr="009070BD">
        <w:rPr>
          <w:b w:val="0"/>
          <w:bCs/>
          <w:iCs/>
          <w:lang w:val="fr-FR"/>
        </w:rPr>
        <w:t xml:space="preserve"> </w:t>
      </w:r>
      <w:r w:rsidRPr="009070BD">
        <w:rPr>
          <w:b w:val="0"/>
          <w:bCs/>
          <w:iCs/>
        </w:rPr>
        <w:t>փոխհատուցելու</w:t>
      </w:r>
      <w:r w:rsidRPr="009070BD">
        <w:rPr>
          <w:b w:val="0"/>
          <w:bCs/>
          <w:iCs/>
          <w:lang w:val="fr-FR"/>
        </w:rPr>
        <w:t xml:space="preserve"> </w:t>
      </w:r>
      <w:r w:rsidRPr="009070BD">
        <w:rPr>
          <w:b w:val="0"/>
          <w:bCs/>
          <w:iCs/>
        </w:rPr>
        <w:t>կարգի</w:t>
      </w:r>
      <w:r w:rsidRPr="009070BD">
        <w:rPr>
          <w:b w:val="0"/>
          <w:bCs/>
          <w:iCs/>
          <w:lang w:val="fr-FR"/>
        </w:rPr>
        <w:t xml:space="preserve"> </w:t>
      </w:r>
      <w:r w:rsidRPr="009070BD">
        <w:rPr>
          <w:b w:val="0"/>
          <w:bCs/>
          <w:iCs/>
        </w:rPr>
        <w:t>մասին</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օրենքի</w:t>
      </w:r>
      <w:r w:rsidRPr="009070BD">
        <w:rPr>
          <w:b w:val="0"/>
          <w:bCs/>
          <w:iCs/>
          <w:lang w:val="fr-FR"/>
        </w:rPr>
        <w:t xml:space="preserve"> </w:t>
      </w:r>
      <w:r w:rsidRPr="009070BD">
        <w:rPr>
          <w:b w:val="0"/>
          <w:bCs/>
          <w:iCs/>
        </w:rPr>
        <w:t>պա</w:t>
      </w:r>
      <w:r w:rsidRPr="009070BD">
        <w:rPr>
          <w:b w:val="0"/>
          <w:bCs/>
          <w:iCs/>
          <w:lang w:val="fr-FR"/>
        </w:rPr>
        <w:softHyphen/>
      </w:r>
      <w:r w:rsidRPr="009070BD">
        <w:rPr>
          <w:b w:val="0"/>
          <w:bCs/>
          <w:iCs/>
        </w:rPr>
        <w:t>հանջ</w:t>
      </w:r>
      <w:r w:rsidRPr="009070BD">
        <w:rPr>
          <w:b w:val="0"/>
          <w:bCs/>
          <w:iCs/>
          <w:lang w:val="fr-FR"/>
        </w:rPr>
        <w:softHyphen/>
      </w:r>
      <w:r w:rsidRPr="009070BD">
        <w:rPr>
          <w:b w:val="0"/>
          <w:bCs/>
          <w:iCs/>
        </w:rPr>
        <w:t>ներին</w:t>
      </w:r>
      <w:r w:rsidRPr="009070BD">
        <w:rPr>
          <w:b w:val="0"/>
          <w:bCs/>
          <w:iCs/>
          <w:lang w:val="fr-FR"/>
        </w:rPr>
        <w:t xml:space="preserve"> </w:t>
      </w:r>
      <w:r w:rsidRPr="009070BD">
        <w:rPr>
          <w:b w:val="0"/>
          <w:bCs/>
          <w:iCs/>
        </w:rPr>
        <w:t>համապատասխան</w:t>
      </w:r>
      <w:r w:rsidRPr="009070BD">
        <w:rPr>
          <w:b w:val="0"/>
          <w:bCs/>
          <w:iCs/>
          <w:lang w:val="fr-FR"/>
        </w:rPr>
        <w:t xml:space="preserve"> </w:t>
      </w:r>
      <w:r w:rsidRPr="009070BD">
        <w:rPr>
          <w:b w:val="0"/>
          <w:bCs/>
          <w:iCs/>
        </w:rPr>
        <w:t>կիրառելով</w:t>
      </w:r>
      <w:r w:rsidRPr="009070BD">
        <w:rPr>
          <w:b w:val="0"/>
          <w:bCs/>
          <w:iCs/>
          <w:lang w:val="fr-FR"/>
        </w:rPr>
        <w:t xml:space="preserve"> </w:t>
      </w:r>
      <w:r w:rsidRPr="009070BD">
        <w:rPr>
          <w:b w:val="0"/>
          <w:bCs/>
          <w:iCs/>
        </w:rPr>
        <w:t>տե</w:t>
      </w:r>
      <w:r w:rsidRPr="009070BD">
        <w:rPr>
          <w:b w:val="0"/>
          <w:bCs/>
          <w:iCs/>
          <w:lang w:val="fr-FR"/>
        </w:rPr>
        <w:softHyphen/>
      </w:r>
      <w:r w:rsidRPr="009070BD">
        <w:rPr>
          <w:b w:val="0"/>
          <w:bCs/>
          <w:iCs/>
        </w:rPr>
        <w:t>ղա</w:t>
      </w:r>
      <w:r w:rsidRPr="009070BD">
        <w:rPr>
          <w:b w:val="0"/>
          <w:bCs/>
          <w:iCs/>
          <w:lang w:val="fr-FR"/>
        </w:rPr>
        <w:softHyphen/>
      </w:r>
      <w:r w:rsidRPr="009070BD">
        <w:rPr>
          <w:b w:val="0"/>
          <w:bCs/>
          <w:iCs/>
        </w:rPr>
        <w:t>կան</w:t>
      </w:r>
      <w:r w:rsidRPr="009070BD">
        <w:rPr>
          <w:b w:val="0"/>
          <w:bCs/>
          <w:iCs/>
          <w:lang w:val="fr-FR"/>
        </w:rPr>
        <w:t xml:space="preserve"> </w:t>
      </w:r>
      <w:r w:rsidRPr="009070BD">
        <w:rPr>
          <w:b w:val="0"/>
          <w:bCs/>
          <w:iCs/>
        </w:rPr>
        <w:t>ինք</w:t>
      </w:r>
      <w:r w:rsidRPr="009070BD">
        <w:rPr>
          <w:b w:val="0"/>
          <w:bCs/>
          <w:iCs/>
          <w:lang w:val="fr-FR"/>
        </w:rPr>
        <w:softHyphen/>
      </w:r>
      <w:r w:rsidRPr="009070BD">
        <w:rPr>
          <w:b w:val="0"/>
          <w:bCs/>
          <w:iCs/>
        </w:rPr>
        <w:t>նակա</w:t>
      </w:r>
      <w:r w:rsidRPr="009070BD">
        <w:rPr>
          <w:b w:val="0"/>
          <w:bCs/>
          <w:iCs/>
          <w:lang w:val="fr-FR"/>
        </w:rPr>
        <w:softHyphen/>
      </w:r>
      <w:r w:rsidRPr="009070BD">
        <w:rPr>
          <w:b w:val="0"/>
          <w:bCs/>
          <w:iCs/>
        </w:rPr>
        <w:t>ռա</w:t>
      </w:r>
      <w:r w:rsidRPr="009070BD">
        <w:rPr>
          <w:b w:val="0"/>
          <w:bCs/>
          <w:iCs/>
          <w:lang w:val="fr-FR"/>
        </w:rPr>
        <w:softHyphen/>
      </w:r>
      <w:r w:rsidRPr="009070BD">
        <w:rPr>
          <w:b w:val="0"/>
          <w:bCs/>
          <w:iCs/>
        </w:rPr>
        <w:t>վարման</w:t>
      </w:r>
      <w:r w:rsidRPr="009070BD">
        <w:rPr>
          <w:b w:val="0"/>
          <w:bCs/>
          <w:iCs/>
          <w:lang w:val="fr-FR"/>
        </w:rPr>
        <w:t xml:space="preserve"> </w:t>
      </w:r>
      <w:r w:rsidRPr="009070BD">
        <w:rPr>
          <w:b w:val="0"/>
          <w:bCs/>
          <w:iCs/>
        </w:rPr>
        <w:t>մարմիններից</w:t>
      </w:r>
      <w:r w:rsidRPr="009070BD">
        <w:rPr>
          <w:b w:val="0"/>
          <w:bCs/>
          <w:iCs/>
          <w:lang w:val="fr-FR"/>
        </w:rPr>
        <w:t xml:space="preserve"> (</w:t>
      </w:r>
      <w:r w:rsidRPr="009070BD">
        <w:rPr>
          <w:b w:val="0"/>
          <w:bCs/>
          <w:iCs/>
        </w:rPr>
        <w:t>իրենց</w:t>
      </w:r>
      <w:r w:rsidRPr="009070BD">
        <w:rPr>
          <w:b w:val="0"/>
          <w:bCs/>
          <w:iCs/>
          <w:lang w:val="fr-FR"/>
        </w:rPr>
        <w:t xml:space="preserve"> </w:t>
      </w:r>
      <w:r w:rsidRPr="009070BD">
        <w:rPr>
          <w:b w:val="0"/>
          <w:bCs/>
          <w:iCs/>
        </w:rPr>
        <w:t>իրավա</w:t>
      </w:r>
      <w:r w:rsidRPr="009070BD">
        <w:rPr>
          <w:b w:val="0"/>
          <w:bCs/>
          <w:iCs/>
          <w:lang w:val="fr-FR"/>
        </w:rPr>
        <w:softHyphen/>
      </w:r>
      <w:r w:rsidRPr="009070BD">
        <w:rPr>
          <w:b w:val="0"/>
          <w:bCs/>
          <w:iCs/>
        </w:rPr>
        <w:t>սու</w:t>
      </w:r>
      <w:r w:rsidRPr="009070BD">
        <w:rPr>
          <w:b w:val="0"/>
          <w:bCs/>
          <w:iCs/>
          <w:lang w:val="fr-FR"/>
        </w:rPr>
        <w:softHyphen/>
      </w:r>
      <w:r w:rsidRPr="009070BD">
        <w:rPr>
          <w:b w:val="0"/>
          <w:bCs/>
          <w:iCs/>
        </w:rPr>
        <w:t>թյան</w:t>
      </w:r>
      <w:r w:rsidRPr="009070BD">
        <w:rPr>
          <w:b w:val="0"/>
          <w:bCs/>
          <w:iCs/>
          <w:lang w:val="fr-FR"/>
        </w:rPr>
        <w:t xml:space="preserve"> </w:t>
      </w:r>
      <w:r w:rsidRPr="009070BD">
        <w:rPr>
          <w:b w:val="0"/>
          <w:bCs/>
          <w:iCs/>
        </w:rPr>
        <w:t>շրջա</w:t>
      </w:r>
      <w:r w:rsidRPr="009070BD">
        <w:rPr>
          <w:b w:val="0"/>
          <w:bCs/>
          <w:iCs/>
          <w:lang w:val="fr-FR"/>
        </w:rPr>
        <w:softHyphen/>
      </w:r>
      <w:r w:rsidRPr="009070BD">
        <w:rPr>
          <w:b w:val="0"/>
          <w:bCs/>
          <w:iCs/>
        </w:rPr>
        <w:t>նակ</w:t>
      </w:r>
      <w:r w:rsidRPr="009070BD">
        <w:rPr>
          <w:b w:val="0"/>
          <w:bCs/>
          <w:iCs/>
          <w:lang w:val="fr-FR"/>
        </w:rPr>
        <w:softHyphen/>
      </w:r>
      <w:r w:rsidRPr="009070BD">
        <w:rPr>
          <w:b w:val="0"/>
          <w:bCs/>
          <w:iCs/>
        </w:rPr>
        <w:t>ներում</w:t>
      </w:r>
      <w:r w:rsidRPr="009070BD">
        <w:rPr>
          <w:b w:val="0"/>
          <w:bCs/>
          <w:iCs/>
          <w:lang w:val="fr-FR"/>
        </w:rPr>
        <w:t xml:space="preserve">) </w:t>
      </w:r>
      <w:r w:rsidRPr="009070BD">
        <w:rPr>
          <w:b w:val="0"/>
          <w:bCs/>
          <w:iCs/>
        </w:rPr>
        <w:t>ստացված</w:t>
      </w:r>
      <w:r w:rsidRPr="009070BD">
        <w:rPr>
          <w:b w:val="0"/>
          <w:bCs/>
          <w:iCs/>
          <w:lang w:val="fr-FR"/>
        </w:rPr>
        <w:t xml:space="preserve"> </w:t>
      </w:r>
      <w:r w:rsidRPr="009070BD">
        <w:rPr>
          <w:b w:val="0"/>
          <w:bCs/>
          <w:iCs/>
        </w:rPr>
        <w:t>տե</w:t>
      </w:r>
      <w:r w:rsidRPr="009070BD">
        <w:rPr>
          <w:b w:val="0"/>
          <w:bCs/>
          <w:iCs/>
          <w:lang w:val="fr-FR"/>
        </w:rPr>
        <w:softHyphen/>
      </w:r>
      <w:r w:rsidRPr="009070BD">
        <w:rPr>
          <w:b w:val="0"/>
          <w:bCs/>
          <w:iCs/>
        </w:rPr>
        <w:t>ղե</w:t>
      </w:r>
      <w:r w:rsidRPr="009070BD">
        <w:rPr>
          <w:b w:val="0"/>
          <w:bCs/>
          <w:iCs/>
          <w:lang w:val="fr-FR"/>
        </w:rPr>
        <w:softHyphen/>
      </w:r>
      <w:r w:rsidRPr="009070BD">
        <w:rPr>
          <w:b w:val="0"/>
          <w:bCs/>
          <w:iCs/>
        </w:rPr>
        <w:t>կատ</w:t>
      </w:r>
      <w:r w:rsidRPr="009070BD">
        <w:rPr>
          <w:b w:val="0"/>
          <w:bCs/>
          <w:iCs/>
          <w:lang w:val="fr-FR"/>
        </w:rPr>
        <w:softHyphen/>
      </w:r>
      <w:r w:rsidRPr="009070BD">
        <w:rPr>
          <w:b w:val="0"/>
          <w:bCs/>
          <w:iCs/>
        </w:rPr>
        <w:t>վությունը</w:t>
      </w:r>
      <w:r w:rsidRPr="009070BD">
        <w:rPr>
          <w:b w:val="0"/>
          <w:bCs/>
          <w:iCs/>
          <w:lang w:val="fr-FR"/>
        </w:rPr>
        <w:t xml:space="preserve">, </w:t>
      </w:r>
      <w:r w:rsidRPr="009070BD">
        <w:rPr>
          <w:b w:val="0"/>
          <w:bCs/>
          <w:iCs/>
        </w:rPr>
        <w:t>կատարվել</w:t>
      </w:r>
      <w:r w:rsidRPr="009070BD">
        <w:rPr>
          <w:b w:val="0"/>
          <w:bCs/>
          <w:iCs/>
          <w:lang w:val="fr-FR"/>
        </w:rPr>
        <w:t xml:space="preserve"> </w:t>
      </w:r>
      <w:r w:rsidRPr="009070BD">
        <w:rPr>
          <w:b w:val="0"/>
          <w:bCs/>
          <w:iCs/>
        </w:rPr>
        <w:t>են</w:t>
      </w:r>
      <w:r w:rsidRPr="009070BD">
        <w:rPr>
          <w:b w:val="0"/>
          <w:bCs/>
          <w:iCs/>
          <w:lang w:val="fr-FR"/>
        </w:rPr>
        <w:t xml:space="preserve"> </w:t>
      </w:r>
      <w:r w:rsidRPr="009070BD">
        <w:rPr>
          <w:b w:val="0"/>
          <w:bCs/>
          <w:iCs/>
        </w:rPr>
        <w:t>համայնքների</w:t>
      </w:r>
      <w:r w:rsidRPr="009070BD">
        <w:rPr>
          <w:b w:val="0"/>
          <w:bCs/>
          <w:iCs/>
          <w:lang w:val="fr-FR"/>
        </w:rPr>
        <w:t xml:space="preserve"> 2019 </w:t>
      </w:r>
      <w:r w:rsidRPr="009070BD">
        <w:rPr>
          <w:b w:val="0"/>
          <w:bCs/>
          <w:iCs/>
        </w:rPr>
        <w:t>թվա</w:t>
      </w:r>
      <w:r w:rsidRPr="009070BD">
        <w:rPr>
          <w:b w:val="0"/>
          <w:bCs/>
          <w:iCs/>
          <w:lang w:val="fr-FR"/>
        </w:rPr>
        <w:softHyphen/>
      </w:r>
      <w:r w:rsidRPr="009070BD">
        <w:rPr>
          <w:b w:val="0"/>
          <w:bCs/>
          <w:iCs/>
        </w:rPr>
        <w:t>կանի</w:t>
      </w:r>
      <w:r w:rsidRPr="009070BD">
        <w:rPr>
          <w:b w:val="0"/>
          <w:bCs/>
          <w:iCs/>
          <w:lang w:val="fr-FR"/>
        </w:rPr>
        <w:t xml:space="preserve"> </w:t>
      </w:r>
      <w:r w:rsidRPr="009070BD">
        <w:rPr>
          <w:b w:val="0"/>
          <w:bCs/>
          <w:iCs/>
        </w:rPr>
        <w:t>բյուջեների</w:t>
      </w:r>
      <w:r w:rsidRPr="009070BD">
        <w:rPr>
          <w:b w:val="0"/>
          <w:bCs/>
          <w:iCs/>
          <w:lang w:val="fr-FR"/>
        </w:rPr>
        <w:t xml:space="preserve"> </w:t>
      </w:r>
      <w:r w:rsidRPr="009070BD">
        <w:rPr>
          <w:b w:val="0"/>
          <w:bCs/>
          <w:iCs/>
        </w:rPr>
        <w:t>եկա</w:t>
      </w:r>
      <w:r w:rsidRPr="009070BD">
        <w:rPr>
          <w:b w:val="0"/>
          <w:bCs/>
          <w:iCs/>
          <w:lang w:val="fr-FR"/>
        </w:rPr>
        <w:softHyphen/>
      </w:r>
      <w:r w:rsidRPr="009070BD">
        <w:rPr>
          <w:b w:val="0"/>
          <w:bCs/>
          <w:iCs/>
        </w:rPr>
        <w:t>մուտների</w:t>
      </w:r>
      <w:r w:rsidRPr="009070BD">
        <w:rPr>
          <w:b w:val="0"/>
          <w:bCs/>
          <w:iCs/>
          <w:lang w:val="fr-FR"/>
        </w:rPr>
        <w:t xml:space="preserve"> </w:t>
      </w:r>
      <w:r w:rsidRPr="009070BD">
        <w:rPr>
          <w:b w:val="0"/>
          <w:bCs/>
          <w:iCs/>
        </w:rPr>
        <w:t>կո</w:t>
      </w:r>
      <w:r w:rsidRPr="009070BD">
        <w:rPr>
          <w:b w:val="0"/>
          <w:bCs/>
          <w:iCs/>
          <w:lang w:val="fr-FR"/>
        </w:rPr>
        <w:softHyphen/>
      </w:r>
      <w:r w:rsidRPr="009070BD">
        <w:rPr>
          <w:b w:val="0"/>
          <w:bCs/>
          <w:iCs/>
        </w:rPr>
        <w:t>րուստների</w:t>
      </w:r>
      <w:r w:rsidRPr="009070BD">
        <w:rPr>
          <w:b w:val="0"/>
          <w:bCs/>
          <w:iCs/>
          <w:lang w:val="fr-FR"/>
        </w:rPr>
        <w:t xml:space="preserve"> </w:t>
      </w:r>
      <w:r w:rsidRPr="009070BD">
        <w:rPr>
          <w:b w:val="0"/>
          <w:bCs/>
          <w:iCs/>
        </w:rPr>
        <w:t>փոխ</w:t>
      </w:r>
      <w:r w:rsidRPr="009070BD">
        <w:rPr>
          <w:b w:val="0"/>
          <w:bCs/>
          <w:iCs/>
          <w:lang w:val="fr-FR"/>
        </w:rPr>
        <w:softHyphen/>
      </w:r>
      <w:r w:rsidRPr="009070BD">
        <w:rPr>
          <w:b w:val="0"/>
          <w:bCs/>
          <w:iCs/>
        </w:rPr>
        <w:t>հատուցման</w:t>
      </w:r>
      <w:r w:rsidRPr="009070BD">
        <w:rPr>
          <w:b w:val="0"/>
          <w:bCs/>
          <w:iCs/>
          <w:lang w:val="fr-FR"/>
        </w:rPr>
        <w:t xml:space="preserve"> </w:t>
      </w:r>
      <w:r w:rsidRPr="009070BD">
        <w:rPr>
          <w:b w:val="0"/>
          <w:bCs/>
          <w:iCs/>
        </w:rPr>
        <w:t>ենթակա</w:t>
      </w:r>
      <w:r w:rsidRPr="009070BD">
        <w:rPr>
          <w:b w:val="0"/>
          <w:bCs/>
          <w:iCs/>
          <w:lang w:val="fr-FR"/>
        </w:rPr>
        <w:t xml:space="preserve"> </w:t>
      </w:r>
      <w:r w:rsidRPr="009070BD">
        <w:rPr>
          <w:b w:val="0"/>
          <w:bCs/>
          <w:iCs/>
        </w:rPr>
        <w:t>գումար</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հաշվարկ</w:t>
      </w:r>
      <w:r w:rsidRPr="009070BD">
        <w:rPr>
          <w:b w:val="0"/>
          <w:bCs/>
          <w:iCs/>
          <w:lang w:val="fr-FR"/>
        </w:rPr>
        <w:softHyphen/>
      </w:r>
      <w:r w:rsidRPr="009070BD">
        <w:rPr>
          <w:b w:val="0"/>
          <w:bCs/>
          <w:iCs/>
        </w:rPr>
        <w:t>ներ</w:t>
      </w:r>
      <w:r w:rsidRPr="009070BD">
        <w:rPr>
          <w:b w:val="0"/>
          <w:bCs/>
          <w:iCs/>
          <w:lang w:val="fr-FR"/>
        </w:rPr>
        <w:t xml:space="preserve">: </w:t>
      </w:r>
      <w:r w:rsidRPr="009070BD">
        <w:rPr>
          <w:b w:val="0"/>
          <w:bCs/>
          <w:iCs/>
        </w:rPr>
        <w:t>Արդյուն</w:t>
      </w:r>
      <w:r w:rsidRPr="009070BD">
        <w:rPr>
          <w:b w:val="0"/>
          <w:bCs/>
          <w:iCs/>
          <w:lang w:val="fr-FR"/>
        </w:rPr>
        <w:softHyphen/>
      </w:r>
      <w:r w:rsidRPr="009070BD">
        <w:rPr>
          <w:b w:val="0"/>
          <w:bCs/>
          <w:iCs/>
        </w:rPr>
        <w:t>քում</w:t>
      </w:r>
      <w:r w:rsidRPr="009070BD">
        <w:rPr>
          <w:b w:val="0"/>
          <w:bCs/>
          <w:iCs/>
          <w:lang w:val="fr-FR"/>
        </w:rPr>
        <w:t xml:space="preserve">, </w:t>
      </w:r>
      <w:r w:rsidRPr="009070BD">
        <w:rPr>
          <w:b w:val="0"/>
          <w:bCs/>
          <w:iCs/>
        </w:rPr>
        <w:t>հա</w:t>
      </w:r>
      <w:r w:rsidRPr="009070BD">
        <w:rPr>
          <w:b w:val="0"/>
          <w:bCs/>
          <w:iCs/>
          <w:lang w:val="fr-FR"/>
        </w:rPr>
        <w:softHyphen/>
      </w:r>
      <w:r w:rsidRPr="009070BD">
        <w:rPr>
          <w:b w:val="0"/>
          <w:bCs/>
          <w:iCs/>
        </w:rPr>
        <w:t>մայնք</w:t>
      </w:r>
      <w:r w:rsidRPr="009070BD">
        <w:rPr>
          <w:b w:val="0"/>
          <w:bCs/>
          <w:iCs/>
          <w:lang w:val="fr-FR"/>
        </w:rPr>
        <w:softHyphen/>
      </w:r>
      <w:r w:rsidRPr="009070BD">
        <w:rPr>
          <w:b w:val="0"/>
          <w:bCs/>
          <w:iCs/>
        </w:rPr>
        <w:t>ների</w:t>
      </w:r>
      <w:r w:rsidRPr="009070BD">
        <w:rPr>
          <w:b w:val="0"/>
          <w:bCs/>
          <w:iCs/>
          <w:lang w:val="fr-FR"/>
        </w:rPr>
        <w:t xml:space="preserve"> 2019 </w:t>
      </w:r>
      <w:r w:rsidRPr="009070BD">
        <w:rPr>
          <w:b w:val="0"/>
          <w:bCs/>
          <w:iCs/>
        </w:rPr>
        <w:t>թվականի</w:t>
      </w:r>
      <w:r w:rsidRPr="009070BD">
        <w:rPr>
          <w:b w:val="0"/>
          <w:bCs/>
          <w:iCs/>
          <w:lang w:val="fr-FR"/>
        </w:rPr>
        <w:t xml:space="preserve"> </w:t>
      </w:r>
      <w:r w:rsidRPr="009070BD">
        <w:rPr>
          <w:b w:val="0"/>
          <w:bCs/>
          <w:iCs/>
        </w:rPr>
        <w:t>բյուջեների</w:t>
      </w:r>
      <w:r w:rsidRPr="009070BD">
        <w:rPr>
          <w:b w:val="0"/>
          <w:bCs/>
          <w:iCs/>
          <w:lang w:val="fr-FR"/>
        </w:rPr>
        <w:t xml:space="preserve"> </w:t>
      </w:r>
      <w:r w:rsidRPr="009070BD">
        <w:rPr>
          <w:b w:val="0"/>
          <w:bCs/>
          <w:iCs/>
        </w:rPr>
        <w:t>եկա</w:t>
      </w:r>
      <w:r w:rsidRPr="009070BD">
        <w:rPr>
          <w:b w:val="0"/>
          <w:bCs/>
          <w:iCs/>
          <w:lang w:val="fr-FR"/>
        </w:rPr>
        <w:softHyphen/>
      </w:r>
      <w:r w:rsidRPr="009070BD">
        <w:rPr>
          <w:b w:val="0"/>
          <w:bCs/>
          <w:iCs/>
        </w:rPr>
        <w:t>մուտ</w:t>
      </w:r>
      <w:r w:rsidRPr="009070BD">
        <w:rPr>
          <w:b w:val="0"/>
          <w:bCs/>
          <w:iCs/>
          <w:lang w:val="fr-FR"/>
        </w:rPr>
        <w:softHyphen/>
      </w:r>
      <w:r w:rsidRPr="009070BD">
        <w:rPr>
          <w:b w:val="0"/>
          <w:bCs/>
          <w:iCs/>
        </w:rPr>
        <w:t>նե</w:t>
      </w:r>
      <w:r w:rsidRPr="009070BD">
        <w:rPr>
          <w:b w:val="0"/>
          <w:bCs/>
          <w:iCs/>
          <w:lang w:val="fr-FR"/>
        </w:rPr>
        <w:softHyphen/>
      </w:r>
      <w:r w:rsidRPr="009070BD">
        <w:rPr>
          <w:b w:val="0"/>
          <w:bCs/>
          <w:iCs/>
        </w:rPr>
        <w:t>րի</w:t>
      </w:r>
      <w:r w:rsidRPr="009070BD">
        <w:rPr>
          <w:b w:val="0"/>
          <w:bCs/>
          <w:iCs/>
          <w:lang w:val="fr-FR"/>
        </w:rPr>
        <w:t xml:space="preserve"> </w:t>
      </w:r>
      <w:r w:rsidRPr="009070BD">
        <w:rPr>
          <w:b w:val="0"/>
          <w:bCs/>
          <w:iCs/>
        </w:rPr>
        <w:t>կորուստ</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փոխհա</w:t>
      </w:r>
      <w:r w:rsidRPr="009070BD">
        <w:rPr>
          <w:b w:val="0"/>
          <w:bCs/>
          <w:iCs/>
          <w:lang w:val="fr-FR"/>
        </w:rPr>
        <w:softHyphen/>
      </w:r>
      <w:r w:rsidRPr="009070BD">
        <w:rPr>
          <w:b w:val="0"/>
          <w:bCs/>
          <w:iCs/>
        </w:rPr>
        <w:t>տուց</w:t>
      </w:r>
      <w:r w:rsidRPr="009070BD">
        <w:rPr>
          <w:b w:val="0"/>
          <w:bCs/>
          <w:iCs/>
          <w:lang w:val="fr-FR"/>
        </w:rPr>
        <w:softHyphen/>
      </w:r>
      <w:r w:rsidRPr="009070BD">
        <w:rPr>
          <w:b w:val="0"/>
          <w:bCs/>
          <w:iCs/>
        </w:rPr>
        <w:t>ման</w:t>
      </w:r>
      <w:r w:rsidRPr="009070BD">
        <w:rPr>
          <w:b w:val="0"/>
          <w:bCs/>
          <w:iCs/>
          <w:lang w:val="fr-FR"/>
        </w:rPr>
        <w:t xml:space="preserve"> </w:t>
      </w:r>
      <w:r w:rsidRPr="009070BD">
        <w:rPr>
          <w:b w:val="0"/>
          <w:bCs/>
          <w:iCs/>
        </w:rPr>
        <w:t>են</w:t>
      </w:r>
      <w:r w:rsidRPr="009070BD">
        <w:rPr>
          <w:b w:val="0"/>
          <w:bCs/>
          <w:iCs/>
          <w:lang w:val="fr-FR"/>
        </w:rPr>
        <w:softHyphen/>
      </w:r>
      <w:r w:rsidRPr="009070BD">
        <w:rPr>
          <w:b w:val="0"/>
          <w:bCs/>
          <w:iCs/>
        </w:rPr>
        <w:t>թա</w:t>
      </w:r>
      <w:r w:rsidRPr="009070BD">
        <w:rPr>
          <w:b w:val="0"/>
          <w:bCs/>
          <w:iCs/>
          <w:lang w:val="fr-FR"/>
        </w:rPr>
        <w:softHyphen/>
      </w:r>
      <w:r w:rsidRPr="009070BD">
        <w:rPr>
          <w:b w:val="0"/>
          <w:bCs/>
          <w:iCs/>
        </w:rPr>
        <w:t>կա</w:t>
      </w:r>
      <w:r w:rsidRPr="009070BD">
        <w:rPr>
          <w:b w:val="0"/>
          <w:bCs/>
          <w:iCs/>
          <w:lang w:val="fr-FR"/>
        </w:rPr>
        <w:t xml:space="preserve"> </w:t>
      </w:r>
      <w:r w:rsidRPr="009070BD">
        <w:rPr>
          <w:b w:val="0"/>
          <w:bCs/>
          <w:iCs/>
        </w:rPr>
        <w:t>ընդհա</w:t>
      </w:r>
      <w:r w:rsidRPr="009070BD">
        <w:rPr>
          <w:b w:val="0"/>
          <w:bCs/>
          <w:iCs/>
          <w:lang w:val="fr-FR"/>
        </w:rPr>
        <w:softHyphen/>
      </w:r>
      <w:r w:rsidRPr="009070BD">
        <w:rPr>
          <w:b w:val="0"/>
          <w:bCs/>
          <w:iCs/>
        </w:rPr>
        <w:t>նուր</w:t>
      </w:r>
      <w:r w:rsidRPr="009070BD">
        <w:rPr>
          <w:b w:val="0"/>
          <w:bCs/>
          <w:iCs/>
          <w:lang w:val="fr-FR"/>
        </w:rPr>
        <w:t xml:space="preserve"> </w:t>
      </w:r>
      <w:r w:rsidRPr="009070BD">
        <w:rPr>
          <w:b w:val="0"/>
          <w:bCs/>
          <w:iCs/>
        </w:rPr>
        <w:t>գումարը</w:t>
      </w:r>
      <w:r w:rsidRPr="009070BD">
        <w:rPr>
          <w:b w:val="0"/>
          <w:bCs/>
          <w:iCs/>
          <w:lang w:val="fr-FR"/>
        </w:rPr>
        <w:t xml:space="preserve"> </w:t>
      </w:r>
      <w:r w:rsidRPr="009070BD">
        <w:rPr>
          <w:b w:val="0"/>
          <w:bCs/>
          <w:iCs/>
        </w:rPr>
        <w:t>կազմել</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շուրջ</w:t>
      </w:r>
      <w:r w:rsidRPr="009070BD">
        <w:rPr>
          <w:b w:val="0"/>
          <w:bCs/>
          <w:iCs/>
          <w:lang w:val="fr-FR"/>
        </w:rPr>
        <w:t xml:space="preserve"> 59.8 </w:t>
      </w:r>
      <w:r w:rsidRPr="009070BD">
        <w:rPr>
          <w:b w:val="0"/>
          <w:bCs/>
          <w:iCs/>
        </w:rPr>
        <w:t>մլն</w:t>
      </w:r>
      <w:r w:rsidRPr="009070BD">
        <w:rPr>
          <w:b w:val="0"/>
          <w:bCs/>
          <w:iCs/>
          <w:lang w:val="fr-FR"/>
        </w:rPr>
        <w:t>.</w:t>
      </w:r>
      <w:r w:rsidRPr="009070BD">
        <w:rPr>
          <w:b w:val="0"/>
          <w:bCs/>
          <w:iCs/>
        </w:rPr>
        <w:t>դրամ</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15.2 «</w:t>
      </w:r>
      <w:r w:rsidRPr="009070BD">
        <w:rPr>
          <w:b w:val="0"/>
          <w:bCs/>
          <w:iCs/>
        </w:rPr>
        <w:t>Պետական</w:t>
      </w:r>
      <w:r w:rsidRPr="009070BD">
        <w:rPr>
          <w:b w:val="0"/>
          <w:bCs/>
          <w:iCs/>
          <w:lang w:val="fr-FR"/>
        </w:rPr>
        <w:t xml:space="preserve"> </w:t>
      </w:r>
      <w:r w:rsidRPr="009070BD">
        <w:rPr>
          <w:b w:val="0"/>
          <w:bCs/>
          <w:iCs/>
        </w:rPr>
        <w:t>աջակցություն</w:t>
      </w:r>
      <w:r w:rsidRPr="009070BD">
        <w:rPr>
          <w:b w:val="0"/>
          <w:bCs/>
          <w:iCs/>
          <w:lang w:val="fr-FR"/>
        </w:rPr>
        <w:t xml:space="preserve"> </w:t>
      </w:r>
      <w:r w:rsidRPr="009070BD">
        <w:rPr>
          <w:b w:val="0"/>
          <w:bCs/>
          <w:iCs/>
        </w:rPr>
        <w:t>սահմանամերձ</w:t>
      </w:r>
      <w:r w:rsidRPr="009070BD">
        <w:rPr>
          <w:b w:val="0"/>
          <w:bCs/>
          <w:iCs/>
          <w:lang w:val="fr-FR"/>
        </w:rPr>
        <w:t xml:space="preserve"> </w:t>
      </w:r>
      <w:r w:rsidRPr="009070BD">
        <w:rPr>
          <w:b w:val="0"/>
          <w:bCs/>
          <w:iCs/>
        </w:rPr>
        <w:t>համայնքներին</w:t>
      </w:r>
      <w:r w:rsidRPr="009070BD">
        <w:rPr>
          <w:b w:val="0"/>
          <w:bCs/>
          <w:iCs/>
          <w:lang w:val="fr-FR"/>
        </w:rPr>
        <w:t xml:space="preserve">» </w:t>
      </w:r>
      <w:r w:rsidRPr="009070BD">
        <w:rPr>
          <w:b w:val="0"/>
          <w:bCs/>
          <w:iCs/>
        </w:rPr>
        <w:t>միջոցառման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Նախագծով</w:t>
      </w:r>
      <w:r w:rsidRPr="009070BD">
        <w:rPr>
          <w:b w:val="0"/>
          <w:bCs/>
          <w:iCs/>
          <w:lang w:val="fr-FR"/>
        </w:rPr>
        <w:t xml:space="preserve"> </w:t>
      </w:r>
      <w:r w:rsidRPr="009070BD">
        <w:rPr>
          <w:b w:val="0"/>
          <w:bCs/>
          <w:iCs/>
        </w:rPr>
        <w:t>նա</w:t>
      </w:r>
      <w:r w:rsidRPr="009070BD">
        <w:rPr>
          <w:b w:val="0"/>
          <w:bCs/>
          <w:iCs/>
          <w:lang w:val="fr-FR"/>
        </w:rPr>
        <w:softHyphen/>
      </w:r>
      <w:r w:rsidRPr="009070BD">
        <w:rPr>
          <w:b w:val="0"/>
          <w:bCs/>
          <w:iCs/>
        </w:rPr>
        <w:t>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հատկացնել</w:t>
      </w:r>
      <w:r w:rsidRPr="009070BD">
        <w:rPr>
          <w:b w:val="0"/>
          <w:bCs/>
          <w:iCs/>
          <w:lang w:val="fr-FR"/>
        </w:rPr>
        <w:t xml:space="preserve"> 800.0 </w:t>
      </w:r>
      <w:r w:rsidRPr="009070BD">
        <w:rPr>
          <w:b w:val="0"/>
          <w:bCs/>
          <w:iCs/>
        </w:rPr>
        <w:t>մլն</w:t>
      </w:r>
      <w:r w:rsidRPr="009070BD">
        <w:rPr>
          <w:b w:val="0"/>
          <w:bCs/>
          <w:iCs/>
          <w:lang w:val="fr-FR"/>
        </w:rPr>
        <w:t xml:space="preserve"> </w:t>
      </w:r>
      <w:r w:rsidRPr="009070BD">
        <w:rPr>
          <w:b w:val="0"/>
          <w:bCs/>
          <w:iCs/>
        </w:rPr>
        <w:t>դրամ</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մակարդակին</w:t>
      </w:r>
      <w:r w:rsidRPr="009070BD">
        <w:rPr>
          <w:b w:val="0"/>
          <w:bCs/>
          <w:iCs/>
          <w:lang w:val="fr-FR"/>
        </w:rPr>
        <w:t xml:space="preserve"> </w:t>
      </w:r>
      <w:r w:rsidRPr="009070BD">
        <w:rPr>
          <w:b w:val="0"/>
          <w:bCs/>
          <w:iCs/>
        </w:rPr>
        <w:t>համապատասխան</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rPr>
        <w:t>Ծրագրի</w:t>
      </w:r>
      <w:r w:rsidRPr="009070BD">
        <w:rPr>
          <w:b w:val="0"/>
          <w:bCs/>
          <w:iCs/>
          <w:lang w:val="fr-FR"/>
        </w:rPr>
        <w:t xml:space="preserve"> </w:t>
      </w:r>
      <w:r w:rsidRPr="009070BD">
        <w:rPr>
          <w:b w:val="0"/>
          <w:bCs/>
          <w:iCs/>
        </w:rPr>
        <w:t>նախատեսմամբ</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իրականացմամբ</w:t>
      </w:r>
      <w:r w:rsidRPr="009070BD">
        <w:rPr>
          <w:b w:val="0"/>
          <w:bCs/>
          <w:iCs/>
          <w:lang w:val="fr-FR"/>
        </w:rPr>
        <w:t xml:space="preserve"> </w:t>
      </w:r>
      <w:r w:rsidRPr="009070BD">
        <w:rPr>
          <w:b w:val="0"/>
          <w:bCs/>
          <w:iCs/>
        </w:rPr>
        <w:t>ապահովվում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Սահմանամերձ</w:t>
      </w:r>
      <w:r w:rsidRPr="009070BD">
        <w:rPr>
          <w:b w:val="0"/>
          <w:bCs/>
          <w:iCs/>
          <w:lang w:val="fr-FR"/>
        </w:rPr>
        <w:t xml:space="preserve"> </w:t>
      </w:r>
      <w:r w:rsidRPr="009070BD">
        <w:rPr>
          <w:b w:val="0"/>
          <w:bCs/>
          <w:iCs/>
        </w:rPr>
        <w:t>համայնք</w:t>
      </w:r>
      <w:r w:rsidRPr="009070BD">
        <w:rPr>
          <w:b w:val="0"/>
          <w:bCs/>
          <w:iCs/>
          <w:lang w:val="fr-FR"/>
        </w:rPr>
        <w:softHyphen/>
      </w:r>
      <w:r w:rsidRPr="009070BD">
        <w:rPr>
          <w:b w:val="0"/>
          <w:bCs/>
          <w:iCs/>
        </w:rPr>
        <w:t>ների</w:t>
      </w:r>
      <w:r w:rsidRPr="009070BD">
        <w:rPr>
          <w:b w:val="0"/>
          <w:bCs/>
          <w:iCs/>
          <w:lang w:val="fr-FR"/>
        </w:rPr>
        <w:t xml:space="preserve"> </w:t>
      </w:r>
      <w:r w:rsidRPr="009070BD">
        <w:rPr>
          <w:b w:val="0"/>
          <w:bCs/>
          <w:iCs/>
        </w:rPr>
        <w:t>սոցիալական</w:t>
      </w:r>
      <w:r w:rsidRPr="009070BD">
        <w:rPr>
          <w:b w:val="0"/>
          <w:bCs/>
          <w:iCs/>
          <w:lang w:val="fr-FR"/>
        </w:rPr>
        <w:t xml:space="preserve"> </w:t>
      </w:r>
      <w:r w:rsidRPr="009070BD">
        <w:rPr>
          <w:b w:val="0"/>
          <w:bCs/>
          <w:iCs/>
        </w:rPr>
        <w:t>աջակցության</w:t>
      </w:r>
      <w:r w:rsidRPr="009070BD">
        <w:rPr>
          <w:b w:val="0"/>
          <w:bCs/>
          <w:iCs/>
          <w:lang w:val="fr-FR"/>
        </w:rPr>
        <w:t xml:space="preserve"> </w:t>
      </w:r>
      <w:r w:rsidRPr="009070BD">
        <w:rPr>
          <w:b w:val="0"/>
          <w:bCs/>
          <w:iCs/>
        </w:rPr>
        <w:t>մասին</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օրենքի</w:t>
      </w:r>
      <w:r w:rsidRPr="009070BD">
        <w:rPr>
          <w:b w:val="0"/>
          <w:bCs/>
          <w:iCs/>
          <w:lang w:val="fr-FR"/>
        </w:rPr>
        <w:t xml:space="preserve"> </w:t>
      </w:r>
      <w:r w:rsidRPr="009070BD">
        <w:rPr>
          <w:b w:val="0"/>
          <w:bCs/>
          <w:iCs/>
        </w:rPr>
        <w:t>կիրարկումը</w:t>
      </w:r>
      <w:r w:rsidRPr="009070BD">
        <w:rPr>
          <w:b w:val="0"/>
          <w:bCs/>
          <w:iCs/>
          <w:lang w:val="fr-FR"/>
        </w:rPr>
        <w:t xml:space="preserve">, </w:t>
      </w:r>
      <w:r w:rsidRPr="009070BD">
        <w:rPr>
          <w:b w:val="0"/>
          <w:bCs/>
          <w:iCs/>
        </w:rPr>
        <w:t>որով</w:t>
      </w:r>
      <w:r w:rsidRPr="009070BD">
        <w:rPr>
          <w:b w:val="0"/>
          <w:bCs/>
          <w:iCs/>
          <w:lang w:val="fr-FR"/>
        </w:rPr>
        <w:t xml:space="preserve"> </w:t>
      </w:r>
      <w:r w:rsidRPr="009070BD">
        <w:rPr>
          <w:b w:val="0"/>
          <w:bCs/>
          <w:iCs/>
        </w:rPr>
        <w:t>նախատեսվում</w:t>
      </w:r>
      <w:r w:rsidRPr="009070BD">
        <w:rPr>
          <w:b w:val="0"/>
          <w:bCs/>
          <w:iCs/>
          <w:lang w:val="fr-FR"/>
        </w:rPr>
        <w:t xml:space="preserve"> </w:t>
      </w:r>
      <w:r w:rsidRPr="009070BD">
        <w:rPr>
          <w:b w:val="0"/>
          <w:bCs/>
          <w:iCs/>
        </w:rPr>
        <w:t>է</w:t>
      </w:r>
      <w:r w:rsidRPr="009070BD">
        <w:rPr>
          <w:b w:val="0"/>
          <w:bCs/>
          <w:iCs/>
          <w:lang w:val="fr-FR"/>
        </w:rPr>
        <w:t xml:space="preserve"> </w:t>
      </w:r>
      <w:r w:rsidRPr="009070BD">
        <w:rPr>
          <w:b w:val="0"/>
          <w:bCs/>
          <w:iCs/>
        </w:rPr>
        <w:t>փոխհատուցել</w:t>
      </w:r>
      <w:r w:rsidRPr="009070BD">
        <w:rPr>
          <w:b w:val="0"/>
          <w:bCs/>
          <w:iCs/>
          <w:lang w:val="fr-FR"/>
        </w:rPr>
        <w:t xml:space="preserve"> (</w:t>
      </w:r>
      <w:r w:rsidRPr="009070BD">
        <w:rPr>
          <w:b w:val="0"/>
          <w:bCs/>
          <w:iCs/>
        </w:rPr>
        <w:t>ամբողջությամբ</w:t>
      </w:r>
      <w:r w:rsidRPr="009070BD">
        <w:rPr>
          <w:b w:val="0"/>
          <w:bCs/>
          <w:iCs/>
          <w:lang w:val="fr-FR"/>
        </w:rPr>
        <w:t xml:space="preserve"> </w:t>
      </w:r>
      <w:r w:rsidRPr="009070BD">
        <w:rPr>
          <w:b w:val="0"/>
          <w:bCs/>
          <w:iCs/>
        </w:rPr>
        <w:t>կամ</w:t>
      </w:r>
      <w:r w:rsidRPr="009070BD">
        <w:rPr>
          <w:b w:val="0"/>
          <w:bCs/>
          <w:iCs/>
          <w:lang w:val="fr-FR"/>
        </w:rPr>
        <w:t xml:space="preserve"> </w:t>
      </w:r>
      <w:r w:rsidRPr="009070BD">
        <w:rPr>
          <w:b w:val="0"/>
          <w:bCs/>
          <w:iCs/>
        </w:rPr>
        <w:t>մասնակի</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կառավարության</w:t>
      </w:r>
      <w:r w:rsidRPr="009070BD">
        <w:rPr>
          <w:b w:val="0"/>
          <w:bCs/>
          <w:iCs/>
          <w:lang w:val="fr-FR"/>
        </w:rPr>
        <w:t xml:space="preserve"> 18.12.2014</w:t>
      </w:r>
      <w:r w:rsidRPr="009070BD">
        <w:rPr>
          <w:b w:val="0"/>
          <w:bCs/>
          <w:iCs/>
        </w:rPr>
        <w:t>թ</w:t>
      </w:r>
      <w:r w:rsidRPr="009070BD">
        <w:rPr>
          <w:b w:val="0"/>
          <w:bCs/>
          <w:iCs/>
          <w:lang w:val="fr-FR"/>
        </w:rPr>
        <w:t>. N1444-</w:t>
      </w:r>
      <w:r w:rsidRPr="009070BD">
        <w:rPr>
          <w:b w:val="0"/>
          <w:bCs/>
          <w:iCs/>
        </w:rPr>
        <w:t>Ն</w:t>
      </w:r>
      <w:r w:rsidRPr="009070BD">
        <w:rPr>
          <w:b w:val="0"/>
          <w:bCs/>
          <w:iCs/>
          <w:lang w:val="fr-FR"/>
        </w:rPr>
        <w:t xml:space="preserve"> </w:t>
      </w:r>
      <w:r w:rsidRPr="009070BD">
        <w:rPr>
          <w:b w:val="0"/>
          <w:bCs/>
          <w:iCs/>
        </w:rPr>
        <w:t>որոշմամբ</w:t>
      </w:r>
      <w:r w:rsidRPr="009070BD">
        <w:rPr>
          <w:b w:val="0"/>
          <w:bCs/>
          <w:iCs/>
          <w:lang w:val="fr-FR"/>
        </w:rPr>
        <w:t xml:space="preserve"> </w:t>
      </w:r>
      <w:r w:rsidRPr="009070BD">
        <w:rPr>
          <w:b w:val="0"/>
          <w:bCs/>
          <w:iCs/>
        </w:rPr>
        <w:t>նախատեսված</w:t>
      </w:r>
      <w:r w:rsidRPr="009070BD">
        <w:rPr>
          <w:b w:val="0"/>
          <w:bCs/>
          <w:iCs/>
          <w:lang w:val="fr-FR"/>
        </w:rPr>
        <w:t xml:space="preserve"> </w:t>
      </w:r>
      <w:r w:rsidRPr="009070BD">
        <w:rPr>
          <w:b w:val="0"/>
          <w:bCs/>
          <w:iCs/>
        </w:rPr>
        <w:t>բնական</w:t>
      </w:r>
      <w:r w:rsidRPr="009070BD">
        <w:rPr>
          <w:b w:val="0"/>
          <w:bCs/>
          <w:iCs/>
          <w:lang w:val="fr-FR"/>
        </w:rPr>
        <w:t xml:space="preserve"> </w:t>
      </w:r>
      <w:r w:rsidRPr="009070BD">
        <w:rPr>
          <w:b w:val="0"/>
          <w:bCs/>
          <w:iCs/>
        </w:rPr>
        <w:t>գազի</w:t>
      </w:r>
      <w:r w:rsidRPr="009070BD">
        <w:rPr>
          <w:b w:val="0"/>
          <w:bCs/>
          <w:iCs/>
          <w:lang w:val="fr-FR"/>
        </w:rPr>
        <w:t xml:space="preserve">, </w:t>
      </w:r>
      <w:r w:rsidRPr="009070BD">
        <w:rPr>
          <w:b w:val="0"/>
          <w:bCs/>
          <w:iCs/>
        </w:rPr>
        <w:t>էլեկտրաէներգիայի</w:t>
      </w:r>
      <w:r w:rsidRPr="009070BD">
        <w:rPr>
          <w:b w:val="0"/>
          <w:bCs/>
          <w:iCs/>
          <w:lang w:val="fr-FR"/>
        </w:rPr>
        <w:t xml:space="preserve">, </w:t>
      </w:r>
      <w:r w:rsidRPr="009070BD">
        <w:rPr>
          <w:b w:val="0"/>
          <w:bCs/>
          <w:iCs/>
        </w:rPr>
        <w:t>ոռոգման</w:t>
      </w:r>
      <w:r w:rsidRPr="009070BD">
        <w:rPr>
          <w:b w:val="0"/>
          <w:bCs/>
          <w:iCs/>
          <w:lang w:val="fr-FR"/>
        </w:rPr>
        <w:t xml:space="preserve"> </w:t>
      </w:r>
      <w:r w:rsidRPr="009070BD">
        <w:rPr>
          <w:b w:val="0"/>
          <w:bCs/>
          <w:iCs/>
        </w:rPr>
        <w:t>ջրի</w:t>
      </w:r>
      <w:r w:rsidRPr="009070BD">
        <w:rPr>
          <w:b w:val="0"/>
          <w:bCs/>
          <w:iCs/>
          <w:lang w:val="fr-FR"/>
        </w:rPr>
        <w:t xml:space="preserve">, </w:t>
      </w:r>
      <w:r w:rsidRPr="009070BD">
        <w:rPr>
          <w:b w:val="0"/>
          <w:bCs/>
          <w:iCs/>
        </w:rPr>
        <w:t>սահմանամերձ</w:t>
      </w:r>
      <w:r w:rsidRPr="009070BD">
        <w:rPr>
          <w:b w:val="0"/>
          <w:bCs/>
          <w:iCs/>
          <w:lang w:val="fr-FR"/>
        </w:rPr>
        <w:t xml:space="preserve"> </w:t>
      </w:r>
      <w:r w:rsidRPr="009070BD">
        <w:rPr>
          <w:b w:val="0"/>
          <w:bCs/>
          <w:iCs/>
        </w:rPr>
        <w:t>համայնքների</w:t>
      </w:r>
      <w:r w:rsidRPr="009070BD">
        <w:rPr>
          <w:b w:val="0"/>
          <w:bCs/>
          <w:iCs/>
          <w:lang w:val="fr-FR"/>
        </w:rPr>
        <w:t xml:space="preserve"> </w:t>
      </w:r>
      <w:r w:rsidRPr="009070BD">
        <w:rPr>
          <w:b w:val="0"/>
          <w:bCs/>
          <w:iCs/>
        </w:rPr>
        <w:t>վարչական</w:t>
      </w:r>
      <w:r w:rsidRPr="009070BD">
        <w:rPr>
          <w:b w:val="0"/>
          <w:bCs/>
          <w:iCs/>
          <w:lang w:val="fr-FR"/>
        </w:rPr>
        <w:t xml:space="preserve"> </w:t>
      </w:r>
      <w:r w:rsidRPr="009070BD">
        <w:rPr>
          <w:b w:val="0"/>
          <w:bCs/>
          <w:iCs/>
        </w:rPr>
        <w:t>տարածքում</w:t>
      </w:r>
      <w:r w:rsidRPr="009070BD">
        <w:rPr>
          <w:b w:val="0"/>
          <w:bCs/>
          <w:iCs/>
          <w:lang w:val="fr-FR"/>
        </w:rPr>
        <w:t xml:space="preserve"> </w:t>
      </w:r>
      <w:r w:rsidRPr="009070BD">
        <w:rPr>
          <w:b w:val="0"/>
          <w:bCs/>
          <w:iCs/>
        </w:rPr>
        <w:t>գտնվող</w:t>
      </w:r>
      <w:r w:rsidRPr="009070BD">
        <w:rPr>
          <w:b w:val="0"/>
          <w:bCs/>
          <w:iCs/>
          <w:lang w:val="fr-FR"/>
        </w:rPr>
        <w:t xml:space="preserve"> </w:t>
      </w:r>
      <w:r w:rsidRPr="009070BD">
        <w:rPr>
          <w:b w:val="0"/>
          <w:bCs/>
          <w:iCs/>
        </w:rPr>
        <w:t>մարտական</w:t>
      </w:r>
      <w:r w:rsidRPr="009070BD">
        <w:rPr>
          <w:b w:val="0"/>
          <w:bCs/>
          <w:iCs/>
          <w:lang w:val="fr-FR"/>
        </w:rPr>
        <w:t xml:space="preserve"> </w:t>
      </w:r>
      <w:r w:rsidRPr="009070BD">
        <w:rPr>
          <w:b w:val="0"/>
          <w:bCs/>
          <w:iCs/>
        </w:rPr>
        <w:t>գործողությունների</w:t>
      </w:r>
      <w:r w:rsidRPr="009070BD">
        <w:rPr>
          <w:b w:val="0"/>
          <w:bCs/>
          <w:iCs/>
          <w:lang w:val="fr-FR"/>
        </w:rPr>
        <w:t xml:space="preserve"> </w:t>
      </w:r>
      <w:r w:rsidRPr="009070BD">
        <w:rPr>
          <w:b w:val="0"/>
          <w:bCs/>
          <w:iCs/>
        </w:rPr>
        <w:t>հետևանքով</w:t>
      </w:r>
      <w:r w:rsidRPr="009070BD">
        <w:rPr>
          <w:b w:val="0"/>
          <w:bCs/>
          <w:iCs/>
          <w:lang w:val="fr-FR"/>
        </w:rPr>
        <w:t xml:space="preserve"> </w:t>
      </w:r>
      <w:r w:rsidRPr="009070BD">
        <w:rPr>
          <w:b w:val="0"/>
          <w:bCs/>
          <w:iCs/>
        </w:rPr>
        <w:t>չօգտագործվող</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հակառակորդի</w:t>
      </w:r>
      <w:r w:rsidRPr="009070BD">
        <w:rPr>
          <w:b w:val="0"/>
          <w:bCs/>
          <w:iCs/>
          <w:lang w:val="fr-FR"/>
        </w:rPr>
        <w:t xml:space="preserve"> </w:t>
      </w:r>
      <w:r w:rsidRPr="009070BD">
        <w:rPr>
          <w:b w:val="0"/>
          <w:bCs/>
          <w:iCs/>
        </w:rPr>
        <w:t>կողմից</w:t>
      </w:r>
      <w:r w:rsidRPr="009070BD">
        <w:rPr>
          <w:b w:val="0"/>
          <w:bCs/>
          <w:iCs/>
          <w:lang w:val="fr-FR"/>
        </w:rPr>
        <w:t xml:space="preserve"> </w:t>
      </w:r>
      <w:r w:rsidRPr="009070BD">
        <w:rPr>
          <w:b w:val="0"/>
          <w:bCs/>
          <w:iCs/>
        </w:rPr>
        <w:t>հողատարածքների</w:t>
      </w:r>
      <w:r w:rsidRPr="009070BD">
        <w:rPr>
          <w:b w:val="0"/>
          <w:bCs/>
          <w:iCs/>
          <w:lang w:val="fr-FR"/>
        </w:rPr>
        <w:t xml:space="preserve"> </w:t>
      </w:r>
      <w:r w:rsidRPr="009070BD">
        <w:rPr>
          <w:b w:val="0"/>
          <w:bCs/>
          <w:iCs/>
        </w:rPr>
        <w:t>գնդակոծման</w:t>
      </w:r>
      <w:r w:rsidRPr="009070BD">
        <w:rPr>
          <w:b w:val="0"/>
          <w:bCs/>
          <w:iCs/>
          <w:lang w:val="fr-FR"/>
        </w:rPr>
        <w:t xml:space="preserve"> </w:t>
      </w:r>
      <w:r w:rsidRPr="009070BD">
        <w:rPr>
          <w:b w:val="0"/>
          <w:bCs/>
          <w:iCs/>
        </w:rPr>
        <w:t>դեպքեր</w:t>
      </w:r>
      <w:r w:rsidRPr="009070BD">
        <w:rPr>
          <w:b w:val="0"/>
          <w:bCs/>
          <w:iCs/>
          <w:lang w:val="fr-FR"/>
        </w:rPr>
        <w:t xml:space="preserve"> </w:t>
      </w:r>
      <w:r w:rsidRPr="009070BD">
        <w:rPr>
          <w:b w:val="0"/>
          <w:bCs/>
          <w:iCs/>
        </w:rPr>
        <w:t>ունեցող</w:t>
      </w:r>
      <w:r w:rsidRPr="009070BD">
        <w:rPr>
          <w:b w:val="0"/>
          <w:bCs/>
          <w:iCs/>
          <w:lang w:val="fr-FR"/>
        </w:rPr>
        <w:t xml:space="preserve"> </w:t>
      </w:r>
      <w:r w:rsidRPr="009070BD">
        <w:rPr>
          <w:b w:val="0"/>
          <w:bCs/>
          <w:iCs/>
        </w:rPr>
        <w:t>գյուղատնտեսական</w:t>
      </w:r>
      <w:r w:rsidRPr="009070BD">
        <w:rPr>
          <w:b w:val="0"/>
          <w:bCs/>
          <w:iCs/>
          <w:lang w:val="fr-FR"/>
        </w:rPr>
        <w:t xml:space="preserve"> </w:t>
      </w:r>
      <w:r w:rsidRPr="009070BD">
        <w:rPr>
          <w:b w:val="0"/>
          <w:bCs/>
          <w:iCs/>
        </w:rPr>
        <w:t>նշանակության</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բնակավայրերի</w:t>
      </w:r>
      <w:r w:rsidRPr="009070BD">
        <w:rPr>
          <w:b w:val="0"/>
          <w:bCs/>
          <w:iCs/>
          <w:lang w:val="fr-FR"/>
        </w:rPr>
        <w:t xml:space="preserve"> </w:t>
      </w:r>
      <w:r w:rsidRPr="009070BD">
        <w:rPr>
          <w:b w:val="0"/>
          <w:bCs/>
          <w:iCs/>
        </w:rPr>
        <w:t>բնակելի</w:t>
      </w:r>
      <w:r w:rsidRPr="009070BD">
        <w:rPr>
          <w:b w:val="0"/>
          <w:bCs/>
          <w:iCs/>
          <w:lang w:val="fr-FR"/>
        </w:rPr>
        <w:t xml:space="preserve"> </w:t>
      </w:r>
      <w:r w:rsidRPr="009070BD">
        <w:rPr>
          <w:b w:val="0"/>
          <w:bCs/>
          <w:iCs/>
        </w:rPr>
        <w:t>կառուցապատման</w:t>
      </w:r>
      <w:r w:rsidRPr="009070BD">
        <w:rPr>
          <w:b w:val="0"/>
          <w:bCs/>
          <w:iCs/>
          <w:lang w:val="fr-FR"/>
        </w:rPr>
        <w:t xml:space="preserve"> </w:t>
      </w:r>
      <w:r w:rsidRPr="009070BD">
        <w:rPr>
          <w:b w:val="0"/>
          <w:bCs/>
          <w:iCs/>
        </w:rPr>
        <w:t>հողատա</w:t>
      </w:r>
      <w:r w:rsidRPr="009070BD">
        <w:rPr>
          <w:b w:val="0"/>
          <w:bCs/>
          <w:iCs/>
          <w:lang w:val="fr-FR"/>
        </w:rPr>
        <w:softHyphen/>
      </w:r>
      <w:r w:rsidRPr="009070BD">
        <w:rPr>
          <w:b w:val="0"/>
          <w:bCs/>
          <w:iCs/>
        </w:rPr>
        <w:t>րածքների</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վճարման</w:t>
      </w:r>
      <w:r w:rsidRPr="009070BD">
        <w:rPr>
          <w:b w:val="0"/>
          <w:bCs/>
          <w:iCs/>
          <w:lang w:val="fr-FR"/>
        </w:rPr>
        <w:t xml:space="preserve"> </w:t>
      </w:r>
      <w:r w:rsidRPr="009070BD">
        <w:rPr>
          <w:b w:val="0"/>
          <w:bCs/>
          <w:iCs/>
        </w:rPr>
        <w:t>ենթակա</w:t>
      </w:r>
      <w:r w:rsidRPr="009070BD">
        <w:rPr>
          <w:b w:val="0"/>
          <w:bCs/>
          <w:iCs/>
          <w:lang w:val="fr-FR"/>
        </w:rPr>
        <w:t xml:space="preserve"> </w:t>
      </w:r>
      <w:r w:rsidRPr="009070BD">
        <w:rPr>
          <w:b w:val="0"/>
          <w:bCs/>
          <w:iCs/>
        </w:rPr>
        <w:t>հողի</w:t>
      </w:r>
      <w:r w:rsidRPr="009070BD">
        <w:rPr>
          <w:b w:val="0"/>
          <w:bCs/>
          <w:iCs/>
          <w:lang w:val="fr-FR"/>
        </w:rPr>
        <w:t xml:space="preserve"> </w:t>
      </w:r>
      <w:r w:rsidRPr="009070BD">
        <w:rPr>
          <w:b w:val="0"/>
          <w:bCs/>
          <w:iCs/>
        </w:rPr>
        <w:t>հարկի</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այդ</w:t>
      </w:r>
      <w:r w:rsidRPr="009070BD">
        <w:rPr>
          <w:b w:val="0"/>
          <w:bCs/>
          <w:iCs/>
          <w:lang w:val="fr-FR"/>
        </w:rPr>
        <w:t xml:space="preserve"> </w:t>
      </w:r>
      <w:r w:rsidRPr="009070BD">
        <w:rPr>
          <w:b w:val="0"/>
          <w:bCs/>
          <w:iCs/>
        </w:rPr>
        <w:t>հողերի</w:t>
      </w:r>
      <w:r w:rsidRPr="009070BD">
        <w:rPr>
          <w:b w:val="0"/>
          <w:bCs/>
          <w:iCs/>
          <w:lang w:val="fr-FR"/>
        </w:rPr>
        <w:t xml:space="preserve"> </w:t>
      </w:r>
      <w:r w:rsidRPr="009070BD">
        <w:rPr>
          <w:b w:val="0"/>
          <w:bCs/>
          <w:iCs/>
        </w:rPr>
        <w:t>վրա</w:t>
      </w:r>
      <w:r w:rsidRPr="009070BD">
        <w:rPr>
          <w:b w:val="0"/>
          <w:bCs/>
          <w:iCs/>
          <w:lang w:val="fr-FR"/>
        </w:rPr>
        <w:t xml:space="preserve"> </w:t>
      </w:r>
      <w:r w:rsidRPr="009070BD">
        <w:rPr>
          <w:b w:val="0"/>
          <w:bCs/>
          <w:iCs/>
        </w:rPr>
        <w:t>ունեցած</w:t>
      </w:r>
      <w:r w:rsidRPr="009070BD">
        <w:rPr>
          <w:b w:val="0"/>
          <w:bCs/>
          <w:iCs/>
          <w:lang w:val="fr-FR"/>
        </w:rPr>
        <w:t xml:space="preserve"> </w:t>
      </w:r>
      <w:r w:rsidRPr="009070BD">
        <w:rPr>
          <w:b w:val="0"/>
          <w:bCs/>
          <w:iCs/>
        </w:rPr>
        <w:t>անշարժ</w:t>
      </w:r>
      <w:r w:rsidRPr="009070BD">
        <w:rPr>
          <w:b w:val="0"/>
          <w:bCs/>
          <w:iCs/>
          <w:lang w:val="fr-FR"/>
        </w:rPr>
        <w:t xml:space="preserve"> </w:t>
      </w:r>
      <w:r w:rsidRPr="009070BD">
        <w:rPr>
          <w:b w:val="0"/>
          <w:bCs/>
          <w:iCs/>
        </w:rPr>
        <w:t>գույքի</w:t>
      </w:r>
      <w:r w:rsidRPr="009070BD">
        <w:rPr>
          <w:b w:val="0"/>
          <w:bCs/>
          <w:iCs/>
          <w:lang w:val="fr-FR"/>
        </w:rPr>
        <w:t xml:space="preserve"> </w:t>
      </w:r>
      <w:r w:rsidRPr="009070BD">
        <w:rPr>
          <w:b w:val="0"/>
          <w:bCs/>
          <w:iCs/>
        </w:rPr>
        <w:t>գույքահարկի</w:t>
      </w:r>
      <w:r w:rsidRPr="009070BD">
        <w:rPr>
          <w:b w:val="0"/>
          <w:bCs/>
          <w:iCs/>
          <w:lang w:val="fr-FR"/>
        </w:rPr>
        <w:t xml:space="preserve"> </w:t>
      </w:r>
      <w:r w:rsidRPr="009070BD">
        <w:rPr>
          <w:b w:val="0"/>
          <w:bCs/>
          <w:iCs/>
        </w:rPr>
        <w:t>գծով</w:t>
      </w:r>
      <w:r w:rsidRPr="009070BD">
        <w:rPr>
          <w:b w:val="0"/>
          <w:bCs/>
          <w:iCs/>
          <w:lang w:val="fr-FR"/>
        </w:rPr>
        <w:t xml:space="preserve"> </w:t>
      </w:r>
      <w:r w:rsidRPr="009070BD">
        <w:rPr>
          <w:b w:val="0"/>
          <w:bCs/>
          <w:iCs/>
        </w:rPr>
        <w:t>ծախսերը</w:t>
      </w:r>
      <w:r w:rsidRPr="009070BD">
        <w:rPr>
          <w:b w:val="0"/>
          <w:bCs/>
          <w:iCs/>
          <w:lang w:val="fr-FR"/>
        </w:rPr>
        <w:t>:</w:t>
      </w:r>
    </w:p>
    <w:p w:rsidR="001971B9" w:rsidRPr="009070BD" w:rsidRDefault="001971B9" w:rsidP="007730AA">
      <w:pPr>
        <w:spacing w:before="0" w:line="276" w:lineRule="auto"/>
        <w:ind w:firstLine="720"/>
        <w:rPr>
          <w:b w:val="0"/>
          <w:bCs/>
          <w:iCs/>
          <w:lang w:val="fr-FR"/>
        </w:rPr>
      </w:pPr>
      <w:r w:rsidRPr="009070BD">
        <w:rPr>
          <w:b w:val="0"/>
          <w:bCs/>
          <w:iCs/>
          <w:lang w:val="fr-FR"/>
        </w:rPr>
        <w:t xml:space="preserve">15.3 </w:t>
      </w:r>
      <w:r w:rsidRPr="009070BD">
        <w:rPr>
          <w:b w:val="0"/>
          <w:bCs/>
          <w:iCs/>
        </w:rPr>
        <w:t>Նկատի</w:t>
      </w:r>
      <w:r w:rsidRPr="009070BD">
        <w:rPr>
          <w:b w:val="0"/>
          <w:bCs/>
          <w:iCs/>
          <w:lang w:val="fr-FR"/>
        </w:rPr>
        <w:t xml:space="preserve"> </w:t>
      </w:r>
      <w:r w:rsidRPr="009070BD">
        <w:rPr>
          <w:b w:val="0"/>
          <w:bCs/>
          <w:iCs/>
        </w:rPr>
        <w:t>ունենալով</w:t>
      </w:r>
      <w:r w:rsidRPr="009070BD">
        <w:rPr>
          <w:b w:val="0"/>
          <w:bCs/>
          <w:iCs/>
          <w:lang w:val="fr-FR"/>
        </w:rPr>
        <w:t xml:space="preserve"> </w:t>
      </w:r>
      <w:r w:rsidRPr="009070BD">
        <w:rPr>
          <w:b w:val="0"/>
          <w:bCs/>
          <w:iCs/>
        </w:rPr>
        <w:t>այն</w:t>
      </w:r>
      <w:r w:rsidRPr="009070BD">
        <w:rPr>
          <w:b w:val="0"/>
          <w:bCs/>
          <w:iCs/>
          <w:lang w:val="fr-FR"/>
        </w:rPr>
        <w:t xml:space="preserve"> </w:t>
      </w:r>
      <w:r w:rsidRPr="009070BD">
        <w:rPr>
          <w:b w:val="0"/>
          <w:bCs/>
          <w:iCs/>
        </w:rPr>
        <w:t>հանգամանքը</w:t>
      </w:r>
      <w:r w:rsidRPr="009070BD">
        <w:rPr>
          <w:b w:val="0"/>
          <w:bCs/>
          <w:iCs/>
          <w:lang w:val="fr-FR"/>
        </w:rPr>
        <w:t xml:space="preserve">, </w:t>
      </w:r>
      <w:r w:rsidRPr="009070BD">
        <w:rPr>
          <w:b w:val="0"/>
          <w:bCs/>
          <w:iCs/>
        </w:rPr>
        <w:t>որ</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Գեղարքունիքի</w:t>
      </w:r>
      <w:r w:rsidRPr="009070BD">
        <w:rPr>
          <w:b w:val="0"/>
          <w:bCs/>
          <w:iCs/>
          <w:lang w:val="fr-FR"/>
        </w:rPr>
        <w:t xml:space="preserve"> </w:t>
      </w:r>
      <w:r w:rsidRPr="009070BD">
        <w:rPr>
          <w:b w:val="0"/>
          <w:bCs/>
          <w:iCs/>
        </w:rPr>
        <w:t>մարզի</w:t>
      </w:r>
      <w:r w:rsidRPr="009070BD">
        <w:rPr>
          <w:b w:val="0"/>
          <w:bCs/>
          <w:iCs/>
          <w:lang w:val="fr-FR"/>
        </w:rPr>
        <w:t xml:space="preserve"> </w:t>
      </w:r>
      <w:r w:rsidRPr="009070BD">
        <w:rPr>
          <w:b w:val="0"/>
          <w:bCs/>
          <w:iCs/>
        </w:rPr>
        <w:t>Արծվաշեն</w:t>
      </w:r>
      <w:r w:rsidRPr="009070BD">
        <w:rPr>
          <w:b w:val="0"/>
          <w:bCs/>
          <w:iCs/>
          <w:lang w:val="fr-FR"/>
        </w:rPr>
        <w:t xml:space="preserve"> </w:t>
      </w:r>
      <w:r w:rsidRPr="009070BD">
        <w:rPr>
          <w:b w:val="0"/>
          <w:bCs/>
          <w:iCs/>
        </w:rPr>
        <w:t>բնակավայրի</w:t>
      </w:r>
      <w:r w:rsidRPr="009070BD">
        <w:rPr>
          <w:b w:val="0"/>
          <w:bCs/>
          <w:iCs/>
          <w:lang w:val="fr-FR"/>
        </w:rPr>
        <w:t xml:space="preserve"> </w:t>
      </w:r>
      <w:r w:rsidRPr="009070BD">
        <w:rPr>
          <w:b w:val="0"/>
          <w:bCs/>
          <w:iCs/>
        </w:rPr>
        <w:t>համապատասխան</w:t>
      </w:r>
      <w:r w:rsidRPr="009070BD">
        <w:rPr>
          <w:b w:val="0"/>
          <w:bCs/>
          <w:iCs/>
          <w:lang w:val="fr-FR"/>
        </w:rPr>
        <w:t xml:space="preserve"> </w:t>
      </w:r>
      <w:r w:rsidRPr="009070BD">
        <w:rPr>
          <w:b w:val="0"/>
          <w:bCs/>
          <w:iCs/>
        </w:rPr>
        <w:t>ցուցանիշները</w:t>
      </w:r>
      <w:r w:rsidRPr="009070BD">
        <w:rPr>
          <w:b w:val="0"/>
          <w:bCs/>
          <w:iCs/>
          <w:lang w:val="fr-FR"/>
        </w:rPr>
        <w:t xml:space="preserve"> </w:t>
      </w:r>
      <w:r w:rsidRPr="009070BD">
        <w:rPr>
          <w:b w:val="0"/>
          <w:bCs/>
          <w:iCs/>
        </w:rPr>
        <w:t>հայտնի</w:t>
      </w:r>
      <w:r w:rsidRPr="009070BD">
        <w:rPr>
          <w:b w:val="0"/>
          <w:bCs/>
          <w:iCs/>
          <w:lang w:val="fr-FR"/>
        </w:rPr>
        <w:t xml:space="preserve"> </w:t>
      </w:r>
      <w:r w:rsidRPr="009070BD">
        <w:rPr>
          <w:b w:val="0"/>
          <w:bCs/>
          <w:iCs/>
        </w:rPr>
        <w:t>պատճառներով</w:t>
      </w:r>
      <w:r w:rsidRPr="009070BD">
        <w:rPr>
          <w:b w:val="0"/>
          <w:bCs/>
          <w:iCs/>
          <w:lang w:val="fr-FR"/>
        </w:rPr>
        <w:t xml:space="preserve"> </w:t>
      </w:r>
      <w:r w:rsidRPr="009070BD">
        <w:rPr>
          <w:b w:val="0"/>
          <w:bCs/>
          <w:iCs/>
        </w:rPr>
        <w:t>չեն</w:t>
      </w:r>
      <w:r w:rsidRPr="009070BD">
        <w:rPr>
          <w:b w:val="0"/>
          <w:bCs/>
          <w:iCs/>
          <w:lang w:val="fr-FR"/>
        </w:rPr>
        <w:t xml:space="preserve"> </w:t>
      </w:r>
      <w:r w:rsidRPr="009070BD">
        <w:rPr>
          <w:b w:val="0"/>
          <w:bCs/>
          <w:iCs/>
        </w:rPr>
        <w:t>կարող</w:t>
      </w:r>
      <w:r w:rsidRPr="009070BD">
        <w:rPr>
          <w:b w:val="0"/>
          <w:bCs/>
          <w:iCs/>
          <w:lang w:val="fr-FR"/>
        </w:rPr>
        <w:t xml:space="preserve"> </w:t>
      </w:r>
      <w:r w:rsidRPr="009070BD">
        <w:rPr>
          <w:b w:val="0"/>
          <w:bCs/>
          <w:iCs/>
        </w:rPr>
        <w:t>կի</w:t>
      </w:r>
      <w:r w:rsidRPr="009070BD">
        <w:rPr>
          <w:b w:val="0"/>
          <w:bCs/>
          <w:iCs/>
          <w:lang w:val="fr-FR"/>
        </w:rPr>
        <w:softHyphen/>
      </w:r>
      <w:r w:rsidRPr="009070BD">
        <w:rPr>
          <w:b w:val="0"/>
          <w:bCs/>
          <w:iCs/>
        </w:rPr>
        <w:t>րառ</w:t>
      </w:r>
      <w:r w:rsidRPr="009070BD">
        <w:rPr>
          <w:b w:val="0"/>
          <w:bCs/>
          <w:iCs/>
          <w:lang w:val="fr-FR"/>
        </w:rPr>
        <w:softHyphen/>
      </w:r>
      <w:r w:rsidRPr="009070BD">
        <w:rPr>
          <w:b w:val="0"/>
          <w:bCs/>
          <w:iCs/>
        </w:rPr>
        <w:t>վել</w:t>
      </w:r>
      <w:r w:rsidRPr="009070BD">
        <w:rPr>
          <w:b w:val="0"/>
          <w:bCs/>
          <w:iCs/>
          <w:lang w:val="fr-FR"/>
        </w:rPr>
        <w:t xml:space="preserve"> </w:t>
      </w:r>
      <w:r w:rsidRPr="009070BD">
        <w:rPr>
          <w:b w:val="0"/>
          <w:bCs/>
          <w:iCs/>
        </w:rPr>
        <w:t>ֆի</w:t>
      </w:r>
      <w:r w:rsidRPr="009070BD">
        <w:rPr>
          <w:b w:val="0"/>
          <w:bCs/>
          <w:iCs/>
          <w:lang w:val="fr-FR"/>
        </w:rPr>
        <w:softHyphen/>
      </w:r>
      <w:r w:rsidRPr="009070BD">
        <w:rPr>
          <w:b w:val="0"/>
          <w:bCs/>
          <w:iCs/>
        </w:rPr>
        <w:t>նան</w:t>
      </w:r>
      <w:r w:rsidRPr="009070BD">
        <w:rPr>
          <w:b w:val="0"/>
          <w:bCs/>
          <w:iCs/>
          <w:lang w:val="fr-FR"/>
        </w:rPr>
        <w:softHyphen/>
      </w:r>
      <w:r w:rsidRPr="009070BD">
        <w:rPr>
          <w:b w:val="0"/>
          <w:bCs/>
          <w:iCs/>
        </w:rPr>
        <w:t>սա</w:t>
      </w:r>
      <w:r w:rsidRPr="009070BD">
        <w:rPr>
          <w:b w:val="0"/>
          <w:bCs/>
          <w:iCs/>
          <w:lang w:val="fr-FR"/>
        </w:rPr>
        <w:softHyphen/>
      </w:r>
      <w:r w:rsidRPr="009070BD">
        <w:rPr>
          <w:b w:val="0"/>
          <w:bCs/>
          <w:iCs/>
        </w:rPr>
        <w:t>կան</w:t>
      </w:r>
      <w:r w:rsidRPr="009070BD">
        <w:rPr>
          <w:b w:val="0"/>
          <w:bCs/>
          <w:iCs/>
          <w:lang w:val="fr-FR"/>
        </w:rPr>
        <w:t xml:space="preserve"> </w:t>
      </w:r>
      <w:r w:rsidRPr="009070BD">
        <w:rPr>
          <w:b w:val="0"/>
          <w:bCs/>
          <w:iCs/>
        </w:rPr>
        <w:t>համահարթեցման</w:t>
      </w:r>
      <w:r w:rsidRPr="009070BD">
        <w:rPr>
          <w:b w:val="0"/>
          <w:bCs/>
          <w:iCs/>
          <w:lang w:val="fr-FR"/>
        </w:rPr>
        <w:t xml:space="preserve"> </w:t>
      </w:r>
      <w:r w:rsidRPr="009070BD">
        <w:rPr>
          <w:b w:val="0"/>
          <w:bCs/>
          <w:iCs/>
        </w:rPr>
        <w:t>դոտացիաների</w:t>
      </w:r>
      <w:r w:rsidRPr="009070BD">
        <w:rPr>
          <w:b w:val="0"/>
          <w:bCs/>
          <w:iCs/>
          <w:lang w:val="fr-FR"/>
        </w:rPr>
        <w:t xml:space="preserve"> </w:t>
      </w:r>
      <w:r w:rsidRPr="009070BD">
        <w:rPr>
          <w:b w:val="0"/>
          <w:bCs/>
          <w:iCs/>
        </w:rPr>
        <w:t>բաշխման</w:t>
      </w:r>
      <w:r w:rsidRPr="009070BD">
        <w:rPr>
          <w:b w:val="0"/>
          <w:bCs/>
          <w:iCs/>
          <w:lang w:val="fr-FR"/>
        </w:rPr>
        <w:t xml:space="preserve"> </w:t>
      </w:r>
      <w:r w:rsidRPr="009070BD">
        <w:rPr>
          <w:b w:val="0"/>
          <w:bCs/>
          <w:iCs/>
        </w:rPr>
        <w:t>հաշ</w:t>
      </w:r>
      <w:r w:rsidRPr="009070BD">
        <w:rPr>
          <w:b w:val="0"/>
          <w:bCs/>
          <w:iCs/>
          <w:lang w:val="fr-FR"/>
        </w:rPr>
        <w:softHyphen/>
      </w:r>
      <w:r w:rsidRPr="009070BD">
        <w:rPr>
          <w:b w:val="0"/>
          <w:bCs/>
          <w:iCs/>
        </w:rPr>
        <w:t>վարկ</w:t>
      </w:r>
      <w:r w:rsidRPr="009070BD">
        <w:rPr>
          <w:b w:val="0"/>
          <w:bCs/>
          <w:iCs/>
          <w:lang w:val="fr-FR"/>
        </w:rPr>
        <w:softHyphen/>
      </w:r>
      <w:r w:rsidRPr="009070BD">
        <w:rPr>
          <w:b w:val="0"/>
          <w:bCs/>
          <w:iCs/>
        </w:rPr>
        <w:t>ներում</w:t>
      </w:r>
      <w:r w:rsidRPr="009070BD">
        <w:rPr>
          <w:b w:val="0"/>
          <w:bCs/>
          <w:iCs/>
          <w:lang w:val="fr-FR"/>
        </w:rPr>
        <w:t xml:space="preserve">, </w:t>
      </w:r>
      <w:r w:rsidRPr="009070BD">
        <w:rPr>
          <w:b w:val="0"/>
          <w:bCs/>
          <w:iCs/>
        </w:rPr>
        <w:t>նշված</w:t>
      </w:r>
      <w:r w:rsidRPr="009070BD">
        <w:rPr>
          <w:b w:val="0"/>
          <w:bCs/>
          <w:iCs/>
          <w:lang w:val="fr-FR"/>
        </w:rPr>
        <w:t xml:space="preserve"> </w:t>
      </w:r>
      <w:r w:rsidRPr="009070BD">
        <w:rPr>
          <w:b w:val="0"/>
          <w:bCs/>
          <w:iCs/>
        </w:rPr>
        <w:t>բնակավայրի</w:t>
      </w:r>
      <w:r w:rsidRPr="009070BD">
        <w:rPr>
          <w:b w:val="0"/>
          <w:bCs/>
          <w:iCs/>
          <w:lang w:val="fr-FR"/>
        </w:rPr>
        <w:t xml:space="preserve"> </w:t>
      </w:r>
      <w:r w:rsidRPr="009070BD">
        <w:rPr>
          <w:b w:val="0"/>
          <w:bCs/>
          <w:iCs/>
        </w:rPr>
        <w:t>վարչական</w:t>
      </w:r>
      <w:r w:rsidRPr="009070BD">
        <w:rPr>
          <w:b w:val="0"/>
          <w:bCs/>
          <w:iCs/>
          <w:lang w:val="fr-FR"/>
        </w:rPr>
        <w:t xml:space="preserve"> </w:t>
      </w:r>
      <w:r w:rsidRPr="009070BD">
        <w:rPr>
          <w:b w:val="0"/>
          <w:bCs/>
          <w:iCs/>
        </w:rPr>
        <w:t>ղե</w:t>
      </w:r>
      <w:r w:rsidRPr="009070BD">
        <w:rPr>
          <w:b w:val="0"/>
          <w:bCs/>
          <w:iCs/>
          <w:lang w:val="fr-FR"/>
        </w:rPr>
        <w:softHyphen/>
      </w:r>
      <w:r w:rsidRPr="009070BD">
        <w:rPr>
          <w:b w:val="0"/>
          <w:bCs/>
          <w:iCs/>
        </w:rPr>
        <w:t>կավարի</w:t>
      </w:r>
      <w:r w:rsidRPr="009070BD">
        <w:rPr>
          <w:b w:val="0"/>
          <w:bCs/>
          <w:iCs/>
          <w:lang w:val="fr-FR"/>
        </w:rPr>
        <w:t xml:space="preserve"> </w:t>
      </w:r>
      <w:r w:rsidRPr="009070BD">
        <w:rPr>
          <w:b w:val="0"/>
          <w:bCs/>
          <w:iCs/>
        </w:rPr>
        <w:t>և</w:t>
      </w:r>
      <w:r w:rsidRPr="009070BD">
        <w:rPr>
          <w:b w:val="0"/>
          <w:bCs/>
          <w:iCs/>
          <w:lang w:val="fr-FR"/>
        </w:rPr>
        <w:t xml:space="preserve"> </w:t>
      </w:r>
      <w:r w:rsidRPr="009070BD">
        <w:rPr>
          <w:b w:val="0"/>
          <w:bCs/>
          <w:iCs/>
        </w:rPr>
        <w:t>աշ</w:t>
      </w:r>
      <w:r w:rsidRPr="009070BD">
        <w:rPr>
          <w:b w:val="0"/>
          <w:bCs/>
          <w:iCs/>
          <w:lang w:val="fr-FR"/>
        </w:rPr>
        <w:softHyphen/>
      </w:r>
      <w:r w:rsidRPr="009070BD">
        <w:rPr>
          <w:b w:val="0"/>
          <w:bCs/>
          <w:iCs/>
        </w:rPr>
        <w:t>խա</w:t>
      </w:r>
      <w:r w:rsidRPr="009070BD">
        <w:rPr>
          <w:b w:val="0"/>
          <w:bCs/>
          <w:iCs/>
          <w:lang w:val="fr-FR"/>
        </w:rPr>
        <w:softHyphen/>
      </w:r>
      <w:r w:rsidRPr="009070BD">
        <w:rPr>
          <w:b w:val="0"/>
          <w:bCs/>
          <w:iCs/>
        </w:rPr>
        <w:t>տակազմի</w:t>
      </w:r>
      <w:r w:rsidRPr="009070BD">
        <w:rPr>
          <w:b w:val="0"/>
          <w:bCs/>
          <w:iCs/>
          <w:lang w:val="fr-FR"/>
        </w:rPr>
        <w:t xml:space="preserve"> 2021 </w:t>
      </w:r>
      <w:r w:rsidRPr="009070BD">
        <w:rPr>
          <w:b w:val="0"/>
          <w:bCs/>
          <w:iCs/>
        </w:rPr>
        <w:t>թվականի</w:t>
      </w:r>
      <w:r w:rsidRPr="009070BD">
        <w:rPr>
          <w:b w:val="0"/>
          <w:bCs/>
          <w:iCs/>
          <w:lang w:val="fr-FR"/>
        </w:rPr>
        <w:t xml:space="preserve"> </w:t>
      </w:r>
      <w:r w:rsidRPr="009070BD">
        <w:rPr>
          <w:b w:val="0"/>
          <w:bCs/>
          <w:iCs/>
        </w:rPr>
        <w:t>պահպանման</w:t>
      </w:r>
      <w:r w:rsidRPr="009070BD">
        <w:rPr>
          <w:b w:val="0"/>
          <w:bCs/>
          <w:iCs/>
          <w:lang w:val="fr-FR"/>
        </w:rPr>
        <w:t xml:space="preserve"> </w:t>
      </w:r>
      <w:r w:rsidRPr="009070BD">
        <w:rPr>
          <w:b w:val="0"/>
          <w:bCs/>
          <w:iCs/>
        </w:rPr>
        <w:t>ծախսերի</w:t>
      </w:r>
      <w:r w:rsidRPr="009070BD">
        <w:rPr>
          <w:b w:val="0"/>
          <w:bCs/>
          <w:iCs/>
          <w:lang w:val="fr-FR"/>
        </w:rPr>
        <w:t xml:space="preserve"> </w:t>
      </w:r>
      <w:r w:rsidRPr="009070BD">
        <w:rPr>
          <w:b w:val="0"/>
          <w:bCs/>
          <w:iCs/>
        </w:rPr>
        <w:t>գծով</w:t>
      </w:r>
      <w:r w:rsidRPr="009070BD">
        <w:rPr>
          <w:b w:val="0"/>
          <w:bCs/>
          <w:iCs/>
          <w:lang w:val="fr-FR"/>
        </w:rPr>
        <w:t xml:space="preserve"> </w:t>
      </w:r>
      <w:r w:rsidRPr="009070BD">
        <w:rPr>
          <w:b w:val="0"/>
          <w:bCs/>
          <w:iCs/>
        </w:rPr>
        <w:t>ՀՀ</w:t>
      </w:r>
      <w:r w:rsidRPr="009070BD">
        <w:rPr>
          <w:b w:val="0"/>
          <w:bCs/>
          <w:iCs/>
          <w:lang w:val="fr-FR"/>
        </w:rPr>
        <w:t xml:space="preserve"> 2021 </w:t>
      </w:r>
      <w:r w:rsidRPr="009070BD">
        <w:rPr>
          <w:b w:val="0"/>
          <w:bCs/>
          <w:iCs/>
        </w:rPr>
        <w:t>թվականի</w:t>
      </w:r>
      <w:r w:rsidRPr="009070BD">
        <w:rPr>
          <w:b w:val="0"/>
          <w:bCs/>
          <w:iCs/>
          <w:lang w:val="fr-FR"/>
        </w:rPr>
        <w:t xml:space="preserve"> </w:t>
      </w:r>
      <w:r w:rsidRPr="009070BD">
        <w:rPr>
          <w:b w:val="0"/>
          <w:bCs/>
          <w:iCs/>
        </w:rPr>
        <w:t>ՀՀ</w:t>
      </w:r>
      <w:r w:rsidRPr="009070BD">
        <w:rPr>
          <w:b w:val="0"/>
          <w:bCs/>
          <w:iCs/>
          <w:lang w:val="fr-FR"/>
        </w:rPr>
        <w:t xml:space="preserve"> </w:t>
      </w:r>
      <w:r w:rsidRPr="009070BD">
        <w:rPr>
          <w:b w:val="0"/>
          <w:bCs/>
          <w:iCs/>
        </w:rPr>
        <w:t>Գեղարքունիքի</w:t>
      </w:r>
      <w:r w:rsidRPr="009070BD">
        <w:rPr>
          <w:b w:val="0"/>
          <w:bCs/>
          <w:iCs/>
          <w:lang w:val="fr-FR"/>
        </w:rPr>
        <w:t xml:space="preserve"> </w:t>
      </w:r>
      <w:r w:rsidRPr="009070BD">
        <w:rPr>
          <w:b w:val="0"/>
          <w:bCs/>
          <w:iCs/>
        </w:rPr>
        <w:t>մարզպետարանին</w:t>
      </w:r>
      <w:r w:rsidRPr="009070BD">
        <w:rPr>
          <w:b w:val="0"/>
          <w:bCs/>
          <w:iCs/>
          <w:lang w:val="fr-FR"/>
        </w:rPr>
        <w:t xml:space="preserve"> </w:t>
      </w:r>
      <w:r w:rsidRPr="009070BD">
        <w:rPr>
          <w:b w:val="0"/>
          <w:bCs/>
          <w:iCs/>
        </w:rPr>
        <w:t>առան</w:t>
      </w:r>
      <w:r w:rsidRPr="009070BD">
        <w:rPr>
          <w:b w:val="0"/>
          <w:bCs/>
          <w:iCs/>
          <w:lang w:val="fr-FR"/>
        </w:rPr>
        <w:softHyphen/>
      </w:r>
      <w:r w:rsidRPr="009070BD">
        <w:rPr>
          <w:b w:val="0"/>
          <w:bCs/>
          <w:iCs/>
          <w:lang w:val="fr-FR"/>
        </w:rPr>
        <w:softHyphen/>
      </w:r>
      <w:r w:rsidRPr="009070BD">
        <w:rPr>
          <w:b w:val="0"/>
          <w:bCs/>
          <w:iCs/>
        </w:rPr>
        <w:t>ձին</w:t>
      </w:r>
      <w:r w:rsidRPr="009070BD">
        <w:rPr>
          <w:b w:val="0"/>
          <w:bCs/>
          <w:iCs/>
          <w:lang w:val="fr-FR"/>
        </w:rPr>
        <w:t xml:space="preserve"> </w:t>
      </w:r>
      <w:r w:rsidRPr="009070BD">
        <w:rPr>
          <w:b w:val="0"/>
          <w:bCs/>
          <w:iCs/>
        </w:rPr>
        <w:t>տո</w:t>
      </w:r>
      <w:r w:rsidRPr="009070BD">
        <w:rPr>
          <w:b w:val="0"/>
          <w:bCs/>
          <w:iCs/>
          <w:lang w:val="fr-FR"/>
        </w:rPr>
        <w:softHyphen/>
      </w:r>
      <w:r w:rsidRPr="009070BD">
        <w:rPr>
          <w:b w:val="0"/>
          <w:bCs/>
          <w:iCs/>
        </w:rPr>
        <w:t>ղով</w:t>
      </w:r>
      <w:r w:rsidRPr="009070BD">
        <w:rPr>
          <w:b w:val="0"/>
          <w:bCs/>
          <w:iCs/>
          <w:lang w:val="fr-FR"/>
        </w:rPr>
        <w:t xml:space="preserve"> </w:t>
      </w:r>
      <w:r w:rsidRPr="009070BD">
        <w:rPr>
          <w:b w:val="0"/>
          <w:bCs/>
          <w:iCs/>
        </w:rPr>
        <w:t>նախա</w:t>
      </w:r>
      <w:r w:rsidRPr="009070BD">
        <w:rPr>
          <w:b w:val="0"/>
          <w:bCs/>
          <w:iCs/>
          <w:lang w:val="fr-FR"/>
        </w:rPr>
        <w:softHyphen/>
      </w:r>
      <w:r w:rsidRPr="009070BD">
        <w:rPr>
          <w:b w:val="0"/>
          <w:bCs/>
          <w:iCs/>
        </w:rPr>
        <w:t>տես</w:t>
      </w:r>
      <w:r w:rsidRPr="009070BD">
        <w:rPr>
          <w:b w:val="0"/>
          <w:bCs/>
          <w:iCs/>
          <w:lang w:val="fr-FR"/>
        </w:rPr>
        <w:softHyphen/>
      </w:r>
      <w:r w:rsidRPr="009070BD">
        <w:rPr>
          <w:b w:val="0"/>
          <w:bCs/>
          <w:iCs/>
        </w:rPr>
        <w:t>վում</w:t>
      </w:r>
      <w:r w:rsidRPr="009070BD">
        <w:rPr>
          <w:b w:val="0"/>
          <w:bCs/>
          <w:iCs/>
          <w:lang w:val="fr-FR"/>
        </w:rPr>
        <w:t xml:space="preserve"> </w:t>
      </w:r>
      <w:r w:rsidRPr="009070BD">
        <w:rPr>
          <w:b w:val="0"/>
          <w:bCs/>
          <w:iCs/>
        </w:rPr>
        <w:t>է</w:t>
      </w:r>
      <w:r w:rsidRPr="009070BD">
        <w:rPr>
          <w:b w:val="0"/>
          <w:bCs/>
          <w:iCs/>
          <w:lang w:val="fr-FR"/>
        </w:rPr>
        <w:t xml:space="preserve"> 4.9 </w:t>
      </w:r>
      <w:r w:rsidRPr="009070BD">
        <w:rPr>
          <w:b w:val="0"/>
          <w:bCs/>
          <w:iCs/>
        </w:rPr>
        <w:t>մլն</w:t>
      </w:r>
      <w:r w:rsidRPr="009070BD">
        <w:rPr>
          <w:b w:val="0"/>
          <w:bCs/>
          <w:iCs/>
          <w:lang w:val="fr-FR"/>
        </w:rPr>
        <w:t xml:space="preserve"> </w:t>
      </w:r>
      <w:r w:rsidRPr="009070BD">
        <w:rPr>
          <w:b w:val="0"/>
          <w:bCs/>
          <w:iCs/>
        </w:rPr>
        <w:t>դրա</w:t>
      </w:r>
      <w:r w:rsidRPr="009070BD">
        <w:rPr>
          <w:b w:val="0"/>
          <w:bCs/>
          <w:iCs/>
          <w:lang w:val="fr-FR"/>
        </w:rPr>
        <w:softHyphen/>
      </w:r>
      <w:r w:rsidRPr="009070BD">
        <w:rPr>
          <w:b w:val="0"/>
          <w:bCs/>
          <w:iCs/>
        </w:rPr>
        <w:t>մի</w:t>
      </w:r>
      <w:r w:rsidRPr="009070BD">
        <w:rPr>
          <w:b w:val="0"/>
          <w:bCs/>
          <w:iCs/>
          <w:lang w:val="fr-FR"/>
        </w:rPr>
        <w:t xml:space="preserve"> </w:t>
      </w:r>
      <w:r w:rsidRPr="009070BD">
        <w:rPr>
          <w:b w:val="0"/>
          <w:bCs/>
          <w:iCs/>
        </w:rPr>
        <w:t>չափով</w:t>
      </w:r>
      <w:r w:rsidRPr="009070BD">
        <w:rPr>
          <w:b w:val="0"/>
          <w:bCs/>
          <w:iCs/>
          <w:lang w:val="fr-FR"/>
        </w:rPr>
        <w:t xml:space="preserve"> </w:t>
      </w:r>
      <w:r w:rsidRPr="009070BD">
        <w:rPr>
          <w:b w:val="0"/>
          <w:bCs/>
          <w:iCs/>
        </w:rPr>
        <w:t>հատկացումներ</w:t>
      </w:r>
      <w:r w:rsidRPr="009070BD">
        <w:rPr>
          <w:b w:val="0"/>
          <w:bCs/>
          <w:iCs/>
          <w:lang w:val="fr-FR"/>
        </w:rPr>
        <w:t xml:space="preserve">: </w:t>
      </w:r>
    </w:p>
    <w:p w:rsidR="001971B9" w:rsidRPr="009070BD" w:rsidRDefault="001971B9" w:rsidP="007730AA">
      <w:pPr>
        <w:spacing w:before="0" w:line="276" w:lineRule="auto"/>
        <w:ind w:firstLine="720"/>
        <w:rPr>
          <w:b w:val="0"/>
          <w:bCs/>
          <w:iCs/>
          <w:lang w:val="fr-FR"/>
        </w:rPr>
      </w:pPr>
      <w:r w:rsidRPr="009070BD">
        <w:rPr>
          <w:b w:val="0"/>
          <w:bCs/>
          <w:iCs/>
          <w:lang w:val="fr-FR"/>
        </w:rPr>
        <w:t>15.5 «</w:t>
      </w:r>
      <w:r w:rsidRPr="009070BD">
        <w:rPr>
          <w:b w:val="0"/>
          <w:bCs/>
          <w:iCs/>
        </w:rPr>
        <w:t>ՀՀ</w:t>
      </w:r>
      <w:r w:rsidRPr="009070BD">
        <w:rPr>
          <w:b w:val="0"/>
          <w:bCs/>
          <w:iCs/>
          <w:lang w:val="fr-FR"/>
        </w:rPr>
        <w:t xml:space="preserve"> </w:t>
      </w:r>
      <w:r w:rsidRPr="009070BD">
        <w:rPr>
          <w:b w:val="0"/>
          <w:bCs/>
          <w:iCs/>
        </w:rPr>
        <w:t>մարզերին</w:t>
      </w:r>
      <w:r w:rsidRPr="009070BD">
        <w:rPr>
          <w:b w:val="0"/>
          <w:bCs/>
          <w:iCs/>
          <w:lang w:val="fr-FR"/>
        </w:rPr>
        <w:t xml:space="preserve"> </w:t>
      </w:r>
      <w:r w:rsidRPr="009070BD">
        <w:rPr>
          <w:b w:val="0"/>
          <w:bCs/>
          <w:iCs/>
        </w:rPr>
        <w:t>սուբվենցիաների</w:t>
      </w:r>
      <w:r w:rsidRPr="009070BD">
        <w:rPr>
          <w:b w:val="0"/>
          <w:bCs/>
          <w:iCs/>
          <w:lang w:val="fr-FR"/>
        </w:rPr>
        <w:t xml:space="preserve"> </w:t>
      </w:r>
      <w:r w:rsidRPr="009070BD">
        <w:rPr>
          <w:b w:val="0"/>
          <w:bCs/>
          <w:iCs/>
        </w:rPr>
        <w:t>տրամադրում՝</w:t>
      </w:r>
      <w:r w:rsidRPr="009070BD">
        <w:rPr>
          <w:b w:val="0"/>
          <w:bCs/>
          <w:iCs/>
          <w:lang w:val="fr-FR"/>
        </w:rPr>
        <w:t xml:space="preserve"> </w:t>
      </w:r>
      <w:r w:rsidRPr="009070BD">
        <w:rPr>
          <w:b w:val="0"/>
          <w:bCs/>
          <w:iCs/>
        </w:rPr>
        <w:t>ենթակառուցվածքների</w:t>
      </w:r>
      <w:r w:rsidRPr="009070BD">
        <w:rPr>
          <w:b w:val="0"/>
          <w:bCs/>
          <w:iCs/>
          <w:lang w:val="fr-FR"/>
        </w:rPr>
        <w:t xml:space="preserve"> </w:t>
      </w:r>
      <w:r w:rsidRPr="009070BD">
        <w:rPr>
          <w:b w:val="0"/>
          <w:bCs/>
          <w:iCs/>
        </w:rPr>
        <w:t>զարգացման</w:t>
      </w:r>
      <w:r w:rsidRPr="009070BD">
        <w:rPr>
          <w:b w:val="0"/>
          <w:bCs/>
          <w:iCs/>
          <w:lang w:val="fr-FR"/>
        </w:rPr>
        <w:t xml:space="preserve"> </w:t>
      </w:r>
      <w:r w:rsidRPr="009070BD">
        <w:rPr>
          <w:b w:val="0"/>
          <w:bCs/>
          <w:iCs/>
        </w:rPr>
        <w:t>նպատակով</w:t>
      </w:r>
      <w:r w:rsidRPr="009070BD">
        <w:rPr>
          <w:b w:val="0"/>
          <w:bCs/>
          <w:iCs/>
          <w:lang w:val="fr-FR"/>
        </w:rPr>
        <w:t xml:space="preserve">» </w:t>
      </w:r>
      <w:r w:rsidRPr="009070BD">
        <w:rPr>
          <w:b w:val="0"/>
          <w:bCs/>
          <w:iCs/>
        </w:rPr>
        <w:t>միջոցառման</w:t>
      </w:r>
      <w:r w:rsidRPr="009070BD">
        <w:rPr>
          <w:b w:val="0"/>
          <w:bCs/>
          <w:iCs/>
          <w:lang w:val="fr-FR"/>
        </w:rPr>
        <w:t xml:space="preserve"> </w:t>
      </w:r>
      <w:r w:rsidRPr="009070BD">
        <w:rPr>
          <w:b w:val="0"/>
          <w:bCs/>
          <w:iCs/>
        </w:rPr>
        <w:t>համար</w:t>
      </w:r>
      <w:r w:rsidRPr="009070BD">
        <w:rPr>
          <w:b w:val="0"/>
          <w:bCs/>
          <w:iCs/>
          <w:lang w:val="fr-FR"/>
        </w:rPr>
        <w:t xml:space="preserve"> </w:t>
      </w:r>
      <w:r w:rsidRPr="009070BD">
        <w:rPr>
          <w:b w:val="0"/>
          <w:bCs/>
          <w:iCs/>
        </w:rPr>
        <w:t>ՀՀ</w:t>
      </w:r>
      <w:r w:rsidRPr="009070BD">
        <w:rPr>
          <w:b w:val="0"/>
          <w:bCs/>
          <w:iCs/>
          <w:lang w:val="fr-FR"/>
        </w:rPr>
        <w:t xml:space="preserve"> 2021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բյուջեի</w:t>
      </w:r>
      <w:r w:rsidRPr="009070BD">
        <w:rPr>
          <w:b w:val="0"/>
          <w:bCs/>
          <w:iCs/>
          <w:lang w:val="fr-FR"/>
        </w:rPr>
        <w:t xml:space="preserve"> </w:t>
      </w:r>
      <w:r w:rsidRPr="009070BD">
        <w:rPr>
          <w:b w:val="0"/>
          <w:bCs/>
          <w:iCs/>
        </w:rPr>
        <w:t>նախագծով</w:t>
      </w:r>
      <w:r w:rsidRPr="009070BD">
        <w:rPr>
          <w:b w:val="0"/>
          <w:bCs/>
          <w:iCs/>
          <w:lang w:val="fr-FR"/>
        </w:rPr>
        <w:t xml:space="preserve"> </w:t>
      </w:r>
      <w:r w:rsidRPr="009070BD">
        <w:rPr>
          <w:b w:val="0"/>
          <w:bCs/>
          <w:iCs/>
        </w:rPr>
        <w:t>նախատեսվել</w:t>
      </w:r>
      <w:r w:rsidRPr="009070BD">
        <w:rPr>
          <w:b w:val="0"/>
          <w:bCs/>
          <w:iCs/>
          <w:lang w:val="fr-FR"/>
        </w:rPr>
        <w:t xml:space="preserve"> </w:t>
      </w:r>
      <w:r w:rsidRPr="009070BD">
        <w:rPr>
          <w:b w:val="0"/>
          <w:bCs/>
          <w:iCs/>
        </w:rPr>
        <w:t>է</w:t>
      </w:r>
      <w:r w:rsidRPr="009070BD">
        <w:rPr>
          <w:b w:val="0"/>
          <w:bCs/>
          <w:iCs/>
          <w:lang w:val="fr-FR"/>
        </w:rPr>
        <w:t xml:space="preserve"> 7000.0</w:t>
      </w:r>
      <w:r w:rsidRPr="009070BD">
        <w:rPr>
          <w:rFonts w:hint="eastAsia"/>
          <w:b w:val="0"/>
          <w:bCs/>
          <w:iCs/>
          <w:lang w:val="fr-FR"/>
        </w:rPr>
        <w:t xml:space="preserve"> </w:t>
      </w:r>
      <w:r w:rsidRPr="009070BD">
        <w:rPr>
          <w:b w:val="0"/>
          <w:bCs/>
          <w:iCs/>
        </w:rPr>
        <w:t>մլն</w:t>
      </w:r>
      <w:r w:rsidRPr="009070BD">
        <w:rPr>
          <w:b w:val="0"/>
          <w:bCs/>
          <w:iCs/>
          <w:lang w:val="fr-FR"/>
        </w:rPr>
        <w:t xml:space="preserve"> </w:t>
      </w:r>
      <w:r w:rsidRPr="009070BD">
        <w:rPr>
          <w:b w:val="0"/>
          <w:bCs/>
          <w:iCs/>
        </w:rPr>
        <w:t>դրամ</w:t>
      </w:r>
      <w:r w:rsidRPr="009070BD">
        <w:rPr>
          <w:b w:val="0"/>
          <w:bCs/>
          <w:iCs/>
          <w:lang w:val="en-US"/>
        </w:rPr>
        <w:t>՝</w:t>
      </w:r>
      <w:r w:rsidRPr="009070BD">
        <w:rPr>
          <w:b w:val="0"/>
          <w:bCs/>
          <w:iCs/>
          <w:lang w:val="fr-FR"/>
        </w:rPr>
        <w:t xml:space="preserve"> </w:t>
      </w:r>
      <w:r w:rsidRPr="009070BD">
        <w:rPr>
          <w:b w:val="0"/>
          <w:bCs/>
          <w:iCs/>
        </w:rPr>
        <w:t>ՀՀ</w:t>
      </w:r>
      <w:r w:rsidRPr="009070BD">
        <w:rPr>
          <w:b w:val="0"/>
          <w:bCs/>
          <w:iCs/>
          <w:lang w:val="fr-FR"/>
        </w:rPr>
        <w:t xml:space="preserve"> 2020 </w:t>
      </w:r>
      <w:r w:rsidRPr="009070BD">
        <w:rPr>
          <w:b w:val="0"/>
          <w:bCs/>
          <w:iCs/>
        </w:rPr>
        <w:t>թվականի</w:t>
      </w:r>
      <w:r w:rsidRPr="009070BD">
        <w:rPr>
          <w:b w:val="0"/>
          <w:bCs/>
          <w:iCs/>
          <w:lang w:val="fr-FR"/>
        </w:rPr>
        <w:t xml:space="preserve"> </w:t>
      </w:r>
      <w:r w:rsidRPr="009070BD">
        <w:rPr>
          <w:b w:val="0"/>
          <w:bCs/>
          <w:iCs/>
        </w:rPr>
        <w:t>պետական</w:t>
      </w:r>
      <w:r w:rsidRPr="009070BD">
        <w:rPr>
          <w:b w:val="0"/>
          <w:bCs/>
          <w:iCs/>
          <w:lang w:val="fr-FR"/>
        </w:rPr>
        <w:t xml:space="preserve"> </w:t>
      </w:r>
      <w:r w:rsidRPr="009070BD">
        <w:rPr>
          <w:b w:val="0"/>
          <w:bCs/>
          <w:iCs/>
        </w:rPr>
        <w:t>բյուջեով</w:t>
      </w:r>
      <w:r w:rsidRPr="009070BD">
        <w:rPr>
          <w:b w:val="0"/>
          <w:bCs/>
          <w:iCs/>
          <w:lang w:val="fr-FR"/>
        </w:rPr>
        <w:t xml:space="preserve"> </w:t>
      </w:r>
      <w:r w:rsidRPr="009070BD">
        <w:rPr>
          <w:b w:val="0"/>
          <w:bCs/>
          <w:iCs/>
        </w:rPr>
        <w:t>հաստատված</w:t>
      </w:r>
      <w:r w:rsidRPr="009070BD">
        <w:rPr>
          <w:b w:val="0"/>
          <w:bCs/>
          <w:iCs/>
          <w:lang w:val="fr-FR"/>
        </w:rPr>
        <w:t xml:space="preserve"> 10</w:t>
      </w:r>
      <w:r w:rsidRPr="009070BD">
        <w:rPr>
          <w:b w:val="0"/>
          <w:bCs/>
          <w:iCs/>
        </w:rPr>
        <w:t></w:t>
      </w:r>
      <w:r w:rsidRPr="009070BD">
        <w:rPr>
          <w:b w:val="0"/>
          <w:bCs/>
          <w:iCs/>
          <w:lang w:val="fr-FR"/>
        </w:rPr>
        <w:t xml:space="preserve">000.0 </w:t>
      </w:r>
      <w:r w:rsidRPr="009070BD">
        <w:rPr>
          <w:b w:val="0"/>
          <w:bCs/>
          <w:iCs/>
        </w:rPr>
        <w:t>մլն</w:t>
      </w:r>
      <w:r w:rsidRPr="009070BD">
        <w:rPr>
          <w:b w:val="0"/>
          <w:bCs/>
          <w:iCs/>
          <w:lang w:val="fr-FR"/>
        </w:rPr>
        <w:t xml:space="preserve"> </w:t>
      </w:r>
      <w:r w:rsidRPr="009070BD">
        <w:rPr>
          <w:b w:val="0"/>
          <w:bCs/>
          <w:iCs/>
        </w:rPr>
        <w:t>դրամի</w:t>
      </w:r>
      <w:r w:rsidRPr="009070BD">
        <w:rPr>
          <w:b w:val="0"/>
          <w:bCs/>
          <w:iCs/>
          <w:lang w:val="fr-FR"/>
        </w:rPr>
        <w:t xml:space="preserve"> </w:t>
      </w:r>
      <w:r w:rsidRPr="009070BD">
        <w:rPr>
          <w:b w:val="0"/>
          <w:bCs/>
          <w:iCs/>
        </w:rPr>
        <w:t>դիմաց</w:t>
      </w:r>
      <w:r w:rsidRPr="009070BD">
        <w:rPr>
          <w:b w:val="0"/>
          <w:bCs/>
          <w:iCs/>
          <w:lang w:val="fr-FR"/>
        </w:rPr>
        <w:t>:</w:t>
      </w:r>
    </w:p>
    <w:p w:rsidR="001971B9" w:rsidRPr="009070BD" w:rsidRDefault="001971B9" w:rsidP="007730AA">
      <w:pPr>
        <w:spacing w:before="0" w:line="276" w:lineRule="auto"/>
        <w:ind w:firstLine="720"/>
        <w:rPr>
          <w:b w:val="0"/>
          <w:bCs/>
          <w:iCs/>
          <w:lang w:val="fr-FR"/>
        </w:rPr>
      </w:pPr>
    </w:p>
    <w:p w:rsidR="001971B9" w:rsidRPr="009070BD" w:rsidRDefault="001971B9" w:rsidP="007730AA">
      <w:pPr>
        <w:spacing w:before="0" w:line="276" w:lineRule="auto"/>
        <w:ind w:firstLine="720"/>
        <w:rPr>
          <w:bCs/>
          <w:iCs/>
          <w:lang w:val="fr-FR"/>
        </w:rPr>
      </w:pPr>
      <w:r w:rsidRPr="009070BD">
        <w:rPr>
          <w:bCs/>
          <w:iCs/>
        </w:rPr>
        <w:t>Միաժամանակ</w:t>
      </w:r>
      <w:r w:rsidRPr="009070BD">
        <w:rPr>
          <w:bCs/>
          <w:iCs/>
          <w:lang w:val="fr-FR"/>
        </w:rPr>
        <w:t xml:space="preserve"> </w:t>
      </w:r>
      <w:r w:rsidRPr="009070BD">
        <w:rPr>
          <w:bCs/>
          <w:iCs/>
        </w:rPr>
        <w:t>ՀՀ</w:t>
      </w:r>
      <w:r w:rsidRPr="009070BD">
        <w:rPr>
          <w:bCs/>
          <w:iCs/>
          <w:lang w:val="fr-FR"/>
        </w:rPr>
        <w:t xml:space="preserve"> </w:t>
      </w:r>
      <w:r w:rsidRPr="009070BD">
        <w:rPr>
          <w:bCs/>
          <w:iCs/>
        </w:rPr>
        <w:t>տարածքային</w:t>
      </w:r>
      <w:r w:rsidRPr="009070BD">
        <w:rPr>
          <w:bCs/>
          <w:iCs/>
          <w:lang w:val="fr-FR"/>
        </w:rPr>
        <w:t xml:space="preserve"> </w:t>
      </w:r>
      <w:r w:rsidRPr="009070BD">
        <w:rPr>
          <w:bCs/>
          <w:iCs/>
        </w:rPr>
        <w:t>կառավարման</w:t>
      </w:r>
      <w:r w:rsidRPr="009070BD">
        <w:rPr>
          <w:bCs/>
          <w:iCs/>
          <w:lang w:val="fr-FR"/>
        </w:rPr>
        <w:t xml:space="preserve"> </w:t>
      </w:r>
      <w:r w:rsidRPr="009070BD">
        <w:rPr>
          <w:bCs/>
          <w:iCs/>
        </w:rPr>
        <w:t>և</w:t>
      </w:r>
      <w:r w:rsidRPr="009070BD">
        <w:rPr>
          <w:bCs/>
          <w:iCs/>
          <w:lang w:val="fr-FR"/>
        </w:rPr>
        <w:t xml:space="preserve"> </w:t>
      </w:r>
      <w:r w:rsidRPr="009070BD">
        <w:rPr>
          <w:bCs/>
          <w:iCs/>
        </w:rPr>
        <w:t>զարգացման</w:t>
      </w:r>
      <w:r w:rsidRPr="009070BD">
        <w:rPr>
          <w:bCs/>
          <w:iCs/>
          <w:lang w:val="fr-FR"/>
        </w:rPr>
        <w:t xml:space="preserve"> </w:t>
      </w:r>
      <w:r w:rsidRPr="009070BD">
        <w:rPr>
          <w:bCs/>
          <w:iCs/>
        </w:rPr>
        <w:t>նախարարության</w:t>
      </w:r>
      <w:r w:rsidRPr="009070BD">
        <w:rPr>
          <w:bCs/>
          <w:iCs/>
          <w:lang w:val="fr-FR"/>
        </w:rPr>
        <w:t xml:space="preserve"> </w:t>
      </w:r>
      <w:r w:rsidRPr="009070BD">
        <w:rPr>
          <w:bCs/>
          <w:iCs/>
        </w:rPr>
        <w:t>գծով</w:t>
      </w:r>
      <w:r w:rsidRPr="009070BD">
        <w:rPr>
          <w:bCs/>
          <w:iCs/>
          <w:lang w:val="fr-FR"/>
        </w:rPr>
        <w:t xml:space="preserve"> </w:t>
      </w:r>
      <w:r w:rsidRPr="009070BD">
        <w:rPr>
          <w:bCs/>
          <w:iCs/>
        </w:rPr>
        <w:t>նախատեսվում</w:t>
      </w:r>
      <w:r w:rsidRPr="009070BD">
        <w:rPr>
          <w:bCs/>
          <w:iCs/>
          <w:lang w:val="fr-FR"/>
        </w:rPr>
        <w:t xml:space="preserve"> </w:t>
      </w:r>
      <w:r w:rsidRPr="009070BD">
        <w:rPr>
          <w:bCs/>
          <w:iCs/>
        </w:rPr>
        <w:t>են</w:t>
      </w:r>
      <w:r w:rsidRPr="009070BD">
        <w:rPr>
          <w:bCs/>
          <w:iCs/>
          <w:lang w:val="fr-FR"/>
        </w:rPr>
        <w:t xml:space="preserve"> </w:t>
      </w:r>
      <w:r w:rsidRPr="009070BD">
        <w:rPr>
          <w:bCs/>
          <w:iCs/>
        </w:rPr>
        <w:t>շարունակել</w:t>
      </w:r>
      <w:r w:rsidRPr="009070BD">
        <w:rPr>
          <w:bCs/>
          <w:iCs/>
          <w:lang w:val="fr-FR"/>
        </w:rPr>
        <w:t xml:space="preserve"> </w:t>
      </w:r>
      <w:r w:rsidRPr="009070BD">
        <w:rPr>
          <w:bCs/>
          <w:iCs/>
        </w:rPr>
        <w:t>և</w:t>
      </w:r>
      <w:r w:rsidRPr="009070BD">
        <w:rPr>
          <w:bCs/>
          <w:iCs/>
          <w:lang w:val="fr-FR"/>
        </w:rPr>
        <w:t xml:space="preserve"> </w:t>
      </w:r>
      <w:r w:rsidRPr="009070BD">
        <w:rPr>
          <w:bCs/>
          <w:iCs/>
        </w:rPr>
        <w:t>իրականացնել</w:t>
      </w:r>
      <w:r w:rsidRPr="009070BD">
        <w:rPr>
          <w:bCs/>
          <w:iCs/>
          <w:lang w:val="fr-FR"/>
        </w:rPr>
        <w:t xml:space="preserve"> </w:t>
      </w:r>
      <w:r w:rsidRPr="009070BD">
        <w:rPr>
          <w:bCs/>
          <w:iCs/>
        </w:rPr>
        <w:t>արտաքին</w:t>
      </w:r>
      <w:r w:rsidRPr="009070BD">
        <w:rPr>
          <w:bCs/>
          <w:iCs/>
          <w:lang w:val="fr-FR"/>
        </w:rPr>
        <w:t xml:space="preserve"> </w:t>
      </w:r>
      <w:r w:rsidRPr="009070BD">
        <w:rPr>
          <w:bCs/>
          <w:iCs/>
        </w:rPr>
        <w:t>աղբյուրներից</w:t>
      </w:r>
      <w:r w:rsidRPr="009070BD">
        <w:rPr>
          <w:bCs/>
          <w:iCs/>
          <w:lang w:val="fr-FR"/>
        </w:rPr>
        <w:t xml:space="preserve"> </w:t>
      </w:r>
      <w:r w:rsidRPr="009070BD">
        <w:rPr>
          <w:bCs/>
          <w:iCs/>
        </w:rPr>
        <w:t>ստացվող</w:t>
      </w:r>
      <w:r w:rsidRPr="009070BD">
        <w:rPr>
          <w:bCs/>
          <w:iCs/>
          <w:lang w:val="fr-FR"/>
        </w:rPr>
        <w:t xml:space="preserve"> </w:t>
      </w:r>
      <w:r w:rsidRPr="009070BD">
        <w:rPr>
          <w:bCs/>
          <w:iCs/>
        </w:rPr>
        <w:t>նպատակային</w:t>
      </w:r>
      <w:r w:rsidRPr="009070BD">
        <w:rPr>
          <w:bCs/>
          <w:iCs/>
          <w:lang w:val="fr-FR"/>
        </w:rPr>
        <w:t xml:space="preserve"> </w:t>
      </w:r>
      <w:r w:rsidRPr="009070BD">
        <w:rPr>
          <w:bCs/>
          <w:iCs/>
        </w:rPr>
        <w:t>վարկային</w:t>
      </w:r>
      <w:r w:rsidRPr="009070BD">
        <w:rPr>
          <w:bCs/>
          <w:iCs/>
          <w:lang w:val="fr-FR"/>
        </w:rPr>
        <w:t xml:space="preserve"> </w:t>
      </w:r>
      <w:r w:rsidRPr="009070BD">
        <w:rPr>
          <w:bCs/>
          <w:iCs/>
        </w:rPr>
        <w:t>և</w:t>
      </w:r>
      <w:r w:rsidRPr="009070BD">
        <w:rPr>
          <w:bCs/>
          <w:iCs/>
          <w:lang w:val="fr-FR"/>
        </w:rPr>
        <w:t xml:space="preserve"> </w:t>
      </w:r>
      <w:r w:rsidRPr="009070BD">
        <w:rPr>
          <w:bCs/>
          <w:iCs/>
        </w:rPr>
        <w:t>դրամաշնորհային</w:t>
      </w:r>
      <w:r w:rsidRPr="009070BD">
        <w:rPr>
          <w:bCs/>
          <w:iCs/>
          <w:lang w:val="fr-FR"/>
        </w:rPr>
        <w:t xml:space="preserve"> </w:t>
      </w:r>
      <w:r w:rsidRPr="009070BD">
        <w:rPr>
          <w:bCs/>
          <w:iCs/>
        </w:rPr>
        <w:t>միջոցներով</w:t>
      </w:r>
      <w:r w:rsidRPr="009070BD">
        <w:rPr>
          <w:bCs/>
          <w:iCs/>
          <w:lang w:val="fr-FR"/>
        </w:rPr>
        <w:t xml:space="preserve"> </w:t>
      </w:r>
      <w:r w:rsidRPr="009070BD">
        <w:rPr>
          <w:bCs/>
          <w:iCs/>
        </w:rPr>
        <w:t>հետևյալ</w:t>
      </w:r>
      <w:r w:rsidRPr="009070BD">
        <w:rPr>
          <w:bCs/>
          <w:iCs/>
          <w:lang w:val="fr-FR"/>
        </w:rPr>
        <w:t xml:space="preserve"> </w:t>
      </w:r>
      <w:r w:rsidRPr="009070BD">
        <w:rPr>
          <w:bCs/>
          <w:iCs/>
        </w:rPr>
        <w:t>ծրագրերը</w:t>
      </w:r>
      <w:r w:rsidRPr="009070BD">
        <w:rPr>
          <w:bCs/>
          <w:iCs/>
          <w:lang w:val="fr-FR"/>
        </w:rPr>
        <w:t>.</w:t>
      </w:r>
    </w:p>
    <w:p w:rsidR="001971B9" w:rsidRPr="009070BD" w:rsidRDefault="001971B9" w:rsidP="007730AA">
      <w:pPr>
        <w:spacing w:before="0" w:line="276" w:lineRule="auto"/>
        <w:ind w:firstLine="720"/>
        <w:rPr>
          <w:b w:val="0"/>
          <w:bCs/>
          <w:iCs/>
          <w:lang w:val="af-ZA"/>
        </w:rPr>
      </w:pPr>
      <w:r w:rsidRPr="009070BD">
        <w:rPr>
          <w:b w:val="0"/>
          <w:bCs/>
          <w:iCs/>
          <w:lang w:val="hy-AM"/>
        </w:rPr>
        <w:t xml:space="preserve">1. </w:t>
      </w:r>
      <w:r w:rsidRPr="009070BD">
        <w:rPr>
          <w:b w:val="0"/>
          <w:bCs/>
          <w:iCs/>
          <w:lang w:val="af-ZA"/>
        </w:rPr>
        <w:t>Վերակառուցման և զարգացման միջազգային բանկի իրականացվող Էլեկտրամատակարարման հուսալիության ծրագրի լրացուցիչ ֆինանսավորման ծրագիր, որի շրջանակներում վերակառուցվում են «Հաղթանակ» 220 կՎ, «Չարենցավան-3» և «Վանաձոր-1» 110 կՎ ենթակայանները, ինչպես նաև նախատեսվում է ծրագրի շրջանակներում տնտեսված միջոցների հաշվին վերակառուցել 40 և ավելի տարիներ շահագործման մեջ գտնվող 220/110/10 կՎ «Զովունի» ենթակայանը, որի իրականացման արդյունքում կբարձրանա ենթակայանների, ինչպես նաև էներգահամակարգի անվտանգությունը և աշխատանքի հուսալիությունը՝ 202</w:t>
      </w:r>
      <w:r w:rsidRPr="009070BD">
        <w:rPr>
          <w:b w:val="0"/>
          <w:bCs/>
          <w:iCs/>
          <w:lang w:val="hy-AM"/>
        </w:rPr>
        <w:t>1</w:t>
      </w:r>
      <w:r w:rsidRPr="009070BD">
        <w:rPr>
          <w:b w:val="0"/>
          <w:bCs/>
          <w:iCs/>
          <w:lang w:val="af-ZA"/>
        </w:rPr>
        <w:t>թ-ին նախատեսվում է 3,</w:t>
      </w:r>
      <w:r w:rsidR="00EF6605" w:rsidRPr="00EF6605">
        <w:rPr>
          <w:b w:val="0"/>
          <w:bCs/>
          <w:iCs/>
          <w:lang w:val="fr-FR"/>
        </w:rPr>
        <w:t>749.</w:t>
      </w:r>
      <w:r w:rsidR="00EF6605">
        <w:rPr>
          <w:b w:val="0"/>
          <w:bCs/>
          <w:iCs/>
          <w:lang w:val="fr-FR"/>
        </w:rPr>
        <w:t>8</w:t>
      </w:r>
      <w:r w:rsidRPr="009070BD">
        <w:rPr>
          <w:b w:val="0"/>
          <w:bCs/>
          <w:iCs/>
          <w:lang w:val="af-ZA"/>
        </w:rPr>
        <w:t xml:space="preserve"> մլն դրամ, այդ թվում վարկային միջոցներ` </w:t>
      </w:r>
      <w:r w:rsidRPr="009070BD">
        <w:rPr>
          <w:b w:val="0"/>
          <w:bCs/>
          <w:iCs/>
          <w:lang w:val="hy-AM"/>
        </w:rPr>
        <w:t>2,9</w:t>
      </w:r>
      <w:r w:rsidR="00EF6605" w:rsidRPr="00EF6605">
        <w:rPr>
          <w:b w:val="0"/>
          <w:bCs/>
          <w:iCs/>
          <w:lang w:val="fr-FR"/>
        </w:rPr>
        <w:t>99.</w:t>
      </w:r>
      <w:r w:rsidR="00EF6605">
        <w:rPr>
          <w:b w:val="0"/>
          <w:bCs/>
          <w:iCs/>
          <w:lang w:val="fr-FR"/>
        </w:rPr>
        <w:t>8</w:t>
      </w:r>
      <w:r w:rsidRPr="009070BD">
        <w:rPr>
          <w:b w:val="0"/>
          <w:bCs/>
          <w:iCs/>
          <w:lang w:val="af-ZA"/>
        </w:rPr>
        <w:t xml:space="preserve"> մլն դրամ, ՀՀ համաֆինանսավորում` </w:t>
      </w:r>
      <w:r w:rsidRPr="009070BD">
        <w:rPr>
          <w:b w:val="0"/>
          <w:bCs/>
          <w:iCs/>
          <w:lang w:val="hy-AM"/>
        </w:rPr>
        <w:t>7</w:t>
      </w:r>
      <w:r w:rsidR="00EF6605" w:rsidRPr="00EF6605">
        <w:rPr>
          <w:b w:val="0"/>
          <w:bCs/>
          <w:iCs/>
          <w:lang w:val="fr-FR"/>
        </w:rPr>
        <w:t>49.</w:t>
      </w:r>
      <w:r w:rsidR="00EF6605">
        <w:rPr>
          <w:b w:val="0"/>
          <w:bCs/>
          <w:iCs/>
          <w:lang w:val="fr-FR"/>
        </w:rPr>
        <w:t>9</w:t>
      </w:r>
      <w:r w:rsidRPr="009070BD">
        <w:rPr>
          <w:b w:val="0"/>
          <w:bCs/>
          <w:iCs/>
          <w:lang w:val="af-ZA"/>
        </w:rPr>
        <w:t xml:space="preserve"> մլն դրամ:</w:t>
      </w:r>
    </w:p>
    <w:p w:rsidR="001971B9" w:rsidRPr="009070BD" w:rsidRDefault="001971B9" w:rsidP="007730AA">
      <w:pPr>
        <w:spacing w:before="0" w:line="276" w:lineRule="auto"/>
        <w:ind w:firstLine="720"/>
        <w:rPr>
          <w:b w:val="0"/>
          <w:bCs/>
          <w:iCs/>
          <w:lang w:val="af-ZA"/>
        </w:rPr>
      </w:pPr>
      <w:r w:rsidRPr="009070BD">
        <w:rPr>
          <w:b w:val="0"/>
          <w:bCs/>
          <w:iCs/>
          <w:lang w:val="hy-AM"/>
        </w:rPr>
        <w:t xml:space="preserve">2. </w:t>
      </w:r>
      <w:r w:rsidRPr="009070BD">
        <w:rPr>
          <w:b w:val="0"/>
          <w:bCs/>
          <w:iCs/>
          <w:lang w:val="af-ZA"/>
        </w:rPr>
        <w:t>Վերակառուցման և զարգացման միջազգային բանկի (ՀԲ) աջակցությամբ իրականացվող էլեկտրաէներգետիկական ոլորտի ֆինանսական առողջացման ծրագիր, որի նպատակն է աջակցել Հայաստանում էլեկտրաէներգիայի մատակարարման համարժեքության և հուսալիության պահպանման ջանքերին` էլեկտրաէներգիա արտադրող/բաշխող ընկերությունների (Երևանի ՋԷԿ, ՀԱԷԿ ՓԲԸ) ֆինանսական վիճակը բարելավելու միջոցով: Ծրագրով նախատեսված միջոցառումների իրականացումը կնպաստի էներգետիկայի ոլորտի ընկերությունների ֆինանսական վիճակի բարելավմանը՝ 202</w:t>
      </w:r>
      <w:r w:rsidRPr="009070BD">
        <w:rPr>
          <w:b w:val="0"/>
          <w:bCs/>
          <w:iCs/>
          <w:lang w:val="hy-AM"/>
        </w:rPr>
        <w:t>1</w:t>
      </w:r>
      <w:r w:rsidRPr="009070BD">
        <w:rPr>
          <w:b w:val="0"/>
          <w:bCs/>
          <w:iCs/>
          <w:lang w:val="af-ZA"/>
        </w:rPr>
        <w:t xml:space="preserve">թ-ին նախատեսվում է </w:t>
      </w:r>
      <w:r w:rsidRPr="009070BD">
        <w:rPr>
          <w:b w:val="0"/>
          <w:bCs/>
          <w:iCs/>
          <w:lang w:val="hy-AM"/>
        </w:rPr>
        <w:t>6</w:t>
      </w:r>
      <w:r w:rsidR="00EF6605" w:rsidRPr="00EF6605">
        <w:rPr>
          <w:b w:val="0"/>
          <w:bCs/>
          <w:iCs/>
          <w:lang w:val="af-ZA"/>
        </w:rPr>
        <w:t>42.</w:t>
      </w:r>
      <w:r w:rsidR="00EF6605">
        <w:rPr>
          <w:b w:val="0"/>
          <w:bCs/>
          <w:iCs/>
          <w:lang w:val="af-ZA"/>
        </w:rPr>
        <w:t>1</w:t>
      </w:r>
      <w:r w:rsidRPr="009070BD">
        <w:rPr>
          <w:b w:val="0"/>
          <w:bCs/>
          <w:iCs/>
          <w:lang w:val="af-ZA"/>
        </w:rPr>
        <w:t xml:space="preserve"> մլն դրամ վարկային միջոցներ:</w:t>
      </w:r>
    </w:p>
    <w:p w:rsidR="001971B9" w:rsidRPr="009070BD" w:rsidRDefault="001971B9" w:rsidP="007730AA">
      <w:pPr>
        <w:spacing w:before="0" w:line="276" w:lineRule="auto"/>
        <w:ind w:firstLine="720"/>
        <w:rPr>
          <w:b w:val="0"/>
          <w:bCs/>
          <w:iCs/>
          <w:lang w:val="af-ZA"/>
        </w:rPr>
      </w:pPr>
      <w:r w:rsidRPr="009070BD">
        <w:rPr>
          <w:b w:val="0"/>
          <w:bCs/>
          <w:iCs/>
          <w:lang w:val="hy-AM"/>
        </w:rPr>
        <w:t xml:space="preserve">3. </w:t>
      </w:r>
      <w:r w:rsidRPr="009070BD">
        <w:rPr>
          <w:b w:val="0"/>
          <w:bCs/>
          <w:iCs/>
          <w:lang w:val="af-ZA"/>
        </w:rPr>
        <w:t>Ասիական զարգացման բանկի աջակցությամբ իրականացվող Էլեկտրաէներգիայի հաղորդման ցանցի վերակառուցման շրջանակներում կարգավորման կառավարման ավտոմատացված համակարգի (SCADA) ընդլայնման ծրագիր, որի շրջանակներում նախատեսվում է արդիականացնել SCADA համակարգը, զգալիորեն ավելացնել համակարգից օգտվողների քանակը, ստեղծել հարևան երկրների տվյալների միջսերվերային փոխանակման հնարավորություն, ինչպես նաև նախատեսվում է կառուցել էլեկտրաէներգետիկ համակարգի պահուստային կառավարման կենտրոն, որը կապահովի առաջնային կարգավարական կենտրոնի բնական աղետների, պատերազմական իրավիճակների կամ տեխնիկական պատճառներով խափանվելու դեպքում էլեկտրաէներգետիկական համակարգի վերահսկողությունն ու շարունակական կառավարումը՝ 202</w:t>
      </w:r>
      <w:r w:rsidRPr="009070BD">
        <w:rPr>
          <w:b w:val="0"/>
          <w:bCs/>
          <w:iCs/>
          <w:lang w:val="hy-AM"/>
        </w:rPr>
        <w:t>1</w:t>
      </w:r>
      <w:r w:rsidRPr="009070BD">
        <w:rPr>
          <w:b w:val="0"/>
          <w:bCs/>
          <w:iCs/>
          <w:lang w:val="af-ZA"/>
        </w:rPr>
        <w:t xml:space="preserve">թ-ին նախատեսվում է </w:t>
      </w:r>
      <w:r w:rsidR="00EF6605" w:rsidRPr="00EF6605">
        <w:rPr>
          <w:b w:val="0"/>
          <w:bCs/>
          <w:iCs/>
          <w:lang w:val="af-ZA"/>
        </w:rPr>
        <w:t xml:space="preserve">521.1 </w:t>
      </w:r>
      <w:r w:rsidRPr="009070BD">
        <w:rPr>
          <w:b w:val="0"/>
          <w:bCs/>
          <w:iCs/>
          <w:lang w:val="af-ZA"/>
        </w:rPr>
        <w:t xml:space="preserve">մլն դրամ, այդ թվում վարկային միջոցներ` </w:t>
      </w:r>
      <w:r w:rsidR="00EF6605" w:rsidRPr="00EF6605">
        <w:rPr>
          <w:b w:val="0"/>
          <w:bCs/>
          <w:iCs/>
          <w:lang w:val="af-ZA"/>
        </w:rPr>
        <w:t>457.</w:t>
      </w:r>
      <w:r w:rsidR="00EF6605">
        <w:rPr>
          <w:b w:val="0"/>
          <w:bCs/>
          <w:iCs/>
          <w:lang w:val="af-ZA"/>
        </w:rPr>
        <w:t>4</w:t>
      </w:r>
      <w:r w:rsidRPr="009070BD">
        <w:rPr>
          <w:b w:val="0"/>
          <w:bCs/>
          <w:iCs/>
          <w:lang w:val="af-ZA"/>
        </w:rPr>
        <w:t xml:space="preserve"> մլն դրամ, ՀՀ համաֆինանսավորում` </w:t>
      </w:r>
      <w:r w:rsidR="00EF6605" w:rsidRPr="00EF6605">
        <w:rPr>
          <w:b w:val="0"/>
          <w:bCs/>
          <w:iCs/>
          <w:lang w:val="af-ZA"/>
        </w:rPr>
        <w:t>63.</w:t>
      </w:r>
      <w:r w:rsidR="00EF6605">
        <w:rPr>
          <w:b w:val="0"/>
          <w:bCs/>
          <w:iCs/>
          <w:lang w:val="af-ZA"/>
        </w:rPr>
        <w:t>7</w:t>
      </w:r>
      <w:r w:rsidRPr="009070BD">
        <w:rPr>
          <w:b w:val="0"/>
          <w:bCs/>
          <w:iCs/>
          <w:lang w:val="af-ZA"/>
        </w:rPr>
        <w:t xml:space="preserve"> մլն դրամ:</w:t>
      </w:r>
    </w:p>
    <w:p w:rsidR="001971B9" w:rsidRPr="009070BD" w:rsidRDefault="001971B9" w:rsidP="007730AA">
      <w:pPr>
        <w:spacing w:before="0" w:line="276" w:lineRule="auto"/>
        <w:ind w:firstLine="720"/>
        <w:rPr>
          <w:b w:val="0"/>
          <w:bCs/>
          <w:iCs/>
          <w:lang w:val="af-ZA"/>
        </w:rPr>
      </w:pPr>
      <w:r w:rsidRPr="009070BD">
        <w:rPr>
          <w:b w:val="0"/>
          <w:bCs/>
          <w:iCs/>
          <w:lang w:val="hy-AM"/>
        </w:rPr>
        <w:t xml:space="preserve">4. </w:t>
      </w:r>
      <w:r w:rsidRPr="009070BD">
        <w:rPr>
          <w:b w:val="0"/>
          <w:bCs/>
          <w:iCs/>
          <w:lang w:val="af-ZA"/>
        </w:rPr>
        <w:t>Վերակառուցման և զարգացման միջազգային բանկի աջակցությամբ իրականացվող Էլեկտրահաղորդման ցանցի բարելավման շրջանակներում «Աշնակ» ենթակայանի վերակառուցման և էլեկտրաէներգետիկական համակարգի կառավարման բարելավման ծրագիր, որի շրջանակներում վերակառուցվում է «Աշնակ» 220 կՎ ենթակայանը, ինչպես նաև նախատեսվում է տնտեսված միջոցների հաշվին վերակառուցել 220/110/6 կՎ «Արարատ-2» ենթակայանը, որոնց իրականացման արդյունքում կբարձրանա ենթակայանների, ինչպես նաև էներգահամակարգի անվտանգությունը և աշխատանքի հուսալիությունը՝ 202</w:t>
      </w:r>
      <w:r w:rsidRPr="009070BD">
        <w:rPr>
          <w:b w:val="0"/>
          <w:bCs/>
          <w:iCs/>
          <w:lang w:val="hy-AM"/>
        </w:rPr>
        <w:t>1</w:t>
      </w:r>
      <w:r w:rsidRPr="009070BD">
        <w:rPr>
          <w:b w:val="0"/>
          <w:bCs/>
          <w:iCs/>
          <w:lang w:val="af-ZA"/>
        </w:rPr>
        <w:t xml:space="preserve">թ-ին նախատեսվում է </w:t>
      </w:r>
      <w:r w:rsidR="00EF6605" w:rsidRPr="00EF6605">
        <w:rPr>
          <w:b w:val="0"/>
          <w:bCs/>
          <w:iCs/>
          <w:lang w:val="af-ZA"/>
        </w:rPr>
        <w:t>3,995.</w:t>
      </w:r>
      <w:r w:rsidR="00EF6605">
        <w:rPr>
          <w:b w:val="0"/>
          <w:bCs/>
          <w:iCs/>
          <w:lang w:val="af-ZA"/>
        </w:rPr>
        <w:t>7</w:t>
      </w:r>
      <w:r w:rsidRPr="009070BD">
        <w:rPr>
          <w:b w:val="0"/>
          <w:bCs/>
          <w:iCs/>
          <w:lang w:val="af-ZA"/>
        </w:rPr>
        <w:t xml:space="preserve"> մլն դրամ, այդ թվում վարկային միջոցներ` </w:t>
      </w:r>
      <w:r w:rsidR="00EF6605">
        <w:rPr>
          <w:b w:val="0"/>
          <w:bCs/>
          <w:iCs/>
          <w:lang w:val="af-ZA"/>
        </w:rPr>
        <w:t>3,196.5</w:t>
      </w:r>
      <w:r w:rsidRPr="009070BD">
        <w:rPr>
          <w:b w:val="0"/>
          <w:bCs/>
          <w:iCs/>
          <w:lang w:val="af-ZA"/>
        </w:rPr>
        <w:t xml:space="preserve"> մլն դրամ, ՀՀ համաֆինանսավորում` </w:t>
      </w:r>
      <w:r w:rsidR="00EF6605" w:rsidRPr="00EF6605">
        <w:rPr>
          <w:b w:val="0"/>
          <w:bCs/>
          <w:iCs/>
          <w:lang w:val="af-ZA"/>
        </w:rPr>
        <w:t>799.</w:t>
      </w:r>
      <w:r w:rsidR="00EF6605">
        <w:rPr>
          <w:b w:val="0"/>
          <w:bCs/>
          <w:iCs/>
          <w:lang w:val="af-ZA"/>
        </w:rPr>
        <w:t>2</w:t>
      </w:r>
      <w:r w:rsidRPr="009070BD">
        <w:rPr>
          <w:b w:val="0"/>
          <w:bCs/>
          <w:iCs/>
          <w:lang w:val="af-ZA"/>
        </w:rPr>
        <w:t xml:space="preserve"> մլն դրամ:</w:t>
      </w:r>
    </w:p>
    <w:p w:rsidR="001971B9" w:rsidRPr="009070BD" w:rsidRDefault="001971B9" w:rsidP="007730AA">
      <w:pPr>
        <w:spacing w:before="0" w:line="276" w:lineRule="auto"/>
        <w:ind w:firstLine="720"/>
        <w:rPr>
          <w:b w:val="0"/>
          <w:bCs/>
          <w:iCs/>
          <w:lang w:val="af-ZA"/>
        </w:rPr>
      </w:pPr>
      <w:r w:rsidRPr="009070BD">
        <w:rPr>
          <w:b w:val="0"/>
          <w:bCs/>
          <w:iCs/>
          <w:lang w:val="hy-AM"/>
        </w:rPr>
        <w:t>5. Գերմանիայի զարգացման վարկերի բանկի աջակցությամբ իրականացվող «Կովկասյան էլեկտրահաղորդման ցանց 1» Հայաստան-Վրաստան հաղորդիչ գիծ/ենթակայանների վարկային ծրագիր, որի նպատակն է միացնել</w:t>
      </w:r>
      <w:r w:rsidRPr="009070BD">
        <w:rPr>
          <w:b w:val="0"/>
          <w:bCs/>
          <w:iCs/>
          <w:lang w:val="af-ZA"/>
        </w:rPr>
        <w:t xml:space="preserve"> </w:t>
      </w:r>
      <w:r w:rsidRPr="009070BD">
        <w:rPr>
          <w:b w:val="0"/>
          <w:bCs/>
          <w:iCs/>
          <w:lang w:val="hy-AM"/>
        </w:rPr>
        <w:t>հայկական</w:t>
      </w:r>
      <w:r w:rsidRPr="009070BD">
        <w:rPr>
          <w:b w:val="0"/>
          <w:bCs/>
          <w:iCs/>
          <w:lang w:val="af-ZA"/>
        </w:rPr>
        <w:t xml:space="preserve"> </w:t>
      </w:r>
      <w:r w:rsidRPr="009070BD">
        <w:rPr>
          <w:b w:val="0"/>
          <w:bCs/>
          <w:iCs/>
          <w:lang w:val="hy-AM"/>
        </w:rPr>
        <w:t>և</w:t>
      </w:r>
      <w:r w:rsidRPr="009070BD">
        <w:rPr>
          <w:b w:val="0"/>
          <w:bCs/>
          <w:iCs/>
          <w:lang w:val="af-ZA"/>
        </w:rPr>
        <w:t xml:space="preserve"> </w:t>
      </w:r>
      <w:r w:rsidRPr="009070BD">
        <w:rPr>
          <w:b w:val="0"/>
          <w:bCs/>
          <w:iCs/>
          <w:lang w:val="hy-AM"/>
        </w:rPr>
        <w:t>վրացական</w:t>
      </w:r>
      <w:r w:rsidRPr="009070BD">
        <w:rPr>
          <w:b w:val="0"/>
          <w:bCs/>
          <w:iCs/>
          <w:lang w:val="af-ZA"/>
        </w:rPr>
        <w:t xml:space="preserve"> </w:t>
      </w:r>
      <w:r w:rsidRPr="009070BD">
        <w:rPr>
          <w:b w:val="0"/>
          <w:bCs/>
          <w:iCs/>
          <w:lang w:val="hy-AM"/>
        </w:rPr>
        <w:t>էներգահամակարգերը</w:t>
      </w:r>
      <w:r w:rsidRPr="009070BD">
        <w:rPr>
          <w:b w:val="0"/>
          <w:bCs/>
          <w:iCs/>
          <w:lang w:val="af-ZA"/>
        </w:rPr>
        <w:t xml:space="preserve">` </w:t>
      </w:r>
      <w:r w:rsidRPr="009070BD">
        <w:rPr>
          <w:b w:val="0"/>
          <w:bCs/>
          <w:iCs/>
          <w:lang w:val="hy-AM"/>
        </w:rPr>
        <w:t>վրացական</w:t>
      </w:r>
      <w:r w:rsidRPr="009070BD">
        <w:rPr>
          <w:b w:val="0"/>
          <w:bCs/>
          <w:iCs/>
          <w:lang w:val="af-ZA"/>
        </w:rPr>
        <w:t xml:space="preserve"> </w:t>
      </w:r>
      <w:r w:rsidRPr="009070BD">
        <w:rPr>
          <w:b w:val="0"/>
          <w:bCs/>
          <w:iCs/>
          <w:lang w:val="hy-AM"/>
        </w:rPr>
        <w:t>սահմանին</w:t>
      </w:r>
      <w:r w:rsidRPr="009070BD">
        <w:rPr>
          <w:b w:val="0"/>
          <w:bCs/>
          <w:iCs/>
          <w:lang w:val="af-ZA"/>
        </w:rPr>
        <w:t xml:space="preserve"> </w:t>
      </w:r>
      <w:r w:rsidRPr="009070BD">
        <w:rPr>
          <w:b w:val="0"/>
          <w:bCs/>
          <w:iCs/>
          <w:lang w:val="hy-AM"/>
        </w:rPr>
        <w:t>մոտ</w:t>
      </w:r>
      <w:r w:rsidRPr="009070BD">
        <w:rPr>
          <w:b w:val="0"/>
          <w:bCs/>
          <w:iCs/>
          <w:lang w:val="af-ZA"/>
        </w:rPr>
        <w:t xml:space="preserve">` </w:t>
      </w:r>
      <w:r w:rsidRPr="009070BD">
        <w:rPr>
          <w:b w:val="0"/>
          <w:bCs/>
          <w:iCs/>
          <w:lang w:val="hy-AM"/>
        </w:rPr>
        <w:t>Այրումում</w:t>
      </w:r>
      <w:r w:rsidRPr="009070BD">
        <w:rPr>
          <w:b w:val="0"/>
          <w:bCs/>
          <w:iCs/>
          <w:lang w:val="af-ZA"/>
        </w:rPr>
        <w:t xml:space="preserve"> (</w:t>
      </w:r>
      <w:r w:rsidRPr="009070BD">
        <w:rPr>
          <w:b w:val="0"/>
          <w:bCs/>
          <w:iCs/>
          <w:lang w:val="hy-AM"/>
        </w:rPr>
        <w:t>Հայաստան</w:t>
      </w:r>
      <w:r w:rsidRPr="009070BD">
        <w:rPr>
          <w:b w:val="0"/>
          <w:bCs/>
          <w:iCs/>
          <w:lang w:val="af-ZA"/>
        </w:rPr>
        <w:t xml:space="preserve">) </w:t>
      </w:r>
      <w:r w:rsidRPr="009070BD">
        <w:rPr>
          <w:b w:val="0"/>
          <w:bCs/>
          <w:iCs/>
          <w:lang w:val="hy-AM"/>
        </w:rPr>
        <w:t>տեղակայվող</w:t>
      </w:r>
      <w:r w:rsidRPr="009070BD">
        <w:rPr>
          <w:b w:val="0"/>
          <w:bCs/>
          <w:iCs/>
          <w:lang w:val="af-ZA"/>
        </w:rPr>
        <w:t xml:space="preserve"> 500/400/220 </w:t>
      </w:r>
      <w:r w:rsidRPr="009070BD">
        <w:rPr>
          <w:b w:val="0"/>
          <w:bCs/>
          <w:iCs/>
          <w:lang w:val="hy-AM"/>
        </w:rPr>
        <w:t>կՎ</w:t>
      </w:r>
      <w:r w:rsidRPr="009070BD">
        <w:rPr>
          <w:b w:val="0"/>
          <w:bCs/>
          <w:iCs/>
          <w:lang w:val="af-ZA"/>
        </w:rPr>
        <w:t xml:space="preserve"> </w:t>
      </w:r>
      <w:r w:rsidRPr="009070BD">
        <w:rPr>
          <w:b w:val="0"/>
          <w:bCs/>
          <w:iCs/>
          <w:lang w:val="hy-AM"/>
        </w:rPr>
        <w:t>բարձր</w:t>
      </w:r>
      <w:r w:rsidRPr="009070BD">
        <w:rPr>
          <w:b w:val="0"/>
          <w:bCs/>
          <w:iCs/>
          <w:lang w:val="af-ZA"/>
        </w:rPr>
        <w:t xml:space="preserve"> </w:t>
      </w:r>
      <w:r w:rsidRPr="009070BD">
        <w:rPr>
          <w:b w:val="0"/>
          <w:bCs/>
          <w:iCs/>
          <w:lang w:val="hy-AM"/>
        </w:rPr>
        <w:t>լարման</w:t>
      </w:r>
      <w:r w:rsidRPr="009070BD">
        <w:rPr>
          <w:b w:val="0"/>
          <w:bCs/>
          <w:iCs/>
          <w:lang w:val="af-ZA"/>
        </w:rPr>
        <w:t xml:space="preserve"> </w:t>
      </w:r>
      <w:r w:rsidRPr="009070BD">
        <w:rPr>
          <w:b w:val="0"/>
          <w:bCs/>
          <w:iCs/>
          <w:lang w:val="hy-AM"/>
        </w:rPr>
        <w:t>հաստատուն</w:t>
      </w:r>
      <w:r w:rsidRPr="009070BD">
        <w:rPr>
          <w:b w:val="0"/>
          <w:bCs/>
          <w:iCs/>
          <w:lang w:val="af-ZA"/>
        </w:rPr>
        <w:t xml:space="preserve"> </w:t>
      </w:r>
      <w:r w:rsidRPr="009070BD">
        <w:rPr>
          <w:b w:val="0"/>
          <w:bCs/>
          <w:iCs/>
          <w:lang w:val="hy-AM"/>
        </w:rPr>
        <w:t>հոսանքի</w:t>
      </w:r>
      <w:r w:rsidRPr="009070BD">
        <w:rPr>
          <w:b w:val="0"/>
          <w:bCs/>
          <w:iCs/>
          <w:lang w:val="af-ZA"/>
        </w:rPr>
        <w:t xml:space="preserve"> </w:t>
      </w:r>
      <w:r w:rsidRPr="009070BD">
        <w:rPr>
          <w:b w:val="0"/>
          <w:bCs/>
          <w:iCs/>
          <w:lang w:val="hy-AM"/>
        </w:rPr>
        <w:t>փոխակերպիչ</w:t>
      </w:r>
      <w:r w:rsidRPr="009070BD">
        <w:rPr>
          <w:b w:val="0"/>
          <w:bCs/>
          <w:iCs/>
          <w:lang w:val="af-ZA"/>
        </w:rPr>
        <w:t xml:space="preserve"> </w:t>
      </w:r>
      <w:r w:rsidRPr="009070BD">
        <w:rPr>
          <w:b w:val="0"/>
          <w:bCs/>
          <w:iCs/>
          <w:lang w:val="hy-AM"/>
        </w:rPr>
        <w:t>կայանով</w:t>
      </w:r>
      <w:r w:rsidRPr="009070BD">
        <w:rPr>
          <w:b w:val="0"/>
          <w:bCs/>
          <w:iCs/>
          <w:lang w:val="af-ZA"/>
        </w:rPr>
        <w:t xml:space="preserve"> (</w:t>
      </w:r>
      <w:r w:rsidRPr="009070BD">
        <w:rPr>
          <w:b w:val="0"/>
          <w:bCs/>
          <w:iCs/>
          <w:lang w:val="hy-AM"/>
        </w:rPr>
        <w:t>վերջնական</w:t>
      </w:r>
      <w:r w:rsidRPr="009070BD">
        <w:rPr>
          <w:b w:val="0"/>
          <w:bCs/>
          <w:iCs/>
          <w:lang w:val="af-ZA"/>
        </w:rPr>
        <w:t xml:space="preserve"> </w:t>
      </w:r>
      <w:r w:rsidRPr="009070BD">
        <w:rPr>
          <w:b w:val="0"/>
          <w:bCs/>
          <w:iCs/>
          <w:lang w:val="hy-AM"/>
        </w:rPr>
        <w:t>հզորությունը</w:t>
      </w:r>
      <w:r w:rsidRPr="009070BD">
        <w:rPr>
          <w:b w:val="0"/>
          <w:bCs/>
          <w:iCs/>
          <w:lang w:val="af-ZA"/>
        </w:rPr>
        <w:t xml:space="preserve"> 1050 </w:t>
      </w:r>
      <w:r w:rsidRPr="009070BD">
        <w:rPr>
          <w:b w:val="0"/>
          <w:bCs/>
          <w:iCs/>
          <w:lang w:val="hy-AM"/>
        </w:rPr>
        <w:t>ՄՎտ</w:t>
      </w:r>
      <w:r w:rsidRPr="009070BD">
        <w:rPr>
          <w:b w:val="0"/>
          <w:bCs/>
          <w:iCs/>
          <w:lang w:val="af-ZA"/>
        </w:rPr>
        <w:t xml:space="preserve">): </w:t>
      </w:r>
      <w:r w:rsidRPr="009070BD">
        <w:rPr>
          <w:b w:val="0"/>
          <w:bCs/>
          <w:iCs/>
          <w:lang w:val="hy-AM"/>
        </w:rPr>
        <w:t>Վրացական կողմից միացումը նախատեսվել է «Մառնեուլի» ենթակայանից 500</w:t>
      </w:r>
      <w:r w:rsidRPr="009070BD">
        <w:rPr>
          <w:b w:val="0"/>
          <w:bCs/>
          <w:iCs/>
          <w:lang w:val="af-ZA"/>
        </w:rPr>
        <w:t xml:space="preserve"> </w:t>
      </w:r>
      <w:r w:rsidRPr="009070BD">
        <w:rPr>
          <w:b w:val="0"/>
          <w:bCs/>
          <w:iCs/>
          <w:lang w:val="hy-AM"/>
        </w:rPr>
        <w:t>կՎ ՕԳ-ի միջոցով</w:t>
      </w:r>
      <w:r w:rsidRPr="009070BD">
        <w:rPr>
          <w:b w:val="0"/>
          <w:bCs/>
          <w:iCs/>
          <w:lang w:val="af-ZA"/>
        </w:rPr>
        <w:t>,</w:t>
      </w:r>
      <w:r w:rsidRPr="009070BD">
        <w:rPr>
          <w:b w:val="0"/>
          <w:bCs/>
          <w:iCs/>
          <w:lang w:val="hy-AM"/>
        </w:rPr>
        <w:t xml:space="preserve"> հայկական կողմից՝ Դդմաշենում</w:t>
      </w:r>
      <w:r w:rsidRPr="009070BD">
        <w:rPr>
          <w:b w:val="0"/>
          <w:bCs/>
          <w:iCs/>
          <w:lang w:val="af-ZA"/>
        </w:rPr>
        <w:t xml:space="preserve"> տեղակայվող </w:t>
      </w:r>
      <w:r w:rsidRPr="009070BD">
        <w:rPr>
          <w:b w:val="0"/>
          <w:bCs/>
          <w:iCs/>
          <w:lang w:val="hy-AM"/>
        </w:rPr>
        <w:t>400/220</w:t>
      </w:r>
      <w:r w:rsidRPr="009070BD">
        <w:rPr>
          <w:b w:val="0"/>
          <w:bCs/>
          <w:iCs/>
          <w:lang w:val="af-ZA"/>
        </w:rPr>
        <w:t xml:space="preserve"> </w:t>
      </w:r>
      <w:r w:rsidRPr="009070BD">
        <w:rPr>
          <w:b w:val="0"/>
          <w:bCs/>
          <w:iCs/>
          <w:lang w:val="hy-AM"/>
        </w:rPr>
        <w:t>կՎ ենթակայանից 400</w:t>
      </w:r>
      <w:r w:rsidRPr="009070BD">
        <w:rPr>
          <w:b w:val="0"/>
          <w:bCs/>
          <w:iCs/>
          <w:lang w:val="af-ZA"/>
        </w:rPr>
        <w:t xml:space="preserve"> </w:t>
      </w:r>
      <w:r w:rsidRPr="009070BD">
        <w:rPr>
          <w:b w:val="0"/>
          <w:bCs/>
          <w:iCs/>
          <w:lang w:val="hy-AM"/>
        </w:rPr>
        <w:t>կՎ ՕԳ-ի միջոցով</w:t>
      </w:r>
      <w:r w:rsidRPr="009070BD">
        <w:rPr>
          <w:b w:val="0"/>
          <w:bCs/>
          <w:iCs/>
          <w:lang w:val="af-ZA"/>
        </w:rPr>
        <w:t xml:space="preserve">: </w:t>
      </w:r>
      <w:r w:rsidRPr="009070BD">
        <w:rPr>
          <w:b w:val="0"/>
          <w:bCs/>
          <w:iCs/>
          <w:lang w:val="hy-AM"/>
        </w:rPr>
        <w:t>Արդյունքում</w:t>
      </w:r>
      <w:r w:rsidRPr="009070BD">
        <w:rPr>
          <w:b w:val="0"/>
          <w:bCs/>
          <w:iCs/>
          <w:lang w:val="af-ZA"/>
        </w:rPr>
        <w:t xml:space="preserve">` </w:t>
      </w:r>
      <w:r w:rsidRPr="009070BD">
        <w:rPr>
          <w:b w:val="0"/>
          <w:bCs/>
          <w:iCs/>
          <w:lang w:val="hy-AM"/>
        </w:rPr>
        <w:t>Հայաստան</w:t>
      </w:r>
      <w:r w:rsidRPr="009070BD">
        <w:rPr>
          <w:b w:val="0"/>
          <w:bCs/>
          <w:iCs/>
          <w:lang w:val="af-ZA"/>
        </w:rPr>
        <w:t>-</w:t>
      </w:r>
      <w:r w:rsidRPr="009070BD">
        <w:rPr>
          <w:b w:val="0"/>
          <w:bCs/>
          <w:iCs/>
          <w:lang w:val="hy-AM"/>
        </w:rPr>
        <w:t>Վրաստան</w:t>
      </w:r>
      <w:r w:rsidRPr="009070BD">
        <w:rPr>
          <w:b w:val="0"/>
          <w:bCs/>
          <w:iCs/>
          <w:lang w:val="af-ZA"/>
        </w:rPr>
        <w:t xml:space="preserve"> </w:t>
      </w:r>
      <w:r w:rsidRPr="009070BD">
        <w:rPr>
          <w:b w:val="0"/>
          <w:bCs/>
          <w:iCs/>
          <w:lang w:val="hy-AM"/>
        </w:rPr>
        <w:t>էլեկտրաէներգիայի</w:t>
      </w:r>
      <w:r w:rsidRPr="009070BD">
        <w:rPr>
          <w:b w:val="0"/>
          <w:bCs/>
          <w:iCs/>
          <w:lang w:val="af-ZA"/>
        </w:rPr>
        <w:t xml:space="preserve"> </w:t>
      </w:r>
      <w:r w:rsidRPr="009070BD">
        <w:rPr>
          <w:b w:val="0"/>
          <w:bCs/>
          <w:iCs/>
          <w:lang w:val="hy-AM"/>
        </w:rPr>
        <w:t>փոխանակման</w:t>
      </w:r>
      <w:r w:rsidRPr="009070BD">
        <w:rPr>
          <w:b w:val="0"/>
          <w:bCs/>
          <w:iCs/>
          <w:lang w:val="af-ZA"/>
        </w:rPr>
        <w:t xml:space="preserve"> </w:t>
      </w:r>
      <w:r w:rsidRPr="009070BD">
        <w:rPr>
          <w:b w:val="0"/>
          <w:bCs/>
          <w:iCs/>
          <w:lang w:val="hy-AM"/>
        </w:rPr>
        <w:t>հզորությունը նախատեսվել է</w:t>
      </w:r>
      <w:r w:rsidRPr="009070BD">
        <w:rPr>
          <w:b w:val="0"/>
          <w:bCs/>
          <w:iCs/>
          <w:lang w:val="af-ZA"/>
        </w:rPr>
        <w:t xml:space="preserve"> </w:t>
      </w:r>
      <w:r w:rsidRPr="009070BD">
        <w:rPr>
          <w:b w:val="0"/>
          <w:bCs/>
          <w:iCs/>
          <w:lang w:val="hy-AM"/>
        </w:rPr>
        <w:t>ներկայիս</w:t>
      </w:r>
      <w:r w:rsidRPr="009070BD">
        <w:rPr>
          <w:b w:val="0"/>
          <w:bCs/>
          <w:iCs/>
          <w:lang w:val="af-ZA"/>
        </w:rPr>
        <w:t xml:space="preserve"> 200 </w:t>
      </w:r>
      <w:r w:rsidRPr="009070BD">
        <w:rPr>
          <w:b w:val="0"/>
          <w:bCs/>
          <w:iCs/>
          <w:lang w:val="hy-AM"/>
        </w:rPr>
        <w:t>ՄՎտ</w:t>
      </w:r>
      <w:r w:rsidRPr="009070BD">
        <w:rPr>
          <w:b w:val="0"/>
          <w:bCs/>
          <w:iCs/>
          <w:lang w:val="af-ZA"/>
        </w:rPr>
        <w:t>-</w:t>
      </w:r>
      <w:r w:rsidRPr="009070BD">
        <w:rPr>
          <w:b w:val="0"/>
          <w:bCs/>
          <w:iCs/>
          <w:lang w:val="hy-AM"/>
        </w:rPr>
        <w:t>ից</w:t>
      </w:r>
      <w:r w:rsidRPr="009070BD">
        <w:rPr>
          <w:b w:val="0"/>
          <w:bCs/>
          <w:iCs/>
          <w:lang w:val="af-ZA"/>
        </w:rPr>
        <w:t xml:space="preserve"> </w:t>
      </w:r>
      <w:r w:rsidRPr="009070BD">
        <w:rPr>
          <w:b w:val="0"/>
          <w:bCs/>
          <w:iCs/>
          <w:lang w:val="hy-AM"/>
        </w:rPr>
        <w:t>առաջին</w:t>
      </w:r>
      <w:r w:rsidRPr="009070BD">
        <w:rPr>
          <w:b w:val="0"/>
          <w:bCs/>
          <w:iCs/>
          <w:lang w:val="ro-RO"/>
        </w:rPr>
        <w:t xml:space="preserve"> </w:t>
      </w:r>
      <w:r w:rsidRPr="009070BD">
        <w:rPr>
          <w:b w:val="0"/>
          <w:bCs/>
          <w:iCs/>
          <w:lang w:val="hy-AM"/>
        </w:rPr>
        <w:t>փուլում հասցնել</w:t>
      </w:r>
      <w:r w:rsidRPr="009070BD">
        <w:rPr>
          <w:b w:val="0"/>
          <w:bCs/>
          <w:iCs/>
          <w:lang w:val="ro-RO"/>
        </w:rPr>
        <w:t xml:space="preserve"> 350 </w:t>
      </w:r>
      <w:r w:rsidRPr="009070BD">
        <w:rPr>
          <w:b w:val="0"/>
          <w:bCs/>
          <w:iCs/>
          <w:lang w:val="hy-AM"/>
        </w:rPr>
        <w:t>ՄՎտ</w:t>
      </w:r>
      <w:r w:rsidRPr="009070BD">
        <w:rPr>
          <w:b w:val="0"/>
          <w:bCs/>
          <w:iCs/>
          <w:lang w:val="ro-RO"/>
        </w:rPr>
        <w:t>-</w:t>
      </w:r>
      <w:r w:rsidRPr="009070BD">
        <w:rPr>
          <w:b w:val="0"/>
          <w:bCs/>
          <w:iCs/>
          <w:lang w:val="hy-AM"/>
        </w:rPr>
        <w:t>ի</w:t>
      </w:r>
      <w:r w:rsidRPr="009070BD">
        <w:rPr>
          <w:b w:val="0"/>
          <w:bCs/>
          <w:iCs/>
          <w:lang w:val="ro-RO"/>
        </w:rPr>
        <w:t>,</w:t>
      </w:r>
      <w:r w:rsidRPr="009070BD">
        <w:rPr>
          <w:b w:val="0"/>
          <w:bCs/>
          <w:iCs/>
          <w:lang w:val="hy-AM"/>
        </w:rPr>
        <w:t xml:space="preserve"> հետագայում՝ ելնելով տարածաշրջանային շուկայի պահանջարկից, հասցնել մինչև</w:t>
      </w:r>
      <w:r w:rsidRPr="009070BD">
        <w:rPr>
          <w:b w:val="0"/>
          <w:bCs/>
          <w:iCs/>
          <w:lang w:val="af-ZA"/>
        </w:rPr>
        <w:t xml:space="preserve"> 1050 </w:t>
      </w:r>
      <w:r w:rsidRPr="009070BD">
        <w:rPr>
          <w:b w:val="0"/>
          <w:bCs/>
          <w:iCs/>
          <w:lang w:val="hy-AM"/>
        </w:rPr>
        <w:t>ՄՎտ</w:t>
      </w:r>
      <w:r w:rsidRPr="009070BD">
        <w:rPr>
          <w:b w:val="0"/>
          <w:bCs/>
          <w:iCs/>
          <w:lang w:val="af-ZA"/>
        </w:rPr>
        <w:t>-</w:t>
      </w:r>
      <w:r w:rsidRPr="009070BD">
        <w:rPr>
          <w:b w:val="0"/>
          <w:bCs/>
          <w:iCs/>
          <w:lang w:val="hy-AM"/>
        </w:rPr>
        <w:t xml:space="preserve">ի՝ </w:t>
      </w:r>
      <w:r w:rsidRPr="009070BD">
        <w:rPr>
          <w:b w:val="0"/>
          <w:bCs/>
          <w:iCs/>
          <w:lang w:val="af-ZA"/>
        </w:rPr>
        <w:t>202</w:t>
      </w:r>
      <w:r w:rsidRPr="009070BD">
        <w:rPr>
          <w:b w:val="0"/>
          <w:bCs/>
          <w:iCs/>
          <w:lang w:val="hy-AM"/>
        </w:rPr>
        <w:t>1</w:t>
      </w:r>
      <w:r w:rsidRPr="009070BD">
        <w:rPr>
          <w:b w:val="0"/>
          <w:bCs/>
          <w:iCs/>
          <w:lang w:val="af-ZA"/>
        </w:rPr>
        <w:t xml:space="preserve">թ-ին նախատեսվում է </w:t>
      </w:r>
      <w:r w:rsidR="006B599B">
        <w:rPr>
          <w:b w:val="0"/>
          <w:bCs/>
          <w:iCs/>
          <w:lang w:val="hy-AM"/>
        </w:rPr>
        <w:t>24,</w:t>
      </w:r>
      <w:r w:rsidR="006B599B" w:rsidRPr="006B599B">
        <w:rPr>
          <w:b w:val="0"/>
          <w:bCs/>
          <w:iCs/>
          <w:lang w:val="af-ZA"/>
        </w:rPr>
        <w:t>012.</w:t>
      </w:r>
      <w:r w:rsidR="006B599B">
        <w:rPr>
          <w:b w:val="0"/>
          <w:bCs/>
          <w:iCs/>
          <w:lang w:val="af-ZA"/>
        </w:rPr>
        <w:t>2</w:t>
      </w:r>
      <w:r w:rsidRPr="009070BD">
        <w:rPr>
          <w:b w:val="0"/>
          <w:bCs/>
          <w:iCs/>
          <w:lang w:val="af-ZA"/>
        </w:rPr>
        <w:t xml:space="preserve"> մլն դրամ, այդ թվում վարկային միջոցներ` </w:t>
      </w:r>
      <w:r w:rsidR="006B599B" w:rsidRPr="006B599B">
        <w:rPr>
          <w:b w:val="0"/>
          <w:bCs/>
          <w:iCs/>
          <w:lang w:val="af-ZA"/>
        </w:rPr>
        <w:t>23,772.</w:t>
      </w:r>
      <w:r w:rsidR="006B599B">
        <w:rPr>
          <w:b w:val="0"/>
          <w:bCs/>
          <w:iCs/>
          <w:lang w:val="af-ZA"/>
        </w:rPr>
        <w:t>1</w:t>
      </w:r>
      <w:r w:rsidRPr="009070BD">
        <w:rPr>
          <w:b w:val="0"/>
          <w:bCs/>
          <w:iCs/>
          <w:lang w:val="af-ZA"/>
        </w:rPr>
        <w:t xml:space="preserve"> մլն դրամ, ՀՀ համաֆինանսավորում` </w:t>
      </w:r>
      <w:r w:rsidRPr="009070BD">
        <w:rPr>
          <w:b w:val="0"/>
          <w:bCs/>
          <w:iCs/>
          <w:lang w:val="hy-AM"/>
        </w:rPr>
        <w:t>24</w:t>
      </w:r>
      <w:r w:rsidR="006B599B" w:rsidRPr="006B599B">
        <w:rPr>
          <w:b w:val="0"/>
          <w:bCs/>
          <w:iCs/>
          <w:lang w:val="af-ZA"/>
        </w:rPr>
        <w:t xml:space="preserve">0.1 </w:t>
      </w:r>
      <w:r w:rsidRPr="009070BD">
        <w:rPr>
          <w:b w:val="0"/>
          <w:bCs/>
          <w:iCs/>
          <w:lang w:val="af-ZA"/>
        </w:rPr>
        <w:t>մլն դրամ:</w:t>
      </w:r>
    </w:p>
    <w:p w:rsidR="001971B9" w:rsidRPr="009070BD" w:rsidRDefault="001971B9" w:rsidP="007730AA">
      <w:pPr>
        <w:spacing w:before="0" w:line="276" w:lineRule="auto"/>
        <w:ind w:firstLine="720"/>
        <w:rPr>
          <w:b w:val="0"/>
          <w:bCs/>
          <w:iCs/>
          <w:lang w:val="af-ZA"/>
        </w:rPr>
      </w:pPr>
      <w:r w:rsidRPr="009070BD">
        <w:rPr>
          <w:b w:val="0"/>
          <w:bCs/>
          <w:iCs/>
          <w:lang w:val="hy-AM"/>
        </w:rPr>
        <w:t xml:space="preserve">6. Գերմանիայի զարգացման վարկերի բանկի աջակցությամբ իրականացվող «Կովկասյան էլեկտրահաղորդման ցանց 1» Հայաստան-Վրաստան հաղորդիչ գիծ/ենթակայանների դրամաշնորհային ծրագիր, որը փոխկապակցված է համանուն վարկային  ծրագրի հետ՝ </w:t>
      </w:r>
      <w:r w:rsidRPr="009070BD">
        <w:rPr>
          <w:b w:val="0"/>
          <w:bCs/>
          <w:iCs/>
          <w:lang w:val="af-ZA"/>
        </w:rPr>
        <w:t>202</w:t>
      </w:r>
      <w:r w:rsidRPr="009070BD">
        <w:rPr>
          <w:b w:val="0"/>
          <w:bCs/>
          <w:iCs/>
          <w:lang w:val="hy-AM"/>
        </w:rPr>
        <w:t>1</w:t>
      </w:r>
      <w:r w:rsidRPr="009070BD">
        <w:rPr>
          <w:b w:val="0"/>
          <w:bCs/>
          <w:iCs/>
          <w:lang w:val="af-ZA"/>
        </w:rPr>
        <w:t xml:space="preserve">թ-ին նախատեսվում է </w:t>
      </w:r>
      <w:r w:rsidRPr="009070BD">
        <w:rPr>
          <w:b w:val="0"/>
          <w:bCs/>
          <w:iCs/>
          <w:lang w:val="hy-AM"/>
        </w:rPr>
        <w:t>1,</w:t>
      </w:r>
      <w:r w:rsidR="006B599B" w:rsidRPr="006B599B">
        <w:rPr>
          <w:b w:val="0"/>
          <w:bCs/>
          <w:iCs/>
          <w:lang w:val="af-ZA"/>
        </w:rPr>
        <w:t>503.</w:t>
      </w:r>
      <w:r w:rsidR="006B599B">
        <w:rPr>
          <w:b w:val="0"/>
          <w:bCs/>
          <w:iCs/>
          <w:lang w:val="af-ZA"/>
        </w:rPr>
        <w:t>6</w:t>
      </w:r>
      <w:r w:rsidRPr="009070BD">
        <w:rPr>
          <w:b w:val="0"/>
          <w:bCs/>
          <w:iCs/>
          <w:lang w:val="hy-AM"/>
        </w:rPr>
        <w:t xml:space="preserve"> </w:t>
      </w:r>
      <w:r w:rsidRPr="009070BD">
        <w:rPr>
          <w:b w:val="0"/>
          <w:bCs/>
          <w:iCs/>
          <w:lang w:val="af-ZA"/>
        </w:rPr>
        <w:t xml:space="preserve">մլն դրամ, այդ թվում </w:t>
      </w:r>
      <w:r w:rsidRPr="009070BD">
        <w:rPr>
          <w:b w:val="0"/>
          <w:bCs/>
          <w:iCs/>
          <w:lang w:val="hy-AM"/>
        </w:rPr>
        <w:t>դրամաշնորհայի</w:t>
      </w:r>
      <w:r w:rsidRPr="009070BD">
        <w:rPr>
          <w:b w:val="0"/>
          <w:bCs/>
          <w:iCs/>
          <w:lang w:val="af-ZA"/>
        </w:rPr>
        <w:t xml:space="preserve">ն միջոցներ` </w:t>
      </w:r>
      <w:r w:rsidRPr="009070BD">
        <w:rPr>
          <w:b w:val="0"/>
          <w:bCs/>
          <w:iCs/>
          <w:lang w:val="hy-AM"/>
        </w:rPr>
        <w:t>1,</w:t>
      </w:r>
      <w:r w:rsidR="006B599B" w:rsidRPr="006B599B">
        <w:rPr>
          <w:b w:val="0"/>
          <w:bCs/>
          <w:iCs/>
          <w:lang w:val="af-ZA"/>
        </w:rPr>
        <w:t>428.</w:t>
      </w:r>
      <w:r w:rsidR="006B599B">
        <w:rPr>
          <w:b w:val="0"/>
          <w:bCs/>
          <w:iCs/>
          <w:lang w:val="af-ZA"/>
        </w:rPr>
        <w:t>0</w:t>
      </w:r>
      <w:r w:rsidRPr="009070BD">
        <w:rPr>
          <w:b w:val="0"/>
          <w:bCs/>
          <w:iCs/>
          <w:lang w:val="af-ZA"/>
        </w:rPr>
        <w:t xml:space="preserve"> մլն դրամ, ՀՀ համաֆինանսավորում` </w:t>
      </w:r>
      <w:r w:rsidR="006B599B" w:rsidRPr="006B599B">
        <w:rPr>
          <w:b w:val="0"/>
          <w:bCs/>
          <w:iCs/>
          <w:lang w:val="af-ZA"/>
        </w:rPr>
        <w:t>75.</w:t>
      </w:r>
      <w:r w:rsidR="006B599B">
        <w:rPr>
          <w:b w:val="0"/>
          <w:bCs/>
          <w:iCs/>
          <w:lang w:val="af-ZA"/>
        </w:rPr>
        <w:t>6</w:t>
      </w:r>
      <w:r w:rsidRPr="009070BD">
        <w:rPr>
          <w:b w:val="0"/>
          <w:bCs/>
          <w:iCs/>
          <w:lang w:val="af-ZA"/>
        </w:rPr>
        <w:t xml:space="preserve"> մլն դրամ:</w:t>
      </w:r>
    </w:p>
    <w:p w:rsidR="001971B9" w:rsidRPr="009070BD" w:rsidRDefault="001971B9" w:rsidP="007730AA">
      <w:pPr>
        <w:spacing w:before="0" w:line="276" w:lineRule="auto"/>
        <w:ind w:firstLine="720"/>
        <w:rPr>
          <w:b w:val="0"/>
          <w:bCs/>
          <w:iCs/>
          <w:lang w:val="hy-AM"/>
        </w:rPr>
      </w:pPr>
      <w:r w:rsidRPr="009070BD">
        <w:rPr>
          <w:b w:val="0"/>
          <w:bCs/>
          <w:iCs/>
          <w:lang w:val="hy-AM"/>
        </w:rPr>
        <w:t xml:space="preserve">7.  </w:t>
      </w:r>
      <w:r w:rsidRPr="009070BD">
        <w:rPr>
          <w:b w:val="0"/>
          <w:bCs/>
          <w:iCs/>
          <w:lang w:val="af-ZA"/>
        </w:rPr>
        <w:t>Գերմանիայի զարգացման վարկերի բանկի աջակցությամբ իրականացվող Ախուրյան գետի ջրային ռեսուրսների ինտեգրված կառավարման ծրագիր, որի նպատակն է Շիրակի մարզում` Ախուրյան գետի վրա, գյուղատնտեսական նպատակներով արդյունավետ ոռոգման համակարգի ստեղծում, որը կհանդիսանա գետի ամբողջ ավազանի ջրային ռեսուրսների ինտեգրված կառավարման մաս: Ծրագրով նախատեսվում է ավարտին հասցնել կիսակառույց պատվարը, օժանդակ կառույցները և վերականգնել թունելները, ինչը կապահովի ստորին բրիեֆում տարածաշրջանների անվտանգությունը՝ 202</w:t>
      </w:r>
      <w:r w:rsidRPr="009070BD">
        <w:rPr>
          <w:b w:val="0"/>
          <w:bCs/>
          <w:iCs/>
          <w:lang w:val="hy-AM"/>
        </w:rPr>
        <w:t>1</w:t>
      </w:r>
      <w:r w:rsidRPr="009070BD">
        <w:rPr>
          <w:b w:val="0"/>
          <w:bCs/>
          <w:iCs/>
          <w:lang w:val="af-ZA"/>
        </w:rPr>
        <w:t xml:space="preserve">թ.-ին նախատեսվում է </w:t>
      </w:r>
      <w:r w:rsidRPr="009070BD">
        <w:rPr>
          <w:b w:val="0"/>
          <w:bCs/>
          <w:iCs/>
          <w:lang w:val="hy-AM"/>
        </w:rPr>
        <w:t>2,</w:t>
      </w:r>
      <w:r w:rsidR="00B3034A" w:rsidRPr="00B3034A">
        <w:rPr>
          <w:b w:val="0"/>
          <w:bCs/>
          <w:iCs/>
          <w:lang w:val="hy-AM"/>
        </w:rPr>
        <w:t>920.3</w:t>
      </w:r>
      <w:r w:rsidRPr="009070BD">
        <w:rPr>
          <w:b w:val="0"/>
          <w:bCs/>
          <w:iCs/>
          <w:lang w:val="af-ZA"/>
        </w:rPr>
        <w:t xml:space="preserve"> մլն դրամ, այդ թվում վարկային միջոցներ` </w:t>
      </w:r>
      <w:r w:rsidRPr="009070BD">
        <w:rPr>
          <w:b w:val="0"/>
          <w:bCs/>
          <w:iCs/>
          <w:lang w:val="hy-AM"/>
        </w:rPr>
        <w:t>2,</w:t>
      </w:r>
      <w:r w:rsidR="00B3034A" w:rsidRPr="00B3034A">
        <w:rPr>
          <w:b w:val="0"/>
          <w:bCs/>
          <w:iCs/>
          <w:lang w:val="hy-AM"/>
        </w:rPr>
        <w:t>389.2</w:t>
      </w:r>
      <w:r w:rsidRPr="009070BD">
        <w:rPr>
          <w:b w:val="0"/>
          <w:bCs/>
          <w:iCs/>
          <w:lang w:val="af-ZA"/>
        </w:rPr>
        <w:t xml:space="preserve"> մլն դրամ, </w:t>
      </w:r>
      <w:r w:rsidRPr="009070BD">
        <w:rPr>
          <w:b w:val="0"/>
          <w:bCs/>
          <w:iCs/>
          <w:lang w:val="hy-AM"/>
        </w:rPr>
        <w:t>ՀՀ կառավարության համաֆինանսավորում</w:t>
      </w:r>
      <w:r w:rsidRPr="009070BD">
        <w:rPr>
          <w:b w:val="0"/>
          <w:bCs/>
          <w:iCs/>
          <w:lang w:val="af-ZA"/>
        </w:rPr>
        <w:t xml:space="preserve">` </w:t>
      </w:r>
      <w:r w:rsidR="00B3034A">
        <w:rPr>
          <w:b w:val="0"/>
          <w:bCs/>
          <w:iCs/>
          <w:lang w:val="af-ZA"/>
        </w:rPr>
        <w:t>531.1</w:t>
      </w:r>
      <w:r w:rsidRPr="009070BD">
        <w:rPr>
          <w:b w:val="0"/>
          <w:bCs/>
          <w:iCs/>
          <w:lang w:val="af-ZA"/>
        </w:rPr>
        <w:t xml:space="preserve"> մլն դրամ:</w:t>
      </w:r>
      <w:r w:rsidRPr="009070BD">
        <w:rPr>
          <w:b w:val="0"/>
          <w:bCs/>
          <w:iCs/>
          <w:lang w:val="hy-AM"/>
        </w:rPr>
        <w:t xml:space="preserve"> </w:t>
      </w:r>
    </w:p>
    <w:p w:rsidR="001971B9" w:rsidRPr="009070BD" w:rsidRDefault="001971B9" w:rsidP="007730AA">
      <w:pPr>
        <w:spacing w:before="0" w:line="276" w:lineRule="auto"/>
        <w:ind w:firstLine="720"/>
        <w:rPr>
          <w:b w:val="0"/>
          <w:bCs/>
          <w:iCs/>
          <w:lang w:val="hy-AM"/>
        </w:rPr>
      </w:pPr>
      <w:r w:rsidRPr="009070BD">
        <w:rPr>
          <w:b w:val="0"/>
          <w:bCs/>
          <w:iCs/>
          <w:lang w:val="hy-AM"/>
        </w:rPr>
        <w:t>8.</w:t>
      </w:r>
      <w:r w:rsidRPr="009070BD">
        <w:rPr>
          <w:b w:val="0"/>
          <w:bCs/>
          <w:iCs/>
          <w:lang w:val="af-ZA"/>
        </w:rPr>
        <w:t xml:space="preserve"> Գերմանիայի զարգացման վարկերի բանկի աջակցությամբ իրականացվող </w:t>
      </w:r>
      <w:r w:rsidRPr="009070BD">
        <w:rPr>
          <w:b w:val="0"/>
          <w:bCs/>
          <w:iCs/>
          <w:lang w:val="de-DE"/>
        </w:rPr>
        <w:t xml:space="preserve">Ախուրյան գետի ջրային ռեսուրսների ինտեգրված կառավարման </w:t>
      </w:r>
      <w:r w:rsidRPr="009070BD">
        <w:rPr>
          <w:b w:val="0"/>
          <w:bCs/>
          <w:iCs/>
          <w:lang w:val="pt-BR"/>
        </w:rPr>
        <w:t>ծրագ</w:t>
      </w:r>
      <w:r w:rsidRPr="009070BD">
        <w:rPr>
          <w:b w:val="0"/>
          <w:bCs/>
          <w:iCs/>
          <w:lang w:val="hy-AM"/>
        </w:rPr>
        <w:t xml:space="preserve">րի երկրորդ փուլ, որի </w:t>
      </w:r>
      <w:r w:rsidRPr="009070BD">
        <w:rPr>
          <w:b w:val="0"/>
          <w:bCs/>
          <w:iCs/>
          <w:lang w:val="af-ZA"/>
        </w:rPr>
        <w:t>նպատակն է ապահովել Ախուրյանի գետի երկայնքով ջրի պաշարների կայուն օգտագործումը, բարձրացնել գյուղատնտեսական արտադրողականությունը, նվազեցնել թիրախային խմբի խոցելիությունը կլիմայի փոփոխության ազդեցության, շրջակա միջավայրի էկոհամակարգերի և կենսաբազմազանության պահպանման, Կապս ջրամբարի շրջակա միջավայրի բնակչության անվտանգության ռիսկը</w:t>
      </w:r>
      <w:r w:rsidRPr="009070BD">
        <w:rPr>
          <w:b w:val="0"/>
          <w:bCs/>
          <w:iCs/>
          <w:lang w:val="hy-AM"/>
        </w:rPr>
        <w:t xml:space="preserve">՝ </w:t>
      </w:r>
      <w:r w:rsidRPr="009070BD">
        <w:rPr>
          <w:b w:val="0"/>
          <w:bCs/>
          <w:iCs/>
          <w:lang w:val="it-IT"/>
        </w:rPr>
        <w:t>202</w:t>
      </w:r>
      <w:r w:rsidRPr="009070BD">
        <w:rPr>
          <w:b w:val="0"/>
          <w:bCs/>
          <w:iCs/>
          <w:lang w:val="hy-AM"/>
        </w:rPr>
        <w:t>1</w:t>
      </w:r>
      <w:r w:rsidRPr="009070BD">
        <w:rPr>
          <w:b w:val="0"/>
          <w:bCs/>
          <w:iCs/>
          <w:lang w:val="it-IT"/>
        </w:rPr>
        <w:t xml:space="preserve">թ.-ին նախատեսվում է </w:t>
      </w:r>
      <w:r w:rsidRPr="009070BD">
        <w:rPr>
          <w:b w:val="0"/>
          <w:bCs/>
          <w:iCs/>
          <w:lang w:val="hy-AM"/>
        </w:rPr>
        <w:t>23</w:t>
      </w:r>
      <w:r w:rsidR="00B3034A" w:rsidRPr="00B3034A">
        <w:rPr>
          <w:b w:val="0"/>
          <w:bCs/>
          <w:iCs/>
          <w:lang w:val="af-ZA"/>
        </w:rPr>
        <w:t>3.</w:t>
      </w:r>
      <w:r w:rsidR="00B3034A">
        <w:rPr>
          <w:b w:val="0"/>
          <w:bCs/>
          <w:iCs/>
          <w:lang w:val="af-ZA"/>
        </w:rPr>
        <w:t>5</w:t>
      </w:r>
      <w:r w:rsidRPr="009070BD">
        <w:rPr>
          <w:b w:val="0"/>
          <w:bCs/>
          <w:iCs/>
          <w:lang w:val="it-IT"/>
        </w:rPr>
        <w:t xml:space="preserve"> </w:t>
      </w:r>
      <w:r w:rsidRPr="009070BD">
        <w:rPr>
          <w:b w:val="0"/>
          <w:bCs/>
          <w:iCs/>
          <w:lang w:val="af-ZA"/>
        </w:rPr>
        <w:t xml:space="preserve">մլն դրամ, </w:t>
      </w:r>
      <w:r w:rsidRPr="009070BD">
        <w:rPr>
          <w:b w:val="0"/>
          <w:bCs/>
          <w:iCs/>
          <w:lang w:val="hy-AM"/>
        </w:rPr>
        <w:t>այդ թվում վարկային միջոցներ` 19</w:t>
      </w:r>
      <w:r w:rsidR="00B3034A" w:rsidRPr="00B3034A">
        <w:rPr>
          <w:b w:val="0"/>
          <w:bCs/>
          <w:iCs/>
          <w:lang w:val="hy-AM"/>
        </w:rPr>
        <w:t>4.6</w:t>
      </w:r>
      <w:r w:rsidRPr="009070BD">
        <w:rPr>
          <w:b w:val="0"/>
          <w:bCs/>
          <w:iCs/>
          <w:lang w:val="hy-AM"/>
        </w:rPr>
        <w:t xml:space="preserve"> </w:t>
      </w:r>
      <w:r w:rsidRPr="009070BD">
        <w:rPr>
          <w:b w:val="0"/>
          <w:bCs/>
          <w:iCs/>
          <w:lang w:val="af-ZA"/>
        </w:rPr>
        <w:t>մլն դրամ</w:t>
      </w:r>
      <w:r w:rsidRPr="009070BD">
        <w:rPr>
          <w:b w:val="0"/>
          <w:bCs/>
          <w:iCs/>
          <w:lang w:val="hy-AM"/>
        </w:rPr>
        <w:t>, ՀՀ կառավարության համաֆինանսավորում ` 3</w:t>
      </w:r>
      <w:r w:rsidR="00B3034A" w:rsidRPr="00B3034A">
        <w:rPr>
          <w:b w:val="0"/>
          <w:bCs/>
          <w:iCs/>
          <w:lang w:val="hy-AM"/>
        </w:rPr>
        <w:t>8.9</w:t>
      </w:r>
      <w:r w:rsidRPr="009070BD">
        <w:rPr>
          <w:b w:val="0"/>
          <w:bCs/>
          <w:iCs/>
          <w:lang w:val="af-ZA"/>
        </w:rPr>
        <w:t xml:space="preserve"> 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 xml:space="preserve">9. </w:t>
      </w:r>
      <w:r w:rsidRPr="009070BD">
        <w:rPr>
          <w:b w:val="0"/>
          <w:bCs/>
          <w:iCs/>
          <w:lang w:val="af-ZA"/>
        </w:rPr>
        <w:t xml:space="preserve">Գերմանիայի զարգացման վարկերի բանկի աջակցությամբ իրականացվող </w:t>
      </w:r>
      <w:r w:rsidRPr="009070BD">
        <w:rPr>
          <w:b w:val="0"/>
          <w:bCs/>
          <w:iCs/>
          <w:lang w:val="de-DE"/>
        </w:rPr>
        <w:t xml:space="preserve">Ախուրյան գետի ջրային ռեսուրսների ինտեգրված կառավարման </w:t>
      </w:r>
      <w:r w:rsidRPr="009070BD">
        <w:rPr>
          <w:b w:val="0"/>
          <w:bCs/>
          <w:iCs/>
          <w:lang w:val="hy-AM"/>
        </w:rPr>
        <w:t xml:space="preserve">դրամաշնորհային ծրագիր, որի </w:t>
      </w:r>
      <w:r w:rsidRPr="009070BD">
        <w:rPr>
          <w:b w:val="0"/>
          <w:bCs/>
          <w:iCs/>
          <w:lang w:val="af-ZA"/>
        </w:rPr>
        <w:t>շրջանակներում նախատեսվում է ֆինանսավորել «Ախուրյան գետի ջրային ռեսուրսների ինտեգրված կառավարման ծրագրի» Կապսի ջրամբարի կառուցման Փուլ I փուլի փորձագիտական ծառայությունների իրականացումը՝ շրջակա միջավայրի վրա սոցիալական գնահատման խորհրդատվական ծառայությունների մատուցման պայմանագրի շրջանակներում</w:t>
      </w:r>
      <w:r w:rsidRPr="009070BD">
        <w:rPr>
          <w:b w:val="0"/>
          <w:bCs/>
          <w:iCs/>
          <w:lang w:val="hy-AM"/>
        </w:rPr>
        <w:t xml:space="preserve">՝ </w:t>
      </w:r>
      <w:r w:rsidRPr="009070BD">
        <w:rPr>
          <w:b w:val="0"/>
          <w:bCs/>
          <w:iCs/>
          <w:lang w:val="it-IT"/>
        </w:rPr>
        <w:t>202</w:t>
      </w:r>
      <w:r w:rsidRPr="009070BD">
        <w:rPr>
          <w:b w:val="0"/>
          <w:bCs/>
          <w:iCs/>
          <w:lang w:val="hy-AM"/>
        </w:rPr>
        <w:t>1</w:t>
      </w:r>
      <w:r w:rsidRPr="009070BD">
        <w:rPr>
          <w:b w:val="0"/>
          <w:bCs/>
          <w:iCs/>
          <w:lang w:val="it-IT"/>
        </w:rPr>
        <w:t xml:space="preserve">թ.-ին նախատեսվում է </w:t>
      </w:r>
      <w:r w:rsidRPr="009070BD">
        <w:rPr>
          <w:b w:val="0"/>
          <w:bCs/>
          <w:iCs/>
          <w:lang w:val="hy-AM"/>
        </w:rPr>
        <w:t>7</w:t>
      </w:r>
      <w:r w:rsidR="00432B9D" w:rsidRPr="00432B9D">
        <w:rPr>
          <w:b w:val="0"/>
          <w:bCs/>
          <w:iCs/>
          <w:lang w:val="hy-AM"/>
        </w:rPr>
        <w:t>7.</w:t>
      </w:r>
      <w:r w:rsidR="00432B9D" w:rsidRPr="006A1D0E">
        <w:rPr>
          <w:b w:val="0"/>
          <w:bCs/>
          <w:iCs/>
          <w:lang w:val="hy-AM"/>
        </w:rPr>
        <w:t>5</w:t>
      </w:r>
      <w:r w:rsidRPr="009070BD">
        <w:rPr>
          <w:b w:val="0"/>
          <w:bCs/>
          <w:iCs/>
          <w:lang w:val="it-IT"/>
        </w:rPr>
        <w:t xml:space="preserve"> </w:t>
      </w:r>
      <w:r w:rsidRPr="009070BD">
        <w:rPr>
          <w:b w:val="0"/>
          <w:bCs/>
          <w:iCs/>
          <w:lang w:val="af-ZA"/>
        </w:rPr>
        <w:t xml:space="preserve">մլն դրամ, </w:t>
      </w:r>
      <w:r w:rsidRPr="009070BD">
        <w:rPr>
          <w:b w:val="0"/>
          <w:bCs/>
          <w:iCs/>
          <w:lang w:val="hy-AM"/>
        </w:rPr>
        <w:t xml:space="preserve">այդ թվում վարկային միջոցներ` </w:t>
      </w:r>
      <w:r w:rsidR="00432B9D" w:rsidRPr="00432B9D">
        <w:rPr>
          <w:b w:val="0"/>
          <w:bCs/>
          <w:iCs/>
          <w:lang w:val="hy-AM"/>
        </w:rPr>
        <w:t>64.6</w:t>
      </w:r>
      <w:r w:rsidRPr="009070BD">
        <w:rPr>
          <w:b w:val="0"/>
          <w:bCs/>
          <w:iCs/>
          <w:lang w:val="hy-AM"/>
        </w:rPr>
        <w:t xml:space="preserve"> </w:t>
      </w:r>
      <w:r w:rsidRPr="009070BD">
        <w:rPr>
          <w:b w:val="0"/>
          <w:bCs/>
          <w:iCs/>
          <w:lang w:val="af-ZA"/>
        </w:rPr>
        <w:t>մլն դրամ</w:t>
      </w:r>
      <w:r w:rsidRPr="009070BD">
        <w:rPr>
          <w:b w:val="0"/>
          <w:bCs/>
          <w:iCs/>
          <w:lang w:val="hy-AM"/>
        </w:rPr>
        <w:t xml:space="preserve">, ՀՀ կառավարության համաֆինանսավորում  </w:t>
      </w:r>
      <w:r w:rsidR="00432B9D" w:rsidRPr="00432B9D">
        <w:rPr>
          <w:b w:val="0"/>
          <w:bCs/>
          <w:iCs/>
          <w:lang w:val="af-ZA"/>
        </w:rPr>
        <w:t>12.</w:t>
      </w:r>
      <w:r w:rsidR="00432B9D">
        <w:rPr>
          <w:b w:val="0"/>
          <w:bCs/>
          <w:iCs/>
          <w:lang w:val="af-ZA"/>
        </w:rPr>
        <w:t>9</w:t>
      </w:r>
      <w:r w:rsidRPr="009070BD">
        <w:rPr>
          <w:b w:val="0"/>
          <w:bCs/>
          <w:iCs/>
          <w:lang w:val="af-ZA"/>
        </w:rPr>
        <w:t xml:space="preserve"> 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 xml:space="preserve">10. </w:t>
      </w:r>
      <w:r w:rsidRPr="009070BD">
        <w:rPr>
          <w:b w:val="0"/>
          <w:bCs/>
          <w:iCs/>
          <w:lang w:val="af-ZA"/>
        </w:rPr>
        <w:t>Ֆրանսիայի Հանրապետության կառավարության աջակցությամբ իրականացվող Վեդու ջրամբարի կառուցման ծրագիր</w:t>
      </w:r>
      <w:r w:rsidRPr="009070BD">
        <w:rPr>
          <w:b w:val="0"/>
          <w:bCs/>
          <w:iCs/>
          <w:lang w:val="hy-AM"/>
        </w:rPr>
        <w:t xml:space="preserve">, որի </w:t>
      </w:r>
      <w:r w:rsidRPr="009070BD">
        <w:rPr>
          <w:b w:val="0"/>
          <w:bCs/>
          <w:iCs/>
          <w:lang w:val="af-ZA"/>
        </w:rPr>
        <w:t>նպատակն է Վեդու ջրամբարի և ինքնահոս ոռոգման համակարգի կառուցում, ինչը կբարձրացնի ջրապահովման մակարդակը և կնպաստի գյուղատնտեսության զարգացմանը: Ծրագրի շրջանակներում նախատեսվում է կառուցել պատվարը, օժանդակ կառուցվածքները, փոխադրող համակարգը` գետից մինչև ջրամբար և հեռացնող խողովակաշարը (ինքնահոս): Վեդու ջրամբարի կառուցումը կբարձրացնի Վեդի և Արարատ ՋՕԸ-ների շուրջ 3200 հա հողատարածքների ջրապահովման մակարդակը</w:t>
      </w:r>
      <w:r w:rsidRPr="009070BD">
        <w:rPr>
          <w:b w:val="0"/>
          <w:bCs/>
          <w:iCs/>
          <w:lang w:val="hy-AM"/>
        </w:rPr>
        <w:t>՝</w:t>
      </w:r>
      <w:r w:rsidRPr="009070BD">
        <w:rPr>
          <w:b w:val="0"/>
          <w:bCs/>
          <w:iCs/>
          <w:lang w:val="it-IT"/>
        </w:rPr>
        <w:t xml:space="preserve"> 202</w:t>
      </w:r>
      <w:r w:rsidRPr="009070BD">
        <w:rPr>
          <w:b w:val="0"/>
          <w:bCs/>
          <w:iCs/>
          <w:lang w:val="hy-AM"/>
        </w:rPr>
        <w:t>1</w:t>
      </w:r>
      <w:r w:rsidRPr="009070BD">
        <w:rPr>
          <w:b w:val="0"/>
          <w:bCs/>
          <w:iCs/>
          <w:lang w:val="it-IT"/>
        </w:rPr>
        <w:t xml:space="preserve">թ.-ին նախատեսվում է </w:t>
      </w:r>
      <w:r w:rsidRPr="009070BD">
        <w:rPr>
          <w:b w:val="0"/>
          <w:bCs/>
          <w:iCs/>
          <w:lang w:val="hy-AM"/>
        </w:rPr>
        <w:t>3,3</w:t>
      </w:r>
      <w:r w:rsidR="006A1D0E" w:rsidRPr="006A1D0E">
        <w:rPr>
          <w:b w:val="0"/>
          <w:bCs/>
          <w:iCs/>
          <w:lang w:val="hy-AM"/>
        </w:rPr>
        <w:t>37.9</w:t>
      </w:r>
      <w:r w:rsidRPr="009070BD">
        <w:rPr>
          <w:b w:val="0"/>
          <w:bCs/>
          <w:iCs/>
          <w:lang w:val="it-IT"/>
        </w:rPr>
        <w:t xml:space="preserve"> </w:t>
      </w:r>
      <w:r w:rsidRPr="009070BD">
        <w:rPr>
          <w:b w:val="0"/>
          <w:bCs/>
          <w:iCs/>
          <w:lang w:val="af-ZA"/>
        </w:rPr>
        <w:t xml:space="preserve">մլն դրամ, </w:t>
      </w:r>
      <w:r w:rsidRPr="009070BD">
        <w:rPr>
          <w:b w:val="0"/>
          <w:bCs/>
          <w:iCs/>
          <w:lang w:val="hy-AM"/>
        </w:rPr>
        <w:t>այդ թվում վարկային միջոցներ` 2,</w:t>
      </w:r>
      <w:r w:rsidR="006A1D0E" w:rsidRPr="006A1D0E">
        <w:rPr>
          <w:b w:val="0"/>
          <w:bCs/>
          <w:iCs/>
          <w:lang w:val="hy-AM"/>
        </w:rPr>
        <w:t>785.4</w:t>
      </w:r>
      <w:r w:rsidRPr="009070BD">
        <w:rPr>
          <w:b w:val="0"/>
          <w:bCs/>
          <w:iCs/>
          <w:lang w:val="hy-AM"/>
        </w:rPr>
        <w:t xml:space="preserve"> </w:t>
      </w:r>
      <w:r w:rsidRPr="009070BD">
        <w:rPr>
          <w:b w:val="0"/>
          <w:bCs/>
          <w:iCs/>
          <w:lang w:val="af-ZA"/>
        </w:rPr>
        <w:t>մլն դրամ</w:t>
      </w:r>
      <w:r w:rsidRPr="009070BD">
        <w:rPr>
          <w:b w:val="0"/>
          <w:bCs/>
          <w:iCs/>
          <w:lang w:val="hy-AM"/>
        </w:rPr>
        <w:t xml:space="preserve">, ՀՀ կառավարության համաֆինանսավորում` </w:t>
      </w:r>
      <w:r w:rsidR="006A1D0E" w:rsidRPr="006A1D0E">
        <w:rPr>
          <w:b w:val="0"/>
          <w:bCs/>
          <w:iCs/>
          <w:lang w:val="hy-AM"/>
        </w:rPr>
        <w:t>552.5</w:t>
      </w:r>
      <w:r w:rsidRPr="009070BD">
        <w:rPr>
          <w:b w:val="0"/>
          <w:bCs/>
          <w:iCs/>
          <w:lang w:val="af-ZA"/>
        </w:rPr>
        <w:t xml:space="preserve"> 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 xml:space="preserve">11. Զարգացման ֆրանսիական գործակալության աջակցությամբ իրականացվող ոռոգման ոլորտի ֆինանսական կայունության և ոռոգման կառավարման կարողությունների բարելավման դրամաշնորհային ծրագրի խորհրդատվություն և կառավարում, որի </w:t>
      </w:r>
      <w:r w:rsidRPr="009070BD">
        <w:rPr>
          <w:b w:val="0"/>
          <w:bCs/>
          <w:iCs/>
          <w:lang w:val="af-ZA"/>
        </w:rPr>
        <w:t>շրջանակներում նախատեսվում է աջակցություն ոռոգման ոլորտի ֆինանսական կայունության և ոռոգման կառավարման կարողությունների բարելավման ուղղություններով: Որպես ծրագրի բաղադրիչներ իրականացվելու են ոռոգման համակարգի ռազմավարության մշակման, ոռոգման համակարգի գույքագրման և վերագնահատման, ներդրումային կարիքների գնահատման, ջրի և կորուստների կառավարման և այլ գործառույթներ: 202</w:t>
      </w:r>
      <w:r w:rsidRPr="009070BD">
        <w:rPr>
          <w:b w:val="0"/>
          <w:bCs/>
          <w:iCs/>
          <w:lang w:val="hy-AM"/>
        </w:rPr>
        <w:t>1</w:t>
      </w:r>
      <w:r w:rsidRPr="009070BD">
        <w:rPr>
          <w:b w:val="0"/>
          <w:bCs/>
          <w:iCs/>
          <w:lang w:val="af-ZA"/>
        </w:rPr>
        <w:t>թ</w:t>
      </w:r>
      <w:r w:rsidRPr="009070BD">
        <w:rPr>
          <w:b w:val="0"/>
          <w:bCs/>
          <w:iCs/>
          <w:lang w:val="it-IT"/>
        </w:rPr>
        <w:t xml:space="preserve">.-ին նախատեսվում է </w:t>
      </w:r>
      <w:r w:rsidR="004700B1" w:rsidRPr="004700B1">
        <w:rPr>
          <w:b w:val="0"/>
          <w:bCs/>
          <w:iCs/>
          <w:lang w:val="hy-AM"/>
        </w:rPr>
        <w:t>575.6</w:t>
      </w:r>
      <w:r w:rsidRPr="009070BD">
        <w:rPr>
          <w:b w:val="0"/>
          <w:bCs/>
          <w:iCs/>
          <w:lang w:val="it-IT"/>
        </w:rPr>
        <w:t xml:space="preserve"> </w:t>
      </w:r>
      <w:r w:rsidRPr="009070BD">
        <w:rPr>
          <w:b w:val="0"/>
          <w:bCs/>
          <w:iCs/>
          <w:lang w:val="af-ZA"/>
        </w:rPr>
        <w:t xml:space="preserve">մլն դրամ, </w:t>
      </w:r>
      <w:r w:rsidRPr="009070BD">
        <w:rPr>
          <w:b w:val="0"/>
          <w:bCs/>
          <w:iCs/>
          <w:lang w:val="hy-AM"/>
        </w:rPr>
        <w:t xml:space="preserve">այդ թվում դրամաշնորհային միջոցներ` </w:t>
      </w:r>
      <w:r w:rsidR="004700B1" w:rsidRPr="004700B1">
        <w:rPr>
          <w:b w:val="0"/>
          <w:bCs/>
          <w:iCs/>
          <w:lang w:val="hy-AM"/>
        </w:rPr>
        <w:t>397.0</w:t>
      </w:r>
      <w:r w:rsidRPr="009070BD">
        <w:rPr>
          <w:b w:val="0"/>
          <w:bCs/>
          <w:iCs/>
          <w:lang w:val="hy-AM"/>
        </w:rPr>
        <w:t xml:space="preserve"> </w:t>
      </w:r>
      <w:r w:rsidRPr="009070BD">
        <w:rPr>
          <w:b w:val="0"/>
          <w:bCs/>
          <w:iCs/>
          <w:lang w:val="af-ZA"/>
        </w:rPr>
        <w:t>մլն դրամ</w:t>
      </w:r>
      <w:r w:rsidRPr="009070BD">
        <w:rPr>
          <w:b w:val="0"/>
          <w:bCs/>
          <w:iCs/>
          <w:lang w:val="hy-AM"/>
        </w:rPr>
        <w:t>, ՀՀ կառավարության համաֆինանսավորում` 1</w:t>
      </w:r>
      <w:r w:rsidR="004700B1" w:rsidRPr="004700B1">
        <w:rPr>
          <w:b w:val="0"/>
          <w:bCs/>
          <w:iCs/>
          <w:lang w:val="hy-AM"/>
        </w:rPr>
        <w:t>78.6</w:t>
      </w:r>
      <w:r w:rsidRPr="009070BD">
        <w:rPr>
          <w:b w:val="0"/>
          <w:bCs/>
          <w:iCs/>
          <w:lang w:val="af-ZA"/>
        </w:rPr>
        <w:t xml:space="preserve"> 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 xml:space="preserve">12. </w:t>
      </w:r>
      <w:r w:rsidRPr="009070BD">
        <w:rPr>
          <w:b w:val="0"/>
          <w:bCs/>
          <w:iCs/>
          <w:lang w:val="af-ZA"/>
        </w:rPr>
        <w:t>Եվրասիական զարգացման բանկի աջակցությամբ իրականացվող ոռոգման համակարգերի զարգացման ծրագիր</w:t>
      </w:r>
      <w:r w:rsidRPr="009070BD">
        <w:rPr>
          <w:b w:val="0"/>
          <w:bCs/>
          <w:iCs/>
          <w:lang w:val="hy-AM"/>
        </w:rPr>
        <w:t xml:space="preserve">, որի </w:t>
      </w:r>
      <w:r w:rsidRPr="009070BD">
        <w:rPr>
          <w:b w:val="0"/>
          <w:bCs/>
          <w:iCs/>
          <w:lang w:val="af-ZA"/>
        </w:rPr>
        <w:t>նպատ</w:t>
      </w:r>
      <w:r w:rsidRPr="009070BD">
        <w:rPr>
          <w:b w:val="0"/>
          <w:bCs/>
          <w:iCs/>
          <w:lang w:val="hy-AM"/>
        </w:rPr>
        <w:t>ակն է</w:t>
      </w:r>
      <w:r w:rsidRPr="009070BD">
        <w:rPr>
          <w:b w:val="0"/>
          <w:bCs/>
          <w:iCs/>
          <w:lang w:val="af-ZA"/>
        </w:rPr>
        <w:t xml:space="preserve"> բարելավել և արդիականացնել Հայաստանի ոռոգման համակարգերը` կրճատելով շահագործման և պահպանման ծախսերը, ոռոգման համակարգերում կրճատել բարձր ջրակորուստները, նվազեցնել էլեկտրաէներգիայի ծախսումները կամ բարձրացնել էներգածախսատար համակարգերի արդյունավետությունը, վերանախագծել ներտնտեսային ցանցերը՝ գոյություն ունեցող հողօգտագործման մեթոդներին համապատասխան՝ </w:t>
      </w:r>
      <w:r w:rsidRPr="009070BD">
        <w:rPr>
          <w:b w:val="0"/>
          <w:bCs/>
          <w:iCs/>
          <w:lang w:val="it-IT"/>
        </w:rPr>
        <w:t>202</w:t>
      </w:r>
      <w:r w:rsidRPr="009070BD">
        <w:rPr>
          <w:b w:val="0"/>
          <w:bCs/>
          <w:iCs/>
          <w:lang w:val="hy-AM"/>
        </w:rPr>
        <w:t>1</w:t>
      </w:r>
      <w:r w:rsidRPr="009070BD">
        <w:rPr>
          <w:b w:val="0"/>
          <w:bCs/>
          <w:iCs/>
          <w:lang w:val="it-IT"/>
        </w:rPr>
        <w:t xml:space="preserve">թ.-ին նախատեսվում է </w:t>
      </w:r>
      <w:r w:rsidRPr="009070BD">
        <w:rPr>
          <w:b w:val="0"/>
          <w:bCs/>
          <w:iCs/>
          <w:lang w:val="hy-AM"/>
        </w:rPr>
        <w:t>4,</w:t>
      </w:r>
      <w:r w:rsidR="008256F5" w:rsidRPr="008256F5">
        <w:rPr>
          <w:b w:val="0"/>
          <w:bCs/>
          <w:iCs/>
          <w:lang w:val="hy-AM"/>
        </w:rPr>
        <w:t>355.5</w:t>
      </w:r>
      <w:r w:rsidRPr="009070BD">
        <w:rPr>
          <w:b w:val="0"/>
          <w:bCs/>
          <w:iCs/>
          <w:lang w:val="it-IT"/>
        </w:rPr>
        <w:t xml:space="preserve"> </w:t>
      </w:r>
      <w:r w:rsidRPr="009070BD">
        <w:rPr>
          <w:b w:val="0"/>
          <w:bCs/>
          <w:iCs/>
          <w:lang w:val="af-ZA"/>
        </w:rPr>
        <w:t xml:space="preserve">մլն դրամ, </w:t>
      </w:r>
      <w:r w:rsidRPr="009070BD">
        <w:rPr>
          <w:b w:val="0"/>
          <w:bCs/>
          <w:iCs/>
          <w:lang w:val="hy-AM"/>
        </w:rPr>
        <w:t>այդ թվում վարկային միջոցներ` 3,</w:t>
      </w:r>
      <w:r w:rsidR="008256F5" w:rsidRPr="008256F5">
        <w:rPr>
          <w:b w:val="0"/>
          <w:bCs/>
          <w:iCs/>
          <w:lang w:val="hy-AM"/>
        </w:rPr>
        <w:t>494.1</w:t>
      </w:r>
      <w:r w:rsidRPr="009070BD">
        <w:rPr>
          <w:b w:val="0"/>
          <w:bCs/>
          <w:iCs/>
          <w:lang w:val="hy-AM"/>
        </w:rPr>
        <w:t xml:space="preserve"> </w:t>
      </w:r>
      <w:r w:rsidRPr="009070BD">
        <w:rPr>
          <w:b w:val="0"/>
          <w:bCs/>
          <w:iCs/>
          <w:lang w:val="af-ZA"/>
        </w:rPr>
        <w:t>մլն դրամ</w:t>
      </w:r>
      <w:r w:rsidRPr="009070BD">
        <w:rPr>
          <w:b w:val="0"/>
          <w:bCs/>
          <w:iCs/>
          <w:lang w:val="hy-AM"/>
        </w:rPr>
        <w:t xml:space="preserve">, ՀՀ կառավարության համաֆինանսավորում ` </w:t>
      </w:r>
      <w:r w:rsidR="008256F5" w:rsidRPr="008256F5">
        <w:rPr>
          <w:b w:val="0"/>
          <w:bCs/>
          <w:iCs/>
          <w:lang w:val="hy-AM"/>
        </w:rPr>
        <w:t>861.4</w:t>
      </w:r>
      <w:r w:rsidRPr="009070BD">
        <w:rPr>
          <w:b w:val="0"/>
          <w:bCs/>
          <w:iCs/>
          <w:lang w:val="af-ZA"/>
        </w:rPr>
        <w:t xml:space="preserve"> մլն դրա</w:t>
      </w:r>
      <w:r w:rsidRPr="009070BD">
        <w:rPr>
          <w:b w:val="0"/>
          <w:bCs/>
          <w:iCs/>
          <w:lang w:val="hy-AM"/>
        </w:rPr>
        <w:t xml:space="preserve">մ: </w:t>
      </w:r>
    </w:p>
    <w:p w:rsidR="001971B9" w:rsidRPr="009070BD" w:rsidRDefault="001971B9" w:rsidP="007730AA">
      <w:pPr>
        <w:spacing w:before="0" w:line="276" w:lineRule="auto"/>
        <w:ind w:firstLine="720"/>
        <w:rPr>
          <w:b w:val="0"/>
          <w:bCs/>
          <w:iCs/>
          <w:lang w:val="af-ZA"/>
        </w:rPr>
      </w:pPr>
      <w:r w:rsidRPr="009070BD">
        <w:rPr>
          <w:b w:val="0"/>
          <w:bCs/>
          <w:iCs/>
          <w:lang w:val="hy-AM"/>
        </w:rPr>
        <w:t xml:space="preserve">13. </w:t>
      </w:r>
      <w:r w:rsidRPr="009070BD">
        <w:rPr>
          <w:b w:val="0"/>
          <w:bCs/>
          <w:iCs/>
          <w:lang w:val="af-ZA"/>
        </w:rPr>
        <w:t>Եվրոպական ներդրումային բանկի աջակցությամբ իրականացվող Երևանի ջրամատակարարման բարելավման ծրագիր</w:t>
      </w:r>
      <w:r w:rsidRPr="009070BD">
        <w:rPr>
          <w:b w:val="0"/>
          <w:bCs/>
          <w:iCs/>
          <w:lang w:val="hy-AM"/>
        </w:rPr>
        <w:t xml:space="preserve">, որի </w:t>
      </w:r>
      <w:r w:rsidRPr="009070BD">
        <w:rPr>
          <w:b w:val="0"/>
          <w:bCs/>
          <w:iCs/>
          <w:lang w:val="af-ZA"/>
        </w:rPr>
        <w:t xml:space="preserve">նպատակն է աջակցել Երևան քաղաքի ջրամատակարարման բարելավմանը` ջրամատակարարման ցանցի վերակառուցման, ջրահեռացման համակարգերի բարելավման միջոցով և </w:t>
      </w:r>
      <w:r w:rsidRPr="009070BD">
        <w:rPr>
          <w:b w:val="0"/>
          <w:bCs/>
          <w:iCs/>
          <w:lang w:val="hy-AM"/>
        </w:rPr>
        <w:t>համարվում</w:t>
      </w:r>
      <w:r w:rsidRPr="009070BD">
        <w:rPr>
          <w:b w:val="0"/>
          <w:bCs/>
          <w:iCs/>
          <w:lang w:val="af-ZA"/>
        </w:rPr>
        <w:t xml:space="preserve"> </w:t>
      </w:r>
      <w:r w:rsidRPr="009070BD">
        <w:rPr>
          <w:b w:val="0"/>
          <w:bCs/>
          <w:iCs/>
          <w:lang w:val="hy-AM"/>
        </w:rPr>
        <w:t>է</w:t>
      </w:r>
      <w:r w:rsidRPr="009070BD">
        <w:rPr>
          <w:b w:val="0"/>
          <w:bCs/>
          <w:iCs/>
          <w:lang w:val="af-ZA"/>
        </w:rPr>
        <w:t xml:space="preserve"> </w:t>
      </w:r>
      <w:r w:rsidRPr="009070BD">
        <w:rPr>
          <w:b w:val="0"/>
          <w:bCs/>
          <w:iCs/>
          <w:lang w:val="hy-AM"/>
        </w:rPr>
        <w:t>նախորդ</w:t>
      </w:r>
      <w:r w:rsidRPr="009070BD">
        <w:rPr>
          <w:b w:val="0"/>
          <w:bCs/>
          <w:iCs/>
          <w:lang w:val="af-ZA"/>
        </w:rPr>
        <w:t xml:space="preserve"> </w:t>
      </w:r>
      <w:r w:rsidRPr="009070BD">
        <w:rPr>
          <w:b w:val="0"/>
          <w:bCs/>
          <w:iCs/>
          <w:lang w:val="hy-AM"/>
        </w:rPr>
        <w:t>ծրագրի</w:t>
      </w:r>
      <w:r w:rsidRPr="009070BD">
        <w:rPr>
          <w:b w:val="0"/>
          <w:bCs/>
          <w:iCs/>
          <w:lang w:val="af-ZA"/>
        </w:rPr>
        <w:t xml:space="preserve"> </w:t>
      </w:r>
      <w:r w:rsidRPr="009070BD">
        <w:rPr>
          <w:b w:val="0"/>
          <w:bCs/>
          <w:iCs/>
          <w:lang w:val="hy-AM"/>
        </w:rPr>
        <w:t>մասնաբաժին</w:t>
      </w:r>
      <w:r w:rsidRPr="009070BD">
        <w:rPr>
          <w:b w:val="0"/>
          <w:bCs/>
          <w:iCs/>
          <w:lang w:val="af-ZA"/>
        </w:rPr>
        <w:t xml:space="preserve"> </w:t>
      </w:r>
      <w:r w:rsidRPr="009070BD">
        <w:rPr>
          <w:b w:val="0"/>
          <w:bCs/>
          <w:iCs/>
          <w:lang w:val="hy-AM"/>
        </w:rPr>
        <w:t>ԵՆԲ</w:t>
      </w:r>
      <w:r w:rsidRPr="009070BD">
        <w:rPr>
          <w:b w:val="0"/>
          <w:bCs/>
          <w:iCs/>
          <w:lang w:val="af-ZA"/>
        </w:rPr>
        <w:t>-</w:t>
      </w:r>
      <w:r w:rsidRPr="009070BD">
        <w:rPr>
          <w:b w:val="0"/>
          <w:bCs/>
          <w:iCs/>
          <w:lang w:val="hy-AM"/>
        </w:rPr>
        <w:t>ի</w:t>
      </w:r>
      <w:r w:rsidRPr="009070BD">
        <w:rPr>
          <w:b w:val="0"/>
          <w:bCs/>
          <w:iCs/>
          <w:lang w:val="af-ZA"/>
        </w:rPr>
        <w:t xml:space="preserve"> </w:t>
      </w:r>
      <w:r w:rsidRPr="009070BD">
        <w:rPr>
          <w:b w:val="0"/>
          <w:bCs/>
          <w:iCs/>
          <w:lang w:val="hy-AM"/>
        </w:rPr>
        <w:t>աջակցությամբ՝</w:t>
      </w:r>
      <w:r w:rsidRPr="009070BD">
        <w:rPr>
          <w:b w:val="0"/>
          <w:bCs/>
          <w:iCs/>
          <w:lang w:val="af-ZA"/>
        </w:rPr>
        <w:t xml:space="preserve"> 202</w:t>
      </w:r>
      <w:r w:rsidRPr="009070BD">
        <w:rPr>
          <w:b w:val="0"/>
          <w:bCs/>
          <w:iCs/>
          <w:lang w:val="hy-AM"/>
        </w:rPr>
        <w:t>1թ</w:t>
      </w:r>
      <w:r w:rsidRPr="009070BD">
        <w:rPr>
          <w:b w:val="0"/>
          <w:bCs/>
          <w:iCs/>
          <w:lang w:val="af-ZA"/>
        </w:rPr>
        <w:t xml:space="preserve">. </w:t>
      </w:r>
      <w:r w:rsidRPr="009070BD">
        <w:rPr>
          <w:b w:val="0"/>
          <w:bCs/>
          <w:iCs/>
          <w:lang w:val="hy-AM"/>
        </w:rPr>
        <w:t>նախատեսված</w:t>
      </w:r>
      <w:r w:rsidRPr="009070BD">
        <w:rPr>
          <w:b w:val="0"/>
          <w:bCs/>
          <w:iCs/>
          <w:lang w:val="af-ZA"/>
        </w:rPr>
        <w:t xml:space="preserve"> </w:t>
      </w:r>
      <w:r w:rsidRPr="009070BD">
        <w:rPr>
          <w:b w:val="0"/>
          <w:bCs/>
          <w:iCs/>
          <w:lang w:val="hy-AM"/>
        </w:rPr>
        <w:t>է</w:t>
      </w:r>
      <w:r w:rsidRPr="009070BD">
        <w:rPr>
          <w:b w:val="0"/>
          <w:bCs/>
          <w:iCs/>
          <w:lang w:val="af-ZA"/>
        </w:rPr>
        <w:t xml:space="preserve"> </w:t>
      </w:r>
      <w:r w:rsidR="008256F5" w:rsidRPr="008256F5">
        <w:rPr>
          <w:b w:val="0"/>
          <w:bCs/>
          <w:iCs/>
          <w:lang w:val="hy-AM"/>
        </w:rPr>
        <w:t>877.8</w:t>
      </w:r>
      <w:r w:rsidRPr="009070BD">
        <w:rPr>
          <w:b w:val="0"/>
          <w:bCs/>
          <w:iCs/>
          <w:lang w:val="af-ZA"/>
        </w:rPr>
        <w:t xml:space="preserve"> </w:t>
      </w:r>
      <w:r w:rsidRPr="009070BD">
        <w:rPr>
          <w:b w:val="0"/>
          <w:bCs/>
          <w:iCs/>
          <w:lang w:val="hy-AM"/>
        </w:rPr>
        <w:t>մլն</w:t>
      </w:r>
      <w:r w:rsidRPr="009070BD">
        <w:rPr>
          <w:b w:val="0"/>
          <w:bCs/>
          <w:iCs/>
          <w:lang w:val="af-ZA"/>
        </w:rPr>
        <w:t xml:space="preserve"> </w:t>
      </w:r>
      <w:r w:rsidRPr="009070BD">
        <w:rPr>
          <w:b w:val="0"/>
          <w:bCs/>
          <w:iCs/>
          <w:lang w:val="hy-AM"/>
        </w:rPr>
        <w:t>դրամ</w:t>
      </w:r>
      <w:r w:rsidRPr="009070BD">
        <w:rPr>
          <w:b w:val="0"/>
          <w:bCs/>
          <w:iCs/>
          <w:lang w:val="af-ZA"/>
        </w:rPr>
        <w:t xml:space="preserve">, </w:t>
      </w:r>
      <w:r w:rsidRPr="009070BD">
        <w:rPr>
          <w:b w:val="0"/>
          <w:bCs/>
          <w:iCs/>
          <w:lang w:val="hy-AM"/>
        </w:rPr>
        <w:t>այդ</w:t>
      </w:r>
      <w:r w:rsidRPr="009070BD">
        <w:rPr>
          <w:b w:val="0"/>
          <w:bCs/>
          <w:iCs/>
          <w:lang w:val="af-ZA"/>
        </w:rPr>
        <w:t xml:space="preserve"> </w:t>
      </w:r>
      <w:r w:rsidRPr="009070BD">
        <w:rPr>
          <w:b w:val="0"/>
          <w:bCs/>
          <w:iCs/>
          <w:lang w:val="hy-AM"/>
        </w:rPr>
        <w:t xml:space="preserve">թվում վարկային միջոցներ` </w:t>
      </w:r>
      <w:r w:rsidR="008256F5" w:rsidRPr="008256F5">
        <w:rPr>
          <w:b w:val="0"/>
          <w:bCs/>
          <w:iCs/>
          <w:lang w:val="hy-AM"/>
        </w:rPr>
        <w:t>617.2</w:t>
      </w:r>
      <w:r w:rsidRPr="009070BD">
        <w:rPr>
          <w:b w:val="0"/>
          <w:bCs/>
          <w:iCs/>
          <w:lang w:val="hy-AM"/>
        </w:rPr>
        <w:t xml:space="preserve"> </w:t>
      </w:r>
      <w:r w:rsidRPr="009070BD">
        <w:rPr>
          <w:b w:val="0"/>
          <w:bCs/>
          <w:iCs/>
          <w:lang w:val="af-ZA"/>
        </w:rPr>
        <w:t>մլն դրամ</w:t>
      </w:r>
      <w:r w:rsidRPr="009070BD">
        <w:rPr>
          <w:b w:val="0"/>
          <w:bCs/>
          <w:iCs/>
          <w:lang w:val="hy-AM"/>
        </w:rPr>
        <w:t xml:space="preserve">, ՀՀ կառավարության համաֆինանսավորում` </w:t>
      </w:r>
      <w:r w:rsidR="008256F5" w:rsidRPr="008256F5">
        <w:rPr>
          <w:b w:val="0"/>
          <w:bCs/>
          <w:iCs/>
          <w:lang w:val="hy-AM"/>
        </w:rPr>
        <w:t>260.6</w:t>
      </w:r>
      <w:r w:rsidRPr="009070BD">
        <w:rPr>
          <w:b w:val="0"/>
          <w:bCs/>
          <w:iCs/>
          <w:lang w:val="af-ZA"/>
        </w:rPr>
        <w:t xml:space="preserve"> մլն դրամ: </w:t>
      </w:r>
    </w:p>
    <w:p w:rsidR="001971B9" w:rsidRPr="009070BD" w:rsidRDefault="001971B9" w:rsidP="007730AA">
      <w:pPr>
        <w:spacing w:before="0" w:line="276" w:lineRule="auto"/>
        <w:ind w:firstLine="720"/>
        <w:rPr>
          <w:b w:val="0"/>
          <w:bCs/>
          <w:iCs/>
          <w:lang w:val="af-ZA"/>
        </w:rPr>
      </w:pPr>
      <w:r w:rsidRPr="009070BD">
        <w:rPr>
          <w:b w:val="0"/>
          <w:bCs/>
          <w:iCs/>
          <w:lang w:val="hy-AM"/>
        </w:rPr>
        <w:t xml:space="preserve">14. </w:t>
      </w:r>
      <w:r w:rsidRPr="009070BD">
        <w:rPr>
          <w:b w:val="0"/>
          <w:bCs/>
          <w:iCs/>
          <w:lang w:val="af-ZA"/>
        </w:rPr>
        <w:t>Եվրոպական միության հարևանության ներդրումային ծրագրի աջակցությամբ իրականացվող Երևանի ջրամատակարարման բարելավման դրամաշնորհային ծրագիր</w:t>
      </w:r>
      <w:r w:rsidRPr="009070BD">
        <w:rPr>
          <w:b w:val="0"/>
          <w:bCs/>
          <w:iCs/>
          <w:lang w:val="hy-AM"/>
        </w:rPr>
        <w:t>, որի</w:t>
      </w:r>
      <w:r w:rsidRPr="009070BD">
        <w:rPr>
          <w:b w:val="0"/>
          <w:bCs/>
          <w:iCs/>
          <w:lang w:val="af-ZA"/>
        </w:rPr>
        <w:t xml:space="preserve"> նպատակն է աջակցել Երևան քաղաքի ջրամատակարարման բարելավմանը և համարվում է նախորդող վարկային ծրագրերի դրամաշնորհային մասնաբաժին</w:t>
      </w:r>
      <w:r w:rsidRPr="009070BD">
        <w:rPr>
          <w:b w:val="0"/>
          <w:bCs/>
          <w:iCs/>
          <w:lang w:val="hy-AM"/>
        </w:rPr>
        <w:t>՝</w:t>
      </w:r>
      <w:r w:rsidRPr="009070BD">
        <w:rPr>
          <w:b w:val="0"/>
          <w:bCs/>
          <w:iCs/>
          <w:lang w:val="af-ZA"/>
        </w:rPr>
        <w:t xml:space="preserve"> 202</w:t>
      </w:r>
      <w:r w:rsidRPr="009070BD">
        <w:rPr>
          <w:b w:val="0"/>
          <w:bCs/>
          <w:iCs/>
          <w:lang w:val="hy-AM"/>
        </w:rPr>
        <w:t>1թ</w:t>
      </w:r>
      <w:r w:rsidRPr="009070BD">
        <w:rPr>
          <w:b w:val="0"/>
          <w:bCs/>
          <w:iCs/>
          <w:lang w:val="af-ZA"/>
        </w:rPr>
        <w:t xml:space="preserve">. </w:t>
      </w:r>
      <w:r w:rsidRPr="009070BD">
        <w:rPr>
          <w:b w:val="0"/>
          <w:bCs/>
          <w:iCs/>
          <w:lang w:val="hy-AM"/>
        </w:rPr>
        <w:t>նախատեսված</w:t>
      </w:r>
      <w:r w:rsidRPr="009070BD">
        <w:rPr>
          <w:b w:val="0"/>
          <w:bCs/>
          <w:iCs/>
          <w:lang w:val="af-ZA"/>
        </w:rPr>
        <w:t xml:space="preserve"> </w:t>
      </w:r>
      <w:r w:rsidRPr="009070BD">
        <w:rPr>
          <w:b w:val="0"/>
          <w:bCs/>
          <w:iCs/>
          <w:lang w:val="hy-AM"/>
        </w:rPr>
        <w:t>է</w:t>
      </w:r>
      <w:r w:rsidRPr="009070BD">
        <w:rPr>
          <w:b w:val="0"/>
          <w:bCs/>
          <w:iCs/>
          <w:lang w:val="af-ZA"/>
        </w:rPr>
        <w:t xml:space="preserve"> </w:t>
      </w:r>
      <w:r w:rsidR="008256F5" w:rsidRPr="008256F5">
        <w:rPr>
          <w:b w:val="0"/>
          <w:bCs/>
          <w:iCs/>
          <w:lang w:val="af-ZA"/>
        </w:rPr>
        <w:t>1,214.</w:t>
      </w:r>
      <w:r w:rsidR="008256F5">
        <w:rPr>
          <w:b w:val="0"/>
          <w:bCs/>
          <w:iCs/>
          <w:lang w:val="af-ZA"/>
        </w:rPr>
        <w:t>2</w:t>
      </w:r>
      <w:r w:rsidRPr="009070BD">
        <w:rPr>
          <w:b w:val="0"/>
          <w:bCs/>
          <w:iCs/>
          <w:lang w:val="af-ZA"/>
        </w:rPr>
        <w:t xml:space="preserve"> </w:t>
      </w:r>
      <w:r w:rsidRPr="009070BD">
        <w:rPr>
          <w:b w:val="0"/>
          <w:bCs/>
          <w:iCs/>
          <w:lang w:val="hy-AM"/>
        </w:rPr>
        <w:t>մլն</w:t>
      </w:r>
      <w:r w:rsidRPr="009070BD">
        <w:rPr>
          <w:b w:val="0"/>
          <w:bCs/>
          <w:iCs/>
          <w:lang w:val="af-ZA"/>
        </w:rPr>
        <w:t xml:space="preserve"> </w:t>
      </w:r>
      <w:r w:rsidRPr="009070BD">
        <w:rPr>
          <w:b w:val="0"/>
          <w:bCs/>
          <w:iCs/>
          <w:lang w:val="hy-AM"/>
        </w:rPr>
        <w:t>դրամ</w:t>
      </w:r>
      <w:r w:rsidRPr="009070BD">
        <w:rPr>
          <w:b w:val="0"/>
          <w:bCs/>
          <w:iCs/>
          <w:lang w:val="af-ZA"/>
        </w:rPr>
        <w:t xml:space="preserve">, </w:t>
      </w:r>
      <w:r w:rsidRPr="009070BD">
        <w:rPr>
          <w:b w:val="0"/>
          <w:bCs/>
          <w:iCs/>
          <w:lang w:val="hy-AM"/>
        </w:rPr>
        <w:t>այդ</w:t>
      </w:r>
      <w:r w:rsidRPr="009070BD">
        <w:rPr>
          <w:b w:val="0"/>
          <w:bCs/>
          <w:iCs/>
          <w:lang w:val="af-ZA"/>
        </w:rPr>
        <w:t xml:space="preserve"> </w:t>
      </w:r>
      <w:r w:rsidRPr="009070BD">
        <w:rPr>
          <w:b w:val="0"/>
          <w:bCs/>
          <w:iCs/>
          <w:lang w:val="hy-AM"/>
        </w:rPr>
        <w:t xml:space="preserve">թվում դրամաշնորհային միջոցներ` </w:t>
      </w:r>
      <w:r w:rsidR="008256F5" w:rsidRPr="008256F5">
        <w:rPr>
          <w:b w:val="0"/>
          <w:bCs/>
          <w:iCs/>
          <w:lang w:val="af-ZA"/>
        </w:rPr>
        <w:t>971.</w:t>
      </w:r>
      <w:r w:rsidR="008256F5">
        <w:rPr>
          <w:b w:val="0"/>
          <w:bCs/>
          <w:iCs/>
          <w:lang w:val="af-ZA"/>
        </w:rPr>
        <w:t>8</w:t>
      </w:r>
      <w:r w:rsidRPr="009070BD">
        <w:rPr>
          <w:b w:val="0"/>
          <w:bCs/>
          <w:iCs/>
          <w:lang w:val="af-ZA"/>
        </w:rPr>
        <w:t xml:space="preserve"> մլն դրամ</w:t>
      </w:r>
      <w:r w:rsidRPr="009070BD">
        <w:rPr>
          <w:b w:val="0"/>
          <w:bCs/>
          <w:iCs/>
          <w:lang w:val="hy-AM"/>
        </w:rPr>
        <w:t xml:space="preserve">, ՀՀ կառավարության համաֆինանսավորում  </w:t>
      </w:r>
      <w:r w:rsidR="008256F5" w:rsidRPr="008256F5">
        <w:rPr>
          <w:b w:val="0"/>
          <w:bCs/>
          <w:iCs/>
          <w:lang w:val="af-ZA"/>
        </w:rPr>
        <w:t>242.</w:t>
      </w:r>
      <w:r w:rsidR="008256F5">
        <w:rPr>
          <w:b w:val="0"/>
          <w:bCs/>
          <w:iCs/>
          <w:lang w:val="af-ZA"/>
        </w:rPr>
        <w:t>4</w:t>
      </w:r>
      <w:r w:rsidRPr="009070BD">
        <w:rPr>
          <w:b w:val="0"/>
          <w:bCs/>
          <w:iCs/>
          <w:lang w:val="af-ZA"/>
        </w:rPr>
        <w:t xml:space="preserve"> մլն դրամ: </w:t>
      </w:r>
    </w:p>
    <w:p w:rsidR="001971B9" w:rsidRPr="009070BD" w:rsidRDefault="001971B9" w:rsidP="007730AA">
      <w:pPr>
        <w:spacing w:before="0" w:line="276" w:lineRule="auto"/>
        <w:ind w:firstLine="720"/>
        <w:rPr>
          <w:b w:val="0"/>
          <w:bCs/>
          <w:iCs/>
          <w:lang w:val="af-ZA"/>
        </w:rPr>
      </w:pPr>
      <w:r w:rsidRPr="009070BD">
        <w:rPr>
          <w:b w:val="0"/>
          <w:bCs/>
          <w:iCs/>
          <w:lang w:val="hy-AM"/>
        </w:rPr>
        <w:t>15.Գերմանիայի</w:t>
      </w:r>
      <w:r w:rsidRPr="009070BD">
        <w:rPr>
          <w:b w:val="0"/>
          <w:bCs/>
          <w:iCs/>
          <w:lang w:val="af-ZA"/>
        </w:rPr>
        <w:t xml:space="preserve"> </w:t>
      </w:r>
      <w:r w:rsidRPr="009070BD">
        <w:rPr>
          <w:b w:val="0"/>
          <w:bCs/>
          <w:iCs/>
          <w:lang w:val="hy-AM"/>
        </w:rPr>
        <w:t>զարգացման</w:t>
      </w:r>
      <w:r w:rsidRPr="009070BD">
        <w:rPr>
          <w:b w:val="0"/>
          <w:bCs/>
          <w:iCs/>
          <w:lang w:val="af-ZA"/>
        </w:rPr>
        <w:t xml:space="preserve"> </w:t>
      </w:r>
      <w:r w:rsidRPr="009070BD">
        <w:rPr>
          <w:b w:val="0"/>
          <w:bCs/>
          <w:iCs/>
          <w:lang w:val="hy-AM"/>
        </w:rPr>
        <w:t>վարկերի</w:t>
      </w:r>
      <w:r w:rsidRPr="009070BD">
        <w:rPr>
          <w:b w:val="0"/>
          <w:bCs/>
          <w:iCs/>
          <w:lang w:val="af-ZA"/>
        </w:rPr>
        <w:t xml:space="preserve"> </w:t>
      </w:r>
      <w:r w:rsidRPr="009070BD">
        <w:rPr>
          <w:b w:val="0"/>
          <w:bCs/>
          <w:iCs/>
          <w:lang w:val="hy-AM"/>
        </w:rPr>
        <w:t>բանկի</w:t>
      </w:r>
      <w:r w:rsidRPr="009070BD">
        <w:rPr>
          <w:b w:val="0"/>
          <w:bCs/>
          <w:iCs/>
          <w:lang w:val="af-ZA"/>
        </w:rPr>
        <w:t xml:space="preserve"> </w:t>
      </w:r>
      <w:r w:rsidRPr="009070BD">
        <w:rPr>
          <w:b w:val="0"/>
          <w:bCs/>
          <w:iCs/>
          <w:lang w:val="hy-AM"/>
        </w:rPr>
        <w:t>աջակցությամբ</w:t>
      </w:r>
      <w:r w:rsidRPr="009070BD">
        <w:rPr>
          <w:b w:val="0"/>
          <w:bCs/>
          <w:iCs/>
          <w:lang w:val="af-ZA"/>
        </w:rPr>
        <w:t xml:space="preserve"> </w:t>
      </w:r>
      <w:r w:rsidRPr="009070BD">
        <w:rPr>
          <w:b w:val="0"/>
          <w:bCs/>
          <w:iCs/>
          <w:lang w:val="hy-AM"/>
        </w:rPr>
        <w:t>իրականացվող</w:t>
      </w:r>
      <w:r w:rsidRPr="009070BD">
        <w:rPr>
          <w:b w:val="0"/>
          <w:bCs/>
          <w:iCs/>
          <w:lang w:val="af-ZA"/>
        </w:rPr>
        <w:t xml:space="preserve"> </w:t>
      </w:r>
      <w:r w:rsidRPr="009070BD">
        <w:rPr>
          <w:b w:val="0"/>
          <w:bCs/>
          <w:iCs/>
          <w:lang w:val="hy-AM"/>
        </w:rPr>
        <w:t>ջրամատակարարման</w:t>
      </w:r>
      <w:r w:rsidRPr="009070BD">
        <w:rPr>
          <w:b w:val="0"/>
          <w:bCs/>
          <w:iCs/>
          <w:lang w:val="af-ZA"/>
        </w:rPr>
        <w:t xml:space="preserve"> </w:t>
      </w:r>
      <w:r w:rsidRPr="009070BD">
        <w:rPr>
          <w:b w:val="0"/>
          <w:bCs/>
          <w:iCs/>
          <w:lang w:val="hy-AM"/>
        </w:rPr>
        <w:t>և</w:t>
      </w:r>
      <w:r w:rsidRPr="009070BD">
        <w:rPr>
          <w:b w:val="0"/>
          <w:bCs/>
          <w:iCs/>
          <w:lang w:val="af-ZA"/>
        </w:rPr>
        <w:t xml:space="preserve"> </w:t>
      </w:r>
      <w:r w:rsidRPr="009070BD">
        <w:rPr>
          <w:b w:val="0"/>
          <w:bCs/>
          <w:iCs/>
          <w:lang w:val="hy-AM"/>
        </w:rPr>
        <w:t>ջրահեռացման</w:t>
      </w:r>
      <w:r w:rsidRPr="009070BD">
        <w:rPr>
          <w:b w:val="0"/>
          <w:bCs/>
          <w:iCs/>
          <w:lang w:val="af-ZA"/>
        </w:rPr>
        <w:t xml:space="preserve"> </w:t>
      </w:r>
      <w:r w:rsidRPr="009070BD">
        <w:rPr>
          <w:b w:val="0"/>
          <w:bCs/>
          <w:iCs/>
          <w:lang w:val="hy-AM"/>
        </w:rPr>
        <w:t>ենթակառուցվածքների</w:t>
      </w:r>
      <w:r w:rsidRPr="009070BD">
        <w:rPr>
          <w:b w:val="0"/>
          <w:bCs/>
          <w:iCs/>
          <w:lang w:val="af-ZA"/>
        </w:rPr>
        <w:t xml:space="preserve"> </w:t>
      </w:r>
      <w:r w:rsidRPr="009070BD">
        <w:rPr>
          <w:b w:val="0"/>
          <w:bCs/>
          <w:iCs/>
          <w:lang w:val="hy-AM"/>
        </w:rPr>
        <w:t>վերականգնման</w:t>
      </w:r>
      <w:r w:rsidRPr="009070BD">
        <w:rPr>
          <w:b w:val="0"/>
          <w:bCs/>
          <w:iCs/>
          <w:lang w:val="af-ZA"/>
        </w:rPr>
        <w:t xml:space="preserve"> </w:t>
      </w:r>
      <w:r w:rsidRPr="009070BD">
        <w:rPr>
          <w:b w:val="0"/>
          <w:bCs/>
          <w:iCs/>
          <w:lang w:val="hy-AM"/>
        </w:rPr>
        <w:t>ծրագրի</w:t>
      </w:r>
      <w:r w:rsidRPr="009070BD">
        <w:rPr>
          <w:b w:val="0"/>
          <w:bCs/>
          <w:iCs/>
          <w:lang w:val="af-ZA"/>
        </w:rPr>
        <w:t xml:space="preserve"> </w:t>
      </w:r>
      <w:r w:rsidRPr="009070BD">
        <w:rPr>
          <w:b w:val="0"/>
          <w:bCs/>
          <w:iCs/>
          <w:lang w:val="hy-AM"/>
        </w:rPr>
        <w:t>երրորդ</w:t>
      </w:r>
      <w:r w:rsidRPr="009070BD">
        <w:rPr>
          <w:b w:val="0"/>
          <w:bCs/>
          <w:iCs/>
          <w:lang w:val="af-ZA"/>
        </w:rPr>
        <w:t xml:space="preserve"> </w:t>
      </w:r>
      <w:r w:rsidRPr="009070BD">
        <w:rPr>
          <w:b w:val="0"/>
          <w:bCs/>
          <w:iCs/>
          <w:lang w:val="hy-AM"/>
        </w:rPr>
        <w:t>փուլ</w:t>
      </w:r>
      <w:r w:rsidRPr="009070BD">
        <w:rPr>
          <w:b w:val="0"/>
          <w:bCs/>
          <w:iCs/>
          <w:lang w:val="af-ZA"/>
        </w:rPr>
        <w:t xml:space="preserve">, </w:t>
      </w:r>
      <w:r w:rsidRPr="009070BD">
        <w:rPr>
          <w:b w:val="0"/>
          <w:bCs/>
          <w:iCs/>
          <w:lang w:val="hy-AM"/>
        </w:rPr>
        <w:t>իրականացվում է Եվրոպական ներդրո</w:t>
      </w:r>
      <w:r w:rsidR="008256F5">
        <w:rPr>
          <w:b w:val="0"/>
          <w:bCs/>
          <w:iCs/>
          <w:lang w:val="en-US"/>
        </w:rPr>
        <w:t>ւ</w:t>
      </w:r>
      <w:r w:rsidRPr="009070BD">
        <w:rPr>
          <w:b w:val="0"/>
          <w:bCs/>
          <w:iCs/>
          <w:lang w:val="hy-AM"/>
        </w:rPr>
        <w:t xml:space="preserve">մային բանկի աջակցությամբ իրականացվող նույնանուն ծրագրի հետ համատեղ: </w:t>
      </w:r>
      <w:r w:rsidRPr="009070BD">
        <w:rPr>
          <w:b w:val="0"/>
          <w:bCs/>
          <w:iCs/>
          <w:lang w:val="af-ZA"/>
        </w:rPr>
        <w:t>202</w:t>
      </w:r>
      <w:r w:rsidRPr="009070BD">
        <w:rPr>
          <w:b w:val="0"/>
          <w:bCs/>
          <w:iCs/>
          <w:lang w:val="hy-AM"/>
        </w:rPr>
        <w:t>1թ</w:t>
      </w:r>
      <w:r w:rsidRPr="009070BD">
        <w:rPr>
          <w:b w:val="0"/>
          <w:bCs/>
          <w:iCs/>
          <w:lang w:val="af-ZA"/>
        </w:rPr>
        <w:t xml:space="preserve">. </w:t>
      </w:r>
      <w:r w:rsidRPr="009070BD">
        <w:rPr>
          <w:b w:val="0"/>
          <w:bCs/>
          <w:iCs/>
          <w:lang w:val="hy-AM"/>
        </w:rPr>
        <w:t>նախատեսված</w:t>
      </w:r>
      <w:r w:rsidRPr="009070BD">
        <w:rPr>
          <w:b w:val="0"/>
          <w:bCs/>
          <w:iCs/>
          <w:lang w:val="af-ZA"/>
        </w:rPr>
        <w:t xml:space="preserve"> </w:t>
      </w:r>
      <w:r w:rsidRPr="009070BD">
        <w:rPr>
          <w:b w:val="0"/>
          <w:bCs/>
          <w:iCs/>
          <w:lang w:val="hy-AM"/>
        </w:rPr>
        <w:t>է</w:t>
      </w:r>
      <w:r w:rsidRPr="009070BD">
        <w:rPr>
          <w:b w:val="0"/>
          <w:bCs/>
          <w:iCs/>
          <w:lang w:val="af-ZA"/>
        </w:rPr>
        <w:t xml:space="preserve"> </w:t>
      </w:r>
      <w:r w:rsidR="00AE2194" w:rsidRPr="00AE2194">
        <w:rPr>
          <w:b w:val="0"/>
          <w:bCs/>
          <w:iCs/>
          <w:lang w:val="af-ZA"/>
        </w:rPr>
        <w:t>2</w:t>
      </w:r>
      <w:r w:rsidR="00AE2194">
        <w:rPr>
          <w:b w:val="0"/>
          <w:bCs/>
          <w:iCs/>
          <w:lang w:val="af-ZA"/>
        </w:rPr>
        <w:t>,</w:t>
      </w:r>
      <w:r w:rsidR="00AE2194" w:rsidRPr="00AE2194">
        <w:rPr>
          <w:b w:val="0"/>
          <w:bCs/>
          <w:iCs/>
          <w:lang w:val="af-ZA"/>
        </w:rPr>
        <w:t>541</w:t>
      </w:r>
      <w:r w:rsidR="00AE2194">
        <w:rPr>
          <w:b w:val="0"/>
          <w:bCs/>
          <w:iCs/>
          <w:lang w:val="af-ZA"/>
        </w:rPr>
        <w:t>.8</w:t>
      </w:r>
      <w:r w:rsidRPr="009070BD">
        <w:rPr>
          <w:b w:val="0"/>
          <w:bCs/>
          <w:iCs/>
          <w:lang w:val="af-ZA"/>
        </w:rPr>
        <w:t xml:space="preserve"> </w:t>
      </w:r>
      <w:r w:rsidRPr="009070BD">
        <w:rPr>
          <w:b w:val="0"/>
          <w:bCs/>
          <w:iCs/>
          <w:lang w:val="hy-AM"/>
        </w:rPr>
        <w:t>մլն</w:t>
      </w:r>
      <w:r w:rsidRPr="009070BD">
        <w:rPr>
          <w:b w:val="0"/>
          <w:bCs/>
          <w:iCs/>
          <w:lang w:val="af-ZA"/>
        </w:rPr>
        <w:t xml:space="preserve"> </w:t>
      </w:r>
      <w:r w:rsidRPr="009070BD">
        <w:rPr>
          <w:b w:val="0"/>
          <w:bCs/>
          <w:iCs/>
          <w:lang w:val="hy-AM"/>
        </w:rPr>
        <w:t>դրամ</w:t>
      </w:r>
      <w:r w:rsidRPr="009070BD">
        <w:rPr>
          <w:b w:val="0"/>
          <w:bCs/>
          <w:iCs/>
          <w:lang w:val="af-ZA"/>
        </w:rPr>
        <w:t xml:space="preserve">, </w:t>
      </w:r>
      <w:r w:rsidRPr="009070BD">
        <w:rPr>
          <w:b w:val="0"/>
          <w:bCs/>
          <w:iCs/>
          <w:lang w:val="hy-AM"/>
        </w:rPr>
        <w:t>այդ</w:t>
      </w:r>
      <w:r w:rsidRPr="009070BD">
        <w:rPr>
          <w:b w:val="0"/>
          <w:bCs/>
          <w:iCs/>
          <w:lang w:val="af-ZA"/>
        </w:rPr>
        <w:t xml:space="preserve"> </w:t>
      </w:r>
      <w:r w:rsidRPr="009070BD">
        <w:rPr>
          <w:b w:val="0"/>
          <w:bCs/>
          <w:iCs/>
          <w:lang w:val="hy-AM"/>
        </w:rPr>
        <w:t xml:space="preserve">թվում </w:t>
      </w:r>
      <w:r w:rsidRPr="009070BD">
        <w:rPr>
          <w:b w:val="0"/>
          <w:bCs/>
          <w:iCs/>
          <w:lang w:val="en-US"/>
        </w:rPr>
        <w:t>դրամաշնորհային</w:t>
      </w:r>
      <w:r w:rsidRPr="009070BD">
        <w:rPr>
          <w:b w:val="0"/>
          <w:bCs/>
          <w:iCs/>
          <w:lang w:val="hy-AM"/>
        </w:rPr>
        <w:t xml:space="preserve"> միջոցներ` 2,</w:t>
      </w:r>
      <w:r w:rsidR="00AE2194" w:rsidRPr="00AE2194">
        <w:rPr>
          <w:b w:val="0"/>
          <w:bCs/>
          <w:iCs/>
          <w:lang w:val="af-ZA"/>
        </w:rPr>
        <w:t>104.9</w:t>
      </w:r>
      <w:r w:rsidRPr="009070BD">
        <w:rPr>
          <w:b w:val="0"/>
          <w:bCs/>
          <w:iCs/>
          <w:lang w:val="af-ZA"/>
        </w:rPr>
        <w:t xml:space="preserve"> մլն դրամ</w:t>
      </w:r>
      <w:r w:rsidRPr="009070BD">
        <w:rPr>
          <w:b w:val="0"/>
          <w:bCs/>
          <w:iCs/>
          <w:lang w:val="hy-AM"/>
        </w:rPr>
        <w:t xml:space="preserve">, ՀՀ կառավարության համաֆինանսավորում  </w:t>
      </w:r>
      <w:r w:rsidR="00AE2194" w:rsidRPr="00AE2194">
        <w:rPr>
          <w:b w:val="0"/>
          <w:bCs/>
          <w:iCs/>
          <w:lang w:val="af-ZA"/>
        </w:rPr>
        <w:t>436.</w:t>
      </w:r>
      <w:r w:rsidR="00AE2194">
        <w:rPr>
          <w:b w:val="0"/>
          <w:bCs/>
          <w:iCs/>
          <w:lang w:val="af-ZA"/>
        </w:rPr>
        <w:t>9</w:t>
      </w:r>
      <w:r w:rsidRPr="009070BD">
        <w:rPr>
          <w:b w:val="0"/>
          <w:bCs/>
          <w:iCs/>
          <w:lang w:val="af-ZA"/>
        </w:rPr>
        <w:t xml:space="preserve"> մլն դրամ: </w:t>
      </w:r>
    </w:p>
    <w:p w:rsidR="001971B9" w:rsidRPr="009070BD" w:rsidRDefault="001971B9" w:rsidP="007730AA">
      <w:pPr>
        <w:spacing w:before="0" w:line="276" w:lineRule="auto"/>
        <w:ind w:firstLine="720"/>
        <w:rPr>
          <w:b w:val="0"/>
          <w:bCs/>
          <w:iCs/>
          <w:lang w:val="hy-AM"/>
        </w:rPr>
      </w:pPr>
      <w:r w:rsidRPr="009070BD">
        <w:rPr>
          <w:b w:val="0"/>
          <w:bCs/>
          <w:iCs/>
          <w:lang w:val="hy-AM"/>
        </w:rPr>
        <w:t xml:space="preserve">16. </w:t>
      </w:r>
      <w:r w:rsidRPr="009070BD">
        <w:rPr>
          <w:b w:val="0"/>
          <w:bCs/>
          <w:iCs/>
        </w:rPr>
        <w:t>Եվրոպական</w:t>
      </w:r>
      <w:r w:rsidRPr="009070BD">
        <w:rPr>
          <w:b w:val="0"/>
          <w:bCs/>
          <w:iCs/>
          <w:lang w:val="af-ZA"/>
        </w:rPr>
        <w:t xml:space="preserve"> </w:t>
      </w:r>
      <w:r w:rsidRPr="009070BD">
        <w:rPr>
          <w:b w:val="0"/>
          <w:bCs/>
          <w:iCs/>
        </w:rPr>
        <w:t>ներդրումային</w:t>
      </w:r>
      <w:r w:rsidRPr="009070BD">
        <w:rPr>
          <w:b w:val="0"/>
          <w:bCs/>
          <w:iCs/>
          <w:lang w:val="af-ZA"/>
        </w:rPr>
        <w:t xml:space="preserve"> </w:t>
      </w:r>
      <w:r w:rsidRPr="009070BD">
        <w:rPr>
          <w:b w:val="0"/>
          <w:bCs/>
          <w:iCs/>
        </w:rPr>
        <w:t>բանկի</w:t>
      </w:r>
      <w:r w:rsidRPr="009070BD">
        <w:rPr>
          <w:b w:val="0"/>
          <w:bCs/>
          <w:iCs/>
          <w:lang w:val="af-ZA"/>
        </w:rPr>
        <w:t xml:space="preserve"> </w:t>
      </w:r>
      <w:r w:rsidRPr="009070BD">
        <w:rPr>
          <w:b w:val="0"/>
          <w:bCs/>
          <w:iCs/>
        </w:rPr>
        <w:t>աջակցությամբ</w:t>
      </w:r>
      <w:r w:rsidRPr="009070BD">
        <w:rPr>
          <w:b w:val="0"/>
          <w:bCs/>
          <w:iCs/>
          <w:lang w:val="af-ZA"/>
        </w:rPr>
        <w:t xml:space="preserve"> </w:t>
      </w:r>
      <w:r w:rsidRPr="009070BD">
        <w:rPr>
          <w:b w:val="0"/>
          <w:bCs/>
          <w:iCs/>
        </w:rPr>
        <w:t>իրականացվող</w:t>
      </w:r>
      <w:r w:rsidRPr="009070BD">
        <w:rPr>
          <w:b w:val="0"/>
          <w:bCs/>
          <w:iCs/>
          <w:lang w:val="af-ZA"/>
        </w:rPr>
        <w:t xml:space="preserve"> </w:t>
      </w:r>
      <w:r w:rsidRPr="009070BD">
        <w:rPr>
          <w:b w:val="0"/>
          <w:bCs/>
          <w:iCs/>
        </w:rPr>
        <w:t>ջրամատակարարման</w:t>
      </w:r>
      <w:r w:rsidRPr="009070BD">
        <w:rPr>
          <w:b w:val="0"/>
          <w:bCs/>
          <w:iCs/>
          <w:lang w:val="af-ZA"/>
        </w:rPr>
        <w:t xml:space="preserve"> </w:t>
      </w:r>
      <w:r w:rsidRPr="009070BD">
        <w:rPr>
          <w:b w:val="0"/>
          <w:bCs/>
          <w:iCs/>
        </w:rPr>
        <w:t>և</w:t>
      </w:r>
      <w:r w:rsidRPr="009070BD">
        <w:rPr>
          <w:b w:val="0"/>
          <w:bCs/>
          <w:iCs/>
          <w:lang w:val="af-ZA"/>
        </w:rPr>
        <w:t xml:space="preserve"> </w:t>
      </w:r>
      <w:r w:rsidRPr="009070BD">
        <w:rPr>
          <w:b w:val="0"/>
          <w:bCs/>
          <w:iCs/>
        </w:rPr>
        <w:t>ջրահեռացման</w:t>
      </w:r>
      <w:r w:rsidRPr="009070BD">
        <w:rPr>
          <w:b w:val="0"/>
          <w:bCs/>
          <w:iCs/>
          <w:lang w:val="af-ZA"/>
        </w:rPr>
        <w:t xml:space="preserve"> </w:t>
      </w:r>
      <w:r w:rsidRPr="009070BD">
        <w:rPr>
          <w:b w:val="0"/>
          <w:bCs/>
          <w:iCs/>
        </w:rPr>
        <w:t>ենթակառուցվածքների</w:t>
      </w:r>
      <w:r w:rsidRPr="009070BD">
        <w:rPr>
          <w:b w:val="0"/>
          <w:bCs/>
          <w:iCs/>
          <w:lang w:val="af-ZA"/>
        </w:rPr>
        <w:t xml:space="preserve"> </w:t>
      </w:r>
      <w:r w:rsidRPr="009070BD">
        <w:rPr>
          <w:b w:val="0"/>
          <w:bCs/>
          <w:iCs/>
        </w:rPr>
        <w:t>վերականգնման</w:t>
      </w:r>
      <w:r w:rsidRPr="009070BD">
        <w:rPr>
          <w:b w:val="0"/>
          <w:bCs/>
          <w:iCs/>
          <w:lang w:val="af-ZA"/>
        </w:rPr>
        <w:t xml:space="preserve"> </w:t>
      </w:r>
      <w:r w:rsidRPr="009070BD">
        <w:rPr>
          <w:b w:val="0"/>
          <w:bCs/>
          <w:iCs/>
        </w:rPr>
        <w:t>ծրագրի</w:t>
      </w:r>
      <w:r w:rsidRPr="009070BD">
        <w:rPr>
          <w:b w:val="0"/>
          <w:bCs/>
          <w:iCs/>
          <w:lang w:val="af-ZA"/>
        </w:rPr>
        <w:t xml:space="preserve"> </w:t>
      </w:r>
      <w:r w:rsidRPr="009070BD">
        <w:rPr>
          <w:b w:val="0"/>
          <w:bCs/>
          <w:iCs/>
        </w:rPr>
        <w:t>երրորդ</w:t>
      </w:r>
      <w:r w:rsidRPr="009070BD">
        <w:rPr>
          <w:b w:val="0"/>
          <w:bCs/>
          <w:iCs/>
          <w:lang w:val="af-ZA"/>
        </w:rPr>
        <w:t xml:space="preserve"> </w:t>
      </w:r>
      <w:r w:rsidRPr="009070BD">
        <w:rPr>
          <w:b w:val="0"/>
          <w:bCs/>
          <w:iCs/>
        </w:rPr>
        <w:t>փուլ</w:t>
      </w:r>
      <w:r w:rsidRPr="009070BD">
        <w:rPr>
          <w:b w:val="0"/>
          <w:bCs/>
          <w:iCs/>
          <w:lang w:val="hy-AM"/>
        </w:rPr>
        <w:t xml:space="preserve">, որոնց </w:t>
      </w:r>
      <w:r w:rsidRPr="009070BD">
        <w:rPr>
          <w:b w:val="0"/>
          <w:bCs/>
          <w:iCs/>
          <w:lang w:val="pt-BR"/>
        </w:rPr>
        <w:t xml:space="preserve">նպատակն է </w:t>
      </w:r>
      <w:r w:rsidRPr="009070BD">
        <w:rPr>
          <w:b w:val="0"/>
          <w:bCs/>
          <w:iCs/>
          <w:lang w:val="hy-AM"/>
        </w:rPr>
        <w:t>6 քաղաքների և 37 գյուղական բնակավայրերի ջրամատակարարման և ջրահեռացման համակարգերի հատվածների հրատապ վերականգնման աշխատանքների, բաշխիչ</w:t>
      </w:r>
      <w:r w:rsidRPr="009070BD">
        <w:rPr>
          <w:b w:val="0"/>
          <w:bCs/>
          <w:iCs/>
          <w:lang w:val="it-IT"/>
        </w:rPr>
        <w:t xml:space="preserve"> </w:t>
      </w:r>
      <w:r w:rsidRPr="009070BD">
        <w:rPr>
          <w:b w:val="0"/>
          <w:bCs/>
          <w:iCs/>
          <w:lang w:val="hy-AM"/>
        </w:rPr>
        <w:t>ցանցերի</w:t>
      </w:r>
      <w:r w:rsidRPr="009070BD">
        <w:rPr>
          <w:b w:val="0"/>
          <w:bCs/>
          <w:iCs/>
          <w:lang w:val="it-IT"/>
        </w:rPr>
        <w:t xml:space="preserve"> </w:t>
      </w:r>
      <w:r w:rsidRPr="009070BD">
        <w:rPr>
          <w:b w:val="0"/>
          <w:bCs/>
          <w:iCs/>
          <w:lang w:val="hy-AM"/>
        </w:rPr>
        <w:t>վերականգնման</w:t>
      </w:r>
      <w:r w:rsidRPr="009070BD">
        <w:rPr>
          <w:b w:val="0"/>
          <w:bCs/>
          <w:iCs/>
          <w:lang w:val="it-IT"/>
        </w:rPr>
        <w:t xml:space="preserve">, </w:t>
      </w:r>
      <w:r w:rsidRPr="009070BD">
        <w:rPr>
          <w:b w:val="0"/>
          <w:bCs/>
          <w:iCs/>
          <w:lang w:val="hy-AM"/>
        </w:rPr>
        <w:t>Գյումրի</w:t>
      </w:r>
      <w:r w:rsidRPr="009070BD">
        <w:rPr>
          <w:b w:val="0"/>
          <w:bCs/>
          <w:iCs/>
          <w:lang w:val="it-IT"/>
        </w:rPr>
        <w:t xml:space="preserve"> </w:t>
      </w:r>
      <w:r w:rsidRPr="009070BD">
        <w:rPr>
          <w:b w:val="0"/>
          <w:bCs/>
          <w:iCs/>
          <w:lang w:val="hy-AM"/>
        </w:rPr>
        <w:t>քաղաքի</w:t>
      </w:r>
      <w:r w:rsidRPr="009070BD">
        <w:rPr>
          <w:b w:val="0"/>
          <w:bCs/>
          <w:iCs/>
          <w:lang w:val="it-IT"/>
        </w:rPr>
        <w:t xml:space="preserve"> </w:t>
      </w:r>
      <w:r w:rsidRPr="009070BD">
        <w:rPr>
          <w:b w:val="0"/>
          <w:bCs/>
          <w:iCs/>
          <w:lang w:val="hy-AM"/>
        </w:rPr>
        <w:t>առավել</w:t>
      </w:r>
      <w:r w:rsidRPr="009070BD">
        <w:rPr>
          <w:b w:val="0"/>
          <w:bCs/>
          <w:iCs/>
          <w:lang w:val="it-IT"/>
        </w:rPr>
        <w:t xml:space="preserve"> </w:t>
      </w:r>
      <w:r w:rsidRPr="009070BD">
        <w:rPr>
          <w:b w:val="0"/>
          <w:bCs/>
          <w:iCs/>
          <w:lang w:val="hy-AM"/>
        </w:rPr>
        <w:t>ռիսկային</w:t>
      </w:r>
      <w:r w:rsidRPr="009070BD">
        <w:rPr>
          <w:b w:val="0"/>
          <w:bCs/>
          <w:iCs/>
          <w:lang w:val="it-IT"/>
        </w:rPr>
        <w:t xml:space="preserve"> </w:t>
      </w:r>
      <w:r w:rsidRPr="009070BD">
        <w:rPr>
          <w:b w:val="0"/>
          <w:bCs/>
          <w:iCs/>
          <w:lang w:val="hy-AM"/>
        </w:rPr>
        <w:t>կետերի</w:t>
      </w:r>
      <w:r w:rsidRPr="009070BD">
        <w:rPr>
          <w:b w:val="0"/>
          <w:bCs/>
          <w:iCs/>
          <w:lang w:val="it-IT"/>
        </w:rPr>
        <w:t xml:space="preserve"> (</w:t>
      </w:r>
      <w:r w:rsidRPr="009070BD">
        <w:rPr>
          <w:b w:val="0"/>
          <w:bCs/>
          <w:iCs/>
          <w:lang w:val="hy-AM"/>
        </w:rPr>
        <w:t>Աթոյան</w:t>
      </w:r>
      <w:r w:rsidRPr="009070BD">
        <w:rPr>
          <w:b w:val="0"/>
          <w:bCs/>
          <w:iCs/>
          <w:lang w:val="it-IT"/>
        </w:rPr>
        <w:t xml:space="preserve">, </w:t>
      </w:r>
      <w:r w:rsidRPr="009070BD">
        <w:rPr>
          <w:b w:val="0"/>
          <w:bCs/>
          <w:iCs/>
          <w:lang w:val="hy-AM"/>
        </w:rPr>
        <w:t>Շիրակացի</w:t>
      </w:r>
      <w:r w:rsidRPr="009070BD">
        <w:rPr>
          <w:b w:val="0"/>
          <w:bCs/>
          <w:iCs/>
          <w:lang w:val="it-IT"/>
        </w:rPr>
        <w:t xml:space="preserve">, </w:t>
      </w:r>
      <w:r w:rsidRPr="009070BD">
        <w:rPr>
          <w:b w:val="0"/>
          <w:bCs/>
          <w:iCs/>
          <w:lang w:val="hy-AM"/>
        </w:rPr>
        <w:t>Ղուկասյան</w:t>
      </w:r>
      <w:r w:rsidRPr="009070BD">
        <w:rPr>
          <w:b w:val="0"/>
          <w:bCs/>
          <w:iCs/>
          <w:lang w:val="it-IT"/>
        </w:rPr>
        <w:t xml:space="preserve"> </w:t>
      </w:r>
      <w:r w:rsidRPr="009070BD">
        <w:rPr>
          <w:b w:val="0"/>
          <w:bCs/>
          <w:iCs/>
          <w:lang w:val="hy-AM"/>
        </w:rPr>
        <w:t>փողոցների</w:t>
      </w:r>
      <w:r w:rsidRPr="009070BD">
        <w:rPr>
          <w:b w:val="0"/>
          <w:bCs/>
          <w:iCs/>
          <w:lang w:val="it-IT"/>
        </w:rPr>
        <w:t xml:space="preserve">) </w:t>
      </w:r>
      <w:r w:rsidRPr="009070BD">
        <w:rPr>
          <w:b w:val="0"/>
          <w:bCs/>
          <w:iCs/>
          <w:lang w:val="hy-AM"/>
        </w:rPr>
        <w:t>կոյուղու</w:t>
      </w:r>
      <w:r w:rsidRPr="009070BD">
        <w:rPr>
          <w:b w:val="0"/>
          <w:bCs/>
          <w:iCs/>
          <w:lang w:val="it-IT"/>
        </w:rPr>
        <w:t xml:space="preserve"> </w:t>
      </w:r>
      <w:r w:rsidRPr="009070BD">
        <w:rPr>
          <w:b w:val="0"/>
          <w:bCs/>
          <w:iCs/>
          <w:lang w:val="hy-AM"/>
        </w:rPr>
        <w:t>համակարգի</w:t>
      </w:r>
      <w:r w:rsidRPr="009070BD">
        <w:rPr>
          <w:b w:val="0"/>
          <w:bCs/>
          <w:iCs/>
          <w:lang w:val="it-IT"/>
        </w:rPr>
        <w:t xml:space="preserve"> </w:t>
      </w:r>
      <w:r w:rsidRPr="009070BD">
        <w:rPr>
          <w:b w:val="0"/>
          <w:bCs/>
          <w:iCs/>
          <w:lang w:val="hy-AM"/>
        </w:rPr>
        <w:t>վերականգման</w:t>
      </w:r>
      <w:r w:rsidRPr="009070BD">
        <w:rPr>
          <w:b w:val="0"/>
          <w:bCs/>
          <w:iCs/>
          <w:lang w:val="it-IT"/>
        </w:rPr>
        <w:t xml:space="preserve">, </w:t>
      </w:r>
      <w:r w:rsidRPr="009070BD">
        <w:rPr>
          <w:b w:val="0"/>
          <w:bCs/>
          <w:iCs/>
          <w:lang w:val="hy-AM"/>
        </w:rPr>
        <w:t>Վանաձոր, Արմավիր</w:t>
      </w:r>
      <w:r w:rsidRPr="009070BD">
        <w:rPr>
          <w:b w:val="0"/>
          <w:bCs/>
          <w:iCs/>
          <w:lang w:val="it-IT"/>
        </w:rPr>
        <w:t xml:space="preserve"> </w:t>
      </w:r>
      <w:r w:rsidRPr="009070BD">
        <w:rPr>
          <w:b w:val="0"/>
          <w:bCs/>
          <w:iCs/>
          <w:lang w:val="hy-AM"/>
        </w:rPr>
        <w:t>քաղաքների</w:t>
      </w:r>
      <w:r w:rsidRPr="009070BD">
        <w:rPr>
          <w:b w:val="0"/>
          <w:bCs/>
          <w:iCs/>
          <w:lang w:val="it-IT"/>
        </w:rPr>
        <w:t xml:space="preserve"> </w:t>
      </w:r>
      <w:r w:rsidRPr="009070BD">
        <w:rPr>
          <w:b w:val="0"/>
          <w:bCs/>
          <w:iCs/>
          <w:lang w:val="hy-AM"/>
        </w:rPr>
        <w:t>ջրամատակարարման</w:t>
      </w:r>
      <w:r w:rsidRPr="009070BD">
        <w:rPr>
          <w:b w:val="0"/>
          <w:bCs/>
          <w:iCs/>
          <w:lang w:val="it-IT"/>
        </w:rPr>
        <w:t xml:space="preserve"> </w:t>
      </w:r>
      <w:r w:rsidRPr="009070BD">
        <w:rPr>
          <w:b w:val="0"/>
          <w:bCs/>
          <w:iCs/>
          <w:lang w:val="hy-AM"/>
        </w:rPr>
        <w:t>համակարգի</w:t>
      </w:r>
      <w:r w:rsidRPr="009070BD">
        <w:rPr>
          <w:b w:val="0"/>
          <w:bCs/>
          <w:iCs/>
          <w:lang w:val="it-IT"/>
        </w:rPr>
        <w:t xml:space="preserve"> </w:t>
      </w:r>
      <w:r w:rsidRPr="009070BD">
        <w:rPr>
          <w:b w:val="0"/>
          <w:bCs/>
          <w:iCs/>
          <w:lang w:val="hy-AM"/>
        </w:rPr>
        <w:t>նորացման, ինչպես նաև</w:t>
      </w:r>
      <w:r w:rsidRPr="009070BD">
        <w:rPr>
          <w:b w:val="0"/>
          <w:bCs/>
          <w:iCs/>
          <w:lang w:val="it-IT"/>
        </w:rPr>
        <w:t xml:space="preserve"> </w:t>
      </w:r>
      <w:r w:rsidRPr="009070BD">
        <w:rPr>
          <w:b w:val="0"/>
          <w:bCs/>
          <w:iCs/>
          <w:lang w:val="hy-AM"/>
        </w:rPr>
        <w:t>թվով</w:t>
      </w:r>
      <w:r w:rsidRPr="009070BD">
        <w:rPr>
          <w:b w:val="0"/>
          <w:bCs/>
          <w:iCs/>
          <w:lang w:val="it-IT"/>
        </w:rPr>
        <w:t xml:space="preserve"> 3 </w:t>
      </w:r>
      <w:r w:rsidRPr="009070BD">
        <w:rPr>
          <w:b w:val="0"/>
          <w:bCs/>
          <w:iCs/>
          <w:lang w:val="hy-AM"/>
        </w:rPr>
        <w:t>ջրամբարների</w:t>
      </w:r>
      <w:r w:rsidRPr="009070BD">
        <w:rPr>
          <w:b w:val="0"/>
          <w:bCs/>
          <w:iCs/>
          <w:lang w:val="it-IT"/>
        </w:rPr>
        <w:t xml:space="preserve"> </w:t>
      </w:r>
      <w:r w:rsidRPr="009070BD">
        <w:rPr>
          <w:b w:val="0"/>
          <w:bCs/>
          <w:iCs/>
          <w:lang w:val="hy-AM"/>
        </w:rPr>
        <w:t>կառուցման</w:t>
      </w:r>
      <w:r w:rsidRPr="009070BD">
        <w:rPr>
          <w:b w:val="0"/>
          <w:bCs/>
          <w:iCs/>
          <w:lang w:val="it-IT"/>
        </w:rPr>
        <w:t xml:space="preserve"> </w:t>
      </w:r>
      <w:r w:rsidRPr="009070BD">
        <w:rPr>
          <w:b w:val="0"/>
          <w:bCs/>
          <w:iCs/>
          <w:lang w:val="hy-AM"/>
        </w:rPr>
        <w:t>աշխատանքների</w:t>
      </w:r>
      <w:r w:rsidRPr="009070BD">
        <w:rPr>
          <w:b w:val="0"/>
          <w:bCs/>
          <w:iCs/>
          <w:lang w:val="it-IT"/>
        </w:rPr>
        <w:t xml:space="preserve"> </w:t>
      </w:r>
      <w:r w:rsidRPr="009070BD">
        <w:rPr>
          <w:b w:val="0"/>
          <w:bCs/>
          <w:iCs/>
          <w:lang w:val="hy-AM"/>
        </w:rPr>
        <w:t>որոշ</w:t>
      </w:r>
      <w:r w:rsidRPr="009070BD">
        <w:rPr>
          <w:b w:val="0"/>
          <w:bCs/>
          <w:iCs/>
          <w:lang w:val="it-IT"/>
        </w:rPr>
        <w:t xml:space="preserve"> </w:t>
      </w:r>
      <w:r w:rsidRPr="009070BD">
        <w:rPr>
          <w:b w:val="0"/>
          <w:bCs/>
          <w:iCs/>
          <w:lang w:val="hy-AM"/>
        </w:rPr>
        <w:t>մասի իրականացումը (ԵՆԲ վարկի հետ համատեղ ֆինանասավորում)</w:t>
      </w:r>
      <w:r w:rsidRPr="009070BD">
        <w:rPr>
          <w:b w:val="0"/>
          <w:bCs/>
          <w:iCs/>
          <w:lang w:val="it-IT"/>
        </w:rPr>
        <w:t>։</w:t>
      </w:r>
    </w:p>
    <w:p w:rsidR="001971B9" w:rsidRPr="00AE2194" w:rsidRDefault="001971B9" w:rsidP="007730AA">
      <w:pPr>
        <w:spacing w:before="0" w:line="276" w:lineRule="auto"/>
        <w:ind w:firstLine="720"/>
        <w:rPr>
          <w:b w:val="0"/>
          <w:bCs/>
          <w:iCs/>
          <w:lang w:val="hy-AM"/>
        </w:rPr>
      </w:pPr>
      <w:r w:rsidRPr="009070BD">
        <w:rPr>
          <w:b w:val="0"/>
          <w:bCs/>
          <w:iCs/>
          <w:lang w:val="af-ZA"/>
        </w:rPr>
        <w:t>202</w:t>
      </w:r>
      <w:r w:rsidRPr="009070BD">
        <w:rPr>
          <w:b w:val="0"/>
          <w:bCs/>
          <w:iCs/>
          <w:lang w:val="hy-AM"/>
        </w:rPr>
        <w:t>1</w:t>
      </w:r>
      <w:r w:rsidRPr="009070BD">
        <w:rPr>
          <w:b w:val="0"/>
          <w:bCs/>
          <w:iCs/>
          <w:lang w:val="af-ZA"/>
        </w:rPr>
        <w:t>թ. նախատեսվ</w:t>
      </w:r>
      <w:r w:rsidRPr="009070BD">
        <w:rPr>
          <w:b w:val="0"/>
          <w:bCs/>
          <w:iCs/>
          <w:lang w:val="hy-AM"/>
        </w:rPr>
        <w:t>ած</w:t>
      </w:r>
      <w:r w:rsidRPr="009070BD">
        <w:rPr>
          <w:b w:val="0"/>
          <w:bCs/>
          <w:iCs/>
          <w:lang w:val="af-ZA"/>
        </w:rPr>
        <w:t xml:space="preserve"> է </w:t>
      </w:r>
      <w:r w:rsidRPr="009070BD">
        <w:rPr>
          <w:b w:val="0"/>
          <w:bCs/>
          <w:iCs/>
          <w:lang w:val="hy-AM"/>
        </w:rPr>
        <w:t>2,</w:t>
      </w:r>
      <w:r w:rsidR="00AE2194" w:rsidRPr="00AE2194">
        <w:rPr>
          <w:b w:val="0"/>
          <w:bCs/>
          <w:iCs/>
          <w:lang w:val="hy-AM"/>
        </w:rPr>
        <w:t xml:space="preserve">495.4 </w:t>
      </w:r>
      <w:r w:rsidRPr="009070BD">
        <w:rPr>
          <w:b w:val="0"/>
          <w:bCs/>
          <w:iCs/>
          <w:lang w:val="af-ZA"/>
        </w:rPr>
        <w:t xml:space="preserve">մլն դրամ, այդ թվում վարկային միջոցներ` </w:t>
      </w:r>
      <w:r w:rsidR="00AE2194">
        <w:rPr>
          <w:b w:val="0"/>
          <w:bCs/>
          <w:iCs/>
          <w:lang w:val="hy-AM"/>
        </w:rPr>
        <w:t>2,0</w:t>
      </w:r>
      <w:r w:rsidR="00AE2194" w:rsidRPr="00AE2194">
        <w:rPr>
          <w:b w:val="0"/>
          <w:bCs/>
          <w:iCs/>
          <w:lang w:val="hy-AM"/>
        </w:rPr>
        <w:t>70.3</w:t>
      </w:r>
      <w:r w:rsidRPr="009070BD">
        <w:rPr>
          <w:b w:val="0"/>
          <w:bCs/>
          <w:iCs/>
          <w:lang w:val="af-ZA"/>
        </w:rPr>
        <w:t xml:space="preserve"> մլն դրամ, ՀՀ համաֆինանսավորում` </w:t>
      </w:r>
      <w:r w:rsidR="00AE2194" w:rsidRPr="00AE2194">
        <w:rPr>
          <w:b w:val="0"/>
          <w:bCs/>
          <w:iCs/>
          <w:lang w:val="hy-AM"/>
        </w:rPr>
        <w:t>425.1</w:t>
      </w:r>
      <w:r w:rsidRPr="009070BD">
        <w:rPr>
          <w:b w:val="0"/>
          <w:bCs/>
          <w:iCs/>
          <w:lang w:val="af-ZA"/>
        </w:rPr>
        <w:t xml:space="preserve"> մլն դրամ:</w:t>
      </w:r>
    </w:p>
    <w:p w:rsidR="001971B9" w:rsidRPr="009070BD" w:rsidRDefault="001971B9" w:rsidP="007730AA">
      <w:pPr>
        <w:spacing w:before="0" w:line="276" w:lineRule="auto"/>
        <w:ind w:firstLine="720"/>
        <w:rPr>
          <w:b w:val="0"/>
          <w:bCs/>
          <w:iCs/>
          <w:lang w:val="pt-BR"/>
        </w:rPr>
      </w:pPr>
      <w:r w:rsidRPr="009070BD">
        <w:rPr>
          <w:b w:val="0"/>
          <w:bCs/>
          <w:iCs/>
          <w:lang w:val="hy-AM"/>
        </w:rPr>
        <w:t xml:space="preserve">17. </w:t>
      </w:r>
      <w:r w:rsidRPr="009070BD">
        <w:rPr>
          <w:b w:val="0"/>
          <w:bCs/>
          <w:iCs/>
          <w:lang w:val="pt-BR"/>
        </w:rPr>
        <w:t>Գերմանիայի զարգացման վարկերի բանկի և Եվրոպական միության Հարևանության ներդրումային գործիքի աջակցությամբ իրականացվող ջրամատակարարման և ջրահեռացման ենթակառուցվածքների վերականգնման դրամաշնորհային ծրագրի երրորդ փուլ</w:t>
      </w:r>
      <w:r w:rsidRPr="009070BD">
        <w:rPr>
          <w:b w:val="0"/>
          <w:bCs/>
          <w:iCs/>
          <w:lang w:val="hy-AM"/>
        </w:rPr>
        <w:t xml:space="preserve">, որի </w:t>
      </w:r>
      <w:r w:rsidRPr="009070BD">
        <w:rPr>
          <w:b w:val="0"/>
          <w:bCs/>
          <w:iCs/>
          <w:lang w:val="pt-BR"/>
        </w:rPr>
        <w:t>նպատակն է ջրամատակարար ընկերությունների կողմից դուրս մնացած 560 գյուղական բնակավայրերի ջրամատակարարման և ջրահեռացման համակարգերի վերականգնումը</w:t>
      </w:r>
      <w:r w:rsidRPr="009070BD">
        <w:rPr>
          <w:b w:val="0"/>
          <w:bCs/>
          <w:iCs/>
          <w:lang w:val="hy-AM"/>
        </w:rPr>
        <w:t xml:space="preserve">, </w:t>
      </w:r>
      <w:r w:rsidRPr="009070BD">
        <w:rPr>
          <w:b w:val="0"/>
          <w:bCs/>
          <w:iCs/>
          <w:lang w:val="pt-BR"/>
        </w:rPr>
        <w:t>կեղտաջրերի մաքրման կայանի կառուցումը, կոյուղու, պոմպակայանի, կոլեկտորի, կոյուղու ցանցի վերականգնումը, ինչը թույլ կտա Արմավիր, Մեծամոր քաղաքների ու Նորապատ համայանքի կեղտաջրերի մաքրման աշխատանքներ իրականացնել: Աշխատանքներ կիրականացվեն նաև Արմավիր քաղաքի ջրամատակարարման բաշխիչ ցանցի առավել վթարային ճանաչված հատվածների վերականգնման համար՝ 202</w:t>
      </w:r>
      <w:r w:rsidRPr="009070BD">
        <w:rPr>
          <w:b w:val="0"/>
          <w:bCs/>
          <w:iCs/>
          <w:lang w:val="hy-AM"/>
        </w:rPr>
        <w:t>1</w:t>
      </w:r>
      <w:r w:rsidRPr="009070BD">
        <w:rPr>
          <w:b w:val="0"/>
          <w:bCs/>
          <w:iCs/>
          <w:lang w:val="pt-BR"/>
        </w:rPr>
        <w:t xml:space="preserve">թ. նախատեսված է </w:t>
      </w:r>
      <w:r w:rsidR="00023799" w:rsidRPr="00023799">
        <w:rPr>
          <w:b w:val="0"/>
          <w:bCs/>
          <w:iCs/>
          <w:lang w:val="pt-BR"/>
        </w:rPr>
        <w:t>1,999.</w:t>
      </w:r>
      <w:r w:rsidR="00023799">
        <w:rPr>
          <w:b w:val="0"/>
          <w:bCs/>
          <w:iCs/>
          <w:lang w:val="pt-BR"/>
        </w:rPr>
        <w:t>9</w:t>
      </w:r>
      <w:r w:rsidRPr="009070BD">
        <w:rPr>
          <w:b w:val="0"/>
          <w:bCs/>
          <w:iCs/>
          <w:lang w:val="pt-BR"/>
        </w:rPr>
        <w:t xml:space="preserve"> մլն դրամ, այդ թվում դրամաշնորհային միջոցներ` </w:t>
      </w:r>
      <w:r w:rsidRPr="009070BD">
        <w:rPr>
          <w:b w:val="0"/>
          <w:bCs/>
          <w:iCs/>
          <w:lang w:val="hy-AM"/>
        </w:rPr>
        <w:t>1,</w:t>
      </w:r>
      <w:r w:rsidR="00023799" w:rsidRPr="00023799">
        <w:rPr>
          <w:b w:val="0"/>
          <w:bCs/>
          <w:iCs/>
          <w:lang w:val="hy-AM"/>
        </w:rPr>
        <w:t>662.6</w:t>
      </w:r>
      <w:r w:rsidRPr="009070BD">
        <w:rPr>
          <w:b w:val="0"/>
          <w:bCs/>
          <w:iCs/>
          <w:lang w:val="pt-BR"/>
        </w:rPr>
        <w:t xml:space="preserve"> մլն դրամ, </w:t>
      </w:r>
      <w:r w:rsidRPr="009070BD">
        <w:rPr>
          <w:b w:val="0"/>
          <w:bCs/>
          <w:iCs/>
          <w:lang w:val="hy-AM"/>
        </w:rPr>
        <w:t>ՀՀ կառավարության համաֆինանսավորում</w:t>
      </w:r>
      <w:r w:rsidRPr="009070BD">
        <w:rPr>
          <w:b w:val="0"/>
          <w:bCs/>
          <w:iCs/>
          <w:lang w:val="pt-BR"/>
        </w:rPr>
        <w:t xml:space="preserve"> ` </w:t>
      </w:r>
      <w:r w:rsidR="00023799">
        <w:rPr>
          <w:b w:val="0"/>
          <w:bCs/>
          <w:iCs/>
          <w:lang w:val="pt-BR"/>
        </w:rPr>
        <w:t xml:space="preserve">337.3 </w:t>
      </w:r>
      <w:r w:rsidRPr="009070BD">
        <w:rPr>
          <w:b w:val="0"/>
          <w:bCs/>
          <w:iCs/>
          <w:lang w:val="pt-BR"/>
        </w:rPr>
        <w:t xml:space="preserve">մլն դրամ: </w:t>
      </w:r>
    </w:p>
    <w:p w:rsidR="001971B9" w:rsidRPr="009070BD" w:rsidRDefault="001971B9" w:rsidP="007730AA">
      <w:pPr>
        <w:spacing w:before="0" w:line="276" w:lineRule="auto"/>
        <w:ind w:firstLine="720"/>
        <w:rPr>
          <w:b w:val="0"/>
          <w:bCs/>
          <w:iCs/>
          <w:lang w:val="pt-BR"/>
        </w:rPr>
      </w:pPr>
      <w:r w:rsidRPr="009070BD">
        <w:rPr>
          <w:b w:val="0"/>
          <w:bCs/>
          <w:iCs/>
          <w:lang w:val="hy-AM"/>
        </w:rPr>
        <w:t>18.</w:t>
      </w:r>
      <w:r w:rsidRPr="009070BD">
        <w:rPr>
          <w:b w:val="0"/>
          <w:bCs/>
          <w:iCs/>
          <w:lang w:val="pt-BR"/>
        </w:rPr>
        <w:t>Գերմանիայի զարգացման վարկերի բանկի աջակցությամբ իրականացվող Ախուրյան գետի ջրային ռեսուրսների ինտեգրված կառավարման փուլ 1 ծրագիր, որի շրջանակներում  Ջրաձոր գյուղի վերաբնակեցման համար նախատեսվում է խորհրդատվություն և կառավարում, ինչպես նաև ենթակառուցվածքների և բնակելի տների կառուցում: Համաձայնագրի համաձայն նշված ծախսը կատարվելու է ՀՀ կառավարության համաֆինանսավորման միջոցների հաշվին՝ 202</w:t>
      </w:r>
      <w:r w:rsidRPr="009070BD">
        <w:rPr>
          <w:b w:val="0"/>
          <w:bCs/>
          <w:iCs/>
          <w:lang w:val="hy-AM"/>
        </w:rPr>
        <w:t>1</w:t>
      </w:r>
      <w:r w:rsidRPr="009070BD">
        <w:rPr>
          <w:b w:val="0"/>
          <w:bCs/>
          <w:iCs/>
          <w:lang w:val="pt-BR"/>
        </w:rPr>
        <w:t xml:space="preserve">թ. նախատեսված է </w:t>
      </w:r>
      <w:r w:rsidRPr="009070BD">
        <w:rPr>
          <w:b w:val="0"/>
          <w:bCs/>
          <w:iCs/>
          <w:lang w:val="hy-AM"/>
        </w:rPr>
        <w:t>1,0</w:t>
      </w:r>
      <w:r w:rsidR="00B3034A" w:rsidRPr="00B3034A">
        <w:rPr>
          <w:b w:val="0"/>
          <w:bCs/>
          <w:iCs/>
          <w:lang w:val="pt-BR"/>
        </w:rPr>
        <w:t xml:space="preserve">52.2 </w:t>
      </w:r>
      <w:r w:rsidRPr="009070BD">
        <w:rPr>
          <w:b w:val="0"/>
          <w:bCs/>
          <w:iCs/>
          <w:lang w:val="pt-BR"/>
        </w:rPr>
        <w:t xml:space="preserve">մլն դրամ </w:t>
      </w:r>
      <w:r w:rsidRPr="009070BD">
        <w:rPr>
          <w:b w:val="0"/>
          <w:bCs/>
          <w:iCs/>
          <w:lang w:val="hy-AM"/>
        </w:rPr>
        <w:t>ՀՀ կառավարության</w:t>
      </w:r>
      <w:r w:rsidRPr="009070BD">
        <w:rPr>
          <w:b w:val="0"/>
          <w:bCs/>
          <w:iCs/>
          <w:lang w:val="pt-BR"/>
        </w:rPr>
        <w:t xml:space="preserve"> համաֆինանսավորում: </w:t>
      </w:r>
    </w:p>
    <w:p w:rsidR="001971B9" w:rsidRPr="009070BD" w:rsidRDefault="001971B9" w:rsidP="007730AA">
      <w:pPr>
        <w:spacing w:before="0" w:line="276" w:lineRule="auto"/>
        <w:ind w:firstLine="720"/>
        <w:rPr>
          <w:b w:val="0"/>
          <w:bCs/>
          <w:iCs/>
          <w:lang w:val="fr-FR"/>
        </w:rPr>
      </w:pPr>
      <w:r w:rsidRPr="009070BD">
        <w:rPr>
          <w:b w:val="0"/>
          <w:bCs/>
          <w:iCs/>
          <w:lang w:val="hy-AM"/>
        </w:rPr>
        <w:t>19.</w:t>
      </w:r>
      <w:r w:rsidRPr="009070BD">
        <w:rPr>
          <w:b w:val="0"/>
          <w:bCs/>
          <w:iCs/>
          <w:lang w:val="af-ZA"/>
        </w:rPr>
        <w:t>Վերակառուցման և զարգացման եվրոպական բանկի աջակցությամբ իրակա</w:t>
      </w:r>
      <w:r w:rsidRPr="009070BD">
        <w:rPr>
          <w:b w:val="0"/>
          <w:bCs/>
          <w:iCs/>
          <w:lang w:val="af-ZA"/>
        </w:rPr>
        <w:softHyphen/>
        <w:t>նաց</w:t>
      </w:r>
      <w:r w:rsidRPr="009070BD">
        <w:rPr>
          <w:b w:val="0"/>
          <w:bCs/>
          <w:iCs/>
          <w:lang w:val="af-ZA"/>
        </w:rPr>
        <w:softHyphen/>
        <w:t>վող Կոտայքի և Գեղարքունիքի մարզերի կոշտ թափոնների կառավարման ծրագիր</w:t>
      </w:r>
      <w:r w:rsidRPr="009070BD">
        <w:rPr>
          <w:b w:val="0"/>
          <w:bCs/>
          <w:iCs/>
          <w:lang w:val="hy-AM"/>
        </w:rPr>
        <w:t>, որի</w:t>
      </w:r>
      <w:r w:rsidRPr="009070BD">
        <w:rPr>
          <w:b w:val="0"/>
          <w:bCs/>
          <w:iCs/>
          <w:lang w:val="af-ZA"/>
        </w:rPr>
        <w:t xml:space="preserve"> նպատակն է աջակցել Կոտայքի և Գեղարքունիքի մարզերում կոշտ </w:t>
      </w:r>
      <w:r w:rsidRPr="009070BD">
        <w:rPr>
          <w:b w:val="0"/>
          <w:bCs/>
          <w:iCs/>
        </w:rPr>
        <w:t>կենցաղային</w:t>
      </w:r>
      <w:r w:rsidRPr="009070BD">
        <w:rPr>
          <w:b w:val="0"/>
          <w:bCs/>
          <w:iCs/>
          <w:lang w:val="af-ZA"/>
        </w:rPr>
        <w:t xml:space="preserve"> թափոն</w:t>
      </w:r>
      <w:r w:rsidRPr="009070BD">
        <w:rPr>
          <w:b w:val="0"/>
          <w:bCs/>
          <w:iCs/>
          <w:lang w:val="af-ZA"/>
        </w:rPr>
        <w:softHyphen/>
        <w:t xml:space="preserve">ների կառավարման համակարգի բարելավմանը, նոր աղբավայրի կառուցմանը, </w:t>
      </w:r>
      <w:r w:rsidRPr="009070BD">
        <w:rPr>
          <w:b w:val="0"/>
          <w:bCs/>
          <w:iCs/>
        </w:rPr>
        <w:t>մասնագի</w:t>
      </w:r>
      <w:r w:rsidRPr="009070BD">
        <w:rPr>
          <w:b w:val="0"/>
          <w:bCs/>
          <w:iCs/>
          <w:lang w:val="af-ZA"/>
        </w:rPr>
        <w:softHyphen/>
      </w:r>
      <w:r w:rsidRPr="009070BD">
        <w:rPr>
          <w:b w:val="0"/>
          <w:bCs/>
          <w:iCs/>
        </w:rPr>
        <w:t>տացված</w:t>
      </w:r>
      <w:r w:rsidRPr="009070BD">
        <w:rPr>
          <w:b w:val="0"/>
          <w:bCs/>
          <w:iCs/>
          <w:lang w:val="af-ZA"/>
        </w:rPr>
        <w:t xml:space="preserve"> </w:t>
      </w:r>
      <w:r w:rsidRPr="009070BD">
        <w:rPr>
          <w:b w:val="0"/>
          <w:bCs/>
          <w:iCs/>
        </w:rPr>
        <w:t>սարքավորումների</w:t>
      </w:r>
      <w:r w:rsidRPr="009070BD">
        <w:rPr>
          <w:b w:val="0"/>
          <w:bCs/>
          <w:iCs/>
          <w:lang w:val="af-ZA"/>
        </w:rPr>
        <w:t xml:space="preserve"> </w:t>
      </w:r>
      <w:r w:rsidRPr="009070BD">
        <w:rPr>
          <w:b w:val="0"/>
          <w:bCs/>
          <w:iCs/>
        </w:rPr>
        <w:t>ձեռք</w:t>
      </w:r>
      <w:r w:rsidRPr="009070BD">
        <w:rPr>
          <w:b w:val="0"/>
          <w:bCs/>
          <w:iCs/>
          <w:lang w:val="af-ZA"/>
        </w:rPr>
        <w:t xml:space="preserve"> </w:t>
      </w:r>
      <w:r w:rsidRPr="009070BD">
        <w:rPr>
          <w:b w:val="0"/>
          <w:bCs/>
          <w:iCs/>
        </w:rPr>
        <w:t>բերմանը</w:t>
      </w:r>
      <w:r w:rsidRPr="009070BD">
        <w:rPr>
          <w:b w:val="0"/>
          <w:bCs/>
          <w:iCs/>
          <w:lang w:val="af-ZA"/>
        </w:rPr>
        <w:t xml:space="preserve">, </w:t>
      </w:r>
      <w:r w:rsidRPr="009070BD">
        <w:rPr>
          <w:b w:val="0"/>
          <w:bCs/>
          <w:iCs/>
        </w:rPr>
        <w:t>ինչպես</w:t>
      </w:r>
      <w:r w:rsidRPr="009070BD">
        <w:rPr>
          <w:b w:val="0"/>
          <w:bCs/>
          <w:iCs/>
          <w:lang w:val="af-ZA"/>
        </w:rPr>
        <w:t xml:space="preserve"> </w:t>
      </w:r>
      <w:r w:rsidRPr="009070BD">
        <w:rPr>
          <w:b w:val="0"/>
          <w:bCs/>
          <w:iCs/>
        </w:rPr>
        <w:t>նաև</w:t>
      </w:r>
      <w:r w:rsidRPr="009070BD">
        <w:rPr>
          <w:b w:val="0"/>
          <w:bCs/>
          <w:iCs/>
          <w:lang w:val="af-ZA"/>
        </w:rPr>
        <w:t xml:space="preserve"> </w:t>
      </w:r>
      <w:r w:rsidRPr="009070BD">
        <w:rPr>
          <w:b w:val="0"/>
          <w:bCs/>
          <w:iCs/>
        </w:rPr>
        <w:t>լրացուցիչ</w:t>
      </w:r>
      <w:r w:rsidRPr="009070BD">
        <w:rPr>
          <w:b w:val="0"/>
          <w:bCs/>
          <w:iCs/>
          <w:lang w:val="af-ZA"/>
        </w:rPr>
        <w:t xml:space="preserve"> </w:t>
      </w:r>
      <w:r w:rsidRPr="009070BD">
        <w:rPr>
          <w:b w:val="0"/>
          <w:bCs/>
          <w:iCs/>
        </w:rPr>
        <w:t>բնապահ</w:t>
      </w:r>
      <w:r w:rsidRPr="009070BD">
        <w:rPr>
          <w:b w:val="0"/>
          <w:bCs/>
          <w:iCs/>
          <w:lang w:val="af-ZA"/>
        </w:rPr>
        <w:softHyphen/>
      </w:r>
      <w:r w:rsidRPr="009070BD">
        <w:rPr>
          <w:b w:val="0"/>
          <w:bCs/>
          <w:iCs/>
        </w:rPr>
        <w:t>պանական</w:t>
      </w:r>
      <w:r w:rsidRPr="009070BD">
        <w:rPr>
          <w:b w:val="0"/>
          <w:bCs/>
          <w:iCs/>
          <w:lang w:val="af-ZA"/>
        </w:rPr>
        <w:t xml:space="preserve"> </w:t>
      </w:r>
      <w:r w:rsidRPr="009070BD">
        <w:rPr>
          <w:b w:val="0"/>
          <w:bCs/>
          <w:iCs/>
        </w:rPr>
        <w:t>և</w:t>
      </w:r>
      <w:r w:rsidRPr="009070BD">
        <w:rPr>
          <w:b w:val="0"/>
          <w:bCs/>
          <w:iCs/>
          <w:lang w:val="af-ZA"/>
        </w:rPr>
        <w:t xml:space="preserve"> </w:t>
      </w:r>
      <w:r w:rsidRPr="009070BD">
        <w:rPr>
          <w:b w:val="0"/>
          <w:bCs/>
          <w:iCs/>
        </w:rPr>
        <w:t>սոցիալական</w:t>
      </w:r>
      <w:r w:rsidRPr="009070BD">
        <w:rPr>
          <w:b w:val="0"/>
          <w:bCs/>
          <w:iCs/>
          <w:lang w:val="af-ZA"/>
        </w:rPr>
        <w:t xml:space="preserve"> </w:t>
      </w:r>
      <w:r w:rsidRPr="009070BD">
        <w:rPr>
          <w:b w:val="0"/>
          <w:bCs/>
          <w:iCs/>
        </w:rPr>
        <w:t>հետազոտությունների</w:t>
      </w:r>
      <w:r w:rsidRPr="009070BD">
        <w:rPr>
          <w:b w:val="0"/>
          <w:bCs/>
          <w:iCs/>
          <w:lang w:val="af-ZA"/>
        </w:rPr>
        <w:t xml:space="preserve"> կատարմանը՝</w:t>
      </w:r>
      <w:r w:rsidRPr="009070BD">
        <w:rPr>
          <w:b w:val="0"/>
          <w:bCs/>
          <w:iCs/>
          <w:lang w:val="hy-AM"/>
        </w:rPr>
        <w:t xml:space="preserve"> </w:t>
      </w:r>
      <w:r w:rsidRPr="009070BD">
        <w:rPr>
          <w:b w:val="0"/>
          <w:bCs/>
          <w:iCs/>
          <w:lang w:val="fr-FR"/>
        </w:rPr>
        <w:t>202</w:t>
      </w:r>
      <w:r w:rsidRPr="009070BD">
        <w:rPr>
          <w:b w:val="0"/>
          <w:bCs/>
          <w:iCs/>
          <w:lang w:val="hy-AM"/>
        </w:rPr>
        <w:t>1</w:t>
      </w:r>
      <w:r w:rsidRPr="009070BD">
        <w:rPr>
          <w:b w:val="0"/>
          <w:bCs/>
          <w:iCs/>
          <w:lang w:val="fr-FR"/>
        </w:rPr>
        <w:t xml:space="preserve">թ-ին նախատեսվում է </w:t>
      </w:r>
      <w:r w:rsidR="005C0624" w:rsidRPr="005C0624">
        <w:rPr>
          <w:b w:val="0"/>
          <w:bCs/>
          <w:iCs/>
          <w:lang w:val="pt-BR"/>
        </w:rPr>
        <w:t>709.</w:t>
      </w:r>
      <w:r w:rsidR="005C0624">
        <w:rPr>
          <w:b w:val="0"/>
          <w:bCs/>
          <w:iCs/>
          <w:lang w:val="pt-BR"/>
        </w:rPr>
        <w:t>4</w:t>
      </w:r>
      <w:r w:rsidRPr="009070BD">
        <w:rPr>
          <w:b w:val="0"/>
          <w:bCs/>
          <w:iCs/>
          <w:lang w:val="fr-FR"/>
        </w:rPr>
        <w:t xml:space="preserve"> մլն դրամ, այդ թվում վարկային միջոցներ` </w:t>
      </w:r>
      <w:r w:rsidR="005C0624" w:rsidRPr="005C0624">
        <w:rPr>
          <w:b w:val="0"/>
          <w:bCs/>
          <w:iCs/>
          <w:lang w:val="pt-BR"/>
        </w:rPr>
        <w:t>591.</w:t>
      </w:r>
      <w:r w:rsidR="005C0624">
        <w:rPr>
          <w:b w:val="0"/>
          <w:bCs/>
          <w:iCs/>
          <w:lang w:val="pt-BR"/>
        </w:rPr>
        <w:t>2</w:t>
      </w:r>
      <w:r w:rsidRPr="009070BD">
        <w:rPr>
          <w:b w:val="0"/>
          <w:bCs/>
          <w:iCs/>
          <w:lang w:val="fr-FR"/>
        </w:rPr>
        <w:t xml:space="preserve"> մլն դրամ, ՀՀ համաֆինանսավորում` </w:t>
      </w:r>
      <w:r w:rsidR="005C0624" w:rsidRPr="005C0624">
        <w:rPr>
          <w:b w:val="0"/>
          <w:bCs/>
          <w:iCs/>
          <w:lang w:val="pt-BR"/>
        </w:rPr>
        <w:t>118.</w:t>
      </w:r>
      <w:r w:rsidR="005C0624">
        <w:rPr>
          <w:b w:val="0"/>
          <w:bCs/>
          <w:iCs/>
          <w:lang w:val="pt-BR"/>
        </w:rPr>
        <w:t>2</w:t>
      </w:r>
      <w:r w:rsidRPr="009070BD">
        <w:rPr>
          <w:b w:val="0"/>
          <w:bCs/>
          <w:iCs/>
          <w:lang w:val="fr-FR"/>
        </w:rPr>
        <w:t xml:space="preserve"> մլն դրամ:</w:t>
      </w:r>
    </w:p>
    <w:p w:rsidR="001971B9" w:rsidRPr="009070BD" w:rsidRDefault="001971B9" w:rsidP="007730AA">
      <w:pPr>
        <w:spacing w:before="0" w:line="276" w:lineRule="auto"/>
        <w:ind w:firstLine="720"/>
        <w:rPr>
          <w:b w:val="0"/>
          <w:bCs/>
          <w:iCs/>
          <w:lang w:val="fr-FR"/>
        </w:rPr>
      </w:pPr>
      <w:r w:rsidRPr="009070BD">
        <w:rPr>
          <w:b w:val="0"/>
          <w:bCs/>
          <w:iCs/>
          <w:lang w:val="hy-AM"/>
        </w:rPr>
        <w:t>20.</w:t>
      </w:r>
      <w:r w:rsidRPr="009070BD">
        <w:rPr>
          <w:b w:val="0"/>
          <w:bCs/>
          <w:iCs/>
          <w:lang w:val="af-ZA"/>
        </w:rPr>
        <w:t>Վերակառուցման և զարգացման եվրոպական բանկի աջակցությամբ իրակա</w:t>
      </w:r>
      <w:r w:rsidRPr="009070BD">
        <w:rPr>
          <w:b w:val="0"/>
          <w:bCs/>
          <w:iCs/>
          <w:lang w:val="af-ZA"/>
        </w:rPr>
        <w:softHyphen/>
        <w:t xml:space="preserve">նացվող Երևանի կոշտ թափոնների </w:t>
      </w:r>
      <w:r w:rsidRPr="009070BD">
        <w:rPr>
          <w:b w:val="0"/>
          <w:bCs/>
          <w:iCs/>
        </w:rPr>
        <w:t>կառավարման</w:t>
      </w:r>
      <w:r w:rsidRPr="009070BD">
        <w:rPr>
          <w:b w:val="0"/>
          <w:bCs/>
          <w:iCs/>
          <w:lang w:val="af-ZA"/>
        </w:rPr>
        <w:t xml:space="preserve"> ծրագիր, </w:t>
      </w:r>
      <w:r w:rsidRPr="009070BD">
        <w:rPr>
          <w:b w:val="0"/>
          <w:bCs/>
          <w:iCs/>
          <w:lang w:val="hy-AM"/>
        </w:rPr>
        <w:t>որի</w:t>
      </w:r>
      <w:r w:rsidRPr="009070BD">
        <w:rPr>
          <w:b w:val="0"/>
          <w:bCs/>
          <w:iCs/>
          <w:lang w:val="af-ZA"/>
        </w:rPr>
        <w:t xml:space="preserve"> նպատակն է աջակցել Երևանի տարածքում նոր աղբավայրի կառուցման</w:t>
      </w:r>
      <w:r w:rsidRPr="009070BD">
        <w:rPr>
          <w:b w:val="0"/>
          <w:bCs/>
          <w:iCs/>
        </w:rPr>
        <w:t>ը</w:t>
      </w:r>
      <w:r w:rsidRPr="009070BD">
        <w:rPr>
          <w:b w:val="0"/>
          <w:bCs/>
          <w:iCs/>
          <w:lang w:val="af-ZA"/>
        </w:rPr>
        <w:t>, մասնագիտակցված տրանսպորտային միջոցների և սարքավորումների գնման գործընթաց</w:t>
      </w:r>
      <w:r w:rsidRPr="009070BD">
        <w:rPr>
          <w:b w:val="0"/>
          <w:bCs/>
          <w:iCs/>
        </w:rPr>
        <w:t>ին</w:t>
      </w:r>
      <w:r w:rsidRPr="009070BD">
        <w:rPr>
          <w:b w:val="0"/>
          <w:bCs/>
          <w:iCs/>
          <w:lang w:val="af-ZA"/>
        </w:rPr>
        <w:t>՝</w:t>
      </w:r>
      <w:r w:rsidRPr="009070BD">
        <w:rPr>
          <w:b w:val="0"/>
          <w:bCs/>
          <w:iCs/>
          <w:lang w:val="hy-AM"/>
        </w:rPr>
        <w:t xml:space="preserve"> </w:t>
      </w:r>
      <w:r w:rsidRPr="009070BD">
        <w:rPr>
          <w:b w:val="0"/>
          <w:bCs/>
          <w:iCs/>
          <w:lang w:val="fr-FR"/>
        </w:rPr>
        <w:t>202</w:t>
      </w:r>
      <w:r w:rsidRPr="009070BD">
        <w:rPr>
          <w:b w:val="0"/>
          <w:bCs/>
          <w:iCs/>
          <w:lang w:val="hy-AM"/>
        </w:rPr>
        <w:t>1</w:t>
      </w:r>
      <w:r w:rsidRPr="009070BD">
        <w:rPr>
          <w:b w:val="0"/>
          <w:bCs/>
          <w:iCs/>
          <w:lang w:val="fr-FR"/>
        </w:rPr>
        <w:t xml:space="preserve">թ-ին նախատեսվում է </w:t>
      </w:r>
      <w:r w:rsidR="005C0624" w:rsidRPr="005C0624">
        <w:rPr>
          <w:b w:val="0"/>
          <w:bCs/>
          <w:iCs/>
          <w:lang w:val="fr-FR"/>
        </w:rPr>
        <w:t>1,117.</w:t>
      </w:r>
      <w:r w:rsidR="005C0624">
        <w:rPr>
          <w:b w:val="0"/>
          <w:bCs/>
          <w:iCs/>
          <w:lang w:val="fr-FR"/>
        </w:rPr>
        <w:t>8</w:t>
      </w:r>
      <w:r w:rsidRPr="009070BD">
        <w:rPr>
          <w:b w:val="0"/>
          <w:bCs/>
          <w:iCs/>
          <w:lang w:val="fr-FR"/>
        </w:rPr>
        <w:t xml:space="preserve"> մլն դրամ, այդ թվում վարկային միջոցներ` </w:t>
      </w:r>
      <w:r w:rsidR="005C0624" w:rsidRPr="005C0624">
        <w:rPr>
          <w:b w:val="0"/>
          <w:bCs/>
          <w:iCs/>
          <w:lang w:val="fr-FR"/>
        </w:rPr>
        <w:t>1,014.</w:t>
      </w:r>
      <w:r w:rsidR="005C0624">
        <w:rPr>
          <w:b w:val="0"/>
          <w:bCs/>
          <w:iCs/>
          <w:lang w:val="fr-FR"/>
        </w:rPr>
        <w:t>3</w:t>
      </w:r>
      <w:r w:rsidRPr="009070BD">
        <w:rPr>
          <w:b w:val="0"/>
          <w:bCs/>
          <w:iCs/>
          <w:lang w:val="fr-FR"/>
        </w:rPr>
        <w:t xml:space="preserve"> մլն դրամ, ՀՀ համաֆինանսավորում` </w:t>
      </w:r>
      <w:r w:rsidR="005C0624" w:rsidRPr="005C0624">
        <w:rPr>
          <w:b w:val="0"/>
          <w:bCs/>
          <w:iCs/>
          <w:lang w:val="fr-FR"/>
        </w:rPr>
        <w:t>103.</w:t>
      </w:r>
      <w:r w:rsidR="005C0624">
        <w:rPr>
          <w:b w:val="0"/>
          <w:bCs/>
          <w:iCs/>
          <w:lang w:val="fr-FR"/>
        </w:rPr>
        <w:t>5</w:t>
      </w:r>
      <w:r w:rsidRPr="009070BD">
        <w:rPr>
          <w:b w:val="0"/>
          <w:bCs/>
          <w:iCs/>
          <w:lang w:val="fr-FR"/>
        </w:rPr>
        <w:t xml:space="preserve"> մլն դրամ:</w:t>
      </w:r>
    </w:p>
    <w:p w:rsidR="001971B9" w:rsidRPr="009070BD" w:rsidRDefault="001971B9" w:rsidP="007730AA">
      <w:pPr>
        <w:spacing w:before="0" w:line="276" w:lineRule="auto"/>
        <w:ind w:firstLine="720"/>
        <w:rPr>
          <w:b w:val="0"/>
          <w:bCs/>
          <w:iCs/>
          <w:lang w:val="hy-AM"/>
        </w:rPr>
      </w:pPr>
      <w:r w:rsidRPr="009070BD">
        <w:rPr>
          <w:b w:val="0"/>
          <w:bCs/>
          <w:iCs/>
          <w:lang w:val="hy-AM"/>
        </w:rPr>
        <w:t>21.</w:t>
      </w:r>
      <w:r w:rsidRPr="009070BD">
        <w:rPr>
          <w:b w:val="0"/>
          <w:bCs/>
          <w:iCs/>
          <w:lang w:val="af-ZA"/>
        </w:rPr>
        <w:t>Եվրոպական ներդրումային բանկի աջակցությամբ իրականացվող Երևանի կոշտ թափոնների ծրագիր (</w:t>
      </w:r>
      <w:r w:rsidRPr="009070BD">
        <w:rPr>
          <w:b w:val="0"/>
          <w:bCs/>
          <w:iCs/>
          <w:lang w:val="hy-AM"/>
        </w:rPr>
        <w:t>Երևան</w:t>
      </w:r>
      <w:r w:rsidRPr="009070BD">
        <w:rPr>
          <w:b w:val="0"/>
          <w:bCs/>
          <w:iCs/>
          <w:lang w:val="af-ZA"/>
        </w:rPr>
        <w:t xml:space="preserve"> </w:t>
      </w:r>
      <w:r w:rsidRPr="009070BD">
        <w:rPr>
          <w:b w:val="0"/>
          <w:bCs/>
          <w:iCs/>
          <w:lang w:val="hy-AM"/>
        </w:rPr>
        <w:t>համայնքի</w:t>
      </w:r>
      <w:r w:rsidRPr="009070BD">
        <w:rPr>
          <w:b w:val="0"/>
          <w:bCs/>
          <w:iCs/>
          <w:lang w:val="af-ZA"/>
        </w:rPr>
        <w:t xml:space="preserve"> </w:t>
      </w:r>
      <w:r w:rsidRPr="009070BD">
        <w:rPr>
          <w:b w:val="0"/>
          <w:bCs/>
          <w:iCs/>
          <w:lang w:val="hy-AM"/>
        </w:rPr>
        <w:t>ղեկավարին</w:t>
      </w:r>
      <w:r w:rsidRPr="009070BD">
        <w:rPr>
          <w:b w:val="0"/>
          <w:bCs/>
          <w:iCs/>
          <w:lang w:val="af-ZA"/>
        </w:rPr>
        <w:t xml:space="preserve"> </w:t>
      </w:r>
      <w:r w:rsidRPr="009070BD">
        <w:rPr>
          <w:b w:val="0"/>
          <w:bCs/>
          <w:iCs/>
          <w:lang w:val="hy-AM"/>
        </w:rPr>
        <w:t>պետության</w:t>
      </w:r>
      <w:r w:rsidRPr="009070BD">
        <w:rPr>
          <w:b w:val="0"/>
          <w:bCs/>
          <w:iCs/>
          <w:lang w:val="af-ZA"/>
        </w:rPr>
        <w:t xml:space="preserve"> </w:t>
      </w:r>
      <w:r w:rsidRPr="009070BD">
        <w:rPr>
          <w:b w:val="0"/>
          <w:bCs/>
          <w:iCs/>
          <w:lang w:val="hy-AM"/>
        </w:rPr>
        <w:t>կողմից</w:t>
      </w:r>
      <w:r w:rsidRPr="009070BD">
        <w:rPr>
          <w:b w:val="0"/>
          <w:bCs/>
          <w:iCs/>
          <w:lang w:val="af-ZA"/>
        </w:rPr>
        <w:t xml:space="preserve"> </w:t>
      </w:r>
      <w:r w:rsidRPr="009070BD">
        <w:rPr>
          <w:b w:val="0"/>
          <w:bCs/>
          <w:iCs/>
          <w:lang w:val="hy-AM"/>
        </w:rPr>
        <w:t>պատվիրակված</w:t>
      </w:r>
      <w:r w:rsidRPr="009070BD">
        <w:rPr>
          <w:b w:val="0"/>
          <w:bCs/>
          <w:iCs/>
          <w:lang w:val="af-ZA"/>
        </w:rPr>
        <w:t xml:space="preserve"> </w:t>
      </w:r>
      <w:r w:rsidRPr="009070BD">
        <w:rPr>
          <w:b w:val="0"/>
          <w:bCs/>
          <w:iCs/>
          <w:lang w:val="hy-AM"/>
        </w:rPr>
        <w:t>լիազորություն</w:t>
      </w:r>
      <w:r w:rsidRPr="009070BD">
        <w:rPr>
          <w:b w:val="0"/>
          <w:bCs/>
          <w:iCs/>
          <w:lang w:val="af-ZA"/>
        </w:rPr>
        <w:t>), որի նպատակն է բարելավել Երևան քաղաքում և շրջակա շրջաններում կոշտ կենցաղային թափոնների կառավարման համակարգը, նոր սանիտարական աղբավայրի և օժանդակ ենթակառուցվածքի կառուց</w:t>
      </w:r>
      <w:r w:rsidRPr="009070BD">
        <w:rPr>
          <w:b w:val="0"/>
          <w:bCs/>
          <w:iCs/>
        </w:rPr>
        <w:t>մանը</w:t>
      </w:r>
      <w:r w:rsidRPr="009070BD">
        <w:rPr>
          <w:b w:val="0"/>
          <w:bCs/>
          <w:iCs/>
          <w:lang w:val="af-ZA"/>
        </w:rPr>
        <w:t xml:space="preserve">, </w:t>
      </w:r>
      <w:r w:rsidRPr="009070BD">
        <w:rPr>
          <w:b w:val="0"/>
          <w:bCs/>
          <w:iCs/>
        </w:rPr>
        <w:t>աջակցել</w:t>
      </w:r>
      <w:r w:rsidRPr="009070BD">
        <w:rPr>
          <w:b w:val="0"/>
          <w:bCs/>
          <w:iCs/>
          <w:lang w:val="af-ZA"/>
        </w:rPr>
        <w:t xml:space="preserve"> Նուբարաշենի գործող աղբավայրի փակ</w:t>
      </w:r>
      <w:r w:rsidRPr="009070BD">
        <w:rPr>
          <w:b w:val="0"/>
          <w:bCs/>
          <w:iCs/>
        </w:rPr>
        <w:t>մանը</w:t>
      </w:r>
      <w:r w:rsidRPr="009070BD">
        <w:rPr>
          <w:b w:val="0"/>
          <w:bCs/>
          <w:iCs/>
          <w:lang w:val="af-ZA"/>
        </w:rPr>
        <w:t xml:space="preserve"> և վերականգնմ</w:t>
      </w:r>
      <w:r w:rsidRPr="009070BD">
        <w:rPr>
          <w:b w:val="0"/>
          <w:bCs/>
          <w:iCs/>
        </w:rPr>
        <w:t>անը</w:t>
      </w:r>
      <w:r w:rsidRPr="009070BD">
        <w:rPr>
          <w:b w:val="0"/>
          <w:bCs/>
          <w:iCs/>
          <w:lang w:val="af-ZA"/>
        </w:rPr>
        <w:t xml:space="preserve">, </w:t>
      </w:r>
      <w:r w:rsidRPr="009070BD">
        <w:rPr>
          <w:b w:val="0"/>
          <w:bCs/>
          <w:iCs/>
        </w:rPr>
        <w:t>ինչպես</w:t>
      </w:r>
      <w:r w:rsidRPr="009070BD">
        <w:rPr>
          <w:b w:val="0"/>
          <w:bCs/>
          <w:iCs/>
          <w:lang w:val="af-ZA"/>
        </w:rPr>
        <w:t xml:space="preserve"> </w:t>
      </w:r>
      <w:r w:rsidRPr="009070BD">
        <w:rPr>
          <w:b w:val="0"/>
          <w:bCs/>
          <w:iCs/>
        </w:rPr>
        <w:t>նաև</w:t>
      </w:r>
      <w:r w:rsidRPr="009070BD">
        <w:rPr>
          <w:b w:val="0"/>
          <w:bCs/>
          <w:iCs/>
          <w:lang w:val="af-ZA"/>
        </w:rPr>
        <w:t xml:space="preserve"> </w:t>
      </w:r>
      <w:r w:rsidRPr="009070BD">
        <w:rPr>
          <w:b w:val="0"/>
          <w:bCs/>
          <w:iCs/>
        </w:rPr>
        <w:t>լրացուցիչ</w:t>
      </w:r>
      <w:r w:rsidRPr="009070BD">
        <w:rPr>
          <w:b w:val="0"/>
          <w:bCs/>
          <w:iCs/>
          <w:lang w:val="af-ZA"/>
        </w:rPr>
        <w:t xml:space="preserve"> </w:t>
      </w:r>
      <w:r w:rsidRPr="009070BD">
        <w:rPr>
          <w:b w:val="0"/>
          <w:bCs/>
          <w:iCs/>
        </w:rPr>
        <w:t>մասնագիտացված</w:t>
      </w:r>
      <w:r w:rsidRPr="009070BD">
        <w:rPr>
          <w:b w:val="0"/>
          <w:bCs/>
          <w:iCs/>
          <w:lang w:val="af-ZA"/>
        </w:rPr>
        <w:t xml:space="preserve"> </w:t>
      </w:r>
      <w:r w:rsidRPr="009070BD">
        <w:rPr>
          <w:b w:val="0"/>
          <w:bCs/>
          <w:iCs/>
        </w:rPr>
        <w:t>սարքավորումների</w:t>
      </w:r>
      <w:r w:rsidRPr="009070BD">
        <w:rPr>
          <w:b w:val="0"/>
          <w:bCs/>
          <w:iCs/>
          <w:lang w:val="af-ZA"/>
        </w:rPr>
        <w:t xml:space="preserve"> </w:t>
      </w:r>
      <w:r w:rsidRPr="009070BD">
        <w:rPr>
          <w:b w:val="0"/>
          <w:bCs/>
          <w:iCs/>
        </w:rPr>
        <w:t>ձեռք</w:t>
      </w:r>
      <w:r w:rsidRPr="009070BD">
        <w:rPr>
          <w:b w:val="0"/>
          <w:bCs/>
          <w:iCs/>
          <w:lang w:val="af-ZA"/>
        </w:rPr>
        <w:t xml:space="preserve"> </w:t>
      </w:r>
      <w:r w:rsidRPr="009070BD">
        <w:rPr>
          <w:b w:val="0"/>
          <w:bCs/>
          <w:iCs/>
        </w:rPr>
        <w:t>բերմանը</w:t>
      </w:r>
      <w:r w:rsidRPr="009070BD">
        <w:rPr>
          <w:b w:val="0"/>
          <w:bCs/>
          <w:iCs/>
          <w:lang w:val="af-ZA"/>
        </w:rPr>
        <w:t>՝</w:t>
      </w:r>
      <w:r w:rsidRPr="009070BD">
        <w:rPr>
          <w:b w:val="0"/>
          <w:bCs/>
          <w:iCs/>
          <w:lang w:val="fr-FR"/>
        </w:rPr>
        <w:t xml:space="preserve"> 202</w:t>
      </w:r>
      <w:r w:rsidRPr="009070BD">
        <w:rPr>
          <w:b w:val="0"/>
          <w:bCs/>
          <w:iCs/>
          <w:lang w:val="hy-AM"/>
        </w:rPr>
        <w:t>1</w:t>
      </w:r>
      <w:r w:rsidRPr="009070BD">
        <w:rPr>
          <w:b w:val="0"/>
          <w:bCs/>
          <w:iCs/>
          <w:lang w:val="fr-FR"/>
        </w:rPr>
        <w:t xml:space="preserve">թ-ին նախատեսվում է </w:t>
      </w:r>
      <w:r w:rsidR="005C0624" w:rsidRPr="005C0624">
        <w:rPr>
          <w:b w:val="0"/>
          <w:bCs/>
          <w:iCs/>
          <w:lang w:val="fr-FR"/>
        </w:rPr>
        <w:t>1,117.</w:t>
      </w:r>
      <w:r w:rsidR="005C0624">
        <w:rPr>
          <w:b w:val="0"/>
          <w:bCs/>
          <w:iCs/>
          <w:lang w:val="fr-FR"/>
        </w:rPr>
        <w:t>8</w:t>
      </w:r>
      <w:r w:rsidRPr="009070BD">
        <w:rPr>
          <w:b w:val="0"/>
          <w:bCs/>
          <w:iCs/>
          <w:lang w:val="fr-FR"/>
        </w:rPr>
        <w:t xml:space="preserve"> մլն դրամ, այդ թվում վարկային միջոցներ` </w:t>
      </w:r>
      <w:r w:rsidR="005C0624" w:rsidRPr="005C0624">
        <w:rPr>
          <w:b w:val="0"/>
          <w:bCs/>
          <w:iCs/>
          <w:lang w:val="fr-FR"/>
        </w:rPr>
        <w:t>1,014.</w:t>
      </w:r>
      <w:r w:rsidR="005C0624">
        <w:rPr>
          <w:b w:val="0"/>
          <w:bCs/>
          <w:iCs/>
          <w:lang w:val="fr-FR"/>
        </w:rPr>
        <w:t>3</w:t>
      </w:r>
      <w:r w:rsidRPr="009070BD">
        <w:rPr>
          <w:b w:val="0"/>
          <w:bCs/>
          <w:iCs/>
          <w:lang w:val="fr-FR"/>
        </w:rPr>
        <w:t xml:space="preserve"> մլն դրամ, ՀՀ համաֆինանսավորում` </w:t>
      </w:r>
      <w:r w:rsidR="005C0624" w:rsidRPr="005C0624">
        <w:rPr>
          <w:b w:val="0"/>
          <w:bCs/>
          <w:iCs/>
          <w:lang w:val="fr-FR"/>
        </w:rPr>
        <w:t>103.</w:t>
      </w:r>
      <w:r w:rsidR="005C0624">
        <w:rPr>
          <w:b w:val="0"/>
          <w:bCs/>
          <w:iCs/>
          <w:lang w:val="fr-FR"/>
        </w:rPr>
        <w:t>5</w:t>
      </w:r>
      <w:r w:rsidRPr="009070BD">
        <w:rPr>
          <w:b w:val="0"/>
          <w:bCs/>
          <w:iCs/>
          <w:lang w:val="fr-FR"/>
        </w:rPr>
        <w:t xml:space="preserve"> մլն</w:t>
      </w:r>
      <w:r w:rsidRPr="009070BD">
        <w:rPr>
          <w:b w:val="0"/>
          <w:bCs/>
          <w:iCs/>
          <w:lang w:val="hy-AM"/>
        </w:rPr>
        <w:t>:</w:t>
      </w:r>
    </w:p>
    <w:p w:rsidR="001971B9" w:rsidRPr="009070BD" w:rsidRDefault="001971B9" w:rsidP="007730AA">
      <w:pPr>
        <w:spacing w:before="0" w:line="276" w:lineRule="auto"/>
        <w:ind w:firstLine="720"/>
        <w:rPr>
          <w:b w:val="0"/>
          <w:bCs/>
          <w:iCs/>
          <w:lang w:val="hy-AM"/>
        </w:rPr>
      </w:pPr>
      <w:r w:rsidRPr="009070BD">
        <w:rPr>
          <w:b w:val="0"/>
          <w:bCs/>
          <w:iCs/>
          <w:lang w:val="hy-AM"/>
        </w:rPr>
        <w:t>22.</w:t>
      </w:r>
      <w:r w:rsidRPr="009070BD">
        <w:rPr>
          <w:b w:val="0"/>
          <w:bCs/>
          <w:iCs/>
          <w:lang w:val="af-ZA"/>
        </w:rPr>
        <w:t>Վերակառուցման և զարգացման եվրոպական բանկի աջակցությամբ իրակա</w:t>
      </w:r>
      <w:r w:rsidRPr="009070BD">
        <w:rPr>
          <w:b w:val="0"/>
          <w:bCs/>
          <w:iCs/>
          <w:lang w:val="af-ZA"/>
        </w:rPr>
        <w:softHyphen/>
        <w:t>նացվող Կոտայքի և Գեղարքունիքի մարզերիի կոշտ թափոնների կառավարման դրամաշ</w:t>
      </w:r>
      <w:r w:rsidRPr="009070BD">
        <w:rPr>
          <w:b w:val="0"/>
          <w:bCs/>
          <w:iCs/>
          <w:lang w:val="af-ZA"/>
        </w:rPr>
        <w:softHyphen/>
        <w:t>նոր</w:t>
      </w:r>
      <w:r w:rsidRPr="009070BD">
        <w:rPr>
          <w:b w:val="0"/>
          <w:bCs/>
          <w:iCs/>
          <w:lang w:val="af-ZA"/>
        </w:rPr>
        <w:softHyphen/>
        <w:t>հային ծրագիր, որի հիմնական նպատակն է վերամշակել Կոտայքի մարզի կոշտ կենցաղայաին թափոնները: Դրամաշնորհային ծրագիրն ուղղված է հիմնական վարկային ծրագրի աջակցմանը՝ 202</w:t>
      </w:r>
      <w:r w:rsidRPr="009070BD">
        <w:rPr>
          <w:b w:val="0"/>
          <w:bCs/>
          <w:iCs/>
          <w:lang w:val="hy-AM"/>
        </w:rPr>
        <w:t>1</w:t>
      </w:r>
      <w:r w:rsidRPr="009070BD">
        <w:rPr>
          <w:b w:val="0"/>
          <w:bCs/>
          <w:iCs/>
          <w:lang w:val="af-ZA"/>
        </w:rPr>
        <w:t xml:space="preserve">թ-ին նախատեսվում է է </w:t>
      </w:r>
      <w:r w:rsidR="00C56BA5" w:rsidRPr="00C56BA5">
        <w:rPr>
          <w:b w:val="0"/>
          <w:bCs/>
          <w:iCs/>
          <w:lang w:val="hy-AM"/>
        </w:rPr>
        <w:t>709.4</w:t>
      </w:r>
      <w:r w:rsidRPr="009070BD">
        <w:rPr>
          <w:b w:val="0"/>
          <w:bCs/>
          <w:iCs/>
          <w:lang w:val="af-ZA"/>
        </w:rPr>
        <w:t xml:space="preserve"> մլն դրամ, այդ թվում վարկային միջոցներ` </w:t>
      </w:r>
      <w:r w:rsidR="00C56BA5" w:rsidRPr="00C56BA5">
        <w:rPr>
          <w:b w:val="0"/>
          <w:bCs/>
          <w:iCs/>
          <w:lang w:val="hy-AM"/>
        </w:rPr>
        <w:t>591.2</w:t>
      </w:r>
      <w:r w:rsidRPr="009070BD">
        <w:rPr>
          <w:b w:val="0"/>
          <w:bCs/>
          <w:iCs/>
          <w:lang w:val="af-ZA"/>
        </w:rPr>
        <w:t xml:space="preserve"> մլն դրամ, ՀՀ համաֆինանսավորում` </w:t>
      </w:r>
      <w:r w:rsidR="00C56BA5" w:rsidRPr="00C56BA5">
        <w:rPr>
          <w:b w:val="0"/>
          <w:bCs/>
          <w:iCs/>
          <w:lang w:val="hy-AM"/>
        </w:rPr>
        <w:t>118.2</w:t>
      </w:r>
      <w:r w:rsidRPr="009070BD">
        <w:rPr>
          <w:b w:val="0"/>
          <w:bCs/>
          <w:iCs/>
          <w:lang w:val="af-ZA"/>
        </w:rPr>
        <w:t xml:space="preserve"> մլն դրամ:</w:t>
      </w:r>
      <w:r w:rsidRPr="009070BD">
        <w:rPr>
          <w:b w:val="0"/>
          <w:bCs/>
          <w:iCs/>
          <w:lang w:val="hy-AM"/>
        </w:rPr>
        <w:t xml:space="preserve"> </w:t>
      </w:r>
    </w:p>
    <w:p w:rsidR="001971B9" w:rsidRPr="009070BD" w:rsidRDefault="001971B9" w:rsidP="007730AA">
      <w:pPr>
        <w:spacing w:before="0" w:line="276" w:lineRule="auto"/>
        <w:ind w:firstLine="720"/>
        <w:rPr>
          <w:b w:val="0"/>
          <w:bCs/>
          <w:iCs/>
          <w:lang w:val="af-ZA"/>
        </w:rPr>
      </w:pPr>
      <w:r w:rsidRPr="009070BD">
        <w:rPr>
          <w:b w:val="0"/>
          <w:bCs/>
          <w:iCs/>
          <w:lang w:val="hy-AM"/>
        </w:rPr>
        <w:t xml:space="preserve">23. </w:t>
      </w:r>
      <w:r w:rsidRPr="009070BD">
        <w:rPr>
          <w:b w:val="0"/>
          <w:bCs/>
          <w:iCs/>
          <w:lang w:val="af-ZA"/>
        </w:rPr>
        <w:t>Վերակառուցման և զարգացման եվրոպական բանկի աջակցությամբ իրակա</w:t>
      </w:r>
      <w:r w:rsidRPr="009070BD">
        <w:rPr>
          <w:b w:val="0"/>
          <w:bCs/>
          <w:iCs/>
          <w:lang w:val="af-ZA"/>
        </w:rPr>
        <w:softHyphen/>
        <w:t>նացվող Կոտայքի և Գեղարքունիքի մարզերի կոշտ թափոնների կառավարման խորհրդատվության համար դրամաշնորհային ծրագիր, որի նպատակն է խորհրդատվություն տրամադրել Կոտայքի և Գեղարքունիքի մարզերի կոշտ թափոնների հիմնական վարկային ծրագրի իրականացմանը՝ 202</w:t>
      </w:r>
      <w:r w:rsidRPr="009070BD">
        <w:rPr>
          <w:b w:val="0"/>
          <w:bCs/>
          <w:iCs/>
          <w:lang w:val="hy-AM"/>
        </w:rPr>
        <w:t>1</w:t>
      </w:r>
      <w:r w:rsidRPr="009070BD">
        <w:rPr>
          <w:b w:val="0"/>
          <w:bCs/>
          <w:iCs/>
          <w:lang w:val="af-ZA"/>
        </w:rPr>
        <w:t xml:space="preserve">թ-ին նախատեսվում է </w:t>
      </w:r>
      <w:r w:rsidR="00C56BA5" w:rsidRPr="00C56BA5">
        <w:rPr>
          <w:b w:val="0"/>
          <w:bCs/>
          <w:iCs/>
          <w:lang w:val="hy-AM"/>
        </w:rPr>
        <w:t>123.8</w:t>
      </w:r>
      <w:r w:rsidRPr="009070BD">
        <w:rPr>
          <w:b w:val="0"/>
          <w:bCs/>
          <w:iCs/>
          <w:lang w:val="af-ZA"/>
        </w:rPr>
        <w:t xml:space="preserve"> մլն դրամ, այդ թվում դրամաշնորհային միջոցներ` </w:t>
      </w:r>
      <w:r w:rsidR="00C56BA5" w:rsidRPr="00C56BA5">
        <w:rPr>
          <w:b w:val="0"/>
          <w:bCs/>
          <w:iCs/>
          <w:lang w:val="hy-AM"/>
        </w:rPr>
        <w:t>103.2</w:t>
      </w:r>
      <w:r w:rsidRPr="009070BD">
        <w:rPr>
          <w:b w:val="0"/>
          <w:bCs/>
          <w:iCs/>
          <w:lang w:val="af-ZA"/>
        </w:rPr>
        <w:t xml:space="preserve"> մլն դրամ, ՀՀ համաֆինանսավորում` </w:t>
      </w:r>
      <w:r w:rsidR="00C56BA5" w:rsidRPr="00C56BA5">
        <w:rPr>
          <w:b w:val="0"/>
          <w:bCs/>
          <w:iCs/>
          <w:lang w:val="hy-AM"/>
        </w:rPr>
        <w:t>20.6</w:t>
      </w:r>
      <w:r w:rsidRPr="009070BD">
        <w:rPr>
          <w:b w:val="0"/>
          <w:bCs/>
          <w:iCs/>
          <w:lang w:val="af-ZA"/>
        </w:rPr>
        <w:t xml:space="preserve"> մլն դրամ:</w:t>
      </w:r>
    </w:p>
    <w:p w:rsidR="001971B9" w:rsidRPr="009070BD" w:rsidRDefault="001971B9" w:rsidP="007730AA">
      <w:pPr>
        <w:spacing w:before="0" w:line="276" w:lineRule="auto"/>
        <w:ind w:firstLine="720"/>
        <w:rPr>
          <w:b w:val="0"/>
          <w:bCs/>
          <w:iCs/>
          <w:lang w:val="fr-FR"/>
        </w:rPr>
      </w:pPr>
      <w:r w:rsidRPr="009070BD">
        <w:rPr>
          <w:b w:val="0"/>
          <w:bCs/>
          <w:iCs/>
          <w:lang w:val="hy-AM"/>
        </w:rPr>
        <w:t xml:space="preserve">24. </w:t>
      </w:r>
      <w:r w:rsidRPr="009070BD">
        <w:rPr>
          <w:b w:val="0"/>
          <w:bCs/>
          <w:iCs/>
          <w:lang w:val="af-ZA"/>
        </w:rPr>
        <w:t>Եվրոպական միության հարևանության ներդրումային գործիքի աջակցությամբ իրականացվող «Երևանի կոշտ թափոնների կառավարման» դրամաշնորհային ծրագիր</w:t>
      </w:r>
      <w:r w:rsidRPr="009070BD">
        <w:rPr>
          <w:b w:val="0"/>
          <w:bCs/>
          <w:iCs/>
          <w:lang w:val="hy-AM"/>
        </w:rPr>
        <w:t>, որի նպատակն է</w:t>
      </w:r>
      <w:r w:rsidRPr="009070BD">
        <w:rPr>
          <w:b w:val="0"/>
          <w:bCs/>
          <w:iCs/>
          <w:lang w:val="af-ZA"/>
        </w:rPr>
        <w:t xml:space="preserve"> </w:t>
      </w:r>
      <w:r w:rsidRPr="009070BD">
        <w:rPr>
          <w:b w:val="0"/>
          <w:bCs/>
          <w:iCs/>
        </w:rPr>
        <w:t>բարելավել</w:t>
      </w:r>
      <w:r w:rsidRPr="009070BD">
        <w:rPr>
          <w:b w:val="0"/>
          <w:bCs/>
          <w:iCs/>
          <w:lang w:val="af-ZA"/>
        </w:rPr>
        <w:t xml:space="preserve"> </w:t>
      </w:r>
      <w:r w:rsidRPr="009070BD">
        <w:rPr>
          <w:b w:val="0"/>
          <w:bCs/>
          <w:iCs/>
        </w:rPr>
        <w:t>Երևանում</w:t>
      </w:r>
      <w:r w:rsidRPr="009070BD">
        <w:rPr>
          <w:b w:val="0"/>
          <w:bCs/>
          <w:iCs/>
          <w:lang w:val="af-ZA"/>
        </w:rPr>
        <w:t xml:space="preserve"> </w:t>
      </w:r>
      <w:r w:rsidRPr="009070BD">
        <w:rPr>
          <w:b w:val="0"/>
          <w:bCs/>
          <w:iCs/>
        </w:rPr>
        <w:t>կոշտ</w:t>
      </w:r>
      <w:r w:rsidRPr="009070BD">
        <w:rPr>
          <w:b w:val="0"/>
          <w:bCs/>
          <w:iCs/>
          <w:lang w:val="af-ZA"/>
        </w:rPr>
        <w:t xml:space="preserve"> </w:t>
      </w:r>
      <w:r w:rsidRPr="009070BD">
        <w:rPr>
          <w:b w:val="0"/>
          <w:bCs/>
          <w:iCs/>
        </w:rPr>
        <w:t>թափոնների</w:t>
      </w:r>
      <w:r w:rsidRPr="009070BD">
        <w:rPr>
          <w:b w:val="0"/>
          <w:bCs/>
          <w:iCs/>
          <w:lang w:val="af-ZA"/>
        </w:rPr>
        <w:t xml:space="preserve"> </w:t>
      </w:r>
      <w:r w:rsidRPr="009070BD">
        <w:rPr>
          <w:b w:val="0"/>
          <w:bCs/>
          <w:iCs/>
        </w:rPr>
        <w:t>կառավարման</w:t>
      </w:r>
      <w:r w:rsidRPr="009070BD">
        <w:rPr>
          <w:b w:val="0"/>
          <w:bCs/>
          <w:iCs/>
          <w:lang w:val="af-ZA"/>
        </w:rPr>
        <w:t xml:space="preserve"> </w:t>
      </w:r>
      <w:r w:rsidRPr="009070BD">
        <w:rPr>
          <w:b w:val="0"/>
          <w:bCs/>
          <w:iCs/>
        </w:rPr>
        <w:t>համակարգը</w:t>
      </w:r>
      <w:r w:rsidRPr="009070BD">
        <w:rPr>
          <w:b w:val="0"/>
          <w:bCs/>
          <w:iCs/>
          <w:lang w:val="hy-AM"/>
        </w:rPr>
        <w:t>, այդ թվում`</w:t>
      </w:r>
      <w:r w:rsidRPr="009070BD">
        <w:rPr>
          <w:b w:val="0"/>
          <w:bCs/>
          <w:iCs/>
          <w:lang w:val="af-ZA"/>
        </w:rPr>
        <w:t xml:space="preserve"> </w:t>
      </w:r>
      <w:r w:rsidRPr="009070BD">
        <w:rPr>
          <w:b w:val="0"/>
          <w:bCs/>
          <w:iCs/>
        </w:rPr>
        <w:t>նոր</w:t>
      </w:r>
      <w:r w:rsidRPr="009070BD">
        <w:rPr>
          <w:b w:val="0"/>
          <w:bCs/>
          <w:iCs/>
          <w:lang w:val="af-ZA"/>
        </w:rPr>
        <w:t xml:space="preserve"> </w:t>
      </w:r>
      <w:r w:rsidRPr="009070BD">
        <w:rPr>
          <w:b w:val="0"/>
          <w:bCs/>
          <w:iCs/>
        </w:rPr>
        <w:t>աղբավայրի</w:t>
      </w:r>
      <w:r w:rsidRPr="009070BD">
        <w:rPr>
          <w:b w:val="0"/>
          <w:bCs/>
          <w:iCs/>
          <w:lang w:val="af-ZA"/>
        </w:rPr>
        <w:t xml:space="preserve"> </w:t>
      </w:r>
      <w:r w:rsidRPr="009070BD">
        <w:rPr>
          <w:b w:val="0"/>
          <w:bCs/>
          <w:iCs/>
        </w:rPr>
        <w:t>կառուցում</w:t>
      </w:r>
      <w:r w:rsidRPr="009070BD">
        <w:rPr>
          <w:b w:val="0"/>
          <w:bCs/>
          <w:iCs/>
          <w:lang w:val="af-ZA"/>
        </w:rPr>
        <w:t xml:space="preserve">, </w:t>
      </w:r>
      <w:r w:rsidRPr="009070BD">
        <w:rPr>
          <w:b w:val="0"/>
          <w:bCs/>
          <w:iCs/>
        </w:rPr>
        <w:t>շահագործում</w:t>
      </w:r>
      <w:r w:rsidRPr="009070BD">
        <w:rPr>
          <w:b w:val="0"/>
          <w:bCs/>
          <w:iCs/>
          <w:lang w:val="af-ZA"/>
        </w:rPr>
        <w:t xml:space="preserve"> </w:t>
      </w:r>
      <w:r w:rsidRPr="009070BD">
        <w:rPr>
          <w:b w:val="0"/>
          <w:bCs/>
          <w:iCs/>
        </w:rPr>
        <w:t>և</w:t>
      </w:r>
      <w:r w:rsidRPr="009070BD">
        <w:rPr>
          <w:b w:val="0"/>
          <w:bCs/>
          <w:iCs/>
          <w:lang w:val="af-ZA"/>
        </w:rPr>
        <w:t xml:space="preserve"> </w:t>
      </w:r>
      <w:r w:rsidRPr="009070BD">
        <w:rPr>
          <w:b w:val="0"/>
          <w:bCs/>
          <w:iCs/>
        </w:rPr>
        <w:t>վերամշակման</w:t>
      </w:r>
      <w:r w:rsidRPr="009070BD">
        <w:rPr>
          <w:b w:val="0"/>
          <w:bCs/>
          <w:iCs/>
          <w:lang w:val="af-ZA"/>
        </w:rPr>
        <w:t xml:space="preserve"> </w:t>
      </w:r>
      <w:r w:rsidRPr="009070BD">
        <w:rPr>
          <w:b w:val="0"/>
          <w:bCs/>
          <w:iCs/>
          <w:lang w:val="hy-AM"/>
        </w:rPr>
        <w:t>ծավալների ավելացմանը նպաս</w:t>
      </w:r>
      <w:r w:rsidRPr="009070BD">
        <w:rPr>
          <w:b w:val="0"/>
          <w:bCs/>
          <w:iCs/>
          <w:lang w:val="fr-FR"/>
        </w:rPr>
        <w:softHyphen/>
      </w:r>
      <w:r w:rsidRPr="009070BD">
        <w:rPr>
          <w:b w:val="0"/>
          <w:bCs/>
          <w:iCs/>
          <w:lang w:val="hy-AM"/>
        </w:rPr>
        <w:t>տող համակարգերի ներդրում՝</w:t>
      </w:r>
      <w:r w:rsidRPr="009070BD">
        <w:rPr>
          <w:b w:val="0"/>
          <w:bCs/>
          <w:iCs/>
          <w:lang w:val="fr-FR"/>
        </w:rPr>
        <w:t xml:space="preserve"> 202</w:t>
      </w:r>
      <w:r w:rsidRPr="009070BD">
        <w:rPr>
          <w:b w:val="0"/>
          <w:bCs/>
          <w:iCs/>
          <w:lang w:val="hy-AM"/>
        </w:rPr>
        <w:t>1</w:t>
      </w:r>
      <w:r w:rsidRPr="009070BD">
        <w:rPr>
          <w:b w:val="0"/>
          <w:bCs/>
          <w:iCs/>
          <w:lang w:val="fr-FR"/>
        </w:rPr>
        <w:t xml:space="preserve">թ-ին նախատեսվում է </w:t>
      </w:r>
      <w:r w:rsidRPr="009070BD">
        <w:rPr>
          <w:b w:val="0"/>
          <w:bCs/>
          <w:iCs/>
          <w:lang w:val="hy-AM"/>
        </w:rPr>
        <w:t>2,</w:t>
      </w:r>
      <w:r w:rsidR="0060458C" w:rsidRPr="0060458C">
        <w:rPr>
          <w:b w:val="0"/>
          <w:bCs/>
          <w:iCs/>
          <w:lang w:val="af-ZA"/>
        </w:rPr>
        <w:t>044.</w:t>
      </w:r>
      <w:r w:rsidR="0060458C">
        <w:rPr>
          <w:b w:val="0"/>
          <w:bCs/>
          <w:iCs/>
          <w:lang w:val="af-ZA"/>
        </w:rPr>
        <w:t>7</w:t>
      </w:r>
      <w:r w:rsidRPr="009070BD">
        <w:rPr>
          <w:b w:val="0"/>
          <w:bCs/>
          <w:iCs/>
          <w:lang w:val="fr-FR"/>
        </w:rPr>
        <w:t xml:space="preserve"> մլն դրամ, այդ թվում </w:t>
      </w:r>
      <w:r w:rsidRPr="009070BD">
        <w:rPr>
          <w:b w:val="0"/>
          <w:bCs/>
          <w:iCs/>
          <w:lang w:val="hy-AM"/>
        </w:rPr>
        <w:t>դրամաշնորհային</w:t>
      </w:r>
      <w:r w:rsidRPr="009070BD">
        <w:rPr>
          <w:b w:val="0"/>
          <w:bCs/>
          <w:iCs/>
          <w:lang w:val="fr-FR"/>
        </w:rPr>
        <w:t xml:space="preserve"> միջոցներ` </w:t>
      </w:r>
      <w:r w:rsidR="0060458C" w:rsidRPr="0060458C">
        <w:rPr>
          <w:b w:val="0"/>
          <w:bCs/>
          <w:iCs/>
          <w:lang w:val="af-ZA"/>
        </w:rPr>
        <w:t>1,704.</w:t>
      </w:r>
      <w:r w:rsidR="0060458C">
        <w:rPr>
          <w:b w:val="0"/>
          <w:bCs/>
          <w:iCs/>
          <w:lang w:val="af-ZA"/>
        </w:rPr>
        <w:t>1</w:t>
      </w:r>
      <w:r w:rsidRPr="009070BD">
        <w:rPr>
          <w:b w:val="0"/>
          <w:bCs/>
          <w:iCs/>
          <w:lang w:val="fr-FR"/>
        </w:rPr>
        <w:t xml:space="preserve"> մլն դրամ, ՀՀ համաֆինանսավորում` </w:t>
      </w:r>
      <w:r w:rsidR="0060458C" w:rsidRPr="0060458C">
        <w:rPr>
          <w:b w:val="0"/>
          <w:bCs/>
          <w:iCs/>
          <w:lang w:val="af-ZA"/>
        </w:rPr>
        <w:t>340.</w:t>
      </w:r>
      <w:r w:rsidR="0060458C">
        <w:rPr>
          <w:b w:val="0"/>
          <w:bCs/>
          <w:iCs/>
          <w:lang w:val="af-ZA"/>
        </w:rPr>
        <w:t>6</w:t>
      </w:r>
      <w:r w:rsidRPr="009070BD">
        <w:rPr>
          <w:b w:val="0"/>
          <w:bCs/>
          <w:iCs/>
          <w:lang w:val="fr-FR"/>
        </w:rPr>
        <w:t xml:space="preserve"> մլն դրամ:</w:t>
      </w:r>
    </w:p>
    <w:p w:rsidR="001971B9" w:rsidRPr="009070BD" w:rsidRDefault="001971B9" w:rsidP="007730AA">
      <w:pPr>
        <w:spacing w:before="0" w:line="276" w:lineRule="auto"/>
        <w:ind w:firstLine="720"/>
        <w:rPr>
          <w:b w:val="0"/>
          <w:bCs/>
          <w:iCs/>
          <w:lang w:val="fr-FR"/>
        </w:rPr>
      </w:pPr>
      <w:r w:rsidRPr="009070BD">
        <w:rPr>
          <w:b w:val="0"/>
          <w:bCs/>
          <w:iCs/>
          <w:lang w:val="hy-AM"/>
        </w:rPr>
        <w:t xml:space="preserve">25. </w:t>
      </w:r>
      <w:r w:rsidRPr="009070BD">
        <w:rPr>
          <w:b w:val="0"/>
          <w:bCs/>
          <w:iCs/>
          <w:lang w:val="af-ZA"/>
        </w:rPr>
        <w:t>Արևելյան Եվրոպայի էներգախնայողության և բնապահպանական գործընկե</w:t>
      </w:r>
      <w:r w:rsidRPr="009070BD">
        <w:rPr>
          <w:b w:val="0"/>
          <w:bCs/>
          <w:iCs/>
          <w:lang w:val="af-ZA"/>
        </w:rPr>
        <w:softHyphen/>
        <w:t>րության ֆոնդի աջակցությամբ իրականացվող «Երևանի կոշտ թափոնների կառա</w:t>
      </w:r>
      <w:r w:rsidRPr="009070BD">
        <w:rPr>
          <w:b w:val="0"/>
          <w:bCs/>
          <w:iCs/>
          <w:lang w:val="af-ZA"/>
        </w:rPr>
        <w:softHyphen/>
        <w:t>վարման» դրամաշնորհային ծրագիր</w:t>
      </w:r>
      <w:r w:rsidRPr="009070BD">
        <w:rPr>
          <w:b w:val="0"/>
          <w:bCs/>
          <w:iCs/>
          <w:lang w:val="hy-AM"/>
        </w:rPr>
        <w:t>, որի նպատակն է</w:t>
      </w:r>
      <w:r w:rsidRPr="009070BD">
        <w:rPr>
          <w:b w:val="0"/>
          <w:bCs/>
          <w:iCs/>
          <w:lang w:val="af-ZA"/>
        </w:rPr>
        <w:t xml:space="preserve"> </w:t>
      </w:r>
      <w:r w:rsidRPr="009070BD">
        <w:rPr>
          <w:b w:val="0"/>
          <w:bCs/>
          <w:iCs/>
        </w:rPr>
        <w:t>բարելավել</w:t>
      </w:r>
      <w:r w:rsidRPr="009070BD">
        <w:rPr>
          <w:b w:val="0"/>
          <w:bCs/>
          <w:iCs/>
          <w:lang w:val="af-ZA"/>
        </w:rPr>
        <w:t xml:space="preserve"> </w:t>
      </w:r>
      <w:r w:rsidRPr="009070BD">
        <w:rPr>
          <w:b w:val="0"/>
          <w:bCs/>
          <w:iCs/>
        </w:rPr>
        <w:t>Երևանում</w:t>
      </w:r>
      <w:r w:rsidRPr="009070BD">
        <w:rPr>
          <w:b w:val="0"/>
          <w:bCs/>
          <w:iCs/>
          <w:lang w:val="af-ZA"/>
        </w:rPr>
        <w:t xml:space="preserve"> </w:t>
      </w:r>
      <w:r w:rsidRPr="009070BD">
        <w:rPr>
          <w:b w:val="0"/>
          <w:bCs/>
          <w:iCs/>
        </w:rPr>
        <w:t>կոշտ</w:t>
      </w:r>
      <w:r w:rsidRPr="009070BD">
        <w:rPr>
          <w:b w:val="0"/>
          <w:bCs/>
          <w:iCs/>
          <w:lang w:val="af-ZA"/>
        </w:rPr>
        <w:t xml:space="preserve"> </w:t>
      </w:r>
      <w:r w:rsidRPr="009070BD">
        <w:rPr>
          <w:b w:val="0"/>
          <w:bCs/>
          <w:iCs/>
        </w:rPr>
        <w:t>թափոնների</w:t>
      </w:r>
      <w:r w:rsidRPr="009070BD">
        <w:rPr>
          <w:b w:val="0"/>
          <w:bCs/>
          <w:iCs/>
          <w:lang w:val="af-ZA"/>
        </w:rPr>
        <w:t xml:space="preserve"> </w:t>
      </w:r>
      <w:r w:rsidRPr="009070BD">
        <w:rPr>
          <w:b w:val="0"/>
          <w:bCs/>
          <w:iCs/>
        </w:rPr>
        <w:t>կառավարման</w:t>
      </w:r>
      <w:r w:rsidRPr="009070BD">
        <w:rPr>
          <w:b w:val="0"/>
          <w:bCs/>
          <w:iCs/>
          <w:lang w:val="af-ZA"/>
        </w:rPr>
        <w:t xml:space="preserve"> </w:t>
      </w:r>
      <w:r w:rsidRPr="009070BD">
        <w:rPr>
          <w:b w:val="0"/>
          <w:bCs/>
          <w:iCs/>
        </w:rPr>
        <w:t>համակարգը</w:t>
      </w:r>
      <w:r w:rsidRPr="009070BD">
        <w:rPr>
          <w:b w:val="0"/>
          <w:bCs/>
          <w:iCs/>
          <w:lang w:val="hy-AM"/>
        </w:rPr>
        <w:t>, այդ թվում`</w:t>
      </w:r>
      <w:r w:rsidRPr="009070BD">
        <w:rPr>
          <w:b w:val="0"/>
          <w:bCs/>
          <w:iCs/>
          <w:lang w:val="af-ZA"/>
        </w:rPr>
        <w:t xml:space="preserve"> </w:t>
      </w:r>
      <w:r w:rsidRPr="009070BD">
        <w:rPr>
          <w:b w:val="0"/>
          <w:bCs/>
          <w:iCs/>
        </w:rPr>
        <w:t>նոր</w:t>
      </w:r>
      <w:r w:rsidRPr="009070BD">
        <w:rPr>
          <w:b w:val="0"/>
          <w:bCs/>
          <w:iCs/>
          <w:lang w:val="af-ZA"/>
        </w:rPr>
        <w:t xml:space="preserve"> </w:t>
      </w:r>
      <w:r w:rsidRPr="009070BD">
        <w:rPr>
          <w:b w:val="0"/>
          <w:bCs/>
          <w:iCs/>
        </w:rPr>
        <w:t>աղբավայրի</w:t>
      </w:r>
      <w:r w:rsidRPr="009070BD">
        <w:rPr>
          <w:b w:val="0"/>
          <w:bCs/>
          <w:iCs/>
          <w:lang w:val="af-ZA"/>
        </w:rPr>
        <w:t xml:space="preserve"> </w:t>
      </w:r>
      <w:r w:rsidRPr="009070BD">
        <w:rPr>
          <w:b w:val="0"/>
          <w:bCs/>
          <w:iCs/>
        </w:rPr>
        <w:t>կառուցում</w:t>
      </w:r>
      <w:r w:rsidRPr="009070BD">
        <w:rPr>
          <w:b w:val="0"/>
          <w:bCs/>
          <w:iCs/>
          <w:lang w:val="af-ZA"/>
        </w:rPr>
        <w:t xml:space="preserve">, </w:t>
      </w:r>
      <w:r w:rsidRPr="009070BD">
        <w:rPr>
          <w:b w:val="0"/>
          <w:bCs/>
          <w:iCs/>
        </w:rPr>
        <w:t>շահագործում</w:t>
      </w:r>
      <w:r w:rsidRPr="009070BD">
        <w:rPr>
          <w:b w:val="0"/>
          <w:bCs/>
          <w:iCs/>
          <w:lang w:val="af-ZA"/>
        </w:rPr>
        <w:t xml:space="preserve"> </w:t>
      </w:r>
      <w:r w:rsidRPr="009070BD">
        <w:rPr>
          <w:b w:val="0"/>
          <w:bCs/>
          <w:iCs/>
        </w:rPr>
        <w:t>և</w:t>
      </w:r>
      <w:r w:rsidRPr="009070BD">
        <w:rPr>
          <w:b w:val="0"/>
          <w:bCs/>
          <w:iCs/>
          <w:lang w:val="af-ZA"/>
        </w:rPr>
        <w:t xml:space="preserve"> </w:t>
      </w:r>
      <w:r w:rsidRPr="009070BD">
        <w:rPr>
          <w:b w:val="0"/>
          <w:bCs/>
          <w:iCs/>
        </w:rPr>
        <w:t>վերամշակման</w:t>
      </w:r>
      <w:r w:rsidRPr="009070BD">
        <w:rPr>
          <w:b w:val="0"/>
          <w:bCs/>
          <w:iCs/>
          <w:lang w:val="af-ZA"/>
        </w:rPr>
        <w:t xml:space="preserve"> </w:t>
      </w:r>
      <w:r w:rsidRPr="009070BD">
        <w:rPr>
          <w:b w:val="0"/>
          <w:bCs/>
          <w:iCs/>
          <w:lang w:val="hy-AM"/>
        </w:rPr>
        <w:t>ծավալների ավելացմանը նպաստող համակարգերի ներդրում՝</w:t>
      </w:r>
      <w:r w:rsidRPr="009070BD">
        <w:rPr>
          <w:b w:val="0"/>
          <w:bCs/>
          <w:iCs/>
          <w:lang w:val="fr-FR"/>
        </w:rPr>
        <w:t xml:space="preserve"> 202</w:t>
      </w:r>
      <w:r w:rsidRPr="009070BD">
        <w:rPr>
          <w:b w:val="0"/>
          <w:bCs/>
          <w:iCs/>
          <w:lang w:val="hy-AM"/>
        </w:rPr>
        <w:t>1</w:t>
      </w:r>
      <w:r w:rsidRPr="009070BD">
        <w:rPr>
          <w:b w:val="0"/>
          <w:bCs/>
          <w:iCs/>
          <w:lang w:val="fr-FR"/>
        </w:rPr>
        <w:t xml:space="preserve">թ-ին նախատեսվում է </w:t>
      </w:r>
      <w:r w:rsidR="0060458C" w:rsidRPr="0060458C">
        <w:rPr>
          <w:b w:val="0"/>
          <w:bCs/>
          <w:iCs/>
          <w:lang w:val="fr-FR"/>
        </w:rPr>
        <w:t>511.</w:t>
      </w:r>
      <w:r w:rsidR="0060458C">
        <w:rPr>
          <w:b w:val="0"/>
          <w:bCs/>
          <w:iCs/>
          <w:lang w:val="fr-FR"/>
        </w:rPr>
        <w:t>2</w:t>
      </w:r>
      <w:r w:rsidRPr="009070BD">
        <w:rPr>
          <w:b w:val="0"/>
          <w:bCs/>
          <w:iCs/>
          <w:lang w:val="fr-FR"/>
        </w:rPr>
        <w:t xml:space="preserve"> մլն դրամ, այդ թվում </w:t>
      </w:r>
      <w:r w:rsidRPr="009070BD">
        <w:rPr>
          <w:b w:val="0"/>
          <w:bCs/>
          <w:iCs/>
          <w:lang w:val="hy-AM"/>
        </w:rPr>
        <w:t>դրամաշնորհային</w:t>
      </w:r>
      <w:r w:rsidRPr="009070BD">
        <w:rPr>
          <w:b w:val="0"/>
          <w:bCs/>
          <w:iCs/>
          <w:lang w:val="fr-FR"/>
        </w:rPr>
        <w:t xml:space="preserve"> միջոցներ` </w:t>
      </w:r>
      <w:r w:rsidR="0060458C" w:rsidRPr="0060458C">
        <w:rPr>
          <w:b w:val="0"/>
          <w:bCs/>
          <w:iCs/>
          <w:lang w:val="fr-FR"/>
        </w:rPr>
        <w:t>426.</w:t>
      </w:r>
      <w:r w:rsidR="0060458C">
        <w:rPr>
          <w:b w:val="0"/>
          <w:bCs/>
          <w:iCs/>
          <w:lang w:val="fr-FR"/>
        </w:rPr>
        <w:t>0</w:t>
      </w:r>
      <w:r w:rsidRPr="009070BD">
        <w:rPr>
          <w:b w:val="0"/>
          <w:bCs/>
          <w:iCs/>
          <w:lang w:val="fr-FR"/>
        </w:rPr>
        <w:t xml:space="preserve"> մլն դրամ, ՀՀ համաֆինանսավորում` </w:t>
      </w:r>
      <w:r w:rsidR="0060458C" w:rsidRPr="0060458C">
        <w:rPr>
          <w:b w:val="0"/>
          <w:bCs/>
          <w:iCs/>
          <w:lang w:val="fr-FR"/>
        </w:rPr>
        <w:t>85.</w:t>
      </w:r>
      <w:r w:rsidR="0060458C">
        <w:rPr>
          <w:b w:val="0"/>
          <w:bCs/>
          <w:iCs/>
          <w:lang w:val="fr-FR"/>
        </w:rPr>
        <w:t>2</w:t>
      </w:r>
      <w:r w:rsidRPr="009070BD">
        <w:rPr>
          <w:b w:val="0"/>
          <w:bCs/>
          <w:iCs/>
          <w:lang w:val="fr-FR"/>
        </w:rPr>
        <w:t xml:space="preserve"> մլն դրամ:</w:t>
      </w:r>
    </w:p>
    <w:p w:rsidR="001971B9" w:rsidRPr="009070BD" w:rsidRDefault="001971B9" w:rsidP="007730AA">
      <w:pPr>
        <w:spacing w:before="0" w:line="276" w:lineRule="auto"/>
        <w:ind w:firstLine="720"/>
        <w:rPr>
          <w:b w:val="0"/>
          <w:bCs/>
          <w:iCs/>
          <w:lang w:val="fr-FR"/>
        </w:rPr>
      </w:pPr>
      <w:r w:rsidRPr="009070BD">
        <w:rPr>
          <w:b w:val="0"/>
          <w:bCs/>
          <w:iCs/>
          <w:lang w:val="hy-AM"/>
        </w:rPr>
        <w:t xml:space="preserve">26. </w:t>
      </w:r>
      <w:r w:rsidRPr="009070BD">
        <w:rPr>
          <w:b w:val="0"/>
          <w:bCs/>
          <w:iCs/>
          <w:lang w:val="af-ZA"/>
        </w:rPr>
        <w:t>Վերակառուցման և զարգացման եվրոպական բանկի աջակցությամբ իրակա</w:t>
      </w:r>
      <w:r w:rsidRPr="009070BD">
        <w:rPr>
          <w:b w:val="0"/>
          <w:bCs/>
          <w:iCs/>
          <w:lang w:val="af-ZA"/>
        </w:rPr>
        <w:softHyphen/>
        <w:t>նացվող «Երևանի կոշտ թափոնների կառավարման» դրամաշնորհային ծրագիր</w:t>
      </w:r>
      <w:r w:rsidRPr="009070BD">
        <w:rPr>
          <w:b w:val="0"/>
          <w:bCs/>
          <w:iCs/>
          <w:lang w:val="hy-AM"/>
        </w:rPr>
        <w:t>, որի ն</w:t>
      </w:r>
      <w:r w:rsidRPr="009070BD">
        <w:rPr>
          <w:b w:val="0"/>
          <w:bCs/>
          <w:iCs/>
          <w:lang w:val="af-ZA"/>
        </w:rPr>
        <w:t>պատակն է Նոր աղբավայրի նախագծում, կառուցում, մասնագիտացված տրանսպորտային միջոցներ</w:t>
      </w:r>
      <w:r w:rsidRPr="009070BD">
        <w:rPr>
          <w:b w:val="0"/>
          <w:bCs/>
          <w:iCs/>
        </w:rPr>
        <w:t>ի</w:t>
      </w:r>
      <w:r w:rsidRPr="009070BD">
        <w:rPr>
          <w:b w:val="0"/>
          <w:bCs/>
          <w:iCs/>
          <w:lang w:val="af-ZA"/>
        </w:rPr>
        <w:t xml:space="preserve"> և սարքավորումների ձեռքբերում</w:t>
      </w:r>
      <w:r w:rsidRPr="009070BD">
        <w:rPr>
          <w:b w:val="0"/>
          <w:bCs/>
          <w:iCs/>
          <w:lang w:val="hy-AM"/>
        </w:rPr>
        <w:t xml:space="preserve">՝ </w:t>
      </w:r>
      <w:r w:rsidRPr="009070BD">
        <w:rPr>
          <w:b w:val="0"/>
          <w:bCs/>
          <w:iCs/>
          <w:lang w:val="fr-FR"/>
        </w:rPr>
        <w:t>202</w:t>
      </w:r>
      <w:r w:rsidRPr="009070BD">
        <w:rPr>
          <w:b w:val="0"/>
          <w:bCs/>
          <w:iCs/>
          <w:lang w:val="hy-AM"/>
        </w:rPr>
        <w:t>1</w:t>
      </w:r>
      <w:r w:rsidRPr="009070BD">
        <w:rPr>
          <w:b w:val="0"/>
          <w:bCs/>
          <w:iCs/>
          <w:lang w:val="fr-FR"/>
        </w:rPr>
        <w:t xml:space="preserve">թ-ին նախատեսվում է </w:t>
      </w:r>
      <w:r w:rsidR="00724AD2" w:rsidRPr="00724AD2">
        <w:rPr>
          <w:b w:val="0"/>
          <w:bCs/>
          <w:iCs/>
          <w:lang w:val="fr-FR"/>
        </w:rPr>
        <w:t>323.</w:t>
      </w:r>
      <w:r w:rsidR="00724AD2">
        <w:rPr>
          <w:b w:val="0"/>
          <w:bCs/>
          <w:iCs/>
          <w:lang w:val="fr-FR"/>
        </w:rPr>
        <w:t>9</w:t>
      </w:r>
      <w:r w:rsidRPr="009070BD">
        <w:rPr>
          <w:b w:val="0"/>
          <w:bCs/>
          <w:iCs/>
          <w:lang w:val="fr-FR"/>
        </w:rPr>
        <w:t xml:space="preserve"> մլն դրամ, այդ թվում </w:t>
      </w:r>
      <w:r w:rsidRPr="009070BD">
        <w:rPr>
          <w:b w:val="0"/>
          <w:bCs/>
          <w:iCs/>
          <w:lang w:val="hy-AM"/>
        </w:rPr>
        <w:t>դրամաշնորհային</w:t>
      </w:r>
      <w:r w:rsidRPr="009070BD">
        <w:rPr>
          <w:b w:val="0"/>
          <w:bCs/>
          <w:iCs/>
          <w:lang w:val="fr-FR"/>
        </w:rPr>
        <w:t xml:space="preserve"> միջոցներ` </w:t>
      </w:r>
      <w:r w:rsidR="00724AD2" w:rsidRPr="00724AD2">
        <w:rPr>
          <w:b w:val="0"/>
          <w:bCs/>
          <w:iCs/>
          <w:lang w:val="fr-FR"/>
        </w:rPr>
        <w:t>253.</w:t>
      </w:r>
      <w:r w:rsidR="00724AD2">
        <w:rPr>
          <w:b w:val="0"/>
          <w:bCs/>
          <w:iCs/>
          <w:lang w:val="fr-FR"/>
        </w:rPr>
        <w:t>6</w:t>
      </w:r>
      <w:r w:rsidRPr="009070BD">
        <w:rPr>
          <w:b w:val="0"/>
          <w:bCs/>
          <w:iCs/>
          <w:lang w:val="fr-FR"/>
        </w:rPr>
        <w:t xml:space="preserve"> մլն դրամ, ՀՀ համաֆինանսավորում` </w:t>
      </w:r>
      <w:r w:rsidR="00724AD2" w:rsidRPr="00724AD2">
        <w:rPr>
          <w:b w:val="0"/>
          <w:bCs/>
          <w:iCs/>
          <w:lang w:val="fr-FR"/>
        </w:rPr>
        <w:t>70.</w:t>
      </w:r>
      <w:r w:rsidR="00724AD2">
        <w:rPr>
          <w:b w:val="0"/>
          <w:bCs/>
          <w:iCs/>
          <w:lang w:val="fr-FR"/>
        </w:rPr>
        <w:t>3</w:t>
      </w:r>
      <w:r w:rsidRPr="009070BD">
        <w:rPr>
          <w:b w:val="0"/>
          <w:bCs/>
          <w:iCs/>
          <w:lang w:val="fr-FR"/>
        </w:rPr>
        <w:t xml:space="preserve"> մլն դրամ:</w:t>
      </w:r>
    </w:p>
    <w:p w:rsidR="001971B9" w:rsidRPr="009070BD" w:rsidRDefault="001971B9" w:rsidP="007730AA">
      <w:pPr>
        <w:spacing w:before="0" w:line="276" w:lineRule="auto"/>
        <w:ind w:firstLine="720"/>
        <w:rPr>
          <w:b w:val="0"/>
          <w:bCs/>
          <w:iCs/>
          <w:lang w:val="af-ZA"/>
        </w:rPr>
      </w:pPr>
      <w:r w:rsidRPr="009070BD">
        <w:rPr>
          <w:b w:val="0"/>
          <w:bCs/>
          <w:iCs/>
          <w:lang w:val="hy-AM"/>
        </w:rPr>
        <w:t xml:space="preserve">27. </w:t>
      </w:r>
      <w:r w:rsidRPr="009070BD">
        <w:rPr>
          <w:b w:val="0"/>
          <w:bCs/>
          <w:iCs/>
          <w:lang w:val="af-ZA"/>
        </w:rPr>
        <w:t>Եվրոպական միության աջակցությամբ իրականացվող Հայաստանի տարածքային զարգացման դրամաշնորհային ծրագիր</w:t>
      </w:r>
      <w:r w:rsidRPr="009070BD">
        <w:rPr>
          <w:b w:val="0"/>
          <w:bCs/>
          <w:iCs/>
          <w:lang w:val="hy-AM"/>
        </w:rPr>
        <w:t>, որն</w:t>
      </w:r>
      <w:r w:rsidRPr="009070BD">
        <w:rPr>
          <w:b w:val="0"/>
          <w:bCs/>
          <w:iCs/>
          <w:lang w:val="af-ZA"/>
        </w:rPr>
        <w:t xml:space="preserve"> ուղղված է ՀՀ մարզերի և համայնքների տարածքային և տեղական ինստիտուցիոնալ կարողությունների զարգացմանը, աջակցության և զարգացման մոդելների մշակմանը և կառավարման արդյունավետության բարձրացմանը</w:t>
      </w:r>
      <w:r w:rsidRPr="009070BD">
        <w:rPr>
          <w:b w:val="0"/>
          <w:bCs/>
          <w:iCs/>
          <w:lang w:val="hy-AM"/>
        </w:rPr>
        <w:t>՝</w:t>
      </w:r>
      <w:r w:rsidRPr="009070BD">
        <w:rPr>
          <w:b w:val="0"/>
          <w:bCs/>
          <w:iCs/>
          <w:lang w:val="it-IT"/>
        </w:rPr>
        <w:t xml:space="preserve"> </w:t>
      </w:r>
      <w:r w:rsidRPr="009070BD">
        <w:rPr>
          <w:b w:val="0"/>
          <w:bCs/>
          <w:iCs/>
          <w:lang w:val="hy-AM"/>
        </w:rPr>
        <w:t>2021թ. 34.</w:t>
      </w:r>
      <w:r w:rsidR="000A7B14" w:rsidRPr="000A7B14">
        <w:rPr>
          <w:b w:val="0"/>
          <w:bCs/>
          <w:iCs/>
          <w:lang w:val="hy-AM"/>
        </w:rPr>
        <w:t>0</w:t>
      </w:r>
      <w:r w:rsidRPr="009070BD">
        <w:rPr>
          <w:b w:val="0"/>
          <w:bCs/>
          <w:iCs/>
          <w:lang w:val="hy-AM"/>
        </w:rPr>
        <w:t xml:space="preserve"> </w:t>
      </w:r>
      <w:r w:rsidRPr="009070BD">
        <w:rPr>
          <w:b w:val="0"/>
          <w:bCs/>
          <w:iCs/>
          <w:lang w:val="af-ZA"/>
        </w:rPr>
        <w:t xml:space="preserve">մլն դրամ, </w:t>
      </w:r>
      <w:r w:rsidRPr="009070BD">
        <w:rPr>
          <w:b w:val="0"/>
          <w:bCs/>
          <w:iCs/>
          <w:lang w:val="hy-AM"/>
        </w:rPr>
        <w:t>այդ թվում դրամաշնորհային միջոցներ` 18.</w:t>
      </w:r>
      <w:r w:rsidR="000A7B14" w:rsidRPr="000A7B14">
        <w:rPr>
          <w:b w:val="0"/>
          <w:bCs/>
          <w:iCs/>
          <w:lang w:val="hy-AM"/>
        </w:rPr>
        <w:t>6</w:t>
      </w:r>
      <w:r w:rsidRPr="009070BD">
        <w:rPr>
          <w:b w:val="0"/>
          <w:bCs/>
          <w:iCs/>
          <w:lang w:val="hy-AM"/>
        </w:rPr>
        <w:t xml:space="preserve"> </w:t>
      </w:r>
      <w:r w:rsidRPr="009070BD">
        <w:rPr>
          <w:b w:val="0"/>
          <w:bCs/>
          <w:iCs/>
          <w:lang w:val="af-ZA"/>
        </w:rPr>
        <w:t>մլն դրամ</w:t>
      </w:r>
      <w:r w:rsidRPr="009070BD">
        <w:rPr>
          <w:b w:val="0"/>
          <w:bCs/>
          <w:iCs/>
          <w:lang w:val="hy-AM"/>
        </w:rPr>
        <w:t>, ՀՀ համաֆինանսավորում` 15.</w:t>
      </w:r>
      <w:r w:rsidR="000A7B14" w:rsidRPr="000A7B14">
        <w:rPr>
          <w:b w:val="0"/>
          <w:bCs/>
          <w:iCs/>
          <w:lang w:val="hy-AM"/>
        </w:rPr>
        <w:t>4</w:t>
      </w:r>
      <w:r w:rsidRPr="009070BD">
        <w:rPr>
          <w:b w:val="0"/>
          <w:bCs/>
          <w:iCs/>
          <w:lang w:val="hy-AM"/>
        </w:rPr>
        <w:t xml:space="preserve"> </w:t>
      </w:r>
      <w:r w:rsidRPr="009070BD">
        <w:rPr>
          <w:b w:val="0"/>
          <w:bCs/>
          <w:iCs/>
          <w:lang w:val="af-ZA"/>
        </w:rPr>
        <w:t>մլն դրամ:</w:t>
      </w:r>
    </w:p>
    <w:p w:rsidR="001971B9" w:rsidRPr="009070BD" w:rsidRDefault="001971B9" w:rsidP="007730AA">
      <w:pPr>
        <w:spacing w:before="0" w:line="276" w:lineRule="auto"/>
        <w:ind w:firstLine="720"/>
        <w:rPr>
          <w:b w:val="0"/>
          <w:bCs/>
          <w:iCs/>
          <w:lang w:val="af-ZA"/>
        </w:rPr>
      </w:pPr>
      <w:r w:rsidRPr="009070BD">
        <w:rPr>
          <w:b w:val="0"/>
          <w:bCs/>
          <w:iCs/>
          <w:lang w:val="hy-AM"/>
        </w:rPr>
        <w:t xml:space="preserve">28. </w:t>
      </w:r>
      <w:r w:rsidRPr="009070BD">
        <w:rPr>
          <w:b w:val="0"/>
          <w:bCs/>
          <w:iCs/>
          <w:lang w:val="af-ZA"/>
        </w:rPr>
        <w:t>Ասիական զարգացման բանկի աջակցությամբ իրականացվող Դպրոցների սեյսմիկ պաշտպանության ծրագիր, որի նպատակներն են դպրոցների շենքերի սեյսմակայու</w:t>
      </w:r>
      <w:r w:rsidRPr="009070BD">
        <w:rPr>
          <w:b w:val="0"/>
          <w:bCs/>
          <w:iCs/>
          <w:lang w:val="af-ZA"/>
        </w:rPr>
        <w:softHyphen/>
        <w:t>նության բարձրացումը, սեյսմիկ աղետների պատրաստվածության և արձագանքման կարողությունների հզորացումը, սեյսմիկ ռիսկերի կառավարման և նվազեցման օժանդակող քաղաքականությունների և համակարգերի բարելավումը և սեյսմիկ անվտանգության ներդրու</w:t>
      </w:r>
      <w:r w:rsidRPr="009070BD">
        <w:rPr>
          <w:b w:val="0"/>
          <w:bCs/>
          <w:iCs/>
          <w:lang w:val="af-ZA"/>
        </w:rPr>
        <w:softHyphen/>
        <w:t xml:space="preserve">մային ծրագրի գործադիր և իրականացնող մարմինների կարողությունների զարգացումը՝ </w:t>
      </w:r>
      <w:r w:rsidRPr="009070BD">
        <w:rPr>
          <w:b w:val="0"/>
          <w:bCs/>
          <w:iCs/>
          <w:lang w:val="hy-AM"/>
        </w:rPr>
        <w:t xml:space="preserve">2021թ. </w:t>
      </w:r>
      <w:r w:rsidRPr="009070BD">
        <w:rPr>
          <w:b w:val="0"/>
          <w:bCs/>
          <w:iCs/>
          <w:lang w:val="it-IT"/>
        </w:rPr>
        <w:t xml:space="preserve">նախատեսվում է </w:t>
      </w:r>
      <w:r w:rsidRPr="009070BD">
        <w:rPr>
          <w:b w:val="0"/>
          <w:bCs/>
          <w:iCs/>
          <w:lang w:val="hy-AM"/>
        </w:rPr>
        <w:t>4,</w:t>
      </w:r>
      <w:r w:rsidR="000A7B14" w:rsidRPr="000A7B14">
        <w:rPr>
          <w:b w:val="0"/>
          <w:bCs/>
          <w:iCs/>
          <w:lang w:val="af-ZA"/>
        </w:rPr>
        <w:t>862.</w:t>
      </w:r>
      <w:r w:rsidR="000A7B14">
        <w:rPr>
          <w:b w:val="0"/>
          <w:bCs/>
          <w:iCs/>
          <w:lang w:val="af-ZA"/>
        </w:rPr>
        <w:t>0</w:t>
      </w:r>
      <w:r w:rsidRPr="009070BD">
        <w:rPr>
          <w:b w:val="0"/>
          <w:bCs/>
          <w:iCs/>
          <w:lang w:val="hy-AM"/>
        </w:rPr>
        <w:t xml:space="preserve"> </w:t>
      </w:r>
      <w:r w:rsidRPr="009070BD">
        <w:rPr>
          <w:b w:val="0"/>
          <w:bCs/>
          <w:iCs/>
          <w:lang w:val="af-ZA"/>
        </w:rPr>
        <w:t xml:space="preserve">մլն դրամ, </w:t>
      </w:r>
      <w:r w:rsidRPr="009070BD">
        <w:rPr>
          <w:b w:val="0"/>
          <w:bCs/>
          <w:iCs/>
          <w:lang w:val="hy-AM"/>
        </w:rPr>
        <w:t xml:space="preserve">այդ թվում վարկային միջոցներ` </w:t>
      </w:r>
      <w:r w:rsidR="000A7B14" w:rsidRPr="000A7B14">
        <w:rPr>
          <w:b w:val="0"/>
          <w:bCs/>
          <w:iCs/>
          <w:lang w:val="af-ZA"/>
        </w:rPr>
        <w:t>4,038.</w:t>
      </w:r>
      <w:r w:rsidR="000A7B14">
        <w:rPr>
          <w:b w:val="0"/>
          <w:bCs/>
          <w:iCs/>
          <w:lang w:val="af-ZA"/>
        </w:rPr>
        <w:t>6</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0A7B14" w:rsidRPr="000A7B14">
        <w:rPr>
          <w:b w:val="0"/>
          <w:bCs/>
          <w:iCs/>
          <w:lang w:val="af-ZA"/>
        </w:rPr>
        <w:t>823.</w:t>
      </w:r>
      <w:r w:rsidR="000A7B14">
        <w:rPr>
          <w:b w:val="0"/>
          <w:bCs/>
          <w:iCs/>
          <w:lang w:val="af-ZA"/>
        </w:rPr>
        <w:t>4</w:t>
      </w:r>
      <w:r w:rsidRPr="009070BD">
        <w:rPr>
          <w:b w:val="0"/>
          <w:bCs/>
          <w:iCs/>
          <w:lang w:val="hy-AM"/>
        </w:rPr>
        <w:t xml:space="preserve"> </w:t>
      </w:r>
      <w:r w:rsidRPr="009070BD">
        <w:rPr>
          <w:b w:val="0"/>
          <w:bCs/>
          <w:iCs/>
          <w:lang w:val="af-ZA"/>
        </w:rPr>
        <w:t>մլն մլն դրամ:</w:t>
      </w:r>
    </w:p>
    <w:p w:rsidR="001971B9" w:rsidRPr="009070BD" w:rsidRDefault="001971B9" w:rsidP="007730AA">
      <w:pPr>
        <w:spacing w:before="0" w:line="276" w:lineRule="auto"/>
        <w:ind w:firstLine="720"/>
        <w:rPr>
          <w:b w:val="0"/>
          <w:bCs/>
          <w:iCs/>
          <w:lang w:val="hy-AM"/>
        </w:rPr>
      </w:pPr>
      <w:r w:rsidRPr="009070BD">
        <w:rPr>
          <w:b w:val="0"/>
          <w:bCs/>
          <w:iCs/>
          <w:lang w:val="hy-AM"/>
        </w:rPr>
        <w:t>29. Եվրոպական ներդրումային բանկի</w:t>
      </w:r>
      <w:r w:rsidRPr="009070BD">
        <w:rPr>
          <w:b w:val="0"/>
          <w:bCs/>
          <w:iCs/>
          <w:lang w:val="af-ZA"/>
        </w:rPr>
        <w:t xml:space="preserve"> </w:t>
      </w:r>
      <w:r w:rsidRPr="009070BD">
        <w:rPr>
          <w:b w:val="0"/>
          <w:bCs/>
          <w:iCs/>
          <w:lang w:val="hy-AM"/>
        </w:rPr>
        <w:t>աջակցությամբ</w:t>
      </w:r>
      <w:r w:rsidRPr="009070BD">
        <w:rPr>
          <w:b w:val="0"/>
          <w:bCs/>
          <w:iCs/>
          <w:lang w:val="af-ZA"/>
        </w:rPr>
        <w:t xml:space="preserve"> </w:t>
      </w:r>
      <w:r w:rsidRPr="009070BD">
        <w:rPr>
          <w:b w:val="0"/>
          <w:bCs/>
          <w:iCs/>
          <w:lang w:val="hy-AM"/>
        </w:rPr>
        <w:t>իրականացվող</w:t>
      </w:r>
      <w:r w:rsidRPr="009070BD">
        <w:rPr>
          <w:b w:val="0"/>
          <w:bCs/>
          <w:iCs/>
          <w:lang w:val="af-ZA"/>
        </w:rPr>
        <w:t xml:space="preserve"> </w:t>
      </w:r>
      <w:r w:rsidRPr="009070BD">
        <w:rPr>
          <w:b w:val="0"/>
          <w:bCs/>
          <w:iCs/>
          <w:lang w:val="hy-AM"/>
        </w:rPr>
        <w:t>Երևանի</w:t>
      </w:r>
      <w:r w:rsidRPr="009070BD">
        <w:rPr>
          <w:b w:val="0"/>
          <w:bCs/>
          <w:iCs/>
          <w:lang w:val="af-ZA"/>
        </w:rPr>
        <w:t xml:space="preserve"> </w:t>
      </w:r>
      <w:r w:rsidRPr="009070BD">
        <w:rPr>
          <w:b w:val="0"/>
          <w:bCs/>
          <w:iCs/>
          <w:lang w:val="hy-AM"/>
        </w:rPr>
        <w:t>մետրոպոլիտենի</w:t>
      </w:r>
      <w:r w:rsidRPr="009070BD">
        <w:rPr>
          <w:b w:val="0"/>
          <w:bCs/>
          <w:iCs/>
          <w:lang w:val="af-ZA"/>
        </w:rPr>
        <w:t xml:space="preserve"> </w:t>
      </w:r>
      <w:r w:rsidRPr="009070BD">
        <w:rPr>
          <w:b w:val="0"/>
          <w:bCs/>
          <w:iCs/>
          <w:lang w:val="hy-AM"/>
        </w:rPr>
        <w:t>վերակառուցման</w:t>
      </w:r>
      <w:r w:rsidRPr="009070BD">
        <w:rPr>
          <w:b w:val="0"/>
          <w:bCs/>
          <w:iCs/>
          <w:lang w:val="af-ZA"/>
        </w:rPr>
        <w:t xml:space="preserve"> </w:t>
      </w:r>
      <w:r w:rsidRPr="009070BD">
        <w:rPr>
          <w:b w:val="0"/>
          <w:bCs/>
          <w:iCs/>
          <w:lang w:val="hy-AM"/>
        </w:rPr>
        <w:t>երկրորդ</w:t>
      </w:r>
      <w:r w:rsidRPr="009070BD">
        <w:rPr>
          <w:b w:val="0"/>
          <w:bCs/>
          <w:iCs/>
          <w:lang w:val="af-ZA"/>
        </w:rPr>
        <w:t xml:space="preserve"> </w:t>
      </w:r>
      <w:r w:rsidRPr="009070BD">
        <w:rPr>
          <w:b w:val="0"/>
          <w:bCs/>
          <w:iCs/>
          <w:lang w:val="hy-AM"/>
        </w:rPr>
        <w:t xml:space="preserve">ծրագիր, </w:t>
      </w:r>
      <w:r w:rsidRPr="009070BD">
        <w:rPr>
          <w:b w:val="0"/>
          <w:bCs/>
          <w:iCs/>
          <w:lang w:val="af-ZA"/>
        </w:rPr>
        <w:t xml:space="preserve">որի </w:t>
      </w:r>
      <w:r w:rsidRPr="009070BD">
        <w:rPr>
          <w:b w:val="0"/>
          <w:bCs/>
          <w:iCs/>
          <w:lang w:val="hy-AM"/>
        </w:rPr>
        <w:t>նպատակն</w:t>
      </w:r>
      <w:r w:rsidRPr="009070BD">
        <w:rPr>
          <w:b w:val="0"/>
          <w:bCs/>
          <w:iCs/>
          <w:lang w:val="af-ZA"/>
        </w:rPr>
        <w:t xml:space="preserve"> </w:t>
      </w:r>
      <w:r w:rsidRPr="009070BD">
        <w:rPr>
          <w:b w:val="0"/>
          <w:bCs/>
          <w:iCs/>
          <w:lang w:val="hy-AM"/>
        </w:rPr>
        <w:t>է</w:t>
      </w:r>
      <w:r w:rsidRPr="009070BD">
        <w:rPr>
          <w:b w:val="0"/>
          <w:bCs/>
          <w:iCs/>
          <w:lang w:val="af-ZA"/>
        </w:rPr>
        <w:t xml:space="preserve"> </w:t>
      </w:r>
      <w:r w:rsidRPr="009070BD">
        <w:rPr>
          <w:b w:val="0"/>
          <w:bCs/>
          <w:iCs/>
          <w:lang w:val="hy-AM"/>
        </w:rPr>
        <w:t>վերականգնել</w:t>
      </w:r>
      <w:r w:rsidRPr="009070BD">
        <w:rPr>
          <w:b w:val="0"/>
          <w:bCs/>
          <w:iCs/>
          <w:lang w:val="af-ZA"/>
        </w:rPr>
        <w:t xml:space="preserve"> և </w:t>
      </w:r>
      <w:r w:rsidRPr="009070BD">
        <w:rPr>
          <w:b w:val="0"/>
          <w:bCs/>
          <w:iCs/>
          <w:lang w:val="hy-AM"/>
        </w:rPr>
        <w:t>բարե</w:t>
      </w:r>
      <w:r w:rsidRPr="009070BD">
        <w:rPr>
          <w:b w:val="0"/>
          <w:bCs/>
          <w:iCs/>
          <w:lang w:val="hy-AM"/>
        </w:rPr>
        <w:softHyphen/>
        <w:t>լավել</w:t>
      </w:r>
      <w:r w:rsidRPr="009070BD">
        <w:rPr>
          <w:b w:val="0"/>
          <w:bCs/>
          <w:iCs/>
          <w:lang w:val="af-ZA"/>
        </w:rPr>
        <w:t xml:space="preserve"> </w:t>
      </w:r>
      <w:r w:rsidRPr="009070BD">
        <w:rPr>
          <w:b w:val="0"/>
          <w:bCs/>
          <w:iCs/>
          <w:lang w:val="hy-AM"/>
        </w:rPr>
        <w:t>Երևանի</w:t>
      </w:r>
      <w:r w:rsidRPr="009070BD">
        <w:rPr>
          <w:b w:val="0"/>
          <w:bCs/>
          <w:iCs/>
          <w:lang w:val="af-ZA"/>
        </w:rPr>
        <w:t xml:space="preserve"> </w:t>
      </w:r>
      <w:r w:rsidRPr="009070BD">
        <w:rPr>
          <w:b w:val="0"/>
          <w:bCs/>
          <w:iCs/>
          <w:lang w:val="hy-AM"/>
        </w:rPr>
        <w:t>մետրոպոլիտենի</w:t>
      </w:r>
      <w:r w:rsidRPr="009070BD">
        <w:rPr>
          <w:b w:val="0"/>
          <w:bCs/>
          <w:iCs/>
          <w:lang w:val="af-ZA"/>
        </w:rPr>
        <w:t xml:space="preserve"> </w:t>
      </w:r>
      <w:r w:rsidRPr="009070BD">
        <w:rPr>
          <w:b w:val="0"/>
          <w:bCs/>
          <w:iCs/>
          <w:lang w:val="hy-AM"/>
        </w:rPr>
        <w:t>ենթակառուցվածքները</w:t>
      </w:r>
      <w:r w:rsidRPr="009070BD">
        <w:rPr>
          <w:b w:val="0"/>
          <w:bCs/>
          <w:iCs/>
          <w:lang w:val="af-ZA"/>
        </w:rPr>
        <w:t xml:space="preserve">, որի շրջանակներում </w:t>
      </w:r>
      <w:r w:rsidRPr="009070BD">
        <w:rPr>
          <w:b w:val="0"/>
          <w:bCs/>
          <w:iCs/>
          <w:lang w:val="hy-AM"/>
        </w:rPr>
        <w:t>նախատեսվում</w:t>
      </w:r>
      <w:r w:rsidRPr="009070BD">
        <w:rPr>
          <w:b w:val="0"/>
          <w:bCs/>
          <w:iCs/>
          <w:lang w:val="af-ZA"/>
        </w:rPr>
        <w:t xml:space="preserve"> </w:t>
      </w:r>
      <w:r w:rsidRPr="009070BD">
        <w:rPr>
          <w:b w:val="0"/>
          <w:bCs/>
          <w:iCs/>
          <w:lang w:val="hy-AM"/>
        </w:rPr>
        <w:t>ուղևորների</w:t>
      </w:r>
      <w:r w:rsidRPr="009070BD">
        <w:rPr>
          <w:b w:val="0"/>
          <w:bCs/>
          <w:iCs/>
          <w:lang w:val="af-ZA"/>
        </w:rPr>
        <w:t xml:space="preserve"> </w:t>
      </w:r>
      <w:r w:rsidRPr="009070BD">
        <w:rPr>
          <w:b w:val="0"/>
          <w:bCs/>
          <w:iCs/>
          <w:lang w:val="hy-AM"/>
        </w:rPr>
        <w:t>սպասարկման</w:t>
      </w:r>
      <w:r w:rsidRPr="009070BD">
        <w:rPr>
          <w:b w:val="0"/>
          <w:bCs/>
          <w:iCs/>
          <w:lang w:val="af-ZA"/>
        </w:rPr>
        <w:t xml:space="preserve"> </w:t>
      </w:r>
      <w:r w:rsidRPr="009070BD">
        <w:rPr>
          <w:b w:val="0"/>
          <w:bCs/>
          <w:iCs/>
          <w:lang w:val="hy-AM"/>
        </w:rPr>
        <w:t>որակի</w:t>
      </w:r>
      <w:r w:rsidRPr="009070BD">
        <w:rPr>
          <w:b w:val="0"/>
          <w:bCs/>
          <w:iCs/>
          <w:lang w:val="af-ZA"/>
        </w:rPr>
        <w:t xml:space="preserve"> </w:t>
      </w:r>
      <w:r w:rsidRPr="009070BD">
        <w:rPr>
          <w:b w:val="0"/>
          <w:bCs/>
          <w:iCs/>
          <w:lang w:val="hy-AM"/>
        </w:rPr>
        <w:t>բարելավում</w:t>
      </w:r>
      <w:r w:rsidRPr="009070BD">
        <w:rPr>
          <w:b w:val="0"/>
          <w:bCs/>
          <w:iCs/>
          <w:lang w:val="af-ZA"/>
        </w:rPr>
        <w:t xml:space="preserve">, </w:t>
      </w:r>
      <w:r w:rsidRPr="009070BD">
        <w:rPr>
          <w:b w:val="0"/>
          <w:bCs/>
          <w:iCs/>
          <w:lang w:val="hy-AM"/>
        </w:rPr>
        <w:t>մետրոպոլիտենի</w:t>
      </w:r>
      <w:r w:rsidRPr="009070BD">
        <w:rPr>
          <w:b w:val="0"/>
          <w:bCs/>
          <w:iCs/>
          <w:lang w:val="af-ZA"/>
        </w:rPr>
        <w:t xml:space="preserve"> </w:t>
      </w:r>
      <w:r w:rsidRPr="009070BD">
        <w:rPr>
          <w:b w:val="0"/>
          <w:bCs/>
          <w:iCs/>
          <w:lang w:val="hy-AM"/>
        </w:rPr>
        <w:t>գծերի</w:t>
      </w:r>
      <w:r w:rsidRPr="009070BD">
        <w:rPr>
          <w:b w:val="0"/>
          <w:bCs/>
          <w:iCs/>
          <w:lang w:val="af-ZA"/>
        </w:rPr>
        <w:t xml:space="preserve">, </w:t>
      </w:r>
      <w:r w:rsidRPr="009070BD">
        <w:rPr>
          <w:b w:val="0"/>
          <w:bCs/>
          <w:iCs/>
          <w:lang w:val="hy-AM"/>
        </w:rPr>
        <w:t>կայարանների</w:t>
      </w:r>
      <w:r w:rsidRPr="009070BD">
        <w:rPr>
          <w:b w:val="0"/>
          <w:bCs/>
          <w:iCs/>
          <w:lang w:val="af-ZA"/>
        </w:rPr>
        <w:t xml:space="preserve">, </w:t>
      </w:r>
      <w:r w:rsidRPr="009070BD">
        <w:rPr>
          <w:b w:val="0"/>
          <w:bCs/>
          <w:iCs/>
          <w:lang w:val="hy-AM"/>
        </w:rPr>
        <w:t>շենքերի</w:t>
      </w:r>
      <w:r w:rsidRPr="009070BD">
        <w:rPr>
          <w:b w:val="0"/>
          <w:bCs/>
          <w:iCs/>
          <w:lang w:val="af-ZA"/>
        </w:rPr>
        <w:t xml:space="preserve">, </w:t>
      </w:r>
      <w:r w:rsidRPr="009070BD">
        <w:rPr>
          <w:b w:val="0"/>
          <w:bCs/>
          <w:iCs/>
          <w:lang w:val="hy-AM"/>
        </w:rPr>
        <w:t>կառույցների</w:t>
      </w:r>
      <w:r w:rsidRPr="009070BD">
        <w:rPr>
          <w:b w:val="0"/>
          <w:bCs/>
          <w:iCs/>
          <w:lang w:val="af-ZA"/>
        </w:rPr>
        <w:t xml:space="preserve">, </w:t>
      </w:r>
      <w:r w:rsidRPr="009070BD">
        <w:rPr>
          <w:b w:val="0"/>
          <w:bCs/>
          <w:iCs/>
          <w:lang w:val="hy-AM"/>
        </w:rPr>
        <w:t>էլեկտրամատակա</w:t>
      </w:r>
      <w:r w:rsidRPr="009070BD">
        <w:rPr>
          <w:b w:val="0"/>
          <w:bCs/>
          <w:iCs/>
          <w:lang w:val="af-ZA"/>
        </w:rPr>
        <w:softHyphen/>
      </w:r>
      <w:r w:rsidRPr="009070BD">
        <w:rPr>
          <w:b w:val="0"/>
          <w:bCs/>
          <w:iCs/>
          <w:lang w:val="hy-AM"/>
        </w:rPr>
        <w:t>րարման</w:t>
      </w:r>
      <w:r w:rsidRPr="009070BD">
        <w:rPr>
          <w:b w:val="0"/>
          <w:bCs/>
          <w:iCs/>
          <w:lang w:val="af-ZA"/>
        </w:rPr>
        <w:t xml:space="preserve"> </w:t>
      </w:r>
      <w:r w:rsidRPr="009070BD">
        <w:rPr>
          <w:b w:val="0"/>
          <w:bCs/>
          <w:iCs/>
          <w:lang w:val="hy-AM"/>
        </w:rPr>
        <w:t>և</w:t>
      </w:r>
      <w:r w:rsidRPr="009070BD">
        <w:rPr>
          <w:b w:val="0"/>
          <w:bCs/>
          <w:iCs/>
          <w:lang w:val="af-ZA"/>
        </w:rPr>
        <w:t xml:space="preserve"> </w:t>
      </w:r>
      <w:r w:rsidRPr="009070BD">
        <w:rPr>
          <w:b w:val="0"/>
          <w:bCs/>
          <w:iCs/>
          <w:lang w:val="hy-AM"/>
        </w:rPr>
        <w:t>կապի</w:t>
      </w:r>
      <w:r w:rsidRPr="009070BD">
        <w:rPr>
          <w:b w:val="0"/>
          <w:bCs/>
          <w:iCs/>
          <w:lang w:val="af-ZA"/>
        </w:rPr>
        <w:t xml:space="preserve"> </w:t>
      </w:r>
      <w:r w:rsidRPr="009070BD">
        <w:rPr>
          <w:b w:val="0"/>
          <w:bCs/>
          <w:iCs/>
          <w:lang w:val="hy-AM"/>
        </w:rPr>
        <w:t>համակարգերի</w:t>
      </w:r>
      <w:r w:rsidRPr="009070BD">
        <w:rPr>
          <w:b w:val="0"/>
          <w:bCs/>
          <w:iCs/>
          <w:lang w:val="af-ZA"/>
        </w:rPr>
        <w:t xml:space="preserve">, </w:t>
      </w:r>
      <w:r w:rsidRPr="009070BD">
        <w:rPr>
          <w:b w:val="0"/>
          <w:bCs/>
          <w:iCs/>
          <w:lang w:val="hy-AM"/>
        </w:rPr>
        <w:t>շարժակազմերի</w:t>
      </w:r>
      <w:r w:rsidRPr="009070BD">
        <w:rPr>
          <w:b w:val="0"/>
          <w:bCs/>
          <w:iCs/>
          <w:lang w:val="af-ZA"/>
        </w:rPr>
        <w:t xml:space="preserve"> </w:t>
      </w:r>
      <w:r w:rsidRPr="009070BD">
        <w:rPr>
          <w:b w:val="0"/>
          <w:bCs/>
          <w:iCs/>
          <w:lang w:val="hy-AM"/>
        </w:rPr>
        <w:t>և</w:t>
      </w:r>
      <w:r w:rsidRPr="009070BD">
        <w:rPr>
          <w:b w:val="0"/>
          <w:bCs/>
          <w:iCs/>
          <w:lang w:val="af-ZA"/>
        </w:rPr>
        <w:t xml:space="preserve"> </w:t>
      </w:r>
      <w:r w:rsidRPr="009070BD">
        <w:rPr>
          <w:b w:val="0"/>
          <w:bCs/>
          <w:iCs/>
          <w:lang w:val="hy-AM"/>
        </w:rPr>
        <w:t>տեխնոլոգիական</w:t>
      </w:r>
      <w:r w:rsidRPr="009070BD">
        <w:rPr>
          <w:b w:val="0"/>
          <w:bCs/>
          <w:iCs/>
          <w:lang w:val="af-ZA"/>
        </w:rPr>
        <w:t xml:space="preserve"> </w:t>
      </w:r>
      <w:r w:rsidRPr="009070BD">
        <w:rPr>
          <w:b w:val="0"/>
          <w:bCs/>
          <w:iCs/>
          <w:lang w:val="hy-AM"/>
        </w:rPr>
        <w:t>սարքավորումների</w:t>
      </w:r>
      <w:r w:rsidRPr="009070BD">
        <w:rPr>
          <w:b w:val="0"/>
          <w:bCs/>
          <w:iCs/>
          <w:lang w:val="af-ZA"/>
        </w:rPr>
        <w:t xml:space="preserve"> </w:t>
      </w:r>
      <w:r w:rsidRPr="009070BD">
        <w:rPr>
          <w:b w:val="0"/>
          <w:bCs/>
          <w:iCs/>
          <w:lang w:val="hy-AM"/>
        </w:rPr>
        <w:t>անխափան</w:t>
      </w:r>
      <w:r w:rsidRPr="009070BD">
        <w:rPr>
          <w:b w:val="0"/>
          <w:bCs/>
          <w:iCs/>
          <w:lang w:val="af-ZA"/>
        </w:rPr>
        <w:t xml:space="preserve"> </w:t>
      </w:r>
      <w:r w:rsidRPr="009070BD">
        <w:rPr>
          <w:b w:val="0"/>
          <w:bCs/>
          <w:iCs/>
          <w:lang w:val="hy-AM"/>
        </w:rPr>
        <w:t>շահագործման</w:t>
      </w:r>
      <w:r w:rsidRPr="009070BD">
        <w:rPr>
          <w:b w:val="0"/>
          <w:bCs/>
          <w:iCs/>
          <w:lang w:val="af-ZA"/>
        </w:rPr>
        <w:t xml:space="preserve"> </w:t>
      </w:r>
      <w:r w:rsidRPr="009070BD">
        <w:rPr>
          <w:b w:val="0"/>
          <w:bCs/>
          <w:iCs/>
          <w:lang w:val="hy-AM"/>
        </w:rPr>
        <w:t>հուսալիության</w:t>
      </w:r>
      <w:r w:rsidRPr="009070BD">
        <w:rPr>
          <w:b w:val="0"/>
          <w:bCs/>
          <w:iCs/>
          <w:lang w:val="af-ZA"/>
        </w:rPr>
        <w:t xml:space="preserve"> </w:t>
      </w:r>
      <w:r w:rsidRPr="009070BD">
        <w:rPr>
          <w:b w:val="0"/>
          <w:bCs/>
          <w:iCs/>
          <w:lang w:val="hy-AM"/>
        </w:rPr>
        <w:t>բարձրացում</w:t>
      </w:r>
      <w:r w:rsidRPr="009070BD">
        <w:rPr>
          <w:b w:val="0"/>
          <w:bCs/>
          <w:iCs/>
          <w:lang w:val="af-ZA"/>
        </w:rPr>
        <w:t xml:space="preserve">, </w:t>
      </w:r>
      <w:r w:rsidRPr="009070BD">
        <w:rPr>
          <w:b w:val="0"/>
          <w:bCs/>
          <w:iCs/>
          <w:lang w:val="hy-AM"/>
        </w:rPr>
        <w:t>մետրոպոլիտենի</w:t>
      </w:r>
      <w:r w:rsidRPr="009070BD">
        <w:rPr>
          <w:b w:val="0"/>
          <w:bCs/>
          <w:iCs/>
          <w:lang w:val="af-ZA"/>
        </w:rPr>
        <w:t xml:space="preserve"> </w:t>
      </w:r>
      <w:r w:rsidRPr="009070BD">
        <w:rPr>
          <w:b w:val="0"/>
          <w:bCs/>
          <w:iCs/>
          <w:lang w:val="hy-AM"/>
        </w:rPr>
        <w:t>օբյեկտներում</w:t>
      </w:r>
      <w:r w:rsidRPr="009070BD">
        <w:rPr>
          <w:b w:val="0"/>
          <w:bCs/>
          <w:iCs/>
          <w:lang w:val="af-ZA"/>
        </w:rPr>
        <w:t xml:space="preserve"> </w:t>
      </w:r>
      <w:r w:rsidRPr="009070BD">
        <w:rPr>
          <w:b w:val="0"/>
          <w:bCs/>
          <w:iCs/>
          <w:lang w:val="hy-AM"/>
        </w:rPr>
        <w:t>սանիտարատեխնիկական</w:t>
      </w:r>
      <w:r w:rsidRPr="009070BD">
        <w:rPr>
          <w:b w:val="0"/>
          <w:bCs/>
          <w:iCs/>
          <w:lang w:val="af-ZA"/>
        </w:rPr>
        <w:t xml:space="preserve"> </w:t>
      </w:r>
      <w:r w:rsidRPr="009070BD">
        <w:rPr>
          <w:b w:val="0"/>
          <w:bCs/>
          <w:iCs/>
          <w:lang w:val="hy-AM"/>
        </w:rPr>
        <w:t>վիճակի</w:t>
      </w:r>
      <w:r w:rsidRPr="009070BD">
        <w:rPr>
          <w:b w:val="0"/>
          <w:bCs/>
          <w:iCs/>
          <w:lang w:val="af-ZA"/>
        </w:rPr>
        <w:t xml:space="preserve"> </w:t>
      </w:r>
      <w:r w:rsidRPr="009070BD">
        <w:rPr>
          <w:b w:val="0"/>
          <w:bCs/>
          <w:iCs/>
          <w:lang w:val="hy-AM"/>
        </w:rPr>
        <w:t>և</w:t>
      </w:r>
      <w:r w:rsidRPr="009070BD">
        <w:rPr>
          <w:b w:val="0"/>
          <w:bCs/>
          <w:iCs/>
          <w:lang w:val="af-ZA"/>
        </w:rPr>
        <w:t xml:space="preserve"> </w:t>
      </w:r>
      <w:r w:rsidRPr="009070BD">
        <w:rPr>
          <w:b w:val="0"/>
          <w:bCs/>
          <w:iCs/>
          <w:lang w:val="hy-AM"/>
        </w:rPr>
        <w:t>աղտոտումից</w:t>
      </w:r>
      <w:r w:rsidRPr="009070BD">
        <w:rPr>
          <w:b w:val="0"/>
          <w:bCs/>
          <w:iCs/>
          <w:lang w:val="af-ZA"/>
        </w:rPr>
        <w:t xml:space="preserve"> </w:t>
      </w:r>
      <w:r w:rsidRPr="009070BD">
        <w:rPr>
          <w:b w:val="0"/>
          <w:bCs/>
          <w:iCs/>
          <w:lang w:val="hy-AM"/>
        </w:rPr>
        <w:t>շրջակա</w:t>
      </w:r>
      <w:r w:rsidRPr="009070BD">
        <w:rPr>
          <w:b w:val="0"/>
          <w:bCs/>
          <w:iCs/>
          <w:lang w:val="af-ZA"/>
        </w:rPr>
        <w:t xml:space="preserve"> </w:t>
      </w:r>
      <w:r w:rsidRPr="009070BD">
        <w:rPr>
          <w:b w:val="0"/>
          <w:bCs/>
          <w:iCs/>
          <w:lang w:val="hy-AM"/>
        </w:rPr>
        <w:t>միջավայրի</w:t>
      </w:r>
      <w:r w:rsidRPr="009070BD">
        <w:rPr>
          <w:b w:val="0"/>
          <w:bCs/>
          <w:iCs/>
          <w:lang w:val="af-ZA"/>
        </w:rPr>
        <w:t xml:space="preserve"> </w:t>
      </w:r>
      <w:r w:rsidRPr="009070BD">
        <w:rPr>
          <w:b w:val="0"/>
          <w:bCs/>
          <w:iCs/>
          <w:lang w:val="hy-AM"/>
        </w:rPr>
        <w:t>պահպանության</w:t>
      </w:r>
      <w:r w:rsidRPr="009070BD">
        <w:rPr>
          <w:b w:val="0"/>
          <w:bCs/>
          <w:iCs/>
          <w:lang w:val="af-ZA"/>
        </w:rPr>
        <w:t xml:space="preserve"> </w:t>
      </w:r>
      <w:r w:rsidRPr="009070BD">
        <w:rPr>
          <w:b w:val="0"/>
          <w:bCs/>
          <w:iCs/>
          <w:lang w:val="hy-AM"/>
        </w:rPr>
        <w:t>ապահովում</w:t>
      </w:r>
      <w:r w:rsidRPr="009070BD">
        <w:rPr>
          <w:b w:val="0"/>
          <w:bCs/>
          <w:iCs/>
          <w:lang w:val="af-ZA"/>
        </w:rPr>
        <w:t xml:space="preserve">, </w:t>
      </w:r>
      <w:r w:rsidRPr="009070BD">
        <w:rPr>
          <w:b w:val="0"/>
          <w:bCs/>
          <w:iCs/>
          <w:lang w:val="hy-AM"/>
        </w:rPr>
        <w:t>էլեկտրամատակարարման</w:t>
      </w:r>
      <w:r w:rsidRPr="009070BD">
        <w:rPr>
          <w:b w:val="0"/>
          <w:bCs/>
          <w:iCs/>
          <w:lang w:val="af-ZA"/>
        </w:rPr>
        <w:t xml:space="preserve"> </w:t>
      </w:r>
      <w:r w:rsidRPr="009070BD">
        <w:rPr>
          <w:b w:val="0"/>
          <w:bCs/>
          <w:iCs/>
          <w:lang w:val="hy-AM"/>
        </w:rPr>
        <w:t>հուսալիության</w:t>
      </w:r>
      <w:r w:rsidRPr="009070BD">
        <w:rPr>
          <w:b w:val="0"/>
          <w:bCs/>
          <w:iCs/>
          <w:lang w:val="af-ZA"/>
        </w:rPr>
        <w:t xml:space="preserve"> </w:t>
      </w:r>
      <w:r w:rsidRPr="009070BD">
        <w:rPr>
          <w:b w:val="0"/>
          <w:bCs/>
          <w:iCs/>
          <w:lang w:val="hy-AM"/>
        </w:rPr>
        <w:t>բարձրացում</w:t>
      </w:r>
      <w:r w:rsidRPr="009070BD">
        <w:rPr>
          <w:b w:val="0"/>
          <w:bCs/>
          <w:iCs/>
          <w:lang w:val="af-ZA"/>
        </w:rPr>
        <w:t xml:space="preserve">, </w:t>
      </w:r>
      <w:r w:rsidRPr="009070BD">
        <w:rPr>
          <w:b w:val="0"/>
          <w:bCs/>
          <w:iCs/>
          <w:lang w:val="hy-AM"/>
        </w:rPr>
        <w:t>թունելային</w:t>
      </w:r>
      <w:r w:rsidRPr="009070BD">
        <w:rPr>
          <w:b w:val="0"/>
          <w:bCs/>
          <w:iCs/>
          <w:lang w:val="af-ZA"/>
        </w:rPr>
        <w:t xml:space="preserve"> </w:t>
      </w:r>
      <w:r w:rsidRPr="009070BD">
        <w:rPr>
          <w:b w:val="0"/>
          <w:bCs/>
          <w:iCs/>
          <w:lang w:val="hy-AM"/>
        </w:rPr>
        <w:t>ջրատարի</w:t>
      </w:r>
      <w:r w:rsidRPr="009070BD">
        <w:rPr>
          <w:b w:val="0"/>
          <w:bCs/>
          <w:iCs/>
          <w:lang w:val="af-ZA"/>
        </w:rPr>
        <w:t xml:space="preserve"> </w:t>
      </w:r>
      <w:r w:rsidRPr="009070BD">
        <w:rPr>
          <w:b w:val="0"/>
          <w:bCs/>
          <w:iCs/>
          <w:lang w:val="hy-AM"/>
        </w:rPr>
        <w:t>և</w:t>
      </w:r>
      <w:r w:rsidRPr="009070BD">
        <w:rPr>
          <w:b w:val="0"/>
          <w:bCs/>
          <w:iCs/>
          <w:lang w:val="af-ZA"/>
        </w:rPr>
        <w:t xml:space="preserve"> </w:t>
      </w:r>
      <w:r w:rsidRPr="009070BD">
        <w:rPr>
          <w:b w:val="0"/>
          <w:bCs/>
          <w:iCs/>
          <w:lang w:val="hy-AM"/>
        </w:rPr>
        <w:t>շարժասանդուղքների</w:t>
      </w:r>
      <w:r w:rsidRPr="009070BD">
        <w:rPr>
          <w:b w:val="0"/>
          <w:bCs/>
          <w:iCs/>
          <w:lang w:val="af-ZA"/>
        </w:rPr>
        <w:t xml:space="preserve"> վերա</w:t>
      </w:r>
      <w:r w:rsidRPr="009070BD">
        <w:rPr>
          <w:b w:val="0"/>
          <w:bCs/>
          <w:iCs/>
          <w:lang w:val="hy-AM"/>
        </w:rPr>
        <w:t>նորոգում</w:t>
      </w:r>
      <w:r w:rsidRPr="009070BD">
        <w:rPr>
          <w:b w:val="0"/>
          <w:bCs/>
          <w:iCs/>
          <w:lang w:val="af-ZA"/>
        </w:rPr>
        <w:t xml:space="preserve">՝ բ) </w:t>
      </w:r>
      <w:r w:rsidRPr="009070BD">
        <w:rPr>
          <w:b w:val="0"/>
          <w:bCs/>
          <w:iCs/>
          <w:lang w:val="hy-AM"/>
        </w:rPr>
        <w:t>մետրոպոլիտենի</w:t>
      </w:r>
      <w:r w:rsidRPr="009070BD">
        <w:rPr>
          <w:b w:val="0"/>
          <w:bCs/>
          <w:iCs/>
          <w:lang w:val="af-ZA"/>
        </w:rPr>
        <w:t xml:space="preserve"> </w:t>
      </w:r>
      <w:r w:rsidRPr="009070BD">
        <w:rPr>
          <w:b w:val="0"/>
          <w:bCs/>
          <w:iCs/>
          <w:lang w:val="hy-AM"/>
        </w:rPr>
        <w:t>գծերի</w:t>
      </w:r>
      <w:r w:rsidRPr="009070BD">
        <w:rPr>
          <w:b w:val="0"/>
          <w:bCs/>
          <w:iCs/>
          <w:lang w:val="af-ZA"/>
        </w:rPr>
        <w:t xml:space="preserve">, </w:t>
      </w:r>
      <w:r w:rsidRPr="009070BD">
        <w:rPr>
          <w:b w:val="0"/>
          <w:bCs/>
          <w:iCs/>
          <w:lang w:val="hy-AM"/>
        </w:rPr>
        <w:t>կայարանների</w:t>
      </w:r>
      <w:r w:rsidRPr="009070BD">
        <w:rPr>
          <w:b w:val="0"/>
          <w:bCs/>
          <w:iCs/>
          <w:lang w:val="af-ZA"/>
        </w:rPr>
        <w:t xml:space="preserve">, </w:t>
      </w:r>
      <w:r w:rsidRPr="009070BD">
        <w:rPr>
          <w:b w:val="0"/>
          <w:bCs/>
          <w:iCs/>
          <w:lang w:val="hy-AM"/>
        </w:rPr>
        <w:t>շենքերի</w:t>
      </w:r>
      <w:r w:rsidRPr="009070BD">
        <w:rPr>
          <w:b w:val="0"/>
          <w:bCs/>
          <w:iCs/>
          <w:lang w:val="af-ZA"/>
        </w:rPr>
        <w:t xml:space="preserve">, </w:t>
      </w:r>
      <w:r w:rsidRPr="009070BD">
        <w:rPr>
          <w:b w:val="0"/>
          <w:bCs/>
          <w:iCs/>
          <w:lang w:val="hy-AM"/>
        </w:rPr>
        <w:t>կառույցների</w:t>
      </w:r>
      <w:r w:rsidRPr="009070BD">
        <w:rPr>
          <w:b w:val="0"/>
          <w:bCs/>
          <w:iCs/>
          <w:lang w:val="af-ZA"/>
        </w:rPr>
        <w:t xml:space="preserve">, </w:t>
      </w:r>
      <w:r w:rsidRPr="009070BD">
        <w:rPr>
          <w:b w:val="0"/>
          <w:bCs/>
          <w:iCs/>
          <w:lang w:val="hy-AM"/>
        </w:rPr>
        <w:t>էլեկտրամատա</w:t>
      </w:r>
      <w:r w:rsidRPr="009070BD">
        <w:rPr>
          <w:b w:val="0"/>
          <w:bCs/>
          <w:iCs/>
          <w:lang w:val="af-ZA"/>
        </w:rPr>
        <w:softHyphen/>
      </w:r>
      <w:r w:rsidRPr="009070BD">
        <w:rPr>
          <w:b w:val="0"/>
          <w:bCs/>
          <w:iCs/>
          <w:lang w:val="hy-AM"/>
        </w:rPr>
        <w:t>կա</w:t>
      </w:r>
      <w:r w:rsidRPr="009070BD">
        <w:rPr>
          <w:b w:val="0"/>
          <w:bCs/>
          <w:iCs/>
          <w:lang w:val="af-ZA"/>
        </w:rPr>
        <w:softHyphen/>
      </w:r>
      <w:r w:rsidRPr="009070BD">
        <w:rPr>
          <w:b w:val="0"/>
          <w:bCs/>
          <w:iCs/>
          <w:lang w:val="hy-AM"/>
        </w:rPr>
        <w:t>րարման</w:t>
      </w:r>
      <w:r w:rsidRPr="009070BD">
        <w:rPr>
          <w:b w:val="0"/>
          <w:bCs/>
          <w:iCs/>
          <w:lang w:val="af-ZA"/>
        </w:rPr>
        <w:t xml:space="preserve"> </w:t>
      </w:r>
      <w:r w:rsidRPr="009070BD">
        <w:rPr>
          <w:b w:val="0"/>
          <w:bCs/>
          <w:iCs/>
          <w:lang w:val="hy-AM"/>
        </w:rPr>
        <w:t>և</w:t>
      </w:r>
      <w:r w:rsidRPr="009070BD">
        <w:rPr>
          <w:b w:val="0"/>
          <w:bCs/>
          <w:iCs/>
          <w:lang w:val="af-ZA"/>
        </w:rPr>
        <w:t xml:space="preserve"> </w:t>
      </w:r>
      <w:r w:rsidRPr="009070BD">
        <w:rPr>
          <w:b w:val="0"/>
          <w:bCs/>
          <w:iCs/>
          <w:lang w:val="hy-AM"/>
        </w:rPr>
        <w:t>կապի</w:t>
      </w:r>
      <w:r w:rsidRPr="009070BD">
        <w:rPr>
          <w:b w:val="0"/>
          <w:bCs/>
          <w:iCs/>
          <w:lang w:val="af-ZA"/>
        </w:rPr>
        <w:t xml:space="preserve"> </w:t>
      </w:r>
      <w:r w:rsidRPr="009070BD">
        <w:rPr>
          <w:b w:val="0"/>
          <w:bCs/>
          <w:iCs/>
          <w:lang w:val="hy-AM"/>
        </w:rPr>
        <w:t>համակարգերի</w:t>
      </w:r>
      <w:r w:rsidRPr="009070BD">
        <w:rPr>
          <w:b w:val="0"/>
          <w:bCs/>
          <w:iCs/>
          <w:lang w:val="af-ZA"/>
        </w:rPr>
        <w:t xml:space="preserve">, </w:t>
      </w:r>
      <w:r w:rsidRPr="009070BD">
        <w:rPr>
          <w:b w:val="0"/>
          <w:bCs/>
          <w:iCs/>
          <w:lang w:val="hy-AM"/>
        </w:rPr>
        <w:t>շարժակազմերի</w:t>
      </w:r>
      <w:r w:rsidRPr="009070BD">
        <w:rPr>
          <w:b w:val="0"/>
          <w:bCs/>
          <w:iCs/>
          <w:lang w:val="af-ZA"/>
        </w:rPr>
        <w:t xml:space="preserve"> </w:t>
      </w:r>
      <w:r w:rsidRPr="009070BD">
        <w:rPr>
          <w:b w:val="0"/>
          <w:bCs/>
          <w:iCs/>
          <w:lang w:val="hy-AM"/>
        </w:rPr>
        <w:t>և</w:t>
      </w:r>
      <w:r w:rsidRPr="009070BD">
        <w:rPr>
          <w:b w:val="0"/>
          <w:bCs/>
          <w:iCs/>
          <w:lang w:val="af-ZA"/>
        </w:rPr>
        <w:t xml:space="preserve"> </w:t>
      </w:r>
      <w:r w:rsidRPr="009070BD">
        <w:rPr>
          <w:b w:val="0"/>
          <w:bCs/>
          <w:iCs/>
          <w:lang w:val="hy-AM"/>
        </w:rPr>
        <w:t>տեխնոլոգիական</w:t>
      </w:r>
      <w:r w:rsidRPr="009070BD">
        <w:rPr>
          <w:b w:val="0"/>
          <w:bCs/>
          <w:iCs/>
          <w:lang w:val="af-ZA"/>
        </w:rPr>
        <w:t xml:space="preserve"> </w:t>
      </w:r>
      <w:r w:rsidRPr="009070BD">
        <w:rPr>
          <w:b w:val="0"/>
          <w:bCs/>
          <w:iCs/>
          <w:lang w:val="hy-AM"/>
        </w:rPr>
        <w:t>սարքավորումների</w:t>
      </w:r>
      <w:r w:rsidRPr="009070BD">
        <w:rPr>
          <w:b w:val="0"/>
          <w:bCs/>
          <w:iCs/>
          <w:lang w:val="af-ZA"/>
        </w:rPr>
        <w:t xml:space="preserve"> </w:t>
      </w:r>
      <w:r w:rsidRPr="009070BD">
        <w:rPr>
          <w:b w:val="0"/>
          <w:bCs/>
          <w:iCs/>
          <w:lang w:val="hy-AM"/>
        </w:rPr>
        <w:t>անխա</w:t>
      </w:r>
      <w:r w:rsidRPr="009070BD">
        <w:rPr>
          <w:b w:val="0"/>
          <w:bCs/>
          <w:iCs/>
          <w:lang w:val="af-ZA"/>
        </w:rPr>
        <w:softHyphen/>
      </w:r>
      <w:r w:rsidRPr="009070BD">
        <w:rPr>
          <w:b w:val="0"/>
          <w:bCs/>
          <w:iCs/>
          <w:lang w:val="hy-AM"/>
        </w:rPr>
        <w:t>փան</w:t>
      </w:r>
      <w:r w:rsidRPr="009070BD">
        <w:rPr>
          <w:b w:val="0"/>
          <w:bCs/>
          <w:iCs/>
          <w:lang w:val="af-ZA"/>
        </w:rPr>
        <w:t xml:space="preserve"> </w:t>
      </w:r>
      <w:r w:rsidRPr="009070BD">
        <w:rPr>
          <w:b w:val="0"/>
          <w:bCs/>
          <w:iCs/>
          <w:lang w:val="hy-AM"/>
        </w:rPr>
        <w:t>շահագործման</w:t>
      </w:r>
      <w:r w:rsidRPr="009070BD">
        <w:rPr>
          <w:b w:val="0"/>
          <w:bCs/>
          <w:iCs/>
          <w:lang w:val="af-ZA"/>
        </w:rPr>
        <w:t xml:space="preserve"> </w:t>
      </w:r>
      <w:r w:rsidRPr="009070BD">
        <w:rPr>
          <w:b w:val="0"/>
          <w:bCs/>
          <w:iCs/>
          <w:lang w:val="hy-AM"/>
        </w:rPr>
        <w:t>հուսալիության</w:t>
      </w:r>
      <w:r w:rsidRPr="009070BD">
        <w:rPr>
          <w:b w:val="0"/>
          <w:bCs/>
          <w:iCs/>
          <w:lang w:val="af-ZA"/>
        </w:rPr>
        <w:t xml:space="preserve"> </w:t>
      </w:r>
      <w:r w:rsidRPr="009070BD">
        <w:rPr>
          <w:b w:val="0"/>
          <w:bCs/>
          <w:iCs/>
          <w:lang w:val="hy-AM"/>
        </w:rPr>
        <w:t>բարձրացում`</w:t>
      </w:r>
      <w:r w:rsidRPr="009070BD">
        <w:rPr>
          <w:b w:val="0"/>
          <w:bCs/>
          <w:iCs/>
          <w:lang w:val="af-ZA"/>
        </w:rPr>
        <w:t xml:space="preserve"> </w:t>
      </w:r>
      <w:r w:rsidRPr="009070BD">
        <w:rPr>
          <w:b w:val="0"/>
          <w:bCs/>
          <w:iCs/>
          <w:lang w:val="it-IT"/>
        </w:rPr>
        <w:t>202</w:t>
      </w:r>
      <w:r w:rsidRPr="009070BD">
        <w:rPr>
          <w:b w:val="0"/>
          <w:bCs/>
          <w:iCs/>
          <w:lang w:val="hy-AM"/>
        </w:rPr>
        <w:t>1</w:t>
      </w:r>
      <w:r w:rsidRPr="009070BD">
        <w:rPr>
          <w:b w:val="0"/>
          <w:bCs/>
          <w:iCs/>
          <w:lang w:val="it-IT"/>
        </w:rPr>
        <w:t xml:space="preserve">թ.-ին նախատեսվում է </w:t>
      </w:r>
      <w:r w:rsidR="000A7B14">
        <w:rPr>
          <w:b w:val="0"/>
          <w:bCs/>
          <w:iCs/>
          <w:lang w:val="it-IT"/>
        </w:rPr>
        <w:t>336.8</w:t>
      </w:r>
      <w:r w:rsidRPr="009070BD">
        <w:rPr>
          <w:b w:val="0"/>
          <w:bCs/>
          <w:iCs/>
          <w:lang w:val="hy-AM"/>
        </w:rPr>
        <w:t xml:space="preserve"> </w:t>
      </w:r>
      <w:r w:rsidRPr="009070BD">
        <w:rPr>
          <w:b w:val="0"/>
          <w:bCs/>
          <w:iCs/>
          <w:lang w:val="af-ZA"/>
        </w:rPr>
        <w:t xml:space="preserve">մլն դրամ, </w:t>
      </w:r>
      <w:r w:rsidRPr="009070BD">
        <w:rPr>
          <w:b w:val="0"/>
          <w:bCs/>
          <w:iCs/>
          <w:lang w:val="hy-AM"/>
        </w:rPr>
        <w:t xml:space="preserve">այդ թվում վարկային միջոցներ` </w:t>
      </w:r>
      <w:r w:rsidR="000A7B14" w:rsidRPr="000A7B14">
        <w:rPr>
          <w:b w:val="0"/>
          <w:bCs/>
          <w:iCs/>
          <w:lang w:val="af-ZA"/>
        </w:rPr>
        <w:t>280.</w:t>
      </w:r>
      <w:r w:rsidR="000A7B14">
        <w:rPr>
          <w:b w:val="0"/>
          <w:bCs/>
          <w:iCs/>
          <w:lang w:val="af-ZA"/>
        </w:rPr>
        <w:t>7</w:t>
      </w:r>
      <w:r w:rsidRPr="009070BD">
        <w:rPr>
          <w:b w:val="0"/>
          <w:bCs/>
          <w:iCs/>
          <w:lang w:val="af-ZA"/>
        </w:rPr>
        <w:t xml:space="preserve"> մլն դրամ</w:t>
      </w:r>
      <w:r w:rsidRPr="009070BD">
        <w:rPr>
          <w:b w:val="0"/>
          <w:bCs/>
          <w:iCs/>
          <w:lang w:val="hy-AM"/>
        </w:rPr>
        <w:t xml:space="preserve">, ՀՀ համաֆինանսավորում` </w:t>
      </w:r>
      <w:r w:rsidR="000A7B14" w:rsidRPr="000A7B14">
        <w:rPr>
          <w:b w:val="0"/>
          <w:bCs/>
          <w:iCs/>
          <w:lang w:val="af-ZA"/>
        </w:rPr>
        <w:t>56.</w:t>
      </w:r>
      <w:r w:rsidR="000A7B14">
        <w:rPr>
          <w:b w:val="0"/>
          <w:bCs/>
          <w:iCs/>
          <w:lang w:val="af-ZA"/>
        </w:rPr>
        <w:t>1</w:t>
      </w:r>
      <w:r w:rsidRPr="009070BD">
        <w:rPr>
          <w:b w:val="0"/>
          <w:bCs/>
          <w:iCs/>
          <w:lang w:val="hy-AM"/>
        </w:rPr>
        <w:t xml:space="preserve"> </w:t>
      </w:r>
      <w:r w:rsidRPr="009070BD">
        <w:rPr>
          <w:b w:val="0"/>
          <w:bCs/>
          <w:iCs/>
          <w:lang w:val="af-ZA"/>
        </w:rPr>
        <w:t>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30.</w:t>
      </w:r>
      <w:r w:rsidRPr="009070BD">
        <w:rPr>
          <w:b w:val="0"/>
          <w:bCs/>
          <w:iCs/>
          <w:lang w:val="af-ZA"/>
        </w:rPr>
        <w:t xml:space="preserve"> Եվրոպական միության հարևանության ներդրումային ծրագրի աջակցությամբ իրականացվող Երևանի </w:t>
      </w:r>
      <w:r w:rsidRPr="009070BD">
        <w:rPr>
          <w:b w:val="0"/>
          <w:bCs/>
          <w:iCs/>
          <w:lang w:val="hy-AM"/>
        </w:rPr>
        <w:t>մետրոպոլիտենի</w:t>
      </w:r>
      <w:r w:rsidRPr="009070BD">
        <w:rPr>
          <w:b w:val="0"/>
          <w:bCs/>
          <w:iCs/>
          <w:lang w:val="af-ZA"/>
        </w:rPr>
        <w:t xml:space="preserve"> </w:t>
      </w:r>
      <w:r w:rsidRPr="009070BD">
        <w:rPr>
          <w:b w:val="0"/>
          <w:bCs/>
          <w:iCs/>
          <w:lang w:val="hy-AM"/>
        </w:rPr>
        <w:t>վերակառուցման</w:t>
      </w:r>
      <w:r w:rsidRPr="009070BD">
        <w:rPr>
          <w:b w:val="0"/>
          <w:bCs/>
          <w:iCs/>
          <w:lang w:val="af-ZA"/>
        </w:rPr>
        <w:t xml:space="preserve"> </w:t>
      </w:r>
      <w:r w:rsidRPr="009070BD">
        <w:rPr>
          <w:b w:val="0"/>
          <w:bCs/>
          <w:iCs/>
          <w:lang w:val="hy-AM"/>
        </w:rPr>
        <w:t>երկրորդ</w:t>
      </w:r>
      <w:r w:rsidRPr="009070BD">
        <w:rPr>
          <w:b w:val="0"/>
          <w:bCs/>
          <w:iCs/>
          <w:lang w:val="af-ZA"/>
        </w:rPr>
        <w:t xml:space="preserve"> </w:t>
      </w:r>
      <w:r w:rsidRPr="009070BD">
        <w:rPr>
          <w:b w:val="0"/>
          <w:bCs/>
          <w:iCs/>
          <w:lang w:val="hy-AM"/>
        </w:rPr>
        <w:t>դրամաշնորհային</w:t>
      </w:r>
      <w:r w:rsidRPr="009070BD">
        <w:rPr>
          <w:b w:val="0"/>
          <w:bCs/>
          <w:iCs/>
          <w:lang w:val="af-ZA"/>
        </w:rPr>
        <w:t xml:space="preserve"> </w:t>
      </w:r>
      <w:r w:rsidRPr="009070BD">
        <w:rPr>
          <w:b w:val="0"/>
          <w:bCs/>
          <w:iCs/>
          <w:lang w:val="hy-AM"/>
        </w:rPr>
        <w:t>ծրագիր</w:t>
      </w:r>
      <w:r w:rsidRPr="009070BD">
        <w:rPr>
          <w:b w:val="0"/>
          <w:bCs/>
          <w:iCs/>
          <w:lang w:val="af-ZA"/>
        </w:rPr>
        <w:t xml:space="preserve">, </w:t>
      </w:r>
      <w:r w:rsidRPr="009070BD">
        <w:rPr>
          <w:b w:val="0"/>
          <w:bCs/>
          <w:iCs/>
          <w:lang w:val="hy-AM"/>
        </w:rPr>
        <w:t>որի</w:t>
      </w:r>
      <w:r w:rsidRPr="009070BD">
        <w:rPr>
          <w:b w:val="0"/>
          <w:bCs/>
          <w:iCs/>
          <w:lang w:val="af-ZA"/>
        </w:rPr>
        <w:t xml:space="preserve"> </w:t>
      </w:r>
      <w:r w:rsidRPr="009070BD">
        <w:rPr>
          <w:b w:val="0"/>
          <w:bCs/>
          <w:iCs/>
          <w:lang w:val="hy-AM"/>
        </w:rPr>
        <w:t>նպատակն</w:t>
      </w:r>
      <w:r w:rsidRPr="009070BD">
        <w:rPr>
          <w:b w:val="0"/>
          <w:bCs/>
          <w:iCs/>
          <w:lang w:val="af-ZA"/>
        </w:rPr>
        <w:t xml:space="preserve"> </w:t>
      </w:r>
      <w:r w:rsidRPr="009070BD">
        <w:rPr>
          <w:b w:val="0"/>
          <w:bCs/>
          <w:iCs/>
          <w:lang w:val="hy-AM"/>
        </w:rPr>
        <w:t>է</w:t>
      </w:r>
      <w:r w:rsidRPr="009070BD">
        <w:rPr>
          <w:b w:val="0"/>
          <w:bCs/>
          <w:iCs/>
          <w:lang w:val="af-ZA"/>
        </w:rPr>
        <w:t xml:space="preserve"> </w:t>
      </w:r>
      <w:r w:rsidRPr="009070BD">
        <w:rPr>
          <w:b w:val="0"/>
          <w:bCs/>
          <w:iCs/>
          <w:lang w:val="hy-AM"/>
        </w:rPr>
        <w:t>վերականգնել</w:t>
      </w:r>
      <w:r w:rsidRPr="009070BD">
        <w:rPr>
          <w:b w:val="0"/>
          <w:bCs/>
          <w:iCs/>
          <w:lang w:val="af-ZA"/>
        </w:rPr>
        <w:t xml:space="preserve"> </w:t>
      </w:r>
      <w:r w:rsidRPr="009070BD">
        <w:rPr>
          <w:b w:val="0"/>
          <w:bCs/>
          <w:iCs/>
          <w:lang w:val="hy-AM"/>
        </w:rPr>
        <w:t>և</w:t>
      </w:r>
      <w:r w:rsidRPr="009070BD">
        <w:rPr>
          <w:b w:val="0"/>
          <w:bCs/>
          <w:iCs/>
          <w:lang w:val="af-ZA"/>
        </w:rPr>
        <w:t xml:space="preserve"> </w:t>
      </w:r>
      <w:r w:rsidRPr="009070BD">
        <w:rPr>
          <w:b w:val="0"/>
          <w:bCs/>
          <w:iCs/>
          <w:lang w:val="hy-AM"/>
        </w:rPr>
        <w:t>բարելավել</w:t>
      </w:r>
      <w:r w:rsidRPr="009070BD">
        <w:rPr>
          <w:b w:val="0"/>
          <w:bCs/>
          <w:iCs/>
          <w:lang w:val="af-ZA"/>
        </w:rPr>
        <w:t xml:space="preserve"> </w:t>
      </w:r>
      <w:r w:rsidRPr="009070BD">
        <w:rPr>
          <w:b w:val="0"/>
          <w:bCs/>
          <w:iCs/>
          <w:lang w:val="hy-AM"/>
        </w:rPr>
        <w:t>Երևանի</w:t>
      </w:r>
      <w:r w:rsidRPr="009070BD">
        <w:rPr>
          <w:b w:val="0"/>
          <w:bCs/>
          <w:iCs/>
          <w:lang w:val="af-ZA"/>
        </w:rPr>
        <w:t xml:space="preserve"> </w:t>
      </w:r>
      <w:r w:rsidRPr="009070BD">
        <w:rPr>
          <w:b w:val="0"/>
          <w:bCs/>
          <w:iCs/>
          <w:lang w:val="hy-AM"/>
        </w:rPr>
        <w:t>մետրոպոլիտենի</w:t>
      </w:r>
      <w:r w:rsidRPr="009070BD">
        <w:rPr>
          <w:b w:val="0"/>
          <w:bCs/>
          <w:iCs/>
          <w:lang w:val="af-ZA"/>
        </w:rPr>
        <w:t xml:space="preserve"> </w:t>
      </w:r>
      <w:r w:rsidRPr="009070BD">
        <w:rPr>
          <w:b w:val="0"/>
          <w:bCs/>
          <w:iCs/>
          <w:lang w:val="hy-AM"/>
        </w:rPr>
        <w:t>ենթակառուցվածքները</w:t>
      </w:r>
      <w:r w:rsidRPr="009070BD">
        <w:rPr>
          <w:b w:val="0"/>
          <w:bCs/>
          <w:iCs/>
          <w:lang w:val="af-ZA"/>
        </w:rPr>
        <w:t>՝</w:t>
      </w:r>
      <w:r w:rsidRPr="009070BD">
        <w:rPr>
          <w:b w:val="0"/>
          <w:bCs/>
          <w:iCs/>
          <w:lang w:val="hy-AM"/>
        </w:rPr>
        <w:t xml:space="preserve"> 2021թ. </w:t>
      </w:r>
      <w:r w:rsidRPr="009070BD">
        <w:rPr>
          <w:b w:val="0"/>
          <w:bCs/>
          <w:iCs/>
          <w:lang w:val="it-IT"/>
        </w:rPr>
        <w:t xml:space="preserve">նախատեսվում է </w:t>
      </w:r>
      <w:r w:rsidR="00414E79" w:rsidRPr="00414E79">
        <w:rPr>
          <w:b w:val="0"/>
          <w:bCs/>
          <w:iCs/>
          <w:lang w:val="hy-AM"/>
        </w:rPr>
        <w:t>484.8</w:t>
      </w:r>
      <w:r w:rsidRPr="009070BD">
        <w:rPr>
          <w:b w:val="0"/>
          <w:bCs/>
          <w:iCs/>
          <w:lang w:val="hy-AM"/>
        </w:rPr>
        <w:t xml:space="preserve"> </w:t>
      </w:r>
      <w:r w:rsidRPr="009070BD">
        <w:rPr>
          <w:b w:val="0"/>
          <w:bCs/>
          <w:iCs/>
          <w:lang w:val="af-ZA"/>
        </w:rPr>
        <w:t xml:space="preserve">մլն. դրամ, </w:t>
      </w:r>
      <w:r w:rsidRPr="009070BD">
        <w:rPr>
          <w:b w:val="0"/>
          <w:bCs/>
          <w:iCs/>
          <w:lang w:val="hy-AM"/>
        </w:rPr>
        <w:t xml:space="preserve">այդ թվում դրամաշնորհային միջոցներ` </w:t>
      </w:r>
      <w:r w:rsidR="00414E79" w:rsidRPr="00414E79">
        <w:rPr>
          <w:b w:val="0"/>
          <w:bCs/>
          <w:iCs/>
          <w:lang w:val="hy-AM"/>
        </w:rPr>
        <w:t>404.0</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414E79" w:rsidRPr="00414E79">
        <w:rPr>
          <w:b w:val="0"/>
          <w:bCs/>
          <w:iCs/>
          <w:lang w:val="hy-AM"/>
        </w:rPr>
        <w:t>80.8</w:t>
      </w:r>
      <w:r w:rsidRPr="009070BD">
        <w:rPr>
          <w:b w:val="0"/>
          <w:bCs/>
          <w:iCs/>
          <w:lang w:val="it-IT"/>
        </w:rPr>
        <w:t xml:space="preserve"> </w:t>
      </w:r>
      <w:r w:rsidRPr="009070BD">
        <w:rPr>
          <w:b w:val="0"/>
          <w:bCs/>
          <w:iCs/>
          <w:lang w:val="af-ZA"/>
        </w:rPr>
        <w:t>մլն. դրամ</w:t>
      </w:r>
      <w:r w:rsidRPr="009070BD">
        <w:rPr>
          <w:b w:val="0"/>
          <w:bCs/>
          <w:iCs/>
          <w:lang w:val="hy-AM"/>
        </w:rPr>
        <w:t>:</w:t>
      </w:r>
    </w:p>
    <w:p w:rsidR="001971B9" w:rsidRPr="009070BD" w:rsidRDefault="001971B9" w:rsidP="007730AA">
      <w:pPr>
        <w:spacing w:before="0" w:line="276" w:lineRule="auto"/>
        <w:ind w:firstLine="720"/>
        <w:rPr>
          <w:b w:val="0"/>
          <w:bCs/>
          <w:iCs/>
          <w:lang w:val="hy-AM"/>
        </w:rPr>
      </w:pPr>
      <w:r w:rsidRPr="009070BD">
        <w:rPr>
          <w:b w:val="0"/>
          <w:bCs/>
          <w:iCs/>
          <w:lang w:val="hy-AM"/>
        </w:rPr>
        <w:t>31.</w:t>
      </w:r>
      <w:r w:rsidRPr="009070BD">
        <w:rPr>
          <w:b w:val="0"/>
          <w:bCs/>
          <w:iCs/>
          <w:lang w:val="af-ZA"/>
        </w:rPr>
        <w:t xml:space="preserve"> Ասիական զարգացման բանկի աջակցությամբ իրականացվող Քաղաքային ենթակառուցվածքների և քաղաքի կայուն զարգացման ներդրումային ծրագիր, </w:t>
      </w:r>
      <w:r w:rsidRPr="009070BD">
        <w:rPr>
          <w:b w:val="0"/>
          <w:bCs/>
          <w:iCs/>
          <w:lang w:val="hy-AM"/>
        </w:rPr>
        <w:t>որի</w:t>
      </w:r>
      <w:r w:rsidRPr="009070BD">
        <w:rPr>
          <w:b w:val="0"/>
          <w:bCs/>
          <w:iCs/>
          <w:lang w:val="af-ZA"/>
        </w:rPr>
        <w:t xml:space="preserve"> </w:t>
      </w:r>
      <w:r w:rsidRPr="009070BD">
        <w:rPr>
          <w:b w:val="0"/>
          <w:bCs/>
          <w:iCs/>
          <w:lang w:val="hy-AM"/>
        </w:rPr>
        <w:t>նպատակն</w:t>
      </w:r>
      <w:r w:rsidRPr="009070BD">
        <w:rPr>
          <w:b w:val="0"/>
          <w:bCs/>
          <w:iCs/>
          <w:lang w:val="af-ZA"/>
        </w:rPr>
        <w:t xml:space="preserve"> </w:t>
      </w:r>
      <w:r w:rsidRPr="009070BD">
        <w:rPr>
          <w:b w:val="0"/>
          <w:bCs/>
          <w:iCs/>
          <w:lang w:val="hy-AM"/>
        </w:rPr>
        <w:t>է</w:t>
      </w:r>
      <w:r w:rsidRPr="009070BD">
        <w:rPr>
          <w:b w:val="0"/>
          <w:bCs/>
          <w:iCs/>
          <w:lang w:val="af-ZA"/>
        </w:rPr>
        <w:t xml:space="preserve"> բարելավել Երևանի քաղաքային տրանսպորտի ենթակառուցվածքը և ծառայությունները: </w:t>
      </w:r>
      <w:r w:rsidRPr="009070BD">
        <w:rPr>
          <w:b w:val="0"/>
          <w:bCs/>
          <w:iCs/>
          <w:lang w:val="it-IT"/>
        </w:rPr>
        <w:t>202</w:t>
      </w:r>
      <w:r w:rsidRPr="009070BD">
        <w:rPr>
          <w:b w:val="0"/>
          <w:bCs/>
          <w:iCs/>
          <w:lang w:val="hy-AM"/>
        </w:rPr>
        <w:t>1</w:t>
      </w:r>
      <w:r w:rsidRPr="009070BD">
        <w:rPr>
          <w:b w:val="0"/>
          <w:bCs/>
          <w:iCs/>
          <w:lang w:val="it-IT"/>
        </w:rPr>
        <w:t>թ.-ին նախատեսվում է</w:t>
      </w:r>
      <w:r w:rsidRPr="009070BD">
        <w:rPr>
          <w:b w:val="0"/>
          <w:bCs/>
          <w:iCs/>
          <w:lang w:val="hy-AM"/>
        </w:rPr>
        <w:t xml:space="preserve"> 1,</w:t>
      </w:r>
      <w:r w:rsidR="00155864" w:rsidRPr="00155864">
        <w:rPr>
          <w:b w:val="0"/>
          <w:bCs/>
          <w:iCs/>
          <w:lang w:val="hy-AM"/>
        </w:rPr>
        <w:t>383.2</w:t>
      </w:r>
      <w:r w:rsidRPr="009070BD">
        <w:rPr>
          <w:b w:val="0"/>
          <w:bCs/>
          <w:iCs/>
          <w:lang w:val="it-IT"/>
        </w:rPr>
        <w:t xml:space="preserve"> </w:t>
      </w:r>
      <w:r w:rsidRPr="009070BD">
        <w:rPr>
          <w:b w:val="0"/>
          <w:bCs/>
          <w:iCs/>
          <w:lang w:val="af-ZA"/>
        </w:rPr>
        <w:t xml:space="preserve">մլն դրամ, </w:t>
      </w:r>
      <w:r w:rsidRPr="009070BD">
        <w:rPr>
          <w:b w:val="0"/>
          <w:bCs/>
          <w:iCs/>
          <w:lang w:val="hy-AM"/>
        </w:rPr>
        <w:t xml:space="preserve">այդ թվում վարկային միջոցներ` </w:t>
      </w:r>
      <w:r w:rsidR="00155864" w:rsidRPr="00155864">
        <w:rPr>
          <w:b w:val="0"/>
          <w:bCs/>
          <w:iCs/>
          <w:lang w:val="hy-AM"/>
        </w:rPr>
        <w:t>1,033.6</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155864" w:rsidRPr="00155864">
        <w:rPr>
          <w:b w:val="0"/>
          <w:bCs/>
          <w:iCs/>
          <w:lang w:val="hy-AM"/>
        </w:rPr>
        <w:t>349.6</w:t>
      </w:r>
      <w:r w:rsidRPr="009070BD">
        <w:rPr>
          <w:b w:val="0"/>
          <w:bCs/>
          <w:iCs/>
          <w:lang w:val="hy-AM"/>
        </w:rPr>
        <w:t xml:space="preserve"> </w:t>
      </w:r>
      <w:r w:rsidRPr="009070BD">
        <w:rPr>
          <w:b w:val="0"/>
          <w:bCs/>
          <w:iCs/>
          <w:lang w:val="af-ZA"/>
        </w:rPr>
        <w:t>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 xml:space="preserve">32. </w:t>
      </w:r>
      <w:r w:rsidRPr="009070BD">
        <w:rPr>
          <w:b w:val="0"/>
          <w:bCs/>
          <w:iCs/>
          <w:lang w:val="af-ZA"/>
        </w:rPr>
        <w:t>Ասիական բանկի աջակցությամբ իրականացվող Քաղաքային ենթակառուց</w:t>
      </w:r>
      <w:r w:rsidRPr="009070BD">
        <w:rPr>
          <w:b w:val="0"/>
          <w:bCs/>
          <w:iCs/>
          <w:lang w:val="af-ZA"/>
        </w:rPr>
        <w:softHyphen/>
        <w:t>վածքների և քաղաքի կայուն զարգացման ներդրումային երկրորդ ծրագիր</w:t>
      </w:r>
      <w:r w:rsidRPr="009070BD">
        <w:rPr>
          <w:b w:val="0"/>
          <w:bCs/>
          <w:iCs/>
          <w:lang w:val="hy-AM"/>
        </w:rPr>
        <w:t xml:space="preserve">, որի </w:t>
      </w:r>
      <w:r w:rsidRPr="009070BD">
        <w:rPr>
          <w:b w:val="0"/>
          <w:bCs/>
          <w:iCs/>
          <w:lang w:val="af-ZA"/>
        </w:rPr>
        <w:t xml:space="preserve">նպատակն է բարելավել քաղաքային ենթակառուցվածքները, այդ թվում` Արգավանդ - Շիրակ, </w:t>
      </w:r>
      <w:r w:rsidRPr="009070BD">
        <w:rPr>
          <w:b w:val="0"/>
          <w:bCs/>
          <w:iCs/>
          <w:lang w:val="hy-AM"/>
        </w:rPr>
        <w:t>Բաբաջանյան</w:t>
      </w:r>
      <w:r w:rsidRPr="009070BD">
        <w:rPr>
          <w:b w:val="0"/>
          <w:bCs/>
          <w:iCs/>
          <w:lang w:val="af-ZA"/>
        </w:rPr>
        <w:t xml:space="preserve"> - Աշտարակ ճանապարհահատվածը՝ </w:t>
      </w:r>
      <w:r w:rsidRPr="009070BD">
        <w:rPr>
          <w:b w:val="0"/>
          <w:bCs/>
          <w:iCs/>
          <w:lang w:val="it-IT"/>
        </w:rPr>
        <w:t>202</w:t>
      </w:r>
      <w:r w:rsidRPr="009070BD">
        <w:rPr>
          <w:b w:val="0"/>
          <w:bCs/>
          <w:iCs/>
          <w:lang w:val="hy-AM"/>
        </w:rPr>
        <w:t>1</w:t>
      </w:r>
      <w:r w:rsidRPr="009070BD">
        <w:rPr>
          <w:b w:val="0"/>
          <w:bCs/>
          <w:iCs/>
          <w:lang w:val="it-IT"/>
        </w:rPr>
        <w:t>թ.-ին նախատեսվում է</w:t>
      </w:r>
      <w:r w:rsidRPr="009070BD">
        <w:rPr>
          <w:b w:val="0"/>
          <w:bCs/>
          <w:iCs/>
          <w:lang w:val="hy-AM"/>
        </w:rPr>
        <w:t xml:space="preserve"> </w:t>
      </w:r>
      <w:r w:rsidR="00155864" w:rsidRPr="00155864">
        <w:rPr>
          <w:b w:val="0"/>
          <w:bCs/>
          <w:iCs/>
          <w:lang w:val="hy-AM"/>
        </w:rPr>
        <w:t>5,980.7</w:t>
      </w:r>
      <w:r w:rsidRPr="009070BD">
        <w:rPr>
          <w:b w:val="0"/>
          <w:bCs/>
          <w:iCs/>
          <w:lang w:val="it-IT"/>
        </w:rPr>
        <w:t xml:space="preserve"> </w:t>
      </w:r>
      <w:r w:rsidRPr="009070BD">
        <w:rPr>
          <w:b w:val="0"/>
          <w:bCs/>
          <w:iCs/>
          <w:lang w:val="af-ZA"/>
        </w:rPr>
        <w:t xml:space="preserve">մլն դրամ, </w:t>
      </w:r>
      <w:r w:rsidRPr="009070BD">
        <w:rPr>
          <w:b w:val="0"/>
          <w:bCs/>
          <w:iCs/>
          <w:lang w:val="hy-AM"/>
        </w:rPr>
        <w:t xml:space="preserve">այդ թվում վարկային միջոցներ` </w:t>
      </w:r>
      <w:r w:rsidR="00155864" w:rsidRPr="00155864">
        <w:rPr>
          <w:b w:val="0"/>
          <w:bCs/>
          <w:iCs/>
          <w:lang w:val="hy-AM"/>
        </w:rPr>
        <w:t>4,480.5</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155864" w:rsidRPr="00155864">
        <w:rPr>
          <w:b w:val="0"/>
          <w:bCs/>
          <w:iCs/>
          <w:lang w:val="hy-AM"/>
        </w:rPr>
        <w:t>1,500.2</w:t>
      </w:r>
      <w:r w:rsidRPr="009070BD">
        <w:rPr>
          <w:b w:val="0"/>
          <w:bCs/>
          <w:iCs/>
          <w:lang w:val="hy-AM"/>
        </w:rPr>
        <w:t xml:space="preserve"> </w:t>
      </w:r>
      <w:r w:rsidRPr="009070BD">
        <w:rPr>
          <w:b w:val="0"/>
          <w:bCs/>
          <w:iCs/>
          <w:lang w:val="af-ZA"/>
        </w:rPr>
        <w:t>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33.</w:t>
      </w:r>
      <w:r w:rsidRPr="009070BD">
        <w:rPr>
          <w:b w:val="0"/>
          <w:bCs/>
          <w:iCs/>
          <w:lang w:val="af-ZA"/>
        </w:rPr>
        <w:t xml:space="preserve"> Վերակառուցման և զարգացման եվրոպական բանկի աջակցությամբ իրականացվող «Գյումրու քաղաքային ճանապարհներ» ծրագիր</w:t>
      </w:r>
      <w:r w:rsidRPr="009070BD">
        <w:rPr>
          <w:b w:val="0"/>
          <w:bCs/>
          <w:iCs/>
          <w:lang w:val="hy-AM"/>
        </w:rPr>
        <w:t xml:space="preserve">, որի </w:t>
      </w:r>
      <w:r w:rsidRPr="009070BD">
        <w:rPr>
          <w:b w:val="0"/>
          <w:bCs/>
          <w:iCs/>
          <w:lang w:val="af-ZA"/>
        </w:rPr>
        <w:t>նպատակն է Գյումրի քաղաքում հիմնական ճանապարհների վերակառուցում և հանրային լուսավորության արդիականացում, այդ թվում` ասֆալտի և մայթերի նորոգում, ջրահեռացման համակարգերի վերականգնում</w:t>
      </w:r>
      <w:r w:rsidRPr="009070BD">
        <w:rPr>
          <w:b w:val="0"/>
          <w:bCs/>
          <w:iCs/>
          <w:lang w:val="hy-AM"/>
        </w:rPr>
        <w:t xml:space="preserve">, Գյումրու քաղաքապետարանի համար ավտոկայանատեղիների վերաբերյալ ռազմավարության մշակում՝ </w:t>
      </w:r>
      <w:r w:rsidRPr="009070BD">
        <w:rPr>
          <w:b w:val="0"/>
          <w:bCs/>
          <w:iCs/>
          <w:lang w:val="it-IT"/>
        </w:rPr>
        <w:t>202</w:t>
      </w:r>
      <w:r w:rsidRPr="009070BD">
        <w:rPr>
          <w:b w:val="0"/>
          <w:bCs/>
          <w:iCs/>
          <w:lang w:val="hy-AM"/>
        </w:rPr>
        <w:t>1</w:t>
      </w:r>
      <w:r w:rsidRPr="009070BD">
        <w:rPr>
          <w:b w:val="0"/>
          <w:bCs/>
          <w:iCs/>
          <w:lang w:val="it-IT"/>
        </w:rPr>
        <w:t xml:space="preserve">թ.-ին նախատեսվում է </w:t>
      </w:r>
      <w:r w:rsidR="00155864" w:rsidRPr="00155864">
        <w:rPr>
          <w:b w:val="0"/>
          <w:bCs/>
          <w:iCs/>
          <w:lang w:val="hy-AM"/>
        </w:rPr>
        <w:t>2.033.1</w:t>
      </w:r>
      <w:r w:rsidRPr="009070BD">
        <w:rPr>
          <w:b w:val="0"/>
          <w:bCs/>
          <w:iCs/>
          <w:lang w:val="hy-AM"/>
        </w:rPr>
        <w:t xml:space="preserve"> </w:t>
      </w:r>
      <w:r w:rsidRPr="009070BD">
        <w:rPr>
          <w:b w:val="0"/>
          <w:bCs/>
          <w:iCs/>
          <w:lang w:val="af-ZA"/>
        </w:rPr>
        <w:t xml:space="preserve">մլն դրամ, </w:t>
      </w:r>
      <w:r w:rsidRPr="009070BD">
        <w:rPr>
          <w:b w:val="0"/>
          <w:bCs/>
          <w:iCs/>
          <w:lang w:val="hy-AM"/>
        </w:rPr>
        <w:t>այդ թվում վարկային միջոցներ` 1</w:t>
      </w:r>
      <w:r w:rsidR="00155864" w:rsidRPr="00155864">
        <w:rPr>
          <w:b w:val="0"/>
          <w:bCs/>
          <w:iCs/>
          <w:lang w:val="hy-AM"/>
        </w:rPr>
        <w:t xml:space="preserve">,694.3 </w:t>
      </w:r>
      <w:r w:rsidRPr="009070BD">
        <w:rPr>
          <w:b w:val="0"/>
          <w:bCs/>
          <w:iCs/>
          <w:lang w:val="af-ZA"/>
        </w:rPr>
        <w:t>մլն դրամ</w:t>
      </w:r>
      <w:r w:rsidRPr="009070BD">
        <w:rPr>
          <w:b w:val="0"/>
          <w:bCs/>
          <w:iCs/>
          <w:lang w:val="hy-AM"/>
        </w:rPr>
        <w:t xml:space="preserve">, ՀՀ համաֆինանսավորում` </w:t>
      </w:r>
      <w:r w:rsidR="00155864" w:rsidRPr="00155864">
        <w:rPr>
          <w:b w:val="0"/>
          <w:bCs/>
          <w:iCs/>
          <w:lang w:val="hy-AM"/>
        </w:rPr>
        <w:t>338.8</w:t>
      </w:r>
      <w:r w:rsidRPr="009070BD">
        <w:rPr>
          <w:b w:val="0"/>
          <w:bCs/>
          <w:iCs/>
          <w:lang w:val="hy-AM"/>
        </w:rPr>
        <w:t xml:space="preserve"> </w:t>
      </w:r>
      <w:r w:rsidRPr="009070BD">
        <w:rPr>
          <w:b w:val="0"/>
          <w:bCs/>
          <w:iCs/>
          <w:lang w:val="af-ZA"/>
        </w:rPr>
        <w:t>մլն դրա</w:t>
      </w:r>
      <w:r w:rsidRPr="009070BD">
        <w:rPr>
          <w:b w:val="0"/>
          <w:bCs/>
          <w:iCs/>
          <w:lang w:val="hy-AM"/>
        </w:rPr>
        <w:t>մ:</w:t>
      </w:r>
    </w:p>
    <w:p w:rsidR="001971B9" w:rsidRPr="009070BD" w:rsidRDefault="001971B9" w:rsidP="007730AA">
      <w:pPr>
        <w:spacing w:before="0" w:line="276" w:lineRule="auto"/>
        <w:ind w:firstLine="720"/>
        <w:rPr>
          <w:b w:val="0"/>
          <w:bCs/>
          <w:iCs/>
          <w:lang w:val="af-ZA"/>
        </w:rPr>
      </w:pPr>
      <w:r w:rsidRPr="009070BD">
        <w:rPr>
          <w:b w:val="0"/>
          <w:bCs/>
          <w:iCs/>
          <w:lang w:val="hy-AM"/>
        </w:rPr>
        <w:t xml:space="preserve">34. </w:t>
      </w:r>
      <w:r w:rsidRPr="009070BD">
        <w:rPr>
          <w:b w:val="0"/>
          <w:bCs/>
          <w:iCs/>
          <w:lang w:val="af-ZA"/>
        </w:rPr>
        <w:t>Վերակառուցման և զարգացման եվրոպական բանկի աջակցությամբ իրականացվող Գյումրու քաղաքային ճանապարհներ տեխնիկական համագործակ</w:t>
      </w:r>
      <w:r w:rsidRPr="009070BD">
        <w:rPr>
          <w:b w:val="0"/>
          <w:bCs/>
          <w:iCs/>
          <w:lang w:val="af-ZA"/>
        </w:rPr>
        <w:softHyphen/>
        <w:t>ցության դրամաշնորհային ծրագիր</w:t>
      </w:r>
      <w:r w:rsidRPr="009070BD">
        <w:rPr>
          <w:b w:val="0"/>
          <w:bCs/>
          <w:iCs/>
          <w:lang w:val="hy-AM"/>
        </w:rPr>
        <w:t xml:space="preserve">, որի </w:t>
      </w:r>
      <w:r w:rsidRPr="009070BD">
        <w:rPr>
          <w:b w:val="0"/>
          <w:bCs/>
          <w:iCs/>
          <w:lang w:val="af-ZA"/>
        </w:rPr>
        <w:t xml:space="preserve">նպատակն է </w:t>
      </w:r>
      <w:r w:rsidRPr="009070BD">
        <w:rPr>
          <w:b w:val="0"/>
          <w:bCs/>
          <w:iCs/>
          <w:lang w:val="hy-AM"/>
        </w:rPr>
        <w:t>աջակցել «</w:t>
      </w:r>
      <w:r w:rsidRPr="009070BD">
        <w:rPr>
          <w:b w:val="0"/>
          <w:bCs/>
          <w:iCs/>
          <w:lang w:val="af-ZA"/>
        </w:rPr>
        <w:t>Գյումր</w:t>
      </w:r>
      <w:r w:rsidRPr="009070BD">
        <w:rPr>
          <w:b w:val="0"/>
          <w:bCs/>
          <w:iCs/>
          <w:lang w:val="hy-AM"/>
        </w:rPr>
        <w:t>ու քաղաքային ճանա</w:t>
      </w:r>
      <w:r w:rsidRPr="009070BD">
        <w:rPr>
          <w:b w:val="0"/>
          <w:bCs/>
          <w:iCs/>
          <w:lang w:val="hy-AM"/>
        </w:rPr>
        <w:softHyphen/>
        <w:t>պարհներ»</w:t>
      </w:r>
      <w:r w:rsidRPr="009070BD">
        <w:rPr>
          <w:b w:val="0"/>
          <w:bCs/>
          <w:iCs/>
          <w:lang w:val="af-ZA"/>
        </w:rPr>
        <w:t xml:space="preserve"> </w:t>
      </w:r>
      <w:r w:rsidRPr="009070BD">
        <w:rPr>
          <w:b w:val="0"/>
          <w:bCs/>
          <w:iCs/>
          <w:lang w:val="hy-AM"/>
        </w:rPr>
        <w:t>վարկային ծրագրի իրականացման թիմին աշխատանքների համար մրցու</w:t>
      </w:r>
      <w:r w:rsidRPr="009070BD">
        <w:rPr>
          <w:b w:val="0"/>
          <w:bCs/>
          <w:iCs/>
          <w:lang w:val="hy-AM"/>
        </w:rPr>
        <w:softHyphen/>
        <w:t>թային փաստաթղթերի պատրաստման, պայմանագրերի շնորհման համար՝</w:t>
      </w:r>
      <w:r w:rsidRPr="009070BD">
        <w:rPr>
          <w:b w:val="0"/>
          <w:bCs/>
          <w:iCs/>
          <w:lang w:val="it-IT"/>
        </w:rPr>
        <w:t xml:space="preserve"> 202</w:t>
      </w:r>
      <w:r w:rsidRPr="009070BD">
        <w:rPr>
          <w:b w:val="0"/>
          <w:bCs/>
          <w:iCs/>
          <w:lang w:val="hy-AM"/>
        </w:rPr>
        <w:t>1թ</w:t>
      </w:r>
      <w:r w:rsidRPr="009070BD">
        <w:rPr>
          <w:b w:val="0"/>
          <w:bCs/>
          <w:iCs/>
          <w:lang w:val="af-ZA"/>
        </w:rPr>
        <w:t>.-</w:t>
      </w:r>
      <w:r w:rsidRPr="009070BD">
        <w:rPr>
          <w:b w:val="0"/>
          <w:bCs/>
          <w:iCs/>
          <w:lang w:val="it-IT"/>
        </w:rPr>
        <w:t>ին նախատես</w:t>
      </w:r>
      <w:r w:rsidRPr="009070BD">
        <w:rPr>
          <w:b w:val="0"/>
          <w:bCs/>
          <w:iCs/>
          <w:lang w:val="it-IT"/>
        </w:rPr>
        <w:softHyphen/>
        <w:t xml:space="preserve">վում է </w:t>
      </w:r>
      <w:r w:rsidR="00340B52">
        <w:rPr>
          <w:b w:val="0"/>
          <w:bCs/>
          <w:iCs/>
          <w:lang w:val="hy-AM"/>
        </w:rPr>
        <w:t xml:space="preserve">305.7 </w:t>
      </w:r>
      <w:r w:rsidRPr="009070BD">
        <w:rPr>
          <w:b w:val="0"/>
          <w:bCs/>
          <w:iCs/>
          <w:lang w:val="af-ZA"/>
        </w:rPr>
        <w:t xml:space="preserve">մլն դրամ, </w:t>
      </w:r>
      <w:r w:rsidRPr="009070BD">
        <w:rPr>
          <w:b w:val="0"/>
          <w:bCs/>
          <w:iCs/>
          <w:lang w:val="hy-AM"/>
        </w:rPr>
        <w:t xml:space="preserve">այդ թվում դրամաշնորհային միջոցներ` </w:t>
      </w:r>
      <w:r w:rsidR="00340B52">
        <w:rPr>
          <w:b w:val="0"/>
          <w:bCs/>
          <w:iCs/>
          <w:lang w:val="hy-AM"/>
        </w:rPr>
        <w:t>254.7</w:t>
      </w:r>
      <w:r w:rsidRPr="009070BD">
        <w:rPr>
          <w:b w:val="0"/>
          <w:bCs/>
          <w:iCs/>
          <w:lang w:val="hy-AM"/>
        </w:rPr>
        <w:t xml:space="preserve"> </w:t>
      </w:r>
      <w:r w:rsidRPr="009070BD">
        <w:rPr>
          <w:b w:val="0"/>
          <w:bCs/>
          <w:iCs/>
          <w:lang w:val="af-ZA"/>
        </w:rPr>
        <w:t>մլն դրամ</w:t>
      </w:r>
      <w:r w:rsidRPr="009070BD">
        <w:rPr>
          <w:b w:val="0"/>
          <w:bCs/>
          <w:iCs/>
          <w:lang w:val="hy-AM"/>
        </w:rPr>
        <w:t>, ՀՀ համաֆինան</w:t>
      </w:r>
      <w:r w:rsidRPr="009070BD">
        <w:rPr>
          <w:b w:val="0"/>
          <w:bCs/>
          <w:iCs/>
          <w:lang w:val="hy-AM"/>
        </w:rPr>
        <w:softHyphen/>
        <w:t xml:space="preserve">սավորում` </w:t>
      </w:r>
      <w:r w:rsidR="00340B52">
        <w:rPr>
          <w:b w:val="0"/>
          <w:bCs/>
          <w:iCs/>
          <w:lang w:val="hy-AM"/>
        </w:rPr>
        <w:t>51.0</w:t>
      </w:r>
      <w:r w:rsidRPr="009070BD">
        <w:rPr>
          <w:b w:val="0"/>
          <w:bCs/>
          <w:iCs/>
          <w:lang w:val="it-IT"/>
        </w:rPr>
        <w:t xml:space="preserve"> </w:t>
      </w:r>
      <w:r w:rsidRPr="009070BD">
        <w:rPr>
          <w:b w:val="0"/>
          <w:bCs/>
          <w:iCs/>
          <w:lang w:val="af-ZA"/>
        </w:rPr>
        <w:t>մլն դրամ:</w:t>
      </w:r>
    </w:p>
    <w:p w:rsidR="001971B9" w:rsidRPr="009070BD" w:rsidRDefault="001971B9" w:rsidP="007730AA">
      <w:pPr>
        <w:spacing w:before="0" w:line="276" w:lineRule="auto"/>
        <w:ind w:firstLine="720"/>
        <w:rPr>
          <w:b w:val="0"/>
          <w:bCs/>
          <w:iCs/>
          <w:lang w:val="hy-AM"/>
        </w:rPr>
      </w:pPr>
      <w:r w:rsidRPr="009070BD">
        <w:rPr>
          <w:b w:val="0"/>
          <w:bCs/>
          <w:iCs/>
          <w:lang w:val="hy-AM"/>
        </w:rPr>
        <w:t xml:space="preserve">35. </w:t>
      </w:r>
      <w:r w:rsidRPr="009070BD">
        <w:rPr>
          <w:b w:val="0"/>
          <w:bCs/>
          <w:iCs/>
          <w:lang w:val="af-ZA"/>
        </w:rPr>
        <w:t>Վերակառուցման և զարգացման եվրոպական բանկի աջակցությամբ իրականաց</w:t>
      </w:r>
      <w:r w:rsidRPr="009070BD">
        <w:rPr>
          <w:b w:val="0"/>
          <w:bCs/>
          <w:iCs/>
          <w:lang w:val="af-ZA"/>
        </w:rPr>
        <w:softHyphen/>
        <w:t>վող Գյումրու քաղաքային ճանապարհներ դրամաշնորհային ծրագիր (Տրանշ Ա</w:t>
      </w:r>
      <w:r w:rsidRPr="009070BD">
        <w:rPr>
          <w:b w:val="0"/>
          <w:bCs/>
          <w:iCs/>
          <w:lang w:val="hy-AM"/>
        </w:rPr>
        <w:t>, Բ, Գ</w:t>
      </w:r>
      <w:r w:rsidRPr="009070BD">
        <w:rPr>
          <w:b w:val="0"/>
          <w:bCs/>
          <w:iCs/>
          <w:lang w:val="af-ZA"/>
        </w:rPr>
        <w:t xml:space="preserve">), </w:t>
      </w:r>
      <w:r w:rsidRPr="009070BD">
        <w:rPr>
          <w:b w:val="0"/>
          <w:bCs/>
          <w:iCs/>
          <w:lang w:val="hy-AM"/>
        </w:rPr>
        <w:t>որի</w:t>
      </w:r>
      <w:r w:rsidRPr="009070BD">
        <w:rPr>
          <w:b w:val="0"/>
          <w:bCs/>
          <w:iCs/>
          <w:lang w:val="af-ZA"/>
        </w:rPr>
        <w:t xml:space="preserve"> նպատակն է </w:t>
      </w:r>
      <w:r w:rsidRPr="009070BD">
        <w:rPr>
          <w:b w:val="0"/>
          <w:bCs/>
          <w:iCs/>
          <w:lang w:val="hy-AM"/>
        </w:rPr>
        <w:t>աջակցել «</w:t>
      </w:r>
      <w:r w:rsidRPr="009070BD">
        <w:rPr>
          <w:b w:val="0"/>
          <w:bCs/>
          <w:iCs/>
          <w:lang w:val="af-ZA"/>
        </w:rPr>
        <w:t>Գյումր</w:t>
      </w:r>
      <w:r w:rsidRPr="009070BD">
        <w:rPr>
          <w:b w:val="0"/>
          <w:bCs/>
          <w:iCs/>
          <w:lang w:val="hy-AM"/>
        </w:rPr>
        <w:t>ու քաղաքային ճանապարհներ»</w:t>
      </w:r>
      <w:r w:rsidRPr="009070BD">
        <w:rPr>
          <w:b w:val="0"/>
          <w:bCs/>
          <w:iCs/>
          <w:lang w:val="af-ZA"/>
        </w:rPr>
        <w:t xml:space="preserve"> </w:t>
      </w:r>
      <w:r w:rsidRPr="009070BD">
        <w:rPr>
          <w:b w:val="0"/>
          <w:bCs/>
          <w:iCs/>
          <w:lang w:val="hy-AM"/>
        </w:rPr>
        <w:t>վարկային ծրագրի իրականացման շրջանակներում</w:t>
      </w:r>
      <w:r w:rsidRPr="009070BD">
        <w:rPr>
          <w:b w:val="0"/>
          <w:bCs/>
          <w:iCs/>
          <w:lang w:val="af-ZA"/>
        </w:rPr>
        <w:t xml:space="preserve"> հանրային լուսավորության արդիականացմանը, </w:t>
      </w:r>
      <w:r w:rsidRPr="009070BD">
        <w:rPr>
          <w:b w:val="0"/>
          <w:bCs/>
          <w:iCs/>
          <w:lang w:val="hy-AM"/>
        </w:rPr>
        <w:t>Գյումրու քաղաքապետարանի համար ավտոկայանատեղիների վերաբերյալ ռազմավարության մշակմանը</w:t>
      </w:r>
      <w:r w:rsidRPr="009070BD">
        <w:rPr>
          <w:b w:val="0"/>
          <w:bCs/>
          <w:iCs/>
          <w:lang w:val="af-ZA"/>
        </w:rPr>
        <w:t>՝</w:t>
      </w:r>
      <w:r w:rsidRPr="009070BD">
        <w:rPr>
          <w:b w:val="0"/>
          <w:bCs/>
          <w:iCs/>
          <w:lang w:val="it-IT"/>
        </w:rPr>
        <w:t xml:space="preserve"> 202</w:t>
      </w:r>
      <w:r w:rsidRPr="009070BD">
        <w:rPr>
          <w:b w:val="0"/>
          <w:bCs/>
          <w:iCs/>
          <w:lang w:val="hy-AM"/>
        </w:rPr>
        <w:t>1</w:t>
      </w:r>
      <w:r w:rsidRPr="009070BD">
        <w:rPr>
          <w:b w:val="0"/>
          <w:bCs/>
          <w:iCs/>
          <w:lang w:val="it-IT"/>
        </w:rPr>
        <w:t xml:space="preserve">թ.-ին նախատեսվում է </w:t>
      </w:r>
      <w:r w:rsidR="00340B52">
        <w:rPr>
          <w:b w:val="0"/>
          <w:bCs/>
          <w:iCs/>
          <w:lang w:val="hy-AM"/>
        </w:rPr>
        <w:t>2,957.1</w:t>
      </w:r>
      <w:r w:rsidR="00F14A8D" w:rsidRPr="00F14A8D">
        <w:rPr>
          <w:b w:val="0"/>
          <w:bCs/>
          <w:iCs/>
          <w:lang w:val="af-ZA"/>
        </w:rPr>
        <w:t xml:space="preserve"> </w:t>
      </w:r>
      <w:r w:rsidRPr="009070BD">
        <w:rPr>
          <w:b w:val="0"/>
          <w:bCs/>
          <w:iCs/>
          <w:lang w:val="af-ZA"/>
        </w:rPr>
        <w:t xml:space="preserve">մլն դրամ, </w:t>
      </w:r>
      <w:r w:rsidRPr="009070BD">
        <w:rPr>
          <w:b w:val="0"/>
          <w:bCs/>
          <w:iCs/>
          <w:lang w:val="hy-AM"/>
        </w:rPr>
        <w:t xml:space="preserve">այդ թվում դրամաշնորհային միջոցներ` </w:t>
      </w:r>
      <w:r w:rsidR="00F14A8D" w:rsidRPr="00F14A8D">
        <w:rPr>
          <w:b w:val="0"/>
          <w:bCs/>
          <w:iCs/>
          <w:lang w:val="af-ZA"/>
        </w:rPr>
        <w:t>2,</w:t>
      </w:r>
      <w:r w:rsidR="00340B52">
        <w:rPr>
          <w:b w:val="0"/>
          <w:bCs/>
          <w:iCs/>
          <w:lang w:val="hy-AM"/>
        </w:rPr>
        <w:t>464.3</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340B52">
        <w:rPr>
          <w:b w:val="0"/>
          <w:bCs/>
          <w:iCs/>
          <w:lang w:val="hy-AM"/>
        </w:rPr>
        <w:t>492.8</w:t>
      </w:r>
      <w:r w:rsidRPr="009070BD">
        <w:rPr>
          <w:b w:val="0"/>
          <w:bCs/>
          <w:iCs/>
          <w:lang w:val="af-ZA"/>
        </w:rPr>
        <w:t xml:space="preserve"> 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 xml:space="preserve">36. </w:t>
      </w:r>
      <w:r w:rsidRPr="009070BD">
        <w:rPr>
          <w:b w:val="0"/>
          <w:bCs/>
          <w:iCs/>
          <w:lang w:val="af-ZA"/>
        </w:rPr>
        <w:t>Վերակառուցման և զարգացման եվրոպական բանկի աջակցությամբ իրականացվող «Երևանի քաղաքային լուսավորության» ծրագիր</w:t>
      </w:r>
      <w:r w:rsidRPr="009070BD">
        <w:rPr>
          <w:b w:val="0"/>
          <w:bCs/>
          <w:iCs/>
          <w:lang w:val="hy-AM"/>
        </w:rPr>
        <w:t xml:space="preserve">, որի </w:t>
      </w:r>
      <w:r w:rsidRPr="009070BD">
        <w:rPr>
          <w:b w:val="0"/>
          <w:bCs/>
          <w:iCs/>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w:t>
      </w:r>
      <w:r w:rsidRPr="009070BD">
        <w:rPr>
          <w:b w:val="0"/>
          <w:bCs/>
          <w:iCs/>
          <w:lang w:val="af-ZA"/>
        </w:rPr>
        <w:softHyphen/>
        <w:t>կարգ, փոխել վթարված հենասյուները, փոխարինել առկա լուսատուները LED լուսատուներով</w:t>
      </w:r>
      <w:r w:rsidRPr="009070BD">
        <w:rPr>
          <w:b w:val="0"/>
          <w:bCs/>
          <w:iCs/>
          <w:lang w:val="hy-AM"/>
        </w:rPr>
        <w:t xml:space="preserve">՝ </w:t>
      </w:r>
      <w:r w:rsidRPr="009070BD">
        <w:rPr>
          <w:b w:val="0"/>
          <w:bCs/>
          <w:iCs/>
          <w:lang w:val="it-IT"/>
        </w:rPr>
        <w:t>202</w:t>
      </w:r>
      <w:r w:rsidRPr="009070BD">
        <w:rPr>
          <w:b w:val="0"/>
          <w:bCs/>
          <w:iCs/>
          <w:lang w:val="hy-AM"/>
        </w:rPr>
        <w:t>1</w:t>
      </w:r>
      <w:r w:rsidRPr="009070BD">
        <w:rPr>
          <w:b w:val="0"/>
          <w:bCs/>
          <w:iCs/>
          <w:lang w:val="it-IT"/>
        </w:rPr>
        <w:t xml:space="preserve">թ.-ին նախատեսվում է </w:t>
      </w:r>
      <w:r w:rsidR="00F14A8D" w:rsidRPr="00F14A8D">
        <w:rPr>
          <w:b w:val="0"/>
          <w:bCs/>
          <w:iCs/>
          <w:lang w:val="hy-AM"/>
        </w:rPr>
        <w:t>934.0</w:t>
      </w:r>
      <w:r w:rsidRPr="009070BD">
        <w:rPr>
          <w:b w:val="0"/>
          <w:bCs/>
          <w:iCs/>
          <w:lang w:val="af-ZA"/>
        </w:rPr>
        <w:t xml:space="preserve"> մլն դրամ, </w:t>
      </w:r>
      <w:r w:rsidRPr="009070BD">
        <w:rPr>
          <w:b w:val="0"/>
          <w:bCs/>
          <w:iCs/>
          <w:lang w:val="hy-AM"/>
        </w:rPr>
        <w:t xml:space="preserve">այդ թվում վարկային միջոցներ` </w:t>
      </w:r>
      <w:r w:rsidR="00F14A8D" w:rsidRPr="00F14A8D">
        <w:rPr>
          <w:b w:val="0"/>
          <w:bCs/>
          <w:iCs/>
          <w:lang w:val="hy-AM"/>
        </w:rPr>
        <w:t>778.4</w:t>
      </w:r>
      <w:r w:rsidRPr="009070BD">
        <w:rPr>
          <w:b w:val="0"/>
          <w:bCs/>
          <w:iCs/>
          <w:lang w:val="af-ZA"/>
        </w:rPr>
        <w:t xml:space="preserve"> մլն դրամ</w:t>
      </w:r>
      <w:r w:rsidRPr="009070BD">
        <w:rPr>
          <w:b w:val="0"/>
          <w:bCs/>
          <w:iCs/>
          <w:lang w:val="hy-AM"/>
        </w:rPr>
        <w:t xml:space="preserve">, ՀՀ համաֆինանսավորում` </w:t>
      </w:r>
      <w:r w:rsidR="00F14A8D" w:rsidRPr="00F14A8D">
        <w:rPr>
          <w:b w:val="0"/>
          <w:bCs/>
          <w:iCs/>
          <w:lang w:val="hy-AM"/>
        </w:rPr>
        <w:t>155.6</w:t>
      </w:r>
      <w:r w:rsidRPr="009070BD">
        <w:rPr>
          <w:b w:val="0"/>
          <w:bCs/>
          <w:iCs/>
          <w:lang w:val="af-ZA"/>
        </w:rPr>
        <w:t xml:space="preserve"> մլն դրա</w:t>
      </w:r>
      <w:r w:rsidRPr="009070BD">
        <w:rPr>
          <w:b w:val="0"/>
          <w:bCs/>
          <w:iCs/>
          <w:lang w:val="hy-AM"/>
        </w:rPr>
        <w:t>մ:</w:t>
      </w:r>
    </w:p>
    <w:p w:rsidR="001971B9" w:rsidRPr="009070BD" w:rsidRDefault="001971B9" w:rsidP="007730AA">
      <w:pPr>
        <w:spacing w:before="0" w:line="276" w:lineRule="auto"/>
        <w:ind w:firstLine="720"/>
        <w:rPr>
          <w:b w:val="0"/>
          <w:bCs/>
          <w:iCs/>
          <w:lang w:val="af-ZA"/>
        </w:rPr>
      </w:pPr>
      <w:r w:rsidRPr="009070BD">
        <w:rPr>
          <w:b w:val="0"/>
          <w:bCs/>
          <w:iCs/>
          <w:lang w:val="hy-AM"/>
        </w:rPr>
        <w:t>37.</w:t>
      </w:r>
      <w:r w:rsidRPr="009070BD">
        <w:rPr>
          <w:b w:val="0"/>
          <w:bCs/>
          <w:iCs/>
          <w:lang w:val="af-ZA"/>
        </w:rPr>
        <w:t xml:space="preserve"> Վերակառուցման և զարգացման եվրոպական բանկի աջակցությամբ իրականացվող «Երևանի քաղաքային լուսավորության» դրամաշնորհային ծրագիր</w:t>
      </w:r>
      <w:r w:rsidRPr="009070BD">
        <w:rPr>
          <w:b w:val="0"/>
          <w:bCs/>
          <w:iCs/>
          <w:lang w:val="hy-AM"/>
        </w:rPr>
        <w:t xml:space="preserve">, որի </w:t>
      </w:r>
      <w:r w:rsidRPr="009070BD">
        <w:rPr>
          <w:b w:val="0"/>
          <w:bCs/>
          <w:iCs/>
          <w:lang w:val="af-ZA"/>
        </w:rPr>
        <w:t>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r w:rsidRPr="009070BD">
        <w:rPr>
          <w:b w:val="0"/>
          <w:bCs/>
          <w:iCs/>
          <w:lang w:val="it-IT"/>
        </w:rPr>
        <w:t xml:space="preserve"> </w:t>
      </w:r>
      <w:r w:rsidRPr="009070BD">
        <w:rPr>
          <w:b w:val="0"/>
          <w:bCs/>
          <w:iCs/>
          <w:lang w:val="hy-AM"/>
        </w:rPr>
        <w:t>2021թ.</w:t>
      </w:r>
      <w:r w:rsidRPr="009070BD">
        <w:rPr>
          <w:b w:val="0"/>
          <w:bCs/>
          <w:iCs/>
          <w:lang w:val="fr-FR"/>
        </w:rPr>
        <w:t>`</w:t>
      </w:r>
      <w:r w:rsidRPr="009070BD">
        <w:rPr>
          <w:b w:val="0"/>
          <w:bCs/>
          <w:iCs/>
          <w:lang w:val="hy-AM"/>
        </w:rPr>
        <w:t xml:space="preserve"> </w:t>
      </w:r>
      <w:r w:rsidR="00CA42A2" w:rsidRPr="00CA42A2">
        <w:rPr>
          <w:b w:val="0"/>
          <w:bCs/>
          <w:iCs/>
          <w:lang w:val="hy-AM"/>
        </w:rPr>
        <w:t>133.0</w:t>
      </w:r>
      <w:r w:rsidRPr="009070BD">
        <w:rPr>
          <w:b w:val="0"/>
          <w:bCs/>
          <w:iCs/>
          <w:lang w:val="hy-AM"/>
        </w:rPr>
        <w:t xml:space="preserve"> </w:t>
      </w:r>
      <w:r w:rsidRPr="009070BD">
        <w:rPr>
          <w:b w:val="0"/>
          <w:bCs/>
          <w:iCs/>
          <w:lang w:val="af-ZA"/>
        </w:rPr>
        <w:t xml:space="preserve">մլն դրամ, </w:t>
      </w:r>
      <w:r w:rsidRPr="009070BD">
        <w:rPr>
          <w:b w:val="0"/>
          <w:bCs/>
          <w:iCs/>
          <w:lang w:val="hy-AM"/>
        </w:rPr>
        <w:t xml:space="preserve">այդ թվում դրամաշնորհային միջոցներ` </w:t>
      </w:r>
      <w:r w:rsidR="00CA42A2" w:rsidRPr="00CA42A2">
        <w:rPr>
          <w:b w:val="0"/>
          <w:bCs/>
          <w:iCs/>
          <w:lang w:val="hy-AM"/>
        </w:rPr>
        <w:t>105.6</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CA42A2" w:rsidRPr="00CA42A2">
        <w:rPr>
          <w:b w:val="0"/>
          <w:bCs/>
          <w:iCs/>
          <w:lang w:val="hy-AM"/>
        </w:rPr>
        <w:t>27.4</w:t>
      </w:r>
      <w:r w:rsidRPr="009070BD">
        <w:rPr>
          <w:b w:val="0"/>
          <w:bCs/>
          <w:iCs/>
          <w:lang w:val="it-IT"/>
        </w:rPr>
        <w:t xml:space="preserve"> </w:t>
      </w:r>
      <w:r w:rsidRPr="009070BD">
        <w:rPr>
          <w:b w:val="0"/>
          <w:bCs/>
          <w:iCs/>
          <w:lang w:val="af-ZA"/>
        </w:rPr>
        <w:t xml:space="preserve">մլն դրամ: </w:t>
      </w:r>
    </w:p>
    <w:p w:rsidR="001971B9" w:rsidRPr="009070BD" w:rsidRDefault="001971B9" w:rsidP="007730AA">
      <w:pPr>
        <w:spacing w:before="0" w:line="276" w:lineRule="auto"/>
        <w:ind w:firstLine="720"/>
        <w:rPr>
          <w:b w:val="0"/>
          <w:bCs/>
          <w:iCs/>
          <w:lang w:val="af-ZA"/>
        </w:rPr>
      </w:pPr>
      <w:r w:rsidRPr="009070BD">
        <w:rPr>
          <w:b w:val="0"/>
          <w:bCs/>
          <w:iCs/>
          <w:lang w:val="hy-AM"/>
        </w:rPr>
        <w:t>38.</w:t>
      </w:r>
      <w:r w:rsidRPr="009070BD">
        <w:rPr>
          <w:b w:val="0"/>
          <w:bCs/>
          <w:iCs/>
          <w:lang w:val="af-ZA"/>
        </w:rPr>
        <w:t xml:space="preserve"> Е</w:t>
      </w:r>
      <w:r w:rsidRPr="009070BD">
        <w:rPr>
          <w:b w:val="0"/>
          <w:bCs/>
          <w:iCs/>
          <w:lang w:val="hy-AM"/>
        </w:rPr>
        <w:t>5</w:t>
      </w:r>
      <w:r w:rsidRPr="009070BD">
        <w:rPr>
          <w:b w:val="0"/>
          <w:bCs/>
          <w:iCs/>
          <w:lang w:val="af-ZA"/>
        </w:rPr>
        <w:t>P աջակցությամբ իրականացվող «Երևանի քաղաքային լուսավորության» դրամաշնորհային ծրագիր</w:t>
      </w:r>
      <w:r w:rsidRPr="009070BD">
        <w:rPr>
          <w:b w:val="0"/>
          <w:bCs/>
          <w:iCs/>
          <w:lang w:val="hy-AM"/>
        </w:rPr>
        <w:t>, որի</w:t>
      </w:r>
      <w:r w:rsidRPr="009070BD">
        <w:rPr>
          <w:b w:val="0"/>
          <w:bCs/>
          <w:iCs/>
          <w:lang w:val="af-ZA"/>
        </w:rPr>
        <w:t xml:space="preserve"> նպատակն է Երևանում ստեղծել հուսալի լուսավորության ցանց (մոտ 28 փողոցներում), ապահովել էլեկտրաէներգիայի էական խնայողություն, ներդնել արտաքին լուսավորության ցանցի հեռակառավարման համակարգ, փոխել վթարված հենասյուները, փոխարինել առկա լուսատուները LED լուսատուներով՝</w:t>
      </w:r>
      <w:r w:rsidRPr="009070BD">
        <w:rPr>
          <w:b w:val="0"/>
          <w:bCs/>
          <w:iCs/>
          <w:lang w:val="it-IT"/>
        </w:rPr>
        <w:t xml:space="preserve"> </w:t>
      </w:r>
      <w:r w:rsidRPr="009070BD">
        <w:rPr>
          <w:b w:val="0"/>
          <w:bCs/>
          <w:iCs/>
          <w:lang w:val="hy-AM"/>
        </w:rPr>
        <w:t>2021թ.</w:t>
      </w:r>
      <w:r w:rsidRPr="009070BD">
        <w:rPr>
          <w:b w:val="0"/>
          <w:bCs/>
          <w:iCs/>
          <w:lang w:val="fr-FR"/>
        </w:rPr>
        <w:t>`</w:t>
      </w:r>
      <w:r w:rsidRPr="009070BD">
        <w:rPr>
          <w:b w:val="0"/>
          <w:bCs/>
          <w:iCs/>
          <w:lang w:val="hy-AM"/>
        </w:rPr>
        <w:t xml:space="preserve"> </w:t>
      </w:r>
      <w:r w:rsidR="00CA42A2" w:rsidRPr="00CA42A2">
        <w:rPr>
          <w:b w:val="0"/>
          <w:bCs/>
          <w:iCs/>
          <w:lang w:val="hy-AM"/>
        </w:rPr>
        <w:t>485.</w:t>
      </w:r>
      <w:r w:rsidR="00CA42A2" w:rsidRPr="00353F48">
        <w:rPr>
          <w:b w:val="0"/>
          <w:bCs/>
          <w:iCs/>
          <w:lang w:val="hy-AM"/>
        </w:rPr>
        <w:t>6</w:t>
      </w:r>
      <w:r w:rsidRPr="009070BD">
        <w:rPr>
          <w:b w:val="0"/>
          <w:bCs/>
          <w:iCs/>
          <w:lang w:val="hy-AM"/>
        </w:rPr>
        <w:t xml:space="preserve"> </w:t>
      </w:r>
      <w:r w:rsidRPr="009070BD">
        <w:rPr>
          <w:b w:val="0"/>
          <w:bCs/>
          <w:iCs/>
          <w:lang w:val="af-ZA"/>
        </w:rPr>
        <w:t xml:space="preserve">մլն դրամ, </w:t>
      </w:r>
      <w:r w:rsidRPr="009070BD">
        <w:rPr>
          <w:b w:val="0"/>
          <w:bCs/>
          <w:iCs/>
          <w:lang w:val="hy-AM"/>
        </w:rPr>
        <w:t xml:space="preserve">այդ թվում դրամաշնորհային միջոցներ` </w:t>
      </w:r>
      <w:r w:rsidR="00CA42A2" w:rsidRPr="00CA42A2">
        <w:rPr>
          <w:b w:val="0"/>
          <w:bCs/>
          <w:iCs/>
          <w:lang w:val="hy-AM"/>
        </w:rPr>
        <w:t>404.7</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CA42A2" w:rsidRPr="00CA42A2">
        <w:rPr>
          <w:b w:val="0"/>
          <w:bCs/>
          <w:iCs/>
          <w:lang w:val="hy-AM"/>
        </w:rPr>
        <w:t>80.9</w:t>
      </w:r>
      <w:r w:rsidRPr="009070BD">
        <w:rPr>
          <w:b w:val="0"/>
          <w:bCs/>
          <w:iCs/>
          <w:lang w:val="it-IT"/>
        </w:rPr>
        <w:t xml:space="preserve"> </w:t>
      </w:r>
      <w:r w:rsidRPr="009070BD">
        <w:rPr>
          <w:b w:val="0"/>
          <w:bCs/>
          <w:iCs/>
          <w:lang w:val="af-ZA"/>
        </w:rPr>
        <w:t>մլն դրամ:</w:t>
      </w:r>
    </w:p>
    <w:p w:rsidR="001971B9" w:rsidRPr="009070BD" w:rsidRDefault="001971B9" w:rsidP="007730AA">
      <w:pPr>
        <w:spacing w:before="0" w:line="276" w:lineRule="auto"/>
        <w:ind w:firstLine="720"/>
        <w:rPr>
          <w:b w:val="0"/>
          <w:bCs/>
          <w:iCs/>
          <w:lang w:val="hy-AM"/>
        </w:rPr>
      </w:pPr>
      <w:r w:rsidRPr="009070BD">
        <w:rPr>
          <w:b w:val="0"/>
          <w:bCs/>
          <w:iCs/>
          <w:lang w:val="hy-AM"/>
        </w:rPr>
        <w:t>39.</w:t>
      </w:r>
      <w:r w:rsidRPr="009070BD">
        <w:rPr>
          <w:b w:val="0"/>
          <w:bCs/>
          <w:iCs/>
          <w:lang w:val="af-ZA"/>
        </w:rPr>
        <w:t xml:space="preserve"> Վերակառուցման և զարգացման եվրոպական բանկի աջակցությամբ իրականացվող ՀՀ պետական սահմանի «Բագրատաշեն» անցման կետի կամրջի վերակառուցման ծրագիր, </w:t>
      </w:r>
      <w:r w:rsidRPr="009070BD">
        <w:rPr>
          <w:b w:val="0"/>
          <w:bCs/>
          <w:iCs/>
          <w:lang w:val="hy-AM"/>
        </w:rPr>
        <w:t>որի</w:t>
      </w:r>
      <w:r w:rsidRPr="009070BD">
        <w:rPr>
          <w:b w:val="0"/>
          <w:bCs/>
          <w:iCs/>
          <w:lang w:val="af-ZA"/>
        </w:rPr>
        <w:t xml:space="preserve"> նպատակն է Բագրատաշենի սահմանային հսկողության անցակետի տարածքում նոր կամրջի կառուցումը, որը կնպաստի միջազգային ստանդարտներին համապատասխան Հայաստանի և Վրաստանի միջև գտնվող տվյալ անցակետով </w:t>
      </w:r>
      <w:r w:rsidRPr="009070BD">
        <w:rPr>
          <w:b w:val="0"/>
          <w:bCs/>
          <w:iCs/>
          <w:lang w:val="hy-AM"/>
        </w:rPr>
        <w:t>իրականա</w:t>
      </w:r>
      <w:r w:rsidRPr="009070BD">
        <w:rPr>
          <w:b w:val="0"/>
          <w:bCs/>
          <w:iCs/>
          <w:lang w:val="af-ZA"/>
        </w:rPr>
        <w:t>ցվող ծառայություն</w:t>
      </w:r>
      <w:r w:rsidRPr="009070BD">
        <w:rPr>
          <w:b w:val="0"/>
          <w:bCs/>
          <w:iCs/>
          <w:lang w:val="af-ZA"/>
        </w:rPr>
        <w:softHyphen/>
        <w:t xml:space="preserve">ների որակի բարձրացմանը՝ </w:t>
      </w:r>
      <w:r w:rsidRPr="009070BD">
        <w:rPr>
          <w:b w:val="0"/>
          <w:bCs/>
          <w:iCs/>
          <w:lang w:val="it-IT"/>
        </w:rPr>
        <w:t>202</w:t>
      </w:r>
      <w:r w:rsidRPr="009070BD">
        <w:rPr>
          <w:b w:val="0"/>
          <w:bCs/>
          <w:iCs/>
          <w:lang w:val="hy-AM"/>
        </w:rPr>
        <w:t>1</w:t>
      </w:r>
      <w:r w:rsidRPr="009070BD">
        <w:rPr>
          <w:b w:val="0"/>
          <w:bCs/>
          <w:iCs/>
          <w:lang w:val="it-IT"/>
        </w:rPr>
        <w:t xml:space="preserve">թ.-ին նախատեսվում է </w:t>
      </w:r>
      <w:r w:rsidR="00E245E1" w:rsidRPr="00E245E1">
        <w:rPr>
          <w:b w:val="0"/>
          <w:bCs/>
          <w:iCs/>
          <w:lang w:val="af-ZA"/>
        </w:rPr>
        <w:t>821.</w:t>
      </w:r>
      <w:r w:rsidR="00E245E1">
        <w:rPr>
          <w:b w:val="0"/>
          <w:bCs/>
          <w:iCs/>
          <w:lang w:val="af-ZA"/>
        </w:rPr>
        <w:t>2</w:t>
      </w:r>
      <w:r w:rsidRPr="009070BD">
        <w:rPr>
          <w:b w:val="0"/>
          <w:bCs/>
          <w:iCs/>
          <w:lang w:val="it-IT"/>
        </w:rPr>
        <w:t xml:space="preserve"> </w:t>
      </w:r>
      <w:r w:rsidRPr="009070BD">
        <w:rPr>
          <w:b w:val="0"/>
          <w:bCs/>
          <w:iCs/>
          <w:lang w:val="af-ZA"/>
        </w:rPr>
        <w:t xml:space="preserve">մլն դրամ, </w:t>
      </w:r>
      <w:r w:rsidRPr="009070BD">
        <w:rPr>
          <w:b w:val="0"/>
          <w:bCs/>
          <w:iCs/>
          <w:lang w:val="hy-AM"/>
        </w:rPr>
        <w:t xml:space="preserve">այդ թվում վարկային միջոցներ` </w:t>
      </w:r>
      <w:r w:rsidR="00E245E1" w:rsidRPr="00E245E1">
        <w:rPr>
          <w:b w:val="0"/>
          <w:bCs/>
          <w:iCs/>
          <w:lang w:val="af-ZA"/>
        </w:rPr>
        <w:t>641.</w:t>
      </w:r>
      <w:r w:rsidR="00E245E1">
        <w:rPr>
          <w:b w:val="0"/>
          <w:bCs/>
          <w:iCs/>
          <w:lang w:val="af-ZA"/>
        </w:rPr>
        <w:t>6</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E245E1" w:rsidRPr="00E245E1">
        <w:rPr>
          <w:b w:val="0"/>
          <w:bCs/>
          <w:iCs/>
          <w:lang w:val="af-ZA"/>
        </w:rPr>
        <w:t>179.</w:t>
      </w:r>
      <w:r w:rsidR="00E245E1">
        <w:rPr>
          <w:b w:val="0"/>
          <w:bCs/>
          <w:iCs/>
          <w:lang w:val="af-ZA"/>
        </w:rPr>
        <w:t>6</w:t>
      </w:r>
      <w:r w:rsidRPr="009070BD">
        <w:rPr>
          <w:b w:val="0"/>
          <w:bCs/>
          <w:iCs/>
          <w:lang w:val="af-ZA"/>
        </w:rPr>
        <w:t xml:space="preserve"> մլն դրա</w:t>
      </w:r>
      <w:r w:rsidRPr="009070BD">
        <w:rPr>
          <w:b w:val="0"/>
          <w:bCs/>
          <w:iCs/>
          <w:lang w:val="hy-AM"/>
        </w:rPr>
        <w:t>մ:</w:t>
      </w:r>
    </w:p>
    <w:p w:rsidR="001971B9" w:rsidRPr="009070BD" w:rsidRDefault="001971B9" w:rsidP="007730AA">
      <w:pPr>
        <w:spacing w:before="0" w:line="276" w:lineRule="auto"/>
        <w:ind w:firstLine="720"/>
        <w:rPr>
          <w:b w:val="0"/>
          <w:bCs/>
          <w:iCs/>
          <w:lang w:val="af-ZA"/>
        </w:rPr>
      </w:pPr>
      <w:r w:rsidRPr="009070BD">
        <w:rPr>
          <w:b w:val="0"/>
          <w:bCs/>
          <w:iCs/>
          <w:lang w:val="hy-AM"/>
        </w:rPr>
        <w:t>40.</w:t>
      </w:r>
      <w:r w:rsidRPr="009070BD">
        <w:rPr>
          <w:b w:val="0"/>
          <w:bCs/>
          <w:iCs/>
          <w:lang w:val="af-ZA"/>
        </w:rPr>
        <w:t xml:space="preserve"> </w:t>
      </w:r>
      <w:r w:rsidRPr="009070BD">
        <w:rPr>
          <w:b w:val="0"/>
          <w:bCs/>
          <w:iCs/>
          <w:lang w:val="hy-AM"/>
        </w:rPr>
        <w:t>Համաշխարհային</w:t>
      </w:r>
      <w:r w:rsidRPr="009070BD">
        <w:rPr>
          <w:b w:val="0"/>
          <w:bCs/>
          <w:iCs/>
          <w:lang w:val="af-ZA"/>
        </w:rPr>
        <w:t xml:space="preserve"> </w:t>
      </w:r>
      <w:r w:rsidRPr="009070BD">
        <w:rPr>
          <w:b w:val="0"/>
          <w:bCs/>
          <w:iCs/>
          <w:lang w:val="hy-AM"/>
        </w:rPr>
        <w:t>բանկի աջակցությամբ իրականացվող Կենսական</w:t>
      </w:r>
      <w:r w:rsidRPr="009070BD">
        <w:rPr>
          <w:b w:val="0"/>
          <w:bCs/>
          <w:iCs/>
          <w:lang w:val="af-ZA"/>
        </w:rPr>
        <w:t xml:space="preserve"> </w:t>
      </w:r>
      <w:r w:rsidRPr="009070BD">
        <w:rPr>
          <w:b w:val="0"/>
          <w:bCs/>
          <w:iCs/>
          <w:lang w:val="hy-AM"/>
        </w:rPr>
        <w:t>նշանակու</w:t>
      </w:r>
      <w:r w:rsidRPr="009070BD">
        <w:rPr>
          <w:b w:val="0"/>
          <w:bCs/>
          <w:iCs/>
          <w:lang w:val="af-ZA"/>
        </w:rPr>
        <w:softHyphen/>
      </w:r>
      <w:r w:rsidRPr="009070BD">
        <w:rPr>
          <w:b w:val="0"/>
          <w:bCs/>
          <w:iCs/>
          <w:lang w:val="hy-AM"/>
        </w:rPr>
        <w:t>թյան</w:t>
      </w:r>
      <w:r w:rsidRPr="009070BD">
        <w:rPr>
          <w:b w:val="0"/>
          <w:bCs/>
          <w:iCs/>
          <w:lang w:val="af-ZA"/>
        </w:rPr>
        <w:t xml:space="preserve"> </w:t>
      </w:r>
      <w:r w:rsidRPr="009070BD">
        <w:rPr>
          <w:b w:val="0"/>
          <w:bCs/>
          <w:iCs/>
          <w:lang w:val="hy-AM"/>
        </w:rPr>
        <w:t>ճանապարհացանցի</w:t>
      </w:r>
      <w:r w:rsidRPr="009070BD">
        <w:rPr>
          <w:b w:val="0"/>
          <w:bCs/>
          <w:iCs/>
          <w:lang w:val="af-ZA"/>
        </w:rPr>
        <w:t xml:space="preserve"> </w:t>
      </w:r>
      <w:r w:rsidRPr="009070BD">
        <w:rPr>
          <w:b w:val="0"/>
          <w:bCs/>
          <w:iCs/>
          <w:lang w:val="hy-AM"/>
        </w:rPr>
        <w:t>բարելավման</w:t>
      </w:r>
      <w:r w:rsidRPr="009070BD">
        <w:rPr>
          <w:b w:val="0"/>
          <w:bCs/>
          <w:iCs/>
          <w:lang w:val="af-ZA"/>
        </w:rPr>
        <w:t xml:space="preserve"> </w:t>
      </w:r>
      <w:r w:rsidRPr="009070BD">
        <w:rPr>
          <w:b w:val="0"/>
          <w:bCs/>
          <w:iCs/>
          <w:lang w:val="hy-AM"/>
        </w:rPr>
        <w:t>ծրագիր, որի նպատակն է բարելավել գյուղական համայնքների շուկաների և ծառայությունների հասանելիութունը, ինչպես նաև ամրապնդել կենսական նշանակության ճանապարհային ցանցը կառավարելու կարողություն</w:t>
      </w:r>
      <w:r w:rsidRPr="009070BD">
        <w:rPr>
          <w:b w:val="0"/>
          <w:bCs/>
          <w:iCs/>
          <w:lang w:val="af-ZA"/>
        </w:rPr>
        <w:softHyphen/>
      </w:r>
      <w:r w:rsidRPr="009070BD">
        <w:rPr>
          <w:b w:val="0"/>
          <w:bCs/>
          <w:iCs/>
          <w:lang w:val="hy-AM"/>
        </w:rPr>
        <w:t>ները՝ 2021թ.</w:t>
      </w:r>
      <w:r w:rsidRPr="009070BD">
        <w:rPr>
          <w:b w:val="0"/>
          <w:bCs/>
          <w:iCs/>
          <w:lang w:val="fr-FR"/>
        </w:rPr>
        <w:t>`</w:t>
      </w:r>
      <w:r w:rsidR="00E245E1">
        <w:rPr>
          <w:b w:val="0"/>
          <w:bCs/>
          <w:iCs/>
          <w:lang w:val="hy-AM"/>
        </w:rPr>
        <w:t xml:space="preserve"> 9.</w:t>
      </w:r>
      <w:r w:rsidR="00E245E1" w:rsidRPr="00E245E1">
        <w:rPr>
          <w:b w:val="0"/>
          <w:bCs/>
          <w:iCs/>
          <w:lang w:val="hy-AM"/>
        </w:rPr>
        <w:t>3</w:t>
      </w:r>
      <w:r w:rsidRPr="009070BD">
        <w:rPr>
          <w:b w:val="0"/>
          <w:bCs/>
          <w:iCs/>
          <w:lang w:val="hy-AM"/>
        </w:rPr>
        <w:t xml:space="preserve"> մլն</w:t>
      </w:r>
      <w:r w:rsidRPr="009070BD">
        <w:rPr>
          <w:b w:val="0"/>
          <w:bCs/>
          <w:iCs/>
          <w:lang w:val="af-ZA"/>
        </w:rPr>
        <w:t xml:space="preserve"> դրամ, </w:t>
      </w:r>
      <w:r w:rsidRPr="009070BD">
        <w:rPr>
          <w:b w:val="0"/>
          <w:bCs/>
          <w:iCs/>
          <w:lang w:val="hy-AM"/>
        </w:rPr>
        <w:t>այդ թվում վարկային միջոցներ` 7.</w:t>
      </w:r>
      <w:r w:rsidR="00E245E1" w:rsidRPr="00E245E1">
        <w:rPr>
          <w:b w:val="0"/>
          <w:bCs/>
          <w:iCs/>
          <w:lang w:val="hy-AM"/>
        </w:rPr>
        <w:t>5</w:t>
      </w:r>
      <w:r w:rsidRPr="009070BD">
        <w:rPr>
          <w:b w:val="0"/>
          <w:bCs/>
          <w:iCs/>
          <w:lang w:val="hy-AM"/>
        </w:rPr>
        <w:t xml:space="preserve"> մլն</w:t>
      </w:r>
      <w:r w:rsidRPr="009070BD">
        <w:rPr>
          <w:b w:val="0"/>
          <w:bCs/>
          <w:iCs/>
          <w:lang w:val="af-ZA"/>
        </w:rPr>
        <w:t xml:space="preserve"> դրամ</w:t>
      </w:r>
      <w:r w:rsidRPr="009070BD">
        <w:rPr>
          <w:b w:val="0"/>
          <w:bCs/>
          <w:iCs/>
          <w:lang w:val="hy-AM"/>
        </w:rPr>
        <w:t>, ՀՀ համաֆինանսավորում` 1.8 մլն</w:t>
      </w:r>
      <w:r w:rsidRPr="009070BD">
        <w:rPr>
          <w:b w:val="0"/>
          <w:bCs/>
          <w:iCs/>
          <w:lang w:val="af-ZA"/>
        </w:rPr>
        <w:t xml:space="preserve"> դրամ</w:t>
      </w:r>
      <w:r w:rsidRPr="009070BD">
        <w:rPr>
          <w:b w:val="0"/>
          <w:bCs/>
          <w:iCs/>
          <w:lang w:val="hy-AM"/>
        </w:rPr>
        <w:t>:</w:t>
      </w:r>
      <w:r w:rsidRPr="009070BD">
        <w:rPr>
          <w:b w:val="0"/>
          <w:bCs/>
          <w:iCs/>
          <w:lang w:val="af-ZA"/>
        </w:rPr>
        <w:t xml:space="preserve"> </w:t>
      </w:r>
    </w:p>
    <w:p w:rsidR="001971B9" w:rsidRPr="009070BD" w:rsidRDefault="001971B9" w:rsidP="007730AA">
      <w:pPr>
        <w:spacing w:before="0" w:line="276" w:lineRule="auto"/>
        <w:ind w:firstLine="720"/>
        <w:rPr>
          <w:b w:val="0"/>
          <w:bCs/>
          <w:iCs/>
          <w:lang w:val="hy-AM"/>
        </w:rPr>
      </w:pPr>
      <w:r w:rsidRPr="009070BD">
        <w:rPr>
          <w:b w:val="0"/>
          <w:bCs/>
          <w:iCs/>
          <w:lang w:val="hy-AM"/>
        </w:rPr>
        <w:t>41. Համաշխարհային</w:t>
      </w:r>
      <w:r w:rsidRPr="009070BD">
        <w:rPr>
          <w:b w:val="0"/>
          <w:bCs/>
          <w:iCs/>
          <w:lang w:val="af-ZA"/>
        </w:rPr>
        <w:t xml:space="preserve"> </w:t>
      </w:r>
      <w:r w:rsidRPr="009070BD">
        <w:rPr>
          <w:b w:val="0"/>
          <w:bCs/>
          <w:iCs/>
          <w:lang w:val="hy-AM"/>
        </w:rPr>
        <w:t xml:space="preserve">բանկի աջակցությամբ իրականացվող </w:t>
      </w:r>
      <w:r w:rsidRPr="009070BD">
        <w:rPr>
          <w:b w:val="0"/>
          <w:bCs/>
          <w:iCs/>
        </w:rPr>
        <w:t>Կենսական</w:t>
      </w:r>
      <w:r w:rsidRPr="009070BD">
        <w:rPr>
          <w:b w:val="0"/>
          <w:bCs/>
          <w:iCs/>
          <w:lang w:val="af-ZA"/>
        </w:rPr>
        <w:t xml:space="preserve"> </w:t>
      </w:r>
      <w:r w:rsidRPr="009070BD">
        <w:rPr>
          <w:b w:val="0"/>
          <w:bCs/>
          <w:iCs/>
        </w:rPr>
        <w:t>նշանակու</w:t>
      </w:r>
      <w:r w:rsidRPr="009070BD">
        <w:rPr>
          <w:b w:val="0"/>
          <w:bCs/>
          <w:iCs/>
          <w:lang w:val="af-ZA"/>
        </w:rPr>
        <w:softHyphen/>
      </w:r>
      <w:r w:rsidRPr="009070BD">
        <w:rPr>
          <w:b w:val="0"/>
          <w:bCs/>
          <w:iCs/>
        </w:rPr>
        <w:t>թյան</w:t>
      </w:r>
      <w:r w:rsidRPr="009070BD">
        <w:rPr>
          <w:b w:val="0"/>
          <w:bCs/>
          <w:iCs/>
          <w:lang w:val="af-ZA"/>
        </w:rPr>
        <w:t xml:space="preserve"> </w:t>
      </w:r>
      <w:r w:rsidRPr="009070BD">
        <w:rPr>
          <w:b w:val="0"/>
          <w:bCs/>
          <w:iCs/>
        </w:rPr>
        <w:t>ճանապարհացանցի</w:t>
      </w:r>
      <w:r w:rsidRPr="009070BD">
        <w:rPr>
          <w:b w:val="0"/>
          <w:bCs/>
          <w:iCs/>
          <w:lang w:val="af-ZA"/>
        </w:rPr>
        <w:t xml:space="preserve"> </w:t>
      </w:r>
      <w:r w:rsidRPr="009070BD">
        <w:rPr>
          <w:b w:val="0"/>
          <w:bCs/>
          <w:iCs/>
        </w:rPr>
        <w:t>բարելավման</w:t>
      </w:r>
      <w:r w:rsidRPr="009070BD">
        <w:rPr>
          <w:b w:val="0"/>
          <w:bCs/>
          <w:iCs/>
          <w:lang w:val="af-ZA"/>
        </w:rPr>
        <w:t xml:space="preserve"> </w:t>
      </w:r>
      <w:r w:rsidRPr="009070BD">
        <w:rPr>
          <w:b w:val="0"/>
          <w:bCs/>
          <w:iCs/>
        </w:rPr>
        <w:t>լրացուցիչ</w:t>
      </w:r>
      <w:r w:rsidRPr="009070BD">
        <w:rPr>
          <w:b w:val="0"/>
          <w:bCs/>
          <w:iCs/>
          <w:lang w:val="af-ZA"/>
        </w:rPr>
        <w:t xml:space="preserve"> </w:t>
      </w:r>
      <w:r w:rsidRPr="009070BD">
        <w:rPr>
          <w:b w:val="0"/>
          <w:bCs/>
          <w:iCs/>
        </w:rPr>
        <w:t>ծրագիր</w:t>
      </w:r>
      <w:r w:rsidRPr="009070BD">
        <w:rPr>
          <w:b w:val="0"/>
          <w:bCs/>
          <w:iCs/>
          <w:lang w:val="af-ZA"/>
        </w:rPr>
        <w:t xml:space="preserve">, </w:t>
      </w:r>
      <w:r w:rsidRPr="009070BD">
        <w:rPr>
          <w:b w:val="0"/>
          <w:bCs/>
          <w:iCs/>
        </w:rPr>
        <w:t>որի</w:t>
      </w:r>
      <w:r w:rsidRPr="009070BD">
        <w:rPr>
          <w:b w:val="0"/>
          <w:bCs/>
          <w:iCs/>
          <w:lang w:val="af-ZA"/>
        </w:rPr>
        <w:t xml:space="preserve"> </w:t>
      </w:r>
      <w:r w:rsidRPr="009070BD">
        <w:rPr>
          <w:b w:val="0"/>
          <w:bCs/>
          <w:iCs/>
          <w:lang w:val="fr-FR"/>
        </w:rPr>
        <w:t>նպատակն</w:t>
      </w:r>
      <w:r w:rsidRPr="009070BD">
        <w:rPr>
          <w:b w:val="0"/>
          <w:bCs/>
          <w:iCs/>
          <w:lang w:val="af-ZA"/>
        </w:rPr>
        <w:t xml:space="preserve"> </w:t>
      </w:r>
      <w:r w:rsidRPr="009070BD">
        <w:rPr>
          <w:b w:val="0"/>
          <w:bCs/>
          <w:iCs/>
          <w:lang w:val="fr-FR"/>
        </w:rPr>
        <w:t>է</w:t>
      </w:r>
      <w:r w:rsidRPr="009070BD">
        <w:rPr>
          <w:b w:val="0"/>
          <w:bCs/>
          <w:iCs/>
          <w:lang w:val="af-ZA"/>
        </w:rPr>
        <w:t xml:space="preserve"> </w:t>
      </w:r>
      <w:r w:rsidRPr="009070BD">
        <w:rPr>
          <w:b w:val="0"/>
          <w:bCs/>
          <w:iCs/>
        </w:rPr>
        <w:t>հիմնանորոգել</w:t>
      </w:r>
      <w:r w:rsidRPr="009070BD">
        <w:rPr>
          <w:b w:val="0"/>
          <w:bCs/>
          <w:iCs/>
          <w:lang w:val="af-ZA"/>
        </w:rPr>
        <w:t xml:space="preserve"> </w:t>
      </w:r>
      <w:r w:rsidRPr="009070BD">
        <w:rPr>
          <w:b w:val="0"/>
          <w:bCs/>
          <w:iCs/>
        </w:rPr>
        <w:t>շուրջ</w:t>
      </w:r>
      <w:r w:rsidRPr="009070BD">
        <w:rPr>
          <w:b w:val="0"/>
          <w:bCs/>
          <w:iCs/>
          <w:lang w:val="af-ZA"/>
        </w:rPr>
        <w:t xml:space="preserve"> 190 </w:t>
      </w:r>
      <w:r w:rsidRPr="009070BD">
        <w:rPr>
          <w:b w:val="0"/>
          <w:bCs/>
          <w:iCs/>
        </w:rPr>
        <w:t>կմ</w:t>
      </w:r>
      <w:r w:rsidRPr="009070BD">
        <w:rPr>
          <w:b w:val="0"/>
          <w:bCs/>
          <w:iCs/>
          <w:lang w:val="af-ZA"/>
        </w:rPr>
        <w:t xml:space="preserve"> </w:t>
      </w:r>
      <w:r w:rsidRPr="009070BD">
        <w:rPr>
          <w:b w:val="0"/>
          <w:bCs/>
          <w:iCs/>
        </w:rPr>
        <w:t>ընդհանուր</w:t>
      </w:r>
      <w:r w:rsidRPr="009070BD">
        <w:rPr>
          <w:b w:val="0"/>
          <w:bCs/>
          <w:iCs/>
          <w:lang w:val="af-ZA"/>
        </w:rPr>
        <w:t xml:space="preserve"> </w:t>
      </w:r>
      <w:r w:rsidRPr="009070BD">
        <w:rPr>
          <w:b w:val="0"/>
          <w:bCs/>
          <w:iCs/>
        </w:rPr>
        <w:t>երկարությամբ</w:t>
      </w:r>
      <w:r w:rsidRPr="009070BD">
        <w:rPr>
          <w:b w:val="0"/>
          <w:bCs/>
          <w:iCs/>
          <w:lang w:val="af-ZA"/>
        </w:rPr>
        <w:t xml:space="preserve"> </w:t>
      </w:r>
      <w:r w:rsidRPr="009070BD">
        <w:rPr>
          <w:b w:val="0"/>
          <w:bCs/>
          <w:iCs/>
        </w:rPr>
        <w:t>ճանապարհահատվածներ</w:t>
      </w:r>
      <w:r w:rsidRPr="009070BD">
        <w:rPr>
          <w:b w:val="0"/>
          <w:bCs/>
          <w:iCs/>
          <w:lang w:val="af-ZA"/>
        </w:rPr>
        <w:t xml:space="preserve">` </w:t>
      </w:r>
      <w:r w:rsidRPr="009070BD">
        <w:rPr>
          <w:b w:val="0"/>
          <w:bCs/>
          <w:iCs/>
          <w:lang w:val="it-IT"/>
        </w:rPr>
        <w:t>202</w:t>
      </w:r>
      <w:r w:rsidRPr="009070BD">
        <w:rPr>
          <w:b w:val="0"/>
          <w:bCs/>
          <w:iCs/>
          <w:lang w:val="hy-AM"/>
        </w:rPr>
        <w:t>1</w:t>
      </w:r>
      <w:r w:rsidRPr="009070BD">
        <w:rPr>
          <w:b w:val="0"/>
          <w:bCs/>
          <w:iCs/>
          <w:lang w:val="it-IT"/>
        </w:rPr>
        <w:t xml:space="preserve">թ.-ին նախատեսվում է </w:t>
      </w:r>
      <w:r w:rsidR="00E245E1">
        <w:rPr>
          <w:b w:val="0"/>
          <w:bCs/>
          <w:iCs/>
          <w:lang w:val="it-IT"/>
        </w:rPr>
        <w:t>661.8</w:t>
      </w:r>
      <w:r w:rsidRPr="009070BD">
        <w:rPr>
          <w:b w:val="0"/>
          <w:bCs/>
          <w:iCs/>
          <w:lang w:val="it-IT"/>
        </w:rPr>
        <w:t xml:space="preserve"> </w:t>
      </w:r>
      <w:r w:rsidRPr="009070BD">
        <w:rPr>
          <w:b w:val="0"/>
          <w:bCs/>
          <w:iCs/>
          <w:lang w:val="af-ZA"/>
        </w:rPr>
        <w:t xml:space="preserve">մլն դրամ, </w:t>
      </w:r>
      <w:r w:rsidRPr="009070BD">
        <w:rPr>
          <w:b w:val="0"/>
          <w:bCs/>
          <w:iCs/>
          <w:lang w:val="hy-AM"/>
        </w:rPr>
        <w:t xml:space="preserve">այդ թվում վարկային միջոցներ` </w:t>
      </w:r>
      <w:r w:rsidR="00E245E1" w:rsidRPr="00E245E1">
        <w:rPr>
          <w:b w:val="0"/>
          <w:bCs/>
          <w:iCs/>
          <w:lang w:val="af-ZA"/>
        </w:rPr>
        <w:t>518.</w:t>
      </w:r>
      <w:r w:rsidR="00E245E1">
        <w:rPr>
          <w:b w:val="0"/>
          <w:bCs/>
          <w:iCs/>
          <w:lang w:val="af-ZA"/>
        </w:rPr>
        <w:t>7</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E245E1" w:rsidRPr="00E245E1">
        <w:rPr>
          <w:b w:val="0"/>
          <w:bCs/>
          <w:iCs/>
          <w:lang w:val="af-ZA"/>
        </w:rPr>
        <w:t>143.</w:t>
      </w:r>
      <w:r w:rsidR="00E245E1">
        <w:rPr>
          <w:b w:val="0"/>
          <w:bCs/>
          <w:iCs/>
          <w:lang w:val="af-ZA"/>
        </w:rPr>
        <w:t>1</w:t>
      </w:r>
      <w:r w:rsidRPr="009070BD">
        <w:rPr>
          <w:b w:val="0"/>
          <w:bCs/>
          <w:iCs/>
          <w:lang w:val="af-ZA"/>
        </w:rPr>
        <w:t xml:space="preserve"> 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42. Համաշխարհային</w:t>
      </w:r>
      <w:r w:rsidRPr="009070BD">
        <w:rPr>
          <w:b w:val="0"/>
          <w:bCs/>
          <w:iCs/>
          <w:lang w:val="af-ZA"/>
        </w:rPr>
        <w:t xml:space="preserve"> </w:t>
      </w:r>
      <w:r w:rsidRPr="009070BD">
        <w:rPr>
          <w:b w:val="0"/>
          <w:bCs/>
          <w:iCs/>
          <w:lang w:val="hy-AM"/>
        </w:rPr>
        <w:t>բանկի աջակցությամբ իրականացվող Կենսական</w:t>
      </w:r>
      <w:r w:rsidRPr="009070BD">
        <w:rPr>
          <w:b w:val="0"/>
          <w:bCs/>
          <w:iCs/>
          <w:lang w:val="af-ZA"/>
        </w:rPr>
        <w:t xml:space="preserve"> </w:t>
      </w:r>
      <w:r w:rsidRPr="009070BD">
        <w:rPr>
          <w:b w:val="0"/>
          <w:bCs/>
          <w:iCs/>
          <w:lang w:val="hy-AM"/>
        </w:rPr>
        <w:t>նշանակու</w:t>
      </w:r>
      <w:r w:rsidRPr="009070BD">
        <w:rPr>
          <w:b w:val="0"/>
          <w:bCs/>
          <w:iCs/>
          <w:lang w:val="af-ZA"/>
        </w:rPr>
        <w:softHyphen/>
      </w:r>
      <w:r w:rsidRPr="009070BD">
        <w:rPr>
          <w:b w:val="0"/>
          <w:bCs/>
          <w:iCs/>
          <w:lang w:val="hy-AM"/>
        </w:rPr>
        <w:t>թյան</w:t>
      </w:r>
      <w:r w:rsidRPr="009070BD">
        <w:rPr>
          <w:b w:val="0"/>
          <w:bCs/>
          <w:iCs/>
          <w:lang w:val="af-ZA"/>
        </w:rPr>
        <w:t xml:space="preserve"> </w:t>
      </w:r>
      <w:r w:rsidRPr="009070BD">
        <w:rPr>
          <w:b w:val="0"/>
          <w:bCs/>
          <w:iCs/>
          <w:lang w:val="hy-AM"/>
        </w:rPr>
        <w:t>ճանապարհացանցի</w:t>
      </w:r>
      <w:r w:rsidRPr="009070BD">
        <w:rPr>
          <w:b w:val="0"/>
          <w:bCs/>
          <w:iCs/>
          <w:lang w:val="af-ZA"/>
        </w:rPr>
        <w:t xml:space="preserve"> </w:t>
      </w:r>
      <w:r w:rsidRPr="009070BD">
        <w:rPr>
          <w:b w:val="0"/>
          <w:bCs/>
          <w:iCs/>
          <w:lang w:val="hy-AM"/>
        </w:rPr>
        <w:t>բարելավման երկրորդ</w:t>
      </w:r>
      <w:r w:rsidRPr="009070BD">
        <w:rPr>
          <w:b w:val="0"/>
          <w:bCs/>
          <w:iCs/>
          <w:lang w:val="af-ZA"/>
        </w:rPr>
        <w:t xml:space="preserve"> </w:t>
      </w:r>
      <w:r w:rsidRPr="009070BD">
        <w:rPr>
          <w:b w:val="0"/>
          <w:bCs/>
          <w:iCs/>
          <w:lang w:val="hy-AM"/>
        </w:rPr>
        <w:t>լրացուցիչ</w:t>
      </w:r>
      <w:r w:rsidRPr="009070BD">
        <w:rPr>
          <w:b w:val="0"/>
          <w:bCs/>
          <w:iCs/>
          <w:lang w:val="af-ZA"/>
        </w:rPr>
        <w:t xml:space="preserve"> </w:t>
      </w:r>
      <w:r w:rsidRPr="009070BD">
        <w:rPr>
          <w:b w:val="0"/>
          <w:bCs/>
          <w:iCs/>
          <w:lang w:val="hy-AM"/>
        </w:rPr>
        <w:t>ծրագիր</w:t>
      </w:r>
      <w:r w:rsidRPr="009070BD">
        <w:rPr>
          <w:b w:val="0"/>
          <w:bCs/>
          <w:iCs/>
          <w:lang w:val="af-ZA"/>
        </w:rPr>
        <w:t xml:space="preserve">, </w:t>
      </w:r>
      <w:r w:rsidRPr="009070BD">
        <w:rPr>
          <w:b w:val="0"/>
          <w:bCs/>
          <w:iCs/>
          <w:lang w:val="hy-AM"/>
        </w:rPr>
        <w:t>որի</w:t>
      </w:r>
      <w:r w:rsidRPr="009070BD">
        <w:rPr>
          <w:b w:val="0"/>
          <w:bCs/>
          <w:iCs/>
          <w:lang w:val="af-ZA"/>
        </w:rPr>
        <w:t xml:space="preserve"> </w:t>
      </w:r>
      <w:r w:rsidRPr="009070BD">
        <w:rPr>
          <w:b w:val="0"/>
          <w:bCs/>
          <w:iCs/>
          <w:lang w:val="fr-FR"/>
        </w:rPr>
        <w:t>նպատակն</w:t>
      </w:r>
      <w:r w:rsidRPr="009070BD">
        <w:rPr>
          <w:b w:val="0"/>
          <w:bCs/>
          <w:iCs/>
          <w:lang w:val="af-ZA"/>
        </w:rPr>
        <w:t xml:space="preserve"> </w:t>
      </w:r>
      <w:r w:rsidRPr="009070BD">
        <w:rPr>
          <w:b w:val="0"/>
          <w:bCs/>
          <w:iCs/>
          <w:lang w:val="fr-FR"/>
        </w:rPr>
        <w:t>է</w:t>
      </w:r>
      <w:r w:rsidRPr="009070BD">
        <w:rPr>
          <w:b w:val="0"/>
          <w:bCs/>
          <w:iCs/>
          <w:lang w:val="af-ZA"/>
        </w:rPr>
        <w:t xml:space="preserve"> </w:t>
      </w:r>
      <w:r w:rsidRPr="009070BD">
        <w:rPr>
          <w:b w:val="0"/>
          <w:bCs/>
          <w:iCs/>
          <w:lang w:val="hy-AM"/>
        </w:rPr>
        <w:t>հիմնանորոգել</w:t>
      </w:r>
      <w:r w:rsidRPr="009070BD">
        <w:rPr>
          <w:b w:val="0"/>
          <w:bCs/>
          <w:iCs/>
          <w:lang w:val="af-ZA"/>
        </w:rPr>
        <w:t xml:space="preserve"> </w:t>
      </w:r>
      <w:r w:rsidRPr="009070BD">
        <w:rPr>
          <w:b w:val="0"/>
          <w:bCs/>
          <w:iCs/>
          <w:lang w:val="hy-AM"/>
        </w:rPr>
        <w:t>շուրջ</w:t>
      </w:r>
      <w:r w:rsidRPr="009070BD">
        <w:rPr>
          <w:b w:val="0"/>
          <w:bCs/>
          <w:iCs/>
          <w:lang w:val="af-ZA"/>
        </w:rPr>
        <w:t xml:space="preserve"> 61 </w:t>
      </w:r>
      <w:r w:rsidRPr="009070BD">
        <w:rPr>
          <w:b w:val="0"/>
          <w:bCs/>
          <w:iCs/>
          <w:lang w:val="hy-AM"/>
        </w:rPr>
        <w:t>կմ</w:t>
      </w:r>
      <w:r w:rsidRPr="009070BD">
        <w:rPr>
          <w:b w:val="0"/>
          <w:bCs/>
          <w:iCs/>
          <w:lang w:val="af-ZA"/>
        </w:rPr>
        <w:t xml:space="preserve"> </w:t>
      </w:r>
      <w:r w:rsidRPr="009070BD">
        <w:rPr>
          <w:b w:val="0"/>
          <w:bCs/>
          <w:iCs/>
          <w:lang w:val="hy-AM"/>
        </w:rPr>
        <w:t>ընդհանուր</w:t>
      </w:r>
      <w:r w:rsidRPr="009070BD">
        <w:rPr>
          <w:b w:val="0"/>
          <w:bCs/>
          <w:iCs/>
          <w:lang w:val="af-ZA"/>
        </w:rPr>
        <w:t xml:space="preserve"> </w:t>
      </w:r>
      <w:r w:rsidRPr="009070BD">
        <w:rPr>
          <w:b w:val="0"/>
          <w:bCs/>
          <w:iCs/>
          <w:lang w:val="hy-AM"/>
        </w:rPr>
        <w:t>երկարությամբ</w:t>
      </w:r>
      <w:r w:rsidRPr="009070BD">
        <w:rPr>
          <w:b w:val="0"/>
          <w:bCs/>
          <w:iCs/>
          <w:lang w:val="af-ZA"/>
        </w:rPr>
        <w:t xml:space="preserve"> համայնքային և միջհամայնքային </w:t>
      </w:r>
      <w:r w:rsidRPr="009070BD">
        <w:rPr>
          <w:b w:val="0"/>
          <w:bCs/>
          <w:iCs/>
          <w:lang w:val="hy-AM"/>
        </w:rPr>
        <w:t>ճանապարհահատվածներ</w:t>
      </w:r>
      <w:r w:rsidRPr="009070BD">
        <w:rPr>
          <w:b w:val="0"/>
          <w:bCs/>
          <w:iCs/>
          <w:lang w:val="af-ZA"/>
        </w:rPr>
        <w:t xml:space="preserve">` </w:t>
      </w:r>
      <w:r w:rsidRPr="009070BD">
        <w:rPr>
          <w:b w:val="0"/>
          <w:bCs/>
          <w:iCs/>
          <w:lang w:val="it-IT"/>
        </w:rPr>
        <w:t>202</w:t>
      </w:r>
      <w:r w:rsidRPr="009070BD">
        <w:rPr>
          <w:b w:val="0"/>
          <w:bCs/>
          <w:iCs/>
          <w:lang w:val="hy-AM"/>
        </w:rPr>
        <w:t>1</w:t>
      </w:r>
      <w:r w:rsidRPr="009070BD">
        <w:rPr>
          <w:b w:val="0"/>
          <w:bCs/>
          <w:iCs/>
          <w:lang w:val="it-IT"/>
        </w:rPr>
        <w:t xml:space="preserve">թ.-ին նախատեսվում է </w:t>
      </w:r>
      <w:r w:rsidR="00E245E1" w:rsidRPr="00E245E1">
        <w:rPr>
          <w:b w:val="0"/>
          <w:bCs/>
          <w:iCs/>
          <w:lang w:val="hy-AM"/>
        </w:rPr>
        <w:t>1,321.1</w:t>
      </w:r>
      <w:r w:rsidRPr="009070BD">
        <w:rPr>
          <w:b w:val="0"/>
          <w:bCs/>
          <w:iCs/>
          <w:lang w:val="it-IT"/>
        </w:rPr>
        <w:t xml:space="preserve"> </w:t>
      </w:r>
      <w:r w:rsidRPr="009070BD">
        <w:rPr>
          <w:b w:val="0"/>
          <w:bCs/>
          <w:iCs/>
          <w:lang w:val="af-ZA"/>
        </w:rPr>
        <w:t xml:space="preserve">մլն դրամ, </w:t>
      </w:r>
      <w:r w:rsidRPr="009070BD">
        <w:rPr>
          <w:b w:val="0"/>
          <w:bCs/>
          <w:iCs/>
          <w:lang w:val="hy-AM"/>
        </w:rPr>
        <w:t xml:space="preserve">այդ թվում վարկային միջոցներ` </w:t>
      </w:r>
      <w:r w:rsidR="00E245E1" w:rsidRPr="00E245E1">
        <w:rPr>
          <w:b w:val="0"/>
          <w:bCs/>
          <w:iCs/>
          <w:lang w:val="hy-AM"/>
        </w:rPr>
        <w:t>1,056.9</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E245E1" w:rsidRPr="00E245E1">
        <w:rPr>
          <w:b w:val="0"/>
          <w:bCs/>
          <w:iCs/>
          <w:lang w:val="hy-AM"/>
        </w:rPr>
        <w:t>264.2</w:t>
      </w:r>
      <w:r w:rsidRPr="009070BD">
        <w:rPr>
          <w:b w:val="0"/>
          <w:bCs/>
          <w:iCs/>
          <w:lang w:val="af-ZA"/>
        </w:rPr>
        <w:t xml:space="preserve"> 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43.</w:t>
      </w:r>
      <w:r w:rsidRPr="009070BD">
        <w:rPr>
          <w:b w:val="0"/>
          <w:bCs/>
          <w:iCs/>
          <w:lang w:val="af-ZA"/>
        </w:rPr>
        <w:t xml:space="preserve"> Ասիական զարգացման բանկի աջակցությամբ իրականացվող Մ6 Վանաձոր-Ալավերդի-Վրաստանի սահման միջպետական նշանակության ճանապարհի վերականգն</w:t>
      </w:r>
      <w:r w:rsidRPr="009070BD">
        <w:rPr>
          <w:b w:val="0"/>
          <w:bCs/>
          <w:iCs/>
          <w:lang w:val="af-ZA"/>
        </w:rPr>
        <w:softHyphen/>
        <w:t>ման և բարելավման ծրագիր</w:t>
      </w:r>
      <w:r w:rsidRPr="009070BD">
        <w:rPr>
          <w:b w:val="0"/>
          <w:bCs/>
          <w:iCs/>
          <w:lang w:val="hy-AM"/>
        </w:rPr>
        <w:t xml:space="preserve">, որի նպատակն է` հիմնանորոգել և վերակառուցել Հայաստանի Հանրապետության կենտրոնը Վրաստանի Հանրապետության հետ կապող` Վանաձոր-Ալավերդի-Վրաստանի սահման 92 կմ ընդհանուր երկարությամբ </w:t>
      </w:r>
      <w:r w:rsidRPr="009070BD">
        <w:rPr>
          <w:b w:val="0"/>
          <w:bCs/>
          <w:iCs/>
          <w:lang w:val="sv-SE"/>
        </w:rPr>
        <w:t xml:space="preserve">միջպետական ճանապարհը: </w:t>
      </w:r>
      <w:r w:rsidRPr="009070BD">
        <w:rPr>
          <w:b w:val="0"/>
          <w:bCs/>
          <w:iCs/>
          <w:lang w:val="hy-AM"/>
        </w:rPr>
        <w:t>(</w:t>
      </w:r>
      <w:r w:rsidRPr="009070BD">
        <w:rPr>
          <w:b w:val="0"/>
          <w:bCs/>
          <w:iCs/>
          <w:u w:val="single"/>
          <w:lang w:val="sv-SE"/>
        </w:rPr>
        <w:t>կմ 38+450 – կմ 90+191</w:t>
      </w:r>
      <w:r w:rsidRPr="009070BD">
        <w:rPr>
          <w:b w:val="0"/>
          <w:bCs/>
          <w:iCs/>
          <w:lang w:val="sv-SE"/>
        </w:rPr>
        <w:t xml:space="preserve"> հատվածը</w:t>
      </w:r>
      <w:r w:rsidRPr="009070BD">
        <w:rPr>
          <w:b w:val="0"/>
          <w:bCs/>
          <w:iCs/>
          <w:lang w:val="hy-AM"/>
        </w:rPr>
        <w:t>)</w:t>
      </w:r>
      <w:r w:rsidRPr="009070BD">
        <w:rPr>
          <w:b w:val="0"/>
          <w:bCs/>
          <w:iCs/>
          <w:lang w:val="af-ZA"/>
        </w:rPr>
        <w:t xml:space="preserve">՝ </w:t>
      </w:r>
      <w:r w:rsidRPr="009070BD">
        <w:rPr>
          <w:b w:val="0"/>
          <w:bCs/>
          <w:iCs/>
          <w:lang w:val="it-IT"/>
        </w:rPr>
        <w:t>202</w:t>
      </w:r>
      <w:r w:rsidRPr="009070BD">
        <w:rPr>
          <w:b w:val="0"/>
          <w:bCs/>
          <w:iCs/>
          <w:lang w:val="hy-AM"/>
        </w:rPr>
        <w:t>1</w:t>
      </w:r>
      <w:r w:rsidRPr="009070BD">
        <w:rPr>
          <w:b w:val="0"/>
          <w:bCs/>
          <w:iCs/>
          <w:lang w:val="it-IT"/>
        </w:rPr>
        <w:t xml:space="preserve">թ.-ին նախատեսվում է </w:t>
      </w:r>
      <w:r w:rsidRPr="009070BD">
        <w:rPr>
          <w:b w:val="0"/>
          <w:bCs/>
          <w:iCs/>
          <w:lang w:val="hy-AM"/>
        </w:rPr>
        <w:t>3,</w:t>
      </w:r>
      <w:r w:rsidR="00E245E1" w:rsidRPr="00E245E1">
        <w:rPr>
          <w:b w:val="0"/>
          <w:bCs/>
          <w:iCs/>
          <w:lang w:val="hy-AM"/>
        </w:rPr>
        <w:t>644.0</w:t>
      </w:r>
      <w:r w:rsidRPr="009070BD">
        <w:rPr>
          <w:b w:val="0"/>
          <w:bCs/>
          <w:iCs/>
          <w:lang w:val="it-IT"/>
        </w:rPr>
        <w:t xml:space="preserve"> </w:t>
      </w:r>
      <w:r w:rsidRPr="009070BD">
        <w:rPr>
          <w:b w:val="0"/>
          <w:bCs/>
          <w:iCs/>
          <w:lang w:val="af-ZA"/>
        </w:rPr>
        <w:t xml:space="preserve">մլն դրամ, </w:t>
      </w:r>
      <w:r w:rsidRPr="009070BD">
        <w:rPr>
          <w:b w:val="0"/>
          <w:bCs/>
          <w:iCs/>
          <w:lang w:val="hy-AM"/>
        </w:rPr>
        <w:t xml:space="preserve">այդ թվում վարկային միջոցներ` </w:t>
      </w:r>
      <w:r w:rsidR="00E245E1" w:rsidRPr="00E245E1">
        <w:rPr>
          <w:b w:val="0"/>
          <w:bCs/>
          <w:iCs/>
          <w:lang w:val="hy-AM"/>
        </w:rPr>
        <w:t>2,870.7</w:t>
      </w:r>
      <w:r w:rsidRPr="009070BD">
        <w:rPr>
          <w:b w:val="0"/>
          <w:bCs/>
          <w:iCs/>
          <w:lang w:val="hy-AM"/>
        </w:rPr>
        <w:t xml:space="preserve"> </w:t>
      </w:r>
      <w:r w:rsidRPr="009070BD">
        <w:rPr>
          <w:b w:val="0"/>
          <w:bCs/>
          <w:iCs/>
          <w:lang w:val="af-ZA"/>
        </w:rPr>
        <w:t>մլն դրամ</w:t>
      </w:r>
      <w:r w:rsidRPr="009070BD">
        <w:rPr>
          <w:b w:val="0"/>
          <w:bCs/>
          <w:iCs/>
          <w:lang w:val="hy-AM"/>
        </w:rPr>
        <w:t>, ՀՀ համաֆինանսավորում`</w:t>
      </w:r>
      <w:r w:rsidRPr="009070BD">
        <w:rPr>
          <w:b w:val="0"/>
          <w:bCs/>
          <w:iCs/>
          <w:lang w:val="af-ZA"/>
        </w:rPr>
        <w:t xml:space="preserve"> </w:t>
      </w:r>
      <w:r w:rsidR="00E245E1" w:rsidRPr="00E245E1">
        <w:rPr>
          <w:b w:val="0"/>
          <w:bCs/>
          <w:iCs/>
          <w:lang w:val="af-ZA"/>
        </w:rPr>
        <w:t>773.</w:t>
      </w:r>
      <w:r w:rsidR="00E245E1">
        <w:rPr>
          <w:b w:val="0"/>
          <w:bCs/>
          <w:iCs/>
          <w:lang w:val="af-ZA"/>
        </w:rPr>
        <w:t>3</w:t>
      </w:r>
      <w:r w:rsidRPr="009070BD">
        <w:rPr>
          <w:b w:val="0"/>
          <w:bCs/>
          <w:iCs/>
          <w:lang w:val="hy-AM"/>
        </w:rPr>
        <w:t xml:space="preserve"> </w:t>
      </w:r>
      <w:r w:rsidRPr="009070BD">
        <w:rPr>
          <w:b w:val="0"/>
          <w:bCs/>
          <w:iCs/>
          <w:lang w:val="af-ZA"/>
        </w:rPr>
        <w:t>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44. Եվրոպական ներդրումային</w:t>
      </w:r>
      <w:r w:rsidRPr="009070BD">
        <w:rPr>
          <w:b w:val="0"/>
          <w:bCs/>
          <w:iCs/>
          <w:lang w:val="af-ZA"/>
        </w:rPr>
        <w:t xml:space="preserve"> բանկի աջակցությամբ իրականացվող Մ6 Վանաձոր-Ալավերդի-Վրաստանի սահման միջպետական նշանակության ճանապարհի վերականգն</w:t>
      </w:r>
      <w:r w:rsidRPr="009070BD">
        <w:rPr>
          <w:b w:val="0"/>
          <w:bCs/>
          <w:iCs/>
          <w:lang w:val="af-ZA"/>
        </w:rPr>
        <w:softHyphen/>
        <w:t>ման և բարելավման ծրագիր</w:t>
      </w:r>
      <w:r w:rsidRPr="009070BD">
        <w:rPr>
          <w:b w:val="0"/>
          <w:bCs/>
          <w:iCs/>
          <w:lang w:val="hy-AM"/>
        </w:rPr>
        <w:t xml:space="preserve">, որի նպատակն է` հիմնանորոգել և վերակառուցել Հայաստանի Հանրապետության կենտրոնը Վրաստանի Հանրապետության հետ կապող` Վանաձոր-Ալավերդի-Վրաստանի սահման </w:t>
      </w:r>
      <w:r w:rsidRPr="009070BD">
        <w:rPr>
          <w:b w:val="0"/>
          <w:bCs/>
          <w:iCs/>
          <w:lang w:val="sv-SE"/>
        </w:rPr>
        <w:t xml:space="preserve">միջպետական ճանապարհը </w:t>
      </w:r>
      <w:r w:rsidRPr="009070BD">
        <w:rPr>
          <w:b w:val="0"/>
          <w:bCs/>
          <w:iCs/>
          <w:u w:val="single"/>
          <w:lang w:val="hy-AM"/>
        </w:rPr>
        <w:t>(</w:t>
      </w:r>
      <w:r w:rsidRPr="009070BD">
        <w:rPr>
          <w:b w:val="0"/>
          <w:bCs/>
          <w:iCs/>
          <w:lang w:val="sv-SE"/>
        </w:rPr>
        <w:t xml:space="preserve"> </w:t>
      </w:r>
      <w:r w:rsidRPr="009070BD">
        <w:rPr>
          <w:b w:val="0"/>
          <w:bCs/>
          <w:iCs/>
          <w:u w:val="single"/>
          <w:lang w:val="sv-SE"/>
        </w:rPr>
        <w:t>կմ 0+000 – կմ 38+450</w:t>
      </w:r>
      <w:r w:rsidRPr="009070BD">
        <w:rPr>
          <w:b w:val="0"/>
          <w:bCs/>
          <w:iCs/>
          <w:lang w:val="sv-SE"/>
        </w:rPr>
        <w:t xml:space="preserve"> հատված</w:t>
      </w:r>
      <w:r w:rsidRPr="009070BD">
        <w:rPr>
          <w:b w:val="0"/>
          <w:bCs/>
          <w:iCs/>
          <w:lang w:val="hy-AM"/>
        </w:rPr>
        <w:t>)</w:t>
      </w:r>
      <w:r w:rsidRPr="009070BD">
        <w:rPr>
          <w:bCs/>
          <w:iCs/>
          <w:lang w:val="hy-AM"/>
        </w:rPr>
        <w:t>:</w:t>
      </w:r>
      <w:r w:rsidRPr="009070BD">
        <w:rPr>
          <w:bCs/>
          <w:iCs/>
          <w:lang w:val="af-ZA"/>
        </w:rPr>
        <w:t xml:space="preserve">  </w:t>
      </w:r>
      <w:r w:rsidRPr="009070BD">
        <w:rPr>
          <w:b w:val="0"/>
          <w:bCs/>
          <w:iCs/>
          <w:lang w:val="af-ZA"/>
        </w:rPr>
        <w:t xml:space="preserve"> </w:t>
      </w:r>
      <w:r w:rsidRPr="009070BD">
        <w:rPr>
          <w:b w:val="0"/>
          <w:bCs/>
          <w:iCs/>
          <w:lang w:val="it-IT"/>
        </w:rPr>
        <w:t>202</w:t>
      </w:r>
      <w:r w:rsidRPr="009070BD">
        <w:rPr>
          <w:b w:val="0"/>
          <w:bCs/>
          <w:iCs/>
          <w:lang w:val="hy-AM"/>
        </w:rPr>
        <w:t>1</w:t>
      </w:r>
      <w:r w:rsidRPr="009070BD">
        <w:rPr>
          <w:b w:val="0"/>
          <w:bCs/>
          <w:iCs/>
          <w:lang w:val="it-IT"/>
        </w:rPr>
        <w:t xml:space="preserve">թ.-ին նախատեսվում է </w:t>
      </w:r>
      <w:r w:rsidRPr="009070BD">
        <w:rPr>
          <w:b w:val="0"/>
          <w:bCs/>
          <w:iCs/>
          <w:lang w:val="hy-AM"/>
        </w:rPr>
        <w:t>17.</w:t>
      </w:r>
      <w:r w:rsidR="00E245E1" w:rsidRPr="00E245E1">
        <w:rPr>
          <w:b w:val="0"/>
          <w:bCs/>
          <w:iCs/>
          <w:lang w:val="hy-AM"/>
        </w:rPr>
        <w:t>2</w:t>
      </w:r>
      <w:r w:rsidRPr="009070BD">
        <w:rPr>
          <w:b w:val="0"/>
          <w:bCs/>
          <w:iCs/>
          <w:lang w:val="it-IT"/>
        </w:rPr>
        <w:t xml:space="preserve"> </w:t>
      </w:r>
      <w:r w:rsidRPr="009070BD">
        <w:rPr>
          <w:b w:val="0"/>
          <w:bCs/>
          <w:iCs/>
          <w:lang w:val="af-ZA"/>
        </w:rPr>
        <w:t xml:space="preserve">մլն դրամ, </w:t>
      </w:r>
      <w:r w:rsidRPr="009070BD">
        <w:rPr>
          <w:b w:val="0"/>
          <w:bCs/>
          <w:iCs/>
          <w:lang w:val="hy-AM"/>
        </w:rPr>
        <w:t>այդ թվում վարկային միջոցներ` 14.</w:t>
      </w:r>
      <w:r w:rsidR="00E245E1" w:rsidRPr="00E245E1">
        <w:rPr>
          <w:b w:val="0"/>
          <w:bCs/>
          <w:iCs/>
          <w:lang w:val="hy-AM"/>
        </w:rPr>
        <w:t>3</w:t>
      </w:r>
      <w:r w:rsidRPr="009070BD">
        <w:rPr>
          <w:b w:val="0"/>
          <w:bCs/>
          <w:iCs/>
          <w:lang w:val="hy-AM"/>
        </w:rPr>
        <w:t xml:space="preserve"> </w:t>
      </w:r>
      <w:r w:rsidRPr="009070BD">
        <w:rPr>
          <w:b w:val="0"/>
          <w:bCs/>
          <w:iCs/>
          <w:lang w:val="af-ZA"/>
        </w:rPr>
        <w:t>մլն դրամ</w:t>
      </w:r>
      <w:r w:rsidRPr="009070BD">
        <w:rPr>
          <w:b w:val="0"/>
          <w:bCs/>
          <w:iCs/>
          <w:lang w:val="hy-AM"/>
        </w:rPr>
        <w:t>, ՀՀ համաֆինանսավորում`</w:t>
      </w:r>
      <w:r w:rsidRPr="009070BD">
        <w:rPr>
          <w:b w:val="0"/>
          <w:bCs/>
          <w:iCs/>
          <w:lang w:val="af-ZA"/>
        </w:rPr>
        <w:t xml:space="preserve"> </w:t>
      </w:r>
      <w:r w:rsidRPr="009070BD">
        <w:rPr>
          <w:b w:val="0"/>
          <w:bCs/>
          <w:iCs/>
          <w:lang w:val="hy-AM"/>
        </w:rPr>
        <w:t xml:space="preserve">2.9 </w:t>
      </w:r>
      <w:r w:rsidRPr="009070BD">
        <w:rPr>
          <w:b w:val="0"/>
          <w:bCs/>
          <w:iCs/>
          <w:lang w:val="af-ZA"/>
        </w:rPr>
        <w:t>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45.</w:t>
      </w:r>
      <w:r w:rsidRPr="009070BD">
        <w:rPr>
          <w:b w:val="0"/>
          <w:bCs/>
          <w:iCs/>
          <w:lang w:val="af-ZA"/>
        </w:rPr>
        <w:t xml:space="preserve"> </w:t>
      </w:r>
      <w:r w:rsidRPr="009070BD">
        <w:rPr>
          <w:b w:val="0"/>
          <w:bCs/>
          <w:iCs/>
          <w:lang w:val="hy-AM"/>
        </w:rPr>
        <w:t>Ասիական</w:t>
      </w:r>
      <w:r w:rsidRPr="009070BD">
        <w:rPr>
          <w:b w:val="0"/>
          <w:bCs/>
          <w:iCs/>
          <w:lang w:val="af-ZA"/>
        </w:rPr>
        <w:t xml:space="preserve"> </w:t>
      </w:r>
      <w:r w:rsidRPr="009070BD">
        <w:rPr>
          <w:b w:val="0"/>
          <w:bCs/>
          <w:iCs/>
          <w:lang w:val="hy-AM"/>
        </w:rPr>
        <w:t>զարգացման</w:t>
      </w:r>
      <w:r w:rsidRPr="009070BD">
        <w:rPr>
          <w:b w:val="0"/>
          <w:bCs/>
          <w:iCs/>
          <w:lang w:val="af-ZA"/>
        </w:rPr>
        <w:t xml:space="preserve"> </w:t>
      </w:r>
      <w:r w:rsidRPr="009070BD">
        <w:rPr>
          <w:b w:val="0"/>
          <w:bCs/>
          <w:iCs/>
          <w:lang w:val="hy-AM"/>
        </w:rPr>
        <w:t>բանկի</w:t>
      </w:r>
      <w:r w:rsidRPr="009070BD">
        <w:rPr>
          <w:b w:val="0"/>
          <w:bCs/>
          <w:iCs/>
          <w:lang w:val="af-ZA"/>
        </w:rPr>
        <w:t xml:space="preserve"> </w:t>
      </w:r>
      <w:r w:rsidRPr="009070BD">
        <w:rPr>
          <w:b w:val="0"/>
          <w:bCs/>
          <w:iCs/>
          <w:lang w:val="hy-AM"/>
        </w:rPr>
        <w:t>աջակցությամբ</w:t>
      </w:r>
      <w:r w:rsidRPr="009070BD">
        <w:rPr>
          <w:b w:val="0"/>
          <w:bCs/>
          <w:iCs/>
          <w:lang w:val="af-ZA"/>
        </w:rPr>
        <w:t xml:space="preserve"> </w:t>
      </w:r>
      <w:r w:rsidRPr="009070BD">
        <w:rPr>
          <w:b w:val="0"/>
          <w:bCs/>
          <w:iCs/>
          <w:lang w:val="hy-AM"/>
        </w:rPr>
        <w:t>իրականացվող</w:t>
      </w:r>
      <w:r w:rsidRPr="009070BD">
        <w:rPr>
          <w:b w:val="0"/>
          <w:bCs/>
          <w:iCs/>
          <w:lang w:val="af-ZA"/>
        </w:rPr>
        <w:t xml:space="preserve"> </w:t>
      </w:r>
      <w:r w:rsidRPr="009070BD">
        <w:rPr>
          <w:b w:val="0"/>
          <w:bCs/>
          <w:iCs/>
          <w:lang w:val="hy-AM"/>
        </w:rPr>
        <w:t>Հյուսիս</w:t>
      </w:r>
      <w:r w:rsidRPr="009070BD">
        <w:rPr>
          <w:b w:val="0"/>
          <w:bCs/>
          <w:iCs/>
          <w:lang w:val="af-ZA"/>
        </w:rPr>
        <w:t>-</w:t>
      </w:r>
      <w:r w:rsidRPr="009070BD">
        <w:rPr>
          <w:b w:val="0"/>
          <w:bCs/>
          <w:iCs/>
          <w:lang w:val="hy-AM"/>
        </w:rPr>
        <w:t>հարավ</w:t>
      </w:r>
      <w:r w:rsidRPr="009070BD">
        <w:rPr>
          <w:b w:val="0"/>
          <w:bCs/>
          <w:iCs/>
          <w:lang w:val="af-ZA"/>
        </w:rPr>
        <w:t xml:space="preserve"> </w:t>
      </w:r>
      <w:r w:rsidRPr="009070BD">
        <w:rPr>
          <w:b w:val="0"/>
          <w:bCs/>
          <w:iCs/>
          <w:lang w:val="hy-AM"/>
        </w:rPr>
        <w:t>տրանսպորտային</w:t>
      </w:r>
      <w:r w:rsidRPr="009070BD">
        <w:rPr>
          <w:b w:val="0"/>
          <w:bCs/>
          <w:iCs/>
          <w:lang w:val="af-ZA"/>
        </w:rPr>
        <w:t xml:space="preserve"> </w:t>
      </w:r>
      <w:r w:rsidRPr="009070BD">
        <w:rPr>
          <w:b w:val="0"/>
          <w:bCs/>
          <w:iCs/>
          <w:lang w:val="hy-AM"/>
        </w:rPr>
        <w:t>միջանցքի</w:t>
      </w:r>
      <w:r w:rsidRPr="009070BD">
        <w:rPr>
          <w:b w:val="0"/>
          <w:bCs/>
          <w:iCs/>
          <w:lang w:val="af-ZA"/>
        </w:rPr>
        <w:t xml:space="preserve"> </w:t>
      </w:r>
      <w:r w:rsidRPr="009070BD">
        <w:rPr>
          <w:b w:val="0"/>
          <w:bCs/>
          <w:iCs/>
          <w:lang w:val="hy-AM"/>
        </w:rPr>
        <w:t>զարգացման</w:t>
      </w:r>
      <w:r w:rsidRPr="009070BD">
        <w:rPr>
          <w:b w:val="0"/>
          <w:bCs/>
          <w:iCs/>
          <w:lang w:val="af-ZA"/>
        </w:rPr>
        <w:t xml:space="preserve"> </w:t>
      </w:r>
      <w:r w:rsidRPr="009070BD">
        <w:rPr>
          <w:b w:val="0"/>
          <w:bCs/>
          <w:iCs/>
          <w:lang w:val="hy-AM"/>
        </w:rPr>
        <w:t>ծրագիր</w:t>
      </w:r>
      <w:r w:rsidRPr="009070BD">
        <w:rPr>
          <w:b w:val="0"/>
          <w:bCs/>
          <w:iCs/>
          <w:lang w:val="af-ZA"/>
        </w:rPr>
        <w:t xml:space="preserve"> (Տ</w:t>
      </w:r>
      <w:r w:rsidRPr="009070BD">
        <w:rPr>
          <w:b w:val="0"/>
          <w:bCs/>
          <w:iCs/>
          <w:lang w:val="hy-AM"/>
        </w:rPr>
        <w:t>րանշ</w:t>
      </w:r>
      <w:r w:rsidRPr="009070BD">
        <w:rPr>
          <w:b w:val="0"/>
          <w:bCs/>
          <w:iCs/>
          <w:lang w:val="af-ZA"/>
        </w:rPr>
        <w:t xml:space="preserve"> 2)</w:t>
      </w:r>
      <w:r w:rsidRPr="009070BD">
        <w:rPr>
          <w:b w:val="0"/>
          <w:bCs/>
          <w:iCs/>
          <w:lang w:val="fr-FR"/>
        </w:rPr>
        <w:t xml:space="preserve">, </w:t>
      </w:r>
      <w:r w:rsidRPr="009070BD">
        <w:rPr>
          <w:b w:val="0"/>
          <w:bCs/>
          <w:iCs/>
          <w:lang w:val="hy-AM"/>
        </w:rPr>
        <w:t>որի</w:t>
      </w:r>
      <w:r w:rsidRPr="009070BD">
        <w:rPr>
          <w:b w:val="0"/>
          <w:bCs/>
          <w:iCs/>
          <w:lang w:val="af-ZA"/>
        </w:rPr>
        <w:t xml:space="preserve"> </w:t>
      </w:r>
      <w:r w:rsidRPr="009070BD">
        <w:rPr>
          <w:b w:val="0"/>
          <w:bCs/>
          <w:iCs/>
          <w:lang w:val="hy-AM"/>
        </w:rPr>
        <w:t>նպատակն</w:t>
      </w:r>
      <w:r w:rsidRPr="009070BD">
        <w:rPr>
          <w:b w:val="0"/>
          <w:bCs/>
          <w:iCs/>
          <w:lang w:val="af-ZA"/>
        </w:rPr>
        <w:t xml:space="preserve"> </w:t>
      </w:r>
      <w:r w:rsidRPr="009070BD">
        <w:rPr>
          <w:b w:val="0"/>
          <w:bCs/>
          <w:iCs/>
          <w:lang w:val="hy-AM"/>
        </w:rPr>
        <w:t>է</w:t>
      </w:r>
      <w:r w:rsidRPr="009070BD">
        <w:rPr>
          <w:b w:val="0"/>
          <w:bCs/>
          <w:iCs/>
          <w:lang w:val="af-ZA"/>
        </w:rPr>
        <w:t xml:space="preserve"> </w:t>
      </w:r>
      <w:r w:rsidRPr="009070BD">
        <w:rPr>
          <w:b w:val="0"/>
          <w:bCs/>
          <w:iCs/>
          <w:lang w:val="hy-AM"/>
        </w:rPr>
        <w:t>Աշտարակ</w:t>
      </w:r>
      <w:r w:rsidRPr="009070BD">
        <w:rPr>
          <w:b w:val="0"/>
          <w:bCs/>
          <w:iCs/>
          <w:lang w:val="af-ZA"/>
        </w:rPr>
        <w:t>-</w:t>
      </w:r>
      <w:r w:rsidRPr="009070BD">
        <w:rPr>
          <w:b w:val="0"/>
          <w:bCs/>
          <w:iCs/>
          <w:lang w:val="hy-AM"/>
        </w:rPr>
        <w:t>Թալին</w:t>
      </w:r>
      <w:r w:rsidRPr="009070BD">
        <w:rPr>
          <w:b w:val="0"/>
          <w:bCs/>
          <w:iCs/>
          <w:lang w:val="af-ZA"/>
        </w:rPr>
        <w:t xml:space="preserve"> 41.9 </w:t>
      </w:r>
      <w:r w:rsidRPr="009070BD">
        <w:rPr>
          <w:b w:val="0"/>
          <w:bCs/>
          <w:iCs/>
          <w:lang w:val="hy-AM"/>
        </w:rPr>
        <w:t>կմ</w:t>
      </w:r>
      <w:r w:rsidRPr="009070BD">
        <w:rPr>
          <w:b w:val="0"/>
          <w:bCs/>
          <w:iCs/>
          <w:lang w:val="af-ZA"/>
        </w:rPr>
        <w:t xml:space="preserve"> </w:t>
      </w:r>
      <w:r w:rsidRPr="009070BD">
        <w:rPr>
          <w:b w:val="0"/>
          <w:bCs/>
          <w:iCs/>
          <w:lang w:val="hy-AM"/>
        </w:rPr>
        <w:t>հատվածի</w:t>
      </w:r>
      <w:r w:rsidRPr="009070BD">
        <w:rPr>
          <w:b w:val="0"/>
          <w:bCs/>
          <w:iCs/>
          <w:lang w:val="af-ZA"/>
        </w:rPr>
        <w:t xml:space="preserve"> </w:t>
      </w:r>
      <w:r w:rsidRPr="009070BD">
        <w:rPr>
          <w:b w:val="0"/>
          <w:bCs/>
          <w:iCs/>
          <w:lang w:val="hy-AM"/>
        </w:rPr>
        <w:t>վերակառուցումը</w:t>
      </w:r>
      <w:r w:rsidRPr="009070BD">
        <w:rPr>
          <w:b w:val="0"/>
          <w:bCs/>
          <w:iCs/>
          <w:lang w:val="af-ZA"/>
        </w:rPr>
        <w:t xml:space="preserve"> </w:t>
      </w:r>
      <w:r w:rsidRPr="009070BD">
        <w:rPr>
          <w:b w:val="0"/>
          <w:bCs/>
          <w:iCs/>
          <w:lang w:val="hy-AM"/>
        </w:rPr>
        <w:t>և</w:t>
      </w:r>
      <w:r w:rsidRPr="009070BD">
        <w:rPr>
          <w:b w:val="0"/>
          <w:bCs/>
          <w:iCs/>
          <w:lang w:val="af-ZA"/>
        </w:rPr>
        <w:t xml:space="preserve"> </w:t>
      </w:r>
      <w:r w:rsidRPr="009070BD">
        <w:rPr>
          <w:b w:val="0"/>
          <w:bCs/>
          <w:iCs/>
          <w:lang w:val="hy-AM"/>
        </w:rPr>
        <w:t>ներկայումս</w:t>
      </w:r>
      <w:r w:rsidRPr="009070BD">
        <w:rPr>
          <w:b w:val="0"/>
          <w:bCs/>
          <w:iCs/>
          <w:lang w:val="af-ZA"/>
        </w:rPr>
        <w:t xml:space="preserve"> </w:t>
      </w:r>
      <w:r w:rsidRPr="009070BD">
        <w:rPr>
          <w:b w:val="0"/>
          <w:bCs/>
          <w:iCs/>
          <w:lang w:val="hy-AM"/>
        </w:rPr>
        <w:t>երկշարք</w:t>
      </w:r>
      <w:r w:rsidRPr="009070BD">
        <w:rPr>
          <w:b w:val="0"/>
          <w:bCs/>
          <w:iCs/>
          <w:lang w:val="af-ZA"/>
        </w:rPr>
        <w:t xml:space="preserve"> </w:t>
      </w:r>
      <w:r w:rsidRPr="009070BD">
        <w:rPr>
          <w:b w:val="0"/>
          <w:bCs/>
          <w:iCs/>
          <w:lang w:val="hy-AM"/>
        </w:rPr>
        <w:t>ճանապարհի</w:t>
      </w:r>
      <w:r w:rsidRPr="009070BD">
        <w:rPr>
          <w:b w:val="0"/>
          <w:bCs/>
          <w:iCs/>
          <w:lang w:val="af-ZA"/>
        </w:rPr>
        <w:t xml:space="preserve"> </w:t>
      </w:r>
      <w:r w:rsidRPr="009070BD">
        <w:rPr>
          <w:b w:val="0"/>
          <w:bCs/>
          <w:iCs/>
          <w:lang w:val="hy-AM"/>
        </w:rPr>
        <w:t>լայնացումը</w:t>
      </w:r>
      <w:r w:rsidRPr="009070BD">
        <w:rPr>
          <w:b w:val="0"/>
          <w:bCs/>
          <w:iCs/>
          <w:lang w:val="af-ZA"/>
        </w:rPr>
        <w:t xml:space="preserve"> </w:t>
      </w:r>
      <w:r w:rsidRPr="009070BD">
        <w:rPr>
          <w:b w:val="0"/>
          <w:bCs/>
          <w:iCs/>
          <w:lang w:val="hy-AM"/>
        </w:rPr>
        <w:t>մինչև</w:t>
      </w:r>
      <w:r w:rsidRPr="009070BD">
        <w:rPr>
          <w:b w:val="0"/>
          <w:bCs/>
          <w:iCs/>
          <w:lang w:val="af-ZA"/>
        </w:rPr>
        <w:t xml:space="preserve"> </w:t>
      </w:r>
      <w:r w:rsidRPr="009070BD">
        <w:rPr>
          <w:b w:val="0"/>
          <w:bCs/>
          <w:iCs/>
          <w:lang w:val="hy-AM"/>
        </w:rPr>
        <w:t>քառաշարք</w:t>
      </w:r>
      <w:r w:rsidRPr="009070BD">
        <w:rPr>
          <w:b w:val="0"/>
          <w:bCs/>
          <w:iCs/>
          <w:lang w:val="af-ZA"/>
        </w:rPr>
        <w:t xml:space="preserve"> </w:t>
      </w:r>
      <w:r w:rsidRPr="009070BD">
        <w:rPr>
          <w:b w:val="0"/>
          <w:bCs/>
          <w:iCs/>
          <w:lang w:val="hy-AM"/>
        </w:rPr>
        <w:t>ճանապարհի</w:t>
      </w:r>
      <w:r w:rsidRPr="009070BD">
        <w:rPr>
          <w:b w:val="0"/>
          <w:bCs/>
          <w:iCs/>
          <w:lang w:val="af-ZA"/>
        </w:rPr>
        <w:t>, ինչպես նաև</w:t>
      </w:r>
      <w:r w:rsidRPr="009070BD">
        <w:rPr>
          <w:b w:val="0"/>
          <w:bCs/>
          <w:iCs/>
          <w:lang w:val="fr-FR"/>
        </w:rPr>
        <w:t xml:space="preserve"> </w:t>
      </w:r>
      <w:r w:rsidRPr="009070BD">
        <w:rPr>
          <w:b w:val="0"/>
          <w:bCs/>
          <w:iCs/>
          <w:lang w:val="hy-AM"/>
        </w:rPr>
        <w:t>իրականացվելու</w:t>
      </w:r>
      <w:r w:rsidRPr="009070BD">
        <w:rPr>
          <w:b w:val="0"/>
          <w:bCs/>
          <w:iCs/>
          <w:lang w:val="af-ZA"/>
        </w:rPr>
        <w:t xml:space="preserve"> </w:t>
      </w:r>
      <w:r w:rsidRPr="009070BD">
        <w:rPr>
          <w:b w:val="0"/>
          <w:bCs/>
          <w:iCs/>
          <w:lang w:val="hy-AM"/>
        </w:rPr>
        <w:t>են</w:t>
      </w:r>
      <w:r w:rsidRPr="009070BD">
        <w:rPr>
          <w:b w:val="0"/>
          <w:bCs/>
          <w:iCs/>
          <w:lang w:val="af-ZA"/>
        </w:rPr>
        <w:t xml:space="preserve"> </w:t>
      </w:r>
      <w:r w:rsidRPr="009070BD">
        <w:rPr>
          <w:b w:val="0"/>
          <w:bCs/>
          <w:iCs/>
          <w:lang w:val="hy-AM"/>
        </w:rPr>
        <w:t>ներդրումային</w:t>
      </w:r>
      <w:r w:rsidRPr="009070BD">
        <w:rPr>
          <w:b w:val="0"/>
          <w:bCs/>
          <w:iCs/>
          <w:lang w:val="af-ZA"/>
        </w:rPr>
        <w:t xml:space="preserve"> </w:t>
      </w:r>
      <w:r w:rsidRPr="009070BD">
        <w:rPr>
          <w:b w:val="0"/>
          <w:bCs/>
          <w:iCs/>
          <w:lang w:val="hy-AM"/>
        </w:rPr>
        <w:t>ծրագրի</w:t>
      </w:r>
      <w:r w:rsidRPr="009070BD">
        <w:rPr>
          <w:b w:val="0"/>
          <w:bCs/>
          <w:iCs/>
          <w:lang w:val="af-ZA"/>
        </w:rPr>
        <w:t xml:space="preserve"> </w:t>
      </w:r>
      <w:r w:rsidRPr="009070BD">
        <w:rPr>
          <w:b w:val="0"/>
          <w:bCs/>
          <w:iCs/>
          <w:lang w:val="hy-AM"/>
        </w:rPr>
        <w:t>շրջանակներում</w:t>
      </w:r>
      <w:r w:rsidRPr="009070BD">
        <w:rPr>
          <w:b w:val="0"/>
          <w:bCs/>
          <w:iCs/>
          <w:lang w:val="af-ZA"/>
        </w:rPr>
        <w:t xml:space="preserve"> </w:t>
      </w:r>
      <w:r w:rsidRPr="009070BD">
        <w:rPr>
          <w:b w:val="0"/>
          <w:bCs/>
          <w:iCs/>
          <w:lang w:val="hy-AM"/>
        </w:rPr>
        <w:t>ֆինանսավորվող</w:t>
      </w:r>
      <w:r w:rsidRPr="009070BD">
        <w:rPr>
          <w:b w:val="0"/>
          <w:bCs/>
          <w:iCs/>
          <w:lang w:val="af-ZA"/>
        </w:rPr>
        <w:t xml:space="preserve"> </w:t>
      </w:r>
      <w:r w:rsidRPr="009070BD">
        <w:rPr>
          <w:b w:val="0"/>
          <w:bCs/>
          <w:iCs/>
          <w:lang w:val="hy-AM"/>
        </w:rPr>
        <w:t>հետագա</w:t>
      </w:r>
      <w:r w:rsidRPr="009070BD">
        <w:rPr>
          <w:b w:val="0"/>
          <w:bCs/>
          <w:iCs/>
          <w:lang w:val="af-ZA"/>
        </w:rPr>
        <w:t xml:space="preserve"> </w:t>
      </w:r>
      <w:r w:rsidRPr="009070BD">
        <w:rPr>
          <w:b w:val="0"/>
          <w:bCs/>
          <w:iCs/>
          <w:lang w:val="hy-AM"/>
        </w:rPr>
        <w:t>ծրագրերի</w:t>
      </w:r>
      <w:r w:rsidRPr="009070BD">
        <w:rPr>
          <w:b w:val="0"/>
          <w:bCs/>
          <w:iCs/>
          <w:lang w:val="af-ZA"/>
        </w:rPr>
        <w:t xml:space="preserve"> </w:t>
      </w:r>
      <w:r w:rsidRPr="009070BD">
        <w:rPr>
          <w:b w:val="0"/>
          <w:bCs/>
          <w:iCs/>
          <w:lang w:val="hy-AM"/>
        </w:rPr>
        <w:t>մանրամասն</w:t>
      </w:r>
      <w:r w:rsidRPr="009070BD">
        <w:rPr>
          <w:b w:val="0"/>
          <w:bCs/>
          <w:iCs/>
          <w:lang w:val="af-ZA"/>
        </w:rPr>
        <w:t xml:space="preserve"> </w:t>
      </w:r>
      <w:r w:rsidRPr="009070BD">
        <w:rPr>
          <w:b w:val="0"/>
          <w:bCs/>
          <w:iCs/>
          <w:lang w:val="hy-AM"/>
        </w:rPr>
        <w:t>նախագծերի</w:t>
      </w:r>
      <w:r w:rsidRPr="009070BD">
        <w:rPr>
          <w:b w:val="0"/>
          <w:bCs/>
          <w:iCs/>
          <w:lang w:val="af-ZA"/>
        </w:rPr>
        <w:t xml:space="preserve"> </w:t>
      </w:r>
      <w:r w:rsidRPr="009070BD">
        <w:rPr>
          <w:b w:val="0"/>
          <w:bCs/>
          <w:iCs/>
          <w:lang w:val="hy-AM"/>
        </w:rPr>
        <w:t>ուսումնասի</w:t>
      </w:r>
      <w:r w:rsidRPr="009070BD">
        <w:rPr>
          <w:b w:val="0"/>
          <w:bCs/>
          <w:iCs/>
          <w:lang w:val="fr-FR"/>
        </w:rPr>
        <w:softHyphen/>
      </w:r>
      <w:r w:rsidRPr="009070BD">
        <w:rPr>
          <w:b w:val="0"/>
          <w:bCs/>
          <w:iCs/>
          <w:lang w:val="hy-AM"/>
        </w:rPr>
        <w:t>րու</w:t>
      </w:r>
      <w:r w:rsidRPr="009070BD">
        <w:rPr>
          <w:b w:val="0"/>
          <w:bCs/>
          <w:iCs/>
          <w:lang w:val="fr-FR"/>
        </w:rPr>
        <w:softHyphen/>
      </w:r>
      <w:r w:rsidRPr="009070BD">
        <w:rPr>
          <w:b w:val="0"/>
          <w:bCs/>
          <w:iCs/>
          <w:lang w:val="hy-AM"/>
        </w:rPr>
        <w:t>թյուններ</w:t>
      </w:r>
      <w:r w:rsidRPr="009070BD">
        <w:rPr>
          <w:b w:val="0"/>
          <w:bCs/>
          <w:iCs/>
          <w:lang w:val="af-ZA"/>
        </w:rPr>
        <w:t xml:space="preserve">, </w:t>
      </w:r>
      <w:r w:rsidRPr="009070BD">
        <w:rPr>
          <w:b w:val="0"/>
          <w:bCs/>
          <w:iCs/>
          <w:lang w:val="hy-AM"/>
        </w:rPr>
        <w:t>շինարարության</w:t>
      </w:r>
      <w:r w:rsidRPr="009070BD">
        <w:rPr>
          <w:b w:val="0"/>
          <w:bCs/>
          <w:iCs/>
          <w:lang w:val="af-ZA"/>
        </w:rPr>
        <w:t xml:space="preserve"> </w:t>
      </w:r>
      <w:r w:rsidRPr="009070BD">
        <w:rPr>
          <w:b w:val="0"/>
          <w:bCs/>
          <w:iCs/>
          <w:lang w:val="hy-AM"/>
        </w:rPr>
        <w:t>վերահսկողություն</w:t>
      </w:r>
      <w:r w:rsidRPr="009070BD">
        <w:rPr>
          <w:b w:val="0"/>
          <w:bCs/>
          <w:iCs/>
          <w:lang w:val="af-ZA"/>
        </w:rPr>
        <w:t xml:space="preserve">, </w:t>
      </w:r>
      <w:r w:rsidRPr="009070BD">
        <w:rPr>
          <w:b w:val="0"/>
          <w:bCs/>
          <w:iCs/>
          <w:lang w:val="hy-AM"/>
        </w:rPr>
        <w:t>գնումների</w:t>
      </w:r>
      <w:r w:rsidRPr="009070BD">
        <w:rPr>
          <w:b w:val="0"/>
          <w:bCs/>
          <w:iCs/>
          <w:lang w:val="af-ZA"/>
        </w:rPr>
        <w:t xml:space="preserve"> </w:t>
      </w:r>
      <w:r w:rsidRPr="009070BD">
        <w:rPr>
          <w:b w:val="0"/>
          <w:bCs/>
          <w:iCs/>
          <w:lang w:val="hy-AM"/>
        </w:rPr>
        <w:t>և</w:t>
      </w:r>
      <w:r w:rsidRPr="009070BD">
        <w:rPr>
          <w:b w:val="0"/>
          <w:bCs/>
          <w:iCs/>
          <w:lang w:val="af-ZA"/>
        </w:rPr>
        <w:t xml:space="preserve"> </w:t>
      </w:r>
      <w:r w:rsidRPr="009070BD">
        <w:rPr>
          <w:b w:val="0"/>
          <w:bCs/>
          <w:iCs/>
          <w:lang w:val="hy-AM"/>
        </w:rPr>
        <w:t>կարողությունների</w:t>
      </w:r>
      <w:r w:rsidRPr="009070BD">
        <w:rPr>
          <w:b w:val="0"/>
          <w:bCs/>
          <w:iCs/>
          <w:lang w:val="af-ZA"/>
        </w:rPr>
        <w:t xml:space="preserve"> </w:t>
      </w:r>
      <w:r w:rsidRPr="009070BD">
        <w:rPr>
          <w:b w:val="0"/>
          <w:bCs/>
          <w:iCs/>
          <w:lang w:val="hy-AM"/>
        </w:rPr>
        <w:t>հզորացման</w:t>
      </w:r>
      <w:r w:rsidRPr="009070BD">
        <w:rPr>
          <w:b w:val="0"/>
          <w:bCs/>
          <w:iCs/>
          <w:lang w:val="af-ZA"/>
        </w:rPr>
        <w:t xml:space="preserve"> </w:t>
      </w:r>
      <w:r w:rsidRPr="009070BD">
        <w:rPr>
          <w:b w:val="0"/>
          <w:bCs/>
          <w:iCs/>
          <w:lang w:val="hy-AM"/>
        </w:rPr>
        <w:t>աշխատանքներ՝</w:t>
      </w:r>
      <w:r w:rsidRPr="009070BD">
        <w:rPr>
          <w:b w:val="0"/>
          <w:bCs/>
          <w:iCs/>
          <w:lang w:val="it-IT"/>
        </w:rPr>
        <w:t xml:space="preserve"> 202</w:t>
      </w:r>
      <w:r w:rsidRPr="009070BD">
        <w:rPr>
          <w:b w:val="0"/>
          <w:bCs/>
          <w:iCs/>
          <w:lang w:val="hy-AM"/>
        </w:rPr>
        <w:t>1</w:t>
      </w:r>
      <w:r w:rsidRPr="009070BD">
        <w:rPr>
          <w:b w:val="0"/>
          <w:bCs/>
          <w:iCs/>
          <w:lang w:val="it-IT"/>
        </w:rPr>
        <w:t xml:space="preserve">թ.-ին նախատեսվում է </w:t>
      </w:r>
      <w:r w:rsidRPr="009070BD">
        <w:rPr>
          <w:b w:val="0"/>
          <w:bCs/>
          <w:iCs/>
          <w:lang w:val="hy-AM"/>
        </w:rPr>
        <w:t>3,</w:t>
      </w:r>
      <w:r w:rsidR="00E245E1" w:rsidRPr="00E245E1">
        <w:rPr>
          <w:b w:val="0"/>
          <w:bCs/>
          <w:iCs/>
          <w:lang w:val="hy-AM"/>
        </w:rPr>
        <w:t xml:space="preserve">533.4 </w:t>
      </w:r>
      <w:r w:rsidRPr="009070BD">
        <w:rPr>
          <w:b w:val="0"/>
          <w:bCs/>
          <w:iCs/>
          <w:lang w:val="af-ZA"/>
        </w:rPr>
        <w:t xml:space="preserve">մլն դրամ, </w:t>
      </w:r>
      <w:r w:rsidRPr="009070BD">
        <w:rPr>
          <w:b w:val="0"/>
          <w:bCs/>
          <w:iCs/>
          <w:lang w:val="hy-AM"/>
        </w:rPr>
        <w:t xml:space="preserve">այդ թվում վարկային միջոցներ` </w:t>
      </w:r>
      <w:r w:rsidR="006F7653" w:rsidRPr="006F7653">
        <w:rPr>
          <w:b w:val="0"/>
          <w:bCs/>
          <w:iCs/>
          <w:lang w:val="hy-AM"/>
        </w:rPr>
        <w:t>2,459.4</w:t>
      </w:r>
      <w:r w:rsidRPr="009070BD">
        <w:rPr>
          <w:b w:val="0"/>
          <w:bCs/>
          <w:iCs/>
          <w:lang w:val="hy-AM"/>
        </w:rPr>
        <w:t xml:space="preserve"> </w:t>
      </w:r>
      <w:r w:rsidRPr="009070BD">
        <w:rPr>
          <w:b w:val="0"/>
          <w:bCs/>
          <w:iCs/>
          <w:lang w:val="af-ZA"/>
        </w:rPr>
        <w:t>մլն դրամ</w:t>
      </w:r>
      <w:r w:rsidRPr="009070BD">
        <w:rPr>
          <w:b w:val="0"/>
          <w:bCs/>
          <w:iCs/>
          <w:lang w:val="hy-AM"/>
        </w:rPr>
        <w:t>, ՀՀ համաֆինանսավորում` 1</w:t>
      </w:r>
      <w:r w:rsidR="006F7653" w:rsidRPr="006F7653">
        <w:rPr>
          <w:b w:val="0"/>
          <w:bCs/>
          <w:iCs/>
          <w:lang w:val="hy-AM"/>
        </w:rPr>
        <w:t>,074.0</w:t>
      </w:r>
      <w:r w:rsidRPr="009070BD">
        <w:rPr>
          <w:b w:val="0"/>
          <w:bCs/>
          <w:iCs/>
          <w:lang w:val="af-ZA"/>
        </w:rPr>
        <w:t xml:space="preserve"> 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 xml:space="preserve">46. </w:t>
      </w:r>
      <w:r w:rsidRPr="009070BD">
        <w:rPr>
          <w:b w:val="0"/>
          <w:bCs/>
          <w:iCs/>
          <w:lang w:val="af-ZA"/>
        </w:rPr>
        <w:t>Եվրոպական ներդրումային բանկի աջակցությամբ իրականացվող Հյուսիս-հարավ տրանսպորտային միջանցքի զարգացման ծրագիր (Տրանշ 3)</w:t>
      </w:r>
      <w:r w:rsidRPr="009070BD">
        <w:rPr>
          <w:b w:val="0"/>
          <w:bCs/>
          <w:iCs/>
          <w:lang w:val="hy-AM"/>
        </w:rPr>
        <w:t xml:space="preserve">, որի նպատակն է </w:t>
      </w:r>
      <w:r w:rsidRPr="009070BD">
        <w:rPr>
          <w:b w:val="0"/>
          <w:bCs/>
          <w:iCs/>
          <w:lang w:val="af-ZA"/>
        </w:rPr>
        <w:t xml:space="preserve">Թալին-Գյումրի 27,5 </w:t>
      </w:r>
      <w:r w:rsidRPr="009070BD">
        <w:rPr>
          <w:b w:val="0"/>
          <w:bCs/>
          <w:iCs/>
          <w:lang w:val="hy-AM"/>
        </w:rPr>
        <w:t>կմ</w:t>
      </w:r>
      <w:r w:rsidRPr="009070BD">
        <w:rPr>
          <w:b w:val="0"/>
          <w:bCs/>
          <w:iCs/>
          <w:lang w:val="af-ZA"/>
        </w:rPr>
        <w:t xml:space="preserve"> հատված</w:t>
      </w:r>
      <w:r w:rsidRPr="009070BD">
        <w:rPr>
          <w:b w:val="0"/>
          <w:bCs/>
          <w:iCs/>
          <w:lang w:val="hy-AM"/>
        </w:rPr>
        <w:t>ի վերակառուցումը</w:t>
      </w:r>
      <w:r w:rsidRPr="009070BD">
        <w:rPr>
          <w:b w:val="0"/>
          <w:bCs/>
          <w:iCs/>
          <w:lang w:val="af-ZA"/>
        </w:rPr>
        <w:t>՝</w:t>
      </w:r>
      <w:r w:rsidRPr="009070BD">
        <w:rPr>
          <w:b w:val="0"/>
          <w:bCs/>
          <w:iCs/>
          <w:lang w:val="it-IT"/>
        </w:rPr>
        <w:t xml:space="preserve"> 202</w:t>
      </w:r>
      <w:r w:rsidRPr="009070BD">
        <w:rPr>
          <w:b w:val="0"/>
          <w:bCs/>
          <w:iCs/>
          <w:lang w:val="hy-AM"/>
        </w:rPr>
        <w:t>1</w:t>
      </w:r>
      <w:r w:rsidRPr="009070BD">
        <w:rPr>
          <w:b w:val="0"/>
          <w:bCs/>
          <w:iCs/>
          <w:lang w:val="it-IT"/>
        </w:rPr>
        <w:t xml:space="preserve">թ.-ին նախատեսվում է </w:t>
      </w:r>
      <w:r w:rsidR="006F7653" w:rsidRPr="006F7653">
        <w:rPr>
          <w:b w:val="0"/>
          <w:bCs/>
          <w:iCs/>
          <w:lang w:val="hy-AM"/>
        </w:rPr>
        <w:t>2,362.9</w:t>
      </w:r>
      <w:r w:rsidRPr="009070BD">
        <w:rPr>
          <w:b w:val="0"/>
          <w:bCs/>
          <w:iCs/>
          <w:lang w:val="it-IT"/>
        </w:rPr>
        <w:t xml:space="preserve"> </w:t>
      </w:r>
      <w:r w:rsidRPr="009070BD">
        <w:rPr>
          <w:b w:val="0"/>
          <w:bCs/>
          <w:iCs/>
          <w:lang w:val="af-ZA"/>
        </w:rPr>
        <w:t xml:space="preserve">մլն դրամ, </w:t>
      </w:r>
      <w:r w:rsidRPr="009070BD">
        <w:rPr>
          <w:b w:val="0"/>
          <w:bCs/>
          <w:iCs/>
          <w:lang w:val="hy-AM"/>
        </w:rPr>
        <w:t xml:space="preserve">այդ թվում վարկային միջոցներ` </w:t>
      </w:r>
      <w:r w:rsidR="006F7653" w:rsidRPr="006F7653">
        <w:rPr>
          <w:b w:val="0"/>
          <w:bCs/>
          <w:iCs/>
          <w:lang w:val="hy-AM"/>
        </w:rPr>
        <w:t>1,890.3</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6F7653" w:rsidRPr="006F7653">
        <w:rPr>
          <w:b w:val="0"/>
          <w:bCs/>
          <w:iCs/>
          <w:lang w:val="hy-AM"/>
        </w:rPr>
        <w:t>472.6</w:t>
      </w:r>
      <w:r w:rsidRPr="009070BD">
        <w:rPr>
          <w:b w:val="0"/>
          <w:bCs/>
          <w:iCs/>
          <w:lang w:val="hy-AM"/>
        </w:rPr>
        <w:t xml:space="preserve"> </w:t>
      </w:r>
      <w:r w:rsidRPr="009070BD">
        <w:rPr>
          <w:b w:val="0"/>
          <w:bCs/>
          <w:iCs/>
          <w:lang w:val="af-ZA"/>
        </w:rPr>
        <w:t>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47. Ասիական</w:t>
      </w:r>
      <w:r w:rsidRPr="009070BD">
        <w:rPr>
          <w:b w:val="0"/>
          <w:bCs/>
          <w:iCs/>
          <w:lang w:val="af-ZA"/>
        </w:rPr>
        <w:t xml:space="preserve"> </w:t>
      </w:r>
      <w:r w:rsidRPr="009070BD">
        <w:rPr>
          <w:b w:val="0"/>
          <w:bCs/>
          <w:iCs/>
          <w:lang w:val="hy-AM"/>
        </w:rPr>
        <w:t>զարգացման</w:t>
      </w:r>
      <w:r w:rsidRPr="009070BD">
        <w:rPr>
          <w:b w:val="0"/>
          <w:bCs/>
          <w:iCs/>
          <w:lang w:val="af-ZA"/>
        </w:rPr>
        <w:t xml:space="preserve"> </w:t>
      </w:r>
      <w:r w:rsidRPr="009070BD">
        <w:rPr>
          <w:b w:val="0"/>
          <w:bCs/>
          <w:iCs/>
          <w:lang w:val="hy-AM"/>
        </w:rPr>
        <w:t>բանկի</w:t>
      </w:r>
      <w:r w:rsidRPr="009070BD">
        <w:rPr>
          <w:b w:val="0"/>
          <w:bCs/>
          <w:iCs/>
          <w:lang w:val="af-ZA"/>
        </w:rPr>
        <w:t xml:space="preserve"> </w:t>
      </w:r>
      <w:r w:rsidRPr="009070BD">
        <w:rPr>
          <w:b w:val="0"/>
          <w:bCs/>
          <w:iCs/>
          <w:lang w:val="hy-AM"/>
        </w:rPr>
        <w:t>աջակցությամբ</w:t>
      </w:r>
      <w:r w:rsidRPr="009070BD">
        <w:rPr>
          <w:b w:val="0"/>
          <w:bCs/>
          <w:iCs/>
          <w:lang w:val="af-ZA"/>
        </w:rPr>
        <w:t xml:space="preserve"> </w:t>
      </w:r>
      <w:r w:rsidRPr="009070BD">
        <w:rPr>
          <w:b w:val="0"/>
          <w:bCs/>
          <w:iCs/>
          <w:lang w:val="hy-AM"/>
        </w:rPr>
        <w:t>իրականացվող</w:t>
      </w:r>
      <w:r w:rsidRPr="009070BD">
        <w:rPr>
          <w:b w:val="0"/>
          <w:bCs/>
          <w:iCs/>
          <w:lang w:val="af-ZA"/>
        </w:rPr>
        <w:t xml:space="preserve"> </w:t>
      </w:r>
      <w:r w:rsidRPr="009070BD">
        <w:rPr>
          <w:b w:val="0"/>
          <w:bCs/>
          <w:iCs/>
          <w:lang w:val="hy-AM"/>
        </w:rPr>
        <w:t>Հյուսիս</w:t>
      </w:r>
      <w:r w:rsidRPr="009070BD">
        <w:rPr>
          <w:b w:val="0"/>
          <w:bCs/>
          <w:iCs/>
          <w:lang w:val="af-ZA"/>
        </w:rPr>
        <w:t>-</w:t>
      </w:r>
      <w:r w:rsidRPr="009070BD">
        <w:rPr>
          <w:b w:val="0"/>
          <w:bCs/>
          <w:iCs/>
          <w:lang w:val="hy-AM"/>
        </w:rPr>
        <w:t>հարավ</w:t>
      </w:r>
      <w:r w:rsidRPr="009070BD">
        <w:rPr>
          <w:b w:val="0"/>
          <w:bCs/>
          <w:iCs/>
          <w:lang w:val="af-ZA"/>
        </w:rPr>
        <w:t xml:space="preserve"> </w:t>
      </w:r>
      <w:r w:rsidRPr="009070BD">
        <w:rPr>
          <w:b w:val="0"/>
          <w:bCs/>
          <w:iCs/>
          <w:lang w:val="hy-AM"/>
        </w:rPr>
        <w:t>տրանսպորտային</w:t>
      </w:r>
      <w:r w:rsidRPr="009070BD">
        <w:rPr>
          <w:b w:val="0"/>
          <w:bCs/>
          <w:iCs/>
          <w:lang w:val="af-ZA"/>
        </w:rPr>
        <w:t xml:space="preserve"> </w:t>
      </w:r>
      <w:r w:rsidRPr="009070BD">
        <w:rPr>
          <w:b w:val="0"/>
          <w:bCs/>
          <w:iCs/>
          <w:lang w:val="hy-AM"/>
        </w:rPr>
        <w:t>միջանցքի</w:t>
      </w:r>
      <w:r w:rsidRPr="009070BD">
        <w:rPr>
          <w:b w:val="0"/>
          <w:bCs/>
          <w:iCs/>
          <w:lang w:val="af-ZA"/>
        </w:rPr>
        <w:t xml:space="preserve"> զարգացման </w:t>
      </w:r>
      <w:r w:rsidRPr="009070BD">
        <w:rPr>
          <w:b w:val="0"/>
          <w:bCs/>
          <w:iCs/>
          <w:lang w:val="hy-AM"/>
        </w:rPr>
        <w:t>ծրագիր</w:t>
      </w:r>
      <w:r w:rsidRPr="009070BD">
        <w:rPr>
          <w:b w:val="0"/>
          <w:bCs/>
          <w:iCs/>
          <w:lang w:val="af-ZA"/>
        </w:rPr>
        <w:t xml:space="preserve"> (Տ</w:t>
      </w:r>
      <w:r w:rsidRPr="009070BD">
        <w:rPr>
          <w:b w:val="0"/>
          <w:bCs/>
          <w:iCs/>
          <w:lang w:val="hy-AM"/>
        </w:rPr>
        <w:t>րանշ</w:t>
      </w:r>
      <w:r w:rsidRPr="009070BD">
        <w:rPr>
          <w:b w:val="0"/>
          <w:bCs/>
          <w:iCs/>
          <w:lang w:val="af-ZA"/>
        </w:rPr>
        <w:t xml:space="preserve"> 3), </w:t>
      </w:r>
      <w:r w:rsidRPr="009070BD">
        <w:rPr>
          <w:b w:val="0"/>
          <w:bCs/>
          <w:iCs/>
          <w:lang w:val="hy-AM"/>
        </w:rPr>
        <w:t>որի</w:t>
      </w:r>
      <w:r w:rsidRPr="009070BD">
        <w:rPr>
          <w:b w:val="0"/>
          <w:bCs/>
          <w:iCs/>
          <w:lang w:val="af-ZA"/>
        </w:rPr>
        <w:t xml:space="preserve"> </w:t>
      </w:r>
      <w:r w:rsidRPr="009070BD">
        <w:rPr>
          <w:b w:val="0"/>
          <w:bCs/>
          <w:iCs/>
          <w:lang w:val="hy-AM"/>
        </w:rPr>
        <w:t>նպատակն</w:t>
      </w:r>
      <w:r w:rsidRPr="009070BD">
        <w:rPr>
          <w:b w:val="0"/>
          <w:bCs/>
          <w:iCs/>
          <w:lang w:val="af-ZA"/>
        </w:rPr>
        <w:t xml:space="preserve"> </w:t>
      </w:r>
      <w:r w:rsidRPr="009070BD">
        <w:rPr>
          <w:b w:val="0"/>
          <w:bCs/>
          <w:iCs/>
          <w:lang w:val="hy-AM"/>
        </w:rPr>
        <w:t>է</w:t>
      </w:r>
      <w:r w:rsidRPr="009070BD">
        <w:rPr>
          <w:b w:val="0"/>
          <w:bCs/>
          <w:iCs/>
          <w:lang w:val="af-ZA"/>
        </w:rPr>
        <w:t xml:space="preserve"> </w:t>
      </w:r>
      <w:r w:rsidRPr="009070BD">
        <w:rPr>
          <w:b w:val="0"/>
          <w:bCs/>
          <w:iCs/>
          <w:lang w:val="hy-AM"/>
        </w:rPr>
        <w:t>Թալին</w:t>
      </w:r>
      <w:r w:rsidRPr="009070BD">
        <w:rPr>
          <w:b w:val="0"/>
          <w:bCs/>
          <w:iCs/>
          <w:lang w:val="fr-FR"/>
        </w:rPr>
        <w:t>-</w:t>
      </w:r>
      <w:r w:rsidRPr="009070BD">
        <w:rPr>
          <w:b w:val="0"/>
          <w:bCs/>
          <w:iCs/>
          <w:lang w:val="hy-AM"/>
        </w:rPr>
        <w:t>Լանջիկ</w:t>
      </w:r>
      <w:r w:rsidRPr="009070BD">
        <w:rPr>
          <w:b w:val="0"/>
          <w:bCs/>
          <w:iCs/>
          <w:lang w:val="fr-FR"/>
        </w:rPr>
        <w:t xml:space="preserve"> 18,7 </w:t>
      </w:r>
      <w:r w:rsidRPr="009070BD">
        <w:rPr>
          <w:b w:val="0"/>
          <w:bCs/>
          <w:iCs/>
          <w:lang w:val="hy-AM"/>
        </w:rPr>
        <w:t>կմ</w:t>
      </w:r>
      <w:r w:rsidRPr="009070BD">
        <w:rPr>
          <w:b w:val="0"/>
          <w:bCs/>
          <w:iCs/>
          <w:lang w:val="af-ZA"/>
        </w:rPr>
        <w:t xml:space="preserve"> հատվածի վերակառուցումը</w:t>
      </w:r>
      <w:r w:rsidRPr="009070BD">
        <w:rPr>
          <w:b w:val="0"/>
          <w:bCs/>
          <w:iCs/>
          <w:lang w:val="hy-AM"/>
        </w:rPr>
        <w:t>՝</w:t>
      </w:r>
      <w:r w:rsidRPr="009070BD">
        <w:rPr>
          <w:b w:val="0"/>
          <w:bCs/>
          <w:iCs/>
          <w:lang w:val="it-IT"/>
        </w:rPr>
        <w:t xml:space="preserve"> 202</w:t>
      </w:r>
      <w:r w:rsidRPr="009070BD">
        <w:rPr>
          <w:b w:val="0"/>
          <w:bCs/>
          <w:iCs/>
          <w:lang w:val="hy-AM"/>
        </w:rPr>
        <w:t>1</w:t>
      </w:r>
      <w:r w:rsidRPr="009070BD">
        <w:rPr>
          <w:b w:val="0"/>
          <w:bCs/>
          <w:iCs/>
          <w:lang w:val="it-IT"/>
        </w:rPr>
        <w:t xml:space="preserve">թ.-ին նախատեսվում է </w:t>
      </w:r>
      <w:r w:rsidR="006F7653" w:rsidRPr="006F7653">
        <w:rPr>
          <w:b w:val="0"/>
          <w:bCs/>
          <w:iCs/>
          <w:lang w:val="hy-AM"/>
        </w:rPr>
        <w:t>3,216.9</w:t>
      </w:r>
      <w:r w:rsidRPr="009070BD">
        <w:rPr>
          <w:b w:val="0"/>
          <w:bCs/>
          <w:iCs/>
          <w:lang w:val="it-IT"/>
        </w:rPr>
        <w:t xml:space="preserve"> </w:t>
      </w:r>
      <w:r w:rsidRPr="009070BD">
        <w:rPr>
          <w:b w:val="0"/>
          <w:bCs/>
          <w:iCs/>
          <w:lang w:val="af-ZA"/>
        </w:rPr>
        <w:t xml:space="preserve">մլն դրամ, </w:t>
      </w:r>
      <w:r w:rsidRPr="009070BD">
        <w:rPr>
          <w:b w:val="0"/>
          <w:bCs/>
          <w:iCs/>
          <w:lang w:val="hy-AM"/>
        </w:rPr>
        <w:t xml:space="preserve">այդ թվում վարկային միջոցներ` </w:t>
      </w:r>
      <w:r w:rsidR="006F7653" w:rsidRPr="006F7653">
        <w:rPr>
          <w:b w:val="0"/>
          <w:bCs/>
          <w:iCs/>
          <w:lang w:val="hy-AM"/>
        </w:rPr>
        <w:t>2,351.8</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6F7653" w:rsidRPr="006F7653">
        <w:rPr>
          <w:b w:val="0"/>
          <w:bCs/>
          <w:iCs/>
          <w:lang w:val="hy-AM"/>
        </w:rPr>
        <w:t>865.1</w:t>
      </w:r>
      <w:r w:rsidRPr="009070BD">
        <w:rPr>
          <w:b w:val="0"/>
          <w:bCs/>
          <w:iCs/>
          <w:lang w:val="hy-AM"/>
        </w:rPr>
        <w:t xml:space="preserve"> </w:t>
      </w:r>
      <w:r w:rsidRPr="009070BD">
        <w:rPr>
          <w:b w:val="0"/>
          <w:bCs/>
          <w:iCs/>
          <w:lang w:val="af-ZA"/>
        </w:rPr>
        <w:t>մլն դրա</w:t>
      </w:r>
      <w:r w:rsidRPr="009070BD">
        <w:rPr>
          <w:b w:val="0"/>
          <w:bCs/>
          <w:iCs/>
          <w:lang w:val="hy-AM"/>
        </w:rPr>
        <w:t>մ:</w:t>
      </w:r>
    </w:p>
    <w:p w:rsidR="001971B9" w:rsidRPr="009070BD" w:rsidRDefault="001971B9" w:rsidP="007730AA">
      <w:pPr>
        <w:spacing w:before="0" w:line="276" w:lineRule="auto"/>
        <w:ind w:firstLine="720"/>
        <w:rPr>
          <w:b w:val="0"/>
          <w:bCs/>
          <w:iCs/>
          <w:lang w:val="hy-AM"/>
        </w:rPr>
      </w:pPr>
      <w:r w:rsidRPr="009070BD">
        <w:rPr>
          <w:b w:val="0"/>
          <w:bCs/>
          <w:iCs/>
          <w:lang w:val="hy-AM"/>
        </w:rPr>
        <w:t>48. Եվրասիական</w:t>
      </w:r>
      <w:r w:rsidRPr="009070BD">
        <w:rPr>
          <w:b w:val="0"/>
          <w:bCs/>
          <w:iCs/>
          <w:lang w:val="af-ZA"/>
        </w:rPr>
        <w:t xml:space="preserve"> </w:t>
      </w:r>
      <w:r w:rsidRPr="009070BD">
        <w:rPr>
          <w:b w:val="0"/>
          <w:bCs/>
          <w:iCs/>
          <w:lang w:val="hy-AM"/>
        </w:rPr>
        <w:t>զարգացման</w:t>
      </w:r>
      <w:r w:rsidRPr="009070BD">
        <w:rPr>
          <w:b w:val="0"/>
          <w:bCs/>
          <w:iCs/>
          <w:lang w:val="af-ZA"/>
        </w:rPr>
        <w:t xml:space="preserve"> </w:t>
      </w:r>
      <w:r w:rsidRPr="009070BD">
        <w:rPr>
          <w:b w:val="0"/>
          <w:bCs/>
          <w:iCs/>
          <w:lang w:val="hy-AM"/>
        </w:rPr>
        <w:t>բանկի</w:t>
      </w:r>
      <w:r w:rsidRPr="009070BD">
        <w:rPr>
          <w:b w:val="0"/>
          <w:bCs/>
          <w:iCs/>
          <w:lang w:val="af-ZA"/>
        </w:rPr>
        <w:t xml:space="preserve"> </w:t>
      </w:r>
      <w:r w:rsidRPr="009070BD">
        <w:rPr>
          <w:b w:val="0"/>
          <w:bCs/>
          <w:iCs/>
          <w:lang w:val="hy-AM"/>
        </w:rPr>
        <w:t>աջակցությամբ</w:t>
      </w:r>
      <w:r w:rsidRPr="009070BD">
        <w:rPr>
          <w:b w:val="0"/>
          <w:bCs/>
          <w:iCs/>
          <w:lang w:val="af-ZA"/>
        </w:rPr>
        <w:t xml:space="preserve"> </w:t>
      </w:r>
      <w:r w:rsidRPr="009070BD">
        <w:rPr>
          <w:b w:val="0"/>
          <w:bCs/>
          <w:iCs/>
          <w:lang w:val="hy-AM"/>
        </w:rPr>
        <w:t>իրականացվող</w:t>
      </w:r>
      <w:r w:rsidRPr="009070BD">
        <w:rPr>
          <w:b w:val="0"/>
          <w:bCs/>
          <w:iCs/>
          <w:lang w:val="af-ZA"/>
        </w:rPr>
        <w:t xml:space="preserve"> </w:t>
      </w:r>
      <w:r w:rsidRPr="009070BD">
        <w:rPr>
          <w:b w:val="0"/>
          <w:bCs/>
          <w:iCs/>
          <w:lang w:val="hy-AM"/>
        </w:rPr>
        <w:t>Հյուսիս</w:t>
      </w:r>
      <w:r w:rsidRPr="009070BD">
        <w:rPr>
          <w:b w:val="0"/>
          <w:bCs/>
          <w:iCs/>
          <w:lang w:val="af-ZA"/>
        </w:rPr>
        <w:t>-</w:t>
      </w:r>
      <w:r w:rsidRPr="009070BD">
        <w:rPr>
          <w:b w:val="0"/>
          <w:bCs/>
          <w:iCs/>
          <w:lang w:val="hy-AM"/>
        </w:rPr>
        <w:t>հարավ</w:t>
      </w:r>
      <w:r w:rsidRPr="009070BD">
        <w:rPr>
          <w:b w:val="0"/>
          <w:bCs/>
          <w:iCs/>
          <w:lang w:val="af-ZA"/>
        </w:rPr>
        <w:t xml:space="preserve"> </w:t>
      </w:r>
      <w:r w:rsidRPr="009070BD">
        <w:rPr>
          <w:b w:val="0"/>
          <w:bCs/>
          <w:iCs/>
          <w:lang w:val="hy-AM"/>
        </w:rPr>
        <w:t>տրանսպորտային</w:t>
      </w:r>
      <w:r w:rsidRPr="009070BD">
        <w:rPr>
          <w:b w:val="0"/>
          <w:bCs/>
          <w:iCs/>
          <w:lang w:val="af-ZA"/>
        </w:rPr>
        <w:t xml:space="preserve"> </w:t>
      </w:r>
      <w:r w:rsidRPr="009070BD">
        <w:rPr>
          <w:b w:val="0"/>
          <w:bCs/>
          <w:iCs/>
          <w:lang w:val="hy-AM"/>
        </w:rPr>
        <w:t>միջանցքի</w:t>
      </w:r>
      <w:r w:rsidRPr="009070BD">
        <w:rPr>
          <w:b w:val="0"/>
          <w:bCs/>
          <w:iCs/>
          <w:lang w:val="af-ZA"/>
        </w:rPr>
        <w:t xml:space="preserve"> </w:t>
      </w:r>
      <w:r w:rsidRPr="009070BD">
        <w:rPr>
          <w:b w:val="0"/>
          <w:bCs/>
          <w:iCs/>
          <w:lang w:val="hy-AM"/>
        </w:rPr>
        <w:t>ծրագիր, որի</w:t>
      </w:r>
      <w:r w:rsidRPr="009070BD">
        <w:rPr>
          <w:b w:val="0"/>
          <w:bCs/>
          <w:iCs/>
          <w:lang w:val="af-ZA"/>
        </w:rPr>
        <w:t xml:space="preserve"> </w:t>
      </w:r>
      <w:r w:rsidRPr="009070BD">
        <w:rPr>
          <w:b w:val="0"/>
          <w:bCs/>
          <w:iCs/>
          <w:lang w:val="hy-AM"/>
        </w:rPr>
        <w:t>նպատակն</w:t>
      </w:r>
      <w:r w:rsidRPr="009070BD">
        <w:rPr>
          <w:b w:val="0"/>
          <w:bCs/>
          <w:iCs/>
          <w:lang w:val="af-ZA"/>
        </w:rPr>
        <w:t xml:space="preserve"> </w:t>
      </w:r>
      <w:r w:rsidRPr="009070BD">
        <w:rPr>
          <w:b w:val="0"/>
          <w:bCs/>
          <w:iCs/>
          <w:lang w:val="hy-AM"/>
        </w:rPr>
        <w:t>է</w:t>
      </w:r>
      <w:r w:rsidRPr="009070BD">
        <w:rPr>
          <w:b w:val="0"/>
          <w:bCs/>
          <w:iCs/>
          <w:lang w:val="af-ZA"/>
        </w:rPr>
        <w:t xml:space="preserve"> </w:t>
      </w:r>
      <w:r w:rsidRPr="009070BD">
        <w:rPr>
          <w:b w:val="0"/>
          <w:bCs/>
          <w:iCs/>
          <w:lang w:val="fr-FR"/>
        </w:rPr>
        <w:t>ուսումնասիրել և վերակառուց</w:t>
      </w:r>
      <w:r w:rsidRPr="009070BD">
        <w:rPr>
          <w:b w:val="0"/>
          <w:bCs/>
          <w:iCs/>
          <w:lang w:val="hy-AM"/>
        </w:rPr>
        <w:t>ել</w:t>
      </w:r>
      <w:r w:rsidRPr="009070BD">
        <w:rPr>
          <w:b w:val="0"/>
          <w:bCs/>
          <w:iCs/>
          <w:lang w:val="af-ZA"/>
        </w:rPr>
        <w:t xml:space="preserve"> </w:t>
      </w:r>
      <w:r w:rsidRPr="009070BD">
        <w:rPr>
          <w:b w:val="0"/>
          <w:bCs/>
          <w:iCs/>
          <w:lang w:val="fr-FR"/>
        </w:rPr>
        <w:t>Քաջարան-Ագարակ շուրջ 45 կմ ճանապարհահատված</w:t>
      </w:r>
      <w:r w:rsidRPr="009070BD">
        <w:rPr>
          <w:b w:val="0"/>
          <w:bCs/>
          <w:iCs/>
          <w:lang w:val="hy-AM"/>
        </w:rPr>
        <w:t>ը՝</w:t>
      </w:r>
      <w:r w:rsidRPr="009070BD">
        <w:rPr>
          <w:b w:val="0"/>
          <w:bCs/>
          <w:iCs/>
          <w:lang w:val="it-IT"/>
        </w:rPr>
        <w:t xml:space="preserve"> 202</w:t>
      </w:r>
      <w:r w:rsidRPr="009070BD">
        <w:rPr>
          <w:b w:val="0"/>
          <w:bCs/>
          <w:iCs/>
          <w:lang w:val="hy-AM"/>
        </w:rPr>
        <w:t>1</w:t>
      </w:r>
      <w:r w:rsidRPr="009070BD">
        <w:rPr>
          <w:b w:val="0"/>
          <w:bCs/>
          <w:iCs/>
          <w:lang w:val="it-IT"/>
        </w:rPr>
        <w:t xml:space="preserve">թ.-ին նախատեսվում է </w:t>
      </w:r>
      <w:r w:rsidR="006F7653" w:rsidRPr="006F7653">
        <w:rPr>
          <w:b w:val="0"/>
          <w:bCs/>
          <w:iCs/>
          <w:lang w:val="hy-AM"/>
        </w:rPr>
        <w:t>2,255.5</w:t>
      </w:r>
      <w:r w:rsidRPr="009070BD">
        <w:rPr>
          <w:b w:val="0"/>
          <w:bCs/>
          <w:iCs/>
          <w:lang w:val="it-IT"/>
        </w:rPr>
        <w:t xml:space="preserve"> </w:t>
      </w:r>
      <w:r w:rsidRPr="009070BD">
        <w:rPr>
          <w:b w:val="0"/>
          <w:bCs/>
          <w:iCs/>
          <w:lang w:val="af-ZA"/>
        </w:rPr>
        <w:t xml:space="preserve">մլն դրամ, </w:t>
      </w:r>
      <w:r w:rsidRPr="009070BD">
        <w:rPr>
          <w:b w:val="0"/>
          <w:bCs/>
          <w:iCs/>
          <w:lang w:val="hy-AM"/>
        </w:rPr>
        <w:t xml:space="preserve">այդ թվում վարկային միջոցներ` </w:t>
      </w:r>
      <w:r w:rsidR="006F7653" w:rsidRPr="006F7653">
        <w:rPr>
          <w:b w:val="0"/>
          <w:bCs/>
          <w:iCs/>
          <w:lang w:val="hy-AM"/>
        </w:rPr>
        <w:t>1,125.7</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6F7653" w:rsidRPr="006F7653">
        <w:rPr>
          <w:b w:val="0"/>
          <w:bCs/>
          <w:iCs/>
          <w:lang w:val="hy-AM"/>
        </w:rPr>
        <w:t>1,129.8</w:t>
      </w:r>
      <w:r w:rsidRPr="009070BD">
        <w:rPr>
          <w:b w:val="0"/>
          <w:bCs/>
          <w:iCs/>
          <w:lang w:val="hy-AM"/>
        </w:rPr>
        <w:t xml:space="preserve"> </w:t>
      </w:r>
      <w:r w:rsidRPr="009070BD">
        <w:rPr>
          <w:b w:val="0"/>
          <w:bCs/>
          <w:iCs/>
          <w:lang w:val="af-ZA"/>
        </w:rPr>
        <w:t>մլն դրա</w:t>
      </w:r>
      <w:r w:rsidRPr="009070BD">
        <w:rPr>
          <w:b w:val="0"/>
          <w:bCs/>
          <w:iCs/>
          <w:lang w:val="hy-AM"/>
        </w:rPr>
        <w:t>մ:</w:t>
      </w:r>
    </w:p>
    <w:p w:rsidR="001971B9" w:rsidRDefault="001971B9" w:rsidP="007730AA">
      <w:pPr>
        <w:spacing w:before="0" w:line="276" w:lineRule="auto"/>
        <w:ind w:firstLine="720"/>
        <w:rPr>
          <w:b w:val="0"/>
          <w:bCs/>
          <w:iCs/>
          <w:lang w:val="hy-AM"/>
        </w:rPr>
      </w:pPr>
      <w:r w:rsidRPr="009070BD">
        <w:rPr>
          <w:b w:val="0"/>
          <w:bCs/>
          <w:iCs/>
          <w:lang w:val="hy-AM"/>
        </w:rPr>
        <w:t>49.</w:t>
      </w:r>
      <w:r w:rsidRPr="009070BD">
        <w:rPr>
          <w:b w:val="0"/>
          <w:bCs/>
          <w:iCs/>
          <w:lang w:val="af-ZA"/>
        </w:rPr>
        <w:t>Եվրոպական ներդրումային բանկի աջակցությամբ իրականացվող Հյուսիս-հարավ տրանսպորտային միջանցքի զարգացման դրամաշնորհային ծրագիր (Տրանշ 3), որը</w:t>
      </w:r>
      <w:r w:rsidRPr="009070BD">
        <w:rPr>
          <w:b w:val="0"/>
          <w:bCs/>
          <w:iCs/>
          <w:lang w:val="hy-AM"/>
        </w:rPr>
        <w:t xml:space="preserve"> փ</w:t>
      </w:r>
      <w:r w:rsidRPr="009070BD">
        <w:rPr>
          <w:b w:val="0"/>
          <w:bCs/>
          <w:iCs/>
          <w:lang w:val="af-ZA"/>
        </w:rPr>
        <w:t>ոխկապակցված է համանուն վարկային ծրագրի հետ, իրականացվում է վարկային ծրագրի ժամկետներում նույն ուղղվածությամբ՝</w:t>
      </w:r>
      <w:r w:rsidRPr="009070BD">
        <w:rPr>
          <w:b w:val="0"/>
          <w:bCs/>
          <w:iCs/>
          <w:lang w:val="it-IT"/>
        </w:rPr>
        <w:t xml:space="preserve"> 202</w:t>
      </w:r>
      <w:r w:rsidRPr="009070BD">
        <w:rPr>
          <w:b w:val="0"/>
          <w:bCs/>
          <w:iCs/>
          <w:lang w:val="hy-AM"/>
        </w:rPr>
        <w:t>1</w:t>
      </w:r>
      <w:r w:rsidRPr="009070BD">
        <w:rPr>
          <w:b w:val="0"/>
          <w:bCs/>
          <w:iCs/>
          <w:lang w:val="it-IT"/>
        </w:rPr>
        <w:t xml:space="preserve">թ.-ին նախատեսվում է </w:t>
      </w:r>
      <w:r w:rsidR="006F7653" w:rsidRPr="006F7653">
        <w:rPr>
          <w:b w:val="0"/>
          <w:bCs/>
          <w:iCs/>
          <w:lang w:val="hy-AM"/>
        </w:rPr>
        <w:t>582.2</w:t>
      </w:r>
      <w:r w:rsidRPr="009070BD">
        <w:rPr>
          <w:b w:val="0"/>
          <w:bCs/>
          <w:iCs/>
          <w:lang w:val="it-IT"/>
        </w:rPr>
        <w:t xml:space="preserve"> </w:t>
      </w:r>
      <w:r w:rsidRPr="009070BD">
        <w:rPr>
          <w:b w:val="0"/>
          <w:bCs/>
          <w:iCs/>
          <w:lang w:val="af-ZA"/>
        </w:rPr>
        <w:t xml:space="preserve">մլն դրամ, </w:t>
      </w:r>
      <w:r w:rsidRPr="009070BD">
        <w:rPr>
          <w:b w:val="0"/>
          <w:bCs/>
          <w:iCs/>
          <w:lang w:val="hy-AM"/>
        </w:rPr>
        <w:t xml:space="preserve">այդ թվում դրամաշնորհային միջոցներ` </w:t>
      </w:r>
      <w:r w:rsidR="006F7653" w:rsidRPr="006F7653">
        <w:rPr>
          <w:b w:val="0"/>
          <w:bCs/>
          <w:iCs/>
          <w:lang w:val="hy-AM"/>
        </w:rPr>
        <w:t>449.9</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6F7653" w:rsidRPr="006F7653">
        <w:rPr>
          <w:b w:val="0"/>
          <w:bCs/>
          <w:iCs/>
          <w:lang w:val="hy-AM"/>
        </w:rPr>
        <w:t>132.3</w:t>
      </w:r>
      <w:r w:rsidRPr="009070BD">
        <w:rPr>
          <w:b w:val="0"/>
          <w:bCs/>
          <w:iCs/>
          <w:lang w:val="hy-AM"/>
        </w:rPr>
        <w:t xml:space="preserve"> </w:t>
      </w:r>
      <w:r w:rsidRPr="009070BD">
        <w:rPr>
          <w:b w:val="0"/>
          <w:bCs/>
          <w:iCs/>
          <w:lang w:val="af-ZA"/>
        </w:rPr>
        <w:t>մլն դրա</w:t>
      </w:r>
      <w:r w:rsidRPr="009070BD">
        <w:rPr>
          <w:b w:val="0"/>
          <w:bCs/>
          <w:iCs/>
          <w:lang w:val="hy-AM"/>
        </w:rPr>
        <w:t>մ:</w:t>
      </w:r>
    </w:p>
    <w:p w:rsidR="00353F48" w:rsidRPr="00353F48" w:rsidRDefault="00353F48" w:rsidP="007730AA">
      <w:pPr>
        <w:spacing w:before="0" w:line="276" w:lineRule="auto"/>
        <w:ind w:firstLine="720"/>
        <w:rPr>
          <w:b w:val="0"/>
          <w:color w:val="000000"/>
          <w:szCs w:val="22"/>
          <w:lang w:val="hy-AM" w:eastAsia="en-US"/>
        </w:rPr>
      </w:pPr>
      <w:r w:rsidRPr="00353F48">
        <w:rPr>
          <w:b w:val="0"/>
          <w:bCs/>
          <w:iCs/>
          <w:lang w:val="hy-AM"/>
        </w:rPr>
        <w:t>50.</w:t>
      </w:r>
      <w:r w:rsidRPr="00353F48">
        <w:rPr>
          <w:b w:val="0"/>
          <w:sz w:val="24"/>
          <w:lang w:val="hy-AM"/>
        </w:rPr>
        <w:t xml:space="preserve"> </w:t>
      </w:r>
      <w:r w:rsidRPr="00353F48">
        <w:rPr>
          <w:b w:val="0"/>
          <w:szCs w:val="22"/>
          <w:lang w:val="hy-AM"/>
        </w:rPr>
        <w:t xml:space="preserve">Եվրոպական ներդրումային բանկի աջակցությամբ իրականացվող Մ6 Վանաձոր-Ալավերդի-Վրաստանի սահման միջպետական նշանակության ճանապարհի անվտանգության բարելավման դրամաշնորհային </w:t>
      </w:r>
      <w:r>
        <w:rPr>
          <w:b w:val="0"/>
          <w:szCs w:val="22"/>
          <w:lang w:val="hy-AM"/>
        </w:rPr>
        <w:t>ծրագ</w:t>
      </w:r>
      <w:r w:rsidRPr="00353F48">
        <w:rPr>
          <w:b w:val="0"/>
          <w:szCs w:val="22"/>
          <w:lang w:val="hy-AM"/>
        </w:rPr>
        <w:t xml:space="preserve">իր, որի նպատակն է նվազեցնել ճանապարհային տրանսպորտի հետ կապված պատահարների, վնասվածքների և մահվան ելքով դեպքերի ցուցանիշները, ինչպես նաև իրականացնել Մ6, Մ5, Մ4 և Մ2 ճանապարհների ֆիզիկական բարելավման աշխատանքները։ </w:t>
      </w:r>
      <w:r w:rsidRPr="00353F48">
        <w:rPr>
          <w:b w:val="0"/>
          <w:color w:val="000000"/>
          <w:szCs w:val="22"/>
          <w:lang w:val="hy-AM" w:eastAsia="en-US"/>
        </w:rPr>
        <w:t>2021թ.-ին նախատեսվում է 850,0 մլն դրամ, այդ թվում դրամաշնորհային  միջոցներ` 700,0 մլն դրամ, ՀՀ համաֆինանսավորում` 150,0 մլն դրամ:</w:t>
      </w:r>
    </w:p>
    <w:p w:rsidR="001971B9" w:rsidRPr="009070BD" w:rsidRDefault="00353F48" w:rsidP="007730AA">
      <w:pPr>
        <w:spacing w:before="0" w:line="276" w:lineRule="auto"/>
        <w:ind w:firstLine="720"/>
        <w:rPr>
          <w:b w:val="0"/>
          <w:bCs/>
          <w:iCs/>
          <w:lang w:val="af-ZA"/>
        </w:rPr>
      </w:pPr>
      <w:r>
        <w:rPr>
          <w:b w:val="0"/>
          <w:bCs/>
          <w:iCs/>
          <w:lang w:val="hy-AM"/>
        </w:rPr>
        <w:t>51</w:t>
      </w:r>
      <w:r w:rsidR="001971B9" w:rsidRPr="009070BD">
        <w:rPr>
          <w:b w:val="0"/>
          <w:bCs/>
          <w:iCs/>
          <w:lang w:val="hy-AM"/>
        </w:rPr>
        <w:t>.</w:t>
      </w:r>
      <w:r w:rsidR="001971B9" w:rsidRPr="009070BD">
        <w:rPr>
          <w:b w:val="0"/>
          <w:bCs/>
          <w:iCs/>
          <w:lang w:val="af-ZA"/>
        </w:rPr>
        <w:t xml:space="preserve"> ԱՄՆ Միջազգային զարգացման գործակալության աջակցությամբ իրականացվող Տեղական ինքնակառավարման բարեփոխումների դրամաշնորհային ծրագի</w:t>
      </w:r>
      <w:r w:rsidR="001971B9" w:rsidRPr="009070BD">
        <w:rPr>
          <w:b w:val="0"/>
          <w:bCs/>
          <w:iCs/>
          <w:lang w:val="hy-AM"/>
        </w:rPr>
        <w:t>ր</w:t>
      </w:r>
      <w:r w:rsidR="001971B9" w:rsidRPr="009070BD">
        <w:rPr>
          <w:b w:val="0"/>
          <w:bCs/>
          <w:iCs/>
          <w:lang w:val="af-ZA"/>
        </w:rPr>
        <w:t xml:space="preserve">, </w:t>
      </w:r>
      <w:r w:rsidR="001971B9" w:rsidRPr="009070BD">
        <w:rPr>
          <w:b w:val="0"/>
          <w:bCs/>
          <w:iCs/>
          <w:lang w:val="hy-AM"/>
        </w:rPr>
        <w:t>որի</w:t>
      </w:r>
      <w:r w:rsidR="001971B9" w:rsidRPr="009070BD">
        <w:rPr>
          <w:b w:val="0"/>
          <w:bCs/>
          <w:iCs/>
          <w:lang w:val="af-ZA"/>
        </w:rPr>
        <w:t xml:space="preserve"> նպատակն է Հայաստանի Հանրապետությանն օժանդակել հասնելու ավելի մասնակցային, արդյունավետ և հաշվետվողական կառավարման` Հայաստանում վարչատարածքային բարեփոխման միջոցով: Ծրագրի շրջանակներում ԱՄՆ ՄԶԳ-ն ներդրումային միջոցներ կտրամադրի ՀՀ կառավարության կողմից իրականացվող վարչատարածքային բարեփոխումների պիլոտային փուլում 14 խոշորացվող փնջերում զարգացման ծրագրերի ֆինանսավորման համար</w:t>
      </w:r>
      <w:r w:rsidR="001971B9" w:rsidRPr="009070BD">
        <w:rPr>
          <w:b w:val="0"/>
          <w:bCs/>
          <w:iCs/>
          <w:lang w:val="hy-AM"/>
        </w:rPr>
        <w:t>՝</w:t>
      </w:r>
      <w:r w:rsidR="001971B9" w:rsidRPr="009070BD">
        <w:rPr>
          <w:b w:val="0"/>
          <w:bCs/>
          <w:iCs/>
          <w:lang w:val="af-ZA"/>
        </w:rPr>
        <w:t xml:space="preserve"> </w:t>
      </w:r>
      <w:r w:rsidR="001971B9" w:rsidRPr="009070BD">
        <w:rPr>
          <w:b w:val="0"/>
          <w:bCs/>
          <w:iCs/>
          <w:lang w:val="it-IT"/>
        </w:rPr>
        <w:t>202</w:t>
      </w:r>
      <w:r w:rsidR="001971B9" w:rsidRPr="009070BD">
        <w:rPr>
          <w:b w:val="0"/>
          <w:bCs/>
          <w:iCs/>
          <w:lang w:val="hy-AM"/>
        </w:rPr>
        <w:t>1</w:t>
      </w:r>
      <w:r w:rsidR="001971B9" w:rsidRPr="009070BD">
        <w:rPr>
          <w:b w:val="0"/>
          <w:bCs/>
          <w:iCs/>
          <w:lang w:val="it-IT"/>
        </w:rPr>
        <w:t xml:space="preserve">թ.-ին նախատեսվում է </w:t>
      </w:r>
      <w:r w:rsidR="00C34A99" w:rsidRPr="00C34A99">
        <w:rPr>
          <w:b w:val="0"/>
          <w:bCs/>
          <w:iCs/>
          <w:lang w:val="hy-AM"/>
        </w:rPr>
        <w:t>503.7</w:t>
      </w:r>
      <w:r w:rsidR="001971B9" w:rsidRPr="009070BD">
        <w:rPr>
          <w:b w:val="0"/>
          <w:bCs/>
          <w:iCs/>
          <w:lang w:val="it-IT"/>
        </w:rPr>
        <w:t xml:space="preserve"> </w:t>
      </w:r>
      <w:r w:rsidR="001971B9" w:rsidRPr="009070BD">
        <w:rPr>
          <w:b w:val="0"/>
          <w:bCs/>
          <w:iCs/>
          <w:lang w:val="af-ZA"/>
        </w:rPr>
        <w:t>մլն դրամաշնորհային</w:t>
      </w:r>
      <w:r w:rsidR="001971B9" w:rsidRPr="009070BD">
        <w:rPr>
          <w:b w:val="0"/>
          <w:bCs/>
          <w:iCs/>
          <w:lang w:val="hy-AM"/>
        </w:rPr>
        <w:t xml:space="preserve"> միջոցներ</w:t>
      </w:r>
      <w:r w:rsidR="001971B9" w:rsidRPr="009070BD">
        <w:rPr>
          <w:b w:val="0"/>
          <w:bCs/>
          <w:iCs/>
          <w:lang w:val="af-ZA"/>
        </w:rPr>
        <w:t>:</w:t>
      </w:r>
    </w:p>
    <w:p w:rsidR="001971B9" w:rsidRPr="009070BD" w:rsidRDefault="001971B9" w:rsidP="007730AA">
      <w:pPr>
        <w:spacing w:before="0" w:line="276" w:lineRule="auto"/>
        <w:ind w:firstLine="720"/>
        <w:rPr>
          <w:b w:val="0"/>
          <w:bCs/>
          <w:iCs/>
          <w:lang w:val="hy-AM"/>
        </w:rPr>
      </w:pPr>
      <w:r w:rsidRPr="009070BD">
        <w:rPr>
          <w:b w:val="0"/>
          <w:bCs/>
          <w:iCs/>
          <w:lang w:val="hy-AM"/>
        </w:rPr>
        <w:t>5</w:t>
      </w:r>
      <w:r w:rsidR="00353F48" w:rsidRPr="00353F48">
        <w:rPr>
          <w:b w:val="0"/>
          <w:bCs/>
          <w:iCs/>
          <w:lang w:val="af-ZA"/>
        </w:rPr>
        <w:t>2</w:t>
      </w:r>
      <w:r w:rsidRPr="009070BD">
        <w:rPr>
          <w:b w:val="0"/>
          <w:bCs/>
          <w:iCs/>
          <w:lang w:val="hy-AM"/>
        </w:rPr>
        <w:t>. Համաշխարհային</w:t>
      </w:r>
      <w:r w:rsidRPr="009070BD">
        <w:rPr>
          <w:b w:val="0"/>
          <w:bCs/>
          <w:iCs/>
          <w:lang w:val="af-ZA"/>
        </w:rPr>
        <w:t xml:space="preserve"> </w:t>
      </w:r>
      <w:r w:rsidRPr="009070BD">
        <w:rPr>
          <w:b w:val="0"/>
          <w:bCs/>
          <w:iCs/>
          <w:lang w:val="hy-AM"/>
        </w:rPr>
        <w:t>բանկի</w:t>
      </w:r>
      <w:r w:rsidRPr="009070BD">
        <w:rPr>
          <w:b w:val="0"/>
          <w:bCs/>
          <w:iCs/>
          <w:lang w:val="af-ZA"/>
        </w:rPr>
        <w:t xml:space="preserve"> </w:t>
      </w:r>
      <w:r w:rsidRPr="009070BD">
        <w:rPr>
          <w:b w:val="0"/>
          <w:bCs/>
          <w:iCs/>
          <w:lang w:val="hy-AM"/>
        </w:rPr>
        <w:t>աջակցությամբ</w:t>
      </w:r>
      <w:r w:rsidRPr="009070BD">
        <w:rPr>
          <w:b w:val="0"/>
          <w:bCs/>
          <w:iCs/>
          <w:lang w:val="af-ZA"/>
        </w:rPr>
        <w:t xml:space="preserve"> </w:t>
      </w:r>
      <w:r w:rsidRPr="009070BD">
        <w:rPr>
          <w:b w:val="0"/>
          <w:bCs/>
          <w:iCs/>
          <w:lang w:val="hy-AM"/>
        </w:rPr>
        <w:t>իրականացվող</w:t>
      </w:r>
      <w:r w:rsidRPr="009070BD">
        <w:rPr>
          <w:b w:val="0"/>
          <w:bCs/>
          <w:iCs/>
          <w:lang w:val="af-ZA"/>
        </w:rPr>
        <w:t xml:space="preserve"> </w:t>
      </w:r>
      <w:r w:rsidRPr="009070BD">
        <w:rPr>
          <w:b w:val="0"/>
          <w:bCs/>
          <w:iCs/>
          <w:lang w:val="hy-AM"/>
        </w:rPr>
        <w:t>Տարածքային</w:t>
      </w:r>
      <w:r w:rsidRPr="009070BD">
        <w:rPr>
          <w:b w:val="0"/>
          <w:bCs/>
          <w:iCs/>
          <w:lang w:val="af-ZA"/>
        </w:rPr>
        <w:t xml:space="preserve"> </w:t>
      </w:r>
      <w:r w:rsidRPr="009070BD">
        <w:rPr>
          <w:b w:val="0"/>
          <w:bCs/>
          <w:iCs/>
          <w:lang w:val="hy-AM"/>
        </w:rPr>
        <w:t>զարգացման</w:t>
      </w:r>
      <w:r w:rsidRPr="009070BD">
        <w:rPr>
          <w:b w:val="0"/>
          <w:bCs/>
          <w:iCs/>
          <w:lang w:val="af-ZA"/>
        </w:rPr>
        <w:t xml:space="preserve"> </w:t>
      </w:r>
      <w:r w:rsidRPr="009070BD">
        <w:rPr>
          <w:b w:val="0"/>
          <w:bCs/>
          <w:iCs/>
          <w:lang w:val="hy-AM"/>
        </w:rPr>
        <w:t>հիմնադրամի</w:t>
      </w:r>
      <w:r w:rsidRPr="009070BD">
        <w:rPr>
          <w:b w:val="0"/>
          <w:bCs/>
          <w:iCs/>
          <w:lang w:val="af-ZA"/>
        </w:rPr>
        <w:t xml:space="preserve"> </w:t>
      </w:r>
      <w:r w:rsidRPr="009070BD">
        <w:rPr>
          <w:b w:val="0"/>
          <w:bCs/>
          <w:iCs/>
          <w:lang w:val="hy-AM"/>
        </w:rPr>
        <w:t>ծրագիր</w:t>
      </w:r>
      <w:r w:rsidRPr="009070BD">
        <w:rPr>
          <w:b w:val="0"/>
          <w:bCs/>
          <w:iCs/>
          <w:lang w:val="af-ZA"/>
        </w:rPr>
        <w:t xml:space="preserve">, </w:t>
      </w:r>
      <w:r w:rsidRPr="009070BD">
        <w:rPr>
          <w:b w:val="0"/>
          <w:bCs/>
          <w:iCs/>
          <w:lang w:val="hy-AM"/>
        </w:rPr>
        <w:t>որի</w:t>
      </w:r>
      <w:r w:rsidRPr="009070BD">
        <w:rPr>
          <w:b w:val="0"/>
          <w:bCs/>
          <w:iCs/>
          <w:lang w:val="af-ZA"/>
        </w:rPr>
        <w:t xml:space="preserve"> ն</w:t>
      </w:r>
      <w:r w:rsidRPr="009070BD">
        <w:rPr>
          <w:b w:val="0"/>
          <w:bCs/>
          <w:iCs/>
          <w:lang w:val="hy-AM"/>
        </w:rPr>
        <w:t>պատակն</w:t>
      </w:r>
      <w:r w:rsidRPr="009070BD">
        <w:rPr>
          <w:b w:val="0"/>
          <w:bCs/>
          <w:iCs/>
          <w:lang w:val="af-ZA"/>
        </w:rPr>
        <w:t xml:space="preserve"> է՝ նպաստել տարածքներում բնակչության նյութական ու ոչ նյութական բարեկեցության աճին՝ սոցիալական ու տնտեսական ենթակառուցվածքների ու հանրային ծառայությունների որակի ու հասանելիության բարձրացման միջոցով և օժանդակել տարածքների ինստիտուցիոնալ և ֆինանսական կարողությունների հզորացմանը: Ծրագրի շրջանակներում նախատեսվում է իրականացնել մոտ 120 համայնքային մակարդակի ենթածրագիր` սոցիալական ենթակառուցվածքների վերականգնման և նոր օբյեկտների կառուցման ոլորտում: Ինչպես և ՀՍՆՀ նախորդ ծրագրերում, նախատեսվում է համայնքային կենտրոններին, դպրոցներին և մանկապարտեզներին գույքի տրամադրում՝ </w:t>
      </w:r>
      <w:r w:rsidRPr="009070BD">
        <w:rPr>
          <w:b w:val="0"/>
          <w:bCs/>
          <w:iCs/>
          <w:lang w:val="it-IT"/>
        </w:rPr>
        <w:t>202</w:t>
      </w:r>
      <w:r w:rsidRPr="009070BD">
        <w:rPr>
          <w:b w:val="0"/>
          <w:bCs/>
          <w:iCs/>
          <w:lang w:val="hy-AM"/>
        </w:rPr>
        <w:t>1</w:t>
      </w:r>
      <w:r w:rsidRPr="009070BD">
        <w:rPr>
          <w:b w:val="0"/>
          <w:bCs/>
          <w:iCs/>
          <w:lang w:val="it-IT"/>
        </w:rPr>
        <w:t xml:space="preserve">թ.-ին նախատեսվում է </w:t>
      </w:r>
      <w:r w:rsidR="00C34A99" w:rsidRPr="00C34A99">
        <w:rPr>
          <w:b w:val="0"/>
          <w:bCs/>
          <w:iCs/>
          <w:lang w:val="af-ZA"/>
        </w:rPr>
        <w:t>1,322.</w:t>
      </w:r>
      <w:r w:rsidR="00C34A99">
        <w:rPr>
          <w:b w:val="0"/>
          <w:bCs/>
          <w:iCs/>
          <w:lang w:val="af-ZA"/>
        </w:rPr>
        <w:t>1</w:t>
      </w:r>
      <w:r w:rsidRPr="009070BD">
        <w:rPr>
          <w:b w:val="0"/>
          <w:bCs/>
          <w:iCs/>
          <w:lang w:val="it-IT"/>
        </w:rPr>
        <w:t xml:space="preserve"> </w:t>
      </w:r>
      <w:r w:rsidRPr="009070BD">
        <w:rPr>
          <w:b w:val="0"/>
          <w:bCs/>
          <w:iCs/>
          <w:lang w:val="af-ZA"/>
        </w:rPr>
        <w:t xml:space="preserve">մլն դրամ, </w:t>
      </w:r>
      <w:r w:rsidRPr="009070BD">
        <w:rPr>
          <w:b w:val="0"/>
          <w:bCs/>
          <w:iCs/>
          <w:lang w:val="hy-AM"/>
        </w:rPr>
        <w:t xml:space="preserve">այդ թվում վարկային միջոցներ` </w:t>
      </w:r>
      <w:r w:rsidR="00C34A99" w:rsidRPr="00C34A99">
        <w:rPr>
          <w:b w:val="0"/>
          <w:bCs/>
          <w:iCs/>
          <w:lang w:val="af-ZA"/>
        </w:rPr>
        <w:t>851.</w:t>
      </w:r>
      <w:r w:rsidR="00C34A99">
        <w:rPr>
          <w:b w:val="0"/>
          <w:bCs/>
          <w:iCs/>
          <w:lang w:val="af-ZA"/>
        </w:rPr>
        <w:t>9</w:t>
      </w:r>
      <w:r w:rsidRPr="009070BD">
        <w:rPr>
          <w:b w:val="0"/>
          <w:bCs/>
          <w:iCs/>
          <w:lang w:val="hy-AM"/>
        </w:rPr>
        <w:t xml:space="preserve"> </w:t>
      </w:r>
      <w:r w:rsidRPr="009070BD">
        <w:rPr>
          <w:b w:val="0"/>
          <w:bCs/>
          <w:iCs/>
          <w:lang w:val="af-ZA"/>
        </w:rPr>
        <w:t>մլն դրամ</w:t>
      </w:r>
      <w:r w:rsidRPr="009070BD">
        <w:rPr>
          <w:b w:val="0"/>
          <w:bCs/>
          <w:iCs/>
          <w:lang w:val="hy-AM"/>
        </w:rPr>
        <w:t xml:space="preserve">, ՀՀ համաֆինանսավորում` </w:t>
      </w:r>
      <w:r w:rsidR="00C34A99" w:rsidRPr="00C34A99">
        <w:rPr>
          <w:b w:val="0"/>
          <w:bCs/>
          <w:iCs/>
          <w:lang w:val="af-ZA"/>
        </w:rPr>
        <w:t>470.</w:t>
      </w:r>
      <w:r w:rsidR="00C34A99">
        <w:rPr>
          <w:b w:val="0"/>
          <w:bCs/>
          <w:iCs/>
          <w:lang w:val="af-ZA"/>
        </w:rPr>
        <w:t>2</w:t>
      </w:r>
      <w:r w:rsidRPr="009070BD">
        <w:rPr>
          <w:b w:val="0"/>
          <w:bCs/>
          <w:iCs/>
          <w:lang w:val="it-IT"/>
        </w:rPr>
        <w:t xml:space="preserve"> </w:t>
      </w:r>
      <w:r w:rsidRPr="009070BD">
        <w:rPr>
          <w:b w:val="0"/>
          <w:bCs/>
          <w:iCs/>
          <w:lang w:val="af-ZA"/>
        </w:rPr>
        <w:t>մլն դրա</w:t>
      </w:r>
      <w:r w:rsidRPr="009070BD">
        <w:rPr>
          <w:b w:val="0"/>
          <w:bCs/>
          <w:iCs/>
          <w:lang w:val="hy-AM"/>
        </w:rPr>
        <w:t>մ:</w:t>
      </w:r>
    </w:p>
    <w:p w:rsidR="001971B9" w:rsidRPr="00F744E0" w:rsidRDefault="001971B9" w:rsidP="007730AA">
      <w:pPr>
        <w:spacing w:before="0" w:line="276" w:lineRule="auto"/>
        <w:ind w:firstLine="720"/>
        <w:rPr>
          <w:b w:val="0"/>
          <w:bCs/>
          <w:iCs/>
          <w:lang w:val="pt-BR"/>
        </w:rPr>
      </w:pPr>
      <w:r w:rsidRPr="00F744E0">
        <w:rPr>
          <w:b w:val="0"/>
          <w:bCs/>
          <w:iCs/>
          <w:lang w:val="hy-AM"/>
        </w:rPr>
        <w:t>Այս</w:t>
      </w:r>
      <w:r w:rsidRPr="00F744E0">
        <w:rPr>
          <w:b w:val="0"/>
          <w:bCs/>
          <w:iCs/>
          <w:lang w:val="pt-BR"/>
        </w:rPr>
        <w:t xml:space="preserve"> </w:t>
      </w:r>
      <w:r w:rsidRPr="00F744E0">
        <w:rPr>
          <w:b w:val="0"/>
          <w:bCs/>
          <w:iCs/>
          <w:lang w:val="hy-AM"/>
        </w:rPr>
        <w:t xml:space="preserve">ոլորտում </w:t>
      </w:r>
      <w:r w:rsidRPr="00DF032F">
        <w:rPr>
          <w:b w:val="0"/>
          <w:bCs/>
          <w:iCs/>
          <w:lang w:val="hy-AM"/>
        </w:rPr>
        <w:t>Նախագծով (առանց կառավարման ապարատի</w:t>
      </w:r>
      <w:r w:rsidR="00353F48" w:rsidRPr="00DF032F">
        <w:rPr>
          <w:b w:val="0"/>
          <w:bCs/>
          <w:iCs/>
          <w:lang w:val="hy-AM"/>
        </w:rPr>
        <w:t xml:space="preserve"> և ՀԱԷԿ-ին տրվող բյուջետային վարկի</w:t>
      </w:r>
      <w:r w:rsidRPr="00DF032F">
        <w:rPr>
          <w:b w:val="0"/>
          <w:bCs/>
          <w:iCs/>
          <w:lang w:val="hy-AM"/>
        </w:rPr>
        <w:t>)¸ նախատեսվող բյուջետային</w:t>
      </w:r>
      <w:r w:rsidRPr="00DF032F">
        <w:rPr>
          <w:b w:val="0"/>
          <w:bCs/>
          <w:iCs/>
          <w:lang w:val="pt-BR"/>
        </w:rPr>
        <w:t xml:space="preserve"> </w:t>
      </w:r>
      <w:r w:rsidRPr="00DF032F">
        <w:rPr>
          <w:b w:val="0"/>
          <w:bCs/>
          <w:iCs/>
          <w:lang w:val="hy-AM"/>
        </w:rPr>
        <w:t>ծախսերի</w:t>
      </w:r>
      <w:r w:rsidRPr="00DF032F">
        <w:rPr>
          <w:b w:val="0"/>
          <w:bCs/>
          <w:iCs/>
          <w:lang w:val="pt-BR"/>
        </w:rPr>
        <w:t xml:space="preserve"> </w:t>
      </w:r>
      <w:r w:rsidRPr="00DF032F">
        <w:rPr>
          <w:b w:val="0"/>
          <w:bCs/>
          <w:iCs/>
          <w:lang w:val="hy-AM"/>
        </w:rPr>
        <w:t>համեմատությունը</w:t>
      </w:r>
      <w:r w:rsidRPr="00DF032F">
        <w:rPr>
          <w:b w:val="0"/>
          <w:bCs/>
          <w:iCs/>
          <w:lang w:val="pt-BR"/>
        </w:rPr>
        <w:t xml:space="preserve"> </w:t>
      </w:r>
      <w:r w:rsidRPr="00DF032F">
        <w:rPr>
          <w:b w:val="0"/>
          <w:bCs/>
          <w:iCs/>
          <w:lang w:val="hy-AM"/>
        </w:rPr>
        <w:t xml:space="preserve">ՀՀ </w:t>
      </w:r>
      <w:r w:rsidRPr="00DF032F">
        <w:rPr>
          <w:b w:val="0"/>
          <w:bCs/>
          <w:iCs/>
          <w:lang w:val="pt-BR"/>
        </w:rPr>
        <w:t xml:space="preserve">2019 </w:t>
      </w:r>
      <w:r w:rsidRPr="00DF032F">
        <w:rPr>
          <w:b w:val="0"/>
          <w:bCs/>
          <w:iCs/>
          <w:lang w:val="hy-AM"/>
        </w:rPr>
        <w:t>թվականի</w:t>
      </w:r>
      <w:r w:rsidRPr="00DF032F">
        <w:rPr>
          <w:b w:val="0"/>
          <w:bCs/>
          <w:iCs/>
          <w:lang w:val="pt-BR"/>
        </w:rPr>
        <w:t xml:space="preserve"> </w:t>
      </w:r>
      <w:r w:rsidRPr="00DF032F">
        <w:rPr>
          <w:b w:val="0"/>
          <w:bCs/>
          <w:iCs/>
          <w:lang w:val="hy-AM"/>
        </w:rPr>
        <w:t>բյուջետային</w:t>
      </w:r>
      <w:r w:rsidRPr="00DF032F">
        <w:rPr>
          <w:b w:val="0"/>
          <w:bCs/>
          <w:iCs/>
          <w:lang w:val="pt-BR"/>
        </w:rPr>
        <w:t xml:space="preserve"> </w:t>
      </w:r>
      <w:r w:rsidRPr="00DF032F">
        <w:rPr>
          <w:b w:val="0"/>
          <w:bCs/>
          <w:iCs/>
          <w:lang w:val="hy-AM"/>
        </w:rPr>
        <w:t>տարվա</w:t>
      </w:r>
      <w:r w:rsidRPr="00DF032F">
        <w:rPr>
          <w:b w:val="0"/>
          <w:bCs/>
          <w:iCs/>
          <w:lang w:val="pt-BR"/>
        </w:rPr>
        <w:t xml:space="preserve"> </w:t>
      </w:r>
      <w:r w:rsidRPr="00DF032F">
        <w:rPr>
          <w:b w:val="0"/>
          <w:bCs/>
          <w:iCs/>
          <w:lang w:val="hy-AM"/>
        </w:rPr>
        <w:t>փաստացի</w:t>
      </w:r>
      <w:r w:rsidRPr="00F744E0">
        <w:rPr>
          <w:b w:val="0"/>
          <w:bCs/>
          <w:iCs/>
          <w:lang w:val="pt-BR"/>
        </w:rPr>
        <w:t xml:space="preserve"> </w:t>
      </w:r>
      <w:r w:rsidRPr="00F744E0">
        <w:rPr>
          <w:b w:val="0"/>
          <w:bCs/>
          <w:iCs/>
          <w:lang w:val="hy-AM"/>
        </w:rPr>
        <w:t>և</w:t>
      </w:r>
      <w:r w:rsidRPr="00F744E0">
        <w:rPr>
          <w:b w:val="0"/>
          <w:bCs/>
          <w:iCs/>
          <w:lang w:val="pt-BR"/>
        </w:rPr>
        <w:t xml:space="preserve"> </w:t>
      </w:r>
      <w:r w:rsidRPr="00F744E0">
        <w:rPr>
          <w:b w:val="0"/>
          <w:bCs/>
          <w:iCs/>
          <w:lang w:val="hy-AM"/>
        </w:rPr>
        <w:t xml:space="preserve">ՀՀ </w:t>
      </w:r>
      <w:r w:rsidRPr="00F744E0">
        <w:rPr>
          <w:b w:val="0"/>
          <w:bCs/>
          <w:iCs/>
          <w:lang w:val="pt-BR"/>
        </w:rPr>
        <w:t>2020</w:t>
      </w:r>
      <w:r w:rsidRPr="00F744E0">
        <w:rPr>
          <w:b w:val="0"/>
          <w:bCs/>
          <w:iCs/>
          <w:lang w:val="hy-AM"/>
        </w:rPr>
        <w:t xml:space="preserve"> թվականի</w:t>
      </w:r>
      <w:r w:rsidRPr="00F744E0">
        <w:rPr>
          <w:b w:val="0"/>
          <w:bCs/>
          <w:iCs/>
          <w:lang w:val="pt-BR"/>
        </w:rPr>
        <w:t xml:space="preserve"> </w:t>
      </w:r>
      <w:r w:rsidRPr="00F744E0">
        <w:rPr>
          <w:b w:val="0"/>
          <w:bCs/>
          <w:iCs/>
          <w:lang w:val="hy-AM"/>
        </w:rPr>
        <w:t>հաստատված</w:t>
      </w:r>
      <w:r w:rsidRPr="00F744E0">
        <w:rPr>
          <w:b w:val="0"/>
          <w:bCs/>
          <w:iCs/>
          <w:lang w:val="pt-BR"/>
        </w:rPr>
        <w:t xml:space="preserve"> </w:t>
      </w:r>
      <w:r w:rsidRPr="00F744E0">
        <w:rPr>
          <w:b w:val="0"/>
          <w:bCs/>
          <w:iCs/>
          <w:lang w:val="hy-AM"/>
        </w:rPr>
        <w:t>պետական</w:t>
      </w:r>
      <w:r w:rsidRPr="00F744E0">
        <w:rPr>
          <w:b w:val="0"/>
          <w:bCs/>
          <w:iCs/>
          <w:lang w:val="pt-BR"/>
        </w:rPr>
        <w:t xml:space="preserve"> </w:t>
      </w:r>
      <w:r w:rsidRPr="00F744E0">
        <w:rPr>
          <w:b w:val="0"/>
          <w:bCs/>
          <w:iCs/>
          <w:lang w:val="hy-AM"/>
        </w:rPr>
        <w:t>բյուջեի</w:t>
      </w:r>
      <w:r w:rsidRPr="00F744E0">
        <w:rPr>
          <w:b w:val="0"/>
          <w:bCs/>
          <w:iCs/>
          <w:lang w:val="pt-BR"/>
        </w:rPr>
        <w:t xml:space="preserve"> </w:t>
      </w:r>
      <w:r w:rsidRPr="00F744E0">
        <w:rPr>
          <w:b w:val="0"/>
          <w:bCs/>
          <w:iCs/>
          <w:lang w:val="hy-AM"/>
        </w:rPr>
        <w:t>համապատասխան</w:t>
      </w:r>
      <w:r w:rsidRPr="00F744E0">
        <w:rPr>
          <w:b w:val="0"/>
          <w:bCs/>
          <w:iCs/>
          <w:lang w:val="pt-BR"/>
        </w:rPr>
        <w:t xml:space="preserve"> </w:t>
      </w:r>
      <w:r w:rsidRPr="00F744E0">
        <w:rPr>
          <w:b w:val="0"/>
          <w:bCs/>
          <w:iCs/>
          <w:lang w:val="hy-AM"/>
        </w:rPr>
        <w:t>ցուցանիշների</w:t>
      </w:r>
      <w:r w:rsidRPr="00F744E0">
        <w:rPr>
          <w:b w:val="0"/>
          <w:bCs/>
          <w:iCs/>
          <w:lang w:val="pt-BR"/>
        </w:rPr>
        <w:t xml:space="preserve"> </w:t>
      </w:r>
      <w:r w:rsidRPr="00F744E0">
        <w:rPr>
          <w:b w:val="0"/>
          <w:bCs/>
          <w:iCs/>
          <w:lang w:val="hy-AM"/>
        </w:rPr>
        <w:t>հետ</w:t>
      </w:r>
      <w:r w:rsidRPr="00F744E0">
        <w:rPr>
          <w:b w:val="0"/>
          <w:bCs/>
          <w:iCs/>
          <w:lang w:val="pt-BR"/>
        </w:rPr>
        <w:t xml:space="preserve"> </w:t>
      </w:r>
      <w:r w:rsidRPr="00F744E0">
        <w:rPr>
          <w:b w:val="0"/>
          <w:bCs/>
          <w:iCs/>
          <w:lang w:val="hy-AM"/>
        </w:rPr>
        <w:t>արտացոլված</w:t>
      </w:r>
      <w:r w:rsidRPr="00F744E0">
        <w:rPr>
          <w:b w:val="0"/>
          <w:bCs/>
          <w:iCs/>
          <w:lang w:val="pt-BR"/>
        </w:rPr>
        <w:t xml:space="preserve"> </w:t>
      </w:r>
      <w:r w:rsidRPr="00F744E0">
        <w:rPr>
          <w:b w:val="0"/>
          <w:bCs/>
          <w:iCs/>
          <w:lang w:val="hy-AM"/>
        </w:rPr>
        <w:t>է</w:t>
      </w:r>
      <w:r w:rsidRPr="00F744E0">
        <w:rPr>
          <w:b w:val="0"/>
          <w:bCs/>
          <w:iCs/>
          <w:lang w:val="pt-BR"/>
        </w:rPr>
        <w:t xml:space="preserve"> </w:t>
      </w:r>
      <w:r w:rsidRPr="00F744E0">
        <w:rPr>
          <w:b w:val="0"/>
          <w:bCs/>
          <w:iCs/>
          <w:lang w:val="hy-AM"/>
        </w:rPr>
        <w:t>սույն</w:t>
      </w:r>
      <w:r w:rsidRPr="00F744E0">
        <w:rPr>
          <w:b w:val="0"/>
          <w:bCs/>
          <w:iCs/>
          <w:lang w:val="pt-BR"/>
        </w:rPr>
        <w:t xml:space="preserve"> </w:t>
      </w:r>
      <w:r w:rsidRPr="00F744E0">
        <w:rPr>
          <w:b w:val="0"/>
          <w:bCs/>
          <w:iCs/>
          <w:lang w:val="hy-AM"/>
        </w:rPr>
        <w:t>բացատրագրի</w:t>
      </w:r>
      <w:r w:rsidRPr="00F744E0">
        <w:rPr>
          <w:b w:val="0"/>
          <w:bCs/>
          <w:iCs/>
          <w:lang w:val="pt-BR"/>
        </w:rPr>
        <w:t xml:space="preserve"> N 1</w:t>
      </w:r>
      <w:r w:rsidRPr="00F744E0">
        <w:rPr>
          <w:b w:val="0"/>
          <w:bCs/>
          <w:iCs/>
          <w:lang w:val="hy-AM"/>
        </w:rPr>
        <w:t>2</w:t>
      </w:r>
      <w:r w:rsidRPr="00F744E0">
        <w:rPr>
          <w:b w:val="0"/>
          <w:bCs/>
          <w:iCs/>
          <w:lang w:val="pt-BR"/>
        </w:rPr>
        <w:t xml:space="preserve"> </w:t>
      </w:r>
      <w:r w:rsidRPr="00F744E0">
        <w:rPr>
          <w:b w:val="0"/>
          <w:bCs/>
          <w:iCs/>
          <w:lang w:val="hy-AM"/>
        </w:rPr>
        <w:t>աղյուսակում</w:t>
      </w:r>
      <w:r w:rsidRPr="00F744E0">
        <w:rPr>
          <w:b w:val="0"/>
          <w:bCs/>
          <w:iCs/>
          <w:lang w:val="pt-BR"/>
        </w:rPr>
        <w:t>:</w:t>
      </w:r>
    </w:p>
    <w:p w:rsidR="00BD032A" w:rsidRPr="009070BD" w:rsidRDefault="00BD032A" w:rsidP="007730AA">
      <w:pPr>
        <w:keepNext/>
        <w:spacing w:before="0" w:line="276" w:lineRule="auto"/>
        <w:ind w:firstLine="720"/>
        <w:contextualSpacing w:val="0"/>
        <w:jc w:val="left"/>
        <w:outlineLvl w:val="2"/>
        <w:rPr>
          <w:rFonts w:cs="Arial"/>
          <w:szCs w:val="26"/>
          <w:lang w:val="hy-AM" w:eastAsia="en-US"/>
        </w:rPr>
      </w:pPr>
      <w:bookmarkStart w:id="229" w:name="_Toc57655478"/>
      <w:r w:rsidRPr="009070BD">
        <w:rPr>
          <w:rFonts w:cs="Arial"/>
          <w:szCs w:val="26"/>
          <w:lang w:val="hy-AM" w:eastAsia="en-US"/>
        </w:rPr>
        <w:t xml:space="preserve">ՀՀ </w:t>
      </w:r>
      <w:r w:rsidR="00DF66F7" w:rsidRPr="009070BD">
        <w:rPr>
          <w:rFonts w:cs="Arial"/>
          <w:szCs w:val="26"/>
          <w:lang w:val="hy-AM" w:eastAsia="en-US"/>
        </w:rPr>
        <w:t>բարձր տեխնոլոգիական արդյունաբերության</w:t>
      </w:r>
      <w:r w:rsidRPr="009070BD">
        <w:rPr>
          <w:rFonts w:cs="Arial"/>
          <w:szCs w:val="26"/>
          <w:lang w:val="hy-AM" w:eastAsia="en-US"/>
        </w:rPr>
        <w:t xml:space="preserve"> նախարարություն</w:t>
      </w:r>
      <w:bookmarkEnd w:id="229"/>
    </w:p>
    <w:p w:rsidR="00AF6C8F" w:rsidRPr="009070BD" w:rsidRDefault="00AF6C8F" w:rsidP="007730AA">
      <w:pPr>
        <w:spacing w:before="0" w:line="276" w:lineRule="auto"/>
        <w:ind w:firstLine="720"/>
        <w:rPr>
          <w:b w:val="0"/>
          <w:bCs/>
          <w:iCs/>
          <w:color w:val="000000" w:themeColor="text1"/>
          <w:lang w:val="pt-BR"/>
        </w:rPr>
      </w:pP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ՀՀ բարձր տեխնոլոգիական արդյունաբերության նախարարության գծով նա</w:t>
      </w:r>
      <w:r w:rsidRPr="009070BD">
        <w:rPr>
          <w:rFonts w:eastAsia="Calibri"/>
          <w:b w:val="0"/>
          <w:color w:val="000000" w:themeColor="text1"/>
          <w:lang w:val="hy-AM"/>
        </w:rPr>
        <w:softHyphen/>
        <w:t>խագծով  (առանց կառավարման ապարատի) նախատեսվում է 8,25</w:t>
      </w:r>
      <w:r w:rsidR="00A24573" w:rsidRPr="00A24573">
        <w:rPr>
          <w:rFonts w:eastAsia="Calibri"/>
          <w:b w:val="0"/>
          <w:color w:val="000000" w:themeColor="text1"/>
          <w:lang w:val="pt-BR"/>
        </w:rPr>
        <w:t>5</w:t>
      </w:r>
      <w:r w:rsidRPr="009070BD">
        <w:rPr>
          <w:rFonts w:eastAsia="Calibri"/>
          <w:b w:val="0"/>
          <w:color w:val="000000" w:themeColor="text1"/>
          <w:lang w:val="hy-AM"/>
        </w:rPr>
        <w:t>.</w:t>
      </w:r>
      <w:r w:rsidR="00A24573" w:rsidRPr="00A24573">
        <w:rPr>
          <w:rFonts w:eastAsia="Calibri"/>
          <w:b w:val="0"/>
          <w:color w:val="000000" w:themeColor="text1"/>
          <w:lang w:val="pt-BR"/>
        </w:rPr>
        <w:t>3</w:t>
      </w:r>
      <w:r w:rsidRPr="009070BD">
        <w:rPr>
          <w:rFonts w:eastAsia="Calibri"/>
          <w:b w:val="0"/>
          <w:color w:val="000000" w:themeColor="text1"/>
          <w:lang w:val="hy-AM"/>
        </w:rPr>
        <w:t xml:space="preserve"> մլն դրամ (առանց կառավարման ապարատի)¸ որի շրջանակներում նախատեսվում է իրականացնել հետևյալ ծրագրերը. </w:t>
      </w:r>
    </w:p>
    <w:p w:rsidR="00AF6C8F" w:rsidRPr="009070BD" w:rsidRDefault="00AF6C8F" w:rsidP="007730AA">
      <w:pPr>
        <w:pStyle w:val="ListParagraph"/>
        <w:numPr>
          <w:ilvl w:val="0"/>
          <w:numId w:val="20"/>
        </w:numPr>
        <w:spacing w:before="0" w:line="276" w:lineRule="auto"/>
        <w:ind w:left="0" w:firstLine="720"/>
        <w:rPr>
          <w:rFonts w:eastAsia="Calibri"/>
          <w:color w:val="000000" w:themeColor="text1"/>
          <w:lang w:val="hy-AM"/>
        </w:rPr>
      </w:pPr>
      <w:r w:rsidRPr="009070BD">
        <w:rPr>
          <w:rFonts w:eastAsia="Calibri"/>
          <w:color w:val="000000" w:themeColor="text1"/>
          <w:lang w:val="hy-AM"/>
        </w:rPr>
        <w:t>«Բարձր տեխնոլոգիական արդյունաբերության էկոհամակարգի և շուկայի զարգացման ծրագիր».</w:t>
      </w:r>
    </w:p>
    <w:p w:rsidR="00AF6C8F" w:rsidRPr="009070BD" w:rsidRDefault="00AF6C8F" w:rsidP="007730AA">
      <w:pPr>
        <w:spacing w:before="0" w:line="276" w:lineRule="auto"/>
        <w:ind w:firstLine="720"/>
        <w:rPr>
          <w:rFonts w:cs="Sylfaen"/>
          <w:b w:val="0"/>
          <w:color w:val="000000" w:themeColor="text1"/>
          <w:lang w:val="af-ZA"/>
        </w:rPr>
      </w:pPr>
      <w:r w:rsidRPr="009070BD">
        <w:rPr>
          <w:rFonts w:eastAsia="Calibri"/>
          <w:b w:val="0"/>
          <w:color w:val="000000" w:themeColor="text1"/>
          <w:lang w:val="af-ZA"/>
        </w:rPr>
        <w:t>Նշված ծրագրի  նպատակը Բարձր տեխնոլոգիաների ենթակառուցվածքների բարելավումն է, որն նախա</w:t>
      </w:r>
      <w:r w:rsidRPr="009070BD">
        <w:rPr>
          <w:rFonts w:eastAsia="Calibri"/>
          <w:b w:val="0"/>
          <w:color w:val="000000" w:themeColor="text1"/>
          <w:lang w:val="af-ZA"/>
        </w:rPr>
        <w:softHyphen/>
        <w:t>տեսվում է իրականացնել հետևյալ միջոցառումներով</w:t>
      </w:r>
      <w:r w:rsidRPr="009070BD">
        <w:rPr>
          <w:rFonts w:cs="Sylfaen"/>
          <w:b w:val="0"/>
          <w:color w:val="000000" w:themeColor="text1"/>
          <w:lang w:val="af-ZA"/>
        </w:rPr>
        <w:t>.</w:t>
      </w:r>
    </w:p>
    <w:p w:rsidR="00AF6C8F" w:rsidRPr="009070BD" w:rsidRDefault="00AF6C8F" w:rsidP="007730AA">
      <w:pPr>
        <w:spacing w:before="0" w:line="276" w:lineRule="auto"/>
        <w:ind w:firstLine="720"/>
        <w:rPr>
          <w:rFonts w:cs="Sylfaen"/>
          <w:b w:val="0"/>
          <w:color w:val="000000" w:themeColor="text1"/>
          <w:lang w:val="af-ZA"/>
        </w:rPr>
      </w:pPr>
      <w:r w:rsidRPr="009070BD">
        <w:rPr>
          <w:rFonts w:cs="Sylfaen"/>
          <w:b w:val="0"/>
          <w:color w:val="000000" w:themeColor="text1"/>
          <w:lang w:val="af-ZA"/>
        </w:rPr>
        <w:t xml:space="preserve"> 1.1 </w:t>
      </w:r>
      <w:r w:rsidRPr="009070BD">
        <w:rPr>
          <w:rFonts w:cs="Sylfaen"/>
          <w:b w:val="0"/>
          <w:color w:val="000000" w:themeColor="text1"/>
          <w:lang w:val="pt-BR"/>
        </w:rPr>
        <w:t>«</w:t>
      </w:r>
      <w:r w:rsidRPr="009070BD">
        <w:rPr>
          <w:rFonts w:cs="Sylfaen"/>
          <w:b w:val="0"/>
          <w:color w:val="000000" w:themeColor="text1"/>
          <w:lang w:val="hy-AM"/>
        </w:rPr>
        <w:t>Մասնագետների պատրաստման ԲՈՒՀ-մասնավոր հատված համագործակցություն</w:t>
      </w:r>
      <w:r w:rsidRPr="009070BD">
        <w:rPr>
          <w:rFonts w:cs="Sylfaen"/>
          <w:b w:val="0"/>
          <w:color w:val="000000" w:themeColor="text1"/>
          <w:lang w:val="pt-BR"/>
        </w:rPr>
        <w:t>» միջոցառ</w:t>
      </w:r>
      <w:r w:rsidRPr="009070BD">
        <w:rPr>
          <w:rFonts w:cs="Sylfaen"/>
          <w:b w:val="0"/>
          <w:color w:val="000000" w:themeColor="text1"/>
          <w:lang w:val="pt-BR"/>
        </w:rPr>
        <w:softHyphen/>
        <w:t xml:space="preserve">ման </w:t>
      </w:r>
      <w:r w:rsidRPr="009070BD">
        <w:rPr>
          <w:rFonts w:cs="Sylfaen"/>
          <w:b w:val="0"/>
          <w:color w:val="000000" w:themeColor="text1"/>
          <w:lang w:val="hy-AM"/>
        </w:rPr>
        <w:t>իրականացման համար ՀՀ 202</w:t>
      </w:r>
      <w:r w:rsidRPr="009070BD">
        <w:rPr>
          <w:rFonts w:cs="Sylfaen"/>
          <w:b w:val="0"/>
          <w:color w:val="000000" w:themeColor="text1"/>
          <w:lang w:val="af-ZA"/>
        </w:rPr>
        <w:t>1</w:t>
      </w:r>
      <w:r w:rsidRPr="009070BD">
        <w:rPr>
          <w:rFonts w:cs="Sylfaen"/>
          <w:b w:val="0"/>
          <w:color w:val="000000" w:themeColor="text1"/>
          <w:lang w:val="hy-AM"/>
        </w:rPr>
        <w:t xml:space="preserve"> թվականի</w:t>
      </w:r>
      <w:r w:rsidRPr="009070BD">
        <w:rPr>
          <w:rFonts w:cs="Sylfaen"/>
          <w:b w:val="0"/>
          <w:color w:val="000000" w:themeColor="text1"/>
          <w:lang w:val="en-US"/>
        </w:rPr>
        <w:t>ն</w:t>
      </w:r>
      <w:r w:rsidRPr="009070BD">
        <w:rPr>
          <w:rFonts w:cs="Sylfaen"/>
          <w:b w:val="0"/>
          <w:color w:val="000000" w:themeColor="text1"/>
          <w:lang w:val="hy-AM"/>
        </w:rPr>
        <w:t xml:space="preserve"> նախա</w:t>
      </w:r>
      <w:r w:rsidRPr="009070BD">
        <w:rPr>
          <w:rFonts w:cs="Sylfaen"/>
          <w:b w:val="0"/>
          <w:color w:val="000000" w:themeColor="text1"/>
          <w:lang w:val="hy-AM"/>
        </w:rPr>
        <w:softHyphen/>
        <w:t xml:space="preserve">տեսվում է հատկացնել </w:t>
      </w:r>
      <w:r w:rsidRPr="009070BD">
        <w:rPr>
          <w:rFonts w:cs="Sylfaen"/>
          <w:b w:val="0"/>
          <w:color w:val="000000" w:themeColor="text1"/>
          <w:lang w:val="af-ZA"/>
        </w:rPr>
        <w:t>380.0</w:t>
      </w:r>
      <w:r w:rsidRPr="009070BD">
        <w:rPr>
          <w:rFonts w:cs="Sylfaen"/>
          <w:b w:val="0"/>
          <w:color w:val="000000" w:themeColor="text1"/>
          <w:lang w:val="hy-AM"/>
        </w:rPr>
        <w:t xml:space="preserve"> մլն դրամ</w:t>
      </w:r>
      <w:r w:rsidRPr="009070BD">
        <w:rPr>
          <w:rFonts w:cs="Sylfaen"/>
          <w:b w:val="0"/>
          <w:color w:val="000000" w:themeColor="text1"/>
          <w:lang w:val="af-ZA"/>
        </w:rPr>
        <w:t>:</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 xml:space="preserve">Միջոցառման նպատակն է ԲՈՒՀ-երի և տեխնոլոգիական ոլորտի ընկերությունների հետ մշակել և իրականացնել համատեղ կրթական/վերապատրաստման արդեն իսկ կիրառված և իրենց արդյունավետությունն ապացուցած ծրագրեր, ներգրավելով ոլորտի </w:t>
      </w:r>
      <w:r w:rsidRPr="009070BD">
        <w:rPr>
          <w:rFonts w:eastAsia="Calibri"/>
          <w:b w:val="0"/>
          <w:color w:val="000000" w:themeColor="text1"/>
        </w:rPr>
        <w:t>առաջատար</w:t>
      </w:r>
      <w:r w:rsidRPr="009070BD">
        <w:rPr>
          <w:rFonts w:eastAsia="Calibri"/>
          <w:b w:val="0"/>
          <w:color w:val="000000" w:themeColor="text1"/>
          <w:lang w:val="hy-AM"/>
        </w:rPr>
        <w:t xml:space="preserve"> մասնավոր ընկերությունների</w:t>
      </w:r>
      <w:r w:rsidRPr="009070BD">
        <w:rPr>
          <w:rFonts w:eastAsia="Calibri"/>
          <w:b w:val="0"/>
          <w:color w:val="000000" w:themeColor="text1"/>
        </w:rPr>
        <w:t>ն</w:t>
      </w:r>
      <w:r w:rsidRPr="009070BD">
        <w:rPr>
          <w:rFonts w:eastAsia="Calibri"/>
          <w:b w:val="0"/>
          <w:color w:val="000000" w:themeColor="text1"/>
          <w:lang w:val="hy-AM"/>
        </w:rPr>
        <w:t xml:space="preserve">։ Նախատեսվում է նաև աջակցել ոլորտի կազմակերպություններին և անհատներին՝ ստանալ որակյալ կրթություն ձեռներեցության, կառավարման, վաճառքի և մարքեթինգի հարցում՝ համապատասխան տեղական և միջազգային ծրագրերով: </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1.2 ««Գաղափարից մինչև բիզնես» դրամաշնորհներ» միջոցառ</w:t>
      </w:r>
      <w:r w:rsidRPr="009070BD">
        <w:rPr>
          <w:rFonts w:eastAsia="Calibri"/>
          <w:b w:val="0"/>
          <w:color w:val="000000" w:themeColor="text1"/>
          <w:lang w:val="hy-AM"/>
        </w:rPr>
        <w:softHyphen/>
        <w:t>ման իրականացման համար ՀՀ 2021 թվականին նախա</w:t>
      </w:r>
      <w:r w:rsidRPr="009070BD">
        <w:rPr>
          <w:rFonts w:eastAsia="Calibri"/>
          <w:b w:val="0"/>
          <w:color w:val="000000" w:themeColor="text1"/>
          <w:lang w:val="hy-AM"/>
        </w:rPr>
        <w:softHyphen/>
        <w:t>տեսվում է հատկացնել 1,000.0 մլն դրամ:</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 xml:space="preserve">Միջոցառումը նախատեսում է դրամաշնորհների տեսքով տրամադրել աջակցություն գիտահետազոտական և փորձարարական խմբերին, ստարտափերին, տեխնոլոգիական ոլորտի կազմակերպություններին՝ անհրաժեշտ թեմաների շուրջ աշխատանքներ իրականացնելու համար: Մասնավորապես նախատեսվում է փոքր դրամաշնորհների տրամադրում համալսարանական խմբերին, գիտահետազոտական և փորձարարական խմբերին, ստարտափ ընկերություններին, համաֆինանսավորման միջոցով դրամաշնորհներ տրամադրել ստարտափ ընկերություններին: </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Միջոցառման նպատակն է խրախուսել ստեղծագործական/գիտական խմբերին՝ դրամաշնորհային միջոցներով կատարել գիտահետազոտական և փորձարարական աշխատանքներ առաջնահերթ ուղղություններով: Հաջորդ փուլով հնարավորություն է ստեղծվում այդ խմբերի համար գրանցել իրենց ընկերությունները, ներգրավել ֆինանսական այլ միջոցներ և ստանալ համաֆինանսավորում՝ նոր մասնագետներ գրավելու, իրենց գաղափարն իրականացնելու և համաշխարհային շուկա դուրս գալու նպատակով։</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1.3 «Հայկական վիրտուալ կամուրջ» միջոցառ</w:t>
      </w:r>
      <w:r w:rsidRPr="009070BD">
        <w:rPr>
          <w:rFonts w:eastAsia="Calibri"/>
          <w:b w:val="0"/>
          <w:color w:val="000000" w:themeColor="text1"/>
          <w:lang w:val="hy-AM"/>
        </w:rPr>
        <w:softHyphen/>
        <w:t>ման իրականացման համար ՀՀ 2021 թվականին նախա</w:t>
      </w:r>
      <w:r w:rsidRPr="009070BD">
        <w:rPr>
          <w:rFonts w:eastAsia="Calibri"/>
          <w:b w:val="0"/>
          <w:color w:val="000000" w:themeColor="text1"/>
          <w:lang w:val="hy-AM"/>
        </w:rPr>
        <w:softHyphen/>
        <w:t>տեսվում է հատկացնել 1,184.7 մլն դրամ:</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Միջոցառման նպատակն է Հայաստանը դարձնել բարձր տեխնոլոգիական արդյունաբերական կենտրոն։ Միջոցառումը նախատեսում է.</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 Կալիֆորնիա նահանգի Սան Հոզե քաղաքում (Սիլիկոնյան հովիտ) ստեղծել աշխատանքային պայմաններ ունեցող, տեխնիկապես գերհագեցած և կեցության համապատասխան պայմաններով կենտրոնի ստեղծում</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 Հայաստանում և արտասահմանում գտնվող հայկական տեխնոլոգիական համայնքների մասնագիտական համագործակցության ապահովման մեխանիզմների ստեղծում.</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 Բարձր տեխնոլոգիական ոլորտում գործող ձեռներեցների վերապատրաստման միջոցառումների ապահովում Հայաստանում և արտերկրում.</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 Ստարտափ ընկերությունների աքսելերացիայով և ինկուբացիայով զբաղվող միջազգային կազմակերպությունների ներգրավում Հայաստան և աջակցություն տեղական համանման կազմակերպությունների զարգացմանը.</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 Արտերկրից դեպի Հայաստան ստարտափերի ներհոսքի ապահովման միջոցառումների իրականացում, դրանց տեղակայման, վերապատրաստման, «Վիրտուալ կամուրջի» բաղկացուցիչ միջոցառումներում ինտեգրման ապահովում.</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 Հայաստանի ամբողջ տարածքում աջակցություն տեխնոլոգիական կենտրոններին և նոր կենտրոնների ստեղծում։</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 «Ներուժ» սփյուռքահայ երիտասարդների «startup» ծրագրի կազմակերպում և իրականացում:</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1.4 «Շուկաների զարգացում և միջազգային համագործակցություն» միջոցառ</w:t>
      </w:r>
      <w:r w:rsidRPr="009070BD">
        <w:rPr>
          <w:rFonts w:eastAsia="Calibri"/>
          <w:b w:val="0"/>
          <w:color w:val="000000" w:themeColor="text1"/>
          <w:lang w:val="hy-AM"/>
        </w:rPr>
        <w:softHyphen/>
        <w:t>ման իրականացման համար ՀՀ 2021 թվականին նախա</w:t>
      </w:r>
      <w:r w:rsidRPr="009070BD">
        <w:rPr>
          <w:rFonts w:eastAsia="Calibri"/>
          <w:b w:val="0"/>
          <w:color w:val="000000" w:themeColor="text1"/>
          <w:lang w:val="hy-AM"/>
        </w:rPr>
        <w:softHyphen/>
        <w:t>տեսվում է հատկացնել 425.0 մլն դրամ:</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Միջոցառման նպատակն է բարձր տեխնոլոգիական ընկերությունների, ապրանքների և ծառայությունների արտերկրում պատշաճ ներկայացումը և թիրախավորված վաճառքի խթանումը:</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lang w:val="hy-AM"/>
        </w:rPr>
        <w:t>Միջոցառման իրականացման արդյունքում հայկական ընկերությունները կարող են մասնակցել ցուցահանդեսներին, սեմինարներին, երկկողմ գործարար ֆորումներին և այլ միջոցառումներին, հնարավորություն ստանալով ներկայացնել իրենց արտադրանքը, ծառայությունները և դուրս գալ միջազգային շուկա։</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color w:val="000000" w:themeColor="text1"/>
          <w:lang w:val="hy-AM"/>
        </w:rPr>
        <w:t>2. «Պաշտպանության բնագավառում գիտական և գիտատեխնիկական նպատակային հետազոտություններ» ծրագրի</w:t>
      </w:r>
      <w:r w:rsidRPr="009070BD">
        <w:rPr>
          <w:rFonts w:eastAsia="Calibri"/>
          <w:b w:val="0"/>
          <w:color w:val="000000" w:themeColor="text1"/>
          <w:lang w:val="hy-AM"/>
        </w:rPr>
        <w:t xml:space="preserve"> «Գիտական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 միջոցառման գծով նախատեսվում է հատկացնել 4,574.2 մլն դրամ՝ 2020 թվականի ՀՀ պետական բյուջեով հաստատված 3,854.9 մլն դրամի դիմաց: 2021 թվականին գումարի ավելացման համար հիմք է ընդունվել ՀՀ կառավարության 2019թ</w:t>
      </w:r>
      <w:r w:rsidRPr="009070BD">
        <w:rPr>
          <w:rFonts w:ascii="Cambria Math" w:eastAsia="Calibri" w:hAnsi="Cambria Math" w:cs="Cambria Math"/>
          <w:b w:val="0"/>
          <w:color w:val="000000" w:themeColor="text1"/>
          <w:lang w:val="hy-AM"/>
        </w:rPr>
        <w:t>․</w:t>
      </w:r>
      <w:r w:rsidRPr="009070BD">
        <w:rPr>
          <w:rFonts w:eastAsia="Calibri"/>
          <w:b w:val="0"/>
          <w:color w:val="000000" w:themeColor="text1"/>
          <w:lang w:val="hy-AM"/>
        </w:rPr>
        <w:t xml:space="preserve"> փետրվարի 8-ի  թիվ 65-Ա որոշման դրույթներն այն մասին, որ 2020 թվականից սկսած պետք է շեշտակի ավելացնել միջոցառման գծով ծախսերը:</w:t>
      </w:r>
    </w:p>
    <w:p w:rsidR="00AF6C8F" w:rsidRPr="009070BD" w:rsidRDefault="00AF6C8F" w:rsidP="007730AA">
      <w:pPr>
        <w:spacing w:before="0" w:line="276" w:lineRule="auto"/>
        <w:ind w:firstLine="720"/>
        <w:rPr>
          <w:rFonts w:eastAsia="Calibri"/>
          <w:color w:val="000000" w:themeColor="text1"/>
          <w:lang w:val="af-ZA"/>
        </w:rPr>
      </w:pPr>
      <w:r w:rsidRPr="009070BD">
        <w:rPr>
          <w:rFonts w:cs="Sylfaen"/>
          <w:color w:val="000000" w:themeColor="text1"/>
          <w:lang w:val="af-ZA"/>
        </w:rPr>
        <w:t xml:space="preserve">3. </w:t>
      </w:r>
      <w:r w:rsidRPr="009070BD">
        <w:rPr>
          <w:rFonts w:eastAsia="Calibri"/>
          <w:color w:val="000000" w:themeColor="text1"/>
          <w:lang w:val="af-ZA"/>
        </w:rPr>
        <w:t>«Հեռահաղորդակցության ապահովում» ծրագիր.</w:t>
      </w:r>
    </w:p>
    <w:p w:rsidR="00AF6C8F" w:rsidRPr="009070BD" w:rsidRDefault="00AF6C8F" w:rsidP="007730AA">
      <w:pPr>
        <w:spacing w:before="0" w:line="276" w:lineRule="auto"/>
        <w:ind w:firstLine="720"/>
        <w:rPr>
          <w:rFonts w:cs="Sylfaen"/>
          <w:b w:val="0"/>
          <w:color w:val="000000" w:themeColor="text1"/>
          <w:lang w:val="af-ZA"/>
        </w:rPr>
      </w:pPr>
      <w:r w:rsidRPr="009070BD">
        <w:rPr>
          <w:rFonts w:eastAsia="Calibri"/>
          <w:b w:val="0"/>
          <w:color w:val="000000" w:themeColor="text1"/>
          <w:lang w:val="af-ZA"/>
        </w:rPr>
        <w:t>Ծրագրի նպատակն է ապահովել Հայաստանի Հանրապե</w:t>
      </w:r>
      <w:r w:rsidRPr="009070BD">
        <w:rPr>
          <w:rFonts w:eastAsia="Calibri"/>
          <w:b w:val="0"/>
          <w:color w:val="000000" w:themeColor="text1"/>
          <w:lang w:val="af-ZA"/>
        </w:rPr>
        <w:softHyphen/>
        <w:t>տու</w:t>
      </w:r>
      <w:r w:rsidRPr="009070BD">
        <w:rPr>
          <w:rFonts w:eastAsia="Calibri"/>
          <w:b w:val="0"/>
          <w:color w:val="000000" w:themeColor="text1"/>
          <w:lang w:val="af-ZA"/>
        </w:rPr>
        <w:softHyphen/>
        <w:t>թյունում հեռահաղորդակ</w:t>
      </w:r>
      <w:r w:rsidRPr="009070BD">
        <w:rPr>
          <w:rFonts w:eastAsia="Calibri"/>
          <w:b w:val="0"/>
          <w:color w:val="000000" w:themeColor="text1"/>
          <w:lang w:val="af-ZA"/>
        </w:rPr>
        <w:softHyphen/>
        <w:t>ցության և կապի ծառայությունների որակի կանոնակարգումն ու բարելավումը, որի շրջանակներում նախա</w:t>
      </w:r>
      <w:r w:rsidRPr="009070BD">
        <w:rPr>
          <w:rFonts w:eastAsia="Calibri"/>
          <w:b w:val="0"/>
          <w:color w:val="000000" w:themeColor="text1"/>
          <w:lang w:val="af-ZA"/>
        </w:rPr>
        <w:softHyphen/>
        <w:t>տեսվում է իրականացնել հետևյալ միջոցառումները</w:t>
      </w:r>
      <w:r w:rsidRPr="009070BD">
        <w:rPr>
          <w:rFonts w:cs="Sylfaen"/>
          <w:b w:val="0"/>
          <w:color w:val="000000" w:themeColor="text1"/>
          <w:lang w:val="af-ZA"/>
        </w:rPr>
        <w:t>.</w:t>
      </w:r>
    </w:p>
    <w:p w:rsidR="00AF6C8F" w:rsidRPr="009070BD" w:rsidRDefault="00AF6C8F" w:rsidP="007730AA">
      <w:pPr>
        <w:spacing w:before="0" w:line="276" w:lineRule="auto"/>
        <w:ind w:firstLine="720"/>
        <w:rPr>
          <w:b w:val="0"/>
          <w:color w:val="000000" w:themeColor="text1"/>
          <w:lang w:val="fr-FR"/>
        </w:rPr>
      </w:pPr>
      <w:r w:rsidRPr="009070BD">
        <w:rPr>
          <w:rFonts w:cs="Sylfaen"/>
          <w:b w:val="0"/>
          <w:bCs/>
          <w:color w:val="000000" w:themeColor="text1"/>
          <w:lang w:val="af-ZA"/>
        </w:rPr>
        <w:t xml:space="preserve">3.1 </w:t>
      </w:r>
      <w:r w:rsidRPr="009070BD">
        <w:rPr>
          <w:rFonts w:cs="Sylfaen"/>
          <w:b w:val="0"/>
          <w:bCs/>
          <w:color w:val="000000" w:themeColor="text1"/>
          <w:lang w:val="hy-AM"/>
        </w:rPr>
        <w:t>«</w:t>
      </w:r>
      <w:r w:rsidRPr="009070BD">
        <w:rPr>
          <w:rFonts w:cs="Sylfaen"/>
          <w:b w:val="0"/>
          <w:bCs/>
          <w:iCs/>
          <w:color w:val="000000" w:themeColor="text1"/>
          <w:lang w:val="hy-AM"/>
        </w:rPr>
        <w:t>Հեռահաղորդակցության և կապի կանոնակարգ</w:t>
      </w:r>
      <w:r w:rsidRPr="009070BD">
        <w:rPr>
          <w:rFonts w:cs="Sylfaen"/>
          <w:b w:val="0"/>
          <w:bCs/>
          <w:iCs/>
          <w:color w:val="000000" w:themeColor="text1"/>
        </w:rPr>
        <w:t>ու</w:t>
      </w:r>
      <w:r w:rsidRPr="009070BD">
        <w:rPr>
          <w:rFonts w:cs="Sylfaen"/>
          <w:b w:val="0"/>
          <w:bCs/>
          <w:iCs/>
          <w:color w:val="000000" w:themeColor="text1"/>
          <w:lang w:val="hy-AM"/>
        </w:rPr>
        <w:t xml:space="preserve">մ» </w:t>
      </w:r>
      <w:r w:rsidRPr="009070BD">
        <w:rPr>
          <w:rFonts w:cs="Sylfaen"/>
          <w:b w:val="0"/>
          <w:bCs/>
          <w:iCs/>
          <w:color w:val="000000" w:themeColor="text1"/>
        </w:rPr>
        <w:t>միջոցառման</w:t>
      </w:r>
      <w:r w:rsidRPr="009070BD">
        <w:rPr>
          <w:rFonts w:cs="Sylfaen"/>
          <w:b w:val="0"/>
          <w:bCs/>
          <w:iCs/>
          <w:color w:val="000000" w:themeColor="text1"/>
          <w:lang w:val="af-ZA"/>
        </w:rPr>
        <w:t xml:space="preserve"> </w:t>
      </w:r>
      <w:r w:rsidRPr="009070BD">
        <w:rPr>
          <w:rFonts w:cs="Sylfaen"/>
          <w:b w:val="0"/>
          <w:bCs/>
          <w:iCs/>
          <w:color w:val="000000" w:themeColor="text1"/>
        </w:rPr>
        <w:t>շրջանակներում</w:t>
      </w:r>
      <w:r w:rsidRPr="009070BD">
        <w:rPr>
          <w:rFonts w:cs="Sylfaen"/>
          <w:b w:val="0"/>
          <w:bCs/>
          <w:iCs/>
          <w:color w:val="000000" w:themeColor="text1"/>
          <w:lang w:val="af-ZA"/>
        </w:rPr>
        <w:t xml:space="preserve"> </w:t>
      </w:r>
      <w:r w:rsidRPr="009070BD">
        <w:rPr>
          <w:rFonts w:cs="Sylfaen"/>
          <w:b w:val="0"/>
          <w:color w:val="000000" w:themeColor="text1"/>
          <w:lang w:val="hy-AM"/>
        </w:rPr>
        <w:t>«Հեռահաղորդակցության հանրապետական կենտրոն» պետական ոչ առևտրային կազմակեր</w:t>
      </w:r>
      <w:r w:rsidRPr="009070BD">
        <w:rPr>
          <w:rFonts w:cs="Sylfaen"/>
          <w:b w:val="0"/>
          <w:color w:val="000000" w:themeColor="text1"/>
          <w:lang w:val="hy-AM"/>
        </w:rPr>
        <w:softHyphen/>
        <w:t>պության ՀՀ 20</w:t>
      </w:r>
      <w:r w:rsidRPr="009070BD">
        <w:rPr>
          <w:rFonts w:cs="Sylfaen"/>
          <w:b w:val="0"/>
          <w:color w:val="000000" w:themeColor="text1"/>
          <w:lang w:val="af-ZA"/>
        </w:rPr>
        <w:t>21</w:t>
      </w:r>
      <w:r w:rsidRPr="009070BD">
        <w:rPr>
          <w:rFonts w:cs="Sylfaen"/>
          <w:b w:val="0"/>
          <w:color w:val="000000" w:themeColor="text1"/>
          <w:lang w:val="hy-AM"/>
        </w:rPr>
        <w:t xml:space="preserve"> թվականի</w:t>
      </w:r>
      <w:r w:rsidRPr="009070BD">
        <w:rPr>
          <w:rFonts w:cs="Sylfaen"/>
          <w:b w:val="0"/>
          <w:color w:val="000000" w:themeColor="text1"/>
          <w:lang w:val="en-US"/>
        </w:rPr>
        <w:t>ն</w:t>
      </w:r>
      <w:r w:rsidRPr="009070BD">
        <w:rPr>
          <w:rFonts w:cs="Sylfaen"/>
          <w:b w:val="0"/>
          <w:color w:val="000000" w:themeColor="text1"/>
          <w:lang w:val="hy-AM"/>
        </w:rPr>
        <w:t xml:space="preserve"> նախա</w:t>
      </w:r>
      <w:r w:rsidRPr="009070BD">
        <w:rPr>
          <w:rFonts w:cs="Sylfaen"/>
          <w:b w:val="0"/>
          <w:color w:val="000000" w:themeColor="text1"/>
          <w:lang w:val="hy-AM"/>
        </w:rPr>
        <w:softHyphen/>
        <w:t xml:space="preserve">տեսվում է </w:t>
      </w:r>
      <w:r w:rsidRPr="009070BD">
        <w:rPr>
          <w:rFonts w:cs="Sylfaen"/>
          <w:b w:val="0"/>
          <w:color w:val="000000" w:themeColor="text1"/>
          <w:lang w:val="af-ZA"/>
        </w:rPr>
        <w:t>31</w:t>
      </w:r>
      <w:r w:rsidRPr="009070BD">
        <w:rPr>
          <w:rFonts w:cs="Sylfaen"/>
          <w:b w:val="0"/>
          <w:color w:val="000000" w:themeColor="text1"/>
          <w:lang w:val="hy-AM"/>
        </w:rPr>
        <w:t>0</w:t>
      </w:r>
      <w:r w:rsidRPr="009070BD">
        <w:rPr>
          <w:rFonts w:cs="Sylfaen"/>
          <w:b w:val="0"/>
          <w:color w:val="000000" w:themeColor="text1"/>
          <w:lang w:val="af-ZA"/>
        </w:rPr>
        <w:t>.3</w:t>
      </w:r>
      <w:r w:rsidRPr="009070BD">
        <w:rPr>
          <w:rFonts w:cs="Sylfaen"/>
          <w:b w:val="0"/>
          <w:color w:val="000000" w:themeColor="text1"/>
          <w:lang w:val="hy-AM"/>
        </w:rPr>
        <w:t xml:space="preserve"> մլն դրամ` </w:t>
      </w:r>
      <w:r w:rsidRPr="009070BD">
        <w:rPr>
          <w:b w:val="0"/>
          <w:color w:val="000000" w:themeColor="text1"/>
        </w:rPr>
        <w:t>ՀՀ</w:t>
      </w:r>
      <w:r w:rsidRPr="009070BD">
        <w:rPr>
          <w:b w:val="0"/>
          <w:color w:val="000000" w:themeColor="text1"/>
          <w:lang w:val="fr-FR"/>
        </w:rPr>
        <w:t xml:space="preserve"> 2020 </w:t>
      </w:r>
      <w:r w:rsidRPr="009070BD">
        <w:rPr>
          <w:b w:val="0"/>
          <w:color w:val="000000" w:themeColor="text1"/>
        </w:rPr>
        <w:t>թվականի</w:t>
      </w:r>
      <w:r w:rsidRPr="009070BD">
        <w:rPr>
          <w:b w:val="0"/>
          <w:color w:val="000000" w:themeColor="text1"/>
          <w:lang w:val="fr-FR"/>
        </w:rPr>
        <w:t xml:space="preserve"> </w:t>
      </w:r>
      <w:r w:rsidRPr="009070BD">
        <w:rPr>
          <w:b w:val="0"/>
          <w:color w:val="000000" w:themeColor="text1"/>
        </w:rPr>
        <w:t>պետական</w:t>
      </w:r>
      <w:r w:rsidRPr="009070BD">
        <w:rPr>
          <w:b w:val="0"/>
          <w:color w:val="000000" w:themeColor="text1"/>
          <w:lang w:val="fr-FR"/>
        </w:rPr>
        <w:t xml:space="preserve"> </w:t>
      </w:r>
      <w:r w:rsidRPr="009070BD">
        <w:rPr>
          <w:b w:val="0"/>
          <w:color w:val="000000" w:themeColor="text1"/>
        </w:rPr>
        <w:t>բյուջեի</w:t>
      </w:r>
      <w:r w:rsidRPr="009070BD">
        <w:rPr>
          <w:b w:val="0"/>
          <w:color w:val="000000" w:themeColor="text1"/>
          <w:lang w:val="fr-FR"/>
        </w:rPr>
        <w:t xml:space="preserve"> </w:t>
      </w:r>
      <w:r w:rsidRPr="009070BD">
        <w:rPr>
          <w:b w:val="0"/>
          <w:color w:val="000000" w:themeColor="text1"/>
        </w:rPr>
        <w:t>մակարդակին</w:t>
      </w:r>
      <w:r w:rsidRPr="009070BD">
        <w:rPr>
          <w:b w:val="0"/>
          <w:color w:val="000000" w:themeColor="text1"/>
          <w:lang w:val="fr-FR"/>
        </w:rPr>
        <w:t xml:space="preserve"> </w:t>
      </w:r>
      <w:r w:rsidRPr="009070BD">
        <w:rPr>
          <w:b w:val="0"/>
          <w:color w:val="000000" w:themeColor="text1"/>
        </w:rPr>
        <w:t>համապատասխան</w:t>
      </w:r>
      <w:r w:rsidRPr="009070BD">
        <w:rPr>
          <w:b w:val="0"/>
          <w:color w:val="000000" w:themeColor="text1"/>
          <w:lang w:val="fr-FR"/>
        </w:rPr>
        <w:t xml:space="preserve">: </w:t>
      </w:r>
    </w:p>
    <w:p w:rsidR="00AF6C8F" w:rsidRPr="009070BD" w:rsidRDefault="00AF6C8F" w:rsidP="007730AA">
      <w:pPr>
        <w:widowControl w:val="0"/>
        <w:spacing w:before="0" w:line="276" w:lineRule="auto"/>
        <w:ind w:firstLine="720"/>
        <w:rPr>
          <w:rFonts w:eastAsia="Calibri" w:cs="Sylfaen"/>
          <w:b w:val="0"/>
          <w:color w:val="000000" w:themeColor="text1"/>
          <w:lang w:val="hy-AM"/>
        </w:rPr>
      </w:pPr>
      <w:r w:rsidRPr="009070BD">
        <w:rPr>
          <w:rFonts w:eastAsia="Calibri"/>
          <w:b w:val="0"/>
          <w:color w:val="000000" w:themeColor="text1"/>
        </w:rPr>
        <w:t>Միջոցառման</w:t>
      </w:r>
      <w:r w:rsidRPr="009070BD">
        <w:rPr>
          <w:rFonts w:eastAsia="Calibri"/>
          <w:b w:val="0"/>
          <w:color w:val="000000" w:themeColor="text1"/>
          <w:lang w:val="af-ZA"/>
        </w:rPr>
        <w:t xml:space="preserve"> </w:t>
      </w:r>
      <w:r w:rsidRPr="009070BD">
        <w:rPr>
          <w:rFonts w:eastAsia="Calibri"/>
          <w:b w:val="0"/>
          <w:color w:val="000000" w:themeColor="text1"/>
          <w:lang w:val="hy-AM"/>
        </w:rPr>
        <w:t>նպատակն է ապահովել Հայաստանի Հանրապե</w:t>
      </w:r>
      <w:r w:rsidRPr="009070BD">
        <w:rPr>
          <w:rFonts w:eastAsia="Calibri"/>
          <w:b w:val="0"/>
          <w:color w:val="000000" w:themeColor="text1"/>
          <w:lang w:val="hy-AM"/>
        </w:rPr>
        <w:softHyphen/>
        <w:t>տու</w:t>
      </w:r>
      <w:r w:rsidRPr="009070BD">
        <w:rPr>
          <w:rFonts w:eastAsia="Calibri"/>
          <w:b w:val="0"/>
          <w:color w:val="000000" w:themeColor="text1"/>
          <w:lang w:val="hy-AM"/>
        </w:rPr>
        <w:softHyphen/>
        <w:t>թյունում հեռահա</w:t>
      </w:r>
      <w:r w:rsidRPr="009070BD">
        <w:rPr>
          <w:rFonts w:eastAsia="Calibri"/>
          <w:b w:val="0"/>
          <w:color w:val="000000" w:themeColor="text1"/>
          <w:lang w:val="af-ZA"/>
        </w:rPr>
        <w:softHyphen/>
      </w:r>
      <w:r w:rsidRPr="009070BD">
        <w:rPr>
          <w:rFonts w:eastAsia="Calibri"/>
          <w:b w:val="0"/>
          <w:color w:val="000000" w:themeColor="text1"/>
          <w:lang w:val="hy-AM"/>
        </w:rPr>
        <w:t>ղորդակ</w:t>
      </w:r>
      <w:r w:rsidRPr="009070BD">
        <w:rPr>
          <w:rFonts w:eastAsia="Calibri"/>
          <w:b w:val="0"/>
          <w:color w:val="000000" w:themeColor="text1"/>
          <w:lang w:val="hy-AM"/>
        </w:rPr>
        <w:softHyphen/>
      </w:r>
      <w:r w:rsidRPr="009070BD">
        <w:rPr>
          <w:rFonts w:eastAsia="Calibri"/>
          <w:b w:val="0"/>
          <w:color w:val="000000" w:themeColor="text1"/>
          <w:lang w:val="af-ZA"/>
        </w:rPr>
        <w:softHyphen/>
      </w:r>
      <w:r w:rsidRPr="009070BD">
        <w:rPr>
          <w:rFonts w:eastAsia="Calibri"/>
          <w:b w:val="0"/>
          <w:color w:val="000000" w:themeColor="text1"/>
          <w:lang w:val="hy-AM"/>
        </w:rPr>
        <w:t>ցության և կապի ծառայությունների որակի կանոնակարգումն ու բարելավումը, մասնա</w:t>
      </w:r>
      <w:r w:rsidRPr="009070BD">
        <w:rPr>
          <w:rFonts w:eastAsia="Calibri"/>
          <w:b w:val="0"/>
          <w:color w:val="000000" w:themeColor="text1"/>
          <w:lang w:val="hy-AM"/>
        </w:rPr>
        <w:softHyphen/>
        <w:t xml:space="preserve">վորապես, Հայաստանի Հանրապետության հաճախականությունների բաշխումների աղյուսակի կազմումը, ռադիոեթերի մոնիթորինգի և ազդանշանների տեխնիկական պարամետրերի չափումների անցկացումը, ռադիոէլեկտրոնային </w:t>
      </w:r>
      <w:r w:rsidRPr="009070BD">
        <w:rPr>
          <w:rFonts w:eastAsia="Calibri" w:cs="Sylfaen"/>
          <w:b w:val="0"/>
          <w:color w:val="000000" w:themeColor="text1"/>
          <w:lang w:val="hy-AM"/>
        </w:rPr>
        <w:t>միջոցների</w:t>
      </w:r>
      <w:r w:rsidRPr="009070BD">
        <w:rPr>
          <w:rFonts w:eastAsia="Calibri" w:cs="Sylfaen"/>
          <w:b w:val="0"/>
          <w:color w:val="000000" w:themeColor="text1"/>
          <w:lang w:val="pt-BR"/>
        </w:rPr>
        <w:t xml:space="preserve"> </w:t>
      </w:r>
      <w:r w:rsidRPr="009070BD">
        <w:rPr>
          <w:rFonts w:eastAsia="Calibri" w:cs="Sylfaen"/>
          <w:b w:val="0"/>
          <w:color w:val="000000" w:themeColor="text1"/>
          <w:lang w:val="hy-AM"/>
        </w:rPr>
        <w:t>և</w:t>
      </w:r>
      <w:r w:rsidRPr="009070BD">
        <w:rPr>
          <w:rFonts w:eastAsia="Calibri" w:cs="Sylfaen"/>
          <w:b w:val="0"/>
          <w:color w:val="000000" w:themeColor="text1"/>
          <w:lang w:val="pt-BR"/>
        </w:rPr>
        <w:t xml:space="preserve"> </w:t>
      </w:r>
      <w:r w:rsidRPr="009070BD">
        <w:rPr>
          <w:rFonts w:eastAsia="Calibri" w:cs="Sylfaen"/>
          <w:b w:val="0"/>
          <w:color w:val="000000" w:themeColor="text1"/>
          <w:lang w:val="hy-AM"/>
        </w:rPr>
        <w:t>բարձր</w:t>
      </w:r>
      <w:r w:rsidRPr="009070BD">
        <w:rPr>
          <w:rFonts w:eastAsia="Calibri" w:cs="Sylfaen"/>
          <w:b w:val="0"/>
          <w:color w:val="000000" w:themeColor="text1"/>
          <w:lang w:val="pt-BR"/>
        </w:rPr>
        <w:t xml:space="preserve"> </w:t>
      </w:r>
      <w:r w:rsidRPr="009070BD">
        <w:rPr>
          <w:rFonts w:eastAsia="Calibri" w:cs="Sylfaen"/>
          <w:b w:val="0"/>
          <w:color w:val="000000" w:themeColor="text1"/>
          <w:lang w:val="hy-AM"/>
        </w:rPr>
        <w:t>հաճախության</w:t>
      </w:r>
      <w:r w:rsidRPr="009070BD">
        <w:rPr>
          <w:rFonts w:eastAsia="Calibri" w:cs="Sylfaen"/>
          <w:b w:val="0"/>
          <w:color w:val="000000" w:themeColor="text1"/>
          <w:lang w:val="pt-BR"/>
        </w:rPr>
        <w:t xml:space="preserve"> </w:t>
      </w:r>
      <w:r w:rsidRPr="009070BD">
        <w:rPr>
          <w:rFonts w:eastAsia="Calibri" w:cs="Sylfaen"/>
          <w:b w:val="0"/>
          <w:color w:val="000000" w:themeColor="text1"/>
          <w:lang w:val="hy-AM"/>
        </w:rPr>
        <w:t>սարքավո</w:t>
      </w:r>
      <w:r w:rsidRPr="009070BD">
        <w:rPr>
          <w:rFonts w:eastAsia="Calibri" w:cs="Sylfaen"/>
          <w:b w:val="0"/>
          <w:color w:val="000000" w:themeColor="text1"/>
          <w:lang w:val="hy-AM"/>
        </w:rPr>
        <w:softHyphen/>
        <w:t>րում</w:t>
      </w:r>
      <w:r w:rsidRPr="009070BD">
        <w:rPr>
          <w:rFonts w:eastAsia="Calibri" w:cs="Sylfaen"/>
          <w:b w:val="0"/>
          <w:color w:val="000000" w:themeColor="text1"/>
          <w:lang w:val="hy-AM"/>
        </w:rPr>
        <w:softHyphen/>
        <w:t xml:space="preserve">ների տեղորոշումը: </w:t>
      </w:r>
    </w:p>
    <w:p w:rsidR="00AF6C8F" w:rsidRPr="009070BD" w:rsidRDefault="00AF6C8F" w:rsidP="007730AA">
      <w:pPr>
        <w:widowControl w:val="0"/>
        <w:spacing w:before="0" w:line="276" w:lineRule="auto"/>
        <w:ind w:firstLine="720"/>
        <w:rPr>
          <w:rFonts w:cs="Sylfaen"/>
          <w:b w:val="0"/>
          <w:color w:val="000000" w:themeColor="text1"/>
          <w:lang w:val="af-ZA"/>
        </w:rPr>
      </w:pPr>
      <w:r w:rsidRPr="009070BD">
        <w:rPr>
          <w:rFonts w:cs="Sylfaen"/>
          <w:b w:val="0"/>
          <w:color w:val="000000" w:themeColor="text1"/>
          <w:lang w:val="hy-AM"/>
        </w:rPr>
        <w:t>3.2 «Թվային հեռուստահեռարձակման ապահովման ծառայություններ» միջոցառմամբ ՀՀ-ում թվային հեռուստահեռարձակման ապահովման շրջանակներում հանրապետական սփռման մուլտիպլեքսի արբանյակային տարածման համար արբանյակային ունակության վարձակալ</w:t>
      </w:r>
      <w:r w:rsidRPr="009070BD">
        <w:rPr>
          <w:rFonts w:cs="Sylfaen"/>
          <w:b w:val="0"/>
          <w:color w:val="000000" w:themeColor="text1"/>
          <w:lang w:val="hy-AM"/>
        </w:rPr>
        <w:softHyphen/>
        <w:t>ման նպատակով 2021 թվականին նախատեսվում է հատկացնել 12</w:t>
      </w:r>
      <w:r w:rsidR="0078718A">
        <w:rPr>
          <w:rFonts w:cs="Sylfaen"/>
          <w:b w:val="0"/>
          <w:color w:val="000000" w:themeColor="text1"/>
          <w:lang w:val="hy-AM"/>
        </w:rPr>
        <w:t>3</w:t>
      </w:r>
      <w:r w:rsidRPr="009070BD">
        <w:rPr>
          <w:rFonts w:cs="Sylfaen"/>
          <w:b w:val="0"/>
          <w:color w:val="000000" w:themeColor="text1"/>
          <w:lang w:val="hy-AM"/>
        </w:rPr>
        <w:t>.</w:t>
      </w:r>
      <w:r w:rsidR="0078718A">
        <w:rPr>
          <w:rFonts w:cs="Sylfaen"/>
          <w:b w:val="0"/>
          <w:color w:val="000000" w:themeColor="text1"/>
          <w:lang w:val="hy-AM"/>
        </w:rPr>
        <w:t>7</w:t>
      </w:r>
      <w:r w:rsidRPr="009070BD">
        <w:rPr>
          <w:rFonts w:cs="Sylfaen"/>
          <w:b w:val="0"/>
          <w:color w:val="000000" w:themeColor="text1"/>
          <w:lang w:val="hy-AM"/>
        </w:rPr>
        <w:t xml:space="preserve"> մլն դրամ՝ ՀՀ</w:t>
      </w:r>
      <w:r w:rsidRPr="009070BD">
        <w:rPr>
          <w:rFonts w:cs="Sylfaen"/>
          <w:b w:val="0"/>
          <w:color w:val="000000" w:themeColor="text1"/>
          <w:lang w:val="af-ZA"/>
        </w:rPr>
        <w:t xml:space="preserve"> 2020</w:t>
      </w:r>
      <w:r w:rsidRPr="009070BD">
        <w:rPr>
          <w:rFonts w:cs="Sylfaen"/>
          <w:b w:val="0"/>
          <w:color w:val="000000" w:themeColor="text1"/>
          <w:lang w:val="hy-AM"/>
        </w:rPr>
        <w:t>թ</w:t>
      </w:r>
      <w:r w:rsidRPr="009070BD">
        <w:rPr>
          <w:rFonts w:cs="Sylfaen"/>
          <w:b w:val="0"/>
          <w:color w:val="000000" w:themeColor="text1"/>
          <w:lang w:val="af-ZA"/>
        </w:rPr>
        <w:t xml:space="preserve">. </w:t>
      </w:r>
      <w:r w:rsidRPr="009070BD">
        <w:rPr>
          <w:rFonts w:cs="Sylfaen"/>
          <w:b w:val="0"/>
          <w:color w:val="000000" w:themeColor="text1"/>
          <w:lang w:val="hy-AM"/>
        </w:rPr>
        <w:t>պետական</w:t>
      </w:r>
      <w:r w:rsidRPr="009070BD">
        <w:rPr>
          <w:rFonts w:cs="Sylfaen"/>
          <w:b w:val="0"/>
          <w:color w:val="000000" w:themeColor="text1"/>
          <w:lang w:val="af-ZA"/>
        </w:rPr>
        <w:t xml:space="preserve"> </w:t>
      </w:r>
      <w:r w:rsidRPr="009070BD">
        <w:rPr>
          <w:rFonts w:cs="Sylfaen"/>
          <w:b w:val="0"/>
          <w:color w:val="000000" w:themeColor="text1"/>
          <w:lang w:val="hy-AM"/>
        </w:rPr>
        <w:t>բյուջեով</w:t>
      </w:r>
      <w:r w:rsidRPr="009070BD">
        <w:rPr>
          <w:rFonts w:cs="Sylfaen"/>
          <w:b w:val="0"/>
          <w:color w:val="000000" w:themeColor="text1"/>
          <w:lang w:val="af-ZA"/>
        </w:rPr>
        <w:t xml:space="preserve"> </w:t>
      </w:r>
      <w:r w:rsidRPr="009070BD">
        <w:rPr>
          <w:rFonts w:cs="Sylfaen"/>
          <w:b w:val="0"/>
          <w:color w:val="000000" w:themeColor="text1"/>
          <w:lang w:val="hy-AM"/>
        </w:rPr>
        <w:t>հաստատված</w:t>
      </w:r>
      <w:r w:rsidRPr="009070BD">
        <w:rPr>
          <w:rFonts w:cs="Sylfaen"/>
          <w:b w:val="0"/>
          <w:color w:val="000000" w:themeColor="text1"/>
          <w:lang w:val="af-ZA"/>
        </w:rPr>
        <w:t xml:space="preserve"> </w:t>
      </w:r>
      <w:r w:rsidRPr="009070BD">
        <w:rPr>
          <w:rFonts w:cs="Sylfaen"/>
          <w:b w:val="0"/>
          <w:color w:val="000000" w:themeColor="text1"/>
          <w:lang w:val="hy-AM"/>
        </w:rPr>
        <w:t>119.4 մլն դրամի դիմաց (տարբերությունը պայմանավորված է փոխարժեքի փոփոխությամբ):</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b w:val="0"/>
          <w:color w:val="000000" w:themeColor="text1"/>
        </w:rPr>
        <w:t>Միջոցառումը</w:t>
      </w:r>
      <w:r w:rsidRPr="009070BD">
        <w:rPr>
          <w:rFonts w:eastAsia="Calibri"/>
          <w:b w:val="0"/>
          <w:color w:val="000000" w:themeColor="text1"/>
          <w:lang w:val="hy-AM"/>
        </w:rPr>
        <w:t xml:space="preserve"> նախատես</w:t>
      </w:r>
      <w:r w:rsidRPr="009070BD">
        <w:rPr>
          <w:rFonts w:eastAsia="Calibri"/>
          <w:b w:val="0"/>
          <w:color w:val="000000" w:themeColor="text1"/>
        </w:rPr>
        <w:t>վ</w:t>
      </w:r>
      <w:r w:rsidRPr="009070BD">
        <w:rPr>
          <w:rFonts w:eastAsia="Calibri"/>
          <w:b w:val="0"/>
          <w:color w:val="000000" w:themeColor="text1"/>
          <w:lang w:val="en-US"/>
        </w:rPr>
        <w:t>ած</w:t>
      </w:r>
      <w:r w:rsidRPr="009070BD">
        <w:rPr>
          <w:rFonts w:eastAsia="Calibri"/>
          <w:b w:val="0"/>
          <w:color w:val="000000" w:themeColor="text1"/>
          <w:lang w:val="af-ZA"/>
        </w:rPr>
        <w:t xml:space="preserve"> </w:t>
      </w:r>
      <w:r w:rsidRPr="009070BD">
        <w:rPr>
          <w:rFonts w:eastAsia="Calibri"/>
          <w:b w:val="0"/>
          <w:color w:val="000000" w:themeColor="text1"/>
          <w:lang w:val="en-US"/>
        </w:rPr>
        <w:t>է</w:t>
      </w:r>
      <w:r w:rsidRPr="009070BD">
        <w:rPr>
          <w:rFonts w:eastAsia="Calibri"/>
          <w:b w:val="0"/>
          <w:color w:val="000000" w:themeColor="text1"/>
          <w:lang w:val="hy-AM"/>
        </w:rPr>
        <w:t xml:space="preserve"> արբանյակային ցանցը օպտիկամանրաթելային համակարգին անհասանելի, հիմնականում սահմանամերձ բնակավայրերում տեղադրվող հաղորդակներին հանրապետական սփռման մուլտիպլեքսի ազդանշանը հասցնելու համար: Այն ծառայելու է նաև որպես պահուստ` օպտիկա-մանրաթելային համակարգի հնարավոր խանգարումների դեպքում: </w:t>
      </w:r>
    </w:p>
    <w:p w:rsidR="00AF6C8F" w:rsidRPr="009070BD" w:rsidRDefault="00AF6C8F" w:rsidP="007730AA">
      <w:pPr>
        <w:spacing w:before="0" w:line="276" w:lineRule="auto"/>
        <w:ind w:firstLine="720"/>
        <w:rPr>
          <w:rFonts w:eastAsia="Calibri"/>
          <w:b w:val="0"/>
          <w:color w:val="000000" w:themeColor="text1"/>
          <w:lang w:val="hy-AM"/>
        </w:rPr>
      </w:pPr>
      <w:r w:rsidRPr="009070BD">
        <w:rPr>
          <w:rFonts w:eastAsia="Calibri"/>
          <w:color w:val="000000" w:themeColor="text1"/>
          <w:lang w:val="hy-AM"/>
        </w:rPr>
        <w:t>4. «Ռազմարդյունաբերության բնագավառում պետական քաղաքականության մշակում խորհրդա</w:t>
      </w:r>
      <w:r w:rsidRPr="009070BD">
        <w:rPr>
          <w:rFonts w:eastAsia="Calibri"/>
          <w:color w:val="000000" w:themeColor="text1"/>
          <w:lang w:val="hy-AM"/>
        </w:rPr>
        <w:softHyphen/>
        <w:t>տվական, մոնիտորինգի և աջակցության ծառայություններ, ծրագրերի համակարգում» միջոցառման</w:t>
      </w:r>
      <w:r w:rsidRPr="009070BD">
        <w:rPr>
          <w:rFonts w:eastAsia="Calibri"/>
          <w:b w:val="0"/>
          <w:color w:val="000000" w:themeColor="text1"/>
          <w:lang w:val="hy-AM"/>
        </w:rPr>
        <w:t xml:space="preserve"> շրջանակներում նախատեսվում է իրականացնել ՀՀ բարձր տեխնոլոգիական նախարարության կազմում գործող ռազմարդյունաբերական կոմիտեի պահպանման ծախսերի ֆինանսավորում: Նշված միջոցառման գծով ՀՀ 2021 թվա</w:t>
      </w:r>
      <w:r w:rsidRPr="009070BD">
        <w:rPr>
          <w:rFonts w:eastAsia="Calibri"/>
          <w:b w:val="0"/>
          <w:color w:val="000000" w:themeColor="text1"/>
          <w:lang w:val="hy-AM"/>
        </w:rPr>
        <w:softHyphen/>
        <w:t>կանին նախա</w:t>
      </w:r>
      <w:r w:rsidRPr="009070BD">
        <w:rPr>
          <w:rFonts w:eastAsia="Calibri"/>
          <w:b w:val="0"/>
          <w:color w:val="000000" w:themeColor="text1"/>
          <w:lang w:val="hy-AM"/>
        </w:rPr>
        <w:softHyphen/>
        <w:t>տեսվում է հատկացնել 257.3 մլն դրամ՝  ՀՀ 2020թ. պետական բյուջեով հաստատված 420.3 մլն դրամի դիմաց (որը պայմանավորված է գործող օրենսդրությամբ սահմանված կարգավորումներով:</w:t>
      </w:r>
    </w:p>
    <w:p w:rsidR="002464FE" w:rsidRPr="009070BD" w:rsidRDefault="00AF6C8F" w:rsidP="007730AA">
      <w:pPr>
        <w:pStyle w:val="Bullet2"/>
        <w:spacing w:before="0"/>
      </w:pPr>
      <w:r w:rsidRPr="009070BD">
        <w:t>Այս</w:t>
      </w:r>
      <w:r w:rsidRPr="009070BD">
        <w:rPr>
          <w:lang w:val="pt-BR"/>
        </w:rPr>
        <w:t xml:space="preserve"> </w:t>
      </w:r>
      <w:r w:rsidRPr="009070BD">
        <w:t>ոլորտում</w:t>
      </w:r>
      <w:r w:rsidRPr="009070BD">
        <w:rPr>
          <w:lang w:val="pt-BR"/>
        </w:rPr>
        <w:t xml:space="preserve"> </w:t>
      </w:r>
      <w:r w:rsidRPr="009070BD">
        <w:t>Նախագծով</w:t>
      </w:r>
      <w:r w:rsidRPr="009070BD">
        <w:rPr>
          <w:lang w:val="pt-BR"/>
        </w:rPr>
        <w:t xml:space="preserve"> </w:t>
      </w:r>
      <w:r w:rsidRPr="009070BD">
        <w:t>(առանց ապարատի ծախսերի) նախատեսվող</w:t>
      </w:r>
      <w:r w:rsidRPr="009070BD">
        <w:rPr>
          <w:lang w:val="pt-BR"/>
        </w:rPr>
        <w:t xml:space="preserve"> </w:t>
      </w:r>
      <w:r w:rsidRPr="009070BD">
        <w:t>բյուջետային</w:t>
      </w:r>
      <w:r w:rsidRPr="009070BD">
        <w:rPr>
          <w:lang w:val="pt-BR"/>
        </w:rPr>
        <w:t xml:space="preserve"> </w:t>
      </w:r>
      <w:r w:rsidRPr="009070BD">
        <w:t>ծախսերի</w:t>
      </w:r>
      <w:r w:rsidRPr="009070BD">
        <w:rPr>
          <w:lang w:val="pt-BR"/>
        </w:rPr>
        <w:t xml:space="preserve"> </w:t>
      </w:r>
      <w:r w:rsidRPr="009070BD">
        <w:t>համեմատությունը</w:t>
      </w:r>
      <w:r w:rsidRPr="009070BD">
        <w:rPr>
          <w:lang w:val="pt-BR"/>
        </w:rPr>
        <w:t xml:space="preserve"> </w:t>
      </w:r>
      <w:r w:rsidRPr="009070BD">
        <w:t xml:space="preserve">ՀՀ </w:t>
      </w:r>
      <w:r w:rsidRPr="009070BD">
        <w:rPr>
          <w:lang w:val="pt-BR"/>
        </w:rPr>
        <w:t xml:space="preserve">2019 </w:t>
      </w:r>
      <w:r w:rsidRPr="009070BD">
        <w:t>թվականի</w:t>
      </w:r>
      <w:r w:rsidRPr="009070BD">
        <w:rPr>
          <w:lang w:val="pt-BR"/>
        </w:rPr>
        <w:t xml:space="preserve"> </w:t>
      </w:r>
      <w:r w:rsidRPr="009070BD">
        <w:t>բյուջետային</w:t>
      </w:r>
      <w:r w:rsidRPr="009070BD">
        <w:rPr>
          <w:lang w:val="pt-BR"/>
        </w:rPr>
        <w:t xml:space="preserve"> </w:t>
      </w:r>
      <w:r w:rsidRPr="009070BD">
        <w:t>տարվա</w:t>
      </w:r>
      <w:r w:rsidRPr="009070BD">
        <w:rPr>
          <w:lang w:val="pt-BR"/>
        </w:rPr>
        <w:t xml:space="preserve"> </w:t>
      </w:r>
      <w:r w:rsidRPr="009070BD">
        <w:t>փաստացի</w:t>
      </w:r>
      <w:r w:rsidRPr="009070BD">
        <w:rPr>
          <w:lang w:val="pt-BR"/>
        </w:rPr>
        <w:t xml:space="preserve"> </w:t>
      </w:r>
      <w:r w:rsidRPr="009070BD">
        <w:t>և</w:t>
      </w:r>
      <w:r w:rsidRPr="009070BD">
        <w:rPr>
          <w:lang w:val="pt-BR"/>
        </w:rPr>
        <w:t xml:space="preserve"> </w:t>
      </w:r>
      <w:r w:rsidRPr="009070BD">
        <w:t xml:space="preserve">ՀՀ </w:t>
      </w:r>
      <w:r w:rsidRPr="009070BD">
        <w:rPr>
          <w:lang w:val="pt-BR"/>
        </w:rPr>
        <w:t>2020</w:t>
      </w:r>
      <w:r w:rsidRPr="009070BD">
        <w:t xml:space="preserve"> թվականի</w:t>
      </w:r>
      <w:r w:rsidRPr="009070BD">
        <w:rPr>
          <w:lang w:val="pt-BR"/>
        </w:rPr>
        <w:t xml:space="preserve"> </w:t>
      </w:r>
      <w:r w:rsidRPr="009070BD">
        <w:t>հաստատված</w:t>
      </w:r>
      <w:r w:rsidRPr="009070BD">
        <w:rPr>
          <w:lang w:val="pt-BR"/>
        </w:rPr>
        <w:t xml:space="preserve"> </w:t>
      </w:r>
      <w:r w:rsidRPr="009070BD">
        <w:t>պետական</w:t>
      </w:r>
      <w:r w:rsidRPr="009070BD">
        <w:rPr>
          <w:lang w:val="pt-BR"/>
        </w:rPr>
        <w:t xml:space="preserve"> </w:t>
      </w:r>
      <w:r w:rsidRPr="009070BD">
        <w:t>բյուջեի</w:t>
      </w:r>
      <w:r w:rsidRPr="009070BD">
        <w:rPr>
          <w:lang w:val="pt-BR"/>
        </w:rPr>
        <w:t xml:space="preserve"> </w:t>
      </w:r>
      <w:r w:rsidRPr="009070BD">
        <w:t>համապատասխան</w:t>
      </w:r>
      <w:r w:rsidRPr="009070BD">
        <w:rPr>
          <w:lang w:val="pt-BR"/>
        </w:rPr>
        <w:t xml:space="preserve"> </w:t>
      </w:r>
      <w:r w:rsidRPr="009070BD">
        <w:t>ցուցանիշների</w:t>
      </w:r>
      <w:r w:rsidRPr="009070BD">
        <w:rPr>
          <w:lang w:val="pt-BR"/>
        </w:rPr>
        <w:t xml:space="preserve"> </w:t>
      </w:r>
      <w:r w:rsidRPr="009070BD">
        <w:t>հետ</w:t>
      </w:r>
      <w:r w:rsidRPr="009070BD">
        <w:rPr>
          <w:lang w:val="pt-BR"/>
        </w:rPr>
        <w:t xml:space="preserve"> </w:t>
      </w:r>
      <w:r w:rsidRPr="009070BD">
        <w:t>արտացոլված</w:t>
      </w:r>
      <w:r w:rsidRPr="009070BD">
        <w:rPr>
          <w:lang w:val="pt-BR"/>
        </w:rPr>
        <w:t xml:space="preserve"> </w:t>
      </w:r>
      <w:r w:rsidRPr="009070BD">
        <w:t>է</w:t>
      </w:r>
      <w:r w:rsidRPr="009070BD">
        <w:rPr>
          <w:lang w:val="pt-BR"/>
        </w:rPr>
        <w:t xml:space="preserve"> </w:t>
      </w:r>
      <w:r w:rsidRPr="009070BD">
        <w:t>սույն</w:t>
      </w:r>
      <w:r w:rsidRPr="009070BD">
        <w:rPr>
          <w:lang w:val="pt-BR"/>
        </w:rPr>
        <w:t xml:space="preserve"> </w:t>
      </w:r>
      <w:r w:rsidRPr="009070BD">
        <w:t>բացատրագրի 11 աղյուսակում:</w:t>
      </w:r>
    </w:p>
    <w:p w:rsidR="003C0C2C" w:rsidRPr="009070BD" w:rsidRDefault="00885B84" w:rsidP="007730AA">
      <w:pPr>
        <w:keepNext/>
        <w:spacing w:before="0" w:line="276" w:lineRule="auto"/>
        <w:ind w:firstLine="720"/>
        <w:contextualSpacing w:val="0"/>
        <w:jc w:val="left"/>
        <w:outlineLvl w:val="2"/>
        <w:rPr>
          <w:rFonts w:cs="Arial"/>
          <w:szCs w:val="26"/>
          <w:lang w:val="hy-AM" w:eastAsia="en-US"/>
        </w:rPr>
      </w:pPr>
      <w:r w:rsidRPr="009070BD">
        <w:rPr>
          <w:rFonts w:cs="Arial"/>
          <w:szCs w:val="26"/>
          <w:lang w:val="hy-AM" w:eastAsia="en-US"/>
        </w:rPr>
        <w:t xml:space="preserve"> </w:t>
      </w:r>
      <w:bookmarkStart w:id="230" w:name="_Toc57655479"/>
      <w:r w:rsidRPr="009070BD">
        <w:rPr>
          <w:rFonts w:cs="Arial"/>
          <w:szCs w:val="26"/>
          <w:lang w:val="hy-AM" w:eastAsia="en-US"/>
        </w:rPr>
        <w:t>ՀՀ շրջակա միջավայրի նախարարություն</w:t>
      </w:r>
      <w:bookmarkEnd w:id="230"/>
    </w:p>
    <w:p w:rsidR="001367AD" w:rsidRPr="009070BD" w:rsidRDefault="001367AD" w:rsidP="007730AA">
      <w:pPr>
        <w:spacing w:before="0" w:line="276" w:lineRule="auto"/>
        <w:ind w:firstLine="720"/>
        <w:rPr>
          <w:rFonts w:eastAsia="Calibri"/>
          <w:b w:val="0"/>
          <w:lang w:val="hy-AM"/>
        </w:rPr>
      </w:pPr>
    </w:p>
    <w:p w:rsidR="001367AD" w:rsidRPr="009070BD" w:rsidRDefault="001367AD" w:rsidP="007730AA">
      <w:pPr>
        <w:spacing w:before="0" w:line="276" w:lineRule="auto"/>
        <w:ind w:firstLine="720"/>
        <w:rPr>
          <w:rFonts w:eastAsia="Calibri"/>
          <w:b w:val="0"/>
          <w:lang w:val="hy-AM"/>
        </w:rPr>
      </w:pPr>
      <w:r w:rsidRPr="009070BD">
        <w:rPr>
          <w:rFonts w:eastAsia="Calibri"/>
          <w:b w:val="0"/>
          <w:lang w:val="hy-AM"/>
        </w:rPr>
        <w:t>ՀՀ շրջակա միջավայրի նախարարության գծով նա</w:t>
      </w:r>
      <w:r w:rsidRPr="009070BD">
        <w:rPr>
          <w:rFonts w:eastAsia="Calibri"/>
          <w:b w:val="0"/>
          <w:lang w:val="hy-AM"/>
        </w:rPr>
        <w:softHyphen/>
        <w:t xml:space="preserve">խագծով </w:t>
      </w:r>
      <w:r w:rsidRPr="009070BD">
        <w:rPr>
          <w:rFonts w:cs="Sylfaen"/>
          <w:b w:val="0"/>
          <w:szCs w:val="22"/>
          <w:lang w:val="af-ZA"/>
        </w:rPr>
        <w:t>(առանց ապարատի ծախսերի)</w:t>
      </w:r>
      <w:r w:rsidRPr="009070BD">
        <w:rPr>
          <w:rFonts w:eastAsia="Calibri"/>
          <w:b w:val="0"/>
          <w:lang w:val="hy-AM"/>
        </w:rPr>
        <w:t xml:space="preserve">  նախատեսվում է </w:t>
      </w:r>
      <w:r w:rsidR="003A375C">
        <w:rPr>
          <w:rFonts w:cs="Sylfaen"/>
          <w:b w:val="0"/>
          <w:szCs w:val="22"/>
          <w:lang w:val="af-ZA"/>
        </w:rPr>
        <w:t>7,8</w:t>
      </w:r>
      <w:r w:rsidR="00582ADE" w:rsidRPr="00582ADE">
        <w:rPr>
          <w:rFonts w:cs="Sylfaen"/>
          <w:b w:val="0"/>
          <w:szCs w:val="22"/>
          <w:lang w:val="hy-AM"/>
        </w:rPr>
        <w:t>06.2</w:t>
      </w:r>
      <w:r w:rsidRPr="009070BD">
        <w:rPr>
          <w:rFonts w:cs="Sylfaen"/>
          <w:b w:val="0"/>
          <w:szCs w:val="22"/>
          <w:lang w:val="af-ZA"/>
        </w:rPr>
        <w:t xml:space="preserve"> մլն դրամ</w:t>
      </w:r>
      <w:r w:rsidRPr="009070BD">
        <w:rPr>
          <w:rFonts w:eastAsia="Calibri"/>
          <w:b w:val="0"/>
          <w:lang w:val="hy-AM"/>
        </w:rPr>
        <w:t xml:space="preserve">, որի շրջանակներում նախատեսվում է իրականացնել հետևյալ ծրագրերը. </w:t>
      </w:r>
    </w:p>
    <w:p w:rsidR="001367AD" w:rsidRPr="009070BD" w:rsidRDefault="001367AD" w:rsidP="007730AA">
      <w:pPr>
        <w:autoSpaceDE w:val="0"/>
        <w:autoSpaceDN w:val="0"/>
        <w:adjustRightInd w:val="0"/>
        <w:spacing w:before="0" w:line="276" w:lineRule="auto"/>
        <w:ind w:firstLine="720"/>
        <w:rPr>
          <w:rFonts w:cs="IRTEK Courier"/>
          <w:szCs w:val="22"/>
          <w:lang w:val="hy-AM"/>
        </w:rPr>
      </w:pPr>
      <w:r w:rsidRPr="009070BD">
        <w:rPr>
          <w:rFonts w:cs="IRTEK Courier"/>
          <w:szCs w:val="22"/>
          <w:lang w:val="hy-AM"/>
        </w:rPr>
        <w:t>1. «Շրջակա միջավայրի վրա ազդեցության գնահատում և մոնիթորինգ» ծրագիր</w:t>
      </w:r>
    </w:p>
    <w:p w:rsidR="001367AD" w:rsidRPr="009070BD" w:rsidRDefault="001367AD" w:rsidP="007730AA">
      <w:pPr>
        <w:autoSpaceDE w:val="0"/>
        <w:autoSpaceDN w:val="0"/>
        <w:adjustRightInd w:val="0"/>
        <w:spacing w:before="0" w:line="276" w:lineRule="auto"/>
        <w:ind w:firstLine="720"/>
        <w:rPr>
          <w:rFonts w:eastAsia="Calibri"/>
          <w:b w:val="0"/>
          <w:lang w:val="hy-AM"/>
        </w:rPr>
      </w:pPr>
      <w:r w:rsidRPr="009070BD">
        <w:rPr>
          <w:rFonts w:eastAsia="Calibri"/>
          <w:b w:val="0"/>
          <w:lang w:val="hy-AM"/>
        </w:rPr>
        <w:t>Ծրագրի համար Նախագծով նախատեսվում է հատկացնել 1,685.57 մլն դրամ, որի շրջանակներում իրականացվում են հետևյալ միջոցառումները՝</w:t>
      </w:r>
    </w:p>
    <w:p w:rsidR="001367AD" w:rsidRPr="009070BD" w:rsidRDefault="001367AD" w:rsidP="007730AA">
      <w:pPr>
        <w:autoSpaceDE w:val="0"/>
        <w:autoSpaceDN w:val="0"/>
        <w:adjustRightInd w:val="0"/>
        <w:spacing w:before="0" w:line="276" w:lineRule="auto"/>
        <w:ind w:firstLine="720"/>
        <w:rPr>
          <w:rFonts w:eastAsia="Calibri"/>
          <w:b w:val="0"/>
          <w:lang w:val="hy-AM"/>
        </w:rPr>
      </w:pPr>
      <w:r w:rsidRPr="009070BD">
        <w:rPr>
          <w:rFonts w:eastAsia="Calibri"/>
          <w:b w:val="0"/>
          <w:lang w:val="hy-AM"/>
        </w:rPr>
        <w:t xml:space="preserve"> 1.1. «Շրջակա միջավայրի վրա ազդեցության գնահատման և փորձաքննություն» միջոցառման համար Նախագծով նախատեսվում է հատկացնել 45.46 մլն դրամ` ՀՀ 2020 թվականի պետական բյուջեով հաստատ</w:t>
      </w:r>
      <w:r w:rsidRPr="009070BD">
        <w:rPr>
          <w:rFonts w:eastAsia="Calibri"/>
          <w:b w:val="0"/>
          <w:lang w:val="hy-AM"/>
        </w:rPr>
        <w:softHyphen/>
        <w:t>ված գումարի չափին համապատասխան:</w:t>
      </w:r>
    </w:p>
    <w:p w:rsidR="001367AD" w:rsidRPr="009070BD" w:rsidRDefault="001367AD" w:rsidP="007730AA">
      <w:pPr>
        <w:autoSpaceDE w:val="0"/>
        <w:autoSpaceDN w:val="0"/>
        <w:adjustRightInd w:val="0"/>
        <w:spacing w:before="0" w:line="276" w:lineRule="auto"/>
        <w:ind w:firstLine="720"/>
        <w:rPr>
          <w:rFonts w:eastAsia="Calibri"/>
          <w:b w:val="0"/>
          <w:lang w:val="hy-AM"/>
        </w:rPr>
      </w:pPr>
      <w:r w:rsidRPr="009070BD">
        <w:rPr>
          <w:rFonts w:eastAsia="Calibri"/>
          <w:b w:val="0"/>
          <w:lang w:val="hy-AM"/>
        </w:rPr>
        <w:tab/>
        <w:t>Միջոցառման շրջանակներում նախատեսվում է շրջակա միջավայրի վրա ազդեցության գնահատման և փորձաքննության աշխատանքների իրականացում:</w:t>
      </w:r>
    </w:p>
    <w:p w:rsidR="001367AD" w:rsidRPr="009070BD" w:rsidRDefault="001367AD" w:rsidP="007730AA">
      <w:pPr>
        <w:spacing w:before="0" w:line="276" w:lineRule="auto"/>
        <w:ind w:firstLine="720"/>
        <w:rPr>
          <w:rFonts w:eastAsia="Calibri"/>
          <w:b w:val="0"/>
          <w:lang w:val="hy-AM"/>
        </w:rPr>
      </w:pPr>
      <w:r w:rsidRPr="009070BD">
        <w:rPr>
          <w:rFonts w:eastAsia="Calibri"/>
          <w:b w:val="0"/>
          <w:lang w:val="hy-AM"/>
        </w:rPr>
        <w:tab/>
        <w:t>1.2. ՀՀ կառավարության 20.01.2020թ. N 81-Ն որոշմանը համապատասխան Շրջակա միջավայրի նախարարության «Շրջակա միջավայրի մոնիթորինգի և տեղեկատվության կենտրոն», «Անտառային մոնիթորինգի կենտրոն», և Արտակարգ իրավիճակների նախարարության «Հիդրոօդերևութաբանության և մթնոլորտային երևույթների վրա ակտիվ ներգործության ծառայություն» պետական ոչ առևտրային կազմակերպությունների միաձուլման ձևով վերակազմակերպման արդյունքում ստեղծվել է Շրջակա միջավայրի նախարարության «Հիդրոօդերևութաբանության և մոնիթորինգի կենտրոն» ՊՈԱԿ-ը, որի արդյունքում ՀՀ 2020թ. պետական բյուջեով հաստատված «Հիդրոօդերևութաբանական ծառայություններ»,  «Անտառային պետական մոնիտորինգի իրականացում» և  «Շրջակա միջավայրի մոնիթորինգ և տեղեկատվության ապահովում» միջոցառումների իրականացման համար նախատեսված ֆինանսական միջոցները ուղղվել են 1016 ծրագրի 11004 «Հիդրոօդերևութաբանություն, շրջակա միջավայրի մոնիթորիգ և տեղեկատվության ապահովում» միջոցառմանը, որի համար Նախագծով նախատեսվում է հատկացնել 1,640.11 մլն դրամ:</w:t>
      </w:r>
    </w:p>
    <w:p w:rsidR="001367AD" w:rsidRPr="009070BD" w:rsidRDefault="001367AD" w:rsidP="007730AA">
      <w:pPr>
        <w:spacing w:before="0" w:line="276" w:lineRule="auto"/>
        <w:ind w:firstLine="720"/>
        <w:rPr>
          <w:rFonts w:eastAsia="Calibri"/>
          <w:b w:val="0"/>
          <w:lang w:val="hy-AM"/>
        </w:rPr>
      </w:pPr>
      <w:r w:rsidRPr="009070BD">
        <w:rPr>
          <w:rFonts w:eastAsia="Calibri"/>
          <w:b w:val="0"/>
          <w:lang w:val="hy-AM"/>
        </w:rPr>
        <w:t>Միջոցառման շրջանակներում նախատեսվում է`</w:t>
      </w:r>
    </w:p>
    <w:p w:rsidR="001367AD" w:rsidRPr="009070BD" w:rsidRDefault="001367AD" w:rsidP="007730AA">
      <w:pPr>
        <w:tabs>
          <w:tab w:val="left" w:pos="540"/>
        </w:tabs>
        <w:spacing w:before="0" w:line="276" w:lineRule="auto"/>
        <w:ind w:firstLine="720"/>
        <w:rPr>
          <w:rFonts w:eastAsia="Calibri"/>
          <w:b w:val="0"/>
          <w:lang w:val="hy-AM"/>
        </w:rPr>
      </w:pPr>
      <w:r w:rsidRPr="009070BD">
        <w:rPr>
          <w:rFonts w:eastAsia="Calibri"/>
          <w:b w:val="0"/>
          <w:lang w:val="hy-AM"/>
        </w:rPr>
        <w:tab/>
        <w:t>- Հանրապետության տարածքում պետական նշանակության  հիդրոօդերևու</w:t>
      </w:r>
      <w:r w:rsidRPr="009070BD">
        <w:rPr>
          <w:rFonts w:eastAsia="Calibri"/>
          <w:b w:val="0"/>
          <w:lang w:val="hy-AM"/>
        </w:rPr>
        <w:softHyphen/>
        <w:t>թաբանական աշխատանքների կատարում` մթնոլորտի և ջրոլորտի ուսումնա</w:t>
      </w:r>
      <w:r w:rsidRPr="009070BD">
        <w:rPr>
          <w:rFonts w:eastAsia="Calibri"/>
          <w:b w:val="0"/>
          <w:lang w:val="hy-AM"/>
        </w:rPr>
        <w:softHyphen/>
        <w:t>սիրու</w:t>
      </w:r>
      <w:r w:rsidRPr="009070BD">
        <w:rPr>
          <w:rFonts w:eastAsia="Calibri"/>
          <w:b w:val="0"/>
          <w:lang w:val="hy-AM"/>
        </w:rPr>
        <w:softHyphen/>
        <w:t>թյունների ձևով, հանրապետության տարածքում հիդրոօդերևութաբանական երևույթների,  ջրա</w:t>
      </w:r>
      <w:r w:rsidRPr="009070BD">
        <w:rPr>
          <w:rFonts w:eastAsia="Calibri"/>
          <w:b w:val="0"/>
          <w:lang w:val="hy-AM"/>
        </w:rPr>
        <w:softHyphen/>
        <w:t>յին օբյեկտների հիդրոլոգիական բնութագրերի ուսումնասիրության, ֆոնային ռադիոակ</w:t>
      </w:r>
      <w:r w:rsidRPr="009070BD">
        <w:rPr>
          <w:rFonts w:eastAsia="Calibri"/>
          <w:b w:val="0"/>
          <w:lang w:val="hy-AM"/>
        </w:rPr>
        <w:softHyphen/>
        <w:t>տիվու</w:t>
      </w:r>
      <w:r w:rsidRPr="009070BD">
        <w:rPr>
          <w:rFonts w:eastAsia="Calibri"/>
          <w:b w:val="0"/>
          <w:lang w:val="hy-AM"/>
        </w:rPr>
        <w:softHyphen/>
        <w:t>թյան վերաբերյալ դիտարկումների կատարման, այդ ոլորտների վերաբերյալ փաստացի և սպաս</w:t>
      </w:r>
      <w:r w:rsidRPr="009070BD">
        <w:rPr>
          <w:rFonts w:eastAsia="Calibri"/>
          <w:b w:val="0"/>
          <w:lang w:val="hy-AM"/>
        </w:rPr>
        <w:softHyphen/>
        <w:t>վող փոփոխությունների, ինչպես նաև դրանց հնարավոր հետևանքների մասին անհրա</w:t>
      </w:r>
      <w:r w:rsidRPr="009070BD">
        <w:rPr>
          <w:rFonts w:eastAsia="Calibri"/>
          <w:b w:val="0"/>
          <w:lang w:val="hy-AM"/>
        </w:rPr>
        <w:softHyphen/>
        <w:t>ժեշտ տեղե</w:t>
      </w:r>
      <w:r w:rsidRPr="009070BD">
        <w:rPr>
          <w:rFonts w:eastAsia="Calibri"/>
          <w:b w:val="0"/>
          <w:lang w:val="hy-AM"/>
        </w:rPr>
        <w:softHyphen/>
        <w:t>կատվության ապահովումը և մթնոլորտային երևույթների կառավարումը ու ռադիոլոկացիոն կայանների դիտարկումների, թափոնների ուսումնասիրության աշխատանքների իրականացումը, ինչպես նաև նպաստելու շրջակա միջավայրի և բնական ռեսուրսների (բացառությամբ օգտակար հանածոների) պահպանությանը:</w:t>
      </w:r>
    </w:p>
    <w:p w:rsidR="001367AD" w:rsidRPr="009070BD" w:rsidRDefault="001367AD" w:rsidP="007730AA">
      <w:pPr>
        <w:spacing w:before="0" w:line="276" w:lineRule="auto"/>
        <w:ind w:firstLine="720"/>
        <w:rPr>
          <w:rFonts w:eastAsia="Calibri"/>
          <w:b w:val="0"/>
          <w:lang w:val="hy-AM"/>
        </w:rPr>
      </w:pPr>
      <w:r w:rsidRPr="009070BD">
        <w:rPr>
          <w:rFonts w:eastAsia="Calibri"/>
          <w:b w:val="0"/>
          <w:lang w:val="hy-AM"/>
        </w:rPr>
        <w:t>- Շրջակա միջավայրի և բնական ռեսուրսների պահպանության բարձր մակարդակի ապահովմանը նպաստելը` շրջակա միջավայրի և բնական ռեսուրսների (բացառությամբ օգտակար հանածոների պաշարների) նկատմամբ դիտարկումների իրականացման, վիճակի գնահատման վերաբերյալ բավարար տվյալների ստեղծման, դրանց գրանցման, վերլուծման, տրամադրման ու պահման միջոցով.</w:t>
      </w:r>
    </w:p>
    <w:p w:rsidR="001367AD" w:rsidRPr="009070BD" w:rsidRDefault="001367AD" w:rsidP="007730AA">
      <w:pPr>
        <w:spacing w:before="0" w:line="276" w:lineRule="auto"/>
        <w:ind w:firstLine="720"/>
        <w:rPr>
          <w:rFonts w:eastAsia="Calibri"/>
          <w:b w:val="0"/>
          <w:lang w:val="hy-AM"/>
        </w:rPr>
      </w:pPr>
      <w:r w:rsidRPr="009070BD">
        <w:rPr>
          <w:rFonts w:eastAsia="Calibri"/>
          <w:b w:val="0"/>
          <w:lang w:val="hy-AM"/>
        </w:rPr>
        <w:t>- Շրջակա միջավայրի և բնական ռեսուրսների վիճակի մասին տեղեկատվությունը բնապահպանական միասնական տեղեկատվական շտեմարանում ներբեռնումն ու շտեմարանի վարումը.</w:t>
      </w:r>
    </w:p>
    <w:p w:rsidR="001367AD" w:rsidRPr="009070BD" w:rsidRDefault="001367AD" w:rsidP="007730AA">
      <w:pPr>
        <w:spacing w:before="0" w:line="276" w:lineRule="auto"/>
        <w:ind w:firstLine="720"/>
        <w:rPr>
          <w:rFonts w:eastAsia="Calibri"/>
          <w:b w:val="0"/>
          <w:lang w:val="hy-AM"/>
        </w:rPr>
      </w:pPr>
      <w:r w:rsidRPr="009070BD">
        <w:rPr>
          <w:rFonts w:eastAsia="Calibri"/>
          <w:b w:val="0"/>
          <w:lang w:val="hy-AM"/>
        </w:rPr>
        <w:t>- Թափոնների գոյացման, վերամշակման ու օգտահանման օբյեկտների և հեռացման վայրերի ու թափոնների դասակարգչի կազմման համար ուսումնասիրության իրականացումը, ինչպես նաև թափոնների օգտագործման ու վնասազերծման սակավաթափոն և անթափոն տեխնոլոգիաների մասին տվյալների հավաքումն ու վերլուծումը.</w:t>
      </w:r>
    </w:p>
    <w:p w:rsidR="001367AD" w:rsidRPr="009070BD" w:rsidRDefault="001367AD" w:rsidP="007730AA">
      <w:pPr>
        <w:spacing w:before="0" w:line="276" w:lineRule="auto"/>
        <w:ind w:firstLine="720"/>
        <w:rPr>
          <w:rFonts w:eastAsia="Calibri"/>
          <w:b w:val="0"/>
          <w:lang w:val="hy-AM"/>
        </w:rPr>
      </w:pPr>
      <w:r w:rsidRPr="009070BD">
        <w:rPr>
          <w:rFonts w:eastAsia="Calibri"/>
          <w:b w:val="0"/>
          <w:lang w:val="hy-AM"/>
        </w:rPr>
        <w:t>- Շրջակա միջավայրի և բնական ռեսուրսների առանձին բաղադրիչների մասին տվյալների հավաքագրման ու վերլուծության հիման վրա համապատասխան համակարգչային շտեմարանների (բազա) ստեղծումը և վարումը, Հայաստանի Հանրապետության օրենսդրությամբ սահմանված կարգով պետական մարմիններին, հասարակական կազմակերպություններին ու հասարակությանն այդ շտեմարաններում պարունակվող տեղեկությունների տրամադրումը և ստացումը:</w:t>
      </w:r>
    </w:p>
    <w:p w:rsidR="001367AD" w:rsidRPr="009070BD" w:rsidRDefault="001367AD" w:rsidP="007730AA">
      <w:pPr>
        <w:spacing w:before="0" w:line="276" w:lineRule="auto"/>
        <w:ind w:firstLine="720"/>
        <w:rPr>
          <w:rFonts w:cs="Sylfaen"/>
          <w:b w:val="0"/>
          <w:szCs w:val="22"/>
          <w:lang w:val="hy-AM"/>
        </w:rPr>
      </w:pPr>
      <w:r w:rsidRPr="009070BD">
        <w:rPr>
          <w:rFonts w:cs="IRTEK Courier"/>
          <w:szCs w:val="22"/>
          <w:lang w:val="hy-AM"/>
        </w:rPr>
        <w:t>2.</w:t>
      </w:r>
      <w:r w:rsidRPr="009070BD">
        <w:rPr>
          <w:rFonts w:cs="IRTEK Courier"/>
          <w:szCs w:val="22"/>
          <w:lang w:val="pt-BR"/>
        </w:rPr>
        <w:t xml:space="preserve"> </w:t>
      </w:r>
      <w:r w:rsidRPr="009070BD">
        <w:rPr>
          <w:rFonts w:cs="IRTEK Courier"/>
          <w:szCs w:val="22"/>
          <w:lang w:val="hy-AM"/>
        </w:rPr>
        <w:t>«Բնապահպանական ծրագրերի իրականացում համայնքներում» ծրագիր</w:t>
      </w:r>
      <w:r w:rsidRPr="009070BD">
        <w:rPr>
          <w:rFonts w:eastAsia="Microsoft JhengHei" w:cs="Microsoft JhengHei"/>
          <w:szCs w:val="22"/>
          <w:lang w:val="hy-AM" w:eastAsia="zh-CN"/>
        </w:rPr>
        <w:t></w:t>
      </w:r>
      <w:r w:rsidRPr="009070BD">
        <w:rPr>
          <w:rFonts w:eastAsia="DengXian" w:cs="Microsoft JhengHei" w:hint="eastAsia"/>
          <w:szCs w:val="22"/>
          <w:lang w:val="hy-AM" w:eastAsia="zh-CN"/>
        </w:rPr>
        <w:t xml:space="preserve"> </w:t>
      </w:r>
      <w:r w:rsidRPr="009070BD">
        <w:rPr>
          <w:rFonts w:cs="Sylfaen"/>
          <w:b w:val="0"/>
          <w:szCs w:val="22"/>
          <w:lang w:val="hy-AM"/>
        </w:rPr>
        <w:t>որի շրջանակում նախատեսվում է իրականացնել.</w:t>
      </w:r>
    </w:p>
    <w:p w:rsidR="001367AD" w:rsidRPr="009070BD" w:rsidRDefault="001367AD" w:rsidP="007730AA">
      <w:pPr>
        <w:tabs>
          <w:tab w:val="left" w:pos="851"/>
          <w:tab w:val="left" w:pos="993"/>
        </w:tabs>
        <w:spacing w:before="0" w:line="276" w:lineRule="auto"/>
        <w:ind w:firstLine="720"/>
        <w:contextualSpacing w:val="0"/>
        <w:rPr>
          <w:rFonts w:cs="Sylfaen"/>
          <w:b w:val="0"/>
          <w:szCs w:val="22"/>
          <w:lang w:val="hy-AM"/>
        </w:rPr>
      </w:pPr>
      <w:r w:rsidRPr="009070BD">
        <w:rPr>
          <w:rFonts w:cs="Sylfaen"/>
          <w:szCs w:val="22"/>
          <w:lang w:val="hy-AM"/>
        </w:rPr>
        <w:t xml:space="preserve">2.1 </w:t>
      </w:r>
      <w:r w:rsidRPr="009070BD">
        <w:rPr>
          <w:rFonts w:cs="Sylfaen"/>
          <w:b w:val="0"/>
          <w:szCs w:val="22"/>
          <w:lang w:val="hy-AM"/>
        </w:rPr>
        <w:t>«Բնապահպանական սուբվենցիաներ համայնքներին» միջոցառումը։ Միջոցառման շրջանակներում «Ընկերությունների կողմից վճարվող բնապահպանական հարկի նպատակային օգտագործման մասին» ՀՀ օրենքի համաձայն ՀՀ համայնքներին կտրամադրվեն սուբվենցիաներ բնապահպանական</w:t>
      </w:r>
      <w:r w:rsidR="003A375C">
        <w:rPr>
          <w:rFonts w:cs="Sylfaen"/>
          <w:b w:val="0"/>
          <w:szCs w:val="22"/>
          <w:lang w:val="hy-AM"/>
        </w:rPr>
        <w:t xml:space="preserve"> ծրագրերի իրականացման համար` </w:t>
      </w:r>
      <w:r w:rsidR="003A375C" w:rsidRPr="003A375C">
        <w:rPr>
          <w:rFonts w:cs="Sylfaen"/>
          <w:b w:val="0"/>
          <w:szCs w:val="22"/>
          <w:lang w:val="hy-AM"/>
        </w:rPr>
        <w:t>524.3</w:t>
      </w:r>
      <w:r w:rsidRPr="009070BD">
        <w:rPr>
          <w:rFonts w:cs="Sylfaen"/>
          <w:b w:val="0"/>
          <w:szCs w:val="22"/>
          <w:lang w:val="hy-AM"/>
        </w:rPr>
        <w:t xml:space="preserve"> մլն դրամի չա</w:t>
      </w:r>
      <w:r w:rsidRPr="009070BD">
        <w:rPr>
          <w:rFonts w:cs="Sylfaen"/>
          <w:b w:val="0"/>
          <w:szCs w:val="22"/>
          <w:lang w:val="hy-AM"/>
        </w:rPr>
        <w:softHyphen/>
        <w:t>փով:</w:t>
      </w:r>
    </w:p>
    <w:p w:rsidR="001367AD" w:rsidRPr="009070BD" w:rsidRDefault="001367AD" w:rsidP="007730AA">
      <w:pPr>
        <w:spacing w:before="0" w:line="276" w:lineRule="auto"/>
        <w:ind w:firstLine="720"/>
        <w:rPr>
          <w:rFonts w:cs="IRTEK Courier"/>
          <w:szCs w:val="22"/>
          <w:lang w:val="hy-AM"/>
        </w:rPr>
      </w:pPr>
      <w:r w:rsidRPr="009070BD">
        <w:rPr>
          <w:rFonts w:cs="IRTEK Courier"/>
          <w:szCs w:val="22"/>
          <w:lang w:val="pt-BR"/>
        </w:rPr>
        <w:t xml:space="preserve">3. </w:t>
      </w:r>
      <w:r w:rsidRPr="009070BD">
        <w:rPr>
          <w:rFonts w:cs="IRTEK Courier"/>
          <w:szCs w:val="22"/>
          <w:lang w:val="hy-AM"/>
        </w:rPr>
        <w:t>«Բնական պաշարների և բնության հատուկ պահպանվող տարածքների կառավարում և պահպանում» ծրագիր</w:t>
      </w:r>
    </w:p>
    <w:p w:rsidR="001367AD" w:rsidRPr="009070BD" w:rsidRDefault="001367AD" w:rsidP="007730AA">
      <w:pPr>
        <w:autoSpaceDE w:val="0"/>
        <w:autoSpaceDN w:val="0"/>
        <w:adjustRightInd w:val="0"/>
        <w:spacing w:before="0" w:line="276" w:lineRule="auto"/>
        <w:ind w:firstLine="720"/>
        <w:rPr>
          <w:rFonts w:cs="Sylfaen"/>
          <w:b w:val="0"/>
          <w:szCs w:val="22"/>
          <w:lang w:val="hy-AM"/>
        </w:rPr>
      </w:pPr>
      <w:r w:rsidRPr="009070BD">
        <w:rPr>
          <w:rFonts w:cs="Sylfaen"/>
          <w:b w:val="0"/>
          <w:szCs w:val="22"/>
          <w:lang w:val="hy-AM"/>
        </w:rPr>
        <w:t>Ծրագրի համար Ն</w:t>
      </w:r>
      <w:r w:rsidRPr="009070BD">
        <w:rPr>
          <w:b w:val="0"/>
          <w:szCs w:val="22"/>
          <w:lang w:val="hy-AM"/>
        </w:rPr>
        <w:t>ախագծով</w:t>
      </w:r>
      <w:r w:rsidRPr="009070BD">
        <w:rPr>
          <w:rFonts w:cs="Sylfaen"/>
          <w:b w:val="0"/>
          <w:szCs w:val="22"/>
          <w:lang w:val="af-ZA"/>
        </w:rPr>
        <w:t xml:space="preserve"> </w:t>
      </w:r>
      <w:r w:rsidRPr="009070BD">
        <w:rPr>
          <w:rFonts w:cs="Sylfaen"/>
          <w:b w:val="0"/>
          <w:szCs w:val="22"/>
          <w:lang w:val="hy-AM"/>
        </w:rPr>
        <w:t>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w:t>
      </w:r>
      <w:r w:rsidRPr="009070BD">
        <w:rPr>
          <w:rFonts w:cs="Sylfaen"/>
          <w:b w:val="0"/>
          <w:szCs w:val="22"/>
          <w:lang w:val="hy-AM"/>
        </w:rPr>
        <w:t>հատկացնել</w:t>
      </w:r>
      <w:r w:rsidRPr="009070BD">
        <w:rPr>
          <w:rFonts w:cs="Sylfaen"/>
          <w:b w:val="0"/>
          <w:szCs w:val="22"/>
          <w:lang w:val="af-ZA"/>
        </w:rPr>
        <w:t xml:space="preserve"> </w:t>
      </w:r>
      <w:r w:rsidRPr="009070BD">
        <w:rPr>
          <w:rFonts w:cs="Sylfaen"/>
          <w:b w:val="0"/>
          <w:szCs w:val="22"/>
          <w:lang w:val="hy-AM"/>
        </w:rPr>
        <w:t>3,3</w:t>
      </w:r>
      <w:r w:rsidR="00DB5B38" w:rsidRPr="00DB5B38">
        <w:rPr>
          <w:rFonts w:cs="Sylfaen"/>
          <w:b w:val="0"/>
          <w:szCs w:val="22"/>
          <w:lang w:val="hy-AM"/>
        </w:rPr>
        <w:t>17</w:t>
      </w:r>
      <w:r w:rsidRPr="009070BD">
        <w:rPr>
          <w:rFonts w:cs="Sylfaen"/>
          <w:b w:val="0"/>
          <w:szCs w:val="22"/>
          <w:lang w:val="hy-AM"/>
        </w:rPr>
        <w:t>.</w:t>
      </w:r>
      <w:r w:rsidR="00DB5B38" w:rsidRPr="00DB5B38">
        <w:rPr>
          <w:rFonts w:cs="Sylfaen"/>
          <w:b w:val="0"/>
          <w:szCs w:val="22"/>
          <w:lang w:val="hy-AM"/>
        </w:rPr>
        <w:t>7</w:t>
      </w:r>
      <w:r w:rsidRPr="009070BD">
        <w:rPr>
          <w:rFonts w:cs="Sylfaen"/>
          <w:b w:val="0"/>
          <w:szCs w:val="22"/>
          <w:lang w:val="af-ZA"/>
        </w:rPr>
        <w:t xml:space="preserve">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 որի շրջանակներում իրականացվում են հետևյալ միջոցառումները՝</w:t>
      </w:r>
    </w:p>
    <w:p w:rsidR="001367AD" w:rsidRPr="009070BD" w:rsidRDefault="001367AD" w:rsidP="007730AA">
      <w:pPr>
        <w:spacing w:before="0" w:line="276" w:lineRule="auto"/>
        <w:ind w:firstLine="720"/>
        <w:rPr>
          <w:b w:val="0"/>
          <w:szCs w:val="22"/>
          <w:lang w:val="af-ZA"/>
        </w:rPr>
      </w:pPr>
      <w:r w:rsidRPr="009070BD">
        <w:rPr>
          <w:rFonts w:cs="Sylfaen"/>
          <w:b w:val="0"/>
          <w:bCs/>
          <w:szCs w:val="22"/>
          <w:lang w:val="hy-AM"/>
        </w:rPr>
        <w:t>3.1 Գերմանիայի զարգացման վարկերի բանկի (KFW) կողմից տրամադրվող «Կովկասի պահպանվող տարածքների աջակցության ծրագիր-Հայաստան (Էկոտարածաշրջանային ծրագիր-Հայաստան, 3-րդ փուլ)» դրամաշնորհային ծրագիր,</w:t>
      </w:r>
      <w:r w:rsidRPr="009070BD">
        <w:rPr>
          <w:rFonts w:cs="Sylfaen"/>
          <w:szCs w:val="22"/>
          <w:lang w:val="hy-AM"/>
        </w:rPr>
        <w:t xml:space="preserve"> </w:t>
      </w:r>
      <w:r w:rsidRPr="009070BD">
        <w:rPr>
          <w:rFonts w:cs="Sylfaen"/>
          <w:b w:val="0"/>
          <w:szCs w:val="22"/>
          <w:lang w:val="hy-AM"/>
        </w:rPr>
        <w:t>որի</w:t>
      </w:r>
      <w:r w:rsidRPr="009070BD">
        <w:rPr>
          <w:b w:val="0"/>
          <w:szCs w:val="22"/>
          <w:lang w:val="af-ZA"/>
        </w:rPr>
        <w:t xml:space="preserve"> նպատակն է բնական պաշարների և պահպանվող տարածքների կառավարումը,  հարակից գյուղական համայնքների սոցիալ-տնտեսական վիճակի բարելավումը, Հարավային Կովկասում կենսաբազմազանության պահպանումը: Ծրագրի իրականացումը կնպաստի Հայաստանի Հանրապետության Սյունիքի մարզում կենսոլորտային տարածքի ստեղծմանը՝ 202</w:t>
      </w:r>
      <w:r w:rsidRPr="009070BD">
        <w:rPr>
          <w:b w:val="0"/>
          <w:szCs w:val="22"/>
          <w:lang w:val="hy-AM"/>
        </w:rPr>
        <w:t>1</w:t>
      </w:r>
      <w:r w:rsidRPr="009070BD">
        <w:rPr>
          <w:b w:val="0"/>
          <w:szCs w:val="22"/>
          <w:lang w:val="af-ZA"/>
        </w:rPr>
        <w:t xml:space="preserve">թ. նախատեսվում է </w:t>
      </w:r>
      <w:r w:rsidRPr="009070BD">
        <w:rPr>
          <w:b w:val="0"/>
          <w:szCs w:val="22"/>
          <w:lang w:val="hy-AM"/>
        </w:rPr>
        <w:t>2,0</w:t>
      </w:r>
      <w:r w:rsidR="00AB56B7" w:rsidRPr="00AB56B7">
        <w:rPr>
          <w:b w:val="0"/>
          <w:szCs w:val="22"/>
          <w:lang w:val="hy-AM"/>
        </w:rPr>
        <w:t>6</w:t>
      </w:r>
      <w:r w:rsidRPr="009070BD">
        <w:rPr>
          <w:b w:val="0"/>
          <w:szCs w:val="22"/>
          <w:lang w:val="hy-AM"/>
        </w:rPr>
        <w:t>3</w:t>
      </w:r>
      <w:r w:rsidR="00AB56B7" w:rsidRPr="00AB56B7">
        <w:rPr>
          <w:b w:val="0"/>
          <w:szCs w:val="22"/>
          <w:lang w:val="hy-AM"/>
        </w:rPr>
        <w:t>.5</w:t>
      </w:r>
      <w:r w:rsidRPr="009070BD">
        <w:rPr>
          <w:b w:val="0"/>
          <w:szCs w:val="22"/>
          <w:lang w:val="af-ZA"/>
        </w:rPr>
        <w:t xml:space="preserve"> մլն դրամ, այդ թվում </w:t>
      </w:r>
      <w:r w:rsidRPr="009070BD">
        <w:rPr>
          <w:b w:val="0"/>
          <w:szCs w:val="22"/>
          <w:lang w:val="hy-AM"/>
        </w:rPr>
        <w:t>դրամաշնորհային</w:t>
      </w:r>
      <w:r w:rsidRPr="009070BD">
        <w:rPr>
          <w:b w:val="0"/>
          <w:szCs w:val="22"/>
          <w:lang w:val="af-ZA"/>
        </w:rPr>
        <w:t xml:space="preserve"> միջոցներ`  </w:t>
      </w:r>
      <w:r w:rsidRPr="009070BD">
        <w:rPr>
          <w:b w:val="0"/>
          <w:szCs w:val="22"/>
          <w:lang w:val="hy-AM"/>
        </w:rPr>
        <w:t>1,5</w:t>
      </w:r>
      <w:r w:rsidR="00AB56B7" w:rsidRPr="00AB56B7">
        <w:rPr>
          <w:b w:val="0"/>
          <w:szCs w:val="22"/>
          <w:lang w:val="hy-AM"/>
        </w:rPr>
        <w:t>51</w:t>
      </w:r>
      <w:r w:rsidRPr="009070BD">
        <w:rPr>
          <w:rFonts w:ascii="Cambria Math" w:hAnsi="Cambria Math"/>
          <w:b w:val="0"/>
          <w:szCs w:val="22"/>
          <w:lang w:val="hy-AM"/>
        </w:rPr>
        <w:t>․</w:t>
      </w:r>
      <w:r w:rsidR="00AB56B7" w:rsidRPr="00AB56B7">
        <w:rPr>
          <w:b w:val="0"/>
          <w:szCs w:val="22"/>
          <w:lang w:val="hy-AM"/>
        </w:rPr>
        <w:t>9</w:t>
      </w:r>
      <w:r w:rsidRPr="009070BD">
        <w:rPr>
          <w:b w:val="0"/>
          <w:szCs w:val="22"/>
          <w:lang w:val="af-ZA"/>
        </w:rPr>
        <w:t xml:space="preserve"> մլն դրամ, ՀՀ համաֆինանսավորում`  </w:t>
      </w:r>
      <w:r w:rsidRPr="009070BD">
        <w:rPr>
          <w:b w:val="0"/>
          <w:szCs w:val="22"/>
          <w:lang w:val="hy-AM"/>
        </w:rPr>
        <w:t>51</w:t>
      </w:r>
      <w:r w:rsidR="00AB56B7" w:rsidRPr="00AB56B7">
        <w:rPr>
          <w:b w:val="0"/>
          <w:szCs w:val="22"/>
          <w:lang w:val="hy-AM"/>
        </w:rPr>
        <w:t>1.</w:t>
      </w:r>
      <w:r w:rsidR="00AB56B7" w:rsidRPr="00582ADE">
        <w:rPr>
          <w:b w:val="0"/>
          <w:szCs w:val="22"/>
          <w:lang w:val="hy-AM"/>
        </w:rPr>
        <w:t>6</w:t>
      </w:r>
      <w:r w:rsidRPr="009070BD">
        <w:rPr>
          <w:b w:val="0"/>
          <w:szCs w:val="22"/>
          <w:lang w:val="af-ZA"/>
        </w:rPr>
        <w:t xml:space="preserve"> մլն դրամ:</w:t>
      </w:r>
    </w:p>
    <w:p w:rsidR="001367AD" w:rsidRPr="009070BD" w:rsidRDefault="001367AD" w:rsidP="007730AA">
      <w:pPr>
        <w:spacing w:before="0" w:line="276" w:lineRule="auto"/>
        <w:ind w:firstLine="720"/>
        <w:rPr>
          <w:b w:val="0"/>
          <w:sz w:val="24"/>
          <w:lang w:val="hy-AM"/>
        </w:rPr>
      </w:pPr>
      <w:r w:rsidRPr="009070BD">
        <w:rPr>
          <w:b w:val="0"/>
          <w:sz w:val="24"/>
          <w:lang w:val="af-ZA"/>
        </w:rPr>
        <w:t>3</w:t>
      </w:r>
      <w:r w:rsidRPr="009070BD">
        <w:rPr>
          <w:b w:val="0"/>
          <w:sz w:val="24"/>
          <w:lang w:val="hy-AM"/>
        </w:rPr>
        <w:t>.2 «Սևանա լճի ջրածածկ անտառտնկարկների մաքրում» միջոցառման համար Նախագծով նախատեսվում է հատկացնել 208.23 մլն դրամ` ՀՀ 2020 թվականի պետական բյուջեով հաստատված գումարի չափին համապատասխան:</w:t>
      </w:r>
    </w:p>
    <w:p w:rsidR="001367AD" w:rsidRPr="009070BD" w:rsidRDefault="001367AD" w:rsidP="007730AA">
      <w:pPr>
        <w:spacing w:before="0" w:line="276" w:lineRule="auto"/>
        <w:ind w:firstLine="720"/>
        <w:rPr>
          <w:rFonts w:cs="Sylfaen"/>
          <w:b w:val="0"/>
          <w:szCs w:val="22"/>
          <w:lang w:val="hy-AM"/>
        </w:rPr>
      </w:pPr>
      <w:r w:rsidRPr="009070BD">
        <w:rPr>
          <w:rFonts w:cs="Sylfaen"/>
          <w:b w:val="0"/>
          <w:szCs w:val="22"/>
          <w:lang w:val="af-ZA"/>
        </w:rPr>
        <w:t xml:space="preserve">Ծրագրի </w:t>
      </w:r>
      <w:r w:rsidRPr="009070BD">
        <w:rPr>
          <w:rFonts w:cs="Sylfaen"/>
          <w:b w:val="0"/>
          <w:szCs w:val="22"/>
          <w:lang w:val="hy-AM"/>
        </w:rPr>
        <w:t>շրջանակներում</w:t>
      </w:r>
      <w:r w:rsidRPr="009070BD">
        <w:rPr>
          <w:rFonts w:cs="Sylfaen"/>
          <w:b w:val="0"/>
          <w:szCs w:val="22"/>
          <w:lang w:val="af-ZA"/>
        </w:rPr>
        <w:t xml:space="preserve"> </w:t>
      </w:r>
      <w:r w:rsidRPr="009070BD">
        <w:rPr>
          <w:rFonts w:cs="Sylfaen"/>
          <w:b w:val="0"/>
          <w:szCs w:val="22"/>
          <w:lang w:val="hy-AM"/>
        </w:rPr>
        <w:t>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w:t>
      </w:r>
      <w:r w:rsidRPr="009070BD">
        <w:rPr>
          <w:rFonts w:cs="Sylfaen"/>
          <w:b w:val="0"/>
          <w:szCs w:val="22"/>
          <w:lang w:val="hy-AM"/>
        </w:rPr>
        <w:t>մաքրել</w:t>
      </w:r>
      <w:r w:rsidRPr="009070BD">
        <w:rPr>
          <w:rFonts w:cs="Sylfaen"/>
          <w:b w:val="0"/>
          <w:szCs w:val="22"/>
          <w:lang w:val="af-ZA"/>
        </w:rPr>
        <w:t xml:space="preserve"> </w:t>
      </w:r>
      <w:r w:rsidRPr="009070BD">
        <w:rPr>
          <w:rFonts w:cs="Sylfaen"/>
          <w:b w:val="0"/>
          <w:szCs w:val="22"/>
          <w:lang w:val="hy-AM"/>
        </w:rPr>
        <w:t>Սևանա</w:t>
      </w:r>
      <w:r w:rsidRPr="009070BD">
        <w:rPr>
          <w:rFonts w:cs="Sylfaen"/>
          <w:b w:val="0"/>
          <w:szCs w:val="22"/>
          <w:lang w:val="af-ZA"/>
        </w:rPr>
        <w:t xml:space="preserve"> </w:t>
      </w:r>
      <w:r w:rsidRPr="009070BD">
        <w:rPr>
          <w:rFonts w:cs="Sylfaen"/>
          <w:b w:val="0"/>
          <w:szCs w:val="22"/>
          <w:lang w:val="hy-AM"/>
        </w:rPr>
        <w:t>լճի</w:t>
      </w:r>
      <w:r w:rsidRPr="009070BD">
        <w:rPr>
          <w:rFonts w:cs="Sylfaen"/>
          <w:b w:val="0"/>
          <w:szCs w:val="22"/>
          <w:lang w:val="af-ZA"/>
        </w:rPr>
        <w:t xml:space="preserve"> </w:t>
      </w:r>
      <w:r w:rsidRPr="009070BD">
        <w:rPr>
          <w:rFonts w:cs="Sylfaen"/>
          <w:b w:val="0"/>
          <w:szCs w:val="22"/>
          <w:lang w:val="hy-AM"/>
        </w:rPr>
        <w:t>շրջակայքի</w:t>
      </w:r>
      <w:r w:rsidRPr="009070BD">
        <w:rPr>
          <w:rFonts w:cs="Sylfaen"/>
          <w:b w:val="0"/>
          <w:szCs w:val="22"/>
          <w:lang w:val="af-ZA"/>
        </w:rPr>
        <w:t xml:space="preserve"> </w:t>
      </w:r>
      <w:r w:rsidRPr="009070BD">
        <w:rPr>
          <w:rFonts w:cs="Sylfaen"/>
          <w:b w:val="0"/>
          <w:szCs w:val="22"/>
          <w:lang w:val="hy-AM"/>
        </w:rPr>
        <w:t>271</w:t>
      </w:r>
      <w:r w:rsidRPr="009070BD">
        <w:rPr>
          <w:rFonts w:cs="Sylfaen"/>
          <w:b w:val="0"/>
          <w:szCs w:val="22"/>
          <w:lang w:val="af-ZA"/>
        </w:rPr>
        <w:t xml:space="preserve"> </w:t>
      </w:r>
      <w:r w:rsidRPr="009070BD">
        <w:rPr>
          <w:rFonts w:cs="Sylfaen"/>
          <w:b w:val="0"/>
          <w:szCs w:val="22"/>
          <w:lang w:val="hy-AM"/>
        </w:rPr>
        <w:t>հա</w:t>
      </w:r>
      <w:r w:rsidRPr="009070BD">
        <w:rPr>
          <w:rFonts w:cs="Sylfaen"/>
          <w:b w:val="0"/>
          <w:szCs w:val="22"/>
          <w:lang w:val="af-ZA"/>
        </w:rPr>
        <w:t xml:space="preserve"> </w:t>
      </w:r>
      <w:r w:rsidRPr="009070BD">
        <w:rPr>
          <w:rFonts w:cs="Sylfaen"/>
          <w:b w:val="0"/>
          <w:szCs w:val="22"/>
          <w:lang w:val="hy-AM"/>
        </w:rPr>
        <w:t>ջրածածկ</w:t>
      </w:r>
      <w:r w:rsidRPr="009070BD">
        <w:rPr>
          <w:rFonts w:cs="Sylfaen"/>
          <w:b w:val="0"/>
          <w:szCs w:val="22"/>
          <w:lang w:val="af-ZA"/>
        </w:rPr>
        <w:t xml:space="preserve"> </w:t>
      </w:r>
      <w:r w:rsidRPr="009070BD">
        <w:rPr>
          <w:rFonts w:cs="Sylfaen"/>
          <w:b w:val="0"/>
          <w:szCs w:val="22"/>
          <w:lang w:val="hy-AM"/>
        </w:rPr>
        <w:t>անտառտնկարկներ</w:t>
      </w:r>
      <w:r w:rsidRPr="009070BD">
        <w:rPr>
          <w:rFonts w:cs="Sylfaen"/>
          <w:b w:val="0"/>
          <w:szCs w:val="22"/>
          <w:lang w:val="af-ZA"/>
        </w:rPr>
        <w:t>:</w:t>
      </w:r>
    </w:p>
    <w:p w:rsidR="001367AD" w:rsidRPr="009070BD" w:rsidRDefault="001367AD" w:rsidP="007730AA">
      <w:pPr>
        <w:spacing w:before="0" w:line="276" w:lineRule="auto"/>
        <w:ind w:firstLine="720"/>
        <w:rPr>
          <w:b w:val="0"/>
          <w:sz w:val="24"/>
          <w:lang w:val="hy-AM"/>
        </w:rPr>
      </w:pPr>
      <w:r w:rsidRPr="009070BD">
        <w:rPr>
          <w:b w:val="0"/>
          <w:sz w:val="24"/>
          <w:lang w:val="hy-AM"/>
        </w:rPr>
        <w:t>3.3 «Սևանա լճում և նրա ջրհավաք ավազանում ձկան և խեցգետնի պաշարների հաշվառում» միջոցառման համար Նախագծով նախատեսվում է հատկացնել 7.6 մլն դրամ` ՀՀ 2020 թվականի պետական բյուջեի չափաքանակին համապատասխան:</w:t>
      </w:r>
    </w:p>
    <w:p w:rsidR="001367AD" w:rsidRPr="009070BD" w:rsidRDefault="001367AD" w:rsidP="007730AA">
      <w:pPr>
        <w:autoSpaceDE w:val="0"/>
        <w:autoSpaceDN w:val="0"/>
        <w:adjustRightInd w:val="0"/>
        <w:spacing w:before="0" w:line="276" w:lineRule="auto"/>
        <w:ind w:firstLine="720"/>
        <w:rPr>
          <w:b w:val="0"/>
          <w:sz w:val="24"/>
          <w:lang w:val="hy-AM"/>
        </w:rPr>
      </w:pPr>
      <w:r w:rsidRPr="009070BD">
        <w:rPr>
          <w:b w:val="0"/>
          <w:sz w:val="24"/>
          <w:lang w:val="hy-AM"/>
        </w:rPr>
        <w:t xml:space="preserve">Ծրագրի շրջանակներում նախատեսվում է իրականացնել Uևանա լճի ջրահավաք ավազանի կենդանական ռեuուրuների (ձկան և խեցգետնի) պաշարների հաշվառման աշխատանքներ, այդ թվում ներկա վիճակի, տարածական տեղաբաշխման, կենuաբանական և էկոլոգիական հատկանիշների բացահայտում: </w:t>
      </w:r>
    </w:p>
    <w:p w:rsidR="001367AD" w:rsidRPr="009070BD" w:rsidRDefault="001367AD" w:rsidP="007730AA">
      <w:pPr>
        <w:autoSpaceDE w:val="0"/>
        <w:autoSpaceDN w:val="0"/>
        <w:adjustRightInd w:val="0"/>
        <w:spacing w:before="0" w:line="276" w:lineRule="auto"/>
        <w:ind w:firstLine="720"/>
        <w:rPr>
          <w:szCs w:val="22"/>
          <w:lang w:val="hy-AM"/>
        </w:rPr>
      </w:pPr>
      <w:r w:rsidRPr="009070BD">
        <w:rPr>
          <w:rFonts w:cs="Sylfaen"/>
          <w:b w:val="0"/>
          <w:bCs/>
          <w:szCs w:val="22"/>
          <w:lang w:val="pt-BR"/>
        </w:rPr>
        <w:t>3.</w:t>
      </w:r>
      <w:r w:rsidRPr="009070BD">
        <w:rPr>
          <w:rFonts w:cs="Sylfaen"/>
          <w:b w:val="0"/>
          <w:bCs/>
          <w:szCs w:val="22"/>
          <w:lang w:val="hy-AM"/>
        </w:rPr>
        <w:t>4</w:t>
      </w:r>
      <w:r w:rsidRPr="009070BD">
        <w:rPr>
          <w:rFonts w:cs="Sylfaen"/>
          <w:b w:val="0"/>
          <w:bCs/>
          <w:szCs w:val="22"/>
          <w:lang w:val="pt-BR"/>
        </w:rPr>
        <w:t xml:space="preserve"> </w:t>
      </w:r>
      <w:r w:rsidRPr="009070BD">
        <w:rPr>
          <w:rFonts w:cs="Sylfaen"/>
          <w:b w:val="0"/>
          <w:bCs/>
          <w:szCs w:val="22"/>
          <w:lang w:val="hy-AM"/>
        </w:rPr>
        <w:t>Բնության</w:t>
      </w:r>
      <w:r w:rsidRPr="009070BD">
        <w:rPr>
          <w:rFonts w:cs="Sylfaen"/>
          <w:b w:val="0"/>
          <w:bCs/>
          <w:szCs w:val="22"/>
          <w:lang w:val="pt-BR"/>
        </w:rPr>
        <w:t xml:space="preserve"> </w:t>
      </w:r>
      <w:r w:rsidRPr="009070BD">
        <w:rPr>
          <w:rFonts w:cs="Sylfaen"/>
          <w:b w:val="0"/>
          <w:bCs/>
          <w:szCs w:val="22"/>
          <w:lang w:val="hy-AM"/>
        </w:rPr>
        <w:t>հատուկ</w:t>
      </w:r>
      <w:r w:rsidRPr="009070BD">
        <w:rPr>
          <w:rFonts w:cs="Sylfaen"/>
          <w:b w:val="0"/>
          <w:bCs/>
          <w:szCs w:val="22"/>
          <w:lang w:val="pt-BR"/>
        </w:rPr>
        <w:t xml:space="preserve"> </w:t>
      </w:r>
      <w:r w:rsidRPr="009070BD">
        <w:rPr>
          <w:rFonts w:cs="Sylfaen"/>
          <w:b w:val="0"/>
          <w:bCs/>
          <w:szCs w:val="22"/>
          <w:lang w:val="hy-AM"/>
        </w:rPr>
        <w:t>պահպանվող</w:t>
      </w:r>
      <w:r w:rsidRPr="009070BD">
        <w:rPr>
          <w:rFonts w:cs="Sylfaen"/>
          <w:b w:val="0"/>
          <w:bCs/>
          <w:szCs w:val="22"/>
          <w:lang w:val="pt-BR"/>
        </w:rPr>
        <w:t xml:space="preserve"> </w:t>
      </w:r>
      <w:r w:rsidRPr="009070BD">
        <w:rPr>
          <w:rFonts w:cs="Sylfaen"/>
          <w:b w:val="0"/>
          <w:bCs/>
          <w:szCs w:val="22"/>
          <w:lang w:val="hy-AM"/>
        </w:rPr>
        <w:t>տարածքների</w:t>
      </w:r>
      <w:r w:rsidRPr="009070BD">
        <w:rPr>
          <w:rFonts w:cs="Sylfaen"/>
          <w:b w:val="0"/>
          <w:bCs/>
          <w:szCs w:val="22"/>
          <w:lang w:val="pt-BR"/>
        </w:rPr>
        <w:t xml:space="preserve"> </w:t>
      </w:r>
      <w:r w:rsidRPr="009070BD">
        <w:rPr>
          <w:rFonts w:cs="Sylfaen"/>
          <w:b w:val="0"/>
          <w:bCs/>
          <w:szCs w:val="22"/>
          <w:lang w:val="hy-AM"/>
        </w:rPr>
        <w:t>գործունեության</w:t>
      </w:r>
      <w:r w:rsidRPr="009070BD">
        <w:rPr>
          <w:rFonts w:cs="Sylfaen"/>
          <w:b w:val="0"/>
          <w:bCs/>
          <w:szCs w:val="22"/>
          <w:lang w:val="pt-BR"/>
        </w:rPr>
        <w:t xml:space="preserve"> </w:t>
      </w:r>
      <w:r w:rsidRPr="009070BD">
        <w:rPr>
          <w:rFonts w:cs="Sylfaen"/>
          <w:b w:val="0"/>
          <w:bCs/>
          <w:szCs w:val="22"/>
          <w:lang w:val="hy-AM"/>
        </w:rPr>
        <w:t>ապահովմանն</w:t>
      </w:r>
      <w:r w:rsidRPr="009070BD">
        <w:rPr>
          <w:rFonts w:cs="Sylfaen"/>
          <w:b w:val="0"/>
          <w:bCs/>
          <w:szCs w:val="22"/>
          <w:lang w:val="pt-BR"/>
        </w:rPr>
        <w:t xml:space="preserve"> </w:t>
      </w:r>
      <w:r w:rsidRPr="009070BD">
        <w:rPr>
          <w:rFonts w:cs="Sylfaen"/>
          <w:b w:val="0"/>
          <w:bCs/>
          <w:szCs w:val="22"/>
          <w:lang w:val="hy-AM"/>
        </w:rPr>
        <w:t>ուղղված</w:t>
      </w:r>
      <w:r w:rsidRPr="009070BD">
        <w:rPr>
          <w:rFonts w:cs="Sylfaen"/>
          <w:szCs w:val="22"/>
          <w:lang w:val="pt-BR"/>
        </w:rPr>
        <w:t xml:space="preserve"> </w:t>
      </w:r>
      <w:r w:rsidRPr="009070BD">
        <w:rPr>
          <w:rFonts w:cs="Sylfaen"/>
          <w:b w:val="0"/>
          <w:szCs w:val="22"/>
          <w:lang w:val="hy-AM"/>
        </w:rPr>
        <w:t>միջոցառումների</w:t>
      </w:r>
      <w:r w:rsidRPr="009070BD">
        <w:rPr>
          <w:rFonts w:cs="IRTEK Courier"/>
          <w:b w:val="0"/>
          <w:szCs w:val="22"/>
          <w:lang w:val="pt-BR"/>
        </w:rPr>
        <w:t xml:space="preserve"> համար </w:t>
      </w:r>
      <w:r w:rsidRPr="009070BD">
        <w:rPr>
          <w:rFonts w:cs="IRTEK Courier"/>
          <w:b w:val="0"/>
          <w:szCs w:val="22"/>
          <w:lang w:val="hy-AM"/>
        </w:rPr>
        <w:t>Ն</w:t>
      </w:r>
      <w:r w:rsidRPr="009070BD">
        <w:rPr>
          <w:b w:val="0"/>
          <w:szCs w:val="22"/>
          <w:lang w:val="hy-AM"/>
        </w:rPr>
        <w:t>ախագծով</w:t>
      </w:r>
      <w:r w:rsidRPr="009070BD">
        <w:rPr>
          <w:rFonts w:cs="Sylfaen"/>
          <w:b w:val="0"/>
          <w:szCs w:val="22"/>
          <w:lang w:val="af-ZA"/>
        </w:rPr>
        <w:t xml:space="preserve"> </w:t>
      </w:r>
      <w:r w:rsidRPr="009070BD">
        <w:rPr>
          <w:rFonts w:cs="IRTEK Courier"/>
          <w:b w:val="0"/>
          <w:szCs w:val="22"/>
          <w:lang w:val="pt-BR"/>
        </w:rPr>
        <w:t>նախատեսվում է հատկացնել 1,0</w:t>
      </w:r>
      <w:r w:rsidRPr="009070BD">
        <w:rPr>
          <w:rFonts w:cs="IRTEK Courier"/>
          <w:b w:val="0"/>
          <w:szCs w:val="22"/>
          <w:lang w:val="hy-AM"/>
        </w:rPr>
        <w:t>31</w:t>
      </w:r>
      <w:r w:rsidRPr="009070BD">
        <w:rPr>
          <w:rFonts w:cs="IRTEK Courier"/>
          <w:b w:val="0"/>
          <w:szCs w:val="22"/>
          <w:lang w:val="pt-BR"/>
        </w:rPr>
        <w:t>.</w:t>
      </w:r>
      <w:r w:rsidRPr="009070BD">
        <w:rPr>
          <w:rFonts w:cs="IRTEK Courier"/>
          <w:b w:val="0"/>
          <w:szCs w:val="22"/>
          <w:lang w:val="hy-AM"/>
        </w:rPr>
        <w:t>36</w:t>
      </w:r>
      <w:r w:rsidRPr="009070BD">
        <w:rPr>
          <w:rFonts w:cs="IRTEK Courier"/>
          <w:b w:val="0"/>
          <w:szCs w:val="22"/>
          <w:lang w:val="pt-BR"/>
        </w:rPr>
        <w:t xml:space="preserve"> մլն դրամ` </w:t>
      </w:r>
      <w:r w:rsidRPr="009070BD">
        <w:rPr>
          <w:rFonts w:cs="Sylfaen"/>
          <w:b w:val="0"/>
          <w:szCs w:val="22"/>
          <w:lang w:val="hy-AM"/>
        </w:rPr>
        <w:t>ՀՀ 2020 թվականի պետական բյուջեի չափաքանակին համապատասխան:</w:t>
      </w:r>
    </w:p>
    <w:p w:rsidR="001367AD" w:rsidRPr="009070BD" w:rsidRDefault="001367AD" w:rsidP="007730AA">
      <w:pPr>
        <w:autoSpaceDE w:val="0"/>
        <w:autoSpaceDN w:val="0"/>
        <w:adjustRightInd w:val="0"/>
        <w:spacing w:before="0" w:line="276" w:lineRule="auto"/>
        <w:ind w:firstLine="720"/>
        <w:rPr>
          <w:rFonts w:cs="IRTEK Courier"/>
          <w:b w:val="0"/>
          <w:szCs w:val="22"/>
          <w:lang w:val="pt-BR"/>
        </w:rPr>
      </w:pPr>
      <w:r w:rsidRPr="009070BD">
        <w:rPr>
          <w:rFonts w:cs="IRTEK Courier"/>
          <w:b w:val="0"/>
          <w:szCs w:val="22"/>
          <w:lang w:val="pt-BR"/>
        </w:rPr>
        <w:t>Վերոգրյալ հատկացումների շրջանակներում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տարածքներում կատարվելու են բնական էկոհամակարգերի, լանդշաֆտային ու կենսաբանական բազմազանության, գենոֆոնդի, բնության ժառանգության գիտական ուսումնասիրության, պահպանության, վերականգնման, վերարտադրության, հաշվառման, գույքագրման դիտանցի ապահովումը, ինչպես նաև տնկարկների պահպանության և պաշտպանության իրականացումը:</w:t>
      </w:r>
    </w:p>
    <w:p w:rsidR="001367AD" w:rsidRPr="009070BD" w:rsidRDefault="001367AD" w:rsidP="007730AA">
      <w:pPr>
        <w:spacing w:before="0" w:line="276" w:lineRule="auto"/>
        <w:ind w:firstLine="720"/>
        <w:rPr>
          <w:rFonts w:cs="IRTEK Courier"/>
          <w:b w:val="0"/>
          <w:szCs w:val="22"/>
          <w:lang w:val="pt-BR"/>
        </w:rPr>
      </w:pPr>
      <w:r w:rsidRPr="009070BD">
        <w:rPr>
          <w:rFonts w:cs="IRTEK Courier"/>
          <w:b w:val="0"/>
          <w:szCs w:val="22"/>
          <w:lang w:val="pt-BR"/>
        </w:rPr>
        <w:t>3.5 «Կովկասի տարածաշրջանային բնապահպանական կենտրոնի հայաստանյան մասնաճյուղի գրասենյակի պահպանման» միջոցառման համար Նախագծով նախատեսվում է հատկացնել 7.0 մլն դրամ` ՀՀ 2020թ. պետական բյուջեի չափաքանակին համապատասխան:</w:t>
      </w:r>
    </w:p>
    <w:p w:rsidR="001367AD" w:rsidRPr="009070BD" w:rsidRDefault="001367AD" w:rsidP="007730AA">
      <w:pPr>
        <w:spacing w:before="0" w:line="276" w:lineRule="auto"/>
        <w:ind w:firstLine="720"/>
        <w:rPr>
          <w:rFonts w:cs="IRTEK Courier"/>
          <w:szCs w:val="22"/>
          <w:lang w:val="hy-AM"/>
        </w:rPr>
      </w:pPr>
      <w:r w:rsidRPr="009070BD">
        <w:rPr>
          <w:szCs w:val="22"/>
          <w:lang w:val="ro-RO"/>
        </w:rPr>
        <w:t xml:space="preserve">4. </w:t>
      </w:r>
      <w:r w:rsidRPr="009070BD">
        <w:rPr>
          <w:rFonts w:cs="IRTEK Courier"/>
          <w:szCs w:val="22"/>
          <w:lang w:val="hy-AM"/>
        </w:rPr>
        <w:t>«Անտառների</w:t>
      </w:r>
      <w:r w:rsidRPr="009070BD">
        <w:rPr>
          <w:rFonts w:cs="IRTEK Courier"/>
          <w:szCs w:val="22"/>
          <w:lang w:val="pt-BR"/>
        </w:rPr>
        <w:t xml:space="preserve"> </w:t>
      </w:r>
      <w:r w:rsidRPr="009070BD">
        <w:rPr>
          <w:rFonts w:cs="IRTEK Courier"/>
          <w:szCs w:val="22"/>
          <w:lang w:val="hy-AM"/>
        </w:rPr>
        <w:t>կառավարում» ծրագիր</w:t>
      </w:r>
    </w:p>
    <w:p w:rsidR="001367AD" w:rsidRPr="009070BD" w:rsidRDefault="001367AD" w:rsidP="007730AA">
      <w:pPr>
        <w:autoSpaceDE w:val="0"/>
        <w:autoSpaceDN w:val="0"/>
        <w:adjustRightInd w:val="0"/>
        <w:spacing w:before="0" w:line="276" w:lineRule="auto"/>
        <w:ind w:firstLine="720"/>
        <w:rPr>
          <w:rFonts w:cs="Sylfaen"/>
          <w:b w:val="0"/>
          <w:szCs w:val="22"/>
          <w:lang w:val="hy-AM"/>
        </w:rPr>
      </w:pPr>
      <w:r w:rsidRPr="009070BD">
        <w:rPr>
          <w:rFonts w:cs="Sylfaen"/>
          <w:b w:val="0"/>
          <w:szCs w:val="22"/>
          <w:lang w:val="hy-AM"/>
        </w:rPr>
        <w:t>Ծրագրի համար Ն</w:t>
      </w:r>
      <w:r w:rsidRPr="009070BD">
        <w:rPr>
          <w:b w:val="0"/>
          <w:szCs w:val="22"/>
          <w:lang w:val="hy-AM"/>
        </w:rPr>
        <w:t>ախագծով</w:t>
      </w:r>
      <w:r w:rsidRPr="009070BD">
        <w:rPr>
          <w:rFonts w:cs="Sylfaen"/>
          <w:b w:val="0"/>
          <w:szCs w:val="22"/>
          <w:lang w:val="af-ZA"/>
        </w:rPr>
        <w:t xml:space="preserve"> </w:t>
      </w:r>
      <w:r w:rsidRPr="009070BD">
        <w:rPr>
          <w:rFonts w:cs="Sylfaen"/>
          <w:b w:val="0"/>
          <w:szCs w:val="22"/>
          <w:lang w:val="hy-AM"/>
        </w:rPr>
        <w:t>(առանց ապարատի ծախսերի)</w:t>
      </w:r>
      <w:r w:rsidRPr="009070BD">
        <w:rPr>
          <w:rFonts w:cs="Sylfaen"/>
          <w:b w:val="0"/>
          <w:szCs w:val="22"/>
          <w:lang w:val="af-ZA"/>
        </w:rPr>
        <w:t xml:space="preserve"> </w:t>
      </w:r>
      <w:r w:rsidRPr="009070BD">
        <w:rPr>
          <w:rFonts w:cs="Sylfaen"/>
          <w:b w:val="0"/>
          <w:szCs w:val="22"/>
          <w:lang w:val="hy-AM"/>
        </w:rPr>
        <w:t>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w:t>
      </w:r>
      <w:r w:rsidRPr="009070BD">
        <w:rPr>
          <w:rFonts w:cs="Sylfaen"/>
          <w:b w:val="0"/>
          <w:szCs w:val="22"/>
          <w:lang w:val="hy-AM"/>
        </w:rPr>
        <w:t>հատկացնել 1,933.7</w:t>
      </w:r>
      <w:r w:rsidRPr="009070BD">
        <w:rPr>
          <w:rFonts w:cs="Sylfaen"/>
          <w:b w:val="0"/>
          <w:szCs w:val="22"/>
          <w:lang w:val="af-ZA"/>
        </w:rPr>
        <w:t xml:space="preserve">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 որի շրջանակներում իրականացվում են հետևյալ միջոցառումները՝</w:t>
      </w:r>
    </w:p>
    <w:p w:rsidR="001367AD" w:rsidRPr="009070BD" w:rsidRDefault="001367AD" w:rsidP="007730AA">
      <w:pPr>
        <w:autoSpaceDE w:val="0"/>
        <w:autoSpaceDN w:val="0"/>
        <w:adjustRightInd w:val="0"/>
        <w:spacing w:before="0" w:line="276" w:lineRule="auto"/>
        <w:ind w:firstLine="720"/>
        <w:rPr>
          <w:rFonts w:cs="Sylfaen"/>
          <w:b w:val="0"/>
          <w:szCs w:val="22"/>
          <w:lang w:val="af-ZA"/>
        </w:rPr>
      </w:pPr>
      <w:r w:rsidRPr="009070BD">
        <w:rPr>
          <w:b w:val="0"/>
          <w:bCs/>
          <w:szCs w:val="22"/>
          <w:lang w:val="ro-RO"/>
        </w:rPr>
        <w:t>4.1 </w:t>
      </w:r>
      <w:r w:rsidRPr="009070BD">
        <w:rPr>
          <w:rFonts w:cs="Sylfaen"/>
          <w:b w:val="0"/>
          <w:bCs/>
          <w:szCs w:val="22"/>
          <w:lang w:val="hy-AM"/>
        </w:rPr>
        <w:t>Անտառպահպանական</w:t>
      </w:r>
      <w:r w:rsidRPr="009070BD">
        <w:rPr>
          <w:b w:val="0"/>
          <w:bCs/>
          <w:szCs w:val="22"/>
          <w:lang w:val="ro-RO"/>
        </w:rPr>
        <w:t xml:space="preserve"> </w:t>
      </w:r>
      <w:r w:rsidRPr="009070BD">
        <w:rPr>
          <w:rFonts w:cs="Sylfaen"/>
          <w:b w:val="0"/>
          <w:bCs/>
          <w:szCs w:val="22"/>
          <w:lang w:val="hy-AM"/>
        </w:rPr>
        <w:t>ծառայություններ</w:t>
      </w:r>
      <w:r w:rsidRPr="009070BD">
        <w:rPr>
          <w:b w:val="0"/>
          <w:bCs/>
          <w:szCs w:val="22"/>
          <w:lang w:val="ro-RO"/>
        </w:rPr>
        <w:t></w:t>
      </w:r>
      <w:r w:rsidRPr="009070BD">
        <w:rPr>
          <w:rFonts w:cs="Sylfaen"/>
          <w:b w:val="0"/>
          <w:bCs/>
          <w:szCs w:val="22"/>
          <w:lang w:val="ro-RO"/>
        </w:rPr>
        <w:t xml:space="preserve"> մի</w:t>
      </w:r>
      <w:r w:rsidRPr="009070BD">
        <w:rPr>
          <w:rFonts w:cs="Sylfaen"/>
          <w:b w:val="0"/>
          <w:szCs w:val="22"/>
          <w:lang w:val="ro-RO"/>
        </w:rPr>
        <w:t xml:space="preserve">ջոցառման </w:t>
      </w:r>
      <w:r w:rsidRPr="009070BD">
        <w:rPr>
          <w:rFonts w:cs="Sylfaen"/>
          <w:b w:val="0"/>
          <w:szCs w:val="22"/>
          <w:lang w:val="hy-AM"/>
        </w:rPr>
        <w:t>համար</w:t>
      </w:r>
      <w:r w:rsidRPr="009070BD">
        <w:rPr>
          <w:rFonts w:cs="Sylfaen"/>
          <w:b w:val="0"/>
          <w:szCs w:val="22"/>
          <w:lang w:val="ro-RO"/>
        </w:rPr>
        <w:t xml:space="preserve"> </w:t>
      </w:r>
      <w:r w:rsidRPr="009070BD">
        <w:rPr>
          <w:rFonts w:cs="Sylfaen"/>
          <w:b w:val="0"/>
          <w:szCs w:val="22"/>
          <w:lang w:val="hy-AM"/>
        </w:rPr>
        <w:t>Նախագծով</w:t>
      </w:r>
      <w:r w:rsidRPr="009070BD">
        <w:rPr>
          <w:rFonts w:cs="Sylfaen"/>
          <w:b w:val="0"/>
          <w:szCs w:val="22"/>
          <w:lang w:val="ro-RO"/>
        </w:rPr>
        <w:t xml:space="preserve"> </w:t>
      </w:r>
      <w:r w:rsidRPr="009070BD">
        <w:rPr>
          <w:b w:val="0"/>
          <w:szCs w:val="22"/>
          <w:lang w:val="hy-AM"/>
        </w:rPr>
        <w:t>նախատեսվում</w:t>
      </w:r>
      <w:r w:rsidRPr="009070BD">
        <w:rPr>
          <w:b w:val="0"/>
          <w:szCs w:val="22"/>
          <w:lang w:val="ro-RO"/>
        </w:rPr>
        <w:t xml:space="preserve"> </w:t>
      </w:r>
      <w:r w:rsidRPr="009070BD">
        <w:rPr>
          <w:b w:val="0"/>
          <w:szCs w:val="22"/>
          <w:lang w:val="hy-AM"/>
        </w:rPr>
        <w:t>է</w:t>
      </w:r>
      <w:r w:rsidRPr="009070BD">
        <w:rPr>
          <w:b w:val="0"/>
          <w:szCs w:val="22"/>
          <w:lang w:val="ro-RO"/>
        </w:rPr>
        <w:t xml:space="preserve"> </w:t>
      </w:r>
      <w:r w:rsidRPr="009070BD">
        <w:rPr>
          <w:b w:val="0"/>
          <w:szCs w:val="22"/>
          <w:lang w:val="hy-AM"/>
        </w:rPr>
        <w:t>հատկացնել</w:t>
      </w:r>
      <w:r w:rsidRPr="009070BD">
        <w:rPr>
          <w:b w:val="0"/>
          <w:szCs w:val="22"/>
          <w:lang w:val="ro-RO"/>
        </w:rPr>
        <w:t xml:space="preserve"> 1,3</w:t>
      </w:r>
      <w:r w:rsidRPr="009070BD">
        <w:rPr>
          <w:b w:val="0"/>
          <w:szCs w:val="22"/>
          <w:lang w:val="hy-AM"/>
        </w:rPr>
        <w:t>35</w:t>
      </w:r>
      <w:r w:rsidRPr="009070BD">
        <w:rPr>
          <w:b w:val="0"/>
          <w:szCs w:val="22"/>
          <w:lang w:val="ro-RO"/>
        </w:rPr>
        <w:t xml:space="preserve">.5 </w:t>
      </w:r>
      <w:r w:rsidRPr="009070BD">
        <w:rPr>
          <w:rFonts w:cs="Sylfaen"/>
          <w:b w:val="0"/>
          <w:szCs w:val="22"/>
          <w:lang w:val="hy-AM"/>
        </w:rPr>
        <w:t>մլն</w:t>
      </w:r>
      <w:r w:rsidRPr="009070BD">
        <w:rPr>
          <w:rFonts w:cs="Sylfaen"/>
          <w:b w:val="0"/>
          <w:szCs w:val="22"/>
          <w:lang w:val="ro-RO"/>
        </w:rPr>
        <w:t xml:space="preserve"> </w:t>
      </w:r>
      <w:r w:rsidRPr="009070BD">
        <w:rPr>
          <w:rFonts w:cs="Sylfaen"/>
          <w:b w:val="0"/>
          <w:szCs w:val="22"/>
          <w:lang w:val="hy-AM"/>
        </w:rPr>
        <w:t>դրամ</w:t>
      </w:r>
      <w:r w:rsidRPr="009070BD">
        <w:rPr>
          <w:rFonts w:cs="IRTEK Courier"/>
          <w:b w:val="0"/>
          <w:szCs w:val="22"/>
          <w:lang w:val="pt-BR"/>
        </w:rPr>
        <w:t xml:space="preserve">` </w:t>
      </w:r>
      <w:r w:rsidRPr="009070BD">
        <w:rPr>
          <w:rFonts w:cs="Sylfaen"/>
          <w:b w:val="0"/>
          <w:szCs w:val="22"/>
          <w:lang w:val="hy-AM"/>
        </w:rPr>
        <w:t>ՀՀ 2020 թվականի պետական բյուջեի չափաքանակին համապատասխան</w:t>
      </w:r>
      <w:r w:rsidRPr="009070BD">
        <w:rPr>
          <w:rFonts w:cs="Sylfaen"/>
          <w:b w:val="0"/>
          <w:szCs w:val="22"/>
          <w:lang w:val="ro-RO"/>
        </w:rPr>
        <w:t>:</w:t>
      </w:r>
    </w:p>
    <w:p w:rsidR="001367AD" w:rsidRPr="009070BD" w:rsidRDefault="001367AD" w:rsidP="007730AA">
      <w:pPr>
        <w:autoSpaceDE w:val="0"/>
        <w:autoSpaceDN w:val="0"/>
        <w:adjustRightInd w:val="0"/>
        <w:spacing w:before="0" w:line="276" w:lineRule="auto"/>
        <w:ind w:firstLine="720"/>
        <w:rPr>
          <w:b w:val="0"/>
          <w:szCs w:val="22"/>
          <w:lang w:val="ro-RO"/>
        </w:rPr>
      </w:pPr>
      <w:r w:rsidRPr="009070BD">
        <w:rPr>
          <w:b w:val="0"/>
          <w:szCs w:val="22"/>
        </w:rPr>
        <w:t>Միջոցառման</w:t>
      </w:r>
      <w:r w:rsidRPr="009070BD">
        <w:rPr>
          <w:b w:val="0"/>
          <w:szCs w:val="22"/>
          <w:lang w:val="af-ZA"/>
        </w:rPr>
        <w:t xml:space="preserve"> </w:t>
      </w:r>
      <w:r w:rsidRPr="009070BD">
        <w:rPr>
          <w:b w:val="0"/>
          <w:szCs w:val="22"/>
        </w:rPr>
        <w:t>շրջանակներում</w:t>
      </w:r>
      <w:r w:rsidRPr="009070BD">
        <w:rPr>
          <w:b w:val="0"/>
          <w:szCs w:val="22"/>
          <w:lang w:val="af-ZA"/>
        </w:rPr>
        <w:t xml:space="preserve"> </w:t>
      </w:r>
      <w:r w:rsidRPr="009070BD">
        <w:rPr>
          <w:b w:val="0"/>
          <w:szCs w:val="22"/>
        </w:rPr>
        <w:t>նախատեսվում</w:t>
      </w:r>
      <w:r w:rsidRPr="009070BD">
        <w:rPr>
          <w:b w:val="0"/>
          <w:szCs w:val="22"/>
          <w:lang w:val="af-ZA"/>
        </w:rPr>
        <w:t xml:space="preserve"> </w:t>
      </w:r>
      <w:r w:rsidRPr="009070BD">
        <w:rPr>
          <w:b w:val="0"/>
          <w:szCs w:val="22"/>
        </w:rPr>
        <w:t>է</w:t>
      </w:r>
      <w:r w:rsidRPr="009070BD">
        <w:rPr>
          <w:b w:val="0"/>
          <w:szCs w:val="22"/>
          <w:lang w:val="af-ZA"/>
        </w:rPr>
        <w:t xml:space="preserve"> «</w:t>
      </w:r>
      <w:r w:rsidRPr="009070BD">
        <w:rPr>
          <w:b w:val="0"/>
          <w:szCs w:val="22"/>
        </w:rPr>
        <w:t>Հայանտառ</w:t>
      </w:r>
      <w:r w:rsidRPr="009070BD">
        <w:rPr>
          <w:b w:val="0"/>
          <w:szCs w:val="22"/>
          <w:lang w:val="af-ZA"/>
        </w:rPr>
        <w:t xml:space="preserve">» </w:t>
      </w:r>
      <w:r w:rsidRPr="009070BD">
        <w:rPr>
          <w:b w:val="0"/>
          <w:szCs w:val="22"/>
        </w:rPr>
        <w:t>ՊՈԱԿ</w:t>
      </w:r>
      <w:r w:rsidRPr="009070BD">
        <w:rPr>
          <w:b w:val="0"/>
          <w:szCs w:val="22"/>
          <w:lang w:val="af-ZA"/>
        </w:rPr>
        <w:t>-</w:t>
      </w:r>
      <w:r w:rsidRPr="009070BD">
        <w:rPr>
          <w:b w:val="0"/>
          <w:szCs w:val="22"/>
        </w:rPr>
        <w:t>ի</w:t>
      </w:r>
      <w:r w:rsidRPr="009070BD">
        <w:rPr>
          <w:b w:val="0"/>
          <w:szCs w:val="22"/>
          <w:lang w:val="af-ZA"/>
        </w:rPr>
        <w:t xml:space="preserve"> </w:t>
      </w:r>
      <w:r w:rsidRPr="009070BD">
        <w:rPr>
          <w:b w:val="0"/>
          <w:szCs w:val="22"/>
        </w:rPr>
        <w:t>իրավասության</w:t>
      </w:r>
      <w:r w:rsidRPr="009070BD">
        <w:rPr>
          <w:b w:val="0"/>
          <w:szCs w:val="22"/>
          <w:lang w:val="af-ZA"/>
        </w:rPr>
        <w:t xml:space="preserve"> </w:t>
      </w:r>
      <w:r w:rsidRPr="009070BD">
        <w:rPr>
          <w:b w:val="0"/>
          <w:szCs w:val="22"/>
        </w:rPr>
        <w:t>ներքո</w:t>
      </w:r>
      <w:r w:rsidRPr="009070BD">
        <w:rPr>
          <w:b w:val="0"/>
          <w:szCs w:val="22"/>
          <w:lang w:val="af-ZA"/>
        </w:rPr>
        <w:t xml:space="preserve"> </w:t>
      </w:r>
      <w:r w:rsidRPr="009070BD">
        <w:rPr>
          <w:b w:val="0"/>
          <w:szCs w:val="22"/>
        </w:rPr>
        <w:t>գտնվող</w:t>
      </w:r>
      <w:r w:rsidRPr="009070BD">
        <w:rPr>
          <w:b w:val="0"/>
          <w:szCs w:val="22"/>
          <w:lang w:val="af-ZA"/>
        </w:rPr>
        <w:t xml:space="preserve"> </w:t>
      </w:r>
      <w:r w:rsidRPr="009070BD">
        <w:rPr>
          <w:b w:val="0"/>
          <w:szCs w:val="22"/>
        </w:rPr>
        <w:t>անտառային</w:t>
      </w:r>
      <w:r w:rsidRPr="009070BD">
        <w:rPr>
          <w:b w:val="0"/>
          <w:szCs w:val="22"/>
          <w:lang w:val="af-ZA"/>
        </w:rPr>
        <w:t xml:space="preserve"> 342,400 </w:t>
      </w:r>
      <w:r w:rsidRPr="009070BD">
        <w:rPr>
          <w:b w:val="0"/>
          <w:szCs w:val="22"/>
        </w:rPr>
        <w:t>հա</w:t>
      </w:r>
      <w:r w:rsidRPr="009070BD">
        <w:rPr>
          <w:b w:val="0"/>
          <w:szCs w:val="22"/>
          <w:lang w:val="af-ZA"/>
        </w:rPr>
        <w:t xml:space="preserve"> </w:t>
      </w:r>
      <w:r w:rsidRPr="009070BD">
        <w:rPr>
          <w:b w:val="0"/>
          <w:szCs w:val="22"/>
        </w:rPr>
        <w:t>տարածքների</w:t>
      </w:r>
      <w:r w:rsidRPr="009070BD">
        <w:rPr>
          <w:b w:val="0"/>
          <w:szCs w:val="22"/>
          <w:lang w:val="af-ZA"/>
        </w:rPr>
        <w:t xml:space="preserve"> </w:t>
      </w:r>
      <w:r w:rsidRPr="009070BD">
        <w:rPr>
          <w:b w:val="0"/>
          <w:szCs w:val="22"/>
        </w:rPr>
        <w:t>պահպանում</w:t>
      </w:r>
      <w:r w:rsidRPr="009070BD">
        <w:rPr>
          <w:rFonts w:cs="Sylfaen"/>
          <w:b w:val="0"/>
          <w:szCs w:val="22"/>
          <w:lang w:val="ro-RO"/>
        </w:rPr>
        <w:t>:</w:t>
      </w:r>
    </w:p>
    <w:p w:rsidR="001367AD" w:rsidRPr="009070BD" w:rsidRDefault="001367AD" w:rsidP="007730AA">
      <w:pPr>
        <w:autoSpaceDE w:val="0"/>
        <w:autoSpaceDN w:val="0"/>
        <w:adjustRightInd w:val="0"/>
        <w:spacing w:before="0" w:line="276" w:lineRule="auto"/>
        <w:ind w:firstLine="720"/>
        <w:rPr>
          <w:rFonts w:cs="Sylfaen"/>
          <w:b w:val="0"/>
          <w:szCs w:val="22"/>
          <w:lang w:val="af-ZA"/>
        </w:rPr>
      </w:pPr>
      <w:r w:rsidRPr="009070BD">
        <w:rPr>
          <w:rFonts w:cs="Sylfaen"/>
          <w:b w:val="0"/>
          <w:bCs/>
          <w:szCs w:val="22"/>
          <w:lang w:val="ro-RO"/>
        </w:rPr>
        <w:t xml:space="preserve">4.2 </w:t>
      </w:r>
      <w:r w:rsidRPr="009070BD">
        <w:rPr>
          <w:b w:val="0"/>
          <w:bCs/>
          <w:szCs w:val="22"/>
          <w:lang w:val="ro-RO"/>
        </w:rPr>
        <w:t></w:t>
      </w:r>
      <w:r w:rsidRPr="009070BD">
        <w:rPr>
          <w:rFonts w:cs="Sylfaen"/>
          <w:b w:val="0"/>
          <w:bCs/>
          <w:szCs w:val="22"/>
        </w:rPr>
        <w:t>Անտառների</w:t>
      </w:r>
      <w:r w:rsidRPr="009070BD">
        <w:rPr>
          <w:rFonts w:cs="Sylfaen"/>
          <w:b w:val="0"/>
          <w:bCs/>
          <w:szCs w:val="22"/>
          <w:lang w:val="af-ZA"/>
        </w:rPr>
        <w:t xml:space="preserve"> </w:t>
      </w:r>
      <w:r w:rsidRPr="009070BD">
        <w:rPr>
          <w:rFonts w:cs="Sylfaen"/>
          <w:b w:val="0"/>
          <w:bCs/>
          <w:szCs w:val="22"/>
        </w:rPr>
        <w:t>կադաստրի</w:t>
      </w:r>
      <w:r w:rsidRPr="009070BD">
        <w:rPr>
          <w:rFonts w:cs="Sylfaen"/>
          <w:b w:val="0"/>
          <w:bCs/>
          <w:szCs w:val="22"/>
          <w:lang w:val="af-ZA"/>
        </w:rPr>
        <w:t xml:space="preserve"> </w:t>
      </w:r>
      <w:r w:rsidRPr="009070BD">
        <w:rPr>
          <w:rFonts w:cs="Sylfaen"/>
          <w:b w:val="0"/>
          <w:bCs/>
          <w:szCs w:val="22"/>
        </w:rPr>
        <w:t>վարում</w:t>
      </w:r>
      <w:r w:rsidRPr="009070BD">
        <w:rPr>
          <w:b w:val="0"/>
          <w:bCs/>
          <w:szCs w:val="22"/>
          <w:lang w:val="ro-RO"/>
        </w:rPr>
        <w:t></w:t>
      </w:r>
      <w:r w:rsidRPr="009070BD">
        <w:rPr>
          <w:rFonts w:cs="Sylfaen"/>
          <w:b w:val="0"/>
          <w:bCs/>
          <w:szCs w:val="22"/>
          <w:lang w:val="ro-RO"/>
        </w:rPr>
        <w:t xml:space="preserve"> միջոցառման</w:t>
      </w:r>
      <w:r w:rsidRPr="009070BD">
        <w:rPr>
          <w:rFonts w:cs="Sylfaen"/>
          <w:b w:val="0"/>
          <w:szCs w:val="22"/>
          <w:lang w:val="ro-RO"/>
        </w:rPr>
        <w:t xml:space="preserve"> </w:t>
      </w:r>
      <w:r w:rsidRPr="009070BD">
        <w:rPr>
          <w:rFonts w:cs="Sylfaen"/>
          <w:b w:val="0"/>
          <w:szCs w:val="22"/>
        </w:rPr>
        <w:t>համար</w:t>
      </w:r>
      <w:r w:rsidRPr="009070BD">
        <w:rPr>
          <w:rFonts w:cs="Sylfaen"/>
          <w:b w:val="0"/>
          <w:szCs w:val="22"/>
          <w:lang w:val="ro-RO"/>
        </w:rPr>
        <w:t xml:space="preserve"> </w:t>
      </w:r>
      <w:r w:rsidRPr="009070BD">
        <w:rPr>
          <w:rFonts w:cs="Sylfaen"/>
          <w:b w:val="0"/>
          <w:szCs w:val="22"/>
        </w:rPr>
        <w:t>Նախագծով</w:t>
      </w:r>
      <w:r w:rsidRPr="009070BD">
        <w:rPr>
          <w:rFonts w:cs="Sylfaen"/>
          <w:b w:val="0"/>
          <w:szCs w:val="22"/>
          <w:lang w:val="ro-RO"/>
        </w:rPr>
        <w:t xml:space="preserve"> </w:t>
      </w:r>
      <w:r w:rsidRPr="009070BD">
        <w:rPr>
          <w:b w:val="0"/>
          <w:szCs w:val="22"/>
        </w:rPr>
        <w:t>նախատեսվում</w:t>
      </w:r>
      <w:r w:rsidRPr="009070BD">
        <w:rPr>
          <w:b w:val="0"/>
          <w:szCs w:val="22"/>
          <w:lang w:val="ro-RO"/>
        </w:rPr>
        <w:t xml:space="preserve"> </w:t>
      </w:r>
      <w:r w:rsidRPr="009070BD">
        <w:rPr>
          <w:b w:val="0"/>
          <w:szCs w:val="22"/>
        </w:rPr>
        <w:t>է</w:t>
      </w:r>
      <w:r w:rsidRPr="009070BD">
        <w:rPr>
          <w:b w:val="0"/>
          <w:szCs w:val="22"/>
          <w:lang w:val="ro-RO"/>
        </w:rPr>
        <w:t xml:space="preserve"> </w:t>
      </w:r>
      <w:r w:rsidRPr="009070BD">
        <w:rPr>
          <w:b w:val="0"/>
          <w:szCs w:val="22"/>
        </w:rPr>
        <w:t>հատկացնել</w:t>
      </w:r>
      <w:r w:rsidRPr="009070BD">
        <w:rPr>
          <w:b w:val="0"/>
          <w:szCs w:val="22"/>
          <w:lang w:val="ro-RO"/>
        </w:rPr>
        <w:t xml:space="preserve"> 15.0 </w:t>
      </w:r>
      <w:r w:rsidRPr="009070BD">
        <w:rPr>
          <w:rFonts w:cs="Sylfaen"/>
          <w:b w:val="0"/>
          <w:szCs w:val="22"/>
        </w:rPr>
        <w:t>մլն</w:t>
      </w:r>
      <w:r w:rsidRPr="009070BD">
        <w:rPr>
          <w:rFonts w:cs="Sylfaen"/>
          <w:b w:val="0"/>
          <w:szCs w:val="22"/>
          <w:lang w:val="ro-RO"/>
        </w:rPr>
        <w:t xml:space="preserve"> </w:t>
      </w:r>
      <w:r w:rsidRPr="009070BD">
        <w:rPr>
          <w:rFonts w:cs="Sylfaen"/>
          <w:b w:val="0"/>
          <w:szCs w:val="22"/>
        </w:rPr>
        <w:t>դրամ</w:t>
      </w:r>
      <w:r w:rsidRPr="009070BD">
        <w:rPr>
          <w:rFonts w:cs="Times Unicode"/>
          <w:b w:val="0"/>
          <w:iCs/>
          <w:szCs w:val="22"/>
          <w:lang w:val="pt-BR"/>
        </w:rPr>
        <w:t xml:space="preserve">` </w:t>
      </w:r>
      <w:r w:rsidRPr="009070BD">
        <w:rPr>
          <w:rFonts w:cs="IRTEK Courier"/>
          <w:b w:val="0"/>
          <w:szCs w:val="22"/>
          <w:lang w:val="pt-BR"/>
        </w:rPr>
        <w:t>ՀՀ 2020թ. պետական բյուջե</w:t>
      </w:r>
      <w:r w:rsidRPr="009070BD">
        <w:rPr>
          <w:rFonts w:cs="IRTEK Courier"/>
          <w:b w:val="0"/>
          <w:szCs w:val="22"/>
          <w:lang w:val="hy-AM"/>
        </w:rPr>
        <w:t>ի</w:t>
      </w:r>
      <w:r w:rsidRPr="009070BD">
        <w:rPr>
          <w:rFonts w:cs="IRTEK Courier"/>
          <w:b w:val="0"/>
          <w:szCs w:val="22"/>
          <w:lang w:val="pt-BR"/>
        </w:rPr>
        <w:t xml:space="preserve"> </w:t>
      </w:r>
      <w:r w:rsidRPr="009070BD">
        <w:rPr>
          <w:rFonts w:cs="IRTEK Courier"/>
          <w:b w:val="0"/>
          <w:szCs w:val="22"/>
          <w:lang w:val="hy-AM"/>
        </w:rPr>
        <w:t>չափաքանակին համապատասխան</w:t>
      </w:r>
      <w:r w:rsidRPr="009070BD">
        <w:rPr>
          <w:rFonts w:cs="Sylfaen"/>
          <w:b w:val="0"/>
          <w:szCs w:val="22"/>
          <w:lang w:val="ro-RO"/>
        </w:rPr>
        <w:t>:</w:t>
      </w:r>
    </w:p>
    <w:p w:rsidR="001367AD" w:rsidRPr="009070BD" w:rsidRDefault="001367AD" w:rsidP="007730AA">
      <w:pPr>
        <w:spacing w:before="0" w:line="276" w:lineRule="auto"/>
        <w:ind w:firstLine="720"/>
        <w:rPr>
          <w:b w:val="0"/>
          <w:szCs w:val="22"/>
          <w:lang w:val="af-ZA"/>
        </w:rPr>
      </w:pPr>
      <w:r w:rsidRPr="009070BD">
        <w:rPr>
          <w:b w:val="0"/>
          <w:szCs w:val="22"/>
        </w:rPr>
        <w:t>Միջոցառման</w:t>
      </w:r>
      <w:r w:rsidRPr="009070BD">
        <w:rPr>
          <w:b w:val="0"/>
          <w:szCs w:val="22"/>
          <w:lang w:val="af-ZA"/>
        </w:rPr>
        <w:t xml:space="preserve"> </w:t>
      </w:r>
      <w:r w:rsidRPr="009070BD">
        <w:rPr>
          <w:b w:val="0"/>
          <w:szCs w:val="22"/>
        </w:rPr>
        <w:t>շրջանակներում</w:t>
      </w:r>
      <w:r w:rsidRPr="009070BD">
        <w:rPr>
          <w:b w:val="0"/>
          <w:szCs w:val="22"/>
          <w:lang w:val="af-ZA"/>
        </w:rPr>
        <w:t xml:space="preserve"> </w:t>
      </w:r>
      <w:r w:rsidRPr="009070BD">
        <w:rPr>
          <w:b w:val="0"/>
          <w:szCs w:val="22"/>
        </w:rPr>
        <w:t>նախատեսվում</w:t>
      </w:r>
      <w:r w:rsidRPr="009070BD">
        <w:rPr>
          <w:b w:val="0"/>
          <w:szCs w:val="22"/>
          <w:lang w:val="af-ZA"/>
        </w:rPr>
        <w:t xml:space="preserve"> </w:t>
      </w:r>
      <w:r w:rsidRPr="009070BD">
        <w:rPr>
          <w:b w:val="0"/>
          <w:szCs w:val="22"/>
        </w:rPr>
        <w:t>է</w:t>
      </w:r>
      <w:r w:rsidRPr="009070BD">
        <w:rPr>
          <w:b w:val="0"/>
          <w:szCs w:val="22"/>
          <w:lang w:val="af-ZA"/>
        </w:rPr>
        <w:t xml:space="preserve"> </w:t>
      </w:r>
      <w:r w:rsidRPr="009070BD">
        <w:rPr>
          <w:b w:val="0"/>
          <w:szCs w:val="22"/>
        </w:rPr>
        <w:t>անտառների</w:t>
      </w:r>
      <w:r w:rsidRPr="009070BD">
        <w:rPr>
          <w:b w:val="0"/>
          <w:szCs w:val="22"/>
          <w:lang w:val="af-ZA"/>
        </w:rPr>
        <w:t xml:space="preserve"> </w:t>
      </w:r>
      <w:r w:rsidRPr="009070BD">
        <w:rPr>
          <w:b w:val="0"/>
          <w:szCs w:val="22"/>
        </w:rPr>
        <w:t>հաշվառման</w:t>
      </w:r>
      <w:r w:rsidRPr="009070BD">
        <w:rPr>
          <w:b w:val="0"/>
          <w:szCs w:val="22"/>
          <w:lang w:val="af-ZA"/>
        </w:rPr>
        <w:t xml:space="preserve"> </w:t>
      </w:r>
      <w:r w:rsidRPr="009070BD">
        <w:rPr>
          <w:b w:val="0"/>
          <w:szCs w:val="22"/>
        </w:rPr>
        <w:t>և</w:t>
      </w:r>
      <w:r w:rsidRPr="009070BD">
        <w:rPr>
          <w:b w:val="0"/>
          <w:szCs w:val="22"/>
          <w:lang w:val="af-ZA"/>
        </w:rPr>
        <w:t xml:space="preserve"> </w:t>
      </w:r>
      <w:r w:rsidRPr="009070BD">
        <w:rPr>
          <w:b w:val="0"/>
          <w:szCs w:val="22"/>
        </w:rPr>
        <w:t>անտառային</w:t>
      </w:r>
      <w:r w:rsidRPr="009070BD">
        <w:rPr>
          <w:b w:val="0"/>
          <w:szCs w:val="22"/>
          <w:lang w:val="af-ZA"/>
        </w:rPr>
        <w:t xml:space="preserve"> </w:t>
      </w:r>
      <w:r w:rsidRPr="009070BD">
        <w:rPr>
          <w:b w:val="0"/>
          <w:szCs w:val="22"/>
        </w:rPr>
        <w:t>պետական</w:t>
      </w:r>
      <w:r w:rsidRPr="009070BD">
        <w:rPr>
          <w:b w:val="0"/>
          <w:szCs w:val="22"/>
          <w:lang w:val="af-ZA"/>
        </w:rPr>
        <w:t xml:space="preserve"> </w:t>
      </w:r>
      <w:r w:rsidRPr="009070BD">
        <w:rPr>
          <w:b w:val="0"/>
          <w:szCs w:val="22"/>
        </w:rPr>
        <w:t>կադաստրի</w:t>
      </w:r>
      <w:r w:rsidRPr="009070BD">
        <w:rPr>
          <w:b w:val="0"/>
          <w:szCs w:val="22"/>
          <w:lang w:val="af-ZA"/>
        </w:rPr>
        <w:t xml:space="preserve"> </w:t>
      </w:r>
      <w:r w:rsidRPr="009070BD">
        <w:rPr>
          <w:b w:val="0"/>
          <w:szCs w:val="22"/>
        </w:rPr>
        <w:t>վարում</w:t>
      </w:r>
      <w:r w:rsidRPr="009070BD">
        <w:rPr>
          <w:b w:val="0"/>
          <w:szCs w:val="22"/>
          <w:lang w:val="af-ZA"/>
        </w:rPr>
        <w:t xml:space="preserve"> 342,400 </w:t>
      </w:r>
      <w:r w:rsidRPr="009070BD">
        <w:rPr>
          <w:b w:val="0"/>
          <w:szCs w:val="22"/>
        </w:rPr>
        <w:t>հա</w:t>
      </w:r>
      <w:r w:rsidRPr="009070BD">
        <w:rPr>
          <w:b w:val="0"/>
          <w:szCs w:val="22"/>
          <w:lang w:val="af-ZA"/>
        </w:rPr>
        <w:t xml:space="preserve"> </w:t>
      </w:r>
      <w:r w:rsidRPr="009070BD">
        <w:rPr>
          <w:b w:val="0"/>
          <w:szCs w:val="22"/>
        </w:rPr>
        <w:t>տարածքում</w:t>
      </w:r>
      <w:r w:rsidRPr="009070BD">
        <w:rPr>
          <w:b w:val="0"/>
          <w:szCs w:val="22"/>
          <w:lang w:val="af-ZA"/>
        </w:rPr>
        <w:t>:</w:t>
      </w:r>
    </w:p>
    <w:p w:rsidR="001367AD" w:rsidRPr="009070BD" w:rsidRDefault="001367AD" w:rsidP="007730AA">
      <w:pPr>
        <w:autoSpaceDE w:val="0"/>
        <w:autoSpaceDN w:val="0"/>
        <w:adjustRightInd w:val="0"/>
        <w:spacing w:before="0" w:line="276" w:lineRule="auto"/>
        <w:ind w:firstLine="720"/>
        <w:rPr>
          <w:rFonts w:cs="Sylfaen"/>
          <w:b w:val="0"/>
          <w:szCs w:val="22"/>
          <w:lang w:val="ro-RO"/>
        </w:rPr>
      </w:pPr>
      <w:r w:rsidRPr="009070BD">
        <w:rPr>
          <w:rFonts w:cs="Sylfaen"/>
          <w:b w:val="0"/>
          <w:bCs/>
          <w:szCs w:val="22"/>
          <w:lang w:val="af-ZA"/>
        </w:rPr>
        <w:t>4.3</w:t>
      </w:r>
      <w:r w:rsidRPr="009070BD">
        <w:rPr>
          <w:rFonts w:cs="Sylfaen"/>
          <w:b w:val="0"/>
          <w:bCs/>
          <w:szCs w:val="22"/>
          <w:lang w:val="hy-AM"/>
        </w:rPr>
        <w:t xml:space="preserve"> </w:t>
      </w:r>
      <w:r w:rsidRPr="009070BD">
        <w:rPr>
          <w:b w:val="0"/>
          <w:bCs/>
          <w:szCs w:val="22"/>
          <w:lang w:val="ro-RO"/>
        </w:rPr>
        <w:t></w:t>
      </w:r>
      <w:r w:rsidRPr="009070BD">
        <w:rPr>
          <w:rFonts w:cs="Sylfaen"/>
          <w:b w:val="0"/>
          <w:bCs/>
          <w:szCs w:val="22"/>
        </w:rPr>
        <w:t>Անտառների</w:t>
      </w:r>
      <w:r w:rsidRPr="009070BD">
        <w:rPr>
          <w:rFonts w:cs="Sylfaen"/>
          <w:b w:val="0"/>
          <w:bCs/>
          <w:szCs w:val="22"/>
          <w:lang w:val="af-ZA"/>
        </w:rPr>
        <w:t xml:space="preserve"> </w:t>
      </w:r>
      <w:r w:rsidRPr="009070BD">
        <w:rPr>
          <w:rFonts w:cs="Sylfaen"/>
          <w:b w:val="0"/>
          <w:bCs/>
          <w:szCs w:val="22"/>
        </w:rPr>
        <w:t>վնասակար</w:t>
      </w:r>
      <w:r w:rsidRPr="009070BD">
        <w:rPr>
          <w:rFonts w:cs="Sylfaen"/>
          <w:b w:val="0"/>
          <w:bCs/>
          <w:szCs w:val="22"/>
          <w:lang w:val="af-ZA"/>
        </w:rPr>
        <w:t xml:space="preserve"> </w:t>
      </w:r>
      <w:r w:rsidRPr="009070BD">
        <w:rPr>
          <w:rFonts w:cs="Sylfaen"/>
          <w:b w:val="0"/>
          <w:bCs/>
          <w:szCs w:val="22"/>
        </w:rPr>
        <w:t>օրգանիզմների</w:t>
      </w:r>
      <w:r w:rsidRPr="009070BD">
        <w:rPr>
          <w:rFonts w:cs="Sylfaen"/>
          <w:b w:val="0"/>
          <w:bCs/>
          <w:szCs w:val="22"/>
          <w:lang w:val="af-ZA"/>
        </w:rPr>
        <w:t xml:space="preserve"> </w:t>
      </w:r>
      <w:r w:rsidRPr="009070BD">
        <w:rPr>
          <w:rFonts w:cs="Sylfaen"/>
          <w:b w:val="0"/>
          <w:bCs/>
          <w:szCs w:val="22"/>
        </w:rPr>
        <w:t>դեմ</w:t>
      </w:r>
      <w:r w:rsidRPr="009070BD">
        <w:rPr>
          <w:rFonts w:cs="Sylfaen"/>
          <w:b w:val="0"/>
          <w:bCs/>
          <w:szCs w:val="22"/>
          <w:lang w:val="af-ZA"/>
        </w:rPr>
        <w:t xml:space="preserve"> </w:t>
      </w:r>
      <w:r w:rsidRPr="009070BD">
        <w:rPr>
          <w:rFonts w:cs="Sylfaen"/>
          <w:b w:val="0"/>
          <w:bCs/>
          <w:szCs w:val="22"/>
        </w:rPr>
        <w:t>պայքար</w:t>
      </w:r>
      <w:r w:rsidRPr="009070BD">
        <w:rPr>
          <w:b w:val="0"/>
          <w:bCs/>
          <w:szCs w:val="22"/>
          <w:lang w:val="ro-RO"/>
        </w:rPr>
        <w:t></w:t>
      </w:r>
      <w:r w:rsidRPr="009070BD">
        <w:rPr>
          <w:rFonts w:cs="Sylfaen"/>
          <w:b w:val="0"/>
          <w:bCs/>
          <w:szCs w:val="22"/>
          <w:lang w:val="ro-RO"/>
        </w:rPr>
        <w:t xml:space="preserve"> միջոցառման</w:t>
      </w:r>
      <w:r w:rsidRPr="009070BD">
        <w:rPr>
          <w:rFonts w:cs="Sylfaen"/>
          <w:b w:val="0"/>
          <w:szCs w:val="22"/>
          <w:lang w:val="ro-RO"/>
        </w:rPr>
        <w:t xml:space="preserve"> </w:t>
      </w:r>
      <w:r w:rsidRPr="009070BD">
        <w:rPr>
          <w:rFonts w:cs="Sylfaen"/>
          <w:b w:val="0"/>
          <w:szCs w:val="22"/>
        </w:rPr>
        <w:t>համար</w:t>
      </w:r>
      <w:r w:rsidRPr="009070BD">
        <w:rPr>
          <w:rFonts w:cs="Sylfaen"/>
          <w:b w:val="0"/>
          <w:szCs w:val="22"/>
          <w:lang w:val="ro-RO"/>
        </w:rPr>
        <w:t xml:space="preserve"> </w:t>
      </w:r>
      <w:r w:rsidRPr="009070BD">
        <w:rPr>
          <w:rFonts w:cs="Sylfaen"/>
          <w:b w:val="0"/>
          <w:szCs w:val="22"/>
        </w:rPr>
        <w:t>Նախագծով</w:t>
      </w:r>
      <w:r w:rsidRPr="009070BD">
        <w:rPr>
          <w:rFonts w:cs="Sylfaen"/>
          <w:b w:val="0"/>
          <w:szCs w:val="22"/>
          <w:lang w:val="ro-RO"/>
        </w:rPr>
        <w:t xml:space="preserve"> </w:t>
      </w:r>
      <w:r w:rsidRPr="009070BD">
        <w:rPr>
          <w:b w:val="0"/>
          <w:szCs w:val="22"/>
        </w:rPr>
        <w:t>նախատեսվում</w:t>
      </w:r>
      <w:r w:rsidRPr="009070BD">
        <w:rPr>
          <w:b w:val="0"/>
          <w:szCs w:val="22"/>
          <w:lang w:val="ro-RO"/>
        </w:rPr>
        <w:t xml:space="preserve"> </w:t>
      </w:r>
      <w:r w:rsidRPr="009070BD">
        <w:rPr>
          <w:b w:val="0"/>
          <w:szCs w:val="22"/>
        </w:rPr>
        <w:t>է</w:t>
      </w:r>
      <w:r w:rsidRPr="009070BD">
        <w:rPr>
          <w:b w:val="0"/>
          <w:szCs w:val="22"/>
          <w:lang w:val="ro-RO"/>
        </w:rPr>
        <w:t xml:space="preserve"> </w:t>
      </w:r>
      <w:r w:rsidRPr="009070BD">
        <w:rPr>
          <w:b w:val="0"/>
          <w:szCs w:val="22"/>
        </w:rPr>
        <w:t>հատկացնել</w:t>
      </w:r>
      <w:r w:rsidRPr="009070BD">
        <w:rPr>
          <w:b w:val="0"/>
          <w:szCs w:val="22"/>
          <w:lang w:val="ro-RO"/>
        </w:rPr>
        <w:t xml:space="preserve"> 43.7 </w:t>
      </w:r>
      <w:r w:rsidRPr="009070BD">
        <w:rPr>
          <w:rFonts w:cs="Sylfaen"/>
          <w:b w:val="0"/>
          <w:szCs w:val="22"/>
        </w:rPr>
        <w:t>մլն</w:t>
      </w:r>
      <w:r w:rsidRPr="009070BD">
        <w:rPr>
          <w:rFonts w:cs="Sylfaen"/>
          <w:b w:val="0"/>
          <w:szCs w:val="22"/>
          <w:lang w:val="ro-RO"/>
        </w:rPr>
        <w:t xml:space="preserve"> </w:t>
      </w:r>
      <w:r w:rsidRPr="009070BD">
        <w:rPr>
          <w:rFonts w:cs="Sylfaen"/>
          <w:b w:val="0"/>
          <w:szCs w:val="22"/>
        </w:rPr>
        <w:t>դրամ</w:t>
      </w:r>
      <w:r w:rsidRPr="009070BD">
        <w:rPr>
          <w:rFonts w:cs="Times Unicode"/>
          <w:b w:val="0"/>
          <w:iCs/>
          <w:szCs w:val="22"/>
          <w:lang w:val="pt-BR"/>
        </w:rPr>
        <w:t xml:space="preserve">` </w:t>
      </w:r>
      <w:r w:rsidRPr="009070BD">
        <w:rPr>
          <w:rFonts w:cs="IRTEK Courier"/>
          <w:b w:val="0"/>
          <w:szCs w:val="22"/>
          <w:lang w:val="pt-BR"/>
        </w:rPr>
        <w:t>ՀՀ 2020թ. պետական բյուջե</w:t>
      </w:r>
      <w:r w:rsidRPr="009070BD">
        <w:rPr>
          <w:rFonts w:cs="IRTEK Courier"/>
          <w:b w:val="0"/>
          <w:szCs w:val="22"/>
          <w:lang w:val="hy-AM"/>
        </w:rPr>
        <w:t>ի</w:t>
      </w:r>
      <w:r w:rsidRPr="009070BD">
        <w:rPr>
          <w:rFonts w:cs="IRTEK Courier"/>
          <w:b w:val="0"/>
          <w:szCs w:val="22"/>
          <w:lang w:val="pt-BR"/>
        </w:rPr>
        <w:t xml:space="preserve"> </w:t>
      </w:r>
      <w:r w:rsidRPr="009070BD">
        <w:rPr>
          <w:rFonts w:cs="IRTEK Courier"/>
          <w:b w:val="0"/>
          <w:szCs w:val="22"/>
          <w:lang w:val="hy-AM"/>
        </w:rPr>
        <w:t>չափաքանակին համապատասխան</w:t>
      </w:r>
      <w:r w:rsidRPr="009070BD">
        <w:rPr>
          <w:rFonts w:cs="Sylfaen"/>
          <w:b w:val="0"/>
          <w:szCs w:val="22"/>
          <w:lang w:val="ro-RO"/>
        </w:rPr>
        <w:t>:</w:t>
      </w:r>
    </w:p>
    <w:p w:rsidR="001367AD" w:rsidRPr="009070BD" w:rsidRDefault="001367AD" w:rsidP="007730AA">
      <w:pPr>
        <w:spacing w:before="0" w:line="276" w:lineRule="auto"/>
        <w:ind w:firstLine="720"/>
        <w:rPr>
          <w:b w:val="0"/>
          <w:szCs w:val="22"/>
          <w:lang w:val="af-ZA"/>
        </w:rPr>
      </w:pPr>
      <w:r w:rsidRPr="009070BD">
        <w:rPr>
          <w:b w:val="0"/>
          <w:szCs w:val="22"/>
        </w:rPr>
        <w:t>Միջոցառման</w:t>
      </w:r>
      <w:r w:rsidRPr="009070BD">
        <w:rPr>
          <w:b w:val="0"/>
          <w:szCs w:val="22"/>
          <w:lang w:val="af-ZA"/>
        </w:rPr>
        <w:t xml:space="preserve"> </w:t>
      </w:r>
      <w:r w:rsidRPr="009070BD">
        <w:rPr>
          <w:b w:val="0"/>
          <w:szCs w:val="22"/>
        </w:rPr>
        <w:t>շրջանակներում</w:t>
      </w:r>
      <w:r w:rsidRPr="009070BD">
        <w:rPr>
          <w:b w:val="0"/>
          <w:szCs w:val="22"/>
          <w:lang w:val="af-ZA"/>
        </w:rPr>
        <w:t xml:space="preserve"> </w:t>
      </w:r>
      <w:r w:rsidRPr="009070BD">
        <w:rPr>
          <w:b w:val="0"/>
          <w:szCs w:val="22"/>
        </w:rPr>
        <w:t>նախատեսվում</w:t>
      </w:r>
      <w:r w:rsidRPr="009070BD">
        <w:rPr>
          <w:b w:val="0"/>
          <w:szCs w:val="22"/>
          <w:lang w:val="af-ZA"/>
        </w:rPr>
        <w:t xml:space="preserve"> </w:t>
      </w:r>
      <w:r w:rsidRPr="009070BD">
        <w:rPr>
          <w:b w:val="0"/>
          <w:szCs w:val="22"/>
        </w:rPr>
        <w:t>է</w:t>
      </w:r>
      <w:r w:rsidRPr="009070BD">
        <w:rPr>
          <w:b w:val="0"/>
          <w:szCs w:val="22"/>
          <w:lang w:val="af-ZA"/>
        </w:rPr>
        <w:t xml:space="preserve"> «</w:t>
      </w:r>
      <w:r w:rsidRPr="009070BD">
        <w:rPr>
          <w:b w:val="0"/>
          <w:szCs w:val="22"/>
        </w:rPr>
        <w:t>Հայանտառ</w:t>
      </w:r>
      <w:r w:rsidRPr="009070BD">
        <w:rPr>
          <w:b w:val="0"/>
          <w:szCs w:val="22"/>
          <w:lang w:val="af-ZA"/>
        </w:rPr>
        <w:t xml:space="preserve">» </w:t>
      </w:r>
      <w:r w:rsidRPr="009070BD">
        <w:rPr>
          <w:b w:val="0"/>
          <w:szCs w:val="22"/>
        </w:rPr>
        <w:t>ՊՈԱԿ</w:t>
      </w:r>
      <w:r w:rsidRPr="009070BD">
        <w:rPr>
          <w:b w:val="0"/>
          <w:szCs w:val="22"/>
          <w:lang w:val="af-ZA"/>
        </w:rPr>
        <w:t>-</w:t>
      </w:r>
      <w:r w:rsidRPr="009070BD">
        <w:rPr>
          <w:b w:val="0"/>
          <w:szCs w:val="22"/>
        </w:rPr>
        <w:t>ի</w:t>
      </w:r>
      <w:r w:rsidRPr="009070BD">
        <w:rPr>
          <w:b w:val="0"/>
          <w:szCs w:val="22"/>
          <w:lang w:val="af-ZA"/>
        </w:rPr>
        <w:t xml:space="preserve"> </w:t>
      </w:r>
      <w:r w:rsidRPr="009070BD">
        <w:rPr>
          <w:b w:val="0"/>
          <w:szCs w:val="22"/>
        </w:rPr>
        <w:t>մասնաճյուղերի</w:t>
      </w:r>
      <w:r w:rsidRPr="009070BD">
        <w:rPr>
          <w:b w:val="0"/>
          <w:szCs w:val="22"/>
          <w:lang w:val="af-ZA"/>
        </w:rPr>
        <w:t xml:space="preserve"> </w:t>
      </w:r>
      <w:r w:rsidRPr="009070BD">
        <w:rPr>
          <w:b w:val="0"/>
          <w:szCs w:val="22"/>
        </w:rPr>
        <w:t>անտառածածկ</w:t>
      </w:r>
      <w:r w:rsidRPr="009070BD">
        <w:rPr>
          <w:b w:val="0"/>
          <w:szCs w:val="22"/>
          <w:lang w:val="af-ZA"/>
        </w:rPr>
        <w:t xml:space="preserve"> </w:t>
      </w:r>
      <w:r w:rsidRPr="009070BD">
        <w:rPr>
          <w:b w:val="0"/>
          <w:szCs w:val="22"/>
        </w:rPr>
        <w:t>տարածքներում</w:t>
      </w:r>
      <w:r w:rsidRPr="009070BD">
        <w:rPr>
          <w:b w:val="0"/>
          <w:szCs w:val="22"/>
          <w:lang w:val="af-ZA"/>
        </w:rPr>
        <w:t xml:space="preserve"> </w:t>
      </w:r>
      <w:r w:rsidRPr="009070BD">
        <w:rPr>
          <w:b w:val="0"/>
          <w:szCs w:val="22"/>
        </w:rPr>
        <w:t>վնասատուների</w:t>
      </w:r>
      <w:r w:rsidRPr="009070BD">
        <w:rPr>
          <w:b w:val="0"/>
          <w:szCs w:val="22"/>
          <w:lang w:val="af-ZA"/>
        </w:rPr>
        <w:t xml:space="preserve"> </w:t>
      </w:r>
      <w:r w:rsidRPr="009070BD">
        <w:rPr>
          <w:b w:val="0"/>
          <w:szCs w:val="22"/>
        </w:rPr>
        <w:t>և</w:t>
      </w:r>
      <w:r w:rsidRPr="009070BD">
        <w:rPr>
          <w:b w:val="0"/>
          <w:szCs w:val="22"/>
          <w:lang w:val="af-ZA"/>
        </w:rPr>
        <w:t xml:space="preserve"> </w:t>
      </w:r>
      <w:r w:rsidRPr="009070BD">
        <w:rPr>
          <w:b w:val="0"/>
          <w:szCs w:val="22"/>
        </w:rPr>
        <w:t>հիվանդությունների</w:t>
      </w:r>
      <w:r w:rsidRPr="009070BD">
        <w:rPr>
          <w:b w:val="0"/>
          <w:szCs w:val="22"/>
          <w:lang w:val="af-ZA"/>
        </w:rPr>
        <w:t xml:space="preserve"> </w:t>
      </w:r>
      <w:r w:rsidRPr="009070BD">
        <w:rPr>
          <w:b w:val="0"/>
          <w:szCs w:val="22"/>
        </w:rPr>
        <w:t>դեմ</w:t>
      </w:r>
      <w:r w:rsidRPr="009070BD">
        <w:rPr>
          <w:b w:val="0"/>
          <w:szCs w:val="22"/>
          <w:lang w:val="af-ZA"/>
        </w:rPr>
        <w:t xml:space="preserve"> </w:t>
      </w:r>
      <w:r w:rsidRPr="009070BD">
        <w:rPr>
          <w:b w:val="0"/>
          <w:szCs w:val="22"/>
        </w:rPr>
        <w:t>պայքար</w:t>
      </w:r>
      <w:r w:rsidRPr="009070BD">
        <w:rPr>
          <w:b w:val="0"/>
          <w:szCs w:val="22"/>
          <w:lang w:val="af-ZA"/>
        </w:rPr>
        <w:t xml:space="preserve"> </w:t>
      </w:r>
      <w:r w:rsidRPr="009070BD">
        <w:rPr>
          <w:b w:val="0"/>
          <w:szCs w:val="22"/>
        </w:rPr>
        <w:t>շուրջ</w:t>
      </w:r>
      <w:r w:rsidRPr="009070BD">
        <w:rPr>
          <w:b w:val="0"/>
          <w:szCs w:val="22"/>
          <w:lang w:val="af-ZA"/>
        </w:rPr>
        <w:t xml:space="preserve"> 5400 </w:t>
      </w:r>
      <w:r w:rsidRPr="009070BD">
        <w:rPr>
          <w:b w:val="0"/>
          <w:szCs w:val="22"/>
        </w:rPr>
        <w:t>հա</w:t>
      </w:r>
      <w:r w:rsidRPr="009070BD">
        <w:rPr>
          <w:b w:val="0"/>
          <w:szCs w:val="22"/>
          <w:lang w:val="af-ZA"/>
        </w:rPr>
        <w:t xml:space="preserve"> </w:t>
      </w:r>
      <w:r w:rsidRPr="009070BD">
        <w:rPr>
          <w:b w:val="0"/>
          <w:szCs w:val="22"/>
        </w:rPr>
        <w:t>տարածքում</w:t>
      </w:r>
      <w:r w:rsidRPr="009070BD">
        <w:rPr>
          <w:b w:val="0"/>
          <w:szCs w:val="22"/>
          <w:lang w:val="af-ZA"/>
        </w:rPr>
        <w:t>:</w:t>
      </w:r>
    </w:p>
    <w:p w:rsidR="001367AD" w:rsidRPr="009070BD" w:rsidRDefault="001367AD" w:rsidP="007730AA">
      <w:pPr>
        <w:spacing w:before="0" w:line="276" w:lineRule="auto"/>
        <w:ind w:firstLine="720"/>
        <w:rPr>
          <w:b w:val="0"/>
          <w:szCs w:val="22"/>
          <w:lang w:val="af-ZA"/>
        </w:rPr>
      </w:pPr>
      <w:r w:rsidRPr="009070BD">
        <w:rPr>
          <w:b w:val="0"/>
          <w:bCs/>
          <w:szCs w:val="22"/>
          <w:lang w:val="af-ZA"/>
        </w:rPr>
        <w:t>4.4 «Անտառվերականգնման և անտառապատման աշխատանքներ</w:t>
      </w:r>
      <w:r w:rsidRPr="009070BD">
        <w:rPr>
          <w:szCs w:val="22"/>
          <w:lang w:val="af-ZA"/>
        </w:rPr>
        <w:t xml:space="preserve"> </w:t>
      </w:r>
      <w:r w:rsidRPr="009070BD">
        <w:rPr>
          <w:b w:val="0"/>
          <w:szCs w:val="22"/>
          <w:lang w:val="af-ZA"/>
        </w:rPr>
        <w:t xml:space="preserve">միջոցառման գծով </w:t>
      </w:r>
      <w:r w:rsidRPr="009070BD">
        <w:rPr>
          <w:b w:val="0"/>
          <w:szCs w:val="22"/>
          <w:lang w:val="hy-AM"/>
        </w:rPr>
        <w:t>նախատեսված</w:t>
      </w:r>
      <w:r w:rsidRPr="009070BD">
        <w:rPr>
          <w:b w:val="0"/>
          <w:szCs w:val="22"/>
          <w:lang w:val="af-ZA"/>
        </w:rPr>
        <w:t xml:space="preserve"> </w:t>
      </w:r>
      <w:r w:rsidRPr="009070BD">
        <w:rPr>
          <w:b w:val="0"/>
          <w:szCs w:val="22"/>
          <w:lang w:val="hy-AM"/>
        </w:rPr>
        <w:t>է</w:t>
      </w:r>
      <w:r w:rsidRPr="009070BD">
        <w:rPr>
          <w:b w:val="0"/>
          <w:szCs w:val="22"/>
          <w:lang w:val="af-ZA"/>
        </w:rPr>
        <w:t xml:space="preserve"> 413.8 </w:t>
      </w:r>
      <w:r w:rsidRPr="009070BD">
        <w:rPr>
          <w:b w:val="0"/>
          <w:szCs w:val="22"/>
          <w:lang w:val="hy-AM"/>
        </w:rPr>
        <w:t>մլն</w:t>
      </w:r>
      <w:r w:rsidRPr="009070BD">
        <w:rPr>
          <w:b w:val="0"/>
          <w:szCs w:val="22"/>
          <w:lang w:val="af-ZA"/>
        </w:rPr>
        <w:t xml:space="preserve"> դրամ՝ անտառվերականգնման և անտառապատման աշխատանքների իրականացման համար` </w:t>
      </w:r>
      <w:r w:rsidRPr="009070BD">
        <w:rPr>
          <w:rFonts w:cs="IRTEK Courier"/>
          <w:b w:val="0"/>
          <w:szCs w:val="22"/>
          <w:lang w:val="pt-BR"/>
        </w:rPr>
        <w:t>ՀՀ 2020թ. պետական բյուջե</w:t>
      </w:r>
      <w:r w:rsidRPr="009070BD">
        <w:rPr>
          <w:rFonts w:cs="IRTEK Courier"/>
          <w:b w:val="0"/>
          <w:szCs w:val="22"/>
          <w:lang w:val="hy-AM"/>
        </w:rPr>
        <w:t>ի</w:t>
      </w:r>
      <w:r w:rsidRPr="009070BD">
        <w:rPr>
          <w:rFonts w:cs="IRTEK Courier"/>
          <w:b w:val="0"/>
          <w:szCs w:val="22"/>
          <w:lang w:val="pt-BR"/>
        </w:rPr>
        <w:t xml:space="preserve"> </w:t>
      </w:r>
      <w:r w:rsidRPr="009070BD">
        <w:rPr>
          <w:rFonts w:cs="IRTEK Courier"/>
          <w:b w:val="0"/>
          <w:szCs w:val="22"/>
          <w:lang w:val="hy-AM"/>
        </w:rPr>
        <w:t>չափաքանակին համապատասխան</w:t>
      </w:r>
      <w:r w:rsidRPr="009070BD">
        <w:rPr>
          <w:b w:val="0"/>
          <w:szCs w:val="22"/>
          <w:lang w:val="af-ZA"/>
        </w:rPr>
        <w:t>:</w:t>
      </w:r>
    </w:p>
    <w:p w:rsidR="001367AD" w:rsidRPr="009070BD" w:rsidRDefault="001367AD" w:rsidP="007730AA">
      <w:pPr>
        <w:spacing w:before="0" w:line="276" w:lineRule="auto"/>
        <w:ind w:firstLine="720"/>
        <w:rPr>
          <w:b w:val="0"/>
          <w:szCs w:val="22"/>
          <w:lang w:val="af-ZA"/>
        </w:rPr>
      </w:pPr>
      <w:r w:rsidRPr="009070BD">
        <w:rPr>
          <w:b w:val="0"/>
          <w:bCs/>
          <w:szCs w:val="22"/>
          <w:lang w:val="af-ZA"/>
        </w:rPr>
        <w:t xml:space="preserve">4.5 «Անտառկառավարման պլանների կազմում </w:t>
      </w:r>
      <w:r w:rsidRPr="009070BD">
        <w:rPr>
          <w:b w:val="0"/>
          <w:szCs w:val="22"/>
          <w:lang w:val="af-ZA"/>
        </w:rPr>
        <w:t xml:space="preserve">միջոցառման գծով ներկայացվել է 125.7 </w:t>
      </w:r>
      <w:r w:rsidRPr="009070BD">
        <w:rPr>
          <w:b w:val="0"/>
          <w:szCs w:val="22"/>
          <w:lang w:val="hy-AM"/>
        </w:rPr>
        <w:t>մլն</w:t>
      </w:r>
      <w:r w:rsidRPr="009070BD">
        <w:rPr>
          <w:b w:val="0"/>
          <w:szCs w:val="22"/>
          <w:lang w:val="af-ZA"/>
        </w:rPr>
        <w:t xml:space="preserve"> դրամ՝ անտառկառավարման պլանների կազմման աշխատանքներ` </w:t>
      </w:r>
      <w:r w:rsidRPr="009070BD">
        <w:rPr>
          <w:rFonts w:cs="IRTEK Courier"/>
          <w:b w:val="0"/>
          <w:szCs w:val="22"/>
          <w:lang w:val="pt-BR"/>
        </w:rPr>
        <w:t>ՀՀ 2020թ. պետական բյուջե</w:t>
      </w:r>
      <w:r w:rsidRPr="009070BD">
        <w:rPr>
          <w:rFonts w:cs="IRTEK Courier"/>
          <w:b w:val="0"/>
          <w:szCs w:val="22"/>
          <w:lang w:val="hy-AM"/>
        </w:rPr>
        <w:t>ի</w:t>
      </w:r>
      <w:r w:rsidRPr="009070BD">
        <w:rPr>
          <w:rFonts w:cs="IRTEK Courier"/>
          <w:b w:val="0"/>
          <w:szCs w:val="22"/>
          <w:lang w:val="pt-BR"/>
        </w:rPr>
        <w:t xml:space="preserve"> </w:t>
      </w:r>
      <w:r w:rsidRPr="009070BD">
        <w:rPr>
          <w:rFonts w:cs="IRTEK Courier"/>
          <w:b w:val="0"/>
          <w:szCs w:val="22"/>
          <w:lang w:val="hy-AM"/>
        </w:rPr>
        <w:t>չափաքանակին համապատասխան</w:t>
      </w:r>
      <w:r w:rsidRPr="009070BD">
        <w:rPr>
          <w:rFonts w:cs="Sylfaen"/>
          <w:b w:val="0"/>
          <w:szCs w:val="22"/>
          <w:lang w:val="ro-RO"/>
        </w:rPr>
        <w:t>:</w:t>
      </w:r>
    </w:p>
    <w:p w:rsidR="001367AD" w:rsidRPr="009070BD" w:rsidRDefault="001367AD" w:rsidP="007730AA">
      <w:pPr>
        <w:spacing w:before="0" w:line="276" w:lineRule="auto"/>
        <w:ind w:firstLine="720"/>
        <w:rPr>
          <w:szCs w:val="22"/>
          <w:lang w:val="hy-AM"/>
        </w:rPr>
      </w:pPr>
      <w:r w:rsidRPr="009070BD">
        <w:rPr>
          <w:szCs w:val="22"/>
          <w:lang w:val="af-ZA"/>
        </w:rPr>
        <w:t xml:space="preserve">5. </w:t>
      </w:r>
      <w:r w:rsidRPr="009070BD">
        <w:rPr>
          <w:szCs w:val="22"/>
          <w:lang w:val="hy-AM"/>
        </w:rPr>
        <w:t>«Բնապահպանական նմուշների պահպանություն և ցուցադրություն» ծրագիր</w:t>
      </w:r>
    </w:p>
    <w:p w:rsidR="001367AD" w:rsidRPr="009070BD" w:rsidRDefault="001367AD" w:rsidP="007730AA">
      <w:pPr>
        <w:autoSpaceDE w:val="0"/>
        <w:autoSpaceDN w:val="0"/>
        <w:adjustRightInd w:val="0"/>
        <w:spacing w:before="0" w:line="276" w:lineRule="auto"/>
        <w:ind w:firstLine="720"/>
        <w:rPr>
          <w:rFonts w:cs="Sylfaen"/>
          <w:b w:val="0"/>
          <w:szCs w:val="22"/>
          <w:lang w:val="hy-AM"/>
        </w:rPr>
      </w:pPr>
      <w:r w:rsidRPr="009070BD">
        <w:rPr>
          <w:rFonts w:cs="Sylfaen"/>
          <w:b w:val="0"/>
          <w:szCs w:val="22"/>
          <w:lang w:val="hy-AM"/>
        </w:rPr>
        <w:t>Ծրագրի համար Ն</w:t>
      </w:r>
      <w:r w:rsidRPr="009070BD">
        <w:rPr>
          <w:b w:val="0"/>
          <w:szCs w:val="22"/>
          <w:lang w:val="hy-AM"/>
        </w:rPr>
        <w:t>ախագծով</w:t>
      </w:r>
      <w:r w:rsidRPr="009070BD">
        <w:rPr>
          <w:rFonts w:cs="Sylfaen"/>
          <w:b w:val="0"/>
          <w:szCs w:val="22"/>
          <w:lang w:val="af-ZA"/>
        </w:rPr>
        <w:t xml:space="preserve"> </w:t>
      </w:r>
      <w:r w:rsidRPr="009070BD">
        <w:rPr>
          <w:rFonts w:cs="Sylfaen"/>
          <w:b w:val="0"/>
          <w:szCs w:val="22"/>
          <w:lang w:val="hy-AM"/>
        </w:rPr>
        <w:t>նախատեսվում</w:t>
      </w:r>
      <w:r w:rsidRPr="009070BD">
        <w:rPr>
          <w:rFonts w:cs="Sylfaen"/>
          <w:b w:val="0"/>
          <w:szCs w:val="22"/>
          <w:lang w:val="af-ZA"/>
        </w:rPr>
        <w:t xml:space="preserve"> </w:t>
      </w:r>
      <w:r w:rsidRPr="009070BD">
        <w:rPr>
          <w:rFonts w:cs="Sylfaen"/>
          <w:b w:val="0"/>
          <w:szCs w:val="22"/>
          <w:lang w:val="hy-AM"/>
        </w:rPr>
        <w:t>է</w:t>
      </w:r>
      <w:r w:rsidRPr="009070BD">
        <w:rPr>
          <w:rFonts w:cs="Sylfaen"/>
          <w:b w:val="0"/>
          <w:szCs w:val="22"/>
          <w:lang w:val="af-ZA"/>
        </w:rPr>
        <w:t xml:space="preserve"> </w:t>
      </w:r>
      <w:r w:rsidRPr="009070BD">
        <w:rPr>
          <w:rFonts w:cs="Sylfaen"/>
          <w:b w:val="0"/>
          <w:szCs w:val="22"/>
          <w:lang w:val="hy-AM"/>
        </w:rPr>
        <w:t>հատկացնել</w:t>
      </w:r>
      <w:r w:rsidRPr="009070BD">
        <w:rPr>
          <w:rFonts w:cs="Sylfaen"/>
          <w:b w:val="0"/>
          <w:szCs w:val="22"/>
          <w:lang w:val="af-ZA"/>
        </w:rPr>
        <w:t xml:space="preserve"> </w:t>
      </w:r>
      <w:r w:rsidRPr="009070BD">
        <w:rPr>
          <w:rFonts w:cs="Sylfaen"/>
          <w:b w:val="0"/>
          <w:szCs w:val="22"/>
          <w:lang w:val="hy-AM"/>
        </w:rPr>
        <w:t>344</w:t>
      </w:r>
      <w:r w:rsidRPr="009070BD">
        <w:rPr>
          <w:rFonts w:cs="Sylfaen"/>
          <w:b w:val="0"/>
          <w:szCs w:val="22"/>
          <w:lang w:val="pt-BR"/>
        </w:rPr>
        <w:t>.87</w:t>
      </w:r>
      <w:r w:rsidRPr="009070BD">
        <w:rPr>
          <w:rFonts w:cs="Sylfaen"/>
          <w:b w:val="0"/>
          <w:szCs w:val="22"/>
          <w:lang w:val="af-ZA"/>
        </w:rPr>
        <w:t xml:space="preserve"> </w:t>
      </w:r>
      <w:r w:rsidRPr="009070BD">
        <w:rPr>
          <w:rFonts w:cs="Sylfaen"/>
          <w:b w:val="0"/>
          <w:szCs w:val="22"/>
          <w:lang w:val="hy-AM"/>
        </w:rPr>
        <w:t>մլն</w:t>
      </w:r>
      <w:r w:rsidRPr="009070BD">
        <w:rPr>
          <w:rFonts w:cs="Sylfaen"/>
          <w:b w:val="0"/>
          <w:szCs w:val="22"/>
          <w:lang w:val="af-ZA"/>
        </w:rPr>
        <w:t xml:space="preserve"> </w:t>
      </w:r>
      <w:r w:rsidRPr="009070BD">
        <w:rPr>
          <w:rFonts w:cs="Sylfaen"/>
          <w:b w:val="0"/>
          <w:szCs w:val="22"/>
          <w:lang w:val="hy-AM"/>
        </w:rPr>
        <w:t>դրամ, որի շրջանակներում իրականացվում են հետևյալ միջոցառումները՝</w:t>
      </w:r>
    </w:p>
    <w:p w:rsidR="001367AD" w:rsidRPr="009070BD" w:rsidRDefault="001367AD" w:rsidP="007730AA">
      <w:pPr>
        <w:numPr>
          <w:ilvl w:val="12"/>
          <w:numId w:val="0"/>
        </w:numPr>
        <w:tabs>
          <w:tab w:val="left" w:pos="851"/>
        </w:tabs>
        <w:spacing w:before="0" w:line="276" w:lineRule="auto"/>
        <w:ind w:firstLine="720"/>
        <w:rPr>
          <w:b w:val="0"/>
          <w:noProof/>
          <w:szCs w:val="22"/>
          <w:lang w:val="af-ZA"/>
        </w:rPr>
      </w:pPr>
      <w:r w:rsidRPr="009070BD">
        <w:rPr>
          <w:rFonts w:eastAsia="GHEAGrapalat"/>
          <w:b w:val="0"/>
          <w:bCs/>
          <w:szCs w:val="22"/>
          <w:lang w:val="hy-AM"/>
        </w:rPr>
        <w:t>5.1 «</w:t>
      </w:r>
      <w:r w:rsidRPr="009070BD">
        <w:rPr>
          <w:rFonts w:eastAsia="GHEAGrapalat"/>
          <w:b w:val="0"/>
          <w:bCs/>
          <w:szCs w:val="22"/>
          <w:lang w:val="af-ZA"/>
        </w:rPr>
        <w:t>Բնագիտական նմուշների պահպանություն և ցուցադրություն</w:t>
      </w:r>
      <w:r w:rsidRPr="009070BD">
        <w:rPr>
          <w:rFonts w:eastAsia="GHEAGrapalat"/>
          <w:b w:val="0"/>
          <w:bCs/>
          <w:szCs w:val="22"/>
          <w:lang w:val="hy-AM"/>
        </w:rPr>
        <w:t>»</w:t>
      </w:r>
      <w:r w:rsidRPr="009070BD">
        <w:rPr>
          <w:b w:val="0"/>
          <w:szCs w:val="22"/>
          <w:lang w:val="af-ZA"/>
        </w:rPr>
        <w:t xml:space="preserve"> միջոցառման գծով</w:t>
      </w:r>
      <w:r w:rsidRPr="009070BD">
        <w:rPr>
          <w:rFonts w:cs="Sylfaen"/>
          <w:b w:val="0"/>
          <w:szCs w:val="22"/>
          <w:lang w:val="af-ZA"/>
        </w:rPr>
        <w:t xml:space="preserve"> </w:t>
      </w:r>
      <w:r w:rsidRPr="009070BD">
        <w:rPr>
          <w:rFonts w:cs="Sylfaen"/>
          <w:b w:val="0"/>
          <w:szCs w:val="22"/>
          <w:lang w:val="hy-AM"/>
        </w:rPr>
        <w:t>Նախագծով</w:t>
      </w:r>
      <w:r w:rsidRPr="009070BD">
        <w:rPr>
          <w:rFonts w:cs="Sylfaen"/>
          <w:b w:val="0"/>
          <w:szCs w:val="22"/>
          <w:lang w:val="ro-RO"/>
        </w:rPr>
        <w:t xml:space="preserve"> </w:t>
      </w:r>
      <w:r w:rsidRPr="009070BD">
        <w:rPr>
          <w:b w:val="0"/>
          <w:szCs w:val="22"/>
          <w:lang w:val="hy-AM"/>
        </w:rPr>
        <w:t>նախատեսվում</w:t>
      </w:r>
      <w:r w:rsidRPr="009070BD">
        <w:rPr>
          <w:b w:val="0"/>
          <w:szCs w:val="22"/>
          <w:lang w:val="ro-RO"/>
        </w:rPr>
        <w:t xml:space="preserve"> </w:t>
      </w:r>
      <w:r w:rsidRPr="009070BD">
        <w:rPr>
          <w:b w:val="0"/>
          <w:szCs w:val="22"/>
          <w:lang w:val="hy-AM"/>
        </w:rPr>
        <w:t>է</w:t>
      </w:r>
      <w:r w:rsidRPr="009070BD">
        <w:rPr>
          <w:b w:val="0"/>
          <w:szCs w:val="22"/>
          <w:lang w:val="ro-RO"/>
        </w:rPr>
        <w:t xml:space="preserve"> </w:t>
      </w:r>
      <w:r w:rsidRPr="009070BD">
        <w:rPr>
          <w:b w:val="0"/>
          <w:szCs w:val="22"/>
          <w:lang w:val="hy-AM"/>
        </w:rPr>
        <w:t>հատկացնել</w:t>
      </w:r>
      <w:r w:rsidRPr="009070BD">
        <w:rPr>
          <w:b w:val="0"/>
          <w:szCs w:val="22"/>
          <w:lang w:val="ro-RO"/>
        </w:rPr>
        <w:t xml:space="preserve"> 42</w:t>
      </w:r>
      <w:r w:rsidRPr="009070BD">
        <w:rPr>
          <w:b w:val="0"/>
          <w:szCs w:val="22"/>
          <w:lang w:val="hy-AM"/>
        </w:rPr>
        <w:t>.3</w:t>
      </w:r>
      <w:r w:rsidRPr="009070BD">
        <w:rPr>
          <w:b w:val="0"/>
          <w:szCs w:val="22"/>
          <w:lang w:val="ro-RO"/>
        </w:rPr>
        <w:t xml:space="preserve"> </w:t>
      </w:r>
      <w:r w:rsidRPr="009070BD">
        <w:rPr>
          <w:rFonts w:cs="Sylfaen"/>
          <w:b w:val="0"/>
          <w:szCs w:val="22"/>
          <w:lang w:val="hy-AM"/>
        </w:rPr>
        <w:t>մլն</w:t>
      </w:r>
      <w:r w:rsidRPr="009070BD">
        <w:rPr>
          <w:rFonts w:cs="Sylfaen"/>
          <w:b w:val="0"/>
          <w:szCs w:val="22"/>
          <w:lang w:val="ro-RO"/>
        </w:rPr>
        <w:t xml:space="preserve"> </w:t>
      </w:r>
      <w:r w:rsidRPr="009070BD">
        <w:rPr>
          <w:rFonts w:cs="Sylfaen"/>
          <w:b w:val="0"/>
          <w:szCs w:val="22"/>
          <w:lang w:val="hy-AM"/>
        </w:rPr>
        <w:t xml:space="preserve">դրամ՝ </w:t>
      </w:r>
      <w:r w:rsidRPr="009070BD">
        <w:rPr>
          <w:rFonts w:cs="IRTEK Courier"/>
          <w:b w:val="0"/>
          <w:szCs w:val="22"/>
          <w:lang w:val="pt-BR"/>
        </w:rPr>
        <w:t>ՀՀ 2020թ. պետական բյուջե</w:t>
      </w:r>
      <w:r w:rsidRPr="009070BD">
        <w:rPr>
          <w:rFonts w:cs="IRTEK Courier"/>
          <w:b w:val="0"/>
          <w:szCs w:val="22"/>
          <w:lang w:val="hy-AM"/>
        </w:rPr>
        <w:t>ի</w:t>
      </w:r>
      <w:r w:rsidRPr="009070BD">
        <w:rPr>
          <w:rFonts w:cs="IRTEK Courier"/>
          <w:b w:val="0"/>
          <w:szCs w:val="22"/>
          <w:lang w:val="pt-BR"/>
        </w:rPr>
        <w:t xml:space="preserve"> </w:t>
      </w:r>
      <w:r w:rsidRPr="009070BD">
        <w:rPr>
          <w:rFonts w:cs="IRTEK Courier"/>
          <w:b w:val="0"/>
          <w:szCs w:val="22"/>
          <w:lang w:val="hy-AM"/>
        </w:rPr>
        <w:t>չափաքանակի</w:t>
      </w:r>
      <w:r w:rsidRPr="009070BD">
        <w:rPr>
          <w:rFonts w:cs="IRTEK Courier"/>
          <w:b w:val="0"/>
          <w:szCs w:val="22"/>
          <w:lang w:val="pt-BR"/>
        </w:rPr>
        <w:t xml:space="preserve"> </w:t>
      </w:r>
      <w:r w:rsidRPr="009070BD">
        <w:rPr>
          <w:rFonts w:cs="IRTEK Courier"/>
          <w:b w:val="0"/>
          <w:szCs w:val="22"/>
          <w:lang w:val="hy-AM"/>
        </w:rPr>
        <w:t>50</w:t>
      </w:r>
      <w:r w:rsidRPr="009070BD">
        <w:rPr>
          <w:rFonts w:cs="IRTEK Courier"/>
          <w:b w:val="0"/>
          <w:szCs w:val="22"/>
          <w:lang w:val="pt-BR"/>
        </w:rPr>
        <w:t xml:space="preserve">.6 մլն </w:t>
      </w:r>
      <w:r w:rsidRPr="009070BD">
        <w:rPr>
          <w:b w:val="0"/>
          <w:noProof/>
          <w:szCs w:val="22"/>
          <w:lang w:val="hy-AM"/>
        </w:rPr>
        <w:t>դրամի</w:t>
      </w:r>
      <w:r w:rsidRPr="009070BD">
        <w:rPr>
          <w:b w:val="0"/>
          <w:noProof/>
          <w:szCs w:val="22"/>
          <w:lang w:val="af-ZA"/>
        </w:rPr>
        <w:t xml:space="preserve"> </w:t>
      </w:r>
      <w:r w:rsidRPr="009070BD">
        <w:rPr>
          <w:b w:val="0"/>
          <w:noProof/>
          <w:szCs w:val="22"/>
          <w:lang w:val="hy-AM"/>
        </w:rPr>
        <w:t>դիմաց</w:t>
      </w:r>
      <w:r w:rsidRPr="009070BD">
        <w:rPr>
          <w:rFonts w:cs="IRTEK Courier"/>
          <w:b w:val="0"/>
          <w:szCs w:val="22"/>
          <w:lang w:val="hy-AM"/>
        </w:rPr>
        <w:t xml:space="preserve">: </w:t>
      </w:r>
      <w:r w:rsidRPr="009070BD">
        <w:rPr>
          <w:b w:val="0"/>
          <w:noProof/>
          <w:szCs w:val="22"/>
          <w:lang w:val="hy-AM"/>
        </w:rPr>
        <w:t>Ծախսերը</w:t>
      </w:r>
      <w:r w:rsidRPr="009070BD">
        <w:rPr>
          <w:b w:val="0"/>
          <w:noProof/>
          <w:szCs w:val="22"/>
          <w:lang w:val="af-ZA"/>
        </w:rPr>
        <w:t xml:space="preserve"> </w:t>
      </w:r>
      <w:r w:rsidRPr="009070BD">
        <w:rPr>
          <w:b w:val="0"/>
          <w:noProof/>
          <w:szCs w:val="22"/>
          <w:lang w:val="hy-AM"/>
        </w:rPr>
        <w:t>նվազել</w:t>
      </w:r>
      <w:r w:rsidRPr="009070BD">
        <w:rPr>
          <w:b w:val="0"/>
          <w:noProof/>
          <w:szCs w:val="22"/>
          <w:lang w:val="af-ZA"/>
        </w:rPr>
        <w:t xml:space="preserve"> </w:t>
      </w:r>
      <w:r w:rsidRPr="009070BD">
        <w:rPr>
          <w:b w:val="0"/>
          <w:noProof/>
          <w:szCs w:val="22"/>
          <w:lang w:val="hy-AM"/>
        </w:rPr>
        <w:t>են</w:t>
      </w:r>
      <w:r w:rsidRPr="009070BD">
        <w:rPr>
          <w:b w:val="0"/>
          <w:noProof/>
          <w:szCs w:val="22"/>
          <w:lang w:val="af-ZA"/>
        </w:rPr>
        <w:t xml:space="preserve"> </w:t>
      </w:r>
      <w:r w:rsidRPr="009070BD">
        <w:rPr>
          <w:b w:val="0"/>
          <w:noProof/>
          <w:szCs w:val="22"/>
          <w:lang w:val="hy-AM"/>
        </w:rPr>
        <w:t>8</w:t>
      </w:r>
      <w:r w:rsidRPr="009070BD">
        <w:rPr>
          <w:b w:val="0"/>
          <w:noProof/>
          <w:szCs w:val="22"/>
          <w:lang w:val="af-ZA"/>
        </w:rPr>
        <w:t xml:space="preserve">.3 </w:t>
      </w:r>
      <w:r w:rsidRPr="009070BD">
        <w:rPr>
          <w:b w:val="0"/>
          <w:noProof/>
          <w:szCs w:val="22"/>
          <w:lang w:val="hy-AM"/>
        </w:rPr>
        <w:t>մլն</w:t>
      </w:r>
      <w:r w:rsidRPr="009070BD">
        <w:rPr>
          <w:b w:val="0"/>
          <w:noProof/>
          <w:szCs w:val="22"/>
          <w:lang w:val="af-ZA"/>
        </w:rPr>
        <w:t xml:space="preserve"> </w:t>
      </w:r>
      <w:r w:rsidRPr="009070BD">
        <w:rPr>
          <w:b w:val="0"/>
          <w:noProof/>
          <w:szCs w:val="22"/>
          <w:lang w:val="hy-AM"/>
        </w:rPr>
        <w:t>դրամով</w:t>
      </w:r>
      <w:r w:rsidRPr="009070BD">
        <w:rPr>
          <w:b w:val="0"/>
          <w:noProof/>
          <w:szCs w:val="22"/>
          <w:lang w:val="af-ZA"/>
        </w:rPr>
        <w:t xml:space="preserve">, </w:t>
      </w:r>
      <w:r w:rsidRPr="009070BD">
        <w:rPr>
          <w:b w:val="0"/>
          <w:noProof/>
          <w:szCs w:val="22"/>
          <w:lang w:val="hy-AM"/>
        </w:rPr>
        <w:t>որը</w:t>
      </w:r>
      <w:r w:rsidRPr="009070BD">
        <w:rPr>
          <w:b w:val="0"/>
          <w:noProof/>
          <w:szCs w:val="22"/>
          <w:lang w:val="af-ZA"/>
        </w:rPr>
        <w:t xml:space="preserve"> </w:t>
      </w:r>
      <w:r w:rsidRPr="009070BD">
        <w:rPr>
          <w:b w:val="0"/>
          <w:noProof/>
          <w:szCs w:val="22"/>
          <w:lang w:val="hy-AM"/>
        </w:rPr>
        <w:t>պայմանավորված</w:t>
      </w:r>
      <w:r w:rsidRPr="009070BD">
        <w:rPr>
          <w:b w:val="0"/>
          <w:noProof/>
          <w:szCs w:val="22"/>
          <w:lang w:val="af-ZA"/>
        </w:rPr>
        <w:t xml:space="preserve"> </w:t>
      </w:r>
      <w:r w:rsidRPr="009070BD">
        <w:rPr>
          <w:b w:val="0"/>
          <w:noProof/>
          <w:szCs w:val="22"/>
          <w:lang w:val="hy-AM"/>
        </w:rPr>
        <w:t>է ծախսային գերակայություններով, առաջնահերթություններով</w:t>
      </w:r>
      <w:r w:rsidRPr="009070BD">
        <w:rPr>
          <w:b w:val="0"/>
          <w:noProof/>
          <w:szCs w:val="22"/>
          <w:lang w:val="af-ZA"/>
        </w:rPr>
        <w:t>:</w:t>
      </w:r>
    </w:p>
    <w:p w:rsidR="001367AD" w:rsidRPr="009070BD" w:rsidRDefault="001367AD" w:rsidP="007730AA">
      <w:pPr>
        <w:spacing w:before="0" w:line="276" w:lineRule="auto"/>
        <w:ind w:firstLine="720"/>
        <w:rPr>
          <w:b w:val="0"/>
          <w:szCs w:val="22"/>
          <w:lang w:val="hy-AM"/>
        </w:rPr>
      </w:pPr>
      <w:r w:rsidRPr="009070BD">
        <w:rPr>
          <w:b w:val="0"/>
          <w:szCs w:val="22"/>
          <w:lang w:val="hy-AM"/>
        </w:rPr>
        <w:t>Միջոցառման</w:t>
      </w:r>
      <w:r w:rsidRPr="009070BD">
        <w:rPr>
          <w:b w:val="0"/>
          <w:szCs w:val="22"/>
          <w:lang w:val="af-ZA"/>
        </w:rPr>
        <w:t xml:space="preserve"> </w:t>
      </w:r>
      <w:r w:rsidRPr="009070BD">
        <w:rPr>
          <w:b w:val="0"/>
          <w:szCs w:val="22"/>
          <w:lang w:val="hy-AM"/>
        </w:rPr>
        <w:t>շրջանակներում</w:t>
      </w:r>
      <w:r w:rsidRPr="009070BD">
        <w:rPr>
          <w:b w:val="0"/>
          <w:szCs w:val="22"/>
          <w:lang w:val="af-ZA"/>
        </w:rPr>
        <w:t xml:space="preserve"> </w:t>
      </w:r>
      <w:r w:rsidRPr="009070BD">
        <w:rPr>
          <w:b w:val="0"/>
          <w:szCs w:val="22"/>
          <w:lang w:val="hy-AM"/>
        </w:rPr>
        <w:t>նախատեսվում</w:t>
      </w:r>
      <w:r w:rsidRPr="009070BD">
        <w:rPr>
          <w:b w:val="0"/>
          <w:szCs w:val="22"/>
          <w:lang w:val="af-ZA"/>
        </w:rPr>
        <w:t xml:space="preserve"> </w:t>
      </w:r>
      <w:r w:rsidRPr="009070BD">
        <w:rPr>
          <w:b w:val="0"/>
          <w:szCs w:val="22"/>
          <w:lang w:val="hy-AM"/>
        </w:rPr>
        <w:t>է</w:t>
      </w:r>
      <w:r w:rsidRPr="009070BD">
        <w:rPr>
          <w:b w:val="0"/>
          <w:szCs w:val="22"/>
          <w:lang w:val="af-ZA"/>
        </w:rPr>
        <w:t xml:space="preserve"> «</w:t>
      </w:r>
      <w:r w:rsidRPr="009070BD">
        <w:rPr>
          <w:b w:val="0"/>
          <w:szCs w:val="22"/>
          <w:lang w:val="hy-AM"/>
        </w:rPr>
        <w:t>Հայաստանի բնության պետական թանգարան</w:t>
      </w:r>
      <w:r w:rsidRPr="009070BD">
        <w:rPr>
          <w:b w:val="0"/>
          <w:szCs w:val="22"/>
          <w:lang w:val="af-ZA"/>
        </w:rPr>
        <w:t xml:space="preserve">» </w:t>
      </w:r>
      <w:r w:rsidRPr="009070BD">
        <w:rPr>
          <w:b w:val="0"/>
          <w:szCs w:val="22"/>
          <w:lang w:val="hy-AM"/>
        </w:rPr>
        <w:t>ՊՈԱԿ</w:t>
      </w:r>
      <w:r w:rsidRPr="009070BD">
        <w:rPr>
          <w:b w:val="0"/>
          <w:szCs w:val="22"/>
          <w:lang w:val="af-ZA"/>
        </w:rPr>
        <w:t>-</w:t>
      </w:r>
      <w:r w:rsidRPr="009070BD">
        <w:rPr>
          <w:b w:val="0"/>
          <w:szCs w:val="22"/>
          <w:lang w:val="hy-AM"/>
        </w:rPr>
        <w:t>ի</w:t>
      </w:r>
      <w:r w:rsidRPr="009070BD">
        <w:rPr>
          <w:b w:val="0"/>
          <w:szCs w:val="22"/>
          <w:lang w:val="af-ZA"/>
        </w:rPr>
        <w:t xml:space="preserve"> </w:t>
      </w:r>
      <w:r w:rsidRPr="009070BD">
        <w:rPr>
          <w:b w:val="0"/>
          <w:szCs w:val="22"/>
          <w:lang w:val="hy-AM"/>
        </w:rPr>
        <w:t>իրավասության</w:t>
      </w:r>
      <w:r w:rsidRPr="009070BD">
        <w:rPr>
          <w:b w:val="0"/>
          <w:szCs w:val="22"/>
          <w:lang w:val="af-ZA"/>
        </w:rPr>
        <w:t xml:space="preserve"> </w:t>
      </w:r>
      <w:r w:rsidRPr="009070BD">
        <w:rPr>
          <w:b w:val="0"/>
          <w:szCs w:val="22"/>
          <w:lang w:val="hy-AM"/>
        </w:rPr>
        <w:t>ներքո</w:t>
      </w:r>
      <w:r w:rsidRPr="009070BD">
        <w:rPr>
          <w:b w:val="0"/>
          <w:szCs w:val="22"/>
          <w:lang w:val="af-ZA"/>
        </w:rPr>
        <w:t xml:space="preserve"> </w:t>
      </w:r>
      <w:r w:rsidRPr="009070BD">
        <w:rPr>
          <w:b w:val="0"/>
          <w:szCs w:val="22"/>
          <w:lang w:val="hy-AM"/>
        </w:rPr>
        <w:t>գտնվող</w:t>
      </w:r>
      <w:r w:rsidRPr="009070BD">
        <w:rPr>
          <w:b w:val="0"/>
          <w:szCs w:val="22"/>
          <w:lang w:val="af-ZA"/>
        </w:rPr>
        <w:t xml:space="preserve"> Հայաստանին բնորոշ բնության օբյեկտների նմուշների պահպանում, ֆոնդերի թարմացում, նմուշների ցուցահանդեսների կազմակերպում</w:t>
      </w:r>
      <w:r w:rsidRPr="009070BD">
        <w:rPr>
          <w:b w:val="0"/>
          <w:szCs w:val="22"/>
          <w:lang w:val="hy-AM"/>
        </w:rPr>
        <w:t>:</w:t>
      </w:r>
    </w:p>
    <w:p w:rsidR="001367AD" w:rsidRPr="009070BD" w:rsidRDefault="001367AD" w:rsidP="007730AA">
      <w:pPr>
        <w:numPr>
          <w:ilvl w:val="12"/>
          <w:numId w:val="0"/>
        </w:numPr>
        <w:tabs>
          <w:tab w:val="left" w:pos="851"/>
        </w:tabs>
        <w:spacing w:before="0" w:line="276" w:lineRule="auto"/>
        <w:ind w:firstLine="720"/>
        <w:rPr>
          <w:b w:val="0"/>
          <w:noProof/>
          <w:szCs w:val="22"/>
          <w:lang w:val="af-ZA"/>
        </w:rPr>
      </w:pPr>
      <w:r w:rsidRPr="009070BD">
        <w:rPr>
          <w:rFonts w:eastAsia="GHEAGrapalat"/>
          <w:b w:val="0"/>
          <w:bCs/>
          <w:szCs w:val="22"/>
          <w:lang w:val="hy-AM"/>
        </w:rPr>
        <w:t xml:space="preserve">5.2 «Կենդանաբանական այգու </w:t>
      </w:r>
      <w:r w:rsidRPr="009070BD">
        <w:rPr>
          <w:rFonts w:eastAsia="GHEAGrapalat"/>
          <w:b w:val="0"/>
          <w:bCs/>
          <w:szCs w:val="22"/>
          <w:lang w:val="af-ZA"/>
        </w:rPr>
        <w:t>ցուցադրություն</w:t>
      </w:r>
      <w:r w:rsidRPr="009070BD">
        <w:rPr>
          <w:rFonts w:eastAsia="GHEAGrapalat"/>
          <w:b w:val="0"/>
          <w:bCs/>
          <w:szCs w:val="22"/>
          <w:lang w:val="hy-AM"/>
        </w:rPr>
        <w:t>ներ»</w:t>
      </w:r>
      <w:r w:rsidRPr="009070BD">
        <w:rPr>
          <w:szCs w:val="22"/>
          <w:lang w:val="af-ZA"/>
        </w:rPr>
        <w:t xml:space="preserve"> </w:t>
      </w:r>
      <w:r w:rsidRPr="009070BD">
        <w:rPr>
          <w:b w:val="0"/>
          <w:szCs w:val="22"/>
          <w:lang w:val="af-ZA"/>
        </w:rPr>
        <w:t>միջոցառման գծով</w:t>
      </w:r>
      <w:r w:rsidRPr="009070BD">
        <w:rPr>
          <w:rFonts w:cs="Sylfaen"/>
          <w:b w:val="0"/>
          <w:szCs w:val="22"/>
          <w:lang w:val="af-ZA"/>
        </w:rPr>
        <w:t xml:space="preserve"> </w:t>
      </w:r>
      <w:r w:rsidRPr="009070BD">
        <w:rPr>
          <w:rFonts w:cs="Sylfaen"/>
          <w:b w:val="0"/>
          <w:szCs w:val="22"/>
          <w:lang w:val="hy-AM"/>
        </w:rPr>
        <w:t>Նախագծով</w:t>
      </w:r>
      <w:r w:rsidRPr="009070BD">
        <w:rPr>
          <w:rFonts w:cs="Sylfaen"/>
          <w:b w:val="0"/>
          <w:szCs w:val="22"/>
          <w:lang w:val="ro-RO"/>
        </w:rPr>
        <w:t xml:space="preserve"> </w:t>
      </w:r>
      <w:r w:rsidRPr="009070BD">
        <w:rPr>
          <w:b w:val="0"/>
          <w:szCs w:val="22"/>
          <w:lang w:val="hy-AM"/>
        </w:rPr>
        <w:t>նախատեսվում</w:t>
      </w:r>
      <w:r w:rsidRPr="009070BD">
        <w:rPr>
          <w:b w:val="0"/>
          <w:szCs w:val="22"/>
          <w:lang w:val="ro-RO"/>
        </w:rPr>
        <w:t xml:space="preserve"> </w:t>
      </w:r>
      <w:r w:rsidRPr="009070BD">
        <w:rPr>
          <w:b w:val="0"/>
          <w:szCs w:val="22"/>
          <w:lang w:val="hy-AM"/>
        </w:rPr>
        <w:t>է</w:t>
      </w:r>
      <w:r w:rsidRPr="009070BD">
        <w:rPr>
          <w:b w:val="0"/>
          <w:szCs w:val="22"/>
          <w:lang w:val="ro-RO"/>
        </w:rPr>
        <w:t xml:space="preserve"> </w:t>
      </w:r>
      <w:r w:rsidRPr="009070BD">
        <w:rPr>
          <w:b w:val="0"/>
          <w:szCs w:val="22"/>
          <w:lang w:val="hy-AM"/>
        </w:rPr>
        <w:t>հատկացնել</w:t>
      </w:r>
      <w:r w:rsidRPr="009070BD">
        <w:rPr>
          <w:b w:val="0"/>
          <w:szCs w:val="22"/>
          <w:lang w:val="ro-RO"/>
        </w:rPr>
        <w:t xml:space="preserve"> 302.6 </w:t>
      </w:r>
      <w:r w:rsidRPr="009070BD">
        <w:rPr>
          <w:rFonts w:cs="Sylfaen"/>
          <w:b w:val="0"/>
          <w:szCs w:val="22"/>
          <w:lang w:val="hy-AM"/>
        </w:rPr>
        <w:t>մլն</w:t>
      </w:r>
      <w:r w:rsidRPr="009070BD">
        <w:rPr>
          <w:rFonts w:cs="Sylfaen"/>
          <w:b w:val="0"/>
          <w:szCs w:val="22"/>
          <w:lang w:val="ro-RO"/>
        </w:rPr>
        <w:t xml:space="preserve"> </w:t>
      </w:r>
      <w:r w:rsidRPr="009070BD">
        <w:rPr>
          <w:rFonts w:cs="Sylfaen"/>
          <w:b w:val="0"/>
          <w:szCs w:val="22"/>
          <w:lang w:val="hy-AM"/>
        </w:rPr>
        <w:t xml:space="preserve">դրամ՝ </w:t>
      </w:r>
      <w:r w:rsidRPr="009070BD">
        <w:rPr>
          <w:rFonts w:cs="IRTEK Courier"/>
          <w:b w:val="0"/>
          <w:szCs w:val="22"/>
          <w:lang w:val="pt-BR"/>
        </w:rPr>
        <w:t>ՀՀ 2020թ. պետական բյուջե</w:t>
      </w:r>
      <w:r w:rsidRPr="009070BD">
        <w:rPr>
          <w:rFonts w:cs="IRTEK Courier"/>
          <w:b w:val="0"/>
          <w:szCs w:val="22"/>
          <w:lang w:val="hy-AM"/>
        </w:rPr>
        <w:t>ի</w:t>
      </w:r>
      <w:r w:rsidRPr="009070BD">
        <w:rPr>
          <w:rFonts w:cs="IRTEK Courier"/>
          <w:b w:val="0"/>
          <w:szCs w:val="22"/>
          <w:lang w:val="pt-BR"/>
        </w:rPr>
        <w:t xml:space="preserve"> </w:t>
      </w:r>
      <w:r w:rsidRPr="009070BD">
        <w:rPr>
          <w:rFonts w:cs="IRTEK Courier"/>
          <w:b w:val="0"/>
          <w:szCs w:val="22"/>
          <w:lang w:val="hy-AM"/>
        </w:rPr>
        <w:t>չափաքանակի</w:t>
      </w:r>
      <w:r w:rsidRPr="009070BD">
        <w:rPr>
          <w:rFonts w:cs="IRTEK Courier"/>
          <w:b w:val="0"/>
          <w:szCs w:val="22"/>
          <w:lang w:val="pt-BR"/>
        </w:rPr>
        <w:t xml:space="preserve"> </w:t>
      </w:r>
      <w:r w:rsidRPr="009070BD">
        <w:rPr>
          <w:rFonts w:cs="IRTEK Courier"/>
          <w:b w:val="0"/>
          <w:szCs w:val="22"/>
          <w:lang w:val="hy-AM"/>
        </w:rPr>
        <w:t>302.8</w:t>
      </w:r>
      <w:r w:rsidRPr="009070BD">
        <w:rPr>
          <w:rFonts w:cs="IRTEK Courier"/>
          <w:b w:val="0"/>
          <w:szCs w:val="22"/>
          <w:lang w:val="pt-BR"/>
        </w:rPr>
        <w:t xml:space="preserve"> մլն </w:t>
      </w:r>
      <w:r w:rsidRPr="009070BD">
        <w:rPr>
          <w:b w:val="0"/>
          <w:noProof/>
          <w:szCs w:val="22"/>
          <w:lang w:val="hy-AM"/>
        </w:rPr>
        <w:t>դրամի</w:t>
      </w:r>
      <w:r w:rsidRPr="009070BD">
        <w:rPr>
          <w:b w:val="0"/>
          <w:noProof/>
          <w:szCs w:val="22"/>
          <w:lang w:val="af-ZA"/>
        </w:rPr>
        <w:t xml:space="preserve"> </w:t>
      </w:r>
      <w:r w:rsidRPr="009070BD">
        <w:rPr>
          <w:b w:val="0"/>
          <w:noProof/>
          <w:szCs w:val="22"/>
          <w:lang w:val="hy-AM"/>
        </w:rPr>
        <w:t>դիմաց</w:t>
      </w:r>
      <w:r w:rsidRPr="009070BD">
        <w:rPr>
          <w:rFonts w:cs="IRTEK Courier"/>
          <w:b w:val="0"/>
          <w:szCs w:val="22"/>
          <w:lang w:val="hy-AM"/>
        </w:rPr>
        <w:t xml:space="preserve">: </w:t>
      </w:r>
      <w:r w:rsidRPr="009070BD">
        <w:rPr>
          <w:b w:val="0"/>
          <w:noProof/>
          <w:szCs w:val="22"/>
          <w:lang w:val="hy-AM"/>
        </w:rPr>
        <w:t>Ծախսերը</w:t>
      </w:r>
      <w:r w:rsidRPr="009070BD">
        <w:rPr>
          <w:b w:val="0"/>
          <w:noProof/>
          <w:szCs w:val="22"/>
          <w:lang w:val="af-ZA"/>
        </w:rPr>
        <w:t xml:space="preserve"> </w:t>
      </w:r>
      <w:r w:rsidRPr="009070BD">
        <w:rPr>
          <w:b w:val="0"/>
          <w:noProof/>
          <w:szCs w:val="22"/>
          <w:lang w:val="hy-AM"/>
        </w:rPr>
        <w:t>նվազել</w:t>
      </w:r>
      <w:r w:rsidRPr="009070BD">
        <w:rPr>
          <w:b w:val="0"/>
          <w:noProof/>
          <w:szCs w:val="22"/>
          <w:lang w:val="af-ZA"/>
        </w:rPr>
        <w:t xml:space="preserve"> </w:t>
      </w:r>
      <w:r w:rsidRPr="009070BD">
        <w:rPr>
          <w:b w:val="0"/>
          <w:noProof/>
          <w:szCs w:val="22"/>
          <w:lang w:val="hy-AM"/>
        </w:rPr>
        <w:t>են</w:t>
      </w:r>
      <w:r w:rsidRPr="009070BD">
        <w:rPr>
          <w:b w:val="0"/>
          <w:noProof/>
          <w:szCs w:val="22"/>
          <w:lang w:val="af-ZA"/>
        </w:rPr>
        <w:t xml:space="preserve"> 0.2 </w:t>
      </w:r>
      <w:r w:rsidRPr="009070BD">
        <w:rPr>
          <w:b w:val="0"/>
          <w:noProof/>
          <w:szCs w:val="22"/>
          <w:lang w:val="hy-AM"/>
        </w:rPr>
        <w:t>մլն</w:t>
      </w:r>
      <w:r w:rsidRPr="009070BD">
        <w:rPr>
          <w:b w:val="0"/>
          <w:noProof/>
          <w:szCs w:val="22"/>
          <w:lang w:val="af-ZA"/>
        </w:rPr>
        <w:t xml:space="preserve"> </w:t>
      </w:r>
      <w:r w:rsidRPr="009070BD">
        <w:rPr>
          <w:b w:val="0"/>
          <w:noProof/>
          <w:szCs w:val="22"/>
          <w:lang w:val="hy-AM"/>
        </w:rPr>
        <w:t>դրամով</w:t>
      </w:r>
      <w:r w:rsidRPr="009070BD">
        <w:rPr>
          <w:b w:val="0"/>
          <w:noProof/>
          <w:szCs w:val="22"/>
          <w:lang w:val="af-ZA"/>
        </w:rPr>
        <w:t xml:space="preserve">, </w:t>
      </w:r>
      <w:r w:rsidRPr="009070BD">
        <w:rPr>
          <w:b w:val="0"/>
          <w:noProof/>
          <w:szCs w:val="22"/>
          <w:lang w:val="hy-AM"/>
        </w:rPr>
        <w:t>որը</w:t>
      </w:r>
      <w:r w:rsidRPr="009070BD">
        <w:rPr>
          <w:b w:val="0"/>
          <w:noProof/>
          <w:szCs w:val="22"/>
          <w:lang w:val="af-ZA"/>
        </w:rPr>
        <w:t xml:space="preserve"> </w:t>
      </w:r>
      <w:r w:rsidRPr="009070BD">
        <w:rPr>
          <w:b w:val="0"/>
          <w:noProof/>
          <w:szCs w:val="22"/>
          <w:lang w:val="hy-AM"/>
        </w:rPr>
        <w:t>պայմանավորված</w:t>
      </w:r>
      <w:r w:rsidRPr="009070BD">
        <w:rPr>
          <w:b w:val="0"/>
          <w:noProof/>
          <w:szCs w:val="22"/>
          <w:lang w:val="af-ZA"/>
        </w:rPr>
        <w:t xml:space="preserve"> </w:t>
      </w:r>
      <w:r w:rsidRPr="009070BD">
        <w:rPr>
          <w:b w:val="0"/>
          <w:noProof/>
          <w:szCs w:val="22"/>
          <w:lang w:val="hy-AM"/>
        </w:rPr>
        <w:t>է ծախսային գերակայություններով, առաջնահերթություններով</w:t>
      </w:r>
      <w:r w:rsidRPr="009070BD">
        <w:rPr>
          <w:b w:val="0"/>
          <w:noProof/>
          <w:szCs w:val="22"/>
          <w:lang w:val="af-ZA"/>
        </w:rPr>
        <w:t>:</w:t>
      </w:r>
    </w:p>
    <w:p w:rsidR="001367AD" w:rsidRPr="009070BD" w:rsidRDefault="001367AD" w:rsidP="007730AA">
      <w:pPr>
        <w:autoSpaceDE w:val="0"/>
        <w:autoSpaceDN w:val="0"/>
        <w:adjustRightInd w:val="0"/>
        <w:spacing w:before="0" w:line="276" w:lineRule="auto"/>
        <w:ind w:firstLine="720"/>
        <w:rPr>
          <w:rFonts w:eastAsia="GHEAGrapalat"/>
          <w:b w:val="0"/>
          <w:szCs w:val="22"/>
          <w:lang w:val="hy-AM"/>
        </w:rPr>
      </w:pPr>
      <w:r w:rsidRPr="009070BD">
        <w:rPr>
          <w:b w:val="0"/>
          <w:szCs w:val="22"/>
          <w:lang w:val="hy-AM"/>
        </w:rPr>
        <w:t>Միջոցառման</w:t>
      </w:r>
      <w:r w:rsidRPr="009070BD">
        <w:rPr>
          <w:b w:val="0"/>
          <w:szCs w:val="22"/>
          <w:lang w:val="af-ZA"/>
        </w:rPr>
        <w:t xml:space="preserve"> </w:t>
      </w:r>
      <w:r w:rsidRPr="009070BD">
        <w:rPr>
          <w:b w:val="0"/>
          <w:szCs w:val="22"/>
          <w:lang w:val="hy-AM"/>
        </w:rPr>
        <w:t>շրջանակներում</w:t>
      </w:r>
      <w:r w:rsidRPr="009070BD">
        <w:rPr>
          <w:b w:val="0"/>
          <w:szCs w:val="22"/>
          <w:lang w:val="af-ZA"/>
        </w:rPr>
        <w:t xml:space="preserve"> </w:t>
      </w:r>
      <w:r w:rsidRPr="009070BD">
        <w:rPr>
          <w:b w:val="0"/>
          <w:szCs w:val="22"/>
          <w:lang w:val="hy-AM"/>
        </w:rPr>
        <w:t>նախատեսվում</w:t>
      </w:r>
      <w:r w:rsidRPr="009070BD">
        <w:rPr>
          <w:b w:val="0"/>
          <w:szCs w:val="22"/>
          <w:lang w:val="af-ZA"/>
        </w:rPr>
        <w:t xml:space="preserve"> </w:t>
      </w:r>
      <w:r w:rsidRPr="009070BD">
        <w:rPr>
          <w:b w:val="0"/>
          <w:szCs w:val="22"/>
          <w:lang w:val="hy-AM"/>
        </w:rPr>
        <w:t>է</w:t>
      </w:r>
      <w:r w:rsidRPr="009070BD">
        <w:rPr>
          <w:b w:val="0"/>
          <w:szCs w:val="22"/>
          <w:lang w:val="af-ZA"/>
        </w:rPr>
        <w:t xml:space="preserve"> </w:t>
      </w:r>
      <w:r w:rsidRPr="009070BD">
        <w:rPr>
          <w:b w:val="0"/>
          <w:szCs w:val="22"/>
          <w:lang w:val="hy-AM"/>
        </w:rPr>
        <w:t>ա</w:t>
      </w:r>
      <w:r w:rsidRPr="009070BD">
        <w:rPr>
          <w:b w:val="0"/>
          <w:szCs w:val="22"/>
          <w:lang w:val="af-ZA"/>
        </w:rPr>
        <w:t>ջակցություն Երեանի քաղաքային համայնքին մշակութային ժամանցի միջոցառումների իրականացման նպատակով</w:t>
      </w:r>
      <w:r w:rsidRPr="009070BD">
        <w:rPr>
          <w:b w:val="0"/>
          <w:szCs w:val="22"/>
          <w:lang w:val="hy-AM"/>
        </w:rPr>
        <w:t xml:space="preserve">, որը </w:t>
      </w:r>
      <w:r w:rsidRPr="009070BD">
        <w:rPr>
          <w:rFonts w:eastAsia="GHEAGrapalat"/>
          <w:b w:val="0"/>
          <w:szCs w:val="22"/>
          <w:lang w:val="hy-AM"/>
        </w:rPr>
        <w:t>իրականացվում է «Երևանի կենդանաբանական այգի» ՀՈԱԿ-ի միջոցով:</w:t>
      </w:r>
    </w:p>
    <w:p w:rsidR="001367AD" w:rsidRPr="00F744E0" w:rsidRDefault="001367AD" w:rsidP="007730AA">
      <w:pPr>
        <w:spacing w:before="0" w:line="276" w:lineRule="auto"/>
        <w:ind w:firstLine="720"/>
        <w:rPr>
          <w:rFonts w:cs="GHEA Grapalat"/>
          <w:b w:val="0"/>
          <w:bCs/>
          <w:szCs w:val="22"/>
          <w:lang w:val="pt-BR"/>
        </w:rPr>
      </w:pPr>
      <w:r w:rsidRPr="00F744E0">
        <w:rPr>
          <w:b w:val="0"/>
          <w:szCs w:val="22"/>
          <w:lang w:val="hy-AM"/>
        </w:rPr>
        <w:t>Այս</w:t>
      </w:r>
      <w:r w:rsidRPr="00F744E0">
        <w:rPr>
          <w:b w:val="0"/>
          <w:szCs w:val="22"/>
          <w:lang w:val="pt-BR"/>
        </w:rPr>
        <w:t xml:space="preserve"> </w:t>
      </w:r>
      <w:r w:rsidRPr="00F744E0">
        <w:rPr>
          <w:b w:val="0"/>
          <w:szCs w:val="22"/>
          <w:lang w:val="hy-AM"/>
        </w:rPr>
        <w:t>ոլորտում</w:t>
      </w:r>
      <w:r w:rsidRPr="00F744E0">
        <w:rPr>
          <w:b w:val="0"/>
          <w:szCs w:val="22"/>
          <w:lang w:val="pt-BR"/>
        </w:rPr>
        <w:t xml:space="preserve"> </w:t>
      </w:r>
      <w:r w:rsidRPr="00F744E0">
        <w:rPr>
          <w:b w:val="0"/>
          <w:szCs w:val="22"/>
          <w:lang w:val="hy-AM"/>
        </w:rPr>
        <w:t>Նախագծով</w:t>
      </w:r>
      <w:r w:rsidRPr="00F744E0">
        <w:rPr>
          <w:b w:val="0"/>
          <w:szCs w:val="22"/>
          <w:lang w:val="pt-BR"/>
        </w:rPr>
        <w:t xml:space="preserve"> </w:t>
      </w:r>
      <w:r w:rsidRPr="00F744E0">
        <w:rPr>
          <w:rFonts w:cs="Sylfaen"/>
          <w:b w:val="0"/>
          <w:szCs w:val="22"/>
          <w:lang w:val="hy-AM"/>
        </w:rPr>
        <w:t>(առանց ապարատի ծախսերի)</w:t>
      </w:r>
      <w:r w:rsidRPr="00F744E0">
        <w:rPr>
          <w:rFonts w:cs="Sylfaen"/>
          <w:b w:val="0"/>
          <w:szCs w:val="22"/>
          <w:lang w:val="af-ZA"/>
        </w:rPr>
        <w:t xml:space="preserve"> </w:t>
      </w:r>
      <w:r w:rsidRPr="00F744E0">
        <w:rPr>
          <w:b w:val="0"/>
          <w:szCs w:val="22"/>
          <w:lang w:val="hy-AM"/>
        </w:rPr>
        <w:t>նախատեսվող</w:t>
      </w:r>
      <w:r w:rsidRPr="00F744E0">
        <w:rPr>
          <w:b w:val="0"/>
          <w:szCs w:val="22"/>
          <w:lang w:val="pt-BR"/>
        </w:rPr>
        <w:t xml:space="preserve"> </w:t>
      </w:r>
      <w:r w:rsidRPr="00F744E0">
        <w:rPr>
          <w:b w:val="0"/>
          <w:szCs w:val="22"/>
          <w:lang w:val="hy-AM"/>
        </w:rPr>
        <w:t>բյուջետային</w:t>
      </w:r>
      <w:r w:rsidRPr="00F744E0">
        <w:rPr>
          <w:b w:val="0"/>
          <w:szCs w:val="22"/>
          <w:lang w:val="pt-BR"/>
        </w:rPr>
        <w:t xml:space="preserve"> </w:t>
      </w:r>
      <w:r w:rsidRPr="00F744E0">
        <w:rPr>
          <w:b w:val="0"/>
          <w:szCs w:val="22"/>
          <w:lang w:val="hy-AM"/>
        </w:rPr>
        <w:t>ծախսերի</w:t>
      </w:r>
      <w:r w:rsidRPr="00F744E0">
        <w:rPr>
          <w:b w:val="0"/>
          <w:szCs w:val="22"/>
          <w:lang w:val="pt-BR"/>
        </w:rPr>
        <w:t xml:space="preserve"> </w:t>
      </w:r>
      <w:r w:rsidRPr="00F744E0">
        <w:rPr>
          <w:b w:val="0"/>
          <w:szCs w:val="22"/>
          <w:lang w:val="hy-AM"/>
        </w:rPr>
        <w:t>համեմատությունը</w:t>
      </w:r>
      <w:r w:rsidRPr="00F744E0">
        <w:rPr>
          <w:b w:val="0"/>
          <w:szCs w:val="22"/>
          <w:lang w:val="pt-BR"/>
        </w:rPr>
        <w:t xml:space="preserve"> </w:t>
      </w:r>
      <w:r w:rsidRPr="00F744E0">
        <w:rPr>
          <w:b w:val="0"/>
          <w:szCs w:val="22"/>
          <w:lang w:val="hy-AM"/>
        </w:rPr>
        <w:t xml:space="preserve">ՀՀ </w:t>
      </w:r>
      <w:r w:rsidRPr="00F744E0">
        <w:rPr>
          <w:b w:val="0"/>
          <w:szCs w:val="22"/>
          <w:lang w:val="pt-BR"/>
        </w:rPr>
        <w:t>201</w:t>
      </w:r>
      <w:r w:rsidRPr="00F744E0">
        <w:rPr>
          <w:b w:val="0"/>
          <w:szCs w:val="22"/>
          <w:lang w:val="hy-AM"/>
        </w:rPr>
        <w:t>9</w:t>
      </w:r>
      <w:r w:rsidRPr="00F744E0">
        <w:rPr>
          <w:b w:val="0"/>
          <w:szCs w:val="22"/>
          <w:lang w:val="pt-BR"/>
        </w:rPr>
        <w:t xml:space="preserve"> </w:t>
      </w:r>
      <w:r w:rsidRPr="00F744E0">
        <w:rPr>
          <w:b w:val="0"/>
          <w:szCs w:val="22"/>
          <w:lang w:val="hy-AM"/>
        </w:rPr>
        <w:t>թվականի</w:t>
      </w:r>
      <w:r w:rsidRPr="00F744E0">
        <w:rPr>
          <w:b w:val="0"/>
          <w:szCs w:val="22"/>
          <w:lang w:val="pt-BR"/>
        </w:rPr>
        <w:t xml:space="preserve"> </w:t>
      </w:r>
      <w:r w:rsidRPr="00F744E0">
        <w:rPr>
          <w:b w:val="0"/>
          <w:szCs w:val="22"/>
          <w:lang w:val="hy-AM"/>
        </w:rPr>
        <w:t>բյուջետային</w:t>
      </w:r>
      <w:r w:rsidRPr="00F744E0">
        <w:rPr>
          <w:b w:val="0"/>
          <w:szCs w:val="22"/>
          <w:lang w:val="pt-BR"/>
        </w:rPr>
        <w:t xml:space="preserve"> </w:t>
      </w:r>
      <w:r w:rsidRPr="00F744E0">
        <w:rPr>
          <w:b w:val="0"/>
          <w:szCs w:val="22"/>
          <w:lang w:val="hy-AM"/>
        </w:rPr>
        <w:t>տարվա</w:t>
      </w:r>
      <w:r w:rsidRPr="00F744E0">
        <w:rPr>
          <w:b w:val="0"/>
          <w:szCs w:val="22"/>
          <w:lang w:val="pt-BR"/>
        </w:rPr>
        <w:t xml:space="preserve"> </w:t>
      </w:r>
      <w:r w:rsidRPr="00F744E0">
        <w:rPr>
          <w:b w:val="0"/>
          <w:szCs w:val="22"/>
          <w:lang w:val="hy-AM"/>
        </w:rPr>
        <w:t>փաստացի</w:t>
      </w:r>
      <w:r w:rsidRPr="00F744E0">
        <w:rPr>
          <w:b w:val="0"/>
          <w:szCs w:val="22"/>
          <w:lang w:val="pt-BR"/>
        </w:rPr>
        <w:t xml:space="preserve"> </w:t>
      </w:r>
      <w:r w:rsidRPr="00F744E0">
        <w:rPr>
          <w:b w:val="0"/>
          <w:szCs w:val="22"/>
          <w:lang w:val="hy-AM"/>
        </w:rPr>
        <w:t>և</w:t>
      </w:r>
      <w:r w:rsidRPr="00F744E0">
        <w:rPr>
          <w:b w:val="0"/>
          <w:szCs w:val="22"/>
          <w:lang w:val="pt-BR"/>
        </w:rPr>
        <w:t xml:space="preserve"> </w:t>
      </w:r>
      <w:r w:rsidRPr="00F744E0">
        <w:rPr>
          <w:b w:val="0"/>
          <w:szCs w:val="22"/>
          <w:lang w:val="hy-AM"/>
        </w:rPr>
        <w:t xml:space="preserve">ՀՀ </w:t>
      </w:r>
      <w:r w:rsidRPr="00F744E0">
        <w:rPr>
          <w:b w:val="0"/>
          <w:szCs w:val="22"/>
          <w:lang w:val="pt-BR"/>
        </w:rPr>
        <w:t>20</w:t>
      </w:r>
      <w:r w:rsidRPr="00F744E0">
        <w:rPr>
          <w:b w:val="0"/>
          <w:szCs w:val="22"/>
          <w:lang w:val="hy-AM"/>
        </w:rPr>
        <w:t>20 թվականի</w:t>
      </w:r>
      <w:r w:rsidRPr="00F744E0">
        <w:rPr>
          <w:b w:val="0"/>
          <w:szCs w:val="22"/>
          <w:lang w:val="pt-BR"/>
        </w:rPr>
        <w:t xml:space="preserve"> </w:t>
      </w:r>
      <w:r w:rsidRPr="00F744E0">
        <w:rPr>
          <w:b w:val="0"/>
          <w:szCs w:val="22"/>
          <w:lang w:val="hy-AM"/>
        </w:rPr>
        <w:t>հաստատված</w:t>
      </w:r>
      <w:r w:rsidRPr="00F744E0">
        <w:rPr>
          <w:b w:val="0"/>
          <w:szCs w:val="22"/>
          <w:lang w:val="pt-BR"/>
        </w:rPr>
        <w:t xml:space="preserve"> </w:t>
      </w:r>
      <w:r w:rsidRPr="00F744E0">
        <w:rPr>
          <w:b w:val="0"/>
          <w:szCs w:val="22"/>
          <w:lang w:val="hy-AM"/>
        </w:rPr>
        <w:t>պետական</w:t>
      </w:r>
      <w:r w:rsidRPr="00F744E0">
        <w:rPr>
          <w:b w:val="0"/>
          <w:szCs w:val="22"/>
          <w:lang w:val="pt-BR"/>
        </w:rPr>
        <w:t xml:space="preserve"> </w:t>
      </w:r>
      <w:r w:rsidRPr="00F744E0">
        <w:rPr>
          <w:b w:val="0"/>
          <w:szCs w:val="22"/>
          <w:lang w:val="hy-AM"/>
        </w:rPr>
        <w:t>բյուջեի</w:t>
      </w:r>
      <w:r w:rsidRPr="00F744E0">
        <w:rPr>
          <w:b w:val="0"/>
          <w:szCs w:val="22"/>
          <w:lang w:val="pt-BR"/>
        </w:rPr>
        <w:t xml:space="preserve"> </w:t>
      </w:r>
      <w:r w:rsidRPr="00F744E0">
        <w:rPr>
          <w:b w:val="0"/>
          <w:szCs w:val="22"/>
          <w:lang w:val="hy-AM"/>
        </w:rPr>
        <w:t>համապատասխան</w:t>
      </w:r>
      <w:r w:rsidRPr="00F744E0">
        <w:rPr>
          <w:b w:val="0"/>
          <w:szCs w:val="22"/>
          <w:lang w:val="pt-BR"/>
        </w:rPr>
        <w:t xml:space="preserve"> </w:t>
      </w:r>
      <w:r w:rsidRPr="00F744E0">
        <w:rPr>
          <w:b w:val="0"/>
          <w:szCs w:val="22"/>
          <w:lang w:val="hy-AM"/>
        </w:rPr>
        <w:t>ցուցանիշների</w:t>
      </w:r>
      <w:r w:rsidRPr="00F744E0">
        <w:rPr>
          <w:b w:val="0"/>
          <w:szCs w:val="22"/>
          <w:lang w:val="pt-BR"/>
        </w:rPr>
        <w:t xml:space="preserve"> </w:t>
      </w:r>
      <w:r w:rsidRPr="00F744E0">
        <w:rPr>
          <w:b w:val="0"/>
          <w:szCs w:val="22"/>
          <w:lang w:val="hy-AM"/>
        </w:rPr>
        <w:t>հետ</w:t>
      </w:r>
      <w:r w:rsidRPr="00F744E0">
        <w:rPr>
          <w:b w:val="0"/>
          <w:szCs w:val="22"/>
          <w:lang w:val="pt-BR"/>
        </w:rPr>
        <w:t xml:space="preserve"> </w:t>
      </w:r>
      <w:r w:rsidRPr="00F744E0">
        <w:rPr>
          <w:b w:val="0"/>
          <w:szCs w:val="22"/>
          <w:lang w:val="hy-AM"/>
        </w:rPr>
        <w:t>արտացոլված</w:t>
      </w:r>
      <w:r w:rsidRPr="00F744E0">
        <w:rPr>
          <w:b w:val="0"/>
          <w:szCs w:val="22"/>
          <w:lang w:val="pt-BR"/>
        </w:rPr>
        <w:t xml:space="preserve"> </w:t>
      </w:r>
      <w:r w:rsidRPr="00F744E0">
        <w:rPr>
          <w:b w:val="0"/>
          <w:szCs w:val="22"/>
          <w:lang w:val="hy-AM"/>
        </w:rPr>
        <w:t>է</w:t>
      </w:r>
      <w:r w:rsidRPr="00F744E0">
        <w:rPr>
          <w:b w:val="0"/>
          <w:szCs w:val="22"/>
          <w:lang w:val="pt-BR"/>
        </w:rPr>
        <w:t xml:space="preserve"> </w:t>
      </w:r>
      <w:r w:rsidRPr="00F744E0">
        <w:rPr>
          <w:b w:val="0"/>
          <w:szCs w:val="22"/>
          <w:lang w:val="hy-AM"/>
        </w:rPr>
        <w:t>սույն</w:t>
      </w:r>
      <w:r w:rsidRPr="00F744E0">
        <w:rPr>
          <w:b w:val="0"/>
          <w:szCs w:val="22"/>
          <w:lang w:val="pt-BR"/>
        </w:rPr>
        <w:t xml:space="preserve"> </w:t>
      </w:r>
      <w:r w:rsidRPr="00F744E0">
        <w:rPr>
          <w:b w:val="0"/>
          <w:szCs w:val="22"/>
          <w:lang w:val="hy-AM"/>
        </w:rPr>
        <w:t>բացատրագրի</w:t>
      </w:r>
      <w:r w:rsidRPr="00F744E0">
        <w:rPr>
          <w:b w:val="0"/>
          <w:szCs w:val="22"/>
          <w:lang w:val="pt-BR"/>
        </w:rPr>
        <w:t xml:space="preserve"> N 15 </w:t>
      </w:r>
      <w:r w:rsidRPr="00F744E0">
        <w:rPr>
          <w:b w:val="0"/>
          <w:szCs w:val="22"/>
          <w:lang w:val="hy-AM"/>
        </w:rPr>
        <w:t>աղյուսակում</w:t>
      </w:r>
      <w:r w:rsidRPr="00F744E0">
        <w:rPr>
          <w:b w:val="0"/>
          <w:szCs w:val="22"/>
          <w:lang w:val="pt-BR"/>
        </w:rPr>
        <w:t>:</w:t>
      </w:r>
    </w:p>
    <w:p w:rsidR="00F81F14" w:rsidRPr="009070BD" w:rsidRDefault="00F81F14" w:rsidP="007730AA">
      <w:pPr>
        <w:autoSpaceDE w:val="0"/>
        <w:autoSpaceDN w:val="0"/>
        <w:adjustRightInd w:val="0"/>
        <w:spacing w:before="0" w:line="276" w:lineRule="auto"/>
        <w:ind w:firstLine="720"/>
        <w:rPr>
          <w:b w:val="0"/>
          <w:lang w:val="pt-BR"/>
        </w:rPr>
      </w:pPr>
    </w:p>
    <w:p w:rsidR="006427FF" w:rsidRPr="009070BD" w:rsidRDefault="006427FF" w:rsidP="007730AA">
      <w:pPr>
        <w:keepNext/>
        <w:tabs>
          <w:tab w:val="left" w:pos="709"/>
        </w:tabs>
        <w:spacing w:before="0" w:line="276" w:lineRule="auto"/>
        <w:ind w:firstLine="720"/>
        <w:outlineLvl w:val="2"/>
        <w:rPr>
          <w:rFonts w:cs="Sylfaen"/>
          <w:bCs/>
          <w:szCs w:val="26"/>
          <w:lang w:val="hy-AM" w:eastAsia="en-US"/>
        </w:rPr>
      </w:pPr>
      <w:bookmarkStart w:id="231" w:name="_Toc530663277"/>
      <w:bookmarkStart w:id="232" w:name="_Toc57655480"/>
      <w:r w:rsidRPr="009070BD">
        <w:rPr>
          <w:rFonts w:cs="Sylfaen"/>
          <w:bCs/>
          <w:szCs w:val="26"/>
          <w:lang w:val="hy-AM" w:eastAsia="en-US"/>
        </w:rPr>
        <w:t xml:space="preserve">ՀՀ </w:t>
      </w:r>
      <w:r w:rsidRPr="009070BD">
        <w:rPr>
          <w:rFonts w:cs="Sylfaen"/>
          <w:bCs/>
          <w:szCs w:val="26"/>
          <w:lang w:eastAsia="en-US"/>
        </w:rPr>
        <w:t>էկոնոմիկայի</w:t>
      </w:r>
      <w:r w:rsidRPr="009070BD">
        <w:rPr>
          <w:rFonts w:cs="Sylfaen"/>
          <w:bCs/>
          <w:szCs w:val="26"/>
          <w:lang w:val="hy-AM" w:eastAsia="en-US"/>
        </w:rPr>
        <w:t xml:space="preserve"> նախա</w:t>
      </w:r>
      <w:r w:rsidRPr="009070BD">
        <w:rPr>
          <w:rFonts w:cs="Sylfaen"/>
          <w:bCs/>
          <w:szCs w:val="26"/>
          <w:lang w:val="hy-AM" w:eastAsia="en-US"/>
        </w:rPr>
        <w:softHyphen/>
        <w:t>րարու</w:t>
      </w:r>
      <w:r w:rsidRPr="009070BD">
        <w:rPr>
          <w:rFonts w:cs="Sylfaen"/>
          <w:bCs/>
          <w:szCs w:val="26"/>
          <w:lang w:val="hy-AM" w:eastAsia="en-US"/>
        </w:rPr>
        <w:softHyphen/>
        <w:t>թյուն</w:t>
      </w:r>
      <w:bookmarkEnd w:id="231"/>
      <w:bookmarkEnd w:id="232"/>
    </w:p>
    <w:p w:rsidR="00B36A46" w:rsidRPr="009070BD" w:rsidRDefault="00B36A46" w:rsidP="007730AA">
      <w:pPr>
        <w:spacing w:before="0" w:line="276" w:lineRule="auto"/>
        <w:ind w:firstLine="720"/>
        <w:contextualSpacing w:val="0"/>
        <w:rPr>
          <w:rFonts w:cs="Sylfaen"/>
          <w:b w:val="0"/>
          <w:szCs w:val="22"/>
          <w:lang w:val="fr-FR" w:eastAsia="en-US"/>
        </w:rPr>
      </w:pPr>
      <w:r w:rsidRPr="009070BD">
        <w:rPr>
          <w:rFonts w:cs="Sylfaen"/>
          <w:b w:val="0"/>
          <w:szCs w:val="22"/>
          <w:lang w:val="fr-FR" w:eastAsia="en-US"/>
        </w:rPr>
        <w:t>ՀՀ էկոնոմիկայի նախա</w:t>
      </w:r>
      <w:r w:rsidRPr="009070BD">
        <w:rPr>
          <w:rFonts w:cs="Sylfaen"/>
          <w:b w:val="0"/>
          <w:szCs w:val="22"/>
          <w:lang w:val="fr-FR" w:eastAsia="en-US"/>
        </w:rPr>
        <w:softHyphen/>
        <w:t>րարու</w:t>
      </w:r>
      <w:r w:rsidRPr="009070BD">
        <w:rPr>
          <w:rFonts w:cs="Sylfaen"/>
          <w:b w:val="0"/>
          <w:szCs w:val="22"/>
          <w:lang w:val="fr-FR" w:eastAsia="en-US"/>
        </w:rPr>
        <w:softHyphen/>
        <w:t xml:space="preserve">թյան գծով (առանց կառավարման ապարատի և ենթավարկի) Նախագծով նախատեսվում է հատկացնել </w:t>
      </w:r>
      <w:r w:rsidR="00206921">
        <w:rPr>
          <w:rFonts w:cs="Sylfaen"/>
          <w:b w:val="0"/>
          <w:szCs w:val="22"/>
          <w:lang w:val="fr-FR" w:eastAsia="en-US"/>
        </w:rPr>
        <w:t>31,546.9</w:t>
      </w:r>
      <w:r w:rsidRPr="009070BD">
        <w:rPr>
          <w:rFonts w:cs="Sylfaen"/>
          <w:b w:val="0"/>
          <w:szCs w:val="22"/>
          <w:lang w:val="fr-FR" w:eastAsia="en-US"/>
        </w:rPr>
        <w:t xml:space="preserve"> մլն դրամ: Հատկացվելիք միջոցներն ուղղվելու են հետևյալ ծրագրերի իրականացմանը.</w:t>
      </w:r>
    </w:p>
    <w:p w:rsidR="00B36A46" w:rsidRPr="009070BD" w:rsidRDefault="00B36A46" w:rsidP="007730AA">
      <w:pPr>
        <w:spacing w:before="0" w:line="276" w:lineRule="auto"/>
        <w:ind w:firstLine="720"/>
        <w:contextualSpacing w:val="0"/>
        <w:rPr>
          <w:rFonts w:cs="Sylfaen"/>
          <w:b w:val="0"/>
          <w:szCs w:val="22"/>
          <w:lang w:val="af-ZA" w:eastAsia="en-US"/>
        </w:rPr>
      </w:pPr>
      <w:r w:rsidRPr="009070BD">
        <w:rPr>
          <w:rFonts w:cs="Sylfaen"/>
          <w:szCs w:val="22"/>
          <w:lang w:val="af-ZA" w:eastAsia="en-US"/>
        </w:rPr>
        <w:t>1. «Տնտեսական զարգացման և ներդրումների ոլորտում պետական քաղաքակա</w:t>
      </w:r>
      <w:r w:rsidRPr="009070BD">
        <w:rPr>
          <w:rFonts w:cs="Sylfaen"/>
          <w:szCs w:val="22"/>
          <w:lang w:val="af-ZA" w:eastAsia="en-US"/>
        </w:rPr>
        <w:softHyphen/>
        <w:t>նության մշակում, ծրագրերի համակարգում և մոնիտորինգ»</w:t>
      </w:r>
      <w:r w:rsidRPr="009070BD">
        <w:rPr>
          <w:rFonts w:cs="Sylfaen"/>
          <w:b w:val="0"/>
          <w:szCs w:val="22"/>
          <w:lang w:val="af-ZA" w:eastAsia="en-US"/>
        </w:rPr>
        <w:t xml:space="preserve"> ծրագրի շրջանակներում նախատեսվում է </w:t>
      </w:r>
      <w:r w:rsidRPr="009070BD">
        <w:rPr>
          <w:rFonts w:cs="Sylfaen"/>
          <w:bCs/>
          <w:szCs w:val="22"/>
          <w:lang w:val="fr-FR" w:eastAsia="en-US"/>
        </w:rPr>
        <w:t>«</w:t>
      </w:r>
      <w:r w:rsidRPr="009070BD">
        <w:rPr>
          <w:szCs w:val="22"/>
          <w:lang w:val="hy-AM" w:eastAsia="en-US"/>
        </w:rPr>
        <w:t>Տնտեսական</w:t>
      </w:r>
      <w:r w:rsidRPr="009070BD">
        <w:rPr>
          <w:szCs w:val="22"/>
          <w:lang w:val="fr-FR" w:eastAsia="en-US"/>
        </w:rPr>
        <w:t xml:space="preserve"> </w:t>
      </w:r>
      <w:r w:rsidRPr="009070BD">
        <w:rPr>
          <w:szCs w:val="22"/>
          <w:lang w:val="hy-AM" w:eastAsia="en-US"/>
        </w:rPr>
        <w:t>հետազոտություններ</w:t>
      </w:r>
      <w:r w:rsidRPr="009070BD">
        <w:rPr>
          <w:szCs w:val="22"/>
          <w:lang w:val="af-ZA" w:eastAsia="en-US"/>
        </w:rPr>
        <w:t xml:space="preserve"> </w:t>
      </w:r>
      <w:r w:rsidRPr="009070BD">
        <w:rPr>
          <w:szCs w:val="22"/>
          <w:lang w:val="hy-AM" w:eastAsia="en-US"/>
        </w:rPr>
        <w:t>և</w:t>
      </w:r>
      <w:r w:rsidRPr="009070BD">
        <w:rPr>
          <w:szCs w:val="22"/>
          <w:lang w:val="af-ZA" w:eastAsia="en-US"/>
        </w:rPr>
        <w:t xml:space="preserve"> </w:t>
      </w:r>
      <w:r w:rsidRPr="009070BD">
        <w:rPr>
          <w:szCs w:val="22"/>
          <w:lang w:val="hy-AM" w:eastAsia="en-US"/>
        </w:rPr>
        <w:t>վերլուծություններ</w:t>
      </w:r>
      <w:r w:rsidRPr="009070BD">
        <w:rPr>
          <w:rFonts w:cs="Times Armenian"/>
          <w:szCs w:val="22"/>
          <w:lang w:val="af-ZA" w:eastAsia="en-US"/>
        </w:rPr>
        <w:t>»</w:t>
      </w:r>
      <w:r w:rsidRPr="009070BD">
        <w:rPr>
          <w:b w:val="0"/>
          <w:szCs w:val="22"/>
          <w:lang w:val="hy-AM" w:eastAsia="en-US"/>
        </w:rPr>
        <w:t xml:space="preserve"> միջոցառումը</w:t>
      </w:r>
      <w:r w:rsidRPr="009070BD">
        <w:rPr>
          <w:b w:val="0"/>
          <w:szCs w:val="22"/>
          <w:lang w:val="af-ZA" w:eastAsia="en-US"/>
        </w:rPr>
        <w:t xml:space="preserve">, </w:t>
      </w:r>
      <w:r w:rsidRPr="009070BD">
        <w:rPr>
          <w:b w:val="0"/>
          <w:szCs w:val="22"/>
          <w:lang w:val="hy-AM" w:eastAsia="en-US"/>
        </w:rPr>
        <w:t>որի</w:t>
      </w:r>
      <w:r w:rsidRPr="009070BD">
        <w:rPr>
          <w:b w:val="0"/>
          <w:szCs w:val="22"/>
          <w:lang w:val="fr-FR" w:eastAsia="en-US"/>
        </w:rPr>
        <w:t xml:space="preserve"> </w:t>
      </w:r>
      <w:r w:rsidRPr="009070BD">
        <w:rPr>
          <w:rFonts w:cs="Sylfaen"/>
          <w:b w:val="0"/>
          <w:bCs/>
          <w:szCs w:val="22"/>
          <w:lang w:val="hy-AM" w:eastAsia="en-US"/>
        </w:rPr>
        <w:t>համար</w:t>
      </w:r>
      <w:r w:rsidRPr="009070BD">
        <w:rPr>
          <w:rFonts w:cs="Times Armenian"/>
          <w:b w:val="0"/>
          <w:bCs/>
          <w:szCs w:val="22"/>
          <w:lang w:val="fr-FR" w:eastAsia="en-US"/>
        </w:rPr>
        <w:t xml:space="preserve"> </w:t>
      </w:r>
      <w:r w:rsidRPr="009070BD">
        <w:rPr>
          <w:rFonts w:cs="Sylfaen"/>
          <w:b w:val="0"/>
          <w:szCs w:val="22"/>
          <w:lang w:val="hy-AM" w:eastAsia="en-US"/>
        </w:rPr>
        <w:t>Ն</w:t>
      </w:r>
      <w:r w:rsidRPr="009070BD">
        <w:rPr>
          <w:b w:val="0"/>
          <w:szCs w:val="22"/>
          <w:lang w:val="hy-AM" w:eastAsia="en-US"/>
        </w:rPr>
        <w:t>ախագծով</w:t>
      </w:r>
      <w:r w:rsidRPr="009070BD">
        <w:rPr>
          <w:rFonts w:cs="Sylfaen"/>
          <w:b w:val="0"/>
          <w:szCs w:val="22"/>
          <w:lang w:val="af-ZA" w:eastAsia="en-US"/>
        </w:rPr>
        <w:t xml:space="preserve"> նախատեսվում</w:t>
      </w:r>
      <w:r w:rsidRPr="009070BD">
        <w:rPr>
          <w:rFonts w:cs="Times Armenian"/>
          <w:b w:val="0"/>
          <w:szCs w:val="22"/>
          <w:lang w:val="af-ZA" w:eastAsia="en-US"/>
        </w:rPr>
        <w:t xml:space="preserve"> </w:t>
      </w:r>
      <w:r w:rsidRPr="009070BD">
        <w:rPr>
          <w:rFonts w:cs="Sylfaen"/>
          <w:b w:val="0"/>
          <w:szCs w:val="22"/>
          <w:lang w:val="af-ZA" w:eastAsia="en-US"/>
        </w:rPr>
        <w:t>է</w:t>
      </w:r>
      <w:r w:rsidRPr="009070BD">
        <w:rPr>
          <w:rFonts w:cs="Times Armenian"/>
          <w:b w:val="0"/>
          <w:szCs w:val="22"/>
          <w:lang w:val="af-ZA" w:eastAsia="en-US"/>
        </w:rPr>
        <w:t xml:space="preserve"> հատկացնել</w:t>
      </w:r>
      <w:r w:rsidRPr="009070BD">
        <w:rPr>
          <w:rFonts w:cs="Sylfaen"/>
          <w:b w:val="0"/>
          <w:bCs/>
          <w:szCs w:val="22"/>
          <w:lang w:val="fr-FR" w:eastAsia="en-US"/>
        </w:rPr>
        <w:t xml:space="preserve"> 27.4 մլն դրամ`</w:t>
      </w:r>
      <w:r w:rsidRPr="009070BD">
        <w:rPr>
          <w:rFonts w:cs="Sylfaen"/>
          <w:b w:val="0"/>
          <w:szCs w:val="22"/>
          <w:lang w:val="af-ZA" w:eastAsia="en-US"/>
        </w:rPr>
        <w:t xml:space="preserve"> ՀՀ </w:t>
      </w:r>
      <w:r w:rsidRPr="009070BD">
        <w:rPr>
          <w:rFonts w:cs="Sylfaen"/>
          <w:b w:val="0"/>
          <w:szCs w:val="22"/>
          <w:lang w:val="fr-FR" w:eastAsia="en-US"/>
        </w:rPr>
        <w:t>2020</w:t>
      </w:r>
      <w:r w:rsidRPr="009070BD">
        <w:rPr>
          <w:rFonts w:cs="Sylfaen"/>
          <w:b w:val="0"/>
          <w:szCs w:val="22"/>
          <w:lang w:val="af-ZA" w:eastAsia="en-US"/>
        </w:rPr>
        <w:t xml:space="preserve"> </w:t>
      </w:r>
      <w:r w:rsidRPr="009070BD">
        <w:rPr>
          <w:rFonts w:cs="Sylfaen"/>
          <w:b w:val="0"/>
          <w:szCs w:val="22"/>
          <w:lang w:val="hy-AM" w:eastAsia="en-US"/>
        </w:rPr>
        <w:t>թվականի</w:t>
      </w:r>
      <w:r w:rsidRPr="009070BD">
        <w:rPr>
          <w:rFonts w:cs="Sylfaen"/>
          <w:b w:val="0"/>
          <w:szCs w:val="22"/>
          <w:lang w:val="fr-FR" w:eastAsia="en-US"/>
        </w:rPr>
        <w:t xml:space="preserve"> պետական բյուջեով հաստատված գումարի չափով:</w:t>
      </w:r>
    </w:p>
    <w:p w:rsidR="00B36A46" w:rsidRPr="009070BD" w:rsidRDefault="00B36A46" w:rsidP="007730AA">
      <w:pPr>
        <w:spacing w:before="0" w:line="276" w:lineRule="auto"/>
        <w:ind w:firstLine="720"/>
        <w:contextualSpacing w:val="0"/>
        <w:rPr>
          <w:rFonts w:cs="Sylfaen"/>
          <w:b w:val="0"/>
          <w:szCs w:val="22"/>
          <w:lang w:val="fr-FR" w:eastAsia="en-US"/>
        </w:rPr>
      </w:pPr>
      <w:r w:rsidRPr="009070BD">
        <w:rPr>
          <w:rFonts w:cs="Sylfaen"/>
          <w:b w:val="0"/>
          <w:szCs w:val="22"/>
          <w:lang w:val="fr-FR" w:eastAsia="en-US"/>
        </w:rPr>
        <w:t>Ծրագրի նպատակն է նախանշել ՀՀ սոցիալ-տնտեսական զարգացման քաղաքակա</w:t>
      </w:r>
      <w:r w:rsidRPr="009070BD">
        <w:rPr>
          <w:rFonts w:cs="Sylfaen"/>
          <w:b w:val="0"/>
          <w:szCs w:val="22"/>
          <w:lang w:val="fr-FR" w:eastAsia="en-US"/>
        </w:rPr>
        <w:softHyphen/>
        <w:t>նության շրջանակի ձևավորման գործընթացի համար անհրաժեշտ Հայաստանի Հանրապե</w:t>
      </w:r>
      <w:r w:rsidRPr="009070BD">
        <w:rPr>
          <w:rFonts w:cs="Sylfaen"/>
          <w:b w:val="0"/>
          <w:szCs w:val="22"/>
          <w:lang w:val="fr-FR" w:eastAsia="en-US"/>
        </w:rPr>
        <w:softHyphen/>
        <w:t>տու</w:t>
      </w:r>
      <w:r w:rsidRPr="009070BD">
        <w:rPr>
          <w:rFonts w:cs="Sylfaen"/>
          <w:b w:val="0"/>
          <w:szCs w:val="22"/>
          <w:lang w:val="fr-FR" w:eastAsia="en-US"/>
        </w:rPr>
        <w:softHyphen/>
        <w:t>թյան տնտեսական զարգացման ընթացիկ և հեռանկարային միտումների, ճյուղային համամաս</w:t>
      </w:r>
      <w:r w:rsidRPr="009070BD">
        <w:rPr>
          <w:rFonts w:cs="Sylfaen"/>
          <w:b w:val="0"/>
          <w:szCs w:val="22"/>
          <w:lang w:val="fr-FR" w:eastAsia="en-US"/>
        </w:rPr>
        <w:softHyphen/>
        <w:t>նությունների ու կառուցվածքային տեղաշարժերի բացահայտման, տնտեսական զարգացման ցուցանիշների կարճաժամկետ և երկարաժամկետ կանխատեսումների իրականացման աշխատանքների հիմնական ուղղությունները:</w:t>
      </w:r>
    </w:p>
    <w:p w:rsidR="00B36A46" w:rsidRPr="009070BD" w:rsidRDefault="00B36A46" w:rsidP="007730AA">
      <w:pPr>
        <w:spacing w:before="0" w:line="276" w:lineRule="auto"/>
        <w:ind w:firstLine="720"/>
        <w:contextualSpacing w:val="0"/>
        <w:rPr>
          <w:b w:val="0"/>
          <w:szCs w:val="22"/>
          <w:lang w:val="fr-FR" w:eastAsia="en-US"/>
        </w:rPr>
      </w:pPr>
      <w:r w:rsidRPr="009070BD">
        <w:rPr>
          <w:szCs w:val="22"/>
          <w:lang w:val="fr-FR" w:eastAsia="en-US"/>
        </w:rPr>
        <w:t>2. «Ստանդարտների մշակում և հավատարմագրման համակարգի զարգացում»</w:t>
      </w:r>
      <w:r w:rsidRPr="009070BD">
        <w:rPr>
          <w:rFonts w:ascii="Times New Roman" w:hAnsi="Times New Roman"/>
          <w:b w:val="0"/>
          <w:sz w:val="20"/>
          <w:szCs w:val="20"/>
          <w:lang w:val="fr-FR" w:eastAsia="en-US"/>
        </w:rPr>
        <w:t xml:space="preserve"> </w:t>
      </w:r>
      <w:r w:rsidRPr="009070BD">
        <w:rPr>
          <w:b w:val="0"/>
          <w:szCs w:val="22"/>
          <w:lang w:val="fr-FR" w:eastAsia="en-US"/>
        </w:rPr>
        <w:t>ծրագրի շրջանակներում նախատեսվում է.</w:t>
      </w:r>
    </w:p>
    <w:p w:rsidR="00B36A46" w:rsidRPr="009070BD" w:rsidRDefault="00B36A46" w:rsidP="007730AA">
      <w:pPr>
        <w:spacing w:before="0" w:line="276" w:lineRule="auto"/>
        <w:ind w:firstLine="720"/>
        <w:contextualSpacing w:val="0"/>
        <w:rPr>
          <w:b w:val="0"/>
          <w:szCs w:val="22"/>
          <w:lang w:val="af-ZA" w:eastAsia="en-US"/>
        </w:rPr>
      </w:pPr>
      <w:r w:rsidRPr="009070BD">
        <w:rPr>
          <w:szCs w:val="22"/>
          <w:lang w:val="fr-FR" w:eastAsia="en-US"/>
        </w:rPr>
        <w:t>2.1 «</w:t>
      </w:r>
      <w:r w:rsidRPr="009070BD">
        <w:rPr>
          <w:rFonts w:cs="Sylfaen"/>
          <w:szCs w:val="22"/>
          <w:lang w:val="af-ZA" w:eastAsia="en-US"/>
        </w:rPr>
        <w:t>Ստանդարտների</w:t>
      </w:r>
      <w:r w:rsidRPr="009070BD">
        <w:rPr>
          <w:rFonts w:cs="Times Armenian"/>
          <w:szCs w:val="22"/>
          <w:lang w:val="af-ZA" w:eastAsia="en-US"/>
        </w:rPr>
        <w:t xml:space="preserve"> </w:t>
      </w:r>
      <w:r w:rsidRPr="009070BD">
        <w:rPr>
          <w:rFonts w:cs="Sylfaen"/>
          <w:szCs w:val="22"/>
          <w:lang w:val="af-ZA" w:eastAsia="en-US"/>
        </w:rPr>
        <w:t>մշակման</w:t>
      </w:r>
      <w:r w:rsidRPr="009070BD">
        <w:rPr>
          <w:rFonts w:cs="Times Armenian"/>
          <w:szCs w:val="22"/>
          <w:lang w:val="af-ZA" w:eastAsia="en-US"/>
        </w:rPr>
        <w:t xml:space="preserve"> </w:t>
      </w:r>
      <w:r w:rsidRPr="009070BD">
        <w:rPr>
          <w:rFonts w:cs="Sylfaen"/>
          <w:szCs w:val="22"/>
          <w:lang w:val="af-ZA" w:eastAsia="en-US"/>
        </w:rPr>
        <w:t>ծառայություններ»</w:t>
      </w:r>
      <w:r w:rsidRPr="009070BD">
        <w:rPr>
          <w:rFonts w:cs="Times Armenian"/>
          <w:b w:val="0"/>
          <w:szCs w:val="22"/>
          <w:lang w:val="af-ZA" w:eastAsia="en-US"/>
        </w:rPr>
        <w:t xml:space="preserve"> </w:t>
      </w:r>
      <w:r w:rsidRPr="009070BD">
        <w:rPr>
          <w:rFonts w:cs="Sylfaen"/>
          <w:b w:val="0"/>
          <w:szCs w:val="22"/>
          <w:lang w:val="af-ZA" w:eastAsia="en-US"/>
        </w:rPr>
        <w:t>միջոցառումը, որի համար</w:t>
      </w:r>
      <w:r w:rsidRPr="009070BD">
        <w:rPr>
          <w:rFonts w:cs="Times Armenian"/>
          <w:b w:val="0"/>
          <w:szCs w:val="22"/>
          <w:lang w:val="af-ZA" w:eastAsia="en-US"/>
        </w:rPr>
        <w:t xml:space="preserve"> </w:t>
      </w:r>
      <w:r w:rsidRPr="009070BD">
        <w:rPr>
          <w:rFonts w:cs="Sylfaen"/>
          <w:b w:val="0"/>
          <w:szCs w:val="22"/>
          <w:lang w:val="en-US" w:eastAsia="en-US"/>
        </w:rPr>
        <w:t>Ն</w:t>
      </w:r>
      <w:r w:rsidRPr="009070BD">
        <w:rPr>
          <w:b w:val="0"/>
          <w:szCs w:val="22"/>
          <w:lang w:val="en-US" w:eastAsia="en-US"/>
        </w:rPr>
        <w:t>ախագծով</w:t>
      </w:r>
      <w:r w:rsidRPr="009070BD">
        <w:rPr>
          <w:rFonts w:cs="Sylfaen"/>
          <w:b w:val="0"/>
          <w:szCs w:val="22"/>
          <w:lang w:val="af-ZA" w:eastAsia="en-US"/>
        </w:rPr>
        <w:t xml:space="preserve"> նախատեսվում</w:t>
      </w:r>
      <w:r w:rsidRPr="009070BD">
        <w:rPr>
          <w:rFonts w:cs="Times Armenian"/>
          <w:b w:val="0"/>
          <w:szCs w:val="22"/>
          <w:lang w:val="af-ZA" w:eastAsia="en-US"/>
        </w:rPr>
        <w:t xml:space="preserve"> </w:t>
      </w:r>
      <w:r w:rsidRPr="009070BD">
        <w:rPr>
          <w:rFonts w:cs="Sylfaen"/>
          <w:b w:val="0"/>
          <w:szCs w:val="22"/>
          <w:lang w:val="af-ZA" w:eastAsia="en-US"/>
        </w:rPr>
        <w:t>է</w:t>
      </w:r>
      <w:r w:rsidRPr="009070BD">
        <w:rPr>
          <w:rFonts w:cs="Times Armenian"/>
          <w:b w:val="0"/>
          <w:szCs w:val="22"/>
          <w:lang w:val="af-ZA" w:eastAsia="en-US"/>
        </w:rPr>
        <w:t xml:space="preserve"> հատ</w:t>
      </w:r>
      <w:r w:rsidRPr="009070BD">
        <w:rPr>
          <w:rFonts w:cs="Times Armenian"/>
          <w:b w:val="0"/>
          <w:szCs w:val="22"/>
          <w:lang w:val="af-ZA" w:eastAsia="en-US"/>
        </w:rPr>
        <w:softHyphen/>
        <w:t xml:space="preserve">կացնել 14.1 </w:t>
      </w:r>
      <w:r w:rsidRPr="009070BD">
        <w:rPr>
          <w:rFonts w:cs="Sylfaen"/>
          <w:b w:val="0"/>
          <w:szCs w:val="22"/>
          <w:lang w:val="af-ZA" w:eastAsia="en-US"/>
        </w:rPr>
        <w:t>մլն</w:t>
      </w:r>
      <w:r w:rsidRPr="009070BD">
        <w:rPr>
          <w:rFonts w:cs="Times Armenian"/>
          <w:b w:val="0"/>
          <w:szCs w:val="22"/>
          <w:lang w:val="af-ZA" w:eastAsia="en-US"/>
        </w:rPr>
        <w:t xml:space="preserve"> </w:t>
      </w:r>
      <w:r w:rsidRPr="009070BD">
        <w:rPr>
          <w:rFonts w:cs="Sylfaen"/>
          <w:b w:val="0"/>
          <w:szCs w:val="22"/>
          <w:lang w:val="af-ZA" w:eastAsia="en-US"/>
        </w:rPr>
        <w:t>դրամ` ՀՀ 2020 թվականի պետական բյուջեով հաստատված գումարի չափով: Ծրագրի շրջանակներում</w:t>
      </w:r>
      <w:r w:rsidRPr="009070BD">
        <w:rPr>
          <w:rFonts w:cs="Times Armenian"/>
          <w:b w:val="0"/>
          <w:szCs w:val="22"/>
          <w:lang w:val="af-ZA" w:eastAsia="en-US"/>
        </w:rPr>
        <w:t xml:space="preserve"> </w:t>
      </w:r>
      <w:r w:rsidRPr="009070BD">
        <w:rPr>
          <w:rFonts w:cs="Sylfaen"/>
          <w:b w:val="0"/>
          <w:szCs w:val="22"/>
          <w:lang w:val="af-ZA" w:eastAsia="en-US"/>
        </w:rPr>
        <w:t>նախատեսվում</w:t>
      </w:r>
      <w:r w:rsidRPr="009070BD">
        <w:rPr>
          <w:rFonts w:cs="Times Armenian"/>
          <w:b w:val="0"/>
          <w:szCs w:val="22"/>
          <w:lang w:val="af-ZA" w:eastAsia="en-US"/>
        </w:rPr>
        <w:t xml:space="preserve"> </w:t>
      </w:r>
      <w:r w:rsidRPr="009070BD">
        <w:rPr>
          <w:rFonts w:cs="Sylfaen"/>
          <w:b w:val="0"/>
          <w:szCs w:val="22"/>
          <w:lang w:val="af-ZA" w:eastAsia="en-US"/>
        </w:rPr>
        <w:t>է</w:t>
      </w:r>
      <w:r w:rsidRPr="009070BD">
        <w:rPr>
          <w:rFonts w:cs="Times Armenian"/>
          <w:b w:val="0"/>
          <w:szCs w:val="22"/>
          <w:lang w:val="af-ZA" w:eastAsia="en-US"/>
        </w:rPr>
        <w:t xml:space="preserve"> </w:t>
      </w:r>
      <w:r w:rsidRPr="009070BD">
        <w:rPr>
          <w:rFonts w:cs="Sylfaen"/>
          <w:b w:val="0"/>
          <w:szCs w:val="22"/>
          <w:lang w:val="af-ZA" w:eastAsia="en-US"/>
        </w:rPr>
        <w:t>իրականացնել</w:t>
      </w:r>
      <w:r w:rsidRPr="009070BD">
        <w:rPr>
          <w:rFonts w:cs="Times Armenian"/>
          <w:b w:val="0"/>
          <w:szCs w:val="22"/>
          <w:lang w:val="af-ZA" w:eastAsia="en-US"/>
        </w:rPr>
        <w:t xml:space="preserve"> </w:t>
      </w:r>
      <w:r w:rsidRPr="009070BD">
        <w:rPr>
          <w:rFonts w:cs="Sylfaen"/>
          <w:b w:val="0"/>
          <w:szCs w:val="22"/>
          <w:lang w:val="af-ZA" w:eastAsia="en-US"/>
        </w:rPr>
        <w:t>հետևյալ միջոցառումները.</w:t>
      </w:r>
    </w:p>
    <w:p w:rsidR="00B36A46" w:rsidRPr="009070BD" w:rsidRDefault="00B36A46" w:rsidP="007730AA">
      <w:pPr>
        <w:spacing w:before="0" w:line="276" w:lineRule="auto"/>
        <w:ind w:firstLine="720"/>
        <w:contextualSpacing w:val="0"/>
        <w:rPr>
          <w:b w:val="0"/>
          <w:szCs w:val="22"/>
          <w:lang w:val="af-ZA" w:eastAsia="en-US"/>
        </w:rPr>
      </w:pPr>
      <w:r w:rsidRPr="009070BD">
        <w:rPr>
          <w:b w:val="0"/>
          <w:szCs w:val="22"/>
          <w:lang w:val="af-ZA" w:eastAsia="en-US"/>
        </w:rPr>
        <w:t>ա</w:t>
      </w:r>
      <w:r w:rsidRPr="009070BD">
        <w:rPr>
          <w:b w:val="0"/>
          <w:szCs w:val="22"/>
          <w:lang w:val="hy-AM" w:eastAsia="en-US"/>
        </w:rPr>
        <w:t>)</w:t>
      </w:r>
      <w:r w:rsidRPr="009070BD">
        <w:rPr>
          <w:b w:val="0"/>
          <w:szCs w:val="22"/>
          <w:lang w:val="af-ZA" w:eastAsia="en-US"/>
        </w:rPr>
        <w:t xml:space="preserve"> «Ազգային ստանդարտների մշակում», </w:t>
      </w:r>
    </w:p>
    <w:p w:rsidR="00B36A46" w:rsidRPr="009070BD" w:rsidRDefault="00B36A46" w:rsidP="007730AA">
      <w:pPr>
        <w:spacing w:before="0" w:line="276" w:lineRule="auto"/>
        <w:ind w:firstLine="720"/>
        <w:contextualSpacing w:val="0"/>
        <w:rPr>
          <w:b w:val="0"/>
          <w:szCs w:val="22"/>
          <w:lang w:val="af-ZA" w:eastAsia="en-US"/>
        </w:rPr>
      </w:pPr>
      <w:r w:rsidRPr="009070BD">
        <w:rPr>
          <w:b w:val="0"/>
          <w:szCs w:val="22"/>
          <w:lang w:eastAsia="en-US"/>
        </w:rPr>
        <w:t>բ</w:t>
      </w:r>
      <w:r w:rsidRPr="009070BD">
        <w:rPr>
          <w:b w:val="0"/>
          <w:szCs w:val="22"/>
          <w:lang w:val="hy-AM" w:eastAsia="en-US"/>
        </w:rPr>
        <w:t>)</w:t>
      </w:r>
      <w:r w:rsidRPr="009070BD">
        <w:rPr>
          <w:b w:val="0"/>
          <w:szCs w:val="22"/>
          <w:lang w:val="af-ZA" w:eastAsia="en-US"/>
        </w:rPr>
        <w:t xml:space="preserve"> «Միջազգային, եվրոպական և միջպետական ստանդարտացման կազմակերպությունների հետ համագործակցության և աշխատանքների կազմակերպում», </w:t>
      </w:r>
    </w:p>
    <w:p w:rsidR="00B36A46" w:rsidRPr="009070BD" w:rsidRDefault="00B36A46" w:rsidP="007730AA">
      <w:pPr>
        <w:spacing w:before="0" w:line="276" w:lineRule="auto"/>
        <w:ind w:firstLine="720"/>
        <w:contextualSpacing w:val="0"/>
        <w:rPr>
          <w:b w:val="0"/>
          <w:szCs w:val="22"/>
          <w:lang w:val="af-ZA" w:eastAsia="en-US"/>
        </w:rPr>
      </w:pPr>
      <w:r w:rsidRPr="009070BD">
        <w:rPr>
          <w:b w:val="0"/>
          <w:szCs w:val="22"/>
          <w:lang w:eastAsia="en-US"/>
        </w:rPr>
        <w:t>գ</w:t>
      </w:r>
      <w:r w:rsidRPr="009070BD">
        <w:rPr>
          <w:b w:val="0"/>
          <w:szCs w:val="22"/>
          <w:lang w:val="hy-AM" w:eastAsia="en-US"/>
        </w:rPr>
        <w:t>)</w:t>
      </w:r>
      <w:r w:rsidRPr="009070BD">
        <w:rPr>
          <w:b w:val="0"/>
          <w:szCs w:val="22"/>
          <w:lang w:val="af-ZA" w:eastAsia="en-US"/>
        </w:rPr>
        <w:t xml:space="preserve"> «Ստանդարտացման ազգային ֆոնդի վարման և տեղեկատվական սպասարկման աշխատանքների կազմակերպում»:</w:t>
      </w:r>
    </w:p>
    <w:p w:rsidR="00B36A46" w:rsidRPr="009070BD" w:rsidRDefault="00B36A46" w:rsidP="007730AA">
      <w:pPr>
        <w:spacing w:before="0" w:line="276" w:lineRule="auto"/>
        <w:ind w:firstLine="720"/>
        <w:contextualSpacing w:val="0"/>
        <w:rPr>
          <w:b w:val="0"/>
          <w:szCs w:val="22"/>
          <w:lang w:val="fr-FR" w:eastAsia="en-US"/>
        </w:rPr>
      </w:pPr>
      <w:r w:rsidRPr="009070BD">
        <w:rPr>
          <w:b w:val="0"/>
          <w:szCs w:val="22"/>
          <w:lang w:val="af-ZA" w:eastAsia="en-US"/>
        </w:rPr>
        <w:t>Ծրագրի նպատակն է Հայաստանի Հանրապետության ինտեգրումը ստանդարտացման բնագավառի միջազգային և եվրոպական համակարգերին, որը կնպաստի սպառողների շահերի պաշտպանությանը անվ</w:t>
      </w:r>
      <w:r w:rsidRPr="009070BD">
        <w:rPr>
          <w:b w:val="0"/>
          <w:szCs w:val="22"/>
          <w:lang w:val="af-ZA" w:eastAsia="en-US"/>
        </w:rPr>
        <w:softHyphen/>
        <w:t>տանգ ապրանքների ձեռքբերման հարցերում, հայրենական արտադրողների կող</w:t>
      </w:r>
      <w:r w:rsidRPr="009070BD">
        <w:rPr>
          <w:b w:val="0"/>
          <w:szCs w:val="22"/>
          <w:lang w:val="af-ZA" w:eastAsia="en-US"/>
        </w:rPr>
        <w:softHyphen/>
        <w:t>մից մրցունակ ապրանքների արտադրմանը և ծառայությունների մատուցմանը:</w:t>
      </w:r>
    </w:p>
    <w:p w:rsidR="00B36A46" w:rsidRPr="009070BD" w:rsidRDefault="00B36A46" w:rsidP="007730AA">
      <w:pPr>
        <w:spacing w:before="0" w:line="276" w:lineRule="auto"/>
        <w:ind w:firstLine="720"/>
        <w:contextualSpacing w:val="0"/>
        <w:rPr>
          <w:rFonts w:cs="Times Armenian"/>
          <w:b w:val="0"/>
          <w:szCs w:val="22"/>
          <w:lang w:val="af-ZA" w:eastAsia="en-US"/>
        </w:rPr>
      </w:pPr>
      <w:r w:rsidRPr="009070BD">
        <w:rPr>
          <w:szCs w:val="22"/>
          <w:lang w:val="fr-FR" w:eastAsia="en-US"/>
        </w:rPr>
        <w:t xml:space="preserve">2.2 </w:t>
      </w:r>
      <w:r w:rsidRPr="009070BD">
        <w:rPr>
          <w:rFonts w:cs="Sylfaen"/>
          <w:bCs/>
          <w:szCs w:val="22"/>
          <w:lang w:val="fr-FR" w:eastAsia="en-US"/>
        </w:rPr>
        <w:t>«</w:t>
      </w:r>
      <w:r w:rsidRPr="009070BD">
        <w:rPr>
          <w:rFonts w:cs="Sylfaen"/>
          <w:szCs w:val="22"/>
          <w:lang w:val="af-ZA" w:eastAsia="en-US"/>
        </w:rPr>
        <w:t>Պետական</w:t>
      </w:r>
      <w:r w:rsidRPr="009070BD">
        <w:rPr>
          <w:rFonts w:cs="Times Armenian"/>
          <w:szCs w:val="22"/>
          <w:lang w:val="af-ZA" w:eastAsia="en-US"/>
        </w:rPr>
        <w:t xml:space="preserve"> </w:t>
      </w:r>
      <w:r w:rsidRPr="009070BD">
        <w:rPr>
          <w:rFonts w:cs="Sylfaen"/>
          <w:szCs w:val="22"/>
          <w:lang w:val="af-ZA" w:eastAsia="en-US"/>
        </w:rPr>
        <w:t>աջակցություն</w:t>
      </w:r>
      <w:r w:rsidRPr="009070BD">
        <w:rPr>
          <w:rFonts w:cs="Times Armenian"/>
          <w:szCs w:val="22"/>
          <w:lang w:val="af-ZA" w:eastAsia="en-US"/>
        </w:rPr>
        <w:t xml:space="preserve"> </w:t>
      </w:r>
      <w:r w:rsidRPr="009070BD">
        <w:rPr>
          <w:rFonts w:cs="Sylfaen"/>
          <w:bCs/>
          <w:szCs w:val="22"/>
          <w:lang w:val="fr-FR" w:eastAsia="en-US"/>
        </w:rPr>
        <w:t xml:space="preserve">ՀՀ հավատարմագրման համակարգին» </w:t>
      </w:r>
      <w:r w:rsidRPr="009070BD">
        <w:rPr>
          <w:rFonts w:cs="Sylfaen"/>
          <w:b w:val="0"/>
          <w:bCs/>
          <w:szCs w:val="22"/>
          <w:lang w:val="fr-FR" w:eastAsia="en-US"/>
        </w:rPr>
        <w:t>միջոցառումը, որ</w:t>
      </w:r>
      <w:r w:rsidRPr="009070BD">
        <w:rPr>
          <w:rFonts w:cs="Sylfaen"/>
          <w:b w:val="0"/>
          <w:bCs/>
          <w:szCs w:val="22"/>
          <w:lang w:val="en-US" w:eastAsia="en-US"/>
        </w:rPr>
        <w:t>ի</w:t>
      </w:r>
      <w:r w:rsidRPr="009070BD">
        <w:rPr>
          <w:rFonts w:cs="Times Armenian"/>
          <w:b w:val="0"/>
          <w:bCs/>
          <w:szCs w:val="22"/>
          <w:lang w:val="fr-FR" w:eastAsia="en-US"/>
        </w:rPr>
        <w:t xml:space="preserve"> </w:t>
      </w:r>
      <w:r w:rsidRPr="009070BD">
        <w:rPr>
          <w:rFonts w:cs="Sylfaen"/>
          <w:b w:val="0"/>
          <w:bCs/>
          <w:szCs w:val="22"/>
          <w:lang w:val="en-US" w:eastAsia="en-US"/>
        </w:rPr>
        <w:t>համար</w:t>
      </w:r>
      <w:r w:rsidRPr="009070BD">
        <w:rPr>
          <w:rFonts w:cs="Times Armenian"/>
          <w:b w:val="0"/>
          <w:bCs/>
          <w:szCs w:val="22"/>
          <w:lang w:val="fr-FR" w:eastAsia="en-US"/>
        </w:rPr>
        <w:t xml:space="preserve"> </w:t>
      </w:r>
      <w:r w:rsidRPr="009070BD">
        <w:rPr>
          <w:rFonts w:cs="Sylfaen"/>
          <w:b w:val="0"/>
          <w:szCs w:val="22"/>
          <w:lang w:val="en-US" w:eastAsia="en-US"/>
        </w:rPr>
        <w:t>Ն</w:t>
      </w:r>
      <w:r w:rsidRPr="009070BD">
        <w:rPr>
          <w:b w:val="0"/>
          <w:szCs w:val="22"/>
          <w:lang w:val="en-US" w:eastAsia="en-US"/>
        </w:rPr>
        <w:t>ախագծով</w:t>
      </w:r>
      <w:r w:rsidRPr="009070BD">
        <w:rPr>
          <w:rFonts w:cs="Sylfaen"/>
          <w:b w:val="0"/>
          <w:szCs w:val="22"/>
          <w:lang w:val="af-ZA" w:eastAsia="en-US"/>
        </w:rPr>
        <w:t xml:space="preserve"> նախատեսվում</w:t>
      </w:r>
      <w:r w:rsidRPr="009070BD">
        <w:rPr>
          <w:rFonts w:cs="Times Armenian"/>
          <w:b w:val="0"/>
          <w:szCs w:val="22"/>
          <w:lang w:val="af-ZA" w:eastAsia="en-US"/>
        </w:rPr>
        <w:t xml:space="preserve"> </w:t>
      </w:r>
      <w:r w:rsidRPr="009070BD">
        <w:rPr>
          <w:rFonts w:cs="Sylfaen"/>
          <w:b w:val="0"/>
          <w:szCs w:val="22"/>
          <w:lang w:val="af-ZA" w:eastAsia="en-US"/>
        </w:rPr>
        <w:t>է</w:t>
      </w:r>
      <w:r w:rsidRPr="009070BD">
        <w:rPr>
          <w:rFonts w:cs="Times Armenian"/>
          <w:b w:val="0"/>
          <w:szCs w:val="22"/>
          <w:lang w:val="af-ZA" w:eastAsia="en-US"/>
        </w:rPr>
        <w:t xml:space="preserve"> հատկացնել 16.7 մլն դրամ` ՀՀ 2020 թվականի պետական բյուջեով հաստատված </w:t>
      </w:r>
      <w:r w:rsidRPr="009070BD">
        <w:rPr>
          <w:rFonts w:cs="Times Armenian"/>
          <w:b w:val="0"/>
          <w:szCs w:val="22"/>
          <w:lang w:eastAsia="en-US"/>
        </w:rPr>
        <w:t>գումարի</w:t>
      </w:r>
      <w:r w:rsidRPr="009070BD">
        <w:rPr>
          <w:rFonts w:cs="Times Armenian"/>
          <w:b w:val="0"/>
          <w:szCs w:val="22"/>
          <w:lang w:val="fr-FR" w:eastAsia="en-US"/>
        </w:rPr>
        <w:t xml:space="preserve"> </w:t>
      </w:r>
      <w:r w:rsidRPr="009070BD">
        <w:rPr>
          <w:rFonts w:cs="Times Armenian"/>
          <w:b w:val="0"/>
          <w:szCs w:val="22"/>
          <w:lang w:eastAsia="en-US"/>
        </w:rPr>
        <w:t>չափով</w:t>
      </w:r>
      <w:r w:rsidRPr="009070BD">
        <w:rPr>
          <w:rFonts w:cs="Times Armenian"/>
          <w:b w:val="0"/>
          <w:szCs w:val="22"/>
          <w:lang w:val="af-ZA" w:eastAsia="en-US"/>
        </w:rPr>
        <w:t>:</w:t>
      </w:r>
    </w:p>
    <w:p w:rsidR="00B36A46" w:rsidRPr="009070BD" w:rsidRDefault="00B36A46" w:rsidP="007730AA">
      <w:pPr>
        <w:spacing w:before="0" w:line="276" w:lineRule="auto"/>
        <w:ind w:firstLine="720"/>
        <w:contextualSpacing w:val="0"/>
        <w:rPr>
          <w:rFonts w:cs="Arial CIT"/>
          <w:b w:val="0"/>
          <w:szCs w:val="22"/>
          <w:lang w:val="fr-FR" w:eastAsia="en-US"/>
        </w:rPr>
      </w:pPr>
      <w:r w:rsidRPr="009070BD">
        <w:rPr>
          <w:rFonts w:cs="Sylfaen"/>
          <w:b w:val="0"/>
          <w:bCs/>
          <w:szCs w:val="22"/>
          <w:lang w:val="fr-FR" w:eastAsia="en-US"/>
        </w:rPr>
        <w:t xml:space="preserve">Ծրագրի նպատակը միջազգային և եվրոպական հավատարմագրման համակարգերին ինտեգրումն է, </w:t>
      </w:r>
      <w:r w:rsidRPr="009070BD">
        <w:rPr>
          <w:rFonts w:cs="Arial CIT"/>
          <w:b w:val="0"/>
          <w:szCs w:val="22"/>
          <w:lang w:val="hy-AM" w:eastAsia="en-US"/>
        </w:rPr>
        <w:t>այդ թվում հավատարմագրման ազգային մարմնի կայացումը և հավատարմագրման արդյունքների փոխճանաչման բազմակողմանի համաձայնագրերում հավատարմագրման մարմնի մասնակցությունը, ինչը կվերացնի առևտրային խոչընդոտները, կապահովի ապրանքների ազատ տեղաշարժը, կբացառի նույն ապրանքի կրկնակ</w:t>
      </w:r>
      <w:r w:rsidRPr="009070BD">
        <w:rPr>
          <w:rFonts w:cs="Arial CIT"/>
          <w:b w:val="0"/>
          <w:szCs w:val="22"/>
          <w:lang w:val="en-US" w:eastAsia="en-US"/>
        </w:rPr>
        <w:t>ի</w:t>
      </w:r>
      <w:r w:rsidRPr="009070BD">
        <w:rPr>
          <w:rFonts w:cs="Arial CIT"/>
          <w:b w:val="0"/>
          <w:szCs w:val="22"/>
          <w:lang w:val="hy-AM" w:eastAsia="en-US"/>
        </w:rPr>
        <w:t xml:space="preserve"> փորձարկման և կրկնակ</w:t>
      </w:r>
      <w:r w:rsidRPr="009070BD">
        <w:rPr>
          <w:rFonts w:cs="Arial CIT"/>
          <w:b w:val="0"/>
          <w:szCs w:val="22"/>
          <w:lang w:val="en-US" w:eastAsia="en-US"/>
        </w:rPr>
        <w:t>ի</w:t>
      </w:r>
      <w:r w:rsidRPr="009070BD">
        <w:rPr>
          <w:rFonts w:cs="Arial CIT"/>
          <w:b w:val="0"/>
          <w:szCs w:val="22"/>
          <w:lang w:val="hy-AM" w:eastAsia="en-US"/>
        </w:rPr>
        <w:t xml:space="preserve"> սերտիֆիկացման անհրաժեշտությունը և </w:t>
      </w:r>
      <w:r w:rsidRPr="009070BD">
        <w:rPr>
          <w:rFonts w:cs="Arial CIT"/>
          <w:b w:val="0"/>
          <w:szCs w:val="22"/>
          <w:lang w:val="en-US" w:eastAsia="en-US"/>
        </w:rPr>
        <w:t>դրանով</w:t>
      </w:r>
      <w:r w:rsidRPr="009070BD">
        <w:rPr>
          <w:rFonts w:cs="Arial CIT"/>
          <w:b w:val="0"/>
          <w:szCs w:val="22"/>
          <w:lang w:val="fr-FR" w:eastAsia="en-US"/>
        </w:rPr>
        <w:t xml:space="preserve"> </w:t>
      </w:r>
      <w:r w:rsidRPr="009070BD">
        <w:rPr>
          <w:rFonts w:cs="Arial CIT"/>
          <w:b w:val="0"/>
          <w:szCs w:val="22"/>
          <w:lang w:val="hy-AM" w:eastAsia="en-US"/>
        </w:rPr>
        <w:t>կնպաստի տնտեսության զարգացմանը:</w:t>
      </w:r>
    </w:p>
    <w:p w:rsidR="00B36A46" w:rsidRPr="009070BD" w:rsidRDefault="00B36A46" w:rsidP="007730AA">
      <w:pPr>
        <w:spacing w:before="0" w:line="276" w:lineRule="auto"/>
        <w:ind w:firstLine="720"/>
        <w:contextualSpacing w:val="0"/>
        <w:rPr>
          <w:rFonts w:cs="Sylfaen"/>
          <w:b w:val="0"/>
          <w:szCs w:val="22"/>
          <w:lang w:val="af-ZA" w:eastAsia="en-US"/>
        </w:rPr>
      </w:pPr>
      <w:r w:rsidRPr="009070BD">
        <w:rPr>
          <w:szCs w:val="22"/>
          <w:lang w:val="fr-FR" w:eastAsia="en-US"/>
        </w:rPr>
        <w:t xml:space="preserve">3. «Աջակցություն փոքր և միջին ձեռնարկատիրությանը» </w:t>
      </w:r>
      <w:r w:rsidRPr="009070BD">
        <w:rPr>
          <w:b w:val="0"/>
          <w:szCs w:val="22"/>
          <w:lang w:val="fr-FR" w:eastAsia="en-US"/>
        </w:rPr>
        <w:t xml:space="preserve">ծրագրի շրջանակներում նախատեսվում է </w:t>
      </w:r>
      <w:r w:rsidRPr="009070BD">
        <w:rPr>
          <w:szCs w:val="22"/>
          <w:lang w:val="fr-FR" w:eastAsia="en-US"/>
        </w:rPr>
        <w:t>«ՓՄՁ-ի սուբյեկտներին աջակցության ծրագրերի համակարգում և կառավարում»</w:t>
      </w:r>
      <w:r w:rsidRPr="009070BD">
        <w:rPr>
          <w:b w:val="0"/>
          <w:szCs w:val="22"/>
          <w:lang w:val="fr-FR" w:eastAsia="en-US"/>
        </w:rPr>
        <w:t xml:space="preserve"> միջոցառումը, որի</w:t>
      </w:r>
      <w:r w:rsidRPr="009070BD">
        <w:rPr>
          <w:rFonts w:cs="Times Armenian"/>
          <w:b w:val="0"/>
          <w:szCs w:val="22"/>
          <w:lang w:val="af-ZA" w:eastAsia="en-US"/>
        </w:rPr>
        <w:t xml:space="preserve"> </w:t>
      </w:r>
      <w:r w:rsidRPr="009070BD">
        <w:rPr>
          <w:rFonts w:cs="Sylfaen"/>
          <w:b w:val="0"/>
          <w:szCs w:val="22"/>
          <w:lang w:val="af-ZA" w:eastAsia="en-US"/>
        </w:rPr>
        <w:t>համար</w:t>
      </w:r>
      <w:r w:rsidRPr="009070BD">
        <w:rPr>
          <w:rFonts w:cs="Times Armenian"/>
          <w:b w:val="0"/>
          <w:szCs w:val="22"/>
          <w:lang w:val="af-ZA" w:eastAsia="en-US"/>
        </w:rPr>
        <w:t xml:space="preserve"> Ն</w:t>
      </w:r>
      <w:r w:rsidRPr="009070BD">
        <w:rPr>
          <w:b w:val="0"/>
          <w:szCs w:val="22"/>
          <w:lang w:val="en-US" w:eastAsia="en-US"/>
        </w:rPr>
        <w:t>ախագծով</w:t>
      </w:r>
      <w:r w:rsidRPr="009070BD">
        <w:rPr>
          <w:rFonts w:cs="Sylfaen"/>
          <w:b w:val="0"/>
          <w:szCs w:val="22"/>
          <w:lang w:val="af-ZA" w:eastAsia="en-US"/>
        </w:rPr>
        <w:t xml:space="preserve"> նախատեսվում</w:t>
      </w:r>
      <w:r w:rsidRPr="009070BD">
        <w:rPr>
          <w:rFonts w:cs="Times Armenian"/>
          <w:b w:val="0"/>
          <w:szCs w:val="22"/>
          <w:lang w:val="af-ZA" w:eastAsia="en-US"/>
        </w:rPr>
        <w:t xml:space="preserve"> </w:t>
      </w:r>
      <w:r w:rsidRPr="009070BD">
        <w:rPr>
          <w:rFonts w:cs="Sylfaen"/>
          <w:b w:val="0"/>
          <w:szCs w:val="22"/>
          <w:lang w:val="af-ZA" w:eastAsia="en-US"/>
        </w:rPr>
        <w:t>է</w:t>
      </w:r>
      <w:r w:rsidRPr="009070BD">
        <w:rPr>
          <w:rFonts w:cs="Times Armenian"/>
          <w:b w:val="0"/>
          <w:szCs w:val="22"/>
          <w:lang w:val="af-ZA" w:eastAsia="en-US"/>
        </w:rPr>
        <w:t xml:space="preserve"> հատ</w:t>
      </w:r>
      <w:r w:rsidRPr="009070BD">
        <w:rPr>
          <w:rFonts w:cs="Times Armenian"/>
          <w:b w:val="0"/>
          <w:szCs w:val="22"/>
          <w:lang w:val="af-ZA" w:eastAsia="en-US"/>
        </w:rPr>
        <w:softHyphen/>
        <w:t>կացնել 1</w:t>
      </w:r>
      <w:r w:rsidRPr="009070BD">
        <w:rPr>
          <w:rFonts w:cs="Times Armenian"/>
          <w:b w:val="0"/>
          <w:szCs w:val="22"/>
          <w:lang w:val="hy-AM" w:eastAsia="en-US"/>
        </w:rPr>
        <w:t>83</w:t>
      </w:r>
      <w:r w:rsidRPr="009070BD">
        <w:rPr>
          <w:rFonts w:cs="Times Armenian"/>
          <w:b w:val="0"/>
          <w:szCs w:val="22"/>
          <w:lang w:val="af-ZA" w:eastAsia="en-US"/>
        </w:rPr>
        <w:t>.</w:t>
      </w:r>
      <w:r w:rsidRPr="009070BD">
        <w:rPr>
          <w:rFonts w:cs="Times Armenian"/>
          <w:b w:val="0"/>
          <w:szCs w:val="22"/>
          <w:lang w:val="hy-AM" w:eastAsia="en-US"/>
        </w:rPr>
        <w:t>1</w:t>
      </w:r>
      <w:r w:rsidRPr="009070BD">
        <w:rPr>
          <w:rFonts w:cs="Times Armenian"/>
          <w:b w:val="0"/>
          <w:szCs w:val="22"/>
          <w:lang w:val="af-ZA" w:eastAsia="en-US"/>
        </w:rPr>
        <w:t xml:space="preserve"> </w:t>
      </w:r>
      <w:r w:rsidRPr="009070BD">
        <w:rPr>
          <w:rFonts w:cs="Sylfaen"/>
          <w:b w:val="0"/>
          <w:szCs w:val="22"/>
          <w:lang w:val="af-ZA" w:eastAsia="en-US"/>
        </w:rPr>
        <w:t>մլն</w:t>
      </w:r>
      <w:r w:rsidRPr="009070BD">
        <w:rPr>
          <w:rFonts w:cs="Times Armenian"/>
          <w:b w:val="0"/>
          <w:szCs w:val="22"/>
          <w:lang w:val="af-ZA" w:eastAsia="en-US"/>
        </w:rPr>
        <w:t xml:space="preserve"> </w:t>
      </w:r>
      <w:r w:rsidRPr="009070BD">
        <w:rPr>
          <w:rFonts w:cs="Sylfaen"/>
          <w:b w:val="0"/>
          <w:szCs w:val="22"/>
          <w:lang w:val="af-ZA" w:eastAsia="en-US"/>
        </w:rPr>
        <w:t>դրամ` ՀՀ 201</w:t>
      </w:r>
      <w:r w:rsidRPr="009070BD">
        <w:rPr>
          <w:rFonts w:cs="Sylfaen"/>
          <w:b w:val="0"/>
          <w:szCs w:val="22"/>
          <w:lang w:val="fr-FR" w:eastAsia="en-US"/>
        </w:rPr>
        <w:t>9</w:t>
      </w:r>
      <w:r w:rsidRPr="009070BD">
        <w:rPr>
          <w:rFonts w:cs="Sylfaen"/>
          <w:b w:val="0"/>
          <w:szCs w:val="22"/>
          <w:lang w:val="af-ZA" w:eastAsia="en-US"/>
        </w:rPr>
        <w:t xml:space="preserve"> </w:t>
      </w:r>
      <w:r w:rsidRPr="009070BD">
        <w:rPr>
          <w:rFonts w:cs="Sylfaen"/>
          <w:b w:val="0"/>
          <w:szCs w:val="22"/>
          <w:lang w:val="en-US" w:eastAsia="en-US"/>
        </w:rPr>
        <w:t>թվականի</w:t>
      </w:r>
      <w:r w:rsidRPr="009070BD">
        <w:rPr>
          <w:rFonts w:cs="Sylfaen"/>
          <w:b w:val="0"/>
          <w:szCs w:val="22"/>
          <w:lang w:val="af-ZA" w:eastAsia="en-US"/>
        </w:rPr>
        <w:t xml:space="preserve"> պետական բյուջեով հաստատված </w:t>
      </w:r>
      <w:r w:rsidRPr="009070BD">
        <w:rPr>
          <w:rFonts w:cs="Sylfaen"/>
          <w:b w:val="0"/>
          <w:szCs w:val="22"/>
          <w:lang w:eastAsia="en-US"/>
        </w:rPr>
        <w:t>գումարի</w:t>
      </w:r>
      <w:r w:rsidRPr="009070BD">
        <w:rPr>
          <w:rFonts w:cs="Sylfaen"/>
          <w:b w:val="0"/>
          <w:szCs w:val="22"/>
          <w:lang w:val="fr-FR" w:eastAsia="en-US"/>
        </w:rPr>
        <w:t xml:space="preserve"> </w:t>
      </w:r>
      <w:r w:rsidRPr="009070BD">
        <w:rPr>
          <w:rFonts w:cs="Sylfaen"/>
          <w:b w:val="0"/>
          <w:szCs w:val="22"/>
          <w:lang w:eastAsia="en-US"/>
        </w:rPr>
        <w:t>չափով</w:t>
      </w:r>
      <w:r w:rsidRPr="009070BD">
        <w:rPr>
          <w:rFonts w:cs="Times Armenian"/>
          <w:b w:val="0"/>
          <w:szCs w:val="22"/>
          <w:lang w:val="af-ZA" w:eastAsia="en-US"/>
        </w:rPr>
        <w:t>:</w:t>
      </w:r>
    </w:p>
    <w:p w:rsidR="00B36A46" w:rsidRPr="009070BD" w:rsidRDefault="00B36A46" w:rsidP="007730AA">
      <w:pPr>
        <w:spacing w:before="0" w:line="276" w:lineRule="auto"/>
        <w:ind w:firstLine="720"/>
        <w:contextualSpacing w:val="0"/>
        <w:rPr>
          <w:b w:val="0"/>
          <w:szCs w:val="22"/>
          <w:lang w:val="af-ZA" w:eastAsia="en-US"/>
        </w:rPr>
      </w:pPr>
      <w:r w:rsidRPr="009070BD">
        <w:rPr>
          <w:rFonts w:cs="Sylfaen"/>
          <w:b w:val="0"/>
          <w:szCs w:val="22"/>
          <w:lang w:val="af-ZA" w:eastAsia="en-US"/>
        </w:rPr>
        <w:t>Ծրագրի</w:t>
      </w:r>
      <w:r w:rsidRPr="009070BD">
        <w:rPr>
          <w:rFonts w:cs="Times Armenian"/>
          <w:b w:val="0"/>
          <w:szCs w:val="22"/>
          <w:lang w:val="af-ZA" w:eastAsia="en-US"/>
        </w:rPr>
        <w:t xml:space="preserve"> </w:t>
      </w:r>
      <w:r w:rsidRPr="009070BD">
        <w:rPr>
          <w:rFonts w:cs="Sylfaen"/>
          <w:b w:val="0"/>
          <w:szCs w:val="22"/>
          <w:lang w:val="af-ZA" w:eastAsia="en-US"/>
        </w:rPr>
        <w:t>նպատակն</w:t>
      </w:r>
      <w:r w:rsidRPr="009070BD">
        <w:rPr>
          <w:rFonts w:cs="Times Armenian"/>
          <w:b w:val="0"/>
          <w:szCs w:val="22"/>
          <w:lang w:val="af-ZA" w:eastAsia="en-US"/>
        </w:rPr>
        <w:t xml:space="preserve"> </w:t>
      </w:r>
      <w:r w:rsidRPr="009070BD">
        <w:rPr>
          <w:rFonts w:cs="Sylfaen"/>
          <w:b w:val="0"/>
          <w:szCs w:val="22"/>
          <w:lang w:val="af-ZA" w:eastAsia="en-US"/>
        </w:rPr>
        <w:t>է</w:t>
      </w:r>
      <w:r w:rsidRPr="009070BD">
        <w:rPr>
          <w:rFonts w:cs="Times Armenian"/>
          <w:b w:val="0"/>
          <w:szCs w:val="22"/>
          <w:lang w:val="af-ZA" w:eastAsia="en-US"/>
        </w:rPr>
        <w:t xml:space="preserve"> </w:t>
      </w:r>
      <w:r w:rsidRPr="009070BD">
        <w:rPr>
          <w:rFonts w:cs="Sylfaen"/>
          <w:b w:val="0"/>
          <w:szCs w:val="22"/>
          <w:lang w:val="af-ZA" w:eastAsia="en-US"/>
        </w:rPr>
        <w:t>ՓՄՁ</w:t>
      </w:r>
      <w:r w:rsidRPr="009070BD">
        <w:rPr>
          <w:rFonts w:cs="Times Armenian"/>
          <w:b w:val="0"/>
          <w:szCs w:val="22"/>
          <w:lang w:val="af-ZA" w:eastAsia="en-US"/>
        </w:rPr>
        <w:t xml:space="preserve"> </w:t>
      </w:r>
      <w:r w:rsidRPr="009070BD">
        <w:rPr>
          <w:rFonts w:cs="Sylfaen"/>
          <w:b w:val="0"/>
          <w:szCs w:val="22"/>
          <w:lang w:val="af-ZA" w:eastAsia="en-US"/>
        </w:rPr>
        <w:t>սուբյեկտներին</w:t>
      </w:r>
      <w:r w:rsidRPr="009070BD">
        <w:rPr>
          <w:rFonts w:cs="Times Armenian"/>
          <w:b w:val="0"/>
          <w:szCs w:val="22"/>
          <w:lang w:val="af-ZA" w:eastAsia="en-US"/>
        </w:rPr>
        <w:t xml:space="preserve"> </w:t>
      </w:r>
      <w:r w:rsidRPr="009070BD">
        <w:rPr>
          <w:rFonts w:eastAsia="Calibri"/>
          <w:b w:val="0"/>
          <w:szCs w:val="22"/>
          <w:lang w:val="hy-AM" w:eastAsia="en-US"/>
        </w:rPr>
        <w:t>ֆինանսական և ներդրումային հնարավորությունների, նորարարությունների և ժամանակակից տեխնոլոգիաների ներդրման հնարավորությունների, գործարար ուսուցողական, տեղեկատվական, տեխնիկական և խորհրդատվական ծառայությունների մատուցման հնարավորությունների, ինչպես նաև ՓՄՁ սուբյեկտների գործունեության շրջանակների ընդլայնում և նրանց մրցունակության բարձրացում</w:t>
      </w:r>
      <w:r w:rsidRPr="009070BD">
        <w:rPr>
          <w:rFonts w:eastAsia="Calibri"/>
          <w:b w:val="0"/>
          <w:szCs w:val="22"/>
          <w:lang w:val="af-ZA" w:eastAsia="en-US"/>
        </w:rPr>
        <w:t>ը</w:t>
      </w:r>
      <w:r w:rsidRPr="009070BD">
        <w:rPr>
          <w:rFonts w:cs="Times Armenian"/>
          <w:b w:val="0"/>
          <w:szCs w:val="22"/>
          <w:lang w:val="af-ZA" w:eastAsia="en-US"/>
        </w:rPr>
        <w:t>:</w:t>
      </w:r>
    </w:p>
    <w:p w:rsidR="00B36A46" w:rsidRPr="009070BD" w:rsidRDefault="00B36A46" w:rsidP="007730AA">
      <w:pPr>
        <w:spacing w:before="0" w:line="276" w:lineRule="auto"/>
        <w:ind w:firstLine="720"/>
        <w:contextualSpacing w:val="0"/>
        <w:rPr>
          <w:b w:val="0"/>
          <w:szCs w:val="22"/>
          <w:lang w:val="fr-FR" w:eastAsia="en-US"/>
        </w:rPr>
      </w:pPr>
      <w:r w:rsidRPr="009070BD">
        <w:rPr>
          <w:rFonts w:cs="Times Armenian"/>
          <w:szCs w:val="22"/>
          <w:lang w:val="af-ZA" w:eastAsia="en-US"/>
        </w:rPr>
        <w:t xml:space="preserve">4. «Ներդրումների և արտահանման խթանման ծրագրի» </w:t>
      </w:r>
      <w:r w:rsidRPr="009070BD">
        <w:rPr>
          <w:b w:val="0"/>
          <w:szCs w:val="22"/>
          <w:lang w:val="fr-FR" w:eastAsia="en-US"/>
        </w:rPr>
        <w:t>շրջանակներում նախատես</w:t>
      </w:r>
      <w:r w:rsidRPr="009070BD">
        <w:rPr>
          <w:b w:val="0"/>
          <w:szCs w:val="22"/>
          <w:lang w:val="fr-FR" w:eastAsia="en-US"/>
        </w:rPr>
        <w:softHyphen/>
        <w:t>վում է.</w:t>
      </w:r>
    </w:p>
    <w:p w:rsidR="00B36A46" w:rsidRPr="009070BD" w:rsidRDefault="00B36A46" w:rsidP="007730AA">
      <w:pPr>
        <w:spacing w:before="0" w:line="276" w:lineRule="auto"/>
        <w:ind w:firstLine="720"/>
        <w:contextualSpacing w:val="0"/>
        <w:rPr>
          <w:rFonts w:cs="Sylfaen"/>
          <w:b w:val="0"/>
          <w:szCs w:val="22"/>
          <w:lang w:val="af-ZA" w:eastAsia="en-US"/>
        </w:rPr>
      </w:pPr>
      <w:r w:rsidRPr="009070BD">
        <w:rPr>
          <w:rFonts w:cs="Times Armenian"/>
          <w:szCs w:val="22"/>
          <w:lang w:val="af-ZA" w:eastAsia="en-US"/>
        </w:rPr>
        <w:t>4.1 «ՀՀ արտահանմանն ուղղված արդյունաբերական քաղաքականության ռազմավա</w:t>
      </w:r>
      <w:r w:rsidRPr="009070BD">
        <w:rPr>
          <w:rFonts w:cs="Times Armenian"/>
          <w:szCs w:val="22"/>
          <w:lang w:val="af-ZA" w:eastAsia="en-US"/>
        </w:rPr>
        <w:softHyphen/>
        <w:t>րությամբ նախատեսված միջոցառումները»</w:t>
      </w:r>
      <w:r w:rsidRPr="009070BD">
        <w:rPr>
          <w:rFonts w:cs="Times Armenian"/>
          <w:b w:val="0"/>
          <w:szCs w:val="22"/>
          <w:lang w:val="af-ZA" w:eastAsia="en-US"/>
        </w:rPr>
        <w:t xml:space="preserve">, որի համար </w:t>
      </w:r>
      <w:r w:rsidRPr="009070BD">
        <w:rPr>
          <w:rFonts w:cs="Sylfaen"/>
          <w:b w:val="0"/>
          <w:szCs w:val="22"/>
          <w:lang w:val="en-US" w:eastAsia="en-US"/>
        </w:rPr>
        <w:t>Նա</w:t>
      </w:r>
      <w:r w:rsidRPr="009070BD">
        <w:rPr>
          <w:b w:val="0"/>
          <w:szCs w:val="22"/>
          <w:lang w:val="en-US" w:eastAsia="en-US"/>
        </w:rPr>
        <w:t>խագծով</w:t>
      </w:r>
      <w:r w:rsidRPr="009070BD">
        <w:rPr>
          <w:rFonts w:cs="Sylfaen"/>
          <w:b w:val="0"/>
          <w:szCs w:val="22"/>
          <w:lang w:val="af-ZA" w:eastAsia="en-US"/>
        </w:rPr>
        <w:t xml:space="preserve"> նախատեսվում</w:t>
      </w:r>
      <w:r w:rsidRPr="009070BD">
        <w:rPr>
          <w:rFonts w:cs="Times Armenian"/>
          <w:b w:val="0"/>
          <w:szCs w:val="22"/>
          <w:lang w:val="af-ZA" w:eastAsia="en-US"/>
        </w:rPr>
        <w:t xml:space="preserve"> </w:t>
      </w:r>
      <w:r w:rsidRPr="009070BD">
        <w:rPr>
          <w:rFonts w:cs="Sylfaen"/>
          <w:b w:val="0"/>
          <w:szCs w:val="22"/>
          <w:lang w:val="af-ZA" w:eastAsia="en-US"/>
        </w:rPr>
        <w:t>է</w:t>
      </w:r>
      <w:r w:rsidRPr="009070BD">
        <w:rPr>
          <w:rFonts w:cs="Times Armenian"/>
          <w:b w:val="0"/>
          <w:szCs w:val="22"/>
          <w:lang w:val="af-ZA" w:eastAsia="en-US"/>
        </w:rPr>
        <w:t xml:space="preserve"> հատ</w:t>
      </w:r>
      <w:r w:rsidRPr="009070BD">
        <w:rPr>
          <w:rFonts w:cs="Times Armenian"/>
          <w:b w:val="0"/>
          <w:szCs w:val="22"/>
          <w:lang w:val="af-ZA" w:eastAsia="en-US"/>
        </w:rPr>
        <w:softHyphen/>
        <w:t>կացնել</w:t>
      </w:r>
      <w:r w:rsidRPr="009070BD">
        <w:rPr>
          <w:rFonts w:cs="Times Armenian"/>
          <w:b w:val="0"/>
          <w:bCs/>
          <w:szCs w:val="22"/>
          <w:lang w:val="fr-FR" w:eastAsia="en-US"/>
        </w:rPr>
        <w:t xml:space="preserve"> </w:t>
      </w:r>
      <w:r w:rsidRPr="009070BD">
        <w:rPr>
          <w:rFonts w:cs="Times Armenian"/>
          <w:b w:val="0"/>
          <w:bCs/>
          <w:szCs w:val="22"/>
          <w:lang w:val="af-ZA" w:eastAsia="en-US"/>
        </w:rPr>
        <w:t>528</w:t>
      </w:r>
      <w:r w:rsidRPr="009070BD">
        <w:rPr>
          <w:rFonts w:cs="Times Armenian"/>
          <w:b w:val="0"/>
          <w:bCs/>
          <w:szCs w:val="22"/>
          <w:lang w:val="hy-AM" w:eastAsia="en-US"/>
        </w:rPr>
        <w:t>.</w:t>
      </w:r>
      <w:r w:rsidRPr="009070BD">
        <w:rPr>
          <w:rFonts w:cs="Times Armenian"/>
          <w:b w:val="0"/>
          <w:bCs/>
          <w:szCs w:val="22"/>
          <w:lang w:val="af-ZA" w:eastAsia="en-US"/>
        </w:rPr>
        <w:t>0</w:t>
      </w:r>
      <w:r w:rsidRPr="009070BD">
        <w:rPr>
          <w:rFonts w:cs="Times Armenian"/>
          <w:b w:val="0"/>
          <w:bCs/>
          <w:szCs w:val="22"/>
          <w:lang w:val="fr-FR" w:eastAsia="en-US"/>
        </w:rPr>
        <w:t xml:space="preserve"> </w:t>
      </w:r>
      <w:r w:rsidRPr="009070BD">
        <w:rPr>
          <w:b w:val="0"/>
          <w:bCs/>
          <w:szCs w:val="22"/>
          <w:lang w:val="en-US" w:eastAsia="en-US"/>
        </w:rPr>
        <w:t>մլն</w:t>
      </w:r>
      <w:r w:rsidRPr="009070BD">
        <w:rPr>
          <w:rFonts w:cs="Times Armenian"/>
          <w:b w:val="0"/>
          <w:bCs/>
          <w:szCs w:val="22"/>
          <w:lang w:val="fr-FR" w:eastAsia="en-US"/>
        </w:rPr>
        <w:t xml:space="preserve"> </w:t>
      </w:r>
      <w:r w:rsidRPr="009070BD">
        <w:rPr>
          <w:b w:val="0"/>
          <w:bCs/>
          <w:szCs w:val="22"/>
          <w:lang w:val="en-US" w:eastAsia="en-US"/>
        </w:rPr>
        <w:t>դրամ</w:t>
      </w:r>
      <w:r w:rsidRPr="009070BD">
        <w:rPr>
          <w:b w:val="0"/>
          <w:bCs/>
          <w:szCs w:val="22"/>
          <w:lang w:val="fr-FR" w:eastAsia="en-US"/>
        </w:rPr>
        <w:t xml:space="preserve">` </w:t>
      </w:r>
      <w:r w:rsidRPr="009070BD">
        <w:rPr>
          <w:rFonts w:cs="Times Armenian"/>
          <w:b w:val="0"/>
          <w:szCs w:val="22"/>
          <w:lang w:val="af-ZA" w:eastAsia="en-US"/>
        </w:rPr>
        <w:t xml:space="preserve">ՀՀ 2020 թվականի պետական բյուջեով հաստատված </w:t>
      </w:r>
      <w:r w:rsidRPr="009070BD">
        <w:rPr>
          <w:rFonts w:cs="Times Armenian"/>
          <w:b w:val="0"/>
          <w:szCs w:val="22"/>
          <w:lang w:eastAsia="en-US"/>
        </w:rPr>
        <w:t>գումարի</w:t>
      </w:r>
      <w:r w:rsidRPr="009070BD">
        <w:rPr>
          <w:rFonts w:cs="Times Armenian"/>
          <w:b w:val="0"/>
          <w:szCs w:val="22"/>
          <w:lang w:val="fr-FR" w:eastAsia="en-US"/>
        </w:rPr>
        <w:t xml:space="preserve"> </w:t>
      </w:r>
      <w:r w:rsidRPr="009070BD">
        <w:rPr>
          <w:rFonts w:cs="Times Armenian"/>
          <w:b w:val="0"/>
          <w:szCs w:val="22"/>
          <w:lang w:eastAsia="en-US"/>
        </w:rPr>
        <w:t>չափով</w:t>
      </w:r>
      <w:r w:rsidRPr="009070BD">
        <w:rPr>
          <w:rFonts w:cs="Times Armenian"/>
          <w:b w:val="0"/>
          <w:szCs w:val="22"/>
          <w:lang w:val="af-ZA" w:eastAsia="en-US"/>
        </w:rPr>
        <w:t>:</w:t>
      </w:r>
      <w:r w:rsidRPr="009070BD">
        <w:rPr>
          <w:rFonts w:cs="Sylfaen"/>
          <w:b w:val="0"/>
          <w:szCs w:val="22"/>
          <w:lang w:val="af-ZA" w:eastAsia="en-US"/>
        </w:rPr>
        <w:t xml:space="preserve"> </w:t>
      </w:r>
    </w:p>
    <w:p w:rsidR="00B36A46" w:rsidRPr="009070BD" w:rsidRDefault="00B36A46" w:rsidP="007730AA">
      <w:pPr>
        <w:spacing w:before="0" w:line="276" w:lineRule="auto"/>
        <w:ind w:firstLine="720"/>
        <w:contextualSpacing w:val="0"/>
        <w:rPr>
          <w:b w:val="0"/>
          <w:szCs w:val="22"/>
          <w:lang w:val="af-ZA" w:eastAsia="en-US"/>
        </w:rPr>
      </w:pPr>
      <w:r w:rsidRPr="009070BD">
        <w:rPr>
          <w:b w:val="0"/>
          <w:szCs w:val="22"/>
          <w:lang w:val="af-ZA" w:eastAsia="en-US"/>
        </w:rPr>
        <w:t>Ծրագրի շրջանակներում</w:t>
      </w:r>
      <w:r w:rsidRPr="009070BD">
        <w:rPr>
          <w:rFonts w:cs="Times Armenian"/>
          <w:b w:val="0"/>
          <w:szCs w:val="22"/>
          <w:lang w:val="af-ZA" w:eastAsia="en-US"/>
        </w:rPr>
        <w:t xml:space="preserve"> </w:t>
      </w:r>
      <w:r w:rsidRPr="009070BD">
        <w:rPr>
          <w:b w:val="0"/>
          <w:szCs w:val="22"/>
          <w:lang w:val="af-ZA" w:eastAsia="en-US"/>
        </w:rPr>
        <w:t>նախատեսվում</w:t>
      </w:r>
      <w:r w:rsidRPr="009070BD">
        <w:rPr>
          <w:rFonts w:cs="Times Armenian"/>
          <w:b w:val="0"/>
          <w:szCs w:val="22"/>
          <w:lang w:val="af-ZA" w:eastAsia="en-US"/>
        </w:rPr>
        <w:t xml:space="preserve"> </w:t>
      </w:r>
      <w:r w:rsidRPr="009070BD">
        <w:rPr>
          <w:b w:val="0"/>
          <w:szCs w:val="22"/>
          <w:lang w:val="af-ZA" w:eastAsia="en-US"/>
        </w:rPr>
        <w:t>են</w:t>
      </w:r>
      <w:r w:rsidRPr="009070BD">
        <w:rPr>
          <w:rFonts w:cs="Times Armenian"/>
          <w:b w:val="0"/>
          <w:szCs w:val="22"/>
          <w:lang w:val="af-ZA" w:eastAsia="en-US"/>
        </w:rPr>
        <w:t xml:space="preserve"> </w:t>
      </w:r>
      <w:r w:rsidRPr="009070BD">
        <w:rPr>
          <w:b w:val="0"/>
          <w:szCs w:val="22"/>
          <w:lang w:val="af-ZA" w:eastAsia="en-US"/>
        </w:rPr>
        <w:t>իրականացնել</w:t>
      </w:r>
      <w:r w:rsidRPr="009070BD">
        <w:rPr>
          <w:rFonts w:cs="Times Armenian"/>
          <w:b w:val="0"/>
          <w:szCs w:val="22"/>
          <w:lang w:val="af-ZA" w:eastAsia="en-US"/>
        </w:rPr>
        <w:t xml:space="preserve"> </w:t>
      </w:r>
      <w:r w:rsidRPr="009070BD">
        <w:rPr>
          <w:b w:val="0"/>
          <w:szCs w:val="22"/>
          <w:lang w:val="af-ZA" w:eastAsia="en-US"/>
        </w:rPr>
        <w:t xml:space="preserve">հետևյալ </w:t>
      </w:r>
      <w:r w:rsidRPr="009070BD">
        <w:rPr>
          <w:b w:val="0"/>
          <w:szCs w:val="22"/>
          <w:lang w:eastAsia="en-US"/>
        </w:rPr>
        <w:t>ենթա</w:t>
      </w:r>
      <w:r w:rsidRPr="009070BD">
        <w:rPr>
          <w:b w:val="0"/>
          <w:szCs w:val="22"/>
          <w:lang w:val="af-ZA" w:eastAsia="en-US"/>
        </w:rPr>
        <w:t>միջոցա</w:t>
      </w:r>
      <w:r w:rsidRPr="009070BD">
        <w:rPr>
          <w:b w:val="0"/>
          <w:szCs w:val="22"/>
          <w:lang w:val="af-ZA" w:eastAsia="en-US"/>
        </w:rPr>
        <w:softHyphen/>
        <w:t>ռումները.</w:t>
      </w:r>
    </w:p>
    <w:p w:rsidR="00B36A46" w:rsidRPr="009070BD" w:rsidRDefault="00B36A46" w:rsidP="007730AA">
      <w:pPr>
        <w:spacing w:before="0" w:line="276" w:lineRule="auto"/>
        <w:ind w:firstLine="720"/>
        <w:contextualSpacing w:val="0"/>
        <w:rPr>
          <w:rFonts w:cs="Sylfaen"/>
          <w:b w:val="0"/>
          <w:bCs/>
          <w:szCs w:val="22"/>
          <w:lang w:val="fr-FR" w:eastAsia="en-US"/>
        </w:rPr>
      </w:pPr>
      <w:r w:rsidRPr="009070BD">
        <w:rPr>
          <w:rFonts w:cs="Times Armenian"/>
          <w:b w:val="0"/>
          <w:szCs w:val="22"/>
          <w:lang w:eastAsia="en-US"/>
        </w:rPr>
        <w:t>ա</w:t>
      </w:r>
      <w:r w:rsidRPr="009070BD">
        <w:rPr>
          <w:rFonts w:cs="Times Armenian"/>
          <w:b w:val="0"/>
          <w:szCs w:val="22"/>
          <w:lang w:val="af-ZA" w:eastAsia="en-US"/>
        </w:rPr>
        <w:t>) «Գործարար համաժողովներին (ֆորումների), ինչպես նաև այլ համանման միջոցա</w:t>
      </w:r>
      <w:r w:rsidRPr="009070BD">
        <w:rPr>
          <w:rFonts w:cs="Times Armenian"/>
          <w:b w:val="0"/>
          <w:szCs w:val="22"/>
          <w:lang w:val="af-ZA" w:eastAsia="en-US"/>
        </w:rPr>
        <w:softHyphen/>
        <w:t>ռումներին մասնակցություն և (կամ) կազմակերպում»,</w:t>
      </w:r>
    </w:p>
    <w:p w:rsidR="00B36A46" w:rsidRPr="009070BD" w:rsidRDefault="00B36A46" w:rsidP="007730AA">
      <w:pPr>
        <w:spacing w:before="0" w:line="276" w:lineRule="auto"/>
        <w:ind w:firstLine="720"/>
        <w:contextualSpacing w:val="0"/>
        <w:rPr>
          <w:rFonts w:cs="Times Armenian"/>
          <w:b w:val="0"/>
          <w:szCs w:val="22"/>
          <w:lang w:val="af-ZA" w:eastAsia="en-US"/>
        </w:rPr>
      </w:pPr>
      <w:r w:rsidRPr="009070BD">
        <w:rPr>
          <w:rFonts w:cs="Times Armenian"/>
          <w:b w:val="0"/>
          <w:szCs w:val="22"/>
          <w:lang w:eastAsia="en-US"/>
        </w:rPr>
        <w:t>բ</w:t>
      </w:r>
      <w:r w:rsidRPr="009070BD">
        <w:rPr>
          <w:rFonts w:cs="Times Armenian"/>
          <w:b w:val="0"/>
          <w:szCs w:val="22"/>
          <w:lang w:val="af-ZA" w:eastAsia="en-US"/>
        </w:rPr>
        <w:t>) «</w:t>
      </w:r>
      <w:r w:rsidRPr="009070BD">
        <w:rPr>
          <w:rFonts w:cs="Times Armenian"/>
          <w:b w:val="0"/>
          <w:szCs w:val="22"/>
          <w:lang w:eastAsia="en-US"/>
        </w:rPr>
        <w:t>Մշակող</w:t>
      </w:r>
      <w:r w:rsidRPr="009070BD">
        <w:rPr>
          <w:rFonts w:cs="Times Armenian"/>
          <w:b w:val="0"/>
          <w:szCs w:val="22"/>
          <w:lang w:val="fr-FR" w:eastAsia="en-US"/>
        </w:rPr>
        <w:t xml:space="preserve"> </w:t>
      </w:r>
      <w:r w:rsidRPr="009070BD">
        <w:rPr>
          <w:rFonts w:cs="Times Armenian"/>
          <w:b w:val="0"/>
          <w:szCs w:val="22"/>
          <w:lang w:eastAsia="en-US"/>
        </w:rPr>
        <w:t>արդյունաբերության</w:t>
      </w:r>
      <w:r w:rsidRPr="009070BD">
        <w:rPr>
          <w:rFonts w:cs="Times Armenian"/>
          <w:b w:val="0"/>
          <w:szCs w:val="22"/>
          <w:lang w:val="fr-FR" w:eastAsia="en-US"/>
        </w:rPr>
        <w:t xml:space="preserve"> </w:t>
      </w:r>
      <w:r w:rsidRPr="009070BD">
        <w:rPr>
          <w:rFonts w:cs="Times Armenian"/>
          <w:b w:val="0"/>
          <w:szCs w:val="22"/>
          <w:lang w:eastAsia="en-US"/>
        </w:rPr>
        <w:t>ոլորտների</w:t>
      </w:r>
      <w:r w:rsidRPr="009070BD">
        <w:rPr>
          <w:rFonts w:cs="Times Armenian"/>
          <w:b w:val="0"/>
          <w:szCs w:val="22"/>
          <w:lang w:val="fr-FR" w:eastAsia="en-US"/>
        </w:rPr>
        <w:t xml:space="preserve"> </w:t>
      </w:r>
      <w:r w:rsidRPr="009070BD">
        <w:rPr>
          <w:rFonts w:cs="Times Armenian"/>
          <w:b w:val="0"/>
          <w:szCs w:val="22"/>
          <w:lang w:eastAsia="en-US"/>
        </w:rPr>
        <w:t>ընկերություններին</w:t>
      </w:r>
      <w:r w:rsidRPr="009070BD">
        <w:rPr>
          <w:rFonts w:cs="Times Armenian"/>
          <w:b w:val="0"/>
          <w:szCs w:val="22"/>
          <w:lang w:val="fr-FR" w:eastAsia="en-US"/>
        </w:rPr>
        <w:t xml:space="preserve"> </w:t>
      </w:r>
      <w:r w:rsidRPr="009070BD">
        <w:rPr>
          <w:rFonts w:cs="Times Armenian"/>
          <w:b w:val="0"/>
          <w:szCs w:val="22"/>
          <w:lang w:eastAsia="en-US"/>
        </w:rPr>
        <w:t>օժանդակության</w:t>
      </w:r>
      <w:r w:rsidRPr="009070BD">
        <w:rPr>
          <w:rFonts w:cs="Times Armenian"/>
          <w:b w:val="0"/>
          <w:szCs w:val="22"/>
          <w:lang w:val="fr-FR" w:eastAsia="en-US"/>
        </w:rPr>
        <w:t xml:space="preserve"> </w:t>
      </w:r>
      <w:r w:rsidRPr="009070BD">
        <w:rPr>
          <w:rFonts w:cs="Times Armenian"/>
          <w:b w:val="0"/>
          <w:szCs w:val="22"/>
          <w:lang w:eastAsia="en-US"/>
        </w:rPr>
        <w:t>ցուցաբերում՝</w:t>
      </w:r>
      <w:r w:rsidRPr="009070BD">
        <w:rPr>
          <w:rFonts w:cs="Times Armenian"/>
          <w:b w:val="0"/>
          <w:szCs w:val="22"/>
          <w:lang w:val="fr-FR" w:eastAsia="en-US"/>
        </w:rPr>
        <w:t xml:space="preserve"> </w:t>
      </w:r>
      <w:r w:rsidRPr="009070BD">
        <w:rPr>
          <w:rFonts w:cs="Times Armenian"/>
          <w:b w:val="0"/>
          <w:szCs w:val="22"/>
          <w:lang w:eastAsia="en-US"/>
        </w:rPr>
        <w:t>ֆինանսական</w:t>
      </w:r>
      <w:r w:rsidRPr="009070BD">
        <w:rPr>
          <w:rFonts w:cs="Times Armenian"/>
          <w:b w:val="0"/>
          <w:szCs w:val="22"/>
          <w:lang w:val="fr-FR" w:eastAsia="en-US"/>
        </w:rPr>
        <w:t xml:space="preserve"> </w:t>
      </w:r>
      <w:r w:rsidRPr="009070BD">
        <w:rPr>
          <w:rFonts w:cs="Times Armenian"/>
          <w:b w:val="0"/>
          <w:szCs w:val="22"/>
          <w:lang w:eastAsia="en-US"/>
        </w:rPr>
        <w:t>գործիքների</w:t>
      </w:r>
      <w:r w:rsidRPr="009070BD">
        <w:rPr>
          <w:rFonts w:cs="Times Armenian"/>
          <w:b w:val="0"/>
          <w:szCs w:val="22"/>
          <w:lang w:val="fr-FR" w:eastAsia="en-US"/>
        </w:rPr>
        <w:t xml:space="preserve"> </w:t>
      </w:r>
      <w:r w:rsidRPr="009070BD">
        <w:rPr>
          <w:rFonts w:cs="Times Armenian"/>
          <w:b w:val="0"/>
          <w:szCs w:val="22"/>
          <w:lang w:eastAsia="en-US"/>
        </w:rPr>
        <w:t>կիրառմամբ</w:t>
      </w:r>
      <w:r w:rsidRPr="009070BD">
        <w:rPr>
          <w:rFonts w:cs="Times Armenian"/>
          <w:b w:val="0"/>
          <w:szCs w:val="22"/>
          <w:lang w:val="af-ZA" w:eastAsia="en-US"/>
        </w:rPr>
        <w:t>»,</w:t>
      </w:r>
    </w:p>
    <w:p w:rsidR="00B36A46" w:rsidRPr="009070BD" w:rsidRDefault="00B36A46" w:rsidP="007730AA">
      <w:pPr>
        <w:spacing w:before="0" w:line="276" w:lineRule="auto"/>
        <w:ind w:firstLine="720"/>
        <w:contextualSpacing w:val="0"/>
        <w:rPr>
          <w:rFonts w:cs="Times Armenian"/>
          <w:b w:val="0"/>
          <w:bCs/>
          <w:szCs w:val="22"/>
          <w:lang w:val="fr-FR" w:eastAsia="en-US"/>
        </w:rPr>
      </w:pPr>
      <w:r w:rsidRPr="009070BD">
        <w:rPr>
          <w:rFonts w:cs="Times Armenian"/>
          <w:b w:val="0"/>
          <w:szCs w:val="22"/>
          <w:lang w:eastAsia="en-US"/>
        </w:rPr>
        <w:t>գ</w:t>
      </w:r>
      <w:r w:rsidRPr="009070BD">
        <w:rPr>
          <w:rFonts w:cs="Times Armenian"/>
          <w:b w:val="0"/>
          <w:szCs w:val="22"/>
          <w:lang w:val="af-ZA" w:eastAsia="en-US"/>
        </w:rPr>
        <w:t xml:space="preserve">) </w:t>
      </w:r>
      <w:r w:rsidRPr="009070BD">
        <w:rPr>
          <w:rFonts w:cs="Times Armenian"/>
          <w:b w:val="0"/>
          <w:bCs/>
          <w:szCs w:val="22"/>
          <w:lang w:val="fr-FR" w:eastAsia="en-US"/>
        </w:rPr>
        <w:t>«Հայկական ապրանքների՝ նպատակային շուկաներում առաջմղում, հայկական ապրանք</w:t>
      </w:r>
      <w:r w:rsidRPr="009070BD">
        <w:rPr>
          <w:rFonts w:cs="Times Armenian"/>
          <w:b w:val="0"/>
          <w:bCs/>
          <w:szCs w:val="22"/>
          <w:lang w:val="fr-FR" w:eastAsia="en-US"/>
        </w:rPr>
        <w:softHyphen/>
        <w:t>ների ներկայացում, շուկայական տեղեկատվության ապահովում»,</w:t>
      </w:r>
    </w:p>
    <w:p w:rsidR="00B36A46" w:rsidRPr="009070BD" w:rsidRDefault="00B36A46" w:rsidP="007730AA">
      <w:pPr>
        <w:spacing w:before="0" w:line="276" w:lineRule="auto"/>
        <w:ind w:firstLine="720"/>
        <w:contextualSpacing w:val="0"/>
        <w:rPr>
          <w:rFonts w:cs="Times Armenian"/>
          <w:b w:val="0"/>
          <w:bCs/>
          <w:szCs w:val="22"/>
          <w:lang w:val="fr-FR" w:eastAsia="en-US"/>
        </w:rPr>
      </w:pPr>
      <w:r w:rsidRPr="009070BD">
        <w:rPr>
          <w:rFonts w:cs="Times Armenian"/>
          <w:b w:val="0"/>
          <w:bCs/>
          <w:szCs w:val="22"/>
          <w:lang w:eastAsia="en-US"/>
        </w:rPr>
        <w:t>դ</w:t>
      </w:r>
      <w:r w:rsidRPr="009070BD">
        <w:rPr>
          <w:rFonts w:cs="Times Armenian"/>
          <w:b w:val="0"/>
          <w:bCs/>
          <w:szCs w:val="22"/>
          <w:lang w:val="fr-FR" w:eastAsia="en-US"/>
        </w:rPr>
        <w:t>) «Ուսումնական դասընթացների մշակման, կազմակերպման և իրականացման ֆինանսավորում»:</w:t>
      </w:r>
    </w:p>
    <w:p w:rsidR="00B36A46" w:rsidRPr="009070BD" w:rsidRDefault="00B36A46" w:rsidP="007730AA">
      <w:pPr>
        <w:spacing w:before="0" w:line="276" w:lineRule="auto"/>
        <w:ind w:firstLine="720"/>
        <w:contextualSpacing w:val="0"/>
        <w:rPr>
          <w:b w:val="0"/>
          <w:szCs w:val="22"/>
          <w:lang w:val="fr-FR" w:eastAsia="en-US"/>
        </w:rPr>
      </w:pPr>
      <w:r w:rsidRPr="009070BD">
        <w:rPr>
          <w:b w:val="0"/>
          <w:szCs w:val="22"/>
          <w:lang w:val="en-US" w:eastAsia="en-US"/>
        </w:rPr>
        <w:t>Ծրագրի</w:t>
      </w:r>
      <w:r w:rsidRPr="009070BD">
        <w:rPr>
          <w:b w:val="0"/>
          <w:szCs w:val="22"/>
          <w:lang w:val="fr-FR" w:eastAsia="en-US"/>
        </w:rPr>
        <w:t xml:space="preserve"> </w:t>
      </w:r>
      <w:r w:rsidRPr="009070BD">
        <w:rPr>
          <w:b w:val="0"/>
          <w:szCs w:val="22"/>
          <w:lang w:val="en-US" w:eastAsia="en-US"/>
        </w:rPr>
        <w:t>հիմնական</w:t>
      </w:r>
      <w:r w:rsidRPr="009070BD">
        <w:rPr>
          <w:b w:val="0"/>
          <w:szCs w:val="22"/>
          <w:lang w:val="fr-FR" w:eastAsia="en-US"/>
        </w:rPr>
        <w:t xml:space="preserve"> </w:t>
      </w:r>
      <w:r w:rsidRPr="009070BD">
        <w:rPr>
          <w:b w:val="0"/>
          <w:szCs w:val="22"/>
          <w:lang w:val="en-US" w:eastAsia="en-US"/>
        </w:rPr>
        <w:t>նպատակն</w:t>
      </w:r>
      <w:r w:rsidRPr="009070BD">
        <w:rPr>
          <w:b w:val="0"/>
          <w:szCs w:val="22"/>
          <w:lang w:val="fr-FR" w:eastAsia="en-US"/>
        </w:rPr>
        <w:t xml:space="preserve"> </w:t>
      </w:r>
      <w:r w:rsidRPr="009070BD">
        <w:rPr>
          <w:b w:val="0"/>
          <w:szCs w:val="22"/>
          <w:lang w:val="en-US" w:eastAsia="en-US"/>
        </w:rPr>
        <w:t>է</w:t>
      </w:r>
      <w:r w:rsidRPr="009070BD">
        <w:rPr>
          <w:b w:val="0"/>
          <w:szCs w:val="22"/>
          <w:lang w:val="fr-FR" w:eastAsia="en-US"/>
        </w:rPr>
        <w:t xml:space="preserve"> </w:t>
      </w:r>
      <w:r w:rsidRPr="009070BD">
        <w:rPr>
          <w:b w:val="0"/>
          <w:szCs w:val="22"/>
          <w:lang w:val="en-US" w:eastAsia="en-US"/>
        </w:rPr>
        <w:t>ՀՀ</w:t>
      </w:r>
      <w:r w:rsidRPr="009070BD">
        <w:rPr>
          <w:b w:val="0"/>
          <w:szCs w:val="22"/>
          <w:lang w:val="fr-FR" w:eastAsia="en-US"/>
        </w:rPr>
        <w:t xml:space="preserve"> </w:t>
      </w:r>
      <w:r w:rsidRPr="009070BD">
        <w:rPr>
          <w:b w:val="0"/>
          <w:szCs w:val="22"/>
          <w:lang w:val="en-US" w:eastAsia="en-US"/>
        </w:rPr>
        <w:t>կառավարության</w:t>
      </w:r>
      <w:r w:rsidRPr="009070BD">
        <w:rPr>
          <w:b w:val="0"/>
          <w:szCs w:val="22"/>
          <w:lang w:val="fr-FR" w:eastAsia="en-US"/>
        </w:rPr>
        <w:t xml:space="preserve"> </w:t>
      </w:r>
      <w:r w:rsidRPr="009070BD">
        <w:rPr>
          <w:b w:val="0"/>
          <w:szCs w:val="22"/>
          <w:lang w:val="en-US" w:eastAsia="en-US"/>
        </w:rPr>
        <w:t>կողմից</w:t>
      </w:r>
      <w:r w:rsidRPr="009070BD">
        <w:rPr>
          <w:b w:val="0"/>
          <w:szCs w:val="22"/>
          <w:lang w:val="fr-FR" w:eastAsia="en-US"/>
        </w:rPr>
        <w:t xml:space="preserve"> </w:t>
      </w:r>
      <w:r w:rsidRPr="009070BD">
        <w:rPr>
          <w:b w:val="0"/>
          <w:szCs w:val="22"/>
          <w:lang w:val="en-US" w:eastAsia="en-US"/>
        </w:rPr>
        <w:t>հաստատված</w:t>
      </w:r>
      <w:r w:rsidRPr="009070BD">
        <w:rPr>
          <w:b w:val="0"/>
          <w:szCs w:val="22"/>
          <w:lang w:val="fr-FR" w:eastAsia="en-US"/>
        </w:rPr>
        <w:t xml:space="preserve"> </w:t>
      </w:r>
      <w:r w:rsidRPr="009070BD">
        <w:rPr>
          <w:b w:val="0"/>
          <w:szCs w:val="22"/>
          <w:lang w:val="en-US" w:eastAsia="en-US"/>
        </w:rPr>
        <w:t>ՀՀ</w:t>
      </w:r>
      <w:r w:rsidRPr="009070BD">
        <w:rPr>
          <w:b w:val="0"/>
          <w:szCs w:val="22"/>
          <w:lang w:val="fr-FR" w:eastAsia="en-US"/>
        </w:rPr>
        <w:t xml:space="preserve"> </w:t>
      </w:r>
      <w:r w:rsidRPr="009070BD">
        <w:rPr>
          <w:b w:val="0"/>
          <w:szCs w:val="22"/>
          <w:lang w:val="en-US" w:eastAsia="en-US"/>
        </w:rPr>
        <w:t>արտա</w:t>
      </w:r>
      <w:r w:rsidRPr="009070BD">
        <w:rPr>
          <w:b w:val="0"/>
          <w:szCs w:val="22"/>
          <w:lang w:val="fr-FR" w:eastAsia="en-US"/>
        </w:rPr>
        <w:softHyphen/>
      </w:r>
      <w:r w:rsidRPr="009070BD">
        <w:rPr>
          <w:b w:val="0"/>
          <w:szCs w:val="22"/>
          <w:lang w:val="en-US" w:eastAsia="en-US"/>
        </w:rPr>
        <w:t>հանմանն</w:t>
      </w:r>
      <w:r w:rsidRPr="009070BD">
        <w:rPr>
          <w:b w:val="0"/>
          <w:szCs w:val="22"/>
          <w:lang w:val="fr-FR" w:eastAsia="en-US"/>
        </w:rPr>
        <w:t xml:space="preserve"> </w:t>
      </w:r>
      <w:r w:rsidRPr="009070BD">
        <w:rPr>
          <w:b w:val="0"/>
          <w:szCs w:val="22"/>
          <w:lang w:val="en-US" w:eastAsia="en-US"/>
        </w:rPr>
        <w:t>ուղղված</w:t>
      </w:r>
      <w:r w:rsidRPr="009070BD">
        <w:rPr>
          <w:b w:val="0"/>
          <w:szCs w:val="22"/>
          <w:lang w:val="fr-FR" w:eastAsia="en-US"/>
        </w:rPr>
        <w:t xml:space="preserve"> </w:t>
      </w:r>
      <w:r w:rsidRPr="009070BD">
        <w:rPr>
          <w:b w:val="0"/>
          <w:szCs w:val="22"/>
          <w:lang w:val="en-US" w:eastAsia="en-US"/>
        </w:rPr>
        <w:t>արդյունաբերական</w:t>
      </w:r>
      <w:r w:rsidRPr="009070BD">
        <w:rPr>
          <w:b w:val="0"/>
          <w:szCs w:val="22"/>
          <w:lang w:val="fr-FR" w:eastAsia="en-US"/>
        </w:rPr>
        <w:t xml:space="preserve"> </w:t>
      </w:r>
      <w:r w:rsidRPr="009070BD">
        <w:rPr>
          <w:b w:val="0"/>
          <w:szCs w:val="22"/>
          <w:lang w:val="en-US" w:eastAsia="en-US"/>
        </w:rPr>
        <w:t>քաղաքականության</w:t>
      </w:r>
      <w:r w:rsidRPr="009070BD">
        <w:rPr>
          <w:b w:val="0"/>
          <w:szCs w:val="22"/>
          <w:lang w:val="fr-FR" w:eastAsia="en-US"/>
        </w:rPr>
        <w:t xml:space="preserve"> </w:t>
      </w:r>
      <w:r w:rsidRPr="009070BD">
        <w:rPr>
          <w:b w:val="0"/>
          <w:szCs w:val="22"/>
          <w:lang w:val="en-US" w:eastAsia="en-US"/>
        </w:rPr>
        <w:t>ռազմավարությամբ</w:t>
      </w:r>
      <w:r w:rsidRPr="009070BD">
        <w:rPr>
          <w:b w:val="0"/>
          <w:szCs w:val="22"/>
          <w:lang w:val="fr-FR" w:eastAsia="en-US"/>
        </w:rPr>
        <w:t xml:space="preserve"> </w:t>
      </w:r>
      <w:r w:rsidRPr="009070BD">
        <w:rPr>
          <w:b w:val="0"/>
          <w:szCs w:val="22"/>
          <w:lang w:val="en-US" w:eastAsia="en-US"/>
        </w:rPr>
        <w:t>սահմանված</w:t>
      </w:r>
      <w:r w:rsidRPr="009070BD">
        <w:rPr>
          <w:b w:val="0"/>
          <w:szCs w:val="22"/>
          <w:lang w:val="fr-FR" w:eastAsia="en-US"/>
        </w:rPr>
        <w:t xml:space="preserve"> </w:t>
      </w:r>
      <w:r w:rsidRPr="009070BD">
        <w:rPr>
          <w:b w:val="0"/>
          <w:szCs w:val="22"/>
          <w:lang w:val="en-US" w:eastAsia="en-US"/>
        </w:rPr>
        <w:t>երկարաժամկետ</w:t>
      </w:r>
      <w:r w:rsidRPr="009070BD">
        <w:rPr>
          <w:b w:val="0"/>
          <w:szCs w:val="22"/>
          <w:lang w:val="fr-FR" w:eastAsia="en-US"/>
        </w:rPr>
        <w:t xml:space="preserve"> </w:t>
      </w:r>
      <w:r w:rsidRPr="009070BD">
        <w:rPr>
          <w:b w:val="0"/>
          <w:szCs w:val="22"/>
          <w:lang w:val="en-US" w:eastAsia="en-US"/>
        </w:rPr>
        <w:t>հեռանկարում</w:t>
      </w:r>
      <w:r w:rsidRPr="009070BD">
        <w:rPr>
          <w:b w:val="0"/>
          <w:szCs w:val="22"/>
          <w:lang w:val="fr-FR" w:eastAsia="en-US"/>
        </w:rPr>
        <w:t xml:space="preserve"> </w:t>
      </w:r>
      <w:r w:rsidRPr="009070BD">
        <w:rPr>
          <w:b w:val="0"/>
          <w:szCs w:val="22"/>
          <w:lang w:val="en-US" w:eastAsia="en-US"/>
        </w:rPr>
        <w:t>նպաստել</w:t>
      </w:r>
      <w:r w:rsidRPr="009070BD">
        <w:rPr>
          <w:b w:val="0"/>
          <w:szCs w:val="22"/>
          <w:lang w:val="fr-FR" w:eastAsia="en-US"/>
        </w:rPr>
        <w:t xml:space="preserve"> </w:t>
      </w:r>
      <w:r w:rsidRPr="009070BD">
        <w:rPr>
          <w:b w:val="0"/>
          <w:szCs w:val="22"/>
          <w:lang w:val="en-US" w:eastAsia="en-US"/>
        </w:rPr>
        <w:t>վերամշակող</w:t>
      </w:r>
      <w:r w:rsidRPr="009070BD">
        <w:rPr>
          <w:b w:val="0"/>
          <w:szCs w:val="22"/>
          <w:lang w:val="fr-FR" w:eastAsia="en-US"/>
        </w:rPr>
        <w:t xml:space="preserve"> </w:t>
      </w:r>
      <w:r w:rsidRPr="009070BD">
        <w:rPr>
          <w:b w:val="0"/>
          <w:szCs w:val="22"/>
          <w:lang w:val="en-US" w:eastAsia="en-US"/>
        </w:rPr>
        <w:t>արդյունաբերության</w:t>
      </w:r>
      <w:r w:rsidRPr="009070BD">
        <w:rPr>
          <w:b w:val="0"/>
          <w:szCs w:val="22"/>
          <w:lang w:val="fr-FR" w:eastAsia="en-US"/>
        </w:rPr>
        <w:t xml:space="preserve"> </w:t>
      </w:r>
      <w:r w:rsidRPr="009070BD">
        <w:rPr>
          <w:b w:val="0"/>
          <w:szCs w:val="22"/>
          <w:lang w:val="en-US" w:eastAsia="en-US"/>
        </w:rPr>
        <w:t>ճյուղերի</w:t>
      </w:r>
      <w:r w:rsidRPr="009070BD">
        <w:rPr>
          <w:b w:val="0"/>
          <w:szCs w:val="22"/>
          <w:lang w:val="fr-FR" w:eastAsia="en-US"/>
        </w:rPr>
        <w:t xml:space="preserve"> </w:t>
      </w:r>
      <w:r w:rsidRPr="009070BD">
        <w:rPr>
          <w:b w:val="0"/>
          <w:szCs w:val="22"/>
          <w:lang w:val="en-US" w:eastAsia="en-US"/>
        </w:rPr>
        <w:t>և</w:t>
      </w:r>
      <w:r w:rsidRPr="009070BD">
        <w:rPr>
          <w:b w:val="0"/>
          <w:szCs w:val="22"/>
          <w:lang w:val="fr-FR" w:eastAsia="en-US"/>
        </w:rPr>
        <w:t xml:space="preserve"> </w:t>
      </w:r>
      <w:r w:rsidRPr="009070BD">
        <w:rPr>
          <w:b w:val="0"/>
          <w:szCs w:val="22"/>
          <w:lang w:val="en-US" w:eastAsia="en-US"/>
        </w:rPr>
        <w:t>համալիրների</w:t>
      </w:r>
      <w:r w:rsidRPr="009070BD">
        <w:rPr>
          <w:b w:val="0"/>
          <w:szCs w:val="22"/>
          <w:lang w:val="fr-FR" w:eastAsia="en-US"/>
        </w:rPr>
        <w:t xml:space="preserve"> </w:t>
      </w:r>
      <w:r w:rsidRPr="009070BD">
        <w:rPr>
          <w:b w:val="0"/>
          <w:szCs w:val="22"/>
          <w:lang w:val="en-US" w:eastAsia="en-US"/>
        </w:rPr>
        <w:t>զարգացմանը</w:t>
      </w:r>
      <w:r w:rsidRPr="009070BD">
        <w:rPr>
          <w:b w:val="0"/>
          <w:szCs w:val="22"/>
          <w:lang w:val="fr-FR" w:eastAsia="en-US"/>
        </w:rPr>
        <w:t xml:space="preserve">, </w:t>
      </w:r>
      <w:r w:rsidRPr="009070BD">
        <w:rPr>
          <w:b w:val="0"/>
          <w:szCs w:val="22"/>
          <w:lang w:val="en-US" w:eastAsia="en-US"/>
        </w:rPr>
        <w:t>արտահանման</w:t>
      </w:r>
      <w:r w:rsidRPr="009070BD">
        <w:rPr>
          <w:b w:val="0"/>
          <w:szCs w:val="22"/>
          <w:lang w:val="fr-FR" w:eastAsia="en-US"/>
        </w:rPr>
        <w:t xml:space="preserve"> </w:t>
      </w:r>
      <w:r w:rsidRPr="009070BD">
        <w:rPr>
          <w:b w:val="0"/>
          <w:szCs w:val="22"/>
          <w:lang w:val="en-US" w:eastAsia="en-US"/>
        </w:rPr>
        <w:t>զարգացման</w:t>
      </w:r>
      <w:r w:rsidRPr="009070BD">
        <w:rPr>
          <w:b w:val="0"/>
          <w:szCs w:val="22"/>
          <w:lang w:val="fr-FR" w:eastAsia="en-US"/>
        </w:rPr>
        <w:t xml:space="preserve"> </w:t>
      </w:r>
      <w:r w:rsidRPr="009070BD">
        <w:rPr>
          <w:b w:val="0"/>
          <w:szCs w:val="22"/>
          <w:lang w:val="en-US" w:eastAsia="en-US"/>
        </w:rPr>
        <w:t>ներուժ</w:t>
      </w:r>
      <w:r w:rsidRPr="009070BD">
        <w:rPr>
          <w:b w:val="0"/>
          <w:szCs w:val="22"/>
          <w:lang w:val="fr-FR" w:eastAsia="en-US"/>
        </w:rPr>
        <w:t xml:space="preserve"> </w:t>
      </w:r>
      <w:r w:rsidRPr="009070BD">
        <w:rPr>
          <w:b w:val="0"/>
          <w:szCs w:val="22"/>
          <w:lang w:val="en-US" w:eastAsia="en-US"/>
        </w:rPr>
        <w:t>ունեցող</w:t>
      </w:r>
      <w:r w:rsidRPr="009070BD">
        <w:rPr>
          <w:b w:val="0"/>
          <w:szCs w:val="22"/>
          <w:lang w:val="fr-FR" w:eastAsia="en-US"/>
        </w:rPr>
        <w:t xml:space="preserve"> </w:t>
      </w:r>
      <w:r w:rsidRPr="009070BD">
        <w:rPr>
          <w:b w:val="0"/>
          <w:szCs w:val="22"/>
          <w:lang w:val="en-US" w:eastAsia="en-US"/>
        </w:rPr>
        <w:t>ոլորտների</w:t>
      </w:r>
      <w:r w:rsidRPr="009070BD">
        <w:rPr>
          <w:b w:val="0"/>
          <w:szCs w:val="22"/>
          <w:lang w:val="fr-FR" w:eastAsia="en-US"/>
        </w:rPr>
        <w:t xml:space="preserve"> </w:t>
      </w:r>
      <w:r w:rsidRPr="009070BD">
        <w:rPr>
          <w:b w:val="0"/>
          <w:szCs w:val="22"/>
          <w:lang w:val="en-US" w:eastAsia="en-US"/>
        </w:rPr>
        <w:t>հավասարակշռված</w:t>
      </w:r>
      <w:r w:rsidRPr="009070BD">
        <w:rPr>
          <w:b w:val="0"/>
          <w:szCs w:val="22"/>
          <w:lang w:val="fr-FR" w:eastAsia="en-US"/>
        </w:rPr>
        <w:t xml:space="preserve"> </w:t>
      </w:r>
      <w:r w:rsidRPr="009070BD">
        <w:rPr>
          <w:b w:val="0"/>
          <w:szCs w:val="22"/>
          <w:lang w:val="en-US" w:eastAsia="en-US"/>
        </w:rPr>
        <w:t>և</w:t>
      </w:r>
      <w:r w:rsidRPr="009070BD">
        <w:rPr>
          <w:b w:val="0"/>
          <w:szCs w:val="22"/>
          <w:lang w:val="fr-FR" w:eastAsia="en-US"/>
        </w:rPr>
        <w:t xml:space="preserve"> </w:t>
      </w:r>
      <w:r w:rsidRPr="009070BD">
        <w:rPr>
          <w:b w:val="0"/>
          <w:szCs w:val="22"/>
          <w:lang w:val="en-US" w:eastAsia="en-US"/>
        </w:rPr>
        <w:t>փուլային</w:t>
      </w:r>
      <w:r w:rsidRPr="009070BD">
        <w:rPr>
          <w:b w:val="0"/>
          <w:szCs w:val="22"/>
          <w:lang w:val="fr-FR" w:eastAsia="en-US"/>
        </w:rPr>
        <w:t xml:space="preserve"> </w:t>
      </w:r>
      <w:r w:rsidRPr="009070BD">
        <w:rPr>
          <w:b w:val="0"/>
          <w:szCs w:val="22"/>
          <w:lang w:val="en-US" w:eastAsia="en-US"/>
        </w:rPr>
        <w:t>միջոցառումների</w:t>
      </w:r>
      <w:r w:rsidRPr="009070BD">
        <w:rPr>
          <w:b w:val="0"/>
          <w:szCs w:val="22"/>
          <w:lang w:val="fr-FR" w:eastAsia="en-US"/>
        </w:rPr>
        <w:t xml:space="preserve"> </w:t>
      </w:r>
      <w:r w:rsidRPr="009070BD">
        <w:rPr>
          <w:b w:val="0"/>
          <w:szCs w:val="22"/>
          <w:lang w:val="en-US" w:eastAsia="en-US"/>
        </w:rPr>
        <w:t>իրականացմանը</w:t>
      </w:r>
      <w:r w:rsidRPr="009070BD">
        <w:rPr>
          <w:b w:val="0"/>
          <w:szCs w:val="22"/>
          <w:lang w:val="fr-FR" w:eastAsia="en-US"/>
        </w:rPr>
        <w:t>:</w:t>
      </w:r>
    </w:p>
    <w:p w:rsidR="00B36A46" w:rsidRPr="009070BD" w:rsidRDefault="00B36A46" w:rsidP="007730AA">
      <w:pPr>
        <w:spacing w:before="0" w:line="276" w:lineRule="auto"/>
        <w:ind w:firstLine="720"/>
        <w:contextualSpacing w:val="0"/>
        <w:rPr>
          <w:b w:val="0"/>
          <w:szCs w:val="22"/>
          <w:lang w:val="fr-FR" w:eastAsia="en-US"/>
        </w:rPr>
      </w:pPr>
      <w:r w:rsidRPr="009070BD">
        <w:rPr>
          <w:rFonts w:cs="Times Armenian"/>
          <w:szCs w:val="22"/>
          <w:lang w:val="af-ZA" w:eastAsia="en-US"/>
        </w:rPr>
        <w:t xml:space="preserve">4.2 «Պետական աջակցություն Հայաստանի Հանրապետությունում և արտերկրում ներդրումային և ՊՄԳ ծրագրերի իրականացմանը» </w:t>
      </w:r>
      <w:r w:rsidRPr="009070BD">
        <w:rPr>
          <w:b w:val="0"/>
          <w:szCs w:val="22"/>
          <w:lang w:val="fr-FR" w:eastAsia="en-US"/>
        </w:rPr>
        <w:t>միջոցառման, որի համար Նախագծով նախատեսվում է հատկացնել 867.0 մլն դրամ</w:t>
      </w:r>
      <w:r w:rsidRPr="009070BD">
        <w:rPr>
          <w:rFonts w:cs="Times Armenian"/>
          <w:b w:val="0"/>
          <w:szCs w:val="22"/>
          <w:lang w:val="af-ZA" w:eastAsia="en-US"/>
        </w:rPr>
        <w:t xml:space="preserve">` ՀՀ 2020 թվականի պետական բյուջեով հաստատված </w:t>
      </w:r>
      <w:r w:rsidRPr="009070BD">
        <w:rPr>
          <w:rFonts w:cs="Times Armenian"/>
          <w:b w:val="0"/>
          <w:szCs w:val="22"/>
          <w:lang w:eastAsia="en-US"/>
        </w:rPr>
        <w:t>գումարի</w:t>
      </w:r>
      <w:r w:rsidRPr="009070BD">
        <w:rPr>
          <w:rFonts w:cs="Times Armenian"/>
          <w:b w:val="0"/>
          <w:szCs w:val="22"/>
          <w:lang w:val="fr-FR" w:eastAsia="en-US"/>
        </w:rPr>
        <w:t xml:space="preserve"> </w:t>
      </w:r>
      <w:r w:rsidRPr="009070BD">
        <w:rPr>
          <w:rFonts w:cs="Times Armenian"/>
          <w:b w:val="0"/>
          <w:szCs w:val="22"/>
          <w:lang w:eastAsia="en-US"/>
        </w:rPr>
        <w:t>չափով</w:t>
      </w:r>
      <w:r w:rsidRPr="009070BD">
        <w:rPr>
          <w:rFonts w:cs="Times Armenian"/>
          <w:b w:val="0"/>
          <w:szCs w:val="22"/>
          <w:lang w:val="af-ZA" w:eastAsia="en-US"/>
        </w:rPr>
        <w:t>:</w:t>
      </w:r>
    </w:p>
    <w:p w:rsidR="00B36A46" w:rsidRPr="009070BD" w:rsidRDefault="00B36A46" w:rsidP="007730AA">
      <w:pPr>
        <w:spacing w:before="0" w:line="276" w:lineRule="auto"/>
        <w:ind w:firstLine="720"/>
        <w:contextualSpacing w:val="0"/>
        <w:rPr>
          <w:b w:val="0"/>
          <w:szCs w:val="22"/>
          <w:lang w:val="fr-FR" w:eastAsia="en-US"/>
        </w:rPr>
      </w:pPr>
      <w:r w:rsidRPr="009070BD">
        <w:rPr>
          <w:b w:val="0"/>
          <w:szCs w:val="22"/>
          <w:lang w:val="fr-FR" w:eastAsia="en-US"/>
        </w:rPr>
        <w:t xml:space="preserve">Ծրագրի հիմնական նպատակն է օտարերկրյա ուղղակի ներդրումների ներգրավում, ներդրողներին խորհրդատվության և աջակցության տրամադրում, օտարերկրյա ներդրումային ծրագրերին բաժնեմասնակցութուն, ՊՄԳ ոլորտի զարգացման խթանում, ՊՄԳ ծրագրերի զարգացման աջակցություն:  </w:t>
      </w:r>
    </w:p>
    <w:p w:rsidR="00B36A46" w:rsidRPr="009070BD" w:rsidRDefault="00B36A46" w:rsidP="007730AA">
      <w:pPr>
        <w:spacing w:before="0" w:line="276" w:lineRule="auto"/>
        <w:ind w:firstLine="720"/>
        <w:contextualSpacing w:val="0"/>
        <w:rPr>
          <w:b w:val="0"/>
          <w:szCs w:val="22"/>
          <w:lang w:val="fr-FR" w:eastAsia="en-US"/>
        </w:rPr>
      </w:pPr>
      <w:r w:rsidRPr="009070BD">
        <w:rPr>
          <w:rFonts w:cs="Sylfaen"/>
          <w:szCs w:val="22"/>
          <w:lang w:val="fr-FR" w:eastAsia="en-US"/>
        </w:rPr>
        <w:t>5</w:t>
      </w:r>
      <w:r w:rsidRPr="009070BD">
        <w:rPr>
          <w:rFonts w:cs="Sylfaen"/>
          <w:szCs w:val="22"/>
          <w:lang w:val="hy-AM" w:eastAsia="en-US"/>
        </w:rPr>
        <w:t xml:space="preserve">. </w:t>
      </w:r>
      <w:r w:rsidRPr="009070BD">
        <w:rPr>
          <w:rFonts w:cs="Sylfaen"/>
          <w:szCs w:val="22"/>
          <w:lang w:val="af-ZA" w:eastAsia="en-US"/>
        </w:rPr>
        <w:t>«Զբոսաշրջության</w:t>
      </w:r>
      <w:r w:rsidRPr="009070BD">
        <w:rPr>
          <w:rFonts w:cs="Times Armenian"/>
          <w:szCs w:val="22"/>
          <w:lang w:val="af-ZA" w:eastAsia="en-US"/>
        </w:rPr>
        <w:t xml:space="preserve"> զարգացման ծրագրի» </w:t>
      </w:r>
      <w:r w:rsidRPr="009070BD">
        <w:rPr>
          <w:b w:val="0"/>
          <w:szCs w:val="22"/>
          <w:lang w:val="fr-FR" w:eastAsia="en-US"/>
        </w:rPr>
        <w:t xml:space="preserve">ծրագրի շրջանակներում նախատեսվում </w:t>
      </w:r>
      <w:r w:rsidRPr="009070BD">
        <w:rPr>
          <w:b w:val="0"/>
          <w:szCs w:val="22"/>
          <w:lang w:val="hy-AM" w:eastAsia="en-US"/>
        </w:rPr>
        <w:t>է իրականացնել</w:t>
      </w:r>
      <w:r w:rsidRPr="009070BD">
        <w:rPr>
          <w:szCs w:val="22"/>
          <w:lang w:val="hy-AM" w:eastAsia="en-US"/>
        </w:rPr>
        <w:t xml:space="preserve"> </w:t>
      </w:r>
      <w:r w:rsidRPr="009070BD">
        <w:rPr>
          <w:szCs w:val="22"/>
          <w:lang w:val="fr-FR" w:eastAsia="en-US"/>
        </w:rPr>
        <w:t>«Աջակցություն զբոսաշրջության զարգացմանը»</w:t>
      </w:r>
      <w:r w:rsidRPr="009070BD">
        <w:rPr>
          <w:b w:val="0"/>
          <w:szCs w:val="22"/>
          <w:lang w:val="fr-FR" w:eastAsia="en-US"/>
        </w:rPr>
        <w:t xml:space="preserve"> միջոցառումը, որի</w:t>
      </w:r>
      <w:r w:rsidRPr="009070BD">
        <w:rPr>
          <w:rFonts w:cs="Times Armenian"/>
          <w:b w:val="0"/>
          <w:szCs w:val="22"/>
          <w:lang w:val="af-ZA" w:eastAsia="en-US"/>
        </w:rPr>
        <w:t xml:space="preserve"> </w:t>
      </w:r>
      <w:r w:rsidRPr="009070BD">
        <w:rPr>
          <w:rFonts w:cs="Sylfaen"/>
          <w:b w:val="0"/>
          <w:szCs w:val="22"/>
          <w:lang w:val="af-ZA" w:eastAsia="en-US"/>
        </w:rPr>
        <w:t>համար</w:t>
      </w:r>
      <w:r w:rsidRPr="009070BD">
        <w:rPr>
          <w:rFonts w:cs="Times Armenian"/>
          <w:b w:val="0"/>
          <w:szCs w:val="22"/>
          <w:lang w:val="af-ZA" w:eastAsia="en-US"/>
        </w:rPr>
        <w:t xml:space="preserve"> </w:t>
      </w:r>
      <w:r w:rsidRPr="009070BD">
        <w:rPr>
          <w:rFonts w:cs="Sylfaen"/>
          <w:b w:val="0"/>
          <w:szCs w:val="22"/>
          <w:lang w:val="en-US" w:eastAsia="en-US"/>
        </w:rPr>
        <w:t>Ն</w:t>
      </w:r>
      <w:r w:rsidRPr="009070BD">
        <w:rPr>
          <w:b w:val="0"/>
          <w:szCs w:val="22"/>
          <w:lang w:val="en-US" w:eastAsia="en-US"/>
        </w:rPr>
        <w:t>ախագծով</w:t>
      </w:r>
      <w:r w:rsidRPr="009070BD">
        <w:rPr>
          <w:rFonts w:cs="Sylfaen"/>
          <w:b w:val="0"/>
          <w:szCs w:val="22"/>
          <w:lang w:val="af-ZA" w:eastAsia="en-US"/>
        </w:rPr>
        <w:t xml:space="preserve"> նախատեսվում</w:t>
      </w:r>
      <w:r w:rsidRPr="009070BD">
        <w:rPr>
          <w:rFonts w:cs="Times Armenian"/>
          <w:b w:val="0"/>
          <w:szCs w:val="22"/>
          <w:lang w:val="af-ZA" w:eastAsia="en-US"/>
        </w:rPr>
        <w:t xml:space="preserve"> </w:t>
      </w:r>
      <w:r w:rsidRPr="009070BD">
        <w:rPr>
          <w:rFonts w:cs="Sylfaen"/>
          <w:b w:val="0"/>
          <w:szCs w:val="22"/>
          <w:lang w:val="af-ZA" w:eastAsia="en-US"/>
        </w:rPr>
        <w:t>է հատկացնել</w:t>
      </w:r>
      <w:r w:rsidRPr="009070BD">
        <w:rPr>
          <w:rFonts w:cs="Times Armenian"/>
          <w:b w:val="0"/>
          <w:szCs w:val="22"/>
          <w:lang w:val="af-ZA" w:eastAsia="en-US"/>
        </w:rPr>
        <w:t xml:space="preserve"> 200.0 </w:t>
      </w:r>
      <w:r w:rsidRPr="009070BD">
        <w:rPr>
          <w:rFonts w:cs="Sylfaen"/>
          <w:b w:val="0"/>
          <w:szCs w:val="22"/>
          <w:lang w:val="af-ZA" w:eastAsia="en-US"/>
        </w:rPr>
        <w:t>մլն</w:t>
      </w:r>
      <w:r w:rsidRPr="009070BD">
        <w:rPr>
          <w:rFonts w:cs="Times Armenian"/>
          <w:b w:val="0"/>
          <w:szCs w:val="22"/>
          <w:lang w:val="af-ZA" w:eastAsia="en-US"/>
        </w:rPr>
        <w:t xml:space="preserve"> </w:t>
      </w:r>
      <w:r w:rsidRPr="009070BD">
        <w:rPr>
          <w:rFonts w:cs="Sylfaen"/>
          <w:b w:val="0"/>
          <w:szCs w:val="22"/>
          <w:lang w:val="af-ZA" w:eastAsia="en-US"/>
        </w:rPr>
        <w:t>դրամ</w:t>
      </w:r>
      <w:r w:rsidRPr="009070BD">
        <w:rPr>
          <w:rFonts w:cs="Times Armenian"/>
          <w:b w:val="0"/>
          <w:szCs w:val="22"/>
          <w:lang w:val="af-ZA" w:eastAsia="en-US"/>
        </w:rPr>
        <w:t xml:space="preserve">` ՀՀ 2020 թվականի պետական բյուջեով հաստատված </w:t>
      </w:r>
      <w:r w:rsidRPr="009070BD">
        <w:rPr>
          <w:rFonts w:cs="Times Armenian"/>
          <w:b w:val="0"/>
          <w:szCs w:val="22"/>
          <w:lang w:eastAsia="en-US"/>
        </w:rPr>
        <w:t>գումարի</w:t>
      </w:r>
      <w:r w:rsidRPr="009070BD">
        <w:rPr>
          <w:rFonts w:cs="Times Armenian"/>
          <w:b w:val="0"/>
          <w:szCs w:val="22"/>
          <w:lang w:val="fr-FR" w:eastAsia="en-US"/>
        </w:rPr>
        <w:t xml:space="preserve"> </w:t>
      </w:r>
      <w:r w:rsidRPr="009070BD">
        <w:rPr>
          <w:rFonts w:cs="Times Armenian"/>
          <w:b w:val="0"/>
          <w:szCs w:val="22"/>
          <w:lang w:eastAsia="en-US"/>
        </w:rPr>
        <w:t>չափով</w:t>
      </w:r>
      <w:r w:rsidRPr="009070BD">
        <w:rPr>
          <w:rFonts w:cs="Times Armenian"/>
          <w:b w:val="0"/>
          <w:szCs w:val="22"/>
          <w:lang w:val="af-ZA" w:eastAsia="en-US"/>
        </w:rPr>
        <w:t>:</w:t>
      </w:r>
    </w:p>
    <w:p w:rsidR="00B36A46" w:rsidRPr="009070BD" w:rsidRDefault="00B36A46" w:rsidP="007730AA">
      <w:pPr>
        <w:spacing w:before="0" w:line="276" w:lineRule="auto"/>
        <w:ind w:firstLine="720"/>
        <w:contextualSpacing w:val="0"/>
        <w:rPr>
          <w:b w:val="0"/>
          <w:szCs w:val="22"/>
          <w:lang w:val="af-ZA" w:eastAsia="en-US"/>
        </w:rPr>
      </w:pPr>
      <w:r w:rsidRPr="009070BD">
        <w:rPr>
          <w:rFonts w:cs="Sylfaen"/>
          <w:b w:val="0"/>
          <w:szCs w:val="22"/>
          <w:lang w:val="af-ZA" w:eastAsia="en-US"/>
        </w:rPr>
        <w:t>Ծրագրի շրջանակներում</w:t>
      </w:r>
      <w:r w:rsidRPr="009070BD">
        <w:rPr>
          <w:rFonts w:cs="Times Armenian"/>
          <w:b w:val="0"/>
          <w:szCs w:val="22"/>
          <w:lang w:val="af-ZA" w:eastAsia="en-US"/>
        </w:rPr>
        <w:t xml:space="preserve"> </w:t>
      </w:r>
      <w:r w:rsidRPr="009070BD">
        <w:rPr>
          <w:rFonts w:cs="Sylfaen"/>
          <w:b w:val="0"/>
          <w:szCs w:val="22"/>
          <w:lang w:val="af-ZA" w:eastAsia="en-US"/>
        </w:rPr>
        <w:t>նախատեսվում</w:t>
      </w:r>
      <w:r w:rsidRPr="009070BD">
        <w:rPr>
          <w:rFonts w:cs="Times Armenian"/>
          <w:b w:val="0"/>
          <w:szCs w:val="22"/>
          <w:lang w:val="af-ZA" w:eastAsia="en-US"/>
        </w:rPr>
        <w:t xml:space="preserve"> </w:t>
      </w:r>
      <w:r w:rsidRPr="009070BD">
        <w:rPr>
          <w:rFonts w:cs="Sylfaen"/>
          <w:b w:val="0"/>
          <w:szCs w:val="22"/>
          <w:lang w:val="af-ZA" w:eastAsia="en-US"/>
        </w:rPr>
        <w:t>է</w:t>
      </w:r>
      <w:r w:rsidRPr="009070BD">
        <w:rPr>
          <w:rFonts w:cs="Times Armenian"/>
          <w:b w:val="0"/>
          <w:szCs w:val="22"/>
          <w:lang w:val="af-ZA" w:eastAsia="en-US"/>
        </w:rPr>
        <w:t xml:space="preserve"> </w:t>
      </w:r>
      <w:r w:rsidRPr="009070BD">
        <w:rPr>
          <w:rFonts w:cs="Sylfaen"/>
          <w:b w:val="0"/>
          <w:szCs w:val="22"/>
          <w:lang w:val="af-ZA" w:eastAsia="en-US"/>
        </w:rPr>
        <w:t>իրականացնել</w:t>
      </w:r>
      <w:r w:rsidRPr="009070BD">
        <w:rPr>
          <w:rFonts w:cs="Times Armenian"/>
          <w:b w:val="0"/>
          <w:szCs w:val="22"/>
          <w:lang w:val="af-ZA" w:eastAsia="en-US"/>
        </w:rPr>
        <w:t xml:space="preserve"> </w:t>
      </w:r>
      <w:r w:rsidRPr="009070BD">
        <w:rPr>
          <w:rFonts w:cs="Sylfaen"/>
          <w:b w:val="0"/>
          <w:szCs w:val="22"/>
          <w:lang w:val="af-ZA" w:eastAsia="en-US"/>
        </w:rPr>
        <w:t>զբոսա</w:t>
      </w:r>
      <w:r w:rsidRPr="009070BD">
        <w:rPr>
          <w:rFonts w:cs="Sylfaen"/>
          <w:b w:val="0"/>
          <w:szCs w:val="22"/>
          <w:lang w:val="af-ZA" w:eastAsia="en-US"/>
        </w:rPr>
        <w:softHyphen/>
        <w:t>շրջա</w:t>
      </w:r>
      <w:r w:rsidRPr="009070BD">
        <w:rPr>
          <w:rFonts w:cs="Sylfaen"/>
          <w:b w:val="0"/>
          <w:szCs w:val="22"/>
          <w:lang w:val="af-ZA" w:eastAsia="en-US"/>
        </w:rPr>
        <w:softHyphen/>
        <w:t>յին</w:t>
      </w:r>
      <w:r w:rsidRPr="009070BD">
        <w:rPr>
          <w:rFonts w:cs="Times Armenian"/>
          <w:b w:val="0"/>
          <w:szCs w:val="22"/>
          <w:lang w:val="af-ZA" w:eastAsia="en-US"/>
        </w:rPr>
        <w:t xml:space="preserve"> </w:t>
      </w:r>
      <w:r w:rsidRPr="009070BD">
        <w:rPr>
          <w:rFonts w:cs="Sylfaen"/>
          <w:b w:val="0"/>
          <w:szCs w:val="22"/>
          <w:lang w:val="af-ZA" w:eastAsia="en-US"/>
        </w:rPr>
        <w:t xml:space="preserve">ոլորտի հետևյալ </w:t>
      </w:r>
      <w:r w:rsidRPr="009070BD">
        <w:rPr>
          <w:rFonts w:cs="Sylfaen"/>
          <w:b w:val="0"/>
          <w:szCs w:val="22"/>
          <w:lang w:val="hy-AM" w:eastAsia="en-US"/>
        </w:rPr>
        <w:t>ենթա</w:t>
      </w:r>
      <w:r w:rsidRPr="009070BD">
        <w:rPr>
          <w:rFonts w:cs="Sylfaen"/>
          <w:b w:val="0"/>
          <w:szCs w:val="22"/>
          <w:lang w:val="af-ZA" w:eastAsia="en-US"/>
        </w:rPr>
        <w:t>միջոցառումները.</w:t>
      </w:r>
    </w:p>
    <w:p w:rsidR="00B36A46" w:rsidRPr="009070BD" w:rsidRDefault="00B36A46" w:rsidP="007730AA">
      <w:pPr>
        <w:spacing w:before="0" w:line="276" w:lineRule="auto"/>
        <w:ind w:firstLine="720"/>
        <w:contextualSpacing w:val="0"/>
        <w:rPr>
          <w:rFonts w:cs="Times Armenian"/>
          <w:b w:val="0"/>
          <w:szCs w:val="22"/>
          <w:lang w:val="af-ZA" w:eastAsia="en-US"/>
        </w:rPr>
      </w:pPr>
      <w:r w:rsidRPr="009070BD">
        <w:rPr>
          <w:rFonts w:cs="Sylfaen"/>
          <w:b w:val="0"/>
          <w:szCs w:val="22"/>
          <w:lang w:val="hy-AM" w:eastAsia="en-US"/>
        </w:rPr>
        <w:t>ա</w:t>
      </w:r>
      <w:r w:rsidRPr="009070BD">
        <w:rPr>
          <w:rFonts w:cs="Sylfaen"/>
          <w:b w:val="0"/>
          <w:szCs w:val="22"/>
          <w:lang w:val="af-ZA" w:eastAsia="en-US"/>
        </w:rPr>
        <w:t>)</w:t>
      </w:r>
      <w:r w:rsidRPr="009070BD">
        <w:rPr>
          <w:rFonts w:cs="Times Armenian"/>
          <w:b w:val="0"/>
          <w:szCs w:val="22"/>
          <w:lang w:val="af-ZA" w:eastAsia="en-US"/>
        </w:rPr>
        <w:t xml:space="preserve"> Ակտիվ և թիրախային մարքեթինգային և խթանման միջոցառումների իրականացում, </w:t>
      </w:r>
    </w:p>
    <w:p w:rsidR="00B36A46" w:rsidRPr="009070BD" w:rsidRDefault="00B36A46" w:rsidP="007730AA">
      <w:pPr>
        <w:spacing w:before="0" w:line="276" w:lineRule="auto"/>
        <w:ind w:firstLine="720"/>
        <w:contextualSpacing w:val="0"/>
        <w:rPr>
          <w:rFonts w:cs="Times Armenian"/>
          <w:b w:val="0"/>
          <w:szCs w:val="22"/>
          <w:lang w:val="af-ZA" w:eastAsia="en-US"/>
        </w:rPr>
      </w:pPr>
      <w:r w:rsidRPr="009070BD">
        <w:rPr>
          <w:rFonts w:cs="Times Armenian"/>
          <w:b w:val="0"/>
          <w:szCs w:val="22"/>
          <w:lang w:val="hy-AM" w:eastAsia="en-US"/>
        </w:rPr>
        <w:t>բ</w:t>
      </w:r>
      <w:r w:rsidRPr="009070BD">
        <w:rPr>
          <w:rFonts w:cs="Times Armenian"/>
          <w:b w:val="0"/>
          <w:szCs w:val="22"/>
          <w:lang w:val="af-ZA" w:eastAsia="en-US"/>
        </w:rPr>
        <w:t>) Հայկական զբոսաշրջային արդյունքի դիվերսիֆիկացում, փաթեթավորում և խթանում,</w:t>
      </w:r>
    </w:p>
    <w:p w:rsidR="00B36A46" w:rsidRPr="009070BD" w:rsidRDefault="00B36A46" w:rsidP="007730AA">
      <w:pPr>
        <w:spacing w:before="0" w:line="276" w:lineRule="auto"/>
        <w:ind w:firstLine="720"/>
        <w:contextualSpacing w:val="0"/>
        <w:rPr>
          <w:rFonts w:cs="Times Armenian"/>
          <w:b w:val="0"/>
          <w:szCs w:val="22"/>
          <w:lang w:val="af-ZA" w:eastAsia="en-US"/>
        </w:rPr>
      </w:pPr>
      <w:r w:rsidRPr="009070BD">
        <w:rPr>
          <w:rFonts w:cs="Times Armenian"/>
          <w:b w:val="0"/>
          <w:szCs w:val="22"/>
          <w:lang w:val="hy-AM" w:eastAsia="en-US"/>
        </w:rPr>
        <w:t>գ</w:t>
      </w:r>
      <w:r w:rsidRPr="009070BD">
        <w:rPr>
          <w:rFonts w:cs="Times Armenian"/>
          <w:b w:val="0"/>
          <w:szCs w:val="22"/>
          <w:lang w:val="af-ZA" w:eastAsia="en-US"/>
        </w:rPr>
        <w:t>) Ենթակառուցվածքների և մարդկային ռեսուրսների զարգացում,</w:t>
      </w:r>
    </w:p>
    <w:p w:rsidR="00B36A46" w:rsidRPr="009070BD" w:rsidRDefault="00B36A46" w:rsidP="007730AA">
      <w:pPr>
        <w:spacing w:before="0" w:line="276" w:lineRule="auto"/>
        <w:ind w:firstLine="720"/>
        <w:contextualSpacing w:val="0"/>
        <w:rPr>
          <w:rFonts w:cs="Times Armenian"/>
          <w:b w:val="0"/>
          <w:szCs w:val="22"/>
          <w:lang w:val="af-ZA" w:eastAsia="en-US"/>
        </w:rPr>
      </w:pPr>
      <w:r w:rsidRPr="009070BD">
        <w:rPr>
          <w:b w:val="0"/>
          <w:szCs w:val="22"/>
          <w:lang w:val="hy-AM" w:eastAsia="en-US"/>
        </w:rPr>
        <w:t>դ</w:t>
      </w:r>
      <w:r w:rsidRPr="009070BD">
        <w:rPr>
          <w:b w:val="0"/>
          <w:szCs w:val="22"/>
          <w:lang w:val="af-ZA" w:eastAsia="en-US"/>
        </w:rPr>
        <w:t>)</w:t>
      </w:r>
      <w:r w:rsidRPr="009070BD">
        <w:rPr>
          <w:b w:val="0"/>
          <w:szCs w:val="22"/>
          <w:lang w:val="fr-FR" w:eastAsia="en-US"/>
        </w:rPr>
        <w:t xml:space="preserve"> Միջազգային համագործակցություն` իրավապայմանագրային պարտավորությունների իրականմացում, միջազգային և տարածաշրջանային կազմակերպությունների կողմից կազմակերխվող միջոցառումներին մասնակցություն</w:t>
      </w:r>
      <w:r w:rsidRPr="009070BD">
        <w:rPr>
          <w:rFonts w:cs="Times Armenian"/>
          <w:b w:val="0"/>
          <w:szCs w:val="22"/>
          <w:lang w:val="af-ZA" w:eastAsia="en-US"/>
        </w:rPr>
        <w:t>:</w:t>
      </w:r>
    </w:p>
    <w:p w:rsidR="00B36A46" w:rsidRPr="009070BD" w:rsidRDefault="00B36A46" w:rsidP="007730AA">
      <w:pPr>
        <w:spacing w:before="0" w:line="276" w:lineRule="auto"/>
        <w:ind w:firstLine="720"/>
        <w:rPr>
          <w:rFonts w:cs="Sylfaen"/>
          <w:lang w:val="af-ZA"/>
        </w:rPr>
      </w:pPr>
      <w:r w:rsidRPr="009070BD">
        <w:rPr>
          <w:rFonts w:cs="Sylfaen"/>
          <w:lang w:val="af-ZA"/>
        </w:rPr>
        <w:t>6. Գյուղատնտեսության խթանման ծրագիր</w:t>
      </w:r>
      <w:r w:rsidRPr="009070BD">
        <w:rPr>
          <w:rFonts w:cs="Sylfaen"/>
          <w:b w:val="0"/>
          <w:lang w:val="af-ZA"/>
        </w:rPr>
        <w:t xml:space="preserve"> ծրագրի համար Նախագծ</w:t>
      </w:r>
      <w:r w:rsidR="00BF08B1">
        <w:rPr>
          <w:rFonts w:cs="Sylfaen"/>
          <w:b w:val="0"/>
          <w:lang w:val="af-ZA"/>
        </w:rPr>
        <w:t>ով նախատեսվում է հատկացնել 6,125.</w:t>
      </w:r>
      <w:r w:rsidR="00BF08B1">
        <w:rPr>
          <w:rFonts w:cs="Sylfaen"/>
          <w:b w:val="0"/>
          <w:lang w:val="hy-AM"/>
        </w:rPr>
        <w:t>7</w:t>
      </w:r>
      <w:r w:rsidRPr="009070BD">
        <w:rPr>
          <w:rFonts w:cs="Sylfaen"/>
          <w:b w:val="0"/>
          <w:lang w:val="af-ZA"/>
        </w:rPr>
        <w:t xml:space="preserve"> մլն դրամ: Ծրագրի շրջանակներում նախատեսվում է իրականացնել հետևյալ միջոցառումները.</w:t>
      </w:r>
    </w:p>
    <w:p w:rsidR="00B36A46" w:rsidRPr="009070BD" w:rsidRDefault="00B36A46" w:rsidP="007730AA">
      <w:pPr>
        <w:autoSpaceDE w:val="0"/>
        <w:autoSpaceDN w:val="0"/>
        <w:adjustRightInd w:val="0"/>
        <w:spacing w:before="0" w:line="276" w:lineRule="auto"/>
        <w:ind w:firstLine="720"/>
        <w:rPr>
          <w:rFonts w:cs="Sylfaen"/>
          <w:b w:val="0"/>
          <w:lang w:val="af-ZA"/>
        </w:rPr>
      </w:pPr>
      <w:r w:rsidRPr="009070BD">
        <w:rPr>
          <w:rFonts w:cs="Sylfaen"/>
          <w:lang w:val="af-ZA"/>
        </w:rPr>
        <w:t>6.1 «Պետական աջակցություն Հայաստանի Հանրապետության խաղողագործության և գինեգործության ոլորտներում վարվող պետական քաղաքականության ու զարգացման ծրագրերի իրականացմանը</w:t>
      </w:r>
      <w:r w:rsidRPr="009070BD">
        <w:rPr>
          <w:rFonts w:cs="GHEAGrapalat-Bold"/>
          <w:bCs/>
          <w:lang w:val="af-ZA"/>
        </w:rPr>
        <w:t>»</w:t>
      </w:r>
      <w:r w:rsidRPr="009070BD">
        <w:rPr>
          <w:rFonts w:cs="Sylfaen"/>
          <w:lang w:val="af-ZA"/>
        </w:rPr>
        <w:t xml:space="preserve"> </w:t>
      </w:r>
      <w:r w:rsidRPr="009070BD">
        <w:rPr>
          <w:rFonts w:cs="Sylfaen"/>
          <w:b w:val="0"/>
        </w:rPr>
        <w:t>միջոցառման</w:t>
      </w:r>
      <w:r w:rsidRPr="009070BD">
        <w:rPr>
          <w:rFonts w:cs="Sylfaen"/>
          <w:b w:val="0"/>
          <w:lang w:val="ro-RO"/>
        </w:rPr>
        <w:t xml:space="preserve"> </w:t>
      </w:r>
      <w:r w:rsidRPr="009070BD">
        <w:rPr>
          <w:rFonts w:cs="Sylfaen"/>
          <w:b w:val="0"/>
        </w:rPr>
        <w:t>համար</w:t>
      </w:r>
      <w:r w:rsidRPr="009070BD">
        <w:rPr>
          <w:rFonts w:cs="Sylfaen"/>
          <w:b w:val="0"/>
          <w:lang w:val="ro-RO"/>
        </w:rPr>
        <w:t xml:space="preserve"> </w:t>
      </w:r>
      <w:r w:rsidRPr="009070BD">
        <w:rPr>
          <w:rFonts w:cs="Sylfaen"/>
          <w:b w:val="0"/>
        </w:rPr>
        <w:t>Նախագծով</w:t>
      </w:r>
      <w:r w:rsidRPr="009070BD">
        <w:rPr>
          <w:rFonts w:cs="Sylfaen"/>
          <w:b w:val="0"/>
          <w:lang w:val="ro-RO"/>
        </w:rPr>
        <w:t xml:space="preserve"> </w:t>
      </w:r>
      <w:r w:rsidRPr="009070BD">
        <w:rPr>
          <w:b w:val="0"/>
        </w:rPr>
        <w:t>նախատեսվում</w:t>
      </w:r>
      <w:r w:rsidRPr="009070BD">
        <w:rPr>
          <w:b w:val="0"/>
          <w:lang w:val="ro-RO"/>
        </w:rPr>
        <w:t xml:space="preserve"> </w:t>
      </w:r>
      <w:r w:rsidRPr="009070BD">
        <w:rPr>
          <w:b w:val="0"/>
        </w:rPr>
        <w:t>է</w:t>
      </w:r>
      <w:r w:rsidRPr="009070BD">
        <w:rPr>
          <w:b w:val="0"/>
          <w:lang w:val="ro-RO"/>
        </w:rPr>
        <w:t xml:space="preserve"> </w:t>
      </w:r>
      <w:r w:rsidRPr="009070BD">
        <w:rPr>
          <w:b w:val="0"/>
        </w:rPr>
        <w:t>հատկացնել</w:t>
      </w:r>
      <w:r w:rsidRPr="009070BD">
        <w:rPr>
          <w:b w:val="0"/>
          <w:lang w:val="ro-RO"/>
        </w:rPr>
        <w:t xml:space="preserve"> 300.0 </w:t>
      </w:r>
      <w:r w:rsidRPr="009070BD">
        <w:rPr>
          <w:rFonts w:cs="Sylfaen"/>
          <w:b w:val="0"/>
        </w:rPr>
        <w:t>մլն</w:t>
      </w:r>
      <w:r w:rsidRPr="009070BD">
        <w:rPr>
          <w:rFonts w:cs="Sylfaen"/>
          <w:b w:val="0"/>
          <w:lang w:val="ro-RO"/>
        </w:rPr>
        <w:t xml:space="preserve"> </w:t>
      </w:r>
      <w:r w:rsidRPr="009070BD">
        <w:rPr>
          <w:rFonts w:cs="Sylfaen"/>
          <w:b w:val="0"/>
        </w:rPr>
        <w:t>դրամ</w:t>
      </w:r>
      <w:r w:rsidRPr="009070BD">
        <w:rPr>
          <w:rFonts w:cs="Sylfaen"/>
          <w:b w:val="0"/>
          <w:lang w:val="ro-RO"/>
        </w:rPr>
        <w:t>՝ ՀՀ 2020 թվականի պետական բյուջեով հաստատված գումարի չափով:</w:t>
      </w:r>
    </w:p>
    <w:p w:rsidR="00B36A46" w:rsidRPr="009070BD" w:rsidRDefault="00B36A46" w:rsidP="007730AA">
      <w:pPr>
        <w:spacing w:before="0" w:line="276" w:lineRule="auto"/>
        <w:ind w:firstLine="720"/>
        <w:rPr>
          <w:b w:val="0"/>
          <w:lang w:val="af-ZA"/>
        </w:rPr>
      </w:pPr>
      <w:r w:rsidRPr="009070BD">
        <w:rPr>
          <w:b w:val="0"/>
          <w:lang w:val="hy-AM"/>
        </w:rPr>
        <w:t xml:space="preserve">Միջոցառման </w:t>
      </w:r>
      <w:r w:rsidRPr="009070BD">
        <w:rPr>
          <w:b w:val="0"/>
        </w:rPr>
        <w:t>հիմնական</w:t>
      </w:r>
      <w:r w:rsidRPr="009070BD">
        <w:rPr>
          <w:b w:val="0"/>
          <w:lang w:val="af-ZA"/>
        </w:rPr>
        <w:t xml:space="preserve"> </w:t>
      </w:r>
      <w:r w:rsidRPr="009070BD">
        <w:rPr>
          <w:b w:val="0"/>
        </w:rPr>
        <w:t>նպատակներն</w:t>
      </w:r>
      <w:r w:rsidRPr="009070BD">
        <w:rPr>
          <w:b w:val="0"/>
          <w:lang w:val="af-ZA"/>
        </w:rPr>
        <w:t xml:space="preserve"> </w:t>
      </w:r>
      <w:r w:rsidRPr="009070BD">
        <w:rPr>
          <w:b w:val="0"/>
        </w:rPr>
        <w:t>են</w:t>
      </w:r>
      <w:r w:rsidRPr="009070BD">
        <w:rPr>
          <w:b w:val="0"/>
          <w:lang w:val="af-ZA"/>
        </w:rPr>
        <w:t xml:space="preserve"> </w:t>
      </w:r>
      <w:r w:rsidRPr="009070BD">
        <w:rPr>
          <w:b w:val="0"/>
        </w:rPr>
        <w:t>գինեգործական</w:t>
      </w:r>
      <w:r w:rsidRPr="009070BD">
        <w:rPr>
          <w:b w:val="0"/>
          <w:lang w:val="af-ZA"/>
        </w:rPr>
        <w:t xml:space="preserve"> </w:t>
      </w:r>
      <w:r w:rsidRPr="009070BD">
        <w:rPr>
          <w:b w:val="0"/>
        </w:rPr>
        <w:t>արտադրանքի</w:t>
      </w:r>
      <w:r w:rsidRPr="009070BD">
        <w:rPr>
          <w:b w:val="0"/>
          <w:lang w:val="af-ZA"/>
        </w:rPr>
        <w:t xml:space="preserve"> </w:t>
      </w:r>
      <w:r w:rsidRPr="009070BD">
        <w:rPr>
          <w:b w:val="0"/>
        </w:rPr>
        <w:t>որակի</w:t>
      </w:r>
      <w:r w:rsidRPr="009070BD">
        <w:rPr>
          <w:b w:val="0"/>
          <w:lang w:val="af-ZA"/>
        </w:rPr>
        <w:t xml:space="preserve"> </w:t>
      </w:r>
      <w:r w:rsidRPr="009070BD">
        <w:rPr>
          <w:b w:val="0"/>
        </w:rPr>
        <w:t>բարելավումը</w:t>
      </w:r>
      <w:r w:rsidRPr="009070BD">
        <w:rPr>
          <w:b w:val="0"/>
          <w:lang w:val="af-ZA"/>
        </w:rPr>
        <w:t xml:space="preserve">, </w:t>
      </w:r>
      <w:r w:rsidRPr="009070BD">
        <w:rPr>
          <w:b w:val="0"/>
        </w:rPr>
        <w:t>հայկական</w:t>
      </w:r>
      <w:r w:rsidRPr="009070BD">
        <w:rPr>
          <w:b w:val="0"/>
          <w:lang w:val="af-ZA"/>
        </w:rPr>
        <w:t xml:space="preserve"> </w:t>
      </w:r>
      <w:r w:rsidRPr="009070BD">
        <w:rPr>
          <w:b w:val="0"/>
        </w:rPr>
        <w:t>գինու</w:t>
      </w:r>
      <w:r w:rsidRPr="009070BD">
        <w:rPr>
          <w:b w:val="0"/>
          <w:lang w:val="af-ZA"/>
        </w:rPr>
        <w:t xml:space="preserve"> </w:t>
      </w:r>
      <w:r w:rsidRPr="009070BD">
        <w:rPr>
          <w:b w:val="0"/>
        </w:rPr>
        <w:t>ճանաչելիության</w:t>
      </w:r>
      <w:r w:rsidRPr="009070BD">
        <w:rPr>
          <w:b w:val="0"/>
          <w:lang w:val="af-ZA"/>
        </w:rPr>
        <w:t xml:space="preserve"> </w:t>
      </w:r>
      <w:r w:rsidRPr="009070BD">
        <w:rPr>
          <w:b w:val="0"/>
        </w:rPr>
        <w:t>բարձրացումն</w:t>
      </w:r>
      <w:r w:rsidRPr="009070BD">
        <w:rPr>
          <w:b w:val="0"/>
          <w:lang w:val="af-ZA"/>
        </w:rPr>
        <w:t xml:space="preserve"> </w:t>
      </w:r>
      <w:r w:rsidRPr="009070BD">
        <w:rPr>
          <w:b w:val="0"/>
        </w:rPr>
        <w:t>ինչպես</w:t>
      </w:r>
      <w:r w:rsidRPr="009070BD">
        <w:rPr>
          <w:b w:val="0"/>
          <w:lang w:val="af-ZA"/>
        </w:rPr>
        <w:t xml:space="preserve"> </w:t>
      </w:r>
      <w:r w:rsidRPr="009070BD">
        <w:rPr>
          <w:b w:val="0"/>
        </w:rPr>
        <w:t>արտերկրում</w:t>
      </w:r>
      <w:r w:rsidRPr="009070BD">
        <w:rPr>
          <w:b w:val="0"/>
          <w:lang w:val="af-ZA"/>
        </w:rPr>
        <w:t xml:space="preserve"> </w:t>
      </w:r>
      <w:r w:rsidRPr="009070BD">
        <w:rPr>
          <w:b w:val="0"/>
        </w:rPr>
        <w:t>այնպես</w:t>
      </w:r>
      <w:r w:rsidRPr="009070BD">
        <w:rPr>
          <w:b w:val="0"/>
          <w:lang w:val="af-ZA"/>
        </w:rPr>
        <w:t xml:space="preserve"> </w:t>
      </w:r>
      <w:r w:rsidRPr="009070BD">
        <w:rPr>
          <w:b w:val="0"/>
        </w:rPr>
        <w:t>էլ</w:t>
      </w:r>
      <w:r w:rsidRPr="009070BD">
        <w:rPr>
          <w:b w:val="0"/>
          <w:lang w:val="af-ZA"/>
        </w:rPr>
        <w:t xml:space="preserve"> </w:t>
      </w:r>
      <w:r w:rsidRPr="009070BD">
        <w:rPr>
          <w:b w:val="0"/>
        </w:rPr>
        <w:t>երկրի</w:t>
      </w:r>
      <w:r w:rsidRPr="009070BD">
        <w:rPr>
          <w:b w:val="0"/>
          <w:lang w:val="af-ZA"/>
        </w:rPr>
        <w:t xml:space="preserve"> </w:t>
      </w:r>
      <w:r w:rsidRPr="009070BD">
        <w:rPr>
          <w:b w:val="0"/>
        </w:rPr>
        <w:t>ներսում</w:t>
      </w:r>
      <w:r w:rsidRPr="009070BD">
        <w:rPr>
          <w:b w:val="0"/>
          <w:lang w:val="af-ZA"/>
        </w:rPr>
        <w:t xml:space="preserve">, </w:t>
      </w:r>
      <w:r w:rsidRPr="009070BD">
        <w:rPr>
          <w:b w:val="0"/>
        </w:rPr>
        <w:t>վաճառքի</w:t>
      </w:r>
      <w:r w:rsidRPr="009070BD">
        <w:rPr>
          <w:b w:val="0"/>
          <w:lang w:val="af-ZA"/>
        </w:rPr>
        <w:t xml:space="preserve"> </w:t>
      </w:r>
      <w:r w:rsidRPr="009070BD">
        <w:rPr>
          <w:b w:val="0"/>
        </w:rPr>
        <w:t>ծավալների</w:t>
      </w:r>
      <w:r w:rsidRPr="009070BD">
        <w:rPr>
          <w:b w:val="0"/>
          <w:lang w:val="af-ZA"/>
        </w:rPr>
        <w:t xml:space="preserve"> </w:t>
      </w:r>
      <w:r w:rsidRPr="009070BD">
        <w:rPr>
          <w:b w:val="0"/>
        </w:rPr>
        <w:t>ընդլայնումը</w:t>
      </w:r>
      <w:r w:rsidRPr="009070BD">
        <w:rPr>
          <w:b w:val="0"/>
          <w:lang w:val="af-ZA"/>
        </w:rPr>
        <w:t xml:space="preserve"> </w:t>
      </w:r>
      <w:r w:rsidRPr="009070BD">
        <w:rPr>
          <w:b w:val="0"/>
        </w:rPr>
        <w:t>ներքին</w:t>
      </w:r>
      <w:r w:rsidRPr="009070BD">
        <w:rPr>
          <w:b w:val="0"/>
          <w:lang w:val="af-ZA"/>
        </w:rPr>
        <w:t xml:space="preserve"> </w:t>
      </w:r>
      <w:r w:rsidRPr="009070BD">
        <w:rPr>
          <w:b w:val="0"/>
        </w:rPr>
        <w:t>շուկայում</w:t>
      </w:r>
      <w:r w:rsidRPr="009070BD">
        <w:rPr>
          <w:b w:val="0"/>
          <w:lang w:val="af-ZA"/>
        </w:rPr>
        <w:t xml:space="preserve">, </w:t>
      </w:r>
      <w:r w:rsidRPr="009070BD">
        <w:rPr>
          <w:b w:val="0"/>
        </w:rPr>
        <w:t>արտահանման</w:t>
      </w:r>
      <w:r w:rsidRPr="009070BD">
        <w:rPr>
          <w:b w:val="0"/>
          <w:lang w:val="af-ZA"/>
        </w:rPr>
        <w:t xml:space="preserve"> </w:t>
      </w:r>
      <w:r w:rsidRPr="009070BD">
        <w:rPr>
          <w:b w:val="0"/>
        </w:rPr>
        <w:t>ծավալների</w:t>
      </w:r>
      <w:r w:rsidRPr="009070BD">
        <w:rPr>
          <w:b w:val="0"/>
          <w:lang w:val="af-ZA"/>
        </w:rPr>
        <w:t xml:space="preserve"> </w:t>
      </w:r>
      <w:r w:rsidRPr="009070BD">
        <w:rPr>
          <w:b w:val="0"/>
        </w:rPr>
        <w:t>ավելացումը։</w:t>
      </w:r>
    </w:p>
    <w:p w:rsidR="00B36A46" w:rsidRPr="009070BD" w:rsidRDefault="00B36A46" w:rsidP="007730AA">
      <w:pPr>
        <w:autoSpaceDE w:val="0"/>
        <w:autoSpaceDN w:val="0"/>
        <w:adjustRightInd w:val="0"/>
        <w:spacing w:before="0" w:line="276" w:lineRule="auto"/>
        <w:ind w:firstLine="720"/>
        <w:rPr>
          <w:rFonts w:cs="Sylfaen"/>
          <w:b w:val="0"/>
          <w:lang w:val="hy-AM"/>
        </w:rPr>
      </w:pPr>
      <w:r w:rsidRPr="009070BD">
        <w:rPr>
          <w:lang w:val="ro-RO"/>
        </w:rPr>
        <w:t>6.2 «Պետական աջակցություն Հայաստանի Հանրապետության գյուղատնտեսական ծրագրերի իրականացմանը»</w:t>
      </w:r>
      <w:r w:rsidRPr="009070BD">
        <w:rPr>
          <w:rFonts w:cs="Sylfaen"/>
          <w:b w:val="0"/>
          <w:lang w:val="hy-AM"/>
        </w:rPr>
        <w:t xml:space="preserve"> միջոցառման</w:t>
      </w:r>
      <w:r w:rsidRPr="009070BD">
        <w:rPr>
          <w:rFonts w:cs="Sylfaen"/>
          <w:b w:val="0"/>
          <w:lang w:val="ro-RO"/>
        </w:rPr>
        <w:t xml:space="preserve"> </w:t>
      </w:r>
      <w:r w:rsidRPr="009070BD">
        <w:rPr>
          <w:rFonts w:cs="Sylfaen"/>
          <w:b w:val="0"/>
          <w:lang w:val="hy-AM"/>
        </w:rPr>
        <w:t>համար</w:t>
      </w:r>
      <w:r w:rsidRPr="009070BD">
        <w:rPr>
          <w:rFonts w:cs="Sylfaen"/>
          <w:b w:val="0"/>
          <w:lang w:val="ro-RO"/>
        </w:rPr>
        <w:t xml:space="preserve"> </w:t>
      </w:r>
      <w:r w:rsidRPr="009070BD">
        <w:rPr>
          <w:rFonts w:cs="Sylfaen"/>
          <w:b w:val="0"/>
          <w:lang w:val="hy-AM"/>
        </w:rPr>
        <w:t>Նախագծով</w:t>
      </w:r>
      <w:r w:rsidRPr="009070BD">
        <w:rPr>
          <w:b w:val="0"/>
          <w:lang w:val="ro-RO"/>
        </w:rPr>
        <w:t xml:space="preserve"> </w:t>
      </w:r>
      <w:r w:rsidRPr="009070BD">
        <w:rPr>
          <w:b w:val="0"/>
          <w:lang w:val="hy-AM"/>
        </w:rPr>
        <w:t>նախատեսվում</w:t>
      </w:r>
      <w:r w:rsidRPr="009070BD">
        <w:rPr>
          <w:b w:val="0"/>
          <w:lang w:val="ro-RO"/>
        </w:rPr>
        <w:t xml:space="preserve"> </w:t>
      </w:r>
      <w:r w:rsidRPr="009070BD">
        <w:rPr>
          <w:b w:val="0"/>
          <w:lang w:val="hy-AM"/>
        </w:rPr>
        <w:t>է</w:t>
      </w:r>
      <w:r w:rsidRPr="009070BD">
        <w:rPr>
          <w:b w:val="0"/>
          <w:lang w:val="ro-RO"/>
        </w:rPr>
        <w:t xml:space="preserve"> </w:t>
      </w:r>
      <w:r w:rsidRPr="009070BD">
        <w:rPr>
          <w:b w:val="0"/>
          <w:lang w:val="hy-AM"/>
        </w:rPr>
        <w:t>հատկացնել</w:t>
      </w:r>
      <w:r w:rsidRPr="009070BD">
        <w:rPr>
          <w:b w:val="0"/>
          <w:lang w:val="ro-RO"/>
        </w:rPr>
        <w:t xml:space="preserve"> </w:t>
      </w:r>
      <w:r w:rsidR="00BF08B1">
        <w:rPr>
          <w:b w:val="0"/>
          <w:lang w:val="hy-AM"/>
        </w:rPr>
        <w:t>165</w:t>
      </w:r>
      <w:r w:rsidRPr="009070BD">
        <w:rPr>
          <w:b w:val="0"/>
          <w:lang w:val="ro-RO"/>
        </w:rPr>
        <w:t>.</w:t>
      </w:r>
      <w:r w:rsidR="00BF08B1">
        <w:rPr>
          <w:b w:val="0"/>
          <w:lang w:val="hy-AM"/>
        </w:rPr>
        <w:t>7</w:t>
      </w:r>
      <w:r w:rsidRPr="009070BD">
        <w:rPr>
          <w:b w:val="0"/>
          <w:lang w:val="ro-RO"/>
        </w:rPr>
        <w:t xml:space="preserve"> </w:t>
      </w:r>
      <w:r w:rsidRPr="009070BD">
        <w:rPr>
          <w:rFonts w:cs="Sylfaen"/>
          <w:b w:val="0"/>
          <w:lang w:val="ro-RO"/>
        </w:rPr>
        <w:t xml:space="preserve"> </w:t>
      </w:r>
      <w:r w:rsidRPr="009070BD">
        <w:rPr>
          <w:rFonts w:cs="Sylfaen"/>
          <w:b w:val="0"/>
          <w:lang w:val="hy-AM"/>
        </w:rPr>
        <w:t>մլն</w:t>
      </w:r>
      <w:r w:rsidRPr="009070BD">
        <w:rPr>
          <w:rFonts w:cs="Sylfaen"/>
          <w:b w:val="0"/>
          <w:lang w:val="ro-RO"/>
        </w:rPr>
        <w:t xml:space="preserve"> </w:t>
      </w:r>
      <w:r w:rsidRPr="009070BD">
        <w:rPr>
          <w:rFonts w:cs="Sylfaen"/>
          <w:b w:val="0"/>
          <w:lang w:val="hy-AM"/>
        </w:rPr>
        <w:t>դրամ։</w:t>
      </w:r>
    </w:p>
    <w:p w:rsidR="00B36A46" w:rsidRPr="009070BD" w:rsidRDefault="00B36A46" w:rsidP="007730AA">
      <w:pPr>
        <w:autoSpaceDE w:val="0"/>
        <w:autoSpaceDN w:val="0"/>
        <w:adjustRightInd w:val="0"/>
        <w:spacing w:before="0" w:line="276" w:lineRule="auto"/>
        <w:ind w:firstLine="720"/>
        <w:contextualSpacing w:val="0"/>
        <w:rPr>
          <w:rFonts w:cs="Sylfaen"/>
          <w:b w:val="0"/>
          <w:szCs w:val="22"/>
          <w:lang w:val="hy-AM" w:eastAsia="en-US"/>
        </w:rPr>
      </w:pPr>
      <w:r w:rsidRPr="009070BD">
        <w:rPr>
          <w:b w:val="0"/>
          <w:szCs w:val="22"/>
          <w:lang w:val="hy-AM"/>
        </w:rPr>
        <w:t>Միջոցառման</w:t>
      </w:r>
      <w:r w:rsidRPr="009070BD">
        <w:rPr>
          <w:b w:val="0"/>
          <w:szCs w:val="22"/>
          <w:lang w:val="af-ZA"/>
        </w:rPr>
        <w:t xml:space="preserve"> </w:t>
      </w:r>
      <w:r w:rsidRPr="009070BD">
        <w:rPr>
          <w:b w:val="0"/>
          <w:szCs w:val="22"/>
          <w:lang w:val="hy-AM"/>
        </w:rPr>
        <w:t>նպատակն է</w:t>
      </w:r>
      <w:r w:rsidRPr="009070BD">
        <w:rPr>
          <w:b w:val="0"/>
          <w:szCs w:val="22"/>
          <w:lang w:val="af-ZA"/>
        </w:rPr>
        <w:t xml:space="preserve"> </w:t>
      </w:r>
      <w:r w:rsidRPr="009070BD">
        <w:rPr>
          <w:rFonts w:cs="Sylfaen"/>
          <w:b w:val="0"/>
          <w:szCs w:val="22"/>
          <w:lang w:val="hy-AM" w:eastAsia="en-US"/>
        </w:rPr>
        <w:t xml:space="preserve">հանրապետության տարածքում կենդանիների վարակիչ հիվանդությունների նկատմամբ </w:t>
      </w:r>
      <w:r w:rsidRPr="009070BD">
        <w:rPr>
          <w:b w:val="0"/>
          <w:szCs w:val="22"/>
          <w:lang w:val="hy-AM" w:eastAsia="en-US"/>
        </w:rPr>
        <w:t>պատվաստված</w:t>
      </w:r>
      <w:r w:rsidRPr="009070BD">
        <w:rPr>
          <w:b w:val="0"/>
          <w:szCs w:val="22"/>
          <w:lang w:val="af-ZA" w:eastAsia="en-US"/>
        </w:rPr>
        <w:t xml:space="preserve"> </w:t>
      </w:r>
      <w:r w:rsidRPr="009070BD">
        <w:rPr>
          <w:b w:val="0"/>
          <w:szCs w:val="22"/>
          <w:lang w:val="hy-AM" w:eastAsia="en-US"/>
        </w:rPr>
        <w:t>անասնագլխաքանակի</w:t>
      </w:r>
      <w:r w:rsidRPr="009070BD">
        <w:rPr>
          <w:b w:val="0"/>
          <w:szCs w:val="22"/>
          <w:lang w:val="af-ZA" w:eastAsia="en-US"/>
        </w:rPr>
        <w:t xml:space="preserve"> </w:t>
      </w:r>
      <w:r w:rsidRPr="009070BD">
        <w:rPr>
          <w:b w:val="0"/>
          <w:szCs w:val="22"/>
          <w:lang w:val="hy-AM" w:eastAsia="en-US"/>
        </w:rPr>
        <w:t>կայուն</w:t>
      </w:r>
      <w:r w:rsidRPr="009070BD">
        <w:rPr>
          <w:b w:val="0"/>
          <w:szCs w:val="22"/>
          <w:lang w:val="af-ZA" w:eastAsia="en-US"/>
        </w:rPr>
        <w:t xml:space="preserve"> </w:t>
      </w:r>
      <w:r w:rsidRPr="009070BD">
        <w:rPr>
          <w:b w:val="0"/>
          <w:szCs w:val="22"/>
          <w:lang w:val="hy-AM" w:eastAsia="en-US"/>
        </w:rPr>
        <w:t>վարակամերժության</w:t>
      </w:r>
      <w:r w:rsidRPr="009070BD">
        <w:rPr>
          <w:b w:val="0"/>
          <w:szCs w:val="22"/>
          <w:lang w:val="af-ZA" w:eastAsia="en-US"/>
        </w:rPr>
        <w:t xml:space="preserve"> </w:t>
      </w:r>
      <w:r w:rsidRPr="009070BD">
        <w:rPr>
          <w:b w:val="0"/>
          <w:szCs w:val="22"/>
          <w:lang w:val="hy-AM" w:eastAsia="en-US"/>
        </w:rPr>
        <w:t>ֆոնի</w:t>
      </w:r>
      <w:r w:rsidRPr="009070BD">
        <w:rPr>
          <w:b w:val="0"/>
          <w:szCs w:val="22"/>
          <w:lang w:val="af-ZA" w:eastAsia="en-US"/>
        </w:rPr>
        <w:t xml:space="preserve"> ստեղծումը և </w:t>
      </w:r>
      <w:r w:rsidRPr="009070BD">
        <w:rPr>
          <w:b w:val="0"/>
          <w:szCs w:val="22"/>
          <w:lang w:val="hy-AM" w:eastAsia="en-US"/>
        </w:rPr>
        <w:t>պահպանումը</w:t>
      </w:r>
      <w:r w:rsidRPr="009070BD">
        <w:rPr>
          <w:b w:val="0"/>
          <w:szCs w:val="22"/>
          <w:lang w:val="af-ZA" w:eastAsia="en-US"/>
        </w:rPr>
        <w:t xml:space="preserve">, </w:t>
      </w:r>
      <w:r w:rsidRPr="009070BD">
        <w:rPr>
          <w:rFonts w:cs="Sylfaen"/>
          <w:b w:val="0"/>
          <w:szCs w:val="22"/>
          <w:lang w:val="hy-AM" w:eastAsia="en-US"/>
        </w:rPr>
        <w:t xml:space="preserve">անասնաբուժասանիտարական տեսակետից բարձրորակ անասնապահական մթերքի և հումքի արտադրության ապահովումը, կենդանիների և մարդու համար ընդհանուր վարակիչ հիվանդություններից բնակչության պաշտպանությունը: </w:t>
      </w:r>
    </w:p>
    <w:p w:rsidR="00B36A46" w:rsidRPr="009070BD" w:rsidRDefault="00B36A46" w:rsidP="007730AA">
      <w:pPr>
        <w:autoSpaceDE w:val="0"/>
        <w:autoSpaceDN w:val="0"/>
        <w:adjustRightInd w:val="0"/>
        <w:spacing w:before="0" w:line="276" w:lineRule="auto"/>
        <w:ind w:firstLine="720"/>
        <w:rPr>
          <w:rFonts w:cs="Sylfaen"/>
          <w:b w:val="0"/>
          <w:lang w:val="hy-AM"/>
        </w:rPr>
      </w:pPr>
      <w:r w:rsidRPr="009070BD">
        <w:rPr>
          <w:rFonts w:cs="Sylfaen"/>
          <w:bCs/>
          <w:iCs/>
          <w:lang w:val="ro-RO"/>
        </w:rPr>
        <w:t>6.3</w:t>
      </w:r>
      <w:r w:rsidRPr="009070BD">
        <w:rPr>
          <w:rFonts w:cs="Sylfaen"/>
          <w:bCs/>
          <w:iCs/>
          <w:lang w:val="hy-AM"/>
        </w:rPr>
        <w:t xml:space="preserve"> </w:t>
      </w:r>
      <w:r w:rsidRPr="009070BD">
        <w:rPr>
          <w:lang w:val="ro-RO"/>
        </w:rPr>
        <w:t></w:t>
      </w:r>
      <w:r w:rsidRPr="009070BD">
        <w:rPr>
          <w:lang w:val="hy-AM"/>
        </w:rPr>
        <w:t>Գյուղատնտեսական</w:t>
      </w:r>
      <w:r w:rsidRPr="009070BD">
        <w:rPr>
          <w:lang w:val="af-ZA"/>
        </w:rPr>
        <w:t xml:space="preserve"> </w:t>
      </w:r>
      <w:r w:rsidRPr="009070BD">
        <w:rPr>
          <w:lang w:val="hy-AM"/>
        </w:rPr>
        <w:t>վարկերի</w:t>
      </w:r>
      <w:r w:rsidRPr="009070BD">
        <w:rPr>
          <w:lang w:val="af-ZA"/>
        </w:rPr>
        <w:t xml:space="preserve"> </w:t>
      </w:r>
      <w:r w:rsidRPr="009070BD">
        <w:rPr>
          <w:lang w:val="hy-AM"/>
        </w:rPr>
        <w:t>տոկոսադրույքների</w:t>
      </w:r>
      <w:r w:rsidRPr="009070BD">
        <w:rPr>
          <w:lang w:val="ro-RO"/>
        </w:rPr>
        <w:t xml:space="preserve"> </w:t>
      </w:r>
      <w:r w:rsidRPr="009070BD">
        <w:rPr>
          <w:lang w:val="hy-AM"/>
        </w:rPr>
        <w:t>սուբսի</w:t>
      </w:r>
      <w:r w:rsidRPr="009070BD">
        <w:rPr>
          <w:lang w:val="ro-RO"/>
        </w:rPr>
        <w:softHyphen/>
      </w:r>
      <w:r w:rsidRPr="009070BD">
        <w:rPr>
          <w:lang w:val="hy-AM"/>
        </w:rPr>
        <w:t>դավորում</w:t>
      </w:r>
      <w:r w:rsidRPr="009070BD">
        <w:rPr>
          <w:lang w:val="ro-RO"/>
        </w:rPr>
        <w:t></w:t>
      </w:r>
      <w:r w:rsidRPr="009070BD">
        <w:rPr>
          <w:rFonts w:cs="Sylfaen"/>
          <w:b w:val="0"/>
          <w:lang w:val="ro-RO"/>
        </w:rPr>
        <w:t xml:space="preserve"> </w:t>
      </w:r>
      <w:r w:rsidRPr="009070BD">
        <w:rPr>
          <w:rFonts w:cs="Sylfaen"/>
          <w:b w:val="0"/>
          <w:lang w:val="hy-AM"/>
        </w:rPr>
        <w:t>միջոցառման</w:t>
      </w:r>
      <w:r w:rsidRPr="009070BD">
        <w:rPr>
          <w:rFonts w:cs="Sylfaen"/>
          <w:b w:val="0"/>
          <w:lang w:val="ro-RO"/>
        </w:rPr>
        <w:t xml:space="preserve"> </w:t>
      </w:r>
      <w:r w:rsidRPr="009070BD">
        <w:rPr>
          <w:rFonts w:cs="Sylfaen"/>
          <w:b w:val="0"/>
          <w:lang w:val="hy-AM"/>
        </w:rPr>
        <w:t>համար</w:t>
      </w:r>
      <w:r w:rsidRPr="009070BD">
        <w:rPr>
          <w:rFonts w:cs="Sylfaen"/>
          <w:b w:val="0"/>
          <w:lang w:val="ro-RO"/>
        </w:rPr>
        <w:t xml:space="preserve"> </w:t>
      </w:r>
      <w:r w:rsidRPr="009070BD">
        <w:rPr>
          <w:rFonts w:cs="Sylfaen"/>
          <w:b w:val="0"/>
          <w:lang w:val="hy-AM"/>
        </w:rPr>
        <w:t>Նախագծով</w:t>
      </w:r>
      <w:r w:rsidRPr="009070BD">
        <w:rPr>
          <w:b w:val="0"/>
          <w:lang w:val="ro-RO"/>
        </w:rPr>
        <w:t xml:space="preserve"> </w:t>
      </w:r>
      <w:r w:rsidRPr="009070BD">
        <w:rPr>
          <w:b w:val="0"/>
          <w:lang w:val="hy-AM"/>
        </w:rPr>
        <w:t>նախատեսվում</w:t>
      </w:r>
      <w:r w:rsidRPr="009070BD">
        <w:rPr>
          <w:b w:val="0"/>
          <w:lang w:val="ro-RO"/>
        </w:rPr>
        <w:t xml:space="preserve"> </w:t>
      </w:r>
      <w:r w:rsidRPr="009070BD">
        <w:rPr>
          <w:b w:val="0"/>
          <w:lang w:val="hy-AM"/>
        </w:rPr>
        <w:t>է</w:t>
      </w:r>
      <w:r w:rsidRPr="009070BD">
        <w:rPr>
          <w:b w:val="0"/>
          <w:lang w:val="ro-RO"/>
        </w:rPr>
        <w:t xml:space="preserve"> </w:t>
      </w:r>
      <w:r w:rsidRPr="009070BD">
        <w:rPr>
          <w:b w:val="0"/>
          <w:lang w:val="hy-AM"/>
        </w:rPr>
        <w:t>հատկացնել</w:t>
      </w:r>
      <w:r w:rsidRPr="009070BD">
        <w:rPr>
          <w:b w:val="0"/>
          <w:lang w:val="ro-RO"/>
        </w:rPr>
        <w:t xml:space="preserve"> 4,027.0 </w:t>
      </w:r>
      <w:r w:rsidRPr="009070BD">
        <w:rPr>
          <w:rFonts w:cs="Sylfaen"/>
          <w:b w:val="0"/>
          <w:lang w:val="ro-RO"/>
        </w:rPr>
        <w:t xml:space="preserve"> </w:t>
      </w:r>
      <w:r w:rsidRPr="009070BD">
        <w:rPr>
          <w:rFonts w:cs="Sylfaen"/>
          <w:b w:val="0"/>
          <w:lang w:val="hy-AM"/>
        </w:rPr>
        <w:t>մլն</w:t>
      </w:r>
      <w:r w:rsidRPr="009070BD">
        <w:rPr>
          <w:rFonts w:cs="Sylfaen"/>
          <w:b w:val="0"/>
          <w:lang w:val="ro-RO"/>
        </w:rPr>
        <w:t xml:space="preserve"> </w:t>
      </w:r>
      <w:r w:rsidRPr="009070BD">
        <w:rPr>
          <w:rFonts w:cs="Sylfaen"/>
          <w:b w:val="0"/>
          <w:lang w:val="hy-AM"/>
        </w:rPr>
        <w:t>դրամ</w:t>
      </w:r>
      <w:r w:rsidRPr="009070BD">
        <w:rPr>
          <w:rFonts w:cs="Sylfaen"/>
          <w:b w:val="0"/>
          <w:lang w:val="ro-RO"/>
        </w:rPr>
        <w:t xml:space="preserve">` </w:t>
      </w:r>
      <w:r w:rsidRPr="009070BD">
        <w:rPr>
          <w:rFonts w:cs="Sylfaen"/>
          <w:b w:val="0"/>
          <w:lang w:val="hy-AM"/>
        </w:rPr>
        <w:t>ՀՀ 20</w:t>
      </w:r>
      <w:r w:rsidRPr="009070BD">
        <w:rPr>
          <w:rFonts w:cs="Sylfaen"/>
          <w:b w:val="0"/>
          <w:lang w:val="af-ZA"/>
        </w:rPr>
        <w:t>20</w:t>
      </w:r>
      <w:r w:rsidRPr="009070BD">
        <w:rPr>
          <w:rFonts w:cs="Sylfaen"/>
          <w:b w:val="0"/>
          <w:lang w:val="hy-AM"/>
        </w:rPr>
        <w:t xml:space="preserve"> թվականի պետական բյուջեով հաստատված </w:t>
      </w:r>
      <w:r w:rsidRPr="009070BD">
        <w:rPr>
          <w:b w:val="0"/>
          <w:lang w:val="ro-RO"/>
        </w:rPr>
        <w:t xml:space="preserve">2,151.0 </w:t>
      </w:r>
      <w:r w:rsidRPr="009070BD">
        <w:rPr>
          <w:rFonts w:cs="Sylfaen"/>
          <w:b w:val="0"/>
          <w:lang w:val="hy-AM"/>
        </w:rPr>
        <w:t>մլն դրամի դիմաց</w:t>
      </w:r>
      <w:r w:rsidRPr="009070BD">
        <w:rPr>
          <w:rFonts w:cs="Sylfaen"/>
          <w:b w:val="0"/>
          <w:lang w:val="ro-RO"/>
        </w:rPr>
        <w:t xml:space="preserve"> կամ </w:t>
      </w:r>
      <w:r w:rsidRPr="009070BD">
        <w:rPr>
          <w:rFonts w:cs="Sylfaen"/>
          <w:b w:val="0"/>
          <w:lang w:val="hy-AM"/>
        </w:rPr>
        <w:t>1,876</w:t>
      </w:r>
      <w:r w:rsidRPr="009070BD">
        <w:rPr>
          <w:rFonts w:cs="Sylfaen"/>
          <w:b w:val="0"/>
          <w:lang w:val="ro-RO"/>
        </w:rPr>
        <w:t>.</w:t>
      </w:r>
      <w:r w:rsidRPr="009070BD">
        <w:rPr>
          <w:rFonts w:cs="Sylfaen"/>
          <w:b w:val="0"/>
          <w:lang w:val="hy-AM"/>
        </w:rPr>
        <w:t>0</w:t>
      </w:r>
      <w:r w:rsidRPr="009070BD">
        <w:rPr>
          <w:rFonts w:cs="Sylfaen"/>
          <w:b w:val="0"/>
          <w:lang w:val="ro-RO"/>
        </w:rPr>
        <w:t xml:space="preserve"> մլն դրամով ավել, որը պայմանավորված է</w:t>
      </w:r>
      <w:r w:rsidRPr="009070BD">
        <w:rPr>
          <w:rFonts w:cs="Sylfaen"/>
          <w:b w:val="0"/>
          <w:lang w:val="hy-AM"/>
        </w:rPr>
        <w:t xml:space="preserve"> կորոնավիրուս հիվանդության հետևանքով գյուղատնտեսական վարկերի պայմանների փոփոխությամբ </w:t>
      </w:r>
      <w:r w:rsidRPr="009070BD">
        <w:rPr>
          <w:rFonts w:cs="Sylfaen"/>
          <w:b w:val="0"/>
          <w:lang w:val="af-ZA"/>
        </w:rPr>
        <w:t>(</w:t>
      </w:r>
      <w:r w:rsidRPr="009070BD">
        <w:rPr>
          <w:rFonts w:cs="Sylfaen"/>
          <w:b w:val="0"/>
          <w:lang w:val="hy-AM"/>
        </w:rPr>
        <w:t>բարելավմամբ</w:t>
      </w:r>
      <w:r w:rsidRPr="009070BD">
        <w:rPr>
          <w:rFonts w:cs="Sylfaen"/>
          <w:b w:val="0"/>
          <w:lang w:val="af-ZA"/>
        </w:rPr>
        <w:t>)</w:t>
      </w:r>
      <w:r w:rsidRPr="009070BD">
        <w:rPr>
          <w:rFonts w:cs="Sylfaen"/>
          <w:b w:val="0"/>
          <w:lang w:val="hy-AM"/>
        </w:rPr>
        <w:t>:</w:t>
      </w:r>
    </w:p>
    <w:p w:rsidR="00B36A46" w:rsidRPr="009070BD" w:rsidRDefault="00B36A46" w:rsidP="007730AA">
      <w:pPr>
        <w:autoSpaceDE w:val="0"/>
        <w:autoSpaceDN w:val="0"/>
        <w:adjustRightInd w:val="0"/>
        <w:spacing w:before="0" w:line="276" w:lineRule="auto"/>
        <w:ind w:firstLine="720"/>
        <w:rPr>
          <w:rFonts w:cs="Sylfaen"/>
          <w:b w:val="0"/>
          <w:lang w:val="ro-RO"/>
        </w:rPr>
      </w:pPr>
      <w:r w:rsidRPr="009070BD">
        <w:rPr>
          <w:b w:val="0"/>
          <w:lang w:val="hy-AM"/>
        </w:rPr>
        <w:t>Միջոցառումն</w:t>
      </w:r>
      <w:r w:rsidRPr="009070BD">
        <w:rPr>
          <w:b w:val="0"/>
          <w:lang w:val="ro-RO"/>
        </w:rPr>
        <w:t xml:space="preserve"> </w:t>
      </w:r>
      <w:r w:rsidRPr="009070BD">
        <w:rPr>
          <w:b w:val="0"/>
          <w:lang w:val="hy-AM"/>
        </w:rPr>
        <w:t>ուղղված</w:t>
      </w:r>
      <w:r w:rsidRPr="009070BD">
        <w:rPr>
          <w:b w:val="0"/>
          <w:lang w:val="ro-RO"/>
        </w:rPr>
        <w:t xml:space="preserve"> </w:t>
      </w:r>
      <w:r w:rsidRPr="009070BD">
        <w:rPr>
          <w:b w:val="0"/>
          <w:lang w:val="hy-AM"/>
        </w:rPr>
        <w:t>է</w:t>
      </w:r>
      <w:r w:rsidRPr="009070BD">
        <w:rPr>
          <w:b w:val="0"/>
          <w:lang w:val="ro-RO"/>
        </w:rPr>
        <w:t xml:space="preserve"> </w:t>
      </w:r>
      <w:r w:rsidRPr="009070BD">
        <w:rPr>
          <w:rFonts w:cs="Sylfaen"/>
          <w:b w:val="0"/>
          <w:lang w:val="hy-AM"/>
        </w:rPr>
        <w:t>գյուղական</w:t>
      </w:r>
      <w:r w:rsidRPr="009070BD">
        <w:rPr>
          <w:rFonts w:cs="Sylfaen"/>
          <w:b w:val="0"/>
          <w:lang w:val="ro-RO"/>
        </w:rPr>
        <w:t xml:space="preserve"> </w:t>
      </w:r>
      <w:r w:rsidRPr="009070BD">
        <w:rPr>
          <w:rFonts w:cs="Sylfaen"/>
          <w:b w:val="0"/>
          <w:lang w:val="hy-AM"/>
        </w:rPr>
        <w:t>համայնքներում</w:t>
      </w:r>
      <w:r w:rsidRPr="009070BD">
        <w:rPr>
          <w:rFonts w:cs="Sylfaen"/>
          <w:b w:val="0"/>
          <w:lang w:val="ro-RO"/>
        </w:rPr>
        <w:t xml:space="preserve"> </w:t>
      </w:r>
      <w:r w:rsidRPr="009070BD">
        <w:rPr>
          <w:rFonts w:cs="Sylfaen"/>
          <w:b w:val="0"/>
          <w:lang w:val="hy-AM"/>
        </w:rPr>
        <w:t>գյուղատնտեսության</w:t>
      </w:r>
      <w:r w:rsidRPr="009070BD">
        <w:rPr>
          <w:rFonts w:cs="Sylfaen"/>
          <w:b w:val="0"/>
          <w:lang w:val="ro-RO"/>
        </w:rPr>
        <w:t xml:space="preserve"> </w:t>
      </w:r>
      <w:r w:rsidRPr="009070BD">
        <w:rPr>
          <w:rFonts w:cs="Sylfaen"/>
          <w:b w:val="0"/>
          <w:lang w:val="hy-AM"/>
        </w:rPr>
        <w:t>համար</w:t>
      </w:r>
      <w:r w:rsidRPr="009070BD">
        <w:rPr>
          <w:rFonts w:cs="Sylfaen"/>
          <w:b w:val="0"/>
          <w:lang w:val="ro-RO"/>
        </w:rPr>
        <w:t xml:space="preserve"> </w:t>
      </w:r>
      <w:r w:rsidRPr="009070BD">
        <w:rPr>
          <w:rFonts w:cs="Sylfaen"/>
          <w:b w:val="0"/>
          <w:lang w:val="hy-AM"/>
        </w:rPr>
        <w:t>առաջ</w:t>
      </w:r>
      <w:r w:rsidRPr="009070BD">
        <w:rPr>
          <w:rFonts w:cs="Sylfaen"/>
          <w:b w:val="0"/>
          <w:lang w:val="ro-RO"/>
        </w:rPr>
        <w:softHyphen/>
      </w:r>
      <w:r w:rsidRPr="009070BD">
        <w:rPr>
          <w:rFonts w:cs="Sylfaen"/>
          <w:b w:val="0"/>
          <w:lang w:val="hy-AM"/>
        </w:rPr>
        <w:t>նահերթ</w:t>
      </w:r>
      <w:r w:rsidRPr="009070BD">
        <w:rPr>
          <w:rFonts w:cs="Sylfaen"/>
          <w:b w:val="0"/>
          <w:lang w:val="ro-RO"/>
        </w:rPr>
        <w:t xml:space="preserve"> </w:t>
      </w:r>
      <w:r w:rsidRPr="009070BD">
        <w:rPr>
          <w:rFonts w:cs="Sylfaen"/>
          <w:b w:val="0"/>
          <w:lang w:val="hy-AM"/>
        </w:rPr>
        <w:t>համարվող</w:t>
      </w:r>
      <w:r w:rsidRPr="009070BD">
        <w:rPr>
          <w:rFonts w:cs="Sylfaen"/>
          <w:b w:val="0"/>
          <w:lang w:val="ro-RO"/>
        </w:rPr>
        <w:t xml:space="preserve"> </w:t>
      </w:r>
      <w:r w:rsidRPr="009070BD">
        <w:rPr>
          <w:rFonts w:cs="Sylfaen"/>
          <w:b w:val="0"/>
          <w:lang w:val="hy-AM"/>
        </w:rPr>
        <w:t>ոլորտներում</w:t>
      </w:r>
      <w:r w:rsidRPr="009070BD">
        <w:rPr>
          <w:rFonts w:cs="Sylfaen"/>
          <w:b w:val="0"/>
          <w:lang w:val="ro-RO"/>
        </w:rPr>
        <w:t xml:space="preserve"> </w:t>
      </w:r>
      <w:r w:rsidRPr="009070BD">
        <w:rPr>
          <w:rFonts w:cs="Sylfaen"/>
          <w:b w:val="0"/>
          <w:lang w:val="hy-AM"/>
        </w:rPr>
        <w:t>զբաղված</w:t>
      </w:r>
      <w:r w:rsidRPr="009070BD">
        <w:rPr>
          <w:rFonts w:cs="Sylfaen"/>
          <w:b w:val="0"/>
          <w:lang w:val="ro-RO"/>
        </w:rPr>
        <w:t xml:space="preserve"> </w:t>
      </w:r>
      <w:r w:rsidRPr="009070BD">
        <w:rPr>
          <w:rFonts w:cs="Sylfaen"/>
          <w:b w:val="0"/>
          <w:lang w:val="hy-AM"/>
        </w:rPr>
        <w:t>ֆիզիկական</w:t>
      </w:r>
      <w:r w:rsidRPr="009070BD">
        <w:rPr>
          <w:rFonts w:cs="Sylfaen"/>
          <w:b w:val="0"/>
          <w:lang w:val="ro-RO"/>
        </w:rPr>
        <w:t xml:space="preserve"> </w:t>
      </w:r>
      <w:r w:rsidRPr="009070BD">
        <w:rPr>
          <w:rFonts w:cs="Sylfaen"/>
          <w:b w:val="0"/>
          <w:lang w:val="hy-AM"/>
        </w:rPr>
        <w:t>և</w:t>
      </w:r>
      <w:r w:rsidRPr="009070BD">
        <w:rPr>
          <w:rFonts w:cs="Sylfaen"/>
          <w:b w:val="0"/>
          <w:lang w:val="ro-RO"/>
        </w:rPr>
        <w:t xml:space="preserve"> </w:t>
      </w:r>
      <w:r w:rsidRPr="009070BD">
        <w:rPr>
          <w:rFonts w:cs="Sylfaen"/>
          <w:b w:val="0"/>
          <w:lang w:val="hy-AM"/>
        </w:rPr>
        <w:t>իրավաբանական</w:t>
      </w:r>
      <w:r w:rsidRPr="009070BD">
        <w:rPr>
          <w:rFonts w:cs="Sylfaen"/>
          <w:b w:val="0"/>
          <w:lang w:val="ro-RO"/>
        </w:rPr>
        <w:t xml:space="preserve"> </w:t>
      </w:r>
      <w:r w:rsidRPr="009070BD">
        <w:rPr>
          <w:rFonts w:cs="Sylfaen"/>
          <w:b w:val="0"/>
          <w:lang w:val="hy-AM"/>
        </w:rPr>
        <w:t>անձանց</w:t>
      </w:r>
      <w:r w:rsidRPr="009070BD">
        <w:rPr>
          <w:rFonts w:cs="Sylfaen"/>
          <w:b w:val="0"/>
          <w:lang w:val="ro-RO"/>
        </w:rPr>
        <w:t xml:space="preserve"> </w:t>
      </w:r>
      <w:r w:rsidRPr="009070BD">
        <w:rPr>
          <w:rFonts w:cs="Sylfaen"/>
          <w:b w:val="0"/>
          <w:lang w:val="hy-AM"/>
        </w:rPr>
        <w:t>տրա</w:t>
      </w:r>
      <w:r w:rsidRPr="009070BD">
        <w:rPr>
          <w:rFonts w:cs="Sylfaen"/>
          <w:b w:val="0"/>
          <w:lang w:val="ro-RO"/>
        </w:rPr>
        <w:softHyphen/>
      </w:r>
      <w:r w:rsidRPr="009070BD">
        <w:rPr>
          <w:rFonts w:cs="Sylfaen"/>
          <w:b w:val="0"/>
          <w:lang w:val="hy-AM"/>
        </w:rPr>
        <w:t>մադրվող</w:t>
      </w:r>
      <w:r w:rsidRPr="009070BD">
        <w:rPr>
          <w:rFonts w:cs="Sylfaen"/>
          <w:b w:val="0"/>
          <w:lang w:val="ro-RO"/>
        </w:rPr>
        <w:t xml:space="preserve"> </w:t>
      </w:r>
      <w:r w:rsidRPr="009070BD">
        <w:rPr>
          <w:rFonts w:cs="Sylfaen"/>
          <w:b w:val="0"/>
          <w:lang w:val="hy-AM"/>
        </w:rPr>
        <w:t>վարկերի</w:t>
      </w:r>
      <w:r w:rsidRPr="009070BD">
        <w:rPr>
          <w:rFonts w:cs="Sylfaen"/>
          <w:b w:val="0"/>
          <w:lang w:val="ro-RO"/>
        </w:rPr>
        <w:t xml:space="preserve"> </w:t>
      </w:r>
      <w:r w:rsidRPr="009070BD">
        <w:rPr>
          <w:rFonts w:cs="Sylfaen"/>
          <w:b w:val="0"/>
          <w:lang w:val="hy-AM"/>
        </w:rPr>
        <w:t>տոկոսադրույքի</w:t>
      </w:r>
      <w:r w:rsidRPr="009070BD">
        <w:rPr>
          <w:rFonts w:cs="Sylfaen"/>
          <w:b w:val="0"/>
          <w:lang w:val="ro-RO"/>
        </w:rPr>
        <w:t xml:space="preserve"> </w:t>
      </w:r>
      <w:r w:rsidRPr="009070BD">
        <w:rPr>
          <w:rFonts w:cs="Sylfaen"/>
          <w:b w:val="0"/>
          <w:lang w:val="hy-AM"/>
        </w:rPr>
        <w:t>մասնակի</w:t>
      </w:r>
      <w:r w:rsidRPr="009070BD">
        <w:rPr>
          <w:rFonts w:cs="Sylfaen"/>
          <w:b w:val="0"/>
          <w:lang w:val="ro-RO"/>
        </w:rPr>
        <w:t xml:space="preserve"> </w:t>
      </w:r>
      <w:r w:rsidRPr="009070BD">
        <w:rPr>
          <w:rFonts w:cs="Sylfaen"/>
          <w:b w:val="0"/>
          <w:lang w:val="hy-AM"/>
        </w:rPr>
        <w:t>սուբսիդավորման</w:t>
      </w:r>
      <w:r w:rsidRPr="009070BD">
        <w:rPr>
          <w:rFonts w:cs="Sylfaen"/>
          <w:b w:val="0"/>
          <w:lang w:val="ro-RO"/>
        </w:rPr>
        <w:t xml:space="preserve"> </w:t>
      </w:r>
      <w:r w:rsidRPr="009070BD">
        <w:rPr>
          <w:rFonts w:cs="Sylfaen"/>
          <w:b w:val="0"/>
          <w:lang w:val="hy-AM"/>
        </w:rPr>
        <w:t>միջոցով</w:t>
      </w:r>
      <w:r w:rsidRPr="009070BD">
        <w:rPr>
          <w:rFonts w:cs="Sylfaen"/>
          <w:b w:val="0"/>
          <w:lang w:val="ro-RO"/>
        </w:rPr>
        <w:t xml:space="preserve"> </w:t>
      </w:r>
      <w:r w:rsidRPr="009070BD">
        <w:rPr>
          <w:rFonts w:cs="Sylfaen"/>
          <w:b w:val="0"/>
          <w:lang w:val="hy-AM"/>
        </w:rPr>
        <w:t>վարկավորման</w:t>
      </w:r>
      <w:r w:rsidRPr="009070BD">
        <w:rPr>
          <w:rFonts w:cs="Sylfaen"/>
          <w:b w:val="0"/>
          <w:lang w:val="ro-RO"/>
        </w:rPr>
        <w:t xml:space="preserve"> </w:t>
      </w:r>
      <w:r w:rsidRPr="009070BD">
        <w:rPr>
          <w:rFonts w:cs="Sylfaen"/>
          <w:b w:val="0"/>
          <w:lang w:val="hy-AM"/>
        </w:rPr>
        <w:t>մատ</w:t>
      </w:r>
      <w:r w:rsidRPr="009070BD">
        <w:rPr>
          <w:rFonts w:cs="Sylfaen"/>
          <w:b w:val="0"/>
          <w:lang w:val="ro-RO"/>
        </w:rPr>
        <w:softHyphen/>
      </w:r>
      <w:r w:rsidRPr="009070BD">
        <w:rPr>
          <w:rFonts w:cs="Sylfaen"/>
          <w:b w:val="0"/>
          <w:lang w:val="hy-AM"/>
        </w:rPr>
        <w:t>չելիության</w:t>
      </w:r>
      <w:r w:rsidRPr="009070BD">
        <w:rPr>
          <w:rFonts w:cs="Sylfaen"/>
          <w:b w:val="0"/>
          <w:lang w:val="ro-RO"/>
        </w:rPr>
        <w:t xml:space="preserve"> </w:t>
      </w:r>
      <w:r w:rsidRPr="009070BD">
        <w:rPr>
          <w:rFonts w:cs="Sylfaen"/>
          <w:b w:val="0"/>
          <w:lang w:val="hy-AM"/>
        </w:rPr>
        <w:t>մակարդակի</w:t>
      </w:r>
      <w:r w:rsidRPr="009070BD">
        <w:rPr>
          <w:rFonts w:cs="Sylfaen"/>
          <w:b w:val="0"/>
          <w:lang w:val="ro-RO"/>
        </w:rPr>
        <w:t xml:space="preserve"> </w:t>
      </w:r>
      <w:r w:rsidRPr="009070BD">
        <w:rPr>
          <w:rFonts w:cs="Sylfaen"/>
          <w:b w:val="0"/>
          <w:lang w:val="hy-AM"/>
        </w:rPr>
        <w:t>բարձրացմանը</w:t>
      </w:r>
      <w:r w:rsidRPr="009070BD">
        <w:rPr>
          <w:rFonts w:cs="Sylfaen"/>
          <w:b w:val="0"/>
          <w:lang w:val="ro-RO"/>
        </w:rPr>
        <w:t xml:space="preserve">: </w:t>
      </w:r>
    </w:p>
    <w:p w:rsidR="00B36A46" w:rsidRPr="009070BD" w:rsidRDefault="00B36A46" w:rsidP="007730AA">
      <w:pPr>
        <w:autoSpaceDE w:val="0"/>
        <w:autoSpaceDN w:val="0"/>
        <w:adjustRightInd w:val="0"/>
        <w:spacing w:before="0" w:line="276" w:lineRule="auto"/>
        <w:ind w:firstLine="720"/>
        <w:rPr>
          <w:rFonts w:cs="Sylfaen"/>
          <w:b w:val="0"/>
          <w:lang w:val="hy-AM"/>
        </w:rPr>
      </w:pPr>
      <w:r w:rsidRPr="009070BD">
        <w:rPr>
          <w:rFonts w:cs="Sylfaen"/>
          <w:bCs/>
          <w:iCs/>
          <w:lang w:val="ro-RO"/>
        </w:rPr>
        <w:t>6.</w:t>
      </w:r>
      <w:r w:rsidRPr="009070BD">
        <w:rPr>
          <w:rFonts w:cs="Sylfaen"/>
          <w:bCs/>
          <w:iCs/>
          <w:lang w:val="hy-AM"/>
        </w:rPr>
        <w:t>4</w:t>
      </w:r>
      <w:r w:rsidRPr="009070BD">
        <w:rPr>
          <w:rFonts w:cs="Sylfaen"/>
          <w:bCs/>
          <w:iCs/>
          <w:lang w:val="ro-RO"/>
        </w:rPr>
        <w:t xml:space="preserve"> </w:t>
      </w:r>
      <w:r w:rsidRPr="009070BD">
        <w:rPr>
          <w:rFonts w:cs="Sylfaen"/>
          <w:lang w:val="af-ZA"/>
        </w:rPr>
        <w:t>«Գյուղատնտեսական հումքի մթերումների (գնումների) նպատակով ագրովերամշակման ոլորտին տրամադրվող վարկերի տոկոսադրույքների սուբսիդավորում</w:t>
      </w:r>
      <w:r w:rsidRPr="009070BD">
        <w:rPr>
          <w:rFonts w:cs="GHEAGrapalat-Bold"/>
          <w:bCs/>
          <w:lang w:val="af-ZA"/>
        </w:rPr>
        <w:t>»</w:t>
      </w:r>
      <w:r w:rsidRPr="009070BD">
        <w:rPr>
          <w:rFonts w:cs="Sylfaen"/>
          <w:lang w:val="af-ZA"/>
        </w:rPr>
        <w:t xml:space="preserve"> </w:t>
      </w:r>
      <w:r w:rsidRPr="009070BD">
        <w:rPr>
          <w:rFonts w:cs="Sylfaen"/>
          <w:b w:val="0"/>
        </w:rPr>
        <w:t>միջոցառման</w:t>
      </w:r>
      <w:r w:rsidRPr="009070BD">
        <w:rPr>
          <w:rFonts w:cs="Sylfaen"/>
          <w:b w:val="0"/>
          <w:lang w:val="ro-RO"/>
        </w:rPr>
        <w:t xml:space="preserve"> </w:t>
      </w:r>
      <w:r w:rsidRPr="009070BD">
        <w:rPr>
          <w:rFonts w:cs="Sylfaen"/>
          <w:b w:val="0"/>
        </w:rPr>
        <w:t>համար</w:t>
      </w:r>
      <w:r w:rsidRPr="009070BD">
        <w:rPr>
          <w:rFonts w:cs="Sylfaen"/>
          <w:b w:val="0"/>
          <w:lang w:val="ro-RO"/>
        </w:rPr>
        <w:t xml:space="preserve"> </w:t>
      </w:r>
      <w:r w:rsidRPr="009070BD">
        <w:rPr>
          <w:rFonts w:cs="Sylfaen"/>
          <w:b w:val="0"/>
        </w:rPr>
        <w:t>Նախագծով</w:t>
      </w:r>
      <w:r w:rsidRPr="009070BD">
        <w:rPr>
          <w:rFonts w:cs="Sylfaen"/>
          <w:b w:val="0"/>
          <w:lang w:val="ro-RO"/>
        </w:rPr>
        <w:t xml:space="preserve"> </w:t>
      </w:r>
      <w:r w:rsidRPr="009070BD">
        <w:rPr>
          <w:b w:val="0"/>
        </w:rPr>
        <w:t>նախատեսվում</w:t>
      </w:r>
      <w:r w:rsidRPr="009070BD">
        <w:rPr>
          <w:b w:val="0"/>
          <w:lang w:val="ro-RO"/>
        </w:rPr>
        <w:t xml:space="preserve"> </w:t>
      </w:r>
      <w:r w:rsidRPr="009070BD">
        <w:rPr>
          <w:b w:val="0"/>
        </w:rPr>
        <w:t>է</w:t>
      </w:r>
      <w:r w:rsidRPr="009070BD">
        <w:rPr>
          <w:b w:val="0"/>
          <w:lang w:val="ro-RO"/>
        </w:rPr>
        <w:t xml:space="preserve"> </w:t>
      </w:r>
      <w:r w:rsidRPr="009070BD">
        <w:rPr>
          <w:b w:val="0"/>
        </w:rPr>
        <w:t>հատկացնել</w:t>
      </w:r>
      <w:r w:rsidRPr="009070BD">
        <w:rPr>
          <w:b w:val="0"/>
          <w:lang w:val="ro-RO"/>
        </w:rPr>
        <w:t xml:space="preserve"> 1,633.0 </w:t>
      </w:r>
      <w:r w:rsidRPr="009070BD">
        <w:rPr>
          <w:rFonts w:cs="Sylfaen"/>
          <w:b w:val="0"/>
        </w:rPr>
        <w:t>մլն</w:t>
      </w:r>
      <w:r w:rsidRPr="009070BD">
        <w:rPr>
          <w:rFonts w:cs="Sylfaen"/>
          <w:b w:val="0"/>
          <w:lang w:val="ro-RO"/>
        </w:rPr>
        <w:t xml:space="preserve"> </w:t>
      </w:r>
      <w:r w:rsidRPr="009070BD">
        <w:rPr>
          <w:rFonts w:cs="Sylfaen"/>
          <w:b w:val="0"/>
        </w:rPr>
        <w:t>դրամ</w:t>
      </w:r>
      <w:r w:rsidRPr="009070BD">
        <w:rPr>
          <w:rFonts w:cs="Sylfaen"/>
          <w:b w:val="0"/>
          <w:lang w:val="ro-RO"/>
        </w:rPr>
        <w:t xml:space="preserve">՝ </w:t>
      </w:r>
      <w:r w:rsidRPr="009070BD">
        <w:rPr>
          <w:rFonts w:cs="Sylfaen"/>
          <w:b w:val="0"/>
        </w:rPr>
        <w:t>ՀՀ</w:t>
      </w:r>
      <w:r w:rsidRPr="009070BD">
        <w:rPr>
          <w:rFonts w:cs="Sylfaen"/>
          <w:b w:val="0"/>
          <w:lang w:val="ro-RO"/>
        </w:rPr>
        <w:t xml:space="preserve"> 2020 </w:t>
      </w:r>
      <w:r w:rsidRPr="009070BD">
        <w:rPr>
          <w:b w:val="0"/>
        </w:rPr>
        <w:t>թվականի</w:t>
      </w:r>
      <w:r w:rsidRPr="009070BD">
        <w:rPr>
          <w:rFonts w:cs="Sylfaen"/>
          <w:b w:val="0"/>
          <w:lang w:val="ro-RO"/>
        </w:rPr>
        <w:t xml:space="preserve"> </w:t>
      </w:r>
      <w:r w:rsidRPr="009070BD">
        <w:rPr>
          <w:rFonts w:cs="Sylfaen"/>
          <w:b w:val="0"/>
        </w:rPr>
        <w:t>պետական</w:t>
      </w:r>
      <w:r w:rsidRPr="009070BD">
        <w:rPr>
          <w:rFonts w:cs="Sylfaen"/>
          <w:b w:val="0"/>
          <w:lang w:val="ro-RO"/>
        </w:rPr>
        <w:t xml:space="preserve"> </w:t>
      </w:r>
      <w:r w:rsidRPr="009070BD">
        <w:rPr>
          <w:rFonts w:cs="Sylfaen"/>
          <w:b w:val="0"/>
        </w:rPr>
        <w:t>բյուջեով</w:t>
      </w:r>
      <w:r w:rsidRPr="009070BD">
        <w:rPr>
          <w:rFonts w:cs="Sylfaen"/>
          <w:b w:val="0"/>
          <w:lang w:val="ro-RO"/>
        </w:rPr>
        <w:t xml:space="preserve"> </w:t>
      </w:r>
      <w:r w:rsidRPr="009070BD">
        <w:rPr>
          <w:rFonts w:cs="Sylfaen"/>
          <w:b w:val="0"/>
        </w:rPr>
        <w:t>հաստատված</w:t>
      </w:r>
      <w:r w:rsidRPr="009070BD">
        <w:rPr>
          <w:rFonts w:cs="Sylfaen"/>
          <w:b w:val="0"/>
          <w:lang w:val="ro-RO"/>
        </w:rPr>
        <w:t xml:space="preserve"> </w:t>
      </w:r>
      <w:r w:rsidRPr="009070BD">
        <w:rPr>
          <w:b w:val="0"/>
          <w:lang w:val="ro-RO"/>
        </w:rPr>
        <w:t xml:space="preserve">998.9 </w:t>
      </w:r>
      <w:r w:rsidRPr="009070BD">
        <w:rPr>
          <w:rFonts w:cs="Sylfaen"/>
          <w:b w:val="0"/>
        </w:rPr>
        <w:t>մլն</w:t>
      </w:r>
      <w:r w:rsidRPr="009070BD">
        <w:rPr>
          <w:rFonts w:cs="Sylfaen"/>
          <w:b w:val="0"/>
          <w:lang w:val="ro-RO"/>
        </w:rPr>
        <w:t xml:space="preserve"> </w:t>
      </w:r>
      <w:r w:rsidRPr="009070BD">
        <w:rPr>
          <w:rFonts w:cs="Sylfaen"/>
          <w:b w:val="0"/>
        </w:rPr>
        <w:t>դրամ</w:t>
      </w:r>
      <w:r w:rsidRPr="009070BD">
        <w:rPr>
          <w:b w:val="0"/>
          <w:lang w:val="hy-AM"/>
        </w:rPr>
        <w:t>ի դիմաց</w:t>
      </w:r>
      <w:r w:rsidRPr="009070BD">
        <w:rPr>
          <w:rFonts w:cs="Sylfaen"/>
          <w:b w:val="0"/>
          <w:lang w:val="ro-RO"/>
        </w:rPr>
        <w:t xml:space="preserve"> կամ </w:t>
      </w:r>
      <w:r w:rsidRPr="009070BD">
        <w:rPr>
          <w:rFonts w:cs="Sylfaen"/>
          <w:b w:val="0"/>
          <w:lang w:val="hy-AM"/>
        </w:rPr>
        <w:t>634</w:t>
      </w:r>
      <w:r w:rsidRPr="009070BD">
        <w:rPr>
          <w:rFonts w:cs="Sylfaen"/>
          <w:b w:val="0"/>
          <w:lang w:val="ro-RO"/>
        </w:rPr>
        <w:t>.</w:t>
      </w:r>
      <w:r w:rsidRPr="009070BD">
        <w:rPr>
          <w:rFonts w:cs="Sylfaen"/>
          <w:b w:val="0"/>
          <w:lang w:val="hy-AM"/>
        </w:rPr>
        <w:t>1</w:t>
      </w:r>
      <w:r w:rsidRPr="009070BD">
        <w:rPr>
          <w:rFonts w:cs="Sylfaen"/>
          <w:b w:val="0"/>
          <w:lang w:val="ro-RO"/>
        </w:rPr>
        <w:t xml:space="preserve"> մլն դրամով ավել, որը պայմանավորված է</w:t>
      </w:r>
      <w:r w:rsidRPr="009070BD">
        <w:rPr>
          <w:rFonts w:cs="Sylfaen"/>
          <w:b w:val="0"/>
          <w:lang w:val="hy-AM"/>
        </w:rPr>
        <w:t xml:space="preserve"> կորոնավիրուս հիվանդության հետևանքով գյուղատնտեսական վարկերի պայմանների փոփոխությամբ </w:t>
      </w:r>
      <w:r w:rsidRPr="009070BD">
        <w:rPr>
          <w:rFonts w:cs="Sylfaen"/>
          <w:b w:val="0"/>
          <w:lang w:val="af-ZA"/>
        </w:rPr>
        <w:t>(</w:t>
      </w:r>
      <w:r w:rsidRPr="009070BD">
        <w:rPr>
          <w:rFonts w:cs="Sylfaen"/>
          <w:b w:val="0"/>
          <w:lang w:val="hy-AM"/>
        </w:rPr>
        <w:t>բարելավմամբ</w:t>
      </w:r>
      <w:r w:rsidRPr="009070BD">
        <w:rPr>
          <w:rFonts w:cs="Sylfaen"/>
          <w:b w:val="0"/>
          <w:lang w:val="af-ZA"/>
        </w:rPr>
        <w:t>)</w:t>
      </w:r>
      <w:r w:rsidRPr="009070BD">
        <w:rPr>
          <w:rFonts w:cs="Sylfaen"/>
          <w:b w:val="0"/>
          <w:lang w:val="hy-AM"/>
        </w:rPr>
        <w:t>:</w:t>
      </w:r>
    </w:p>
    <w:p w:rsidR="00B36A46" w:rsidRPr="009070BD" w:rsidRDefault="00B36A46" w:rsidP="007730AA">
      <w:pPr>
        <w:autoSpaceDE w:val="0"/>
        <w:autoSpaceDN w:val="0"/>
        <w:adjustRightInd w:val="0"/>
        <w:spacing w:before="0" w:line="276" w:lineRule="auto"/>
        <w:ind w:firstLine="720"/>
        <w:rPr>
          <w:b w:val="0"/>
          <w:lang w:val="af-ZA"/>
        </w:rPr>
      </w:pPr>
      <w:r w:rsidRPr="009070BD">
        <w:rPr>
          <w:b w:val="0"/>
          <w:lang w:val="hy-AM"/>
        </w:rPr>
        <w:t>Միջոցառման</w:t>
      </w:r>
      <w:r w:rsidRPr="009070BD">
        <w:rPr>
          <w:b w:val="0"/>
          <w:lang w:val="af-ZA"/>
        </w:rPr>
        <w:t xml:space="preserve"> </w:t>
      </w:r>
      <w:r w:rsidRPr="009070BD">
        <w:rPr>
          <w:b w:val="0"/>
          <w:lang w:val="hy-AM"/>
        </w:rPr>
        <w:t>նպատակը</w:t>
      </w:r>
      <w:r w:rsidRPr="009070BD">
        <w:rPr>
          <w:b w:val="0"/>
          <w:lang w:val="af-ZA"/>
        </w:rPr>
        <w:t xml:space="preserve"> </w:t>
      </w:r>
      <w:r w:rsidRPr="009070BD">
        <w:rPr>
          <w:b w:val="0"/>
          <w:lang w:val="hy-AM"/>
        </w:rPr>
        <w:t>գյուղատնտեսական</w:t>
      </w:r>
      <w:r w:rsidRPr="009070BD">
        <w:rPr>
          <w:b w:val="0"/>
          <w:lang w:val="af-ZA"/>
        </w:rPr>
        <w:t xml:space="preserve"> </w:t>
      </w:r>
      <w:r w:rsidRPr="009070BD">
        <w:rPr>
          <w:b w:val="0"/>
          <w:lang w:val="hy-AM"/>
        </w:rPr>
        <w:t>մթերքներ</w:t>
      </w:r>
      <w:r w:rsidRPr="009070BD">
        <w:rPr>
          <w:b w:val="0"/>
          <w:lang w:val="af-ZA"/>
        </w:rPr>
        <w:t xml:space="preserve"> </w:t>
      </w:r>
      <w:r w:rsidRPr="009070BD">
        <w:rPr>
          <w:b w:val="0"/>
          <w:lang w:val="hy-AM"/>
        </w:rPr>
        <w:t>վերամշակող</w:t>
      </w:r>
      <w:r w:rsidRPr="009070BD">
        <w:rPr>
          <w:b w:val="0"/>
          <w:lang w:val="af-ZA"/>
        </w:rPr>
        <w:t xml:space="preserve"> </w:t>
      </w:r>
      <w:r w:rsidRPr="009070BD">
        <w:rPr>
          <w:b w:val="0"/>
          <w:lang w:val="hy-AM"/>
        </w:rPr>
        <w:t>արդյունաբերության</w:t>
      </w:r>
      <w:r w:rsidRPr="009070BD">
        <w:rPr>
          <w:b w:val="0"/>
          <w:lang w:val="af-ZA"/>
        </w:rPr>
        <w:t xml:space="preserve"> </w:t>
      </w:r>
      <w:r w:rsidRPr="009070BD">
        <w:rPr>
          <w:b w:val="0"/>
          <w:lang w:val="hy-AM"/>
        </w:rPr>
        <w:t>ոլորտում</w:t>
      </w:r>
      <w:r w:rsidRPr="009070BD">
        <w:rPr>
          <w:b w:val="0"/>
          <w:lang w:val="af-ZA"/>
        </w:rPr>
        <w:t xml:space="preserve"> </w:t>
      </w:r>
      <w:r w:rsidRPr="009070BD">
        <w:rPr>
          <w:b w:val="0"/>
          <w:lang w:val="hy-AM"/>
        </w:rPr>
        <w:t>զբաղված</w:t>
      </w:r>
      <w:r w:rsidRPr="009070BD">
        <w:rPr>
          <w:b w:val="0"/>
          <w:lang w:val="af-ZA"/>
        </w:rPr>
        <w:t xml:space="preserve"> </w:t>
      </w:r>
      <w:r w:rsidRPr="009070BD">
        <w:rPr>
          <w:b w:val="0"/>
          <w:lang w:val="hy-AM"/>
        </w:rPr>
        <w:t>իրավաբանական</w:t>
      </w:r>
      <w:r w:rsidRPr="009070BD">
        <w:rPr>
          <w:b w:val="0"/>
          <w:lang w:val="af-ZA"/>
        </w:rPr>
        <w:t xml:space="preserve"> </w:t>
      </w:r>
      <w:r w:rsidRPr="009070BD">
        <w:rPr>
          <w:b w:val="0"/>
          <w:lang w:val="hy-AM"/>
        </w:rPr>
        <w:t>անձանց</w:t>
      </w:r>
      <w:r w:rsidRPr="009070BD">
        <w:rPr>
          <w:b w:val="0"/>
          <w:lang w:val="af-ZA"/>
        </w:rPr>
        <w:t xml:space="preserve"> </w:t>
      </w:r>
      <w:r w:rsidRPr="009070BD">
        <w:rPr>
          <w:b w:val="0"/>
          <w:lang w:val="hy-AM"/>
        </w:rPr>
        <w:t>պտուղբանջարեղենի</w:t>
      </w:r>
      <w:r w:rsidRPr="009070BD">
        <w:rPr>
          <w:b w:val="0"/>
          <w:lang w:val="af-ZA"/>
        </w:rPr>
        <w:t xml:space="preserve"> </w:t>
      </w:r>
      <w:r w:rsidRPr="009070BD">
        <w:rPr>
          <w:b w:val="0"/>
          <w:lang w:val="hy-AM"/>
        </w:rPr>
        <w:t>և</w:t>
      </w:r>
      <w:r w:rsidRPr="009070BD">
        <w:rPr>
          <w:b w:val="0"/>
          <w:lang w:val="af-ZA"/>
        </w:rPr>
        <w:t xml:space="preserve"> </w:t>
      </w:r>
      <w:r w:rsidRPr="009070BD">
        <w:rPr>
          <w:b w:val="0"/>
          <w:lang w:val="hy-AM"/>
        </w:rPr>
        <w:t>խաղողի</w:t>
      </w:r>
      <w:r w:rsidRPr="009070BD">
        <w:rPr>
          <w:b w:val="0"/>
          <w:lang w:val="af-ZA"/>
        </w:rPr>
        <w:t xml:space="preserve"> </w:t>
      </w:r>
      <w:r w:rsidRPr="009070BD">
        <w:rPr>
          <w:b w:val="0"/>
          <w:lang w:val="hy-AM"/>
        </w:rPr>
        <w:t>մթերումների</w:t>
      </w:r>
      <w:r w:rsidRPr="009070BD">
        <w:rPr>
          <w:b w:val="0"/>
          <w:lang w:val="af-ZA"/>
        </w:rPr>
        <w:t xml:space="preserve"> </w:t>
      </w:r>
      <w:r w:rsidRPr="009070BD">
        <w:rPr>
          <w:b w:val="0"/>
          <w:lang w:val="hy-AM"/>
        </w:rPr>
        <w:t>նպատակով</w:t>
      </w:r>
      <w:r w:rsidRPr="009070BD">
        <w:rPr>
          <w:b w:val="0"/>
          <w:lang w:val="af-ZA"/>
        </w:rPr>
        <w:t xml:space="preserve"> </w:t>
      </w:r>
      <w:r w:rsidRPr="009070BD">
        <w:rPr>
          <w:b w:val="0"/>
          <w:lang w:val="hy-AM"/>
        </w:rPr>
        <w:t>տրամադրվող</w:t>
      </w:r>
      <w:r w:rsidRPr="009070BD">
        <w:rPr>
          <w:b w:val="0"/>
          <w:lang w:val="af-ZA"/>
        </w:rPr>
        <w:t xml:space="preserve"> </w:t>
      </w:r>
      <w:r w:rsidRPr="009070BD">
        <w:rPr>
          <w:b w:val="0"/>
          <w:lang w:val="hy-AM"/>
        </w:rPr>
        <w:t>նպատակային</w:t>
      </w:r>
      <w:r w:rsidRPr="009070BD">
        <w:rPr>
          <w:b w:val="0"/>
          <w:lang w:val="af-ZA"/>
        </w:rPr>
        <w:t xml:space="preserve"> </w:t>
      </w:r>
      <w:r w:rsidRPr="009070BD">
        <w:rPr>
          <w:b w:val="0"/>
          <w:lang w:val="hy-AM"/>
        </w:rPr>
        <w:t>վարկերի</w:t>
      </w:r>
      <w:r w:rsidRPr="009070BD">
        <w:rPr>
          <w:b w:val="0"/>
          <w:lang w:val="af-ZA"/>
        </w:rPr>
        <w:t xml:space="preserve"> </w:t>
      </w:r>
      <w:r w:rsidRPr="009070BD">
        <w:rPr>
          <w:b w:val="0"/>
          <w:lang w:val="hy-AM"/>
        </w:rPr>
        <w:t>տոկոսադրույքի</w:t>
      </w:r>
      <w:r w:rsidRPr="009070BD">
        <w:rPr>
          <w:b w:val="0"/>
          <w:lang w:val="af-ZA"/>
        </w:rPr>
        <w:t xml:space="preserve"> </w:t>
      </w:r>
      <w:r w:rsidRPr="009070BD">
        <w:rPr>
          <w:b w:val="0"/>
          <w:lang w:val="hy-AM"/>
        </w:rPr>
        <w:t>մասնակի</w:t>
      </w:r>
      <w:r w:rsidRPr="009070BD">
        <w:rPr>
          <w:b w:val="0"/>
          <w:lang w:val="af-ZA"/>
        </w:rPr>
        <w:t xml:space="preserve"> </w:t>
      </w:r>
      <w:r w:rsidRPr="009070BD">
        <w:rPr>
          <w:b w:val="0"/>
          <w:lang w:val="hy-AM"/>
        </w:rPr>
        <w:t>սուբսիդավորման</w:t>
      </w:r>
      <w:r w:rsidRPr="009070BD">
        <w:rPr>
          <w:b w:val="0"/>
          <w:lang w:val="af-ZA"/>
        </w:rPr>
        <w:t xml:space="preserve"> </w:t>
      </w:r>
      <w:r w:rsidRPr="009070BD">
        <w:rPr>
          <w:b w:val="0"/>
          <w:lang w:val="hy-AM"/>
        </w:rPr>
        <w:t>միջոցով</w:t>
      </w:r>
      <w:r w:rsidRPr="009070BD">
        <w:rPr>
          <w:b w:val="0"/>
          <w:lang w:val="af-ZA"/>
        </w:rPr>
        <w:t xml:space="preserve"> </w:t>
      </w:r>
      <w:r w:rsidRPr="009070BD">
        <w:rPr>
          <w:b w:val="0"/>
          <w:lang w:val="hy-AM"/>
        </w:rPr>
        <w:t>վարկավորման</w:t>
      </w:r>
      <w:r w:rsidRPr="009070BD">
        <w:rPr>
          <w:b w:val="0"/>
          <w:lang w:val="af-ZA"/>
        </w:rPr>
        <w:t xml:space="preserve"> </w:t>
      </w:r>
      <w:r w:rsidRPr="009070BD">
        <w:rPr>
          <w:b w:val="0"/>
          <w:lang w:val="hy-AM"/>
        </w:rPr>
        <w:t>մատչելիության</w:t>
      </w:r>
      <w:r w:rsidRPr="009070BD">
        <w:rPr>
          <w:b w:val="0"/>
          <w:lang w:val="af-ZA"/>
        </w:rPr>
        <w:t xml:space="preserve"> </w:t>
      </w:r>
      <w:r w:rsidRPr="009070BD">
        <w:rPr>
          <w:b w:val="0"/>
          <w:lang w:val="hy-AM"/>
        </w:rPr>
        <w:t>բարձրացումն</w:t>
      </w:r>
      <w:r w:rsidRPr="009070BD">
        <w:rPr>
          <w:b w:val="0"/>
          <w:lang w:val="af-ZA"/>
        </w:rPr>
        <w:t xml:space="preserve"> </w:t>
      </w:r>
      <w:r w:rsidRPr="009070BD">
        <w:rPr>
          <w:b w:val="0"/>
          <w:lang w:val="hy-AM"/>
        </w:rPr>
        <w:t>է</w:t>
      </w:r>
      <w:r w:rsidRPr="009070BD">
        <w:rPr>
          <w:b w:val="0"/>
          <w:lang w:val="af-ZA"/>
        </w:rPr>
        <w:t xml:space="preserve">, </w:t>
      </w:r>
      <w:r w:rsidRPr="009070BD">
        <w:rPr>
          <w:b w:val="0"/>
          <w:lang w:val="hy-AM"/>
        </w:rPr>
        <w:t>որի</w:t>
      </w:r>
      <w:r w:rsidRPr="009070BD">
        <w:rPr>
          <w:b w:val="0"/>
          <w:lang w:val="af-ZA"/>
        </w:rPr>
        <w:t xml:space="preserve"> </w:t>
      </w:r>
      <w:r w:rsidRPr="009070BD">
        <w:rPr>
          <w:b w:val="0"/>
          <w:lang w:val="hy-AM"/>
        </w:rPr>
        <w:t>արդյունքում</w:t>
      </w:r>
      <w:r w:rsidRPr="009070BD">
        <w:rPr>
          <w:b w:val="0"/>
          <w:lang w:val="af-ZA"/>
        </w:rPr>
        <w:t xml:space="preserve"> </w:t>
      </w:r>
      <w:r w:rsidRPr="009070BD">
        <w:rPr>
          <w:b w:val="0"/>
          <w:lang w:val="hy-AM"/>
        </w:rPr>
        <w:t>կապահովվի</w:t>
      </w:r>
      <w:r w:rsidRPr="009070BD">
        <w:rPr>
          <w:b w:val="0"/>
          <w:lang w:val="af-ZA"/>
        </w:rPr>
        <w:t xml:space="preserve"> </w:t>
      </w:r>
      <w:r w:rsidRPr="009070BD">
        <w:rPr>
          <w:b w:val="0"/>
          <w:lang w:val="hy-AM"/>
        </w:rPr>
        <w:t>գյուղատնտեսական</w:t>
      </w:r>
      <w:r w:rsidRPr="009070BD">
        <w:rPr>
          <w:b w:val="0"/>
          <w:lang w:val="af-ZA"/>
        </w:rPr>
        <w:t xml:space="preserve"> </w:t>
      </w:r>
      <w:r w:rsidRPr="009070BD">
        <w:rPr>
          <w:b w:val="0"/>
          <w:lang w:val="hy-AM"/>
        </w:rPr>
        <w:t>մթերքների</w:t>
      </w:r>
      <w:r w:rsidRPr="009070BD">
        <w:rPr>
          <w:b w:val="0"/>
          <w:lang w:val="af-ZA"/>
        </w:rPr>
        <w:t xml:space="preserve"> </w:t>
      </w:r>
      <w:r w:rsidRPr="009070BD">
        <w:rPr>
          <w:b w:val="0"/>
          <w:lang w:val="hy-AM"/>
        </w:rPr>
        <w:t>գնման</w:t>
      </w:r>
      <w:r w:rsidRPr="009070BD">
        <w:rPr>
          <w:b w:val="0"/>
          <w:lang w:val="af-ZA"/>
        </w:rPr>
        <w:t xml:space="preserve"> </w:t>
      </w:r>
      <w:r w:rsidRPr="009070BD">
        <w:rPr>
          <w:b w:val="0"/>
          <w:lang w:val="hy-AM"/>
        </w:rPr>
        <w:t>դիմաց</w:t>
      </w:r>
      <w:r w:rsidRPr="009070BD">
        <w:rPr>
          <w:b w:val="0"/>
          <w:lang w:val="af-ZA"/>
        </w:rPr>
        <w:t xml:space="preserve"> </w:t>
      </w:r>
      <w:r w:rsidRPr="009070BD">
        <w:rPr>
          <w:b w:val="0"/>
          <w:lang w:val="hy-AM"/>
        </w:rPr>
        <w:t>գյուղացիական</w:t>
      </w:r>
      <w:r w:rsidRPr="009070BD">
        <w:rPr>
          <w:b w:val="0"/>
          <w:lang w:val="af-ZA"/>
        </w:rPr>
        <w:t xml:space="preserve"> </w:t>
      </w:r>
      <w:r w:rsidRPr="009070BD">
        <w:rPr>
          <w:b w:val="0"/>
          <w:lang w:val="hy-AM"/>
        </w:rPr>
        <w:t>տնտեսություններին</w:t>
      </w:r>
      <w:r w:rsidRPr="009070BD">
        <w:rPr>
          <w:b w:val="0"/>
          <w:lang w:val="af-ZA"/>
        </w:rPr>
        <w:t xml:space="preserve"> </w:t>
      </w:r>
      <w:r w:rsidRPr="009070BD">
        <w:rPr>
          <w:b w:val="0"/>
          <w:lang w:val="hy-AM"/>
        </w:rPr>
        <w:t>կատարվող</w:t>
      </w:r>
      <w:r w:rsidRPr="009070BD">
        <w:rPr>
          <w:b w:val="0"/>
          <w:lang w:val="af-ZA"/>
        </w:rPr>
        <w:t xml:space="preserve"> </w:t>
      </w:r>
      <w:r w:rsidRPr="009070BD">
        <w:rPr>
          <w:b w:val="0"/>
          <w:lang w:val="hy-AM"/>
        </w:rPr>
        <w:t>վճարումների</w:t>
      </w:r>
      <w:r w:rsidRPr="009070BD">
        <w:rPr>
          <w:b w:val="0"/>
          <w:lang w:val="af-ZA"/>
        </w:rPr>
        <w:t xml:space="preserve"> </w:t>
      </w:r>
      <w:r w:rsidRPr="009070BD">
        <w:rPr>
          <w:b w:val="0"/>
          <w:lang w:val="hy-AM"/>
        </w:rPr>
        <w:t>ժամանակին</w:t>
      </w:r>
      <w:r w:rsidRPr="009070BD">
        <w:rPr>
          <w:b w:val="0"/>
          <w:lang w:val="af-ZA"/>
        </w:rPr>
        <w:t xml:space="preserve"> </w:t>
      </w:r>
      <w:r w:rsidRPr="009070BD">
        <w:rPr>
          <w:b w:val="0"/>
          <w:lang w:val="hy-AM"/>
        </w:rPr>
        <w:t>կատարումը</w:t>
      </w:r>
      <w:r w:rsidRPr="009070BD">
        <w:rPr>
          <w:b w:val="0"/>
          <w:lang w:val="af-ZA"/>
        </w:rPr>
        <w:t xml:space="preserve">, </w:t>
      </w:r>
      <w:r w:rsidRPr="009070BD">
        <w:rPr>
          <w:b w:val="0"/>
          <w:lang w:val="hy-AM"/>
        </w:rPr>
        <w:t>կբարձրանա</w:t>
      </w:r>
      <w:r w:rsidRPr="009070BD">
        <w:rPr>
          <w:b w:val="0"/>
          <w:lang w:val="af-ZA"/>
        </w:rPr>
        <w:t xml:space="preserve"> </w:t>
      </w:r>
      <w:r w:rsidRPr="009070BD">
        <w:rPr>
          <w:b w:val="0"/>
          <w:lang w:val="hy-AM"/>
        </w:rPr>
        <w:t>գյուղատնտեսական</w:t>
      </w:r>
      <w:r w:rsidRPr="009070BD">
        <w:rPr>
          <w:b w:val="0"/>
          <w:lang w:val="af-ZA"/>
        </w:rPr>
        <w:t xml:space="preserve"> </w:t>
      </w:r>
      <w:r w:rsidRPr="009070BD">
        <w:rPr>
          <w:b w:val="0"/>
          <w:lang w:val="hy-AM"/>
        </w:rPr>
        <w:t>մթերքների</w:t>
      </w:r>
      <w:r w:rsidRPr="009070BD">
        <w:rPr>
          <w:b w:val="0"/>
          <w:lang w:val="af-ZA"/>
        </w:rPr>
        <w:t xml:space="preserve"> </w:t>
      </w:r>
      <w:r w:rsidRPr="009070BD">
        <w:rPr>
          <w:b w:val="0"/>
          <w:lang w:val="hy-AM"/>
        </w:rPr>
        <w:t>վերամշակումից</w:t>
      </w:r>
      <w:r w:rsidRPr="009070BD">
        <w:rPr>
          <w:b w:val="0"/>
          <w:lang w:val="af-ZA"/>
        </w:rPr>
        <w:t xml:space="preserve"> </w:t>
      </w:r>
      <w:r w:rsidRPr="009070BD">
        <w:rPr>
          <w:b w:val="0"/>
          <w:lang w:val="hy-AM"/>
        </w:rPr>
        <w:t>ստացվող</w:t>
      </w:r>
      <w:r w:rsidRPr="009070BD">
        <w:rPr>
          <w:b w:val="0"/>
          <w:lang w:val="af-ZA"/>
        </w:rPr>
        <w:t xml:space="preserve"> </w:t>
      </w:r>
      <w:r w:rsidRPr="009070BD">
        <w:rPr>
          <w:b w:val="0"/>
          <w:lang w:val="hy-AM"/>
        </w:rPr>
        <w:t>արտադրանքի</w:t>
      </w:r>
      <w:r w:rsidRPr="009070BD">
        <w:rPr>
          <w:b w:val="0"/>
          <w:lang w:val="af-ZA"/>
        </w:rPr>
        <w:t xml:space="preserve"> </w:t>
      </w:r>
      <w:r w:rsidRPr="009070BD">
        <w:rPr>
          <w:b w:val="0"/>
          <w:lang w:val="hy-AM"/>
        </w:rPr>
        <w:t>մրցունակության</w:t>
      </w:r>
      <w:r w:rsidRPr="009070BD">
        <w:rPr>
          <w:b w:val="0"/>
          <w:lang w:val="af-ZA"/>
        </w:rPr>
        <w:t xml:space="preserve"> </w:t>
      </w:r>
      <w:r w:rsidRPr="009070BD">
        <w:rPr>
          <w:b w:val="0"/>
          <w:lang w:val="hy-AM"/>
        </w:rPr>
        <w:t>մակարդակը</w:t>
      </w:r>
      <w:r w:rsidRPr="009070BD">
        <w:rPr>
          <w:b w:val="0"/>
          <w:lang w:val="af-ZA"/>
        </w:rPr>
        <w:t xml:space="preserve">, </w:t>
      </w:r>
      <w:r w:rsidRPr="009070BD">
        <w:rPr>
          <w:b w:val="0"/>
          <w:lang w:val="hy-AM"/>
        </w:rPr>
        <w:t>կավելանան</w:t>
      </w:r>
      <w:r w:rsidRPr="009070BD">
        <w:rPr>
          <w:b w:val="0"/>
          <w:lang w:val="af-ZA"/>
        </w:rPr>
        <w:t xml:space="preserve"> </w:t>
      </w:r>
      <w:r w:rsidRPr="009070BD">
        <w:rPr>
          <w:b w:val="0"/>
          <w:lang w:val="hy-AM"/>
        </w:rPr>
        <w:t>գյուղատնտեսական</w:t>
      </w:r>
      <w:r w:rsidRPr="009070BD">
        <w:rPr>
          <w:b w:val="0"/>
          <w:lang w:val="af-ZA"/>
        </w:rPr>
        <w:t xml:space="preserve"> </w:t>
      </w:r>
      <w:r w:rsidRPr="009070BD">
        <w:rPr>
          <w:b w:val="0"/>
          <w:lang w:val="hy-AM"/>
        </w:rPr>
        <w:t>մթերքների</w:t>
      </w:r>
      <w:r w:rsidRPr="009070BD">
        <w:rPr>
          <w:b w:val="0"/>
          <w:lang w:val="af-ZA"/>
        </w:rPr>
        <w:t xml:space="preserve"> </w:t>
      </w:r>
      <w:r w:rsidRPr="009070BD">
        <w:rPr>
          <w:b w:val="0"/>
          <w:lang w:val="hy-AM"/>
        </w:rPr>
        <w:t>վերամշակումից</w:t>
      </w:r>
      <w:r w:rsidRPr="009070BD">
        <w:rPr>
          <w:b w:val="0"/>
          <w:lang w:val="af-ZA"/>
        </w:rPr>
        <w:t xml:space="preserve"> </w:t>
      </w:r>
      <w:r w:rsidRPr="009070BD">
        <w:rPr>
          <w:b w:val="0"/>
          <w:lang w:val="hy-AM"/>
        </w:rPr>
        <w:t>ստացվող</w:t>
      </w:r>
      <w:r w:rsidRPr="009070BD">
        <w:rPr>
          <w:b w:val="0"/>
          <w:lang w:val="af-ZA"/>
        </w:rPr>
        <w:t xml:space="preserve"> </w:t>
      </w:r>
      <w:r w:rsidRPr="009070BD">
        <w:rPr>
          <w:b w:val="0"/>
          <w:lang w:val="hy-AM"/>
        </w:rPr>
        <w:t>արտադրանքի</w:t>
      </w:r>
      <w:r w:rsidRPr="009070BD">
        <w:rPr>
          <w:b w:val="0"/>
          <w:lang w:val="af-ZA"/>
        </w:rPr>
        <w:t xml:space="preserve"> </w:t>
      </w:r>
      <w:r w:rsidRPr="009070BD">
        <w:rPr>
          <w:b w:val="0"/>
          <w:lang w:val="hy-AM"/>
        </w:rPr>
        <w:t>արտադրության</w:t>
      </w:r>
      <w:r w:rsidRPr="009070BD">
        <w:rPr>
          <w:b w:val="0"/>
          <w:lang w:val="af-ZA"/>
        </w:rPr>
        <w:t xml:space="preserve"> </w:t>
      </w:r>
      <w:r w:rsidRPr="009070BD">
        <w:rPr>
          <w:b w:val="0"/>
          <w:lang w:val="hy-AM"/>
        </w:rPr>
        <w:t>ու</w:t>
      </w:r>
      <w:r w:rsidRPr="009070BD">
        <w:rPr>
          <w:b w:val="0"/>
          <w:lang w:val="af-ZA"/>
        </w:rPr>
        <w:t xml:space="preserve"> </w:t>
      </w:r>
      <w:r w:rsidRPr="009070BD">
        <w:rPr>
          <w:b w:val="0"/>
          <w:lang w:val="hy-AM"/>
        </w:rPr>
        <w:t>արտահանման</w:t>
      </w:r>
      <w:r w:rsidRPr="009070BD">
        <w:rPr>
          <w:b w:val="0"/>
          <w:lang w:val="af-ZA"/>
        </w:rPr>
        <w:t xml:space="preserve"> </w:t>
      </w:r>
      <w:r w:rsidRPr="009070BD">
        <w:rPr>
          <w:b w:val="0"/>
          <w:lang w:val="hy-AM"/>
        </w:rPr>
        <w:t>ծավալները</w:t>
      </w:r>
      <w:r w:rsidRPr="009070BD">
        <w:rPr>
          <w:b w:val="0"/>
          <w:lang w:val="af-ZA"/>
        </w:rPr>
        <w:t xml:space="preserve">, </w:t>
      </w:r>
      <w:r w:rsidRPr="009070BD">
        <w:rPr>
          <w:b w:val="0"/>
          <w:lang w:val="hy-AM"/>
        </w:rPr>
        <w:t>կաճի</w:t>
      </w:r>
      <w:r w:rsidRPr="009070BD">
        <w:rPr>
          <w:b w:val="0"/>
          <w:lang w:val="af-ZA"/>
        </w:rPr>
        <w:t xml:space="preserve"> </w:t>
      </w:r>
      <w:r w:rsidRPr="009070BD">
        <w:rPr>
          <w:b w:val="0"/>
          <w:lang w:val="hy-AM"/>
        </w:rPr>
        <w:t>հանրապետության</w:t>
      </w:r>
      <w:r w:rsidRPr="009070BD">
        <w:rPr>
          <w:b w:val="0"/>
          <w:lang w:val="af-ZA"/>
        </w:rPr>
        <w:t xml:space="preserve"> </w:t>
      </w:r>
      <w:r w:rsidRPr="009070BD">
        <w:rPr>
          <w:b w:val="0"/>
          <w:lang w:val="hy-AM"/>
        </w:rPr>
        <w:t>մշակող</w:t>
      </w:r>
      <w:r w:rsidRPr="009070BD">
        <w:rPr>
          <w:b w:val="0"/>
          <w:lang w:val="af-ZA"/>
        </w:rPr>
        <w:t xml:space="preserve"> </w:t>
      </w:r>
      <w:r w:rsidRPr="009070BD">
        <w:rPr>
          <w:b w:val="0"/>
          <w:lang w:val="hy-AM"/>
        </w:rPr>
        <w:t>արդյունաբերության</w:t>
      </w:r>
      <w:r w:rsidRPr="009070BD">
        <w:rPr>
          <w:b w:val="0"/>
          <w:lang w:val="af-ZA"/>
        </w:rPr>
        <w:t xml:space="preserve"> </w:t>
      </w:r>
      <w:r w:rsidRPr="009070BD">
        <w:rPr>
          <w:b w:val="0"/>
          <w:lang w:val="hy-AM"/>
        </w:rPr>
        <w:t>արտադրանքի</w:t>
      </w:r>
      <w:r w:rsidRPr="009070BD">
        <w:rPr>
          <w:b w:val="0"/>
          <w:lang w:val="af-ZA"/>
        </w:rPr>
        <w:t xml:space="preserve"> </w:t>
      </w:r>
      <w:r w:rsidRPr="009070BD">
        <w:rPr>
          <w:b w:val="0"/>
          <w:lang w:val="hy-AM"/>
        </w:rPr>
        <w:t>արտադրության</w:t>
      </w:r>
      <w:r w:rsidRPr="009070BD">
        <w:rPr>
          <w:b w:val="0"/>
          <w:lang w:val="af-ZA"/>
        </w:rPr>
        <w:t xml:space="preserve"> </w:t>
      </w:r>
      <w:r w:rsidRPr="009070BD">
        <w:rPr>
          <w:b w:val="0"/>
          <w:lang w:val="hy-AM"/>
        </w:rPr>
        <w:t>ծավալում</w:t>
      </w:r>
      <w:r w:rsidRPr="009070BD">
        <w:rPr>
          <w:b w:val="0"/>
          <w:lang w:val="af-ZA"/>
        </w:rPr>
        <w:t xml:space="preserve"> </w:t>
      </w:r>
      <w:r w:rsidRPr="009070BD">
        <w:rPr>
          <w:b w:val="0"/>
          <w:lang w:val="hy-AM"/>
        </w:rPr>
        <w:t>ագրովերամշակման</w:t>
      </w:r>
      <w:r w:rsidRPr="009070BD">
        <w:rPr>
          <w:b w:val="0"/>
          <w:lang w:val="af-ZA"/>
        </w:rPr>
        <w:t xml:space="preserve"> </w:t>
      </w:r>
      <w:r w:rsidRPr="009070BD">
        <w:rPr>
          <w:b w:val="0"/>
          <w:lang w:val="hy-AM"/>
        </w:rPr>
        <w:t>արտադրության</w:t>
      </w:r>
      <w:r w:rsidRPr="009070BD">
        <w:rPr>
          <w:b w:val="0"/>
          <w:lang w:val="af-ZA"/>
        </w:rPr>
        <w:t xml:space="preserve"> </w:t>
      </w:r>
      <w:r w:rsidRPr="009070BD">
        <w:rPr>
          <w:b w:val="0"/>
          <w:lang w:val="hy-AM"/>
        </w:rPr>
        <w:t>արտադրանքի</w:t>
      </w:r>
      <w:r w:rsidRPr="009070BD">
        <w:rPr>
          <w:b w:val="0"/>
          <w:lang w:val="af-ZA"/>
        </w:rPr>
        <w:t xml:space="preserve"> </w:t>
      </w:r>
      <w:r w:rsidRPr="009070BD">
        <w:rPr>
          <w:b w:val="0"/>
          <w:lang w:val="hy-AM"/>
        </w:rPr>
        <w:t>մասնաբաժինը</w:t>
      </w:r>
      <w:r w:rsidRPr="009070BD">
        <w:rPr>
          <w:b w:val="0"/>
          <w:lang w:val="af-ZA"/>
        </w:rPr>
        <w:t>:</w:t>
      </w:r>
    </w:p>
    <w:p w:rsidR="00B36A46" w:rsidRPr="009070BD" w:rsidRDefault="00B36A46" w:rsidP="007730AA">
      <w:pPr>
        <w:spacing w:before="0" w:line="276" w:lineRule="auto"/>
        <w:ind w:firstLine="720"/>
        <w:rPr>
          <w:rFonts w:cs="Sylfaen"/>
          <w:b w:val="0"/>
          <w:lang w:val="af-ZA"/>
        </w:rPr>
      </w:pPr>
      <w:r w:rsidRPr="009070BD">
        <w:rPr>
          <w:rFonts w:cs="Sylfaen"/>
          <w:lang w:val="af-ZA"/>
        </w:rPr>
        <w:t>7. Բուսաբուծության խթանում և բույսերի պաշտպանություն</w:t>
      </w:r>
      <w:r w:rsidRPr="009070BD">
        <w:rPr>
          <w:rFonts w:cs="Sylfaen"/>
          <w:b w:val="0"/>
          <w:lang w:val="af-ZA"/>
        </w:rPr>
        <w:t xml:space="preserve"> ծրագրի համար Նախագծով նախատեսվում է հատկացնել </w:t>
      </w:r>
      <w:r w:rsidR="00117380">
        <w:rPr>
          <w:rFonts w:cs="Sylfaen"/>
          <w:b w:val="0"/>
          <w:lang w:val="hy-AM"/>
        </w:rPr>
        <w:t>412.1</w:t>
      </w:r>
      <w:r w:rsidRPr="009070BD">
        <w:rPr>
          <w:rFonts w:cs="Sylfaen"/>
          <w:b w:val="0"/>
          <w:lang w:val="af-ZA"/>
        </w:rPr>
        <w:t xml:space="preserve"> մլն դրամ: Ծրագրի շրջանակներում նախատեսվում է իրականացնել հետևյալ միջոցառումները.</w:t>
      </w:r>
    </w:p>
    <w:p w:rsidR="00B36A46" w:rsidRPr="009070BD" w:rsidRDefault="00B36A46" w:rsidP="007730AA">
      <w:pPr>
        <w:autoSpaceDE w:val="0"/>
        <w:autoSpaceDN w:val="0"/>
        <w:adjustRightInd w:val="0"/>
        <w:spacing w:before="0" w:line="276" w:lineRule="auto"/>
        <w:ind w:firstLine="720"/>
        <w:rPr>
          <w:rFonts w:cs="Sylfaen"/>
          <w:b w:val="0"/>
          <w:lang w:val="hy-AM"/>
        </w:rPr>
      </w:pPr>
      <w:r w:rsidRPr="009070BD">
        <w:rPr>
          <w:rFonts w:cs="Sylfaen"/>
          <w:lang w:val="af-ZA"/>
        </w:rPr>
        <w:t xml:space="preserve">7.1 </w:t>
      </w:r>
      <w:r w:rsidRPr="009070BD">
        <w:rPr>
          <w:rFonts w:cs="Sylfaen"/>
          <w:lang w:val="ro-RO"/>
        </w:rPr>
        <w:t>Բուսասանիտարիայի ծառայությունների</w:t>
      </w:r>
      <w:r w:rsidRPr="009070BD">
        <w:rPr>
          <w:rFonts w:cs="Sylfaen"/>
          <w:lang w:val="hy-AM"/>
        </w:rPr>
        <w:t>,</w:t>
      </w:r>
      <w:r w:rsidRPr="009070BD">
        <w:rPr>
          <w:rFonts w:cs="Sylfaen"/>
          <w:lang w:val="ro-RO"/>
        </w:rPr>
        <w:t xml:space="preserve"> հողերի ագրոքիմիական հետազոտության և բերրիության բարձրացման միջոցառումների իրականացում</w:t>
      </w:r>
      <w:r w:rsidRPr="009070BD">
        <w:rPr>
          <w:rFonts w:cs="Sylfaen"/>
          <w:b w:val="0"/>
          <w:lang w:val="ro-RO"/>
        </w:rPr>
        <w:t xml:space="preserve"> միջոցառման համար Նա</w:t>
      </w:r>
      <w:r w:rsidR="00117380">
        <w:rPr>
          <w:rFonts w:cs="Sylfaen"/>
          <w:b w:val="0"/>
          <w:lang w:val="ro-RO"/>
        </w:rPr>
        <w:t>խագծով նախատեսվում է հատկացնել 95.</w:t>
      </w:r>
      <w:r w:rsidR="00117380">
        <w:rPr>
          <w:rFonts w:cs="Sylfaen"/>
          <w:b w:val="0"/>
          <w:lang w:val="hy-AM"/>
        </w:rPr>
        <w:t>9</w:t>
      </w:r>
      <w:r w:rsidRPr="009070BD">
        <w:rPr>
          <w:rFonts w:cs="Sylfaen"/>
          <w:b w:val="0"/>
          <w:lang w:val="ro-RO"/>
        </w:rPr>
        <w:t xml:space="preserve"> մլն դրամ</w:t>
      </w:r>
      <w:r w:rsidRPr="009070BD">
        <w:rPr>
          <w:rFonts w:cs="Sylfaen"/>
          <w:b w:val="0"/>
          <w:lang w:val="hy-AM"/>
        </w:rPr>
        <w:t>։</w:t>
      </w:r>
    </w:p>
    <w:p w:rsidR="00B36A46" w:rsidRPr="009070BD" w:rsidRDefault="00B36A46" w:rsidP="007730AA">
      <w:pPr>
        <w:spacing w:before="0" w:line="276" w:lineRule="auto"/>
        <w:ind w:firstLine="720"/>
        <w:rPr>
          <w:rFonts w:cs="Sylfaen"/>
          <w:b w:val="0"/>
          <w:lang w:val="ro-RO"/>
        </w:rPr>
      </w:pPr>
      <w:r w:rsidRPr="009070BD">
        <w:rPr>
          <w:rFonts w:cs="Sylfaen"/>
          <w:b w:val="0"/>
          <w:lang w:val="ro-RO"/>
        </w:rPr>
        <w:t xml:space="preserve">Միջոցառման իրականացումն ուղղված է գյուղատնտեսության ոլորտի հողերի բերրիության պահպանման և բարձրացման ընդհանուր նպատակի կատարմանը, որի արդյունքում կճշտվի բույսերի վնասակար օրգանիզմներով վարակվածության արեալը, ինչը </w:t>
      </w:r>
      <w:r w:rsidRPr="009070BD">
        <w:rPr>
          <w:rFonts w:eastAsia="Calibri" w:cs="Sylfaen"/>
          <w:b w:val="0"/>
          <w:szCs w:val="22"/>
          <w:lang w:val="hy-AM" w:eastAsia="en-US"/>
        </w:rPr>
        <w:t>նվազագույն քանակի կհասցնի  ոչ նպատակային քիմիական պայքարի աշխատանքները։</w:t>
      </w:r>
    </w:p>
    <w:p w:rsidR="00B36A46" w:rsidRPr="009070BD" w:rsidRDefault="00B36A46" w:rsidP="007730AA">
      <w:pPr>
        <w:spacing w:before="0" w:line="276" w:lineRule="auto"/>
        <w:ind w:firstLine="720"/>
        <w:rPr>
          <w:rFonts w:cs="Sylfaen"/>
          <w:b w:val="0"/>
          <w:lang w:val="ro-RO"/>
        </w:rPr>
      </w:pPr>
      <w:r w:rsidRPr="009070BD">
        <w:rPr>
          <w:rFonts w:cs="Sylfaen"/>
          <w:b w:val="0"/>
          <w:lang w:val="ro-RO"/>
        </w:rPr>
        <w:t xml:space="preserve"> </w:t>
      </w:r>
      <w:r w:rsidRPr="009070BD">
        <w:rPr>
          <w:rFonts w:cs="Sylfaen"/>
          <w:lang w:val="ro-RO"/>
        </w:rPr>
        <w:t>7.2 «</w:t>
      </w:r>
      <w:r w:rsidRPr="009070BD">
        <w:rPr>
          <w:rFonts w:cs="Sylfaen"/>
          <w:lang w:val="hy-AM"/>
        </w:rPr>
        <w:t>Բույսերի</w:t>
      </w:r>
      <w:r w:rsidRPr="009070BD">
        <w:rPr>
          <w:lang w:val="ro-RO"/>
        </w:rPr>
        <w:t xml:space="preserve"> </w:t>
      </w:r>
      <w:r w:rsidRPr="009070BD">
        <w:rPr>
          <w:rFonts w:cs="Sylfaen"/>
          <w:lang w:val="hy-AM"/>
        </w:rPr>
        <w:t>պաշտպանության</w:t>
      </w:r>
      <w:r w:rsidRPr="009070BD">
        <w:rPr>
          <w:lang w:val="ro-RO"/>
        </w:rPr>
        <w:t xml:space="preserve"> </w:t>
      </w:r>
      <w:r w:rsidRPr="009070BD">
        <w:rPr>
          <w:rFonts w:cs="Sylfaen"/>
          <w:lang w:val="hy-AM"/>
        </w:rPr>
        <w:t>միջոցառումներ</w:t>
      </w:r>
      <w:r w:rsidRPr="009070BD">
        <w:rPr>
          <w:rFonts w:cs="Sylfaen"/>
          <w:lang w:val="ro-RO"/>
        </w:rPr>
        <w:t>»</w:t>
      </w:r>
      <w:r w:rsidRPr="009070BD">
        <w:rPr>
          <w:rFonts w:cs="Sylfaen"/>
          <w:b w:val="0"/>
          <w:lang w:val="ro-RO"/>
        </w:rPr>
        <w:t xml:space="preserve"> միջոցառման</w:t>
      </w:r>
      <w:r w:rsidRPr="009070BD">
        <w:rPr>
          <w:b w:val="0"/>
          <w:lang w:val="ro-RO"/>
        </w:rPr>
        <w:t xml:space="preserve"> </w:t>
      </w:r>
      <w:r w:rsidRPr="009070BD">
        <w:rPr>
          <w:rFonts w:cs="Sylfaen"/>
          <w:b w:val="0"/>
          <w:lang w:val="hy-AM"/>
        </w:rPr>
        <w:t>համար</w:t>
      </w:r>
      <w:r w:rsidRPr="009070BD">
        <w:rPr>
          <w:rFonts w:cs="Sylfaen"/>
          <w:b w:val="0"/>
          <w:lang w:val="ro-RO"/>
        </w:rPr>
        <w:t xml:space="preserve"> </w:t>
      </w:r>
      <w:r w:rsidRPr="009070BD">
        <w:rPr>
          <w:rFonts w:cs="Sylfaen"/>
          <w:b w:val="0"/>
          <w:lang w:val="hy-AM"/>
        </w:rPr>
        <w:t>Նախագծով</w:t>
      </w:r>
      <w:r w:rsidRPr="009070BD">
        <w:rPr>
          <w:rFonts w:cs="Sylfaen"/>
          <w:b w:val="0"/>
          <w:lang w:val="ro-RO"/>
        </w:rPr>
        <w:t xml:space="preserve"> </w:t>
      </w:r>
      <w:r w:rsidRPr="009070BD">
        <w:rPr>
          <w:b w:val="0"/>
          <w:lang w:val="hy-AM"/>
        </w:rPr>
        <w:t>նախատեսվում</w:t>
      </w:r>
      <w:r w:rsidRPr="009070BD">
        <w:rPr>
          <w:b w:val="0"/>
          <w:lang w:val="ro-RO"/>
        </w:rPr>
        <w:t xml:space="preserve"> </w:t>
      </w:r>
      <w:r w:rsidRPr="009070BD">
        <w:rPr>
          <w:b w:val="0"/>
          <w:lang w:val="hy-AM"/>
        </w:rPr>
        <w:t>է</w:t>
      </w:r>
      <w:r w:rsidRPr="009070BD">
        <w:rPr>
          <w:b w:val="0"/>
          <w:lang w:val="ro-RO"/>
        </w:rPr>
        <w:t xml:space="preserve"> </w:t>
      </w:r>
      <w:r w:rsidRPr="009070BD">
        <w:rPr>
          <w:b w:val="0"/>
          <w:lang w:val="hy-AM"/>
        </w:rPr>
        <w:t>հատկացնել</w:t>
      </w:r>
      <w:r w:rsidRPr="009070BD">
        <w:rPr>
          <w:b w:val="0"/>
          <w:lang w:val="ro-RO"/>
        </w:rPr>
        <w:t xml:space="preserve"> </w:t>
      </w:r>
      <w:r w:rsidRPr="009070BD">
        <w:rPr>
          <w:rFonts w:cs="Sylfaen"/>
          <w:b w:val="0"/>
          <w:lang w:val="af-ZA"/>
        </w:rPr>
        <w:t xml:space="preserve">41.0 </w:t>
      </w:r>
      <w:r w:rsidRPr="009070BD">
        <w:rPr>
          <w:b w:val="0"/>
          <w:lang w:val="hy-AM"/>
        </w:rPr>
        <w:t>մլն</w:t>
      </w:r>
      <w:r w:rsidRPr="009070BD">
        <w:rPr>
          <w:rFonts w:cs="Sylfaen"/>
          <w:b w:val="0"/>
          <w:lang w:val="ro-RO"/>
        </w:rPr>
        <w:t xml:space="preserve"> </w:t>
      </w:r>
      <w:r w:rsidRPr="009070BD">
        <w:rPr>
          <w:rFonts w:cs="Sylfaen"/>
          <w:b w:val="0"/>
          <w:lang w:val="hy-AM"/>
        </w:rPr>
        <w:t>դրամ</w:t>
      </w:r>
      <w:r w:rsidRPr="009070BD">
        <w:rPr>
          <w:rFonts w:cs="Sylfaen"/>
          <w:b w:val="0"/>
          <w:lang w:val="ro-RO"/>
        </w:rPr>
        <w:t xml:space="preserve">` </w:t>
      </w:r>
      <w:r w:rsidRPr="009070BD">
        <w:rPr>
          <w:rFonts w:cs="Sylfaen"/>
          <w:b w:val="0"/>
          <w:lang w:val="hy-AM"/>
        </w:rPr>
        <w:t>ՀՀ</w:t>
      </w:r>
      <w:r w:rsidRPr="009070BD">
        <w:rPr>
          <w:rFonts w:cs="Sylfaen"/>
          <w:b w:val="0"/>
          <w:lang w:val="ro-RO"/>
        </w:rPr>
        <w:t xml:space="preserve"> 20</w:t>
      </w:r>
      <w:r w:rsidRPr="009070BD">
        <w:rPr>
          <w:rFonts w:cs="Sylfaen"/>
          <w:b w:val="0"/>
          <w:lang w:val="hy-AM"/>
        </w:rPr>
        <w:t>20</w:t>
      </w:r>
      <w:r w:rsidRPr="009070BD">
        <w:rPr>
          <w:rFonts w:cs="Sylfaen"/>
          <w:b w:val="0"/>
          <w:lang w:val="ro-RO"/>
        </w:rPr>
        <w:t xml:space="preserve"> </w:t>
      </w:r>
      <w:r w:rsidRPr="009070BD">
        <w:rPr>
          <w:b w:val="0"/>
          <w:lang w:val="hy-AM"/>
        </w:rPr>
        <w:t>թվականի</w:t>
      </w:r>
      <w:r w:rsidRPr="009070BD">
        <w:rPr>
          <w:rFonts w:cs="Sylfaen"/>
          <w:b w:val="0"/>
          <w:lang w:val="ro-RO"/>
        </w:rPr>
        <w:t xml:space="preserve"> </w:t>
      </w:r>
      <w:r w:rsidRPr="009070BD">
        <w:rPr>
          <w:rFonts w:cs="Sylfaen"/>
          <w:b w:val="0"/>
          <w:lang w:val="hy-AM"/>
        </w:rPr>
        <w:t>պետական</w:t>
      </w:r>
      <w:r w:rsidRPr="009070BD">
        <w:rPr>
          <w:rFonts w:cs="Sylfaen"/>
          <w:b w:val="0"/>
          <w:lang w:val="ro-RO"/>
        </w:rPr>
        <w:t xml:space="preserve"> </w:t>
      </w:r>
      <w:r w:rsidRPr="009070BD">
        <w:rPr>
          <w:rFonts w:cs="Sylfaen"/>
          <w:b w:val="0"/>
          <w:lang w:val="hy-AM"/>
        </w:rPr>
        <w:t>բյուջեով</w:t>
      </w:r>
      <w:r w:rsidRPr="009070BD">
        <w:rPr>
          <w:rFonts w:cs="Sylfaen"/>
          <w:b w:val="0"/>
          <w:lang w:val="ro-RO"/>
        </w:rPr>
        <w:t xml:space="preserve"> </w:t>
      </w:r>
      <w:r w:rsidRPr="009070BD">
        <w:rPr>
          <w:rFonts w:cs="Sylfaen"/>
          <w:b w:val="0"/>
          <w:lang w:val="hy-AM"/>
        </w:rPr>
        <w:t>հաստատված</w:t>
      </w:r>
      <w:r w:rsidRPr="009070BD">
        <w:rPr>
          <w:rFonts w:cs="Sylfaen"/>
          <w:b w:val="0"/>
          <w:lang w:val="ro-RO"/>
        </w:rPr>
        <w:t xml:space="preserve"> </w:t>
      </w:r>
      <w:r w:rsidRPr="009070BD">
        <w:rPr>
          <w:b w:val="0"/>
          <w:lang w:val="ro-RO"/>
        </w:rPr>
        <w:t>գումարի չափով</w:t>
      </w:r>
      <w:r w:rsidRPr="009070BD">
        <w:rPr>
          <w:rFonts w:cs="Sylfaen"/>
          <w:b w:val="0"/>
          <w:lang w:val="ro-RO"/>
        </w:rPr>
        <w:t>:</w:t>
      </w:r>
    </w:p>
    <w:p w:rsidR="00B36A46" w:rsidRPr="009070BD" w:rsidRDefault="00B36A46" w:rsidP="007730AA">
      <w:pPr>
        <w:autoSpaceDE w:val="0"/>
        <w:autoSpaceDN w:val="0"/>
        <w:adjustRightInd w:val="0"/>
        <w:spacing w:before="0" w:line="276" w:lineRule="auto"/>
        <w:ind w:firstLine="720"/>
        <w:rPr>
          <w:b w:val="0"/>
          <w:lang w:val="ro-RO"/>
        </w:rPr>
      </w:pPr>
      <w:r w:rsidRPr="009070BD">
        <w:rPr>
          <w:b w:val="0"/>
        </w:rPr>
        <w:t>Միջոցառման</w:t>
      </w:r>
      <w:r w:rsidRPr="009070BD">
        <w:rPr>
          <w:rFonts w:cs="Sylfaen"/>
          <w:b w:val="0"/>
          <w:lang w:val="ro-RO"/>
        </w:rPr>
        <w:t xml:space="preserve"> </w:t>
      </w:r>
      <w:r w:rsidRPr="009070BD">
        <w:rPr>
          <w:rFonts w:cs="Sylfaen"/>
          <w:b w:val="0"/>
        </w:rPr>
        <w:t>շրջանակներում</w:t>
      </w:r>
      <w:r w:rsidRPr="009070BD">
        <w:rPr>
          <w:rFonts w:cs="Sylfaen"/>
          <w:b w:val="0"/>
          <w:lang w:val="ro-RO"/>
        </w:rPr>
        <w:t xml:space="preserve"> </w:t>
      </w:r>
      <w:r w:rsidRPr="009070BD">
        <w:rPr>
          <w:rFonts w:cs="Sylfaen"/>
          <w:b w:val="0"/>
        </w:rPr>
        <w:t>նախատեսվում</w:t>
      </w:r>
      <w:r w:rsidRPr="009070BD">
        <w:rPr>
          <w:rFonts w:cs="Sylfaen"/>
          <w:b w:val="0"/>
          <w:lang w:val="ro-RO"/>
        </w:rPr>
        <w:t xml:space="preserve"> </w:t>
      </w:r>
      <w:r w:rsidRPr="009070BD">
        <w:rPr>
          <w:rFonts w:cs="Sylfaen"/>
          <w:b w:val="0"/>
        </w:rPr>
        <w:t>է</w:t>
      </w:r>
      <w:r w:rsidRPr="009070BD">
        <w:rPr>
          <w:rFonts w:cs="Sylfaen"/>
          <w:b w:val="0"/>
          <w:lang w:val="ro-RO"/>
        </w:rPr>
        <w:t xml:space="preserve"> </w:t>
      </w:r>
      <w:r w:rsidRPr="009070BD">
        <w:rPr>
          <w:rFonts w:cs="Sylfaen"/>
          <w:b w:val="0"/>
        </w:rPr>
        <w:t>իրականացնել</w:t>
      </w:r>
      <w:r w:rsidRPr="009070BD">
        <w:rPr>
          <w:rFonts w:cs="Sylfaen"/>
          <w:b w:val="0"/>
          <w:lang w:val="ro-RO"/>
        </w:rPr>
        <w:t xml:space="preserve"> </w:t>
      </w:r>
      <w:r w:rsidRPr="009070BD">
        <w:rPr>
          <w:rFonts w:cs="Sylfaen"/>
          <w:b w:val="0"/>
        </w:rPr>
        <w:t>հանրապետությունում</w:t>
      </w:r>
      <w:r w:rsidRPr="009070BD">
        <w:rPr>
          <w:rFonts w:cs="Sylfaen"/>
          <w:b w:val="0"/>
          <w:lang w:val="ro-RO"/>
        </w:rPr>
        <w:t xml:space="preserve"> </w:t>
      </w:r>
      <w:r w:rsidRPr="009070BD">
        <w:rPr>
          <w:rFonts w:cs="Sylfaen"/>
          <w:b w:val="0"/>
        </w:rPr>
        <w:t>առավել</w:t>
      </w:r>
      <w:r w:rsidRPr="009070BD">
        <w:rPr>
          <w:rFonts w:cs="Sylfaen"/>
          <w:b w:val="0"/>
          <w:lang w:val="ro-RO"/>
        </w:rPr>
        <w:t xml:space="preserve"> </w:t>
      </w:r>
      <w:r w:rsidRPr="009070BD">
        <w:rPr>
          <w:rFonts w:cs="Sylfaen"/>
          <w:b w:val="0"/>
        </w:rPr>
        <w:t>զանգվածային</w:t>
      </w:r>
      <w:r w:rsidRPr="009070BD">
        <w:rPr>
          <w:b w:val="0"/>
          <w:lang w:val="ro-RO"/>
        </w:rPr>
        <w:t xml:space="preserve"> </w:t>
      </w:r>
      <w:r w:rsidRPr="009070BD">
        <w:rPr>
          <w:b w:val="0"/>
        </w:rPr>
        <w:t>տարածված</w:t>
      </w:r>
      <w:r w:rsidRPr="009070BD">
        <w:rPr>
          <w:b w:val="0"/>
          <w:lang w:val="ro-RO"/>
        </w:rPr>
        <w:t xml:space="preserve"> </w:t>
      </w:r>
      <w:r w:rsidRPr="009070BD">
        <w:rPr>
          <w:rFonts w:cs="Sylfaen"/>
          <w:b w:val="0"/>
        </w:rPr>
        <w:t>և</w:t>
      </w:r>
      <w:r w:rsidRPr="009070BD">
        <w:rPr>
          <w:b w:val="0"/>
          <w:lang w:val="ro-RO"/>
        </w:rPr>
        <w:t xml:space="preserve"> </w:t>
      </w:r>
      <w:r w:rsidRPr="009070BD">
        <w:rPr>
          <w:b w:val="0"/>
        </w:rPr>
        <w:t>վտանգավոր</w:t>
      </w:r>
      <w:r w:rsidRPr="009070BD">
        <w:rPr>
          <w:b w:val="0"/>
          <w:lang w:val="ro-RO"/>
        </w:rPr>
        <w:t xml:space="preserve"> </w:t>
      </w:r>
      <w:r w:rsidRPr="009070BD">
        <w:rPr>
          <w:b w:val="0"/>
        </w:rPr>
        <w:t>օրգանիզմների</w:t>
      </w:r>
      <w:r w:rsidRPr="009070BD">
        <w:rPr>
          <w:b w:val="0"/>
          <w:lang w:val="ro-RO"/>
        </w:rPr>
        <w:t xml:space="preserve"> </w:t>
      </w:r>
      <w:r w:rsidRPr="009070BD">
        <w:rPr>
          <w:b w:val="0"/>
        </w:rPr>
        <w:t>դեմ</w:t>
      </w:r>
      <w:r w:rsidRPr="009070BD">
        <w:rPr>
          <w:b w:val="0"/>
          <w:lang w:val="ro-RO"/>
        </w:rPr>
        <w:t xml:space="preserve"> </w:t>
      </w:r>
      <w:r w:rsidRPr="009070BD">
        <w:rPr>
          <w:b w:val="0"/>
        </w:rPr>
        <w:t>բույսերի</w:t>
      </w:r>
      <w:r w:rsidRPr="009070BD">
        <w:rPr>
          <w:b w:val="0"/>
          <w:lang w:val="ro-RO"/>
        </w:rPr>
        <w:t xml:space="preserve"> </w:t>
      </w:r>
      <w:r w:rsidRPr="009070BD">
        <w:rPr>
          <w:b w:val="0"/>
        </w:rPr>
        <w:t>պաշտպանության</w:t>
      </w:r>
      <w:r w:rsidRPr="009070BD">
        <w:rPr>
          <w:b w:val="0"/>
          <w:lang w:val="ro-RO"/>
        </w:rPr>
        <w:t xml:space="preserve"> </w:t>
      </w:r>
      <w:r w:rsidRPr="009070BD">
        <w:rPr>
          <w:rFonts w:cs="Sylfaen"/>
          <w:b w:val="0"/>
        </w:rPr>
        <w:t>միջոցառումներ</w:t>
      </w:r>
      <w:r w:rsidRPr="009070BD">
        <w:rPr>
          <w:b w:val="0"/>
          <w:lang w:val="ro-RO"/>
        </w:rPr>
        <w:t xml:space="preserve">, </w:t>
      </w:r>
      <w:r w:rsidRPr="009070BD">
        <w:rPr>
          <w:b w:val="0"/>
        </w:rPr>
        <w:t>այդ</w:t>
      </w:r>
      <w:r w:rsidRPr="009070BD">
        <w:rPr>
          <w:b w:val="0"/>
          <w:lang w:val="ro-RO"/>
        </w:rPr>
        <w:t xml:space="preserve"> </w:t>
      </w:r>
      <w:r w:rsidRPr="009070BD">
        <w:rPr>
          <w:b w:val="0"/>
        </w:rPr>
        <w:t>թվում</w:t>
      </w:r>
      <w:r w:rsidRPr="009070BD">
        <w:rPr>
          <w:b w:val="0"/>
          <w:lang w:val="ro-RO"/>
        </w:rPr>
        <w:t xml:space="preserve"> </w:t>
      </w:r>
      <w:r w:rsidRPr="009070BD">
        <w:rPr>
          <w:rFonts w:cs="Sylfaen"/>
          <w:b w:val="0"/>
        </w:rPr>
        <w:t>պայքար</w:t>
      </w:r>
      <w:r w:rsidRPr="009070BD">
        <w:rPr>
          <w:b w:val="0"/>
          <w:lang w:val="ro-RO"/>
        </w:rPr>
        <w:t xml:space="preserve"> </w:t>
      </w:r>
      <w:r w:rsidRPr="009070BD">
        <w:rPr>
          <w:rFonts w:cs="Sylfaen"/>
          <w:b w:val="0"/>
        </w:rPr>
        <w:t>մկնանման</w:t>
      </w:r>
      <w:r w:rsidRPr="009070BD">
        <w:rPr>
          <w:b w:val="0"/>
          <w:lang w:val="ro-RO"/>
        </w:rPr>
        <w:t xml:space="preserve"> </w:t>
      </w:r>
      <w:r w:rsidRPr="009070BD">
        <w:rPr>
          <w:rFonts w:cs="Sylfaen"/>
          <w:b w:val="0"/>
        </w:rPr>
        <w:t>կրծողների</w:t>
      </w:r>
      <w:r w:rsidRPr="009070BD">
        <w:rPr>
          <w:b w:val="0"/>
          <w:lang w:val="ro-RO"/>
        </w:rPr>
        <w:t xml:space="preserve"> և </w:t>
      </w:r>
      <w:r w:rsidRPr="009070BD">
        <w:rPr>
          <w:rFonts w:cs="Sylfaen"/>
          <w:b w:val="0"/>
        </w:rPr>
        <w:t>մորեխների</w:t>
      </w:r>
      <w:r w:rsidRPr="009070BD">
        <w:rPr>
          <w:rFonts w:cs="Sylfaen"/>
          <w:b w:val="0"/>
          <w:lang w:val="hy-AM"/>
        </w:rPr>
        <w:t>, ինչպես նաև լոլիկի հարավամերիկյան ցեց վնասատուի դեմ</w:t>
      </w:r>
      <w:r w:rsidRPr="009070BD">
        <w:rPr>
          <w:b w:val="0"/>
          <w:lang w:val="ro-RO"/>
        </w:rPr>
        <w:t>:</w:t>
      </w:r>
    </w:p>
    <w:p w:rsidR="00B36A46" w:rsidRPr="009070BD" w:rsidRDefault="00B36A46" w:rsidP="007730AA">
      <w:pPr>
        <w:autoSpaceDE w:val="0"/>
        <w:autoSpaceDN w:val="0"/>
        <w:adjustRightInd w:val="0"/>
        <w:spacing w:before="0" w:line="276" w:lineRule="auto"/>
        <w:ind w:firstLine="720"/>
        <w:rPr>
          <w:rFonts w:cs="Sylfaen"/>
          <w:b w:val="0"/>
          <w:lang w:val="ro-RO"/>
        </w:rPr>
      </w:pPr>
      <w:r w:rsidRPr="009070BD">
        <w:rPr>
          <w:rFonts w:cs="Sylfaen"/>
          <w:lang w:val="af-ZA"/>
        </w:rPr>
        <w:t xml:space="preserve">7.3 </w:t>
      </w:r>
      <w:r w:rsidRPr="009070BD">
        <w:rPr>
          <w:rFonts w:cs="Sylfaen"/>
          <w:lang w:val="ro-RO"/>
        </w:rPr>
        <w:t>«</w:t>
      </w:r>
      <w:r w:rsidRPr="009070BD">
        <w:rPr>
          <w:rFonts w:cs="Sylfaen"/>
        </w:rPr>
        <w:t>Սերմերի</w:t>
      </w:r>
      <w:r w:rsidRPr="009070BD">
        <w:rPr>
          <w:lang w:val="ro-RO"/>
        </w:rPr>
        <w:t xml:space="preserve"> </w:t>
      </w:r>
      <w:r w:rsidRPr="009070BD">
        <w:rPr>
          <w:rFonts w:cs="Sylfaen"/>
        </w:rPr>
        <w:t>որակի</w:t>
      </w:r>
      <w:r w:rsidRPr="009070BD">
        <w:rPr>
          <w:lang w:val="ro-RO"/>
        </w:rPr>
        <w:t xml:space="preserve"> </w:t>
      </w:r>
      <w:r w:rsidRPr="009070BD">
        <w:rPr>
          <w:rFonts w:cs="Sylfaen"/>
        </w:rPr>
        <w:t>ստուգման</w:t>
      </w:r>
      <w:r w:rsidRPr="009070BD">
        <w:rPr>
          <w:lang w:val="ro-RO"/>
        </w:rPr>
        <w:t xml:space="preserve"> </w:t>
      </w:r>
      <w:r w:rsidRPr="009070BD">
        <w:rPr>
          <w:rFonts w:cs="Sylfaen"/>
        </w:rPr>
        <w:t>և</w:t>
      </w:r>
      <w:r w:rsidRPr="009070BD">
        <w:rPr>
          <w:lang w:val="ro-RO"/>
        </w:rPr>
        <w:t xml:space="preserve"> </w:t>
      </w:r>
      <w:r w:rsidRPr="009070BD">
        <w:rPr>
          <w:rFonts w:cs="Sylfaen"/>
        </w:rPr>
        <w:t>պետական</w:t>
      </w:r>
      <w:r w:rsidRPr="009070BD">
        <w:rPr>
          <w:lang w:val="ro-RO"/>
        </w:rPr>
        <w:t xml:space="preserve"> </w:t>
      </w:r>
      <w:r w:rsidRPr="009070BD">
        <w:rPr>
          <w:rFonts w:cs="Sylfaen"/>
        </w:rPr>
        <w:t>սորտափորձարկման</w:t>
      </w:r>
      <w:r w:rsidRPr="009070BD">
        <w:rPr>
          <w:lang w:val="ro-RO"/>
        </w:rPr>
        <w:t xml:space="preserve"> </w:t>
      </w:r>
      <w:r w:rsidRPr="009070BD">
        <w:t>միջոցառումներ</w:t>
      </w:r>
      <w:r w:rsidRPr="009070BD">
        <w:rPr>
          <w:rFonts w:cs="Sylfaen"/>
          <w:lang w:val="ro-RO"/>
        </w:rPr>
        <w:t>»</w:t>
      </w:r>
      <w:r w:rsidRPr="009070BD">
        <w:rPr>
          <w:rFonts w:cs="Sylfaen"/>
          <w:b w:val="0"/>
          <w:lang w:val="ro-RO"/>
        </w:rPr>
        <w:t xml:space="preserve"> միջոցառման</w:t>
      </w:r>
      <w:r w:rsidRPr="009070BD">
        <w:rPr>
          <w:b w:val="0"/>
          <w:lang w:val="ro-RO"/>
        </w:rPr>
        <w:t xml:space="preserve"> </w:t>
      </w:r>
      <w:r w:rsidRPr="009070BD">
        <w:rPr>
          <w:b w:val="0"/>
        </w:rPr>
        <w:t>համար</w:t>
      </w:r>
      <w:r w:rsidRPr="009070BD">
        <w:rPr>
          <w:b w:val="0"/>
          <w:lang w:val="ro-RO"/>
        </w:rPr>
        <w:t xml:space="preserve"> </w:t>
      </w:r>
      <w:r w:rsidRPr="009070BD">
        <w:rPr>
          <w:rFonts w:cs="Sylfaen"/>
          <w:b w:val="0"/>
        </w:rPr>
        <w:t>Նախագծով</w:t>
      </w:r>
      <w:r w:rsidRPr="009070BD">
        <w:rPr>
          <w:b w:val="0"/>
          <w:lang w:val="ro-RO"/>
        </w:rPr>
        <w:t xml:space="preserve"> </w:t>
      </w:r>
      <w:r w:rsidRPr="009070BD">
        <w:rPr>
          <w:b w:val="0"/>
        </w:rPr>
        <w:t>նախատեսվում</w:t>
      </w:r>
      <w:r w:rsidRPr="009070BD">
        <w:rPr>
          <w:b w:val="0"/>
          <w:lang w:val="ro-RO"/>
        </w:rPr>
        <w:t xml:space="preserve"> </w:t>
      </w:r>
      <w:r w:rsidRPr="009070BD">
        <w:rPr>
          <w:b w:val="0"/>
        </w:rPr>
        <w:t>է</w:t>
      </w:r>
      <w:r w:rsidRPr="009070BD">
        <w:rPr>
          <w:b w:val="0"/>
          <w:lang w:val="ro-RO"/>
        </w:rPr>
        <w:t xml:space="preserve"> </w:t>
      </w:r>
      <w:r w:rsidRPr="009070BD">
        <w:rPr>
          <w:b w:val="0"/>
        </w:rPr>
        <w:t>հատ</w:t>
      </w:r>
      <w:r w:rsidRPr="009070BD">
        <w:rPr>
          <w:b w:val="0"/>
          <w:lang w:val="ro-RO"/>
        </w:rPr>
        <w:softHyphen/>
      </w:r>
      <w:r w:rsidRPr="009070BD">
        <w:rPr>
          <w:b w:val="0"/>
        </w:rPr>
        <w:t>կաց</w:t>
      </w:r>
      <w:r w:rsidRPr="009070BD">
        <w:rPr>
          <w:b w:val="0"/>
          <w:lang w:val="ro-RO"/>
        </w:rPr>
        <w:softHyphen/>
      </w:r>
      <w:r w:rsidRPr="009070BD">
        <w:rPr>
          <w:b w:val="0"/>
        </w:rPr>
        <w:t>նել</w:t>
      </w:r>
      <w:r w:rsidRPr="009070BD">
        <w:rPr>
          <w:rFonts w:cs="Sylfaen"/>
          <w:b w:val="0"/>
          <w:lang w:val="ro-RO"/>
        </w:rPr>
        <w:t xml:space="preserve"> 48.1 </w:t>
      </w:r>
      <w:r w:rsidRPr="009070BD">
        <w:rPr>
          <w:rFonts w:cs="Sylfaen"/>
          <w:b w:val="0"/>
        </w:rPr>
        <w:t>մլն</w:t>
      </w:r>
      <w:r w:rsidRPr="009070BD">
        <w:rPr>
          <w:rFonts w:cs="Sylfaen"/>
          <w:b w:val="0"/>
          <w:lang w:val="ro-RO"/>
        </w:rPr>
        <w:t xml:space="preserve"> </w:t>
      </w:r>
      <w:r w:rsidRPr="009070BD">
        <w:rPr>
          <w:rFonts w:cs="Sylfaen"/>
          <w:b w:val="0"/>
        </w:rPr>
        <w:t>դրամ</w:t>
      </w:r>
      <w:r w:rsidRPr="009070BD">
        <w:rPr>
          <w:rFonts w:cs="Sylfaen"/>
          <w:b w:val="0"/>
          <w:lang w:val="ro-RO"/>
        </w:rPr>
        <w:t xml:space="preserve">` </w:t>
      </w:r>
      <w:r w:rsidRPr="009070BD">
        <w:rPr>
          <w:rFonts w:cs="Sylfaen"/>
          <w:b w:val="0"/>
        </w:rPr>
        <w:t>ՀՀ</w:t>
      </w:r>
      <w:r w:rsidRPr="009070BD">
        <w:rPr>
          <w:rFonts w:cs="Sylfaen"/>
          <w:b w:val="0"/>
          <w:lang w:val="ro-RO"/>
        </w:rPr>
        <w:t xml:space="preserve"> 20</w:t>
      </w:r>
      <w:r w:rsidRPr="009070BD">
        <w:rPr>
          <w:rFonts w:cs="Sylfaen"/>
          <w:b w:val="0"/>
          <w:lang w:val="hy-AM"/>
        </w:rPr>
        <w:t>20</w:t>
      </w:r>
      <w:r w:rsidRPr="009070BD">
        <w:rPr>
          <w:b w:val="0"/>
          <w:lang w:val="ro-RO"/>
        </w:rPr>
        <w:t xml:space="preserve"> </w:t>
      </w:r>
      <w:r w:rsidRPr="009070BD">
        <w:rPr>
          <w:b w:val="0"/>
        </w:rPr>
        <w:t>թվականի</w:t>
      </w:r>
      <w:r w:rsidRPr="009070BD">
        <w:rPr>
          <w:rFonts w:cs="Sylfaen"/>
          <w:b w:val="0"/>
          <w:lang w:val="ro-RO"/>
        </w:rPr>
        <w:t xml:space="preserve"> </w:t>
      </w:r>
      <w:r w:rsidRPr="009070BD">
        <w:rPr>
          <w:rFonts w:cs="Sylfaen"/>
          <w:b w:val="0"/>
        </w:rPr>
        <w:t>պետական</w:t>
      </w:r>
      <w:r w:rsidRPr="009070BD">
        <w:rPr>
          <w:rFonts w:cs="Sylfaen"/>
          <w:b w:val="0"/>
          <w:lang w:val="ro-RO"/>
        </w:rPr>
        <w:t xml:space="preserve"> </w:t>
      </w:r>
      <w:r w:rsidRPr="009070BD">
        <w:rPr>
          <w:rFonts w:cs="Sylfaen"/>
          <w:b w:val="0"/>
        </w:rPr>
        <w:t>բյուջեով</w:t>
      </w:r>
      <w:r w:rsidRPr="009070BD">
        <w:rPr>
          <w:rFonts w:cs="Sylfaen"/>
          <w:b w:val="0"/>
          <w:lang w:val="ro-RO"/>
        </w:rPr>
        <w:t xml:space="preserve"> </w:t>
      </w:r>
      <w:r w:rsidRPr="009070BD">
        <w:rPr>
          <w:rFonts w:cs="Sylfaen"/>
          <w:b w:val="0"/>
        </w:rPr>
        <w:t>հաստատ</w:t>
      </w:r>
      <w:r w:rsidRPr="009070BD">
        <w:rPr>
          <w:rFonts w:cs="Sylfaen"/>
          <w:b w:val="0"/>
          <w:lang w:val="ro-RO"/>
        </w:rPr>
        <w:softHyphen/>
      </w:r>
      <w:r w:rsidRPr="009070BD">
        <w:rPr>
          <w:rFonts w:cs="Sylfaen"/>
          <w:b w:val="0"/>
        </w:rPr>
        <w:t>ված</w:t>
      </w:r>
      <w:r w:rsidRPr="009070BD">
        <w:rPr>
          <w:rFonts w:cs="Sylfaen"/>
          <w:b w:val="0"/>
          <w:lang w:val="ro-RO"/>
        </w:rPr>
        <w:t xml:space="preserve"> </w:t>
      </w:r>
      <w:r w:rsidRPr="009070BD">
        <w:rPr>
          <w:b w:val="0"/>
          <w:lang w:val="ro-RO"/>
        </w:rPr>
        <w:t>գումարի չափով</w:t>
      </w:r>
      <w:r w:rsidRPr="009070BD">
        <w:rPr>
          <w:rFonts w:cs="Sylfaen"/>
          <w:b w:val="0"/>
          <w:lang w:val="ro-RO"/>
        </w:rPr>
        <w:t>:</w:t>
      </w:r>
    </w:p>
    <w:p w:rsidR="00B36A46" w:rsidRPr="009070BD" w:rsidRDefault="00B36A46" w:rsidP="007730AA">
      <w:pPr>
        <w:autoSpaceDE w:val="0"/>
        <w:autoSpaceDN w:val="0"/>
        <w:adjustRightInd w:val="0"/>
        <w:spacing w:before="0" w:line="276" w:lineRule="auto"/>
        <w:ind w:firstLine="720"/>
        <w:rPr>
          <w:rFonts w:cs="Sylfaen"/>
          <w:b w:val="0"/>
          <w:lang w:val="ro-RO"/>
        </w:rPr>
      </w:pPr>
      <w:r w:rsidRPr="009070BD">
        <w:rPr>
          <w:rFonts w:cs="Sylfaen"/>
          <w:b w:val="0"/>
        </w:rPr>
        <w:t>Միջոցառման</w:t>
      </w:r>
      <w:r w:rsidRPr="009070BD">
        <w:rPr>
          <w:rFonts w:cs="Sylfaen"/>
          <w:b w:val="0"/>
          <w:lang w:val="ro-RO"/>
        </w:rPr>
        <w:t xml:space="preserve"> </w:t>
      </w:r>
      <w:r w:rsidRPr="009070BD">
        <w:rPr>
          <w:rFonts w:cs="Sylfaen"/>
          <w:b w:val="0"/>
        </w:rPr>
        <w:t>իրականացումը</w:t>
      </w:r>
      <w:r w:rsidRPr="009070BD">
        <w:rPr>
          <w:rFonts w:cs="Sylfaen"/>
          <w:b w:val="0"/>
          <w:lang w:val="ro-RO"/>
        </w:rPr>
        <w:t xml:space="preserve"> </w:t>
      </w:r>
      <w:r w:rsidRPr="009070BD">
        <w:rPr>
          <w:rFonts w:cs="Sylfaen"/>
          <w:b w:val="0"/>
        </w:rPr>
        <w:t>հնարավորություն</w:t>
      </w:r>
      <w:r w:rsidRPr="009070BD">
        <w:rPr>
          <w:b w:val="0"/>
          <w:lang w:val="ro-RO"/>
        </w:rPr>
        <w:t xml:space="preserve"> </w:t>
      </w:r>
      <w:r w:rsidRPr="009070BD">
        <w:rPr>
          <w:rFonts w:cs="Sylfaen"/>
          <w:b w:val="0"/>
        </w:rPr>
        <w:t>կտա</w:t>
      </w:r>
      <w:r w:rsidRPr="009070BD">
        <w:rPr>
          <w:b w:val="0"/>
          <w:lang w:val="ro-RO"/>
        </w:rPr>
        <w:t xml:space="preserve"> ստանալ </w:t>
      </w:r>
      <w:r w:rsidRPr="009070BD">
        <w:rPr>
          <w:rFonts w:cs="Sylfaen"/>
          <w:b w:val="0"/>
        </w:rPr>
        <w:t>բարձրորակ</w:t>
      </w:r>
      <w:r w:rsidRPr="009070BD">
        <w:rPr>
          <w:rFonts w:cs="Sylfaen"/>
          <w:b w:val="0"/>
          <w:lang w:val="ro-RO"/>
        </w:rPr>
        <w:t xml:space="preserve">, </w:t>
      </w:r>
      <w:r w:rsidRPr="009070BD">
        <w:rPr>
          <w:rFonts w:cs="Sylfaen"/>
          <w:b w:val="0"/>
        </w:rPr>
        <w:t>հիվանդություններից</w:t>
      </w:r>
      <w:r w:rsidRPr="009070BD">
        <w:rPr>
          <w:rFonts w:cs="Sylfaen"/>
          <w:b w:val="0"/>
          <w:lang w:val="ro-RO"/>
        </w:rPr>
        <w:t xml:space="preserve"> </w:t>
      </w:r>
      <w:r w:rsidRPr="009070BD">
        <w:rPr>
          <w:rFonts w:cs="Sylfaen"/>
          <w:b w:val="0"/>
        </w:rPr>
        <w:t>և</w:t>
      </w:r>
      <w:r w:rsidRPr="009070BD">
        <w:rPr>
          <w:rFonts w:cs="Sylfaen"/>
          <w:b w:val="0"/>
          <w:lang w:val="ro-RO"/>
        </w:rPr>
        <w:t xml:space="preserve"> </w:t>
      </w:r>
      <w:r w:rsidRPr="009070BD">
        <w:rPr>
          <w:rFonts w:cs="Sylfaen"/>
          <w:b w:val="0"/>
        </w:rPr>
        <w:t>վնասատուներից</w:t>
      </w:r>
      <w:r w:rsidRPr="009070BD">
        <w:rPr>
          <w:rFonts w:cs="Sylfaen"/>
          <w:b w:val="0"/>
          <w:lang w:val="ro-RO"/>
        </w:rPr>
        <w:t xml:space="preserve"> </w:t>
      </w:r>
      <w:r w:rsidRPr="009070BD">
        <w:rPr>
          <w:rFonts w:cs="Sylfaen"/>
          <w:b w:val="0"/>
        </w:rPr>
        <w:t>զերծ</w:t>
      </w:r>
      <w:r w:rsidRPr="009070BD">
        <w:rPr>
          <w:rFonts w:cs="Sylfaen"/>
          <w:b w:val="0"/>
          <w:lang w:val="ro-RO"/>
        </w:rPr>
        <w:t xml:space="preserve"> </w:t>
      </w:r>
      <w:r w:rsidRPr="009070BD">
        <w:rPr>
          <w:rFonts w:cs="Sylfaen"/>
          <w:b w:val="0"/>
        </w:rPr>
        <w:t>սերմեր</w:t>
      </w:r>
      <w:r w:rsidRPr="009070BD">
        <w:rPr>
          <w:rFonts w:cs="Sylfaen"/>
          <w:b w:val="0"/>
          <w:lang w:val="ro-RO"/>
        </w:rPr>
        <w:t xml:space="preserve"> </w:t>
      </w:r>
      <w:r w:rsidRPr="009070BD">
        <w:rPr>
          <w:rFonts w:cs="Sylfaen"/>
          <w:b w:val="0"/>
        </w:rPr>
        <w:t>և</w:t>
      </w:r>
      <w:r w:rsidRPr="009070BD">
        <w:rPr>
          <w:rFonts w:cs="Sylfaen"/>
          <w:b w:val="0"/>
          <w:lang w:val="ro-RO"/>
        </w:rPr>
        <w:t xml:space="preserve"> </w:t>
      </w:r>
      <w:r w:rsidRPr="009070BD">
        <w:rPr>
          <w:rFonts w:cs="Sylfaen"/>
          <w:b w:val="0"/>
        </w:rPr>
        <w:t>տնկանյութ</w:t>
      </w:r>
      <w:r w:rsidRPr="009070BD">
        <w:rPr>
          <w:rFonts w:cs="Sylfaen"/>
          <w:b w:val="0"/>
          <w:lang w:val="ro-RO"/>
        </w:rPr>
        <w:t>:</w:t>
      </w:r>
      <w:r w:rsidRPr="009070BD">
        <w:rPr>
          <w:b w:val="0"/>
          <w:lang w:val="ro-RO"/>
        </w:rPr>
        <w:t xml:space="preserve"> </w:t>
      </w:r>
      <w:r w:rsidRPr="009070BD">
        <w:rPr>
          <w:rFonts w:cs="Sylfaen"/>
          <w:b w:val="0"/>
        </w:rPr>
        <w:t>Միջոցառման</w:t>
      </w:r>
      <w:r w:rsidRPr="009070BD">
        <w:rPr>
          <w:rFonts w:cs="Sylfaen"/>
          <w:b w:val="0"/>
          <w:lang w:val="ro-RO"/>
        </w:rPr>
        <w:t xml:space="preserve"> </w:t>
      </w:r>
      <w:r w:rsidRPr="009070BD">
        <w:rPr>
          <w:rFonts w:cs="Sylfaen"/>
          <w:b w:val="0"/>
        </w:rPr>
        <w:t>շրջանակներում</w:t>
      </w:r>
      <w:r w:rsidRPr="009070BD">
        <w:rPr>
          <w:b w:val="0"/>
          <w:lang w:val="ro-RO"/>
        </w:rPr>
        <w:t xml:space="preserve"> </w:t>
      </w:r>
      <w:r w:rsidRPr="009070BD">
        <w:rPr>
          <w:b w:val="0"/>
        </w:rPr>
        <w:t>նախա</w:t>
      </w:r>
      <w:r w:rsidRPr="009070BD">
        <w:rPr>
          <w:b w:val="0"/>
          <w:lang w:val="ro-RO"/>
        </w:rPr>
        <w:softHyphen/>
      </w:r>
      <w:r w:rsidRPr="009070BD">
        <w:rPr>
          <w:b w:val="0"/>
        </w:rPr>
        <w:t>տես</w:t>
      </w:r>
      <w:r w:rsidRPr="009070BD">
        <w:rPr>
          <w:b w:val="0"/>
          <w:lang w:val="ro-RO"/>
        </w:rPr>
        <w:softHyphen/>
      </w:r>
      <w:r w:rsidRPr="009070BD">
        <w:rPr>
          <w:b w:val="0"/>
        </w:rPr>
        <w:t>վում</w:t>
      </w:r>
      <w:r w:rsidRPr="009070BD">
        <w:rPr>
          <w:b w:val="0"/>
          <w:lang w:val="ro-RO"/>
        </w:rPr>
        <w:t xml:space="preserve"> </w:t>
      </w:r>
      <w:r w:rsidRPr="009070BD">
        <w:rPr>
          <w:b w:val="0"/>
        </w:rPr>
        <w:t>է</w:t>
      </w:r>
      <w:r w:rsidRPr="009070BD">
        <w:rPr>
          <w:b w:val="0"/>
          <w:lang w:val="ro-RO"/>
        </w:rPr>
        <w:t xml:space="preserve"> </w:t>
      </w:r>
      <w:r w:rsidRPr="009070BD">
        <w:rPr>
          <w:rFonts w:cs="Sylfaen"/>
          <w:b w:val="0"/>
        </w:rPr>
        <w:t>իրականացնել</w:t>
      </w:r>
      <w:r w:rsidRPr="009070BD">
        <w:rPr>
          <w:rFonts w:cs="Sylfaen"/>
          <w:b w:val="0"/>
          <w:lang w:val="ro-RO"/>
        </w:rPr>
        <w:t xml:space="preserve"> </w:t>
      </w:r>
      <w:r w:rsidRPr="009070BD">
        <w:rPr>
          <w:rFonts w:cs="Sylfaen"/>
          <w:b w:val="0"/>
        </w:rPr>
        <w:t>սելեկցիոն</w:t>
      </w:r>
      <w:r w:rsidRPr="009070BD">
        <w:rPr>
          <w:rFonts w:cs="Sylfaen"/>
          <w:b w:val="0"/>
          <w:lang w:val="ro-RO"/>
        </w:rPr>
        <w:t xml:space="preserve"> </w:t>
      </w:r>
      <w:r w:rsidRPr="009070BD">
        <w:rPr>
          <w:rFonts w:cs="Sylfaen"/>
          <w:b w:val="0"/>
        </w:rPr>
        <w:t>նվաճումների</w:t>
      </w:r>
      <w:r w:rsidRPr="009070BD">
        <w:rPr>
          <w:rFonts w:cs="Sylfaen"/>
          <w:b w:val="0"/>
          <w:lang w:val="ro-RO"/>
        </w:rPr>
        <w:t xml:space="preserve"> </w:t>
      </w:r>
      <w:r w:rsidRPr="009070BD">
        <w:rPr>
          <w:rFonts w:cs="Sylfaen"/>
          <w:b w:val="0"/>
        </w:rPr>
        <w:t>պաշտպանության</w:t>
      </w:r>
      <w:r w:rsidRPr="009070BD">
        <w:rPr>
          <w:rFonts w:cs="Sylfaen"/>
          <w:b w:val="0"/>
          <w:lang w:val="ro-RO"/>
        </w:rPr>
        <w:t xml:space="preserve"> </w:t>
      </w:r>
      <w:r w:rsidRPr="009070BD">
        <w:rPr>
          <w:rFonts w:cs="Sylfaen"/>
          <w:b w:val="0"/>
        </w:rPr>
        <w:t>ապահովում</w:t>
      </w:r>
      <w:r w:rsidRPr="009070BD">
        <w:rPr>
          <w:rFonts w:cs="Sylfaen"/>
          <w:b w:val="0"/>
          <w:lang w:val="ro-RO"/>
        </w:rPr>
        <w:t xml:space="preserve">, </w:t>
      </w:r>
      <w:r w:rsidRPr="009070BD">
        <w:rPr>
          <w:rFonts w:cs="Sylfaen"/>
          <w:b w:val="0"/>
        </w:rPr>
        <w:t>բույսերի</w:t>
      </w:r>
      <w:r w:rsidRPr="009070BD">
        <w:rPr>
          <w:rFonts w:cs="Sylfaen"/>
          <w:b w:val="0"/>
          <w:lang w:val="ro-RO"/>
        </w:rPr>
        <w:t xml:space="preserve"> </w:t>
      </w:r>
      <w:r w:rsidRPr="009070BD">
        <w:rPr>
          <w:rFonts w:cs="Sylfaen"/>
          <w:b w:val="0"/>
        </w:rPr>
        <w:t>սորտային</w:t>
      </w:r>
      <w:r w:rsidRPr="009070BD">
        <w:rPr>
          <w:rFonts w:cs="Sylfaen"/>
          <w:b w:val="0"/>
          <w:lang w:val="ro-RO"/>
        </w:rPr>
        <w:t xml:space="preserve"> </w:t>
      </w:r>
      <w:r w:rsidRPr="009070BD">
        <w:rPr>
          <w:rFonts w:cs="Sylfaen"/>
          <w:b w:val="0"/>
        </w:rPr>
        <w:t>կազմի</w:t>
      </w:r>
      <w:r w:rsidRPr="009070BD">
        <w:rPr>
          <w:rFonts w:cs="Sylfaen"/>
          <w:b w:val="0"/>
          <w:lang w:val="ro-RO"/>
        </w:rPr>
        <w:t xml:space="preserve"> </w:t>
      </w:r>
      <w:r w:rsidRPr="009070BD">
        <w:rPr>
          <w:rFonts w:cs="Sylfaen"/>
          <w:b w:val="0"/>
        </w:rPr>
        <w:t>ընդլայնում</w:t>
      </w:r>
      <w:r w:rsidRPr="009070BD">
        <w:rPr>
          <w:rFonts w:cs="Sylfaen"/>
          <w:b w:val="0"/>
          <w:lang w:val="ro-RO"/>
        </w:rPr>
        <w:t xml:space="preserve">, </w:t>
      </w:r>
      <w:r w:rsidRPr="009070BD">
        <w:rPr>
          <w:rFonts w:cs="Sylfaen"/>
          <w:b w:val="0"/>
        </w:rPr>
        <w:t>ցանքատարածությունների</w:t>
      </w:r>
      <w:r w:rsidRPr="009070BD">
        <w:rPr>
          <w:rFonts w:cs="Sylfaen"/>
          <w:b w:val="0"/>
          <w:lang w:val="ro-RO"/>
        </w:rPr>
        <w:t xml:space="preserve"> </w:t>
      </w:r>
      <w:r w:rsidRPr="009070BD">
        <w:rPr>
          <w:rFonts w:cs="Sylfaen"/>
          <w:b w:val="0"/>
        </w:rPr>
        <w:t>ֆիտոսանիտարական</w:t>
      </w:r>
      <w:r w:rsidRPr="009070BD">
        <w:rPr>
          <w:rFonts w:cs="Sylfaen"/>
          <w:b w:val="0"/>
          <w:lang w:val="ro-RO"/>
        </w:rPr>
        <w:t xml:space="preserve"> </w:t>
      </w:r>
      <w:r w:rsidRPr="009070BD">
        <w:rPr>
          <w:rFonts w:cs="Sylfaen"/>
          <w:b w:val="0"/>
        </w:rPr>
        <w:t>վիճակի</w:t>
      </w:r>
      <w:r w:rsidRPr="009070BD">
        <w:rPr>
          <w:rFonts w:cs="Sylfaen"/>
          <w:b w:val="0"/>
          <w:lang w:val="ro-RO"/>
        </w:rPr>
        <w:t xml:space="preserve"> </w:t>
      </w:r>
      <w:r w:rsidRPr="009070BD">
        <w:rPr>
          <w:rFonts w:cs="Sylfaen"/>
          <w:b w:val="0"/>
        </w:rPr>
        <w:t>վատթարացման</w:t>
      </w:r>
      <w:r w:rsidRPr="009070BD">
        <w:rPr>
          <w:rFonts w:cs="Sylfaen"/>
          <w:b w:val="0"/>
          <w:lang w:val="ro-RO"/>
        </w:rPr>
        <w:t xml:space="preserve">, </w:t>
      </w:r>
      <w:r w:rsidRPr="009070BD">
        <w:rPr>
          <w:rFonts w:cs="Sylfaen"/>
          <w:b w:val="0"/>
        </w:rPr>
        <w:t>հիվանդությունների</w:t>
      </w:r>
      <w:r w:rsidRPr="009070BD">
        <w:rPr>
          <w:rFonts w:cs="Sylfaen"/>
          <w:b w:val="0"/>
          <w:lang w:val="ro-RO"/>
        </w:rPr>
        <w:t xml:space="preserve">, </w:t>
      </w:r>
      <w:r w:rsidRPr="009070BD">
        <w:rPr>
          <w:rFonts w:cs="Sylfaen"/>
          <w:b w:val="0"/>
        </w:rPr>
        <w:t>մոլախոտերի</w:t>
      </w:r>
      <w:r w:rsidRPr="009070BD">
        <w:rPr>
          <w:rFonts w:cs="Sylfaen"/>
          <w:b w:val="0"/>
          <w:lang w:val="ro-RO"/>
        </w:rPr>
        <w:t xml:space="preserve"> </w:t>
      </w:r>
      <w:r w:rsidRPr="009070BD">
        <w:rPr>
          <w:rFonts w:cs="Sylfaen"/>
          <w:b w:val="0"/>
        </w:rPr>
        <w:t>և</w:t>
      </w:r>
      <w:r w:rsidRPr="009070BD">
        <w:rPr>
          <w:rFonts w:cs="Sylfaen"/>
          <w:b w:val="0"/>
          <w:lang w:val="ro-RO"/>
        </w:rPr>
        <w:t xml:space="preserve"> </w:t>
      </w:r>
      <w:r w:rsidRPr="009070BD">
        <w:rPr>
          <w:rFonts w:cs="Sylfaen"/>
          <w:b w:val="0"/>
        </w:rPr>
        <w:t>վնասատուների</w:t>
      </w:r>
      <w:r w:rsidRPr="009070BD">
        <w:rPr>
          <w:rFonts w:cs="Sylfaen"/>
          <w:b w:val="0"/>
          <w:lang w:val="ro-RO"/>
        </w:rPr>
        <w:t xml:space="preserve"> </w:t>
      </w:r>
      <w:r w:rsidRPr="009070BD">
        <w:rPr>
          <w:rFonts w:cs="Sylfaen"/>
          <w:b w:val="0"/>
        </w:rPr>
        <w:t>զանգվածային</w:t>
      </w:r>
      <w:r w:rsidRPr="009070BD">
        <w:rPr>
          <w:rFonts w:cs="Sylfaen"/>
          <w:b w:val="0"/>
          <w:lang w:val="ro-RO"/>
        </w:rPr>
        <w:t xml:space="preserve"> </w:t>
      </w:r>
      <w:r w:rsidRPr="009070BD">
        <w:rPr>
          <w:rFonts w:cs="Sylfaen"/>
          <w:b w:val="0"/>
        </w:rPr>
        <w:t>բազմացման</w:t>
      </w:r>
      <w:r w:rsidRPr="009070BD">
        <w:rPr>
          <w:rFonts w:cs="Sylfaen"/>
          <w:b w:val="0"/>
          <w:lang w:val="ro-RO"/>
        </w:rPr>
        <w:t xml:space="preserve"> </w:t>
      </w:r>
      <w:r w:rsidRPr="009070BD">
        <w:rPr>
          <w:rFonts w:cs="Sylfaen"/>
          <w:b w:val="0"/>
        </w:rPr>
        <w:t>կան</w:t>
      </w:r>
      <w:r w:rsidRPr="009070BD">
        <w:rPr>
          <w:rFonts w:cs="Sylfaen"/>
          <w:b w:val="0"/>
          <w:lang w:val="ro-RO"/>
        </w:rPr>
        <w:softHyphen/>
      </w:r>
      <w:r w:rsidRPr="009070BD">
        <w:rPr>
          <w:rFonts w:cs="Sylfaen"/>
          <w:b w:val="0"/>
        </w:rPr>
        <w:t>խար</w:t>
      </w:r>
      <w:r w:rsidRPr="009070BD">
        <w:rPr>
          <w:rFonts w:cs="Sylfaen"/>
          <w:b w:val="0"/>
          <w:lang w:val="ro-RO"/>
        </w:rPr>
        <w:softHyphen/>
      </w:r>
      <w:r w:rsidRPr="009070BD">
        <w:rPr>
          <w:rFonts w:cs="Sylfaen"/>
          <w:b w:val="0"/>
        </w:rPr>
        <w:t>գե</w:t>
      </w:r>
      <w:r w:rsidRPr="009070BD">
        <w:rPr>
          <w:rFonts w:cs="Sylfaen"/>
          <w:b w:val="0"/>
          <w:lang w:val="ro-RO"/>
        </w:rPr>
        <w:softHyphen/>
      </w:r>
      <w:r w:rsidRPr="009070BD">
        <w:rPr>
          <w:rFonts w:cs="Sylfaen"/>
          <w:b w:val="0"/>
        </w:rPr>
        <w:t>լում</w:t>
      </w:r>
      <w:r w:rsidRPr="009070BD">
        <w:rPr>
          <w:rFonts w:cs="Sylfaen"/>
          <w:b w:val="0"/>
          <w:lang w:val="ro-RO"/>
        </w:rPr>
        <w:t>:</w:t>
      </w:r>
    </w:p>
    <w:p w:rsidR="00B36A46" w:rsidRPr="009070BD" w:rsidRDefault="00B36A46" w:rsidP="007730AA">
      <w:pPr>
        <w:autoSpaceDE w:val="0"/>
        <w:autoSpaceDN w:val="0"/>
        <w:adjustRightInd w:val="0"/>
        <w:spacing w:before="0" w:line="276" w:lineRule="auto"/>
        <w:ind w:firstLine="720"/>
        <w:rPr>
          <w:rFonts w:cs="Sylfaen"/>
          <w:b w:val="0"/>
          <w:lang w:val="af-ZA"/>
        </w:rPr>
      </w:pPr>
      <w:r w:rsidRPr="009070BD">
        <w:rPr>
          <w:rFonts w:cs="Sylfaen"/>
          <w:lang w:val="ro-RO"/>
        </w:rPr>
        <w:t xml:space="preserve">7.4 </w:t>
      </w:r>
      <w:r w:rsidRPr="009070BD">
        <w:rPr>
          <w:rFonts w:cs="Sylfaen"/>
          <w:lang w:val="af-ZA"/>
        </w:rPr>
        <w:t xml:space="preserve">«Բուսասանիտարական համակարգի բարելավում և մասնագիտական գիտելիքների բարձրացմանն աջակցություն» </w:t>
      </w:r>
      <w:r w:rsidRPr="009070BD">
        <w:rPr>
          <w:rFonts w:cs="Sylfaen"/>
          <w:b w:val="0"/>
          <w:lang w:val="af-ZA"/>
        </w:rPr>
        <w:t xml:space="preserve">միջոցառման համար Նախագծով նախատեսվում է հատկացնել 4.3 մլն դրամ՝ </w:t>
      </w:r>
      <w:r w:rsidRPr="009070BD">
        <w:rPr>
          <w:rFonts w:cs="Sylfaen"/>
          <w:b w:val="0"/>
        </w:rPr>
        <w:t>ՀՀ</w:t>
      </w:r>
      <w:r w:rsidRPr="009070BD">
        <w:rPr>
          <w:rFonts w:cs="Sylfaen"/>
          <w:b w:val="0"/>
          <w:lang w:val="ro-RO"/>
        </w:rPr>
        <w:t xml:space="preserve"> 20</w:t>
      </w:r>
      <w:r w:rsidRPr="009070BD">
        <w:rPr>
          <w:rFonts w:cs="Sylfaen"/>
          <w:b w:val="0"/>
          <w:lang w:val="hy-AM"/>
        </w:rPr>
        <w:t xml:space="preserve">20 </w:t>
      </w:r>
      <w:r w:rsidRPr="009070BD">
        <w:rPr>
          <w:b w:val="0"/>
        </w:rPr>
        <w:t>թվականի</w:t>
      </w:r>
      <w:r w:rsidRPr="009070BD">
        <w:rPr>
          <w:rFonts w:cs="Sylfaen"/>
          <w:b w:val="0"/>
          <w:lang w:val="ro-RO"/>
        </w:rPr>
        <w:t xml:space="preserve"> </w:t>
      </w:r>
      <w:r w:rsidRPr="009070BD">
        <w:rPr>
          <w:rFonts w:cs="Sylfaen"/>
          <w:b w:val="0"/>
        </w:rPr>
        <w:t>պետական</w:t>
      </w:r>
      <w:r w:rsidRPr="009070BD">
        <w:rPr>
          <w:rFonts w:cs="Sylfaen"/>
          <w:b w:val="0"/>
          <w:lang w:val="ro-RO"/>
        </w:rPr>
        <w:t xml:space="preserve"> </w:t>
      </w:r>
      <w:r w:rsidRPr="009070BD">
        <w:rPr>
          <w:rFonts w:cs="Sylfaen"/>
          <w:b w:val="0"/>
        </w:rPr>
        <w:t>բյուջեով</w:t>
      </w:r>
      <w:r w:rsidRPr="009070BD">
        <w:rPr>
          <w:rFonts w:cs="Sylfaen"/>
          <w:b w:val="0"/>
          <w:lang w:val="ro-RO"/>
        </w:rPr>
        <w:t xml:space="preserve"> </w:t>
      </w:r>
      <w:r w:rsidRPr="009070BD">
        <w:rPr>
          <w:rFonts w:cs="Sylfaen"/>
          <w:b w:val="0"/>
        </w:rPr>
        <w:t>հաստատ</w:t>
      </w:r>
      <w:r w:rsidRPr="009070BD">
        <w:rPr>
          <w:rFonts w:cs="Sylfaen"/>
          <w:b w:val="0"/>
          <w:lang w:val="ro-RO"/>
        </w:rPr>
        <w:softHyphen/>
      </w:r>
      <w:r w:rsidRPr="009070BD">
        <w:rPr>
          <w:rFonts w:cs="Sylfaen"/>
          <w:b w:val="0"/>
        </w:rPr>
        <w:t>ված</w:t>
      </w:r>
      <w:r w:rsidRPr="009070BD">
        <w:rPr>
          <w:rFonts w:cs="Sylfaen"/>
          <w:b w:val="0"/>
          <w:lang w:val="ro-RO"/>
        </w:rPr>
        <w:t xml:space="preserve"> </w:t>
      </w:r>
      <w:r w:rsidRPr="009070BD">
        <w:rPr>
          <w:rFonts w:cs="Sylfaen"/>
          <w:b w:val="0"/>
        </w:rPr>
        <w:t>գումարի</w:t>
      </w:r>
      <w:r w:rsidRPr="009070BD">
        <w:rPr>
          <w:rFonts w:cs="Sylfaen"/>
          <w:b w:val="0"/>
          <w:lang w:val="ro-RO"/>
        </w:rPr>
        <w:t xml:space="preserve"> </w:t>
      </w:r>
      <w:r w:rsidRPr="009070BD">
        <w:rPr>
          <w:rFonts w:cs="Sylfaen"/>
          <w:b w:val="0"/>
        </w:rPr>
        <w:t>չափով</w:t>
      </w:r>
      <w:r w:rsidRPr="009070BD">
        <w:rPr>
          <w:rFonts w:cs="Sylfaen"/>
          <w:b w:val="0"/>
          <w:lang w:val="af-ZA"/>
        </w:rPr>
        <w:t xml:space="preserve">: </w:t>
      </w:r>
    </w:p>
    <w:p w:rsidR="00B36A46" w:rsidRPr="009070BD" w:rsidRDefault="00B36A46" w:rsidP="007730AA">
      <w:pPr>
        <w:spacing w:before="0" w:line="276" w:lineRule="auto"/>
        <w:ind w:firstLine="720"/>
        <w:rPr>
          <w:b w:val="0"/>
          <w:lang w:val="it-IT"/>
        </w:rPr>
      </w:pPr>
      <w:r w:rsidRPr="009070BD">
        <w:rPr>
          <w:b w:val="0"/>
          <w:lang w:val="it-IT"/>
        </w:rPr>
        <w:t>Միջոցառման շրջանակներում նախատեսվում է իրականացնել կարանտին վնասակար օրգանիզմների հայտնաբերման և դրանց դեմ պայքարի միջոցառումների իրականացման մեթոդական ուղեցույցների մշակում և տպագրում, ինչպես նաև բուսասանիտարիայի տեսուչների համար վերապատրաստման դասընթացների կազմակերպում:</w:t>
      </w:r>
    </w:p>
    <w:p w:rsidR="00B36A46" w:rsidRPr="009070BD" w:rsidRDefault="00B36A46" w:rsidP="007730AA">
      <w:pPr>
        <w:autoSpaceDE w:val="0"/>
        <w:autoSpaceDN w:val="0"/>
        <w:adjustRightInd w:val="0"/>
        <w:spacing w:before="0" w:line="276" w:lineRule="auto"/>
        <w:ind w:firstLine="720"/>
        <w:rPr>
          <w:rFonts w:cs="Sylfaen"/>
          <w:b w:val="0"/>
          <w:lang w:val="af-ZA"/>
        </w:rPr>
      </w:pPr>
      <w:r w:rsidRPr="009070BD">
        <w:rPr>
          <w:lang w:val="ro-RO"/>
        </w:rPr>
        <w:t xml:space="preserve">7.5 </w:t>
      </w:r>
      <w:r w:rsidRPr="009070BD">
        <w:rPr>
          <w:rFonts w:cs="GHEAGrapalat"/>
          <w:lang w:val="af-ZA"/>
        </w:rPr>
        <w:t>Գյուղատնտեսական մշակաբույսերի և բույսերի պաշտպանության միջոցների լաբորատոր փորձաքննության միջոցառումներ</w:t>
      </w:r>
      <w:r w:rsidRPr="009070BD">
        <w:rPr>
          <w:rFonts w:cs="GHEAGrapalat"/>
          <w:b w:val="0"/>
          <w:lang w:val="af-ZA"/>
        </w:rPr>
        <w:t xml:space="preserve"> միջոցառման համար </w:t>
      </w:r>
      <w:r w:rsidRPr="009070BD">
        <w:rPr>
          <w:rFonts w:cs="Sylfaen"/>
          <w:b w:val="0"/>
          <w:lang w:val="af-ZA"/>
        </w:rPr>
        <w:t xml:space="preserve">Նախագծով նախատեսվում է հատկացնել 27.8 մլն դրամ՝ </w:t>
      </w:r>
      <w:r w:rsidRPr="009070BD">
        <w:rPr>
          <w:rFonts w:cs="Sylfaen"/>
          <w:b w:val="0"/>
        </w:rPr>
        <w:t>ՀՀ</w:t>
      </w:r>
      <w:r w:rsidRPr="009070BD">
        <w:rPr>
          <w:rFonts w:cs="Sylfaen"/>
          <w:b w:val="0"/>
          <w:lang w:val="ro-RO"/>
        </w:rPr>
        <w:t xml:space="preserve"> 20</w:t>
      </w:r>
      <w:r w:rsidRPr="009070BD">
        <w:rPr>
          <w:rFonts w:cs="Sylfaen"/>
          <w:b w:val="0"/>
          <w:lang w:val="hy-AM"/>
        </w:rPr>
        <w:t>20</w:t>
      </w:r>
      <w:r w:rsidRPr="009070BD">
        <w:rPr>
          <w:b w:val="0"/>
          <w:lang w:val="ro-RO"/>
        </w:rPr>
        <w:t xml:space="preserve"> </w:t>
      </w:r>
      <w:r w:rsidRPr="009070BD">
        <w:rPr>
          <w:b w:val="0"/>
        </w:rPr>
        <w:t>թվականի</w:t>
      </w:r>
      <w:r w:rsidRPr="009070BD">
        <w:rPr>
          <w:rFonts w:cs="Sylfaen"/>
          <w:b w:val="0"/>
          <w:lang w:val="ro-RO"/>
        </w:rPr>
        <w:t xml:space="preserve"> </w:t>
      </w:r>
      <w:r w:rsidRPr="009070BD">
        <w:rPr>
          <w:rFonts w:cs="Sylfaen"/>
          <w:b w:val="0"/>
        </w:rPr>
        <w:t>պետական</w:t>
      </w:r>
      <w:r w:rsidRPr="009070BD">
        <w:rPr>
          <w:rFonts w:cs="Sylfaen"/>
          <w:b w:val="0"/>
          <w:lang w:val="ro-RO"/>
        </w:rPr>
        <w:t xml:space="preserve"> </w:t>
      </w:r>
      <w:r w:rsidRPr="009070BD">
        <w:rPr>
          <w:rFonts w:cs="Sylfaen"/>
          <w:b w:val="0"/>
        </w:rPr>
        <w:t>բյուջեով</w:t>
      </w:r>
      <w:r w:rsidRPr="009070BD">
        <w:rPr>
          <w:rFonts w:cs="Sylfaen"/>
          <w:b w:val="0"/>
          <w:lang w:val="ro-RO"/>
        </w:rPr>
        <w:t xml:space="preserve"> </w:t>
      </w:r>
      <w:r w:rsidRPr="009070BD">
        <w:rPr>
          <w:rFonts w:cs="Sylfaen"/>
          <w:b w:val="0"/>
        </w:rPr>
        <w:t>հաստատ</w:t>
      </w:r>
      <w:r w:rsidRPr="009070BD">
        <w:rPr>
          <w:rFonts w:cs="Sylfaen"/>
          <w:b w:val="0"/>
          <w:lang w:val="ro-RO"/>
        </w:rPr>
        <w:softHyphen/>
      </w:r>
      <w:r w:rsidRPr="009070BD">
        <w:rPr>
          <w:rFonts w:cs="Sylfaen"/>
          <w:b w:val="0"/>
        </w:rPr>
        <w:t>ված</w:t>
      </w:r>
      <w:r w:rsidRPr="009070BD">
        <w:rPr>
          <w:rFonts w:cs="Sylfaen"/>
          <w:b w:val="0"/>
          <w:lang w:val="it-IT"/>
        </w:rPr>
        <w:t xml:space="preserve"> </w:t>
      </w:r>
      <w:r w:rsidRPr="009070BD">
        <w:rPr>
          <w:rFonts w:cs="Sylfaen"/>
          <w:b w:val="0"/>
        </w:rPr>
        <w:t>գումարի</w:t>
      </w:r>
      <w:r w:rsidRPr="009070BD">
        <w:rPr>
          <w:rFonts w:cs="Sylfaen"/>
          <w:b w:val="0"/>
          <w:lang w:val="it-IT"/>
        </w:rPr>
        <w:t xml:space="preserve"> </w:t>
      </w:r>
      <w:r w:rsidRPr="009070BD">
        <w:rPr>
          <w:rFonts w:cs="Sylfaen"/>
          <w:b w:val="0"/>
        </w:rPr>
        <w:t>չափով</w:t>
      </w:r>
      <w:r w:rsidRPr="009070BD">
        <w:rPr>
          <w:rFonts w:cs="Sylfaen"/>
          <w:b w:val="0"/>
          <w:lang w:val="af-ZA"/>
        </w:rPr>
        <w:t xml:space="preserve">: </w:t>
      </w:r>
    </w:p>
    <w:p w:rsidR="00B36A46" w:rsidRPr="009070BD" w:rsidRDefault="00B36A46" w:rsidP="007730AA">
      <w:pPr>
        <w:autoSpaceDE w:val="0"/>
        <w:autoSpaceDN w:val="0"/>
        <w:adjustRightInd w:val="0"/>
        <w:spacing w:before="0" w:line="276" w:lineRule="auto"/>
        <w:ind w:firstLine="720"/>
        <w:rPr>
          <w:rFonts w:cs="Sylfaen"/>
          <w:b w:val="0"/>
          <w:lang w:val="af-ZA"/>
        </w:rPr>
      </w:pPr>
      <w:r w:rsidRPr="009070BD">
        <w:rPr>
          <w:rFonts w:cs="Sylfaen"/>
          <w:b w:val="0"/>
        </w:rPr>
        <w:t>Միջոցառմամբ</w:t>
      </w:r>
      <w:r w:rsidRPr="009070BD">
        <w:rPr>
          <w:rFonts w:cs="Sylfaen"/>
          <w:b w:val="0"/>
          <w:lang w:val="af-ZA"/>
        </w:rPr>
        <w:t xml:space="preserve"> </w:t>
      </w:r>
      <w:r w:rsidRPr="009070BD">
        <w:rPr>
          <w:rFonts w:cs="Sylfaen"/>
          <w:b w:val="0"/>
        </w:rPr>
        <w:t>նախատեսվում</w:t>
      </w:r>
      <w:r w:rsidRPr="009070BD">
        <w:rPr>
          <w:rFonts w:cs="Sylfaen"/>
          <w:b w:val="0"/>
          <w:lang w:val="af-ZA"/>
        </w:rPr>
        <w:t xml:space="preserve"> </w:t>
      </w:r>
      <w:r w:rsidRPr="009070BD">
        <w:rPr>
          <w:rFonts w:cs="Sylfaen"/>
          <w:b w:val="0"/>
        </w:rPr>
        <w:t>է</w:t>
      </w:r>
      <w:r w:rsidRPr="009070BD">
        <w:rPr>
          <w:rFonts w:cs="Sylfaen"/>
          <w:b w:val="0"/>
          <w:lang w:val="af-ZA"/>
        </w:rPr>
        <w:t xml:space="preserve"> </w:t>
      </w:r>
      <w:r w:rsidRPr="009070BD">
        <w:rPr>
          <w:rFonts w:cs="Sylfaen"/>
          <w:b w:val="0"/>
        </w:rPr>
        <w:t>բույսերի</w:t>
      </w:r>
      <w:r w:rsidRPr="009070BD">
        <w:rPr>
          <w:rFonts w:cs="Sylfaen"/>
          <w:b w:val="0"/>
          <w:lang w:val="af-ZA"/>
        </w:rPr>
        <w:t xml:space="preserve"> </w:t>
      </w:r>
      <w:r w:rsidRPr="009070BD">
        <w:rPr>
          <w:rFonts w:cs="Sylfaen"/>
          <w:b w:val="0"/>
        </w:rPr>
        <w:t>կարանտինի</w:t>
      </w:r>
      <w:r w:rsidRPr="009070BD">
        <w:rPr>
          <w:rFonts w:cs="Sylfaen"/>
          <w:b w:val="0"/>
          <w:lang w:val="af-ZA"/>
        </w:rPr>
        <w:t xml:space="preserve">, </w:t>
      </w:r>
      <w:r w:rsidRPr="009070BD">
        <w:rPr>
          <w:rFonts w:cs="GHEAGrapalat"/>
          <w:b w:val="0"/>
          <w:lang w:val="af-ZA"/>
        </w:rPr>
        <w:t>առավել վտանգավոր վնասակար օրգանիզմների և թաքնված վարակի հայտնաբերմանն ուղղված,</w:t>
      </w:r>
      <w:r w:rsidRPr="009070BD">
        <w:rPr>
          <w:rFonts w:cs="Sylfaen"/>
          <w:b w:val="0"/>
          <w:lang w:val="af-ZA"/>
        </w:rPr>
        <w:t xml:space="preserve"> </w:t>
      </w:r>
      <w:r w:rsidRPr="009070BD">
        <w:rPr>
          <w:rFonts w:cs="Sylfaen"/>
          <w:b w:val="0"/>
        </w:rPr>
        <w:t>գյուղատնտեսական</w:t>
      </w:r>
      <w:r w:rsidRPr="009070BD">
        <w:rPr>
          <w:rFonts w:cs="Sylfaen"/>
          <w:b w:val="0"/>
          <w:lang w:val="af-ZA"/>
        </w:rPr>
        <w:t xml:space="preserve"> </w:t>
      </w:r>
      <w:r w:rsidRPr="009070BD">
        <w:rPr>
          <w:rFonts w:cs="Sylfaen"/>
          <w:b w:val="0"/>
        </w:rPr>
        <w:t>մշակաբույսերի</w:t>
      </w:r>
      <w:r w:rsidRPr="009070BD">
        <w:rPr>
          <w:rFonts w:cs="Sylfaen"/>
          <w:b w:val="0"/>
          <w:lang w:val="af-ZA"/>
        </w:rPr>
        <w:t xml:space="preserve">, </w:t>
      </w:r>
      <w:r w:rsidRPr="009070BD">
        <w:rPr>
          <w:rFonts w:cs="Sylfaen"/>
          <w:b w:val="0"/>
        </w:rPr>
        <w:t>բույսերի</w:t>
      </w:r>
      <w:r w:rsidRPr="009070BD">
        <w:rPr>
          <w:rFonts w:cs="Sylfaen"/>
          <w:b w:val="0"/>
          <w:lang w:val="af-ZA"/>
        </w:rPr>
        <w:t xml:space="preserve"> </w:t>
      </w:r>
      <w:r w:rsidRPr="009070BD">
        <w:rPr>
          <w:rFonts w:cs="Sylfaen"/>
          <w:b w:val="0"/>
        </w:rPr>
        <w:t>պաշտպանության</w:t>
      </w:r>
      <w:r w:rsidRPr="009070BD">
        <w:rPr>
          <w:rFonts w:cs="Sylfaen"/>
          <w:b w:val="0"/>
          <w:lang w:val="af-ZA"/>
        </w:rPr>
        <w:t xml:space="preserve"> </w:t>
      </w:r>
      <w:r w:rsidRPr="009070BD">
        <w:rPr>
          <w:rFonts w:cs="Sylfaen"/>
          <w:b w:val="0"/>
        </w:rPr>
        <w:t>միջոցների</w:t>
      </w:r>
      <w:r w:rsidRPr="009070BD">
        <w:rPr>
          <w:rFonts w:cs="Sylfaen"/>
          <w:b w:val="0"/>
          <w:lang w:val="af-ZA"/>
        </w:rPr>
        <w:t xml:space="preserve"> </w:t>
      </w:r>
      <w:r w:rsidRPr="009070BD">
        <w:rPr>
          <w:rFonts w:cs="Sylfaen"/>
          <w:b w:val="0"/>
        </w:rPr>
        <w:t>ազդող</w:t>
      </w:r>
      <w:r w:rsidRPr="009070BD">
        <w:rPr>
          <w:rFonts w:cs="Sylfaen"/>
          <w:b w:val="0"/>
          <w:lang w:val="af-ZA"/>
        </w:rPr>
        <w:t xml:space="preserve"> </w:t>
      </w:r>
      <w:r w:rsidRPr="009070BD">
        <w:rPr>
          <w:rFonts w:cs="Sylfaen"/>
          <w:b w:val="0"/>
        </w:rPr>
        <w:t>նյութի</w:t>
      </w:r>
      <w:r w:rsidRPr="009070BD">
        <w:rPr>
          <w:rFonts w:cs="Sylfaen"/>
          <w:b w:val="0"/>
          <w:lang w:val="af-ZA"/>
        </w:rPr>
        <w:t xml:space="preserve"> </w:t>
      </w:r>
      <w:r w:rsidRPr="009070BD">
        <w:rPr>
          <w:rFonts w:cs="Sylfaen"/>
          <w:b w:val="0"/>
        </w:rPr>
        <w:t>որոշման</w:t>
      </w:r>
      <w:r w:rsidRPr="009070BD">
        <w:rPr>
          <w:rFonts w:cs="Sylfaen"/>
          <w:b w:val="0"/>
          <w:lang w:val="af-ZA"/>
        </w:rPr>
        <w:t xml:space="preserve"> </w:t>
      </w:r>
      <w:r w:rsidRPr="009070BD">
        <w:rPr>
          <w:rFonts w:cs="Sylfaen"/>
          <w:b w:val="0"/>
        </w:rPr>
        <w:t>նպատակով</w:t>
      </w:r>
      <w:r w:rsidRPr="009070BD">
        <w:rPr>
          <w:rFonts w:cs="Sylfaen"/>
          <w:b w:val="0"/>
          <w:lang w:val="af-ZA"/>
        </w:rPr>
        <w:t xml:space="preserve"> </w:t>
      </w:r>
      <w:r w:rsidRPr="009070BD">
        <w:rPr>
          <w:rFonts w:cs="Sylfaen"/>
          <w:b w:val="0"/>
        </w:rPr>
        <w:t>լաբորատոր</w:t>
      </w:r>
      <w:r w:rsidRPr="009070BD">
        <w:rPr>
          <w:rFonts w:cs="Sylfaen"/>
          <w:b w:val="0"/>
          <w:lang w:val="af-ZA"/>
        </w:rPr>
        <w:t xml:space="preserve"> </w:t>
      </w:r>
      <w:r w:rsidRPr="009070BD">
        <w:rPr>
          <w:rFonts w:cs="Sylfaen"/>
          <w:b w:val="0"/>
        </w:rPr>
        <w:t>փորձաքննությունների</w:t>
      </w:r>
      <w:r w:rsidRPr="009070BD">
        <w:rPr>
          <w:rFonts w:cs="Sylfaen"/>
          <w:b w:val="0"/>
          <w:lang w:val="af-ZA"/>
        </w:rPr>
        <w:t xml:space="preserve"> </w:t>
      </w:r>
      <w:r w:rsidRPr="009070BD">
        <w:rPr>
          <w:rFonts w:cs="Sylfaen"/>
          <w:b w:val="0"/>
        </w:rPr>
        <w:t>իրականացում</w:t>
      </w:r>
      <w:r w:rsidRPr="009070BD">
        <w:rPr>
          <w:rFonts w:cs="Sylfaen"/>
          <w:b w:val="0"/>
          <w:lang w:val="af-ZA"/>
        </w:rPr>
        <w:t xml:space="preserve">: </w:t>
      </w:r>
    </w:p>
    <w:p w:rsidR="00B36A46" w:rsidRPr="009070BD" w:rsidRDefault="00B36A46" w:rsidP="007730AA">
      <w:pPr>
        <w:autoSpaceDE w:val="0"/>
        <w:autoSpaceDN w:val="0"/>
        <w:adjustRightInd w:val="0"/>
        <w:spacing w:before="0" w:line="276" w:lineRule="auto"/>
        <w:ind w:firstLine="720"/>
        <w:rPr>
          <w:rFonts w:cs="Sylfaen"/>
          <w:b w:val="0"/>
          <w:lang w:val="af-ZA"/>
        </w:rPr>
      </w:pPr>
      <w:r w:rsidRPr="009070BD">
        <w:rPr>
          <w:lang w:val="ro-RO"/>
        </w:rPr>
        <w:t xml:space="preserve">7.5 </w:t>
      </w:r>
      <w:r w:rsidRPr="009070BD">
        <w:rPr>
          <w:rFonts w:cs="Sylfaen"/>
          <w:lang w:val="af-ZA"/>
        </w:rPr>
        <w:t>«</w:t>
      </w:r>
      <w:r w:rsidRPr="009070BD">
        <w:rPr>
          <w:lang w:val="af-ZA"/>
        </w:rPr>
        <w:t>Հացահատիկային, հատիկաընդեղեն և կերային մշակաբույսերի սերմնաբուծության զարգացմանն աջակցություն</w:t>
      </w:r>
      <w:r w:rsidRPr="009070BD">
        <w:rPr>
          <w:rFonts w:cs="Sylfaen"/>
          <w:lang w:val="af-ZA"/>
        </w:rPr>
        <w:t>»</w:t>
      </w:r>
      <w:r w:rsidRPr="009070BD">
        <w:rPr>
          <w:rFonts w:cs="Sylfaen"/>
          <w:b w:val="0"/>
          <w:lang w:val="af-ZA"/>
        </w:rPr>
        <w:t xml:space="preserve"> </w:t>
      </w:r>
      <w:r w:rsidRPr="009070BD">
        <w:rPr>
          <w:rFonts w:cs="Sylfaen"/>
          <w:b w:val="0"/>
        </w:rPr>
        <w:t>միջոցառման</w:t>
      </w:r>
      <w:r w:rsidRPr="009070BD">
        <w:rPr>
          <w:rFonts w:cs="Sylfaen"/>
          <w:b w:val="0"/>
          <w:lang w:val="ro-RO"/>
        </w:rPr>
        <w:t xml:space="preserve"> </w:t>
      </w:r>
      <w:r w:rsidRPr="009070BD">
        <w:rPr>
          <w:rFonts w:cs="Sylfaen"/>
          <w:b w:val="0"/>
        </w:rPr>
        <w:t>համար</w:t>
      </w:r>
      <w:r w:rsidRPr="009070BD">
        <w:rPr>
          <w:rFonts w:cs="Sylfaen"/>
          <w:b w:val="0"/>
          <w:lang w:val="ro-RO"/>
        </w:rPr>
        <w:t xml:space="preserve"> </w:t>
      </w:r>
      <w:r w:rsidRPr="009070BD">
        <w:rPr>
          <w:rFonts w:cs="Sylfaen"/>
          <w:b w:val="0"/>
        </w:rPr>
        <w:t>Նախագծով</w:t>
      </w:r>
      <w:r w:rsidRPr="009070BD">
        <w:rPr>
          <w:rFonts w:cs="Sylfaen"/>
          <w:b w:val="0"/>
          <w:lang w:val="ro-RO"/>
        </w:rPr>
        <w:t xml:space="preserve"> </w:t>
      </w:r>
      <w:r w:rsidRPr="009070BD">
        <w:rPr>
          <w:b w:val="0"/>
        </w:rPr>
        <w:t>նախատեսվում</w:t>
      </w:r>
      <w:r w:rsidRPr="009070BD">
        <w:rPr>
          <w:b w:val="0"/>
          <w:lang w:val="ro-RO"/>
        </w:rPr>
        <w:t xml:space="preserve"> </w:t>
      </w:r>
      <w:r w:rsidRPr="009070BD">
        <w:rPr>
          <w:b w:val="0"/>
        </w:rPr>
        <w:t>է</w:t>
      </w:r>
      <w:r w:rsidRPr="009070BD">
        <w:rPr>
          <w:b w:val="0"/>
          <w:lang w:val="ro-RO"/>
        </w:rPr>
        <w:t xml:space="preserve"> </w:t>
      </w:r>
      <w:r w:rsidRPr="009070BD">
        <w:rPr>
          <w:b w:val="0"/>
        </w:rPr>
        <w:t>հատկացնել</w:t>
      </w:r>
      <w:r w:rsidRPr="009070BD">
        <w:rPr>
          <w:b w:val="0"/>
          <w:lang w:val="ro-RO"/>
        </w:rPr>
        <w:t xml:space="preserve"> 195.0 </w:t>
      </w:r>
      <w:r w:rsidRPr="009070BD">
        <w:rPr>
          <w:rFonts w:cs="Sylfaen"/>
          <w:b w:val="0"/>
        </w:rPr>
        <w:t>մլն</w:t>
      </w:r>
      <w:r w:rsidRPr="009070BD">
        <w:rPr>
          <w:rFonts w:cs="Sylfaen"/>
          <w:b w:val="0"/>
          <w:lang w:val="ro-RO"/>
        </w:rPr>
        <w:t xml:space="preserve"> </w:t>
      </w:r>
      <w:r w:rsidRPr="009070BD">
        <w:rPr>
          <w:rFonts w:cs="Sylfaen"/>
          <w:b w:val="0"/>
        </w:rPr>
        <w:t>դրամ՝</w:t>
      </w:r>
      <w:r w:rsidRPr="009070BD">
        <w:rPr>
          <w:rFonts w:cs="Sylfaen"/>
          <w:b w:val="0"/>
          <w:lang w:val="af-ZA"/>
        </w:rPr>
        <w:t xml:space="preserve"> </w:t>
      </w:r>
      <w:r w:rsidRPr="009070BD">
        <w:rPr>
          <w:rFonts w:cs="Sylfaen"/>
          <w:b w:val="0"/>
        </w:rPr>
        <w:t>ՀՀ</w:t>
      </w:r>
      <w:r w:rsidRPr="009070BD">
        <w:rPr>
          <w:rFonts w:cs="Sylfaen"/>
          <w:b w:val="0"/>
          <w:lang w:val="ro-RO"/>
        </w:rPr>
        <w:t xml:space="preserve"> 2020 </w:t>
      </w:r>
      <w:r w:rsidRPr="009070BD">
        <w:rPr>
          <w:b w:val="0"/>
        </w:rPr>
        <w:t>թվականի</w:t>
      </w:r>
      <w:r w:rsidRPr="009070BD">
        <w:rPr>
          <w:rFonts w:cs="Sylfaen"/>
          <w:b w:val="0"/>
          <w:lang w:val="ro-RO"/>
        </w:rPr>
        <w:t xml:space="preserve"> </w:t>
      </w:r>
      <w:r w:rsidRPr="009070BD">
        <w:rPr>
          <w:rFonts w:cs="Sylfaen"/>
          <w:b w:val="0"/>
        </w:rPr>
        <w:t>պետական</w:t>
      </w:r>
      <w:r w:rsidRPr="009070BD">
        <w:rPr>
          <w:rFonts w:cs="Sylfaen"/>
          <w:b w:val="0"/>
          <w:lang w:val="ro-RO"/>
        </w:rPr>
        <w:t xml:space="preserve"> </w:t>
      </w:r>
      <w:r w:rsidRPr="009070BD">
        <w:rPr>
          <w:rFonts w:cs="Sylfaen"/>
          <w:b w:val="0"/>
        </w:rPr>
        <w:t>բյուջեով</w:t>
      </w:r>
      <w:r w:rsidRPr="009070BD">
        <w:rPr>
          <w:rFonts w:cs="Sylfaen"/>
          <w:b w:val="0"/>
          <w:lang w:val="ro-RO"/>
        </w:rPr>
        <w:t xml:space="preserve"> </w:t>
      </w:r>
      <w:r w:rsidRPr="009070BD">
        <w:rPr>
          <w:rFonts w:cs="Sylfaen"/>
          <w:b w:val="0"/>
        </w:rPr>
        <w:t>հաստատ</w:t>
      </w:r>
      <w:r w:rsidRPr="009070BD">
        <w:rPr>
          <w:rFonts w:cs="Sylfaen"/>
          <w:b w:val="0"/>
          <w:lang w:val="ro-RO"/>
        </w:rPr>
        <w:softHyphen/>
      </w:r>
      <w:r w:rsidRPr="009070BD">
        <w:rPr>
          <w:rFonts w:cs="Sylfaen"/>
          <w:b w:val="0"/>
        </w:rPr>
        <w:t>ված</w:t>
      </w:r>
      <w:r w:rsidRPr="009070BD">
        <w:rPr>
          <w:rFonts w:cs="Sylfaen"/>
          <w:b w:val="0"/>
          <w:lang w:val="af-ZA"/>
        </w:rPr>
        <w:t xml:space="preserve"> </w:t>
      </w:r>
      <w:r w:rsidRPr="009070BD">
        <w:rPr>
          <w:rFonts w:cs="Sylfaen"/>
          <w:b w:val="0"/>
        </w:rPr>
        <w:t>գումարի</w:t>
      </w:r>
      <w:r w:rsidRPr="009070BD">
        <w:rPr>
          <w:rFonts w:cs="Sylfaen"/>
          <w:b w:val="0"/>
          <w:lang w:val="af-ZA"/>
        </w:rPr>
        <w:t xml:space="preserve"> </w:t>
      </w:r>
      <w:r w:rsidRPr="009070BD">
        <w:rPr>
          <w:rFonts w:cs="Sylfaen"/>
          <w:b w:val="0"/>
        </w:rPr>
        <w:t>չափով</w:t>
      </w:r>
      <w:r w:rsidRPr="009070BD">
        <w:rPr>
          <w:rFonts w:cs="Sylfaen"/>
          <w:b w:val="0"/>
          <w:lang w:val="af-ZA"/>
        </w:rPr>
        <w:t xml:space="preserve">: </w:t>
      </w:r>
    </w:p>
    <w:p w:rsidR="00B36A46" w:rsidRPr="009070BD" w:rsidRDefault="00B36A46" w:rsidP="007730AA">
      <w:pPr>
        <w:autoSpaceDE w:val="0"/>
        <w:autoSpaceDN w:val="0"/>
        <w:adjustRightInd w:val="0"/>
        <w:spacing w:before="0" w:line="276" w:lineRule="auto"/>
        <w:ind w:firstLine="720"/>
        <w:rPr>
          <w:b w:val="0"/>
          <w:spacing w:val="-8"/>
          <w:lang w:val="af-ZA"/>
        </w:rPr>
      </w:pPr>
      <w:r w:rsidRPr="009070BD">
        <w:rPr>
          <w:rFonts w:cs="Sylfaen"/>
          <w:b w:val="0"/>
        </w:rPr>
        <w:t>Միջոցառման</w:t>
      </w:r>
      <w:r w:rsidRPr="009070BD">
        <w:rPr>
          <w:rFonts w:cs="Sylfaen"/>
          <w:b w:val="0"/>
          <w:lang w:val="af-ZA"/>
        </w:rPr>
        <w:t xml:space="preserve"> </w:t>
      </w:r>
      <w:r w:rsidRPr="009070BD">
        <w:rPr>
          <w:rFonts w:cs="Sylfaen"/>
          <w:b w:val="0"/>
        </w:rPr>
        <w:t>նպատակը</w:t>
      </w:r>
      <w:r w:rsidRPr="009070BD">
        <w:rPr>
          <w:rFonts w:cs="Sylfaen"/>
          <w:b w:val="0"/>
          <w:lang w:val="af-ZA"/>
        </w:rPr>
        <w:t xml:space="preserve"> </w:t>
      </w:r>
      <w:r w:rsidRPr="009070BD">
        <w:rPr>
          <w:rFonts w:cs="Sylfaen"/>
          <w:b w:val="0"/>
        </w:rPr>
        <w:t>հանրապետության</w:t>
      </w:r>
      <w:r w:rsidRPr="009070BD">
        <w:rPr>
          <w:rFonts w:cs="Sylfaen"/>
          <w:b w:val="0"/>
          <w:lang w:val="af-ZA"/>
        </w:rPr>
        <w:t xml:space="preserve"> </w:t>
      </w:r>
      <w:r w:rsidRPr="009070BD">
        <w:rPr>
          <w:rFonts w:cs="Sylfaen"/>
          <w:b w:val="0"/>
        </w:rPr>
        <w:t>տարածքում</w:t>
      </w:r>
      <w:r w:rsidRPr="009070BD">
        <w:rPr>
          <w:rFonts w:cs="Sylfaen"/>
          <w:b w:val="0"/>
          <w:lang w:val="af-ZA"/>
        </w:rPr>
        <w:t xml:space="preserve"> </w:t>
      </w:r>
      <w:r w:rsidRPr="009070BD">
        <w:rPr>
          <w:rFonts w:cs="Sylfaen"/>
          <w:b w:val="0"/>
        </w:rPr>
        <w:t>աշնանացան</w:t>
      </w:r>
      <w:r w:rsidRPr="009070BD">
        <w:rPr>
          <w:rFonts w:cs="Sylfaen"/>
          <w:b w:val="0"/>
          <w:lang w:val="af-ZA"/>
        </w:rPr>
        <w:t xml:space="preserve"> </w:t>
      </w:r>
      <w:r w:rsidRPr="009070BD">
        <w:rPr>
          <w:rFonts w:cs="Sylfaen"/>
          <w:b w:val="0"/>
        </w:rPr>
        <w:t>ցորենի</w:t>
      </w:r>
      <w:r w:rsidRPr="009070BD">
        <w:rPr>
          <w:rFonts w:cs="Sylfaen"/>
          <w:b w:val="0"/>
          <w:lang w:val="af-ZA"/>
        </w:rPr>
        <w:t xml:space="preserve">, գարնանացան գարու, </w:t>
      </w:r>
      <w:r w:rsidRPr="009070BD">
        <w:rPr>
          <w:rFonts w:cs="Sylfaen"/>
          <w:b w:val="0"/>
        </w:rPr>
        <w:t>ոլոռի</w:t>
      </w:r>
      <w:r w:rsidRPr="009070BD">
        <w:rPr>
          <w:rFonts w:cs="Sylfaen"/>
          <w:b w:val="0"/>
          <w:lang w:val="af-ZA"/>
        </w:rPr>
        <w:t xml:space="preserve">, </w:t>
      </w:r>
      <w:r w:rsidRPr="009070BD">
        <w:rPr>
          <w:rFonts w:cs="Sylfaen"/>
          <w:b w:val="0"/>
        </w:rPr>
        <w:t>ոսպի</w:t>
      </w:r>
      <w:r w:rsidRPr="009070BD">
        <w:rPr>
          <w:rFonts w:cs="Sylfaen"/>
          <w:b w:val="0"/>
          <w:lang w:val="af-ZA"/>
        </w:rPr>
        <w:t xml:space="preserve">, </w:t>
      </w:r>
      <w:r w:rsidRPr="009070BD">
        <w:rPr>
          <w:rFonts w:cs="Sylfaen"/>
          <w:b w:val="0"/>
        </w:rPr>
        <w:t>սիսեռի</w:t>
      </w:r>
      <w:r w:rsidRPr="009070BD">
        <w:rPr>
          <w:rFonts w:cs="Sylfaen"/>
          <w:b w:val="0"/>
          <w:lang w:val="af-ZA"/>
        </w:rPr>
        <w:t xml:space="preserve">, </w:t>
      </w:r>
      <w:r w:rsidRPr="009070BD">
        <w:rPr>
          <w:rFonts w:cs="Sylfaen"/>
          <w:b w:val="0"/>
        </w:rPr>
        <w:t>առվույտի</w:t>
      </w:r>
      <w:r w:rsidRPr="009070BD">
        <w:rPr>
          <w:rFonts w:cs="Sylfaen"/>
          <w:b w:val="0"/>
          <w:lang w:val="af-ZA"/>
        </w:rPr>
        <w:t xml:space="preserve"> </w:t>
      </w:r>
      <w:r w:rsidRPr="009070BD">
        <w:rPr>
          <w:rFonts w:cs="Sylfaen"/>
          <w:b w:val="0"/>
        </w:rPr>
        <w:t>և</w:t>
      </w:r>
      <w:r w:rsidRPr="009070BD">
        <w:rPr>
          <w:rFonts w:cs="Sylfaen"/>
          <w:b w:val="0"/>
          <w:lang w:val="af-ZA"/>
        </w:rPr>
        <w:t xml:space="preserve"> </w:t>
      </w:r>
      <w:r w:rsidRPr="009070BD">
        <w:rPr>
          <w:rFonts w:cs="Sylfaen"/>
          <w:b w:val="0"/>
        </w:rPr>
        <w:t>կորնգանի</w:t>
      </w:r>
      <w:r w:rsidRPr="009070BD">
        <w:rPr>
          <w:rFonts w:cs="Sylfaen"/>
          <w:b w:val="0"/>
          <w:lang w:val="af-ZA"/>
        </w:rPr>
        <w:t xml:space="preserve"> </w:t>
      </w:r>
      <w:r w:rsidRPr="009070BD">
        <w:rPr>
          <w:rFonts w:cs="Sylfaen"/>
          <w:b w:val="0"/>
        </w:rPr>
        <w:t>սերմնաբուծության</w:t>
      </w:r>
      <w:r w:rsidRPr="009070BD">
        <w:rPr>
          <w:rFonts w:cs="Sylfaen"/>
          <w:b w:val="0"/>
          <w:lang w:val="af-ZA"/>
        </w:rPr>
        <w:t xml:space="preserve"> </w:t>
      </w:r>
      <w:r w:rsidRPr="009070BD">
        <w:rPr>
          <w:rFonts w:cs="Sylfaen"/>
          <w:b w:val="0"/>
        </w:rPr>
        <w:t>ու</w:t>
      </w:r>
      <w:r w:rsidRPr="009070BD">
        <w:rPr>
          <w:rFonts w:cs="Sylfaen"/>
          <w:b w:val="0"/>
          <w:lang w:val="af-ZA"/>
        </w:rPr>
        <w:t xml:space="preserve"> </w:t>
      </w:r>
      <w:r w:rsidRPr="009070BD">
        <w:rPr>
          <w:rFonts w:cs="Sylfaen"/>
          <w:b w:val="0"/>
        </w:rPr>
        <w:t>սերմարտադրության</w:t>
      </w:r>
      <w:r w:rsidRPr="009070BD">
        <w:rPr>
          <w:rFonts w:cs="Sylfaen"/>
          <w:b w:val="0"/>
          <w:lang w:val="af-ZA"/>
        </w:rPr>
        <w:t xml:space="preserve"> </w:t>
      </w:r>
      <w:r w:rsidRPr="009070BD">
        <w:rPr>
          <w:rFonts w:cs="Sylfaen"/>
          <w:b w:val="0"/>
        </w:rPr>
        <w:t>զարգացումն</w:t>
      </w:r>
      <w:r w:rsidRPr="009070BD">
        <w:rPr>
          <w:rFonts w:cs="Sylfaen"/>
          <w:b w:val="0"/>
          <w:lang w:val="af-ZA"/>
        </w:rPr>
        <w:t xml:space="preserve"> </w:t>
      </w:r>
      <w:r w:rsidRPr="009070BD">
        <w:rPr>
          <w:rFonts w:cs="Sylfaen"/>
          <w:b w:val="0"/>
        </w:rPr>
        <w:t>է</w:t>
      </w:r>
      <w:r w:rsidRPr="009070BD">
        <w:rPr>
          <w:rFonts w:cs="Sylfaen"/>
          <w:b w:val="0"/>
          <w:lang w:val="af-ZA"/>
        </w:rPr>
        <w:t xml:space="preserve">, որի </w:t>
      </w:r>
      <w:r w:rsidRPr="009070BD">
        <w:rPr>
          <w:b w:val="0"/>
          <w:bCs/>
          <w:iCs/>
          <w:lang w:val="hy-AM"/>
        </w:rPr>
        <w:t xml:space="preserve">արդյունքում </w:t>
      </w:r>
      <w:r w:rsidRPr="009070BD">
        <w:rPr>
          <w:b w:val="0"/>
          <w:lang w:val="hy-AM"/>
        </w:rPr>
        <w:t>կավելանան հանրապետության տարածքում արտադրվող բարձր վերարտադրության հացահատիկային, հատիկընդեղեն և կերային մշակաբույսերի սերմնանյութի արտադրական ծավալները, կբարձրանա տեղական սերմնանյութով ինքնաբավության մակարդակը</w:t>
      </w:r>
      <w:r w:rsidRPr="009070BD">
        <w:rPr>
          <w:b w:val="0"/>
          <w:spacing w:val="-8"/>
          <w:lang w:val="hy-AM"/>
        </w:rPr>
        <w:t>:</w:t>
      </w:r>
      <w:r w:rsidRPr="009070BD">
        <w:rPr>
          <w:b w:val="0"/>
          <w:spacing w:val="-8"/>
          <w:lang w:val="af-ZA"/>
        </w:rPr>
        <w:t xml:space="preserve"> </w:t>
      </w:r>
    </w:p>
    <w:p w:rsidR="00B36A46" w:rsidRPr="009070BD" w:rsidRDefault="00B36A46" w:rsidP="007730AA">
      <w:pPr>
        <w:spacing w:before="0" w:line="276" w:lineRule="auto"/>
        <w:ind w:firstLine="720"/>
        <w:rPr>
          <w:rFonts w:cs="Sylfaen"/>
          <w:b w:val="0"/>
          <w:lang w:val="af-ZA"/>
        </w:rPr>
      </w:pPr>
      <w:r w:rsidRPr="009070BD">
        <w:rPr>
          <w:spacing w:val="-8"/>
          <w:lang w:val="af-ZA"/>
        </w:rPr>
        <w:t>8. </w:t>
      </w:r>
      <w:r w:rsidRPr="009070BD">
        <w:rPr>
          <w:spacing w:val="-8"/>
        </w:rPr>
        <w:t>Անասնաբուժական</w:t>
      </w:r>
      <w:r w:rsidRPr="009070BD">
        <w:rPr>
          <w:spacing w:val="-8"/>
          <w:lang w:val="af-ZA"/>
        </w:rPr>
        <w:t xml:space="preserve"> </w:t>
      </w:r>
      <w:r w:rsidRPr="009070BD">
        <w:rPr>
          <w:spacing w:val="-8"/>
        </w:rPr>
        <w:t>ծառայություններ</w:t>
      </w:r>
      <w:r w:rsidRPr="009070BD">
        <w:rPr>
          <w:spacing w:val="-8"/>
          <w:lang w:val="af-ZA"/>
        </w:rPr>
        <w:t></w:t>
      </w:r>
      <w:r w:rsidRPr="009070BD">
        <w:rPr>
          <w:b w:val="0"/>
          <w:spacing w:val="-8"/>
          <w:lang w:val="af-ZA"/>
        </w:rPr>
        <w:t xml:space="preserve"> </w:t>
      </w:r>
      <w:r w:rsidRPr="009070BD">
        <w:rPr>
          <w:rFonts w:cs="Sylfaen"/>
          <w:b w:val="0"/>
          <w:lang w:val="af-ZA"/>
        </w:rPr>
        <w:t>ծրագրի համար Նախագծով նախատեսվում է հատկացնել 2,027.6 մլն դրամ: Ծրագրի շրջանակներում նախատեսվում է իրականացնել հետևյալ միջոցառումները.</w:t>
      </w:r>
    </w:p>
    <w:p w:rsidR="00B36A46" w:rsidRPr="009070BD" w:rsidRDefault="00B36A46" w:rsidP="007730AA">
      <w:pPr>
        <w:autoSpaceDE w:val="0"/>
        <w:autoSpaceDN w:val="0"/>
        <w:adjustRightInd w:val="0"/>
        <w:spacing w:before="0" w:line="276" w:lineRule="auto"/>
        <w:ind w:firstLine="720"/>
        <w:rPr>
          <w:rFonts w:cs="Sylfaen"/>
          <w:b w:val="0"/>
          <w:lang w:val="af-ZA"/>
        </w:rPr>
      </w:pPr>
      <w:r w:rsidRPr="009070BD">
        <w:rPr>
          <w:spacing w:val="-8"/>
          <w:lang w:val="af-ZA"/>
        </w:rPr>
        <w:t xml:space="preserve">8.1 </w:t>
      </w:r>
      <w:r w:rsidRPr="009070BD">
        <w:rPr>
          <w:lang w:val="ro-RO"/>
        </w:rPr>
        <w:t></w:t>
      </w:r>
      <w:r w:rsidRPr="009070BD">
        <w:rPr>
          <w:rFonts w:cs="Sylfaen"/>
        </w:rPr>
        <w:t>Գյուղատնտեսական</w:t>
      </w:r>
      <w:r w:rsidRPr="009070BD">
        <w:rPr>
          <w:lang w:val="ro-RO"/>
        </w:rPr>
        <w:t xml:space="preserve"> </w:t>
      </w:r>
      <w:r w:rsidRPr="009070BD">
        <w:rPr>
          <w:rFonts w:cs="Sylfaen"/>
        </w:rPr>
        <w:t>կենդանիների</w:t>
      </w:r>
      <w:r w:rsidRPr="009070BD">
        <w:rPr>
          <w:lang w:val="ro-RO"/>
        </w:rPr>
        <w:t xml:space="preserve"> </w:t>
      </w:r>
      <w:r w:rsidRPr="009070BD">
        <w:rPr>
          <w:rFonts w:cs="Sylfaen"/>
        </w:rPr>
        <w:t>պատվաստում</w:t>
      </w:r>
      <w:r w:rsidRPr="009070BD">
        <w:rPr>
          <w:lang w:val="ro-RO"/>
        </w:rPr>
        <w:t></w:t>
      </w:r>
      <w:r w:rsidRPr="009070BD">
        <w:rPr>
          <w:rFonts w:cs="Sylfaen"/>
          <w:b w:val="0"/>
          <w:lang w:val="ro-RO"/>
        </w:rPr>
        <w:t xml:space="preserve"> </w:t>
      </w:r>
      <w:r w:rsidRPr="009070BD">
        <w:rPr>
          <w:rFonts w:cs="Sylfaen"/>
          <w:b w:val="0"/>
        </w:rPr>
        <w:t>միջոցառման</w:t>
      </w:r>
      <w:r w:rsidRPr="009070BD">
        <w:rPr>
          <w:rFonts w:cs="Sylfaen"/>
          <w:b w:val="0"/>
          <w:lang w:val="ro-RO"/>
        </w:rPr>
        <w:t xml:space="preserve"> </w:t>
      </w:r>
      <w:r w:rsidRPr="009070BD">
        <w:rPr>
          <w:rFonts w:cs="Sylfaen"/>
          <w:b w:val="0"/>
        </w:rPr>
        <w:t>համար</w:t>
      </w:r>
      <w:r w:rsidRPr="009070BD">
        <w:rPr>
          <w:rFonts w:cs="Sylfaen"/>
          <w:b w:val="0"/>
          <w:lang w:val="ro-RO"/>
        </w:rPr>
        <w:t xml:space="preserve"> </w:t>
      </w:r>
      <w:r w:rsidRPr="009070BD">
        <w:rPr>
          <w:rFonts w:cs="Sylfaen"/>
          <w:b w:val="0"/>
        </w:rPr>
        <w:t>Նախագծով</w:t>
      </w:r>
      <w:r w:rsidRPr="009070BD">
        <w:rPr>
          <w:b w:val="0"/>
          <w:lang w:val="ro-RO"/>
        </w:rPr>
        <w:t xml:space="preserve"> </w:t>
      </w:r>
      <w:r w:rsidRPr="009070BD">
        <w:rPr>
          <w:rFonts w:cs="Sylfaen"/>
          <w:b w:val="0"/>
        </w:rPr>
        <w:t>նախատեսվում</w:t>
      </w:r>
      <w:r w:rsidRPr="009070BD">
        <w:rPr>
          <w:rFonts w:cs="Sylfaen"/>
          <w:b w:val="0"/>
          <w:lang w:val="ro-RO"/>
        </w:rPr>
        <w:t xml:space="preserve"> </w:t>
      </w:r>
      <w:r w:rsidRPr="009070BD">
        <w:rPr>
          <w:rFonts w:cs="Sylfaen"/>
          <w:b w:val="0"/>
        </w:rPr>
        <w:t>է</w:t>
      </w:r>
      <w:r w:rsidRPr="009070BD">
        <w:rPr>
          <w:rFonts w:cs="Sylfaen"/>
          <w:b w:val="0"/>
          <w:lang w:val="ro-RO"/>
        </w:rPr>
        <w:t xml:space="preserve"> </w:t>
      </w:r>
      <w:r w:rsidRPr="009070BD">
        <w:rPr>
          <w:b w:val="0"/>
        </w:rPr>
        <w:t>հատկացնել</w:t>
      </w:r>
      <w:r w:rsidRPr="009070BD">
        <w:rPr>
          <w:b w:val="0"/>
          <w:lang w:val="ro-RO"/>
        </w:rPr>
        <w:t xml:space="preserve"> </w:t>
      </w:r>
      <w:r w:rsidRPr="009070BD">
        <w:rPr>
          <w:b w:val="0"/>
          <w:lang w:val="af-ZA"/>
        </w:rPr>
        <w:t xml:space="preserve">1,448.4 </w:t>
      </w:r>
      <w:r w:rsidRPr="009070BD">
        <w:rPr>
          <w:b w:val="0"/>
        </w:rPr>
        <w:t>մլն</w:t>
      </w:r>
      <w:r w:rsidRPr="009070BD">
        <w:rPr>
          <w:rFonts w:cs="Sylfaen"/>
          <w:b w:val="0"/>
          <w:lang w:val="ro-RO"/>
        </w:rPr>
        <w:t xml:space="preserve"> </w:t>
      </w:r>
      <w:r w:rsidRPr="009070BD">
        <w:rPr>
          <w:rFonts w:cs="Sylfaen"/>
          <w:b w:val="0"/>
        </w:rPr>
        <w:t>դրամ</w:t>
      </w:r>
      <w:r w:rsidRPr="009070BD">
        <w:rPr>
          <w:rFonts w:cs="Sylfaen"/>
          <w:b w:val="0"/>
          <w:lang w:val="ro-RO"/>
        </w:rPr>
        <w:t xml:space="preserve">` ՀՀ 2020 թվականի պետական բյուջեով հաստատված </w:t>
      </w:r>
      <w:r w:rsidRPr="009070BD">
        <w:rPr>
          <w:rFonts w:cs="Sylfaen"/>
          <w:b w:val="0"/>
        </w:rPr>
        <w:t>գումարի</w:t>
      </w:r>
      <w:r w:rsidRPr="009070BD">
        <w:rPr>
          <w:rFonts w:cs="Sylfaen"/>
          <w:b w:val="0"/>
          <w:lang w:val="af-ZA"/>
        </w:rPr>
        <w:t xml:space="preserve"> </w:t>
      </w:r>
      <w:r w:rsidRPr="009070BD">
        <w:rPr>
          <w:rFonts w:cs="Sylfaen"/>
          <w:b w:val="0"/>
        </w:rPr>
        <w:t>չափով</w:t>
      </w:r>
      <w:r w:rsidRPr="009070BD">
        <w:rPr>
          <w:rFonts w:cs="Sylfaen"/>
          <w:b w:val="0"/>
          <w:lang w:val="af-ZA"/>
        </w:rPr>
        <w:t xml:space="preserve">: </w:t>
      </w:r>
    </w:p>
    <w:p w:rsidR="00B36A46" w:rsidRPr="009070BD" w:rsidRDefault="00B36A46" w:rsidP="007730AA">
      <w:pPr>
        <w:autoSpaceDE w:val="0"/>
        <w:autoSpaceDN w:val="0"/>
        <w:adjustRightInd w:val="0"/>
        <w:spacing w:before="0" w:line="276" w:lineRule="auto"/>
        <w:ind w:firstLine="720"/>
        <w:rPr>
          <w:b w:val="0"/>
          <w:lang w:val="ro-RO"/>
        </w:rPr>
      </w:pPr>
      <w:r w:rsidRPr="009070BD">
        <w:rPr>
          <w:b w:val="0"/>
        </w:rPr>
        <w:t>Միջոցառումն</w:t>
      </w:r>
      <w:r w:rsidRPr="009070BD">
        <w:rPr>
          <w:b w:val="0"/>
          <w:lang w:val="ro-RO"/>
        </w:rPr>
        <w:t xml:space="preserve"> </w:t>
      </w:r>
      <w:r w:rsidRPr="009070BD">
        <w:rPr>
          <w:b w:val="0"/>
        </w:rPr>
        <w:t>ուղղված</w:t>
      </w:r>
      <w:r w:rsidRPr="009070BD">
        <w:rPr>
          <w:b w:val="0"/>
          <w:lang w:val="ro-RO"/>
        </w:rPr>
        <w:t xml:space="preserve"> </w:t>
      </w:r>
      <w:r w:rsidRPr="009070BD">
        <w:rPr>
          <w:b w:val="0"/>
        </w:rPr>
        <w:t>է</w:t>
      </w:r>
      <w:r w:rsidRPr="009070BD">
        <w:rPr>
          <w:b w:val="0"/>
          <w:lang w:val="ro-RO"/>
        </w:rPr>
        <w:t xml:space="preserve"> </w:t>
      </w:r>
      <w:r w:rsidRPr="009070BD">
        <w:rPr>
          <w:b w:val="0"/>
        </w:rPr>
        <w:t>անասնահամաճարակային</w:t>
      </w:r>
      <w:r w:rsidRPr="009070BD">
        <w:rPr>
          <w:b w:val="0"/>
          <w:lang w:val="ro-RO"/>
        </w:rPr>
        <w:t xml:space="preserve"> </w:t>
      </w:r>
      <w:r w:rsidRPr="009070BD">
        <w:rPr>
          <w:b w:val="0"/>
        </w:rPr>
        <w:t>կայուն</w:t>
      </w:r>
      <w:r w:rsidRPr="009070BD">
        <w:rPr>
          <w:b w:val="0"/>
          <w:lang w:val="ro-RO"/>
        </w:rPr>
        <w:t xml:space="preserve"> </w:t>
      </w:r>
      <w:r w:rsidRPr="009070BD">
        <w:rPr>
          <w:b w:val="0"/>
        </w:rPr>
        <w:t>իրավիճակ</w:t>
      </w:r>
      <w:r w:rsidRPr="009070BD">
        <w:rPr>
          <w:b w:val="0"/>
          <w:lang w:val="ro-RO"/>
        </w:rPr>
        <w:t xml:space="preserve"> </w:t>
      </w:r>
      <w:r w:rsidRPr="009070BD">
        <w:rPr>
          <w:b w:val="0"/>
        </w:rPr>
        <w:t>ստեղծելու</w:t>
      </w:r>
      <w:r w:rsidRPr="009070BD">
        <w:rPr>
          <w:b w:val="0"/>
          <w:lang w:val="ro-RO"/>
        </w:rPr>
        <w:t xml:space="preserve"> </w:t>
      </w:r>
      <w:r w:rsidRPr="009070BD">
        <w:rPr>
          <w:b w:val="0"/>
        </w:rPr>
        <w:t>և</w:t>
      </w:r>
      <w:r w:rsidRPr="009070BD">
        <w:rPr>
          <w:b w:val="0"/>
          <w:lang w:val="ro-RO"/>
        </w:rPr>
        <w:t xml:space="preserve"> </w:t>
      </w:r>
      <w:r w:rsidRPr="009070BD">
        <w:rPr>
          <w:b w:val="0"/>
        </w:rPr>
        <w:t>պահպանելու</w:t>
      </w:r>
      <w:r w:rsidRPr="009070BD">
        <w:rPr>
          <w:b w:val="0"/>
          <w:lang w:val="ro-RO"/>
        </w:rPr>
        <w:t xml:space="preserve"> </w:t>
      </w:r>
      <w:r w:rsidRPr="009070BD">
        <w:rPr>
          <w:b w:val="0"/>
        </w:rPr>
        <w:t>նպատակով</w:t>
      </w:r>
      <w:r w:rsidRPr="009070BD">
        <w:rPr>
          <w:b w:val="0"/>
          <w:lang w:val="ro-RO"/>
        </w:rPr>
        <w:t xml:space="preserve"> </w:t>
      </w:r>
      <w:r w:rsidRPr="009070BD">
        <w:rPr>
          <w:rFonts w:cs="Sylfaen"/>
          <w:b w:val="0"/>
        </w:rPr>
        <w:t>կենդանիների</w:t>
      </w:r>
      <w:r w:rsidRPr="009070BD">
        <w:rPr>
          <w:b w:val="0"/>
          <w:lang w:val="ro-RO"/>
        </w:rPr>
        <w:t xml:space="preserve"> </w:t>
      </w:r>
      <w:r w:rsidRPr="009070BD">
        <w:rPr>
          <w:rFonts w:cs="Sylfaen"/>
          <w:b w:val="0"/>
        </w:rPr>
        <w:t>վարակիչ</w:t>
      </w:r>
      <w:r w:rsidRPr="009070BD">
        <w:rPr>
          <w:b w:val="0"/>
          <w:lang w:val="ro-RO"/>
        </w:rPr>
        <w:t xml:space="preserve"> </w:t>
      </w:r>
      <w:r w:rsidRPr="009070BD">
        <w:rPr>
          <w:b w:val="0"/>
        </w:rPr>
        <w:t>հիվանդությունների</w:t>
      </w:r>
      <w:r w:rsidRPr="009070BD">
        <w:rPr>
          <w:b w:val="0"/>
          <w:lang w:val="ro-RO"/>
        </w:rPr>
        <w:t xml:space="preserve">, </w:t>
      </w:r>
      <w:r w:rsidRPr="009070BD">
        <w:rPr>
          <w:b w:val="0"/>
        </w:rPr>
        <w:t>այդ</w:t>
      </w:r>
      <w:r w:rsidRPr="009070BD">
        <w:rPr>
          <w:b w:val="0"/>
          <w:lang w:val="ro-RO"/>
        </w:rPr>
        <w:t xml:space="preserve"> </w:t>
      </w:r>
      <w:r w:rsidRPr="009070BD">
        <w:rPr>
          <w:b w:val="0"/>
        </w:rPr>
        <w:t>թվում</w:t>
      </w:r>
      <w:r w:rsidRPr="009070BD">
        <w:rPr>
          <w:b w:val="0"/>
          <w:lang w:val="ro-RO"/>
        </w:rPr>
        <w:t xml:space="preserve"> </w:t>
      </w:r>
      <w:r w:rsidRPr="009070BD">
        <w:rPr>
          <w:b w:val="0"/>
        </w:rPr>
        <w:t>կենդա</w:t>
      </w:r>
      <w:r w:rsidRPr="009070BD">
        <w:rPr>
          <w:b w:val="0"/>
          <w:lang w:val="ro-RO"/>
        </w:rPr>
        <w:softHyphen/>
      </w:r>
      <w:r w:rsidRPr="009070BD">
        <w:rPr>
          <w:b w:val="0"/>
        </w:rPr>
        <w:t>նիների</w:t>
      </w:r>
      <w:r w:rsidRPr="009070BD">
        <w:rPr>
          <w:b w:val="0"/>
          <w:lang w:val="ro-RO"/>
        </w:rPr>
        <w:t xml:space="preserve"> </w:t>
      </w:r>
      <w:r w:rsidRPr="009070BD">
        <w:rPr>
          <w:b w:val="0"/>
        </w:rPr>
        <w:t>և</w:t>
      </w:r>
      <w:r w:rsidRPr="009070BD">
        <w:rPr>
          <w:b w:val="0"/>
          <w:lang w:val="ro-RO"/>
        </w:rPr>
        <w:t xml:space="preserve"> </w:t>
      </w:r>
      <w:r w:rsidRPr="009070BD">
        <w:rPr>
          <w:b w:val="0"/>
        </w:rPr>
        <w:t>մարդու</w:t>
      </w:r>
      <w:r w:rsidRPr="009070BD">
        <w:rPr>
          <w:b w:val="0"/>
          <w:lang w:val="ro-RO"/>
        </w:rPr>
        <w:t xml:space="preserve"> </w:t>
      </w:r>
      <w:r w:rsidRPr="009070BD">
        <w:rPr>
          <w:b w:val="0"/>
        </w:rPr>
        <w:t>համար</w:t>
      </w:r>
      <w:r w:rsidRPr="009070BD">
        <w:rPr>
          <w:b w:val="0"/>
          <w:lang w:val="ro-RO"/>
        </w:rPr>
        <w:t xml:space="preserve"> </w:t>
      </w:r>
      <w:r w:rsidRPr="009070BD">
        <w:rPr>
          <w:b w:val="0"/>
        </w:rPr>
        <w:t>ընդհանուր</w:t>
      </w:r>
      <w:r w:rsidRPr="009070BD">
        <w:rPr>
          <w:b w:val="0"/>
          <w:lang w:val="ro-RO"/>
        </w:rPr>
        <w:t xml:space="preserve"> </w:t>
      </w:r>
      <w:r w:rsidRPr="009070BD">
        <w:rPr>
          <w:b w:val="0"/>
        </w:rPr>
        <w:t>վարակիչ</w:t>
      </w:r>
      <w:r w:rsidRPr="009070BD">
        <w:rPr>
          <w:b w:val="0"/>
          <w:lang w:val="ro-RO"/>
        </w:rPr>
        <w:t xml:space="preserve"> </w:t>
      </w:r>
      <w:r w:rsidRPr="009070BD">
        <w:rPr>
          <w:b w:val="0"/>
        </w:rPr>
        <w:t>հիվանդությունների</w:t>
      </w:r>
      <w:r w:rsidRPr="009070BD">
        <w:rPr>
          <w:b w:val="0"/>
          <w:lang w:val="ro-RO"/>
        </w:rPr>
        <w:t xml:space="preserve"> (</w:t>
      </w:r>
      <w:r w:rsidRPr="009070BD">
        <w:rPr>
          <w:rFonts w:cs="Sylfaen"/>
          <w:b w:val="0"/>
        </w:rPr>
        <w:t>դաբաղ</w:t>
      </w:r>
      <w:r w:rsidRPr="009070BD">
        <w:rPr>
          <w:b w:val="0"/>
          <w:lang w:val="ro-RO"/>
        </w:rPr>
        <w:t xml:space="preserve">, </w:t>
      </w:r>
      <w:r w:rsidRPr="009070BD">
        <w:rPr>
          <w:rFonts w:cs="Sylfaen"/>
          <w:b w:val="0"/>
        </w:rPr>
        <w:t>սիբիրախտ</w:t>
      </w:r>
      <w:r w:rsidRPr="009070BD">
        <w:rPr>
          <w:b w:val="0"/>
          <w:lang w:val="ro-RO"/>
        </w:rPr>
        <w:t xml:space="preserve">, նոդուլյար մաշկաբորբ, խոզերի ժանտախտ, բրադզոտ, պաստերելյոզ, </w:t>
      </w:r>
      <w:r w:rsidRPr="009070BD">
        <w:rPr>
          <w:rFonts w:cs="Sylfaen"/>
          <w:b w:val="0"/>
        </w:rPr>
        <w:t>բրուցելյոզ</w:t>
      </w:r>
      <w:r w:rsidRPr="009070BD">
        <w:rPr>
          <w:b w:val="0"/>
          <w:lang w:val="ro-RO"/>
        </w:rPr>
        <w:t xml:space="preserve">, </w:t>
      </w:r>
      <w:r w:rsidRPr="009070BD">
        <w:rPr>
          <w:rFonts w:cs="Sylfaen"/>
          <w:b w:val="0"/>
        </w:rPr>
        <w:t>տուբերկուլյոզ</w:t>
      </w:r>
      <w:r w:rsidRPr="009070BD">
        <w:rPr>
          <w:b w:val="0"/>
          <w:lang w:val="ro-RO"/>
        </w:rPr>
        <w:t xml:space="preserve">, լեյկոզ, </w:t>
      </w:r>
      <w:r w:rsidRPr="009070BD">
        <w:rPr>
          <w:b w:val="0"/>
        </w:rPr>
        <w:t>խշխշան</w:t>
      </w:r>
      <w:r w:rsidRPr="009070BD">
        <w:rPr>
          <w:b w:val="0"/>
          <w:lang w:val="ro-RO"/>
        </w:rPr>
        <w:t xml:space="preserve"> </w:t>
      </w:r>
      <w:r w:rsidRPr="009070BD">
        <w:rPr>
          <w:b w:val="0"/>
        </w:rPr>
        <w:t>պալար</w:t>
      </w:r>
      <w:r w:rsidRPr="009070BD">
        <w:rPr>
          <w:b w:val="0"/>
          <w:lang w:val="ro-RO"/>
        </w:rPr>
        <w:t xml:space="preserve"> (</w:t>
      </w:r>
      <w:r w:rsidRPr="009070BD">
        <w:rPr>
          <w:rFonts w:cs="Sylfaen"/>
          <w:b w:val="0"/>
        </w:rPr>
        <w:t>էմկար</w:t>
      </w:r>
      <w:r w:rsidRPr="009070BD">
        <w:rPr>
          <w:rFonts w:cs="Sylfaen"/>
          <w:b w:val="0"/>
          <w:lang w:val="ro-RO"/>
        </w:rPr>
        <w:t xml:space="preserve">), թռչունների կեղծ ժանտախտ </w:t>
      </w:r>
      <w:r w:rsidRPr="009070BD">
        <w:rPr>
          <w:rFonts w:cs="Sylfaen"/>
          <w:b w:val="0"/>
        </w:rPr>
        <w:t>և</w:t>
      </w:r>
      <w:r w:rsidRPr="009070BD">
        <w:rPr>
          <w:b w:val="0"/>
          <w:lang w:val="ro-RO"/>
        </w:rPr>
        <w:t xml:space="preserve"> </w:t>
      </w:r>
      <w:r w:rsidRPr="009070BD">
        <w:rPr>
          <w:rFonts w:cs="Sylfaen"/>
          <w:b w:val="0"/>
        </w:rPr>
        <w:t>մեղուների</w:t>
      </w:r>
      <w:r w:rsidRPr="009070BD">
        <w:rPr>
          <w:b w:val="0"/>
          <w:lang w:val="ro-RO"/>
        </w:rPr>
        <w:t xml:space="preserve"> </w:t>
      </w:r>
      <w:r w:rsidRPr="009070BD">
        <w:rPr>
          <w:rFonts w:cs="Sylfaen"/>
          <w:b w:val="0"/>
        </w:rPr>
        <w:t>վարրոատոզ</w:t>
      </w:r>
      <w:r w:rsidRPr="009070BD">
        <w:rPr>
          <w:b w:val="0"/>
          <w:lang w:val="ro-RO"/>
        </w:rPr>
        <w:t xml:space="preserve">) </w:t>
      </w:r>
      <w:r w:rsidRPr="009070BD">
        <w:rPr>
          <w:rFonts w:cs="Sylfaen"/>
          <w:b w:val="0"/>
        </w:rPr>
        <w:t>կանխարգելմանն</w:t>
      </w:r>
      <w:r w:rsidRPr="009070BD">
        <w:rPr>
          <w:b w:val="0"/>
          <w:lang w:val="ro-RO"/>
        </w:rPr>
        <w:t xml:space="preserve"> </w:t>
      </w:r>
      <w:r w:rsidRPr="009070BD">
        <w:rPr>
          <w:rFonts w:cs="Sylfaen"/>
          <w:b w:val="0"/>
        </w:rPr>
        <w:t>ու</w:t>
      </w:r>
      <w:r w:rsidRPr="009070BD">
        <w:rPr>
          <w:b w:val="0"/>
          <w:lang w:val="ro-RO"/>
        </w:rPr>
        <w:t xml:space="preserve"> </w:t>
      </w:r>
      <w:r w:rsidRPr="009070BD">
        <w:rPr>
          <w:rFonts w:cs="Sylfaen"/>
          <w:b w:val="0"/>
        </w:rPr>
        <w:t>վերաց</w:t>
      </w:r>
      <w:r w:rsidRPr="009070BD">
        <w:rPr>
          <w:rFonts w:cs="Sylfaen"/>
          <w:b w:val="0"/>
          <w:lang w:val="ro-RO"/>
        </w:rPr>
        <w:softHyphen/>
      </w:r>
      <w:r w:rsidRPr="009070BD">
        <w:rPr>
          <w:rFonts w:cs="Sylfaen"/>
          <w:b w:val="0"/>
        </w:rPr>
        <w:t>մանն</w:t>
      </w:r>
      <w:r w:rsidRPr="009070BD">
        <w:rPr>
          <w:rFonts w:cs="Sylfaen"/>
          <w:b w:val="0"/>
          <w:lang w:val="ro-RO"/>
        </w:rPr>
        <w:t xml:space="preserve"> </w:t>
      </w:r>
      <w:r w:rsidRPr="009070BD">
        <w:rPr>
          <w:rFonts w:cs="Sylfaen"/>
          <w:b w:val="0"/>
        </w:rPr>
        <w:t>ուղղված</w:t>
      </w:r>
      <w:r w:rsidRPr="009070BD">
        <w:rPr>
          <w:rFonts w:cs="Sylfaen"/>
          <w:b w:val="0"/>
          <w:lang w:val="ro-RO"/>
        </w:rPr>
        <w:t xml:space="preserve"> </w:t>
      </w:r>
      <w:r w:rsidRPr="009070BD">
        <w:rPr>
          <w:rFonts w:cs="Sylfaen"/>
          <w:b w:val="0"/>
        </w:rPr>
        <w:t>միջոցառումների</w:t>
      </w:r>
      <w:r w:rsidRPr="009070BD">
        <w:rPr>
          <w:b w:val="0"/>
          <w:lang w:val="ro-RO"/>
        </w:rPr>
        <w:t xml:space="preserve"> </w:t>
      </w:r>
      <w:r w:rsidRPr="009070BD">
        <w:rPr>
          <w:rFonts w:cs="Sylfaen"/>
          <w:b w:val="0"/>
        </w:rPr>
        <w:t>իրականացման</w:t>
      </w:r>
      <w:r w:rsidRPr="009070BD">
        <w:rPr>
          <w:b w:val="0"/>
          <w:lang w:val="ro-RO"/>
        </w:rPr>
        <w:t xml:space="preserve"> </w:t>
      </w:r>
      <w:r w:rsidRPr="009070BD">
        <w:rPr>
          <w:rFonts w:cs="Sylfaen"/>
          <w:b w:val="0"/>
        </w:rPr>
        <w:t>համար</w:t>
      </w:r>
      <w:r w:rsidRPr="009070BD">
        <w:rPr>
          <w:b w:val="0"/>
          <w:lang w:val="ro-RO"/>
        </w:rPr>
        <w:t xml:space="preserve"> </w:t>
      </w:r>
      <w:r w:rsidRPr="009070BD">
        <w:rPr>
          <w:rFonts w:cs="Sylfaen"/>
          <w:b w:val="0"/>
        </w:rPr>
        <w:t>կենսապատրաստուկների</w:t>
      </w:r>
      <w:r w:rsidRPr="009070BD">
        <w:rPr>
          <w:b w:val="0"/>
          <w:lang w:val="ro-RO"/>
        </w:rPr>
        <w:t xml:space="preserve"> </w:t>
      </w:r>
      <w:r w:rsidRPr="009070BD">
        <w:rPr>
          <w:rFonts w:cs="Sylfaen"/>
          <w:b w:val="0"/>
        </w:rPr>
        <w:t>ձեռքբերմանը</w:t>
      </w:r>
      <w:r w:rsidRPr="009070BD">
        <w:rPr>
          <w:rFonts w:cs="Sylfaen"/>
          <w:b w:val="0"/>
          <w:lang w:val="ro-RO"/>
        </w:rPr>
        <w:t xml:space="preserve"> </w:t>
      </w:r>
      <w:r w:rsidRPr="009070BD">
        <w:rPr>
          <w:rFonts w:cs="Sylfaen"/>
          <w:b w:val="0"/>
        </w:rPr>
        <w:t>և</w:t>
      </w:r>
      <w:r w:rsidRPr="009070BD">
        <w:rPr>
          <w:b w:val="0"/>
          <w:lang w:val="ro-RO"/>
        </w:rPr>
        <w:t xml:space="preserve"> </w:t>
      </w:r>
      <w:r w:rsidRPr="009070BD">
        <w:rPr>
          <w:rFonts w:cs="Sylfaen"/>
          <w:b w:val="0"/>
        </w:rPr>
        <w:t>անասնա</w:t>
      </w:r>
      <w:r w:rsidRPr="009070BD">
        <w:rPr>
          <w:rFonts w:cs="Sylfaen"/>
          <w:b w:val="0"/>
          <w:lang w:val="ro-RO"/>
        </w:rPr>
        <w:softHyphen/>
      </w:r>
      <w:r w:rsidRPr="009070BD">
        <w:rPr>
          <w:rFonts w:cs="Sylfaen"/>
          <w:b w:val="0"/>
        </w:rPr>
        <w:t>բուժական</w:t>
      </w:r>
      <w:r w:rsidRPr="009070BD">
        <w:rPr>
          <w:b w:val="0"/>
          <w:lang w:val="ro-RO"/>
        </w:rPr>
        <w:t xml:space="preserve"> </w:t>
      </w:r>
      <w:r w:rsidRPr="009070BD">
        <w:rPr>
          <w:rFonts w:cs="Sylfaen"/>
          <w:b w:val="0"/>
        </w:rPr>
        <w:t>մասնագետների</w:t>
      </w:r>
      <w:r w:rsidRPr="009070BD">
        <w:rPr>
          <w:b w:val="0"/>
          <w:lang w:val="ro-RO"/>
        </w:rPr>
        <w:t xml:space="preserve"> </w:t>
      </w:r>
      <w:r w:rsidRPr="009070BD">
        <w:rPr>
          <w:rFonts w:cs="Sylfaen"/>
          <w:b w:val="0"/>
        </w:rPr>
        <w:t>վարձատրությանը</w:t>
      </w:r>
      <w:r w:rsidRPr="009070BD">
        <w:rPr>
          <w:b w:val="0"/>
          <w:lang w:val="ro-RO"/>
        </w:rPr>
        <w:t>:</w:t>
      </w:r>
    </w:p>
    <w:p w:rsidR="00B36A46" w:rsidRPr="009070BD" w:rsidRDefault="00B36A46" w:rsidP="007730AA">
      <w:pPr>
        <w:autoSpaceDE w:val="0"/>
        <w:autoSpaceDN w:val="0"/>
        <w:adjustRightInd w:val="0"/>
        <w:spacing w:before="0" w:line="276" w:lineRule="auto"/>
        <w:ind w:firstLine="720"/>
        <w:rPr>
          <w:rFonts w:cs="Sylfaen"/>
          <w:b w:val="0"/>
          <w:lang w:val="af-ZA"/>
        </w:rPr>
      </w:pPr>
      <w:r w:rsidRPr="009070BD">
        <w:rPr>
          <w:spacing w:val="-8"/>
          <w:lang w:val="ro-RO"/>
        </w:rPr>
        <w:t>8.</w:t>
      </w:r>
      <w:r w:rsidRPr="009070BD">
        <w:rPr>
          <w:spacing w:val="-8"/>
          <w:lang w:val="hy-AM"/>
        </w:rPr>
        <w:t>2</w:t>
      </w:r>
      <w:r w:rsidRPr="009070BD">
        <w:rPr>
          <w:spacing w:val="-8"/>
          <w:lang w:val="ro-RO"/>
        </w:rPr>
        <w:t xml:space="preserve"> </w:t>
      </w:r>
      <w:r w:rsidRPr="009070BD">
        <w:rPr>
          <w:rFonts w:cs="Sylfaen"/>
          <w:lang w:val="af-ZA"/>
        </w:rPr>
        <w:t>Գյուղատնտեսական կենդանիների հիվանդությունների լաբորատոր ախտորոշման և կենդանական ծագում ունեցող հումքի և նյութի լաբորատոր փորձաքննության միջոցառումներ</w:t>
      </w:r>
      <w:r w:rsidRPr="009070BD">
        <w:rPr>
          <w:rFonts w:cs="Sylfaen"/>
          <w:b w:val="0"/>
          <w:lang w:val="af-ZA"/>
        </w:rPr>
        <w:t xml:space="preserve"> </w:t>
      </w:r>
      <w:r w:rsidRPr="009070BD">
        <w:rPr>
          <w:rFonts w:cs="GHEAGrapalat"/>
          <w:b w:val="0"/>
        </w:rPr>
        <w:t>միջոցառման</w:t>
      </w:r>
      <w:r w:rsidRPr="009070BD">
        <w:rPr>
          <w:rFonts w:cs="GHEAGrapalat"/>
          <w:b w:val="0"/>
          <w:lang w:val="ro-RO"/>
        </w:rPr>
        <w:t xml:space="preserve"> </w:t>
      </w:r>
      <w:r w:rsidRPr="009070BD">
        <w:rPr>
          <w:rFonts w:cs="GHEAGrapalat"/>
          <w:b w:val="0"/>
        </w:rPr>
        <w:t>համար</w:t>
      </w:r>
      <w:r w:rsidRPr="009070BD">
        <w:rPr>
          <w:rFonts w:cs="GHEAGrapalat"/>
          <w:b w:val="0"/>
          <w:lang w:val="ro-RO"/>
        </w:rPr>
        <w:t xml:space="preserve"> </w:t>
      </w:r>
      <w:r w:rsidRPr="009070BD">
        <w:rPr>
          <w:rFonts w:cs="GHEAGrapalat"/>
          <w:b w:val="0"/>
        </w:rPr>
        <w:t>Նախագծով</w:t>
      </w:r>
      <w:r w:rsidRPr="009070BD">
        <w:rPr>
          <w:rFonts w:cs="GHEAGrapalat"/>
          <w:b w:val="0"/>
          <w:lang w:val="ro-RO"/>
        </w:rPr>
        <w:t xml:space="preserve"> </w:t>
      </w:r>
      <w:r w:rsidRPr="009070BD">
        <w:rPr>
          <w:rFonts w:cs="GHEAGrapalat"/>
          <w:b w:val="0"/>
        </w:rPr>
        <w:t>նախատեսվում</w:t>
      </w:r>
      <w:r w:rsidRPr="009070BD">
        <w:rPr>
          <w:rFonts w:cs="GHEAGrapalat"/>
          <w:b w:val="0"/>
          <w:lang w:val="ro-RO"/>
        </w:rPr>
        <w:t xml:space="preserve"> </w:t>
      </w:r>
      <w:r w:rsidRPr="009070BD">
        <w:rPr>
          <w:rFonts w:cs="GHEAGrapalat"/>
          <w:b w:val="0"/>
        </w:rPr>
        <w:t>է</w:t>
      </w:r>
      <w:r w:rsidRPr="009070BD">
        <w:rPr>
          <w:rFonts w:cs="GHEAGrapalat"/>
          <w:b w:val="0"/>
          <w:lang w:val="ro-RO"/>
        </w:rPr>
        <w:t xml:space="preserve"> </w:t>
      </w:r>
      <w:r w:rsidRPr="009070BD">
        <w:rPr>
          <w:rFonts w:cs="GHEAGrapalat"/>
          <w:b w:val="0"/>
        </w:rPr>
        <w:t>հատկացնել</w:t>
      </w:r>
      <w:r w:rsidRPr="009070BD">
        <w:rPr>
          <w:rFonts w:cs="GHEAGrapalat"/>
          <w:b w:val="0"/>
          <w:lang w:val="ro-RO"/>
        </w:rPr>
        <w:t xml:space="preserve"> 338.9 </w:t>
      </w:r>
      <w:r w:rsidRPr="009070BD">
        <w:rPr>
          <w:rFonts w:cs="GHEAGrapalat"/>
          <w:b w:val="0"/>
        </w:rPr>
        <w:t>մլն</w:t>
      </w:r>
      <w:r w:rsidRPr="009070BD">
        <w:rPr>
          <w:rFonts w:cs="GHEAGrapalat"/>
          <w:b w:val="0"/>
          <w:lang w:val="ro-RO"/>
        </w:rPr>
        <w:t xml:space="preserve"> </w:t>
      </w:r>
      <w:r w:rsidRPr="009070BD">
        <w:rPr>
          <w:rFonts w:cs="GHEAGrapalat"/>
          <w:b w:val="0"/>
        </w:rPr>
        <w:t>դրամ՝</w:t>
      </w:r>
      <w:r w:rsidRPr="009070BD">
        <w:rPr>
          <w:rFonts w:cs="GHEAGrapalat"/>
          <w:b w:val="0"/>
          <w:lang w:val="ro-RO"/>
        </w:rPr>
        <w:t xml:space="preserve"> </w:t>
      </w:r>
      <w:r w:rsidRPr="009070BD">
        <w:rPr>
          <w:rFonts w:cs="GHEAGrapalat"/>
          <w:b w:val="0"/>
        </w:rPr>
        <w:t>ՀՀ</w:t>
      </w:r>
      <w:r w:rsidRPr="009070BD">
        <w:rPr>
          <w:rFonts w:cs="GHEAGrapalat"/>
          <w:b w:val="0"/>
          <w:lang w:val="ro-RO"/>
        </w:rPr>
        <w:t xml:space="preserve"> 2020 </w:t>
      </w:r>
      <w:r w:rsidRPr="009070BD">
        <w:rPr>
          <w:rFonts w:cs="GHEAGrapalat"/>
          <w:b w:val="0"/>
        </w:rPr>
        <w:t>թվականի</w:t>
      </w:r>
      <w:r w:rsidRPr="009070BD">
        <w:rPr>
          <w:rFonts w:cs="GHEAGrapalat"/>
          <w:b w:val="0"/>
          <w:lang w:val="ro-RO"/>
        </w:rPr>
        <w:t xml:space="preserve"> </w:t>
      </w:r>
      <w:r w:rsidRPr="009070BD">
        <w:rPr>
          <w:rFonts w:cs="GHEAGrapalat"/>
          <w:b w:val="0"/>
        </w:rPr>
        <w:t>պետական</w:t>
      </w:r>
      <w:r w:rsidRPr="009070BD">
        <w:rPr>
          <w:rFonts w:cs="GHEAGrapalat"/>
          <w:b w:val="0"/>
          <w:lang w:val="ro-RO"/>
        </w:rPr>
        <w:t xml:space="preserve"> </w:t>
      </w:r>
      <w:r w:rsidRPr="009070BD">
        <w:rPr>
          <w:rFonts w:cs="GHEAGrapalat"/>
          <w:b w:val="0"/>
        </w:rPr>
        <w:t>բյուջեով</w:t>
      </w:r>
      <w:r w:rsidRPr="009070BD">
        <w:rPr>
          <w:rFonts w:cs="GHEAGrapalat"/>
          <w:b w:val="0"/>
          <w:lang w:val="ro-RO"/>
        </w:rPr>
        <w:t xml:space="preserve"> </w:t>
      </w:r>
      <w:r w:rsidRPr="009070BD">
        <w:rPr>
          <w:rFonts w:cs="GHEAGrapalat"/>
          <w:b w:val="0"/>
        </w:rPr>
        <w:t>հաստատված</w:t>
      </w:r>
      <w:r w:rsidRPr="009070BD">
        <w:rPr>
          <w:rFonts w:cs="Sylfaen"/>
          <w:b w:val="0"/>
          <w:lang w:val="ro-RO"/>
        </w:rPr>
        <w:t xml:space="preserve"> </w:t>
      </w:r>
      <w:r w:rsidRPr="009070BD">
        <w:rPr>
          <w:rFonts w:cs="Sylfaen"/>
          <w:b w:val="0"/>
        </w:rPr>
        <w:t>գումարի</w:t>
      </w:r>
      <w:r w:rsidRPr="009070BD">
        <w:rPr>
          <w:rFonts w:cs="Sylfaen"/>
          <w:b w:val="0"/>
          <w:lang w:val="af-ZA"/>
        </w:rPr>
        <w:t xml:space="preserve"> </w:t>
      </w:r>
      <w:r w:rsidRPr="009070BD">
        <w:rPr>
          <w:rFonts w:cs="Sylfaen"/>
          <w:b w:val="0"/>
        </w:rPr>
        <w:t>չափով</w:t>
      </w:r>
      <w:r w:rsidRPr="009070BD">
        <w:rPr>
          <w:rFonts w:cs="Sylfaen"/>
          <w:b w:val="0"/>
          <w:lang w:val="af-ZA"/>
        </w:rPr>
        <w:t xml:space="preserve">: </w:t>
      </w:r>
    </w:p>
    <w:p w:rsidR="00B36A46" w:rsidRPr="009070BD" w:rsidRDefault="00B36A46" w:rsidP="007730AA">
      <w:pPr>
        <w:autoSpaceDE w:val="0"/>
        <w:autoSpaceDN w:val="0"/>
        <w:adjustRightInd w:val="0"/>
        <w:spacing w:before="0" w:line="276" w:lineRule="auto"/>
        <w:ind w:firstLine="720"/>
        <w:rPr>
          <w:rFonts w:cs="GHEAGrapalat"/>
          <w:b w:val="0"/>
          <w:lang w:val="af-ZA"/>
        </w:rPr>
      </w:pPr>
      <w:r w:rsidRPr="009070BD">
        <w:rPr>
          <w:rFonts w:cs="Sylfaen"/>
          <w:b w:val="0"/>
        </w:rPr>
        <w:t>Միջոցառման</w:t>
      </w:r>
      <w:r w:rsidRPr="009070BD">
        <w:rPr>
          <w:rFonts w:cs="Sylfaen"/>
          <w:b w:val="0"/>
          <w:lang w:val="ro-RO"/>
        </w:rPr>
        <w:t xml:space="preserve"> </w:t>
      </w:r>
      <w:r w:rsidRPr="009070BD">
        <w:rPr>
          <w:rFonts w:cs="GHEAGrapalat"/>
          <w:b w:val="0"/>
        </w:rPr>
        <w:t>նպատակն</w:t>
      </w:r>
      <w:r w:rsidRPr="009070BD">
        <w:rPr>
          <w:rFonts w:cs="GHEAGrapalat"/>
          <w:b w:val="0"/>
          <w:lang w:val="af-ZA"/>
        </w:rPr>
        <w:t xml:space="preserve"> </w:t>
      </w:r>
      <w:r w:rsidRPr="009070BD">
        <w:rPr>
          <w:rFonts w:cs="GHEAGrapalat"/>
          <w:b w:val="0"/>
        </w:rPr>
        <w:t>է</w:t>
      </w:r>
      <w:r w:rsidRPr="009070BD">
        <w:rPr>
          <w:rFonts w:cs="GHEAGrapalat"/>
          <w:b w:val="0"/>
          <w:lang w:val="af-ZA"/>
        </w:rPr>
        <w:t xml:space="preserve"> </w:t>
      </w:r>
      <w:r w:rsidRPr="009070BD">
        <w:rPr>
          <w:rFonts w:cs="GHEAGrapalat"/>
          <w:b w:val="0"/>
        </w:rPr>
        <w:t>կենդանիների</w:t>
      </w:r>
      <w:r w:rsidRPr="009070BD">
        <w:rPr>
          <w:rFonts w:cs="GHEAGrapalat"/>
          <w:b w:val="0"/>
          <w:lang w:val="af-ZA"/>
        </w:rPr>
        <w:t xml:space="preserve"> </w:t>
      </w:r>
      <w:r w:rsidRPr="009070BD">
        <w:rPr>
          <w:rFonts w:cs="GHEAGrapalat"/>
          <w:b w:val="0"/>
        </w:rPr>
        <w:t>վարակիչ</w:t>
      </w:r>
      <w:r w:rsidRPr="009070BD">
        <w:rPr>
          <w:rFonts w:cs="GHEAGrapalat"/>
          <w:b w:val="0"/>
          <w:lang w:val="af-ZA"/>
        </w:rPr>
        <w:t xml:space="preserve"> </w:t>
      </w:r>
      <w:r w:rsidRPr="009070BD">
        <w:rPr>
          <w:rFonts w:cs="GHEAGrapalat"/>
          <w:b w:val="0"/>
        </w:rPr>
        <w:t>հիվանդությունների</w:t>
      </w:r>
      <w:r w:rsidRPr="009070BD">
        <w:rPr>
          <w:rFonts w:cs="GHEAGrapalat"/>
          <w:b w:val="0"/>
          <w:lang w:val="af-ZA"/>
        </w:rPr>
        <w:t xml:space="preserve"> </w:t>
      </w:r>
      <w:r w:rsidRPr="009070BD">
        <w:rPr>
          <w:rFonts w:cs="GHEAGrapalat"/>
          <w:b w:val="0"/>
        </w:rPr>
        <w:t>համաճարակային</w:t>
      </w:r>
      <w:r w:rsidRPr="009070BD">
        <w:rPr>
          <w:rFonts w:cs="GHEAGrapalat"/>
          <w:b w:val="0"/>
          <w:lang w:val="af-ZA"/>
        </w:rPr>
        <w:t xml:space="preserve"> </w:t>
      </w:r>
      <w:r w:rsidRPr="009070BD">
        <w:rPr>
          <w:rFonts w:cs="GHEAGrapalat"/>
          <w:b w:val="0"/>
        </w:rPr>
        <w:t>վիճակի</w:t>
      </w:r>
      <w:r w:rsidRPr="009070BD">
        <w:rPr>
          <w:rFonts w:cs="GHEAGrapalat"/>
          <w:b w:val="0"/>
          <w:lang w:val="af-ZA"/>
        </w:rPr>
        <w:t xml:space="preserve"> </w:t>
      </w:r>
      <w:r w:rsidRPr="009070BD">
        <w:rPr>
          <w:rFonts w:cs="GHEAGrapalat"/>
          <w:b w:val="0"/>
        </w:rPr>
        <w:t>բարելավումը</w:t>
      </w:r>
      <w:r w:rsidRPr="009070BD">
        <w:rPr>
          <w:rFonts w:cs="GHEAGrapalat"/>
          <w:b w:val="0"/>
          <w:lang w:val="af-ZA"/>
        </w:rPr>
        <w:t xml:space="preserve">, </w:t>
      </w:r>
      <w:r w:rsidRPr="009070BD">
        <w:rPr>
          <w:rFonts w:cs="GHEAGrapalat"/>
          <w:b w:val="0"/>
        </w:rPr>
        <w:t>մարդու</w:t>
      </w:r>
      <w:r w:rsidRPr="009070BD">
        <w:rPr>
          <w:rFonts w:cs="GHEAGrapalat"/>
          <w:b w:val="0"/>
          <w:lang w:val="af-ZA"/>
        </w:rPr>
        <w:t xml:space="preserve"> </w:t>
      </w:r>
      <w:r w:rsidRPr="009070BD">
        <w:rPr>
          <w:rFonts w:cs="GHEAGrapalat"/>
          <w:b w:val="0"/>
        </w:rPr>
        <w:t>և</w:t>
      </w:r>
      <w:r w:rsidRPr="009070BD">
        <w:rPr>
          <w:rFonts w:cs="GHEAGrapalat"/>
          <w:b w:val="0"/>
          <w:lang w:val="af-ZA"/>
        </w:rPr>
        <w:t xml:space="preserve"> </w:t>
      </w:r>
      <w:r w:rsidRPr="009070BD">
        <w:rPr>
          <w:rFonts w:cs="GHEAGrapalat"/>
          <w:b w:val="0"/>
        </w:rPr>
        <w:t>կենդանիների</w:t>
      </w:r>
      <w:r w:rsidRPr="009070BD">
        <w:rPr>
          <w:rFonts w:cs="GHEAGrapalat"/>
          <w:b w:val="0"/>
          <w:lang w:val="af-ZA"/>
        </w:rPr>
        <w:t xml:space="preserve"> </w:t>
      </w:r>
      <w:r w:rsidRPr="009070BD">
        <w:rPr>
          <w:rFonts w:cs="GHEAGrapalat"/>
          <w:b w:val="0"/>
        </w:rPr>
        <w:t>համար</w:t>
      </w:r>
      <w:r w:rsidRPr="009070BD">
        <w:rPr>
          <w:rFonts w:cs="GHEAGrapalat"/>
          <w:b w:val="0"/>
          <w:lang w:val="af-ZA"/>
        </w:rPr>
        <w:t xml:space="preserve"> </w:t>
      </w:r>
      <w:r w:rsidRPr="009070BD">
        <w:rPr>
          <w:rFonts w:cs="GHEAGrapalat"/>
          <w:b w:val="0"/>
        </w:rPr>
        <w:t>ընդհանուր</w:t>
      </w:r>
      <w:r w:rsidRPr="009070BD">
        <w:rPr>
          <w:rFonts w:cs="GHEAGrapalat"/>
          <w:b w:val="0"/>
          <w:lang w:val="af-ZA"/>
        </w:rPr>
        <w:t xml:space="preserve"> </w:t>
      </w:r>
      <w:r w:rsidRPr="009070BD">
        <w:rPr>
          <w:rFonts w:cs="GHEAGrapalat"/>
          <w:b w:val="0"/>
        </w:rPr>
        <w:t>հիվանդություններից</w:t>
      </w:r>
      <w:r w:rsidRPr="009070BD">
        <w:rPr>
          <w:rFonts w:cs="GHEAGrapalat"/>
          <w:b w:val="0"/>
          <w:lang w:val="af-ZA"/>
        </w:rPr>
        <w:t xml:space="preserve"> </w:t>
      </w:r>
      <w:r w:rsidRPr="009070BD">
        <w:rPr>
          <w:rFonts w:cs="GHEAGrapalat"/>
          <w:b w:val="0"/>
        </w:rPr>
        <w:t>բնակչության</w:t>
      </w:r>
      <w:r w:rsidRPr="009070BD">
        <w:rPr>
          <w:rFonts w:cs="GHEAGrapalat"/>
          <w:b w:val="0"/>
          <w:lang w:val="af-ZA"/>
        </w:rPr>
        <w:t xml:space="preserve"> </w:t>
      </w:r>
      <w:r w:rsidRPr="009070BD">
        <w:rPr>
          <w:rFonts w:cs="GHEAGrapalat"/>
          <w:b w:val="0"/>
        </w:rPr>
        <w:t>պահպանումը։</w:t>
      </w:r>
      <w:r w:rsidRPr="009070BD">
        <w:rPr>
          <w:rFonts w:cs="GHEAGrapalat"/>
          <w:b w:val="0"/>
          <w:lang w:val="ro-RO"/>
        </w:rPr>
        <w:t xml:space="preserve"> </w:t>
      </w:r>
      <w:r w:rsidRPr="009070BD">
        <w:rPr>
          <w:rFonts w:cs="GHEAGrapalat"/>
          <w:b w:val="0"/>
        </w:rPr>
        <w:t>Միջոցառման</w:t>
      </w:r>
      <w:r w:rsidRPr="009070BD">
        <w:rPr>
          <w:rFonts w:cs="GHEAGrapalat"/>
          <w:b w:val="0"/>
          <w:lang w:val="ro-RO"/>
        </w:rPr>
        <w:t xml:space="preserve"> </w:t>
      </w:r>
      <w:r w:rsidRPr="009070BD">
        <w:rPr>
          <w:rFonts w:cs="GHEAGrapalat"/>
          <w:b w:val="0"/>
        </w:rPr>
        <w:t>շրջանակներում</w:t>
      </w:r>
      <w:r w:rsidRPr="009070BD">
        <w:rPr>
          <w:rFonts w:cs="GHEAGrapalat"/>
          <w:b w:val="0"/>
          <w:lang w:val="ro-RO"/>
        </w:rPr>
        <w:t xml:space="preserve"> </w:t>
      </w:r>
      <w:r w:rsidRPr="009070BD">
        <w:rPr>
          <w:rFonts w:cs="GHEAGrapalat"/>
          <w:b w:val="0"/>
        </w:rPr>
        <w:t>նախատեսվում</w:t>
      </w:r>
      <w:r w:rsidRPr="009070BD">
        <w:rPr>
          <w:rFonts w:cs="GHEAGrapalat"/>
          <w:b w:val="0"/>
          <w:lang w:val="ro-RO"/>
        </w:rPr>
        <w:t xml:space="preserve"> </w:t>
      </w:r>
      <w:r w:rsidRPr="009070BD">
        <w:rPr>
          <w:rFonts w:cs="GHEAGrapalat"/>
          <w:b w:val="0"/>
        </w:rPr>
        <w:t>է</w:t>
      </w:r>
      <w:r w:rsidRPr="009070BD">
        <w:rPr>
          <w:rFonts w:cs="GHEAGrapalat"/>
          <w:b w:val="0"/>
          <w:lang w:val="ro-RO"/>
        </w:rPr>
        <w:t xml:space="preserve"> </w:t>
      </w:r>
      <w:r w:rsidRPr="009070BD">
        <w:rPr>
          <w:rFonts w:cs="GHEAGrapalat"/>
          <w:b w:val="0"/>
          <w:lang w:val="af-ZA"/>
        </w:rPr>
        <w:t xml:space="preserve">գյուղատնտեսական կենդանիների հիվանդությունների և վարակամերժության աստիճանի որոշմանն ուղղված լաբորատոր փորձաքննությունների իրականացում, կենդանական ծագում ունեցող հումքի և նյութի լաբորատոր փորձաքննությունների իրականացում: </w:t>
      </w:r>
    </w:p>
    <w:p w:rsidR="00B36A46" w:rsidRPr="009070BD" w:rsidRDefault="00B36A46" w:rsidP="007730AA">
      <w:pPr>
        <w:autoSpaceDE w:val="0"/>
        <w:autoSpaceDN w:val="0"/>
        <w:adjustRightInd w:val="0"/>
        <w:spacing w:before="0" w:line="276" w:lineRule="auto"/>
        <w:ind w:firstLine="720"/>
        <w:rPr>
          <w:rFonts w:cs="Sylfaen"/>
          <w:b w:val="0"/>
          <w:lang w:val="af-ZA"/>
        </w:rPr>
      </w:pPr>
      <w:r w:rsidRPr="009070BD">
        <w:rPr>
          <w:spacing w:val="-8"/>
          <w:lang w:val="af-ZA"/>
        </w:rPr>
        <w:t>8.</w:t>
      </w:r>
      <w:r w:rsidRPr="009070BD">
        <w:rPr>
          <w:spacing w:val="-8"/>
          <w:lang w:val="hy-AM"/>
        </w:rPr>
        <w:t>3</w:t>
      </w:r>
      <w:r w:rsidRPr="009070BD">
        <w:rPr>
          <w:spacing w:val="-8"/>
          <w:lang w:val="af-ZA"/>
        </w:rPr>
        <w:t xml:space="preserve"> </w:t>
      </w:r>
      <w:r w:rsidRPr="009070BD">
        <w:rPr>
          <w:rFonts w:cs="Sylfaen"/>
          <w:lang w:val="af-ZA"/>
        </w:rPr>
        <w:t>«Դաբաղ հիվանդության շճահետազոտություն»</w:t>
      </w:r>
      <w:r w:rsidRPr="009070BD">
        <w:rPr>
          <w:rFonts w:cs="Sylfaen"/>
          <w:b w:val="0"/>
          <w:lang w:val="af-ZA"/>
        </w:rPr>
        <w:t xml:space="preserve"> միջոցառման համար Նախագծով նախատեսվում է հատկացնել 10.2 մլն դրամ՝ </w:t>
      </w:r>
      <w:r w:rsidRPr="009070BD">
        <w:rPr>
          <w:rFonts w:cs="GHEAGrapalat"/>
          <w:b w:val="0"/>
        </w:rPr>
        <w:t>ՀՀ</w:t>
      </w:r>
      <w:r w:rsidRPr="009070BD">
        <w:rPr>
          <w:rFonts w:cs="GHEAGrapalat"/>
          <w:b w:val="0"/>
          <w:lang w:val="af-ZA"/>
        </w:rPr>
        <w:t xml:space="preserve"> 2020 </w:t>
      </w:r>
      <w:r w:rsidRPr="009070BD">
        <w:rPr>
          <w:rFonts w:cs="GHEAGrapalat"/>
          <w:b w:val="0"/>
        </w:rPr>
        <w:t>թվականի</w:t>
      </w:r>
      <w:r w:rsidRPr="009070BD">
        <w:rPr>
          <w:rFonts w:cs="GHEAGrapalat"/>
          <w:b w:val="0"/>
          <w:lang w:val="af-ZA"/>
        </w:rPr>
        <w:t xml:space="preserve"> </w:t>
      </w:r>
      <w:r w:rsidRPr="009070BD">
        <w:rPr>
          <w:rFonts w:cs="GHEAGrapalat"/>
          <w:b w:val="0"/>
        </w:rPr>
        <w:t>պետական</w:t>
      </w:r>
      <w:r w:rsidRPr="009070BD">
        <w:rPr>
          <w:rFonts w:cs="GHEAGrapalat"/>
          <w:b w:val="0"/>
          <w:lang w:val="af-ZA"/>
        </w:rPr>
        <w:t xml:space="preserve"> </w:t>
      </w:r>
      <w:r w:rsidRPr="009070BD">
        <w:rPr>
          <w:rFonts w:cs="GHEAGrapalat"/>
          <w:b w:val="0"/>
        </w:rPr>
        <w:t>բյուջեով</w:t>
      </w:r>
      <w:r w:rsidRPr="009070BD">
        <w:rPr>
          <w:rFonts w:cs="GHEAGrapalat"/>
          <w:b w:val="0"/>
          <w:lang w:val="af-ZA"/>
        </w:rPr>
        <w:t xml:space="preserve"> </w:t>
      </w:r>
      <w:r w:rsidRPr="009070BD">
        <w:rPr>
          <w:rFonts w:cs="GHEAGrapalat"/>
          <w:b w:val="0"/>
        </w:rPr>
        <w:t>հաստատված</w:t>
      </w:r>
      <w:r w:rsidRPr="009070BD">
        <w:rPr>
          <w:rFonts w:cs="GHEAGrapalat"/>
          <w:b w:val="0"/>
          <w:lang w:val="af-ZA"/>
        </w:rPr>
        <w:t xml:space="preserve"> </w:t>
      </w:r>
      <w:r w:rsidRPr="009070BD">
        <w:rPr>
          <w:rFonts w:cs="Sylfaen"/>
          <w:b w:val="0"/>
        </w:rPr>
        <w:t>գումարի</w:t>
      </w:r>
      <w:r w:rsidRPr="009070BD">
        <w:rPr>
          <w:rFonts w:cs="Sylfaen"/>
          <w:b w:val="0"/>
          <w:lang w:val="af-ZA"/>
        </w:rPr>
        <w:t xml:space="preserve"> </w:t>
      </w:r>
      <w:r w:rsidRPr="009070BD">
        <w:rPr>
          <w:rFonts w:cs="Sylfaen"/>
          <w:b w:val="0"/>
        </w:rPr>
        <w:t>չափով</w:t>
      </w:r>
      <w:r w:rsidRPr="009070BD">
        <w:rPr>
          <w:rFonts w:cs="Sylfaen"/>
          <w:b w:val="0"/>
          <w:lang w:val="af-ZA"/>
        </w:rPr>
        <w:t xml:space="preserve">: </w:t>
      </w:r>
    </w:p>
    <w:p w:rsidR="00B36A46" w:rsidRPr="009070BD" w:rsidRDefault="00B36A46" w:rsidP="007730AA">
      <w:pPr>
        <w:autoSpaceDE w:val="0"/>
        <w:autoSpaceDN w:val="0"/>
        <w:adjustRightInd w:val="0"/>
        <w:spacing w:before="0" w:line="276" w:lineRule="auto"/>
        <w:ind w:firstLine="720"/>
        <w:rPr>
          <w:b w:val="0"/>
          <w:lang w:val="af-ZA"/>
        </w:rPr>
      </w:pPr>
      <w:r w:rsidRPr="009070BD">
        <w:rPr>
          <w:b w:val="0"/>
        </w:rPr>
        <w:t>Միջոցառման</w:t>
      </w:r>
      <w:r w:rsidRPr="009070BD">
        <w:rPr>
          <w:b w:val="0"/>
          <w:lang w:val="af-ZA"/>
        </w:rPr>
        <w:t xml:space="preserve"> </w:t>
      </w:r>
      <w:r w:rsidRPr="009070BD">
        <w:rPr>
          <w:b w:val="0"/>
        </w:rPr>
        <w:t>նպատակը</w:t>
      </w:r>
      <w:r w:rsidRPr="009070BD">
        <w:rPr>
          <w:b w:val="0"/>
          <w:lang w:val="af-ZA"/>
        </w:rPr>
        <w:t xml:space="preserve"> դաբաղ հիվանդության դեմ պատվաստումների որակի և շճաբանական հետազոտությունների վրա հիմնված հիվանդության հնարավոր ներթափանցման ռիսկերի գնահատումն է: </w:t>
      </w:r>
    </w:p>
    <w:p w:rsidR="00B36A46" w:rsidRPr="009070BD" w:rsidRDefault="00B36A46" w:rsidP="007730AA">
      <w:pPr>
        <w:autoSpaceDE w:val="0"/>
        <w:autoSpaceDN w:val="0"/>
        <w:adjustRightInd w:val="0"/>
        <w:spacing w:before="0" w:line="276" w:lineRule="auto"/>
        <w:ind w:firstLine="720"/>
        <w:rPr>
          <w:rFonts w:cs="GHEAGrapalat"/>
          <w:b w:val="0"/>
          <w:lang w:val="hy-AM"/>
        </w:rPr>
      </w:pPr>
      <w:r w:rsidRPr="009070BD">
        <w:rPr>
          <w:spacing w:val="-8"/>
          <w:lang w:val="af-ZA"/>
        </w:rPr>
        <w:t xml:space="preserve">8.5 </w:t>
      </w:r>
      <w:r w:rsidRPr="009070BD">
        <w:rPr>
          <w:rFonts w:cs="Sylfaen"/>
          <w:lang w:val="af-ZA"/>
        </w:rPr>
        <w:t>«Հայաստանի Հանրապետությունում խոշոր եղջերավոր կենդանիների համարակալում և հաշվառում»</w:t>
      </w:r>
      <w:r w:rsidRPr="009070BD">
        <w:rPr>
          <w:rFonts w:cs="Sylfaen"/>
          <w:b w:val="0"/>
          <w:lang w:val="af-ZA"/>
        </w:rPr>
        <w:t xml:space="preserve"> միջոցառման համար Նախագծով նախատեսվում է հատկացնել 230.0 մլն դրամ՝</w:t>
      </w:r>
      <w:r w:rsidRPr="009070BD">
        <w:rPr>
          <w:rFonts w:cs="Sylfaen"/>
          <w:b w:val="0"/>
          <w:lang w:val="ro-RO"/>
        </w:rPr>
        <w:t xml:space="preserve">՝ </w:t>
      </w:r>
      <w:r w:rsidRPr="009070BD">
        <w:rPr>
          <w:rFonts w:cs="Sylfaen"/>
          <w:b w:val="0"/>
        </w:rPr>
        <w:t>ՀՀ</w:t>
      </w:r>
      <w:r w:rsidRPr="009070BD">
        <w:rPr>
          <w:rFonts w:cs="Sylfaen"/>
          <w:b w:val="0"/>
          <w:lang w:val="ro-RO"/>
        </w:rPr>
        <w:t xml:space="preserve"> 2020 </w:t>
      </w:r>
      <w:r w:rsidRPr="009070BD">
        <w:rPr>
          <w:b w:val="0"/>
        </w:rPr>
        <w:t>թվականի</w:t>
      </w:r>
      <w:r w:rsidRPr="009070BD">
        <w:rPr>
          <w:rFonts w:cs="Sylfaen"/>
          <w:b w:val="0"/>
          <w:lang w:val="ro-RO"/>
        </w:rPr>
        <w:t xml:space="preserve"> </w:t>
      </w:r>
      <w:r w:rsidRPr="009070BD">
        <w:rPr>
          <w:rFonts w:cs="Sylfaen"/>
          <w:b w:val="0"/>
        </w:rPr>
        <w:t>պետական</w:t>
      </w:r>
      <w:r w:rsidRPr="009070BD">
        <w:rPr>
          <w:rFonts w:cs="Sylfaen"/>
          <w:b w:val="0"/>
          <w:lang w:val="ro-RO"/>
        </w:rPr>
        <w:t xml:space="preserve"> </w:t>
      </w:r>
      <w:r w:rsidRPr="009070BD">
        <w:rPr>
          <w:rFonts w:cs="Sylfaen"/>
          <w:b w:val="0"/>
        </w:rPr>
        <w:t>բյուջեով</w:t>
      </w:r>
      <w:r w:rsidRPr="009070BD">
        <w:rPr>
          <w:rFonts w:cs="Sylfaen"/>
          <w:b w:val="0"/>
          <w:lang w:val="ro-RO"/>
        </w:rPr>
        <w:t xml:space="preserve"> </w:t>
      </w:r>
      <w:r w:rsidRPr="009070BD">
        <w:rPr>
          <w:rFonts w:cs="Sylfaen"/>
          <w:b w:val="0"/>
        </w:rPr>
        <w:t>հաստատված</w:t>
      </w:r>
      <w:r w:rsidRPr="009070BD">
        <w:rPr>
          <w:rFonts w:cs="Sylfaen"/>
          <w:b w:val="0"/>
          <w:lang w:val="ro-RO"/>
        </w:rPr>
        <w:t xml:space="preserve"> </w:t>
      </w:r>
      <w:r w:rsidRPr="009070BD">
        <w:rPr>
          <w:rFonts w:cs="Sylfaen"/>
          <w:b w:val="0"/>
          <w:lang w:val="af-ZA"/>
        </w:rPr>
        <w:t>750.0 մլն դրամ</w:t>
      </w:r>
      <w:r w:rsidRPr="009070BD">
        <w:rPr>
          <w:b w:val="0"/>
          <w:lang w:val="hy-AM"/>
        </w:rPr>
        <w:t>ի դիմաց</w:t>
      </w:r>
      <w:r w:rsidRPr="009070BD">
        <w:rPr>
          <w:rFonts w:cs="Sylfaen"/>
          <w:b w:val="0"/>
          <w:lang w:val="ro-RO"/>
        </w:rPr>
        <w:t xml:space="preserve"> կամ </w:t>
      </w:r>
      <w:r w:rsidRPr="009070BD">
        <w:rPr>
          <w:rFonts w:cs="Sylfaen"/>
          <w:b w:val="0"/>
          <w:lang w:val="hy-AM"/>
        </w:rPr>
        <w:t>520</w:t>
      </w:r>
      <w:r w:rsidRPr="009070BD">
        <w:rPr>
          <w:rFonts w:cs="Sylfaen"/>
          <w:b w:val="0"/>
          <w:lang w:val="ro-RO"/>
        </w:rPr>
        <w:t>.</w:t>
      </w:r>
      <w:r w:rsidRPr="009070BD">
        <w:rPr>
          <w:rFonts w:cs="Sylfaen"/>
          <w:b w:val="0"/>
          <w:lang w:val="hy-AM"/>
        </w:rPr>
        <w:t>0</w:t>
      </w:r>
      <w:r w:rsidRPr="009070BD">
        <w:rPr>
          <w:rFonts w:cs="Sylfaen"/>
          <w:b w:val="0"/>
          <w:lang w:val="ro-RO"/>
        </w:rPr>
        <w:t xml:space="preserve"> մլն դրամով </w:t>
      </w:r>
      <w:r w:rsidRPr="009070BD">
        <w:rPr>
          <w:rFonts w:cs="Sylfaen"/>
          <w:b w:val="0"/>
          <w:lang w:val="hy-AM"/>
        </w:rPr>
        <w:t>պակաս</w:t>
      </w:r>
      <w:r w:rsidR="00CA5CAB" w:rsidRPr="00CA5CAB">
        <w:rPr>
          <w:rFonts w:cs="Sylfaen"/>
          <w:b w:val="0"/>
          <w:lang w:val="hy-AM"/>
        </w:rPr>
        <w:t xml:space="preserve"> (</w:t>
      </w:r>
      <w:r w:rsidR="00CA5CAB">
        <w:rPr>
          <w:rFonts w:cs="Sylfaen"/>
          <w:b w:val="0"/>
          <w:lang w:val="hy-AM"/>
        </w:rPr>
        <w:t>ՀՀ կառավարության 07</w:t>
      </w:r>
      <w:r w:rsidR="00CA5CAB" w:rsidRPr="00CA5CAB">
        <w:rPr>
          <w:rFonts w:ascii="Cambria Math" w:hAnsi="Cambria Math" w:cs="Cambria Math"/>
          <w:b w:val="0"/>
          <w:lang w:val="hy-AM"/>
        </w:rPr>
        <w:t>․</w:t>
      </w:r>
      <w:r w:rsidR="00CA5CAB">
        <w:rPr>
          <w:rFonts w:cs="Sylfaen"/>
          <w:b w:val="0"/>
          <w:lang w:val="hy-AM"/>
        </w:rPr>
        <w:t>10</w:t>
      </w:r>
      <w:r w:rsidR="00CA5CAB" w:rsidRPr="00CA5CAB">
        <w:rPr>
          <w:rFonts w:ascii="Cambria Math" w:hAnsi="Cambria Math" w:cs="Cambria Math"/>
          <w:b w:val="0"/>
          <w:lang w:val="hy-AM"/>
        </w:rPr>
        <w:t>․</w:t>
      </w:r>
      <w:r w:rsidR="00CA5CAB" w:rsidRPr="00CA5CAB">
        <w:rPr>
          <w:rFonts w:cs="Sylfaen"/>
          <w:b w:val="0"/>
          <w:lang w:val="hy-AM"/>
        </w:rPr>
        <w:t>2020 թ</w:t>
      </w:r>
      <w:r w:rsidR="00CA5CAB" w:rsidRPr="00CA5CAB">
        <w:rPr>
          <w:rFonts w:ascii="Cambria Math" w:hAnsi="Cambria Math" w:cs="Cambria Math"/>
          <w:b w:val="0"/>
          <w:lang w:val="hy-AM"/>
        </w:rPr>
        <w:t>․</w:t>
      </w:r>
      <w:r w:rsidR="00CA5CAB" w:rsidRPr="00CA5CAB">
        <w:rPr>
          <w:rFonts w:cs="Sylfaen"/>
          <w:b w:val="0"/>
          <w:lang w:val="hy-AM"/>
        </w:rPr>
        <w:t xml:space="preserve"> N 1651-Ն որոշմամբ միջոցառման գծով նախատեսված 750</w:t>
      </w:r>
      <w:r w:rsidR="00CA5CAB">
        <w:rPr>
          <w:rFonts w:ascii="Cambria Math" w:hAnsi="Cambria Math" w:cs="Sylfaen"/>
          <w:b w:val="0"/>
          <w:lang w:val="hy-AM"/>
        </w:rPr>
        <w:t>․</w:t>
      </w:r>
      <w:r w:rsidR="00CA5CAB" w:rsidRPr="00CA5CAB">
        <w:rPr>
          <w:rFonts w:cs="Sylfaen"/>
          <w:b w:val="0"/>
          <w:lang w:val="hy-AM"/>
        </w:rPr>
        <w:t>0 մլն դրամ գումարն ուղղվել է ՀՀ կառավարության պահուստային ֆոնդ, և այդ կապակցությամբ նախագծի՝ «2021 թվականի ժամանակահատվածում ռազմավարություններից բխող նոր նախաձեռնություններ» հավելվածում միջոցառման գծով նախատեսվել է 520</w:t>
      </w:r>
      <w:r w:rsidR="00CA5CAB">
        <w:rPr>
          <w:rFonts w:ascii="Cambria Math" w:hAnsi="Cambria Math" w:cs="Sylfaen"/>
          <w:b w:val="0"/>
          <w:lang w:val="hy-AM"/>
        </w:rPr>
        <w:t>․</w:t>
      </w:r>
      <w:r w:rsidR="00CA5CAB" w:rsidRPr="00CA5CAB">
        <w:rPr>
          <w:rFonts w:cs="Sylfaen"/>
          <w:b w:val="0"/>
          <w:lang w:val="hy-AM"/>
        </w:rPr>
        <w:t>0 մլն դրամ)</w:t>
      </w:r>
      <w:r w:rsidR="00CA5CAB">
        <w:rPr>
          <w:rFonts w:cs="Sylfaen"/>
          <w:b w:val="0"/>
          <w:lang w:val="hy-AM"/>
        </w:rPr>
        <w:t>։</w:t>
      </w:r>
      <w:r w:rsidRPr="009070BD">
        <w:rPr>
          <w:rFonts w:cs="Sylfaen"/>
          <w:b w:val="0"/>
          <w:lang w:val="hy-AM"/>
        </w:rPr>
        <w:t xml:space="preserve"> </w:t>
      </w:r>
    </w:p>
    <w:p w:rsidR="00B36A46" w:rsidRPr="009070BD" w:rsidRDefault="00B36A46" w:rsidP="007730AA">
      <w:pPr>
        <w:autoSpaceDE w:val="0"/>
        <w:autoSpaceDN w:val="0"/>
        <w:adjustRightInd w:val="0"/>
        <w:spacing w:before="0" w:line="276" w:lineRule="auto"/>
        <w:ind w:firstLine="720"/>
        <w:rPr>
          <w:rFonts w:cs="GHEAGrapalat"/>
          <w:b w:val="0"/>
          <w:szCs w:val="22"/>
          <w:lang w:val="af-ZA"/>
        </w:rPr>
      </w:pPr>
      <w:r w:rsidRPr="009070BD">
        <w:rPr>
          <w:b w:val="0"/>
          <w:lang w:val="af-ZA"/>
        </w:rPr>
        <w:t>Միջոցառման նպատակը Հայաստանի Հանրապետությունում ներդնել խոշոր եղջերավոր կենդանիների համատարած համարակալման, հաշվառման և անձնագրավորման համակարգ:</w:t>
      </w:r>
    </w:p>
    <w:p w:rsidR="00B36A46" w:rsidRPr="009070BD" w:rsidRDefault="00B36A46" w:rsidP="007730AA">
      <w:pPr>
        <w:spacing w:before="0" w:line="276" w:lineRule="auto"/>
        <w:ind w:firstLine="720"/>
        <w:rPr>
          <w:rFonts w:cs="Sylfaen"/>
          <w:b w:val="0"/>
          <w:lang w:val="af-ZA"/>
        </w:rPr>
      </w:pPr>
      <w:r w:rsidRPr="009070BD">
        <w:rPr>
          <w:lang w:val="af-ZA"/>
        </w:rPr>
        <w:t>9. Գյուղատնտեսության արդիականացման ծրագիր</w:t>
      </w:r>
      <w:r w:rsidRPr="009070BD">
        <w:rPr>
          <w:b w:val="0"/>
          <w:lang w:val="af-ZA"/>
        </w:rPr>
        <w:t xml:space="preserve"> </w:t>
      </w:r>
      <w:r w:rsidRPr="009070BD">
        <w:rPr>
          <w:rFonts w:cs="Sylfaen"/>
          <w:b w:val="0"/>
          <w:lang w:val="af-ZA"/>
        </w:rPr>
        <w:t>ծրագրի համար Նախագծով նախատեսվում է հատկացնել 2,603.2 մլն դրամ: Ծրագրի շրջանակներում նախատեսվում է իրականացնել հետևյալ միջոցառումները.</w:t>
      </w:r>
    </w:p>
    <w:p w:rsidR="00B36A46" w:rsidRPr="009070BD" w:rsidRDefault="00B36A46" w:rsidP="007730AA">
      <w:pPr>
        <w:autoSpaceDE w:val="0"/>
        <w:autoSpaceDN w:val="0"/>
        <w:adjustRightInd w:val="0"/>
        <w:spacing w:before="0" w:line="276" w:lineRule="auto"/>
        <w:ind w:firstLine="720"/>
        <w:rPr>
          <w:rFonts w:cs="Sylfaen"/>
          <w:b w:val="0"/>
          <w:lang w:val="ro-RO"/>
        </w:rPr>
      </w:pPr>
      <w:r w:rsidRPr="009070BD">
        <w:rPr>
          <w:rFonts w:cs="Sylfaen"/>
          <w:lang w:val="ro-RO"/>
        </w:rPr>
        <w:t xml:space="preserve">9.1 </w:t>
      </w:r>
      <w:r w:rsidRPr="009070BD">
        <w:rPr>
          <w:lang w:val="af-ZA"/>
        </w:rPr>
        <w:t>Հայաստանի Հանրապետությունում խաղողի, ժամանակակից տեխնոլոգիաներով մշակվող ինտենսիվ պտղատու այգիների և հատապտղանոցների հիմնման համար վարկային տոկոսադրույքների սուբսիդավորում</w:t>
      </w:r>
      <w:r w:rsidRPr="009070BD">
        <w:rPr>
          <w:rFonts w:cs="Sylfaen"/>
          <w:lang w:val="af-ZA"/>
        </w:rPr>
        <w:t>»</w:t>
      </w:r>
      <w:r w:rsidRPr="009070BD">
        <w:rPr>
          <w:rFonts w:cs="Sylfaen"/>
          <w:b w:val="0"/>
          <w:lang w:val="af-ZA"/>
        </w:rPr>
        <w:t xml:space="preserve"> </w:t>
      </w:r>
      <w:r w:rsidRPr="009070BD">
        <w:rPr>
          <w:rFonts w:cs="Sylfaen"/>
          <w:b w:val="0"/>
        </w:rPr>
        <w:t>միջոցառման</w:t>
      </w:r>
      <w:r w:rsidRPr="009070BD">
        <w:rPr>
          <w:rFonts w:cs="Sylfaen"/>
          <w:b w:val="0"/>
          <w:lang w:val="ro-RO"/>
        </w:rPr>
        <w:t xml:space="preserve"> </w:t>
      </w:r>
      <w:r w:rsidRPr="009070BD">
        <w:rPr>
          <w:rFonts w:cs="Sylfaen"/>
          <w:b w:val="0"/>
        </w:rPr>
        <w:t>համար</w:t>
      </w:r>
      <w:r w:rsidRPr="009070BD">
        <w:rPr>
          <w:rFonts w:cs="Sylfaen"/>
          <w:b w:val="0"/>
          <w:lang w:val="ro-RO"/>
        </w:rPr>
        <w:t xml:space="preserve"> </w:t>
      </w:r>
      <w:r w:rsidRPr="009070BD">
        <w:rPr>
          <w:rFonts w:cs="Sylfaen"/>
          <w:b w:val="0"/>
        </w:rPr>
        <w:t>Նախագծով</w:t>
      </w:r>
      <w:r w:rsidRPr="009070BD">
        <w:rPr>
          <w:rFonts w:cs="Sylfaen"/>
          <w:b w:val="0"/>
          <w:lang w:val="ro-RO"/>
        </w:rPr>
        <w:t xml:space="preserve"> </w:t>
      </w:r>
      <w:r w:rsidRPr="009070BD">
        <w:rPr>
          <w:b w:val="0"/>
        </w:rPr>
        <w:t>նախատեսվում</w:t>
      </w:r>
      <w:r w:rsidRPr="009070BD">
        <w:rPr>
          <w:b w:val="0"/>
          <w:lang w:val="ro-RO"/>
        </w:rPr>
        <w:t xml:space="preserve"> </w:t>
      </w:r>
      <w:r w:rsidRPr="009070BD">
        <w:rPr>
          <w:b w:val="0"/>
        </w:rPr>
        <w:t>է</w:t>
      </w:r>
      <w:r w:rsidRPr="009070BD">
        <w:rPr>
          <w:b w:val="0"/>
          <w:lang w:val="ro-RO"/>
        </w:rPr>
        <w:t xml:space="preserve"> </w:t>
      </w:r>
      <w:r w:rsidRPr="009070BD">
        <w:rPr>
          <w:b w:val="0"/>
        </w:rPr>
        <w:t>հատկացնել</w:t>
      </w:r>
      <w:r w:rsidRPr="009070BD">
        <w:rPr>
          <w:b w:val="0"/>
          <w:lang w:val="af-ZA"/>
        </w:rPr>
        <w:t xml:space="preserve"> 240.7 </w:t>
      </w:r>
      <w:r w:rsidRPr="009070BD">
        <w:rPr>
          <w:b w:val="0"/>
        </w:rPr>
        <w:t>մլն</w:t>
      </w:r>
      <w:r w:rsidRPr="009070BD">
        <w:rPr>
          <w:b w:val="0"/>
          <w:lang w:val="af-ZA"/>
        </w:rPr>
        <w:t xml:space="preserve"> </w:t>
      </w:r>
      <w:r w:rsidRPr="009070BD">
        <w:rPr>
          <w:b w:val="0"/>
        </w:rPr>
        <w:t>դրամ՝</w:t>
      </w:r>
      <w:r w:rsidRPr="009070BD">
        <w:rPr>
          <w:b w:val="0"/>
          <w:lang w:val="af-ZA"/>
        </w:rPr>
        <w:t xml:space="preserve"> </w:t>
      </w:r>
      <w:r w:rsidRPr="009070BD">
        <w:rPr>
          <w:b w:val="0"/>
        </w:rPr>
        <w:t>ՀՀ</w:t>
      </w:r>
      <w:r w:rsidRPr="009070BD">
        <w:rPr>
          <w:b w:val="0"/>
          <w:lang w:val="af-ZA"/>
        </w:rPr>
        <w:t xml:space="preserve"> 2020 </w:t>
      </w:r>
      <w:r w:rsidRPr="009070BD">
        <w:rPr>
          <w:b w:val="0"/>
        </w:rPr>
        <w:t>թվականի</w:t>
      </w:r>
      <w:r w:rsidRPr="009070BD">
        <w:rPr>
          <w:b w:val="0"/>
          <w:lang w:val="af-ZA"/>
        </w:rPr>
        <w:t xml:space="preserve"> </w:t>
      </w:r>
      <w:r w:rsidRPr="009070BD">
        <w:rPr>
          <w:b w:val="0"/>
        </w:rPr>
        <w:t>պետական</w:t>
      </w:r>
      <w:r w:rsidRPr="009070BD">
        <w:rPr>
          <w:b w:val="0"/>
          <w:lang w:val="af-ZA"/>
        </w:rPr>
        <w:t xml:space="preserve"> </w:t>
      </w:r>
      <w:r w:rsidRPr="009070BD">
        <w:rPr>
          <w:b w:val="0"/>
        </w:rPr>
        <w:t>բյուջեով</w:t>
      </w:r>
      <w:r w:rsidRPr="009070BD">
        <w:rPr>
          <w:b w:val="0"/>
          <w:lang w:val="af-ZA"/>
        </w:rPr>
        <w:t xml:space="preserve"> </w:t>
      </w:r>
      <w:r w:rsidRPr="009070BD">
        <w:rPr>
          <w:b w:val="0"/>
        </w:rPr>
        <w:t>հաստատված</w:t>
      </w:r>
      <w:r w:rsidRPr="009070BD">
        <w:rPr>
          <w:b w:val="0"/>
          <w:lang w:val="af-ZA"/>
        </w:rPr>
        <w:t xml:space="preserve"> 384.3 </w:t>
      </w:r>
      <w:r w:rsidRPr="009070BD">
        <w:rPr>
          <w:rFonts w:cs="Sylfaen"/>
          <w:b w:val="0"/>
        </w:rPr>
        <w:t>մլն</w:t>
      </w:r>
      <w:r w:rsidRPr="009070BD">
        <w:rPr>
          <w:rFonts w:cs="Sylfaen"/>
          <w:b w:val="0"/>
          <w:lang w:val="ro-RO"/>
        </w:rPr>
        <w:t xml:space="preserve"> </w:t>
      </w:r>
      <w:r w:rsidRPr="009070BD">
        <w:rPr>
          <w:rFonts w:cs="Sylfaen"/>
          <w:b w:val="0"/>
        </w:rPr>
        <w:t>դրամի</w:t>
      </w:r>
      <w:r w:rsidRPr="009070BD">
        <w:rPr>
          <w:rFonts w:cs="Sylfaen"/>
          <w:b w:val="0"/>
          <w:lang w:val="af-ZA"/>
        </w:rPr>
        <w:t xml:space="preserve"> </w:t>
      </w:r>
      <w:r w:rsidRPr="009070BD">
        <w:rPr>
          <w:rFonts w:cs="Sylfaen"/>
          <w:b w:val="0"/>
        </w:rPr>
        <w:t>դիմաց</w:t>
      </w:r>
      <w:r w:rsidRPr="009070BD">
        <w:rPr>
          <w:rFonts w:cs="Sylfaen"/>
          <w:b w:val="0"/>
          <w:lang w:val="af-ZA"/>
        </w:rPr>
        <w:t xml:space="preserve"> </w:t>
      </w:r>
      <w:r w:rsidRPr="009070BD">
        <w:rPr>
          <w:rFonts w:cs="Sylfaen"/>
          <w:b w:val="0"/>
        </w:rPr>
        <w:t>կամ</w:t>
      </w:r>
      <w:r w:rsidRPr="009070BD">
        <w:rPr>
          <w:rFonts w:cs="Sylfaen"/>
          <w:b w:val="0"/>
          <w:lang w:val="af-ZA"/>
        </w:rPr>
        <w:t xml:space="preserve"> 143.6 </w:t>
      </w:r>
      <w:r w:rsidRPr="009070BD">
        <w:rPr>
          <w:rFonts w:cs="Sylfaen"/>
          <w:b w:val="0"/>
        </w:rPr>
        <w:t>մլն</w:t>
      </w:r>
      <w:r w:rsidRPr="009070BD">
        <w:rPr>
          <w:rFonts w:cs="Sylfaen"/>
          <w:b w:val="0"/>
          <w:lang w:val="af-ZA"/>
        </w:rPr>
        <w:t xml:space="preserve"> </w:t>
      </w:r>
      <w:r w:rsidRPr="009070BD">
        <w:rPr>
          <w:rFonts w:cs="Sylfaen"/>
          <w:b w:val="0"/>
        </w:rPr>
        <w:t>դրամով</w:t>
      </w:r>
      <w:r w:rsidRPr="009070BD">
        <w:rPr>
          <w:rFonts w:cs="Sylfaen"/>
          <w:b w:val="0"/>
          <w:lang w:val="af-ZA"/>
        </w:rPr>
        <w:t xml:space="preserve"> </w:t>
      </w:r>
      <w:r w:rsidRPr="009070BD">
        <w:rPr>
          <w:rFonts w:cs="Sylfaen"/>
          <w:b w:val="0"/>
          <w:lang w:val="en-US"/>
        </w:rPr>
        <w:t>պակաս</w:t>
      </w:r>
      <w:r w:rsidRPr="009070BD">
        <w:rPr>
          <w:rFonts w:cs="Sylfaen"/>
          <w:b w:val="0"/>
          <w:lang w:val="af-ZA"/>
        </w:rPr>
        <w:t>, որը պայմանավորված է փաստացի արդյունքների գնահատմամբ</w:t>
      </w:r>
      <w:r w:rsidRPr="009070BD">
        <w:rPr>
          <w:rFonts w:cs="Sylfaen"/>
          <w:b w:val="0"/>
          <w:lang w:val="ro-RO"/>
        </w:rPr>
        <w:t>:</w:t>
      </w:r>
    </w:p>
    <w:p w:rsidR="00B36A46" w:rsidRPr="009070BD" w:rsidRDefault="00B36A46" w:rsidP="007730AA">
      <w:pPr>
        <w:autoSpaceDE w:val="0"/>
        <w:autoSpaceDN w:val="0"/>
        <w:adjustRightInd w:val="0"/>
        <w:spacing w:before="0" w:line="276" w:lineRule="auto"/>
        <w:ind w:firstLine="720"/>
        <w:rPr>
          <w:b w:val="0"/>
          <w:lang w:val="af-ZA"/>
        </w:rPr>
      </w:pPr>
      <w:r w:rsidRPr="009070BD">
        <w:rPr>
          <w:b w:val="0"/>
        </w:rPr>
        <w:t>Միջոցառման</w:t>
      </w:r>
      <w:r w:rsidRPr="009070BD">
        <w:rPr>
          <w:b w:val="0"/>
          <w:lang w:val="af-ZA"/>
        </w:rPr>
        <w:t xml:space="preserve"> </w:t>
      </w:r>
      <w:r w:rsidRPr="009070BD">
        <w:rPr>
          <w:b w:val="0"/>
        </w:rPr>
        <w:t>նպատակը</w:t>
      </w:r>
      <w:r w:rsidRPr="009070BD">
        <w:rPr>
          <w:b w:val="0"/>
          <w:lang w:val="af-ZA"/>
        </w:rPr>
        <w:t xml:space="preserve"> </w:t>
      </w:r>
      <w:r w:rsidRPr="009070BD">
        <w:rPr>
          <w:b w:val="0"/>
        </w:rPr>
        <w:t>մատչելի</w:t>
      </w:r>
      <w:r w:rsidRPr="009070BD">
        <w:rPr>
          <w:b w:val="0"/>
          <w:lang w:val="af-ZA"/>
        </w:rPr>
        <w:t xml:space="preserve"> </w:t>
      </w:r>
      <w:r w:rsidRPr="009070BD">
        <w:rPr>
          <w:b w:val="0"/>
        </w:rPr>
        <w:t>նպատակային</w:t>
      </w:r>
      <w:r w:rsidRPr="009070BD">
        <w:rPr>
          <w:b w:val="0"/>
          <w:lang w:val="af-ZA"/>
        </w:rPr>
        <w:t xml:space="preserve"> </w:t>
      </w:r>
      <w:r w:rsidRPr="009070BD">
        <w:rPr>
          <w:b w:val="0"/>
        </w:rPr>
        <w:t>վարկերի</w:t>
      </w:r>
      <w:r w:rsidRPr="009070BD">
        <w:rPr>
          <w:b w:val="0"/>
          <w:lang w:val="af-ZA"/>
        </w:rPr>
        <w:t xml:space="preserve"> </w:t>
      </w:r>
      <w:r w:rsidRPr="009070BD">
        <w:rPr>
          <w:b w:val="0"/>
        </w:rPr>
        <w:t>տրամադրման</w:t>
      </w:r>
      <w:r w:rsidRPr="009070BD">
        <w:rPr>
          <w:b w:val="0"/>
          <w:lang w:val="af-ZA"/>
        </w:rPr>
        <w:t xml:space="preserve"> </w:t>
      </w:r>
      <w:r w:rsidRPr="009070BD">
        <w:rPr>
          <w:b w:val="0"/>
        </w:rPr>
        <w:t>միջոցով</w:t>
      </w:r>
      <w:r w:rsidRPr="009070BD">
        <w:rPr>
          <w:b w:val="0"/>
          <w:lang w:val="af-ZA"/>
        </w:rPr>
        <w:t xml:space="preserve"> խաղողի, </w:t>
      </w:r>
      <w:r w:rsidRPr="009070BD">
        <w:rPr>
          <w:b w:val="0"/>
        </w:rPr>
        <w:t>ինտենսիվ</w:t>
      </w:r>
      <w:r w:rsidRPr="009070BD">
        <w:rPr>
          <w:b w:val="0"/>
          <w:lang w:val="af-ZA"/>
        </w:rPr>
        <w:t xml:space="preserve"> </w:t>
      </w:r>
      <w:r w:rsidRPr="009070BD">
        <w:rPr>
          <w:b w:val="0"/>
        </w:rPr>
        <w:t>պտղատու</w:t>
      </w:r>
      <w:r w:rsidRPr="009070BD">
        <w:rPr>
          <w:b w:val="0"/>
          <w:lang w:val="af-ZA"/>
        </w:rPr>
        <w:t xml:space="preserve"> </w:t>
      </w:r>
      <w:r w:rsidRPr="009070BD">
        <w:rPr>
          <w:b w:val="0"/>
        </w:rPr>
        <w:t>և</w:t>
      </w:r>
      <w:r w:rsidRPr="009070BD">
        <w:rPr>
          <w:b w:val="0"/>
          <w:lang w:val="af-ZA"/>
        </w:rPr>
        <w:t xml:space="preserve"> </w:t>
      </w:r>
      <w:r w:rsidRPr="009070BD">
        <w:rPr>
          <w:b w:val="0"/>
        </w:rPr>
        <w:t>հատապտղատու</w:t>
      </w:r>
      <w:r w:rsidRPr="009070BD">
        <w:rPr>
          <w:b w:val="0"/>
          <w:lang w:val="af-ZA"/>
        </w:rPr>
        <w:t xml:space="preserve"> </w:t>
      </w:r>
      <w:r w:rsidRPr="009070BD">
        <w:rPr>
          <w:b w:val="0"/>
        </w:rPr>
        <w:t>այգետնկումների</w:t>
      </w:r>
      <w:r w:rsidRPr="009070BD">
        <w:rPr>
          <w:b w:val="0"/>
          <w:lang w:val="af-ZA"/>
        </w:rPr>
        <w:t xml:space="preserve"> </w:t>
      </w:r>
      <w:r w:rsidRPr="009070BD">
        <w:rPr>
          <w:b w:val="0"/>
        </w:rPr>
        <w:t>խթանմամբ</w:t>
      </w:r>
      <w:r w:rsidRPr="009070BD">
        <w:rPr>
          <w:b w:val="0"/>
          <w:lang w:val="af-ZA"/>
        </w:rPr>
        <w:t xml:space="preserve"> </w:t>
      </w:r>
      <w:r w:rsidRPr="009070BD">
        <w:rPr>
          <w:b w:val="0"/>
        </w:rPr>
        <w:t>հանրապետությունում</w:t>
      </w:r>
      <w:r w:rsidRPr="009070BD">
        <w:rPr>
          <w:b w:val="0"/>
          <w:lang w:val="af-ZA"/>
        </w:rPr>
        <w:t xml:space="preserve"> </w:t>
      </w:r>
      <w:r w:rsidRPr="009070BD">
        <w:rPr>
          <w:b w:val="0"/>
        </w:rPr>
        <w:t>պտղաբուծության</w:t>
      </w:r>
      <w:r w:rsidRPr="009070BD">
        <w:rPr>
          <w:b w:val="0"/>
          <w:lang w:val="af-ZA"/>
        </w:rPr>
        <w:t xml:space="preserve"> և խաղողագործության </w:t>
      </w:r>
      <w:r w:rsidRPr="009070BD">
        <w:rPr>
          <w:b w:val="0"/>
        </w:rPr>
        <w:t>զարգացումն</w:t>
      </w:r>
      <w:r w:rsidRPr="009070BD">
        <w:rPr>
          <w:b w:val="0"/>
          <w:lang w:val="af-ZA"/>
        </w:rPr>
        <w:t xml:space="preserve"> </w:t>
      </w:r>
      <w:r w:rsidRPr="009070BD">
        <w:rPr>
          <w:b w:val="0"/>
        </w:rPr>
        <w:t>է</w:t>
      </w:r>
      <w:r w:rsidRPr="009070BD">
        <w:rPr>
          <w:b w:val="0"/>
          <w:lang w:val="af-ZA"/>
        </w:rPr>
        <w:t xml:space="preserve">, խաղողի, </w:t>
      </w:r>
      <w:r w:rsidRPr="009070BD">
        <w:rPr>
          <w:b w:val="0"/>
        </w:rPr>
        <w:t>պտղի</w:t>
      </w:r>
      <w:r w:rsidRPr="009070BD">
        <w:rPr>
          <w:b w:val="0"/>
          <w:lang w:val="af-ZA"/>
        </w:rPr>
        <w:t xml:space="preserve"> </w:t>
      </w:r>
      <w:r w:rsidRPr="009070BD">
        <w:rPr>
          <w:b w:val="0"/>
        </w:rPr>
        <w:t>և</w:t>
      </w:r>
      <w:r w:rsidRPr="009070BD">
        <w:rPr>
          <w:b w:val="0"/>
          <w:lang w:val="af-ZA"/>
        </w:rPr>
        <w:t xml:space="preserve"> </w:t>
      </w:r>
      <w:r w:rsidRPr="009070BD">
        <w:rPr>
          <w:b w:val="0"/>
        </w:rPr>
        <w:t>հատապտղի</w:t>
      </w:r>
      <w:r w:rsidRPr="009070BD">
        <w:rPr>
          <w:b w:val="0"/>
          <w:lang w:val="af-ZA"/>
        </w:rPr>
        <w:t xml:space="preserve"> </w:t>
      </w:r>
      <w:r w:rsidRPr="009070BD">
        <w:rPr>
          <w:b w:val="0"/>
        </w:rPr>
        <w:t>արտադրության</w:t>
      </w:r>
      <w:r w:rsidRPr="009070BD">
        <w:rPr>
          <w:b w:val="0"/>
          <w:lang w:val="af-ZA"/>
        </w:rPr>
        <w:t xml:space="preserve"> </w:t>
      </w:r>
      <w:r w:rsidRPr="009070BD">
        <w:rPr>
          <w:b w:val="0"/>
        </w:rPr>
        <w:t>ծավալների</w:t>
      </w:r>
      <w:r w:rsidRPr="009070BD">
        <w:rPr>
          <w:b w:val="0"/>
          <w:lang w:val="af-ZA"/>
        </w:rPr>
        <w:t xml:space="preserve"> </w:t>
      </w:r>
      <w:r w:rsidRPr="009070BD">
        <w:rPr>
          <w:b w:val="0"/>
        </w:rPr>
        <w:t>ավելացումը</w:t>
      </w:r>
      <w:r w:rsidRPr="009070BD">
        <w:rPr>
          <w:b w:val="0"/>
          <w:lang w:val="af-ZA"/>
        </w:rPr>
        <w:t xml:space="preserve">, պտուղների և հատապտուղների </w:t>
      </w:r>
      <w:r w:rsidRPr="009070BD">
        <w:rPr>
          <w:b w:val="0"/>
        </w:rPr>
        <w:t>ներմուծման</w:t>
      </w:r>
      <w:r w:rsidRPr="009070BD">
        <w:rPr>
          <w:b w:val="0"/>
          <w:lang w:val="af-ZA"/>
        </w:rPr>
        <w:t xml:space="preserve"> </w:t>
      </w:r>
      <w:r w:rsidRPr="009070BD">
        <w:rPr>
          <w:b w:val="0"/>
        </w:rPr>
        <w:t>փոխարինումը</w:t>
      </w:r>
      <w:r w:rsidRPr="009070BD">
        <w:rPr>
          <w:b w:val="0"/>
          <w:lang w:val="af-ZA"/>
        </w:rPr>
        <w:t xml:space="preserve"> </w:t>
      </w:r>
      <w:r w:rsidRPr="009070BD">
        <w:rPr>
          <w:b w:val="0"/>
        </w:rPr>
        <w:t>և</w:t>
      </w:r>
      <w:r w:rsidRPr="009070BD">
        <w:rPr>
          <w:b w:val="0"/>
          <w:lang w:val="af-ZA"/>
        </w:rPr>
        <w:t xml:space="preserve"> </w:t>
      </w:r>
      <w:r w:rsidRPr="009070BD">
        <w:rPr>
          <w:b w:val="0"/>
        </w:rPr>
        <w:t>արտահանման</w:t>
      </w:r>
      <w:r w:rsidRPr="009070BD">
        <w:rPr>
          <w:b w:val="0"/>
          <w:lang w:val="af-ZA"/>
        </w:rPr>
        <w:t xml:space="preserve"> </w:t>
      </w:r>
      <w:r w:rsidRPr="009070BD">
        <w:rPr>
          <w:b w:val="0"/>
        </w:rPr>
        <w:t>ծավալների</w:t>
      </w:r>
      <w:r w:rsidRPr="009070BD">
        <w:rPr>
          <w:b w:val="0"/>
          <w:lang w:val="af-ZA"/>
        </w:rPr>
        <w:t xml:space="preserve"> </w:t>
      </w:r>
      <w:r w:rsidRPr="009070BD">
        <w:rPr>
          <w:b w:val="0"/>
        </w:rPr>
        <w:t>ավելացումը</w:t>
      </w:r>
      <w:r w:rsidRPr="009070BD">
        <w:rPr>
          <w:b w:val="0"/>
          <w:lang w:val="af-ZA"/>
        </w:rPr>
        <w:t xml:space="preserve">: </w:t>
      </w:r>
    </w:p>
    <w:p w:rsidR="00B36A46" w:rsidRPr="009070BD" w:rsidRDefault="00B36A46" w:rsidP="007730AA">
      <w:pPr>
        <w:autoSpaceDE w:val="0"/>
        <w:autoSpaceDN w:val="0"/>
        <w:adjustRightInd w:val="0"/>
        <w:spacing w:before="0" w:line="276" w:lineRule="auto"/>
        <w:ind w:firstLine="720"/>
        <w:rPr>
          <w:rFonts w:cs="Sylfaen"/>
          <w:b w:val="0"/>
          <w:lang w:val="af-ZA"/>
        </w:rPr>
      </w:pPr>
      <w:r w:rsidRPr="009070BD">
        <w:rPr>
          <w:lang w:val="af-ZA"/>
        </w:rPr>
        <w:t xml:space="preserve">9.2 </w:t>
      </w:r>
      <w:r w:rsidRPr="009070BD">
        <w:rPr>
          <w:rFonts w:cs="Sylfaen"/>
          <w:lang w:val="af-ZA"/>
        </w:rPr>
        <w:t>«Հայաստանի Հանրապետության գյուղատնտեսական տեխնիկայի ֆինանսական վարձակալության` լիզինգի պետական աջակցության ծրագիր</w:t>
      </w:r>
      <w:r w:rsidRPr="009070BD">
        <w:rPr>
          <w:rFonts w:cs="GHEAGrapalat-Bold"/>
          <w:bCs/>
          <w:lang w:val="af-ZA"/>
        </w:rPr>
        <w:t>»</w:t>
      </w:r>
      <w:r w:rsidRPr="009070BD">
        <w:rPr>
          <w:rFonts w:cs="Sylfaen"/>
          <w:b w:val="0"/>
          <w:lang w:val="af-ZA"/>
        </w:rPr>
        <w:t xml:space="preserve"> </w:t>
      </w:r>
      <w:r w:rsidRPr="009070BD">
        <w:rPr>
          <w:rFonts w:cs="Sylfaen"/>
          <w:b w:val="0"/>
        </w:rPr>
        <w:t>միջոցառման</w:t>
      </w:r>
      <w:r w:rsidRPr="009070BD">
        <w:rPr>
          <w:rFonts w:cs="Sylfaen"/>
          <w:b w:val="0"/>
          <w:lang w:val="ro-RO"/>
        </w:rPr>
        <w:t xml:space="preserve"> </w:t>
      </w:r>
      <w:r w:rsidRPr="009070BD">
        <w:rPr>
          <w:rFonts w:cs="Sylfaen"/>
          <w:b w:val="0"/>
        </w:rPr>
        <w:t>համար</w:t>
      </w:r>
      <w:r w:rsidRPr="009070BD">
        <w:rPr>
          <w:rFonts w:cs="Sylfaen"/>
          <w:b w:val="0"/>
          <w:lang w:val="ro-RO"/>
        </w:rPr>
        <w:t xml:space="preserve"> </w:t>
      </w:r>
      <w:r w:rsidRPr="009070BD">
        <w:rPr>
          <w:rFonts w:cs="Sylfaen"/>
          <w:b w:val="0"/>
        </w:rPr>
        <w:t>Նախագծով</w:t>
      </w:r>
      <w:r w:rsidRPr="009070BD">
        <w:rPr>
          <w:rFonts w:cs="Sylfaen"/>
          <w:b w:val="0"/>
          <w:lang w:val="ro-RO"/>
        </w:rPr>
        <w:t xml:space="preserve"> </w:t>
      </w:r>
      <w:r w:rsidRPr="009070BD">
        <w:rPr>
          <w:b w:val="0"/>
        </w:rPr>
        <w:t>նախատեսվում</w:t>
      </w:r>
      <w:r w:rsidRPr="009070BD">
        <w:rPr>
          <w:b w:val="0"/>
          <w:lang w:val="ro-RO"/>
        </w:rPr>
        <w:t xml:space="preserve"> </w:t>
      </w:r>
      <w:r w:rsidRPr="009070BD">
        <w:rPr>
          <w:b w:val="0"/>
        </w:rPr>
        <w:t>է</w:t>
      </w:r>
      <w:r w:rsidRPr="009070BD">
        <w:rPr>
          <w:b w:val="0"/>
          <w:lang w:val="ro-RO"/>
        </w:rPr>
        <w:t xml:space="preserve"> </w:t>
      </w:r>
      <w:r w:rsidRPr="009070BD">
        <w:rPr>
          <w:b w:val="0"/>
        </w:rPr>
        <w:t>հատկացնել</w:t>
      </w:r>
      <w:r w:rsidRPr="009070BD">
        <w:rPr>
          <w:b w:val="0"/>
          <w:lang w:val="af-ZA"/>
        </w:rPr>
        <w:t xml:space="preserve"> 285.1 մլն դրամ</w:t>
      </w:r>
      <w:r w:rsidRPr="009070BD">
        <w:rPr>
          <w:rFonts w:cs="Sylfaen"/>
          <w:b w:val="0"/>
        </w:rPr>
        <w:t>՝</w:t>
      </w:r>
      <w:r w:rsidRPr="009070BD">
        <w:rPr>
          <w:rFonts w:cs="Sylfaen"/>
          <w:b w:val="0"/>
          <w:lang w:val="af-ZA"/>
        </w:rPr>
        <w:t xml:space="preserve"> </w:t>
      </w:r>
      <w:r w:rsidRPr="009070BD">
        <w:rPr>
          <w:rFonts w:cs="Sylfaen"/>
          <w:b w:val="0"/>
        </w:rPr>
        <w:t>ՀՀ</w:t>
      </w:r>
      <w:r w:rsidRPr="009070BD">
        <w:rPr>
          <w:rFonts w:cs="Sylfaen"/>
          <w:b w:val="0"/>
          <w:lang w:val="ro-RO"/>
        </w:rPr>
        <w:t xml:space="preserve"> 2020</w:t>
      </w:r>
      <w:r w:rsidRPr="009070BD">
        <w:rPr>
          <w:b w:val="0"/>
          <w:lang w:val="ro-RO"/>
        </w:rPr>
        <w:t xml:space="preserve"> </w:t>
      </w:r>
      <w:r w:rsidRPr="009070BD">
        <w:rPr>
          <w:b w:val="0"/>
        </w:rPr>
        <w:t>թվականի</w:t>
      </w:r>
      <w:r w:rsidRPr="009070BD">
        <w:rPr>
          <w:rFonts w:cs="Sylfaen"/>
          <w:b w:val="0"/>
          <w:lang w:val="ro-RO"/>
        </w:rPr>
        <w:t xml:space="preserve"> </w:t>
      </w:r>
      <w:r w:rsidRPr="009070BD">
        <w:rPr>
          <w:rFonts w:cs="Sylfaen"/>
          <w:b w:val="0"/>
        </w:rPr>
        <w:t>պետական</w:t>
      </w:r>
      <w:r w:rsidRPr="009070BD">
        <w:rPr>
          <w:rFonts w:cs="Sylfaen"/>
          <w:b w:val="0"/>
          <w:lang w:val="ro-RO"/>
        </w:rPr>
        <w:t xml:space="preserve"> </w:t>
      </w:r>
      <w:r w:rsidRPr="009070BD">
        <w:rPr>
          <w:rFonts w:cs="Sylfaen"/>
          <w:b w:val="0"/>
        </w:rPr>
        <w:t>բյուջեով</w:t>
      </w:r>
      <w:r w:rsidRPr="009070BD">
        <w:rPr>
          <w:rFonts w:cs="Sylfaen"/>
          <w:b w:val="0"/>
          <w:lang w:val="ro-RO"/>
        </w:rPr>
        <w:t xml:space="preserve"> </w:t>
      </w:r>
      <w:r w:rsidRPr="009070BD">
        <w:rPr>
          <w:rFonts w:cs="Sylfaen"/>
          <w:b w:val="0"/>
        </w:rPr>
        <w:t>հաստատ</w:t>
      </w:r>
      <w:r w:rsidRPr="009070BD">
        <w:rPr>
          <w:rFonts w:cs="Sylfaen"/>
          <w:b w:val="0"/>
          <w:lang w:val="ro-RO"/>
        </w:rPr>
        <w:softHyphen/>
      </w:r>
      <w:r w:rsidRPr="009070BD">
        <w:rPr>
          <w:rFonts w:cs="Sylfaen"/>
          <w:b w:val="0"/>
        </w:rPr>
        <w:t>ված</w:t>
      </w:r>
      <w:r w:rsidRPr="009070BD">
        <w:rPr>
          <w:rFonts w:cs="Sylfaen"/>
          <w:b w:val="0"/>
          <w:lang w:val="af-ZA"/>
        </w:rPr>
        <w:t xml:space="preserve"> </w:t>
      </w:r>
      <w:r w:rsidRPr="009070BD">
        <w:rPr>
          <w:b w:val="0"/>
          <w:lang w:val="ro-RO"/>
        </w:rPr>
        <w:t xml:space="preserve">192.5 </w:t>
      </w:r>
      <w:r w:rsidRPr="009070BD">
        <w:rPr>
          <w:rFonts w:cs="Sylfaen"/>
          <w:b w:val="0"/>
        </w:rPr>
        <w:t>մլն</w:t>
      </w:r>
      <w:r w:rsidRPr="009070BD">
        <w:rPr>
          <w:rFonts w:cs="Sylfaen"/>
          <w:b w:val="0"/>
          <w:lang w:val="ro-RO"/>
        </w:rPr>
        <w:t xml:space="preserve"> </w:t>
      </w:r>
      <w:r w:rsidRPr="009070BD">
        <w:rPr>
          <w:rFonts w:cs="Sylfaen"/>
          <w:b w:val="0"/>
        </w:rPr>
        <w:t>դրամ</w:t>
      </w:r>
      <w:r w:rsidRPr="009070BD">
        <w:rPr>
          <w:rFonts w:cs="Sylfaen"/>
          <w:b w:val="0"/>
          <w:lang w:val="en-US"/>
        </w:rPr>
        <w:t>ի</w:t>
      </w:r>
      <w:r w:rsidRPr="009070BD">
        <w:rPr>
          <w:rFonts w:cs="Sylfaen"/>
          <w:b w:val="0"/>
          <w:lang w:val="af-ZA"/>
        </w:rPr>
        <w:t xml:space="preserve"> </w:t>
      </w:r>
      <w:r w:rsidRPr="009070BD">
        <w:rPr>
          <w:rFonts w:cs="Sylfaen"/>
          <w:b w:val="0"/>
          <w:lang w:val="en-US"/>
        </w:rPr>
        <w:t>դիմաց</w:t>
      </w:r>
      <w:r w:rsidRPr="009070BD">
        <w:rPr>
          <w:rFonts w:cs="Sylfaen"/>
          <w:b w:val="0"/>
          <w:lang w:val="af-ZA"/>
        </w:rPr>
        <w:t xml:space="preserve"> </w:t>
      </w:r>
      <w:r w:rsidRPr="009070BD">
        <w:rPr>
          <w:rFonts w:cs="Sylfaen"/>
          <w:b w:val="0"/>
          <w:lang w:val="en-US"/>
        </w:rPr>
        <w:t>կամ</w:t>
      </w:r>
      <w:r w:rsidRPr="009070BD">
        <w:rPr>
          <w:rFonts w:cs="Sylfaen"/>
          <w:b w:val="0"/>
          <w:lang w:val="ro-RO"/>
        </w:rPr>
        <w:t xml:space="preserve"> 92.6 մլն դրամով ավել՝ </w:t>
      </w:r>
      <w:r w:rsidRPr="009070BD">
        <w:rPr>
          <w:rFonts w:eastAsia="Calibri" w:cs="Times LatArm"/>
          <w:b w:val="0"/>
          <w:szCs w:val="22"/>
          <w:lang w:val="hy-AM" w:eastAsia="en-US"/>
        </w:rPr>
        <w:t>պայմանավորված կորոնավիրուս</w:t>
      </w:r>
      <w:r w:rsidRPr="009070BD">
        <w:rPr>
          <w:rFonts w:eastAsia="Calibri" w:cs="Times LatArm"/>
          <w:b w:val="0"/>
          <w:szCs w:val="22"/>
          <w:lang w:val="af-ZA" w:eastAsia="en-US"/>
        </w:rPr>
        <w:t xml:space="preserve"> </w:t>
      </w:r>
      <w:r w:rsidRPr="009070BD">
        <w:rPr>
          <w:rFonts w:eastAsia="Calibri" w:cs="Times LatArm"/>
          <w:b w:val="0"/>
          <w:szCs w:val="22"/>
          <w:lang w:val="en-US" w:eastAsia="en-US"/>
        </w:rPr>
        <w:t>հիվանդության</w:t>
      </w:r>
      <w:r w:rsidRPr="009070BD">
        <w:rPr>
          <w:rFonts w:eastAsia="Calibri" w:cs="Times LatArm"/>
          <w:b w:val="0"/>
          <w:szCs w:val="22"/>
          <w:lang w:val="hy-AM" w:eastAsia="en-US"/>
        </w:rPr>
        <w:t xml:space="preserve"> հետևանքով գյուղատնտեսական վարկերի պայմանների փոփոխությամբ</w:t>
      </w:r>
      <w:r w:rsidRPr="009070BD">
        <w:rPr>
          <w:rFonts w:cs="Sylfaen"/>
          <w:b w:val="0"/>
          <w:lang w:val="af-ZA"/>
        </w:rPr>
        <w:t xml:space="preserve"> (բարելավմամբ):</w:t>
      </w:r>
    </w:p>
    <w:p w:rsidR="00B36A46" w:rsidRPr="009070BD" w:rsidRDefault="00B36A46" w:rsidP="007730AA">
      <w:pPr>
        <w:autoSpaceDE w:val="0"/>
        <w:autoSpaceDN w:val="0"/>
        <w:adjustRightInd w:val="0"/>
        <w:spacing w:before="0" w:line="276" w:lineRule="auto"/>
        <w:ind w:firstLine="720"/>
        <w:rPr>
          <w:b w:val="0"/>
          <w:lang w:val="ro-RO"/>
        </w:rPr>
      </w:pPr>
      <w:r w:rsidRPr="009070BD">
        <w:rPr>
          <w:b w:val="0"/>
          <w:lang w:val="hy-AM"/>
        </w:rPr>
        <w:t>Միջոցառման</w:t>
      </w:r>
      <w:r w:rsidRPr="009070BD">
        <w:rPr>
          <w:b w:val="0"/>
          <w:lang w:val="ro-RO"/>
        </w:rPr>
        <w:t xml:space="preserve"> </w:t>
      </w:r>
      <w:r w:rsidRPr="009070BD">
        <w:rPr>
          <w:b w:val="0"/>
          <w:lang w:val="hy-AM"/>
        </w:rPr>
        <w:t>նպատակը</w:t>
      </w:r>
      <w:r w:rsidRPr="009070BD">
        <w:rPr>
          <w:b w:val="0"/>
          <w:lang w:val="ro-RO"/>
        </w:rPr>
        <w:t xml:space="preserve"> </w:t>
      </w:r>
      <w:r w:rsidRPr="009070BD">
        <w:rPr>
          <w:b w:val="0"/>
          <w:lang w:val="hy-AM"/>
        </w:rPr>
        <w:t>գյուղատնտեսությունում</w:t>
      </w:r>
      <w:r w:rsidRPr="009070BD">
        <w:rPr>
          <w:b w:val="0"/>
          <w:lang w:val="ro-RO"/>
        </w:rPr>
        <w:t xml:space="preserve"> </w:t>
      </w:r>
      <w:r w:rsidRPr="009070BD">
        <w:rPr>
          <w:b w:val="0"/>
          <w:lang w:val="hy-AM"/>
        </w:rPr>
        <w:t>տնտեսավարողներին</w:t>
      </w:r>
      <w:r w:rsidRPr="009070BD">
        <w:rPr>
          <w:b w:val="0"/>
          <w:lang w:val="ro-RO"/>
        </w:rPr>
        <w:t xml:space="preserve"> </w:t>
      </w:r>
      <w:r w:rsidRPr="009070BD">
        <w:rPr>
          <w:b w:val="0"/>
          <w:lang w:val="hy-AM"/>
        </w:rPr>
        <w:t>մատչելի</w:t>
      </w:r>
      <w:r w:rsidRPr="009070BD">
        <w:rPr>
          <w:b w:val="0"/>
          <w:lang w:val="ro-RO"/>
        </w:rPr>
        <w:t xml:space="preserve"> </w:t>
      </w:r>
      <w:r w:rsidRPr="009070BD">
        <w:rPr>
          <w:b w:val="0"/>
          <w:lang w:val="hy-AM"/>
        </w:rPr>
        <w:t>պայմաններով</w:t>
      </w:r>
      <w:r w:rsidRPr="009070BD">
        <w:rPr>
          <w:b w:val="0"/>
          <w:lang w:val="ro-RO"/>
        </w:rPr>
        <w:t xml:space="preserve">, </w:t>
      </w:r>
      <w:r w:rsidRPr="009070BD">
        <w:rPr>
          <w:b w:val="0"/>
          <w:lang w:val="hy-AM"/>
        </w:rPr>
        <w:t>մասնավորապես</w:t>
      </w:r>
      <w:r w:rsidRPr="009070BD">
        <w:rPr>
          <w:b w:val="0"/>
          <w:lang w:val="ro-RO"/>
        </w:rPr>
        <w:t xml:space="preserve"> </w:t>
      </w:r>
      <w:r w:rsidRPr="009070BD">
        <w:rPr>
          <w:b w:val="0"/>
          <w:lang w:val="hy-AM"/>
        </w:rPr>
        <w:t>լիզինգային</w:t>
      </w:r>
      <w:r w:rsidRPr="009070BD">
        <w:rPr>
          <w:b w:val="0"/>
          <w:lang w:val="ro-RO"/>
        </w:rPr>
        <w:t xml:space="preserve"> </w:t>
      </w:r>
      <w:r w:rsidRPr="009070BD">
        <w:rPr>
          <w:b w:val="0"/>
          <w:lang w:val="hy-AM"/>
        </w:rPr>
        <w:t>մեխանիզմների</w:t>
      </w:r>
      <w:r w:rsidRPr="009070BD">
        <w:rPr>
          <w:b w:val="0"/>
          <w:lang w:val="ro-RO"/>
        </w:rPr>
        <w:t xml:space="preserve"> </w:t>
      </w:r>
      <w:r w:rsidRPr="009070BD">
        <w:rPr>
          <w:b w:val="0"/>
          <w:lang w:val="hy-AM"/>
        </w:rPr>
        <w:t>կիրառմամբ</w:t>
      </w:r>
      <w:r w:rsidRPr="009070BD">
        <w:rPr>
          <w:b w:val="0"/>
          <w:lang w:val="ro-RO"/>
        </w:rPr>
        <w:t xml:space="preserve"> </w:t>
      </w:r>
      <w:r w:rsidRPr="009070BD">
        <w:rPr>
          <w:b w:val="0"/>
          <w:lang w:val="hy-AM"/>
        </w:rPr>
        <w:t>գյուղատնտեսական</w:t>
      </w:r>
      <w:r w:rsidRPr="009070BD">
        <w:rPr>
          <w:b w:val="0"/>
          <w:lang w:val="ro-RO"/>
        </w:rPr>
        <w:t xml:space="preserve"> </w:t>
      </w:r>
      <w:r w:rsidRPr="009070BD">
        <w:rPr>
          <w:b w:val="0"/>
          <w:lang w:val="hy-AM"/>
        </w:rPr>
        <w:t>տեխնիկայի</w:t>
      </w:r>
      <w:r w:rsidRPr="009070BD">
        <w:rPr>
          <w:b w:val="0"/>
          <w:lang w:val="ro-RO"/>
        </w:rPr>
        <w:t xml:space="preserve"> </w:t>
      </w:r>
      <w:r w:rsidRPr="009070BD">
        <w:rPr>
          <w:b w:val="0"/>
          <w:lang w:val="hy-AM"/>
        </w:rPr>
        <w:t>մատակարարումն</w:t>
      </w:r>
      <w:r w:rsidRPr="009070BD">
        <w:rPr>
          <w:b w:val="0"/>
          <w:lang w:val="ro-RO"/>
        </w:rPr>
        <w:t xml:space="preserve"> </w:t>
      </w:r>
      <w:r w:rsidRPr="009070BD">
        <w:rPr>
          <w:b w:val="0"/>
          <w:lang w:val="hy-AM"/>
        </w:rPr>
        <w:t>է</w:t>
      </w:r>
      <w:r w:rsidRPr="009070BD">
        <w:rPr>
          <w:b w:val="0"/>
          <w:lang w:val="ro-RO"/>
        </w:rPr>
        <w:t>:</w:t>
      </w:r>
    </w:p>
    <w:p w:rsidR="00B36A46" w:rsidRPr="009070BD" w:rsidRDefault="00B36A46" w:rsidP="007730AA">
      <w:pPr>
        <w:autoSpaceDE w:val="0"/>
        <w:autoSpaceDN w:val="0"/>
        <w:adjustRightInd w:val="0"/>
        <w:spacing w:before="0" w:line="276" w:lineRule="auto"/>
        <w:ind w:firstLine="720"/>
        <w:rPr>
          <w:rFonts w:cs="Sylfaen"/>
          <w:b w:val="0"/>
          <w:lang w:val="ro-RO"/>
        </w:rPr>
      </w:pPr>
      <w:r w:rsidRPr="009070BD">
        <w:rPr>
          <w:rFonts w:cs="Sylfaen"/>
          <w:lang w:val="af-ZA"/>
        </w:rPr>
        <w:t>9.3 Հայաստանի Հանրապետության ագրոպարենային ոլորտի սարքավորումների ֆինանսական վարձակալության՝ լիզինգի պետական աջակցության ծրագիր</w:t>
      </w:r>
      <w:r w:rsidRPr="009070BD">
        <w:rPr>
          <w:rFonts w:cs="Sylfaen"/>
          <w:b w:val="0"/>
          <w:lang w:val="af-ZA"/>
        </w:rPr>
        <w:t xml:space="preserve"> միջոցառման </w:t>
      </w:r>
      <w:r w:rsidRPr="009070BD">
        <w:rPr>
          <w:rFonts w:cs="Sylfaen"/>
          <w:b w:val="0"/>
          <w:bCs/>
          <w:iCs/>
        </w:rPr>
        <w:t>համար</w:t>
      </w:r>
      <w:r w:rsidRPr="009070BD">
        <w:rPr>
          <w:rFonts w:cs="Sylfaen"/>
          <w:b w:val="0"/>
          <w:bCs/>
          <w:iCs/>
          <w:lang w:val="ro-RO"/>
        </w:rPr>
        <w:t xml:space="preserve"> </w:t>
      </w:r>
      <w:r w:rsidRPr="009070BD">
        <w:rPr>
          <w:rFonts w:cs="Sylfaen"/>
          <w:b w:val="0"/>
          <w:bCs/>
          <w:iCs/>
        </w:rPr>
        <w:t>Նախագծով</w:t>
      </w:r>
      <w:r w:rsidRPr="009070BD">
        <w:rPr>
          <w:rFonts w:cs="Sylfaen"/>
          <w:b w:val="0"/>
          <w:bCs/>
          <w:iCs/>
          <w:lang w:val="ro-RO"/>
        </w:rPr>
        <w:t xml:space="preserve"> </w:t>
      </w:r>
      <w:r w:rsidRPr="009070BD">
        <w:rPr>
          <w:rFonts w:cs="Sylfaen"/>
          <w:b w:val="0"/>
          <w:bCs/>
          <w:iCs/>
        </w:rPr>
        <w:t>նախատեսվում</w:t>
      </w:r>
      <w:r w:rsidRPr="009070BD">
        <w:rPr>
          <w:rFonts w:cs="Sylfaen"/>
          <w:b w:val="0"/>
          <w:bCs/>
          <w:iCs/>
          <w:lang w:val="ro-RO"/>
        </w:rPr>
        <w:t xml:space="preserve"> </w:t>
      </w:r>
      <w:r w:rsidRPr="009070BD">
        <w:rPr>
          <w:rFonts w:cs="Sylfaen"/>
          <w:b w:val="0"/>
          <w:bCs/>
          <w:iCs/>
        </w:rPr>
        <w:t>է</w:t>
      </w:r>
      <w:r w:rsidRPr="009070BD">
        <w:rPr>
          <w:rFonts w:cs="Sylfaen"/>
          <w:b w:val="0"/>
          <w:bCs/>
          <w:iCs/>
          <w:lang w:val="ro-RO"/>
        </w:rPr>
        <w:t xml:space="preserve"> </w:t>
      </w:r>
      <w:r w:rsidRPr="009070BD">
        <w:rPr>
          <w:rFonts w:cs="Sylfaen"/>
          <w:b w:val="0"/>
          <w:bCs/>
          <w:iCs/>
        </w:rPr>
        <w:t>հատկացնել</w:t>
      </w:r>
      <w:r w:rsidRPr="009070BD">
        <w:rPr>
          <w:rFonts w:cs="Sylfaen"/>
          <w:b w:val="0"/>
          <w:bCs/>
          <w:iCs/>
          <w:lang w:val="ro-RO"/>
        </w:rPr>
        <w:t xml:space="preserve"> 550.6 </w:t>
      </w:r>
      <w:r w:rsidRPr="009070BD">
        <w:rPr>
          <w:rFonts w:cs="Sylfaen"/>
          <w:b w:val="0"/>
          <w:bCs/>
          <w:iCs/>
        </w:rPr>
        <w:t>մլն</w:t>
      </w:r>
      <w:r w:rsidRPr="009070BD">
        <w:rPr>
          <w:rFonts w:cs="Sylfaen"/>
          <w:b w:val="0"/>
          <w:bCs/>
          <w:iCs/>
          <w:lang w:val="ro-RO"/>
        </w:rPr>
        <w:t xml:space="preserve"> </w:t>
      </w:r>
      <w:r w:rsidRPr="009070BD">
        <w:rPr>
          <w:rFonts w:cs="Sylfaen"/>
          <w:b w:val="0"/>
          <w:bCs/>
          <w:iCs/>
        </w:rPr>
        <w:t>դրամ՝</w:t>
      </w:r>
      <w:r w:rsidRPr="009070BD">
        <w:rPr>
          <w:rFonts w:cs="Sylfaen"/>
          <w:b w:val="0"/>
          <w:bCs/>
          <w:iCs/>
          <w:lang w:val="ro-RO"/>
        </w:rPr>
        <w:t xml:space="preserve"> </w:t>
      </w:r>
      <w:r w:rsidRPr="009070BD">
        <w:rPr>
          <w:rFonts w:cs="Sylfaen"/>
          <w:b w:val="0"/>
        </w:rPr>
        <w:t>ՀՀ</w:t>
      </w:r>
      <w:r w:rsidRPr="009070BD">
        <w:rPr>
          <w:rFonts w:cs="Sylfaen"/>
          <w:b w:val="0"/>
          <w:lang w:val="ro-RO"/>
        </w:rPr>
        <w:t xml:space="preserve"> 2020</w:t>
      </w:r>
      <w:r w:rsidRPr="009070BD">
        <w:rPr>
          <w:b w:val="0"/>
          <w:lang w:val="ro-RO"/>
        </w:rPr>
        <w:t xml:space="preserve"> </w:t>
      </w:r>
      <w:r w:rsidRPr="009070BD">
        <w:rPr>
          <w:b w:val="0"/>
        </w:rPr>
        <w:t>թվականի</w:t>
      </w:r>
      <w:r w:rsidRPr="009070BD">
        <w:rPr>
          <w:rFonts w:cs="Sylfaen"/>
          <w:b w:val="0"/>
          <w:lang w:val="ro-RO"/>
        </w:rPr>
        <w:t xml:space="preserve"> </w:t>
      </w:r>
      <w:r w:rsidRPr="009070BD">
        <w:rPr>
          <w:rFonts w:cs="Sylfaen"/>
          <w:b w:val="0"/>
        </w:rPr>
        <w:t>պետական</w:t>
      </w:r>
      <w:r w:rsidRPr="009070BD">
        <w:rPr>
          <w:rFonts w:cs="Sylfaen"/>
          <w:b w:val="0"/>
          <w:lang w:val="ro-RO"/>
        </w:rPr>
        <w:t xml:space="preserve"> </w:t>
      </w:r>
      <w:r w:rsidRPr="009070BD">
        <w:rPr>
          <w:rFonts w:cs="Sylfaen"/>
          <w:b w:val="0"/>
        </w:rPr>
        <w:t>բյուջեով</w:t>
      </w:r>
      <w:r w:rsidRPr="009070BD">
        <w:rPr>
          <w:rFonts w:cs="Sylfaen"/>
          <w:b w:val="0"/>
          <w:lang w:val="ro-RO"/>
        </w:rPr>
        <w:t xml:space="preserve"> </w:t>
      </w:r>
      <w:r w:rsidRPr="009070BD">
        <w:rPr>
          <w:rFonts w:cs="Sylfaen"/>
          <w:b w:val="0"/>
        </w:rPr>
        <w:t>հաստատ</w:t>
      </w:r>
      <w:r w:rsidRPr="009070BD">
        <w:rPr>
          <w:rFonts w:cs="Sylfaen"/>
          <w:b w:val="0"/>
          <w:lang w:val="ro-RO"/>
        </w:rPr>
        <w:softHyphen/>
      </w:r>
      <w:r w:rsidRPr="009070BD">
        <w:rPr>
          <w:rFonts w:cs="Sylfaen"/>
          <w:b w:val="0"/>
        </w:rPr>
        <w:t>ված</w:t>
      </w:r>
      <w:r w:rsidRPr="009070BD">
        <w:rPr>
          <w:rFonts w:cs="Sylfaen"/>
          <w:b w:val="0"/>
          <w:lang w:val="af-ZA"/>
        </w:rPr>
        <w:t xml:space="preserve"> </w:t>
      </w:r>
      <w:r w:rsidRPr="009070BD">
        <w:rPr>
          <w:rFonts w:cs="Sylfaen"/>
          <w:b w:val="0"/>
          <w:bCs/>
          <w:iCs/>
          <w:lang w:val="ro-RO"/>
        </w:rPr>
        <w:t>450.4</w:t>
      </w:r>
      <w:r w:rsidRPr="009070BD">
        <w:rPr>
          <w:b w:val="0"/>
          <w:lang w:val="ro-RO"/>
        </w:rPr>
        <w:t xml:space="preserve"> </w:t>
      </w:r>
      <w:r w:rsidRPr="009070BD">
        <w:rPr>
          <w:rFonts w:cs="Sylfaen"/>
          <w:b w:val="0"/>
        </w:rPr>
        <w:t>մլն</w:t>
      </w:r>
      <w:r w:rsidRPr="009070BD">
        <w:rPr>
          <w:rFonts w:cs="Sylfaen"/>
          <w:b w:val="0"/>
          <w:lang w:val="ro-RO"/>
        </w:rPr>
        <w:t xml:space="preserve"> </w:t>
      </w:r>
      <w:r w:rsidRPr="009070BD">
        <w:rPr>
          <w:rFonts w:cs="Sylfaen"/>
          <w:b w:val="0"/>
        </w:rPr>
        <w:t>դրամ</w:t>
      </w:r>
      <w:r w:rsidRPr="009070BD">
        <w:rPr>
          <w:rFonts w:cs="Sylfaen"/>
          <w:b w:val="0"/>
          <w:lang w:val="en-US"/>
        </w:rPr>
        <w:t>ի</w:t>
      </w:r>
      <w:r w:rsidRPr="009070BD">
        <w:rPr>
          <w:rFonts w:cs="Sylfaen"/>
          <w:b w:val="0"/>
          <w:lang w:val="af-ZA"/>
        </w:rPr>
        <w:t xml:space="preserve"> </w:t>
      </w:r>
      <w:r w:rsidRPr="009070BD">
        <w:rPr>
          <w:rFonts w:cs="Sylfaen"/>
          <w:b w:val="0"/>
          <w:lang w:val="en-US"/>
        </w:rPr>
        <w:t>դիմաց</w:t>
      </w:r>
      <w:r w:rsidRPr="009070BD">
        <w:rPr>
          <w:rFonts w:cs="Sylfaen"/>
          <w:b w:val="0"/>
          <w:lang w:val="af-ZA"/>
        </w:rPr>
        <w:t xml:space="preserve"> </w:t>
      </w:r>
      <w:r w:rsidRPr="009070BD">
        <w:rPr>
          <w:rFonts w:cs="Sylfaen"/>
          <w:b w:val="0"/>
          <w:lang w:val="en-US"/>
        </w:rPr>
        <w:t>կամ</w:t>
      </w:r>
      <w:r w:rsidRPr="009070BD">
        <w:rPr>
          <w:rFonts w:cs="Sylfaen"/>
          <w:b w:val="0"/>
          <w:lang w:val="ro-RO"/>
        </w:rPr>
        <w:t xml:space="preserve"> 100.2 մլն դրամով ավել՝ </w:t>
      </w:r>
      <w:r w:rsidRPr="009070BD">
        <w:rPr>
          <w:rFonts w:eastAsia="Calibri" w:cs="Times LatArm"/>
          <w:b w:val="0"/>
          <w:szCs w:val="22"/>
          <w:lang w:val="hy-AM" w:eastAsia="en-US"/>
        </w:rPr>
        <w:t>պայմանավորված կորոնավիրուս</w:t>
      </w:r>
      <w:r w:rsidRPr="009070BD">
        <w:rPr>
          <w:rFonts w:eastAsia="Calibri" w:cs="Times LatArm"/>
          <w:b w:val="0"/>
          <w:szCs w:val="22"/>
          <w:lang w:val="ro-RO" w:eastAsia="en-US"/>
        </w:rPr>
        <w:t xml:space="preserve"> </w:t>
      </w:r>
      <w:r w:rsidRPr="009070BD">
        <w:rPr>
          <w:rFonts w:eastAsia="Calibri" w:cs="Times LatArm"/>
          <w:b w:val="0"/>
          <w:szCs w:val="22"/>
          <w:lang w:val="en-US" w:eastAsia="en-US"/>
        </w:rPr>
        <w:t>հիվանդության</w:t>
      </w:r>
      <w:r w:rsidRPr="009070BD">
        <w:rPr>
          <w:rFonts w:eastAsia="Calibri" w:cs="Times LatArm"/>
          <w:b w:val="0"/>
          <w:szCs w:val="22"/>
          <w:lang w:val="hy-AM" w:eastAsia="en-US"/>
        </w:rPr>
        <w:t xml:space="preserve"> հետևանքով գյուղատնտեսական վարկերի պայմանների փոփոխությամբ</w:t>
      </w:r>
      <w:r w:rsidRPr="009070BD">
        <w:rPr>
          <w:rFonts w:eastAsia="Calibri" w:cs="Times LatArm"/>
          <w:b w:val="0"/>
          <w:szCs w:val="22"/>
          <w:lang w:val="ro-RO" w:eastAsia="en-US"/>
        </w:rPr>
        <w:t xml:space="preserve"> (բարելավմամբ):</w:t>
      </w:r>
      <w:r w:rsidRPr="009070BD">
        <w:rPr>
          <w:rFonts w:cs="Sylfaen"/>
          <w:b w:val="0"/>
          <w:lang w:val="ro-RO"/>
        </w:rPr>
        <w:t xml:space="preserve"> </w:t>
      </w:r>
    </w:p>
    <w:p w:rsidR="00B36A46" w:rsidRPr="009070BD" w:rsidRDefault="00B36A46" w:rsidP="007730AA">
      <w:pPr>
        <w:tabs>
          <w:tab w:val="left" w:pos="993"/>
        </w:tabs>
        <w:spacing w:before="0" w:line="276" w:lineRule="auto"/>
        <w:ind w:firstLine="720"/>
        <w:rPr>
          <w:b w:val="0"/>
          <w:lang w:val="hy-AM"/>
        </w:rPr>
      </w:pPr>
      <w:r w:rsidRPr="009070BD">
        <w:rPr>
          <w:b w:val="0"/>
        </w:rPr>
        <w:t>Միջոցառման</w:t>
      </w:r>
      <w:r w:rsidRPr="009070BD">
        <w:rPr>
          <w:b w:val="0"/>
          <w:lang w:val="ro-RO"/>
        </w:rPr>
        <w:t xml:space="preserve"> </w:t>
      </w:r>
      <w:r w:rsidRPr="009070BD">
        <w:rPr>
          <w:b w:val="0"/>
          <w:lang w:val="hy-AM"/>
        </w:rPr>
        <w:t>հիմնական նպատակն ագրոպարենային ոլորտի տնտեսավարողներին մատչելի պայմաններով, մասնավորապես՝ ֆինանսական վարձակալության մեխանիզմների կիրառմամբ անասնաբուծության, բուսաբուծության, ջերմոցային, սառնարանային տնտեսություններում (այդ թվում՝ կաթի մթերման կայաններ, սպանդանոցային տնտեսություններ և այլն) օգտագործվող սարքավորումների մատակարարումն է։</w:t>
      </w:r>
    </w:p>
    <w:p w:rsidR="00B36A46" w:rsidRPr="009070BD" w:rsidRDefault="00B36A46" w:rsidP="007730AA">
      <w:pPr>
        <w:autoSpaceDE w:val="0"/>
        <w:autoSpaceDN w:val="0"/>
        <w:adjustRightInd w:val="0"/>
        <w:spacing w:before="0" w:line="276" w:lineRule="auto"/>
        <w:ind w:firstLine="720"/>
        <w:rPr>
          <w:rFonts w:cs="Sylfaen"/>
          <w:b w:val="0"/>
          <w:lang w:val="ro-RO"/>
        </w:rPr>
      </w:pPr>
      <w:r w:rsidRPr="009070BD">
        <w:rPr>
          <w:rFonts w:cs="Sylfaen"/>
          <w:lang w:val="af-ZA"/>
        </w:rPr>
        <w:t>9.4 «Ոռոգման արդիական համակարգերի ներդրման համար տրամադրվող վարկերի տոկոսադրույքների սուբսիդավորման ծրագիր</w:t>
      </w:r>
      <w:r w:rsidRPr="009070BD">
        <w:rPr>
          <w:rFonts w:cs="GHEAGrapalat-Bold"/>
          <w:bCs/>
          <w:lang w:val="af-ZA"/>
        </w:rPr>
        <w:t>»</w:t>
      </w:r>
      <w:r w:rsidRPr="009070BD">
        <w:rPr>
          <w:rFonts w:cs="Sylfaen"/>
          <w:b w:val="0"/>
          <w:lang w:val="af-ZA"/>
        </w:rPr>
        <w:t xml:space="preserve"> </w:t>
      </w:r>
      <w:r w:rsidRPr="009070BD">
        <w:rPr>
          <w:rFonts w:cs="Sylfaen"/>
          <w:b w:val="0"/>
          <w:lang w:val="hy-AM"/>
        </w:rPr>
        <w:t>միջոցառման</w:t>
      </w:r>
      <w:r w:rsidRPr="009070BD">
        <w:rPr>
          <w:rFonts w:cs="Sylfaen"/>
          <w:b w:val="0"/>
          <w:lang w:val="ro-RO"/>
        </w:rPr>
        <w:t xml:space="preserve"> </w:t>
      </w:r>
      <w:r w:rsidRPr="009070BD">
        <w:rPr>
          <w:rFonts w:cs="Sylfaen"/>
          <w:b w:val="0"/>
          <w:lang w:val="hy-AM"/>
        </w:rPr>
        <w:t>համար</w:t>
      </w:r>
      <w:r w:rsidRPr="009070BD">
        <w:rPr>
          <w:rFonts w:cs="Sylfaen"/>
          <w:b w:val="0"/>
          <w:lang w:val="ro-RO"/>
        </w:rPr>
        <w:t xml:space="preserve"> </w:t>
      </w:r>
      <w:r w:rsidRPr="009070BD">
        <w:rPr>
          <w:rFonts w:cs="Sylfaen"/>
          <w:b w:val="0"/>
          <w:lang w:val="hy-AM"/>
        </w:rPr>
        <w:t>Նախագծով</w:t>
      </w:r>
      <w:r w:rsidRPr="009070BD">
        <w:rPr>
          <w:rFonts w:cs="Sylfaen"/>
          <w:b w:val="0"/>
          <w:lang w:val="ro-RO"/>
        </w:rPr>
        <w:t xml:space="preserve"> </w:t>
      </w:r>
      <w:r w:rsidRPr="009070BD">
        <w:rPr>
          <w:b w:val="0"/>
          <w:lang w:val="hy-AM"/>
        </w:rPr>
        <w:t>նախատեսվում</w:t>
      </w:r>
      <w:r w:rsidRPr="009070BD">
        <w:rPr>
          <w:b w:val="0"/>
          <w:lang w:val="ro-RO"/>
        </w:rPr>
        <w:t xml:space="preserve"> </w:t>
      </w:r>
      <w:r w:rsidRPr="009070BD">
        <w:rPr>
          <w:b w:val="0"/>
          <w:lang w:val="hy-AM"/>
        </w:rPr>
        <w:t>է</w:t>
      </w:r>
      <w:r w:rsidRPr="009070BD">
        <w:rPr>
          <w:b w:val="0"/>
          <w:lang w:val="ro-RO"/>
        </w:rPr>
        <w:t xml:space="preserve"> </w:t>
      </w:r>
      <w:r w:rsidRPr="009070BD">
        <w:rPr>
          <w:b w:val="0"/>
          <w:lang w:val="hy-AM"/>
        </w:rPr>
        <w:t>հատկացնել</w:t>
      </w:r>
      <w:r w:rsidRPr="009070BD">
        <w:rPr>
          <w:b w:val="0"/>
          <w:lang w:val="ro-RO"/>
        </w:rPr>
        <w:t xml:space="preserve"> 95.8 </w:t>
      </w:r>
      <w:r w:rsidRPr="009070BD">
        <w:rPr>
          <w:rFonts w:cs="Sylfaen"/>
          <w:b w:val="0"/>
          <w:lang w:val="hy-AM"/>
        </w:rPr>
        <w:t>մլն</w:t>
      </w:r>
      <w:r w:rsidRPr="009070BD">
        <w:rPr>
          <w:rFonts w:cs="Sylfaen"/>
          <w:b w:val="0"/>
          <w:lang w:val="ro-RO"/>
        </w:rPr>
        <w:t xml:space="preserve"> </w:t>
      </w:r>
      <w:r w:rsidRPr="009070BD">
        <w:rPr>
          <w:rFonts w:cs="Sylfaen"/>
          <w:b w:val="0"/>
          <w:lang w:val="hy-AM"/>
        </w:rPr>
        <w:t>դրամ՝</w:t>
      </w:r>
      <w:r w:rsidRPr="009070BD">
        <w:rPr>
          <w:rFonts w:cs="Sylfaen"/>
          <w:b w:val="0"/>
          <w:lang w:val="ro-RO"/>
        </w:rPr>
        <w:t xml:space="preserve"> </w:t>
      </w:r>
      <w:r w:rsidRPr="009070BD">
        <w:rPr>
          <w:rFonts w:cs="Sylfaen"/>
          <w:b w:val="0"/>
          <w:lang w:val="hy-AM"/>
        </w:rPr>
        <w:t>ՀՀ</w:t>
      </w:r>
      <w:r w:rsidRPr="009070BD">
        <w:rPr>
          <w:rFonts w:cs="Sylfaen"/>
          <w:b w:val="0"/>
          <w:lang w:val="ro-RO"/>
        </w:rPr>
        <w:t xml:space="preserve"> 2020</w:t>
      </w:r>
      <w:r w:rsidRPr="009070BD">
        <w:rPr>
          <w:b w:val="0"/>
          <w:lang w:val="ro-RO"/>
        </w:rPr>
        <w:t xml:space="preserve"> </w:t>
      </w:r>
      <w:r w:rsidRPr="009070BD">
        <w:rPr>
          <w:b w:val="0"/>
          <w:lang w:val="hy-AM"/>
        </w:rPr>
        <w:t>թվականի</w:t>
      </w:r>
      <w:r w:rsidRPr="009070BD">
        <w:rPr>
          <w:rFonts w:cs="Sylfaen"/>
          <w:b w:val="0"/>
          <w:lang w:val="ro-RO"/>
        </w:rPr>
        <w:t xml:space="preserve"> </w:t>
      </w:r>
      <w:r w:rsidRPr="009070BD">
        <w:rPr>
          <w:rFonts w:cs="Sylfaen"/>
          <w:b w:val="0"/>
          <w:lang w:val="hy-AM"/>
        </w:rPr>
        <w:t>պետական</w:t>
      </w:r>
      <w:r w:rsidRPr="009070BD">
        <w:rPr>
          <w:rFonts w:cs="Sylfaen"/>
          <w:b w:val="0"/>
          <w:lang w:val="ro-RO"/>
        </w:rPr>
        <w:t xml:space="preserve"> </w:t>
      </w:r>
      <w:r w:rsidRPr="009070BD">
        <w:rPr>
          <w:rFonts w:cs="Sylfaen"/>
          <w:b w:val="0"/>
          <w:lang w:val="hy-AM"/>
        </w:rPr>
        <w:t>բյուջեով</w:t>
      </w:r>
      <w:r w:rsidRPr="009070BD">
        <w:rPr>
          <w:rFonts w:cs="Sylfaen"/>
          <w:b w:val="0"/>
          <w:lang w:val="ro-RO"/>
        </w:rPr>
        <w:t xml:space="preserve"> </w:t>
      </w:r>
      <w:r w:rsidRPr="009070BD">
        <w:rPr>
          <w:rFonts w:cs="Sylfaen"/>
          <w:b w:val="0"/>
          <w:lang w:val="hy-AM"/>
        </w:rPr>
        <w:t>հաստատ</w:t>
      </w:r>
      <w:r w:rsidRPr="009070BD">
        <w:rPr>
          <w:rFonts w:cs="Sylfaen"/>
          <w:b w:val="0"/>
          <w:lang w:val="ro-RO"/>
        </w:rPr>
        <w:softHyphen/>
      </w:r>
      <w:r w:rsidRPr="009070BD">
        <w:rPr>
          <w:rFonts w:cs="Sylfaen"/>
          <w:b w:val="0"/>
          <w:lang w:val="hy-AM"/>
        </w:rPr>
        <w:t>ված</w:t>
      </w:r>
      <w:r w:rsidRPr="009070BD">
        <w:rPr>
          <w:rFonts w:cs="Sylfaen"/>
          <w:b w:val="0"/>
          <w:lang w:val="af-ZA"/>
        </w:rPr>
        <w:t xml:space="preserve"> </w:t>
      </w:r>
      <w:r w:rsidRPr="009070BD">
        <w:rPr>
          <w:b w:val="0"/>
          <w:lang w:val="ro-RO"/>
        </w:rPr>
        <w:t xml:space="preserve">412.5 </w:t>
      </w:r>
      <w:r w:rsidRPr="009070BD">
        <w:rPr>
          <w:rFonts w:cs="Sylfaen"/>
          <w:b w:val="0"/>
          <w:lang w:val="hy-AM"/>
        </w:rPr>
        <w:t>մլն</w:t>
      </w:r>
      <w:r w:rsidRPr="009070BD">
        <w:rPr>
          <w:rFonts w:cs="Sylfaen"/>
          <w:b w:val="0"/>
          <w:lang w:val="ro-RO"/>
        </w:rPr>
        <w:t xml:space="preserve"> </w:t>
      </w:r>
      <w:r w:rsidRPr="009070BD">
        <w:rPr>
          <w:rFonts w:cs="Sylfaen"/>
          <w:b w:val="0"/>
          <w:lang w:val="hy-AM"/>
        </w:rPr>
        <w:t>դրամի</w:t>
      </w:r>
      <w:r w:rsidRPr="009070BD">
        <w:rPr>
          <w:rFonts w:cs="Sylfaen"/>
          <w:b w:val="0"/>
          <w:lang w:val="af-ZA"/>
        </w:rPr>
        <w:t xml:space="preserve"> </w:t>
      </w:r>
      <w:r w:rsidRPr="009070BD">
        <w:rPr>
          <w:rFonts w:cs="Sylfaen"/>
          <w:b w:val="0"/>
          <w:lang w:val="hy-AM"/>
        </w:rPr>
        <w:t>դիմաց</w:t>
      </w:r>
      <w:r w:rsidRPr="009070BD">
        <w:rPr>
          <w:rFonts w:cs="Sylfaen"/>
          <w:b w:val="0"/>
          <w:lang w:val="af-ZA"/>
        </w:rPr>
        <w:t xml:space="preserve"> </w:t>
      </w:r>
      <w:r w:rsidRPr="009070BD">
        <w:rPr>
          <w:rFonts w:cs="Sylfaen"/>
          <w:b w:val="0"/>
          <w:lang w:val="hy-AM"/>
        </w:rPr>
        <w:t>կամ</w:t>
      </w:r>
      <w:r w:rsidRPr="009070BD">
        <w:rPr>
          <w:rFonts w:cs="Sylfaen"/>
          <w:b w:val="0"/>
          <w:lang w:val="ro-RO"/>
        </w:rPr>
        <w:t xml:space="preserve"> 316.7 մլն դրամով պակաս, </w:t>
      </w:r>
      <w:r w:rsidRPr="009070BD">
        <w:rPr>
          <w:rFonts w:cs="Sylfaen"/>
          <w:b w:val="0"/>
          <w:lang w:val="af-ZA"/>
        </w:rPr>
        <w:t>որը պայմանավորված է փաստացի արդյունքների գնահատմամբ</w:t>
      </w:r>
      <w:r w:rsidRPr="009070BD">
        <w:rPr>
          <w:rFonts w:eastAsia="Calibri" w:cs="Times LatArm"/>
          <w:b w:val="0"/>
          <w:szCs w:val="22"/>
          <w:lang w:val="ro-RO" w:eastAsia="en-US"/>
        </w:rPr>
        <w:t>:</w:t>
      </w:r>
      <w:r w:rsidRPr="009070BD">
        <w:rPr>
          <w:rFonts w:cs="Sylfaen"/>
          <w:b w:val="0"/>
          <w:lang w:val="ro-RO"/>
        </w:rPr>
        <w:t xml:space="preserve"> </w:t>
      </w:r>
    </w:p>
    <w:p w:rsidR="00B36A46" w:rsidRPr="009070BD" w:rsidRDefault="00B36A46" w:rsidP="007730AA">
      <w:pPr>
        <w:spacing w:before="0" w:line="276" w:lineRule="auto"/>
        <w:ind w:firstLine="720"/>
        <w:rPr>
          <w:b w:val="0"/>
          <w:lang w:val="ro-RO"/>
        </w:rPr>
      </w:pPr>
      <w:r w:rsidRPr="009070BD">
        <w:rPr>
          <w:b w:val="0"/>
        </w:rPr>
        <w:t>Միջոցառման</w:t>
      </w:r>
      <w:r w:rsidRPr="009070BD">
        <w:rPr>
          <w:b w:val="0"/>
          <w:lang w:val="ro-RO"/>
        </w:rPr>
        <w:t xml:space="preserve"> </w:t>
      </w:r>
      <w:r w:rsidRPr="009070BD">
        <w:rPr>
          <w:b w:val="0"/>
        </w:rPr>
        <w:t>նպատակը</w:t>
      </w:r>
      <w:r w:rsidRPr="009070BD">
        <w:rPr>
          <w:b w:val="0"/>
          <w:lang w:val="ro-RO"/>
        </w:rPr>
        <w:t xml:space="preserve"> </w:t>
      </w:r>
      <w:r w:rsidRPr="009070BD">
        <w:rPr>
          <w:b w:val="0"/>
        </w:rPr>
        <w:t>ոռոգման</w:t>
      </w:r>
      <w:r w:rsidRPr="009070BD">
        <w:rPr>
          <w:b w:val="0"/>
          <w:lang w:val="ro-RO"/>
        </w:rPr>
        <w:t xml:space="preserve"> </w:t>
      </w:r>
      <w:r w:rsidRPr="009070BD">
        <w:rPr>
          <w:b w:val="0"/>
        </w:rPr>
        <w:t>արդիական</w:t>
      </w:r>
      <w:r w:rsidRPr="009070BD">
        <w:rPr>
          <w:b w:val="0"/>
          <w:lang w:val="ro-RO"/>
        </w:rPr>
        <w:t xml:space="preserve"> </w:t>
      </w:r>
      <w:r w:rsidRPr="009070BD">
        <w:rPr>
          <w:b w:val="0"/>
        </w:rPr>
        <w:t>համակարգերի</w:t>
      </w:r>
      <w:r w:rsidRPr="009070BD">
        <w:rPr>
          <w:b w:val="0"/>
          <w:lang w:val="ro-RO"/>
        </w:rPr>
        <w:t xml:space="preserve"> </w:t>
      </w:r>
      <w:r w:rsidRPr="009070BD">
        <w:rPr>
          <w:b w:val="0"/>
        </w:rPr>
        <w:t>ներդրման</w:t>
      </w:r>
      <w:r w:rsidRPr="009070BD">
        <w:rPr>
          <w:b w:val="0"/>
          <w:lang w:val="ro-RO"/>
        </w:rPr>
        <w:t xml:space="preserve"> </w:t>
      </w:r>
      <w:r w:rsidRPr="009070BD">
        <w:rPr>
          <w:b w:val="0"/>
        </w:rPr>
        <w:t>համար</w:t>
      </w:r>
      <w:r w:rsidRPr="009070BD">
        <w:rPr>
          <w:b w:val="0"/>
          <w:lang w:val="ro-RO"/>
        </w:rPr>
        <w:t xml:space="preserve"> </w:t>
      </w:r>
      <w:r w:rsidRPr="009070BD">
        <w:rPr>
          <w:b w:val="0"/>
        </w:rPr>
        <w:t>գյուղատնտեսությունում</w:t>
      </w:r>
      <w:r w:rsidRPr="009070BD">
        <w:rPr>
          <w:b w:val="0"/>
          <w:lang w:val="ro-RO"/>
        </w:rPr>
        <w:t xml:space="preserve"> </w:t>
      </w:r>
      <w:r w:rsidRPr="009070BD">
        <w:rPr>
          <w:b w:val="0"/>
        </w:rPr>
        <w:t>տնտեսավարողներին</w:t>
      </w:r>
      <w:r w:rsidRPr="009070BD">
        <w:rPr>
          <w:b w:val="0"/>
          <w:lang w:val="ro-RO"/>
        </w:rPr>
        <w:t xml:space="preserve"> </w:t>
      </w:r>
      <w:r w:rsidRPr="009070BD">
        <w:rPr>
          <w:b w:val="0"/>
        </w:rPr>
        <w:t>տրամադրվող</w:t>
      </w:r>
      <w:r w:rsidRPr="009070BD">
        <w:rPr>
          <w:b w:val="0"/>
          <w:lang w:val="ro-RO"/>
        </w:rPr>
        <w:t xml:space="preserve"> </w:t>
      </w:r>
      <w:r w:rsidRPr="009070BD">
        <w:rPr>
          <w:b w:val="0"/>
        </w:rPr>
        <w:t>վարկերի</w:t>
      </w:r>
      <w:r w:rsidRPr="009070BD">
        <w:rPr>
          <w:b w:val="0"/>
          <w:lang w:val="ro-RO"/>
        </w:rPr>
        <w:t xml:space="preserve"> </w:t>
      </w:r>
      <w:r w:rsidRPr="009070BD">
        <w:rPr>
          <w:b w:val="0"/>
        </w:rPr>
        <w:t>տոկոսադրույքների</w:t>
      </w:r>
      <w:r w:rsidRPr="009070BD">
        <w:rPr>
          <w:b w:val="0"/>
          <w:lang w:val="ro-RO"/>
        </w:rPr>
        <w:t xml:space="preserve"> </w:t>
      </w:r>
      <w:r w:rsidRPr="009070BD">
        <w:rPr>
          <w:b w:val="0"/>
        </w:rPr>
        <w:t>սուբսիդավորումն</w:t>
      </w:r>
      <w:r w:rsidRPr="009070BD">
        <w:rPr>
          <w:b w:val="0"/>
          <w:lang w:val="ro-RO"/>
        </w:rPr>
        <w:t xml:space="preserve"> </w:t>
      </w:r>
      <w:r w:rsidRPr="009070BD">
        <w:rPr>
          <w:b w:val="0"/>
        </w:rPr>
        <w:t>է</w:t>
      </w:r>
      <w:r w:rsidRPr="009070BD">
        <w:rPr>
          <w:b w:val="0"/>
          <w:lang w:val="ro-RO"/>
        </w:rPr>
        <w:t xml:space="preserve">` </w:t>
      </w:r>
      <w:r w:rsidRPr="009070BD">
        <w:rPr>
          <w:b w:val="0"/>
        </w:rPr>
        <w:t>արդյունքում</w:t>
      </w:r>
      <w:r w:rsidRPr="009070BD">
        <w:rPr>
          <w:b w:val="0"/>
          <w:lang w:val="ro-RO"/>
        </w:rPr>
        <w:t xml:space="preserve"> </w:t>
      </w:r>
      <w:r w:rsidRPr="009070BD">
        <w:rPr>
          <w:b w:val="0"/>
        </w:rPr>
        <w:t>գյուղատնտեսական</w:t>
      </w:r>
      <w:r w:rsidRPr="009070BD">
        <w:rPr>
          <w:b w:val="0"/>
          <w:lang w:val="ro-RO"/>
        </w:rPr>
        <w:t xml:space="preserve"> </w:t>
      </w:r>
      <w:r w:rsidRPr="009070BD">
        <w:rPr>
          <w:b w:val="0"/>
        </w:rPr>
        <w:t>հողատարածքներում</w:t>
      </w:r>
      <w:r w:rsidRPr="009070BD">
        <w:rPr>
          <w:b w:val="0"/>
          <w:lang w:val="ro-RO"/>
        </w:rPr>
        <w:t xml:space="preserve"> </w:t>
      </w:r>
      <w:r w:rsidRPr="009070BD">
        <w:rPr>
          <w:b w:val="0"/>
        </w:rPr>
        <w:t>ոռոգման</w:t>
      </w:r>
      <w:r w:rsidRPr="009070BD">
        <w:rPr>
          <w:b w:val="0"/>
          <w:lang w:val="ro-RO"/>
        </w:rPr>
        <w:t xml:space="preserve"> </w:t>
      </w:r>
      <w:r w:rsidRPr="009070BD">
        <w:rPr>
          <w:b w:val="0"/>
        </w:rPr>
        <w:t>արդյունավետ</w:t>
      </w:r>
      <w:r w:rsidRPr="009070BD">
        <w:rPr>
          <w:b w:val="0"/>
          <w:lang w:val="ro-RO"/>
        </w:rPr>
        <w:t xml:space="preserve"> </w:t>
      </w:r>
      <w:r w:rsidRPr="009070BD">
        <w:rPr>
          <w:b w:val="0"/>
        </w:rPr>
        <w:t>եղանակների</w:t>
      </w:r>
      <w:r w:rsidRPr="009070BD">
        <w:rPr>
          <w:b w:val="0"/>
          <w:lang w:val="ro-RO"/>
        </w:rPr>
        <w:t xml:space="preserve"> </w:t>
      </w:r>
      <w:r w:rsidRPr="009070BD">
        <w:rPr>
          <w:b w:val="0"/>
        </w:rPr>
        <w:t>ներդրման</w:t>
      </w:r>
      <w:r w:rsidRPr="009070BD">
        <w:rPr>
          <w:b w:val="0"/>
          <w:lang w:val="ro-RO"/>
        </w:rPr>
        <w:t xml:space="preserve"> </w:t>
      </w:r>
      <w:r w:rsidRPr="009070BD">
        <w:rPr>
          <w:b w:val="0"/>
        </w:rPr>
        <w:t>խթանումը</w:t>
      </w:r>
      <w:r w:rsidRPr="009070BD">
        <w:rPr>
          <w:b w:val="0"/>
          <w:lang w:val="ro-RO"/>
        </w:rPr>
        <w:t xml:space="preserve">, </w:t>
      </w:r>
      <w:r w:rsidRPr="009070BD">
        <w:rPr>
          <w:b w:val="0"/>
        </w:rPr>
        <w:t>ջրային</w:t>
      </w:r>
      <w:r w:rsidRPr="009070BD">
        <w:rPr>
          <w:b w:val="0"/>
          <w:lang w:val="ro-RO"/>
        </w:rPr>
        <w:t xml:space="preserve"> </w:t>
      </w:r>
      <w:r w:rsidRPr="009070BD">
        <w:rPr>
          <w:b w:val="0"/>
        </w:rPr>
        <w:t>ռեսուրսների</w:t>
      </w:r>
      <w:r w:rsidRPr="009070BD">
        <w:rPr>
          <w:b w:val="0"/>
          <w:lang w:val="ro-RO"/>
        </w:rPr>
        <w:t xml:space="preserve"> </w:t>
      </w:r>
      <w:r w:rsidRPr="009070BD">
        <w:rPr>
          <w:b w:val="0"/>
        </w:rPr>
        <w:t>խնայողաբար</w:t>
      </w:r>
      <w:r w:rsidRPr="009070BD">
        <w:rPr>
          <w:b w:val="0"/>
          <w:lang w:val="ro-RO"/>
        </w:rPr>
        <w:t xml:space="preserve"> </w:t>
      </w:r>
      <w:r w:rsidRPr="009070BD">
        <w:rPr>
          <w:b w:val="0"/>
        </w:rPr>
        <w:t>և</w:t>
      </w:r>
      <w:r w:rsidRPr="009070BD">
        <w:rPr>
          <w:b w:val="0"/>
          <w:lang w:val="ro-RO"/>
        </w:rPr>
        <w:t xml:space="preserve"> </w:t>
      </w:r>
      <w:r w:rsidRPr="009070BD">
        <w:rPr>
          <w:b w:val="0"/>
        </w:rPr>
        <w:t>արդյունավետ</w:t>
      </w:r>
      <w:r w:rsidRPr="009070BD">
        <w:rPr>
          <w:b w:val="0"/>
          <w:lang w:val="ro-RO"/>
        </w:rPr>
        <w:t xml:space="preserve"> </w:t>
      </w:r>
      <w:r w:rsidRPr="009070BD">
        <w:rPr>
          <w:b w:val="0"/>
        </w:rPr>
        <w:t>օգտագործումը</w:t>
      </w:r>
      <w:r w:rsidRPr="009070BD">
        <w:rPr>
          <w:b w:val="0"/>
          <w:lang w:val="ro-RO"/>
        </w:rPr>
        <w:t xml:space="preserve">, </w:t>
      </w:r>
      <w:r w:rsidRPr="009070BD">
        <w:rPr>
          <w:b w:val="0"/>
        </w:rPr>
        <w:t>հողօգտագործողների</w:t>
      </w:r>
      <w:r w:rsidRPr="009070BD">
        <w:rPr>
          <w:b w:val="0"/>
          <w:lang w:val="ro-RO"/>
        </w:rPr>
        <w:t xml:space="preserve"> </w:t>
      </w:r>
      <w:r w:rsidRPr="009070BD">
        <w:rPr>
          <w:b w:val="0"/>
        </w:rPr>
        <w:t>եկամուտների</w:t>
      </w:r>
      <w:r w:rsidRPr="009070BD">
        <w:rPr>
          <w:b w:val="0"/>
          <w:lang w:val="ro-RO"/>
        </w:rPr>
        <w:t xml:space="preserve"> </w:t>
      </w:r>
      <w:r w:rsidRPr="009070BD">
        <w:rPr>
          <w:b w:val="0"/>
        </w:rPr>
        <w:t>աճի</w:t>
      </w:r>
      <w:r w:rsidRPr="009070BD">
        <w:rPr>
          <w:b w:val="0"/>
          <w:lang w:val="ro-RO"/>
        </w:rPr>
        <w:t xml:space="preserve"> </w:t>
      </w:r>
      <w:r w:rsidRPr="009070BD">
        <w:rPr>
          <w:b w:val="0"/>
        </w:rPr>
        <w:t>ապահովումը</w:t>
      </w:r>
      <w:r w:rsidRPr="009070BD">
        <w:rPr>
          <w:b w:val="0"/>
          <w:lang w:val="ro-RO"/>
        </w:rPr>
        <w:t xml:space="preserve">: </w:t>
      </w:r>
    </w:p>
    <w:p w:rsidR="00B36A46" w:rsidRPr="009070BD" w:rsidRDefault="00B36A46" w:rsidP="007730AA">
      <w:pPr>
        <w:autoSpaceDE w:val="0"/>
        <w:autoSpaceDN w:val="0"/>
        <w:adjustRightInd w:val="0"/>
        <w:spacing w:before="0" w:line="276" w:lineRule="auto"/>
        <w:ind w:firstLine="720"/>
        <w:rPr>
          <w:rFonts w:cs="Sylfaen"/>
          <w:b w:val="0"/>
          <w:lang w:val="ro-RO"/>
        </w:rPr>
      </w:pPr>
      <w:r w:rsidRPr="009070BD">
        <w:rPr>
          <w:lang w:val="af-ZA"/>
        </w:rPr>
        <w:t xml:space="preserve">9.5 </w:t>
      </w:r>
      <w:r w:rsidRPr="009070BD">
        <w:rPr>
          <w:rFonts w:cs="Sylfaen"/>
          <w:lang w:val="af-ZA"/>
        </w:rPr>
        <w:t>«Հայաստանի Հանրապետության գյուղատնտեսությունում կարկտապաշտպան ցանցերի ներդրման համար տրամադրվող վարկերի տոկոսադրույքների սուբսիդավորում</w:t>
      </w:r>
      <w:r w:rsidRPr="009070BD">
        <w:rPr>
          <w:rFonts w:cs="GHEAGrapalat-Bold"/>
          <w:bCs/>
          <w:lang w:val="af-ZA"/>
        </w:rPr>
        <w:t>»</w:t>
      </w:r>
      <w:r w:rsidRPr="009070BD">
        <w:rPr>
          <w:rFonts w:cs="Sylfaen"/>
          <w:b w:val="0"/>
          <w:lang w:val="af-ZA"/>
        </w:rPr>
        <w:t xml:space="preserve"> </w:t>
      </w:r>
      <w:r w:rsidRPr="009070BD">
        <w:rPr>
          <w:rFonts w:cs="Sylfaen"/>
          <w:b w:val="0"/>
        </w:rPr>
        <w:t>միջոցառման</w:t>
      </w:r>
      <w:r w:rsidRPr="009070BD">
        <w:rPr>
          <w:rFonts w:cs="Sylfaen"/>
          <w:b w:val="0"/>
          <w:lang w:val="ro-RO"/>
        </w:rPr>
        <w:t xml:space="preserve"> </w:t>
      </w:r>
      <w:r w:rsidRPr="009070BD">
        <w:rPr>
          <w:rFonts w:cs="Sylfaen"/>
          <w:b w:val="0"/>
        </w:rPr>
        <w:t>համար</w:t>
      </w:r>
      <w:r w:rsidRPr="009070BD">
        <w:rPr>
          <w:rFonts w:cs="Sylfaen"/>
          <w:b w:val="0"/>
          <w:lang w:val="ro-RO"/>
        </w:rPr>
        <w:t xml:space="preserve"> </w:t>
      </w:r>
      <w:r w:rsidRPr="009070BD">
        <w:rPr>
          <w:rFonts w:cs="Sylfaen"/>
          <w:b w:val="0"/>
        </w:rPr>
        <w:t>Նախագծով</w:t>
      </w:r>
      <w:r w:rsidRPr="009070BD">
        <w:rPr>
          <w:rFonts w:cs="Sylfaen"/>
          <w:b w:val="0"/>
          <w:lang w:val="ro-RO"/>
        </w:rPr>
        <w:t xml:space="preserve"> </w:t>
      </w:r>
      <w:r w:rsidRPr="009070BD">
        <w:rPr>
          <w:b w:val="0"/>
        </w:rPr>
        <w:t>նախատեսվում</w:t>
      </w:r>
      <w:r w:rsidRPr="009070BD">
        <w:rPr>
          <w:b w:val="0"/>
          <w:lang w:val="ro-RO"/>
        </w:rPr>
        <w:t xml:space="preserve"> </w:t>
      </w:r>
      <w:r w:rsidRPr="009070BD">
        <w:rPr>
          <w:b w:val="0"/>
        </w:rPr>
        <w:t>է</w:t>
      </w:r>
      <w:r w:rsidRPr="009070BD">
        <w:rPr>
          <w:b w:val="0"/>
          <w:lang w:val="ro-RO"/>
        </w:rPr>
        <w:t xml:space="preserve"> </w:t>
      </w:r>
      <w:r w:rsidRPr="009070BD">
        <w:rPr>
          <w:b w:val="0"/>
        </w:rPr>
        <w:t>հատկացնել</w:t>
      </w:r>
      <w:r w:rsidRPr="009070BD">
        <w:rPr>
          <w:b w:val="0"/>
          <w:lang w:val="ro-RO"/>
        </w:rPr>
        <w:t xml:space="preserve"> 65.5 </w:t>
      </w:r>
      <w:r w:rsidRPr="009070BD">
        <w:rPr>
          <w:rFonts w:cs="Sylfaen"/>
          <w:b w:val="0"/>
        </w:rPr>
        <w:t>մլն</w:t>
      </w:r>
      <w:r w:rsidRPr="009070BD">
        <w:rPr>
          <w:rFonts w:cs="Sylfaen"/>
          <w:b w:val="0"/>
          <w:lang w:val="ro-RO"/>
        </w:rPr>
        <w:t xml:space="preserve"> </w:t>
      </w:r>
      <w:r w:rsidRPr="009070BD">
        <w:rPr>
          <w:rFonts w:cs="Sylfaen"/>
          <w:b w:val="0"/>
        </w:rPr>
        <w:t>դրամ</w:t>
      </w:r>
      <w:r w:rsidRPr="009070BD">
        <w:rPr>
          <w:b w:val="0"/>
        </w:rPr>
        <w:t>՝</w:t>
      </w:r>
      <w:r w:rsidRPr="009070BD">
        <w:rPr>
          <w:rFonts w:cs="Sylfaen"/>
          <w:b w:val="0"/>
          <w:lang w:val="af-ZA"/>
        </w:rPr>
        <w:t xml:space="preserve"> </w:t>
      </w:r>
      <w:r w:rsidRPr="009070BD">
        <w:rPr>
          <w:rFonts w:cs="Sylfaen"/>
          <w:b w:val="0"/>
          <w:lang w:val="hy-AM"/>
        </w:rPr>
        <w:t>ՀՀ</w:t>
      </w:r>
      <w:r w:rsidRPr="009070BD">
        <w:rPr>
          <w:rFonts w:cs="Sylfaen"/>
          <w:b w:val="0"/>
          <w:lang w:val="ro-RO"/>
        </w:rPr>
        <w:t xml:space="preserve"> 2020</w:t>
      </w:r>
      <w:r w:rsidRPr="009070BD">
        <w:rPr>
          <w:b w:val="0"/>
          <w:lang w:val="ro-RO"/>
        </w:rPr>
        <w:t xml:space="preserve"> </w:t>
      </w:r>
      <w:r w:rsidRPr="009070BD">
        <w:rPr>
          <w:b w:val="0"/>
          <w:lang w:val="hy-AM"/>
        </w:rPr>
        <w:t>թվականի</w:t>
      </w:r>
      <w:r w:rsidRPr="009070BD">
        <w:rPr>
          <w:rFonts w:cs="Sylfaen"/>
          <w:b w:val="0"/>
          <w:lang w:val="ro-RO"/>
        </w:rPr>
        <w:t xml:space="preserve"> </w:t>
      </w:r>
      <w:r w:rsidRPr="009070BD">
        <w:rPr>
          <w:rFonts w:cs="Sylfaen"/>
          <w:b w:val="0"/>
          <w:lang w:val="hy-AM"/>
        </w:rPr>
        <w:t>պետական</w:t>
      </w:r>
      <w:r w:rsidRPr="009070BD">
        <w:rPr>
          <w:rFonts w:cs="Sylfaen"/>
          <w:b w:val="0"/>
          <w:lang w:val="ro-RO"/>
        </w:rPr>
        <w:t xml:space="preserve"> </w:t>
      </w:r>
      <w:r w:rsidRPr="009070BD">
        <w:rPr>
          <w:rFonts w:cs="Sylfaen"/>
          <w:b w:val="0"/>
          <w:lang w:val="hy-AM"/>
        </w:rPr>
        <w:t>բյուջեով</w:t>
      </w:r>
      <w:r w:rsidRPr="009070BD">
        <w:rPr>
          <w:rFonts w:cs="Sylfaen"/>
          <w:b w:val="0"/>
          <w:lang w:val="ro-RO"/>
        </w:rPr>
        <w:t xml:space="preserve"> </w:t>
      </w:r>
      <w:r w:rsidRPr="009070BD">
        <w:rPr>
          <w:rFonts w:cs="Sylfaen"/>
          <w:b w:val="0"/>
          <w:lang w:val="hy-AM"/>
        </w:rPr>
        <w:t>հաստատ</w:t>
      </w:r>
      <w:r w:rsidRPr="009070BD">
        <w:rPr>
          <w:rFonts w:cs="Sylfaen"/>
          <w:b w:val="0"/>
          <w:lang w:val="ro-RO"/>
        </w:rPr>
        <w:softHyphen/>
      </w:r>
      <w:r w:rsidRPr="009070BD">
        <w:rPr>
          <w:rFonts w:cs="Sylfaen"/>
          <w:b w:val="0"/>
          <w:lang w:val="hy-AM"/>
        </w:rPr>
        <w:t>ված</w:t>
      </w:r>
      <w:r w:rsidRPr="009070BD">
        <w:rPr>
          <w:rFonts w:cs="Sylfaen"/>
          <w:b w:val="0"/>
          <w:lang w:val="af-ZA"/>
        </w:rPr>
        <w:t xml:space="preserve"> </w:t>
      </w:r>
      <w:r w:rsidRPr="009070BD">
        <w:rPr>
          <w:b w:val="0"/>
          <w:lang w:val="ro-RO"/>
        </w:rPr>
        <w:t xml:space="preserve">229.8 </w:t>
      </w:r>
      <w:r w:rsidRPr="009070BD">
        <w:rPr>
          <w:rFonts w:cs="Sylfaen"/>
          <w:b w:val="0"/>
          <w:lang w:val="hy-AM"/>
        </w:rPr>
        <w:t>մլն</w:t>
      </w:r>
      <w:r w:rsidRPr="009070BD">
        <w:rPr>
          <w:rFonts w:cs="Sylfaen"/>
          <w:b w:val="0"/>
          <w:lang w:val="ro-RO"/>
        </w:rPr>
        <w:t xml:space="preserve"> </w:t>
      </w:r>
      <w:r w:rsidRPr="009070BD">
        <w:rPr>
          <w:rFonts w:cs="Sylfaen"/>
          <w:b w:val="0"/>
          <w:lang w:val="hy-AM"/>
        </w:rPr>
        <w:t>դրամի</w:t>
      </w:r>
      <w:r w:rsidRPr="009070BD">
        <w:rPr>
          <w:rFonts w:cs="Sylfaen"/>
          <w:b w:val="0"/>
          <w:lang w:val="af-ZA"/>
        </w:rPr>
        <w:t xml:space="preserve"> </w:t>
      </w:r>
      <w:r w:rsidRPr="009070BD">
        <w:rPr>
          <w:rFonts w:cs="Sylfaen"/>
          <w:b w:val="0"/>
          <w:lang w:val="hy-AM"/>
        </w:rPr>
        <w:t>դիմաց</w:t>
      </w:r>
      <w:r w:rsidRPr="009070BD">
        <w:rPr>
          <w:rFonts w:cs="Sylfaen"/>
          <w:b w:val="0"/>
          <w:lang w:val="af-ZA"/>
        </w:rPr>
        <w:t xml:space="preserve"> </w:t>
      </w:r>
      <w:r w:rsidRPr="009070BD">
        <w:rPr>
          <w:rFonts w:cs="Sylfaen"/>
          <w:b w:val="0"/>
          <w:lang w:val="hy-AM"/>
        </w:rPr>
        <w:t>կամ</w:t>
      </w:r>
      <w:r w:rsidRPr="009070BD">
        <w:rPr>
          <w:rFonts w:cs="Sylfaen"/>
          <w:b w:val="0"/>
          <w:lang w:val="ro-RO"/>
        </w:rPr>
        <w:t xml:space="preserve"> 164.3 մլն դրամով պակաս, </w:t>
      </w:r>
      <w:r w:rsidRPr="009070BD">
        <w:rPr>
          <w:rFonts w:cs="Sylfaen"/>
          <w:b w:val="0"/>
          <w:lang w:val="af-ZA"/>
        </w:rPr>
        <w:t>որը պայմանավորված է փաստացի արդյունքների գնահատմամբ</w:t>
      </w:r>
      <w:r w:rsidRPr="009070BD">
        <w:rPr>
          <w:rFonts w:eastAsia="Calibri" w:cs="Times LatArm"/>
          <w:b w:val="0"/>
          <w:szCs w:val="22"/>
          <w:lang w:val="ro-RO" w:eastAsia="en-US"/>
        </w:rPr>
        <w:t>:</w:t>
      </w:r>
      <w:r w:rsidRPr="009070BD">
        <w:rPr>
          <w:rFonts w:cs="Sylfaen"/>
          <w:b w:val="0"/>
          <w:lang w:val="ro-RO"/>
        </w:rPr>
        <w:t xml:space="preserve"> </w:t>
      </w:r>
    </w:p>
    <w:p w:rsidR="00B36A46" w:rsidRPr="009070BD" w:rsidRDefault="00B36A46" w:rsidP="007730AA">
      <w:pPr>
        <w:tabs>
          <w:tab w:val="left" w:pos="1092"/>
        </w:tabs>
        <w:spacing w:before="0" w:line="276" w:lineRule="auto"/>
        <w:ind w:firstLine="720"/>
        <w:rPr>
          <w:b w:val="0"/>
          <w:szCs w:val="22"/>
          <w:lang w:val="af-ZA"/>
        </w:rPr>
      </w:pPr>
      <w:r w:rsidRPr="009070BD">
        <w:rPr>
          <w:b w:val="0"/>
          <w:szCs w:val="22"/>
          <w:lang w:val="en-US"/>
        </w:rPr>
        <w:t>Միջոցառման</w:t>
      </w:r>
      <w:r w:rsidRPr="009070BD">
        <w:rPr>
          <w:b w:val="0"/>
          <w:szCs w:val="22"/>
          <w:lang w:val="af-ZA"/>
        </w:rPr>
        <w:t xml:space="preserve"> </w:t>
      </w:r>
      <w:r w:rsidRPr="009070BD">
        <w:rPr>
          <w:b w:val="0"/>
          <w:szCs w:val="22"/>
          <w:lang w:val="en-US"/>
        </w:rPr>
        <w:t>նպատակը</w:t>
      </w:r>
      <w:r w:rsidRPr="009070BD">
        <w:rPr>
          <w:b w:val="0"/>
          <w:szCs w:val="22"/>
          <w:lang w:val="af-ZA"/>
        </w:rPr>
        <w:t xml:space="preserve"> </w:t>
      </w:r>
      <w:r w:rsidRPr="009070BD">
        <w:rPr>
          <w:b w:val="0"/>
          <w:szCs w:val="22"/>
          <w:lang w:val="en-US"/>
        </w:rPr>
        <w:t>գյուղատնտեսության</w:t>
      </w:r>
      <w:r w:rsidRPr="009070BD">
        <w:rPr>
          <w:b w:val="0"/>
          <w:szCs w:val="22"/>
          <w:lang w:val="af-ZA"/>
        </w:rPr>
        <w:t xml:space="preserve"> </w:t>
      </w:r>
      <w:r w:rsidRPr="009070BD">
        <w:rPr>
          <w:b w:val="0"/>
          <w:szCs w:val="22"/>
          <w:lang w:val="en-US"/>
        </w:rPr>
        <w:t>ոլորտի</w:t>
      </w:r>
      <w:r w:rsidRPr="009070BD">
        <w:rPr>
          <w:b w:val="0"/>
          <w:szCs w:val="22"/>
          <w:lang w:val="af-ZA"/>
        </w:rPr>
        <w:t xml:space="preserve"> </w:t>
      </w:r>
      <w:r w:rsidRPr="009070BD">
        <w:rPr>
          <w:b w:val="0"/>
          <w:szCs w:val="22"/>
          <w:lang w:val="en-US"/>
        </w:rPr>
        <w:t>կորուստների</w:t>
      </w:r>
      <w:r w:rsidRPr="009070BD">
        <w:rPr>
          <w:b w:val="0"/>
          <w:szCs w:val="22"/>
          <w:lang w:val="af-ZA"/>
        </w:rPr>
        <w:t xml:space="preserve"> </w:t>
      </w:r>
      <w:r w:rsidRPr="009070BD">
        <w:rPr>
          <w:b w:val="0"/>
          <w:szCs w:val="22"/>
          <w:lang w:val="en-US"/>
        </w:rPr>
        <w:t>ռիսկերը</w:t>
      </w:r>
      <w:r w:rsidRPr="009070BD">
        <w:rPr>
          <w:b w:val="0"/>
          <w:szCs w:val="22"/>
          <w:lang w:val="af-ZA"/>
        </w:rPr>
        <w:t xml:space="preserve"> </w:t>
      </w:r>
      <w:r w:rsidRPr="009070BD">
        <w:rPr>
          <w:b w:val="0"/>
          <w:szCs w:val="22"/>
          <w:lang w:val="en-US"/>
        </w:rPr>
        <w:t>մեղմելու</w:t>
      </w:r>
      <w:r w:rsidRPr="009070BD">
        <w:rPr>
          <w:b w:val="0"/>
          <w:szCs w:val="22"/>
          <w:lang w:val="af-ZA"/>
        </w:rPr>
        <w:t xml:space="preserve"> </w:t>
      </w:r>
      <w:r w:rsidRPr="009070BD">
        <w:rPr>
          <w:b w:val="0"/>
          <w:szCs w:val="22"/>
          <w:lang w:val="en-US"/>
        </w:rPr>
        <w:t>նպատակով</w:t>
      </w:r>
      <w:r w:rsidRPr="009070BD">
        <w:rPr>
          <w:b w:val="0"/>
          <w:szCs w:val="22"/>
          <w:lang w:val="af-ZA"/>
        </w:rPr>
        <w:t xml:space="preserve"> </w:t>
      </w:r>
      <w:r w:rsidRPr="009070BD">
        <w:rPr>
          <w:b w:val="0"/>
          <w:szCs w:val="22"/>
          <w:lang w:val="en-US"/>
        </w:rPr>
        <w:t>կարկտապաշտպան</w:t>
      </w:r>
      <w:r w:rsidRPr="009070BD">
        <w:rPr>
          <w:b w:val="0"/>
          <w:szCs w:val="22"/>
          <w:lang w:val="af-ZA"/>
        </w:rPr>
        <w:t xml:space="preserve"> </w:t>
      </w:r>
      <w:r w:rsidRPr="009070BD">
        <w:rPr>
          <w:b w:val="0"/>
          <w:szCs w:val="22"/>
          <w:lang w:val="en-US"/>
        </w:rPr>
        <w:t>ցանցերի</w:t>
      </w:r>
      <w:r w:rsidRPr="009070BD">
        <w:rPr>
          <w:b w:val="0"/>
          <w:szCs w:val="22"/>
          <w:lang w:val="af-ZA"/>
        </w:rPr>
        <w:t xml:space="preserve"> </w:t>
      </w:r>
      <w:r w:rsidRPr="009070BD">
        <w:rPr>
          <w:b w:val="0"/>
          <w:szCs w:val="22"/>
          <w:lang w:val="en-US"/>
        </w:rPr>
        <w:t>ներդրումը</w:t>
      </w:r>
      <w:r w:rsidRPr="009070BD">
        <w:rPr>
          <w:b w:val="0"/>
          <w:szCs w:val="22"/>
          <w:lang w:val="af-ZA"/>
        </w:rPr>
        <w:t xml:space="preserve"> </w:t>
      </w:r>
      <w:r w:rsidRPr="009070BD">
        <w:rPr>
          <w:b w:val="0"/>
          <w:szCs w:val="22"/>
          <w:lang w:val="en-US"/>
        </w:rPr>
        <w:t>խթանելու</w:t>
      </w:r>
      <w:r w:rsidRPr="009070BD">
        <w:rPr>
          <w:b w:val="0"/>
          <w:szCs w:val="22"/>
          <w:lang w:val="af-ZA"/>
        </w:rPr>
        <w:t xml:space="preserve"> </w:t>
      </w:r>
      <w:r w:rsidRPr="009070BD">
        <w:rPr>
          <w:b w:val="0"/>
          <w:szCs w:val="22"/>
          <w:lang w:val="en-US"/>
        </w:rPr>
        <w:t>համար</w:t>
      </w:r>
      <w:r w:rsidRPr="009070BD">
        <w:rPr>
          <w:b w:val="0"/>
          <w:szCs w:val="22"/>
          <w:lang w:val="af-ZA"/>
        </w:rPr>
        <w:t xml:space="preserve"> </w:t>
      </w:r>
      <w:r w:rsidRPr="009070BD">
        <w:rPr>
          <w:b w:val="0"/>
          <w:szCs w:val="22"/>
          <w:lang w:val="en-US"/>
        </w:rPr>
        <w:t>գյուղատնտեսությունում</w:t>
      </w:r>
      <w:r w:rsidRPr="009070BD">
        <w:rPr>
          <w:b w:val="0"/>
          <w:szCs w:val="22"/>
          <w:lang w:val="af-ZA"/>
        </w:rPr>
        <w:t xml:space="preserve"> </w:t>
      </w:r>
      <w:r w:rsidRPr="009070BD">
        <w:rPr>
          <w:b w:val="0"/>
          <w:szCs w:val="22"/>
          <w:lang w:val="en-US"/>
        </w:rPr>
        <w:t>տնտեսավարողներին</w:t>
      </w:r>
      <w:r w:rsidRPr="009070BD">
        <w:rPr>
          <w:b w:val="0"/>
          <w:szCs w:val="22"/>
          <w:lang w:val="af-ZA"/>
        </w:rPr>
        <w:t xml:space="preserve"> </w:t>
      </w:r>
      <w:r w:rsidRPr="009070BD">
        <w:rPr>
          <w:b w:val="0"/>
          <w:szCs w:val="22"/>
          <w:lang w:val="en-US"/>
        </w:rPr>
        <w:t>տրամադրվող</w:t>
      </w:r>
      <w:r w:rsidRPr="009070BD">
        <w:rPr>
          <w:b w:val="0"/>
          <w:szCs w:val="22"/>
          <w:lang w:val="af-ZA"/>
        </w:rPr>
        <w:t xml:space="preserve"> </w:t>
      </w:r>
      <w:r w:rsidRPr="009070BD">
        <w:rPr>
          <w:b w:val="0"/>
          <w:szCs w:val="22"/>
          <w:lang w:val="en-US"/>
        </w:rPr>
        <w:t>վարկերի</w:t>
      </w:r>
      <w:r w:rsidRPr="009070BD">
        <w:rPr>
          <w:b w:val="0"/>
          <w:szCs w:val="22"/>
          <w:lang w:val="af-ZA"/>
        </w:rPr>
        <w:t xml:space="preserve"> </w:t>
      </w:r>
      <w:r w:rsidRPr="009070BD">
        <w:rPr>
          <w:b w:val="0"/>
          <w:szCs w:val="22"/>
          <w:lang w:val="en-US"/>
        </w:rPr>
        <w:t>տոկոսադրույքների</w:t>
      </w:r>
      <w:r w:rsidRPr="009070BD">
        <w:rPr>
          <w:b w:val="0"/>
          <w:szCs w:val="22"/>
          <w:lang w:val="af-ZA"/>
        </w:rPr>
        <w:t xml:space="preserve"> </w:t>
      </w:r>
      <w:r w:rsidRPr="009070BD">
        <w:rPr>
          <w:b w:val="0"/>
          <w:szCs w:val="22"/>
          <w:lang w:val="en-US"/>
        </w:rPr>
        <w:t>սուբսիդավորումն</w:t>
      </w:r>
      <w:r w:rsidRPr="009070BD">
        <w:rPr>
          <w:b w:val="0"/>
          <w:szCs w:val="22"/>
          <w:lang w:val="af-ZA"/>
        </w:rPr>
        <w:t xml:space="preserve"> </w:t>
      </w:r>
      <w:r w:rsidRPr="009070BD">
        <w:rPr>
          <w:b w:val="0"/>
          <w:szCs w:val="22"/>
          <w:lang w:val="en-US"/>
        </w:rPr>
        <w:t>է</w:t>
      </w:r>
      <w:r w:rsidRPr="009070BD">
        <w:rPr>
          <w:b w:val="0"/>
          <w:szCs w:val="22"/>
          <w:lang w:val="af-ZA"/>
        </w:rPr>
        <w:t xml:space="preserve">,  </w:t>
      </w:r>
      <w:r w:rsidRPr="009070BD">
        <w:rPr>
          <w:b w:val="0"/>
          <w:szCs w:val="22"/>
          <w:lang w:val="en-US"/>
        </w:rPr>
        <w:t>արդյունքում</w:t>
      </w:r>
      <w:r w:rsidRPr="009070BD">
        <w:rPr>
          <w:b w:val="0"/>
          <w:szCs w:val="22"/>
          <w:lang w:val="af-ZA"/>
        </w:rPr>
        <w:t xml:space="preserve"> </w:t>
      </w:r>
      <w:r w:rsidRPr="009070BD">
        <w:rPr>
          <w:b w:val="0"/>
          <w:szCs w:val="22"/>
          <w:lang w:val="en-US"/>
        </w:rPr>
        <w:t>պտղատու</w:t>
      </w:r>
      <w:r w:rsidRPr="009070BD">
        <w:rPr>
          <w:b w:val="0"/>
          <w:szCs w:val="22"/>
          <w:lang w:val="af-ZA"/>
        </w:rPr>
        <w:t xml:space="preserve"> </w:t>
      </w:r>
      <w:r w:rsidRPr="009070BD">
        <w:rPr>
          <w:b w:val="0"/>
          <w:szCs w:val="22"/>
          <w:lang w:val="en-US"/>
        </w:rPr>
        <w:t>և</w:t>
      </w:r>
      <w:r w:rsidRPr="009070BD">
        <w:rPr>
          <w:b w:val="0"/>
          <w:szCs w:val="22"/>
          <w:lang w:val="af-ZA"/>
        </w:rPr>
        <w:t xml:space="preserve"> </w:t>
      </w:r>
      <w:r w:rsidRPr="009070BD">
        <w:rPr>
          <w:b w:val="0"/>
          <w:szCs w:val="22"/>
          <w:lang w:val="en-US"/>
        </w:rPr>
        <w:t>խաղողի</w:t>
      </w:r>
      <w:r w:rsidRPr="009070BD">
        <w:rPr>
          <w:b w:val="0"/>
          <w:szCs w:val="22"/>
          <w:lang w:val="af-ZA"/>
        </w:rPr>
        <w:t xml:space="preserve"> </w:t>
      </w:r>
      <w:r w:rsidRPr="009070BD">
        <w:rPr>
          <w:b w:val="0"/>
          <w:szCs w:val="22"/>
          <w:lang w:val="en-US"/>
        </w:rPr>
        <w:t>այգիների</w:t>
      </w:r>
      <w:r w:rsidRPr="009070BD">
        <w:rPr>
          <w:b w:val="0"/>
          <w:szCs w:val="22"/>
          <w:lang w:val="af-ZA"/>
        </w:rPr>
        <w:t xml:space="preserve"> </w:t>
      </w:r>
      <w:r w:rsidRPr="009070BD">
        <w:rPr>
          <w:b w:val="0"/>
          <w:szCs w:val="22"/>
          <w:lang w:val="en-US"/>
        </w:rPr>
        <w:t>կարկուտից</w:t>
      </w:r>
      <w:r w:rsidRPr="009070BD">
        <w:rPr>
          <w:b w:val="0"/>
          <w:szCs w:val="22"/>
          <w:lang w:val="af-ZA"/>
        </w:rPr>
        <w:t xml:space="preserve"> </w:t>
      </w:r>
      <w:r w:rsidRPr="009070BD">
        <w:rPr>
          <w:b w:val="0"/>
          <w:szCs w:val="22"/>
          <w:lang w:val="en-US"/>
        </w:rPr>
        <w:t>արդյունավետ</w:t>
      </w:r>
      <w:r w:rsidRPr="009070BD">
        <w:rPr>
          <w:b w:val="0"/>
          <w:szCs w:val="22"/>
          <w:lang w:val="af-ZA"/>
        </w:rPr>
        <w:t xml:space="preserve"> </w:t>
      </w:r>
      <w:r w:rsidRPr="009070BD">
        <w:rPr>
          <w:b w:val="0"/>
          <w:szCs w:val="22"/>
          <w:lang w:val="en-US"/>
        </w:rPr>
        <w:t>պաշտպանությունը</w:t>
      </w:r>
      <w:r w:rsidRPr="009070BD">
        <w:rPr>
          <w:b w:val="0"/>
          <w:szCs w:val="22"/>
          <w:lang w:val="af-ZA"/>
        </w:rPr>
        <w:t xml:space="preserve">, </w:t>
      </w:r>
      <w:r w:rsidRPr="009070BD">
        <w:rPr>
          <w:b w:val="0"/>
          <w:szCs w:val="22"/>
          <w:lang w:val="en-US"/>
        </w:rPr>
        <w:t>տնտեսավարողների</w:t>
      </w:r>
      <w:r w:rsidRPr="009070BD">
        <w:rPr>
          <w:b w:val="0"/>
          <w:szCs w:val="22"/>
          <w:lang w:val="af-ZA"/>
        </w:rPr>
        <w:t xml:space="preserve"> </w:t>
      </w:r>
      <w:r w:rsidRPr="009070BD">
        <w:rPr>
          <w:b w:val="0"/>
          <w:szCs w:val="22"/>
          <w:lang w:val="en-US"/>
        </w:rPr>
        <w:t>եկամուտների</w:t>
      </w:r>
      <w:r w:rsidRPr="009070BD">
        <w:rPr>
          <w:b w:val="0"/>
          <w:szCs w:val="22"/>
          <w:lang w:val="af-ZA"/>
        </w:rPr>
        <w:t xml:space="preserve"> </w:t>
      </w:r>
      <w:r w:rsidRPr="009070BD">
        <w:rPr>
          <w:b w:val="0"/>
          <w:szCs w:val="22"/>
          <w:lang w:val="en-US"/>
        </w:rPr>
        <w:t>աճի</w:t>
      </w:r>
      <w:r w:rsidRPr="009070BD">
        <w:rPr>
          <w:b w:val="0"/>
          <w:szCs w:val="22"/>
          <w:lang w:val="af-ZA"/>
        </w:rPr>
        <w:t xml:space="preserve"> </w:t>
      </w:r>
      <w:r w:rsidRPr="009070BD">
        <w:rPr>
          <w:b w:val="0"/>
          <w:szCs w:val="22"/>
          <w:lang w:val="en-US"/>
        </w:rPr>
        <w:t>ու</w:t>
      </w:r>
      <w:r w:rsidRPr="009070BD">
        <w:rPr>
          <w:b w:val="0"/>
          <w:szCs w:val="22"/>
          <w:lang w:val="af-ZA"/>
        </w:rPr>
        <w:t xml:space="preserve"> </w:t>
      </w:r>
      <w:r w:rsidRPr="009070BD">
        <w:rPr>
          <w:b w:val="0"/>
          <w:szCs w:val="22"/>
          <w:lang w:val="en-US"/>
        </w:rPr>
        <w:t>այգեգործության</w:t>
      </w:r>
      <w:r w:rsidRPr="009070BD">
        <w:rPr>
          <w:b w:val="0"/>
          <w:szCs w:val="22"/>
          <w:lang w:val="af-ZA"/>
        </w:rPr>
        <w:t xml:space="preserve"> </w:t>
      </w:r>
      <w:r w:rsidRPr="009070BD">
        <w:rPr>
          <w:b w:val="0"/>
          <w:szCs w:val="22"/>
          <w:lang w:val="en-US"/>
        </w:rPr>
        <w:t>արդյունավետության</w:t>
      </w:r>
      <w:r w:rsidRPr="009070BD">
        <w:rPr>
          <w:b w:val="0"/>
          <w:szCs w:val="22"/>
          <w:lang w:val="af-ZA"/>
        </w:rPr>
        <w:t xml:space="preserve"> </w:t>
      </w:r>
      <w:r w:rsidRPr="009070BD">
        <w:rPr>
          <w:b w:val="0"/>
          <w:szCs w:val="22"/>
          <w:lang w:val="en-US"/>
        </w:rPr>
        <w:t>բարձրացումը</w:t>
      </w:r>
      <w:r w:rsidRPr="009070BD">
        <w:rPr>
          <w:b w:val="0"/>
          <w:szCs w:val="22"/>
          <w:lang w:val="af-ZA"/>
        </w:rPr>
        <w:t xml:space="preserve">: </w:t>
      </w:r>
    </w:p>
    <w:p w:rsidR="00B36A46" w:rsidRPr="009070BD" w:rsidRDefault="00B36A46" w:rsidP="007730AA">
      <w:pPr>
        <w:autoSpaceDE w:val="0"/>
        <w:autoSpaceDN w:val="0"/>
        <w:adjustRightInd w:val="0"/>
        <w:spacing w:before="0" w:line="276" w:lineRule="auto"/>
        <w:ind w:firstLine="720"/>
        <w:rPr>
          <w:rFonts w:cs="Sylfaen"/>
          <w:b w:val="0"/>
          <w:lang w:val="ro-RO"/>
        </w:rPr>
      </w:pPr>
      <w:r w:rsidRPr="009070BD">
        <w:rPr>
          <w:szCs w:val="22"/>
          <w:lang w:val="af-ZA"/>
        </w:rPr>
        <w:t>9.6 Ոռոգման արդիական համակարգերի ներդրման  համար պետական աջակցություն</w:t>
      </w:r>
      <w:r w:rsidRPr="009070BD">
        <w:rPr>
          <w:b w:val="0"/>
          <w:szCs w:val="22"/>
          <w:lang w:val="af-ZA"/>
        </w:rPr>
        <w:t xml:space="preserve"> </w:t>
      </w:r>
      <w:r w:rsidRPr="009070BD">
        <w:rPr>
          <w:b w:val="0"/>
          <w:szCs w:val="22"/>
          <w:lang w:val="en-US"/>
        </w:rPr>
        <w:t>միջոցառման</w:t>
      </w:r>
      <w:r w:rsidRPr="009070BD">
        <w:rPr>
          <w:b w:val="0"/>
          <w:szCs w:val="22"/>
          <w:lang w:val="af-ZA"/>
        </w:rPr>
        <w:t xml:space="preserve"> </w:t>
      </w:r>
      <w:r w:rsidRPr="009070BD">
        <w:rPr>
          <w:b w:val="0"/>
          <w:szCs w:val="22"/>
          <w:lang w:val="en-US"/>
        </w:rPr>
        <w:t>համար</w:t>
      </w:r>
      <w:r w:rsidRPr="009070BD">
        <w:rPr>
          <w:b w:val="0"/>
          <w:szCs w:val="22"/>
          <w:lang w:val="af-ZA"/>
        </w:rPr>
        <w:t xml:space="preserve"> </w:t>
      </w:r>
      <w:r w:rsidRPr="009070BD">
        <w:rPr>
          <w:b w:val="0"/>
          <w:szCs w:val="22"/>
          <w:lang w:val="en-US"/>
        </w:rPr>
        <w:t>Նախագծով</w:t>
      </w:r>
      <w:r w:rsidRPr="009070BD">
        <w:rPr>
          <w:b w:val="0"/>
          <w:szCs w:val="22"/>
          <w:lang w:val="af-ZA"/>
        </w:rPr>
        <w:t xml:space="preserve"> </w:t>
      </w:r>
      <w:r w:rsidRPr="009070BD">
        <w:rPr>
          <w:b w:val="0"/>
          <w:szCs w:val="22"/>
          <w:lang w:val="en-US"/>
        </w:rPr>
        <w:t>նախատեսվում</w:t>
      </w:r>
      <w:r w:rsidRPr="009070BD">
        <w:rPr>
          <w:b w:val="0"/>
          <w:szCs w:val="22"/>
          <w:lang w:val="af-ZA"/>
        </w:rPr>
        <w:t xml:space="preserve"> </w:t>
      </w:r>
      <w:r w:rsidRPr="009070BD">
        <w:rPr>
          <w:b w:val="0"/>
          <w:szCs w:val="22"/>
          <w:lang w:val="en-US"/>
        </w:rPr>
        <w:t>է</w:t>
      </w:r>
      <w:r w:rsidRPr="009070BD">
        <w:rPr>
          <w:b w:val="0"/>
          <w:szCs w:val="22"/>
          <w:lang w:val="af-ZA"/>
        </w:rPr>
        <w:t xml:space="preserve"> </w:t>
      </w:r>
      <w:r w:rsidRPr="009070BD">
        <w:rPr>
          <w:b w:val="0"/>
          <w:szCs w:val="22"/>
          <w:lang w:val="en-US"/>
        </w:rPr>
        <w:t>հատկացնել</w:t>
      </w:r>
      <w:r w:rsidRPr="009070BD">
        <w:rPr>
          <w:b w:val="0"/>
          <w:szCs w:val="22"/>
          <w:lang w:val="af-ZA"/>
        </w:rPr>
        <w:t xml:space="preserve"> 50.0 </w:t>
      </w:r>
      <w:r w:rsidRPr="009070BD">
        <w:rPr>
          <w:b w:val="0"/>
          <w:szCs w:val="22"/>
          <w:lang w:val="en-US"/>
        </w:rPr>
        <w:t>մլն</w:t>
      </w:r>
      <w:r w:rsidRPr="009070BD">
        <w:rPr>
          <w:b w:val="0"/>
          <w:szCs w:val="22"/>
          <w:lang w:val="af-ZA"/>
        </w:rPr>
        <w:t xml:space="preserve"> </w:t>
      </w:r>
      <w:r w:rsidRPr="009070BD">
        <w:rPr>
          <w:b w:val="0"/>
          <w:szCs w:val="22"/>
          <w:lang w:val="en-US"/>
        </w:rPr>
        <w:t>դրամ՝</w:t>
      </w:r>
      <w:r w:rsidRPr="009070BD">
        <w:rPr>
          <w:b w:val="0"/>
          <w:szCs w:val="22"/>
          <w:lang w:val="af-ZA"/>
        </w:rPr>
        <w:t xml:space="preserve"> </w:t>
      </w:r>
      <w:r w:rsidRPr="009070BD">
        <w:rPr>
          <w:rFonts w:cs="Sylfaen"/>
          <w:b w:val="0"/>
          <w:lang w:val="hy-AM"/>
        </w:rPr>
        <w:t>ՀՀ</w:t>
      </w:r>
      <w:r w:rsidRPr="009070BD">
        <w:rPr>
          <w:rFonts w:cs="Sylfaen"/>
          <w:b w:val="0"/>
          <w:lang w:val="ro-RO"/>
        </w:rPr>
        <w:t xml:space="preserve"> 2020</w:t>
      </w:r>
      <w:r w:rsidRPr="009070BD">
        <w:rPr>
          <w:b w:val="0"/>
          <w:lang w:val="ro-RO"/>
        </w:rPr>
        <w:t xml:space="preserve"> </w:t>
      </w:r>
      <w:r w:rsidRPr="009070BD">
        <w:rPr>
          <w:b w:val="0"/>
          <w:lang w:val="hy-AM"/>
        </w:rPr>
        <w:t>թվականի</w:t>
      </w:r>
      <w:r w:rsidRPr="009070BD">
        <w:rPr>
          <w:rFonts w:cs="Sylfaen"/>
          <w:b w:val="0"/>
          <w:lang w:val="ro-RO"/>
        </w:rPr>
        <w:t xml:space="preserve"> </w:t>
      </w:r>
      <w:r w:rsidRPr="009070BD">
        <w:rPr>
          <w:rFonts w:cs="Sylfaen"/>
          <w:b w:val="0"/>
          <w:lang w:val="hy-AM"/>
        </w:rPr>
        <w:t>պետական</w:t>
      </w:r>
      <w:r w:rsidRPr="009070BD">
        <w:rPr>
          <w:rFonts w:cs="Sylfaen"/>
          <w:b w:val="0"/>
          <w:lang w:val="ro-RO"/>
        </w:rPr>
        <w:t xml:space="preserve"> </w:t>
      </w:r>
      <w:r w:rsidRPr="009070BD">
        <w:rPr>
          <w:rFonts w:cs="Sylfaen"/>
          <w:b w:val="0"/>
          <w:lang w:val="hy-AM"/>
        </w:rPr>
        <w:t>բյուջեով</w:t>
      </w:r>
      <w:r w:rsidRPr="009070BD">
        <w:rPr>
          <w:rFonts w:cs="Sylfaen"/>
          <w:b w:val="0"/>
          <w:lang w:val="ro-RO"/>
        </w:rPr>
        <w:t xml:space="preserve"> </w:t>
      </w:r>
      <w:r w:rsidRPr="009070BD">
        <w:rPr>
          <w:rFonts w:cs="Sylfaen"/>
          <w:b w:val="0"/>
          <w:lang w:val="hy-AM"/>
        </w:rPr>
        <w:t>հաստատ</w:t>
      </w:r>
      <w:r w:rsidRPr="009070BD">
        <w:rPr>
          <w:rFonts w:cs="Sylfaen"/>
          <w:b w:val="0"/>
          <w:lang w:val="ro-RO"/>
        </w:rPr>
        <w:softHyphen/>
      </w:r>
      <w:r w:rsidRPr="009070BD">
        <w:rPr>
          <w:rFonts w:cs="Sylfaen"/>
          <w:b w:val="0"/>
          <w:lang w:val="hy-AM"/>
        </w:rPr>
        <w:t>ված</w:t>
      </w:r>
      <w:r w:rsidRPr="009070BD">
        <w:rPr>
          <w:rFonts w:cs="Sylfaen"/>
          <w:b w:val="0"/>
          <w:lang w:val="af-ZA"/>
        </w:rPr>
        <w:t xml:space="preserve"> </w:t>
      </w:r>
      <w:r w:rsidRPr="009070BD">
        <w:rPr>
          <w:b w:val="0"/>
          <w:lang w:val="ro-RO"/>
        </w:rPr>
        <w:t xml:space="preserve">140.2 </w:t>
      </w:r>
      <w:r w:rsidRPr="009070BD">
        <w:rPr>
          <w:rFonts w:cs="Sylfaen"/>
          <w:b w:val="0"/>
          <w:lang w:val="hy-AM"/>
        </w:rPr>
        <w:t>մլն</w:t>
      </w:r>
      <w:r w:rsidRPr="009070BD">
        <w:rPr>
          <w:rFonts w:cs="Sylfaen"/>
          <w:b w:val="0"/>
          <w:lang w:val="ro-RO"/>
        </w:rPr>
        <w:t xml:space="preserve"> </w:t>
      </w:r>
      <w:r w:rsidRPr="009070BD">
        <w:rPr>
          <w:rFonts w:cs="Sylfaen"/>
          <w:b w:val="0"/>
          <w:lang w:val="hy-AM"/>
        </w:rPr>
        <w:t>դրամի</w:t>
      </w:r>
      <w:r w:rsidRPr="009070BD">
        <w:rPr>
          <w:rFonts w:cs="Sylfaen"/>
          <w:b w:val="0"/>
          <w:lang w:val="af-ZA"/>
        </w:rPr>
        <w:t xml:space="preserve"> </w:t>
      </w:r>
      <w:r w:rsidRPr="009070BD">
        <w:rPr>
          <w:rFonts w:cs="Sylfaen"/>
          <w:b w:val="0"/>
          <w:lang w:val="hy-AM"/>
        </w:rPr>
        <w:t>դիմաց</w:t>
      </w:r>
      <w:r w:rsidRPr="009070BD">
        <w:rPr>
          <w:rFonts w:cs="Sylfaen"/>
          <w:b w:val="0"/>
          <w:lang w:val="af-ZA"/>
        </w:rPr>
        <w:t xml:space="preserve"> </w:t>
      </w:r>
      <w:r w:rsidRPr="009070BD">
        <w:rPr>
          <w:rFonts w:cs="Sylfaen"/>
          <w:b w:val="0"/>
          <w:lang w:val="hy-AM"/>
        </w:rPr>
        <w:t>կամ</w:t>
      </w:r>
      <w:r w:rsidRPr="009070BD">
        <w:rPr>
          <w:rFonts w:cs="Sylfaen"/>
          <w:b w:val="0"/>
          <w:lang w:val="ro-RO"/>
        </w:rPr>
        <w:t xml:space="preserve"> 90.2 մլն դրամով պակաս, </w:t>
      </w:r>
      <w:r w:rsidRPr="009070BD">
        <w:rPr>
          <w:rFonts w:cs="Sylfaen"/>
          <w:b w:val="0"/>
          <w:lang w:val="af-ZA"/>
        </w:rPr>
        <w:t>որը պայմանավորված է փաստացի արդյունքների գնահատմամբ</w:t>
      </w:r>
      <w:r w:rsidRPr="009070BD">
        <w:rPr>
          <w:rFonts w:eastAsia="Calibri" w:cs="Times LatArm"/>
          <w:b w:val="0"/>
          <w:szCs w:val="22"/>
          <w:lang w:val="ro-RO" w:eastAsia="en-US"/>
        </w:rPr>
        <w:t>:</w:t>
      </w:r>
      <w:r w:rsidRPr="009070BD">
        <w:rPr>
          <w:rFonts w:cs="Sylfaen"/>
          <w:b w:val="0"/>
          <w:lang w:val="ro-RO"/>
        </w:rPr>
        <w:t xml:space="preserve"> </w:t>
      </w:r>
    </w:p>
    <w:p w:rsidR="00B36A46" w:rsidRPr="009070BD" w:rsidRDefault="00B36A46" w:rsidP="007730AA">
      <w:pPr>
        <w:tabs>
          <w:tab w:val="left" w:pos="1092"/>
        </w:tabs>
        <w:spacing w:before="0" w:line="276" w:lineRule="auto"/>
        <w:ind w:firstLine="720"/>
        <w:rPr>
          <w:b w:val="0"/>
          <w:szCs w:val="22"/>
          <w:lang w:val="af-ZA"/>
        </w:rPr>
      </w:pPr>
      <w:r w:rsidRPr="009070BD">
        <w:rPr>
          <w:b w:val="0"/>
          <w:szCs w:val="22"/>
          <w:lang w:val="en-US"/>
        </w:rPr>
        <w:t>Միջոցառման</w:t>
      </w:r>
      <w:r w:rsidRPr="009070BD">
        <w:rPr>
          <w:b w:val="0"/>
          <w:szCs w:val="22"/>
          <w:lang w:val="af-ZA"/>
        </w:rPr>
        <w:t xml:space="preserve"> </w:t>
      </w:r>
      <w:r w:rsidRPr="009070BD">
        <w:rPr>
          <w:b w:val="0"/>
          <w:szCs w:val="22"/>
          <w:lang w:val="en-US"/>
        </w:rPr>
        <w:t>նպատակը</w:t>
      </w:r>
      <w:r w:rsidRPr="009070BD">
        <w:rPr>
          <w:b w:val="0"/>
          <w:szCs w:val="22"/>
          <w:lang w:val="af-ZA"/>
        </w:rPr>
        <w:t xml:space="preserve"> </w:t>
      </w:r>
      <w:r w:rsidRPr="009070BD">
        <w:rPr>
          <w:b w:val="0"/>
          <w:szCs w:val="22"/>
          <w:lang w:val="en-US"/>
        </w:rPr>
        <w:t>կատարված</w:t>
      </w:r>
      <w:r w:rsidRPr="009070BD">
        <w:rPr>
          <w:b w:val="0"/>
          <w:szCs w:val="22"/>
          <w:lang w:val="af-ZA"/>
        </w:rPr>
        <w:t xml:space="preserve"> </w:t>
      </w:r>
      <w:r w:rsidRPr="009070BD">
        <w:rPr>
          <w:b w:val="0"/>
          <w:szCs w:val="22"/>
          <w:lang w:val="en-US"/>
        </w:rPr>
        <w:t>ծախսերի</w:t>
      </w:r>
      <w:r w:rsidRPr="009070BD">
        <w:rPr>
          <w:b w:val="0"/>
          <w:szCs w:val="22"/>
          <w:lang w:val="af-ZA"/>
        </w:rPr>
        <w:t xml:space="preserve"> </w:t>
      </w:r>
      <w:r w:rsidRPr="009070BD">
        <w:rPr>
          <w:b w:val="0"/>
          <w:szCs w:val="22"/>
          <w:lang w:val="en-US"/>
        </w:rPr>
        <w:t>մասնակի</w:t>
      </w:r>
      <w:r w:rsidRPr="009070BD">
        <w:rPr>
          <w:b w:val="0"/>
          <w:szCs w:val="22"/>
          <w:lang w:val="af-ZA"/>
        </w:rPr>
        <w:t xml:space="preserve"> </w:t>
      </w:r>
      <w:r w:rsidRPr="009070BD">
        <w:rPr>
          <w:b w:val="0"/>
          <w:szCs w:val="22"/>
          <w:lang w:val="en-US"/>
        </w:rPr>
        <w:t>փոխհատուցման</w:t>
      </w:r>
      <w:r w:rsidRPr="009070BD">
        <w:rPr>
          <w:b w:val="0"/>
          <w:szCs w:val="22"/>
          <w:lang w:val="af-ZA"/>
        </w:rPr>
        <w:t xml:space="preserve"> </w:t>
      </w:r>
      <w:r w:rsidRPr="009070BD">
        <w:rPr>
          <w:b w:val="0"/>
          <w:szCs w:val="22"/>
          <w:lang w:val="en-US"/>
        </w:rPr>
        <w:t>միջոցով</w:t>
      </w:r>
      <w:r w:rsidRPr="009070BD">
        <w:rPr>
          <w:b w:val="0"/>
          <w:szCs w:val="22"/>
          <w:lang w:val="af-ZA"/>
        </w:rPr>
        <w:t xml:space="preserve"> </w:t>
      </w:r>
      <w:r w:rsidRPr="009070BD">
        <w:rPr>
          <w:b w:val="0"/>
          <w:szCs w:val="22"/>
          <w:lang w:val="en-US"/>
        </w:rPr>
        <w:t>գյուղատնտեսական</w:t>
      </w:r>
      <w:r w:rsidRPr="009070BD">
        <w:rPr>
          <w:b w:val="0"/>
          <w:szCs w:val="22"/>
          <w:lang w:val="af-ZA"/>
        </w:rPr>
        <w:t xml:space="preserve"> </w:t>
      </w:r>
      <w:r w:rsidRPr="009070BD">
        <w:rPr>
          <w:b w:val="0"/>
          <w:szCs w:val="22"/>
          <w:lang w:val="en-US"/>
        </w:rPr>
        <w:t>հողատարածքներում</w:t>
      </w:r>
      <w:r w:rsidRPr="009070BD">
        <w:rPr>
          <w:b w:val="0"/>
          <w:szCs w:val="22"/>
          <w:lang w:val="af-ZA"/>
        </w:rPr>
        <w:t xml:space="preserve"> </w:t>
      </w:r>
      <w:r w:rsidRPr="009070BD">
        <w:rPr>
          <w:b w:val="0"/>
          <w:szCs w:val="22"/>
          <w:lang w:val="en-US"/>
        </w:rPr>
        <w:t>ոռոգման</w:t>
      </w:r>
      <w:r w:rsidRPr="009070BD">
        <w:rPr>
          <w:b w:val="0"/>
          <w:szCs w:val="22"/>
          <w:lang w:val="af-ZA"/>
        </w:rPr>
        <w:t xml:space="preserve"> </w:t>
      </w:r>
      <w:r w:rsidRPr="009070BD">
        <w:rPr>
          <w:b w:val="0"/>
          <w:szCs w:val="22"/>
          <w:lang w:val="en-US"/>
        </w:rPr>
        <w:t>արդիական</w:t>
      </w:r>
      <w:r w:rsidRPr="009070BD">
        <w:rPr>
          <w:b w:val="0"/>
          <w:szCs w:val="22"/>
          <w:lang w:val="af-ZA"/>
        </w:rPr>
        <w:t xml:space="preserve"> </w:t>
      </w:r>
      <w:r w:rsidRPr="009070BD">
        <w:rPr>
          <w:b w:val="0"/>
          <w:szCs w:val="22"/>
          <w:lang w:val="en-US"/>
        </w:rPr>
        <w:t>համակարգերի</w:t>
      </w:r>
      <w:r w:rsidRPr="009070BD">
        <w:rPr>
          <w:b w:val="0"/>
          <w:szCs w:val="22"/>
          <w:lang w:val="af-ZA"/>
        </w:rPr>
        <w:t xml:space="preserve"> </w:t>
      </w:r>
      <w:r w:rsidRPr="009070BD">
        <w:rPr>
          <w:b w:val="0"/>
          <w:szCs w:val="22"/>
          <w:lang w:val="en-US"/>
        </w:rPr>
        <w:t>ներդրման</w:t>
      </w:r>
      <w:r w:rsidRPr="009070BD">
        <w:rPr>
          <w:b w:val="0"/>
          <w:szCs w:val="22"/>
          <w:lang w:val="af-ZA"/>
        </w:rPr>
        <w:t xml:space="preserve"> </w:t>
      </w:r>
      <w:r w:rsidRPr="009070BD">
        <w:rPr>
          <w:b w:val="0"/>
          <w:szCs w:val="22"/>
          <w:lang w:val="en-US"/>
        </w:rPr>
        <w:t>խթանումն</w:t>
      </w:r>
      <w:r w:rsidRPr="009070BD">
        <w:rPr>
          <w:b w:val="0"/>
          <w:szCs w:val="22"/>
          <w:lang w:val="af-ZA"/>
        </w:rPr>
        <w:t xml:space="preserve"> </w:t>
      </w:r>
      <w:r w:rsidRPr="009070BD">
        <w:rPr>
          <w:b w:val="0"/>
          <w:szCs w:val="22"/>
          <w:lang w:val="en-US"/>
        </w:rPr>
        <w:t>է՝</w:t>
      </w:r>
      <w:r w:rsidRPr="009070BD">
        <w:rPr>
          <w:b w:val="0"/>
          <w:szCs w:val="22"/>
          <w:lang w:val="af-ZA"/>
        </w:rPr>
        <w:t xml:space="preserve"> </w:t>
      </w:r>
      <w:r w:rsidRPr="009070BD">
        <w:rPr>
          <w:b w:val="0"/>
          <w:szCs w:val="22"/>
          <w:lang w:val="en-US"/>
        </w:rPr>
        <w:t>արդյունքում</w:t>
      </w:r>
      <w:r w:rsidRPr="009070BD">
        <w:rPr>
          <w:b w:val="0"/>
          <w:szCs w:val="22"/>
          <w:lang w:val="af-ZA"/>
        </w:rPr>
        <w:t xml:space="preserve"> </w:t>
      </w:r>
      <w:r w:rsidRPr="009070BD">
        <w:rPr>
          <w:b w:val="0"/>
          <w:szCs w:val="22"/>
          <w:lang w:val="en-US"/>
        </w:rPr>
        <w:t>ջրային</w:t>
      </w:r>
      <w:r w:rsidRPr="009070BD">
        <w:rPr>
          <w:b w:val="0"/>
          <w:szCs w:val="22"/>
          <w:lang w:val="af-ZA"/>
        </w:rPr>
        <w:t xml:space="preserve"> </w:t>
      </w:r>
      <w:r w:rsidRPr="009070BD">
        <w:rPr>
          <w:b w:val="0"/>
          <w:szCs w:val="22"/>
          <w:lang w:val="en-US"/>
        </w:rPr>
        <w:t>ռեսուրսների</w:t>
      </w:r>
      <w:r w:rsidRPr="009070BD">
        <w:rPr>
          <w:b w:val="0"/>
          <w:szCs w:val="22"/>
          <w:lang w:val="af-ZA"/>
        </w:rPr>
        <w:t xml:space="preserve"> </w:t>
      </w:r>
      <w:r w:rsidRPr="009070BD">
        <w:rPr>
          <w:b w:val="0"/>
          <w:szCs w:val="22"/>
          <w:lang w:val="en-US"/>
        </w:rPr>
        <w:t>խնայողաբար</w:t>
      </w:r>
      <w:r w:rsidRPr="009070BD">
        <w:rPr>
          <w:b w:val="0"/>
          <w:szCs w:val="22"/>
          <w:lang w:val="af-ZA"/>
        </w:rPr>
        <w:t xml:space="preserve"> </w:t>
      </w:r>
      <w:r w:rsidRPr="009070BD">
        <w:rPr>
          <w:b w:val="0"/>
          <w:szCs w:val="22"/>
          <w:lang w:val="en-US"/>
        </w:rPr>
        <w:t>և</w:t>
      </w:r>
      <w:r w:rsidRPr="009070BD">
        <w:rPr>
          <w:b w:val="0"/>
          <w:szCs w:val="22"/>
          <w:lang w:val="af-ZA"/>
        </w:rPr>
        <w:t xml:space="preserve"> </w:t>
      </w:r>
      <w:r w:rsidRPr="009070BD">
        <w:rPr>
          <w:b w:val="0"/>
          <w:szCs w:val="22"/>
          <w:lang w:val="en-US"/>
        </w:rPr>
        <w:t>արդյունավետ</w:t>
      </w:r>
      <w:r w:rsidRPr="009070BD">
        <w:rPr>
          <w:b w:val="0"/>
          <w:szCs w:val="22"/>
          <w:lang w:val="af-ZA"/>
        </w:rPr>
        <w:t xml:space="preserve"> </w:t>
      </w:r>
      <w:r w:rsidRPr="009070BD">
        <w:rPr>
          <w:b w:val="0"/>
          <w:szCs w:val="22"/>
          <w:lang w:val="en-US"/>
        </w:rPr>
        <w:t>օգտագործումը</w:t>
      </w:r>
      <w:r w:rsidRPr="009070BD">
        <w:rPr>
          <w:b w:val="0"/>
          <w:szCs w:val="22"/>
          <w:lang w:val="af-ZA"/>
        </w:rPr>
        <w:t xml:space="preserve">, </w:t>
      </w:r>
      <w:r w:rsidRPr="009070BD">
        <w:rPr>
          <w:b w:val="0"/>
          <w:szCs w:val="22"/>
          <w:lang w:val="en-US"/>
        </w:rPr>
        <w:t>հողօգտագործողների</w:t>
      </w:r>
      <w:r w:rsidRPr="009070BD">
        <w:rPr>
          <w:b w:val="0"/>
          <w:szCs w:val="22"/>
          <w:lang w:val="af-ZA"/>
        </w:rPr>
        <w:t xml:space="preserve"> </w:t>
      </w:r>
      <w:r w:rsidRPr="009070BD">
        <w:rPr>
          <w:b w:val="0"/>
          <w:szCs w:val="22"/>
          <w:lang w:val="en-US"/>
        </w:rPr>
        <w:t>եկամուտների</w:t>
      </w:r>
      <w:r w:rsidRPr="009070BD">
        <w:rPr>
          <w:b w:val="0"/>
          <w:szCs w:val="22"/>
          <w:lang w:val="af-ZA"/>
        </w:rPr>
        <w:t xml:space="preserve"> </w:t>
      </w:r>
      <w:r w:rsidRPr="009070BD">
        <w:rPr>
          <w:b w:val="0"/>
          <w:szCs w:val="22"/>
          <w:lang w:val="en-US"/>
        </w:rPr>
        <w:t>աճի</w:t>
      </w:r>
      <w:r w:rsidRPr="009070BD">
        <w:rPr>
          <w:b w:val="0"/>
          <w:szCs w:val="22"/>
          <w:lang w:val="af-ZA"/>
        </w:rPr>
        <w:t xml:space="preserve"> </w:t>
      </w:r>
      <w:r w:rsidRPr="009070BD">
        <w:rPr>
          <w:b w:val="0"/>
          <w:szCs w:val="22"/>
          <w:lang w:val="en-US"/>
        </w:rPr>
        <w:t>ապահովումը</w:t>
      </w:r>
      <w:r w:rsidRPr="009070BD">
        <w:rPr>
          <w:b w:val="0"/>
          <w:szCs w:val="22"/>
          <w:lang w:val="af-ZA"/>
        </w:rPr>
        <w:t>:</w:t>
      </w:r>
    </w:p>
    <w:p w:rsidR="00B36A46" w:rsidRPr="009070BD" w:rsidRDefault="00B36A46" w:rsidP="007730AA">
      <w:pPr>
        <w:autoSpaceDE w:val="0"/>
        <w:autoSpaceDN w:val="0"/>
        <w:adjustRightInd w:val="0"/>
        <w:spacing w:before="0" w:line="276" w:lineRule="auto"/>
        <w:ind w:firstLine="720"/>
        <w:rPr>
          <w:rFonts w:cs="Sylfaen"/>
          <w:b w:val="0"/>
          <w:lang w:val="ro-RO"/>
        </w:rPr>
      </w:pPr>
      <w:r w:rsidRPr="009070BD">
        <w:rPr>
          <w:szCs w:val="22"/>
          <w:lang w:val="af-ZA"/>
        </w:rPr>
        <w:t>9.7 </w:t>
      </w:r>
      <w:r w:rsidRPr="009070BD">
        <w:rPr>
          <w:szCs w:val="22"/>
          <w:lang w:val="en-US"/>
        </w:rPr>
        <w:t>Հայաստանի</w:t>
      </w:r>
      <w:r w:rsidRPr="009070BD">
        <w:rPr>
          <w:szCs w:val="22"/>
          <w:lang w:val="af-ZA"/>
        </w:rPr>
        <w:t xml:space="preserve"> </w:t>
      </w:r>
      <w:r w:rsidRPr="009070BD">
        <w:rPr>
          <w:szCs w:val="22"/>
          <w:lang w:val="en-US"/>
        </w:rPr>
        <w:t>Հանրապետությունում</w:t>
      </w:r>
      <w:r w:rsidRPr="009070BD">
        <w:rPr>
          <w:szCs w:val="22"/>
          <w:lang w:val="af-ZA"/>
        </w:rPr>
        <w:t xml:space="preserve"> </w:t>
      </w:r>
      <w:r w:rsidRPr="009070BD">
        <w:rPr>
          <w:szCs w:val="22"/>
          <w:lang w:val="en-US"/>
        </w:rPr>
        <w:t>խաղողի</w:t>
      </w:r>
      <w:r w:rsidRPr="009070BD">
        <w:rPr>
          <w:szCs w:val="22"/>
          <w:lang w:val="af-ZA"/>
        </w:rPr>
        <w:t xml:space="preserve">, </w:t>
      </w:r>
      <w:r w:rsidRPr="009070BD">
        <w:rPr>
          <w:szCs w:val="22"/>
          <w:lang w:val="en-US"/>
        </w:rPr>
        <w:t>ժամանակակից</w:t>
      </w:r>
      <w:r w:rsidRPr="009070BD">
        <w:rPr>
          <w:szCs w:val="22"/>
          <w:lang w:val="af-ZA"/>
        </w:rPr>
        <w:t xml:space="preserve"> </w:t>
      </w:r>
      <w:r w:rsidRPr="009070BD">
        <w:rPr>
          <w:szCs w:val="22"/>
          <w:lang w:val="en-US"/>
        </w:rPr>
        <w:t>տեխնոլոգիաներով</w:t>
      </w:r>
      <w:r w:rsidRPr="009070BD">
        <w:rPr>
          <w:szCs w:val="22"/>
          <w:lang w:val="af-ZA"/>
        </w:rPr>
        <w:t xml:space="preserve"> </w:t>
      </w:r>
      <w:r w:rsidRPr="009070BD">
        <w:rPr>
          <w:szCs w:val="22"/>
          <w:lang w:val="en-US"/>
        </w:rPr>
        <w:t>մշակվող</w:t>
      </w:r>
      <w:r w:rsidRPr="009070BD">
        <w:rPr>
          <w:szCs w:val="22"/>
          <w:lang w:val="af-ZA"/>
        </w:rPr>
        <w:t xml:space="preserve"> </w:t>
      </w:r>
      <w:r w:rsidRPr="009070BD">
        <w:rPr>
          <w:szCs w:val="22"/>
          <w:lang w:val="en-US"/>
        </w:rPr>
        <w:t>ինտենսիվ</w:t>
      </w:r>
      <w:r w:rsidRPr="009070BD">
        <w:rPr>
          <w:szCs w:val="22"/>
          <w:lang w:val="af-ZA"/>
        </w:rPr>
        <w:t xml:space="preserve"> </w:t>
      </w:r>
      <w:r w:rsidRPr="009070BD">
        <w:rPr>
          <w:szCs w:val="22"/>
          <w:lang w:val="en-US"/>
        </w:rPr>
        <w:t>պտղատու</w:t>
      </w:r>
      <w:r w:rsidRPr="009070BD">
        <w:rPr>
          <w:szCs w:val="22"/>
          <w:lang w:val="af-ZA"/>
        </w:rPr>
        <w:t xml:space="preserve"> </w:t>
      </w:r>
      <w:r w:rsidRPr="009070BD">
        <w:rPr>
          <w:szCs w:val="22"/>
          <w:lang w:val="en-US"/>
        </w:rPr>
        <w:t>այգիների</w:t>
      </w:r>
      <w:r w:rsidRPr="009070BD">
        <w:rPr>
          <w:szCs w:val="22"/>
          <w:lang w:val="af-ZA"/>
        </w:rPr>
        <w:t xml:space="preserve"> </w:t>
      </w:r>
      <w:r w:rsidRPr="009070BD">
        <w:rPr>
          <w:szCs w:val="22"/>
          <w:lang w:val="en-US"/>
        </w:rPr>
        <w:t>և</w:t>
      </w:r>
      <w:r w:rsidRPr="009070BD">
        <w:rPr>
          <w:szCs w:val="22"/>
          <w:lang w:val="af-ZA"/>
        </w:rPr>
        <w:t xml:space="preserve"> </w:t>
      </w:r>
      <w:r w:rsidRPr="009070BD">
        <w:rPr>
          <w:szCs w:val="22"/>
          <w:lang w:val="en-US"/>
        </w:rPr>
        <w:t>հատապտղանոցների</w:t>
      </w:r>
      <w:r w:rsidRPr="009070BD">
        <w:rPr>
          <w:szCs w:val="22"/>
          <w:lang w:val="af-ZA"/>
        </w:rPr>
        <w:t xml:space="preserve"> </w:t>
      </w:r>
      <w:r w:rsidRPr="009070BD">
        <w:rPr>
          <w:szCs w:val="22"/>
          <w:lang w:val="en-US"/>
        </w:rPr>
        <w:t>հիմնման</w:t>
      </w:r>
      <w:r w:rsidRPr="009070BD">
        <w:rPr>
          <w:szCs w:val="22"/>
          <w:lang w:val="af-ZA"/>
        </w:rPr>
        <w:t xml:space="preserve"> </w:t>
      </w:r>
      <w:r w:rsidRPr="009070BD">
        <w:rPr>
          <w:szCs w:val="22"/>
          <w:lang w:val="en-US"/>
        </w:rPr>
        <w:t>համար</w:t>
      </w:r>
      <w:r w:rsidRPr="009070BD">
        <w:rPr>
          <w:szCs w:val="22"/>
          <w:lang w:val="af-ZA"/>
        </w:rPr>
        <w:t xml:space="preserve"> </w:t>
      </w:r>
      <w:r w:rsidRPr="009070BD">
        <w:rPr>
          <w:szCs w:val="22"/>
          <w:lang w:val="en-US"/>
        </w:rPr>
        <w:t>պետական</w:t>
      </w:r>
      <w:r w:rsidRPr="009070BD">
        <w:rPr>
          <w:szCs w:val="22"/>
          <w:lang w:val="af-ZA"/>
        </w:rPr>
        <w:t xml:space="preserve"> </w:t>
      </w:r>
      <w:r w:rsidRPr="009070BD">
        <w:rPr>
          <w:szCs w:val="22"/>
          <w:lang w:val="en-US"/>
        </w:rPr>
        <w:t>աջակցության</w:t>
      </w:r>
      <w:r w:rsidRPr="009070BD">
        <w:rPr>
          <w:szCs w:val="22"/>
          <w:lang w:val="af-ZA"/>
        </w:rPr>
        <w:t xml:space="preserve"> </w:t>
      </w:r>
      <w:r w:rsidRPr="009070BD">
        <w:rPr>
          <w:szCs w:val="22"/>
          <w:lang w:val="en-US"/>
        </w:rPr>
        <w:t>ծրագիր</w:t>
      </w:r>
      <w:r w:rsidRPr="009070BD">
        <w:rPr>
          <w:szCs w:val="22"/>
          <w:lang w:val="af-ZA"/>
        </w:rPr>
        <w:t></w:t>
      </w:r>
      <w:r w:rsidRPr="009070BD">
        <w:rPr>
          <w:b w:val="0"/>
          <w:lang w:val="af-ZA"/>
        </w:rPr>
        <w:t xml:space="preserve"> </w:t>
      </w:r>
      <w:r w:rsidRPr="009070BD">
        <w:rPr>
          <w:b w:val="0"/>
          <w:szCs w:val="22"/>
          <w:lang w:val="en-US"/>
        </w:rPr>
        <w:t>միջոցառման</w:t>
      </w:r>
      <w:r w:rsidRPr="009070BD">
        <w:rPr>
          <w:b w:val="0"/>
          <w:szCs w:val="22"/>
          <w:lang w:val="af-ZA"/>
        </w:rPr>
        <w:t xml:space="preserve"> </w:t>
      </w:r>
      <w:r w:rsidRPr="009070BD">
        <w:rPr>
          <w:b w:val="0"/>
          <w:szCs w:val="22"/>
          <w:lang w:val="en-US"/>
        </w:rPr>
        <w:t>համար</w:t>
      </w:r>
      <w:r w:rsidRPr="009070BD">
        <w:rPr>
          <w:b w:val="0"/>
          <w:szCs w:val="22"/>
          <w:lang w:val="af-ZA"/>
        </w:rPr>
        <w:t xml:space="preserve"> </w:t>
      </w:r>
      <w:r w:rsidRPr="009070BD">
        <w:rPr>
          <w:b w:val="0"/>
          <w:szCs w:val="22"/>
          <w:lang w:val="en-US"/>
        </w:rPr>
        <w:t>Նախագծով</w:t>
      </w:r>
      <w:r w:rsidRPr="009070BD">
        <w:rPr>
          <w:b w:val="0"/>
          <w:szCs w:val="22"/>
          <w:lang w:val="af-ZA"/>
        </w:rPr>
        <w:t xml:space="preserve"> </w:t>
      </w:r>
      <w:r w:rsidRPr="009070BD">
        <w:rPr>
          <w:b w:val="0"/>
          <w:szCs w:val="22"/>
          <w:lang w:val="en-US"/>
        </w:rPr>
        <w:t>նախատեսվում</w:t>
      </w:r>
      <w:r w:rsidRPr="009070BD">
        <w:rPr>
          <w:b w:val="0"/>
          <w:szCs w:val="22"/>
          <w:lang w:val="af-ZA"/>
        </w:rPr>
        <w:t xml:space="preserve"> </w:t>
      </w:r>
      <w:r w:rsidRPr="009070BD">
        <w:rPr>
          <w:b w:val="0"/>
          <w:szCs w:val="22"/>
          <w:lang w:val="en-US"/>
        </w:rPr>
        <w:t>է</w:t>
      </w:r>
      <w:r w:rsidRPr="009070BD">
        <w:rPr>
          <w:b w:val="0"/>
          <w:szCs w:val="22"/>
          <w:lang w:val="af-ZA"/>
        </w:rPr>
        <w:t xml:space="preserve"> </w:t>
      </w:r>
      <w:r w:rsidRPr="009070BD">
        <w:rPr>
          <w:b w:val="0"/>
          <w:szCs w:val="22"/>
          <w:lang w:val="en-US"/>
        </w:rPr>
        <w:t>հատկացնել</w:t>
      </w:r>
      <w:r w:rsidRPr="009070BD">
        <w:rPr>
          <w:b w:val="0"/>
          <w:szCs w:val="22"/>
          <w:lang w:val="af-ZA"/>
        </w:rPr>
        <w:t xml:space="preserve"> 67.1 </w:t>
      </w:r>
      <w:r w:rsidRPr="009070BD">
        <w:rPr>
          <w:b w:val="0"/>
          <w:szCs w:val="22"/>
          <w:lang w:val="en-US"/>
        </w:rPr>
        <w:t>մլն</w:t>
      </w:r>
      <w:r w:rsidRPr="009070BD">
        <w:rPr>
          <w:b w:val="0"/>
          <w:szCs w:val="22"/>
          <w:lang w:val="af-ZA"/>
        </w:rPr>
        <w:t xml:space="preserve"> </w:t>
      </w:r>
      <w:r w:rsidRPr="009070BD">
        <w:rPr>
          <w:b w:val="0"/>
          <w:szCs w:val="22"/>
          <w:lang w:val="en-US"/>
        </w:rPr>
        <w:t>դրամ՝</w:t>
      </w:r>
      <w:r w:rsidRPr="009070BD">
        <w:rPr>
          <w:b w:val="0"/>
          <w:szCs w:val="22"/>
          <w:lang w:val="af-ZA"/>
        </w:rPr>
        <w:t xml:space="preserve"> </w:t>
      </w:r>
      <w:r w:rsidRPr="009070BD">
        <w:rPr>
          <w:rFonts w:cs="Sylfaen"/>
          <w:b w:val="0"/>
          <w:lang w:val="hy-AM"/>
        </w:rPr>
        <w:t>ՀՀ</w:t>
      </w:r>
      <w:r w:rsidRPr="009070BD">
        <w:rPr>
          <w:rFonts w:cs="Sylfaen"/>
          <w:b w:val="0"/>
          <w:lang w:val="ro-RO"/>
        </w:rPr>
        <w:t xml:space="preserve"> 2020</w:t>
      </w:r>
      <w:r w:rsidRPr="009070BD">
        <w:rPr>
          <w:b w:val="0"/>
          <w:lang w:val="ro-RO"/>
        </w:rPr>
        <w:t xml:space="preserve"> </w:t>
      </w:r>
      <w:r w:rsidRPr="009070BD">
        <w:rPr>
          <w:b w:val="0"/>
          <w:lang w:val="hy-AM"/>
        </w:rPr>
        <w:t>թվականի</w:t>
      </w:r>
      <w:r w:rsidRPr="009070BD">
        <w:rPr>
          <w:rFonts w:cs="Sylfaen"/>
          <w:b w:val="0"/>
          <w:lang w:val="ro-RO"/>
        </w:rPr>
        <w:t xml:space="preserve"> </w:t>
      </w:r>
      <w:r w:rsidRPr="009070BD">
        <w:rPr>
          <w:rFonts w:cs="Sylfaen"/>
          <w:b w:val="0"/>
          <w:lang w:val="hy-AM"/>
        </w:rPr>
        <w:t>պետական</w:t>
      </w:r>
      <w:r w:rsidRPr="009070BD">
        <w:rPr>
          <w:rFonts w:cs="Sylfaen"/>
          <w:b w:val="0"/>
          <w:lang w:val="ro-RO"/>
        </w:rPr>
        <w:t xml:space="preserve"> </w:t>
      </w:r>
      <w:r w:rsidRPr="009070BD">
        <w:rPr>
          <w:rFonts w:cs="Sylfaen"/>
          <w:b w:val="0"/>
          <w:lang w:val="hy-AM"/>
        </w:rPr>
        <w:t>բյուջեով</w:t>
      </w:r>
      <w:r w:rsidRPr="009070BD">
        <w:rPr>
          <w:rFonts w:cs="Sylfaen"/>
          <w:b w:val="0"/>
          <w:lang w:val="ro-RO"/>
        </w:rPr>
        <w:t xml:space="preserve"> </w:t>
      </w:r>
      <w:r w:rsidRPr="009070BD">
        <w:rPr>
          <w:rFonts w:cs="Sylfaen"/>
          <w:b w:val="0"/>
          <w:lang w:val="hy-AM"/>
        </w:rPr>
        <w:t>հաստատ</w:t>
      </w:r>
      <w:r w:rsidRPr="009070BD">
        <w:rPr>
          <w:rFonts w:cs="Sylfaen"/>
          <w:b w:val="0"/>
          <w:lang w:val="ro-RO"/>
        </w:rPr>
        <w:softHyphen/>
      </w:r>
      <w:r w:rsidRPr="009070BD">
        <w:rPr>
          <w:rFonts w:cs="Sylfaen"/>
          <w:b w:val="0"/>
          <w:lang w:val="hy-AM"/>
        </w:rPr>
        <w:t>ված</w:t>
      </w:r>
      <w:r w:rsidRPr="009070BD">
        <w:rPr>
          <w:rFonts w:cs="Sylfaen"/>
          <w:b w:val="0"/>
          <w:lang w:val="af-ZA"/>
        </w:rPr>
        <w:t xml:space="preserve"> </w:t>
      </w:r>
      <w:r w:rsidRPr="009070BD">
        <w:rPr>
          <w:rFonts w:cs="Sylfaen"/>
          <w:b w:val="0"/>
          <w:lang w:val="en-US"/>
        </w:rPr>
        <w:t>չափաքանակին</w:t>
      </w:r>
      <w:r w:rsidRPr="009070BD">
        <w:rPr>
          <w:rFonts w:cs="Sylfaen"/>
          <w:b w:val="0"/>
          <w:lang w:val="af-ZA"/>
        </w:rPr>
        <w:t xml:space="preserve"> </w:t>
      </w:r>
      <w:r w:rsidRPr="009070BD">
        <w:rPr>
          <w:rFonts w:cs="Sylfaen"/>
          <w:b w:val="0"/>
          <w:lang w:val="en-US"/>
        </w:rPr>
        <w:t>համապատասխան</w:t>
      </w:r>
      <w:r w:rsidRPr="009070BD">
        <w:rPr>
          <w:rFonts w:eastAsia="Calibri" w:cs="Times LatArm"/>
          <w:b w:val="0"/>
          <w:szCs w:val="22"/>
          <w:lang w:val="ro-RO" w:eastAsia="en-US"/>
        </w:rPr>
        <w:t>:</w:t>
      </w:r>
      <w:r w:rsidRPr="009070BD">
        <w:rPr>
          <w:rFonts w:cs="Sylfaen"/>
          <w:b w:val="0"/>
          <w:lang w:val="ro-RO"/>
        </w:rPr>
        <w:t xml:space="preserve"> </w:t>
      </w:r>
    </w:p>
    <w:p w:rsidR="00B36A46" w:rsidRPr="009070BD" w:rsidRDefault="00B36A46" w:rsidP="007730AA">
      <w:pPr>
        <w:autoSpaceDE w:val="0"/>
        <w:autoSpaceDN w:val="0"/>
        <w:adjustRightInd w:val="0"/>
        <w:spacing w:before="0" w:line="276" w:lineRule="auto"/>
        <w:ind w:firstLine="720"/>
        <w:rPr>
          <w:b w:val="0"/>
          <w:lang w:val="af-ZA"/>
        </w:rPr>
      </w:pPr>
      <w:r w:rsidRPr="009070BD">
        <w:rPr>
          <w:b w:val="0"/>
          <w:szCs w:val="22"/>
          <w:lang w:val="en-US"/>
        </w:rPr>
        <w:t>Միջոցառման</w:t>
      </w:r>
      <w:r w:rsidRPr="009070BD">
        <w:rPr>
          <w:b w:val="0"/>
          <w:szCs w:val="22"/>
          <w:lang w:val="af-ZA"/>
        </w:rPr>
        <w:t xml:space="preserve"> </w:t>
      </w:r>
      <w:r w:rsidRPr="009070BD">
        <w:rPr>
          <w:b w:val="0"/>
          <w:szCs w:val="22"/>
          <w:lang w:val="en-US"/>
        </w:rPr>
        <w:t>նպատակը</w:t>
      </w:r>
      <w:r w:rsidRPr="009070BD">
        <w:rPr>
          <w:b w:val="0"/>
          <w:szCs w:val="22"/>
          <w:lang w:val="af-ZA"/>
        </w:rPr>
        <w:t xml:space="preserve"> </w:t>
      </w:r>
      <w:r w:rsidRPr="009070BD">
        <w:rPr>
          <w:b w:val="0"/>
          <w:szCs w:val="22"/>
          <w:lang w:val="en-US"/>
        </w:rPr>
        <w:t>կատարված</w:t>
      </w:r>
      <w:r w:rsidRPr="009070BD">
        <w:rPr>
          <w:b w:val="0"/>
          <w:szCs w:val="22"/>
          <w:lang w:val="af-ZA"/>
        </w:rPr>
        <w:t xml:space="preserve"> </w:t>
      </w:r>
      <w:r w:rsidRPr="009070BD">
        <w:rPr>
          <w:b w:val="0"/>
          <w:szCs w:val="22"/>
          <w:lang w:val="en-US"/>
        </w:rPr>
        <w:t>ծախսերի</w:t>
      </w:r>
      <w:r w:rsidRPr="009070BD">
        <w:rPr>
          <w:b w:val="0"/>
          <w:szCs w:val="22"/>
          <w:lang w:val="af-ZA"/>
        </w:rPr>
        <w:t xml:space="preserve"> </w:t>
      </w:r>
      <w:r w:rsidRPr="009070BD">
        <w:rPr>
          <w:b w:val="0"/>
          <w:szCs w:val="22"/>
          <w:lang w:val="en-US"/>
        </w:rPr>
        <w:t>մասնակի</w:t>
      </w:r>
      <w:r w:rsidRPr="009070BD">
        <w:rPr>
          <w:b w:val="0"/>
          <w:szCs w:val="22"/>
          <w:lang w:val="af-ZA"/>
        </w:rPr>
        <w:t xml:space="preserve"> </w:t>
      </w:r>
      <w:r w:rsidRPr="009070BD">
        <w:rPr>
          <w:b w:val="0"/>
          <w:szCs w:val="22"/>
          <w:lang w:val="en-US"/>
        </w:rPr>
        <w:t>փոխհատուցման</w:t>
      </w:r>
      <w:r w:rsidRPr="009070BD">
        <w:rPr>
          <w:b w:val="0"/>
          <w:szCs w:val="22"/>
          <w:lang w:val="af-ZA"/>
        </w:rPr>
        <w:t xml:space="preserve"> </w:t>
      </w:r>
      <w:r w:rsidRPr="009070BD">
        <w:rPr>
          <w:b w:val="0"/>
          <w:szCs w:val="22"/>
          <w:lang w:val="en-US"/>
        </w:rPr>
        <w:t>միջոցով</w:t>
      </w:r>
      <w:r w:rsidRPr="009070BD">
        <w:rPr>
          <w:b w:val="0"/>
          <w:szCs w:val="22"/>
          <w:lang w:val="af-ZA"/>
        </w:rPr>
        <w:t xml:space="preserve"> </w:t>
      </w:r>
      <w:r w:rsidRPr="009070BD">
        <w:rPr>
          <w:b w:val="0"/>
          <w:lang w:val="en-US"/>
        </w:rPr>
        <w:t>խաղողի</w:t>
      </w:r>
      <w:r w:rsidRPr="009070BD">
        <w:rPr>
          <w:b w:val="0"/>
          <w:lang w:val="af-ZA"/>
        </w:rPr>
        <w:t xml:space="preserve">, </w:t>
      </w:r>
      <w:r w:rsidRPr="009070BD">
        <w:rPr>
          <w:b w:val="0"/>
        </w:rPr>
        <w:t>ինտենսիվ</w:t>
      </w:r>
      <w:r w:rsidRPr="009070BD">
        <w:rPr>
          <w:b w:val="0"/>
          <w:lang w:val="af-ZA"/>
        </w:rPr>
        <w:t xml:space="preserve"> </w:t>
      </w:r>
      <w:r w:rsidRPr="009070BD">
        <w:rPr>
          <w:b w:val="0"/>
        </w:rPr>
        <w:t>պտղատու</w:t>
      </w:r>
      <w:r w:rsidRPr="009070BD">
        <w:rPr>
          <w:b w:val="0"/>
          <w:lang w:val="af-ZA"/>
        </w:rPr>
        <w:t xml:space="preserve"> </w:t>
      </w:r>
      <w:r w:rsidRPr="009070BD">
        <w:rPr>
          <w:b w:val="0"/>
        </w:rPr>
        <w:t>և</w:t>
      </w:r>
      <w:r w:rsidRPr="009070BD">
        <w:rPr>
          <w:b w:val="0"/>
          <w:lang w:val="af-ZA"/>
        </w:rPr>
        <w:t xml:space="preserve"> </w:t>
      </w:r>
      <w:r w:rsidRPr="009070BD">
        <w:rPr>
          <w:b w:val="0"/>
        </w:rPr>
        <w:t>հատապտղատու</w:t>
      </w:r>
      <w:r w:rsidRPr="009070BD">
        <w:rPr>
          <w:b w:val="0"/>
          <w:lang w:val="af-ZA"/>
        </w:rPr>
        <w:t xml:space="preserve"> </w:t>
      </w:r>
      <w:r w:rsidRPr="009070BD">
        <w:rPr>
          <w:b w:val="0"/>
        </w:rPr>
        <w:t>այգետնկումների</w:t>
      </w:r>
      <w:r w:rsidRPr="009070BD">
        <w:rPr>
          <w:b w:val="0"/>
          <w:lang w:val="af-ZA"/>
        </w:rPr>
        <w:t xml:space="preserve"> </w:t>
      </w:r>
      <w:r w:rsidRPr="009070BD">
        <w:rPr>
          <w:b w:val="0"/>
        </w:rPr>
        <w:t>խթանմամբ</w:t>
      </w:r>
      <w:r w:rsidRPr="009070BD">
        <w:rPr>
          <w:b w:val="0"/>
          <w:lang w:val="af-ZA"/>
        </w:rPr>
        <w:t xml:space="preserve"> </w:t>
      </w:r>
      <w:r w:rsidRPr="009070BD">
        <w:rPr>
          <w:b w:val="0"/>
        </w:rPr>
        <w:t>հանրապետությունում</w:t>
      </w:r>
      <w:r w:rsidRPr="009070BD">
        <w:rPr>
          <w:b w:val="0"/>
          <w:lang w:val="af-ZA"/>
        </w:rPr>
        <w:t xml:space="preserve"> </w:t>
      </w:r>
      <w:r w:rsidRPr="009070BD">
        <w:rPr>
          <w:b w:val="0"/>
        </w:rPr>
        <w:t>պտղաբուծության</w:t>
      </w:r>
      <w:r w:rsidRPr="009070BD">
        <w:rPr>
          <w:b w:val="0"/>
          <w:lang w:val="af-ZA"/>
        </w:rPr>
        <w:t xml:space="preserve"> </w:t>
      </w:r>
      <w:r w:rsidRPr="009070BD">
        <w:rPr>
          <w:b w:val="0"/>
          <w:lang w:val="en-US"/>
        </w:rPr>
        <w:t>և</w:t>
      </w:r>
      <w:r w:rsidRPr="009070BD">
        <w:rPr>
          <w:b w:val="0"/>
          <w:lang w:val="af-ZA"/>
        </w:rPr>
        <w:t xml:space="preserve"> </w:t>
      </w:r>
      <w:r w:rsidRPr="009070BD">
        <w:rPr>
          <w:b w:val="0"/>
          <w:lang w:val="en-US"/>
        </w:rPr>
        <w:t>խաղողագործության</w:t>
      </w:r>
      <w:r w:rsidRPr="009070BD">
        <w:rPr>
          <w:b w:val="0"/>
          <w:lang w:val="af-ZA"/>
        </w:rPr>
        <w:t xml:space="preserve"> </w:t>
      </w:r>
      <w:r w:rsidRPr="009070BD">
        <w:rPr>
          <w:b w:val="0"/>
        </w:rPr>
        <w:t>զարգացումն</w:t>
      </w:r>
      <w:r w:rsidRPr="009070BD">
        <w:rPr>
          <w:b w:val="0"/>
          <w:lang w:val="af-ZA"/>
        </w:rPr>
        <w:t xml:space="preserve"> </w:t>
      </w:r>
      <w:r w:rsidRPr="009070BD">
        <w:rPr>
          <w:b w:val="0"/>
        </w:rPr>
        <w:t>է</w:t>
      </w:r>
      <w:r w:rsidRPr="009070BD">
        <w:rPr>
          <w:b w:val="0"/>
          <w:lang w:val="af-ZA"/>
        </w:rPr>
        <w:t xml:space="preserve">, </w:t>
      </w:r>
      <w:r w:rsidRPr="009070BD">
        <w:rPr>
          <w:b w:val="0"/>
          <w:lang w:val="en-US"/>
        </w:rPr>
        <w:t>խաղողի</w:t>
      </w:r>
      <w:r w:rsidRPr="009070BD">
        <w:rPr>
          <w:b w:val="0"/>
          <w:lang w:val="af-ZA"/>
        </w:rPr>
        <w:t xml:space="preserve">, </w:t>
      </w:r>
      <w:r w:rsidRPr="009070BD">
        <w:rPr>
          <w:b w:val="0"/>
        </w:rPr>
        <w:t>պտղի</w:t>
      </w:r>
      <w:r w:rsidRPr="009070BD">
        <w:rPr>
          <w:b w:val="0"/>
          <w:lang w:val="af-ZA"/>
        </w:rPr>
        <w:t xml:space="preserve"> </w:t>
      </w:r>
      <w:r w:rsidRPr="009070BD">
        <w:rPr>
          <w:b w:val="0"/>
        </w:rPr>
        <w:t>և</w:t>
      </w:r>
      <w:r w:rsidRPr="009070BD">
        <w:rPr>
          <w:b w:val="0"/>
          <w:lang w:val="af-ZA"/>
        </w:rPr>
        <w:t xml:space="preserve"> </w:t>
      </w:r>
      <w:r w:rsidRPr="009070BD">
        <w:rPr>
          <w:b w:val="0"/>
        </w:rPr>
        <w:t>հատապտղի</w:t>
      </w:r>
      <w:r w:rsidRPr="009070BD">
        <w:rPr>
          <w:b w:val="0"/>
          <w:lang w:val="af-ZA"/>
        </w:rPr>
        <w:t xml:space="preserve"> </w:t>
      </w:r>
      <w:r w:rsidRPr="009070BD">
        <w:rPr>
          <w:b w:val="0"/>
        </w:rPr>
        <w:t>արտադրության</w:t>
      </w:r>
      <w:r w:rsidRPr="009070BD">
        <w:rPr>
          <w:b w:val="0"/>
          <w:lang w:val="af-ZA"/>
        </w:rPr>
        <w:t xml:space="preserve"> </w:t>
      </w:r>
      <w:r w:rsidRPr="009070BD">
        <w:rPr>
          <w:b w:val="0"/>
        </w:rPr>
        <w:t>ծավալների</w:t>
      </w:r>
      <w:r w:rsidRPr="009070BD">
        <w:rPr>
          <w:b w:val="0"/>
          <w:lang w:val="af-ZA"/>
        </w:rPr>
        <w:t xml:space="preserve"> </w:t>
      </w:r>
      <w:r w:rsidRPr="009070BD">
        <w:rPr>
          <w:b w:val="0"/>
        </w:rPr>
        <w:t>ավելացումը</w:t>
      </w:r>
      <w:r w:rsidRPr="009070BD">
        <w:rPr>
          <w:b w:val="0"/>
          <w:lang w:val="af-ZA"/>
        </w:rPr>
        <w:t xml:space="preserve">, </w:t>
      </w:r>
      <w:r w:rsidRPr="009070BD">
        <w:rPr>
          <w:b w:val="0"/>
          <w:lang w:val="en-US"/>
        </w:rPr>
        <w:t>պտուղների</w:t>
      </w:r>
      <w:r w:rsidRPr="009070BD">
        <w:rPr>
          <w:b w:val="0"/>
          <w:lang w:val="af-ZA"/>
        </w:rPr>
        <w:t xml:space="preserve"> </w:t>
      </w:r>
      <w:r w:rsidRPr="009070BD">
        <w:rPr>
          <w:b w:val="0"/>
          <w:lang w:val="en-US"/>
        </w:rPr>
        <w:t>և</w:t>
      </w:r>
      <w:r w:rsidRPr="009070BD">
        <w:rPr>
          <w:b w:val="0"/>
          <w:lang w:val="af-ZA"/>
        </w:rPr>
        <w:t xml:space="preserve"> </w:t>
      </w:r>
      <w:r w:rsidRPr="009070BD">
        <w:rPr>
          <w:b w:val="0"/>
          <w:lang w:val="en-US"/>
        </w:rPr>
        <w:t>հատապտուղների</w:t>
      </w:r>
      <w:r w:rsidRPr="009070BD">
        <w:rPr>
          <w:b w:val="0"/>
          <w:lang w:val="af-ZA"/>
        </w:rPr>
        <w:t xml:space="preserve"> </w:t>
      </w:r>
      <w:r w:rsidRPr="009070BD">
        <w:rPr>
          <w:b w:val="0"/>
        </w:rPr>
        <w:t>ներմուծման</w:t>
      </w:r>
      <w:r w:rsidRPr="009070BD">
        <w:rPr>
          <w:b w:val="0"/>
          <w:lang w:val="af-ZA"/>
        </w:rPr>
        <w:t xml:space="preserve"> </w:t>
      </w:r>
      <w:r w:rsidRPr="009070BD">
        <w:rPr>
          <w:b w:val="0"/>
        </w:rPr>
        <w:t>փոխարինումը</w:t>
      </w:r>
      <w:r w:rsidRPr="009070BD">
        <w:rPr>
          <w:b w:val="0"/>
          <w:lang w:val="af-ZA"/>
        </w:rPr>
        <w:t xml:space="preserve"> </w:t>
      </w:r>
      <w:r w:rsidRPr="009070BD">
        <w:rPr>
          <w:b w:val="0"/>
        </w:rPr>
        <w:t>և</w:t>
      </w:r>
      <w:r w:rsidRPr="009070BD">
        <w:rPr>
          <w:b w:val="0"/>
          <w:lang w:val="af-ZA"/>
        </w:rPr>
        <w:t xml:space="preserve"> </w:t>
      </w:r>
      <w:r w:rsidRPr="009070BD">
        <w:rPr>
          <w:b w:val="0"/>
        </w:rPr>
        <w:t>արտահանման</w:t>
      </w:r>
      <w:r w:rsidRPr="009070BD">
        <w:rPr>
          <w:b w:val="0"/>
          <w:lang w:val="af-ZA"/>
        </w:rPr>
        <w:t xml:space="preserve"> </w:t>
      </w:r>
      <w:r w:rsidRPr="009070BD">
        <w:rPr>
          <w:b w:val="0"/>
        </w:rPr>
        <w:t>ծավալների</w:t>
      </w:r>
      <w:r w:rsidRPr="009070BD">
        <w:rPr>
          <w:b w:val="0"/>
          <w:lang w:val="af-ZA"/>
        </w:rPr>
        <w:t xml:space="preserve"> </w:t>
      </w:r>
      <w:r w:rsidRPr="009070BD">
        <w:rPr>
          <w:b w:val="0"/>
        </w:rPr>
        <w:t>ավելացումը</w:t>
      </w:r>
      <w:r w:rsidRPr="009070BD">
        <w:rPr>
          <w:b w:val="0"/>
          <w:lang w:val="af-ZA"/>
        </w:rPr>
        <w:t xml:space="preserve">: </w:t>
      </w:r>
    </w:p>
    <w:p w:rsidR="00B36A46" w:rsidRPr="009070BD" w:rsidRDefault="00B36A46" w:rsidP="007730AA">
      <w:pPr>
        <w:autoSpaceDE w:val="0"/>
        <w:autoSpaceDN w:val="0"/>
        <w:adjustRightInd w:val="0"/>
        <w:spacing w:before="0" w:line="276" w:lineRule="auto"/>
        <w:ind w:firstLine="720"/>
        <w:rPr>
          <w:rFonts w:cs="Sylfaen"/>
          <w:b w:val="0"/>
          <w:lang w:val="ro-RO"/>
        </w:rPr>
      </w:pPr>
      <w:r w:rsidRPr="009070BD">
        <w:rPr>
          <w:lang w:val="af-ZA"/>
        </w:rPr>
        <w:t xml:space="preserve">9.8 </w:t>
      </w:r>
      <w:r w:rsidRPr="009070BD">
        <w:rPr>
          <w:szCs w:val="22"/>
          <w:lang w:val="af-ZA"/>
        </w:rPr>
        <w:t></w:t>
      </w:r>
      <w:r w:rsidRPr="009070BD">
        <w:t>Հայաստանի</w:t>
      </w:r>
      <w:r w:rsidRPr="009070BD">
        <w:rPr>
          <w:lang w:val="af-ZA"/>
        </w:rPr>
        <w:t xml:space="preserve"> </w:t>
      </w:r>
      <w:r w:rsidRPr="009070BD">
        <w:t>Հանրապետությունում</w:t>
      </w:r>
      <w:r w:rsidRPr="009070BD">
        <w:rPr>
          <w:lang w:val="af-ZA"/>
        </w:rPr>
        <w:t xml:space="preserve"> 2019-2024 </w:t>
      </w:r>
      <w:r w:rsidRPr="009070BD">
        <w:t>թվականների</w:t>
      </w:r>
      <w:r w:rsidRPr="009070BD">
        <w:rPr>
          <w:lang w:val="af-ZA"/>
        </w:rPr>
        <w:t xml:space="preserve"> </w:t>
      </w:r>
      <w:r w:rsidRPr="009070BD">
        <w:t>տավարաբուծության</w:t>
      </w:r>
      <w:r w:rsidRPr="009070BD">
        <w:rPr>
          <w:lang w:val="af-ZA"/>
        </w:rPr>
        <w:t xml:space="preserve"> </w:t>
      </w:r>
      <w:r w:rsidRPr="009070BD">
        <w:t>զարգացման</w:t>
      </w:r>
      <w:r w:rsidRPr="009070BD">
        <w:rPr>
          <w:lang w:val="af-ZA"/>
        </w:rPr>
        <w:t xml:space="preserve"> </w:t>
      </w:r>
      <w:r w:rsidRPr="009070BD">
        <w:t>ծրագիր</w:t>
      </w:r>
      <w:r w:rsidRPr="009070BD">
        <w:rPr>
          <w:szCs w:val="22"/>
          <w:lang w:val="af-ZA"/>
        </w:rPr>
        <w:t></w:t>
      </w:r>
      <w:r w:rsidRPr="009070BD">
        <w:rPr>
          <w:lang w:val="af-ZA"/>
        </w:rPr>
        <w:t xml:space="preserve"> </w:t>
      </w:r>
      <w:r w:rsidRPr="009070BD">
        <w:rPr>
          <w:b w:val="0"/>
          <w:szCs w:val="22"/>
          <w:lang w:val="en-US"/>
        </w:rPr>
        <w:t>միջոցառման</w:t>
      </w:r>
      <w:r w:rsidRPr="009070BD">
        <w:rPr>
          <w:b w:val="0"/>
          <w:szCs w:val="22"/>
          <w:lang w:val="af-ZA"/>
        </w:rPr>
        <w:t xml:space="preserve"> </w:t>
      </w:r>
      <w:r w:rsidRPr="009070BD">
        <w:rPr>
          <w:b w:val="0"/>
          <w:szCs w:val="22"/>
          <w:lang w:val="en-US"/>
        </w:rPr>
        <w:t>համար</w:t>
      </w:r>
      <w:r w:rsidRPr="009070BD">
        <w:rPr>
          <w:b w:val="0"/>
          <w:szCs w:val="22"/>
          <w:lang w:val="af-ZA"/>
        </w:rPr>
        <w:t xml:space="preserve"> </w:t>
      </w:r>
      <w:r w:rsidRPr="009070BD">
        <w:rPr>
          <w:b w:val="0"/>
          <w:szCs w:val="22"/>
          <w:lang w:val="en-US"/>
        </w:rPr>
        <w:t>Նախագծով</w:t>
      </w:r>
      <w:r w:rsidRPr="009070BD">
        <w:rPr>
          <w:b w:val="0"/>
          <w:szCs w:val="22"/>
          <w:lang w:val="af-ZA"/>
        </w:rPr>
        <w:t xml:space="preserve"> </w:t>
      </w:r>
      <w:r w:rsidRPr="009070BD">
        <w:rPr>
          <w:b w:val="0"/>
          <w:szCs w:val="22"/>
          <w:lang w:val="en-US"/>
        </w:rPr>
        <w:t>նախատեսվում</w:t>
      </w:r>
      <w:r w:rsidRPr="009070BD">
        <w:rPr>
          <w:b w:val="0"/>
          <w:szCs w:val="22"/>
          <w:lang w:val="af-ZA"/>
        </w:rPr>
        <w:t xml:space="preserve"> </w:t>
      </w:r>
      <w:r w:rsidRPr="009070BD">
        <w:rPr>
          <w:b w:val="0"/>
          <w:szCs w:val="22"/>
          <w:lang w:val="en-US"/>
        </w:rPr>
        <w:t>է</w:t>
      </w:r>
      <w:r w:rsidRPr="009070BD">
        <w:rPr>
          <w:b w:val="0"/>
          <w:szCs w:val="22"/>
          <w:lang w:val="af-ZA"/>
        </w:rPr>
        <w:t xml:space="preserve"> </w:t>
      </w:r>
      <w:r w:rsidRPr="009070BD">
        <w:rPr>
          <w:b w:val="0"/>
          <w:szCs w:val="22"/>
          <w:lang w:val="en-US"/>
        </w:rPr>
        <w:t>հատկացնել</w:t>
      </w:r>
      <w:r w:rsidRPr="009070BD">
        <w:rPr>
          <w:b w:val="0"/>
          <w:szCs w:val="22"/>
          <w:lang w:val="af-ZA"/>
        </w:rPr>
        <w:t xml:space="preserve"> 151.7 մլն դրամ՝ </w:t>
      </w:r>
      <w:r w:rsidRPr="009070BD">
        <w:rPr>
          <w:rFonts w:cs="Sylfaen"/>
          <w:b w:val="0"/>
          <w:lang w:val="hy-AM"/>
        </w:rPr>
        <w:t>ՀՀ</w:t>
      </w:r>
      <w:r w:rsidRPr="009070BD">
        <w:rPr>
          <w:rFonts w:cs="Sylfaen"/>
          <w:b w:val="0"/>
          <w:lang w:val="ro-RO"/>
        </w:rPr>
        <w:t xml:space="preserve"> 2020</w:t>
      </w:r>
      <w:r w:rsidRPr="009070BD">
        <w:rPr>
          <w:b w:val="0"/>
          <w:lang w:val="ro-RO"/>
        </w:rPr>
        <w:t xml:space="preserve"> </w:t>
      </w:r>
      <w:r w:rsidRPr="009070BD">
        <w:rPr>
          <w:b w:val="0"/>
          <w:lang w:val="hy-AM"/>
        </w:rPr>
        <w:t>թվականի</w:t>
      </w:r>
      <w:r w:rsidRPr="009070BD">
        <w:rPr>
          <w:rFonts w:cs="Sylfaen"/>
          <w:b w:val="0"/>
          <w:lang w:val="ro-RO"/>
        </w:rPr>
        <w:t xml:space="preserve"> </w:t>
      </w:r>
      <w:r w:rsidRPr="009070BD">
        <w:rPr>
          <w:rFonts w:cs="Sylfaen"/>
          <w:b w:val="0"/>
          <w:lang w:val="hy-AM"/>
        </w:rPr>
        <w:t>պետական</w:t>
      </w:r>
      <w:r w:rsidRPr="009070BD">
        <w:rPr>
          <w:rFonts w:cs="Sylfaen"/>
          <w:b w:val="0"/>
          <w:lang w:val="ro-RO"/>
        </w:rPr>
        <w:t xml:space="preserve"> </w:t>
      </w:r>
      <w:r w:rsidRPr="009070BD">
        <w:rPr>
          <w:rFonts w:cs="Sylfaen"/>
          <w:b w:val="0"/>
          <w:lang w:val="hy-AM"/>
        </w:rPr>
        <w:t>բյուջեով</w:t>
      </w:r>
      <w:r w:rsidRPr="009070BD">
        <w:rPr>
          <w:rFonts w:cs="Sylfaen"/>
          <w:b w:val="0"/>
          <w:lang w:val="ro-RO"/>
        </w:rPr>
        <w:t xml:space="preserve"> </w:t>
      </w:r>
      <w:r w:rsidRPr="009070BD">
        <w:rPr>
          <w:rFonts w:cs="Sylfaen"/>
          <w:b w:val="0"/>
          <w:lang w:val="hy-AM"/>
        </w:rPr>
        <w:t>հաստատ</w:t>
      </w:r>
      <w:r w:rsidRPr="009070BD">
        <w:rPr>
          <w:rFonts w:cs="Sylfaen"/>
          <w:b w:val="0"/>
          <w:lang w:val="ro-RO"/>
        </w:rPr>
        <w:softHyphen/>
      </w:r>
      <w:r w:rsidRPr="009070BD">
        <w:rPr>
          <w:rFonts w:cs="Sylfaen"/>
          <w:b w:val="0"/>
          <w:lang w:val="hy-AM"/>
        </w:rPr>
        <w:t>ված</w:t>
      </w:r>
      <w:r w:rsidRPr="009070BD">
        <w:rPr>
          <w:rFonts w:cs="Sylfaen"/>
          <w:b w:val="0"/>
          <w:lang w:val="af-ZA"/>
        </w:rPr>
        <w:t xml:space="preserve"> </w:t>
      </w:r>
      <w:r w:rsidRPr="009070BD">
        <w:rPr>
          <w:b w:val="0"/>
          <w:lang w:val="ro-RO"/>
        </w:rPr>
        <w:t xml:space="preserve">200.5 </w:t>
      </w:r>
      <w:r w:rsidRPr="009070BD">
        <w:rPr>
          <w:rFonts w:cs="Sylfaen"/>
          <w:b w:val="0"/>
          <w:lang w:val="hy-AM"/>
        </w:rPr>
        <w:t>մլն</w:t>
      </w:r>
      <w:r w:rsidRPr="009070BD">
        <w:rPr>
          <w:rFonts w:cs="Sylfaen"/>
          <w:b w:val="0"/>
          <w:lang w:val="ro-RO"/>
        </w:rPr>
        <w:t xml:space="preserve"> </w:t>
      </w:r>
      <w:r w:rsidRPr="009070BD">
        <w:rPr>
          <w:rFonts w:cs="Sylfaen"/>
          <w:b w:val="0"/>
          <w:lang w:val="hy-AM"/>
        </w:rPr>
        <w:t>դրամի</w:t>
      </w:r>
      <w:r w:rsidRPr="009070BD">
        <w:rPr>
          <w:rFonts w:cs="Sylfaen"/>
          <w:b w:val="0"/>
          <w:lang w:val="af-ZA"/>
        </w:rPr>
        <w:t xml:space="preserve"> </w:t>
      </w:r>
      <w:r w:rsidRPr="009070BD">
        <w:rPr>
          <w:rFonts w:cs="Sylfaen"/>
          <w:b w:val="0"/>
          <w:lang w:val="hy-AM"/>
        </w:rPr>
        <w:t>դիմաց</w:t>
      </w:r>
      <w:r w:rsidRPr="009070BD">
        <w:rPr>
          <w:rFonts w:cs="Sylfaen"/>
          <w:b w:val="0"/>
          <w:lang w:val="af-ZA"/>
        </w:rPr>
        <w:t xml:space="preserve"> </w:t>
      </w:r>
      <w:r w:rsidRPr="009070BD">
        <w:rPr>
          <w:rFonts w:cs="Sylfaen"/>
          <w:b w:val="0"/>
          <w:lang w:val="hy-AM"/>
        </w:rPr>
        <w:t>կամ</w:t>
      </w:r>
      <w:r w:rsidRPr="009070BD">
        <w:rPr>
          <w:rFonts w:cs="Sylfaen"/>
          <w:b w:val="0"/>
          <w:lang w:val="ro-RO"/>
        </w:rPr>
        <w:t xml:space="preserve"> 48.8 մլն դրամով պակաս, </w:t>
      </w:r>
      <w:r w:rsidRPr="009070BD">
        <w:rPr>
          <w:rFonts w:cs="Sylfaen"/>
          <w:b w:val="0"/>
          <w:lang w:val="af-ZA"/>
        </w:rPr>
        <w:t>որը պայմանավորված է փաստացի արդյունքների գնահատմամբ</w:t>
      </w:r>
      <w:r w:rsidRPr="009070BD">
        <w:rPr>
          <w:rFonts w:eastAsia="Calibri" w:cs="Times LatArm"/>
          <w:b w:val="0"/>
          <w:szCs w:val="22"/>
          <w:lang w:val="ro-RO" w:eastAsia="en-US"/>
        </w:rPr>
        <w:t>:</w:t>
      </w:r>
      <w:r w:rsidRPr="009070BD">
        <w:rPr>
          <w:rFonts w:cs="Sylfaen"/>
          <w:b w:val="0"/>
          <w:lang w:val="ro-RO"/>
        </w:rPr>
        <w:t xml:space="preserve"> </w:t>
      </w:r>
    </w:p>
    <w:p w:rsidR="00B36A46" w:rsidRPr="009070BD" w:rsidRDefault="00B36A46" w:rsidP="007730AA">
      <w:pPr>
        <w:autoSpaceDE w:val="0"/>
        <w:autoSpaceDN w:val="0"/>
        <w:adjustRightInd w:val="0"/>
        <w:spacing w:before="0" w:line="276" w:lineRule="auto"/>
        <w:ind w:firstLine="720"/>
        <w:rPr>
          <w:b w:val="0"/>
          <w:szCs w:val="22"/>
          <w:lang w:val="af-ZA"/>
        </w:rPr>
      </w:pPr>
      <w:r w:rsidRPr="009070BD">
        <w:rPr>
          <w:b w:val="0"/>
          <w:szCs w:val="22"/>
          <w:lang w:val="en-US"/>
        </w:rPr>
        <w:t>Միջոցառման</w:t>
      </w:r>
      <w:r w:rsidRPr="009070BD">
        <w:rPr>
          <w:b w:val="0"/>
          <w:szCs w:val="22"/>
          <w:lang w:val="af-ZA"/>
        </w:rPr>
        <w:t xml:space="preserve"> </w:t>
      </w:r>
      <w:r w:rsidRPr="009070BD">
        <w:rPr>
          <w:b w:val="0"/>
          <w:szCs w:val="22"/>
          <w:lang w:val="en-US"/>
        </w:rPr>
        <w:t>նպատակը</w:t>
      </w:r>
      <w:r w:rsidRPr="009070BD">
        <w:rPr>
          <w:b w:val="0"/>
          <w:lang w:val="af-ZA"/>
        </w:rPr>
        <w:t xml:space="preserve"> </w:t>
      </w:r>
      <w:r w:rsidRPr="009070BD">
        <w:rPr>
          <w:b w:val="0"/>
          <w:szCs w:val="22"/>
          <w:lang w:val="en-US"/>
        </w:rPr>
        <w:t>Հ</w:t>
      </w:r>
      <w:r w:rsidRPr="009070BD">
        <w:rPr>
          <w:b w:val="0"/>
        </w:rPr>
        <w:t>այաստանի</w:t>
      </w:r>
      <w:r w:rsidRPr="009070BD">
        <w:rPr>
          <w:b w:val="0"/>
          <w:lang w:val="af-ZA"/>
        </w:rPr>
        <w:t xml:space="preserve"> </w:t>
      </w:r>
      <w:r w:rsidRPr="009070BD">
        <w:rPr>
          <w:b w:val="0"/>
          <w:szCs w:val="22"/>
          <w:lang w:val="en-US"/>
        </w:rPr>
        <w:t>Հ</w:t>
      </w:r>
      <w:r w:rsidRPr="009070BD">
        <w:rPr>
          <w:b w:val="0"/>
        </w:rPr>
        <w:t>անրապետություն</w:t>
      </w:r>
      <w:r w:rsidRPr="009070BD">
        <w:rPr>
          <w:b w:val="0"/>
          <w:szCs w:val="22"/>
          <w:lang w:val="en-US"/>
        </w:rPr>
        <w:t>ում</w:t>
      </w:r>
      <w:r w:rsidRPr="009070BD">
        <w:rPr>
          <w:b w:val="0"/>
          <w:szCs w:val="22"/>
          <w:lang w:val="af-ZA"/>
        </w:rPr>
        <w:t xml:space="preserve"> </w:t>
      </w:r>
      <w:r w:rsidRPr="009070BD">
        <w:rPr>
          <w:b w:val="0"/>
          <w:szCs w:val="22"/>
          <w:lang w:val="en-US"/>
        </w:rPr>
        <w:t>տավարաբուծությամբ</w:t>
      </w:r>
      <w:r w:rsidRPr="009070BD">
        <w:rPr>
          <w:b w:val="0"/>
          <w:szCs w:val="22"/>
          <w:lang w:val="af-ZA"/>
        </w:rPr>
        <w:t xml:space="preserve"> </w:t>
      </w:r>
      <w:r w:rsidRPr="009070BD">
        <w:rPr>
          <w:b w:val="0"/>
          <w:szCs w:val="22"/>
          <w:lang w:val="en-US"/>
        </w:rPr>
        <w:t>զբաղվող</w:t>
      </w:r>
      <w:r w:rsidRPr="009070BD">
        <w:rPr>
          <w:b w:val="0"/>
          <w:szCs w:val="22"/>
          <w:lang w:val="af-ZA"/>
        </w:rPr>
        <w:t xml:space="preserve"> </w:t>
      </w:r>
      <w:r w:rsidRPr="009070BD">
        <w:rPr>
          <w:b w:val="0"/>
          <w:szCs w:val="22"/>
          <w:lang w:val="en-US"/>
        </w:rPr>
        <w:t>տնտեսավարողներին</w:t>
      </w:r>
      <w:r w:rsidRPr="009070BD">
        <w:rPr>
          <w:b w:val="0"/>
          <w:szCs w:val="22"/>
          <w:lang w:val="af-ZA"/>
        </w:rPr>
        <w:t xml:space="preserve"> </w:t>
      </w:r>
      <w:r w:rsidRPr="009070BD">
        <w:rPr>
          <w:b w:val="0"/>
          <w:szCs w:val="22"/>
          <w:lang w:val="en-US"/>
        </w:rPr>
        <w:t>վարկերի</w:t>
      </w:r>
      <w:r w:rsidRPr="009070BD">
        <w:rPr>
          <w:b w:val="0"/>
          <w:szCs w:val="22"/>
          <w:lang w:val="af-ZA"/>
        </w:rPr>
        <w:t xml:space="preserve"> </w:t>
      </w:r>
      <w:r w:rsidRPr="009070BD">
        <w:rPr>
          <w:b w:val="0"/>
          <w:szCs w:val="22"/>
          <w:lang w:val="en-US"/>
        </w:rPr>
        <w:t>տոկոսադրույքի</w:t>
      </w:r>
      <w:r w:rsidRPr="009070BD">
        <w:rPr>
          <w:b w:val="0"/>
          <w:szCs w:val="22"/>
          <w:lang w:val="af-ZA"/>
        </w:rPr>
        <w:t xml:space="preserve"> </w:t>
      </w:r>
      <w:r w:rsidRPr="009070BD">
        <w:rPr>
          <w:b w:val="0"/>
          <w:szCs w:val="22"/>
          <w:lang w:val="en-US"/>
        </w:rPr>
        <w:t>մասնակի</w:t>
      </w:r>
      <w:r w:rsidRPr="009070BD">
        <w:rPr>
          <w:b w:val="0"/>
          <w:szCs w:val="22"/>
          <w:lang w:val="af-ZA"/>
        </w:rPr>
        <w:t xml:space="preserve"> </w:t>
      </w:r>
      <w:r w:rsidRPr="009070BD">
        <w:rPr>
          <w:b w:val="0"/>
          <w:szCs w:val="22"/>
          <w:lang w:val="en-US"/>
        </w:rPr>
        <w:t>սուբսիդավորման</w:t>
      </w:r>
      <w:r w:rsidRPr="009070BD">
        <w:rPr>
          <w:b w:val="0"/>
          <w:szCs w:val="22"/>
          <w:lang w:val="af-ZA"/>
        </w:rPr>
        <w:t xml:space="preserve"> </w:t>
      </w:r>
      <w:r w:rsidRPr="009070BD">
        <w:rPr>
          <w:b w:val="0"/>
          <w:szCs w:val="22"/>
          <w:lang w:val="en-US"/>
        </w:rPr>
        <w:t>միջոցով</w:t>
      </w:r>
      <w:r w:rsidRPr="009070BD">
        <w:rPr>
          <w:b w:val="0"/>
          <w:szCs w:val="22"/>
          <w:lang w:val="af-ZA"/>
        </w:rPr>
        <w:t xml:space="preserve"> </w:t>
      </w:r>
      <w:r w:rsidRPr="009070BD">
        <w:rPr>
          <w:b w:val="0"/>
          <w:szCs w:val="22"/>
          <w:lang w:val="en-US"/>
        </w:rPr>
        <w:t>տոհմային</w:t>
      </w:r>
      <w:r w:rsidRPr="009070BD">
        <w:rPr>
          <w:b w:val="0"/>
          <w:szCs w:val="22"/>
          <w:lang w:val="af-ZA"/>
        </w:rPr>
        <w:t xml:space="preserve"> </w:t>
      </w:r>
      <w:r w:rsidRPr="009070BD">
        <w:rPr>
          <w:b w:val="0"/>
          <w:szCs w:val="22"/>
          <w:lang w:val="en-US"/>
        </w:rPr>
        <w:t>ԽԵԿ</w:t>
      </w:r>
      <w:r w:rsidRPr="009070BD">
        <w:rPr>
          <w:b w:val="0"/>
          <w:lang w:val="af-ZA"/>
        </w:rPr>
        <w:t>-</w:t>
      </w:r>
      <w:r w:rsidRPr="009070BD">
        <w:rPr>
          <w:b w:val="0"/>
          <w:lang w:val="en-US"/>
        </w:rPr>
        <w:t>ի</w:t>
      </w:r>
      <w:r w:rsidRPr="009070BD">
        <w:rPr>
          <w:b w:val="0"/>
          <w:lang w:val="af-ZA"/>
        </w:rPr>
        <w:t xml:space="preserve"> </w:t>
      </w:r>
      <w:r w:rsidRPr="009070BD">
        <w:rPr>
          <w:b w:val="0"/>
          <w:lang w:val="en-US"/>
        </w:rPr>
        <w:t>մատակարարումն</w:t>
      </w:r>
      <w:r w:rsidRPr="009070BD">
        <w:rPr>
          <w:b w:val="0"/>
          <w:lang w:val="af-ZA"/>
        </w:rPr>
        <w:t xml:space="preserve"> </w:t>
      </w:r>
      <w:r w:rsidRPr="009070BD">
        <w:rPr>
          <w:b w:val="0"/>
          <w:lang w:val="en-US"/>
        </w:rPr>
        <w:t>է</w:t>
      </w:r>
      <w:r w:rsidRPr="009070BD">
        <w:rPr>
          <w:b w:val="0"/>
          <w:lang w:val="af-ZA"/>
        </w:rPr>
        <w:t>:</w:t>
      </w:r>
    </w:p>
    <w:p w:rsidR="00B36A46" w:rsidRPr="009070BD" w:rsidRDefault="00B36A46" w:rsidP="007730AA">
      <w:pPr>
        <w:autoSpaceDE w:val="0"/>
        <w:autoSpaceDN w:val="0"/>
        <w:adjustRightInd w:val="0"/>
        <w:spacing w:before="0" w:line="276" w:lineRule="auto"/>
        <w:ind w:firstLine="720"/>
        <w:rPr>
          <w:b w:val="0"/>
          <w:lang w:val="af-ZA"/>
        </w:rPr>
      </w:pPr>
      <w:r w:rsidRPr="009070BD">
        <w:rPr>
          <w:lang w:val="af-ZA"/>
        </w:rPr>
        <w:t xml:space="preserve">9.9 </w:t>
      </w:r>
      <w:r w:rsidRPr="009070BD">
        <w:rPr>
          <w:szCs w:val="22"/>
          <w:lang w:val="af-ZA"/>
        </w:rPr>
        <w:t></w:t>
      </w:r>
      <w:r w:rsidRPr="009070BD">
        <w:t>Փոքր</w:t>
      </w:r>
      <w:r w:rsidRPr="009070BD">
        <w:rPr>
          <w:lang w:val="af-ZA"/>
        </w:rPr>
        <w:t xml:space="preserve"> </w:t>
      </w:r>
      <w:r w:rsidRPr="009070BD">
        <w:t>և</w:t>
      </w:r>
      <w:r w:rsidRPr="009070BD">
        <w:rPr>
          <w:lang w:val="af-ZA"/>
        </w:rPr>
        <w:t xml:space="preserve"> </w:t>
      </w:r>
      <w:r w:rsidRPr="009070BD">
        <w:t>միջին</w:t>
      </w:r>
      <w:r w:rsidRPr="009070BD">
        <w:rPr>
          <w:lang w:val="af-ZA"/>
        </w:rPr>
        <w:t xml:space="preserve"> </w:t>
      </w:r>
      <w:r w:rsidRPr="009070BD">
        <w:rPr>
          <w:szCs w:val="22"/>
          <w:lang w:val="af-ZA"/>
        </w:rPr>
        <w:t></w:t>
      </w:r>
      <w:r w:rsidRPr="009070BD">
        <w:t>Խելացի</w:t>
      </w:r>
      <w:r w:rsidRPr="009070BD">
        <w:rPr>
          <w:szCs w:val="22"/>
          <w:lang w:val="af-ZA"/>
        </w:rPr>
        <w:t></w:t>
      </w:r>
      <w:r w:rsidRPr="009070BD">
        <w:rPr>
          <w:lang w:val="af-ZA"/>
        </w:rPr>
        <w:t xml:space="preserve"> </w:t>
      </w:r>
      <w:r w:rsidRPr="009070BD">
        <w:t>անասնաշենքերի</w:t>
      </w:r>
      <w:r w:rsidRPr="009070BD">
        <w:rPr>
          <w:lang w:val="af-ZA"/>
        </w:rPr>
        <w:t xml:space="preserve"> </w:t>
      </w:r>
      <w:r w:rsidRPr="009070BD">
        <w:t>կառուցման</w:t>
      </w:r>
      <w:r w:rsidRPr="009070BD">
        <w:rPr>
          <w:lang w:val="af-ZA"/>
        </w:rPr>
        <w:t xml:space="preserve"> </w:t>
      </w:r>
      <w:r w:rsidRPr="009070BD">
        <w:t>կամ</w:t>
      </w:r>
      <w:r w:rsidRPr="009070BD">
        <w:rPr>
          <w:lang w:val="af-ZA"/>
        </w:rPr>
        <w:t xml:space="preserve"> </w:t>
      </w:r>
      <w:r w:rsidRPr="009070BD">
        <w:t>վերակառուցման</w:t>
      </w:r>
      <w:r w:rsidRPr="009070BD">
        <w:rPr>
          <w:lang w:val="af-ZA"/>
        </w:rPr>
        <w:t xml:space="preserve"> </w:t>
      </w:r>
      <w:r w:rsidRPr="009070BD">
        <w:t>և</w:t>
      </w:r>
      <w:r w:rsidRPr="009070BD">
        <w:rPr>
          <w:lang w:val="af-ZA"/>
        </w:rPr>
        <w:t xml:space="preserve"> </w:t>
      </w:r>
      <w:r w:rsidRPr="009070BD">
        <w:t>դրանց</w:t>
      </w:r>
      <w:r w:rsidRPr="009070BD">
        <w:rPr>
          <w:lang w:val="af-ZA"/>
        </w:rPr>
        <w:t xml:space="preserve"> </w:t>
      </w:r>
      <w:r w:rsidRPr="009070BD">
        <w:t>տեխնոլոգիական</w:t>
      </w:r>
      <w:r w:rsidRPr="009070BD">
        <w:rPr>
          <w:lang w:val="af-ZA"/>
        </w:rPr>
        <w:t xml:space="preserve"> </w:t>
      </w:r>
      <w:r w:rsidRPr="009070BD">
        <w:t>ապահովման</w:t>
      </w:r>
      <w:r w:rsidRPr="009070BD">
        <w:rPr>
          <w:lang w:val="af-ZA"/>
        </w:rPr>
        <w:t xml:space="preserve"> </w:t>
      </w:r>
      <w:r w:rsidRPr="009070BD">
        <w:t>պետական</w:t>
      </w:r>
      <w:r w:rsidRPr="009070BD">
        <w:rPr>
          <w:lang w:val="af-ZA"/>
        </w:rPr>
        <w:t xml:space="preserve"> </w:t>
      </w:r>
      <w:r w:rsidRPr="009070BD">
        <w:t>աջակցություն</w:t>
      </w:r>
      <w:r w:rsidRPr="009070BD">
        <w:rPr>
          <w:szCs w:val="22"/>
          <w:lang w:val="af-ZA"/>
        </w:rPr>
        <w:t></w:t>
      </w:r>
      <w:r w:rsidRPr="009070BD">
        <w:rPr>
          <w:b w:val="0"/>
          <w:lang w:val="af-ZA"/>
        </w:rPr>
        <w:t xml:space="preserve"> </w:t>
      </w:r>
      <w:r w:rsidRPr="009070BD">
        <w:rPr>
          <w:b w:val="0"/>
        </w:rPr>
        <w:t>միջոցառման</w:t>
      </w:r>
      <w:r w:rsidRPr="009070BD">
        <w:rPr>
          <w:b w:val="0"/>
          <w:lang w:val="af-ZA"/>
        </w:rPr>
        <w:t xml:space="preserve"> </w:t>
      </w:r>
      <w:r w:rsidRPr="009070BD">
        <w:rPr>
          <w:b w:val="0"/>
          <w:szCs w:val="22"/>
          <w:lang w:val="en-US"/>
        </w:rPr>
        <w:t>համար</w:t>
      </w:r>
      <w:r w:rsidRPr="009070BD">
        <w:rPr>
          <w:b w:val="0"/>
          <w:szCs w:val="22"/>
          <w:lang w:val="af-ZA"/>
        </w:rPr>
        <w:t xml:space="preserve"> </w:t>
      </w:r>
      <w:r w:rsidRPr="009070BD">
        <w:rPr>
          <w:b w:val="0"/>
          <w:szCs w:val="22"/>
          <w:lang w:val="en-US"/>
        </w:rPr>
        <w:t>Նախագծով</w:t>
      </w:r>
      <w:r w:rsidRPr="009070BD">
        <w:rPr>
          <w:b w:val="0"/>
          <w:szCs w:val="22"/>
          <w:lang w:val="af-ZA"/>
        </w:rPr>
        <w:t xml:space="preserve"> </w:t>
      </w:r>
      <w:r w:rsidRPr="009070BD">
        <w:rPr>
          <w:b w:val="0"/>
          <w:szCs w:val="22"/>
          <w:lang w:val="en-US"/>
        </w:rPr>
        <w:t>նախատեսվում</w:t>
      </w:r>
      <w:r w:rsidRPr="009070BD">
        <w:rPr>
          <w:b w:val="0"/>
          <w:szCs w:val="22"/>
          <w:lang w:val="af-ZA"/>
        </w:rPr>
        <w:t xml:space="preserve"> </w:t>
      </w:r>
      <w:r w:rsidRPr="009070BD">
        <w:rPr>
          <w:b w:val="0"/>
          <w:szCs w:val="22"/>
          <w:lang w:val="en-US"/>
        </w:rPr>
        <w:t>է</w:t>
      </w:r>
      <w:r w:rsidRPr="009070BD">
        <w:rPr>
          <w:b w:val="0"/>
          <w:szCs w:val="22"/>
          <w:lang w:val="af-ZA"/>
        </w:rPr>
        <w:t xml:space="preserve"> </w:t>
      </w:r>
      <w:r w:rsidRPr="009070BD">
        <w:rPr>
          <w:b w:val="0"/>
          <w:szCs w:val="22"/>
          <w:lang w:val="en-US"/>
        </w:rPr>
        <w:t>հատկացնել</w:t>
      </w:r>
      <w:r w:rsidRPr="009070BD">
        <w:rPr>
          <w:b w:val="0"/>
          <w:szCs w:val="22"/>
          <w:lang w:val="af-ZA"/>
        </w:rPr>
        <w:t xml:space="preserve"> </w:t>
      </w:r>
      <w:r w:rsidRPr="009070BD">
        <w:rPr>
          <w:b w:val="0"/>
          <w:lang w:val="af-ZA"/>
        </w:rPr>
        <w:t xml:space="preserve">453.6 </w:t>
      </w:r>
      <w:r w:rsidRPr="009070BD">
        <w:rPr>
          <w:b w:val="0"/>
        </w:rPr>
        <w:t>մլն</w:t>
      </w:r>
      <w:r w:rsidRPr="009070BD">
        <w:rPr>
          <w:b w:val="0"/>
          <w:lang w:val="af-ZA"/>
        </w:rPr>
        <w:t xml:space="preserve"> </w:t>
      </w:r>
      <w:r w:rsidRPr="009070BD">
        <w:rPr>
          <w:b w:val="0"/>
        </w:rPr>
        <w:t>դրամ</w:t>
      </w:r>
      <w:r w:rsidRPr="009070BD">
        <w:rPr>
          <w:b w:val="0"/>
          <w:lang w:val="en-US"/>
        </w:rPr>
        <w:t>՝</w:t>
      </w:r>
      <w:r w:rsidRPr="009070BD">
        <w:rPr>
          <w:b w:val="0"/>
          <w:lang w:val="af-ZA"/>
        </w:rPr>
        <w:t xml:space="preserve"> </w:t>
      </w:r>
      <w:r w:rsidRPr="009070BD">
        <w:rPr>
          <w:rFonts w:cs="Sylfaen"/>
          <w:b w:val="0"/>
          <w:lang w:val="hy-AM"/>
        </w:rPr>
        <w:t>ՀՀ</w:t>
      </w:r>
      <w:r w:rsidRPr="009070BD">
        <w:rPr>
          <w:rFonts w:cs="Sylfaen"/>
          <w:b w:val="0"/>
          <w:lang w:val="ro-RO"/>
        </w:rPr>
        <w:t xml:space="preserve"> 2020</w:t>
      </w:r>
      <w:r w:rsidRPr="009070BD">
        <w:rPr>
          <w:b w:val="0"/>
          <w:lang w:val="ro-RO"/>
        </w:rPr>
        <w:t xml:space="preserve"> </w:t>
      </w:r>
      <w:r w:rsidRPr="009070BD">
        <w:rPr>
          <w:b w:val="0"/>
          <w:lang w:val="hy-AM"/>
        </w:rPr>
        <w:t>թվականի</w:t>
      </w:r>
      <w:r w:rsidRPr="009070BD">
        <w:rPr>
          <w:rFonts w:cs="Sylfaen"/>
          <w:b w:val="0"/>
          <w:lang w:val="ro-RO"/>
        </w:rPr>
        <w:t xml:space="preserve"> </w:t>
      </w:r>
      <w:r w:rsidRPr="009070BD">
        <w:rPr>
          <w:rFonts w:cs="Sylfaen"/>
          <w:b w:val="0"/>
          <w:lang w:val="hy-AM"/>
        </w:rPr>
        <w:t>պետական</w:t>
      </w:r>
      <w:r w:rsidRPr="009070BD">
        <w:rPr>
          <w:rFonts w:cs="Sylfaen"/>
          <w:b w:val="0"/>
          <w:lang w:val="ro-RO"/>
        </w:rPr>
        <w:t xml:space="preserve"> </w:t>
      </w:r>
      <w:r w:rsidRPr="009070BD">
        <w:rPr>
          <w:rFonts w:cs="Sylfaen"/>
          <w:b w:val="0"/>
          <w:lang w:val="hy-AM"/>
        </w:rPr>
        <w:t>բյուջեով</w:t>
      </w:r>
      <w:r w:rsidRPr="009070BD">
        <w:rPr>
          <w:rFonts w:cs="Sylfaen"/>
          <w:b w:val="0"/>
          <w:lang w:val="ro-RO"/>
        </w:rPr>
        <w:t xml:space="preserve"> </w:t>
      </w:r>
      <w:r w:rsidRPr="009070BD">
        <w:rPr>
          <w:rFonts w:cs="Sylfaen"/>
          <w:b w:val="0"/>
          <w:lang w:val="hy-AM"/>
        </w:rPr>
        <w:t>հաստատ</w:t>
      </w:r>
      <w:r w:rsidRPr="009070BD">
        <w:rPr>
          <w:rFonts w:cs="Sylfaen"/>
          <w:b w:val="0"/>
          <w:lang w:val="ro-RO"/>
        </w:rPr>
        <w:softHyphen/>
      </w:r>
      <w:r w:rsidRPr="009070BD">
        <w:rPr>
          <w:rFonts w:cs="Sylfaen"/>
          <w:b w:val="0"/>
          <w:lang w:val="hy-AM"/>
        </w:rPr>
        <w:t>ված</w:t>
      </w:r>
      <w:r w:rsidRPr="009070BD">
        <w:rPr>
          <w:rFonts w:cs="Sylfaen"/>
          <w:b w:val="0"/>
          <w:lang w:val="af-ZA"/>
        </w:rPr>
        <w:t xml:space="preserve"> </w:t>
      </w:r>
      <w:r w:rsidRPr="009070BD">
        <w:rPr>
          <w:b w:val="0"/>
          <w:lang w:val="ro-RO"/>
        </w:rPr>
        <w:t xml:space="preserve">630.0 </w:t>
      </w:r>
      <w:r w:rsidRPr="009070BD">
        <w:rPr>
          <w:rFonts w:cs="Sylfaen"/>
          <w:b w:val="0"/>
          <w:lang w:val="hy-AM"/>
        </w:rPr>
        <w:t>մլն</w:t>
      </w:r>
      <w:r w:rsidRPr="009070BD">
        <w:rPr>
          <w:rFonts w:cs="Sylfaen"/>
          <w:b w:val="0"/>
          <w:lang w:val="ro-RO"/>
        </w:rPr>
        <w:t xml:space="preserve"> </w:t>
      </w:r>
      <w:r w:rsidRPr="009070BD">
        <w:rPr>
          <w:rFonts w:cs="Sylfaen"/>
          <w:b w:val="0"/>
          <w:lang w:val="hy-AM"/>
        </w:rPr>
        <w:t>դրամի</w:t>
      </w:r>
      <w:r w:rsidRPr="009070BD">
        <w:rPr>
          <w:rFonts w:cs="Sylfaen"/>
          <w:b w:val="0"/>
          <w:lang w:val="af-ZA"/>
        </w:rPr>
        <w:t xml:space="preserve"> </w:t>
      </w:r>
      <w:r w:rsidRPr="009070BD">
        <w:rPr>
          <w:rFonts w:cs="Sylfaen"/>
          <w:b w:val="0"/>
          <w:lang w:val="hy-AM"/>
        </w:rPr>
        <w:t>դիմաց</w:t>
      </w:r>
      <w:r w:rsidRPr="009070BD">
        <w:rPr>
          <w:rFonts w:cs="Sylfaen"/>
          <w:b w:val="0"/>
          <w:lang w:val="af-ZA"/>
        </w:rPr>
        <w:t xml:space="preserve"> </w:t>
      </w:r>
      <w:r w:rsidRPr="009070BD">
        <w:rPr>
          <w:rFonts w:cs="Sylfaen"/>
          <w:b w:val="0"/>
          <w:lang w:val="hy-AM"/>
        </w:rPr>
        <w:t>կամ</w:t>
      </w:r>
      <w:r w:rsidRPr="009070BD">
        <w:rPr>
          <w:rFonts w:cs="Sylfaen"/>
          <w:b w:val="0"/>
          <w:lang w:val="ro-RO"/>
        </w:rPr>
        <w:t xml:space="preserve"> 176.4 մլն դրամով պակաս, </w:t>
      </w:r>
      <w:r w:rsidRPr="009070BD">
        <w:rPr>
          <w:rFonts w:cs="Sylfaen"/>
          <w:b w:val="0"/>
          <w:lang w:val="af-ZA"/>
        </w:rPr>
        <w:t>որը պայմանավորված է փաստացի արդյունքների գնահատմամբ</w:t>
      </w:r>
      <w:r w:rsidRPr="009070BD">
        <w:rPr>
          <w:rFonts w:eastAsia="Calibri" w:cs="Times LatArm"/>
          <w:b w:val="0"/>
          <w:szCs w:val="22"/>
          <w:lang w:val="ro-RO" w:eastAsia="en-US"/>
        </w:rPr>
        <w:t>:</w:t>
      </w:r>
      <w:r w:rsidRPr="009070BD">
        <w:rPr>
          <w:rFonts w:cs="Sylfaen"/>
          <w:b w:val="0"/>
          <w:lang w:val="ro-RO"/>
        </w:rPr>
        <w:t xml:space="preserve"> </w:t>
      </w:r>
      <w:r w:rsidRPr="009070BD">
        <w:rPr>
          <w:b w:val="0"/>
          <w:lang w:val="af-ZA"/>
        </w:rPr>
        <w:t xml:space="preserve"> </w:t>
      </w:r>
    </w:p>
    <w:p w:rsidR="00B36A46" w:rsidRPr="009070BD" w:rsidRDefault="00B36A46" w:rsidP="007730AA">
      <w:pPr>
        <w:autoSpaceDE w:val="0"/>
        <w:autoSpaceDN w:val="0"/>
        <w:adjustRightInd w:val="0"/>
        <w:spacing w:before="0" w:line="276" w:lineRule="auto"/>
        <w:ind w:firstLine="720"/>
        <w:rPr>
          <w:b w:val="0"/>
          <w:lang w:val="af-ZA"/>
        </w:rPr>
      </w:pPr>
      <w:r w:rsidRPr="009070BD">
        <w:rPr>
          <w:b w:val="0"/>
          <w:szCs w:val="22"/>
          <w:lang w:val="en-US"/>
        </w:rPr>
        <w:t>Միջոցառման</w:t>
      </w:r>
      <w:r w:rsidRPr="009070BD">
        <w:rPr>
          <w:b w:val="0"/>
          <w:szCs w:val="22"/>
          <w:lang w:val="af-ZA"/>
        </w:rPr>
        <w:t xml:space="preserve"> </w:t>
      </w:r>
      <w:r w:rsidRPr="009070BD">
        <w:rPr>
          <w:b w:val="0"/>
          <w:szCs w:val="22"/>
          <w:lang w:val="en-US"/>
        </w:rPr>
        <w:t>նպատակը</w:t>
      </w:r>
      <w:r w:rsidRPr="009070BD">
        <w:rPr>
          <w:b w:val="0"/>
          <w:lang w:val="af-ZA"/>
        </w:rPr>
        <w:t xml:space="preserve"> </w:t>
      </w:r>
      <w:r w:rsidRPr="009070BD">
        <w:rPr>
          <w:b w:val="0"/>
          <w:szCs w:val="22"/>
          <w:lang w:val="en-US"/>
        </w:rPr>
        <w:t>գյուղատնտեսությունում</w:t>
      </w:r>
      <w:r w:rsidRPr="009070BD">
        <w:rPr>
          <w:b w:val="0"/>
          <w:szCs w:val="22"/>
          <w:lang w:val="af-ZA"/>
        </w:rPr>
        <w:t xml:space="preserve"> </w:t>
      </w:r>
      <w:r w:rsidRPr="009070BD">
        <w:rPr>
          <w:b w:val="0"/>
          <w:szCs w:val="22"/>
          <w:lang w:val="en-US"/>
        </w:rPr>
        <w:t>տնտեսավարողների</w:t>
      </w:r>
      <w:r w:rsidRPr="009070BD">
        <w:rPr>
          <w:b w:val="0"/>
          <w:szCs w:val="22"/>
          <w:lang w:val="af-ZA"/>
        </w:rPr>
        <w:t xml:space="preserve"> </w:t>
      </w:r>
      <w:r w:rsidRPr="009070BD">
        <w:rPr>
          <w:b w:val="0"/>
          <w:szCs w:val="22"/>
          <w:lang w:val="en-US"/>
        </w:rPr>
        <w:t>կողմից</w:t>
      </w:r>
      <w:r w:rsidRPr="009070BD">
        <w:rPr>
          <w:b w:val="0"/>
          <w:szCs w:val="22"/>
          <w:lang w:val="af-ZA"/>
        </w:rPr>
        <w:t xml:space="preserve"> </w:t>
      </w:r>
      <w:r w:rsidRPr="009070BD">
        <w:rPr>
          <w:b w:val="0"/>
        </w:rPr>
        <w:t>փոքր</w:t>
      </w:r>
      <w:r w:rsidRPr="009070BD">
        <w:rPr>
          <w:b w:val="0"/>
          <w:lang w:val="af-ZA"/>
        </w:rPr>
        <w:t xml:space="preserve"> </w:t>
      </w:r>
      <w:r w:rsidRPr="009070BD">
        <w:rPr>
          <w:b w:val="0"/>
        </w:rPr>
        <w:t>և</w:t>
      </w:r>
      <w:r w:rsidRPr="009070BD">
        <w:rPr>
          <w:b w:val="0"/>
          <w:lang w:val="af-ZA"/>
        </w:rPr>
        <w:t xml:space="preserve"> </w:t>
      </w:r>
      <w:r w:rsidRPr="009070BD">
        <w:rPr>
          <w:b w:val="0"/>
        </w:rPr>
        <w:t>միջին</w:t>
      </w:r>
      <w:r w:rsidRPr="009070BD">
        <w:rPr>
          <w:b w:val="0"/>
          <w:lang w:val="af-ZA"/>
        </w:rPr>
        <w:t xml:space="preserve"> «</w:t>
      </w:r>
      <w:r w:rsidRPr="009070BD">
        <w:rPr>
          <w:b w:val="0"/>
        </w:rPr>
        <w:t>Խելացի</w:t>
      </w:r>
      <w:r w:rsidRPr="009070BD">
        <w:rPr>
          <w:b w:val="0"/>
          <w:lang w:val="af-ZA"/>
        </w:rPr>
        <w:t xml:space="preserve">» </w:t>
      </w:r>
      <w:r w:rsidRPr="009070BD">
        <w:rPr>
          <w:b w:val="0"/>
        </w:rPr>
        <w:t>անասնաշենքերի</w:t>
      </w:r>
      <w:r w:rsidRPr="009070BD">
        <w:rPr>
          <w:b w:val="0"/>
          <w:lang w:val="af-ZA"/>
        </w:rPr>
        <w:t xml:space="preserve"> </w:t>
      </w:r>
      <w:r w:rsidRPr="009070BD">
        <w:rPr>
          <w:b w:val="0"/>
        </w:rPr>
        <w:t>կառուցման</w:t>
      </w:r>
      <w:r w:rsidRPr="009070BD">
        <w:rPr>
          <w:b w:val="0"/>
          <w:lang w:val="af-ZA"/>
        </w:rPr>
        <w:t xml:space="preserve"> </w:t>
      </w:r>
      <w:r w:rsidRPr="009070BD">
        <w:rPr>
          <w:b w:val="0"/>
        </w:rPr>
        <w:t>կամ</w:t>
      </w:r>
      <w:r w:rsidRPr="009070BD">
        <w:rPr>
          <w:b w:val="0"/>
          <w:lang w:val="af-ZA"/>
        </w:rPr>
        <w:t xml:space="preserve"> </w:t>
      </w:r>
      <w:r w:rsidRPr="009070BD">
        <w:rPr>
          <w:b w:val="0"/>
        </w:rPr>
        <w:t>վերակառուցման</w:t>
      </w:r>
      <w:r w:rsidRPr="009070BD">
        <w:rPr>
          <w:b w:val="0"/>
          <w:lang w:val="af-ZA"/>
        </w:rPr>
        <w:t xml:space="preserve"> </w:t>
      </w:r>
      <w:r w:rsidRPr="009070BD">
        <w:rPr>
          <w:b w:val="0"/>
        </w:rPr>
        <w:t>և</w:t>
      </w:r>
      <w:r w:rsidRPr="009070BD">
        <w:rPr>
          <w:b w:val="0"/>
          <w:lang w:val="af-ZA"/>
        </w:rPr>
        <w:t xml:space="preserve"> </w:t>
      </w:r>
      <w:r w:rsidRPr="009070BD">
        <w:rPr>
          <w:b w:val="0"/>
        </w:rPr>
        <w:t>դրանց</w:t>
      </w:r>
      <w:r w:rsidRPr="009070BD">
        <w:rPr>
          <w:b w:val="0"/>
          <w:lang w:val="af-ZA"/>
        </w:rPr>
        <w:t xml:space="preserve"> </w:t>
      </w:r>
      <w:r w:rsidRPr="009070BD">
        <w:rPr>
          <w:b w:val="0"/>
        </w:rPr>
        <w:t>տեխնոլոգիական</w:t>
      </w:r>
      <w:r w:rsidRPr="009070BD">
        <w:rPr>
          <w:b w:val="0"/>
          <w:lang w:val="af-ZA"/>
        </w:rPr>
        <w:t xml:space="preserve"> </w:t>
      </w:r>
      <w:r w:rsidRPr="009070BD">
        <w:rPr>
          <w:b w:val="0"/>
        </w:rPr>
        <w:t>ապահովման</w:t>
      </w:r>
      <w:r w:rsidRPr="009070BD">
        <w:rPr>
          <w:b w:val="0"/>
          <w:lang w:val="af-ZA"/>
        </w:rPr>
        <w:t xml:space="preserve"> </w:t>
      </w:r>
      <w:r w:rsidRPr="009070BD">
        <w:rPr>
          <w:b w:val="0"/>
        </w:rPr>
        <w:t>ծախսերի</w:t>
      </w:r>
      <w:r w:rsidRPr="009070BD">
        <w:rPr>
          <w:b w:val="0"/>
          <w:lang w:val="af-ZA"/>
        </w:rPr>
        <w:t xml:space="preserve"> </w:t>
      </w:r>
      <w:r w:rsidRPr="009070BD">
        <w:rPr>
          <w:b w:val="0"/>
        </w:rPr>
        <w:t>մասնակի</w:t>
      </w:r>
      <w:r w:rsidRPr="009070BD">
        <w:rPr>
          <w:b w:val="0"/>
          <w:lang w:val="af-ZA"/>
        </w:rPr>
        <w:t xml:space="preserve"> </w:t>
      </w:r>
      <w:r w:rsidRPr="009070BD">
        <w:rPr>
          <w:b w:val="0"/>
        </w:rPr>
        <w:t>փոխհատուցումն</w:t>
      </w:r>
      <w:r w:rsidRPr="009070BD">
        <w:rPr>
          <w:b w:val="0"/>
          <w:lang w:val="af-ZA"/>
        </w:rPr>
        <w:t xml:space="preserve"> </w:t>
      </w:r>
      <w:r w:rsidRPr="009070BD">
        <w:rPr>
          <w:b w:val="0"/>
        </w:rPr>
        <w:t>է</w:t>
      </w:r>
      <w:r w:rsidRPr="009070BD">
        <w:rPr>
          <w:b w:val="0"/>
          <w:lang w:val="af-ZA"/>
        </w:rPr>
        <w:t xml:space="preserve">, </w:t>
      </w:r>
      <w:r w:rsidRPr="009070BD">
        <w:rPr>
          <w:b w:val="0"/>
        </w:rPr>
        <w:t>արդյունքում</w:t>
      </w:r>
      <w:r w:rsidRPr="009070BD">
        <w:rPr>
          <w:b w:val="0"/>
          <w:lang w:val="af-ZA"/>
        </w:rPr>
        <w:t xml:space="preserve"> </w:t>
      </w:r>
      <w:r w:rsidRPr="009070BD">
        <w:rPr>
          <w:b w:val="0"/>
        </w:rPr>
        <w:t>կենդանիների</w:t>
      </w:r>
      <w:r w:rsidRPr="009070BD">
        <w:rPr>
          <w:b w:val="0"/>
          <w:lang w:val="af-ZA"/>
        </w:rPr>
        <w:t xml:space="preserve"> </w:t>
      </w:r>
      <w:r w:rsidRPr="009070BD">
        <w:rPr>
          <w:b w:val="0"/>
        </w:rPr>
        <w:t>պահվածքի</w:t>
      </w:r>
      <w:r w:rsidRPr="009070BD">
        <w:rPr>
          <w:b w:val="0"/>
          <w:lang w:val="af-ZA"/>
        </w:rPr>
        <w:t xml:space="preserve"> </w:t>
      </w:r>
      <w:r w:rsidRPr="009070BD">
        <w:rPr>
          <w:b w:val="0"/>
        </w:rPr>
        <w:t>պայմանների</w:t>
      </w:r>
      <w:r w:rsidRPr="009070BD">
        <w:rPr>
          <w:b w:val="0"/>
          <w:lang w:val="af-ZA"/>
        </w:rPr>
        <w:t xml:space="preserve"> </w:t>
      </w:r>
      <w:r w:rsidRPr="009070BD">
        <w:rPr>
          <w:b w:val="0"/>
        </w:rPr>
        <w:t>բարելավումը՝</w:t>
      </w:r>
      <w:r w:rsidRPr="009070BD">
        <w:rPr>
          <w:b w:val="0"/>
          <w:lang w:val="af-ZA"/>
        </w:rPr>
        <w:t xml:space="preserve"> </w:t>
      </w:r>
      <w:r w:rsidRPr="009070BD">
        <w:rPr>
          <w:b w:val="0"/>
        </w:rPr>
        <w:t>բարձրացնելով</w:t>
      </w:r>
      <w:r w:rsidRPr="009070BD">
        <w:rPr>
          <w:b w:val="0"/>
          <w:lang w:val="af-ZA"/>
        </w:rPr>
        <w:t xml:space="preserve"> </w:t>
      </w:r>
      <w:r w:rsidRPr="009070BD">
        <w:rPr>
          <w:b w:val="0"/>
        </w:rPr>
        <w:t>կենդանիների</w:t>
      </w:r>
      <w:r w:rsidRPr="009070BD">
        <w:rPr>
          <w:b w:val="0"/>
          <w:lang w:val="af-ZA"/>
        </w:rPr>
        <w:t xml:space="preserve"> </w:t>
      </w:r>
      <w:r w:rsidRPr="009070BD">
        <w:rPr>
          <w:b w:val="0"/>
        </w:rPr>
        <w:t>մթերատվության</w:t>
      </w:r>
      <w:r w:rsidRPr="009070BD">
        <w:rPr>
          <w:b w:val="0"/>
          <w:lang w:val="af-ZA"/>
        </w:rPr>
        <w:t xml:space="preserve"> </w:t>
      </w:r>
      <w:r w:rsidRPr="009070BD">
        <w:rPr>
          <w:b w:val="0"/>
        </w:rPr>
        <w:t>ցուցանիշները։</w:t>
      </w:r>
    </w:p>
    <w:p w:rsidR="00B36A46" w:rsidRPr="009070BD" w:rsidRDefault="00B36A46" w:rsidP="007730AA">
      <w:pPr>
        <w:autoSpaceDE w:val="0"/>
        <w:autoSpaceDN w:val="0"/>
        <w:adjustRightInd w:val="0"/>
        <w:spacing w:before="0" w:line="276" w:lineRule="auto"/>
        <w:ind w:firstLine="720"/>
        <w:rPr>
          <w:b w:val="0"/>
          <w:lang w:val="af-ZA"/>
        </w:rPr>
      </w:pPr>
      <w:r w:rsidRPr="009070BD">
        <w:rPr>
          <w:lang w:val="af-ZA"/>
        </w:rPr>
        <w:t xml:space="preserve">9.10 </w:t>
      </w:r>
      <w:r w:rsidRPr="009070BD">
        <w:rPr>
          <w:szCs w:val="22"/>
          <w:lang w:val="af-ZA"/>
        </w:rPr>
        <w:t></w:t>
      </w:r>
      <w:r w:rsidRPr="009070BD">
        <w:t>Փոքր</w:t>
      </w:r>
      <w:r w:rsidRPr="009070BD">
        <w:rPr>
          <w:lang w:val="af-ZA"/>
        </w:rPr>
        <w:t xml:space="preserve"> </w:t>
      </w:r>
      <w:r w:rsidRPr="009070BD">
        <w:t>և</w:t>
      </w:r>
      <w:r w:rsidRPr="009070BD">
        <w:rPr>
          <w:lang w:val="af-ZA"/>
        </w:rPr>
        <w:t xml:space="preserve"> </w:t>
      </w:r>
      <w:r w:rsidRPr="009070BD">
        <w:t>միջին</w:t>
      </w:r>
      <w:r w:rsidRPr="009070BD">
        <w:rPr>
          <w:lang w:val="af-ZA"/>
        </w:rPr>
        <w:t xml:space="preserve"> </w:t>
      </w:r>
      <w:r w:rsidRPr="009070BD">
        <w:t>ջերմոցային</w:t>
      </w:r>
      <w:r w:rsidRPr="009070BD">
        <w:rPr>
          <w:lang w:val="af-ZA"/>
        </w:rPr>
        <w:t xml:space="preserve"> </w:t>
      </w:r>
      <w:r w:rsidRPr="009070BD">
        <w:t>տնտեսությունների</w:t>
      </w:r>
      <w:r w:rsidRPr="009070BD">
        <w:rPr>
          <w:lang w:val="af-ZA"/>
        </w:rPr>
        <w:t xml:space="preserve"> </w:t>
      </w:r>
      <w:r w:rsidRPr="009070BD">
        <w:t>ներդրման</w:t>
      </w:r>
      <w:r w:rsidRPr="009070BD">
        <w:rPr>
          <w:lang w:val="af-ZA"/>
        </w:rPr>
        <w:t xml:space="preserve"> </w:t>
      </w:r>
      <w:r w:rsidRPr="009070BD">
        <w:t>պետական</w:t>
      </w:r>
      <w:r w:rsidRPr="009070BD">
        <w:rPr>
          <w:lang w:val="af-ZA"/>
        </w:rPr>
        <w:t xml:space="preserve"> </w:t>
      </w:r>
      <w:r w:rsidRPr="009070BD">
        <w:t>աջակցության</w:t>
      </w:r>
      <w:r w:rsidRPr="009070BD">
        <w:rPr>
          <w:lang w:val="af-ZA"/>
        </w:rPr>
        <w:t xml:space="preserve"> </w:t>
      </w:r>
      <w:r w:rsidRPr="009070BD">
        <w:t>ծրագիր</w:t>
      </w:r>
      <w:r w:rsidRPr="009070BD">
        <w:rPr>
          <w:szCs w:val="22"/>
          <w:lang w:val="af-ZA"/>
        </w:rPr>
        <w:t></w:t>
      </w:r>
      <w:r w:rsidRPr="009070BD">
        <w:rPr>
          <w:b w:val="0"/>
          <w:lang w:val="af-ZA"/>
        </w:rPr>
        <w:t xml:space="preserve"> </w:t>
      </w:r>
      <w:r w:rsidRPr="009070BD">
        <w:rPr>
          <w:b w:val="0"/>
        </w:rPr>
        <w:t>միջոցառման</w:t>
      </w:r>
      <w:r w:rsidRPr="009070BD">
        <w:rPr>
          <w:b w:val="0"/>
          <w:lang w:val="af-ZA"/>
        </w:rPr>
        <w:t xml:space="preserve"> </w:t>
      </w:r>
      <w:r w:rsidRPr="009070BD">
        <w:rPr>
          <w:b w:val="0"/>
          <w:szCs w:val="22"/>
          <w:lang w:val="en-US"/>
        </w:rPr>
        <w:t>համար</w:t>
      </w:r>
      <w:r w:rsidRPr="009070BD">
        <w:rPr>
          <w:b w:val="0"/>
          <w:szCs w:val="22"/>
          <w:lang w:val="af-ZA"/>
        </w:rPr>
        <w:t xml:space="preserve"> </w:t>
      </w:r>
      <w:r w:rsidRPr="009070BD">
        <w:rPr>
          <w:b w:val="0"/>
          <w:szCs w:val="22"/>
          <w:lang w:val="en-US"/>
        </w:rPr>
        <w:t>Նախագծով</w:t>
      </w:r>
      <w:r w:rsidRPr="009070BD">
        <w:rPr>
          <w:b w:val="0"/>
          <w:szCs w:val="22"/>
          <w:lang w:val="af-ZA"/>
        </w:rPr>
        <w:t xml:space="preserve"> </w:t>
      </w:r>
      <w:r w:rsidRPr="009070BD">
        <w:rPr>
          <w:b w:val="0"/>
          <w:szCs w:val="22"/>
          <w:lang w:val="en-US"/>
        </w:rPr>
        <w:t>նախատեսվում</w:t>
      </w:r>
      <w:r w:rsidRPr="009070BD">
        <w:rPr>
          <w:b w:val="0"/>
          <w:szCs w:val="22"/>
          <w:lang w:val="af-ZA"/>
        </w:rPr>
        <w:t xml:space="preserve"> </w:t>
      </w:r>
      <w:r w:rsidRPr="009070BD">
        <w:rPr>
          <w:b w:val="0"/>
          <w:szCs w:val="22"/>
          <w:lang w:val="en-US"/>
        </w:rPr>
        <w:t>է</w:t>
      </w:r>
      <w:r w:rsidRPr="009070BD">
        <w:rPr>
          <w:b w:val="0"/>
          <w:szCs w:val="22"/>
          <w:lang w:val="af-ZA"/>
        </w:rPr>
        <w:t xml:space="preserve"> </w:t>
      </w:r>
      <w:r w:rsidRPr="009070BD">
        <w:rPr>
          <w:b w:val="0"/>
          <w:szCs w:val="22"/>
          <w:lang w:val="en-US"/>
        </w:rPr>
        <w:t>հատկացնել</w:t>
      </w:r>
      <w:r w:rsidRPr="009070BD">
        <w:rPr>
          <w:b w:val="0"/>
          <w:szCs w:val="22"/>
          <w:lang w:val="af-ZA"/>
        </w:rPr>
        <w:t xml:space="preserve"> </w:t>
      </w:r>
      <w:r w:rsidRPr="009070BD">
        <w:rPr>
          <w:b w:val="0"/>
          <w:lang w:val="af-ZA"/>
        </w:rPr>
        <w:t xml:space="preserve">450.0 </w:t>
      </w:r>
      <w:r w:rsidRPr="009070BD">
        <w:rPr>
          <w:b w:val="0"/>
        </w:rPr>
        <w:t>մլն</w:t>
      </w:r>
      <w:r w:rsidRPr="009070BD">
        <w:rPr>
          <w:b w:val="0"/>
          <w:lang w:val="af-ZA"/>
        </w:rPr>
        <w:t xml:space="preserve"> </w:t>
      </w:r>
      <w:r w:rsidRPr="009070BD">
        <w:rPr>
          <w:b w:val="0"/>
        </w:rPr>
        <w:t>դրամ</w:t>
      </w:r>
      <w:r w:rsidRPr="009070BD">
        <w:rPr>
          <w:b w:val="0"/>
          <w:lang w:val="af-ZA"/>
        </w:rPr>
        <w:t xml:space="preserve">՝ </w:t>
      </w:r>
      <w:r w:rsidRPr="009070BD">
        <w:rPr>
          <w:rFonts w:cs="Sylfaen"/>
          <w:b w:val="0"/>
          <w:lang w:val="hy-AM"/>
        </w:rPr>
        <w:t>ՀՀ</w:t>
      </w:r>
      <w:r w:rsidRPr="009070BD">
        <w:rPr>
          <w:rFonts w:cs="Sylfaen"/>
          <w:b w:val="0"/>
          <w:lang w:val="ro-RO"/>
        </w:rPr>
        <w:t xml:space="preserve"> 2020</w:t>
      </w:r>
      <w:r w:rsidRPr="009070BD">
        <w:rPr>
          <w:b w:val="0"/>
          <w:lang w:val="ro-RO"/>
        </w:rPr>
        <w:t xml:space="preserve"> </w:t>
      </w:r>
      <w:r w:rsidRPr="009070BD">
        <w:rPr>
          <w:b w:val="0"/>
          <w:lang w:val="hy-AM"/>
        </w:rPr>
        <w:t>թվականի</w:t>
      </w:r>
      <w:r w:rsidRPr="009070BD">
        <w:rPr>
          <w:rFonts w:cs="Sylfaen"/>
          <w:b w:val="0"/>
          <w:lang w:val="ro-RO"/>
        </w:rPr>
        <w:t xml:space="preserve"> </w:t>
      </w:r>
      <w:r w:rsidRPr="009070BD">
        <w:rPr>
          <w:rFonts w:cs="Sylfaen"/>
          <w:b w:val="0"/>
          <w:lang w:val="hy-AM"/>
        </w:rPr>
        <w:t>պետական</w:t>
      </w:r>
      <w:r w:rsidRPr="009070BD">
        <w:rPr>
          <w:rFonts w:cs="Sylfaen"/>
          <w:b w:val="0"/>
          <w:lang w:val="ro-RO"/>
        </w:rPr>
        <w:t xml:space="preserve"> </w:t>
      </w:r>
      <w:r w:rsidRPr="009070BD">
        <w:rPr>
          <w:rFonts w:cs="Sylfaen"/>
          <w:b w:val="0"/>
          <w:lang w:val="hy-AM"/>
        </w:rPr>
        <w:t>բյուջեով</w:t>
      </w:r>
      <w:r w:rsidRPr="009070BD">
        <w:rPr>
          <w:rFonts w:cs="Sylfaen"/>
          <w:b w:val="0"/>
          <w:lang w:val="ro-RO"/>
        </w:rPr>
        <w:t xml:space="preserve"> </w:t>
      </w:r>
      <w:r w:rsidRPr="009070BD">
        <w:rPr>
          <w:rFonts w:cs="Sylfaen"/>
          <w:b w:val="0"/>
          <w:lang w:val="hy-AM"/>
        </w:rPr>
        <w:t>հաստատ</w:t>
      </w:r>
      <w:r w:rsidRPr="009070BD">
        <w:rPr>
          <w:rFonts w:cs="Sylfaen"/>
          <w:b w:val="0"/>
          <w:lang w:val="ro-RO"/>
        </w:rPr>
        <w:softHyphen/>
      </w:r>
      <w:r w:rsidRPr="009070BD">
        <w:rPr>
          <w:rFonts w:cs="Sylfaen"/>
          <w:b w:val="0"/>
          <w:lang w:val="hy-AM"/>
        </w:rPr>
        <w:t>ված</w:t>
      </w:r>
      <w:r w:rsidRPr="009070BD">
        <w:rPr>
          <w:rFonts w:cs="Sylfaen"/>
          <w:b w:val="0"/>
          <w:lang w:val="af-ZA"/>
        </w:rPr>
        <w:t xml:space="preserve"> </w:t>
      </w:r>
      <w:r w:rsidRPr="009070BD">
        <w:rPr>
          <w:b w:val="0"/>
          <w:lang w:val="ro-RO"/>
        </w:rPr>
        <w:t xml:space="preserve">1,125.0 </w:t>
      </w:r>
      <w:r w:rsidRPr="009070BD">
        <w:rPr>
          <w:rFonts w:cs="Sylfaen"/>
          <w:b w:val="0"/>
          <w:lang w:val="hy-AM"/>
        </w:rPr>
        <w:t>մլն</w:t>
      </w:r>
      <w:r w:rsidRPr="009070BD">
        <w:rPr>
          <w:rFonts w:cs="Sylfaen"/>
          <w:b w:val="0"/>
          <w:lang w:val="ro-RO"/>
        </w:rPr>
        <w:t xml:space="preserve"> </w:t>
      </w:r>
      <w:r w:rsidRPr="009070BD">
        <w:rPr>
          <w:rFonts w:cs="Sylfaen"/>
          <w:b w:val="0"/>
          <w:lang w:val="hy-AM"/>
        </w:rPr>
        <w:t>դրամի</w:t>
      </w:r>
      <w:r w:rsidRPr="009070BD">
        <w:rPr>
          <w:rFonts w:cs="Sylfaen"/>
          <w:b w:val="0"/>
          <w:lang w:val="af-ZA"/>
        </w:rPr>
        <w:t xml:space="preserve"> </w:t>
      </w:r>
      <w:r w:rsidRPr="009070BD">
        <w:rPr>
          <w:rFonts w:cs="Sylfaen"/>
          <w:b w:val="0"/>
          <w:lang w:val="hy-AM"/>
        </w:rPr>
        <w:t>դիմաց</w:t>
      </w:r>
      <w:r w:rsidRPr="009070BD">
        <w:rPr>
          <w:rFonts w:cs="Sylfaen"/>
          <w:b w:val="0"/>
          <w:lang w:val="af-ZA"/>
        </w:rPr>
        <w:t xml:space="preserve"> </w:t>
      </w:r>
      <w:r w:rsidRPr="009070BD">
        <w:rPr>
          <w:rFonts w:cs="Sylfaen"/>
          <w:b w:val="0"/>
          <w:lang w:val="hy-AM"/>
        </w:rPr>
        <w:t>կամ</w:t>
      </w:r>
      <w:r w:rsidRPr="009070BD">
        <w:rPr>
          <w:rFonts w:cs="Sylfaen"/>
          <w:b w:val="0"/>
          <w:lang w:val="ro-RO"/>
        </w:rPr>
        <w:t xml:space="preserve"> 675 մլն դրամով պակաս, </w:t>
      </w:r>
      <w:r w:rsidRPr="009070BD">
        <w:rPr>
          <w:rFonts w:cs="Sylfaen"/>
          <w:b w:val="0"/>
          <w:lang w:val="af-ZA"/>
        </w:rPr>
        <w:t>որը պայմանավորված է փաստացի արդյունքների գնահատմամբ</w:t>
      </w:r>
      <w:r w:rsidRPr="009070BD">
        <w:rPr>
          <w:rFonts w:eastAsia="Calibri" w:cs="Times LatArm"/>
          <w:b w:val="0"/>
          <w:szCs w:val="22"/>
          <w:lang w:val="ro-RO" w:eastAsia="en-US"/>
        </w:rPr>
        <w:t>:</w:t>
      </w:r>
      <w:r w:rsidRPr="009070BD">
        <w:rPr>
          <w:rFonts w:cs="Sylfaen"/>
          <w:b w:val="0"/>
          <w:lang w:val="ro-RO"/>
        </w:rPr>
        <w:t xml:space="preserve"> </w:t>
      </w:r>
      <w:r w:rsidRPr="009070BD">
        <w:rPr>
          <w:b w:val="0"/>
          <w:lang w:val="af-ZA"/>
        </w:rPr>
        <w:t xml:space="preserve"> </w:t>
      </w:r>
    </w:p>
    <w:p w:rsidR="00B36A46" w:rsidRPr="009070BD" w:rsidRDefault="00B36A46" w:rsidP="007730AA">
      <w:pPr>
        <w:autoSpaceDE w:val="0"/>
        <w:autoSpaceDN w:val="0"/>
        <w:adjustRightInd w:val="0"/>
        <w:spacing w:before="0" w:line="276" w:lineRule="auto"/>
        <w:ind w:firstLine="720"/>
        <w:rPr>
          <w:b w:val="0"/>
          <w:lang w:val="af-ZA"/>
        </w:rPr>
      </w:pPr>
      <w:r w:rsidRPr="009070BD">
        <w:rPr>
          <w:b w:val="0"/>
          <w:szCs w:val="22"/>
          <w:lang w:val="en-US"/>
        </w:rPr>
        <w:t>Միջոցառման</w:t>
      </w:r>
      <w:r w:rsidRPr="009070BD">
        <w:rPr>
          <w:b w:val="0"/>
          <w:szCs w:val="22"/>
          <w:lang w:val="af-ZA"/>
        </w:rPr>
        <w:t xml:space="preserve"> </w:t>
      </w:r>
      <w:r w:rsidRPr="009070BD">
        <w:rPr>
          <w:b w:val="0"/>
          <w:szCs w:val="22"/>
          <w:lang w:val="en-US"/>
        </w:rPr>
        <w:t>նպատակը</w:t>
      </w:r>
      <w:r w:rsidRPr="009070BD">
        <w:rPr>
          <w:b w:val="0"/>
          <w:lang w:val="af-ZA"/>
        </w:rPr>
        <w:t xml:space="preserve"> </w:t>
      </w:r>
      <w:r w:rsidRPr="009070BD">
        <w:rPr>
          <w:b w:val="0"/>
          <w:szCs w:val="22"/>
          <w:lang w:val="en-US"/>
        </w:rPr>
        <w:t>գյուղատնտեսությունում</w:t>
      </w:r>
      <w:r w:rsidRPr="009070BD">
        <w:rPr>
          <w:b w:val="0"/>
          <w:szCs w:val="22"/>
          <w:lang w:val="af-ZA"/>
        </w:rPr>
        <w:t xml:space="preserve"> </w:t>
      </w:r>
      <w:r w:rsidRPr="009070BD">
        <w:rPr>
          <w:b w:val="0"/>
          <w:szCs w:val="22"/>
          <w:lang w:val="en-US"/>
        </w:rPr>
        <w:t>տնտեսավարողների</w:t>
      </w:r>
      <w:r w:rsidRPr="009070BD">
        <w:rPr>
          <w:b w:val="0"/>
          <w:szCs w:val="22"/>
          <w:lang w:val="af-ZA"/>
        </w:rPr>
        <w:t xml:space="preserve"> </w:t>
      </w:r>
      <w:r w:rsidRPr="009070BD">
        <w:rPr>
          <w:b w:val="0"/>
          <w:szCs w:val="22"/>
          <w:lang w:val="en-US"/>
        </w:rPr>
        <w:t>կողմից</w:t>
      </w:r>
      <w:r w:rsidRPr="009070BD">
        <w:rPr>
          <w:b w:val="0"/>
          <w:szCs w:val="22"/>
          <w:lang w:val="af-ZA"/>
        </w:rPr>
        <w:t xml:space="preserve"> </w:t>
      </w:r>
      <w:r w:rsidRPr="009070BD">
        <w:rPr>
          <w:b w:val="0"/>
        </w:rPr>
        <w:t>փոքր</w:t>
      </w:r>
      <w:r w:rsidRPr="009070BD">
        <w:rPr>
          <w:b w:val="0"/>
          <w:lang w:val="af-ZA"/>
        </w:rPr>
        <w:t xml:space="preserve"> </w:t>
      </w:r>
      <w:r w:rsidRPr="009070BD">
        <w:rPr>
          <w:b w:val="0"/>
        </w:rPr>
        <w:t>և</w:t>
      </w:r>
      <w:r w:rsidRPr="009070BD">
        <w:rPr>
          <w:b w:val="0"/>
          <w:lang w:val="af-ZA"/>
        </w:rPr>
        <w:t xml:space="preserve"> </w:t>
      </w:r>
      <w:r w:rsidRPr="009070BD">
        <w:rPr>
          <w:b w:val="0"/>
        </w:rPr>
        <w:t>միջին</w:t>
      </w:r>
      <w:r w:rsidRPr="009070BD">
        <w:rPr>
          <w:b w:val="0"/>
          <w:lang w:val="af-ZA"/>
        </w:rPr>
        <w:t xml:space="preserve"> </w:t>
      </w:r>
      <w:r w:rsidRPr="009070BD">
        <w:rPr>
          <w:b w:val="0"/>
        </w:rPr>
        <w:t>ջերմատների</w:t>
      </w:r>
      <w:r w:rsidRPr="009070BD">
        <w:rPr>
          <w:b w:val="0"/>
          <w:lang w:val="af-ZA"/>
        </w:rPr>
        <w:t xml:space="preserve"> </w:t>
      </w:r>
      <w:r w:rsidRPr="009070BD">
        <w:rPr>
          <w:b w:val="0"/>
        </w:rPr>
        <w:t>կառուցման</w:t>
      </w:r>
      <w:r w:rsidRPr="009070BD">
        <w:rPr>
          <w:b w:val="0"/>
          <w:lang w:val="af-ZA"/>
        </w:rPr>
        <w:t xml:space="preserve"> </w:t>
      </w:r>
      <w:r w:rsidRPr="009070BD">
        <w:rPr>
          <w:b w:val="0"/>
        </w:rPr>
        <w:t>և</w:t>
      </w:r>
      <w:r w:rsidRPr="009070BD">
        <w:rPr>
          <w:b w:val="0"/>
          <w:lang w:val="af-ZA"/>
        </w:rPr>
        <w:t xml:space="preserve"> </w:t>
      </w:r>
      <w:r w:rsidRPr="009070BD">
        <w:rPr>
          <w:b w:val="0"/>
        </w:rPr>
        <w:t>դրանց</w:t>
      </w:r>
      <w:r w:rsidRPr="009070BD">
        <w:rPr>
          <w:b w:val="0"/>
          <w:lang w:val="af-ZA"/>
        </w:rPr>
        <w:t xml:space="preserve"> </w:t>
      </w:r>
      <w:r w:rsidRPr="009070BD">
        <w:rPr>
          <w:b w:val="0"/>
        </w:rPr>
        <w:t>տեխնոլոգիական</w:t>
      </w:r>
      <w:r w:rsidRPr="009070BD">
        <w:rPr>
          <w:b w:val="0"/>
          <w:lang w:val="af-ZA"/>
        </w:rPr>
        <w:t xml:space="preserve"> </w:t>
      </w:r>
      <w:r w:rsidRPr="009070BD">
        <w:rPr>
          <w:b w:val="0"/>
        </w:rPr>
        <w:t>ապահովման</w:t>
      </w:r>
      <w:r w:rsidRPr="009070BD">
        <w:rPr>
          <w:b w:val="0"/>
          <w:lang w:val="af-ZA"/>
        </w:rPr>
        <w:t xml:space="preserve"> </w:t>
      </w:r>
      <w:r w:rsidRPr="009070BD">
        <w:rPr>
          <w:b w:val="0"/>
        </w:rPr>
        <w:t>ծախսերի</w:t>
      </w:r>
      <w:r w:rsidRPr="009070BD">
        <w:rPr>
          <w:b w:val="0"/>
          <w:lang w:val="af-ZA"/>
        </w:rPr>
        <w:t xml:space="preserve"> </w:t>
      </w:r>
      <w:r w:rsidRPr="009070BD">
        <w:rPr>
          <w:b w:val="0"/>
        </w:rPr>
        <w:t>մասնակի</w:t>
      </w:r>
      <w:r w:rsidRPr="009070BD">
        <w:rPr>
          <w:b w:val="0"/>
          <w:lang w:val="af-ZA"/>
        </w:rPr>
        <w:t xml:space="preserve"> </w:t>
      </w:r>
      <w:r w:rsidRPr="009070BD">
        <w:rPr>
          <w:b w:val="0"/>
        </w:rPr>
        <w:t>փոխհատուցումն</w:t>
      </w:r>
      <w:r w:rsidRPr="009070BD">
        <w:rPr>
          <w:b w:val="0"/>
          <w:lang w:val="af-ZA"/>
        </w:rPr>
        <w:t xml:space="preserve"> </w:t>
      </w:r>
      <w:r w:rsidRPr="009070BD">
        <w:rPr>
          <w:b w:val="0"/>
        </w:rPr>
        <w:t>է</w:t>
      </w:r>
      <w:r w:rsidRPr="009070BD">
        <w:rPr>
          <w:b w:val="0"/>
          <w:lang w:val="af-ZA"/>
        </w:rPr>
        <w:t xml:space="preserve">, </w:t>
      </w:r>
      <w:r w:rsidRPr="009070BD">
        <w:rPr>
          <w:b w:val="0"/>
        </w:rPr>
        <w:t>արդյունքում</w:t>
      </w:r>
      <w:r w:rsidRPr="009070BD">
        <w:rPr>
          <w:b w:val="0"/>
          <w:lang w:val="af-ZA"/>
        </w:rPr>
        <w:t xml:space="preserve"> </w:t>
      </w:r>
      <w:r w:rsidRPr="009070BD">
        <w:rPr>
          <w:b w:val="0"/>
        </w:rPr>
        <w:t>պաշտպանված</w:t>
      </w:r>
      <w:r w:rsidRPr="009070BD">
        <w:rPr>
          <w:b w:val="0"/>
          <w:lang w:val="af-ZA"/>
        </w:rPr>
        <w:t xml:space="preserve"> </w:t>
      </w:r>
      <w:r w:rsidRPr="009070BD">
        <w:rPr>
          <w:b w:val="0"/>
        </w:rPr>
        <w:t>գրունտի</w:t>
      </w:r>
      <w:r w:rsidRPr="009070BD">
        <w:rPr>
          <w:b w:val="0"/>
          <w:lang w:val="af-ZA"/>
        </w:rPr>
        <w:t xml:space="preserve"> </w:t>
      </w:r>
      <w:r w:rsidRPr="009070BD">
        <w:rPr>
          <w:b w:val="0"/>
        </w:rPr>
        <w:t>մակերեսի</w:t>
      </w:r>
      <w:r w:rsidRPr="009070BD">
        <w:rPr>
          <w:b w:val="0"/>
          <w:lang w:val="af-ZA"/>
        </w:rPr>
        <w:t xml:space="preserve">, </w:t>
      </w:r>
      <w:r w:rsidRPr="009070BD">
        <w:rPr>
          <w:b w:val="0"/>
        </w:rPr>
        <w:t>ջերմատնային</w:t>
      </w:r>
      <w:r w:rsidRPr="009070BD">
        <w:rPr>
          <w:b w:val="0"/>
          <w:lang w:val="af-ZA"/>
        </w:rPr>
        <w:t xml:space="preserve"> </w:t>
      </w:r>
      <w:r w:rsidRPr="009070BD">
        <w:rPr>
          <w:b w:val="0"/>
        </w:rPr>
        <w:t>տնտեսությունների</w:t>
      </w:r>
      <w:r w:rsidRPr="009070BD">
        <w:rPr>
          <w:b w:val="0"/>
          <w:lang w:val="af-ZA"/>
        </w:rPr>
        <w:t xml:space="preserve"> </w:t>
      </w:r>
      <w:r w:rsidRPr="009070BD">
        <w:rPr>
          <w:b w:val="0"/>
        </w:rPr>
        <w:t>արտադրանքի</w:t>
      </w:r>
      <w:r w:rsidRPr="009070BD">
        <w:rPr>
          <w:b w:val="0"/>
          <w:lang w:val="af-ZA"/>
        </w:rPr>
        <w:t xml:space="preserve"> </w:t>
      </w:r>
      <w:r w:rsidRPr="009070BD">
        <w:rPr>
          <w:b w:val="0"/>
        </w:rPr>
        <w:t>արտադրության</w:t>
      </w:r>
      <w:r w:rsidRPr="009070BD">
        <w:rPr>
          <w:b w:val="0"/>
          <w:lang w:val="af-ZA"/>
        </w:rPr>
        <w:t xml:space="preserve"> </w:t>
      </w:r>
      <w:r w:rsidRPr="009070BD">
        <w:rPr>
          <w:b w:val="0"/>
        </w:rPr>
        <w:t>ծավալների</w:t>
      </w:r>
      <w:r w:rsidRPr="009070BD">
        <w:rPr>
          <w:b w:val="0"/>
          <w:lang w:val="af-ZA"/>
        </w:rPr>
        <w:t xml:space="preserve">, </w:t>
      </w:r>
      <w:r w:rsidRPr="009070BD">
        <w:rPr>
          <w:b w:val="0"/>
        </w:rPr>
        <w:t>գյուղատնտեսությունում</w:t>
      </w:r>
      <w:r w:rsidRPr="009070BD">
        <w:rPr>
          <w:b w:val="0"/>
          <w:lang w:val="af-ZA"/>
        </w:rPr>
        <w:t xml:space="preserve"> </w:t>
      </w:r>
      <w:r w:rsidRPr="009070BD">
        <w:rPr>
          <w:b w:val="0"/>
        </w:rPr>
        <w:t>տնտեսավարողների</w:t>
      </w:r>
      <w:r w:rsidRPr="009070BD">
        <w:rPr>
          <w:b w:val="0"/>
          <w:lang w:val="af-ZA"/>
        </w:rPr>
        <w:t xml:space="preserve"> </w:t>
      </w:r>
      <w:r w:rsidRPr="009070BD">
        <w:rPr>
          <w:b w:val="0"/>
        </w:rPr>
        <w:t>եկամուտների</w:t>
      </w:r>
      <w:r w:rsidRPr="009070BD">
        <w:rPr>
          <w:b w:val="0"/>
          <w:lang w:val="af-ZA"/>
        </w:rPr>
        <w:t xml:space="preserve"> </w:t>
      </w:r>
      <w:r w:rsidRPr="009070BD">
        <w:rPr>
          <w:b w:val="0"/>
        </w:rPr>
        <w:t>ավելացումը</w:t>
      </w:r>
      <w:r w:rsidRPr="009070BD">
        <w:rPr>
          <w:b w:val="0"/>
          <w:lang w:val="af-ZA"/>
        </w:rPr>
        <w:t>:</w:t>
      </w:r>
    </w:p>
    <w:p w:rsidR="00B36A46" w:rsidRPr="009070BD" w:rsidRDefault="00B36A46" w:rsidP="007730AA">
      <w:pPr>
        <w:autoSpaceDE w:val="0"/>
        <w:autoSpaceDN w:val="0"/>
        <w:adjustRightInd w:val="0"/>
        <w:spacing w:before="0" w:line="276" w:lineRule="auto"/>
        <w:ind w:firstLine="720"/>
        <w:rPr>
          <w:b w:val="0"/>
          <w:lang w:val="af-ZA"/>
        </w:rPr>
      </w:pPr>
      <w:r w:rsidRPr="009070BD">
        <w:rPr>
          <w:lang w:val="af-ZA"/>
        </w:rPr>
        <w:t xml:space="preserve">9.11 </w:t>
      </w:r>
      <w:r w:rsidRPr="009070BD">
        <w:rPr>
          <w:szCs w:val="22"/>
          <w:lang w:val="af-ZA"/>
        </w:rPr>
        <w:t></w:t>
      </w:r>
      <w:r w:rsidRPr="009070BD">
        <w:t>Հայաստանի</w:t>
      </w:r>
      <w:r w:rsidRPr="009070BD">
        <w:rPr>
          <w:lang w:val="af-ZA"/>
        </w:rPr>
        <w:t xml:space="preserve"> </w:t>
      </w:r>
      <w:r w:rsidRPr="009070BD">
        <w:t>Հանրապետությունում</w:t>
      </w:r>
      <w:r w:rsidRPr="009070BD">
        <w:rPr>
          <w:lang w:val="af-ZA"/>
        </w:rPr>
        <w:t xml:space="preserve"> 2019-2023 </w:t>
      </w:r>
      <w:r w:rsidRPr="009070BD">
        <w:t>թվականների</w:t>
      </w:r>
      <w:r w:rsidRPr="009070BD">
        <w:rPr>
          <w:lang w:val="af-ZA"/>
        </w:rPr>
        <w:t xml:space="preserve"> </w:t>
      </w:r>
      <w:r w:rsidRPr="009070BD">
        <w:t>ոչխարաբուծության</w:t>
      </w:r>
      <w:r w:rsidRPr="009070BD">
        <w:rPr>
          <w:lang w:val="af-ZA"/>
        </w:rPr>
        <w:t xml:space="preserve"> </w:t>
      </w:r>
      <w:r w:rsidRPr="009070BD">
        <w:t>և</w:t>
      </w:r>
      <w:r w:rsidRPr="009070BD">
        <w:rPr>
          <w:lang w:val="af-ZA"/>
        </w:rPr>
        <w:t xml:space="preserve"> </w:t>
      </w:r>
      <w:r w:rsidRPr="009070BD">
        <w:t>այծաբուծության</w:t>
      </w:r>
      <w:r w:rsidRPr="009070BD">
        <w:rPr>
          <w:lang w:val="af-ZA"/>
        </w:rPr>
        <w:t xml:space="preserve"> </w:t>
      </w:r>
      <w:r w:rsidRPr="009070BD">
        <w:t>զարգացման</w:t>
      </w:r>
      <w:r w:rsidRPr="009070BD">
        <w:rPr>
          <w:lang w:val="af-ZA"/>
        </w:rPr>
        <w:t xml:space="preserve"> </w:t>
      </w:r>
      <w:r w:rsidRPr="009070BD">
        <w:t>նպատակով</w:t>
      </w:r>
      <w:r w:rsidRPr="009070BD">
        <w:rPr>
          <w:lang w:val="af-ZA"/>
        </w:rPr>
        <w:t xml:space="preserve"> </w:t>
      </w:r>
      <w:r w:rsidRPr="009070BD">
        <w:t>տրամադրվող</w:t>
      </w:r>
      <w:r w:rsidRPr="009070BD">
        <w:rPr>
          <w:lang w:val="af-ZA"/>
        </w:rPr>
        <w:t xml:space="preserve"> </w:t>
      </w:r>
      <w:r w:rsidRPr="009070BD">
        <w:t>վարկերի</w:t>
      </w:r>
      <w:r w:rsidRPr="009070BD">
        <w:rPr>
          <w:lang w:val="af-ZA"/>
        </w:rPr>
        <w:t xml:space="preserve"> </w:t>
      </w:r>
      <w:r w:rsidRPr="009070BD">
        <w:t>տոկոսադրույքների</w:t>
      </w:r>
      <w:r w:rsidRPr="009070BD">
        <w:rPr>
          <w:lang w:val="af-ZA"/>
        </w:rPr>
        <w:t xml:space="preserve"> </w:t>
      </w:r>
      <w:r w:rsidRPr="009070BD">
        <w:t>սուբսիդավորում</w:t>
      </w:r>
      <w:r w:rsidRPr="009070BD">
        <w:rPr>
          <w:szCs w:val="22"/>
          <w:lang w:val="af-ZA"/>
        </w:rPr>
        <w:t></w:t>
      </w:r>
      <w:r w:rsidRPr="009070BD">
        <w:rPr>
          <w:b w:val="0"/>
          <w:lang w:val="af-ZA"/>
        </w:rPr>
        <w:t xml:space="preserve"> </w:t>
      </w:r>
      <w:r w:rsidRPr="009070BD">
        <w:rPr>
          <w:b w:val="0"/>
        </w:rPr>
        <w:t>միջոցառման</w:t>
      </w:r>
      <w:r w:rsidRPr="009070BD">
        <w:rPr>
          <w:b w:val="0"/>
          <w:lang w:val="af-ZA"/>
        </w:rPr>
        <w:t xml:space="preserve"> </w:t>
      </w:r>
      <w:r w:rsidRPr="009070BD">
        <w:rPr>
          <w:b w:val="0"/>
          <w:szCs w:val="22"/>
          <w:lang w:val="en-US"/>
        </w:rPr>
        <w:t>համար</w:t>
      </w:r>
      <w:r w:rsidRPr="009070BD">
        <w:rPr>
          <w:b w:val="0"/>
          <w:szCs w:val="22"/>
          <w:lang w:val="af-ZA"/>
        </w:rPr>
        <w:t xml:space="preserve"> </w:t>
      </w:r>
      <w:r w:rsidRPr="009070BD">
        <w:rPr>
          <w:b w:val="0"/>
          <w:szCs w:val="22"/>
          <w:lang w:val="en-US"/>
        </w:rPr>
        <w:t>Նախագծով</w:t>
      </w:r>
      <w:r w:rsidRPr="009070BD">
        <w:rPr>
          <w:b w:val="0"/>
          <w:szCs w:val="22"/>
          <w:lang w:val="af-ZA"/>
        </w:rPr>
        <w:t xml:space="preserve"> </w:t>
      </w:r>
      <w:r w:rsidRPr="009070BD">
        <w:rPr>
          <w:b w:val="0"/>
          <w:szCs w:val="22"/>
          <w:lang w:val="en-US"/>
        </w:rPr>
        <w:t>նախատեսվում</w:t>
      </w:r>
      <w:r w:rsidRPr="009070BD">
        <w:rPr>
          <w:b w:val="0"/>
          <w:szCs w:val="22"/>
          <w:lang w:val="af-ZA"/>
        </w:rPr>
        <w:t xml:space="preserve"> </w:t>
      </w:r>
      <w:r w:rsidRPr="009070BD">
        <w:rPr>
          <w:b w:val="0"/>
          <w:szCs w:val="22"/>
          <w:lang w:val="en-US"/>
        </w:rPr>
        <w:t>է</w:t>
      </w:r>
      <w:r w:rsidRPr="009070BD">
        <w:rPr>
          <w:b w:val="0"/>
          <w:szCs w:val="22"/>
          <w:lang w:val="af-ZA"/>
        </w:rPr>
        <w:t xml:space="preserve"> </w:t>
      </w:r>
      <w:r w:rsidRPr="009070BD">
        <w:rPr>
          <w:b w:val="0"/>
          <w:szCs w:val="22"/>
          <w:lang w:val="en-US"/>
        </w:rPr>
        <w:t>հատկացնել</w:t>
      </w:r>
      <w:r w:rsidRPr="009070BD">
        <w:rPr>
          <w:b w:val="0"/>
          <w:szCs w:val="22"/>
          <w:lang w:val="af-ZA"/>
        </w:rPr>
        <w:t xml:space="preserve"> </w:t>
      </w:r>
      <w:r w:rsidRPr="009070BD">
        <w:rPr>
          <w:b w:val="0"/>
          <w:lang w:val="af-ZA"/>
        </w:rPr>
        <w:t xml:space="preserve">172.3 </w:t>
      </w:r>
      <w:r w:rsidRPr="009070BD">
        <w:rPr>
          <w:b w:val="0"/>
        </w:rPr>
        <w:t>մլն</w:t>
      </w:r>
      <w:r w:rsidRPr="009070BD">
        <w:rPr>
          <w:b w:val="0"/>
          <w:lang w:val="af-ZA"/>
        </w:rPr>
        <w:t xml:space="preserve"> </w:t>
      </w:r>
      <w:r w:rsidRPr="009070BD">
        <w:rPr>
          <w:b w:val="0"/>
        </w:rPr>
        <w:t>դրամ</w:t>
      </w:r>
      <w:r w:rsidRPr="009070BD">
        <w:rPr>
          <w:b w:val="0"/>
          <w:lang w:val="af-ZA"/>
        </w:rPr>
        <w:t xml:space="preserve">՝ </w:t>
      </w:r>
      <w:r w:rsidRPr="009070BD">
        <w:rPr>
          <w:rFonts w:cs="Sylfaen"/>
          <w:b w:val="0"/>
          <w:lang w:val="hy-AM"/>
        </w:rPr>
        <w:t>ՀՀ</w:t>
      </w:r>
      <w:r w:rsidRPr="009070BD">
        <w:rPr>
          <w:rFonts w:cs="Sylfaen"/>
          <w:b w:val="0"/>
          <w:lang w:val="ro-RO"/>
        </w:rPr>
        <w:t xml:space="preserve"> 2020</w:t>
      </w:r>
      <w:r w:rsidRPr="009070BD">
        <w:rPr>
          <w:b w:val="0"/>
          <w:lang w:val="ro-RO"/>
        </w:rPr>
        <w:t xml:space="preserve"> </w:t>
      </w:r>
      <w:r w:rsidRPr="009070BD">
        <w:rPr>
          <w:b w:val="0"/>
          <w:lang w:val="hy-AM"/>
        </w:rPr>
        <w:t>թվականի</w:t>
      </w:r>
      <w:r w:rsidRPr="009070BD">
        <w:rPr>
          <w:rFonts w:cs="Sylfaen"/>
          <w:b w:val="0"/>
          <w:lang w:val="ro-RO"/>
        </w:rPr>
        <w:t xml:space="preserve"> </w:t>
      </w:r>
      <w:r w:rsidRPr="009070BD">
        <w:rPr>
          <w:rFonts w:cs="Sylfaen"/>
          <w:b w:val="0"/>
          <w:lang w:val="hy-AM"/>
        </w:rPr>
        <w:t>պետական</w:t>
      </w:r>
      <w:r w:rsidRPr="009070BD">
        <w:rPr>
          <w:rFonts w:cs="Sylfaen"/>
          <w:b w:val="0"/>
          <w:lang w:val="ro-RO"/>
        </w:rPr>
        <w:t xml:space="preserve"> </w:t>
      </w:r>
      <w:r w:rsidRPr="009070BD">
        <w:rPr>
          <w:rFonts w:cs="Sylfaen"/>
          <w:b w:val="0"/>
          <w:lang w:val="hy-AM"/>
        </w:rPr>
        <w:t>բյուջեով</w:t>
      </w:r>
      <w:r w:rsidRPr="009070BD">
        <w:rPr>
          <w:rFonts w:cs="Sylfaen"/>
          <w:b w:val="0"/>
          <w:lang w:val="ro-RO"/>
        </w:rPr>
        <w:t xml:space="preserve"> </w:t>
      </w:r>
      <w:r w:rsidRPr="009070BD">
        <w:rPr>
          <w:rFonts w:cs="Sylfaen"/>
          <w:b w:val="0"/>
          <w:lang w:val="hy-AM"/>
        </w:rPr>
        <w:t>հաստատ</w:t>
      </w:r>
      <w:r w:rsidRPr="009070BD">
        <w:rPr>
          <w:rFonts w:cs="Sylfaen"/>
          <w:b w:val="0"/>
          <w:lang w:val="ro-RO"/>
        </w:rPr>
        <w:softHyphen/>
      </w:r>
      <w:r w:rsidRPr="009070BD">
        <w:rPr>
          <w:rFonts w:cs="Sylfaen"/>
          <w:b w:val="0"/>
          <w:lang w:val="hy-AM"/>
        </w:rPr>
        <w:t>ված</w:t>
      </w:r>
      <w:r w:rsidRPr="009070BD">
        <w:rPr>
          <w:rFonts w:cs="Sylfaen"/>
          <w:b w:val="0"/>
          <w:lang w:val="af-ZA"/>
        </w:rPr>
        <w:t xml:space="preserve"> </w:t>
      </w:r>
      <w:r w:rsidRPr="009070BD">
        <w:rPr>
          <w:b w:val="0"/>
          <w:lang w:val="af-ZA"/>
        </w:rPr>
        <w:t xml:space="preserve">364.1 </w:t>
      </w:r>
      <w:r w:rsidRPr="009070BD">
        <w:rPr>
          <w:rFonts w:cs="Sylfaen"/>
          <w:b w:val="0"/>
          <w:lang w:val="hy-AM"/>
        </w:rPr>
        <w:t>մլն</w:t>
      </w:r>
      <w:r w:rsidRPr="009070BD">
        <w:rPr>
          <w:rFonts w:cs="Sylfaen"/>
          <w:b w:val="0"/>
          <w:lang w:val="ro-RO"/>
        </w:rPr>
        <w:t xml:space="preserve"> </w:t>
      </w:r>
      <w:r w:rsidRPr="009070BD">
        <w:rPr>
          <w:rFonts w:cs="Sylfaen"/>
          <w:b w:val="0"/>
          <w:lang w:val="hy-AM"/>
        </w:rPr>
        <w:t>դրամի</w:t>
      </w:r>
      <w:r w:rsidRPr="009070BD">
        <w:rPr>
          <w:rFonts w:cs="Sylfaen"/>
          <w:b w:val="0"/>
          <w:lang w:val="af-ZA"/>
        </w:rPr>
        <w:t xml:space="preserve"> </w:t>
      </w:r>
      <w:r w:rsidRPr="009070BD">
        <w:rPr>
          <w:rFonts w:cs="Sylfaen"/>
          <w:b w:val="0"/>
          <w:lang w:val="hy-AM"/>
        </w:rPr>
        <w:t>դիմաց</w:t>
      </w:r>
      <w:r w:rsidRPr="009070BD">
        <w:rPr>
          <w:rFonts w:cs="Sylfaen"/>
          <w:b w:val="0"/>
          <w:lang w:val="af-ZA"/>
        </w:rPr>
        <w:t xml:space="preserve"> </w:t>
      </w:r>
      <w:r w:rsidRPr="009070BD">
        <w:rPr>
          <w:rFonts w:cs="Sylfaen"/>
          <w:b w:val="0"/>
          <w:lang w:val="hy-AM"/>
        </w:rPr>
        <w:t>կամ</w:t>
      </w:r>
      <w:r w:rsidRPr="009070BD">
        <w:rPr>
          <w:rFonts w:cs="Sylfaen"/>
          <w:b w:val="0"/>
          <w:lang w:val="ro-RO"/>
        </w:rPr>
        <w:t xml:space="preserve"> 191.8 մլն դրամով պակաս, </w:t>
      </w:r>
      <w:r w:rsidRPr="009070BD">
        <w:rPr>
          <w:rFonts w:cs="Sylfaen"/>
          <w:b w:val="0"/>
          <w:lang w:val="af-ZA"/>
        </w:rPr>
        <w:t>որը պայմանավորված է փաստացի արդյունքների գնահատմամբ</w:t>
      </w:r>
      <w:r w:rsidRPr="009070BD">
        <w:rPr>
          <w:rFonts w:eastAsia="Calibri" w:cs="Times LatArm"/>
          <w:b w:val="0"/>
          <w:szCs w:val="22"/>
          <w:lang w:val="ro-RO" w:eastAsia="en-US"/>
        </w:rPr>
        <w:t>:</w:t>
      </w:r>
      <w:r w:rsidRPr="009070BD">
        <w:rPr>
          <w:rFonts w:cs="Sylfaen"/>
          <w:b w:val="0"/>
          <w:lang w:val="ro-RO"/>
        </w:rPr>
        <w:t xml:space="preserve"> </w:t>
      </w:r>
      <w:r w:rsidRPr="009070BD">
        <w:rPr>
          <w:b w:val="0"/>
          <w:lang w:val="af-ZA"/>
        </w:rPr>
        <w:t xml:space="preserve"> </w:t>
      </w:r>
    </w:p>
    <w:p w:rsidR="00B36A46" w:rsidRPr="009070BD" w:rsidRDefault="00B36A46" w:rsidP="007730AA">
      <w:pPr>
        <w:autoSpaceDE w:val="0"/>
        <w:autoSpaceDN w:val="0"/>
        <w:adjustRightInd w:val="0"/>
        <w:spacing w:before="0" w:line="276" w:lineRule="auto"/>
        <w:ind w:firstLine="720"/>
        <w:rPr>
          <w:b w:val="0"/>
          <w:lang w:val="af-ZA"/>
        </w:rPr>
      </w:pPr>
      <w:r w:rsidRPr="009070BD">
        <w:rPr>
          <w:b w:val="0"/>
          <w:szCs w:val="22"/>
          <w:lang w:val="en-US"/>
        </w:rPr>
        <w:t>Միջոցառման</w:t>
      </w:r>
      <w:r w:rsidRPr="009070BD">
        <w:rPr>
          <w:b w:val="0"/>
          <w:szCs w:val="22"/>
          <w:lang w:val="af-ZA"/>
        </w:rPr>
        <w:t xml:space="preserve"> </w:t>
      </w:r>
      <w:r w:rsidRPr="009070BD">
        <w:rPr>
          <w:b w:val="0"/>
          <w:szCs w:val="22"/>
          <w:lang w:val="en-US"/>
        </w:rPr>
        <w:t>նպատակը</w:t>
      </w:r>
      <w:r w:rsidRPr="009070BD">
        <w:rPr>
          <w:b w:val="0"/>
          <w:lang w:val="af-ZA"/>
        </w:rPr>
        <w:t xml:space="preserve"> </w:t>
      </w:r>
      <w:r w:rsidRPr="009070BD">
        <w:rPr>
          <w:b w:val="0"/>
        </w:rPr>
        <w:t>տոհմային</w:t>
      </w:r>
      <w:r w:rsidRPr="009070BD">
        <w:rPr>
          <w:b w:val="0"/>
          <w:lang w:val="af-ZA"/>
        </w:rPr>
        <w:t xml:space="preserve"> </w:t>
      </w:r>
      <w:r w:rsidRPr="009070BD">
        <w:rPr>
          <w:b w:val="0"/>
        </w:rPr>
        <w:t>ՄԵԿ</w:t>
      </w:r>
      <w:r w:rsidRPr="009070BD">
        <w:rPr>
          <w:b w:val="0"/>
          <w:lang w:val="af-ZA"/>
        </w:rPr>
        <w:t>-</w:t>
      </w:r>
      <w:r w:rsidRPr="009070BD">
        <w:rPr>
          <w:b w:val="0"/>
        </w:rPr>
        <w:t>ի</w:t>
      </w:r>
      <w:r w:rsidRPr="009070BD">
        <w:rPr>
          <w:b w:val="0"/>
          <w:lang w:val="af-ZA"/>
        </w:rPr>
        <w:t xml:space="preserve"> </w:t>
      </w:r>
      <w:r w:rsidRPr="009070BD">
        <w:rPr>
          <w:b w:val="0"/>
        </w:rPr>
        <w:t>ձեռքբերման</w:t>
      </w:r>
      <w:r w:rsidRPr="009070BD">
        <w:rPr>
          <w:b w:val="0"/>
          <w:lang w:val="af-ZA"/>
        </w:rPr>
        <w:t xml:space="preserve"> </w:t>
      </w:r>
      <w:r w:rsidRPr="009070BD">
        <w:rPr>
          <w:b w:val="0"/>
        </w:rPr>
        <w:t>նպատակով</w:t>
      </w:r>
      <w:r w:rsidRPr="009070BD">
        <w:rPr>
          <w:b w:val="0"/>
          <w:lang w:val="af-ZA"/>
        </w:rPr>
        <w:t xml:space="preserve"> </w:t>
      </w:r>
      <w:r w:rsidRPr="009070BD">
        <w:rPr>
          <w:b w:val="0"/>
        </w:rPr>
        <w:t>գյուղատնտեսությունում</w:t>
      </w:r>
      <w:r w:rsidRPr="009070BD">
        <w:rPr>
          <w:b w:val="0"/>
          <w:lang w:val="ro-RO"/>
        </w:rPr>
        <w:t xml:space="preserve"> </w:t>
      </w:r>
      <w:r w:rsidRPr="009070BD">
        <w:rPr>
          <w:b w:val="0"/>
        </w:rPr>
        <w:t>տնտեսավարողներին</w:t>
      </w:r>
      <w:r w:rsidRPr="009070BD">
        <w:rPr>
          <w:b w:val="0"/>
          <w:lang w:val="ro-RO"/>
        </w:rPr>
        <w:t xml:space="preserve"> </w:t>
      </w:r>
      <w:r w:rsidRPr="009070BD">
        <w:rPr>
          <w:b w:val="0"/>
        </w:rPr>
        <w:t>տրամադրվող</w:t>
      </w:r>
      <w:r w:rsidRPr="009070BD">
        <w:rPr>
          <w:b w:val="0"/>
          <w:lang w:val="ro-RO"/>
        </w:rPr>
        <w:t xml:space="preserve"> </w:t>
      </w:r>
      <w:r w:rsidRPr="009070BD">
        <w:rPr>
          <w:b w:val="0"/>
        </w:rPr>
        <w:t>վարկերի</w:t>
      </w:r>
      <w:r w:rsidRPr="009070BD">
        <w:rPr>
          <w:b w:val="0"/>
          <w:lang w:val="ro-RO"/>
        </w:rPr>
        <w:t xml:space="preserve"> </w:t>
      </w:r>
      <w:r w:rsidRPr="009070BD">
        <w:rPr>
          <w:b w:val="0"/>
        </w:rPr>
        <w:t>տոկոսադրույքների</w:t>
      </w:r>
      <w:r w:rsidRPr="009070BD">
        <w:rPr>
          <w:b w:val="0"/>
          <w:lang w:val="ro-RO"/>
        </w:rPr>
        <w:t xml:space="preserve"> մասնակի </w:t>
      </w:r>
      <w:r w:rsidRPr="009070BD">
        <w:rPr>
          <w:b w:val="0"/>
        </w:rPr>
        <w:t>սուբսիդավորումն</w:t>
      </w:r>
      <w:r w:rsidRPr="009070BD">
        <w:rPr>
          <w:b w:val="0"/>
          <w:lang w:val="ro-RO"/>
        </w:rPr>
        <w:t xml:space="preserve"> </w:t>
      </w:r>
      <w:r w:rsidRPr="009070BD">
        <w:rPr>
          <w:b w:val="0"/>
        </w:rPr>
        <w:t>է</w:t>
      </w:r>
      <w:r w:rsidRPr="009070BD">
        <w:rPr>
          <w:b w:val="0"/>
          <w:lang w:val="ro-RO"/>
        </w:rPr>
        <w:t>`</w:t>
      </w:r>
      <w:r w:rsidRPr="009070BD">
        <w:rPr>
          <w:b w:val="0"/>
          <w:lang w:val="af-ZA"/>
        </w:rPr>
        <w:t xml:space="preserve"> </w:t>
      </w:r>
      <w:r w:rsidRPr="009070BD">
        <w:rPr>
          <w:b w:val="0"/>
        </w:rPr>
        <w:t>բարձրարժեք</w:t>
      </w:r>
      <w:r w:rsidRPr="009070BD">
        <w:rPr>
          <w:b w:val="0"/>
          <w:lang w:val="af-ZA"/>
        </w:rPr>
        <w:t xml:space="preserve"> </w:t>
      </w:r>
      <w:r w:rsidRPr="009070BD">
        <w:rPr>
          <w:b w:val="0"/>
        </w:rPr>
        <w:t>տոհմային</w:t>
      </w:r>
      <w:r w:rsidRPr="009070BD">
        <w:rPr>
          <w:b w:val="0"/>
          <w:lang w:val="af-ZA"/>
        </w:rPr>
        <w:t xml:space="preserve"> </w:t>
      </w:r>
      <w:r w:rsidRPr="009070BD">
        <w:rPr>
          <w:b w:val="0"/>
        </w:rPr>
        <w:t>ոչխարների</w:t>
      </w:r>
      <w:r w:rsidRPr="009070BD">
        <w:rPr>
          <w:b w:val="0"/>
          <w:lang w:val="af-ZA"/>
        </w:rPr>
        <w:t xml:space="preserve"> </w:t>
      </w:r>
      <w:r w:rsidRPr="009070BD">
        <w:rPr>
          <w:b w:val="0"/>
        </w:rPr>
        <w:t>և</w:t>
      </w:r>
      <w:r w:rsidRPr="009070BD">
        <w:rPr>
          <w:b w:val="0"/>
          <w:lang w:val="af-ZA"/>
        </w:rPr>
        <w:t xml:space="preserve"> </w:t>
      </w:r>
      <w:r w:rsidRPr="009070BD">
        <w:rPr>
          <w:b w:val="0"/>
        </w:rPr>
        <w:t>այծերի</w:t>
      </w:r>
      <w:r w:rsidRPr="009070BD">
        <w:rPr>
          <w:b w:val="0"/>
          <w:lang w:val="af-ZA"/>
        </w:rPr>
        <w:t xml:space="preserve"> </w:t>
      </w:r>
      <w:r w:rsidRPr="009070BD">
        <w:rPr>
          <w:b w:val="0"/>
        </w:rPr>
        <w:t>ձեռքբերան</w:t>
      </w:r>
      <w:r w:rsidRPr="009070BD">
        <w:rPr>
          <w:b w:val="0"/>
          <w:lang w:val="af-ZA"/>
        </w:rPr>
        <w:t xml:space="preserve"> </w:t>
      </w:r>
      <w:r w:rsidRPr="009070BD">
        <w:rPr>
          <w:b w:val="0"/>
        </w:rPr>
        <w:t>և</w:t>
      </w:r>
      <w:r w:rsidRPr="009070BD">
        <w:rPr>
          <w:b w:val="0"/>
          <w:lang w:val="af-ZA"/>
        </w:rPr>
        <w:t xml:space="preserve"> </w:t>
      </w:r>
      <w:r w:rsidRPr="009070BD">
        <w:rPr>
          <w:b w:val="0"/>
        </w:rPr>
        <w:t>բարձր</w:t>
      </w:r>
      <w:r w:rsidRPr="009070BD">
        <w:rPr>
          <w:b w:val="0"/>
          <w:lang w:val="af-ZA"/>
        </w:rPr>
        <w:t xml:space="preserve"> </w:t>
      </w:r>
      <w:r w:rsidRPr="009070BD">
        <w:rPr>
          <w:b w:val="0"/>
        </w:rPr>
        <w:t>մթերատու</w:t>
      </w:r>
      <w:r w:rsidRPr="009070BD">
        <w:rPr>
          <w:b w:val="0"/>
          <w:lang w:val="af-ZA"/>
        </w:rPr>
        <w:t xml:space="preserve"> </w:t>
      </w:r>
      <w:r w:rsidRPr="009070BD">
        <w:rPr>
          <w:b w:val="0"/>
        </w:rPr>
        <w:t>հոտերի</w:t>
      </w:r>
      <w:r w:rsidRPr="009070BD">
        <w:rPr>
          <w:b w:val="0"/>
          <w:lang w:val="af-ZA"/>
        </w:rPr>
        <w:t xml:space="preserve"> </w:t>
      </w:r>
      <w:r w:rsidRPr="009070BD">
        <w:rPr>
          <w:b w:val="0"/>
        </w:rPr>
        <w:t>ձևավորման</w:t>
      </w:r>
      <w:r w:rsidRPr="009070BD">
        <w:rPr>
          <w:b w:val="0"/>
          <w:lang w:val="af-ZA"/>
        </w:rPr>
        <w:t xml:space="preserve"> </w:t>
      </w:r>
      <w:r w:rsidRPr="009070BD">
        <w:rPr>
          <w:b w:val="0"/>
        </w:rPr>
        <w:t>խրախուսման</w:t>
      </w:r>
      <w:r w:rsidRPr="009070BD">
        <w:rPr>
          <w:b w:val="0"/>
          <w:lang w:val="af-ZA"/>
        </w:rPr>
        <w:t xml:space="preserve">, </w:t>
      </w:r>
      <w:r w:rsidRPr="009070BD">
        <w:rPr>
          <w:b w:val="0"/>
        </w:rPr>
        <w:t>տոհմային</w:t>
      </w:r>
      <w:r w:rsidRPr="009070BD">
        <w:rPr>
          <w:b w:val="0"/>
          <w:lang w:val="af-ZA"/>
        </w:rPr>
        <w:t xml:space="preserve"> </w:t>
      </w:r>
      <w:r w:rsidRPr="009070BD">
        <w:rPr>
          <w:b w:val="0"/>
        </w:rPr>
        <w:t>գործի</w:t>
      </w:r>
      <w:r w:rsidRPr="009070BD">
        <w:rPr>
          <w:b w:val="0"/>
          <w:lang w:val="af-ZA"/>
        </w:rPr>
        <w:t xml:space="preserve"> </w:t>
      </w:r>
      <w:r w:rsidRPr="009070BD">
        <w:rPr>
          <w:b w:val="0"/>
        </w:rPr>
        <w:t>զարգացման</w:t>
      </w:r>
      <w:r w:rsidRPr="009070BD">
        <w:rPr>
          <w:b w:val="0"/>
          <w:lang w:val="af-ZA"/>
        </w:rPr>
        <w:t xml:space="preserve"> </w:t>
      </w:r>
      <w:r w:rsidRPr="009070BD">
        <w:rPr>
          <w:b w:val="0"/>
        </w:rPr>
        <w:t>նպատակով</w:t>
      </w:r>
      <w:r w:rsidRPr="009070BD">
        <w:rPr>
          <w:b w:val="0"/>
          <w:lang w:val="af-ZA"/>
        </w:rPr>
        <w:t>:</w:t>
      </w:r>
    </w:p>
    <w:p w:rsidR="00B36A46" w:rsidRPr="009070BD" w:rsidRDefault="00B36A46" w:rsidP="007730AA">
      <w:pPr>
        <w:autoSpaceDE w:val="0"/>
        <w:autoSpaceDN w:val="0"/>
        <w:adjustRightInd w:val="0"/>
        <w:spacing w:before="0" w:line="276" w:lineRule="auto"/>
        <w:ind w:firstLine="720"/>
        <w:rPr>
          <w:b w:val="0"/>
          <w:lang w:val="af-ZA"/>
        </w:rPr>
      </w:pPr>
      <w:r w:rsidRPr="009070BD">
        <w:rPr>
          <w:lang w:val="af-ZA"/>
        </w:rPr>
        <w:t xml:space="preserve">9.12 </w:t>
      </w:r>
      <w:r w:rsidRPr="009070BD">
        <w:rPr>
          <w:szCs w:val="22"/>
          <w:lang w:val="af-ZA"/>
        </w:rPr>
        <w:t></w:t>
      </w:r>
      <w:r w:rsidRPr="009070BD">
        <w:t>Հայաստանի</w:t>
      </w:r>
      <w:r w:rsidRPr="009070BD">
        <w:rPr>
          <w:lang w:val="af-ZA"/>
        </w:rPr>
        <w:t xml:space="preserve"> </w:t>
      </w:r>
      <w:r w:rsidRPr="009070BD">
        <w:t>Հանրապետությունում</w:t>
      </w:r>
      <w:r w:rsidRPr="009070BD">
        <w:rPr>
          <w:lang w:val="af-ZA"/>
        </w:rPr>
        <w:t xml:space="preserve"> 2019-2023 </w:t>
      </w:r>
      <w:r w:rsidRPr="009070BD">
        <w:t>թվականների</w:t>
      </w:r>
      <w:r w:rsidRPr="009070BD">
        <w:rPr>
          <w:lang w:val="af-ZA"/>
        </w:rPr>
        <w:t xml:space="preserve"> </w:t>
      </w:r>
      <w:r w:rsidRPr="009070BD">
        <w:t>ոչխարաբուծության</w:t>
      </w:r>
      <w:r w:rsidRPr="009070BD">
        <w:rPr>
          <w:lang w:val="af-ZA"/>
        </w:rPr>
        <w:t xml:space="preserve"> </w:t>
      </w:r>
      <w:r w:rsidRPr="009070BD">
        <w:t>և</w:t>
      </w:r>
      <w:r w:rsidRPr="009070BD">
        <w:rPr>
          <w:lang w:val="af-ZA"/>
        </w:rPr>
        <w:t xml:space="preserve"> </w:t>
      </w:r>
      <w:r w:rsidRPr="009070BD">
        <w:t>այծաբուծության</w:t>
      </w:r>
      <w:r w:rsidRPr="009070BD">
        <w:rPr>
          <w:lang w:val="af-ZA"/>
        </w:rPr>
        <w:t xml:space="preserve"> </w:t>
      </w:r>
      <w:r w:rsidRPr="009070BD">
        <w:t>զարգացման</w:t>
      </w:r>
      <w:r w:rsidRPr="009070BD">
        <w:rPr>
          <w:lang w:val="af-ZA"/>
        </w:rPr>
        <w:t xml:space="preserve"> </w:t>
      </w:r>
      <w:r w:rsidRPr="009070BD">
        <w:t>նպատակով</w:t>
      </w:r>
      <w:r w:rsidRPr="009070BD">
        <w:rPr>
          <w:lang w:val="af-ZA"/>
        </w:rPr>
        <w:t xml:space="preserve"> </w:t>
      </w:r>
      <w:r w:rsidRPr="009070BD">
        <w:t>պետական</w:t>
      </w:r>
      <w:r w:rsidRPr="009070BD">
        <w:rPr>
          <w:lang w:val="af-ZA"/>
        </w:rPr>
        <w:t xml:space="preserve"> </w:t>
      </w:r>
      <w:r w:rsidRPr="009070BD">
        <w:t>աջակցություն</w:t>
      </w:r>
      <w:r w:rsidRPr="009070BD">
        <w:rPr>
          <w:szCs w:val="22"/>
          <w:lang w:val="af-ZA"/>
        </w:rPr>
        <w:t></w:t>
      </w:r>
      <w:r w:rsidRPr="009070BD">
        <w:rPr>
          <w:b w:val="0"/>
          <w:lang w:val="af-ZA"/>
        </w:rPr>
        <w:t xml:space="preserve"> </w:t>
      </w:r>
      <w:r w:rsidRPr="009070BD">
        <w:rPr>
          <w:b w:val="0"/>
        </w:rPr>
        <w:t>միջոցառման</w:t>
      </w:r>
      <w:r w:rsidRPr="009070BD">
        <w:rPr>
          <w:b w:val="0"/>
          <w:lang w:val="af-ZA"/>
        </w:rPr>
        <w:t xml:space="preserve"> </w:t>
      </w:r>
      <w:r w:rsidRPr="009070BD">
        <w:rPr>
          <w:b w:val="0"/>
          <w:szCs w:val="22"/>
          <w:lang w:val="en-US"/>
        </w:rPr>
        <w:t>համար</w:t>
      </w:r>
      <w:r w:rsidRPr="009070BD">
        <w:rPr>
          <w:b w:val="0"/>
          <w:szCs w:val="22"/>
          <w:lang w:val="af-ZA"/>
        </w:rPr>
        <w:t xml:space="preserve"> </w:t>
      </w:r>
      <w:r w:rsidRPr="009070BD">
        <w:rPr>
          <w:b w:val="0"/>
          <w:szCs w:val="22"/>
          <w:lang w:val="en-US"/>
        </w:rPr>
        <w:t>Նախագծով</w:t>
      </w:r>
      <w:r w:rsidRPr="009070BD">
        <w:rPr>
          <w:b w:val="0"/>
          <w:szCs w:val="22"/>
          <w:lang w:val="af-ZA"/>
        </w:rPr>
        <w:t xml:space="preserve"> </w:t>
      </w:r>
      <w:r w:rsidRPr="009070BD">
        <w:rPr>
          <w:b w:val="0"/>
          <w:szCs w:val="22"/>
          <w:lang w:val="en-US"/>
        </w:rPr>
        <w:t>նախատեսվում</w:t>
      </w:r>
      <w:r w:rsidRPr="009070BD">
        <w:rPr>
          <w:b w:val="0"/>
          <w:szCs w:val="22"/>
          <w:lang w:val="af-ZA"/>
        </w:rPr>
        <w:t xml:space="preserve"> </w:t>
      </w:r>
      <w:r w:rsidRPr="009070BD">
        <w:rPr>
          <w:b w:val="0"/>
          <w:szCs w:val="22"/>
          <w:lang w:val="en-US"/>
        </w:rPr>
        <w:t>է</w:t>
      </w:r>
      <w:r w:rsidRPr="009070BD">
        <w:rPr>
          <w:b w:val="0"/>
          <w:szCs w:val="22"/>
          <w:lang w:val="af-ZA"/>
        </w:rPr>
        <w:t xml:space="preserve"> </w:t>
      </w:r>
      <w:r w:rsidRPr="009070BD">
        <w:rPr>
          <w:b w:val="0"/>
          <w:szCs w:val="22"/>
          <w:lang w:val="en-US"/>
        </w:rPr>
        <w:t>հատկացնել</w:t>
      </w:r>
      <w:r w:rsidRPr="009070BD">
        <w:rPr>
          <w:b w:val="0"/>
          <w:szCs w:val="22"/>
          <w:lang w:val="af-ZA"/>
        </w:rPr>
        <w:t xml:space="preserve"> </w:t>
      </w:r>
      <w:r w:rsidRPr="009070BD">
        <w:rPr>
          <w:b w:val="0"/>
          <w:lang w:val="af-ZA"/>
        </w:rPr>
        <w:t xml:space="preserve">20.7 </w:t>
      </w:r>
      <w:r w:rsidRPr="009070BD">
        <w:rPr>
          <w:b w:val="0"/>
        </w:rPr>
        <w:t>մլն</w:t>
      </w:r>
      <w:r w:rsidRPr="009070BD">
        <w:rPr>
          <w:b w:val="0"/>
          <w:lang w:val="af-ZA"/>
        </w:rPr>
        <w:t xml:space="preserve"> </w:t>
      </w:r>
      <w:r w:rsidRPr="009070BD">
        <w:rPr>
          <w:b w:val="0"/>
        </w:rPr>
        <w:t>դրամ</w:t>
      </w:r>
      <w:r w:rsidRPr="009070BD">
        <w:rPr>
          <w:b w:val="0"/>
          <w:lang w:val="en-US"/>
        </w:rPr>
        <w:t>՝</w:t>
      </w:r>
      <w:r w:rsidRPr="009070BD">
        <w:rPr>
          <w:b w:val="0"/>
          <w:lang w:val="af-ZA"/>
        </w:rPr>
        <w:t xml:space="preserve"> </w:t>
      </w:r>
      <w:r w:rsidRPr="009070BD">
        <w:rPr>
          <w:rFonts w:cs="Sylfaen"/>
          <w:b w:val="0"/>
          <w:lang w:val="hy-AM"/>
        </w:rPr>
        <w:t>ՀՀ</w:t>
      </w:r>
      <w:r w:rsidRPr="009070BD">
        <w:rPr>
          <w:rFonts w:cs="Sylfaen"/>
          <w:b w:val="0"/>
          <w:lang w:val="ro-RO"/>
        </w:rPr>
        <w:t xml:space="preserve"> 2020</w:t>
      </w:r>
      <w:r w:rsidRPr="009070BD">
        <w:rPr>
          <w:b w:val="0"/>
          <w:lang w:val="ro-RO"/>
        </w:rPr>
        <w:t xml:space="preserve"> </w:t>
      </w:r>
      <w:r w:rsidRPr="009070BD">
        <w:rPr>
          <w:b w:val="0"/>
          <w:lang w:val="hy-AM"/>
        </w:rPr>
        <w:t>թվականի</w:t>
      </w:r>
      <w:r w:rsidRPr="009070BD">
        <w:rPr>
          <w:rFonts w:cs="Sylfaen"/>
          <w:b w:val="0"/>
          <w:lang w:val="ro-RO"/>
        </w:rPr>
        <w:t xml:space="preserve"> </w:t>
      </w:r>
      <w:r w:rsidRPr="009070BD">
        <w:rPr>
          <w:rFonts w:cs="Sylfaen"/>
          <w:b w:val="0"/>
          <w:lang w:val="hy-AM"/>
        </w:rPr>
        <w:t>պետական</w:t>
      </w:r>
      <w:r w:rsidRPr="009070BD">
        <w:rPr>
          <w:rFonts w:cs="Sylfaen"/>
          <w:b w:val="0"/>
          <w:lang w:val="ro-RO"/>
        </w:rPr>
        <w:t xml:space="preserve"> </w:t>
      </w:r>
      <w:r w:rsidRPr="009070BD">
        <w:rPr>
          <w:rFonts w:cs="Sylfaen"/>
          <w:b w:val="0"/>
          <w:lang w:val="hy-AM"/>
        </w:rPr>
        <w:t>բյուջեով</w:t>
      </w:r>
      <w:r w:rsidRPr="009070BD">
        <w:rPr>
          <w:rFonts w:cs="Sylfaen"/>
          <w:b w:val="0"/>
          <w:lang w:val="ro-RO"/>
        </w:rPr>
        <w:t xml:space="preserve"> </w:t>
      </w:r>
      <w:r w:rsidRPr="009070BD">
        <w:rPr>
          <w:rFonts w:cs="Sylfaen"/>
          <w:b w:val="0"/>
          <w:lang w:val="hy-AM"/>
        </w:rPr>
        <w:t>հաստատ</w:t>
      </w:r>
      <w:r w:rsidRPr="009070BD">
        <w:rPr>
          <w:rFonts w:cs="Sylfaen"/>
          <w:b w:val="0"/>
          <w:lang w:val="ro-RO"/>
        </w:rPr>
        <w:softHyphen/>
      </w:r>
      <w:r w:rsidRPr="009070BD">
        <w:rPr>
          <w:rFonts w:cs="Sylfaen"/>
          <w:b w:val="0"/>
          <w:lang w:val="hy-AM"/>
        </w:rPr>
        <w:t>ված</w:t>
      </w:r>
      <w:r w:rsidRPr="009070BD">
        <w:rPr>
          <w:rFonts w:cs="Sylfaen"/>
          <w:b w:val="0"/>
          <w:lang w:val="af-ZA"/>
        </w:rPr>
        <w:t xml:space="preserve"> </w:t>
      </w:r>
      <w:r w:rsidRPr="009070BD">
        <w:rPr>
          <w:b w:val="0"/>
          <w:lang w:val="af-ZA"/>
        </w:rPr>
        <w:t xml:space="preserve">310.5 </w:t>
      </w:r>
      <w:r w:rsidRPr="009070BD">
        <w:rPr>
          <w:rFonts w:cs="Sylfaen"/>
          <w:b w:val="0"/>
          <w:lang w:val="hy-AM"/>
        </w:rPr>
        <w:t>մլն</w:t>
      </w:r>
      <w:r w:rsidRPr="009070BD">
        <w:rPr>
          <w:rFonts w:cs="Sylfaen"/>
          <w:b w:val="0"/>
          <w:lang w:val="ro-RO"/>
        </w:rPr>
        <w:t xml:space="preserve"> </w:t>
      </w:r>
      <w:r w:rsidRPr="009070BD">
        <w:rPr>
          <w:rFonts w:cs="Sylfaen"/>
          <w:b w:val="0"/>
          <w:lang w:val="hy-AM"/>
        </w:rPr>
        <w:t>դրամի</w:t>
      </w:r>
      <w:r w:rsidRPr="009070BD">
        <w:rPr>
          <w:rFonts w:cs="Sylfaen"/>
          <w:b w:val="0"/>
          <w:lang w:val="af-ZA"/>
        </w:rPr>
        <w:t xml:space="preserve"> </w:t>
      </w:r>
      <w:r w:rsidRPr="009070BD">
        <w:rPr>
          <w:rFonts w:cs="Sylfaen"/>
          <w:b w:val="0"/>
          <w:lang w:val="hy-AM"/>
        </w:rPr>
        <w:t>դիմաց</w:t>
      </w:r>
      <w:r w:rsidRPr="009070BD">
        <w:rPr>
          <w:rFonts w:cs="Sylfaen"/>
          <w:b w:val="0"/>
          <w:lang w:val="af-ZA"/>
        </w:rPr>
        <w:t xml:space="preserve"> </w:t>
      </w:r>
      <w:r w:rsidRPr="009070BD">
        <w:rPr>
          <w:rFonts w:cs="Sylfaen"/>
          <w:b w:val="0"/>
          <w:lang w:val="hy-AM"/>
        </w:rPr>
        <w:t>կամ</w:t>
      </w:r>
      <w:r w:rsidRPr="009070BD">
        <w:rPr>
          <w:rFonts w:cs="Sylfaen"/>
          <w:b w:val="0"/>
          <w:lang w:val="ro-RO"/>
        </w:rPr>
        <w:t xml:space="preserve"> 289.8 մլն դրամով պակաս, </w:t>
      </w:r>
      <w:r w:rsidRPr="009070BD">
        <w:rPr>
          <w:rFonts w:cs="Sylfaen"/>
          <w:b w:val="0"/>
          <w:lang w:val="af-ZA"/>
        </w:rPr>
        <w:t>որը պայմանավորված է փաստացի արդյունքների գնահատմամբ</w:t>
      </w:r>
      <w:r w:rsidRPr="009070BD">
        <w:rPr>
          <w:rFonts w:eastAsia="Calibri" w:cs="Times LatArm"/>
          <w:b w:val="0"/>
          <w:szCs w:val="22"/>
          <w:lang w:val="ro-RO" w:eastAsia="en-US"/>
        </w:rPr>
        <w:t>:</w:t>
      </w:r>
      <w:r w:rsidRPr="009070BD">
        <w:rPr>
          <w:rFonts w:cs="Sylfaen"/>
          <w:b w:val="0"/>
          <w:lang w:val="ro-RO"/>
        </w:rPr>
        <w:t xml:space="preserve"> </w:t>
      </w:r>
      <w:r w:rsidRPr="009070BD">
        <w:rPr>
          <w:b w:val="0"/>
          <w:lang w:val="af-ZA"/>
        </w:rPr>
        <w:t xml:space="preserve">  </w:t>
      </w:r>
    </w:p>
    <w:p w:rsidR="00B36A46" w:rsidRPr="009070BD" w:rsidRDefault="00B36A46" w:rsidP="007730AA">
      <w:pPr>
        <w:autoSpaceDE w:val="0"/>
        <w:autoSpaceDN w:val="0"/>
        <w:adjustRightInd w:val="0"/>
        <w:spacing w:before="0" w:line="276" w:lineRule="auto"/>
        <w:ind w:firstLine="720"/>
        <w:rPr>
          <w:b w:val="0"/>
          <w:lang w:val="af-ZA"/>
        </w:rPr>
      </w:pPr>
      <w:r w:rsidRPr="009070BD">
        <w:rPr>
          <w:b w:val="0"/>
          <w:szCs w:val="22"/>
          <w:lang w:val="en-US"/>
        </w:rPr>
        <w:t>Միջոցառման</w:t>
      </w:r>
      <w:r w:rsidRPr="009070BD">
        <w:rPr>
          <w:b w:val="0"/>
          <w:szCs w:val="22"/>
          <w:lang w:val="af-ZA"/>
        </w:rPr>
        <w:t xml:space="preserve"> </w:t>
      </w:r>
      <w:r w:rsidRPr="009070BD">
        <w:rPr>
          <w:b w:val="0"/>
          <w:szCs w:val="22"/>
          <w:lang w:val="en-US"/>
        </w:rPr>
        <w:t>նպատակը</w:t>
      </w:r>
      <w:r w:rsidRPr="009070BD">
        <w:rPr>
          <w:b w:val="0"/>
          <w:lang w:val="af-ZA"/>
        </w:rPr>
        <w:t xml:space="preserve"> </w:t>
      </w:r>
      <w:r w:rsidRPr="009070BD">
        <w:rPr>
          <w:b w:val="0"/>
        </w:rPr>
        <w:t>տոհմային</w:t>
      </w:r>
      <w:r w:rsidRPr="009070BD">
        <w:rPr>
          <w:b w:val="0"/>
          <w:lang w:val="af-ZA"/>
        </w:rPr>
        <w:t xml:space="preserve"> </w:t>
      </w:r>
      <w:r w:rsidRPr="009070BD">
        <w:rPr>
          <w:b w:val="0"/>
        </w:rPr>
        <w:t>ՄԵԿ</w:t>
      </w:r>
      <w:r w:rsidRPr="009070BD">
        <w:rPr>
          <w:b w:val="0"/>
          <w:lang w:val="af-ZA"/>
        </w:rPr>
        <w:t>-</w:t>
      </w:r>
      <w:r w:rsidRPr="009070BD">
        <w:rPr>
          <w:b w:val="0"/>
        </w:rPr>
        <w:t>ի</w:t>
      </w:r>
      <w:r w:rsidRPr="009070BD">
        <w:rPr>
          <w:b w:val="0"/>
          <w:lang w:val="af-ZA"/>
        </w:rPr>
        <w:t xml:space="preserve"> </w:t>
      </w:r>
      <w:r w:rsidRPr="009070BD">
        <w:rPr>
          <w:b w:val="0"/>
        </w:rPr>
        <w:t>ձեռքբերման</w:t>
      </w:r>
      <w:r w:rsidRPr="009070BD">
        <w:rPr>
          <w:b w:val="0"/>
          <w:lang w:val="af-ZA"/>
        </w:rPr>
        <w:t xml:space="preserve"> </w:t>
      </w:r>
      <w:r w:rsidRPr="009070BD">
        <w:rPr>
          <w:b w:val="0"/>
        </w:rPr>
        <w:t>նպատակով</w:t>
      </w:r>
      <w:r w:rsidRPr="009070BD">
        <w:rPr>
          <w:b w:val="0"/>
          <w:lang w:val="af-ZA"/>
        </w:rPr>
        <w:t xml:space="preserve"> </w:t>
      </w:r>
      <w:r w:rsidRPr="009070BD">
        <w:rPr>
          <w:b w:val="0"/>
        </w:rPr>
        <w:t>գյուղատնտեսությունում</w:t>
      </w:r>
      <w:r w:rsidRPr="009070BD">
        <w:rPr>
          <w:b w:val="0"/>
          <w:lang w:val="ro-RO"/>
        </w:rPr>
        <w:t xml:space="preserve"> </w:t>
      </w:r>
      <w:r w:rsidRPr="009070BD">
        <w:rPr>
          <w:b w:val="0"/>
        </w:rPr>
        <w:t>տնտեսավարողների</w:t>
      </w:r>
      <w:r w:rsidRPr="009070BD">
        <w:rPr>
          <w:b w:val="0"/>
          <w:lang w:val="af-ZA"/>
        </w:rPr>
        <w:t xml:space="preserve"> </w:t>
      </w:r>
      <w:r w:rsidRPr="009070BD">
        <w:rPr>
          <w:b w:val="0"/>
        </w:rPr>
        <w:t>կատարված</w:t>
      </w:r>
      <w:r w:rsidRPr="009070BD">
        <w:rPr>
          <w:b w:val="0"/>
          <w:lang w:val="af-ZA"/>
        </w:rPr>
        <w:t xml:space="preserve"> </w:t>
      </w:r>
      <w:r w:rsidRPr="009070BD">
        <w:rPr>
          <w:b w:val="0"/>
        </w:rPr>
        <w:t>ծախսերի</w:t>
      </w:r>
      <w:r w:rsidRPr="009070BD">
        <w:rPr>
          <w:b w:val="0"/>
          <w:lang w:val="af-ZA"/>
        </w:rPr>
        <w:t xml:space="preserve"> </w:t>
      </w:r>
      <w:r w:rsidRPr="009070BD">
        <w:rPr>
          <w:b w:val="0"/>
          <w:lang w:val="ro-RO"/>
        </w:rPr>
        <w:t xml:space="preserve"> </w:t>
      </w:r>
      <w:r w:rsidRPr="009070BD">
        <w:rPr>
          <w:b w:val="0"/>
        </w:rPr>
        <w:t>փոխհատուցումն</w:t>
      </w:r>
      <w:r w:rsidRPr="009070BD">
        <w:rPr>
          <w:b w:val="0"/>
          <w:lang w:val="af-ZA"/>
        </w:rPr>
        <w:t xml:space="preserve"> </w:t>
      </w:r>
      <w:r w:rsidRPr="009070BD">
        <w:rPr>
          <w:b w:val="0"/>
        </w:rPr>
        <w:t>է</w:t>
      </w:r>
      <w:r w:rsidRPr="009070BD">
        <w:rPr>
          <w:b w:val="0"/>
          <w:lang w:val="ro-RO"/>
        </w:rPr>
        <w:t>`</w:t>
      </w:r>
      <w:r w:rsidRPr="009070BD">
        <w:rPr>
          <w:b w:val="0"/>
          <w:lang w:val="af-ZA"/>
        </w:rPr>
        <w:t xml:space="preserve"> </w:t>
      </w:r>
      <w:r w:rsidRPr="009070BD">
        <w:rPr>
          <w:b w:val="0"/>
        </w:rPr>
        <w:t>բարձրարժեք</w:t>
      </w:r>
      <w:r w:rsidRPr="009070BD">
        <w:rPr>
          <w:b w:val="0"/>
          <w:lang w:val="af-ZA"/>
        </w:rPr>
        <w:t xml:space="preserve"> </w:t>
      </w:r>
      <w:r w:rsidRPr="009070BD">
        <w:rPr>
          <w:b w:val="0"/>
        </w:rPr>
        <w:t>տոհմային</w:t>
      </w:r>
      <w:r w:rsidRPr="009070BD">
        <w:rPr>
          <w:b w:val="0"/>
          <w:lang w:val="af-ZA"/>
        </w:rPr>
        <w:t xml:space="preserve"> </w:t>
      </w:r>
      <w:r w:rsidRPr="009070BD">
        <w:rPr>
          <w:b w:val="0"/>
        </w:rPr>
        <w:t>ոչխարների</w:t>
      </w:r>
      <w:r w:rsidRPr="009070BD">
        <w:rPr>
          <w:b w:val="0"/>
          <w:lang w:val="af-ZA"/>
        </w:rPr>
        <w:t xml:space="preserve"> </w:t>
      </w:r>
      <w:r w:rsidRPr="009070BD">
        <w:rPr>
          <w:b w:val="0"/>
        </w:rPr>
        <w:t>և</w:t>
      </w:r>
      <w:r w:rsidRPr="009070BD">
        <w:rPr>
          <w:b w:val="0"/>
          <w:lang w:val="af-ZA"/>
        </w:rPr>
        <w:t xml:space="preserve"> </w:t>
      </w:r>
      <w:r w:rsidRPr="009070BD">
        <w:rPr>
          <w:b w:val="0"/>
        </w:rPr>
        <w:t>այծերի</w:t>
      </w:r>
      <w:r w:rsidRPr="009070BD">
        <w:rPr>
          <w:b w:val="0"/>
          <w:lang w:val="af-ZA"/>
        </w:rPr>
        <w:t xml:space="preserve"> </w:t>
      </w:r>
      <w:r w:rsidRPr="009070BD">
        <w:rPr>
          <w:b w:val="0"/>
        </w:rPr>
        <w:t>ձեռքբերան</w:t>
      </w:r>
      <w:r w:rsidRPr="009070BD">
        <w:rPr>
          <w:b w:val="0"/>
          <w:lang w:val="af-ZA"/>
        </w:rPr>
        <w:t xml:space="preserve"> </w:t>
      </w:r>
      <w:r w:rsidRPr="009070BD">
        <w:rPr>
          <w:b w:val="0"/>
        </w:rPr>
        <w:t>և</w:t>
      </w:r>
      <w:r w:rsidRPr="009070BD">
        <w:rPr>
          <w:b w:val="0"/>
          <w:lang w:val="af-ZA"/>
        </w:rPr>
        <w:t xml:space="preserve"> </w:t>
      </w:r>
      <w:r w:rsidRPr="009070BD">
        <w:rPr>
          <w:b w:val="0"/>
        </w:rPr>
        <w:t>բարձր</w:t>
      </w:r>
      <w:r w:rsidRPr="009070BD">
        <w:rPr>
          <w:b w:val="0"/>
          <w:lang w:val="af-ZA"/>
        </w:rPr>
        <w:t xml:space="preserve"> </w:t>
      </w:r>
      <w:r w:rsidRPr="009070BD">
        <w:rPr>
          <w:b w:val="0"/>
        </w:rPr>
        <w:t>մթերատու</w:t>
      </w:r>
      <w:r w:rsidRPr="009070BD">
        <w:rPr>
          <w:b w:val="0"/>
          <w:lang w:val="af-ZA"/>
        </w:rPr>
        <w:t xml:space="preserve"> </w:t>
      </w:r>
      <w:r w:rsidRPr="009070BD">
        <w:rPr>
          <w:b w:val="0"/>
        </w:rPr>
        <w:t>հոտերի</w:t>
      </w:r>
      <w:r w:rsidRPr="009070BD">
        <w:rPr>
          <w:b w:val="0"/>
          <w:lang w:val="af-ZA"/>
        </w:rPr>
        <w:t xml:space="preserve"> </w:t>
      </w:r>
      <w:r w:rsidRPr="009070BD">
        <w:rPr>
          <w:b w:val="0"/>
        </w:rPr>
        <w:t>ձևավորման</w:t>
      </w:r>
      <w:r w:rsidRPr="009070BD">
        <w:rPr>
          <w:b w:val="0"/>
          <w:lang w:val="af-ZA"/>
        </w:rPr>
        <w:t xml:space="preserve"> </w:t>
      </w:r>
      <w:r w:rsidRPr="009070BD">
        <w:rPr>
          <w:b w:val="0"/>
        </w:rPr>
        <w:t>խրախուսման</w:t>
      </w:r>
      <w:r w:rsidRPr="009070BD">
        <w:rPr>
          <w:b w:val="0"/>
          <w:lang w:val="af-ZA"/>
        </w:rPr>
        <w:t xml:space="preserve">, </w:t>
      </w:r>
      <w:r w:rsidRPr="009070BD">
        <w:rPr>
          <w:b w:val="0"/>
        </w:rPr>
        <w:t>տոհմային</w:t>
      </w:r>
      <w:r w:rsidRPr="009070BD">
        <w:rPr>
          <w:b w:val="0"/>
          <w:lang w:val="af-ZA"/>
        </w:rPr>
        <w:t xml:space="preserve"> </w:t>
      </w:r>
      <w:r w:rsidRPr="009070BD">
        <w:rPr>
          <w:b w:val="0"/>
        </w:rPr>
        <w:t>գործի</w:t>
      </w:r>
      <w:r w:rsidRPr="009070BD">
        <w:rPr>
          <w:b w:val="0"/>
          <w:lang w:val="af-ZA"/>
        </w:rPr>
        <w:t xml:space="preserve"> </w:t>
      </w:r>
      <w:r w:rsidRPr="009070BD">
        <w:rPr>
          <w:b w:val="0"/>
        </w:rPr>
        <w:t>զարգացման</w:t>
      </w:r>
      <w:r w:rsidRPr="009070BD">
        <w:rPr>
          <w:b w:val="0"/>
          <w:lang w:val="af-ZA"/>
        </w:rPr>
        <w:t xml:space="preserve"> </w:t>
      </w:r>
      <w:r w:rsidRPr="009070BD">
        <w:rPr>
          <w:b w:val="0"/>
        </w:rPr>
        <w:t>նպատակով</w:t>
      </w:r>
      <w:r w:rsidRPr="009070BD">
        <w:rPr>
          <w:b w:val="0"/>
          <w:lang w:val="af-ZA"/>
        </w:rPr>
        <w:t>:</w:t>
      </w:r>
    </w:p>
    <w:p w:rsidR="00B36A46" w:rsidRPr="009070BD" w:rsidRDefault="00B36A46" w:rsidP="007730AA">
      <w:pPr>
        <w:spacing w:before="0" w:line="276" w:lineRule="auto"/>
        <w:ind w:firstLine="720"/>
        <w:rPr>
          <w:rFonts w:cs="Sylfaen"/>
          <w:b w:val="0"/>
          <w:lang w:val="af-ZA"/>
        </w:rPr>
      </w:pPr>
      <w:r w:rsidRPr="009070BD">
        <w:rPr>
          <w:lang w:val="ro-RO"/>
        </w:rPr>
        <w:t>10. Սննդամթերքի լաբորատոր փորձաքննություններ</w:t>
      </w:r>
      <w:r w:rsidRPr="009070BD">
        <w:rPr>
          <w:b w:val="0"/>
          <w:lang w:val="ro-RO"/>
        </w:rPr>
        <w:t xml:space="preserve"> </w:t>
      </w:r>
      <w:r w:rsidRPr="009070BD">
        <w:rPr>
          <w:rFonts w:cs="Sylfaen"/>
          <w:b w:val="0"/>
          <w:lang w:val="af-ZA"/>
        </w:rPr>
        <w:t>ծրագրի համար Նախագծով նախատեսվում է հատկացնել 190.8 մլն դրամ: Ծրագրի շրջանակներում նախատեսվում է իրականացնել հետևյալ միջոցառումները.</w:t>
      </w:r>
    </w:p>
    <w:p w:rsidR="00B36A46" w:rsidRPr="009070BD" w:rsidRDefault="00B36A46" w:rsidP="007730AA">
      <w:pPr>
        <w:autoSpaceDE w:val="0"/>
        <w:autoSpaceDN w:val="0"/>
        <w:adjustRightInd w:val="0"/>
        <w:spacing w:before="0" w:line="276" w:lineRule="auto"/>
        <w:ind w:firstLine="720"/>
        <w:rPr>
          <w:rFonts w:cs="Sylfaen"/>
          <w:b w:val="0"/>
          <w:lang w:val="hy-AM"/>
        </w:rPr>
      </w:pPr>
      <w:r w:rsidRPr="009070BD">
        <w:rPr>
          <w:lang w:val="ro-RO"/>
        </w:rPr>
        <w:t xml:space="preserve">10.1 </w:t>
      </w:r>
      <w:r w:rsidRPr="009070BD">
        <w:rPr>
          <w:rFonts w:cs="Sylfaen"/>
          <w:lang w:val="af-ZA"/>
        </w:rPr>
        <w:t>«Սննդամթերքի լաբորատոր փորձաքննություններ»</w:t>
      </w:r>
      <w:r w:rsidRPr="009070BD">
        <w:rPr>
          <w:rFonts w:cs="Sylfaen"/>
          <w:b w:val="0"/>
          <w:lang w:val="af-ZA"/>
        </w:rPr>
        <w:t xml:space="preserve"> միջոցառման համար Նախագծով նախատեսվում է հատկացնել 20.0 մլն դրամ՝ </w:t>
      </w:r>
      <w:r w:rsidRPr="009070BD">
        <w:rPr>
          <w:rFonts w:cs="Sylfaen"/>
          <w:b w:val="0"/>
          <w:lang w:val="hy-AM"/>
        </w:rPr>
        <w:t>ՀՀ 20</w:t>
      </w:r>
      <w:r w:rsidRPr="009070BD">
        <w:rPr>
          <w:rFonts w:cs="Sylfaen"/>
          <w:b w:val="0"/>
          <w:lang w:val="af-ZA"/>
        </w:rPr>
        <w:t>20</w:t>
      </w:r>
      <w:r w:rsidRPr="009070BD">
        <w:rPr>
          <w:rFonts w:cs="Sylfaen"/>
          <w:b w:val="0"/>
          <w:lang w:val="hy-AM"/>
        </w:rPr>
        <w:t xml:space="preserve"> թվականի պետական բյուջեով հաստատված </w:t>
      </w:r>
      <w:r w:rsidRPr="009070BD">
        <w:rPr>
          <w:rFonts w:cs="Sylfaen"/>
          <w:b w:val="0"/>
          <w:lang w:val="en-US"/>
        </w:rPr>
        <w:t>չափաքանակին</w:t>
      </w:r>
      <w:r w:rsidRPr="009070BD">
        <w:rPr>
          <w:rFonts w:cs="Sylfaen"/>
          <w:b w:val="0"/>
          <w:lang w:val="af-ZA"/>
        </w:rPr>
        <w:t xml:space="preserve"> </w:t>
      </w:r>
      <w:r w:rsidRPr="009070BD">
        <w:rPr>
          <w:rFonts w:cs="Sylfaen"/>
          <w:b w:val="0"/>
          <w:lang w:val="en-US"/>
        </w:rPr>
        <w:t>համապատասխան</w:t>
      </w:r>
      <w:r w:rsidRPr="009070BD">
        <w:rPr>
          <w:rFonts w:cs="Sylfaen"/>
          <w:b w:val="0"/>
          <w:lang w:val="hy-AM"/>
        </w:rPr>
        <w:t>:</w:t>
      </w:r>
    </w:p>
    <w:p w:rsidR="00B36A46" w:rsidRPr="009070BD" w:rsidRDefault="00B36A46" w:rsidP="007730AA">
      <w:pPr>
        <w:autoSpaceDE w:val="0"/>
        <w:autoSpaceDN w:val="0"/>
        <w:adjustRightInd w:val="0"/>
        <w:spacing w:before="0" w:line="276" w:lineRule="auto"/>
        <w:ind w:firstLine="720"/>
        <w:rPr>
          <w:b w:val="0"/>
          <w:lang w:val="af-ZA"/>
        </w:rPr>
      </w:pPr>
      <w:r w:rsidRPr="009070BD">
        <w:rPr>
          <w:b w:val="0"/>
          <w:lang w:val="hy-AM"/>
        </w:rPr>
        <w:t>Միջոցառմամբ</w:t>
      </w:r>
      <w:r w:rsidRPr="009070BD">
        <w:rPr>
          <w:b w:val="0"/>
          <w:lang w:val="af-ZA"/>
        </w:rPr>
        <w:t xml:space="preserve"> </w:t>
      </w:r>
      <w:r w:rsidRPr="009070BD">
        <w:rPr>
          <w:b w:val="0"/>
          <w:lang w:val="hy-AM"/>
        </w:rPr>
        <w:t>նախատեսվում</w:t>
      </w:r>
      <w:r w:rsidRPr="009070BD">
        <w:rPr>
          <w:b w:val="0"/>
          <w:lang w:val="af-ZA"/>
        </w:rPr>
        <w:t xml:space="preserve"> </w:t>
      </w:r>
      <w:r w:rsidRPr="009070BD">
        <w:rPr>
          <w:b w:val="0"/>
          <w:lang w:val="hy-AM"/>
        </w:rPr>
        <w:t>է</w:t>
      </w:r>
      <w:r w:rsidRPr="009070BD">
        <w:rPr>
          <w:b w:val="0"/>
          <w:lang w:val="af-ZA"/>
        </w:rPr>
        <w:t xml:space="preserve"> </w:t>
      </w:r>
      <w:r w:rsidRPr="009070BD">
        <w:rPr>
          <w:b w:val="0"/>
          <w:lang w:val="hy-AM"/>
        </w:rPr>
        <w:t>սննդամթերքի</w:t>
      </w:r>
      <w:r w:rsidRPr="009070BD">
        <w:rPr>
          <w:b w:val="0"/>
          <w:lang w:val="af-ZA"/>
        </w:rPr>
        <w:t xml:space="preserve"> </w:t>
      </w:r>
      <w:r w:rsidRPr="009070BD">
        <w:rPr>
          <w:b w:val="0"/>
          <w:lang w:val="hy-AM"/>
        </w:rPr>
        <w:t>անվտանգության</w:t>
      </w:r>
      <w:r w:rsidRPr="009070BD">
        <w:rPr>
          <w:b w:val="0"/>
          <w:lang w:val="af-ZA"/>
        </w:rPr>
        <w:t xml:space="preserve"> </w:t>
      </w:r>
      <w:r w:rsidRPr="009070BD">
        <w:rPr>
          <w:b w:val="0"/>
          <w:lang w:val="hy-AM"/>
        </w:rPr>
        <w:t>և</w:t>
      </w:r>
      <w:r w:rsidRPr="009070BD">
        <w:rPr>
          <w:b w:val="0"/>
          <w:lang w:val="af-ZA"/>
        </w:rPr>
        <w:t xml:space="preserve"> </w:t>
      </w:r>
      <w:r w:rsidRPr="009070BD">
        <w:rPr>
          <w:b w:val="0"/>
          <w:lang w:val="hy-AM"/>
        </w:rPr>
        <w:t>որակի</w:t>
      </w:r>
      <w:r w:rsidRPr="009070BD">
        <w:rPr>
          <w:b w:val="0"/>
          <w:lang w:val="af-ZA"/>
        </w:rPr>
        <w:t xml:space="preserve"> </w:t>
      </w:r>
      <w:r w:rsidRPr="009070BD">
        <w:rPr>
          <w:b w:val="0"/>
          <w:lang w:val="hy-AM"/>
        </w:rPr>
        <w:t>ապահովման</w:t>
      </w:r>
      <w:r w:rsidRPr="009070BD">
        <w:rPr>
          <w:b w:val="0"/>
          <w:lang w:val="af-ZA"/>
        </w:rPr>
        <w:t xml:space="preserve">  </w:t>
      </w:r>
      <w:r w:rsidRPr="009070BD">
        <w:rPr>
          <w:b w:val="0"/>
          <w:lang w:val="hy-AM"/>
        </w:rPr>
        <w:t>բնագավառներում</w:t>
      </w:r>
      <w:r w:rsidRPr="009070BD">
        <w:rPr>
          <w:b w:val="0"/>
          <w:lang w:val="af-ZA"/>
        </w:rPr>
        <w:t xml:space="preserve"> </w:t>
      </w:r>
      <w:r w:rsidRPr="009070BD">
        <w:rPr>
          <w:b w:val="0"/>
          <w:lang w:val="hy-AM"/>
        </w:rPr>
        <w:t>միջազգային</w:t>
      </w:r>
      <w:r w:rsidRPr="009070BD">
        <w:rPr>
          <w:b w:val="0"/>
          <w:lang w:val="af-ZA"/>
        </w:rPr>
        <w:t xml:space="preserve"> </w:t>
      </w:r>
      <w:r w:rsidRPr="009070BD">
        <w:rPr>
          <w:b w:val="0"/>
          <w:lang w:val="hy-AM"/>
        </w:rPr>
        <w:t>չափորոշիչների</w:t>
      </w:r>
      <w:r w:rsidRPr="009070BD">
        <w:rPr>
          <w:b w:val="0"/>
          <w:lang w:val="af-ZA"/>
        </w:rPr>
        <w:t xml:space="preserve"> </w:t>
      </w:r>
      <w:r w:rsidRPr="009070BD">
        <w:rPr>
          <w:b w:val="0"/>
          <w:lang w:val="hy-AM"/>
        </w:rPr>
        <w:t>պահանջներին</w:t>
      </w:r>
      <w:r w:rsidRPr="009070BD">
        <w:rPr>
          <w:b w:val="0"/>
          <w:lang w:val="af-ZA"/>
        </w:rPr>
        <w:t xml:space="preserve"> </w:t>
      </w:r>
      <w:r w:rsidRPr="009070BD">
        <w:rPr>
          <w:b w:val="0"/>
          <w:lang w:val="hy-AM"/>
        </w:rPr>
        <w:t>համապատասխան</w:t>
      </w:r>
      <w:r w:rsidRPr="009070BD">
        <w:rPr>
          <w:b w:val="0"/>
          <w:lang w:val="af-ZA"/>
        </w:rPr>
        <w:t xml:space="preserve"> </w:t>
      </w:r>
      <w:r w:rsidRPr="009070BD">
        <w:rPr>
          <w:b w:val="0"/>
          <w:lang w:val="hy-AM"/>
        </w:rPr>
        <w:t>ունենալ</w:t>
      </w:r>
      <w:r w:rsidRPr="009070BD">
        <w:rPr>
          <w:b w:val="0"/>
          <w:lang w:val="af-ZA"/>
        </w:rPr>
        <w:t xml:space="preserve"> </w:t>
      </w:r>
      <w:r w:rsidRPr="009070BD">
        <w:rPr>
          <w:b w:val="0"/>
          <w:lang w:val="hy-AM"/>
        </w:rPr>
        <w:t>հնարավորություն</w:t>
      </w:r>
      <w:r w:rsidRPr="009070BD">
        <w:rPr>
          <w:b w:val="0"/>
          <w:lang w:val="af-ZA"/>
        </w:rPr>
        <w:t xml:space="preserve"> </w:t>
      </w:r>
      <w:r w:rsidRPr="009070BD">
        <w:rPr>
          <w:b w:val="0"/>
          <w:lang w:val="hy-AM"/>
        </w:rPr>
        <w:t>իրականացնելու</w:t>
      </w:r>
      <w:r w:rsidRPr="009070BD">
        <w:rPr>
          <w:b w:val="0"/>
          <w:lang w:val="af-ZA"/>
        </w:rPr>
        <w:t xml:space="preserve"> </w:t>
      </w:r>
      <w:r w:rsidRPr="009070BD">
        <w:rPr>
          <w:b w:val="0"/>
          <w:lang w:val="hy-AM"/>
        </w:rPr>
        <w:t>լաբորատոր</w:t>
      </w:r>
      <w:r w:rsidRPr="009070BD">
        <w:rPr>
          <w:b w:val="0"/>
          <w:lang w:val="af-ZA"/>
        </w:rPr>
        <w:t xml:space="preserve"> </w:t>
      </w:r>
      <w:r w:rsidRPr="009070BD">
        <w:rPr>
          <w:b w:val="0"/>
          <w:lang w:val="hy-AM"/>
        </w:rPr>
        <w:t>փորձաքննություններ</w:t>
      </w:r>
      <w:r w:rsidRPr="009070BD">
        <w:rPr>
          <w:b w:val="0"/>
          <w:lang w:val="af-ZA"/>
        </w:rPr>
        <w:t xml:space="preserve">, </w:t>
      </w:r>
      <w:r w:rsidRPr="009070BD">
        <w:rPr>
          <w:b w:val="0"/>
          <w:lang w:val="hy-AM"/>
        </w:rPr>
        <w:t>բնակչությանն</w:t>
      </w:r>
      <w:r w:rsidRPr="009070BD">
        <w:rPr>
          <w:b w:val="0"/>
          <w:lang w:val="af-ZA"/>
        </w:rPr>
        <w:t xml:space="preserve"> </w:t>
      </w:r>
      <w:r w:rsidRPr="009070BD">
        <w:rPr>
          <w:b w:val="0"/>
          <w:lang w:val="hy-AM"/>
        </w:rPr>
        <w:t>անասնաբուժասանիտարական</w:t>
      </w:r>
      <w:r w:rsidRPr="009070BD">
        <w:rPr>
          <w:b w:val="0"/>
          <w:lang w:val="af-ZA"/>
        </w:rPr>
        <w:t xml:space="preserve">, </w:t>
      </w:r>
      <w:r w:rsidRPr="009070BD">
        <w:rPr>
          <w:b w:val="0"/>
          <w:lang w:val="hy-AM"/>
        </w:rPr>
        <w:t>ինչպես</w:t>
      </w:r>
      <w:r w:rsidRPr="009070BD">
        <w:rPr>
          <w:b w:val="0"/>
          <w:lang w:val="af-ZA"/>
        </w:rPr>
        <w:t xml:space="preserve"> </w:t>
      </w:r>
      <w:r w:rsidRPr="009070BD">
        <w:rPr>
          <w:b w:val="0"/>
          <w:lang w:val="hy-AM"/>
        </w:rPr>
        <w:t>նաև</w:t>
      </w:r>
      <w:r w:rsidRPr="009070BD">
        <w:rPr>
          <w:b w:val="0"/>
          <w:lang w:val="af-ZA"/>
        </w:rPr>
        <w:t xml:space="preserve"> </w:t>
      </w:r>
      <w:r w:rsidRPr="009070BD">
        <w:rPr>
          <w:b w:val="0"/>
          <w:lang w:val="hy-AM"/>
        </w:rPr>
        <w:t>տեխնիկական</w:t>
      </w:r>
      <w:r w:rsidRPr="009070BD">
        <w:rPr>
          <w:b w:val="0"/>
          <w:lang w:val="af-ZA"/>
        </w:rPr>
        <w:t xml:space="preserve"> </w:t>
      </w:r>
      <w:r w:rsidRPr="009070BD">
        <w:rPr>
          <w:b w:val="0"/>
          <w:lang w:val="hy-AM"/>
        </w:rPr>
        <w:t>կանոնակարգերով</w:t>
      </w:r>
      <w:r w:rsidRPr="009070BD">
        <w:rPr>
          <w:b w:val="0"/>
          <w:lang w:val="af-ZA"/>
        </w:rPr>
        <w:t xml:space="preserve"> </w:t>
      </w:r>
      <w:r w:rsidRPr="009070BD">
        <w:rPr>
          <w:b w:val="0"/>
          <w:lang w:val="hy-AM"/>
        </w:rPr>
        <w:t>և</w:t>
      </w:r>
      <w:r w:rsidRPr="009070BD">
        <w:rPr>
          <w:b w:val="0"/>
          <w:lang w:val="af-ZA"/>
        </w:rPr>
        <w:t xml:space="preserve"> </w:t>
      </w:r>
      <w:r w:rsidRPr="009070BD">
        <w:rPr>
          <w:b w:val="0"/>
          <w:lang w:val="hy-AM"/>
        </w:rPr>
        <w:t>նորմատիվ</w:t>
      </w:r>
      <w:r w:rsidRPr="009070BD">
        <w:rPr>
          <w:b w:val="0"/>
          <w:lang w:val="af-ZA"/>
        </w:rPr>
        <w:t xml:space="preserve"> </w:t>
      </w:r>
      <w:r w:rsidRPr="009070BD">
        <w:rPr>
          <w:b w:val="0"/>
          <w:lang w:val="hy-AM"/>
        </w:rPr>
        <w:t>իրավական</w:t>
      </w:r>
      <w:r w:rsidRPr="009070BD">
        <w:rPr>
          <w:b w:val="0"/>
          <w:lang w:val="af-ZA"/>
        </w:rPr>
        <w:t xml:space="preserve"> </w:t>
      </w:r>
      <w:r w:rsidRPr="009070BD">
        <w:rPr>
          <w:b w:val="0"/>
          <w:lang w:val="hy-AM"/>
        </w:rPr>
        <w:t>այլ</w:t>
      </w:r>
      <w:r w:rsidRPr="009070BD">
        <w:rPr>
          <w:b w:val="0"/>
          <w:lang w:val="af-ZA"/>
        </w:rPr>
        <w:t xml:space="preserve"> </w:t>
      </w:r>
      <w:r w:rsidRPr="009070BD">
        <w:rPr>
          <w:b w:val="0"/>
          <w:lang w:val="hy-AM"/>
        </w:rPr>
        <w:t>ակտերով</w:t>
      </w:r>
      <w:r w:rsidRPr="009070BD">
        <w:rPr>
          <w:b w:val="0"/>
          <w:lang w:val="af-ZA"/>
        </w:rPr>
        <w:t xml:space="preserve"> </w:t>
      </w:r>
      <w:r w:rsidRPr="009070BD">
        <w:rPr>
          <w:b w:val="0"/>
          <w:lang w:val="hy-AM"/>
        </w:rPr>
        <w:t>սահմանված</w:t>
      </w:r>
      <w:r w:rsidRPr="009070BD">
        <w:rPr>
          <w:b w:val="0"/>
          <w:lang w:val="af-ZA"/>
        </w:rPr>
        <w:t xml:space="preserve"> </w:t>
      </w:r>
      <w:r w:rsidRPr="009070BD">
        <w:rPr>
          <w:b w:val="0"/>
          <w:lang w:val="hy-AM"/>
        </w:rPr>
        <w:t>պահանջների</w:t>
      </w:r>
      <w:r w:rsidRPr="009070BD">
        <w:rPr>
          <w:b w:val="0"/>
          <w:lang w:val="af-ZA"/>
        </w:rPr>
        <w:t xml:space="preserve"> </w:t>
      </w:r>
      <w:r w:rsidRPr="009070BD">
        <w:rPr>
          <w:b w:val="0"/>
          <w:lang w:val="hy-AM"/>
        </w:rPr>
        <w:t>տեսակետից</w:t>
      </w:r>
      <w:r w:rsidRPr="009070BD">
        <w:rPr>
          <w:b w:val="0"/>
          <w:lang w:val="af-ZA"/>
        </w:rPr>
        <w:t xml:space="preserve"> </w:t>
      </w:r>
      <w:r w:rsidRPr="009070BD">
        <w:rPr>
          <w:b w:val="0"/>
          <w:lang w:val="hy-AM"/>
        </w:rPr>
        <w:t>անվտանգ</w:t>
      </w:r>
      <w:r w:rsidRPr="009070BD">
        <w:rPr>
          <w:b w:val="0"/>
          <w:lang w:val="af-ZA"/>
        </w:rPr>
        <w:t xml:space="preserve"> </w:t>
      </w:r>
      <w:r w:rsidRPr="009070BD">
        <w:rPr>
          <w:b w:val="0"/>
          <w:lang w:val="hy-AM"/>
        </w:rPr>
        <w:t>ու</w:t>
      </w:r>
      <w:r w:rsidRPr="009070BD">
        <w:rPr>
          <w:b w:val="0"/>
          <w:lang w:val="af-ZA"/>
        </w:rPr>
        <w:t xml:space="preserve"> </w:t>
      </w:r>
      <w:r w:rsidRPr="009070BD">
        <w:rPr>
          <w:b w:val="0"/>
          <w:lang w:val="hy-AM"/>
        </w:rPr>
        <w:t>բարձորակ</w:t>
      </w:r>
      <w:r w:rsidRPr="009070BD">
        <w:rPr>
          <w:b w:val="0"/>
          <w:lang w:val="af-ZA"/>
        </w:rPr>
        <w:t xml:space="preserve"> </w:t>
      </w:r>
      <w:r w:rsidRPr="009070BD">
        <w:rPr>
          <w:b w:val="0"/>
          <w:lang w:val="hy-AM"/>
        </w:rPr>
        <w:t>սննդամթերքով</w:t>
      </w:r>
      <w:r w:rsidRPr="009070BD">
        <w:rPr>
          <w:b w:val="0"/>
          <w:lang w:val="af-ZA"/>
        </w:rPr>
        <w:t xml:space="preserve"> </w:t>
      </w:r>
      <w:r w:rsidRPr="009070BD">
        <w:rPr>
          <w:b w:val="0"/>
          <w:lang w:val="hy-AM"/>
        </w:rPr>
        <w:t>և</w:t>
      </w:r>
      <w:r w:rsidRPr="009070BD">
        <w:rPr>
          <w:b w:val="0"/>
          <w:lang w:val="af-ZA"/>
        </w:rPr>
        <w:t xml:space="preserve"> </w:t>
      </w:r>
      <w:r w:rsidRPr="009070BD">
        <w:rPr>
          <w:b w:val="0"/>
          <w:lang w:val="hy-AM"/>
        </w:rPr>
        <w:t>հումքով</w:t>
      </w:r>
      <w:r w:rsidRPr="009070BD">
        <w:rPr>
          <w:b w:val="0"/>
          <w:lang w:val="af-ZA"/>
        </w:rPr>
        <w:t xml:space="preserve"> </w:t>
      </w:r>
      <w:r w:rsidRPr="009070BD">
        <w:rPr>
          <w:b w:val="0"/>
          <w:lang w:val="hy-AM"/>
        </w:rPr>
        <w:t>ապահովում</w:t>
      </w:r>
      <w:r w:rsidRPr="009070BD">
        <w:rPr>
          <w:b w:val="0"/>
          <w:lang w:val="af-ZA"/>
        </w:rPr>
        <w:t xml:space="preserve">, </w:t>
      </w:r>
      <w:r w:rsidRPr="009070BD">
        <w:rPr>
          <w:b w:val="0"/>
          <w:lang w:val="hy-AM"/>
        </w:rPr>
        <w:t>սննդի</w:t>
      </w:r>
      <w:r w:rsidRPr="009070BD">
        <w:rPr>
          <w:b w:val="0"/>
          <w:lang w:val="af-ZA"/>
        </w:rPr>
        <w:t xml:space="preserve"> </w:t>
      </w:r>
      <w:r w:rsidRPr="009070BD">
        <w:rPr>
          <w:b w:val="0"/>
          <w:lang w:val="hy-AM"/>
        </w:rPr>
        <w:t>շղթայի</w:t>
      </w:r>
      <w:r w:rsidRPr="009070BD">
        <w:rPr>
          <w:b w:val="0"/>
          <w:lang w:val="af-ZA"/>
        </w:rPr>
        <w:t xml:space="preserve"> </w:t>
      </w:r>
      <w:r w:rsidRPr="009070BD">
        <w:rPr>
          <w:b w:val="0"/>
          <w:lang w:val="hy-AM"/>
        </w:rPr>
        <w:t>փուլերում</w:t>
      </w:r>
      <w:r w:rsidRPr="009070BD">
        <w:rPr>
          <w:b w:val="0"/>
          <w:lang w:val="af-ZA"/>
        </w:rPr>
        <w:t xml:space="preserve"> </w:t>
      </w:r>
      <w:r w:rsidRPr="009070BD">
        <w:rPr>
          <w:b w:val="0"/>
          <w:lang w:val="hy-AM"/>
        </w:rPr>
        <w:t>վտանգավոր</w:t>
      </w:r>
      <w:r w:rsidRPr="009070BD">
        <w:rPr>
          <w:b w:val="0"/>
          <w:lang w:val="af-ZA"/>
        </w:rPr>
        <w:t xml:space="preserve"> </w:t>
      </w:r>
      <w:r w:rsidRPr="009070BD">
        <w:rPr>
          <w:b w:val="0"/>
          <w:lang w:val="hy-AM"/>
        </w:rPr>
        <w:t>սննդամթերքի</w:t>
      </w:r>
      <w:r w:rsidRPr="009070BD">
        <w:rPr>
          <w:b w:val="0"/>
          <w:lang w:val="af-ZA"/>
        </w:rPr>
        <w:t xml:space="preserve"> </w:t>
      </w:r>
      <w:r w:rsidRPr="009070BD">
        <w:rPr>
          <w:b w:val="0"/>
          <w:lang w:val="hy-AM"/>
        </w:rPr>
        <w:t>հայտնաբերում</w:t>
      </w:r>
      <w:r w:rsidRPr="009070BD">
        <w:rPr>
          <w:b w:val="0"/>
          <w:lang w:val="af-ZA"/>
        </w:rPr>
        <w:t xml:space="preserve">, </w:t>
      </w:r>
      <w:r w:rsidRPr="009070BD">
        <w:rPr>
          <w:b w:val="0"/>
          <w:lang w:val="hy-AM"/>
        </w:rPr>
        <w:t>դրա</w:t>
      </w:r>
      <w:r w:rsidRPr="009070BD">
        <w:rPr>
          <w:b w:val="0"/>
          <w:lang w:val="af-ZA"/>
        </w:rPr>
        <w:t xml:space="preserve"> </w:t>
      </w:r>
      <w:r w:rsidRPr="009070BD">
        <w:rPr>
          <w:b w:val="0"/>
          <w:lang w:val="hy-AM"/>
        </w:rPr>
        <w:t>հետագա</w:t>
      </w:r>
      <w:r w:rsidRPr="009070BD">
        <w:rPr>
          <w:b w:val="0"/>
          <w:lang w:val="af-ZA"/>
        </w:rPr>
        <w:t xml:space="preserve"> </w:t>
      </w:r>
      <w:r w:rsidRPr="009070BD">
        <w:rPr>
          <w:b w:val="0"/>
          <w:lang w:val="hy-AM"/>
        </w:rPr>
        <w:t>իրացման</w:t>
      </w:r>
      <w:r w:rsidRPr="009070BD">
        <w:rPr>
          <w:b w:val="0"/>
          <w:lang w:val="af-ZA"/>
        </w:rPr>
        <w:t xml:space="preserve"> </w:t>
      </w:r>
      <w:r w:rsidRPr="009070BD">
        <w:rPr>
          <w:b w:val="0"/>
          <w:lang w:val="hy-AM"/>
        </w:rPr>
        <w:t>կանխում</w:t>
      </w:r>
      <w:r w:rsidRPr="009070BD">
        <w:rPr>
          <w:b w:val="0"/>
          <w:lang w:val="af-ZA"/>
        </w:rPr>
        <w:t xml:space="preserve"> </w:t>
      </w:r>
      <w:r w:rsidRPr="009070BD">
        <w:rPr>
          <w:b w:val="0"/>
          <w:lang w:val="hy-AM"/>
        </w:rPr>
        <w:t>և</w:t>
      </w:r>
      <w:r w:rsidRPr="009070BD">
        <w:rPr>
          <w:b w:val="0"/>
          <w:lang w:val="af-ZA"/>
        </w:rPr>
        <w:t xml:space="preserve"> </w:t>
      </w:r>
      <w:r w:rsidRPr="009070BD">
        <w:rPr>
          <w:b w:val="0"/>
          <w:lang w:val="hy-AM"/>
        </w:rPr>
        <w:t>սահմանված</w:t>
      </w:r>
      <w:r w:rsidRPr="009070BD">
        <w:rPr>
          <w:b w:val="0"/>
          <w:lang w:val="af-ZA"/>
        </w:rPr>
        <w:t xml:space="preserve"> </w:t>
      </w:r>
      <w:r w:rsidRPr="009070BD">
        <w:rPr>
          <w:b w:val="0"/>
          <w:lang w:val="hy-AM"/>
        </w:rPr>
        <w:t>կարգով</w:t>
      </w:r>
      <w:r w:rsidRPr="009070BD">
        <w:rPr>
          <w:b w:val="0"/>
          <w:lang w:val="af-ZA"/>
        </w:rPr>
        <w:t xml:space="preserve"> </w:t>
      </w:r>
      <w:r w:rsidRPr="009070BD">
        <w:rPr>
          <w:b w:val="0"/>
          <w:lang w:val="hy-AM"/>
        </w:rPr>
        <w:t>օգտահանում</w:t>
      </w:r>
      <w:r w:rsidRPr="009070BD">
        <w:rPr>
          <w:b w:val="0"/>
          <w:lang w:val="af-ZA"/>
        </w:rPr>
        <w:t xml:space="preserve"> </w:t>
      </w:r>
      <w:r w:rsidRPr="009070BD">
        <w:rPr>
          <w:b w:val="0"/>
          <w:lang w:val="hy-AM"/>
        </w:rPr>
        <w:t>կամ</w:t>
      </w:r>
      <w:r w:rsidRPr="009070BD">
        <w:rPr>
          <w:b w:val="0"/>
          <w:lang w:val="af-ZA"/>
        </w:rPr>
        <w:t xml:space="preserve"> </w:t>
      </w:r>
      <w:r w:rsidRPr="009070BD">
        <w:rPr>
          <w:b w:val="0"/>
          <w:lang w:val="hy-AM"/>
        </w:rPr>
        <w:t>ոչնչացում</w:t>
      </w:r>
      <w:r w:rsidRPr="009070BD">
        <w:rPr>
          <w:b w:val="0"/>
          <w:lang w:val="af-ZA"/>
        </w:rPr>
        <w:t>:</w:t>
      </w:r>
      <w:r w:rsidRPr="009070BD">
        <w:rPr>
          <w:b w:val="0"/>
          <w:lang w:val="ro-RO"/>
        </w:rPr>
        <w:t xml:space="preserve">  </w:t>
      </w:r>
    </w:p>
    <w:p w:rsidR="00B36A46" w:rsidRPr="009070BD" w:rsidRDefault="00B36A46" w:rsidP="007730AA">
      <w:pPr>
        <w:autoSpaceDE w:val="0"/>
        <w:autoSpaceDN w:val="0"/>
        <w:adjustRightInd w:val="0"/>
        <w:spacing w:before="0" w:line="276" w:lineRule="auto"/>
        <w:ind w:firstLine="720"/>
        <w:rPr>
          <w:rFonts w:cs="Sylfaen"/>
          <w:b w:val="0"/>
          <w:lang w:val="af-ZA"/>
        </w:rPr>
      </w:pPr>
      <w:r w:rsidRPr="009070BD">
        <w:rPr>
          <w:lang w:val="ro-RO"/>
        </w:rPr>
        <w:t xml:space="preserve">10.2 </w:t>
      </w:r>
      <w:r w:rsidRPr="009070BD">
        <w:rPr>
          <w:rFonts w:cs="Sylfaen"/>
          <w:lang w:val="af-ZA"/>
        </w:rPr>
        <w:t>«Բուսական ծագման մթերքներում պեստիցիդների, նիտրատների, ծանր մետաղների և գենետիկորեն ձևափոխված օրգանիզմների մնացորդների մոնիթորինգ»</w:t>
      </w:r>
      <w:r w:rsidRPr="009070BD">
        <w:rPr>
          <w:rFonts w:cs="Sylfaen"/>
          <w:b w:val="0"/>
          <w:lang w:val="af-ZA"/>
        </w:rPr>
        <w:t xml:space="preserve"> միջոցառման համար Նախագծով նախատեսվում է հատկացնել 45.8 մլն դրամ՝ </w:t>
      </w:r>
      <w:r w:rsidRPr="009070BD">
        <w:rPr>
          <w:rFonts w:cs="Sylfaen"/>
          <w:b w:val="0"/>
          <w:lang w:val="hy-AM"/>
        </w:rPr>
        <w:t>ՀՀ 20</w:t>
      </w:r>
      <w:r w:rsidRPr="009070BD">
        <w:rPr>
          <w:rFonts w:cs="Sylfaen"/>
          <w:b w:val="0"/>
          <w:lang w:val="af-ZA"/>
        </w:rPr>
        <w:t>20</w:t>
      </w:r>
      <w:r w:rsidRPr="009070BD">
        <w:rPr>
          <w:rFonts w:cs="Sylfaen"/>
          <w:b w:val="0"/>
          <w:lang w:val="hy-AM"/>
        </w:rPr>
        <w:t xml:space="preserve"> թվականի պետական բյուջեով հաստատված </w:t>
      </w:r>
      <w:r w:rsidRPr="009070BD">
        <w:rPr>
          <w:rFonts w:cs="Sylfaen"/>
          <w:b w:val="0"/>
          <w:lang w:val="en-US"/>
        </w:rPr>
        <w:t>չափաքանակին</w:t>
      </w:r>
      <w:r w:rsidRPr="009070BD">
        <w:rPr>
          <w:rFonts w:cs="Sylfaen"/>
          <w:b w:val="0"/>
          <w:lang w:val="af-ZA"/>
        </w:rPr>
        <w:t xml:space="preserve"> </w:t>
      </w:r>
      <w:r w:rsidRPr="009070BD">
        <w:rPr>
          <w:rFonts w:cs="Sylfaen"/>
          <w:b w:val="0"/>
          <w:lang w:val="en-US"/>
        </w:rPr>
        <w:t>համապատասխան</w:t>
      </w:r>
      <w:r w:rsidRPr="009070BD">
        <w:rPr>
          <w:rFonts w:cs="Sylfaen"/>
          <w:b w:val="0"/>
          <w:lang w:val="af-ZA"/>
        </w:rPr>
        <w:t xml:space="preserve">:  </w:t>
      </w:r>
    </w:p>
    <w:p w:rsidR="00B36A46" w:rsidRPr="009070BD" w:rsidRDefault="00B36A46" w:rsidP="007730AA">
      <w:pPr>
        <w:spacing w:before="0" w:line="276" w:lineRule="auto"/>
        <w:ind w:firstLine="720"/>
        <w:rPr>
          <w:b w:val="0"/>
          <w:lang w:val="af-ZA"/>
        </w:rPr>
      </w:pPr>
      <w:r w:rsidRPr="009070BD">
        <w:rPr>
          <w:b w:val="0"/>
        </w:rPr>
        <w:t>Միջոցառման</w:t>
      </w:r>
      <w:r w:rsidRPr="009070BD">
        <w:rPr>
          <w:b w:val="0"/>
          <w:lang w:val="af-ZA"/>
        </w:rPr>
        <w:t xml:space="preserve"> </w:t>
      </w:r>
      <w:r w:rsidRPr="009070BD">
        <w:rPr>
          <w:b w:val="0"/>
        </w:rPr>
        <w:t>նպատակն</w:t>
      </w:r>
      <w:r w:rsidRPr="009070BD">
        <w:rPr>
          <w:b w:val="0"/>
          <w:lang w:val="af-ZA"/>
        </w:rPr>
        <w:t xml:space="preserve"> </w:t>
      </w:r>
      <w:r w:rsidRPr="009070BD">
        <w:rPr>
          <w:b w:val="0"/>
        </w:rPr>
        <w:t>է</w:t>
      </w:r>
      <w:r w:rsidRPr="009070BD">
        <w:rPr>
          <w:b w:val="0"/>
          <w:lang w:val="af-ZA"/>
        </w:rPr>
        <w:t xml:space="preserve"> </w:t>
      </w:r>
      <w:r w:rsidRPr="009070BD">
        <w:rPr>
          <w:b w:val="0"/>
        </w:rPr>
        <w:t>մոնիթորինգի</w:t>
      </w:r>
      <w:r w:rsidRPr="009070BD">
        <w:rPr>
          <w:b w:val="0"/>
          <w:lang w:val="af-ZA"/>
        </w:rPr>
        <w:t xml:space="preserve"> </w:t>
      </w:r>
      <w:r w:rsidRPr="009070BD">
        <w:rPr>
          <w:b w:val="0"/>
        </w:rPr>
        <w:t>ենթարկել</w:t>
      </w:r>
      <w:r w:rsidRPr="009070BD">
        <w:rPr>
          <w:b w:val="0"/>
          <w:lang w:val="af-ZA"/>
        </w:rPr>
        <w:t xml:space="preserve"> </w:t>
      </w:r>
      <w:r w:rsidRPr="009070BD">
        <w:rPr>
          <w:b w:val="0"/>
        </w:rPr>
        <w:t>Հայաստանի</w:t>
      </w:r>
      <w:r w:rsidRPr="009070BD">
        <w:rPr>
          <w:b w:val="0"/>
          <w:lang w:val="af-ZA"/>
        </w:rPr>
        <w:t xml:space="preserve"> </w:t>
      </w:r>
      <w:r w:rsidRPr="009070BD">
        <w:rPr>
          <w:b w:val="0"/>
        </w:rPr>
        <w:t>Հանրապետությունում</w:t>
      </w:r>
      <w:r w:rsidRPr="009070BD">
        <w:rPr>
          <w:b w:val="0"/>
          <w:lang w:val="af-ZA"/>
        </w:rPr>
        <w:t xml:space="preserve"> </w:t>
      </w:r>
      <w:r w:rsidRPr="009070BD">
        <w:rPr>
          <w:b w:val="0"/>
        </w:rPr>
        <w:t>արտադրվող</w:t>
      </w:r>
      <w:r w:rsidRPr="009070BD">
        <w:rPr>
          <w:b w:val="0"/>
          <w:lang w:val="af-ZA"/>
        </w:rPr>
        <w:t xml:space="preserve">, </w:t>
      </w:r>
      <w:r w:rsidRPr="009070BD">
        <w:rPr>
          <w:b w:val="0"/>
        </w:rPr>
        <w:t>ինչպես</w:t>
      </w:r>
      <w:r w:rsidRPr="009070BD">
        <w:rPr>
          <w:b w:val="0"/>
          <w:lang w:val="af-ZA"/>
        </w:rPr>
        <w:t xml:space="preserve"> </w:t>
      </w:r>
      <w:r w:rsidRPr="009070BD">
        <w:rPr>
          <w:b w:val="0"/>
        </w:rPr>
        <w:t>նաև</w:t>
      </w:r>
      <w:r w:rsidRPr="009070BD">
        <w:rPr>
          <w:b w:val="0"/>
          <w:lang w:val="af-ZA"/>
        </w:rPr>
        <w:t xml:space="preserve"> </w:t>
      </w:r>
      <w:r w:rsidRPr="009070BD">
        <w:rPr>
          <w:b w:val="0"/>
        </w:rPr>
        <w:t>Հայաստանի</w:t>
      </w:r>
      <w:r w:rsidRPr="009070BD">
        <w:rPr>
          <w:b w:val="0"/>
          <w:lang w:val="af-ZA"/>
        </w:rPr>
        <w:t xml:space="preserve"> </w:t>
      </w:r>
      <w:r w:rsidRPr="009070BD">
        <w:rPr>
          <w:b w:val="0"/>
        </w:rPr>
        <w:t>Հանրապետություն</w:t>
      </w:r>
      <w:r w:rsidRPr="009070BD">
        <w:rPr>
          <w:b w:val="0"/>
          <w:lang w:val="af-ZA"/>
        </w:rPr>
        <w:t xml:space="preserve"> </w:t>
      </w:r>
      <w:r w:rsidRPr="009070BD">
        <w:rPr>
          <w:b w:val="0"/>
        </w:rPr>
        <w:t>ներմուծվող</w:t>
      </w:r>
      <w:r w:rsidRPr="009070BD">
        <w:rPr>
          <w:b w:val="0"/>
          <w:lang w:val="af-ZA"/>
        </w:rPr>
        <w:t xml:space="preserve"> </w:t>
      </w:r>
      <w:r w:rsidRPr="009070BD">
        <w:rPr>
          <w:b w:val="0"/>
        </w:rPr>
        <w:t>բուսական</w:t>
      </w:r>
      <w:r w:rsidRPr="009070BD">
        <w:rPr>
          <w:b w:val="0"/>
          <w:lang w:val="af-ZA"/>
        </w:rPr>
        <w:t xml:space="preserve"> </w:t>
      </w:r>
      <w:r w:rsidRPr="009070BD">
        <w:rPr>
          <w:b w:val="0"/>
        </w:rPr>
        <w:t>ծագման</w:t>
      </w:r>
      <w:r w:rsidRPr="009070BD">
        <w:rPr>
          <w:b w:val="0"/>
          <w:lang w:val="af-ZA"/>
        </w:rPr>
        <w:t xml:space="preserve"> </w:t>
      </w:r>
      <w:r w:rsidRPr="009070BD">
        <w:rPr>
          <w:b w:val="0"/>
        </w:rPr>
        <w:t>մթերքում</w:t>
      </w:r>
      <w:r w:rsidRPr="009070BD">
        <w:rPr>
          <w:b w:val="0"/>
          <w:lang w:val="af-ZA"/>
        </w:rPr>
        <w:t xml:space="preserve"> </w:t>
      </w:r>
      <w:r w:rsidRPr="009070BD">
        <w:rPr>
          <w:b w:val="0"/>
        </w:rPr>
        <w:t>պեստիցիդների</w:t>
      </w:r>
      <w:r w:rsidRPr="009070BD">
        <w:rPr>
          <w:b w:val="0"/>
          <w:lang w:val="af-ZA"/>
        </w:rPr>
        <w:t xml:space="preserve">, </w:t>
      </w:r>
      <w:r w:rsidRPr="009070BD">
        <w:rPr>
          <w:b w:val="0"/>
        </w:rPr>
        <w:t>նիտրատների</w:t>
      </w:r>
      <w:r w:rsidRPr="009070BD">
        <w:rPr>
          <w:b w:val="0"/>
          <w:lang w:val="af-ZA"/>
        </w:rPr>
        <w:t xml:space="preserve"> </w:t>
      </w:r>
      <w:r w:rsidRPr="009070BD">
        <w:rPr>
          <w:b w:val="0"/>
        </w:rPr>
        <w:t>և</w:t>
      </w:r>
      <w:r w:rsidRPr="009070BD">
        <w:rPr>
          <w:b w:val="0"/>
          <w:lang w:val="af-ZA"/>
        </w:rPr>
        <w:t xml:space="preserve"> </w:t>
      </w:r>
      <w:r w:rsidRPr="009070BD">
        <w:rPr>
          <w:b w:val="0"/>
        </w:rPr>
        <w:t>ծանր</w:t>
      </w:r>
      <w:r w:rsidRPr="009070BD">
        <w:rPr>
          <w:b w:val="0"/>
          <w:lang w:val="af-ZA"/>
        </w:rPr>
        <w:t xml:space="preserve"> </w:t>
      </w:r>
      <w:r w:rsidRPr="009070BD">
        <w:rPr>
          <w:b w:val="0"/>
        </w:rPr>
        <w:t>մետաղների</w:t>
      </w:r>
      <w:r w:rsidRPr="009070BD">
        <w:rPr>
          <w:b w:val="0"/>
          <w:lang w:val="af-ZA"/>
        </w:rPr>
        <w:t xml:space="preserve"> </w:t>
      </w:r>
      <w:r w:rsidRPr="009070BD">
        <w:rPr>
          <w:b w:val="0"/>
        </w:rPr>
        <w:t>մնացորդային</w:t>
      </w:r>
      <w:r w:rsidRPr="009070BD">
        <w:rPr>
          <w:b w:val="0"/>
          <w:lang w:val="af-ZA"/>
        </w:rPr>
        <w:t xml:space="preserve"> </w:t>
      </w:r>
      <w:r w:rsidRPr="009070BD">
        <w:rPr>
          <w:b w:val="0"/>
        </w:rPr>
        <w:t>քանակները՝</w:t>
      </w:r>
      <w:r w:rsidRPr="009070BD">
        <w:rPr>
          <w:b w:val="0"/>
          <w:lang w:val="af-ZA"/>
        </w:rPr>
        <w:t xml:space="preserve"> </w:t>
      </w:r>
      <w:r w:rsidRPr="009070BD">
        <w:rPr>
          <w:b w:val="0"/>
        </w:rPr>
        <w:t>հավաստելու</w:t>
      </w:r>
      <w:r w:rsidRPr="009070BD">
        <w:rPr>
          <w:b w:val="0"/>
          <w:lang w:val="af-ZA"/>
        </w:rPr>
        <w:t xml:space="preserve">, </w:t>
      </w:r>
      <w:r w:rsidRPr="009070BD">
        <w:rPr>
          <w:b w:val="0"/>
        </w:rPr>
        <w:t>որ</w:t>
      </w:r>
      <w:r w:rsidRPr="009070BD">
        <w:rPr>
          <w:b w:val="0"/>
          <w:lang w:val="af-ZA"/>
        </w:rPr>
        <w:t xml:space="preserve"> </w:t>
      </w:r>
      <w:r w:rsidRPr="009070BD">
        <w:rPr>
          <w:b w:val="0"/>
        </w:rPr>
        <w:t>ինչպես</w:t>
      </w:r>
      <w:r w:rsidRPr="009070BD">
        <w:rPr>
          <w:b w:val="0"/>
          <w:lang w:val="af-ZA"/>
        </w:rPr>
        <w:t xml:space="preserve"> </w:t>
      </w:r>
      <w:r w:rsidRPr="009070BD">
        <w:rPr>
          <w:b w:val="0"/>
        </w:rPr>
        <w:t>ներմուծված</w:t>
      </w:r>
      <w:r w:rsidRPr="009070BD">
        <w:rPr>
          <w:b w:val="0"/>
          <w:lang w:val="af-ZA"/>
        </w:rPr>
        <w:t xml:space="preserve">, </w:t>
      </w:r>
      <w:r w:rsidRPr="009070BD">
        <w:rPr>
          <w:b w:val="0"/>
        </w:rPr>
        <w:t>այնպես</w:t>
      </w:r>
      <w:r w:rsidRPr="009070BD">
        <w:rPr>
          <w:b w:val="0"/>
          <w:lang w:val="af-ZA"/>
        </w:rPr>
        <w:t xml:space="preserve"> </w:t>
      </w:r>
      <w:r w:rsidRPr="009070BD">
        <w:rPr>
          <w:b w:val="0"/>
        </w:rPr>
        <w:t>էլ</w:t>
      </w:r>
      <w:r w:rsidRPr="009070BD">
        <w:rPr>
          <w:b w:val="0"/>
          <w:lang w:val="af-ZA"/>
        </w:rPr>
        <w:t xml:space="preserve"> </w:t>
      </w:r>
      <w:r w:rsidRPr="009070BD">
        <w:rPr>
          <w:b w:val="0"/>
        </w:rPr>
        <w:t>տեղական</w:t>
      </w:r>
      <w:r w:rsidRPr="009070BD">
        <w:rPr>
          <w:b w:val="0"/>
          <w:lang w:val="af-ZA"/>
        </w:rPr>
        <w:t xml:space="preserve"> </w:t>
      </w:r>
      <w:r w:rsidRPr="009070BD">
        <w:rPr>
          <w:b w:val="0"/>
        </w:rPr>
        <w:t>արտադրության</w:t>
      </w:r>
      <w:r w:rsidRPr="009070BD">
        <w:rPr>
          <w:b w:val="0"/>
          <w:lang w:val="af-ZA"/>
        </w:rPr>
        <w:t xml:space="preserve"> </w:t>
      </w:r>
      <w:r w:rsidRPr="009070BD">
        <w:rPr>
          <w:b w:val="0"/>
        </w:rPr>
        <w:t>բուսական</w:t>
      </w:r>
      <w:r w:rsidRPr="009070BD">
        <w:rPr>
          <w:b w:val="0"/>
          <w:lang w:val="af-ZA"/>
        </w:rPr>
        <w:t xml:space="preserve"> </w:t>
      </w:r>
      <w:r w:rsidRPr="009070BD">
        <w:rPr>
          <w:b w:val="0"/>
        </w:rPr>
        <w:t>ծագում</w:t>
      </w:r>
      <w:r w:rsidRPr="009070BD">
        <w:rPr>
          <w:b w:val="0"/>
          <w:lang w:val="af-ZA"/>
        </w:rPr>
        <w:t xml:space="preserve"> </w:t>
      </w:r>
      <w:r w:rsidRPr="009070BD">
        <w:rPr>
          <w:b w:val="0"/>
        </w:rPr>
        <w:t>ունեցող</w:t>
      </w:r>
      <w:r w:rsidRPr="009070BD">
        <w:rPr>
          <w:b w:val="0"/>
          <w:lang w:val="af-ZA"/>
        </w:rPr>
        <w:t xml:space="preserve"> </w:t>
      </w:r>
      <w:r w:rsidRPr="009070BD">
        <w:rPr>
          <w:b w:val="0"/>
        </w:rPr>
        <w:t>սննդամթերքը</w:t>
      </w:r>
      <w:r w:rsidRPr="009070BD">
        <w:rPr>
          <w:b w:val="0"/>
          <w:lang w:val="af-ZA"/>
        </w:rPr>
        <w:t xml:space="preserve"> </w:t>
      </w:r>
      <w:r w:rsidRPr="009070BD">
        <w:rPr>
          <w:b w:val="0"/>
        </w:rPr>
        <w:t>չի</w:t>
      </w:r>
      <w:r w:rsidRPr="009070BD">
        <w:rPr>
          <w:b w:val="0"/>
          <w:lang w:val="af-ZA"/>
        </w:rPr>
        <w:t xml:space="preserve"> </w:t>
      </w:r>
      <w:r w:rsidRPr="009070BD">
        <w:rPr>
          <w:b w:val="0"/>
        </w:rPr>
        <w:t>պարունակում</w:t>
      </w:r>
      <w:r w:rsidRPr="009070BD">
        <w:rPr>
          <w:b w:val="0"/>
          <w:lang w:val="af-ZA"/>
        </w:rPr>
        <w:t xml:space="preserve"> </w:t>
      </w:r>
      <w:r w:rsidRPr="009070BD">
        <w:rPr>
          <w:b w:val="0"/>
        </w:rPr>
        <w:t>պեստիցիդների</w:t>
      </w:r>
      <w:r w:rsidRPr="009070BD">
        <w:rPr>
          <w:b w:val="0"/>
          <w:lang w:val="af-ZA"/>
        </w:rPr>
        <w:t xml:space="preserve">, </w:t>
      </w:r>
      <w:r w:rsidRPr="009070BD">
        <w:rPr>
          <w:b w:val="0"/>
        </w:rPr>
        <w:t>նիտրատների</w:t>
      </w:r>
      <w:r w:rsidRPr="009070BD">
        <w:rPr>
          <w:b w:val="0"/>
          <w:lang w:val="af-ZA"/>
        </w:rPr>
        <w:t xml:space="preserve">, </w:t>
      </w:r>
      <w:r w:rsidRPr="009070BD">
        <w:rPr>
          <w:b w:val="0"/>
        </w:rPr>
        <w:t>ծանր</w:t>
      </w:r>
      <w:r w:rsidRPr="009070BD">
        <w:rPr>
          <w:b w:val="0"/>
          <w:lang w:val="af-ZA"/>
        </w:rPr>
        <w:t xml:space="preserve"> </w:t>
      </w:r>
      <w:r w:rsidRPr="009070BD">
        <w:rPr>
          <w:b w:val="0"/>
        </w:rPr>
        <w:t>մետաղների</w:t>
      </w:r>
      <w:r w:rsidRPr="009070BD">
        <w:rPr>
          <w:b w:val="0"/>
          <w:lang w:val="af-ZA"/>
        </w:rPr>
        <w:t xml:space="preserve"> </w:t>
      </w:r>
      <w:r w:rsidRPr="009070BD">
        <w:rPr>
          <w:b w:val="0"/>
        </w:rPr>
        <w:t>մնացորդային</w:t>
      </w:r>
      <w:r w:rsidRPr="009070BD">
        <w:rPr>
          <w:b w:val="0"/>
          <w:lang w:val="af-ZA"/>
        </w:rPr>
        <w:t xml:space="preserve"> </w:t>
      </w:r>
      <w:r w:rsidRPr="009070BD">
        <w:rPr>
          <w:b w:val="0"/>
        </w:rPr>
        <w:t>քանակներ</w:t>
      </w:r>
      <w:r w:rsidRPr="009070BD">
        <w:rPr>
          <w:b w:val="0"/>
          <w:lang w:val="af-ZA"/>
        </w:rPr>
        <w:t xml:space="preserve"> </w:t>
      </w:r>
      <w:r w:rsidRPr="009070BD">
        <w:rPr>
          <w:b w:val="0"/>
        </w:rPr>
        <w:t>և</w:t>
      </w:r>
      <w:r w:rsidRPr="009070BD">
        <w:rPr>
          <w:b w:val="0"/>
          <w:lang w:val="af-ZA"/>
        </w:rPr>
        <w:t xml:space="preserve"> գ</w:t>
      </w:r>
      <w:r w:rsidRPr="009070BD">
        <w:rPr>
          <w:b w:val="0"/>
        </w:rPr>
        <w:t>ենետիկորեն</w:t>
      </w:r>
      <w:r w:rsidRPr="009070BD">
        <w:rPr>
          <w:b w:val="0"/>
          <w:lang w:val="af-ZA"/>
        </w:rPr>
        <w:t xml:space="preserve"> </w:t>
      </w:r>
      <w:r w:rsidRPr="009070BD">
        <w:rPr>
          <w:b w:val="0"/>
        </w:rPr>
        <w:t>ձևափոխված</w:t>
      </w:r>
      <w:r w:rsidRPr="009070BD">
        <w:rPr>
          <w:b w:val="0"/>
          <w:lang w:val="af-ZA"/>
        </w:rPr>
        <w:t xml:space="preserve"> </w:t>
      </w:r>
      <w:r w:rsidRPr="009070BD">
        <w:rPr>
          <w:b w:val="0"/>
        </w:rPr>
        <w:t>օրգանիզմներ</w:t>
      </w:r>
      <w:r w:rsidRPr="009070BD">
        <w:rPr>
          <w:b w:val="0"/>
          <w:lang w:val="af-ZA"/>
        </w:rPr>
        <w:t xml:space="preserve"> </w:t>
      </w:r>
      <w:r w:rsidRPr="009070BD">
        <w:rPr>
          <w:b w:val="0"/>
        </w:rPr>
        <w:t>կամ</w:t>
      </w:r>
      <w:r w:rsidRPr="009070BD">
        <w:rPr>
          <w:b w:val="0"/>
          <w:lang w:val="af-ZA"/>
        </w:rPr>
        <w:t xml:space="preserve"> </w:t>
      </w:r>
      <w:r w:rsidRPr="009070BD">
        <w:rPr>
          <w:b w:val="0"/>
        </w:rPr>
        <w:t>վերջիններիս</w:t>
      </w:r>
      <w:r w:rsidRPr="009070BD">
        <w:rPr>
          <w:b w:val="0"/>
          <w:lang w:val="af-ZA"/>
        </w:rPr>
        <w:t xml:space="preserve"> </w:t>
      </w:r>
      <w:r w:rsidRPr="009070BD">
        <w:rPr>
          <w:b w:val="0"/>
        </w:rPr>
        <w:t>պարունակությունը</w:t>
      </w:r>
      <w:r w:rsidRPr="009070BD">
        <w:rPr>
          <w:b w:val="0"/>
          <w:lang w:val="af-ZA"/>
        </w:rPr>
        <w:t xml:space="preserve"> </w:t>
      </w:r>
      <w:r w:rsidRPr="009070BD">
        <w:rPr>
          <w:b w:val="0"/>
        </w:rPr>
        <w:t>չի</w:t>
      </w:r>
      <w:r w:rsidRPr="009070BD">
        <w:rPr>
          <w:b w:val="0"/>
          <w:lang w:val="af-ZA"/>
        </w:rPr>
        <w:t xml:space="preserve"> </w:t>
      </w:r>
      <w:r w:rsidRPr="009070BD">
        <w:rPr>
          <w:b w:val="0"/>
        </w:rPr>
        <w:t>գերազանցում</w:t>
      </w:r>
      <w:r w:rsidRPr="009070BD">
        <w:rPr>
          <w:b w:val="0"/>
          <w:lang w:val="af-ZA"/>
        </w:rPr>
        <w:t xml:space="preserve"> </w:t>
      </w:r>
      <w:r w:rsidRPr="009070BD">
        <w:rPr>
          <w:b w:val="0"/>
        </w:rPr>
        <w:t>ՀՀ</w:t>
      </w:r>
      <w:r w:rsidRPr="009070BD">
        <w:rPr>
          <w:b w:val="0"/>
          <w:lang w:val="af-ZA"/>
        </w:rPr>
        <w:t xml:space="preserve"> </w:t>
      </w:r>
      <w:r w:rsidRPr="009070BD">
        <w:rPr>
          <w:b w:val="0"/>
        </w:rPr>
        <w:t>օրենդրությամբ</w:t>
      </w:r>
      <w:r w:rsidRPr="009070BD">
        <w:rPr>
          <w:b w:val="0"/>
          <w:lang w:val="af-ZA"/>
        </w:rPr>
        <w:t xml:space="preserve"> </w:t>
      </w:r>
      <w:r w:rsidRPr="009070BD">
        <w:rPr>
          <w:b w:val="0"/>
        </w:rPr>
        <w:t>սահմանված</w:t>
      </w:r>
      <w:r w:rsidRPr="009070BD">
        <w:rPr>
          <w:b w:val="0"/>
          <w:lang w:val="af-ZA"/>
        </w:rPr>
        <w:t xml:space="preserve"> </w:t>
      </w:r>
      <w:r w:rsidRPr="009070BD">
        <w:rPr>
          <w:b w:val="0"/>
        </w:rPr>
        <w:t>մնացորդային</w:t>
      </w:r>
      <w:r w:rsidRPr="009070BD">
        <w:rPr>
          <w:b w:val="0"/>
          <w:lang w:val="af-ZA"/>
        </w:rPr>
        <w:t xml:space="preserve"> </w:t>
      </w:r>
      <w:r w:rsidRPr="009070BD">
        <w:rPr>
          <w:b w:val="0"/>
        </w:rPr>
        <w:t>քանակները</w:t>
      </w:r>
      <w:r w:rsidRPr="009070BD">
        <w:rPr>
          <w:b w:val="0"/>
          <w:lang w:val="af-ZA"/>
        </w:rPr>
        <w:t>:</w:t>
      </w:r>
    </w:p>
    <w:p w:rsidR="00B36A46" w:rsidRPr="009070BD" w:rsidRDefault="00B36A46" w:rsidP="007730AA">
      <w:pPr>
        <w:autoSpaceDE w:val="0"/>
        <w:autoSpaceDN w:val="0"/>
        <w:adjustRightInd w:val="0"/>
        <w:spacing w:before="0" w:line="276" w:lineRule="auto"/>
        <w:ind w:firstLine="720"/>
        <w:rPr>
          <w:rFonts w:cs="Sylfaen"/>
          <w:b w:val="0"/>
          <w:lang w:val="hy-AM"/>
        </w:rPr>
      </w:pPr>
      <w:r w:rsidRPr="009070BD">
        <w:rPr>
          <w:b w:val="0"/>
          <w:lang w:val="ro-RO"/>
        </w:rPr>
        <w:t xml:space="preserve"> </w:t>
      </w:r>
      <w:r w:rsidRPr="009070BD">
        <w:rPr>
          <w:bCs/>
          <w:lang w:val="ro-RO"/>
        </w:rPr>
        <w:t>10</w:t>
      </w:r>
      <w:r w:rsidRPr="009070BD">
        <w:rPr>
          <w:lang w:val="ro-RO"/>
        </w:rPr>
        <w:t>.3 Կենդանական ծագման մթերքում մնացորդային նյութերի հսկողության մոնիթորինգ</w:t>
      </w:r>
      <w:r w:rsidRPr="009070BD">
        <w:rPr>
          <w:rFonts w:cs="Sylfaen"/>
          <w:lang w:val="af-ZA"/>
        </w:rPr>
        <w:t></w:t>
      </w:r>
      <w:r w:rsidRPr="009070BD">
        <w:rPr>
          <w:rFonts w:cs="Sylfaen"/>
          <w:b w:val="0"/>
          <w:lang w:val="af-ZA"/>
        </w:rPr>
        <w:t xml:space="preserve"> միջոցառման համար Նախագծով նախատեսվում է հատկացնել 125.0 մլն դրամ</w:t>
      </w:r>
      <w:r w:rsidRPr="009070BD">
        <w:rPr>
          <w:rFonts w:cs="Sylfaen"/>
          <w:b w:val="0"/>
        </w:rPr>
        <w:t>՝</w:t>
      </w:r>
      <w:r w:rsidRPr="009070BD">
        <w:rPr>
          <w:rFonts w:cs="Sylfaen"/>
          <w:b w:val="0"/>
          <w:lang w:val="af-ZA"/>
        </w:rPr>
        <w:t xml:space="preserve"> </w:t>
      </w:r>
      <w:r w:rsidRPr="009070BD">
        <w:rPr>
          <w:rFonts w:cs="Sylfaen"/>
          <w:b w:val="0"/>
          <w:lang w:val="hy-AM"/>
        </w:rPr>
        <w:t>ՀՀ 20</w:t>
      </w:r>
      <w:r w:rsidRPr="009070BD">
        <w:rPr>
          <w:rFonts w:cs="Sylfaen"/>
          <w:b w:val="0"/>
          <w:lang w:val="af-ZA"/>
        </w:rPr>
        <w:t>20</w:t>
      </w:r>
      <w:r w:rsidRPr="009070BD">
        <w:rPr>
          <w:rFonts w:cs="Sylfaen"/>
          <w:b w:val="0"/>
          <w:lang w:val="hy-AM"/>
        </w:rPr>
        <w:t xml:space="preserve"> թվականի պետական բյուջեով հաստատված </w:t>
      </w:r>
      <w:r w:rsidRPr="009070BD">
        <w:rPr>
          <w:rFonts w:cs="Sylfaen"/>
          <w:b w:val="0"/>
          <w:lang w:val="en-US"/>
        </w:rPr>
        <w:t>չափաքանակին</w:t>
      </w:r>
      <w:r w:rsidRPr="009070BD">
        <w:rPr>
          <w:rFonts w:cs="Sylfaen"/>
          <w:b w:val="0"/>
          <w:lang w:val="af-ZA"/>
        </w:rPr>
        <w:t xml:space="preserve"> </w:t>
      </w:r>
      <w:r w:rsidRPr="009070BD">
        <w:rPr>
          <w:rFonts w:cs="Sylfaen"/>
          <w:b w:val="0"/>
          <w:lang w:val="en-US"/>
        </w:rPr>
        <w:t>համապատասխան</w:t>
      </w:r>
      <w:r w:rsidRPr="009070BD">
        <w:rPr>
          <w:rFonts w:cs="Sylfaen"/>
          <w:b w:val="0"/>
          <w:lang w:val="hy-AM"/>
        </w:rPr>
        <w:t>:</w:t>
      </w:r>
    </w:p>
    <w:p w:rsidR="00B36A46" w:rsidRPr="009070BD" w:rsidRDefault="00B36A46" w:rsidP="007730AA">
      <w:pPr>
        <w:autoSpaceDE w:val="0"/>
        <w:autoSpaceDN w:val="0"/>
        <w:adjustRightInd w:val="0"/>
        <w:spacing w:before="0" w:line="276" w:lineRule="auto"/>
        <w:ind w:firstLine="720"/>
        <w:rPr>
          <w:b w:val="0"/>
          <w:lang w:val="it-IT"/>
        </w:rPr>
      </w:pPr>
      <w:r w:rsidRPr="009070BD">
        <w:rPr>
          <w:rFonts w:cs="Sylfaen"/>
          <w:b w:val="0"/>
          <w:lang w:val="af-ZA"/>
        </w:rPr>
        <w:t xml:space="preserve">  </w:t>
      </w:r>
      <w:r w:rsidRPr="00F018CD">
        <w:rPr>
          <w:b w:val="0"/>
          <w:lang w:val="hy-AM"/>
        </w:rPr>
        <w:t>Միջոցառման</w:t>
      </w:r>
      <w:r w:rsidRPr="009070BD">
        <w:rPr>
          <w:b w:val="0"/>
          <w:lang w:val="af-ZA"/>
        </w:rPr>
        <w:t xml:space="preserve"> </w:t>
      </w:r>
      <w:r w:rsidRPr="00F018CD">
        <w:rPr>
          <w:b w:val="0"/>
          <w:lang w:val="hy-AM"/>
        </w:rPr>
        <w:t>նպատակն</w:t>
      </w:r>
      <w:r w:rsidRPr="009070BD">
        <w:rPr>
          <w:b w:val="0"/>
          <w:lang w:val="af-ZA"/>
        </w:rPr>
        <w:t xml:space="preserve"> </w:t>
      </w:r>
      <w:r w:rsidRPr="00F018CD">
        <w:rPr>
          <w:b w:val="0"/>
          <w:lang w:val="hy-AM"/>
        </w:rPr>
        <w:t>է</w:t>
      </w:r>
      <w:r w:rsidRPr="009070BD">
        <w:rPr>
          <w:b w:val="0"/>
          <w:lang w:val="af-ZA"/>
        </w:rPr>
        <w:t xml:space="preserve"> մն</w:t>
      </w:r>
      <w:r w:rsidRPr="00F018CD">
        <w:rPr>
          <w:b w:val="0"/>
          <w:lang w:val="hy-AM"/>
        </w:rPr>
        <w:t>ացորդային</w:t>
      </w:r>
      <w:r w:rsidRPr="009070BD">
        <w:rPr>
          <w:b w:val="0"/>
          <w:lang w:val="it-IT"/>
        </w:rPr>
        <w:t xml:space="preserve"> </w:t>
      </w:r>
      <w:r w:rsidRPr="00F018CD">
        <w:rPr>
          <w:b w:val="0"/>
          <w:lang w:val="hy-AM"/>
        </w:rPr>
        <w:t>նյութերի</w:t>
      </w:r>
      <w:r w:rsidRPr="009070BD">
        <w:rPr>
          <w:b w:val="0"/>
          <w:lang w:val="it-IT"/>
        </w:rPr>
        <w:t xml:space="preserve"> </w:t>
      </w:r>
      <w:r w:rsidRPr="00F018CD">
        <w:rPr>
          <w:b w:val="0"/>
          <w:lang w:val="hy-AM"/>
        </w:rPr>
        <w:t>հսկողության</w:t>
      </w:r>
      <w:r w:rsidRPr="009070BD">
        <w:rPr>
          <w:b w:val="0"/>
          <w:lang w:val="it-IT"/>
        </w:rPr>
        <w:t xml:space="preserve"> </w:t>
      </w:r>
      <w:r w:rsidRPr="00F018CD">
        <w:rPr>
          <w:b w:val="0"/>
          <w:lang w:val="hy-AM"/>
        </w:rPr>
        <w:t>իրականացում</w:t>
      </w:r>
      <w:r w:rsidRPr="009070BD">
        <w:rPr>
          <w:b w:val="0"/>
          <w:lang w:val="it-IT"/>
        </w:rPr>
        <w:t xml:space="preserve"> </w:t>
      </w:r>
      <w:r w:rsidRPr="00F018CD">
        <w:rPr>
          <w:b w:val="0"/>
          <w:lang w:val="hy-AM"/>
        </w:rPr>
        <w:t>ձկան</w:t>
      </w:r>
      <w:r w:rsidRPr="009070BD">
        <w:rPr>
          <w:b w:val="0"/>
          <w:lang w:val="it-IT"/>
        </w:rPr>
        <w:t xml:space="preserve">, </w:t>
      </w:r>
      <w:r w:rsidRPr="00F018CD">
        <w:rPr>
          <w:b w:val="0"/>
          <w:lang w:val="hy-AM"/>
        </w:rPr>
        <w:t>մեղրի</w:t>
      </w:r>
      <w:r w:rsidRPr="009070BD">
        <w:rPr>
          <w:b w:val="0"/>
          <w:lang w:val="it-IT"/>
        </w:rPr>
        <w:t xml:space="preserve">, </w:t>
      </w:r>
      <w:r w:rsidRPr="00F018CD">
        <w:rPr>
          <w:b w:val="0"/>
          <w:lang w:val="hy-AM"/>
        </w:rPr>
        <w:t>կաթի</w:t>
      </w:r>
      <w:r w:rsidRPr="009070BD">
        <w:rPr>
          <w:b w:val="0"/>
          <w:lang w:val="it-IT"/>
        </w:rPr>
        <w:t xml:space="preserve"> </w:t>
      </w:r>
      <w:r w:rsidRPr="00F018CD">
        <w:rPr>
          <w:b w:val="0"/>
          <w:lang w:val="hy-AM"/>
        </w:rPr>
        <w:t>և</w:t>
      </w:r>
      <w:r w:rsidRPr="009070BD">
        <w:rPr>
          <w:b w:val="0"/>
          <w:lang w:val="it-IT"/>
        </w:rPr>
        <w:t xml:space="preserve"> </w:t>
      </w:r>
      <w:r w:rsidRPr="00F018CD">
        <w:rPr>
          <w:b w:val="0"/>
          <w:lang w:val="hy-AM"/>
        </w:rPr>
        <w:t>խոշոր</w:t>
      </w:r>
      <w:r w:rsidRPr="009070BD">
        <w:rPr>
          <w:b w:val="0"/>
          <w:lang w:val="it-IT"/>
        </w:rPr>
        <w:t xml:space="preserve"> </w:t>
      </w:r>
      <w:r w:rsidRPr="00F018CD">
        <w:rPr>
          <w:b w:val="0"/>
          <w:lang w:val="hy-AM"/>
        </w:rPr>
        <w:t>եղջերավոր</w:t>
      </w:r>
      <w:r w:rsidRPr="009070BD">
        <w:rPr>
          <w:b w:val="0"/>
          <w:lang w:val="it-IT"/>
        </w:rPr>
        <w:t xml:space="preserve"> </w:t>
      </w:r>
      <w:r w:rsidRPr="00F018CD">
        <w:rPr>
          <w:b w:val="0"/>
          <w:lang w:val="hy-AM"/>
        </w:rPr>
        <w:t>կենդանիների</w:t>
      </w:r>
      <w:r w:rsidRPr="009070BD">
        <w:rPr>
          <w:b w:val="0"/>
          <w:lang w:val="it-IT"/>
        </w:rPr>
        <w:t xml:space="preserve">, </w:t>
      </w:r>
      <w:r w:rsidRPr="00F018CD">
        <w:rPr>
          <w:b w:val="0"/>
          <w:lang w:val="hy-AM"/>
        </w:rPr>
        <w:t>խոզի</w:t>
      </w:r>
      <w:r w:rsidRPr="009070BD">
        <w:rPr>
          <w:b w:val="0"/>
          <w:lang w:val="it-IT"/>
        </w:rPr>
        <w:t xml:space="preserve">, </w:t>
      </w:r>
      <w:r w:rsidRPr="00F018CD">
        <w:rPr>
          <w:b w:val="0"/>
          <w:lang w:val="hy-AM"/>
        </w:rPr>
        <w:t>թռչնի</w:t>
      </w:r>
      <w:r w:rsidRPr="009070BD">
        <w:rPr>
          <w:b w:val="0"/>
          <w:lang w:val="it-IT"/>
        </w:rPr>
        <w:t xml:space="preserve"> </w:t>
      </w:r>
      <w:r w:rsidRPr="00F018CD">
        <w:rPr>
          <w:b w:val="0"/>
          <w:lang w:val="hy-AM"/>
        </w:rPr>
        <w:t>մսի</w:t>
      </w:r>
      <w:r w:rsidRPr="009070BD">
        <w:rPr>
          <w:b w:val="0"/>
          <w:lang w:val="it-IT"/>
        </w:rPr>
        <w:t xml:space="preserve"> </w:t>
      </w:r>
      <w:r w:rsidRPr="00F018CD">
        <w:rPr>
          <w:b w:val="0"/>
          <w:lang w:val="hy-AM"/>
        </w:rPr>
        <w:t>մեջ</w:t>
      </w:r>
      <w:r w:rsidRPr="009070BD">
        <w:rPr>
          <w:b w:val="0"/>
          <w:lang w:val="it-IT"/>
        </w:rPr>
        <w:t xml:space="preserve">, </w:t>
      </w:r>
      <w:r w:rsidRPr="009070BD">
        <w:rPr>
          <w:b w:val="0"/>
          <w:lang w:val="hy-AM"/>
        </w:rPr>
        <w:t xml:space="preserve">որը </w:t>
      </w:r>
      <w:r w:rsidRPr="00F018CD">
        <w:rPr>
          <w:b w:val="0"/>
          <w:lang w:val="hy-AM"/>
        </w:rPr>
        <w:t>կբացահայտի</w:t>
      </w:r>
      <w:r w:rsidRPr="009070BD">
        <w:rPr>
          <w:b w:val="0"/>
          <w:lang w:val="it-IT"/>
        </w:rPr>
        <w:t xml:space="preserve"> </w:t>
      </w:r>
      <w:r w:rsidRPr="00F018CD">
        <w:rPr>
          <w:b w:val="0"/>
          <w:lang w:val="hy-AM"/>
        </w:rPr>
        <w:t>և</w:t>
      </w:r>
      <w:r w:rsidRPr="009070BD">
        <w:rPr>
          <w:b w:val="0"/>
          <w:lang w:val="it-IT"/>
        </w:rPr>
        <w:t xml:space="preserve"> </w:t>
      </w:r>
      <w:r w:rsidRPr="009070BD">
        <w:rPr>
          <w:b w:val="0"/>
          <w:lang w:val="hy-AM"/>
        </w:rPr>
        <w:t xml:space="preserve">կհավաստի, որ </w:t>
      </w:r>
      <w:r w:rsidRPr="00F018CD">
        <w:rPr>
          <w:b w:val="0"/>
          <w:lang w:val="hy-AM"/>
        </w:rPr>
        <w:t>նշված</w:t>
      </w:r>
      <w:r w:rsidRPr="009070BD">
        <w:rPr>
          <w:b w:val="0"/>
          <w:lang w:val="it-IT"/>
        </w:rPr>
        <w:t xml:space="preserve"> </w:t>
      </w:r>
      <w:r w:rsidRPr="009070BD">
        <w:rPr>
          <w:b w:val="0"/>
          <w:lang w:val="hy-AM"/>
        </w:rPr>
        <w:t>կենդանական ծագում ունեցող մթերքները</w:t>
      </w:r>
      <w:r w:rsidRPr="009070BD">
        <w:rPr>
          <w:b w:val="0"/>
          <w:lang w:val="it-IT"/>
        </w:rPr>
        <w:t xml:space="preserve"> </w:t>
      </w:r>
      <w:r w:rsidRPr="00F018CD">
        <w:rPr>
          <w:b w:val="0"/>
          <w:lang w:val="hy-AM"/>
        </w:rPr>
        <w:t>պարունակում</w:t>
      </w:r>
      <w:r w:rsidRPr="009070BD">
        <w:rPr>
          <w:b w:val="0"/>
          <w:lang w:val="it-IT"/>
        </w:rPr>
        <w:t xml:space="preserve"> </w:t>
      </w:r>
      <w:r w:rsidRPr="00F018CD">
        <w:rPr>
          <w:b w:val="0"/>
          <w:lang w:val="hy-AM"/>
        </w:rPr>
        <w:t>են</w:t>
      </w:r>
      <w:r w:rsidRPr="009070BD">
        <w:rPr>
          <w:b w:val="0"/>
          <w:lang w:val="it-IT"/>
        </w:rPr>
        <w:t xml:space="preserve"> </w:t>
      </w:r>
      <w:r w:rsidRPr="00F018CD">
        <w:rPr>
          <w:b w:val="0"/>
          <w:lang w:val="hy-AM"/>
        </w:rPr>
        <w:t>կամ</w:t>
      </w:r>
      <w:r w:rsidRPr="009070BD">
        <w:rPr>
          <w:b w:val="0"/>
          <w:lang w:val="hy-AM"/>
        </w:rPr>
        <w:t xml:space="preserve"> չեն պարունակում </w:t>
      </w:r>
      <w:r w:rsidRPr="00F018CD">
        <w:rPr>
          <w:b w:val="0"/>
          <w:lang w:val="hy-AM"/>
        </w:rPr>
        <w:t>արգելված</w:t>
      </w:r>
      <w:r w:rsidRPr="009070BD">
        <w:rPr>
          <w:b w:val="0"/>
          <w:lang w:val="it-IT"/>
        </w:rPr>
        <w:t xml:space="preserve"> </w:t>
      </w:r>
      <w:r w:rsidRPr="00F018CD">
        <w:rPr>
          <w:b w:val="0"/>
          <w:lang w:val="hy-AM"/>
        </w:rPr>
        <w:t>նյութեր</w:t>
      </w:r>
      <w:r w:rsidRPr="009070BD">
        <w:rPr>
          <w:b w:val="0"/>
          <w:lang w:val="it-IT"/>
        </w:rPr>
        <w:t xml:space="preserve"> </w:t>
      </w:r>
      <w:r w:rsidRPr="00F018CD">
        <w:rPr>
          <w:b w:val="0"/>
          <w:lang w:val="hy-AM"/>
        </w:rPr>
        <w:t>կամ</w:t>
      </w:r>
      <w:r w:rsidRPr="009070BD">
        <w:rPr>
          <w:b w:val="0"/>
          <w:lang w:val="it-IT"/>
        </w:rPr>
        <w:t xml:space="preserve"> </w:t>
      </w:r>
      <w:r w:rsidRPr="00F018CD">
        <w:rPr>
          <w:b w:val="0"/>
          <w:lang w:val="hy-AM"/>
        </w:rPr>
        <w:t>հայտնաբերված</w:t>
      </w:r>
      <w:r w:rsidRPr="009070BD">
        <w:rPr>
          <w:b w:val="0"/>
          <w:lang w:val="it-IT"/>
        </w:rPr>
        <w:t xml:space="preserve"> </w:t>
      </w:r>
      <w:r w:rsidRPr="00F018CD">
        <w:rPr>
          <w:b w:val="0"/>
          <w:lang w:val="hy-AM"/>
        </w:rPr>
        <w:t>նյութերի</w:t>
      </w:r>
      <w:r w:rsidRPr="009070BD">
        <w:rPr>
          <w:b w:val="0"/>
          <w:lang w:val="it-IT"/>
        </w:rPr>
        <w:t xml:space="preserve"> </w:t>
      </w:r>
      <w:r w:rsidRPr="009070BD">
        <w:rPr>
          <w:b w:val="0"/>
          <w:lang w:val="hy-AM"/>
        </w:rPr>
        <w:t>պարունակությունը չի գերազանցում</w:t>
      </w:r>
      <w:r w:rsidRPr="009070BD">
        <w:rPr>
          <w:b w:val="0"/>
          <w:lang w:val="it-IT"/>
        </w:rPr>
        <w:t xml:space="preserve"> </w:t>
      </w:r>
      <w:r w:rsidRPr="009070BD">
        <w:rPr>
          <w:b w:val="0"/>
          <w:lang w:val="hy-AM"/>
        </w:rPr>
        <w:t>ՀՀ օրենդրությամբ սահմանված</w:t>
      </w:r>
      <w:r w:rsidRPr="009070BD">
        <w:rPr>
          <w:b w:val="0"/>
          <w:lang w:val="it-IT"/>
        </w:rPr>
        <w:t xml:space="preserve"> </w:t>
      </w:r>
      <w:r w:rsidRPr="00F018CD">
        <w:rPr>
          <w:b w:val="0"/>
          <w:lang w:val="hy-AM"/>
        </w:rPr>
        <w:t>առավելագույն</w:t>
      </w:r>
      <w:r w:rsidRPr="009070BD">
        <w:rPr>
          <w:b w:val="0"/>
          <w:lang w:val="it-IT"/>
        </w:rPr>
        <w:t xml:space="preserve"> </w:t>
      </w:r>
      <w:r w:rsidRPr="00F018CD">
        <w:rPr>
          <w:b w:val="0"/>
          <w:lang w:val="hy-AM"/>
        </w:rPr>
        <w:t>թույլատրելի</w:t>
      </w:r>
      <w:r w:rsidRPr="009070BD">
        <w:rPr>
          <w:b w:val="0"/>
          <w:lang w:val="it-IT"/>
        </w:rPr>
        <w:t xml:space="preserve"> </w:t>
      </w:r>
      <w:r w:rsidRPr="009070BD">
        <w:rPr>
          <w:b w:val="0"/>
          <w:lang w:val="hy-AM"/>
        </w:rPr>
        <w:t>մնացորդային</w:t>
      </w:r>
      <w:r w:rsidRPr="009070BD">
        <w:rPr>
          <w:b w:val="0"/>
          <w:lang w:val="it-IT"/>
        </w:rPr>
        <w:t xml:space="preserve"> </w:t>
      </w:r>
      <w:r w:rsidRPr="009070BD">
        <w:rPr>
          <w:b w:val="0"/>
          <w:lang w:val="hy-AM"/>
        </w:rPr>
        <w:t>քանակներ</w:t>
      </w:r>
      <w:r w:rsidRPr="00F018CD">
        <w:rPr>
          <w:b w:val="0"/>
          <w:lang w:val="hy-AM"/>
        </w:rPr>
        <w:t>ի</w:t>
      </w:r>
      <w:r w:rsidRPr="009070BD">
        <w:rPr>
          <w:b w:val="0"/>
          <w:lang w:val="it-IT"/>
        </w:rPr>
        <w:t xml:space="preserve"> </w:t>
      </w:r>
      <w:r w:rsidRPr="00F018CD">
        <w:rPr>
          <w:b w:val="0"/>
          <w:lang w:val="hy-AM"/>
        </w:rPr>
        <w:t>սահմանաչափերը</w:t>
      </w:r>
      <w:r w:rsidRPr="009070BD">
        <w:rPr>
          <w:b w:val="0"/>
          <w:lang w:val="it-IT"/>
        </w:rPr>
        <w:t xml:space="preserve">: </w:t>
      </w:r>
    </w:p>
    <w:p w:rsidR="00B36A46" w:rsidRPr="009070BD" w:rsidRDefault="00B36A46" w:rsidP="007730AA">
      <w:pPr>
        <w:spacing w:before="0" w:line="276" w:lineRule="auto"/>
        <w:ind w:firstLine="720"/>
        <w:contextualSpacing w:val="0"/>
        <w:rPr>
          <w:b w:val="0"/>
          <w:szCs w:val="22"/>
          <w:lang w:val="fr-FR" w:eastAsia="en-US"/>
        </w:rPr>
      </w:pPr>
      <w:r w:rsidRPr="009070BD">
        <w:rPr>
          <w:rFonts w:cs="Sylfaen"/>
          <w:szCs w:val="22"/>
          <w:lang w:val="hy-AM" w:eastAsia="en-US"/>
        </w:rPr>
        <w:t xml:space="preserve">11. </w:t>
      </w:r>
      <w:r w:rsidRPr="009070BD">
        <w:rPr>
          <w:rFonts w:cs="Sylfaen"/>
          <w:szCs w:val="22"/>
          <w:lang w:val="af-ZA" w:eastAsia="en-US"/>
        </w:rPr>
        <w:t>«Կորոնավիրուսի (COVID-19) տնտեսական հետևանքների չեզոքացման հետևանքով տրամադրված վարկերի տոկոսադրույքների սուբսիդավորում</w:t>
      </w:r>
      <w:r w:rsidRPr="009070BD">
        <w:rPr>
          <w:rFonts w:cs="Times Armenian"/>
          <w:szCs w:val="22"/>
          <w:lang w:val="af-ZA" w:eastAsia="en-US"/>
        </w:rPr>
        <w:t xml:space="preserve">» </w:t>
      </w:r>
      <w:r w:rsidRPr="009070BD">
        <w:rPr>
          <w:b w:val="0"/>
          <w:szCs w:val="22"/>
          <w:lang w:val="fr-FR" w:eastAsia="en-US"/>
        </w:rPr>
        <w:t xml:space="preserve">ծրագրի շրջանակներում նախատեսվում </w:t>
      </w:r>
      <w:r w:rsidRPr="009070BD">
        <w:rPr>
          <w:b w:val="0"/>
          <w:szCs w:val="22"/>
          <w:lang w:val="hy-AM" w:eastAsia="en-US"/>
        </w:rPr>
        <w:t>է իրականացնել</w:t>
      </w:r>
      <w:r w:rsidRPr="009070BD">
        <w:rPr>
          <w:szCs w:val="22"/>
          <w:lang w:val="hy-AM" w:eastAsia="en-US"/>
        </w:rPr>
        <w:t xml:space="preserve"> </w:t>
      </w:r>
      <w:r w:rsidRPr="009070BD">
        <w:rPr>
          <w:szCs w:val="22"/>
          <w:lang w:val="fr-FR" w:eastAsia="en-US"/>
        </w:rPr>
        <w:t>«Կորոնավիրուսի (COVID-19) տնտեսական հետևանքների չեզոքացման հետևանքով տրամադրված վարկերի տոկոսադրույքների սուբսիդավորում»</w:t>
      </w:r>
      <w:r w:rsidRPr="009070BD">
        <w:rPr>
          <w:b w:val="0"/>
          <w:szCs w:val="22"/>
          <w:lang w:val="fr-FR" w:eastAsia="en-US"/>
        </w:rPr>
        <w:t xml:space="preserve"> միջոցառումը, որի</w:t>
      </w:r>
      <w:r w:rsidRPr="009070BD">
        <w:rPr>
          <w:rFonts w:cs="Times Armenian"/>
          <w:b w:val="0"/>
          <w:szCs w:val="22"/>
          <w:lang w:val="af-ZA" w:eastAsia="en-US"/>
        </w:rPr>
        <w:t xml:space="preserve"> </w:t>
      </w:r>
      <w:r w:rsidRPr="009070BD">
        <w:rPr>
          <w:rFonts w:cs="Sylfaen"/>
          <w:b w:val="0"/>
          <w:szCs w:val="22"/>
          <w:lang w:val="af-ZA" w:eastAsia="en-US"/>
        </w:rPr>
        <w:t>համար</w:t>
      </w:r>
      <w:r w:rsidRPr="009070BD">
        <w:rPr>
          <w:rFonts w:cs="Times Armenian"/>
          <w:b w:val="0"/>
          <w:szCs w:val="22"/>
          <w:lang w:val="af-ZA" w:eastAsia="en-US"/>
        </w:rPr>
        <w:t xml:space="preserve"> </w:t>
      </w:r>
      <w:r w:rsidRPr="009070BD">
        <w:rPr>
          <w:rFonts w:cs="Sylfaen"/>
          <w:b w:val="0"/>
          <w:szCs w:val="22"/>
          <w:lang w:val="en-US" w:eastAsia="en-US"/>
        </w:rPr>
        <w:t>Ն</w:t>
      </w:r>
      <w:r w:rsidRPr="009070BD">
        <w:rPr>
          <w:b w:val="0"/>
          <w:szCs w:val="22"/>
          <w:lang w:val="en-US" w:eastAsia="en-US"/>
        </w:rPr>
        <w:t>ախագծով</w:t>
      </w:r>
      <w:r w:rsidRPr="009070BD">
        <w:rPr>
          <w:rFonts w:cs="Sylfaen"/>
          <w:b w:val="0"/>
          <w:szCs w:val="22"/>
          <w:lang w:val="af-ZA" w:eastAsia="en-US"/>
        </w:rPr>
        <w:t xml:space="preserve"> նախատեսվում</w:t>
      </w:r>
      <w:r w:rsidRPr="009070BD">
        <w:rPr>
          <w:rFonts w:cs="Times Armenian"/>
          <w:b w:val="0"/>
          <w:szCs w:val="22"/>
          <w:lang w:val="af-ZA" w:eastAsia="en-US"/>
        </w:rPr>
        <w:t xml:space="preserve"> </w:t>
      </w:r>
      <w:r w:rsidRPr="009070BD">
        <w:rPr>
          <w:rFonts w:cs="Sylfaen"/>
          <w:b w:val="0"/>
          <w:szCs w:val="22"/>
          <w:lang w:val="af-ZA" w:eastAsia="en-US"/>
        </w:rPr>
        <w:t>է հատկացնել</w:t>
      </w:r>
      <w:r w:rsidRPr="009070BD">
        <w:rPr>
          <w:rFonts w:cs="Times Armenian"/>
          <w:b w:val="0"/>
          <w:szCs w:val="22"/>
          <w:lang w:val="af-ZA" w:eastAsia="en-US"/>
        </w:rPr>
        <w:t xml:space="preserve"> </w:t>
      </w:r>
      <w:r w:rsidRPr="009070BD">
        <w:rPr>
          <w:rFonts w:cs="Times Armenian"/>
          <w:b w:val="0"/>
          <w:szCs w:val="22"/>
          <w:lang w:val="it-IT" w:eastAsia="en-US"/>
        </w:rPr>
        <w:t>3,3</w:t>
      </w:r>
      <w:r w:rsidRPr="009070BD">
        <w:rPr>
          <w:rFonts w:cs="Times Armenian"/>
          <w:b w:val="0"/>
          <w:szCs w:val="22"/>
          <w:lang w:val="af-ZA" w:eastAsia="en-US"/>
        </w:rPr>
        <w:t xml:space="preserve">00.0 </w:t>
      </w:r>
      <w:r w:rsidRPr="009070BD">
        <w:rPr>
          <w:rFonts w:cs="Sylfaen"/>
          <w:b w:val="0"/>
          <w:szCs w:val="22"/>
          <w:lang w:val="af-ZA" w:eastAsia="en-US"/>
        </w:rPr>
        <w:t>մլն</w:t>
      </w:r>
      <w:r w:rsidRPr="009070BD">
        <w:rPr>
          <w:rFonts w:cs="Times Armenian"/>
          <w:b w:val="0"/>
          <w:szCs w:val="22"/>
          <w:lang w:val="af-ZA" w:eastAsia="en-US"/>
        </w:rPr>
        <w:t xml:space="preserve"> </w:t>
      </w:r>
      <w:r w:rsidRPr="009070BD">
        <w:rPr>
          <w:rFonts w:cs="Sylfaen"/>
          <w:b w:val="0"/>
          <w:szCs w:val="22"/>
          <w:lang w:val="af-ZA" w:eastAsia="en-US"/>
        </w:rPr>
        <w:t>դրամ</w:t>
      </w:r>
      <w:r w:rsidRPr="009070BD">
        <w:rPr>
          <w:rFonts w:cs="Times Armenian"/>
          <w:b w:val="0"/>
          <w:szCs w:val="22"/>
          <w:lang w:val="af-ZA" w:eastAsia="en-US"/>
        </w:rPr>
        <w:t>:</w:t>
      </w:r>
    </w:p>
    <w:p w:rsidR="00B36A46" w:rsidRPr="009070BD" w:rsidRDefault="00B36A46" w:rsidP="007730AA">
      <w:pPr>
        <w:spacing w:before="0" w:line="276" w:lineRule="auto"/>
        <w:ind w:firstLine="720"/>
        <w:contextualSpacing w:val="0"/>
        <w:rPr>
          <w:rFonts w:cs="Sylfaen"/>
          <w:b w:val="0"/>
          <w:szCs w:val="22"/>
          <w:lang w:val="af-ZA" w:eastAsia="en-US"/>
        </w:rPr>
      </w:pPr>
      <w:r w:rsidRPr="009070BD">
        <w:rPr>
          <w:rFonts w:cs="Sylfaen"/>
          <w:b w:val="0"/>
          <w:szCs w:val="22"/>
          <w:lang w:val="af-ZA" w:eastAsia="en-US"/>
        </w:rPr>
        <w:t>Ծրագրի շրջանակներում</w:t>
      </w:r>
      <w:r w:rsidRPr="009070BD">
        <w:rPr>
          <w:rFonts w:cs="Times Armenian"/>
          <w:b w:val="0"/>
          <w:szCs w:val="22"/>
          <w:lang w:val="af-ZA" w:eastAsia="en-US"/>
        </w:rPr>
        <w:t xml:space="preserve"> </w:t>
      </w:r>
      <w:r w:rsidRPr="009070BD">
        <w:rPr>
          <w:rFonts w:cs="Sylfaen"/>
          <w:b w:val="0"/>
          <w:szCs w:val="22"/>
          <w:lang w:val="af-ZA" w:eastAsia="en-US"/>
        </w:rPr>
        <w:t>նախատեսվում</w:t>
      </w:r>
      <w:r w:rsidRPr="009070BD">
        <w:rPr>
          <w:rFonts w:cs="Times Armenian"/>
          <w:b w:val="0"/>
          <w:szCs w:val="22"/>
          <w:lang w:val="af-ZA" w:eastAsia="en-US"/>
        </w:rPr>
        <w:t xml:space="preserve"> </w:t>
      </w:r>
      <w:r w:rsidRPr="009070BD">
        <w:rPr>
          <w:rFonts w:cs="Sylfaen"/>
          <w:b w:val="0"/>
          <w:szCs w:val="22"/>
          <w:lang w:val="af-ZA" w:eastAsia="en-US"/>
        </w:rPr>
        <w:t>է</w:t>
      </w:r>
      <w:r w:rsidRPr="009070BD">
        <w:rPr>
          <w:rFonts w:cs="Times Armenian"/>
          <w:b w:val="0"/>
          <w:szCs w:val="22"/>
          <w:lang w:val="af-ZA" w:eastAsia="en-US"/>
        </w:rPr>
        <w:t xml:space="preserve"> </w:t>
      </w:r>
      <w:r w:rsidRPr="009070BD">
        <w:rPr>
          <w:rFonts w:cs="Sylfaen"/>
          <w:b w:val="0"/>
          <w:szCs w:val="22"/>
          <w:lang w:val="af-ZA" w:eastAsia="en-US"/>
        </w:rPr>
        <w:t>տնտեսավարողների համար ստեղծել մատչելի ֆինանսական միջոցների հասանելիության հնարավորություն՝ պահանջարկի փոփոխվող պայմաններին արձագանքելու, արտաքին մարտահրավերներին դիմակայելու և ըստ այդմ գործունեությունը շարունակելու կամ վերադասավորվելու ու փոփոխված տնտեսական իրավիճակին հարմարվելու և զարգացման ռազմավարությունը ճշգրտելու գործողություններ իրականացնելու համար:</w:t>
      </w:r>
    </w:p>
    <w:p w:rsidR="00B36A46" w:rsidRPr="009070BD" w:rsidRDefault="00B36A46" w:rsidP="007730AA">
      <w:pPr>
        <w:spacing w:before="0" w:line="276" w:lineRule="auto"/>
        <w:ind w:firstLine="720"/>
        <w:contextualSpacing w:val="0"/>
        <w:rPr>
          <w:szCs w:val="22"/>
          <w:lang w:val="fr-FR" w:eastAsia="en-US"/>
        </w:rPr>
      </w:pPr>
      <w:r w:rsidRPr="009070BD">
        <w:rPr>
          <w:szCs w:val="22"/>
          <w:lang w:val="hy-AM" w:eastAsia="en-US"/>
        </w:rPr>
        <w:t>Միաժամանակ</w:t>
      </w:r>
      <w:r w:rsidRPr="009070BD">
        <w:rPr>
          <w:szCs w:val="22"/>
          <w:lang w:val="fr-FR" w:eastAsia="en-US"/>
        </w:rPr>
        <w:t xml:space="preserve"> </w:t>
      </w:r>
      <w:r w:rsidRPr="009070BD">
        <w:rPr>
          <w:szCs w:val="22"/>
          <w:lang w:val="hy-AM" w:eastAsia="en-US"/>
        </w:rPr>
        <w:t>նախատեսվում</w:t>
      </w:r>
      <w:r w:rsidRPr="009070BD">
        <w:rPr>
          <w:szCs w:val="22"/>
          <w:lang w:val="fr-FR" w:eastAsia="en-US"/>
        </w:rPr>
        <w:t xml:space="preserve"> </w:t>
      </w:r>
      <w:r w:rsidRPr="009070BD">
        <w:rPr>
          <w:szCs w:val="22"/>
          <w:lang w:val="hy-AM" w:eastAsia="en-US"/>
        </w:rPr>
        <w:t>է</w:t>
      </w:r>
      <w:r w:rsidRPr="009070BD">
        <w:rPr>
          <w:szCs w:val="22"/>
          <w:lang w:val="fr-FR" w:eastAsia="en-US"/>
        </w:rPr>
        <w:t xml:space="preserve"> </w:t>
      </w:r>
      <w:r w:rsidRPr="009070BD">
        <w:rPr>
          <w:szCs w:val="22"/>
          <w:lang w:val="hy-AM" w:eastAsia="en-US"/>
        </w:rPr>
        <w:t>իրականացնել</w:t>
      </w:r>
      <w:r w:rsidRPr="009070BD">
        <w:rPr>
          <w:szCs w:val="22"/>
          <w:lang w:val="fr-FR" w:eastAsia="en-US"/>
        </w:rPr>
        <w:t xml:space="preserve"> </w:t>
      </w:r>
      <w:r w:rsidRPr="009070BD">
        <w:rPr>
          <w:szCs w:val="22"/>
          <w:lang w:val="hy-AM" w:eastAsia="en-US"/>
        </w:rPr>
        <w:t>արտաքին</w:t>
      </w:r>
      <w:r w:rsidRPr="009070BD">
        <w:rPr>
          <w:szCs w:val="22"/>
          <w:lang w:val="fr-FR" w:eastAsia="en-US"/>
        </w:rPr>
        <w:t xml:space="preserve"> </w:t>
      </w:r>
      <w:r w:rsidRPr="009070BD">
        <w:rPr>
          <w:szCs w:val="22"/>
          <w:lang w:val="hy-AM" w:eastAsia="en-US"/>
        </w:rPr>
        <w:t>աղբյուրներից</w:t>
      </w:r>
      <w:r w:rsidRPr="009070BD">
        <w:rPr>
          <w:szCs w:val="22"/>
          <w:lang w:val="fr-FR" w:eastAsia="en-US"/>
        </w:rPr>
        <w:t xml:space="preserve"> </w:t>
      </w:r>
      <w:r w:rsidRPr="009070BD">
        <w:rPr>
          <w:szCs w:val="22"/>
          <w:lang w:val="hy-AM" w:eastAsia="en-US"/>
        </w:rPr>
        <w:t>ստացվող</w:t>
      </w:r>
      <w:r w:rsidRPr="009070BD">
        <w:rPr>
          <w:szCs w:val="22"/>
          <w:lang w:val="fr-FR" w:eastAsia="en-US"/>
        </w:rPr>
        <w:t xml:space="preserve"> </w:t>
      </w:r>
      <w:r w:rsidRPr="009070BD">
        <w:rPr>
          <w:szCs w:val="22"/>
          <w:lang w:val="hy-AM" w:eastAsia="en-US"/>
        </w:rPr>
        <w:t>նպատակային</w:t>
      </w:r>
      <w:r w:rsidRPr="009070BD">
        <w:rPr>
          <w:szCs w:val="22"/>
          <w:lang w:val="fr-FR" w:eastAsia="en-US"/>
        </w:rPr>
        <w:t xml:space="preserve"> </w:t>
      </w:r>
      <w:r w:rsidRPr="009070BD">
        <w:rPr>
          <w:szCs w:val="22"/>
          <w:lang w:val="hy-AM" w:eastAsia="en-US"/>
        </w:rPr>
        <w:t>վարկային</w:t>
      </w:r>
      <w:r w:rsidRPr="009070BD">
        <w:rPr>
          <w:szCs w:val="22"/>
          <w:lang w:val="fr-FR" w:eastAsia="en-US"/>
        </w:rPr>
        <w:t xml:space="preserve"> </w:t>
      </w:r>
      <w:r w:rsidRPr="009070BD">
        <w:rPr>
          <w:szCs w:val="22"/>
          <w:lang w:val="hy-AM" w:eastAsia="en-US"/>
        </w:rPr>
        <w:t>և</w:t>
      </w:r>
      <w:r w:rsidRPr="009070BD">
        <w:rPr>
          <w:szCs w:val="22"/>
          <w:lang w:val="fr-FR" w:eastAsia="en-US"/>
        </w:rPr>
        <w:t xml:space="preserve"> </w:t>
      </w:r>
      <w:r w:rsidRPr="009070BD">
        <w:rPr>
          <w:szCs w:val="22"/>
          <w:lang w:val="hy-AM" w:eastAsia="en-US"/>
        </w:rPr>
        <w:t>դրամաշնորհային</w:t>
      </w:r>
      <w:r w:rsidRPr="009070BD">
        <w:rPr>
          <w:szCs w:val="22"/>
          <w:lang w:val="fr-FR" w:eastAsia="en-US"/>
        </w:rPr>
        <w:t xml:space="preserve"> </w:t>
      </w:r>
      <w:r w:rsidRPr="009070BD">
        <w:rPr>
          <w:szCs w:val="22"/>
          <w:lang w:val="hy-AM" w:eastAsia="en-US"/>
        </w:rPr>
        <w:t>միջոցներով</w:t>
      </w:r>
      <w:r w:rsidRPr="009070BD">
        <w:rPr>
          <w:szCs w:val="22"/>
          <w:lang w:val="fr-FR" w:eastAsia="en-US"/>
        </w:rPr>
        <w:t xml:space="preserve"> </w:t>
      </w:r>
      <w:r w:rsidRPr="009070BD">
        <w:rPr>
          <w:szCs w:val="22"/>
          <w:lang w:val="hy-AM" w:eastAsia="en-US"/>
        </w:rPr>
        <w:t>հետևյալ</w:t>
      </w:r>
      <w:r w:rsidRPr="009070BD">
        <w:rPr>
          <w:szCs w:val="22"/>
          <w:lang w:val="fr-FR" w:eastAsia="en-US"/>
        </w:rPr>
        <w:t xml:space="preserve"> </w:t>
      </w:r>
      <w:r w:rsidRPr="009070BD">
        <w:rPr>
          <w:szCs w:val="22"/>
          <w:lang w:val="hy-AM" w:eastAsia="en-US"/>
        </w:rPr>
        <w:t>ծրագրերը</w:t>
      </w:r>
      <w:r w:rsidRPr="009070BD">
        <w:rPr>
          <w:szCs w:val="22"/>
          <w:lang w:val="fr-FR" w:eastAsia="en-US"/>
        </w:rPr>
        <w:t>.</w:t>
      </w:r>
    </w:p>
    <w:p w:rsidR="00B36A46" w:rsidRPr="009070BD" w:rsidRDefault="00B36A46" w:rsidP="007730AA">
      <w:pPr>
        <w:spacing w:before="0" w:line="276" w:lineRule="auto"/>
        <w:ind w:firstLine="720"/>
        <w:contextualSpacing w:val="0"/>
        <w:rPr>
          <w:rFonts w:cs="Sylfaen"/>
          <w:b w:val="0"/>
          <w:szCs w:val="22"/>
          <w:lang w:val="af-ZA" w:eastAsia="en-US"/>
        </w:rPr>
      </w:pPr>
      <w:r w:rsidRPr="009070BD">
        <w:rPr>
          <w:rFonts w:cs="Sylfaen"/>
          <w:szCs w:val="22"/>
          <w:lang w:val="hy-AM" w:eastAsia="en-US"/>
        </w:rPr>
        <w:t xml:space="preserve">1. </w:t>
      </w:r>
      <w:r w:rsidRPr="009070BD">
        <w:rPr>
          <w:rFonts w:cs="Sylfaen"/>
          <w:szCs w:val="22"/>
          <w:lang w:val="en-US" w:eastAsia="en-US"/>
        </w:rPr>
        <w:t>Համաշխարհային</w:t>
      </w:r>
      <w:r w:rsidRPr="009070BD">
        <w:rPr>
          <w:rFonts w:cs="Sylfaen"/>
          <w:szCs w:val="22"/>
          <w:lang w:val="af-ZA" w:eastAsia="en-US"/>
        </w:rPr>
        <w:t xml:space="preserve"> </w:t>
      </w:r>
      <w:r w:rsidRPr="009070BD">
        <w:rPr>
          <w:rFonts w:cs="Sylfaen"/>
          <w:szCs w:val="22"/>
          <w:lang w:val="en-US" w:eastAsia="en-US"/>
        </w:rPr>
        <w:t>բանկի</w:t>
      </w:r>
      <w:r w:rsidRPr="009070BD">
        <w:rPr>
          <w:rFonts w:cs="Sylfaen"/>
          <w:szCs w:val="22"/>
          <w:lang w:val="af-ZA" w:eastAsia="en-US"/>
        </w:rPr>
        <w:t xml:space="preserve"> </w:t>
      </w:r>
      <w:r w:rsidRPr="009070BD">
        <w:rPr>
          <w:rFonts w:cs="Sylfaen"/>
          <w:szCs w:val="22"/>
          <w:lang w:val="en-US" w:eastAsia="en-US"/>
        </w:rPr>
        <w:t>աջակցությամբ</w:t>
      </w:r>
      <w:r w:rsidRPr="009070BD">
        <w:rPr>
          <w:rFonts w:cs="Sylfaen"/>
          <w:szCs w:val="22"/>
          <w:lang w:val="af-ZA" w:eastAsia="en-US"/>
        </w:rPr>
        <w:t xml:space="preserve"> </w:t>
      </w:r>
      <w:r w:rsidRPr="009070BD">
        <w:rPr>
          <w:rFonts w:cs="Sylfaen"/>
          <w:szCs w:val="22"/>
          <w:lang w:val="en-US" w:eastAsia="en-US"/>
        </w:rPr>
        <w:t>իրականացվող</w:t>
      </w:r>
      <w:r w:rsidRPr="009070BD">
        <w:rPr>
          <w:rFonts w:cs="Sylfaen"/>
          <w:szCs w:val="22"/>
          <w:lang w:val="af-ZA" w:eastAsia="en-US"/>
        </w:rPr>
        <w:t xml:space="preserve"> </w:t>
      </w:r>
      <w:r w:rsidRPr="009070BD">
        <w:rPr>
          <w:rFonts w:cs="Sylfaen"/>
          <w:szCs w:val="22"/>
          <w:lang w:val="en-US" w:eastAsia="en-US"/>
        </w:rPr>
        <w:t>Տեղական</w:t>
      </w:r>
      <w:r w:rsidRPr="009070BD">
        <w:rPr>
          <w:rFonts w:cs="Sylfaen"/>
          <w:szCs w:val="22"/>
          <w:lang w:val="af-ZA" w:eastAsia="en-US"/>
        </w:rPr>
        <w:t xml:space="preserve"> </w:t>
      </w:r>
      <w:r w:rsidRPr="009070BD">
        <w:rPr>
          <w:rFonts w:cs="Sylfaen"/>
          <w:szCs w:val="22"/>
          <w:lang w:val="en-US" w:eastAsia="en-US"/>
        </w:rPr>
        <w:t>տնտեսության</w:t>
      </w:r>
      <w:r w:rsidRPr="009070BD">
        <w:rPr>
          <w:rFonts w:cs="Sylfaen"/>
          <w:szCs w:val="22"/>
          <w:lang w:val="af-ZA" w:eastAsia="en-US"/>
        </w:rPr>
        <w:t xml:space="preserve"> </w:t>
      </w:r>
      <w:r w:rsidRPr="009070BD">
        <w:rPr>
          <w:rFonts w:cs="Sylfaen"/>
          <w:szCs w:val="22"/>
          <w:lang w:val="en-US" w:eastAsia="en-US"/>
        </w:rPr>
        <w:t>և</w:t>
      </w:r>
      <w:r w:rsidRPr="009070BD">
        <w:rPr>
          <w:rFonts w:cs="Sylfaen"/>
          <w:szCs w:val="22"/>
          <w:lang w:val="af-ZA" w:eastAsia="en-US"/>
        </w:rPr>
        <w:t xml:space="preserve"> </w:t>
      </w:r>
      <w:r w:rsidRPr="009070BD">
        <w:rPr>
          <w:rFonts w:cs="Sylfaen"/>
          <w:szCs w:val="22"/>
          <w:lang w:val="en-US" w:eastAsia="en-US"/>
        </w:rPr>
        <w:t>ենթակառուցվածքների</w:t>
      </w:r>
      <w:r w:rsidRPr="009070BD">
        <w:rPr>
          <w:rFonts w:cs="Sylfaen"/>
          <w:szCs w:val="22"/>
          <w:lang w:val="af-ZA" w:eastAsia="en-US"/>
        </w:rPr>
        <w:t xml:space="preserve"> </w:t>
      </w:r>
      <w:r w:rsidRPr="009070BD">
        <w:rPr>
          <w:rFonts w:cs="Sylfaen"/>
          <w:szCs w:val="22"/>
          <w:lang w:val="en-US" w:eastAsia="en-US"/>
        </w:rPr>
        <w:t>զարգացման</w:t>
      </w:r>
      <w:r w:rsidRPr="009070BD">
        <w:rPr>
          <w:rFonts w:cs="Sylfaen"/>
          <w:szCs w:val="22"/>
          <w:lang w:val="af-ZA" w:eastAsia="en-US"/>
        </w:rPr>
        <w:t xml:space="preserve"> </w:t>
      </w:r>
      <w:r w:rsidRPr="009070BD">
        <w:rPr>
          <w:rFonts w:cs="Sylfaen"/>
          <w:szCs w:val="22"/>
          <w:lang w:val="en-US" w:eastAsia="en-US"/>
        </w:rPr>
        <w:t>ծրագիր</w:t>
      </w:r>
      <w:r w:rsidRPr="009070BD">
        <w:rPr>
          <w:rFonts w:cs="Sylfaen"/>
          <w:szCs w:val="22"/>
          <w:lang w:val="hy-AM" w:eastAsia="en-US"/>
        </w:rPr>
        <w:t xml:space="preserve">, </w:t>
      </w:r>
      <w:r w:rsidRPr="009070BD">
        <w:rPr>
          <w:rFonts w:cs="Sylfaen"/>
          <w:b w:val="0"/>
          <w:szCs w:val="22"/>
          <w:lang w:val="hy-AM" w:eastAsia="en-US"/>
        </w:rPr>
        <w:t>որի</w:t>
      </w:r>
      <w:r w:rsidRPr="009070BD">
        <w:rPr>
          <w:rFonts w:cs="Sylfaen"/>
          <w:b w:val="0"/>
          <w:szCs w:val="22"/>
          <w:lang w:val="af-ZA" w:eastAsia="en-US"/>
        </w:rPr>
        <w:t xml:space="preserve"> </w:t>
      </w:r>
      <w:r w:rsidRPr="009070BD">
        <w:rPr>
          <w:rFonts w:cs="Sylfaen"/>
          <w:b w:val="0"/>
          <w:szCs w:val="22"/>
          <w:lang w:val="en-US" w:eastAsia="en-US"/>
        </w:rPr>
        <w:t>նպատակներն</w:t>
      </w:r>
      <w:r w:rsidRPr="009070BD">
        <w:rPr>
          <w:rFonts w:cs="Sylfaen"/>
          <w:b w:val="0"/>
          <w:szCs w:val="22"/>
          <w:lang w:val="af-ZA" w:eastAsia="en-US"/>
        </w:rPr>
        <w:t xml:space="preserve"> </w:t>
      </w:r>
      <w:r w:rsidRPr="009070BD">
        <w:rPr>
          <w:rFonts w:cs="Sylfaen"/>
          <w:b w:val="0"/>
          <w:szCs w:val="22"/>
          <w:lang w:val="en-US" w:eastAsia="en-US"/>
        </w:rPr>
        <w:t>են</w:t>
      </w:r>
      <w:r w:rsidRPr="009070BD">
        <w:rPr>
          <w:rFonts w:cs="Sylfaen"/>
          <w:b w:val="0"/>
          <w:szCs w:val="22"/>
          <w:lang w:val="af-ZA" w:eastAsia="en-US"/>
        </w:rPr>
        <w:t>`</w:t>
      </w:r>
    </w:p>
    <w:p w:rsidR="00B36A46" w:rsidRPr="009070BD" w:rsidRDefault="00B36A46" w:rsidP="007730AA">
      <w:pPr>
        <w:spacing w:before="0" w:line="276" w:lineRule="auto"/>
        <w:ind w:firstLine="720"/>
        <w:contextualSpacing w:val="0"/>
        <w:rPr>
          <w:rFonts w:cs="GHEAGrapalat"/>
          <w:b w:val="0"/>
          <w:szCs w:val="22"/>
          <w:lang w:val="af-ZA" w:eastAsia="en-US"/>
        </w:rPr>
      </w:pPr>
      <w:r w:rsidRPr="009070BD">
        <w:rPr>
          <w:rFonts w:cs="Sylfaen"/>
          <w:b w:val="0"/>
          <w:szCs w:val="22"/>
          <w:lang w:val="af-ZA" w:eastAsia="en-US"/>
        </w:rPr>
        <w:t>1. Ն</w:t>
      </w:r>
      <w:r w:rsidRPr="009070BD">
        <w:rPr>
          <w:rFonts w:cs="GHEAGrapalat"/>
          <w:b w:val="0"/>
          <w:szCs w:val="22"/>
          <w:lang w:val="af-ZA" w:eastAsia="en-US"/>
        </w:rPr>
        <w:t>պաստել ընտրված մարզերի տեղական տնտեսություններում զբոսաշրջության աճին, որը տեղի կունենա ենթակառուցվածքներում ներդրումներ, քաղաքային վերածնունդ, մշակութային ժառանգության վերականգնում, հմտությունների զարգացում, տուրիստական պրոդուկտների զարգացում, զանազանում և մասնավոր հատվածի ներդրումների խթանում ապահովող համալիր մոտեցման իրականացման միջոցով:</w:t>
      </w:r>
    </w:p>
    <w:p w:rsidR="00B36A46" w:rsidRPr="009070BD" w:rsidRDefault="00B36A46" w:rsidP="007730AA">
      <w:pPr>
        <w:spacing w:before="0" w:line="276" w:lineRule="auto"/>
        <w:ind w:firstLine="720"/>
        <w:contextualSpacing w:val="0"/>
        <w:rPr>
          <w:rFonts w:cs="GHEAGrapalat"/>
          <w:b w:val="0"/>
          <w:szCs w:val="22"/>
          <w:lang w:val="af-ZA" w:eastAsia="en-US"/>
        </w:rPr>
      </w:pPr>
      <w:r w:rsidRPr="009070BD">
        <w:rPr>
          <w:rFonts w:cs="GHEAGrapalat"/>
          <w:b w:val="0"/>
          <w:szCs w:val="22"/>
          <w:lang w:val="af-ZA" w:eastAsia="en-US"/>
        </w:rPr>
        <w:t xml:space="preserve">2. Օգնել ստեղծել և հիմնել զբոսաշրջային շրջաններ, որոնք կմիացնեն ընտրված մարզերի բազմաթիվ վայրեր: </w:t>
      </w:r>
    </w:p>
    <w:p w:rsidR="00B36A46" w:rsidRPr="009070BD" w:rsidRDefault="00B36A46" w:rsidP="007730AA">
      <w:pPr>
        <w:spacing w:before="0" w:line="276" w:lineRule="auto"/>
        <w:ind w:firstLine="720"/>
        <w:contextualSpacing w:val="0"/>
        <w:rPr>
          <w:rFonts w:cs="GHEAGrapalat"/>
          <w:b w:val="0"/>
          <w:szCs w:val="22"/>
          <w:lang w:val="af-ZA" w:eastAsia="en-US"/>
        </w:rPr>
      </w:pPr>
      <w:r w:rsidRPr="009070BD">
        <w:rPr>
          <w:rFonts w:cs="GHEAGrapalat"/>
          <w:b w:val="0"/>
          <w:szCs w:val="22"/>
          <w:lang w:val="af-ZA" w:eastAsia="en-US"/>
        </w:rPr>
        <w:t>Միասին այս գործողությունները կօգնեն ավելի մեծ թվով այցելուներ գրավել դեպի մարզեր և մեծացնել իրենց ծախսերն, իսկ դա իր հերթին կխթանի աշխատատեղերի ստեղ</w:t>
      </w:r>
      <w:r w:rsidRPr="009070BD">
        <w:rPr>
          <w:rFonts w:cs="GHEAGrapalat"/>
          <w:b w:val="0"/>
          <w:szCs w:val="22"/>
          <w:lang w:val="af-ZA" w:eastAsia="en-US"/>
        </w:rPr>
        <w:softHyphen/>
        <w:t>ծումը և տեղական տնտեսական աճը՝ 2021թ. 7,</w:t>
      </w:r>
      <w:r w:rsidR="00F018CD">
        <w:rPr>
          <w:rFonts w:cs="GHEAGrapalat"/>
          <w:b w:val="0"/>
          <w:szCs w:val="22"/>
          <w:lang w:val="af-ZA" w:eastAsia="en-US"/>
        </w:rPr>
        <w:t>280,3</w:t>
      </w:r>
      <w:r w:rsidRPr="009070BD">
        <w:rPr>
          <w:rFonts w:cs="GHEAGrapalat"/>
          <w:b w:val="0"/>
          <w:szCs w:val="22"/>
          <w:lang w:val="af-ZA" w:eastAsia="en-US"/>
        </w:rPr>
        <w:t xml:space="preserve"> մլն դրամ, այդ թվում վարկային միջոցներ` 5,</w:t>
      </w:r>
      <w:r w:rsidR="00F018CD">
        <w:rPr>
          <w:rFonts w:cs="GHEAGrapalat"/>
          <w:b w:val="0"/>
          <w:szCs w:val="22"/>
          <w:lang w:val="af-ZA" w:eastAsia="en-US"/>
        </w:rPr>
        <w:t>824.2</w:t>
      </w:r>
      <w:r w:rsidRPr="009070BD">
        <w:rPr>
          <w:rFonts w:cs="GHEAGrapalat"/>
          <w:b w:val="0"/>
          <w:szCs w:val="22"/>
          <w:lang w:val="af-ZA" w:eastAsia="en-US"/>
        </w:rPr>
        <w:t xml:space="preserve"> մլն դրամ, ՀՀ համաֆինանսավորում` 1,4</w:t>
      </w:r>
      <w:r w:rsidR="00F018CD">
        <w:rPr>
          <w:rFonts w:cs="GHEAGrapalat"/>
          <w:b w:val="0"/>
          <w:szCs w:val="22"/>
          <w:lang w:val="af-ZA" w:eastAsia="en-US"/>
        </w:rPr>
        <w:t>5</w:t>
      </w:r>
      <w:r w:rsidRPr="009070BD">
        <w:rPr>
          <w:rFonts w:cs="GHEAGrapalat"/>
          <w:b w:val="0"/>
          <w:szCs w:val="22"/>
          <w:lang w:val="af-ZA" w:eastAsia="en-US"/>
        </w:rPr>
        <w:t>6</w:t>
      </w:r>
      <w:r w:rsidR="00F018CD">
        <w:rPr>
          <w:rFonts w:cs="GHEAGrapalat"/>
          <w:b w:val="0"/>
          <w:szCs w:val="22"/>
          <w:lang w:val="af-ZA" w:eastAsia="en-US"/>
        </w:rPr>
        <w:t>.1</w:t>
      </w:r>
      <w:r w:rsidRPr="009070BD">
        <w:rPr>
          <w:rFonts w:cs="GHEAGrapalat"/>
          <w:b w:val="0"/>
          <w:szCs w:val="22"/>
          <w:lang w:val="af-ZA" w:eastAsia="en-US"/>
        </w:rPr>
        <w:t xml:space="preserve"> մլն դրամ:</w:t>
      </w:r>
    </w:p>
    <w:p w:rsidR="00B36A46" w:rsidRPr="009070BD" w:rsidRDefault="00B36A46" w:rsidP="007730AA">
      <w:pPr>
        <w:spacing w:before="0" w:line="276" w:lineRule="auto"/>
        <w:ind w:firstLine="720"/>
        <w:contextualSpacing w:val="0"/>
        <w:rPr>
          <w:rFonts w:cs="GHEAGrapalat"/>
          <w:b w:val="0"/>
          <w:szCs w:val="22"/>
          <w:lang w:val="af-ZA" w:eastAsia="en-US"/>
        </w:rPr>
      </w:pPr>
      <w:r w:rsidRPr="009070BD">
        <w:rPr>
          <w:lang w:val="hy-AM"/>
        </w:rPr>
        <w:t>2.</w:t>
      </w:r>
      <w:r w:rsidRPr="009070BD">
        <w:rPr>
          <w:rFonts w:cs="Sylfaen"/>
          <w:lang w:val="hy-AM"/>
        </w:rPr>
        <w:t xml:space="preserve"> Համաշխարհային</w:t>
      </w:r>
      <w:r w:rsidRPr="009070BD">
        <w:rPr>
          <w:rFonts w:cs="Arial"/>
          <w:lang w:val="af-ZA"/>
        </w:rPr>
        <w:t xml:space="preserve"> </w:t>
      </w:r>
      <w:r w:rsidRPr="009070BD">
        <w:rPr>
          <w:rFonts w:cs="Sylfaen"/>
          <w:lang w:val="hy-AM"/>
        </w:rPr>
        <w:t xml:space="preserve">բանկի աջակցությամբ իրականացվող </w:t>
      </w:r>
      <w:r w:rsidRPr="009070BD">
        <w:rPr>
          <w:lang w:val="hy-AM"/>
        </w:rPr>
        <w:t>Համայնքների գյուղատնտեսական ռեսուրսների կառավարման և մրցունակության</w:t>
      </w:r>
      <w:r w:rsidRPr="009070BD">
        <w:rPr>
          <w:lang w:val="af-ZA"/>
        </w:rPr>
        <w:t xml:space="preserve"> </w:t>
      </w:r>
      <w:r w:rsidRPr="009070BD">
        <w:t>երկրորդ</w:t>
      </w:r>
      <w:r w:rsidRPr="009070BD">
        <w:rPr>
          <w:lang w:val="hy-AM"/>
        </w:rPr>
        <w:t xml:space="preserve"> ծրագիր</w:t>
      </w:r>
      <w:r w:rsidRPr="009070BD">
        <w:rPr>
          <w:b w:val="0"/>
          <w:lang w:val="hy-AM"/>
        </w:rPr>
        <w:t>, որի</w:t>
      </w:r>
      <w:r w:rsidRPr="009070BD">
        <w:rPr>
          <w:b w:val="0"/>
          <w:lang w:val="af-ZA"/>
        </w:rPr>
        <w:t xml:space="preserve"> նպատակն է աջակցել անասնապահական ուղղվածություն ունեցող համայնքներին արոտօգտագործման/անասնապահական առավել մրցունակ և կայուն համակարգերի ստեղծման հարցում</w:t>
      </w:r>
      <w:r w:rsidRPr="009070BD">
        <w:rPr>
          <w:b w:val="0"/>
          <w:lang w:val="hy-AM"/>
        </w:rPr>
        <w:t>՝</w:t>
      </w:r>
      <w:r w:rsidRPr="009070BD">
        <w:rPr>
          <w:rFonts w:cs="Sylfaen"/>
          <w:b w:val="0"/>
          <w:lang w:val="it-IT"/>
        </w:rPr>
        <w:t xml:space="preserve"> 202</w:t>
      </w:r>
      <w:r w:rsidRPr="009070BD">
        <w:rPr>
          <w:rFonts w:cs="Sylfaen"/>
          <w:b w:val="0"/>
          <w:lang w:val="hy-AM"/>
        </w:rPr>
        <w:t>1</w:t>
      </w:r>
      <w:r w:rsidRPr="009070BD">
        <w:rPr>
          <w:rFonts w:cs="Sylfaen"/>
          <w:b w:val="0"/>
          <w:lang w:val="it-IT"/>
        </w:rPr>
        <w:t>թ.-ին նախատեսվում է 2,</w:t>
      </w:r>
      <w:r w:rsidR="00F018CD">
        <w:rPr>
          <w:rFonts w:cs="Sylfaen"/>
          <w:b w:val="0"/>
          <w:lang w:val="it-IT"/>
        </w:rPr>
        <w:t>616.4</w:t>
      </w:r>
      <w:r w:rsidRPr="009070BD">
        <w:rPr>
          <w:rFonts w:cs="Sylfaen"/>
          <w:b w:val="0"/>
          <w:lang w:val="it-IT"/>
        </w:rPr>
        <w:t xml:space="preserve"> </w:t>
      </w:r>
      <w:r w:rsidRPr="009070BD">
        <w:rPr>
          <w:rFonts w:cs="Sylfaen"/>
          <w:b w:val="0"/>
          <w:iCs/>
          <w:lang w:val="af-ZA"/>
        </w:rPr>
        <w:t xml:space="preserve">մլն դրամ, </w:t>
      </w:r>
      <w:r w:rsidRPr="009070BD">
        <w:rPr>
          <w:b w:val="0"/>
          <w:bCs/>
          <w:iCs/>
          <w:lang w:val="hy-AM"/>
        </w:rPr>
        <w:t>այդ թվում վարկային միջոցներ` 2,</w:t>
      </w:r>
      <w:r w:rsidR="00F018CD" w:rsidRPr="00F018CD">
        <w:rPr>
          <w:b w:val="0"/>
          <w:bCs/>
          <w:iCs/>
          <w:lang w:val="af-ZA"/>
        </w:rPr>
        <w:t>2</w:t>
      </w:r>
      <w:r w:rsidR="00F018CD">
        <w:rPr>
          <w:b w:val="0"/>
          <w:bCs/>
          <w:iCs/>
          <w:lang w:val="af-ZA"/>
        </w:rPr>
        <w:t>93.9</w:t>
      </w:r>
      <w:r w:rsidRPr="009070BD">
        <w:rPr>
          <w:b w:val="0"/>
          <w:bCs/>
          <w:iCs/>
          <w:lang w:val="af-ZA"/>
        </w:rPr>
        <w:t xml:space="preserve"> </w:t>
      </w:r>
      <w:r w:rsidRPr="009070BD">
        <w:rPr>
          <w:rFonts w:cs="Sylfaen"/>
          <w:b w:val="0"/>
          <w:iCs/>
          <w:lang w:val="af-ZA"/>
        </w:rPr>
        <w:t>մլն դրամ</w:t>
      </w:r>
      <w:r w:rsidRPr="009070BD">
        <w:rPr>
          <w:b w:val="0"/>
          <w:bCs/>
          <w:iCs/>
          <w:lang w:val="hy-AM"/>
        </w:rPr>
        <w:t>, ՀՀ համաֆինանսավորում` 3</w:t>
      </w:r>
      <w:r w:rsidR="00F018CD" w:rsidRPr="00F018CD">
        <w:rPr>
          <w:b w:val="0"/>
          <w:bCs/>
          <w:iCs/>
          <w:lang w:val="af-ZA"/>
        </w:rPr>
        <w:t>2</w:t>
      </w:r>
      <w:r w:rsidR="00F018CD">
        <w:rPr>
          <w:b w:val="0"/>
          <w:bCs/>
          <w:iCs/>
          <w:lang w:val="af-ZA"/>
        </w:rPr>
        <w:t>2.5</w:t>
      </w:r>
      <w:r w:rsidRPr="009070BD">
        <w:rPr>
          <w:b w:val="0"/>
          <w:bCs/>
          <w:iCs/>
          <w:lang w:val="af-ZA"/>
        </w:rPr>
        <w:t xml:space="preserve"> </w:t>
      </w:r>
      <w:r w:rsidRPr="009070BD">
        <w:rPr>
          <w:rFonts w:cs="Sylfaen"/>
          <w:b w:val="0"/>
          <w:iCs/>
          <w:lang w:val="af-ZA"/>
        </w:rPr>
        <w:t>մլն դրա</w:t>
      </w:r>
      <w:r w:rsidRPr="009070BD">
        <w:rPr>
          <w:rFonts w:cs="Sylfaen"/>
          <w:b w:val="0"/>
          <w:iCs/>
          <w:lang w:val="hy-AM"/>
        </w:rPr>
        <w:t>մ</w:t>
      </w:r>
      <w:r w:rsidRPr="009070BD">
        <w:rPr>
          <w:b w:val="0"/>
          <w:bCs/>
          <w:iCs/>
          <w:lang w:val="hy-AM"/>
        </w:rPr>
        <w:t>:</w:t>
      </w:r>
    </w:p>
    <w:p w:rsidR="00B36A46" w:rsidRPr="009070BD" w:rsidRDefault="00B36A46" w:rsidP="007730AA">
      <w:pPr>
        <w:spacing w:before="0" w:line="276" w:lineRule="auto"/>
        <w:ind w:firstLine="720"/>
        <w:contextualSpacing w:val="0"/>
        <w:rPr>
          <w:rFonts w:cs="GHEAGrapalat"/>
          <w:b w:val="0"/>
          <w:szCs w:val="22"/>
          <w:lang w:val="af-ZA" w:eastAsia="en-US"/>
        </w:rPr>
      </w:pPr>
      <w:r w:rsidRPr="009070BD">
        <w:rPr>
          <w:rFonts w:cs="Sylfaen"/>
          <w:iCs/>
          <w:lang w:val="hy-AM"/>
        </w:rPr>
        <w:t>3</w:t>
      </w:r>
      <w:r w:rsidRPr="009070BD">
        <w:rPr>
          <w:rFonts w:cs="Sylfaen"/>
          <w:iCs/>
          <w:lang w:val="af-ZA"/>
        </w:rPr>
        <w:t>.</w:t>
      </w:r>
      <w:r w:rsidRPr="009070BD">
        <w:rPr>
          <w:rFonts w:cs="Sylfaen"/>
          <w:b w:val="0"/>
          <w:lang w:val="hy-AM"/>
        </w:rPr>
        <w:t xml:space="preserve"> </w:t>
      </w:r>
      <w:r w:rsidRPr="009070BD">
        <w:rPr>
          <w:rFonts w:cs="Sylfaen"/>
          <w:lang w:val="hy-AM"/>
        </w:rPr>
        <w:t>Գյուղատնտեսության</w:t>
      </w:r>
      <w:r w:rsidRPr="009070BD">
        <w:rPr>
          <w:rFonts w:cs="Arial"/>
          <w:lang w:val="hy-AM"/>
        </w:rPr>
        <w:t xml:space="preserve"> </w:t>
      </w:r>
      <w:r w:rsidRPr="009070BD">
        <w:rPr>
          <w:rFonts w:cs="Sylfaen"/>
          <w:lang w:val="hy-AM"/>
        </w:rPr>
        <w:t>զարգացման</w:t>
      </w:r>
      <w:r w:rsidRPr="009070BD">
        <w:rPr>
          <w:rFonts w:cs="Arial"/>
          <w:lang w:val="hy-AM"/>
        </w:rPr>
        <w:t xml:space="preserve"> </w:t>
      </w:r>
      <w:r w:rsidRPr="009070BD">
        <w:rPr>
          <w:rFonts w:cs="Sylfaen"/>
          <w:lang w:val="hy-AM"/>
        </w:rPr>
        <w:t>միջազգային</w:t>
      </w:r>
      <w:r w:rsidRPr="009070BD">
        <w:rPr>
          <w:rFonts w:cs="Arial"/>
          <w:lang w:val="hy-AM"/>
        </w:rPr>
        <w:t xml:space="preserve"> </w:t>
      </w:r>
      <w:r w:rsidRPr="009070BD">
        <w:rPr>
          <w:rFonts w:cs="Sylfaen"/>
          <w:lang w:val="hy-AM"/>
        </w:rPr>
        <w:t>հիմնադրամի</w:t>
      </w:r>
      <w:r w:rsidRPr="009070BD">
        <w:rPr>
          <w:rFonts w:cs="Sylfaen"/>
          <w:lang w:val="af-ZA"/>
        </w:rPr>
        <w:t xml:space="preserve"> </w:t>
      </w:r>
      <w:r w:rsidRPr="009070BD">
        <w:rPr>
          <w:rFonts w:cs="Sylfaen"/>
          <w:lang w:val="hy-AM"/>
        </w:rPr>
        <w:t>աջակցությամբ</w:t>
      </w:r>
      <w:r w:rsidRPr="009070BD">
        <w:rPr>
          <w:rFonts w:cs="Sylfaen"/>
          <w:lang w:val="af-ZA"/>
        </w:rPr>
        <w:t xml:space="preserve"> </w:t>
      </w:r>
      <w:r w:rsidRPr="009070BD">
        <w:rPr>
          <w:rFonts w:cs="Sylfaen"/>
          <w:lang w:val="hy-AM"/>
        </w:rPr>
        <w:t>իրականացվող</w:t>
      </w:r>
      <w:r w:rsidRPr="009070BD">
        <w:rPr>
          <w:lang w:val="hy-AM"/>
        </w:rPr>
        <w:t xml:space="preserve"> </w:t>
      </w:r>
      <w:r w:rsidRPr="009070BD">
        <w:rPr>
          <w:lang w:val="af-ZA"/>
        </w:rPr>
        <w:t>«</w:t>
      </w:r>
      <w:r w:rsidRPr="009070BD">
        <w:rPr>
          <w:rFonts w:cs="Sylfaen"/>
          <w:lang w:val="hy-AM"/>
        </w:rPr>
        <w:t>Ենթակառուցվածքների</w:t>
      </w:r>
      <w:r w:rsidRPr="009070BD">
        <w:rPr>
          <w:rFonts w:cs="Sylfaen"/>
          <w:lang w:val="af-ZA"/>
        </w:rPr>
        <w:t xml:space="preserve"> </w:t>
      </w:r>
      <w:r w:rsidRPr="009070BD">
        <w:rPr>
          <w:rFonts w:cs="Sylfaen"/>
          <w:lang w:val="hy-AM"/>
        </w:rPr>
        <w:t>և</w:t>
      </w:r>
      <w:r w:rsidRPr="009070BD">
        <w:rPr>
          <w:rFonts w:cs="Sylfaen"/>
          <w:lang w:val="af-ZA"/>
        </w:rPr>
        <w:t xml:space="preserve"> </w:t>
      </w:r>
      <w:r w:rsidRPr="009070BD">
        <w:rPr>
          <w:rFonts w:cs="Sylfaen"/>
          <w:lang w:val="hy-AM"/>
        </w:rPr>
        <w:t>գյուղական</w:t>
      </w:r>
      <w:r w:rsidRPr="009070BD">
        <w:rPr>
          <w:rFonts w:cs="Sylfaen"/>
          <w:lang w:val="af-ZA"/>
        </w:rPr>
        <w:t xml:space="preserve"> </w:t>
      </w:r>
      <w:r w:rsidRPr="009070BD">
        <w:rPr>
          <w:rFonts w:cs="Sylfaen"/>
          <w:lang w:val="hy-AM"/>
        </w:rPr>
        <w:t>ֆինանսավորման</w:t>
      </w:r>
      <w:r w:rsidRPr="009070BD">
        <w:rPr>
          <w:rFonts w:cs="Sylfaen"/>
          <w:lang w:val="af-ZA"/>
        </w:rPr>
        <w:t xml:space="preserve"> </w:t>
      </w:r>
      <w:r w:rsidRPr="009070BD">
        <w:rPr>
          <w:rFonts w:cs="Sylfaen"/>
          <w:lang w:val="hy-AM"/>
        </w:rPr>
        <w:t>աջակցություն</w:t>
      </w:r>
      <w:r w:rsidRPr="009070BD">
        <w:rPr>
          <w:rFonts w:cs="Sylfaen"/>
          <w:lang w:val="af-ZA"/>
        </w:rPr>
        <w:t>»</w:t>
      </w:r>
      <w:r w:rsidRPr="009070BD">
        <w:rPr>
          <w:rFonts w:cs="Sylfaen"/>
          <w:lang w:val="hy-AM"/>
        </w:rPr>
        <w:t xml:space="preserve"> ծրագիր,</w:t>
      </w:r>
      <w:r w:rsidRPr="009070BD">
        <w:rPr>
          <w:rFonts w:cs="Sylfaen"/>
          <w:b w:val="0"/>
          <w:lang w:val="hy-AM"/>
        </w:rPr>
        <w:t xml:space="preserve"> որի նպատակն է նվազեցնել գյուղական աղքատությունը Հայաստանում, ինչպես նաև ստեղծել ավելի բարեկարգ սոցիալական և տնտեսական ենթակառուցվածքներ: Մասնավորապես.</w:t>
      </w:r>
    </w:p>
    <w:p w:rsidR="00B36A46" w:rsidRPr="009070BD" w:rsidRDefault="00B36A46" w:rsidP="007730AA">
      <w:pPr>
        <w:tabs>
          <w:tab w:val="left" w:pos="720"/>
        </w:tabs>
        <w:spacing w:before="0" w:line="276" w:lineRule="auto"/>
        <w:ind w:firstLine="720"/>
        <w:rPr>
          <w:b w:val="0"/>
          <w:lang w:val="hy-AM"/>
        </w:rPr>
      </w:pPr>
      <w:r w:rsidRPr="009070BD">
        <w:rPr>
          <w:b w:val="0"/>
          <w:lang w:val="hy-AM"/>
        </w:rPr>
        <w:t>ա/ Գյուղական ֆինանսավորման աջակցություն (իրականացվում է ԳՖԿ-ի և ՀԳՏՏԶՀ-ի միջոցով)</w:t>
      </w:r>
    </w:p>
    <w:p w:rsidR="00B36A46" w:rsidRPr="009070BD" w:rsidRDefault="00B36A46" w:rsidP="007730AA">
      <w:pPr>
        <w:tabs>
          <w:tab w:val="left" w:pos="720"/>
        </w:tabs>
        <w:spacing w:before="0" w:line="276" w:lineRule="auto"/>
        <w:ind w:firstLine="720"/>
        <w:rPr>
          <w:b w:val="0"/>
          <w:lang w:val="hy-AM"/>
        </w:rPr>
      </w:pPr>
      <w:r w:rsidRPr="009070BD">
        <w:rPr>
          <w:b w:val="0"/>
          <w:lang w:val="hy-AM"/>
        </w:rPr>
        <w:t>բ/ գյուղական ենթակառուցվածքների վերականգնում (ոռոգման և բազմանպատակ կենցաղային ջրամատակարարման համակարգեր),</w:t>
      </w:r>
    </w:p>
    <w:p w:rsidR="00B36A46" w:rsidRPr="009070BD" w:rsidRDefault="00B36A46" w:rsidP="007730AA">
      <w:pPr>
        <w:tabs>
          <w:tab w:val="left" w:pos="720"/>
        </w:tabs>
        <w:spacing w:before="0" w:line="276" w:lineRule="auto"/>
        <w:ind w:firstLine="720"/>
        <w:rPr>
          <w:b w:val="0"/>
          <w:lang w:val="hy-AM"/>
        </w:rPr>
      </w:pPr>
      <w:r w:rsidRPr="009070BD">
        <w:rPr>
          <w:b w:val="0"/>
          <w:lang w:val="hy-AM"/>
        </w:rPr>
        <w:t>գ/ Ֆերմերների իրազեկության բարձրացում և աջակցություն,</w:t>
      </w:r>
    </w:p>
    <w:p w:rsidR="00B36A46" w:rsidRPr="009070BD" w:rsidRDefault="00B36A46" w:rsidP="007730AA">
      <w:pPr>
        <w:tabs>
          <w:tab w:val="left" w:pos="720"/>
        </w:tabs>
        <w:spacing w:before="0" w:line="276" w:lineRule="auto"/>
        <w:ind w:firstLine="720"/>
        <w:rPr>
          <w:b w:val="0"/>
          <w:bCs/>
          <w:iCs/>
          <w:lang w:val="hy-AM"/>
        </w:rPr>
      </w:pPr>
      <w:r w:rsidRPr="009070BD">
        <w:rPr>
          <w:b w:val="0"/>
          <w:lang w:val="hy-AM"/>
        </w:rPr>
        <w:t>դ/ Ծրագրի կառավարում՝ 2</w:t>
      </w:r>
      <w:r w:rsidRPr="009070BD">
        <w:rPr>
          <w:rFonts w:cs="Sylfaen"/>
          <w:b w:val="0"/>
          <w:lang w:val="it-IT"/>
        </w:rPr>
        <w:t>02</w:t>
      </w:r>
      <w:r w:rsidRPr="009070BD">
        <w:rPr>
          <w:rFonts w:cs="Sylfaen"/>
          <w:b w:val="0"/>
          <w:lang w:val="hy-AM"/>
        </w:rPr>
        <w:t>1</w:t>
      </w:r>
      <w:r w:rsidRPr="009070BD">
        <w:rPr>
          <w:rFonts w:cs="Sylfaen"/>
          <w:b w:val="0"/>
          <w:lang w:val="it-IT"/>
        </w:rPr>
        <w:t xml:space="preserve">թ.-ին նախատեսվում է </w:t>
      </w:r>
      <w:r w:rsidRPr="009070BD">
        <w:rPr>
          <w:rFonts w:cs="Sylfaen"/>
          <w:b w:val="0"/>
          <w:lang w:val="hy-AM"/>
        </w:rPr>
        <w:t>28</w:t>
      </w:r>
      <w:r w:rsidR="00F018CD" w:rsidRPr="00F018CD">
        <w:rPr>
          <w:rFonts w:cs="Sylfaen"/>
          <w:b w:val="0"/>
          <w:lang w:val="hy-AM"/>
        </w:rPr>
        <w:t xml:space="preserve">7.9 </w:t>
      </w:r>
      <w:r w:rsidRPr="009070BD">
        <w:rPr>
          <w:rFonts w:cs="Sylfaen"/>
          <w:b w:val="0"/>
          <w:iCs/>
          <w:lang w:val="af-ZA"/>
        </w:rPr>
        <w:t xml:space="preserve">մլն դրամ, </w:t>
      </w:r>
      <w:r w:rsidRPr="009070BD">
        <w:rPr>
          <w:b w:val="0"/>
          <w:bCs/>
          <w:iCs/>
          <w:lang w:val="hy-AM"/>
        </w:rPr>
        <w:t xml:space="preserve">այդ թվում վարկային միջոցներ` </w:t>
      </w:r>
      <w:r w:rsidR="00F018CD" w:rsidRPr="00F018CD">
        <w:rPr>
          <w:b w:val="0"/>
          <w:bCs/>
          <w:iCs/>
          <w:lang w:val="hy-AM"/>
        </w:rPr>
        <w:t>239.6</w:t>
      </w:r>
      <w:r w:rsidRPr="009070BD">
        <w:rPr>
          <w:b w:val="0"/>
          <w:bCs/>
          <w:iCs/>
          <w:lang w:val="hy-AM"/>
        </w:rPr>
        <w:t xml:space="preserve"> </w:t>
      </w:r>
      <w:r w:rsidRPr="009070BD">
        <w:rPr>
          <w:rFonts w:cs="Sylfaen"/>
          <w:b w:val="0"/>
          <w:iCs/>
          <w:lang w:val="af-ZA"/>
        </w:rPr>
        <w:t>մլն դրամ</w:t>
      </w:r>
      <w:r w:rsidRPr="009070BD">
        <w:rPr>
          <w:b w:val="0"/>
          <w:bCs/>
          <w:iCs/>
          <w:lang w:val="hy-AM"/>
        </w:rPr>
        <w:t xml:space="preserve">, ՀՀ համաֆինանսավորում` </w:t>
      </w:r>
      <w:r w:rsidR="00F018CD" w:rsidRPr="00F018CD">
        <w:rPr>
          <w:b w:val="0"/>
          <w:bCs/>
          <w:iCs/>
          <w:lang w:val="hy-AM"/>
        </w:rPr>
        <w:t>48.3</w:t>
      </w:r>
      <w:r w:rsidRPr="009070BD">
        <w:rPr>
          <w:b w:val="0"/>
          <w:bCs/>
          <w:iCs/>
          <w:lang w:val="hy-AM"/>
        </w:rPr>
        <w:t xml:space="preserve"> </w:t>
      </w:r>
      <w:r w:rsidRPr="009070BD">
        <w:rPr>
          <w:rFonts w:cs="Sylfaen"/>
          <w:b w:val="0"/>
          <w:iCs/>
          <w:lang w:val="af-ZA"/>
        </w:rPr>
        <w:t>մլն դրա</w:t>
      </w:r>
      <w:r w:rsidRPr="009070BD">
        <w:rPr>
          <w:rFonts w:cs="Sylfaen"/>
          <w:b w:val="0"/>
          <w:iCs/>
          <w:lang w:val="hy-AM"/>
        </w:rPr>
        <w:t>մ</w:t>
      </w:r>
      <w:r w:rsidRPr="009070BD">
        <w:rPr>
          <w:b w:val="0"/>
          <w:bCs/>
          <w:iCs/>
          <w:lang w:val="hy-AM"/>
        </w:rPr>
        <w:t>:</w:t>
      </w:r>
    </w:p>
    <w:p w:rsidR="00B36A46" w:rsidRPr="009070BD" w:rsidRDefault="00B36A46" w:rsidP="007730AA">
      <w:pPr>
        <w:spacing w:before="0" w:line="276" w:lineRule="auto"/>
        <w:ind w:firstLine="720"/>
        <w:rPr>
          <w:b w:val="0"/>
          <w:bCs/>
          <w:iCs/>
          <w:lang w:val="af-ZA"/>
        </w:rPr>
      </w:pPr>
      <w:r w:rsidRPr="009070BD">
        <w:rPr>
          <w:b w:val="0"/>
          <w:bCs/>
          <w:iCs/>
          <w:lang w:val="af-ZA"/>
        </w:rPr>
        <w:t xml:space="preserve">Ծրագրի շրջանակներում նախատեսված են նաև վարկավորմանն ուղղվող միջոցներ` </w:t>
      </w:r>
      <w:r w:rsidRPr="009070BD">
        <w:rPr>
          <w:b w:val="0"/>
          <w:bCs/>
          <w:iCs/>
          <w:sz w:val="24"/>
          <w:lang w:val="af-ZA"/>
        </w:rPr>
        <w:t>1,</w:t>
      </w:r>
      <w:r w:rsidRPr="009070BD">
        <w:rPr>
          <w:b w:val="0"/>
          <w:bCs/>
          <w:iCs/>
          <w:lang w:val="hy-AM"/>
        </w:rPr>
        <w:t>4</w:t>
      </w:r>
      <w:r w:rsidR="00F018CD" w:rsidRPr="00F018CD">
        <w:rPr>
          <w:b w:val="0"/>
          <w:bCs/>
          <w:iCs/>
          <w:lang w:val="hy-AM"/>
        </w:rPr>
        <w:t>74.1</w:t>
      </w:r>
      <w:r w:rsidRPr="009070BD">
        <w:rPr>
          <w:b w:val="0"/>
          <w:bCs/>
          <w:iCs/>
          <w:lang w:val="af-ZA"/>
        </w:rPr>
        <w:t xml:space="preserve"> մլն դրամ:</w:t>
      </w:r>
    </w:p>
    <w:p w:rsidR="00B36A46" w:rsidRPr="009070BD" w:rsidRDefault="00B36A46" w:rsidP="007730AA">
      <w:pPr>
        <w:spacing w:before="0" w:line="276" w:lineRule="auto"/>
        <w:ind w:firstLine="720"/>
        <w:rPr>
          <w:b w:val="0"/>
          <w:bCs/>
          <w:iCs/>
          <w:lang w:val="af-ZA"/>
        </w:rPr>
      </w:pPr>
      <w:r w:rsidRPr="009070BD">
        <w:rPr>
          <w:bCs/>
          <w:iCs/>
          <w:lang w:val="hy-AM"/>
        </w:rPr>
        <w:t>4.</w:t>
      </w:r>
      <w:r w:rsidRPr="009070BD">
        <w:rPr>
          <w:b w:val="0"/>
          <w:lang w:val="hy-AM"/>
        </w:rPr>
        <w:t xml:space="preserve"> </w:t>
      </w:r>
      <w:r w:rsidRPr="009070BD">
        <w:rPr>
          <w:rFonts w:cs="Sylfaen"/>
          <w:lang w:val="hy-AM"/>
        </w:rPr>
        <w:t>ՕՊԵԿ զարգացման միջազգային հիմնադրամի աջակցությամբ իրականացվող</w:t>
      </w:r>
      <w:r w:rsidRPr="009070BD">
        <w:rPr>
          <w:lang w:val="hy-AM"/>
        </w:rPr>
        <w:t xml:space="preserve"> </w:t>
      </w:r>
      <w:r w:rsidRPr="009070BD">
        <w:rPr>
          <w:lang w:val="af-ZA"/>
        </w:rPr>
        <w:t>«</w:t>
      </w:r>
      <w:r w:rsidRPr="009070BD">
        <w:rPr>
          <w:rFonts w:cs="Sylfaen"/>
          <w:lang w:val="hy-AM"/>
        </w:rPr>
        <w:t>Ենթակառուցվածքների և գյուղական ֆինանսավորման աջակցություն</w:t>
      </w:r>
      <w:r w:rsidRPr="009070BD">
        <w:rPr>
          <w:rFonts w:cs="Sylfaen"/>
          <w:lang w:val="af-ZA"/>
        </w:rPr>
        <w:t>»</w:t>
      </w:r>
      <w:r w:rsidRPr="009070BD">
        <w:rPr>
          <w:rFonts w:cs="Sylfaen"/>
          <w:lang w:val="hy-AM"/>
        </w:rPr>
        <w:t xml:space="preserve"> ծրագիր,</w:t>
      </w:r>
      <w:r w:rsidRPr="009070BD">
        <w:rPr>
          <w:rFonts w:cs="Sylfaen"/>
          <w:b w:val="0"/>
          <w:lang w:val="hy-AM"/>
        </w:rPr>
        <w:t xml:space="preserve"> որի նպատակն է նվազեցնել գյուղական աղքատությունը Հայաստանում, ինչպես նաև ստեղծել ավելի բարեկարգ սոցիալական և տնտեսական ենթակառուցվածքներ: Մասնավորապես.</w:t>
      </w:r>
    </w:p>
    <w:p w:rsidR="00B36A46" w:rsidRPr="009070BD" w:rsidRDefault="00B36A46" w:rsidP="007730AA">
      <w:pPr>
        <w:spacing w:before="0" w:line="276" w:lineRule="auto"/>
        <w:ind w:firstLine="720"/>
        <w:rPr>
          <w:b w:val="0"/>
          <w:lang w:val="hy-AM"/>
        </w:rPr>
      </w:pPr>
      <w:r w:rsidRPr="009070BD">
        <w:rPr>
          <w:b w:val="0"/>
          <w:lang w:val="hy-AM"/>
        </w:rPr>
        <w:t xml:space="preserve"> ա/ Գյուղական ֆինանսավորման աջակցություն (իրականացվում է ԳՖԿ-ի և ՀԳՏՏԶՀ-ի միջոցով)</w:t>
      </w:r>
    </w:p>
    <w:p w:rsidR="00B36A46" w:rsidRPr="009070BD" w:rsidRDefault="00B36A46" w:rsidP="007730AA">
      <w:pPr>
        <w:tabs>
          <w:tab w:val="left" w:pos="720"/>
        </w:tabs>
        <w:spacing w:before="0" w:line="276" w:lineRule="auto"/>
        <w:ind w:firstLine="720"/>
        <w:rPr>
          <w:b w:val="0"/>
          <w:lang w:val="hy-AM"/>
        </w:rPr>
      </w:pPr>
      <w:r w:rsidRPr="009070BD">
        <w:rPr>
          <w:b w:val="0"/>
          <w:lang w:val="hy-AM"/>
        </w:rPr>
        <w:t xml:space="preserve"> բ/ Գյուղական ենթակառուցվածքների վերականգնում, մասնավորապես ոռոգման և բազմանպատակ կենցաղային ջրամատակարարման համակարգեր,</w:t>
      </w:r>
    </w:p>
    <w:p w:rsidR="00B36A46" w:rsidRPr="009070BD" w:rsidRDefault="00B36A46" w:rsidP="007730AA">
      <w:pPr>
        <w:tabs>
          <w:tab w:val="left" w:pos="720"/>
        </w:tabs>
        <w:spacing w:before="0" w:line="276" w:lineRule="auto"/>
        <w:ind w:firstLine="720"/>
        <w:rPr>
          <w:b w:val="0"/>
          <w:lang w:val="hy-AM"/>
        </w:rPr>
      </w:pPr>
      <w:r w:rsidRPr="009070BD">
        <w:rPr>
          <w:b w:val="0"/>
          <w:lang w:val="hy-AM"/>
        </w:rPr>
        <w:t xml:space="preserve"> գ/ Ֆերմերների իրազեկության բարձրացում և աջակցություն,</w:t>
      </w:r>
    </w:p>
    <w:p w:rsidR="00B36A46" w:rsidRPr="009070BD" w:rsidRDefault="00B36A46" w:rsidP="007730AA">
      <w:pPr>
        <w:tabs>
          <w:tab w:val="left" w:pos="720"/>
        </w:tabs>
        <w:spacing w:before="0" w:line="276" w:lineRule="auto"/>
        <w:ind w:firstLine="720"/>
        <w:rPr>
          <w:b w:val="0"/>
          <w:bCs/>
          <w:iCs/>
          <w:lang w:val="hy-AM"/>
        </w:rPr>
      </w:pPr>
      <w:r w:rsidRPr="009070BD">
        <w:rPr>
          <w:b w:val="0"/>
          <w:lang w:val="hy-AM"/>
        </w:rPr>
        <w:t xml:space="preserve"> դ/ Ծրագրի կառավարում՝</w:t>
      </w:r>
      <w:r w:rsidRPr="009070BD">
        <w:rPr>
          <w:rFonts w:cs="Sylfaen"/>
          <w:b w:val="0"/>
          <w:lang w:val="it-IT"/>
        </w:rPr>
        <w:t xml:space="preserve"> 202</w:t>
      </w:r>
      <w:r w:rsidRPr="009070BD">
        <w:rPr>
          <w:rFonts w:cs="Sylfaen"/>
          <w:b w:val="0"/>
          <w:lang w:val="hy-AM"/>
        </w:rPr>
        <w:t>1</w:t>
      </w:r>
      <w:r w:rsidRPr="009070BD">
        <w:rPr>
          <w:rFonts w:cs="Sylfaen"/>
          <w:b w:val="0"/>
          <w:lang w:val="it-IT"/>
        </w:rPr>
        <w:t xml:space="preserve">թ.-ին նախատեսվում է </w:t>
      </w:r>
      <w:r w:rsidR="00F018CD" w:rsidRPr="00F018CD">
        <w:rPr>
          <w:rFonts w:cs="Sylfaen"/>
          <w:b w:val="0"/>
          <w:lang w:val="hy-AM"/>
        </w:rPr>
        <w:t>167.0</w:t>
      </w:r>
      <w:r w:rsidRPr="009070BD">
        <w:rPr>
          <w:rFonts w:cs="Sylfaen"/>
          <w:b w:val="0"/>
          <w:lang w:val="it-IT"/>
        </w:rPr>
        <w:t xml:space="preserve"> </w:t>
      </w:r>
      <w:r w:rsidRPr="009070BD">
        <w:rPr>
          <w:rFonts w:cs="Sylfaen"/>
          <w:b w:val="0"/>
          <w:iCs/>
          <w:lang w:val="af-ZA"/>
        </w:rPr>
        <w:t xml:space="preserve">մլն դրամ, </w:t>
      </w:r>
      <w:r w:rsidRPr="009070BD">
        <w:rPr>
          <w:b w:val="0"/>
          <w:bCs/>
          <w:iCs/>
          <w:lang w:val="hy-AM"/>
        </w:rPr>
        <w:t>այդ թվում վարկային միջոցներ` 1</w:t>
      </w:r>
      <w:r w:rsidR="00F018CD">
        <w:rPr>
          <w:b w:val="0"/>
          <w:bCs/>
          <w:iCs/>
          <w:lang w:val="hy-AM"/>
        </w:rPr>
        <w:t>4</w:t>
      </w:r>
      <w:r w:rsidR="00F018CD" w:rsidRPr="00F018CD">
        <w:rPr>
          <w:b w:val="0"/>
          <w:bCs/>
          <w:iCs/>
          <w:lang w:val="hy-AM"/>
        </w:rPr>
        <w:t>8</w:t>
      </w:r>
      <w:r w:rsidRPr="009070BD">
        <w:rPr>
          <w:b w:val="0"/>
          <w:bCs/>
          <w:iCs/>
          <w:lang w:val="hy-AM"/>
        </w:rPr>
        <w:t>,</w:t>
      </w:r>
      <w:r w:rsidR="00F018CD" w:rsidRPr="00F018CD">
        <w:rPr>
          <w:b w:val="0"/>
          <w:bCs/>
          <w:iCs/>
          <w:lang w:val="hy-AM"/>
        </w:rPr>
        <w:t>1</w:t>
      </w:r>
      <w:r w:rsidRPr="009070BD">
        <w:rPr>
          <w:b w:val="0"/>
          <w:bCs/>
          <w:iCs/>
          <w:lang w:val="hy-AM"/>
        </w:rPr>
        <w:t xml:space="preserve"> </w:t>
      </w:r>
      <w:r w:rsidRPr="009070BD">
        <w:rPr>
          <w:rFonts w:cs="Sylfaen"/>
          <w:b w:val="0"/>
          <w:iCs/>
          <w:lang w:val="af-ZA"/>
        </w:rPr>
        <w:t>մլն դրամ</w:t>
      </w:r>
      <w:r w:rsidRPr="009070BD">
        <w:rPr>
          <w:b w:val="0"/>
          <w:bCs/>
          <w:iCs/>
          <w:lang w:val="hy-AM"/>
        </w:rPr>
        <w:t>, ՀՀ համաֆինանսավորում` 18,</w:t>
      </w:r>
      <w:r w:rsidR="00F018CD" w:rsidRPr="00F018CD">
        <w:rPr>
          <w:b w:val="0"/>
          <w:bCs/>
          <w:iCs/>
          <w:lang w:val="hy-AM"/>
        </w:rPr>
        <w:t>9</w:t>
      </w:r>
      <w:r w:rsidRPr="009070BD">
        <w:rPr>
          <w:b w:val="0"/>
          <w:bCs/>
          <w:iCs/>
          <w:lang w:val="hy-AM"/>
        </w:rPr>
        <w:t xml:space="preserve"> </w:t>
      </w:r>
      <w:r w:rsidRPr="009070BD">
        <w:rPr>
          <w:rFonts w:cs="Sylfaen"/>
          <w:b w:val="0"/>
          <w:iCs/>
          <w:lang w:val="af-ZA"/>
        </w:rPr>
        <w:t>մլն դրա</w:t>
      </w:r>
      <w:r w:rsidRPr="009070BD">
        <w:rPr>
          <w:rFonts w:cs="Sylfaen"/>
          <w:b w:val="0"/>
          <w:iCs/>
          <w:lang w:val="hy-AM"/>
        </w:rPr>
        <w:t>մ</w:t>
      </w:r>
      <w:r w:rsidRPr="009070BD">
        <w:rPr>
          <w:b w:val="0"/>
          <w:bCs/>
          <w:iCs/>
          <w:lang w:val="hy-AM"/>
        </w:rPr>
        <w:t>:</w:t>
      </w:r>
    </w:p>
    <w:p w:rsidR="00B36A46" w:rsidRPr="009070BD" w:rsidRDefault="00B36A46" w:rsidP="007730AA">
      <w:pPr>
        <w:spacing w:before="0" w:line="276" w:lineRule="auto"/>
        <w:ind w:firstLine="720"/>
        <w:rPr>
          <w:b w:val="0"/>
          <w:bCs/>
          <w:iCs/>
          <w:lang w:val="hy-AM"/>
        </w:rPr>
      </w:pPr>
      <w:r w:rsidRPr="009070BD">
        <w:rPr>
          <w:lang w:val="hy-AM"/>
        </w:rPr>
        <w:t>5</w:t>
      </w:r>
      <w:r w:rsidRPr="009070BD">
        <w:rPr>
          <w:lang w:val="af-ZA"/>
        </w:rPr>
        <w:t>.</w:t>
      </w:r>
      <w:r w:rsidRPr="009070BD">
        <w:rPr>
          <w:b w:val="0"/>
          <w:lang w:val="af-ZA"/>
        </w:rPr>
        <w:t xml:space="preserve"> </w:t>
      </w:r>
      <w:r w:rsidRPr="009070BD">
        <w:rPr>
          <w:rFonts w:cs="Sylfaen"/>
          <w:lang w:val="hy-AM"/>
        </w:rPr>
        <w:t>Գյուղատնտեսության զարգացման միջազգային հիմնադրամի աջակցությամբ իրականացվող «Ենթակառուցվածքների և գյուղական ֆինանսավորման աջակցություն» դրամաշնորհային ծրագիր</w:t>
      </w:r>
      <w:r w:rsidRPr="009070BD">
        <w:rPr>
          <w:rFonts w:cs="Sylfaen"/>
          <w:b w:val="0"/>
          <w:lang w:val="hy-AM"/>
        </w:rPr>
        <w:t>, որը փոխկապակցված է համանուն վարկային ծրագրի հետ, իրականացվում է վարկային ծրագրի ժամկետներում` նույն ուղղվածությամբ՝</w:t>
      </w:r>
      <w:r w:rsidRPr="009070BD">
        <w:rPr>
          <w:rFonts w:cs="Sylfaen"/>
          <w:b w:val="0"/>
          <w:lang w:val="it-IT"/>
        </w:rPr>
        <w:t xml:space="preserve"> 202</w:t>
      </w:r>
      <w:r w:rsidRPr="009070BD">
        <w:rPr>
          <w:rFonts w:cs="Sylfaen"/>
          <w:b w:val="0"/>
          <w:lang w:val="hy-AM"/>
        </w:rPr>
        <w:t>1</w:t>
      </w:r>
      <w:r w:rsidRPr="009070BD">
        <w:rPr>
          <w:rFonts w:cs="Sylfaen"/>
          <w:b w:val="0"/>
          <w:lang w:val="it-IT"/>
        </w:rPr>
        <w:t xml:space="preserve">թ.-ին նախատեսվում է </w:t>
      </w:r>
      <w:r w:rsidR="00F018CD">
        <w:rPr>
          <w:rFonts w:cs="Sylfaen"/>
          <w:b w:val="0"/>
          <w:lang w:val="it-IT"/>
        </w:rPr>
        <w:t xml:space="preserve">201.5 </w:t>
      </w:r>
      <w:r w:rsidRPr="009070BD">
        <w:rPr>
          <w:rFonts w:cs="Sylfaen"/>
          <w:b w:val="0"/>
          <w:iCs/>
          <w:lang w:val="af-ZA"/>
        </w:rPr>
        <w:t xml:space="preserve">մլն դրամ, </w:t>
      </w:r>
      <w:r w:rsidRPr="009070BD">
        <w:rPr>
          <w:b w:val="0"/>
          <w:bCs/>
          <w:iCs/>
          <w:lang w:val="hy-AM"/>
        </w:rPr>
        <w:t>այդ թվում դրամաշնորհային միջոցներ` 158</w:t>
      </w:r>
      <w:r w:rsidR="00F018CD" w:rsidRPr="00F018CD">
        <w:rPr>
          <w:b w:val="0"/>
          <w:bCs/>
          <w:iCs/>
          <w:lang w:val="hy-AM"/>
        </w:rPr>
        <w:t>.0</w:t>
      </w:r>
      <w:r w:rsidRPr="009070BD">
        <w:rPr>
          <w:b w:val="0"/>
          <w:bCs/>
          <w:iCs/>
          <w:lang w:val="hy-AM"/>
        </w:rPr>
        <w:t xml:space="preserve"> </w:t>
      </w:r>
      <w:r w:rsidRPr="009070BD">
        <w:rPr>
          <w:rFonts w:cs="Sylfaen"/>
          <w:b w:val="0"/>
          <w:iCs/>
          <w:lang w:val="af-ZA"/>
        </w:rPr>
        <w:t>մլն դրամ</w:t>
      </w:r>
      <w:r w:rsidRPr="009070BD">
        <w:rPr>
          <w:b w:val="0"/>
          <w:bCs/>
          <w:iCs/>
          <w:lang w:val="hy-AM"/>
        </w:rPr>
        <w:t>, ՀՀ համաֆինանսավորում` 4</w:t>
      </w:r>
      <w:r w:rsidR="00F018CD" w:rsidRPr="00F018CD">
        <w:rPr>
          <w:b w:val="0"/>
          <w:bCs/>
          <w:iCs/>
          <w:lang w:val="hy-AM"/>
        </w:rPr>
        <w:t>3.5</w:t>
      </w:r>
      <w:r w:rsidRPr="009070BD">
        <w:rPr>
          <w:b w:val="0"/>
          <w:bCs/>
          <w:iCs/>
          <w:lang w:val="hy-AM"/>
        </w:rPr>
        <w:t xml:space="preserve"> </w:t>
      </w:r>
      <w:r w:rsidRPr="009070BD">
        <w:rPr>
          <w:rFonts w:cs="Sylfaen"/>
          <w:b w:val="0"/>
          <w:iCs/>
          <w:lang w:val="af-ZA"/>
        </w:rPr>
        <w:t>մլն դրա</w:t>
      </w:r>
      <w:r w:rsidRPr="009070BD">
        <w:rPr>
          <w:rFonts w:cs="Sylfaen"/>
          <w:b w:val="0"/>
          <w:iCs/>
          <w:lang w:val="hy-AM"/>
        </w:rPr>
        <w:t>մ</w:t>
      </w:r>
      <w:r w:rsidRPr="009070BD">
        <w:rPr>
          <w:b w:val="0"/>
          <w:bCs/>
          <w:iCs/>
          <w:lang w:val="hy-AM"/>
        </w:rPr>
        <w:t>:</w:t>
      </w:r>
    </w:p>
    <w:p w:rsidR="00B36A46" w:rsidRPr="009070BD" w:rsidRDefault="00B36A46" w:rsidP="007730AA">
      <w:pPr>
        <w:spacing w:before="0" w:line="276" w:lineRule="auto"/>
        <w:ind w:firstLine="720"/>
        <w:rPr>
          <w:b w:val="0"/>
          <w:bCs/>
          <w:iCs/>
          <w:lang w:val="hy-AM"/>
        </w:rPr>
      </w:pPr>
      <w:r w:rsidRPr="009070BD">
        <w:rPr>
          <w:bCs/>
          <w:iCs/>
          <w:lang w:val="hy-AM"/>
        </w:rPr>
        <w:t>6</w:t>
      </w:r>
      <w:r w:rsidRPr="009070BD">
        <w:rPr>
          <w:bCs/>
          <w:iCs/>
          <w:lang w:val="af-ZA"/>
        </w:rPr>
        <w:t xml:space="preserve">. </w:t>
      </w:r>
      <w:r w:rsidRPr="009070BD">
        <w:rPr>
          <w:bCs/>
          <w:iCs/>
          <w:lang w:val="hy-AM"/>
        </w:rPr>
        <w:t>Գլոբալ</w:t>
      </w:r>
      <w:r w:rsidRPr="009070BD">
        <w:rPr>
          <w:bCs/>
          <w:iCs/>
          <w:lang w:val="af-ZA"/>
        </w:rPr>
        <w:t xml:space="preserve"> </w:t>
      </w:r>
      <w:r w:rsidRPr="009070BD">
        <w:rPr>
          <w:bCs/>
          <w:iCs/>
          <w:lang w:val="hy-AM"/>
        </w:rPr>
        <w:t>էկոլոգիական</w:t>
      </w:r>
      <w:r w:rsidRPr="009070BD">
        <w:rPr>
          <w:bCs/>
          <w:iCs/>
          <w:lang w:val="af-ZA"/>
        </w:rPr>
        <w:t xml:space="preserve"> </w:t>
      </w:r>
      <w:r w:rsidRPr="009070BD">
        <w:rPr>
          <w:bCs/>
          <w:iCs/>
          <w:lang w:val="hy-AM"/>
        </w:rPr>
        <w:t>հիմնադրամի</w:t>
      </w:r>
      <w:r w:rsidRPr="009070BD">
        <w:rPr>
          <w:bCs/>
          <w:iCs/>
          <w:lang w:val="af-ZA"/>
        </w:rPr>
        <w:t xml:space="preserve"> </w:t>
      </w:r>
      <w:r w:rsidRPr="009070BD">
        <w:rPr>
          <w:bCs/>
          <w:iCs/>
          <w:lang w:val="hy-AM"/>
        </w:rPr>
        <w:t>աջակցությամբ</w:t>
      </w:r>
      <w:r w:rsidRPr="009070BD">
        <w:rPr>
          <w:bCs/>
          <w:iCs/>
          <w:lang w:val="af-ZA"/>
        </w:rPr>
        <w:t xml:space="preserve"> </w:t>
      </w:r>
      <w:r w:rsidRPr="009070BD">
        <w:rPr>
          <w:bCs/>
          <w:iCs/>
          <w:lang w:val="hy-AM"/>
        </w:rPr>
        <w:t>իրականացվող</w:t>
      </w:r>
      <w:r w:rsidRPr="009070BD">
        <w:rPr>
          <w:bCs/>
          <w:iCs/>
          <w:lang w:val="af-ZA"/>
        </w:rPr>
        <w:t xml:space="preserve"> </w:t>
      </w:r>
      <w:r w:rsidRPr="009070BD">
        <w:rPr>
          <w:lang w:val="af-ZA"/>
        </w:rPr>
        <w:t>«</w:t>
      </w:r>
      <w:r w:rsidRPr="009070BD">
        <w:rPr>
          <w:rFonts w:cs="Sylfaen"/>
          <w:lang w:val="hy-AM"/>
        </w:rPr>
        <w:t>Հայաստանում</w:t>
      </w:r>
      <w:r w:rsidRPr="009070BD">
        <w:rPr>
          <w:rFonts w:cs="Sylfaen"/>
          <w:lang w:val="af-ZA"/>
        </w:rPr>
        <w:t xml:space="preserve"> </w:t>
      </w:r>
      <w:r w:rsidRPr="009070BD">
        <w:rPr>
          <w:rFonts w:cs="Sylfaen"/>
          <w:lang w:val="hy-AM"/>
        </w:rPr>
        <w:t>արտադրողականության</w:t>
      </w:r>
      <w:r w:rsidRPr="009070BD">
        <w:rPr>
          <w:rFonts w:cs="Sylfaen"/>
          <w:lang w:val="af-ZA"/>
        </w:rPr>
        <w:t xml:space="preserve"> </w:t>
      </w:r>
      <w:r w:rsidRPr="009070BD">
        <w:rPr>
          <w:rFonts w:cs="Sylfaen"/>
          <w:lang w:val="hy-AM"/>
        </w:rPr>
        <w:t>աճին</w:t>
      </w:r>
      <w:r w:rsidRPr="009070BD">
        <w:rPr>
          <w:rFonts w:cs="Sylfaen"/>
          <w:lang w:val="af-ZA"/>
        </w:rPr>
        <w:t xml:space="preserve"> </w:t>
      </w:r>
      <w:r w:rsidRPr="009070BD">
        <w:rPr>
          <w:rFonts w:cs="Sylfaen"/>
          <w:lang w:val="hy-AM"/>
        </w:rPr>
        <w:t>ուղղված</w:t>
      </w:r>
      <w:r w:rsidRPr="009070BD">
        <w:rPr>
          <w:rFonts w:cs="Sylfaen"/>
          <w:lang w:val="af-ZA"/>
        </w:rPr>
        <w:t xml:space="preserve"> </w:t>
      </w:r>
      <w:r w:rsidRPr="009070BD">
        <w:rPr>
          <w:rFonts w:cs="Sylfaen"/>
          <w:lang w:val="hy-AM"/>
        </w:rPr>
        <w:t>հողերի</w:t>
      </w:r>
      <w:r w:rsidRPr="009070BD">
        <w:rPr>
          <w:rFonts w:cs="Sylfaen"/>
          <w:lang w:val="af-ZA"/>
        </w:rPr>
        <w:t xml:space="preserve"> </w:t>
      </w:r>
      <w:r w:rsidRPr="009070BD">
        <w:rPr>
          <w:rFonts w:cs="Sylfaen"/>
          <w:lang w:val="hy-AM"/>
        </w:rPr>
        <w:t>կայուն</w:t>
      </w:r>
      <w:r w:rsidRPr="009070BD">
        <w:rPr>
          <w:rFonts w:cs="Sylfaen"/>
          <w:lang w:val="af-ZA"/>
        </w:rPr>
        <w:t xml:space="preserve"> </w:t>
      </w:r>
      <w:r w:rsidRPr="009070BD">
        <w:rPr>
          <w:rFonts w:cs="Sylfaen"/>
          <w:lang w:val="hy-AM"/>
        </w:rPr>
        <w:t>կառավարում</w:t>
      </w:r>
      <w:r w:rsidRPr="009070BD">
        <w:rPr>
          <w:rFonts w:cs="Sylfaen"/>
          <w:lang w:val="af-ZA"/>
        </w:rPr>
        <w:t>»</w:t>
      </w:r>
      <w:r w:rsidRPr="009070BD">
        <w:rPr>
          <w:rFonts w:cs="Sylfaen"/>
          <w:lang w:val="hy-AM"/>
        </w:rPr>
        <w:t xml:space="preserve"> </w:t>
      </w:r>
      <w:r w:rsidRPr="009070BD">
        <w:rPr>
          <w:bCs/>
          <w:iCs/>
          <w:lang w:val="hy-AM"/>
        </w:rPr>
        <w:t>դրամաշնորհային</w:t>
      </w:r>
      <w:r w:rsidRPr="009070BD">
        <w:rPr>
          <w:bCs/>
          <w:iCs/>
          <w:lang w:val="af-ZA"/>
        </w:rPr>
        <w:t xml:space="preserve"> </w:t>
      </w:r>
      <w:r w:rsidRPr="009070BD">
        <w:rPr>
          <w:bCs/>
          <w:iCs/>
          <w:lang w:val="hy-AM"/>
        </w:rPr>
        <w:t>ծրագիր,</w:t>
      </w:r>
      <w:r w:rsidRPr="009070BD">
        <w:rPr>
          <w:b w:val="0"/>
          <w:bCs/>
          <w:iCs/>
          <w:lang w:val="hy-AM"/>
        </w:rPr>
        <w:t xml:space="preserve"> որի</w:t>
      </w:r>
      <w:r w:rsidRPr="009070BD">
        <w:rPr>
          <w:b w:val="0"/>
          <w:lang w:val="af-ZA"/>
        </w:rPr>
        <w:t xml:space="preserve"> նպատակն է մեծացնել Վայոց ձորի, Արարատի և Սյունիքի մարզերի ագրոէկոլոգիական առումով առավել ռիսկային տարածքների բնակիչների ընդհանուր կարողությունները` նշված մարզերում համայնքային դեգրադացված հողերի վերականգնման միջոցով</w:t>
      </w:r>
      <w:r w:rsidRPr="009070BD">
        <w:rPr>
          <w:b w:val="0"/>
          <w:lang w:val="hy-AM"/>
        </w:rPr>
        <w:t>՝</w:t>
      </w:r>
      <w:r w:rsidRPr="009070BD">
        <w:rPr>
          <w:rFonts w:cs="Sylfaen"/>
          <w:b w:val="0"/>
          <w:lang w:val="it-IT"/>
        </w:rPr>
        <w:t xml:space="preserve"> 202</w:t>
      </w:r>
      <w:r w:rsidRPr="009070BD">
        <w:rPr>
          <w:rFonts w:cs="Sylfaen"/>
          <w:b w:val="0"/>
          <w:lang w:val="hy-AM"/>
        </w:rPr>
        <w:t>1</w:t>
      </w:r>
      <w:r w:rsidRPr="009070BD">
        <w:rPr>
          <w:rFonts w:cs="Sylfaen"/>
          <w:b w:val="0"/>
          <w:lang w:val="it-IT"/>
        </w:rPr>
        <w:t xml:space="preserve">թ.-ին նախատեսվում է </w:t>
      </w:r>
      <w:r w:rsidRPr="009070BD">
        <w:rPr>
          <w:rFonts w:cs="Sylfaen"/>
          <w:b w:val="0"/>
          <w:lang w:val="hy-AM"/>
        </w:rPr>
        <w:t>1,0</w:t>
      </w:r>
      <w:r w:rsidR="00F018CD" w:rsidRPr="00F018CD">
        <w:rPr>
          <w:rFonts w:cs="Sylfaen"/>
          <w:b w:val="0"/>
          <w:lang w:val="hy-AM"/>
        </w:rPr>
        <w:t>71.3</w:t>
      </w:r>
      <w:r w:rsidRPr="009070BD">
        <w:rPr>
          <w:rFonts w:cs="Sylfaen"/>
          <w:b w:val="0"/>
          <w:lang w:val="it-IT"/>
        </w:rPr>
        <w:t xml:space="preserve"> </w:t>
      </w:r>
      <w:r w:rsidRPr="009070BD">
        <w:rPr>
          <w:rFonts w:cs="Sylfaen"/>
          <w:b w:val="0"/>
          <w:iCs/>
          <w:lang w:val="af-ZA"/>
        </w:rPr>
        <w:t xml:space="preserve">մլն դրամ, </w:t>
      </w:r>
      <w:r w:rsidRPr="009070BD">
        <w:rPr>
          <w:b w:val="0"/>
          <w:bCs/>
          <w:iCs/>
          <w:lang w:val="hy-AM"/>
        </w:rPr>
        <w:t xml:space="preserve">այդ թվում դրամաշնորհային միջոցներ` </w:t>
      </w:r>
      <w:r w:rsidR="00F018CD" w:rsidRPr="00F018CD">
        <w:rPr>
          <w:b w:val="0"/>
          <w:bCs/>
          <w:iCs/>
          <w:lang w:val="hy-AM"/>
        </w:rPr>
        <w:t>913.5</w:t>
      </w:r>
      <w:r w:rsidRPr="009070BD">
        <w:rPr>
          <w:b w:val="0"/>
          <w:bCs/>
          <w:iCs/>
          <w:lang w:val="af-ZA"/>
        </w:rPr>
        <w:t xml:space="preserve"> </w:t>
      </w:r>
      <w:r w:rsidRPr="009070BD">
        <w:rPr>
          <w:rFonts w:cs="Sylfaen"/>
          <w:b w:val="0"/>
          <w:iCs/>
          <w:lang w:val="af-ZA"/>
        </w:rPr>
        <w:t>մլն դրամ</w:t>
      </w:r>
      <w:r w:rsidRPr="009070BD">
        <w:rPr>
          <w:b w:val="0"/>
          <w:bCs/>
          <w:iCs/>
          <w:lang w:val="hy-AM"/>
        </w:rPr>
        <w:t xml:space="preserve">, ՀՀ համաֆինանսավորում` </w:t>
      </w:r>
      <w:r w:rsidR="00F018CD" w:rsidRPr="00F018CD">
        <w:rPr>
          <w:b w:val="0"/>
          <w:bCs/>
          <w:iCs/>
          <w:lang w:val="hy-AM"/>
        </w:rPr>
        <w:t>157.8</w:t>
      </w:r>
      <w:r w:rsidRPr="009070BD">
        <w:rPr>
          <w:b w:val="0"/>
          <w:bCs/>
          <w:iCs/>
          <w:lang w:val="af-ZA"/>
        </w:rPr>
        <w:t xml:space="preserve"> </w:t>
      </w:r>
      <w:r w:rsidRPr="009070BD">
        <w:rPr>
          <w:rFonts w:cs="Sylfaen"/>
          <w:b w:val="0"/>
          <w:iCs/>
          <w:lang w:val="af-ZA"/>
        </w:rPr>
        <w:t>մլն դրա</w:t>
      </w:r>
      <w:r w:rsidRPr="009070BD">
        <w:rPr>
          <w:rFonts w:cs="Sylfaen"/>
          <w:b w:val="0"/>
          <w:iCs/>
          <w:lang w:val="hy-AM"/>
        </w:rPr>
        <w:t>մ</w:t>
      </w:r>
      <w:r w:rsidRPr="009070BD">
        <w:rPr>
          <w:b w:val="0"/>
          <w:bCs/>
          <w:iCs/>
          <w:lang w:val="hy-AM"/>
        </w:rPr>
        <w:t>:</w:t>
      </w:r>
    </w:p>
    <w:p w:rsidR="00B36A46" w:rsidRPr="009070BD" w:rsidRDefault="00B36A46" w:rsidP="007730AA">
      <w:pPr>
        <w:spacing w:before="0" w:line="276" w:lineRule="auto"/>
        <w:ind w:firstLine="720"/>
        <w:rPr>
          <w:b w:val="0"/>
          <w:bCs/>
          <w:iCs/>
          <w:lang w:val="hy-AM"/>
        </w:rPr>
      </w:pPr>
      <w:r w:rsidRPr="009070BD">
        <w:rPr>
          <w:bCs/>
          <w:iCs/>
          <w:lang w:val="hy-AM"/>
        </w:rPr>
        <w:t>7</w:t>
      </w:r>
      <w:r w:rsidRPr="009070BD">
        <w:rPr>
          <w:lang w:val="af-ZA"/>
        </w:rPr>
        <w:t xml:space="preserve">. </w:t>
      </w:r>
      <w:r w:rsidRPr="009070BD">
        <w:rPr>
          <w:lang w:val="hy-AM"/>
        </w:rPr>
        <w:t>Վերակառուցման և զարգացման միջազգային բանկի աջակցությամբ իրականացվող «Գյուղատնտեսության ոլորտում քաղաքականության մոնիտորինգի և գնահատման կարողությունների զարգացման» դրամաշնորհային ծրագիր</w:t>
      </w:r>
      <w:r w:rsidRPr="009070BD">
        <w:rPr>
          <w:b w:val="0"/>
          <w:lang w:val="hy-AM"/>
        </w:rPr>
        <w:t>, որի</w:t>
      </w:r>
      <w:r w:rsidRPr="009070BD">
        <w:rPr>
          <w:rFonts w:cs="Sylfaen"/>
          <w:b w:val="0"/>
          <w:lang w:val="it-IT"/>
        </w:rPr>
        <w:t xml:space="preserve"> նպատակն է ամրապնդել մոնիթորինգի և գնահատման կարողությունները` գյուղատնտեսական քաղաքականության փաստահավաք վերլուծություն իրականացնելու և մշակելու հնարավորություն տալու համար</w:t>
      </w:r>
      <w:r w:rsidRPr="009070BD">
        <w:rPr>
          <w:rFonts w:cs="Sylfaen"/>
          <w:b w:val="0"/>
          <w:lang w:val="hy-AM"/>
        </w:rPr>
        <w:t xml:space="preserve">՝ </w:t>
      </w:r>
      <w:r w:rsidRPr="009070BD">
        <w:rPr>
          <w:rFonts w:cs="Sylfaen"/>
          <w:b w:val="0"/>
          <w:lang w:val="it-IT"/>
        </w:rPr>
        <w:t>202</w:t>
      </w:r>
      <w:r w:rsidRPr="009070BD">
        <w:rPr>
          <w:rFonts w:cs="Sylfaen"/>
          <w:b w:val="0"/>
          <w:lang w:val="hy-AM"/>
        </w:rPr>
        <w:t>1</w:t>
      </w:r>
      <w:r w:rsidRPr="009070BD">
        <w:rPr>
          <w:rFonts w:cs="Sylfaen"/>
          <w:b w:val="0"/>
          <w:lang w:val="it-IT"/>
        </w:rPr>
        <w:t xml:space="preserve">թ.-ին նախատեսվում է </w:t>
      </w:r>
      <w:r w:rsidRPr="009070BD">
        <w:rPr>
          <w:rFonts w:cs="Sylfaen"/>
          <w:b w:val="0"/>
          <w:lang w:val="hy-AM"/>
        </w:rPr>
        <w:t>47</w:t>
      </w:r>
      <w:r w:rsidR="00F018CD" w:rsidRPr="00F018CD">
        <w:rPr>
          <w:rFonts w:cs="Sylfaen"/>
          <w:b w:val="0"/>
          <w:lang w:val="hy-AM"/>
        </w:rPr>
        <w:t>7.9</w:t>
      </w:r>
      <w:r w:rsidRPr="009070BD">
        <w:rPr>
          <w:rFonts w:cs="Sylfaen"/>
          <w:b w:val="0"/>
          <w:lang w:val="it-IT"/>
        </w:rPr>
        <w:t xml:space="preserve"> </w:t>
      </w:r>
      <w:r w:rsidRPr="009070BD">
        <w:rPr>
          <w:rFonts w:cs="Sylfaen"/>
          <w:b w:val="0"/>
          <w:iCs/>
          <w:lang w:val="af-ZA"/>
        </w:rPr>
        <w:t xml:space="preserve">մլն դրամ, </w:t>
      </w:r>
      <w:r w:rsidRPr="009070BD">
        <w:rPr>
          <w:b w:val="0"/>
          <w:bCs/>
          <w:iCs/>
          <w:lang w:val="hy-AM"/>
        </w:rPr>
        <w:t xml:space="preserve">այդ թվում դրամաշնորհային միջոցներ` </w:t>
      </w:r>
      <w:r w:rsidR="00F018CD" w:rsidRPr="00F018CD">
        <w:rPr>
          <w:b w:val="0"/>
          <w:bCs/>
          <w:iCs/>
          <w:lang w:val="hy-AM"/>
        </w:rPr>
        <w:t>353.8</w:t>
      </w:r>
      <w:r w:rsidRPr="009070BD">
        <w:rPr>
          <w:b w:val="0"/>
          <w:bCs/>
          <w:iCs/>
          <w:lang w:val="hy-AM"/>
        </w:rPr>
        <w:t xml:space="preserve"> </w:t>
      </w:r>
      <w:r w:rsidRPr="009070BD">
        <w:rPr>
          <w:rFonts w:cs="Sylfaen"/>
          <w:b w:val="0"/>
          <w:iCs/>
          <w:lang w:val="af-ZA"/>
        </w:rPr>
        <w:t>մլն դրամ</w:t>
      </w:r>
      <w:r w:rsidR="00F018CD">
        <w:rPr>
          <w:b w:val="0"/>
          <w:bCs/>
          <w:iCs/>
          <w:lang w:val="hy-AM"/>
        </w:rPr>
        <w:t xml:space="preserve">, ՀՀ համաֆինանսավորում` </w:t>
      </w:r>
      <w:r w:rsidR="00F018CD" w:rsidRPr="00F018CD">
        <w:rPr>
          <w:b w:val="0"/>
          <w:bCs/>
          <w:iCs/>
          <w:lang w:val="hy-AM"/>
        </w:rPr>
        <w:t>124.1</w:t>
      </w:r>
      <w:r w:rsidRPr="009070BD">
        <w:rPr>
          <w:b w:val="0"/>
          <w:bCs/>
          <w:iCs/>
          <w:lang w:val="it-IT"/>
        </w:rPr>
        <w:t xml:space="preserve"> </w:t>
      </w:r>
      <w:r w:rsidRPr="009070BD">
        <w:rPr>
          <w:rFonts w:cs="Sylfaen"/>
          <w:b w:val="0"/>
          <w:iCs/>
          <w:lang w:val="af-ZA"/>
        </w:rPr>
        <w:t>մլն դրա</w:t>
      </w:r>
      <w:r w:rsidRPr="009070BD">
        <w:rPr>
          <w:rFonts w:cs="Sylfaen"/>
          <w:b w:val="0"/>
          <w:iCs/>
          <w:lang w:val="hy-AM"/>
        </w:rPr>
        <w:t>մ</w:t>
      </w:r>
      <w:r w:rsidRPr="009070BD">
        <w:rPr>
          <w:b w:val="0"/>
          <w:bCs/>
          <w:iCs/>
          <w:lang w:val="hy-AM"/>
        </w:rPr>
        <w:t>:</w:t>
      </w:r>
    </w:p>
    <w:p w:rsidR="00B36A46" w:rsidRPr="009070BD" w:rsidRDefault="00B36A46" w:rsidP="007730AA">
      <w:pPr>
        <w:spacing w:before="0" w:line="276" w:lineRule="auto"/>
        <w:ind w:firstLine="720"/>
        <w:rPr>
          <w:b w:val="0"/>
          <w:bCs/>
          <w:iCs/>
          <w:lang w:val="hy-AM"/>
        </w:rPr>
      </w:pPr>
      <w:r w:rsidRPr="009070BD">
        <w:rPr>
          <w:bCs/>
          <w:iCs/>
          <w:lang w:val="hy-AM"/>
        </w:rPr>
        <w:t>8.</w:t>
      </w:r>
      <w:r w:rsidRPr="009070BD">
        <w:rPr>
          <w:b w:val="0"/>
          <w:bCs/>
          <w:iCs/>
          <w:lang w:val="hy-AM"/>
        </w:rPr>
        <w:t xml:space="preserve"> </w:t>
      </w:r>
      <w:r w:rsidRPr="009070BD">
        <w:rPr>
          <w:rFonts w:cs="Sylfaen"/>
          <w:bCs/>
          <w:iCs/>
          <w:lang w:val="hy-AM"/>
        </w:rPr>
        <w:t>ԱՄՆ կառավարության աջակցությամբ իրականացված «Հազարամյակի մարտահրավեր» դրամաշնորհային ծրագրի արդյունքում ձևավորված ֆինասական միջոցների կառավարում միջոցառման</w:t>
      </w:r>
      <w:r w:rsidRPr="009070BD">
        <w:rPr>
          <w:b w:val="0"/>
          <w:lang w:val="af-ZA"/>
        </w:rPr>
        <w:t xml:space="preserve"> </w:t>
      </w:r>
      <w:r w:rsidRPr="009070BD">
        <w:rPr>
          <w:b w:val="0"/>
          <w:lang w:val="hy-AM"/>
        </w:rPr>
        <w:t>նպատակն</w:t>
      </w:r>
      <w:r w:rsidRPr="009070BD">
        <w:rPr>
          <w:b w:val="0"/>
          <w:lang w:val="af-ZA"/>
        </w:rPr>
        <w:t xml:space="preserve"> </w:t>
      </w:r>
      <w:r w:rsidRPr="009070BD">
        <w:rPr>
          <w:b w:val="0"/>
          <w:lang w:val="hy-AM"/>
        </w:rPr>
        <w:t>է</w:t>
      </w:r>
      <w:r w:rsidRPr="009070BD">
        <w:rPr>
          <w:b w:val="0"/>
          <w:lang w:val="af-ZA"/>
        </w:rPr>
        <w:t xml:space="preserve"> </w:t>
      </w:r>
      <w:r w:rsidRPr="009070BD">
        <w:rPr>
          <w:b w:val="0"/>
          <w:lang w:val="hy-AM"/>
        </w:rPr>
        <w:t>գյուղական</w:t>
      </w:r>
      <w:r w:rsidRPr="009070BD">
        <w:rPr>
          <w:b w:val="0"/>
          <w:lang w:val="af-ZA"/>
        </w:rPr>
        <w:t xml:space="preserve"> </w:t>
      </w:r>
      <w:r w:rsidRPr="009070BD">
        <w:rPr>
          <w:b w:val="0"/>
          <w:lang w:val="hy-AM"/>
        </w:rPr>
        <w:t>աղքատության</w:t>
      </w:r>
      <w:r w:rsidRPr="009070BD">
        <w:rPr>
          <w:b w:val="0"/>
          <w:lang w:val="af-ZA"/>
        </w:rPr>
        <w:t xml:space="preserve"> </w:t>
      </w:r>
      <w:r w:rsidRPr="009070BD">
        <w:rPr>
          <w:b w:val="0"/>
          <w:lang w:val="hy-AM"/>
        </w:rPr>
        <w:t>կրճատումը</w:t>
      </w:r>
      <w:r w:rsidRPr="009070BD">
        <w:rPr>
          <w:b w:val="0"/>
          <w:lang w:val="af-ZA"/>
        </w:rPr>
        <w:t xml:space="preserve">` </w:t>
      </w:r>
      <w:r w:rsidRPr="009070BD">
        <w:rPr>
          <w:b w:val="0"/>
          <w:lang w:val="hy-AM"/>
        </w:rPr>
        <w:t>գյուղատնտեսական</w:t>
      </w:r>
      <w:r w:rsidRPr="009070BD">
        <w:rPr>
          <w:b w:val="0"/>
          <w:lang w:val="af-ZA"/>
        </w:rPr>
        <w:t xml:space="preserve"> </w:t>
      </w:r>
      <w:r w:rsidRPr="009070BD">
        <w:rPr>
          <w:b w:val="0"/>
          <w:lang w:val="hy-AM"/>
        </w:rPr>
        <w:t>ոլորտի</w:t>
      </w:r>
      <w:r w:rsidRPr="009070BD">
        <w:rPr>
          <w:b w:val="0"/>
          <w:lang w:val="af-ZA"/>
        </w:rPr>
        <w:t xml:space="preserve"> </w:t>
      </w:r>
      <w:r w:rsidRPr="009070BD">
        <w:rPr>
          <w:b w:val="0"/>
          <w:lang w:val="hy-AM"/>
        </w:rPr>
        <w:t>կայուն</w:t>
      </w:r>
      <w:r w:rsidRPr="009070BD">
        <w:rPr>
          <w:b w:val="0"/>
          <w:lang w:val="af-ZA"/>
        </w:rPr>
        <w:t xml:space="preserve"> </w:t>
      </w:r>
      <w:r w:rsidRPr="009070BD">
        <w:rPr>
          <w:b w:val="0"/>
          <w:lang w:val="hy-AM"/>
        </w:rPr>
        <w:t>տնտեսական</w:t>
      </w:r>
      <w:r w:rsidRPr="009070BD">
        <w:rPr>
          <w:b w:val="0"/>
          <w:lang w:val="af-ZA"/>
        </w:rPr>
        <w:t xml:space="preserve"> </w:t>
      </w:r>
      <w:r w:rsidRPr="009070BD">
        <w:rPr>
          <w:b w:val="0"/>
          <w:lang w:val="hy-AM"/>
        </w:rPr>
        <w:t>աճի</w:t>
      </w:r>
      <w:r w:rsidRPr="009070BD">
        <w:rPr>
          <w:b w:val="0"/>
          <w:lang w:val="af-ZA"/>
        </w:rPr>
        <w:t xml:space="preserve"> </w:t>
      </w:r>
      <w:r w:rsidRPr="009070BD">
        <w:rPr>
          <w:b w:val="0"/>
          <w:lang w:val="hy-AM"/>
        </w:rPr>
        <w:t>միջոցով</w:t>
      </w:r>
      <w:r w:rsidRPr="009070BD">
        <w:rPr>
          <w:b w:val="0"/>
          <w:lang w:val="af-ZA"/>
        </w:rPr>
        <w:t xml:space="preserve">, </w:t>
      </w:r>
      <w:r w:rsidRPr="009070BD">
        <w:rPr>
          <w:b w:val="0"/>
          <w:lang w:val="hy-AM"/>
        </w:rPr>
        <w:t>գյուղատնտեսության</w:t>
      </w:r>
      <w:r w:rsidRPr="009070BD">
        <w:rPr>
          <w:b w:val="0"/>
          <w:lang w:val="af-ZA"/>
        </w:rPr>
        <w:t xml:space="preserve"> </w:t>
      </w:r>
      <w:r w:rsidRPr="009070BD">
        <w:rPr>
          <w:b w:val="0"/>
          <w:lang w:val="hy-AM"/>
        </w:rPr>
        <w:t>ոլորտի</w:t>
      </w:r>
      <w:r w:rsidRPr="009070BD">
        <w:rPr>
          <w:b w:val="0"/>
          <w:lang w:val="af-ZA"/>
        </w:rPr>
        <w:t xml:space="preserve"> </w:t>
      </w:r>
      <w:r w:rsidRPr="009070BD">
        <w:rPr>
          <w:b w:val="0"/>
          <w:lang w:val="hy-AM"/>
        </w:rPr>
        <w:t>արդյունավետության</w:t>
      </w:r>
      <w:r w:rsidRPr="009070BD">
        <w:rPr>
          <w:b w:val="0"/>
          <w:lang w:val="af-ZA"/>
        </w:rPr>
        <w:t xml:space="preserve"> </w:t>
      </w:r>
      <w:r w:rsidRPr="009070BD">
        <w:rPr>
          <w:b w:val="0"/>
          <w:lang w:val="hy-AM"/>
        </w:rPr>
        <w:t>մեծացումը</w:t>
      </w:r>
      <w:r w:rsidRPr="009070BD">
        <w:rPr>
          <w:b w:val="0"/>
          <w:lang w:val="af-ZA"/>
        </w:rPr>
        <w:t xml:space="preserve">` </w:t>
      </w:r>
      <w:r w:rsidRPr="009070BD">
        <w:rPr>
          <w:b w:val="0"/>
          <w:lang w:val="hy-AM"/>
        </w:rPr>
        <w:t>ոռոգման</w:t>
      </w:r>
      <w:r w:rsidRPr="009070BD">
        <w:rPr>
          <w:b w:val="0"/>
          <w:lang w:val="af-ZA"/>
        </w:rPr>
        <w:t xml:space="preserve"> </w:t>
      </w:r>
      <w:r w:rsidRPr="009070BD">
        <w:rPr>
          <w:b w:val="0"/>
          <w:lang w:val="hy-AM"/>
        </w:rPr>
        <w:t>համակարգերի</w:t>
      </w:r>
      <w:r w:rsidRPr="009070BD">
        <w:rPr>
          <w:b w:val="0"/>
          <w:lang w:val="af-ZA"/>
        </w:rPr>
        <w:t xml:space="preserve"> </w:t>
      </w:r>
      <w:r w:rsidRPr="009070BD">
        <w:rPr>
          <w:b w:val="0"/>
          <w:lang w:val="hy-AM"/>
        </w:rPr>
        <w:t>ընդգրկումն</w:t>
      </w:r>
      <w:r w:rsidRPr="009070BD">
        <w:rPr>
          <w:b w:val="0"/>
          <w:lang w:val="af-ZA"/>
        </w:rPr>
        <w:t xml:space="preserve"> </w:t>
      </w:r>
      <w:r w:rsidRPr="009070BD">
        <w:rPr>
          <w:b w:val="0"/>
          <w:lang w:val="hy-AM"/>
        </w:rPr>
        <w:t>ընդլայնելու</w:t>
      </w:r>
      <w:r w:rsidRPr="009070BD">
        <w:rPr>
          <w:b w:val="0"/>
          <w:lang w:val="af-ZA"/>
        </w:rPr>
        <w:t xml:space="preserve"> </w:t>
      </w:r>
      <w:r w:rsidRPr="009070BD">
        <w:rPr>
          <w:b w:val="0"/>
          <w:lang w:val="hy-AM"/>
        </w:rPr>
        <w:t>և</w:t>
      </w:r>
      <w:r w:rsidRPr="009070BD">
        <w:rPr>
          <w:b w:val="0"/>
          <w:lang w:val="af-ZA"/>
        </w:rPr>
        <w:t xml:space="preserve"> </w:t>
      </w:r>
      <w:r w:rsidRPr="009070BD">
        <w:rPr>
          <w:b w:val="0"/>
          <w:lang w:val="hy-AM"/>
        </w:rPr>
        <w:t>որակի</w:t>
      </w:r>
      <w:r w:rsidRPr="009070BD">
        <w:rPr>
          <w:b w:val="0"/>
          <w:lang w:val="af-ZA"/>
        </w:rPr>
        <w:t xml:space="preserve"> </w:t>
      </w:r>
      <w:r w:rsidRPr="009070BD">
        <w:rPr>
          <w:b w:val="0"/>
          <w:lang w:val="hy-AM"/>
        </w:rPr>
        <w:t>բարելավման</w:t>
      </w:r>
      <w:r w:rsidRPr="009070BD">
        <w:rPr>
          <w:b w:val="0"/>
          <w:lang w:val="af-ZA"/>
        </w:rPr>
        <w:t xml:space="preserve">, </w:t>
      </w:r>
      <w:r w:rsidRPr="009070BD">
        <w:rPr>
          <w:b w:val="0"/>
          <w:lang w:val="hy-AM"/>
        </w:rPr>
        <w:t>համակարգը</w:t>
      </w:r>
      <w:r w:rsidRPr="009070BD">
        <w:rPr>
          <w:b w:val="0"/>
          <w:lang w:val="af-ZA"/>
        </w:rPr>
        <w:t xml:space="preserve"> </w:t>
      </w:r>
      <w:r w:rsidRPr="009070BD">
        <w:rPr>
          <w:b w:val="0"/>
          <w:lang w:val="hy-AM"/>
        </w:rPr>
        <w:t>կառավարող</w:t>
      </w:r>
      <w:r w:rsidRPr="009070BD">
        <w:rPr>
          <w:b w:val="0"/>
          <w:lang w:val="af-ZA"/>
        </w:rPr>
        <w:t xml:space="preserve"> </w:t>
      </w:r>
      <w:r w:rsidRPr="009070BD">
        <w:rPr>
          <w:b w:val="0"/>
          <w:lang w:val="hy-AM"/>
        </w:rPr>
        <w:t>մարմինների</w:t>
      </w:r>
      <w:r w:rsidRPr="009070BD">
        <w:rPr>
          <w:b w:val="0"/>
          <w:lang w:val="af-ZA"/>
        </w:rPr>
        <w:t xml:space="preserve"> </w:t>
      </w:r>
      <w:r w:rsidRPr="009070BD">
        <w:rPr>
          <w:b w:val="0"/>
          <w:lang w:val="hy-AM"/>
        </w:rPr>
        <w:t>հզորացման</w:t>
      </w:r>
      <w:r w:rsidRPr="009070BD">
        <w:rPr>
          <w:b w:val="0"/>
          <w:lang w:val="af-ZA"/>
        </w:rPr>
        <w:t xml:space="preserve"> </w:t>
      </w:r>
      <w:r w:rsidRPr="009070BD">
        <w:rPr>
          <w:b w:val="0"/>
          <w:lang w:val="hy-AM"/>
        </w:rPr>
        <w:t>և</w:t>
      </w:r>
      <w:r w:rsidRPr="009070BD">
        <w:rPr>
          <w:b w:val="0"/>
          <w:lang w:val="af-ZA"/>
        </w:rPr>
        <w:t xml:space="preserve"> </w:t>
      </w:r>
      <w:r w:rsidRPr="009070BD">
        <w:rPr>
          <w:b w:val="0"/>
          <w:lang w:val="hy-AM"/>
        </w:rPr>
        <w:t>ֆերմերների</w:t>
      </w:r>
      <w:r w:rsidRPr="009070BD">
        <w:rPr>
          <w:b w:val="0"/>
          <w:lang w:val="af-ZA"/>
        </w:rPr>
        <w:t xml:space="preserve"> </w:t>
      </w:r>
      <w:r w:rsidRPr="009070BD">
        <w:rPr>
          <w:b w:val="0"/>
          <w:lang w:val="hy-AM"/>
        </w:rPr>
        <w:t>արտադրանքի</w:t>
      </w:r>
      <w:r w:rsidRPr="009070BD">
        <w:rPr>
          <w:b w:val="0"/>
          <w:lang w:val="af-ZA"/>
        </w:rPr>
        <w:t xml:space="preserve"> </w:t>
      </w:r>
      <w:r w:rsidRPr="009070BD">
        <w:rPr>
          <w:b w:val="0"/>
          <w:lang w:val="hy-AM"/>
        </w:rPr>
        <w:t>եկամտաբերությունն</w:t>
      </w:r>
      <w:r w:rsidRPr="009070BD">
        <w:rPr>
          <w:b w:val="0"/>
          <w:lang w:val="af-ZA"/>
        </w:rPr>
        <w:t xml:space="preserve"> </w:t>
      </w:r>
      <w:r w:rsidRPr="009070BD">
        <w:rPr>
          <w:b w:val="0"/>
          <w:lang w:val="hy-AM"/>
        </w:rPr>
        <w:t>ավելացնելու</w:t>
      </w:r>
      <w:r w:rsidRPr="009070BD">
        <w:rPr>
          <w:b w:val="0"/>
          <w:lang w:val="af-ZA"/>
        </w:rPr>
        <w:t xml:space="preserve"> </w:t>
      </w:r>
      <w:r w:rsidRPr="009070BD">
        <w:rPr>
          <w:b w:val="0"/>
          <w:lang w:val="hy-AM"/>
        </w:rPr>
        <w:t>հնարավորություններ</w:t>
      </w:r>
      <w:r w:rsidRPr="009070BD">
        <w:rPr>
          <w:b w:val="0"/>
          <w:lang w:val="af-ZA"/>
        </w:rPr>
        <w:t xml:space="preserve"> </w:t>
      </w:r>
      <w:r w:rsidRPr="009070BD">
        <w:rPr>
          <w:b w:val="0"/>
          <w:lang w:val="hy-AM"/>
        </w:rPr>
        <w:t>ստեղծելու</w:t>
      </w:r>
      <w:r w:rsidRPr="009070BD">
        <w:rPr>
          <w:b w:val="0"/>
          <w:lang w:val="af-ZA"/>
        </w:rPr>
        <w:t xml:space="preserve"> </w:t>
      </w:r>
      <w:r w:rsidRPr="009070BD">
        <w:rPr>
          <w:b w:val="0"/>
          <w:lang w:val="hy-AM"/>
        </w:rPr>
        <w:t xml:space="preserve">միջոցով՝ </w:t>
      </w:r>
      <w:r w:rsidRPr="009070BD">
        <w:rPr>
          <w:b w:val="0"/>
          <w:iCs/>
          <w:lang w:val="hy-AM"/>
        </w:rPr>
        <w:t>2021թ</w:t>
      </w:r>
      <w:r w:rsidRPr="009070BD">
        <w:rPr>
          <w:rFonts w:cs="Sylfaen"/>
          <w:b w:val="0"/>
          <w:lang w:val="it-IT"/>
        </w:rPr>
        <w:t xml:space="preserve"> նախատեսվում է </w:t>
      </w:r>
      <w:r w:rsidR="00F018CD">
        <w:rPr>
          <w:b w:val="0"/>
          <w:iCs/>
          <w:lang w:val="hy-AM"/>
        </w:rPr>
        <w:t>3</w:t>
      </w:r>
      <w:r w:rsidRPr="009070BD">
        <w:rPr>
          <w:b w:val="0"/>
          <w:iCs/>
          <w:lang w:val="hy-AM"/>
        </w:rPr>
        <w:t>6</w:t>
      </w:r>
      <w:r w:rsidR="00F018CD" w:rsidRPr="00F018CD">
        <w:rPr>
          <w:b w:val="0"/>
          <w:iCs/>
          <w:lang w:val="hy-AM"/>
        </w:rPr>
        <w:t>.0</w:t>
      </w:r>
      <w:r w:rsidRPr="009070BD">
        <w:rPr>
          <w:b w:val="0"/>
          <w:iCs/>
          <w:lang w:val="hy-AM"/>
        </w:rPr>
        <w:t xml:space="preserve"> </w:t>
      </w:r>
      <w:r w:rsidRPr="009070BD">
        <w:rPr>
          <w:rFonts w:cs="Sylfaen"/>
          <w:b w:val="0"/>
          <w:iCs/>
          <w:lang w:val="af-ZA"/>
        </w:rPr>
        <w:t xml:space="preserve">մլն դրամ </w:t>
      </w:r>
      <w:r w:rsidRPr="009070BD">
        <w:rPr>
          <w:b w:val="0"/>
          <w:bCs/>
          <w:iCs/>
          <w:lang w:val="hy-AM"/>
        </w:rPr>
        <w:t xml:space="preserve">դրամաշնորհային միջոցներ: </w:t>
      </w:r>
    </w:p>
    <w:p w:rsidR="00B36A46" w:rsidRPr="009070BD" w:rsidRDefault="00B36A46" w:rsidP="007730AA">
      <w:pPr>
        <w:spacing w:before="0" w:line="276" w:lineRule="auto"/>
        <w:ind w:firstLine="720"/>
        <w:rPr>
          <w:b w:val="0"/>
          <w:bCs/>
          <w:iCs/>
          <w:lang w:val="hy-AM"/>
        </w:rPr>
      </w:pPr>
      <w:r w:rsidRPr="009070BD">
        <w:rPr>
          <w:szCs w:val="22"/>
          <w:lang w:val="hy-AM" w:eastAsia="en-US"/>
        </w:rPr>
        <w:t>9</w:t>
      </w:r>
      <w:r w:rsidRPr="009070BD">
        <w:rPr>
          <w:szCs w:val="22"/>
          <w:lang w:val="fr-FR" w:eastAsia="en-US"/>
        </w:rPr>
        <w:t xml:space="preserve">. Զարգացման ֆրանսիական գործակալության աջակցությամբ իրականացվող ՀՀ Արարատի և Արմավիրի մարզերում ոռոգվող գյուղատնտեսության զարգացման դրամաշնորհային ծրագիր, </w:t>
      </w:r>
      <w:r w:rsidRPr="009070BD">
        <w:rPr>
          <w:b w:val="0"/>
          <w:szCs w:val="22"/>
          <w:lang w:val="fr-FR" w:eastAsia="en-US"/>
        </w:rPr>
        <w:t>որի</w:t>
      </w:r>
      <w:r w:rsidRPr="009070BD">
        <w:rPr>
          <w:szCs w:val="22"/>
          <w:lang w:val="fr-FR" w:eastAsia="en-US"/>
        </w:rPr>
        <w:t xml:space="preserve"> </w:t>
      </w:r>
      <w:r w:rsidRPr="009070BD">
        <w:rPr>
          <w:b w:val="0"/>
          <w:bCs/>
          <w:iCs/>
          <w:szCs w:val="22"/>
          <w:lang w:val="af-ZA" w:eastAsia="en-US"/>
        </w:rPr>
        <w:t xml:space="preserve">նպատակն է տեխնիկական աջակցության և ներդրումների միջոցով արդի ոռոգման զարգացումը՝ վերացնելով ջրի պահեստավորման, ոռոգման ենթակառուցվածքների, հողերի կոնսոլիդացիայի և խորհրդատվական ծառայությունների հետ կապված խոչընդոտները՝ </w:t>
      </w:r>
      <w:r w:rsidRPr="009070BD">
        <w:rPr>
          <w:rFonts w:cs="Sylfaen"/>
          <w:b w:val="0"/>
          <w:lang w:val="it-IT"/>
        </w:rPr>
        <w:t>202</w:t>
      </w:r>
      <w:r w:rsidRPr="009070BD">
        <w:rPr>
          <w:rFonts w:cs="Sylfaen"/>
          <w:b w:val="0"/>
          <w:lang w:val="hy-AM"/>
        </w:rPr>
        <w:t>1</w:t>
      </w:r>
      <w:r w:rsidRPr="009070BD">
        <w:rPr>
          <w:rFonts w:cs="Sylfaen"/>
          <w:b w:val="0"/>
          <w:lang w:val="it-IT"/>
        </w:rPr>
        <w:t xml:space="preserve">թ.-ին նախատեսվում է </w:t>
      </w:r>
      <w:r w:rsidR="00F018CD" w:rsidRPr="00F018CD">
        <w:rPr>
          <w:rFonts w:cs="Sylfaen"/>
          <w:b w:val="0"/>
          <w:lang w:val="hy-AM"/>
        </w:rPr>
        <w:t>799.9</w:t>
      </w:r>
      <w:r w:rsidRPr="009070BD">
        <w:rPr>
          <w:rFonts w:cs="Sylfaen"/>
          <w:b w:val="0"/>
          <w:lang w:val="it-IT"/>
        </w:rPr>
        <w:t xml:space="preserve"> </w:t>
      </w:r>
      <w:r w:rsidRPr="009070BD">
        <w:rPr>
          <w:rFonts w:cs="Sylfaen"/>
          <w:b w:val="0"/>
          <w:iCs/>
          <w:lang w:val="af-ZA"/>
        </w:rPr>
        <w:t xml:space="preserve">մլն դրամ, </w:t>
      </w:r>
      <w:r w:rsidRPr="009070BD">
        <w:rPr>
          <w:b w:val="0"/>
          <w:bCs/>
          <w:iCs/>
          <w:lang w:val="hy-AM"/>
        </w:rPr>
        <w:t xml:space="preserve">այդ թվում դրամաշնորհային միջոցներ` </w:t>
      </w:r>
      <w:r w:rsidR="00F018CD" w:rsidRPr="00F018CD">
        <w:rPr>
          <w:b w:val="0"/>
          <w:bCs/>
          <w:iCs/>
          <w:lang w:val="hy-AM"/>
        </w:rPr>
        <w:t>639.9</w:t>
      </w:r>
      <w:r w:rsidRPr="009070BD">
        <w:rPr>
          <w:b w:val="0"/>
          <w:bCs/>
          <w:iCs/>
          <w:lang w:val="hy-AM"/>
        </w:rPr>
        <w:t xml:space="preserve"> </w:t>
      </w:r>
      <w:r w:rsidRPr="009070BD">
        <w:rPr>
          <w:rFonts w:cs="Sylfaen"/>
          <w:b w:val="0"/>
          <w:iCs/>
          <w:lang w:val="af-ZA"/>
        </w:rPr>
        <w:t>մլն դրամ</w:t>
      </w:r>
      <w:r w:rsidRPr="009070BD">
        <w:rPr>
          <w:b w:val="0"/>
          <w:bCs/>
          <w:iCs/>
          <w:lang w:val="hy-AM"/>
        </w:rPr>
        <w:t xml:space="preserve">, ՀՀ համաֆինանսավորում` </w:t>
      </w:r>
      <w:r w:rsidR="00F018CD" w:rsidRPr="00F018CD">
        <w:rPr>
          <w:b w:val="0"/>
          <w:bCs/>
          <w:iCs/>
          <w:lang w:val="hy-AM"/>
        </w:rPr>
        <w:t>160.0</w:t>
      </w:r>
      <w:r w:rsidRPr="009070BD">
        <w:rPr>
          <w:b w:val="0"/>
          <w:bCs/>
          <w:iCs/>
          <w:lang w:val="it-IT"/>
        </w:rPr>
        <w:t xml:space="preserve"> </w:t>
      </w:r>
      <w:r w:rsidRPr="009070BD">
        <w:rPr>
          <w:rFonts w:cs="Sylfaen"/>
          <w:b w:val="0"/>
          <w:iCs/>
          <w:lang w:val="af-ZA"/>
        </w:rPr>
        <w:t>մլն դրա</w:t>
      </w:r>
      <w:r w:rsidRPr="009070BD">
        <w:rPr>
          <w:rFonts w:cs="Sylfaen"/>
          <w:b w:val="0"/>
          <w:iCs/>
          <w:lang w:val="hy-AM"/>
        </w:rPr>
        <w:t>մ</w:t>
      </w:r>
      <w:r w:rsidRPr="009070BD">
        <w:rPr>
          <w:b w:val="0"/>
          <w:bCs/>
          <w:iCs/>
          <w:lang w:val="hy-AM"/>
        </w:rPr>
        <w:t>:</w:t>
      </w:r>
    </w:p>
    <w:p w:rsidR="00B36A46" w:rsidRPr="009070BD" w:rsidRDefault="00B36A46" w:rsidP="007730AA">
      <w:pPr>
        <w:spacing w:before="0" w:line="276" w:lineRule="auto"/>
        <w:ind w:firstLine="720"/>
        <w:rPr>
          <w:b w:val="0"/>
          <w:bCs/>
          <w:iCs/>
          <w:lang w:val="hy-AM"/>
        </w:rPr>
      </w:pPr>
      <w:r w:rsidRPr="009070BD">
        <w:rPr>
          <w:rFonts w:cs="Sylfaen"/>
          <w:bCs/>
          <w:iCs/>
          <w:lang w:val="af-ZA"/>
        </w:rPr>
        <w:t>1</w:t>
      </w:r>
      <w:r w:rsidRPr="009070BD">
        <w:rPr>
          <w:rFonts w:cs="Sylfaen"/>
          <w:bCs/>
          <w:iCs/>
          <w:lang w:val="hy-AM"/>
        </w:rPr>
        <w:t>0</w:t>
      </w:r>
      <w:r w:rsidRPr="009070BD">
        <w:rPr>
          <w:rFonts w:cs="Sylfaen"/>
          <w:bCs/>
          <w:iCs/>
          <w:lang w:val="af-ZA"/>
        </w:rPr>
        <w:t xml:space="preserve"> Գերմանիայի զարգացման վարկերի բանկի (KFW) հետ համատեղ գ</w:t>
      </w:r>
      <w:r w:rsidRPr="009070BD">
        <w:rPr>
          <w:rFonts w:cs="Sylfaen"/>
          <w:lang w:val="af-ZA"/>
        </w:rPr>
        <w:t>յուղատնտեսության ոլորտում ապահովագրական համակարգի ներդրման փորձնական ծրագրի իրականացման համար պետական աջակցություն</w:t>
      </w:r>
      <w:r w:rsidRPr="009070BD">
        <w:rPr>
          <w:rFonts w:cs="Sylfaen"/>
          <w:b w:val="0"/>
          <w:lang w:val="af-ZA"/>
        </w:rPr>
        <w:t xml:space="preserve"> </w:t>
      </w:r>
      <w:r w:rsidRPr="009070BD">
        <w:rPr>
          <w:b w:val="0"/>
          <w:lang w:val="hy-AM"/>
        </w:rPr>
        <w:t>միջոցառման</w:t>
      </w:r>
      <w:r w:rsidRPr="009070BD">
        <w:rPr>
          <w:b w:val="0"/>
          <w:lang w:val="af-ZA"/>
        </w:rPr>
        <w:t xml:space="preserve"> </w:t>
      </w:r>
      <w:r w:rsidRPr="009070BD">
        <w:rPr>
          <w:b w:val="0"/>
          <w:lang w:val="hy-AM"/>
        </w:rPr>
        <w:t>հիմնական</w:t>
      </w:r>
      <w:r w:rsidRPr="009070BD">
        <w:rPr>
          <w:b w:val="0"/>
          <w:lang w:val="af-ZA"/>
        </w:rPr>
        <w:t xml:space="preserve"> </w:t>
      </w:r>
      <w:r w:rsidRPr="009070BD">
        <w:rPr>
          <w:b w:val="0"/>
          <w:lang w:val="hy-AM"/>
        </w:rPr>
        <w:t>նպատակը</w:t>
      </w:r>
      <w:r w:rsidRPr="009070BD">
        <w:rPr>
          <w:b w:val="0"/>
          <w:lang w:val="af-ZA"/>
        </w:rPr>
        <w:t xml:space="preserve"> </w:t>
      </w:r>
      <w:r w:rsidRPr="009070BD">
        <w:rPr>
          <w:b w:val="0"/>
          <w:lang w:val="hy-AM"/>
        </w:rPr>
        <w:t>ապահովա</w:t>
      </w:r>
      <w:r w:rsidRPr="009070BD">
        <w:rPr>
          <w:b w:val="0"/>
          <w:lang w:val="af-ZA"/>
        </w:rPr>
        <w:softHyphen/>
      </w:r>
      <w:r w:rsidRPr="009070BD">
        <w:rPr>
          <w:b w:val="0"/>
          <w:lang w:val="hy-AM"/>
        </w:rPr>
        <w:t>գրական</w:t>
      </w:r>
      <w:r w:rsidRPr="009070BD">
        <w:rPr>
          <w:b w:val="0"/>
          <w:lang w:val="af-ZA"/>
        </w:rPr>
        <w:t xml:space="preserve"> </w:t>
      </w:r>
      <w:r w:rsidRPr="009070BD">
        <w:rPr>
          <w:b w:val="0"/>
          <w:lang w:val="hy-AM"/>
        </w:rPr>
        <w:t>համակարգի</w:t>
      </w:r>
      <w:r w:rsidRPr="009070BD">
        <w:rPr>
          <w:b w:val="0"/>
          <w:lang w:val="af-ZA"/>
        </w:rPr>
        <w:t xml:space="preserve"> </w:t>
      </w:r>
      <w:r w:rsidRPr="009070BD">
        <w:rPr>
          <w:b w:val="0"/>
          <w:lang w:val="hy-AM"/>
        </w:rPr>
        <w:t>աստիճանական</w:t>
      </w:r>
      <w:r w:rsidRPr="009070BD">
        <w:rPr>
          <w:b w:val="0"/>
          <w:lang w:val="af-ZA"/>
        </w:rPr>
        <w:t xml:space="preserve"> </w:t>
      </w:r>
      <w:r w:rsidRPr="009070BD">
        <w:rPr>
          <w:b w:val="0"/>
          <w:lang w:val="hy-AM"/>
        </w:rPr>
        <w:t>ներդրման</w:t>
      </w:r>
      <w:r w:rsidRPr="009070BD">
        <w:rPr>
          <w:b w:val="0"/>
          <w:lang w:val="af-ZA"/>
        </w:rPr>
        <w:t xml:space="preserve"> </w:t>
      </w:r>
      <w:r w:rsidRPr="009070BD">
        <w:rPr>
          <w:b w:val="0"/>
          <w:lang w:val="hy-AM"/>
        </w:rPr>
        <w:t>նախադրյալների</w:t>
      </w:r>
      <w:r w:rsidRPr="009070BD">
        <w:rPr>
          <w:b w:val="0"/>
          <w:lang w:val="af-ZA"/>
        </w:rPr>
        <w:t xml:space="preserve"> </w:t>
      </w:r>
      <w:r w:rsidRPr="009070BD">
        <w:rPr>
          <w:b w:val="0"/>
          <w:lang w:val="hy-AM"/>
        </w:rPr>
        <w:t>ստեղծումը</w:t>
      </w:r>
      <w:r w:rsidRPr="009070BD">
        <w:rPr>
          <w:b w:val="0"/>
          <w:lang w:val="af-ZA"/>
        </w:rPr>
        <w:t xml:space="preserve"> </w:t>
      </w:r>
      <w:r w:rsidRPr="009070BD">
        <w:rPr>
          <w:b w:val="0"/>
          <w:lang w:val="hy-AM"/>
        </w:rPr>
        <w:t>և</w:t>
      </w:r>
      <w:r w:rsidRPr="009070BD">
        <w:rPr>
          <w:b w:val="0"/>
          <w:lang w:val="af-ZA"/>
        </w:rPr>
        <w:t xml:space="preserve"> </w:t>
      </w:r>
      <w:r w:rsidRPr="009070BD">
        <w:rPr>
          <w:b w:val="0"/>
          <w:lang w:val="hy-AM"/>
        </w:rPr>
        <w:t>ապահովա</w:t>
      </w:r>
      <w:r w:rsidRPr="009070BD">
        <w:rPr>
          <w:b w:val="0"/>
          <w:lang w:val="af-ZA"/>
        </w:rPr>
        <w:softHyphen/>
      </w:r>
      <w:r w:rsidRPr="009070BD">
        <w:rPr>
          <w:b w:val="0"/>
          <w:lang w:val="hy-AM"/>
        </w:rPr>
        <w:t>գրական</w:t>
      </w:r>
      <w:r w:rsidRPr="009070BD">
        <w:rPr>
          <w:b w:val="0"/>
          <w:lang w:val="af-ZA"/>
        </w:rPr>
        <w:t xml:space="preserve"> </w:t>
      </w:r>
      <w:r w:rsidRPr="009070BD">
        <w:rPr>
          <w:b w:val="0"/>
          <w:lang w:val="hy-AM"/>
        </w:rPr>
        <w:t>համակարգի</w:t>
      </w:r>
      <w:r w:rsidRPr="009070BD">
        <w:rPr>
          <w:b w:val="0"/>
          <w:lang w:val="af-ZA"/>
        </w:rPr>
        <w:t xml:space="preserve"> </w:t>
      </w:r>
      <w:r w:rsidRPr="009070BD">
        <w:rPr>
          <w:b w:val="0"/>
          <w:lang w:val="hy-AM"/>
        </w:rPr>
        <w:t>ներդրման</w:t>
      </w:r>
      <w:r w:rsidRPr="009070BD">
        <w:rPr>
          <w:b w:val="0"/>
          <w:lang w:val="af-ZA"/>
        </w:rPr>
        <w:t xml:space="preserve"> </w:t>
      </w:r>
      <w:r w:rsidRPr="009070BD">
        <w:rPr>
          <w:b w:val="0"/>
          <w:lang w:val="hy-AM"/>
        </w:rPr>
        <w:t>հիմնական</w:t>
      </w:r>
      <w:r w:rsidRPr="009070BD">
        <w:rPr>
          <w:b w:val="0"/>
          <w:lang w:val="af-ZA"/>
        </w:rPr>
        <w:t xml:space="preserve"> </w:t>
      </w:r>
      <w:r w:rsidRPr="009070BD">
        <w:rPr>
          <w:b w:val="0"/>
          <w:lang w:val="hy-AM"/>
        </w:rPr>
        <w:t>մոտեցումների</w:t>
      </w:r>
      <w:r w:rsidRPr="009070BD">
        <w:rPr>
          <w:b w:val="0"/>
          <w:lang w:val="af-ZA"/>
        </w:rPr>
        <w:t xml:space="preserve"> </w:t>
      </w:r>
      <w:r w:rsidRPr="009070BD">
        <w:rPr>
          <w:b w:val="0"/>
          <w:lang w:val="hy-AM"/>
        </w:rPr>
        <w:t>հստակեցումն</w:t>
      </w:r>
      <w:r w:rsidRPr="009070BD">
        <w:rPr>
          <w:b w:val="0"/>
          <w:lang w:val="af-ZA"/>
        </w:rPr>
        <w:t xml:space="preserve"> </w:t>
      </w:r>
      <w:r w:rsidRPr="009070BD">
        <w:rPr>
          <w:b w:val="0"/>
          <w:lang w:val="hy-AM"/>
        </w:rPr>
        <w:t>է</w:t>
      </w:r>
      <w:r w:rsidRPr="009070BD">
        <w:rPr>
          <w:b w:val="0"/>
          <w:lang w:val="af-ZA"/>
        </w:rPr>
        <w:t xml:space="preserve">: </w:t>
      </w:r>
      <w:r w:rsidRPr="009070BD">
        <w:rPr>
          <w:b w:val="0"/>
          <w:lang w:val="hy-AM"/>
        </w:rPr>
        <w:t>Միջոցառումը</w:t>
      </w:r>
      <w:r w:rsidRPr="009070BD">
        <w:rPr>
          <w:b w:val="0"/>
          <w:lang w:val="af-ZA"/>
        </w:rPr>
        <w:t xml:space="preserve"> </w:t>
      </w:r>
      <w:r w:rsidRPr="009070BD">
        <w:rPr>
          <w:b w:val="0"/>
          <w:lang w:val="hy-AM"/>
        </w:rPr>
        <w:t>նախատեսվում</w:t>
      </w:r>
      <w:r w:rsidRPr="009070BD">
        <w:rPr>
          <w:b w:val="0"/>
          <w:lang w:val="af-ZA"/>
        </w:rPr>
        <w:t xml:space="preserve"> </w:t>
      </w:r>
      <w:r w:rsidRPr="009070BD">
        <w:rPr>
          <w:b w:val="0"/>
          <w:lang w:val="hy-AM"/>
        </w:rPr>
        <w:t>է</w:t>
      </w:r>
      <w:r w:rsidRPr="009070BD">
        <w:rPr>
          <w:b w:val="0"/>
          <w:lang w:val="af-ZA"/>
        </w:rPr>
        <w:t xml:space="preserve"> </w:t>
      </w:r>
      <w:r w:rsidRPr="009070BD">
        <w:rPr>
          <w:b w:val="0"/>
          <w:lang w:val="hy-AM"/>
        </w:rPr>
        <w:t>իրականացնել</w:t>
      </w:r>
      <w:r w:rsidRPr="009070BD">
        <w:rPr>
          <w:b w:val="0"/>
          <w:lang w:val="af-ZA"/>
        </w:rPr>
        <w:t xml:space="preserve"> </w:t>
      </w:r>
      <w:r w:rsidRPr="009070BD">
        <w:rPr>
          <w:b w:val="0"/>
          <w:lang w:val="hy-AM"/>
        </w:rPr>
        <w:t>պետական</w:t>
      </w:r>
      <w:r w:rsidRPr="009070BD">
        <w:rPr>
          <w:b w:val="0"/>
          <w:lang w:val="af-ZA"/>
        </w:rPr>
        <w:t xml:space="preserve"> </w:t>
      </w:r>
      <w:r w:rsidRPr="009070BD">
        <w:rPr>
          <w:b w:val="0"/>
          <w:lang w:val="hy-AM"/>
        </w:rPr>
        <w:t>աջակցությամբ</w:t>
      </w:r>
      <w:r w:rsidRPr="009070BD">
        <w:rPr>
          <w:b w:val="0"/>
          <w:lang w:val="af-ZA"/>
        </w:rPr>
        <w:t xml:space="preserve">, </w:t>
      </w:r>
      <w:r w:rsidRPr="009070BD">
        <w:rPr>
          <w:b w:val="0"/>
          <w:lang w:val="hy-AM"/>
        </w:rPr>
        <w:t>որի</w:t>
      </w:r>
      <w:r w:rsidRPr="009070BD">
        <w:rPr>
          <w:b w:val="0"/>
          <w:lang w:val="af-ZA"/>
        </w:rPr>
        <w:t xml:space="preserve"> </w:t>
      </w:r>
      <w:r w:rsidRPr="009070BD">
        <w:rPr>
          <w:b w:val="0"/>
          <w:lang w:val="hy-AM"/>
        </w:rPr>
        <w:t>շրջանակներում</w:t>
      </w:r>
      <w:r w:rsidRPr="009070BD">
        <w:rPr>
          <w:b w:val="0"/>
          <w:lang w:val="af-ZA"/>
        </w:rPr>
        <w:t xml:space="preserve"> </w:t>
      </w:r>
      <w:r w:rsidRPr="009070BD">
        <w:rPr>
          <w:b w:val="0"/>
          <w:lang w:val="hy-AM"/>
        </w:rPr>
        <w:t>մասնակի</w:t>
      </w:r>
      <w:r w:rsidRPr="009070BD">
        <w:rPr>
          <w:b w:val="0"/>
          <w:lang w:val="af-ZA"/>
        </w:rPr>
        <w:t xml:space="preserve"> </w:t>
      </w:r>
      <w:r w:rsidRPr="009070BD">
        <w:rPr>
          <w:b w:val="0"/>
          <w:lang w:val="hy-AM"/>
        </w:rPr>
        <w:t>կսուբսիդավորվի</w:t>
      </w:r>
      <w:r w:rsidRPr="009070BD">
        <w:rPr>
          <w:b w:val="0"/>
          <w:lang w:val="af-ZA"/>
        </w:rPr>
        <w:t xml:space="preserve"> </w:t>
      </w:r>
      <w:r w:rsidRPr="009070BD">
        <w:rPr>
          <w:b w:val="0"/>
          <w:lang w:val="hy-AM"/>
        </w:rPr>
        <w:t>փորձնական</w:t>
      </w:r>
      <w:r w:rsidRPr="009070BD">
        <w:rPr>
          <w:b w:val="0"/>
          <w:lang w:val="af-ZA"/>
        </w:rPr>
        <w:t xml:space="preserve"> </w:t>
      </w:r>
      <w:r w:rsidRPr="009070BD">
        <w:rPr>
          <w:b w:val="0"/>
          <w:lang w:val="hy-AM"/>
        </w:rPr>
        <w:t>ծրագրին</w:t>
      </w:r>
      <w:r w:rsidRPr="009070BD">
        <w:rPr>
          <w:b w:val="0"/>
          <w:lang w:val="af-ZA"/>
        </w:rPr>
        <w:t xml:space="preserve"> </w:t>
      </w:r>
      <w:r w:rsidRPr="009070BD">
        <w:rPr>
          <w:b w:val="0"/>
          <w:lang w:val="hy-AM"/>
        </w:rPr>
        <w:t>մասնակից</w:t>
      </w:r>
      <w:r w:rsidRPr="009070BD">
        <w:rPr>
          <w:b w:val="0"/>
          <w:lang w:val="af-ZA"/>
        </w:rPr>
        <w:t xml:space="preserve"> </w:t>
      </w:r>
      <w:r w:rsidRPr="009070BD">
        <w:rPr>
          <w:b w:val="0"/>
          <w:lang w:val="hy-AM"/>
        </w:rPr>
        <w:t>տնտեսավարողների</w:t>
      </w:r>
      <w:r w:rsidRPr="009070BD">
        <w:rPr>
          <w:b w:val="0"/>
          <w:lang w:val="af-ZA"/>
        </w:rPr>
        <w:t xml:space="preserve"> </w:t>
      </w:r>
      <w:r w:rsidRPr="009070BD">
        <w:rPr>
          <w:b w:val="0"/>
          <w:lang w:val="hy-AM"/>
        </w:rPr>
        <w:t>ապահովագրավճարը</w:t>
      </w:r>
      <w:r w:rsidRPr="009070BD">
        <w:rPr>
          <w:b w:val="0"/>
          <w:lang w:val="af-ZA"/>
        </w:rPr>
        <w:t xml:space="preserve"> </w:t>
      </w:r>
      <w:r w:rsidRPr="009070BD">
        <w:rPr>
          <w:b w:val="0"/>
          <w:lang w:val="hy-AM"/>
        </w:rPr>
        <w:t>և</w:t>
      </w:r>
      <w:r w:rsidRPr="009070BD">
        <w:rPr>
          <w:b w:val="0"/>
          <w:lang w:val="af-ZA"/>
        </w:rPr>
        <w:t xml:space="preserve"> </w:t>
      </w:r>
      <w:r w:rsidRPr="009070BD">
        <w:rPr>
          <w:b w:val="0"/>
          <w:lang w:val="hy-AM"/>
        </w:rPr>
        <w:t>կցուցաբերվի</w:t>
      </w:r>
      <w:r w:rsidRPr="009070BD">
        <w:rPr>
          <w:b w:val="0"/>
          <w:lang w:val="af-ZA"/>
        </w:rPr>
        <w:t xml:space="preserve"> </w:t>
      </w:r>
      <w:r w:rsidRPr="009070BD">
        <w:rPr>
          <w:b w:val="0"/>
          <w:lang w:val="hy-AM"/>
        </w:rPr>
        <w:t>կազմակերպական</w:t>
      </w:r>
      <w:r w:rsidRPr="009070BD">
        <w:rPr>
          <w:b w:val="0"/>
          <w:lang w:val="af-ZA"/>
        </w:rPr>
        <w:t xml:space="preserve"> </w:t>
      </w:r>
      <w:r w:rsidRPr="009070BD">
        <w:rPr>
          <w:b w:val="0"/>
          <w:lang w:val="hy-AM"/>
        </w:rPr>
        <w:t>աջակցություն</w:t>
      </w:r>
      <w:r w:rsidRPr="009070BD">
        <w:rPr>
          <w:b w:val="0"/>
          <w:lang w:val="af-ZA"/>
        </w:rPr>
        <w:t>:</w:t>
      </w:r>
      <w:r w:rsidRPr="009070BD">
        <w:rPr>
          <w:rFonts w:cs="Sylfaen"/>
          <w:b w:val="0"/>
          <w:lang w:val="hy-AM"/>
        </w:rPr>
        <w:t xml:space="preserve"> </w:t>
      </w:r>
      <w:r w:rsidRPr="009070BD">
        <w:rPr>
          <w:rFonts w:cs="Sylfaen"/>
          <w:b w:val="0"/>
          <w:lang w:val="it-IT"/>
        </w:rPr>
        <w:t>202</w:t>
      </w:r>
      <w:r w:rsidRPr="009070BD">
        <w:rPr>
          <w:rFonts w:cs="Sylfaen"/>
          <w:b w:val="0"/>
          <w:lang w:val="hy-AM"/>
        </w:rPr>
        <w:t>1</w:t>
      </w:r>
      <w:r w:rsidRPr="009070BD">
        <w:rPr>
          <w:rFonts w:cs="Sylfaen"/>
          <w:b w:val="0"/>
          <w:lang w:val="it-IT"/>
        </w:rPr>
        <w:t xml:space="preserve">թ.-ին նախատեսվում է </w:t>
      </w:r>
      <w:r w:rsidR="00C85B13" w:rsidRPr="00C85B13">
        <w:rPr>
          <w:rFonts w:cs="Sylfaen"/>
          <w:b w:val="0"/>
          <w:lang w:val="hy-AM"/>
        </w:rPr>
        <w:t>499.9</w:t>
      </w:r>
      <w:r w:rsidRPr="009070BD">
        <w:rPr>
          <w:rFonts w:cs="Sylfaen"/>
          <w:b w:val="0"/>
          <w:lang w:val="it-IT"/>
        </w:rPr>
        <w:t xml:space="preserve"> </w:t>
      </w:r>
      <w:r w:rsidRPr="009070BD">
        <w:rPr>
          <w:rFonts w:cs="Sylfaen"/>
          <w:b w:val="0"/>
          <w:iCs/>
          <w:lang w:val="af-ZA"/>
        </w:rPr>
        <w:t xml:space="preserve">մլն դրամ, </w:t>
      </w:r>
      <w:r w:rsidRPr="009070BD">
        <w:rPr>
          <w:b w:val="0"/>
          <w:bCs/>
          <w:iCs/>
          <w:lang w:val="hy-AM"/>
        </w:rPr>
        <w:t xml:space="preserve">այդ թվում դրամաշնորհային միջոցներ` </w:t>
      </w:r>
      <w:r w:rsidR="00C85B13" w:rsidRPr="00C85B13">
        <w:rPr>
          <w:b w:val="0"/>
          <w:bCs/>
          <w:iCs/>
          <w:lang w:val="hy-AM"/>
        </w:rPr>
        <w:t>249.9</w:t>
      </w:r>
      <w:r w:rsidRPr="009070BD">
        <w:rPr>
          <w:b w:val="0"/>
          <w:bCs/>
          <w:iCs/>
          <w:lang w:val="hy-AM"/>
        </w:rPr>
        <w:t xml:space="preserve"> </w:t>
      </w:r>
      <w:r w:rsidRPr="009070BD">
        <w:rPr>
          <w:rFonts w:cs="Sylfaen"/>
          <w:b w:val="0"/>
          <w:iCs/>
          <w:lang w:val="af-ZA"/>
        </w:rPr>
        <w:t>մլն դրամ</w:t>
      </w:r>
      <w:r w:rsidRPr="009070BD">
        <w:rPr>
          <w:b w:val="0"/>
          <w:bCs/>
          <w:iCs/>
          <w:lang w:val="hy-AM"/>
        </w:rPr>
        <w:t xml:space="preserve">, ՀՀ համաֆինանսավորում` </w:t>
      </w:r>
      <w:r w:rsidR="00C85B13" w:rsidRPr="00C85B13">
        <w:rPr>
          <w:b w:val="0"/>
          <w:bCs/>
          <w:iCs/>
          <w:lang w:val="hy-AM"/>
        </w:rPr>
        <w:t>249.9</w:t>
      </w:r>
      <w:r w:rsidRPr="009070BD">
        <w:rPr>
          <w:b w:val="0"/>
          <w:bCs/>
          <w:iCs/>
          <w:lang w:val="it-IT"/>
        </w:rPr>
        <w:t xml:space="preserve"> </w:t>
      </w:r>
      <w:r w:rsidRPr="009070BD">
        <w:rPr>
          <w:rFonts w:cs="Sylfaen"/>
          <w:b w:val="0"/>
          <w:iCs/>
          <w:lang w:val="af-ZA"/>
        </w:rPr>
        <w:t>մլն դրա</w:t>
      </w:r>
      <w:r w:rsidRPr="009070BD">
        <w:rPr>
          <w:rFonts w:cs="Sylfaen"/>
          <w:b w:val="0"/>
          <w:iCs/>
          <w:lang w:val="hy-AM"/>
        </w:rPr>
        <w:t>մ</w:t>
      </w:r>
      <w:r w:rsidRPr="009070BD">
        <w:rPr>
          <w:b w:val="0"/>
          <w:bCs/>
          <w:iCs/>
          <w:lang w:val="hy-AM"/>
        </w:rPr>
        <w:t>:</w:t>
      </w:r>
    </w:p>
    <w:p w:rsidR="00B36A46" w:rsidRPr="00F744E0" w:rsidRDefault="00B36A46" w:rsidP="007730AA">
      <w:pPr>
        <w:spacing w:before="0" w:line="276" w:lineRule="auto"/>
        <w:ind w:firstLine="720"/>
        <w:contextualSpacing w:val="0"/>
        <w:jc w:val="left"/>
        <w:rPr>
          <w:rFonts w:ascii="Calibri" w:eastAsia="Calibri" w:hAnsi="Calibri"/>
          <w:b w:val="0"/>
          <w:szCs w:val="22"/>
          <w:lang w:val="hy-AM" w:eastAsia="en-US"/>
        </w:rPr>
      </w:pPr>
      <w:r w:rsidRPr="00F744E0">
        <w:rPr>
          <w:b w:val="0"/>
          <w:szCs w:val="22"/>
          <w:lang w:val="hy-AM"/>
        </w:rPr>
        <w:t>Այս</w:t>
      </w:r>
      <w:r w:rsidRPr="00F744E0">
        <w:rPr>
          <w:b w:val="0"/>
          <w:szCs w:val="22"/>
          <w:lang w:val="pt-BR"/>
        </w:rPr>
        <w:t xml:space="preserve"> </w:t>
      </w:r>
      <w:r w:rsidRPr="00F744E0">
        <w:rPr>
          <w:b w:val="0"/>
          <w:szCs w:val="22"/>
          <w:lang w:val="hy-AM"/>
        </w:rPr>
        <w:t>ոլորտում</w:t>
      </w:r>
      <w:r w:rsidRPr="00F744E0">
        <w:rPr>
          <w:b w:val="0"/>
          <w:szCs w:val="22"/>
          <w:lang w:val="pt-BR"/>
        </w:rPr>
        <w:t xml:space="preserve"> </w:t>
      </w:r>
      <w:r w:rsidRPr="00F744E0">
        <w:rPr>
          <w:b w:val="0"/>
          <w:szCs w:val="22"/>
          <w:lang w:val="hy-AM"/>
        </w:rPr>
        <w:t>Նախագծով</w:t>
      </w:r>
      <w:r w:rsidRPr="00F744E0">
        <w:rPr>
          <w:b w:val="0"/>
          <w:szCs w:val="22"/>
          <w:lang w:val="pt-BR"/>
        </w:rPr>
        <w:t xml:space="preserve"> </w:t>
      </w:r>
      <w:r w:rsidRPr="00F744E0">
        <w:rPr>
          <w:rFonts w:cs="Sylfaen"/>
          <w:b w:val="0"/>
          <w:szCs w:val="22"/>
          <w:lang w:val="hy-AM"/>
        </w:rPr>
        <w:t>(առանց կառավարման ապարատի)</w:t>
      </w:r>
      <w:r w:rsidRPr="00F744E0">
        <w:rPr>
          <w:rFonts w:cs="Sylfaen"/>
          <w:b w:val="0"/>
          <w:szCs w:val="22"/>
          <w:lang w:val="af-ZA"/>
        </w:rPr>
        <w:t xml:space="preserve"> </w:t>
      </w:r>
      <w:r w:rsidRPr="00F744E0">
        <w:rPr>
          <w:b w:val="0"/>
          <w:szCs w:val="22"/>
          <w:lang w:val="hy-AM"/>
        </w:rPr>
        <w:t>նախատեսվող</w:t>
      </w:r>
      <w:r w:rsidRPr="00F744E0">
        <w:rPr>
          <w:b w:val="0"/>
          <w:szCs w:val="22"/>
          <w:lang w:val="pt-BR"/>
        </w:rPr>
        <w:t xml:space="preserve"> </w:t>
      </w:r>
      <w:r w:rsidRPr="00F744E0">
        <w:rPr>
          <w:b w:val="0"/>
          <w:szCs w:val="22"/>
          <w:lang w:val="hy-AM"/>
        </w:rPr>
        <w:t>բյուջետային</w:t>
      </w:r>
      <w:r w:rsidRPr="00F744E0">
        <w:rPr>
          <w:b w:val="0"/>
          <w:szCs w:val="22"/>
          <w:lang w:val="pt-BR"/>
        </w:rPr>
        <w:t xml:space="preserve"> </w:t>
      </w:r>
      <w:r w:rsidRPr="00F744E0">
        <w:rPr>
          <w:b w:val="0"/>
          <w:szCs w:val="22"/>
          <w:lang w:val="hy-AM"/>
        </w:rPr>
        <w:t>ծախսերի</w:t>
      </w:r>
      <w:r w:rsidRPr="00F744E0">
        <w:rPr>
          <w:b w:val="0"/>
          <w:szCs w:val="22"/>
          <w:lang w:val="pt-BR"/>
        </w:rPr>
        <w:t xml:space="preserve"> </w:t>
      </w:r>
      <w:r w:rsidRPr="00F744E0">
        <w:rPr>
          <w:b w:val="0"/>
          <w:szCs w:val="22"/>
          <w:lang w:val="hy-AM"/>
        </w:rPr>
        <w:t>համեմատությունը</w:t>
      </w:r>
      <w:r w:rsidRPr="00F744E0">
        <w:rPr>
          <w:b w:val="0"/>
          <w:szCs w:val="22"/>
          <w:lang w:val="pt-BR"/>
        </w:rPr>
        <w:t xml:space="preserve"> </w:t>
      </w:r>
      <w:r w:rsidRPr="00F744E0">
        <w:rPr>
          <w:b w:val="0"/>
          <w:szCs w:val="22"/>
          <w:lang w:val="hy-AM"/>
        </w:rPr>
        <w:t xml:space="preserve">ՀՀ </w:t>
      </w:r>
      <w:r w:rsidRPr="00F744E0">
        <w:rPr>
          <w:b w:val="0"/>
          <w:szCs w:val="22"/>
          <w:lang w:val="pt-BR"/>
        </w:rPr>
        <w:t>201</w:t>
      </w:r>
      <w:r w:rsidRPr="00F744E0">
        <w:rPr>
          <w:b w:val="0"/>
          <w:szCs w:val="22"/>
          <w:lang w:val="hy-AM"/>
        </w:rPr>
        <w:t>9</w:t>
      </w:r>
      <w:r w:rsidRPr="00F744E0">
        <w:rPr>
          <w:b w:val="0"/>
          <w:szCs w:val="22"/>
          <w:lang w:val="pt-BR"/>
        </w:rPr>
        <w:t xml:space="preserve"> </w:t>
      </w:r>
      <w:r w:rsidRPr="00F744E0">
        <w:rPr>
          <w:b w:val="0"/>
          <w:szCs w:val="22"/>
          <w:lang w:val="hy-AM"/>
        </w:rPr>
        <w:t>թվականի</w:t>
      </w:r>
      <w:r w:rsidRPr="00F744E0">
        <w:rPr>
          <w:b w:val="0"/>
          <w:szCs w:val="22"/>
          <w:lang w:val="pt-BR"/>
        </w:rPr>
        <w:t xml:space="preserve"> </w:t>
      </w:r>
      <w:r w:rsidRPr="00F744E0">
        <w:rPr>
          <w:b w:val="0"/>
          <w:szCs w:val="22"/>
          <w:lang w:val="hy-AM"/>
        </w:rPr>
        <w:t>բյուջետային</w:t>
      </w:r>
      <w:r w:rsidRPr="00F744E0">
        <w:rPr>
          <w:b w:val="0"/>
          <w:szCs w:val="22"/>
          <w:lang w:val="pt-BR"/>
        </w:rPr>
        <w:t xml:space="preserve"> </w:t>
      </w:r>
      <w:r w:rsidRPr="00F744E0">
        <w:rPr>
          <w:b w:val="0"/>
          <w:szCs w:val="22"/>
          <w:lang w:val="hy-AM"/>
        </w:rPr>
        <w:t>տարվա</w:t>
      </w:r>
      <w:r w:rsidRPr="00F744E0">
        <w:rPr>
          <w:b w:val="0"/>
          <w:szCs w:val="22"/>
          <w:lang w:val="pt-BR"/>
        </w:rPr>
        <w:t xml:space="preserve"> </w:t>
      </w:r>
      <w:r w:rsidRPr="00F744E0">
        <w:rPr>
          <w:b w:val="0"/>
          <w:szCs w:val="22"/>
          <w:lang w:val="hy-AM"/>
        </w:rPr>
        <w:t>փաստացի</w:t>
      </w:r>
      <w:r w:rsidRPr="00F744E0">
        <w:rPr>
          <w:b w:val="0"/>
          <w:szCs w:val="22"/>
          <w:lang w:val="pt-BR"/>
        </w:rPr>
        <w:t xml:space="preserve"> </w:t>
      </w:r>
      <w:r w:rsidRPr="00F744E0">
        <w:rPr>
          <w:b w:val="0"/>
          <w:szCs w:val="22"/>
          <w:lang w:val="hy-AM"/>
        </w:rPr>
        <w:t>և</w:t>
      </w:r>
      <w:r w:rsidRPr="00F744E0">
        <w:rPr>
          <w:b w:val="0"/>
          <w:szCs w:val="22"/>
          <w:lang w:val="pt-BR"/>
        </w:rPr>
        <w:t xml:space="preserve"> </w:t>
      </w:r>
      <w:r w:rsidRPr="00F744E0">
        <w:rPr>
          <w:b w:val="0"/>
          <w:szCs w:val="22"/>
          <w:lang w:val="hy-AM"/>
        </w:rPr>
        <w:t xml:space="preserve">ՀՀ </w:t>
      </w:r>
      <w:r w:rsidRPr="00F744E0">
        <w:rPr>
          <w:b w:val="0"/>
          <w:szCs w:val="22"/>
          <w:lang w:val="pt-BR"/>
        </w:rPr>
        <w:t>20</w:t>
      </w:r>
      <w:r w:rsidRPr="00F744E0">
        <w:rPr>
          <w:b w:val="0"/>
          <w:szCs w:val="22"/>
          <w:lang w:val="hy-AM"/>
        </w:rPr>
        <w:t>20 թվականի</w:t>
      </w:r>
      <w:r w:rsidRPr="00F744E0">
        <w:rPr>
          <w:b w:val="0"/>
          <w:szCs w:val="22"/>
          <w:lang w:val="pt-BR"/>
        </w:rPr>
        <w:t xml:space="preserve"> </w:t>
      </w:r>
      <w:r w:rsidRPr="00F744E0">
        <w:rPr>
          <w:b w:val="0"/>
          <w:szCs w:val="22"/>
          <w:lang w:val="hy-AM"/>
        </w:rPr>
        <w:t>հաստատված</w:t>
      </w:r>
      <w:r w:rsidRPr="00F744E0">
        <w:rPr>
          <w:b w:val="0"/>
          <w:szCs w:val="22"/>
          <w:lang w:val="pt-BR"/>
        </w:rPr>
        <w:t xml:space="preserve"> </w:t>
      </w:r>
      <w:r w:rsidRPr="00F744E0">
        <w:rPr>
          <w:b w:val="0"/>
          <w:szCs w:val="22"/>
          <w:lang w:val="hy-AM"/>
        </w:rPr>
        <w:t>պետական</w:t>
      </w:r>
      <w:r w:rsidRPr="00F744E0">
        <w:rPr>
          <w:b w:val="0"/>
          <w:szCs w:val="22"/>
          <w:lang w:val="pt-BR"/>
        </w:rPr>
        <w:t xml:space="preserve"> </w:t>
      </w:r>
      <w:r w:rsidRPr="00F744E0">
        <w:rPr>
          <w:b w:val="0"/>
          <w:szCs w:val="22"/>
          <w:lang w:val="hy-AM"/>
        </w:rPr>
        <w:t>բյուջեի</w:t>
      </w:r>
      <w:r w:rsidRPr="00F744E0">
        <w:rPr>
          <w:b w:val="0"/>
          <w:szCs w:val="22"/>
          <w:lang w:val="pt-BR"/>
        </w:rPr>
        <w:t xml:space="preserve"> </w:t>
      </w:r>
      <w:r w:rsidRPr="00F744E0">
        <w:rPr>
          <w:b w:val="0"/>
          <w:szCs w:val="22"/>
          <w:lang w:val="hy-AM"/>
        </w:rPr>
        <w:t>համապատասխան</w:t>
      </w:r>
      <w:r w:rsidRPr="00F744E0">
        <w:rPr>
          <w:b w:val="0"/>
          <w:szCs w:val="22"/>
          <w:lang w:val="pt-BR"/>
        </w:rPr>
        <w:t xml:space="preserve"> </w:t>
      </w:r>
      <w:r w:rsidRPr="00F744E0">
        <w:rPr>
          <w:b w:val="0"/>
          <w:szCs w:val="22"/>
          <w:lang w:val="hy-AM"/>
        </w:rPr>
        <w:t>ցուցանիշների</w:t>
      </w:r>
      <w:r w:rsidRPr="00F744E0">
        <w:rPr>
          <w:b w:val="0"/>
          <w:szCs w:val="22"/>
          <w:lang w:val="pt-BR"/>
        </w:rPr>
        <w:t xml:space="preserve"> </w:t>
      </w:r>
      <w:r w:rsidRPr="00F744E0">
        <w:rPr>
          <w:b w:val="0"/>
          <w:szCs w:val="22"/>
          <w:lang w:val="hy-AM"/>
        </w:rPr>
        <w:t>հետ</w:t>
      </w:r>
      <w:r w:rsidRPr="00F744E0">
        <w:rPr>
          <w:b w:val="0"/>
          <w:szCs w:val="22"/>
          <w:lang w:val="pt-BR"/>
        </w:rPr>
        <w:t xml:space="preserve"> </w:t>
      </w:r>
      <w:r w:rsidRPr="00F744E0">
        <w:rPr>
          <w:b w:val="0"/>
          <w:szCs w:val="22"/>
          <w:lang w:val="hy-AM"/>
        </w:rPr>
        <w:t>արտացոլված</w:t>
      </w:r>
      <w:r w:rsidRPr="00F744E0">
        <w:rPr>
          <w:b w:val="0"/>
          <w:szCs w:val="22"/>
          <w:lang w:val="pt-BR"/>
        </w:rPr>
        <w:t xml:space="preserve"> </w:t>
      </w:r>
      <w:r w:rsidRPr="00F744E0">
        <w:rPr>
          <w:b w:val="0"/>
          <w:szCs w:val="22"/>
          <w:lang w:val="hy-AM"/>
        </w:rPr>
        <w:t>է</w:t>
      </w:r>
      <w:r w:rsidRPr="00F744E0">
        <w:rPr>
          <w:b w:val="0"/>
          <w:szCs w:val="22"/>
          <w:lang w:val="pt-BR"/>
        </w:rPr>
        <w:t xml:space="preserve"> </w:t>
      </w:r>
      <w:r w:rsidRPr="00F744E0">
        <w:rPr>
          <w:b w:val="0"/>
          <w:szCs w:val="22"/>
          <w:lang w:val="hy-AM"/>
        </w:rPr>
        <w:t>սույն</w:t>
      </w:r>
      <w:r w:rsidRPr="00F744E0">
        <w:rPr>
          <w:b w:val="0"/>
          <w:szCs w:val="22"/>
          <w:lang w:val="pt-BR"/>
        </w:rPr>
        <w:t xml:space="preserve"> </w:t>
      </w:r>
      <w:r w:rsidRPr="00F744E0">
        <w:rPr>
          <w:b w:val="0"/>
          <w:szCs w:val="22"/>
          <w:lang w:val="hy-AM"/>
        </w:rPr>
        <w:t>բացատրագրի</w:t>
      </w:r>
      <w:r w:rsidRPr="00F744E0">
        <w:rPr>
          <w:b w:val="0"/>
          <w:szCs w:val="22"/>
          <w:lang w:val="pt-BR"/>
        </w:rPr>
        <w:t xml:space="preserve"> N 13 </w:t>
      </w:r>
      <w:r w:rsidRPr="00F744E0">
        <w:rPr>
          <w:b w:val="0"/>
          <w:szCs w:val="22"/>
          <w:lang w:val="hy-AM"/>
        </w:rPr>
        <w:t>աղյուսակում</w:t>
      </w:r>
      <w:r w:rsidRPr="00F744E0">
        <w:rPr>
          <w:b w:val="0"/>
          <w:szCs w:val="22"/>
          <w:lang w:val="pt-BR"/>
        </w:rPr>
        <w:t>:</w:t>
      </w:r>
    </w:p>
    <w:p w:rsidR="00060470" w:rsidRPr="009070BD" w:rsidRDefault="004D4C68" w:rsidP="007730AA">
      <w:pPr>
        <w:keepNext/>
        <w:spacing w:before="0" w:line="276" w:lineRule="auto"/>
        <w:ind w:firstLine="720"/>
        <w:contextualSpacing w:val="0"/>
        <w:outlineLvl w:val="2"/>
        <w:rPr>
          <w:rFonts w:cs="Arial"/>
          <w:szCs w:val="26"/>
          <w:lang w:val="hy-AM" w:eastAsia="en-US"/>
        </w:rPr>
      </w:pPr>
      <w:bookmarkStart w:id="233" w:name="_Toc57655481"/>
      <w:r w:rsidRPr="009070BD">
        <w:rPr>
          <w:rFonts w:cs="Arial"/>
          <w:szCs w:val="26"/>
          <w:lang w:val="hy-AM" w:eastAsia="en-US"/>
        </w:rPr>
        <w:t xml:space="preserve">ՀՀ արտակարգ իրավիճակների </w:t>
      </w:r>
      <w:r w:rsidR="008C00B8" w:rsidRPr="009070BD">
        <w:rPr>
          <w:rFonts w:cs="Arial"/>
          <w:szCs w:val="26"/>
          <w:lang w:val="hy-AM" w:eastAsia="en-US"/>
        </w:rPr>
        <w:t>նախարարությու</w:t>
      </w:r>
      <w:r w:rsidRPr="009070BD">
        <w:rPr>
          <w:rFonts w:cs="Arial"/>
          <w:szCs w:val="26"/>
          <w:lang w:val="hy-AM" w:eastAsia="en-US"/>
        </w:rPr>
        <w:t>ն</w:t>
      </w:r>
      <w:bookmarkEnd w:id="233"/>
    </w:p>
    <w:p w:rsidR="00420245" w:rsidRPr="009070BD" w:rsidRDefault="000E65CF" w:rsidP="007730AA">
      <w:pPr>
        <w:autoSpaceDE w:val="0"/>
        <w:autoSpaceDN w:val="0"/>
        <w:adjustRightInd w:val="0"/>
        <w:spacing w:before="0" w:line="276" w:lineRule="auto"/>
        <w:ind w:firstLine="720"/>
        <w:contextualSpacing w:val="0"/>
        <w:rPr>
          <w:b w:val="0"/>
          <w:szCs w:val="22"/>
          <w:lang w:val="fr-FR" w:eastAsia="en-US"/>
        </w:rPr>
      </w:pPr>
      <w:r w:rsidRPr="009070BD">
        <w:rPr>
          <w:b w:val="0"/>
          <w:szCs w:val="22"/>
          <w:lang w:val="fr-FR" w:eastAsia="en-US"/>
        </w:rPr>
        <w:tab/>
      </w:r>
      <w:r w:rsidR="00420245" w:rsidRPr="009070BD">
        <w:rPr>
          <w:b w:val="0"/>
          <w:szCs w:val="22"/>
          <w:lang w:val="fr-FR" w:eastAsia="en-US"/>
        </w:rPr>
        <w:t>ՀՀ արտակարգ իրավիճակների նախարարության գծով 2021 թվականի Նախագծով  նախատեսվում է հատկացնել 13,051.2 մլն դրամ (առանց կառավարման ապարատի):</w:t>
      </w:r>
    </w:p>
    <w:p w:rsidR="00420245" w:rsidRPr="009070BD" w:rsidRDefault="00420245" w:rsidP="007730AA">
      <w:pPr>
        <w:autoSpaceDE w:val="0"/>
        <w:autoSpaceDN w:val="0"/>
        <w:adjustRightInd w:val="0"/>
        <w:spacing w:before="0" w:line="276" w:lineRule="auto"/>
        <w:ind w:firstLine="720"/>
        <w:contextualSpacing w:val="0"/>
        <w:rPr>
          <w:b w:val="0"/>
          <w:szCs w:val="22"/>
          <w:lang w:val="fr-FR" w:eastAsia="en-US"/>
        </w:rPr>
      </w:pPr>
      <w:r w:rsidRPr="009070BD">
        <w:rPr>
          <w:b w:val="0"/>
          <w:szCs w:val="22"/>
          <w:lang w:val="fr-FR" w:eastAsia="en-US"/>
        </w:rPr>
        <w:tab/>
        <w:t>Հատկացվելիք միջոցներն ուղղվելու են հետևյալ ծրագրերի իրականացմանը.</w:t>
      </w:r>
    </w:p>
    <w:p w:rsidR="00420245" w:rsidRPr="009070BD" w:rsidRDefault="00420245" w:rsidP="007730AA">
      <w:pPr>
        <w:autoSpaceDE w:val="0"/>
        <w:autoSpaceDN w:val="0"/>
        <w:adjustRightInd w:val="0"/>
        <w:spacing w:before="0" w:line="276" w:lineRule="auto"/>
        <w:ind w:firstLine="720"/>
        <w:contextualSpacing w:val="0"/>
        <w:rPr>
          <w:b w:val="0"/>
          <w:szCs w:val="22"/>
          <w:lang w:val="fr-FR" w:eastAsia="en-US"/>
        </w:rPr>
      </w:pPr>
      <w:r w:rsidRPr="009070BD">
        <w:rPr>
          <w:b w:val="0"/>
          <w:szCs w:val="22"/>
          <w:lang w:val="fr-FR" w:eastAsia="en-US"/>
        </w:rPr>
        <w:t xml:space="preserve"> «Տեխնիկական անվտանգության կանոնակարգում» ծրագրով նախատեսվում է «Տեխնիկական անվտանգության կանոնակարգման ծառայություններ» միջոցառումը, որի համար ՀՀ 2021 թվականի պետական բյուջեի Նախագծով նախատեսվում է 46.3 մլն դրամ` ՀՀ 2020 թվականի պետական բյուջեով հաստատված գումարի չափին համապատասխան:</w:t>
      </w:r>
    </w:p>
    <w:p w:rsidR="00420245" w:rsidRPr="009070BD" w:rsidRDefault="00420245" w:rsidP="007730AA">
      <w:pPr>
        <w:autoSpaceDE w:val="0"/>
        <w:autoSpaceDN w:val="0"/>
        <w:adjustRightInd w:val="0"/>
        <w:spacing w:before="0" w:line="276" w:lineRule="auto"/>
        <w:ind w:firstLine="720"/>
        <w:contextualSpacing w:val="0"/>
        <w:rPr>
          <w:b w:val="0"/>
          <w:szCs w:val="22"/>
          <w:lang w:val="fr-FR" w:eastAsia="en-US"/>
        </w:rPr>
      </w:pPr>
      <w:r w:rsidRPr="009070BD">
        <w:rPr>
          <w:b w:val="0"/>
          <w:szCs w:val="22"/>
          <w:lang w:val="fr-FR" w:eastAsia="en-US"/>
        </w:rPr>
        <w:t>Ծրագրի նպատակն է Հայաստանի Հանրապետության տարածքում տեխնածին վթարների կանխարգելումը, դրանց հետևանքների վերացումը, նման վթարների հետևանքով հասարակությանը և տնտեսությանը հասցվող վնասների ռիսկի նվազեցումը, ինչպես նաև բնակչության և շրջակա միջավայրի պաշտպանությունը:</w:t>
      </w:r>
    </w:p>
    <w:p w:rsidR="00420245" w:rsidRPr="009070BD" w:rsidRDefault="00420245" w:rsidP="007730AA">
      <w:pPr>
        <w:autoSpaceDE w:val="0"/>
        <w:autoSpaceDN w:val="0"/>
        <w:adjustRightInd w:val="0"/>
        <w:spacing w:before="0" w:line="276" w:lineRule="auto"/>
        <w:ind w:firstLine="720"/>
        <w:contextualSpacing w:val="0"/>
        <w:rPr>
          <w:b w:val="0"/>
          <w:szCs w:val="22"/>
          <w:lang w:val="fr-FR" w:eastAsia="en-US"/>
        </w:rPr>
      </w:pPr>
      <w:r w:rsidRPr="009070BD">
        <w:rPr>
          <w:b w:val="0"/>
          <w:szCs w:val="22"/>
          <w:lang w:val="fr-FR" w:eastAsia="en-US"/>
        </w:rPr>
        <w:t>Սեյսմիկ պաշտպանության ծրագրով նախատեսվում է Սեյսմիկ պաշտպանության ոլորտում ծառայությունների տրամադրում միջոցառումը, որի համար ՀՀ 2021 թվականի պետական բյուջեի Նախագծով նախատեսվում է 803.5 մլն դրամ` ՀՀ 2020 թվականի պետական բյուջեով հաստատված ցուցանիշից 85.1 մլն դրամով պակաս` պայմանավորված 2020թ. Նաիրիտ գործարան ՓԲԸ-ի սարքավորումների անվտանգ պահպանման համար 54.0 մլն դրամ և «Ռուս-հայկական մարդասիրական արձագանքման կենտրոն» ՄՈԱԿ-ի  6 ամսվա պահպանման համար  15,5 մլն դրամ (տարվա կտրվածքով նվազեցումը կկազմի 31,0 մլն դրամ) հատկացմամբ:</w:t>
      </w:r>
    </w:p>
    <w:p w:rsidR="00420245" w:rsidRPr="009070BD" w:rsidRDefault="00420245" w:rsidP="007730AA">
      <w:pPr>
        <w:autoSpaceDE w:val="0"/>
        <w:autoSpaceDN w:val="0"/>
        <w:adjustRightInd w:val="0"/>
        <w:spacing w:before="0" w:line="276" w:lineRule="auto"/>
        <w:ind w:firstLine="720"/>
        <w:contextualSpacing w:val="0"/>
        <w:rPr>
          <w:b w:val="0"/>
          <w:szCs w:val="22"/>
          <w:lang w:val="fr-FR" w:eastAsia="en-US"/>
        </w:rPr>
      </w:pPr>
      <w:r w:rsidRPr="009070BD">
        <w:rPr>
          <w:b w:val="0"/>
          <w:szCs w:val="22"/>
          <w:lang w:val="fr-FR" w:eastAsia="en-US"/>
        </w:rPr>
        <w:t>Միջոցառման նպատակն է Հայաստանի Հանրապետության տարածքում սեյսմիկ վտանգի և ռիսկի գնահատումը, սեյսմիկ ռիսկի նվազեցումը:</w:t>
      </w:r>
    </w:p>
    <w:p w:rsidR="00420245" w:rsidRPr="009070BD" w:rsidRDefault="00420245" w:rsidP="007730AA">
      <w:pPr>
        <w:autoSpaceDE w:val="0"/>
        <w:autoSpaceDN w:val="0"/>
        <w:adjustRightInd w:val="0"/>
        <w:spacing w:before="0" w:line="276" w:lineRule="auto"/>
        <w:ind w:firstLine="720"/>
        <w:contextualSpacing w:val="0"/>
        <w:rPr>
          <w:b w:val="0"/>
          <w:szCs w:val="22"/>
          <w:lang w:val="fr-FR" w:eastAsia="en-US"/>
        </w:rPr>
      </w:pPr>
      <w:r w:rsidRPr="009070BD">
        <w:rPr>
          <w:b w:val="0"/>
          <w:szCs w:val="22"/>
          <w:lang w:val="fr-FR" w:eastAsia="en-US"/>
        </w:rPr>
        <w:t>«Փրկարար ծառայություններ» միջոցառման շրջանակներում նախատեսվում է իրականացնել հրդեհաշիջման, հակահրդեհային քարոզչության, բնական և տեխնածին աղետների ժամանակ բնակչության և կառույցների պաշտպանություն: Նշված միջոցառման գծով ՀՀ 2021 թվականի պետական բյուջեի նախագծով նախատեսվել է 11,665.0 մլն դրամ՝ ՀՀ 2020 թվականի պետական բյուջեի նկատմաբ աճը կազմում է 335.1 մլն դրամ, պայմանավորված՝ աշխատանքի վարձատրության փոփոխությամբ, ՀՓՋ-ների վերանորոգմամբ, հենակետերի գազիֆիկացմամբ, փրկարար ծառայողների համազգեստի ձեռք բերմամբ, փրկարարական նյութերի և գործիքների ձեռք բերմամբ և այլն</w:t>
      </w:r>
    </w:p>
    <w:p w:rsidR="00420245" w:rsidRPr="009070BD" w:rsidRDefault="00420245" w:rsidP="007730AA">
      <w:pPr>
        <w:autoSpaceDE w:val="0"/>
        <w:autoSpaceDN w:val="0"/>
        <w:adjustRightInd w:val="0"/>
        <w:spacing w:before="0" w:line="276" w:lineRule="auto"/>
        <w:ind w:firstLine="720"/>
        <w:contextualSpacing w:val="0"/>
        <w:rPr>
          <w:b w:val="0"/>
          <w:szCs w:val="22"/>
          <w:lang w:val="fr-FR" w:eastAsia="en-US"/>
        </w:rPr>
      </w:pPr>
      <w:r w:rsidRPr="009070BD">
        <w:rPr>
          <w:b w:val="0"/>
          <w:szCs w:val="22"/>
          <w:lang w:val="fr-FR" w:eastAsia="en-US"/>
        </w:rPr>
        <w:t xml:space="preserve">«Փրկարար ծառայողներին և փրկարար շներին դեղորայքով ապահովում» միջոցառման շրջանակներում նախատեսվում է ձեռք բերել փրկարար ծառայողների համար անհրաժեշտ առաջին օգնության դեղորայք և վիրակապական նյութեր, ինչպես նաև փրկարար ծառայության փրկարարական ուժերի վարչության հատուկ նշանակության փրկարարական աշխատանքների իրականացման կենտրոնի կինոլոգիական խմբին հատուկ որոնողափրկարարական և սակրավորական աշխատանքների իրականացման համար նախատեսված 8 փրկարարական շների պատվաստանյութեր: Նշված միջոցառման գծով ՀՀ 2021 թվականի պետական բյուջեի նախագծով նախատեսվել է 0.9 մլն դրամ` ՀՀ 2020 թվականի պետական բյուջեով հաստատված գումարի չափով: </w:t>
      </w:r>
    </w:p>
    <w:p w:rsidR="00420245" w:rsidRPr="009070BD" w:rsidRDefault="00420245" w:rsidP="007730AA">
      <w:pPr>
        <w:autoSpaceDE w:val="0"/>
        <w:autoSpaceDN w:val="0"/>
        <w:adjustRightInd w:val="0"/>
        <w:spacing w:before="0" w:line="276" w:lineRule="auto"/>
        <w:ind w:firstLine="720"/>
        <w:contextualSpacing w:val="0"/>
        <w:rPr>
          <w:b w:val="0"/>
          <w:szCs w:val="22"/>
          <w:lang w:val="fr-FR" w:eastAsia="en-US"/>
        </w:rPr>
      </w:pPr>
      <w:r w:rsidRPr="009070BD">
        <w:rPr>
          <w:b w:val="0"/>
          <w:szCs w:val="22"/>
          <w:lang w:val="fr-FR" w:eastAsia="en-US"/>
        </w:rPr>
        <w:t>«Պետական աջակցություն Ռուս-հայկական մարդասիրական արձագանքման կենտրոնին» (այսուհետ՝ ՄՈԱԿ) միջոցառման շրջանակներում նախատեսվում է իրականացնել ՀՀ, ՌԴ և երրորդ երկրների տարածքում արտակարգ իրավիճակների կանխարգելման աշխատանքների մասնակցություն և արտակարգ իրավիճակներից տուժած բնակչությանը մարդասիրական օգնության ցուցաբերում: Նշված միջոցառման գծով ՀՀ 2021 թվականի պետական բյուջեի նախագծով նախատեսվել է 38.8 մլն դրամ` ՀՀ 2020 թվականի պետական բյուջեի նկատմամբ աճը կազմում է 31.1 մլն մլն դրամ, պայմանավորված՝ ՄՈԱԿ-ի 19 նոր հաստիքների պահպանման ծախսերի իրականացմամբ:</w:t>
      </w:r>
    </w:p>
    <w:p w:rsidR="00420245" w:rsidRPr="009070BD" w:rsidRDefault="00420245" w:rsidP="007730AA">
      <w:pPr>
        <w:autoSpaceDE w:val="0"/>
        <w:autoSpaceDN w:val="0"/>
        <w:adjustRightInd w:val="0"/>
        <w:spacing w:before="0" w:line="276" w:lineRule="auto"/>
        <w:ind w:firstLine="720"/>
        <w:contextualSpacing w:val="0"/>
        <w:rPr>
          <w:b w:val="0"/>
          <w:szCs w:val="22"/>
          <w:lang w:val="fr-FR" w:eastAsia="en-US"/>
        </w:rPr>
      </w:pPr>
      <w:r w:rsidRPr="009070BD">
        <w:rPr>
          <w:b w:val="0"/>
          <w:szCs w:val="22"/>
          <w:lang w:val="fr-FR" w:eastAsia="en-US"/>
        </w:rPr>
        <w:t>«Պետական ռեզերվների պահպանում», «Նյութական ռեսուրսների ՀՀ պետական պահուստի ձևավորում և պահպանում» միջոցառումների շրջանակներում նախատեսվում է իրականացնել ՀՀ պետական ռեզերվների գործակալության համակարգի հիմնարկների պահպանում և պետական պահուստի կուտակում, ամբարում և թարմացում: Նշված միջոցառումների գծով ՀՀ 2021 թվականի պետական բյուջեի նախագծով նախա</w:t>
      </w:r>
      <w:r w:rsidRPr="009070BD">
        <w:rPr>
          <w:b w:val="0"/>
          <w:szCs w:val="22"/>
          <w:lang w:val="fr-FR" w:eastAsia="en-US"/>
        </w:rPr>
        <w:softHyphen/>
        <w:t>տեսվել է 359.7 մլն դրամ՝ ՀՀ 2020 թվականի պետական բյուջեով հաստատված գումարի չափով:</w:t>
      </w:r>
    </w:p>
    <w:p w:rsidR="009F4194" w:rsidRPr="00105608" w:rsidRDefault="009F4194" w:rsidP="007730AA">
      <w:pPr>
        <w:keepNext/>
        <w:spacing w:before="0" w:line="276" w:lineRule="auto"/>
        <w:ind w:firstLine="720"/>
        <w:contextualSpacing w:val="0"/>
        <w:jc w:val="center"/>
        <w:outlineLvl w:val="2"/>
        <w:rPr>
          <w:rFonts w:cs="Arial"/>
          <w:szCs w:val="26"/>
          <w:lang w:val="hy-AM" w:eastAsia="en-US"/>
        </w:rPr>
      </w:pPr>
      <w:bookmarkStart w:id="234" w:name="_Toc57655482"/>
      <w:r w:rsidRPr="00105608">
        <w:rPr>
          <w:rFonts w:cs="Arial"/>
          <w:szCs w:val="26"/>
          <w:lang w:val="hy-AM" w:eastAsia="en-US"/>
        </w:rPr>
        <w:t>ՀՀ արդարադատության նախարարությ</w:t>
      </w:r>
      <w:r w:rsidR="00823D17" w:rsidRPr="00105608">
        <w:rPr>
          <w:rFonts w:cs="Arial"/>
          <w:szCs w:val="26"/>
          <w:lang w:val="hy-AM" w:eastAsia="en-US"/>
        </w:rPr>
        <w:t>ուն</w:t>
      </w:r>
      <w:bookmarkEnd w:id="234"/>
    </w:p>
    <w:p w:rsidR="00847EE3" w:rsidRPr="00847EE3" w:rsidRDefault="00847EE3" w:rsidP="007730AA">
      <w:pPr>
        <w:keepNext/>
        <w:spacing w:before="0" w:line="276" w:lineRule="auto"/>
        <w:ind w:firstLine="720"/>
        <w:contextualSpacing w:val="0"/>
        <w:jc w:val="left"/>
        <w:outlineLvl w:val="2"/>
        <w:rPr>
          <w:rFonts w:cs="Arial"/>
          <w:color w:val="000000" w:themeColor="text1"/>
          <w:szCs w:val="22"/>
          <w:lang w:val="hy-AM" w:eastAsia="en-US"/>
        </w:rPr>
      </w:pPr>
      <w:bookmarkStart w:id="235" w:name="_Toc57655483"/>
      <w:r w:rsidRPr="00847EE3">
        <w:rPr>
          <w:rFonts w:cs="Sylfaen"/>
          <w:color w:val="000000" w:themeColor="text1"/>
          <w:szCs w:val="22"/>
          <w:lang w:val="hy-AM"/>
        </w:rPr>
        <w:t>«Քրեակատարողական ծառայություններ»</w:t>
      </w:r>
      <w:r w:rsidRPr="00847EE3">
        <w:rPr>
          <w:color w:val="000000" w:themeColor="text1"/>
          <w:szCs w:val="22"/>
          <w:lang w:val="hy-AM"/>
        </w:rPr>
        <w:t xml:space="preserve"> ծրագրի շրջանակներում`</w:t>
      </w:r>
      <w:bookmarkEnd w:id="235"/>
    </w:p>
    <w:p w:rsidR="00847EE3" w:rsidRPr="00847EE3" w:rsidRDefault="00847EE3" w:rsidP="007730AA">
      <w:pPr>
        <w:widowControl w:val="0"/>
        <w:spacing w:before="0" w:line="276" w:lineRule="auto"/>
        <w:ind w:firstLine="720"/>
        <w:rPr>
          <w:rFonts w:cs="Sylfaen"/>
          <w:b w:val="0"/>
          <w:color w:val="000000" w:themeColor="text1"/>
          <w:szCs w:val="22"/>
          <w:lang w:val="hy-AM"/>
        </w:rPr>
      </w:pPr>
      <w:r w:rsidRPr="00847EE3">
        <w:rPr>
          <w:rFonts w:cs="Sylfaen"/>
          <w:b w:val="0"/>
          <w:color w:val="000000" w:themeColor="text1"/>
          <w:szCs w:val="22"/>
          <w:lang w:val="hy-AM"/>
        </w:rPr>
        <w:t xml:space="preserve">«Քրեակատարողական ծառայություններ» միջոցառման գծով նախատեսվում է դատապարտյալների վերահսկողության, կալանավայրերում կացության ապահովման, սոցիալ-հոգեբանական վերականգնման, ուսուցման աշխատանքների, մշակութային և մարզական միջոցառումների իրականացում: </w:t>
      </w:r>
    </w:p>
    <w:p w:rsidR="00847EE3" w:rsidRPr="00847EE3" w:rsidRDefault="00847EE3" w:rsidP="007730AA">
      <w:pPr>
        <w:widowControl w:val="0"/>
        <w:spacing w:before="0" w:line="276" w:lineRule="auto"/>
        <w:ind w:firstLine="720"/>
        <w:rPr>
          <w:rFonts w:cs="Sylfaen"/>
          <w:b w:val="0"/>
          <w:color w:val="000000" w:themeColor="text1"/>
          <w:szCs w:val="22"/>
          <w:lang w:val="hy-AM"/>
        </w:rPr>
      </w:pPr>
      <w:r w:rsidRPr="00847EE3">
        <w:rPr>
          <w:rFonts w:cs="Sylfaen"/>
          <w:b w:val="0"/>
          <w:color w:val="000000" w:themeColor="text1"/>
          <w:szCs w:val="22"/>
          <w:lang w:val="hy-AM"/>
        </w:rPr>
        <w:t>Նշված միջոցառումների գծով ՀՀ</w:t>
      </w:r>
      <w:r w:rsidRPr="00847EE3">
        <w:rPr>
          <w:rFonts w:cs="Sylfaen"/>
          <w:b w:val="0"/>
          <w:color w:val="000000" w:themeColor="text1"/>
          <w:szCs w:val="22"/>
          <w:lang w:val="af-ZA"/>
        </w:rPr>
        <w:t xml:space="preserve"> 20</w:t>
      </w:r>
      <w:r w:rsidRPr="00847EE3">
        <w:rPr>
          <w:rFonts w:cs="Sylfaen"/>
          <w:b w:val="0"/>
          <w:color w:val="000000" w:themeColor="text1"/>
          <w:szCs w:val="22"/>
          <w:lang w:val="hy-AM"/>
        </w:rPr>
        <w:t>21</w:t>
      </w:r>
      <w:r w:rsidRPr="00847EE3">
        <w:rPr>
          <w:rFonts w:cs="Sylfaen"/>
          <w:b w:val="0"/>
          <w:color w:val="000000" w:themeColor="text1"/>
          <w:szCs w:val="22"/>
          <w:lang w:val="af-ZA"/>
        </w:rPr>
        <w:t xml:space="preserve"> </w:t>
      </w:r>
      <w:r w:rsidRPr="00847EE3">
        <w:rPr>
          <w:rFonts w:cs="Sylfaen"/>
          <w:b w:val="0"/>
          <w:color w:val="000000" w:themeColor="text1"/>
          <w:szCs w:val="22"/>
          <w:lang w:val="hy-AM"/>
        </w:rPr>
        <w:t>թվականի</w:t>
      </w:r>
      <w:r w:rsidRPr="00847EE3">
        <w:rPr>
          <w:rFonts w:cs="Sylfaen"/>
          <w:b w:val="0"/>
          <w:color w:val="000000" w:themeColor="text1"/>
          <w:szCs w:val="22"/>
          <w:lang w:val="af-ZA"/>
        </w:rPr>
        <w:t xml:space="preserve"> </w:t>
      </w:r>
      <w:r w:rsidRPr="00847EE3">
        <w:rPr>
          <w:rFonts w:cs="Sylfaen"/>
          <w:b w:val="0"/>
          <w:color w:val="000000" w:themeColor="text1"/>
          <w:szCs w:val="22"/>
          <w:lang w:val="hy-AM"/>
        </w:rPr>
        <w:t>պետական</w:t>
      </w:r>
      <w:r w:rsidRPr="00847EE3">
        <w:rPr>
          <w:rFonts w:cs="Sylfaen"/>
          <w:b w:val="0"/>
          <w:color w:val="000000" w:themeColor="text1"/>
          <w:szCs w:val="22"/>
          <w:lang w:val="af-ZA"/>
        </w:rPr>
        <w:t xml:space="preserve"> </w:t>
      </w:r>
      <w:r w:rsidRPr="00847EE3">
        <w:rPr>
          <w:rFonts w:cs="Sylfaen"/>
          <w:b w:val="0"/>
          <w:color w:val="000000" w:themeColor="text1"/>
          <w:szCs w:val="22"/>
          <w:lang w:val="hy-AM"/>
        </w:rPr>
        <w:t>բյուջեի</w:t>
      </w:r>
      <w:r w:rsidRPr="00847EE3">
        <w:rPr>
          <w:rFonts w:cs="Sylfaen"/>
          <w:b w:val="0"/>
          <w:color w:val="000000" w:themeColor="text1"/>
          <w:szCs w:val="22"/>
          <w:lang w:val="af-ZA"/>
        </w:rPr>
        <w:t xml:space="preserve"> </w:t>
      </w:r>
      <w:r w:rsidRPr="00847EE3">
        <w:rPr>
          <w:rFonts w:cs="Sylfaen"/>
          <w:b w:val="0"/>
          <w:color w:val="000000" w:themeColor="text1"/>
          <w:szCs w:val="22"/>
          <w:lang w:val="hy-AM"/>
        </w:rPr>
        <w:t>նախագծով</w:t>
      </w:r>
      <w:r w:rsidRPr="00847EE3">
        <w:rPr>
          <w:rFonts w:cs="Sylfaen"/>
          <w:b w:val="0"/>
          <w:color w:val="000000" w:themeColor="text1"/>
          <w:szCs w:val="22"/>
          <w:lang w:val="af-ZA"/>
        </w:rPr>
        <w:t xml:space="preserve"> </w:t>
      </w:r>
      <w:r w:rsidRPr="00847EE3">
        <w:rPr>
          <w:rFonts w:cs="Sylfaen"/>
          <w:b w:val="0"/>
          <w:color w:val="000000" w:themeColor="text1"/>
          <w:szCs w:val="22"/>
          <w:lang w:val="hy-AM"/>
        </w:rPr>
        <w:t>նախատեսվել է 11,081.8 մլն դրամ, որը ՀՀ</w:t>
      </w:r>
      <w:r w:rsidRPr="00847EE3">
        <w:rPr>
          <w:rFonts w:cs="Sylfaen"/>
          <w:b w:val="0"/>
          <w:color w:val="000000" w:themeColor="text1"/>
          <w:szCs w:val="22"/>
          <w:lang w:val="af-ZA"/>
        </w:rPr>
        <w:t xml:space="preserve"> 2020 </w:t>
      </w:r>
      <w:r w:rsidRPr="00847EE3">
        <w:rPr>
          <w:rFonts w:cs="Sylfaen"/>
          <w:b w:val="0"/>
          <w:color w:val="000000" w:themeColor="text1"/>
          <w:szCs w:val="22"/>
          <w:lang w:val="hy-AM"/>
        </w:rPr>
        <w:t>թվականի</w:t>
      </w:r>
      <w:r w:rsidRPr="00847EE3">
        <w:rPr>
          <w:rFonts w:cs="Sylfaen"/>
          <w:b w:val="0"/>
          <w:color w:val="000000" w:themeColor="text1"/>
          <w:szCs w:val="22"/>
          <w:lang w:val="af-ZA"/>
        </w:rPr>
        <w:t xml:space="preserve"> </w:t>
      </w:r>
      <w:r w:rsidRPr="00847EE3">
        <w:rPr>
          <w:rFonts w:cs="Sylfaen"/>
          <w:b w:val="0"/>
          <w:color w:val="000000" w:themeColor="text1"/>
          <w:szCs w:val="22"/>
          <w:lang w:val="hy-AM"/>
        </w:rPr>
        <w:t>պետական</w:t>
      </w:r>
      <w:r w:rsidRPr="00847EE3">
        <w:rPr>
          <w:rFonts w:cs="Sylfaen"/>
          <w:b w:val="0"/>
          <w:color w:val="000000" w:themeColor="text1"/>
          <w:szCs w:val="22"/>
          <w:lang w:val="af-ZA"/>
        </w:rPr>
        <w:t xml:space="preserve"> </w:t>
      </w:r>
      <w:r w:rsidRPr="00847EE3">
        <w:rPr>
          <w:rFonts w:cs="Sylfaen"/>
          <w:b w:val="0"/>
          <w:color w:val="000000" w:themeColor="text1"/>
          <w:szCs w:val="22"/>
          <w:lang w:val="hy-AM"/>
        </w:rPr>
        <w:t xml:space="preserve">բյուջեի նկատմամբ ավելացել է 1,749.2 մլն դրամով՝ պայմանավորված ՔԿՎ ծառայողների համար լրացուցիչ հավելումների նախատեսմամբ և ՔԿՎ հիմնարկներում պահվող կալանավորների համար ամբողջ տարվա կտրվածքով սննդի ծառայությունների կազմակերպմաբ։ </w:t>
      </w:r>
    </w:p>
    <w:p w:rsidR="00847EE3" w:rsidRPr="00847EE3" w:rsidRDefault="00847EE3" w:rsidP="007730AA">
      <w:pPr>
        <w:widowControl w:val="0"/>
        <w:spacing w:before="0" w:line="276" w:lineRule="auto"/>
        <w:ind w:firstLine="720"/>
        <w:rPr>
          <w:rFonts w:cs="Sylfaen"/>
          <w:b w:val="0"/>
          <w:color w:val="000000" w:themeColor="text1"/>
          <w:szCs w:val="22"/>
          <w:lang w:val="hy-AM"/>
        </w:rPr>
      </w:pPr>
      <w:r w:rsidRPr="00847EE3">
        <w:rPr>
          <w:rFonts w:cs="Sylfaen"/>
          <w:b w:val="0"/>
          <w:color w:val="000000" w:themeColor="text1"/>
          <w:szCs w:val="22"/>
          <w:lang w:val="hy-AM"/>
        </w:rPr>
        <w:t>«Արդարադատության նախարարության քրեակատարողական հիմնարկում պահվող կալանավորված անձանց և դատապարտյալներին պատշաճ բժշկական օգնություն և սպասարկման ծառայություններ» միջոցառման շրջա</w:t>
      </w:r>
      <w:r w:rsidRPr="00847EE3">
        <w:rPr>
          <w:rFonts w:cs="Sylfaen"/>
          <w:b w:val="0"/>
          <w:color w:val="000000" w:themeColor="text1"/>
          <w:szCs w:val="22"/>
          <w:lang w:val="hy-AM"/>
        </w:rPr>
        <w:softHyphen/>
        <w:t>նակներում նախատեսվում է իրականացնել կալանավայրերում դատապարտյալներին բժշկական ծառայությունների մատուցում: Նշված միջոցառման գծով 2021 թվականի</w:t>
      </w:r>
      <w:r w:rsidRPr="00847EE3">
        <w:rPr>
          <w:rFonts w:cs="Sylfaen"/>
          <w:b w:val="0"/>
          <w:color w:val="000000" w:themeColor="text1"/>
          <w:szCs w:val="22"/>
          <w:lang w:val="af-ZA"/>
        </w:rPr>
        <w:t xml:space="preserve"> </w:t>
      </w:r>
      <w:r w:rsidRPr="00847EE3">
        <w:rPr>
          <w:rFonts w:cs="Sylfaen"/>
          <w:b w:val="0"/>
          <w:color w:val="000000" w:themeColor="text1"/>
          <w:szCs w:val="22"/>
          <w:lang w:val="hy-AM"/>
        </w:rPr>
        <w:t>պետական</w:t>
      </w:r>
      <w:r w:rsidRPr="00847EE3">
        <w:rPr>
          <w:rFonts w:cs="Sylfaen"/>
          <w:b w:val="0"/>
          <w:color w:val="000000" w:themeColor="text1"/>
          <w:szCs w:val="22"/>
          <w:lang w:val="af-ZA"/>
        </w:rPr>
        <w:t xml:space="preserve"> </w:t>
      </w:r>
      <w:r w:rsidRPr="00847EE3">
        <w:rPr>
          <w:rFonts w:cs="Sylfaen"/>
          <w:b w:val="0"/>
          <w:color w:val="000000" w:themeColor="text1"/>
          <w:szCs w:val="22"/>
          <w:lang w:val="hy-AM"/>
        </w:rPr>
        <w:t>բյուջեի նախագծով նախատեսվել է 588.6 մլն դրամ, որը ՀՀ</w:t>
      </w:r>
      <w:r w:rsidRPr="00847EE3">
        <w:rPr>
          <w:rFonts w:cs="Sylfaen"/>
          <w:b w:val="0"/>
          <w:color w:val="000000" w:themeColor="text1"/>
          <w:szCs w:val="22"/>
          <w:lang w:val="af-ZA"/>
        </w:rPr>
        <w:t xml:space="preserve"> 2020 </w:t>
      </w:r>
      <w:r w:rsidRPr="00847EE3">
        <w:rPr>
          <w:rFonts w:cs="Sylfaen"/>
          <w:b w:val="0"/>
          <w:color w:val="000000" w:themeColor="text1"/>
          <w:szCs w:val="22"/>
          <w:lang w:val="hy-AM"/>
        </w:rPr>
        <w:t>թվականի</w:t>
      </w:r>
      <w:r w:rsidRPr="00847EE3">
        <w:rPr>
          <w:rFonts w:cs="Sylfaen"/>
          <w:b w:val="0"/>
          <w:color w:val="000000" w:themeColor="text1"/>
          <w:szCs w:val="22"/>
          <w:lang w:val="af-ZA"/>
        </w:rPr>
        <w:t xml:space="preserve"> </w:t>
      </w:r>
      <w:r w:rsidRPr="00847EE3">
        <w:rPr>
          <w:rFonts w:cs="Sylfaen"/>
          <w:b w:val="0"/>
          <w:color w:val="000000" w:themeColor="text1"/>
          <w:szCs w:val="22"/>
          <w:lang w:val="hy-AM"/>
        </w:rPr>
        <w:t>պետական</w:t>
      </w:r>
      <w:r w:rsidRPr="00847EE3">
        <w:rPr>
          <w:rFonts w:cs="Sylfaen"/>
          <w:b w:val="0"/>
          <w:color w:val="000000" w:themeColor="text1"/>
          <w:szCs w:val="22"/>
          <w:lang w:val="af-ZA"/>
        </w:rPr>
        <w:t xml:space="preserve"> </w:t>
      </w:r>
      <w:r w:rsidRPr="00847EE3">
        <w:rPr>
          <w:rFonts w:cs="Sylfaen"/>
          <w:b w:val="0"/>
          <w:color w:val="000000" w:themeColor="text1"/>
          <w:szCs w:val="22"/>
          <w:lang w:val="hy-AM"/>
        </w:rPr>
        <w:t>բյուջեի նկատմամբ նվազել է 117.7 մլն դրամով՝ պայմանավորված ԱԱՀ-ի գծով գումարների նվազեցմամբ (առողջապահական հիմնարկները ազատված են ԱԱՀ-ից):</w:t>
      </w:r>
    </w:p>
    <w:p w:rsidR="00847EE3" w:rsidRPr="00847EE3" w:rsidRDefault="00847EE3" w:rsidP="007730AA">
      <w:pPr>
        <w:widowControl w:val="0"/>
        <w:spacing w:before="0" w:line="276" w:lineRule="auto"/>
        <w:ind w:firstLine="720"/>
        <w:rPr>
          <w:rFonts w:cs="Sylfaen"/>
          <w:b w:val="0"/>
          <w:color w:val="000000" w:themeColor="text1"/>
          <w:szCs w:val="22"/>
          <w:lang w:val="hy-AM"/>
        </w:rPr>
      </w:pPr>
      <w:r w:rsidRPr="00847EE3">
        <w:rPr>
          <w:rFonts w:cs="Sylfaen"/>
          <w:b w:val="0"/>
          <w:color w:val="000000" w:themeColor="text1"/>
          <w:szCs w:val="22"/>
          <w:lang w:val="hy-AM"/>
        </w:rPr>
        <w:t>«Դեղորայքի ապահովում կալանավայրերում պահվող ազատազրկվածներին» միջոցառման գծով նախատեսվում է կենտրոնացաված կարգով դեղորայքի ձեռքբերում կալանավայրերում պահվող ազատազրկվածների համար: Նշված միջոցառման գծով ՀՀ 2021 թվականի պետական բյուջեի նախագծով նախատեսվել է 150.0 մլն դրամ՝ ՀՀ 2020 թվականի պետա</w:t>
      </w:r>
      <w:r w:rsidRPr="00847EE3">
        <w:rPr>
          <w:rFonts w:cs="Sylfaen"/>
          <w:b w:val="0"/>
          <w:color w:val="000000" w:themeColor="text1"/>
          <w:szCs w:val="22"/>
          <w:lang w:val="hy-AM"/>
        </w:rPr>
        <w:softHyphen/>
        <w:t>կան բյուջեով հաստատված գումարի չափով:</w:t>
      </w:r>
    </w:p>
    <w:p w:rsidR="00847EE3" w:rsidRPr="00847EE3" w:rsidRDefault="00847EE3" w:rsidP="007730AA">
      <w:pPr>
        <w:widowControl w:val="0"/>
        <w:spacing w:before="0" w:line="276" w:lineRule="auto"/>
        <w:ind w:firstLine="720"/>
        <w:rPr>
          <w:rFonts w:cs="Times LatArm"/>
          <w:b w:val="0"/>
          <w:color w:val="000000" w:themeColor="text1"/>
          <w:szCs w:val="22"/>
          <w:lang w:val="hy-AM"/>
        </w:rPr>
      </w:pPr>
      <w:r w:rsidRPr="00847EE3">
        <w:rPr>
          <w:rFonts w:cs="Times LatArm"/>
          <w:b w:val="0"/>
          <w:color w:val="000000" w:themeColor="text1"/>
          <w:szCs w:val="22"/>
          <w:lang w:val="hy-AM"/>
        </w:rPr>
        <w:t>«Քրեակատարողական ծառայություններ» ծրագրի «Իրավախախտում կատարած անձանց գեղագիտական դաստիարակության և կրթական ծրագրերի իրականացում միջոցառման գծով 2021 թվականին նախատեսվում է հատկացնել 36.9 մլն դրամ՝</w:t>
      </w:r>
      <w:r w:rsidRPr="00847EE3">
        <w:rPr>
          <w:color w:val="000000" w:themeColor="text1"/>
          <w:szCs w:val="22"/>
          <w:lang w:val="hy-AM"/>
        </w:rPr>
        <w:t xml:space="preserve"> </w:t>
      </w:r>
      <w:r w:rsidRPr="00847EE3">
        <w:rPr>
          <w:b w:val="0"/>
          <w:color w:val="000000" w:themeColor="text1"/>
          <w:szCs w:val="22"/>
          <w:lang w:val="hy-AM"/>
        </w:rPr>
        <w:t>ք</w:t>
      </w:r>
      <w:r w:rsidRPr="00847EE3">
        <w:rPr>
          <w:rFonts w:cs="Times LatArm"/>
          <w:b w:val="0"/>
          <w:color w:val="000000" w:themeColor="text1"/>
          <w:szCs w:val="22"/>
          <w:lang w:val="hy-AM"/>
        </w:rPr>
        <w:t>րեակատարողական հիմնարկներում գտնվող իրավախախտում կատարած անձանց գեղագիտական դաստիարակության և կրթության ծրագրերի իրականացման նպատակով:</w:t>
      </w:r>
    </w:p>
    <w:p w:rsidR="00847EE3" w:rsidRPr="00847EE3" w:rsidRDefault="00847EE3" w:rsidP="007730AA">
      <w:pPr>
        <w:spacing w:before="0" w:line="276" w:lineRule="auto"/>
        <w:ind w:firstLine="720"/>
        <w:rPr>
          <w:rFonts w:cs="Sylfaen"/>
          <w:b w:val="0"/>
          <w:color w:val="000000" w:themeColor="text1"/>
          <w:szCs w:val="22"/>
          <w:lang w:val="hy-AM"/>
        </w:rPr>
      </w:pPr>
      <w:r w:rsidRPr="00847EE3">
        <w:rPr>
          <w:rFonts w:cs="Times LatArm"/>
          <w:color w:val="000000" w:themeColor="text1"/>
          <w:szCs w:val="22"/>
          <w:lang w:val="hy-AM"/>
        </w:rPr>
        <w:t>«Արդարադատության համակարգի աշխատակիցների վերապատրաստում և հատուկ ուսուցում» ծրագրի շրջանակներում</w:t>
      </w:r>
      <w:r w:rsidRPr="00847EE3">
        <w:rPr>
          <w:rFonts w:cs="Times LatArm"/>
          <w:b w:val="0"/>
          <w:color w:val="000000" w:themeColor="text1"/>
          <w:szCs w:val="22"/>
          <w:lang w:val="hy-AM"/>
        </w:rPr>
        <w:t xml:space="preserve"> իրականացվում են թվով 3 միջոցառումներ՝ «Հատուկ ծառայողների վերապատրաստում և հատուկ ուսուցում միջոցառում, որի համար 2021 թվականին նախատեսվում է հատկացնել 213.0 մլն դրամ, «Դատավորների, դատախազների, դատավորների և դատախազների թեկնածուների ցուցակում գտնվող անձանց, դատական ծառայողների, դատախազության աշխատակազմում ծառայողների, դատական կարգադրիչների վերապատրաստման և հատուկ ուսուցման ծառայություններ միջոցառում, որի համար 2021 թվականին նախատեսվում է հատկացնել 237.5 մլն դրամ և «Մասնագիտական վերապատրաստում անցնող ունկնդիրներին կրթաթոշակի տրամադրում միջոցառում, որի համար 2021 թվականին նախատեսվում է հատկացնել 44.4 մլն դրամ:</w:t>
      </w:r>
    </w:p>
    <w:p w:rsidR="00847EE3" w:rsidRPr="00847EE3" w:rsidRDefault="00847EE3" w:rsidP="007730AA">
      <w:pPr>
        <w:pStyle w:val="ListParagraph"/>
        <w:spacing w:before="0" w:line="276" w:lineRule="auto"/>
        <w:ind w:left="0" w:firstLine="720"/>
        <w:rPr>
          <w:b w:val="0"/>
          <w:color w:val="000000" w:themeColor="text1"/>
          <w:szCs w:val="22"/>
          <w:lang w:val="hy-AM"/>
        </w:rPr>
      </w:pPr>
      <w:r w:rsidRPr="00847EE3">
        <w:rPr>
          <w:color w:val="000000" w:themeColor="text1"/>
          <w:szCs w:val="22"/>
          <w:lang w:val="hy-AM"/>
        </w:rPr>
        <w:t xml:space="preserve"> «Դատական և հանրային պաշտպանություն» ծրագրի շրջանակներում նախատեսված է </w:t>
      </w:r>
      <w:r w:rsidRPr="00847EE3">
        <w:rPr>
          <w:b w:val="0"/>
          <w:color w:val="000000" w:themeColor="text1"/>
          <w:szCs w:val="22"/>
          <w:lang w:val="hy-AM"/>
        </w:rPr>
        <w:t>«Փորձաքննությունների ծառայությունների տրամադրում» միջոցառումը: Փորձաքննությունների նշանակման և կատարման հետ կապված իրավահարաբերությունները կարգավորվում են ՀՀ քրեական, քաղաքացիական և վարչական օրենսգրքերով, ինչպես նաև ՀՀ քրեական և քաղաքացիական դատավարության օրենսգրքերով: Վերջիններովս սահմանված է նաև փորձաքննությունների նշանակման և կատարման կարգը: Փորձաքննության արժեքի որոշման կարգը սահմանվել է ՀՀ կառավարության 2006 թվականի փետրվարի 2-ի թիվ 79-Ն որոշմամբ, իսկ ինչ վերաբերում է փորձաքննությունների կանխատեսվող քանակներին, ապա դրանք կանխատեսվում են ելնելով նախընթաց տարիների վիճակագրական տվյալներից և ենթակա են փոփոխման փաստացի նշանակվող փորձաքննությունների քանակներից:</w:t>
      </w:r>
    </w:p>
    <w:p w:rsidR="00847EE3" w:rsidRPr="00847EE3" w:rsidRDefault="00847EE3" w:rsidP="007730AA">
      <w:pPr>
        <w:widowControl w:val="0"/>
        <w:spacing w:before="0" w:line="276" w:lineRule="auto"/>
        <w:ind w:firstLine="720"/>
        <w:rPr>
          <w:rFonts w:cs="Sylfaen"/>
          <w:b w:val="0"/>
          <w:color w:val="000000" w:themeColor="text1"/>
          <w:szCs w:val="22"/>
          <w:lang w:val="hy-AM"/>
        </w:rPr>
      </w:pPr>
      <w:r w:rsidRPr="00847EE3">
        <w:rPr>
          <w:b w:val="0"/>
          <w:color w:val="000000" w:themeColor="text1"/>
          <w:szCs w:val="22"/>
          <w:lang w:val="hy-AM"/>
        </w:rPr>
        <w:t>ՀՀ 2021 թվականի պետական բյուջեի նախագծով նախատեսվել է 220</w:t>
      </w:r>
      <w:r w:rsidR="00C769AF" w:rsidRPr="00C769AF">
        <w:rPr>
          <w:b w:val="0"/>
          <w:color w:val="000000" w:themeColor="text1"/>
          <w:szCs w:val="22"/>
          <w:lang w:val="hy-AM"/>
        </w:rPr>
        <w:t>.7</w:t>
      </w:r>
      <w:r w:rsidRPr="00847EE3">
        <w:rPr>
          <w:b w:val="0"/>
          <w:color w:val="000000" w:themeColor="text1"/>
          <w:szCs w:val="22"/>
          <w:lang w:val="hy-AM"/>
        </w:rPr>
        <w:t xml:space="preserve"> </w:t>
      </w:r>
      <w:r w:rsidR="00C769AF" w:rsidRPr="00C769AF">
        <w:rPr>
          <w:b w:val="0"/>
          <w:color w:val="000000" w:themeColor="text1"/>
          <w:szCs w:val="22"/>
          <w:lang w:val="hy-AM"/>
        </w:rPr>
        <w:t>մլն</w:t>
      </w:r>
      <w:r w:rsidRPr="00847EE3">
        <w:rPr>
          <w:b w:val="0"/>
          <w:color w:val="000000" w:themeColor="text1"/>
          <w:szCs w:val="22"/>
          <w:lang w:val="hy-AM"/>
        </w:rPr>
        <w:t xml:space="preserve"> դրամ՝ ՀՀ 2020 թվականի պետա</w:t>
      </w:r>
      <w:r w:rsidRPr="00847EE3">
        <w:rPr>
          <w:b w:val="0"/>
          <w:color w:val="000000" w:themeColor="text1"/>
          <w:szCs w:val="22"/>
          <w:lang w:val="hy-AM"/>
        </w:rPr>
        <w:softHyphen/>
        <w:t>կան բյուջեով հաստատված գումարի չափով: Հաշվարկը կատարվել է 6225 փորձաքննությունների համար, պահպանելով փորձագիտական աշխատանքի մեկ ժամվա արժեքը` 560 դրամ:</w:t>
      </w:r>
    </w:p>
    <w:p w:rsidR="00847EE3" w:rsidRPr="00847EE3" w:rsidRDefault="00847EE3" w:rsidP="007730AA">
      <w:pPr>
        <w:numPr>
          <w:ilvl w:val="12"/>
          <w:numId w:val="0"/>
        </w:numPr>
        <w:tabs>
          <w:tab w:val="left" w:pos="851"/>
        </w:tabs>
        <w:spacing w:before="0" w:line="276" w:lineRule="auto"/>
        <w:ind w:firstLine="720"/>
        <w:rPr>
          <w:b w:val="0"/>
          <w:noProof/>
          <w:color w:val="000000" w:themeColor="text1"/>
          <w:szCs w:val="22"/>
          <w:lang w:val="pt-BR" w:eastAsia="en-US"/>
        </w:rPr>
      </w:pPr>
      <w:r w:rsidRPr="00847EE3">
        <w:rPr>
          <w:noProof/>
          <w:color w:val="000000" w:themeColor="text1"/>
          <w:szCs w:val="22"/>
          <w:lang w:val="hy-AM"/>
        </w:rPr>
        <w:t>Իրավական</w:t>
      </w:r>
      <w:r w:rsidRPr="00847EE3">
        <w:rPr>
          <w:noProof/>
          <w:color w:val="000000" w:themeColor="text1"/>
          <w:szCs w:val="22"/>
          <w:lang w:val="pt-BR"/>
        </w:rPr>
        <w:t xml:space="preserve"> </w:t>
      </w:r>
      <w:r w:rsidRPr="00847EE3">
        <w:rPr>
          <w:noProof/>
          <w:color w:val="000000" w:themeColor="text1"/>
          <w:szCs w:val="22"/>
          <w:lang w:val="hy-AM"/>
        </w:rPr>
        <w:t>իրազեկում</w:t>
      </w:r>
      <w:r w:rsidRPr="00847EE3">
        <w:rPr>
          <w:noProof/>
          <w:color w:val="000000" w:themeColor="text1"/>
          <w:szCs w:val="22"/>
          <w:lang w:val="pt-BR"/>
        </w:rPr>
        <w:t xml:space="preserve"> </w:t>
      </w:r>
      <w:r w:rsidRPr="00847EE3">
        <w:rPr>
          <w:noProof/>
          <w:color w:val="000000" w:themeColor="text1"/>
          <w:szCs w:val="22"/>
          <w:lang w:val="hy-AM"/>
        </w:rPr>
        <w:t>և</w:t>
      </w:r>
      <w:r w:rsidRPr="00847EE3">
        <w:rPr>
          <w:noProof/>
          <w:color w:val="000000" w:themeColor="text1"/>
          <w:szCs w:val="22"/>
          <w:lang w:val="pt-BR"/>
        </w:rPr>
        <w:t xml:space="preserve"> </w:t>
      </w:r>
      <w:r w:rsidRPr="00847EE3">
        <w:rPr>
          <w:noProof/>
          <w:color w:val="000000" w:themeColor="text1"/>
          <w:szCs w:val="22"/>
          <w:lang w:val="hy-AM"/>
        </w:rPr>
        <w:t>տեղեկատվության</w:t>
      </w:r>
      <w:r w:rsidRPr="00847EE3">
        <w:rPr>
          <w:noProof/>
          <w:color w:val="000000" w:themeColor="text1"/>
          <w:szCs w:val="22"/>
          <w:lang w:val="pt-BR"/>
        </w:rPr>
        <w:t xml:space="preserve"> </w:t>
      </w:r>
      <w:r w:rsidRPr="00847EE3">
        <w:rPr>
          <w:noProof/>
          <w:color w:val="000000" w:themeColor="text1"/>
          <w:szCs w:val="22"/>
          <w:lang w:val="hy-AM"/>
        </w:rPr>
        <w:t>ապահովում</w:t>
      </w:r>
      <w:r w:rsidRPr="00847EE3">
        <w:rPr>
          <w:noProof/>
          <w:color w:val="000000" w:themeColor="text1"/>
          <w:szCs w:val="22"/>
          <w:lang w:val="pt-BR"/>
        </w:rPr>
        <w:t xml:space="preserve">» </w:t>
      </w:r>
      <w:r w:rsidRPr="00847EE3">
        <w:rPr>
          <w:noProof/>
          <w:color w:val="000000" w:themeColor="text1"/>
          <w:szCs w:val="22"/>
          <w:lang w:val="hy-AM"/>
        </w:rPr>
        <w:t>ծրագրի</w:t>
      </w:r>
      <w:r w:rsidRPr="00847EE3">
        <w:rPr>
          <w:noProof/>
          <w:color w:val="000000" w:themeColor="text1"/>
          <w:szCs w:val="22"/>
          <w:lang w:val="pt-BR"/>
        </w:rPr>
        <w:t xml:space="preserve"> </w:t>
      </w:r>
      <w:r w:rsidRPr="00847EE3">
        <w:rPr>
          <w:noProof/>
          <w:color w:val="000000" w:themeColor="text1"/>
          <w:szCs w:val="22"/>
          <w:lang w:val="hy-AM"/>
        </w:rPr>
        <w:t>նպատակը՝</w:t>
      </w:r>
      <w:r w:rsidRPr="00847EE3">
        <w:rPr>
          <w:noProof/>
          <w:color w:val="000000" w:themeColor="text1"/>
          <w:szCs w:val="22"/>
          <w:lang w:val="pt-BR"/>
        </w:rPr>
        <w:t xml:space="preserve"> </w:t>
      </w:r>
      <w:r w:rsidRPr="00847EE3">
        <w:rPr>
          <w:b w:val="0"/>
          <w:noProof/>
          <w:color w:val="000000" w:themeColor="text1"/>
          <w:szCs w:val="22"/>
          <w:lang w:val="hy-AM"/>
        </w:rPr>
        <w:t>հանրային</w:t>
      </w:r>
      <w:r w:rsidRPr="00847EE3">
        <w:rPr>
          <w:b w:val="0"/>
          <w:noProof/>
          <w:color w:val="000000" w:themeColor="text1"/>
          <w:szCs w:val="22"/>
          <w:lang w:val="pt-BR"/>
        </w:rPr>
        <w:t xml:space="preserve"> </w:t>
      </w:r>
      <w:r w:rsidRPr="00847EE3">
        <w:rPr>
          <w:b w:val="0"/>
          <w:noProof/>
          <w:color w:val="000000" w:themeColor="text1"/>
          <w:szCs w:val="22"/>
          <w:lang w:val="hy-AM"/>
        </w:rPr>
        <w:t>իրազեկվածության</w:t>
      </w:r>
      <w:r w:rsidRPr="00847EE3">
        <w:rPr>
          <w:b w:val="0"/>
          <w:noProof/>
          <w:color w:val="000000" w:themeColor="text1"/>
          <w:szCs w:val="22"/>
          <w:lang w:val="pt-BR"/>
        </w:rPr>
        <w:t xml:space="preserve"> </w:t>
      </w:r>
      <w:r w:rsidRPr="00847EE3">
        <w:rPr>
          <w:b w:val="0"/>
          <w:noProof/>
          <w:color w:val="000000" w:themeColor="text1"/>
          <w:szCs w:val="22"/>
          <w:lang w:val="hy-AM"/>
        </w:rPr>
        <w:t>ապահովումն</w:t>
      </w:r>
      <w:r w:rsidRPr="00847EE3">
        <w:rPr>
          <w:b w:val="0"/>
          <w:noProof/>
          <w:color w:val="000000" w:themeColor="text1"/>
          <w:szCs w:val="22"/>
          <w:lang w:val="pt-BR"/>
        </w:rPr>
        <w:t xml:space="preserve"> </w:t>
      </w:r>
      <w:r w:rsidRPr="00847EE3">
        <w:rPr>
          <w:b w:val="0"/>
          <w:noProof/>
          <w:color w:val="000000" w:themeColor="text1"/>
          <w:szCs w:val="22"/>
          <w:lang w:val="hy-AM"/>
        </w:rPr>
        <w:t>է</w:t>
      </w:r>
      <w:r w:rsidRPr="00847EE3">
        <w:rPr>
          <w:b w:val="0"/>
          <w:noProof/>
          <w:color w:val="000000" w:themeColor="text1"/>
          <w:szCs w:val="22"/>
          <w:lang w:val="pt-BR"/>
        </w:rPr>
        <w:t xml:space="preserve">:  </w:t>
      </w:r>
      <w:r w:rsidRPr="00847EE3">
        <w:rPr>
          <w:b w:val="0"/>
          <w:noProof/>
          <w:color w:val="000000" w:themeColor="text1"/>
          <w:szCs w:val="22"/>
          <w:lang w:val="hy-AM"/>
        </w:rPr>
        <w:t>Ծրագրի</w:t>
      </w:r>
      <w:r w:rsidRPr="00847EE3">
        <w:rPr>
          <w:b w:val="0"/>
          <w:noProof/>
          <w:color w:val="000000" w:themeColor="text1"/>
          <w:szCs w:val="22"/>
          <w:lang w:val="pt-BR"/>
        </w:rPr>
        <w:t xml:space="preserve"> </w:t>
      </w:r>
      <w:r w:rsidRPr="00847EE3">
        <w:rPr>
          <w:b w:val="0"/>
          <w:noProof/>
          <w:color w:val="000000" w:themeColor="text1"/>
          <w:szCs w:val="22"/>
          <w:lang w:val="hy-AM"/>
        </w:rPr>
        <w:t>շրջանակներում</w:t>
      </w:r>
      <w:r w:rsidRPr="00847EE3">
        <w:rPr>
          <w:b w:val="0"/>
          <w:noProof/>
          <w:color w:val="000000" w:themeColor="text1"/>
          <w:szCs w:val="22"/>
          <w:lang w:val="pt-BR"/>
        </w:rPr>
        <w:t xml:space="preserve"> </w:t>
      </w:r>
      <w:r w:rsidRPr="00847EE3">
        <w:rPr>
          <w:b w:val="0"/>
          <w:noProof/>
          <w:color w:val="000000" w:themeColor="text1"/>
          <w:szCs w:val="22"/>
          <w:lang w:val="hy-AM"/>
        </w:rPr>
        <w:t>հատկացումներն</w:t>
      </w:r>
      <w:r w:rsidRPr="00847EE3">
        <w:rPr>
          <w:b w:val="0"/>
          <w:noProof/>
          <w:color w:val="000000" w:themeColor="text1"/>
          <w:szCs w:val="22"/>
          <w:lang w:val="pt-BR"/>
        </w:rPr>
        <w:t xml:space="preserve"> </w:t>
      </w:r>
      <w:r w:rsidRPr="00847EE3">
        <w:rPr>
          <w:b w:val="0"/>
          <w:noProof/>
          <w:color w:val="000000" w:themeColor="text1"/>
          <w:szCs w:val="22"/>
          <w:lang w:val="hy-AM"/>
        </w:rPr>
        <w:t>ուղղվելու</w:t>
      </w:r>
      <w:r w:rsidRPr="00847EE3">
        <w:rPr>
          <w:b w:val="0"/>
          <w:noProof/>
          <w:color w:val="000000" w:themeColor="text1"/>
          <w:szCs w:val="22"/>
          <w:lang w:val="pt-BR"/>
        </w:rPr>
        <w:t xml:space="preserve"> </w:t>
      </w:r>
      <w:r w:rsidRPr="00847EE3">
        <w:rPr>
          <w:b w:val="0"/>
          <w:noProof/>
          <w:color w:val="000000" w:themeColor="text1"/>
          <w:szCs w:val="22"/>
          <w:lang w:val="hy-AM"/>
        </w:rPr>
        <w:t>են</w:t>
      </w:r>
      <w:r w:rsidRPr="00847EE3">
        <w:rPr>
          <w:b w:val="0"/>
          <w:noProof/>
          <w:color w:val="000000" w:themeColor="text1"/>
          <w:szCs w:val="22"/>
          <w:lang w:val="pt-BR"/>
        </w:rPr>
        <w:t xml:space="preserve"> </w:t>
      </w:r>
      <w:r w:rsidRPr="00847EE3">
        <w:rPr>
          <w:b w:val="0"/>
          <w:noProof/>
          <w:color w:val="000000" w:themeColor="text1"/>
          <w:szCs w:val="22"/>
          <w:lang w:val="hy-AM"/>
        </w:rPr>
        <w:t>հրատարակչական</w:t>
      </w:r>
      <w:r w:rsidRPr="00847EE3">
        <w:rPr>
          <w:b w:val="0"/>
          <w:noProof/>
          <w:color w:val="000000" w:themeColor="text1"/>
          <w:szCs w:val="22"/>
          <w:lang w:val="pt-BR"/>
        </w:rPr>
        <w:t xml:space="preserve">, </w:t>
      </w:r>
      <w:r w:rsidRPr="00847EE3">
        <w:rPr>
          <w:b w:val="0"/>
          <w:noProof/>
          <w:color w:val="000000" w:themeColor="text1"/>
          <w:szCs w:val="22"/>
          <w:lang w:val="hy-AM"/>
        </w:rPr>
        <w:t>տեղեկատվության</w:t>
      </w:r>
      <w:r w:rsidRPr="00847EE3">
        <w:rPr>
          <w:b w:val="0"/>
          <w:noProof/>
          <w:color w:val="000000" w:themeColor="text1"/>
          <w:szCs w:val="22"/>
          <w:lang w:val="pt-BR"/>
        </w:rPr>
        <w:t xml:space="preserve"> </w:t>
      </w:r>
      <w:r w:rsidRPr="00847EE3">
        <w:rPr>
          <w:b w:val="0"/>
          <w:noProof/>
          <w:color w:val="000000" w:themeColor="text1"/>
          <w:szCs w:val="22"/>
          <w:lang w:val="hy-AM"/>
        </w:rPr>
        <w:t>և</w:t>
      </w:r>
      <w:r w:rsidRPr="00847EE3">
        <w:rPr>
          <w:b w:val="0"/>
          <w:noProof/>
          <w:color w:val="000000" w:themeColor="text1"/>
          <w:szCs w:val="22"/>
          <w:lang w:val="pt-BR"/>
        </w:rPr>
        <w:t xml:space="preserve"> </w:t>
      </w:r>
      <w:r w:rsidRPr="00847EE3">
        <w:rPr>
          <w:b w:val="0"/>
          <w:noProof/>
          <w:color w:val="000000" w:themeColor="text1"/>
          <w:szCs w:val="22"/>
          <w:lang w:val="hy-AM"/>
        </w:rPr>
        <w:t>տպագրական</w:t>
      </w:r>
      <w:r w:rsidRPr="00847EE3">
        <w:rPr>
          <w:b w:val="0"/>
          <w:noProof/>
          <w:color w:val="000000" w:themeColor="text1"/>
          <w:szCs w:val="22"/>
          <w:lang w:val="pt-BR"/>
        </w:rPr>
        <w:t xml:space="preserve"> </w:t>
      </w:r>
      <w:r w:rsidRPr="00847EE3">
        <w:rPr>
          <w:b w:val="0"/>
          <w:noProof/>
          <w:color w:val="000000" w:themeColor="text1"/>
          <w:szCs w:val="22"/>
          <w:lang w:val="hy-AM"/>
        </w:rPr>
        <w:t>և</w:t>
      </w:r>
      <w:r w:rsidRPr="00847EE3">
        <w:rPr>
          <w:b w:val="0"/>
          <w:noProof/>
          <w:color w:val="000000" w:themeColor="text1"/>
          <w:szCs w:val="22"/>
          <w:lang w:val="pt-BR"/>
        </w:rPr>
        <w:t xml:space="preserve"> </w:t>
      </w:r>
      <w:r w:rsidRPr="00847EE3">
        <w:rPr>
          <w:b w:val="0"/>
          <w:noProof/>
          <w:color w:val="000000" w:themeColor="text1"/>
          <w:szCs w:val="22"/>
          <w:lang w:val="hy-AM"/>
        </w:rPr>
        <w:t>թարգմանչական</w:t>
      </w:r>
      <w:r w:rsidRPr="00847EE3">
        <w:rPr>
          <w:b w:val="0"/>
          <w:noProof/>
          <w:color w:val="000000" w:themeColor="text1"/>
          <w:szCs w:val="22"/>
          <w:lang w:val="pt-BR"/>
        </w:rPr>
        <w:t xml:space="preserve"> </w:t>
      </w:r>
      <w:r w:rsidRPr="00847EE3">
        <w:rPr>
          <w:b w:val="0"/>
          <w:noProof/>
          <w:color w:val="000000" w:themeColor="text1"/>
          <w:szCs w:val="22"/>
          <w:lang w:val="hy-AM"/>
        </w:rPr>
        <w:t>ծառայությունների</w:t>
      </w:r>
      <w:r w:rsidRPr="00847EE3">
        <w:rPr>
          <w:b w:val="0"/>
          <w:noProof/>
          <w:color w:val="000000" w:themeColor="text1"/>
          <w:szCs w:val="22"/>
          <w:lang w:val="pt-BR"/>
        </w:rPr>
        <w:t xml:space="preserve"> </w:t>
      </w:r>
      <w:r w:rsidRPr="00847EE3">
        <w:rPr>
          <w:b w:val="0"/>
          <w:noProof/>
          <w:color w:val="000000" w:themeColor="text1"/>
          <w:szCs w:val="22"/>
          <w:lang w:val="hy-AM"/>
        </w:rPr>
        <w:t>իրականացմանը</w:t>
      </w:r>
      <w:r w:rsidRPr="00847EE3">
        <w:rPr>
          <w:b w:val="0"/>
          <w:noProof/>
          <w:color w:val="000000" w:themeColor="text1"/>
          <w:szCs w:val="22"/>
          <w:lang w:val="pt-BR"/>
        </w:rPr>
        <w:t xml:space="preserve">: </w:t>
      </w:r>
      <w:r w:rsidRPr="00847EE3">
        <w:rPr>
          <w:b w:val="0"/>
          <w:noProof/>
          <w:color w:val="000000" w:themeColor="text1"/>
          <w:szCs w:val="22"/>
          <w:lang w:val="hy-AM"/>
        </w:rPr>
        <w:t>Ծրագրի</w:t>
      </w:r>
      <w:r w:rsidRPr="00847EE3">
        <w:rPr>
          <w:b w:val="0"/>
          <w:noProof/>
          <w:color w:val="000000" w:themeColor="text1"/>
          <w:szCs w:val="22"/>
          <w:lang w:val="pt-BR"/>
        </w:rPr>
        <w:t xml:space="preserve"> </w:t>
      </w:r>
      <w:r w:rsidRPr="00847EE3">
        <w:rPr>
          <w:b w:val="0"/>
          <w:noProof/>
          <w:color w:val="000000" w:themeColor="text1"/>
          <w:szCs w:val="22"/>
          <w:lang w:val="hy-AM"/>
        </w:rPr>
        <w:t>համար</w:t>
      </w:r>
      <w:r w:rsidRPr="00847EE3">
        <w:rPr>
          <w:b w:val="0"/>
          <w:noProof/>
          <w:color w:val="000000" w:themeColor="text1"/>
          <w:szCs w:val="22"/>
          <w:lang w:val="pt-BR"/>
        </w:rPr>
        <w:t xml:space="preserve"> </w:t>
      </w:r>
      <w:r w:rsidRPr="00847EE3">
        <w:rPr>
          <w:b w:val="0"/>
          <w:noProof/>
          <w:color w:val="000000" w:themeColor="text1"/>
          <w:szCs w:val="22"/>
          <w:lang w:val="hy-AM"/>
        </w:rPr>
        <w:t>Նախագծով</w:t>
      </w:r>
      <w:r w:rsidRPr="00847EE3">
        <w:rPr>
          <w:b w:val="0"/>
          <w:noProof/>
          <w:color w:val="000000" w:themeColor="text1"/>
          <w:szCs w:val="22"/>
          <w:lang w:val="pt-BR"/>
        </w:rPr>
        <w:t xml:space="preserve"> </w:t>
      </w:r>
      <w:r w:rsidRPr="00847EE3">
        <w:rPr>
          <w:b w:val="0"/>
          <w:noProof/>
          <w:color w:val="000000" w:themeColor="text1"/>
          <w:szCs w:val="22"/>
          <w:lang w:val="hy-AM"/>
        </w:rPr>
        <w:t>նախատեսվում</w:t>
      </w:r>
      <w:r w:rsidRPr="00847EE3">
        <w:rPr>
          <w:b w:val="0"/>
          <w:noProof/>
          <w:color w:val="000000" w:themeColor="text1"/>
          <w:szCs w:val="22"/>
          <w:lang w:val="pt-BR"/>
        </w:rPr>
        <w:t xml:space="preserve"> </w:t>
      </w:r>
      <w:r w:rsidRPr="00847EE3">
        <w:rPr>
          <w:b w:val="0"/>
          <w:noProof/>
          <w:color w:val="000000" w:themeColor="text1"/>
          <w:szCs w:val="22"/>
          <w:lang w:val="hy-AM"/>
        </w:rPr>
        <w:t>է</w:t>
      </w:r>
      <w:r w:rsidRPr="00847EE3">
        <w:rPr>
          <w:b w:val="0"/>
          <w:noProof/>
          <w:color w:val="000000" w:themeColor="text1"/>
          <w:szCs w:val="22"/>
          <w:lang w:val="pt-BR"/>
        </w:rPr>
        <w:t xml:space="preserve"> </w:t>
      </w:r>
      <w:r w:rsidRPr="00847EE3">
        <w:rPr>
          <w:b w:val="0"/>
          <w:noProof/>
          <w:color w:val="000000" w:themeColor="text1"/>
          <w:szCs w:val="22"/>
          <w:lang w:val="hy-AM"/>
        </w:rPr>
        <w:t>հատկացնել</w:t>
      </w:r>
      <w:r w:rsidRPr="00847EE3">
        <w:rPr>
          <w:b w:val="0"/>
          <w:noProof/>
          <w:color w:val="000000" w:themeColor="text1"/>
          <w:szCs w:val="22"/>
          <w:lang w:val="pt-BR"/>
        </w:rPr>
        <w:t xml:space="preserve"> 63</w:t>
      </w:r>
      <w:r w:rsidRPr="00847EE3">
        <w:rPr>
          <w:b w:val="0"/>
          <w:noProof/>
          <w:color w:val="000000" w:themeColor="text1"/>
          <w:szCs w:val="22"/>
          <w:lang w:val="hy-AM"/>
        </w:rPr>
        <w:t>5</w:t>
      </w:r>
      <w:r w:rsidRPr="00847EE3">
        <w:rPr>
          <w:b w:val="0"/>
          <w:noProof/>
          <w:color w:val="000000" w:themeColor="text1"/>
          <w:szCs w:val="22"/>
          <w:lang w:val="pt-BR"/>
        </w:rPr>
        <w:t>.</w:t>
      </w:r>
      <w:r w:rsidRPr="00847EE3">
        <w:rPr>
          <w:b w:val="0"/>
          <w:noProof/>
          <w:color w:val="000000" w:themeColor="text1"/>
          <w:szCs w:val="22"/>
          <w:lang w:val="hy-AM"/>
        </w:rPr>
        <w:t>6</w:t>
      </w:r>
      <w:r w:rsidRPr="00847EE3">
        <w:rPr>
          <w:b w:val="0"/>
          <w:noProof/>
          <w:color w:val="000000" w:themeColor="text1"/>
          <w:szCs w:val="22"/>
          <w:lang w:val="pt-BR"/>
        </w:rPr>
        <w:t xml:space="preserve"> </w:t>
      </w:r>
      <w:r w:rsidRPr="00847EE3">
        <w:rPr>
          <w:b w:val="0"/>
          <w:noProof/>
          <w:color w:val="000000" w:themeColor="text1"/>
          <w:szCs w:val="22"/>
          <w:lang w:val="hy-AM"/>
        </w:rPr>
        <w:t>մլն</w:t>
      </w:r>
      <w:r w:rsidRPr="00847EE3">
        <w:rPr>
          <w:b w:val="0"/>
          <w:noProof/>
          <w:color w:val="000000" w:themeColor="text1"/>
          <w:szCs w:val="22"/>
          <w:lang w:val="pt-BR"/>
        </w:rPr>
        <w:t xml:space="preserve"> </w:t>
      </w:r>
      <w:r w:rsidRPr="00847EE3">
        <w:rPr>
          <w:b w:val="0"/>
          <w:noProof/>
          <w:color w:val="000000" w:themeColor="text1"/>
          <w:szCs w:val="22"/>
          <w:lang w:val="hy-AM"/>
        </w:rPr>
        <w:t>դրամ՝</w:t>
      </w:r>
      <w:r w:rsidRPr="00847EE3">
        <w:rPr>
          <w:b w:val="0"/>
          <w:noProof/>
          <w:color w:val="000000" w:themeColor="text1"/>
          <w:szCs w:val="22"/>
          <w:lang w:val="pt-BR"/>
        </w:rPr>
        <w:t xml:space="preserve"> </w:t>
      </w:r>
      <w:r w:rsidRPr="00847EE3">
        <w:rPr>
          <w:b w:val="0"/>
          <w:noProof/>
          <w:color w:val="000000" w:themeColor="text1"/>
          <w:szCs w:val="22"/>
          <w:lang w:val="hy-AM"/>
        </w:rPr>
        <w:t>ՀՀ</w:t>
      </w:r>
      <w:r w:rsidRPr="00847EE3">
        <w:rPr>
          <w:b w:val="0"/>
          <w:noProof/>
          <w:color w:val="000000" w:themeColor="text1"/>
          <w:szCs w:val="22"/>
          <w:lang w:val="pt-BR"/>
        </w:rPr>
        <w:t xml:space="preserve"> 20</w:t>
      </w:r>
      <w:r w:rsidRPr="00847EE3">
        <w:rPr>
          <w:b w:val="0"/>
          <w:noProof/>
          <w:color w:val="000000" w:themeColor="text1"/>
          <w:szCs w:val="22"/>
          <w:lang w:val="hy-AM"/>
        </w:rPr>
        <w:t>20</w:t>
      </w:r>
      <w:r w:rsidRPr="00847EE3">
        <w:rPr>
          <w:b w:val="0"/>
          <w:noProof/>
          <w:color w:val="000000" w:themeColor="text1"/>
          <w:szCs w:val="22"/>
          <w:lang w:val="pt-BR"/>
        </w:rPr>
        <w:t xml:space="preserve"> </w:t>
      </w:r>
      <w:r w:rsidRPr="00847EE3">
        <w:rPr>
          <w:b w:val="0"/>
          <w:noProof/>
          <w:color w:val="000000" w:themeColor="text1"/>
          <w:szCs w:val="22"/>
          <w:lang w:val="hy-AM"/>
        </w:rPr>
        <w:t>թվականի</w:t>
      </w:r>
      <w:r w:rsidRPr="00847EE3">
        <w:rPr>
          <w:b w:val="0"/>
          <w:noProof/>
          <w:color w:val="000000" w:themeColor="text1"/>
          <w:szCs w:val="22"/>
          <w:lang w:val="pt-BR"/>
        </w:rPr>
        <w:t xml:space="preserve"> </w:t>
      </w:r>
      <w:r w:rsidRPr="00847EE3">
        <w:rPr>
          <w:b w:val="0"/>
          <w:noProof/>
          <w:color w:val="000000" w:themeColor="text1"/>
          <w:szCs w:val="22"/>
          <w:lang w:val="hy-AM"/>
        </w:rPr>
        <w:t>պետական</w:t>
      </w:r>
      <w:r w:rsidRPr="00847EE3">
        <w:rPr>
          <w:b w:val="0"/>
          <w:noProof/>
          <w:color w:val="000000" w:themeColor="text1"/>
          <w:szCs w:val="22"/>
          <w:lang w:val="pt-BR"/>
        </w:rPr>
        <w:t xml:space="preserve"> </w:t>
      </w:r>
      <w:r w:rsidRPr="00847EE3">
        <w:rPr>
          <w:b w:val="0"/>
          <w:noProof/>
          <w:color w:val="000000" w:themeColor="text1"/>
          <w:szCs w:val="22"/>
          <w:lang w:val="hy-AM"/>
        </w:rPr>
        <w:t>բյուջեով</w:t>
      </w:r>
      <w:r w:rsidRPr="00847EE3">
        <w:rPr>
          <w:b w:val="0"/>
          <w:noProof/>
          <w:color w:val="000000" w:themeColor="text1"/>
          <w:szCs w:val="22"/>
          <w:lang w:val="pt-BR"/>
        </w:rPr>
        <w:t xml:space="preserve"> </w:t>
      </w:r>
      <w:r w:rsidRPr="00847EE3">
        <w:rPr>
          <w:b w:val="0"/>
          <w:noProof/>
          <w:color w:val="000000" w:themeColor="text1"/>
          <w:szCs w:val="22"/>
          <w:lang w:val="hy-AM"/>
        </w:rPr>
        <w:t>հաստատված</w:t>
      </w:r>
      <w:r w:rsidRPr="00847EE3">
        <w:rPr>
          <w:b w:val="0"/>
          <w:noProof/>
          <w:color w:val="000000" w:themeColor="text1"/>
          <w:szCs w:val="22"/>
          <w:lang w:val="pt-BR"/>
        </w:rPr>
        <w:t xml:space="preserve"> </w:t>
      </w:r>
      <w:r w:rsidRPr="00847EE3">
        <w:rPr>
          <w:b w:val="0"/>
          <w:noProof/>
          <w:color w:val="000000" w:themeColor="text1"/>
          <w:szCs w:val="22"/>
          <w:lang w:val="hy-AM"/>
        </w:rPr>
        <w:t>639</w:t>
      </w:r>
      <w:r w:rsidRPr="00847EE3">
        <w:rPr>
          <w:b w:val="0"/>
          <w:noProof/>
          <w:color w:val="000000" w:themeColor="text1"/>
          <w:szCs w:val="22"/>
          <w:lang w:val="pt-BR"/>
        </w:rPr>
        <w:t>.</w:t>
      </w:r>
      <w:r w:rsidRPr="00847EE3">
        <w:rPr>
          <w:b w:val="0"/>
          <w:noProof/>
          <w:color w:val="000000" w:themeColor="text1"/>
          <w:szCs w:val="22"/>
          <w:lang w:val="hy-AM"/>
        </w:rPr>
        <w:t>3</w:t>
      </w:r>
      <w:r w:rsidRPr="00847EE3">
        <w:rPr>
          <w:b w:val="0"/>
          <w:noProof/>
          <w:color w:val="000000" w:themeColor="text1"/>
          <w:szCs w:val="22"/>
          <w:lang w:val="pt-BR"/>
        </w:rPr>
        <w:t xml:space="preserve"> </w:t>
      </w:r>
      <w:r w:rsidRPr="00847EE3">
        <w:rPr>
          <w:b w:val="0"/>
          <w:noProof/>
          <w:color w:val="000000" w:themeColor="text1"/>
          <w:szCs w:val="22"/>
          <w:lang w:val="hy-AM"/>
        </w:rPr>
        <w:t>մլն</w:t>
      </w:r>
      <w:r w:rsidRPr="00847EE3">
        <w:rPr>
          <w:b w:val="0"/>
          <w:noProof/>
          <w:color w:val="000000" w:themeColor="text1"/>
          <w:szCs w:val="22"/>
          <w:lang w:val="pt-BR"/>
        </w:rPr>
        <w:t xml:space="preserve"> </w:t>
      </w:r>
      <w:r w:rsidRPr="00847EE3">
        <w:rPr>
          <w:b w:val="0"/>
          <w:noProof/>
          <w:color w:val="000000" w:themeColor="text1"/>
          <w:szCs w:val="22"/>
          <w:lang w:val="hy-AM"/>
        </w:rPr>
        <w:t>դրամի</w:t>
      </w:r>
      <w:r w:rsidRPr="00847EE3">
        <w:rPr>
          <w:b w:val="0"/>
          <w:noProof/>
          <w:color w:val="000000" w:themeColor="text1"/>
          <w:szCs w:val="22"/>
          <w:lang w:val="pt-BR"/>
        </w:rPr>
        <w:t xml:space="preserve"> </w:t>
      </w:r>
      <w:r w:rsidRPr="00847EE3">
        <w:rPr>
          <w:b w:val="0"/>
          <w:noProof/>
          <w:color w:val="000000" w:themeColor="text1"/>
          <w:szCs w:val="22"/>
          <w:lang w:val="hy-AM"/>
        </w:rPr>
        <w:t>դիմաց</w:t>
      </w:r>
      <w:r w:rsidRPr="00847EE3">
        <w:rPr>
          <w:b w:val="0"/>
          <w:noProof/>
          <w:color w:val="000000" w:themeColor="text1"/>
          <w:szCs w:val="22"/>
          <w:lang w:val="pt-BR"/>
        </w:rPr>
        <w:t xml:space="preserve">: </w:t>
      </w:r>
    </w:p>
    <w:p w:rsidR="00847EE3" w:rsidRPr="00847EE3" w:rsidRDefault="00847EE3" w:rsidP="007730AA">
      <w:pPr>
        <w:numPr>
          <w:ilvl w:val="12"/>
          <w:numId w:val="0"/>
        </w:numPr>
        <w:tabs>
          <w:tab w:val="left" w:pos="851"/>
        </w:tabs>
        <w:spacing w:before="0" w:line="276" w:lineRule="auto"/>
        <w:ind w:firstLine="720"/>
        <w:rPr>
          <w:b w:val="0"/>
          <w:noProof/>
          <w:color w:val="000000" w:themeColor="text1"/>
          <w:szCs w:val="22"/>
          <w:lang w:val="hy-AM" w:eastAsia="en-US"/>
        </w:rPr>
      </w:pPr>
      <w:r w:rsidRPr="00847EE3">
        <w:rPr>
          <w:b w:val="0"/>
          <w:noProof/>
          <w:color w:val="000000" w:themeColor="text1"/>
          <w:szCs w:val="22"/>
        </w:rPr>
        <w:t>Նախագծով</w:t>
      </w:r>
      <w:r w:rsidRPr="00847EE3">
        <w:rPr>
          <w:b w:val="0"/>
          <w:noProof/>
          <w:color w:val="000000" w:themeColor="text1"/>
          <w:szCs w:val="22"/>
          <w:lang w:val="pt-BR"/>
        </w:rPr>
        <w:t xml:space="preserve"> </w:t>
      </w:r>
      <w:r w:rsidRPr="00847EE3">
        <w:rPr>
          <w:b w:val="0"/>
          <w:noProof/>
          <w:color w:val="000000" w:themeColor="text1"/>
          <w:szCs w:val="22"/>
        </w:rPr>
        <w:t>ծախսերն</w:t>
      </w:r>
      <w:r w:rsidRPr="00847EE3">
        <w:rPr>
          <w:b w:val="0"/>
          <w:noProof/>
          <w:color w:val="000000" w:themeColor="text1"/>
          <w:szCs w:val="22"/>
          <w:lang w:val="pt-BR"/>
        </w:rPr>
        <w:t xml:space="preserve"> </w:t>
      </w:r>
      <w:r w:rsidRPr="00847EE3">
        <w:rPr>
          <w:b w:val="0"/>
          <w:noProof/>
          <w:color w:val="000000" w:themeColor="text1"/>
          <w:szCs w:val="22"/>
        </w:rPr>
        <w:t>նվազել</w:t>
      </w:r>
      <w:r w:rsidRPr="00847EE3">
        <w:rPr>
          <w:b w:val="0"/>
          <w:noProof/>
          <w:color w:val="000000" w:themeColor="text1"/>
          <w:szCs w:val="22"/>
          <w:lang w:val="pt-BR"/>
        </w:rPr>
        <w:t xml:space="preserve"> </w:t>
      </w:r>
      <w:r w:rsidRPr="00847EE3">
        <w:rPr>
          <w:b w:val="0"/>
          <w:noProof/>
          <w:color w:val="000000" w:themeColor="text1"/>
          <w:szCs w:val="22"/>
        </w:rPr>
        <w:t>են</w:t>
      </w:r>
      <w:r w:rsidRPr="00847EE3">
        <w:rPr>
          <w:b w:val="0"/>
          <w:noProof/>
          <w:color w:val="000000" w:themeColor="text1"/>
          <w:szCs w:val="22"/>
          <w:lang w:val="pt-BR"/>
        </w:rPr>
        <w:t xml:space="preserve"> </w:t>
      </w:r>
      <w:r w:rsidRPr="00847EE3">
        <w:rPr>
          <w:b w:val="0"/>
          <w:noProof/>
          <w:color w:val="000000" w:themeColor="text1"/>
          <w:szCs w:val="22"/>
          <w:lang w:val="hy-AM"/>
        </w:rPr>
        <w:t>3</w:t>
      </w:r>
      <w:r w:rsidRPr="00847EE3">
        <w:rPr>
          <w:b w:val="0"/>
          <w:noProof/>
          <w:color w:val="000000" w:themeColor="text1"/>
          <w:szCs w:val="22"/>
          <w:lang w:val="pt-BR"/>
        </w:rPr>
        <w:t>.</w:t>
      </w:r>
      <w:r w:rsidRPr="00847EE3">
        <w:rPr>
          <w:b w:val="0"/>
          <w:noProof/>
          <w:color w:val="000000" w:themeColor="text1"/>
          <w:szCs w:val="22"/>
          <w:lang w:val="hy-AM"/>
        </w:rPr>
        <w:t>7</w:t>
      </w:r>
      <w:r w:rsidRPr="00847EE3">
        <w:rPr>
          <w:b w:val="0"/>
          <w:noProof/>
          <w:color w:val="000000" w:themeColor="text1"/>
          <w:szCs w:val="22"/>
          <w:lang w:val="pt-BR"/>
        </w:rPr>
        <w:t xml:space="preserve"> </w:t>
      </w:r>
      <w:r w:rsidRPr="00847EE3">
        <w:rPr>
          <w:b w:val="0"/>
          <w:noProof/>
          <w:color w:val="000000" w:themeColor="text1"/>
          <w:szCs w:val="22"/>
        </w:rPr>
        <w:t>մլն</w:t>
      </w:r>
      <w:r w:rsidRPr="00847EE3">
        <w:rPr>
          <w:b w:val="0"/>
          <w:noProof/>
          <w:color w:val="000000" w:themeColor="text1"/>
          <w:szCs w:val="22"/>
          <w:lang w:val="pt-BR"/>
        </w:rPr>
        <w:t xml:space="preserve"> </w:t>
      </w:r>
      <w:r w:rsidRPr="00847EE3">
        <w:rPr>
          <w:b w:val="0"/>
          <w:noProof/>
          <w:color w:val="000000" w:themeColor="text1"/>
          <w:szCs w:val="22"/>
        </w:rPr>
        <w:t>դրամով</w:t>
      </w:r>
      <w:r w:rsidRPr="00847EE3">
        <w:rPr>
          <w:b w:val="0"/>
          <w:noProof/>
          <w:color w:val="000000" w:themeColor="text1"/>
          <w:szCs w:val="22"/>
          <w:lang w:val="pt-BR"/>
        </w:rPr>
        <w:t xml:space="preserve">, </w:t>
      </w:r>
      <w:r w:rsidRPr="00847EE3">
        <w:rPr>
          <w:b w:val="0"/>
          <w:noProof/>
          <w:color w:val="000000" w:themeColor="text1"/>
          <w:szCs w:val="22"/>
        </w:rPr>
        <w:t>կամ</w:t>
      </w:r>
      <w:r w:rsidRPr="00847EE3">
        <w:rPr>
          <w:b w:val="0"/>
          <w:noProof/>
          <w:color w:val="000000" w:themeColor="text1"/>
          <w:szCs w:val="22"/>
          <w:lang w:val="pt-BR"/>
        </w:rPr>
        <w:t xml:space="preserve"> 0.6 </w:t>
      </w:r>
      <w:r w:rsidRPr="00847EE3">
        <w:rPr>
          <w:b w:val="0"/>
          <w:noProof/>
          <w:color w:val="000000" w:themeColor="text1"/>
          <w:szCs w:val="22"/>
        </w:rPr>
        <w:t>տոկոսով</w:t>
      </w:r>
      <w:r w:rsidRPr="00847EE3">
        <w:rPr>
          <w:b w:val="0"/>
          <w:noProof/>
          <w:color w:val="000000" w:themeColor="text1"/>
          <w:szCs w:val="22"/>
          <w:lang w:val="pt-BR"/>
        </w:rPr>
        <w:t xml:space="preserve">, </w:t>
      </w:r>
      <w:r w:rsidRPr="00847EE3">
        <w:rPr>
          <w:b w:val="0"/>
          <w:noProof/>
          <w:color w:val="000000" w:themeColor="text1"/>
          <w:szCs w:val="22"/>
        </w:rPr>
        <w:t>որը</w:t>
      </w:r>
      <w:r w:rsidRPr="00847EE3">
        <w:rPr>
          <w:b w:val="0"/>
          <w:noProof/>
          <w:color w:val="000000" w:themeColor="text1"/>
          <w:szCs w:val="22"/>
          <w:lang w:val="pt-BR"/>
        </w:rPr>
        <w:t xml:space="preserve"> </w:t>
      </w:r>
      <w:r w:rsidRPr="00847EE3">
        <w:rPr>
          <w:b w:val="0"/>
          <w:noProof/>
          <w:color w:val="000000" w:themeColor="text1"/>
          <w:szCs w:val="22"/>
        </w:rPr>
        <w:t>պայմանավորված</w:t>
      </w:r>
      <w:r w:rsidRPr="00847EE3">
        <w:rPr>
          <w:b w:val="0"/>
          <w:noProof/>
          <w:color w:val="000000" w:themeColor="text1"/>
          <w:szCs w:val="22"/>
          <w:lang w:val="pt-BR"/>
        </w:rPr>
        <w:t xml:space="preserve"> </w:t>
      </w:r>
      <w:r w:rsidRPr="00847EE3">
        <w:rPr>
          <w:b w:val="0"/>
          <w:noProof/>
          <w:color w:val="000000" w:themeColor="text1"/>
          <w:szCs w:val="22"/>
        </w:rPr>
        <w:t>է</w:t>
      </w:r>
      <w:r w:rsidRPr="00847EE3">
        <w:rPr>
          <w:b w:val="0"/>
          <w:noProof/>
          <w:color w:val="000000" w:themeColor="text1"/>
          <w:szCs w:val="22"/>
          <w:lang w:val="pt-BR"/>
        </w:rPr>
        <w:t xml:space="preserve"> </w:t>
      </w:r>
      <w:r w:rsidRPr="00847EE3">
        <w:rPr>
          <w:b w:val="0"/>
          <w:noProof/>
          <w:color w:val="000000" w:themeColor="text1"/>
          <w:szCs w:val="22"/>
          <w:lang w:val="hy-AM"/>
        </w:rPr>
        <w:t>ծախսային գերակայություններով, առաջնահերթություններով</w:t>
      </w:r>
      <w:r w:rsidRPr="00847EE3">
        <w:rPr>
          <w:b w:val="0"/>
          <w:noProof/>
          <w:color w:val="000000" w:themeColor="text1"/>
          <w:szCs w:val="22"/>
          <w:lang w:val="pt-BR"/>
        </w:rPr>
        <w:t>:</w:t>
      </w:r>
      <w:r w:rsidRPr="00847EE3">
        <w:rPr>
          <w:b w:val="0"/>
          <w:noProof/>
          <w:color w:val="000000" w:themeColor="text1"/>
          <w:szCs w:val="22"/>
          <w:lang w:val="hy-AM" w:eastAsia="en-US"/>
        </w:rPr>
        <w:t xml:space="preserve"> </w:t>
      </w:r>
    </w:p>
    <w:p w:rsidR="00847EE3" w:rsidRPr="00847EE3" w:rsidRDefault="00847EE3" w:rsidP="007730AA">
      <w:pPr>
        <w:spacing w:before="0" w:line="276" w:lineRule="auto"/>
        <w:ind w:firstLine="720"/>
        <w:rPr>
          <w:b w:val="0"/>
          <w:color w:val="000000" w:themeColor="text1"/>
          <w:szCs w:val="22"/>
          <w:lang w:val="hy-AM"/>
        </w:rPr>
      </w:pPr>
      <w:r w:rsidRPr="00847EE3">
        <w:rPr>
          <w:color w:val="000000" w:themeColor="text1"/>
          <w:szCs w:val="22"/>
          <w:lang w:val="hy-AM"/>
        </w:rPr>
        <w:t xml:space="preserve"> «Հակակոռուպցիոն քաղաքականության մշակում, ծրագրերի համակարգում և մոնիթորինգի իրականացում»</w:t>
      </w:r>
      <w:r w:rsidRPr="00847EE3">
        <w:rPr>
          <w:b w:val="0"/>
          <w:color w:val="000000" w:themeColor="text1"/>
          <w:szCs w:val="22"/>
          <w:lang w:val="hy-AM"/>
        </w:rPr>
        <w:t xml:space="preserve"> ծրագիրը հանդիսանում է նոր ծրագիր, որի նպատակն է Հայաստանի Հանրապետությունում կոռուպցիոն իրավախախտումների բացահայտումը, կոռուպցիոն հանցագործությունների քննությունը դարձնել ավելի արդյունավետ՝ մասնագիտացված հակակոռուպցիոն մարմնի միջոցով վերջինս իրականացնելու եղանակով, ինստիտուցիոնալ հենքեր ստեղծել կոռուպցիոն գործերով նախաքննություն իրականացնող անձանց մասնագիտացման համար: Ապահովել կոռուպցիոն հանցագործությունների հանցակազմերի համապատասխանությունը  «Կոռուպցիայի դեմ» կոնվենցիայի, Եվրոպայի խորհրդի «Կոռուպցիայի մասին» քրեական իրավունքի կոնվենցիայի պահանջներին, ՏՀԶԿ հակակոռուպցիոն ցանցի, ԵԽ ու ԵՄ փորձագետների առաջարկություններին: Կոռուպցիոն հանցագործություն</w:t>
      </w:r>
      <w:r w:rsidRPr="00847EE3">
        <w:rPr>
          <w:b w:val="0"/>
          <w:color w:val="000000" w:themeColor="text1"/>
          <w:szCs w:val="22"/>
          <w:lang w:val="hy-AM"/>
        </w:rPr>
        <w:softHyphen/>
        <w:t xml:space="preserve">ների քննության միասնականության ապահովման նպատակով մշակել կոռուպցիոն առանձին հանցագործությունների, այդ թվում՝ ապօրինի հարստացման, քննության մեթոդիկա: </w:t>
      </w:r>
    </w:p>
    <w:p w:rsidR="00847EE3" w:rsidRPr="00847EE3" w:rsidRDefault="00847EE3" w:rsidP="007730AA">
      <w:pPr>
        <w:spacing w:before="0" w:line="276" w:lineRule="auto"/>
        <w:ind w:firstLine="720"/>
        <w:contextualSpacing w:val="0"/>
        <w:rPr>
          <w:b w:val="0"/>
          <w:noProof/>
          <w:color w:val="000000" w:themeColor="text1"/>
          <w:szCs w:val="22"/>
          <w:lang w:val="hy-AM" w:eastAsia="en-US"/>
        </w:rPr>
      </w:pPr>
      <w:r w:rsidRPr="00847EE3">
        <w:rPr>
          <w:b w:val="0"/>
          <w:color w:val="000000" w:themeColor="text1"/>
          <w:szCs w:val="22"/>
          <w:lang w:val="hy-AM"/>
        </w:rPr>
        <w:t>Ծրագրի՝ «Հակակոռուպցիոն կոմիտեի շենքային պայմանների ապահովում» և «Հակակոռուպցիոն դատարանի շենքային պայմանների ապահովում» միջոցառումների համար ՀՀ 2021թ-ի համար նախատեսվել է հատկացնել 2,000,000.0 հազար դրամ՝ յուրաքանչյուր միջոցառման գծով 1,000,000.0 հազարական դրամ:</w:t>
      </w:r>
      <w:r w:rsidRPr="00847EE3">
        <w:rPr>
          <w:b w:val="0"/>
          <w:noProof/>
          <w:color w:val="000000" w:themeColor="text1"/>
          <w:szCs w:val="22"/>
          <w:lang w:val="hy-AM" w:eastAsia="en-US"/>
        </w:rPr>
        <w:t xml:space="preserve"> </w:t>
      </w:r>
    </w:p>
    <w:p w:rsidR="00847EE3" w:rsidRPr="00847EE3" w:rsidRDefault="00847EE3" w:rsidP="007730AA">
      <w:pPr>
        <w:pStyle w:val="Bullet2"/>
        <w:spacing w:before="0"/>
      </w:pPr>
      <w:r w:rsidRPr="00847EE3">
        <w:t>Միաժամանակ արդարադատության ոլորտում նախատեսվում է շարունակել և իրականացնել արտաքին աղբյուրներից ստացվող նպատակային դրամաշնորհային միջոցներով հետևյալ ծրագիրը.</w:t>
      </w:r>
    </w:p>
    <w:p w:rsidR="00847EE3" w:rsidRPr="009070BD" w:rsidRDefault="00847EE3" w:rsidP="007730AA">
      <w:pPr>
        <w:pStyle w:val="Bullet2"/>
        <w:spacing w:before="0"/>
      </w:pPr>
      <w:r w:rsidRPr="00F744E0">
        <w:t xml:space="preserve">ԱՄՆ ՄԶԳ աջակցությամբ իրականացվող «Աջակցություն օրենսդրության զարգացման և իրավական հետազոտությունների կենտրոնի գործունեությանը» դրամաշնորհային ծրագիր, որի նպատակն է հզորացնել մասնգիտական կադրերը և ինստիտուցիոնալացնել շահագրգիռ </w:t>
      </w:r>
      <w:r w:rsidRPr="009070BD">
        <w:t>կողմերի խորհրդատվության արդյունավետ մեխանիզմները: Ծրագիրը բաղկացած է հետևյալ բաղադրիչներից.</w:t>
      </w:r>
    </w:p>
    <w:p w:rsidR="00847EE3" w:rsidRPr="009070BD" w:rsidRDefault="00847EE3" w:rsidP="007730AA">
      <w:pPr>
        <w:pStyle w:val="Bullet2"/>
        <w:numPr>
          <w:ilvl w:val="0"/>
          <w:numId w:val="21"/>
        </w:numPr>
        <w:spacing w:before="0"/>
        <w:ind w:left="0"/>
      </w:pPr>
      <w:r w:rsidRPr="009070BD">
        <w:t>Ամրապնդել կենտրոնի մասնագիտական կադրային ապահովումը</w:t>
      </w:r>
    </w:p>
    <w:p w:rsidR="00847EE3" w:rsidRPr="00F744E0" w:rsidRDefault="00847EE3" w:rsidP="007730AA">
      <w:pPr>
        <w:pStyle w:val="Bullet2"/>
        <w:numPr>
          <w:ilvl w:val="0"/>
          <w:numId w:val="21"/>
        </w:numPr>
        <w:spacing w:before="0"/>
        <w:ind w:left="0"/>
      </w:pPr>
      <w:r w:rsidRPr="009070BD">
        <w:t xml:space="preserve">Համակարգային ձևով կիրառել շահագրգիռ կողմերի հետ քննարկումների արդյունավետ </w:t>
      </w:r>
      <w:r w:rsidRPr="00F744E0">
        <w:t>մեխանիզմները</w:t>
      </w:r>
    </w:p>
    <w:p w:rsidR="008071C6" w:rsidRPr="00F744E0" w:rsidRDefault="00847EE3" w:rsidP="007730AA">
      <w:pPr>
        <w:spacing w:before="0" w:line="276" w:lineRule="auto"/>
        <w:ind w:firstLine="720"/>
        <w:contextualSpacing w:val="0"/>
        <w:rPr>
          <w:b w:val="0"/>
          <w:noProof/>
          <w:szCs w:val="22"/>
          <w:lang w:val="af-ZA" w:eastAsia="en-US"/>
        </w:rPr>
      </w:pPr>
      <w:r w:rsidRPr="00F744E0">
        <w:rPr>
          <w:b w:val="0"/>
          <w:color w:val="000000" w:themeColor="text1"/>
          <w:szCs w:val="22"/>
          <w:lang w:val="af-ZA"/>
        </w:rPr>
        <w:t>2021</w:t>
      </w:r>
      <w:r w:rsidRPr="00F744E0">
        <w:rPr>
          <w:b w:val="0"/>
          <w:color w:val="000000" w:themeColor="text1"/>
          <w:szCs w:val="22"/>
        </w:rPr>
        <w:t>թ</w:t>
      </w:r>
      <w:r w:rsidRPr="00F744E0">
        <w:rPr>
          <w:b w:val="0"/>
          <w:color w:val="000000" w:themeColor="text1"/>
          <w:szCs w:val="22"/>
          <w:lang w:val="af-ZA"/>
        </w:rPr>
        <w:t xml:space="preserve">. </w:t>
      </w:r>
      <w:r w:rsidRPr="00F744E0">
        <w:rPr>
          <w:b w:val="0"/>
          <w:color w:val="000000" w:themeColor="text1"/>
          <w:szCs w:val="22"/>
        </w:rPr>
        <w:t>նախատեսվում</w:t>
      </w:r>
      <w:r w:rsidRPr="00F744E0">
        <w:rPr>
          <w:b w:val="0"/>
          <w:color w:val="000000" w:themeColor="text1"/>
          <w:szCs w:val="22"/>
          <w:lang w:val="af-ZA"/>
        </w:rPr>
        <w:t xml:space="preserve"> </w:t>
      </w:r>
      <w:r w:rsidRPr="00F744E0">
        <w:rPr>
          <w:b w:val="0"/>
          <w:color w:val="000000" w:themeColor="text1"/>
          <w:szCs w:val="22"/>
        </w:rPr>
        <w:t>է</w:t>
      </w:r>
      <w:r w:rsidRPr="00F744E0">
        <w:rPr>
          <w:b w:val="0"/>
          <w:color w:val="000000" w:themeColor="text1"/>
          <w:szCs w:val="22"/>
          <w:lang w:val="af-ZA"/>
        </w:rPr>
        <w:t xml:space="preserve"> 7</w:t>
      </w:r>
      <w:r w:rsidR="00F52486" w:rsidRPr="00F52486">
        <w:rPr>
          <w:b w:val="0"/>
          <w:color w:val="000000" w:themeColor="text1"/>
          <w:szCs w:val="22"/>
          <w:lang w:val="af-ZA"/>
        </w:rPr>
        <w:t>4</w:t>
      </w:r>
      <w:r w:rsidR="000A1ACB">
        <w:rPr>
          <w:b w:val="0"/>
          <w:color w:val="000000" w:themeColor="text1"/>
          <w:szCs w:val="22"/>
          <w:lang w:val="af-ZA"/>
        </w:rPr>
        <w:t>.7</w:t>
      </w:r>
      <w:r w:rsidRPr="00F744E0">
        <w:rPr>
          <w:b w:val="0"/>
          <w:color w:val="000000" w:themeColor="text1"/>
          <w:szCs w:val="22"/>
          <w:lang w:val="af-ZA"/>
        </w:rPr>
        <w:t xml:space="preserve"> </w:t>
      </w:r>
      <w:r w:rsidRPr="00F744E0">
        <w:rPr>
          <w:b w:val="0"/>
          <w:color w:val="000000" w:themeColor="text1"/>
          <w:szCs w:val="22"/>
        </w:rPr>
        <w:t>մլն</w:t>
      </w:r>
      <w:r w:rsidRPr="00F744E0">
        <w:rPr>
          <w:b w:val="0"/>
          <w:color w:val="000000" w:themeColor="text1"/>
          <w:szCs w:val="22"/>
          <w:lang w:val="af-ZA"/>
        </w:rPr>
        <w:t xml:space="preserve"> </w:t>
      </w:r>
      <w:r w:rsidRPr="00F744E0">
        <w:rPr>
          <w:b w:val="0"/>
          <w:color w:val="000000" w:themeColor="text1"/>
          <w:szCs w:val="22"/>
        </w:rPr>
        <w:t>դրամ</w:t>
      </w:r>
      <w:r w:rsidRPr="00F744E0">
        <w:rPr>
          <w:b w:val="0"/>
          <w:color w:val="000000" w:themeColor="text1"/>
          <w:szCs w:val="22"/>
          <w:lang w:val="af-ZA"/>
        </w:rPr>
        <w:t xml:space="preserve">, </w:t>
      </w:r>
      <w:r w:rsidRPr="00F744E0">
        <w:rPr>
          <w:b w:val="0"/>
          <w:color w:val="000000" w:themeColor="text1"/>
          <w:szCs w:val="22"/>
        </w:rPr>
        <w:t>այդ</w:t>
      </w:r>
      <w:r w:rsidRPr="00F744E0">
        <w:rPr>
          <w:b w:val="0"/>
          <w:color w:val="000000" w:themeColor="text1"/>
          <w:szCs w:val="22"/>
          <w:lang w:val="af-ZA"/>
        </w:rPr>
        <w:t xml:space="preserve"> </w:t>
      </w:r>
      <w:r w:rsidRPr="00F744E0">
        <w:rPr>
          <w:b w:val="0"/>
          <w:color w:val="000000" w:themeColor="text1"/>
          <w:szCs w:val="22"/>
        </w:rPr>
        <w:t>թվում</w:t>
      </w:r>
      <w:r w:rsidRPr="00F744E0">
        <w:rPr>
          <w:b w:val="0"/>
          <w:color w:val="000000" w:themeColor="text1"/>
          <w:szCs w:val="22"/>
          <w:lang w:val="af-ZA"/>
        </w:rPr>
        <w:t xml:space="preserve">  դրամաշնորհային </w:t>
      </w:r>
      <w:r w:rsidRPr="00F744E0">
        <w:rPr>
          <w:b w:val="0"/>
          <w:color w:val="000000" w:themeColor="text1"/>
          <w:szCs w:val="22"/>
        </w:rPr>
        <w:t>միջոցներ</w:t>
      </w:r>
      <w:r w:rsidRPr="00F744E0">
        <w:rPr>
          <w:b w:val="0"/>
          <w:color w:val="000000" w:themeColor="text1"/>
          <w:szCs w:val="22"/>
          <w:lang w:val="af-ZA"/>
        </w:rPr>
        <w:t>` 9</w:t>
      </w:r>
      <w:r w:rsidR="000A1ACB">
        <w:rPr>
          <w:b w:val="0"/>
          <w:color w:val="000000" w:themeColor="text1"/>
          <w:szCs w:val="22"/>
          <w:lang w:val="af-ZA"/>
        </w:rPr>
        <w:t>.</w:t>
      </w:r>
      <w:r w:rsidR="00F52486" w:rsidRPr="00F52486">
        <w:rPr>
          <w:b w:val="0"/>
          <w:color w:val="000000" w:themeColor="text1"/>
          <w:szCs w:val="22"/>
          <w:lang w:val="af-ZA"/>
        </w:rPr>
        <w:t>6</w:t>
      </w:r>
      <w:r w:rsidRPr="00F744E0">
        <w:rPr>
          <w:b w:val="0"/>
          <w:color w:val="000000" w:themeColor="text1"/>
          <w:szCs w:val="22"/>
          <w:lang w:val="af-ZA"/>
        </w:rPr>
        <w:t xml:space="preserve"> </w:t>
      </w:r>
      <w:r w:rsidRPr="00F744E0">
        <w:rPr>
          <w:b w:val="0"/>
          <w:color w:val="000000" w:themeColor="text1"/>
          <w:szCs w:val="22"/>
        </w:rPr>
        <w:t>մլն</w:t>
      </w:r>
      <w:r w:rsidRPr="00F744E0">
        <w:rPr>
          <w:b w:val="0"/>
          <w:color w:val="000000" w:themeColor="text1"/>
          <w:szCs w:val="22"/>
          <w:lang w:val="af-ZA"/>
        </w:rPr>
        <w:t xml:space="preserve"> </w:t>
      </w:r>
      <w:r w:rsidRPr="00F744E0">
        <w:rPr>
          <w:b w:val="0"/>
          <w:color w:val="000000" w:themeColor="text1"/>
          <w:szCs w:val="22"/>
        </w:rPr>
        <w:t>դրամ</w:t>
      </w:r>
      <w:r w:rsidRPr="00F744E0">
        <w:rPr>
          <w:b w:val="0"/>
          <w:color w:val="000000" w:themeColor="text1"/>
          <w:szCs w:val="22"/>
          <w:lang w:val="af-ZA"/>
        </w:rPr>
        <w:t xml:space="preserve">, </w:t>
      </w:r>
      <w:r w:rsidRPr="00F744E0">
        <w:rPr>
          <w:b w:val="0"/>
          <w:color w:val="000000" w:themeColor="text1"/>
          <w:szCs w:val="22"/>
        </w:rPr>
        <w:t>ՀՀ</w:t>
      </w:r>
      <w:r w:rsidRPr="00F744E0">
        <w:rPr>
          <w:b w:val="0"/>
          <w:color w:val="000000" w:themeColor="text1"/>
          <w:szCs w:val="22"/>
          <w:lang w:val="af-ZA"/>
        </w:rPr>
        <w:t xml:space="preserve"> </w:t>
      </w:r>
      <w:r w:rsidRPr="00F744E0">
        <w:rPr>
          <w:b w:val="0"/>
          <w:color w:val="000000" w:themeColor="text1"/>
          <w:szCs w:val="22"/>
        </w:rPr>
        <w:t>համաֆինանսավորում</w:t>
      </w:r>
      <w:r w:rsidRPr="00F744E0">
        <w:rPr>
          <w:b w:val="0"/>
          <w:color w:val="000000" w:themeColor="text1"/>
          <w:szCs w:val="22"/>
          <w:lang w:val="af-ZA"/>
        </w:rPr>
        <w:t>` 6</w:t>
      </w:r>
      <w:r w:rsidR="00F52486" w:rsidRPr="00F52486">
        <w:rPr>
          <w:b w:val="0"/>
          <w:color w:val="000000" w:themeColor="text1"/>
          <w:szCs w:val="22"/>
          <w:lang w:val="af-ZA"/>
        </w:rPr>
        <w:t>5</w:t>
      </w:r>
      <w:r w:rsidR="000A1ACB">
        <w:rPr>
          <w:b w:val="0"/>
          <w:color w:val="000000" w:themeColor="text1"/>
          <w:szCs w:val="22"/>
          <w:lang w:val="af-ZA"/>
        </w:rPr>
        <w:t>.1</w:t>
      </w:r>
      <w:r w:rsidRPr="00F744E0">
        <w:rPr>
          <w:b w:val="0"/>
          <w:color w:val="000000" w:themeColor="text1"/>
          <w:szCs w:val="22"/>
          <w:lang w:val="af-ZA"/>
        </w:rPr>
        <w:t xml:space="preserve"> </w:t>
      </w:r>
      <w:r w:rsidRPr="00F744E0">
        <w:rPr>
          <w:b w:val="0"/>
          <w:color w:val="000000" w:themeColor="text1"/>
          <w:szCs w:val="22"/>
        </w:rPr>
        <w:t>մլն</w:t>
      </w:r>
      <w:r w:rsidRPr="00F744E0">
        <w:rPr>
          <w:b w:val="0"/>
          <w:color w:val="000000" w:themeColor="text1"/>
          <w:szCs w:val="22"/>
          <w:lang w:val="af-ZA"/>
        </w:rPr>
        <w:t xml:space="preserve"> </w:t>
      </w:r>
      <w:r w:rsidRPr="00F744E0">
        <w:rPr>
          <w:b w:val="0"/>
          <w:color w:val="000000" w:themeColor="text1"/>
          <w:szCs w:val="22"/>
        </w:rPr>
        <w:t>դրամ</w:t>
      </w:r>
      <w:r w:rsidRPr="00F744E0">
        <w:rPr>
          <w:b w:val="0"/>
          <w:color w:val="000000" w:themeColor="text1"/>
          <w:szCs w:val="22"/>
          <w:lang w:val="af-ZA"/>
        </w:rPr>
        <w:t>:</w:t>
      </w:r>
    </w:p>
    <w:p w:rsidR="00787739" w:rsidRPr="00457531" w:rsidRDefault="00787739" w:rsidP="007730AA">
      <w:pPr>
        <w:keepNext/>
        <w:spacing w:before="0" w:line="276" w:lineRule="auto"/>
        <w:ind w:firstLine="720"/>
        <w:contextualSpacing w:val="0"/>
        <w:jc w:val="center"/>
        <w:outlineLvl w:val="2"/>
        <w:rPr>
          <w:rFonts w:cs="Arial"/>
          <w:szCs w:val="26"/>
          <w:lang w:val="hy-AM" w:eastAsia="en-US"/>
        </w:rPr>
      </w:pPr>
      <w:bookmarkStart w:id="236" w:name="_Toc57655484"/>
      <w:r w:rsidRPr="00457531">
        <w:rPr>
          <w:rFonts w:cs="Arial"/>
          <w:szCs w:val="26"/>
          <w:lang w:val="hy-AM" w:eastAsia="en-US"/>
        </w:rPr>
        <w:t>ՀՀ պաշտպանության նախարարություն</w:t>
      </w:r>
      <w:bookmarkEnd w:id="236"/>
    </w:p>
    <w:p w:rsidR="001C7F6A" w:rsidRPr="00457531" w:rsidRDefault="001C7F6A" w:rsidP="007730AA">
      <w:pPr>
        <w:widowControl w:val="0"/>
        <w:spacing w:before="0" w:line="276" w:lineRule="auto"/>
        <w:ind w:firstLine="720"/>
        <w:rPr>
          <w:rFonts w:eastAsia="Calibri" w:cs="Sylfaen"/>
          <w:b w:val="0"/>
          <w:color w:val="000000" w:themeColor="text1"/>
          <w:szCs w:val="22"/>
          <w:lang w:val="af-ZA"/>
        </w:rPr>
      </w:pPr>
      <w:r w:rsidRPr="00457531">
        <w:rPr>
          <w:rFonts w:eastAsia="Calibri" w:cs="Sylfaen"/>
          <w:b w:val="0"/>
          <w:color w:val="000000" w:themeColor="text1"/>
          <w:szCs w:val="22"/>
          <w:lang w:val="af-ZA"/>
        </w:rPr>
        <w:t>«Ռազմական կարիքների բավարարում» միջոցառման շրջանակներում նախատեսվում է իրա</w:t>
      </w:r>
      <w:r w:rsidRPr="00457531">
        <w:rPr>
          <w:rFonts w:eastAsia="Calibri" w:cs="Sylfaen"/>
          <w:b w:val="0"/>
          <w:color w:val="000000" w:themeColor="text1"/>
          <w:szCs w:val="22"/>
          <w:lang w:val="af-ZA"/>
        </w:rPr>
        <w:softHyphen/>
        <w:t>կա</w:t>
      </w:r>
      <w:r w:rsidRPr="00457531">
        <w:rPr>
          <w:rFonts w:eastAsia="Calibri" w:cs="Sylfaen"/>
          <w:b w:val="0"/>
          <w:color w:val="000000" w:themeColor="text1"/>
          <w:szCs w:val="22"/>
          <w:lang w:val="af-ZA"/>
        </w:rPr>
        <w:softHyphen/>
        <w:t>նացնել ՀՀ պաշտպանության նախարարության ընթացիկ գործունեության ապահովում: ՀՀ 202</w:t>
      </w:r>
      <w:r w:rsidR="00EE3876" w:rsidRPr="00457531">
        <w:rPr>
          <w:rFonts w:eastAsia="Calibri" w:cs="Sylfaen"/>
          <w:b w:val="0"/>
          <w:color w:val="000000" w:themeColor="text1"/>
          <w:szCs w:val="22"/>
          <w:lang w:val="af-ZA"/>
        </w:rPr>
        <w:t>1</w:t>
      </w:r>
      <w:r w:rsidRPr="00457531">
        <w:rPr>
          <w:rFonts w:eastAsia="Calibri" w:cs="Sylfaen"/>
          <w:b w:val="0"/>
          <w:color w:val="000000" w:themeColor="text1"/>
          <w:szCs w:val="22"/>
          <w:lang w:val="af-ZA"/>
        </w:rPr>
        <w:t xml:space="preserve"> թվա</w:t>
      </w:r>
      <w:r w:rsidRPr="00457531">
        <w:rPr>
          <w:rFonts w:eastAsia="Calibri" w:cs="Sylfaen"/>
          <w:b w:val="0"/>
          <w:color w:val="000000" w:themeColor="text1"/>
          <w:szCs w:val="22"/>
          <w:lang w:val="af-ZA"/>
        </w:rPr>
        <w:softHyphen/>
        <w:t xml:space="preserve">կանի պետական բյուջեի նախագծով նշված միջոցառման համար նախտեսվել է </w:t>
      </w:r>
      <w:r w:rsidR="00EE3876" w:rsidRPr="00457531">
        <w:rPr>
          <w:rFonts w:eastAsia="Calibri" w:cs="Sylfaen"/>
          <w:b w:val="0"/>
          <w:color w:val="000000" w:themeColor="text1"/>
          <w:szCs w:val="22"/>
          <w:lang w:val="af-ZA"/>
        </w:rPr>
        <w:t>217</w:t>
      </w:r>
      <w:r w:rsidRPr="00457531">
        <w:rPr>
          <w:rFonts w:eastAsia="Calibri" w:cs="Sylfaen"/>
          <w:b w:val="0"/>
          <w:color w:val="000000" w:themeColor="text1"/>
          <w:szCs w:val="22"/>
          <w:lang w:val="af-ZA"/>
        </w:rPr>
        <w:t>,</w:t>
      </w:r>
      <w:r w:rsidR="00EE3876" w:rsidRPr="00457531">
        <w:rPr>
          <w:rFonts w:eastAsia="Calibri" w:cs="Sylfaen"/>
          <w:b w:val="0"/>
          <w:color w:val="000000" w:themeColor="text1"/>
          <w:szCs w:val="22"/>
          <w:lang w:val="af-ZA"/>
        </w:rPr>
        <w:t>895</w:t>
      </w:r>
      <w:r w:rsidRPr="00457531">
        <w:rPr>
          <w:rFonts w:eastAsia="Calibri" w:cs="Sylfaen"/>
          <w:b w:val="0"/>
          <w:color w:val="000000" w:themeColor="text1"/>
          <w:szCs w:val="22"/>
          <w:lang w:val="af-ZA"/>
        </w:rPr>
        <w:t>.</w:t>
      </w:r>
      <w:r w:rsidR="00EE3876" w:rsidRPr="00457531">
        <w:rPr>
          <w:rFonts w:eastAsia="Calibri" w:cs="Sylfaen"/>
          <w:b w:val="0"/>
          <w:color w:val="000000" w:themeColor="text1"/>
          <w:szCs w:val="22"/>
          <w:lang w:val="af-ZA"/>
        </w:rPr>
        <w:t>5</w:t>
      </w:r>
      <w:r w:rsidRPr="00457531">
        <w:rPr>
          <w:rFonts w:eastAsia="Calibri" w:cs="Sylfaen"/>
          <w:b w:val="0"/>
          <w:color w:val="000000" w:themeColor="text1"/>
          <w:szCs w:val="22"/>
          <w:lang w:val="af-ZA"/>
        </w:rPr>
        <w:t xml:space="preserve"> մլն դրամ, որի աճը ՀՀ 2019 թվականի պետական բյուջեի նկատմամբ կազմում է 1</w:t>
      </w:r>
      <w:r w:rsidR="00EE3876" w:rsidRPr="00457531">
        <w:rPr>
          <w:rFonts w:eastAsia="Calibri" w:cs="Sylfaen"/>
          <w:b w:val="0"/>
          <w:color w:val="000000" w:themeColor="text1"/>
          <w:szCs w:val="22"/>
          <w:lang w:val="af-ZA"/>
        </w:rPr>
        <w:t>0</w:t>
      </w:r>
      <w:r w:rsidRPr="00457531">
        <w:rPr>
          <w:rFonts w:eastAsia="Calibri" w:cs="Sylfaen"/>
          <w:b w:val="0"/>
          <w:color w:val="000000" w:themeColor="text1"/>
          <w:szCs w:val="22"/>
          <w:lang w:val="af-ZA"/>
        </w:rPr>
        <w:t>,</w:t>
      </w:r>
      <w:r w:rsidR="00EE3876" w:rsidRPr="00457531">
        <w:rPr>
          <w:rFonts w:eastAsia="Calibri" w:cs="Sylfaen"/>
          <w:b w:val="0"/>
          <w:color w:val="000000" w:themeColor="text1"/>
          <w:szCs w:val="22"/>
          <w:lang w:val="af-ZA"/>
        </w:rPr>
        <w:t>136</w:t>
      </w:r>
      <w:r w:rsidRPr="00457531">
        <w:rPr>
          <w:rFonts w:eastAsia="Calibri" w:cs="Sylfaen"/>
          <w:b w:val="0"/>
          <w:color w:val="000000" w:themeColor="text1"/>
          <w:szCs w:val="22"/>
          <w:lang w:val="af-ZA"/>
        </w:rPr>
        <w:t>.</w:t>
      </w:r>
      <w:r w:rsidR="00EE3876" w:rsidRPr="00457531">
        <w:rPr>
          <w:rFonts w:eastAsia="Calibri" w:cs="Sylfaen"/>
          <w:b w:val="0"/>
          <w:color w:val="000000" w:themeColor="text1"/>
          <w:szCs w:val="22"/>
          <w:lang w:val="af-ZA"/>
        </w:rPr>
        <w:t>5</w:t>
      </w:r>
      <w:r w:rsidRPr="00457531">
        <w:rPr>
          <w:rFonts w:eastAsia="Calibri" w:cs="Sylfaen"/>
          <w:b w:val="0"/>
          <w:color w:val="000000" w:themeColor="text1"/>
          <w:szCs w:val="22"/>
          <w:lang w:val="af-ZA"/>
        </w:rPr>
        <w:t xml:space="preserve"> մլն դրամ: Նախա</w:t>
      </w:r>
      <w:r w:rsidRPr="00457531">
        <w:rPr>
          <w:rFonts w:eastAsia="Calibri" w:cs="Sylfaen"/>
          <w:b w:val="0"/>
          <w:color w:val="000000" w:themeColor="text1"/>
          <w:szCs w:val="22"/>
          <w:lang w:val="af-ZA"/>
        </w:rPr>
        <w:softHyphen/>
        <w:t>տեսված գումարի ավելացումը պայմանավորված է ՀՆԱ-ի աճով:</w:t>
      </w:r>
    </w:p>
    <w:p w:rsidR="001C7F6A" w:rsidRPr="00457531" w:rsidRDefault="009070BD" w:rsidP="007730AA">
      <w:pPr>
        <w:widowControl w:val="0"/>
        <w:spacing w:before="0" w:line="276" w:lineRule="auto"/>
        <w:ind w:firstLine="720"/>
        <w:rPr>
          <w:rFonts w:eastAsia="Calibri" w:cs="Sylfaen"/>
          <w:b w:val="0"/>
          <w:color w:val="000000" w:themeColor="text1"/>
          <w:szCs w:val="22"/>
          <w:lang w:val="af-ZA"/>
        </w:rPr>
      </w:pPr>
      <w:r w:rsidRPr="00457531">
        <w:rPr>
          <w:rFonts w:eastAsia="Calibri" w:cs="Sylfaen"/>
          <w:b w:val="0"/>
          <w:color w:val="000000" w:themeColor="text1"/>
          <w:szCs w:val="22"/>
          <w:lang w:val="af-ZA"/>
        </w:rPr>
        <w:t xml:space="preserve"> </w:t>
      </w:r>
      <w:r w:rsidR="001C7F6A" w:rsidRPr="00457531">
        <w:rPr>
          <w:rFonts w:eastAsia="Calibri" w:cs="Sylfaen"/>
          <w:b w:val="0"/>
          <w:color w:val="000000" w:themeColor="text1"/>
          <w:szCs w:val="22"/>
          <w:lang w:val="af-ZA"/>
        </w:rPr>
        <w:t>«Ռազմական նշանակության համակարգերի պահպանում» միջոցառման շրջանակներում նախա</w:t>
      </w:r>
      <w:r w:rsidR="001C7F6A" w:rsidRPr="00457531">
        <w:rPr>
          <w:rFonts w:eastAsia="Calibri" w:cs="Sylfaen"/>
          <w:b w:val="0"/>
          <w:color w:val="000000" w:themeColor="text1"/>
          <w:szCs w:val="22"/>
          <w:lang w:val="af-ZA"/>
        </w:rPr>
        <w:softHyphen/>
        <w:t>տեսվում է իրականացնել ՀՀ տարածքում տեղակայված հակաօդային ռազմական նշանա</w:t>
      </w:r>
      <w:r w:rsidR="001C7F6A" w:rsidRPr="00457531">
        <w:rPr>
          <w:rFonts w:eastAsia="Calibri" w:cs="Sylfaen"/>
          <w:b w:val="0"/>
          <w:color w:val="000000" w:themeColor="text1"/>
          <w:szCs w:val="22"/>
          <w:lang w:val="af-ZA"/>
        </w:rPr>
        <w:softHyphen/>
        <w:t>կության համակարգերի պահպանում: ՀՀ 202</w:t>
      </w:r>
      <w:r w:rsidR="00EE3876" w:rsidRPr="00457531">
        <w:rPr>
          <w:rFonts w:eastAsia="Calibri" w:cs="Sylfaen"/>
          <w:b w:val="0"/>
          <w:color w:val="000000" w:themeColor="text1"/>
          <w:szCs w:val="22"/>
          <w:lang w:val="af-ZA"/>
        </w:rPr>
        <w:t>1</w:t>
      </w:r>
      <w:r w:rsidR="001C7F6A" w:rsidRPr="00457531">
        <w:rPr>
          <w:rFonts w:eastAsia="Calibri" w:cs="Sylfaen"/>
          <w:b w:val="0"/>
          <w:color w:val="000000" w:themeColor="text1"/>
          <w:szCs w:val="22"/>
          <w:lang w:val="af-ZA"/>
        </w:rPr>
        <w:t xml:space="preserve"> թվականի պետական բյուջեի նախագծով նշված միջոցառման համար նախատեսվել է 1,170.2 մլն դրամ` ՀՀ 20</w:t>
      </w:r>
      <w:r w:rsidR="00EE3876" w:rsidRPr="00457531">
        <w:rPr>
          <w:rFonts w:eastAsia="Calibri" w:cs="Sylfaen"/>
          <w:b w:val="0"/>
          <w:color w:val="000000" w:themeColor="text1"/>
          <w:szCs w:val="22"/>
          <w:lang w:val="af-ZA"/>
        </w:rPr>
        <w:t>20</w:t>
      </w:r>
      <w:r w:rsidR="001C7F6A" w:rsidRPr="00457531">
        <w:rPr>
          <w:rFonts w:eastAsia="Calibri" w:cs="Sylfaen"/>
          <w:b w:val="0"/>
          <w:color w:val="000000" w:themeColor="text1"/>
          <w:szCs w:val="22"/>
          <w:lang w:val="af-ZA"/>
        </w:rPr>
        <w:t xml:space="preserve"> թվականի պետական բյուջեով հաստատված գումարի չափով:</w:t>
      </w:r>
    </w:p>
    <w:p w:rsidR="001C7F6A" w:rsidRPr="00457531" w:rsidRDefault="001C7F6A" w:rsidP="007730AA">
      <w:pPr>
        <w:widowControl w:val="0"/>
        <w:spacing w:before="0" w:line="276" w:lineRule="auto"/>
        <w:ind w:firstLine="720"/>
        <w:rPr>
          <w:rFonts w:eastAsia="Calibri" w:cs="Sylfaen"/>
          <w:b w:val="0"/>
          <w:color w:val="000000" w:themeColor="text1"/>
          <w:szCs w:val="22"/>
          <w:lang w:val="af-ZA"/>
        </w:rPr>
      </w:pPr>
      <w:r w:rsidRPr="00457531">
        <w:rPr>
          <w:rFonts w:eastAsia="Calibri" w:cs="Sylfaen"/>
          <w:b w:val="0"/>
          <w:color w:val="000000" w:themeColor="text1"/>
          <w:szCs w:val="22"/>
          <w:lang w:val="af-ZA"/>
        </w:rPr>
        <w:t>«ՀՀ պաշտպանության նախարարության շենքային պայմանների բարելավում» միջոցառման շրջանակներում նախատեսվում է իրականացնել պաշտպանության կարիքների համար անհրաժեշտ բնակելի, գրասենյակային և այլ նշանակության շենքերի և շինությունների պայմանների բարելա</w:t>
      </w:r>
      <w:r w:rsidRPr="00457531">
        <w:rPr>
          <w:rFonts w:eastAsia="Calibri" w:cs="Sylfaen"/>
          <w:b w:val="0"/>
          <w:color w:val="000000" w:themeColor="text1"/>
          <w:szCs w:val="22"/>
          <w:lang w:val="af-ZA"/>
        </w:rPr>
        <w:softHyphen/>
        <w:t>վում: Վերը նշված միջոցառման գծով ՀՀ 202</w:t>
      </w:r>
      <w:r w:rsidR="00EE3876" w:rsidRPr="00457531">
        <w:rPr>
          <w:rFonts w:eastAsia="Calibri" w:cs="Sylfaen"/>
          <w:b w:val="0"/>
          <w:color w:val="000000" w:themeColor="text1"/>
          <w:szCs w:val="22"/>
          <w:lang w:val="af-ZA"/>
        </w:rPr>
        <w:t>1</w:t>
      </w:r>
      <w:r w:rsidRPr="00457531">
        <w:rPr>
          <w:rFonts w:eastAsia="Calibri" w:cs="Sylfaen"/>
          <w:b w:val="0"/>
          <w:color w:val="000000" w:themeColor="text1"/>
          <w:szCs w:val="22"/>
          <w:lang w:val="af-ZA"/>
        </w:rPr>
        <w:t xml:space="preserve"> թվականի պետական բյուջեի նախագծով նախատեսվել է 8</w:t>
      </w:r>
      <w:r w:rsidR="00EE3876" w:rsidRPr="00457531">
        <w:rPr>
          <w:rFonts w:eastAsia="Calibri" w:cs="Sylfaen"/>
          <w:b w:val="0"/>
          <w:color w:val="000000" w:themeColor="text1"/>
          <w:szCs w:val="22"/>
          <w:lang w:val="af-ZA"/>
        </w:rPr>
        <w:t>7</w:t>
      </w:r>
      <w:r w:rsidRPr="00457531">
        <w:rPr>
          <w:rFonts w:eastAsia="Calibri" w:cs="Sylfaen"/>
          <w:b w:val="0"/>
          <w:color w:val="000000" w:themeColor="text1"/>
          <w:szCs w:val="22"/>
          <w:lang w:val="af-ZA"/>
        </w:rPr>
        <w:t>,</w:t>
      </w:r>
      <w:r w:rsidR="00EE3876" w:rsidRPr="00457531">
        <w:rPr>
          <w:rFonts w:eastAsia="Calibri" w:cs="Sylfaen"/>
          <w:b w:val="0"/>
          <w:color w:val="000000" w:themeColor="text1"/>
          <w:szCs w:val="22"/>
          <w:lang w:val="af-ZA"/>
        </w:rPr>
        <w:t>239</w:t>
      </w:r>
      <w:r w:rsidRPr="00457531">
        <w:rPr>
          <w:rFonts w:eastAsia="Calibri" w:cs="Sylfaen"/>
          <w:b w:val="0"/>
          <w:color w:val="000000" w:themeColor="text1"/>
          <w:szCs w:val="22"/>
          <w:lang w:val="af-ZA"/>
        </w:rPr>
        <w:t>.</w:t>
      </w:r>
      <w:r w:rsidR="00EE3876" w:rsidRPr="00457531">
        <w:rPr>
          <w:rFonts w:eastAsia="Calibri" w:cs="Sylfaen"/>
          <w:b w:val="0"/>
          <w:color w:val="000000" w:themeColor="text1"/>
          <w:szCs w:val="22"/>
          <w:lang w:val="af-ZA"/>
        </w:rPr>
        <w:t>8</w:t>
      </w:r>
      <w:r w:rsidRPr="00457531">
        <w:rPr>
          <w:rFonts w:eastAsia="Calibri" w:cs="Sylfaen"/>
          <w:b w:val="0"/>
          <w:color w:val="000000" w:themeColor="text1"/>
          <w:szCs w:val="22"/>
          <w:lang w:val="af-ZA"/>
        </w:rPr>
        <w:t xml:space="preserve"> մլն դրամ, որի աճը ՀՀ 20</w:t>
      </w:r>
      <w:r w:rsidR="00EE3876" w:rsidRPr="00457531">
        <w:rPr>
          <w:rFonts w:eastAsia="Calibri" w:cs="Sylfaen"/>
          <w:b w:val="0"/>
          <w:color w:val="000000" w:themeColor="text1"/>
          <w:szCs w:val="22"/>
          <w:lang w:val="af-ZA"/>
        </w:rPr>
        <w:t>20</w:t>
      </w:r>
      <w:r w:rsidRPr="00457531">
        <w:rPr>
          <w:rFonts w:eastAsia="Calibri" w:cs="Sylfaen"/>
          <w:b w:val="0"/>
          <w:color w:val="000000" w:themeColor="text1"/>
          <w:szCs w:val="22"/>
          <w:lang w:val="af-ZA"/>
        </w:rPr>
        <w:t xml:space="preserve"> թվականի պետական բյուջեի նկատմամբ կազմում է </w:t>
      </w:r>
      <w:r w:rsidR="00EE3876" w:rsidRPr="00457531">
        <w:rPr>
          <w:rFonts w:eastAsia="Calibri" w:cs="Sylfaen"/>
          <w:b w:val="0"/>
          <w:color w:val="000000" w:themeColor="text1"/>
          <w:szCs w:val="22"/>
          <w:lang w:val="af-ZA"/>
        </w:rPr>
        <w:t>6</w:t>
      </w:r>
      <w:r w:rsidRPr="00457531">
        <w:rPr>
          <w:rFonts w:eastAsia="Calibri" w:cs="Sylfaen"/>
          <w:b w:val="0"/>
          <w:color w:val="000000" w:themeColor="text1"/>
          <w:szCs w:val="22"/>
          <w:lang w:val="af-ZA"/>
        </w:rPr>
        <w:t>,</w:t>
      </w:r>
      <w:r w:rsidR="00EE3876" w:rsidRPr="00457531">
        <w:rPr>
          <w:rFonts w:eastAsia="Calibri" w:cs="Sylfaen"/>
          <w:b w:val="0"/>
          <w:color w:val="000000" w:themeColor="text1"/>
          <w:szCs w:val="22"/>
          <w:lang w:val="af-ZA"/>
        </w:rPr>
        <w:t>250</w:t>
      </w:r>
      <w:r w:rsidRPr="00457531">
        <w:rPr>
          <w:rFonts w:eastAsia="Calibri" w:cs="Sylfaen"/>
          <w:b w:val="0"/>
          <w:color w:val="000000" w:themeColor="text1"/>
          <w:szCs w:val="22"/>
          <w:lang w:val="af-ZA"/>
        </w:rPr>
        <w:t>.</w:t>
      </w:r>
      <w:r w:rsidR="00EE3876" w:rsidRPr="00457531">
        <w:rPr>
          <w:rFonts w:eastAsia="Calibri" w:cs="Sylfaen"/>
          <w:b w:val="0"/>
          <w:color w:val="000000" w:themeColor="text1"/>
          <w:szCs w:val="22"/>
          <w:lang w:val="af-ZA"/>
        </w:rPr>
        <w:t>6</w:t>
      </w:r>
      <w:r w:rsidRPr="00457531">
        <w:rPr>
          <w:rFonts w:eastAsia="Calibri" w:cs="Sylfaen"/>
          <w:b w:val="0"/>
          <w:color w:val="000000" w:themeColor="text1"/>
          <w:szCs w:val="22"/>
          <w:lang w:val="af-ZA"/>
        </w:rPr>
        <w:t xml:space="preserve"> մլն դրամ:</w:t>
      </w:r>
    </w:p>
    <w:p w:rsidR="001C7F6A" w:rsidRPr="00457531" w:rsidRDefault="001C7F6A" w:rsidP="007730AA">
      <w:pPr>
        <w:widowControl w:val="0"/>
        <w:spacing w:before="0" w:line="276" w:lineRule="auto"/>
        <w:ind w:firstLine="720"/>
        <w:rPr>
          <w:rFonts w:eastAsia="Calibri" w:cs="Sylfaen"/>
          <w:b w:val="0"/>
          <w:color w:val="000000" w:themeColor="text1"/>
          <w:szCs w:val="22"/>
          <w:lang w:val="af-ZA"/>
        </w:rPr>
      </w:pPr>
      <w:r w:rsidRPr="00457531">
        <w:rPr>
          <w:rFonts w:eastAsia="Calibri" w:cs="Sylfaen"/>
          <w:b w:val="0"/>
          <w:color w:val="000000" w:themeColor="text1"/>
          <w:szCs w:val="22"/>
          <w:lang w:val="af-ZA"/>
        </w:rPr>
        <w:t>«Հումանիտար ականազերծման և փորձագիտական ծառայությունների կազմակերպում»  միջո</w:t>
      </w:r>
      <w:r w:rsidRPr="00457531">
        <w:rPr>
          <w:rFonts w:eastAsia="Calibri" w:cs="Sylfaen"/>
          <w:b w:val="0"/>
          <w:color w:val="000000" w:themeColor="text1"/>
          <w:szCs w:val="22"/>
          <w:lang w:val="af-ZA"/>
        </w:rPr>
        <w:softHyphen/>
        <w:t>ցառման շրջանակներում նախատեսվում է ՀՀ տարածքում իրականացնել հակաականային գործո</w:t>
      </w:r>
      <w:r w:rsidRPr="00457531">
        <w:rPr>
          <w:rFonts w:eastAsia="Calibri" w:cs="Sylfaen"/>
          <w:b w:val="0"/>
          <w:color w:val="000000" w:themeColor="text1"/>
          <w:szCs w:val="22"/>
          <w:lang w:val="af-ZA"/>
        </w:rPr>
        <w:softHyphen/>
        <w:t>ղությունների ենթակա տարածքի հետազննում, քարտեզագրում, նախատեսվող ծավալի աշխա</w:t>
      </w:r>
      <w:r w:rsidRPr="00457531">
        <w:rPr>
          <w:rFonts w:eastAsia="Calibri" w:cs="Sylfaen"/>
          <w:b w:val="0"/>
          <w:color w:val="000000" w:themeColor="text1"/>
          <w:szCs w:val="22"/>
          <w:lang w:val="af-ZA"/>
        </w:rPr>
        <w:softHyphen/>
        <w:t>տանքների հստակեցում և իրականացվող միջոցառումների պլանավորում: Վերը նշված միջոցառ</w:t>
      </w:r>
      <w:r w:rsidRPr="00457531">
        <w:rPr>
          <w:rFonts w:eastAsia="Calibri" w:cs="Sylfaen"/>
          <w:b w:val="0"/>
          <w:color w:val="000000" w:themeColor="text1"/>
          <w:szCs w:val="22"/>
          <w:lang w:val="af-ZA"/>
        </w:rPr>
        <w:softHyphen/>
        <w:t>ման գծով ՀՀ 202</w:t>
      </w:r>
      <w:r w:rsidR="00EE3876" w:rsidRPr="00457531">
        <w:rPr>
          <w:rFonts w:eastAsia="Calibri" w:cs="Sylfaen"/>
          <w:b w:val="0"/>
          <w:color w:val="000000" w:themeColor="text1"/>
          <w:szCs w:val="22"/>
          <w:lang w:val="af-ZA"/>
        </w:rPr>
        <w:t>1</w:t>
      </w:r>
      <w:r w:rsidRPr="00457531">
        <w:rPr>
          <w:rFonts w:eastAsia="Calibri" w:cs="Sylfaen"/>
          <w:b w:val="0"/>
          <w:color w:val="000000" w:themeColor="text1"/>
          <w:szCs w:val="22"/>
          <w:lang w:val="af-ZA"/>
        </w:rPr>
        <w:t xml:space="preserve"> թվականի պետական բյուջեի նախագծով նախատեսվել է 338.9 մլն դրամ` ՀՀ 20</w:t>
      </w:r>
      <w:r w:rsidR="00EE3876" w:rsidRPr="00457531">
        <w:rPr>
          <w:rFonts w:eastAsia="Calibri" w:cs="Sylfaen"/>
          <w:b w:val="0"/>
          <w:color w:val="000000" w:themeColor="text1"/>
          <w:szCs w:val="22"/>
          <w:lang w:val="af-ZA"/>
        </w:rPr>
        <w:t>20</w:t>
      </w:r>
      <w:r w:rsidRPr="00457531">
        <w:rPr>
          <w:rFonts w:eastAsia="Calibri" w:cs="Sylfaen"/>
          <w:b w:val="0"/>
          <w:color w:val="000000" w:themeColor="text1"/>
          <w:szCs w:val="22"/>
          <w:lang w:val="af-ZA"/>
        </w:rPr>
        <w:t xml:space="preserve"> թվականի պետական բյուջեով հաստատված գումարի չափով: </w:t>
      </w:r>
    </w:p>
    <w:p w:rsidR="00404BE6" w:rsidRPr="00457531" w:rsidRDefault="00404BE6" w:rsidP="007730AA">
      <w:pPr>
        <w:widowControl w:val="0"/>
        <w:spacing w:before="0" w:line="276" w:lineRule="auto"/>
        <w:ind w:firstLine="720"/>
        <w:contextualSpacing w:val="0"/>
        <w:rPr>
          <w:rFonts w:eastAsia="Calibri" w:cs="Sylfaen"/>
          <w:b w:val="0"/>
          <w:color w:val="000000" w:themeColor="text1"/>
          <w:szCs w:val="22"/>
          <w:lang w:val="af-ZA"/>
        </w:rPr>
      </w:pPr>
      <w:r w:rsidRPr="00457531">
        <w:rPr>
          <w:rFonts w:eastAsia="Calibri" w:cs="Sylfaen"/>
          <w:b w:val="0"/>
          <w:color w:val="000000" w:themeColor="text1"/>
          <w:szCs w:val="22"/>
          <w:lang w:val="af-ZA"/>
        </w:rPr>
        <w:t>«Զինծառայողներին, ինչպես նաև փրկարար ծառայողներին և նրանց ընտանիքի անդամներին բժշկական օգնության ծառայություններ» միջոցառման շրջանակներում իրականացվում է զինծառայողների և նրանց ընտանիքների անդամների, ինչպես նաև Հայաստանի Հանրապետության պաշտպանության մարտական գործողություններին մասնակցելիս կամ հակառակորդի հետ շփման գծում մարտական հերթապահություն կամ հատուկ առաջադրանք կամ ծառայողական պարտականություններ կատարելիս վնասվածք կամ խեղում կամ դրանց հետևանքով հիվանդություն ստացած զինծառայողների երկարաժամկետ վերականգնողական բուժումը, ինչպես նաև մի շարք հարբժշկական միջոցառումներ:</w:t>
      </w:r>
    </w:p>
    <w:p w:rsidR="00404BE6" w:rsidRPr="00457531" w:rsidRDefault="00404BE6" w:rsidP="007730AA">
      <w:pPr>
        <w:widowControl w:val="0"/>
        <w:spacing w:before="0" w:line="276" w:lineRule="auto"/>
        <w:ind w:firstLine="720"/>
        <w:contextualSpacing w:val="0"/>
        <w:rPr>
          <w:rFonts w:eastAsia="Calibri" w:cs="Sylfaen"/>
          <w:b w:val="0"/>
          <w:color w:val="000000" w:themeColor="text1"/>
          <w:szCs w:val="22"/>
          <w:lang w:val="af-ZA"/>
        </w:rPr>
      </w:pPr>
      <w:r w:rsidRPr="00457531">
        <w:rPr>
          <w:rFonts w:eastAsia="Calibri" w:cs="Sylfaen"/>
          <w:b w:val="0"/>
          <w:color w:val="000000" w:themeColor="text1"/>
          <w:szCs w:val="22"/>
          <w:lang w:val="af-ZA"/>
        </w:rPr>
        <w:t xml:space="preserve">Միջոցառման գծով ՀՀ 2021 թվականի պետական բյուջեի նախագծով նախատեսվել է 132.0 մլն դրամ` ՀՀ 2020 թվականի պետական բյուջեով հաստատված գումարից 27.4 մլն դրամով կամ 26.2%-ով ավել, որը պայմանավորված է ծրագրային միջոցառումների շտկմամբ և ներծրագրային վերաբաշխմամբ: </w:t>
      </w:r>
    </w:p>
    <w:p w:rsidR="00404BE6" w:rsidRPr="00457531" w:rsidRDefault="00404BE6" w:rsidP="007730AA">
      <w:pPr>
        <w:widowControl w:val="0"/>
        <w:spacing w:before="0" w:line="276" w:lineRule="auto"/>
        <w:ind w:firstLine="720"/>
        <w:contextualSpacing w:val="0"/>
        <w:rPr>
          <w:rFonts w:eastAsia="Calibri" w:cs="Sylfaen"/>
          <w:b w:val="0"/>
          <w:color w:val="000000" w:themeColor="text1"/>
          <w:szCs w:val="22"/>
          <w:lang w:val="af-ZA"/>
        </w:rPr>
      </w:pPr>
      <w:r w:rsidRPr="00457531">
        <w:rPr>
          <w:rFonts w:eastAsia="Calibri" w:cs="Sylfaen"/>
          <w:b w:val="0"/>
          <w:color w:val="000000" w:themeColor="text1"/>
          <w:szCs w:val="22"/>
          <w:lang w:val="af-ZA"/>
        </w:rPr>
        <w:t>«Հիգիենիկ և համաճարակային փորձագիտական ծառայությունների տրամադրում» միջոցառման շրջանակներում կշարունակվի ՀՀ զինված ուժերում սանիտարահամաճարակային անվտանգության ապահովմանը, վարակիչ և ոչ վարակիչ հիվանդությունների ու քիմիական թունավորումների դեմ պայքարը, ինչպես նաև կանխարգելման գործընթացին ուղղված աշխատանքները:</w:t>
      </w:r>
    </w:p>
    <w:p w:rsidR="001C7F6A" w:rsidRPr="00457531" w:rsidRDefault="00404BE6" w:rsidP="007730AA">
      <w:pPr>
        <w:widowControl w:val="0"/>
        <w:spacing w:before="0" w:line="276" w:lineRule="auto"/>
        <w:ind w:firstLine="720"/>
        <w:contextualSpacing w:val="0"/>
        <w:rPr>
          <w:rFonts w:eastAsia="Calibri" w:cs="Sylfaen"/>
          <w:b w:val="0"/>
          <w:color w:val="000000" w:themeColor="text1"/>
          <w:szCs w:val="22"/>
          <w:lang w:val="af-ZA"/>
        </w:rPr>
      </w:pPr>
      <w:r w:rsidRPr="00457531">
        <w:rPr>
          <w:rFonts w:eastAsia="Calibri" w:cs="Sylfaen"/>
          <w:b w:val="0"/>
          <w:color w:val="000000" w:themeColor="text1"/>
          <w:szCs w:val="22"/>
          <w:lang w:val="af-ZA"/>
        </w:rPr>
        <w:t>Միջոցառման գծով ՀՀ 2021 թվականի պետական բյուջեի նախագծով նախատեսվել է 37.3 մլն դրամ` ՀՀ 2020 թվականի պետական բյուջեով հաստատված գումարից 5.0 մլն դրամով կամ 15.5%-ով ավել, որը պայմանավորված է՝ ռազմաբժշկական հաստատություններում բժշկական բույթի թափոնների ոչնչացում</w:t>
      </w:r>
      <w:r w:rsidR="001960C3" w:rsidRPr="00457531">
        <w:rPr>
          <w:rFonts w:eastAsia="Calibri" w:cs="Sylfaen"/>
          <w:b w:val="0"/>
          <w:color w:val="000000" w:themeColor="text1"/>
          <w:szCs w:val="22"/>
          <w:lang w:val="af-ZA"/>
        </w:rPr>
        <w:t>ը</w:t>
      </w:r>
      <w:r w:rsidRPr="00457531">
        <w:rPr>
          <w:rFonts w:eastAsia="Calibri" w:cs="Sylfaen"/>
          <w:b w:val="0"/>
          <w:color w:val="000000" w:themeColor="text1"/>
          <w:szCs w:val="22"/>
          <w:lang w:val="af-ZA"/>
        </w:rPr>
        <w:t xml:space="preserve"> սանիտարական նորմերին և պահանջներին համապատասխանեցնելու հանգամանքով:</w:t>
      </w:r>
    </w:p>
    <w:p w:rsidR="001A5273" w:rsidRPr="00457531" w:rsidRDefault="001A5273" w:rsidP="007730AA">
      <w:pPr>
        <w:widowControl w:val="0"/>
        <w:spacing w:before="0" w:line="276" w:lineRule="auto"/>
        <w:ind w:firstLine="720"/>
        <w:rPr>
          <w:rFonts w:eastAsia="Calibri" w:cs="Sylfaen"/>
          <w:b w:val="0"/>
          <w:color w:val="000000" w:themeColor="text1"/>
          <w:szCs w:val="22"/>
          <w:lang w:val="af-ZA"/>
        </w:rPr>
      </w:pPr>
      <w:r w:rsidRPr="00457531">
        <w:rPr>
          <w:rFonts w:eastAsia="Calibri" w:cs="Sylfaen"/>
          <w:b w:val="0"/>
          <w:color w:val="000000" w:themeColor="text1"/>
          <w:szCs w:val="22"/>
          <w:lang w:val="af-ZA"/>
        </w:rPr>
        <w:t xml:space="preserve">«Հոսպիտալների և բուժկետերի բժշկական սարքավորումների պահպանման ծառայություններ» միջոցառման շրջանակներում ռազմաբժշկական հաստատություններում մատուցվող բժշկական օգնության և սպասարկման, ինչպես նաև լաբորատոր և գործիքային ախտորոշիչ հետազոտությունների իրականացման անընդհատությունը և անվտանգությունն ապահովելու նպատակով մշտապես իրականացվում է բժշկական սարքավորումների արդիականացում, դրանց սպասարկում, կարգաբերում, ընթացիկ և կապիտալ վերանորոգում, որի գծով ՀՀ 2021 թվականի պետական բյուջեի նախագծով նախատեսվել է 40.0 մլն դրամ` ՀՀ 2020 թվականի պետական բյուջեով հաստատված գումարի չափով: </w:t>
      </w:r>
    </w:p>
    <w:p w:rsidR="001A5273" w:rsidRPr="00457531" w:rsidRDefault="001A5273" w:rsidP="007730AA">
      <w:pPr>
        <w:widowControl w:val="0"/>
        <w:spacing w:before="0" w:line="276" w:lineRule="auto"/>
        <w:ind w:firstLine="720"/>
        <w:rPr>
          <w:rFonts w:eastAsia="Calibri" w:cs="Sylfaen"/>
          <w:b w:val="0"/>
          <w:color w:val="000000" w:themeColor="text1"/>
          <w:szCs w:val="22"/>
          <w:lang w:val="af-ZA"/>
        </w:rPr>
      </w:pPr>
      <w:r w:rsidRPr="00457531">
        <w:rPr>
          <w:rFonts w:eastAsia="Calibri" w:cs="Sylfaen"/>
          <w:b w:val="0"/>
          <w:color w:val="000000" w:themeColor="text1"/>
          <w:szCs w:val="22"/>
          <w:lang w:val="af-ZA"/>
        </w:rPr>
        <w:t>«Դեղորայքի տրամադրում զորամասային և հոսպիտալային օղակներում բուժօգնություն ստացողներին» միջոցառման շրջանակներում բոլոր հոսպիտալներում, պոլիկլինիկաներում, առանձին բժշկական ջոկատներում և զորամասերի բուժկետերում բժշկական օգնություն և սպասարկում ստացողներին տրամադրելու նպատակով կենտրոնացված կարգով իրականացվում է դեղերի, վիրակապական և ծախսվող այլ միջոցների ձեռքբերում:</w:t>
      </w:r>
    </w:p>
    <w:p w:rsidR="001A5273" w:rsidRPr="00457531" w:rsidRDefault="001A5273" w:rsidP="007730AA">
      <w:pPr>
        <w:widowControl w:val="0"/>
        <w:spacing w:before="0" w:line="276" w:lineRule="auto"/>
        <w:ind w:firstLine="720"/>
        <w:rPr>
          <w:rFonts w:eastAsia="Calibri" w:cs="Sylfaen"/>
          <w:b w:val="0"/>
          <w:color w:val="000000" w:themeColor="text1"/>
          <w:szCs w:val="22"/>
          <w:lang w:val="af-ZA"/>
        </w:rPr>
      </w:pPr>
      <w:r w:rsidRPr="00457531">
        <w:rPr>
          <w:rFonts w:eastAsia="Calibri" w:cs="Sylfaen"/>
          <w:b w:val="0"/>
          <w:color w:val="000000" w:themeColor="text1"/>
          <w:szCs w:val="22"/>
          <w:lang w:val="af-ZA"/>
        </w:rPr>
        <w:t xml:space="preserve">Միջոցառման գծով ՀՀ 2021 թվականի պետական բյուջեի նախագծով նախատեսվել է 1,496.2 մլն դրամ` ՀՀ 2020 թվականի պետական բյուջեով հաստատված գումարից 20.9 մլն դրամով կամ 1.4%-ով պակաս: </w:t>
      </w:r>
    </w:p>
    <w:p w:rsidR="001A5273" w:rsidRPr="00457531" w:rsidRDefault="001A5273" w:rsidP="007730AA">
      <w:pPr>
        <w:widowControl w:val="0"/>
        <w:spacing w:before="0" w:line="276" w:lineRule="auto"/>
        <w:ind w:firstLine="720"/>
        <w:contextualSpacing w:val="0"/>
        <w:rPr>
          <w:rFonts w:eastAsia="Calibri" w:cs="Sylfaen"/>
          <w:b w:val="0"/>
          <w:color w:val="000000" w:themeColor="text1"/>
          <w:szCs w:val="22"/>
          <w:lang w:val="af-ZA"/>
        </w:rPr>
      </w:pPr>
      <w:r w:rsidRPr="00457531">
        <w:rPr>
          <w:rFonts w:eastAsia="Calibri" w:cs="Sylfaen"/>
          <w:b w:val="0"/>
          <w:color w:val="000000" w:themeColor="text1"/>
          <w:szCs w:val="22"/>
          <w:lang w:val="af-ZA"/>
        </w:rPr>
        <w:t>«Հոսպիտալների և բուժկետերի բժշկական սարքավորումներով համալրում» միջոցառման շրջանակներում նախատեսվում է զորամասերի բուժկետերը և ռազմաբժշկական հաստատությունները համալրել ժամանակակից բժշկական սարքավորումներով և գույքով, որոնք հնարավորություն են տալու մեծացնել մատուցվող բժշկական օգնության և սպասարկման ծառայությունների ծավալները, ապահովել բարձր որակ, բուժօգնության հասանելիություն և մատչելիություն:</w:t>
      </w:r>
    </w:p>
    <w:p w:rsidR="001A5273" w:rsidRPr="009070BD" w:rsidRDefault="001A5273" w:rsidP="007730AA">
      <w:pPr>
        <w:widowControl w:val="0"/>
        <w:spacing w:before="0" w:line="276" w:lineRule="auto"/>
        <w:ind w:firstLine="720"/>
        <w:contextualSpacing w:val="0"/>
        <w:rPr>
          <w:rFonts w:cs="Sylfaen"/>
          <w:b w:val="0"/>
          <w:sz w:val="24"/>
          <w:lang w:val="hy-AM"/>
        </w:rPr>
      </w:pPr>
      <w:r w:rsidRPr="00457531">
        <w:rPr>
          <w:rFonts w:eastAsia="Calibri" w:cs="Sylfaen"/>
          <w:b w:val="0"/>
          <w:color w:val="000000" w:themeColor="text1"/>
          <w:szCs w:val="22"/>
          <w:lang w:val="af-ZA"/>
        </w:rPr>
        <w:t xml:space="preserve">Միջոցառման գծով ՀՀ 2021 թվականի պետական բյուջեի նախագծով նախատեսվել է 1,129.8 մլն դրամ` ՀՀ 2020 թվականի պետական բյուջեով հաստատված գումարից 970.5 մլն դրամով ավել, որը պայմանավորված է զորամասերի բուժկետերի և ռազմաբժշկական հաստատությունների համալրմամբ ժամանակակից բժշկական սարքավորումներով և գույքով: </w:t>
      </w:r>
    </w:p>
    <w:p w:rsidR="00787739" w:rsidRPr="009070BD" w:rsidRDefault="00787739" w:rsidP="007730AA">
      <w:pPr>
        <w:pStyle w:val="Heading3"/>
        <w:spacing w:before="0"/>
        <w:ind w:firstLine="720"/>
      </w:pPr>
      <w:bookmarkStart w:id="237" w:name="_Toc57655485"/>
      <w:r w:rsidRPr="009070BD">
        <w:t>ՀՀ Ոստիկանություն</w:t>
      </w:r>
      <w:bookmarkEnd w:id="237"/>
    </w:p>
    <w:p w:rsidR="001C7F6A" w:rsidRPr="009070BD" w:rsidRDefault="001C7F6A" w:rsidP="007730AA">
      <w:pPr>
        <w:pStyle w:val="Bullet2"/>
        <w:spacing w:before="0"/>
      </w:pPr>
      <w:r w:rsidRPr="009070BD">
        <w:t>«Հասարակական կարգի պահպանություն, անվտանգության ապահովում և հանցա</w:t>
      </w:r>
      <w:r w:rsidRPr="009070BD">
        <w:softHyphen/>
        <w:t>գործութ</w:t>
      </w:r>
      <w:r w:rsidRPr="009070BD">
        <w:softHyphen/>
        <w:t>յուն</w:t>
      </w:r>
      <w:r w:rsidRPr="009070BD">
        <w:softHyphen/>
        <w:t>ների դեմ պայքար» միջո</w:t>
      </w:r>
      <w:r w:rsidRPr="009070BD">
        <w:softHyphen/>
        <w:t>ցառման շրջանակներում նախատեսվում է իրականացնել հասարա</w:t>
      </w:r>
      <w:r w:rsidRPr="009070BD">
        <w:softHyphen/>
        <w:t>կական կարգի պահպանության և հասարակական անվտանգության ապահովման, հանցա</w:t>
      </w:r>
      <w:r w:rsidRPr="009070BD">
        <w:softHyphen/>
        <w:t>գործությունների և այլ իրավախախտումների նախականխման, կանխման, խափանման, հայտնա</w:t>
      </w:r>
      <w:r w:rsidRPr="009070BD">
        <w:softHyphen/>
        <w:t>բերման և բացահայտման ծառայություններ: Վերը նշված միջոցառման իրականացման նպա</w:t>
      </w:r>
      <w:r w:rsidRPr="009070BD">
        <w:softHyphen/>
        <w:t>տակով ՀՀ 202</w:t>
      </w:r>
      <w:r w:rsidR="00C22A7D" w:rsidRPr="009070BD">
        <w:rPr>
          <w:lang w:val="hy-AM"/>
        </w:rPr>
        <w:t>1</w:t>
      </w:r>
      <w:r w:rsidRPr="009070BD">
        <w:t xml:space="preserve"> թվականի պետական բյուջեի նախագծով  նախա</w:t>
      </w:r>
      <w:r w:rsidRPr="009070BD">
        <w:softHyphen/>
        <w:t>տեսվում է հատկացնել 24,</w:t>
      </w:r>
      <w:r w:rsidR="00C22A7D" w:rsidRPr="009070BD">
        <w:rPr>
          <w:lang w:val="hy-AM"/>
        </w:rPr>
        <w:t>855</w:t>
      </w:r>
      <w:r w:rsidRPr="009070BD">
        <w:t>.</w:t>
      </w:r>
      <w:r w:rsidR="00C22A7D" w:rsidRPr="009070BD">
        <w:rPr>
          <w:lang w:val="hy-AM"/>
        </w:rPr>
        <w:t>9</w:t>
      </w:r>
      <w:r w:rsidRPr="009070BD">
        <w:t xml:space="preserve"> մլն դրամ, որը ՀՀ 20</w:t>
      </w:r>
      <w:r w:rsidR="00C22A7D" w:rsidRPr="009070BD">
        <w:rPr>
          <w:lang w:val="hy-AM"/>
        </w:rPr>
        <w:t>20</w:t>
      </w:r>
      <w:r w:rsidRPr="009070BD">
        <w:t xml:space="preserve"> թվականի պետական բյուջեի նկատմամբ աճել է </w:t>
      </w:r>
      <w:r w:rsidR="00C22A7D" w:rsidRPr="009070BD">
        <w:rPr>
          <w:lang w:val="hy-AM"/>
        </w:rPr>
        <w:t>269</w:t>
      </w:r>
      <w:r w:rsidRPr="009070BD">
        <w:t>.</w:t>
      </w:r>
      <w:r w:rsidR="00C22A7D" w:rsidRPr="009070BD">
        <w:rPr>
          <w:lang w:val="hy-AM"/>
        </w:rPr>
        <w:t>7</w:t>
      </w:r>
      <w:r w:rsidRPr="009070BD">
        <w:t xml:space="preserve"> մլն դրամով՝ պայմանավորված </w:t>
      </w:r>
      <w:r w:rsidR="005661AC" w:rsidRPr="009070BD">
        <w:rPr>
          <w:lang w:val="hy-AM"/>
        </w:rPr>
        <w:t>զին ծառայողների բնակության վարձավճարով</w:t>
      </w:r>
      <w:r w:rsidRPr="009070BD">
        <w:t>:</w:t>
      </w:r>
    </w:p>
    <w:p w:rsidR="005661AC" w:rsidRPr="009070BD" w:rsidRDefault="001C7F6A" w:rsidP="007730AA">
      <w:pPr>
        <w:pStyle w:val="Bullet2"/>
        <w:spacing w:before="0"/>
      </w:pPr>
      <w:r w:rsidRPr="009070BD">
        <w:t>«Պետական պահպանության ծառայությունների կազմակերպում և իրականացում» միջո</w:t>
      </w:r>
      <w:r w:rsidRPr="009070BD">
        <w:softHyphen/>
        <w:t>ցառման շրջանակներում նախատեսվում է իրականացնել ՀՀ կառավարության 2004 թվականի ապրիլի 29-ի N 1008 որոշման N 1 հավելվածով հաստատված պետական պահպանության ենթակա պետական մարմին</w:t>
      </w:r>
      <w:r w:rsidRPr="009070BD">
        <w:softHyphen/>
        <w:t>ների և կազմակերպությունների շենքերի ու շինությունների պահպանությունը և անվտանգութ</w:t>
      </w:r>
      <w:r w:rsidRPr="009070BD">
        <w:softHyphen/>
        <w:t>յան ապահովումը: Նշված միջոցառման իրականացման նպատակով ՀՀ 202</w:t>
      </w:r>
      <w:r w:rsidR="005661AC" w:rsidRPr="009070BD">
        <w:rPr>
          <w:lang w:val="hy-AM"/>
        </w:rPr>
        <w:t>1</w:t>
      </w:r>
      <w:r w:rsidRPr="009070BD">
        <w:t xml:space="preserve"> թվա</w:t>
      </w:r>
      <w:r w:rsidRPr="009070BD">
        <w:softHyphen/>
        <w:t>կանի պետական բյուջեի նախագծով նախա</w:t>
      </w:r>
      <w:r w:rsidRPr="009070BD">
        <w:softHyphen/>
        <w:t xml:space="preserve">տեսվում է հատկացնել 4,049.4 մլն դրամ, </w:t>
      </w:r>
      <w:r w:rsidR="005661AC" w:rsidRPr="009070BD">
        <w:t>ՀՀ 20</w:t>
      </w:r>
      <w:r w:rsidR="005661AC" w:rsidRPr="009070BD">
        <w:rPr>
          <w:lang w:val="hy-AM"/>
        </w:rPr>
        <w:t>20</w:t>
      </w:r>
      <w:r w:rsidR="005661AC" w:rsidRPr="009070BD">
        <w:t xml:space="preserve"> թվականի պետական բյուջեով հաստատված գումարի չափով:</w:t>
      </w:r>
    </w:p>
    <w:p w:rsidR="001C7F6A" w:rsidRPr="009070BD" w:rsidRDefault="001C7F6A" w:rsidP="007730AA">
      <w:pPr>
        <w:pStyle w:val="Bullet2"/>
        <w:spacing w:before="0"/>
      </w:pPr>
      <w:r w:rsidRPr="009070BD">
        <w:t>«Պետական պահպանության ծառայություններ մատուցող ՀՀ ոստիկանության ստորաբաժանումների կարիքի բավարարում» միջոցառման գծով ՀՀ 202</w:t>
      </w:r>
      <w:r w:rsidR="005661AC" w:rsidRPr="009070BD">
        <w:rPr>
          <w:lang w:val="hy-AM"/>
        </w:rPr>
        <w:t>1</w:t>
      </w:r>
      <w:r w:rsidRPr="009070BD">
        <w:t xml:space="preserve"> թվա</w:t>
      </w:r>
      <w:r w:rsidRPr="009070BD">
        <w:softHyphen/>
        <w:t>կանի պետական բյուջեի նախագծով նախատեսվել է 7,175.</w:t>
      </w:r>
      <w:r w:rsidR="005661AC" w:rsidRPr="009070BD">
        <w:rPr>
          <w:lang w:val="hy-AM"/>
        </w:rPr>
        <w:t>6</w:t>
      </w:r>
      <w:r w:rsidRPr="009070BD">
        <w:t xml:space="preserve"> մլն դրամ:</w:t>
      </w:r>
    </w:p>
    <w:p w:rsidR="001C7F6A" w:rsidRPr="009070BD" w:rsidRDefault="001C7F6A" w:rsidP="007730AA">
      <w:pPr>
        <w:pStyle w:val="Bullet2"/>
        <w:spacing w:before="0"/>
      </w:pPr>
      <w:r w:rsidRPr="009070BD">
        <w:t>«Անձի անհատական տվյալների, քաղաքացիության և հաշվառման վերաբերյալ տեղեկություն</w:t>
      </w:r>
      <w:r w:rsidRPr="009070BD">
        <w:softHyphen/>
        <w:t>ների ստացման, տրամադրման և փոխանակման ծառայությունների մատուցում, ճամփորդական փաստա</w:t>
      </w:r>
      <w:r w:rsidRPr="009070BD">
        <w:softHyphen/>
        <w:t>թղթերում կենսաչափական տեխնոլոգիաների ներդրում» միջո</w:t>
      </w:r>
      <w:r w:rsidRPr="009070BD">
        <w:softHyphen/>
        <w:t>ցառման շրջանակներում նախատեսվում է իրականացնել ՀՀ քաղաքացիների անձնագրերի ձևակերպում, ՀՀ քաղաքա</w:t>
      </w:r>
      <w:r w:rsidRPr="009070BD">
        <w:softHyphen/>
        <w:t>ցիություն ձեռք բերելու, դադարեցնելու, փախստականի կարգավիճակ ստացած, ՀՀ-ում մշտապես բնակվող քաղաքացիություն չունեցող անձանց, օտարերկրացիներին մուտքի վիզաներ, կացության կարգավիճակներ տալու մասին գործերի վարումը: Նշված միջոցառման իրականացման նպատակով ՀՀ 202</w:t>
      </w:r>
      <w:r w:rsidR="0063485D" w:rsidRPr="009070BD">
        <w:rPr>
          <w:lang w:val="hy-AM"/>
        </w:rPr>
        <w:t>1</w:t>
      </w:r>
      <w:r w:rsidRPr="009070BD">
        <w:t xml:space="preserve"> թվականի պետական բյուջեի նախագծով  նախա</w:t>
      </w:r>
      <w:r w:rsidRPr="009070BD">
        <w:softHyphen/>
        <w:t xml:space="preserve">տեսվում է հատկացնել </w:t>
      </w:r>
      <w:r w:rsidR="0063485D" w:rsidRPr="009070BD">
        <w:rPr>
          <w:lang w:val="hy-AM"/>
        </w:rPr>
        <w:t>2</w:t>
      </w:r>
      <w:r w:rsidRPr="009070BD">
        <w:t>,</w:t>
      </w:r>
      <w:r w:rsidR="0063485D" w:rsidRPr="009070BD">
        <w:rPr>
          <w:lang w:val="hy-AM"/>
        </w:rPr>
        <w:t>021</w:t>
      </w:r>
      <w:r w:rsidRPr="009070BD">
        <w:t>.</w:t>
      </w:r>
      <w:r w:rsidR="0063485D" w:rsidRPr="009070BD">
        <w:rPr>
          <w:lang w:val="hy-AM"/>
        </w:rPr>
        <w:t>6</w:t>
      </w:r>
      <w:r w:rsidRPr="009070BD">
        <w:t xml:space="preserve"> մլն դրամ:</w:t>
      </w:r>
    </w:p>
    <w:p w:rsidR="001C7F6A" w:rsidRPr="009070BD" w:rsidRDefault="003C1268" w:rsidP="007730AA">
      <w:pPr>
        <w:pStyle w:val="Bullet2"/>
        <w:spacing w:before="0"/>
      </w:pPr>
      <w:r w:rsidRPr="003C1268">
        <w:t>«Դեղորայքի տրամադրում ոստիկանության բժշկական վարչության ծառայություններից օգտվելու իրավունք ունեցող բուժօգնություն ստացողներին և հատուկ խմբերում ընդգրկված ֆիզիկական անձանց» միջոցառման շրջանակներում նախատեսվում է իրականացնել դեղորայքի տրամադրում ոստիկանության բժշկական վարչության ծառայություններից օգտվելու իրավունք ունեցող ամբուլատոր-պոլիկլինիկական և հոսպիտալային բուժօգնություն ստացողներին և հատուկ խմբերում ընդգրկված ֆիզիկական անձանց: Նշված միջոցառման իրականացման նպատակով ՀՀ 2021 թվականի պետական բյուջեի նախագծով  նախատեսվում է հատկացնել 38.7 մլն դրամ, որը ՀՀ 2019 թվականի պետական բյուջեով հաստատված գումարից պակաս է 31.5 մլն դրամով կամ 44.9%-ով, պայմանավորված՝ ՀՀ ոստիկանության բուժվարչության հոսպիտալը լուծարելու և այն ՀՀ առողջապահության նախարարությանը փոխանցելու հանգամանքով</w:t>
      </w:r>
      <w:r w:rsidR="004C69BB" w:rsidRPr="009070BD">
        <w:t>:</w:t>
      </w:r>
    </w:p>
    <w:p w:rsidR="001C7F6A" w:rsidRPr="009070BD" w:rsidRDefault="001C7F6A" w:rsidP="007730AA">
      <w:pPr>
        <w:pStyle w:val="Bullet2"/>
        <w:spacing w:before="0"/>
      </w:pPr>
      <w:r w:rsidRPr="009070BD">
        <w:t>«Ճանապարհային երթևեկության անվտանգության ապահովում և ճանապարհա</w:t>
      </w:r>
      <w:r w:rsidRPr="009070BD">
        <w:softHyphen/>
        <w:t>տրանսպոր</w:t>
      </w:r>
      <w:r w:rsidRPr="009070BD">
        <w:softHyphen/>
        <w:t>տային պատահարների կանխարգելում» միջո</w:t>
      </w:r>
      <w:r w:rsidRPr="009070BD">
        <w:softHyphen/>
        <w:t>ցառման շրջանակներում նախատեսվում է իրա</w:t>
      </w:r>
      <w:r w:rsidRPr="009070BD">
        <w:softHyphen/>
        <w:t>կանացնել ճանապարհային երթևեկության կարգավորում, անվտանգության ապահովում, ճանա</w:t>
      </w:r>
      <w:r w:rsidRPr="009070BD">
        <w:softHyphen/>
        <w:t>պարհա</w:t>
      </w:r>
      <w:r w:rsidRPr="009070BD">
        <w:softHyphen/>
        <w:t>պարե</w:t>
      </w:r>
      <w:r w:rsidRPr="009070BD">
        <w:softHyphen/>
        <w:t>կային ծառայության իրականացում, ճանապարհատրանսպորտային պատահարների և տվյալ բնա</w:t>
      </w:r>
      <w:r w:rsidRPr="009070BD">
        <w:softHyphen/>
        <w:t>գավառում վարչական իրավախախտումների պետական հաշվառում, վարորդական վկայականների տրամադրում: Նշված միջոցառման իրականացման նպատակով ՀՀ 202</w:t>
      </w:r>
      <w:r w:rsidR="0063485D" w:rsidRPr="009070BD">
        <w:rPr>
          <w:lang w:val="hy-AM"/>
        </w:rPr>
        <w:t>1</w:t>
      </w:r>
      <w:r w:rsidRPr="009070BD">
        <w:t xml:space="preserve"> թվա</w:t>
      </w:r>
      <w:r w:rsidRPr="009070BD">
        <w:softHyphen/>
        <w:t>կանի պետական բյուջեի նախագծով  նախա</w:t>
      </w:r>
      <w:r w:rsidRPr="009070BD">
        <w:softHyphen/>
        <w:t>տեսվում է հատկացնել 12,</w:t>
      </w:r>
      <w:r w:rsidR="0063485D" w:rsidRPr="009070BD">
        <w:rPr>
          <w:lang w:val="hy-AM"/>
        </w:rPr>
        <w:t>406</w:t>
      </w:r>
      <w:r w:rsidRPr="009070BD">
        <w:t>.</w:t>
      </w:r>
      <w:r w:rsidR="0063485D" w:rsidRPr="009070BD">
        <w:rPr>
          <w:lang w:val="hy-AM"/>
        </w:rPr>
        <w:t>3</w:t>
      </w:r>
      <w:r w:rsidRPr="009070BD">
        <w:t xml:space="preserve"> մլն դրամ:</w:t>
      </w:r>
    </w:p>
    <w:p w:rsidR="001C7F6A" w:rsidRPr="009070BD" w:rsidRDefault="001C7F6A" w:rsidP="007730AA">
      <w:pPr>
        <w:pStyle w:val="Bullet2"/>
        <w:spacing w:before="0"/>
      </w:pPr>
      <w:r w:rsidRPr="009070BD">
        <w:t>«Տրանսպորտային միջոցների պետական հաշվառում» միջո</w:t>
      </w:r>
      <w:r w:rsidRPr="009070BD">
        <w:softHyphen/>
        <w:t>ցառման շրջանակներում նախատեսվում է իրականացնել տրանսպորտային միջոցների պետհամարանիշների ձեռքբերում և տրամա</w:t>
      </w:r>
      <w:r w:rsidRPr="009070BD">
        <w:softHyphen/>
        <w:t>դրում: Նշված միջոցառման իրականացման նպատակով ՀՀ 202</w:t>
      </w:r>
      <w:r w:rsidR="0063485D" w:rsidRPr="009070BD">
        <w:rPr>
          <w:lang w:val="hy-AM"/>
        </w:rPr>
        <w:t>1</w:t>
      </w:r>
      <w:r w:rsidRPr="009070BD">
        <w:t xml:space="preserve"> թվականի պետական բյուջեի նախագծով  նախա</w:t>
      </w:r>
      <w:r w:rsidRPr="009070BD">
        <w:softHyphen/>
        <w:t xml:space="preserve">տեսվում է հատկացնել </w:t>
      </w:r>
      <w:r w:rsidR="00A33004" w:rsidRPr="009070BD">
        <w:rPr>
          <w:lang w:val="hy-AM"/>
        </w:rPr>
        <w:t>770</w:t>
      </w:r>
      <w:r w:rsidRPr="009070BD">
        <w:t>.</w:t>
      </w:r>
      <w:r w:rsidR="00A33004" w:rsidRPr="009070BD">
        <w:rPr>
          <w:lang w:val="hy-AM"/>
        </w:rPr>
        <w:t>4</w:t>
      </w:r>
      <w:r w:rsidRPr="009070BD">
        <w:t xml:space="preserve"> մլն դրամ, որը</w:t>
      </w:r>
      <w:r w:rsidRPr="009070BD">
        <w:rPr>
          <w:lang w:val="pt-BR"/>
        </w:rPr>
        <w:t xml:space="preserve"> </w:t>
      </w:r>
      <w:r w:rsidRPr="009070BD">
        <w:t>ՀՀ 20</w:t>
      </w:r>
      <w:r w:rsidR="00A33004" w:rsidRPr="009070BD">
        <w:rPr>
          <w:lang w:val="hy-AM"/>
        </w:rPr>
        <w:t>20</w:t>
      </w:r>
      <w:r w:rsidRPr="009070BD">
        <w:t xml:space="preserve"> թվականի պետական բյուջեի նկատմամբ </w:t>
      </w:r>
      <w:r w:rsidR="00A33004" w:rsidRPr="009070BD">
        <w:rPr>
          <w:lang w:val="hy-AM"/>
        </w:rPr>
        <w:t xml:space="preserve">նվազել </w:t>
      </w:r>
      <w:r w:rsidRPr="009070BD">
        <w:t xml:space="preserve">է </w:t>
      </w:r>
      <w:r w:rsidR="00A33004" w:rsidRPr="009070BD">
        <w:rPr>
          <w:lang w:val="hy-AM"/>
        </w:rPr>
        <w:t>334</w:t>
      </w:r>
      <w:r w:rsidRPr="009070BD">
        <w:t>.</w:t>
      </w:r>
      <w:r w:rsidR="00A33004" w:rsidRPr="009070BD">
        <w:rPr>
          <w:lang w:val="hy-AM"/>
        </w:rPr>
        <w:t>6</w:t>
      </w:r>
      <w:r w:rsidRPr="009070BD">
        <w:t xml:space="preserve"> մլն դրամով՝ պայմանավորված միջծրագրային վերաբաշխմամբ:</w:t>
      </w:r>
    </w:p>
    <w:p w:rsidR="001C7F6A" w:rsidRPr="009070BD" w:rsidRDefault="001C7F6A" w:rsidP="007730AA">
      <w:pPr>
        <w:pStyle w:val="Bullet2"/>
        <w:spacing w:before="0"/>
      </w:pPr>
      <w:r w:rsidRPr="009070BD">
        <w:t>«ՀՀ ոստիկանության «Ճանապարհային ոստիկանություն» ծառայության կարիքի բավարարում» միջոցառման շրջանակներում նախատեսվում է իրականացնել ճանապարհային ոստիկանության և այլ ստորաբաժանումների նյութատեխնիկական բազայի ապահովում: Նշված միջոցառման իրականացման նպատակով ՀՀ 202</w:t>
      </w:r>
      <w:r w:rsidR="00A33004" w:rsidRPr="009070BD">
        <w:rPr>
          <w:lang w:val="hy-AM"/>
        </w:rPr>
        <w:t>1</w:t>
      </w:r>
      <w:r w:rsidRPr="009070BD">
        <w:t xml:space="preserve"> թվականի պետական բյուջեի նախագծով  նախա</w:t>
      </w:r>
      <w:r w:rsidRPr="009070BD">
        <w:softHyphen/>
        <w:t xml:space="preserve">տեսվում է հատկացնել </w:t>
      </w:r>
      <w:r w:rsidR="00A33004" w:rsidRPr="009070BD">
        <w:rPr>
          <w:lang w:val="hy-AM"/>
        </w:rPr>
        <w:t>176</w:t>
      </w:r>
      <w:r w:rsidRPr="009070BD">
        <w:t>.</w:t>
      </w:r>
      <w:r w:rsidR="00A33004" w:rsidRPr="009070BD">
        <w:rPr>
          <w:lang w:val="hy-AM"/>
        </w:rPr>
        <w:t>9</w:t>
      </w:r>
      <w:r w:rsidRPr="009070BD">
        <w:t xml:space="preserve"> մլն դրամ:</w:t>
      </w:r>
    </w:p>
    <w:p w:rsidR="001C7F6A" w:rsidRPr="009070BD" w:rsidRDefault="001C7F6A" w:rsidP="007730AA">
      <w:pPr>
        <w:pStyle w:val="Bullet2"/>
        <w:spacing w:before="0"/>
      </w:pPr>
      <w:r w:rsidRPr="009070BD">
        <w:t>«Ոստիկանության ոլորտի քաղաքականության մշակում, կառավարում կենտրոնացված միջո</w:t>
      </w:r>
      <w:r w:rsidRPr="009070BD">
        <w:softHyphen/>
        <w:t>ցառումների, մոնիտորինգի և վերահսկողության իրականացում» միջո</w:t>
      </w:r>
      <w:r w:rsidRPr="009070BD">
        <w:softHyphen/>
        <w:t>ցառման շրջանակներում նախա</w:t>
      </w:r>
      <w:r w:rsidRPr="009070BD">
        <w:softHyphen/>
        <w:t>տեսվում է իրականացնել ոստիկանության մարմինների աշխատանքների պլանավորում, համա</w:t>
      </w:r>
      <w:r w:rsidRPr="009070BD">
        <w:softHyphen/>
        <w:t>կարգում, ծրագրային միջոցառումների մշակում և իրականացում, միջգերատեսչական և միջազգային համագործակցության ապահովում, համընդհանուր և ոլորտային աշխատանքների իրականացում, մոնիտորինգ և հսկողություն: Նշված միջոցառման իրականացման նպատակով ՀՀ 202</w:t>
      </w:r>
      <w:r w:rsidR="00A33004" w:rsidRPr="009070BD">
        <w:rPr>
          <w:lang w:val="hy-AM"/>
        </w:rPr>
        <w:t>1</w:t>
      </w:r>
      <w:r w:rsidRPr="009070BD">
        <w:t xml:space="preserve"> թվականի պետական բյուջեի նախագծով նախա</w:t>
      </w:r>
      <w:r w:rsidRPr="009070BD">
        <w:softHyphen/>
        <w:t>տեսվում է հատկացնել 1</w:t>
      </w:r>
      <w:r w:rsidR="00A33004" w:rsidRPr="009070BD">
        <w:rPr>
          <w:lang w:val="hy-AM"/>
        </w:rPr>
        <w:t>1</w:t>
      </w:r>
      <w:r w:rsidRPr="009070BD">
        <w:t>,</w:t>
      </w:r>
      <w:r w:rsidR="00A33004" w:rsidRPr="009070BD">
        <w:rPr>
          <w:lang w:val="hy-AM"/>
        </w:rPr>
        <w:t>011</w:t>
      </w:r>
      <w:r w:rsidRPr="009070BD">
        <w:t>.</w:t>
      </w:r>
      <w:r w:rsidR="00A33004" w:rsidRPr="009070BD">
        <w:rPr>
          <w:lang w:val="hy-AM"/>
        </w:rPr>
        <w:t>4</w:t>
      </w:r>
      <w:r w:rsidRPr="009070BD">
        <w:t xml:space="preserve"> մլն դրամ, որը ՀՀ 20</w:t>
      </w:r>
      <w:r w:rsidR="00A33004" w:rsidRPr="009070BD">
        <w:rPr>
          <w:lang w:val="hy-AM"/>
        </w:rPr>
        <w:t>20</w:t>
      </w:r>
      <w:r w:rsidRPr="009070BD">
        <w:t xml:space="preserve"> թվականի պետական բյուջեի նկատմամբ նվազել է </w:t>
      </w:r>
      <w:r w:rsidR="00A33004" w:rsidRPr="009070BD">
        <w:rPr>
          <w:lang w:val="hy-AM"/>
        </w:rPr>
        <w:t>795</w:t>
      </w:r>
      <w:r w:rsidRPr="009070BD">
        <w:t>.</w:t>
      </w:r>
      <w:r w:rsidR="00A33004" w:rsidRPr="009070BD">
        <w:rPr>
          <w:lang w:val="hy-AM"/>
        </w:rPr>
        <w:t>1</w:t>
      </w:r>
      <w:r w:rsidRPr="009070BD">
        <w:t xml:space="preserve"> մլն դրամով՝ պայմանավորված միջծրագրային վերաբաշխումներով:</w:t>
      </w:r>
    </w:p>
    <w:p w:rsidR="00787739" w:rsidRPr="009070BD" w:rsidRDefault="00787739" w:rsidP="007730AA">
      <w:pPr>
        <w:pStyle w:val="Heading3"/>
        <w:spacing w:before="0"/>
        <w:ind w:firstLine="720"/>
      </w:pPr>
      <w:bookmarkStart w:id="238" w:name="_Toc57655486"/>
      <w:r w:rsidRPr="009070BD">
        <w:t>ՀՀ ազգային անվտանգության ծառայություն</w:t>
      </w:r>
      <w:bookmarkEnd w:id="238"/>
    </w:p>
    <w:p w:rsidR="001C7F6A" w:rsidRPr="009070BD" w:rsidRDefault="001C7F6A" w:rsidP="007730AA">
      <w:pPr>
        <w:pStyle w:val="Bullet2"/>
        <w:spacing w:before="0"/>
      </w:pPr>
      <w:r w:rsidRPr="009070BD">
        <w:t>«Հետախուզական, հակահետախուզական, ռազմական հետախուզության, հանցա</w:t>
      </w:r>
      <w:r w:rsidRPr="009070BD">
        <w:softHyphen/>
        <w:t>գործու</w:t>
      </w:r>
      <w:r w:rsidRPr="009070BD">
        <w:softHyphen/>
        <w:t>թյունների դեմ պայքարի և պետական սահմանի պահպանության գործունեության կազմակերպում» միջոցառման շրջանակներում նախատեսվում է իրականացնել ՀՀ  անվտան</w:t>
      </w:r>
      <w:r w:rsidRPr="009070BD">
        <w:softHyphen/>
        <w:t>գությանն սպառնացող վտանգի մասին տեղեկատվության ստացում, վերլուծում, վտանգի կանխատեսում, վտանգի կանխման և չեզոքացման վերաբերյալ առաջարկություն</w:t>
      </w:r>
      <w:r w:rsidRPr="009070BD">
        <w:softHyphen/>
        <w:t>ների մշակում: Վերը նշված միջոցառման գծով ՀՀ 202</w:t>
      </w:r>
      <w:r w:rsidR="009E4C0F" w:rsidRPr="009070BD">
        <w:rPr>
          <w:lang w:val="hy-AM"/>
        </w:rPr>
        <w:t>1</w:t>
      </w:r>
      <w:r w:rsidRPr="009070BD">
        <w:t xml:space="preserve"> թվականի պետական բյուջեի նախագծով նախա</w:t>
      </w:r>
      <w:r w:rsidRPr="009070BD">
        <w:softHyphen/>
        <w:t>տեսվել է հատկացնել 23,</w:t>
      </w:r>
      <w:r w:rsidR="009E4C0F" w:rsidRPr="009070BD">
        <w:rPr>
          <w:lang w:val="hy-AM"/>
        </w:rPr>
        <w:t>312</w:t>
      </w:r>
      <w:r w:rsidRPr="009070BD">
        <w:t>.</w:t>
      </w:r>
      <w:r w:rsidR="009E4C0F" w:rsidRPr="009070BD">
        <w:rPr>
          <w:lang w:val="hy-AM"/>
        </w:rPr>
        <w:t>1</w:t>
      </w:r>
      <w:r w:rsidRPr="009070BD">
        <w:t xml:space="preserve"> մլն դրամ, որը ՀՀ 20</w:t>
      </w:r>
      <w:r w:rsidR="009E4C0F" w:rsidRPr="009070BD">
        <w:rPr>
          <w:lang w:val="hy-AM"/>
        </w:rPr>
        <w:t>20</w:t>
      </w:r>
      <w:r w:rsidRPr="009070BD">
        <w:t xml:space="preserve"> թվականի պետական բյուջեի նկատմամբ աճել է 1</w:t>
      </w:r>
      <w:r w:rsidR="009E4C0F" w:rsidRPr="009070BD">
        <w:rPr>
          <w:lang w:val="hy-AM"/>
        </w:rPr>
        <w:t>3</w:t>
      </w:r>
      <w:r w:rsidRPr="009070BD">
        <w:t>,</w:t>
      </w:r>
      <w:r w:rsidR="009E4C0F" w:rsidRPr="009070BD">
        <w:rPr>
          <w:lang w:val="hy-AM"/>
        </w:rPr>
        <w:t>40</w:t>
      </w:r>
      <w:r w:rsidRPr="009070BD">
        <w:t>0.</w:t>
      </w:r>
      <w:r w:rsidR="009E4C0F" w:rsidRPr="009070BD">
        <w:rPr>
          <w:lang w:val="hy-AM"/>
        </w:rPr>
        <w:t>0</w:t>
      </w:r>
      <w:r w:rsidRPr="009070BD">
        <w:t xml:space="preserve"> մլն դրամով՝ պայմանավորված ծառայության բնականոն գործունեության ապահովման անհրաժեշտությամբ:</w:t>
      </w:r>
    </w:p>
    <w:p w:rsidR="001C7F6A" w:rsidRPr="009070BD" w:rsidRDefault="001C7F6A" w:rsidP="007730AA">
      <w:pPr>
        <w:pStyle w:val="Bullet2"/>
        <w:spacing w:before="0"/>
      </w:pPr>
      <w:r w:rsidRPr="009070BD">
        <w:t>«ՀՀ տարածքում երկաթուղիով իրականացվող միջպետական ռազմական փոխադրումների, երկաթուղային կայարաններում կատարվող սպասարկման ծառայություններ» միջոցառման շրջանակներում նախատեսվում է իրականացնել ՀՀ կառավարության և ՌԴ կառավարության միջև կնքված համաձայնագրերի համաձայն ՀՀ-ում տեղակայված ՌԴ զորամիավորումների հասցեով ՀՀ տարածքում երկաթուղիով իրականացվող միջպետական ռազմական փոխադրումներ: Վերը նշված միջոցառման գծով ՀՀ 202</w:t>
      </w:r>
      <w:r w:rsidR="009E4C0F" w:rsidRPr="009070BD">
        <w:rPr>
          <w:lang w:val="hy-AM"/>
        </w:rPr>
        <w:t>1</w:t>
      </w:r>
      <w:r w:rsidRPr="009070BD">
        <w:t xml:space="preserve"> թվականի պետական բյուջեի նախագծով նախա</w:t>
      </w:r>
      <w:r w:rsidRPr="009070BD">
        <w:softHyphen/>
        <w:t>տեսվել է «Հարավկովկասյան երկաթուղի» ՓԲԸ-ի կողմից մատուցված ծառայությունների փոխհատուցման նպատակով հատկացնել 14.0 մլն դրամ</w:t>
      </w:r>
      <w:r w:rsidRPr="009070BD">
        <w:rPr>
          <w:lang w:val="pt-BR"/>
        </w:rPr>
        <w:t xml:space="preserve">` </w:t>
      </w:r>
      <w:r w:rsidRPr="009070BD">
        <w:t>ՀՀ 20</w:t>
      </w:r>
      <w:r w:rsidR="009E4C0F" w:rsidRPr="009070BD">
        <w:rPr>
          <w:lang w:val="hy-AM"/>
        </w:rPr>
        <w:t>20</w:t>
      </w:r>
      <w:r w:rsidRPr="009070BD">
        <w:t xml:space="preserve"> թվականի պետական բյուջեով հաստատված գումարի չափով:</w:t>
      </w:r>
    </w:p>
    <w:p w:rsidR="001C7F6A" w:rsidRPr="009070BD" w:rsidRDefault="001C7F6A" w:rsidP="007730AA">
      <w:pPr>
        <w:pStyle w:val="Bullet2"/>
        <w:spacing w:before="0"/>
      </w:pPr>
      <w:r w:rsidRPr="009070BD">
        <w:t>«Ազգային անվտանգության համակարգի տեխնիկական հագեցվածության բարելավում» միջո</w:t>
      </w:r>
      <w:r w:rsidRPr="009070BD">
        <w:softHyphen/>
        <w:t>ցառման շրջա</w:t>
      </w:r>
      <w:r w:rsidRPr="009070BD">
        <w:softHyphen/>
        <w:t>նակներում նախատեսվում է իրականացնել ազգային անվտանգության համա</w:t>
      </w:r>
      <w:r w:rsidRPr="009070BD">
        <w:softHyphen/>
        <w:t>կարգի, ստորաբաժանումների համար անհրաժեշտ վարչական սարքավորումների ձեռք</w:t>
      </w:r>
      <w:r w:rsidRPr="009070BD">
        <w:softHyphen/>
        <w:t>բերում: Վերը նշված միջոցառման գծով ՀՀ 202</w:t>
      </w:r>
      <w:r w:rsidR="00124FAE" w:rsidRPr="009070BD">
        <w:rPr>
          <w:lang w:val="hy-AM"/>
        </w:rPr>
        <w:t>1</w:t>
      </w:r>
      <w:r w:rsidRPr="009070BD">
        <w:t xml:space="preserve"> թվականի պետական բյուջեի նախագծով նախա</w:t>
      </w:r>
      <w:r w:rsidRPr="009070BD">
        <w:softHyphen/>
        <w:t xml:space="preserve">տեսվել է </w:t>
      </w:r>
      <w:r w:rsidR="00124FAE" w:rsidRPr="009070BD">
        <w:rPr>
          <w:lang w:val="hy-AM"/>
        </w:rPr>
        <w:t>53</w:t>
      </w:r>
      <w:r w:rsidRPr="009070BD">
        <w:t>.</w:t>
      </w:r>
      <w:r w:rsidR="00124FAE" w:rsidRPr="009070BD">
        <w:rPr>
          <w:lang w:val="hy-AM"/>
        </w:rPr>
        <w:t>8</w:t>
      </w:r>
      <w:r w:rsidRPr="009070BD">
        <w:t xml:space="preserve"> մլն դրամ, որը ՀՀ 20</w:t>
      </w:r>
      <w:r w:rsidR="00124FAE" w:rsidRPr="009070BD">
        <w:rPr>
          <w:lang w:val="hy-AM"/>
        </w:rPr>
        <w:t>20</w:t>
      </w:r>
      <w:r w:rsidRPr="009070BD">
        <w:t xml:space="preserve"> թվականի պետական բյուջեի նկատմամբ </w:t>
      </w:r>
      <w:r w:rsidR="00124FAE" w:rsidRPr="009070BD">
        <w:rPr>
          <w:lang w:val="hy-AM"/>
        </w:rPr>
        <w:t xml:space="preserve">նվազել </w:t>
      </w:r>
      <w:r w:rsidRPr="009070BD">
        <w:t xml:space="preserve"> է </w:t>
      </w:r>
      <w:r w:rsidR="00124FAE" w:rsidRPr="009070BD">
        <w:rPr>
          <w:lang w:val="hy-AM"/>
        </w:rPr>
        <w:t>141</w:t>
      </w:r>
      <w:r w:rsidRPr="009070BD">
        <w:t>.</w:t>
      </w:r>
      <w:r w:rsidR="00124FAE" w:rsidRPr="009070BD">
        <w:rPr>
          <w:lang w:val="hy-AM"/>
        </w:rPr>
        <w:t>1</w:t>
      </w:r>
      <w:r w:rsidRPr="009070BD">
        <w:t xml:space="preserve"> մլն դրամով:</w:t>
      </w:r>
    </w:p>
    <w:p w:rsidR="001C7F6A" w:rsidRPr="009070BD" w:rsidRDefault="001C7F6A" w:rsidP="007730AA">
      <w:pPr>
        <w:pStyle w:val="Bullet2"/>
        <w:spacing w:before="0"/>
      </w:pPr>
      <w:r w:rsidRPr="009070BD">
        <w:t>«Պաշտպանության բնագավառի այլ ծախսեր» միջո</w:t>
      </w:r>
      <w:r w:rsidRPr="009070BD">
        <w:softHyphen/>
        <w:t>ցառման շրջա</w:t>
      </w:r>
      <w:r w:rsidRPr="009070BD">
        <w:softHyphen/>
        <w:t>նակներում իրականացվում է Հայաստանի Հանրապետության սահմանային անվտանգության ապահովում: Նշված միջոցառման գծով ՀՀ 202</w:t>
      </w:r>
      <w:r w:rsidR="00124FAE" w:rsidRPr="009070BD">
        <w:rPr>
          <w:lang w:val="hy-AM"/>
        </w:rPr>
        <w:t>1</w:t>
      </w:r>
      <w:r w:rsidRPr="009070BD">
        <w:t xml:space="preserve"> թվա</w:t>
      </w:r>
      <w:r w:rsidRPr="009070BD">
        <w:softHyphen/>
        <w:t>կանի պետական բյուջեի նախագծով նախա</w:t>
      </w:r>
      <w:r w:rsidRPr="009070BD">
        <w:softHyphen/>
        <w:t>տեսվել է 7,</w:t>
      </w:r>
      <w:r w:rsidR="00124FAE" w:rsidRPr="009070BD">
        <w:rPr>
          <w:lang w:val="hy-AM"/>
        </w:rPr>
        <w:t>619</w:t>
      </w:r>
      <w:r w:rsidRPr="009070BD">
        <w:t>.</w:t>
      </w:r>
      <w:r w:rsidR="00124FAE" w:rsidRPr="009070BD">
        <w:rPr>
          <w:lang w:val="hy-AM"/>
        </w:rPr>
        <w:t>4</w:t>
      </w:r>
      <w:r w:rsidRPr="009070BD">
        <w:t xml:space="preserve"> մլն դրամ, որը</w:t>
      </w:r>
      <w:r w:rsidRPr="009070BD">
        <w:rPr>
          <w:lang w:val="pt-BR"/>
        </w:rPr>
        <w:t xml:space="preserve"> </w:t>
      </w:r>
      <w:r w:rsidRPr="009070BD">
        <w:t>ՀՀ 20</w:t>
      </w:r>
      <w:r w:rsidR="00124FAE" w:rsidRPr="009070BD">
        <w:rPr>
          <w:lang w:val="hy-AM"/>
        </w:rPr>
        <w:t>20</w:t>
      </w:r>
      <w:r w:rsidRPr="009070BD">
        <w:t xml:space="preserve"> թվականի պետական բյուջեի նկատմամբ աճել է 2</w:t>
      </w:r>
      <w:r w:rsidR="00124FAE" w:rsidRPr="009070BD">
        <w:rPr>
          <w:lang w:val="hy-AM"/>
        </w:rPr>
        <w:t>93</w:t>
      </w:r>
      <w:r w:rsidRPr="009070BD">
        <w:t>.</w:t>
      </w:r>
      <w:r w:rsidR="00124FAE" w:rsidRPr="009070BD">
        <w:rPr>
          <w:lang w:val="hy-AM"/>
        </w:rPr>
        <w:t>1</w:t>
      </w:r>
      <w:r w:rsidRPr="009070BD">
        <w:t xml:space="preserve"> մլն դրամով (ծախսերի ավելացումը պայմանավորված է տվյալ տարվա գնաճով):</w:t>
      </w:r>
    </w:p>
    <w:p w:rsidR="001C7F6A" w:rsidRPr="009070BD" w:rsidRDefault="00460E4A" w:rsidP="007730AA">
      <w:pPr>
        <w:pStyle w:val="Bullet2"/>
        <w:spacing w:before="0"/>
      </w:pPr>
      <w:r w:rsidRPr="009070BD">
        <w:t>«Ազգային անվտանգության համակարգի ստորաբաժանումների համար դեղորայքի ձեռքբերում» միջոցառման գծով ՀՀ 2021 թվականի պետական բյուջեի նախագծով նախատեսվել է 26.8 մլն դրամ՝ ՀՀ 2020 թվականի պետական բյուջեով հաստատված գումարի չափով:</w:t>
      </w:r>
    </w:p>
    <w:p w:rsidR="00124FAE" w:rsidRPr="009070BD" w:rsidRDefault="001C7F6A" w:rsidP="007730AA">
      <w:pPr>
        <w:pStyle w:val="Bullet2"/>
        <w:spacing w:before="0"/>
      </w:pPr>
      <w:r w:rsidRPr="009070BD">
        <w:t>«Պետական պահպանության ծառայություններ» միջո</w:t>
      </w:r>
      <w:r w:rsidRPr="009070BD">
        <w:softHyphen/>
        <w:t>ցառման շրջա</w:t>
      </w:r>
      <w:r w:rsidRPr="009070BD">
        <w:softHyphen/>
        <w:t>նակներում նախատեսվում է իրականացնել բարձրաստիճան պաշտոնատար անձանց և Հայաստանի Հանրապետությունում գտնվող բարձրաստիճան հյուրերի անվտանգության ապահովում: Վերը նշված միջոցառման գծով ՀՀ 202</w:t>
      </w:r>
      <w:r w:rsidR="00124FAE" w:rsidRPr="009070BD">
        <w:rPr>
          <w:lang w:val="hy-AM"/>
        </w:rPr>
        <w:t>1</w:t>
      </w:r>
      <w:r w:rsidRPr="009070BD">
        <w:t xml:space="preserve"> թվա</w:t>
      </w:r>
      <w:r w:rsidRPr="009070BD">
        <w:softHyphen/>
        <w:t>կանի պետական բյուջեի նախագծով նախա</w:t>
      </w:r>
      <w:r w:rsidRPr="009070BD">
        <w:softHyphen/>
        <w:t>տեսվել է 3,</w:t>
      </w:r>
      <w:r w:rsidR="00124FAE" w:rsidRPr="009070BD">
        <w:rPr>
          <w:lang w:val="hy-AM"/>
        </w:rPr>
        <w:t>705</w:t>
      </w:r>
      <w:r w:rsidRPr="009070BD">
        <w:t>.</w:t>
      </w:r>
      <w:r w:rsidR="00124FAE" w:rsidRPr="009070BD">
        <w:rPr>
          <w:lang w:val="hy-AM"/>
        </w:rPr>
        <w:t>7</w:t>
      </w:r>
      <w:r w:rsidRPr="009070BD">
        <w:t xml:space="preserve"> մլն դրամ, որը</w:t>
      </w:r>
      <w:r w:rsidRPr="009070BD">
        <w:rPr>
          <w:lang w:val="pt-BR"/>
        </w:rPr>
        <w:t xml:space="preserve"> </w:t>
      </w:r>
      <w:r w:rsidRPr="009070BD">
        <w:t>ՀՀ 20</w:t>
      </w:r>
      <w:r w:rsidR="00124FAE" w:rsidRPr="009070BD">
        <w:rPr>
          <w:lang w:val="hy-AM"/>
        </w:rPr>
        <w:t>20</w:t>
      </w:r>
      <w:r w:rsidRPr="009070BD">
        <w:t xml:space="preserve"> թվականի պետական բյուջեի նկատմամբ </w:t>
      </w:r>
      <w:r w:rsidR="00124FAE" w:rsidRPr="009070BD">
        <w:rPr>
          <w:lang w:val="hy-AM"/>
        </w:rPr>
        <w:t>նվազել</w:t>
      </w:r>
      <w:r w:rsidRPr="009070BD">
        <w:t xml:space="preserve"> է </w:t>
      </w:r>
      <w:r w:rsidR="00124FAE" w:rsidRPr="009070BD">
        <w:rPr>
          <w:lang w:val="hy-AM"/>
        </w:rPr>
        <w:t>176</w:t>
      </w:r>
      <w:r w:rsidRPr="009070BD">
        <w:t>.</w:t>
      </w:r>
      <w:r w:rsidR="00124FAE" w:rsidRPr="009070BD">
        <w:rPr>
          <w:lang w:val="hy-AM"/>
        </w:rPr>
        <w:t>7</w:t>
      </w:r>
      <w:r w:rsidRPr="009070BD">
        <w:t xml:space="preserve"> մլն դրամով:</w:t>
      </w:r>
    </w:p>
    <w:p w:rsidR="001C7F6A" w:rsidRPr="00DE3EE4" w:rsidRDefault="00124FAE" w:rsidP="007730AA">
      <w:pPr>
        <w:pStyle w:val="Bullet2"/>
        <w:spacing w:before="0"/>
      </w:pPr>
      <w:r w:rsidRPr="009070BD">
        <w:t xml:space="preserve"> </w:t>
      </w:r>
      <w:r w:rsidR="00795714" w:rsidRPr="009070BD">
        <w:t>«Դեղորայքի տրամադրում պետական պահպանության ծառայությանը» միջոցառման շրջանակում նախատեսվում են կենտրոնացված կարգով պետական պահպանության ծառայության կարիքների համար անհրաժեշտ դեղորայքի ձեռքբերում, որի գծով ՀՀ 2021 թվականի պետական բյուջեի նախագծով նախատեսվել է 1.1 մլն դրամ՝ ՀՀ 2020 թվականի պետական բյուջեով հաստատված գումարի չափով</w:t>
      </w:r>
      <w:r w:rsidR="001C7F6A" w:rsidRPr="009070BD">
        <w:t>:</w:t>
      </w:r>
    </w:p>
    <w:p w:rsidR="009B7868" w:rsidRPr="00507259" w:rsidRDefault="009B7868" w:rsidP="007730AA">
      <w:pPr>
        <w:pStyle w:val="Heading3"/>
        <w:spacing w:before="0"/>
        <w:ind w:firstLine="720"/>
      </w:pPr>
      <w:bookmarkStart w:id="239" w:name="_Toc57655487"/>
      <w:r w:rsidRPr="00507259">
        <w:t>ՀՀ վարչապետի աշխատակազմ</w:t>
      </w:r>
      <w:bookmarkEnd w:id="239"/>
    </w:p>
    <w:p w:rsidR="004030A5" w:rsidRPr="009B7868" w:rsidRDefault="004030A5" w:rsidP="007730AA">
      <w:pPr>
        <w:tabs>
          <w:tab w:val="left" w:pos="851"/>
        </w:tabs>
        <w:spacing w:before="0" w:line="276" w:lineRule="auto"/>
        <w:ind w:firstLine="720"/>
        <w:contextualSpacing w:val="0"/>
        <w:rPr>
          <w:rFonts w:cs="Sylfaen"/>
          <w:b w:val="0"/>
          <w:szCs w:val="22"/>
          <w:lang w:val="af-ZA" w:eastAsia="en-US"/>
        </w:rPr>
      </w:pPr>
      <w:r w:rsidRPr="00F744E0">
        <w:rPr>
          <w:rFonts w:cs="Sylfaen"/>
          <w:b w:val="0"/>
          <w:color w:val="000000"/>
          <w:szCs w:val="22"/>
          <w:lang w:val="fr-FR" w:eastAsia="en-US"/>
        </w:rPr>
        <w:t>ՀՀ վարչապետի աշխատակազմի</w:t>
      </w:r>
      <w:r w:rsidRPr="00F744E0">
        <w:rPr>
          <w:rFonts w:cs="Sylfaen"/>
          <w:color w:val="000000"/>
          <w:szCs w:val="22"/>
          <w:lang w:val="fr-FR" w:eastAsia="en-US"/>
        </w:rPr>
        <w:t xml:space="preserve"> </w:t>
      </w:r>
      <w:r w:rsidRPr="00F744E0">
        <w:rPr>
          <w:rFonts w:cs="Sylfaen"/>
          <w:b w:val="0"/>
          <w:color w:val="000000"/>
          <w:szCs w:val="22"/>
          <w:lang w:val="fr-FR" w:eastAsia="en-US"/>
        </w:rPr>
        <w:t xml:space="preserve">գծով </w:t>
      </w:r>
      <w:r w:rsidR="00120F10" w:rsidRPr="009070BD">
        <w:rPr>
          <w:rFonts w:eastAsia="Calibri"/>
          <w:b w:val="0"/>
          <w:lang w:val="hy-AM"/>
        </w:rPr>
        <w:t>նա</w:t>
      </w:r>
      <w:r w:rsidR="00120F10" w:rsidRPr="009070BD">
        <w:rPr>
          <w:rFonts w:eastAsia="Calibri"/>
          <w:b w:val="0"/>
          <w:lang w:val="hy-AM"/>
        </w:rPr>
        <w:softHyphen/>
        <w:t xml:space="preserve">խագծով </w:t>
      </w:r>
      <w:r w:rsidR="00120F10" w:rsidRPr="009070BD">
        <w:rPr>
          <w:rFonts w:cs="Sylfaen"/>
          <w:b w:val="0"/>
          <w:szCs w:val="22"/>
          <w:lang w:val="af-ZA"/>
        </w:rPr>
        <w:t>(առանց ապարատի ծախսերի)</w:t>
      </w:r>
      <w:r w:rsidR="00120F10" w:rsidRPr="009070BD">
        <w:rPr>
          <w:rFonts w:eastAsia="Calibri"/>
          <w:b w:val="0"/>
          <w:lang w:val="hy-AM"/>
        </w:rPr>
        <w:t xml:space="preserve">  նախատեսվում </w:t>
      </w:r>
      <w:r w:rsidR="00120F10" w:rsidRPr="0047727E">
        <w:rPr>
          <w:rFonts w:cs="Sylfaen"/>
          <w:b w:val="0"/>
          <w:szCs w:val="22"/>
          <w:lang w:val="af-ZA" w:eastAsia="en-US"/>
        </w:rPr>
        <w:t xml:space="preserve">է </w:t>
      </w:r>
      <w:r w:rsidR="00691AFE">
        <w:rPr>
          <w:rFonts w:cs="Sylfaen"/>
          <w:b w:val="0"/>
          <w:szCs w:val="22"/>
          <w:lang w:val="af-ZA" w:eastAsia="en-US"/>
        </w:rPr>
        <w:t>18,342.5</w:t>
      </w:r>
      <w:r w:rsidR="00120F10" w:rsidRPr="0047727E">
        <w:rPr>
          <w:rFonts w:cs="Sylfaen"/>
          <w:b w:val="0"/>
          <w:szCs w:val="22"/>
          <w:lang w:val="af-ZA" w:eastAsia="en-US"/>
        </w:rPr>
        <w:t xml:space="preserve"> մլն </w:t>
      </w:r>
      <w:r w:rsidR="00120F10" w:rsidRPr="009070BD">
        <w:rPr>
          <w:rFonts w:cs="Sylfaen"/>
          <w:b w:val="0"/>
          <w:szCs w:val="22"/>
          <w:lang w:val="af-ZA" w:eastAsia="en-US"/>
        </w:rPr>
        <w:t>դրամ</w:t>
      </w:r>
      <w:r w:rsidRPr="00F744E0">
        <w:rPr>
          <w:rFonts w:cs="Times Armenian"/>
          <w:b w:val="0"/>
          <w:iCs/>
          <w:color w:val="000000"/>
          <w:szCs w:val="22"/>
          <w:lang w:val="af-ZA" w:eastAsia="en-US"/>
        </w:rPr>
        <w:t xml:space="preserve">: </w:t>
      </w:r>
      <w:r w:rsidRPr="00F744E0">
        <w:rPr>
          <w:rFonts w:cs="Sylfaen"/>
          <w:b w:val="0"/>
          <w:szCs w:val="22"/>
          <w:lang w:val="hy-AM" w:eastAsia="en-US"/>
        </w:rPr>
        <w:t>Հ</w:t>
      </w:r>
      <w:r w:rsidRPr="00F744E0">
        <w:rPr>
          <w:rFonts w:cs="Sylfaen"/>
          <w:b w:val="0"/>
          <w:szCs w:val="22"/>
          <w:lang w:val="af-ZA" w:eastAsia="en-US"/>
        </w:rPr>
        <w:t>ատկացվելիք միջոցներն ուղղվելու</w:t>
      </w:r>
      <w:r w:rsidRPr="009B7868">
        <w:rPr>
          <w:rFonts w:cs="Sylfaen"/>
          <w:b w:val="0"/>
          <w:szCs w:val="22"/>
          <w:lang w:val="af-ZA" w:eastAsia="en-US"/>
        </w:rPr>
        <w:t xml:space="preserve"> են հետևյալ ծրագրերի իրականացմանը.</w:t>
      </w:r>
    </w:p>
    <w:p w:rsidR="004030A5" w:rsidRPr="009070BD" w:rsidRDefault="004030A5" w:rsidP="007730AA">
      <w:pPr>
        <w:tabs>
          <w:tab w:val="left" w:pos="851"/>
        </w:tabs>
        <w:spacing w:before="0" w:line="276" w:lineRule="auto"/>
        <w:ind w:firstLine="720"/>
        <w:contextualSpacing w:val="0"/>
        <w:rPr>
          <w:b w:val="0"/>
          <w:szCs w:val="22"/>
          <w:lang w:val="fr-FR" w:eastAsia="en-US"/>
        </w:rPr>
      </w:pPr>
      <w:r w:rsidRPr="009070BD">
        <w:rPr>
          <w:rFonts w:cs="Sylfaen"/>
          <w:bCs/>
          <w:szCs w:val="22"/>
          <w:lang w:val="af-ZA" w:eastAsia="en-US"/>
        </w:rPr>
        <w:t xml:space="preserve">1. «ՀՀ Վարչապետի լիազորությունների իրականացման ապահովում» </w:t>
      </w:r>
      <w:r w:rsidRPr="009070BD">
        <w:rPr>
          <w:b w:val="0"/>
          <w:szCs w:val="22"/>
          <w:lang w:val="fr-FR" w:eastAsia="en-US"/>
        </w:rPr>
        <w:t>ծրագրի շրջանակներում նախատեսվում է.</w:t>
      </w:r>
    </w:p>
    <w:p w:rsidR="004030A5" w:rsidRPr="009070BD" w:rsidRDefault="004030A5" w:rsidP="007730AA">
      <w:pPr>
        <w:tabs>
          <w:tab w:val="left" w:pos="851"/>
        </w:tabs>
        <w:spacing w:before="0" w:line="276" w:lineRule="auto"/>
        <w:ind w:firstLine="720"/>
        <w:contextualSpacing w:val="0"/>
        <w:rPr>
          <w:b w:val="0"/>
          <w:szCs w:val="22"/>
          <w:lang w:val="af-ZA" w:eastAsia="en-US"/>
        </w:rPr>
      </w:pPr>
      <w:r w:rsidRPr="009070BD">
        <w:rPr>
          <w:szCs w:val="22"/>
          <w:lang w:val="fr-FR" w:eastAsia="en-US"/>
        </w:rPr>
        <w:t>1.1</w:t>
      </w:r>
      <w:r w:rsidRPr="009070BD">
        <w:rPr>
          <w:b w:val="0"/>
          <w:szCs w:val="22"/>
          <w:lang w:val="fr-FR" w:eastAsia="en-US"/>
        </w:rPr>
        <w:t xml:space="preserve"> </w:t>
      </w:r>
      <w:r w:rsidRPr="009070BD">
        <w:rPr>
          <w:rFonts w:cs="Sylfaen"/>
          <w:bCs/>
          <w:szCs w:val="22"/>
          <w:lang w:val="fr-FR" w:eastAsia="en-US"/>
        </w:rPr>
        <w:t>«Աջակցություն ՀՀ կառավարության աշխատակազմի ներքո գործող Արդյունահանող ճյուղերի թափանցիկության նախաձեռնության քարտուղարությանը</w:t>
      </w:r>
      <w:r w:rsidRPr="009070BD">
        <w:rPr>
          <w:rFonts w:cs="Times Armenian"/>
          <w:szCs w:val="22"/>
          <w:lang w:val="af-ZA" w:eastAsia="en-US"/>
        </w:rPr>
        <w:t>»</w:t>
      </w:r>
      <w:r w:rsidRPr="009070BD">
        <w:rPr>
          <w:rFonts w:cs="Sylfaen"/>
          <w:b w:val="0"/>
          <w:bCs/>
          <w:szCs w:val="22"/>
          <w:lang w:val="fr-FR" w:eastAsia="en-US"/>
        </w:rPr>
        <w:t xml:space="preserve"> </w:t>
      </w:r>
      <w:r w:rsidRPr="009070BD">
        <w:rPr>
          <w:rFonts w:cs="Sylfaen"/>
          <w:b w:val="0"/>
          <w:bCs/>
          <w:szCs w:val="22"/>
          <w:lang w:val="en-US" w:eastAsia="en-US"/>
        </w:rPr>
        <w:t>միջոցառումը</w:t>
      </w:r>
      <w:r w:rsidRPr="009070BD">
        <w:rPr>
          <w:rFonts w:cs="Sylfaen"/>
          <w:b w:val="0"/>
          <w:bCs/>
          <w:szCs w:val="22"/>
          <w:lang w:val="af-ZA" w:eastAsia="en-US"/>
        </w:rPr>
        <w:t xml:space="preserve">, </w:t>
      </w:r>
      <w:r w:rsidRPr="009070BD">
        <w:rPr>
          <w:rFonts w:cs="Sylfaen"/>
          <w:b w:val="0"/>
          <w:bCs/>
          <w:szCs w:val="22"/>
          <w:lang w:val="en-US" w:eastAsia="en-US"/>
        </w:rPr>
        <w:t>որ</w:t>
      </w:r>
      <w:r w:rsidRPr="009070BD">
        <w:rPr>
          <w:rFonts w:cs="Sylfaen"/>
          <w:b w:val="0"/>
          <w:bCs/>
          <w:szCs w:val="22"/>
          <w:lang w:val="hy-AM" w:eastAsia="en-US"/>
        </w:rPr>
        <w:t>ի</w:t>
      </w:r>
      <w:r w:rsidRPr="009070BD">
        <w:rPr>
          <w:rFonts w:cs="Times Armenian"/>
          <w:b w:val="0"/>
          <w:bCs/>
          <w:szCs w:val="22"/>
          <w:lang w:val="fr-FR" w:eastAsia="en-US"/>
        </w:rPr>
        <w:t xml:space="preserve"> </w:t>
      </w:r>
      <w:r w:rsidRPr="009070BD">
        <w:rPr>
          <w:rFonts w:cs="Sylfaen"/>
          <w:b w:val="0"/>
          <w:bCs/>
          <w:szCs w:val="22"/>
          <w:lang w:val="hy-AM" w:eastAsia="en-US"/>
        </w:rPr>
        <w:t>համար</w:t>
      </w:r>
      <w:r w:rsidRPr="009070BD">
        <w:rPr>
          <w:rFonts w:cs="Times Armenian"/>
          <w:b w:val="0"/>
          <w:bCs/>
          <w:szCs w:val="22"/>
          <w:lang w:val="fr-FR" w:eastAsia="en-US"/>
        </w:rPr>
        <w:t xml:space="preserve"> </w:t>
      </w:r>
      <w:r w:rsidRPr="009070BD">
        <w:rPr>
          <w:rFonts w:cs="Sylfaen"/>
          <w:b w:val="0"/>
          <w:szCs w:val="22"/>
          <w:lang w:val="hy-AM" w:eastAsia="en-US"/>
        </w:rPr>
        <w:t>Ն</w:t>
      </w:r>
      <w:r w:rsidRPr="009070BD">
        <w:rPr>
          <w:b w:val="0"/>
          <w:szCs w:val="22"/>
          <w:lang w:val="hy-AM" w:eastAsia="en-US"/>
        </w:rPr>
        <w:t>ախագծով</w:t>
      </w:r>
      <w:r w:rsidRPr="009070BD">
        <w:rPr>
          <w:rFonts w:cs="Sylfaen"/>
          <w:b w:val="0"/>
          <w:szCs w:val="22"/>
          <w:lang w:val="af-ZA" w:eastAsia="en-US"/>
        </w:rPr>
        <w:t xml:space="preserve"> նախատեսվում</w:t>
      </w:r>
      <w:r w:rsidRPr="009070BD">
        <w:rPr>
          <w:rFonts w:cs="Times Armenian"/>
          <w:b w:val="0"/>
          <w:szCs w:val="22"/>
          <w:lang w:val="af-ZA" w:eastAsia="en-US"/>
        </w:rPr>
        <w:t xml:space="preserve"> </w:t>
      </w:r>
      <w:r w:rsidRPr="009070BD">
        <w:rPr>
          <w:rFonts w:cs="Sylfaen"/>
          <w:b w:val="0"/>
          <w:szCs w:val="22"/>
          <w:lang w:val="af-ZA" w:eastAsia="en-US"/>
        </w:rPr>
        <w:t>է</w:t>
      </w:r>
      <w:r w:rsidRPr="009070BD">
        <w:rPr>
          <w:rFonts w:cs="Times Armenian"/>
          <w:b w:val="0"/>
          <w:szCs w:val="22"/>
          <w:lang w:val="af-ZA" w:eastAsia="en-US"/>
        </w:rPr>
        <w:t xml:space="preserve"> հատկացնել</w:t>
      </w:r>
      <w:r w:rsidRPr="009070BD">
        <w:rPr>
          <w:rFonts w:cs="Sylfaen"/>
          <w:b w:val="0"/>
          <w:bCs/>
          <w:szCs w:val="22"/>
          <w:lang w:val="fr-FR" w:eastAsia="en-US"/>
        </w:rPr>
        <w:t xml:space="preserve"> </w:t>
      </w:r>
      <w:r w:rsidRPr="009070BD">
        <w:rPr>
          <w:rFonts w:cs="Times Armenian"/>
          <w:b w:val="0"/>
          <w:bCs/>
          <w:szCs w:val="22"/>
          <w:lang w:val="fr-FR" w:eastAsia="en-US"/>
        </w:rPr>
        <w:t xml:space="preserve">23.6 </w:t>
      </w:r>
      <w:r w:rsidRPr="009070BD">
        <w:rPr>
          <w:rFonts w:cs="Sylfaen"/>
          <w:b w:val="0"/>
          <w:bCs/>
          <w:szCs w:val="22"/>
          <w:lang w:val="hy-AM" w:eastAsia="en-US"/>
        </w:rPr>
        <w:t>մլն</w:t>
      </w:r>
      <w:r w:rsidRPr="009070BD">
        <w:rPr>
          <w:rFonts w:cs="Times Armenian"/>
          <w:b w:val="0"/>
          <w:bCs/>
          <w:szCs w:val="22"/>
          <w:lang w:val="fr-FR" w:eastAsia="en-US"/>
        </w:rPr>
        <w:t xml:space="preserve"> </w:t>
      </w:r>
      <w:r w:rsidRPr="009070BD">
        <w:rPr>
          <w:rFonts w:cs="Sylfaen"/>
          <w:b w:val="0"/>
          <w:bCs/>
          <w:szCs w:val="22"/>
          <w:lang w:val="hy-AM" w:eastAsia="en-US"/>
        </w:rPr>
        <w:t>դրամ</w:t>
      </w:r>
      <w:r w:rsidRPr="009070BD">
        <w:rPr>
          <w:rFonts w:cs="Sylfaen"/>
          <w:b w:val="0"/>
          <w:bCs/>
          <w:szCs w:val="22"/>
          <w:lang w:val="en-US" w:eastAsia="en-US"/>
        </w:rPr>
        <w:t>՝</w:t>
      </w:r>
      <w:r w:rsidRPr="009070BD">
        <w:rPr>
          <w:rFonts w:cs="Sylfaen"/>
          <w:b w:val="0"/>
          <w:bCs/>
          <w:szCs w:val="22"/>
          <w:lang w:val="fr-FR" w:eastAsia="en-US"/>
        </w:rPr>
        <w:t xml:space="preserve"> </w:t>
      </w:r>
      <w:r w:rsidRPr="009070BD">
        <w:rPr>
          <w:rFonts w:cs="Sylfaen"/>
          <w:b w:val="0"/>
          <w:szCs w:val="22"/>
          <w:lang w:val="en-US" w:eastAsia="en-US"/>
        </w:rPr>
        <w:t>ՀՀ</w:t>
      </w:r>
      <w:r w:rsidRPr="009070BD">
        <w:rPr>
          <w:rFonts w:cs="Sylfaen"/>
          <w:b w:val="0"/>
          <w:szCs w:val="22"/>
          <w:lang w:val="af-ZA" w:eastAsia="en-US"/>
        </w:rPr>
        <w:t xml:space="preserve"> 20</w:t>
      </w:r>
      <w:r w:rsidR="007E0441" w:rsidRPr="009070BD">
        <w:rPr>
          <w:rFonts w:cs="Sylfaen"/>
          <w:b w:val="0"/>
          <w:szCs w:val="22"/>
          <w:lang w:val="af-ZA" w:eastAsia="en-US"/>
        </w:rPr>
        <w:t>20</w:t>
      </w:r>
      <w:r w:rsidRPr="009070BD">
        <w:rPr>
          <w:rFonts w:cs="Sylfaen"/>
          <w:b w:val="0"/>
          <w:szCs w:val="22"/>
          <w:lang w:val="af-ZA" w:eastAsia="en-US"/>
        </w:rPr>
        <w:t xml:space="preserve"> </w:t>
      </w:r>
      <w:r w:rsidRPr="009070BD">
        <w:rPr>
          <w:rFonts w:cs="Sylfaen"/>
          <w:b w:val="0"/>
          <w:szCs w:val="22"/>
          <w:lang w:val="en-US" w:eastAsia="en-US"/>
        </w:rPr>
        <w:t>թվականի</w:t>
      </w:r>
      <w:r w:rsidRPr="009070BD">
        <w:rPr>
          <w:rFonts w:cs="Sylfaen"/>
          <w:b w:val="0"/>
          <w:szCs w:val="22"/>
          <w:lang w:val="af-ZA" w:eastAsia="en-US"/>
        </w:rPr>
        <w:t xml:space="preserve"> </w:t>
      </w:r>
      <w:r w:rsidRPr="009070BD">
        <w:rPr>
          <w:rFonts w:cs="Sylfaen"/>
          <w:b w:val="0"/>
          <w:szCs w:val="22"/>
          <w:lang w:val="en-US" w:eastAsia="en-US"/>
        </w:rPr>
        <w:t>պետական</w:t>
      </w:r>
      <w:r w:rsidRPr="009070BD">
        <w:rPr>
          <w:rFonts w:cs="Sylfaen"/>
          <w:b w:val="0"/>
          <w:szCs w:val="22"/>
          <w:lang w:val="af-ZA" w:eastAsia="en-US"/>
        </w:rPr>
        <w:t xml:space="preserve"> </w:t>
      </w:r>
      <w:r w:rsidRPr="009070BD">
        <w:rPr>
          <w:rFonts w:cs="Sylfaen"/>
          <w:b w:val="0"/>
          <w:szCs w:val="22"/>
          <w:lang w:val="en-US" w:eastAsia="en-US"/>
        </w:rPr>
        <w:t>բյուջեով</w:t>
      </w:r>
      <w:r w:rsidRPr="009070BD">
        <w:rPr>
          <w:rFonts w:cs="Sylfaen"/>
          <w:b w:val="0"/>
          <w:szCs w:val="22"/>
          <w:lang w:val="af-ZA" w:eastAsia="en-US"/>
        </w:rPr>
        <w:t xml:space="preserve"> </w:t>
      </w:r>
      <w:r w:rsidRPr="009070BD">
        <w:rPr>
          <w:rFonts w:cs="Sylfaen"/>
          <w:b w:val="0"/>
          <w:szCs w:val="22"/>
          <w:lang w:val="en-US" w:eastAsia="en-US"/>
        </w:rPr>
        <w:t>հաստատված</w:t>
      </w:r>
      <w:r w:rsidRPr="009070BD">
        <w:rPr>
          <w:rFonts w:cs="Sylfaen"/>
          <w:b w:val="0"/>
          <w:szCs w:val="22"/>
          <w:lang w:val="af-ZA" w:eastAsia="en-US"/>
        </w:rPr>
        <w:t xml:space="preserve"> գումարի չափով</w:t>
      </w:r>
      <w:r w:rsidRPr="009070BD">
        <w:rPr>
          <w:rFonts w:cs="Sylfaen"/>
          <w:b w:val="0"/>
          <w:bCs/>
          <w:szCs w:val="22"/>
          <w:lang w:val="fr-FR" w:eastAsia="en-US"/>
        </w:rPr>
        <w:t>:</w:t>
      </w:r>
    </w:p>
    <w:p w:rsidR="004030A5" w:rsidRPr="009070BD" w:rsidRDefault="004030A5" w:rsidP="007730AA">
      <w:pPr>
        <w:spacing w:before="0" w:line="276" w:lineRule="auto"/>
        <w:ind w:firstLine="720"/>
        <w:contextualSpacing w:val="0"/>
        <w:rPr>
          <w:rFonts w:cs="Sylfaen"/>
          <w:color w:val="000000"/>
          <w:szCs w:val="22"/>
          <w:lang w:val="fr-FR" w:eastAsia="en-US"/>
        </w:rPr>
      </w:pPr>
      <w:r w:rsidRPr="009070BD">
        <w:rPr>
          <w:rFonts w:cs="Sylfaen"/>
          <w:b w:val="0"/>
          <w:szCs w:val="22"/>
          <w:lang w:val="af-ZA" w:eastAsia="en-US"/>
        </w:rPr>
        <w:t>Ծրագրի իրականացման նպատակն է Հայաստանի Արդյունահանող ճյուղերի թափանցի</w:t>
      </w:r>
      <w:r w:rsidRPr="009070BD">
        <w:rPr>
          <w:rFonts w:cs="Sylfaen"/>
          <w:b w:val="0"/>
          <w:szCs w:val="22"/>
          <w:lang w:val="af-ZA" w:eastAsia="en-US"/>
        </w:rPr>
        <w:softHyphen/>
        <w:t>կության նախաձեռնությանը լիարժեք անդամակցելու հանձնառության ապահովումը, ազգային քաղաքականության ապահովման և անդամակցության վճարների իրականացման միջոցով:</w:t>
      </w:r>
    </w:p>
    <w:p w:rsidR="004030A5" w:rsidRPr="009070BD" w:rsidRDefault="004030A5" w:rsidP="007730AA">
      <w:pPr>
        <w:tabs>
          <w:tab w:val="left" w:pos="851"/>
        </w:tabs>
        <w:spacing w:before="0" w:line="276" w:lineRule="auto"/>
        <w:ind w:firstLine="720"/>
        <w:contextualSpacing w:val="0"/>
        <w:rPr>
          <w:rFonts w:cs="Sylfaen"/>
          <w:b w:val="0"/>
          <w:iCs/>
          <w:color w:val="000000"/>
          <w:szCs w:val="22"/>
          <w:lang w:val="af-ZA" w:eastAsia="en-US"/>
        </w:rPr>
      </w:pPr>
      <w:r w:rsidRPr="009070BD">
        <w:rPr>
          <w:rFonts w:cs="Sylfaen"/>
          <w:bCs/>
          <w:szCs w:val="22"/>
          <w:lang w:val="fr-FR" w:eastAsia="en-US"/>
        </w:rPr>
        <w:t>1.2</w:t>
      </w:r>
      <w:r w:rsidRPr="009070BD">
        <w:rPr>
          <w:b w:val="0"/>
          <w:szCs w:val="22"/>
          <w:lang w:val="fr-FR" w:eastAsia="en-US"/>
        </w:rPr>
        <w:t xml:space="preserve"> </w:t>
      </w:r>
      <w:r w:rsidRPr="009070BD">
        <w:rPr>
          <w:rFonts w:cs="Sylfaen"/>
          <w:bCs/>
          <w:szCs w:val="22"/>
          <w:lang w:val="af-ZA" w:eastAsia="en-US"/>
        </w:rPr>
        <w:t>«</w:t>
      </w:r>
      <w:r w:rsidRPr="009070BD">
        <w:rPr>
          <w:rFonts w:cs="Sylfaen"/>
          <w:bCs/>
          <w:szCs w:val="22"/>
          <w:lang w:val="en-US" w:eastAsia="en-US"/>
        </w:rPr>
        <w:t>Մաքսային</w:t>
      </w:r>
      <w:r w:rsidRPr="009070BD">
        <w:rPr>
          <w:rFonts w:cs="Sylfaen"/>
          <w:bCs/>
          <w:szCs w:val="22"/>
          <w:lang w:val="af-ZA" w:eastAsia="en-US"/>
        </w:rPr>
        <w:t xml:space="preserve"> </w:t>
      </w:r>
      <w:r w:rsidRPr="009070BD">
        <w:rPr>
          <w:rFonts w:cs="Sylfaen"/>
          <w:bCs/>
          <w:szCs w:val="22"/>
          <w:lang w:val="en-US" w:eastAsia="en-US"/>
        </w:rPr>
        <w:t>միության</w:t>
      </w:r>
      <w:r w:rsidRPr="009070BD">
        <w:rPr>
          <w:rFonts w:cs="Sylfaen"/>
          <w:bCs/>
          <w:szCs w:val="22"/>
          <w:lang w:val="af-ZA" w:eastAsia="en-US"/>
        </w:rPr>
        <w:t xml:space="preserve"> </w:t>
      </w:r>
      <w:r w:rsidRPr="009070BD">
        <w:rPr>
          <w:rFonts w:cs="Sylfaen"/>
          <w:bCs/>
          <w:szCs w:val="22"/>
          <w:lang w:val="en-US" w:eastAsia="en-US"/>
        </w:rPr>
        <w:t>և</w:t>
      </w:r>
      <w:r w:rsidRPr="009070BD">
        <w:rPr>
          <w:rFonts w:cs="Sylfaen"/>
          <w:bCs/>
          <w:szCs w:val="22"/>
          <w:lang w:val="af-ZA" w:eastAsia="en-US"/>
        </w:rPr>
        <w:t xml:space="preserve"> </w:t>
      </w:r>
      <w:r w:rsidRPr="009070BD">
        <w:rPr>
          <w:rFonts w:cs="Sylfaen"/>
          <w:bCs/>
          <w:szCs w:val="22"/>
          <w:lang w:val="en-US" w:eastAsia="en-US"/>
        </w:rPr>
        <w:t>Միասնական</w:t>
      </w:r>
      <w:r w:rsidRPr="009070BD">
        <w:rPr>
          <w:rFonts w:cs="Sylfaen"/>
          <w:bCs/>
          <w:szCs w:val="22"/>
          <w:lang w:val="af-ZA" w:eastAsia="en-US"/>
        </w:rPr>
        <w:t xml:space="preserve"> </w:t>
      </w:r>
      <w:r w:rsidRPr="009070BD">
        <w:rPr>
          <w:rFonts w:cs="Sylfaen"/>
          <w:bCs/>
          <w:szCs w:val="22"/>
          <w:lang w:val="en-US" w:eastAsia="en-US"/>
        </w:rPr>
        <w:t>տնտեսական</w:t>
      </w:r>
      <w:r w:rsidRPr="009070BD">
        <w:rPr>
          <w:rFonts w:cs="Sylfaen"/>
          <w:bCs/>
          <w:szCs w:val="22"/>
          <w:lang w:val="af-ZA" w:eastAsia="en-US"/>
        </w:rPr>
        <w:t xml:space="preserve"> </w:t>
      </w:r>
      <w:r w:rsidRPr="009070BD">
        <w:rPr>
          <w:rFonts w:cs="Sylfaen"/>
          <w:bCs/>
          <w:szCs w:val="22"/>
          <w:lang w:val="en-US" w:eastAsia="en-US"/>
        </w:rPr>
        <w:t>տարածությանը</w:t>
      </w:r>
      <w:r w:rsidRPr="009070BD">
        <w:rPr>
          <w:rFonts w:cs="Sylfaen"/>
          <w:bCs/>
          <w:szCs w:val="22"/>
          <w:lang w:val="af-ZA" w:eastAsia="en-US"/>
        </w:rPr>
        <w:t xml:space="preserve"> </w:t>
      </w:r>
      <w:r w:rsidRPr="009070BD">
        <w:rPr>
          <w:rFonts w:cs="Sylfaen"/>
          <w:bCs/>
          <w:szCs w:val="22"/>
          <w:lang w:val="en-US" w:eastAsia="en-US"/>
        </w:rPr>
        <w:t>ՀՀ</w:t>
      </w:r>
      <w:r w:rsidRPr="009070BD">
        <w:rPr>
          <w:rFonts w:cs="Sylfaen"/>
          <w:bCs/>
          <w:szCs w:val="22"/>
          <w:lang w:val="af-ZA" w:eastAsia="en-US"/>
        </w:rPr>
        <w:t xml:space="preserve"> </w:t>
      </w:r>
      <w:r w:rsidRPr="009070BD">
        <w:rPr>
          <w:rFonts w:cs="Sylfaen"/>
          <w:bCs/>
          <w:szCs w:val="22"/>
          <w:lang w:val="en-US" w:eastAsia="en-US"/>
        </w:rPr>
        <w:t>անդամակցության</w:t>
      </w:r>
      <w:r w:rsidRPr="009070BD">
        <w:rPr>
          <w:rFonts w:cs="Sylfaen"/>
          <w:bCs/>
          <w:szCs w:val="22"/>
          <w:lang w:val="af-ZA" w:eastAsia="en-US"/>
        </w:rPr>
        <w:t xml:space="preserve"> </w:t>
      </w:r>
      <w:r w:rsidRPr="009070BD">
        <w:rPr>
          <w:rFonts w:cs="Sylfaen"/>
          <w:bCs/>
          <w:szCs w:val="22"/>
          <w:lang w:val="en-US" w:eastAsia="en-US"/>
        </w:rPr>
        <w:t>շրջանակում</w:t>
      </w:r>
      <w:r w:rsidRPr="009070BD">
        <w:rPr>
          <w:rFonts w:cs="Sylfaen"/>
          <w:bCs/>
          <w:szCs w:val="22"/>
          <w:lang w:val="af-ZA" w:eastAsia="en-US"/>
        </w:rPr>
        <w:t xml:space="preserve"> միասնական տեղեկատավական տարածության և ինտեգրացված տեղեկատվական համակարգերի ստեղծում և պահպանում» </w:t>
      </w:r>
      <w:r w:rsidRPr="009070BD">
        <w:rPr>
          <w:rFonts w:cs="Sylfaen"/>
          <w:b w:val="0"/>
          <w:bCs/>
          <w:szCs w:val="22"/>
          <w:lang w:val="af-ZA" w:eastAsia="en-US"/>
        </w:rPr>
        <w:t xml:space="preserve">միջոցառումը, որի </w:t>
      </w:r>
      <w:r w:rsidRPr="009070BD">
        <w:rPr>
          <w:rFonts w:cs="Sylfaen"/>
          <w:b w:val="0"/>
          <w:bCs/>
          <w:szCs w:val="22"/>
          <w:lang w:val="en-US" w:eastAsia="en-US"/>
        </w:rPr>
        <w:t>համար</w:t>
      </w:r>
      <w:r w:rsidRPr="009070BD">
        <w:rPr>
          <w:rFonts w:cs="Sylfaen"/>
          <w:b w:val="0"/>
          <w:bCs/>
          <w:szCs w:val="22"/>
          <w:lang w:val="af-ZA" w:eastAsia="en-US"/>
        </w:rPr>
        <w:t xml:space="preserve"> </w:t>
      </w:r>
      <w:r w:rsidRPr="009070BD">
        <w:rPr>
          <w:rFonts w:cs="Sylfaen"/>
          <w:b w:val="0"/>
          <w:bCs/>
          <w:szCs w:val="22"/>
          <w:lang w:val="en-US" w:eastAsia="en-US"/>
        </w:rPr>
        <w:t>Նախագծով</w:t>
      </w:r>
      <w:r w:rsidRPr="009070BD">
        <w:rPr>
          <w:rFonts w:cs="Sylfaen"/>
          <w:b w:val="0"/>
          <w:bCs/>
          <w:szCs w:val="22"/>
          <w:lang w:val="af-ZA" w:eastAsia="en-US"/>
        </w:rPr>
        <w:t xml:space="preserve"> </w:t>
      </w:r>
      <w:r w:rsidRPr="009070BD">
        <w:rPr>
          <w:rFonts w:cs="Sylfaen"/>
          <w:b w:val="0"/>
          <w:bCs/>
          <w:szCs w:val="22"/>
          <w:lang w:val="en-US" w:eastAsia="en-US"/>
        </w:rPr>
        <w:t>նախատեսվում</w:t>
      </w:r>
      <w:r w:rsidRPr="009070BD">
        <w:rPr>
          <w:rFonts w:cs="Sylfaen"/>
          <w:b w:val="0"/>
          <w:bCs/>
          <w:szCs w:val="22"/>
          <w:lang w:val="af-ZA" w:eastAsia="en-US"/>
        </w:rPr>
        <w:t xml:space="preserve"> </w:t>
      </w:r>
      <w:r w:rsidRPr="009070BD">
        <w:rPr>
          <w:rFonts w:cs="Sylfaen"/>
          <w:b w:val="0"/>
          <w:bCs/>
          <w:szCs w:val="22"/>
          <w:lang w:val="en-US" w:eastAsia="en-US"/>
        </w:rPr>
        <w:t>է</w:t>
      </w:r>
      <w:r w:rsidRPr="009070BD">
        <w:rPr>
          <w:rFonts w:cs="Sylfaen"/>
          <w:b w:val="0"/>
          <w:bCs/>
          <w:szCs w:val="22"/>
          <w:lang w:val="af-ZA" w:eastAsia="en-US"/>
        </w:rPr>
        <w:t xml:space="preserve"> </w:t>
      </w:r>
      <w:r w:rsidRPr="009070BD">
        <w:rPr>
          <w:rFonts w:cs="Sylfaen"/>
          <w:b w:val="0"/>
          <w:bCs/>
          <w:szCs w:val="22"/>
          <w:lang w:val="en-US" w:eastAsia="en-US"/>
        </w:rPr>
        <w:t>հատկացնել</w:t>
      </w:r>
      <w:r w:rsidRPr="009070BD">
        <w:rPr>
          <w:rFonts w:cs="Sylfaen"/>
          <w:b w:val="0"/>
          <w:bCs/>
          <w:szCs w:val="22"/>
          <w:lang w:val="af-ZA" w:eastAsia="en-US"/>
        </w:rPr>
        <w:t xml:space="preserve"> 92.1 </w:t>
      </w:r>
      <w:r w:rsidRPr="009070BD">
        <w:rPr>
          <w:rFonts w:cs="Sylfaen"/>
          <w:b w:val="0"/>
          <w:bCs/>
          <w:szCs w:val="22"/>
          <w:lang w:val="en-US" w:eastAsia="en-US"/>
        </w:rPr>
        <w:t>մլն</w:t>
      </w:r>
      <w:r w:rsidRPr="009070BD">
        <w:rPr>
          <w:rFonts w:cs="Sylfaen"/>
          <w:b w:val="0"/>
          <w:bCs/>
          <w:szCs w:val="22"/>
          <w:lang w:val="af-ZA" w:eastAsia="en-US"/>
        </w:rPr>
        <w:t xml:space="preserve"> </w:t>
      </w:r>
      <w:r w:rsidRPr="009070BD">
        <w:rPr>
          <w:rFonts w:cs="Sylfaen"/>
          <w:b w:val="0"/>
          <w:bCs/>
          <w:szCs w:val="22"/>
          <w:lang w:val="en-US" w:eastAsia="en-US"/>
        </w:rPr>
        <w:t>դրամ</w:t>
      </w:r>
      <w:r w:rsidRPr="009070BD">
        <w:rPr>
          <w:rFonts w:cs="Sylfaen"/>
          <w:b w:val="0"/>
          <w:bCs/>
          <w:szCs w:val="22"/>
          <w:lang w:val="af-ZA" w:eastAsia="en-US"/>
        </w:rPr>
        <w:t xml:space="preserve">, </w:t>
      </w:r>
      <w:r w:rsidRPr="009070BD">
        <w:rPr>
          <w:rFonts w:cs="Sylfaen"/>
          <w:b w:val="0"/>
          <w:iCs/>
          <w:color w:val="000000"/>
          <w:szCs w:val="22"/>
          <w:lang w:val="af-ZA" w:eastAsia="en-US"/>
        </w:rPr>
        <w:t>ՀՀ 20</w:t>
      </w:r>
      <w:r w:rsidR="007E0441" w:rsidRPr="009070BD">
        <w:rPr>
          <w:rFonts w:cs="Sylfaen"/>
          <w:b w:val="0"/>
          <w:iCs/>
          <w:color w:val="000000"/>
          <w:szCs w:val="22"/>
          <w:lang w:val="af-ZA" w:eastAsia="en-US"/>
        </w:rPr>
        <w:t>20</w:t>
      </w:r>
      <w:r w:rsidRPr="009070BD">
        <w:rPr>
          <w:rFonts w:cs="Sylfaen"/>
          <w:b w:val="0"/>
          <w:iCs/>
          <w:color w:val="000000"/>
          <w:szCs w:val="22"/>
          <w:lang w:val="af-ZA" w:eastAsia="en-US"/>
        </w:rPr>
        <w:t xml:space="preserve"> թվականի պետական բյուջեով հաստատված </w:t>
      </w:r>
      <w:r w:rsidRPr="009070BD">
        <w:rPr>
          <w:rFonts w:cs="Sylfaen"/>
          <w:b w:val="0"/>
          <w:iCs/>
          <w:color w:val="000000"/>
          <w:szCs w:val="22"/>
          <w:lang w:eastAsia="en-US"/>
        </w:rPr>
        <w:t>գումարի</w:t>
      </w:r>
      <w:r w:rsidRPr="009070BD">
        <w:rPr>
          <w:rFonts w:cs="Sylfaen"/>
          <w:b w:val="0"/>
          <w:iCs/>
          <w:color w:val="000000"/>
          <w:szCs w:val="22"/>
          <w:lang w:val="fr-FR" w:eastAsia="en-US"/>
        </w:rPr>
        <w:t xml:space="preserve"> </w:t>
      </w:r>
      <w:r w:rsidRPr="009070BD">
        <w:rPr>
          <w:rFonts w:cs="Sylfaen"/>
          <w:b w:val="0"/>
          <w:iCs/>
          <w:color w:val="000000"/>
          <w:szCs w:val="22"/>
          <w:lang w:eastAsia="en-US"/>
        </w:rPr>
        <w:t>չափով</w:t>
      </w:r>
      <w:r w:rsidRPr="009070BD">
        <w:rPr>
          <w:rFonts w:cs="Sylfaen"/>
          <w:b w:val="0"/>
          <w:iCs/>
          <w:color w:val="000000"/>
          <w:szCs w:val="22"/>
          <w:lang w:val="af-ZA" w:eastAsia="en-US"/>
        </w:rPr>
        <w:t>:</w:t>
      </w:r>
    </w:p>
    <w:p w:rsidR="004030A5" w:rsidRPr="009070BD" w:rsidRDefault="004030A5" w:rsidP="007730AA">
      <w:pPr>
        <w:tabs>
          <w:tab w:val="left" w:pos="851"/>
        </w:tabs>
        <w:spacing w:before="0" w:line="276" w:lineRule="auto"/>
        <w:ind w:firstLine="720"/>
        <w:contextualSpacing w:val="0"/>
        <w:rPr>
          <w:rFonts w:cs="Sylfaen"/>
          <w:b w:val="0"/>
          <w:bCs/>
          <w:szCs w:val="22"/>
          <w:lang w:val="af-ZA" w:eastAsia="en-US"/>
        </w:rPr>
      </w:pPr>
      <w:r w:rsidRPr="009070BD">
        <w:rPr>
          <w:rFonts w:cs="Sylfaen"/>
          <w:b w:val="0"/>
          <w:bCs/>
          <w:szCs w:val="22"/>
          <w:lang w:val="en-US" w:eastAsia="en-US"/>
        </w:rPr>
        <w:t>ՀՀ</w:t>
      </w:r>
      <w:r w:rsidRPr="009070BD">
        <w:rPr>
          <w:rFonts w:cs="Sylfaen"/>
          <w:b w:val="0"/>
          <w:bCs/>
          <w:szCs w:val="22"/>
          <w:lang w:val="af-ZA" w:eastAsia="en-US"/>
        </w:rPr>
        <w:t xml:space="preserve"> </w:t>
      </w:r>
      <w:r w:rsidRPr="009070BD">
        <w:rPr>
          <w:rFonts w:cs="Sylfaen"/>
          <w:b w:val="0"/>
          <w:bCs/>
          <w:szCs w:val="22"/>
          <w:lang w:val="en-US" w:eastAsia="en-US"/>
        </w:rPr>
        <w:t>կառավարության</w:t>
      </w:r>
      <w:r w:rsidRPr="009070BD">
        <w:rPr>
          <w:rFonts w:cs="Sylfaen"/>
          <w:b w:val="0"/>
          <w:bCs/>
          <w:szCs w:val="22"/>
          <w:lang w:val="af-ZA" w:eastAsia="en-US"/>
        </w:rPr>
        <w:t xml:space="preserve"> 2014 </w:t>
      </w:r>
      <w:r w:rsidRPr="009070BD">
        <w:rPr>
          <w:rFonts w:cs="Sylfaen"/>
          <w:b w:val="0"/>
          <w:bCs/>
          <w:szCs w:val="22"/>
          <w:lang w:val="en-US" w:eastAsia="en-US"/>
        </w:rPr>
        <w:t>թվականի</w:t>
      </w:r>
      <w:r w:rsidRPr="009070BD">
        <w:rPr>
          <w:rFonts w:cs="Sylfaen"/>
          <w:b w:val="0"/>
          <w:bCs/>
          <w:szCs w:val="22"/>
          <w:lang w:val="af-ZA" w:eastAsia="en-US"/>
        </w:rPr>
        <w:t xml:space="preserve"> </w:t>
      </w:r>
      <w:r w:rsidRPr="009070BD">
        <w:rPr>
          <w:rFonts w:cs="Sylfaen"/>
          <w:b w:val="0"/>
          <w:bCs/>
          <w:szCs w:val="22"/>
          <w:lang w:val="en-US" w:eastAsia="en-US"/>
        </w:rPr>
        <w:t>փետրվարի</w:t>
      </w:r>
      <w:r w:rsidRPr="009070BD">
        <w:rPr>
          <w:rFonts w:cs="Sylfaen"/>
          <w:b w:val="0"/>
          <w:bCs/>
          <w:szCs w:val="22"/>
          <w:lang w:val="af-ZA" w:eastAsia="en-US"/>
        </w:rPr>
        <w:t xml:space="preserve"> 20-</w:t>
      </w:r>
      <w:r w:rsidRPr="009070BD">
        <w:rPr>
          <w:rFonts w:cs="Sylfaen"/>
          <w:b w:val="0"/>
          <w:bCs/>
          <w:szCs w:val="22"/>
          <w:lang w:val="en-US" w:eastAsia="en-US"/>
        </w:rPr>
        <w:t>ի</w:t>
      </w:r>
      <w:r w:rsidRPr="009070BD">
        <w:rPr>
          <w:rFonts w:cs="Sylfaen"/>
          <w:b w:val="0"/>
          <w:bCs/>
          <w:szCs w:val="22"/>
          <w:lang w:val="af-ZA" w:eastAsia="en-US"/>
        </w:rPr>
        <w:t xml:space="preserve"> N 217-</w:t>
      </w:r>
      <w:r w:rsidRPr="009070BD">
        <w:rPr>
          <w:rFonts w:cs="Sylfaen"/>
          <w:b w:val="0"/>
          <w:bCs/>
          <w:szCs w:val="22"/>
          <w:lang w:val="en-US" w:eastAsia="en-US"/>
        </w:rPr>
        <w:t>Ա</w:t>
      </w:r>
      <w:r w:rsidRPr="009070BD">
        <w:rPr>
          <w:rFonts w:cs="Sylfaen"/>
          <w:b w:val="0"/>
          <w:bCs/>
          <w:szCs w:val="22"/>
          <w:lang w:val="af-ZA" w:eastAsia="en-US"/>
        </w:rPr>
        <w:t xml:space="preserve"> </w:t>
      </w:r>
      <w:r w:rsidRPr="009070BD">
        <w:rPr>
          <w:rFonts w:cs="Sylfaen"/>
          <w:b w:val="0"/>
          <w:bCs/>
          <w:szCs w:val="22"/>
          <w:lang w:val="en-US" w:eastAsia="en-US"/>
        </w:rPr>
        <w:t>որոշման</w:t>
      </w:r>
      <w:r w:rsidRPr="009070BD">
        <w:rPr>
          <w:rFonts w:cs="Sylfaen"/>
          <w:b w:val="0"/>
          <w:bCs/>
          <w:szCs w:val="22"/>
          <w:lang w:val="af-ZA" w:eastAsia="en-US"/>
        </w:rPr>
        <w:t xml:space="preserve"> </w:t>
      </w:r>
      <w:r w:rsidRPr="009070BD">
        <w:rPr>
          <w:rFonts w:cs="Sylfaen"/>
          <w:b w:val="0"/>
          <w:bCs/>
          <w:szCs w:val="22"/>
          <w:lang w:val="en-US" w:eastAsia="en-US"/>
        </w:rPr>
        <w:t>համաձայն</w:t>
      </w:r>
      <w:r w:rsidRPr="009070BD">
        <w:rPr>
          <w:rFonts w:cs="Sylfaen"/>
          <w:b w:val="0"/>
          <w:bCs/>
          <w:szCs w:val="22"/>
          <w:lang w:val="af-ZA" w:eastAsia="en-US"/>
        </w:rPr>
        <w:t xml:space="preserve"> «</w:t>
      </w:r>
      <w:r w:rsidRPr="009070BD">
        <w:rPr>
          <w:rFonts w:cs="Sylfaen"/>
          <w:b w:val="0"/>
          <w:bCs/>
          <w:szCs w:val="22"/>
          <w:lang w:val="en-US" w:eastAsia="en-US"/>
        </w:rPr>
        <w:t>ԷԿԵՆԳ</w:t>
      </w:r>
      <w:r w:rsidRPr="009070BD">
        <w:rPr>
          <w:rFonts w:cs="Sylfaen"/>
          <w:b w:val="0"/>
          <w:bCs/>
          <w:szCs w:val="22"/>
          <w:lang w:val="af-ZA" w:eastAsia="en-US"/>
        </w:rPr>
        <w:t xml:space="preserve">» </w:t>
      </w:r>
      <w:r w:rsidRPr="009070BD">
        <w:rPr>
          <w:rFonts w:cs="Sylfaen"/>
          <w:b w:val="0"/>
          <w:bCs/>
          <w:szCs w:val="22"/>
          <w:lang w:val="en-US" w:eastAsia="en-US"/>
        </w:rPr>
        <w:t>ՓԲԸ</w:t>
      </w:r>
      <w:r w:rsidRPr="009070BD">
        <w:rPr>
          <w:rFonts w:cs="Sylfaen"/>
          <w:b w:val="0"/>
          <w:bCs/>
          <w:szCs w:val="22"/>
          <w:lang w:val="af-ZA" w:eastAsia="en-US"/>
        </w:rPr>
        <w:t>-</w:t>
      </w:r>
      <w:r w:rsidRPr="009070BD">
        <w:rPr>
          <w:rFonts w:cs="Sylfaen"/>
          <w:b w:val="0"/>
          <w:bCs/>
          <w:szCs w:val="22"/>
          <w:lang w:val="en-US" w:eastAsia="en-US"/>
        </w:rPr>
        <w:t>ն</w:t>
      </w:r>
      <w:r w:rsidRPr="009070BD">
        <w:rPr>
          <w:rFonts w:cs="Sylfaen"/>
          <w:b w:val="0"/>
          <w:bCs/>
          <w:szCs w:val="22"/>
          <w:lang w:val="af-ZA" w:eastAsia="en-US"/>
        </w:rPr>
        <w:t xml:space="preserve"> </w:t>
      </w:r>
      <w:r w:rsidRPr="009070BD">
        <w:rPr>
          <w:rFonts w:cs="Sylfaen"/>
          <w:b w:val="0"/>
          <w:bCs/>
          <w:szCs w:val="22"/>
          <w:lang w:val="en-US" w:eastAsia="en-US"/>
        </w:rPr>
        <w:t>ճանաչվել</w:t>
      </w:r>
      <w:r w:rsidRPr="009070BD">
        <w:rPr>
          <w:rFonts w:cs="Sylfaen"/>
          <w:b w:val="0"/>
          <w:bCs/>
          <w:szCs w:val="22"/>
          <w:lang w:val="af-ZA" w:eastAsia="en-US"/>
        </w:rPr>
        <w:t xml:space="preserve"> </w:t>
      </w:r>
      <w:r w:rsidRPr="009070BD">
        <w:rPr>
          <w:rFonts w:cs="Sylfaen"/>
          <w:b w:val="0"/>
          <w:bCs/>
          <w:szCs w:val="22"/>
          <w:lang w:val="en-US" w:eastAsia="en-US"/>
        </w:rPr>
        <w:t>է</w:t>
      </w:r>
      <w:r w:rsidRPr="009070BD">
        <w:rPr>
          <w:rFonts w:cs="Sylfaen"/>
          <w:b w:val="0"/>
          <w:bCs/>
          <w:szCs w:val="22"/>
          <w:lang w:val="af-ZA" w:eastAsia="en-US"/>
        </w:rPr>
        <w:t xml:space="preserve"> </w:t>
      </w:r>
      <w:r w:rsidRPr="009070BD">
        <w:rPr>
          <w:rFonts w:cs="Sylfaen"/>
          <w:b w:val="0"/>
          <w:bCs/>
          <w:szCs w:val="22"/>
          <w:lang w:val="en-US" w:eastAsia="en-US"/>
        </w:rPr>
        <w:t>որպես</w:t>
      </w:r>
      <w:r w:rsidRPr="009070BD">
        <w:rPr>
          <w:rFonts w:cs="Sylfaen"/>
          <w:b w:val="0"/>
          <w:bCs/>
          <w:szCs w:val="22"/>
          <w:lang w:val="af-ZA" w:eastAsia="en-US"/>
        </w:rPr>
        <w:t xml:space="preserve"> </w:t>
      </w:r>
      <w:r w:rsidRPr="009070BD">
        <w:rPr>
          <w:rFonts w:cs="Sylfaen"/>
          <w:b w:val="0"/>
          <w:bCs/>
          <w:szCs w:val="22"/>
          <w:lang w:val="en-US" w:eastAsia="en-US"/>
        </w:rPr>
        <w:t>Մաքսային</w:t>
      </w:r>
      <w:r w:rsidRPr="009070BD">
        <w:rPr>
          <w:rFonts w:cs="Sylfaen"/>
          <w:b w:val="0"/>
          <w:bCs/>
          <w:szCs w:val="22"/>
          <w:lang w:val="af-ZA" w:eastAsia="en-US"/>
        </w:rPr>
        <w:t xml:space="preserve"> </w:t>
      </w:r>
      <w:r w:rsidRPr="009070BD">
        <w:rPr>
          <w:rFonts w:cs="Sylfaen"/>
          <w:b w:val="0"/>
          <w:bCs/>
          <w:szCs w:val="22"/>
          <w:lang w:val="en-US" w:eastAsia="en-US"/>
        </w:rPr>
        <w:t>միությանը</w:t>
      </w:r>
      <w:r w:rsidRPr="009070BD">
        <w:rPr>
          <w:rFonts w:cs="Sylfaen"/>
          <w:b w:val="0"/>
          <w:bCs/>
          <w:szCs w:val="22"/>
          <w:lang w:val="af-ZA" w:eastAsia="en-US"/>
        </w:rPr>
        <w:t xml:space="preserve"> </w:t>
      </w:r>
      <w:r w:rsidRPr="009070BD">
        <w:rPr>
          <w:rFonts w:cs="Sylfaen"/>
          <w:b w:val="0"/>
          <w:bCs/>
          <w:szCs w:val="22"/>
          <w:lang w:val="en-US" w:eastAsia="en-US"/>
        </w:rPr>
        <w:t>և</w:t>
      </w:r>
      <w:r w:rsidRPr="009070BD">
        <w:rPr>
          <w:rFonts w:cs="Sylfaen"/>
          <w:b w:val="0"/>
          <w:bCs/>
          <w:szCs w:val="22"/>
          <w:lang w:val="af-ZA" w:eastAsia="en-US"/>
        </w:rPr>
        <w:t xml:space="preserve"> </w:t>
      </w:r>
      <w:r w:rsidRPr="009070BD">
        <w:rPr>
          <w:rFonts w:cs="Sylfaen"/>
          <w:b w:val="0"/>
          <w:bCs/>
          <w:szCs w:val="22"/>
          <w:lang w:val="en-US" w:eastAsia="en-US"/>
        </w:rPr>
        <w:t>Միասնական</w:t>
      </w:r>
      <w:r w:rsidRPr="009070BD">
        <w:rPr>
          <w:rFonts w:cs="Sylfaen"/>
          <w:b w:val="0"/>
          <w:bCs/>
          <w:szCs w:val="22"/>
          <w:lang w:val="af-ZA" w:eastAsia="en-US"/>
        </w:rPr>
        <w:t xml:space="preserve"> </w:t>
      </w:r>
      <w:r w:rsidRPr="009070BD">
        <w:rPr>
          <w:rFonts w:cs="Sylfaen"/>
          <w:b w:val="0"/>
          <w:bCs/>
          <w:szCs w:val="22"/>
          <w:lang w:val="en-US" w:eastAsia="en-US"/>
        </w:rPr>
        <w:t>տնտեսական</w:t>
      </w:r>
      <w:r w:rsidRPr="009070BD">
        <w:rPr>
          <w:rFonts w:cs="Sylfaen"/>
          <w:b w:val="0"/>
          <w:bCs/>
          <w:szCs w:val="22"/>
          <w:lang w:val="af-ZA" w:eastAsia="en-US"/>
        </w:rPr>
        <w:t xml:space="preserve"> </w:t>
      </w:r>
      <w:r w:rsidRPr="009070BD">
        <w:rPr>
          <w:rFonts w:cs="Sylfaen"/>
          <w:b w:val="0"/>
          <w:bCs/>
          <w:szCs w:val="22"/>
          <w:lang w:val="en-US" w:eastAsia="en-US"/>
        </w:rPr>
        <w:t>տարածությանը</w:t>
      </w:r>
      <w:r w:rsidRPr="009070BD">
        <w:rPr>
          <w:rFonts w:cs="Sylfaen"/>
          <w:b w:val="0"/>
          <w:bCs/>
          <w:szCs w:val="22"/>
          <w:lang w:val="af-ZA" w:eastAsia="en-US"/>
        </w:rPr>
        <w:t xml:space="preserve"> </w:t>
      </w:r>
      <w:r w:rsidRPr="009070BD">
        <w:rPr>
          <w:rFonts w:cs="Sylfaen"/>
          <w:b w:val="0"/>
          <w:bCs/>
          <w:szCs w:val="22"/>
          <w:lang w:val="en-US" w:eastAsia="en-US"/>
        </w:rPr>
        <w:t>Հայաստանի</w:t>
      </w:r>
      <w:r w:rsidRPr="009070BD">
        <w:rPr>
          <w:rFonts w:cs="Sylfaen"/>
          <w:b w:val="0"/>
          <w:bCs/>
          <w:szCs w:val="22"/>
          <w:lang w:val="af-ZA" w:eastAsia="en-US"/>
        </w:rPr>
        <w:t xml:space="preserve"> </w:t>
      </w:r>
      <w:r w:rsidRPr="009070BD">
        <w:rPr>
          <w:rFonts w:cs="Sylfaen"/>
          <w:b w:val="0"/>
          <w:bCs/>
          <w:szCs w:val="22"/>
          <w:lang w:val="en-US" w:eastAsia="en-US"/>
        </w:rPr>
        <w:t>Հանրապետության</w:t>
      </w:r>
      <w:r w:rsidRPr="009070BD">
        <w:rPr>
          <w:rFonts w:cs="Sylfaen"/>
          <w:b w:val="0"/>
          <w:bCs/>
          <w:szCs w:val="22"/>
          <w:lang w:val="af-ZA" w:eastAsia="en-US"/>
        </w:rPr>
        <w:t xml:space="preserve"> </w:t>
      </w:r>
      <w:r w:rsidRPr="009070BD">
        <w:rPr>
          <w:rFonts w:cs="Sylfaen"/>
          <w:b w:val="0"/>
          <w:bCs/>
          <w:szCs w:val="22"/>
          <w:lang w:val="en-US" w:eastAsia="en-US"/>
        </w:rPr>
        <w:t>անդամակցության</w:t>
      </w:r>
      <w:r w:rsidRPr="009070BD">
        <w:rPr>
          <w:rFonts w:cs="Sylfaen"/>
          <w:b w:val="0"/>
          <w:bCs/>
          <w:szCs w:val="22"/>
          <w:lang w:val="af-ZA" w:eastAsia="en-US"/>
        </w:rPr>
        <w:t xml:space="preserve"> </w:t>
      </w:r>
      <w:r w:rsidRPr="009070BD">
        <w:rPr>
          <w:rFonts w:cs="Sylfaen"/>
          <w:b w:val="0"/>
          <w:bCs/>
          <w:szCs w:val="22"/>
          <w:lang w:val="en-US" w:eastAsia="en-US"/>
        </w:rPr>
        <w:t>շրջանակում</w:t>
      </w:r>
      <w:r w:rsidRPr="009070BD">
        <w:rPr>
          <w:rFonts w:cs="Sylfaen"/>
          <w:b w:val="0"/>
          <w:bCs/>
          <w:szCs w:val="22"/>
          <w:lang w:val="af-ZA" w:eastAsia="en-US"/>
        </w:rPr>
        <w:t xml:space="preserve"> </w:t>
      </w:r>
      <w:r w:rsidRPr="009070BD">
        <w:rPr>
          <w:rFonts w:cs="Sylfaen"/>
          <w:b w:val="0"/>
          <w:bCs/>
          <w:szCs w:val="22"/>
          <w:lang w:val="en-US" w:eastAsia="en-US"/>
        </w:rPr>
        <w:t>ստեղծված</w:t>
      </w:r>
      <w:r w:rsidRPr="009070BD">
        <w:rPr>
          <w:rFonts w:cs="Sylfaen"/>
          <w:b w:val="0"/>
          <w:bCs/>
          <w:szCs w:val="22"/>
          <w:lang w:val="af-ZA" w:eastAsia="en-US"/>
        </w:rPr>
        <w:t xml:space="preserve">` </w:t>
      </w:r>
      <w:r w:rsidRPr="009070BD">
        <w:rPr>
          <w:rFonts w:cs="Sylfaen"/>
          <w:b w:val="0"/>
          <w:bCs/>
          <w:szCs w:val="22"/>
          <w:lang w:val="en-US" w:eastAsia="en-US"/>
        </w:rPr>
        <w:t>էլեկտրոնային</w:t>
      </w:r>
      <w:r w:rsidRPr="009070BD">
        <w:rPr>
          <w:rFonts w:cs="Sylfaen"/>
          <w:b w:val="0"/>
          <w:bCs/>
          <w:szCs w:val="22"/>
          <w:lang w:val="af-ZA" w:eastAsia="en-US"/>
        </w:rPr>
        <w:t xml:space="preserve"> </w:t>
      </w:r>
      <w:r w:rsidRPr="009070BD">
        <w:rPr>
          <w:rFonts w:cs="Sylfaen"/>
          <w:b w:val="0"/>
          <w:bCs/>
          <w:szCs w:val="22"/>
          <w:lang w:val="en-US" w:eastAsia="en-US"/>
        </w:rPr>
        <w:t>եղանակով</w:t>
      </w:r>
      <w:r w:rsidRPr="009070BD">
        <w:rPr>
          <w:rFonts w:cs="Sylfaen"/>
          <w:b w:val="0"/>
          <w:bCs/>
          <w:szCs w:val="22"/>
          <w:lang w:val="af-ZA" w:eastAsia="en-US"/>
        </w:rPr>
        <w:t xml:space="preserve"> </w:t>
      </w:r>
      <w:r w:rsidRPr="009070BD">
        <w:rPr>
          <w:rFonts w:cs="Sylfaen"/>
          <w:b w:val="0"/>
          <w:bCs/>
          <w:szCs w:val="22"/>
          <w:lang w:val="en-US" w:eastAsia="en-US"/>
        </w:rPr>
        <w:t>տեղեկատվության</w:t>
      </w:r>
      <w:r w:rsidRPr="009070BD">
        <w:rPr>
          <w:rFonts w:cs="Sylfaen"/>
          <w:b w:val="0"/>
          <w:bCs/>
          <w:szCs w:val="22"/>
          <w:lang w:val="af-ZA" w:eastAsia="en-US"/>
        </w:rPr>
        <w:t xml:space="preserve"> </w:t>
      </w:r>
      <w:r w:rsidRPr="009070BD">
        <w:rPr>
          <w:rFonts w:cs="Sylfaen"/>
          <w:b w:val="0"/>
          <w:bCs/>
          <w:szCs w:val="22"/>
          <w:lang w:val="en-US" w:eastAsia="en-US"/>
        </w:rPr>
        <w:t>փաստաթղթավորման</w:t>
      </w:r>
      <w:r w:rsidRPr="009070BD">
        <w:rPr>
          <w:rFonts w:cs="Sylfaen"/>
          <w:b w:val="0"/>
          <w:bCs/>
          <w:szCs w:val="22"/>
          <w:lang w:val="af-ZA" w:eastAsia="en-US"/>
        </w:rPr>
        <w:t xml:space="preserve"> </w:t>
      </w:r>
      <w:r w:rsidRPr="009070BD">
        <w:rPr>
          <w:rFonts w:cs="Sylfaen"/>
          <w:b w:val="0"/>
          <w:bCs/>
          <w:szCs w:val="22"/>
          <w:lang w:val="en-US" w:eastAsia="en-US"/>
        </w:rPr>
        <w:t>ընդհանուր</w:t>
      </w:r>
      <w:r w:rsidRPr="009070BD">
        <w:rPr>
          <w:rFonts w:cs="Sylfaen"/>
          <w:b w:val="0"/>
          <w:bCs/>
          <w:szCs w:val="22"/>
          <w:lang w:val="af-ZA" w:eastAsia="en-US"/>
        </w:rPr>
        <w:t xml:space="preserve"> </w:t>
      </w:r>
      <w:r w:rsidRPr="009070BD">
        <w:rPr>
          <w:rFonts w:cs="Sylfaen"/>
          <w:b w:val="0"/>
          <w:bCs/>
          <w:szCs w:val="22"/>
          <w:lang w:val="en-US" w:eastAsia="en-US"/>
        </w:rPr>
        <w:t>ենթակառուց</w:t>
      </w:r>
      <w:r w:rsidRPr="009070BD">
        <w:rPr>
          <w:rFonts w:cs="Sylfaen"/>
          <w:b w:val="0"/>
          <w:bCs/>
          <w:szCs w:val="22"/>
          <w:lang w:val="af-ZA" w:eastAsia="en-US"/>
        </w:rPr>
        <w:softHyphen/>
      </w:r>
      <w:r w:rsidRPr="009070BD">
        <w:rPr>
          <w:rFonts w:cs="Sylfaen"/>
          <w:b w:val="0"/>
          <w:bCs/>
          <w:szCs w:val="22"/>
          <w:lang w:val="en-US" w:eastAsia="en-US"/>
        </w:rPr>
        <w:t>վածքի</w:t>
      </w:r>
      <w:r w:rsidRPr="009070BD">
        <w:rPr>
          <w:rFonts w:cs="Sylfaen"/>
          <w:b w:val="0"/>
          <w:bCs/>
          <w:szCs w:val="22"/>
          <w:lang w:val="af-ZA" w:eastAsia="en-US"/>
        </w:rPr>
        <w:t xml:space="preserve"> (</w:t>
      </w:r>
      <w:r w:rsidRPr="009070BD">
        <w:rPr>
          <w:rFonts w:cs="Sylfaen"/>
          <w:b w:val="0"/>
          <w:bCs/>
          <w:szCs w:val="22"/>
          <w:lang w:val="en-US" w:eastAsia="en-US"/>
        </w:rPr>
        <w:t>ինտեգրացիոն</w:t>
      </w:r>
      <w:r w:rsidRPr="009070BD">
        <w:rPr>
          <w:rFonts w:cs="Sylfaen"/>
          <w:b w:val="0"/>
          <w:bCs/>
          <w:szCs w:val="22"/>
          <w:lang w:val="af-ZA" w:eastAsia="en-US"/>
        </w:rPr>
        <w:t xml:space="preserve"> </w:t>
      </w:r>
      <w:r w:rsidRPr="009070BD">
        <w:rPr>
          <w:rFonts w:cs="Sylfaen"/>
          <w:b w:val="0"/>
          <w:bCs/>
          <w:szCs w:val="22"/>
          <w:lang w:val="en-US" w:eastAsia="en-US"/>
        </w:rPr>
        <w:t>շլյուզ</w:t>
      </w:r>
      <w:r w:rsidRPr="009070BD">
        <w:rPr>
          <w:rFonts w:cs="Sylfaen"/>
          <w:b w:val="0"/>
          <w:bCs/>
          <w:szCs w:val="22"/>
          <w:lang w:val="af-ZA" w:eastAsia="en-US"/>
        </w:rPr>
        <w:t xml:space="preserve">)` </w:t>
      </w:r>
      <w:r w:rsidRPr="009070BD">
        <w:rPr>
          <w:rFonts w:cs="Sylfaen"/>
          <w:b w:val="0"/>
          <w:bCs/>
          <w:szCs w:val="22"/>
          <w:lang w:val="en-US" w:eastAsia="en-US"/>
        </w:rPr>
        <w:t>ՀՀ</w:t>
      </w:r>
      <w:r w:rsidRPr="009070BD">
        <w:rPr>
          <w:rFonts w:cs="Sylfaen"/>
          <w:b w:val="0"/>
          <w:bCs/>
          <w:szCs w:val="22"/>
          <w:lang w:val="af-ZA" w:eastAsia="en-US"/>
        </w:rPr>
        <w:t xml:space="preserve"> </w:t>
      </w:r>
      <w:r w:rsidRPr="009070BD">
        <w:rPr>
          <w:rFonts w:cs="Sylfaen"/>
          <w:b w:val="0"/>
          <w:bCs/>
          <w:szCs w:val="22"/>
          <w:lang w:val="en-US" w:eastAsia="en-US"/>
        </w:rPr>
        <w:t>պետական</w:t>
      </w:r>
      <w:r w:rsidRPr="009070BD">
        <w:rPr>
          <w:rFonts w:cs="Sylfaen"/>
          <w:b w:val="0"/>
          <w:bCs/>
          <w:szCs w:val="22"/>
          <w:lang w:val="af-ZA" w:eastAsia="en-US"/>
        </w:rPr>
        <w:t xml:space="preserve"> </w:t>
      </w:r>
      <w:r w:rsidRPr="009070BD">
        <w:rPr>
          <w:rFonts w:cs="Sylfaen"/>
          <w:b w:val="0"/>
          <w:bCs/>
          <w:szCs w:val="22"/>
          <w:lang w:val="en-US" w:eastAsia="en-US"/>
        </w:rPr>
        <w:t>բաղադրիչի</w:t>
      </w:r>
      <w:r w:rsidRPr="009070BD">
        <w:rPr>
          <w:rFonts w:cs="Sylfaen"/>
          <w:b w:val="0"/>
          <w:bCs/>
          <w:szCs w:val="22"/>
          <w:lang w:val="af-ZA" w:eastAsia="en-US"/>
        </w:rPr>
        <w:t xml:space="preserve"> </w:t>
      </w:r>
      <w:r w:rsidRPr="009070BD">
        <w:rPr>
          <w:rFonts w:cs="Sylfaen"/>
          <w:b w:val="0"/>
          <w:bCs/>
          <w:szCs w:val="22"/>
          <w:lang w:val="en-US" w:eastAsia="en-US"/>
        </w:rPr>
        <w:t>օպերատոր</w:t>
      </w:r>
      <w:r w:rsidRPr="009070BD">
        <w:rPr>
          <w:rFonts w:cs="Sylfaen"/>
          <w:b w:val="0"/>
          <w:bCs/>
          <w:szCs w:val="22"/>
          <w:lang w:val="af-ZA" w:eastAsia="en-US"/>
        </w:rPr>
        <w:t xml:space="preserve">: </w:t>
      </w:r>
      <w:r w:rsidRPr="009070BD">
        <w:rPr>
          <w:rFonts w:cs="Sylfaen"/>
          <w:b w:val="0"/>
          <w:bCs/>
          <w:szCs w:val="22"/>
          <w:lang w:val="en-US" w:eastAsia="en-US"/>
        </w:rPr>
        <w:t>Իսկ</w:t>
      </w:r>
      <w:r w:rsidRPr="009070BD">
        <w:rPr>
          <w:rFonts w:cs="Sylfaen"/>
          <w:b w:val="0"/>
          <w:bCs/>
          <w:szCs w:val="22"/>
          <w:lang w:val="af-ZA" w:eastAsia="en-US"/>
        </w:rPr>
        <w:t xml:space="preserve"> </w:t>
      </w:r>
      <w:r w:rsidRPr="009070BD">
        <w:rPr>
          <w:rFonts w:cs="Sylfaen"/>
          <w:b w:val="0"/>
          <w:bCs/>
          <w:szCs w:val="22"/>
          <w:lang w:val="en-US" w:eastAsia="en-US"/>
        </w:rPr>
        <w:t>ինտեգրացիոն</w:t>
      </w:r>
      <w:r w:rsidRPr="009070BD">
        <w:rPr>
          <w:rFonts w:cs="Sylfaen"/>
          <w:b w:val="0"/>
          <w:bCs/>
          <w:szCs w:val="22"/>
          <w:lang w:val="af-ZA" w:eastAsia="en-US"/>
        </w:rPr>
        <w:t xml:space="preserve"> </w:t>
      </w:r>
      <w:r w:rsidRPr="009070BD">
        <w:rPr>
          <w:rFonts w:cs="Sylfaen"/>
          <w:b w:val="0"/>
          <w:bCs/>
          <w:szCs w:val="22"/>
          <w:lang w:val="en-US" w:eastAsia="en-US"/>
        </w:rPr>
        <w:t>շլուզի</w:t>
      </w:r>
      <w:r w:rsidRPr="009070BD">
        <w:rPr>
          <w:rFonts w:cs="Sylfaen"/>
          <w:b w:val="0"/>
          <w:bCs/>
          <w:szCs w:val="22"/>
          <w:lang w:val="af-ZA" w:eastAsia="en-US"/>
        </w:rPr>
        <w:t xml:space="preserve"> </w:t>
      </w:r>
      <w:r w:rsidRPr="009070BD">
        <w:rPr>
          <w:rFonts w:cs="Sylfaen"/>
          <w:b w:val="0"/>
          <w:bCs/>
          <w:szCs w:val="22"/>
          <w:lang w:val="en-US" w:eastAsia="en-US"/>
        </w:rPr>
        <w:t>սարքավորման</w:t>
      </w:r>
      <w:r w:rsidRPr="009070BD">
        <w:rPr>
          <w:rFonts w:cs="Sylfaen"/>
          <w:b w:val="0"/>
          <w:bCs/>
          <w:szCs w:val="22"/>
          <w:lang w:val="af-ZA" w:eastAsia="en-US"/>
        </w:rPr>
        <w:t xml:space="preserve"> </w:t>
      </w:r>
      <w:r w:rsidRPr="009070BD">
        <w:rPr>
          <w:rFonts w:cs="Sylfaen"/>
          <w:b w:val="0"/>
          <w:bCs/>
          <w:szCs w:val="22"/>
          <w:lang w:val="en-US" w:eastAsia="en-US"/>
        </w:rPr>
        <w:t>սպասարկումն</w:t>
      </w:r>
      <w:r w:rsidRPr="009070BD">
        <w:rPr>
          <w:rFonts w:cs="Sylfaen"/>
          <w:b w:val="0"/>
          <w:bCs/>
          <w:szCs w:val="22"/>
          <w:lang w:val="af-ZA" w:eastAsia="en-US"/>
        </w:rPr>
        <w:t xml:space="preserve"> </w:t>
      </w:r>
      <w:r w:rsidRPr="009070BD">
        <w:rPr>
          <w:rFonts w:cs="Sylfaen"/>
          <w:b w:val="0"/>
          <w:bCs/>
          <w:szCs w:val="22"/>
          <w:lang w:val="en-US" w:eastAsia="en-US"/>
        </w:rPr>
        <w:t>ու</w:t>
      </w:r>
      <w:r w:rsidRPr="009070BD">
        <w:rPr>
          <w:rFonts w:cs="Sylfaen"/>
          <w:b w:val="0"/>
          <w:bCs/>
          <w:szCs w:val="22"/>
          <w:lang w:val="af-ZA" w:eastAsia="en-US"/>
        </w:rPr>
        <w:t xml:space="preserve"> </w:t>
      </w:r>
      <w:r w:rsidRPr="009070BD">
        <w:rPr>
          <w:rFonts w:cs="Sylfaen"/>
          <w:b w:val="0"/>
          <w:bCs/>
          <w:szCs w:val="22"/>
          <w:lang w:val="en-US" w:eastAsia="en-US"/>
        </w:rPr>
        <w:t>գործունեությունն</w:t>
      </w:r>
      <w:r w:rsidRPr="009070BD">
        <w:rPr>
          <w:rFonts w:cs="Sylfaen"/>
          <w:b w:val="0"/>
          <w:bCs/>
          <w:szCs w:val="22"/>
          <w:lang w:val="af-ZA" w:eastAsia="en-US"/>
        </w:rPr>
        <w:t xml:space="preserve"> </w:t>
      </w:r>
      <w:r w:rsidRPr="009070BD">
        <w:rPr>
          <w:rFonts w:cs="Sylfaen"/>
          <w:b w:val="0"/>
          <w:bCs/>
          <w:szCs w:val="22"/>
          <w:lang w:val="en-US" w:eastAsia="en-US"/>
        </w:rPr>
        <w:t>ապահովելու</w:t>
      </w:r>
      <w:r w:rsidRPr="009070BD">
        <w:rPr>
          <w:rFonts w:cs="Sylfaen"/>
          <w:b w:val="0"/>
          <w:bCs/>
          <w:szCs w:val="22"/>
          <w:lang w:val="af-ZA" w:eastAsia="en-US"/>
        </w:rPr>
        <w:t xml:space="preserve"> </w:t>
      </w:r>
      <w:r w:rsidRPr="009070BD">
        <w:rPr>
          <w:rFonts w:cs="Sylfaen"/>
          <w:b w:val="0"/>
          <w:bCs/>
          <w:szCs w:val="22"/>
          <w:lang w:val="en-US" w:eastAsia="en-US"/>
        </w:rPr>
        <w:t>համար</w:t>
      </w:r>
      <w:r w:rsidRPr="009070BD">
        <w:rPr>
          <w:rFonts w:cs="Sylfaen"/>
          <w:b w:val="0"/>
          <w:bCs/>
          <w:szCs w:val="22"/>
          <w:lang w:val="af-ZA" w:eastAsia="en-US"/>
        </w:rPr>
        <w:t xml:space="preserve"> </w:t>
      </w:r>
      <w:r w:rsidRPr="009070BD">
        <w:rPr>
          <w:rFonts w:cs="Sylfaen"/>
          <w:b w:val="0"/>
          <w:bCs/>
          <w:szCs w:val="22"/>
          <w:lang w:val="en-US" w:eastAsia="en-US"/>
        </w:rPr>
        <w:t>գործող</w:t>
      </w:r>
      <w:r w:rsidRPr="009070BD">
        <w:rPr>
          <w:rFonts w:cs="Sylfaen"/>
          <w:b w:val="0"/>
          <w:bCs/>
          <w:szCs w:val="22"/>
          <w:lang w:val="af-ZA" w:eastAsia="en-US"/>
        </w:rPr>
        <w:t xml:space="preserve"> </w:t>
      </w:r>
      <w:r w:rsidRPr="009070BD">
        <w:rPr>
          <w:rFonts w:cs="Sylfaen"/>
          <w:b w:val="0"/>
          <w:bCs/>
          <w:szCs w:val="22"/>
          <w:lang w:val="en-US" w:eastAsia="en-US"/>
        </w:rPr>
        <w:t>լիցենզիաների</w:t>
      </w:r>
      <w:r w:rsidRPr="009070BD">
        <w:rPr>
          <w:rFonts w:cs="Sylfaen"/>
          <w:b w:val="0"/>
          <w:bCs/>
          <w:szCs w:val="22"/>
          <w:lang w:val="af-ZA" w:eastAsia="en-US"/>
        </w:rPr>
        <w:t xml:space="preserve"> </w:t>
      </w:r>
      <w:r w:rsidRPr="009070BD">
        <w:rPr>
          <w:rFonts w:cs="Sylfaen"/>
          <w:b w:val="0"/>
          <w:bCs/>
          <w:szCs w:val="22"/>
          <w:lang w:val="en-US" w:eastAsia="en-US"/>
        </w:rPr>
        <w:t>բաժանորդագրության</w:t>
      </w:r>
      <w:r w:rsidRPr="009070BD">
        <w:rPr>
          <w:rFonts w:cs="Sylfaen"/>
          <w:b w:val="0"/>
          <w:bCs/>
          <w:szCs w:val="22"/>
          <w:lang w:val="af-ZA" w:eastAsia="en-US"/>
        </w:rPr>
        <w:t xml:space="preserve"> </w:t>
      </w:r>
      <w:r w:rsidRPr="009070BD">
        <w:rPr>
          <w:rFonts w:cs="Sylfaen"/>
          <w:b w:val="0"/>
          <w:bCs/>
          <w:szCs w:val="22"/>
          <w:lang w:val="en-US" w:eastAsia="en-US"/>
        </w:rPr>
        <w:t>ժամկետների</w:t>
      </w:r>
      <w:r w:rsidRPr="009070BD">
        <w:rPr>
          <w:rFonts w:cs="Sylfaen"/>
          <w:b w:val="0"/>
          <w:bCs/>
          <w:szCs w:val="22"/>
          <w:lang w:val="af-ZA" w:eastAsia="en-US"/>
        </w:rPr>
        <w:t xml:space="preserve"> </w:t>
      </w:r>
      <w:r w:rsidRPr="009070BD">
        <w:rPr>
          <w:rFonts w:cs="Sylfaen"/>
          <w:b w:val="0"/>
          <w:bCs/>
          <w:szCs w:val="22"/>
          <w:lang w:val="en-US" w:eastAsia="en-US"/>
        </w:rPr>
        <w:t>լրանալու</w:t>
      </w:r>
      <w:r w:rsidRPr="009070BD">
        <w:rPr>
          <w:rFonts w:cs="Sylfaen"/>
          <w:b w:val="0"/>
          <w:bCs/>
          <w:szCs w:val="22"/>
          <w:lang w:val="af-ZA" w:eastAsia="en-US"/>
        </w:rPr>
        <w:t xml:space="preserve"> </w:t>
      </w:r>
      <w:r w:rsidRPr="009070BD">
        <w:rPr>
          <w:rFonts w:cs="Sylfaen"/>
          <w:b w:val="0"/>
          <w:bCs/>
          <w:szCs w:val="22"/>
          <w:lang w:val="en-US" w:eastAsia="en-US"/>
        </w:rPr>
        <w:t>պատճառով</w:t>
      </w:r>
      <w:r w:rsidRPr="009070BD">
        <w:rPr>
          <w:rFonts w:cs="Sylfaen"/>
          <w:b w:val="0"/>
          <w:bCs/>
          <w:szCs w:val="22"/>
          <w:lang w:val="af-ZA" w:eastAsia="en-US"/>
        </w:rPr>
        <w:t xml:space="preserve"> </w:t>
      </w:r>
      <w:r w:rsidRPr="009070BD">
        <w:rPr>
          <w:rFonts w:cs="Sylfaen"/>
          <w:b w:val="0"/>
          <w:bCs/>
          <w:szCs w:val="22"/>
          <w:lang w:val="en-US" w:eastAsia="en-US"/>
        </w:rPr>
        <w:t>անհրաժեշտ</w:t>
      </w:r>
      <w:r w:rsidRPr="009070BD">
        <w:rPr>
          <w:rFonts w:cs="Sylfaen"/>
          <w:b w:val="0"/>
          <w:bCs/>
          <w:szCs w:val="22"/>
          <w:lang w:val="af-ZA" w:eastAsia="en-US"/>
        </w:rPr>
        <w:t xml:space="preserve"> </w:t>
      </w:r>
      <w:r w:rsidRPr="009070BD">
        <w:rPr>
          <w:rFonts w:cs="Sylfaen"/>
          <w:b w:val="0"/>
          <w:bCs/>
          <w:szCs w:val="22"/>
          <w:lang w:val="en-US" w:eastAsia="en-US"/>
        </w:rPr>
        <w:t>են</w:t>
      </w:r>
      <w:r w:rsidRPr="009070BD">
        <w:rPr>
          <w:rFonts w:cs="Sylfaen"/>
          <w:b w:val="0"/>
          <w:bCs/>
          <w:szCs w:val="22"/>
          <w:lang w:val="af-ZA" w:eastAsia="en-US"/>
        </w:rPr>
        <w:t xml:space="preserve"> </w:t>
      </w:r>
      <w:r w:rsidRPr="009070BD">
        <w:rPr>
          <w:rFonts w:cs="Sylfaen"/>
          <w:b w:val="0"/>
          <w:bCs/>
          <w:szCs w:val="22"/>
          <w:lang w:val="en-US" w:eastAsia="en-US"/>
        </w:rPr>
        <w:t>նոր</w:t>
      </w:r>
      <w:r w:rsidRPr="009070BD">
        <w:rPr>
          <w:rFonts w:cs="Sylfaen"/>
          <w:b w:val="0"/>
          <w:bCs/>
          <w:szCs w:val="22"/>
          <w:lang w:val="af-ZA" w:eastAsia="en-US"/>
        </w:rPr>
        <w:t xml:space="preserve"> </w:t>
      </w:r>
      <w:r w:rsidRPr="009070BD">
        <w:rPr>
          <w:rFonts w:cs="Sylfaen"/>
          <w:b w:val="0"/>
          <w:bCs/>
          <w:szCs w:val="22"/>
          <w:lang w:val="en-US" w:eastAsia="en-US"/>
        </w:rPr>
        <w:t>սարքավորումներ</w:t>
      </w:r>
      <w:r w:rsidRPr="009070BD">
        <w:rPr>
          <w:rFonts w:cs="Sylfaen"/>
          <w:b w:val="0"/>
          <w:bCs/>
          <w:szCs w:val="22"/>
          <w:lang w:val="af-ZA" w:eastAsia="en-US"/>
        </w:rPr>
        <w:t xml:space="preserve"> </w:t>
      </w:r>
      <w:r w:rsidRPr="009070BD">
        <w:rPr>
          <w:rFonts w:cs="Sylfaen"/>
          <w:b w:val="0"/>
          <w:bCs/>
          <w:szCs w:val="22"/>
          <w:lang w:val="en-US" w:eastAsia="en-US"/>
        </w:rPr>
        <w:t>և</w:t>
      </w:r>
      <w:r w:rsidRPr="009070BD">
        <w:rPr>
          <w:rFonts w:cs="Sylfaen"/>
          <w:b w:val="0"/>
          <w:bCs/>
          <w:szCs w:val="22"/>
          <w:lang w:val="af-ZA" w:eastAsia="en-US"/>
        </w:rPr>
        <w:t xml:space="preserve"> </w:t>
      </w:r>
      <w:r w:rsidRPr="009070BD">
        <w:rPr>
          <w:rFonts w:cs="Sylfaen"/>
          <w:b w:val="0"/>
          <w:bCs/>
          <w:szCs w:val="22"/>
          <w:lang w:val="en-US" w:eastAsia="en-US"/>
        </w:rPr>
        <w:t>ծրագրային</w:t>
      </w:r>
      <w:r w:rsidRPr="009070BD">
        <w:rPr>
          <w:rFonts w:cs="Sylfaen"/>
          <w:b w:val="0"/>
          <w:bCs/>
          <w:szCs w:val="22"/>
          <w:lang w:val="af-ZA" w:eastAsia="en-US"/>
        </w:rPr>
        <w:t xml:space="preserve"> </w:t>
      </w:r>
      <w:r w:rsidRPr="009070BD">
        <w:rPr>
          <w:rFonts w:cs="Sylfaen"/>
          <w:b w:val="0"/>
          <w:bCs/>
          <w:szCs w:val="22"/>
          <w:lang w:val="en-US" w:eastAsia="en-US"/>
        </w:rPr>
        <w:t>ապահովման</w:t>
      </w:r>
      <w:r w:rsidRPr="009070BD">
        <w:rPr>
          <w:rFonts w:cs="Sylfaen"/>
          <w:b w:val="0"/>
          <w:bCs/>
          <w:szCs w:val="22"/>
          <w:lang w:val="af-ZA" w:eastAsia="en-US"/>
        </w:rPr>
        <w:t xml:space="preserve"> </w:t>
      </w:r>
      <w:r w:rsidRPr="009070BD">
        <w:rPr>
          <w:rFonts w:cs="Sylfaen"/>
          <w:b w:val="0"/>
          <w:bCs/>
          <w:szCs w:val="22"/>
          <w:lang w:val="en-US" w:eastAsia="en-US"/>
        </w:rPr>
        <w:t>լիցենզիաներ</w:t>
      </w:r>
      <w:r w:rsidRPr="009070BD">
        <w:rPr>
          <w:rFonts w:cs="Sylfaen"/>
          <w:b w:val="0"/>
          <w:bCs/>
          <w:szCs w:val="22"/>
          <w:lang w:val="af-ZA" w:eastAsia="en-US"/>
        </w:rPr>
        <w:t>:</w:t>
      </w:r>
    </w:p>
    <w:p w:rsidR="004030A5" w:rsidRPr="009070BD" w:rsidRDefault="004030A5" w:rsidP="007730AA">
      <w:pPr>
        <w:spacing w:before="0" w:line="276" w:lineRule="auto"/>
        <w:ind w:firstLine="720"/>
        <w:contextualSpacing w:val="0"/>
        <w:rPr>
          <w:b w:val="0"/>
          <w:szCs w:val="22"/>
          <w:lang w:val="fr-FR" w:eastAsia="en-US"/>
        </w:rPr>
      </w:pPr>
      <w:r w:rsidRPr="009070BD">
        <w:rPr>
          <w:rFonts w:cs="Times Armenian"/>
          <w:szCs w:val="22"/>
          <w:lang w:val="af-ZA" w:eastAsia="en-US"/>
        </w:rPr>
        <w:t xml:space="preserve">2. «Տեսչական վերահսկողության ծրագրի» </w:t>
      </w:r>
      <w:r w:rsidRPr="009070BD">
        <w:rPr>
          <w:b w:val="0"/>
          <w:szCs w:val="22"/>
          <w:lang w:val="fr-FR" w:eastAsia="en-US"/>
        </w:rPr>
        <w:t>շրջանակներում նախատեսվում է.</w:t>
      </w:r>
    </w:p>
    <w:p w:rsidR="004030A5" w:rsidRPr="009070BD" w:rsidRDefault="004030A5" w:rsidP="007730AA">
      <w:pPr>
        <w:spacing w:before="0" w:line="276" w:lineRule="auto"/>
        <w:ind w:firstLine="720"/>
        <w:contextualSpacing w:val="0"/>
        <w:rPr>
          <w:b w:val="0"/>
          <w:szCs w:val="22"/>
          <w:lang w:val="af-ZA" w:eastAsia="en-US"/>
        </w:rPr>
      </w:pPr>
      <w:r w:rsidRPr="009070BD">
        <w:rPr>
          <w:szCs w:val="22"/>
          <w:lang w:val="fr-FR" w:eastAsia="en-US"/>
        </w:rPr>
        <w:t>2.1</w:t>
      </w:r>
      <w:r w:rsidRPr="009070BD">
        <w:rPr>
          <w:b w:val="0"/>
          <w:szCs w:val="22"/>
          <w:lang w:val="fr-FR" w:eastAsia="en-US"/>
        </w:rPr>
        <w:t xml:space="preserve"> </w:t>
      </w:r>
      <w:r w:rsidRPr="009070BD">
        <w:rPr>
          <w:rFonts w:cs="Times Armenian"/>
          <w:szCs w:val="22"/>
          <w:lang w:val="af-ZA" w:eastAsia="en-US"/>
        </w:rPr>
        <w:t xml:space="preserve">«Արտադրանքի և որակի վերահսկողության ծառայություններ» </w:t>
      </w:r>
      <w:r w:rsidRPr="009070BD">
        <w:rPr>
          <w:rFonts w:cs="Sylfaen"/>
          <w:b w:val="0"/>
          <w:bCs/>
          <w:szCs w:val="22"/>
          <w:lang w:val="en-US" w:eastAsia="en-US"/>
        </w:rPr>
        <w:t>միջոցառումը</w:t>
      </w:r>
      <w:r w:rsidRPr="009070BD">
        <w:rPr>
          <w:rFonts w:cs="Sylfaen"/>
          <w:b w:val="0"/>
          <w:bCs/>
          <w:szCs w:val="22"/>
          <w:lang w:val="af-ZA" w:eastAsia="en-US"/>
        </w:rPr>
        <w:t xml:space="preserve">, </w:t>
      </w:r>
      <w:r w:rsidRPr="009070BD">
        <w:rPr>
          <w:rFonts w:cs="Sylfaen"/>
          <w:b w:val="0"/>
          <w:bCs/>
          <w:szCs w:val="22"/>
          <w:lang w:val="en-US" w:eastAsia="en-US"/>
        </w:rPr>
        <w:t>որի</w:t>
      </w:r>
      <w:r w:rsidRPr="009070BD">
        <w:rPr>
          <w:rFonts w:cs="Sylfaen"/>
          <w:b w:val="0"/>
          <w:bCs/>
          <w:szCs w:val="22"/>
          <w:lang w:val="af-ZA" w:eastAsia="en-US"/>
        </w:rPr>
        <w:t xml:space="preserve"> </w:t>
      </w:r>
      <w:r w:rsidRPr="009070BD">
        <w:rPr>
          <w:rFonts w:cs="Sylfaen"/>
          <w:b w:val="0"/>
          <w:bCs/>
          <w:szCs w:val="22"/>
          <w:lang w:val="en-US" w:eastAsia="en-US"/>
        </w:rPr>
        <w:t>համար</w:t>
      </w:r>
      <w:r w:rsidRPr="009070BD">
        <w:rPr>
          <w:rFonts w:cs="Times Armenian"/>
          <w:b w:val="0"/>
          <w:bCs/>
          <w:szCs w:val="22"/>
          <w:lang w:val="fr-FR" w:eastAsia="en-US"/>
        </w:rPr>
        <w:t xml:space="preserve"> </w:t>
      </w:r>
      <w:r w:rsidRPr="009070BD">
        <w:rPr>
          <w:rFonts w:cs="Sylfaen"/>
          <w:b w:val="0"/>
          <w:szCs w:val="22"/>
          <w:lang w:val="en-US" w:eastAsia="en-US"/>
        </w:rPr>
        <w:t>Ն</w:t>
      </w:r>
      <w:r w:rsidRPr="009070BD">
        <w:rPr>
          <w:b w:val="0"/>
          <w:szCs w:val="22"/>
          <w:lang w:val="en-US" w:eastAsia="en-US"/>
        </w:rPr>
        <w:t>ախագծով</w:t>
      </w:r>
      <w:r w:rsidRPr="009070BD">
        <w:rPr>
          <w:rFonts w:cs="Sylfaen"/>
          <w:b w:val="0"/>
          <w:szCs w:val="22"/>
          <w:lang w:val="af-ZA" w:eastAsia="en-US"/>
        </w:rPr>
        <w:t xml:space="preserve"> նախատեսվում</w:t>
      </w:r>
      <w:r w:rsidRPr="009070BD">
        <w:rPr>
          <w:rFonts w:cs="Times Armenian"/>
          <w:b w:val="0"/>
          <w:szCs w:val="22"/>
          <w:lang w:val="af-ZA" w:eastAsia="en-US"/>
        </w:rPr>
        <w:t xml:space="preserve"> </w:t>
      </w:r>
      <w:r w:rsidRPr="009070BD">
        <w:rPr>
          <w:rFonts w:cs="Sylfaen"/>
          <w:b w:val="0"/>
          <w:szCs w:val="22"/>
          <w:lang w:val="af-ZA" w:eastAsia="en-US"/>
        </w:rPr>
        <w:t>է</w:t>
      </w:r>
      <w:r w:rsidRPr="009070BD">
        <w:rPr>
          <w:rFonts w:cs="Times Armenian"/>
          <w:b w:val="0"/>
          <w:szCs w:val="22"/>
          <w:lang w:val="af-ZA" w:eastAsia="en-US"/>
        </w:rPr>
        <w:t xml:space="preserve"> հատ</w:t>
      </w:r>
      <w:r w:rsidRPr="009070BD">
        <w:rPr>
          <w:rFonts w:cs="Times Armenian"/>
          <w:b w:val="0"/>
          <w:szCs w:val="22"/>
          <w:lang w:val="af-ZA" w:eastAsia="en-US"/>
        </w:rPr>
        <w:softHyphen/>
        <w:t>կացնել</w:t>
      </w:r>
      <w:r w:rsidRPr="009070BD">
        <w:rPr>
          <w:rFonts w:cs="Times Armenian"/>
          <w:b w:val="0"/>
          <w:bCs/>
          <w:szCs w:val="22"/>
          <w:lang w:val="fr-FR" w:eastAsia="en-US"/>
        </w:rPr>
        <w:t xml:space="preserve"> 15.0 </w:t>
      </w:r>
      <w:r w:rsidRPr="009070BD">
        <w:rPr>
          <w:rFonts w:cs="Sylfaen"/>
          <w:b w:val="0"/>
          <w:bCs/>
          <w:szCs w:val="22"/>
          <w:lang w:val="en-US" w:eastAsia="en-US"/>
        </w:rPr>
        <w:t>մլն</w:t>
      </w:r>
      <w:r w:rsidRPr="009070BD">
        <w:rPr>
          <w:rFonts w:cs="Times Armenian"/>
          <w:b w:val="0"/>
          <w:bCs/>
          <w:szCs w:val="22"/>
          <w:lang w:val="fr-FR" w:eastAsia="en-US"/>
        </w:rPr>
        <w:t xml:space="preserve"> </w:t>
      </w:r>
      <w:r w:rsidRPr="009070BD">
        <w:rPr>
          <w:rFonts w:cs="Sylfaen"/>
          <w:b w:val="0"/>
          <w:bCs/>
          <w:szCs w:val="22"/>
          <w:lang w:val="en-US" w:eastAsia="en-US"/>
        </w:rPr>
        <w:t>դրամ</w:t>
      </w:r>
      <w:r w:rsidRPr="009070BD">
        <w:rPr>
          <w:rFonts w:cs="Sylfaen"/>
          <w:b w:val="0"/>
          <w:bCs/>
          <w:szCs w:val="22"/>
          <w:lang w:val="af-ZA" w:eastAsia="en-US"/>
        </w:rPr>
        <w:t>`</w:t>
      </w:r>
      <w:r w:rsidRPr="009070BD">
        <w:rPr>
          <w:rFonts w:cs="Sylfaen"/>
          <w:b w:val="0"/>
          <w:bCs/>
          <w:szCs w:val="22"/>
          <w:lang w:val="fr-FR" w:eastAsia="en-US"/>
        </w:rPr>
        <w:t xml:space="preserve"> </w:t>
      </w:r>
      <w:r w:rsidRPr="009070BD">
        <w:rPr>
          <w:rFonts w:cs="Sylfaen"/>
          <w:b w:val="0"/>
          <w:szCs w:val="22"/>
          <w:lang w:val="af-ZA" w:eastAsia="en-US"/>
        </w:rPr>
        <w:t xml:space="preserve">ՀՀ </w:t>
      </w:r>
      <w:r w:rsidRPr="009070BD">
        <w:rPr>
          <w:rFonts w:cs="Sylfaen"/>
          <w:b w:val="0"/>
          <w:szCs w:val="22"/>
          <w:lang w:val="fr-FR" w:eastAsia="en-US"/>
        </w:rPr>
        <w:t>20</w:t>
      </w:r>
      <w:r w:rsidR="007E0441" w:rsidRPr="009070BD">
        <w:rPr>
          <w:rFonts w:cs="Sylfaen"/>
          <w:b w:val="0"/>
          <w:szCs w:val="22"/>
          <w:lang w:val="fr-FR" w:eastAsia="en-US"/>
        </w:rPr>
        <w:t>20</w:t>
      </w:r>
      <w:r w:rsidRPr="009070BD">
        <w:rPr>
          <w:rFonts w:cs="Sylfaen"/>
          <w:b w:val="0"/>
          <w:szCs w:val="22"/>
          <w:lang w:val="af-ZA" w:eastAsia="en-US"/>
        </w:rPr>
        <w:t xml:space="preserve"> </w:t>
      </w:r>
      <w:r w:rsidRPr="009070BD">
        <w:rPr>
          <w:rFonts w:cs="Sylfaen"/>
          <w:b w:val="0"/>
          <w:szCs w:val="22"/>
          <w:lang w:val="en-US" w:eastAsia="en-US"/>
        </w:rPr>
        <w:t>թվականի</w:t>
      </w:r>
      <w:r w:rsidRPr="009070BD">
        <w:rPr>
          <w:rFonts w:cs="Sylfaen"/>
          <w:b w:val="0"/>
          <w:szCs w:val="22"/>
          <w:lang w:val="fr-FR" w:eastAsia="en-US"/>
        </w:rPr>
        <w:t xml:space="preserve"> պետական բյուջեով հաստատված գումարի չափով: </w:t>
      </w:r>
      <w:r w:rsidRPr="009070BD">
        <w:rPr>
          <w:rFonts w:cs="Sylfaen"/>
          <w:b w:val="0"/>
          <w:szCs w:val="22"/>
          <w:lang w:val="af-ZA" w:eastAsia="en-US"/>
        </w:rPr>
        <w:t>Ծրագրի շրջանակներում</w:t>
      </w:r>
      <w:r w:rsidRPr="009070BD">
        <w:rPr>
          <w:rFonts w:cs="Times Armenian"/>
          <w:b w:val="0"/>
          <w:szCs w:val="22"/>
          <w:lang w:val="af-ZA" w:eastAsia="en-US"/>
        </w:rPr>
        <w:t xml:space="preserve"> </w:t>
      </w:r>
      <w:r w:rsidRPr="009070BD">
        <w:rPr>
          <w:rFonts w:cs="Sylfaen"/>
          <w:b w:val="0"/>
          <w:szCs w:val="22"/>
          <w:lang w:val="af-ZA" w:eastAsia="en-US"/>
        </w:rPr>
        <w:t>նախատեսվում</w:t>
      </w:r>
      <w:r w:rsidRPr="009070BD">
        <w:rPr>
          <w:rFonts w:cs="Times Armenian"/>
          <w:b w:val="0"/>
          <w:szCs w:val="22"/>
          <w:lang w:val="af-ZA" w:eastAsia="en-US"/>
        </w:rPr>
        <w:t xml:space="preserve"> </w:t>
      </w:r>
      <w:r w:rsidRPr="009070BD">
        <w:rPr>
          <w:rFonts w:cs="Sylfaen"/>
          <w:b w:val="0"/>
          <w:szCs w:val="22"/>
          <w:lang w:val="af-ZA" w:eastAsia="en-US"/>
        </w:rPr>
        <w:t>է</w:t>
      </w:r>
      <w:r w:rsidRPr="009070BD">
        <w:rPr>
          <w:rFonts w:cs="Times Armenian"/>
          <w:b w:val="0"/>
          <w:szCs w:val="22"/>
          <w:lang w:val="af-ZA" w:eastAsia="en-US"/>
        </w:rPr>
        <w:t xml:space="preserve"> </w:t>
      </w:r>
      <w:r w:rsidRPr="009070BD">
        <w:rPr>
          <w:rFonts w:cs="Sylfaen"/>
          <w:b w:val="0"/>
          <w:szCs w:val="22"/>
          <w:lang w:val="af-ZA" w:eastAsia="en-US"/>
        </w:rPr>
        <w:t>իրականացնել</w:t>
      </w:r>
      <w:r w:rsidRPr="009070BD">
        <w:rPr>
          <w:rFonts w:cs="Times Armenian"/>
          <w:b w:val="0"/>
          <w:szCs w:val="22"/>
          <w:lang w:val="af-ZA" w:eastAsia="en-US"/>
        </w:rPr>
        <w:t xml:space="preserve"> </w:t>
      </w:r>
      <w:r w:rsidRPr="009070BD">
        <w:rPr>
          <w:rFonts w:cs="Sylfaen"/>
          <w:b w:val="0"/>
          <w:szCs w:val="22"/>
          <w:lang w:val="af-ZA" w:eastAsia="en-US"/>
        </w:rPr>
        <w:t>հետևյալ միջոցառումները.</w:t>
      </w:r>
    </w:p>
    <w:p w:rsidR="004030A5" w:rsidRPr="009070BD" w:rsidRDefault="004030A5" w:rsidP="007730AA">
      <w:pPr>
        <w:spacing w:before="0" w:line="276" w:lineRule="auto"/>
        <w:ind w:firstLine="720"/>
        <w:contextualSpacing w:val="0"/>
        <w:rPr>
          <w:rFonts w:cs="Sylfaen"/>
          <w:b w:val="0"/>
          <w:bCs/>
          <w:szCs w:val="22"/>
          <w:lang w:val="fr-FR" w:eastAsia="en-US"/>
        </w:rPr>
      </w:pPr>
      <w:r w:rsidRPr="009070BD">
        <w:rPr>
          <w:rFonts w:cs="Sylfaen"/>
          <w:b w:val="0"/>
          <w:bCs/>
          <w:szCs w:val="22"/>
          <w:lang w:val="fr-FR" w:eastAsia="en-US"/>
        </w:rPr>
        <w:t>- Փորձանմուշների ձեռքբերման ծախսեր,</w:t>
      </w:r>
    </w:p>
    <w:p w:rsidR="004030A5" w:rsidRPr="009070BD" w:rsidRDefault="004030A5" w:rsidP="007730AA">
      <w:pPr>
        <w:spacing w:before="0" w:line="276" w:lineRule="auto"/>
        <w:ind w:firstLine="720"/>
        <w:contextualSpacing w:val="0"/>
        <w:rPr>
          <w:rFonts w:cs="Sylfaen"/>
          <w:b w:val="0"/>
          <w:bCs/>
          <w:szCs w:val="22"/>
          <w:lang w:val="fr-FR" w:eastAsia="en-US"/>
        </w:rPr>
      </w:pPr>
      <w:r w:rsidRPr="009070BD">
        <w:rPr>
          <w:rFonts w:cs="Sylfaen"/>
          <w:b w:val="0"/>
          <w:bCs/>
          <w:szCs w:val="22"/>
          <w:lang w:val="fr-FR" w:eastAsia="en-US"/>
        </w:rPr>
        <w:t>- Փորձանմուշների փորձարկման ծախսեր,</w:t>
      </w:r>
    </w:p>
    <w:p w:rsidR="004030A5" w:rsidRPr="009070BD" w:rsidRDefault="004030A5" w:rsidP="007730AA">
      <w:pPr>
        <w:spacing w:before="0" w:line="276" w:lineRule="auto"/>
        <w:ind w:firstLine="720"/>
        <w:contextualSpacing w:val="0"/>
        <w:rPr>
          <w:rFonts w:cs="Sylfaen"/>
          <w:b w:val="0"/>
          <w:bCs/>
          <w:szCs w:val="22"/>
          <w:lang w:val="fr-FR" w:eastAsia="en-US"/>
        </w:rPr>
      </w:pPr>
      <w:r w:rsidRPr="009070BD">
        <w:rPr>
          <w:rFonts w:cs="Sylfaen"/>
          <w:b w:val="0"/>
          <w:bCs/>
          <w:szCs w:val="22"/>
          <w:lang w:val="fr-FR" w:eastAsia="en-US"/>
        </w:rPr>
        <w:t xml:space="preserve">- </w:t>
      </w:r>
      <w:r w:rsidRPr="009070BD">
        <w:rPr>
          <w:rFonts w:cs="Times Armenian"/>
          <w:b w:val="0"/>
          <w:szCs w:val="22"/>
          <w:lang w:val="af-ZA" w:eastAsia="en-US"/>
        </w:rPr>
        <w:t>Շարժական լաբորատորիայի համար անհրաժեշտ ծախսեր</w:t>
      </w:r>
      <w:r w:rsidRPr="009070BD">
        <w:rPr>
          <w:rFonts w:cs="Sylfaen"/>
          <w:b w:val="0"/>
          <w:bCs/>
          <w:szCs w:val="22"/>
          <w:lang w:val="fr-FR" w:eastAsia="en-US"/>
        </w:rPr>
        <w:t>:</w:t>
      </w:r>
    </w:p>
    <w:p w:rsidR="004030A5" w:rsidRPr="009070BD" w:rsidRDefault="004030A5" w:rsidP="007730AA">
      <w:pPr>
        <w:spacing w:before="0" w:line="276" w:lineRule="auto"/>
        <w:ind w:firstLine="720"/>
        <w:contextualSpacing w:val="0"/>
        <w:rPr>
          <w:rFonts w:cs="Sylfaen"/>
          <w:b w:val="0"/>
          <w:bCs/>
          <w:szCs w:val="22"/>
          <w:lang w:val="hy-AM" w:eastAsia="en-US"/>
        </w:rPr>
      </w:pPr>
      <w:r w:rsidRPr="009070BD">
        <w:rPr>
          <w:rFonts w:cs="Sylfaen"/>
          <w:b w:val="0"/>
          <w:bCs/>
          <w:szCs w:val="22"/>
          <w:lang w:val="en-US" w:eastAsia="en-US"/>
        </w:rPr>
        <w:t>Ծրագրի</w:t>
      </w:r>
      <w:r w:rsidRPr="009070BD">
        <w:rPr>
          <w:rFonts w:cs="Sylfaen"/>
          <w:b w:val="0"/>
          <w:bCs/>
          <w:szCs w:val="22"/>
          <w:lang w:val="fr-FR" w:eastAsia="en-US"/>
        </w:rPr>
        <w:t xml:space="preserve"> </w:t>
      </w:r>
      <w:r w:rsidRPr="009070BD">
        <w:rPr>
          <w:rFonts w:cs="Sylfaen"/>
          <w:b w:val="0"/>
          <w:bCs/>
          <w:szCs w:val="22"/>
          <w:lang w:val="en-US" w:eastAsia="en-US"/>
        </w:rPr>
        <w:t>նպատակն</w:t>
      </w:r>
      <w:r w:rsidRPr="009070BD">
        <w:rPr>
          <w:rFonts w:cs="Sylfaen"/>
          <w:b w:val="0"/>
          <w:bCs/>
          <w:szCs w:val="22"/>
          <w:lang w:val="fr-FR" w:eastAsia="en-US"/>
        </w:rPr>
        <w:t xml:space="preserve"> </w:t>
      </w:r>
      <w:r w:rsidRPr="009070BD">
        <w:rPr>
          <w:rFonts w:cs="Sylfaen"/>
          <w:b w:val="0"/>
          <w:bCs/>
          <w:szCs w:val="22"/>
          <w:lang w:val="en-US" w:eastAsia="en-US"/>
        </w:rPr>
        <w:t>է</w:t>
      </w:r>
      <w:r w:rsidRPr="009070BD">
        <w:rPr>
          <w:rFonts w:cs="Sylfaen"/>
          <w:b w:val="0"/>
          <w:bCs/>
          <w:szCs w:val="22"/>
          <w:lang w:val="fr-FR" w:eastAsia="en-US"/>
        </w:rPr>
        <w:t xml:space="preserve"> </w:t>
      </w:r>
      <w:r w:rsidRPr="009070BD">
        <w:rPr>
          <w:rFonts w:cs="Sylfaen"/>
          <w:b w:val="0"/>
          <w:bCs/>
          <w:szCs w:val="22"/>
          <w:lang w:val="en-US" w:eastAsia="en-US"/>
        </w:rPr>
        <w:t>Հայաստանի</w:t>
      </w:r>
      <w:r w:rsidRPr="009070BD">
        <w:rPr>
          <w:rFonts w:cs="Sylfaen"/>
          <w:b w:val="0"/>
          <w:bCs/>
          <w:szCs w:val="22"/>
          <w:lang w:val="fr-FR" w:eastAsia="en-US"/>
        </w:rPr>
        <w:t xml:space="preserve"> </w:t>
      </w:r>
      <w:r w:rsidRPr="009070BD">
        <w:rPr>
          <w:rFonts w:cs="Sylfaen"/>
          <w:b w:val="0"/>
          <w:bCs/>
          <w:szCs w:val="22"/>
          <w:lang w:val="en-US" w:eastAsia="en-US"/>
        </w:rPr>
        <w:t>Հանրապետությունում</w:t>
      </w:r>
      <w:r w:rsidRPr="009070BD">
        <w:rPr>
          <w:rFonts w:cs="Sylfaen"/>
          <w:b w:val="0"/>
          <w:bCs/>
          <w:szCs w:val="22"/>
          <w:lang w:val="fr-FR" w:eastAsia="en-US"/>
        </w:rPr>
        <w:t xml:space="preserve"> </w:t>
      </w:r>
      <w:r w:rsidRPr="009070BD">
        <w:rPr>
          <w:rFonts w:cs="Sylfaen"/>
          <w:b w:val="0"/>
          <w:bCs/>
          <w:szCs w:val="22"/>
          <w:lang w:val="en-US" w:eastAsia="en-US"/>
        </w:rPr>
        <w:t>ապրանք</w:t>
      </w:r>
      <w:r w:rsidRPr="009070BD">
        <w:rPr>
          <w:rFonts w:cs="Sylfaen"/>
          <w:b w:val="0"/>
          <w:bCs/>
          <w:szCs w:val="22"/>
          <w:lang w:val="fr-FR" w:eastAsia="en-US"/>
        </w:rPr>
        <w:t xml:space="preserve"> </w:t>
      </w:r>
      <w:r w:rsidRPr="009070BD">
        <w:rPr>
          <w:rFonts w:cs="Sylfaen"/>
          <w:b w:val="0"/>
          <w:bCs/>
          <w:szCs w:val="22"/>
          <w:lang w:val="en-US" w:eastAsia="en-US"/>
        </w:rPr>
        <w:t>արտադրողների</w:t>
      </w:r>
      <w:r w:rsidRPr="009070BD">
        <w:rPr>
          <w:rFonts w:cs="Sylfaen"/>
          <w:b w:val="0"/>
          <w:bCs/>
          <w:szCs w:val="22"/>
          <w:lang w:val="fr-FR" w:eastAsia="en-US"/>
        </w:rPr>
        <w:t xml:space="preserve"> </w:t>
      </w:r>
      <w:r w:rsidRPr="009070BD">
        <w:rPr>
          <w:rFonts w:cs="Sylfaen"/>
          <w:b w:val="0"/>
          <w:bCs/>
          <w:szCs w:val="22"/>
          <w:lang w:val="en-US" w:eastAsia="en-US"/>
        </w:rPr>
        <w:t>և</w:t>
      </w:r>
      <w:r w:rsidRPr="009070BD">
        <w:rPr>
          <w:rFonts w:cs="Sylfaen"/>
          <w:b w:val="0"/>
          <w:bCs/>
          <w:szCs w:val="22"/>
          <w:lang w:val="fr-FR" w:eastAsia="en-US"/>
        </w:rPr>
        <w:t xml:space="preserve"> </w:t>
      </w:r>
      <w:r w:rsidRPr="009070BD">
        <w:rPr>
          <w:rFonts w:cs="Sylfaen"/>
          <w:b w:val="0"/>
          <w:bCs/>
          <w:szCs w:val="22"/>
          <w:lang w:val="en-US" w:eastAsia="en-US"/>
        </w:rPr>
        <w:t>ծառայություն</w:t>
      </w:r>
      <w:r w:rsidRPr="009070BD">
        <w:rPr>
          <w:rFonts w:cs="Sylfaen"/>
          <w:b w:val="0"/>
          <w:bCs/>
          <w:szCs w:val="22"/>
          <w:lang w:val="fr-FR" w:eastAsia="en-US"/>
        </w:rPr>
        <w:t xml:space="preserve"> </w:t>
      </w:r>
      <w:r w:rsidRPr="009070BD">
        <w:rPr>
          <w:rFonts w:cs="Sylfaen"/>
          <w:b w:val="0"/>
          <w:bCs/>
          <w:szCs w:val="22"/>
          <w:lang w:val="en-US" w:eastAsia="en-US"/>
        </w:rPr>
        <w:t>մատուցող</w:t>
      </w:r>
      <w:r w:rsidRPr="009070BD">
        <w:rPr>
          <w:rFonts w:cs="Sylfaen"/>
          <w:b w:val="0"/>
          <w:bCs/>
          <w:szCs w:val="22"/>
          <w:lang w:val="fr-FR" w:eastAsia="en-US"/>
        </w:rPr>
        <w:softHyphen/>
      </w:r>
      <w:r w:rsidRPr="009070BD">
        <w:rPr>
          <w:rFonts w:cs="Sylfaen"/>
          <w:b w:val="0"/>
          <w:bCs/>
          <w:szCs w:val="22"/>
          <w:lang w:val="en-US" w:eastAsia="en-US"/>
        </w:rPr>
        <w:t>ների</w:t>
      </w:r>
      <w:r w:rsidRPr="009070BD">
        <w:rPr>
          <w:rFonts w:cs="Sylfaen"/>
          <w:b w:val="0"/>
          <w:bCs/>
          <w:szCs w:val="22"/>
          <w:lang w:val="fr-FR" w:eastAsia="en-US"/>
        </w:rPr>
        <w:t xml:space="preserve"> </w:t>
      </w:r>
      <w:r w:rsidRPr="009070BD">
        <w:rPr>
          <w:rFonts w:cs="Sylfaen"/>
          <w:b w:val="0"/>
          <w:bCs/>
          <w:szCs w:val="22"/>
          <w:lang w:val="en-US" w:eastAsia="en-US"/>
        </w:rPr>
        <w:t>կողմից</w:t>
      </w:r>
      <w:r w:rsidRPr="009070BD">
        <w:rPr>
          <w:rFonts w:cs="Sylfaen"/>
          <w:b w:val="0"/>
          <w:bCs/>
          <w:szCs w:val="22"/>
          <w:lang w:val="fr-FR" w:eastAsia="en-US"/>
        </w:rPr>
        <w:t xml:space="preserve"> </w:t>
      </w:r>
      <w:r w:rsidRPr="009070BD">
        <w:rPr>
          <w:rFonts w:cs="Sylfaen"/>
          <w:b w:val="0"/>
          <w:bCs/>
          <w:szCs w:val="22"/>
          <w:lang w:val="en-US" w:eastAsia="en-US"/>
        </w:rPr>
        <w:t>սպառողներին</w:t>
      </w:r>
      <w:r w:rsidRPr="009070BD">
        <w:rPr>
          <w:rFonts w:cs="Sylfaen"/>
          <w:b w:val="0"/>
          <w:bCs/>
          <w:szCs w:val="22"/>
          <w:lang w:val="fr-FR" w:eastAsia="en-US"/>
        </w:rPr>
        <w:t xml:space="preserve"> </w:t>
      </w:r>
      <w:r w:rsidRPr="009070BD">
        <w:rPr>
          <w:rFonts w:cs="Sylfaen"/>
          <w:b w:val="0"/>
          <w:bCs/>
          <w:szCs w:val="22"/>
          <w:lang w:val="en-US" w:eastAsia="en-US"/>
        </w:rPr>
        <w:t>իրացվող</w:t>
      </w:r>
      <w:r w:rsidRPr="009070BD">
        <w:rPr>
          <w:rFonts w:cs="Sylfaen"/>
          <w:b w:val="0"/>
          <w:bCs/>
          <w:szCs w:val="22"/>
          <w:lang w:val="fr-FR" w:eastAsia="en-US"/>
        </w:rPr>
        <w:t xml:space="preserve"> </w:t>
      </w:r>
      <w:r w:rsidRPr="009070BD">
        <w:rPr>
          <w:rFonts w:cs="Sylfaen"/>
          <w:b w:val="0"/>
          <w:bCs/>
          <w:szCs w:val="22"/>
          <w:lang w:val="en-US" w:eastAsia="en-US"/>
        </w:rPr>
        <w:t>արտադրանքի</w:t>
      </w:r>
      <w:r w:rsidRPr="009070BD">
        <w:rPr>
          <w:rFonts w:cs="Sylfaen"/>
          <w:b w:val="0"/>
          <w:bCs/>
          <w:szCs w:val="22"/>
          <w:lang w:val="fr-FR" w:eastAsia="en-US"/>
        </w:rPr>
        <w:t xml:space="preserve"> </w:t>
      </w:r>
      <w:r w:rsidRPr="009070BD">
        <w:rPr>
          <w:rFonts w:cs="Sylfaen"/>
          <w:b w:val="0"/>
          <w:bCs/>
          <w:szCs w:val="22"/>
          <w:lang w:val="en-US" w:eastAsia="en-US"/>
        </w:rPr>
        <w:t>նկատմամբ</w:t>
      </w:r>
      <w:r w:rsidRPr="009070BD">
        <w:rPr>
          <w:rFonts w:cs="Sylfaen"/>
          <w:b w:val="0"/>
          <w:bCs/>
          <w:szCs w:val="22"/>
          <w:lang w:val="fr-FR" w:eastAsia="en-US"/>
        </w:rPr>
        <w:t xml:space="preserve"> </w:t>
      </w:r>
      <w:r w:rsidRPr="009070BD">
        <w:rPr>
          <w:rFonts w:cs="Sylfaen"/>
          <w:b w:val="0"/>
          <w:bCs/>
          <w:szCs w:val="22"/>
          <w:lang w:val="en-US" w:eastAsia="en-US"/>
        </w:rPr>
        <w:t>պետական</w:t>
      </w:r>
      <w:r w:rsidRPr="009070BD">
        <w:rPr>
          <w:rFonts w:cs="Sylfaen"/>
          <w:b w:val="0"/>
          <w:bCs/>
          <w:szCs w:val="22"/>
          <w:lang w:val="fr-FR" w:eastAsia="en-US"/>
        </w:rPr>
        <w:t xml:space="preserve"> </w:t>
      </w:r>
      <w:r w:rsidRPr="009070BD">
        <w:rPr>
          <w:rFonts w:cs="Sylfaen"/>
          <w:b w:val="0"/>
          <w:bCs/>
          <w:szCs w:val="22"/>
          <w:lang w:val="en-US" w:eastAsia="en-US"/>
        </w:rPr>
        <w:t>վերահսկողության</w:t>
      </w:r>
      <w:r w:rsidRPr="009070BD">
        <w:rPr>
          <w:rFonts w:cs="Sylfaen"/>
          <w:b w:val="0"/>
          <w:bCs/>
          <w:szCs w:val="22"/>
          <w:lang w:val="fr-FR" w:eastAsia="en-US"/>
        </w:rPr>
        <w:t xml:space="preserve"> </w:t>
      </w:r>
      <w:r w:rsidRPr="009070BD">
        <w:rPr>
          <w:rFonts w:cs="Sylfaen"/>
          <w:b w:val="0"/>
          <w:bCs/>
          <w:szCs w:val="22"/>
          <w:lang w:val="en-US" w:eastAsia="en-US"/>
        </w:rPr>
        <w:t>իրականացումը</w:t>
      </w:r>
      <w:r w:rsidRPr="009070BD">
        <w:rPr>
          <w:rFonts w:cs="Sylfaen"/>
          <w:b w:val="0"/>
          <w:bCs/>
          <w:szCs w:val="22"/>
          <w:lang w:val="fr-FR" w:eastAsia="en-US"/>
        </w:rPr>
        <w:t xml:space="preserve">` </w:t>
      </w:r>
      <w:r w:rsidRPr="009070BD">
        <w:rPr>
          <w:rFonts w:cs="Sylfaen"/>
          <w:b w:val="0"/>
          <w:bCs/>
          <w:szCs w:val="22"/>
          <w:lang w:val="en-US" w:eastAsia="en-US"/>
        </w:rPr>
        <w:t>ստանդարտացման</w:t>
      </w:r>
      <w:r w:rsidRPr="009070BD">
        <w:rPr>
          <w:rFonts w:cs="Sylfaen"/>
          <w:b w:val="0"/>
          <w:bCs/>
          <w:szCs w:val="22"/>
          <w:lang w:val="fr-FR" w:eastAsia="en-US"/>
        </w:rPr>
        <w:t xml:space="preserve"> </w:t>
      </w:r>
      <w:r w:rsidRPr="009070BD">
        <w:rPr>
          <w:rFonts w:cs="Sylfaen"/>
          <w:b w:val="0"/>
          <w:bCs/>
          <w:szCs w:val="22"/>
          <w:lang w:val="en-US" w:eastAsia="en-US"/>
        </w:rPr>
        <w:t>և</w:t>
      </w:r>
      <w:r w:rsidRPr="009070BD">
        <w:rPr>
          <w:rFonts w:cs="Sylfaen"/>
          <w:b w:val="0"/>
          <w:bCs/>
          <w:szCs w:val="22"/>
          <w:lang w:val="fr-FR" w:eastAsia="en-US"/>
        </w:rPr>
        <w:t xml:space="preserve"> </w:t>
      </w:r>
      <w:r w:rsidRPr="009070BD">
        <w:rPr>
          <w:rFonts w:cs="Sylfaen"/>
          <w:b w:val="0"/>
          <w:bCs/>
          <w:szCs w:val="22"/>
          <w:lang w:val="en-US" w:eastAsia="en-US"/>
        </w:rPr>
        <w:t>չափագիտական</w:t>
      </w:r>
      <w:r w:rsidRPr="009070BD">
        <w:rPr>
          <w:rFonts w:cs="Sylfaen"/>
          <w:b w:val="0"/>
          <w:bCs/>
          <w:szCs w:val="22"/>
          <w:lang w:val="fr-FR" w:eastAsia="en-US"/>
        </w:rPr>
        <w:t xml:space="preserve"> </w:t>
      </w:r>
      <w:r w:rsidRPr="009070BD">
        <w:rPr>
          <w:rFonts w:cs="Sylfaen"/>
          <w:b w:val="0"/>
          <w:bCs/>
          <w:szCs w:val="22"/>
          <w:lang w:val="en-US" w:eastAsia="en-US"/>
        </w:rPr>
        <w:t>նորմերի</w:t>
      </w:r>
      <w:r w:rsidRPr="009070BD">
        <w:rPr>
          <w:rFonts w:cs="Sylfaen"/>
          <w:b w:val="0"/>
          <w:bCs/>
          <w:szCs w:val="22"/>
          <w:lang w:val="fr-FR" w:eastAsia="en-US"/>
        </w:rPr>
        <w:t xml:space="preserve"> </w:t>
      </w:r>
      <w:r w:rsidRPr="009070BD">
        <w:rPr>
          <w:rFonts w:cs="Sylfaen"/>
          <w:b w:val="0"/>
          <w:bCs/>
          <w:szCs w:val="22"/>
          <w:lang w:val="en-US" w:eastAsia="en-US"/>
        </w:rPr>
        <w:t>ապահովման</w:t>
      </w:r>
      <w:r w:rsidRPr="009070BD">
        <w:rPr>
          <w:rFonts w:cs="Sylfaen"/>
          <w:b w:val="0"/>
          <w:bCs/>
          <w:szCs w:val="22"/>
          <w:lang w:val="fr-FR" w:eastAsia="en-US"/>
        </w:rPr>
        <w:t xml:space="preserve"> </w:t>
      </w:r>
      <w:r w:rsidRPr="009070BD">
        <w:rPr>
          <w:rFonts w:cs="Sylfaen"/>
          <w:b w:val="0"/>
          <w:bCs/>
          <w:szCs w:val="22"/>
          <w:lang w:val="en-US" w:eastAsia="en-US"/>
        </w:rPr>
        <w:t>միջոցով</w:t>
      </w:r>
      <w:r w:rsidRPr="009070BD">
        <w:rPr>
          <w:rFonts w:cs="Sylfaen"/>
          <w:b w:val="0"/>
          <w:bCs/>
          <w:szCs w:val="22"/>
          <w:lang w:val="fr-FR" w:eastAsia="en-US"/>
        </w:rPr>
        <w:t>:</w:t>
      </w:r>
    </w:p>
    <w:p w:rsidR="008F33A3" w:rsidRPr="009070BD" w:rsidRDefault="008F33A3"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noProof/>
          <w:szCs w:val="22"/>
          <w:lang w:val="hy-AM" w:eastAsia="en-US"/>
        </w:rPr>
        <w:t>Աջակցություն քաղաքական կուսակցություններին, հասարակական կազմակերպություններին և արհմիություններին» ծրագրի</w:t>
      </w:r>
      <w:r w:rsidRPr="009070BD">
        <w:rPr>
          <w:b w:val="0"/>
          <w:noProof/>
          <w:szCs w:val="22"/>
          <w:lang w:val="hy-AM" w:eastAsia="en-US"/>
        </w:rPr>
        <w:t xml:space="preserve"> նպատակը՝</w:t>
      </w:r>
      <w:r w:rsidRPr="009070BD">
        <w:rPr>
          <w:b w:val="0"/>
          <w:noProof/>
          <w:szCs w:val="22"/>
          <w:lang w:val="af-ZA" w:eastAsia="en-US"/>
        </w:rPr>
        <w:t xml:space="preserve"> </w:t>
      </w:r>
      <w:r w:rsidRPr="009070BD">
        <w:rPr>
          <w:b w:val="0"/>
          <w:noProof/>
          <w:szCs w:val="22"/>
          <w:lang w:val="hy-AM" w:eastAsia="en-US"/>
        </w:rPr>
        <w:t>նպաստել քաղաքացիական հասարակության զարգացմանը</w:t>
      </w:r>
      <w:r w:rsidRPr="009070BD">
        <w:rPr>
          <w:b w:val="0"/>
          <w:noProof/>
          <w:szCs w:val="22"/>
          <w:lang w:val="af-ZA" w:eastAsia="en-US"/>
        </w:rPr>
        <w:t>:</w:t>
      </w:r>
    </w:p>
    <w:p w:rsidR="008F33A3" w:rsidRPr="009070BD" w:rsidRDefault="008F33A3"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en-US" w:eastAsia="en-US"/>
        </w:rPr>
        <w:t>Ծրագրի</w:t>
      </w:r>
      <w:r w:rsidRPr="009070BD">
        <w:rPr>
          <w:b w:val="0"/>
          <w:noProof/>
          <w:szCs w:val="22"/>
          <w:lang w:val="af-ZA" w:eastAsia="en-US"/>
        </w:rPr>
        <w:t xml:space="preserve"> </w:t>
      </w:r>
      <w:r w:rsidRPr="009070BD">
        <w:rPr>
          <w:b w:val="0"/>
          <w:noProof/>
          <w:szCs w:val="22"/>
          <w:lang w:val="en-US" w:eastAsia="en-US"/>
        </w:rPr>
        <w:t>շրջանակներում</w:t>
      </w:r>
      <w:r w:rsidRPr="009070BD">
        <w:rPr>
          <w:b w:val="0"/>
          <w:noProof/>
          <w:szCs w:val="22"/>
          <w:lang w:val="af-ZA" w:eastAsia="en-US"/>
        </w:rPr>
        <w:t xml:space="preserve"> </w:t>
      </w:r>
      <w:r w:rsidRPr="009070BD">
        <w:rPr>
          <w:b w:val="0"/>
          <w:noProof/>
          <w:szCs w:val="22"/>
          <w:lang w:val="en-US" w:eastAsia="en-US"/>
        </w:rPr>
        <w:t>հատկացումներն</w:t>
      </w:r>
      <w:r w:rsidRPr="009070BD">
        <w:rPr>
          <w:b w:val="0"/>
          <w:noProof/>
          <w:szCs w:val="22"/>
          <w:lang w:val="af-ZA" w:eastAsia="en-US"/>
        </w:rPr>
        <w:t xml:space="preserve"> </w:t>
      </w:r>
      <w:r w:rsidRPr="009070BD">
        <w:rPr>
          <w:b w:val="0"/>
          <w:noProof/>
          <w:szCs w:val="22"/>
          <w:lang w:val="en-US" w:eastAsia="en-US"/>
        </w:rPr>
        <w:t>ուղղվելու</w:t>
      </w:r>
      <w:r w:rsidRPr="009070BD">
        <w:rPr>
          <w:b w:val="0"/>
          <w:noProof/>
          <w:szCs w:val="22"/>
          <w:lang w:val="af-ZA" w:eastAsia="en-US"/>
        </w:rPr>
        <w:t xml:space="preserve"> </w:t>
      </w:r>
      <w:r w:rsidRPr="009070BD">
        <w:rPr>
          <w:b w:val="0"/>
          <w:noProof/>
          <w:szCs w:val="22"/>
          <w:lang w:val="en-US" w:eastAsia="en-US"/>
        </w:rPr>
        <w:t>են</w:t>
      </w:r>
      <w:r w:rsidRPr="009070BD">
        <w:rPr>
          <w:b w:val="0"/>
          <w:noProof/>
          <w:szCs w:val="22"/>
          <w:lang w:val="af-ZA" w:eastAsia="en-US"/>
        </w:rPr>
        <w:t xml:space="preserve"> </w:t>
      </w:r>
      <w:r w:rsidRPr="009070BD">
        <w:rPr>
          <w:b w:val="0"/>
          <w:noProof/>
          <w:szCs w:val="22"/>
          <w:lang w:val="hy-AM" w:eastAsia="en-US"/>
        </w:rPr>
        <w:t>պ</w:t>
      </w:r>
      <w:r w:rsidRPr="009070BD">
        <w:rPr>
          <w:b w:val="0"/>
          <w:noProof/>
          <w:szCs w:val="22"/>
          <w:lang w:val="af-ZA" w:eastAsia="en-US"/>
        </w:rPr>
        <w:t>ետական կառավարման գործընթացներին քաղաքացիական հասարակության մասնակցության ապահով</w:t>
      </w:r>
      <w:r w:rsidRPr="009070BD">
        <w:rPr>
          <w:b w:val="0"/>
          <w:noProof/>
          <w:szCs w:val="22"/>
          <w:lang w:val="hy-AM" w:eastAsia="en-US"/>
        </w:rPr>
        <w:t>մանը, հասարակական կազմակերպություններին, կուսակցություններին և կուսակցությունների դաշինքներին աջակցմանը</w:t>
      </w:r>
      <w:r w:rsidRPr="009070BD">
        <w:rPr>
          <w:b w:val="0"/>
          <w:noProof/>
          <w:szCs w:val="22"/>
          <w:lang w:val="af-ZA" w:eastAsia="en-US"/>
        </w:rPr>
        <w:t>:</w:t>
      </w:r>
    </w:p>
    <w:p w:rsidR="008F33A3" w:rsidRPr="009070BD" w:rsidRDefault="008F33A3"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af-ZA" w:eastAsia="en-US"/>
        </w:rPr>
        <w:t></w:t>
      </w:r>
      <w:r w:rsidRPr="009070BD">
        <w:rPr>
          <w:b w:val="0"/>
          <w:noProof/>
          <w:szCs w:val="22"/>
          <w:lang w:val="en-US" w:eastAsia="en-US"/>
        </w:rPr>
        <w:t>Աջակցություն</w:t>
      </w:r>
      <w:r w:rsidRPr="009070BD">
        <w:rPr>
          <w:b w:val="0"/>
          <w:noProof/>
          <w:szCs w:val="22"/>
          <w:lang w:val="af-ZA" w:eastAsia="en-US"/>
        </w:rPr>
        <w:t xml:space="preserve"> </w:t>
      </w:r>
      <w:r w:rsidRPr="009070BD">
        <w:rPr>
          <w:b w:val="0"/>
          <w:noProof/>
          <w:szCs w:val="22"/>
          <w:lang w:val="en-US" w:eastAsia="en-US"/>
        </w:rPr>
        <w:t>քաղաքական</w:t>
      </w:r>
      <w:r w:rsidRPr="009070BD">
        <w:rPr>
          <w:b w:val="0"/>
          <w:noProof/>
          <w:szCs w:val="22"/>
          <w:lang w:val="af-ZA" w:eastAsia="en-US"/>
        </w:rPr>
        <w:t xml:space="preserve"> </w:t>
      </w:r>
      <w:r w:rsidRPr="009070BD">
        <w:rPr>
          <w:b w:val="0"/>
          <w:noProof/>
          <w:szCs w:val="22"/>
          <w:lang w:val="en-US" w:eastAsia="en-US"/>
        </w:rPr>
        <w:t>կուսակցություններին</w:t>
      </w:r>
      <w:r w:rsidRPr="009070BD">
        <w:rPr>
          <w:b w:val="0"/>
          <w:noProof/>
          <w:szCs w:val="22"/>
          <w:lang w:val="af-ZA" w:eastAsia="en-US"/>
        </w:rPr>
        <w:t xml:space="preserve">, </w:t>
      </w:r>
      <w:r w:rsidRPr="009070BD">
        <w:rPr>
          <w:b w:val="0"/>
          <w:noProof/>
          <w:szCs w:val="22"/>
          <w:lang w:val="en-US" w:eastAsia="en-US"/>
        </w:rPr>
        <w:t>հասարակական</w:t>
      </w:r>
      <w:r w:rsidRPr="009070BD">
        <w:rPr>
          <w:b w:val="0"/>
          <w:noProof/>
          <w:szCs w:val="22"/>
          <w:lang w:val="af-ZA" w:eastAsia="en-US"/>
        </w:rPr>
        <w:t xml:space="preserve"> </w:t>
      </w:r>
      <w:r w:rsidRPr="009070BD">
        <w:rPr>
          <w:b w:val="0"/>
          <w:noProof/>
          <w:szCs w:val="22"/>
          <w:lang w:val="en-US" w:eastAsia="en-US"/>
        </w:rPr>
        <w:t>կազմակերպություններին</w:t>
      </w:r>
      <w:r w:rsidRPr="009070BD">
        <w:rPr>
          <w:b w:val="0"/>
          <w:noProof/>
          <w:szCs w:val="22"/>
          <w:lang w:val="af-ZA" w:eastAsia="en-US"/>
        </w:rPr>
        <w:t xml:space="preserve"> </w:t>
      </w:r>
      <w:r w:rsidRPr="009070BD">
        <w:rPr>
          <w:b w:val="0"/>
          <w:noProof/>
          <w:szCs w:val="22"/>
          <w:lang w:val="en-US" w:eastAsia="en-US"/>
        </w:rPr>
        <w:t>և</w:t>
      </w:r>
      <w:r w:rsidRPr="009070BD">
        <w:rPr>
          <w:b w:val="0"/>
          <w:noProof/>
          <w:szCs w:val="22"/>
          <w:lang w:val="af-ZA" w:eastAsia="en-US"/>
        </w:rPr>
        <w:t xml:space="preserve"> </w:t>
      </w:r>
      <w:r w:rsidRPr="009070BD">
        <w:rPr>
          <w:b w:val="0"/>
          <w:noProof/>
          <w:szCs w:val="22"/>
          <w:lang w:val="en-US" w:eastAsia="en-US"/>
        </w:rPr>
        <w:t>արհմիություններին</w:t>
      </w:r>
      <w:r w:rsidRPr="009070BD">
        <w:rPr>
          <w:b w:val="0"/>
          <w:noProof/>
          <w:szCs w:val="22"/>
          <w:lang w:val="af-ZA" w:eastAsia="en-US"/>
        </w:rPr>
        <w:t xml:space="preserve">» </w:t>
      </w:r>
      <w:r w:rsidRPr="009070BD">
        <w:rPr>
          <w:b w:val="0"/>
          <w:noProof/>
          <w:szCs w:val="22"/>
          <w:lang w:val="en-US" w:eastAsia="en-US"/>
        </w:rPr>
        <w:t>ծրագրի</w:t>
      </w:r>
      <w:r w:rsidRPr="009070BD">
        <w:rPr>
          <w:b w:val="0"/>
          <w:noProof/>
          <w:szCs w:val="22"/>
          <w:lang w:val="af-ZA" w:eastAsia="en-US"/>
        </w:rPr>
        <w:t xml:space="preserve"> </w:t>
      </w:r>
      <w:r w:rsidRPr="009070BD">
        <w:rPr>
          <w:b w:val="0"/>
          <w:noProof/>
          <w:szCs w:val="22"/>
          <w:lang w:val="en-US" w:eastAsia="en-US"/>
        </w:rPr>
        <w:t>համար</w:t>
      </w:r>
      <w:r w:rsidRPr="009070BD">
        <w:rPr>
          <w:b w:val="0"/>
          <w:noProof/>
          <w:szCs w:val="22"/>
          <w:lang w:val="af-ZA" w:eastAsia="en-US"/>
        </w:rPr>
        <w:t xml:space="preserve"> </w:t>
      </w:r>
      <w:r w:rsidRPr="009070BD">
        <w:rPr>
          <w:b w:val="0"/>
          <w:noProof/>
          <w:szCs w:val="22"/>
          <w:lang w:val="en-US" w:eastAsia="en-US"/>
        </w:rPr>
        <w:t>Նախագծով</w:t>
      </w:r>
      <w:r w:rsidRPr="009070BD">
        <w:rPr>
          <w:b w:val="0"/>
          <w:noProof/>
          <w:szCs w:val="22"/>
          <w:lang w:val="af-ZA" w:eastAsia="en-US"/>
        </w:rPr>
        <w:t xml:space="preserve"> </w:t>
      </w:r>
      <w:r w:rsidRPr="009070BD">
        <w:rPr>
          <w:b w:val="0"/>
          <w:noProof/>
          <w:szCs w:val="22"/>
          <w:lang w:val="en-US" w:eastAsia="en-US"/>
        </w:rPr>
        <w:t>նախատեսվում</w:t>
      </w:r>
      <w:r w:rsidRPr="009070BD">
        <w:rPr>
          <w:b w:val="0"/>
          <w:noProof/>
          <w:szCs w:val="22"/>
          <w:lang w:val="af-ZA" w:eastAsia="en-US"/>
        </w:rPr>
        <w:t xml:space="preserve"> </w:t>
      </w:r>
      <w:r w:rsidRPr="009070BD">
        <w:rPr>
          <w:b w:val="0"/>
          <w:noProof/>
          <w:szCs w:val="22"/>
          <w:lang w:val="en-US" w:eastAsia="en-US"/>
        </w:rPr>
        <w:t>է</w:t>
      </w:r>
      <w:r w:rsidRPr="009070BD">
        <w:rPr>
          <w:b w:val="0"/>
          <w:noProof/>
          <w:szCs w:val="22"/>
          <w:lang w:val="af-ZA" w:eastAsia="en-US"/>
        </w:rPr>
        <w:t xml:space="preserve"> </w:t>
      </w:r>
      <w:r w:rsidRPr="009070BD">
        <w:rPr>
          <w:b w:val="0"/>
          <w:noProof/>
          <w:szCs w:val="22"/>
          <w:lang w:val="en-US" w:eastAsia="en-US"/>
        </w:rPr>
        <w:t>հատկացնել</w:t>
      </w:r>
      <w:r w:rsidRPr="009070BD">
        <w:rPr>
          <w:b w:val="0"/>
          <w:noProof/>
          <w:szCs w:val="22"/>
          <w:lang w:val="af-ZA" w:eastAsia="en-US"/>
        </w:rPr>
        <w:t xml:space="preserve"> </w:t>
      </w:r>
      <w:r w:rsidRPr="009070BD">
        <w:rPr>
          <w:b w:val="0"/>
          <w:noProof/>
          <w:szCs w:val="22"/>
          <w:lang w:val="hy-AM" w:eastAsia="en-US"/>
        </w:rPr>
        <w:t>192</w:t>
      </w:r>
      <w:r w:rsidRPr="009070BD">
        <w:rPr>
          <w:b w:val="0"/>
          <w:noProof/>
          <w:szCs w:val="22"/>
          <w:lang w:val="af-ZA" w:eastAsia="en-US"/>
        </w:rPr>
        <w:t>.</w:t>
      </w:r>
      <w:r w:rsidRPr="009070BD">
        <w:rPr>
          <w:b w:val="0"/>
          <w:noProof/>
          <w:szCs w:val="22"/>
          <w:lang w:val="hy-AM" w:eastAsia="en-US"/>
        </w:rPr>
        <w:t>7</w:t>
      </w:r>
      <w:r w:rsidRPr="009070BD">
        <w:rPr>
          <w:b w:val="0"/>
          <w:noProof/>
          <w:szCs w:val="22"/>
          <w:lang w:val="af-ZA" w:eastAsia="en-US"/>
        </w:rPr>
        <w:t xml:space="preserve"> </w:t>
      </w:r>
      <w:r w:rsidRPr="009070BD">
        <w:rPr>
          <w:b w:val="0"/>
          <w:noProof/>
          <w:szCs w:val="22"/>
          <w:lang w:val="en-US" w:eastAsia="en-US"/>
        </w:rPr>
        <w:t>մլն</w:t>
      </w:r>
      <w:r w:rsidRPr="009070BD">
        <w:rPr>
          <w:b w:val="0"/>
          <w:noProof/>
          <w:szCs w:val="22"/>
          <w:lang w:val="af-ZA" w:eastAsia="en-US"/>
        </w:rPr>
        <w:t xml:space="preserve"> </w:t>
      </w:r>
      <w:r w:rsidRPr="009070BD">
        <w:rPr>
          <w:b w:val="0"/>
          <w:noProof/>
          <w:szCs w:val="22"/>
          <w:lang w:val="en-US" w:eastAsia="en-US"/>
        </w:rPr>
        <w:t>դրամ՝</w:t>
      </w:r>
      <w:r w:rsidRPr="009070BD">
        <w:rPr>
          <w:b w:val="0"/>
          <w:noProof/>
          <w:szCs w:val="22"/>
          <w:lang w:val="af-ZA" w:eastAsia="en-US"/>
        </w:rPr>
        <w:t xml:space="preserve"> </w:t>
      </w:r>
      <w:r w:rsidRPr="009070BD">
        <w:rPr>
          <w:b w:val="0"/>
          <w:noProof/>
          <w:szCs w:val="22"/>
          <w:lang w:val="en-US" w:eastAsia="en-US"/>
        </w:rPr>
        <w:t>ՀՀ</w:t>
      </w:r>
      <w:r w:rsidRPr="009070BD">
        <w:rPr>
          <w:b w:val="0"/>
          <w:noProof/>
          <w:szCs w:val="22"/>
          <w:lang w:val="af-ZA" w:eastAsia="en-US"/>
        </w:rPr>
        <w:t xml:space="preserve"> 20</w:t>
      </w:r>
      <w:r w:rsidRPr="009070BD">
        <w:rPr>
          <w:b w:val="0"/>
          <w:noProof/>
          <w:szCs w:val="22"/>
          <w:lang w:val="hy-AM" w:eastAsia="en-US"/>
        </w:rPr>
        <w:t>20</w:t>
      </w:r>
      <w:r w:rsidRPr="009070BD">
        <w:rPr>
          <w:b w:val="0"/>
          <w:noProof/>
          <w:szCs w:val="22"/>
          <w:lang w:val="af-ZA" w:eastAsia="en-US"/>
        </w:rPr>
        <w:t xml:space="preserve"> </w:t>
      </w:r>
      <w:r w:rsidRPr="009070BD">
        <w:rPr>
          <w:b w:val="0"/>
          <w:noProof/>
          <w:szCs w:val="22"/>
          <w:lang w:val="en-US" w:eastAsia="en-US"/>
        </w:rPr>
        <w:t>թվականի</w:t>
      </w:r>
      <w:r w:rsidRPr="009070BD">
        <w:rPr>
          <w:b w:val="0"/>
          <w:noProof/>
          <w:szCs w:val="22"/>
          <w:lang w:val="af-ZA" w:eastAsia="en-US"/>
        </w:rPr>
        <w:t xml:space="preserve"> </w:t>
      </w:r>
      <w:r w:rsidRPr="009070BD">
        <w:rPr>
          <w:b w:val="0"/>
          <w:noProof/>
          <w:szCs w:val="22"/>
          <w:lang w:val="en-US" w:eastAsia="en-US"/>
        </w:rPr>
        <w:t>պետական</w:t>
      </w:r>
      <w:r w:rsidRPr="009070BD">
        <w:rPr>
          <w:b w:val="0"/>
          <w:noProof/>
          <w:szCs w:val="22"/>
          <w:lang w:val="af-ZA" w:eastAsia="en-US"/>
        </w:rPr>
        <w:t xml:space="preserve"> </w:t>
      </w:r>
      <w:r w:rsidRPr="009070BD">
        <w:rPr>
          <w:b w:val="0"/>
          <w:noProof/>
          <w:szCs w:val="22"/>
          <w:lang w:val="en-US" w:eastAsia="en-US"/>
        </w:rPr>
        <w:t>բյուջեով</w:t>
      </w:r>
      <w:r w:rsidRPr="009070BD">
        <w:rPr>
          <w:b w:val="0"/>
          <w:noProof/>
          <w:szCs w:val="22"/>
          <w:lang w:val="af-ZA" w:eastAsia="en-US"/>
        </w:rPr>
        <w:t xml:space="preserve"> </w:t>
      </w:r>
      <w:r w:rsidRPr="009070BD">
        <w:rPr>
          <w:b w:val="0"/>
          <w:noProof/>
          <w:szCs w:val="22"/>
          <w:lang w:val="en-US" w:eastAsia="en-US"/>
        </w:rPr>
        <w:t>հաստատված</w:t>
      </w:r>
      <w:r w:rsidRPr="009070BD">
        <w:rPr>
          <w:b w:val="0"/>
          <w:noProof/>
          <w:szCs w:val="22"/>
          <w:lang w:val="af-ZA" w:eastAsia="en-US"/>
        </w:rPr>
        <w:t xml:space="preserve"> </w:t>
      </w:r>
      <w:r w:rsidRPr="009070BD">
        <w:rPr>
          <w:b w:val="0"/>
          <w:noProof/>
          <w:szCs w:val="22"/>
          <w:lang w:val="hy-AM" w:eastAsia="en-US"/>
        </w:rPr>
        <w:t>135</w:t>
      </w:r>
      <w:r w:rsidRPr="009070BD">
        <w:rPr>
          <w:b w:val="0"/>
          <w:noProof/>
          <w:szCs w:val="22"/>
          <w:lang w:val="af-ZA" w:eastAsia="en-US"/>
        </w:rPr>
        <w:t>.</w:t>
      </w:r>
      <w:r w:rsidRPr="009070BD">
        <w:rPr>
          <w:b w:val="0"/>
          <w:noProof/>
          <w:szCs w:val="22"/>
          <w:lang w:val="hy-AM" w:eastAsia="en-US"/>
        </w:rPr>
        <w:t>7</w:t>
      </w:r>
      <w:r w:rsidRPr="009070BD">
        <w:rPr>
          <w:b w:val="0"/>
          <w:noProof/>
          <w:szCs w:val="22"/>
          <w:lang w:val="af-ZA" w:eastAsia="en-US"/>
        </w:rPr>
        <w:t xml:space="preserve"> </w:t>
      </w:r>
      <w:r w:rsidRPr="009070BD">
        <w:rPr>
          <w:b w:val="0"/>
          <w:noProof/>
          <w:szCs w:val="22"/>
          <w:lang w:val="en-US" w:eastAsia="en-US"/>
        </w:rPr>
        <w:t>մլն</w:t>
      </w:r>
      <w:r w:rsidRPr="009070BD">
        <w:rPr>
          <w:b w:val="0"/>
          <w:noProof/>
          <w:szCs w:val="22"/>
          <w:lang w:val="af-ZA" w:eastAsia="en-US"/>
        </w:rPr>
        <w:t xml:space="preserve"> </w:t>
      </w:r>
      <w:r w:rsidRPr="009070BD">
        <w:rPr>
          <w:b w:val="0"/>
          <w:noProof/>
          <w:szCs w:val="22"/>
          <w:lang w:val="en-US" w:eastAsia="en-US"/>
        </w:rPr>
        <w:t>դրամի</w:t>
      </w:r>
      <w:r w:rsidRPr="009070BD">
        <w:rPr>
          <w:b w:val="0"/>
          <w:noProof/>
          <w:szCs w:val="22"/>
          <w:lang w:val="af-ZA" w:eastAsia="en-US"/>
        </w:rPr>
        <w:t xml:space="preserve"> </w:t>
      </w:r>
      <w:r w:rsidRPr="009070BD">
        <w:rPr>
          <w:b w:val="0"/>
          <w:noProof/>
          <w:szCs w:val="22"/>
          <w:lang w:val="en-US" w:eastAsia="en-US"/>
        </w:rPr>
        <w:t>դիմաց</w:t>
      </w:r>
      <w:r w:rsidRPr="009070BD">
        <w:rPr>
          <w:b w:val="0"/>
          <w:noProof/>
          <w:szCs w:val="22"/>
          <w:lang w:val="af-ZA" w:eastAsia="en-US"/>
        </w:rPr>
        <w:t>:</w:t>
      </w:r>
    </w:p>
    <w:p w:rsidR="008F33A3" w:rsidRPr="009070BD" w:rsidRDefault="008F33A3"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en-US" w:eastAsia="en-US"/>
        </w:rPr>
        <w:t>Ծախսեր</w:t>
      </w:r>
      <w:r w:rsidRPr="009070BD">
        <w:rPr>
          <w:b w:val="0"/>
          <w:noProof/>
          <w:szCs w:val="22"/>
          <w:lang w:val="hy-AM" w:eastAsia="en-US"/>
        </w:rPr>
        <w:t>ն աճել</w:t>
      </w:r>
      <w:r w:rsidRPr="009070BD">
        <w:rPr>
          <w:b w:val="0"/>
          <w:noProof/>
          <w:szCs w:val="22"/>
          <w:lang w:val="af-ZA" w:eastAsia="en-US"/>
        </w:rPr>
        <w:t xml:space="preserve"> </w:t>
      </w:r>
      <w:r w:rsidRPr="009070BD">
        <w:rPr>
          <w:b w:val="0"/>
          <w:noProof/>
          <w:szCs w:val="22"/>
          <w:lang w:val="en-US" w:eastAsia="en-US"/>
        </w:rPr>
        <w:t>են՝</w:t>
      </w:r>
      <w:r w:rsidRPr="009070BD">
        <w:rPr>
          <w:b w:val="0"/>
          <w:noProof/>
          <w:szCs w:val="22"/>
          <w:lang w:val="af-ZA" w:eastAsia="en-US"/>
        </w:rPr>
        <w:t xml:space="preserve"> </w:t>
      </w:r>
      <w:r w:rsidRPr="009070BD">
        <w:rPr>
          <w:b w:val="0"/>
          <w:noProof/>
          <w:szCs w:val="22"/>
          <w:lang w:val="hy-AM" w:eastAsia="en-US"/>
        </w:rPr>
        <w:t>5</w:t>
      </w:r>
      <w:r w:rsidRPr="009070BD">
        <w:rPr>
          <w:b w:val="0"/>
          <w:noProof/>
          <w:szCs w:val="22"/>
          <w:lang w:val="af-ZA" w:eastAsia="en-US"/>
        </w:rPr>
        <w:t xml:space="preserve">7.0 </w:t>
      </w:r>
      <w:r w:rsidRPr="009070BD">
        <w:rPr>
          <w:b w:val="0"/>
          <w:noProof/>
          <w:szCs w:val="22"/>
          <w:lang w:val="en-US" w:eastAsia="en-US"/>
        </w:rPr>
        <w:t>մլն</w:t>
      </w:r>
      <w:r w:rsidRPr="009070BD">
        <w:rPr>
          <w:b w:val="0"/>
          <w:noProof/>
          <w:szCs w:val="22"/>
          <w:lang w:val="af-ZA" w:eastAsia="en-US"/>
        </w:rPr>
        <w:t xml:space="preserve"> </w:t>
      </w:r>
      <w:r w:rsidRPr="009070BD">
        <w:rPr>
          <w:b w:val="0"/>
          <w:noProof/>
          <w:szCs w:val="22"/>
          <w:lang w:val="en-US" w:eastAsia="en-US"/>
        </w:rPr>
        <w:t>դրամով</w:t>
      </w:r>
      <w:r w:rsidRPr="009070BD">
        <w:rPr>
          <w:b w:val="0"/>
          <w:noProof/>
          <w:szCs w:val="22"/>
          <w:lang w:val="af-ZA" w:eastAsia="en-US"/>
        </w:rPr>
        <w:t xml:space="preserve">, </w:t>
      </w:r>
      <w:r w:rsidRPr="009070BD">
        <w:rPr>
          <w:b w:val="0"/>
          <w:noProof/>
          <w:szCs w:val="22"/>
          <w:lang w:val="en-US" w:eastAsia="en-US"/>
        </w:rPr>
        <w:t>կամ</w:t>
      </w:r>
      <w:r w:rsidRPr="009070BD">
        <w:rPr>
          <w:b w:val="0"/>
          <w:noProof/>
          <w:szCs w:val="22"/>
          <w:lang w:val="af-ZA" w:eastAsia="en-US"/>
        </w:rPr>
        <w:t xml:space="preserve"> 42.0 %-</w:t>
      </w:r>
      <w:r w:rsidRPr="009070BD">
        <w:rPr>
          <w:b w:val="0"/>
          <w:noProof/>
          <w:szCs w:val="22"/>
          <w:lang w:val="en-US" w:eastAsia="en-US"/>
        </w:rPr>
        <w:t>ով</w:t>
      </w:r>
      <w:r w:rsidRPr="009070BD">
        <w:rPr>
          <w:b w:val="0"/>
          <w:noProof/>
          <w:szCs w:val="22"/>
          <w:lang w:val="af-ZA" w:eastAsia="en-US"/>
        </w:rPr>
        <w:t xml:space="preserve">, </w:t>
      </w:r>
      <w:r w:rsidRPr="009070BD">
        <w:rPr>
          <w:b w:val="0"/>
          <w:noProof/>
          <w:szCs w:val="22"/>
          <w:lang w:val="en-US" w:eastAsia="en-US"/>
        </w:rPr>
        <w:t>որը</w:t>
      </w:r>
      <w:r w:rsidRPr="009070BD">
        <w:rPr>
          <w:b w:val="0"/>
          <w:noProof/>
          <w:szCs w:val="22"/>
          <w:lang w:val="af-ZA" w:eastAsia="en-US"/>
        </w:rPr>
        <w:t xml:space="preserve"> </w:t>
      </w:r>
      <w:r w:rsidRPr="009070BD">
        <w:rPr>
          <w:b w:val="0"/>
          <w:noProof/>
          <w:szCs w:val="22"/>
          <w:lang w:val="en-US" w:eastAsia="en-US"/>
        </w:rPr>
        <w:t>պայմանավորված</w:t>
      </w:r>
      <w:r w:rsidRPr="009070BD">
        <w:rPr>
          <w:b w:val="0"/>
          <w:noProof/>
          <w:szCs w:val="22"/>
          <w:lang w:val="af-ZA" w:eastAsia="en-US"/>
        </w:rPr>
        <w:t xml:space="preserve"> </w:t>
      </w:r>
      <w:r w:rsidRPr="009070BD">
        <w:rPr>
          <w:b w:val="0"/>
          <w:noProof/>
          <w:szCs w:val="22"/>
          <w:lang w:val="en-US" w:eastAsia="en-US"/>
        </w:rPr>
        <w:t>է</w:t>
      </w:r>
      <w:r w:rsidRPr="009070BD">
        <w:rPr>
          <w:b w:val="0"/>
          <w:noProof/>
          <w:szCs w:val="22"/>
          <w:lang w:val="af-ZA" w:eastAsia="en-US"/>
        </w:rPr>
        <w:t xml:space="preserve"> 2 </w:t>
      </w:r>
      <w:r w:rsidRPr="009070BD">
        <w:rPr>
          <w:b w:val="0"/>
          <w:noProof/>
          <w:szCs w:val="22"/>
          <w:lang w:val="hy-AM" w:eastAsia="en-US"/>
        </w:rPr>
        <w:t>նոր միջոցառումների նախատեսմամբ՝ «Աջակցություն «ՀՀ վետերանների միավորում» հասարակական կազմակերպությանը» և «Աջակցություն հասարակական կազմակերպություններին», համապատասխանաբար՝ 18</w:t>
      </w:r>
      <w:r w:rsidRPr="009070BD">
        <w:rPr>
          <w:b w:val="0"/>
          <w:noProof/>
          <w:szCs w:val="22"/>
          <w:lang w:val="af-ZA" w:eastAsia="en-US"/>
        </w:rPr>
        <w:t>.</w:t>
      </w:r>
      <w:r w:rsidRPr="009070BD">
        <w:rPr>
          <w:b w:val="0"/>
          <w:noProof/>
          <w:szCs w:val="22"/>
          <w:lang w:val="hy-AM" w:eastAsia="en-US"/>
        </w:rPr>
        <w:t>0 և 38</w:t>
      </w:r>
      <w:r w:rsidRPr="009070BD">
        <w:rPr>
          <w:b w:val="0"/>
          <w:noProof/>
          <w:szCs w:val="22"/>
          <w:lang w:val="af-ZA" w:eastAsia="en-US"/>
        </w:rPr>
        <w:t>.</w:t>
      </w:r>
      <w:r w:rsidRPr="009070BD">
        <w:rPr>
          <w:b w:val="0"/>
          <w:noProof/>
          <w:szCs w:val="22"/>
          <w:lang w:val="hy-AM" w:eastAsia="en-US"/>
        </w:rPr>
        <w:t>9 մլն դրամ</w:t>
      </w:r>
      <w:r w:rsidRPr="009070BD">
        <w:rPr>
          <w:b w:val="0"/>
          <w:noProof/>
          <w:szCs w:val="22"/>
          <w:lang w:val="af-ZA" w:eastAsia="en-US"/>
        </w:rPr>
        <w:t>:</w:t>
      </w:r>
    </w:p>
    <w:p w:rsidR="008F33A3" w:rsidRPr="009070BD" w:rsidRDefault="008F33A3"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noProof/>
          <w:szCs w:val="22"/>
          <w:lang w:val="af-ZA" w:eastAsia="en-US"/>
        </w:rPr>
        <w:t></w:t>
      </w:r>
      <w:r w:rsidRPr="009070BD">
        <w:rPr>
          <w:noProof/>
          <w:szCs w:val="22"/>
          <w:lang w:val="en-US" w:eastAsia="en-US"/>
        </w:rPr>
        <w:t>Հանրային</w:t>
      </w:r>
      <w:r w:rsidRPr="009070BD">
        <w:rPr>
          <w:noProof/>
          <w:szCs w:val="22"/>
          <w:lang w:val="af-ZA" w:eastAsia="en-US"/>
        </w:rPr>
        <w:t xml:space="preserve"> </w:t>
      </w:r>
      <w:r w:rsidRPr="009070BD">
        <w:rPr>
          <w:noProof/>
          <w:szCs w:val="22"/>
          <w:lang w:val="en-US" w:eastAsia="en-US"/>
        </w:rPr>
        <w:t>իրազեկում</w:t>
      </w:r>
      <w:r w:rsidRPr="009070BD">
        <w:rPr>
          <w:noProof/>
          <w:szCs w:val="22"/>
          <w:lang w:val="af-ZA" w:eastAsia="en-US"/>
        </w:rPr>
        <w:t xml:space="preserve">» </w:t>
      </w:r>
      <w:r w:rsidRPr="009070BD">
        <w:rPr>
          <w:noProof/>
          <w:szCs w:val="22"/>
          <w:lang w:val="hy-AM" w:eastAsia="en-US"/>
        </w:rPr>
        <w:t>ծրագրի</w:t>
      </w:r>
      <w:r w:rsidRPr="009070BD">
        <w:rPr>
          <w:b w:val="0"/>
          <w:noProof/>
          <w:szCs w:val="22"/>
          <w:lang w:val="hy-AM" w:eastAsia="en-US"/>
        </w:rPr>
        <w:t xml:space="preserve"> </w:t>
      </w:r>
      <w:r w:rsidRPr="009070BD">
        <w:rPr>
          <w:b w:val="0"/>
          <w:noProof/>
          <w:szCs w:val="22"/>
          <w:lang w:val="en-US" w:eastAsia="en-US"/>
        </w:rPr>
        <w:t>նպատակ</w:t>
      </w:r>
      <w:r w:rsidRPr="009070BD">
        <w:rPr>
          <w:b w:val="0"/>
          <w:noProof/>
          <w:szCs w:val="22"/>
          <w:lang w:val="hy-AM" w:eastAsia="en-US"/>
        </w:rPr>
        <w:t>ը՝</w:t>
      </w:r>
      <w:r w:rsidRPr="009070BD">
        <w:rPr>
          <w:b w:val="0"/>
          <w:noProof/>
          <w:szCs w:val="22"/>
          <w:lang w:val="af-ZA" w:eastAsia="en-US"/>
        </w:rPr>
        <w:t xml:space="preserve"> </w:t>
      </w:r>
      <w:r w:rsidRPr="009070BD">
        <w:rPr>
          <w:b w:val="0"/>
          <w:noProof/>
          <w:szCs w:val="22"/>
          <w:lang w:val="hy-AM" w:eastAsia="en-US"/>
        </w:rPr>
        <w:t>ապահովել հանրային կապերի՝ պետական մարմինների թափանցիկությունը, տեղեկատվության մատչելիությունը</w:t>
      </w:r>
      <w:r w:rsidRPr="009070BD">
        <w:rPr>
          <w:b w:val="0"/>
          <w:noProof/>
          <w:szCs w:val="22"/>
          <w:lang w:val="af-ZA" w:eastAsia="en-US"/>
        </w:rPr>
        <w:t>:</w:t>
      </w:r>
    </w:p>
    <w:p w:rsidR="008F33A3" w:rsidRPr="009070BD" w:rsidRDefault="008F33A3"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hy-AM" w:eastAsia="en-US"/>
        </w:rPr>
        <w:t>Ծ</w:t>
      </w:r>
      <w:r w:rsidRPr="009070BD">
        <w:rPr>
          <w:b w:val="0"/>
          <w:noProof/>
          <w:szCs w:val="22"/>
          <w:lang w:val="en-US" w:eastAsia="en-US"/>
        </w:rPr>
        <w:t>րագրով</w:t>
      </w:r>
      <w:r w:rsidRPr="009070BD">
        <w:rPr>
          <w:b w:val="0"/>
          <w:noProof/>
          <w:szCs w:val="22"/>
          <w:lang w:val="af-ZA" w:eastAsia="en-US"/>
        </w:rPr>
        <w:t xml:space="preserve"> </w:t>
      </w:r>
      <w:r w:rsidRPr="009070BD">
        <w:rPr>
          <w:b w:val="0"/>
          <w:noProof/>
          <w:szCs w:val="22"/>
          <w:lang w:val="en-US" w:eastAsia="en-US"/>
        </w:rPr>
        <w:t>նախատեսված</w:t>
      </w:r>
      <w:r w:rsidRPr="009070BD">
        <w:rPr>
          <w:b w:val="0"/>
          <w:noProof/>
          <w:szCs w:val="22"/>
          <w:lang w:val="af-ZA" w:eastAsia="en-US"/>
        </w:rPr>
        <w:t xml:space="preserve"> </w:t>
      </w:r>
      <w:r w:rsidRPr="009070BD">
        <w:rPr>
          <w:b w:val="0"/>
          <w:noProof/>
          <w:szCs w:val="22"/>
          <w:lang w:val="en-US" w:eastAsia="en-US"/>
        </w:rPr>
        <w:t>հատկացումները</w:t>
      </w:r>
      <w:r w:rsidRPr="009070BD">
        <w:rPr>
          <w:b w:val="0"/>
          <w:noProof/>
          <w:szCs w:val="22"/>
          <w:lang w:val="af-ZA" w:eastAsia="en-US"/>
        </w:rPr>
        <w:t xml:space="preserve"> </w:t>
      </w:r>
      <w:r w:rsidRPr="009070BD">
        <w:rPr>
          <w:b w:val="0"/>
          <w:noProof/>
          <w:szCs w:val="22"/>
          <w:lang w:val="en-US" w:eastAsia="en-US"/>
        </w:rPr>
        <w:t>ուղղվելու</w:t>
      </w:r>
      <w:r w:rsidRPr="009070BD">
        <w:rPr>
          <w:b w:val="0"/>
          <w:noProof/>
          <w:szCs w:val="22"/>
          <w:lang w:val="af-ZA" w:eastAsia="en-US"/>
        </w:rPr>
        <w:t xml:space="preserve"> </w:t>
      </w:r>
      <w:r w:rsidRPr="009070BD">
        <w:rPr>
          <w:b w:val="0"/>
          <w:noProof/>
          <w:szCs w:val="22"/>
          <w:lang w:val="en-US" w:eastAsia="en-US"/>
        </w:rPr>
        <w:t>են</w:t>
      </w:r>
      <w:r w:rsidRPr="009070BD">
        <w:rPr>
          <w:b w:val="0"/>
          <w:noProof/>
          <w:szCs w:val="22"/>
          <w:lang w:val="af-ZA" w:eastAsia="en-US"/>
        </w:rPr>
        <w:t xml:space="preserve"> </w:t>
      </w:r>
      <w:r w:rsidRPr="009070BD">
        <w:rPr>
          <w:b w:val="0"/>
          <w:noProof/>
          <w:szCs w:val="22"/>
          <w:lang w:val="en-US" w:eastAsia="en-US"/>
        </w:rPr>
        <w:t>հանրային</w:t>
      </w:r>
      <w:r w:rsidRPr="009070BD">
        <w:rPr>
          <w:b w:val="0"/>
          <w:noProof/>
          <w:szCs w:val="22"/>
          <w:lang w:val="af-ZA" w:eastAsia="en-US"/>
        </w:rPr>
        <w:t xml:space="preserve"> </w:t>
      </w:r>
      <w:r w:rsidRPr="009070BD">
        <w:rPr>
          <w:b w:val="0"/>
          <w:noProof/>
          <w:szCs w:val="22"/>
          <w:lang w:val="en-US" w:eastAsia="en-US"/>
        </w:rPr>
        <w:t>իրազեկման</w:t>
      </w:r>
      <w:r w:rsidRPr="009070BD">
        <w:rPr>
          <w:b w:val="0"/>
          <w:noProof/>
          <w:szCs w:val="22"/>
          <w:lang w:val="af-ZA" w:eastAsia="en-US"/>
        </w:rPr>
        <w:t xml:space="preserve"> </w:t>
      </w:r>
      <w:r w:rsidRPr="009070BD">
        <w:rPr>
          <w:b w:val="0"/>
          <w:noProof/>
          <w:szCs w:val="22"/>
          <w:lang w:val="en-US" w:eastAsia="en-US"/>
        </w:rPr>
        <w:t>ապահովմանը</w:t>
      </w:r>
      <w:r w:rsidRPr="009070BD">
        <w:rPr>
          <w:b w:val="0"/>
          <w:noProof/>
          <w:szCs w:val="22"/>
          <w:lang w:val="af-ZA" w:eastAsia="en-US"/>
        </w:rPr>
        <w:t xml:space="preserve">, </w:t>
      </w:r>
      <w:r w:rsidRPr="009070BD">
        <w:rPr>
          <w:b w:val="0"/>
          <w:noProof/>
          <w:szCs w:val="22"/>
          <w:lang w:val="en-US" w:eastAsia="en-US"/>
        </w:rPr>
        <w:t>պետական</w:t>
      </w:r>
      <w:r w:rsidRPr="009070BD">
        <w:rPr>
          <w:b w:val="0"/>
          <w:noProof/>
          <w:szCs w:val="22"/>
          <w:lang w:val="af-ZA" w:eastAsia="en-US"/>
        </w:rPr>
        <w:t xml:space="preserve"> </w:t>
      </w:r>
      <w:r w:rsidRPr="009070BD">
        <w:rPr>
          <w:b w:val="0"/>
          <w:noProof/>
          <w:szCs w:val="22"/>
          <w:lang w:val="en-US" w:eastAsia="en-US"/>
        </w:rPr>
        <w:t>մամուլի</w:t>
      </w:r>
      <w:r w:rsidRPr="009070BD">
        <w:rPr>
          <w:b w:val="0"/>
          <w:noProof/>
          <w:szCs w:val="22"/>
          <w:lang w:val="af-ZA" w:eastAsia="en-US"/>
        </w:rPr>
        <w:t xml:space="preserve"> </w:t>
      </w:r>
      <w:r w:rsidRPr="009070BD">
        <w:rPr>
          <w:b w:val="0"/>
          <w:noProof/>
          <w:szCs w:val="22"/>
          <w:lang w:val="en-US" w:eastAsia="en-US"/>
        </w:rPr>
        <w:t>հրատարակմանը</w:t>
      </w:r>
      <w:r w:rsidRPr="009070BD">
        <w:rPr>
          <w:b w:val="0"/>
          <w:noProof/>
          <w:szCs w:val="22"/>
          <w:lang w:val="af-ZA" w:eastAsia="en-US"/>
        </w:rPr>
        <w:t>, «Միր» միջպետական հեռուստառադիոընկերության ՀՀ մասնաբաժնի վճար</w:t>
      </w:r>
      <w:r w:rsidRPr="009070BD">
        <w:rPr>
          <w:b w:val="0"/>
          <w:noProof/>
          <w:szCs w:val="22"/>
          <w:lang w:val="hy-AM" w:eastAsia="en-US"/>
        </w:rPr>
        <w:t xml:space="preserve">մանը, </w:t>
      </w:r>
      <w:r w:rsidRPr="009070BD">
        <w:rPr>
          <w:b w:val="0"/>
          <w:noProof/>
          <w:szCs w:val="22"/>
          <w:lang w:val="en-US" w:eastAsia="en-US"/>
        </w:rPr>
        <w:t>տեղեկատվության</w:t>
      </w:r>
      <w:r w:rsidRPr="009070BD">
        <w:rPr>
          <w:b w:val="0"/>
          <w:noProof/>
          <w:szCs w:val="22"/>
          <w:lang w:val="af-ZA" w:eastAsia="en-US"/>
        </w:rPr>
        <w:t xml:space="preserve"> </w:t>
      </w:r>
      <w:r w:rsidRPr="009070BD">
        <w:rPr>
          <w:b w:val="0"/>
          <w:noProof/>
          <w:szCs w:val="22"/>
          <w:lang w:val="en-US" w:eastAsia="en-US"/>
        </w:rPr>
        <w:t>ձեռքբերման</w:t>
      </w:r>
      <w:r w:rsidRPr="009070BD">
        <w:rPr>
          <w:b w:val="0"/>
          <w:noProof/>
          <w:szCs w:val="22"/>
          <w:lang w:val="af-ZA" w:eastAsia="en-US"/>
        </w:rPr>
        <w:t xml:space="preserve">, </w:t>
      </w:r>
      <w:r w:rsidRPr="009070BD">
        <w:rPr>
          <w:b w:val="0"/>
          <w:noProof/>
          <w:szCs w:val="22"/>
          <w:lang w:val="en-US" w:eastAsia="en-US"/>
        </w:rPr>
        <w:t>պահպանման</w:t>
      </w:r>
      <w:r w:rsidRPr="009070BD">
        <w:rPr>
          <w:b w:val="0"/>
          <w:noProof/>
          <w:szCs w:val="22"/>
          <w:lang w:val="af-ZA" w:eastAsia="en-US"/>
        </w:rPr>
        <w:t xml:space="preserve"> </w:t>
      </w:r>
      <w:r w:rsidRPr="009070BD">
        <w:rPr>
          <w:b w:val="0"/>
          <w:noProof/>
          <w:szCs w:val="22"/>
          <w:lang w:val="en-US" w:eastAsia="en-US"/>
        </w:rPr>
        <w:t>և</w:t>
      </w:r>
      <w:r w:rsidRPr="009070BD">
        <w:rPr>
          <w:b w:val="0"/>
          <w:noProof/>
          <w:szCs w:val="22"/>
          <w:lang w:val="af-ZA" w:eastAsia="en-US"/>
        </w:rPr>
        <w:t xml:space="preserve"> </w:t>
      </w:r>
      <w:r w:rsidRPr="009070BD">
        <w:rPr>
          <w:b w:val="0"/>
          <w:noProof/>
          <w:szCs w:val="22"/>
          <w:lang w:val="en-US" w:eastAsia="en-US"/>
        </w:rPr>
        <w:t>արխիվացման</w:t>
      </w:r>
      <w:r w:rsidRPr="009070BD">
        <w:rPr>
          <w:b w:val="0"/>
          <w:noProof/>
          <w:szCs w:val="22"/>
          <w:lang w:val="af-ZA" w:eastAsia="en-US"/>
        </w:rPr>
        <w:t xml:space="preserve"> </w:t>
      </w:r>
      <w:r w:rsidRPr="009070BD">
        <w:rPr>
          <w:b w:val="0"/>
          <w:noProof/>
          <w:szCs w:val="22"/>
          <w:lang w:val="en-US" w:eastAsia="en-US"/>
        </w:rPr>
        <w:t>ծառայությունների</w:t>
      </w:r>
      <w:r w:rsidRPr="009070BD">
        <w:rPr>
          <w:b w:val="0"/>
          <w:noProof/>
          <w:szCs w:val="22"/>
          <w:lang w:val="af-ZA" w:eastAsia="en-US"/>
        </w:rPr>
        <w:t xml:space="preserve"> </w:t>
      </w:r>
      <w:r w:rsidRPr="009070BD">
        <w:rPr>
          <w:b w:val="0"/>
          <w:noProof/>
          <w:szCs w:val="22"/>
          <w:lang w:val="en-US" w:eastAsia="en-US"/>
        </w:rPr>
        <w:t>իրականացմանը</w:t>
      </w:r>
      <w:r w:rsidRPr="009070BD">
        <w:rPr>
          <w:b w:val="0"/>
          <w:noProof/>
          <w:szCs w:val="22"/>
          <w:lang w:val="af-ZA" w:eastAsia="en-US"/>
        </w:rPr>
        <w:t xml:space="preserve">: </w:t>
      </w:r>
    </w:p>
    <w:p w:rsidR="008F33A3" w:rsidRPr="009070BD" w:rsidRDefault="008F33A3"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af-ZA" w:eastAsia="en-US"/>
        </w:rPr>
        <w:t></w:t>
      </w:r>
      <w:r w:rsidRPr="009070BD">
        <w:rPr>
          <w:b w:val="0"/>
          <w:noProof/>
          <w:szCs w:val="22"/>
          <w:lang w:val="en-US" w:eastAsia="en-US"/>
        </w:rPr>
        <w:t>Հանրային</w:t>
      </w:r>
      <w:r w:rsidRPr="009070BD">
        <w:rPr>
          <w:b w:val="0"/>
          <w:noProof/>
          <w:szCs w:val="22"/>
          <w:lang w:val="af-ZA" w:eastAsia="en-US"/>
        </w:rPr>
        <w:t xml:space="preserve"> </w:t>
      </w:r>
      <w:r w:rsidRPr="009070BD">
        <w:rPr>
          <w:b w:val="0"/>
          <w:noProof/>
          <w:szCs w:val="22"/>
          <w:lang w:val="en-US" w:eastAsia="en-US"/>
        </w:rPr>
        <w:t>իրազեկում</w:t>
      </w:r>
      <w:r w:rsidRPr="009070BD">
        <w:rPr>
          <w:b w:val="0"/>
          <w:noProof/>
          <w:szCs w:val="22"/>
          <w:lang w:val="af-ZA" w:eastAsia="en-US"/>
        </w:rPr>
        <w:t xml:space="preserve">» </w:t>
      </w:r>
      <w:r w:rsidRPr="009070BD">
        <w:rPr>
          <w:b w:val="0"/>
          <w:noProof/>
          <w:szCs w:val="22"/>
          <w:lang w:val="en-US" w:eastAsia="en-US"/>
        </w:rPr>
        <w:t>ծրագրի</w:t>
      </w:r>
      <w:r w:rsidRPr="009070BD">
        <w:rPr>
          <w:b w:val="0"/>
          <w:noProof/>
          <w:szCs w:val="22"/>
          <w:lang w:val="af-ZA" w:eastAsia="en-US"/>
        </w:rPr>
        <w:t xml:space="preserve"> </w:t>
      </w:r>
      <w:r w:rsidRPr="009070BD">
        <w:rPr>
          <w:b w:val="0"/>
          <w:noProof/>
          <w:szCs w:val="22"/>
          <w:lang w:val="en-US" w:eastAsia="en-US"/>
        </w:rPr>
        <w:t>համար</w:t>
      </w:r>
      <w:r w:rsidRPr="009070BD">
        <w:rPr>
          <w:b w:val="0"/>
          <w:noProof/>
          <w:szCs w:val="22"/>
          <w:lang w:val="af-ZA" w:eastAsia="en-US"/>
        </w:rPr>
        <w:t xml:space="preserve"> </w:t>
      </w:r>
      <w:r w:rsidRPr="009070BD">
        <w:rPr>
          <w:b w:val="0"/>
          <w:noProof/>
          <w:szCs w:val="22"/>
          <w:lang w:val="en-US" w:eastAsia="en-US"/>
        </w:rPr>
        <w:t>Նախագծով</w:t>
      </w:r>
      <w:r w:rsidRPr="009070BD">
        <w:rPr>
          <w:b w:val="0"/>
          <w:noProof/>
          <w:szCs w:val="22"/>
          <w:lang w:val="af-ZA" w:eastAsia="en-US"/>
        </w:rPr>
        <w:t xml:space="preserve"> </w:t>
      </w:r>
      <w:r w:rsidRPr="009070BD">
        <w:rPr>
          <w:b w:val="0"/>
          <w:noProof/>
          <w:szCs w:val="22"/>
          <w:lang w:val="en-US" w:eastAsia="en-US"/>
        </w:rPr>
        <w:t>նախատեսվում</w:t>
      </w:r>
      <w:r w:rsidRPr="009070BD">
        <w:rPr>
          <w:b w:val="0"/>
          <w:noProof/>
          <w:szCs w:val="22"/>
          <w:lang w:val="af-ZA" w:eastAsia="en-US"/>
        </w:rPr>
        <w:t xml:space="preserve"> </w:t>
      </w:r>
      <w:r w:rsidRPr="009070BD">
        <w:rPr>
          <w:b w:val="0"/>
          <w:noProof/>
          <w:szCs w:val="22"/>
          <w:lang w:val="en-US" w:eastAsia="en-US"/>
        </w:rPr>
        <w:t>է</w:t>
      </w:r>
      <w:r w:rsidRPr="009070BD">
        <w:rPr>
          <w:b w:val="0"/>
          <w:noProof/>
          <w:szCs w:val="22"/>
          <w:lang w:val="af-ZA" w:eastAsia="en-US"/>
        </w:rPr>
        <w:t xml:space="preserve"> </w:t>
      </w:r>
      <w:r w:rsidRPr="009070BD">
        <w:rPr>
          <w:b w:val="0"/>
          <w:noProof/>
          <w:szCs w:val="22"/>
          <w:lang w:val="en-US" w:eastAsia="en-US"/>
        </w:rPr>
        <w:t>հատկացնել</w:t>
      </w:r>
      <w:r w:rsidRPr="009070BD">
        <w:rPr>
          <w:b w:val="0"/>
          <w:noProof/>
          <w:szCs w:val="22"/>
          <w:lang w:val="af-ZA" w:eastAsia="en-US"/>
        </w:rPr>
        <w:t xml:space="preserve"> </w:t>
      </w:r>
      <w:r w:rsidRPr="009070BD">
        <w:rPr>
          <w:b w:val="0"/>
          <w:noProof/>
          <w:szCs w:val="22"/>
          <w:lang w:val="hy-AM" w:eastAsia="en-US"/>
        </w:rPr>
        <w:t>1,145</w:t>
      </w:r>
      <w:r w:rsidRPr="009070BD">
        <w:rPr>
          <w:b w:val="0"/>
          <w:noProof/>
          <w:szCs w:val="22"/>
          <w:lang w:val="af-ZA" w:eastAsia="en-US"/>
        </w:rPr>
        <w:t>.</w:t>
      </w:r>
      <w:r w:rsidRPr="009070BD">
        <w:rPr>
          <w:b w:val="0"/>
          <w:noProof/>
          <w:szCs w:val="22"/>
          <w:lang w:val="hy-AM" w:eastAsia="en-US"/>
        </w:rPr>
        <w:t>9</w:t>
      </w:r>
      <w:r w:rsidRPr="009070BD">
        <w:rPr>
          <w:b w:val="0"/>
          <w:noProof/>
          <w:szCs w:val="22"/>
          <w:lang w:val="af-ZA" w:eastAsia="en-US"/>
        </w:rPr>
        <w:t xml:space="preserve"> </w:t>
      </w:r>
      <w:r w:rsidRPr="009070BD">
        <w:rPr>
          <w:b w:val="0"/>
          <w:noProof/>
          <w:szCs w:val="22"/>
          <w:lang w:val="en-US" w:eastAsia="en-US"/>
        </w:rPr>
        <w:t>մլն</w:t>
      </w:r>
      <w:r w:rsidRPr="009070BD">
        <w:rPr>
          <w:b w:val="0"/>
          <w:noProof/>
          <w:szCs w:val="22"/>
          <w:lang w:val="af-ZA" w:eastAsia="en-US"/>
        </w:rPr>
        <w:t xml:space="preserve"> </w:t>
      </w:r>
      <w:r w:rsidRPr="009070BD">
        <w:rPr>
          <w:b w:val="0"/>
          <w:noProof/>
          <w:szCs w:val="22"/>
          <w:lang w:val="en-US" w:eastAsia="en-US"/>
        </w:rPr>
        <w:t>դրամ՝</w:t>
      </w:r>
      <w:r w:rsidRPr="009070BD">
        <w:rPr>
          <w:b w:val="0"/>
          <w:noProof/>
          <w:szCs w:val="22"/>
          <w:lang w:val="af-ZA" w:eastAsia="en-US"/>
        </w:rPr>
        <w:t xml:space="preserve"> </w:t>
      </w:r>
      <w:r w:rsidRPr="009070BD">
        <w:rPr>
          <w:b w:val="0"/>
          <w:noProof/>
          <w:szCs w:val="22"/>
          <w:lang w:val="en-US" w:eastAsia="en-US"/>
        </w:rPr>
        <w:t>ՀՀ</w:t>
      </w:r>
      <w:r w:rsidRPr="009070BD">
        <w:rPr>
          <w:b w:val="0"/>
          <w:noProof/>
          <w:szCs w:val="22"/>
          <w:lang w:val="af-ZA" w:eastAsia="en-US"/>
        </w:rPr>
        <w:t xml:space="preserve"> 20</w:t>
      </w:r>
      <w:r w:rsidRPr="009070BD">
        <w:rPr>
          <w:b w:val="0"/>
          <w:noProof/>
          <w:szCs w:val="22"/>
          <w:lang w:val="hy-AM" w:eastAsia="en-US"/>
        </w:rPr>
        <w:t>20</w:t>
      </w:r>
      <w:r w:rsidRPr="009070BD">
        <w:rPr>
          <w:b w:val="0"/>
          <w:noProof/>
          <w:szCs w:val="22"/>
          <w:lang w:val="af-ZA" w:eastAsia="en-US"/>
        </w:rPr>
        <w:t xml:space="preserve"> </w:t>
      </w:r>
      <w:r w:rsidRPr="009070BD">
        <w:rPr>
          <w:b w:val="0"/>
          <w:noProof/>
          <w:szCs w:val="22"/>
          <w:lang w:val="en-US" w:eastAsia="en-US"/>
        </w:rPr>
        <w:t>թվականի</w:t>
      </w:r>
      <w:r w:rsidRPr="009070BD">
        <w:rPr>
          <w:b w:val="0"/>
          <w:noProof/>
          <w:szCs w:val="22"/>
          <w:lang w:val="af-ZA" w:eastAsia="en-US"/>
        </w:rPr>
        <w:t xml:space="preserve"> </w:t>
      </w:r>
      <w:r w:rsidRPr="009070BD">
        <w:rPr>
          <w:b w:val="0"/>
          <w:noProof/>
          <w:szCs w:val="22"/>
          <w:lang w:val="en-US" w:eastAsia="en-US"/>
        </w:rPr>
        <w:t>պետական</w:t>
      </w:r>
      <w:r w:rsidRPr="009070BD">
        <w:rPr>
          <w:b w:val="0"/>
          <w:noProof/>
          <w:szCs w:val="22"/>
          <w:lang w:val="af-ZA" w:eastAsia="en-US"/>
        </w:rPr>
        <w:t xml:space="preserve"> </w:t>
      </w:r>
      <w:r w:rsidRPr="009070BD">
        <w:rPr>
          <w:b w:val="0"/>
          <w:noProof/>
          <w:szCs w:val="22"/>
          <w:lang w:val="en-US" w:eastAsia="en-US"/>
        </w:rPr>
        <w:t>բյուջեով</w:t>
      </w:r>
      <w:r w:rsidRPr="009070BD">
        <w:rPr>
          <w:b w:val="0"/>
          <w:noProof/>
          <w:szCs w:val="22"/>
          <w:lang w:val="af-ZA" w:eastAsia="en-US"/>
        </w:rPr>
        <w:t xml:space="preserve"> </w:t>
      </w:r>
      <w:r w:rsidRPr="009070BD">
        <w:rPr>
          <w:b w:val="0"/>
          <w:noProof/>
          <w:szCs w:val="22"/>
          <w:lang w:val="en-US" w:eastAsia="en-US"/>
        </w:rPr>
        <w:t>հաստատված</w:t>
      </w:r>
      <w:r w:rsidRPr="009070BD">
        <w:rPr>
          <w:b w:val="0"/>
          <w:noProof/>
          <w:szCs w:val="22"/>
          <w:lang w:val="af-ZA" w:eastAsia="en-US"/>
        </w:rPr>
        <w:t xml:space="preserve"> </w:t>
      </w:r>
      <w:r w:rsidRPr="009070BD">
        <w:rPr>
          <w:b w:val="0"/>
          <w:noProof/>
          <w:szCs w:val="22"/>
          <w:lang w:val="hy-AM" w:eastAsia="en-US"/>
        </w:rPr>
        <w:t>1,108</w:t>
      </w:r>
      <w:r w:rsidRPr="009070BD">
        <w:rPr>
          <w:b w:val="0"/>
          <w:noProof/>
          <w:szCs w:val="22"/>
          <w:lang w:val="af-ZA" w:eastAsia="en-US"/>
        </w:rPr>
        <w:t>.</w:t>
      </w:r>
      <w:r w:rsidRPr="009070BD">
        <w:rPr>
          <w:b w:val="0"/>
          <w:noProof/>
          <w:szCs w:val="22"/>
          <w:lang w:val="hy-AM" w:eastAsia="en-US"/>
        </w:rPr>
        <w:t>9</w:t>
      </w:r>
      <w:r w:rsidRPr="009070BD">
        <w:rPr>
          <w:b w:val="0"/>
          <w:noProof/>
          <w:szCs w:val="22"/>
          <w:lang w:val="af-ZA" w:eastAsia="en-US"/>
        </w:rPr>
        <w:t xml:space="preserve"> </w:t>
      </w:r>
      <w:r w:rsidRPr="009070BD">
        <w:rPr>
          <w:b w:val="0"/>
          <w:noProof/>
          <w:szCs w:val="22"/>
          <w:lang w:val="en-US" w:eastAsia="en-US"/>
        </w:rPr>
        <w:t>մլն</w:t>
      </w:r>
      <w:r w:rsidRPr="009070BD">
        <w:rPr>
          <w:b w:val="0"/>
          <w:noProof/>
          <w:szCs w:val="22"/>
          <w:lang w:val="af-ZA" w:eastAsia="en-US"/>
        </w:rPr>
        <w:t xml:space="preserve"> </w:t>
      </w:r>
      <w:r w:rsidRPr="009070BD">
        <w:rPr>
          <w:b w:val="0"/>
          <w:noProof/>
          <w:szCs w:val="22"/>
          <w:lang w:val="en-US" w:eastAsia="en-US"/>
        </w:rPr>
        <w:t>դրամի</w:t>
      </w:r>
      <w:r w:rsidRPr="009070BD">
        <w:rPr>
          <w:b w:val="0"/>
          <w:noProof/>
          <w:szCs w:val="22"/>
          <w:lang w:val="af-ZA" w:eastAsia="en-US"/>
        </w:rPr>
        <w:t xml:space="preserve"> </w:t>
      </w:r>
      <w:r w:rsidRPr="009070BD">
        <w:rPr>
          <w:b w:val="0"/>
          <w:noProof/>
          <w:szCs w:val="22"/>
          <w:lang w:val="en-US" w:eastAsia="en-US"/>
        </w:rPr>
        <w:t>դիմաց</w:t>
      </w:r>
      <w:r w:rsidRPr="009070BD">
        <w:rPr>
          <w:b w:val="0"/>
          <w:noProof/>
          <w:szCs w:val="22"/>
          <w:lang w:val="af-ZA" w:eastAsia="en-US"/>
        </w:rPr>
        <w:t>:</w:t>
      </w:r>
    </w:p>
    <w:p w:rsidR="008F33A3" w:rsidRPr="009070BD" w:rsidRDefault="008F33A3"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en-US" w:eastAsia="en-US"/>
        </w:rPr>
        <w:t>Նախագծով</w:t>
      </w:r>
      <w:r w:rsidRPr="009070BD">
        <w:rPr>
          <w:b w:val="0"/>
          <w:noProof/>
          <w:szCs w:val="22"/>
          <w:lang w:val="af-ZA" w:eastAsia="en-US"/>
        </w:rPr>
        <w:t xml:space="preserve"> </w:t>
      </w:r>
      <w:r w:rsidRPr="009070BD">
        <w:rPr>
          <w:b w:val="0"/>
          <w:noProof/>
          <w:szCs w:val="22"/>
          <w:lang w:val="en-US" w:eastAsia="en-US"/>
        </w:rPr>
        <w:t>ծախսերն</w:t>
      </w:r>
      <w:r w:rsidRPr="009070BD">
        <w:rPr>
          <w:b w:val="0"/>
          <w:noProof/>
          <w:szCs w:val="22"/>
          <w:lang w:val="af-ZA" w:eastAsia="en-US"/>
        </w:rPr>
        <w:t xml:space="preserve"> </w:t>
      </w:r>
      <w:r w:rsidRPr="009070BD">
        <w:rPr>
          <w:b w:val="0"/>
          <w:noProof/>
          <w:szCs w:val="22"/>
          <w:lang w:val="en-US" w:eastAsia="en-US"/>
        </w:rPr>
        <w:t>աճել</w:t>
      </w:r>
      <w:r w:rsidRPr="009070BD">
        <w:rPr>
          <w:b w:val="0"/>
          <w:noProof/>
          <w:szCs w:val="22"/>
          <w:lang w:val="af-ZA" w:eastAsia="en-US"/>
        </w:rPr>
        <w:t xml:space="preserve"> </w:t>
      </w:r>
      <w:r w:rsidRPr="009070BD">
        <w:rPr>
          <w:b w:val="0"/>
          <w:noProof/>
          <w:szCs w:val="22"/>
          <w:lang w:val="en-US" w:eastAsia="en-US"/>
        </w:rPr>
        <w:t>են՝</w:t>
      </w:r>
      <w:r w:rsidRPr="009070BD">
        <w:rPr>
          <w:b w:val="0"/>
          <w:noProof/>
          <w:szCs w:val="22"/>
          <w:lang w:val="af-ZA" w:eastAsia="en-US"/>
        </w:rPr>
        <w:t xml:space="preserve"> 37.0 </w:t>
      </w:r>
      <w:r w:rsidRPr="009070BD">
        <w:rPr>
          <w:b w:val="0"/>
          <w:noProof/>
          <w:szCs w:val="22"/>
          <w:lang w:val="en-US" w:eastAsia="en-US"/>
        </w:rPr>
        <w:t>մլն</w:t>
      </w:r>
      <w:r w:rsidRPr="009070BD">
        <w:rPr>
          <w:b w:val="0"/>
          <w:noProof/>
          <w:szCs w:val="22"/>
          <w:lang w:val="af-ZA" w:eastAsia="en-US"/>
        </w:rPr>
        <w:t xml:space="preserve"> </w:t>
      </w:r>
      <w:r w:rsidRPr="009070BD">
        <w:rPr>
          <w:b w:val="0"/>
          <w:noProof/>
          <w:szCs w:val="22"/>
          <w:lang w:val="en-US" w:eastAsia="en-US"/>
        </w:rPr>
        <w:t>դրամով</w:t>
      </w:r>
      <w:r w:rsidRPr="009070BD">
        <w:rPr>
          <w:b w:val="0"/>
          <w:noProof/>
          <w:szCs w:val="22"/>
          <w:lang w:val="af-ZA" w:eastAsia="en-US"/>
        </w:rPr>
        <w:t xml:space="preserve">, </w:t>
      </w:r>
      <w:r w:rsidRPr="009070BD">
        <w:rPr>
          <w:b w:val="0"/>
          <w:noProof/>
          <w:szCs w:val="22"/>
          <w:lang w:val="en-US" w:eastAsia="en-US"/>
        </w:rPr>
        <w:t>կամ</w:t>
      </w:r>
      <w:r w:rsidRPr="009070BD">
        <w:rPr>
          <w:b w:val="0"/>
          <w:noProof/>
          <w:szCs w:val="22"/>
          <w:lang w:val="af-ZA" w:eastAsia="en-US"/>
        </w:rPr>
        <w:t xml:space="preserve"> 3.3 %-</w:t>
      </w:r>
      <w:r w:rsidRPr="009070BD">
        <w:rPr>
          <w:b w:val="0"/>
          <w:noProof/>
          <w:szCs w:val="22"/>
          <w:lang w:val="en-US" w:eastAsia="en-US"/>
        </w:rPr>
        <w:t>ով</w:t>
      </w:r>
      <w:r w:rsidRPr="009070BD">
        <w:rPr>
          <w:b w:val="0"/>
          <w:noProof/>
          <w:szCs w:val="22"/>
          <w:lang w:val="af-ZA" w:eastAsia="en-US"/>
        </w:rPr>
        <w:t xml:space="preserve">, </w:t>
      </w:r>
      <w:r w:rsidRPr="009070BD">
        <w:rPr>
          <w:b w:val="0"/>
          <w:noProof/>
          <w:szCs w:val="22"/>
          <w:lang w:val="en-US" w:eastAsia="en-US"/>
        </w:rPr>
        <w:t>որը</w:t>
      </w:r>
      <w:r w:rsidRPr="009070BD">
        <w:rPr>
          <w:b w:val="0"/>
          <w:noProof/>
          <w:szCs w:val="22"/>
          <w:lang w:val="af-ZA" w:eastAsia="en-US"/>
        </w:rPr>
        <w:t xml:space="preserve"> </w:t>
      </w:r>
      <w:r w:rsidRPr="009070BD">
        <w:rPr>
          <w:b w:val="0"/>
          <w:noProof/>
          <w:szCs w:val="22"/>
          <w:lang w:val="en-US" w:eastAsia="en-US"/>
        </w:rPr>
        <w:t>պայմանավորված</w:t>
      </w:r>
      <w:r w:rsidRPr="009070BD">
        <w:rPr>
          <w:b w:val="0"/>
          <w:noProof/>
          <w:szCs w:val="22"/>
          <w:lang w:val="af-ZA" w:eastAsia="en-US"/>
        </w:rPr>
        <w:t xml:space="preserve"> </w:t>
      </w:r>
      <w:r w:rsidRPr="009070BD">
        <w:rPr>
          <w:b w:val="0"/>
          <w:noProof/>
          <w:szCs w:val="22"/>
          <w:lang w:val="en-US" w:eastAsia="en-US"/>
        </w:rPr>
        <w:t>է</w:t>
      </w:r>
      <w:r w:rsidRPr="009070BD">
        <w:rPr>
          <w:b w:val="0"/>
          <w:noProof/>
          <w:szCs w:val="22"/>
          <w:lang w:val="af-ZA" w:eastAsia="en-US"/>
        </w:rPr>
        <w:t>.</w:t>
      </w:r>
    </w:p>
    <w:p w:rsidR="008F33A3" w:rsidRPr="009070BD" w:rsidRDefault="008F33A3" w:rsidP="007730AA">
      <w:pPr>
        <w:numPr>
          <w:ilvl w:val="12"/>
          <w:numId w:val="0"/>
        </w:numPr>
        <w:tabs>
          <w:tab w:val="left" w:pos="851"/>
        </w:tabs>
        <w:spacing w:before="0" w:line="276" w:lineRule="auto"/>
        <w:ind w:firstLine="720"/>
        <w:contextualSpacing w:val="0"/>
        <w:rPr>
          <w:b w:val="0"/>
          <w:noProof/>
          <w:szCs w:val="22"/>
          <w:lang w:val="hy-AM" w:eastAsia="en-US"/>
        </w:rPr>
      </w:pPr>
      <w:r w:rsidRPr="009070BD">
        <w:rPr>
          <w:b w:val="0"/>
          <w:noProof/>
          <w:szCs w:val="22"/>
          <w:lang w:val="af-ZA" w:eastAsia="en-US"/>
        </w:rPr>
        <w:t>- «</w:t>
      </w:r>
      <w:r w:rsidRPr="009070BD">
        <w:rPr>
          <w:b w:val="0"/>
          <w:noProof/>
          <w:szCs w:val="22"/>
          <w:lang w:val="en-US" w:eastAsia="en-US"/>
        </w:rPr>
        <w:t>Հանրային</w:t>
      </w:r>
      <w:r w:rsidRPr="009070BD">
        <w:rPr>
          <w:b w:val="0"/>
          <w:noProof/>
          <w:szCs w:val="22"/>
          <w:lang w:val="af-ZA" w:eastAsia="en-US"/>
        </w:rPr>
        <w:t xml:space="preserve"> </w:t>
      </w:r>
      <w:r w:rsidRPr="009070BD">
        <w:rPr>
          <w:b w:val="0"/>
          <w:noProof/>
          <w:szCs w:val="22"/>
          <w:lang w:val="en-US" w:eastAsia="en-US"/>
        </w:rPr>
        <w:t>իրազեկում</w:t>
      </w:r>
      <w:r w:rsidRPr="009070BD">
        <w:rPr>
          <w:b w:val="0"/>
          <w:noProof/>
          <w:szCs w:val="22"/>
          <w:lang w:val="af-ZA" w:eastAsia="en-US"/>
        </w:rPr>
        <w:t xml:space="preserve"> </w:t>
      </w:r>
      <w:r w:rsidRPr="009070BD">
        <w:rPr>
          <w:b w:val="0"/>
          <w:noProof/>
          <w:szCs w:val="22"/>
          <w:lang w:val="en-US" w:eastAsia="en-US"/>
        </w:rPr>
        <w:t>և</w:t>
      </w:r>
      <w:r w:rsidRPr="009070BD">
        <w:rPr>
          <w:b w:val="0"/>
          <w:noProof/>
          <w:szCs w:val="22"/>
          <w:lang w:val="af-ZA" w:eastAsia="en-US"/>
        </w:rPr>
        <w:t xml:space="preserve"> </w:t>
      </w:r>
      <w:r w:rsidRPr="009070BD">
        <w:rPr>
          <w:b w:val="0"/>
          <w:noProof/>
          <w:szCs w:val="22"/>
          <w:lang w:val="en-US" w:eastAsia="en-US"/>
        </w:rPr>
        <w:t>հասարակական</w:t>
      </w:r>
      <w:r w:rsidRPr="009070BD">
        <w:rPr>
          <w:b w:val="0"/>
          <w:noProof/>
          <w:szCs w:val="22"/>
          <w:lang w:val="af-ZA" w:eastAsia="en-US"/>
        </w:rPr>
        <w:t>-</w:t>
      </w:r>
      <w:r w:rsidRPr="009070BD">
        <w:rPr>
          <w:b w:val="0"/>
          <w:noProof/>
          <w:szCs w:val="22"/>
          <w:lang w:val="en-US" w:eastAsia="en-US"/>
        </w:rPr>
        <w:t>քաղաքագիտական</w:t>
      </w:r>
      <w:r w:rsidRPr="009070BD">
        <w:rPr>
          <w:b w:val="0"/>
          <w:noProof/>
          <w:szCs w:val="22"/>
          <w:lang w:val="af-ZA" w:eastAsia="en-US"/>
        </w:rPr>
        <w:t xml:space="preserve"> </w:t>
      </w:r>
      <w:r w:rsidRPr="009070BD">
        <w:rPr>
          <w:b w:val="0"/>
          <w:noProof/>
          <w:szCs w:val="22"/>
          <w:lang w:val="en-US" w:eastAsia="en-US"/>
        </w:rPr>
        <w:t>հետազոտություններ</w:t>
      </w:r>
      <w:r w:rsidRPr="009070BD">
        <w:rPr>
          <w:b w:val="0"/>
          <w:noProof/>
          <w:szCs w:val="22"/>
          <w:lang w:val="af-ZA" w:eastAsia="en-US"/>
        </w:rPr>
        <w:t xml:space="preserve">» </w:t>
      </w:r>
      <w:r w:rsidRPr="009070BD">
        <w:rPr>
          <w:b w:val="0"/>
          <w:noProof/>
          <w:szCs w:val="22"/>
          <w:lang w:val="hy-AM" w:eastAsia="en-US"/>
        </w:rPr>
        <w:t>միջոցառման ծախսերի աճով</w:t>
      </w:r>
      <w:r w:rsidRPr="009070BD">
        <w:rPr>
          <w:b w:val="0"/>
          <w:noProof/>
          <w:szCs w:val="22"/>
          <w:lang w:val="en-US" w:eastAsia="en-US"/>
        </w:rPr>
        <w:t>՝</w:t>
      </w:r>
      <w:r w:rsidRPr="009070BD">
        <w:rPr>
          <w:b w:val="0"/>
          <w:noProof/>
          <w:szCs w:val="22"/>
          <w:lang w:val="af-ZA" w:eastAsia="en-US"/>
        </w:rPr>
        <w:t xml:space="preserve"> </w:t>
      </w:r>
      <w:r w:rsidRPr="009070BD">
        <w:rPr>
          <w:b w:val="0"/>
          <w:noProof/>
          <w:szCs w:val="22"/>
          <w:lang w:val="hy-AM" w:eastAsia="en-US"/>
        </w:rPr>
        <w:t>17</w:t>
      </w:r>
      <w:r w:rsidRPr="009070BD">
        <w:rPr>
          <w:b w:val="0"/>
          <w:noProof/>
          <w:szCs w:val="22"/>
          <w:lang w:val="af-ZA" w:eastAsia="en-US"/>
        </w:rPr>
        <w:t xml:space="preserve">.7 </w:t>
      </w:r>
      <w:r w:rsidRPr="009070BD">
        <w:rPr>
          <w:b w:val="0"/>
          <w:noProof/>
          <w:szCs w:val="22"/>
          <w:lang w:val="en-US" w:eastAsia="en-US"/>
        </w:rPr>
        <w:t>մլն</w:t>
      </w:r>
      <w:r w:rsidRPr="009070BD">
        <w:rPr>
          <w:b w:val="0"/>
          <w:noProof/>
          <w:szCs w:val="22"/>
          <w:lang w:val="af-ZA" w:eastAsia="en-US"/>
        </w:rPr>
        <w:t xml:space="preserve"> </w:t>
      </w:r>
      <w:r w:rsidRPr="009070BD">
        <w:rPr>
          <w:b w:val="0"/>
          <w:noProof/>
          <w:szCs w:val="22"/>
          <w:lang w:val="en-US" w:eastAsia="en-US"/>
        </w:rPr>
        <w:t>դրամով</w:t>
      </w:r>
      <w:r w:rsidRPr="009070BD">
        <w:rPr>
          <w:b w:val="0"/>
          <w:noProof/>
          <w:szCs w:val="22"/>
          <w:lang w:val="af-ZA" w:eastAsia="en-US"/>
        </w:rPr>
        <w:t xml:space="preserve">, </w:t>
      </w:r>
      <w:r w:rsidRPr="009070BD">
        <w:rPr>
          <w:b w:val="0"/>
          <w:noProof/>
          <w:szCs w:val="22"/>
          <w:lang w:val="hy-AM" w:eastAsia="en-US"/>
        </w:rPr>
        <w:t xml:space="preserve">կապված Հանրային կապերի և տեղեկատվության կենտրոն» պետական ոչ առևտրային կազմակերպությունում սփյուռքի ստորաբաժանման ստեղծման հետ </w:t>
      </w:r>
      <w:r w:rsidRPr="009070BD">
        <w:rPr>
          <w:b w:val="0"/>
          <w:noProof/>
          <w:szCs w:val="22"/>
          <w:lang w:val="af-ZA" w:eastAsia="en-US"/>
        </w:rPr>
        <w:t>(</w:t>
      </w:r>
      <w:r w:rsidRPr="009070BD">
        <w:rPr>
          <w:b w:val="0"/>
          <w:noProof/>
          <w:szCs w:val="22"/>
          <w:lang w:val="hy-AM" w:eastAsia="en-US"/>
        </w:rPr>
        <w:t>ՀՀ  կառավարության 12.03.2020 թվականի N 274-Ն որոշում</w:t>
      </w:r>
      <w:r w:rsidRPr="009070BD">
        <w:rPr>
          <w:b w:val="0"/>
          <w:noProof/>
          <w:szCs w:val="22"/>
          <w:lang w:val="af-ZA" w:eastAsia="en-US"/>
        </w:rPr>
        <w:t>)</w:t>
      </w:r>
      <w:r w:rsidRPr="009070BD">
        <w:rPr>
          <w:b w:val="0"/>
          <w:noProof/>
          <w:szCs w:val="22"/>
          <w:lang w:val="hy-AM" w:eastAsia="en-US"/>
        </w:rPr>
        <w:t>:</w:t>
      </w:r>
    </w:p>
    <w:p w:rsidR="008F33A3" w:rsidRPr="009070BD" w:rsidRDefault="008F33A3"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af-ZA" w:eastAsia="en-US"/>
        </w:rPr>
        <w:t>- «Միր» միջպետական հեռուստառադիոընկերության ՀՀ մասնաբաժնի վճար»</w:t>
      </w:r>
      <w:r w:rsidRPr="009070BD">
        <w:rPr>
          <w:b w:val="0"/>
          <w:noProof/>
          <w:szCs w:val="22"/>
          <w:lang w:val="hy-AM" w:eastAsia="en-US"/>
        </w:rPr>
        <w:t xml:space="preserve"> միջոցառման</w:t>
      </w:r>
      <w:r w:rsidRPr="009070BD">
        <w:rPr>
          <w:b w:val="0"/>
          <w:noProof/>
          <w:szCs w:val="22"/>
          <w:lang w:val="af-ZA" w:eastAsia="en-US"/>
        </w:rPr>
        <w:t xml:space="preserve"> </w:t>
      </w:r>
      <w:r w:rsidRPr="009070BD">
        <w:rPr>
          <w:b w:val="0"/>
          <w:noProof/>
          <w:szCs w:val="22"/>
          <w:lang w:val="hy-AM" w:eastAsia="en-US"/>
        </w:rPr>
        <w:t>ծախսերի</w:t>
      </w:r>
      <w:r w:rsidRPr="009070BD">
        <w:rPr>
          <w:b w:val="0"/>
          <w:noProof/>
          <w:szCs w:val="22"/>
          <w:lang w:val="af-ZA" w:eastAsia="en-US"/>
        </w:rPr>
        <w:t xml:space="preserve"> </w:t>
      </w:r>
      <w:r w:rsidRPr="009070BD">
        <w:rPr>
          <w:b w:val="0"/>
          <w:noProof/>
          <w:szCs w:val="22"/>
          <w:lang w:val="hy-AM" w:eastAsia="en-US"/>
        </w:rPr>
        <w:t>աճով՝</w:t>
      </w:r>
      <w:r w:rsidRPr="009070BD">
        <w:rPr>
          <w:b w:val="0"/>
          <w:noProof/>
          <w:szCs w:val="22"/>
          <w:lang w:val="af-ZA" w:eastAsia="en-US"/>
        </w:rPr>
        <w:t xml:space="preserve"> </w:t>
      </w:r>
      <w:r w:rsidRPr="009070BD">
        <w:rPr>
          <w:b w:val="0"/>
          <w:noProof/>
          <w:szCs w:val="22"/>
          <w:lang w:val="hy-AM" w:eastAsia="en-US"/>
        </w:rPr>
        <w:t>19</w:t>
      </w:r>
      <w:r w:rsidRPr="009070BD">
        <w:rPr>
          <w:b w:val="0"/>
          <w:noProof/>
          <w:szCs w:val="22"/>
          <w:lang w:val="af-ZA" w:eastAsia="en-US"/>
        </w:rPr>
        <w:t>.</w:t>
      </w:r>
      <w:r w:rsidRPr="009070BD">
        <w:rPr>
          <w:b w:val="0"/>
          <w:noProof/>
          <w:szCs w:val="22"/>
          <w:lang w:val="hy-AM" w:eastAsia="en-US"/>
        </w:rPr>
        <w:t>3</w:t>
      </w:r>
      <w:r w:rsidRPr="009070BD">
        <w:rPr>
          <w:b w:val="0"/>
          <w:noProof/>
          <w:szCs w:val="22"/>
          <w:lang w:val="af-ZA" w:eastAsia="en-US"/>
        </w:rPr>
        <w:t xml:space="preserve"> </w:t>
      </w:r>
      <w:r w:rsidRPr="009070BD">
        <w:rPr>
          <w:b w:val="0"/>
          <w:noProof/>
          <w:szCs w:val="22"/>
          <w:lang w:val="hy-AM" w:eastAsia="en-US"/>
        </w:rPr>
        <w:t>մլն</w:t>
      </w:r>
      <w:r w:rsidRPr="009070BD">
        <w:rPr>
          <w:b w:val="0"/>
          <w:noProof/>
          <w:szCs w:val="22"/>
          <w:lang w:val="af-ZA" w:eastAsia="en-US"/>
        </w:rPr>
        <w:t xml:space="preserve"> </w:t>
      </w:r>
      <w:r w:rsidRPr="009070BD">
        <w:rPr>
          <w:b w:val="0"/>
          <w:noProof/>
          <w:szCs w:val="22"/>
          <w:lang w:val="hy-AM" w:eastAsia="en-US"/>
        </w:rPr>
        <w:t xml:space="preserve">դրամով, կապված յուրաքանչյուր տարի մասնաբաժնի չափի ավելացման հետ՝  10%-ով  </w:t>
      </w:r>
      <w:r w:rsidRPr="009070BD">
        <w:rPr>
          <w:b w:val="0"/>
          <w:noProof/>
          <w:szCs w:val="22"/>
          <w:lang w:val="af-ZA" w:eastAsia="en-US"/>
        </w:rPr>
        <w:t>(</w:t>
      </w:r>
      <w:r w:rsidRPr="009070BD">
        <w:rPr>
          <w:b w:val="0"/>
          <w:noProof/>
          <w:szCs w:val="22"/>
          <w:lang w:val="hy-AM" w:eastAsia="en-US"/>
        </w:rPr>
        <w:t>ՀՀ Նախագահի 03.07.2007թ. N Ղ-1212 հանձնարարական</w:t>
      </w:r>
      <w:r w:rsidRPr="009070BD">
        <w:rPr>
          <w:b w:val="0"/>
          <w:noProof/>
          <w:szCs w:val="22"/>
          <w:lang w:val="af-ZA" w:eastAsia="en-US"/>
        </w:rPr>
        <w:t>):</w:t>
      </w:r>
    </w:p>
    <w:p w:rsidR="008F33A3" w:rsidRPr="009070BD" w:rsidRDefault="008F33A3"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noProof/>
          <w:szCs w:val="22"/>
          <w:lang w:val="af-ZA" w:eastAsia="en-US"/>
        </w:rPr>
        <w:t></w:t>
      </w:r>
      <w:r w:rsidRPr="009070BD">
        <w:rPr>
          <w:noProof/>
          <w:szCs w:val="22"/>
          <w:lang w:val="en-US" w:eastAsia="en-US"/>
        </w:rPr>
        <w:t>Տոների</w:t>
      </w:r>
      <w:r w:rsidRPr="009070BD">
        <w:rPr>
          <w:noProof/>
          <w:szCs w:val="22"/>
          <w:lang w:val="af-ZA" w:eastAsia="en-US"/>
        </w:rPr>
        <w:t xml:space="preserve"> </w:t>
      </w:r>
      <w:r w:rsidRPr="009070BD">
        <w:rPr>
          <w:noProof/>
          <w:szCs w:val="22"/>
          <w:lang w:val="en-US" w:eastAsia="en-US"/>
        </w:rPr>
        <w:t>և</w:t>
      </w:r>
      <w:r w:rsidRPr="009070BD">
        <w:rPr>
          <w:noProof/>
          <w:szCs w:val="22"/>
          <w:lang w:val="af-ZA" w:eastAsia="en-US"/>
        </w:rPr>
        <w:t xml:space="preserve"> </w:t>
      </w:r>
      <w:r w:rsidRPr="009070BD">
        <w:rPr>
          <w:noProof/>
          <w:szCs w:val="22"/>
          <w:lang w:val="en-US" w:eastAsia="en-US"/>
        </w:rPr>
        <w:t>հիշատակի</w:t>
      </w:r>
      <w:r w:rsidRPr="009070BD">
        <w:rPr>
          <w:noProof/>
          <w:szCs w:val="22"/>
          <w:lang w:val="af-ZA" w:eastAsia="en-US"/>
        </w:rPr>
        <w:t xml:space="preserve"> </w:t>
      </w:r>
      <w:r w:rsidRPr="009070BD">
        <w:rPr>
          <w:noProof/>
          <w:szCs w:val="22"/>
          <w:lang w:val="en-US" w:eastAsia="en-US"/>
        </w:rPr>
        <w:t>օրերի</w:t>
      </w:r>
      <w:r w:rsidRPr="009070BD">
        <w:rPr>
          <w:noProof/>
          <w:szCs w:val="22"/>
          <w:lang w:val="af-ZA" w:eastAsia="en-US"/>
        </w:rPr>
        <w:t xml:space="preserve"> </w:t>
      </w:r>
      <w:r w:rsidRPr="009070BD">
        <w:rPr>
          <w:noProof/>
          <w:szCs w:val="22"/>
          <w:lang w:val="en-US" w:eastAsia="en-US"/>
        </w:rPr>
        <w:t>ծրագիր</w:t>
      </w:r>
      <w:r w:rsidRPr="009070BD">
        <w:rPr>
          <w:noProof/>
          <w:szCs w:val="22"/>
          <w:lang w:val="af-ZA" w:eastAsia="en-US"/>
        </w:rPr>
        <w:t>»</w:t>
      </w:r>
      <w:r w:rsidRPr="009070BD">
        <w:rPr>
          <w:noProof/>
          <w:szCs w:val="22"/>
          <w:lang w:val="hy-AM" w:eastAsia="en-US"/>
        </w:rPr>
        <w:t>-ի</w:t>
      </w:r>
      <w:r w:rsidRPr="009070BD">
        <w:rPr>
          <w:b w:val="0"/>
          <w:noProof/>
          <w:szCs w:val="22"/>
          <w:lang w:val="hy-AM" w:eastAsia="en-US"/>
        </w:rPr>
        <w:t xml:space="preserve"> նպատակը</w:t>
      </w:r>
      <w:r w:rsidRPr="009070BD">
        <w:rPr>
          <w:b w:val="0"/>
          <w:noProof/>
          <w:szCs w:val="22"/>
          <w:lang w:val="en-US" w:eastAsia="en-US"/>
        </w:rPr>
        <w:t>՝</w:t>
      </w:r>
      <w:r w:rsidRPr="009070BD">
        <w:rPr>
          <w:b w:val="0"/>
          <w:noProof/>
          <w:szCs w:val="22"/>
          <w:lang w:val="af-ZA" w:eastAsia="en-US"/>
        </w:rPr>
        <w:t xml:space="preserve"> </w:t>
      </w:r>
      <w:r w:rsidRPr="009070BD">
        <w:rPr>
          <w:b w:val="0"/>
          <w:noProof/>
          <w:szCs w:val="22"/>
          <w:lang w:val="en-US" w:eastAsia="en-US"/>
        </w:rPr>
        <w:t>տոների</w:t>
      </w:r>
      <w:r w:rsidRPr="009070BD">
        <w:rPr>
          <w:b w:val="0"/>
          <w:noProof/>
          <w:szCs w:val="22"/>
          <w:lang w:val="af-ZA" w:eastAsia="en-US"/>
        </w:rPr>
        <w:t xml:space="preserve"> </w:t>
      </w:r>
      <w:r w:rsidRPr="009070BD">
        <w:rPr>
          <w:b w:val="0"/>
          <w:noProof/>
          <w:szCs w:val="22"/>
          <w:lang w:val="en-US" w:eastAsia="en-US"/>
        </w:rPr>
        <w:t>և</w:t>
      </w:r>
      <w:r w:rsidRPr="009070BD">
        <w:rPr>
          <w:b w:val="0"/>
          <w:noProof/>
          <w:szCs w:val="22"/>
          <w:lang w:val="af-ZA" w:eastAsia="en-US"/>
        </w:rPr>
        <w:t xml:space="preserve"> </w:t>
      </w:r>
      <w:r w:rsidRPr="009070BD">
        <w:rPr>
          <w:b w:val="0"/>
          <w:noProof/>
          <w:szCs w:val="22"/>
          <w:lang w:val="en-US" w:eastAsia="en-US"/>
        </w:rPr>
        <w:t>հիշատակի</w:t>
      </w:r>
      <w:r w:rsidRPr="009070BD">
        <w:rPr>
          <w:b w:val="0"/>
          <w:noProof/>
          <w:szCs w:val="22"/>
          <w:lang w:val="af-ZA" w:eastAsia="en-US"/>
        </w:rPr>
        <w:t xml:space="preserve"> </w:t>
      </w:r>
      <w:r w:rsidRPr="009070BD">
        <w:rPr>
          <w:b w:val="0"/>
          <w:noProof/>
          <w:szCs w:val="22"/>
          <w:lang w:val="en-US" w:eastAsia="en-US"/>
        </w:rPr>
        <w:t>օրերին</w:t>
      </w:r>
      <w:r w:rsidRPr="009070BD">
        <w:rPr>
          <w:b w:val="0"/>
          <w:noProof/>
          <w:szCs w:val="22"/>
          <w:lang w:val="af-ZA" w:eastAsia="en-US"/>
        </w:rPr>
        <w:t xml:space="preserve"> </w:t>
      </w:r>
      <w:r w:rsidRPr="009070BD">
        <w:rPr>
          <w:b w:val="0"/>
          <w:noProof/>
          <w:szCs w:val="22"/>
          <w:lang w:val="en-US" w:eastAsia="en-US"/>
        </w:rPr>
        <w:t>նվիրված</w:t>
      </w:r>
      <w:r w:rsidRPr="009070BD">
        <w:rPr>
          <w:b w:val="0"/>
          <w:noProof/>
          <w:szCs w:val="22"/>
          <w:lang w:val="af-ZA" w:eastAsia="en-US"/>
        </w:rPr>
        <w:t xml:space="preserve"> </w:t>
      </w:r>
      <w:r w:rsidRPr="009070BD">
        <w:rPr>
          <w:b w:val="0"/>
          <w:noProof/>
          <w:szCs w:val="22"/>
          <w:lang w:val="en-US" w:eastAsia="en-US"/>
        </w:rPr>
        <w:t>միջոցառումների</w:t>
      </w:r>
      <w:r w:rsidRPr="009070BD">
        <w:rPr>
          <w:b w:val="0"/>
          <w:noProof/>
          <w:szCs w:val="22"/>
          <w:lang w:val="af-ZA" w:eastAsia="en-US"/>
        </w:rPr>
        <w:t xml:space="preserve"> </w:t>
      </w:r>
      <w:r w:rsidRPr="009070BD">
        <w:rPr>
          <w:b w:val="0"/>
          <w:noProof/>
          <w:szCs w:val="22"/>
          <w:lang w:val="en-US" w:eastAsia="en-US"/>
        </w:rPr>
        <w:t>անցկացումը՝</w:t>
      </w:r>
      <w:r w:rsidRPr="009070BD">
        <w:rPr>
          <w:b w:val="0"/>
          <w:noProof/>
          <w:szCs w:val="22"/>
          <w:lang w:val="af-ZA" w:eastAsia="en-US"/>
        </w:rPr>
        <w:t xml:space="preserve"> </w:t>
      </w:r>
      <w:r w:rsidRPr="009070BD">
        <w:rPr>
          <w:b w:val="0"/>
          <w:noProof/>
          <w:szCs w:val="22"/>
          <w:lang w:val="en-US" w:eastAsia="en-US"/>
        </w:rPr>
        <w:t>ի</w:t>
      </w:r>
      <w:r w:rsidRPr="009070BD">
        <w:rPr>
          <w:b w:val="0"/>
          <w:noProof/>
          <w:szCs w:val="22"/>
          <w:lang w:val="af-ZA" w:eastAsia="en-US"/>
        </w:rPr>
        <w:t xml:space="preserve"> </w:t>
      </w:r>
      <w:r w:rsidRPr="009070BD">
        <w:rPr>
          <w:b w:val="0"/>
          <w:noProof/>
          <w:szCs w:val="22"/>
          <w:lang w:val="en-US" w:eastAsia="en-US"/>
        </w:rPr>
        <w:t>նպաստ</w:t>
      </w:r>
      <w:r w:rsidRPr="009070BD">
        <w:rPr>
          <w:b w:val="0"/>
          <w:noProof/>
          <w:szCs w:val="22"/>
          <w:lang w:val="af-ZA" w:eastAsia="en-US"/>
        </w:rPr>
        <w:t xml:space="preserve"> </w:t>
      </w:r>
      <w:r w:rsidRPr="009070BD">
        <w:rPr>
          <w:b w:val="0"/>
          <w:noProof/>
          <w:szCs w:val="22"/>
          <w:lang w:val="en-US" w:eastAsia="en-US"/>
        </w:rPr>
        <w:t>Ազգային</w:t>
      </w:r>
      <w:r w:rsidRPr="009070BD">
        <w:rPr>
          <w:b w:val="0"/>
          <w:noProof/>
          <w:szCs w:val="22"/>
          <w:lang w:val="af-ZA" w:eastAsia="en-US"/>
        </w:rPr>
        <w:t xml:space="preserve"> </w:t>
      </w:r>
      <w:r w:rsidRPr="009070BD">
        <w:rPr>
          <w:b w:val="0"/>
          <w:noProof/>
          <w:szCs w:val="22"/>
          <w:lang w:val="en-US" w:eastAsia="en-US"/>
        </w:rPr>
        <w:t>ինքնության</w:t>
      </w:r>
      <w:r w:rsidRPr="009070BD">
        <w:rPr>
          <w:b w:val="0"/>
          <w:noProof/>
          <w:szCs w:val="22"/>
          <w:lang w:val="af-ZA" w:eastAsia="en-US"/>
        </w:rPr>
        <w:t xml:space="preserve"> </w:t>
      </w:r>
      <w:r w:rsidRPr="009070BD">
        <w:rPr>
          <w:b w:val="0"/>
          <w:noProof/>
          <w:szCs w:val="22"/>
          <w:lang w:val="en-US" w:eastAsia="en-US"/>
        </w:rPr>
        <w:t>պահպանմանը</w:t>
      </w:r>
      <w:r w:rsidRPr="009070BD">
        <w:rPr>
          <w:b w:val="0"/>
          <w:noProof/>
          <w:szCs w:val="22"/>
          <w:lang w:val="af-ZA" w:eastAsia="en-US"/>
        </w:rPr>
        <w:t xml:space="preserve">:  </w:t>
      </w:r>
    </w:p>
    <w:p w:rsidR="008F33A3" w:rsidRPr="009070BD" w:rsidRDefault="008F33A3" w:rsidP="007730AA">
      <w:pPr>
        <w:numPr>
          <w:ilvl w:val="12"/>
          <w:numId w:val="0"/>
        </w:numPr>
        <w:tabs>
          <w:tab w:val="left" w:pos="851"/>
        </w:tabs>
        <w:spacing w:before="0" w:line="276" w:lineRule="auto"/>
        <w:ind w:firstLine="720"/>
        <w:contextualSpacing w:val="0"/>
        <w:rPr>
          <w:b w:val="0"/>
          <w:noProof/>
          <w:szCs w:val="22"/>
          <w:lang w:val="hy-AM" w:eastAsia="en-US"/>
        </w:rPr>
      </w:pPr>
      <w:r w:rsidRPr="009070BD">
        <w:rPr>
          <w:b w:val="0"/>
          <w:noProof/>
          <w:szCs w:val="22"/>
          <w:lang w:val="en-US" w:eastAsia="en-US"/>
        </w:rPr>
        <w:t>Տոների</w:t>
      </w:r>
      <w:r w:rsidRPr="009070BD">
        <w:rPr>
          <w:b w:val="0"/>
          <w:noProof/>
          <w:szCs w:val="22"/>
          <w:lang w:val="af-ZA" w:eastAsia="en-US"/>
        </w:rPr>
        <w:t xml:space="preserve"> </w:t>
      </w:r>
      <w:r w:rsidRPr="009070BD">
        <w:rPr>
          <w:b w:val="0"/>
          <w:noProof/>
          <w:szCs w:val="22"/>
          <w:lang w:val="en-US" w:eastAsia="en-US"/>
        </w:rPr>
        <w:t>և</w:t>
      </w:r>
      <w:r w:rsidRPr="009070BD">
        <w:rPr>
          <w:b w:val="0"/>
          <w:noProof/>
          <w:szCs w:val="22"/>
          <w:lang w:val="af-ZA" w:eastAsia="en-US"/>
        </w:rPr>
        <w:t xml:space="preserve"> </w:t>
      </w:r>
      <w:r w:rsidRPr="009070BD">
        <w:rPr>
          <w:b w:val="0"/>
          <w:noProof/>
          <w:szCs w:val="22"/>
          <w:lang w:val="en-US" w:eastAsia="en-US"/>
        </w:rPr>
        <w:t>հիշատակի</w:t>
      </w:r>
      <w:r w:rsidRPr="009070BD">
        <w:rPr>
          <w:b w:val="0"/>
          <w:noProof/>
          <w:szCs w:val="22"/>
          <w:lang w:val="af-ZA" w:eastAsia="en-US"/>
        </w:rPr>
        <w:t xml:space="preserve"> </w:t>
      </w:r>
      <w:r w:rsidRPr="009070BD">
        <w:rPr>
          <w:b w:val="0"/>
          <w:noProof/>
          <w:szCs w:val="22"/>
          <w:lang w:val="en-US" w:eastAsia="en-US"/>
        </w:rPr>
        <w:t>օրերի</w:t>
      </w:r>
      <w:r w:rsidRPr="009070BD">
        <w:rPr>
          <w:b w:val="0"/>
          <w:noProof/>
          <w:szCs w:val="22"/>
          <w:lang w:val="af-ZA" w:eastAsia="en-US"/>
        </w:rPr>
        <w:t xml:space="preserve"> </w:t>
      </w:r>
      <w:r w:rsidRPr="009070BD">
        <w:rPr>
          <w:b w:val="0"/>
          <w:noProof/>
          <w:szCs w:val="22"/>
          <w:lang w:val="en-US" w:eastAsia="en-US"/>
        </w:rPr>
        <w:t>ծրագրի</w:t>
      </w:r>
      <w:r w:rsidRPr="009070BD">
        <w:rPr>
          <w:b w:val="0"/>
          <w:noProof/>
          <w:szCs w:val="22"/>
          <w:lang w:val="af-ZA" w:eastAsia="en-US"/>
        </w:rPr>
        <w:t xml:space="preserve"> </w:t>
      </w:r>
      <w:r w:rsidRPr="009070BD">
        <w:rPr>
          <w:b w:val="0"/>
          <w:noProof/>
          <w:szCs w:val="22"/>
          <w:lang w:val="en-US" w:eastAsia="en-US"/>
        </w:rPr>
        <w:t>շրջանակներում</w:t>
      </w:r>
      <w:r w:rsidRPr="009070BD">
        <w:rPr>
          <w:b w:val="0"/>
          <w:noProof/>
          <w:szCs w:val="22"/>
          <w:lang w:val="af-ZA" w:eastAsia="en-US"/>
        </w:rPr>
        <w:t xml:space="preserve"> </w:t>
      </w:r>
      <w:r w:rsidRPr="009070BD">
        <w:rPr>
          <w:b w:val="0"/>
          <w:noProof/>
          <w:szCs w:val="22"/>
          <w:lang w:val="en-US" w:eastAsia="en-US"/>
        </w:rPr>
        <w:t>հատկացումները</w:t>
      </w:r>
      <w:r w:rsidRPr="009070BD">
        <w:rPr>
          <w:b w:val="0"/>
          <w:noProof/>
          <w:szCs w:val="22"/>
          <w:lang w:val="af-ZA" w:eastAsia="en-US"/>
        </w:rPr>
        <w:t xml:space="preserve"> </w:t>
      </w:r>
      <w:r w:rsidRPr="009070BD">
        <w:rPr>
          <w:b w:val="0"/>
          <w:noProof/>
          <w:szCs w:val="22"/>
          <w:lang w:val="en-US" w:eastAsia="en-US"/>
        </w:rPr>
        <w:t>կուղղվեն</w:t>
      </w:r>
      <w:r w:rsidRPr="009070BD">
        <w:rPr>
          <w:b w:val="0"/>
          <w:noProof/>
          <w:szCs w:val="22"/>
          <w:lang w:val="af-ZA" w:eastAsia="en-US"/>
        </w:rPr>
        <w:t xml:space="preserve"> 2 </w:t>
      </w:r>
      <w:r w:rsidRPr="009070BD">
        <w:rPr>
          <w:b w:val="0"/>
          <w:noProof/>
          <w:szCs w:val="22"/>
          <w:lang w:val="en-US" w:eastAsia="en-US"/>
        </w:rPr>
        <w:t>միջոցառումների</w:t>
      </w:r>
      <w:r w:rsidRPr="009070BD">
        <w:rPr>
          <w:b w:val="0"/>
          <w:noProof/>
          <w:szCs w:val="22"/>
          <w:lang w:val="af-ZA" w:eastAsia="en-US"/>
        </w:rPr>
        <w:t xml:space="preserve"> </w:t>
      </w:r>
      <w:r w:rsidRPr="009070BD">
        <w:rPr>
          <w:b w:val="0"/>
          <w:noProof/>
          <w:szCs w:val="22"/>
          <w:lang w:val="en-US" w:eastAsia="en-US"/>
        </w:rPr>
        <w:t>իրականացմանը՝</w:t>
      </w:r>
      <w:r w:rsidRPr="009070BD">
        <w:rPr>
          <w:b w:val="0"/>
          <w:noProof/>
          <w:szCs w:val="22"/>
          <w:lang w:val="af-ZA" w:eastAsia="en-US"/>
        </w:rPr>
        <w:t xml:space="preserve"> </w:t>
      </w:r>
      <w:r w:rsidRPr="009070BD">
        <w:rPr>
          <w:b w:val="0"/>
          <w:noProof/>
          <w:szCs w:val="22"/>
          <w:lang w:val="en-US" w:eastAsia="en-US"/>
        </w:rPr>
        <w:t>Հայաստանի</w:t>
      </w:r>
      <w:r w:rsidRPr="009070BD">
        <w:rPr>
          <w:b w:val="0"/>
          <w:noProof/>
          <w:szCs w:val="22"/>
          <w:lang w:val="af-ZA" w:eastAsia="en-US"/>
        </w:rPr>
        <w:t xml:space="preserve"> </w:t>
      </w:r>
      <w:r w:rsidRPr="009070BD">
        <w:rPr>
          <w:b w:val="0"/>
          <w:noProof/>
          <w:szCs w:val="22"/>
          <w:lang w:val="en-US" w:eastAsia="en-US"/>
        </w:rPr>
        <w:t>Հանրապետության</w:t>
      </w:r>
      <w:r w:rsidRPr="009070BD">
        <w:rPr>
          <w:b w:val="0"/>
          <w:noProof/>
          <w:szCs w:val="22"/>
          <w:lang w:val="af-ZA" w:eastAsia="en-US"/>
        </w:rPr>
        <w:t xml:space="preserve"> </w:t>
      </w:r>
      <w:r w:rsidRPr="009070BD">
        <w:rPr>
          <w:b w:val="0"/>
          <w:noProof/>
          <w:szCs w:val="22"/>
          <w:lang w:val="en-US" w:eastAsia="en-US"/>
        </w:rPr>
        <w:t>անկախության</w:t>
      </w:r>
      <w:r w:rsidRPr="009070BD">
        <w:rPr>
          <w:b w:val="0"/>
          <w:noProof/>
          <w:szCs w:val="22"/>
          <w:lang w:val="af-ZA" w:eastAsia="en-US"/>
        </w:rPr>
        <w:t xml:space="preserve"> </w:t>
      </w:r>
      <w:r w:rsidRPr="009070BD">
        <w:rPr>
          <w:b w:val="0"/>
          <w:noProof/>
          <w:szCs w:val="22"/>
          <w:lang w:val="en-US" w:eastAsia="en-US"/>
        </w:rPr>
        <w:t>հռչակման</w:t>
      </w:r>
      <w:r w:rsidRPr="009070BD">
        <w:rPr>
          <w:b w:val="0"/>
          <w:noProof/>
          <w:szCs w:val="22"/>
          <w:lang w:val="af-ZA" w:eastAsia="en-US"/>
        </w:rPr>
        <w:t xml:space="preserve"> </w:t>
      </w:r>
      <w:r w:rsidRPr="009070BD">
        <w:rPr>
          <w:b w:val="0"/>
          <w:noProof/>
          <w:szCs w:val="22"/>
          <w:lang w:val="en-US" w:eastAsia="en-US"/>
        </w:rPr>
        <w:t>տարեդարձին</w:t>
      </w:r>
      <w:r w:rsidRPr="009070BD">
        <w:rPr>
          <w:b w:val="0"/>
          <w:noProof/>
          <w:szCs w:val="22"/>
          <w:lang w:val="af-ZA" w:eastAsia="en-US"/>
        </w:rPr>
        <w:t xml:space="preserve"> </w:t>
      </w:r>
      <w:r w:rsidRPr="009070BD">
        <w:rPr>
          <w:b w:val="0"/>
          <w:noProof/>
          <w:szCs w:val="22"/>
          <w:lang w:val="en-US" w:eastAsia="en-US"/>
        </w:rPr>
        <w:t>նվիրված</w:t>
      </w:r>
      <w:r w:rsidRPr="009070BD">
        <w:rPr>
          <w:b w:val="0"/>
          <w:noProof/>
          <w:szCs w:val="22"/>
          <w:lang w:val="af-ZA" w:eastAsia="en-US"/>
        </w:rPr>
        <w:t xml:space="preserve"> </w:t>
      </w:r>
      <w:r w:rsidRPr="009070BD">
        <w:rPr>
          <w:b w:val="0"/>
          <w:noProof/>
          <w:szCs w:val="22"/>
          <w:lang w:val="en-US" w:eastAsia="en-US"/>
        </w:rPr>
        <w:t>միջոցառումներ</w:t>
      </w:r>
      <w:r w:rsidRPr="009070BD">
        <w:rPr>
          <w:b w:val="0"/>
          <w:noProof/>
          <w:szCs w:val="22"/>
          <w:lang w:val="af-ZA" w:eastAsia="en-US"/>
        </w:rPr>
        <w:t xml:space="preserve">» </w:t>
      </w:r>
      <w:r w:rsidRPr="009070BD">
        <w:rPr>
          <w:b w:val="0"/>
          <w:noProof/>
          <w:szCs w:val="22"/>
          <w:lang w:val="en-US" w:eastAsia="en-US"/>
        </w:rPr>
        <w:t>և</w:t>
      </w:r>
      <w:r w:rsidRPr="009070BD">
        <w:rPr>
          <w:b w:val="0"/>
          <w:noProof/>
          <w:szCs w:val="22"/>
          <w:lang w:val="af-ZA" w:eastAsia="en-US"/>
        </w:rPr>
        <w:t xml:space="preserve"> </w:t>
      </w:r>
      <w:r w:rsidRPr="009070BD">
        <w:rPr>
          <w:b w:val="0"/>
          <w:noProof/>
          <w:szCs w:val="22"/>
          <w:lang w:val="en-US" w:eastAsia="en-US"/>
        </w:rPr>
        <w:t>Քաղաքացու</w:t>
      </w:r>
      <w:r w:rsidRPr="009070BD">
        <w:rPr>
          <w:b w:val="0"/>
          <w:noProof/>
          <w:szCs w:val="22"/>
          <w:lang w:val="af-ZA" w:eastAsia="en-US"/>
        </w:rPr>
        <w:t xml:space="preserve"> </w:t>
      </w:r>
      <w:r w:rsidRPr="009070BD">
        <w:rPr>
          <w:b w:val="0"/>
          <w:noProof/>
          <w:szCs w:val="22"/>
          <w:lang w:val="en-US" w:eastAsia="en-US"/>
        </w:rPr>
        <w:t>օրվան</w:t>
      </w:r>
      <w:r w:rsidRPr="009070BD">
        <w:rPr>
          <w:b w:val="0"/>
          <w:noProof/>
          <w:szCs w:val="22"/>
          <w:lang w:val="af-ZA" w:eastAsia="en-US"/>
        </w:rPr>
        <w:t xml:space="preserve"> </w:t>
      </w:r>
      <w:r w:rsidRPr="009070BD">
        <w:rPr>
          <w:b w:val="0"/>
          <w:noProof/>
          <w:szCs w:val="22"/>
          <w:lang w:val="en-US" w:eastAsia="en-US"/>
        </w:rPr>
        <w:t>նվիրված</w:t>
      </w:r>
      <w:r w:rsidRPr="009070BD">
        <w:rPr>
          <w:b w:val="0"/>
          <w:noProof/>
          <w:szCs w:val="22"/>
          <w:lang w:val="af-ZA" w:eastAsia="en-US"/>
        </w:rPr>
        <w:t xml:space="preserve"> </w:t>
      </w:r>
      <w:r w:rsidRPr="009070BD">
        <w:rPr>
          <w:b w:val="0"/>
          <w:noProof/>
          <w:szCs w:val="22"/>
          <w:lang w:val="en-US" w:eastAsia="en-US"/>
        </w:rPr>
        <w:t>միջոցառումներ</w:t>
      </w:r>
      <w:r w:rsidRPr="009070BD">
        <w:rPr>
          <w:b w:val="0"/>
          <w:noProof/>
          <w:szCs w:val="22"/>
          <w:lang w:val="af-ZA" w:eastAsia="en-US"/>
        </w:rPr>
        <w:t xml:space="preserve">» </w:t>
      </w:r>
      <w:r w:rsidRPr="009070BD">
        <w:rPr>
          <w:b w:val="0"/>
          <w:noProof/>
          <w:szCs w:val="22"/>
          <w:lang w:val="en-US" w:eastAsia="en-US"/>
        </w:rPr>
        <w:t>համապատասխանաբար՝</w:t>
      </w:r>
      <w:r w:rsidRPr="009070BD">
        <w:rPr>
          <w:b w:val="0"/>
          <w:noProof/>
          <w:szCs w:val="22"/>
          <w:lang w:val="af-ZA" w:eastAsia="en-US"/>
        </w:rPr>
        <w:t xml:space="preserve"> 150.0 </w:t>
      </w:r>
      <w:r w:rsidRPr="009070BD">
        <w:rPr>
          <w:b w:val="0"/>
          <w:noProof/>
          <w:szCs w:val="22"/>
          <w:lang w:val="en-US" w:eastAsia="en-US"/>
        </w:rPr>
        <w:t>և</w:t>
      </w:r>
      <w:r w:rsidRPr="009070BD">
        <w:rPr>
          <w:b w:val="0"/>
          <w:noProof/>
          <w:szCs w:val="22"/>
          <w:lang w:val="af-ZA" w:eastAsia="en-US"/>
        </w:rPr>
        <w:t xml:space="preserve"> 40.0 </w:t>
      </w:r>
      <w:r w:rsidRPr="009070BD">
        <w:rPr>
          <w:b w:val="0"/>
          <w:noProof/>
          <w:szCs w:val="22"/>
          <w:lang w:val="en-US" w:eastAsia="en-US"/>
        </w:rPr>
        <w:t>մլն</w:t>
      </w:r>
      <w:r w:rsidRPr="009070BD">
        <w:rPr>
          <w:b w:val="0"/>
          <w:noProof/>
          <w:szCs w:val="22"/>
          <w:lang w:val="af-ZA" w:eastAsia="en-US"/>
        </w:rPr>
        <w:t xml:space="preserve"> </w:t>
      </w:r>
      <w:r w:rsidRPr="009070BD">
        <w:rPr>
          <w:b w:val="0"/>
          <w:noProof/>
          <w:szCs w:val="22"/>
          <w:lang w:val="en-US" w:eastAsia="en-US"/>
        </w:rPr>
        <w:t>դրամի</w:t>
      </w:r>
      <w:r w:rsidRPr="009070BD">
        <w:rPr>
          <w:b w:val="0"/>
          <w:noProof/>
          <w:szCs w:val="22"/>
          <w:lang w:val="af-ZA" w:eastAsia="en-US"/>
        </w:rPr>
        <w:t xml:space="preserve"> </w:t>
      </w:r>
      <w:r w:rsidRPr="009070BD">
        <w:rPr>
          <w:b w:val="0"/>
          <w:noProof/>
          <w:szCs w:val="22"/>
          <w:lang w:val="en-US" w:eastAsia="en-US"/>
        </w:rPr>
        <w:t>չափով</w:t>
      </w:r>
      <w:r w:rsidRPr="009070BD">
        <w:rPr>
          <w:b w:val="0"/>
          <w:noProof/>
          <w:szCs w:val="22"/>
          <w:lang w:val="af-ZA" w:eastAsia="en-US"/>
        </w:rPr>
        <w:t>:</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hy-AM" w:eastAsia="en-US"/>
        </w:rPr>
      </w:pPr>
      <w:r w:rsidRPr="009070BD">
        <w:rPr>
          <w:noProof/>
          <w:szCs w:val="22"/>
          <w:lang w:val="hy-AM" w:eastAsia="en-US"/>
        </w:rPr>
        <w:t>Սփյուռքի ծրագրերի գծով</w:t>
      </w:r>
      <w:r w:rsidRPr="009070BD">
        <w:rPr>
          <w:b w:val="0"/>
          <w:noProof/>
          <w:szCs w:val="22"/>
          <w:lang w:val="hy-AM" w:eastAsia="en-US"/>
        </w:rPr>
        <w:t xml:space="preserve"> ՀՀ 2021 թվականի պետական բյուջեի նախագծով նախատեսվում է հատկացնել 890</w:t>
      </w:r>
      <w:r w:rsidRPr="009070BD">
        <w:rPr>
          <w:noProof/>
          <w:szCs w:val="22"/>
          <w:lang w:val="hy-AM" w:eastAsia="en-US"/>
        </w:rPr>
        <w:t>.</w:t>
      </w:r>
      <w:r w:rsidRPr="009070BD">
        <w:rPr>
          <w:b w:val="0"/>
          <w:noProof/>
          <w:szCs w:val="22"/>
          <w:lang w:val="hy-AM" w:eastAsia="en-US"/>
        </w:rPr>
        <w:t xml:space="preserve">9 մլն դրամ՝ ՀՀ 2020 թվականի պետական բյուջեով հաստատված 775.2 մլն դրամի դիմաց: </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hy-AM" w:eastAsia="en-US"/>
        </w:rPr>
      </w:pPr>
      <w:r w:rsidRPr="009070BD">
        <w:rPr>
          <w:b w:val="0"/>
          <w:noProof/>
          <w:szCs w:val="22"/>
          <w:lang w:val="hy-AM" w:eastAsia="en-US"/>
        </w:rPr>
        <w:t xml:space="preserve">Ծախսերն աճել են 115.7 մլն դրամով, կամ 14.9 տոկոսով, որը հիմնականում պայմանավորված է </w:t>
      </w:r>
      <w:r w:rsidRPr="009070BD">
        <w:rPr>
          <w:b w:val="0"/>
          <w:noProof/>
          <w:szCs w:val="22"/>
          <w:lang w:val="af-ZA" w:eastAsia="en-US"/>
        </w:rPr>
        <w:t>«իԳործ» սփյուռքահայ մասնագետների ներգրավում ՀՀ պետական կառավարման համակարգում»</w:t>
      </w:r>
      <w:r w:rsidRPr="009070BD">
        <w:rPr>
          <w:b w:val="0"/>
          <w:noProof/>
          <w:szCs w:val="22"/>
          <w:lang w:val="hy-AM" w:eastAsia="en-US"/>
        </w:rPr>
        <w:t xml:space="preserve"> միջոցառման ծախսերի աճով և </w:t>
      </w:r>
      <w:r w:rsidRPr="009070BD">
        <w:rPr>
          <w:b w:val="0"/>
          <w:noProof/>
          <w:szCs w:val="22"/>
          <w:lang w:val="af-ZA" w:eastAsia="en-US"/>
        </w:rPr>
        <w:t>«</w:t>
      </w:r>
      <w:r w:rsidRPr="009070BD">
        <w:rPr>
          <w:b w:val="0"/>
          <w:noProof/>
          <w:szCs w:val="22"/>
          <w:lang w:val="hy-AM" w:eastAsia="en-US"/>
        </w:rPr>
        <w:t>Հայրենադարձության ինտեգրման կենտրոն</w:t>
      </w:r>
      <w:r w:rsidRPr="009070BD">
        <w:rPr>
          <w:b w:val="0"/>
          <w:noProof/>
          <w:szCs w:val="22"/>
          <w:lang w:val="af-ZA" w:eastAsia="en-US"/>
        </w:rPr>
        <w:t>»</w:t>
      </w:r>
      <w:r w:rsidRPr="009070BD">
        <w:rPr>
          <w:b w:val="0"/>
          <w:noProof/>
          <w:szCs w:val="22"/>
          <w:lang w:val="hy-AM" w:eastAsia="en-US"/>
        </w:rPr>
        <w:t xml:space="preserve"> նոր միջոցառման նախատեսմամբ: </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hy-AM" w:eastAsia="en-US"/>
        </w:rPr>
      </w:pPr>
      <w:r w:rsidRPr="009070BD">
        <w:rPr>
          <w:b w:val="0"/>
          <w:noProof/>
          <w:szCs w:val="22"/>
          <w:lang w:val="hy-AM" w:eastAsia="en-US"/>
        </w:rPr>
        <w:t>Միաժամանակ, միջոցառումների միջև կատարվել է հատկացումների վերաբաշխում:</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hy-AM" w:eastAsia="en-US"/>
        </w:rPr>
      </w:pPr>
      <w:r w:rsidRPr="009070BD">
        <w:rPr>
          <w:b w:val="0"/>
          <w:noProof/>
          <w:szCs w:val="22"/>
          <w:lang w:val="hy-AM" w:eastAsia="en-US"/>
        </w:rPr>
        <w:t>Նախագծով սփյուռքի ծրագրերի համար նախատեսված հատկացումներն ուղղվելու են 2 ծրագրերի իրականացմանը՝ «Հայաստան-Սփյուռք գործակցության ծրագիր» և «ՀՀ զարգացման գործընթացներում Սփյուռքի ներուժի ներգրավում», համապատասխանաբար՝ 815.9 և 75.0 մլն դրամ:</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noProof/>
          <w:szCs w:val="22"/>
          <w:lang w:val="hy-AM" w:eastAsia="en-US"/>
        </w:rPr>
        <w:t>Հայաստան-Սփյուռք գործակցության ծրագրի</w:t>
      </w:r>
      <w:r w:rsidRPr="009070BD">
        <w:rPr>
          <w:b w:val="0"/>
          <w:noProof/>
          <w:szCs w:val="22"/>
          <w:lang w:val="hy-AM" w:eastAsia="en-US"/>
        </w:rPr>
        <w:t xml:space="preserve"> նպատակը՝</w:t>
      </w:r>
      <w:r w:rsidRPr="009070BD">
        <w:rPr>
          <w:b w:val="0"/>
          <w:noProof/>
          <w:szCs w:val="22"/>
          <w:lang w:val="af-ZA" w:eastAsia="en-US"/>
        </w:rPr>
        <w:t xml:space="preserve"> </w:t>
      </w:r>
      <w:r w:rsidRPr="009070BD">
        <w:rPr>
          <w:b w:val="0"/>
          <w:noProof/>
          <w:szCs w:val="22"/>
          <w:lang w:val="hy-AM" w:eastAsia="en-US"/>
        </w:rPr>
        <w:t>նպաստել Հայաստանի և հայկական սփյուռքի միջև կապերի ամրապնդմանը և զարգացմանը</w:t>
      </w:r>
      <w:r w:rsidRPr="009070BD">
        <w:rPr>
          <w:b w:val="0"/>
          <w:noProof/>
          <w:szCs w:val="22"/>
          <w:lang w:val="af-ZA" w:eastAsia="en-US"/>
        </w:rPr>
        <w:t>:</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en-US" w:eastAsia="en-US"/>
        </w:rPr>
        <w:t>Ծրագրի</w:t>
      </w:r>
      <w:r w:rsidRPr="009070BD">
        <w:rPr>
          <w:b w:val="0"/>
          <w:noProof/>
          <w:szCs w:val="22"/>
          <w:lang w:val="af-ZA" w:eastAsia="en-US"/>
        </w:rPr>
        <w:t xml:space="preserve"> </w:t>
      </w:r>
      <w:r w:rsidRPr="009070BD">
        <w:rPr>
          <w:b w:val="0"/>
          <w:noProof/>
          <w:szCs w:val="22"/>
          <w:lang w:val="en-US" w:eastAsia="en-US"/>
        </w:rPr>
        <w:t>շրջանակներում</w:t>
      </w:r>
      <w:r w:rsidRPr="009070BD">
        <w:rPr>
          <w:b w:val="0"/>
          <w:noProof/>
          <w:szCs w:val="22"/>
          <w:lang w:val="af-ZA" w:eastAsia="en-US"/>
        </w:rPr>
        <w:t xml:space="preserve"> </w:t>
      </w:r>
      <w:r w:rsidRPr="009070BD">
        <w:rPr>
          <w:b w:val="0"/>
          <w:noProof/>
          <w:szCs w:val="22"/>
          <w:lang w:val="en-US" w:eastAsia="en-US"/>
        </w:rPr>
        <w:t>հատկացումներն</w:t>
      </w:r>
      <w:r w:rsidRPr="009070BD">
        <w:rPr>
          <w:b w:val="0"/>
          <w:noProof/>
          <w:szCs w:val="22"/>
          <w:lang w:val="af-ZA" w:eastAsia="en-US"/>
        </w:rPr>
        <w:t xml:space="preserve"> </w:t>
      </w:r>
      <w:r w:rsidRPr="009070BD">
        <w:rPr>
          <w:b w:val="0"/>
          <w:noProof/>
          <w:szCs w:val="22"/>
          <w:lang w:val="en-US" w:eastAsia="en-US"/>
        </w:rPr>
        <w:t>ուղղվելու</w:t>
      </w:r>
      <w:r w:rsidRPr="009070BD">
        <w:rPr>
          <w:b w:val="0"/>
          <w:noProof/>
          <w:szCs w:val="22"/>
          <w:lang w:val="af-ZA" w:eastAsia="en-US"/>
        </w:rPr>
        <w:t xml:space="preserve"> </w:t>
      </w:r>
      <w:r w:rsidRPr="009070BD">
        <w:rPr>
          <w:b w:val="0"/>
          <w:noProof/>
          <w:szCs w:val="22"/>
          <w:lang w:val="en-US" w:eastAsia="en-US"/>
        </w:rPr>
        <w:t>են</w:t>
      </w:r>
      <w:r w:rsidRPr="009070BD">
        <w:rPr>
          <w:b w:val="0"/>
          <w:noProof/>
          <w:szCs w:val="22"/>
          <w:lang w:val="af-ZA" w:eastAsia="en-US"/>
        </w:rPr>
        <w:t xml:space="preserve"> 7 </w:t>
      </w:r>
      <w:r w:rsidRPr="009070BD">
        <w:rPr>
          <w:b w:val="0"/>
          <w:noProof/>
          <w:szCs w:val="22"/>
          <w:lang w:val="en-US" w:eastAsia="en-US"/>
        </w:rPr>
        <w:t>միջոցառումների</w:t>
      </w:r>
      <w:r w:rsidRPr="009070BD">
        <w:rPr>
          <w:b w:val="0"/>
          <w:noProof/>
          <w:szCs w:val="22"/>
          <w:lang w:val="af-ZA" w:eastAsia="en-US"/>
        </w:rPr>
        <w:t xml:space="preserve"> </w:t>
      </w:r>
      <w:r w:rsidRPr="009070BD">
        <w:rPr>
          <w:b w:val="0"/>
          <w:noProof/>
          <w:szCs w:val="22"/>
          <w:lang w:val="en-US" w:eastAsia="en-US"/>
        </w:rPr>
        <w:t>իրականացմանը</w:t>
      </w:r>
      <w:r w:rsidRPr="009070BD">
        <w:rPr>
          <w:b w:val="0"/>
          <w:noProof/>
          <w:szCs w:val="22"/>
          <w:lang w:val="af-ZA" w:eastAsia="en-US"/>
        </w:rPr>
        <w:t>` «</w:t>
      </w:r>
      <w:r w:rsidRPr="009070BD">
        <w:rPr>
          <w:b w:val="0"/>
          <w:noProof/>
          <w:szCs w:val="22"/>
          <w:lang w:val="en-US" w:eastAsia="en-US"/>
        </w:rPr>
        <w:t>Քայլ</w:t>
      </w:r>
      <w:r w:rsidRPr="009070BD">
        <w:rPr>
          <w:b w:val="0"/>
          <w:noProof/>
          <w:szCs w:val="22"/>
          <w:lang w:val="af-ZA" w:eastAsia="en-US"/>
        </w:rPr>
        <w:t xml:space="preserve"> </w:t>
      </w:r>
      <w:r w:rsidRPr="009070BD">
        <w:rPr>
          <w:b w:val="0"/>
          <w:noProof/>
          <w:szCs w:val="22"/>
          <w:lang w:val="en-US" w:eastAsia="en-US"/>
        </w:rPr>
        <w:t>դեպի</w:t>
      </w:r>
      <w:r w:rsidRPr="009070BD">
        <w:rPr>
          <w:b w:val="0"/>
          <w:noProof/>
          <w:szCs w:val="22"/>
          <w:lang w:val="af-ZA" w:eastAsia="en-US"/>
        </w:rPr>
        <w:t xml:space="preserve"> </w:t>
      </w:r>
      <w:r w:rsidRPr="009070BD">
        <w:rPr>
          <w:b w:val="0"/>
          <w:noProof/>
          <w:szCs w:val="22"/>
          <w:lang w:val="en-US" w:eastAsia="en-US"/>
        </w:rPr>
        <w:t>տուն</w:t>
      </w:r>
      <w:r w:rsidRPr="009070BD">
        <w:rPr>
          <w:b w:val="0"/>
          <w:noProof/>
          <w:szCs w:val="22"/>
          <w:lang w:val="af-ZA" w:eastAsia="en-US"/>
        </w:rPr>
        <w:t>», «Սփյուռքի երիտասարդ առաջնորդների վերապատրաստում»</w:t>
      </w:r>
      <w:r w:rsidRPr="009070BD">
        <w:rPr>
          <w:b w:val="0"/>
          <w:noProof/>
          <w:szCs w:val="22"/>
          <w:lang w:val="hy-AM" w:eastAsia="en-US"/>
        </w:rPr>
        <w:t>,</w:t>
      </w:r>
      <w:r w:rsidR="00E626E8" w:rsidRPr="009070BD">
        <w:rPr>
          <w:b w:val="0"/>
          <w:noProof/>
          <w:szCs w:val="22"/>
          <w:lang w:val="hy-AM" w:eastAsia="en-US"/>
        </w:rPr>
        <w:t xml:space="preserve"> </w:t>
      </w:r>
      <w:r w:rsidRPr="009070BD">
        <w:rPr>
          <w:b w:val="0"/>
          <w:noProof/>
          <w:szCs w:val="22"/>
          <w:lang w:val="af-ZA" w:eastAsia="en-US"/>
        </w:rPr>
        <w:t>«</w:t>
      </w:r>
      <w:r w:rsidRPr="009070BD">
        <w:rPr>
          <w:b w:val="0"/>
          <w:noProof/>
          <w:szCs w:val="22"/>
          <w:lang w:val="en-US" w:eastAsia="en-US"/>
        </w:rPr>
        <w:t>Հայաստան</w:t>
      </w:r>
      <w:r w:rsidRPr="009070BD">
        <w:rPr>
          <w:b w:val="0"/>
          <w:noProof/>
          <w:szCs w:val="22"/>
          <w:lang w:val="af-ZA" w:eastAsia="en-US"/>
        </w:rPr>
        <w:t>-</w:t>
      </w:r>
      <w:r w:rsidRPr="009070BD">
        <w:rPr>
          <w:b w:val="0"/>
          <w:noProof/>
          <w:szCs w:val="22"/>
          <w:lang w:val="en-US" w:eastAsia="en-US"/>
        </w:rPr>
        <w:t>Սփյուռք</w:t>
      </w:r>
      <w:r w:rsidRPr="009070BD">
        <w:rPr>
          <w:b w:val="0"/>
          <w:noProof/>
          <w:szCs w:val="22"/>
          <w:lang w:val="af-ZA" w:eastAsia="en-US"/>
        </w:rPr>
        <w:t xml:space="preserve"> </w:t>
      </w:r>
      <w:r w:rsidRPr="009070BD">
        <w:rPr>
          <w:b w:val="0"/>
          <w:noProof/>
          <w:szCs w:val="22"/>
          <w:lang w:val="en-US" w:eastAsia="en-US"/>
        </w:rPr>
        <w:t>գործակցության</w:t>
      </w:r>
      <w:r w:rsidRPr="009070BD">
        <w:rPr>
          <w:b w:val="0"/>
          <w:noProof/>
          <w:szCs w:val="22"/>
          <w:lang w:val="af-ZA" w:eastAsia="en-US"/>
        </w:rPr>
        <w:t xml:space="preserve"> </w:t>
      </w:r>
      <w:r w:rsidRPr="009070BD">
        <w:rPr>
          <w:b w:val="0"/>
          <w:noProof/>
          <w:szCs w:val="22"/>
          <w:lang w:val="en-US" w:eastAsia="en-US"/>
        </w:rPr>
        <w:t>վերաբերյալ</w:t>
      </w:r>
      <w:r w:rsidRPr="009070BD">
        <w:rPr>
          <w:b w:val="0"/>
          <w:noProof/>
          <w:szCs w:val="22"/>
          <w:lang w:val="af-ZA" w:eastAsia="en-US"/>
        </w:rPr>
        <w:t xml:space="preserve"> </w:t>
      </w:r>
      <w:r w:rsidRPr="009070BD">
        <w:rPr>
          <w:b w:val="0"/>
          <w:noProof/>
          <w:szCs w:val="22"/>
          <w:lang w:val="en-US" w:eastAsia="en-US"/>
        </w:rPr>
        <w:t>իրազեկման</w:t>
      </w:r>
      <w:r w:rsidRPr="009070BD">
        <w:rPr>
          <w:b w:val="0"/>
          <w:noProof/>
          <w:szCs w:val="22"/>
          <w:lang w:val="af-ZA" w:eastAsia="en-US"/>
        </w:rPr>
        <w:t xml:space="preserve"> </w:t>
      </w:r>
      <w:r w:rsidRPr="009070BD">
        <w:rPr>
          <w:b w:val="0"/>
          <w:noProof/>
          <w:szCs w:val="22"/>
          <w:lang w:val="en-US" w:eastAsia="en-US"/>
        </w:rPr>
        <w:t>ապահովում</w:t>
      </w:r>
      <w:r w:rsidRPr="009070BD">
        <w:rPr>
          <w:b w:val="0"/>
          <w:noProof/>
          <w:szCs w:val="22"/>
          <w:lang w:val="af-ZA" w:eastAsia="en-US"/>
        </w:rPr>
        <w:t>», «</w:t>
      </w:r>
      <w:r w:rsidRPr="009070BD">
        <w:rPr>
          <w:b w:val="0"/>
          <w:noProof/>
          <w:szCs w:val="22"/>
          <w:lang w:val="en-US" w:eastAsia="en-US"/>
        </w:rPr>
        <w:t>Աշխատանք</w:t>
      </w:r>
      <w:r w:rsidRPr="009070BD">
        <w:rPr>
          <w:b w:val="0"/>
          <w:noProof/>
          <w:szCs w:val="22"/>
          <w:lang w:val="af-ZA" w:eastAsia="en-US"/>
        </w:rPr>
        <w:t xml:space="preserve"> </w:t>
      </w:r>
      <w:r w:rsidRPr="009070BD">
        <w:rPr>
          <w:b w:val="0"/>
          <w:noProof/>
          <w:szCs w:val="22"/>
          <w:lang w:val="en-US" w:eastAsia="en-US"/>
        </w:rPr>
        <w:t>սփյուռքի</w:t>
      </w:r>
      <w:r w:rsidRPr="009070BD">
        <w:rPr>
          <w:b w:val="0"/>
          <w:noProof/>
          <w:szCs w:val="22"/>
          <w:lang w:val="af-ZA" w:eastAsia="en-US"/>
        </w:rPr>
        <w:t xml:space="preserve"> </w:t>
      </w:r>
      <w:r w:rsidRPr="009070BD">
        <w:rPr>
          <w:b w:val="0"/>
          <w:noProof/>
          <w:szCs w:val="22"/>
          <w:lang w:val="en-US" w:eastAsia="en-US"/>
        </w:rPr>
        <w:t>համայնքներում</w:t>
      </w:r>
      <w:r w:rsidRPr="009070BD">
        <w:rPr>
          <w:b w:val="0"/>
          <w:noProof/>
          <w:szCs w:val="22"/>
          <w:lang w:val="af-ZA" w:eastAsia="en-US"/>
        </w:rPr>
        <w:t>», «</w:t>
      </w:r>
      <w:r w:rsidR="00E626E8" w:rsidRPr="009070BD">
        <w:rPr>
          <w:b w:val="0"/>
          <w:noProof/>
          <w:szCs w:val="22"/>
          <w:lang w:val="hy-AM" w:eastAsia="en-US"/>
        </w:rPr>
        <w:t>Ի գ</w:t>
      </w:r>
      <w:r w:rsidRPr="009070BD">
        <w:rPr>
          <w:b w:val="0"/>
          <w:noProof/>
          <w:szCs w:val="22"/>
          <w:lang w:val="af-ZA" w:eastAsia="en-US"/>
        </w:rPr>
        <w:t>ործ»` սփյուռքահայ մասնագետների ներգրավում ՀՀ պետական կառավարման համակարգում», «</w:t>
      </w:r>
      <w:r w:rsidRPr="009070BD">
        <w:rPr>
          <w:b w:val="0"/>
          <w:noProof/>
          <w:szCs w:val="22"/>
          <w:lang w:val="en-US" w:eastAsia="en-US"/>
        </w:rPr>
        <w:t>Աջակցություն</w:t>
      </w:r>
      <w:r w:rsidRPr="009070BD">
        <w:rPr>
          <w:b w:val="0"/>
          <w:noProof/>
          <w:szCs w:val="22"/>
          <w:lang w:val="af-ZA" w:eastAsia="en-US"/>
        </w:rPr>
        <w:t xml:space="preserve"> </w:t>
      </w:r>
      <w:r w:rsidRPr="009070BD">
        <w:rPr>
          <w:b w:val="0"/>
          <w:noProof/>
          <w:szCs w:val="22"/>
          <w:lang w:val="en-US" w:eastAsia="en-US"/>
        </w:rPr>
        <w:t>Վրաստանի</w:t>
      </w:r>
      <w:r w:rsidRPr="009070BD">
        <w:rPr>
          <w:b w:val="0"/>
          <w:noProof/>
          <w:szCs w:val="22"/>
          <w:lang w:val="af-ZA" w:eastAsia="en-US"/>
        </w:rPr>
        <w:t xml:space="preserve"> </w:t>
      </w:r>
      <w:r w:rsidRPr="009070BD">
        <w:rPr>
          <w:b w:val="0"/>
          <w:noProof/>
          <w:szCs w:val="22"/>
          <w:lang w:val="en-US" w:eastAsia="en-US"/>
        </w:rPr>
        <w:t>հայալեզու</w:t>
      </w:r>
      <w:r w:rsidRPr="009070BD">
        <w:rPr>
          <w:b w:val="0"/>
          <w:noProof/>
          <w:szCs w:val="22"/>
          <w:lang w:val="af-ZA" w:eastAsia="en-US"/>
        </w:rPr>
        <w:t xml:space="preserve"> </w:t>
      </w:r>
      <w:r w:rsidRPr="009070BD">
        <w:rPr>
          <w:b w:val="0"/>
          <w:noProof/>
          <w:szCs w:val="22"/>
          <w:lang w:val="en-US" w:eastAsia="en-US"/>
        </w:rPr>
        <w:t>լրատվամիջոցներին</w:t>
      </w:r>
      <w:r w:rsidRPr="009070BD">
        <w:rPr>
          <w:b w:val="0"/>
          <w:noProof/>
          <w:szCs w:val="22"/>
          <w:lang w:val="af-ZA" w:eastAsia="en-US"/>
        </w:rPr>
        <w:t xml:space="preserve">» </w:t>
      </w:r>
      <w:r w:rsidRPr="009070BD">
        <w:rPr>
          <w:b w:val="0"/>
          <w:noProof/>
          <w:szCs w:val="22"/>
          <w:lang w:val="hy-AM" w:eastAsia="en-US"/>
        </w:rPr>
        <w:t xml:space="preserve">և </w:t>
      </w:r>
      <w:r w:rsidRPr="009070BD">
        <w:rPr>
          <w:b w:val="0"/>
          <w:noProof/>
          <w:szCs w:val="22"/>
          <w:lang w:val="af-ZA" w:eastAsia="en-US"/>
        </w:rPr>
        <w:t>«</w:t>
      </w:r>
      <w:r w:rsidRPr="009070BD">
        <w:rPr>
          <w:b w:val="0"/>
          <w:noProof/>
          <w:szCs w:val="22"/>
          <w:lang w:val="hy-AM" w:eastAsia="en-US"/>
        </w:rPr>
        <w:t>Հայրենադարձության ինտեգրման կենտրոն</w:t>
      </w:r>
      <w:r w:rsidRPr="009070BD">
        <w:rPr>
          <w:b w:val="0"/>
          <w:noProof/>
          <w:szCs w:val="22"/>
          <w:lang w:val="af-ZA" w:eastAsia="en-US"/>
        </w:rPr>
        <w:t>»:</w:t>
      </w:r>
    </w:p>
    <w:p w:rsidR="00C6276C" w:rsidRPr="009070BD" w:rsidRDefault="00C6276C" w:rsidP="007730AA">
      <w:pPr>
        <w:numPr>
          <w:ilvl w:val="12"/>
          <w:numId w:val="0"/>
        </w:numPr>
        <w:tabs>
          <w:tab w:val="left" w:pos="851"/>
        </w:tabs>
        <w:spacing w:before="0" w:line="276" w:lineRule="auto"/>
        <w:ind w:firstLine="720"/>
        <w:contextualSpacing w:val="0"/>
        <w:rPr>
          <w:b w:val="0"/>
          <w:szCs w:val="22"/>
          <w:lang w:val="af-ZA" w:eastAsia="en-US"/>
        </w:rPr>
      </w:pPr>
      <w:r w:rsidRPr="009070BD">
        <w:rPr>
          <w:b w:val="0"/>
          <w:i/>
          <w:noProof/>
          <w:szCs w:val="22"/>
          <w:lang w:val="af-ZA" w:eastAsia="en-US"/>
        </w:rPr>
        <w:t>«</w:t>
      </w:r>
      <w:r w:rsidRPr="009070BD">
        <w:rPr>
          <w:b w:val="0"/>
          <w:i/>
          <w:noProof/>
          <w:szCs w:val="22"/>
          <w:lang w:val="en-US" w:eastAsia="en-US"/>
        </w:rPr>
        <w:t>Քայլ</w:t>
      </w:r>
      <w:r w:rsidRPr="009070BD">
        <w:rPr>
          <w:b w:val="0"/>
          <w:i/>
          <w:noProof/>
          <w:szCs w:val="22"/>
          <w:lang w:val="af-ZA" w:eastAsia="en-US"/>
        </w:rPr>
        <w:t xml:space="preserve"> </w:t>
      </w:r>
      <w:r w:rsidRPr="009070BD">
        <w:rPr>
          <w:b w:val="0"/>
          <w:i/>
          <w:noProof/>
          <w:szCs w:val="22"/>
          <w:lang w:val="en-US" w:eastAsia="en-US"/>
        </w:rPr>
        <w:t>դեպի</w:t>
      </w:r>
      <w:r w:rsidRPr="009070BD">
        <w:rPr>
          <w:b w:val="0"/>
          <w:i/>
          <w:noProof/>
          <w:szCs w:val="22"/>
          <w:lang w:val="af-ZA" w:eastAsia="en-US"/>
        </w:rPr>
        <w:t xml:space="preserve"> </w:t>
      </w:r>
      <w:r w:rsidRPr="009070BD">
        <w:rPr>
          <w:b w:val="0"/>
          <w:i/>
          <w:noProof/>
          <w:szCs w:val="22"/>
          <w:lang w:val="en-US" w:eastAsia="en-US"/>
        </w:rPr>
        <w:t>տուն</w:t>
      </w:r>
      <w:r w:rsidRPr="009070BD">
        <w:rPr>
          <w:b w:val="0"/>
          <w:i/>
          <w:noProof/>
          <w:szCs w:val="22"/>
          <w:lang w:val="af-ZA" w:eastAsia="en-US"/>
        </w:rPr>
        <w:t>»</w:t>
      </w:r>
      <w:r w:rsidRPr="009070BD">
        <w:rPr>
          <w:b w:val="0"/>
          <w:noProof/>
          <w:szCs w:val="22"/>
          <w:lang w:val="af-ZA" w:eastAsia="en-US"/>
        </w:rPr>
        <w:t xml:space="preserve"> </w:t>
      </w:r>
      <w:r w:rsidRPr="009070BD">
        <w:rPr>
          <w:b w:val="0"/>
          <w:noProof/>
          <w:szCs w:val="22"/>
          <w:lang w:val="en-US" w:eastAsia="en-US"/>
        </w:rPr>
        <w:t>միջոցառման</w:t>
      </w:r>
      <w:r w:rsidRPr="009070BD">
        <w:rPr>
          <w:b w:val="0"/>
          <w:noProof/>
          <w:szCs w:val="22"/>
          <w:lang w:val="af-ZA" w:eastAsia="en-US"/>
        </w:rPr>
        <w:t xml:space="preserve"> </w:t>
      </w:r>
      <w:r w:rsidRPr="009070BD">
        <w:rPr>
          <w:b w:val="0"/>
          <w:noProof/>
          <w:szCs w:val="22"/>
          <w:lang w:val="hy-AM" w:eastAsia="en-US"/>
        </w:rPr>
        <w:t>շրջանակներում նախատեսվում</w:t>
      </w:r>
      <w:r w:rsidRPr="009070BD">
        <w:rPr>
          <w:b w:val="0"/>
          <w:szCs w:val="22"/>
          <w:lang w:val="af-ZA" w:eastAsia="en-US"/>
        </w:rPr>
        <w:t xml:space="preserve"> </w:t>
      </w:r>
      <w:r w:rsidRPr="009070BD">
        <w:rPr>
          <w:b w:val="0"/>
          <w:szCs w:val="22"/>
          <w:lang w:val="en-US" w:eastAsia="en-US"/>
        </w:rPr>
        <w:t>է</w:t>
      </w:r>
      <w:r w:rsidRPr="009070BD">
        <w:rPr>
          <w:b w:val="0"/>
          <w:szCs w:val="22"/>
          <w:lang w:val="hy-AM" w:eastAsia="en-US"/>
        </w:rPr>
        <w:t xml:space="preserve"> կազմակերպել</w:t>
      </w:r>
      <w:r w:rsidRPr="009070BD">
        <w:rPr>
          <w:b w:val="0"/>
          <w:szCs w:val="22"/>
          <w:lang w:val="af-ZA" w:eastAsia="en-US"/>
        </w:rPr>
        <w:t xml:space="preserve"> Սփյուռքի հայ երիտասարդության և պատանիների ճանաչողական այցելություններ, հայերենի ուսուցման և հայրենագիտության դասընթացներ:</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en-US" w:eastAsia="en-US"/>
        </w:rPr>
        <w:t>Նախատեսվում</w:t>
      </w:r>
      <w:r w:rsidRPr="009070BD">
        <w:rPr>
          <w:b w:val="0"/>
          <w:noProof/>
          <w:szCs w:val="22"/>
          <w:lang w:val="af-ZA" w:eastAsia="en-US"/>
        </w:rPr>
        <w:t xml:space="preserve"> </w:t>
      </w:r>
      <w:r w:rsidRPr="009070BD">
        <w:rPr>
          <w:b w:val="0"/>
          <w:noProof/>
          <w:szCs w:val="22"/>
          <w:lang w:val="en-US" w:eastAsia="en-US"/>
        </w:rPr>
        <w:t>է</w:t>
      </w:r>
      <w:r w:rsidRPr="009070BD">
        <w:rPr>
          <w:b w:val="0"/>
          <w:noProof/>
          <w:szCs w:val="22"/>
          <w:lang w:val="af-ZA" w:eastAsia="en-US"/>
        </w:rPr>
        <w:t xml:space="preserve"> 202</w:t>
      </w:r>
      <w:r w:rsidRPr="009070BD">
        <w:rPr>
          <w:b w:val="0"/>
          <w:noProof/>
          <w:szCs w:val="22"/>
          <w:lang w:val="hy-AM" w:eastAsia="en-US"/>
        </w:rPr>
        <w:t>1</w:t>
      </w:r>
      <w:r w:rsidRPr="009070BD">
        <w:rPr>
          <w:b w:val="0"/>
          <w:noProof/>
          <w:szCs w:val="22"/>
          <w:lang w:val="af-ZA" w:eastAsia="en-US"/>
        </w:rPr>
        <w:t xml:space="preserve"> </w:t>
      </w:r>
      <w:r w:rsidRPr="009070BD">
        <w:rPr>
          <w:b w:val="0"/>
          <w:noProof/>
          <w:szCs w:val="22"/>
          <w:lang w:val="en-US" w:eastAsia="en-US"/>
        </w:rPr>
        <w:t>թվականին</w:t>
      </w:r>
      <w:r w:rsidRPr="009070BD">
        <w:rPr>
          <w:b w:val="0"/>
          <w:noProof/>
          <w:szCs w:val="22"/>
          <w:lang w:val="af-ZA" w:eastAsia="en-US"/>
        </w:rPr>
        <w:t xml:space="preserve"> </w:t>
      </w:r>
      <w:r w:rsidRPr="009070BD">
        <w:rPr>
          <w:b w:val="0"/>
          <w:noProof/>
          <w:szCs w:val="22"/>
          <w:lang w:val="en-US" w:eastAsia="en-US"/>
        </w:rPr>
        <w:t>ընդգրկել</w:t>
      </w:r>
      <w:r w:rsidRPr="009070BD">
        <w:rPr>
          <w:b w:val="0"/>
          <w:noProof/>
          <w:szCs w:val="22"/>
          <w:lang w:val="af-ZA" w:eastAsia="en-US"/>
        </w:rPr>
        <w:t xml:space="preserve"> </w:t>
      </w:r>
      <w:r w:rsidRPr="009070BD">
        <w:rPr>
          <w:b w:val="0"/>
          <w:noProof/>
          <w:szCs w:val="22"/>
          <w:lang w:val="hy-AM" w:eastAsia="en-US"/>
        </w:rPr>
        <w:t>8</w:t>
      </w:r>
      <w:r w:rsidRPr="009070BD">
        <w:rPr>
          <w:b w:val="0"/>
          <w:noProof/>
          <w:szCs w:val="22"/>
          <w:lang w:val="af-ZA" w:eastAsia="en-US"/>
        </w:rPr>
        <w:t xml:space="preserve">00 </w:t>
      </w:r>
      <w:r w:rsidRPr="009070BD">
        <w:rPr>
          <w:b w:val="0"/>
          <w:noProof/>
          <w:szCs w:val="22"/>
          <w:lang w:val="hy-AM" w:eastAsia="en-US"/>
        </w:rPr>
        <w:t>մասնակից 2020 թվականի՝ 600-ի դիմաց</w:t>
      </w:r>
      <w:r w:rsidRPr="009070BD">
        <w:rPr>
          <w:b w:val="0"/>
          <w:noProof/>
          <w:szCs w:val="22"/>
          <w:lang w:val="af-ZA" w:eastAsia="en-US"/>
        </w:rPr>
        <w:t>:</w:t>
      </w:r>
    </w:p>
    <w:p w:rsidR="00C6276C" w:rsidRPr="009070BD" w:rsidRDefault="00C6276C" w:rsidP="007730AA">
      <w:pPr>
        <w:numPr>
          <w:ilvl w:val="12"/>
          <w:numId w:val="0"/>
        </w:numPr>
        <w:tabs>
          <w:tab w:val="left" w:pos="851"/>
        </w:tabs>
        <w:spacing w:before="0" w:line="276" w:lineRule="auto"/>
        <w:ind w:firstLine="720"/>
        <w:contextualSpacing w:val="0"/>
        <w:rPr>
          <w:b w:val="0"/>
          <w:szCs w:val="22"/>
          <w:lang w:val="af-ZA" w:eastAsia="en-US"/>
        </w:rPr>
      </w:pPr>
      <w:r w:rsidRPr="009070BD">
        <w:rPr>
          <w:b w:val="0"/>
          <w:noProof/>
          <w:szCs w:val="22"/>
          <w:lang w:val="af-ZA" w:eastAsia="en-US"/>
        </w:rPr>
        <w:t xml:space="preserve">  </w:t>
      </w:r>
      <w:r w:rsidRPr="009070BD">
        <w:rPr>
          <w:b w:val="0"/>
          <w:i/>
          <w:noProof/>
          <w:szCs w:val="22"/>
          <w:lang w:val="af-ZA" w:eastAsia="en-US"/>
        </w:rPr>
        <w:t>«Սփյուռքի երիտասարդ առաջնորդների վերապատրաստում»</w:t>
      </w:r>
      <w:r w:rsidRPr="009070BD">
        <w:rPr>
          <w:b w:val="0"/>
          <w:noProof/>
          <w:szCs w:val="22"/>
          <w:lang w:val="hy-AM" w:eastAsia="en-US"/>
        </w:rPr>
        <w:t xml:space="preserve"> միջոցառման շրջանակներում նախատեսվում է ՀՀ-ի մասին ճանաչողական և  համայնքային գործիչների վերապատրաստման դասընթացների կազմակերպում, Հայաստանի ներքին քաղաքականությանը իրազեկության ապահովում</w:t>
      </w:r>
      <w:r w:rsidRPr="009070BD">
        <w:rPr>
          <w:b w:val="0"/>
          <w:szCs w:val="22"/>
          <w:lang w:val="af-ZA" w:eastAsia="en-US"/>
        </w:rPr>
        <w:t>:</w:t>
      </w:r>
    </w:p>
    <w:p w:rsidR="00C6276C" w:rsidRPr="009070BD" w:rsidRDefault="00C6276C" w:rsidP="007730AA">
      <w:pPr>
        <w:numPr>
          <w:ilvl w:val="12"/>
          <w:numId w:val="0"/>
        </w:numPr>
        <w:tabs>
          <w:tab w:val="left" w:pos="851"/>
        </w:tabs>
        <w:spacing w:before="0" w:line="276" w:lineRule="auto"/>
        <w:ind w:firstLine="720"/>
        <w:contextualSpacing w:val="0"/>
        <w:rPr>
          <w:b w:val="0"/>
          <w:szCs w:val="22"/>
          <w:lang w:val="hy-AM" w:eastAsia="en-US"/>
        </w:rPr>
      </w:pPr>
      <w:r w:rsidRPr="009070BD">
        <w:rPr>
          <w:b w:val="0"/>
          <w:szCs w:val="22"/>
          <w:lang w:val="hy-AM" w:eastAsia="en-US"/>
        </w:rPr>
        <w:t xml:space="preserve">Նախատեսվում է </w:t>
      </w:r>
      <w:r w:rsidRPr="009070BD">
        <w:rPr>
          <w:b w:val="0"/>
          <w:noProof/>
          <w:szCs w:val="22"/>
          <w:lang w:val="af-ZA" w:eastAsia="en-US"/>
        </w:rPr>
        <w:t>202</w:t>
      </w:r>
      <w:r w:rsidRPr="009070BD">
        <w:rPr>
          <w:b w:val="0"/>
          <w:noProof/>
          <w:szCs w:val="22"/>
          <w:lang w:val="hy-AM" w:eastAsia="en-US"/>
        </w:rPr>
        <w:t>1</w:t>
      </w:r>
      <w:r w:rsidRPr="009070BD">
        <w:rPr>
          <w:b w:val="0"/>
          <w:noProof/>
          <w:szCs w:val="22"/>
          <w:lang w:val="af-ZA" w:eastAsia="en-US"/>
        </w:rPr>
        <w:t xml:space="preserve"> </w:t>
      </w:r>
      <w:r w:rsidRPr="009070BD">
        <w:rPr>
          <w:b w:val="0"/>
          <w:noProof/>
          <w:szCs w:val="22"/>
          <w:lang w:val="en-US" w:eastAsia="en-US"/>
        </w:rPr>
        <w:t>թվականին</w:t>
      </w:r>
      <w:r w:rsidRPr="009070BD">
        <w:rPr>
          <w:b w:val="0"/>
          <w:noProof/>
          <w:szCs w:val="22"/>
          <w:lang w:val="hy-AM" w:eastAsia="en-US"/>
        </w:rPr>
        <w:t xml:space="preserve"> միջոցառմանը մասնակից համայնքների թիվը համայնքների ընդհանուր թվում հասցնել 20</w:t>
      </w:r>
      <w:r w:rsidRPr="009070BD">
        <w:rPr>
          <w:b w:val="0"/>
          <w:noProof/>
          <w:szCs w:val="22"/>
          <w:lang w:val="af-ZA" w:eastAsia="en-US"/>
        </w:rPr>
        <w:t>% -</w:t>
      </w:r>
      <w:r w:rsidRPr="009070BD">
        <w:rPr>
          <w:b w:val="0"/>
          <w:noProof/>
          <w:szCs w:val="22"/>
          <w:lang w:val="hy-AM" w:eastAsia="en-US"/>
        </w:rPr>
        <w:t>ի 2020 թվականի՝ 10</w:t>
      </w:r>
      <w:r w:rsidRPr="009070BD">
        <w:rPr>
          <w:b w:val="0"/>
          <w:noProof/>
          <w:szCs w:val="22"/>
          <w:lang w:val="af-ZA" w:eastAsia="en-US"/>
        </w:rPr>
        <w:t>% -</w:t>
      </w:r>
      <w:r w:rsidRPr="009070BD">
        <w:rPr>
          <w:b w:val="0"/>
          <w:noProof/>
          <w:szCs w:val="22"/>
          <w:lang w:val="hy-AM" w:eastAsia="en-US"/>
        </w:rPr>
        <w:t>ի դիմաց</w:t>
      </w:r>
      <w:r w:rsidRPr="009070BD">
        <w:rPr>
          <w:b w:val="0"/>
          <w:noProof/>
          <w:szCs w:val="22"/>
          <w:lang w:val="af-ZA" w:eastAsia="en-US"/>
        </w:rPr>
        <w:t xml:space="preserve">:  </w:t>
      </w:r>
    </w:p>
    <w:p w:rsidR="00C6276C" w:rsidRPr="009070BD" w:rsidRDefault="00C6276C" w:rsidP="007730AA">
      <w:pPr>
        <w:numPr>
          <w:ilvl w:val="12"/>
          <w:numId w:val="0"/>
        </w:numPr>
        <w:tabs>
          <w:tab w:val="left" w:pos="851"/>
        </w:tabs>
        <w:spacing w:before="0" w:line="276" w:lineRule="auto"/>
        <w:ind w:firstLine="720"/>
        <w:contextualSpacing w:val="0"/>
        <w:rPr>
          <w:b w:val="0"/>
          <w:szCs w:val="22"/>
          <w:lang w:val="af-ZA" w:eastAsia="en-US"/>
        </w:rPr>
      </w:pPr>
      <w:r w:rsidRPr="009070BD">
        <w:rPr>
          <w:b w:val="0"/>
          <w:i/>
          <w:noProof/>
          <w:szCs w:val="22"/>
          <w:lang w:val="af-ZA" w:eastAsia="en-US"/>
        </w:rPr>
        <w:t>«</w:t>
      </w:r>
      <w:r w:rsidRPr="009070BD">
        <w:rPr>
          <w:b w:val="0"/>
          <w:i/>
          <w:noProof/>
          <w:szCs w:val="22"/>
          <w:lang w:val="hy-AM" w:eastAsia="en-US"/>
        </w:rPr>
        <w:t>Հայաստան</w:t>
      </w:r>
      <w:r w:rsidRPr="009070BD">
        <w:rPr>
          <w:b w:val="0"/>
          <w:i/>
          <w:noProof/>
          <w:szCs w:val="22"/>
          <w:lang w:val="af-ZA" w:eastAsia="en-US"/>
        </w:rPr>
        <w:t>-</w:t>
      </w:r>
      <w:r w:rsidRPr="009070BD">
        <w:rPr>
          <w:b w:val="0"/>
          <w:i/>
          <w:noProof/>
          <w:szCs w:val="22"/>
          <w:lang w:val="hy-AM" w:eastAsia="en-US"/>
        </w:rPr>
        <w:t>Սփյուռք</w:t>
      </w:r>
      <w:r w:rsidRPr="009070BD">
        <w:rPr>
          <w:b w:val="0"/>
          <w:i/>
          <w:noProof/>
          <w:szCs w:val="22"/>
          <w:lang w:val="af-ZA" w:eastAsia="en-US"/>
        </w:rPr>
        <w:t xml:space="preserve"> </w:t>
      </w:r>
      <w:r w:rsidRPr="009070BD">
        <w:rPr>
          <w:b w:val="0"/>
          <w:i/>
          <w:noProof/>
          <w:szCs w:val="22"/>
          <w:lang w:val="hy-AM" w:eastAsia="en-US"/>
        </w:rPr>
        <w:t>գործակցության</w:t>
      </w:r>
      <w:r w:rsidRPr="009070BD">
        <w:rPr>
          <w:b w:val="0"/>
          <w:i/>
          <w:noProof/>
          <w:szCs w:val="22"/>
          <w:lang w:val="af-ZA" w:eastAsia="en-US"/>
        </w:rPr>
        <w:t xml:space="preserve"> </w:t>
      </w:r>
      <w:r w:rsidRPr="009070BD">
        <w:rPr>
          <w:b w:val="0"/>
          <w:i/>
          <w:noProof/>
          <w:szCs w:val="22"/>
          <w:lang w:val="hy-AM" w:eastAsia="en-US"/>
        </w:rPr>
        <w:t>վերաբերյալ</w:t>
      </w:r>
      <w:r w:rsidRPr="009070BD">
        <w:rPr>
          <w:b w:val="0"/>
          <w:i/>
          <w:noProof/>
          <w:szCs w:val="22"/>
          <w:lang w:val="af-ZA" w:eastAsia="en-US"/>
        </w:rPr>
        <w:t xml:space="preserve"> </w:t>
      </w:r>
      <w:r w:rsidRPr="009070BD">
        <w:rPr>
          <w:b w:val="0"/>
          <w:i/>
          <w:noProof/>
          <w:szCs w:val="22"/>
          <w:lang w:val="hy-AM" w:eastAsia="en-US"/>
        </w:rPr>
        <w:t>իրազեկման</w:t>
      </w:r>
      <w:r w:rsidRPr="009070BD">
        <w:rPr>
          <w:b w:val="0"/>
          <w:i/>
          <w:noProof/>
          <w:szCs w:val="22"/>
          <w:lang w:val="af-ZA" w:eastAsia="en-US"/>
        </w:rPr>
        <w:t xml:space="preserve"> </w:t>
      </w:r>
      <w:r w:rsidRPr="009070BD">
        <w:rPr>
          <w:b w:val="0"/>
          <w:i/>
          <w:noProof/>
          <w:szCs w:val="22"/>
          <w:lang w:val="hy-AM" w:eastAsia="en-US"/>
        </w:rPr>
        <w:t>ապահովում</w:t>
      </w:r>
      <w:r w:rsidRPr="009070BD">
        <w:rPr>
          <w:b w:val="0"/>
          <w:i/>
          <w:noProof/>
          <w:szCs w:val="22"/>
          <w:lang w:val="af-ZA" w:eastAsia="en-US"/>
        </w:rPr>
        <w:t>»</w:t>
      </w:r>
      <w:r w:rsidRPr="009070BD">
        <w:rPr>
          <w:b w:val="0"/>
          <w:noProof/>
          <w:szCs w:val="22"/>
          <w:lang w:val="af-ZA" w:eastAsia="en-US"/>
        </w:rPr>
        <w:t xml:space="preserve"> </w:t>
      </w:r>
      <w:r w:rsidRPr="009070BD">
        <w:rPr>
          <w:b w:val="0"/>
          <w:noProof/>
          <w:szCs w:val="22"/>
          <w:lang w:val="hy-AM" w:eastAsia="en-US"/>
        </w:rPr>
        <w:t>միջոցառման</w:t>
      </w:r>
      <w:r w:rsidRPr="009070BD">
        <w:rPr>
          <w:b w:val="0"/>
          <w:noProof/>
          <w:szCs w:val="22"/>
          <w:lang w:val="af-ZA" w:eastAsia="en-US"/>
        </w:rPr>
        <w:t xml:space="preserve"> </w:t>
      </w:r>
      <w:r w:rsidRPr="009070BD">
        <w:rPr>
          <w:b w:val="0"/>
          <w:noProof/>
          <w:szCs w:val="22"/>
          <w:lang w:val="hy-AM" w:eastAsia="en-US"/>
        </w:rPr>
        <w:t>շրջանակներում նախատեսվում է Հայաստան-Սփյուռք համագործակցության, հայրենադարձության, Սփյուռքից ներդրումների, Հայաստան-Սփյուռք գործակցության ծրագրերի ներկայացման ուղղություններով հեռուստահաղորդումների, տեսանյութերի պատվիրում և Սփյուռքում արբանյակային հեռարձակում</w:t>
      </w:r>
      <w:r w:rsidRPr="009070BD">
        <w:rPr>
          <w:b w:val="0"/>
          <w:szCs w:val="22"/>
          <w:lang w:val="af-ZA" w:eastAsia="en-US"/>
        </w:rPr>
        <w:t>:</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hy-AM" w:eastAsia="en-US"/>
        </w:rPr>
        <w:t xml:space="preserve"> Նախատեսվում</w:t>
      </w:r>
      <w:r w:rsidRPr="009070BD">
        <w:rPr>
          <w:b w:val="0"/>
          <w:noProof/>
          <w:szCs w:val="22"/>
          <w:lang w:val="af-ZA" w:eastAsia="en-US"/>
        </w:rPr>
        <w:t xml:space="preserve"> </w:t>
      </w:r>
      <w:r w:rsidRPr="009070BD">
        <w:rPr>
          <w:b w:val="0"/>
          <w:noProof/>
          <w:szCs w:val="22"/>
          <w:lang w:val="hy-AM" w:eastAsia="en-US"/>
        </w:rPr>
        <w:t>է</w:t>
      </w:r>
      <w:r w:rsidRPr="009070BD">
        <w:rPr>
          <w:b w:val="0"/>
          <w:noProof/>
          <w:szCs w:val="22"/>
          <w:lang w:val="af-ZA" w:eastAsia="en-US"/>
        </w:rPr>
        <w:t xml:space="preserve"> 202</w:t>
      </w:r>
      <w:r w:rsidRPr="009070BD">
        <w:rPr>
          <w:b w:val="0"/>
          <w:noProof/>
          <w:szCs w:val="22"/>
          <w:lang w:val="hy-AM" w:eastAsia="en-US"/>
        </w:rPr>
        <w:t>1</w:t>
      </w:r>
      <w:r w:rsidRPr="009070BD">
        <w:rPr>
          <w:b w:val="0"/>
          <w:noProof/>
          <w:szCs w:val="22"/>
          <w:lang w:val="af-ZA" w:eastAsia="en-US"/>
        </w:rPr>
        <w:t xml:space="preserve"> </w:t>
      </w:r>
      <w:r w:rsidRPr="009070BD">
        <w:rPr>
          <w:b w:val="0"/>
          <w:noProof/>
          <w:szCs w:val="22"/>
          <w:lang w:val="hy-AM" w:eastAsia="en-US"/>
        </w:rPr>
        <w:t>թվականին</w:t>
      </w:r>
      <w:r w:rsidRPr="009070BD">
        <w:rPr>
          <w:b w:val="0"/>
          <w:noProof/>
          <w:szCs w:val="22"/>
          <w:lang w:val="af-ZA" w:eastAsia="en-US"/>
        </w:rPr>
        <w:t xml:space="preserve"> </w:t>
      </w:r>
      <w:r w:rsidRPr="009070BD">
        <w:rPr>
          <w:b w:val="0"/>
          <w:noProof/>
          <w:szCs w:val="22"/>
          <w:lang w:val="hy-AM" w:eastAsia="en-US"/>
        </w:rPr>
        <w:t>հեռարձակել</w:t>
      </w:r>
      <w:r w:rsidRPr="009070BD">
        <w:rPr>
          <w:b w:val="0"/>
          <w:noProof/>
          <w:szCs w:val="22"/>
          <w:lang w:val="af-ZA" w:eastAsia="en-US"/>
        </w:rPr>
        <w:t xml:space="preserve"> </w:t>
      </w:r>
      <w:r w:rsidRPr="009070BD">
        <w:rPr>
          <w:b w:val="0"/>
          <w:noProof/>
          <w:szCs w:val="22"/>
          <w:lang w:val="hy-AM" w:eastAsia="en-US"/>
        </w:rPr>
        <w:t>122</w:t>
      </w:r>
      <w:r w:rsidRPr="009070BD">
        <w:rPr>
          <w:b w:val="0"/>
          <w:noProof/>
          <w:szCs w:val="22"/>
          <w:lang w:val="af-ZA" w:eastAsia="en-US"/>
        </w:rPr>
        <w:t xml:space="preserve"> </w:t>
      </w:r>
      <w:r w:rsidRPr="009070BD">
        <w:rPr>
          <w:b w:val="0"/>
          <w:noProof/>
          <w:szCs w:val="22"/>
          <w:lang w:val="hy-AM" w:eastAsia="en-US"/>
        </w:rPr>
        <w:t>հեռուստահաղորդումներ, տեսահոլովակներ և  գովազդային նյութեր 2020 թվականի՝ 120-ի դիմաց, ապահովել սփյուռքահայերի</w:t>
      </w:r>
      <w:r w:rsidRPr="009070BD">
        <w:rPr>
          <w:b w:val="0"/>
          <w:noProof/>
          <w:szCs w:val="22"/>
          <w:lang w:val="af-ZA" w:eastAsia="en-US"/>
        </w:rPr>
        <w:t xml:space="preserve"> </w:t>
      </w:r>
      <w:r w:rsidRPr="009070BD">
        <w:rPr>
          <w:b w:val="0"/>
          <w:noProof/>
          <w:szCs w:val="22"/>
          <w:lang w:val="hy-AM" w:eastAsia="en-US"/>
        </w:rPr>
        <w:t>իրազեկվածության</w:t>
      </w:r>
      <w:r w:rsidRPr="009070BD">
        <w:rPr>
          <w:b w:val="0"/>
          <w:noProof/>
          <w:szCs w:val="22"/>
          <w:lang w:val="af-ZA" w:eastAsia="en-US"/>
        </w:rPr>
        <w:t xml:space="preserve"> 38% -</w:t>
      </w:r>
      <w:r w:rsidRPr="009070BD">
        <w:rPr>
          <w:b w:val="0"/>
          <w:noProof/>
          <w:szCs w:val="22"/>
          <w:lang w:val="hy-AM" w:eastAsia="en-US"/>
        </w:rPr>
        <w:t>ը</w:t>
      </w:r>
      <w:r w:rsidRPr="009070BD">
        <w:rPr>
          <w:b w:val="0"/>
          <w:noProof/>
          <w:szCs w:val="22"/>
          <w:lang w:val="af-ZA" w:eastAsia="en-US"/>
        </w:rPr>
        <w:t xml:space="preserve">:  </w:t>
      </w:r>
    </w:p>
    <w:p w:rsidR="00C6276C" w:rsidRPr="009070BD" w:rsidRDefault="00C6276C" w:rsidP="007730AA">
      <w:pPr>
        <w:numPr>
          <w:ilvl w:val="12"/>
          <w:numId w:val="0"/>
        </w:numPr>
        <w:tabs>
          <w:tab w:val="left" w:pos="851"/>
        </w:tabs>
        <w:spacing w:before="0" w:line="276" w:lineRule="auto"/>
        <w:ind w:firstLine="720"/>
        <w:contextualSpacing w:val="0"/>
        <w:rPr>
          <w:rFonts w:cs="Sylfaen"/>
          <w:b w:val="0"/>
          <w:bCs/>
          <w:szCs w:val="22"/>
          <w:lang w:val="af-ZA" w:eastAsia="en-US"/>
        </w:rPr>
      </w:pPr>
      <w:r w:rsidRPr="009070BD">
        <w:rPr>
          <w:b w:val="0"/>
          <w:i/>
          <w:noProof/>
          <w:szCs w:val="22"/>
          <w:lang w:val="af-ZA" w:eastAsia="en-US"/>
        </w:rPr>
        <w:t>«</w:t>
      </w:r>
      <w:r w:rsidRPr="009070BD">
        <w:rPr>
          <w:b w:val="0"/>
          <w:i/>
          <w:noProof/>
          <w:szCs w:val="22"/>
          <w:lang w:val="en-US" w:eastAsia="en-US"/>
        </w:rPr>
        <w:t>Աշխատանք</w:t>
      </w:r>
      <w:r w:rsidRPr="009070BD">
        <w:rPr>
          <w:b w:val="0"/>
          <w:i/>
          <w:noProof/>
          <w:szCs w:val="22"/>
          <w:lang w:val="af-ZA" w:eastAsia="en-US"/>
        </w:rPr>
        <w:t xml:space="preserve"> </w:t>
      </w:r>
      <w:r w:rsidRPr="009070BD">
        <w:rPr>
          <w:b w:val="0"/>
          <w:i/>
          <w:noProof/>
          <w:szCs w:val="22"/>
          <w:lang w:val="en-US" w:eastAsia="en-US"/>
        </w:rPr>
        <w:t>սփյուռքի</w:t>
      </w:r>
      <w:r w:rsidRPr="009070BD">
        <w:rPr>
          <w:b w:val="0"/>
          <w:i/>
          <w:noProof/>
          <w:szCs w:val="22"/>
          <w:lang w:val="af-ZA" w:eastAsia="en-US"/>
        </w:rPr>
        <w:t xml:space="preserve"> </w:t>
      </w:r>
      <w:r w:rsidRPr="009070BD">
        <w:rPr>
          <w:b w:val="0"/>
          <w:i/>
          <w:noProof/>
          <w:szCs w:val="22"/>
          <w:lang w:val="en-US" w:eastAsia="en-US"/>
        </w:rPr>
        <w:t>համայնքներում</w:t>
      </w:r>
      <w:r w:rsidRPr="009070BD">
        <w:rPr>
          <w:b w:val="0"/>
          <w:i/>
          <w:noProof/>
          <w:szCs w:val="22"/>
          <w:lang w:val="af-ZA" w:eastAsia="en-US"/>
        </w:rPr>
        <w:t>»</w:t>
      </w:r>
      <w:r w:rsidRPr="009070BD">
        <w:rPr>
          <w:b w:val="0"/>
          <w:noProof/>
          <w:szCs w:val="22"/>
          <w:lang w:val="af-ZA" w:eastAsia="en-US"/>
        </w:rPr>
        <w:t xml:space="preserve"> </w:t>
      </w:r>
      <w:r w:rsidRPr="009070BD">
        <w:rPr>
          <w:b w:val="0"/>
          <w:noProof/>
          <w:szCs w:val="22"/>
          <w:lang w:val="en-US" w:eastAsia="en-US"/>
        </w:rPr>
        <w:t>միջոցառման</w:t>
      </w:r>
      <w:r w:rsidRPr="009070BD">
        <w:rPr>
          <w:b w:val="0"/>
          <w:noProof/>
          <w:szCs w:val="22"/>
          <w:lang w:val="af-ZA" w:eastAsia="en-US"/>
        </w:rPr>
        <w:t xml:space="preserve"> </w:t>
      </w:r>
      <w:r w:rsidRPr="009070BD">
        <w:rPr>
          <w:b w:val="0"/>
          <w:noProof/>
          <w:szCs w:val="22"/>
          <w:lang w:val="hy-AM" w:eastAsia="en-US"/>
        </w:rPr>
        <w:t>շրջանակներում նախատեսվում է</w:t>
      </w:r>
      <w:r w:rsidRPr="009070BD">
        <w:rPr>
          <w:b w:val="0"/>
          <w:noProof/>
          <w:szCs w:val="22"/>
          <w:lang w:val="af-ZA" w:eastAsia="en-US"/>
        </w:rPr>
        <w:t xml:space="preserve"> </w:t>
      </w:r>
      <w:r w:rsidRPr="009070BD">
        <w:rPr>
          <w:b w:val="0"/>
          <w:noProof/>
          <w:szCs w:val="22"/>
          <w:lang w:val="hy-AM" w:eastAsia="en-US"/>
        </w:rPr>
        <w:t>իրականացնել այցելություններ՝ հ</w:t>
      </w:r>
      <w:r w:rsidRPr="009070BD">
        <w:rPr>
          <w:rFonts w:cs="Sylfaen"/>
          <w:b w:val="0"/>
          <w:bCs/>
          <w:szCs w:val="22"/>
          <w:lang w:val="af-ZA" w:eastAsia="en-US"/>
        </w:rPr>
        <w:t>ամայնքների խնդիրներին ծանոթանալու, դրանց լուծման ուղիների քննարկման, համայնքներում կազմակերպված միջոցառումներին մասնակցության, ՀՀ կառավարության Հայաստան-Սփյուռք գործակցության զարգացման ծրագրերի ներկայացման և այլ նպատակներով</w:t>
      </w:r>
      <w:r w:rsidRPr="009070BD">
        <w:rPr>
          <w:b w:val="0"/>
          <w:iCs/>
          <w:kern w:val="16"/>
          <w:szCs w:val="22"/>
          <w:lang w:val="pt-BR" w:eastAsia="en-US"/>
        </w:rPr>
        <w:t xml:space="preserve">: </w:t>
      </w:r>
      <w:r w:rsidRPr="009070BD">
        <w:rPr>
          <w:rFonts w:cs="Sylfaen"/>
          <w:b w:val="0"/>
          <w:bCs/>
          <w:szCs w:val="22"/>
          <w:lang w:val="af-ZA" w:eastAsia="en-US"/>
        </w:rPr>
        <w:t xml:space="preserve"> </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en-US" w:eastAsia="en-US"/>
        </w:rPr>
        <w:t>Նախատեսվում</w:t>
      </w:r>
      <w:r w:rsidRPr="009070BD">
        <w:rPr>
          <w:b w:val="0"/>
          <w:noProof/>
          <w:szCs w:val="22"/>
          <w:lang w:val="af-ZA" w:eastAsia="en-US"/>
        </w:rPr>
        <w:t xml:space="preserve"> </w:t>
      </w:r>
      <w:r w:rsidRPr="009070BD">
        <w:rPr>
          <w:b w:val="0"/>
          <w:noProof/>
          <w:szCs w:val="22"/>
          <w:lang w:val="en-US" w:eastAsia="en-US"/>
        </w:rPr>
        <w:t>է</w:t>
      </w:r>
      <w:r w:rsidRPr="009070BD">
        <w:rPr>
          <w:b w:val="0"/>
          <w:noProof/>
          <w:szCs w:val="22"/>
          <w:lang w:val="af-ZA" w:eastAsia="en-US"/>
        </w:rPr>
        <w:t xml:space="preserve"> 202</w:t>
      </w:r>
      <w:r w:rsidRPr="009070BD">
        <w:rPr>
          <w:b w:val="0"/>
          <w:noProof/>
          <w:szCs w:val="22"/>
          <w:lang w:val="hy-AM" w:eastAsia="en-US"/>
        </w:rPr>
        <w:t>1</w:t>
      </w:r>
      <w:r w:rsidRPr="009070BD">
        <w:rPr>
          <w:b w:val="0"/>
          <w:noProof/>
          <w:szCs w:val="22"/>
          <w:lang w:val="af-ZA" w:eastAsia="en-US"/>
        </w:rPr>
        <w:t xml:space="preserve"> </w:t>
      </w:r>
      <w:r w:rsidRPr="009070BD">
        <w:rPr>
          <w:b w:val="0"/>
          <w:noProof/>
          <w:szCs w:val="22"/>
          <w:lang w:val="en-US" w:eastAsia="en-US"/>
        </w:rPr>
        <w:t>թվականին</w:t>
      </w:r>
      <w:r w:rsidRPr="009070BD">
        <w:rPr>
          <w:b w:val="0"/>
          <w:noProof/>
          <w:szCs w:val="22"/>
          <w:lang w:val="af-ZA" w:eastAsia="en-US"/>
        </w:rPr>
        <w:t xml:space="preserve"> </w:t>
      </w:r>
      <w:r w:rsidRPr="009070BD">
        <w:rPr>
          <w:b w:val="0"/>
          <w:noProof/>
          <w:szCs w:val="22"/>
          <w:lang w:val="hy-AM" w:eastAsia="en-US"/>
        </w:rPr>
        <w:t>20 այցելություններ 2020 թվականի՝ 80-ի դիմաց</w:t>
      </w:r>
      <w:r w:rsidRPr="009070BD">
        <w:rPr>
          <w:b w:val="0"/>
          <w:noProof/>
          <w:szCs w:val="22"/>
          <w:lang w:val="af-ZA" w:eastAsia="en-US"/>
        </w:rPr>
        <w:t xml:space="preserve">:  </w:t>
      </w:r>
    </w:p>
    <w:p w:rsidR="00C6276C" w:rsidRPr="009070BD" w:rsidRDefault="00C6276C" w:rsidP="007730AA">
      <w:pPr>
        <w:numPr>
          <w:ilvl w:val="12"/>
          <w:numId w:val="0"/>
        </w:numPr>
        <w:tabs>
          <w:tab w:val="left" w:pos="851"/>
        </w:tabs>
        <w:spacing w:before="0" w:line="276" w:lineRule="auto"/>
        <w:ind w:firstLine="720"/>
        <w:contextualSpacing w:val="0"/>
        <w:rPr>
          <w:b w:val="0"/>
          <w:szCs w:val="22"/>
          <w:lang w:val="af-ZA" w:eastAsia="en-US"/>
        </w:rPr>
      </w:pPr>
      <w:r w:rsidRPr="009070BD">
        <w:rPr>
          <w:b w:val="0"/>
          <w:i/>
          <w:noProof/>
          <w:szCs w:val="22"/>
          <w:lang w:val="af-ZA" w:eastAsia="en-US"/>
        </w:rPr>
        <w:t>«</w:t>
      </w:r>
      <w:r w:rsidR="00DE2FEC">
        <w:rPr>
          <w:b w:val="0"/>
          <w:i/>
          <w:noProof/>
          <w:szCs w:val="22"/>
          <w:lang w:val="hy-AM" w:eastAsia="en-US"/>
        </w:rPr>
        <w:t>իԳ</w:t>
      </w:r>
      <w:r w:rsidR="009F0B00">
        <w:rPr>
          <w:b w:val="0"/>
          <w:i/>
          <w:noProof/>
          <w:szCs w:val="22"/>
          <w:lang w:val="hy-AM" w:eastAsia="en-US"/>
        </w:rPr>
        <w:t>ո</w:t>
      </w:r>
      <w:r w:rsidR="00DE2FEC">
        <w:rPr>
          <w:b w:val="0"/>
          <w:i/>
          <w:noProof/>
          <w:szCs w:val="22"/>
          <w:lang w:val="af-ZA" w:eastAsia="en-US"/>
        </w:rPr>
        <w:t>րծ»</w:t>
      </w:r>
      <w:r w:rsidR="00DE2FEC">
        <w:rPr>
          <w:b w:val="0"/>
          <w:i/>
          <w:noProof/>
          <w:szCs w:val="22"/>
          <w:lang w:val="hy-AM" w:eastAsia="en-US"/>
        </w:rPr>
        <w:t xml:space="preserve"> </w:t>
      </w:r>
      <w:r w:rsidRPr="009070BD">
        <w:rPr>
          <w:b w:val="0"/>
          <w:i/>
          <w:noProof/>
          <w:szCs w:val="22"/>
          <w:lang w:val="af-ZA" w:eastAsia="en-US"/>
        </w:rPr>
        <w:t>սփյուռքահայ մասնագետների ներգրավում ՀՀ պետական կառավարման համակարգում»</w:t>
      </w:r>
      <w:r w:rsidRPr="009070BD">
        <w:rPr>
          <w:b w:val="0"/>
          <w:noProof/>
          <w:szCs w:val="22"/>
          <w:lang w:val="af-ZA" w:eastAsia="en-US"/>
        </w:rPr>
        <w:t xml:space="preserve"> </w:t>
      </w:r>
      <w:r w:rsidRPr="009070BD">
        <w:rPr>
          <w:b w:val="0"/>
          <w:noProof/>
          <w:szCs w:val="22"/>
          <w:lang w:val="en-US" w:eastAsia="en-US"/>
        </w:rPr>
        <w:t>միջոցառման</w:t>
      </w:r>
      <w:r w:rsidRPr="009070BD">
        <w:rPr>
          <w:b w:val="0"/>
          <w:noProof/>
          <w:szCs w:val="22"/>
          <w:lang w:val="af-ZA" w:eastAsia="en-US"/>
        </w:rPr>
        <w:t xml:space="preserve"> </w:t>
      </w:r>
      <w:r w:rsidRPr="009070BD">
        <w:rPr>
          <w:b w:val="0"/>
          <w:noProof/>
          <w:szCs w:val="22"/>
          <w:lang w:val="hy-AM" w:eastAsia="en-US"/>
        </w:rPr>
        <w:t>շրջանակներում նախատեսվում է</w:t>
      </w:r>
      <w:r w:rsidRPr="009070BD">
        <w:rPr>
          <w:rFonts w:ascii="Times New Roman" w:hAnsi="Times New Roman"/>
          <w:b w:val="0"/>
          <w:sz w:val="24"/>
          <w:lang w:val="af-ZA" w:eastAsia="en-US"/>
        </w:rPr>
        <w:t xml:space="preserve"> </w:t>
      </w:r>
      <w:r w:rsidRPr="009070BD">
        <w:rPr>
          <w:b w:val="0"/>
          <w:noProof/>
          <w:szCs w:val="22"/>
          <w:lang w:val="hy-AM" w:eastAsia="en-US"/>
        </w:rPr>
        <w:t>սփյուռքի բարձր որակավորում ունեցող  մասնագետների ներգրավում ՀՀ հանրային քաղաքականության ոլորտում,  ՀՀ զարգացման նոր ծրագրերի մշակում՛ նկատի ունենալով միջազգային փորձը</w:t>
      </w:r>
      <w:r w:rsidRPr="009070BD">
        <w:rPr>
          <w:b w:val="0"/>
          <w:szCs w:val="22"/>
          <w:lang w:val="af-ZA" w:eastAsia="en-US"/>
        </w:rPr>
        <w:t>:</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hy-AM" w:eastAsia="en-US"/>
        </w:rPr>
        <w:t xml:space="preserve">Ի տարբերություն 2020 թվականին նախատեսված </w:t>
      </w:r>
      <w:r w:rsidRPr="009070BD">
        <w:rPr>
          <w:b w:val="0"/>
          <w:noProof/>
          <w:szCs w:val="22"/>
          <w:lang w:val="af-ZA" w:eastAsia="en-US"/>
        </w:rPr>
        <w:t>«</w:t>
      </w:r>
      <w:r w:rsidRPr="009070BD">
        <w:rPr>
          <w:b w:val="0"/>
          <w:szCs w:val="22"/>
          <w:lang w:val="en-US" w:eastAsia="en-US"/>
        </w:rPr>
        <w:t>Հանրային</w:t>
      </w:r>
      <w:r w:rsidRPr="009070BD">
        <w:rPr>
          <w:b w:val="0"/>
          <w:szCs w:val="22"/>
          <w:lang w:val="pt-BR" w:eastAsia="en-US"/>
        </w:rPr>
        <w:t xml:space="preserve"> </w:t>
      </w:r>
      <w:r w:rsidRPr="009070BD">
        <w:rPr>
          <w:b w:val="0"/>
          <w:szCs w:val="22"/>
          <w:lang w:val="en-US" w:eastAsia="en-US"/>
        </w:rPr>
        <w:t>ոլորտում</w:t>
      </w:r>
      <w:r w:rsidRPr="009070BD">
        <w:rPr>
          <w:b w:val="0"/>
          <w:szCs w:val="22"/>
          <w:lang w:val="pt-BR" w:eastAsia="en-US"/>
        </w:rPr>
        <w:t xml:space="preserve"> </w:t>
      </w:r>
      <w:r w:rsidRPr="009070BD">
        <w:rPr>
          <w:b w:val="0"/>
          <w:szCs w:val="22"/>
          <w:lang w:val="en-US" w:eastAsia="en-US"/>
        </w:rPr>
        <w:t>սփյուռքահայ</w:t>
      </w:r>
      <w:r w:rsidRPr="009070BD">
        <w:rPr>
          <w:b w:val="0"/>
          <w:szCs w:val="22"/>
          <w:lang w:val="pt-BR" w:eastAsia="en-US"/>
        </w:rPr>
        <w:t xml:space="preserve"> </w:t>
      </w:r>
      <w:r w:rsidRPr="009070BD">
        <w:rPr>
          <w:b w:val="0"/>
          <w:szCs w:val="22"/>
          <w:lang w:val="en-US" w:eastAsia="en-US"/>
        </w:rPr>
        <w:t>երիտասարդ</w:t>
      </w:r>
      <w:r w:rsidRPr="009070BD">
        <w:rPr>
          <w:b w:val="0"/>
          <w:szCs w:val="22"/>
          <w:lang w:val="pt-BR" w:eastAsia="en-US"/>
        </w:rPr>
        <w:t xml:space="preserve"> </w:t>
      </w:r>
      <w:r w:rsidRPr="009070BD">
        <w:rPr>
          <w:b w:val="0"/>
          <w:szCs w:val="22"/>
          <w:lang w:val="en-US" w:eastAsia="en-US"/>
        </w:rPr>
        <w:t>մասնագետների</w:t>
      </w:r>
      <w:r w:rsidRPr="009070BD">
        <w:rPr>
          <w:b w:val="0"/>
          <w:szCs w:val="22"/>
          <w:lang w:val="pt-BR" w:eastAsia="en-US"/>
        </w:rPr>
        <w:t xml:space="preserve"> </w:t>
      </w:r>
      <w:r w:rsidRPr="009070BD">
        <w:rPr>
          <w:b w:val="0"/>
          <w:szCs w:val="22"/>
          <w:lang w:val="en-US" w:eastAsia="en-US"/>
        </w:rPr>
        <w:t>պրակտիկայի</w:t>
      </w:r>
      <w:r w:rsidRPr="009070BD">
        <w:rPr>
          <w:b w:val="0"/>
          <w:szCs w:val="22"/>
          <w:lang w:val="pt-BR" w:eastAsia="en-US"/>
        </w:rPr>
        <w:t xml:space="preserve"> </w:t>
      </w:r>
      <w:r w:rsidRPr="009070BD">
        <w:rPr>
          <w:b w:val="0"/>
          <w:szCs w:val="22"/>
          <w:lang w:val="en-US" w:eastAsia="en-US"/>
        </w:rPr>
        <w:t>կազմակերպում</w:t>
      </w:r>
      <w:r w:rsidRPr="009070BD">
        <w:rPr>
          <w:b w:val="0"/>
          <w:noProof/>
          <w:szCs w:val="22"/>
          <w:lang w:val="af-ZA" w:eastAsia="en-US"/>
        </w:rPr>
        <w:t>»</w:t>
      </w:r>
      <w:r w:rsidRPr="009070BD">
        <w:rPr>
          <w:b w:val="0"/>
          <w:noProof/>
          <w:szCs w:val="22"/>
          <w:lang w:val="hy-AM" w:eastAsia="en-US"/>
        </w:rPr>
        <w:t xml:space="preserve"> միջոցառման </w:t>
      </w:r>
      <w:r w:rsidRPr="009070BD">
        <w:rPr>
          <w:b w:val="0"/>
          <w:noProof/>
          <w:szCs w:val="22"/>
          <w:lang w:val="af-ZA" w:eastAsia="en-US"/>
        </w:rPr>
        <w:t>(</w:t>
      </w:r>
      <w:r w:rsidRPr="009070BD">
        <w:rPr>
          <w:b w:val="0"/>
          <w:noProof/>
          <w:szCs w:val="22"/>
          <w:lang w:val="hy-AM" w:eastAsia="en-US"/>
        </w:rPr>
        <w:t>շահառուների թիվը՝ 20 երիտասարդ մասնագետներ</w:t>
      </w:r>
      <w:r w:rsidRPr="009070BD">
        <w:rPr>
          <w:b w:val="0"/>
          <w:noProof/>
          <w:szCs w:val="22"/>
          <w:lang w:val="af-ZA" w:eastAsia="en-US"/>
        </w:rPr>
        <w:t>)</w:t>
      </w:r>
      <w:r w:rsidRPr="009070BD">
        <w:rPr>
          <w:b w:val="0"/>
          <w:noProof/>
          <w:szCs w:val="22"/>
          <w:lang w:val="hy-AM" w:eastAsia="en-US"/>
        </w:rPr>
        <w:t xml:space="preserve">, </w:t>
      </w:r>
      <w:r w:rsidRPr="009070BD">
        <w:rPr>
          <w:b w:val="0"/>
          <w:noProof/>
          <w:szCs w:val="22"/>
          <w:lang w:val="af-ZA" w:eastAsia="en-US"/>
        </w:rPr>
        <w:t>202</w:t>
      </w:r>
      <w:r w:rsidRPr="009070BD">
        <w:rPr>
          <w:b w:val="0"/>
          <w:noProof/>
          <w:szCs w:val="22"/>
          <w:lang w:val="hy-AM" w:eastAsia="en-US"/>
        </w:rPr>
        <w:t>1</w:t>
      </w:r>
      <w:r w:rsidRPr="009070BD">
        <w:rPr>
          <w:b w:val="0"/>
          <w:noProof/>
          <w:szCs w:val="22"/>
          <w:lang w:val="af-ZA" w:eastAsia="en-US"/>
        </w:rPr>
        <w:t xml:space="preserve"> </w:t>
      </w:r>
      <w:r w:rsidRPr="009070BD">
        <w:rPr>
          <w:b w:val="0"/>
          <w:noProof/>
          <w:szCs w:val="22"/>
          <w:lang w:val="hy-AM" w:eastAsia="en-US"/>
        </w:rPr>
        <w:t xml:space="preserve">թվականին, հիմք ընդունելով ՀՀ կառավարության 27.08.2020 թվականի </w:t>
      </w:r>
      <w:r w:rsidRPr="009070BD">
        <w:rPr>
          <w:b w:val="0"/>
          <w:noProof/>
          <w:szCs w:val="22"/>
          <w:lang w:val="af-ZA" w:eastAsia="en-US"/>
        </w:rPr>
        <w:t>N 1467-</w:t>
      </w:r>
      <w:r w:rsidRPr="009070BD">
        <w:rPr>
          <w:b w:val="0"/>
          <w:noProof/>
          <w:szCs w:val="22"/>
          <w:lang w:val="hy-AM" w:eastAsia="en-US"/>
        </w:rPr>
        <w:t>Ն որոշումը, միջոցառումը վերանվանվել է և ընդլայնվել է շահառուների թիվը՝ ընդգրկելով 100 մասնագետի</w:t>
      </w:r>
      <w:r w:rsidRPr="009070BD">
        <w:rPr>
          <w:b w:val="0"/>
          <w:noProof/>
          <w:szCs w:val="22"/>
          <w:lang w:val="af-ZA" w:eastAsia="en-US"/>
        </w:rPr>
        <w:t xml:space="preserve">:  </w:t>
      </w:r>
    </w:p>
    <w:p w:rsidR="00C6276C" w:rsidRPr="009070BD" w:rsidRDefault="00C6276C" w:rsidP="007730AA">
      <w:pPr>
        <w:numPr>
          <w:ilvl w:val="12"/>
          <w:numId w:val="0"/>
        </w:numPr>
        <w:tabs>
          <w:tab w:val="left" w:pos="851"/>
        </w:tabs>
        <w:spacing w:before="0" w:line="276" w:lineRule="auto"/>
        <w:ind w:firstLine="720"/>
        <w:contextualSpacing w:val="0"/>
        <w:rPr>
          <w:b w:val="0"/>
          <w:szCs w:val="22"/>
          <w:lang w:val="af-ZA" w:eastAsia="en-US"/>
        </w:rPr>
      </w:pPr>
      <w:r w:rsidRPr="009070BD">
        <w:rPr>
          <w:b w:val="0"/>
          <w:i/>
          <w:noProof/>
          <w:szCs w:val="22"/>
          <w:lang w:val="af-ZA" w:eastAsia="en-US"/>
        </w:rPr>
        <w:t>«</w:t>
      </w:r>
      <w:r w:rsidRPr="009070BD">
        <w:rPr>
          <w:b w:val="0"/>
          <w:i/>
          <w:noProof/>
          <w:szCs w:val="22"/>
          <w:lang w:val="hy-AM" w:eastAsia="en-US"/>
        </w:rPr>
        <w:t>Աջակցություն</w:t>
      </w:r>
      <w:r w:rsidRPr="009070BD">
        <w:rPr>
          <w:b w:val="0"/>
          <w:i/>
          <w:noProof/>
          <w:szCs w:val="22"/>
          <w:lang w:val="af-ZA" w:eastAsia="en-US"/>
        </w:rPr>
        <w:t xml:space="preserve"> </w:t>
      </w:r>
      <w:r w:rsidRPr="009070BD">
        <w:rPr>
          <w:b w:val="0"/>
          <w:i/>
          <w:noProof/>
          <w:szCs w:val="22"/>
          <w:lang w:val="hy-AM" w:eastAsia="en-US"/>
        </w:rPr>
        <w:t>Վրաստանի</w:t>
      </w:r>
      <w:r w:rsidRPr="009070BD">
        <w:rPr>
          <w:b w:val="0"/>
          <w:i/>
          <w:noProof/>
          <w:szCs w:val="22"/>
          <w:lang w:val="af-ZA" w:eastAsia="en-US"/>
        </w:rPr>
        <w:t xml:space="preserve"> </w:t>
      </w:r>
      <w:r w:rsidRPr="009070BD">
        <w:rPr>
          <w:b w:val="0"/>
          <w:i/>
          <w:noProof/>
          <w:szCs w:val="22"/>
          <w:lang w:val="hy-AM" w:eastAsia="en-US"/>
        </w:rPr>
        <w:t>հայալեզու</w:t>
      </w:r>
      <w:r w:rsidRPr="009070BD">
        <w:rPr>
          <w:b w:val="0"/>
          <w:i/>
          <w:noProof/>
          <w:szCs w:val="22"/>
          <w:lang w:val="af-ZA" w:eastAsia="en-US"/>
        </w:rPr>
        <w:t xml:space="preserve"> </w:t>
      </w:r>
      <w:r w:rsidRPr="009070BD">
        <w:rPr>
          <w:b w:val="0"/>
          <w:i/>
          <w:noProof/>
          <w:szCs w:val="22"/>
          <w:lang w:val="hy-AM" w:eastAsia="en-US"/>
        </w:rPr>
        <w:t>լրատվամիջոցներին</w:t>
      </w:r>
      <w:r w:rsidRPr="009070BD">
        <w:rPr>
          <w:b w:val="0"/>
          <w:i/>
          <w:noProof/>
          <w:szCs w:val="22"/>
          <w:lang w:val="af-ZA" w:eastAsia="en-US"/>
        </w:rPr>
        <w:t>»</w:t>
      </w:r>
      <w:r w:rsidRPr="009070BD">
        <w:rPr>
          <w:b w:val="0"/>
          <w:noProof/>
          <w:szCs w:val="22"/>
          <w:lang w:val="hy-AM" w:eastAsia="en-US"/>
        </w:rPr>
        <w:t xml:space="preserve"> միջոցառման շրջանակներում նախատեսվում է՝ հայկական լրատվամիջոցների, գործող կայքէջերի և հեռուստաալիքների միջոցով հայ ազգաբնակչության շրջանում տարածաշրջանի քաղաքական, սոցիալական, ազգային և մշակութային կյանքի վերաբերյալ տեղեկատվության տարածում</w:t>
      </w:r>
      <w:r w:rsidRPr="009070BD">
        <w:rPr>
          <w:b w:val="0"/>
          <w:szCs w:val="22"/>
          <w:lang w:val="af-ZA" w:eastAsia="en-US"/>
        </w:rPr>
        <w:t>:</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hy-AM" w:eastAsia="en-US"/>
        </w:rPr>
        <w:t xml:space="preserve"> Նախատեսվում</w:t>
      </w:r>
      <w:r w:rsidRPr="009070BD">
        <w:rPr>
          <w:b w:val="0"/>
          <w:noProof/>
          <w:szCs w:val="22"/>
          <w:lang w:val="af-ZA" w:eastAsia="en-US"/>
        </w:rPr>
        <w:t xml:space="preserve"> </w:t>
      </w:r>
      <w:r w:rsidRPr="009070BD">
        <w:rPr>
          <w:b w:val="0"/>
          <w:noProof/>
          <w:szCs w:val="22"/>
          <w:lang w:val="hy-AM" w:eastAsia="en-US"/>
        </w:rPr>
        <w:t>է</w:t>
      </w:r>
      <w:r w:rsidRPr="009070BD">
        <w:rPr>
          <w:b w:val="0"/>
          <w:noProof/>
          <w:szCs w:val="22"/>
          <w:lang w:val="af-ZA" w:eastAsia="en-US"/>
        </w:rPr>
        <w:t xml:space="preserve"> 202</w:t>
      </w:r>
      <w:r w:rsidRPr="009070BD">
        <w:rPr>
          <w:b w:val="0"/>
          <w:noProof/>
          <w:szCs w:val="22"/>
          <w:lang w:val="hy-AM" w:eastAsia="en-US"/>
        </w:rPr>
        <w:t>1</w:t>
      </w:r>
      <w:r w:rsidRPr="009070BD">
        <w:rPr>
          <w:b w:val="0"/>
          <w:noProof/>
          <w:szCs w:val="22"/>
          <w:lang w:val="af-ZA" w:eastAsia="en-US"/>
        </w:rPr>
        <w:t xml:space="preserve"> </w:t>
      </w:r>
      <w:r w:rsidRPr="009070BD">
        <w:rPr>
          <w:b w:val="0"/>
          <w:noProof/>
          <w:szCs w:val="22"/>
          <w:lang w:val="hy-AM" w:eastAsia="en-US"/>
        </w:rPr>
        <w:t>թվականին, ինչպես նաև 2020 թվականին</w:t>
      </w:r>
      <w:r w:rsidRPr="009070BD">
        <w:rPr>
          <w:b w:val="0"/>
          <w:noProof/>
          <w:szCs w:val="22"/>
          <w:lang w:val="af-ZA" w:eastAsia="en-US"/>
        </w:rPr>
        <w:t xml:space="preserve"> </w:t>
      </w:r>
      <w:r w:rsidRPr="009070BD">
        <w:rPr>
          <w:b w:val="0"/>
          <w:noProof/>
          <w:szCs w:val="22"/>
          <w:lang w:val="hy-AM" w:eastAsia="en-US"/>
        </w:rPr>
        <w:t>Վրաստանի հանրապետության քաղաք Ախլքալակում և համանուն շրջանի գյուղերում տեղեկատվության հասանելիությունը</w:t>
      </w:r>
      <w:r w:rsidRPr="009070BD">
        <w:rPr>
          <w:b w:val="0"/>
          <w:noProof/>
          <w:szCs w:val="22"/>
          <w:lang w:val="af-ZA" w:eastAsia="en-US"/>
        </w:rPr>
        <w:t xml:space="preserve"> </w:t>
      </w:r>
      <w:r w:rsidRPr="009070BD">
        <w:rPr>
          <w:b w:val="0"/>
          <w:noProof/>
          <w:szCs w:val="22"/>
          <w:lang w:val="hy-AM" w:eastAsia="en-US"/>
        </w:rPr>
        <w:t>ապահովել 100</w:t>
      </w:r>
      <w:r w:rsidRPr="009070BD">
        <w:rPr>
          <w:b w:val="0"/>
          <w:noProof/>
          <w:szCs w:val="22"/>
          <w:lang w:val="af-ZA" w:eastAsia="en-US"/>
        </w:rPr>
        <w:t>%-</w:t>
      </w:r>
      <w:r w:rsidRPr="009070BD">
        <w:rPr>
          <w:b w:val="0"/>
          <w:noProof/>
          <w:szCs w:val="22"/>
          <w:lang w:val="hy-AM" w:eastAsia="en-US"/>
        </w:rPr>
        <w:t>ով</w:t>
      </w:r>
      <w:r w:rsidRPr="009070BD">
        <w:rPr>
          <w:b w:val="0"/>
          <w:noProof/>
          <w:szCs w:val="22"/>
          <w:lang w:val="af-ZA" w:eastAsia="en-US"/>
        </w:rPr>
        <w:t xml:space="preserve">:  </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hy-AM" w:eastAsia="en-US"/>
        </w:rPr>
      </w:pPr>
      <w:r w:rsidRPr="009070BD">
        <w:rPr>
          <w:b w:val="0"/>
          <w:noProof/>
          <w:szCs w:val="22"/>
          <w:lang w:val="af-ZA" w:eastAsia="en-US"/>
        </w:rPr>
        <w:t>«</w:t>
      </w:r>
      <w:r w:rsidRPr="009070BD">
        <w:rPr>
          <w:b w:val="0"/>
          <w:noProof/>
          <w:szCs w:val="22"/>
          <w:lang w:val="hy-AM" w:eastAsia="en-US"/>
        </w:rPr>
        <w:t>Հայրենադարձության ինտեգրման կենտրոն</w:t>
      </w:r>
      <w:r w:rsidRPr="009070BD">
        <w:rPr>
          <w:b w:val="0"/>
          <w:noProof/>
          <w:szCs w:val="22"/>
          <w:lang w:val="af-ZA" w:eastAsia="en-US"/>
        </w:rPr>
        <w:t>»</w:t>
      </w:r>
      <w:r w:rsidRPr="009070BD">
        <w:rPr>
          <w:b w:val="0"/>
          <w:noProof/>
          <w:szCs w:val="22"/>
          <w:lang w:val="hy-AM" w:eastAsia="en-US"/>
        </w:rPr>
        <w:t xml:space="preserve"> նոր միջոցառման շրջանակներում նախատեսվում է մեկ պատուհանի սկզբունքով ՀՀ-ում ինտեգրման հարցում աջակցության ցուցաբերում պոտենցիալ հայրենադարձներին</w:t>
      </w:r>
      <w:r w:rsidRPr="009070BD">
        <w:rPr>
          <w:b w:val="0"/>
          <w:noProof/>
          <w:szCs w:val="22"/>
          <w:lang w:val="af-ZA" w:eastAsia="en-US"/>
        </w:rPr>
        <w:t>:</w:t>
      </w:r>
      <w:r w:rsidRPr="009070BD">
        <w:rPr>
          <w:b w:val="0"/>
          <w:noProof/>
          <w:szCs w:val="22"/>
          <w:lang w:val="hy-AM" w:eastAsia="en-US"/>
        </w:rPr>
        <w:t xml:space="preserve"> </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hy-AM" w:eastAsia="en-US"/>
        </w:rPr>
      </w:pPr>
      <w:r w:rsidRPr="009070BD">
        <w:rPr>
          <w:b w:val="0"/>
          <w:noProof/>
          <w:szCs w:val="22"/>
          <w:lang w:val="hy-AM" w:eastAsia="en-US"/>
        </w:rPr>
        <w:t>Հայրենադարձների թիվը 2021 թվականին կանխատեսվում է 3000 մարդ</w:t>
      </w:r>
      <w:r w:rsidRPr="009070BD">
        <w:rPr>
          <w:b w:val="0"/>
          <w:noProof/>
          <w:szCs w:val="22"/>
          <w:lang w:val="af-ZA" w:eastAsia="en-US"/>
        </w:rPr>
        <w:t>:</w:t>
      </w:r>
      <w:r w:rsidRPr="009070BD">
        <w:rPr>
          <w:b w:val="0"/>
          <w:noProof/>
          <w:szCs w:val="22"/>
          <w:lang w:val="hy-AM" w:eastAsia="en-US"/>
        </w:rPr>
        <w:t xml:space="preserve"> </w:t>
      </w:r>
    </w:p>
    <w:p w:rsidR="00C6276C" w:rsidRPr="009070BD" w:rsidRDefault="00C6276C" w:rsidP="007730AA">
      <w:pPr>
        <w:numPr>
          <w:ilvl w:val="12"/>
          <w:numId w:val="0"/>
        </w:numPr>
        <w:tabs>
          <w:tab w:val="left" w:pos="851"/>
        </w:tabs>
        <w:spacing w:before="0" w:line="276" w:lineRule="auto"/>
        <w:ind w:firstLine="720"/>
        <w:contextualSpacing w:val="0"/>
        <w:rPr>
          <w:rFonts w:cs="Sylfaen"/>
          <w:b w:val="0"/>
          <w:kern w:val="16"/>
          <w:szCs w:val="22"/>
          <w:lang w:val="pt-BR" w:eastAsia="en-US"/>
        </w:rPr>
      </w:pPr>
      <w:r w:rsidRPr="009070BD">
        <w:rPr>
          <w:noProof/>
          <w:szCs w:val="22"/>
          <w:lang w:val="hy-AM" w:eastAsia="en-US"/>
        </w:rPr>
        <w:t>ՀՀ զարգացման գործընթացներում Սփյուռքի ներուժի ներգրավում</w:t>
      </w:r>
      <w:r w:rsidRPr="009070BD">
        <w:rPr>
          <w:b w:val="0"/>
          <w:noProof/>
          <w:szCs w:val="22"/>
          <w:lang w:val="hy-AM" w:eastAsia="en-US"/>
        </w:rPr>
        <w:t xml:space="preserve"> ծրագրի նպատակը՝  ապահովել </w:t>
      </w:r>
      <w:r w:rsidRPr="009070BD">
        <w:rPr>
          <w:rFonts w:cs="Sylfaen"/>
          <w:b w:val="0"/>
          <w:bCs/>
          <w:szCs w:val="22"/>
          <w:lang w:val="hy-AM" w:eastAsia="en-US"/>
        </w:rPr>
        <w:t xml:space="preserve">Սփյուռքի ներուժի բացահայտումը, Սփյուռքի ներուժի վերաբերյալ տեղեկատվական համակարգերի ստեղծումը, Հայաստան-Սփյուռք համատեղ ծրագրերի իրականացումը, ըստ ոլորտների համահայկական մասնագիտական ցանցերի ստեղծումը: </w:t>
      </w:r>
      <w:r w:rsidRPr="009070BD">
        <w:rPr>
          <w:rFonts w:cs="Sylfaen"/>
          <w:b w:val="0"/>
          <w:kern w:val="16"/>
          <w:szCs w:val="22"/>
          <w:lang w:val="pt-BR" w:eastAsia="en-US"/>
        </w:rPr>
        <w:t xml:space="preserve"> </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pt-BR" w:eastAsia="en-US"/>
        </w:rPr>
      </w:pPr>
      <w:r w:rsidRPr="009070BD">
        <w:rPr>
          <w:b w:val="0"/>
          <w:noProof/>
          <w:szCs w:val="22"/>
          <w:lang w:val="en-US" w:eastAsia="en-US"/>
        </w:rPr>
        <w:t>Ծրագրի</w:t>
      </w:r>
      <w:r w:rsidRPr="009070BD">
        <w:rPr>
          <w:b w:val="0"/>
          <w:noProof/>
          <w:szCs w:val="22"/>
          <w:lang w:val="pt-BR" w:eastAsia="en-US"/>
        </w:rPr>
        <w:t xml:space="preserve"> </w:t>
      </w:r>
      <w:r w:rsidRPr="009070BD">
        <w:rPr>
          <w:b w:val="0"/>
          <w:noProof/>
          <w:szCs w:val="22"/>
          <w:lang w:val="en-US" w:eastAsia="en-US"/>
        </w:rPr>
        <w:t>շրջանակներում</w:t>
      </w:r>
      <w:r w:rsidRPr="009070BD">
        <w:rPr>
          <w:b w:val="0"/>
          <w:noProof/>
          <w:szCs w:val="22"/>
          <w:lang w:val="pt-BR" w:eastAsia="en-US"/>
        </w:rPr>
        <w:t xml:space="preserve"> </w:t>
      </w:r>
      <w:r w:rsidRPr="009070BD">
        <w:rPr>
          <w:b w:val="0"/>
          <w:noProof/>
          <w:szCs w:val="22"/>
          <w:lang w:val="en-US" w:eastAsia="en-US"/>
        </w:rPr>
        <w:t>հատկացումներն</w:t>
      </w:r>
      <w:r w:rsidRPr="009070BD">
        <w:rPr>
          <w:b w:val="0"/>
          <w:noProof/>
          <w:szCs w:val="22"/>
          <w:lang w:val="pt-BR" w:eastAsia="en-US"/>
        </w:rPr>
        <w:t xml:space="preserve"> </w:t>
      </w:r>
      <w:r w:rsidRPr="009070BD">
        <w:rPr>
          <w:b w:val="0"/>
          <w:noProof/>
          <w:szCs w:val="22"/>
          <w:lang w:val="en-US" w:eastAsia="en-US"/>
        </w:rPr>
        <w:t>ուղղվելու</w:t>
      </w:r>
      <w:r w:rsidRPr="009070BD">
        <w:rPr>
          <w:b w:val="0"/>
          <w:noProof/>
          <w:szCs w:val="22"/>
          <w:lang w:val="pt-BR" w:eastAsia="en-US"/>
        </w:rPr>
        <w:t xml:space="preserve"> </w:t>
      </w:r>
      <w:r w:rsidRPr="009070BD">
        <w:rPr>
          <w:b w:val="0"/>
          <w:noProof/>
          <w:szCs w:val="22"/>
          <w:lang w:val="en-US" w:eastAsia="en-US"/>
        </w:rPr>
        <w:t>են</w:t>
      </w:r>
      <w:r w:rsidRPr="009070BD">
        <w:rPr>
          <w:b w:val="0"/>
          <w:noProof/>
          <w:szCs w:val="22"/>
          <w:lang w:val="pt-BR" w:eastAsia="en-US"/>
        </w:rPr>
        <w:t xml:space="preserve"> «Սփյուռքի մարդկային ներուժի վերհանում, դրա քարտեզագրում և տեղեկատվական բազայի ստեղծում»</w:t>
      </w:r>
      <w:r w:rsidRPr="009070BD">
        <w:rPr>
          <w:b w:val="0"/>
          <w:noProof/>
          <w:szCs w:val="22"/>
          <w:lang w:val="hy-AM" w:eastAsia="en-US"/>
        </w:rPr>
        <w:t xml:space="preserve"> միջոցառման իրականացմանը</w:t>
      </w:r>
      <w:r w:rsidRPr="009070BD">
        <w:rPr>
          <w:b w:val="0"/>
          <w:noProof/>
          <w:szCs w:val="22"/>
          <w:lang w:val="pt-BR" w:eastAsia="en-US"/>
        </w:rPr>
        <w:t xml:space="preserve">:   </w:t>
      </w:r>
    </w:p>
    <w:p w:rsidR="00C6276C" w:rsidRPr="00120F10" w:rsidRDefault="00C6276C" w:rsidP="007730AA">
      <w:pPr>
        <w:numPr>
          <w:ilvl w:val="12"/>
          <w:numId w:val="0"/>
        </w:numPr>
        <w:tabs>
          <w:tab w:val="left" w:pos="851"/>
        </w:tabs>
        <w:spacing w:before="0" w:line="276" w:lineRule="auto"/>
        <w:ind w:firstLine="720"/>
        <w:contextualSpacing w:val="0"/>
        <w:rPr>
          <w:b w:val="0"/>
          <w:noProof/>
          <w:szCs w:val="22"/>
          <w:lang w:val="pt-BR" w:eastAsia="en-US"/>
        </w:rPr>
      </w:pPr>
      <w:r w:rsidRPr="009070BD">
        <w:rPr>
          <w:b w:val="0"/>
          <w:noProof/>
          <w:szCs w:val="22"/>
          <w:lang w:val="en-US" w:eastAsia="en-US"/>
        </w:rPr>
        <w:t>Նախատեսվում</w:t>
      </w:r>
      <w:r w:rsidRPr="009070BD">
        <w:rPr>
          <w:b w:val="0"/>
          <w:noProof/>
          <w:szCs w:val="22"/>
          <w:lang w:val="pt-BR" w:eastAsia="en-US"/>
        </w:rPr>
        <w:t xml:space="preserve"> </w:t>
      </w:r>
      <w:r w:rsidRPr="009070BD">
        <w:rPr>
          <w:b w:val="0"/>
          <w:noProof/>
          <w:szCs w:val="22"/>
          <w:lang w:val="en-US" w:eastAsia="en-US"/>
        </w:rPr>
        <w:t>է</w:t>
      </w:r>
      <w:r w:rsidRPr="009070BD">
        <w:rPr>
          <w:b w:val="0"/>
          <w:noProof/>
          <w:szCs w:val="22"/>
          <w:lang w:val="pt-BR" w:eastAsia="en-US"/>
        </w:rPr>
        <w:t xml:space="preserve"> 2021 </w:t>
      </w:r>
      <w:r w:rsidRPr="009070BD">
        <w:rPr>
          <w:b w:val="0"/>
          <w:noProof/>
          <w:szCs w:val="22"/>
          <w:lang w:val="en-US" w:eastAsia="en-US"/>
        </w:rPr>
        <w:t>թվականին</w:t>
      </w:r>
      <w:r w:rsidRPr="009070BD">
        <w:rPr>
          <w:b w:val="0"/>
          <w:noProof/>
          <w:szCs w:val="22"/>
          <w:lang w:val="hy-AM" w:eastAsia="en-US"/>
        </w:rPr>
        <w:t xml:space="preserve"> հավաքագրել սփյուռքի մարդկային ներուժի 50 000 տվյալ, որի մեջ ոլորտային մասնագետների գծով տվյալները կկազմեն 50</w:t>
      </w:r>
      <w:r w:rsidRPr="009070BD">
        <w:rPr>
          <w:b w:val="0"/>
          <w:noProof/>
          <w:szCs w:val="22"/>
          <w:lang w:val="af-ZA" w:eastAsia="en-US"/>
        </w:rPr>
        <w:t>%</w:t>
      </w:r>
      <w:r w:rsidRPr="009070BD">
        <w:rPr>
          <w:b w:val="0"/>
          <w:noProof/>
          <w:szCs w:val="22"/>
          <w:lang w:val="pt-BR" w:eastAsia="en-US"/>
        </w:rPr>
        <w:t xml:space="preserve">: 2020 թվականին  «Սփյուռքի </w:t>
      </w:r>
      <w:r w:rsidRPr="009070BD">
        <w:rPr>
          <w:b w:val="0"/>
          <w:noProof/>
          <w:szCs w:val="22"/>
          <w:lang w:val="hy-AM" w:eastAsia="en-US"/>
        </w:rPr>
        <w:t xml:space="preserve">համայնքների ուսումնասիրությունների իրականացում և </w:t>
      </w:r>
      <w:r w:rsidRPr="009070BD">
        <w:rPr>
          <w:b w:val="0"/>
          <w:noProof/>
          <w:szCs w:val="22"/>
          <w:lang w:val="pt-BR" w:eastAsia="en-US"/>
        </w:rPr>
        <w:t xml:space="preserve">ներուժի </w:t>
      </w:r>
      <w:r w:rsidRPr="009070BD">
        <w:rPr>
          <w:b w:val="0"/>
          <w:noProof/>
          <w:szCs w:val="22"/>
          <w:lang w:val="hy-AM" w:eastAsia="en-US"/>
        </w:rPr>
        <w:t>բացահայտում</w:t>
      </w:r>
      <w:r w:rsidRPr="009070BD">
        <w:rPr>
          <w:b w:val="0"/>
          <w:noProof/>
          <w:szCs w:val="22"/>
          <w:lang w:val="pt-BR" w:eastAsia="en-US"/>
        </w:rPr>
        <w:t>»</w:t>
      </w:r>
      <w:r w:rsidRPr="009070BD">
        <w:rPr>
          <w:b w:val="0"/>
          <w:noProof/>
          <w:szCs w:val="22"/>
          <w:lang w:val="hy-AM" w:eastAsia="en-US"/>
        </w:rPr>
        <w:t xml:space="preserve"> միջոցառման շրջանակներում նախատեսված էր սփյուռքի մարդկային ներուժի 70 000 տվյալի </w:t>
      </w:r>
      <w:r w:rsidRPr="00120F10">
        <w:rPr>
          <w:b w:val="0"/>
          <w:noProof/>
          <w:szCs w:val="22"/>
          <w:lang w:val="hy-AM" w:eastAsia="en-US"/>
        </w:rPr>
        <w:t>հավաքագրում, որի մեջ ոլորտային մասնագետների գծով տվյալները կազմում են 40</w:t>
      </w:r>
      <w:r w:rsidRPr="00120F10">
        <w:rPr>
          <w:b w:val="0"/>
          <w:noProof/>
          <w:szCs w:val="22"/>
          <w:lang w:val="af-ZA" w:eastAsia="en-US"/>
        </w:rPr>
        <w:t>%</w:t>
      </w:r>
      <w:r w:rsidRPr="00120F10">
        <w:rPr>
          <w:b w:val="0"/>
          <w:noProof/>
          <w:szCs w:val="22"/>
          <w:lang w:val="pt-BR" w:eastAsia="en-US"/>
        </w:rPr>
        <w:t>:</w:t>
      </w:r>
    </w:p>
    <w:p w:rsidR="00C769AF" w:rsidRPr="00120F10" w:rsidRDefault="00C769AF" w:rsidP="007730AA">
      <w:pPr>
        <w:spacing w:before="0" w:line="276" w:lineRule="auto"/>
        <w:ind w:firstLine="720"/>
        <w:rPr>
          <w:rFonts w:cs="Times LatArm"/>
          <w:b w:val="0"/>
          <w:szCs w:val="22"/>
          <w:lang w:val="hy-AM"/>
        </w:rPr>
      </w:pPr>
      <w:r w:rsidRPr="00120F10">
        <w:rPr>
          <w:rFonts w:cs="Times LatArm"/>
          <w:szCs w:val="22"/>
          <w:lang w:val="hy-AM"/>
        </w:rPr>
        <w:t>«Քաղաքացիական ծառայո</w:t>
      </w:r>
      <w:r w:rsidR="00120F10" w:rsidRPr="00120F10">
        <w:rPr>
          <w:rFonts w:cs="Times LatArm"/>
          <w:szCs w:val="22"/>
          <w:lang w:val="hy-AM"/>
        </w:rPr>
        <w:t>ղ</w:t>
      </w:r>
      <w:r w:rsidRPr="00120F10">
        <w:rPr>
          <w:rFonts w:cs="Times LatArm"/>
          <w:szCs w:val="22"/>
          <w:lang w:val="hy-AM"/>
        </w:rPr>
        <w:t>ների վերապատրաստում» ծրագրի</w:t>
      </w:r>
      <w:r w:rsidRPr="00120F10">
        <w:rPr>
          <w:rFonts w:cs="Times LatArm"/>
          <w:b w:val="0"/>
          <w:szCs w:val="22"/>
          <w:lang w:val="hy-AM"/>
        </w:rPr>
        <w:t xml:space="preserve"> «ՀՀ քաղաքացիական ծառայողների վերապատրաստման ծառայություններ միջոցառման գծով 2021 թվականին նախատեսվում է հատկացնել 19.</w:t>
      </w:r>
      <w:r w:rsidR="00120F10" w:rsidRPr="00120F10">
        <w:rPr>
          <w:rFonts w:cs="Times LatArm"/>
          <w:b w:val="0"/>
          <w:szCs w:val="22"/>
          <w:lang w:val="hy-AM"/>
        </w:rPr>
        <w:t>8</w:t>
      </w:r>
      <w:r w:rsidRPr="00120F10">
        <w:rPr>
          <w:rFonts w:cs="Times LatArm"/>
          <w:b w:val="0"/>
          <w:szCs w:val="22"/>
          <w:lang w:val="hy-AM"/>
        </w:rPr>
        <w:t xml:space="preserve"> մլն դրամ՝ քաղաքացիական ծառայողների մասնագիտական գիտելիքների, աշխատանքային ունակությունների հետևողական վերապատրաստման և ուսուցման նպատակով: </w:t>
      </w:r>
    </w:p>
    <w:p w:rsidR="008F33A3" w:rsidRPr="00C769AF" w:rsidRDefault="00C769AF" w:rsidP="007730AA">
      <w:pPr>
        <w:spacing w:before="0" w:line="276" w:lineRule="auto"/>
        <w:ind w:firstLine="720"/>
        <w:contextualSpacing w:val="0"/>
        <w:rPr>
          <w:rFonts w:cs="Sylfaen"/>
          <w:b w:val="0"/>
          <w:bCs/>
          <w:szCs w:val="22"/>
          <w:lang w:val="af-ZA" w:eastAsia="en-US"/>
        </w:rPr>
      </w:pPr>
      <w:r w:rsidRPr="00120F10">
        <w:rPr>
          <w:rFonts w:cs="Times LatArm"/>
          <w:szCs w:val="22"/>
          <w:lang w:val="hy-AM"/>
        </w:rPr>
        <w:t>«ՀՀ Վարչապետի լիազորությունների իրականացման ապահովում» ծրագրի</w:t>
      </w:r>
      <w:r w:rsidRPr="00120F10">
        <w:rPr>
          <w:rFonts w:cs="Times LatArm"/>
          <w:b w:val="0"/>
          <w:szCs w:val="22"/>
          <w:lang w:val="hy-AM"/>
        </w:rPr>
        <w:t xml:space="preserve"> «Աշխատակազմի մասնագիտական զարգացման ծառայություններ միջոցառման գծով 2021 թվականին նախատեսվում է հատկացնել 1.6 մլն դրամ՝ աշխատակազմի աշխատակիցների մասնագիտական վերապատրաստումներ իրականացման նպատակով:</w:t>
      </w:r>
    </w:p>
    <w:p w:rsidR="004030A5" w:rsidRPr="00382355" w:rsidRDefault="004030A5" w:rsidP="007730AA">
      <w:pPr>
        <w:spacing w:before="0" w:line="276" w:lineRule="auto"/>
        <w:ind w:firstLine="720"/>
        <w:rPr>
          <w:noProof/>
          <w:szCs w:val="22"/>
          <w:lang w:val="af-ZA"/>
        </w:rPr>
      </w:pPr>
      <w:r w:rsidRPr="00C85125">
        <w:rPr>
          <w:rFonts w:cs="Sylfaen"/>
        </w:rPr>
        <w:t>Միաժամանակ</w:t>
      </w:r>
      <w:r w:rsidRPr="00C85125">
        <w:rPr>
          <w:rFonts w:cs="Sylfaen"/>
          <w:lang w:val="fr-FR"/>
        </w:rPr>
        <w:t xml:space="preserve"> </w:t>
      </w:r>
      <w:r w:rsidRPr="00C85125">
        <w:rPr>
          <w:rFonts w:cs="Sylfaen"/>
        </w:rPr>
        <w:t>ՀՀ</w:t>
      </w:r>
      <w:r w:rsidRPr="00C85125">
        <w:rPr>
          <w:rFonts w:cs="Sylfaen"/>
          <w:lang w:val="fr-FR"/>
        </w:rPr>
        <w:t xml:space="preserve"> </w:t>
      </w:r>
      <w:r w:rsidRPr="00C85125">
        <w:rPr>
          <w:rFonts w:cs="Sylfaen"/>
        </w:rPr>
        <w:t>վարչապետի</w:t>
      </w:r>
      <w:r w:rsidRPr="00C85125">
        <w:rPr>
          <w:rFonts w:cs="Sylfaen"/>
          <w:lang w:val="fr-FR"/>
        </w:rPr>
        <w:t xml:space="preserve"> </w:t>
      </w:r>
      <w:r w:rsidRPr="00C85125">
        <w:rPr>
          <w:rFonts w:cs="Sylfaen"/>
        </w:rPr>
        <w:t>աշխատակազմում</w:t>
      </w:r>
      <w:r w:rsidRPr="00C85125">
        <w:rPr>
          <w:rFonts w:cs="Sylfaen"/>
          <w:lang w:val="fr-FR"/>
        </w:rPr>
        <w:t xml:space="preserve"> </w:t>
      </w:r>
      <w:r w:rsidRPr="00C85125">
        <w:rPr>
          <w:rFonts w:cs="Sylfaen"/>
          <w:lang w:val="af-ZA"/>
        </w:rPr>
        <w:t>նախատեսվում են շարունակել և իրականացնել արտաքին աղբյուրներից ստացվող նպատակային վարկային և դրամաշնոր</w:t>
      </w:r>
      <w:r w:rsidRPr="00C85125">
        <w:rPr>
          <w:rFonts w:cs="Sylfaen"/>
          <w:lang w:val="af-ZA"/>
        </w:rPr>
        <w:softHyphen/>
        <w:t>հային միջոցներով հետևյալ ծրագրերը</w:t>
      </w:r>
      <w:r w:rsidRPr="00382355">
        <w:rPr>
          <w:rFonts w:cs="Sylfaen"/>
          <w:lang w:val="af-ZA"/>
        </w:rPr>
        <w:t>.</w:t>
      </w:r>
    </w:p>
    <w:p w:rsidR="00E63FF8" w:rsidRPr="009070BD" w:rsidRDefault="00C85125" w:rsidP="007730AA">
      <w:pPr>
        <w:spacing w:before="0" w:line="276" w:lineRule="auto"/>
        <w:ind w:firstLine="720"/>
        <w:rPr>
          <w:b w:val="0"/>
          <w:lang w:val="af-ZA"/>
        </w:rPr>
      </w:pPr>
      <w:r>
        <w:rPr>
          <w:b w:val="0"/>
          <w:lang w:val="af-ZA"/>
        </w:rPr>
        <w:tab/>
      </w:r>
      <w:r w:rsidR="004030A5">
        <w:rPr>
          <w:b w:val="0"/>
          <w:lang w:val="af-ZA"/>
        </w:rPr>
        <w:t xml:space="preserve"> </w:t>
      </w:r>
      <w:r w:rsidRPr="00B35F62">
        <w:rPr>
          <w:b w:val="0"/>
          <w:lang w:val="af-ZA"/>
        </w:rPr>
        <w:tab/>
      </w:r>
      <w:r w:rsidR="00E63FF8" w:rsidRPr="00B35F62">
        <w:rPr>
          <w:b w:val="0"/>
          <w:lang w:val="af-ZA"/>
        </w:rPr>
        <w:tab/>
      </w:r>
      <w:r w:rsidR="00E63FF8" w:rsidRPr="009070BD">
        <w:rPr>
          <w:b w:val="0"/>
          <w:lang w:val="af-ZA"/>
        </w:rPr>
        <w:t xml:space="preserve">1. </w:t>
      </w:r>
      <w:r w:rsidR="00E63FF8" w:rsidRPr="009070BD">
        <w:rPr>
          <w:rFonts w:cs="Sylfaen"/>
          <w:b w:val="0"/>
        </w:rPr>
        <w:t>Համաշխարհային</w:t>
      </w:r>
      <w:r w:rsidR="00E63FF8" w:rsidRPr="009070BD">
        <w:rPr>
          <w:rFonts w:cs="Sylfaen"/>
          <w:b w:val="0"/>
          <w:lang w:val="af-ZA"/>
        </w:rPr>
        <w:t xml:space="preserve"> </w:t>
      </w:r>
      <w:r w:rsidR="00E63FF8" w:rsidRPr="009070BD">
        <w:rPr>
          <w:rFonts w:cs="Sylfaen"/>
          <w:b w:val="0"/>
        </w:rPr>
        <w:t>բանկի</w:t>
      </w:r>
      <w:r w:rsidR="00E63FF8" w:rsidRPr="009070BD">
        <w:rPr>
          <w:rFonts w:cs="Sylfaen"/>
          <w:b w:val="0"/>
          <w:lang w:val="af-ZA"/>
        </w:rPr>
        <w:t xml:space="preserve"> </w:t>
      </w:r>
      <w:r w:rsidR="00E63FF8" w:rsidRPr="009070BD">
        <w:rPr>
          <w:rFonts w:cs="Sylfaen"/>
          <w:b w:val="0"/>
        </w:rPr>
        <w:t>աջակցությամբ</w:t>
      </w:r>
      <w:r w:rsidR="00E63FF8" w:rsidRPr="009070BD">
        <w:rPr>
          <w:rFonts w:cs="Sylfaen"/>
          <w:b w:val="0"/>
          <w:lang w:val="af-ZA"/>
        </w:rPr>
        <w:t xml:space="preserve"> </w:t>
      </w:r>
      <w:r w:rsidR="00E63FF8" w:rsidRPr="009070BD">
        <w:rPr>
          <w:rFonts w:cs="Sylfaen"/>
          <w:b w:val="0"/>
        </w:rPr>
        <w:t>իրականացվող</w:t>
      </w:r>
      <w:r w:rsidR="00E63FF8" w:rsidRPr="009070BD">
        <w:rPr>
          <w:rFonts w:cs="Sylfaen"/>
          <w:b w:val="0"/>
          <w:lang w:val="af-ZA"/>
        </w:rPr>
        <w:t xml:space="preserve"> </w:t>
      </w:r>
      <w:r w:rsidR="00E63FF8" w:rsidRPr="009070BD">
        <w:rPr>
          <w:rFonts w:cs="Sylfaen"/>
          <w:b w:val="0"/>
        </w:rPr>
        <w:t>Պետական</w:t>
      </w:r>
      <w:r w:rsidR="00E63FF8" w:rsidRPr="009070BD">
        <w:rPr>
          <w:rFonts w:cs="Sylfaen"/>
          <w:b w:val="0"/>
          <w:lang w:val="af-ZA"/>
        </w:rPr>
        <w:t xml:space="preserve"> </w:t>
      </w:r>
      <w:r w:rsidR="00E63FF8" w:rsidRPr="009070BD">
        <w:rPr>
          <w:rFonts w:cs="Sylfaen"/>
          <w:b w:val="0"/>
        </w:rPr>
        <w:t>հատվածի</w:t>
      </w:r>
      <w:r w:rsidR="00E63FF8" w:rsidRPr="009070BD">
        <w:rPr>
          <w:rFonts w:cs="Sylfaen"/>
          <w:b w:val="0"/>
          <w:lang w:val="af-ZA"/>
        </w:rPr>
        <w:t xml:space="preserve"> </w:t>
      </w:r>
      <w:r w:rsidR="00E63FF8" w:rsidRPr="009070BD">
        <w:rPr>
          <w:rFonts w:cs="Sylfaen"/>
          <w:b w:val="0"/>
        </w:rPr>
        <w:t>արդիականացման</w:t>
      </w:r>
      <w:r w:rsidR="00E63FF8" w:rsidRPr="009070BD">
        <w:rPr>
          <w:rFonts w:cs="Sylfaen"/>
          <w:b w:val="0"/>
          <w:lang w:val="af-ZA"/>
        </w:rPr>
        <w:t xml:space="preserve"> </w:t>
      </w:r>
      <w:r w:rsidR="00E63FF8" w:rsidRPr="009070BD">
        <w:rPr>
          <w:b w:val="0"/>
        </w:rPr>
        <w:t>երրորդ</w:t>
      </w:r>
      <w:r w:rsidR="00E63FF8" w:rsidRPr="009070BD">
        <w:rPr>
          <w:rFonts w:cs="Sylfaen"/>
          <w:b w:val="0"/>
          <w:lang w:val="af-ZA"/>
        </w:rPr>
        <w:t xml:space="preserve"> </w:t>
      </w:r>
      <w:r w:rsidR="00E63FF8" w:rsidRPr="009070BD">
        <w:rPr>
          <w:rFonts w:cs="Sylfaen"/>
          <w:b w:val="0"/>
        </w:rPr>
        <w:t>ծրագիր</w:t>
      </w:r>
      <w:r w:rsidR="00E63FF8" w:rsidRPr="009070BD">
        <w:rPr>
          <w:rFonts w:cs="Sylfaen"/>
          <w:b w:val="0"/>
          <w:lang w:val="af-ZA"/>
        </w:rPr>
        <w:t xml:space="preserve">, </w:t>
      </w:r>
      <w:r w:rsidR="00E63FF8" w:rsidRPr="009070BD">
        <w:rPr>
          <w:rFonts w:cs="Sylfaen"/>
          <w:b w:val="0"/>
        </w:rPr>
        <w:t>որի</w:t>
      </w:r>
      <w:r w:rsidR="00E63FF8" w:rsidRPr="009070BD">
        <w:rPr>
          <w:b w:val="0"/>
          <w:lang w:val="af-ZA"/>
        </w:rPr>
        <w:t xml:space="preserve"> </w:t>
      </w:r>
      <w:r w:rsidR="00E63FF8" w:rsidRPr="009070BD">
        <w:rPr>
          <w:b w:val="0"/>
        </w:rPr>
        <w:t>նպատակն</w:t>
      </w:r>
      <w:r w:rsidR="00E63FF8" w:rsidRPr="009070BD">
        <w:rPr>
          <w:b w:val="0"/>
          <w:lang w:val="af-ZA"/>
        </w:rPr>
        <w:t xml:space="preserve"> </w:t>
      </w:r>
      <w:r w:rsidR="00E63FF8" w:rsidRPr="009070BD">
        <w:rPr>
          <w:b w:val="0"/>
        </w:rPr>
        <w:t>է</w:t>
      </w:r>
      <w:r w:rsidR="00E63FF8" w:rsidRPr="009070BD">
        <w:rPr>
          <w:b w:val="0"/>
          <w:lang w:val="af-ZA"/>
        </w:rPr>
        <w:t xml:space="preserve"> </w:t>
      </w:r>
      <w:r w:rsidR="00E63FF8" w:rsidRPr="009070BD">
        <w:rPr>
          <w:b w:val="0"/>
        </w:rPr>
        <w:t>բարելավել</w:t>
      </w:r>
      <w:r w:rsidR="00E63FF8" w:rsidRPr="009070BD">
        <w:rPr>
          <w:b w:val="0"/>
          <w:lang w:val="af-ZA"/>
        </w:rPr>
        <w:t xml:space="preserve"> </w:t>
      </w:r>
      <w:r w:rsidR="00E63FF8" w:rsidRPr="009070BD">
        <w:rPr>
          <w:b w:val="0"/>
        </w:rPr>
        <w:t>հանրային</w:t>
      </w:r>
      <w:r w:rsidR="00E63FF8" w:rsidRPr="009070BD">
        <w:rPr>
          <w:b w:val="0"/>
          <w:lang w:val="af-ZA"/>
        </w:rPr>
        <w:t xml:space="preserve"> </w:t>
      </w:r>
      <w:r w:rsidR="00E63FF8" w:rsidRPr="009070BD">
        <w:rPr>
          <w:b w:val="0"/>
        </w:rPr>
        <w:t>հատվածի</w:t>
      </w:r>
      <w:r w:rsidR="00E63FF8" w:rsidRPr="009070BD">
        <w:rPr>
          <w:b w:val="0"/>
          <w:lang w:val="af-ZA"/>
        </w:rPr>
        <w:t xml:space="preserve"> </w:t>
      </w:r>
      <w:r w:rsidR="00E63FF8" w:rsidRPr="009070BD">
        <w:rPr>
          <w:b w:val="0"/>
        </w:rPr>
        <w:t>ֆինանսական</w:t>
      </w:r>
      <w:r w:rsidR="00E63FF8" w:rsidRPr="009070BD">
        <w:rPr>
          <w:b w:val="0"/>
          <w:lang w:val="af-ZA"/>
        </w:rPr>
        <w:t xml:space="preserve"> </w:t>
      </w:r>
      <w:r w:rsidR="00E63FF8" w:rsidRPr="009070BD">
        <w:rPr>
          <w:b w:val="0"/>
        </w:rPr>
        <w:t>հաշվետվությունների</w:t>
      </w:r>
      <w:r w:rsidR="00E63FF8" w:rsidRPr="009070BD">
        <w:rPr>
          <w:b w:val="0"/>
          <w:lang w:val="af-ZA"/>
        </w:rPr>
        <w:t xml:space="preserve"> </w:t>
      </w:r>
      <w:r w:rsidR="00E63FF8" w:rsidRPr="009070BD">
        <w:rPr>
          <w:b w:val="0"/>
        </w:rPr>
        <w:t>որակը</w:t>
      </w:r>
      <w:r w:rsidR="00E63FF8" w:rsidRPr="009070BD">
        <w:rPr>
          <w:b w:val="0"/>
          <w:lang w:val="af-ZA"/>
        </w:rPr>
        <w:t xml:space="preserve"> </w:t>
      </w:r>
      <w:r w:rsidR="00E63FF8" w:rsidRPr="009070BD">
        <w:rPr>
          <w:b w:val="0"/>
        </w:rPr>
        <w:t>և</w:t>
      </w:r>
      <w:r w:rsidR="00E63FF8" w:rsidRPr="009070BD">
        <w:rPr>
          <w:b w:val="0"/>
          <w:lang w:val="af-ZA"/>
        </w:rPr>
        <w:t xml:space="preserve"> հանրության </w:t>
      </w:r>
      <w:r w:rsidR="00E63FF8" w:rsidRPr="009070BD">
        <w:rPr>
          <w:b w:val="0"/>
        </w:rPr>
        <w:t>հասանելիությունը</w:t>
      </w:r>
      <w:r w:rsidR="00E63FF8" w:rsidRPr="009070BD">
        <w:rPr>
          <w:b w:val="0"/>
          <w:lang w:val="af-ZA"/>
        </w:rPr>
        <w:t xml:space="preserve"> ընդլայնված էլեկտրոնային պետական ծառայություններին:</w:t>
      </w:r>
    </w:p>
    <w:p w:rsidR="00E63FF8" w:rsidRPr="009070BD" w:rsidRDefault="00E63FF8" w:rsidP="007730AA">
      <w:pPr>
        <w:spacing w:before="0" w:line="276" w:lineRule="auto"/>
        <w:ind w:firstLine="720"/>
        <w:rPr>
          <w:b w:val="0"/>
          <w:lang w:val="af-ZA"/>
        </w:rPr>
      </w:pPr>
      <w:r w:rsidRPr="009070BD">
        <w:rPr>
          <w:b w:val="0"/>
        </w:rPr>
        <w:t>Ծրագիրը</w:t>
      </w:r>
      <w:r w:rsidRPr="009070BD">
        <w:rPr>
          <w:b w:val="0"/>
          <w:lang w:val="af-ZA"/>
        </w:rPr>
        <w:t xml:space="preserve"> </w:t>
      </w:r>
      <w:r w:rsidRPr="009070BD">
        <w:rPr>
          <w:b w:val="0"/>
        </w:rPr>
        <w:t>բաղկացած</w:t>
      </w:r>
      <w:r w:rsidRPr="009070BD">
        <w:rPr>
          <w:b w:val="0"/>
          <w:lang w:val="af-ZA"/>
        </w:rPr>
        <w:t xml:space="preserve"> </w:t>
      </w:r>
      <w:r w:rsidRPr="009070BD">
        <w:rPr>
          <w:b w:val="0"/>
        </w:rPr>
        <w:t>է</w:t>
      </w:r>
      <w:r w:rsidRPr="009070BD">
        <w:rPr>
          <w:b w:val="0"/>
          <w:lang w:val="af-ZA"/>
        </w:rPr>
        <w:t xml:space="preserve"> </w:t>
      </w:r>
      <w:r w:rsidRPr="009070BD">
        <w:rPr>
          <w:b w:val="0"/>
        </w:rPr>
        <w:t>հետևյալ</w:t>
      </w:r>
      <w:r w:rsidRPr="009070BD">
        <w:rPr>
          <w:b w:val="0"/>
          <w:lang w:val="af-ZA"/>
        </w:rPr>
        <w:t xml:space="preserve"> </w:t>
      </w:r>
      <w:r w:rsidRPr="009070BD">
        <w:rPr>
          <w:b w:val="0"/>
        </w:rPr>
        <w:t>բաղադրիչներից</w:t>
      </w:r>
      <w:r w:rsidRPr="009070BD">
        <w:rPr>
          <w:b w:val="0"/>
          <w:lang w:val="af-ZA"/>
        </w:rPr>
        <w:t>.</w:t>
      </w:r>
    </w:p>
    <w:p w:rsidR="00E63FF8" w:rsidRPr="009070BD" w:rsidRDefault="00E63FF8" w:rsidP="007730AA">
      <w:pPr>
        <w:spacing w:before="0" w:line="276" w:lineRule="auto"/>
        <w:ind w:firstLine="720"/>
        <w:rPr>
          <w:b w:val="0"/>
          <w:lang w:val="af-ZA"/>
        </w:rPr>
      </w:pPr>
      <w:r w:rsidRPr="009070BD">
        <w:rPr>
          <w:b w:val="0"/>
        </w:rPr>
        <w:t>ա</w:t>
      </w:r>
      <w:r w:rsidRPr="009070BD">
        <w:rPr>
          <w:b w:val="0"/>
          <w:lang w:val="af-ZA"/>
        </w:rPr>
        <w:t xml:space="preserve">) </w:t>
      </w:r>
      <w:r w:rsidRPr="009070BD">
        <w:rPr>
          <w:b w:val="0"/>
        </w:rPr>
        <w:t>Պետական</w:t>
      </w:r>
      <w:r w:rsidRPr="009070BD">
        <w:rPr>
          <w:b w:val="0"/>
          <w:lang w:val="af-ZA"/>
        </w:rPr>
        <w:t xml:space="preserve"> </w:t>
      </w:r>
      <w:r w:rsidRPr="009070BD">
        <w:rPr>
          <w:b w:val="0"/>
        </w:rPr>
        <w:t>ֆինանսների</w:t>
      </w:r>
      <w:r w:rsidRPr="009070BD">
        <w:rPr>
          <w:b w:val="0"/>
          <w:lang w:val="af-ZA"/>
        </w:rPr>
        <w:t xml:space="preserve"> </w:t>
      </w:r>
      <w:r w:rsidRPr="009070BD">
        <w:rPr>
          <w:b w:val="0"/>
        </w:rPr>
        <w:t>կառավարման</w:t>
      </w:r>
      <w:r w:rsidRPr="009070BD">
        <w:rPr>
          <w:b w:val="0"/>
          <w:lang w:val="af-ZA"/>
        </w:rPr>
        <w:t xml:space="preserve"> </w:t>
      </w:r>
      <w:r w:rsidRPr="009070BD">
        <w:rPr>
          <w:b w:val="0"/>
        </w:rPr>
        <w:t>տեղեկատվական</w:t>
      </w:r>
      <w:r w:rsidRPr="009070BD">
        <w:rPr>
          <w:b w:val="0"/>
          <w:lang w:val="af-ZA"/>
        </w:rPr>
        <w:t xml:space="preserve"> </w:t>
      </w:r>
      <w:r w:rsidRPr="009070BD">
        <w:rPr>
          <w:b w:val="0"/>
        </w:rPr>
        <w:t>համակարգեր</w:t>
      </w:r>
      <w:r w:rsidRPr="009070BD">
        <w:rPr>
          <w:b w:val="0"/>
          <w:lang w:val="af-ZA"/>
        </w:rPr>
        <w:t>,</w:t>
      </w:r>
    </w:p>
    <w:p w:rsidR="00E63FF8" w:rsidRPr="009070BD" w:rsidRDefault="00E63FF8" w:rsidP="007730AA">
      <w:pPr>
        <w:spacing w:before="0" w:line="276" w:lineRule="auto"/>
        <w:ind w:firstLine="720"/>
        <w:rPr>
          <w:b w:val="0"/>
          <w:lang w:val="af-ZA"/>
        </w:rPr>
      </w:pPr>
      <w:r w:rsidRPr="009070BD">
        <w:rPr>
          <w:b w:val="0"/>
          <w:lang w:val="af-ZA"/>
        </w:rPr>
        <w:t xml:space="preserve">բ) </w:t>
      </w:r>
      <w:r w:rsidRPr="009070BD">
        <w:rPr>
          <w:b w:val="0"/>
        </w:rPr>
        <w:t>Էլեկտրոնային</w:t>
      </w:r>
      <w:r w:rsidRPr="009070BD">
        <w:rPr>
          <w:b w:val="0"/>
          <w:lang w:val="af-ZA"/>
        </w:rPr>
        <w:t xml:space="preserve"> </w:t>
      </w:r>
      <w:r w:rsidRPr="009070BD">
        <w:rPr>
          <w:b w:val="0"/>
        </w:rPr>
        <w:t>կառավարման</w:t>
      </w:r>
      <w:r w:rsidRPr="009070BD">
        <w:rPr>
          <w:b w:val="0"/>
          <w:lang w:val="af-ZA"/>
        </w:rPr>
        <w:t xml:space="preserve"> </w:t>
      </w:r>
      <w:r w:rsidRPr="009070BD">
        <w:rPr>
          <w:b w:val="0"/>
        </w:rPr>
        <w:t>լուծումներ</w:t>
      </w:r>
      <w:r w:rsidRPr="009070BD">
        <w:rPr>
          <w:b w:val="0"/>
          <w:lang w:val="af-ZA"/>
        </w:rPr>
        <w:t xml:space="preserve"> </w:t>
      </w:r>
      <w:r w:rsidRPr="009070BD">
        <w:rPr>
          <w:b w:val="0"/>
        </w:rPr>
        <w:t>բարելավված</w:t>
      </w:r>
      <w:r w:rsidRPr="009070BD">
        <w:rPr>
          <w:b w:val="0"/>
          <w:lang w:val="af-ZA"/>
        </w:rPr>
        <w:t xml:space="preserve"> </w:t>
      </w:r>
      <w:r w:rsidRPr="009070BD">
        <w:rPr>
          <w:b w:val="0"/>
        </w:rPr>
        <w:t>ծառայությունների</w:t>
      </w:r>
      <w:r w:rsidRPr="009070BD">
        <w:rPr>
          <w:b w:val="0"/>
          <w:lang w:val="af-ZA"/>
        </w:rPr>
        <w:t xml:space="preserve"> </w:t>
      </w:r>
      <w:r w:rsidRPr="009070BD">
        <w:rPr>
          <w:b w:val="0"/>
        </w:rPr>
        <w:t>մատուցման</w:t>
      </w:r>
      <w:r w:rsidRPr="009070BD">
        <w:rPr>
          <w:b w:val="0"/>
          <w:lang w:val="af-ZA"/>
        </w:rPr>
        <w:t xml:space="preserve"> </w:t>
      </w:r>
      <w:r w:rsidRPr="009070BD">
        <w:rPr>
          <w:b w:val="0"/>
        </w:rPr>
        <w:t>համար</w:t>
      </w:r>
      <w:r w:rsidRPr="009070BD">
        <w:rPr>
          <w:b w:val="0"/>
          <w:lang w:val="af-ZA"/>
        </w:rPr>
        <w:t>,</w:t>
      </w:r>
    </w:p>
    <w:p w:rsidR="00E63FF8" w:rsidRPr="009070BD" w:rsidRDefault="00E63FF8" w:rsidP="007730AA">
      <w:pPr>
        <w:spacing w:before="0" w:line="276" w:lineRule="auto"/>
        <w:ind w:firstLine="720"/>
        <w:rPr>
          <w:b w:val="0"/>
          <w:lang w:val="af-ZA"/>
        </w:rPr>
      </w:pPr>
      <w:r w:rsidRPr="009070BD">
        <w:rPr>
          <w:b w:val="0"/>
          <w:lang w:val="af-ZA"/>
        </w:rPr>
        <w:t xml:space="preserve">գ) </w:t>
      </w:r>
      <w:r w:rsidRPr="009070BD">
        <w:rPr>
          <w:b w:val="0"/>
        </w:rPr>
        <w:t>Կարողությունների</w:t>
      </w:r>
      <w:r w:rsidRPr="009070BD">
        <w:rPr>
          <w:b w:val="0"/>
          <w:lang w:val="af-ZA"/>
        </w:rPr>
        <w:t xml:space="preserve"> </w:t>
      </w:r>
      <w:r w:rsidRPr="009070BD">
        <w:rPr>
          <w:b w:val="0"/>
        </w:rPr>
        <w:t>զարգացում</w:t>
      </w:r>
      <w:r w:rsidRPr="009070BD">
        <w:rPr>
          <w:b w:val="0"/>
          <w:lang w:val="af-ZA"/>
        </w:rPr>
        <w:t xml:space="preserve"> </w:t>
      </w:r>
      <w:r w:rsidRPr="009070BD">
        <w:rPr>
          <w:b w:val="0"/>
        </w:rPr>
        <w:t>և</w:t>
      </w:r>
      <w:r w:rsidRPr="009070BD">
        <w:rPr>
          <w:b w:val="0"/>
          <w:lang w:val="af-ZA"/>
        </w:rPr>
        <w:t xml:space="preserve"> </w:t>
      </w:r>
      <w:r w:rsidRPr="009070BD">
        <w:rPr>
          <w:b w:val="0"/>
        </w:rPr>
        <w:t>զարգացման</w:t>
      </w:r>
      <w:r w:rsidRPr="009070BD">
        <w:rPr>
          <w:b w:val="0"/>
          <w:lang w:val="af-ZA"/>
        </w:rPr>
        <w:t xml:space="preserve"> </w:t>
      </w:r>
      <w:r w:rsidRPr="009070BD">
        <w:rPr>
          <w:b w:val="0"/>
        </w:rPr>
        <w:t>փոքր</w:t>
      </w:r>
      <w:r w:rsidRPr="009070BD">
        <w:rPr>
          <w:b w:val="0"/>
          <w:lang w:val="af-ZA"/>
        </w:rPr>
        <w:t xml:space="preserve"> </w:t>
      </w:r>
      <w:r w:rsidRPr="009070BD">
        <w:rPr>
          <w:b w:val="0"/>
        </w:rPr>
        <w:t>ինտերվենցիաներ</w:t>
      </w:r>
      <w:r w:rsidRPr="009070BD">
        <w:rPr>
          <w:b w:val="0"/>
          <w:lang w:val="af-ZA"/>
        </w:rPr>
        <w:t>,</w:t>
      </w:r>
    </w:p>
    <w:p w:rsidR="00E63FF8" w:rsidRPr="009070BD" w:rsidRDefault="00E63FF8" w:rsidP="007730AA">
      <w:pPr>
        <w:spacing w:before="0" w:line="276" w:lineRule="auto"/>
        <w:ind w:firstLine="720"/>
        <w:rPr>
          <w:b w:val="0"/>
          <w:bCs/>
          <w:iCs/>
          <w:lang w:val="hy-AM"/>
        </w:rPr>
      </w:pPr>
      <w:r w:rsidRPr="009070BD">
        <w:rPr>
          <w:b w:val="0"/>
          <w:lang w:val="af-ZA"/>
        </w:rPr>
        <w:t xml:space="preserve">դ) </w:t>
      </w:r>
      <w:r w:rsidRPr="009070BD">
        <w:rPr>
          <w:b w:val="0"/>
        </w:rPr>
        <w:t>Ծրագրի</w:t>
      </w:r>
      <w:r w:rsidRPr="009070BD">
        <w:rPr>
          <w:b w:val="0"/>
          <w:lang w:val="af-ZA"/>
        </w:rPr>
        <w:t xml:space="preserve"> </w:t>
      </w:r>
      <w:r w:rsidRPr="009070BD">
        <w:rPr>
          <w:b w:val="0"/>
        </w:rPr>
        <w:t>կառավարում՝</w:t>
      </w:r>
      <w:r w:rsidRPr="009070BD">
        <w:rPr>
          <w:b w:val="0"/>
          <w:lang w:val="af-ZA"/>
        </w:rPr>
        <w:t xml:space="preserve"> </w:t>
      </w:r>
      <w:r w:rsidRPr="009070BD">
        <w:rPr>
          <w:rFonts w:cs="Sylfaen"/>
          <w:b w:val="0"/>
          <w:lang w:val="it-IT"/>
        </w:rPr>
        <w:t>2021թ.-ին նախատեսվում է 3</w:t>
      </w:r>
      <w:r w:rsidRPr="009070BD">
        <w:rPr>
          <w:rFonts w:cs="Sylfaen"/>
          <w:b w:val="0"/>
          <w:lang w:val="af-ZA"/>
        </w:rPr>
        <w:t>,</w:t>
      </w:r>
      <w:r w:rsidR="003A35A4" w:rsidRPr="003A35A4">
        <w:rPr>
          <w:rFonts w:cs="Sylfaen"/>
          <w:b w:val="0"/>
          <w:lang w:val="af-ZA"/>
        </w:rPr>
        <w:t>172.3</w:t>
      </w:r>
      <w:r w:rsidRPr="009070BD">
        <w:rPr>
          <w:rFonts w:cs="Sylfaen"/>
          <w:b w:val="0"/>
          <w:lang w:val="it-IT"/>
        </w:rPr>
        <w:t xml:space="preserve"> </w:t>
      </w:r>
      <w:r w:rsidRPr="009070BD">
        <w:rPr>
          <w:rFonts w:cs="Sylfaen"/>
          <w:b w:val="0"/>
          <w:iCs/>
          <w:lang w:val="af-ZA"/>
        </w:rPr>
        <w:t xml:space="preserve">մլն դրամ, </w:t>
      </w:r>
      <w:r w:rsidRPr="009070BD">
        <w:rPr>
          <w:b w:val="0"/>
          <w:bCs/>
          <w:iCs/>
          <w:lang w:val="hy-AM"/>
        </w:rPr>
        <w:t xml:space="preserve">այդ թվում վարկային միջոցներ` </w:t>
      </w:r>
      <w:r w:rsidRPr="009070BD">
        <w:rPr>
          <w:b w:val="0"/>
          <w:bCs/>
          <w:iCs/>
          <w:lang w:val="af-ZA"/>
        </w:rPr>
        <w:t>2,</w:t>
      </w:r>
      <w:r w:rsidR="003A35A4" w:rsidRPr="003A35A4">
        <w:rPr>
          <w:b w:val="0"/>
          <w:bCs/>
          <w:iCs/>
          <w:lang w:val="af-ZA"/>
        </w:rPr>
        <w:t>519.7</w:t>
      </w:r>
      <w:r w:rsidRPr="009070BD">
        <w:rPr>
          <w:b w:val="0"/>
          <w:bCs/>
          <w:iCs/>
          <w:lang w:val="hy-AM"/>
        </w:rPr>
        <w:t xml:space="preserve"> </w:t>
      </w:r>
      <w:r w:rsidRPr="009070BD">
        <w:rPr>
          <w:rFonts w:cs="Sylfaen"/>
          <w:b w:val="0"/>
          <w:iCs/>
          <w:lang w:val="af-ZA"/>
        </w:rPr>
        <w:t>մլն դրամ</w:t>
      </w:r>
      <w:r w:rsidRPr="009070BD">
        <w:rPr>
          <w:b w:val="0"/>
          <w:bCs/>
          <w:iCs/>
          <w:lang w:val="hy-AM"/>
        </w:rPr>
        <w:t xml:space="preserve">, ՀՀ համաֆինանսավորում` </w:t>
      </w:r>
      <w:r w:rsidR="003A35A4" w:rsidRPr="003A35A4">
        <w:rPr>
          <w:b w:val="0"/>
          <w:bCs/>
          <w:iCs/>
          <w:lang w:val="af-ZA"/>
        </w:rPr>
        <w:t>652.6</w:t>
      </w:r>
      <w:r w:rsidRPr="009070BD">
        <w:rPr>
          <w:b w:val="0"/>
          <w:bCs/>
          <w:iCs/>
          <w:lang w:val="it-IT"/>
        </w:rPr>
        <w:t xml:space="preserve"> </w:t>
      </w:r>
      <w:r w:rsidRPr="009070BD">
        <w:rPr>
          <w:rFonts w:cs="Sylfaen"/>
          <w:b w:val="0"/>
          <w:iCs/>
          <w:lang w:val="af-ZA"/>
        </w:rPr>
        <w:t>մլն դրա</w:t>
      </w:r>
      <w:r w:rsidRPr="009070BD">
        <w:rPr>
          <w:rFonts w:cs="Sylfaen"/>
          <w:b w:val="0"/>
          <w:iCs/>
          <w:lang w:val="hy-AM"/>
        </w:rPr>
        <w:t>մ</w:t>
      </w:r>
      <w:r w:rsidRPr="009070BD">
        <w:rPr>
          <w:b w:val="0"/>
          <w:bCs/>
          <w:iCs/>
          <w:lang w:val="hy-AM"/>
        </w:rPr>
        <w:t>:</w:t>
      </w:r>
    </w:p>
    <w:p w:rsidR="00E63FF8" w:rsidRPr="009070BD" w:rsidRDefault="00E63FF8" w:rsidP="007730AA">
      <w:pPr>
        <w:spacing w:before="0" w:line="276" w:lineRule="auto"/>
        <w:ind w:firstLine="720"/>
        <w:contextualSpacing w:val="0"/>
        <w:rPr>
          <w:b w:val="0"/>
          <w:szCs w:val="22"/>
          <w:lang w:val="af-ZA" w:eastAsia="en-US"/>
        </w:rPr>
      </w:pPr>
      <w:r w:rsidRPr="009070BD">
        <w:rPr>
          <w:szCs w:val="22"/>
          <w:lang w:val="hy-AM" w:eastAsia="en-US"/>
        </w:rPr>
        <w:t>2</w:t>
      </w:r>
      <w:r w:rsidRPr="009070BD">
        <w:rPr>
          <w:b w:val="0"/>
          <w:szCs w:val="22"/>
          <w:lang w:val="hy-AM" w:eastAsia="en-US"/>
        </w:rPr>
        <w:t xml:space="preserve">. </w:t>
      </w:r>
      <w:r w:rsidRPr="009070BD">
        <w:rPr>
          <w:b w:val="0"/>
          <w:szCs w:val="22"/>
          <w:lang w:val="af-ZA" w:eastAsia="en-US"/>
        </w:rPr>
        <w:t>Համաշխարհային բանկի աջակցությամբ իրականացվող առևտրի և ենթակառուց</w:t>
      </w:r>
      <w:r w:rsidRPr="009070BD">
        <w:rPr>
          <w:b w:val="0"/>
          <w:szCs w:val="22"/>
          <w:lang w:val="af-ZA" w:eastAsia="en-US"/>
        </w:rPr>
        <w:softHyphen/>
        <w:t>վածքների զարգացման ծրագիր</w:t>
      </w:r>
      <w:r w:rsidRPr="009070BD">
        <w:rPr>
          <w:b w:val="0"/>
          <w:szCs w:val="22"/>
          <w:lang w:val="hy-AM" w:eastAsia="en-US"/>
        </w:rPr>
        <w:t>,</w:t>
      </w:r>
      <w:r w:rsidRPr="009070BD">
        <w:rPr>
          <w:szCs w:val="22"/>
          <w:lang w:val="hy-AM" w:eastAsia="en-US"/>
        </w:rPr>
        <w:t xml:space="preserve"> </w:t>
      </w:r>
      <w:r w:rsidRPr="009070BD">
        <w:rPr>
          <w:b w:val="0"/>
          <w:szCs w:val="22"/>
          <w:lang w:val="hy-AM" w:eastAsia="en-US"/>
        </w:rPr>
        <w:t>որի</w:t>
      </w:r>
      <w:r w:rsidRPr="009070BD">
        <w:rPr>
          <w:b w:val="0"/>
          <w:szCs w:val="22"/>
          <w:lang w:val="af-ZA" w:eastAsia="en-US"/>
        </w:rPr>
        <w:t xml:space="preserve"> </w:t>
      </w:r>
      <w:r w:rsidRPr="009070BD">
        <w:rPr>
          <w:b w:val="0"/>
          <w:szCs w:val="22"/>
          <w:lang w:val="hy-AM" w:eastAsia="en-US"/>
        </w:rPr>
        <w:t>նպատակն</w:t>
      </w:r>
      <w:r w:rsidRPr="009070BD">
        <w:rPr>
          <w:b w:val="0"/>
          <w:szCs w:val="22"/>
          <w:lang w:val="af-ZA" w:eastAsia="en-US"/>
        </w:rPr>
        <w:t xml:space="preserve"> </w:t>
      </w:r>
      <w:r w:rsidRPr="009070BD">
        <w:rPr>
          <w:b w:val="0"/>
          <w:szCs w:val="22"/>
          <w:lang w:val="hy-AM" w:eastAsia="en-US"/>
        </w:rPr>
        <w:t>է</w:t>
      </w:r>
      <w:r w:rsidRPr="009070BD">
        <w:rPr>
          <w:b w:val="0"/>
          <w:szCs w:val="22"/>
          <w:lang w:val="af-ZA" w:eastAsia="en-US"/>
        </w:rPr>
        <w:t xml:space="preserve"> </w:t>
      </w:r>
      <w:r w:rsidRPr="009070BD">
        <w:rPr>
          <w:b w:val="0"/>
          <w:szCs w:val="22"/>
          <w:lang w:val="hy-AM" w:eastAsia="en-US"/>
        </w:rPr>
        <w:t>հզորացնել</w:t>
      </w:r>
      <w:r w:rsidRPr="009070BD">
        <w:rPr>
          <w:b w:val="0"/>
          <w:szCs w:val="22"/>
          <w:lang w:val="af-ZA" w:eastAsia="en-US"/>
        </w:rPr>
        <w:t xml:space="preserve"> </w:t>
      </w:r>
      <w:r w:rsidRPr="009070BD">
        <w:rPr>
          <w:b w:val="0"/>
          <w:szCs w:val="22"/>
          <w:lang w:val="hy-AM" w:eastAsia="en-US"/>
        </w:rPr>
        <w:t>արտահանման</w:t>
      </w:r>
      <w:r w:rsidRPr="009070BD">
        <w:rPr>
          <w:b w:val="0"/>
          <w:szCs w:val="22"/>
          <w:lang w:val="af-ZA" w:eastAsia="en-US"/>
        </w:rPr>
        <w:t xml:space="preserve"> </w:t>
      </w:r>
      <w:r w:rsidRPr="009070BD">
        <w:rPr>
          <w:b w:val="0"/>
          <w:szCs w:val="22"/>
          <w:lang w:val="hy-AM" w:eastAsia="en-US"/>
        </w:rPr>
        <w:t>խթանման</w:t>
      </w:r>
      <w:r w:rsidRPr="009070BD">
        <w:rPr>
          <w:b w:val="0"/>
          <w:szCs w:val="22"/>
          <w:lang w:val="af-ZA" w:eastAsia="en-US"/>
        </w:rPr>
        <w:t xml:space="preserve">, </w:t>
      </w:r>
      <w:r w:rsidRPr="009070BD">
        <w:rPr>
          <w:b w:val="0"/>
          <w:szCs w:val="22"/>
          <w:lang w:val="hy-AM" w:eastAsia="en-US"/>
        </w:rPr>
        <w:t>ներդրումների</w:t>
      </w:r>
      <w:r w:rsidRPr="009070BD">
        <w:rPr>
          <w:b w:val="0"/>
          <w:szCs w:val="22"/>
          <w:lang w:val="af-ZA" w:eastAsia="en-US"/>
        </w:rPr>
        <w:t xml:space="preserve"> </w:t>
      </w:r>
      <w:r w:rsidRPr="009070BD">
        <w:rPr>
          <w:b w:val="0"/>
          <w:szCs w:val="22"/>
          <w:lang w:val="hy-AM" w:eastAsia="en-US"/>
        </w:rPr>
        <w:t>ներգրավման</w:t>
      </w:r>
      <w:r w:rsidRPr="009070BD">
        <w:rPr>
          <w:b w:val="0"/>
          <w:szCs w:val="22"/>
          <w:lang w:val="af-ZA" w:eastAsia="en-US"/>
        </w:rPr>
        <w:t xml:space="preserve"> </w:t>
      </w:r>
      <w:r w:rsidRPr="009070BD">
        <w:rPr>
          <w:b w:val="0"/>
          <w:szCs w:val="22"/>
          <w:lang w:val="hy-AM" w:eastAsia="en-US"/>
        </w:rPr>
        <w:t>և</w:t>
      </w:r>
      <w:r w:rsidRPr="009070BD">
        <w:rPr>
          <w:b w:val="0"/>
          <w:szCs w:val="22"/>
          <w:lang w:val="af-ZA" w:eastAsia="en-US"/>
        </w:rPr>
        <w:t xml:space="preserve"> </w:t>
      </w:r>
      <w:r w:rsidRPr="009070BD">
        <w:rPr>
          <w:b w:val="0"/>
          <w:szCs w:val="22"/>
          <w:lang w:val="hy-AM" w:eastAsia="en-US"/>
        </w:rPr>
        <w:t>ձեռնակություններին</w:t>
      </w:r>
      <w:r w:rsidRPr="009070BD">
        <w:rPr>
          <w:b w:val="0"/>
          <w:szCs w:val="22"/>
          <w:lang w:val="af-ZA" w:eastAsia="en-US"/>
        </w:rPr>
        <w:t xml:space="preserve"> </w:t>
      </w:r>
      <w:r w:rsidRPr="009070BD">
        <w:rPr>
          <w:b w:val="0"/>
          <w:szCs w:val="22"/>
          <w:lang w:val="hy-AM" w:eastAsia="en-US"/>
        </w:rPr>
        <w:t>տրամադրվող</w:t>
      </w:r>
      <w:r w:rsidRPr="009070BD">
        <w:rPr>
          <w:b w:val="0"/>
          <w:szCs w:val="22"/>
          <w:lang w:val="af-ZA" w:eastAsia="en-US"/>
        </w:rPr>
        <w:t xml:space="preserve"> </w:t>
      </w:r>
      <w:r w:rsidRPr="009070BD">
        <w:rPr>
          <w:b w:val="0"/>
          <w:szCs w:val="22"/>
          <w:lang w:val="hy-AM" w:eastAsia="en-US"/>
        </w:rPr>
        <w:t>որակի</w:t>
      </w:r>
      <w:r w:rsidRPr="009070BD">
        <w:rPr>
          <w:b w:val="0"/>
          <w:szCs w:val="22"/>
          <w:lang w:val="af-ZA" w:eastAsia="en-US"/>
        </w:rPr>
        <w:t xml:space="preserve"> </w:t>
      </w:r>
      <w:r w:rsidRPr="009070BD">
        <w:rPr>
          <w:b w:val="0"/>
          <w:szCs w:val="22"/>
          <w:lang w:val="hy-AM" w:eastAsia="en-US"/>
        </w:rPr>
        <w:t>կառավարման</w:t>
      </w:r>
      <w:r w:rsidRPr="009070BD">
        <w:rPr>
          <w:b w:val="0"/>
          <w:szCs w:val="22"/>
          <w:lang w:val="af-ZA" w:eastAsia="en-US"/>
        </w:rPr>
        <w:t xml:space="preserve"> </w:t>
      </w:r>
      <w:r w:rsidRPr="009070BD">
        <w:rPr>
          <w:b w:val="0"/>
          <w:szCs w:val="22"/>
          <w:lang w:val="hy-AM" w:eastAsia="en-US"/>
        </w:rPr>
        <w:t>ծառայությունների</w:t>
      </w:r>
      <w:r w:rsidRPr="009070BD">
        <w:rPr>
          <w:b w:val="0"/>
          <w:szCs w:val="22"/>
          <w:lang w:val="af-ZA" w:eastAsia="en-US"/>
        </w:rPr>
        <w:t xml:space="preserve"> </w:t>
      </w:r>
      <w:r w:rsidRPr="009070BD">
        <w:rPr>
          <w:b w:val="0"/>
          <w:szCs w:val="22"/>
          <w:lang w:val="hy-AM" w:eastAsia="en-US"/>
        </w:rPr>
        <w:t>կարողությունները</w:t>
      </w:r>
      <w:r w:rsidRPr="009070BD">
        <w:rPr>
          <w:b w:val="0"/>
          <w:szCs w:val="22"/>
          <w:lang w:val="af-ZA" w:eastAsia="en-US"/>
        </w:rPr>
        <w:t>:</w:t>
      </w:r>
    </w:p>
    <w:p w:rsidR="00E63FF8" w:rsidRPr="009070BD" w:rsidRDefault="00E63FF8" w:rsidP="007730AA">
      <w:pPr>
        <w:spacing w:before="0" w:line="276" w:lineRule="auto"/>
        <w:ind w:firstLine="720"/>
        <w:contextualSpacing w:val="0"/>
        <w:rPr>
          <w:b w:val="0"/>
          <w:szCs w:val="22"/>
          <w:lang w:val="af-ZA" w:eastAsia="en-US"/>
        </w:rPr>
      </w:pPr>
      <w:r w:rsidRPr="009070BD">
        <w:rPr>
          <w:b w:val="0"/>
          <w:szCs w:val="22"/>
          <w:lang w:val="af-ZA" w:eastAsia="en-US"/>
        </w:rPr>
        <w:t>Ծրագիրը կազմված է 4 բաղադրիչից`</w:t>
      </w:r>
    </w:p>
    <w:p w:rsidR="00E63FF8" w:rsidRPr="009070BD" w:rsidRDefault="00E63FF8" w:rsidP="007730AA">
      <w:pPr>
        <w:spacing w:before="0" w:line="276" w:lineRule="auto"/>
        <w:ind w:firstLine="720"/>
        <w:contextualSpacing w:val="0"/>
        <w:rPr>
          <w:b w:val="0"/>
          <w:szCs w:val="22"/>
          <w:lang w:val="af-ZA" w:eastAsia="en-US"/>
        </w:rPr>
      </w:pPr>
      <w:r w:rsidRPr="009070BD">
        <w:rPr>
          <w:b w:val="0"/>
          <w:szCs w:val="22"/>
          <w:lang w:val="af-ZA" w:eastAsia="en-US"/>
        </w:rPr>
        <w:t xml:space="preserve"> ա) երկրում առևտրի խթանման և որակի համակարգի արդյունավետության բարելավում,</w:t>
      </w:r>
    </w:p>
    <w:p w:rsidR="00E63FF8" w:rsidRPr="009070BD" w:rsidRDefault="00E63FF8" w:rsidP="007730AA">
      <w:pPr>
        <w:spacing w:before="0" w:line="276" w:lineRule="auto"/>
        <w:ind w:firstLine="720"/>
        <w:contextualSpacing w:val="0"/>
        <w:rPr>
          <w:b w:val="0"/>
          <w:szCs w:val="22"/>
          <w:lang w:val="af-ZA" w:eastAsia="en-US"/>
        </w:rPr>
      </w:pPr>
      <w:r w:rsidRPr="009070BD">
        <w:rPr>
          <w:b w:val="0"/>
          <w:szCs w:val="22"/>
          <w:lang w:val="af-ZA" w:eastAsia="en-US"/>
        </w:rPr>
        <w:t xml:space="preserve"> բ) ներդրումների և արտահանման խթանում,</w:t>
      </w:r>
    </w:p>
    <w:p w:rsidR="00E63FF8" w:rsidRPr="009070BD" w:rsidRDefault="00E63FF8" w:rsidP="007730AA">
      <w:pPr>
        <w:spacing w:before="0" w:line="276" w:lineRule="auto"/>
        <w:ind w:firstLine="720"/>
        <w:contextualSpacing w:val="0"/>
        <w:rPr>
          <w:b w:val="0"/>
          <w:szCs w:val="22"/>
          <w:lang w:val="af-ZA" w:eastAsia="en-US"/>
        </w:rPr>
      </w:pPr>
      <w:r w:rsidRPr="009070BD">
        <w:rPr>
          <w:b w:val="0"/>
          <w:szCs w:val="22"/>
          <w:lang w:val="af-ZA" w:eastAsia="en-US"/>
        </w:rPr>
        <w:t xml:space="preserve"> գ) որակի ազգային ենթակառուցվածքի արդիականացում,</w:t>
      </w:r>
    </w:p>
    <w:p w:rsidR="00E63FF8" w:rsidRPr="009070BD" w:rsidRDefault="00E63FF8" w:rsidP="007730AA">
      <w:pPr>
        <w:spacing w:before="0" w:line="276" w:lineRule="auto"/>
        <w:ind w:firstLine="720"/>
        <w:contextualSpacing w:val="0"/>
        <w:rPr>
          <w:b w:val="0"/>
          <w:szCs w:val="22"/>
          <w:lang w:val="af-ZA" w:eastAsia="en-US"/>
        </w:rPr>
      </w:pPr>
      <w:r w:rsidRPr="009070BD">
        <w:rPr>
          <w:b w:val="0"/>
          <w:szCs w:val="22"/>
          <w:lang w:val="af-ZA" w:eastAsia="en-US"/>
        </w:rPr>
        <w:t xml:space="preserve"> դ) ծրագրի կառավարում և մոնիթորինգի ու գնահատում՝ 2021թ. 9,</w:t>
      </w:r>
      <w:r w:rsidR="003A35A4" w:rsidRPr="003A35A4">
        <w:rPr>
          <w:b w:val="0"/>
          <w:szCs w:val="22"/>
          <w:lang w:val="af-ZA" w:eastAsia="en-US"/>
        </w:rPr>
        <w:t>384,3</w:t>
      </w:r>
      <w:r w:rsidRPr="009070BD">
        <w:rPr>
          <w:b w:val="0"/>
          <w:szCs w:val="22"/>
          <w:lang w:val="af-ZA" w:eastAsia="en-US"/>
        </w:rPr>
        <w:t xml:space="preserve"> մլն դրամ, այդ թվում վարկային միջոցներ` 7,</w:t>
      </w:r>
      <w:r w:rsidR="003A35A4" w:rsidRPr="003A35A4">
        <w:rPr>
          <w:b w:val="0"/>
          <w:szCs w:val="22"/>
          <w:lang w:val="af-ZA" w:eastAsia="en-US"/>
        </w:rPr>
        <w:t>586,2</w:t>
      </w:r>
      <w:r w:rsidRPr="009070BD">
        <w:rPr>
          <w:b w:val="0"/>
          <w:szCs w:val="22"/>
          <w:lang w:val="af-ZA" w:eastAsia="en-US"/>
        </w:rPr>
        <w:t xml:space="preserve"> մլն դրամ, ՀՀ համաֆինանսավորում` </w:t>
      </w:r>
      <w:r w:rsidR="003A35A4" w:rsidRPr="003A35A4">
        <w:rPr>
          <w:b w:val="0"/>
          <w:szCs w:val="22"/>
          <w:lang w:val="af-ZA" w:eastAsia="en-US"/>
        </w:rPr>
        <w:t>1,798.1</w:t>
      </w:r>
      <w:r w:rsidRPr="009070BD">
        <w:rPr>
          <w:b w:val="0"/>
          <w:szCs w:val="22"/>
          <w:lang w:val="af-ZA" w:eastAsia="en-US"/>
        </w:rPr>
        <w:t xml:space="preserve"> մլն դրամ:</w:t>
      </w:r>
    </w:p>
    <w:p w:rsidR="00E63FF8" w:rsidRDefault="00E63FF8" w:rsidP="007730AA">
      <w:pPr>
        <w:spacing w:before="0" w:line="276" w:lineRule="auto"/>
        <w:ind w:firstLine="720"/>
        <w:rPr>
          <w:b w:val="0"/>
          <w:bCs/>
          <w:iCs/>
          <w:lang w:val="hy-AM"/>
        </w:rPr>
      </w:pPr>
      <w:r w:rsidRPr="009070BD">
        <w:rPr>
          <w:b w:val="0"/>
          <w:lang w:val="af-ZA"/>
        </w:rPr>
        <w:t>3. Համաշխարհային բանկի աջակցությամբ իրականացվող «Հայաստանի արդյունահանող ճյուղերի թափանցիկության նախաձեռնությանն աջակցություն» դրամաշնոր</w:t>
      </w:r>
      <w:r w:rsidRPr="009070BD">
        <w:rPr>
          <w:b w:val="0"/>
          <w:lang w:val="af-ZA"/>
        </w:rPr>
        <w:softHyphen/>
        <w:t>հային ծրագիր</w:t>
      </w:r>
      <w:r w:rsidRPr="009070BD">
        <w:rPr>
          <w:b w:val="0"/>
          <w:lang w:val="hy-AM"/>
        </w:rPr>
        <w:t xml:space="preserve">, որի </w:t>
      </w:r>
      <w:r w:rsidRPr="009070BD">
        <w:rPr>
          <w:rFonts w:cs="Sylfaen"/>
          <w:b w:val="0"/>
          <w:lang w:val="af-ZA"/>
        </w:rPr>
        <w:t>նպատակն է աջակցել Ստացողին հանքարդյունաբերության ոլորտի թափանցիկության և հաշվետվողականության բարձրացման հարցում՝ իրականացնելով Արտահանող ճյուղերի թափանցիկության նախաձեռնության (ԱՃԹՆ) Ստանդարտը՝</w:t>
      </w:r>
      <w:r w:rsidRPr="009070BD">
        <w:rPr>
          <w:rFonts w:cs="Sylfaen"/>
          <w:b w:val="0"/>
          <w:lang w:val="hy-AM"/>
        </w:rPr>
        <w:t xml:space="preserve"> </w:t>
      </w:r>
      <w:r w:rsidRPr="009070BD">
        <w:rPr>
          <w:rFonts w:cs="Sylfaen"/>
          <w:b w:val="0"/>
          <w:lang w:val="it-IT"/>
        </w:rPr>
        <w:t xml:space="preserve">2021թ.-ին նախատեսվում է </w:t>
      </w:r>
      <w:r w:rsidR="00426ECB" w:rsidRPr="00426ECB">
        <w:rPr>
          <w:rFonts w:cs="Sylfaen"/>
          <w:b w:val="0"/>
          <w:lang w:val="af-ZA"/>
        </w:rPr>
        <w:t>12.0</w:t>
      </w:r>
      <w:r w:rsidRPr="009070BD">
        <w:rPr>
          <w:rFonts w:cs="Sylfaen"/>
          <w:b w:val="0"/>
          <w:lang w:val="it-IT"/>
        </w:rPr>
        <w:t xml:space="preserve"> </w:t>
      </w:r>
      <w:r w:rsidRPr="009070BD">
        <w:rPr>
          <w:rFonts w:cs="Sylfaen"/>
          <w:b w:val="0"/>
          <w:iCs/>
          <w:lang w:val="af-ZA"/>
        </w:rPr>
        <w:t xml:space="preserve">մլն դրամ, </w:t>
      </w:r>
      <w:r w:rsidRPr="009070BD">
        <w:rPr>
          <w:b w:val="0"/>
          <w:bCs/>
          <w:iCs/>
          <w:lang w:val="hy-AM"/>
        </w:rPr>
        <w:t xml:space="preserve">այդ թվում դրամաշնորհային միջոցներ` </w:t>
      </w:r>
      <w:r w:rsidR="00426ECB" w:rsidRPr="00426ECB">
        <w:rPr>
          <w:b w:val="0"/>
          <w:bCs/>
          <w:iCs/>
          <w:lang w:val="af-ZA"/>
        </w:rPr>
        <w:t>10,0</w:t>
      </w:r>
      <w:r w:rsidRPr="009070BD">
        <w:rPr>
          <w:b w:val="0"/>
          <w:bCs/>
          <w:iCs/>
          <w:lang w:val="hy-AM"/>
        </w:rPr>
        <w:t xml:space="preserve"> </w:t>
      </w:r>
      <w:r w:rsidRPr="009070BD">
        <w:rPr>
          <w:rFonts w:cs="Sylfaen"/>
          <w:b w:val="0"/>
          <w:iCs/>
          <w:lang w:val="af-ZA"/>
        </w:rPr>
        <w:t>մլն դրամ</w:t>
      </w:r>
      <w:r w:rsidRPr="009070BD">
        <w:rPr>
          <w:b w:val="0"/>
          <w:bCs/>
          <w:iCs/>
          <w:lang w:val="hy-AM"/>
        </w:rPr>
        <w:t>, ՀՀ համաֆինանսավորում` 2.0</w:t>
      </w:r>
      <w:r w:rsidRPr="009070BD">
        <w:rPr>
          <w:b w:val="0"/>
          <w:bCs/>
          <w:iCs/>
          <w:lang w:val="it-IT"/>
        </w:rPr>
        <w:t xml:space="preserve"> </w:t>
      </w:r>
      <w:r w:rsidRPr="009070BD">
        <w:rPr>
          <w:rFonts w:cs="Sylfaen"/>
          <w:b w:val="0"/>
          <w:iCs/>
          <w:lang w:val="af-ZA"/>
        </w:rPr>
        <w:t>մլն դրա</w:t>
      </w:r>
      <w:r w:rsidRPr="009070BD">
        <w:rPr>
          <w:rFonts w:cs="Sylfaen"/>
          <w:b w:val="0"/>
          <w:iCs/>
          <w:lang w:val="hy-AM"/>
        </w:rPr>
        <w:t>մ</w:t>
      </w:r>
      <w:r w:rsidRPr="009070BD">
        <w:rPr>
          <w:b w:val="0"/>
          <w:bCs/>
          <w:iCs/>
          <w:lang w:val="hy-AM"/>
        </w:rPr>
        <w:t>:</w:t>
      </w:r>
    </w:p>
    <w:p w:rsidR="00224509" w:rsidRPr="00E81B58" w:rsidRDefault="00224509" w:rsidP="007730AA">
      <w:pPr>
        <w:spacing w:before="0" w:line="276" w:lineRule="auto"/>
        <w:ind w:firstLine="720"/>
        <w:rPr>
          <w:b w:val="0"/>
          <w:lang w:val="af-ZA"/>
        </w:rPr>
      </w:pPr>
      <w:r w:rsidRPr="00D747F3">
        <w:rPr>
          <w:b w:val="0"/>
          <w:color w:val="000000"/>
          <w:lang w:val="hy-AM" w:eastAsia="en-US"/>
        </w:rPr>
        <w:t xml:space="preserve">ՀՀ վարչապետի աշխատակազմի </w:t>
      </w:r>
      <w:r w:rsidRPr="00E81B58">
        <w:rPr>
          <w:b w:val="0"/>
          <w:lang w:val="af-ZA"/>
        </w:rPr>
        <w:t>202</w:t>
      </w:r>
      <w:r w:rsidR="009070BD">
        <w:rPr>
          <w:b w:val="0"/>
          <w:lang w:val="hy-AM"/>
        </w:rPr>
        <w:t>1</w:t>
      </w:r>
      <w:r w:rsidRPr="00E81B58">
        <w:rPr>
          <w:b w:val="0"/>
          <w:lang w:val="af-ZA"/>
        </w:rPr>
        <w:t xml:space="preserve"> </w:t>
      </w:r>
      <w:r w:rsidRPr="00D747F3">
        <w:rPr>
          <w:b w:val="0"/>
          <w:lang w:val="hy-AM"/>
        </w:rPr>
        <w:t>թվականի</w:t>
      </w:r>
      <w:r w:rsidRPr="00E81B58">
        <w:rPr>
          <w:b w:val="0"/>
          <w:lang w:val="af-ZA"/>
        </w:rPr>
        <w:t xml:space="preserve"> </w:t>
      </w:r>
      <w:r w:rsidRPr="00D747F3">
        <w:rPr>
          <w:b w:val="0"/>
          <w:lang w:val="hy-AM"/>
        </w:rPr>
        <w:t>բյուջետային</w:t>
      </w:r>
      <w:r w:rsidRPr="00E81B58">
        <w:rPr>
          <w:b w:val="0"/>
          <w:lang w:val="af-ZA"/>
        </w:rPr>
        <w:t xml:space="preserve"> </w:t>
      </w:r>
      <w:r w:rsidRPr="00D747F3">
        <w:rPr>
          <w:b w:val="0"/>
          <w:lang w:val="hy-AM"/>
        </w:rPr>
        <w:t>ծախսերի</w:t>
      </w:r>
      <w:r w:rsidRPr="00E81B58">
        <w:rPr>
          <w:b w:val="0"/>
          <w:lang w:val="af-ZA"/>
        </w:rPr>
        <w:t xml:space="preserve"> </w:t>
      </w:r>
      <w:r w:rsidRPr="00D747F3">
        <w:rPr>
          <w:b w:val="0"/>
          <w:lang w:val="hy-AM"/>
        </w:rPr>
        <w:t>համեմատությունը</w:t>
      </w:r>
      <w:r w:rsidRPr="00E81B58">
        <w:rPr>
          <w:b w:val="0"/>
          <w:lang w:val="af-ZA"/>
        </w:rPr>
        <w:t xml:space="preserve"> 20</w:t>
      </w:r>
      <w:r w:rsidR="00C25808">
        <w:rPr>
          <w:b w:val="0"/>
          <w:lang w:val="hy-AM"/>
        </w:rPr>
        <w:t>19</w:t>
      </w:r>
      <w:r w:rsidRPr="00E81B58">
        <w:rPr>
          <w:b w:val="0"/>
          <w:lang w:val="af-ZA"/>
        </w:rPr>
        <w:t>-20</w:t>
      </w:r>
      <w:r w:rsidR="009070BD">
        <w:rPr>
          <w:b w:val="0"/>
          <w:lang w:val="hy-AM"/>
        </w:rPr>
        <w:t>20</w:t>
      </w:r>
      <w:r w:rsidRPr="00E81B58">
        <w:rPr>
          <w:b w:val="0"/>
          <w:lang w:val="af-ZA"/>
        </w:rPr>
        <w:t xml:space="preserve"> </w:t>
      </w:r>
      <w:r w:rsidRPr="00D747F3">
        <w:rPr>
          <w:b w:val="0"/>
          <w:lang w:val="hy-AM"/>
        </w:rPr>
        <w:t>թվականների</w:t>
      </w:r>
      <w:r w:rsidRPr="00E81B58">
        <w:rPr>
          <w:b w:val="0"/>
          <w:lang w:val="af-ZA"/>
        </w:rPr>
        <w:t xml:space="preserve"> </w:t>
      </w:r>
      <w:r w:rsidRPr="00D747F3">
        <w:rPr>
          <w:b w:val="0"/>
          <w:lang w:val="hy-AM"/>
        </w:rPr>
        <w:t>ցուցանիշների</w:t>
      </w:r>
      <w:r w:rsidRPr="00E81B58">
        <w:rPr>
          <w:b w:val="0"/>
          <w:lang w:val="af-ZA"/>
        </w:rPr>
        <w:t xml:space="preserve"> </w:t>
      </w:r>
      <w:r w:rsidRPr="00D747F3">
        <w:rPr>
          <w:b w:val="0"/>
          <w:lang w:val="hy-AM"/>
        </w:rPr>
        <w:t>հետ</w:t>
      </w:r>
      <w:r w:rsidRPr="00E81B58">
        <w:rPr>
          <w:b w:val="0"/>
          <w:lang w:val="af-ZA"/>
        </w:rPr>
        <w:t xml:space="preserve"> </w:t>
      </w:r>
      <w:r w:rsidRPr="00D747F3">
        <w:rPr>
          <w:b w:val="0"/>
          <w:lang w:val="hy-AM"/>
        </w:rPr>
        <w:t>արտացոլված</w:t>
      </w:r>
      <w:r w:rsidRPr="00E81B58">
        <w:rPr>
          <w:b w:val="0"/>
          <w:lang w:val="af-ZA"/>
        </w:rPr>
        <w:t xml:space="preserve"> </w:t>
      </w:r>
      <w:r w:rsidRPr="00D747F3">
        <w:rPr>
          <w:b w:val="0"/>
          <w:lang w:val="hy-AM"/>
        </w:rPr>
        <w:t>է</w:t>
      </w:r>
      <w:r w:rsidRPr="00E81B58">
        <w:rPr>
          <w:b w:val="0"/>
          <w:lang w:val="af-ZA"/>
        </w:rPr>
        <w:t xml:space="preserve"> </w:t>
      </w:r>
      <w:r w:rsidRPr="00D747F3">
        <w:rPr>
          <w:b w:val="0"/>
          <w:lang w:val="hy-AM"/>
        </w:rPr>
        <w:t>սույն</w:t>
      </w:r>
      <w:r w:rsidRPr="00E81B58">
        <w:rPr>
          <w:b w:val="0"/>
          <w:lang w:val="af-ZA"/>
        </w:rPr>
        <w:t xml:space="preserve"> </w:t>
      </w:r>
      <w:r w:rsidRPr="00C25808">
        <w:rPr>
          <w:b w:val="0"/>
          <w:lang w:val="hy-AM"/>
        </w:rPr>
        <w:t>բացատրագրի</w:t>
      </w:r>
      <w:r w:rsidRPr="00C25808">
        <w:rPr>
          <w:b w:val="0"/>
          <w:lang w:val="af-ZA"/>
        </w:rPr>
        <w:t xml:space="preserve"> N </w:t>
      </w:r>
      <w:r w:rsidR="0019732E" w:rsidRPr="00C25808">
        <w:rPr>
          <w:b w:val="0"/>
          <w:lang w:val="af-ZA"/>
        </w:rPr>
        <w:t>10</w:t>
      </w:r>
      <w:r w:rsidRPr="00C25808">
        <w:rPr>
          <w:b w:val="0"/>
          <w:lang w:val="af-ZA"/>
        </w:rPr>
        <w:t xml:space="preserve"> </w:t>
      </w:r>
      <w:r w:rsidRPr="00C25808">
        <w:rPr>
          <w:b w:val="0"/>
          <w:lang w:val="hy-AM"/>
        </w:rPr>
        <w:t>աղյուսակում</w:t>
      </w:r>
      <w:r w:rsidRPr="00C25808">
        <w:rPr>
          <w:b w:val="0"/>
          <w:lang w:val="af-ZA"/>
        </w:rPr>
        <w:t>:</w:t>
      </w:r>
    </w:p>
    <w:p w:rsidR="00AD03E5" w:rsidRPr="009070BD" w:rsidRDefault="005A7E7A" w:rsidP="007730AA">
      <w:pPr>
        <w:pStyle w:val="Heading3"/>
        <w:spacing w:before="0"/>
        <w:ind w:firstLine="720"/>
      </w:pPr>
      <w:bookmarkStart w:id="240" w:name="_Toc57655488"/>
      <w:r w:rsidRPr="009070BD">
        <w:t>Հ</w:t>
      </w:r>
      <w:r w:rsidRPr="009070BD">
        <w:rPr>
          <w:lang w:val="hy-AM"/>
        </w:rPr>
        <w:t xml:space="preserve">անրային </w:t>
      </w:r>
      <w:r w:rsidR="00C6276C" w:rsidRPr="009070BD">
        <w:rPr>
          <w:lang w:val="hy-AM"/>
        </w:rPr>
        <w:t>հեռարձակողի</w:t>
      </w:r>
      <w:r w:rsidR="00AD03E5" w:rsidRPr="009070BD">
        <w:t xml:space="preserve"> խորհուրդ</w:t>
      </w:r>
      <w:bookmarkEnd w:id="240"/>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noProof/>
          <w:szCs w:val="22"/>
          <w:lang w:val="hy-AM" w:eastAsia="en-US"/>
        </w:rPr>
        <w:t>Հ</w:t>
      </w:r>
      <w:r w:rsidRPr="009070BD">
        <w:rPr>
          <w:noProof/>
          <w:szCs w:val="22"/>
          <w:lang w:val="en-US" w:eastAsia="en-US"/>
        </w:rPr>
        <w:t>անրային</w:t>
      </w:r>
      <w:r w:rsidRPr="009070BD">
        <w:rPr>
          <w:noProof/>
          <w:szCs w:val="22"/>
          <w:lang w:val="af-ZA" w:eastAsia="en-US"/>
        </w:rPr>
        <w:t xml:space="preserve"> </w:t>
      </w:r>
      <w:r w:rsidRPr="009070BD">
        <w:rPr>
          <w:noProof/>
          <w:szCs w:val="22"/>
          <w:lang w:val="en-US" w:eastAsia="en-US"/>
        </w:rPr>
        <w:t>հեռ</w:t>
      </w:r>
      <w:r w:rsidRPr="009070BD">
        <w:rPr>
          <w:noProof/>
          <w:szCs w:val="22"/>
          <w:lang w:val="hy-AM" w:eastAsia="en-US"/>
        </w:rPr>
        <w:t>արձակողի</w:t>
      </w:r>
      <w:r w:rsidRPr="009070BD">
        <w:rPr>
          <w:noProof/>
          <w:szCs w:val="22"/>
          <w:lang w:val="af-ZA" w:eastAsia="en-US"/>
        </w:rPr>
        <w:t xml:space="preserve"> </w:t>
      </w:r>
      <w:r w:rsidRPr="009070BD">
        <w:rPr>
          <w:noProof/>
          <w:szCs w:val="22"/>
          <w:lang w:val="en-US" w:eastAsia="en-US"/>
        </w:rPr>
        <w:t>խորհրդի</w:t>
      </w:r>
      <w:r w:rsidRPr="009070BD">
        <w:rPr>
          <w:noProof/>
          <w:szCs w:val="22"/>
          <w:lang w:val="af-ZA" w:eastAsia="en-US"/>
        </w:rPr>
        <w:t xml:space="preserve"> </w:t>
      </w:r>
      <w:r w:rsidR="009937EF">
        <w:rPr>
          <w:noProof/>
          <w:szCs w:val="22"/>
          <w:lang w:val="hy-AM" w:eastAsia="en-US"/>
        </w:rPr>
        <w:t>Ռ</w:t>
      </w:r>
      <w:r w:rsidRPr="009070BD">
        <w:rPr>
          <w:noProof/>
          <w:szCs w:val="22"/>
          <w:lang w:val="en-US" w:eastAsia="en-US"/>
        </w:rPr>
        <w:t>ադիո</w:t>
      </w:r>
      <w:r w:rsidRPr="009070BD">
        <w:rPr>
          <w:noProof/>
          <w:szCs w:val="22"/>
          <w:lang w:val="af-ZA" w:eastAsia="en-US"/>
        </w:rPr>
        <w:t xml:space="preserve"> </w:t>
      </w:r>
      <w:r w:rsidRPr="009070BD">
        <w:rPr>
          <w:noProof/>
          <w:szCs w:val="22"/>
          <w:lang w:val="en-US" w:eastAsia="en-US"/>
        </w:rPr>
        <w:t>և</w:t>
      </w:r>
      <w:r w:rsidRPr="009070BD">
        <w:rPr>
          <w:noProof/>
          <w:szCs w:val="22"/>
          <w:lang w:val="af-ZA" w:eastAsia="en-US"/>
        </w:rPr>
        <w:t xml:space="preserve"> </w:t>
      </w:r>
      <w:r w:rsidRPr="009070BD">
        <w:rPr>
          <w:noProof/>
          <w:szCs w:val="22"/>
          <w:lang w:val="en-US" w:eastAsia="en-US"/>
        </w:rPr>
        <w:t>հեռուստահաղորդումների</w:t>
      </w:r>
      <w:r w:rsidRPr="009070BD">
        <w:rPr>
          <w:noProof/>
          <w:szCs w:val="22"/>
          <w:lang w:val="af-ZA" w:eastAsia="en-US"/>
        </w:rPr>
        <w:t xml:space="preserve"> </w:t>
      </w:r>
      <w:r w:rsidRPr="009070BD">
        <w:rPr>
          <w:noProof/>
          <w:szCs w:val="22"/>
          <w:lang w:val="en-US" w:eastAsia="en-US"/>
        </w:rPr>
        <w:t>հեռարձակում</w:t>
      </w:r>
      <w:r w:rsidRPr="009070BD">
        <w:rPr>
          <w:b w:val="0"/>
          <w:noProof/>
          <w:szCs w:val="22"/>
          <w:lang w:val="af-ZA" w:eastAsia="en-US"/>
        </w:rPr>
        <w:t xml:space="preserve"> </w:t>
      </w:r>
      <w:r w:rsidRPr="009070BD">
        <w:rPr>
          <w:b w:val="0"/>
          <w:noProof/>
          <w:szCs w:val="22"/>
          <w:lang w:val="en-US" w:eastAsia="en-US"/>
        </w:rPr>
        <w:t>ծրագրի</w:t>
      </w:r>
      <w:r w:rsidRPr="009070BD">
        <w:rPr>
          <w:b w:val="0"/>
          <w:noProof/>
          <w:szCs w:val="22"/>
          <w:lang w:val="af-ZA" w:eastAsia="en-US"/>
        </w:rPr>
        <w:t xml:space="preserve"> </w:t>
      </w:r>
      <w:r w:rsidRPr="009070BD">
        <w:rPr>
          <w:b w:val="0"/>
          <w:noProof/>
          <w:szCs w:val="22"/>
          <w:lang w:val="en-US" w:eastAsia="en-US"/>
        </w:rPr>
        <w:t>նպատակ</w:t>
      </w:r>
      <w:r w:rsidRPr="009070BD">
        <w:rPr>
          <w:b w:val="0"/>
          <w:noProof/>
          <w:szCs w:val="22"/>
          <w:lang w:val="hy-AM" w:eastAsia="en-US"/>
        </w:rPr>
        <w:t>ը՝</w:t>
      </w:r>
      <w:r w:rsidRPr="009070BD">
        <w:rPr>
          <w:b w:val="0"/>
          <w:noProof/>
          <w:szCs w:val="22"/>
          <w:lang w:val="af-ZA" w:eastAsia="en-US"/>
        </w:rPr>
        <w:t xml:space="preserve"> </w:t>
      </w:r>
      <w:r w:rsidRPr="009070BD">
        <w:rPr>
          <w:b w:val="0"/>
          <w:noProof/>
          <w:szCs w:val="22"/>
          <w:lang w:val="en-US" w:eastAsia="en-US"/>
        </w:rPr>
        <w:t>ապահովել</w:t>
      </w:r>
      <w:r w:rsidRPr="009070BD">
        <w:rPr>
          <w:b w:val="0"/>
          <w:noProof/>
          <w:szCs w:val="22"/>
          <w:lang w:val="af-ZA" w:eastAsia="en-US"/>
        </w:rPr>
        <w:t xml:space="preserve"> </w:t>
      </w:r>
      <w:r w:rsidRPr="009070BD">
        <w:rPr>
          <w:b w:val="0"/>
          <w:noProof/>
          <w:szCs w:val="22"/>
          <w:lang w:val="en-US" w:eastAsia="en-US"/>
        </w:rPr>
        <w:t>բազմազան</w:t>
      </w:r>
      <w:r w:rsidRPr="009070BD">
        <w:rPr>
          <w:b w:val="0"/>
          <w:noProof/>
          <w:szCs w:val="22"/>
          <w:lang w:val="af-ZA" w:eastAsia="en-US"/>
        </w:rPr>
        <w:t xml:space="preserve"> </w:t>
      </w:r>
      <w:r w:rsidRPr="009070BD">
        <w:rPr>
          <w:b w:val="0"/>
          <w:noProof/>
          <w:szCs w:val="22"/>
          <w:lang w:val="en-US" w:eastAsia="en-US"/>
        </w:rPr>
        <w:t>տեղեկատվական</w:t>
      </w:r>
      <w:r w:rsidRPr="009070BD">
        <w:rPr>
          <w:b w:val="0"/>
          <w:noProof/>
          <w:szCs w:val="22"/>
          <w:lang w:val="af-ZA" w:eastAsia="en-US"/>
        </w:rPr>
        <w:t xml:space="preserve">, </w:t>
      </w:r>
      <w:r w:rsidRPr="009070BD">
        <w:rPr>
          <w:b w:val="0"/>
          <w:noProof/>
          <w:szCs w:val="22"/>
          <w:lang w:val="en-US" w:eastAsia="en-US"/>
        </w:rPr>
        <w:t>ճանաչողական</w:t>
      </w:r>
      <w:r w:rsidRPr="009070BD">
        <w:rPr>
          <w:b w:val="0"/>
          <w:noProof/>
          <w:szCs w:val="22"/>
          <w:lang w:val="af-ZA" w:eastAsia="en-US"/>
        </w:rPr>
        <w:t xml:space="preserve">, </w:t>
      </w:r>
      <w:r w:rsidRPr="009070BD">
        <w:rPr>
          <w:b w:val="0"/>
          <w:noProof/>
          <w:szCs w:val="22"/>
          <w:lang w:val="en-US" w:eastAsia="en-US"/>
        </w:rPr>
        <w:t>կրթական</w:t>
      </w:r>
      <w:r w:rsidRPr="009070BD">
        <w:rPr>
          <w:b w:val="0"/>
          <w:noProof/>
          <w:szCs w:val="22"/>
          <w:lang w:val="af-ZA" w:eastAsia="en-US"/>
        </w:rPr>
        <w:t xml:space="preserve">, </w:t>
      </w:r>
      <w:r w:rsidRPr="009070BD">
        <w:rPr>
          <w:b w:val="0"/>
          <w:noProof/>
          <w:szCs w:val="22"/>
          <w:lang w:val="en-US" w:eastAsia="en-US"/>
        </w:rPr>
        <w:t>ժամանցային</w:t>
      </w:r>
      <w:r w:rsidRPr="009070BD">
        <w:rPr>
          <w:b w:val="0"/>
          <w:noProof/>
          <w:szCs w:val="22"/>
          <w:lang w:val="af-ZA" w:eastAsia="en-US"/>
        </w:rPr>
        <w:t xml:space="preserve"> </w:t>
      </w:r>
      <w:r w:rsidRPr="009070BD">
        <w:rPr>
          <w:b w:val="0"/>
          <w:noProof/>
          <w:szCs w:val="22"/>
          <w:lang w:val="hy-AM" w:eastAsia="en-US"/>
        </w:rPr>
        <w:t>հեռուստատեսային և ռադիո հաղորդումների արտադրությունը և հեռարձակումը</w:t>
      </w:r>
      <w:r w:rsidRPr="009070BD">
        <w:rPr>
          <w:b w:val="0"/>
          <w:noProof/>
          <w:szCs w:val="22"/>
          <w:lang w:val="af-ZA" w:eastAsia="en-US"/>
        </w:rPr>
        <w:t>:</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en-US" w:eastAsia="en-US"/>
        </w:rPr>
        <w:t>Ռադիո</w:t>
      </w:r>
      <w:r w:rsidRPr="009070BD">
        <w:rPr>
          <w:b w:val="0"/>
          <w:noProof/>
          <w:szCs w:val="22"/>
          <w:lang w:val="af-ZA" w:eastAsia="en-US"/>
        </w:rPr>
        <w:t xml:space="preserve"> </w:t>
      </w:r>
      <w:r w:rsidRPr="009070BD">
        <w:rPr>
          <w:b w:val="0"/>
          <w:noProof/>
          <w:szCs w:val="22"/>
          <w:lang w:val="en-US" w:eastAsia="en-US"/>
        </w:rPr>
        <w:t>և</w:t>
      </w:r>
      <w:r w:rsidRPr="009070BD">
        <w:rPr>
          <w:b w:val="0"/>
          <w:noProof/>
          <w:szCs w:val="22"/>
          <w:lang w:val="af-ZA" w:eastAsia="en-US"/>
        </w:rPr>
        <w:t xml:space="preserve"> </w:t>
      </w:r>
      <w:r w:rsidRPr="009070BD">
        <w:rPr>
          <w:b w:val="0"/>
          <w:noProof/>
          <w:szCs w:val="22"/>
          <w:lang w:val="en-US" w:eastAsia="en-US"/>
        </w:rPr>
        <w:t>հեռուստահաղորդումների</w:t>
      </w:r>
      <w:r w:rsidRPr="009070BD">
        <w:rPr>
          <w:b w:val="0"/>
          <w:noProof/>
          <w:szCs w:val="22"/>
          <w:lang w:val="af-ZA" w:eastAsia="en-US"/>
        </w:rPr>
        <w:t xml:space="preserve"> </w:t>
      </w:r>
      <w:r w:rsidRPr="009070BD">
        <w:rPr>
          <w:b w:val="0"/>
          <w:noProof/>
          <w:szCs w:val="22"/>
          <w:lang w:val="en-US" w:eastAsia="en-US"/>
        </w:rPr>
        <w:t>հեռարձակում</w:t>
      </w:r>
      <w:r w:rsidRPr="009070BD">
        <w:rPr>
          <w:b w:val="0"/>
          <w:noProof/>
          <w:szCs w:val="22"/>
          <w:lang w:val="af-ZA" w:eastAsia="en-US"/>
        </w:rPr>
        <w:t xml:space="preserve"> </w:t>
      </w:r>
      <w:r w:rsidRPr="009070BD">
        <w:rPr>
          <w:b w:val="0"/>
          <w:noProof/>
          <w:szCs w:val="22"/>
          <w:lang w:val="en-US" w:eastAsia="en-US"/>
        </w:rPr>
        <w:t>ծրագրով</w:t>
      </w:r>
      <w:r w:rsidRPr="009070BD">
        <w:rPr>
          <w:b w:val="0"/>
          <w:noProof/>
          <w:szCs w:val="22"/>
          <w:lang w:val="af-ZA" w:eastAsia="en-US"/>
        </w:rPr>
        <w:t xml:space="preserve"> </w:t>
      </w:r>
      <w:r w:rsidRPr="009070BD">
        <w:rPr>
          <w:b w:val="0"/>
          <w:noProof/>
          <w:szCs w:val="22"/>
          <w:lang w:val="en-US" w:eastAsia="en-US"/>
        </w:rPr>
        <w:t>Նախագծով</w:t>
      </w:r>
      <w:r w:rsidRPr="009070BD">
        <w:rPr>
          <w:b w:val="0"/>
          <w:noProof/>
          <w:szCs w:val="22"/>
          <w:lang w:val="af-ZA" w:eastAsia="en-US"/>
        </w:rPr>
        <w:t xml:space="preserve"> (</w:t>
      </w:r>
      <w:r w:rsidRPr="009070BD">
        <w:rPr>
          <w:b w:val="0"/>
          <w:noProof/>
          <w:szCs w:val="22"/>
          <w:lang w:val="en-US" w:eastAsia="en-US"/>
        </w:rPr>
        <w:t>առանց</w:t>
      </w:r>
      <w:r w:rsidRPr="009070BD">
        <w:rPr>
          <w:b w:val="0"/>
          <w:noProof/>
          <w:szCs w:val="22"/>
          <w:lang w:val="af-ZA" w:eastAsia="en-US"/>
        </w:rPr>
        <w:t xml:space="preserve"> </w:t>
      </w:r>
      <w:r w:rsidRPr="009070BD">
        <w:rPr>
          <w:b w:val="0"/>
          <w:noProof/>
          <w:szCs w:val="22"/>
          <w:lang w:val="en-US" w:eastAsia="en-US"/>
        </w:rPr>
        <w:t>կառավարման</w:t>
      </w:r>
      <w:r w:rsidRPr="009070BD">
        <w:rPr>
          <w:b w:val="0"/>
          <w:noProof/>
          <w:szCs w:val="22"/>
          <w:lang w:val="af-ZA" w:eastAsia="en-US"/>
        </w:rPr>
        <w:t xml:space="preserve"> </w:t>
      </w:r>
      <w:r w:rsidRPr="009070BD">
        <w:rPr>
          <w:b w:val="0"/>
          <w:noProof/>
          <w:szCs w:val="22"/>
          <w:lang w:val="en-US" w:eastAsia="en-US"/>
        </w:rPr>
        <w:t>ապարատի</w:t>
      </w:r>
      <w:r w:rsidRPr="009070BD">
        <w:rPr>
          <w:b w:val="0"/>
          <w:noProof/>
          <w:szCs w:val="22"/>
          <w:lang w:val="af-ZA" w:eastAsia="en-US"/>
        </w:rPr>
        <w:t xml:space="preserve">) </w:t>
      </w:r>
      <w:r w:rsidRPr="009070BD">
        <w:rPr>
          <w:b w:val="0"/>
          <w:noProof/>
          <w:szCs w:val="22"/>
          <w:lang w:val="en-US" w:eastAsia="en-US"/>
        </w:rPr>
        <w:t>նախատեսվում</w:t>
      </w:r>
      <w:r w:rsidRPr="009070BD">
        <w:rPr>
          <w:b w:val="0"/>
          <w:noProof/>
          <w:szCs w:val="22"/>
          <w:lang w:val="af-ZA" w:eastAsia="en-US"/>
        </w:rPr>
        <w:t xml:space="preserve"> </w:t>
      </w:r>
      <w:r w:rsidRPr="009070BD">
        <w:rPr>
          <w:b w:val="0"/>
          <w:noProof/>
          <w:szCs w:val="22"/>
          <w:lang w:val="en-US" w:eastAsia="en-US"/>
        </w:rPr>
        <w:t>է</w:t>
      </w:r>
      <w:r w:rsidRPr="009070BD">
        <w:rPr>
          <w:b w:val="0"/>
          <w:noProof/>
          <w:szCs w:val="22"/>
          <w:lang w:val="af-ZA" w:eastAsia="en-US"/>
        </w:rPr>
        <w:t xml:space="preserve"> </w:t>
      </w:r>
      <w:r w:rsidRPr="009070BD">
        <w:rPr>
          <w:b w:val="0"/>
          <w:noProof/>
          <w:szCs w:val="22"/>
          <w:lang w:val="en-US" w:eastAsia="en-US"/>
        </w:rPr>
        <w:t>հատկացնել</w:t>
      </w:r>
      <w:r w:rsidRPr="009070BD">
        <w:rPr>
          <w:b w:val="0"/>
          <w:noProof/>
          <w:szCs w:val="22"/>
          <w:lang w:val="af-ZA" w:eastAsia="en-US"/>
        </w:rPr>
        <w:t xml:space="preserve"> </w:t>
      </w:r>
      <w:r w:rsidRPr="009070BD">
        <w:rPr>
          <w:b w:val="0"/>
          <w:noProof/>
          <w:szCs w:val="22"/>
          <w:lang w:val="hy-AM" w:eastAsia="en-US"/>
        </w:rPr>
        <w:t>6</w:t>
      </w:r>
      <w:r w:rsidRPr="009070BD">
        <w:rPr>
          <w:b w:val="0"/>
          <w:noProof/>
          <w:szCs w:val="22"/>
          <w:lang w:val="af-ZA" w:eastAsia="en-US"/>
        </w:rPr>
        <w:t>,</w:t>
      </w:r>
      <w:r w:rsidRPr="009070BD">
        <w:rPr>
          <w:b w:val="0"/>
          <w:noProof/>
          <w:szCs w:val="22"/>
          <w:lang w:val="hy-AM" w:eastAsia="en-US"/>
        </w:rPr>
        <w:t>87</w:t>
      </w:r>
      <w:r w:rsidRPr="009070BD">
        <w:rPr>
          <w:b w:val="0"/>
          <w:noProof/>
          <w:szCs w:val="22"/>
          <w:lang w:val="af-ZA" w:eastAsia="en-US"/>
        </w:rPr>
        <w:t xml:space="preserve">7.1 </w:t>
      </w:r>
      <w:r w:rsidRPr="009070BD">
        <w:rPr>
          <w:b w:val="0"/>
          <w:noProof/>
          <w:szCs w:val="22"/>
          <w:lang w:val="en-US" w:eastAsia="en-US"/>
        </w:rPr>
        <w:t>մլն</w:t>
      </w:r>
      <w:r w:rsidRPr="009070BD">
        <w:rPr>
          <w:b w:val="0"/>
          <w:noProof/>
          <w:szCs w:val="22"/>
          <w:lang w:val="af-ZA" w:eastAsia="en-US"/>
        </w:rPr>
        <w:t xml:space="preserve"> </w:t>
      </w:r>
      <w:r w:rsidRPr="009070BD">
        <w:rPr>
          <w:b w:val="0"/>
          <w:noProof/>
          <w:szCs w:val="22"/>
          <w:lang w:val="en-US" w:eastAsia="en-US"/>
        </w:rPr>
        <w:t>դրամ՝</w:t>
      </w:r>
      <w:r w:rsidRPr="009070BD">
        <w:rPr>
          <w:b w:val="0"/>
          <w:noProof/>
          <w:szCs w:val="22"/>
          <w:lang w:val="af-ZA" w:eastAsia="en-US"/>
        </w:rPr>
        <w:t xml:space="preserve"> </w:t>
      </w:r>
      <w:r w:rsidRPr="009070BD">
        <w:rPr>
          <w:b w:val="0"/>
          <w:noProof/>
          <w:szCs w:val="22"/>
          <w:lang w:val="en-US" w:eastAsia="en-US"/>
        </w:rPr>
        <w:t>ՀՀ</w:t>
      </w:r>
      <w:r w:rsidRPr="009070BD">
        <w:rPr>
          <w:b w:val="0"/>
          <w:noProof/>
          <w:szCs w:val="22"/>
          <w:lang w:val="af-ZA" w:eastAsia="en-US"/>
        </w:rPr>
        <w:t xml:space="preserve"> 20</w:t>
      </w:r>
      <w:r w:rsidRPr="009070BD">
        <w:rPr>
          <w:b w:val="0"/>
          <w:noProof/>
          <w:szCs w:val="22"/>
          <w:lang w:val="hy-AM" w:eastAsia="en-US"/>
        </w:rPr>
        <w:t>20</w:t>
      </w:r>
      <w:r w:rsidRPr="009070BD">
        <w:rPr>
          <w:b w:val="0"/>
          <w:noProof/>
          <w:szCs w:val="22"/>
          <w:lang w:val="af-ZA" w:eastAsia="en-US"/>
        </w:rPr>
        <w:t xml:space="preserve"> </w:t>
      </w:r>
      <w:r w:rsidRPr="009070BD">
        <w:rPr>
          <w:b w:val="0"/>
          <w:noProof/>
          <w:szCs w:val="22"/>
          <w:lang w:val="en-US" w:eastAsia="en-US"/>
        </w:rPr>
        <w:t>թվականի</w:t>
      </w:r>
      <w:r w:rsidRPr="009070BD">
        <w:rPr>
          <w:b w:val="0"/>
          <w:noProof/>
          <w:szCs w:val="22"/>
          <w:lang w:val="af-ZA" w:eastAsia="en-US"/>
        </w:rPr>
        <w:t xml:space="preserve"> </w:t>
      </w:r>
      <w:r w:rsidRPr="009070BD">
        <w:rPr>
          <w:b w:val="0"/>
          <w:noProof/>
          <w:szCs w:val="22"/>
          <w:lang w:val="en-US" w:eastAsia="en-US"/>
        </w:rPr>
        <w:t>պետական</w:t>
      </w:r>
      <w:r w:rsidRPr="009070BD">
        <w:rPr>
          <w:b w:val="0"/>
          <w:noProof/>
          <w:szCs w:val="22"/>
          <w:lang w:val="af-ZA" w:eastAsia="en-US"/>
        </w:rPr>
        <w:t xml:space="preserve"> </w:t>
      </w:r>
      <w:r w:rsidRPr="009070BD">
        <w:rPr>
          <w:b w:val="0"/>
          <w:noProof/>
          <w:szCs w:val="22"/>
          <w:lang w:val="en-US" w:eastAsia="en-US"/>
        </w:rPr>
        <w:t>բյուջեով</w:t>
      </w:r>
      <w:r w:rsidRPr="009070BD">
        <w:rPr>
          <w:b w:val="0"/>
          <w:noProof/>
          <w:szCs w:val="22"/>
          <w:lang w:val="af-ZA" w:eastAsia="en-US"/>
        </w:rPr>
        <w:t xml:space="preserve"> </w:t>
      </w:r>
      <w:r w:rsidRPr="009070BD">
        <w:rPr>
          <w:b w:val="0"/>
          <w:noProof/>
          <w:szCs w:val="22"/>
          <w:lang w:val="en-US" w:eastAsia="en-US"/>
        </w:rPr>
        <w:t>հաստատված</w:t>
      </w:r>
      <w:r w:rsidRPr="009070BD">
        <w:rPr>
          <w:b w:val="0"/>
          <w:noProof/>
          <w:szCs w:val="22"/>
          <w:lang w:val="af-ZA" w:eastAsia="en-US"/>
        </w:rPr>
        <w:t xml:space="preserve"> </w:t>
      </w:r>
      <w:r w:rsidRPr="009070BD">
        <w:rPr>
          <w:b w:val="0"/>
          <w:noProof/>
          <w:szCs w:val="22"/>
          <w:lang w:val="hy-AM" w:eastAsia="en-US"/>
        </w:rPr>
        <w:t>7</w:t>
      </w:r>
      <w:r w:rsidRPr="009070BD">
        <w:rPr>
          <w:b w:val="0"/>
          <w:noProof/>
          <w:szCs w:val="22"/>
          <w:lang w:val="af-ZA" w:eastAsia="en-US"/>
        </w:rPr>
        <w:t>,</w:t>
      </w:r>
      <w:r w:rsidRPr="009070BD">
        <w:rPr>
          <w:b w:val="0"/>
          <w:noProof/>
          <w:szCs w:val="22"/>
          <w:lang w:val="hy-AM" w:eastAsia="en-US"/>
        </w:rPr>
        <w:t>371</w:t>
      </w:r>
      <w:r w:rsidRPr="009070BD">
        <w:rPr>
          <w:b w:val="0"/>
          <w:noProof/>
          <w:szCs w:val="22"/>
          <w:lang w:val="af-ZA" w:eastAsia="en-US"/>
        </w:rPr>
        <w:t>.</w:t>
      </w:r>
      <w:r w:rsidRPr="009070BD">
        <w:rPr>
          <w:b w:val="0"/>
          <w:noProof/>
          <w:szCs w:val="22"/>
          <w:lang w:val="hy-AM" w:eastAsia="en-US"/>
        </w:rPr>
        <w:t>8</w:t>
      </w:r>
      <w:r w:rsidRPr="009070BD">
        <w:rPr>
          <w:b w:val="0"/>
          <w:noProof/>
          <w:szCs w:val="22"/>
          <w:lang w:val="af-ZA" w:eastAsia="en-US"/>
        </w:rPr>
        <w:t xml:space="preserve"> </w:t>
      </w:r>
      <w:r w:rsidRPr="009070BD">
        <w:rPr>
          <w:b w:val="0"/>
          <w:noProof/>
          <w:szCs w:val="22"/>
          <w:lang w:val="en-US" w:eastAsia="en-US"/>
        </w:rPr>
        <w:t>մլն</w:t>
      </w:r>
      <w:r w:rsidRPr="009070BD">
        <w:rPr>
          <w:b w:val="0"/>
          <w:noProof/>
          <w:szCs w:val="22"/>
          <w:lang w:val="af-ZA" w:eastAsia="en-US"/>
        </w:rPr>
        <w:t xml:space="preserve"> </w:t>
      </w:r>
      <w:r w:rsidRPr="009070BD">
        <w:rPr>
          <w:b w:val="0"/>
          <w:noProof/>
          <w:szCs w:val="22"/>
          <w:lang w:val="en-US" w:eastAsia="en-US"/>
        </w:rPr>
        <w:t>դրամի</w:t>
      </w:r>
      <w:r w:rsidRPr="009070BD">
        <w:rPr>
          <w:b w:val="0"/>
          <w:noProof/>
          <w:szCs w:val="22"/>
          <w:lang w:val="af-ZA" w:eastAsia="en-US"/>
        </w:rPr>
        <w:t xml:space="preserve"> </w:t>
      </w:r>
      <w:r w:rsidRPr="009070BD">
        <w:rPr>
          <w:b w:val="0"/>
          <w:noProof/>
          <w:szCs w:val="22"/>
          <w:lang w:val="en-US" w:eastAsia="en-US"/>
        </w:rPr>
        <w:t>դիմաց</w:t>
      </w:r>
      <w:r w:rsidRPr="009070BD">
        <w:rPr>
          <w:b w:val="0"/>
          <w:noProof/>
          <w:szCs w:val="22"/>
          <w:lang w:val="af-ZA" w:eastAsia="en-US"/>
        </w:rPr>
        <w:t xml:space="preserve">: </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en-US" w:eastAsia="en-US"/>
        </w:rPr>
        <w:t>Ծախսեր</w:t>
      </w:r>
      <w:r w:rsidRPr="009070BD">
        <w:rPr>
          <w:b w:val="0"/>
          <w:noProof/>
          <w:szCs w:val="22"/>
          <w:lang w:val="hy-AM" w:eastAsia="en-US"/>
        </w:rPr>
        <w:t>ը</w:t>
      </w:r>
      <w:r w:rsidRPr="009070BD">
        <w:rPr>
          <w:b w:val="0"/>
          <w:noProof/>
          <w:szCs w:val="22"/>
          <w:lang w:val="af-ZA" w:eastAsia="en-US"/>
        </w:rPr>
        <w:t xml:space="preserve"> </w:t>
      </w:r>
      <w:r w:rsidRPr="009070BD">
        <w:rPr>
          <w:b w:val="0"/>
          <w:noProof/>
          <w:szCs w:val="22"/>
          <w:lang w:val="hy-AM" w:eastAsia="en-US"/>
        </w:rPr>
        <w:t>նվազել</w:t>
      </w:r>
      <w:r w:rsidRPr="009070BD">
        <w:rPr>
          <w:b w:val="0"/>
          <w:noProof/>
          <w:szCs w:val="22"/>
          <w:lang w:val="af-ZA" w:eastAsia="en-US"/>
        </w:rPr>
        <w:t xml:space="preserve"> </w:t>
      </w:r>
      <w:r w:rsidRPr="009070BD">
        <w:rPr>
          <w:b w:val="0"/>
          <w:noProof/>
          <w:szCs w:val="22"/>
          <w:lang w:val="en-US" w:eastAsia="en-US"/>
        </w:rPr>
        <w:t>են</w:t>
      </w:r>
      <w:r w:rsidRPr="009070BD">
        <w:rPr>
          <w:b w:val="0"/>
          <w:noProof/>
          <w:szCs w:val="22"/>
          <w:lang w:val="af-ZA" w:eastAsia="en-US"/>
        </w:rPr>
        <w:t xml:space="preserve"> 494.7 </w:t>
      </w:r>
      <w:r w:rsidRPr="009070BD">
        <w:rPr>
          <w:b w:val="0"/>
          <w:noProof/>
          <w:szCs w:val="22"/>
          <w:lang w:val="en-US" w:eastAsia="en-US"/>
        </w:rPr>
        <w:t>մլն</w:t>
      </w:r>
      <w:r w:rsidRPr="009070BD">
        <w:rPr>
          <w:b w:val="0"/>
          <w:noProof/>
          <w:szCs w:val="22"/>
          <w:lang w:val="af-ZA" w:eastAsia="en-US"/>
        </w:rPr>
        <w:t xml:space="preserve"> </w:t>
      </w:r>
      <w:r w:rsidRPr="009070BD">
        <w:rPr>
          <w:b w:val="0"/>
          <w:noProof/>
          <w:szCs w:val="22"/>
          <w:lang w:val="en-US" w:eastAsia="en-US"/>
        </w:rPr>
        <w:t>դրամով</w:t>
      </w:r>
      <w:r w:rsidRPr="009070BD">
        <w:rPr>
          <w:b w:val="0"/>
          <w:noProof/>
          <w:szCs w:val="22"/>
          <w:lang w:val="af-ZA" w:eastAsia="en-US"/>
        </w:rPr>
        <w:t xml:space="preserve">, </w:t>
      </w:r>
      <w:r w:rsidRPr="009070BD">
        <w:rPr>
          <w:b w:val="0"/>
          <w:noProof/>
          <w:szCs w:val="22"/>
          <w:lang w:val="en-US" w:eastAsia="en-US"/>
        </w:rPr>
        <w:t>կամ</w:t>
      </w:r>
      <w:r w:rsidRPr="009070BD">
        <w:rPr>
          <w:b w:val="0"/>
          <w:noProof/>
          <w:szCs w:val="22"/>
          <w:lang w:val="af-ZA" w:eastAsia="en-US"/>
        </w:rPr>
        <w:t xml:space="preserve"> 6.7 </w:t>
      </w:r>
      <w:r w:rsidRPr="009070BD">
        <w:rPr>
          <w:b w:val="0"/>
          <w:noProof/>
          <w:szCs w:val="22"/>
          <w:lang w:val="en-US" w:eastAsia="en-US"/>
        </w:rPr>
        <w:t>տոկոսով</w:t>
      </w:r>
      <w:r w:rsidRPr="009070BD">
        <w:rPr>
          <w:b w:val="0"/>
          <w:noProof/>
          <w:szCs w:val="22"/>
          <w:lang w:val="af-ZA" w:eastAsia="en-US"/>
        </w:rPr>
        <w:t xml:space="preserve">, </w:t>
      </w:r>
      <w:r w:rsidRPr="009070BD">
        <w:rPr>
          <w:b w:val="0"/>
          <w:noProof/>
          <w:szCs w:val="22"/>
          <w:lang w:val="en-US" w:eastAsia="en-US"/>
        </w:rPr>
        <w:t>որը</w:t>
      </w:r>
      <w:r w:rsidRPr="009070BD">
        <w:rPr>
          <w:b w:val="0"/>
          <w:noProof/>
          <w:szCs w:val="22"/>
          <w:lang w:val="af-ZA" w:eastAsia="en-US"/>
        </w:rPr>
        <w:t xml:space="preserve"> </w:t>
      </w:r>
      <w:r w:rsidRPr="009070BD">
        <w:rPr>
          <w:b w:val="0"/>
          <w:noProof/>
          <w:szCs w:val="22"/>
          <w:lang w:val="en-US" w:eastAsia="en-US"/>
        </w:rPr>
        <w:t>պայմանավորված</w:t>
      </w:r>
      <w:r w:rsidRPr="009070BD">
        <w:rPr>
          <w:b w:val="0"/>
          <w:noProof/>
          <w:szCs w:val="22"/>
          <w:lang w:val="af-ZA" w:eastAsia="en-US"/>
        </w:rPr>
        <w:t xml:space="preserve"> </w:t>
      </w:r>
      <w:r w:rsidRPr="009070BD">
        <w:rPr>
          <w:b w:val="0"/>
          <w:noProof/>
          <w:szCs w:val="22"/>
          <w:lang w:val="en-US" w:eastAsia="en-US"/>
        </w:rPr>
        <w:t>է</w:t>
      </w:r>
      <w:r w:rsidRPr="009070BD">
        <w:rPr>
          <w:b w:val="0"/>
          <w:noProof/>
          <w:szCs w:val="22"/>
          <w:lang w:val="af-ZA" w:eastAsia="en-US"/>
        </w:rPr>
        <w:t>.</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af-ZA" w:eastAsia="en-US"/>
        </w:rPr>
        <w:t>- </w:t>
      </w:r>
      <w:r w:rsidRPr="009070BD">
        <w:rPr>
          <w:b w:val="0"/>
          <w:noProof/>
          <w:szCs w:val="22"/>
          <w:lang w:val="en-US" w:eastAsia="en-US"/>
        </w:rPr>
        <w:t>Հեռուստատեսային</w:t>
      </w:r>
      <w:r w:rsidRPr="009070BD">
        <w:rPr>
          <w:b w:val="0"/>
          <w:noProof/>
          <w:szCs w:val="22"/>
          <w:lang w:val="af-ZA" w:eastAsia="en-US"/>
        </w:rPr>
        <w:t xml:space="preserve"> </w:t>
      </w:r>
      <w:r w:rsidRPr="009070BD">
        <w:rPr>
          <w:b w:val="0"/>
          <w:noProof/>
          <w:szCs w:val="22"/>
          <w:lang w:val="en-US" w:eastAsia="en-US"/>
        </w:rPr>
        <w:t>ծառայություններ</w:t>
      </w:r>
      <w:r w:rsidRPr="009070BD">
        <w:rPr>
          <w:b w:val="0"/>
          <w:noProof/>
          <w:szCs w:val="22"/>
          <w:lang w:val="af-ZA" w:eastAsia="en-US"/>
        </w:rPr>
        <w:t xml:space="preserve">» </w:t>
      </w:r>
      <w:r w:rsidRPr="009070BD">
        <w:rPr>
          <w:b w:val="0"/>
          <w:noProof/>
          <w:szCs w:val="22"/>
          <w:lang w:val="en-US" w:eastAsia="en-US"/>
        </w:rPr>
        <w:t>միջոցառման</w:t>
      </w:r>
      <w:r w:rsidRPr="009070BD">
        <w:rPr>
          <w:b w:val="0"/>
          <w:noProof/>
          <w:szCs w:val="22"/>
          <w:lang w:val="af-ZA" w:eastAsia="en-US"/>
        </w:rPr>
        <w:t xml:space="preserve"> </w:t>
      </w:r>
      <w:r w:rsidRPr="009070BD">
        <w:rPr>
          <w:b w:val="0"/>
          <w:noProof/>
          <w:szCs w:val="22"/>
          <w:lang w:val="en-US" w:eastAsia="en-US"/>
        </w:rPr>
        <w:t>ծախսերի</w:t>
      </w:r>
      <w:r w:rsidRPr="009070BD">
        <w:rPr>
          <w:b w:val="0"/>
          <w:noProof/>
          <w:szCs w:val="22"/>
          <w:lang w:val="af-ZA" w:eastAsia="en-US"/>
        </w:rPr>
        <w:t xml:space="preserve"> </w:t>
      </w:r>
      <w:r w:rsidRPr="009070BD">
        <w:rPr>
          <w:b w:val="0"/>
          <w:noProof/>
          <w:szCs w:val="22"/>
          <w:lang w:val="hy-AM" w:eastAsia="en-US"/>
        </w:rPr>
        <w:t>նվազմամբ</w:t>
      </w:r>
      <w:r w:rsidRPr="009070BD">
        <w:rPr>
          <w:b w:val="0"/>
          <w:noProof/>
          <w:szCs w:val="22"/>
          <w:lang w:val="en-US" w:eastAsia="en-US"/>
        </w:rPr>
        <w:t>՝</w:t>
      </w:r>
      <w:r w:rsidRPr="009070BD">
        <w:rPr>
          <w:b w:val="0"/>
          <w:noProof/>
          <w:szCs w:val="22"/>
          <w:lang w:val="af-ZA" w:eastAsia="en-US"/>
        </w:rPr>
        <w:t xml:space="preserve"> </w:t>
      </w:r>
      <w:r w:rsidRPr="009070BD">
        <w:rPr>
          <w:b w:val="0"/>
          <w:noProof/>
          <w:szCs w:val="22"/>
          <w:lang w:val="hy-AM" w:eastAsia="en-US"/>
        </w:rPr>
        <w:t>400</w:t>
      </w:r>
      <w:r w:rsidRPr="009070BD">
        <w:rPr>
          <w:b w:val="0"/>
          <w:noProof/>
          <w:szCs w:val="22"/>
          <w:lang w:val="af-ZA" w:eastAsia="en-US"/>
        </w:rPr>
        <w:t>.</w:t>
      </w:r>
      <w:r w:rsidRPr="009070BD">
        <w:rPr>
          <w:b w:val="0"/>
          <w:noProof/>
          <w:szCs w:val="22"/>
          <w:lang w:val="hy-AM" w:eastAsia="en-US"/>
        </w:rPr>
        <w:t>0</w:t>
      </w:r>
      <w:r w:rsidRPr="009070BD">
        <w:rPr>
          <w:b w:val="0"/>
          <w:noProof/>
          <w:szCs w:val="22"/>
          <w:lang w:val="af-ZA" w:eastAsia="en-US"/>
        </w:rPr>
        <w:t xml:space="preserve"> </w:t>
      </w:r>
      <w:r w:rsidRPr="009070BD">
        <w:rPr>
          <w:b w:val="0"/>
          <w:noProof/>
          <w:szCs w:val="22"/>
          <w:lang w:val="en-US" w:eastAsia="en-US"/>
        </w:rPr>
        <w:t>մլն</w:t>
      </w:r>
      <w:r w:rsidRPr="009070BD">
        <w:rPr>
          <w:b w:val="0"/>
          <w:noProof/>
          <w:szCs w:val="22"/>
          <w:lang w:val="af-ZA" w:eastAsia="en-US"/>
        </w:rPr>
        <w:t xml:space="preserve"> </w:t>
      </w:r>
      <w:r w:rsidRPr="009070BD">
        <w:rPr>
          <w:b w:val="0"/>
          <w:noProof/>
          <w:szCs w:val="22"/>
          <w:lang w:val="en-US" w:eastAsia="en-US"/>
        </w:rPr>
        <w:t>դրամով</w:t>
      </w:r>
      <w:r w:rsidRPr="009070BD">
        <w:rPr>
          <w:b w:val="0"/>
          <w:noProof/>
          <w:szCs w:val="22"/>
          <w:lang w:val="hy-AM" w:eastAsia="en-US"/>
        </w:rPr>
        <w:t xml:space="preserve"> </w:t>
      </w:r>
      <w:r w:rsidRPr="009070BD">
        <w:rPr>
          <w:b w:val="0"/>
          <w:noProof/>
          <w:szCs w:val="22"/>
          <w:lang w:val="af-ZA" w:eastAsia="en-US"/>
        </w:rPr>
        <w:t xml:space="preserve"> (</w:t>
      </w:r>
      <w:r w:rsidRPr="009070BD">
        <w:rPr>
          <w:b w:val="0"/>
          <w:noProof/>
          <w:szCs w:val="22"/>
          <w:lang w:val="en-US" w:eastAsia="en-US"/>
        </w:rPr>
        <w:t>Հանրային</w:t>
      </w:r>
      <w:r w:rsidRPr="009070BD">
        <w:rPr>
          <w:b w:val="0"/>
          <w:noProof/>
          <w:szCs w:val="22"/>
          <w:lang w:val="af-ZA" w:eastAsia="en-US"/>
        </w:rPr>
        <w:t xml:space="preserve"> </w:t>
      </w:r>
      <w:r w:rsidRPr="009070BD">
        <w:rPr>
          <w:b w:val="0"/>
          <w:noProof/>
          <w:szCs w:val="22"/>
          <w:lang w:val="en-US" w:eastAsia="en-US"/>
        </w:rPr>
        <w:t>հեռուստաընկերության</w:t>
      </w:r>
      <w:r w:rsidRPr="009070BD">
        <w:rPr>
          <w:b w:val="0"/>
          <w:noProof/>
          <w:szCs w:val="22"/>
          <w:lang w:val="af-ZA" w:eastAsia="en-US"/>
        </w:rPr>
        <w:t xml:space="preserve"> </w:t>
      </w:r>
      <w:r w:rsidRPr="009070BD">
        <w:rPr>
          <w:b w:val="0"/>
          <w:noProof/>
          <w:szCs w:val="22"/>
          <w:lang w:val="en-US" w:eastAsia="en-US"/>
        </w:rPr>
        <w:t>կողմից</w:t>
      </w:r>
      <w:r w:rsidRPr="009070BD">
        <w:rPr>
          <w:b w:val="0"/>
          <w:noProof/>
          <w:szCs w:val="22"/>
          <w:lang w:val="af-ZA" w:eastAsia="en-US"/>
        </w:rPr>
        <w:t xml:space="preserve"> </w:t>
      </w:r>
      <w:r w:rsidRPr="009070BD">
        <w:rPr>
          <w:b w:val="0"/>
          <w:noProof/>
          <w:szCs w:val="22"/>
          <w:lang w:val="en-US" w:eastAsia="en-US"/>
        </w:rPr>
        <w:t>ներգրավված</w:t>
      </w:r>
      <w:r w:rsidRPr="009070BD">
        <w:rPr>
          <w:b w:val="0"/>
          <w:noProof/>
          <w:szCs w:val="22"/>
          <w:lang w:val="af-ZA" w:eastAsia="en-US"/>
        </w:rPr>
        <w:t xml:space="preserve"> </w:t>
      </w:r>
      <w:r w:rsidRPr="009070BD">
        <w:rPr>
          <w:b w:val="0"/>
          <w:noProof/>
          <w:szCs w:val="22"/>
          <w:lang w:val="en-US" w:eastAsia="en-US"/>
        </w:rPr>
        <w:t>վարկը</w:t>
      </w:r>
      <w:r w:rsidRPr="009070BD">
        <w:rPr>
          <w:b w:val="0"/>
          <w:noProof/>
          <w:szCs w:val="22"/>
          <w:lang w:val="af-ZA" w:eastAsia="en-US"/>
        </w:rPr>
        <w:t xml:space="preserve"> </w:t>
      </w:r>
      <w:r w:rsidRPr="009070BD">
        <w:rPr>
          <w:b w:val="0"/>
          <w:noProof/>
          <w:szCs w:val="22"/>
          <w:lang w:val="en-US" w:eastAsia="en-US"/>
        </w:rPr>
        <w:t>ամբողջությամբ</w:t>
      </w:r>
      <w:r w:rsidRPr="009070BD">
        <w:rPr>
          <w:b w:val="0"/>
          <w:noProof/>
          <w:szCs w:val="22"/>
          <w:lang w:val="af-ZA" w:eastAsia="en-US"/>
        </w:rPr>
        <w:t xml:space="preserve"> </w:t>
      </w:r>
      <w:r w:rsidRPr="009070BD">
        <w:rPr>
          <w:b w:val="0"/>
          <w:noProof/>
          <w:szCs w:val="22"/>
          <w:lang w:val="en-US" w:eastAsia="en-US"/>
        </w:rPr>
        <w:t>մարելու</w:t>
      </w:r>
      <w:r w:rsidRPr="009070BD">
        <w:rPr>
          <w:b w:val="0"/>
          <w:noProof/>
          <w:szCs w:val="22"/>
          <w:lang w:val="af-ZA" w:eastAsia="en-US"/>
        </w:rPr>
        <w:t xml:space="preserve"> </w:t>
      </w:r>
      <w:r w:rsidRPr="009070BD">
        <w:rPr>
          <w:b w:val="0"/>
          <w:noProof/>
          <w:szCs w:val="22"/>
          <w:lang w:val="en-US" w:eastAsia="en-US"/>
        </w:rPr>
        <w:t>հետ</w:t>
      </w:r>
      <w:r w:rsidRPr="009070BD">
        <w:rPr>
          <w:b w:val="0"/>
          <w:noProof/>
          <w:szCs w:val="22"/>
          <w:lang w:val="af-ZA" w:eastAsia="en-US"/>
        </w:rPr>
        <w:t xml:space="preserve"> </w:t>
      </w:r>
      <w:r w:rsidRPr="009070BD">
        <w:rPr>
          <w:b w:val="0"/>
          <w:noProof/>
          <w:szCs w:val="22"/>
          <w:lang w:val="en-US" w:eastAsia="en-US"/>
        </w:rPr>
        <w:t>կապված</w:t>
      </w:r>
      <w:r w:rsidRPr="009070BD">
        <w:rPr>
          <w:b w:val="0"/>
          <w:noProof/>
          <w:szCs w:val="22"/>
          <w:lang w:val="af-ZA" w:eastAsia="en-US"/>
        </w:rPr>
        <w:t xml:space="preserve"> </w:t>
      </w:r>
      <w:r w:rsidRPr="009070BD">
        <w:rPr>
          <w:b w:val="0"/>
          <w:noProof/>
          <w:szCs w:val="22"/>
          <w:lang w:val="en-US" w:eastAsia="en-US"/>
        </w:rPr>
        <w:t>վարկի</w:t>
      </w:r>
      <w:r w:rsidRPr="009070BD">
        <w:rPr>
          <w:b w:val="0"/>
          <w:noProof/>
          <w:szCs w:val="22"/>
          <w:lang w:val="af-ZA" w:eastAsia="en-US"/>
        </w:rPr>
        <w:t xml:space="preserve"> </w:t>
      </w:r>
      <w:r w:rsidRPr="009070BD">
        <w:rPr>
          <w:b w:val="0"/>
          <w:noProof/>
          <w:szCs w:val="22"/>
          <w:lang w:val="en-US" w:eastAsia="en-US"/>
        </w:rPr>
        <w:t>մարմանն</w:t>
      </w:r>
      <w:r w:rsidRPr="009070BD">
        <w:rPr>
          <w:b w:val="0"/>
          <w:noProof/>
          <w:szCs w:val="22"/>
          <w:lang w:val="af-ZA" w:eastAsia="en-US"/>
        </w:rPr>
        <w:t xml:space="preserve"> </w:t>
      </w:r>
      <w:r w:rsidRPr="009070BD">
        <w:rPr>
          <w:b w:val="0"/>
          <w:noProof/>
          <w:szCs w:val="22"/>
          <w:lang w:val="en-US" w:eastAsia="en-US"/>
        </w:rPr>
        <w:t>ուղղված</w:t>
      </w:r>
      <w:r w:rsidRPr="009070BD">
        <w:rPr>
          <w:b w:val="0"/>
          <w:noProof/>
          <w:szCs w:val="22"/>
          <w:lang w:val="af-ZA" w:eastAsia="en-US"/>
        </w:rPr>
        <w:t xml:space="preserve"> </w:t>
      </w:r>
      <w:r w:rsidRPr="009070BD">
        <w:rPr>
          <w:b w:val="0"/>
          <w:noProof/>
          <w:szCs w:val="22"/>
          <w:lang w:val="en-US" w:eastAsia="en-US"/>
        </w:rPr>
        <w:t>միջոցներ</w:t>
      </w:r>
      <w:r w:rsidRPr="009070BD">
        <w:rPr>
          <w:b w:val="0"/>
          <w:noProof/>
          <w:szCs w:val="22"/>
          <w:lang w:val="af-ZA" w:eastAsia="en-US"/>
        </w:rPr>
        <w:t>),</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af-ZA" w:eastAsia="en-US"/>
        </w:rPr>
        <w:t>- </w:t>
      </w:r>
      <w:r w:rsidRPr="009070BD">
        <w:rPr>
          <w:b w:val="0"/>
          <w:noProof/>
          <w:szCs w:val="22"/>
          <w:lang w:val="en-US" w:eastAsia="en-US"/>
        </w:rPr>
        <w:t>Ներդրումներ</w:t>
      </w:r>
      <w:r w:rsidRPr="009070BD">
        <w:rPr>
          <w:b w:val="0"/>
          <w:noProof/>
          <w:szCs w:val="22"/>
          <w:lang w:val="af-ZA" w:eastAsia="en-US"/>
        </w:rPr>
        <w:t xml:space="preserve"> </w:t>
      </w:r>
      <w:r w:rsidRPr="009070BD">
        <w:rPr>
          <w:b w:val="0"/>
          <w:noProof/>
          <w:szCs w:val="22"/>
          <w:lang w:val="en-US" w:eastAsia="en-US"/>
        </w:rPr>
        <w:t>տեխնիկական</w:t>
      </w:r>
      <w:r w:rsidRPr="009070BD">
        <w:rPr>
          <w:b w:val="0"/>
          <w:noProof/>
          <w:szCs w:val="22"/>
          <w:lang w:val="af-ZA" w:eastAsia="en-US"/>
        </w:rPr>
        <w:t xml:space="preserve"> </w:t>
      </w:r>
      <w:r w:rsidRPr="009070BD">
        <w:rPr>
          <w:b w:val="0"/>
          <w:noProof/>
          <w:szCs w:val="22"/>
          <w:lang w:val="en-US" w:eastAsia="en-US"/>
        </w:rPr>
        <w:t>վերազինման</w:t>
      </w:r>
      <w:r w:rsidRPr="009070BD">
        <w:rPr>
          <w:b w:val="0"/>
          <w:noProof/>
          <w:szCs w:val="22"/>
          <w:lang w:val="af-ZA" w:eastAsia="en-US"/>
        </w:rPr>
        <w:t xml:space="preserve"> </w:t>
      </w:r>
      <w:r w:rsidRPr="009070BD">
        <w:rPr>
          <w:b w:val="0"/>
          <w:noProof/>
          <w:szCs w:val="22"/>
          <w:lang w:val="en-US" w:eastAsia="en-US"/>
        </w:rPr>
        <w:t>նպատակով</w:t>
      </w:r>
      <w:r w:rsidRPr="009070BD">
        <w:rPr>
          <w:b w:val="0"/>
          <w:noProof/>
          <w:szCs w:val="22"/>
          <w:lang w:val="af-ZA" w:eastAsia="en-US"/>
        </w:rPr>
        <w:t xml:space="preserve">» </w:t>
      </w:r>
      <w:r w:rsidRPr="009070BD">
        <w:rPr>
          <w:b w:val="0"/>
          <w:noProof/>
          <w:szCs w:val="22"/>
          <w:lang w:val="hy-AM" w:eastAsia="en-US"/>
        </w:rPr>
        <w:t>միջոցառման չնախատեսմամբ՝ 100</w:t>
      </w:r>
      <w:r w:rsidRPr="009070BD">
        <w:rPr>
          <w:b w:val="0"/>
          <w:noProof/>
          <w:szCs w:val="22"/>
          <w:lang w:val="af-ZA" w:eastAsia="en-US"/>
        </w:rPr>
        <w:t>.</w:t>
      </w:r>
      <w:r w:rsidRPr="009070BD">
        <w:rPr>
          <w:b w:val="0"/>
          <w:noProof/>
          <w:szCs w:val="22"/>
          <w:lang w:val="hy-AM" w:eastAsia="en-US"/>
        </w:rPr>
        <w:t>0 մլն դրամ, հաշվի առնելով ծախսային գերակայությունները, առաջնահերթությունները</w:t>
      </w:r>
      <w:r w:rsidRPr="009070BD">
        <w:rPr>
          <w:b w:val="0"/>
          <w:noProof/>
          <w:szCs w:val="22"/>
          <w:lang w:val="af-ZA" w:eastAsia="en-US"/>
        </w:rPr>
        <w:t>:</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en-US" w:eastAsia="en-US"/>
        </w:rPr>
        <w:t>Միաժամանակ</w:t>
      </w:r>
      <w:r w:rsidRPr="009070BD">
        <w:rPr>
          <w:b w:val="0"/>
          <w:noProof/>
          <w:szCs w:val="22"/>
          <w:lang w:val="af-ZA" w:eastAsia="en-US"/>
        </w:rPr>
        <w:t xml:space="preserve">, </w:t>
      </w:r>
      <w:r w:rsidRPr="009070BD">
        <w:rPr>
          <w:b w:val="0"/>
          <w:noProof/>
          <w:szCs w:val="22"/>
          <w:lang w:val="en-US" w:eastAsia="en-US"/>
        </w:rPr>
        <w:t>միջազգային</w:t>
      </w:r>
      <w:r w:rsidRPr="009070BD">
        <w:rPr>
          <w:b w:val="0"/>
          <w:noProof/>
          <w:szCs w:val="22"/>
          <w:lang w:val="af-ZA" w:eastAsia="en-US"/>
        </w:rPr>
        <w:t xml:space="preserve"> </w:t>
      </w:r>
      <w:r w:rsidRPr="009070BD">
        <w:rPr>
          <w:b w:val="0"/>
          <w:noProof/>
          <w:szCs w:val="22"/>
          <w:lang w:val="en-US" w:eastAsia="en-US"/>
        </w:rPr>
        <w:t>կազմակերպություններին</w:t>
      </w:r>
      <w:r w:rsidRPr="009070BD">
        <w:rPr>
          <w:b w:val="0"/>
          <w:noProof/>
          <w:szCs w:val="22"/>
          <w:lang w:val="af-ZA" w:eastAsia="en-US"/>
        </w:rPr>
        <w:t xml:space="preserve"> </w:t>
      </w:r>
      <w:r w:rsidRPr="009070BD">
        <w:rPr>
          <w:b w:val="0"/>
          <w:noProof/>
          <w:szCs w:val="22"/>
          <w:lang w:val="en-US" w:eastAsia="en-US"/>
        </w:rPr>
        <w:t>անդամավճարի</w:t>
      </w:r>
      <w:r w:rsidRPr="009070BD">
        <w:rPr>
          <w:b w:val="0"/>
          <w:noProof/>
          <w:szCs w:val="22"/>
          <w:lang w:val="af-ZA" w:eastAsia="en-US"/>
        </w:rPr>
        <w:t xml:space="preserve"> </w:t>
      </w:r>
      <w:r w:rsidRPr="009070BD">
        <w:rPr>
          <w:b w:val="0"/>
          <w:noProof/>
          <w:szCs w:val="22"/>
          <w:lang w:val="en-US" w:eastAsia="en-US"/>
        </w:rPr>
        <w:t>գծով</w:t>
      </w:r>
      <w:r w:rsidRPr="009070BD">
        <w:rPr>
          <w:b w:val="0"/>
          <w:noProof/>
          <w:szCs w:val="22"/>
          <w:lang w:val="af-ZA" w:eastAsia="en-US"/>
        </w:rPr>
        <w:t xml:space="preserve"> </w:t>
      </w:r>
      <w:r w:rsidRPr="009070BD">
        <w:rPr>
          <w:b w:val="0"/>
          <w:noProof/>
          <w:szCs w:val="22"/>
          <w:lang w:val="en-US" w:eastAsia="en-US"/>
        </w:rPr>
        <w:t>ծախսեր</w:t>
      </w:r>
      <w:r w:rsidRPr="009070BD">
        <w:rPr>
          <w:b w:val="0"/>
          <w:noProof/>
          <w:szCs w:val="22"/>
          <w:lang w:val="hy-AM" w:eastAsia="en-US"/>
        </w:rPr>
        <w:t>ն</w:t>
      </w:r>
      <w:r w:rsidRPr="009070BD">
        <w:rPr>
          <w:b w:val="0"/>
          <w:noProof/>
          <w:szCs w:val="22"/>
          <w:lang w:val="af-ZA" w:eastAsia="en-US"/>
        </w:rPr>
        <w:t xml:space="preserve"> </w:t>
      </w:r>
      <w:r w:rsidRPr="009070BD">
        <w:rPr>
          <w:b w:val="0"/>
          <w:noProof/>
          <w:szCs w:val="22"/>
          <w:lang w:val="hy-AM" w:eastAsia="en-US"/>
        </w:rPr>
        <w:t>աճել</w:t>
      </w:r>
      <w:r w:rsidRPr="009070BD">
        <w:rPr>
          <w:b w:val="0"/>
          <w:noProof/>
          <w:szCs w:val="22"/>
          <w:lang w:val="af-ZA" w:eastAsia="en-US"/>
        </w:rPr>
        <w:t xml:space="preserve"> </w:t>
      </w:r>
      <w:r w:rsidRPr="009070BD">
        <w:rPr>
          <w:b w:val="0"/>
          <w:noProof/>
          <w:szCs w:val="22"/>
          <w:lang w:val="en-US" w:eastAsia="en-US"/>
        </w:rPr>
        <w:t>են</w:t>
      </w:r>
      <w:r w:rsidRPr="009070BD">
        <w:rPr>
          <w:b w:val="0"/>
          <w:noProof/>
          <w:szCs w:val="22"/>
          <w:lang w:val="af-ZA" w:eastAsia="en-US"/>
        </w:rPr>
        <w:t xml:space="preserve"> </w:t>
      </w:r>
      <w:r w:rsidRPr="009070BD">
        <w:rPr>
          <w:b w:val="0"/>
          <w:noProof/>
          <w:szCs w:val="22"/>
          <w:lang w:val="hy-AM" w:eastAsia="en-US"/>
        </w:rPr>
        <w:t>5</w:t>
      </w:r>
      <w:r w:rsidRPr="009070BD">
        <w:rPr>
          <w:b w:val="0"/>
          <w:noProof/>
          <w:szCs w:val="22"/>
          <w:lang w:val="af-ZA" w:eastAsia="en-US"/>
        </w:rPr>
        <w:t>.</w:t>
      </w:r>
      <w:r w:rsidRPr="009070BD">
        <w:rPr>
          <w:b w:val="0"/>
          <w:noProof/>
          <w:szCs w:val="22"/>
          <w:lang w:val="hy-AM" w:eastAsia="en-US"/>
        </w:rPr>
        <w:t>3</w:t>
      </w:r>
      <w:r w:rsidRPr="009070BD">
        <w:rPr>
          <w:b w:val="0"/>
          <w:noProof/>
          <w:szCs w:val="22"/>
          <w:lang w:val="af-ZA" w:eastAsia="en-US"/>
        </w:rPr>
        <w:t xml:space="preserve"> </w:t>
      </w:r>
      <w:r w:rsidRPr="009070BD">
        <w:rPr>
          <w:b w:val="0"/>
          <w:noProof/>
          <w:szCs w:val="22"/>
          <w:lang w:val="en-US" w:eastAsia="en-US"/>
        </w:rPr>
        <w:t>մլն</w:t>
      </w:r>
      <w:r w:rsidRPr="009070BD">
        <w:rPr>
          <w:b w:val="0"/>
          <w:noProof/>
          <w:szCs w:val="22"/>
          <w:lang w:val="af-ZA" w:eastAsia="en-US"/>
        </w:rPr>
        <w:t xml:space="preserve"> </w:t>
      </w:r>
      <w:r w:rsidRPr="009070BD">
        <w:rPr>
          <w:b w:val="0"/>
          <w:noProof/>
          <w:szCs w:val="22"/>
          <w:lang w:val="en-US" w:eastAsia="en-US"/>
        </w:rPr>
        <w:t>դրամով</w:t>
      </w:r>
      <w:r w:rsidRPr="009070BD">
        <w:rPr>
          <w:b w:val="0"/>
          <w:noProof/>
          <w:szCs w:val="22"/>
          <w:lang w:val="af-ZA" w:eastAsia="en-US"/>
        </w:rPr>
        <w:t xml:space="preserve">, </w:t>
      </w:r>
      <w:r w:rsidRPr="009070BD">
        <w:rPr>
          <w:b w:val="0"/>
          <w:noProof/>
          <w:szCs w:val="22"/>
          <w:lang w:val="hy-AM" w:eastAsia="en-US"/>
        </w:rPr>
        <w:t xml:space="preserve">կապված </w:t>
      </w:r>
      <w:r w:rsidRPr="009070BD">
        <w:rPr>
          <w:b w:val="0"/>
          <w:noProof/>
          <w:szCs w:val="22"/>
          <w:lang w:val="en-US" w:eastAsia="en-US"/>
        </w:rPr>
        <w:t>տարադրամի</w:t>
      </w:r>
      <w:r w:rsidRPr="009070BD">
        <w:rPr>
          <w:b w:val="0"/>
          <w:noProof/>
          <w:szCs w:val="22"/>
          <w:lang w:val="af-ZA" w:eastAsia="en-US"/>
        </w:rPr>
        <w:t xml:space="preserve"> </w:t>
      </w:r>
      <w:r w:rsidRPr="009070BD">
        <w:rPr>
          <w:b w:val="0"/>
          <w:noProof/>
          <w:szCs w:val="22"/>
          <w:lang w:val="en-US" w:eastAsia="en-US"/>
        </w:rPr>
        <w:t>փոխարժեքի</w:t>
      </w:r>
      <w:r w:rsidRPr="009070BD">
        <w:rPr>
          <w:b w:val="0"/>
          <w:noProof/>
          <w:szCs w:val="22"/>
          <w:lang w:val="af-ZA" w:eastAsia="en-US"/>
        </w:rPr>
        <w:t xml:space="preserve"> </w:t>
      </w:r>
      <w:r w:rsidRPr="009070BD">
        <w:rPr>
          <w:b w:val="0"/>
          <w:noProof/>
          <w:szCs w:val="22"/>
          <w:lang w:val="en-US" w:eastAsia="en-US"/>
        </w:rPr>
        <w:t>փոփոխությամբ</w:t>
      </w:r>
      <w:r w:rsidRPr="009070BD">
        <w:rPr>
          <w:b w:val="0"/>
          <w:noProof/>
          <w:szCs w:val="22"/>
          <w:lang w:val="af-ZA" w:eastAsia="en-US"/>
        </w:rPr>
        <w:t>:</w:t>
      </w:r>
    </w:p>
    <w:p w:rsidR="00C6276C" w:rsidRPr="009070BD" w:rsidRDefault="00C6276C" w:rsidP="007730AA">
      <w:pPr>
        <w:numPr>
          <w:ilvl w:val="12"/>
          <w:numId w:val="0"/>
        </w:numPr>
        <w:tabs>
          <w:tab w:val="left" w:pos="851"/>
        </w:tabs>
        <w:spacing w:before="0" w:line="276" w:lineRule="auto"/>
        <w:ind w:firstLine="720"/>
        <w:contextualSpacing w:val="0"/>
        <w:rPr>
          <w:b w:val="0"/>
          <w:noProof/>
          <w:szCs w:val="22"/>
          <w:lang w:val="af-ZA" w:eastAsia="en-US"/>
        </w:rPr>
      </w:pPr>
      <w:r w:rsidRPr="009070BD">
        <w:rPr>
          <w:b w:val="0"/>
          <w:noProof/>
          <w:szCs w:val="22"/>
          <w:lang w:val="en-US" w:eastAsia="en-US"/>
        </w:rPr>
        <w:t>Բացի</w:t>
      </w:r>
      <w:r w:rsidRPr="009070BD">
        <w:rPr>
          <w:b w:val="0"/>
          <w:noProof/>
          <w:szCs w:val="22"/>
          <w:lang w:val="af-ZA" w:eastAsia="en-US"/>
        </w:rPr>
        <w:t xml:space="preserve"> </w:t>
      </w:r>
      <w:r w:rsidRPr="009070BD">
        <w:rPr>
          <w:b w:val="0"/>
          <w:noProof/>
          <w:szCs w:val="22"/>
          <w:lang w:val="en-US" w:eastAsia="en-US"/>
        </w:rPr>
        <w:t>այդ</w:t>
      </w:r>
      <w:r w:rsidRPr="009070BD">
        <w:rPr>
          <w:b w:val="0"/>
          <w:noProof/>
          <w:szCs w:val="22"/>
          <w:lang w:val="af-ZA" w:eastAsia="en-US"/>
        </w:rPr>
        <w:t xml:space="preserve">, </w:t>
      </w:r>
      <w:r w:rsidRPr="009070BD">
        <w:rPr>
          <w:b w:val="0"/>
          <w:noProof/>
          <w:szCs w:val="22"/>
          <w:lang w:val="hy-AM" w:eastAsia="en-US"/>
        </w:rPr>
        <w:t xml:space="preserve">նախատեսվել է </w:t>
      </w:r>
      <w:r w:rsidRPr="009070BD">
        <w:rPr>
          <w:b w:val="0"/>
          <w:noProof/>
          <w:szCs w:val="22"/>
          <w:lang w:val="af-ZA" w:eastAsia="en-US"/>
        </w:rPr>
        <w:t></w:t>
      </w:r>
      <w:r w:rsidRPr="009070BD">
        <w:rPr>
          <w:b w:val="0"/>
          <w:noProof/>
          <w:szCs w:val="22"/>
          <w:lang w:val="hy-AM" w:eastAsia="en-US"/>
        </w:rPr>
        <w:t>Հանրային հեռարձակողի ֆինանսատնտեսական գործունեության աուդիտ</w:t>
      </w:r>
      <w:r w:rsidRPr="009070BD">
        <w:rPr>
          <w:b w:val="0"/>
          <w:noProof/>
          <w:szCs w:val="22"/>
          <w:lang w:val="af-ZA" w:eastAsia="en-US"/>
        </w:rPr>
        <w:t>»</w:t>
      </w:r>
      <w:r w:rsidRPr="009070BD">
        <w:rPr>
          <w:b w:val="0"/>
          <w:noProof/>
          <w:szCs w:val="22"/>
          <w:lang w:val="hy-AM" w:eastAsia="en-US"/>
        </w:rPr>
        <w:t xml:space="preserve"> նոր միջոցառումը՝ 8</w:t>
      </w:r>
      <w:r w:rsidRPr="009070BD">
        <w:rPr>
          <w:b w:val="0"/>
          <w:noProof/>
          <w:szCs w:val="22"/>
          <w:lang w:val="af-ZA" w:eastAsia="en-US"/>
        </w:rPr>
        <w:t>.</w:t>
      </w:r>
      <w:r w:rsidRPr="009070BD">
        <w:rPr>
          <w:b w:val="0"/>
          <w:noProof/>
          <w:szCs w:val="22"/>
          <w:lang w:val="hy-AM" w:eastAsia="en-US"/>
        </w:rPr>
        <w:t xml:space="preserve">7 մլն դրամի չափով՝ ի հաշիվ նշված նպատակով ընկերությունների համար նախատեսված հատկացումների </w:t>
      </w:r>
      <w:r w:rsidRPr="009070BD">
        <w:rPr>
          <w:b w:val="0"/>
          <w:noProof/>
          <w:szCs w:val="22"/>
          <w:lang w:val="en-US" w:eastAsia="en-US"/>
        </w:rPr>
        <w:t>վերաբաշխմ</w:t>
      </w:r>
      <w:r w:rsidRPr="009070BD">
        <w:rPr>
          <w:b w:val="0"/>
          <w:noProof/>
          <w:szCs w:val="22"/>
          <w:lang w:val="hy-AM" w:eastAsia="en-US"/>
        </w:rPr>
        <w:t xml:space="preserve">ան </w:t>
      </w:r>
      <w:r w:rsidRPr="009070BD">
        <w:rPr>
          <w:b w:val="0"/>
          <w:noProof/>
          <w:szCs w:val="22"/>
          <w:lang w:val="af-ZA" w:eastAsia="en-US"/>
        </w:rPr>
        <w:t>(«</w:t>
      </w:r>
      <w:r w:rsidRPr="009070BD">
        <w:rPr>
          <w:b w:val="0"/>
          <w:noProof/>
          <w:szCs w:val="22"/>
          <w:lang w:val="en-US" w:eastAsia="en-US"/>
        </w:rPr>
        <w:t>Տեսալսողական</w:t>
      </w:r>
      <w:r w:rsidRPr="009070BD">
        <w:rPr>
          <w:b w:val="0"/>
          <w:noProof/>
          <w:szCs w:val="22"/>
          <w:lang w:val="af-ZA" w:eastAsia="en-US"/>
        </w:rPr>
        <w:t xml:space="preserve"> </w:t>
      </w:r>
      <w:r w:rsidRPr="009070BD">
        <w:rPr>
          <w:b w:val="0"/>
          <w:noProof/>
          <w:szCs w:val="22"/>
          <w:lang w:val="en-US" w:eastAsia="en-US"/>
        </w:rPr>
        <w:t>մեդիայի</w:t>
      </w:r>
      <w:r w:rsidRPr="009070BD">
        <w:rPr>
          <w:b w:val="0"/>
          <w:noProof/>
          <w:szCs w:val="22"/>
          <w:lang w:val="af-ZA" w:eastAsia="en-US"/>
        </w:rPr>
        <w:t xml:space="preserve"> </w:t>
      </w:r>
      <w:r w:rsidRPr="009070BD">
        <w:rPr>
          <w:b w:val="0"/>
          <w:noProof/>
          <w:szCs w:val="22"/>
          <w:lang w:val="en-US" w:eastAsia="en-US"/>
        </w:rPr>
        <w:t>մասին</w:t>
      </w:r>
      <w:r w:rsidRPr="009070BD">
        <w:rPr>
          <w:b w:val="0"/>
          <w:noProof/>
          <w:szCs w:val="22"/>
          <w:lang w:val="af-ZA" w:eastAsia="en-US"/>
        </w:rPr>
        <w:t xml:space="preserve">» </w:t>
      </w:r>
      <w:r w:rsidRPr="009070BD">
        <w:rPr>
          <w:b w:val="0"/>
          <w:noProof/>
          <w:szCs w:val="22"/>
          <w:lang w:val="en-US" w:eastAsia="en-US"/>
        </w:rPr>
        <w:t>ՀՀ</w:t>
      </w:r>
      <w:r w:rsidRPr="009070BD">
        <w:rPr>
          <w:b w:val="0"/>
          <w:noProof/>
          <w:szCs w:val="22"/>
          <w:lang w:val="af-ZA" w:eastAsia="en-US"/>
        </w:rPr>
        <w:t xml:space="preserve"> </w:t>
      </w:r>
      <w:r w:rsidRPr="009070BD">
        <w:rPr>
          <w:b w:val="0"/>
          <w:noProof/>
          <w:szCs w:val="22"/>
          <w:lang w:val="en-US" w:eastAsia="en-US"/>
        </w:rPr>
        <w:t>օրենքի</w:t>
      </w:r>
      <w:r w:rsidRPr="009070BD">
        <w:rPr>
          <w:b w:val="0"/>
          <w:noProof/>
          <w:szCs w:val="22"/>
          <w:lang w:val="af-ZA" w:eastAsia="en-US"/>
        </w:rPr>
        <w:t xml:space="preserve"> </w:t>
      </w:r>
      <w:r w:rsidRPr="009070BD">
        <w:rPr>
          <w:b w:val="0"/>
          <w:noProof/>
          <w:szCs w:val="22"/>
          <w:lang w:val="en-US" w:eastAsia="en-US"/>
        </w:rPr>
        <w:t>հ</w:t>
      </w:r>
      <w:r w:rsidRPr="009070BD">
        <w:rPr>
          <w:b w:val="0"/>
          <w:noProof/>
          <w:szCs w:val="22"/>
          <w:lang w:val="af-ZA" w:eastAsia="en-US"/>
        </w:rPr>
        <w:t>.27-</w:t>
      </w:r>
      <w:r w:rsidRPr="009070BD">
        <w:rPr>
          <w:b w:val="0"/>
          <w:noProof/>
          <w:szCs w:val="22"/>
          <w:lang w:val="en-US" w:eastAsia="en-US"/>
        </w:rPr>
        <w:t>ի</w:t>
      </w:r>
      <w:r w:rsidRPr="009070BD">
        <w:rPr>
          <w:b w:val="0"/>
          <w:noProof/>
          <w:szCs w:val="22"/>
          <w:lang w:val="af-ZA" w:eastAsia="en-US"/>
        </w:rPr>
        <w:t xml:space="preserve"> 1-</w:t>
      </w:r>
      <w:r w:rsidRPr="009070BD">
        <w:rPr>
          <w:b w:val="0"/>
          <w:noProof/>
          <w:szCs w:val="22"/>
          <w:lang w:val="en-US" w:eastAsia="en-US"/>
        </w:rPr>
        <w:t>ին</w:t>
      </w:r>
      <w:r w:rsidRPr="009070BD">
        <w:rPr>
          <w:b w:val="0"/>
          <w:noProof/>
          <w:szCs w:val="22"/>
          <w:lang w:val="af-ZA" w:eastAsia="en-US"/>
        </w:rPr>
        <w:t xml:space="preserve"> </w:t>
      </w:r>
      <w:r w:rsidRPr="009070BD">
        <w:rPr>
          <w:b w:val="0"/>
          <w:noProof/>
          <w:szCs w:val="22"/>
          <w:lang w:val="en-US" w:eastAsia="en-US"/>
        </w:rPr>
        <w:t>կետի</w:t>
      </w:r>
      <w:r w:rsidRPr="009070BD">
        <w:rPr>
          <w:b w:val="0"/>
          <w:noProof/>
          <w:szCs w:val="22"/>
          <w:lang w:val="af-ZA" w:eastAsia="en-US"/>
        </w:rPr>
        <w:t xml:space="preserve"> 17-</w:t>
      </w:r>
      <w:r w:rsidRPr="009070BD">
        <w:rPr>
          <w:b w:val="0"/>
          <w:noProof/>
          <w:szCs w:val="22"/>
          <w:lang w:val="en-US" w:eastAsia="en-US"/>
        </w:rPr>
        <w:t>րդ</w:t>
      </w:r>
      <w:r w:rsidRPr="009070BD">
        <w:rPr>
          <w:b w:val="0"/>
          <w:noProof/>
          <w:szCs w:val="22"/>
          <w:lang w:val="af-ZA" w:eastAsia="en-US"/>
        </w:rPr>
        <w:t xml:space="preserve"> </w:t>
      </w:r>
      <w:r w:rsidRPr="009070BD">
        <w:rPr>
          <w:b w:val="0"/>
          <w:noProof/>
          <w:szCs w:val="22"/>
          <w:lang w:val="en-US" w:eastAsia="en-US"/>
        </w:rPr>
        <w:t>ենթակետ</w:t>
      </w:r>
      <w:r w:rsidRPr="009070BD">
        <w:rPr>
          <w:b w:val="0"/>
          <w:noProof/>
          <w:szCs w:val="22"/>
          <w:lang w:val="af-ZA" w:eastAsia="en-US"/>
        </w:rPr>
        <w:t xml:space="preserve">): </w:t>
      </w:r>
    </w:p>
    <w:p w:rsidR="0036381A" w:rsidRPr="009070BD" w:rsidRDefault="0036381A" w:rsidP="007730AA">
      <w:pPr>
        <w:spacing w:before="0" w:line="276" w:lineRule="auto"/>
        <w:ind w:firstLine="720"/>
        <w:rPr>
          <w:b w:val="0"/>
          <w:lang w:val="af-ZA"/>
        </w:rPr>
      </w:pPr>
      <w:r w:rsidRPr="009070BD">
        <w:rPr>
          <w:rFonts w:ascii="Arial" w:hAnsi="Arial" w:cs="Arial"/>
          <w:b w:val="0"/>
          <w:color w:val="000000"/>
          <w:lang w:val="en-US" w:eastAsia="en-US"/>
        </w:rPr>
        <w:t>Հ</w:t>
      </w:r>
      <w:r w:rsidR="00C6276C" w:rsidRPr="009070BD">
        <w:rPr>
          <w:rFonts w:ascii="Arial" w:hAnsi="Arial" w:cs="Arial"/>
          <w:b w:val="0"/>
          <w:color w:val="000000"/>
          <w:lang w:val="hy-AM" w:eastAsia="en-US"/>
        </w:rPr>
        <w:t>անրային</w:t>
      </w:r>
      <w:r w:rsidR="00C6276C" w:rsidRPr="009070BD">
        <w:rPr>
          <w:b w:val="0"/>
          <w:color w:val="000000"/>
          <w:lang w:val="hy-AM" w:eastAsia="en-US"/>
        </w:rPr>
        <w:t xml:space="preserve"> </w:t>
      </w:r>
      <w:r w:rsidR="00C6276C" w:rsidRPr="009070BD">
        <w:rPr>
          <w:rFonts w:ascii="Arial" w:hAnsi="Arial" w:cs="Arial"/>
          <w:b w:val="0"/>
          <w:color w:val="000000"/>
          <w:lang w:val="hy-AM" w:eastAsia="en-US"/>
        </w:rPr>
        <w:t>հեռարձակողի</w:t>
      </w:r>
      <w:r w:rsidRPr="009070BD">
        <w:rPr>
          <w:b w:val="0"/>
          <w:color w:val="000000"/>
          <w:lang w:val="af-ZA" w:eastAsia="en-US"/>
        </w:rPr>
        <w:t xml:space="preserve"> </w:t>
      </w:r>
      <w:r w:rsidRPr="009070BD">
        <w:rPr>
          <w:rFonts w:ascii="Arial" w:hAnsi="Arial" w:cs="Arial"/>
          <w:b w:val="0"/>
          <w:color w:val="000000"/>
          <w:lang w:val="en-US" w:eastAsia="en-US"/>
        </w:rPr>
        <w:t>խորհրդի</w:t>
      </w:r>
      <w:r w:rsidR="00224509" w:rsidRPr="009070BD">
        <w:rPr>
          <w:b w:val="0"/>
          <w:color w:val="000000"/>
          <w:lang w:val="af-ZA" w:eastAsia="en-US"/>
        </w:rPr>
        <w:t xml:space="preserve"> </w:t>
      </w:r>
      <w:r w:rsidRPr="009070BD">
        <w:rPr>
          <w:b w:val="0"/>
          <w:lang w:val="af-ZA"/>
        </w:rPr>
        <w:t>202</w:t>
      </w:r>
      <w:r w:rsidR="00523612" w:rsidRPr="009070BD">
        <w:rPr>
          <w:b w:val="0"/>
          <w:lang w:val="hy-AM"/>
        </w:rPr>
        <w:t>1</w:t>
      </w:r>
      <w:r w:rsidRPr="009070BD">
        <w:rPr>
          <w:b w:val="0"/>
          <w:lang w:val="af-ZA"/>
        </w:rPr>
        <w:t xml:space="preserve"> </w:t>
      </w:r>
      <w:r w:rsidRPr="009070BD">
        <w:rPr>
          <w:rFonts w:ascii="Arial" w:hAnsi="Arial" w:cs="Arial"/>
          <w:b w:val="0"/>
        </w:rPr>
        <w:t>թվականի</w:t>
      </w:r>
      <w:r w:rsidRPr="009070BD">
        <w:rPr>
          <w:b w:val="0"/>
          <w:lang w:val="af-ZA"/>
        </w:rPr>
        <w:t xml:space="preserve"> </w:t>
      </w:r>
      <w:r w:rsidRPr="009070BD">
        <w:rPr>
          <w:rFonts w:ascii="Arial" w:hAnsi="Arial" w:cs="Arial"/>
          <w:b w:val="0"/>
        </w:rPr>
        <w:t>բյուջետային</w:t>
      </w:r>
      <w:r w:rsidRPr="009070BD">
        <w:rPr>
          <w:b w:val="0"/>
          <w:lang w:val="af-ZA"/>
        </w:rPr>
        <w:t xml:space="preserve"> </w:t>
      </w:r>
      <w:r w:rsidRPr="009070BD">
        <w:rPr>
          <w:rFonts w:ascii="Arial" w:hAnsi="Arial" w:cs="Arial"/>
          <w:b w:val="0"/>
        </w:rPr>
        <w:t>ծախսերի</w:t>
      </w:r>
      <w:r w:rsidRPr="009070BD">
        <w:rPr>
          <w:b w:val="0"/>
          <w:lang w:val="af-ZA"/>
        </w:rPr>
        <w:t xml:space="preserve"> </w:t>
      </w:r>
      <w:r w:rsidRPr="009070BD">
        <w:rPr>
          <w:rFonts w:ascii="Arial" w:hAnsi="Arial" w:cs="Arial"/>
          <w:b w:val="0"/>
        </w:rPr>
        <w:t>համեմատությունը</w:t>
      </w:r>
      <w:r w:rsidRPr="009070BD">
        <w:rPr>
          <w:b w:val="0"/>
          <w:lang w:val="af-ZA"/>
        </w:rPr>
        <w:t xml:space="preserve"> 201</w:t>
      </w:r>
      <w:r w:rsidR="00523612" w:rsidRPr="009070BD">
        <w:rPr>
          <w:b w:val="0"/>
          <w:lang w:val="hy-AM"/>
        </w:rPr>
        <w:t>9</w:t>
      </w:r>
      <w:r w:rsidRPr="009070BD">
        <w:rPr>
          <w:b w:val="0"/>
          <w:lang w:val="af-ZA"/>
        </w:rPr>
        <w:t>-20</w:t>
      </w:r>
      <w:r w:rsidR="00523612" w:rsidRPr="009070BD">
        <w:rPr>
          <w:b w:val="0"/>
          <w:lang w:val="hy-AM"/>
        </w:rPr>
        <w:t>20</w:t>
      </w:r>
      <w:r w:rsidRPr="009070BD">
        <w:rPr>
          <w:b w:val="0"/>
          <w:lang w:val="af-ZA"/>
        </w:rPr>
        <w:t xml:space="preserve"> </w:t>
      </w:r>
      <w:r w:rsidRPr="009070BD">
        <w:rPr>
          <w:rFonts w:ascii="Arial" w:hAnsi="Arial" w:cs="Arial"/>
          <w:b w:val="0"/>
        </w:rPr>
        <w:t>թվականների</w:t>
      </w:r>
      <w:r w:rsidRPr="009070BD">
        <w:rPr>
          <w:b w:val="0"/>
          <w:lang w:val="af-ZA"/>
        </w:rPr>
        <w:t xml:space="preserve"> </w:t>
      </w:r>
      <w:r w:rsidRPr="009070BD">
        <w:rPr>
          <w:rFonts w:ascii="Arial" w:hAnsi="Arial" w:cs="Arial"/>
          <w:b w:val="0"/>
        </w:rPr>
        <w:t>ցուցանիշների</w:t>
      </w:r>
      <w:r w:rsidRPr="009070BD">
        <w:rPr>
          <w:b w:val="0"/>
          <w:lang w:val="af-ZA"/>
        </w:rPr>
        <w:t xml:space="preserve"> </w:t>
      </w:r>
      <w:r w:rsidRPr="009070BD">
        <w:rPr>
          <w:rFonts w:ascii="Arial" w:hAnsi="Arial" w:cs="Arial"/>
          <w:b w:val="0"/>
        </w:rPr>
        <w:t>հետ</w:t>
      </w:r>
      <w:r w:rsidRPr="009070BD">
        <w:rPr>
          <w:b w:val="0"/>
          <w:lang w:val="af-ZA"/>
        </w:rPr>
        <w:t xml:space="preserve"> </w:t>
      </w:r>
      <w:r w:rsidRPr="009070BD">
        <w:rPr>
          <w:rFonts w:ascii="Arial" w:hAnsi="Arial" w:cs="Arial"/>
          <w:b w:val="0"/>
        </w:rPr>
        <w:t>արտացոլված</w:t>
      </w:r>
      <w:r w:rsidRPr="009070BD">
        <w:rPr>
          <w:b w:val="0"/>
          <w:lang w:val="af-ZA"/>
        </w:rPr>
        <w:t xml:space="preserve"> </w:t>
      </w:r>
      <w:r w:rsidRPr="009070BD">
        <w:rPr>
          <w:rFonts w:ascii="Arial" w:hAnsi="Arial" w:cs="Arial"/>
          <w:b w:val="0"/>
        </w:rPr>
        <w:t>է</w:t>
      </w:r>
      <w:r w:rsidRPr="009070BD">
        <w:rPr>
          <w:b w:val="0"/>
          <w:lang w:val="af-ZA"/>
        </w:rPr>
        <w:t xml:space="preserve"> </w:t>
      </w:r>
      <w:r w:rsidRPr="009070BD">
        <w:rPr>
          <w:rFonts w:ascii="Arial" w:hAnsi="Arial" w:cs="Arial"/>
          <w:b w:val="0"/>
        </w:rPr>
        <w:t>սույն</w:t>
      </w:r>
      <w:r w:rsidRPr="009070BD">
        <w:rPr>
          <w:b w:val="0"/>
          <w:lang w:val="af-ZA"/>
        </w:rPr>
        <w:t xml:space="preserve"> </w:t>
      </w:r>
      <w:r w:rsidRPr="009070BD">
        <w:rPr>
          <w:rFonts w:ascii="Arial" w:hAnsi="Arial" w:cs="Arial"/>
          <w:b w:val="0"/>
        </w:rPr>
        <w:t>բացատրագրի</w:t>
      </w:r>
      <w:r w:rsidRPr="009070BD">
        <w:rPr>
          <w:b w:val="0"/>
          <w:lang w:val="af-ZA"/>
        </w:rPr>
        <w:t xml:space="preserve"> N </w:t>
      </w:r>
      <w:r w:rsidR="00566BBB">
        <w:rPr>
          <w:b w:val="0"/>
          <w:lang w:val="hy-AM"/>
        </w:rPr>
        <w:t>6</w:t>
      </w:r>
      <w:r w:rsidRPr="009070BD">
        <w:rPr>
          <w:b w:val="0"/>
          <w:lang w:val="af-ZA"/>
        </w:rPr>
        <w:t xml:space="preserve"> </w:t>
      </w:r>
      <w:r w:rsidRPr="009070BD">
        <w:rPr>
          <w:rFonts w:ascii="Arial" w:hAnsi="Arial" w:cs="Arial"/>
          <w:b w:val="0"/>
        </w:rPr>
        <w:t>աղյուսակում</w:t>
      </w:r>
      <w:r w:rsidRPr="009070BD">
        <w:rPr>
          <w:b w:val="0"/>
          <w:lang w:val="af-ZA"/>
        </w:rPr>
        <w:t>:</w:t>
      </w:r>
    </w:p>
    <w:p w:rsidR="00AB4436" w:rsidRPr="009070BD" w:rsidRDefault="00AB4436" w:rsidP="007730AA">
      <w:pPr>
        <w:pStyle w:val="Heading3"/>
        <w:spacing w:before="0"/>
        <w:ind w:firstLine="720"/>
      </w:pPr>
      <w:bookmarkStart w:id="241" w:name="_Toc526009822"/>
      <w:bookmarkStart w:id="242" w:name="_Toc57655489"/>
      <w:r w:rsidRPr="009070BD">
        <w:t>ՀՀ քաղաքաշինության կոմիտե</w:t>
      </w:r>
      <w:bookmarkEnd w:id="241"/>
      <w:bookmarkEnd w:id="242"/>
    </w:p>
    <w:p w:rsidR="003B27F0" w:rsidRPr="009070BD" w:rsidRDefault="003B27F0" w:rsidP="007730AA">
      <w:pPr>
        <w:pStyle w:val="Bullet2"/>
        <w:spacing w:before="0"/>
      </w:pPr>
      <w:r w:rsidRPr="009070BD">
        <w:t>«Քաղաքաշինության և ճարտարապետության բնագավառում պետական քաղաքականու</w:t>
      </w:r>
      <w:r w:rsidRPr="009070BD">
        <w:softHyphen/>
        <w:t xml:space="preserve">թյան իրականացում և կանոնակարգում» ծրագրի գծով (առանց կառավարման ապարատի պահպանման ծախսերի) նախատեսվել է 496.5 մլն դրամ, որը ՀՀ 2020 թվականի պետական բյուջեով հաստատված համադրելի ցուցանիշից՝ 543.0 մլն դրամից </w:t>
      </w:r>
      <w:r w:rsidRPr="009070BD">
        <w:rPr>
          <w:lang w:val="ru-RU"/>
        </w:rPr>
        <w:t>պակաս</w:t>
      </w:r>
      <w:r w:rsidRPr="009070BD">
        <w:t xml:space="preserve"> </w:t>
      </w:r>
      <w:r w:rsidRPr="009070BD">
        <w:rPr>
          <w:lang w:val="ru-RU"/>
        </w:rPr>
        <w:t>է</w:t>
      </w:r>
      <w:r w:rsidRPr="009070BD">
        <w:t xml:space="preserve"> 8</w:t>
      </w:r>
      <w:r w:rsidRPr="009070BD">
        <w:rPr>
          <w:lang w:val="hy-AM"/>
        </w:rPr>
        <w:t>.</w:t>
      </w:r>
      <w:r w:rsidR="001112F4" w:rsidRPr="009070BD">
        <w:t>6</w:t>
      </w:r>
      <w:r w:rsidRPr="009070BD">
        <w:t xml:space="preserve"> %-ով: Ցուցանիշի նվազումը պայմանավորված է միկրոռեգիոնալ մակարդակի համակցված տարածական պլանավորման փաս</w:t>
      </w:r>
      <w:r w:rsidRPr="009070BD">
        <w:softHyphen/>
        <w:t>տաթղթերի մշակման աշխատանքների հայտագրված ֆինանսական պահանջով: Ծրագրի գծով 2021 թվականի ծախսերը նախատեսվել են հետևյալ ուղղություններով.</w:t>
      </w:r>
    </w:p>
    <w:p w:rsidR="003B27F0" w:rsidRPr="009070BD" w:rsidRDefault="003B27F0" w:rsidP="007730AA">
      <w:pPr>
        <w:pStyle w:val="Bullet2"/>
        <w:spacing w:before="0"/>
      </w:pPr>
      <w:r w:rsidRPr="009070BD">
        <w:t>- «Նորմատիվատեխնիկական փաստաթղթերի մշակում և տեղայնացում» միջոցառման գծով</w:t>
      </w:r>
      <w:r w:rsidRPr="009070BD">
        <w:rPr>
          <w:lang w:val="en-US"/>
        </w:rPr>
        <w:t>՝</w:t>
      </w:r>
      <w:r w:rsidRPr="009070BD">
        <w:t xml:space="preserve"> 98.5 մլն դրամ, որի շրջանակներում նախատեսվում է իրականացնել </w:t>
      </w:r>
      <w:r w:rsidRPr="009070BD">
        <w:rPr>
          <w:lang w:eastAsia="en-US"/>
        </w:rPr>
        <w:t>և</w:t>
      </w:r>
      <w:r w:rsidRPr="009070BD">
        <w:rPr>
          <w:lang w:val="it-IT" w:eastAsia="en-US"/>
        </w:rPr>
        <w:t xml:space="preserve"> ավարտին հասցնել թվով </w:t>
      </w:r>
      <w:r w:rsidRPr="009070BD">
        <w:rPr>
          <w:lang w:eastAsia="en-US"/>
        </w:rPr>
        <w:t>8</w:t>
      </w:r>
      <w:r w:rsidRPr="009070BD">
        <w:rPr>
          <w:lang w:val="it-IT" w:eastAsia="en-US"/>
        </w:rPr>
        <w:t xml:space="preserve"> նորմատիվատեխնիկական փաստաթղթերի մշակումը և սկսել թվով </w:t>
      </w:r>
      <w:r w:rsidRPr="009070BD">
        <w:rPr>
          <w:lang w:eastAsia="en-US"/>
        </w:rPr>
        <w:t>20</w:t>
      </w:r>
      <w:r w:rsidRPr="009070BD">
        <w:rPr>
          <w:lang w:val="it-IT" w:eastAsia="en-US"/>
        </w:rPr>
        <w:t>-ի մշակման  և տեղայնացման աշխատանքները</w:t>
      </w:r>
      <w:r w:rsidRPr="009070BD">
        <w:t>,</w:t>
      </w:r>
    </w:p>
    <w:p w:rsidR="003B27F0" w:rsidRPr="009070BD" w:rsidRDefault="003B27F0" w:rsidP="007730AA">
      <w:pPr>
        <w:tabs>
          <w:tab w:val="left" w:pos="993"/>
        </w:tabs>
        <w:spacing w:before="0" w:line="276" w:lineRule="auto"/>
        <w:ind w:firstLine="720"/>
        <w:contextualSpacing w:val="0"/>
        <w:rPr>
          <w:rFonts w:cs="Sylfaen"/>
          <w:b w:val="0"/>
          <w:szCs w:val="22"/>
          <w:lang w:val="af-ZA" w:eastAsia="en-US"/>
        </w:rPr>
      </w:pPr>
      <w:r w:rsidRPr="009070BD">
        <w:rPr>
          <w:b w:val="0"/>
          <w:lang w:val="af-ZA"/>
        </w:rPr>
        <w:t>- «</w:t>
      </w:r>
      <w:r w:rsidRPr="009070BD">
        <w:rPr>
          <w:b w:val="0"/>
        </w:rPr>
        <w:t>Միկրոռեգիոնալ</w:t>
      </w:r>
      <w:r w:rsidRPr="009070BD">
        <w:rPr>
          <w:b w:val="0"/>
          <w:lang w:val="af-ZA"/>
        </w:rPr>
        <w:t xml:space="preserve"> </w:t>
      </w:r>
      <w:r w:rsidRPr="009070BD">
        <w:rPr>
          <w:b w:val="0"/>
        </w:rPr>
        <w:t>մակարդակի</w:t>
      </w:r>
      <w:r w:rsidRPr="009070BD">
        <w:rPr>
          <w:b w:val="0"/>
          <w:lang w:val="af-ZA"/>
        </w:rPr>
        <w:t xml:space="preserve"> </w:t>
      </w:r>
      <w:r w:rsidRPr="009070BD">
        <w:rPr>
          <w:b w:val="0"/>
        </w:rPr>
        <w:t>համակցված</w:t>
      </w:r>
      <w:r w:rsidRPr="009070BD">
        <w:rPr>
          <w:b w:val="0"/>
          <w:lang w:val="af-ZA"/>
        </w:rPr>
        <w:t xml:space="preserve"> </w:t>
      </w:r>
      <w:r w:rsidRPr="009070BD">
        <w:rPr>
          <w:b w:val="0"/>
        </w:rPr>
        <w:t>տարածական</w:t>
      </w:r>
      <w:r w:rsidRPr="009070BD">
        <w:rPr>
          <w:b w:val="0"/>
          <w:lang w:val="af-ZA"/>
        </w:rPr>
        <w:t xml:space="preserve"> </w:t>
      </w:r>
      <w:r w:rsidRPr="009070BD">
        <w:rPr>
          <w:b w:val="0"/>
        </w:rPr>
        <w:t>պլանավորման</w:t>
      </w:r>
      <w:r w:rsidRPr="009070BD">
        <w:rPr>
          <w:b w:val="0"/>
          <w:lang w:val="af-ZA"/>
        </w:rPr>
        <w:t xml:space="preserve"> </w:t>
      </w:r>
      <w:r w:rsidRPr="009070BD">
        <w:rPr>
          <w:b w:val="0"/>
        </w:rPr>
        <w:t>փաս</w:t>
      </w:r>
      <w:r w:rsidRPr="009070BD">
        <w:rPr>
          <w:b w:val="0"/>
          <w:lang w:val="af-ZA"/>
        </w:rPr>
        <w:softHyphen/>
      </w:r>
      <w:r w:rsidRPr="009070BD">
        <w:rPr>
          <w:b w:val="0"/>
        </w:rPr>
        <w:t>տաթղթերի</w:t>
      </w:r>
      <w:r w:rsidRPr="009070BD">
        <w:rPr>
          <w:b w:val="0"/>
          <w:lang w:val="af-ZA"/>
        </w:rPr>
        <w:t xml:space="preserve"> </w:t>
      </w:r>
      <w:r w:rsidRPr="009070BD">
        <w:rPr>
          <w:b w:val="0"/>
        </w:rPr>
        <w:t>մշակում</w:t>
      </w:r>
      <w:r w:rsidRPr="009070BD">
        <w:rPr>
          <w:b w:val="0"/>
          <w:lang w:val="af-ZA"/>
        </w:rPr>
        <w:t xml:space="preserve">» </w:t>
      </w:r>
      <w:r w:rsidRPr="009070BD">
        <w:rPr>
          <w:b w:val="0"/>
        </w:rPr>
        <w:t>միջոցառման</w:t>
      </w:r>
      <w:r w:rsidRPr="009070BD">
        <w:rPr>
          <w:b w:val="0"/>
          <w:lang w:val="af-ZA"/>
        </w:rPr>
        <w:t xml:space="preserve"> </w:t>
      </w:r>
      <w:r w:rsidRPr="009070BD">
        <w:rPr>
          <w:b w:val="0"/>
        </w:rPr>
        <w:t>գծով՝</w:t>
      </w:r>
      <w:r w:rsidRPr="009070BD">
        <w:rPr>
          <w:b w:val="0"/>
          <w:lang w:val="af-ZA"/>
        </w:rPr>
        <w:t xml:space="preserve"> 397.0 </w:t>
      </w:r>
      <w:r w:rsidRPr="009070BD">
        <w:rPr>
          <w:b w:val="0"/>
        </w:rPr>
        <w:t>մլն</w:t>
      </w:r>
      <w:r w:rsidRPr="009070BD">
        <w:rPr>
          <w:b w:val="0"/>
          <w:lang w:val="af-ZA"/>
        </w:rPr>
        <w:t xml:space="preserve"> </w:t>
      </w:r>
      <w:r w:rsidRPr="009070BD">
        <w:rPr>
          <w:b w:val="0"/>
        </w:rPr>
        <w:t>դրամ</w:t>
      </w:r>
      <w:r w:rsidRPr="009070BD">
        <w:rPr>
          <w:b w:val="0"/>
          <w:lang w:val="af-ZA"/>
        </w:rPr>
        <w:t xml:space="preserve">, </w:t>
      </w:r>
      <w:r w:rsidRPr="009070BD">
        <w:rPr>
          <w:b w:val="0"/>
        </w:rPr>
        <w:t>որի</w:t>
      </w:r>
      <w:r w:rsidRPr="009070BD">
        <w:rPr>
          <w:b w:val="0"/>
          <w:lang w:val="af-ZA"/>
        </w:rPr>
        <w:t xml:space="preserve"> </w:t>
      </w:r>
      <w:r w:rsidRPr="009070BD">
        <w:rPr>
          <w:b w:val="0"/>
        </w:rPr>
        <w:t>շրջանակներում</w:t>
      </w:r>
      <w:r w:rsidRPr="009070BD">
        <w:rPr>
          <w:b w:val="0"/>
          <w:lang w:val="af-ZA"/>
        </w:rPr>
        <w:t xml:space="preserve"> </w:t>
      </w:r>
      <w:r w:rsidRPr="009070BD">
        <w:rPr>
          <w:b w:val="0"/>
        </w:rPr>
        <w:t>նախատեսվում</w:t>
      </w:r>
      <w:r w:rsidRPr="009070BD">
        <w:rPr>
          <w:b w:val="0"/>
          <w:lang w:val="af-ZA"/>
        </w:rPr>
        <w:t xml:space="preserve"> </w:t>
      </w:r>
      <w:r w:rsidRPr="009070BD">
        <w:rPr>
          <w:b w:val="0"/>
        </w:rPr>
        <w:t>է</w:t>
      </w:r>
      <w:r w:rsidRPr="009070BD">
        <w:rPr>
          <w:b w:val="0"/>
          <w:lang w:val="af-ZA"/>
        </w:rPr>
        <w:t xml:space="preserve"> մշակել </w:t>
      </w:r>
      <w:r w:rsidRPr="009070BD">
        <w:rPr>
          <w:rFonts w:cs="Sylfaen"/>
          <w:b w:val="0"/>
          <w:szCs w:val="22"/>
          <w:lang w:val="it-IT" w:eastAsia="en-US"/>
        </w:rPr>
        <w:t>ՀՀ Գեղարքունիքի (մասամբ)</w:t>
      </w:r>
      <w:r w:rsidRPr="009070BD">
        <w:rPr>
          <w:rFonts w:cs="Sylfaen"/>
          <w:b w:val="0"/>
          <w:szCs w:val="22"/>
          <w:lang w:val="af-ZA" w:eastAsia="en-US"/>
        </w:rPr>
        <w:t xml:space="preserve">, </w:t>
      </w:r>
      <w:r w:rsidRPr="009070BD">
        <w:rPr>
          <w:rFonts w:cs="Sylfaen"/>
          <w:b w:val="0"/>
          <w:szCs w:val="22"/>
          <w:lang w:eastAsia="en-US"/>
        </w:rPr>
        <w:t>Լոռու</w:t>
      </w:r>
      <w:r w:rsidRPr="009070BD">
        <w:rPr>
          <w:rFonts w:cs="Sylfaen"/>
          <w:b w:val="0"/>
          <w:szCs w:val="22"/>
          <w:lang w:val="af-ZA" w:eastAsia="en-US"/>
        </w:rPr>
        <w:t xml:space="preserve">, </w:t>
      </w:r>
      <w:r w:rsidRPr="009070BD">
        <w:rPr>
          <w:rFonts w:cs="Sylfaen"/>
          <w:b w:val="0"/>
          <w:szCs w:val="22"/>
          <w:lang w:eastAsia="en-US"/>
        </w:rPr>
        <w:t>Կոտայքի</w:t>
      </w:r>
      <w:r w:rsidRPr="009070BD">
        <w:rPr>
          <w:rFonts w:cs="Sylfaen"/>
          <w:b w:val="0"/>
          <w:szCs w:val="22"/>
          <w:lang w:val="af-ZA" w:eastAsia="en-US"/>
        </w:rPr>
        <w:t xml:space="preserve"> </w:t>
      </w:r>
      <w:r w:rsidRPr="009070BD">
        <w:rPr>
          <w:rFonts w:cs="Sylfaen"/>
          <w:b w:val="0"/>
          <w:szCs w:val="22"/>
          <w:lang w:val="it-IT" w:eastAsia="en-US"/>
        </w:rPr>
        <w:t xml:space="preserve">(մասամբ) և Շիրակի (մասամբ) մարզերի ընդհանուր առմամբ թվով </w:t>
      </w:r>
      <w:r w:rsidRPr="009070BD">
        <w:rPr>
          <w:rFonts w:cs="Sylfaen"/>
          <w:b w:val="0"/>
          <w:szCs w:val="22"/>
          <w:lang w:val="af-ZA" w:eastAsia="en-US"/>
        </w:rPr>
        <w:t>18</w:t>
      </w:r>
      <w:r w:rsidRPr="009070BD">
        <w:rPr>
          <w:rFonts w:cs="Sylfaen"/>
          <w:b w:val="0"/>
          <w:szCs w:val="22"/>
          <w:lang w:val="it-IT" w:eastAsia="en-US"/>
        </w:rPr>
        <w:t xml:space="preserve"> համակացված տարածական պլանավորման փաստաթղթերի նախագծերը,</w:t>
      </w:r>
    </w:p>
    <w:p w:rsidR="003B27F0" w:rsidRPr="009070BD" w:rsidRDefault="003B27F0" w:rsidP="007730AA">
      <w:pPr>
        <w:tabs>
          <w:tab w:val="left" w:pos="993"/>
        </w:tabs>
        <w:spacing w:before="0" w:line="276" w:lineRule="auto"/>
        <w:ind w:firstLine="720"/>
        <w:contextualSpacing w:val="0"/>
        <w:rPr>
          <w:b w:val="0"/>
          <w:lang w:val="af-ZA"/>
        </w:rPr>
      </w:pPr>
      <w:r w:rsidRPr="009070BD">
        <w:rPr>
          <w:lang w:val="af-ZA"/>
        </w:rPr>
        <w:t xml:space="preserve">- </w:t>
      </w:r>
      <w:r w:rsidRPr="009070BD">
        <w:rPr>
          <w:rFonts w:cs="Sylfaen"/>
          <w:b w:val="0"/>
          <w:noProof/>
          <w:szCs w:val="22"/>
          <w:lang w:val="hy-AM"/>
        </w:rPr>
        <w:t>Ա</w:t>
      </w:r>
      <w:r w:rsidRPr="009070BD">
        <w:rPr>
          <w:b w:val="0"/>
          <w:lang w:val="hy-AM"/>
        </w:rPr>
        <w:t>շխատակազմի մասնագիտական զարգացման ծառայություններ</w:t>
      </w:r>
      <w:r w:rsidRPr="009070BD">
        <w:rPr>
          <w:rFonts w:cs="Sylfaen"/>
          <w:b w:val="0"/>
          <w:noProof/>
          <w:szCs w:val="22"/>
          <w:lang w:val="hy-AM"/>
        </w:rPr>
        <w:t></w:t>
      </w:r>
      <w:r w:rsidRPr="009070BD">
        <w:rPr>
          <w:b w:val="0"/>
          <w:lang w:val="hy-AM"/>
        </w:rPr>
        <w:t xml:space="preserve"> միջոցառման </w:t>
      </w:r>
      <w:r w:rsidRPr="009070BD">
        <w:rPr>
          <w:b w:val="0"/>
          <w:lang w:val="en-US"/>
        </w:rPr>
        <w:t>գծով</w:t>
      </w:r>
      <w:r w:rsidRPr="009070BD">
        <w:rPr>
          <w:b w:val="0"/>
          <w:lang w:val="af-ZA"/>
        </w:rPr>
        <w:t xml:space="preserve"> 1.0 </w:t>
      </w:r>
      <w:r w:rsidRPr="009070BD">
        <w:rPr>
          <w:b w:val="0"/>
          <w:lang w:val="en-US"/>
        </w:rPr>
        <w:t>մլն</w:t>
      </w:r>
      <w:r w:rsidRPr="009070BD">
        <w:rPr>
          <w:b w:val="0"/>
          <w:lang w:val="af-ZA"/>
        </w:rPr>
        <w:t xml:space="preserve"> </w:t>
      </w:r>
      <w:r w:rsidRPr="009070BD">
        <w:rPr>
          <w:b w:val="0"/>
          <w:lang w:val="en-US"/>
        </w:rPr>
        <w:t>դրամ</w:t>
      </w:r>
      <w:r w:rsidRPr="009070BD">
        <w:rPr>
          <w:b w:val="0"/>
          <w:lang w:val="af-ZA"/>
        </w:rPr>
        <w:t xml:space="preserve">, </w:t>
      </w:r>
      <w:r w:rsidRPr="009070BD">
        <w:rPr>
          <w:b w:val="0"/>
          <w:lang w:val="en-US"/>
        </w:rPr>
        <w:t>որի</w:t>
      </w:r>
      <w:r w:rsidRPr="009070BD">
        <w:rPr>
          <w:b w:val="0"/>
          <w:lang w:val="af-ZA"/>
        </w:rPr>
        <w:t xml:space="preserve"> </w:t>
      </w:r>
      <w:r w:rsidRPr="009070BD">
        <w:rPr>
          <w:b w:val="0"/>
          <w:lang w:val="hy-AM"/>
        </w:rPr>
        <w:t>շրջանակներում նախատեսվում է իրականացնել աշխատակազմի աշխատակիցների վերապատրաստում</w:t>
      </w:r>
      <w:r w:rsidRPr="009070BD">
        <w:rPr>
          <w:b w:val="0"/>
          <w:lang w:val="af-ZA"/>
        </w:rPr>
        <w:t>:</w:t>
      </w:r>
    </w:p>
    <w:p w:rsidR="003B27F0" w:rsidRPr="009070BD" w:rsidRDefault="007C6CB5" w:rsidP="007730AA">
      <w:pPr>
        <w:tabs>
          <w:tab w:val="left" w:pos="993"/>
        </w:tabs>
        <w:spacing w:before="0" w:line="276" w:lineRule="auto"/>
        <w:ind w:firstLine="720"/>
        <w:contextualSpacing w:val="0"/>
        <w:rPr>
          <w:b w:val="0"/>
          <w:szCs w:val="22"/>
          <w:lang w:val="hy-AM"/>
        </w:rPr>
      </w:pPr>
      <w:r w:rsidRPr="009070BD">
        <w:rPr>
          <w:b w:val="0"/>
          <w:szCs w:val="22"/>
          <w:lang w:val="en-US"/>
        </w:rPr>
        <w:t>ՀՀ</w:t>
      </w:r>
      <w:r w:rsidRPr="009070BD">
        <w:rPr>
          <w:b w:val="0"/>
          <w:szCs w:val="22"/>
          <w:lang w:val="af-ZA"/>
        </w:rPr>
        <w:t xml:space="preserve"> </w:t>
      </w:r>
      <w:r w:rsidRPr="009070BD">
        <w:rPr>
          <w:b w:val="0"/>
          <w:szCs w:val="22"/>
          <w:lang w:val="hy-AM"/>
        </w:rPr>
        <w:t>քաղաքաշինության</w:t>
      </w:r>
      <w:r w:rsidRPr="009070BD">
        <w:rPr>
          <w:b w:val="0"/>
          <w:szCs w:val="22"/>
          <w:lang w:val="af-ZA"/>
        </w:rPr>
        <w:t xml:space="preserve"> </w:t>
      </w:r>
      <w:r w:rsidRPr="009070BD">
        <w:rPr>
          <w:b w:val="0"/>
          <w:szCs w:val="22"/>
          <w:lang w:val="en-US"/>
        </w:rPr>
        <w:t>կոմիտեի</w:t>
      </w:r>
      <w:r w:rsidRPr="009070BD">
        <w:rPr>
          <w:b w:val="0"/>
          <w:szCs w:val="22"/>
          <w:lang w:val="af-ZA"/>
        </w:rPr>
        <w:t xml:space="preserve"> </w:t>
      </w:r>
      <w:r w:rsidRPr="009070BD">
        <w:rPr>
          <w:b w:val="0"/>
          <w:szCs w:val="22"/>
          <w:lang w:val="en-US"/>
        </w:rPr>
        <w:t>ՀՀ</w:t>
      </w:r>
      <w:r w:rsidRPr="009070BD">
        <w:rPr>
          <w:b w:val="0"/>
          <w:szCs w:val="22"/>
          <w:lang w:val="af-ZA"/>
        </w:rPr>
        <w:t xml:space="preserve"> 2021 </w:t>
      </w:r>
      <w:r w:rsidRPr="009070BD">
        <w:rPr>
          <w:b w:val="0"/>
          <w:szCs w:val="22"/>
          <w:lang w:val="hy-AM"/>
        </w:rPr>
        <w:t>թվականի</w:t>
      </w:r>
      <w:r w:rsidRPr="009070BD">
        <w:rPr>
          <w:b w:val="0"/>
          <w:szCs w:val="22"/>
          <w:lang w:val="af-ZA"/>
        </w:rPr>
        <w:t xml:space="preserve"> պետական բյուջեով նախատեսված ծախսերի համեմատությունը՝ 2019 թվականի բյուջետային տարվա փաստացի և 2020 թվականի բյուջետային տարվա համար հաստատված համապատասխան ցուցանիշների հետ </w:t>
      </w:r>
      <w:r w:rsidRPr="009070BD">
        <w:rPr>
          <w:b w:val="0"/>
          <w:szCs w:val="22"/>
          <w:lang w:val="hy-AM"/>
        </w:rPr>
        <w:t>արտացոլված</w:t>
      </w:r>
      <w:r w:rsidRPr="009070BD">
        <w:rPr>
          <w:b w:val="0"/>
          <w:szCs w:val="22"/>
          <w:lang w:val="af-ZA"/>
        </w:rPr>
        <w:t xml:space="preserve"> </w:t>
      </w:r>
      <w:r w:rsidRPr="009070BD">
        <w:rPr>
          <w:b w:val="0"/>
          <w:szCs w:val="22"/>
          <w:lang w:val="hy-AM"/>
        </w:rPr>
        <w:t>է</w:t>
      </w:r>
      <w:r w:rsidRPr="009070BD">
        <w:rPr>
          <w:b w:val="0"/>
          <w:szCs w:val="22"/>
          <w:lang w:val="af-ZA"/>
        </w:rPr>
        <w:t xml:space="preserve"> </w:t>
      </w:r>
      <w:r w:rsidRPr="009070BD">
        <w:rPr>
          <w:b w:val="0"/>
          <w:szCs w:val="22"/>
          <w:lang w:val="hy-AM"/>
        </w:rPr>
        <w:t>սույն</w:t>
      </w:r>
      <w:r w:rsidRPr="009070BD">
        <w:rPr>
          <w:b w:val="0"/>
          <w:szCs w:val="22"/>
          <w:lang w:val="af-ZA"/>
        </w:rPr>
        <w:t xml:space="preserve"> </w:t>
      </w:r>
      <w:r w:rsidRPr="009070BD">
        <w:rPr>
          <w:b w:val="0"/>
          <w:szCs w:val="22"/>
          <w:lang w:val="hy-AM"/>
        </w:rPr>
        <w:t xml:space="preserve">բացատրագրի N </w:t>
      </w:r>
      <w:r w:rsidR="00B541B4" w:rsidRPr="009070BD">
        <w:rPr>
          <w:b w:val="0"/>
          <w:szCs w:val="22"/>
          <w:lang w:val="hy-AM"/>
        </w:rPr>
        <w:t xml:space="preserve">3 </w:t>
      </w:r>
      <w:r w:rsidRPr="009070BD">
        <w:rPr>
          <w:b w:val="0"/>
          <w:szCs w:val="22"/>
          <w:lang w:val="hy-AM"/>
        </w:rPr>
        <w:t>աղյուսակում:</w:t>
      </w:r>
    </w:p>
    <w:p w:rsidR="003D6EC7" w:rsidRPr="009070BD" w:rsidRDefault="000E6666" w:rsidP="007730AA">
      <w:pPr>
        <w:pStyle w:val="Heading3"/>
        <w:spacing w:before="0"/>
        <w:ind w:firstLine="720"/>
      </w:pPr>
      <w:bookmarkStart w:id="243" w:name="_Toc57655490"/>
      <w:r w:rsidRPr="009070BD">
        <w:t>ՀՀ կադաստրի կոմիտե</w:t>
      </w:r>
      <w:bookmarkEnd w:id="243"/>
    </w:p>
    <w:p w:rsidR="00845960" w:rsidRPr="0047727E" w:rsidRDefault="00845960" w:rsidP="007730AA">
      <w:pPr>
        <w:widowControl w:val="0"/>
        <w:spacing w:before="0" w:line="276" w:lineRule="auto"/>
        <w:ind w:firstLine="720"/>
        <w:rPr>
          <w:rFonts w:eastAsia="Calibri" w:cs="Sylfaen"/>
          <w:b w:val="0"/>
          <w:szCs w:val="22"/>
          <w:lang w:val="af-ZA"/>
        </w:rPr>
      </w:pPr>
      <w:r w:rsidRPr="009070BD">
        <w:rPr>
          <w:rFonts w:eastAsia="Calibri" w:cs="Sylfaen"/>
          <w:b w:val="0"/>
          <w:szCs w:val="22"/>
          <w:lang w:val="af-ZA"/>
        </w:rPr>
        <w:t xml:space="preserve">Անշարժ գույքի պետական ռեգիստրի համակարգի գծով ՀՀ 2021 թվականի պետական բյուջեի նախագծով նախատեսվում է 4,645.4 մլն դրամի ծախսեր` ՀՀ 2020 թվականի  պետական բյուջեով հաստատված 5,200.0 մլն դրամի դիմաց կամ 10.7 %-ով պակաս: Հատկացվող միջոցներից համակարգի պահպանման ծախսերը կկազմեն 3,848.5 մլն դրամ` 2020 թվականի համար հաստատված 4,235.1 մլն դրամի դիմաց, իսկ համակարգի կարողությունների զարգացմանն ուղղվող ծախսերը կկազմեն  796.9 մլն դրամ` 2020 թվականի համար </w:t>
      </w:r>
      <w:r w:rsidRPr="0047727E">
        <w:rPr>
          <w:rFonts w:eastAsia="Calibri" w:cs="Sylfaen"/>
          <w:b w:val="0"/>
          <w:szCs w:val="22"/>
          <w:lang w:val="af-ZA"/>
        </w:rPr>
        <w:t>հաստատված 930.8 մլն դրամի դիմաց: Համակարգի կարողությունների զարգացման 2021 թվականի ծախսերից 601.9 մլն դրամը կուղղվի  գեոդեզիական և քարտեզագրական աշխատանքներին` հետևյալ ուղղություններով.</w:t>
      </w:r>
    </w:p>
    <w:p w:rsidR="00845960" w:rsidRPr="0047727E" w:rsidRDefault="00845960" w:rsidP="007730AA">
      <w:pPr>
        <w:widowControl w:val="0"/>
        <w:spacing w:before="0" w:line="276" w:lineRule="auto"/>
        <w:ind w:firstLine="720"/>
        <w:rPr>
          <w:rFonts w:eastAsia="Calibri" w:cs="Sylfaen"/>
          <w:b w:val="0"/>
          <w:szCs w:val="22"/>
          <w:lang w:val="af-ZA"/>
        </w:rPr>
      </w:pPr>
      <w:r w:rsidRPr="0047727E">
        <w:rPr>
          <w:rFonts w:eastAsia="Calibri" w:cs="Sylfaen"/>
          <w:b w:val="0"/>
          <w:szCs w:val="22"/>
          <w:lang w:val="af-ZA"/>
        </w:rPr>
        <w:t>1.Գեոդեզիայի բնագավառում /ՀՀ անտառապատ շրջաններում 2-րդ դասի GNSS հիմնակետերի տեղծում/ նախատեսվող աշխատանքների գծով նախատեսվել է 3.99 մլն դրամ, որի շրջանակներում նախատեսվում է ՀՀ հյուսիս-արևելյան և հարավ-արևելյան անտառապատ շրջաններում տեղադրել 2-րդ դասի թվով 20 նոր հիմնակետեր, որոնց օգնությամբ հնարավոր կլինի իրականացնել անտառապատ տարածքների սահամանագծերի շրջադարձային կետերի ճշգրիտ կոորդինատավորում:</w:t>
      </w:r>
    </w:p>
    <w:p w:rsidR="00845960" w:rsidRPr="009070BD" w:rsidRDefault="00845960" w:rsidP="007730AA">
      <w:pPr>
        <w:widowControl w:val="0"/>
        <w:spacing w:before="0" w:line="276" w:lineRule="auto"/>
        <w:ind w:firstLine="720"/>
        <w:rPr>
          <w:rFonts w:eastAsia="Calibri" w:cs="Sylfaen"/>
          <w:b w:val="0"/>
          <w:szCs w:val="22"/>
          <w:lang w:val="af-ZA"/>
        </w:rPr>
      </w:pPr>
      <w:r w:rsidRPr="0047727E">
        <w:rPr>
          <w:rFonts w:eastAsia="Calibri" w:cs="Sylfaen"/>
          <w:b w:val="0"/>
          <w:szCs w:val="22"/>
          <w:lang w:val="af-ZA"/>
        </w:rPr>
        <w:t>2</w:t>
      </w:r>
      <w:r w:rsidRPr="0047727E">
        <w:rPr>
          <w:rFonts w:eastAsia="Calibri" w:cs="Sylfaen"/>
          <w:b w:val="0"/>
          <w:szCs w:val="22"/>
          <w:lang w:val="hy-AM"/>
        </w:rPr>
        <w:t xml:space="preserve">. </w:t>
      </w:r>
      <w:r w:rsidRPr="0047727E">
        <w:rPr>
          <w:rFonts w:eastAsia="Calibri" w:cs="Sylfaen"/>
          <w:b w:val="0"/>
          <w:szCs w:val="22"/>
          <w:lang w:val="af-ZA"/>
        </w:rPr>
        <w:t>ՀՀ տարածքի օդալուսանկարահանման օրթոֆոտոհատակագծերի և թվային բարձունքային մոդելի ստեղծման աշխատանքների գծով նախատեսվել է 597.9 մլն դրամ, որի շրջանակներում նախատեսվում է ձեռք բերել ՀՀ ողջ տարածքի պլանաբարձունքային կապակցման աշխատանքների հիմքով իրականացված օդալուսանկարահանմամբ և տիեզերանկարահանմամբ  օրթոֆոտոհատա-կագծերի և ռելիֆի մոդել։ Աշխատանքների իրականացման արդյունքում ակնկալվում է ունենալ ՀՀ երեք խոշոր քաղաքների համար GSD-10 սմ ձևաչափի ծածկույթով, ՀՀ մնացած   տարածքի համար GSD-20 սմ ձևաչափի ծածկույթ օրթոֆոտոհատակագծեր և սահմանային տարածքի համար</w:t>
      </w:r>
      <w:r w:rsidRPr="009070BD">
        <w:rPr>
          <w:rFonts w:eastAsia="Calibri" w:cs="Sylfaen"/>
          <w:b w:val="0"/>
          <w:szCs w:val="22"/>
          <w:lang w:val="af-ZA"/>
        </w:rPr>
        <w:t xml:space="preserve">  GSD-30 սմ ձևաչափի տիեզերական օրթոֆոտոհատակագծեր, որոնց մշակմամբ ստացված քարտեզներն ու հատակագծերը կնպաստեն բնական և տնտեսական ռեսուրսների արդյունավետ կառավարումն իրականացնել, ունենալ հավաստի և ամբողջական տեղեկատվություն ՀՀ և նրա առանձին վարչատարածքային միավորների տնտեսության վիճակի ու բնական ռեսուրսների վերաբերյալ: </w:t>
      </w:r>
    </w:p>
    <w:p w:rsidR="00845960" w:rsidRPr="00845960" w:rsidRDefault="00845960" w:rsidP="007730AA">
      <w:pPr>
        <w:spacing w:before="0" w:line="276" w:lineRule="auto"/>
        <w:ind w:firstLine="720"/>
        <w:rPr>
          <w:b w:val="0"/>
          <w:szCs w:val="22"/>
          <w:lang w:val="af-ZA"/>
        </w:rPr>
      </w:pPr>
      <w:r w:rsidRPr="009070BD">
        <w:rPr>
          <w:b w:val="0"/>
          <w:szCs w:val="22"/>
          <w:lang w:val="en-US"/>
        </w:rPr>
        <w:t>ՀՀ</w:t>
      </w:r>
      <w:r w:rsidRPr="009070BD">
        <w:rPr>
          <w:b w:val="0"/>
          <w:szCs w:val="22"/>
          <w:lang w:val="af-ZA"/>
        </w:rPr>
        <w:t xml:space="preserve"> </w:t>
      </w:r>
      <w:r w:rsidRPr="009070BD">
        <w:rPr>
          <w:b w:val="0"/>
          <w:szCs w:val="22"/>
          <w:lang w:val="en-US"/>
        </w:rPr>
        <w:t>կադաստրի</w:t>
      </w:r>
      <w:r w:rsidRPr="009070BD">
        <w:rPr>
          <w:b w:val="0"/>
          <w:szCs w:val="22"/>
          <w:lang w:val="af-ZA"/>
        </w:rPr>
        <w:t xml:space="preserve"> </w:t>
      </w:r>
      <w:r w:rsidRPr="009070BD">
        <w:rPr>
          <w:b w:val="0"/>
          <w:szCs w:val="22"/>
          <w:lang w:val="en-US"/>
        </w:rPr>
        <w:t>կոմիտեի</w:t>
      </w:r>
      <w:r w:rsidRPr="009070BD">
        <w:rPr>
          <w:b w:val="0"/>
          <w:szCs w:val="22"/>
          <w:lang w:val="af-ZA"/>
        </w:rPr>
        <w:t xml:space="preserve"> </w:t>
      </w:r>
      <w:r w:rsidRPr="009070BD">
        <w:rPr>
          <w:b w:val="0"/>
          <w:szCs w:val="22"/>
          <w:lang w:val="en-US"/>
        </w:rPr>
        <w:t>ՀՀ</w:t>
      </w:r>
      <w:r w:rsidRPr="009070BD">
        <w:rPr>
          <w:b w:val="0"/>
          <w:szCs w:val="22"/>
          <w:lang w:val="af-ZA"/>
        </w:rPr>
        <w:t xml:space="preserve"> 2021 </w:t>
      </w:r>
      <w:r w:rsidRPr="009070BD">
        <w:rPr>
          <w:b w:val="0"/>
          <w:szCs w:val="22"/>
          <w:lang w:val="hy-AM"/>
        </w:rPr>
        <w:t>թվականի</w:t>
      </w:r>
      <w:r w:rsidRPr="009070BD">
        <w:rPr>
          <w:b w:val="0"/>
          <w:szCs w:val="22"/>
          <w:lang w:val="af-ZA"/>
        </w:rPr>
        <w:t xml:space="preserve"> պետական բյուջեով նախատեսված ծախսերի համեմատությունը՝ 2019 թվականի բյուջետային տարվա փաստացի և 2020 թվականի բյուջետային տարվա համար հաստատված համապատասխան ցուցանիշների հետ </w:t>
      </w:r>
      <w:r w:rsidRPr="009070BD">
        <w:rPr>
          <w:b w:val="0"/>
          <w:szCs w:val="22"/>
          <w:lang w:val="hy-AM"/>
        </w:rPr>
        <w:t>արտացոլված</w:t>
      </w:r>
      <w:r w:rsidRPr="009070BD">
        <w:rPr>
          <w:b w:val="0"/>
          <w:szCs w:val="22"/>
          <w:lang w:val="af-ZA"/>
        </w:rPr>
        <w:t xml:space="preserve"> </w:t>
      </w:r>
      <w:r w:rsidRPr="009070BD">
        <w:rPr>
          <w:b w:val="0"/>
          <w:szCs w:val="22"/>
          <w:lang w:val="hy-AM"/>
        </w:rPr>
        <w:t>է</w:t>
      </w:r>
      <w:r w:rsidRPr="009070BD">
        <w:rPr>
          <w:b w:val="0"/>
          <w:szCs w:val="22"/>
          <w:lang w:val="af-ZA"/>
        </w:rPr>
        <w:t xml:space="preserve"> </w:t>
      </w:r>
      <w:r w:rsidRPr="009070BD">
        <w:rPr>
          <w:b w:val="0"/>
          <w:szCs w:val="22"/>
          <w:lang w:val="hy-AM"/>
        </w:rPr>
        <w:t>սույն</w:t>
      </w:r>
      <w:r w:rsidRPr="009070BD">
        <w:rPr>
          <w:b w:val="0"/>
          <w:szCs w:val="22"/>
          <w:lang w:val="af-ZA"/>
        </w:rPr>
        <w:t xml:space="preserve"> </w:t>
      </w:r>
      <w:r w:rsidRPr="0047727E">
        <w:rPr>
          <w:b w:val="0"/>
          <w:szCs w:val="22"/>
          <w:lang w:val="hy-AM"/>
        </w:rPr>
        <w:t>բացատրագրի</w:t>
      </w:r>
      <w:r w:rsidRPr="0047727E">
        <w:rPr>
          <w:b w:val="0"/>
          <w:szCs w:val="22"/>
          <w:lang w:val="af-ZA"/>
        </w:rPr>
        <w:t xml:space="preserve"> N 14 հավելվածում:</w:t>
      </w:r>
    </w:p>
    <w:p w:rsidR="00A42330" w:rsidRDefault="00A42330" w:rsidP="007730AA">
      <w:pPr>
        <w:pStyle w:val="Heading3"/>
        <w:spacing w:before="0"/>
        <w:ind w:firstLine="720"/>
      </w:pPr>
      <w:bookmarkStart w:id="244" w:name="_Toc57655491"/>
      <w:r w:rsidRPr="003544A2">
        <w:t xml:space="preserve">ՀՀ </w:t>
      </w:r>
      <w:r>
        <w:t>պետական եկամուտների</w:t>
      </w:r>
      <w:r w:rsidRPr="003544A2">
        <w:t xml:space="preserve"> կոմիտե</w:t>
      </w:r>
      <w:bookmarkEnd w:id="244"/>
    </w:p>
    <w:p w:rsidR="00B541B4" w:rsidRPr="009070BD" w:rsidRDefault="00B541B4" w:rsidP="007730AA">
      <w:pPr>
        <w:pStyle w:val="Bullet2"/>
        <w:spacing w:before="0"/>
      </w:pPr>
      <w:r w:rsidRPr="009070BD">
        <w:rPr>
          <w:lang w:val="en-US"/>
        </w:rPr>
        <w:t>ՀՀ</w:t>
      </w:r>
      <w:r w:rsidRPr="009070BD">
        <w:t xml:space="preserve"> </w:t>
      </w:r>
      <w:r w:rsidRPr="009070BD">
        <w:rPr>
          <w:lang w:val="en-US"/>
        </w:rPr>
        <w:t>պետական</w:t>
      </w:r>
      <w:r w:rsidRPr="009070BD">
        <w:t xml:space="preserve"> </w:t>
      </w:r>
      <w:r w:rsidRPr="009070BD">
        <w:rPr>
          <w:lang w:val="en-US"/>
        </w:rPr>
        <w:t>եկամուտների</w:t>
      </w:r>
      <w:r w:rsidRPr="009070BD">
        <w:t xml:space="preserve"> </w:t>
      </w:r>
      <w:r w:rsidRPr="009070BD">
        <w:rPr>
          <w:lang w:val="en-US"/>
        </w:rPr>
        <w:t>կոմիտեի</w:t>
      </w:r>
      <w:r w:rsidRPr="009070BD">
        <w:t xml:space="preserve"> (այսուհետ՝ Կոմիտե) «</w:t>
      </w:r>
      <w:r w:rsidRPr="009070BD">
        <w:rPr>
          <w:lang w:val="en-US"/>
        </w:rPr>
        <w:t>Հարկային</w:t>
      </w:r>
      <w:r w:rsidRPr="009070BD">
        <w:t xml:space="preserve"> </w:t>
      </w:r>
      <w:r w:rsidRPr="009070BD">
        <w:rPr>
          <w:lang w:val="en-US"/>
        </w:rPr>
        <w:t>և</w:t>
      </w:r>
      <w:r w:rsidRPr="009070BD">
        <w:t xml:space="preserve"> </w:t>
      </w:r>
      <w:r w:rsidRPr="009070BD">
        <w:rPr>
          <w:lang w:val="en-US"/>
        </w:rPr>
        <w:t>մաքսային</w:t>
      </w:r>
      <w:r w:rsidRPr="009070BD">
        <w:t xml:space="preserve"> </w:t>
      </w:r>
      <w:r w:rsidRPr="009070BD">
        <w:rPr>
          <w:lang w:val="en-US"/>
        </w:rPr>
        <w:t>ծառայություններ</w:t>
      </w:r>
      <w:r w:rsidRPr="009070BD">
        <w:t xml:space="preserve">» </w:t>
      </w:r>
      <w:r w:rsidRPr="009070BD">
        <w:rPr>
          <w:lang w:val="en-US"/>
        </w:rPr>
        <w:t>ծրագրի</w:t>
      </w:r>
      <w:r w:rsidRPr="009070BD">
        <w:t xml:space="preserve"> (առանց կառավարման ապարատի պահպանման ծախսերի) </w:t>
      </w:r>
      <w:r w:rsidRPr="009070BD">
        <w:rPr>
          <w:lang w:val="en-US"/>
        </w:rPr>
        <w:t>շրջանակներում</w:t>
      </w:r>
      <w:r w:rsidRPr="009070BD">
        <w:t xml:space="preserve"> </w:t>
      </w:r>
      <w:r w:rsidRPr="009070BD">
        <w:rPr>
          <w:lang w:val="en-US"/>
        </w:rPr>
        <w:t>նախատեսվել</w:t>
      </w:r>
      <w:r w:rsidRPr="009070BD">
        <w:t xml:space="preserve"> </w:t>
      </w:r>
      <w:r w:rsidRPr="009070BD">
        <w:rPr>
          <w:lang w:val="en-US"/>
        </w:rPr>
        <w:t>է</w:t>
      </w:r>
      <w:r w:rsidRPr="009070BD">
        <w:t xml:space="preserve"> </w:t>
      </w:r>
      <w:r w:rsidRPr="009070BD">
        <w:rPr>
          <w:lang w:val="en-US"/>
        </w:rPr>
        <w:t>թվով</w:t>
      </w:r>
      <w:r w:rsidRPr="009070BD">
        <w:t xml:space="preserve"> 8 միջոցառում, որից 4-ը՝ </w:t>
      </w:r>
      <w:r w:rsidRPr="009070BD">
        <w:rPr>
          <w:lang w:val="en-US"/>
        </w:rPr>
        <w:t>կապիտալ</w:t>
      </w:r>
      <w:r w:rsidRPr="009070BD">
        <w:t xml:space="preserve"> </w:t>
      </w:r>
      <w:r w:rsidRPr="009070BD">
        <w:rPr>
          <w:lang w:val="en-US"/>
        </w:rPr>
        <w:t>բնույթի</w:t>
      </w:r>
      <w:r w:rsidRPr="009070BD">
        <w:t xml:space="preserve"> (այդ թվում մեկական վարկային և դրամաշնորհային միջոցների հաշվին իրականացվող միջոցառումներ): </w:t>
      </w:r>
      <w:r w:rsidRPr="009070BD">
        <w:rPr>
          <w:lang w:val="en-US"/>
        </w:rPr>
        <w:t>Նշված</w:t>
      </w:r>
      <w:r w:rsidRPr="009070BD">
        <w:t xml:space="preserve"> </w:t>
      </w:r>
      <w:r w:rsidRPr="009070BD">
        <w:rPr>
          <w:lang w:val="en-US"/>
        </w:rPr>
        <w:t>միջոցառումների</w:t>
      </w:r>
      <w:r w:rsidRPr="009070BD">
        <w:t xml:space="preserve"> </w:t>
      </w:r>
      <w:r w:rsidRPr="009070BD">
        <w:rPr>
          <w:lang w:val="en-US"/>
        </w:rPr>
        <w:t>համար</w:t>
      </w:r>
      <w:r w:rsidRPr="009070BD">
        <w:t xml:space="preserve"> </w:t>
      </w:r>
      <w:r w:rsidRPr="009070BD">
        <w:rPr>
          <w:lang w:val="en-US"/>
        </w:rPr>
        <w:t>նախատեսվել</w:t>
      </w:r>
      <w:r w:rsidRPr="009070BD">
        <w:t xml:space="preserve"> </w:t>
      </w:r>
      <w:r w:rsidRPr="009070BD">
        <w:rPr>
          <w:lang w:val="en-US"/>
        </w:rPr>
        <w:t>է</w:t>
      </w:r>
      <w:r w:rsidRPr="009070BD">
        <w:t xml:space="preserve"> </w:t>
      </w:r>
      <w:r w:rsidRPr="009070BD">
        <w:rPr>
          <w:lang w:val="en-US"/>
        </w:rPr>
        <w:t>հատկացնել</w:t>
      </w:r>
      <w:r w:rsidRPr="009070BD">
        <w:t xml:space="preserve"> </w:t>
      </w:r>
      <w:r w:rsidR="00DF65A8">
        <w:t>9,973.3</w:t>
      </w:r>
      <w:r w:rsidRPr="009070BD">
        <w:t xml:space="preserve"> </w:t>
      </w:r>
      <w:r w:rsidRPr="009070BD">
        <w:rPr>
          <w:lang w:val="en-US"/>
        </w:rPr>
        <w:t>մլն</w:t>
      </w:r>
      <w:r w:rsidRPr="009070BD">
        <w:t xml:space="preserve"> </w:t>
      </w:r>
      <w:r w:rsidRPr="009070BD">
        <w:rPr>
          <w:lang w:val="en-US"/>
        </w:rPr>
        <w:t>դրամ</w:t>
      </w:r>
      <w:r w:rsidRPr="009070BD">
        <w:t xml:space="preserve"> (որից վարկային միջոցներ՝ 1,</w:t>
      </w:r>
      <w:r w:rsidR="00DF65A8">
        <w:t>344.5</w:t>
      </w:r>
      <w:r w:rsidRPr="009070BD">
        <w:t xml:space="preserve"> մլն, դրամաշնորհային միջոցներ՝ 1,</w:t>
      </w:r>
      <w:r w:rsidR="00DF65A8">
        <w:t>456.2</w:t>
      </w:r>
      <w:r w:rsidRPr="009070BD">
        <w:t xml:space="preserve"> մլն դրամ, ՀՀ համաֆինանսավորում՝ ընդհանուր</w:t>
      </w:r>
      <w:r w:rsidR="00DF65A8">
        <w:t xml:space="preserve"> 560.1</w:t>
      </w:r>
      <w:r w:rsidRPr="009070BD">
        <w:t xml:space="preserve"> </w:t>
      </w:r>
      <w:r w:rsidRPr="009070BD">
        <w:rPr>
          <w:lang w:val="en-US"/>
        </w:rPr>
        <w:t>մլն</w:t>
      </w:r>
      <w:r w:rsidRPr="009070BD">
        <w:t xml:space="preserve"> </w:t>
      </w:r>
      <w:r w:rsidRPr="009070BD">
        <w:rPr>
          <w:lang w:val="en-US"/>
        </w:rPr>
        <w:t>դրամ</w:t>
      </w:r>
      <w:r w:rsidRPr="009070BD">
        <w:t>)</w:t>
      </w:r>
      <w:r w:rsidRPr="009070BD">
        <w:rPr>
          <w:b/>
        </w:rPr>
        <w:t xml:space="preserve">, </w:t>
      </w:r>
      <w:r w:rsidRPr="00D5321C">
        <w:t>այն ՀՀ 2020 թվականի պետական բյուջեով հաստատված համադրելի ցուցանիշից՝ 6,929.1 մլն դրամից ավել է 4</w:t>
      </w:r>
      <w:r w:rsidR="006F406E" w:rsidRPr="00D5321C">
        <w:t>3</w:t>
      </w:r>
      <w:r w:rsidRPr="00D5321C">
        <w:t>.</w:t>
      </w:r>
      <w:r w:rsidR="006F406E" w:rsidRPr="00D5321C">
        <w:t>9</w:t>
      </w:r>
      <w:r w:rsidRPr="00D5321C">
        <w:t xml:space="preserve"> %-ով:</w:t>
      </w:r>
      <w:r w:rsidRPr="009070BD">
        <w:t xml:space="preserve"> Ցուցանիշի փոփոխությունը պայմանավորված է հիմնականում նոր՝ </w:t>
      </w:r>
      <w:r w:rsidRPr="009070BD">
        <w:rPr>
          <w:lang w:val="en-US"/>
        </w:rPr>
        <w:t>Մեղրիի</w:t>
      </w:r>
      <w:r w:rsidRPr="009070BD">
        <w:t xml:space="preserve"> </w:t>
      </w:r>
      <w:r w:rsidRPr="009070BD">
        <w:rPr>
          <w:lang w:val="en-US"/>
        </w:rPr>
        <w:t>սահմանային</w:t>
      </w:r>
      <w:r w:rsidRPr="009070BD">
        <w:t xml:space="preserve"> </w:t>
      </w:r>
      <w:r w:rsidRPr="009070BD">
        <w:rPr>
          <w:lang w:val="en-US"/>
        </w:rPr>
        <w:t>անցակետի</w:t>
      </w:r>
      <w:r w:rsidRPr="009070BD">
        <w:t xml:space="preserve"> </w:t>
      </w:r>
      <w:r w:rsidRPr="009070BD">
        <w:rPr>
          <w:lang w:val="en-US"/>
        </w:rPr>
        <w:t>շինարարական</w:t>
      </w:r>
      <w:r w:rsidRPr="009070BD">
        <w:t xml:space="preserve"> </w:t>
      </w:r>
      <w:r w:rsidRPr="009070BD">
        <w:rPr>
          <w:lang w:val="en-US"/>
        </w:rPr>
        <w:t>աշխատանքների</w:t>
      </w:r>
      <w:r w:rsidRPr="009070BD">
        <w:t xml:space="preserve"> </w:t>
      </w:r>
      <w:r w:rsidRPr="009070BD">
        <w:rPr>
          <w:lang w:val="en-US"/>
        </w:rPr>
        <w:t>իրականացմամբ</w:t>
      </w:r>
      <w:r w:rsidRPr="009070BD">
        <w:t xml:space="preserve">: </w:t>
      </w:r>
    </w:p>
    <w:p w:rsidR="00B541B4" w:rsidRPr="009070BD" w:rsidRDefault="00B541B4" w:rsidP="007730AA">
      <w:pPr>
        <w:pStyle w:val="Bullet2"/>
        <w:spacing w:before="0"/>
      </w:pPr>
      <w:r w:rsidRPr="009070BD">
        <w:t>Ծրագրի գծով 2021 թվականի ծախսերը նախատեսվել են հետևյալ ուղղություններով.</w:t>
      </w:r>
    </w:p>
    <w:p w:rsidR="00B541B4" w:rsidRPr="009070BD" w:rsidRDefault="00B541B4" w:rsidP="007730AA">
      <w:pPr>
        <w:pStyle w:val="ListParagraph"/>
        <w:numPr>
          <w:ilvl w:val="0"/>
          <w:numId w:val="53"/>
        </w:numPr>
        <w:tabs>
          <w:tab w:val="left" w:pos="851"/>
        </w:tabs>
        <w:spacing w:before="0" w:line="276" w:lineRule="auto"/>
        <w:ind w:left="0" w:firstLine="567"/>
        <w:rPr>
          <w:b w:val="0"/>
          <w:szCs w:val="22"/>
          <w:lang w:val="af-ZA"/>
        </w:rPr>
      </w:pPr>
      <w:r w:rsidRPr="009070BD">
        <w:rPr>
          <w:b w:val="0"/>
          <w:szCs w:val="22"/>
          <w:lang w:val="af-ZA"/>
        </w:rPr>
        <w:t xml:space="preserve">  </w:t>
      </w:r>
      <w:r w:rsidRPr="009070BD">
        <w:rPr>
          <w:b w:val="0"/>
          <w:szCs w:val="22"/>
          <w:lang w:val="en-US"/>
        </w:rPr>
        <w:t>Ակցիզային</w:t>
      </w:r>
      <w:r w:rsidRPr="009070BD">
        <w:rPr>
          <w:b w:val="0"/>
          <w:szCs w:val="22"/>
          <w:lang w:val="af-ZA"/>
        </w:rPr>
        <w:t xml:space="preserve"> </w:t>
      </w:r>
      <w:r w:rsidRPr="009070BD">
        <w:rPr>
          <w:b w:val="0"/>
          <w:szCs w:val="22"/>
          <w:lang w:val="en-US"/>
        </w:rPr>
        <w:t>դրոշմանիշերի</w:t>
      </w:r>
      <w:r w:rsidRPr="009070BD">
        <w:rPr>
          <w:b w:val="0"/>
          <w:szCs w:val="22"/>
          <w:lang w:val="af-ZA"/>
        </w:rPr>
        <w:t xml:space="preserve"> </w:t>
      </w:r>
      <w:r w:rsidRPr="009070BD">
        <w:rPr>
          <w:b w:val="0"/>
          <w:szCs w:val="22"/>
          <w:lang w:val="en-US"/>
        </w:rPr>
        <w:t>ձեռքբերում</w:t>
      </w:r>
      <w:r w:rsidRPr="009070BD">
        <w:rPr>
          <w:b w:val="0"/>
          <w:szCs w:val="22"/>
          <w:lang w:val="af-ZA"/>
        </w:rPr>
        <w:t xml:space="preserve">» </w:t>
      </w:r>
      <w:r w:rsidRPr="009070BD">
        <w:rPr>
          <w:b w:val="0"/>
          <w:szCs w:val="22"/>
          <w:lang w:val="en-US"/>
        </w:rPr>
        <w:t>միջոցառման</w:t>
      </w:r>
      <w:r w:rsidRPr="009070BD">
        <w:rPr>
          <w:b w:val="0"/>
          <w:szCs w:val="22"/>
          <w:lang w:val="af-ZA"/>
        </w:rPr>
        <w:t xml:space="preserve"> </w:t>
      </w:r>
      <w:r w:rsidRPr="009070BD">
        <w:rPr>
          <w:b w:val="0"/>
          <w:szCs w:val="22"/>
          <w:lang w:val="en-US"/>
        </w:rPr>
        <w:t>գծով</w:t>
      </w:r>
      <w:r w:rsidRPr="009070BD">
        <w:rPr>
          <w:b w:val="0"/>
          <w:szCs w:val="22"/>
          <w:lang w:val="af-ZA"/>
        </w:rPr>
        <w:t xml:space="preserve">` 2,908.1 </w:t>
      </w:r>
      <w:r w:rsidRPr="009070BD">
        <w:rPr>
          <w:b w:val="0"/>
          <w:szCs w:val="22"/>
          <w:lang w:val="en-US"/>
        </w:rPr>
        <w:t>մլն</w:t>
      </w:r>
      <w:r w:rsidRPr="009070BD">
        <w:rPr>
          <w:b w:val="0"/>
          <w:szCs w:val="22"/>
          <w:lang w:val="af-ZA"/>
        </w:rPr>
        <w:t xml:space="preserve"> </w:t>
      </w:r>
      <w:r w:rsidRPr="009070BD">
        <w:rPr>
          <w:b w:val="0"/>
          <w:szCs w:val="22"/>
          <w:lang w:val="en-US"/>
        </w:rPr>
        <w:t>դրամ</w:t>
      </w:r>
      <w:r w:rsidRPr="009070BD">
        <w:rPr>
          <w:b w:val="0"/>
          <w:szCs w:val="22"/>
          <w:lang w:val="af-ZA"/>
        </w:rPr>
        <w:t>:</w:t>
      </w:r>
    </w:p>
    <w:p w:rsidR="00B541B4" w:rsidRPr="009070BD" w:rsidRDefault="00B541B4" w:rsidP="007730AA">
      <w:pPr>
        <w:pStyle w:val="ListParagraph"/>
        <w:numPr>
          <w:ilvl w:val="0"/>
          <w:numId w:val="53"/>
        </w:numPr>
        <w:tabs>
          <w:tab w:val="left" w:pos="851"/>
        </w:tabs>
        <w:spacing w:before="0" w:line="276" w:lineRule="auto"/>
        <w:ind w:left="0" w:firstLine="567"/>
        <w:rPr>
          <w:b w:val="0"/>
          <w:szCs w:val="22"/>
          <w:lang w:val="af-ZA"/>
        </w:rPr>
      </w:pPr>
      <w:r w:rsidRPr="009070BD">
        <w:rPr>
          <w:b w:val="0"/>
          <w:szCs w:val="22"/>
          <w:lang w:val="af-ZA"/>
        </w:rPr>
        <w:t xml:space="preserve">  </w:t>
      </w:r>
      <w:r w:rsidRPr="009070BD">
        <w:rPr>
          <w:b w:val="0"/>
          <w:szCs w:val="22"/>
          <w:lang w:val="en-US"/>
        </w:rPr>
        <w:t>Դրոշմապիտակների</w:t>
      </w:r>
      <w:r w:rsidRPr="009070BD">
        <w:rPr>
          <w:b w:val="0"/>
          <w:szCs w:val="22"/>
          <w:lang w:val="af-ZA"/>
        </w:rPr>
        <w:t xml:space="preserve"> </w:t>
      </w:r>
      <w:r w:rsidRPr="009070BD">
        <w:rPr>
          <w:b w:val="0"/>
          <w:szCs w:val="22"/>
          <w:lang w:val="en-US"/>
        </w:rPr>
        <w:t>ձեռքբերում</w:t>
      </w:r>
      <w:r w:rsidRPr="009070BD">
        <w:rPr>
          <w:b w:val="0"/>
          <w:szCs w:val="22"/>
          <w:lang w:val="af-ZA"/>
        </w:rPr>
        <w:t xml:space="preserve">» </w:t>
      </w:r>
      <w:r w:rsidRPr="009070BD">
        <w:rPr>
          <w:b w:val="0"/>
          <w:szCs w:val="22"/>
          <w:lang w:val="en-US"/>
        </w:rPr>
        <w:t>միջոցառման</w:t>
      </w:r>
      <w:r w:rsidRPr="009070BD">
        <w:rPr>
          <w:b w:val="0"/>
          <w:szCs w:val="22"/>
          <w:lang w:val="af-ZA"/>
        </w:rPr>
        <w:t xml:space="preserve"> </w:t>
      </w:r>
      <w:r w:rsidRPr="009070BD">
        <w:rPr>
          <w:b w:val="0"/>
          <w:szCs w:val="22"/>
          <w:lang w:val="en-US"/>
        </w:rPr>
        <w:t>գծով</w:t>
      </w:r>
      <w:r w:rsidRPr="009070BD">
        <w:rPr>
          <w:b w:val="0"/>
          <w:szCs w:val="22"/>
          <w:lang w:val="af-ZA"/>
        </w:rPr>
        <w:t xml:space="preserve">` 3,402.0 </w:t>
      </w:r>
      <w:r w:rsidRPr="009070BD">
        <w:rPr>
          <w:b w:val="0"/>
          <w:szCs w:val="22"/>
          <w:lang w:val="en-US"/>
        </w:rPr>
        <w:t>մլն</w:t>
      </w:r>
      <w:r w:rsidRPr="009070BD">
        <w:rPr>
          <w:b w:val="0"/>
          <w:szCs w:val="22"/>
          <w:lang w:val="af-ZA"/>
        </w:rPr>
        <w:t xml:space="preserve"> </w:t>
      </w:r>
      <w:r w:rsidRPr="009070BD">
        <w:rPr>
          <w:b w:val="0"/>
          <w:szCs w:val="22"/>
          <w:lang w:val="en-US"/>
        </w:rPr>
        <w:t>դրամ</w:t>
      </w:r>
      <w:r w:rsidRPr="009070BD">
        <w:rPr>
          <w:b w:val="0"/>
          <w:szCs w:val="22"/>
          <w:lang w:val="af-ZA"/>
        </w:rPr>
        <w:t xml:space="preserve">: </w:t>
      </w:r>
    </w:p>
    <w:p w:rsidR="00B541B4" w:rsidRPr="009070BD" w:rsidRDefault="00B541B4" w:rsidP="007730AA">
      <w:pPr>
        <w:pStyle w:val="ListParagraph"/>
        <w:numPr>
          <w:ilvl w:val="0"/>
          <w:numId w:val="53"/>
        </w:numPr>
        <w:tabs>
          <w:tab w:val="left" w:pos="993"/>
        </w:tabs>
        <w:spacing w:before="0" w:line="276" w:lineRule="auto"/>
        <w:ind w:left="0" w:firstLine="567"/>
        <w:rPr>
          <w:b w:val="0"/>
          <w:szCs w:val="22"/>
          <w:lang w:val="af-ZA"/>
        </w:rPr>
      </w:pPr>
      <w:r w:rsidRPr="009070BD">
        <w:rPr>
          <w:b w:val="0"/>
          <w:szCs w:val="22"/>
          <w:lang w:val="af-ZA"/>
        </w:rPr>
        <w:t>«Հարկային և մաքսային ծառայողների վերապատրաստում»</w:t>
      </w:r>
      <w:r w:rsidRPr="009070BD">
        <w:rPr>
          <w:b w:val="0"/>
          <w:szCs w:val="22"/>
          <w:lang w:val="hy-AM"/>
        </w:rPr>
        <w:t xml:space="preserve"> </w:t>
      </w:r>
      <w:r w:rsidRPr="009070BD">
        <w:rPr>
          <w:b w:val="0"/>
          <w:szCs w:val="22"/>
          <w:lang w:val="en-US"/>
        </w:rPr>
        <w:t>միջոցառման</w:t>
      </w:r>
      <w:r w:rsidRPr="009070BD">
        <w:rPr>
          <w:b w:val="0"/>
          <w:szCs w:val="22"/>
          <w:lang w:val="af-ZA"/>
        </w:rPr>
        <w:t xml:space="preserve"> </w:t>
      </w:r>
      <w:r w:rsidRPr="009070BD">
        <w:rPr>
          <w:b w:val="0"/>
          <w:szCs w:val="22"/>
          <w:lang w:val="en-US"/>
        </w:rPr>
        <w:t>գծով</w:t>
      </w:r>
      <w:r w:rsidRPr="009070BD">
        <w:rPr>
          <w:b w:val="0"/>
          <w:szCs w:val="22"/>
          <w:lang w:val="af-ZA"/>
        </w:rPr>
        <w:t xml:space="preserve"> </w:t>
      </w:r>
      <w:r w:rsidRPr="009070BD">
        <w:rPr>
          <w:b w:val="0"/>
          <w:szCs w:val="22"/>
          <w:lang w:val="hy-AM"/>
        </w:rPr>
        <w:t>142</w:t>
      </w:r>
      <w:r w:rsidRPr="009070BD">
        <w:rPr>
          <w:b w:val="0"/>
          <w:szCs w:val="22"/>
          <w:lang w:val="af-ZA"/>
        </w:rPr>
        <w:t>.</w:t>
      </w:r>
      <w:r w:rsidRPr="009070BD">
        <w:rPr>
          <w:b w:val="0"/>
          <w:szCs w:val="22"/>
          <w:lang w:val="hy-AM"/>
        </w:rPr>
        <w:t>5</w:t>
      </w:r>
      <w:r w:rsidRPr="009070BD">
        <w:rPr>
          <w:b w:val="0"/>
          <w:szCs w:val="22"/>
          <w:lang w:val="af-ZA"/>
        </w:rPr>
        <w:t xml:space="preserve"> մլն </w:t>
      </w:r>
      <w:r w:rsidRPr="009070BD">
        <w:rPr>
          <w:b w:val="0"/>
          <w:szCs w:val="22"/>
          <w:lang w:val="en-US"/>
        </w:rPr>
        <w:t>դրամ</w:t>
      </w:r>
      <w:r w:rsidRPr="009070BD">
        <w:rPr>
          <w:b w:val="0"/>
          <w:szCs w:val="22"/>
          <w:lang w:val="af-ZA"/>
        </w:rPr>
        <w:t xml:space="preserve">, </w:t>
      </w:r>
      <w:r w:rsidRPr="009070BD">
        <w:rPr>
          <w:b w:val="0"/>
          <w:szCs w:val="22"/>
          <w:lang w:val="en-US"/>
        </w:rPr>
        <w:t>որի</w:t>
      </w:r>
      <w:r w:rsidRPr="009070BD">
        <w:rPr>
          <w:b w:val="0"/>
          <w:szCs w:val="22"/>
          <w:lang w:val="af-ZA"/>
        </w:rPr>
        <w:t xml:space="preserve"> </w:t>
      </w:r>
      <w:r w:rsidRPr="009070BD">
        <w:rPr>
          <w:b w:val="0"/>
          <w:szCs w:val="22"/>
          <w:lang w:val="en-US"/>
        </w:rPr>
        <w:t>շրջանակներում</w:t>
      </w:r>
      <w:r w:rsidRPr="009070BD">
        <w:rPr>
          <w:b w:val="0"/>
          <w:szCs w:val="22"/>
          <w:lang w:val="af-ZA"/>
        </w:rPr>
        <w:t xml:space="preserve"> </w:t>
      </w:r>
      <w:r w:rsidRPr="009070BD">
        <w:rPr>
          <w:b w:val="0"/>
          <w:szCs w:val="22"/>
          <w:lang w:val="en-US"/>
        </w:rPr>
        <w:t>նախատեսվում</w:t>
      </w:r>
      <w:r w:rsidRPr="009070BD">
        <w:rPr>
          <w:b w:val="0"/>
          <w:szCs w:val="22"/>
          <w:lang w:val="af-ZA"/>
        </w:rPr>
        <w:t xml:space="preserve"> </w:t>
      </w:r>
      <w:r w:rsidRPr="009070BD">
        <w:rPr>
          <w:b w:val="0"/>
          <w:szCs w:val="22"/>
          <w:lang w:val="en-US"/>
        </w:rPr>
        <w:t>է</w:t>
      </w:r>
      <w:r w:rsidRPr="009070BD">
        <w:rPr>
          <w:b w:val="0"/>
          <w:szCs w:val="22"/>
          <w:lang w:val="af-ZA"/>
        </w:rPr>
        <w:t xml:space="preserve"> </w:t>
      </w:r>
      <w:r w:rsidRPr="009070BD">
        <w:rPr>
          <w:b w:val="0"/>
          <w:szCs w:val="22"/>
          <w:lang w:val="en-US"/>
        </w:rPr>
        <w:t>Կոմիտեի</w:t>
      </w:r>
      <w:r w:rsidRPr="009070BD">
        <w:rPr>
          <w:b w:val="0"/>
          <w:szCs w:val="22"/>
          <w:lang w:val="af-ZA"/>
        </w:rPr>
        <w:t xml:space="preserve"> </w:t>
      </w:r>
      <w:r w:rsidRPr="009070BD">
        <w:rPr>
          <w:b w:val="0"/>
          <w:szCs w:val="22"/>
          <w:lang w:val="hy-AM"/>
        </w:rPr>
        <w:t xml:space="preserve">թվով </w:t>
      </w:r>
      <w:r w:rsidRPr="009070BD">
        <w:rPr>
          <w:b w:val="0"/>
          <w:szCs w:val="22"/>
          <w:lang w:val="af-ZA"/>
        </w:rPr>
        <w:t>2</w:t>
      </w:r>
      <w:r w:rsidRPr="009070BD">
        <w:rPr>
          <w:b w:val="0"/>
          <w:szCs w:val="22"/>
          <w:lang w:val="hy-AM"/>
        </w:rPr>
        <w:t>020 աշխատակիցների վերապատրաստում:</w:t>
      </w:r>
    </w:p>
    <w:p w:rsidR="00B541B4" w:rsidRPr="009070BD" w:rsidRDefault="00B541B4" w:rsidP="007730AA">
      <w:pPr>
        <w:pStyle w:val="ListParagraph"/>
        <w:numPr>
          <w:ilvl w:val="0"/>
          <w:numId w:val="53"/>
        </w:numPr>
        <w:tabs>
          <w:tab w:val="left" w:pos="993"/>
        </w:tabs>
        <w:spacing w:before="0" w:line="276" w:lineRule="auto"/>
        <w:ind w:left="0" w:firstLine="567"/>
        <w:rPr>
          <w:b w:val="0"/>
          <w:lang w:val="af-ZA"/>
        </w:rPr>
      </w:pPr>
      <w:r w:rsidRPr="009070BD">
        <w:rPr>
          <w:b w:val="0"/>
          <w:lang w:val="af-ZA"/>
        </w:rPr>
        <w:t>«</w:t>
      </w:r>
      <w:r w:rsidRPr="009070BD">
        <w:rPr>
          <w:b w:val="0"/>
          <w:lang w:val="en-US"/>
        </w:rPr>
        <w:t>Փորձաքննությունների</w:t>
      </w:r>
      <w:r w:rsidRPr="009070BD">
        <w:rPr>
          <w:b w:val="0"/>
          <w:lang w:val="af-ZA"/>
        </w:rPr>
        <w:t xml:space="preserve"> </w:t>
      </w:r>
      <w:r w:rsidRPr="009070BD">
        <w:rPr>
          <w:b w:val="0"/>
          <w:lang w:val="en-US"/>
        </w:rPr>
        <w:t>ծառայություններ</w:t>
      </w:r>
      <w:r w:rsidRPr="009070BD">
        <w:rPr>
          <w:b w:val="0"/>
          <w:lang w:val="af-ZA"/>
        </w:rPr>
        <w:t xml:space="preserve">» </w:t>
      </w:r>
      <w:r w:rsidRPr="009070BD">
        <w:rPr>
          <w:b w:val="0"/>
          <w:lang w:val="en-US"/>
        </w:rPr>
        <w:t>միջոցառման</w:t>
      </w:r>
      <w:r w:rsidRPr="009070BD">
        <w:rPr>
          <w:b w:val="0"/>
          <w:lang w:val="af-ZA"/>
        </w:rPr>
        <w:t xml:space="preserve"> գծով` 10.8 </w:t>
      </w:r>
      <w:r w:rsidRPr="009070BD">
        <w:rPr>
          <w:b w:val="0"/>
          <w:lang w:val="en-US"/>
        </w:rPr>
        <w:t>հազ</w:t>
      </w:r>
      <w:r w:rsidRPr="009070BD">
        <w:rPr>
          <w:b w:val="0"/>
          <w:lang w:val="af-ZA"/>
        </w:rPr>
        <w:t xml:space="preserve"> </w:t>
      </w:r>
      <w:r w:rsidRPr="009070BD">
        <w:rPr>
          <w:b w:val="0"/>
          <w:lang w:val="en-US"/>
        </w:rPr>
        <w:t>դրամ</w:t>
      </w:r>
      <w:r w:rsidRPr="009070BD">
        <w:rPr>
          <w:b w:val="0"/>
          <w:lang w:val="af-ZA"/>
        </w:rPr>
        <w:t xml:space="preserve">, պահպանվել է </w:t>
      </w:r>
      <w:r w:rsidRPr="009070BD">
        <w:rPr>
          <w:b w:val="0"/>
          <w:lang w:val="en-US"/>
        </w:rPr>
        <w:t>ՀՀ</w:t>
      </w:r>
      <w:r w:rsidRPr="009070BD">
        <w:rPr>
          <w:b w:val="0"/>
          <w:lang w:val="af-ZA"/>
        </w:rPr>
        <w:t xml:space="preserve"> 2020 </w:t>
      </w:r>
      <w:r w:rsidRPr="009070BD">
        <w:rPr>
          <w:b w:val="0"/>
          <w:lang w:val="en-US"/>
        </w:rPr>
        <w:t>թվականի</w:t>
      </w:r>
      <w:r w:rsidRPr="009070BD">
        <w:rPr>
          <w:b w:val="0"/>
          <w:lang w:val="af-ZA"/>
        </w:rPr>
        <w:t xml:space="preserve"> </w:t>
      </w:r>
      <w:r w:rsidRPr="009070BD">
        <w:rPr>
          <w:b w:val="0"/>
          <w:lang w:val="en-US"/>
        </w:rPr>
        <w:t>պետա</w:t>
      </w:r>
      <w:r w:rsidRPr="009070BD">
        <w:rPr>
          <w:b w:val="0"/>
          <w:lang w:val="af-ZA"/>
        </w:rPr>
        <w:softHyphen/>
      </w:r>
      <w:r w:rsidRPr="009070BD">
        <w:rPr>
          <w:b w:val="0"/>
          <w:lang w:val="en-US"/>
        </w:rPr>
        <w:t>կան</w:t>
      </w:r>
      <w:r w:rsidRPr="009070BD">
        <w:rPr>
          <w:b w:val="0"/>
          <w:lang w:val="af-ZA"/>
        </w:rPr>
        <w:t xml:space="preserve"> </w:t>
      </w:r>
      <w:r w:rsidRPr="009070BD">
        <w:rPr>
          <w:b w:val="0"/>
          <w:lang w:val="en-US"/>
        </w:rPr>
        <w:t>բյուջեով</w:t>
      </w:r>
      <w:r w:rsidRPr="009070BD">
        <w:rPr>
          <w:b w:val="0"/>
          <w:lang w:val="af-ZA"/>
        </w:rPr>
        <w:t xml:space="preserve"> </w:t>
      </w:r>
      <w:r w:rsidRPr="009070BD">
        <w:rPr>
          <w:b w:val="0"/>
          <w:lang w:val="en-US"/>
        </w:rPr>
        <w:t>հաստատված</w:t>
      </w:r>
      <w:r w:rsidRPr="009070BD">
        <w:rPr>
          <w:b w:val="0"/>
          <w:lang w:val="af-ZA"/>
        </w:rPr>
        <w:t xml:space="preserve"> </w:t>
      </w:r>
      <w:r w:rsidRPr="009070BD">
        <w:rPr>
          <w:b w:val="0"/>
          <w:lang w:val="en-US"/>
        </w:rPr>
        <w:t>գումարի</w:t>
      </w:r>
      <w:r w:rsidRPr="009070BD">
        <w:rPr>
          <w:b w:val="0"/>
          <w:lang w:val="af-ZA"/>
        </w:rPr>
        <w:t xml:space="preserve"> </w:t>
      </w:r>
      <w:r w:rsidRPr="009070BD">
        <w:rPr>
          <w:b w:val="0"/>
          <w:lang w:val="en-US"/>
        </w:rPr>
        <w:t>չափը</w:t>
      </w:r>
      <w:r w:rsidRPr="009070BD">
        <w:rPr>
          <w:b w:val="0"/>
          <w:lang w:val="af-ZA"/>
        </w:rPr>
        <w:t xml:space="preserve">: </w:t>
      </w:r>
      <w:r w:rsidRPr="009070BD">
        <w:rPr>
          <w:b w:val="0"/>
          <w:lang w:val="en-US"/>
        </w:rPr>
        <w:t>Հաշվարկը</w:t>
      </w:r>
      <w:r w:rsidRPr="009070BD">
        <w:rPr>
          <w:b w:val="0"/>
          <w:lang w:val="af-ZA"/>
        </w:rPr>
        <w:t xml:space="preserve"> </w:t>
      </w:r>
      <w:r w:rsidRPr="009070BD">
        <w:rPr>
          <w:b w:val="0"/>
          <w:lang w:val="en-US"/>
        </w:rPr>
        <w:t>կատարվել</w:t>
      </w:r>
      <w:r w:rsidRPr="009070BD">
        <w:rPr>
          <w:b w:val="0"/>
          <w:lang w:val="af-ZA"/>
        </w:rPr>
        <w:t xml:space="preserve"> </w:t>
      </w:r>
      <w:r w:rsidRPr="009070BD">
        <w:rPr>
          <w:b w:val="0"/>
          <w:lang w:val="en-US"/>
        </w:rPr>
        <w:t>է</w:t>
      </w:r>
      <w:r w:rsidRPr="009070BD">
        <w:rPr>
          <w:b w:val="0"/>
          <w:lang w:val="af-ZA"/>
        </w:rPr>
        <w:t xml:space="preserve"> 273 </w:t>
      </w:r>
      <w:r w:rsidRPr="009070BD">
        <w:rPr>
          <w:b w:val="0"/>
          <w:lang w:val="en-US"/>
        </w:rPr>
        <w:t>փորձաքննությունների</w:t>
      </w:r>
      <w:r w:rsidRPr="009070BD">
        <w:rPr>
          <w:b w:val="0"/>
          <w:lang w:val="af-ZA"/>
        </w:rPr>
        <w:t xml:space="preserve"> </w:t>
      </w:r>
      <w:r w:rsidRPr="009070BD">
        <w:rPr>
          <w:b w:val="0"/>
          <w:lang w:val="en-US"/>
        </w:rPr>
        <w:t>համար</w:t>
      </w:r>
      <w:r w:rsidRPr="009070BD">
        <w:rPr>
          <w:b w:val="0"/>
          <w:lang w:val="af-ZA"/>
        </w:rPr>
        <w:t xml:space="preserve">, </w:t>
      </w:r>
      <w:r w:rsidRPr="009070BD">
        <w:rPr>
          <w:b w:val="0"/>
          <w:lang w:val="en-US"/>
        </w:rPr>
        <w:t>պահպանելով</w:t>
      </w:r>
      <w:r w:rsidRPr="009070BD">
        <w:rPr>
          <w:b w:val="0"/>
          <w:lang w:val="af-ZA"/>
        </w:rPr>
        <w:t xml:space="preserve"> </w:t>
      </w:r>
      <w:r w:rsidRPr="009070BD">
        <w:rPr>
          <w:b w:val="0"/>
          <w:lang w:val="en-US"/>
        </w:rPr>
        <w:t>փորձագիտական</w:t>
      </w:r>
      <w:r w:rsidRPr="009070BD">
        <w:rPr>
          <w:b w:val="0"/>
          <w:lang w:val="af-ZA"/>
        </w:rPr>
        <w:t xml:space="preserve"> </w:t>
      </w:r>
      <w:r w:rsidRPr="009070BD">
        <w:rPr>
          <w:b w:val="0"/>
          <w:lang w:val="en-US"/>
        </w:rPr>
        <w:t>աշխատանքի</w:t>
      </w:r>
      <w:r w:rsidRPr="009070BD">
        <w:rPr>
          <w:b w:val="0"/>
          <w:lang w:val="af-ZA"/>
        </w:rPr>
        <w:t xml:space="preserve"> </w:t>
      </w:r>
      <w:r w:rsidRPr="009070BD">
        <w:rPr>
          <w:b w:val="0"/>
          <w:lang w:val="en-US"/>
        </w:rPr>
        <w:t>մեկ</w:t>
      </w:r>
      <w:r w:rsidRPr="009070BD">
        <w:rPr>
          <w:b w:val="0"/>
          <w:lang w:val="af-ZA"/>
        </w:rPr>
        <w:t xml:space="preserve"> </w:t>
      </w:r>
      <w:r w:rsidRPr="009070BD">
        <w:rPr>
          <w:b w:val="0"/>
          <w:lang w:val="en-US"/>
        </w:rPr>
        <w:t>ժամվա</w:t>
      </w:r>
      <w:r w:rsidRPr="009070BD">
        <w:rPr>
          <w:b w:val="0"/>
          <w:lang w:val="af-ZA"/>
        </w:rPr>
        <w:t xml:space="preserve"> </w:t>
      </w:r>
      <w:r w:rsidRPr="009070BD">
        <w:rPr>
          <w:b w:val="0"/>
          <w:lang w:val="en-US"/>
        </w:rPr>
        <w:t>արժեքը</w:t>
      </w:r>
      <w:r w:rsidRPr="009070BD">
        <w:rPr>
          <w:b w:val="0"/>
          <w:lang w:val="af-ZA"/>
        </w:rPr>
        <w:t xml:space="preserve">` 460 </w:t>
      </w:r>
      <w:r w:rsidRPr="009070BD">
        <w:rPr>
          <w:b w:val="0"/>
          <w:lang w:val="en-US"/>
        </w:rPr>
        <w:t>դրամ</w:t>
      </w:r>
      <w:r w:rsidRPr="009070BD">
        <w:rPr>
          <w:b w:val="0"/>
          <w:lang w:val="af-ZA"/>
        </w:rPr>
        <w:t xml:space="preserve">: </w:t>
      </w:r>
    </w:p>
    <w:p w:rsidR="00B541B4" w:rsidRPr="009070BD" w:rsidRDefault="00B541B4" w:rsidP="007730AA">
      <w:pPr>
        <w:spacing w:before="0" w:line="276" w:lineRule="auto"/>
        <w:ind w:firstLine="720"/>
        <w:rPr>
          <w:b w:val="0"/>
          <w:lang w:val="af-ZA"/>
        </w:rPr>
      </w:pPr>
      <w:r w:rsidRPr="009070BD">
        <w:rPr>
          <w:b w:val="0"/>
          <w:lang w:val="en-US"/>
        </w:rPr>
        <w:t>Միջոցառման</w:t>
      </w:r>
      <w:r w:rsidRPr="009070BD">
        <w:rPr>
          <w:b w:val="0"/>
          <w:lang w:val="af-ZA"/>
        </w:rPr>
        <w:t xml:space="preserve"> </w:t>
      </w:r>
      <w:r w:rsidRPr="009070BD">
        <w:rPr>
          <w:b w:val="0"/>
          <w:lang w:val="en-US"/>
        </w:rPr>
        <w:t>նպատակն</w:t>
      </w:r>
      <w:r w:rsidRPr="009070BD">
        <w:rPr>
          <w:b w:val="0"/>
          <w:lang w:val="af-ZA"/>
        </w:rPr>
        <w:t xml:space="preserve"> </w:t>
      </w:r>
      <w:r w:rsidRPr="009070BD">
        <w:rPr>
          <w:b w:val="0"/>
          <w:lang w:val="en-US"/>
        </w:rPr>
        <w:t>է</w:t>
      </w:r>
      <w:r w:rsidRPr="009070BD">
        <w:rPr>
          <w:b w:val="0"/>
          <w:lang w:val="af-ZA"/>
        </w:rPr>
        <w:t xml:space="preserve"> </w:t>
      </w:r>
      <w:r w:rsidRPr="009070BD">
        <w:rPr>
          <w:b w:val="0"/>
          <w:lang w:val="en-US"/>
        </w:rPr>
        <w:t>ապահովելու</w:t>
      </w:r>
      <w:r w:rsidRPr="009070BD">
        <w:rPr>
          <w:b w:val="0"/>
          <w:lang w:val="af-ZA"/>
        </w:rPr>
        <w:t xml:space="preserve"> </w:t>
      </w:r>
      <w:r w:rsidRPr="009070BD">
        <w:rPr>
          <w:b w:val="0"/>
          <w:lang w:val="en-US"/>
        </w:rPr>
        <w:t>ՀՀ</w:t>
      </w:r>
      <w:r w:rsidRPr="009070BD">
        <w:rPr>
          <w:b w:val="0"/>
          <w:lang w:val="af-ZA"/>
        </w:rPr>
        <w:t xml:space="preserve"> </w:t>
      </w:r>
      <w:r w:rsidRPr="009070BD">
        <w:rPr>
          <w:b w:val="0"/>
          <w:lang w:val="en-US"/>
        </w:rPr>
        <w:t>Սահմանադրության</w:t>
      </w:r>
      <w:r w:rsidRPr="009070BD">
        <w:rPr>
          <w:b w:val="0"/>
          <w:lang w:val="af-ZA"/>
        </w:rPr>
        <w:t xml:space="preserve"> </w:t>
      </w:r>
      <w:r w:rsidRPr="009070BD">
        <w:rPr>
          <w:b w:val="0"/>
          <w:lang w:val="en-US"/>
        </w:rPr>
        <w:t>հոդված</w:t>
      </w:r>
      <w:r w:rsidRPr="009070BD">
        <w:rPr>
          <w:b w:val="0"/>
          <w:lang w:val="af-ZA"/>
        </w:rPr>
        <w:t xml:space="preserve"> 64, </w:t>
      </w:r>
      <w:r w:rsidRPr="009070BD">
        <w:rPr>
          <w:b w:val="0"/>
          <w:lang w:val="en-US"/>
        </w:rPr>
        <w:t>կետ</w:t>
      </w:r>
      <w:r w:rsidRPr="009070BD">
        <w:rPr>
          <w:b w:val="0"/>
          <w:lang w:val="af-ZA"/>
        </w:rPr>
        <w:t xml:space="preserve"> 1 </w:t>
      </w:r>
      <w:r w:rsidRPr="009070BD">
        <w:rPr>
          <w:b w:val="0"/>
          <w:lang w:val="en-US"/>
        </w:rPr>
        <w:t>համաձայն՝</w:t>
      </w:r>
      <w:r w:rsidRPr="009070BD">
        <w:rPr>
          <w:b w:val="0"/>
          <w:lang w:val="af-ZA"/>
        </w:rPr>
        <w:t xml:space="preserve"> </w:t>
      </w:r>
      <w:r w:rsidRPr="009070BD">
        <w:rPr>
          <w:b w:val="0"/>
          <w:lang w:val="en-US"/>
        </w:rPr>
        <w:t>յուրաքանչյուրի</w:t>
      </w:r>
      <w:r w:rsidRPr="009070BD">
        <w:rPr>
          <w:b w:val="0"/>
          <w:lang w:val="af-ZA"/>
        </w:rPr>
        <w:t xml:space="preserve"> </w:t>
      </w:r>
      <w:r w:rsidRPr="009070BD">
        <w:rPr>
          <w:b w:val="0"/>
          <w:lang w:val="en-US"/>
        </w:rPr>
        <w:t>իրավաբանական</w:t>
      </w:r>
      <w:r w:rsidRPr="009070BD">
        <w:rPr>
          <w:b w:val="0"/>
          <w:lang w:val="af-ZA"/>
        </w:rPr>
        <w:t xml:space="preserve"> </w:t>
      </w:r>
      <w:r w:rsidRPr="009070BD">
        <w:rPr>
          <w:b w:val="0"/>
          <w:lang w:val="en-US"/>
        </w:rPr>
        <w:t>օգնություն</w:t>
      </w:r>
      <w:r w:rsidRPr="009070BD">
        <w:rPr>
          <w:b w:val="0"/>
          <w:lang w:val="af-ZA"/>
        </w:rPr>
        <w:t xml:space="preserve"> </w:t>
      </w:r>
      <w:r w:rsidRPr="009070BD">
        <w:rPr>
          <w:b w:val="0"/>
          <w:lang w:val="en-US"/>
        </w:rPr>
        <w:t>ստանալու</w:t>
      </w:r>
      <w:r w:rsidRPr="009070BD">
        <w:rPr>
          <w:b w:val="0"/>
          <w:lang w:val="af-ZA"/>
        </w:rPr>
        <w:t xml:space="preserve"> </w:t>
      </w:r>
      <w:r w:rsidRPr="009070BD">
        <w:rPr>
          <w:b w:val="0"/>
          <w:lang w:val="en-US"/>
        </w:rPr>
        <w:t>իրավունքը</w:t>
      </w:r>
      <w:r w:rsidRPr="009070BD">
        <w:rPr>
          <w:b w:val="0"/>
          <w:lang w:val="af-ZA"/>
        </w:rPr>
        <w:t xml:space="preserve">: </w:t>
      </w:r>
      <w:r w:rsidRPr="009070BD">
        <w:rPr>
          <w:b w:val="0"/>
          <w:lang w:val="en-US"/>
        </w:rPr>
        <w:t>Օրենքով</w:t>
      </w:r>
      <w:r w:rsidRPr="009070BD">
        <w:rPr>
          <w:b w:val="0"/>
          <w:lang w:val="af-ZA"/>
        </w:rPr>
        <w:t xml:space="preserve"> </w:t>
      </w:r>
      <w:r w:rsidRPr="009070BD">
        <w:rPr>
          <w:b w:val="0"/>
          <w:lang w:val="en-US"/>
        </w:rPr>
        <w:t>սահմանված</w:t>
      </w:r>
      <w:r w:rsidRPr="009070BD">
        <w:rPr>
          <w:b w:val="0"/>
          <w:lang w:val="af-ZA"/>
        </w:rPr>
        <w:t xml:space="preserve"> </w:t>
      </w:r>
      <w:r w:rsidRPr="009070BD">
        <w:rPr>
          <w:b w:val="0"/>
          <w:lang w:val="en-US"/>
        </w:rPr>
        <w:t>դեպքերում</w:t>
      </w:r>
      <w:r w:rsidRPr="009070BD">
        <w:rPr>
          <w:b w:val="0"/>
          <w:lang w:val="af-ZA"/>
        </w:rPr>
        <w:t xml:space="preserve"> </w:t>
      </w:r>
      <w:r w:rsidRPr="009070BD">
        <w:rPr>
          <w:b w:val="0"/>
          <w:lang w:val="en-US"/>
        </w:rPr>
        <w:t>իրավաբանական</w:t>
      </w:r>
      <w:r w:rsidRPr="009070BD">
        <w:rPr>
          <w:b w:val="0"/>
          <w:lang w:val="af-ZA"/>
        </w:rPr>
        <w:t xml:space="preserve"> </w:t>
      </w:r>
      <w:r w:rsidRPr="009070BD">
        <w:rPr>
          <w:b w:val="0"/>
          <w:lang w:val="en-US"/>
        </w:rPr>
        <w:t>օգնությունը</w:t>
      </w:r>
      <w:r w:rsidRPr="009070BD">
        <w:rPr>
          <w:b w:val="0"/>
          <w:lang w:val="af-ZA"/>
        </w:rPr>
        <w:t xml:space="preserve"> </w:t>
      </w:r>
      <w:r w:rsidRPr="009070BD">
        <w:rPr>
          <w:b w:val="0"/>
          <w:lang w:val="en-US"/>
        </w:rPr>
        <w:t>ցույց</w:t>
      </w:r>
      <w:r w:rsidRPr="009070BD">
        <w:rPr>
          <w:b w:val="0"/>
          <w:lang w:val="af-ZA"/>
        </w:rPr>
        <w:t xml:space="preserve"> </w:t>
      </w:r>
      <w:r w:rsidRPr="009070BD">
        <w:rPr>
          <w:b w:val="0"/>
          <w:lang w:val="en-US"/>
        </w:rPr>
        <w:t>է</w:t>
      </w:r>
      <w:r w:rsidRPr="009070BD">
        <w:rPr>
          <w:b w:val="0"/>
          <w:lang w:val="af-ZA"/>
        </w:rPr>
        <w:t xml:space="preserve"> </w:t>
      </w:r>
      <w:r w:rsidRPr="009070BD">
        <w:rPr>
          <w:b w:val="0"/>
          <w:lang w:val="en-US"/>
        </w:rPr>
        <w:t>տրվում</w:t>
      </w:r>
      <w:r w:rsidRPr="009070BD">
        <w:rPr>
          <w:b w:val="0"/>
          <w:lang w:val="af-ZA"/>
        </w:rPr>
        <w:t xml:space="preserve"> </w:t>
      </w:r>
      <w:r w:rsidRPr="009070BD">
        <w:rPr>
          <w:b w:val="0"/>
          <w:lang w:val="en-US"/>
        </w:rPr>
        <w:t>պետական</w:t>
      </w:r>
      <w:r w:rsidRPr="009070BD">
        <w:rPr>
          <w:b w:val="0"/>
          <w:lang w:val="af-ZA"/>
        </w:rPr>
        <w:t xml:space="preserve"> </w:t>
      </w:r>
      <w:r w:rsidRPr="009070BD">
        <w:rPr>
          <w:b w:val="0"/>
          <w:lang w:val="en-US"/>
        </w:rPr>
        <w:t>միջոցների</w:t>
      </w:r>
      <w:r w:rsidRPr="009070BD">
        <w:rPr>
          <w:b w:val="0"/>
          <w:lang w:val="af-ZA"/>
        </w:rPr>
        <w:t xml:space="preserve"> </w:t>
      </w:r>
      <w:r w:rsidRPr="009070BD">
        <w:rPr>
          <w:b w:val="0"/>
          <w:lang w:val="en-US"/>
        </w:rPr>
        <w:t>հաշվին</w:t>
      </w:r>
      <w:r w:rsidRPr="009070BD">
        <w:rPr>
          <w:b w:val="0"/>
          <w:lang w:val="af-ZA"/>
        </w:rPr>
        <w:t xml:space="preserve">: </w:t>
      </w:r>
      <w:r w:rsidRPr="009070BD">
        <w:rPr>
          <w:b w:val="0"/>
          <w:lang w:val="en-US"/>
        </w:rPr>
        <w:t>Փորձաքննության</w:t>
      </w:r>
      <w:r w:rsidRPr="009070BD">
        <w:rPr>
          <w:b w:val="0"/>
          <w:lang w:val="af-ZA"/>
        </w:rPr>
        <w:t xml:space="preserve"> </w:t>
      </w:r>
      <w:r w:rsidRPr="009070BD">
        <w:rPr>
          <w:b w:val="0"/>
          <w:lang w:val="en-US"/>
        </w:rPr>
        <w:t>արժեքի</w:t>
      </w:r>
      <w:r w:rsidRPr="009070BD">
        <w:rPr>
          <w:b w:val="0"/>
          <w:lang w:val="af-ZA"/>
        </w:rPr>
        <w:t xml:space="preserve"> </w:t>
      </w:r>
      <w:r w:rsidRPr="009070BD">
        <w:rPr>
          <w:b w:val="0"/>
          <w:lang w:val="en-US"/>
        </w:rPr>
        <w:t>որոշման</w:t>
      </w:r>
      <w:r w:rsidRPr="009070BD">
        <w:rPr>
          <w:b w:val="0"/>
          <w:lang w:val="af-ZA"/>
        </w:rPr>
        <w:t xml:space="preserve"> </w:t>
      </w:r>
      <w:r w:rsidRPr="009070BD">
        <w:rPr>
          <w:b w:val="0"/>
          <w:lang w:val="en-US"/>
        </w:rPr>
        <w:t>կարգը</w:t>
      </w:r>
      <w:r w:rsidRPr="009070BD">
        <w:rPr>
          <w:b w:val="0"/>
          <w:lang w:val="af-ZA"/>
        </w:rPr>
        <w:t xml:space="preserve"> </w:t>
      </w:r>
      <w:r w:rsidRPr="009070BD">
        <w:rPr>
          <w:b w:val="0"/>
          <w:lang w:val="en-US"/>
        </w:rPr>
        <w:t>սահմանվել</w:t>
      </w:r>
      <w:r w:rsidRPr="009070BD">
        <w:rPr>
          <w:b w:val="0"/>
          <w:lang w:val="af-ZA"/>
        </w:rPr>
        <w:t xml:space="preserve"> </w:t>
      </w:r>
      <w:r w:rsidRPr="009070BD">
        <w:rPr>
          <w:b w:val="0"/>
          <w:lang w:val="en-US"/>
        </w:rPr>
        <w:t>է</w:t>
      </w:r>
      <w:r w:rsidRPr="009070BD">
        <w:rPr>
          <w:b w:val="0"/>
          <w:lang w:val="af-ZA"/>
        </w:rPr>
        <w:t xml:space="preserve"> </w:t>
      </w:r>
      <w:r w:rsidRPr="009070BD">
        <w:rPr>
          <w:b w:val="0"/>
          <w:lang w:val="en-US"/>
        </w:rPr>
        <w:t>ՀՀ</w:t>
      </w:r>
      <w:r w:rsidRPr="009070BD">
        <w:rPr>
          <w:b w:val="0"/>
          <w:lang w:val="af-ZA"/>
        </w:rPr>
        <w:t xml:space="preserve"> </w:t>
      </w:r>
      <w:r w:rsidRPr="009070BD">
        <w:rPr>
          <w:b w:val="0"/>
          <w:lang w:val="en-US"/>
        </w:rPr>
        <w:t>կառավարության</w:t>
      </w:r>
      <w:r w:rsidRPr="009070BD">
        <w:rPr>
          <w:b w:val="0"/>
          <w:lang w:val="af-ZA"/>
        </w:rPr>
        <w:t xml:space="preserve"> 2006 </w:t>
      </w:r>
      <w:r w:rsidRPr="009070BD">
        <w:rPr>
          <w:b w:val="0"/>
          <w:lang w:val="en-US"/>
        </w:rPr>
        <w:t>թվականի</w:t>
      </w:r>
      <w:r w:rsidRPr="009070BD">
        <w:rPr>
          <w:b w:val="0"/>
          <w:lang w:val="af-ZA"/>
        </w:rPr>
        <w:t xml:space="preserve"> </w:t>
      </w:r>
      <w:r w:rsidRPr="009070BD">
        <w:rPr>
          <w:b w:val="0"/>
          <w:lang w:val="en-US"/>
        </w:rPr>
        <w:t>փետրվարի</w:t>
      </w:r>
      <w:r w:rsidRPr="009070BD">
        <w:rPr>
          <w:b w:val="0"/>
          <w:lang w:val="af-ZA"/>
        </w:rPr>
        <w:t xml:space="preserve"> 2-</w:t>
      </w:r>
      <w:r w:rsidRPr="009070BD">
        <w:rPr>
          <w:b w:val="0"/>
          <w:lang w:val="en-US"/>
        </w:rPr>
        <w:t>ի</w:t>
      </w:r>
      <w:r w:rsidRPr="009070BD">
        <w:rPr>
          <w:b w:val="0"/>
          <w:lang w:val="af-ZA"/>
        </w:rPr>
        <w:t xml:space="preserve"> </w:t>
      </w:r>
      <w:r w:rsidRPr="009070BD">
        <w:rPr>
          <w:b w:val="0"/>
          <w:lang w:val="en-US"/>
        </w:rPr>
        <w:t>թիվ</w:t>
      </w:r>
      <w:r w:rsidRPr="009070BD">
        <w:rPr>
          <w:b w:val="0"/>
          <w:lang w:val="af-ZA"/>
        </w:rPr>
        <w:t xml:space="preserve"> 79-</w:t>
      </w:r>
      <w:r w:rsidRPr="009070BD">
        <w:rPr>
          <w:b w:val="0"/>
          <w:lang w:val="en-US"/>
        </w:rPr>
        <w:t>Ն</w:t>
      </w:r>
      <w:r w:rsidRPr="009070BD">
        <w:rPr>
          <w:b w:val="0"/>
          <w:lang w:val="af-ZA"/>
        </w:rPr>
        <w:t xml:space="preserve"> </w:t>
      </w:r>
      <w:r w:rsidRPr="009070BD">
        <w:rPr>
          <w:b w:val="0"/>
          <w:lang w:val="en-US"/>
        </w:rPr>
        <w:t>որոշմամբ</w:t>
      </w:r>
      <w:r w:rsidRPr="009070BD">
        <w:rPr>
          <w:b w:val="0"/>
          <w:lang w:val="af-ZA"/>
        </w:rPr>
        <w:t xml:space="preserve">, </w:t>
      </w:r>
      <w:r w:rsidRPr="009070BD">
        <w:rPr>
          <w:b w:val="0"/>
          <w:lang w:val="en-US"/>
        </w:rPr>
        <w:t>իսկ</w:t>
      </w:r>
      <w:r w:rsidRPr="009070BD">
        <w:rPr>
          <w:b w:val="0"/>
          <w:lang w:val="af-ZA"/>
        </w:rPr>
        <w:t xml:space="preserve"> </w:t>
      </w:r>
      <w:r w:rsidRPr="009070BD">
        <w:rPr>
          <w:b w:val="0"/>
          <w:lang w:val="en-US"/>
        </w:rPr>
        <w:t>ինչ</w:t>
      </w:r>
      <w:r w:rsidRPr="009070BD">
        <w:rPr>
          <w:b w:val="0"/>
          <w:lang w:val="af-ZA"/>
        </w:rPr>
        <w:t xml:space="preserve"> </w:t>
      </w:r>
      <w:r w:rsidRPr="009070BD">
        <w:rPr>
          <w:b w:val="0"/>
          <w:lang w:val="en-US"/>
        </w:rPr>
        <w:t>վերաբերում</w:t>
      </w:r>
      <w:r w:rsidRPr="009070BD">
        <w:rPr>
          <w:b w:val="0"/>
          <w:lang w:val="af-ZA"/>
        </w:rPr>
        <w:t xml:space="preserve"> </w:t>
      </w:r>
      <w:r w:rsidRPr="009070BD">
        <w:rPr>
          <w:b w:val="0"/>
          <w:lang w:val="en-US"/>
        </w:rPr>
        <w:t>է</w:t>
      </w:r>
      <w:r w:rsidRPr="009070BD">
        <w:rPr>
          <w:b w:val="0"/>
          <w:lang w:val="af-ZA"/>
        </w:rPr>
        <w:t xml:space="preserve"> </w:t>
      </w:r>
      <w:r w:rsidRPr="009070BD">
        <w:rPr>
          <w:b w:val="0"/>
          <w:lang w:val="en-US"/>
        </w:rPr>
        <w:t>փորձաքննությունների</w:t>
      </w:r>
      <w:r w:rsidRPr="009070BD">
        <w:rPr>
          <w:b w:val="0"/>
          <w:lang w:val="af-ZA"/>
        </w:rPr>
        <w:t xml:space="preserve"> </w:t>
      </w:r>
      <w:r w:rsidRPr="009070BD">
        <w:rPr>
          <w:b w:val="0"/>
          <w:lang w:val="en-US"/>
        </w:rPr>
        <w:t>կանխատեսվող</w:t>
      </w:r>
      <w:r w:rsidRPr="009070BD">
        <w:rPr>
          <w:b w:val="0"/>
          <w:lang w:val="af-ZA"/>
        </w:rPr>
        <w:t xml:space="preserve"> </w:t>
      </w:r>
      <w:r w:rsidRPr="009070BD">
        <w:rPr>
          <w:b w:val="0"/>
          <w:lang w:val="en-US"/>
        </w:rPr>
        <w:t>քանակներին</w:t>
      </w:r>
      <w:r w:rsidRPr="009070BD">
        <w:rPr>
          <w:b w:val="0"/>
          <w:lang w:val="af-ZA"/>
        </w:rPr>
        <w:t xml:space="preserve">, </w:t>
      </w:r>
      <w:r w:rsidRPr="009070BD">
        <w:rPr>
          <w:b w:val="0"/>
          <w:lang w:val="en-US"/>
        </w:rPr>
        <w:t>ապա</w:t>
      </w:r>
      <w:r w:rsidRPr="009070BD">
        <w:rPr>
          <w:b w:val="0"/>
          <w:lang w:val="af-ZA"/>
        </w:rPr>
        <w:t xml:space="preserve"> </w:t>
      </w:r>
      <w:r w:rsidRPr="009070BD">
        <w:rPr>
          <w:b w:val="0"/>
          <w:lang w:val="en-US"/>
        </w:rPr>
        <w:t>հաշվի</w:t>
      </w:r>
      <w:r w:rsidRPr="009070BD">
        <w:rPr>
          <w:b w:val="0"/>
          <w:lang w:val="af-ZA"/>
        </w:rPr>
        <w:t xml:space="preserve"> </w:t>
      </w:r>
      <w:r w:rsidRPr="009070BD">
        <w:rPr>
          <w:b w:val="0"/>
          <w:lang w:val="en-US"/>
        </w:rPr>
        <w:t>են</w:t>
      </w:r>
      <w:r w:rsidRPr="009070BD">
        <w:rPr>
          <w:b w:val="0"/>
          <w:lang w:val="af-ZA"/>
        </w:rPr>
        <w:t xml:space="preserve"> </w:t>
      </w:r>
      <w:r w:rsidRPr="009070BD">
        <w:rPr>
          <w:b w:val="0"/>
          <w:lang w:val="en-US"/>
        </w:rPr>
        <w:t>առնվել</w:t>
      </w:r>
      <w:r w:rsidRPr="009070BD">
        <w:rPr>
          <w:b w:val="0"/>
          <w:lang w:val="af-ZA"/>
        </w:rPr>
        <w:t xml:space="preserve"> 2019 </w:t>
      </w:r>
      <w:r w:rsidRPr="009070BD">
        <w:rPr>
          <w:b w:val="0"/>
          <w:lang w:val="en-US"/>
        </w:rPr>
        <w:t>թվականի</w:t>
      </w:r>
      <w:r w:rsidRPr="009070BD">
        <w:rPr>
          <w:b w:val="0"/>
          <w:lang w:val="af-ZA"/>
        </w:rPr>
        <w:t xml:space="preserve"> </w:t>
      </w:r>
      <w:r w:rsidRPr="009070BD">
        <w:rPr>
          <w:b w:val="0"/>
          <w:lang w:val="en-US"/>
        </w:rPr>
        <w:t>և</w:t>
      </w:r>
      <w:r w:rsidRPr="009070BD">
        <w:rPr>
          <w:b w:val="0"/>
          <w:lang w:val="af-ZA"/>
        </w:rPr>
        <w:t xml:space="preserve"> 2020 </w:t>
      </w:r>
      <w:r w:rsidRPr="009070BD">
        <w:rPr>
          <w:b w:val="0"/>
          <w:lang w:val="en-US"/>
        </w:rPr>
        <w:t>թվականի</w:t>
      </w:r>
      <w:r w:rsidRPr="009070BD">
        <w:rPr>
          <w:b w:val="0"/>
          <w:lang w:val="af-ZA"/>
        </w:rPr>
        <w:t xml:space="preserve"> </w:t>
      </w:r>
      <w:r w:rsidRPr="009070BD">
        <w:rPr>
          <w:b w:val="0"/>
          <w:lang w:val="en-US"/>
        </w:rPr>
        <w:t>առաջին</w:t>
      </w:r>
      <w:r w:rsidRPr="009070BD">
        <w:rPr>
          <w:b w:val="0"/>
          <w:lang w:val="af-ZA"/>
        </w:rPr>
        <w:t xml:space="preserve"> </w:t>
      </w:r>
      <w:r w:rsidRPr="009070BD">
        <w:rPr>
          <w:b w:val="0"/>
          <w:lang w:val="en-US"/>
        </w:rPr>
        <w:t>եռամսյակի</w:t>
      </w:r>
      <w:r w:rsidRPr="009070BD">
        <w:rPr>
          <w:b w:val="0"/>
          <w:lang w:val="af-ZA"/>
        </w:rPr>
        <w:t xml:space="preserve"> </w:t>
      </w:r>
      <w:r w:rsidRPr="009070BD">
        <w:rPr>
          <w:b w:val="0"/>
          <w:lang w:val="en-US"/>
        </w:rPr>
        <w:t>ընթացքում</w:t>
      </w:r>
      <w:r w:rsidRPr="009070BD">
        <w:rPr>
          <w:b w:val="0"/>
          <w:lang w:val="af-ZA"/>
        </w:rPr>
        <w:t xml:space="preserve"> </w:t>
      </w:r>
      <w:r w:rsidRPr="009070BD">
        <w:rPr>
          <w:b w:val="0"/>
          <w:lang w:val="en-US"/>
        </w:rPr>
        <w:t>կատարված</w:t>
      </w:r>
      <w:r w:rsidRPr="009070BD">
        <w:rPr>
          <w:b w:val="0"/>
          <w:lang w:val="af-ZA"/>
        </w:rPr>
        <w:t xml:space="preserve"> </w:t>
      </w:r>
      <w:r w:rsidRPr="009070BD">
        <w:rPr>
          <w:b w:val="0"/>
          <w:lang w:val="en-US"/>
        </w:rPr>
        <w:t>դատական</w:t>
      </w:r>
      <w:r w:rsidRPr="009070BD">
        <w:rPr>
          <w:b w:val="0"/>
          <w:lang w:val="af-ZA"/>
        </w:rPr>
        <w:t xml:space="preserve"> </w:t>
      </w:r>
      <w:r w:rsidRPr="009070BD">
        <w:rPr>
          <w:b w:val="0"/>
          <w:lang w:val="en-US"/>
        </w:rPr>
        <w:t>փորձաքննությունների</w:t>
      </w:r>
      <w:r w:rsidRPr="009070BD">
        <w:rPr>
          <w:b w:val="0"/>
          <w:lang w:val="af-ZA"/>
        </w:rPr>
        <w:t xml:space="preserve"> </w:t>
      </w:r>
      <w:r w:rsidRPr="009070BD">
        <w:rPr>
          <w:b w:val="0"/>
          <w:lang w:val="en-US"/>
        </w:rPr>
        <w:t>քանակային</w:t>
      </w:r>
      <w:r w:rsidRPr="009070BD">
        <w:rPr>
          <w:b w:val="0"/>
          <w:lang w:val="af-ZA"/>
        </w:rPr>
        <w:t xml:space="preserve"> </w:t>
      </w:r>
      <w:r w:rsidRPr="009070BD">
        <w:rPr>
          <w:b w:val="0"/>
          <w:lang w:val="en-US"/>
        </w:rPr>
        <w:t>ցուցանիշների</w:t>
      </w:r>
      <w:r w:rsidRPr="009070BD">
        <w:rPr>
          <w:b w:val="0"/>
          <w:lang w:val="af-ZA"/>
        </w:rPr>
        <w:t xml:space="preserve"> </w:t>
      </w:r>
      <w:r w:rsidRPr="009070BD">
        <w:rPr>
          <w:b w:val="0"/>
          <w:lang w:val="en-US"/>
        </w:rPr>
        <w:t>վերլուծությունը</w:t>
      </w:r>
      <w:r w:rsidRPr="009070BD">
        <w:rPr>
          <w:b w:val="0"/>
          <w:lang w:val="af-ZA"/>
        </w:rPr>
        <w:t>:</w:t>
      </w:r>
    </w:p>
    <w:p w:rsidR="00B541B4" w:rsidRPr="009070BD" w:rsidRDefault="00B541B4" w:rsidP="007730AA">
      <w:pPr>
        <w:pStyle w:val="ListParagraph"/>
        <w:numPr>
          <w:ilvl w:val="0"/>
          <w:numId w:val="53"/>
        </w:numPr>
        <w:tabs>
          <w:tab w:val="left" w:pos="993"/>
        </w:tabs>
        <w:spacing w:before="0" w:line="276" w:lineRule="auto"/>
        <w:ind w:left="0" w:firstLine="567"/>
        <w:rPr>
          <w:b w:val="0"/>
          <w:szCs w:val="22"/>
          <w:lang w:val="af-ZA"/>
        </w:rPr>
      </w:pPr>
      <w:r w:rsidRPr="009070BD">
        <w:rPr>
          <w:b w:val="0"/>
          <w:szCs w:val="22"/>
          <w:lang w:val="af-ZA"/>
        </w:rPr>
        <w:t>«</w:t>
      </w:r>
      <w:r w:rsidRPr="009070BD">
        <w:rPr>
          <w:b w:val="0"/>
          <w:szCs w:val="22"/>
          <w:lang w:val="en-US"/>
        </w:rPr>
        <w:t>ՀՀ</w:t>
      </w:r>
      <w:r w:rsidRPr="009070BD">
        <w:rPr>
          <w:b w:val="0"/>
          <w:szCs w:val="22"/>
          <w:lang w:val="af-ZA"/>
        </w:rPr>
        <w:t xml:space="preserve"> </w:t>
      </w:r>
      <w:r w:rsidRPr="009070BD">
        <w:rPr>
          <w:b w:val="0"/>
          <w:szCs w:val="22"/>
          <w:lang w:val="en-US"/>
        </w:rPr>
        <w:t>պետական</w:t>
      </w:r>
      <w:r w:rsidRPr="009070BD">
        <w:rPr>
          <w:b w:val="0"/>
          <w:szCs w:val="22"/>
          <w:lang w:val="af-ZA"/>
        </w:rPr>
        <w:t xml:space="preserve"> </w:t>
      </w:r>
      <w:r w:rsidRPr="009070BD">
        <w:rPr>
          <w:b w:val="0"/>
          <w:szCs w:val="22"/>
          <w:lang w:val="en-US"/>
        </w:rPr>
        <w:t>եկամուտների</w:t>
      </w:r>
      <w:r w:rsidRPr="009070BD">
        <w:rPr>
          <w:b w:val="0"/>
          <w:szCs w:val="22"/>
          <w:lang w:val="af-ZA"/>
        </w:rPr>
        <w:t xml:space="preserve"> </w:t>
      </w:r>
      <w:r w:rsidRPr="009070BD">
        <w:rPr>
          <w:b w:val="0"/>
          <w:szCs w:val="22"/>
          <w:lang w:val="en-US"/>
        </w:rPr>
        <w:t>կոմիտեի</w:t>
      </w:r>
      <w:r w:rsidRPr="009070BD">
        <w:rPr>
          <w:b w:val="0"/>
          <w:szCs w:val="22"/>
          <w:lang w:val="af-ZA"/>
        </w:rPr>
        <w:t xml:space="preserve">  </w:t>
      </w:r>
      <w:r w:rsidRPr="009070BD">
        <w:rPr>
          <w:b w:val="0"/>
          <w:szCs w:val="22"/>
          <w:lang w:val="en-US"/>
        </w:rPr>
        <w:t>շենքային</w:t>
      </w:r>
      <w:r w:rsidRPr="009070BD">
        <w:rPr>
          <w:b w:val="0"/>
          <w:szCs w:val="22"/>
          <w:lang w:val="af-ZA"/>
        </w:rPr>
        <w:t xml:space="preserve"> </w:t>
      </w:r>
      <w:r w:rsidRPr="009070BD">
        <w:rPr>
          <w:b w:val="0"/>
          <w:szCs w:val="22"/>
          <w:lang w:val="en-US"/>
        </w:rPr>
        <w:t>ապահովվածության</w:t>
      </w:r>
      <w:r w:rsidRPr="009070BD">
        <w:rPr>
          <w:b w:val="0"/>
          <w:szCs w:val="22"/>
          <w:lang w:val="af-ZA"/>
        </w:rPr>
        <w:t xml:space="preserve"> </w:t>
      </w:r>
      <w:r w:rsidRPr="009070BD">
        <w:rPr>
          <w:b w:val="0"/>
          <w:szCs w:val="22"/>
          <w:lang w:val="en-US"/>
        </w:rPr>
        <w:t>բարելավում</w:t>
      </w:r>
      <w:r w:rsidRPr="009070BD">
        <w:rPr>
          <w:b w:val="0"/>
          <w:szCs w:val="22"/>
          <w:lang w:val="af-ZA"/>
        </w:rPr>
        <w:t xml:space="preserve">» </w:t>
      </w:r>
      <w:r w:rsidRPr="009070BD">
        <w:rPr>
          <w:b w:val="0"/>
          <w:szCs w:val="22"/>
          <w:lang w:val="en-US"/>
        </w:rPr>
        <w:t>միջոցառման</w:t>
      </w:r>
      <w:r w:rsidRPr="009070BD">
        <w:rPr>
          <w:b w:val="0"/>
          <w:szCs w:val="22"/>
          <w:lang w:val="af-ZA"/>
        </w:rPr>
        <w:t xml:space="preserve"> </w:t>
      </w:r>
      <w:r w:rsidRPr="009070BD">
        <w:rPr>
          <w:b w:val="0"/>
          <w:szCs w:val="22"/>
          <w:lang w:val="en-US"/>
        </w:rPr>
        <w:t>գծով՝</w:t>
      </w:r>
      <w:r w:rsidRPr="009070BD">
        <w:rPr>
          <w:b w:val="0"/>
          <w:szCs w:val="22"/>
          <w:lang w:val="af-ZA"/>
        </w:rPr>
        <w:t xml:space="preserve"> 7.1 մլն </w:t>
      </w:r>
      <w:r w:rsidRPr="009070BD">
        <w:rPr>
          <w:b w:val="0"/>
          <w:szCs w:val="22"/>
          <w:lang w:val="en-US"/>
        </w:rPr>
        <w:t>դրամ</w:t>
      </w:r>
      <w:r w:rsidRPr="009070BD">
        <w:rPr>
          <w:b w:val="0"/>
          <w:szCs w:val="22"/>
          <w:lang w:val="af-ZA"/>
        </w:rPr>
        <w:t xml:space="preserve">, որի շրջանակներում նախատեսվում է </w:t>
      </w:r>
      <w:r w:rsidRPr="009070BD">
        <w:rPr>
          <w:b w:val="0"/>
          <w:szCs w:val="22"/>
          <w:lang w:val="en-US"/>
        </w:rPr>
        <w:t>Կոմիտեի</w:t>
      </w:r>
      <w:r w:rsidRPr="009070BD">
        <w:rPr>
          <w:b w:val="0"/>
          <w:szCs w:val="22"/>
          <w:lang w:val="af-ZA"/>
        </w:rPr>
        <w:t xml:space="preserve"> </w:t>
      </w:r>
      <w:r w:rsidRPr="009070BD">
        <w:rPr>
          <w:b w:val="0"/>
          <w:szCs w:val="22"/>
          <w:lang w:val="en-US"/>
        </w:rPr>
        <w:t>թվով</w:t>
      </w:r>
      <w:r w:rsidRPr="009070BD">
        <w:rPr>
          <w:b w:val="0"/>
          <w:szCs w:val="22"/>
          <w:lang w:val="af-ZA"/>
        </w:rPr>
        <w:t xml:space="preserve"> 2 </w:t>
      </w:r>
      <w:r w:rsidRPr="009070BD">
        <w:rPr>
          <w:b w:val="0"/>
          <w:szCs w:val="22"/>
          <w:lang w:val="en-US"/>
        </w:rPr>
        <w:t>օբյեկտներում</w:t>
      </w:r>
      <w:r w:rsidRPr="009070BD">
        <w:rPr>
          <w:b w:val="0"/>
          <w:szCs w:val="22"/>
          <w:lang w:val="af-ZA"/>
        </w:rPr>
        <w:t xml:space="preserve"> </w:t>
      </w:r>
      <w:r w:rsidRPr="009070BD">
        <w:rPr>
          <w:b w:val="0"/>
          <w:szCs w:val="22"/>
          <w:lang w:val="en-US"/>
        </w:rPr>
        <w:t>ջրամատակարարման</w:t>
      </w:r>
      <w:r w:rsidRPr="009070BD">
        <w:rPr>
          <w:b w:val="0"/>
          <w:szCs w:val="22"/>
          <w:lang w:val="af-ZA"/>
        </w:rPr>
        <w:t xml:space="preserve"> </w:t>
      </w:r>
      <w:r w:rsidRPr="009070BD">
        <w:rPr>
          <w:b w:val="0"/>
          <w:szCs w:val="22"/>
          <w:lang w:val="en-US"/>
        </w:rPr>
        <w:t>և</w:t>
      </w:r>
      <w:r w:rsidRPr="009070BD">
        <w:rPr>
          <w:b w:val="0"/>
          <w:szCs w:val="22"/>
          <w:lang w:val="af-ZA"/>
        </w:rPr>
        <w:t xml:space="preserve"> </w:t>
      </w:r>
      <w:r w:rsidRPr="009070BD">
        <w:rPr>
          <w:b w:val="0"/>
          <w:szCs w:val="22"/>
          <w:lang w:val="en-US"/>
        </w:rPr>
        <w:t>ջրահեռացման</w:t>
      </w:r>
      <w:r w:rsidRPr="009070BD">
        <w:rPr>
          <w:b w:val="0"/>
          <w:szCs w:val="22"/>
          <w:lang w:val="af-ZA"/>
        </w:rPr>
        <w:t xml:space="preserve"> </w:t>
      </w:r>
      <w:r w:rsidRPr="009070BD">
        <w:rPr>
          <w:b w:val="0"/>
          <w:szCs w:val="22"/>
          <w:lang w:val="en-US"/>
        </w:rPr>
        <w:t>աշխատանքների</w:t>
      </w:r>
      <w:r w:rsidRPr="009070BD">
        <w:rPr>
          <w:b w:val="0"/>
          <w:szCs w:val="22"/>
          <w:lang w:val="af-ZA"/>
        </w:rPr>
        <w:t xml:space="preserve"> </w:t>
      </w:r>
      <w:r w:rsidRPr="009070BD">
        <w:rPr>
          <w:b w:val="0"/>
          <w:szCs w:val="22"/>
          <w:lang w:val="en-US"/>
        </w:rPr>
        <w:t>իրականացում</w:t>
      </w:r>
      <w:r w:rsidRPr="009070BD">
        <w:rPr>
          <w:b w:val="0"/>
          <w:szCs w:val="22"/>
          <w:lang w:val="af-ZA"/>
        </w:rPr>
        <w:t xml:space="preserve">: </w:t>
      </w:r>
    </w:p>
    <w:p w:rsidR="00B541B4" w:rsidRPr="009070BD" w:rsidRDefault="00B541B4" w:rsidP="007730AA">
      <w:pPr>
        <w:pStyle w:val="ListParagraph"/>
        <w:numPr>
          <w:ilvl w:val="0"/>
          <w:numId w:val="53"/>
        </w:numPr>
        <w:tabs>
          <w:tab w:val="left" w:pos="851"/>
        </w:tabs>
        <w:spacing w:before="0" w:line="276" w:lineRule="auto"/>
        <w:ind w:left="0" w:firstLine="567"/>
        <w:rPr>
          <w:b w:val="0"/>
          <w:szCs w:val="22"/>
          <w:lang w:val="af-ZA"/>
        </w:rPr>
      </w:pPr>
      <w:r w:rsidRPr="009070BD">
        <w:rPr>
          <w:b w:val="0"/>
          <w:szCs w:val="22"/>
          <w:lang w:val="af-ZA"/>
        </w:rPr>
        <w:t xml:space="preserve">  «</w:t>
      </w:r>
      <w:r w:rsidRPr="009070BD">
        <w:rPr>
          <w:b w:val="0"/>
          <w:szCs w:val="22"/>
          <w:lang w:val="en-US"/>
        </w:rPr>
        <w:t>ՀՀ</w:t>
      </w:r>
      <w:r w:rsidRPr="009070BD">
        <w:rPr>
          <w:b w:val="0"/>
          <w:szCs w:val="22"/>
          <w:lang w:val="af-ZA"/>
        </w:rPr>
        <w:t xml:space="preserve"> </w:t>
      </w:r>
      <w:r w:rsidRPr="009070BD">
        <w:rPr>
          <w:b w:val="0"/>
          <w:szCs w:val="22"/>
          <w:lang w:val="en-US"/>
        </w:rPr>
        <w:t>պետական</w:t>
      </w:r>
      <w:r w:rsidRPr="009070BD">
        <w:rPr>
          <w:b w:val="0"/>
          <w:szCs w:val="22"/>
          <w:lang w:val="af-ZA"/>
        </w:rPr>
        <w:t xml:space="preserve"> </w:t>
      </w:r>
      <w:r w:rsidRPr="009070BD">
        <w:rPr>
          <w:b w:val="0"/>
          <w:szCs w:val="22"/>
          <w:lang w:val="en-US"/>
        </w:rPr>
        <w:t>եկամուտների</w:t>
      </w:r>
      <w:r w:rsidRPr="009070BD">
        <w:rPr>
          <w:b w:val="0"/>
          <w:szCs w:val="22"/>
          <w:lang w:val="af-ZA"/>
        </w:rPr>
        <w:t xml:space="preserve"> </w:t>
      </w:r>
      <w:r w:rsidRPr="009070BD">
        <w:rPr>
          <w:b w:val="0"/>
          <w:szCs w:val="22"/>
          <w:lang w:val="en-US"/>
        </w:rPr>
        <w:t>կոմիտեի</w:t>
      </w:r>
      <w:r w:rsidRPr="009070BD">
        <w:rPr>
          <w:b w:val="0"/>
          <w:szCs w:val="22"/>
          <w:lang w:val="af-ZA"/>
        </w:rPr>
        <w:t xml:space="preserve"> </w:t>
      </w:r>
      <w:r w:rsidRPr="009070BD">
        <w:rPr>
          <w:b w:val="0"/>
          <w:szCs w:val="22"/>
          <w:lang w:val="en-US"/>
        </w:rPr>
        <w:t>շենքային</w:t>
      </w:r>
      <w:r w:rsidRPr="009070BD">
        <w:rPr>
          <w:b w:val="0"/>
          <w:szCs w:val="22"/>
          <w:lang w:val="af-ZA"/>
        </w:rPr>
        <w:t xml:space="preserve"> </w:t>
      </w:r>
      <w:r w:rsidRPr="009070BD">
        <w:rPr>
          <w:b w:val="0"/>
          <w:szCs w:val="22"/>
          <w:lang w:val="en-US"/>
        </w:rPr>
        <w:t>պայմանների</w:t>
      </w:r>
      <w:r w:rsidRPr="009070BD">
        <w:rPr>
          <w:b w:val="0"/>
          <w:szCs w:val="22"/>
          <w:lang w:val="af-ZA"/>
        </w:rPr>
        <w:t xml:space="preserve"> </w:t>
      </w:r>
      <w:r w:rsidRPr="009070BD">
        <w:rPr>
          <w:b w:val="0"/>
          <w:szCs w:val="22"/>
          <w:lang w:val="en-US"/>
        </w:rPr>
        <w:t>բարելավում</w:t>
      </w:r>
      <w:r w:rsidRPr="009070BD">
        <w:rPr>
          <w:b w:val="0"/>
          <w:szCs w:val="22"/>
          <w:lang w:val="af-ZA"/>
        </w:rPr>
        <w:t xml:space="preserve">» </w:t>
      </w:r>
      <w:r w:rsidRPr="009070BD">
        <w:rPr>
          <w:b w:val="0"/>
          <w:szCs w:val="22"/>
          <w:lang w:val="en-US"/>
        </w:rPr>
        <w:t>միջոցառ</w:t>
      </w:r>
      <w:r w:rsidRPr="009070BD">
        <w:rPr>
          <w:b w:val="0"/>
          <w:szCs w:val="22"/>
          <w:lang w:val="af-ZA"/>
        </w:rPr>
        <w:softHyphen/>
      </w:r>
      <w:r w:rsidRPr="009070BD">
        <w:rPr>
          <w:b w:val="0"/>
          <w:szCs w:val="22"/>
          <w:lang w:val="en-US"/>
        </w:rPr>
        <w:t>ման</w:t>
      </w:r>
      <w:r w:rsidRPr="009070BD">
        <w:rPr>
          <w:b w:val="0"/>
          <w:szCs w:val="22"/>
          <w:lang w:val="af-ZA"/>
        </w:rPr>
        <w:t xml:space="preserve"> գծով՝ 142.0 մլն </w:t>
      </w:r>
      <w:r w:rsidRPr="009070BD">
        <w:rPr>
          <w:b w:val="0"/>
          <w:szCs w:val="22"/>
          <w:lang w:val="en-US"/>
        </w:rPr>
        <w:t>դրամ</w:t>
      </w:r>
      <w:r w:rsidRPr="009070BD">
        <w:rPr>
          <w:b w:val="0"/>
          <w:szCs w:val="22"/>
          <w:lang w:val="af-ZA"/>
        </w:rPr>
        <w:t xml:space="preserve">: Նշված միջոցներն ուղղվելու են </w:t>
      </w:r>
      <w:r w:rsidRPr="009070BD">
        <w:rPr>
          <w:b w:val="0"/>
          <w:szCs w:val="22"/>
          <w:lang w:val="en-US"/>
        </w:rPr>
        <w:t>Կոմիտեի</w:t>
      </w:r>
      <w:r w:rsidRPr="009070BD">
        <w:rPr>
          <w:b w:val="0"/>
          <w:szCs w:val="22"/>
          <w:lang w:val="af-ZA"/>
        </w:rPr>
        <w:t xml:space="preserve"> </w:t>
      </w:r>
      <w:r w:rsidRPr="009070BD">
        <w:rPr>
          <w:b w:val="0"/>
          <w:szCs w:val="22"/>
          <w:lang w:val="en-US"/>
        </w:rPr>
        <w:t>թվով</w:t>
      </w:r>
      <w:r w:rsidRPr="009070BD">
        <w:rPr>
          <w:b w:val="0"/>
          <w:szCs w:val="22"/>
          <w:lang w:val="af-ZA"/>
        </w:rPr>
        <w:t xml:space="preserve"> 1 </w:t>
      </w:r>
      <w:r w:rsidRPr="009070BD">
        <w:rPr>
          <w:b w:val="0"/>
          <w:szCs w:val="22"/>
          <w:lang w:val="en-US"/>
        </w:rPr>
        <w:t>օբյեկտի</w:t>
      </w:r>
      <w:r w:rsidRPr="009070BD">
        <w:rPr>
          <w:b w:val="0"/>
          <w:szCs w:val="22"/>
          <w:lang w:val="af-ZA"/>
        </w:rPr>
        <w:t xml:space="preserve"> </w:t>
      </w:r>
      <w:r w:rsidRPr="009070BD">
        <w:rPr>
          <w:b w:val="0"/>
          <w:szCs w:val="22"/>
          <w:lang w:val="en-US"/>
        </w:rPr>
        <w:t>վերանորոգման</w:t>
      </w:r>
      <w:r w:rsidRPr="009070BD">
        <w:rPr>
          <w:b w:val="0"/>
          <w:szCs w:val="22"/>
          <w:lang w:val="af-ZA"/>
        </w:rPr>
        <w:t xml:space="preserve"> </w:t>
      </w:r>
      <w:r w:rsidRPr="009070BD">
        <w:rPr>
          <w:b w:val="0"/>
          <w:szCs w:val="22"/>
          <w:lang w:val="en-US"/>
        </w:rPr>
        <w:t>աշխատանքների</w:t>
      </w:r>
      <w:r w:rsidRPr="009070BD">
        <w:rPr>
          <w:b w:val="0"/>
          <w:szCs w:val="22"/>
          <w:lang w:val="af-ZA"/>
        </w:rPr>
        <w:t xml:space="preserve"> </w:t>
      </w:r>
      <w:r w:rsidRPr="009070BD">
        <w:rPr>
          <w:b w:val="0"/>
          <w:szCs w:val="22"/>
          <w:lang w:val="en-US"/>
        </w:rPr>
        <w:t>իրականացմանը</w:t>
      </w:r>
      <w:r w:rsidRPr="009070BD">
        <w:rPr>
          <w:b w:val="0"/>
          <w:szCs w:val="22"/>
          <w:lang w:val="af-ZA"/>
        </w:rPr>
        <w:t>:</w:t>
      </w:r>
    </w:p>
    <w:p w:rsidR="00B541B4" w:rsidRPr="009070BD" w:rsidRDefault="00B541B4" w:rsidP="007730AA">
      <w:pPr>
        <w:pStyle w:val="ListParagraph"/>
        <w:numPr>
          <w:ilvl w:val="0"/>
          <w:numId w:val="53"/>
        </w:numPr>
        <w:tabs>
          <w:tab w:val="left" w:pos="709"/>
          <w:tab w:val="left" w:pos="851"/>
        </w:tabs>
        <w:spacing w:before="0" w:line="276" w:lineRule="auto"/>
        <w:ind w:left="0" w:firstLine="567"/>
        <w:rPr>
          <w:b w:val="0"/>
          <w:szCs w:val="22"/>
          <w:lang w:val="af-ZA"/>
        </w:rPr>
      </w:pPr>
      <w:r w:rsidRPr="009070BD">
        <w:rPr>
          <w:b w:val="0"/>
          <w:szCs w:val="22"/>
          <w:lang w:val="af-ZA"/>
        </w:rPr>
        <w:t xml:space="preserve">  </w:t>
      </w:r>
      <w:r w:rsidRPr="009070BD">
        <w:rPr>
          <w:b w:val="0"/>
          <w:szCs w:val="22"/>
          <w:lang w:val="en-US"/>
        </w:rPr>
        <w:t>Վերակառուցման</w:t>
      </w:r>
      <w:r w:rsidRPr="009070BD">
        <w:rPr>
          <w:b w:val="0"/>
          <w:szCs w:val="22"/>
          <w:lang w:val="af-ZA"/>
        </w:rPr>
        <w:t xml:space="preserve"> </w:t>
      </w:r>
      <w:r w:rsidRPr="009070BD">
        <w:rPr>
          <w:b w:val="0"/>
          <w:szCs w:val="22"/>
          <w:lang w:val="en-US"/>
        </w:rPr>
        <w:t>և</w:t>
      </w:r>
      <w:r w:rsidRPr="009070BD">
        <w:rPr>
          <w:b w:val="0"/>
          <w:szCs w:val="22"/>
          <w:lang w:val="af-ZA"/>
        </w:rPr>
        <w:t xml:space="preserve"> </w:t>
      </w:r>
      <w:r w:rsidRPr="009070BD">
        <w:rPr>
          <w:b w:val="0"/>
          <w:szCs w:val="22"/>
          <w:lang w:val="en-US"/>
        </w:rPr>
        <w:t>զարգացման</w:t>
      </w:r>
      <w:r w:rsidRPr="009070BD">
        <w:rPr>
          <w:b w:val="0"/>
          <w:szCs w:val="22"/>
          <w:lang w:val="af-ZA"/>
        </w:rPr>
        <w:t xml:space="preserve"> </w:t>
      </w:r>
      <w:r w:rsidRPr="009070BD">
        <w:rPr>
          <w:b w:val="0"/>
          <w:szCs w:val="22"/>
          <w:lang w:val="en-US"/>
        </w:rPr>
        <w:t>եվրոպական</w:t>
      </w:r>
      <w:r w:rsidRPr="009070BD">
        <w:rPr>
          <w:b w:val="0"/>
          <w:szCs w:val="22"/>
          <w:lang w:val="af-ZA"/>
        </w:rPr>
        <w:t xml:space="preserve"> </w:t>
      </w:r>
      <w:r w:rsidRPr="009070BD">
        <w:rPr>
          <w:b w:val="0"/>
          <w:szCs w:val="22"/>
          <w:lang w:val="en-US"/>
        </w:rPr>
        <w:t>բանկի</w:t>
      </w:r>
      <w:r w:rsidRPr="009070BD">
        <w:rPr>
          <w:b w:val="0"/>
          <w:szCs w:val="22"/>
          <w:lang w:val="af-ZA"/>
        </w:rPr>
        <w:t xml:space="preserve"> </w:t>
      </w:r>
      <w:r w:rsidRPr="009070BD">
        <w:rPr>
          <w:b w:val="0"/>
          <w:szCs w:val="22"/>
          <w:lang w:val="en-US"/>
        </w:rPr>
        <w:t>աջակցությամբ</w:t>
      </w:r>
      <w:r w:rsidRPr="009070BD">
        <w:rPr>
          <w:b w:val="0"/>
          <w:szCs w:val="22"/>
          <w:lang w:val="af-ZA"/>
        </w:rPr>
        <w:t xml:space="preserve"> </w:t>
      </w:r>
      <w:r w:rsidRPr="009070BD">
        <w:rPr>
          <w:b w:val="0"/>
          <w:szCs w:val="22"/>
          <w:lang w:val="en-US"/>
        </w:rPr>
        <w:t>իրականացվող</w:t>
      </w:r>
      <w:r w:rsidRPr="009070BD">
        <w:rPr>
          <w:b w:val="0"/>
          <w:szCs w:val="22"/>
          <w:lang w:val="af-ZA"/>
        </w:rPr>
        <w:t xml:space="preserve"> «</w:t>
      </w:r>
      <w:r w:rsidRPr="009070BD">
        <w:rPr>
          <w:b w:val="0"/>
          <w:szCs w:val="22"/>
          <w:lang w:val="en-US"/>
        </w:rPr>
        <w:t>Մեղրիի</w:t>
      </w:r>
      <w:r w:rsidRPr="009070BD">
        <w:rPr>
          <w:b w:val="0"/>
          <w:szCs w:val="22"/>
          <w:lang w:val="af-ZA"/>
        </w:rPr>
        <w:t xml:space="preserve"> </w:t>
      </w:r>
      <w:r w:rsidRPr="009070BD">
        <w:rPr>
          <w:b w:val="0"/>
          <w:szCs w:val="22"/>
          <w:lang w:val="en-US"/>
        </w:rPr>
        <w:t>սահմանային</w:t>
      </w:r>
      <w:r w:rsidRPr="009070BD">
        <w:rPr>
          <w:b w:val="0"/>
          <w:szCs w:val="22"/>
          <w:lang w:val="af-ZA"/>
        </w:rPr>
        <w:t xml:space="preserve"> </w:t>
      </w:r>
      <w:r w:rsidRPr="009070BD">
        <w:rPr>
          <w:b w:val="0"/>
          <w:szCs w:val="22"/>
          <w:lang w:val="en-US"/>
        </w:rPr>
        <w:t>անցակետի</w:t>
      </w:r>
      <w:r w:rsidRPr="009070BD">
        <w:rPr>
          <w:b w:val="0"/>
          <w:szCs w:val="22"/>
          <w:lang w:val="af-ZA"/>
        </w:rPr>
        <w:t xml:space="preserve"> </w:t>
      </w:r>
      <w:r w:rsidRPr="009070BD">
        <w:rPr>
          <w:b w:val="0"/>
          <w:szCs w:val="22"/>
          <w:lang w:val="en-US"/>
        </w:rPr>
        <w:t>ծրագիր</w:t>
      </w:r>
      <w:r w:rsidRPr="009070BD">
        <w:rPr>
          <w:b w:val="0"/>
          <w:szCs w:val="22"/>
          <w:lang w:val="af-ZA"/>
        </w:rPr>
        <w:t xml:space="preserve">» </w:t>
      </w:r>
      <w:r w:rsidRPr="009070BD">
        <w:rPr>
          <w:b w:val="0"/>
          <w:szCs w:val="22"/>
          <w:lang w:val="en-US"/>
        </w:rPr>
        <w:t>վարկային</w:t>
      </w:r>
      <w:r w:rsidRPr="009070BD">
        <w:rPr>
          <w:b w:val="0"/>
          <w:szCs w:val="22"/>
          <w:lang w:val="af-ZA"/>
        </w:rPr>
        <w:t xml:space="preserve"> </w:t>
      </w:r>
      <w:r w:rsidRPr="009070BD">
        <w:rPr>
          <w:b w:val="0"/>
          <w:szCs w:val="22"/>
          <w:lang w:val="en-US"/>
        </w:rPr>
        <w:t>ծրագրի</w:t>
      </w:r>
      <w:r w:rsidRPr="009070BD">
        <w:rPr>
          <w:b w:val="0"/>
          <w:szCs w:val="22"/>
          <w:lang w:val="af-ZA"/>
        </w:rPr>
        <w:t xml:space="preserve"> </w:t>
      </w:r>
      <w:r w:rsidRPr="009070BD">
        <w:rPr>
          <w:b w:val="0"/>
          <w:szCs w:val="22"/>
          <w:lang w:val="en-US"/>
        </w:rPr>
        <w:t>շրջանակներում</w:t>
      </w:r>
      <w:r w:rsidRPr="009070BD">
        <w:rPr>
          <w:b w:val="0"/>
          <w:szCs w:val="22"/>
          <w:lang w:val="af-ZA"/>
        </w:rPr>
        <w:t xml:space="preserve"> նախատեսվում է ՀՀ պետական եկամուտների կոմիտեի նոր շենքային պայմանների ապահովում</w:t>
      </w:r>
      <w:r w:rsidRPr="009070BD">
        <w:rPr>
          <w:b w:val="0"/>
          <w:szCs w:val="22"/>
          <w:lang w:val="en-US"/>
        </w:rPr>
        <w:t>՝</w:t>
      </w:r>
      <w:r w:rsidRPr="009070BD">
        <w:rPr>
          <w:b w:val="0"/>
          <w:szCs w:val="22"/>
          <w:lang w:val="af-ZA"/>
        </w:rPr>
        <w:t xml:space="preserve"> 1,</w:t>
      </w:r>
      <w:r w:rsidR="00132EB6">
        <w:rPr>
          <w:b w:val="0"/>
          <w:szCs w:val="22"/>
          <w:lang w:val="af-ZA"/>
        </w:rPr>
        <w:t>613.3</w:t>
      </w:r>
      <w:r w:rsidRPr="009070BD">
        <w:rPr>
          <w:b w:val="0"/>
          <w:szCs w:val="22"/>
          <w:lang w:val="af-ZA"/>
        </w:rPr>
        <w:t xml:space="preserve"> </w:t>
      </w:r>
      <w:r w:rsidRPr="009070BD">
        <w:rPr>
          <w:b w:val="0"/>
          <w:szCs w:val="22"/>
          <w:lang w:val="en-US"/>
        </w:rPr>
        <w:t>մլն</w:t>
      </w:r>
      <w:r w:rsidRPr="009070BD">
        <w:rPr>
          <w:b w:val="0"/>
          <w:szCs w:val="22"/>
          <w:lang w:val="af-ZA"/>
        </w:rPr>
        <w:t xml:space="preserve"> </w:t>
      </w:r>
      <w:r w:rsidRPr="009070BD">
        <w:rPr>
          <w:b w:val="0"/>
          <w:szCs w:val="22"/>
          <w:lang w:val="en-US"/>
        </w:rPr>
        <w:t>դրամ</w:t>
      </w:r>
      <w:r w:rsidRPr="009070BD">
        <w:rPr>
          <w:b w:val="0"/>
          <w:szCs w:val="22"/>
          <w:lang w:val="af-ZA"/>
        </w:rPr>
        <w:t xml:space="preserve">, </w:t>
      </w:r>
      <w:r w:rsidRPr="009070BD">
        <w:rPr>
          <w:b w:val="0"/>
          <w:szCs w:val="22"/>
          <w:lang w:val="en-US"/>
        </w:rPr>
        <w:t>այդ</w:t>
      </w:r>
      <w:r w:rsidRPr="009070BD">
        <w:rPr>
          <w:b w:val="0"/>
          <w:szCs w:val="22"/>
          <w:lang w:val="af-ZA"/>
        </w:rPr>
        <w:t xml:space="preserve"> </w:t>
      </w:r>
      <w:r w:rsidRPr="009070BD">
        <w:rPr>
          <w:b w:val="0"/>
          <w:szCs w:val="22"/>
          <w:lang w:val="en-US"/>
        </w:rPr>
        <w:t>թվում</w:t>
      </w:r>
      <w:r w:rsidRPr="009070BD">
        <w:rPr>
          <w:b w:val="0"/>
          <w:szCs w:val="22"/>
          <w:lang w:val="af-ZA"/>
        </w:rPr>
        <w:t xml:space="preserve"> </w:t>
      </w:r>
      <w:r w:rsidRPr="009070BD">
        <w:rPr>
          <w:b w:val="0"/>
          <w:szCs w:val="22"/>
          <w:lang w:val="en-US"/>
        </w:rPr>
        <w:t>վարկային</w:t>
      </w:r>
      <w:r w:rsidRPr="009070BD">
        <w:rPr>
          <w:b w:val="0"/>
          <w:szCs w:val="22"/>
          <w:lang w:val="af-ZA"/>
        </w:rPr>
        <w:t xml:space="preserve"> </w:t>
      </w:r>
      <w:r w:rsidRPr="009070BD">
        <w:rPr>
          <w:b w:val="0"/>
          <w:szCs w:val="22"/>
          <w:lang w:val="en-US"/>
        </w:rPr>
        <w:t>միջոցներ</w:t>
      </w:r>
      <w:r w:rsidRPr="009070BD">
        <w:rPr>
          <w:b w:val="0"/>
          <w:szCs w:val="22"/>
          <w:lang w:val="af-ZA"/>
        </w:rPr>
        <w:t>` 1,</w:t>
      </w:r>
      <w:r w:rsidR="00132EB6">
        <w:rPr>
          <w:b w:val="0"/>
          <w:szCs w:val="22"/>
          <w:lang w:val="af-ZA"/>
        </w:rPr>
        <w:t>344.5</w:t>
      </w:r>
      <w:r w:rsidRPr="009070BD">
        <w:rPr>
          <w:b w:val="0"/>
          <w:szCs w:val="22"/>
          <w:lang w:val="af-ZA"/>
        </w:rPr>
        <w:t xml:space="preserve"> </w:t>
      </w:r>
      <w:r w:rsidRPr="009070BD">
        <w:rPr>
          <w:b w:val="0"/>
          <w:szCs w:val="22"/>
          <w:lang w:val="en-US"/>
        </w:rPr>
        <w:t>մլն</w:t>
      </w:r>
      <w:r w:rsidRPr="009070BD">
        <w:rPr>
          <w:b w:val="0"/>
          <w:szCs w:val="22"/>
          <w:lang w:val="af-ZA"/>
        </w:rPr>
        <w:t xml:space="preserve"> </w:t>
      </w:r>
      <w:r w:rsidRPr="009070BD">
        <w:rPr>
          <w:b w:val="0"/>
          <w:szCs w:val="22"/>
          <w:lang w:val="en-US"/>
        </w:rPr>
        <w:t>դրամ</w:t>
      </w:r>
      <w:r w:rsidRPr="009070BD">
        <w:rPr>
          <w:b w:val="0"/>
          <w:szCs w:val="22"/>
          <w:lang w:val="af-ZA"/>
        </w:rPr>
        <w:t xml:space="preserve">, </w:t>
      </w:r>
      <w:r w:rsidRPr="009070BD">
        <w:rPr>
          <w:b w:val="0"/>
          <w:szCs w:val="22"/>
          <w:lang w:val="en-US"/>
        </w:rPr>
        <w:t>ՀՀ</w:t>
      </w:r>
      <w:r w:rsidRPr="009070BD">
        <w:rPr>
          <w:b w:val="0"/>
          <w:szCs w:val="22"/>
          <w:lang w:val="af-ZA"/>
        </w:rPr>
        <w:t xml:space="preserve"> </w:t>
      </w:r>
      <w:r w:rsidRPr="009070BD">
        <w:rPr>
          <w:b w:val="0"/>
          <w:szCs w:val="22"/>
          <w:lang w:val="en-US"/>
        </w:rPr>
        <w:t>համաֆինանսավորում</w:t>
      </w:r>
      <w:r w:rsidRPr="009070BD">
        <w:rPr>
          <w:b w:val="0"/>
          <w:szCs w:val="22"/>
          <w:lang w:val="af-ZA"/>
        </w:rPr>
        <w:t xml:space="preserve">` </w:t>
      </w:r>
      <w:r w:rsidR="00132EB6">
        <w:rPr>
          <w:b w:val="0"/>
          <w:szCs w:val="22"/>
          <w:lang w:val="af-ZA"/>
        </w:rPr>
        <w:t>268.8</w:t>
      </w:r>
      <w:r w:rsidRPr="009070BD">
        <w:rPr>
          <w:b w:val="0"/>
          <w:szCs w:val="22"/>
          <w:lang w:val="af-ZA"/>
        </w:rPr>
        <w:t xml:space="preserve"> </w:t>
      </w:r>
      <w:r w:rsidRPr="009070BD">
        <w:rPr>
          <w:b w:val="0"/>
          <w:szCs w:val="22"/>
          <w:lang w:val="en-US"/>
        </w:rPr>
        <w:t>մլն</w:t>
      </w:r>
      <w:r w:rsidRPr="009070BD">
        <w:rPr>
          <w:b w:val="0"/>
          <w:szCs w:val="22"/>
          <w:lang w:val="af-ZA"/>
        </w:rPr>
        <w:t xml:space="preserve"> </w:t>
      </w:r>
      <w:r w:rsidRPr="009070BD">
        <w:rPr>
          <w:b w:val="0"/>
          <w:szCs w:val="22"/>
          <w:lang w:val="en-US"/>
        </w:rPr>
        <w:t>դրամ</w:t>
      </w:r>
      <w:r w:rsidRPr="009070BD">
        <w:rPr>
          <w:b w:val="0"/>
          <w:szCs w:val="22"/>
          <w:lang w:val="af-ZA"/>
        </w:rPr>
        <w:t>:</w:t>
      </w:r>
    </w:p>
    <w:p w:rsidR="00B541B4" w:rsidRPr="009070BD" w:rsidRDefault="00B541B4" w:rsidP="007730AA">
      <w:pPr>
        <w:pStyle w:val="ListParagraph"/>
        <w:numPr>
          <w:ilvl w:val="0"/>
          <w:numId w:val="53"/>
        </w:numPr>
        <w:tabs>
          <w:tab w:val="left" w:pos="851"/>
          <w:tab w:val="left" w:pos="1134"/>
        </w:tabs>
        <w:spacing w:before="0" w:line="276" w:lineRule="auto"/>
        <w:ind w:left="0" w:firstLine="567"/>
        <w:rPr>
          <w:b w:val="0"/>
          <w:szCs w:val="22"/>
          <w:lang w:val="af-ZA"/>
        </w:rPr>
      </w:pPr>
      <w:r w:rsidRPr="009070BD">
        <w:rPr>
          <w:b w:val="0"/>
          <w:szCs w:val="22"/>
          <w:lang w:val="af-ZA"/>
        </w:rPr>
        <w:t xml:space="preserve">   Վերը նշված՝ </w:t>
      </w:r>
      <w:r w:rsidRPr="009070BD">
        <w:rPr>
          <w:b w:val="0"/>
          <w:szCs w:val="22"/>
          <w:lang w:val="en-US"/>
        </w:rPr>
        <w:t>Վերակառուցման</w:t>
      </w:r>
      <w:r w:rsidRPr="009070BD">
        <w:rPr>
          <w:b w:val="0"/>
          <w:szCs w:val="22"/>
          <w:lang w:val="af-ZA"/>
        </w:rPr>
        <w:t xml:space="preserve"> </w:t>
      </w:r>
      <w:r w:rsidRPr="009070BD">
        <w:rPr>
          <w:b w:val="0"/>
          <w:szCs w:val="22"/>
          <w:lang w:val="en-US"/>
        </w:rPr>
        <w:t>և</w:t>
      </w:r>
      <w:r w:rsidRPr="009070BD">
        <w:rPr>
          <w:b w:val="0"/>
          <w:szCs w:val="22"/>
          <w:lang w:val="af-ZA"/>
        </w:rPr>
        <w:t xml:space="preserve"> </w:t>
      </w:r>
      <w:r w:rsidRPr="009070BD">
        <w:rPr>
          <w:b w:val="0"/>
          <w:szCs w:val="22"/>
          <w:lang w:val="en-US"/>
        </w:rPr>
        <w:t>զարգացման</w:t>
      </w:r>
      <w:r w:rsidRPr="009070BD">
        <w:rPr>
          <w:b w:val="0"/>
          <w:szCs w:val="22"/>
          <w:lang w:val="af-ZA"/>
        </w:rPr>
        <w:t xml:space="preserve"> </w:t>
      </w:r>
      <w:r w:rsidRPr="009070BD">
        <w:rPr>
          <w:b w:val="0"/>
          <w:szCs w:val="22"/>
          <w:lang w:val="en-US"/>
        </w:rPr>
        <w:t>եվրոպական</w:t>
      </w:r>
      <w:r w:rsidRPr="009070BD">
        <w:rPr>
          <w:b w:val="0"/>
          <w:szCs w:val="22"/>
          <w:lang w:val="af-ZA"/>
        </w:rPr>
        <w:t xml:space="preserve"> </w:t>
      </w:r>
      <w:r w:rsidRPr="009070BD">
        <w:rPr>
          <w:b w:val="0"/>
          <w:szCs w:val="22"/>
          <w:lang w:val="en-US"/>
        </w:rPr>
        <w:t>բանկի</w:t>
      </w:r>
      <w:r w:rsidRPr="009070BD">
        <w:rPr>
          <w:b w:val="0"/>
          <w:szCs w:val="22"/>
          <w:lang w:val="af-ZA"/>
        </w:rPr>
        <w:t xml:space="preserve"> </w:t>
      </w:r>
      <w:r w:rsidRPr="009070BD">
        <w:rPr>
          <w:b w:val="0"/>
          <w:szCs w:val="22"/>
          <w:lang w:val="en-US"/>
        </w:rPr>
        <w:t>աջակցությամբ</w:t>
      </w:r>
      <w:r w:rsidRPr="009070BD">
        <w:rPr>
          <w:b w:val="0"/>
          <w:szCs w:val="22"/>
          <w:lang w:val="af-ZA"/>
        </w:rPr>
        <w:t xml:space="preserve"> </w:t>
      </w:r>
      <w:r w:rsidRPr="009070BD">
        <w:rPr>
          <w:b w:val="0"/>
          <w:szCs w:val="22"/>
          <w:lang w:val="en-US"/>
        </w:rPr>
        <w:t>իրականացվող</w:t>
      </w:r>
      <w:r w:rsidRPr="009070BD">
        <w:rPr>
          <w:b w:val="0"/>
          <w:szCs w:val="22"/>
          <w:lang w:val="af-ZA"/>
        </w:rPr>
        <w:t xml:space="preserve"> «</w:t>
      </w:r>
      <w:r w:rsidRPr="009070BD">
        <w:rPr>
          <w:b w:val="0"/>
          <w:szCs w:val="22"/>
          <w:lang w:val="en-US"/>
        </w:rPr>
        <w:t>Մեղրիի</w:t>
      </w:r>
      <w:r w:rsidRPr="009070BD">
        <w:rPr>
          <w:b w:val="0"/>
          <w:szCs w:val="22"/>
          <w:lang w:val="af-ZA"/>
        </w:rPr>
        <w:t xml:space="preserve"> </w:t>
      </w:r>
      <w:r w:rsidRPr="009070BD">
        <w:rPr>
          <w:b w:val="0"/>
          <w:szCs w:val="22"/>
          <w:lang w:val="en-US"/>
        </w:rPr>
        <w:t>սահմանային</w:t>
      </w:r>
      <w:r w:rsidRPr="009070BD">
        <w:rPr>
          <w:b w:val="0"/>
          <w:szCs w:val="22"/>
          <w:lang w:val="af-ZA"/>
        </w:rPr>
        <w:t xml:space="preserve"> </w:t>
      </w:r>
      <w:r w:rsidRPr="009070BD">
        <w:rPr>
          <w:b w:val="0"/>
          <w:szCs w:val="22"/>
          <w:lang w:val="en-US"/>
        </w:rPr>
        <w:t>անցակետի</w:t>
      </w:r>
      <w:r w:rsidRPr="009070BD">
        <w:rPr>
          <w:b w:val="0"/>
          <w:szCs w:val="22"/>
          <w:lang w:val="af-ZA"/>
        </w:rPr>
        <w:t xml:space="preserve"> </w:t>
      </w:r>
      <w:r w:rsidRPr="009070BD">
        <w:rPr>
          <w:b w:val="0"/>
          <w:szCs w:val="22"/>
          <w:lang w:val="en-US"/>
        </w:rPr>
        <w:t>ծրագիր</w:t>
      </w:r>
      <w:r w:rsidRPr="009070BD">
        <w:rPr>
          <w:b w:val="0"/>
          <w:szCs w:val="22"/>
          <w:lang w:val="af-ZA"/>
        </w:rPr>
        <w:t xml:space="preserve">»-ը նախատեսվում է նաև </w:t>
      </w:r>
      <w:r w:rsidRPr="009070BD">
        <w:rPr>
          <w:b w:val="0"/>
          <w:szCs w:val="22"/>
          <w:lang w:val="en-US"/>
        </w:rPr>
        <w:t>դրամաշնորհային</w:t>
      </w:r>
      <w:r w:rsidRPr="009070BD">
        <w:rPr>
          <w:b w:val="0"/>
          <w:szCs w:val="22"/>
          <w:lang w:val="af-ZA"/>
        </w:rPr>
        <w:t xml:space="preserve"> </w:t>
      </w:r>
      <w:r w:rsidRPr="009070BD">
        <w:rPr>
          <w:b w:val="0"/>
          <w:szCs w:val="22"/>
          <w:lang w:val="en-US"/>
        </w:rPr>
        <w:t>ծրագրի</w:t>
      </w:r>
      <w:r w:rsidRPr="009070BD">
        <w:rPr>
          <w:b w:val="0"/>
          <w:szCs w:val="22"/>
          <w:lang w:val="af-ZA"/>
        </w:rPr>
        <w:t xml:space="preserve"> </w:t>
      </w:r>
      <w:r w:rsidRPr="009070BD">
        <w:rPr>
          <w:b w:val="0"/>
          <w:szCs w:val="22"/>
          <w:lang w:val="en-US"/>
        </w:rPr>
        <w:t>շրջանակներում</w:t>
      </w:r>
      <w:r w:rsidRPr="009070BD">
        <w:rPr>
          <w:b w:val="0"/>
          <w:szCs w:val="22"/>
          <w:lang w:val="af-ZA"/>
        </w:rPr>
        <w:t>՝ 1,7</w:t>
      </w:r>
      <w:r w:rsidR="00132EB6">
        <w:rPr>
          <w:b w:val="0"/>
          <w:szCs w:val="22"/>
          <w:lang w:val="af-ZA"/>
        </w:rPr>
        <w:t>47</w:t>
      </w:r>
      <w:r w:rsidRPr="009070BD">
        <w:rPr>
          <w:b w:val="0"/>
          <w:szCs w:val="22"/>
          <w:lang w:val="af-ZA"/>
        </w:rPr>
        <w:t xml:space="preserve">.5 </w:t>
      </w:r>
      <w:r w:rsidRPr="009070BD">
        <w:rPr>
          <w:b w:val="0"/>
          <w:szCs w:val="22"/>
          <w:lang w:val="en-US"/>
        </w:rPr>
        <w:t>մլն</w:t>
      </w:r>
      <w:r w:rsidRPr="009070BD">
        <w:rPr>
          <w:b w:val="0"/>
          <w:szCs w:val="22"/>
          <w:lang w:val="af-ZA"/>
        </w:rPr>
        <w:t xml:space="preserve"> </w:t>
      </w:r>
      <w:r w:rsidRPr="009070BD">
        <w:rPr>
          <w:b w:val="0"/>
          <w:szCs w:val="22"/>
          <w:lang w:val="en-US"/>
        </w:rPr>
        <w:t>դրամ</w:t>
      </w:r>
      <w:r w:rsidRPr="009070BD">
        <w:rPr>
          <w:b w:val="0"/>
          <w:szCs w:val="22"/>
          <w:lang w:val="af-ZA"/>
        </w:rPr>
        <w:t xml:space="preserve">, </w:t>
      </w:r>
      <w:r w:rsidRPr="009070BD">
        <w:rPr>
          <w:b w:val="0"/>
          <w:szCs w:val="22"/>
          <w:lang w:val="en-US"/>
        </w:rPr>
        <w:t>այդ</w:t>
      </w:r>
      <w:r w:rsidRPr="009070BD">
        <w:rPr>
          <w:b w:val="0"/>
          <w:szCs w:val="22"/>
          <w:lang w:val="af-ZA"/>
        </w:rPr>
        <w:t xml:space="preserve"> </w:t>
      </w:r>
      <w:r w:rsidRPr="009070BD">
        <w:rPr>
          <w:b w:val="0"/>
          <w:szCs w:val="22"/>
          <w:lang w:val="en-US"/>
        </w:rPr>
        <w:t>թվում</w:t>
      </w:r>
      <w:r w:rsidRPr="009070BD">
        <w:rPr>
          <w:b w:val="0"/>
          <w:szCs w:val="22"/>
          <w:lang w:val="af-ZA"/>
        </w:rPr>
        <w:t xml:space="preserve"> </w:t>
      </w:r>
      <w:r w:rsidRPr="009070BD">
        <w:rPr>
          <w:b w:val="0"/>
          <w:szCs w:val="22"/>
          <w:lang w:val="en-US"/>
        </w:rPr>
        <w:t>դրամաշնորհային</w:t>
      </w:r>
      <w:r w:rsidRPr="009070BD">
        <w:rPr>
          <w:b w:val="0"/>
          <w:szCs w:val="22"/>
          <w:lang w:val="af-ZA"/>
        </w:rPr>
        <w:t xml:space="preserve"> </w:t>
      </w:r>
      <w:r w:rsidRPr="009070BD">
        <w:rPr>
          <w:b w:val="0"/>
          <w:szCs w:val="22"/>
          <w:lang w:val="en-US"/>
        </w:rPr>
        <w:t>միջոցներ</w:t>
      </w:r>
      <w:r w:rsidRPr="009070BD">
        <w:rPr>
          <w:b w:val="0"/>
          <w:szCs w:val="22"/>
          <w:lang w:val="af-ZA"/>
        </w:rPr>
        <w:t>` 1,4</w:t>
      </w:r>
      <w:r w:rsidR="00132EB6">
        <w:rPr>
          <w:b w:val="0"/>
          <w:szCs w:val="22"/>
          <w:lang w:val="af-ZA"/>
        </w:rPr>
        <w:t>56.2</w:t>
      </w:r>
      <w:r w:rsidRPr="009070BD">
        <w:rPr>
          <w:b w:val="0"/>
          <w:szCs w:val="22"/>
          <w:lang w:val="af-ZA"/>
        </w:rPr>
        <w:t xml:space="preserve"> </w:t>
      </w:r>
      <w:r w:rsidRPr="009070BD">
        <w:rPr>
          <w:b w:val="0"/>
          <w:szCs w:val="22"/>
          <w:lang w:val="en-US"/>
        </w:rPr>
        <w:t>մլն</w:t>
      </w:r>
      <w:r w:rsidRPr="009070BD">
        <w:rPr>
          <w:b w:val="0"/>
          <w:szCs w:val="22"/>
          <w:lang w:val="af-ZA"/>
        </w:rPr>
        <w:t xml:space="preserve"> </w:t>
      </w:r>
      <w:r w:rsidRPr="009070BD">
        <w:rPr>
          <w:b w:val="0"/>
          <w:szCs w:val="22"/>
          <w:lang w:val="en-US"/>
        </w:rPr>
        <w:t>դրամ</w:t>
      </w:r>
      <w:r w:rsidRPr="009070BD">
        <w:rPr>
          <w:b w:val="0"/>
          <w:szCs w:val="22"/>
          <w:lang w:val="af-ZA"/>
        </w:rPr>
        <w:t xml:space="preserve">, </w:t>
      </w:r>
      <w:r w:rsidRPr="009070BD">
        <w:rPr>
          <w:b w:val="0"/>
          <w:szCs w:val="22"/>
          <w:lang w:val="en-US"/>
        </w:rPr>
        <w:t>ՀՀ</w:t>
      </w:r>
      <w:r w:rsidRPr="009070BD">
        <w:rPr>
          <w:b w:val="0"/>
          <w:szCs w:val="22"/>
          <w:lang w:val="af-ZA"/>
        </w:rPr>
        <w:t xml:space="preserve"> </w:t>
      </w:r>
      <w:r w:rsidRPr="009070BD">
        <w:rPr>
          <w:b w:val="0"/>
          <w:szCs w:val="22"/>
          <w:lang w:val="en-US"/>
        </w:rPr>
        <w:t>համաֆինանսավորում</w:t>
      </w:r>
      <w:r w:rsidRPr="009070BD">
        <w:rPr>
          <w:b w:val="0"/>
          <w:szCs w:val="22"/>
          <w:lang w:val="af-ZA"/>
        </w:rPr>
        <w:t xml:space="preserve">` </w:t>
      </w:r>
      <w:r w:rsidR="00132EB6">
        <w:rPr>
          <w:b w:val="0"/>
          <w:szCs w:val="22"/>
          <w:lang w:val="af-ZA"/>
        </w:rPr>
        <w:t>291.3</w:t>
      </w:r>
      <w:r w:rsidRPr="009070BD">
        <w:rPr>
          <w:b w:val="0"/>
          <w:szCs w:val="22"/>
          <w:lang w:val="af-ZA"/>
        </w:rPr>
        <w:t xml:space="preserve"> </w:t>
      </w:r>
      <w:r w:rsidRPr="009070BD">
        <w:rPr>
          <w:b w:val="0"/>
          <w:szCs w:val="22"/>
          <w:lang w:val="en-US"/>
        </w:rPr>
        <w:t>մլն</w:t>
      </w:r>
      <w:r w:rsidRPr="009070BD">
        <w:rPr>
          <w:b w:val="0"/>
          <w:szCs w:val="22"/>
          <w:lang w:val="af-ZA"/>
        </w:rPr>
        <w:t xml:space="preserve"> </w:t>
      </w:r>
      <w:r w:rsidRPr="009070BD">
        <w:rPr>
          <w:b w:val="0"/>
          <w:szCs w:val="22"/>
          <w:lang w:val="en-US"/>
        </w:rPr>
        <w:t>դրամ</w:t>
      </w:r>
      <w:r w:rsidRPr="009070BD">
        <w:rPr>
          <w:b w:val="0"/>
          <w:szCs w:val="22"/>
          <w:lang w:val="af-ZA"/>
        </w:rPr>
        <w:t>:</w:t>
      </w:r>
    </w:p>
    <w:p w:rsidR="007C6CB5" w:rsidRPr="007C6CB5" w:rsidRDefault="007C6CB5" w:rsidP="007730AA">
      <w:pPr>
        <w:tabs>
          <w:tab w:val="left" w:pos="993"/>
        </w:tabs>
        <w:spacing w:before="0" w:line="276" w:lineRule="auto"/>
        <w:ind w:firstLine="720"/>
        <w:contextualSpacing w:val="0"/>
        <w:rPr>
          <w:b w:val="0"/>
          <w:lang w:val="hy-AM"/>
        </w:rPr>
      </w:pPr>
      <w:r w:rsidRPr="009070BD">
        <w:rPr>
          <w:b w:val="0"/>
          <w:szCs w:val="22"/>
          <w:lang w:val="en-US"/>
        </w:rPr>
        <w:t>ՀՀ</w:t>
      </w:r>
      <w:r w:rsidRPr="009070BD">
        <w:rPr>
          <w:b w:val="0"/>
          <w:szCs w:val="22"/>
          <w:lang w:val="af-ZA"/>
        </w:rPr>
        <w:t xml:space="preserve"> </w:t>
      </w:r>
      <w:r w:rsidRPr="009070BD">
        <w:rPr>
          <w:b w:val="0"/>
          <w:szCs w:val="22"/>
          <w:lang w:val="hy-AM"/>
        </w:rPr>
        <w:t>պետական եկամուտների</w:t>
      </w:r>
      <w:r w:rsidRPr="009070BD">
        <w:rPr>
          <w:b w:val="0"/>
          <w:szCs w:val="22"/>
          <w:lang w:val="af-ZA"/>
        </w:rPr>
        <w:t xml:space="preserve"> </w:t>
      </w:r>
      <w:r w:rsidRPr="009070BD">
        <w:rPr>
          <w:b w:val="0"/>
          <w:szCs w:val="22"/>
          <w:lang w:val="en-US"/>
        </w:rPr>
        <w:t>կոմիտեի</w:t>
      </w:r>
      <w:r w:rsidRPr="009070BD">
        <w:rPr>
          <w:b w:val="0"/>
          <w:szCs w:val="22"/>
          <w:lang w:val="af-ZA"/>
        </w:rPr>
        <w:t xml:space="preserve"> </w:t>
      </w:r>
      <w:r w:rsidRPr="009070BD">
        <w:rPr>
          <w:b w:val="0"/>
          <w:szCs w:val="22"/>
          <w:lang w:val="en-US"/>
        </w:rPr>
        <w:t>ՀՀ</w:t>
      </w:r>
      <w:r w:rsidRPr="009070BD">
        <w:rPr>
          <w:b w:val="0"/>
          <w:szCs w:val="22"/>
          <w:lang w:val="af-ZA"/>
        </w:rPr>
        <w:t xml:space="preserve"> 2021 </w:t>
      </w:r>
      <w:r w:rsidRPr="009070BD">
        <w:rPr>
          <w:b w:val="0"/>
          <w:szCs w:val="22"/>
          <w:lang w:val="hy-AM"/>
        </w:rPr>
        <w:t>թվականի</w:t>
      </w:r>
      <w:r w:rsidRPr="009070BD">
        <w:rPr>
          <w:b w:val="0"/>
          <w:szCs w:val="22"/>
          <w:lang w:val="af-ZA"/>
        </w:rPr>
        <w:t xml:space="preserve"> պետական բյուջեով նախատեսված ծախսերի համեմատությունը՝ 2019 թվականի բյուջետային տարվա փաստացի և 2020 թվականի բյուջետային տարվա համար հաստատված համապատասխան ցուցանիշների հետ </w:t>
      </w:r>
      <w:r w:rsidRPr="009070BD">
        <w:rPr>
          <w:b w:val="0"/>
          <w:szCs w:val="22"/>
          <w:lang w:val="hy-AM"/>
        </w:rPr>
        <w:t>արտացոլված</w:t>
      </w:r>
      <w:r w:rsidRPr="009070BD">
        <w:rPr>
          <w:b w:val="0"/>
          <w:szCs w:val="22"/>
          <w:lang w:val="af-ZA"/>
        </w:rPr>
        <w:t xml:space="preserve"> </w:t>
      </w:r>
      <w:r w:rsidRPr="009070BD">
        <w:rPr>
          <w:b w:val="0"/>
          <w:szCs w:val="22"/>
          <w:lang w:val="hy-AM"/>
        </w:rPr>
        <w:t>է</w:t>
      </w:r>
      <w:r w:rsidRPr="009070BD">
        <w:rPr>
          <w:b w:val="0"/>
          <w:szCs w:val="22"/>
          <w:lang w:val="af-ZA"/>
        </w:rPr>
        <w:t xml:space="preserve"> </w:t>
      </w:r>
      <w:r w:rsidRPr="009070BD">
        <w:rPr>
          <w:b w:val="0"/>
          <w:szCs w:val="22"/>
          <w:lang w:val="hy-AM"/>
        </w:rPr>
        <w:t>սույն</w:t>
      </w:r>
      <w:r w:rsidRPr="009070BD">
        <w:rPr>
          <w:b w:val="0"/>
          <w:szCs w:val="22"/>
          <w:lang w:val="af-ZA"/>
        </w:rPr>
        <w:t xml:space="preserve"> </w:t>
      </w:r>
      <w:r w:rsidRPr="0047727E">
        <w:rPr>
          <w:b w:val="0"/>
          <w:szCs w:val="22"/>
          <w:lang w:val="hy-AM"/>
        </w:rPr>
        <w:t>բացատրագրի</w:t>
      </w:r>
      <w:r w:rsidRPr="0047727E">
        <w:rPr>
          <w:b w:val="0"/>
          <w:szCs w:val="22"/>
          <w:lang w:val="af-ZA"/>
        </w:rPr>
        <w:t xml:space="preserve"> N </w:t>
      </w:r>
      <w:r w:rsidR="00B541B4" w:rsidRPr="0047727E">
        <w:rPr>
          <w:b w:val="0"/>
          <w:szCs w:val="22"/>
          <w:lang w:val="af-ZA"/>
        </w:rPr>
        <w:t xml:space="preserve">16 </w:t>
      </w:r>
      <w:r w:rsidRPr="0047727E">
        <w:rPr>
          <w:b w:val="0"/>
          <w:szCs w:val="22"/>
          <w:lang w:val="hy-AM"/>
        </w:rPr>
        <w:t>աղյուսակում:</w:t>
      </w:r>
    </w:p>
    <w:p w:rsidR="007C6CB5" w:rsidRPr="007C6CB5" w:rsidRDefault="007C6CB5" w:rsidP="007730AA">
      <w:pPr>
        <w:pStyle w:val="ListParagraph"/>
        <w:spacing w:before="0" w:line="276" w:lineRule="auto"/>
        <w:ind w:left="0" w:firstLine="0"/>
        <w:rPr>
          <w:b w:val="0"/>
          <w:szCs w:val="22"/>
          <w:highlight w:val="green"/>
          <w:lang w:val="hy-AM"/>
        </w:rPr>
      </w:pPr>
    </w:p>
    <w:p w:rsidR="00A42330" w:rsidRPr="00B971C5" w:rsidRDefault="00A42330" w:rsidP="007730AA">
      <w:pPr>
        <w:spacing w:before="0" w:line="276" w:lineRule="auto"/>
        <w:rPr>
          <w:b w:val="0"/>
          <w:szCs w:val="22"/>
          <w:lang w:val="af-ZA"/>
        </w:rPr>
      </w:pPr>
    </w:p>
    <w:p w:rsidR="00363133" w:rsidRPr="00DB4EA0" w:rsidRDefault="00363133" w:rsidP="007730AA">
      <w:pPr>
        <w:spacing w:before="0" w:line="276" w:lineRule="auto"/>
        <w:ind w:firstLine="0"/>
        <w:contextualSpacing w:val="0"/>
        <w:jc w:val="left"/>
        <w:rPr>
          <w:rFonts w:eastAsia="Calibri"/>
          <w:b w:val="0"/>
          <w:szCs w:val="22"/>
          <w:lang w:val="hy-AM" w:eastAsia="en-US"/>
        </w:rPr>
      </w:pPr>
      <w:r w:rsidRPr="00DB1FB2">
        <w:rPr>
          <w:lang w:val="af-ZA"/>
        </w:rPr>
        <w:br w:type="page"/>
      </w:r>
    </w:p>
    <w:p w:rsidR="00DE47A7" w:rsidRPr="00892AE2" w:rsidRDefault="00DE47A7" w:rsidP="007730AA">
      <w:pPr>
        <w:pStyle w:val="Heading2"/>
        <w:spacing w:before="0" w:after="0"/>
      </w:pPr>
      <w:bookmarkStart w:id="245" w:name="_Toc57655492"/>
      <w:r w:rsidRPr="00892AE2">
        <w:t>ՎԵՐԼՈՒԾՈՒԹՅՈՒՆՆԵՐ</w:t>
      </w:r>
      <w:bookmarkEnd w:id="245"/>
    </w:p>
    <w:p w:rsidR="00E81B58" w:rsidRPr="00B86D85" w:rsidRDefault="003342DF" w:rsidP="007730AA">
      <w:pPr>
        <w:pStyle w:val="Heading3"/>
        <w:spacing w:before="0"/>
        <w:rPr>
          <w:sz w:val="22"/>
          <w:szCs w:val="22"/>
        </w:rPr>
      </w:pPr>
      <w:bookmarkStart w:id="246" w:name="_Toc57655493"/>
      <w:r w:rsidRPr="00B86D85">
        <w:rPr>
          <w:sz w:val="22"/>
          <w:szCs w:val="22"/>
        </w:rPr>
        <w:t xml:space="preserve">1. </w:t>
      </w:r>
      <w:r w:rsidR="00E81B58" w:rsidRPr="00B86D85">
        <w:rPr>
          <w:sz w:val="22"/>
          <w:szCs w:val="22"/>
        </w:rPr>
        <w:t>ՀԱՅԱՍՏԱՆԻ ՀԱՆՐԱՊԵՏՈՒԹՅԱՆ ՊԵՏԱԿԱՆ ՊԱՐՏՔԸ</w:t>
      </w:r>
      <w:bookmarkEnd w:id="246"/>
    </w:p>
    <w:p w:rsidR="00DE47A7" w:rsidRPr="00B86D85" w:rsidRDefault="00DE47A7" w:rsidP="007730AA">
      <w:pPr>
        <w:spacing w:before="0" w:line="276" w:lineRule="auto"/>
        <w:rPr>
          <w:szCs w:val="22"/>
          <w:lang w:val="af-ZA" w:eastAsia="en-US"/>
        </w:rPr>
      </w:pPr>
    </w:p>
    <w:p w:rsidR="00D6013E" w:rsidRPr="00472C29" w:rsidRDefault="00D6013E" w:rsidP="007730AA">
      <w:pPr>
        <w:shd w:val="clear" w:color="auto" w:fill="FFFFFF"/>
        <w:spacing w:before="0" w:line="276" w:lineRule="auto"/>
        <w:ind w:firstLine="720"/>
        <w:contextualSpacing w:val="0"/>
        <w:rPr>
          <w:rFonts w:eastAsiaTheme="minorHAnsi" w:cs="Arial"/>
          <w:szCs w:val="22"/>
          <w:lang w:val="hy-AM" w:eastAsia="en-US"/>
        </w:rPr>
      </w:pPr>
    </w:p>
    <w:p w:rsidR="00D6013E" w:rsidRDefault="004E3188" w:rsidP="007730AA">
      <w:pPr>
        <w:shd w:val="clear" w:color="auto" w:fill="FFFFFF"/>
        <w:spacing w:before="0" w:line="276" w:lineRule="auto"/>
        <w:ind w:firstLine="720"/>
        <w:contextualSpacing w:val="0"/>
        <w:rPr>
          <w:rFonts w:eastAsiaTheme="minorHAnsi" w:cstheme="minorBidi"/>
          <w:b w:val="0"/>
          <w:szCs w:val="22"/>
          <w:lang w:val="hy-AM" w:eastAsia="en-US"/>
        </w:rPr>
      </w:pPr>
      <w:r w:rsidRPr="004E3188">
        <w:rPr>
          <w:rFonts w:eastAsiaTheme="minorHAnsi" w:cstheme="minorBidi"/>
          <w:b w:val="0"/>
          <w:szCs w:val="22"/>
          <w:lang w:val="hy-AM" w:eastAsia="en-US"/>
        </w:rPr>
        <w:t>ՀՀ 2021թ. պետական բյուջեի հիմքում դրված կանխատեսումների համաձայն` 2020 թվականի դեկտեմբերի 31-ի դրությամբ պետական պարտքը կկազմի 3,995 մլրդ դրամ (8,090 մլն ԱՄՆ դոլար) կամ ՀՆԱ-ի 65.7%-ը, իսկ 2021 թվականի տարեվերջին այն կկազմի 4,461 մլրդ դրամ (9,035 մլն ԱՄՆ դոլար) կամ ՀՆԱ-ի 69.8%-ը:</w:t>
      </w:r>
    </w:p>
    <w:p w:rsidR="00976DEF" w:rsidRPr="00975ABC" w:rsidRDefault="00976DEF" w:rsidP="007730AA">
      <w:pPr>
        <w:shd w:val="clear" w:color="auto" w:fill="FFFFFF"/>
        <w:spacing w:before="0" w:line="276" w:lineRule="auto"/>
        <w:ind w:firstLine="720"/>
        <w:contextualSpacing w:val="0"/>
        <w:rPr>
          <w:rFonts w:eastAsiaTheme="minorHAnsi" w:cstheme="minorBidi"/>
          <w:b w:val="0"/>
          <w:szCs w:val="22"/>
          <w:lang w:val="hy-AM" w:eastAsia="en-US"/>
        </w:rPr>
      </w:pPr>
    </w:p>
    <w:tbl>
      <w:tblPr>
        <w:tblStyle w:val="LightShading-Accent19"/>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1620"/>
        <w:gridCol w:w="1710"/>
        <w:gridCol w:w="1715"/>
      </w:tblGrid>
      <w:tr w:rsidR="00D6013E" w:rsidRPr="00472C29" w:rsidTr="00976DE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25" w:type="dxa"/>
            <w:tcBorders>
              <w:top w:val="none" w:sz="0" w:space="0" w:color="auto"/>
              <w:left w:val="none" w:sz="0" w:space="0" w:color="auto"/>
              <w:bottom w:val="none" w:sz="0" w:space="0" w:color="auto"/>
              <w:right w:val="none" w:sz="0" w:space="0" w:color="auto"/>
            </w:tcBorders>
            <w:hideMark/>
          </w:tcPr>
          <w:p w:rsidR="00D6013E" w:rsidRPr="009C1BFA" w:rsidRDefault="00D6013E" w:rsidP="007730AA">
            <w:pPr>
              <w:spacing w:before="0" w:line="276" w:lineRule="auto"/>
              <w:ind w:firstLine="0"/>
              <w:contextualSpacing w:val="0"/>
              <w:jc w:val="center"/>
              <w:rPr>
                <w:lang w:val="hy-AM" w:eastAsia="en-US"/>
              </w:rPr>
            </w:pPr>
            <w:r w:rsidRPr="009C1BFA">
              <w:rPr>
                <w:rFonts w:ascii="Calibri" w:hAnsi="Calibri" w:cs="Calibri"/>
                <w:lang w:val="hy-AM" w:eastAsia="en-US"/>
              </w:rPr>
              <w:t> </w:t>
            </w:r>
          </w:p>
        </w:tc>
        <w:tc>
          <w:tcPr>
            <w:tcW w:w="1620" w:type="dxa"/>
            <w:tcBorders>
              <w:top w:val="none" w:sz="0" w:space="0" w:color="auto"/>
              <w:left w:val="none" w:sz="0" w:space="0" w:color="auto"/>
              <w:bottom w:val="none" w:sz="0" w:space="0" w:color="auto"/>
              <w:right w:val="none" w:sz="0" w:space="0" w:color="auto"/>
            </w:tcBorders>
            <w:hideMark/>
          </w:tcPr>
          <w:p w:rsidR="00D6013E" w:rsidRPr="009C1BFA" w:rsidRDefault="00D6013E"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lang w:val="en-US" w:eastAsia="en-US"/>
              </w:rPr>
            </w:pPr>
            <w:r w:rsidRPr="009C1BFA">
              <w:rPr>
                <w:lang w:eastAsia="en-US"/>
              </w:rPr>
              <w:t>ա</w:t>
            </w:r>
            <w:r w:rsidRPr="009C1BFA">
              <w:rPr>
                <w:lang w:val="en-US" w:eastAsia="en-US"/>
              </w:rPr>
              <w:t>ռ 31.12.2019թ.</w:t>
            </w:r>
          </w:p>
        </w:tc>
        <w:tc>
          <w:tcPr>
            <w:tcW w:w="1710" w:type="dxa"/>
            <w:tcBorders>
              <w:top w:val="none" w:sz="0" w:space="0" w:color="auto"/>
              <w:left w:val="none" w:sz="0" w:space="0" w:color="auto"/>
              <w:bottom w:val="none" w:sz="0" w:space="0" w:color="auto"/>
              <w:right w:val="none" w:sz="0" w:space="0" w:color="auto"/>
            </w:tcBorders>
            <w:hideMark/>
          </w:tcPr>
          <w:p w:rsidR="00D6013E" w:rsidRPr="009C1BFA" w:rsidRDefault="00D6013E"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lang w:val="en-US" w:eastAsia="en-US"/>
              </w:rPr>
            </w:pPr>
            <w:r w:rsidRPr="009C1BFA">
              <w:rPr>
                <w:lang w:val="en-US" w:eastAsia="en-US"/>
              </w:rPr>
              <w:t>առ 31.12.2020թ.</w:t>
            </w:r>
          </w:p>
        </w:tc>
        <w:tc>
          <w:tcPr>
            <w:tcW w:w="1715" w:type="dxa"/>
            <w:tcBorders>
              <w:top w:val="none" w:sz="0" w:space="0" w:color="auto"/>
              <w:left w:val="none" w:sz="0" w:space="0" w:color="auto"/>
              <w:bottom w:val="none" w:sz="0" w:space="0" w:color="auto"/>
              <w:right w:val="none" w:sz="0" w:space="0" w:color="auto"/>
            </w:tcBorders>
            <w:hideMark/>
          </w:tcPr>
          <w:p w:rsidR="00D6013E" w:rsidRPr="009C1BFA" w:rsidRDefault="00D6013E"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lang w:val="en-US" w:eastAsia="en-US"/>
              </w:rPr>
            </w:pPr>
            <w:r w:rsidRPr="009C1BFA">
              <w:rPr>
                <w:lang w:val="en-US" w:eastAsia="en-US"/>
              </w:rPr>
              <w:t>առ 31.12.2021թ.</w:t>
            </w:r>
          </w:p>
        </w:tc>
      </w:tr>
      <w:tr w:rsidR="00976DEF" w:rsidRPr="00472C29" w:rsidTr="00976DEF">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125" w:type="dxa"/>
            <w:tcBorders>
              <w:left w:val="none" w:sz="0" w:space="0" w:color="auto"/>
              <w:right w:val="none" w:sz="0" w:space="0" w:color="auto"/>
            </w:tcBorders>
          </w:tcPr>
          <w:p w:rsidR="00D6013E" w:rsidRPr="009C1BFA" w:rsidRDefault="00D6013E" w:rsidP="007730AA">
            <w:pPr>
              <w:spacing w:before="0" w:line="276" w:lineRule="auto"/>
              <w:ind w:firstLine="0"/>
              <w:contextualSpacing w:val="0"/>
              <w:jc w:val="center"/>
              <w:rPr>
                <w:rFonts w:cs="Courier New"/>
                <w:i/>
                <w:color w:val="auto"/>
                <w:lang w:val="hy-AM" w:eastAsia="en-US"/>
              </w:rPr>
            </w:pPr>
            <w:r w:rsidRPr="009C1BFA">
              <w:rPr>
                <w:i/>
                <w:iCs/>
                <w:color w:val="auto"/>
                <w:lang w:val="en-US" w:eastAsia="en-US"/>
              </w:rPr>
              <w:t>մլրդ դրամ</w:t>
            </w:r>
          </w:p>
        </w:tc>
        <w:tc>
          <w:tcPr>
            <w:tcW w:w="1620" w:type="dxa"/>
            <w:tcBorders>
              <w:left w:val="none" w:sz="0" w:space="0" w:color="auto"/>
              <w:right w:val="none" w:sz="0" w:space="0" w:color="auto"/>
            </w:tcBorders>
          </w:tcPr>
          <w:p w:rsidR="00D6013E" w:rsidRPr="009C1BFA" w:rsidRDefault="00D6013E" w:rsidP="007730AA">
            <w:pPr>
              <w:spacing w:before="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b w:val="0"/>
                <w:bCs/>
                <w:lang w:val="en-US" w:eastAsia="en-US"/>
              </w:rPr>
            </w:pPr>
            <w:r w:rsidRPr="009C1BFA">
              <w:rPr>
                <w:rFonts w:ascii="Calibri" w:hAnsi="Calibri" w:cs="Calibri"/>
                <w:b w:val="0"/>
                <w:bCs/>
                <w:lang w:val="en-US" w:eastAsia="en-US"/>
              </w:rPr>
              <w:t> </w:t>
            </w:r>
          </w:p>
        </w:tc>
        <w:tc>
          <w:tcPr>
            <w:tcW w:w="1710" w:type="dxa"/>
            <w:tcBorders>
              <w:left w:val="none" w:sz="0" w:space="0" w:color="auto"/>
              <w:right w:val="none" w:sz="0" w:space="0" w:color="auto"/>
            </w:tcBorders>
            <w:vAlign w:val="bottom"/>
          </w:tcPr>
          <w:p w:rsidR="00D6013E" w:rsidRPr="009C1BFA" w:rsidRDefault="00D6013E" w:rsidP="007730AA">
            <w:pPr>
              <w:spacing w:before="0" w:line="276" w:lineRule="auto"/>
              <w:jc w:val="center"/>
              <w:cnfStyle w:val="000000100000" w:firstRow="0" w:lastRow="0" w:firstColumn="0" w:lastColumn="0" w:oddVBand="0" w:evenVBand="0" w:oddHBand="1" w:evenHBand="0" w:firstRowFirstColumn="0" w:firstRowLastColumn="0" w:lastRowFirstColumn="0" w:lastRowLastColumn="0"/>
              <w:rPr>
                <w:b w:val="0"/>
                <w:bCs/>
                <w:lang w:val="en-US" w:eastAsia="en-US"/>
              </w:rPr>
            </w:pPr>
          </w:p>
        </w:tc>
        <w:tc>
          <w:tcPr>
            <w:tcW w:w="1715" w:type="dxa"/>
            <w:tcBorders>
              <w:left w:val="none" w:sz="0" w:space="0" w:color="auto"/>
              <w:right w:val="none" w:sz="0" w:space="0" w:color="auto"/>
            </w:tcBorders>
            <w:vAlign w:val="bottom"/>
          </w:tcPr>
          <w:p w:rsidR="00D6013E" w:rsidRPr="009C1BFA" w:rsidRDefault="00D6013E" w:rsidP="007730AA">
            <w:pPr>
              <w:spacing w:before="0" w:line="276" w:lineRule="auto"/>
              <w:cnfStyle w:val="000000100000" w:firstRow="0" w:lastRow="0" w:firstColumn="0" w:lastColumn="0" w:oddVBand="0" w:evenVBand="0" w:oddHBand="1" w:evenHBand="0" w:firstRowFirstColumn="0" w:firstRowLastColumn="0" w:lastRowFirstColumn="0" w:lastRowLastColumn="0"/>
              <w:rPr>
                <w:b w:val="0"/>
                <w:bCs/>
                <w:lang w:val="en-US" w:eastAsia="en-US"/>
              </w:rPr>
            </w:pPr>
          </w:p>
        </w:tc>
      </w:tr>
      <w:tr w:rsidR="004E3188" w:rsidRPr="00472C29" w:rsidTr="00976DEF">
        <w:trPr>
          <w:trHeight w:val="330"/>
        </w:trPr>
        <w:tc>
          <w:tcPr>
            <w:cnfStyle w:val="001000000000" w:firstRow="0" w:lastRow="0" w:firstColumn="1" w:lastColumn="0" w:oddVBand="0" w:evenVBand="0" w:oddHBand="0" w:evenHBand="0" w:firstRowFirstColumn="0" w:firstRowLastColumn="0" w:lastRowFirstColumn="0" w:lastRowLastColumn="0"/>
            <w:tcW w:w="5125" w:type="dxa"/>
            <w:hideMark/>
          </w:tcPr>
          <w:p w:rsidR="004E3188" w:rsidRPr="009C1BFA" w:rsidRDefault="004E3188" w:rsidP="007730AA">
            <w:pPr>
              <w:spacing w:before="0" w:line="276" w:lineRule="auto"/>
              <w:ind w:firstLine="0"/>
              <w:contextualSpacing w:val="0"/>
              <w:jc w:val="left"/>
              <w:rPr>
                <w:lang w:val="en-US" w:eastAsia="en-US"/>
              </w:rPr>
            </w:pPr>
            <w:r w:rsidRPr="009C1BFA">
              <w:rPr>
                <w:lang w:val="en-US" w:eastAsia="en-US"/>
              </w:rPr>
              <w:t>ՀՀ պետական պարտք</w:t>
            </w:r>
          </w:p>
        </w:tc>
        <w:tc>
          <w:tcPr>
            <w:tcW w:w="1620" w:type="dxa"/>
            <w:vAlign w:val="center"/>
          </w:tcPr>
          <w:p w:rsidR="004E3188" w:rsidRPr="009C1BFA" w:rsidRDefault="004E3188"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auto"/>
                <w:lang w:val="en-US" w:eastAsia="en-US"/>
              </w:rPr>
            </w:pPr>
            <w:r>
              <w:rPr>
                <w:color w:val="auto"/>
                <w:sz w:val="20"/>
                <w:szCs w:val="20"/>
              </w:rPr>
              <w:t xml:space="preserve">              </w:t>
            </w:r>
            <w:r w:rsidRPr="002461F0">
              <w:rPr>
                <w:color w:val="auto"/>
                <w:sz w:val="20"/>
                <w:szCs w:val="20"/>
              </w:rPr>
              <w:t xml:space="preserve">3 512 </w:t>
            </w:r>
          </w:p>
        </w:tc>
        <w:tc>
          <w:tcPr>
            <w:tcW w:w="171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2461F0">
              <w:rPr>
                <w:color w:val="auto"/>
                <w:sz w:val="20"/>
                <w:szCs w:val="20"/>
              </w:rPr>
              <w:t xml:space="preserve">     3 995 </w:t>
            </w:r>
          </w:p>
        </w:tc>
        <w:tc>
          <w:tcPr>
            <w:tcW w:w="1715"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2461F0">
              <w:rPr>
                <w:color w:val="auto"/>
                <w:sz w:val="20"/>
                <w:szCs w:val="20"/>
              </w:rPr>
              <w:t xml:space="preserve">      4 461 </w:t>
            </w:r>
          </w:p>
        </w:tc>
      </w:tr>
      <w:tr w:rsidR="004E3188" w:rsidRPr="00472C29" w:rsidTr="00976DE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25" w:type="dxa"/>
            <w:tcBorders>
              <w:left w:val="none" w:sz="0" w:space="0" w:color="auto"/>
              <w:right w:val="none" w:sz="0" w:space="0" w:color="auto"/>
            </w:tcBorders>
            <w:hideMark/>
          </w:tcPr>
          <w:p w:rsidR="004E3188" w:rsidRPr="009C1BFA" w:rsidRDefault="004E3188" w:rsidP="007730AA">
            <w:pPr>
              <w:spacing w:before="0" w:line="276" w:lineRule="auto"/>
              <w:ind w:firstLine="0"/>
              <w:contextualSpacing w:val="0"/>
              <w:jc w:val="center"/>
              <w:rPr>
                <w:i/>
                <w:lang w:val="en-US" w:eastAsia="en-US"/>
              </w:rPr>
            </w:pPr>
            <w:r w:rsidRPr="009C1BFA">
              <w:rPr>
                <w:i/>
                <w:lang w:val="en-US" w:eastAsia="en-US"/>
              </w:rPr>
              <w:t>այդ թվում`</w:t>
            </w:r>
          </w:p>
        </w:tc>
        <w:tc>
          <w:tcPr>
            <w:tcW w:w="162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r w:rsidRPr="002461F0">
              <w:rPr>
                <w:rFonts w:ascii="Calibri" w:hAnsi="Calibri" w:cs="Calibri"/>
                <w:b w:val="0"/>
                <w:color w:val="auto"/>
                <w:sz w:val="20"/>
                <w:szCs w:val="20"/>
              </w:rPr>
              <w:t> </w:t>
            </w:r>
          </w:p>
        </w:tc>
        <w:tc>
          <w:tcPr>
            <w:tcW w:w="171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r w:rsidRPr="002461F0">
              <w:rPr>
                <w:rFonts w:ascii="Calibri" w:hAnsi="Calibri" w:cs="Calibri"/>
                <w:b w:val="0"/>
                <w:color w:val="auto"/>
                <w:sz w:val="20"/>
                <w:szCs w:val="20"/>
              </w:rPr>
              <w:t> </w:t>
            </w:r>
          </w:p>
        </w:tc>
        <w:tc>
          <w:tcPr>
            <w:tcW w:w="1715"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p>
        </w:tc>
      </w:tr>
      <w:tr w:rsidR="004E3188" w:rsidRPr="00472C29" w:rsidTr="00976DEF">
        <w:trPr>
          <w:trHeight w:val="330"/>
        </w:trPr>
        <w:tc>
          <w:tcPr>
            <w:cnfStyle w:val="001000000000" w:firstRow="0" w:lastRow="0" w:firstColumn="1" w:lastColumn="0" w:oddVBand="0" w:evenVBand="0" w:oddHBand="0" w:evenHBand="0" w:firstRowFirstColumn="0" w:firstRowLastColumn="0" w:lastRowFirstColumn="0" w:lastRowLastColumn="0"/>
            <w:tcW w:w="5125" w:type="dxa"/>
            <w:hideMark/>
          </w:tcPr>
          <w:p w:rsidR="004E3188" w:rsidRPr="009C1BFA" w:rsidRDefault="004E3188" w:rsidP="00757FBA">
            <w:pPr>
              <w:spacing w:before="0" w:line="276" w:lineRule="auto"/>
              <w:ind w:firstLineChars="100" w:firstLine="220"/>
              <w:contextualSpacing w:val="0"/>
              <w:jc w:val="left"/>
              <w:rPr>
                <w:lang w:val="en-US" w:eastAsia="en-US"/>
              </w:rPr>
            </w:pPr>
            <w:r w:rsidRPr="009C1BFA">
              <w:rPr>
                <w:lang w:val="en-US" w:eastAsia="en-US"/>
              </w:rPr>
              <w:t>արտաքին պետական պարտք</w:t>
            </w:r>
          </w:p>
        </w:tc>
        <w:tc>
          <w:tcPr>
            <w:tcW w:w="162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sz w:val="20"/>
                <w:szCs w:val="20"/>
              </w:rPr>
              <w:t xml:space="preserve">     </w:t>
            </w:r>
            <w:r w:rsidRPr="002461F0">
              <w:rPr>
                <w:b w:val="0"/>
                <w:color w:val="auto"/>
                <w:sz w:val="20"/>
                <w:szCs w:val="20"/>
              </w:rPr>
              <w:t xml:space="preserve">2 775 </w:t>
            </w:r>
          </w:p>
        </w:tc>
        <w:tc>
          <w:tcPr>
            <w:tcW w:w="171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sz w:val="20"/>
                <w:szCs w:val="20"/>
              </w:rPr>
              <w:t xml:space="preserve">      </w:t>
            </w:r>
            <w:r w:rsidRPr="002461F0">
              <w:rPr>
                <w:b w:val="0"/>
                <w:color w:val="auto"/>
                <w:sz w:val="20"/>
                <w:szCs w:val="20"/>
              </w:rPr>
              <w:t xml:space="preserve">2 984 </w:t>
            </w:r>
          </w:p>
        </w:tc>
        <w:tc>
          <w:tcPr>
            <w:tcW w:w="1715"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2461F0">
              <w:rPr>
                <w:b w:val="0"/>
                <w:color w:val="auto"/>
                <w:sz w:val="20"/>
                <w:szCs w:val="20"/>
              </w:rPr>
              <w:t xml:space="preserve">       3 217 </w:t>
            </w:r>
          </w:p>
        </w:tc>
      </w:tr>
      <w:tr w:rsidR="004E3188" w:rsidRPr="00472C29" w:rsidTr="00976DE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25" w:type="dxa"/>
            <w:tcBorders>
              <w:left w:val="none" w:sz="0" w:space="0" w:color="auto"/>
              <w:right w:val="none" w:sz="0" w:space="0" w:color="auto"/>
            </w:tcBorders>
            <w:hideMark/>
          </w:tcPr>
          <w:p w:rsidR="004E3188" w:rsidRPr="009C1BFA" w:rsidRDefault="004E3188" w:rsidP="00757FBA">
            <w:pPr>
              <w:spacing w:before="0" w:line="276" w:lineRule="auto"/>
              <w:ind w:firstLineChars="300" w:firstLine="660"/>
              <w:contextualSpacing w:val="0"/>
              <w:jc w:val="left"/>
              <w:rPr>
                <w:i/>
                <w:iCs/>
                <w:lang w:eastAsia="en-US"/>
              </w:rPr>
            </w:pPr>
            <w:r w:rsidRPr="009C1BFA">
              <w:rPr>
                <w:i/>
                <w:iCs/>
                <w:lang w:val="en-US" w:eastAsia="en-US"/>
              </w:rPr>
              <w:t>որից</w:t>
            </w:r>
            <w:r w:rsidRPr="009C1BFA">
              <w:rPr>
                <w:i/>
                <w:iCs/>
                <w:lang w:eastAsia="en-US"/>
              </w:rPr>
              <w:t xml:space="preserve">` </w:t>
            </w:r>
            <w:r w:rsidRPr="009C1BFA">
              <w:rPr>
                <w:i/>
                <w:iCs/>
                <w:lang w:val="en-US" w:eastAsia="en-US"/>
              </w:rPr>
              <w:t>ՀՀ</w:t>
            </w:r>
            <w:r w:rsidRPr="009C1BFA">
              <w:rPr>
                <w:i/>
                <w:iCs/>
                <w:lang w:eastAsia="en-US"/>
              </w:rPr>
              <w:t xml:space="preserve"> </w:t>
            </w:r>
            <w:r w:rsidRPr="009C1BFA">
              <w:rPr>
                <w:i/>
                <w:iCs/>
                <w:lang w:val="en-US" w:eastAsia="en-US"/>
              </w:rPr>
              <w:t>կենտրոնական</w:t>
            </w:r>
            <w:r w:rsidRPr="009C1BFA">
              <w:rPr>
                <w:i/>
                <w:iCs/>
                <w:lang w:eastAsia="en-US"/>
              </w:rPr>
              <w:t xml:space="preserve"> </w:t>
            </w:r>
            <w:r w:rsidRPr="009C1BFA">
              <w:rPr>
                <w:i/>
                <w:iCs/>
                <w:lang w:val="en-US" w:eastAsia="en-US"/>
              </w:rPr>
              <w:t>բանկի</w:t>
            </w:r>
            <w:r w:rsidRPr="009C1BFA">
              <w:rPr>
                <w:i/>
                <w:iCs/>
                <w:lang w:eastAsia="en-US"/>
              </w:rPr>
              <w:t xml:space="preserve"> </w:t>
            </w:r>
            <w:r w:rsidRPr="009C1BFA">
              <w:rPr>
                <w:i/>
                <w:iCs/>
                <w:lang w:val="en-US" w:eastAsia="en-US"/>
              </w:rPr>
              <w:t>պարտք</w:t>
            </w:r>
            <w:r w:rsidRPr="009C1BFA">
              <w:rPr>
                <w:i/>
                <w:iCs/>
                <w:lang w:eastAsia="en-US"/>
              </w:rPr>
              <w:t xml:space="preserve"> </w:t>
            </w:r>
          </w:p>
        </w:tc>
        <w:tc>
          <w:tcPr>
            <w:tcW w:w="162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i/>
                <w:iCs/>
                <w:color w:val="auto"/>
              </w:rPr>
            </w:pPr>
            <w:r>
              <w:rPr>
                <w:b w:val="0"/>
                <w:i/>
                <w:iCs/>
                <w:color w:val="auto"/>
                <w:sz w:val="20"/>
                <w:szCs w:val="20"/>
              </w:rPr>
              <w:t xml:space="preserve">        </w:t>
            </w:r>
            <w:r w:rsidRPr="002461F0">
              <w:rPr>
                <w:b w:val="0"/>
                <w:i/>
                <w:iCs/>
                <w:color w:val="auto"/>
                <w:sz w:val="20"/>
                <w:szCs w:val="20"/>
              </w:rPr>
              <w:t xml:space="preserve">235 </w:t>
            </w:r>
          </w:p>
        </w:tc>
        <w:tc>
          <w:tcPr>
            <w:tcW w:w="171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i/>
                <w:iCs/>
                <w:color w:val="auto"/>
              </w:rPr>
            </w:pPr>
            <w:r w:rsidRPr="002461F0">
              <w:rPr>
                <w:b w:val="0"/>
                <w:i/>
                <w:iCs/>
                <w:color w:val="auto"/>
                <w:sz w:val="20"/>
                <w:szCs w:val="20"/>
              </w:rPr>
              <w:t xml:space="preserve">         256 </w:t>
            </w:r>
          </w:p>
        </w:tc>
        <w:tc>
          <w:tcPr>
            <w:tcW w:w="1715"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i/>
                <w:iCs/>
                <w:color w:val="auto"/>
              </w:rPr>
            </w:pPr>
            <w:r w:rsidRPr="002461F0">
              <w:rPr>
                <w:b w:val="0"/>
                <w:i/>
                <w:iCs/>
                <w:color w:val="auto"/>
                <w:sz w:val="20"/>
                <w:szCs w:val="20"/>
              </w:rPr>
              <w:t xml:space="preserve">         239 </w:t>
            </w:r>
          </w:p>
        </w:tc>
      </w:tr>
      <w:tr w:rsidR="004E3188" w:rsidRPr="00472C29" w:rsidTr="00976DEF">
        <w:trPr>
          <w:trHeight w:val="330"/>
        </w:trPr>
        <w:tc>
          <w:tcPr>
            <w:cnfStyle w:val="001000000000" w:firstRow="0" w:lastRow="0" w:firstColumn="1" w:lastColumn="0" w:oddVBand="0" w:evenVBand="0" w:oddHBand="0" w:evenHBand="0" w:firstRowFirstColumn="0" w:firstRowLastColumn="0" w:lastRowFirstColumn="0" w:lastRowLastColumn="0"/>
            <w:tcW w:w="5125" w:type="dxa"/>
            <w:hideMark/>
          </w:tcPr>
          <w:p w:rsidR="004E3188" w:rsidRPr="009C1BFA" w:rsidRDefault="004E3188" w:rsidP="00757FBA">
            <w:pPr>
              <w:spacing w:before="0" w:line="276" w:lineRule="auto"/>
              <w:ind w:firstLineChars="100" w:firstLine="220"/>
              <w:contextualSpacing w:val="0"/>
              <w:jc w:val="left"/>
              <w:rPr>
                <w:lang w:val="en-US" w:eastAsia="en-US"/>
              </w:rPr>
            </w:pPr>
            <w:r w:rsidRPr="009C1BFA">
              <w:rPr>
                <w:lang w:val="en-US" w:eastAsia="en-US"/>
              </w:rPr>
              <w:t>ներքին պետական պարտք</w:t>
            </w:r>
          </w:p>
        </w:tc>
        <w:tc>
          <w:tcPr>
            <w:tcW w:w="162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sz w:val="20"/>
                <w:szCs w:val="20"/>
              </w:rPr>
              <w:t xml:space="preserve">        </w:t>
            </w:r>
            <w:r w:rsidRPr="002461F0">
              <w:rPr>
                <w:b w:val="0"/>
                <w:color w:val="auto"/>
                <w:sz w:val="20"/>
                <w:szCs w:val="20"/>
              </w:rPr>
              <w:t xml:space="preserve">737 </w:t>
            </w:r>
          </w:p>
        </w:tc>
        <w:tc>
          <w:tcPr>
            <w:tcW w:w="171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2461F0">
              <w:rPr>
                <w:b w:val="0"/>
                <w:color w:val="auto"/>
                <w:sz w:val="20"/>
                <w:szCs w:val="20"/>
              </w:rPr>
              <w:t xml:space="preserve">       1 011 </w:t>
            </w:r>
          </w:p>
        </w:tc>
        <w:tc>
          <w:tcPr>
            <w:tcW w:w="1715"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2461F0">
              <w:rPr>
                <w:b w:val="0"/>
                <w:color w:val="auto"/>
                <w:sz w:val="20"/>
                <w:szCs w:val="20"/>
              </w:rPr>
              <w:t xml:space="preserve">      1 243 </w:t>
            </w:r>
          </w:p>
        </w:tc>
      </w:tr>
      <w:tr w:rsidR="004E3188" w:rsidRPr="00472C29" w:rsidTr="00976DE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25" w:type="dxa"/>
            <w:tcBorders>
              <w:left w:val="none" w:sz="0" w:space="0" w:color="auto"/>
              <w:right w:val="none" w:sz="0" w:space="0" w:color="auto"/>
            </w:tcBorders>
          </w:tcPr>
          <w:p w:rsidR="004E3188" w:rsidRPr="009C1BFA" w:rsidRDefault="004E3188" w:rsidP="00757FBA">
            <w:pPr>
              <w:spacing w:before="0" w:line="276" w:lineRule="auto"/>
              <w:ind w:firstLineChars="100" w:firstLine="220"/>
              <w:contextualSpacing w:val="0"/>
              <w:jc w:val="center"/>
              <w:rPr>
                <w:i/>
                <w:color w:val="auto"/>
                <w:lang w:val="en-US" w:eastAsia="en-US"/>
              </w:rPr>
            </w:pPr>
            <w:r w:rsidRPr="009C1BFA">
              <w:rPr>
                <w:i/>
                <w:color w:val="auto"/>
                <w:lang w:val="en-US" w:eastAsia="en-US"/>
              </w:rPr>
              <w:t>մլն ԱՄՆ դոլար</w:t>
            </w:r>
          </w:p>
        </w:tc>
        <w:tc>
          <w:tcPr>
            <w:tcW w:w="162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bCs/>
                <w:color w:val="auto"/>
              </w:rPr>
            </w:pPr>
            <w:r w:rsidRPr="002461F0">
              <w:rPr>
                <w:rFonts w:ascii="Calibri" w:hAnsi="Calibri" w:cs="Calibri"/>
                <w:b w:val="0"/>
                <w:bCs/>
                <w:color w:val="auto"/>
                <w:sz w:val="20"/>
                <w:szCs w:val="20"/>
              </w:rPr>
              <w:t> </w:t>
            </w:r>
          </w:p>
        </w:tc>
        <w:tc>
          <w:tcPr>
            <w:tcW w:w="171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bCs/>
                <w:color w:val="auto"/>
              </w:rPr>
            </w:pPr>
          </w:p>
        </w:tc>
        <w:tc>
          <w:tcPr>
            <w:tcW w:w="1715"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p>
        </w:tc>
      </w:tr>
      <w:tr w:rsidR="004E3188" w:rsidRPr="00472C29" w:rsidTr="00976DEF">
        <w:trPr>
          <w:trHeight w:val="330"/>
        </w:trPr>
        <w:tc>
          <w:tcPr>
            <w:cnfStyle w:val="001000000000" w:firstRow="0" w:lastRow="0" w:firstColumn="1" w:lastColumn="0" w:oddVBand="0" w:evenVBand="0" w:oddHBand="0" w:evenHBand="0" w:firstRowFirstColumn="0" w:firstRowLastColumn="0" w:lastRowFirstColumn="0" w:lastRowLastColumn="0"/>
            <w:tcW w:w="5125" w:type="dxa"/>
            <w:hideMark/>
          </w:tcPr>
          <w:p w:rsidR="004E3188" w:rsidRPr="009C1BFA" w:rsidRDefault="004E3188" w:rsidP="007730AA">
            <w:pPr>
              <w:spacing w:before="0" w:line="276" w:lineRule="auto"/>
              <w:ind w:firstLine="0"/>
              <w:contextualSpacing w:val="0"/>
              <w:jc w:val="left"/>
              <w:rPr>
                <w:lang w:val="en-US" w:eastAsia="en-US"/>
              </w:rPr>
            </w:pPr>
            <w:r w:rsidRPr="009C1BFA">
              <w:rPr>
                <w:lang w:val="en-US" w:eastAsia="en-US"/>
              </w:rPr>
              <w:t>ՀՀ պետական պարտք</w:t>
            </w:r>
          </w:p>
        </w:tc>
        <w:tc>
          <w:tcPr>
            <w:tcW w:w="162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Pr>
                <w:color w:val="auto"/>
                <w:sz w:val="20"/>
                <w:szCs w:val="20"/>
              </w:rPr>
              <w:t xml:space="preserve">     </w:t>
            </w:r>
            <w:r w:rsidRPr="002461F0">
              <w:rPr>
                <w:color w:val="auto"/>
                <w:sz w:val="20"/>
                <w:szCs w:val="20"/>
              </w:rPr>
              <w:t xml:space="preserve">7 321 </w:t>
            </w:r>
          </w:p>
        </w:tc>
        <w:tc>
          <w:tcPr>
            <w:tcW w:w="171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Pr>
                <w:color w:val="auto"/>
                <w:sz w:val="20"/>
                <w:szCs w:val="20"/>
              </w:rPr>
              <w:t xml:space="preserve">   </w:t>
            </w:r>
            <w:r w:rsidRPr="002461F0">
              <w:rPr>
                <w:color w:val="auto"/>
                <w:sz w:val="20"/>
                <w:szCs w:val="20"/>
              </w:rPr>
              <w:t xml:space="preserve">  8 090 </w:t>
            </w:r>
          </w:p>
        </w:tc>
        <w:tc>
          <w:tcPr>
            <w:tcW w:w="1715"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2461F0">
              <w:rPr>
                <w:color w:val="auto"/>
                <w:sz w:val="20"/>
                <w:szCs w:val="20"/>
              </w:rPr>
              <w:t xml:space="preserve">      9 035 </w:t>
            </w:r>
          </w:p>
        </w:tc>
      </w:tr>
      <w:tr w:rsidR="004E3188" w:rsidRPr="00472C29" w:rsidTr="00976DE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25" w:type="dxa"/>
            <w:tcBorders>
              <w:left w:val="none" w:sz="0" w:space="0" w:color="auto"/>
              <w:right w:val="none" w:sz="0" w:space="0" w:color="auto"/>
            </w:tcBorders>
            <w:hideMark/>
          </w:tcPr>
          <w:p w:rsidR="004E3188" w:rsidRPr="009C1BFA" w:rsidRDefault="004E3188" w:rsidP="007730AA">
            <w:pPr>
              <w:spacing w:before="0" w:line="276" w:lineRule="auto"/>
              <w:ind w:firstLine="0"/>
              <w:contextualSpacing w:val="0"/>
              <w:jc w:val="center"/>
              <w:rPr>
                <w:i/>
                <w:lang w:val="en-US" w:eastAsia="en-US"/>
              </w:rPr>
            </w:pPr>
            <w:r w:rsidRPr="009C1BFA">
              <w:rPr>
                <w:i/>
                <w:lang w:val="en-US" w:eastAsia="en-US"/>
              </w:rPr>
              <w:t>այդ թվում`</w:t>
            </w:r>
          </w:p>
        </w:tc>
        <w:tc>
          <w:tcPr>
            <w:tcW w:w="162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r w:rsidRPr="002461F0">
              <w:rPr>
                <w:rFonts w:ascii="Calibri" w:hAnsi="Calibri" w:cs="Calibri"/>
                <w:b w:val="0"/>
                <w:color w:val="auto"/>
                <w:sz w:val="20"/>
                <w:szCs w:val="20"/>
              </w:rPr>
              <w:t> </w:t>
            </w:r>
          </w:p>
        </w:tc>
        <w:tc>
          <w:tcPr>
            <w:tcW w:w="171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r w:rsidRPr="002461F0">
              <w:rPr>
                <w:rFonts w:ascii="Calibri" w:hAnsi="Calibri" w:cs="Calibri"/>
                <w:b w:val="0"/>
                <w:color w:val="auto"/>
                <w:sz w:val="20"/>
                <w:szCs w:val="20"/>
              </w:rPr>
              <w:t> </w:t>
            </w:r>
          </w:p>
        </w:tc>
        <w:tc>
          <w:tcPr>
            <w:tcW w:w="1715"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p>
        </w:tc>
      </w:tr>
      <w:tr w:rsidR="004E3188" w:rsidRPr="00472C29" w:rsidTr="00976DEF">
        <w:trPr>
          <w:trHeight w:val="330"/>
        </w:trPr>
        <w:tc>
          <w:tcPr>
            <w:cnfStyle w:val="001000000000" w:firstRow="0" w:lastRow="0" w:firstColumn="1" w:lastColumn="0" w:oddVBand="0" w:evenVBand="0" w:oddHBand="0" w:evenHBand="0" w:firstRowFirstColumn="0" w:firstRowLastColumn="0" w:lastRowFirstColumn="0" w:lastRowLastColumn="0"/>
            <w:tcW w:w="5125" w:type="dxa"/>
            <w:hideMark/>
          </w:tcPr>
          <w:p w:rsidR="004E3188" w:rsidRPr="009C1BFA" w:rsidRDefault="004E3188" w:rsidP="00757FBA">
            <w:pPr>
              <w:spacing w:before="0" w:line="276" w:lineRule="auto"/>
              <w:ind w:firstLineChars="100" w:firstLine="220"/>
              <w:contextualSpacing w:val="0"/>
              <w:jc w:val="left"/>
              <w:rPr>
                <w:lang w:val="en-US" w:eastAsia="en-US"/>
              </w:rPr>
            </w:pPr>
            <w:r w:rsidRPr="009C1BFA">
              <w:rPr>
                <w:lang w:val="en-US" w:eastAsia="en-US"/>
              </w:rPr>
              <w:t>արտաքին պետական պարտք</w:t>
            </w:r>
          </w:p>
        </w:tc>
        <w:tc>
          <w:tcPr>
            <w:tcW w:w="162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sz w:val="20"/>
                <w:szCs w:val="20"/>
              </w:rPr>
              <w:t xml:space="preserve">     </w:t>
            </w:r>
            <w:r w:rsidRPr="002461F0">
              <w:rPr>
                <w:b w:val="0"/>
                <w:color w:val="auto"/>
                <w:sz w:val="20"/>
                <w:szCs w:val="20"/>
              </w:rPr>
              <w:t xml:space="preserve">5 785   </w:t>
            </w:r>
          </w:p>
        </w:tc>
        <w:tc>
          <w:tcPr>
            <w:tcW w:w="171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2461F0">
              <w:rPr>
                <w:b w:val="0"/>
                <w:color w:val="auto"/>
                <w:sz w:val="20"/>
                <w:szCs w:val="20"/>
              </w:rPr>
              <w:t xml:space="preserve">      6 043   </w:t>
            </w:r>
          </w:p>
        </w:tc>
        <w:tc>
          <w:tcPr>
            <w:tcW w:w="1715"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2461F0">
              <w:rPr>
                <w:b w:val="0"/>
                <w:color w:val="auto"/>
                <w:sz w:val="20"/>
                <w:szCs w:val="20"/>
              </w:rPr>
              <w:t xml:space="preserve">      6 516   </w:t>
            </w:r>
          </w:p>
        </w:tc>
      </w:tr>
      <w:tr w:rsidR="004E3188" w:rsidRPr="00472C29" w:rsidTr="00976DE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25" w:type="dxa"/>
            <w:tcBorders>
              <w:left w:val="none" w:sz="0" w:space="0" w:color="auto"/>
              <w:right w:val="none" w:sz="0" w:space="0" w:color="auto"/>
            </w:tcBorders>
            <w:hideMark/>
          </w:tcPr>
          <w:p w:rsidR="004E3188" w:rsidRPr="009C1BFA" w:rsidRDefault="004E3188" w:rsidP="00757FBA">
            <w:pPr>
              <w:spacing w:before="0" w:line="276" w:lineRule="auto"/>
              <w:ind w:firstLineChars="300" w:firstLine="660"/>
              <w:contextualSpacing w:val="0"/>
              <w:jc w:val="left"/>
              <w:rPr>
                <w:i/>
                <w:iCs/>
                <w:lang w:eastAsia="en-US"/>
              </w:rPr>
            </w:pPr>
            <w:r w:rsidRPr="009C1BFA">
              <w:rPr>
                <w:i/>
                <w:iCs/>
                <w:lang w:val="en-US" w:eastAsia="en-US"/>
              </w:rPr>
              <w:t>որից</w:t>
            </w:r>
            <w:r w:rsidRPr="009C1BFA">
              <w:rPr>
                <w:i/>
                <w:iCs/>
                <w:lang w:eastAsia="en-US"/>
              </w:rPr>
              <w:t xml:space="preserve">` </w:t>
            </w:r>
            <w:r w:rsidRPr="009C1BFA">
              <w:rPr>
                <w:i/>
                <w:iCs/>
                <w:lang w:val="en-US" w:eastAsia="en-US"/>
              </w:rPr>
              <w:t>ՀՀ</w:t>
            </w:r>
            <w:r w:rsidRPr="009C1BFA">
              <w:rPr>
                <w:i/>
                <w:iCs/>
                <w:lang w:eastAsia="en-US"/>
              </w:rPr>
              <w:t xml:space="preserve"> </w:t>
            </w:r>
            <w:r w:rsidRPr="009C1BFA">
              <w:rPr>
                <w:i/>
                <w:iCs/>
                <w:lang w:val="en-US" w:eastAsia="en-US"/>
              </w:rPr>
              <w:t>կենտրոնական</w:t>
            </w:r>
            <w:r w:rsidRPr="009C1BFA">
              <w:rPr>
                <w:i/>
                <w:iCs/>
                <w:lang w:eastAsia="en-US"/>
              </w:rPr>
              <w:t xml:space="preserve"> </w:t>
            </w:r>
            <w:r w:rsidRPr="009C1BFA">
              <w:rPr>
                <w:i/>
                <w:iCs/>
                <w:lang w:val="en-US" w:eastAsia="en-US"/>
              </w:rPr>
              <w:t>բանկի</w:t>
            </w:r>
            <w:r w:rsidRPr="009C1BFA">
              <w:rPr>
                <w:i/>
                <w:iCs/>
                <w:lang w:eastAsia="en-US"/>
              </w:rPr>
              <w:t xml:space="preserve"> </w:t>
            </w:r>
            <w:r w:rsidRPr="009C1BFA">
              <w:rPr>
                <w:i/>
                <w:iCs/>
                <w:lang w:val="en-US" w:eastAsia="en-US"/>
              </w:rPr>
              <w:t>պարտք</w:t>
            </w:r>
            <w:r w:rsidRPr="009C1BFA">
              <w:rPr>
                <w:i/>
                <w:iCs/>
                <w:lang w:eastAsia="en-US"/>
              </w:rPr>
              <w:t xml:space="preserve"> </w:t>
            </w:r>
          </w:p>
        </w:tc>
        <w:tc>
          <w:tcPr>
            <w:tcW w:w="1620" w:type="dxa"/>
            <w:tcBorders>
              <w:left w:val="none" w:sz="0" w:space="0" w:color="auto"/>
              <w:right w:val="none" w:sz="0" w:space="0" w:color="auto"/>
            </w:tcBorders>
            <w:vAlign w:val="center"/>
          </w:tcPr>
          <w:p w:rsidR="004E3188" w:rsidRPr="009C1BFA" w:rsidRDefault="004E3188" w:rsidP="007730AA">
            <w:pPr>
              <w:spacing w:before="0" w:line="276" w:lineRule="auto"/>
              <w:ind w:firstLine="0"/>
              <w:jc w:val="right"/>
              <w:cnfStyle w:val="000000100000" w:firstRow="0" w:lastRow="0" w:firstColumn="0" w:lastColumn="0" w:oddVBand="0" w:evenVBand="0" w:oddHBand="1" w:evenHBand="0" w:firstRowFirstColumn="0" w:firstRowLastColumn="0" w:lastRowFirstColumn="0" w:lastRowLastColumn="0"/>
              <w:rPr>
                <w:b w:val="0"/>
                <w:i/>
                <w:color w:val="auto"/>
              </w:rPr>
            </w:pPr>
            <w:r w:rsidRPr="002461F0">
              <w:rPr>
                <w:b w:val="0"/>
                <w:color w:val="auto"/>
                <w:sz w:val="20"/>
                <w:szCs w:val="20"/>
              </w:rPr>
              <w:t xml:space="preserve">489 </w:t>
            </w:r>
          </w:p>
        </w:tc>
        <w:tc>
          <w:tcPr>
            <w:tcW w:w="171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i/>
                <w:color w:val="auto"/>
              </w:rPr>
            </w:pPr>
            <w:r w:rsidRPr="002461F0">
              <w:rPr>
                <w:b w:val="0"/>
                <w:color w:val="auto"/>
                <w:sz w:val="20"/>
                <w:szCs w:val="20"/>
              </w:rPr>
              <w:t xml:space="preserve">          518 </w:t>
            </w:r>
          </w:p>
        </w:tc>
        <w:tc>
          <w:tcPr>
            <w:tcW w:w="1715" w:type="dxa"/>
            <w:tcBorders>
              <w:left w:val="none" w:sz="0" w:space="0" w:color="auto"/>
              <w:right w:val="none" w:sz="0" w:space="0" w:color="auto"/>
            </w:tcBorders>
            <w:vAlign w:val="center"/>
          </w:tcPr>
          <w:p w:rsidR="004E3188" w:rsidRPr="009C1BFA" w:rsidRDefault="004E3188" w:rsidP="007730AA">
            <w:pPr>
              <w:spacing w:before="0" w:line="276" w:lineRule="auto"/>
              <w:ind w:firstLine="0"/>
              <w:jc w:val="right"/>
              <w:cnfStyle w:val="000000100000" w:firstRow="0" w:lastRow="0" w:firstColumn="0" w:lastColumn="0" w:oddVBand="0" w:evenVBand="0" w:oddHBand="1" w:evenHBand="0" w:firstRowFirstColumn="0" w:firstRowLastColumn="0" w:lastRowFirstColumn="0" w:lastRowLastColumn="0"/>
              <w:rPr>
                <w:b w:val="0"/>
                <w:i/>
                <w:color w:val="auto"/>
              </w:rPr>
            </w:pPr>
            <w:r w:rsidRPr="002461F0">
              <w:rPr>
                <w:b w:val="0"/>
                <w:color w:val="auto"/>
                <w:sz w:val="20"/>
                <w:szCs w:val="20"/>
              </w:rPr>
              <w:t xml:space="preserve">          484 </w:t>
            </w:r>
          </w:p>
        </w:tc>
      </w:tr>
      <w:tr w:rsidR="004E3188" w:rsidRPr="00472C29" w:rsidTr="00976DEF">
        <w:trPr>
          <w:trHeight w:val="330"/>
        </w:trPr>
        <w:tc>
          <w:tcPr>
            <w:cnfStyle w:val="001000000000" w:firstRow="0" w:lastRow="0" w:firstColumn="1" w:lastColumn="0" w:oddVBand="0" w:evenVBand="0" w:oddHBand="0" w:evenHBand="0" w:firstRowFirstColumn="0" w:firstRowLastColumn="0" w:lastRowFirstColumn="0" w:lastRowLastColumn="0"/>
            <w:tcW w:w="5125" w:type="dxa"/>
            <w:hideMark/>
          </w:tcPr>
          <w:p w:rsidR="004E3188" w:rsidRPr="009C1BFA" w:rsidRDefault="004E3188" w:rsidP="00757FBA">
            <w:pPr>
              <w:spacing w:before="0" w:line="276" w:lineRule="auto"/>
              <w:ind w:firstLineChars="100" w:firstLine="220"/>
              <w:contextualSpacing w:val="0"/>
              <w:jc w:val="left"/>
              <w:rPr>
                <w:lang w:val="en-US" w:eastAsia="en-US"/>
              </w:rPr>
            </w:pPr>
            <w:r w:rsidRPr="009C1BFA">
              <w:rPr>
                <w:lang w:val="en-US" w:eastAsia="en-US"/>
              </w:rPr>
              <w:t>ներքին պետական պարտք</w:t>
            </w:r>
          </w:p>
        </w:tc>
        <w:tc>
          <w:tcPr>
            <w:tcW w:w="162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sz w:val="20"/>
                <w:szCs w:val="20"/>
              </w:rPr>
              <w:t xml:space="preserve">    </w:t>
            </w:r>
            <w:r w:rsidRPr="002461F0">
              <w:rPr>
                <w:b w:val="0"/>
                <w:color w:val="auto"/>
                <w:sz w:val="20"/>
                <w:szCs w:val="20"/>
              </w:rPr>
              <w:t xml:space="preserve"> 1 537   </w:t>
            </w:r>
          </w:p>
        </w:tc>
        <w:tc>
          <w:tcPr>
            <w:tcW w:w="171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2461F0">
              <w:rPr>
                <w:b w:val="0"/>
                <w:color w:val="auto"/>
                <w:sz w:val="20"/>
                <w:szCs w:val="20"/>
              </w:rPr>
              <w:t xml:space="preserve">    2 048   </w:t>
            </w:r>
          </w:p>
        </w:tc>
        <w:tc>
          <w:tcPr>
            <w:tcW w:w="1715"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2461F0">
              <w:rPr>
                <w:b w:val="0"/>
                <w:color w:val="auto"/>
                <w:sz w:val="20"/>
                <w:szCs w:val="20"/>
              </w:rPr>
              <w:t xml:space="preserve">       2 518   </w:t>
            </w:r>
          </w:p>
        </w:tc>
      </w:tr>
      <w:tr w:rsidR="004E3188" w:rsidRPr="00472C29" w:rsidTr="00976DE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25" w:type="dxa"/>
            <w:tcBorders>
              <w:left w:val="none" w:sz="0" w:space="0" w:color="auto"/>
              <w:right w:val="none" w:sz="0" w:space="0" w:color="auto"/>
            </w:tcBorders>
          </w:tcPr>
          <w:p w:rsidR="004E3188" w:rsidRPr="009C1BFA" w:rsidRDefault="004E3188" w:rsidP="00757FBA">
            <w:pPr>
              <w:spacing w:before="0" w:line="276" w:lineRule="auto"/>
              <w:ind w:firstLineChars="100" w:firstLine="220"/>
              <w:contextualSpacing w:val="0"/>
              <w:jc w:val="center"/>
              <w:rPr>
                <w:i/>
                <w:color w:val="auto"/>
                <w:lang w:val="en-US" w:eastAsia="en-US"/>
              </w:rPr>
            </w:pPr>
            <w:r w:rsidRPr="009C1BFA">
              <w:rPr>
                <w:i/>
                <w:color w:val="auto"/>
                <w:lang w:val="en-US" w:eastAsia="en-US"/>
              </w:rPr>
              <w:t>տոկոսներով ՀՆԱ-ի նկատմամբ</w:t>
            </w:r>
          </w:p>
        </w:tc>
        <w:tc>
          <w:tcPr>
            <w:tcW w:w="162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bCs/>
                <w:color w:val="auto"/>
              </w:rPr>
            </w:pPr>
            <w:r w:rsidRPr="002461F0">
              <w:rPr>
                <w:rFonts w:ascii="Calibri" w:hAnsi="Calibri" w:cs="Calibri"/>
                <w:b w:val="0"/>
                <w:bCs/>
                <w:color w:val="auto"/>
                <w:sz w:val="20"/>
                <w:szCs w:val="20"/>
              </w:rPr>
              <w:t> </w:t>
            </w:r>
          </w:p>
        </w:tc>
        <w:tc>
          <w:tcPr>
            <w:tcW w:w="171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bCs/>
                <w:color w:val="auto"/>
              </w:rPr>
            </w:pPr>
          </w:p>
        </w:tc>
        <w:tc>
          <w:tcPr>
            <w:tcW w:w="1715"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p>
        </w:tc>
      </w:tr>
      <w:tr w:rsidR="004E3188" w:rsidRPr="00472C29" w:rsidTr="00976DEF">
        <w:trPr>
          <w:trHeight w:val="330"/>
        </w:trPr>
        <w:tc>
          <w:tcPr>
            <w:cnfStyle w:val="001000000000" w:firstRow="0" w:lastRow="0" w:firstColumn="1" w:lastColumn="0" w:oddVBand="0" w:evenVBand="0" w:oddHBand="0" w:evenHBand="0" w:firstRowFirstColumn="0" w:firstRowLastColumn="0" w:lastRowFirstColumn="0" w:lastRowLastColumn="0"/>
            <w:tcW w:w="5125" w:type="dxa"/>
            <w:hideMark/>
          </w:tcPr>
          <w:p w:rsidR="004E3188" w:rsidRPr="009C1BFA" w:rsidRDefault="004E3188" w:rsidP="007730AA">
            <w:pPr>
              <w:spacing w:before="0" w:line="276" w:lineRule="auto"/>
              <w:ind w:firstLine="0"/>
              <w:contextualSpacing w:val="0"/>
              <w:jc w:val="left"/>
              <w:rPr>
                <w:lang w:val="en-US" w:eastAsia="en-US"/>
              </w:rPr>
            </w:pPr>
            <w:r w:rsidRPr="009C1BFA">
              <w:rPr>
                <w:lang w:val="en-US" w:eastAsia="en-US"/>
              </w:rPr>
              <w:t>ՀՀ պետական պարտք</w:t>
            </w:r>
          </w:p>
        </w:tc>
        <w:tc>
          <w:tcPr>
            <w:tcW w:w="162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Pr>
                <w:color w:val="auto"/>
                <w:sz w:val="20"/>
                <w:szCs w:val="20"/>
              </w:rPr>
              <w:t xml:space="preserve">      </w:t>
            </w:r>
            <w:r w:rsidRPr="002461F0">
              <w:rPr>
                <w:color w:val="auto"/>
                <w:sz w:val="20"/>
                <w:szCs w:val="20"/>
              </w:rPr>
              <w:t xml:space="preserve">53.5 </w:t>
            </w:r>
          </w:p>
        </w:tc>
        <w:tc>
          <w:tcPr>
            <w:tcW w:w="171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2461F0">
              <w:rPr>
                <w:color w:val="auto"/>
                <w:sz w:val="20"/>
                <w:szCs w:val="20"/>
              </w:rPr>
              <w:t xml:space="preserve">       65.7 </w:t>
            </w:r>
          </w:p>
        </w:tc>
        <w:tc>
          <w:tcPr>
            <w:tcW w:w="1715"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sidRPr="002461F0">
              <w:rPr>
                <w:color w:val="auto"/>
                <w:sz w:val="20"/>
                <w:szCs w:val="20"/>
              </w:rPr>
              <w:t xml:space="preserve">        69.8 </w:t>
            </w:r>
          </w:p>
        </w:tc>
      </w:tr>
      <w:tr w:rsidR="004E3188" w:rsidRPr="00472C29" w:rsidTr="00976DE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25" w:type="dxa"/>
            <w:tcBorders>
              <w:left w:val="none" w:sz="0" w:space="0" w:color="auto"/>
              <w:right w:val="none" w:sz="0" w:space="0" w:color="auto"/>
            </w:tcBorders>
            <w:hideMark/>
          </w:tcPr>
          <w:p w:rsidR="004E3188" w:rsidRPr="009C1BFA" w:rsidRDefault="004E3188" w:rsidP="007730AA">
            <w:pPr>
              <w:spacing w:before="0" w:line="276" w:lineRule="auto"/>
              <w:ind w:firstLine="0"/>
              <w:contextualSpacing w:val="0"/>
              <w:jc w:val="center"/>
              <w:rPr>
                <w:i/>
                <w:lang w:val="en-US" w:eastAsia="en-US"/>
              </w:rPr>
            </w:pPr>
            <w:r w:rsidRPr="009C1BFA">
              <w:rPr>
                <w:i/>
                <w:lang w:val="en-US" w:eastAsia="en-US"/>
              </w:rPr>
              <w:t>այդ թվում`</w:t>
            </w:r>
          </w:p>
        </w:tc>
        <w:tc>
          <w:tcPr>
            <w:tcW w:w="162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r w:rsidRPr="002461F0">
              <w:rPr>
                <w:rFonts w:ascii="Calibri" w:hAnsi="Calibri" w:cs="Calibri"/>
                <w:b w:val="0"/>
                <w:color w:val="auto"/>
                <w:sz w:val="20"/>
                <w:szCs w:val="20"/>
              </w:rPr>
              <w:t> </w:t>
            </w:r>
          </w:p>
        </w:tc>
        <w:tc>
          <w:tcPr>
            <w:tcW w:w="171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r w:rsidRPr="002461F0">
              <w:rPr>
                <w:rFonts w:ascii="Calibri" w:hAnsi="Calibri" w:cs="Calibri"/>
                <w:b w:val="0"/>
                <w:color w:val="auto"/>
                <w:sz w:val="20"/>
                <w:szCs w:val="20"/>
              </w:rPr>
              <w:t> </w:t>
            </w:r>
          </w:p>
        </w:tc>
        <w:tc>
          <w:tcPr>
            <w:tcW w:w="1715"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p>
        </w:tc>
      </w:tr>
      <w:tr w:rsidR="004E3188" w:rsidRPr="00472C29" w:rsidTr="00976DEF">
        <w:trPr>
          <w:trHeight w:val="330"/>
        </w:trPr>
        <w:tc>
          <w:tcPr>
            <w:cnfStyle w:val="001000000000" w:firstRow="0" w:lastRow="0" w:firstColumn="1" w:lastColumn="0" w:oddVBand="0" w:evenVBand="0" w:oddHBand="0" w:evenHBand="0" w:firstRowFirstColumn="0" w:firstRowLastColumn="0" w:lastRowFirstColumn="0" w:lastRowLastColumn="0"/>
            <w:tcW w:w="5125" w:type="dxa"/>
            <w:hideMark/>
          </w:tcPr>
          <w:p w:rsidR="004E3188" w:rsidRPr="009C1BFA" w:rsidRDefault="004E3188" w:rsidP="00757FBA">
            <w:pPr>
              <w:spacing w:before="0" w:line="276" w:lineRule="auto"/>
              <w:ind w:firstLineChars="100" w:firstLine="220"/>
              <w:contextualSpacing w:val="0"/>
              <w:jc w:val="left"/>
              <w:rPr>
                <w:lang w:val="en-US" w:eastAsia="en-US"/>
              </w:rPr>
            </w:pPr>
            <w:r w:rsidRPr="009C1BFA">
              <w:rPr>
                <w:lang w:val="en-US" w:eastAsia="en-US"/>
              </w:rPr>
              <w:t>արտաքին պետական պարտք</w:t>
            </w:r>
          </w:p>
        </w:tc>
        <w:tc>
          <w:tcPr>
            <w:tcW w:w="162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sz w:val="20"/>
                <w:szCs w:val="20"/>
              </w:rPr>
              <w:t xml:space="preserve">      </w:t>
            </w:r>
            <w:r w:rsidRPr="002461F0">
              <w:rPr>
                <w:b w:val="0"/>
                <w:color w:val="auto"/>
                <w:sz w:val="20"/>
                <w:szCs w:val="20"/>
              </w:rPr>
              <w:t xml:space="preserve">42.2 </w:t>
            </w:r>
          </w:p>
        </w:tc>
        <w:tc>
          <w:tcPr>
            <w:tcW w:w="171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sz w:val="20"/>
                <w:szCs w:val="20"/>
              </w:rPr>
              <w:t xml:space="preserve">         </w:t>
            </w:r>
            <w:r w:rsidRPr="002461F0">
              <w:rPr>
                <w:b w:val="0"/>
                <w:color w:val="auto"/>
                <w:sz w:val="20"/>
                <w:szCs w:val="20"/>
              </w:rPr>
              <w:t xml:space="preserve">49.1 </w:t>
            </w:r>
          </w:p>
        </w:tc>
        <w:tc>
          <w:tcPr>
            <w:tcW w:w="1715"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2461F0">
              <w:rPr>
                <w:b w:val="0"/>
                <w:color w:val="auto"/>
                <w:sz w:val="20"/>
                <w:szCs w:val="20"/>
              </w:rPr>
              <w:t xml:space="preserve">        50.3 </w:t>
            </w:r>
          </w:p>
        </w:tc>
      </w:tr>
      <w:tr w:rsidR="004E3188" w:rsidRPr="00472C29" w:rsidTr="00976DEF">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125" w:type="dxa"/>
            <w:tcBorders>
              <w:left w:val="none" w:sz="0" w:space="0" w:color="auto"/>
              <w:right w:val="none" w:sz="0" w:space="0" w:color="auto"/>
            </w:tcBorders>
            <w:hideMark/>
          </w:tcPr>
          <w:p w:rsidR="004E3188" w:rsidRPr="009C1BFA" w:rsidRDefault="004E3188" w:rsidP="00757FBA">
            <w:pPr>
              <w:spacing w:before="0" w:line="276" w:lineRule="auto"/>
              <w:ind w:firstLineChars="300" w:firstLine="660"/>
              <w:contextualSpacing w:val="0"/>
              <w:jc w:val="left"/>
              <w:rPr>
                <w:i/>
                <w:iCs/>
                <w:lang w:eastAsia="en-US"/>
              </w:rPr>
            </w:pPr>
            <w:r w:rsidRPr="009C1BFA">
              <w:rPr>
                <w:i/>
                <w:iCs/>
                <w:lang w:val="en-US" w:eastAsia="en-US"/>
              </w:rPr>
              <w:t>որից</w:t>
            </w:r>
            <w:r w:rsidRPr="009C1BFA">
              <w:rPr>
                <w:i/>
                <w:iCs/>
                <w:lang w:eastAsia="en-US"/>
              </w:rPr>
              <w:t xml:space="preserve">` </w:t>
            </w:r>
            <w:r w:rsidRPr="009C1BFA">
              <w:rPr>
                <w:i/>
                <w:iCs/>
                <w:lang w:val="en-US" w:eastAsia="en-US"/>
              </w:rPr>
              <w:t>ՀՀ</w:t>
            </w:r>
            <w:r w:rsidRPr="009C1BFA">
              <w:rPr>
                <w:i/>
                <w:iCs/>
                <w:lang w:eastAsia="en-US"/>
              </w:rPr>
              <w:t xml:space="preserve"> </w:t>
            </w:r>
            <w:r w:rsidRPr="009C1BFA">
              <w:rPr>
                <w:i/>
                <w:iCs/>
                <w:lang w:val="en-US" w:eastAsia="en-US"/>
              </w:rPr>
              <w:t>կենտրոնական</w:t>
            </w:r>
            <w:r w:rsidRPr="009C1BFA">
              <w:rPr>
                <w:i/>
                <w:iCs/>
                <w:lang w:eastAsia="en-US"/>
              </w:rPr>
              <w:t xml:space="preserve"> </w:t>
            </w:r>
            <w:r w:rsidRPr="009C1BFA">
              <w:rPr>
                <w:i/>
                <w:iCs/>
                <w:lang w:val="en-US" w:eastAsia="en-US"/>
              </w:rPr>
              <w:t>բանկի</w:t>
            </w:r>
            <w:r w:rsidRPr="009C1BFA">
              <w:rPr>
                <w:i/>
                <w:iCs/>
                <w:lang w:eastAsia="en-US"/>
              </w:rPr>
              <w:t xml:space="preserve"> </w:t>
            </w:r>
            <w:r w:rsidRPr="009C1BFA">
              <w:rPr>
                <w:i/>
                <w:iCs/>
                <w:lang w:val="en-US" w:eastAsia="en-US"/>
              </w:rPr>
              <w:t>պարտք</w:t>
            </w:r>
            <w:r w:rsidRPr="009C1BFA">
              <w:rPr>
                <w:i/>
                <w:iCs/>
                <w:lang w:eastAsia="en-US"/>
              </w:rPr>
              <w:t xml:space="preserve"> </w:t>
            </w:r>
          </w:p>
        </w:tc>
        <w:tc>
          <w:tcPr>
            <w:tcW w:w="162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i/>
                <w:iCs/>
                <w:color w:val="auto"/>
              </w:rPr>
            </w:pPr>
            <w:r>
              <w:rPr>
                <w:b w:val="0"/>
                <w:i/>
                <w:iCs/>
                <w:color w:val="auto"/>
                <w:sz w:val="20"/>
                <w:szCs w:val="20"/>
              </w:rPr>
              <w:t xml:space="preserve">        </w:t>
            </w:r>
            <w:r w:rsidRPr="002461F0">
              <w:rPr>
                <w:b w:val="0"/>
                <w:i/>
                <w:iCs/>
                <w:color w:val="auto"/>
                <w:sz w:val="20"/>
                <w:szCs w:val="20"/>
              </w:rPr>
              <w:t xml:space="preserve">3.6 </w:t>
            </w:r>
          </w:p>
        </w:tc>
        <w:tc>
          <w:tcPr>
            <w:tcW w:w="1710"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i/>
                <w:iCs/>
                <w:color w:val="auto"/>
              </w:rPr>
            </w:pPr>
            <w:r w:rsidRPr="002461F0">
              <w:rPr>
                <w:b w:val="0"/>
                <w:i/>
                <w:iCs/>
                <w:color w:val="auto"/>
                <w:sz w:val="20"/>
                <w:szCs w:val="20"/>
              </w:rPr>
              <w:t xml:space="preserve">          4.2 </w:t>
            </w:r>
          </w:p>
        </w:tc>
        <w:tc>
          <w:tcPr>
            <w:tcW w:w="1715" w:type="dxa"/>
            <w:tcBorders>
              <w:left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i/>
                <w:iCs/>
                <w:color w:val="auto"/>
              </w:rPr>
            </w:pPr>
            <w:r w:rsidRPr="002461F0">
              <w:rPr>
                <w:b w:val="0"/>
                <w:i/>
                <w:iCs/>
                <w:color w:val="auto"/>
                <w:sz w:val="20"/>
                <w:szCs w:val="20"/>
              </w:rPr>
              <w:t xml:space="preserve">          3.7 </w:t>
            </w:r>
          </w:p>
        </w:tc>
      </w:tr>
      <w:tr w:rsidR="004E3188" w:rsidRPr="00472C29" w:rsidTr="00976DEF">
        <w:trPr>
          <w:trHeight w:val="330"/>
        </w:trPr>
        <w:tc>
          <w:tcPr>
            <w:cnfStyle w:val="001000000000" w:firstRow="0" w:lastRow="0" w:firstColumn="1" w:lastColumn="0" w:oddVBand="0" w:evenVBand="0" w:oddHBand="0" w:evenHBand="0" w:firstRowFirstColumn="0" w:firstRowLastColumn="0" w:lastRowFirstColumn="0" w:lastRowLastColumn="0"/>
            <w:tcW w:w="5125" w:type="dxa"/>
            <w:hideMark/>
          </w:tcPr>
          <w:p w:rsidR="004E3188" w:rsidRPr="009C1BFA" w:rsidRDefault="004E3188" w:rsidP="00757FBA">
            <w:pPr>
              <w:spacing w:before="0" w:line="276" w:lineRule="auto"/>
              <w:ind w:firstLineChars="100" w:firstLine="220"/>
              <w:contextualSpacing w:val="0"/>
              <w:jc w:val="left"/>
              <w:rPr>
                <w:lang w:val="en-US" w:eastAsia="en-US"/>
              </w:rPr>
            </w:pPr>
            <w:r w:rsidRPr="009C1BFA">
              <w:rPr>
                <w:lang w:val="en-US" w:eastAsia="en-US"/>
              </w:rPr>
              <w:t>ներքին պետական պարտք</w:t>
            </w:r>
          </w:p>
        </w:tc>
        <w:tc>
          <w:tcPr>
            <w:tcW w:w="162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sz w:val="20"/>
                <w:szCs w:val="20"/>
              </w:rPr>
              <w:t xml:space="preserve">        </w:t>
            </w:r>
            <w:r w:rsidRPr="002461F0">
              <w:rPr>
                <w:b w:val="0"/>
                <w:color w:val="auto"/>
                <w:sz w:val="20"/>
                <w:szCs w:val="20"/>
              </w:rPr>
              <w:t xml:space="preserve">11.2 </w:t>
            </w:r>
          </w:p>
        </w:tc>
        <w:tc>
          <w:tcPr>
            <w:tcW w:w="1710"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2461F0">
              <w:rPr>
                <w:b w:val="0"/>
                <w:color w:val="auto"/>
                <w:sz w:val="20"/>
                <w:szCs w:val="20"/>
              </w:rPr>
              <w:t xml:space="preserve">        16.6 </w:t>
            </w:r>
          </w:p>
        </w:tc>
        <w:tc>
          <w:tcPr>
            <w:tcW w:w="1715" w:type="dxa"/>
            <w:vAlign w:val="center"/>
          </w:tcPr>
          <w:p w:rsidR="004E3188" w:rsidRPr="009C1BFA"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2461F0">
              <w:rPr>
                <w:b w:val="0"/>
                <w:color w:val="auto"/>
                <w:sz w:val="20"/>
                <w:szCs w:val="20"/>
              </w:rPr>
              <w:t xml:space="preserve">         19.4 </w:t>
            </w:r>
          </w:p>
        </w:tc>
      </w:tr>
    </w:tbl>
    <w:p w:rsidR="00976DEF" w:rsidRDefault="00976DEF" w:rsidP="007730AA">
      <w:pPr>
        <w:spacing w:before="0" w:line="276" w:lineRule="auto"/>
        <w:ind w:firstLine="0"/>
        <w:contextualSpacing w:val="0"/>
        <w:rPr>
          <w:rFonts w:eastAsiaTheme="minorHAnsi" w:cs="Sylfaen"/>
          <w:b w:val="0"/>
          <w:iCs/>
          <w:szCs w:val="22"/>
          <w:lang w:eastAsia="en-US"/>
        </w:rPr>
      </w:pPr>
    </w:p>
    <w:p w:rsidR="00D6013E" w:rsidRPr="00976DEF" w:rsidRDefault="00D6013E" w:rsidP="007730AA">
      <w:pPr>
        <w:spacing w:before="0" w:line="276" w:lineRule="auto"/>
        <w:ind w:firstLine="0"/>
        <w:contextualSpacing w:val="0"/>
        <w:rPr>
          <w:rFonts w:eastAsiaTheme="minorHAnsi" w:cstheme="minorBidi"/>
          <w:b w:val="0"/>
          <w:iCs/>
          <w:szCs w:val="22"/>
          <w:lang w:eastAsia="en-US"/>
        </w:rPr>
      </w:pPr>
      <w:r w:rsidRPr="00976DEF">
        <w:rPr>
          <w:rFonts w:eastAsiaTheme="minorHAnsi" w:cs="Sylfaen"/>
          <w:b w:val="0"/>
          <w:iCs/>
          <w:szCs w:val="22"/>
          <w:lang w:eastAsia="en-US"/>
        </w:rPr>
        <w:t xml:space="preserve">2020 </w:t>
      </w:r>
      <w:r w:rsidRPr="00976DEF">
        <w:rPr>
          <w:rFonts w:eastAsiaTheme="minorHAnsi" w:cs="Sylfaen"/>
          <w:b w:val="0"/>
          <w:iCs/>
          <w:szCs w:val="22"/>
          <w:lang w:val="en-US" w:eastAsia="en-US"/>
        </w:rPr>
        <w:t>և</w:t>
      </w:r>
      <w:r w:rsidRPr="00976DEF">
        <w:rPr>
          <w:rFonts w:eastAsiaTheme="minorHAnsi" w:cs="Sylfaen"/>
          <w:b w:val="0"/>
          <w:iCs/>
          <w:szCs w:val="22"/>
          <w:lang w:eastAsia="en-US"/>
        </w:rPr>
        <w:t xml:space="preserve"> 2021 </w:t>
      </w:r>
      <w:r w:rsidRPr="00976DEF">
        <w:rPr>
          <w:rFonts w:eastAsiaTheme="minorHAnsi" w:cs="Sylfaen"/>
          <w:b w:val="0"/>
          <w:iCs/>
          <w:szCs w:val="22"/>
          <w:lang w:val="en-US" w:eastAsia="en-US"/>
        </w:rPr>
        <w:t>թվականների</w:t>
      </w:r>
      <w:r w:rsidRPr="00976DEF">
        <w:rPr>
          <w:rFonts w:eastAsiaTheme="minorHAnsi" w:cs="Sylfaen"/>
          <w:b w:val="0"/>
          <w:iCs/>
          <w:szCs w:val="22"/>
          <w:lang w:eastAsia="en-US"/>
        </w:rPr>
        <w:t xml:space="preserve"> </w:t>
      </w:r>
      <w:r w:rsidRPr="00976DEF">
        <w:rPr>
          <w:rFonts w:eastAsiaTheme="minorHAnsi" w:cs="Sylfaen"/>
          <w:b w:val="0"/>
          <w:iCs/>
          <w:szCs w:val="22"/>
          <w:lang w:val="en-US" w:eastAsia="en-US"/>
        </w:rPr>
        <w:t>համար</w:t>
      </w:r>
      <w:r w:rsidRPr="00976DEF">
        <w:rPr>
          <w:rFonts w:eastAsiaTheme="minorHAnsi" w:cs="Sylfaen"/>
          <w:b w:val="0"/>
          <w:iCs/>
          <w:szCs w:val="22"/>
          <w:lang w:eastAsia="en-US"/>
        </w:rPr>
        <w:t xml:space="preserve"> </w:t>
      </w:r>
      <w:r w:rsidRPr="00976DEF">
        <w:rPr>
          <w:rFonts w:eastAsiaTheme="minorHAnsi" w:cs="Sylfaen"/>
          <w:b w:val="0"/>
          <w:iCs/>
          <w:szCs w:val="22"/>
          <w:lang w:val="en-US" w:eastAsia="en-US"/>
        </w:rPr>
        <w:t>փոխարկումները</w:t>
      </w:r>
      <w:r w:rsidRPr="00976DEF">
        <w:rPr>
          <w:rFonts w:eastAsiaTheme="minorHAnsi" w:cs="Sylfaen"/>
          <w:b w:val="0"/>
          <w:iCs/>
          <w:szCs w:val="22"/>
          <w:lang w:eastAsia="en-US"/>
        </w:rPr>
        <w:t xml:space="preserve"> </w:t>
      </w:r>
      <w:r w:rsidRPr="00976DEF">
        <w:rPr>
          <w:rFonts w:eastAsiaTheme="minorHAnsi" w:cs="Sylfaen"/>
          <w:b w:val="0"/>
          <w:iCs/>
          <w:szCs w:val="22"/>
          <w:lang w:val="en-US" w:eastAsia="en-US"/>
        </w:rPr>
        <w:t>կատարվել</w:t>
      </w:r>
      <w:r w:rsidRPr="00976DEF">
        <w:rPr>
          <w:rFonts w:eastAsiaTheme="minorHAnsi" w:cs="Sylfaen"/>
          <w:b w:val="0"/>
          <w:iCs/>
          <w:szCs w:val="22"/>
          <w:lang w:eastAsia="en-US"/>
        </w:rPr>
        <w:t xml:space="preserve"> </w:t>
      </w:r>
      <w:r w:rsidRPr="00976DEF">
        <w:rPr>
          <w:rFonts w:eastAsiaTheme="minorHAnsi" w:cs="Sylfaen"/>
          <w:b w:val="0"/>
          <w:iCs/>
          <w:szCs w:val="22"/>
          <w:lang w:val="en-US" w:eastAsia="en-US"/>
        </w:rPr>
        <w:t>են</w:t>
      </w:r>
      <w:r w:rsidRPr="00976DEF">
        <w:rPr>
          <w:rFonts w:eastAsiaTheme="minorHAnsi" w:cs="Sylfaen"/>
          <w:b w:val="0"/>
          <w:iCs/>
          <w:szCs w:val="22"/>
          <w:lang w:eastAsia="en-US"/>
        </w:rPr>
        <w:t xml:space="preserve"> 1 </w:t>
      </w:r>
      <w:r w:rsidRPr="00976DEF">
        <w:rPr>
          <w:rFonts w:eastAsiaTheme="minorHAnsi" w:cs="Sylfaen"/>
          <w:b w:val="0"/>
          <w:iCs/>
          <w:szCs w:val="22"/>
          <w:lang w:val="en-US" w:eastAsia="en-US"/>
        </w:rPr>
        <w:t>ԱՄՆ</w:t>
      </w:r>
      <w:r w:rsidRPr="00976DEF">
        <w:rPr>
          <w:rFonts w:eastAsiaTheme="minorHAnsi" w:cs="Sylfaen"/>
          <w:b w:val="0"/>
          <w:iCs/>
          <w:szCs w:val="22"/>
          <w:lang w:eastAsia="en-US"/>
        </w:rPr>
        <w:t xml:space="preserve"> </w:t>
      </w:r>
      <w:r w:rsidRPr="00976DEF">
        <w:rPr>
          <w:rFonts w:eastAsiaTheme="minorHAnsi" w:cs="Sylfaen"/>
          <w:b w:val="0"/>
          <w:iCs/>
          <w:szCs w:val="22"/>
          <w:lang w:val="en-US" w:eastAsia="en-US"/>
        </w:rPr>
        <w:t>դոլար</w:t>
      </w:r>
      <w:r w:rsidRPr="00976DEF">
        <w:rPr>
          <w:rFonts w:eastAsiaTheme="minorHAnsi" w:cs="Sylfaen"/>
          <w:b w:val="0"/>
          <w:iCs/>
          <w:szCs w:val="22"/>
          <w:lang w:eastAsia="en-US"/>
        </w:rPr>
        <w:t xml:space="preserve"> = 493.76 </w:t>
      </w:r>
      <w:r w:rsidRPr="00976DEF">
        <w:rPr>
          <w:rFonts w:eastAsiaTheme="minorHAnsi" w:cs="Sylfaen"/>
          <w:b w:val="0"/>
          <w:iCs/>
          <w:szCs w:val="22"/>
          <w:lang w:val="en-US" w:eastAsia="en-US"/>
        </w:rPr>
        <w:t>դրամ</w:t>
      </w:r>
      <w:r w:rsidRPr="00976DEF">
        <w:rPr>
          <w:rFonts w:eastAsiaTheme="minorHAnsi" w:cs="Sylfaen"/>
          <w:b w:val="0"/>
          <w:iCs/>
          <w:szCs w:val="22"/>
          <w:lang w:eastAsia="en-US"/>
        </w:rPr>
        <w:t xml:space="preserve"> </w:t>
      </w:r>
      <w:r w:rsidRPr="00976DEF">
        <w:rPr>
          <w:rFonts w:eastAsiaTheme="minorHAnsi" w:cs="Sylfaen"/>
          <w:b w:val="0"/>
          <w:iCs/>
          <w:szCs w:val="22"/>
          <w:lang w:val="en-US" w:eastAsia="en-US"/>
        </w:rPr>
        <w:t>փոխարժեքով</w:t>
      </w:r>
      <w:r w:rsidRPr="00976DEF">
        <w:rPr>
          <w:rFonts w:eastAsiaTheme="minorHAnsi" w:cs="Sylfaen"/>
          <w:b w:val="0"/>
          <w:iCs/>
          <w:szCs w:val="22"/>
          <w:lang w:eastAsia="en-US"/>
        </w:rPr>
        <w:t xml:space="preserve"> (</w:t>
      </w:r>
      <w:r w:rsidRPr="00976DEF">
        <w:rPr>
          <w:rFonts w:eastAsiaTheme="minorHAnsi" w:cs="Sylfaen"/>
          <w:b w:val="0"/>
          <w:iCs/>
          <w:szCs w:val="22"/>
          <w:lang w:val="hy-AM" w:eastAsia="en-US"/>
        </w:rPr>
        <w:t>0</w:t>
      </w:r>
      <w:r w:rsidRPr="00976DEF">
        <w:rPr>
          <w:rFonts w:eastAsiaTheme="minorHAnsi" w:cs="Sylfaen"/>
          <w:b w:val="0"/>
          <w:iCs/>
          <w:szCs w:val="22"/>
          <w:lang w:eastAsia="en-US"/>
        </w:rPr>
        <w:t>2</w:t>
      </w:r>
      <w:r w:rsidRPr="00976DEF">
        <w:rPr>
          <w:rFonts w:eastAsiaTheme="minorHAnsi" w:cs="Sylfaen"/>
          <w:b w:val="0"/>
          <w:iCs/>
          <w:szCs w:val="22"/>
          <w:lang w:val="hy-AM" w:eastAsia="en-US"/>
        </w:rPr>
        <w:t>.</w:t>
      </w:r>
      <w:r w:rsidRPr="00976DEF">
        <w:rPr>
          <w:rFonts w:eastAsiaTheme="minorHAnsi" w:cs="Sylfaen"/>
          <w:b w:val="0"/>
          <w:iCs/>
          <w:szCs w:val="22"/>
          <w:lang w:eastAsia="en-US"/>
        </w:rPr>
        <w:t>11.2020</w:t>
      </w:r>
      <w:r w:rsidRPr="00976DEF">
        <w:rPr>
          <w:rFonts w:eastAsiaTheme="minorHAnsi" w:cs="Sylfaen"/>
          <w:b w:val="0"/>
          <w:iCs/>
          <w:szCs w:val="22"/>
          <w:lang w:val="en-US" w:eastAsia="en-US"/>
        </w:rPr>
        <w:t>թ</w:t>
      </w:r>
      <w:r w:rsidRPr="00976DEF">
        <w:rPr>
          <w:rFonts w:eastAsiaTheme="minorHAnsi" w:cs="Sylfaen"/>
          <w:b w:val="0"/>
          <w:iCs/>
          <w:szCs w:val="22"/>
          <w:lang w:eastAsia="en-US"/>
        </w:rPr>
        <w:t xml:space="preserve">. </w:t>
      </w:r>
      <w:r w:rsidRPr="00976DEF">
        <w:rPr>
          <w:rFonts w:eastAsiaTheme="minorHAnsi" w:cs="Sylfaen"/>
          <w:b w:val="0"/>
          <w:iCs/>
          <w:szCs w:val="22"/>
          <w:lang w:val="en-US" w:eastAsia="en-US"/>
        </w:rPr>
        <w:t>դրությամբ</w:t>
      </w:r>
      <w:r w:rsidRPr="00976DEF">
        <w:rPr>
          <w:rFonts w:eastAsiaTheme="minorHAnsi" w:cs="Sylfaen"/>
          <w:b w:val="0"/>
          <w:iCs/>
          <w:szCs w:val="22"/>
          <w:lang w:eastAsia="en-US"/>
        </w:rPr>
        <w:t xml:space="preserve"> </w:t>
      </w:r>
      <w:r w:rsidRPr="00976DEF">
        <w:rPr>
          <w:rFonts w:eastAsiaTheme="minorHAnsi" w:cs="Sylfaen"/>
          <w:b w:val="0"/>
          <w:iCs/>
          <w:szCs w:val="22"/>
          <w:lang w:val="en-US" w:eastAsia="en-US"/>
        </w:rPr>
        <w:t>արժութային</w:t>
      </w:r>
      <w:r w:rsidRPr="00976DEF">
        <w:rPr>
          <w:rFonts w:eastAsiaTheme="minorHAnsi" w:cstheme="minorBidi"/>
          <w:b w:val="0"/>
          <w:iCs/>
          <w:szCs w:val="22"/>
          <w:lang w:eastAsia="en-US"/>
        </w:rPr>
        <w:t xml:space="preserve"> </w:t>
      </w:r>
      <w:r w:rsidRPr="00976DEF">
        <w:rPr>
          <w:rFonts w:eastAsiaTheme="minorHAnsi" w:cs="Sylfaen"/>
          <w:b w:val="0"/>
          <w:iCs/>
          <w:szCs w:val="22"/>
          <w:lang w:val="en-US" w:eastAsia="en-US"/>
        </w:rPr>
        <w:t>շուկայում</w:t>
      </w:r>
      <w:r w:rsidRPr="00976DEF">
        <w:rPr>
          <w:rFonts w:eastAsiaTheme="minorHAnsi" w:cstheme="minorBidi"/>
          <w:b w:val="0"/>
          <w:iCs/>
          <w:szCs w:val="22"/>
          <w:lang w:eastAsia="en-US"/>
        </w:rPr>
        <w:t xml:space="preserve"> </w:t>
      </w:r>
      <w:r w:rsidRPr="00976DEF">
        <w:rPr>
          <w:rFonts w:eastAsiaTheme="minorHAnsi" w:cs="Sylfaen"/>
          <w:b w:val="0"/>
          <w:iCs/>
          <w:szCs w:val="22"/>
          <w:lang w:val="en-US" w:eastAsia="en-US"/>
        </w:rPr>
        <w:t>ձևավորված</w:t>
      </w:r>
      <w:r w:rsidRPr="00976DEF">
        <w:rPr>
          <w:rFonts w:eastAsiaTheme="minorHAnsi" w:cstheme="minorBidi"/>
          <w:b w:val="0"/>
          <w:iCs/>
          <w:szCs w:val="22"/>
          <w:lang w:eastAsia="en-US"/>
        </w:rPr>
        <w:t xml:space="preserve"> </w:t>
      </w:r>
      <w:r w:rsidRPr="00976DEF">
        <w:rPr>
          <w:rFonts w:eastAsiaTheme="minorHAnsi" w:cs="Sylfaen"/>
          <w:b w:val="0"/>
          <w:iCs/>
          <w:szCs w:val="22"/>
          <w:lang w:val="en-US" w:eastAsia="en-US"/>
        </w:rPr>
        <w:t>միջին</w:t>
      </w:r>
      <w:r w:rsidRPr="00976DEF">
        <w:rPr>
          <w:rFonts w:eastAsiaTheme="minorHAnsi" w:cstheme="minorBidi"/>
          <w:b w:val="0"/>
          <w:iCs/>
          <w:szCs w:val="22"/>
          <w:lang w:eastAsia="en-US"/>
        </w:rPr>
        <w:t xml:space="preserve"> </w:t>
      </w:r>
      <w:r w:rsidRPr="00976DEF">
        <w:rPr>
          <w:rFonts w:eastAsiaTheme="minorHAnsi" w:cs="Sylfaen"/>
          <w:b w:val="0"/>
          <w:iCs/>
          <w:szCs w:val="22"/>
          <w:lang w:val="en-US" w:eastAsia="en-US"/>
        </w:rPr>
        <w:t>փոխարժեք</w:t>
      </w:r>
      <w:r w:rsidRPr="00976DEF">
        <w:rPr>
          <w:rFonts w:eastAsiaTheme="minorHAnsi" w:cstheme="minorBidi"/>
          <w:b w:val="0"/>
          <w:iCs/>
          <w:szCs w:val="22"/>
          <w:lang w:eastAsia="en-US"/>
        </w:rPr>
        <w:t xml:space="preserve"> (</w:t>
      </w:r>
      <w:r w:rsidRPr="00976DEF">
        <w:rPr>
          <w:rFonts w:eastAsiaTheme="minorHAnsi" w:cs="Sylfaen"/>
          <w:b w:val="0"/>
          <w:iCs/>
          <w:szCs w:val="22"/>
          <w:lang w:val="en-US" w:eastAsia="en-US"/>
        </w:rPr>
        <w:t>աղբյուր</w:t>
      </w:r>
      <w:r w:rsidRPr="00976DEF">
        <w:rPr>
          <w:rFonts w:eastAsiaTheme="minorHAnsi" w:cstheme="minorBidi"/>
          <w:b w:val="0"/>
          <w:iCs/>
          <w:szCs w:val="22"/>
          <w:lang w:eastAsia="en-US"/>
        </w:rPr>
        <w:t xml:space="preserve">` </w:t>
      </w:r>
      <w:r w:rsidRPr="00976DEF">
        <w:rPr>
          <w:rFonts w:eastAsiaTheme="minorHAnsi" w:cs="Sylfaen"/>
          <w:b w:val="0"/>
          <w:iCs/>
          <w:szCs w:val="22"/>
          <w:lang w:val="en-US" w:eastAsia="en-US"/>
        </w:rPr>
        <w:t>ՀՀ</w:t>
      </w:r>
      <w:r w:rsidRPr="00976DEF">
        <w:rPr>
          <w:rFonts w:eastAsiaTheme="minorHAnsi" w:cstheme="minorBidi"/>
          <w:b w:val="0"/>
          <w:iCs/>
          <w:szCs w:val="22"/>
          <w:lang w:eastAsia="en-US"/>
        </w:rPr>
        <w:t xml:space="preserve"> </w:t>
      </w:r>
      <w:r w:rsidRPr="00976DEF">
        <w:rPr>
          <w:rFonts w:eastAsiaTheme="minorHAnsi" w:cs="Sylfaen"/>
          <w:b w:val="0"/>
          <w:iCs/>
          <w:szCs w:val="22"/>
          <w:lang w:val="en-US" w:eastAsia="en-US"/>
        </w:rPr>
        <w:t>կենտրոնական</w:t>
      </w:r>
      <w:r w:rsidRPr="00976DEF">
        <w:rPr>
          <w:rFonts w:eastAsiaTheme="minorHAnsi" w:cstheme="minorBidi"/>
          <w:b w:val="0"/>
          <w:iCs/>
          <w:szCs w:val="22"/>
          <w:lang w:eastAsia="en-US"/>
        </w:rPr>
        <w:t xml:space="preserve"> </w:t>
      </w:r>
      <w:r w:rsidRPr="00976DEF">
        <w:rPr>
          <w:rFonts w:eastAsiaTheme="minorHAnsi" w:cs="Sylfaen"/>
          <w:b w:val="0"/>
          <w:iCs/>
          <w:szCs w:val="22"/>
          <w:lang w:val="en-US" w:eastAsia="en-US"/>
        </w:rPr>
        <w:t>բանկ</w:t>
      </w:r>
      <w:r w:rsidRPr="00976DEF">
        <w:rPr>
          <w:rFonts w:eastAsiaTheme="minorHAnsi" w:cstheme="minorBidi"/>
          <w:b w:val="0"/>
          <w:iCs/>
          <w:szCs w:val="22"/>
          <w:lang w:eastAsia="en-US"/>
        </w:rPr>
        <w:t>)):</w:t>
      </w:r>
    </w:p>
    <w:p w:rsidR="00D6013E" w:rsidRDefault="00D6013E" w:rsidP="007730AA">
      <w:pPr>
        <w:spacing w:before="0" w:line="276" w:lineRule="auto"/>
        <w:ind w:firstLine="0"/>
        <w:contextualSpacing w:val="0"/>
        <w:rPr>
          <w:rFonts w:eastAsiaTheme="minorHAnsi" w:cstheme="minorBidi"/>
          <w:b w:val="0"/>
          <w:sz w:val="24"/>
          <w:lang w:eastAsia="en-US"/>
        </w:rPr>
      </w:pPr>
    </w:p>
    <w:p w:rsidR="00E513E7" w:rsidRPr="005578F9" w:rsidRDefault="00E513E7" w:rsidP="007730AA">
      <w:pPr>
        <w:spacing w:before="0" w:line="276" w:lineRule="auto"/>
        <w:ind w:firstLine="0"/>
        <w:contextualSpacing w:val="0"/>
        <w:rPr>
          <w:rFonts w:eastAsiaTheme="minorHAnsi" w:cstheme="minorBidi"/>
          <w:b w:val="0"/>
          <w:szCs w:val="22"/>
          <w:lang w:eastAsia="en-US"/>
        </w:rPr>
      </w:pPr>
    </w:p>
    <w:p w:rsidR="00E513E7" w:rsidRPr="005578F9" w:rsidRDefault="00E513E7" w:rsidP="007730AA">
      <w:pPr>
        <w:spacing w:before="0" w:line="276" w:lineRule="auto"/>
        <w:ind w:firstLine="0"/>
        <w:contextualSpacing w:val="0"/>
        <w:rPr>
          <w:rFonts w:eastAsiaTheme="minorHAnsi" w:cstheme="minorBidi"/>
          <w:b w:val="0"/>
          <w:szCs w:val="22"/>
          <w:lang w:eastAsia="en-US"/>
        </w:rPr>
      </w:pPr>
    </w:p>
    <w:p w:rsidR="00E513E7" w:rsidRPr="005578F9" w:rsidRDefault="00E513E7" w:rsidP="007730AA">
      <w:pPr>
        <w:spacing w:before="0" w:line="276" w:lineRule="auto"/>
        <w:ind w:firstLine="0"/>
        <w:contextualSpacing w:val="0"/>
        <w:rPr>
          <w:rFonts w:eastAsiaTheme="minorHAnsi" w:cstheme="minorBidi"/>
          <w:b w:val="0"/>
          <w:szCs w:val="22"/>
          <w:lang w:eastAsia="en-US"/>
        </w:rPr>
      </w:pPr>
    </w:p>
    <w:p w:rsidR="00E513E7" w:rsidRPr="005578F9" w:rsidRDefault="00E513E7" w:rsidP="007730AA">
      <w:pPr>
        <w:spacing w:before="0" w:line="276" w:lineRule="auto"/>
        <w:ind w:firstLine="0"/>
        <w:contextualSpacing w:val="0"/>
        <w:rPr>
          <w:rFonts w:eastAsiaTheme="minorHAnsi" w:cstheme="minorBidi"/>
          <w:b w:val="0"/>
          <w:szCs w:val="22"/>
          <w:lang w:eastAsia="en-US"/>
        </w:rPr>
      </w:pPr>
    </w:p>
    <w:p w:rsidR="00E513E7" w:rsidRPr="005578F9" w:rsidRDefault="00E513E7" w:rsidP="007730AA">
      <w:pPr>
        <w:spacing w:before="0" w:line="276" w:lineRule="auto"/>
        <w:ind w:firstLine="0"/>
        <w:contextualSpacing w:val="0"/>
        <w:rPr>
          <w:rFonts w:eastAsiaTheme="minorHAnsi" w:cstheme="minorBidi"/>
          <w:b w:val="0"/>
          <w:szCs w:val="22"/>
          <w:lang w:eastAsia="en-US"/>
        </w:rPr>
      </w:pPr>
    </w:p>
    <w:p w:rsidR="00E513E7" w:rsidRPr="005578F9" w:rsidRDefault="00E513E7" w:rsidP="007730AA">
      <w:pPr>
        <w:spacing w:before="0" w:line="276" w:lineRule="auto"/>
        <w:ind w:firstLine="0"/>
        <w:contextualSpacing w:val="0"/>
        <w:rPr>
          <w:rFonts w:eastAsiaTheme="minorHAnsi" w:cstheme="minorBidi"/>
          <w:b w:val="0"/>
          <w:szCs w:val="22"/>
          <w:lang w:eastAsia="en-US"/>
        </w:rPr>
      </w:pPr>
    </w:p>
    <w:p w:rsidR="00E513E7" w:rsidRPr="005578F9" w:rsidRDefault="00E513E7" w:rsidP="007730AA">
      <w:pPr>
        <w:spacing w:before="0" w:line="276" w:lineRule="auto"/>
        <w:ind w:firstLine="0"/>
        <w:contextualSpacing w:val="0"/>
        <w:rPr>
          <w:rFonts w:eastAsiaTheme="minorHAnsi" w:cstheme="minorBidi"/>
          <w:b w:val="0"/>
          <w:szCs w:val="22"/>
          <w:lang w:eastAsia="en-US"/>
        </w:rPr>
      </w:pPr>
    </w:p>
    <w:p w:rsidR="00E513E7" w:rsidRPr="005578F9" w:rsidRDefault="00E513E7" w:rsidP="007730AA">
      <w:pPr>
        <w:spacing w:before="0" w:line="276" w:lineRule="auto"/>
        <w:ind w:firstLine="0"/>
        <w:contextualSpacing w:val="0"/>
        <w:rPr>
          <w:rFonts w:eastAsiaTheme="minorHAnsi" w:cstheme="minorBidi"/>
          <w:b w:val="0"/>
          <w:szCs w:val="22"/>
          <w:lang w:eastAsia="en-US"/>
        </w:rPr>
      </w:pPr>
    </w:p>
    <w:p w:rsidR="00D6013E" w:rsidRPr="005578F9" w:rsidRDefault="00D6013E" w:rsidP="007730AA">
      <w:pPr>
        <w:spacing w:before="0" w:line="276" w:lineRule="auto"/>
        <w:ind w:firstLine="0"/>
        <w:contextualSpacing w:val="0"/>
        <w:rPr>
          <w:rFonts w:eastAsiaTheme="minorHAnsi" w:cstheme="minorBidi"/>
          <w:b w:val="0"/>
          <w:szCs w:val="22"/>
          <w:lang w:eastAsia="en-US"/>
        </w:rPr>
      </w:pPr>
      <w:r w:rsidRPr="00975ABC">
        <w:rPr>
          <w:rFonts w:eastAsiaTheme="minorHAnsi" w:cstheme="minorBidi"/>
          <w:b w:val="0"/>
          <w:szCs w:val="22"/>
          <w:lang w:val="en-US" w:eastAsia="en-US"/>
        </w:rPr>
        <w:t>ՀՀ</w:t>
      </w:r>
      <w:r w:rsidRPr="005578F9">
        <w:rPr>
          <w:rFonts w:eastAsiaTheme="minorHAnsi" w:cstheme="minorBidi"/>
          <w:b w:val="0"/>
          <w:szCs w:val="22"/>
          <w:lang w:eastAsia="en-US"/>
        </w:rPr>
        <w:t xml:space="preserve"> </w:t>
      </w:r>
      <w:r w:rsidRPr="00975ABC">
        <w:rPr>
          <w:rFonts w:eastAsiaTheme="minorHAnsi" w:cstheme="minorBidi"/>
          <w:b w:val="0"/>
          <w:szCs w:val="22"/>
          <w:lang w:val="en-US" w:eastAsia="en-US"/>
        </w:rPr>
        <w:t>արտաքին</w:t>
      </w:r>
      <w:r w:rsidRPr="005578F9">
        <w:rPr>
          <w:rFonts w:eastAsiaTheme="minorHAnsi" w:cstheme="minorBidi"/>
          <w:b w:val="0"/>
          <w:szCs w:val="22"/>
          <w:lang w:eastAsia="en-US"/>
        </w:rPr>
        <w:t xml:space="preserve"> </w:t>
      </w:r>
      <w:r w:rsidRPr="00975ABC">
        <w:rPr>
          <w:rFonts w:eastAsiaTheme="minorHAnsi" w:cstheme="minorBidi"/>
          <w:b w:val="0"/>
          <w:szCs w:val="22"/>
          <w:lang w:val="en-US" w:eastAsia="en-US"/>
        </w:rPr>
        <w:t>պետական</w:t>
      </w:r>
      <w:r w:rsidRPr="005578F9">
        <w:rPr>
          <w:rFonts w:eastAsiaTheme="minorHAnsi" w:cstheme="minorBidi"/>
          <w:b w:val="0"/>
          <w:szCs w:val="22"/>
          <w:lang w:eastAsia="en-US"/>
        </w:rPr>
        <w:t xml:space="preserve"> </w:t>
      </w:r>
      <w:r w:rsidRPr="00975ABC">
        <w:rPr>
          <w:rFonts w:eastAsiaTheme="minorHAnsi" w:cstheme="minorBidi"/>
          <w:b w:val="0"/>
          <w:szCs w:val="22"/>
          <w:lang w:val="en-US" w:eastAsia="en-US"/>
        </w:rPr>
        <w:t>պարտքի</w:t>
      </w:r>
      <w:r w:rsidRPr="005578F9">
        <w:rPr>
          <w:rFonts w:eastAsiaTheme="minorHAnsi" w:cstheme="minorBidi"/>
          <w:b w:val="0"/>
          <w:szCs w:val="22"/>
          <w:lang w:eastAsia="en-US"/>
        </w:rPr>
        <w:t xml:space="preserve"> </w:t>
      </w:r>
      <w:r w:rsidRPr="00975ABC">
        <w:rPr>
          <w:rFonts w:eastAsiaTheme="minorHAnsi" w:cstheme="minorBidi"/>
          <w:b w:val="0"/>
          <w:szCs w:val="22"/>
          <w:lang w:val="en-US" w:eastAsia="en-US"/>
        </w:rPr>
        <w:t>գծով</w:t>
      </w:r>
      <w:r w:rsidRPr="005578F9">
        <w:rPr>
          <w:rFonts w:eastAsiaTheme="minorHAnsi" w:cstheme="minorBidi"/>
          <w:b w:val="0"/>
          <w:szCs w:val="22"/>
          <w:lang w:eastAsia="en-US"/>
        </w:rPr>
        <w:t xml:space="preserve"> 2020 </w:t>
      </w:r>
      <w:r w:rsidRPr="00975ABC">
        <w:rPr>
          <w:rFonts w:eastAsiaTheme="minorHAnsi" w:cstheme="minorBidi"/>
          <w:b w:val="0"/>
          <w:szCs w:val="22"/>
          <w:lang w:val="en-US" w:eastAsia="en-US"/>
        </w:rPr>
        <w:t>և</w:t>
      </w:r>
      <w:r w:rsidRPr="005578F9">
        <w:rPr>
          <w:rFonts w:eastAsiaTheme="minorHAnsi" w:cstheme="minorBidi"/>
          <w:b w:val="0"/>
          <w:szCs w:val="22"/>
          <w:lang w:eastAsia="en-US"/>
        </w:rPr>
        <w:t xml:space="preserve"> 2021</w:t>
      </w:r>
      <w:r w:rsidRPr="00975ABC">
        <w:rPr>
          <w:rFonts w:eastAsiaTheme="minorHAnsi" w:cstheme="minorBidi"/>
          <w:b w:val="0"/>
          <w:szCs w:val="22"/>
          <w:lang w:val="en-US" w:eastAsia="en-US"/>
        </w:rPr>
        <w:t>թթ</w:t>
      </w:r>
      <w:r w:rsidRPr="005578F9">
        <w:rPr>
          <w:rFonts w:eastAsiaTheme="minorHAnsi" w:cstheme="minorBidi"/>
          <w:b w:val="0"/>
          <w:szCs w:val="22"/>
          <w:lang w:eastAsia="en-US"/>
        </w:rPr>
        <w:t xml:space="preserve">. </w:t>
      </w:r>
      <w:r w:rsidRPr="00975ABC">
        <w:rPr>
          <w:rFonts w:eastAsiaTheme="minorHAnsi" w:cstheme="minorBidi"/>
          <w:b w:val="0"/>
          <w:szCs w:val="22"/>
          <w:lang w:val="en-US" w:eastAsia="en-US"/>
        </w:rPr>
        <w:t>ընթացքում</w:t>
      </w:r>
      <w:r w:rsidRPr="005578F9">
        <w:rPr>
          <w:rFonts w:eastAsiaTheme="minorHAnsi" w:cstheme="minorBidi"/>
          <w:b w:val="0"/>
          <w:szCs w:val="22"/>
          <w:lang w:eastAsia="en-US"/>
        </w:rPr>
        <w:t xml:space="preserve"> </w:t>
      </w:r>
      <w:r w:rsidRPr="00975ABC">
        <w:rPr>
          <w:rFonts w:eastAsiaTheme="minorHAnsi" w:cstheme="minorBidi"/>
          <w:b w:val="0"/>
          <w:szCs w:val="22"/>
          <w:lang w:val="en-US" w:eastAsia="en-US"/>
        </w:rPr>
        <w:t>ակնկալվում</w:t>
      </w:r>
      <w:r w:rsidRPr="005578F9">
        <w:rPr>
          <w:rFonts w:eastAsiaTheme="minorHAnsi" w:cstheme="minorBidi"/>
          <w:b w:val="0"/>
          <w:szCs w:val="22"/>
          <w:lang w:eastAsia="en-US"/>
        </w:rPr>
        <w:t xml:space="preserve"> </w:t>
      </w:r>
      <w:r w:rsidRPr="00975ABC">
        <w:rPr>
          <w:rFonts w:eastAsiaTheme="minorHAnsi" w:cstheme="minorBidi"/>
          <w:b w:val="0"/>
          <w:szCs w:val="22"/>
          <w:lang w:val="en-US" w:eastAsia="en-US"/>
        </w:rPr>
        <w:t>է</w:t>
      </w:r>
      <w:r w:rsidRPr="005578F9">
        <w:rPr>
          <w:rFonts w:eastAsiaTheme="minorHAnsi" w:cstheme="minorBidi"/>
          <w:b w:val="0"/>
          <w:szCs w:val="22"/>
          <w:lang w:eastAsia="en-US"/>
        </w:rPr>
        <w:t>.</w:t>
      </w:r>
    </w:p>
    <w:p w:rsidR="00976DEF" w:rsidRPr="005578F9" w:rsidRDefault="00976DEF" w:rsidP="007730AA">
      <w:pPr>
        <w:spacing w:before="0" w:line="276" w:lineRule="auto"/>
        <w:ind w:firstLine="0"/>
        <w:contextualSpacing w:val="0"/>
        <w:rPr>
          <w:rFonts w:eastAsiaTheme="minorHAnsi" w:cstheme="minorBidi"/>
          <w:b w:val="0"/>
          <w:szCs w:val="22"/>
          <w:lang w:eastAsia="en-US"/>
        </w:rPr>
      </w:pPr>
    </w:p>
    <w:tbl>
      <w:tblPr>
        <w:tblStyle w:val="LightGrid-Accent19"/>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5"/>
        <w:gridCol w:w="1620"/>
        <w:gridCol w:w="1800"/>
      </w:tblGrid>
      <w:tr w:rsidR="00D6013E" w:rsidRPr="00472C29" w:rsidTr="009C1BFA">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6385" w:type="dxa"/>
            <w:tcBorders>
              <w:top w:val="none" w:sz="0" w:space="0" w:color="auto"/>
              <w:left w:val="none" w:sz="0" w:space="0" w:color="auto"/>
              <w:bottom w:val="none" w:sz="0" w:space="0" w:color="auto"/>
              <w:right w:val="none" w:sz="0" w:space="0" w:color="auto"/>
            </w:tcBorders>
            <w:hideMark/>
          </w:tcPr>
          <w:p w:rsidR="00D6013E" w:rsidRPr="005578F9" w:rsidRDefault="00D6013E" w:rsidP="007730AA">
            <w:pPr>
              <w:spacing w:before="0" w:line="276" w:lineRule="auto"/>
              <w:ind w:firstLine="0"/>
              <w:contextualSpacing w:val="0"/>
              <w:jc w:val="center"/>
              <w:rPr>
                <w:lang w:eastAsia="en-US"/>
              </w:rPr>
            </w:pPr>
            <w:r w:rsidRPr="009C1BFA">
              <w:rPr>
                <w:rFonts w:ascii="Calibri" w:hAnsi="Calibri" w:cs="Calibri"/>
                <w:lang w:val="en-US" w:eastAsia="en-US"/>
              </w:rPr>
              <w:t> </w:t>
            </w:r>
          </w:p>
        </w:tc>
        <w:tc>
          <w:tcPr>
            <w:tcW w:w="1620" w:type="dxa"/>
            <w:tcBorders>
              <w:top w:val="none" w:sz="0" w:space="0" w:color="auto"/>
              <w:left w:val="none" w:sz="0" w:space="0" w:color="auto"/>
              <w:bottom w:val="none" w:sz="0" w:space="0" w:color="auto"/>
              <w:right w:val="none" w:sz="0" w:space="0" w:color="auto"/>
            </w:tcBorders>
            <w:hideMark/>
          </w:tcPr>
          <w:p w:rsidR="00D6013E" w:rsidRPr="009C1BFA" w:rsidRDefault="00D6013E"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lang w:val="en-US" w:eastAsia="en-US"/>
              </w:rPr>
            </w:pPr>
            <w:r w:rsidRPr="009C1BFA">
              <w:rPr>
                <w:lang w:val="en-US" w:eastAsia="en-US"/>
              </w:rPr>
              <w:t xml:space="preserve">2020թ. </w:t>
            </w:r>
          </w:p>
          <w:p w:rsidR="00D6013E" w:rsidRPr="009C1BFA" w:rsidRDefault="00D6013E"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lang w:val="en-US" w:eastAsia="en-US"/>
              </w:rPr>
            </w:pPr>
            <w:r w:rsidRPr="009C1BFA">
              <w:rPr>
                <w:lang w:val="en-US" w:eastAsia="en-US"/>
              </w:rPr>
              <w:t>(մլն ԱՄՆ դոլար)</w:t>
            </w:r>
          </w:p>
        </w:tc>
        <w:tc>
          <w:tcPr>
            <w:tcW w:w="1800" w:type="dxa"/>
            <w:tcBorders>
              <w:top w:val="none" w:sz="0" w:space="0" w:color="auto"/>
              <w:left w:val="none" w:sz="0" w:space="0" w:color="auto"/>
              <w:bottom w:val="none" w:sz="0" w:space="0" w:color="auto"/>
              <w:right w:val="none" w:sz="0" w:space="0" w:color="auto"/>
            </w:tcBorders>
            <w:hideMark/>
          </w:tcPr>
          <w:p w:rsidR="00D6013E" w:rsidRPr="009C1BFA" w:rsidRDefault="00D6013E"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lang w:val="en-US" w:eastAsia="en-US"/>
              </w:rPr>
            </w:pPr>
            <w:r w:rsidRPr="009C1BFA">
              <w:rPr>
                <w:lang w:val="en-US" w:eastAsia="en-US"/>
              </w:rPr>
              <w:t xml:space="preserve">2021թ. </w:t>
            </w:r>
          </w:p>
          <w:p w:rsidR="00D6013E" w:rsidRPr="009C1BFA" w:rsidRDefault="00D6013E"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lang w:val="en-US" w:eastAsia="en-US"/>
              </w:rPr>
            </w:pPr>
            <w:r w:rsidRPr="009C1BFA">
              <w:rPr>
                <w:lang w:val="en-US" w:eastAsia="en-US"/>
              </w:rPr>
              <w:t>(մլն ԱՄՆ դոլար)</w:t>
            </w:r>
          </w:p>
        </w:tc>
      </w:tr>
      <w:tr w:rsidR="004E3188" w:rsidRPr="00472C29" w:rsidTr="009C1BF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385" w:type="dxa"/>
            <w:tcBorders>
              <w:top w:val="none" w:sz="0" w:space="0" w:color="auto"/>
              <w:left w:val="none" w:sz="0" w:space="0" w:color="auto"/>
              <w:bottom w:val="none" w:sz="0" w:space="0" w:color="auto"/>
              <w:right w:val="none" w:sz="0" w:space="0" w:color="auto"/>
            </w:tcBorders>
            <w:vAlign w:val="center"/>
            <w:hideMark/>
          </w:tcPr>
          <w:p w:rsidR="004E3188" w:rsidRPr="009C1BFA" w:rsidRDefault="004E3188" w:rsidP="007730AA">
            <w:pPr>
              <w:spacing w:before="0" w:line="276" w:lineRule="auto"/>
              <w:ind w:firstLine="0"/>
              <w:contextualSpacing w:val="0"/>
              <w:jc w:val="left"/>
              <w:rPr>
                <w:lang w:eastAsia="en-US"/>
              </w:rPr>
            </w:pPr>
            <w:r w:rsidRPr="009C1BFA">
              <w:rPr>
                <w:lang w:val="en-US" w:eastAsia="en-US"/>
              </w:rPr>
              <w:t>ՀՀ</w:t>
            </w:r>
            <w:r w:rsidRPr="009C1BFA">
              <w:rPr>
                <w:lang w:eastAsia="en-US"/>
              </w:rPr>
              <w:t xml:space="preserve"> </w:t>
            </w:r>
            <w:r w:rsidRPr="009C1BFA">
              <w:rPr>
                <w:lang w:val="en-US" w:eastAsia="en-US"/>
              </w:rPr>
              <w:t>արտաքին</w:t>
            </w:r>
            <w:r w:rsidRPr="009C1BFA">
              <w:rPr>
                <w:lang w:eastAsia="en-US"/>
              </w:rPr>
              <w:t xml:space="preserve"> </w:t>
            </w:r>
            <w:r w:rsidRPr="009C1BFA">
              <w:rPr>
                <w:lang w:val="en-US" w:eastAsia="en-US"/>
              </w:rPr>
              <w:t>պետական</w:t>
            </w:r>
            <w:r w:rsidRPr="009C1BFA">
              <w:rPr>
                <w:lang w:eastAsia="en-US"/>
              </w:rPr>
              <w:t xml:space="preserve"> </w:t>
            </w:r>
            <w:r w:rsidRPr="009C1BFA">
              <w:rPr>
                <w:lang w:val="en-US" w:eastAsia="en-US"/>
              </w:rPr>
              <w:t>պարտքի</w:t>
            </w:r>
            <w:r w:rsidRPr="009C1BFA">
              <w:rPr>
                <w:lang w:eastAsia="en-US"/>
              </w:rPr>
              <w:t xml:space="preserve"> </w:t>
            </w:r>
            <w:r w:rsidRPr="009C1BFA">
              <w:rPr>
                <w:lang w:val="en-US" w:eastAsia="en-US"/>
              </w:rPr>
              <w:t>գծով</w:t>
            </w:r>
            <w:r w:rsidRPr="009C1BFA">
              <w:rPr>
                <w:lang w:eastAsia="en-US"/>
              </w:rPr>
              <w:t xml:space="preserve"> </w:t>
            </w:r>
            <w:r w:rsidRPr="009C1BFA">
              <w:rPr>
                <w:lang w:val="en-US" w:eastAsia="en-US"/>
              </w:rPr>
              <w:t>վարկերի</w:t>
            </w:r>
            <w:r w:rsidRPr="009C1BFA">
              <w:rPr>
                <w:lang w:eastAsia="en-US"/>
              </w:rPr>
              <w:t xml:space="preserve"> </w:t>
            </w:r>
            <w:r w:rsidRPr="009C1BFA">
              <w:rPr>
                <w:lang w:val="en-US" w:eastAsia="en-US"/>
              </w:rPr>
              <w:t>ստացում</w:t>
            </w:r>
          </w:p>
        </w:tc>
        <w:tc>
          <w:tcPr>
            <w:tcW w:w="162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lang w:val="en-US" w:eastAsia="en-US"/>
              </w:rPr>
            </w:pPr>
            <w:r w:rsidRPr="002271DA">
              <w:rPr>
                <w:sz w:val="20"/>
                <w:szCs w:val="20"/>
              </w:rPr>
              <w:t xml:space="preserve">              </w:t>
            </w:r>
            <w:r>
              <w:rPr>
                <w:sz w:val="20"/>
                <w:szCs w:val="20"/>
                <w:lang w:val="en-US"/>
              </w:rPr>
              <w:t>5</w:t>
            </w:r>
            <w:r w:rsidRPr="002271DA">
              <w:rPr>
                <w:sz w:val="20"/>
                <w:szCs w:val="20"/>
              </w:rPr>
              <w:t xml:space="preserve">30 </w:t>
            </w:r>
          </w:p>
        </w:tc>
        <w:tc>
          <w:tcPr>
            <w:tcW w:w="180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pPr>
            <w:r w:rsidRPr="002271DA">
              <w:rPr>
                <w:sz w:val="20"/>
                <w:szCs w:val="20"/>
              </w:rPr>
              <w:t xml:space="preserve">          </w:t>
            </w:r>
            <w:r>
              <w:rPr>
                <w:sz w:val="20"/>
                <w:szCs w:val="20"/>
                <w:lang w:val="en-US"/>
              </w:rPr>
              <w:t>8</w:t>
            </w:r>
            <w:r w:rsidRPr="002271DA">
              <w:rPr>
                <w:sz w:val="20"/>
                <w:szCs w:val="20"/>
              </w:rPr>
              <w:t xml:space="preserve">58 </w:t>
            </w:r>
          </w:p>
        </w:tc>
      </w:tr>
      <w:tr w:rsidR="004E3188" w:rsidRPr="00472C29" w:rsidTr="009C1BF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385" w:type="dxa"/>
            <w:tcBorders>
              <w:top w:val="none" w:sz="0" w:space="0" w:color="auto"/>
              <w:left w:val="none" w:sz="0" w:space="0" w:color="auto"/>
              <w:bottom w:val="none" w:sz="0" w:space="0" w:color="auto"/>
              <w:right w:val="none" w:sz="0" w:space="0" w:color="auto"/>
            </w:tcBorders>
            <w:vAlign w:val="center"/>
            <w:hideMark/>
          </w:tcPr>
          <w:p w:rsidR="004E3188" w:rsidRPr="009C1BFA" w:rsidRDefault="004E3188" w:rsidP="00757FBA">
            <w:pPr>
              <w:spacing w:before="0" w:line="276" w:lineRule="auto"/>
              <w:ind w:firstLineChars="300" w:firstLine="660"/>
              <w:contextualSpacing w:val="0"/>
              <w:jc w:val="left"/>
              <w:rPr>
                <w:i/>
                <w:iCs/>
                <w:lang w:eastAsia="en-US"/>
              </w:rPr>
            </w:pPr>
            <w:r w:rsidRPr="009C1BFA">
              <w:rPr>
                <w:i/>
                <w:iCs/>
                <w:lang w:val="en-US" w:eastAsia="en-US"/>
              </w:rPr>
              <w:t>որից</w:t>
            </w:r>
            <w:r w:rsidRPr="009C1BFA">
              <w:rPr>
                <w:i/>
                <w:iCs/>
                <w:lang w:eastAsia="en-US"/>
              </w:rPr>
              <w:t xml:space="preserve">` </w:t>
            </w:r>
            <w:r w:rsidRPr="009C1BFA">
              <w:rPr>
                <w:i/>
                <w:iCs/>
                <w:lang w:val="en-US" w:eastAsia="en-US"/>
              </w:rPr>
              <w:t>ՀՀ</w:t>
            </w:r>
            <w:r w:rsidRPr="009C1BFA">
              <w:rPr>
                <w:i/>
                <w:iCs/>
                <w:lang w:eastAsia="en-US"/>
              </w:rPr>
              <w:t xml:space="preserve"> </w:t>
            </w:r>
            <w:r w:rsidRPr="009C1BFA">
              <w:rPr>
                <w:i/>
                <w:iCs/>
                <w:lang w:val="en-US" w:eastAsia="en-US"/>
              </w:rPr>
              <w:t>կենտրոնական</w:t>
            </w:r>
            <w:r w:rsidRPr="009C1BFA">
              <w:rPr>
                <w:i/>
                <w:iCs/>
                <w:lang w:eastAsia="en-US"/>
              </w:rPr>
              <w:t xml:space="preserve"> </w:t>
            </w:r>
            <w:r w:rsidRPr="009C1BFA">
              <w:rPr>
                <w:i/>
                <w:iCs/>
                <w:lang w:val="en-US" w:eastAsia="en-US"/>
              </w:rPr>
              <w:t>բանկի</w:t>
            </w:r>
            <w:r w:rsidRPr="009C1BFA">
              <w:rPr>
                <w:i/>
                <w:iCs/>
                <w:lang w:eastAsia="en-US"/>
              </w:rPr>
              <w:t xml:space="preserve"> </w:t>
            </w:r>
            <w:r w:rsidRPr="009C1BFA">
              <w:rPr>
                <w:i/>
                <w:iCs/>
                <w:lang w:val="en-US" w:eastAsia="en-US"/>
              </w:rPr>
              <w:t>պարտքի</w:t>
            </w:r>
            <w:r w:rsidRPr="009C1BFA">
              <w:rPr>
                <w:i/>
                <w:iCs/>
                <w:lang w:eastAsia="en-US"/>
              </w:rPr>
              <w:t xml:space="preserve"> </w:t>
            </w:r>
            <w:r w:rsidRPr="009C1BFA">
              <w:rPr>
                <w:i/>
                <w:iCs/>
                <w:lang w:val="en-US" w:eastAsia="en-US"/>
              </w:rPr>
              <w:t>գծով</w:t>
            </w:r>
          </w:p>
        </w:tc>
        <w:tc>
          <w:tcPr>
            <w:tcW w:w="162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jc w:val="right"/>
              <w:cnfStyle w:val="000000010000" w:firstRow="0" w:lastRow="0" w:firstColumn="0" w:lastColumn="0" w:oddVBand="0" w:evenVBand="0" w:oddHBand="0" w:evenHBand="1" w:firstRowFirstColumn="0" w:firstRowLastColumn="0" w:lastRowFirstColumn="0" w:lastRowLastColumn="0"/>
              <w:rPr>
                <w:b w:val="0"/>
                <w:i/>
                <w:iCs/>
              </w:rPr>
            </w:pPr>
            <w:r>
              <w:rPr>
                <w:b w:val="0"/>
                <w:i/>
                <w:iCs/>
                <w:sz w:val="20"/>
                <w:szCs w:val="20"/>
              </w:rPr>
              <w:t xml:space="preserve">        </w:t>
            </w:r>
            <w:r w:rsidRPr="002271DA">
              <w:rPr>
                <w:b w:val="0"/>
                <w:i/>
                <w:iCs/>
                <w:sz w:val="20"/>
                <w:szCs w:val="20"/>
              </w:rPr>
              <w:t xml:space="preserve">98 </w:t>
            </w:r>
          </w:p>
        </w:tc>
        <w:tc>
          <w:tcPr>
            <w:tcW w:w="180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jc w:val="right"/>
              <w:cnfStyle w:val="000000010000" w:firstRow="0" w:lastRow="0" w:firstColumn="0" w:lastColumn="0" w:oddVBand="0" w:evenVBand="0" w:oddHBand="0" w:evenHBand="1" w:firstRowFirstColumn="0" w:firstRowLastColumn="0" w:lastRowFirstColumn="0" w:lastRowLastColumn="0"/>
              <w:rPr>
                <w:b w:val="0"/>
                <w:i/>
                <w:iCs/>
              </w:rPr>
            </w:pPr>
            <w:r>
              <w:rPr>
                <w:b w:val="0"/>
                <w:i/>
                <w:iCs/>
                <w:sz w:val="20"/>
                <w:szCs w:val="20"/>
              </w:rPr>
              <w:t xml:space="preserve">            </w:t>
            </w:r>
            <w:r w:rsidRPr="002271DA">
              <w:rPr>
                <w:b w:val="0"/>
                <w:i/>
                <w:iCs/>
                <w:sz w:val="20"/>
                <w:szCs w:val="20"/>
              </w:rPr>
              <w:t xml:space="preserve">50 </w:t>
            </w:r>
          </w:p>
        </w:tc>
      </w:tr>
      <w:tr w:rsidR="004E3188" w:rsidRPr="00472C29" w:rsidTr="009C1BFA">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6385" w:type="dxa"/>
            <w:tcBorders>
              <w:top w:val="none" w:sz="0" w:space="0" w:color="auto"/>
              <w:left w:val="none" w:sz="0" w:space="0" w:color="auto"/>
              <w:bottom w:val="none" w:sz="0" w:space="0" w:color="auto"/>
              <w:right w:val="none" w:sz="0" w:space="0" w:color="auto"/>
            </w:tcBorders>
            <w:vAlign w:val="center"/>
            <w:hideMark/>
          </w:tcPr>
          <w:p w:rsidR="004E3188" w:rsidRPr="009C1BFA" w:rsidRDefault="004E3188" w:rsidP="00757FBA">
            <w:pPr>
              <w:spacing w:before="0" w:line="276" w:lineRule="auto"/>
              <w:ind w:firstLineChars="300" w:firstLine="660"/>
              <w:contextualSpacing w:val="0"/>
              <w:jc w:val="left"/>
              <w:rPr>
                <w:i/>
                <w:iCs/>
                <w:lang w:eastAsia="en-US"/>
              </w:rPr>
            </w:pPr>
            <w:r w:rsidRPr="009C1BFA">
              <w:rPr>
                <w:rFonts w:ascii="Calibri" w:hAnsi="Calibri" w:cs="Calibri"/>
                <w:i/>
                <w:iCs/>
                <w:lang w:val="en-US" w:eastAsia="en-US"/>
              </w:rPr>
              <w:t> </w:t>
            </w:r>
          </w:p>
        </w:tc>
        <w:tc>
          <w:tcPr>
            <w:tcW w:w="162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pPr>
            <w:r w:rsidRPr="002271DA">
              <w:rPr>
                <w:rFonts w:ascii="Calibri" w:hAnsi="Calibri" w:cs="Calibri"/>
                <w:sz w:val="20"/>
                <w:szCs w:val="20"/>
              </w:rPr>
              <w:t> </w:t>
            </w:r>
          </w:p>
        </w:tc>
        <w:tc>
          <w:tcPr>
            <w:tcW w:w="1800" w:type="dxa"/>
            <w:tcBorders>
              <w:top w:val="none" w:sz="0" w:space="0" w:color="auto"/>
              <w:left w:val="none" w:sz="0" w:space="0" w:color="auto"/>
              <w:bottom w:val="none" w:sz="0" w:space="0" w:color="auto"/>
              <w:right w:val="none" w:sz="0" w:space="0" w:color="auto"/>
            </w:tcBorders>
            <w:noWrap/>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pPr>
            <w:r w:rsidRPr="002271DA">
              <w:rPr>
                <w:rFonts w:ascii="Calibri" w:hAnsi="Calibri" w:cs="Calibri"/>
                <w:sz w:val="20"/>
                <w:szCs w:val="20"/>
              </w:rPr>
              <w:t> </w:t>
            </w:r>
          </w:p>
        </w:tc>
      </w:tr>
      <w:tr w:rsidR="004E3188" w:rsidRPr="00472C29" w:rsidTr="009C1BF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385" w:type="dxa"/>
            <w:tcBorders>
              <w:top w:val="none" w:sz="0" w:space="0" w:color="auto"/>
              <w:left w:val="none" w:sz="0" w:space="0" w:color="auto"/>
              <w:bottom w:val="none" w:sz="0" w:space="0" w:color="auto"/>
              <w:right w:val="none" w:sz="0" w:space="0" w:color="auto"/>
            </w:tcBorders>
            <w:vAlign w:val="center"/>
            <w:hideMark/>
          </w:tcPr>
          <w:p w:rsidR="004E3188" w:rsidRPr="009C1BFA" w:rsidRDefault="004E3188" w:rsidP="007730AA">
            <w:pPr>
              <w:spacing w:before="0" w:line="276" w:lineRule="auto"/>
              <w:ind w:firstLine="0"/>
              <w:contextualSpacing w:val="0"/>
              <w:jc w:val="left"/>
              <w:rPr>
                <w:lang w:eastAsia="en-US"/>
              </w:rPr>
            </w:pPr>
            <w:r w:rsidRPr="009C1BFA">
              <w:rPr>
                <w:lang w:val="en-US" w:eastAsia="en-US"/>
              </w:rPr>
              <w:t>ՀՀ</w:t>
            </w:r>
            <w:r w:rsidRPr="009C1BFA">
              <w:rPr>
                <w:lang w:eastAsia="en-US"/>
              </w:rPr>
              <w:t xml:space="preserve"> </w:t>
            </w:r>
            <w:r w:rsidRPr="009C1BFA">
              <w:rPr>
                <w:lang w:val="en-US" w:eastAsia="en-US"/>
              </w:rPr>
              <w:t>արտաքին</w:t>
            </w:r>
            <w:r w:rsidRPr="009C1BFA">
              <w:rPr>
                <w:lang w:eastAsia="en-US"/>
              </w:rPr>
              <w:t xml:space="preserve"> </w:t>
            </w:r>
            <w:r w:rsidRPr="009C1BFA">
              <w:rPr>
                <w:lang w:val="en-US" w:eastAsia="en-US"/>
              </w:rPr>
              <w:t>պետական</w:t>
            </w:r>
            <w:r w:rsidRPr="009C1BFA">
              <w:rPr>
                <w:lang w:eastAsia="en-US"/>
              </w:rPr>
              <w:t xml:space="preserve"> </w:t>
            </w:r>
            <w:r w:rsidRPr="009C1BFA">
              <w:rPr>
                <w:lang w:val="en-US" w:eastAsia="en-US"/>
              </w:rPr>
              <w:t>պարտքի</w:t>
            </w:r>
            <w:r w:rsidRPr="009C1BFA">
              <w:rPr>
                <w:lang w:eastAsia="en-US"/>
              </w:rPr>
              <w:t xml:space="preserve"> </w:t>
            </w:r>
            <w:r w:rsidRPr="009C1BFA">
              <w:rPr>
                <w:lang w:val="en-US" w:eastAsia="en-US"/>
              </w:rPr>
              <w:t>գծով</w:t>
            </w:r>
            <w:r w:rsidRPr="009C1BFA">
              <w:rPr>
                <w:lang w:eastAsia="en-US"/>
              </w:rPr>
              <w:t xml:space="preserve"> </w:t>
            </w:r>
            <w:r w:rsidRPr="009C1BFA">
              <w:rPr>
                <w:lang w:val="en-US" w:eastAsia="en-US"/>
              </w:rPr>
              <w:t>մայր</w:t>
            </w:r>
            <w:r w:rsidRPr="009C1BFA">
              <w:rPr>
                <w:lang w:eastAsia="en-US"/>
              </w:rPr>
              <w:t xml:space="preserve"> </w:t>
            </w:r>
            <w:r w:rsidRPr="009C1BFA">
              <w:rPr>
                <w:lang w:val="en-US" w:eastAsia="en-US"/>
              </w:rPr>
              <w:t>գումարի</w:t>
            </w:r>
            <w:r w:rsidRPr="009C1BFA">
              <w:rPr>
                <w:lang w:eastAsia="en-US"/>
              </w:rPr>
              <w:t xml:space="preserve"> </w:t>
            </w:r>
            <w:r w:rsidRPr="009C1BFA">
              <w:rPr>
                <w:lang w:val="en-US" w:eastAsia="en-US"/>
              </w:rPr>
              <w:t>մարում</w:t>
            </w:r>
          </w:p>
        </w:tc>
        <w:tc>
          <w:tcPr>
            <w:tcW w:w="162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jc w:val="right"/>
              <w:cnfStyle w:val="000000010000" w:firstRow="0" w:lastRow="0" w:firstColumn="0" w:lastColumn="0" w:oddVBand="0" w:evenVBand="0" w:oddHBand="0" w:evenHBand="1" w:firstRowFirstColumn="0" w:firstRowLastColumn="0" w:lastRowFirstColumn="0" w:lastRowLastColumn="0"/>
            </w:pPr>
            <w:r>
              <w:rPr>
                <w:sz w:val="20"/>
                <w:szCs w:val="20"/>
              </w:rPr>
              <w:t xml:space="preserve">       </w:t>
            </w:r>
            <w:r w:rsidRPr="002271DA">
              <w:rPr>
                <w:sz w:val="20"/>
                <w:szCs w:val="20"/>
              </w:rPr>
              <w:t xml:space="preserve">391 </w:t>
            </w:r>
          </w:p>
        </w:tc>
        <w:tc>
          <w:tcPr>
            <w:tcW w:w="180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jc w:val="right"/>
              <w:cnfStyle w:val="000000010000" w:firstRow="0" w:lastRow="0" w:firstColumn="0" w:lastColumn="0" w:oddVBand="0" w:evenVBand="0" w:oddHBand="0" w:evenHBand="1" w:firstRowFirstColumn="0" w:firstRowLastColumn="0" w:lastRowFirstColumn="0" w:lastRowLastColumn="0"/>
            </w:pPr>
            <w:r w:rsidRPr="002271DA">
              <w:rPr>
                <w:sz w:val="20"/>
                <w:szCs w:val="20"/>
              </w:rPr>
              <w:t xml:space="preserve">          339 </w:t>
            </w:r>
          </w:p>
        </w:tc>
      </w:tr>
      <w:tr w:rsidR="004E3188" w:rsidRPr="00472C29" w:rsidTr="009C1BF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385" w:type="dxa"/>
            <w:tcBorders>
              <w:top w:val="none" w:sz="0" w:space="0" w:color="auto"/>
              <w:left w:val="none" w:sz="0" w:space="0" w:color="auto"/>
              <w:bottom w:val="none" w:sz="0" w:space="0" w:color="auto"/>
              <w:right w:val="none" w:sz="0" w:space="0" w:color="auto"/>
            </w:tcBorders>
            <w:vAlign w:val="center"/>
            <w:hideMark/>
          </w:tcPr>
          <w:p w:rsidR="004E3188" w:rsidRPr="009C1BFA" w:rsidRDefault="004E3188" w:rsidP="00757FBA">
            <w:pPr>
              <w:spacing w:before="0" w:line="276" w:lineRule="auto"/>
              <w:ind w:firstLineChars="300" w:firstLine="660"/>
              <w:contextualSpacing w:val="0"/>
              <w:jc w:val="left"/>
              <w:rPr>
                <w:i/>
                <w:iCs/>
                <w:lang w:eastAsia="en-US"/>
              </w:rPr>
            </w:pPr>
            <w:r w:rsidRPr="009C1BFA">
              <w:rPr>
                <w:i/>
                <w:iCs/>
                <w:lang w:val="en-US" w:eastAsia="en-US"/>
              </w:rPr>
              <w:t>որից</w:t>
            </w:r>
            <w:r w:rsidRPr="009C1BFA">
              <w:rPr>
                <w:i/>
                <w:iCs/>
                <w:lang w:eastAsia="en-US"/>
              </w:rPr>
              <w:t xml:space="preserve">` </w:t>
            </w:r>
            <w:r w:rsidRPr="009C1BFA">
              <w:rPr>
                <w:i/>
                <w:iCs/>
                <w:lang w:val="en-US" w:eastAsia="en-US"/>
              </w:rPr>
              <w:t>ՀՀ</w:t>
            </w:r>
            <w:r w:rsidRPr="009C1BFA">
              <w:rPr>
                <w:i/>
                <w:iCs/>
                <w:lang w:eastAsia="en-US"/>
              </w:rPr>
              <w:t xml:space="preserve"> </w:t>
            </w:r>
            <w:r w:rsidRPr="009C1BFA">
              <w:rPr>
                <w:i/>
                <w:iCs/>
                <w:lang w:val="en-US" w:eastAsia="en-US"/>
              </w:rPr>
              <w:t>կենտրոնական</w:t>
            </w:r>
            <w:r w:rsidRPr="009C1BFA">
              <w:rPr>
                <w:i/>
                <w:iCs/>
                <w:lang w:eastAsia="en-US"/>
              </w:rPr>
              <w:t xml:space="preserve"> </w:t>
            </w:r>
            <w:r w:rsidRPr="009C1BFA">
              <w:rPr>
                <w:i/>
                <w:iCs/>
                <w:lang w:val="en-US" w:eastAsia="en-US"/>
              </w:rPr>
              <w:t>բանկի</w:t>
            </w:r>
            <w:r w:rsidRPr="009C1BFA">
              <w:rPr>
                <w:i/>
                <w:iCs/>
                <w:lang w:eastAsia="en-US"/>
              </w:rPr>
              <w:t xml:space="preserve"> </w:t>
            </w:r>
            <w:r w:rsidRPr="009C1BFA">
              <w:rPr>
                <w:i/>
                <w:iCs/>
                <w:lang w:val="en-US" w:eastAsia="en-US"/>
              </w:rPr>
              <w:t>պարտքի</w:t>
            </w:r>
            <w:r w:rsidRPr="009C1BFA">
              <w:rPr>
                <w:i/>
                <w:iCs/>
                <w:lang w:eastAsia="en-US"/>
              </w:rPr>
              <w:t xml:space="preserve"> </w:t>
            </w:r>
            <w:r w:rsidRPr="009C1BFA">
              <w:rPr>
                <w:i/>
                <w:iCs/>
                <w:lang w:val="en-US" w:eastAsia="en-US"/>
              </w:rPr>
              <w:t>գծով</w:t>
            </w:r>
            <w:r w:rsidRPr="009C1BFA">
              <w:rPr>
                <w:i/>
                <w:iCs/>
                <w:lang w:eastAsia="en-US"/>
              </w:rPr>
              <w:t xml:space="preserve"> </w:t>
            </w:r>
          </w:p>
        </w:tc>
        <w:tc>
          <w:tcPr>
            <w:tcW w:w="162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i/>
                <w:iCs/>
              </w:rPr>
            </w:pPr>
            <w:r>
              <w:rPr>
                <w:b w:val="0"/>
                <w:i/>
                <w:iCs/>
                <w:sz w:val="20"/>
                <w:szCs w:val="20"/>
              </w:rPr>
              <w:t xml:space="preserve">          </w:t>
            </w:r>
            <w:r w:rsidRPr="002271DA">
              <w:rPr>
                <w:b w:val="0"/>
                <w:i/>
                <w:iCs/>
                <w:sz w:val="20"/>
                <w:szCs w:val="20"/>
              </w:rPr>
              <w:t xml:space="preserve">77 </w:t>
            </w:r>
          </w:p>
        </w:tc>
        <w:tc>
          <w:tcPr>
            <w:tcW w:w="180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i/>
                <w:iCs/>
              </w:rPr>
            </w:pPr>
            <w:r w:rsidRPr="002271DA">
              <w:rPr>
                <w:b w:val="0"/>
                <w:i/>
                <w:iCs/>
                <w:sz w:val="20"/>
                <w:szCs w:val="20"/>
              </w:rPr>
              <w:t xml:space="preserve">            84 </w:t>
            </w:r>
          </w:p>
        </w:tc>
      </w:tr>
      <w:tr w:rsidR="004E3188" w:rsidRPr="00472C29" w:rsidTr="009C1BFA">
        <w:trPr>
          <w:cnfStyle w:val="000000010000" w:firstRow="0" w:lastRow="0" w:firstColumn="0" w:lastColumn="0" w:oddVBand="0" w:evenVBand="0" w:oddHBand="0" w:evenHBand="1"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6385" w:type="dxa"/>
            <w:tcBorders>
              <w:top w:val="none" w:sz="0" w:space="0" w:color="auto"/>
              <w:left w:val="none" w:sz="0" w:space="0" w:color="auto"/>
              <w:bottom w:val="none" w:sz="0" w:space="0" w:color="auto"/>
              <w:right w:val="none" w:sz="0" w:space="0" w:color="auto"/>
            </w:tcBorders>
            <w:vAlign w:val="center"/>
            <w:hideMark/>
          </w:tcPr>
          <w:p w:rsidR="004E3188" w:rsidRPr="009C1BFA" w:rsidRDefault="004E3188" w:rsidP="00757FBA">
            <w:pPr>
              <w:spacing w:before="0" w:line="276" w:lineRule="auto"/>
              <w:ind w:firstLineChars="300" w:firstLine="660"/>
              <w:contextualSpacing w:val="0"/>
              <w:jc w:val="left"/>
              <w:rPr>
                <w:i/>
                <w:iCs/>
                <w:lang w:eastAsia="en-US"/>
              </w:rPr>
            </w:pPr>
            <w:r w:rsidRPr="009C1BFA">
              <w:rPr>
                <w:rFonts w:ascii="Calibri" w:hAnsi="Calibri" w:cs="Calibri"/>
                <w:i/>
                <w:iCs/>
                <w:lang w:val="en-US" w:eastAsia="en-US"/>
              </w:rPr>
              <w:t> </w:t>
            </w:r>
          </w:p>
        </w:tc>
        <w:tc>
          <w:tcPr>
            <w:tcW w:w="162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jc w:val="right"/>
              <w:cnfStyle w:val="000000010000" w:firstRow="0" w:lastRow="0" w:firstColumn="0" w:lastColumn="0" w:oddVBand="0" w:evenVBand="0" w:oddHBand="0" w:evenHBand="1" w:firstRowFirstColumn="0" w:firstRowLastColumn="0" w:lastRowFirstColumn="0" w:lastRowLastColumn="0"/>
            </w:pPr>
            <w:r w:rsidRPr="002271DA">
              <w:rPr>
                <w:rFonts w:ascii="Calibri" w:hAnsi="Calibri" w:cs="Calibri"/>
                <w:sz w:val="20"/>
                <w:szCs w:val="20"/>
              </w:rPr>
              <w:t> </w:t>
            </w:r>
          </w:p>
        </w:tc>
        <w:tc>
          <w:tcPr>
            <w:tcW w:w="1800" w:type="dxa"/>
            <w:tcBorders>
              <w:top w:val="none" w:sz="0" w:space="0" w:color="auto"/>
              <w:left w:val="none" w:sz="0" w:space="0" w:color="auto"/>
              <w:bottom w:val="none" w:sz="0" w:space="0" w:color="auto"/>
              <w:right w:val="none" w:sz="0" w:space="0" w:color="auto"/>
            </w:tcBorders>
            <w:noWrap/>
            <w:vAlign w:val="center"/>
          </w:tcPr>
          <w:p w:rsidR="004E3188" w:rsidRPr="009C1BFA" w:rsidRDefault="004E3188" w:rsidP="007730AA">
            <w:pPr>
              <w:spacing w:before="0" w:line="276" w:lineRule="auto"/>
              <w:jc w:val="right"/>
              <w:cnfStyle w:val="000000010000" w:firstRow="0" w:lastRow="0" w:firstColumn="0" w:lastColumn="0" w:oddVBand="0" w:evenVBand="0" w:oddHBand="0" w:evenHBand="1" w:firstRowFirstColumn="0" w:firstRowLastColumn="0" w:lastRowFirstColumn="0" w:lastRowLastColumn="0"/>
            </w:pPr>
            <w:r w:rsidRPr="002271DA">
              <w:rPr>
                <w:rFonts w:ascii="Calibri" w:hAnsi="Calibri" w:cs="Calibri"/>
                <w:sz w:val="20"/>
                <w:szCs w:val="20"/>
              </w:rPr>
              <w:t> </w:t>
            </w:r>
          </w:p>
        </w:tc>
      </w:tr>
      <w:tr w:rsidR="004E3188" w:rsidRPr="00472C29" w:rsidTr="009C1BF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385" w:type="dxa"/>
            <w:tcBorders>
              <w:top w:val="none" w:sz="0" w:space="0" w:color="auto"/>
              <w:left w:val="none" w:sz="0" w:space="0" w:color="auto"/>
              <w:bottom w:val="none" w:sz="0" w:space="0" w:color="auto"/>
              <w:right w:val="none" w:sz="0" w:space="0" w:color="auto"/>
            </w:tcBorders>
            <w:vAlign w:val="center"/>
            <w:hideMark/>
          </w:tcPr>
          <w:p w:rsidR="004E3188" w:rsidRPr="009C1BFA" w:rsidRDefault="004E3188" w:rsidP="007730AA">
            <w:pPr>
              <w:spacing w:before="0" w:line="276" w:lineRule="auto"/>
              <w:ind w:firstLine="0"/>
              <w:contextualSpacing w:val="0"/>
              <w:jc w:val="left"/>
              <w:rPr>
                <w:lang w:eastAsia="en-US"/>
              </w:rPr>
            </w:pPr>
            <w:r w:rsidRPr="009C1BFA">
              <w:rPr>
                <w:lang w:val="en-US" w:eastAsia="en-US"/>
              </w:rPr>
              <w:t>ՀՀ</w:t>
            </w:r>
            <w:r w:rsidRPr="009C1BFA">
              <w:rPr>
                <w:lang w:eastAsia="en-US"/>
              </w:rPr>
              <w:t xml:space="preserve"> </w:t>
            </w:r>
            <w:r w:rsidRPr="009C1BFA">
              <w:rPr>
                <w:lang w:val="en-US" w:eastAsia="en-US"/>
              </w:rPr>
              <w:t>արտաքին</w:t>
            </w:r>
            <w:r w:rsidRPr="009C1BFA">
              <w:rPr>
                <w:lang w:eastAsia="en-US"/>
              </w:rPr>
              <w:t xml:space="preserve"> </w:t>
            </w:r>
            <w:r w:rsidRPr="009C1BFA">
              <w:rPr>
                <w:lang w:val="en-US" w:eastAsia="en-US"/>
              </w:rPr>
              <w:t>պետական</w:t>
            </w:r>
            <w:r w:rsidRPr="009C1BFA">
              <w:rPr>
                <w:lang w:eastAsia="en-US"/>
              </w:rPr>
              <w:t xml:space="preserve"> </w:t>
            </w:r>
            <w:r w:rsidRPr="009C1BFA">
              <w:rPr>
                <w:lang w:val="en-US" w:eastAsia="en-US"/>
              </w:rPr>
              <w:t>պարտքի</w:t>
            </w:r>
            <w:r w:rsidRPr="009C1BFA">
              <w:rPr>
                <w:lang w:eastAsia="en-US"/>
              </w:rPr>
              <w:t xml:space="preserve"> </w:t>
            </w:r>
            <w:r w:rsidRPr="009C1BFA">
              <w:rPr>
                <w:lang w:val="en-US" w:eastAsia="en-US"/>
              </w:rPr>
              <w:t>գծով</w:t>
            </w:r>
            <w:r w:rsidRPr="009C1BFA">
              <w:rPr>
                <w:lang w:eastAsia="en-US"/>
              </w:rPr>
              <w:t xml:space="preserve"> </w:t>
            </w:r>
            <w:r w:rsidRPr="009C1BFA">
              <w:rPr>
                <w:lang w:val="en-US" w:eastAsia="en-US"/>
              </w:rPr>
              <w:t>տոկոսավճար</w:t>
            </w:r>
          </w:p>
        </w:tc>
        <w:tc>
          <w:tcPr>
            <w:tcW w:w="162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pPr>
            <w:r>
              <w:rPr>
                <w:sz w:val="20"/>
                <w:szCs w:val="20"/>
              </w:rPr>
              <w:t xml:space="preserve">        </w:t>
            </w:r>
            <w:r w:rsidRPr="002271DA">
              <w:rPr>
                <w:sz w:val="20"/>
                <w:szCs w:val="20"/>
              </w:rPr>
              <w:t xml:space="preserve">173 </w:t>
            </w:r>
          </w:p>
        </w:tc>
        <w:tc>
          <w:tcPr>
            <w:tcW w:w="180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pPr>
            <w:r w:rsidRPr="002271DA">
              <w:rPr>
                <w:sz w:val="20"/>
                <w:szCs w:val="20"/>
              </w:rPr>
              <w:t xml:space="preserve">          1</w:t>
            </w:r>
            <w:r>
              <w:rPr>
                <w:sz w:val="20"/>
                <w:szCs w:val="20"/>
                <w:lang w:val="en-US"/>
              </w:rPr>
              <w:t>75</w:t>
            </w:r>
            <w:r w:rsidRPr="002271DA">
              <w:rPr>
                <w:sz w:val="20"/>
                <w:szCs w:val="20"/>
              </w:rPr>
              <w:t xml:space="preserve"> </w:t>
            </w:r>
          </w:p>
        </w:tc>
      </w:tr>
      <w:tr w:rsidR="004E3188" w:rsidRPr="00472C29" w:rsidTr="009C1BFA">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6385" w:type="dxa"/>
            <w:tcBorders>
              <w:top w:val="none" w:sz="0" w:space="0" w:color="auto"/>
              <w:left w:val="none" w:sz="0" w:space="0" w:color="auto"/>
              <w:bottom w:val="none" w:sz="0" w:space="0" w:color="auto"/>
              <w:right w:val="none" w:sz="0" w:space="0" w:color="auto"/>
            </w:tcBorders>
            <w:vAlign w:val="center"/>
            <w:hideMark/>
          </w:tcPr>
          <w:p w:rsidR="004E3188" w:rsidRPr="009C1BFA" w:rsidRDefault="004E3188" w:rsidP="00757FBA">
            <w:pPr>
              <w:spacing w:before="0" w:line="276" w:lineRule="auto"/>
              <w:ind w:firstLineChars="300" w:firstLine="660"/>
              <w:contextualSpacing w:val="0"/>
              <w:jc w:val="left"/>
              <w:rPr>
                <w:i/>
                <w:iCs/>
                <w:lang w:eastAsia="en-US"/>
              </w:rPr>
            </w:pPr>
            <w:r w:rsidRPr="009C1BFA">
              <w:rPr>
                <w:i/>
                <w:iCs/>
                <w:lang w:val="en-US" w:eastAsia="en-US"/>
              </w:rPr>
              <w:t>որից</w:t>
            </w:r>
            <w:r w:rsidRPr="009C1BFA">
              <w:rPr>
                <w:i/>
                <w:iCs/>
                <w:lang w:eastAsia="en-US"/>
              </w:rPr>
              <w:t xml:space="preserve">` </w:t>
            </w:r>
            <w:r w:rsidRPr="009C1BFA">
              <w:rPr>
                <w:i/>
                <w:iCs/>
                <w:lang w:val="en-US" w:eastAsia="en-US"/>
              </w:rPr>
              <w:t>ՀՀ</w:t>
            </w:r>
            <w:r w:rsidRPr="009C1BFA">
              <w:rPr>
                <w:i/>
                <w:iCs/>
                <w:lang w:eastAsia="en-US"/>
              </w:rPr>
              <w:t xml:space="preserve"> </w:t>
            </w:r>
            <w:r w:rsidRPr="009C1BFA">
              <w:rPr>
                <w:i/>
                <w:iCs/>
                <w:lang w:val="en-US" w:eastAsia="en-US"/>
              </w:rPr>
              <w:t>կենտրոնական</w:t>
            </w:r>
            <w:r w:rsidRPr="009C1BFA">
              <w:rPr>
                <w:i/>
                <w:iCs/>
                <w:lang w:eastAsia="en-US"/>
              </w:rPr>
              <w:t xml:space="preserve"> </w:t>
            </w:r>
            <w:r w:rsidRPr="009C1BFA">
              <w:rPr>
                <w:i/>
                <w:iCs/>
                <w:lang w:val="en-US" w:eastAsia="en-US"/>
              </w:rPr>
              <w:t>բանկի</w:t>
            </w:r>
            <w:r w:rsidRPr="009C1BFA">
              <w:rPr>
                <w:i/>
                <w:iCs/>
                <w:lang w:eastAsia="en-US"/>
              </w:rPr>
              <w:t xml:space="preserve"> </w:t>
            </w:r>
            <w:r w:rsidRPr="009C1BFA">
              <w:rPr>
                <w:i/>
                <w:iCs/>
                <w:lang w:val="en-US" w:eastAsia="en-US"/>
              </w:rPr>
              <w:t>պարտքի</w:t>
            </w:r>
            <w:r w:rsidRPr="009C1BFA">
              <w:rPr>
                <w:i/>
                <w:iCs/>
                <w:lang w:eastAsia="en-US"/>
              </w:rPr>
              <w:t xml:space="preserve"> </w:t>
            </w:r>
            <w:r w:rsidRPr="009C1BFA">
              <w:rPr>
                <w:i/>
                <w:iCs/>
                <w:lang w:val="en-US" w:eastAsia="en-US"/>
              </w:rPr>
              <w:t>գծով</w:t>
            </w:r>
            <w:r w:rsidRPr="009C1BFA">
              <w:rPr>
                <w:i/>
                <w:iCs/>
                <w:lang w:eastAsia="en-US"/>
              </w:rPr>
              <w:t xml:space="preserve"> </w:t>
            </w:r>
          </w:p>
        </w:tc>
        <w:tc>
          <w:tcPr>
            <w:tcW w:w="162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jc w:val="right"/>
              <w:cnfStyle w:val="000000010000" w:firstRow="0" w:lastRow="0" w:firstColumn="0" w:lastColumn="0" w:oddVBand="0" w:evenVBand="0" w:oddHBand="0" w:evenHBand="1" w:firstRowFirstColumn="0" w:firstRowLastColumn="0" w:lastRowFirstColumn="0" w:lastRowLastColumn="0"/>
              <w:rPr>
                <w:b w:val="0"/>
                <w:i/>
                <w:iCs/>
              </w:rPr>
            </w:pPr>
            <w:r>
              <w:rPr>
                <w:b w:val="0"/>
                <w:i/>
                <w:iCs/>
                <w:sz w:val="20"/>
                <w:szCs w:val="20"/>
              </w:rPr>
              <w:t xml:space="preserve">          </w:t>
            </w:r>
            <w:r w:rsidRPr="002271DA">
              <w:rPr>
                <w:b w:val="0"/>
                <w:i/>
                <w:iCs/>
                <w:sz w:val="20"/>
                <w:szCs w:val="20"/>
              </w:rPr>
              <w:t xml:space="preserve">8 </w:t>
            </w:r>
          </w:p>
        </w:tc>
        <w:tc>
          <w:tcPr>
            <w:tcW w:w="1800"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jc w:val="right"/>
              <w:cnfStyle w:val="000000010000" w:firstRow="0" w:lastRow="0" w:firstColumn="0" w:lastColumn="0" w:oddVBand="0" w:evenVBand="0" w:oddHBand="0" w:evenHBand="1" w:firstRowFirstColumn="0" w:firstRowLastColumn="0" w:lastRowFirstColumn="0" w:lastRowLastColumn="0"/>
              <w:rPr>
                <w:b w:val="0"/>
                <w:i/>
                <w:iCs/>
              </w:rPr>
            </w:pPr>
            <w:r w:rsidRPr="002271DA">
              <w:rPr>
                <w:b w:val="0"/>
                <w:i/>
                <w:iCs/>
                <w:sz w:val="20"/>
                <w:szCs w:val="20"/>
              </w:rPr>
              <w:t xml:space="preserve">              8 </w:t>
            </w:r>
          </w:p>
        </w:tc>
      </w:tr>
    </w:tbl>
    <w:p w:rsidR="00D6013E" w:rsidRPr="00472C29" w:rsidRDefault="00D6013E" w:rsidP="007730AA">
      <w:pPr>
        <w:spacing w:before="0" w:line="276" w:lineRule="auto"/>
        <w:ind w:firstLine="0"/>
        <w:contextualSpacing w:val="0"/>
        <w:jc w:val="left"/>
        <w:rPr>
          <w:rFonts w:eastAsiaTheme="minorHAnsi" w:cs="Sylfaen"/>
          <w:sz w:val="28"/>
          <w:szCs w:val="28"/>
          <w:u w:val="single"/>
          <w:lang w:eastAsia="en-US"/>
        </w:rPr>
      </w:pPr>
      <w:r w:rsidRPr="00472C29">
        <w:rPr>
          <w:rFonts w:eastAsiaTheme="minorHAnsi" w:cs="Sylfaen"/>
          <w:sz w:val="28"/>
          <w:szCs w:val="28"/>
          <w:u w:val="single"/>
          <w:lang w:eastAsia="en-US"/>
        </w:rPr>
        <w:br w:type="page"/>
      </w:r>
    </w:p>
    <w:p w:rsidR="00DE47A7" w:rsidRPr="00B86D85" w:rsidRDefault="00DE47A7" w:rsidP="007730AA">
      <w:pPr>
        <w:shd w:val="clear" w:color="auto" w:fill="FFFFFF"/>
        <w:spacing w:before="0" w:line="276" w:lineRule="auto"/>
        <w:ind w:firstLine="720"/>
        <w:contextualSpacing w:val="0"/>
        <w:rPr>
          <w:rFonts w:eastAsiaTheme="minorHAnsi" w:cs="Arial"/>
          <w:szCs w:val="22"/>
          <w:lang w:val="en-US" w:eastAsia="en-US"/>
        </w:rPr>
      </w:pPr>
      <w:r w:rsidRPr="00B86D85">
        <w:rPr>
          <w:rFonts w:eastAsiaTheme="minorHAnsi" w:cs="Arial"/>
          <w:szCs w:val="22"/>
          <w:lang w:val="en-US" w:eastAsia="en-US"/>
        </w:rPr>
        <w:t>ՀԱՅԱՍՏԱՆԻ ՀԱՆՐԱՊԵՏՈՒԹՅԱՆ ԿԱՌԱՎԱՐՈՒԹՅԱՆ ՊԱՐՏՔԸ</w:t>
      </w:r>
    </w:p>
    <w:p w:rsidR="00472C29" w:rsidRPr="00975ABC" w:rsidRDefault="00472C29" w:rsidP="007730AA">
      <w:pPr>
        <w:shd w:val="clear" w:color="auto" w:fill="FFFFFF"/>
        <w:spacing w:before="0" w:line="276" w:lineRule="auto"/>
        <w:ind w:firstLine="720"/>
        <w:contextualSpacing w:val="0"/>
        <w:rPr>
          <w:rFonts w:eastAsiaTheme="minorHAnsi" w:cs="Arial"/>
          <w:b w:val="0"/>
          <w:szCs w:val="22"/>
          <w:lang w:val="af-ZA" w:eastAsia="en-US"/>
        </w:rPr>
      </w:pPr>
      <w:r w:rsidRPr="00975ABC">
        <w:rPr>
          <w:rFonts w:eastAsiaTheme="minorHAnsi" w:cs="Arial"/>
          <w:b w:val="0"/>
          <w:szCs w:val="22"/>
          <w:lang w:eastAsia="en-US"/>
        </w:rPr>
        <w:t>Կ</w:t>
      </w:r>
      <w:r w:rsidRPr="00975ABC">
        <w:rPr>
          <w:rFonts w:eastAsiaTheme="minorHAnsi" w:cs="Arial"/>
          <w:b w:val="0"/>
          <w:szCs w:val="22"/>
          <w:lang w:val="en-US" w:eastAsia="en-US"/>
        </w:rPr>
        <w:t>առավարության</w:t>
      </w:r>
      <w:r w:rsidRPr="00975ABC">
        <w:rPr>
          <w:rFonts w:eastAsiaTheme="minorHAnsi" w:cs="Arial"/>
          <w:b w:val="0"/>
          <w:szCs w:val="22"/>
          <w:lang w:val="af-ZA" w:eastAsia="en-US"/>
        </w:rPr>
        <w:t xml:space="preserve"> </w:t>
      </w:r>
      <w:r w:rsidRPr="00975ABC">
        <w:rPr>
          <w:rFonts w:eastAsiaTheme="minorHAnsi" w:cs="Arial"/>
          <w:b w:val="0"/>
          <w:szCs w:val="22"/>
          <w:lang w:val="en-US" w:eastAsia="en-US"/>
        </w:rPr>
        <w:t>պարտքի</w:t>
      </w:r>
      <w:r w:rsidRPr="00975ABC">
        <w:rPr>
          <w:rFonts w:eastAsiaTheme="minorHAnsi" w:cs="Arial"/>
          <w:b w:val="0"/>
          <w:szCs w:val="22"/>
          <w:lang w:val="af-ZA" w:eastAsia="en-US"/>
        </w:rPr>
        <w:t xml:space="preserve"> 2020 </w:t>
      </w:r>
      <w:r w:rsidRPr="00975ABC">
        <w:rPr>
          <w:rFonts w:eastAsiaTheme="minorHAnsi" w:cs="Arial"/>
          <w:b w:val="0"/>
          <w:szCs w:val="22"/>
          <w:lang w:val="en-US" w:eastAsia="en-US"/>
        </w:rPr>
        <w:t>և</w:t>
      </w:r>
      <w:r w:rsidRPr="00975ABC">
        <w:rPr>
          <w:rFonts w:eastAsiaTheme="minorHAnsi" w:cs="Arial"/>
          <w:b w:val="0"/>
          <w:szCs w:val="22"/>
          <w:lang w:val="af-ZA" w:eastAsia="en-US"/>
        </w:rPr>
        <w:t xml:space="preserve"> 2021 </w:t>
      </w:r>
      <w:r w:rsidRPr="00975ABC">
        <w:rPr>
          <w:rFonts w:eastAsiaTheme="minorHAnsi" w:cs="Arial"/>
          <w:b w:val="0"/>
          <w:szCs w:val="22"/>
          <w:lang w:val="en-US" w:eastAsia="en-US"/>
        </w:rPr>
        <w:t>թվականների</w:t>
      </w:r>
      <w:r w:rsidRPr="00975ABC">
        <w:rPr>
          <w:rFonts w:eastAsiaTheme="minorHAnsi" w:cs="Arial"/>
          <w:b w:val="0"/>
          <w:szCs w:val="22"/>
          <w:lang w:val="af-ZA" w:eastAsia="en-US"/>
        </w:rPr>
        <w:t xml:space="preserve"> </w:t>
      </w:r>
      <w:r w:rsidRPr="00975ABC">
        <w:rPr>
          <w:rFonts w:eastAsiaTheme="minorHAnsi" w:cs="Arial"/>
          <w:b w:val="0"/>
          <w:szCs w:val="22"/>
          <w:lang w:val="en-US" w:eastAsia="en-US"/>
        </w:rPr>
        <w:t>կանխատեսումները</w:t>
      </w:r>
      <w:r w:rsidRPr="00975ABC">
        <w:rPr>
          <w:rFonts w:eastAsiaTheme="minorHAnsi" w:cs="Arial"/>
          <w:b w:val="0"/>
          <w:szCs w:val="22"/>
          <w:lang w:val="af-ZA" w:eastAsia="en-US"/>
        </w:rPr>
        <w:t xml:space="preserve"> </w:t>
      </w:r>
      <w:r w:rsidRPr="00975ABC">
        <w:rPr>
          <w:rFonts w:eastAsiaTheme="minorHAnsi" w:cs="Arial"/>
          <w:b w:val="0"/>
          <w:szCs w:val="22"/>
          <w:lang w:val="en-US" w:eastAsia="en-US"/>
        </w:rPr>
        <w:t>կատարվել</w:t>
      </w:r>
      <w:r w:rsidRPr="00975ABC">
        <w:rPr>
          <w:rFonts w:eastAsiaTheme="minorHAnsi" w:cs="Arial"/>
          <w:b w:val="0"/>
          <w:szCs w:val="22"/>
          <w:lang w:val="af-ZA" w:eastAsia="en-US"/>
        </w:rPr>
        <w:t xml:space="preserve"> </w:t>
      </w:r>
      <w:r w:rsidRPr="00975ABC">
        <w:rPr>
          <w:rFonts w:eastAsiaTheme="minorHAnsi" w:cs="Arial"/>
          <w:b w:val="0"/>
          <w:szCs w:val="22"/>
          <w:lang w:val="en-US" w:eastAsia="en-US"/>
        </w:rPr>
        <w:t>են</w:t>
      </w:r>
      <w:r w:rsidRPr="00975ABC">
        <w:rPr>
          <w:rFonts w:eastAsiaTheme="minorHAnsi" w:cs="Arial"/>
          <w:b w:val="0"/>
          <w:szCs w:val="22"/>
          <w:lang w:val="af-ZA" w:eastAsia="en-US"/>
        </w:rPr>
        <w:t xml:space="preserve"> </w:t>
      </w:r>
      <w:r w:rsidRPr="00975ABC">
        <w:rPr>
          <w:rFonts w:eastAsiaTheme="minorHAnsi" w:cs="Arial"/>
          <w:b w:val="0"/>
          <w:szCs w:val="22"/>
          <w:lang w:val="en-US" w:eastAsia="en-US"/>
        </w:rPr>
        <w:t>հիմք</w:t>
      </w:r>
      <w:r w:rsidRPr="00975ABC">
        <w:rPr>
          <w:rFonts w:eastAsiaTheme="minorHAnsi" w:cs="Arial"/>
          <w:b w:val="0"/>
          <w:szCs w:val="22"/>
          <w:lang w:val="af-ZA" w:eastAsia="en-US"/>
        </w:rPr>
        <w:t xml:space="preserve"> </w:t>
      </w:r>
      <w:r w:rsidRPr="00975ABC">
        <w:rPr>
          <w:rFonts w:eastAsiaTheme="minorHAnsi" w:cs="Arial"/>
          <w:b w:val="0"/>
          <w:szCs w:val="22"/>
          <w:lang w:val="en-US" w:eastAsia="en-US"/>
        </w:rPr>
        <w:t>ընդունելով</w:t>
      </w:r>
      <w:r w:rsidRPr="00975ABC">
        <w:rPr>
          <w:rFonts w:eastAsiaTheme="minorHAnsi" w:cs="Arial"/>
          <w:b w:val="0"/>
          <w:szCs w:val="22"/>
          <w:lang w:val="af-ZA" w:eastAsia="en-US"/>
        </w:rPr>
        <w:t xml:space="preserve"> </w:t>
      </w:r>
      <w:r w:rsidRPr="00975ABC">
        <w:rPr>
          <w:rFonts w:eastAsiaTheme="minorHAnsi" w:cs="Arial"/>
          <w:b w:val="0"/>
          <w:szCs w:val="22"/>
          <w:lang w:val="en-US" w:eastAsia="en-US"/>
        </w:rPr>
        <w:t>հետևյալը</w:t>
      </w:r>
      <w:r w:rsidRPr="00975ABC">
        <w:rPr>
          <w:rFonts w:eastAsiaTheme="minorHAnsi" w:cs="Arial"/>
          <w:b w:val="0"/>
          <w:szCs w:val="22"/>
          <w:lang w:val="af-ZA" w:eastAsia="en-US"/>
        </w:rPr>
        <w:t>.</w:t>
      </w:r>
    </w:p>
    <w:p w:rsidR="00472C29" w:rsidRPr="004E3188" w:rsidRDefault="00472C29" w:rsidP="007730AA">
      <w:pPr>
        <w:pStyle w:val="ListParagraph"/>
        <w:numPr>
          <w:ilvl w:val="0"/>
          <w:numId w:val="14"/>
        </w:numPr>
        <w:shd w:val="clear" w:color="auto" w:fill="FFFFFF"/>
        <w:spacing w:before="0" w:line="276" w:lineRule="auto"/>
        <w:ind w:left="0" w:hanging="284"/>
        <w:contextualSpacing w:val="0"/>
        <w:rPr>
          <w:rFonts w:eastAsiaTheme="minorHAnsi" w:cstheme="minorBidi"/>
          <w:b w:val="0"/>
          <w:szCs w:val="22"/>
          <w:lang w:val="af-ZA" w:eastAsia="en-US"/>
        </w:rPr>
      </w:pPr>
      <w:r w:rsidRPr="004E3188">
        <w:rPr>
          <w:rFonts w:eastAsiaTheme="minorHAnsi" w:cstheme="minorBidi"/>
          <w:b w:val="0"/>
          <w:szCs w:val="22"/>
          <w:lang w:eastAsia="en-US"/>
        </w:rPr>
        <w:t>ՀՀ</w:t>
      </w:r>
      <w:r w:rsidRPr="004E3188">
        <w:rPr>
          <w:rFonts w:eastAsiaTheme="minorHAnsi" w:cstheme="minorBidi"/>
          <w:b w:val="0"/>
          <w:szCs w:val="22"/>
          <w:lang w:val="af-ZA" w:eastAsia="en-US"/>
        </w:rPr>
        <w:t xml:space="preserve"> 2020</w:t>
      </w:r>
      <w:r w:rsidRPr="004E3188">
        <w:rPr>
          <w:rFonts w:eastAsiaTheme="minorHAnsi" w:cstheme="minorBidi"/>
          <w:b w:val="0"/>
          <w:szCs w:val="22"/>
          <w:lang w:val="en-US" w:eastAsia="en-US"/>
        </w:rPr>
        <w:t>թ</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պետական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բյուջեի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պակասուրդի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զուտ</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ֆինանսավորումը</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պարտքային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գործիքների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հաշվին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կիրականացվի</w:t>
      </w:r>
      <w:r w:rsidRPr="004E3188">
        <w:rPr>
          <w:rFonts w:eastAsiaTheme="minorHAnsi" w:cstheme="minorBidi"/>
          <w:b w:val="0"/>
          <w:szCs w:val="22"/>
          <w:lang w:val="af-ZA" w:eastAsia="en-US"/>
        </w:rPr>
        <w:t xml:space="preserve"> </w:t>
      </w:r>
      <w:r w:rsidR="004E3188" w:rsidRPr="004E3188">
        <w:rPr>
          <w:rFonts w:eastAsiaTheme="minorHAnsi" w:cstheme="minorBidi"/>
          <w:b w:val="0"/>
          <w:szCs w:val="22"/>
          <w:lang w:val="hy-AM" w:eastAsia="en-US"/>
        </w:rPr>
        <w:t>367</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մլրդ</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դրամի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չափով</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որից</w:t>
      </w:r>
      <w:r w:rsidRPr="004E3188">
        <w:rPr>
          <w:rFonts w:eastAsiaTheme="minorHAnsi" w:cstheme="minorBidi"/>
          <w:b w:val="0"/>
          <w:szCs w:val="22"/>
          <w:lang w:val="af-ZA" w:eastAsia="en-US"/>
        </w:rPr>
        <w:t>.</w:t>
      </w:r>
    </w:p>
    <w:p w:rsidR="00472C29" w:rsidRPr="004E3188" w:rsidRDefault="00472C29" w:rsidP="007730AA">
      <w:pPr>
        <w:pStyle w:val="ListParagraph"/>
        <w:numPr>
          <w:ilvl w:val="0"/>
          <w:numId w:val="74"/>
        </w:numPr>
        <w:shd w:val="clear" w:color="auto" w:fill="FFFFFF"/>
        <w:spacing w:before="0" w:line="276" w:lineRule="auto"/>
        <w:ind w:left="0"/>
        <w:contextualSpacing w:val="0"/>
        <w:rPr>
          <w:rFonts w:eastAsiaTheme="minorHAnsi" w:cstheme="minorBidi"/>
          <w:b w:val="0"/>
          <w:szCs w:val="22"/>
          <w:lang w:val="af-ZA" w:eastAsia="en-US"/>
        </w:rPr>
      </w:pPr>
      <w:r w:rsidRPr="004E3188">
        <w:rPr>
          <w:rFonts w:eastAsiaTheme="minorHAnsi" w:cstheme="minorBidi"/>
          <w:b w:val="0"/>
          <w:szCs w:val="22"/>
          <w:lang w:val="af-ZA" w:eastAsia="en-US"/>
        </w:rPr>
        <w:t xml:space="preserve">310 </w:t>
      </w:r>
      <w:r w:rsidRPr="004E3188">
        <w:rPr>
          <w:rFonts w:eastAsiaTheme="minorHAnsi" w:cstheme="minorBidi"/>
          <w:b w:val="0"/>
          <w:szCs w:val="22"/>
          <w:lang w:val="en-US" w:eastAsia="en-US"/>
        </w:rPr>
        <w:t>մլրդ</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դրամը</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պետական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գանձապետական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պարտատոմսերի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հաշվին՝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սկզբանե</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պլանավորված</w:t>
      </w:r>
      <w:r w:rsidRPr="004E3188">
        <w:rPr>
          <w:rFonts w:eastAsiaTheme="minorHAnsi" w:cstheme="minorBidi"/>
          <w:b w:val="0"/>
          <w:szCs w:val="22"/>
          <w:lang w:val="af-ZA" w:eastAsia="en-US"/>
        </w:rPr>
        <w:t xml:space="preserve"> 145 </w:t>
      </w:r>
      <w:r w:rsidRPr="004E3188">
        <w:rPr>
          <w:rFonts w:eastAsiaTheme="minorHAnsi" w:cstheme="minorBidi"/>
          <w:b w:val="0"/>
          <w:szCs w:val="22"/>
          <w:lang w:val="en-US" w:eastAsia="en-US"/>
        </w:rPr>
        <w:t>մլրդ</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դրամի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դիմաց</w:t>
      </w:r>
      <w:r w:rsidRPr="004E3188">
        <w:rPr>
          <w:rFonts w:eastAsiaTheme="minorHAnsi" w:cstheme="minorBidi"/>
          <w:b w:val="0"/>
          <w:szCs w:val="22"/>
          <w:lang w:val="af-ZA" w:eastAsia="en-US"/>
        </w:rPr>
        <w:t>,</w:t>
      </w:r>
    </w:p>
    <w:p w:rsidR="00472C29" w:rsidRPr="004E3188" w:rsidRDefault="00472C29" w:rsidP="007730AA">
      <w:pPr>
        <w:pStyle w:val="ListParagraph"/>
        <w:numPr>
          <w:ilvl w:val="0"/>
          <w:numId w:val="74"/>
        </w:numPr>
        <w:shd w:val="clear" w:color="auto" w:fill="FFFFFF"/>
        <w:spacing w:before="0" w:line="276" w:lineRule="auto"/>
        <w:ind w:left="0"/>
        <w:contextualSpacing w:val="0"/>
        <w:rPr>
          <w:rFonts w:eastAsiaTheme="minorHAnsi" w:cstheme="minorBidi"/>
          <w:b w:val="0"/>
          <w:szCs w:val="22"/>
          <w:lang w:val="af-ZA" w:eastAsia="en-US"/>
        </w:rPr>
      </w:pPr>
      <w:r w:rsidRPr="004E3188">
        <w:rPr>
          <w:rFonts w:eastAsiaTheme="minorHAnsi" w:cstheme="minorBidi"/>
          <w:b w:val="0"/>
          <w:szCs w:val="22"/>
          <w:lang w:val="af-ZA" w:eastAsia="en-US"/>
        </w:rPr>
        <w:t xml:space="preserve">103 </w:t>
      </w:r>
      <w:r w:rsidRPr="004E3188">
        <w:rPr>
          <w:rFonts w:eastAsiaTheme="minorHAnsi" w:cstheme="minorBidi"/>
          <w:b w:val="0"/>
          <w:szCs w:val="22"/>
          <w:lang w:val="en-US" w:eastAsia="en-US"/>
        </w:rPr>
        <w:t>մլրդ</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դրամը</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արտաքին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վարկերի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հաշվին՝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սկզբանե</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պլանավորված</w:t>
      </w:r>
      <w:r w:rsidRPr="004E3188">
        <w:rPr>
          <w:rFonts w:eastAsiaTheme="minorHAnsi" w:cstheme="minorBidi"/>
          <w:b w:val="0"/>
          <w:szCs w:val="22"/>
          <w:lang w:val="af-ZA" w:eastAsia="en-US"/>
        </w:rPr>
        <w:t xml:space="preserve"> 61 </w:t>
      </w:r>
      <w:r w:rsidRPr="004E3188">
        <w:rPr>
          <w:rFonts w:eastAsiaTheme="minorHAnsi" w:cstheme="minorBidi"/>
          <w:b w:val="0"/>
          <w:szCs w:val="22"/>
          <w:lang w:val="en-US" w:eastAsia="en-US"/>
        </w:rPr>
        <w:t>մլրդ</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դրամի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դիմաց</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նպատակային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վարկերի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գծով</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մասհանումներ՝</w:t>
      </w:r>
      <w:r w:rsidRPr="004E3188">
        <w:rPr>
          <w:rFonts w:eastAsiaTheme="minorHAnsi" w:cstheme="minorBidi"/>
          <w:b w:val="0"/>
          <w:szCs w:val="22"/>
          <w:lang w:val="af-ZA" w:eastAsia="en-US"/>
        </w:rPr>
        <w:t xml:space="preserve"> 117 </w:t>
      </w:r>
      <w:r w:rsidRPr="004E3188">
        <w:rPr>
          <w:rFonts w:eastAsiaTheme="minorHAnsi" w:cstheme="minorBidi"/>
          <w:b w:val="0"/>
          <w:szCs w:val="22"/>
          <w:lang w:val="en-US" w:eastAsia="en-US"/>
        </w:rPr>
        <w:t>մլն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ԱՄՆ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դոլար</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սկզբանե</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պլանավորված</w:t>
      </w:r>
      <w:r w:rsidRPr="004E3188">
        <w:rPr>
          <w:rFonts w:eastAsiaTheme="minorHAnsi" w:cstheme="minorBidi"/>
          <w:b w:val="0"/>
          <w:szCs w:val="22"/>
          <w:lang w:val="af-ZA" w:eastAsia="en-US"/>
        </w:rPr>
        <w:t xml:space="preserve"> 361 </w:t>
      </w:r>
      <w:r w:rsidRPr="004E3188">
        <w:rPr>
          <w:rFonts w:eastAsiaTheme="minorHAnsi" w:cstheme="minorBidi"/>
          <w:b w:val="0"/>
          <w:szCs w:val="22"/>
          <w:lang w:val="en-US" w:eastAsia="en-US"/>
        </w:rPr>
        <w:t>մլն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ԱՄՆ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դոլարի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դիմաց</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բյուջետային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աջակցության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վարկերի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գծով</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մասհանումներ</w:t>
      </w:r>
      <w:r w:rsidRPr="004E3188">
        <w:rPr>
          <w:rFonts w:eastAsiaTheme="minorHAnsi" w:cstheme="minorBidi"/>
          <w:b w:val="0"/>
          <w:szCs w:val="22"/>
          <w:lang w:val="af-ZA" w:eastAsia="en-US"/>
        </w:rPr>
        <w:t xml:space="preserve"> 316 </w:t>
      </w:r>
      <w:r w:rsidRPr="004E3188">
        <w:rPr>
          <w:rFonts w:eastAsiaTheme="minorHAnsi" w:cstheme="minorBidi"/>
          <w:b w:val="0"/>
          <w:szCs w:val="22"/>
          <w:lang w:val="en-US" w:eastAsia="en-US"/>
        </w:rPr>
        <w:t>մլն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ԱՄՆ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դոլար</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որոնք</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սկզբանե</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չեն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եղել</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պլանավորված</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և</w:t>
      </w:r>
      <w:r w:rsidRPr="004E3188">
        <w:rPr>
          <w:rFonts w:eastAsiaTheme="minorHAnsi" w:cstheme="minorBidi"/>
          <w:b w:val="0"/>
          <w:szCs w:val="22"/>
          <w:lang w:val="af-ZA" w:eastAsia="en-US"/>
        </w:rPr>
        <w:t xml:space="preserve"> արտաքին վարկերի գծով մարումներ՝ 216 </w:t>
      </w:r>
      <w:r w:rsidRPr="004E3188">
        <w:rPr>
          <w:rFonts w:eastAsiaTheme="minorHAnsi" w:cstheme="minorBidi"/>
          <w:b w:val="0"/>
          <w:szCs w:val="22"/>
          <w:lang w:val="en-US" w:eastAsia="en-US"/>
        </w:rPr>
        <w:t>մլն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ԱՄՆ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դոլար՝</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սկզբանե</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պլանավորված</w:t>
      </w:r>
      <w:r w:rsidRPr="004E3188">
        <w:rPr>
          <w:rFonts w:eastAsiaTheme="minorHAnsi" w:cstheme="minorBidi"/>
          <w:b w:val="0"/>
          <w:szCs w:val="22"/>
          <w:lang w:val="af-ZA" w:eastAsia="en-US"/>
        </w:rPr>
        <w:t xml:space="preserve"> 233 </w:t>
      </w:r>
      <w:r w:rsidRPr="004E3188">
        <w:rPr>
          <w:rFonts w:eastAsiaTheme="minorHAnsi" w:cstheme="minorBidi"/>
          <w:b w:val="0"/>
          <w:szCs w:val="22"/>
          <w:lang w:val="en-US" w:eastAsia="en-US"/>
        </w:rPr>
        <w:t>մլ</w:t>
      </w:r>
      <w:r w:rsidRPr="004E3188">
        <w:rPr>
          <w:rFonts w:eastAsiaTheme="minorHAnsi" w:cstheme="minorBidi"/>
          <w:b w:val="0"/>
          <w:szCs w:val="22"/>
          <w:lang w:eastAsia="en-US"/>
        </w:rPr>
        <w:t>ն</w:t>
      </w:r>
      <w:r w:rsidRPr="004E3188">
        <w:rPr>
          <w:rFonts w:eastAsiaTheme="minorHAnsi" w:cstheme="minorBidi"/>
          <w:b w:val="0"/>
          <w:szCs w:val="22"/>
          <w:lang w:val="af-ZA" w:eastAsia="en-US"/>
        </w:rPr>
        <w:t xml:space="preserve"> </w:t>
      </w:r>
      <w:r w:rsidRPr="004E3188">
        <w:rPr>
          <w:rFonts w:eastAsiaTheme="minorHAnsi" w:cstheme="minorBidi"/>
          <w:b w:val="0"/>
          <w:szCs w:val="22"/>
          <w:lang w:eastAsia="en-US"/>
        </w:rPr>
        <w:t>ԱՄՆ</w:t>
      </w:r>
      <w:r w:rsidRPr="004E3188">
        <w:rPr>
          <w:rFonts w:eastAsiaTheme="minorHAnsi" w:cstheme="minorBidi"/>
          <w:b w:val="0"/>
          <w:szCs w:val="22"/>
          <w:lang w:val="af-ZA" w:eastAsia="en-US"/>
        </w:rPr>
        <w:t xml:space="preserve"> </w:t>
      </w:r>
      <w:r w:rsidRPr="004E3188">
        <w:rPr>
          <w:rFonts w:eastAsiaTheme="minorHAnsi" w:cstheme="minorBidi"/>
          <w:b w:val="0"/>
          <w:szCs w:val="22"/>
          <w:lang w:eastAsia="en-US"/>
        </w:rPr>
        <w:t>դոլարի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դիմաց</w:t>
      </w:r>
      <w:r w:rsidRPr="004E3188">
        <w:rPr>
          <w:rFonts w:eastAsiaTheme="minorHAnsi" w:cstheme="minorBidi"/>
          <w:b w:val="0"/>
          <w:szCs w:val="22"/>
          <w:lang w:val="af-ZA" w:eastAsia="en-US"/>
        </w:rPr>
        <w:t>),</w:t>
      </w:r>
    </w:p>
    <w:p w:rsidR="00472C29" w:rsidRPr="0045069B" w:rsidRDefault="004E3188" w:rsidP="007730AA">
      <w:pPr>
        <w:pStyle w:val="ListParagraph"/>
        <w:numPr>
          <w:ilvl w:val="0"/>
          <w:numId w:val="74"/>
        </w:numPr>
        <w:shd w:val="clear" w:color="auto" w:fill="FFFFFF"/>
        <w:spacing w:before="0" w:line="276" w:lineRule="auto"/>
        <w:ind w:left="0"/>
        <w:contextualSpacing w:val="0"/>
        <w:rPr>
          <w:rFonts w:eastAsiaTheme="minorHAnsi" w:cstheme="minorBidi"/>
          <w:b w:val="0"/>
          <w:szCs w:val="22"/>
          <w:lang w:val="af-ZA" w:eastAsia="en-US"/>
        </w:rPr>
      </w:pPr>
      <w:r w:rsidRPr="0045069B">
        <w:rPr>
          <w:rFonts w:eastAsiaTheme="minorHAnsi" w:cstheme="minorBidi"/>
          <w:b w:val="0"/>
          <w:szCs w:val="22"/>
          <w:lang w:val="af-ZA" w:eastAsia="en-US"/>
        </w:rPr>
        <w:t xml:space="preserve">(47) </w:t>
      </w:r>
      <w:r w:rsidRPr="004E3188">
        <w:rPr>
          <w:rFonts w:eastAsiaTheme="minorHAnsi" w:cstheme="minorBidi"/>
          <w:b w:val="0"/>
          <w:szCs w:val="22"/>
          <w:lang w:val="en-US" w:eastAsia="en-US"/>
        </w:rPr>
        <w:t>մլրդ</w:t>
      </w:r>
      <w:r w:rsidRPr="0045069B">
        <w:rPr>
          <w:rFonts w:eastAsiaTheme="minorHAnsi" w:cstheme="minorBidi"/>
          <w:b w:val="0"/>
          <w:szCs w:val="22"/>
          <w:lang w:val="af-ZA" w:eastAsia="en-US"/>
        </w:rPr>
        <w:t xml:space="preserve"> </w:t>
      </w:r>
      <w:r w:rsidRPr="004E3188">
        <w:rPr>
          <w:rFonts w:eastAsiaTheme="minorHAnsi" w:cstheme="minorBidi"/>
          <w:b w:val="0"/>
          <w:szCs w:val="22"/>
          <w:lang w:val="en-US" w:eastAsia="en-US"/>
        </w:rPr>
        <w:t>դրամը՝</w:t>
      </w:r>
      <w:r w:rsidRPr="0045069B">
        <w:rPr>
          <w:rFonts w:eastAsiaTheme="minorHAnsi" w:cstheme="minorBidi"/>
          <w:b w:val="0"/>
          <w:szCs w:val="22"/>
          <w:lang w:val="af-ZA" w:eastAsia="en-US"/>
        </w:rPr>
        <w:t xml:space="preserve"> </w:t>
      </w:r>
      <w:r w:rsidRPr="004E3188">
        <w:rPr>
          <w:rFonts w:eastAsiaTheme="minorHAnsi" w:cstheme="minorBidi"/>
          <w:b w:val="0"/>
          <w:szCs w:val="22"/>
          <w:lang w:val="en-US" w:eastAsia="en-US"/>
        </w:rPr>
        <w:t>արտարժութային</w:t>
      </w:r>
      <w:r w:rsidRPr="0045069B">
        <w:rPr>
          <w:rFonts w:eastAsiaTheme="minorHAnsi" w:cstheme="minorBidi"/>
          <w:b w:val="0"/>
          <w:szCs w:val="22"/>
          <w:lang w:val="af-ZA" w:eastAsia="en-US"/>
        </w:rPr>
        <w:t xml:space="preserve"> </w:t>
      </w:r>
      <w:r w:rsidRPr="004E3188">
        <w:rPr>
          <w:rFonts w:eastAsiaTheme="minorHAnsi" w:cstheme="minorBidi"/>
          <w:b w:val="0"/>
          <w:szCs w:val="22"/>
          <w:lang w:val="en-US" w:eastAsia="en-US"/>
        </w:rPr>
        <w:t>պետական</w:t>
      </w:r>
      <w:r w:rsidRPr="0045069B">
        <w:rPr>
          <w:rFonts w:eastAsiaTheme="minorHAnsi" w:cstheme="minorBidi"/>
          <w:b w:val="0"/>
          <w:szCs w:val="22"/>
          <w:lang w:val="af-ZA" w:eastAsia="en-US"/>
        </w:rPr>
        <w:t xml:space="preserve"> </w:t>
      </w:r>
      <w:r w:rsidRPr="004E3188">
        <w:rPr>
          <w:rFonts w:eastAsiaTheme="minorHAnsi" w:cstheme="minorBidi"/>
          <w:b w:val="0"/>
          <w:szCs w:val="22"/>
          <w:lang w:val="en-US" w:eastAsia="en-US"/>
        </w:rPr>
        <w:t>պարտատոմսերի</w:t>
      </w:r>
      <w:r w:rsidRPr="0045069B">
        <w:rPr>
          <w:rFonts w:eastAsiaTheme="minorHAnsi" w:cstheme="minorBidi"/>
          <w:b w:val="0"/>
          <w:szCs w:val="22"/>
          <w:lang w:val="af-ZA" w:eastAsia="en-US"/>
        </w:rPr>
        <w:t xml:space="preserve"> </w:t>
      </w:r>
      <w:r w:rsidRPr="004E3188">
        <w:rPr>
          <w:rFonts w:eastAsiaTheme="minorHAnsi" w:cstheme="minorBidi"/>
          <w:b w:val="0"/>
          <w:szCs w:val="22"/>
          <w:lang w:val="en-US" w:eastAsia="en-US"/>
        </w:rPr>
        <w:t>հաշվին՝</w:t>
      </w:r>
      <w:r w:rsidRPr="0045069B">
        <w:rPr>
          <w:rFonts w:eastAsiaTheme="minorHAnsi" w:cstheme="minorBidi"/>
          <w:b w:val="0"/>
          <w:szCs w:val="22"/>
          <w:lang w:val="af-ZA" w:eastAsia="en-US"/>
        </w:rPr>
        <w:t xml:space="preserve"> </w:t>
      </w:r>
      <w:r w:rsidRPr="004E3188">
        <w:rPr>
          <w:rFonts w:eastAsiaTheme="minorHAnsi" w:cstheme="minorBidi"/>
          <w:b w:val="0"/>
          <w:szCs w:val="22"/>
          <w:lang w:val="en-US" w:eastAsia="en-US"/>
        </w:rPr>
        <w:t>ի</w:t>
      </w:r>
      <w:r w:rsidRPr="0045069B">
        <w:rPr>
          <w:rFonts w:eastAsiaTheme="minorHAnsi" w:cstheme="minorBidi"/>
          <w:b w:val="0"/>
          <w:szCs w:val="22"/>
          <w:lang w:val="af-ZA" w:eastAsia="en-US"/>
        </w:rPr>
        <w:t xml:space="preserve"> </w:t>
      </w:r>
      <w:r w:rsidRPr="004E3188">
        <w:rPr>
          <w:rFonts w:eastAsiaTheme="minorHAnsi" w:cstheme="minorBidi"/>
          <w:b w:val="0"/>
          <w:szCs w:val="22"/>
          <w:lang w:val="en-US" w:eastAsia="en-US"/>
        </w:rPr>
        <w:t>սկզբանե</w:t>
      </w:r>
      <w:r w:rsidRPr="0045069B">
        <w:rPr>
          <w:rFonts w:eastAsiaTheme="minorHAnsi" w:cstheme="minorBidi"/>
          <w:b w:val="0"/>
          <w:szCs w:val="22"/>
          <w:lang w:val="af-ZA" w:eastAsia="en-US"/>
        </w:rPr>
        <w:t xml:space="preserve"> </w:t>
      </w:r>
      <w:r w:rsidRPr="004E3188">
        <w:rPr>
          <w:rFonts w:eastAsiaTheme="minorHAnsi" w:cstheme="minorBidi"/>
          <w:b w:val="0"/>
          <w:szCs w:val="22"/>
          <w:lang w:val="en-US" w:eastAsia="en-US"/>
        </w:rPr>
        <w:t>պլանավորվածի</w:t>
      </w:r>
      <w:r w:rsidRPr="0045069B">
        <w:rPr>
          <w:rFonts w:eastAsiaTheme="minorHAnsi" w:cstheme="minorBidi"/>
          <w:b w:val="0"/>
          <w:szCs w:val="22"/>
          <w:lang w:val="af-ZA" w:eastAsia="en-US"/>
        </w:rPr>
        <w:t xml:space="preserve"> </w:t>
      </w:r>
      <w:r w:rsidRPr="004E3188">
        <w:rPr>
          <w:rFonts w:eastAsiaTheme="minorHAnsi" w:cstheme="minorBidi"/>
          <w:b w:val="0"/>
          <w:szCs w:val="22"/>
          <w:lang w:val="en-US" w:eastAsia="en-US"/>
        </w:rPr>
        <w:t>համապատասխան</w:t>
      </w:r>
      <w:r w:rsidR="00472C29" w:rsidRPr="0045069B">
        <w:rPr>
          <w:rFonts w:eastAsiaTheme="minorHAnsi" w:cstheme="minorBidi"/>
          <w:b w:val="0"/>
          <w:szCs w:val="22"/>
          <w:lang w:val="af-ZA" w:eastAsia="en-US"/>
        </w:rPr>
        <w:t>,</w:t>
      </w:r>
    </w:p>
    <w:p w:rsidR="004E3188" w:rsidRPr="004E3188" w:rsidRDefault="004E3188" w:rsidP="007730AA">
      <w:pPr>
        <w:pStyle w:val="ListParagraph"/>
        <w:numPr>
          <w:ilvl w:val="0"/>
          <w:numId w:val="14"/>
        </w:numPr>
        <w:shd w:val="clear" w:color="auto" w:fill="FFFFFF"/>
        <w:spacing w:before="0" w:line="276" w:lineRule="auto"/>
        <w:ind w:left="0" w:hanging="284"/>
        <w:contextualSpacing w:val="0"/>
        <w:rPr>
          <w:rFonts w:eastAsiaTheme="minorHAnsi" w:cstheme="minorBidi"/>
          <w:b w:val="0"/>
          <w:szCs w:val="22"/>
          <w:lang w:val="af-ZA" w:eastAsia="en-US"/>
        </w:rPr>
      </w:pPr>
      <w:r w:rsidRPr="004E3188">
        <w:rPr>
          <w:rFonts w:eastAsiaTheme="minorHAnsi" w:cstheme="minorBidi"/>
          <w:b w:val="0"/>
          <w:szCs w:val="22"/>
          <w:lang w:val="af-ZA" w:eastAsia="en-US"/>
        </w:rPr>
        <w:t>ՀՀ 2021</w:t>
      </w:r>
      <w:r w:rsidRPr="004E3188">
        <w:rPr>
          <w:rFonts w:eastAsiaTheme="minorHAnsi" w:cstheme="minorBidi"/>
          <w:b w:val="0"/>
          <w:szCs w:val="22"/>
          <w:lang w:val="en-US" w:eastAsia="en-US"/>
        </w:rPr>
        <w:t>թ</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պետական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բյուջեի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նախագծի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հիմքում</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դրված</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պակասուրդի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ֆինանսավորման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սցենարը</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որի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համաձայն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զուտ</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ֆինանսավորումը</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պարտքային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գործիքների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հաշվին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կիրականացվի</w:t>
      </w:r>
      <w:r w:rsidRPr="004E3188">
        <w:rPr>
          <w:rFonts w:eastAsiaTheme="minorHAnsi" w:cstheme="minorBidi"/>
          <w:b w:val="0"/>
          <w:szCs w:val="22"/>
          <w:lang w:val="af-ZA" w:eastAsia="en-US"/>
        </w:rPr>
        <w:t xml:space="preserve"> 478 </w:t>
      </w:r>
      <w:r w:rsidRPr="004E3188">
        <w:rPr>
          <w:rFonts w:eastAsiaTheme="minorHAnsi" w:cstheme="minorBidi"/>
          <w:b w:val="0"/>
          <w:szCs w:val="22"/>
          <w:lang w:val="en-US" w:eastAsia="en-US"/>
        </w:rPr>
        <w:t>մլրդ</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դրամի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չափով</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որից</w:t>
      </w:r>
      <w:r w:rsidRPr="004E3188">
        <w:rPr>
          <w:rFonts w:eastAsiaTheme="minorHAnsi" w:cstheme="minorBidi"/>
          <w:b w:val="0"/>
          <w:szCs w:val="22"/>
          <w:lang w:val="af-ZA" w:eastAsia="en-US"/>
        </w:rPr>
        <w:t xml:space="preserve"> 210 </w:t>
      </w:r>
      <w:r w:rsidRPr="004E3188">
        <w:rPr>
          <w:rFonts w:eastAsiaTheme="minorHAnsi" w:cstheme="minorBidi"/>
          <w:b w:val="0"/>
          <w:szCs w:val="22"/>
          <w:lang w:val="en-US" w:eastAsia="en-US"/>
        </w:rPr>
        <w:t>մլրդ</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դրամը</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պետական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գանձապետական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պարտատոմսերի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հաշվին</w:t>
      </w:r>
      <w:r w:rsidRPr="004E3188">
        <w:rPr>
          <w:rFonts w:eastAsiaTheme="minorHAnsi" w:cstheme="minorBidi"/>
          <w:b w:val="0"/>
          <w:szCs w:val="22"/>
          <w:lang w:val="af-ZA" w:eastAsia="en-US"/>
        </w:rPr>
        <w:t xml:space="preserve">, 26 </w:t>
      </w:r>
      <w:r w:rsidRPr="004E3188">
        <w:rPr>
          <w:rFonts w:eastAsiaTheme="minorHAnsi" w:cstheme="minorBidi"/>
          <w:b w:val="0"/>
          <w:szCs w:val="22"/>
          <w:lang w:val="en-US" w:eastAsia="en-US"/>
        </w:rPr>
        <w:t>մլրդ</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դրամը՝</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արտաքին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վարկերի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հաշվին</w:t>
      </w:r>
      <w:r w:rsidRPr="004E3188">
        <w:rPr>
          <w:rFonts w:eastAsiaTheme="minorHAnsi" w:cstheme="minorBidi"/>
          <w:b w:val="0"/>
          <w:szCs w:val="22"/>
          <w:lang w:val="af-ZA" w:eastAsia="en-US"/>
        </w:rPr>
        <w:t xml:space="preserve"> </w:t>
      </w:r>
      <w:r w:rsidRPr="004E3188">
        <w:rPr>
          <w:rFonts w:eastAsiaTheme="minorHAnsi" w:cstheme="minorBidi"/>
          <w:b w:val="0"/>
          <w:szCs w:val="22"/>
          <w:lang w:eastAsia="en-US"/>
        </w:rPr>
        <w:t>և</w:t>
      </w:r>
      <w:r w:rsidRPr="004E3188">
        <w:rPr>
          <w:rFonts w:eastAsiaTheme="minorHAnsi" w:cstheme="minorBidi"/>
          <w:b w:val="0"/>
          <w:szCs w:val="22"/>
          <w:lang w:val="af-ZA" w:eastAsia="en-US"/>
        </w:rPr>
        <w:t xml:space="preserve"> 242 </w:t>
      </w:r>
      <w:r w:rsidRPr="004E3188">
        <w:rPr>
          <w:rFonts w:eastAsiaTheme="minorHAnsi" w:cstheme="minorBidi"/>
          <w:b w:val="0"/>
          <w:szCs w:val="22"/>
          <w:lang w:val="en-US" w:eastAsia="en-US"/>
        </w:rPr>
        <w:t>մլրդ</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դրամը՝</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արտարժութային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պետական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պարտատոմսերի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հաշվին</w:t>
      </w:r>
      <w:r w:rsidRPr="004E3188">
        <w:rPr>
          <w:rFonts w:eastAsiaTheme="minorHAnsi" w:cstheme="minorBidi"/>
          <w:b w:val="0"/>
          <w:szCs w:val="22"/>
          <w:lang w:val="af-ZA" w:eastAsia="en-US"/>
        </w:rPr>
        <w:t>,</w:t>
      </w:r>
    </w:p>
    <w:p w:rsidR="004E3188" w:rsidRPr="004E3188" w:rsidRDefault="004E3188" w:rsidP="007730AA">
      <w:pPr>
        <w:pStyle w:val="ListParagraph"/>
        <w:numPr>
          <w:ilvl w:val="0"/>
          <w:numId w:val="14"/>
        </w:numPr>
        <w:shd w:val="clear" w:color="auto" w:fill="FFFFFF"/>
        <w:spacing w:before="0" w:line="276" w:lineRule="auto"/>
        <w:ind w:left="0" w:hanging="284"/>
        <w:contextualSpacing w:val="0"/>
        <w:rPr>
          <w:rFonts w:eastAsiaTheme="minorHAnsi" w:cstheme="minorBidi"/>
          <w:b w:val="0"/>
          <w:szCs w:val="22"/>
          <w:lang w:val="af-ZA" w:eastAsia="en-US"/>
        </w:rPr>
      </w:pPr>
      <w:r w:rsidRPr="004E3188">
        <w:rPr>
          <w:rFonts w:eastAsiaTheme="minorHAnsi" w:cstheme="minorBidi"/>
          <w:b w:val="0"/>
          <w:szCs w:val="22"/>
          <w:lang w:val="af-ZA" w:eastAsia="en-US"/>
        </w:rPr>
        <w:t>ներգրաված</w:t>
      </w:r>
      <w:r w:rsidRPr="004E3188">
        <w:rPr>
          <w:rFonts w:eastAsiaTheme="minorHAnsi" w:cs="Arial"/>
          <w:b w:val="0"/>
          <w:szCs w:val="22"/>
          <w:lang w:val="af-ZA" w:eastAsia="en-US"/>
        </w:rPr>
        <w:t xml:space="preserve"> </w:t>
      </w:r>
      <w:r w:rsidRPr="004E3188">
        <w:rPr>
          <w:rFonts w:eastAsiaTheme="minorHAnsi" w:cs="Arial"/>
          <w:b w:val="0"/>
          <w:szCs w:val="22"/>
          <w:lang w:eastAsia="en-US"/>
        </w:rPr>
        <w:t>պարտքի</w:t>
      </w:r>
      <w:r w:rsidRPr="004E3188">
        <w:rPr>
          <w:rFonts w:eastAsiaTheme="minorHAnsi" w:cs="Arial"/>
          <w:b w:val="0"/>
          <w:szCs w:val="22"/>
          <w:lang w:val="af-ZA" w:eastAsia="en-US"/>
        </w:rPr>
        <w:t xml:space="preserve"> </w:t>
      </w:r>
      <w:r w:rsidRPr="004E3188">
        <w:rPr>
          <w:rFonts w:eastAsiaTheme="minorHAnsi" w:cs="Arial"/>
          <w:b w:val="0"/>
          <w:szCs w:val="22"/>
          <w:lang w:eastAsia="en-US"/>
        </w:rPr>
        <w:t>սպասարկման</w:t>
      </w:r>
      <w:r w:rsidRPr="004E3188">
        <w:rPr>
          <w:rFonts w:eastAsiaTheme="minorHAnsi" w:cs="Arial"/>
          <w:b w:val="0"/>
          <w:szCs w:val="22"/>
          <w:lang w:val="af-ZA" w:eastAsia="en-US"/>
        </w:rPr>
        <w:t xml:space="preserve"> </w:t>
      </w:r>
      <w:r w:rsidRPr="004E3188">
        <w:rPr>
          <w:rFonts w:eastAsiaTheme="minorHAnsi" w:cs="Arial"/>
          <w:b w:val="0"/>
          <w:szCs w:val="22"/>
          <w:lang w:eastAsia="en-US"/>
        </w:rPr>
        <w:t>և</w:t>
      </w:r>
      <w:r w:rsidRPr="004E3188">
        <w:rPr>
          <w:rFonts w:eastAsiaTheme="minorHAnsi" w:cs="Arial"/>
          <w:b w:val="0"/>
          <w:szCs w:val="22"/>
          <w:lang w:val="af-ZA" w:eastAsia="en-US"/>
        </w:rPr>
        <w:t xml:space="preserve"> </w:t>
      </w:r>
      <w:r w:rsidRPr="004E3188">
        <w:rPr>
          <w:rFonts w:eastAsiaTheme="minorHAnsi" w:cs="Arial"/>
          <w:b w:val="0"/>
          <w:szCs w:val="22"/>
          <w:lang w:eastAsia="en-US"/>
        </w:rPr>
        <w:t>մարման</w:t>
      </w:r>
      <w:r w:rsidRPr="004E3188">
        <w:rPr>
          <w:rFonts w:eastAsiaTheme="minorHAnsi" w:cs="Arial"/>
          <w:b w:val="0"/>
          <w:szCs w:val="22"/>
          <w:lang w:val="af-ZA" w:eastAsia="en-US"/>
        </w:rPr>
        <w:t xml:space="preserve"> </w:t>
      </w:r>
      <w:r w:rsidRPr="004E3188">
        <w:rPr>
          <w:rFonts w:eastAsiaTheme="minorHAnsi" w:cs="Arial"/>
          <w:b w:val="0"/>
          <w:szCs w:val="22"/>
          <w:lang w:eastAsia="en-US"/>
        </w:rPr>
        <w:t>պայմանները</w:t>
      </w:r>
      <w:r w:rsidRPr="004E3188">
        <w:rPr>
          <w:rFonts w:eastAsiaTheme="minorHAnsi" w:cs="Arial"/>
          <w:b w:val="0"/>
          <w:szCs w:val="22"/>
          <w:lang w:val="af-ZA" w:eastAsia="en-US"/>
        </w:rPr>
        <w:t>,</w:t>
      </w:r>
    </w:p>
    <w:p w:rsidR="004E3188" w:rsidRPr="004E3188" w:rsidRDefault="004E3188" w:rsidP="007730AA">
      <w:pPr>
        <w:pStyle w:val="ListParagraph"/>
        <w:numPr>
          <w:ilvl w:val="0"/>
          <w:numId w:val="14"/>
        </w:numPr>
        <w:shd w:val="clear" w:color="auto" w:fill="FFFFFF"/>
        <w:spacing w:before="0" w:line="276" w:lineRule="auto"/>
        <w:ind w:left="0" w:hanging="284"/>
        <w:contextualSpacing w:val="0"/>
        <w:rPr>
          <w:rFonts w:eastAsiaTheme="minorHAnsi" w:cstheme="minorBidi"/>
          <w:b w:val="0"/>
          <w:szCs w:val="22"/>
          <w:lang w:val="af-ZA" w:eastAsia="en-US"/>
        </w:rPr>
      </w:pPr>
      <w:r w:rsidRPr="004E3188">
        <w:rPr>
          <w:rFonts w:eastAsiaTheme="minorHAnsi" w:cstheme="minorBidi"/>
          <w:b w:val="0"/>
          <w:szCs w:val="22"/>
          <w:lang w:val="af-ZA" w:eastAsia="en-US"/>
        </w:rPr>
        <w:t xml:space="preserve">2020 </w:t>
      </w:r>
      <w:r w:rsidRPr="004E3188">
        <w:rPr>
          <w:rFonts w:eastAsiaTheme="minorHAnsi" w:cstheme="minorBidi"/>
          <w:b w:val="0"/>
          <w:szCs w:val="22"/>
          <w:lang w:val="en-US" w:eastAsia="en-US"/>
        </w:rPr>
        <w:t>և</w:t>
      </w:r>
      <w:r w:rsidRPr="004E3188">
        <w:rPr>
          <w:rFonts w:eastAsiaTheme="minorHAnsi" w:cstheme="minorBidi"/>
          <w:b w:val="0"/>
          <w:szCs w:val="22"/>
          <w:lang w:val="af-ZA" w:eastAsia="en-US"/>
        </w:rPr>
        <w:t xml:space="preserve"> 2021 </w:t>
      </w:r>
      <w:r w:rsidRPr="004E3188">
        <w:rPr>
          <w:rFonts w:eastAsiaTheme="minorHAnsi" w:cstheme="minorBidi"/>
          <w:b w:val="0"/>
          <w:szCs w:val="22"/>
          <w:lang w:val="en-US" w:eastAsia="en-US"/>
        </w:rPr>
        <w:t>թվականների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պարտքի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մնացորդի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փոխարկումները</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կատարվել</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են</w:t>
      </w:r>
      <w:r w:rsidRPr="004E3188">
        <w:rPr>
          <w:rFonts w:eastAsiaTheme="minorHAnsi" w:cstheme="minorBidi"/>
          <w:b w:val="0"/>
          <w:szCs w:val="22"/>
          <w:lang w:val="af-ZA" w:eastAsia="en-US"/>
        </w:rPr>
        <w:t xml:space="preserve"> 02</w:t>
      </w:r>
      <w:r w:rsidRPr="004E3188">
        <w:rPr>
          <w:rFonts w:eastAsiaTheme="minorHAnsi" w:cstheme="minorBidi"/>
          <w:b w:val="0"/>
          <w:szCs w:val="22"/>
          <w:lang w:val="hy-AM" w:eastAsia="en-US"/>
        </w:rPr>
        <w:t>.</w:t>
      </w:r>
      <w:r w:rsidRPr="004E3188">
        <w:rPr>
          <w:rFonts w:eastAsiaTheme="minorHAnsi" w:cstheme="minorBidi"/>
          <w:b w:val="0"/>
          <w:szCs w:val="22"/>
          <w:lang w:val="af-ZA" w:eastAsia="en-US"/>
        </w:rPr>
        <w:t>11.2020</w:t>
      </w:r>
      <w:r w:rsidRPr="004E3188">
        <w:rPr>
          <w:rFonts w:eastAsiaTheme="minorHAnsi" w:cstheme="minorBidi"/>
          <w:b w:val="0"/>
          <w:szCs w:val="22"/>
          <w:lang w:val="en-US" w:eastAsia="en-US"/>
        </w:rPr>
        <w:t>թ</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դրությամբ</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արժութային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շուկայում</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ձևավորված</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միջին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փոխարժեքների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աղբյուր</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ՀՀ</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կենտրոնական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բանկ</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հիման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վրա</w:t>
      </w:r>
      <w:r w:rsidRPr="004E3188">
        <w:rPr>
          <w:rFonts w:eastAsiaTheme="minorHAnsi" w:cstheme="minorBidi"/>
          <w:b w:val="0"/>
          <w:szCs w:val="22"/>
          <w:lang w:eastAsia="en-US"/>
        </w:rPr>
        <w:t>՝</w:t>
      </w:r>
      <w:r w:rsidRPr="004E3188">
        <w:rPr>
          <w:rFonts w:eastAsiaTheme="minorHAnsi" w:cstheme="minorBidi"/>
          <w:b w:val="0"/>
          <w:szCs w:val="22"/>
          <w:lang w:val="af-ZA" w:eastAsia="en-US"/>
        </w:rPr>
        <w:t xml:space="preserve"> 1 </w:t>
      </w:r>
      <w:r w:rsidRPr="004E3188">
        <w:rPr>
          <w:rFonts w:eastAsiaTheme="minorHAnsi" w:cstheme="minorBidi"/>
          <w:b w:val="0"/>
          <w:szCs w:val="22"/>
          <w:lang w:val="en-US" w:eastAsia="en-US"/>
        </w:rPr>
        <w:t>ԱՄՆ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դոլար</w:t>
      </w:r>
      <w:r w:rsidRPr="004E3188">
        <w:rPr>
          <w:rFonts w:eastAsiaTheme="minorHAnsi" w:cstheme="minorBidi"/>
          <w:b w:val="0"/>
          <w:szCs w:val="22"/>
          <w:lang w:val="af-ZA" w:eastAsia="en-US"/>
        </w:rPr>
        <w:t xml:space="preserve"> = 493.76 </w:t>
      </w:r>
      <w:r w:rsidRPr="004E3188">
        <w:rPr>
          <w:rFonts w:eastAsiaTheme="minorHAnsi" w:cstheme="minorBidi"/>
          <w:b w:val="0"/>
          <w:szCs w:val="22"/>
          <w:lang w:val="en-US" w:eastAsia="en-US"/>
        </w:rPr>
        <w:t>դրամ</w:t>
      </w:r>
      <w:r w:rsidRPr="004E3188">
        <w:rPr>
          <w:rFonts w:eastAsiaTheme="minorHAnsi" w:cstheme="minorBidi"/>
          <w:b w:val="0"/>
          <w:szCs w:val="22"/>
          <w:lang w:val="af-ZA" w:eastAsia="en-US"/>
        </w:rPr>
        <w:t>,</w:t>
      </w:r>
    </w:p>
    <w:p w:rsidR="004E3188" w:rsidRPr="004E3188" w:rsidRDefault="004E3188" w:rsidP="007730AA">
      <w:pPr>
        <w:pStyle w:val="ListParagraph"/>
        <w:numPr>
          <w:ilvl w:val="0"/>
          <w:numId w:val="14"/>
        </w:numPr>
        <w:shd w:val="clear" w:color="auto" w:fill="FFFFFF"/>
        <w:spacing w:before="0" w:line="276" w:lineRule="auto"/>
        <w:ind w:left="0" w:hanging="284"/>
        <w:contextualSpacing w:val="0"/>
        <w:rPr>
          <w:rFonts w:eastAsiaTheme="minorHAnsi" w:cs="Arial"/>
          <w:b w:val="0"/>
          <w:szCs w:val="22"/>
          <w:lang w:val="en-US" w:eastAsia="en-US"/>
        </w:rPr>
      </w:pPr>
      <w:r w:rsidRPr="004E3188">
        <w:rPr>
          <w:rFonts w:eastAsiaTheme="minorHAnsi" w:cs="Arial"/>
          <w:b w:val="0"/>
          <w:szCs w:val="22"/>
          <w:lang w:val="en-US" w:eastAsia="en-US"/>
        </w:rPr>
        <w:t>ՀՀ</w:t>
      </w:r>
      <w:r w:rsidRPr="004E3188">
        <w:rPr>
          <w:rFonts w:eastAsiaTheme="minorHAnsi" w:cstheme="minorBidi"/>
          <w:b w:val="0"/>
          <w:szCs w:val="22"/>
          <w:lang w:val="af-ZA" w:eastAsia="en-US"/>
        </w:rPr>
        <w:t xml:space="preserve"> 2021</w:t>
      </w:r>
      <w:r w:rsidRPr="004E3188">
        <w:rPr>
          <w:rFonts w:eastAsiaTheme="minorHAnsi" w:cstheme="minorBidi"/>
          <w:b w:val="0"/>
          <w:szCs w:val="22"/>
          <w:lang w:val="en-US" w:eastAsia="en-US"/>
        </w:rPr>
        <w:t>թ</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պետական</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բյուջեի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նախագծի</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հիմքում</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դրված</w:t>
      </w:r>
      <w:r w:rsidRPr="004E3188">
        <w:rPr>
          <w:rFonts w:eastAsiaTheme="minorHAnsi" w:cstheme="minorBidi"/>
          <w:b w:val="0"/>
          <w:szCs w:val="22"/>
          <w:lang w:val="af-ZA" w:eastAsia="en-US"/>
        </w:rPr>
        <w:t xml:space="preserve"> 2020</w:t>
      </w:r>
      <w:r w:rsidRPr="004E3188">
        <w:rPr>
          <w:rFonts w:eastAsiaTheme="minorHAnsi" w:cstheme="minorBidi"/>
          <w:b w:val="0"/>
          <w:szCs w:val="22"/>
          <w:lang w:val="en-US" w:eastAsia="en-US"/>
        </w:rPr>
        <w:t>թ</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և</w:t>
      </w:r>
      <w:r w:rsidRPr="004E3188">
        <w:rPr>
          <w:rFonts w:eastAsiaTheme="minorHAnsi" w:cstheme="minorBidi"/>
          <w:b w:val="0"/>
          <w:szCs w:val="22"/>
          <w:lang w:val="af-ZA" w:eastAsia="en-US"/>
        </w:rPr>
        <w:t xml:space="preserve"> 2021</w:t>
      </w:r>
      <w:r w:rsidRPr="004E3188">
        <w:rPr>
          <w:rFonts w:eastAsiaTheme="minorHAnsi" w:cstheme="minorBidi"/>
          <w:b w:val="0"/>
          <w:szCs w:val="22"/>
          <w:lang w:val="en-US" w:eastAsia="en-US"/>
        </w:rPr>
        <w:t>թ</w:t>
      </w:r>
      <w:r w:rsidRPr="004E3188">
        <w:rPr>
          <w:rFonts w:eastAsiaTheme="minorHAnsi" w:cstheme="minorBidi"/>
          <w:b w:val="0"/>
          <w:szCs w:val="22"/>
          <w:lang w:val="af-ZA" w:eastAsia="en-US"/>
        </w:rPr>
        <w:t xml:space="preserve">. </w:t>
      </w:r>
      <w:r w:rsidRPr="004E3188">
        <w:rPr>
          <w:rFonts w:eastAsiaTheme="minorHAnsi" w:cstheme="minorBidi"/>
          <w:b w:val="0"/>
          <w:szCs w:val="22"/>
          <w:lang w:val="en-US" w:eastAsia="en-US"/>
        </w:rPr>
        <w:t>ՀՆԱ-ի կանխատեսումային ցուցանիշները:</w:t>
      </w:r>
    </w:p>
    <w:p w:rsidR="009C1BFA" w:rsidRPr="004E3188" w:rsidRDefault="004E3188" w:rsidP="007730AA">
      <w:pPr>
        <w:shd w:val="clear" w:color="auto" w:fill="FFFFFF"/>
        <w:spacing w:before="0" w:line="276" w:lineRule="auto"/>
        <w:ind w:firstLine="720"/>
        <w:contextualSpacing w:val="0"/>
        <w:rPr>
          <w:rFonts w:eastAsiaTheme="minorHAnsi" w:cstheme="minorBidi"/>
          <w:b w:val="0"/>
          <w:szCs w:val="22"/>
          <w:lang w:val="en-US" w:eastAsia="en-US"/>
        </w:rPr>
      </w:pPr>
      <w:r w:rsidRPr="004E3188">
        <w:rPr>
          <w:rFonts w:eastAsiaTheme="minorHAnsi" w:cs="Arial"/>
          <w:b w:val="0"/>
          <w:szCs w:val="22"/>
          <w:lang w:val="en-US" w:eastAsia="en-US"/>
        </w:rPr>
        <w:t>Ը</w:t>
      </w:r>
      <w:r w:rsidRPr="004E3188">
        <w:rPr>
          <w:rFonts w:eastAsiaTheme="minorHAnsi" w:cstheme="minorBidi"/>
          <w:b w:val="0"/>
          <w:szCs w:val="22"/>
          <w:lang w:val="en-US" w:eastAsia="en-US"/>
        </w:rPr>
        <w:t>ստ կանխատեսումների` 2021 թվականի դեկտեմբերի 31-ի դրությամբ կառավարության պարտքը կկազմի 4,222 մլրդ դրամ կամ ՀՆԱ-ի 66.0 տոկոսը և 2020 թվականի տարեվերջի համեմատությամբ ՀՆԱ-ի նկատմամբ կավելանա 4.5 տոկոսային կետով: Նշենք, որ կառավարության պարտք/ՀՆԱ ցուցանիշի նշված կանխատեսումները տարբերվում են կառավարության պարտքի կառավարման 2021-2023 թվականների միջնաժամկետ ռազմավարական ծրարով սահմանված ցուցանիշներից՝ պայմանավորված հիմնականում կանխատեսումներում կիրառված մակրոտնտեսական ու հարկաբյուջետային շրջանակի, փոխարժեքների տարբերություններով ու կառավարության պարտքի գծով գործառնություններով:</w:t>
      </w:r>
    </w:p>
    <w:p w:rsidR="009C1BFA" w:rsidRDefault="009C1BFA" w:rsidP="007730AA">
      <w:pPr>
        <w:shd w:val="clear" w:color="auto" w:fill="FFFFFF"/>
        <w:spacing w:before="0" w:line="276" w:lineRule="auto"/>
        <w:ind w:firstLine="720"/>
        <w:contextualSpacing w:val="0"/>
        <w:rPr>
          <w:rFonts w:eastAsiaTheme="minorHAnsi" w:cstheme="minorBidi"/>
          <w:b w:val="0"/>
          <w:sz w:val="24"/>
          <w:lang w:val="en-US" w:eastAsia="en-US"/>
        </w:rPr>
      </w:pPr>
    </w:p>
    <w:tbl>
      <w:tblPr>
        <w:tblStyle w:val="MediumList2-Accent59"/>
        <w:tblW w:w="988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1800"/>
        <w:gridCol w:w="1800"/>
        <w:gridCol w:w="1710"/>
      </w:tblGrid>
      <w:tr w:rsidR="00976DEF" w:rsidRPr="00472C29" w:rsidTr="00976DEF">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4577" w:type="dxa"/>
            <w:tcBorders>
              <w:top w:val="none" w:sz="0" w:space="0" w:color="auto"/>
              <w:left w:val="none" w:sz="0" w:space="0" w:color="auto"/>
              <w:bottom w:val="none" w:sz="0" w:space="0" w:color="auto"/>
              <w:right w:val="none" w:sz="0" w:space="0" w:color="auto"/>
            </w:tcBorders>
            <w:vAlign w:val="center"/>
          </w:tcPr>
          <w:p w:rsidR="00472C29" w:rsidRPr="009C1BFA" w:rsidRDefault="00472C29" w:rsidP="007730AA">
            <w:pPr>
              <w:spacing w:before="0" w:line="276" w:lineRule="auto"/>
              <w:ind w:firstLine="0"/>
              <w:contextualSpacing w:val="0"/>
              <w:jc w:val="left"/>
              <w:rPr>
                <w:b w:val="0"/>
                <w:szCs w:val="22"/>
                <w:lang w:val="en-US" w:eastAsia="en-US"/>
              </w:rPr>
            </w:pPr>
            <w:r w:rsidRPr="009C1BFA">
              <w:rPr>
                <w:rFonts w:ascii="Calibri" w:hAnsi="Calibri" w:cs="Calibri"/>
                <w:b w:val="0"/>
                <w:szCs w:val="22"/>
                <w:lang w:val="en-US" w:eastAsia="en-US"/>
              </w:rPr>
              <w:t> </w:t>
            </w:r>
          </w:p>
        </w:tc>
        <w:tc>
          <w:tcPr>
            <w:tcW w:w="1800" w:type="dxa"/>
            <w:tcBorders>
              <w:top w:val="none" w:sz="0" w:space="0" w:color="auto"/>
              <w:left w:val="none" w:sz="0" w:space="0" w:color="auto"/>
              <w:bottom w:val="none" w:sz="0" w:space="0" w:color="auto"/>
              <w:right w:val="none" w:sz="0" w:space="0" w:color="auto"/>
            </w:tcBorders>
          </w:tcPr>
          <w:p w:rsidR="00472C29" w:rsidRPr="009C1BFA" w:rsidRDefault="00472C29"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szCs w:val="22"/>
                <w:lang w:val="en-US" w:eastAsia="en-US"/>
              </w:rPr>
            </w:pPr>
            <w:r w:rsidRPr="009C1BFA">
              <w:rPr>
                <w:b w:val="0"/>
                <w:szCs w:val="22"/>
                <w:lang w:eastAsia="en-US"/>
              </w:rPr>
              <w:t>ա</w:t>
            </w:r>
            <w:r w:rsidRPr="009C1BFA">
              <w:rPr>
                <w:b w:val="0"/>
                <w:szCs w:val="22"/>
                <w:lang w:val="en-US" w:eastAsia="en-US"/>
              </w:rPr>
              <w:t>ռ 31.12.2019թ.</w:t>
            </w:r>
          </w:p>
        </w:tc>
        <w:tc>
          <w:tcPr>
            <w:tcW w:w="1800" w:type="dxa"/>
            <w:tcBorders>
              <w:top w:val="none" w:sz="0" w:space="0" w:color="auto"/>
              <w:left w:val="none" w:sz="0" w:space="0" w:color="auto"/>
              <w:bottom w:val="none" w:sz="0" w:space="0" w:color="auto"/>
              <w:right w:val="none" w:sz="0" w:space="0" w:color="auto"/>
            </w:tcBorders>
          </w:tcPr>
          <w:p w:rsidR="00472C29" w:rsidRPr="009C1BFA" w:rsidRDefault="00472C29"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szCs w:val="22"/>
                <w:lang w:val="en-US" w:eastAsia="en-US"/>
              </w:rPr>
            </w:pPr>
            <w:r w:rsidRPr="009C1BFA">
              <w:rPr>
                <w:b w:val="0"/>
                <w:szCs w:val="22"/>
                <w:lang w:val="en-US" w:eastAsia="en-US"/>
              </w:rPr>
              <w:t>առ 31.12.2020թ.</w:t>
            </w:r>
          </w:p>
        </w:tc>
        <w:tc>
          <w:tcPr>
            <w:tcW w:w="1710" w:type="dxa"/>
            <w:tcBorders>
              <w:top w:val="none" w:sz="0" w:space="0" w:color="auto"/>
              <w:left w:val="none" w:sz="0" w:space="0" w:color="auto"/>
              <w:bottom w:val="none" w:sz="0" w:space="0" w:color="auto"/>
              <w:right w:val="none" w:sz="0" w:space="0" w:color="auto"/>
            </w:tcBorders>
          </w:tcPr>
          <w:p w:rsidR="00472C29" w:rsidRPr="009C1BFA" w:rsidRDefault="00472C29"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szCs w:val="22"/>
                <w:lang w:val="en-US" w:eastAsia="en-US"/>
              </w:rPr>
            </w:pPr>
            <w:r w:rsidRPr="009C1BFA">
              <w:rPr>
                <w:b w:val="0"/>
                <w:szCs w:val="22"/>
                <w:lang w:val="en-US" w:eastAsia="en-US"/>
              </w:rPr>
              <w:t>առ 31.12.2021թ.</w:t>
            </w:r>
          </w:p>
        </w:tc>
      </w:tr>
      <w:tr w:rsidR="004E3188" w:rsidRPr="00472C29" w:rsidTr="009C1BF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577"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ind w:firstLine="0"/>
              <w:contextualSpacing w:val="0"/>
              <w:jc w:val="left"/>
              <w:rPr>
                <w:b w:val="0"/>
                <w:lang w:eastAsia="en-US"/>
              </w:rPr>
            </w:pPr>
            <w:r w:rsidRPr="009C1BFA">
              <w:rPr>
                <w:b w:val="0"/>
                <w:lang w:val="en-US" w:eastAsia="en-US"/>
              </w:rPr>
              <w:t>ՀՀ</w:t>
            </w:r>
            <w:r w:rsidRPr="009C1BFA">
              <w:rPr>
                <w:b w:val="0"/>
                <w:lang w:eastAsia="en-US"/>
              </w:rPr>
              <w:t xml:space="preserve"> </w:t>
            </w:r>
            <w:r w:rsidRPr="009C1BFA">
              <w:rPr>
                <w:b w:val="0"/>
                <w:lang w:val="en-US" w:eastAsia="en-US"/>
              </w:rPr>
              <w:t>կառավարության</w:t>
            </w:r>
            <w:r w:rsidRPr="009C1BFA">
              <w:rPr>
                <w:b w:val="0"/>
                <w:lang w:eastAsia="en-US"/>
              </w:rPr>
              <w:t xml:space="preserve"> </w:t>
            </w:r>
            <w:r w:rsidRPr="009C1BFA">
              <w:rPr>
                <w:b w:val="0"/>
                <w:lang w:val="en-US" w:eastAsia="en-US"/>
              </w:rPr>
              <w:t>պարտք</w:t>
            </w:r>
            <w:r w:rsidRPr="009C1BFA">
              <w:rPr>
                <w:b w:val="0"/>
                <w:lang w:eastAsia="en-US"/>
              </w:rPr>
              <w:t xml:space="preserve">, </w:t>
            </w:r>
            <w:r w:rsidRPr="009C1BFA">
              <w:rPr>
                <w:b w:val="0"/>
                <w:lang w:val="en-US" w:eastAsia="en-US"/>
              </w:rPr>
              <w:t>մլրդ</w:t>
            </w:r>
            <w:r w:rsidRPr="009C1BFA">
              <w:rPr>
                <w:b w:val="0"/>
                <w:lang w:eastAsia="en-US"/>
              </w:rPr>
              <w:t xml:space="preserve"> </w:t>
            </w:r>
            <w:r w:rsidRPr="009C1BFA">
              <w:rPr>
                <w:b w:val="0"/>
                <w:lang w:val="en-US" w:eastAsia="en-US"/>
              </w:rPr>
              <w:t>դրամ</w:t>
            </w:r>
          </w:p>
        </w:tc>
        <w:tc>
          <w:tcPr>
            <w:tcW w:w="1800"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4E3188" w:rsidRPr="004E3188" w:rsidRDefault="004E3188"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lang w:val="en-US" w:eastAsia="en-US"/>
              </w:rPr>
            </w:pPr>
            <w:r w:rsidRPr="004E3188">
              <w:rPr>
                <w:b w:val="0"/>
                <w:color w:val="auto"/>
                <w:sz w:val="20"/>
                <w:szCs w:val="20"/>
              </w:rPr>
              <w:t>3 277</w:t>
            </w:r>
          </w:p>
        </w:tc>
        <w:tc>
          <w:tcPr>
            <w:tcW w:w="1800"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4E3188" w:rsidRPr="004E3188"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r w:rsidRPr="004E3188">
              <w:rPr>
                <w:b w:val="0"/>
                <w:color w:val="auto"/>
                <w:sz w:val="20"/>
                <w:szCs w:val="20"/>
              </w:rPr>
              <w:t>3 739</w:t>
            </w:r>
          </w:p>
        </w:tc>
        <w:tc>
          <w:tcPr>
            <w:tcW w:w="1710" w:type="dxa"/>
            <w:tcBorders>
              <w:top w:val="none" w:sz="0" w:space="0" w:color="auto"/>
              <w:left w:val="none" w:sz="0" w:space="0" w:color="auto"/>
              <w:bottom w:val="none" w:sz="0" w:space="0" w:color="auto"/>
            </w:tcBorders>
            <w:shd w:val="clear" w:color="auto" w:fill="C6D9F1" w:themeFill="text2" w:themeFillTint="33"/>
            <w:vAlign w:val="center"/>
          </w:tcPr>
          <w:p w:rsidR="004E3188" w:rsidRPr="004E3188"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r w:rsidRPr="004E3188">
              <w:rPr>
                <w:b w:val="0"/>
                <w:color w:val="auto"/>
                <w:sz w:val="20"/>
                <w:szCs w:val="20"/>
              </w:rPr>
              <w:t>4 222</w:t>
            </w:r>
          </w:p>
        </w:tc>
      </w:tr>
      <w:tr w:rsidR="004E3188" w:rsidRPr="00472C29" w:rsidTr="00976DEF">
        <w:trPr>
          <w:trHeight w:val="341"/>
        </w:trPr>
        <w:tc>
          <w:tcPr>
            <w:cnfStyle w:val="001000000000" w:firstRow="0" w:lastRow="0" w:firstColumn="1" w:lastColumn="0" w:oddVBand="0" w:evenVBand="0" w:oddHBand="0" w:evenHBand="0" w:firstRowFirstColumn="0" w:firstRowLastColumn="0" w:lastRowFirstColumn="0" w:lastRowLastColumn="0"/>
            <w:tcW w:w="4577" w:type="dxa"/>
            <w:tcBorders>
              <w:left w:val="none" w:sz="0" w:space="0" w:color="auto"/>
              <w:bottom w:val="none" w:sz="0" w:space="0" w:color="auto"/>
              <w:right w:val="none" w:sz="0" w:space="0" w:color="auto"/>
            </w:tcBorders>
            <w:vAlign w:val="center"/>
          </w:tcPr>
          <w:p w:rsidR="004E3188" w:rsidRPr="009C1BFA" w:rsidRDefault="004E3188" w:rsidP="007730AA">
            <w:pPr>
              <w:spacing w:before="0" w:line="276" w:lineRule="auto"/>
              <w:ind w:firstLine="0"/>
              <w:contextualSpacing w:val="0"/>
              <w:jc w:val="left"/>
              <w:rPr>
                <w:b w:val="0"/>
                <w:lang w:eastAsia="en-US"/>
              </w:rPr>
            </w:pPr>
            <w:r w:rsidRPr="009C1BFA">
              <w:rPr>
                <w:b w:val="0"/>
                <w:lang w:val="en-US" w:eastAsia="en-US"/>
              </w:rPr>
              <w:t>ՀՀ</w:t>
            </w:r>
            <w:r w:rsidRPr="009C1BFA">
              <w:rPr>
                <w:b w:val="0"/>
                <w:lang w:eastAsia="en-US"/>
              </w:rPr>
              <w:t xml:space="preserve"> </w:t>
            </w:r>
            <w:r w:rsidRPr="009C1BFA">
              <w:rPr>
                <w:b w:val="0"/>
                <w:lang w:val="en-US" w:eastAsia="en-US"/>
              </w:rPr>
              <w:t>կառավարության</w:t>
            </w:r>
            <w:r w:rsidRPr="009C1BFA">
              <w:rPr>
                <w:b w:val="0"/>
                <w:lang w:eastAsia="en-US"/>
              </w:rPr>
              <w:t xml:space="preserve"> </w:t>
            </w:r>
            <w:r w:rsidRPr="009C1BFA">
              <w:rPr>
                <w:b w:val="0"/>
                <w:lang w:val="en-US" w:eastAsia="en-US"/>
              </w:rPr>
              <w:t>պարտք</w:t>
            </w:r>
            <w:r w:rsidRPr="009C1BFA">
              <w:rPr>
                <w:b w:val="0"/>
                <w:lang w:eastAsia="en-US"/>
              </w:rPr>
              <w:t xml:space="preserve">, </w:t>
            </w:r>
            <w:r w:rsidRPr="009C1BFA">
              <w:rPr>
                <w:b w:val="0"/>
                <w:lang w:val="en-US" w:eastAsia="en-US"/>
              </w:rPr>
              <w:t>մլն</w:t>
            </w:r>
            <w:r w:rsidRPr="009C1BFA">
              <w:rPr>
                <w:b w:val="0"/>
                <w:lang w:eastAsia="en-US"/>
              </w:rPr>
              <w:t xml:space="preserve"> </w:t>
            </w:r>
            <w:r w:rsidRPr="009C1BFA">
              <w:rPr>
                <w:b w:val="0"/>
                <w:lang w:val="en-US" w:eastAsia="en-US"/>
              </w:rPr>
              <w:t>ԱՄՆ</w:t>
            </w:r>
            <w:r w:rsidRPr="009C1BFA">
              <w:rPr>
                <w:b w:val="0"/>
                <w:lang w:eastAsia="en-US"/>
              </w:rPr>
              <w:t xml:space="preserve"> </w:t>
            </w:r>
            <w:r w:rsidRPr="009C1BFA">
              <w:rPr>
                <w:b w:val="0"/>
                <w:lang w:val="en-US" w:eastAsia="en-US"/>
              </w:rPr>
              <w:t>դոլար</w:t>
            </w:r>
          </w:p>
        </w:tc>
        <w:tc>
          <w:tcPr>
            <w:tcW w:w="1800" w:type="dxa"/>
            <w:vAlign w:val="center"/>
          </w:tcPr>
          <w:p w:rsidR="004E3188" w:rsidRPr="004E3188"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4E3188">
              <w:rPr>
                <w:b w:val="0"/>
                <w:color w:val="auto"/>
                <w:sz w:val="20"/>
                <w:szCs w:val="20"/>
              </w:rPr>
              <w:t>6 832</w:t>
            </w:r>
          </w:p>
        </w:tc>
        <w:tc>
          <w:tcPr>
            <w:tcW w:w="1800" w:type="dxa"/>
            <w:vAlign w:val="center"/>
          </w:tcPr>
          <w:p w:rsidR="004E3188" w:rsidRPr="004E3188"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4E3188">
              <w:rPr>
                <w:b w:val="0"/>
                <w:color w:val="auto"/>
                <w:sz w:val="20"/>
                <w:szCs w:val="20"/>
              </w:rPr>
              <w:t>7 572</w:t>
            </w:r>
          </w:p>
        </w:tc>
        <w:tc>
          <w:tcPr>
            <w:tcW w:w="1710" w:type="dxa"/>
            <w:vAlign w:val="center"/>
          </w:tcPr>
          <w:p w:rsidR="004E3188" w:rsidRPr="004E3188" w:rsidRDefault="004E3188"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4E3188">
              <w:rPr>
                <w:b w:val="0"/>
                <w:color w:val="auto"/>
                <w:sz w:val="20"/>
                <w:szCs w:val="20"/>
              </w:rPr>
              <w:t>8 551</w:t>
            </w:r>
          </w:p>
        </w:tc>
      </w:tr>
      <w:tr w:rsidR="004E3188" w:rsidRPr="00472C29" w:rsidTr="009C1BFA">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4577" w:type="dxa"/>
            <w:tcBorders>
              <w:top w:val="none" w:sz="0" w:space="0" w:color="auto"/>
              <w:left w:val="none" w:sz="0" w:space="0" w:color="auto"/>
              <w:bottom w:val="none" w:sz="0" w:space="0" w:color="auto"/>
              <w:right w:val="none" w:sz="0" w:space="0" w:color="auto"/>
            </w:tcBorders>
            <w:vAlign w:val="center"/>
          </w:tcPr>
          <w:p w:rsidR="004E3188" w:rsidRPr="009C1BFA" w:rsidRDefault="004E3188" w:rsidP="007730AA">
            <w:pPr>
              <w:spacing w:before="0" w:line="276" w:lineRule="auto"/>
              <w:ind w:firstLine="0"/>
              <w:contextualSpacing w:val="0"/>
              <w:jc w:val="left"/>
              <w:rPr>
                <w:b w:val="0"/>
                <w:lang w:eastAsia="en-US"/>
              </w:rPr>
            </w:pPr>
            <w:r w:rsidRPr="009C1BFA">
              <w:rPr>
                <w:b w:val="0"/>
                <w:lang w:val="en-US" w:eastAsia="en-US"/>
              </w:rPr>
              <w:t>ՀՀ</w:t>
            </w:r>
            <w:r w:rsidRPr="009C1BFA">
              <w:rPr>
                <w:b w:val="0"/>
                <w:lang w:eastAsia="en-US"/>
              </w:rPr>
              <w:t xml:space="preserve"> </w:t>
            </w:r>
            <w:r w:rsidRPr="009C1BFA">
              <w:rPr>
                <w:b w:val="0"/>
                <w:lang w:val="en-US" w:eastAsia="en-US"/>
              </w:rPr>
              <w:t>կառավարության</w:t>
            </w:r>
            <w:r w:rsidRPr="009C1BFA">
              <w:rPr>
                <w:b w:val="0"/>
                <w:lang w:eastAsia="en-US"/>
              </w:rPr>
              <w:t xml:space="preserve"> </w:t>
            </w:r>
            <w:r w:rsidRPr="009C1BFA">
              <w:rPr>
                <w:b w:val="0"/>
                <w:lang w:val="en-US" w:eastAsia="en-US"/>
              </w:rPr>
              <w:t>պարտք</w:t>
            </w:r>
            <w:r w:rsidRPr="009C1BFA">
              <w:rPr>
                <w:b w:val="0"/>
                <w:lang w:eastAsia="en-US"/>
              </w:rPr>
              <w:t xml:space="preserve">, % </w:t>
            </w:r>
            <w:r w:rsidRPr="009C1BFA">
              <w:rPr>
                <w:b w:val="0"/>
                <w:lang w:val="en-US" w:eastAsia="en-US"/>
              </w:rPr>
              <w:t>ՀՆԱ</w:t>
            </w:r>
            <w:r w:rsidRPr="009C1BFA">
              <w:rPr>
                <w:b w:val="0"/>
                <w:lang w:eastAsia="en-US"/>
              </w:rPr>
              <w:t>-ում</w:t>
            </w:r>
          </w:p>
        </w:tc>
        <w:tc>
          <w:tcPr>
            <w:tcW w:w="1800"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4E3188" w:rsidRPr="004E3188" w:rsidRDefault="004E3188"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r w:rsidRPr="004E3188">
              <w:rPr>
                <w:b w:val="0"/>
                <w:color w:val="auto"/>
                <w:sz w:val="20"/>
                <w:szCs w:val="20"/>
              </w:rPr>
              <w:t xml:space="preserve">       49.9 </w:t>
            </w:r>
          </w:p>
        </w:tc>
        <w:tc>
          <w:tcPr>
            <w:tcW w:w="1800"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rsidR="004E3188" w:rsidRPr="004E3188" w:rsidRDefault="004E3188" w:rsidP="007730AA">
            <w:pPr>
              <w:spacing w:before="0" w:line="276" w:lineRule="auto"/>
              <w:ind w:firstLine="0"/>
              <w:jc w:val="right"/>
              <w:cnfStyle w:val="000000100000" w:firstRow="0" w:lastRow="0" w:firstColumn="0" w:lastColumn="0" w:oddVBand="0" w:evenVBand="0" w:oddHBand="1" w:evenHBand="0" w:firstRowFirstColumn="0" w:firstRowLastColumn="0" w:lastRowFirstColumn="0" w:lastRowLastColumn="0"/>
              <w:rPr>
                <w:b w:val="0"/>
                <w:color w:val="auto"/>
              </w:rPr>
            </w:pPr>
            <w:r w:rsidRPr="004E3188">
              <w:rPr>
                <w:b w:val="0"/>
                <w:color w:val="auto"/>
                <w:sz w:val="20"/>
                <w:szCs w:val="20"/>
              </w:rPr>
              <w:t xml:space="preserve">                61.5 </w:t>
            </w:r>
          </w:p>
        </w:tc>
        <w:tc>
          <w:tcPr>
            <w:tcW w:w="1710" w:type="dxa"/>
            <w:tcBorders>
              <w:top w:val="none" w:sz="0" w:space="0" w:color="auto"/>
              <w:left w:val="none" w:sz="0" w:space="0" w:color="auto"/>
              <w:bottom w:val="none" w:sz="0" w:space="0" w:color="auto"/>
            </w:tcBorders>
            <w:shd w:val="clear" w:color="auto" w:fill="C6D9F1" w:themeFill="text2" w:themeFillTint="33"/>
            <w:vAlign w:val="center"/>
          </w:tcPr>
          <w:p w:rsidR="004E3188" w:rsidRPr="004E3188" w:rsidRDefault="004E3188" w:rsidP="007730AA">
            <w:pPr>
              <w:spacing w:before="0" w:line="276" w:lineRule="auto"/>
              <w:ind w:firstLine="0"/>
              <w:jc w:val="right"/>
              <w:cnfStyle w:val="000000100000" w:firstRow="0" w:lastRow="0" w:firstColumn="0" w:lastColumn="0" w:oddVBand="0" w:evenVBand="0" w:oddHBand="1" w:evenHBand="0" w:firstRowFirstColumn="0" w:firstRowLastColumn="0" w:lastRowFirstColumn="0" w:lastRowLastColumn="0"/>
              <w:rPr>
                <w:b w:val="0"/>
                <w:color w:val="auto"/>
              </w:rPr>
            </w:pPr>
            <w:r w:rsidRPr="004E3188">
              <w:rPr>
                <w:b w:val="0"/>
                <w:color w:val="auto"/>
                <w:sz w:val="20"/>
                <w:szCs w:val="20"/>
              </w:rPr>
              <w:t xml:space="preserve">               66.0 </w:t>
            </w:r>
          </w:p>
        </w:tc>
      </w:tr>
    </w:tbl>
    <w:p w:rsidR="009C1BFA" w:rsidRDefault="009C1BFA" w:rsidP="007730AA">
      <w:pPr>
        <w:shd w:val="clear" w:color="auto" w:fill="FFFFFF"/>
        <w:spacing w:before="0" w:line="276" w:lineRule="auto"/>
        <w:ind w:firstLine="720"/>
        <w:contextualSpacing w:val="0"/>
        <w:rPr>
          <w:rFonts w:eastAsiaTheme="minorHAnsi" w:cstheme="minorBidi"/>
          <w:b w:val="0"/>
          <w:szCs w:val="22"/>
          <w:lang w:val="hy-AM" w:eastAsia="en-US"/>
        </w:rPr>
      </w:pPr>
    </w:p>
    <w:p w:rsidR="00472C29" w:rsidRPr="00975ABC" w:rsidRDefault="00472C29" w:rsidP="007730AA">
      <w:pPr>
        <w:shd w:val="clear" w:color="auto" w:fill="FFFFFF"/>
        <w:spacing w:before="0" w:line="276" w:lineRule="auto"/>
        <w:ind w:firstLine="720"/>
        <w:contextualSpacing w:val="0"/>
        <w:rPr>
          <w:rFonts w:eastAsiaTheme="minorHAnsi" w:cstheme="minorBidi"/>
          <w:b w:val="0"/>
          <w:szCs w:val="22"/>
          <w:lang w:val="hy-AM" w:eastAsia="en-US"/>
        </w:rPr>
      </w:pPr>
      <w:r w:rsidRPr="00975ABC">
        <w:rPr>
          <w:rFonts w:eastAsiaTheme="minorHAnsi" w:cstheme="minorBidi"/>
          <w:b w:val="0"/>
          <w:szCs w:val="22"/>
          <w:lang w:val="hy-AM" w:eastAsia="en-US"/>
        </w:rPr>
        <w:t>Նախատեսվում է 2020-2021 թվականներին կառավարության պարտքի կառուցվածքում ավելացնել ՀՀ դրամով տեղաբաշխված պետական գանձապետական պարտատոմսերի կշիռը, որն ըստ կանխատեսումների կկազմի համա</w:t>
      </w:r>
      <w:r w:rsidRPr="00975ABC">
        <w:rPr>
          <w:rFonts w:eastAsiaTheme="minorHAnsi" w:cstheme="minorBidi"/>
          <w:b w:val="0"/>
          <w:szCs w:val="22"/>
          <w:lang w:val="hy-AM" w:eastAsia="en-US"/>
        </w:rPr>
        <w:softHyphen/>
        <w:t>պա</w:t>
      </w:r>
      <w:r w:rsidRPr="00975ABC">
        <w:rPr>
          <w:rFonts w:eastAsiaTheme="minorHAnsi" w:cstheme="minorBidi"/>
          <w:b w:val="0"/>
          <w:szCs w:val="22"/>
          <w:lang w:val="hy-AM" w:eastAsia="en-US"/>
        </w:rPr>
        <w:softHyphen/>
        <w:t>տաս</w:t>
      </w:r>
      <w:r w:rsidRPr="00975ABC">
        <w:rPr>
          <w:rFonts w:eastAsiaTheme="minorHAnsi" w:cstheme="minorBidi"/>
          <w:b w:val="0"/>
          <w:szCs w:val="22"/>
          <w:lang w:val="hy-AM" w:eastAsia="en-US"/>
        </w:rPr>
        <w:softHyphen/>
        <w:t>խանաբար 2</w:t>
      </w:r>
      <w:r w:rsidR="00DD7F34">
        <w:rPr>
          <w:rFonts w:eastAsiaTheme="minorHAnsi" w:cstheme="minorBidi"/>
          <w:b w:val="0"/>
          <w:szCs w:val="22"/>
          <w:lang w:val="hy-AM" w:eastAsia="en-US"/>
        </w:rPr>
        <w:t>5</w:t>
      </w:r>
      <w:r w:rsidRPr="00975ABC">
        <w:rPr>
          <w:rFonts w:eastAsiaTheme="minorHAnsi" w:cstheme="minorBidi"/>
          <w:b w:val="0"/>
          <w:szCs w:val="22"/>
          <w:lang w:val="hy-AM" w:eastAsia="en-US"/>
        </w:rPr>
        <w:t>.</w:t>
      </w:r>
      <w:r w:rsidR="00DD7F34">
        <w:rPr>
          <w:rFonts w:eastAsiaTheme="minorHAnsi" w:cstheme="minorBidi"/>
          <w:b w:val="0"/>
          <w:szCs w:val="22"/>
          <w:lang w:val="hy-AM" w:eastAsia="en-US"/>
        </w:rPr>
        <w:t>9</w:t>
      </w:r>
      <w:r w:rsidRPr="00975ABC">
        <w:rPr>
          <w:rFonts w:eastAsiaTheme="minorHAnsi" w:cstheme="minorBidi"/>
          <w:b w:val="0"/>
          <w:szCs w:val="22"/>
          <w:lang w:val="hy-AM" w:eastAsia="en-US"/>
        </w:rPr>
        <w:t>% և 27.9%: Կառավարության պարտքը կունենա հետևյալ կառուցվածքը.</w:t>
      </w:r>
    </w:p>
    <w:p w:rsidR="00472C29" w:rsidRPr="00472C29" w:rsidRDefault="00472C29" w:rsidP="007730AA">
      <w:pPr>
        <w:shd w:val="clear" w:color="auto" w:fill="FFFFFF"/>
        <w:spacing w:before="0" w:line="276" w:lineRule="auto"/>
        <w:ind w:firstLine="720"/>
        <w:contextualSpacing w:val="0"/>
        <w:rPr>
          <w:rFonts w:eastAsiaTheme="minorHAnsi" w:cstheme="minorBidi"/>
          <w:b w:val="0"/>
          <w:sz w:val="24"/>
          <w:lang w:val="hy-AM" w:eastAsia="en-US"/>
        </w:rPr>
      </w:pPr>
    </w:p>
    <w:tbl>
      <w:tblPr>
        <w:tblStyle w:val="MediumGrid2-Accent19"/>
        <w:tblW w:w="9985" w:type="dxa"/>
        <w:tblLayout w:type="fixed"/>
        <w:tblLook w:val="04A0" w:firstRow="1" w:lastRow="0" w:firstColumn="1" w:lastColumn="0" w:noHBand="0" w:noVBand="1"/>
      </w:tblPr>
      <w:tblGrid>
        <w:gridCol w:w="4675"/>
        <w:gridCol w:w="1800"/>
        <w:gridCol w:w="1800"/>
        <w:gridCol w:w="1710"/>
      </w:tblGrid>
      <w:tr w:rsidR="00975ABC" w:rsidRPr="009C1BFA" w:rsidTr="009C7050">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100" w:firstRow="0" w:lastRow="0" w:firstColumn="1" w:lastColumn="0" w:oddVBand="0" w:evenVBand="0" w:oddHBand="0" w:evenHBand="0" w:firstRowFirstColumn="1" w:firstRowLastColumn="0" w:lastRowFirstColumn="0" w:lastRowLastColumn="0"/>
            <w:tcW w:w="4675" w:type="dxa"/>
            <w:tcBorders>
              <w:top w:val="single" w:sz="4" w:space="0" w:color="auto"/>
              <w:left w:val="single" w:sz="4" w:space="0" w:color="auto"/>
              <w:bottom w:val="single" w:sz="4" w:space="0" w:color="auto"/>
              <w:right w:val="single" w:sz="4" w:space="0" w:color="auto"/>
            </w:tcBorders>
            <w:hideMark/>
          </w:tcPr>
          <w:p w:rsidR="00472C29" w:rsidRPr="009C1BFA" w:rsidRDefault="00472C29" w:rsidP="007730AA">
            <w:pPr>
              <w:spacing w:before="0" w:line="276" w:lineRule="auto"/>
              <w:ind w:firstLine="0"/>
              <w:contextualSpacing w:val="0"/>
              <w:jc w:val="center"/>
              <w:rPr>
                <w:lang w:val="hy-AM" w:eastAsia="en-US"/>
              </w:rPr>
            </w:pPr>
            <w:r w:rsidRPr="009C1BFA">
              <w:rPr>
                <w:rFonts w:ascii="Calibri" w:hAnsi="Calibri" w:cs="Calibri"/>
                <w:lang w:val="hy-AM" w:eastAsia="en-US"/>
              </w:rPr>
              <w:t> </w:t>
            </w:r>
          </w:p>
        </w:tc>
        <w:tc>
          <w:tcPr>
            <w:tcW w:w="1800" w:type="dxa"/>
            <w:tcBorders>
              <w:top w:val="single" w:sz="4" w:space="0" w:color="auto"/>
              <w:left w:val="single" w:sz="4" w:space="0" w:color="auto"/>
              <w:bottom w:val="single" w:sz="4" w:space="0" w:color="auto"/>
              <w:right w:val="single" w:sz="4" w:space="0" w:color="auto"/>
            </w:tcBorders>
            <w:vAlign w:val="center"/>
            <w:hideMark/>
          </w:tcPr>
          <w:p w:rsidR="00472C29" w:rsidRPr="009C1BFA" w:rsidRDefault="00472C29"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lang w:val="hy-AM" w:eastAsia="en-US"/>
              </w:rPr>
            </w:pPr>
            <w:r w:rsidRPr="009C1BFA">
              <w:rPr>
                <w:lang w:val="hy-AM" w:eastAsia="en-US"/>
              </w:rPr>
              <w:t>առ 31.12.2019թ.</w:t>
            </w:r>
          </w:p>
        </w:tc>
        <w:tc>
          <w:tcPr>
            <w:tcW w:w="1800" w:type="dxa"/>
            <w:tcBorders>
              <w:top w:val="single" w:sz="4" w:space="0" w:color="auto"/>
              <w:left w:val="single" w:sz="4" w:space="0" w:color="auto"/>
              <w:bottom w:val="single" w:sz="4" w:space="0" w:color="auto"/>
              <w:right w:val="single" w:sz="4" w:space="0" w:color="auto"/>
            </w:tcBorders>
            <w:vAlign w:val="center"/>
            <w:hideMark/>
          </w:tcPr>
          <w:p w:rsidR="00472C29" w:rsidRPr="009C1BFA" w:rsidRDefault="00472C29"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lang w:val="hy-AM" w:eastAsia="en-US"/>
              </w:rPr>
            </w:pPr>
            <w:r w:rsidRPr="009C1BFA">
              <w:rPr>
                <w:lang w:val="hy-AM" w:eastAsia="en-US"/>
              </w:rPr>
              <w:t>առ 31.12.2020թ.</w:t>
            </w:r>
          </w:p>
        </w:tc>
        <w:tc>
          <w:tcPr>
            <w:tcW w:w="1710" w:type="dxa"/>
            <w:tcBorders>
              <w:top w:val="single" w:sz="4" w:space="0" w:color="auto"/>
              <w:left w:val="single" w:sz="4" w:space="0" w:color="auto"/>
              <w:bottom w:val="single" w:sz="4" w:space="0" w:color="auto"/>
              <w:right w:val="single" w:sz="4" w:space="0" w:color="auto"/>
            </w:tcBorders>
            <w:vAlign w:val="center"/>
            <w:hideMark/>
          </w:tcPr>
          <w:p w:rsidR="00472C29" w:rsidRPr="009C1BFA" w:rsidRDefault="00472C29"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lang w:val="hy-AM" w:eastAsia="en-US"/>
              </w:rPr>
            </w:pPr>
            <w:r w:rsidRPr="009C1BFA">
              <w:rPr>
                <w:lang w:val="hy-AM" w:eastAsia="en-US"/>
              </w:rPr>
              <w:t>առ 31.12.2021թ.</w:t>
            </w:r>
          </w:p>
        </w:tc>
      </w:tr>
      <w:tr w:rsidR="00472C29" w:rsidRPr="009C1BFA" w:rsidTr="00975AB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985" w:type="dxa"/>
            <w:gridSpan w:val="4"/>
            <w:tcBorders>
              <w:top w:val="single" w:sz="4" w:space="0" w:color="auto"/>
              <w:left w:val="single" w:sz="4" w:space="0" w:color="auto"/>
              <w:bottom w:val="single" w:sz="4" w:space="0" w:color="auto"/>
              <w:right w:val="single" w:sz="4" w:space="0" w:color="auto"/>
            </w:tcBorders>
            <w:vAlign w:val="center"/>
            <w:hideMark/>
          </w:tcPr>
          <w:p w:rsidR="00472C29" w:rsidRPr="009C1BFA" w:rsidRDefault="00472C29" w:rsidP="007730AA">
            <w:pPr>
              <w:spacing w:before="0" w:line="276" w:lineRule="auto"/>
              <w:ind w:firstLine="0"/>
              <w:contextualSpacing w:val="0"/>
              <w:jc w:val="center"/>
              <w:rPr>
                <w:lang w:val="hy-AM" w:eastAsia="en-US"/>
              </w:rPr>
            </w:pPr>
            <w:r w:rsidRPr="009C1BFA">
              <w:rPr>
                <w:lang w:val="hy-AM" w:eastAsia="en-US"/>
              </w:rPr>
              <w:t>Կառուցվածքն ըստ ռեզիդենտության, մլրդ դրամ*</w:t>
            </w:r>
          </w:p>
        </w:tc>
      </w:tr>
      <w:tr w:rsidR="00975ABC" w:rsidRPr="009C1BFA" w:rsidTr="009C7050">
        <w:trPr>
          <w:trHeight w:val="353"/>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hideMark/>
          </w:tcPr>
          <w:p w:rsidR="00472C29" w:rsidRPr="009C1BFA" w:rsidRDefault="00472C29" w:rsidP="007730AA">
            <w:pPr>
              <w:spacing w:before="0" w:line="276" w:lineRule="auto"/>
              <w:ind w:firstLine="0"/>
              <w:contextualSpacing w:val="0"/>
              <w:jc w:val="left"/>
              <w:rPr>
                <w:lang w:val="hy-AM" w:eastAsia="en-US"/>
              </w:rPr>
            </w:pPr>
            <w:r w:rsidRPr="009C1BFA">
              <w:rPr>
                <w:lang w:val="hy-AM" w:eastAsia="en-US"/>
              </w:rPr>
              <w:t>ներքին պարտք</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rPr>
            </w:pPr>
            <w:r w:rsidRPr="009C1BFA">
              <w:rPr>
                <w:b w:val="0"/>
                <w:color w:val="auto"/>
              </w:rPr>
              <w:t xml:space="preserve">                 737 </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DD7F34" w:rsidRDefault="00472C29"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lang w:val="hy-AM"/>
              </w:rPr>
            </w:pPr>
            <w:r w:rsidRPr="009C1BFA">
              <w:rPr>
                <w:b w:val="0"/>
                <w:color w:val="auto"/>
              </w:rPr>
              <w:t>1 0</w:t>
            </w:r>
            <w:r w:rsidR="00DD7F34">
              <w:rPr>
                <w:b w:val="0"/>
                <w:color w:val="auto"/>
                <w:lang w:val="hy-AM"/>
              </w:rPr>
              <w:t>11</w:t>
            </w:r>
          </w:p>
        </w:tc>
        <w:tc>
          <w:tcPr>
            <w:tcW w:w="171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sidRPr="009C1BFA">
              <w:rPr>
                <w:b w:val="0"/>
                <w:color w:val="auto"/>
              </w:rPr>
              <w:t xml:space="preserve">   1 243 </w:t>
            </w:r>
          </w:p>
        </w:tc>
      </w:tr>
      <w:tr w:rsidR="00975ABC" w:rsidRPr="009C1BFA" w:rsidTr="009C7050">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hideMark/>
          </w:tcPr>
          <w:p w:rsidR="00472C29" w:rsidRPr="009C1BFA" w:rsidRDefault="00472C29" w:rsidP="007730AA">
            <w:pPr>
              <w:spacing w:before="0" w:line="276" w:lineRule="auto"/>
              <w:ind w:firstLine="0"/>
              <w:contextualSpacing w:val="0"/>
              <w:jc w:val="left"/>
              <w:rPr>
                <w:lang w:val="en-US" w:eastAsia="en-US"/>
              </w:rPr>
            </w:pPr>
            <w:r w:rsidRPr="009C1BFA">
              <w:rPr>
                <w:lang w:val="hy-AM" w:eastAsia="en-US"/>
              </w:rPr>
              <w:t>արտաքին պարտ</w:t>
            </w:r>
            <w:r w:rsidRPr="009C1BFA">
              <w:rPr>
                <w:lang w:val="en-US" w:eastAsia="en-US"/>
              </w:rPr>
              <w:t>ք</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2 540 </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2 </w:t>
            </w:r>
            <w:r w:rsidR="00DD7F34">
              <w:rPr>
                <w:b w:val="0"/>
                <w:color w:val="auto"/>
                <w:lang w:val="hy-AM"/>
              </w:rPr>
              <w:t>728</w:t>
            </w:r>
            <w:r w:rsidRPr="009C1BFA">
              <w:rPr>
                <w:b w:val="0"/>
                <w:color w:val="auto"/>
              </w:rPr>
              <w:t xml:space="preserve"> </w:t>
            </w:r>
          </w:p>
        </w:tc>
        <w:tc>
          <w:tcPr>
            <w:tcW w:w="171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w:t>
            </w:r>
            <w:r w:rsidR="00DD7F34">
              <w:rPr>
                <w:b w:val="0"/>
                <w:color w:val="auto"/>
              </w:rPr>
              <w:t xml:space="preserve">          </w:t>
            </w:r>
            <w:r w:rsidRPr="009C1BFA">
              <w:rPr>
                <w:b w:val="0"/>
                <w:color w:val="auto"/>
              </w:rPr>
              <w:t xml:space="preserve">  2 978 </w:t>
            </w:r>
          </w:p>
        </w:tc>
      </w:tr>
      <w:tr w:rsidR="00472C29" w:rsidRPr="009C1BFA" w:rsidTr="00975ABC">
        <w:trPr>
          <w:trHeight w:val="353"/>
        </w:trPr>
        <w:tc>
          <w:tcPr>
            <w:cnfStyle w:val="001000000000" w:firstRow="0" w:lastRow="0" w:firstColumn="1" w:lastColumn="0" w:oddVBand="0" w:evenVBand="0" w:oddHBand="0" w:evenHBand="0" w:firstRowFirstColumn="0" w:firstRowLastColumn="0" w:lastRowFirstColumn="0" w:lastRowLastColumn="0"/>
            <w:tcW w:w="9985" w:type="dxa"/>
            <w:gridSpan w:val="4"/>
            <w:tcBorders>
              <w:top w:val="single" w:sz="4" w:space="0" w:color="auto"/>
              <w:left w:val="single" w:sz="4" w:space="0" w:color="auto"/>
              <w:bottom w:val="single" w:sz="4" w:space="0" w:color="auto"/>
              <w:right w:val="single" w:sz="4" w:space="0" w:color="auto"/>
            </w:tcBorders>
            <w:vAlign w:val="center"/>
            <w:hideMark/>
          </w:tcPr>
          <w:p w:rsidR="00472C29" w:rsidRPr="009C1BFA" w:rsidRDefault="00472C29" w:rsidP="007730AA">
            <w:pPr>
              <w:spacing w:before="0" w:line="276" w:lineRule="auto"/>
              <w:ind w:firstLine="0"/>
              <w:contextualSpacing w:val="0"/>
              <w:jc w:val="center"/>
              <w:rPr>
                <w:lang w:eastAsia="en-US"/>
              </w:rPr>
            </w:pPr>
            <w:r w:rsidRPr="009C1BFA">
              <w:rPr>
                <w:lang w:val="en-US" w:eastAsia="en-US"/>
              </w:rPr>
              <w:t>Կառուցվածքն</w:t>
            </w:r>
            <w:r w:rsidRPr="009C1BFA">
              <w:rPr>
                <w:lang w:eastAsia="en-US"/>
              </w:rPr>
              <w:t xml:space="preserve"> </w:t>
            </w:r>
            <w:r w:rsidRPr="009C1BFA">
              <w:rPr>
                <w:lang w:val="en-US" w:eastAsia="en-US"/>
              </w:rPr>
              <w:t>ըստ</w:t>
            </w:r>
            <w:r w:rsidRPr="009C1BFA">
              <w:rPr>
                <w:lang w:eastAsia="en-US"/>
              </w:rPr>
              <w:t xml:space="preserve"> </w:t>
            </w:r>
            <w:r w:rsidRPr="009C1BFA">
              <w:rPr>
                <w:lang w:val="en-US" w:eastAsia="en-US"/>
              </w:rPr>
              <w:t>գործիքակազմի</w:t>
            </w:r>
            <w:r w:rsidRPr="009C1BFA">
              <w:rPr>
                <w:lang w:eastAsia="en-US"/>
              </w:rPr>
              <w:t xml:space="preserve">, </w:t>
            </w:r>
            <w:r w:rsidRPr="009C1BFA">
              <w:rPr>
                <w:lang w:val="en-US" w:eastAsia="en-US"/>
              </w:rPr>
              <w:t>մլրդ</w:t>
            </w:r>
            <w:r w:rsidRPr="009C1BFA">
              <w:rPr>
                <w:lang w:eastAsia="en-US"/>
              </w:rPr>
              <w:t xml:space="preserve"> </w:t>
            </w:r>
            <w:r w:rsidRPr="009C1BFA">
              <w:rPr>
                <w:lang w:val="en-US" w:eastAsia="en-US"/>
              </w:rPr>
              <w:t>դրամ</w:t>
            </w:r>
          </w:p>
        </w:tc>
      </w:tr>
      <w:tr w:rsidR="00975ABC" w:rsidRPr="009C1BFA" w:rsidTr="009C7050">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hideMark/>
          </w:tcPr>
          <w:p w:rsidR="00472C29" w:rsidRPr="009C1BFA" w:rsidRDefault="00472C29" w:rsidP="007730AA">
            <w:pPr>
              <w:spacing w:before="0" w:line="276" w:lineRule="auto"/>
              <w:ind w:firstLine="0"/>
              <w:contextualSpacing w:val="0"/>
              <w:jc w:val="left"/>
              <w:rPr>
                <w:lang w:val="en-US" w:eastAsia="en-US"/>
              </w:rPr>
            </w:pPr>
            <w:r w:rsidRPr="009C1BFA">
              <w:rPr>
                <w:lang w:val="en-US" w:eastAsia="en-US"/>
              </w:rPr>
              <w:t>արտաքին վարկեր և փոխառություններ</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2 066 </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2 273 </w:t>
            </w:r>
          </w:p>
        </w:tc>
        <w:tc>
          <w:tcPr>
            <w:tcW w:w="171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2 299 </w:t>
            </w:r>
          </w:p>
        </w:tc>
      </w:tr>
      <w:tr w:rsidR="00975ABC" w:rsidRPr="009C1BFA" w:rsidTr="009C7050">
        <w:trPr>
          <w:trHeight w:val="353"/>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hideMark/>
          </w:tcPr>
          <w:p w:rsidR="00472C29" w:rsidRPr="009C1BFA" w:rsidRDefault="00472C29" w:rsidP="007730AA">
            <w:pPr>
              <w:spacing w:before="0" w:line="276" w:lineRule="auto"/>
              <w:ind w:firstLine="0"/>
              <w:contextualSpacing w:val="0"/>
              <w:jc w:val="left"/>
              <w:rPr>
                <w:lang w:val="en-US" w:eastAsia="en-US"/>
              </w:rPr>
            </w:pPr>
            <w:r w:rsidRPr="009C1BFA">
              <w:rPr>
                <w:lang w:val="en-US" w:eastAsia="en-US"/>
              </w:rPr>
              <w:t>պետական գանձապետական պարտատոմսեր</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rPr>
            </w:pPr>
            <w:r w:rsidRPr="009C1BFA">
              <w:rPr>
                <w:b w:val="0"/>
                <w:color w:val="auto"/>
              </w:rPr>
              <w:t xml:space="preserve">                 681 </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rPr>
            </w:pPr>
            <w:r w:rsidRPr="009C1BFA">
              <w:rPr>
                <w:b w:val="0"/>
                <w:color w:val="auto"/>
              </w:rPr>
              <w:t xml:space="preserve">                 968 </w:t>
            </w:r>
          </w:p>
        </w:tc>
        <w:tc>
          <w:tcPr>
            <w:tcW w:w="1710" w:type="dxa"/>
            <w:tcBorders>
              <w:top w:val="single" w:sz="4" w:space="0" w:color="auto"/>
              <w:left w:val="single" w:sz="4" w:space="0" w:color="auto"/>
              <w:bottom w:val="single" w:sz="4" w:space="0" w:color="auto"/>
              <w:right w:val="single" w:sz="4" w:space="0" w:color="auto"/>
            </w:tcBorders>
            <w:vAlign w:val="center"/>
          </w:tcPr>
          <w:p w:rsidR="00472C29" w:rsidRPr="009C1BFA" w:rsidRDefault="00DD7F34"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rPr>
              <w:t xml:space="preserve">            </w:t>
            </w:r>
            <w:r w:rsidR="00472C29" w:rsidRPr="009C1BFA">
              <w:rPr>
                <w:b w:val="0"/>
                <w:color w:val="auto"/>
              </w:rPr>
              <w:t xml:space="preserve">  1 178 </w:t>
            </w:r>
          </w:p>
        </w:tc>
      </w:tr>
      <w:tr w:rsidR="00975ABC" w:rsidRPr="009C1BFA" w:rsidTr="009C7050">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hideMark/>
          </w:tcPr>
          <w:p w:rsidR="00472C29" w:rsidRPr="009C1BFA" w:rsidRDefault="00472C29" w:rsidP="007730AA">
            <w:pPr>
              <w:spacing w:before="0" w:line="276" w:lineRule="auto"/>
              <w:ind w:firstLine="0"/>
              <w:contextualSpacing w:val="0"/>
              <w:jc w:val="left"/>
              <w:rPr>
                <w:lang w:val="en-US" w:eastAsia="en-US"/>
              </w:rPr>
            </w:pPr>
            <w:r w:rsidRPr="009C1BFA">
              <w:rPr>
                <w:lang w:val="en-US" w:eastAsia="en-US"/>
              </w:rPr>
              <w:t>արտարժութային պետական պարտատոմսեր</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527 </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DD7F34"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Pr>
                <w:b w:val="0"/>
                <w:color w:val="auto"/>
                <w:lang w:val="hy-AM"/>
              </w:rPr>
              <w:t>494</w:t>
            </w:r>
            <w:r w:rsidR="00472C29" w:rsidRPr="009C1BFA">
              <w:rPr>
                <w:b w:val="0"/>
                <w:color w:val="auto"/>
              </w:rPr>
              <w:t xml:space="preserve"> </w:t>
            </w:r>
          </w:p>
        </w:tc>
        <w:tc>
          <w:tcPr>
            <w:tcW w:w="171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741 </w:t>
            </w:r>
          </w:p>
        </w:tc>
      </w:tr>
      <w:tr w:rsidR="00975ABC" w:rsidRPr="009C1BFA" w:rsidTr="009C7050">
        <w:trPr>
          <w:trHeight w:val="353"/>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hideMark/>
          </w:tcPr>
          <w:p w:rsidR="00472C29" w:rsidRPr="009C1BFA" w:rsidRDefault="00472C29" w:rsidP="007730AA">
            <w:pPr>
              <w:spacing w:before="0" w:line="276" w:lineRule="auto"/>
              <w:ind w:firstLine="0"/>
              <w:contextualSpacing w:val="0"/>
              <w:jc w:val="left"/>
              <w:rPr>
                <w:lang w:val="en-US" w:eastAsia="en-US"/>
              </w:rPr>
            </w:pPr>
            <w:r w:rsidRPr="009C1BFA">
              <w:rPr>
                <w:lang w:val="en-US" w:eastAsia="en-US"/>
              </w:rPr>
              <w:t>արտաքին երաշխիքներ</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rPr>
            </w:pPr>
            <w:r w:rsidRPr="009C1BFA">
              <w:rPr>
                <w:b w:val="0"/>
                <w:color w:val="auto"/>
              </w:rPr>
              <w:t xml:space="preserve">                    4 </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rPr>
            </w:pPr>
            <w:r w:rsidRPr="009C1BFA">
              <w:rPr>
                <w:b w:val="0"/>
                <w:color w:val="auto"/>
              </w:rPr>
              <w:t xml:space="preserve">                    4 </w:t>
            </w:r>
          </w:p>
        </w:tc>
        <w:tc>
          <w:tcPr>
            <w:tcW w:w="171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rPr>
            </w:pPr>
            <w:r w:rsidRPr="009C1BFA">
              <w:rPr>
                <w:b w:val="0"/>
                <w:color w:val="auto"/>
              </w:rPr>
              <w:t xml:space="preserve">                    4 </w:t>
            </w:r>
          </w:p>
        </w:tc>
      </w:tr>
      <w:tr w:rsidR="00975ABC" w:rsidRPr="009C1BFA" w:rsidTr="009C7050">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hideMark/>
          </w:tcPr>
          <w:p w:rsidR="00472C29" w:rsidRPr="009C1BFA" w:rsidRDefault="00472C29" w:rsidP="007730AA">
            <w:pPr>
              <w:spacing w:before="0" w:line="276" w:lineRule="auto"/>
              <w:ind w:firstLine="0"/>
              <w:contextualSpacing w:val="0"/>
              <w:jc w:val="left"/>
              <w:rPr>
                <w:lang w:val="en-US" w:eastAsia="en-US"/>
              </w:rPr>
            </w:pPr>
            <w:r w:rsidRPr="009C1BFA">
              <w:rPr>
                <w:lang w:val="en-US" w:eastAsia="en-US"/>
              </w:rPr>
              <w:t>ներքին երաշխիքներ</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   </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   </w:t>
            </w:r>
          </w:p>
        </w:tc>
        <w:tc>
          <w:tcPr>
            <w:tcW w:w="171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   </w:t>
            </w:r>
          </w:p>
        </w:tc>
      </w:tr>
      <w:tr w:rsidR="00472C29" w:rsidRPr="009C1BFA" w:rsidTr="00975ABC">
        <w:trPr>
          <w:trHeight w:val="353"/>
        </w:trPr>
        <w:tc>
          <w:tcPr>
            <w:cnfStyle w:val="001000000000" w:firstRow="0" w:lastRow="0" w:firstColumn="1" w:lastColumn="0" w:oddVBand="0" w:evenVBand="0" w:oddHBand="0" w:evenHBand="0" w:firstRowFirstColumn="0" w:firstRowLastColumn="0" w:lastRowFirstColumn="0" w:lastRowLastColumn="0"/>
            <w:tcW w:w="9985" w:type="dxa"/>
            <w:gridSpan w:val="4"/>
            <w:tcBorders>
              <w:top w:val="single" w:sz="4" w:space="0" w:color="auto"/>
              <w:left w:val="single" w:sz="4" w:space="0" w:color="auto"/>
              <w:bottom w:val="single" w:sz="4" w:space="0" w:color="auto"/>
              <w:right w:val="single" w:sz="4" w:space="0" w:color="auto"/>
            </w:tcBorders>
            <w:vAlign w:val="center"/>
            <w:hideMark/>
          </w:tcPr>
          <w:p w:rsidR="00472C29" w:rsidRPr="009C1BFA" w:rsidRDefault="00472C29" w:rsidP="007730AA">
            <w:pPr>
              <w:spacing w:before="0" w:line="276" w:lineRule="auto"/>
              <w:ind w:firstLine="0"/>
              <w:contextualSpacing w:val="0"/>
              <w:jc w:val="center"/>
              <w:rPr>
                <w:lang w:val="en-US" w:eastAsia="en-US"/>
              </w:rPr>
            </w:pPr>
            <w:r w:rsidRPr="009C1BFA">
              <w:rPr>
                <w:lang w:val="en-US" w:eastAsia="en-US"/>
              </w:rPr>
              <w:t>Արժութային կառուցվածքը, մլրդ դրամ</w:t>
            </w:r>
          </w:p>
        </w:tc>
      </w:tr>
      <w:tr w:rsidR="00975ABC" w:rsidRPr="009C1BFA" w:rsidTr="009C7050">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hideMark/>
          </w:tcPr>
          <w:p w:rsidR="00472C29" w:rsidRPr="009C1BFA" w:rsidRDefault="00472C29" w:rsidP="007730AA">
            <w:pPr>
              <w:spacing w:before="0" w:line="276" w:lineRule="auto"/>
              <w:ind w:firstLine="0"/>
              <w:contextualSpacing w:val="0"/>
              <w:jc w:val="left"/>
              <w:rPr>
                <w:lang w:val="en-US" w:eastAsia="en-US"/>
              </w:rPr>
            </w:pPr>
            <w:r w:rsidRPr="009C1BFA">
              <w:rPr>
                <w:lang w:val="en-US" w:eastAsia="en-US"/>
              </w:rPr>
              <w:t>ՀՀ դրամով ներգրավված պարտք</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681 </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DD7F34"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r>
              <w:rPr>
                <w:b w:val="0"/>
                <w:color w:val="auto"/>
              </w:rPr>
              <w:t xml:space="preserve">         </w:t>
            </w:r>
            <w:r w:rsidR="00472C29" w:rsidRPr="009C1BFA">
              <w:rPr>
                <w:b w:val="0"/>
                <w:color w:val="auto"/>
              </w:rPr>
              <w:t xml:space="preserve">968 </w:t>
            </w:r>
          </w:p>
        </w:tc>
        <w:tc>
          <w:tcPr>
            <w:tcW w:w="171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1 178 </w:t>
            </w:r>
          </w:p>
        </w:tc>
      </w:tr>
      <w:tr w:rsidR="00975ABC" w:rsidRPr="009C1BFA" w:rsidTr="009C7050">
        <w:trPr>
          <w:trHeight w:val="353"/>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hideMark/>
          </w:tcPr>
          <w:p w:rsidR="00472C29" w:rsidRPr="009C1BFA" w:rsidRDefault="00472C29" w:rsidP="007730AA">
            <w:pPr>
              <w:spacing w:before="0" w:line="276" w:lineRule="auto"/>
              <w:ind w:firstLine="0"/>
              <w:contextualSpacing w:val="0"/>
              <w:jc w:val="left"/>
              <w:rPr>
                <w:lang w:val="en-US" w:eastAsia="en-US"/>
              </w:rPr>
            </w:pPr>
            <w:r w:rsidRPr="009C1BFA">
              <w:rPr>
                <w:lang w:val="en-US" w:eastAsia="en-US"/>
              </w:rPr>
              <w:t>արտարժույթով ներգրավված պարտք</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rPr>
            </w:pPr>
            <w:r w:rsidRPr="009C1BFA">
              <w:rPr>
                <w:b w:val="0"/>
                <w:color w:val="auto"/>
              </w:rPr>
              <w:t xml:space="preserve">              2 596 </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rPr>
            </w:pPr>
            <w:r w:rsidRPr="009C1BFA">
              <w:rPr>
                <w:b w:val="0"/>
                <w:color w:val="auto"/>
              </w:rPr>
              <w:t xml:space="preserve">              </w:t>
            </w:r>
            <w:r w:rsidR="00DD7F34">
              <w:rPr>
                <w:b w:val="0"/>
                <w:color w:val="auto"/>
                <w:lang w:val="hy-AM"/>
              </w:rPr>
              <w:t>2</w:t>
            </w:r>
            <w:r w:rsidRPr="009C1BFA">
              <w:rPr>
                <w:b w:val="0"/>
                <w:color w:val="auto"/>
              </w:rPr>
              <w:t xml:space="preserve"> </w:t>
            </w:r>
            <w:r w:rsidR="00DD7F34">
              <w:rPr>
                <w:b w:val="0"/>
                <w:color w:val="auto"/>
                <w:lang w:val="hy-AM"/>
              </w:rPr>
              <w:t>771</w:t>
            </w:r>
            <w:r w:rsidRPr="009C1BFA">
              <w:rPr>
                <w:b w:val="0"/>
                <w:color w:val="auto"/>
              </w:rPr>
              <w:t xml:space="preserve"> </w:t>
            </w:r>
          </w:p>
        </w:tc>
        <w:tc>
          <w:tcPr>
            <w:tcW w:w="171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rPr>
            </w:pPr>
            <w:r w:rsidRPr="009C1BFA">
              <w:rPr>
                <w:b w:val="0"/>
                <w:color w:val="auto"/>
              </w:rPr>
              <w:t xml:space="preserve">            3 044   </w:t>
            </w:r>
          </w:p>
        </w:tc>
      </w:tr>
      <w:tr w:rsidR="00472C29" w:rsidRPr="009C1BFA" w:rsidTr="00975ABC">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985" w:type="dxa"/>
            <w:gridSpan w:val="4"/>
            <w:tcBorders>
              <w:top w:val="single" w:sz="4" w:space="0" w:color="auto"/>
              <w:left w:val="single" w:sz="4" w:space="0" w:color="auto"/>
              <w:bottom w:val="single" w:sz="4" w:space="0" w:color="auto"/>
              <w:right w:val="single" w:sz="4" w:space="0" w:color="auto"/>
            </w:tcBorders>
            <w:vAlign w:val="center"/>
            <w:hideMark/>
          </w:tcPr>
          <w:p w:rsidR="00472C29" w:rsidRPr="009C1BFA" w:rsidRDefault="00472C29" w:rsidP="007730AA">
            <w:pPr>
              <w:spacing w:before="0" w:line="276" w:lineRule="auto"/>
              <w:ind w:firstLine="0"/>
              <w:contextualSpacing w:val="0"/>
              <w:jc w:val="center"/>
              <w:rPr>
                <w:lang w:eastAsia="en-US"/>
              </w:rPr>
            </w:pPr>
            <w:r w:rsidRPr="009C1BFA">
              <w:rPr>
                <w:lang w:val="en-US" w:eastAsia="en-US"/>
              </w:rPr>
              <w:t>Կառուցվածքն</w:t>
            </w:r>
            <w:r w:rsidRPr="009C1BFA">
              <w:rPr>
                <w:lang w:eastAsia="en-US"/>
              </w:rPr>
              <w:t xml:space="preserve"> </w:t>
            </w:r>
            <w:r w:rsidRPr="009C1BFA">
              <w:rPr>
                <w:lang w:val="en-US" w:eastAsia="en-US"/>
              </w:rPr>
              <w:t>ըստ</w:t>
            </w:r>
            <w:r w:rsidRPr="009C1BFA">
              <w:rPr>
                <w:lang w:eastAsia="en-US"/>
              </w:rPr>
              <w:t xml:space="preserve"> </w:t>
            </w:r>
            <w:r w:rsidRPr="009C1BFA">
              <w:rPr>
                <w:lang w:val="en-US" w:eastAsia="en-US"/>
              </w:rPr>
              <w:t>տոկոսադրույքի</w:t>
            </w:r>
            <w:r w:rsidRPr="009C1BFA">
              <w:rPr>
                <w:lang w:eastAsia="en-US"/>
              </w:rPr>
              <w:t xml:space="preserve"> </w:t>
            </w:r>
            <w:r w:rsidRPr="009C1BFA">
              <w:rPr>
                <w:lang w:val="en-US" w:eastAsia="en-US"/>
              </w:rPr>
              <w:t>տեսակի</w:t>
            </w:r>
            <w:r w:rsidRPr="009C1BFA">
              <w:rPr>
                <w:lang w:eastAsia="en-US"/>
              </w:rPr>
              <w:t xml:space="preserve">, </w:t>
            </w:r>
            <w:r w:rsidRPr="009C1BFA">
              <w:rPr>
                <w:lang w:val="en-US" w:eastAsia="en-US"/>
              </w:rPr>
              <w:t>մլրդ</w:t>
            </w:r>
            <w:r w:rsidRPr="009C1BFA">
              <w:rPr>
                <w:lang w:eastAsia="en-US"/>
              </w:rPr>
              <w:t xml:space="preserve"> </w:t>
            </w:r>
            <w:r w:rsidRPr="009C1BFA">
              <w:rPr>
                <w:lang w:val="en-US" w:eastAsia="en-US"/>
              </w:rPr>
              <w:t>դրամ</w:t>
            </w:r>
          </w:p>
        </w:tc>
      </w:tr>
      <w:tr w:rsidR="00975ABC" w:rsidRPr="009C1BFA" w:rsidTr="009C7050">
        <w:trPr>
          <w:trHeight w:val="353"/>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hideMark/>
          </w:tcPr>
          <w:p w:rsidR="00472C29" w:rsidRPr="009C1BFA" w:rsidRDefault="00472C29" w:rsidP="007730AA">
            <w:pPr>
              <w:spacing w:before="0" w:line="276" w:lineRule="auto"/>
              <w:ind w:firstLine="0"/>
              <w:contextualSpacing w:val="0"/>
              <w:jc w:val="left"/>
              <w:rPr>
                <w:lang w:val="en-US" w:eastAsia="en-US"/>
              </w:rPr>
            </w:pPr>
            <w:r w:rsidRPr="009C1BFA">
              <w:rPr>
                <w:lang w:val="en-US" w:eastAsia="en-US"/>
              </w:rPr>
              <w:t>լողացող տոկոսադրույքով</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rPr>
            </w:pPr>
            <w:r w:rsidRPr="009C1BFA">
              <w:rPr>
                <w:b w:val="0"/>
                <w:color w:val="auto"/>
              </w:rPr>
              <w:t xml:space="preserve">                 530 </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DD7F34"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rPr>
              <w:t xml:space="preserve">         </w:t>
            </w:r>
            <w:r w:rsidR="00472C29" w:rsidRPr="009C1BFA">
              <w:rPr>
                <w:b w:val="0"/>
                <w:color w:val="auto"/>
              </w:rPr>
              <w:t xml:space="preserve">727 </w:t>
            </w:r>
          </w:p>
        </w:tc>
        <w:tc>
          <w:tcPr>
            <w:tcW w:w="1710" w:type="dxa"/>
            <w:tcBorders>
              <w:top w:val="single" w:sz="4" w:space="0" w:color="auto"/>
              <w:left w:val="single" w:sz="4" w:space="0" w:color="auto"/>
              <w:bottom w:val="single" w:sz="4" w:space="0" w:color="auto"/>
              <w:right w:val="single" w:sz="4" w:space="0" w:color="auto"/>
            </w:tcBorders>
            <w:vAlign w:val="center"/>
          </w:tcPr>
          <w:p w:rsidR="00472C29" w:rsidRPr="009C1BFA" w:rsidRDefault="00DD7F34"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color w:val="auto"/>
              </w:rPr>
            </w:pPr>
            <w:r>
              <w:rPr>
                <w:b w:val="0"/>
                <w:color w:val="auto"/>
              </w:rPr>
              <w:t xml:space="preserve">        </w:t>
            </w:r>
            <w:r w:rsidR="00472C29" w:rsidRPr="009C1BFA">
              <w:rPr>
                <w:b w:val="0"/>
                <w:color w:val="auto"/>
              </w:rPr>
              <w:t xml:space="preserve">814 </w:t>
            </w:r>
          </w:p>
        </w:tc>
      </w:tr>
      <w:tr w:rsidR="00975ABC" w:rsidRPr="009C1BFA" w:rsidTr="009C7050">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auto"/>
              <w:left w:val="single" w:sz="4" w:space="0" w:color="auto"/>
              <w:bottom w:val="single" w:sz="4" w:space="0" w:color="auto"/>
              <w:right w:val="single" w:sz="4" w:space="0" w:color="auto"/>
            </w:tcBorders>
            <w:hideMark/>
          </w:tcPr>
          <w:p w:rsidR="00472C29" w:rsidRPr="009C1BFA" w:rsidRDefault="00472C29" w:rsidP="007730AA">
            <w:pPr>
              <w:spacing w:before="0" w:line="276" w:lineRule="auto"/>
              <w:ind w:firstLine="0"/>
              <w:contextualSpacing w:val="0"/>
              <w:jc w:val="left"/>
              <w:rPr>
                <w:lang w:val="en-US" w:eastAsia="en-US"/>
              </w:rPr>
            </w:pPr>
            <w:r w:rsidRPr="009C1BFA">
              <w:rPr>
                <w:lang w:val="en-US" w:eastAsia="en-US"/>
              </w:rPr>
              <w:t>ֆիքսված տոկոսադրույքով</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2 747 </w:t>
            </w:r>
          </w:p>
        </w:tc>
        <w:tc>
          <w:tcPr>
            <w:tcW w:w="180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3 </w:t>
            </w:r>
            <w:r w:rsidR="00DD7F34">
              <w:rPr>
                <w:b w:val="0"/>
                <w:color w:val="auto"/>
                <w:lang w:val="hy-AM"/>
              </w:rPr>
              <w:t>012</w:t>
            </w:r>
            <w:r w:rsidRPr="009C1BFA">
              <w:rPr>
                <w:b w:val="0"/>
                <w:color w:val="auto"/>
              </w:rPr>
              <w:t xml:space="preserve"> </w:t>
            </w:r>
          </w:p>
        </w:tc>
        <w:tc>
          <w:tcPr>
            <w:tcW w:w="1710" w:type="dxa"/>
            <w:tcBorders>
              <w:top w:val="single" w:sz="4" w:space="0" w:color="auto"/>
              <w:left w:val="single" w:sz="4" w:space="0" w:color="auto"/>
              <w:bottom w:val="single" w:sz="4" w:space="0" w:color="auto"/>
              <w:right w:val="single" w:sz="4" w:space="0" w:color="auto"/>
            </w:tcBorders>
            <w:vAlign w:val="center"/>
          </w:tcPr>
          <w:p w:rsidR="00472C29" w:rsidRPr="009C1BFA" w:rsidRDefault="00472C29"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rPr>
            </w:pPr>
            <w:r w:rsidRPr="009C1BFA">
              <w:rPr>
                <w:b w:val="0"/>
                <w:color w:val="auto"/>
              </w:rPr>
              <w:t xml:space="preserve"> </w:t>
            </w:r>
            <w:r w:rsidR="00DD7F34">
              <w:rPr>
                <w:b w:val="0"/>
                <w:color w:val="auto"/>
              </w:rPr>
              <w:t xml:space="preserve">            </w:t>
            </w:r>
            <w:r w:rsidRPr="009C1BFA">
              <w:rPr>
                <w:b w:val="0"/>
                <w:color w:val="auto"/>
              </w:rPr>
              <w:t xml:space="preserve">3 407 </w:t>
            </w:r>
          </w:p>
        </w:tc>
      </w:tr>
      <w:tr w:rsidR="00472C29" w:rsidRPr="00472C29" w:rsidTr="009C1BFA">
        <w:trPr>
          <w:trHeight w:val="484"/>
        </w:trPr>
        <w:tc>
          <w:tcPr>
            <w:cnfStyle w:val="001000000000" w:firstRow="0" w:lastRow="0" w:firstColumn="1" w:lastColumn="0" w:oddVBand="0" w:evenVBand="0" w:oddHBand="0" w:evenHBand="0" w:firstRowFirstColumn="0" w:firstRowLastColumn="0" w:lastRowFirstColumn="0" w:lastRowLastColumn="0"/>
            <w:tcW w:w="9985" w:type="dxa"/>
            <w:gridSpan w:val="4"/>
            <w:tcBorders>
              <w:top w:val="single" w:sz="4" w:space="0" w:color="auto"/>
              <w:left w:val="single" w:sz="4" w:space="0" w:color="auto"/>
              <w:bottom w:val="single" w:sz="4" w:space="0" w:color="auto"/>
              <w:right w:val="single" w:sz="4" w:space="0" w:color="auto"/>
            </w:tcBorders>
            <w:hideMark/>
          </w:tcPr>
          <w:p w:rsidR="00472C29" w:rsidRPr="009C1BFA" w:rsidRDefault="00472C29" w:rsidP="007730AA">
            <w:pPr>
              <w:spacing w:before="0" w:line="276" w:lineRule="auto"/>
              <w:ind w:firstLine="0"/>
              <w:contextualSpacing w:val="0"/>
              <w:rPr>
                <w:i/>
                <w:iCs/>
                <w:sz w:val="20"/>
                <w:szCs w:val="20"/>
                <w:lang w:eastAsia="en-US"/>
              </w:rPr>
            </w:pPr>
            <w:r w:rsidRPr="009C1BFA">
              <w:rPr>
                <w:i/>
                <w:iCs/>
                <w:sz w:val="20"/>
                <w:szCs w:val="20"/>
                <w:lang w:eastAsia="en-US"/>
              </w:rPr>
              <w:t xml:space="preserve">* 2020 </w:t>
            </w:r>
            <w:r w:rsidRPr="009C1BFA">
              <w:rPr>
                <w:rFonts w:cs="Sylfaen"/>
                <w:i/>
                <w:iCs/>
                <w:sz w:val="20"/>
                <w:szCs w:val="20"/>
                <w:lang w:val="en-US" w:eastAsia="en-US"/>
              </w:rPr>
              <w:t>և</w:t>
            </w:r>
            <w:r w:rsidRPr="009C1BFA">
              <w:rPr>
                <w:i/>
                <w:iCs/>
                <w:sz w:val="20"/>
                <w:szCs w:val="20"/>
                <w:lang w:eastAsia="en-US"/>
              </w:rPr>
              <w:t xml:space="preserve"> 2021 </w:t>
            </w:r>
            <w:r w:rsidRPr="009C1BFA">
              <w:rPr>
                <w:rFonts w:cs="Sylfaen"/>
                <w:i/>
                <w:iCs/>
                <w:sz w:val="20"/>
                <w:szCs w:val="20"/>
                <w:lang w:val="en-US" w:eastAsia="en-US"/>
              </w:rPr>
              <w:t>թվականների</w:t>
            </w:r>
            <w:r w:rsidRPr="009C1BFA">
              <w:rPr>
                <w:i/>
                <w:iCs/>
                <w:sz w:val="20"/>
                <w:szCs w:val="20"/>
                <w:lang w:eastAsia="en-US"/>
              </w:rPr>
              <w:t xml:space="preserve"> </w:t>
            </w:r>
            <w:r w:rsidRPr="009C1BFA">
              <w:rPr>
                <w:rFonts w:cs="Sylfaen"/>
                <w:i/>
                <w:iCs/>
                <w:sz w:val="20"/>
                <w:szCs w:val="20"/>
                <w:lang w:val="en-US" w:eastAsia="en-US"/>
              </w:rPr>
              <w:t>համար</w:t>
            </w:r>
            <w:r w:rsidRPr="009C1BFA">
              <w:rPr>
                <w:rFonts w:cs="Sylfaen"/>
                <w:i/>
                <w:iCs/>
                <w:sz w:val="20"/>
                <w:szCs w:val="20"/>
                <w:lang w:eastAsia="en-US"/>
              </w:rPr>
              <w:t xml:space="preserve"> </w:t>
            </w:r>
            <w:r w:rsidRPr="009C1BFA">
              <w:rPr>
                <w:rFonts w:cs="Sylfaen"/>
                <w:i/>
                <w:iCs/>
                <w:sz w:val="20"/>
                <w:szCs w:val="20"/>
                <w:lang w:val="en-US" w:eastAsia="en-US"/>
              </w:rPr>
              <w:t>պետական</w:t>
            </w:r>
            <w:r w:rsidRPr="009C1BFA">
              <w:rPr>
                <w:rFonts w:cs="Sylfaen"/>
                <w:i/>
                <w:iCs/>
                <w:sz w:val="20"/>
                <w:szCs w:val="20"/>
                <w:lang w:eastAsia="en-US"/>
              </w:rPr>
              <w:t xml:space="preserve"> </w:t>
            </w:r>
            <w:r w:rsidRPr="009C1BFA">
              <w:rPr>
                <w:rFonts w:cs="Sylfaen"/>
                <w:i/>
                <w:iCs/>
                <w:sz w:val="20"/>
                <w:szCs w:val="20"/>
                <w:lang w:val="en-US" w:eastAsia="en-US"/>
              </w:rPr>
              <w:t>գանձապետական</w:t>
            </w:r>
            <w:r w:rsidRPr="009C1BFA">
              <w:rPr>
                <w:rFonts w:cs="Sylfaen"/>
                <w:i/>
                <w:iCs/>
                <w:sz w:val="20"/>
                <w:szCs w:val="20"/>
                <w:lang w:eastAsia="en-US"/>
              </w:rPr>
              <w:t xml:space="preserve"> </w:t>
            </w:r>
            <w:r w:rsidRPr="009C1BFA">
              <w:rPr>
                <w:rFonts w:cs="Sylfaen"/>
                <w:i/>
                <w:iCs/>
                <w:sz w:val="20"/>
                <w:szCs w:val="20"/>
                <w:lang w:val="en-US" w:eastAsia="en-US"/>
              </w:rPr>
              <w:t>և</w:t>
            </w:r>
            <w:r w:rsidRPr="009C1BFA">
              <w:rPr>
                <w:rFonts w:cs="Sylfaen"/>
                <w:i/>
                <w:iCs/>
                <w:sz w:val="20"/>
                <w:szCs w:val="20"/>
                <w:lang w:eastAsia="en-US"/>
              </w:rPr>
              <w:t xml:space="preserve"> </w:t>
            </w:r>
            <w:r w:rsidRPr="009C1BFA">
              <w:rPr>
                <w:rFonts w:cs="Sylfaen"/>
                <w:i/>
                <w:iCs/>
                <w:sz w:val="20"/>
                <w:szCs w:val="20"/>
                <w:lang w:val="en-US" w:eastAsia="en-US"/>
              </w:rPr>
              <w:t>արտարժութային</w:t>
            </w:r>
            <w:r w:rsidRPr="009C1BFA">
              <w:rPr>
                <w:rFonts w:cs="Sylfaen"/>
                <w:i/>
                <w:iCs/>
                <w:sz w:val="20"/>
                <w:szCs w:val="20"/>
                <w:lang w:eastAsia="en-US"/>
              </w:rPr>
              <w:t xml:space="preserve"> </w:t>
            </w:r>
            <w:r w:rsidRPr="009C1BFA">
              <w:rPr>
                <w:rFonts w:cs="Sylfaen"/>
                <w:i/>
                <w:iCs/>
                <w:sz w:val="20"/>
                <w:szCs w:val="20"/>
                <w:lang w:val="en-US" w:eastAsia="en-US"/>
              </w:rPr>
              <w:t>պարտատոմսերի</w:t>
            </w:r>
            <w:r w:rsidRPr="009C1BFA">
              <w:rPr>
                <w:rFonts w:cs="Sylfaen"/>
                <w:i/>
                <w:iCs/>
                <w:sz w:val="20"/>
                <w:szCs w:val="20"/>
                <w:lang w:eastAsia="en-US"/>
              </w:rPr>
              <w:t xml:space="preserve"> </w:t>
            </w:r>
            <w:r w:rsidRPr="009C1BFA">
              <w:rPr>
                <w:rFonts w:cs="Sylfaen"/>
                <w:i/>
                <w:iCs/>
                <w:sz w:val="20"/>
                <w:szCs w:val="20"/>
                <w:lang w:val="en-US" w:eastAsia="en-US"/>
              </w:rPr>
              <w:t>գծով</w:t>
            </w:r>
            <w:r w:rsidRPr="009C1BFA">
              <w:rPr>
                <w:rFonts w:cs="Sylfaen"/>
                <w:i/>
                <w:iCs/>
                <w:sz w:val="20"/>
                <w:szCs w:val="20"/>
                <w:lang w:eastAsia="en-US"/>
              </w:rPr>
              <w:t xml:space="preserve"> </w:t>
            </w:r>
            <w:r w:rsidRPr="009C1BFA">
              <w:rPr>
                <w:rFonts w:cs="Sylfaen"/>
                <w:i/>
                <w:iCs/>
                <w:sz w:val="20"/>
                <w:szCs w:val="20"/>
                <w:lang w:val="en-US" w:eastAsia="en-US"/>
              </w:rPr>
              <w:t>պարտքի</w:t>
            </w:r>
            <w:r w:rsidRPr="009C1BFA">
              <w:rPr>
                <w:rFonts w:cs="Sylfaen"/>
                <w:i/>
                <w:iCs/>
                <w:sz w:val="20"/>
                <w:szCs w:val="20"/>
                <w:lang w:eastAsia="en-US"/>
              </w:rPr>
              <w:t xml:space="preserve"> </w:t>
            </w:r>
            <w:r w:rsidRPr="009C1BFA">
              <w:rPr>
                <w:rFonts w:cs="Sylfaen"/>
                <w:i/>
                <w:iCs/>
                <w:sz w:val="20"/>
                <w:szCs w:val="20"/>
                <w:lang w:val="en-US" w:eastAsia="en-US"/>
              </w:rPr>
              <w:t>մնացորդը</w:t>
            </w:r>
            <w:r w:rsidRPr="009C1BFA">
              <w:rPr>
                <w:rFonts w:cs="Sylfaen"/>
                <w:i/>
                <w:iCs/>
                <w:sz w:val="20"/>
                <w:szCs w:val="20"/>
                <w:lang w:eastAsia="en-US"/>
              </w:rPr>
              <w:t xml:space="preserve"> </w:t>
            </w:r>
            <w:r w:rsidRPr="009C1BFA">
              <w:rPr>
                <w:rFonts w:cs="Sylfaen"/>
                <w:i/>
                <w:iCs/>
                <w:sz w:val="20"/>
                <w:szCs w:val="20"/>
                <w:lang w:val="en-US" w:eastAsia="en-US"/>
              </w:rPr>
              <w:t>բաշխվել</w:t>
            </w:r>
            <w:r w:rsidRPr="009C1BFA">
              <w:rPr>
                <w:rFonts w:cs="Sylfaen"/>
                <w:i/>
                <w:iCs/>
                <w:sz w:val="20"/>
                <w:szCs w:val="20"/>
                <w:lang w:eastAsia="en-US"/>
              </w:rPr>
              <w:t xml:space="preserve"> </w:t>
            </w:r>
            <w:r w:rsidRPr="009C1BFA">
              <w:rPr>
                <w:rFonts w:cs="Sylfaen"/>
                <w:i/>
                <w:iCs/>
                <w:sz w:val="20"/>
                <w:szCs w:val="20"/>
                <w:lang w:val="en-US" w:eastAsia="en-US"/>
              </w:rPr>
              <w:t>է</w:t>
            </w:r>
            <w:r w:rsidRPr="009C1BFA">
              <w:rPr>
                <w:rFonts w:cs="Sylfaen"/>
                <w:i/>
                <w:iCs/>
                <w:sz w:val="20"/>
                <w:szCs w:val="20"/>
                <w:lang w:eastAsia="en-US"/>
              </w:rPr>
              <w:t xml:space="preserve"> </w:t>
            </w:r>
            <w:r w:rsidRPr="009C1BFA">
              <w:rPr>
                <w:rFonts w:cs="Sylfaen"/>
                <w:i/>
                <w:iCs/>
                <w:sz w:val="20"/>
                <w:szCs w:val="20"/>
                <w:lang w:val="en-US" w:eastAsia="en-US"/>
              </w:rPr>
              <w:t>ըստ</w:t>
            </w:r>
            <w:r w:rsidRPr="009C1BFA">
              <w:rPr>
                <w:rFonts w:cs="Sylfaen"/>
                <w:i/>
                <w:iCs/>
                <w:sz w:val="20"/>
                <w:szCs w:val="20"/>
                <w:lang w:eastAsia="en-US"/>
              </w:rPr>
              <w:t xml:space="preserve"> </w:t>
            </w:r>
            <w:r w:rsidRPr="009C1BFA">
              <w:rPr>
                <w:rFonts w:cs="Sylfaen"/>
                <w:i/>
                <w:iCs/>
                <w:sz w:val="20"/>
                <w:szCs w:val="20"/>
                <w:lang w:val="en-US" w:eastAsia="en-US"/>
              </w:rPr>
              <w:t>ռեզիդենտության</w:t>
            </w:r>
            <w:r w:rsidRPr="009C1BFA">
              <w:rPr>
                <w:rFonts w:cs="Sylfaen"/>
                <w:i/>
                <w:iCs/>
                <w:sz w:val="20"/>
                <w:szCs w:val="20"/>
                <w:lang w:eastAsia="en-US"/>
              </w:rPr>
              <w:t xml:space="preserve"> </w:t>
            </w:r>
            <w:r w:rsidRPr="009C1BFA">
              <w:rPr>
                <w:rFonts w:cs="Sylfaen"/>
                <w:i/>
                <w:iCs/>
                <w:sz w:val="20"/>
                <w:szCs w:val="20"/>
                <w:lang w:val="en-US" w:eastAsia="en-US"/>
              </w:rPr>
              <w:t>հիմք</w:t>
            </w:r>
            <w:r w:rsidRPr="009C1BFA">
              <w:rPr>
                <w:rFonts w:cs="Sylfaen"/>
                <w:i/>
                <w:iCs/>
                <w:sz w:val="20"/>
                <w:szCs w:val="20"/>
                <w:lang w:eastAsia="en-US"/>
              </w:rPr>
              <w:t xml:space="preserve"> </w:t>
            </w:r>
            <w:r w:rsidRPr="009C1BFA">
              <w:rPr>
                <w:rFonts w:cs="Sylfaen"/>
                <w:i/>
                <w:iCs/>
                <w:sz w:val="20"/>
                <w:szCs w:val="20"/>
                <w:lang w:val="en-US" w:eastAsia="en-US"/>
              </w:rPr>
              <w:t>ընդունելով</w:t>
            </w:r>
            <w:r w:rsidRPr="009C1BFA">
              <w:rPr>
                <w:rFonts w:cs="Sylfaen"/>
                <w:i/>
                <w:iCs/>
                <w:sz w:val="20"/>
                <w:szCs w:val="20"/>
                <w:lang w:eastAsia="en-US"/>
              </w:rPr>
              <w:t xml:space="preserve"> 2020</w:t>
            </w:r>
            <w:r w:rsidRPr="009C1BFA">
              <w:rPr>
                <w:rFonts w:cs="Sylfaen"/>
                <w:i/>
                <w:iCs/>
                <w:sz w:val="20"/>
                <w:szCs w:val="20"/>
                <w:lang w:val="en-US" w:eastAsia="en-US"/>
              </w:rPr>
              <w:t>թ</w:t>
            </w:r>
            <w:r w:rsidRPr="009C1BFA">
              <w:rPr>
                <w:rFonts w:cs="Sylfaen"/>
                <w:i/>
                <w:iCs/>
                <w:sz w:val="20"/>
                <w:szCs w:val="20"/>
                <w:lang w:eastAsia="en-US"/>
              </w:rPr>
              <w:t>. հ</w:t>
            </w:r>
            <w:r w:rsidRPr="009C1BFA">
              <w:rPr>
                <w:rFonts w:cs="Sylfaen"/>
                <w:i/>
                <w:iCs/>
                <w:sz w:val="20"/>
                <w:szCs w:val="20"/>
                <w:lang w:val="en-US" w:eastAsia="en-US"/>
              </w:rPr>
              <w:t>ոկտեմբերի</w:t>
            </w:r>
            <w:r w:rsidRPr="009C1BFA">
              <w:rPr>
                <w:rFonts w:cs="Sylfaen"/>
                <w:i/>
                <w:iCs/>
                <w:sz w:val="20"/>
                <w:szCs w:val="20"/>
                <w:lang w:eastAsia="en-US"/>
              </w:rPr>
              <w:t xml:space="preserve"> 31-</w:t>
            </w:r>
            <w:r w:rsidRPr="009C1BFA">
              <w:rPr>
                <w:rFonts w:cs="Sylfaen"/>
                <w:i/>
                <w:iCs/>
                <w:sz w:val="20"/>
                <w:szCs w:val="20"/>
                <w:lang w:val="en-US" w:eastAsia="en-US"/>
              </w:rPr>
              <w:t>ի</w:t>
            </w:r>
            <w:r w:rsidRPr="009C1BFA">
              <w:rPr>
                <w:rFonts w:cs="Sylfaen"/>
                <w:i/>
                <w:iCs/>
                <w:sz w:val="20"/>
                <w:szCs w:val="20"/>
                <w:lang w:eastAsia="en-US"/>
              </w:rPr>
              <w:t xml:space="preserve"> </w:t>
            </w:r>
            <w:r w:rsidRPr="009C1BFA">
              <w:rPr>
                <w:rFonts w:cs="Sylfaen"/>
                <w:i/>
                <w:iCs/>
                <w:sz w:val="20"/>
                <w:szCs w:val="20"/>
                <w:lang w:val="en-US" w:eastAsia="en-US"/>
              </w:rPr>
              <w:t>դրությամբ</w:t>
            </w:r>
            <w:r w:rsidRPr="009C1BFA">
              <w:rPr>
                <w:i/>
                <w:iCs/>
                <w:sz w:val="20"/>
                <w:szCs w:val="20"/>
                <w:lang w:eastAsia="en-US"/>
              </w:rPr>
              <w:t xml:space="preserve"> </w:t>
            </w:r>
            <w:r w:rsidRPr="009C1BFA">
              <w:rPr>
                <w:rFonts w:cs="Sylfaen"/>
                <w:i/>
                <w:iCs/>
                <w:sz w:val="20"/>
                <w:szCs w:val="20"/>
                <w:lang w:val="en-US" w:eastAsia="en-US"/>
              </w:rPr>
              <w:t>փաստացի</w:t>
            </w:r>
            <w:r w:rsidRPr="009C1BFA">
              <w:rPr>
                <w:i/>
                <w:iCs/>
                <w:sz w:val="20"/>
                <w:szCs w:val="20"/>
                <w:lang w:eastAsia="en-US"/>
              </w:rPr>
              <w:t xml:space="preserve"> </w:t>
            </w:r>
            <w:r w:rsidRPr="009C1BFA">
              <w:rPr>
                <w:rFonts w:cs="Sylfaen"/>
                <w:i/>
                <w:iCs/>
                <w:sz w:val="20"/>
                <w:szCs w:val="20"/>
                <w:lang w:val="en-US" w:eastAsia="en-US"/>
              </w:rPr>
              <w:t>ձևավորված</w:t>
            </w:r>
            <w:r w:rsidRPr="009C1BFA">
              <w:rPr>
                <w:i/>
                <w:iCs/>
                <w:sz w:val="20"/>
                <w:szCs w:val="20"/>
                <w:lang w:eastAsia="en-US"/>
              </w:rPr>
              <w:t xml:space="preserve"> </w:t>
            </w:r>
            <w:r w:rsidRPr="009C1BFA">
              <w:rPr>
                <w:rFonts w:cs="Sylfaen"/>
                <w:i/>
                <w:iCs/>
                <w:sz w:val="20"/>
                <w:szCs w:val="20"/>
                <w:lang w:val="en-US" w:eastAsia="en-US"/>
              </w:rPr>
              <w:t>տեսակարար</w:t>
            </w:r>
            <w:r w:rsidRPr="009C1BFA">
              <w:rPr>
                <w:i/>
                <w:iCs/>
                <w:sz w:val="20"/>
                <w:szCs w:val="20"/>
                <w:lang w:eastAsia="en-US"/>
              </w:rPr>
              <w:t xml:space="preserve"> </w:t>
            </w:r>
            <w:r w:rsidRPr="009C1BFA">
              <w:rPr>
                <w:rFonts w:cs="Sylfaen"/>
                <w:i/>
                <w:iCs/>
                <w:sz w:val="20"/>
                <w:szCs w:val="20"/>
                <w:lang w:val="en-US" w:eastAsia="en-US"/>
              </w:rPr>
              <w:t>կշիռները</w:t>
            </w:r>
            <w:r w:rsidRPr="009C1BFA">
              <w:rPr>
                <w:i/>
                <w:iCs/>
                <w:sz w:val="20"/>
                <w:szCs w:val="20"/>
                <w:lang w:eastAsia="en-US"/>
              </w:rPr>
              <w:t>:</w:t>
            </w:r>
          </w:p>
          <w:p w:rsidR="00975ABC" w:rsidRPr="00472C29" w:rsidRDefault="00975ABC" w:rsidP="007730AA">
            <w:pPr>
              <w:spacing w:before="0" w:line="276" w:lineRule="auto"/>
              <w:ind w:firstLine="0"/>
              <w:contextualSpacing w:val="0"/>
              <w:rPr>
                <w:i/>
                <w:iCs/>
                <w:sz w:val="16"/>
                <w:szCs w:val="16"/>
                <w:lang w:eastAsia="en-US"/>
              </w:rPr>
            </w:pPr>
          </w:p>
        </w:tc>
      </w:tr>
    </w:tbl>
    <w:p w:rsidR="00472C29" w:rsidRDefault="00472C29" w:rsidP="007730AA">
      <w:pPr>
        <w:spacing w:before="0" w:line="276" w:lineRule="auto"/>
        <w:ind w:firstLine="0"/>
        <w:contextualSpacing w:val="0"/>
        <w:jc w:val="center"/>
        <w:rPr>
          <w:rFonts w:eastAsiaTheme="minorHAnsi" w:cstheme="minorBidi"/>
          <w:b w:val="0"/>
          <w:sz w:val="24"/>
          <w:lang w:eastAsia="en-US"/>
        </w:rPr>
      </w:pPr>
      <w:r w:rsidRPr="00472C29">
        <w:rPr>
          <w:rFonts w:eastAsiaTheme="minorHAnsi" w:cstheme="minorBidi"/>
          <w:b w:val="0"/>
          <w:sz w:val="24"/>
          <w:lang w:eastAsia="en-US"/>
        </w:rPr>
        <w:br w:type="page"/>
      </w:r>
    </w:p>
    <w:p w:rsidR="009C1BFA" w:rsidRPr="00472C29" w:rsidRDefault="008239DE" w:rsidP="007730AA">
      <w:pPr>
        <w:spacing w:before="0" w:line="276" w:lineRule="auto"/>
        <w:ind w:firstLine="0"/>
        <w:contextualSpacing w:val="0"/>
        <w:jc w:val="center"/>
        <w:rPr>
          <w:rFonts w:eastAsiaTheme="minorHAnsi" w:cstheme="minorBidi"/>
          <w:b w:val="0"/>
          <w:sz w:val="24"/>
          <w:lang w:eastAsia="en-US"/>
        </w:rPr>
      </w:pPr>
      <w:r>
        <w:rPr>
          <w:noProof/>
          <w:lang w:val="en-US" w:eastAsia="en-US"/>
        </w:rPr>
        <mc:AlternateContent>
          <mc:Choice Requires="wpg">
            <w:drawing>
              <wp:anchor distT="0" distB="0" distL="114300" distR="114300" simplePos="0" relativeHeight="251723264" behindDoc="0" locked="0" layoutInCell="1" allowOverlap="1">
                <wp:simplePos x="0" y="0"/>
                <wp:positionH relativeFrom="column">
                  <wp:posOffset>0</wp:posOffset>
                </wp:positionH>
                <wp:positionV relativeFrom="paragraph">
                  <wp:posOffset>94615</wp:posOffset>
                </wp:positionV>
                <wp:extent cx="6685915" cy="3763010"/>
                <wp:effectExtent l="114300" t="95250" r="114935" b="104140"/>
                <wp:wrapNone/>
                <wp:docPr id="6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5915" cy="3763010"/>
                          <a:chOff x="0" y="0"/>
                          <a:chExt cx="9214700" cy="5532537"/>
                        </a:xfrm>
                      </wpg:grpSpPr>
                      <wpg:graphicFrame>
                        <wpg:cNvPr id="63" name="Chart 10"/>
                        <wpg:cNvFrPr>
                          <a:graphicFrameLocks/>
                        </wpg:cNvFrPr>
                        <wpg:xfrm>
                          <a:off x="7223" y="0"/>
                          <a:ext cx="4571211" cy="2743595"/>
                        </wpg:xfrm>
                        <a:graphic>
                          <a:graphicData uri="http://schemas.openxmlformats.org/drawingml/2006/chart">
                            <c:chart xmlns:c="http://schemas.openxmlformats.org/drawingml/2006/chart" xmlns:r="http://schemas.openxmlformats.org/officeDocument/2006/relationships" r:id="rId71"/>
                          </a:graphicData>
                        </a:graphic>
                      </wpg:graphicFrame>
                      <wpg:graphicFrame>
                        <wpg:cNvPr id="64" name="Chart 11"/>
                        <wpg:cNvFrPr>
                          <a:graphicFrameLocks/>
                        </wpg:cNvFrPr>
                        <wpg:xfrm>
                          <a:off x="4643488" y="8208"/>
                          <a:ext cx="4571212" cy="2743594"/>
                        </wpg:xfrm>
                        <a:graphic>
                          <a:graphicData uri="http://schemas.openxmlformats.org/drawingml/2006/chart">
                            <c:chart xmlns:c="http://schemas.openxmlformats.org/drawingml/2006/chart" xmlns:r="http://schemas.openxmlformats.org/officeDocument/2006/relationships" r:id="rId72"/>
                          </a:graphicData>
                        </a:graphic>
                      </wpg:graphicFrame>
                      <wpg:graphicFrame>
                        <wpg:cNvPr id="65" name="Chart 12"/>
                        <wpg:cNvFrPr>
                          <a:graphicFrameLocks/>
                        </wpg:cNvFrPr>
                        <wpg:xfrm>
                          <a:off x="0" y="2789336"/>
                          <a:ext cx="4571211" cy="2743201"/>
                        </wpg:xfrm>
                        <a:graphic>
                          <a:graphicData uri="http://schemas.openxmlformats.org/drawingml/2006/chart">
                            <c:chart xmlns:c="http://schemas.openxmlformats.org/drawingml/2006/chart" xmlns:r="http://schemas.openxmlformats.org/officeDocument/2006/relationships" r:id="rId73"/>
                          </a:graphicData>
                        </a:graphic>
                      </wpg:graphicFrame>
                      <wpg:graphicFrame>
                        <wpg:cNvPr id="66" name="Chart 13"/>
                        <wpg:cNvFrPr>
                          <a:graphicFrameLocks/>
                        </wpg:cNvFrPr>
                        <wpg:xfrm>
                          <a:off x="4616010" y="2788943"/>
                          <a:ext cx="4571212" cy="2743200"/>
                        </wpg:xfrm>
                        <a:graphic>
                          <a:graphicData uri="http://schemas.openxmlformats.org/drawingml/2006/chart">
                            <c:chart xmlns:c="http://schemas.openxmlformats.org/drawingml/2006/chart" xmlns:r="http://schemas.openxmlformats.org/officeDocument/2006/relationships" r:id="rId74"/>
                          </a:graphicData>
                        </a:graphic>
                      </wpg:graphicFrame>
                    </wpg:wgp>
                  </a:graphicData>
                </a:graphic>
                <wp14:sizeRelH relativeFrom="page">
                  <wp14:pctWidth>0</wp14:pctWidth>
                </wp14:sizeRelH>
                <wp14:sizeRelV relativeFrom="page">
                  <wp14:pctHeight>0</wp14:pctHeight>
                </wp14:sizeRelV>
              </wp:anchor>
            </w:drawing>
          </mc:Choice>
          <mc:Fallback>
            <w:pict>
              <v:group w14:anchorId="694DFB76" id="Group 1" o:spid="_x0000_s1026" style="position:absolute;margin-left:0;margin-top:7.45pt;width:526.45pt;height:296.3pt;z-index:251723264" coordsize="92147,55325"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 o:spid="_x0000_s1027" type="#_x0000_t75" style="position:absolute;left:-1092;top:-1165;width:48141;height:29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">
                  <v:imagedata r:id="rId75" o:title=""/>
                  <o:lock v:ext="edit" aspectratio="f"/>
                </v:shape>
                <v:shape id="Chart 11" o:spid="_x0000_s1028" type="#_x0000_t75" style="position:absolute;left:45284;top:-1075;width:48142;height:29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">
                  <v:imagedata r:id="rId76" o:title=""/>
                  <o:lock v:ext="edit" aspectratio="f"/>
                </v:shape>
                <v:shape id="Chart 12" o:spid="_x0000_s1029" type="#_x0000_t75" style="position:absolute;left:-1176;top:26708;width:48141;height:29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">
                  <v:imagedata r:id="rId77" o:title=""/>
                  <o:lock v:ext="edit" aspectratio="f"/>
                </v:shape>
                <v:shape id="Chart 13" o:spid="_x0000_s1030" type="#_x0000_t75" style="position:absolute;left:44948;top:26708;width:48226;height:297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">
                  <v:imagedata r:id="rId78" o:title=""/>
                  <o:lock v:ext="edit" aspectratio="f"/>
                </v:shape>
              </v:group>
            </w:pict>
          </mc:Fallback>
        </mc:AlternateContent>
      </w:r>
    </w:p>
    <w:p w:rsidR="009C1BFA" w:rsidRPr="009C1BFA" w:rsidRDefault="009C1BFA" w:rsidP="007730AA">
      <w:pPr>
        <w:spacing w:before="0" w:line="276" w:lineRule="auto"/>
        <w:ind w:firstLine="720"/>
        <w:contextualSpacing w:val="0"/>
        <w:rPr>
          <w:rFonts w:eastAsiaTheme="minorHAnsi" w:cstheme="minorBidi"/>
          <w:b w:val="0"/>
          <w:szCs w:val="22"/>
          <w:lang w:eastAsia="en-US"/>
        </w:rPr>
      </w:pPr>
    </w:p>
    <w:p w:rsidR="009C1BFA" w:rsidRPr="009C1BFA" w:rsidRDefault="009C1BFA" w:rsidP="007730AA">
      <w:pPr>
        <w:spacing w:before="0" w:line="276" w:lineRule="auto"/>
        <w:ind w:firstLine="720"/>
        <w:contextualSpacing w:val="0"/>
        <w:rPr>
          <w:rFonts w:eastAsiaTheme="minorHAnsi" w:cstheme="minorBidi"/>
          <w:b w:val="0"/>
          <w:szCs w:val="22"/>
          <w:lang w:eastAsia="en-US"/>
        </w:rPr>
      </w:pPr>
    </w:p>
    <w:p w:rsidR="009C1BFA" w:rsidRPr="009C1BFA" w:rsidRDefault="009C1BFA" w:rsidP="007730AA">
      <w:pPr>
        <w:spacing w:before="0" w:line="276" w:lineRule="auto"/>
        <w:ind w:firstLine="720"/>
        <w:contextualSpacing w:val="0"/>
        <w:rPr>
          <w:rFonts w:eastAsiaTheme="minorHAnsi" w:cstheme="minorBidi"/>
          <w:b w:val="0"/>
          <w:szCs w:val="22"/>
          <w:lang w:eastAsia="en-US"/>
        </w:rPr>
      </w:pPr>
    </w:p>
    <w:p w:rsidR="009C1BFA" w:rsidRPr="009C1BFA" w:rsidRDefault="009C1BFA" w:rsidP="007730AA">
      <w:pPr>
        <w:spacing w:before="0" w:line="276" w:lineRule="auto"/>
        <w:ind w:firstLine="720"/>
        <w:contextualSpacing w:val="0"/>
        <w:rPr>
          <w:rFonts w:eastAsiaTheme="minorHAnsi" w:cstheme="minorBidi"/>
          <w:b w:val="0"/>
          <w:szCs w:val="22"/>
          <w:lang w:eastAsia="en-US"/>
        </w:rPr>
      </w:pPr>
    </w:p>
    <w:p w:rsidR="009C1BFA" w:rsidRPr="009C1BFA" w:rsidRDefault="009C1BFA" w:rsidP="007730AA">
      <w:pPr>
        <w:spacing w:before="0" w:line="276" w:lineRule="auto"/>
        <w:ind w:firstLine="720"/>
        <w:contextualSpacing w:val="0"/>
        <w:rPr>
          <w:rFonts w:eastAsiaTheme="minorHAnsi" w:cstheme="minorBidi"/>
          <w:b w:val="0"/>
          <w:szCs w:val="22"/>
          <w:lang w:eastAsia="en-US"/>
        </w:rPr>
      </w:pPr>
    </w:p>
    <w:p w:rsidR="009C1BFA" w:rsidRPr="009C1BFA" w:rsidRDefault="009C1BFA" w:rsidP="007730AA">
      <w:pPr>
        <w:spacing w:before="0" w:line="276" w:lineRule="auto"/>
        <w:ind w:firstLine="720"/>
        <w:contextualSpacing w:val="0"/>
        <w:rPr>
          <w:rFonts w:eastAsiaTheme="minorHAnsi" w:cstheme="minorBidi"/>
          <w:b w:val="0"/>
          <w:szCs w:val="22"/>
          <w:lang w:eastAsia="en-US"/>
        </w:rPr>
      </w:pPr>
    </w:p>
    <w:p w:rsidR="009C1BFA" w:rsidRPr="009C1BFA" w:rsidRDefault="009C1BFA" w:rsidP="007730AA">
      <w:pPr>
        <w:spacing w:before="0" w:line="276" w:lineRule="auto"/>
        <w:ind w:firstLine="720"/>
        <w:contextualSpacing w:val="0"/>
        <w:rPr>
          <w:rFonts w:eastAsiaTheme="minorHAnsi" w:cstheme="minorBidi"/>
          <w:b w:val="0"/>
          <w:szCs w:val="22"/>
          <w:lang w:eastAsia="en-US"/>
        </w:rPr>
      </w:pPr>
    </w:p>
    <w:p w:rsidR="009C1BFA" w:rsidRPr="009C1BFA" w:rsidRDefault="009C1BFA" w:rsidP="007730AA">
      <w:pPr>
        <w:spacing w:before="0" w:line="276" w:lineRule="auto"/>
        <w:ind w:firstLine="720"/>
        <w:contextualSpacing w:val="0"/>
        <w:rPr>
          <w:rFonts w:eastAsiaTheme="minorHAnsi" w:cstheme="minorBidi"/>
          <w:b w:val="0"/>
          <w:szCs w:val="22"/>
          <w:lang w:eastAsia="en-US"/>
        </w:rPr>
      </w:pPr>
    </w:p>
    <w:p w:rsidR="009C1BFA" w:rsidRPr="009C1BFA" w:rsidRDefault="009C1BFA" w:rsidP="007730AA">
      <w:pPr>
        <w:spacing w:before="0" w:line="276" w:lineRule="auto"/>
        <w:ind w:firstLine="720"/>
        <w:contextualSpacing w:val="0"/>
        <w:rPr>
          <w:rFonts w:eastAsiaTheme="minorHAnsi" w:cstheme="minorBidi"/>
          <w:b w:val="0"/>
          <w:szCs w:val="22"/>
          <w:lang w:eastAsia="en-US"/>
        </w:rPr>
      </w:pPr>
    </w:p>
    <w:p w:rsidR="009C1BFA" w:rsidRPr="009C1BFA" w:rsidRDefault="009C1BFA" w:rsidP="007730AA">
      <w:pPr>
        <w:spacing w:before="0" w:line="276" w:lineRule="auto"/>
        <w:ind w:firstLine="720"/>
        <w:contextualSpacing w:val="0"/>
        <w:rPr>
          <w:rFonts w:eastAsiaTheme="minorHAnsi" w:cstheme="minorBidi"/>
          <w:b w:val="0"/>
          <w:szCs w:val="22"/>
          <w:lang w:eastAsia="en-US"/>
        </w:rPr>
      </w:pPr>
    </w:p>
    <w:p w:rsidR="009C1BFA" w:rsidRPr="009C1BFA" w:rsidRDefault="009C1BFA" w:rsidP="007730AA">
      <w:pPr>
        <w:spacing w:before="0" w:line="276" w:lineRule="auto"/>
        <w:ind w:firstLine="720"/>
        <w:contextualSpacing w:val="0"/>
        <w:rPr>
          <w:rFonts w:eastAsiaTheme="minorHAnsi" w:cstheme="minorBidi"/>
          <w:b w:val="0"/>
          <w:szCs w:val="22"/>
          <w:lang w:eastAsia="en-US"/>
        </w:rPr>
      </w:pPr>
    </w:p>
    <w:p w:rsidR="009C1BFA" w:rsidRPr="009C1BFA" w:rsidRDefault="009C1BFA" w:rsidP="007730AA">
      <w:pPr>
        <w:spacing w:before="0" w:line="276" w:lineRule="auto"/>
        <w:ind w:firstLine="720"/>
        <w:contextualSpacing w:val="0"/>
        <w:rPr>
          <w:rFonts w:eastAsiaTheme="minorHAnsi" w:cstheme="minorBidi"/>
          <w:b w:val="0"/>
          <w:szCs w:val="22"/>
          <w:lang w:eastAsia="en-US"/>
        </w:rPr>
      </w:pPr>
    </w:p>
    <w:p w:rsidR="009C1BFA" w:rsidRPr="009C1BFA" w:rsidRDefault="009C1BFA" w:rsidP="007730AA">
      <w:pPr>
        <w:spacing w:before="0" w:line="276" w:lineRule="auto"/>
        <w:ind w:firstLine="720"/>
        <w:contextualSpacing w:val="0"/>
        <w:rPr>
          <w:rFonts w:eastAsiaTheme="minorHAnsi" w:cstheme="minorBidi"/>
          <w:b w:val="0"/>
          <w:szCs w:val="22"/>
          <w:lang w:eastAsia="en-US"/>
        </w:rPr>
      </w:pPr>
    </w:p>
    <w:p w:rsidR="00472C29" w:rsidRPr="009C1BFA" w:rsidRDefault="00472C29" w:rsidP="007730AA">
      <w:pPr>
        <w:spacing w:before="0" w:line="276" w:lineRule="auto"/>
        <w:ind w:firstLine="720"/>
        <w:contextualSpacing w:val="0"/>
        <w:rPr>
          <w:rFonts w:eastAsiaTheme="minorHAnsi" w:cstheme="minorBidi"/>
          <w:b w:val="0"/>
          <w:szCs w:val="22"/>
          <w:lang w:eastAsia="en-US"/>
        </w:rPr>
      </w:pPr>
      <w:r w:rsidRPr="00975ABC">
        <w:rPr>
          <w:rFonts w:eastAsiaTheme="minorHAnsi" w:cstheme="minorBidi"/>
          <w:b w:val="0"/>
          <w:szCs w:val="22"/>
          <w:lang w:val="en-US" w:eastAsia="en-US"/>
        </w:rPr>
        <w:t>Հաշվի</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առնելով</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ՀՀ</w:t>
      </w:r>
      <w:r w:rsidRPr="009C1BFA">
        <w:rPr>
          <w:rFonts w:eastAsiaTheme="minorHAnsi" w:cstheme="minorBidi"/>
          <w:b w:val="0"/>
          <w:szCs w:val="22"/>
          <w:lang w:eastAsia="en-US"/>
        </w:rPr>
        <w:t xml:space="preserve"> </w:t>
      </w:r>
      <w:r w:rsidRPr="009C1BFA">
        <w:rPr>
          <w:rFonts w:eastAsiaTheme="minorHAnsi" w:cs="Sylfaen"/>
          <w:b w:val="0"/>
          <w:bCs/>
          <w:szCs w:val="22"/>
          <w:lang w:eastAsia="en-US"/>
        </w:rPr>
        <w:t xml:space="preserve">2021 </w:t>
      </w:r>
      <w:r w:rsidRPr="00975ABC">
        <w:rPr>
          <w:rFonts w:eastAsiaTheme="minorHAnsi" w:cs="Sylfaen"/>
          <w:b w:val="0"/>
          <w:bCs/>
          <w:szCs w:val="22"/>
          <w:lang w:val="en-US" w:eastAsia="en-US"/>
        </w:rPr>
        <w:t>թվականի</w:t>
      </w:r>
      <w:r w:rsidRPr="009C1BFA">
        <w:rPr>
          <w:rFonts w:eastAsiaTheme="minorHAnsi" w:cs="Sylfaen"/>
          <w:b w:val="0"/>
          <w:bCs/>
          <w:szCs w:val="22"/>
          <w:lang w:eastAsia="en-US"/>
        </w:rPr>
        <w:t xml:space="preserve"> </w:t>
      </w:r>
      <w:r w:rsidRPr="00975ABC">
        <w:rPr>
          <w:rFonts w:eastAsiaTheme="minorHAnsi" w:cstheme="minorBidi"/>
          <w:b w:val="0"/>
          <w:szCs w:val="22"/>
          <w:lang w:val="en-US" w:eastAsia="en-US"/>
        </w:rPr>
        <w:t>պետական</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բյուջեի</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հիմքում</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դրված</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կանխատեսումները</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և</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պարտքի</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գծով</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ծրագրավորված</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գործառնությունները</w:t>
      </w:r>
      <w:r w:rsidRPr="009C1BFA">
        <w:rPr>
          <w:rFonts w:eastAsiaTheme="minorHAnsi" w:cstheme="minorBidi"/>
          <w:b w:val="0"/>
          <w:szCs w:val="22"/>
          <w:lang w:eastAsia="en-US"/>
        </w:rPr>
        <w:t xml:space="preserve">, </w:t>
      </w:r>
      <w:r w:rsidRPr="00975ABC">
        <w:rPr>
          <w:rFonts w:eastAsiaTheme="minorHAnsi" w:cs="Sylfaen"/>
          <w:b w:val="0"/>
          <w:bCs/>
          <w:szCs w:val="22"/>
          <w:lang w:val="en-US" w:eastAsia="en-US"/>
        </w:rPr>
        <w:t>ՀՀ</w:t>
      </w:r>
      <w:r w:rsidRPr="009C1BFA">
        <w:rPr>
          <w:rFonts w:eastAsiaTheme="minorHAnsi" w:cs="Sylfaen"/>
          <w:b w:val="0"/>
          <w:bCs/>
          <w:szCs w:val="22"/>
          <w:lang w:eastAsia="en-US"/>
        </w:rPr>
        <w:t xml:space="preserve"> </w:t>
      </w:r>
      <w:r w:rsidRPr="00975ABC">
        <w:rPr>
          <w:rFonts w:eastAsiaTheme="minorHAnsi" w:cs="Sylfaen"/>
          <w:b w:val="0"/>
          <w:bCs/>
          <w:szCs w:val="22"/>
          <w:lang w:val="en-US" w:eastAsia="en-US"/>
        </w:rPr>
        <w:t>կառավարության</w:t>
      </w:r>
      <w:r w:rsidRPr="009C1BFA">
        <w:rPr>
          <w:rFonts w:eastAsiaTheme="minorHAnsi" w:cs="Sylfaen"/>
          <w:b w:val="0"/>
          <w:bCs/>
          <w:szCs w:val="22"/>
          <w:lang w:eastAsia="en-US"/>
        </w:rPr>
        <w:t xml:space="preserve"> </w:t>
      </w:r>
      <w:r w:rsidRPr="00975ABC">
        <w:rPr>
          <w:rFonts w:eastAsiaTheme="minorHAnsi" w:cs="Sylfaen"/>
          <w:b w:val="0"/>
          <w:bCs/>
          <w:szCs w:val="22"/>
          <w:lang w:val="en-US" w:eastAsia="en-US"/>
        </w:rPr>
        <w:t>պարտքի</w:t>
      </w:r>
      <w:r w:rsidRPr="009C1BFA">
        <w:rPr>
          <w:rFonts w:eastAsiaTheme="minorHAnsi" w:cs="Sylfaen"/>
          <w:b w:val="0"/>
          <w:bCs/>
          <w:szCs w:val="22"/>
          <w:lang w:eastAsia="en-US"/>
        </w:rPr>
        <w:t xml:space="preserve"> </w:t>
      </w:r>
      <w:r w:rsidRPr="00975ABC">
        <w:rPr>
          <w:rFonts w:eastAsiaTheme="minorHAnsi" w:cs="Sylfaen"/>
          <w:b w:val="0"/>
          <w:bCs/>
          <w:szCs w:val="22"/>
          <w:lang w:val="en-US" w:eastAsia="en-US"/>
        </w:rPr>
        <w:t>կառավարման</w:t>
      </w:r>
      <w:r w:rsidRPr="009C1BFA">
        <w:rPr>
          <w:rFonts w:eastAsiaTheme="minorHAnsi" w:cs="Sylfaen"/>
          <w:b w:val="0"/>
          <w:bCs/>
          <w:szCs w:val="22"/>
          <w:lang w:eastAsia="en-US"/>
        </w:rPr>
        <w:t xml:space="preserve"> 2021-2023 </w:t>
      </w:r>
      <w:r w:rsidRPr="00975ABC">
        <w:rPr>
          <w:rFonts w:eastAsiaTheme="minorHAnsi" w:cs="Sylfaen"/>
          <w:b w:val="0"/>
          <w:bCs/>
          <w:szCs w:val="22"/>
          <w:lang w:val="en-US" w:eastAsia="en-US"/>
        </w:rPr>
        <w:t>թվականների</w:t>
      </w:r>
      <w:r w:rsidRPr="009C1BFA">
        <w:rPr>
          <w:rFonts w:eastAsiaTheme="minorHAnsi" w:cs="Sylfaen"/>
          <w:b w:val="0"/>
          <w:bCs/>
          <w:szCs w:val="22"/>
          <w:lang w:eastAsia="en-US"/>
        </w:rPr>
        <w:t xml:space="preserve"> </w:t>
      </w:r>
      <w:r w:rsidRPr="00975ABC">
        <w:rPr>
          <w:rFonts w:eastAsiaTheme="minorHAnsi" w:cstheme="minorBidi"/>
          <w:b w:val="0"/>
          <w:szCs w:val="22"/>
          <w:lang w:val="en-US" w:eastAsia="en-US"/>
        </w:rPr>
        <w:t>ռազմավարական</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ծրագրով</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ամրագրված</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ուղենշային</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ցուցանիշները</w:t>
      </w:r>
      <w:r w:rsidRPr="009C1BFA">
        <w:rPr>
          <w:rFonts w:eastAsiaTheme="minorHAnsi" w:cstheme="minorBidi"/>
          <w:b w:val="0"/>
          <w:szCs w:val="22"/>
          <w:lang w:eastAsia="en-US"/>
        </w:rPr>
        <w:t xml:space="preserve"> 2021</w:t>
      </w:r>
      <w:r w:rsidRPr="00975ABC">
        <w:rPr>
          <w:rFonts w:eastAsiaTheme="minorHAnsi" w:cstheme="minorBidi"/>
          <w:b w:val="0"/>
          <w:szCs w:val="22"/>
          <w:lang w:val="en-US" w:eastAsia="en-US"/>
        </w:rPr>
        <w:t>թ</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տարեվերջի</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դրությամբ</w:t>
      </w:r>
      <w:r w:rsidRPr="009C1BFA">
        <w:rPr>
          <w:rFonts w:eastAsiaTheme="minorHAnsi" w:cstheme="minorBidi"/>
          <w:b w:val="0"/>
          <w:szCs w:val="22"/>
          <w:lang w:eastAsia="en-US"/>
        </w:rPr>
        <w:t xml:space="preserve"> </w:t>
      </w:r>
      <w:r w:rsidRPr="00975ABC">
        <w:rPr>
          <w:rFonts w:eastAsiaTheme="minorHAnsi" w:cstheme="minorBidi"/>
          <w:b w:val="0"/>
          <w:szCs w:val="22"/>
          <w:lang w:val="en-US" w:eastAsia="en-US"/>
        </w:rPr>
        <w:t>կկազմեն</w:t>
      </w:r>
      <w:r w:rsidRPr="009C1BFA">
        <w:rPr>
          <w:rFonts w:eastAsiaTheme="minorHAnsi" w:cstheme="minorBidi"/>
          <w:b w:val="0"/>
          <w:szCs w:val="22"/>
          <w:lang w:eastAsia="en-US"/>
        </w:rPr>
        <w:t>.</w:t>
      </w:r>
    </w:p>
    <w:tbl>
      <w:tblPr>
        <w:tblStyle w:val="LightList-Accent122"/>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5"/>
        <w:gridCol w:w="1890"/>
        <w:gridCol w:w="1620"/>
      </w:tblGrid>
      <w:tr w:rsidR="00472C29" w:rsidRPr="00472C29" w:rsidTr="009C1B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565" w:type="dxa"/>
          </w:tcPr>
          <w:p w:rsidR="00472C29" w:rsidRPr="009C1BFA" w:rsidRDefault="00472C29" w:rsidP="007730AA">
            <w:pPr>
              <w:spacing w:before="0" w:line="276" w:lineRule="auto"/>
              <w:ind w:firstLine="0"/>
              <w:contextualSpacing w:val="0"/>
              <w:rPr>
                <w:lang w:val="es-ES" w:eastAsia="en-US"/>
              </w:rPr>
            </w:pP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right w:val="none" w:sz="0" w:space="0" w:color="auto"/>
            </w:tcBorders>
            <w:vAlign w:val="center"/>
          </w:tcPr>
          <w:p w:rsidR="00472C29" w:rsidRPr="009C1BFA" w:rsidRDefault="00472C29" w:rsidP="007730AA">
            <w:pPr>
              <w:spacing w:before="0" w:line="276" w:lineRule="auto"/>
              <w:ind w:firstLine="0"/>
              <w:contextualSpacing w:val="0"/>
              <w:jc w:val="center"/>
              <w:rPr>
                <w:lang w:val="es-ES" w:eastAsia="en-US"/>
              </w:rPr>
            </w:pPr>
            <w:r w:rsidRPr="009C1BFA">
              <w:rPr>
                <w:rFonts w:cs="Times Unicode"/>
                <w:lang w:val="en-US" w:eastAsia="en-US"/>
              </w:rPr>
              <w:t>Ուղենիշ</w:t>
            </w:r>
          </w:p>
        </w:tc>
        <w:tc>
          <w:tcPr>
            <w:cnfStyle w:val="000100000000" w:firstRow="0" w:lastRow="0" w:firstColumn="0" w:lastColumn="1" w:oddVBand="0" w:evenVBand="0" w:oddHBand="0" w:evenHBand="0" w:firstRowFirstColumn="0" w:firstRowLastColumn="0" w:lastRowFirstColumn="0" w:lastRowLastColumn="0"/>
            <w:tcW w:w="1620" w:type="dxa"/>
            <w:vAlign w:val="center"/>
          </w:tcPr>
          <w:p w:rsidR="00472C29" w:rsidRPr="009C1BFA" w:rsidRDefault="00472C29" w:rsidP="007730AA">
            <w:pPr>
              <w:spacing w:before="0" w:line="276" w:lineRule="auto"/>
              <w:ind w:firstLine="0"/>
              <w:contextualSpacing w:val="0"/>
              <w:jc w:val="center"/>
              <w:rPr>
                <w:rFonts w:cs="Sylfaen"/>
                <w:lang w:val="en-US" w:eastAsia="en-US"/>
              </w:rPr>
            </w:pPr>
            <w:r w:rsidRPr="009C1BFA">
              <w:rPr>
                <w:rFonts w:cs="Sylfaen"/>
                <w:lang w:val="en-US" w:eastAsia="en-US"/>
              </w:rPr>
              <w:t>2020թ.</w:t>
            </w:r>
          </w:p>
          <w:p w:rsidR="00472C29" w:rsidRPr="009C1BFA" w:rsidRDefault="00472C29" w:rsidP="007730AA">
            <w:pPr>
              <w:spacing w:before="0" w:line="276" w:lineRule="auto"/>
              <w:ind w:firstLine="0"/>
              <w:contextualSpacing w:val="0"/>
              <w:jc w:val="center"/>
              <w:rPr>
                <w:rFonts w:cs="Sylfaen"/>
                <w:lang w:val="en-US" w:eastAsia="en-US"/>
              </w:rPr>
            </w:pPr>
            <w:r w:rsidRPr="009C1BFA">
              <w:rPr>
                <w:rFonts w:cs="Sylfaen"/>
                <w:lang w:val="en-US" w:eastAsia="en-US"/>
              </w:rPr>
              <w:t>(կանխ.)</w:t>
            </w:r>
          </w:p>
        </w:tc>
      </w:tr>
      <w:tr w:rsidR="00472C29" w:rsidRPr="00472C29" w:rsidTr="009C1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left w:val="none" w:sz="0" w:space="0" w:color="auto"/>
              <w:bottom w:val="none" w:sz="0" w:space="0" w:color="auto"/>
            </w:tcBorders>
          </w:tcPr>
          <w:p w:rsidR="00472C29" w:rsidRPr="009C1BFA" w:rsidRDefault="00472C29" w:rsidP="007730AA">
            <w:pPr>
              <w:spacing w:before="0" w:line="276" w:lineRule="auto"/>
              <w:ind w:firstLine="0"/>
              <w:contextualSpacing w:val="0"/>
              <w:jc w:val="left"/>
              <w:rPr>
                <w:rFonts w:cs="Times Unicode"/>
                <w:lang w:val="es-ES" w:eastAsia="en-US"/>
              </w:rPr>
            </w:pPr>
            <w:r w:rsidRPr="009C1BFA">
              <w:rPr>
                <w:rFonts w:cs="Times Unicode"/>
                <w:lang w:val="es-ES" w:eastAsia="en-US"/>
              </w:rPr>
              <w:t>Վերաֆինանսավորման ռիսկ</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tcPr>
          <w:p w:rsidR="00472C29" w:rsidRPr="009C1BFA" w:rsidRDefault="00472C29" w:rsidP="007730AA">
            <w:pPr>
              <w:spacing w:before="0" w:line="276" w:lineRule="auto"/>
              <w:ind w:firstLine="0"/>
              <w:contextualSpacing w:val="0"/>
              <w:jc w:val="center"/>
              <w:rPr>
                <w:lang w:val="es-ES" w:eastAsia="en-US"/>
              </w:rPr>
            </w:pPr>
          </w:p>
        </w:tc>
        <w:tc>
          <w:tcPr>
            <w:cnfStyle w:val="000100000000" w:firstRow="0" w:lastRow="0" w:firstColumn="0" w:lastColumn="1" w:oddVBand="0" w:evenVBand="0" w:oddHBand="0" w:evenHBand="0" w:firstRowFirstColumn="0" w:firstRowLastColumn="0" w:lastRowFirstColumn="0" w:lastRowLastColumn="0"/>
            <w:tcW w:w="1620" w:type="dxa"/>
            <w:tcBorders>
              <w:top w:val="none" w:sz="0" w:space="0" w:color="auto"/>
              <w:bottom w:val="none" w:sz="0" w:space="0" w:color="auto"/>
              <w:right w:val="none" w:sz="0" w:space="0" w:color="auto"/>
            </w:tcBorders>
          </w:tcPr>
          <w:p w:rsidR="00472C29" w:rsidRPr="009C1BFA" w:rsidRDefault="00472C29" w:rsidP="007730AA">
            <w:pPr>
              <w:spacing w:before="0" w:line="276" w:lineRule="auto"/>
              <w:ind w:firstLine="0"/>
              <w:contextualSpacing w:val="0"/>
              <w:jc w:val="center"/>
              <w:rPr>
                <w:lang w:val="es-ES" w:eastAsia="en-US"/>
              </w:rPr>
            </w:pPr>
          </w:p>
        </w:tc>
      </w:tr>
      <w:tr w:rsidR="00472C29" w:rsidRPr="00472C29" w:rsidTr="009C1BFA">
        <w:tc>
          <w:tcPr>
            <w:cnfStyle w:val="001000000000" w:firstRow="0" w:lastRow="0" w:firstColumn="1" w:lastColumn="0" w:oddVBand="0" w:evenVBand="0" w:oddHBand="0" w:evenHBand="0" w:firstRowFirstColumn="0" w:firstRowLastColumn="0" w:lastRowFirstColumn="0" w:lastRowLastColumn="0"/>
            <w:tcW w:w="6565" w:type="dxa"/>
          </w:tcPr>
          <w:p w:rsidR="00472C29" w:rsidRPr="009C1BFA" w:rsidRDefault="00472C29" w:rsidP="007730AA">
            <w:pPr>
              <w:spacing w:before="0" w:line="276" w:lineRule="auto"/>
              <w:ind w:firstLine="0"/>
              <w:contextualSpacing w:val="0"/>
              <w:jc w:val="left"/>
              <w:rPr>
                <w:rFonts w:cs="Times Unicode"/>
                <w:lang w:val="es-ES" w:eastAsia="en-US"/>
              </w:rPr>
            </w:pPr>
            <w:r w:rsidRPr="009C1BFA">
              <w:rPr>
                <w:rFonts w:cs="Times Unicode"/>
                <w:lang w:val="en-US" w:eastAsia="en-US"/>
              </w:rPr>
              <w:t>Մինչև</w:t>
            </w:r>
            <w:r w:rsidRPr="009C1BFA">
              <w:rPr>
                <w:rFonts w:cs="Times Unicode"/>
                <w:lang w:val="es-ES" w:eastAsia="en-US"/>
              </w:rPr>
              <w:t xml:space="preserve"> </w:t>
            </w:r>
            <w:r w:rsidRPr="009C1BFA">
              <w:rPr>
                <w:rFonts w:cs="Times Unicode"/>
                <w:lang w:val="en-US" w:eastAsia="en-US"/>
              </w:rPr>
              <w:t>մարում</w:t>
            </w:r>
            <w:r w:rsidRPr="009C1BFA">
              <w:rPr>
                <w:rFonts w:cs="Times Unicode"/>
                <w:lang w:val="es-ES" w:eastAsia="en-US"/>
              </w:rPr>
              <w:t xml:space="preserve"> </w:t>
            </w:r>
            <w:r w:rsidRPr="009C1BFA">
              <w:rPr>
                <w:rFonts w:cs="Times Unicode"/>
                <w:lang w:val="en-US" w:eastAsia="en-US"/>
              </w:rPr>
              <w:t>միջին</w:t>
            </w:r>
            <w:r w:rsidRPr="009C1BFA">
              <w:rPr>
                <w:rFonts w:cs="Times Unicode"/>
                <w:lang w:val="es-ES" w:eastAsia="en-US"/>
              </w:rPr>
              <w:t xml:space="preserve"> </w:t>
            </w:r>
            <w:r w:rsidRPr="009C1BFA">
              <w:rPr>
                <w:rFonts w:cs="Times Unicode"/>
                <w:lang w:val="en-US" w:eastAsia="en-US"/>
              </w:rPr>
              <w:t>ժամկետը</w:t>
            </w:r>
            <w:r w:rsidRPr="009C1BFA">
              <w:rPr>
                <w:rFonts w:cs="Times Unicode"/>
                <w:lang w:val="es-ES" w:eastAsia="en-US"/>
              </w:rPr>
              <w:t xml:space="preserve"> </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472C29" w:rsidRPr="009C1BFA" w:rsidRDefault="00472C29" w:rsidP="007730AA">
            <w:pPr>
              <w:spacing w:before="0" w:line="276" w:lineRule="auto"/>
              <w:ind w:firstLine="0"/>
              <w:contextualSpacing w:val="0"/>
              <w:jc w:val="center"/>
              <w:rPr>
                <w:b w:val="0"/>
                <w:lang w:val="es-ES" w:eastAsia="en-US"/>
              </w:rPr>
            </w:pPr>
            <w:r w:rsidRPr="009C1BFA">
              <w:rPr>
                <w:b w:val="0"/>
                <w:lang w:val="es-ES" w:eastAsia="en-US"/>
              </w:rPr>
              <w:t xml:space="preserve">8 – 11 </w:t>
            </w:r>
            <w:r w:rsidRPr="009C1BFA">
              <w:rPr>
                <w:b w:val="0"/>
                <w:lang w:val="en-US" w:eastAsia="en-US"/>
              </w:rPr>
              <w:t>տարի</w:t>
            </w:r>
          </w:p>
        </w:tc>
        <w:tc>
          <w:tcPr>
            <w:cnfStyle w:val="000100000000" w:firstRow="0" w:lastRow="0" w:firstColumn="0" w:lastColumn="1" w:oddVBand="0" w:evenVBand="0" w:oddHBand="0" w:evenHBand="0" w:firstRowFirstColumn="0" w:firstRowLastColumn="0" w:lastRowFirstColumn="0" w:lastRowLastColumn="0"/>
            <w:tcW w:w="1620" w:type="dxa"/>
            <w:vAlign w:val="center"/>
          </w:tcPr>
          <w:p w:rsidR="00472C29" w:rsidRPr="009C1BFA" w:rsidRDefault="00472C29" w:rsidP="007730AA">
            <w:pPr>
              <w:spacing w:before="0" w:line="276" w:lineRule="auto"/>
              <w:ind w:firstLine="0"/>
              <w:contextualSpacing w:val="0"/>
              <w:jc w:val="center"/>
              <w:rPr>
                <w:lang w:val="es-ES" w:eastAsia="en-US"/>
              </w:rPr>
            </w:pPr>
            <w:r w:rsidRPr="009C1BFA">
              <w:rPr>
                <w:lang w:val="en-US" w:eastAsia="en-US"/>
              </w:rPr>
              <w:t>8.4</w:t>
            </w:r>
            <w:r w:rsidRPr="009C1BFA">
              <w:rPr>
                <w:lang w:val="es-ES" w:eastAsia="en-US"/>
              </w:rPr>
              <w:t xml:space="preserve"> տարի</w:t>
            </w:r>
          </w:p>
        </w:tc>
      </w:tr>
      <w:tr w:rsidR="00472C29" w:rsidRPr="00472C29" w:rsidTr="009C1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left w:val="none" w:sz="0" w:space="0" w:color="auto"/>
              <w:bottom w:val="none" w:sz="0" w:space="0" w:color="auto"/>
            </w:tcBorders>
          </w:tcPr>
          <w:p w:rsidR="00472C29" w:rsidRPr="009C1BFA" w:rsidRDefault="00472C29" w:rsidP="007730AA">
            <w:pPr>
              <w:spacing w:before="0" w:line="276" w:lineRule="auto"/>
              <w:ind w:firstLine="0"/>
              <w:contextualSpacing w:val="0"/>
              <w:jc w:val="left"/>
              <w:rPr>
                <w:rFonts w:cs="Times Unicode"/>
                <w:lang w:eastAsia="en-US"/>
              </w:rPr>
            </w:pPr>
            <w:r w:rsidRPr="009C1BFA">
              <w:rPr>
                <w:rFonts w:cs="Times Unicode"/>
                <w:lang w:val="en-US" w:eastAsia="en-US"/>
              </w:rPr>
              <w:t>Առաջիկա</w:t>
            </w:r>
            <w:r w:rsidRPr="009C1BFA">
              <w:rPr>
                <w:rFonts w:cs="Times Unicode"/>
                <w:lang w:eastAsia="en-US"/>
              </w:rPr>
              <w:t xml:space="preserve"> </w:t>
            </w:r>
            <w:r w:rsidRPr="009C1BFA">
              <w:rPr>
                <w:rFonts w:cs="Times Unicode"/>
                <w:lang w:val="en-US" w:eastAsia="en-US"/>
              </w:rPr>
              <w:t>տարվա</w:t>
            </w:r>
            <w:r w:rsidRPr="009C1BFA">
              <w:rPr>
                <w:rFonts w:cs="Times Unicode"/>
                <w:lang w:eastAsia="en-US"/>
              </w:rPr>
              <w:t xml:space="preserve"> </w:t>
            </w:r>
            <w:r w:rsidRPr="009C1BFA">
              <w:rPr>
                <w:rFonts w:cs="Times Unicode"/>
                <w:lang w:val="en-US" w:eastAsia="en-US"/>
              </w:rPr>
              <w:t>ընթացքում</w:t>
            </w:r>
            <w:r w:rsidRPr="009C1BFA">
              <w:rPr>
                <w:rFonts w:cs="Times Unicode"/>
                <w:lang w:eastAsia="en-US"/>
              </w:rPr>
              <w:t xml:space="preserve"> </w:t>
            </w:r>
            <w:r w:rsidRPr="009C1BFA">
              <w:rPr>
                <w:rFonts w:cs="Times Unicode"/>
                <w:lang w:val="en-US" w:eastAsia="en-US"/>
              </w:rPr>
              <w:t>մարվող</w:t>
            </w:r>
            <w:r w:rsidRPr="009C1BFA">
              <w:rPr>
                <w:rFonts w:cs="Times Unicode"/>
                <w:lang w:eastAsia="en-US"/>
              </w:rPr>
              <w:t xml:space="preserve"> </w:t>
            </w:r>
            <w:r w:rsidRPr="009C1BFA">
              <w:rPr>
                <w:rFonts w:cs="Times Unicode"/>
                <w:lang w:val="en-US" w:eastAsia="en-US"/>
              </w:rPr>
              <w:t>պետական</w:t>
            </w:r>
            <w:r w:rsidRPr="009C1BFA">
              <w:rPr>
                <w:rFonts w:cs="Times Unicode"/>
                <w:lang w:eastAsia="en-US"/>
              </w:rPr>
              <w:t xml:space="preserve"> </w:t>
            </w:r>
            <w:r w:rsidRPr="009C1BFA">
              <w:rPr>
                <w:rFonts w:cs="Times Unicode"/>
                <w:lang w:val="en-US" w:eastAsia="en-US"/>
              </w:rPr>
              <w:t>գանձապետական</w:t>
            </w:r>
            <w:r w:rsidRPr="009C1BFA">
              <w:rPr>
                <w:rFonts w:cs="Times Unicode"/>
                <w:lang w:eastAsia="en-US"/>
              </w:rPr>
              <w:t xml:space="preserve"> </w:t>
            </w:r>
            <w:r w:rsidRPr="009C1BFA">
              <w:rPr>
                <w:rFonts w:cs="Times Unicode"/>
                <w:lang w:val="en-US" w:eastAsia="en-US"/>
              </w:rPr>
              <w:t>պարտատոմսերի</w:t>
            </w:r>
            <w:r w:rsidRPr="009C1BFA">
              <w:rPr>
                <w:rFonts w:cs="Times Unicode"/>
                <w:lang w:eastAsia="en-US"/>
              </w:rPr>
              <w:t xml:space="preserve"> (</w:t>
            </w:r>
            <w:r w:rsidRPr="009C1BFA">
              <w:rPr>
                <w:rFonts w:cs="Times Unicode"/>
                <w:lang w:val="en-US" w:eastAsia="en-US"/>
              </w:rPr>
              <w:t>ՊԳՊ</w:t>
            </w:r>
            <w:r w:rsidRPr="009C1BFA">
              <w:rPr>
                <w:rFonts w:cs="Times Unicode"/>
                <w:lang w:eastAsia="en-US"/>
              </w:rPr>
              <w:t xml:space="preserve">) </w:t>
            </w:r>
            <w:r w:rsidRPr="009C1BFA">
              <w:rPr>
                <w:rFonts w:cs="Times Unicode"/>
                <w:lang w:val="en-US" w:eastAsia="en-US"/>
              </w:rPr>
              <w:t>առավելագույն</w:t>
            </w:r>
            <w:r w:rsidRPr="009C1BFA">
              <w:rPr>
                <w:rFonts w:cs="Times Unicode"/>
                <w:lang w:eastAsia="en-US"/>
              </w:rPr>
              <w:t xml:space="preserve"> </w:t>
            </w:r>
            <w:r w:rsidRPr="009C1BFA">
              <w:rPr>
                <w:rFonts w:cs="Times Unicode"/>
                <w:lang w:val="en-US" w:eastAsia="en-US"/>
              </w:rPr>
              <w:t>կշիռը</w:t>
            </w:r>
            <w:r w:rsidRPr="009C1BFA">
              <w:rPr>
                <w:rFonts w:cs="Times Unicode"/>
                <w:lang w:eastAsia="en-US"/>
              </w:rPr>
              <w:t xml:space="preserve"> </w:t>
            </w:r>
            <w:r w:rsidRPr="009C1BFA">
              <w:rPr>
                <w:rFonts w:cs="Times Unicode"/>
                <w:lang w:val="en-US" w:eastAsia="en-US"/>
              </w:rPr>
              <w:t>ՊԳՊ</w:t>
            </w:r>
            <w:r w:rsidRPr="009C1BFA">
              <w:rPr>
                <w:rFonts w:cs="Times Unicode"/>
                <w:lang w:eastAsia="en-US"/>
              </w:rPr>
              <w:t>-</w:t>
            </w:r>
            <w:r w:rsidRPr="009C1BFA">
              <w:rPr>
                <w:rFonts w:cs="Times Unicode"/>
                <w:lang w:val="en-US" w:eastAsia="en-US"/>
              </w:rPr>
              <w:t>երի</w:t>
            </w:r>
            <w:r w:rsidRPr="009C1BFA">
              <w:rPr>
                <w:rFonts w:cs="Times Unicode"/>
                <w:lang w:eastAsia="en-US"/>
              </w:rPr>
              <w:t xml:space="preserve"> </w:t>
            </w:r>
            <w:r w:rsidRPr="009C1BFA">
              <w:rPr>
                <w:rFonts w:cs="Times Unicode"/>
                <w:lang w:val="en-US" w:eastAsia="en-US"/>
              </w:rPr>
              <w:t>ծավալի</w:t>
            </w:r>
            <w:r w:rsidRPr="009C1BFA">
              <w:rPr>
                <w:rFonts w:cs="Times Unicode"/>
                <w:lang w:eastAsia="en-US"/>
              </w:rPr>
              <w:t xml:space="preserve"> </w:t>
            </w:r>
            <w:r w:rsidRPr="009C1BFA">
              <w:rPr>
                <w:rFonts w:cs="Times Unicode"/>
                <w:lang w:val="en-US" w:eastAsia="en-US"/>
              </w:rPr>
              <w:t>մեջ</w:t>
            </w:r>
            <w:r w:rsidRPr="009C1BFA">
              <w:rPr>
                <w:rFonts w:cs="Times Unicode"/>
                <w:lang w:eastAsia="en-US"/>
              </w:rPr>
              <w:t xml:space="preserve"> (</w:t>
            </w:r>
            <w:r w:rsidRPr="009C1BFA">
              <w:rPr>
                <w:rFonts w:cs="Times Unicode"/>
                <w:lang w:val="en-US" w:eastAsia="en-US"/>
              </w:rPr>
              <w:t>տարեվերջին</w:t>
            </w:r>
            <w:r w:rsidRPr="009C1BFA">
              <w:rPr>
                <w:rFonts w:cs="Times Unicode"/>
                <w:lang w:eastAsia="en-US"/>
              </w:rPr>
              <w:t>)</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472C29" w:rsidRPr="009C1BFA" w:rsidRDefault="00472C29" w:rsidP="007730AA">
            <w:pPr>
              <w:spacing w:before="0" w:line="276" w:lineRule="auto"/>
              <w:ind w:firstLine="0"/>
              <w:contextualSpacing w:val="0"/>
              <w:jc w:val="center"/>
              <w:rPr>
                <w:b w:val="0"/>
                <w:lang w:val="en-US" w:eastAsia="en-US"/>
              </w:rPr>
            </w:pPr>
            <w:r w:rsidRPr="009C1BFA">
              <w:rPr>
                <w:b w:val="0"/>
                <w:lang w:val="en-US" w:eastAsia="en-US"/>
              </w:rPr>
              <w:t>առավելագույնը</w:t>
            </w:r>
          </w:p>
          <w:p w:rsidR="00472C29" w:rsidRPr="009C1BFA" w:rsidRDefault="00472C29" w:rsidP="007730AA">
            <w:pPr>
              <w:spacing w:before="0" w:line="276" w:lineRule="auto"/>
              <w:ind w:firstLine="0"/>
              <w:contextualSpacing w:val="0"/>
              <w:jc w:val="center"/>
              <w:rPr>
                <w:b w:val="0"/>
                <w:lang w:val="en-US" w:eastAsia="en-US"/>
              </w:rPr>
            </w:pPr>
            <w:r w:rsidRPr="009C1BFA">
              <w:rPr>
                <w:b w:val="0"/>
                <w:lang w:val="en-US" w:eastAsia="en-US"/>
              </w:rPr>
              <w:t>20%</w:t>
            </w:r>
          </w:p>
        </w:tc>
        <w:tc>
          <w:tcPr>
            <w:cnfStyle w:val="000100000000" w:firstRow="0" w:lastRow="0" w:firstColumn="0" w:lastColumn="1" w:oddVBand="0" w:evenVBand="0" w:oddHBand="0" w:evenHBand="0" w:firstRowFirstColumn="0" w:firstRowLastColumn="0" w:lastRowFirstColumn="0" w:lastRowLastColumn="0"/>
            <w:tcW w:w="1620" w:type="dxa"/>
            <w:tcBorders>
              <w:top w:val="none" w:sz="0" w:space="0" w:color="auto"/>
              <w:bottom w:val="none" w:sz="0" w:space="0" w:color="auto"/>
              <w:right w:val="none" w:sz="0" w:space="0" w:color="auto"/>
            </w:tcBorders>
            <w:vAlign w:val="center"/>
          </w:tcPr>
          <w:p w:rsidR="00472C29" w:rsidRPr="009C1BFA" w:rsidRDefault="00472C29" w:rsidP="007730AA">
            <w:pPr>
              <w:spacing w:before="0" w:line="276" w:lineRule="auto"/>
              <w:ind w:firstLine="0"/>
              <w:contextualSpacing w:val="0"/>
              <w:jc w:val="center"/>
              <w:rPr>
                <w:lang w:val="en-US" w:eastAsia="en-US"/>
              </w:rPr>
            </w:pPr>
            <w:r w:rsidRPr="009C1BFA">
              <w:rPr>
                <w:lang w:val="en-US" w:eastAsia="en-US"/>
              </w:rPr>
              <w:t>10.</w:t>
            </w:r>
            <w:r w:rsidRPr="009C1BFA">
              <w:rPr>
                <w:lang w:eastAsia="en-US"/>
              </w:rPr>
              <w:t>3</w:t>
            </w:r>
            <w:r w:rsidRPr="009C1BFA">
              <w:rPr>
                <w:lang w:val="en-US" w:eastAsia="en-US"/>
              </w:rPr>
              <w:t>%</w:t>
            </w:r>
          </w:p>
        </w:tc>
      </w:tr>
      <w:tr w:rsidR="00472C29" w:rsidRPr="00472C29" w:rsidTr="009C1BFA">
        <w:tc>
          <w:tcPr>
            <w:cnfStyle w:val="001000000000" w:firstRow="0" w:lastRow="0" w:firstColumn="1" w:lastColumn="0" w:oddVBand="0" w:evenVBand="0" w:oddHBand="0" w:evenHBand="0" w:firstRowFirstColumn="0" w:firstRowLastColumn="0" w:lastRowFirstColumn="0" w:lastRowLastColumn="0"/>
            <w:tcW w:w="6565" w:type="dxa"/>
          </w:tcPr>
          <w:p w:rsidR="00472C29" w:rsidRPr="009C1BFA" w:rsidRDefault="00472C29" w:rsidP="007730AA">
            <w:pPr>
              <w:spacing w:before="0" w:line="276" w:lineRule="auto"/>
              <w:ind w:firstLine="0"/>
              <w:contextualSpacing w:val="0"/>
              <w:jc w:val="left"/>
              <w:rPr>
                <w:rFonts w:cs="Times Unicode"/>
                <w:lang w:val="es-ES" w:eastAsia="en-US"/>
              </w:rPr>
            </w:pPr>
            <w:r w:rsidRPr="009C1BFA">
              <w:rPr>
                <w:rFonts w:cs="Times Unicode"/>
                <w:lang w:val="es-ES" w:eastAsia="en-US"/>
              </w:rPr>
              <w:t>Տոկոսադրույքի ռիսկ</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472C29" w:rsidRPr="009C1BFA" w:rsidRDefault="00472C29" w:rsidP="007730AA">
            <w:pPr>
              <w:spacing w:before="0" w:line="276" w:lineRule="auto"/>
              <w:ind w:firstLine="0"/>
              <w:contextualSpacing w:val="0"/>
              <w:jc w:val="center"/>
              <w:rPr>
                <w:b w:val="0"/>
                <w:lang w:val="en-US" w:eastAsia="en-US"/>
              </w:rPr>
            </w:pPr>
          </w:p>
        </w:tc>
        <w:tc>
          <w:tcPr>
            <w:cnfStyle w:val="000100000000" w:firstRow="0" w:lastRow="0" w:firstColumn="0" w:lastColumn="1" w:oddVBand="0" w:evenVBand="0" w:oddHBand="0" w:evenHBand="0" w:firstRowFirstColumn="0" w:firstRowLastColumn="0" w:lastRowFirstColumn="0" w:lastRowLastColumn="0"/>
            <w:tcW w:w="1620" w:type="dxa"/>
            <w:vAlign w:val="center"/>
          </w:tcPr>
          <w:p w:rsidR="00472C29" w:rsidRPr="009C1BFA" w:rsidRDefault="00472C29" w:rsidP="007730AA">
            <w:pPr>
              <w:spacing w:before="0" w:line="276" w:lineRule="auto"/>
              <w:ind w:firstLine="0"/>
              <w:contextualSpacing w:val="0"/>
              <w:jc w:val="center"/>
              <w:rPr>
                <w:lang w:val="en-US" w:eastAsia="en-US"/>
              </w:rPr>
            </w:pPr>
          </w:p>
        </w:tc>
      </w:tr>
      <w:tr w:rsidR="00472C29" w:rsidRPr="00472C29" w:rsidTr="009C1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left w:val="none" w:sz="0" w:space="0" w:color="auto"/>
              <w:bottom w:val="none" w:sz="0" w:space="0" w:color="auto"/>
            </w:tcBorders>
          </w:tcPr>
          <w:p w:rsidR="00472C29" w:rsidRPr="009C1BFA" w:rsidRDefault="00472C29" w:rsidP="007730AA">
            <w:pPr>
              <w:spacing w:before="0" w:line="276" w:lineRule="auto"/>
              <w:ind w:firstLine="0"/>
              <w:contextualSpacing w:val="0"/>
              <w:jc w:val="left"/>
              <w:rPr>
                <w:rFonts w:cs="Times Unicode"/>
                <w:lang w:val="es-ES" w:eastAsia="en-US"/>
              </w:rPr>
            </w:pPr>
            <w:r w:rsidRPr="009C1BFA">
              <w:rPr>
                <w:rFonts w:cs="Times Unicode"/>
                <w:lang w:val="es-ES" w:eastAsia="en-US"/>
              </w:rPr>
              <w:t>Ֆիքսված տոկոսադրույքով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472C29" w:rsidRPr="009C1BFA" w:rsidRDefault="00472C29" w:rsidP="007730AA">
            <w:pPr>
              <w:spacing w:before="0" w:line="276" w:lineRule="auto"/>
              <w:ind w:firstLine="0"/>
              <w:contextualSpacing w:val="0"/>
              <w:jc w:val="center"/>
              <w:rPr>
                <w:b w:val="0"/>
                <w:lang w:val="en-US" w:eastAsia="en-US"/>
              </w:rPr>
            </w:pPr>
            <w:r w:rsidRPr="009C1BFA">
              <w:rPr>
                <w:b w:val="0"/>
                <w:lang w:val="en-US" w:eastAsia="en-US"/>
              </w:rPr>
              <w:t>առնվազն 80%</w:t>
            </w:r>
          </w:p>
        </w:tc>
        <w:tc>
          <w:tcPr>
            <w:cnfStyle w:val="000100000000" w:firstRow="0" w:lastRow="0" w:firstColumn="0" w:lastColumn="1" w:oddVBand="0" w:evenVBand="0" w:oddHBand="0" w:evenHBand="0" w:firstRowFirstColumn="0" w:firstRowLastColumn="0" w:lastRowFirstColumn="0" w:lastRowLastColumn="0"/>
            <w:tcW w:w="1620" w:type="dxa"/>
            <w:tcBorders>
              <w:top w:val="none" w:sz="0" w:space="0" w:color="auto"/>
              <w:bottom w:val="none" w:sz="0" w:space="0" w:color="auto"/>
              <w:right w:val="none" w:sz="0" w:space="0" w:color="auto"/>
            </w:tcBorders>
            <w:vAlign w:val="center"/>
          </w:tcPr>
          <w:p w:rsidR="00472C29" w:rsidRPr="009C1BFA" w:rsidRDefault="00472C29" w:rsidP="007730AA">
            <w:pPr>
              <w:spacing w:before="0" w:line="276" w:lineRule="auto"/>
              <w:ind w:firstLine="0"/>
              <w:contextualSpacing w:val="0"/>
              <w:jc w:val="center"/>
              <w:rPr>
                <w:lang w:val="en-US" w:eastAsia="en-US"/>
              </w:rPr>
            </w:pPr>
            <w:r w:rsidRPr="009C1BFA">
              <w:rPr>
                <w:lang w:eastAsia="en-US"/>
              </w:rPr>
              <w:t>80.7</w:t>
            </w:r>
            <w:r w:rsidRPr="009C1BFA">
              <w:rPr>
                <w:lang w:val="en-US" w:eastAsia="en-US"/>
              </w:rPr>
              <w:t>%</w:t>
            </w:r>
          </w:p>
        </w:tc>
      </w:tr>
      <w:tr w:rsidR="00472C29" w:rsidRPr="00472C29" w:rsidTr="009C1BFA">
        <w:tc>
          <w:tcPr>
            <w:cnfStyle w:val="001000000000" w:firstRow="0" w:lastRow="0" w:firstColumn="1" w:lastColumn="0" w:oddVBand="0" w:evenVBand="0" w:oddHBand="0" w:evenHBand="0" w:firstRowFirstColumn="0" w:firstRowLastColumn="0" w:lastRowFirstColumn="0" w:lastRowLastColumn="0"/>
            <w:tcW w:w="6565" w:type="dxa"/>
          </w:tcPr>
          <w:p w:rsidR="00472C29" w:rsidRPr="009C1BFA" w:rsidRDefault="00472C29" w:rsidP="007730AA">
            <w:pPr>
              <w:spacing w:before="0" w:line="276" w:lineRule="auto"/>
              <w:ind w:firstLine="0"/>
              <w:contextualSpacing w:val="0"/>
              <w:jc w:val="left"/>
              <w:rPr>
                <w:rFonts w:cs="Times Unicode"/>
                <w:lang w:val="es-ES" w:eastAsia="en-US"/>
              </w:rPr>
            </w:pPr>
            <w:r w:rsidRPr="009C1BFA">
              <w:rPr>
                <w:rFonts w:cs="Times Unicode"/>
                <w:lang w:val="es-ES" w:eastAsia="en-US"/>
              </w:rPr>
              <w:t>Փոխարժեքի ռիսկ</w:t>
            </w:r>
          </w:p>
        </w:tc>
        <w:tc>
          <w:tcPr>
            <w:cnfStyle w:val="000010000000" w:firstRow="0" w:lastRow="0" w:firstColumn="0" w:lastColumn="0" w:oddVBand="1" w:evenVBand="0" w:oddHBand="0" w:evenHBand="0" w:firstRowFirstColumn="0" w:firstRowLastColumn="0" w:lastRowFirstColumn="0" w:lastRowLastColumn="0"/>
            <w:tcW w:w="1890" w:type="dxa"/>
            <w:tcBorders>
              <w:left w:val="none" w:sz="0" w:space="0" w:color="auto"/>
              <w:right w:val="none" w:sz="0" w:space="0" w:color="auto"/>
            </w:tcBorders>
            <w:vAlign w:val="center"/>
          </w:tcPr>
          <w:p w:rsidR="00472C29" w:rsidRPr="009C1BFA" w:rsidRDefault="00472C29" w:rsidP="007730AA">
            <w:pPr>
              <w:spacing w:before="0" w:line="276" w:lineRule="auto"/>
              <w:ind w:firstLine="0"/>
              <w:contextualSpacing w:val="0"/>
              <w:jc w:val="center"/>
              <w:rPr>
                <w:b w:val="0"/>
                <w:lang w:val="en-US" w:eastAsia="en-US"/>
              </w:rPr>
            </w:pPr>
          </w:p>
        </w:tc>
        <w:tc>
          <w:tcPr>
            <w:cnfStyle w:val="000100000000" w:firstRow="0" w:lastRow="0" w:firstColumn="0" w:lastColumn="1" w:oddVBand="0" w:evenVBand="0" w:oddHBand="0" w:evenHBand="0" w:firstRowFirstColumn="0" w:firstRowLastColumn="0" w:lastRowFirstColumn="0" w:lastRowLastColumn="0"/>
            <w:tcW w:w="1620" w:type="dxa"/>
            <w:vAlign w:val="center"/>
          </w:tcPr>
          <w:p w:rsidR="00472C29" w:rsidRPr="009C1BFA" w:rsidRDefault="00472C29" w:rsidP="007730AA">
            <w:pPr>
              <w:spacing w:before="0" w:line="276" w:lineRule="auto"/>
              <w:ind w:firstLine="0"/>
              <w:contextualSpacing w:val="0"/>
              <w:jc w:val="center"/>
              <w:rPr>
                <w:lang w:val="en-US" w:eastAsia="en-US"/>
              </w:rPr>
            </w:pPr>
          </w:p>
        </w:tc>
      </w:tr>
      <w:tr w:rsidR="00472C29" w:rsidRPr="00472C29" w:rsidTr="009C1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left w:val="none" w:sz="0" w:space="0" w:color="auto"/>
              <w:bottom w:val="none" w:sz="0" w:space="0" w:color="auto"/>
            </w:tcBorders>
          </w:tcPr>
          <w:p w:rsidR="00472C29" w:rsidRPr="009C1BFA" w:rsidRDefault="00472C29" w:rsidP="007730AA">
            <w:pPr>
              <w:spacing w:before="0" w:line="276" w:lineRule="auto"/>
              <w:ind w:firstLine="0"/>
              <w:contextualSpacing w:val="0"/>
              <w:jc w:val="left"/>
              <w:rPr>
                <w:rFonts w:cs="Times Unicode"/>
                <w:lang w:val="es-ES" w:eastAsia="en-US"/>
              </w:rPr>
            </w:pPr>
            <w:r w:rsidRPr="009C1BFA">
              <w:rPr>
                <w:rFonts w:cs="Times Unicode"/>
                <w:lang w:val="es-ES" w:eastAsia="en-US"/>
              </w:rPr>
              <w:t>Ներքին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472C29" w:rsidRPr="009C1BFA" w:rsidRDefault="00472C29" w:rsidP="007730AA">
            <w:pPr>
              <w:spacing w:before="0" w:line="276" w:lineRule="auto"/>
              <w:ind w:firstLine="0"/>
              <w:contextualSpacing w:val="0"/>
              <w:jc w:val="center"/>
              <w:rPr>
                <w:b w:val="0"/>
                <w:lang w:val="en-US" w:eastAsia="en-US"/>
              </w:rPr>
            </w:pPr>
            <w:r w:rsidRPr="009C1BFA">
              <w:rPr>
                <w:b w:val="0"/>
                <w:lang w:val="en-US" w:eastAsia="en-US"/>
              </w:rPr>
              <w:t>առնվազն 25%</w:t>
            </w:r>
          </w:p>
        </w:tc>
        <w:tc>
          <w:tcPr>
            <w:cnfStyle w:val="000100000000" w:firstRow="0" w:lastRow="0" w:firstColumn="0" w:lastColumn="1" w:oddVBand="0" w:evenVBand="0" w:oddHBand="0" w:evenHBand="0" w:firstRowFirstColumn="0" w:firstRowLastColumn="0" w:lastRowFirstColumn="0" w:lastRowLastColumn="0"/>
            <w:tcW w:w="1620" w:type="dxa"/>
            <w:tcBorders>
              <w:top w:val="none" w:sz="0" w:space="0" w:color="auto"/>
              <w:bottom w:val="none" w:sz="0" w:space="0" w:color="auto"/>
              <w:right w:val="none" w:sz="0" w:space="0" w:color="auto"/>
            </w:tcBorders>
            <w:vAlign w:val="center"/>
          </w:tcPr>
          <w:p w:rsidR="00472C29" w:rsidRPr="009C1BFA" w:rsidRDefault="00472C29" w:rsidP="007730AA">
            <w:pPr>
              <w:spacing w:before="0" w:line="276" w:lineRule="auto"/>
              <w:ind w:firstLine="0"/>
              <w:contextualSpacing w:val="0"/>
              <w:jc w:val="center"/>
              <w:rPr>
                <w:lang w:val="en-US" w:eastAsia="en-US"/>
              </w:rPr>
            </w:pPr>
            <w:r w:rsidRPr="009C1BFA">
              <w:rPr>
                <w:lang w:val="en-US" w:eastAsia="en-US"/>
              </w:rPr>
              <w:t>29.</w:t>
            </w:r>
            <w:r w:rsidRPr="009C1BFA">
              <w:rPr>
                <w:lang w:eastAsia="en-US"/>
              </w:rPr>
              <w:t>5</w:t>
            </w:r>
            <w:r w:rsidRPr="009C1BFA">
              <w:rPr>
                <w:lang w:val="en-US" w:eastAsia="en-US"/>
              </w:rPr>
              <w:t>%</w:t>
            </w:r>
          </w:p>
        </w:tc>
      </w:tr>
      <w:tr w:rsidR="00472C29" w:rsidRPr="00472C29" w:rsidTr="009C1BF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Borders>
              <w:top w:val="none" w:sz="0" w:space="0" w:color="auto"/>
              <w:left w:val="none" w:sz="0" w:space="0" w:color="auto"/>
              <w:bottom w:val="none" w:sz="0" w:space="0" w:color="auto"/>
            </w:tcBorders>
          </w:tcPr>
          <w:p w:rsidR="00472C29" w:rsidRPr="009C1BFA" w:rsidRDefault="00472C29" w:rsidP="007730AA">
            <w:pPr>
              <w:spacing w:before="0" w:line="276" w:lineRule="auto"/>
              <w:ind w:firstLine="0"/>
              <w:contextualSpacing w:val="0"/>
              <w:jc w:val="left"/>
              <w:rPr>
                <w:rFonts w:cs="Times Unicode"/>
                <w:lang w:val="es-ES" w:eastAsia="en-US"/>
              </w:rPr>
            </w:pPr>
            <w:r w:rsidRPr="009C1BFA">
              <w:rPr>
                <w:rFonts w:cs="Times Unicode"/>
                <w:lang w:val="es-ES" w:eastAsia="en-US"/>
              </w:rPr>
              <w:t>ՀՀ դրամով ներգրավված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90" w:type="dxa"/>
            <w:tcBorders>
              <w:top w:val="none" w:sz="0" w:space="0" w:color="auto"/>
              <w:left w:val="none" w:sz="0" w:space="0" w:color="auto"/>
              <w:bottom w:val="none" w:sz="0" w:space="0" w:color="auto"/>
              <w:right w:val="none" w:sz="0" w:space="0" w:color="auto"/>
            </w:tcBorders>
            <w:vAlign w:val="center"/>
          </w:tcPr>
          <w:p w:rsidR="00472C29" w:rsidRPr="009C1BFA" w:rsidRDefault="00472C29" w:rsidP="007730AA">
            <w:pPr>
              <w:spacing w:before="0" w:line="276" w:lineRule="auto"/>
              <w:ind w:firstLine="0"/>
              <w:contextualSpacing w:val="0"/>
              <w:jc w:val="center"/>
              <w:rPr>
                <w:lang w:val="en-US" w:eastAsia="en-US"/>
              </w:rPr>
            </w:pPr>
            <w:r w:rsidRPr="009C1BFA">
              <w:rPr>
                <w:lang w:val="en-US" w:eastAsia="en-US"/>
              </w:rPr>
              <w:t>առնվազն 25%</w:t>
            </w:r>
          </w:p>
        </w:tc>
        <w:tc>
          <w:tcPr>
            <w:cnfStyle w:val="000100000000" w:firstRow="0" w:lastRow="0" w:firstColumn="0" w:lastColumn="1" w:oddVBand="0" w:evenVBand="0" w:oddHBand="0" w:evenHBand="0" w:firstRowFirstColumn="0" w:firstRowLastColumn="0" w:lastRowFirstColumn="0" w:lastRowLastColumn="0"/>
            <w:tcW w:w="1620" w:type="dxa"/>
            <w:tcBorders>
              <w:top w:val="none" w:sz="0" w:space="0" w:color="auto"/>
              <w:bottom w:val="none" w:sz="0" w:space="0" w:color="auto"/>
              <w:right w:val="none" w:sz="0" w:space="0" w:color="auto"/>
            </w:tcBorders>
            <w:vAlign w:val="center"/>
          </w:tcPr>
          <w:p w:rsidR="00472C29" w:rsidRPr="009C1BFA" w:rsidRDefault="00472C29" w:rsidP="007730AA">
            <w:pPr>
              <w:spacing w:before="0" w:line="276" w:lineRule="auto"/>
              <w:ind w:firstLine="0"/>
              <w:contextualSpacing w:val="0"/>
              <w:jc w:val="center"/>
              <w:rPr>
                <w:lang w:val="en-US" w:eastAsia="en-US"/>
              </w:rPr>
            </w:pPr>
            <w:r w:rsidRPr="009C1BFA">
              <w:rPr>
                <w:lang w:val="en-US" w:eastAsia="en-US"/>
              </w:rPr>
              <w:t>2</w:t>
            </w:r>
            <w:r w:rsidRPr="009C1BFA">
              <w:rPr>
                <w:lang w:eastAsia="en-US"/>
              </w:rPr>
              <w:t>7.9</w:t>
            </w:r>
            <w:r w:rsidRPr="009C1BFA">
              <w:rPr>
                <w:lang w:val="en-US" w:eastAsia="en-US"/>
              </w:rPr>
              <w:t>%</w:t>
            </w:r>
          </w:p>
        </w:tc>
      </w:tr>
    </w:tbl>
    <w:p w:rsidR="00472C29" w:rsidRPr="00472C29" w:rsidRDefault="00472C29" w:rsidP="007730AA">
      <w:pPr>
        <w:spacing w:before="0" w:line="276" w:lineRule="auto"/>
        <w:ind w:firstLine="720"/>
        <w:contextualSpacing w:val="0"/>
        <w:rPr>
          <w:rFonts w:eastAsiaTheme="minorHAnsi" w:cstheme="minorBidi"/>
          <w:b w:val="0"/>
          <w:bCs/>
          <w:sz w:val="10"/>
          <w:szCs w:val="10"/>
          <w:lang w:val="en-US" w:eastAsia="en-US"/>
        </w:rPr>
      </w:pPr>
    </w:p>
    <w:p w:rsidR="00472C29" w:rsidRPr="00975ABC" w:rsidRDefault="00472C29" w:rsidP="007730AA">
      <w:pPr>
        <w:spacing w:before="0" w:line="276" w:lineRule="auto"/>
        <w:ind w:firstLine="720"/>
        <w:contextualSpacing w:val="0"/>
        <w:rPr>
          <w:rFonts w:eastAsiaTheme="minorHAnsi" w:cstheme="minorBidi"/>
          <w:b w:val="0"/>
          <w:noProof/>
          <w:szCs w:val="22"/>
          <w:lang w:val="en-US" w:eastAsia="en-US"/>
        </w:rPr>
      </w:pPr>
      <w:r w:rsidRPr="00975ABC">
        <w:rPr>
          <w:rFonts w:eastAsiaTheme="minorHAnsi" w:cstheme="minorBidi"/>
          <w:b w:val="0"/>
          <w:noProof/>
          <w:szCs w:val="22"/>
          <w:lang w:val="en-US" w:eastAsia="en-US"/>
        </w:rPr>
        <w:t>2021 թվականի տարեվերջի դրությամբ կառավարության արտաքին վարկերի գծով պարտքի 37.7%-ը բաժին կընկնի Համաշխարհային Բանկին (Զարգացման Միջազգային Ընկերակցություն ու Վերակառուցման և Զարգացման Միջազգային Բանկ): Կառավարության արտաքին վարկերի գծով պարտքի կառուցվածքն ըստ վարկատուների կլինի հետևյալը.</w:t>
      </w:r>
    </w:p>
    <w:p w:rsidR="00472C29" w:rsidRPr="00472C29" w:rsidRDefault="00DD7F34" w:rsidP="007730AA">
      <w:pPr>
        <w:spacing w:before="0" w:line="276" w:lineRule="auto"/>
        <w:ind w:firstLine="0"/>
        <w:contextualSpacing w:val="0"/>
        <w:jc w:val="center"/>
        <w:rPr>
          <w:rFonts w:eastAsiaTheme="minorHAnsi" w:cstheme="minorBidi"/>
          <w:b w:val="0"/>
          <w:noProof/>
          <w:szCs w:val="22"/>
          <w:lang w:val="en-US" w:eastAsia="en-US"/>
        </w:rPr>
      </w:pPr>
      <w:r>
        <w:rPr>
          <w:noProof/>
          <w:lang w:val="en-US" w:eastAsia="en-US"/>
        </w:rPr>
        <w:drawing>
          <wp:inline distT="0" distB="0" distL="0" distR="0">
            <wp:extent cx="6195060" cy="2667773"/>
            <wp:effectExtent l="133350" t="95250" r="129540" b="94615"/>
            <wp:docPr id="6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D4F7C" w:rsidRDefault="00CD4F7C" w:rsidP="007730AA">
      <w:pPr>
        <w:spacing w:before="0" w:line="276" w:lineRule="auto"/>
        <w:ind w:firstLine="720"/>
        <w:contextualSpacing w:val="0"/>
        <w:rPr>
          <w:rFonts w:eastAsiaTheme="minorHAnsi" w:cstheme="minorBidi"/>
          <w:b w:val="0"/>
          <w:noProof/>
          <w:szCs w:val="22"/>
          <w:lang w:val="en-US" w:eastAsia="en-US"/>
        </w:rPr>
      </w:pPr>
    </w:p>
    <w:p w:rsidR="00472C29" w:rsidRPr="00975ABC" w:rsidRDefault="00472C29" w:rsidP="007730AA">
      <w:pPr>
        <w:spacing w:before="0" w:line="276" w:lineRule="auto"/>
        <w:ind w:firstLine="720"/>
        <w:contextualSpacing w:val="0"/>
        <w:rPr>
          <w:rFonts w:eastAsiaTheme="minorHAnsi" w:cstheme="minorBidi"/>
          <w:b w:val="0"/>
          <w:noProof/>
          <w:szCs w:val="22"/>
          <w:lang w:val="en-US" w:eastAsia="en-US"/>
        </w:rPr>
      </w:pPr>
      <w:r w:rsidRPr="00975ABC">
        <w:rPr>
          <w:rFonts w:eastAsiaTheme="minorHAnsi" w:cstheme="minorBidi"/>
          <w:b w:val="0"/>
          <w:noProof/>
          <w:szCs w:val="22"/>
          <w:lang w:val="en-US" w:eastAsia="en-US"/>
        </w:rPr>
        <w:t xml:space="preserve">2021 թվականի տարեվերջի դրությամբ ձևավորվող կառավարության պարտքի մարման ժամանակացույցը սփռված կլինի մինչև 2054 թվականը և կունենա հետևյալ տեսքը. </w:t>
      </w:r>
    </w:p>
    <w:p w:rsidR="00472C29" w:rsidRPr="00472C29" w:rsidRDefault="00DD7F34" w:rsidP="007730AA">
      <w:pPr>
        <w:spacing w:before="0" w:line="276" w:lineRule="auto"/>
        <w:ind w:firstLine="0"/>
        <w:contextualSpacing w:val="0"/>
        <w:jc w:val="center"/>
        <w:rPr>
          <w:rFonts w:eastAsiaTheme="minorHAnsi" w:cstheme="minorBidi"/>
          <w:b w:val="0"/>
          <w:noProof/>
          <w:szCs w:val="22"/>
          <w:lang w:val="en-US" w:eastAsia="en-US"/>
        </w:rPr>
      </w:pPr>
      <w:r>
        <w:rPr>
          <w:noProof/>
          <w:lang w:val="en-US" w:eastAsia="en-US"/>
        </w:rPr>
        <w:drawing>
          <wp:inline distT="0" distB="0" distL="0" distR="0">
            <wp:extent cx="6195060" cy="2225647"/>
            <wp:effectExtent l="133350" t="95250" r="129540" b="99060"/>
            <wp:docPr id="6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D4F7C" w:rsidRDefault="00CD4F7C" w:rsidP="007730AA">
      <w:pPr>
        <w:spacing w:before="0" w:line="276" w:lineRule="auto"/>
        <w:ind w:firstLine="720"/>
        <w:contextualSpacing w:val="0"/>
        <w:rPr>
          <w:rFonts w:eastAsiaTheme="minorHAnsi" w:cstheme="minorBidi"/>
          <w:b w:val="0"/>
          <w:bCs/>
          <w:szCs w:val="22"/>
          <w:lang w:val="en-US" w:eastAsia="en-US"/>
        </w:rPr>
      </w:pPr>
    </w:p>
    <w:p w:rsidR="009C1BFA" w:rsidRDefault="00472C29" w:rsidP="007730AA">
      <w:pPr>
        <w:spacing w:before="0" w:line="276" w:lineRule="auto"/>
        <w:ind w:firstLine="720"/>
        <w:contextualSpacing w:val="0"/>
        <w:rPr>
          <w:rFonts w:eastAsiaTheme="minorHAnsi" w:cstheme="minorBidi"/>
          <w:b w:val="0"/>
          <w:bCs/>
          <w:szCs w:val="22"/>
          <w:lang w:val="en-US" w:eastAsia="en-US"/>
        </w:rPr>
      </w:pPr>
      <w:r w:rsidRPr="00975ABC">
        <w:rPr>
          <w:rFonts w:eastAsiaTheme="minorHAnsi" w:cstheme="minorBidi"/>
          <w:b w:val="0"/>
          <w:bCs/>
          <w:szCs w:val="22"/>
          <w:lang w:val="en-US" w:eastAsia="en-US"/>
        </w:rPr>
        <w:t>2021 թվականին կառավարության պարտքի միջին կշռված տոկոսադրույքը կկազմի 4.7%: Կառավարության պարտքի սպասարկման ծախսերը (տոկոսավճարներ) կկազմեն ՀՆԱ-ի 3.</w:t>
      </w:r>
      <w:r w:rsidR="00BA62FE">
        <w:rPr>
          <w:rFonts w:eastAsiaTheme="minorHAnsi" w:cstheme="minorBidi"/>
          <w:b w:val="0"/>
          <w:bCs/>
          <w:szCs w:val="22"/>
          <w:lang w:val="hy-AM" w:eastAsia="en-US"/>
        </w:rPr>
        <w:t>0</w:t>
      </w:r>
      <w:r w:rsidRPr="00975ABC">
        <w:rPr>
          <w:rFonts w:eastAsiaTheme="minorHAnsi" w:cstheme="minorBidi"/>
          <w:b w:val="0"/>
          <w:bCs/>
          <w:szCs w:val="22"/>
          <w:lang w:val="en-US" w:eastAsia="en-US"/>
        </w:rPr>
        <w:t>%-ը:</w:t>
      </w:r>
    </w:p>
    <w:p w:rsidR="00472C29" w:rsidRPr="00975ABC" w:rsidRDefault="00472C29" w:rsidP="007730AA">
      <w:pPr>
        <w:spacing w:before="0" w:line="276" w:lineRule="auto"/>
        <w:ind w:firstLine="720"/>
        <w:contextualSpacing w:val="0"/>
        <w:rPr>
          <w:rFonts w:eastAsiaTheme="minorHAnsi" w:cstheme="minorBidi"/>
          <w:b w:val="0"/>
          <w:bCs/>
          <w:szCs w:val="22"/>
          <w:lang w:val="en-US" w:eastAsia="en-US"/>
        </w:rPr>
      </w:pPr>
      <w:r w:rsidRPr="00975ABC">
        <w:rPr>
          <w:rFonts w:eastAsiaTheme="minorHAnsi" w:cstheme="minorBidi"/>
          <w:b w:val="0"/>
          <w:bCs/>
          <w:szCs w:val="22"/>
          <w:lang w:val="en-US" w:eastAsia="en-US"/>
        </w:rPr>
        <w:t xml:space="preserve">  </w:t>
      </w:r>
    </w:p>
    <w:tbl>
      <w:tblPr>
        <w:tblStyle w:val="LightShading-Accent59"/>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5"/>
        <w:gridCol w:w="1260"/>
        <w:gridCol w:w="1170"/>
        <w:gridCol w:w="1170"/>
      </w:tblGrid>
      <w:tr w:rsidR="00472C29" w:rsidRPr="00472C29" w:rsidTr="00BB4651">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385" w:type="dxa"/>
            <w:tcBorders>
              <w:top w:val="none" w:sz="0" w:space="0" w:color="auto"/>
              <w:left w:val="none" w:sz="0" w:space="0" w:color="auto"/>
              <w:bottom w:val="none" w:sz="0" w:space="0" w:color="auto"/>
              <w:right w:val="none" w:sz="0" w:space="0" w:color="auto"/>
            </w:tcBorders>
          </w:tcPr>
          <w:p w:rsidR="00472C29" w:rsidRPr="009C1BFA" w:rsidRDefault="00472C29" w:rsidP="007730AA">
            <w:pPr>
              <w:spacing w:before="0" w:line="276" w:lineRule="auto"/>
              <w:ind w:firstLine="0"/>
              <w:contextualSpacing w:val="0"/>
              <w:jc w:val="center"/>
              <w:rPr>
                <w:color w:val="auto"/>
                <w:lang w:val="en-US" w:eastAsia="en-US"/>
              </w:rPr>
            </w:pPr>
            <w:r w:rsidRPr="009C1BFA">
              <w:rPr>
                <w:rFonts w:ascii="Calibri" w:hAnsi="Calibri" w:cs="Calibri"/>
                <w:color w:val="auto"/>
                <w:lang w:val="en-US" w:eastAsia="en-US"/>
              </w:rPr>
              <w:t> </w:t>
            </w:r>
          </w:p>
        </w:tc>
        <w:tc>
          <w:tcPr>
            <w:tcW w:w="1260" w:type="dxa"/>
            <w:tcBorders>
              <w:top w:val="none" w:sz="0" w:space="0" w:color="auto"/>
              <w:left w:val="none" w:sz="0" w:space="0" w:color="auto"/>
              <w:bottom w:val="none" w:sz="0" w:space="0" w:color="auto"/>
              <w:right w:val="none" w:sz="0" w:space="0" w:color="auto"/>
            </w:tcBorders>
          </w:tcPr>
          <w:p w:rsidR="00472C29" w:rsidRPr="009C1BFA" w:rsidRDefault="00472C29"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color w:val="auto"/>
                <w:lang w:val="en-US" w:eastAsia="en-US"/>
              </w:rPr>
            </w:pPr>
            <w:r w:rsidRPr="009C1BFA">
              <w:rPr>
                <w:i/>
                <w:color w:val="auto"/>
                <w:lang w:val="en-US" w:eastAsia="en-US"/>
              </w:rPr>
              <w:t>2019թ.</w:t>
            </w:r>
          </w:p>
        </w:tc>
        <w:tc>
          <w:tcPr>
            <w:tcW w:w="1170" w:type="dxa"/>
            <w:tcBorders>
              <w:top w:val="none" w:sz="0" w:space="0" w:color="auto"/>
              <w:left w:val="none" w:sz="0" w:space="0" w:color="auto"/>
              <w:bottom w:val="none" w:sz="0" w:space="0" w:color="auto"/>
              <w:right w:val="none" w:sz="0" w:space="0" w:color="auto"/>
            </w:tcBorders>
          </w:tcPr>
          <w:p w:rsidR="00472C29" w:rsidRPr="009C1BFA" w:rsidRDefault="00472C29"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color w:val="auto"/>
                <w:lang w:val="en-US" w:eastAsia="en-US"/>
              </w:rPr>
            </w:pPr>
            <w:r w:rsidRPr="009C1BFA">
              <w:rPr>
                <w:i/>
                <w:color w:val="auto"/>
                <w:lang w:val="en-US" w:eastAsia="en-US"/>
              </w:rPr>
              <w:t>2020թ.</w:t>
            </w:r>
          </w:p>
        </w:tc>
        <w:tc>
          <w:tcPr>
            <w:tcW w:w="1170" w:type="dxa"/>
            <w:tcBorders>
              <w:top w:val="none" w:sz="0" w:space="0" w:color="auto"/>
              <w:left w:val="none" w:sz="0" w:space="0" w:color="auto"/>
              <w:bottom w:val="none" w:sz="0" w:space="0" w:color="auto"/>
              <w:right w:val="none" w:sz="0" w:space="0" w:color="auto"/>
            </w:tcBorders>
          </w:tcPr>
          <w:p w:rsidR="00472C29" w:rsidRPr="009C1BFA" w:rsidRDefault="00472C29"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color w:val="auto"/>
                <w:lang w:val="en-US" w:eastAsia="en-US"/>
              </w:rPr>
            </w:pPr>
            <w:r w:rsidRPr="009C1BFA">
              <w:rPr>
                <w:i/>
                <w:color w:val="auto"/>
                <w:lang w:val="en-US" w:eastAsia="en-US"/>
              </w:rPr>
              <w:t>2021թ.</w:t>
            </w:r>
          </w:p>
        </w:tc>
      </w:tr>
      <w:tr w:rsidR="00DD7F34" w:rsidRPr="00472C29" w:rsidTr="00BB465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385" w:type="dxa"/>
            <w:tcBorders>
              <w:left w:val="none" w:sz="0" w:space="0" w:color="auto"/>
              <w:right w:val="none" w:sz="0" w:space="0" w:color="auto"/>
            </w:tcBorders>
            <w:shd w:val="clear" w:color="auto" w:fill="C6D9F1" w:themeFill="text2" w:themeFillTint="33"/>
          </w:tcPr>
          <w:p w:rsidR="00DD7F34" w:rsidRPr="009C1BFA" w:rsidRDefault="00DD7F34" w:rsidP="007730AA">
            <w:pPr>
              <w:spacing w:before="0" w:line="276" w:lineRule="auto"/>
              <w:ind w:firstLine="0"/>
              <w:contextualSpacing w:val="0"/>
              <w:jc w:val="left"/>
              <w:rPr>
                <w:color w:val="auto"/>
                <w:lang w:eastAsia="en-US"/>
              </w:rPr>
            </w:pPr>
            <w:r w:rsidRPr="009C1BFA">
              <w:rPr>
                <w:color w:val="auto"/>
                <w:lang w:val="en-US" w:eastAsia="en-US"/>
              </w:rPr>
              <w:t>Կառավարության</w:t>
            </w:r>
            <w:r w:rsidRPr="009C1BFA">
              <w:rPr>
                <w:color w:val="auto"/>
                <w:lang w:eastAsia="en-US"/>
              </w:rPr>
              <w:t xml:space="preserve"> </w:t>
            </w:r>
            <w:r w:rsidRPr="009C1BFA">
              <w:rPr>
                <w:color w:val="auto"/>
                <w:lang w:val="en-US" w:eastAsia="en-US"/>
              </w:rPr>
              <w:t>պարտքի</w:t>
            </w:r>
            <w:r w:rsidRPr="009C1BFA">
              <w:rPr>
                <w:color w:val="auto"/>
                <w:lang w:eastAsia="en-US"/>
              </w:rPr>
              <w:t xml:space="preserve"> </w:t>
            </w:r>
            <w:r w:rsidRPr="009C1BFA">
              <w:rPr>
                <w:color w:val="auto"/>
                <w:lang w:val="en-US" w:eastAsia="en-US"/>
              </w:rPr>
              <w:t>սպասարկում</w:t>
            </w:r>
            <w:r w:rsidRPr="009C1BFA">
              <w:rPr>
                <w:color w:val="auto"/>
                <w:lang w:eastAsia="en-US"/>
              </w:rPr>
              <w:t xml:space="preserve"> (</w:t>
            </w:r>
            <w:r w:rsidRPr="009C1BFA">
              <w:rPr>
                <w:color w:val="auto"/>
                <w:lang w:val="en-US" w:eastAsia="en-US"/>
              </w:rPr>
              <w:t>տոկոսավճար</w:t>
            </w:r>
            <w:r w:rsidRPr="009C1BFA">
              <w:rPr>
                <w:color w:val="auto"/>
                <w:lang w:eastAsia="en-US"/>
              </w:rPr>
              <w:t xml:space="preserve">), </w:t>
            </w:r>
            <w:r w:rsidRPr="009C1BFA">
              <w:rPr>
                <w:color w:val="auto"/>
                <w:lang w:val="en-US" w:eastAsia="en-US"/>
              </w:rPr>
              <w:t>մլրդ</w:t>
            </w:r>
            <w:r w:rsidRPr="009C1BFA">
              <w:rPr>
                <w:color w:val="auto"/>
                <w:lang w:eastAsia="en-US"/>
              </w:rPr>
              <w:t xml:space="preserve"> </w:t>
            </w:r>
            <w:r w:rsidRPr="009C1BFA">
              <w:rPr>
                <w:color w:val="auto"/>
                <w:lang w:val="en-US" w:eastAsia="en-US"/>
              </w:rPr>
              <w:t>դրամ</w:t>
            </w:r>
          </w:p>
        </w:tc>
        <w:tc>
          <w:tcPr>
            <w:tcW w:w="1260" w:type="dxa"/>
            <w:tcBorders>
              <w:left w:val="none" w:sz="0" w:space="0" w:color="auto"/>
              <w:right w:val="none" w:sz="0" w:space="0" w:color="auto"/>
            </w:tcBorders>
            <w:shd w:val="clear" w:color="auto" w:fill="C6D9F1" w:themeFill="text2" w:themeFillTint="33"/>
            <w:vAlign w:val="center"/>
          </w:tcPr>
          <w:p w:rsidR="00DD7F34" w:rsidRPr="009C1BFA" w:rsidRDefault="00DD7F34"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color w:val="auto"/>
                <w:lang w:val="en-US" w:eastAsia="en-US"/>
              </w:rPr>
            </w:pPr>
            <w:r w:rsidRPr="009C1BFA">
              <w:rPr>
                <w:bCs/>
                <w:color w:val="auto"/>
              </w:rPr>
              <w:t xml:space="preserve">    157.5 </w:t>
            </w:r>
          </w:p>
        </w:tc>
        <w:tc>
          <w:tcPr>
            <w:tcW w:w="1170" w:type="dxa"/>
            <w:tcBorders>
              <w:left w:val="none" w:sz="0" w:space="0" w:color="auto"/>
              <w:right w:val="none" w:sz="0" w:space="0" w:color="auto"/>
            </w:tcBorders>
            <w:shd w:val="clear" w:color="auto" w:fill="C6D9F1" w:themeFill="text2" w:themeFillTint="33"/>
            <w:vAlign w:val="center"/>
          </w:tcPr>
          <w:p w:rsidR="00DD7F34" w:rsidRPr="009C1BFA" w:rsidRDefault="00DD7F34" w:rsidP="007730AA">
            <w:pPr>
              <w:spacing w:before="0" w:line="276" w:lineRule="auto"/>
              <w:ind w:firstLine="0"/>
              <w:jc w:val="right"/>
              <w:cnfStyle w:val="000000100000" w:firstRow="0" w:lastRow="0" w:firstColumn="0" w:lastColumn="0" w:oddVBand="0" w:evenVBand="0" w:oddHBand="1" w:evenHBand="0" w:firstRowFirstColumn="0" w:firstRowLastColumn="0" w:lastRowFirstColumn="0" w:lastRowLastColumn="0"/>
              <w:rPr>
                <w:bCs/>
                <w:color w:val="auto"/>
              </w:rPr>
            </w:pPr>
            <w:r w:rsidRPr="009C1BFA">
              <w:rPr>
                <w:bCs/>
                <w:color w:val="auto"/>
              </w:rPr>
              <w:t>166.7</w:t>
            </w:r>
          </w:p>
        </w:tc>
        <w:tc>
          <w:tcPr>
            <w:tcW w:w="1170" w:type="dxa"/>
            <w:tcBorders>
              <w:left w:val="none" w:sz="0" w:space="0" w:color="auto"/>
              <w:right w:val="none" w:sz="0" w:space="0" w:color="auto"/>
            </w:tcBorders>
            <w:shd w:val="clear" w:color="auto" w:fill="C6D9F1" w:themeFill="text2" w:themeFillTint="33"/>
            <w:vAlign w:val="center"/>
          </w:tcPr>
          <w:p w:rsidR="00DD7F34" w:rsidRPr="009C1BFA" w:rsidRDefault="00DD7F34" w:rsidP="007730AA">
            <w:pPr>
              <w:spacing w:before="0" w:line="276" w:lineRule="auto"/>
              <w:ind w:firstLine="0"/>
              <w:jc w:val="right"/>
              <w:cnfStyle w:val="000000100000" w:firstRow="0" w:lastRow="0" w:firstColumn="0" w:lastColumn="0" w:oddVBand="0" w:evenVBand="0" w:oddHBand="1" w:evenHBand="0" w:firstRowFirstColumn="0" w:firstRowLastColumn="0" w:lastRowFirstColumn="0" w:lastRowLastColumn="0"/>
              <w:rPr>
                <w:bCs/>
                <w:color w:val="auto"/>
              </w:rPr>
            </w:pPr>
            <w:r w:rsidRPr="00DD7F34">
              <w:rPr>
                <w:bCs/>
                <w:color w:val="auto"/>
              </w:rPr>
              <w:t>194.7</w:t>
            </w:r>
          </w:p>
        </w:tc>
      </w:tr>
      <w:tr w:rsidR="00DD7F34" w:rsidRPr="00472C29" w:rsidTr="00BB4651">
        <w:trPr>
          <w:trHeight w:val="341"/>
        </w:trPr>
        <w:tc>
          <w:tcPr>
            <w:cnfStyle w:val="001000000000" w:firstRow="0" w:lastRow="0" w:firstColumn="1" w:lastColumn="0" w:oddVBand="0" w:evenVBand="0" w:oddHBand="0" w:evenHBand="0" w:firstRowFirstColumn="0" w:firstRowLastColumn="0" w:lastRowFirstColumn="0" w:lastRowLastColumn="0"/>
            <w:tcW w:w="6385" w:type="dxa"/>
          </w:tcPr>
          <w:p w:rsidR="00DD7F34" w:rsidRPr="009C1BFA" w:rsidRDefault="00DD7F34" w:rsidP="007730AA">
            <w:pPr>
              <w:spacing w:before="0" w:line="276" w:lineRule="auto"/>
              <w:ind w:firstLine="0"/>
              <w:contextualSpacing w:val="0"/>
              <w:jc w:val="right"/>
              <w:rPr>
                <w:color w:val="auto"/>
                <w:lang w:val="en-US" w:eastAsia="en-US"/>
              </w:rPr>
            </w:pPr>
            <w:r w:rsidRPr="009C1BFA">
              <w:rPr>
                <w:color w:val="auto"/>
                <w:lang w:val="en-US" w:eastAsia="en-US"/>
              </w:rPr>
              <w:t>%-ներով ՀՆԱ-ի նկատմամբ</w:t>
            </w:r>
          </w:p>
        </w:tc>
        <w:tc>
          <w:tcPr>
            <w:tcW w:w="1260" w:type="dxa"/>
            <w:vAlign w:val="center"/>
          </w:tcPr>
          <w:p w:rsidR="00DD7F34" w:rsidRPr="009C1BFA" w:rsidRDefault="00DD7F34"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lang w:val="en-US" w:eastAsia="en-US"/>
              </w:rPr>
            </w:pPr>
            <w:r w:rsidRPr="009C1BFA">
              <w:rPr>
                <w:b w:val="0"/>
                <w:color w:val="auto"/>
                <w:lang w:val="en-US" w:eastAsia="en-US"/>
              </w:rPr>
              <w:t>2.4</w:t>
            </w:r>
          </w:p>
        </w:tc>
        <w:tc>
          <w:tcPr>
            <w:tcW w:w="1170" w:type="dxa"/>
            <w:vAlign w:val="center"/>
          </w:tcPr>
          <w:p w:rsidR="00DD7F34" w:rsidRPr="009C1BFA" w:rsidRDefault="00DD7F34"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lang w:eastAsia="en-US"/>
              </w:rPr>
            </w:pPr>
            <w:r w:rsidRPr="009C1BFA">
              <w:rPr>
                <w:b w:val="0"/>
                <w:color w:val="auto"/>
                <w:lang w:eastAsia="en-US"/>
              </w:rPr>
              <w:t>2.7</w:t>
            </w:r>
          </w:p>
        </w:tc>
        <w:tc>
          <w:tcPr>
            <w:tcW w:w="1170" w:type="dxa"/>
            <w:vAlign w:val="center"/>
          </w:tcPr>
          <w:p w:rsidR="00DD7F34" w:rsidRPr="009C1BFA" w:rsidRDefault="00DD7F34"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lang w:eastAsia="en-US"/>
              </w:rPr>
            </w:pPr>
            <w:r w:rsidRPr="00DD7F34">
              <w:rPr>
                <w:b w:val="0"/>
                <w:color w:val="auto"/>
                <w:lang w:eastAsia="en-US"/>
              </w:rPr>
              <w:t>3.0</w:t>
            </w:r>
          </w:p>
        </w:tc>
      </w:tr>
      <w:tr w:rsidR="00DD7F34" w:rsidRPr="00472C29" w:rsidTr="00BB4651">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385" w:type="dxa"/>
            <w:tcBorders>
              <w:left w:val="none" w:sz="0" w:space="0" w:color="auto"/>
              <w:right w:val="none" w:sz="0" w:space="0" w:color="auto"/>
            </w:tcBorders>
            <w:shd w:val="clear" w:color="auto" w:fill="C6D9F1" w:themeFill="text2" w:themeFillTint="33"/>
          </w:tcPr>
          <w:p w:rsidR="00DD7F34" w:rsidRPr="009C1BFA" w:rsidRDefault="00DD7F34" w:rsidP="007730AA">
            <w:pPr>
              <w:spacing w:before="0" w:line="276" w:lineRule="auto"/>
              <w:ind w:firstLine="0"/>
              <w:contextualSpacing w:val="0"/>
              <w:jc w:val="left"/>
              <w:rPr>
                <w:color w:val="auto"/>
                <w:lang w:eastAsia="en-US"/>
              </w:rPr>
            </w:pPr>
            <w:r w:rsidRPr="009C1BFA">
              <w:rPr>
                <w:color w:val="auto"/>
                <w:lang w:val="en-US" w:eastAsia="en-US"/>
              </w:rPr>
              <w:t>Կառավարության</w:t>
            </w:r>
            <w:r w:rsidRPr="009C1BFA">
              <w:rPr>
                <w:color w:val="auto"/>
                <w:lang w:eastAsia="en-US"/>
              </w:rPr>
              <w:t xml:space="preserve"> </w:t>
            </w:r>
            <w:r w:rsidRPr="009C1BFA">
              <w:rPr>
                <w:color w:val="auto"/>
                <w:lang w:val="en-US" w:eastAsia="en-US"/>
              </w:rPr>
              <w:t>պարտքի</w:t>
            </w:r>
            <w:r w:rsidRPr="009C1BFA">
              <w:rPr>
                <w:color w:val="auto"/>
                <w:lang w:eastAsia="en-US"/>
              </w:rPr>
              <w:t xml:space="preserve"> </w:t>
            </w:r>
            <w:r w:rsidRPr="009C1BFA">
              <w:rPr>
                <w:color w:val="auto"/>
                <w:lang w:val="en-US" w:eastAsia="en-US"/>
              </w:rPr>
              <w:t>միջին</w:t>
            </w:r>
            <w:r w:rsidRPr="009C1BFA">
              <w:rPr>
                <w:color w:val="auto"/>
                <w:lang w:eastAsia="en-US"/>
              </w:rPr>
              <w:t xml:space="preserve"> </w:t>
            </w:r>
            <w:r w:rsidRPr="009C1BFA">
              <w:rPr>
                <w:color w:val="auto"/>
                <w:lang w:val="en-US" w:eastAsia="en-US"/>
              </w:rPr>
              <w:t>կշռված</w:t>
            </w:r>
            <w:r w:rsidRPr="009C1BFA">
              <w:rPr>
                <w:color w:val="auto"/>
                <w:lang w:eastAsia="en-US"/>
              </w:rPr>
              <w:t xml:space="preserve"> </w:t>
            </w:r>
            <w:r w:rsidRPr="009C1BFA">
              <w:rPr>
                <w:color w:val="auto"/>
                <w:lang w:val="en-US" w:eastAsia="en-US"/>
              </w:rPr>
              <w:t>տոկոսադրույք</w:t>
            </w:r>
            <w:r w:rsidRPr="009C1BFA">
              <w:rPr>
                <w:color w:val="auto"/>
                <w:lang w:eastAsia="en-US"/>
              </w:rPr>
              <w:t>, %</w:t>
            </w:r>
          </w:p>
        </w:tc>
        <w:tc>
          <w:tcPr>
            <w:tcW w:w="1260" w:type="dxa"/>
            <w:tcBorders>
              <w:left w:val="none" w:sz="0" w:space="0" w:color="auto"/>
              <w:right w:val="none" w:sz="0" w:space="0" w:color="auto"/>
            </w:tcBorders>
            <w:shd w:val="clear" w:color="auto" w:fill="C6D9F1" w:themeFill="text2" w:themeFillTint="33"/>
          </w:tcPr>
          <w:p w:rsidR="00DD7F34" w:rsidRPr="009C1BFA" w:rsidRDefault="00DD7F34"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lang w:val="en-US" w:eastAsia="en-US"/>
              </w:rPr>
            </w:pPr>
            <w:r w:rsidRPr="009C1BFA">
              <w:rPr>
                <w:color w:val="auto"/>
                <w:lang w:val="en-US" w:eastAsia="en-US"/>
              </w:rPr>
              <w:t>4.8</w:t>
            </w:r>
          </w:p>
        </w:tc>
        <w:tc>
          <w:tcPr>
            <w:tcW w:w="1170" w:type="dxa"/>
            <w:tcBorders>
              <w:left w:val="none" w:sz="0" w:space="0" w:color="auto"/>
              <w:right w:val="none" w:sz="0" w:space="0" w:color="auto"/>
            </w:tcBorders>
            <w:shd w:val="clear" w:color="auto" w:fill="C6D9F1" w:themeFill="text2" w:themeFillTint="33"/>
          </w:tcPr>
          <w:p w:rsidR="00DD7F34" w:rsidRPr="009C1BFA" w:rsidRDefault="00DD7F34"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lang w:eastAsia="en-US"/>
              </w:rPr>
            </w:pPr>
            <w:r w:rsidRPr="009C1BFA">
              <w:rPr>
                <w:color w:val="auto"/>
                <w:lang w:eastAsia="en-US"/>
              </w:rPr>
              <w:t>4.9</w:t>
            </w:r>
          </w:p>
        </w:tc>
        <w:tc>
          <w:tcPr>
            <w:tcW w:w="1170" w:type="dxa"/>
            <w:tcBorders>
              <w:left w:val="none" w:sz="0" w:space="0" w:color="auto"/>
              <w:right w:val="none" w:sz="0" w:space="0" w:color="auto"/>
            </w:tcBorders>
            <w:shd w:val="clear" w:color="auto" w:fill="C6D9F1" w:themeFill="text2" w:themeFillTint="33"/>
          </w:tcPr>
          <w:p w:rsidR="00DD7F34" w:rsidRPr="00DD7F34" w:rsidRDefault="00DD7F34"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lang w:eastAsia="en-US"/>
              </w:rPr>
            </w:pPr>
            <w:r w:rsidRPr="00DD7F34">
              <w:rPr>
                <w:color w:val="auto"/>
                <w:lang w:eastAsia="en-US"/>
              </w:rPr>
              <w:t>4.7</w:t>
            </w:r>
          </w:p>
        </w:tc>
      </w:tr>
    </w:tbl>
    <w:p w:rsidR="00975ABC" w:rsidRDefault="00975ABC" w:rsidP="007730AA">
      <w:pPr>
        <w:spacing w:before="0" w:line="276" w:lineRule="auto"/>
        <w:ind w:firstLine="1"/>
        <w:contextualSpacing w:val="0"/>
        <w:jc w:val="center"/>
        <w:rPr>
          <w:rFonts w:eastAsiaTheme="minorHAnsi" w:cs="Sylfaen"/>
          <w:sz w:val="28"/>
          <w:szCs w:val="28"/>
          <w:lang w:val="hy-AM" w:eastAsia="en-US"/>
        </w:rPr>
      </w:pPr>
    </w:p>
    <w:p w:rsidR="00CD4F7C" w:rsidRDefault="00CD4F7C" w:rsidP="007730AA">
      <w:pPr>
        <w:spacing w:before="0" w:line="276" w:lineRule="auto"/>
        <w:ind w:firstLine="1"/>
        <w:contextualSpacing w:val="0"/>
        <w:jc w:val="center"/>
        <w:rPr>
          <w:rFonts w:eastAsiaTheme="minorHAnsi" w:cs="Sylfaen"/>
          <w:szCs w:val="22"/>
          <w:lang w:val="hy-AM" w:eastAsia="en-US"/>
        </w:rPr>
      </w:pPr>
    </w:p>
    <w:p w:rsidR="00CD4F7C" w:rsidRDefault="00CD4F7C" w:rsidP="007730AA">
      <w:pPr>
        <w:spacing w:before="0" w:line="276" w:lineRule="auto"/>
        <w:ind w:firstLine="1"/>
        <w:contextualSpacing w:val="0"/>
        <w:jc w:val="center"/>
        <w:rPr>
          <w:rFonts w:eastAsiaTheme="minorHAnsi" w:cs="Sylfaen"/>
          <w:szCs w:val="22"/>
          <w:lang w:val="hy-AM" w:eastAsia="en-US"/>
        </w:rPr>
      </w:pPr>
    </w:p>
    <w:p w:rsidR="00E513E7" w:rsidRDefault="00E513E7" w:rsidP="007730AA">
      <w:pPr>
        <w:spacing w:before="0" w:line="276" w:lineRule="auto"/>
        <w:ind w:firstLine="1"/>
        <w:contextualSpacing w:val="0"/>
        <w:jc w:val="center"/>
        <w:rPr>
          <w:rFonts w:eastAsiaTheme="minorHAnsi" w:cs="Sylfaen"/>
          <w:szCs w:val="22"/>
          <w:lang w:val="en-US" w:eastAsia="en-US"/>
        </w:rPr>
      </w:pPr>
    </w:p>
    <w:p w:rsidR="00472C29" w:rsidRPr="009C1BFA" w:rsidRDefault="00472C29" w:rsidP="007730AA">
      <w:pPr>
        <w:spacing w:before="0" w:line="276" w:lineRule="auto"/>
        <w:ind w:firstLine="1"/>
        <w:contextualSpacing w:val="0"/>
        <w:jc w:val="center"/>
        <w:rPr>
          <w:rFonts w:eastAsiaTheme="minorHAnsi" w:cs="Sylfaen"/>
          <w:szCs w:val="22"/>
          <w:lang w:val="hy-AM" w:eastAsia="en-US"/>
        </w:rPr>
      </w:pPr>
      <w:r w:rsidRPr="009C1BFA">
        <w:rPr>
          <w:rFonts w:eastAsiaTheme="minorHAnsi" w:cs="Sylfaen"/>
          <w:szCs w:val="22"/>
          <w:lang w:val="hy-AM" w:eastAsia="en-US"/>
        </w:rPr>
        <w:t>Պակասուրդի ֆինանսավորման պարտքային գործիքակազմը</w:t>
      </w:r>
    </w:p>
    <w:p w:rsidR="00DD7F34" w:rsidRPr="00597F50" w:rsidRDefault="00DD7F34" w:rsidP="007730AA">
      <w:pPr>
        <w:spacing w:before="0" w:line="276" w:lineRule="auto"/>
        <w:contextualSpacing w:val="0"/>
        <w:rPr>
          <w:rFonts w:eastAsiaTheme="minorHAnsi" w:cstheme="minorBidi"/>
          <w:b w:val="0"/>
          <w:bCs/>
          <w:szCs w:val="22"/>
          <w:lang w:val="hy-AM" w:eastAsia="en-US"/>
        </w:rPr>
      </w:pPr>
      <w:r w:rsidRPr="00597F50">
        <w:rPr>
          <w:rFonts w:eastAsiaTheme="minorHAnsi" w:cstheme="minorBidi"/>
          <w:b w:val="0"/>
          <w:bCs/>
          <w:szCs w:val="22"/>
          <w:lang w:val="hy-AM" w:eastAsia="en-US"/>
        </w:rPr>
        <w:t xml:space="preserve">2021 թվականին պետական բյուջեի պակասուրդի զուտ ֆինանսավորումը փոխառու միջոցների հաշվին կկազմի 478 մլրդ դրամ, ինչը կիրականացվի պետական գանձապետական պարտատոմսերի հաշվին՝ 210 մլրդ դրամ, արտաքին վարկերի հաշվին՝  26 մլրդ դրամ </w:t>
      </w:r>
      <w:r w:rsidRPr="00597F50">
        <w:rPr>
          <w:rFonts w:eastAsiaTheme="minorHAnsi" w:cstheme="minorBidi"/>
          <w:b w:val="0"/>
          <w:szCs w:val="22"/>
          <w:lang w:val="hy-AM" w:eastAsia="en-US"/>
        </w:rPr>
        <w:t>և արտարժութային</w:t>
      </w:r>
      <w:r w:rsidRPr="00597F50">
        <w:rPr>
          <w:rFonts w:eastAsiaTheme="minorHAnsi" w:cstheme="minorBidi"/>
          <w:b w:val="0"/>
          <w:szCs w:val="22"/>
          <w:lang w:val="af-ZA" w:eastAsia="en-US"/>
        </w:rPr>
        <w:t xml:space="preserve"> </w:t>
      </w:r>
      <w:r w:rsidRPr="00597F50">
        <w:rPr>
          <w:rFonts w:eastAsiaTheme="minorHAnsi" w:cstheme="minorBidi"/>
          <w:b w:val="0"/>
          <w:szCs w:val="22"/>
          <w:lang w:val="hy-AM" w:eastAsia="en-US"/>
        </w:rPr>
        <w:t>պետական</w:t>
      </w:r>
      <w:r w:rsidRPr="00597F50">
        <w:rPr>
          <w:rFonts w:eastAsiaTheme="minorHAnsi" w:cstheme="minorBidi"/>
          <w:b w:val="0"/>
          <w:szCs w:val="22"/>
          <w:lang w:val="af-ZA" w:eastAsia="en-US"/>
        </w:rPr>
        <w:t xml:space="preserve"> </w:t>
      </w:r>
      <w:r w:rsidRPr="00597F50">
        <w:rPr>
          <w:rFonts w:eastAsiaTheme="minorHAnsi" w:cstheme="minorBidi"/>
          <w:b w:val="0"/>
          <w:szCs w:val="22"/>
          <w:lang w:val="hy-AM" w:eastAsia="en-US"/>
        </w:rPr>
        <w:t>պարտատոմսերի</w:t>
      </w:r>
      <w:r w:rsidRPr="00597F50">
        <w:rPr>
          <w:rFonts w:eastAsiaTheme="minorHAnsi" w:cstheme="minorBidi"/>
          <w:b w:val="0"/>
          <w:szCs w:val="22"/>
          <w:lang w:val="af-ZA" w:eastAsia="en-US"/>
        </w:rPr>
        <w:t xml:space="preserve"> </w:t>
      </w:r>
      <w:r w:rsidRPr="00597F50">
        <w:rPr>
          <w:rFonts w:eastAsiaTheme="minorHAnsi" w:cstheme="minorBidi"/>
          <w:b w:val="0"/>
          <w:szCs w:val="22"/>
          <w:lang w:val="hy-AM" w:eastAsia="en-US"/>
        </w:rPr>
        <w:t xml:space="preserve">հաշվին` </w:t>
      </w:r>
      <w:r w:rsidRPr="00597F50">
        <w:rPr>
          <w:rFonts w:eastAsiaTheme="minorHAnsi" w:cstheme="minorBidi"/>
          <w:b w:val="0"/>
          <w:szCs w:val="22"/>
          <w:lang w:val="af-ZA" w:eastAsia="en-US"/>
        </w:rPr>
        <w:t xml:space="preserve">242 </w:t>
      </w:r>
      <w:r w:rsidRPr="00597F50">
        <w:rPr>
          <w:rFonts w:eastAsiaTheme="minorHAnsi" w:cstheme="minorBidi"/>
          <w:b w:val="0"/>
          <w:szCs w:val="22"/>
          <w:lang w:val="hy-AM" w:eastAsia="en-US"/>
        </w:rPr>
        <w:t>մլրդ</w:t>
      </w:r>
      <w:r w:rsidRPr="00597F50">
        <w:rPr>
          <w:rFonts w:eastAsiaTheme="minorHAnsi" w:cstheme="minorBidi"/>
          <w:b w:val="0"/>
          <w:szCs w:val="22"/>
          <w:lang w:val="af-ZA" w:eastAsia="en-US"/>
        </w:rPr>
        <w:t xml:space="preserve"> </w:t>
      </w:r>
      <w:r w:rsidRPr="00597F50">
        <w:rPr>
          <w:rFonts w:eastAsiaTheme="minorHAnsi" w:cstheme="minorBidi"/>
          <w:b w:val="0"/>
          <w:szCs w:val="22"/>
          <w:lang w:val="hy-AM" w:eastAsia="en-US"/>
        </w:rPr>
        <w:t>դրամ</w:t>
      </w:r>
      <w:r w:rsidRPr="00597F50">
        <w:rPr>
          <w:rFonts w:eastAsiaTheme="minorHAnsi" w:cstheme="minorBidi"/>
          <w:b w:val="0"/>
          <w:bCs/>
          <w:szCs w:val="22"/>
          <w:lang w:val="hy-AM" w:eastAsia="en-US"/>
        </w:rPr>
        <w:t xml:space="preserve">: </w:t>
      </w:r>
    </w:p>
    <w:p w:rsidR="00DD7F34" w:rsidRPr="00597F50" w:rsidRDefault="00DD7F34" w:rsidP="007730AA">
      <w:pPr>
        <w:spacing w:before="0" w:line="276" w:lineRule="auto"/>
        <w:ind w:firstLine="0"/>
        <w:contextualSpacing w:val="0"/>
        <w:rPr>
          <w:rFonts w:eastAsiaTheme="minorHAnsi" w:cstheme="minorBidi"/>
          <w:b w:val="0"/>
          <w:bCs/>
          <w:i/>
          <w:szCs w:val="22"/>
          <w:u w:val="single"/>
          <w:lang w:val="hy-AM" w:eastAsia="en-US"/>
        </w:rPr>
      </w:pPr>
      <w:r w:rsidRPr="00597F50">
        <w:rPr>
          <w:rFonts w:eastAsiaTheme="minorHAnsi" w:cstheme="minorBidi"/>
          <w:b w:val="0"/>
          <w:bCs/>
          <w:i/>
          <w:szCs w:val="22"/>
          <w:u w:val="single"/>
          <w:lang w:val="hy-AM" w:eastAsia="en-US"/>
        </w:rPr>
        <w:t>Պակասուրդի ֆինանսավորումը պետական գանձապետական պարտատոմսերով</w:t>
      </w:r>
    </w:p>
    <w:p w:rsidR="00DD7F34" w:rsidRPr="00597F50" w:rsidRDefault="00DD7F34" w:rsidP="007730AA">
      <w:pPr>
        <w:spacing w:before="0" w:line="276" w:lineRule="auto"/>
        <w:ind w:firstLine="562"/>
        <w:rPr>
          <w:rFonts w:eastAsiaTheme="minorHAnsi" w:cstheme="minorBidi"/>
          <w:b w:val="0"/>
          <w:bCs/>
          <w:szCs w:val="22"/>
          <w:lang w:val="hy-AM" w:eastAsia="en-US"/>
        </w:rPr>
      </w:pPr>
      <w:r w:rsidRPr="00597F50">
        <w:rPr>
          <w:rFonts w:eastAsiaTheme="minorHAnsi" w:cstheme="minorBidi"/>
          <w:b w:val="0"/>
          <w:bCs/>
          <w:szCs w:val="22"/>
          <w:lang w:val="hy-AM" w:eastAsia="en-US"/>
        </w:rPr>
        <w:t>Պետական գանձապետական պարտատոմսերով բյուջեի դեֆիցիտի ֆինանսավորումն իրականացվելու է կարճաժամկետ (3, 6, 9 և 12 ամիս), միջնաժամկետ (3 և 5 տարի), երկարաժամկետ (10, 20 և 30 տարի) և խնայողական պարտատոմսերի հաշվին:</w:t>
      </w:r>
    </w:p>
    <w:p w:rsidR="00DD7F34" w:rsidRPr="00597F50" w:rsidRDefault="00DD7F34" w:rsidP="007730AA">
      <w:pPr>
        <w:spacing w:before="0" w:line="276" w:lineRule="auto"/>
        <w:ind w:firstLine="562"/>
        <w:rPr>
          <w:rFonts w:eastAsiaTheme="minorHAnsi" w:cstheme="minorBidi"/>
          <w:b w:val="0"/>
          <w:szCs w:val="22"/>
          <w:lang w:val="hy-AM" w:eastAsia="en-US"/>
        </w:rPr>
      </w:pPr>
      <w:r w:rsidRPr="00597F50">
        <w:rPr>
          <w:rFonts w:eastAsiaTheme="minorHAnsi" w:cstheme="minorBidi"/>
          <w:b w:val="0"/>
          <w:szCs w:val="22"/>
          <w:lang w:val="hy-AM" w:eastAsia="en-US"/>
        </w:rPr>
        <w:t>Յուրաքանչյուր երկու ամիսն առնվազն մեկ անգամ կկազմակերպվի 52, 39, 26 և 13 շաբաթ մարման ժամկետ ունեցող պետական գանձապետական կարճաժամկետ պարտատոմսերի տեղաբաշխման աճուրդներ:</w:t>
      </w:r>
      <w:r w:rsidRPr="00597F50">
        <w:rPr>
          <w:rFonts w:eastAsiaTheme="minorHAnsi" w:cstheme="minorBidi"/>
          <w:b w:val="0"/>
          <w:bCs/>
          <w:szCs w:val="22"/>
          <w:lang w:val="hy-AM" w:eastAsia="en-US"/>
        </w:rPr>
        <w:t xml:space="preserve"> </w:t>
      </w:r>
      <w:r w:rsidRPr="00597F50">
        <w:rPr>
          <w:rFonts w:eastAsiaTheme="minorHAnsi" w:cstheme="minorBidi"/>
          <w:b w:val="0"/>
          <w:szCs w:val="22"/>
          <w:lang w:val="hy-AM" w:eastAsia="en-US"/>
        </w:rPr>
        <w:t>Կարող են իրականացվել նաև պետական գանձապետական կարճաժամկետ պարտատոմսերի լրացուցիչ թողարկումներ, ընդ որում մինչև 3 շաբաթ մարման ժամկետայնությամբ թողարկումներ կարող են իրականացվել կանխիկ հոսքերի կառավարման նպատակով, իսկ 3-12 շաբաթ մարման ժամկետայնությամբ թողարկումներ` հարկաբյուջետային և դրամավարկային քաղաքականությունների կոորդինացման շրջանակներում:</w:t>
      </w:r>
    </w:p>
    <w:p w:rsidR="00DD7F34" w:rsidRPr="00597F50" w:rsidRDefault="00DD7F34" w:rsidP="007730AA">
      <w:pPr>
        <w:spacing w:before="0" w:line="276" w:lineRule="auto"/>
        <w:ind w:firstLine="562"/>
        <w:rPr>
          <w:rFonts w:eastAsiaTheme="minorHAnsi" w:cstheme="minorBidi"/>
          <w:b w:val="0"/>
          <w:szCs w:val="22"/>
          <w:lang w:val="hy-AM" w:eastAsia="en-US"/>
        </w:rPr>
      </w:pPr>
      <w:r w:rsidRPr="00597F50">
        <w:rPr>
          <w:rFonts w:eastAsiaTheme="minorHAnsi" w:cstheme="minorBidi"/>
          <w:b w:val="0"/>
          <w:szCs w:val="22"/>
          <w:lang w:val="hy-AM" w:eastAsia="en-US"/>
        </w:rPr>
        <w:t>Կուսումնասիրվի 6 ամիս մարման ժամկետ ունեցող պետական կարճաժամկետ պարտատոմսերի տեղաբաշխման ծավալների ավելացման միջոցով դրանց՝ որպես ուղենշային սահմանման հնարավորությունները։</w:t>
      </w:r>
    </w:p>
    <w:p w:rsidR="00DD7F34" w:rsidRPr="00597F50" w:rsidRDefault="00DD7F34" w:rsidP="007730AA">
      <w:pPr>
        <w:spacing w:before="0" w:line="276" w:lineRule="auto"/>
        <w:ind w:firstLine="562"/>
        <w:rPr>
          <w:rFonts w:eastAsiaTheme="minorHAnsi" w:cstheme="minorBidi"/>
          <w:b w:val="0"/>
          <w:bCs/>
          <w:szCs w:val="22"/>
          <w:lang w:val="hy-AM" w:eastAsia="en-US"/>
        </w:rPr>
      </w:pPr>
      <w:r w:rsidRPr="00597F50">
        <w:rPr>
          <w:rFonts w:eastAsiaTheme="minorHAnsi" w:cstheme="minorBidi"/>
          <w:b w:val="0"/>
          <w:bCs/>
          <w:szCs w:val="22"/>
          <w:lang w:val="hy-AM" w:eastAsia="en-US"/>
        </w:rPr>
        <w:t xml:space="preserve">2021 թվականի ապրիլի 29-ին կթողարկվեն 3 և 5 տարի մարման ժամկետայնությամբ նոր միջնաժամկետ պետական գանձապետական պարտատոմսեր: </w:t>
      </w:r>
    </w:p>
    <w:p w:rsidR="00DD7F34" w:rsidRPr="00597F50" w:rsidRDefault="00DD7F34" w:rsidP="007730AA">
      <w:pPr>
        <w:tabs>
          <w:tab w:val="left" w:pos="142"/>
        </w:tabs>
        <w:spacing w:before="0" w:line="276" w:lineRule="auto"/>
        <w:rPr>
          <w:rFonts w:eastAsiaTheme="minorHAnsi" w:cstheme="minorBidi"/>
          <w:b w:val="0"/>
          <w:szCs w:val="22"/>
          <w:lang w:val="hy-AM" w:eastAsia="en-US"/>
        </w:rPr>
      </w:pPr>
      <w:r w:rsidRPr="00597F50">
        <w:rPr>
          <w:rFonts w:eastAsiaTheme="minorHAnsi" w:cstheme="minorBidi"/>
          <w:b w:val="0"/>
          <w:szCs w:val="22"/>
          <w:lang w:val="hy-AM" w:eastAsia="en-US"/>
        </w:rPr>
        <w:t xml:space="preserve">Աճուրդների կողմնորոշիչ ծավալների վերաբերյալ տեղեկատվությունը կհրապարակվի եռամսյակային կտրվածքով: </w:t>
      </w:r>
    </w:p>
    <w:p w:rsidR="00DD7F34" w:rsidRPr="00597F50" w:rsidRDefault="00DD7F34" w:rsidP="007730AA">
      <w:pPr>
        <w:tabs>
          <w:tab w:val="left" w:pos="142"/>
        </w:tabs>
        <w:spacing w:before="0" w:line="276" w:lineRule="auto"/>
        <w:rPr>
          <w:rFonts w:eastAsiaTheme="minorHAnsi" w:cstheme="minorBidi"/>
          <w:b w:val="0"/>
          <w:szCs w:val="22"/>
          <w:lang w:val="hy-AM" w:eastAsia="en-US"/>
        </w:rPr>
      </w:pPr>
      <w:r w:rsidRPr="00597F50">
        <w:rPr>
          <w:rFonts w:eastAsiaTheme="minorHAnsi" w:cstheme="minorBidi"/>
          <w:b w:val="0"/>
          <w:szCs w:val="22"/>
          <w:lang w:val="hy-AM" w:eastAsia="en-US"/>
        </w:rPr>
        <w:t>Յուրաքանչյուր աճուրդին տեղաբաշխման ենթակա պարտատոմսերի ծավալների (միջակայքի) և ժամկետների վերաբերյալ տեղեկատվությունը կհրապարակվի աճուրդից առաջ՝ գործակալների հետ խորհրդակցելուց հետո:</w:t>
      </w:r>
    </w:p>
    <w:p w:rsidR="00DD7F34" w:rsidRPr="00597F50" w:rsidRDefault="00DD7F34" w:rsidP="007730AA">
      <w:pPr>
        <w:spacing w:before="0" w:line="276" w:lineRule="auto"/>
        <w:rPr>
          <w:rFonts w:eastAsiaTheme="minorHAnsi" w:cstheme="minorBidi"/>
          <w:b w:val="0"/>
          <w:szCs w:val="22"/>
          <w:lang w:val="hy-AM" w:eastAsia="en-US"/>
        </w:rPr>
      </w:pPr>
      <w:r w:rsidRPr="00597F50">
        <w:rPr>
          <w:rFonts w:eastAsiaTheme="minorHAnsi" w:cstheme="minorBidi"/>
          <w:b w:val="0"/>
          <w:szCs w:val="22"/>
          <w:lang w:val="hy-AM" w:eastAsia="en-US"/>
        </w:rPr>
        <w:t>2021 թվականի ընթացքում կիրականացվեն նաև պետական գանձապետական պարտատոմսերի հետգնումներ: 2021 թվականի ընթացքում պարտատոմսերի հետգնումների 70-80% կիրականացվեն մարման գրաֆիկի հարթեցման, իսկ 20-30%՝ պարտատոմսերի իրացվելիությունը խթանելու նպատակով: ՀՀ ֆինանսների նախարարությունը յուրաքանչյուր թողարկման պարտատոմսերի տեղաբաշխման ժամանակահատվածում այդ պարտատոմսերի հետգնում չի իրականացնի:</w:t>
      </w:r>
    </w:p>
    <w:p w:rsidR="00DD7F34" w:rsidRPr="00597F50" w:rsidRDefault="00DD7F34" w:rsidP="007730AA">
      <w:pPr>
        <w:spacing w:before="0" w:line="276" w:lineRule="auto"/>
        <w:rPr>
          <w:rFonts w:eastAsiaTheme="minorHAnsi" w:cstheme="minorBidi"/>
          <w:b w:val="0"/>
          <w:bCs/>
          <w:szCs w:val="22"/>
          <w:lang w:val="hy-AM" w:eastAsia="en-US"/>
        </w:rPr>
      </w:pPr>
      <w:r w:rsidRPr="00597F50">
        <w:rPr>
          <w:rFonts w:eastAsiaTheme="minorHAnsi" w:cstheme="minorBidi"/>
          <w:b w:val="0"/>
          <w:bCs/>
          <w:szCs w:val="22"/>
          <w:lang w:val="hy-AM" w:eastAsia="en-US"/>
        </w:rPr>
        <w:t>ՀՀ ֆինանսների նախարարության պաշտոնական կայք էջում եռամսյակային կտրվածքով, յուրաքանչյուր եռամսյակից 10 օր առաջ, կհրապարակի ուղենշային համարվող պարտատոմսերի ցանկը:</w:t>
      </w:r>
    </w:p>
    <w:p w:rsidR="00DD7F34" w:rsidRPr="00597F50" w:rsidRDefault="00DD7F34" w:rsidP="007730AA">
      <w:pPr>
        <w:tabs>
          <w:tab w:val="left" w:pos="142"/>
        </w:tabs>
        <w:spacing w:before="0" w:line="276" w:lineRule="auto"/>
        <w:rPr>
          <w:rFonts w:eastAsiaTheme="minorHAnsi" w:cstheme="minorBidi"/>
          <w:b w:val="0"/>
          <w:szCs w:val="22"/>
          <w:lang w:val="hy-AM" w:eastAsia="en-US"/>
        </w:rPr>
      </w:pPr>
      <w:r w:rsidRPr="00597F50">
        <w:rPr>
          <w:rFonts w:eastAsiaTheme="minorHAnsi" w:cstheme="minorBidi"/>
          <w:b w:val="0"/>
          <w:bCs/>
          <w:szCs w:val="22"/>
          <w:lang w:val="hy-AM" w:eastAsia="en-US"/>
        </w:rPr>
        <w:t>COVID 19 համավարակով պայմանավորված հետաձգվեց պետական գանձապետական պարտատոմսերի փոխանակման աճուրդային համակարգի ներդրումը 2020 թվականին: Այն նախատեսվում է իրականացնել 2021 թվականին:</w:t>
      </w:r>
    </w:p>
    <w:p w:rsidR="00DD7F34" w:rsidRPr="00597F50" w:rsidRDefault="00DD7F34" w:rsidP="007730AA">
      <w:pPr>
        <w:spacing w:before="0" w:line="276" w:lineRule="auto"/>
        <w:ind w:firstLine="0"/>
        <w:contextualSpacing w:val="0"/>
        <w:rPr>
          <w:rFonts w:eastAsiaTheme="minorHAnsi" w:cstheme="minorBidi"/>
          <w:b w:val="0"/>
          <w:bCs/>
          <w:i/>
          <w:szCs w:val="22"/>
          <w:u w:val="single"/>
          <w:lang w:val="hy-AM" w:eastAsia="en-US"/>
        </w:rPr>
      </w:pPr>
      <w:r w:rsidRPr="00597F50">
        <w:rPr>
          <w:rFonts w:eastAsiaTheme="minorHAnsi" w:cstheme="minorBidi"/>
          <w:b w:val="0"/>
          <w:bCs/>
          <w:i/>
          <w:szCs w:val="22"/>
          <w:u w:val="single"/>
          <w:lang w:val="hy-AM" w:eastAsia="en-US"/>
        </w:rPr>
        <w:t>Պակասուրդի ֆինանսավորումն արտաքին վարկերով</w:t>
      </w:r>
    </w:p>
    <w:p w:rsidR="00DD7F34" w:rsidRPr="00597F50" w:rsidRDefault="00DD7F34" w:rsidP="007730AA">
      <w:pPr>
        <w:spacing w:before="0" w:line="276" w:lineRule="auto"/>
        <w:contextualSpacing w:val="0"/>
        <w:rPr>
          <w:rFonts w:eastAsiaTheme="minorHAnsi" w:cstheme="minorBidi"/>
          <w:b w:val="0"/>
          <w:szCs w:val="22"/>
          <w:lang w:val="hy-AM" w:eastAsia="en-US"/>
        </w:rPr>
      </w:pPr>
      <w:r w:rsidRPr="00597F50">
        <w:rPr>
          <w:rFonts w:eastAsiaTheme="minorHAnsi" w:cstheme="minorBidi"/>
          <w:b w:val="0"/>
          <w:szCs w:val="22"/>
          <w:lang w:val="hy-AM" w:eastAsia="en-US"/>
        </w:rPr>
        <w:t>ՀՀ 2021 թվականին պետական բյուջեի պակասուրդը ֆինանսավորելու համար նախատեսվում է արտաքին վարկերի գծով կատարել 152.2 մլրդ դրամի (308.2 մլն ԱՄՆ դոլար) մասհանումներ</w:t>
      </w:r>
      <w:r w:rsidRPr="00597F50">
        <w:rPr>
          <w:rFonts w:eastAsiaTheme="minorHAnsi" w:cstheme="minorBidi"/>
          <w:b w:val="0"/>
          <w:szCs w:val="22"/>
          <w:vertAlign w:val="superscript"/>
          <w:lang w:val="en-US" w:eastAsia="en-US"/>
        </w:rPr>
        <w:footnoteReference w:id="32"/>
      </w:r>
      <w:r w:rsidRPr="00597F50">
        <w:rPr>
          <w:rFonts w:eastAsiaTheme="minorHAnsi" w:cstheme="minorBidi"/>
          <w:b w:val="0"/>
          <w:szCs w:val="22"/>
          <w:lang w:val="hy-AM" w:eastAsia="en-US"/>
        </w:rPr>
        <w:t>: Ընդ որում մասհանումներից 102.8 մլրդ դրամը (208.2 մլն ԱՄՆ դոլար) նախատեսվում է կատարել նպատակային վարկային ծրագրերի գծով, իսկ մնացած 49.4 մլրդ դրամը (100.0 մլն ԱՄՆ դոլար):</w:t>
      </w:r>
    </w:p>
    <w:p w:rsidR="00DD7F34" w:rsidRPr="00597F50" w:rsidRDefault="00DD7F34" w:rsidP="007730AA">
      <w:pPr>
        <w:spacing w:before="0" w:line="276" w:lineRule="auto"/>
        <w:ind w:firstLine="562"/>
        <w:contextualSpacing w:val="0"/>
        <w:rPr>
          <w:rFonts w:eastAsiaTheme="minorHAnsi" w:cstheme="minorBidi"/>
          <w:b w:val="0"/>
          <w:szCs w:val="22"/>
          <w:lang w:val="hy-AM" w:eastAsia="en-US"/>
        </w:rPr>
      </w:pPr>
      <w:r w:rsidRPr="00597F50">
        <w:rPr>
          <w:rFonts w:eastAsiaTheme="minorHAnsi" w:cstheme="minorBidi"/>
          <w:b w:val="0"/>
          <w:szCs w:val="22"/>
          <w:lang w:val="hy-AM" w:eastAsia="en-US"/>
        </w:rPr>
        <w:t>2021 թվականին մասհանումների 32.4%-ը կատարվելու են նոր բյուջետային աւջակցության վարկերի գծով, 22.6%-ը՝ Համաշխարհային Բանկի (ՎԶՄԲ և ԶՄԸ) վարկերի գծով, 20.5%-ը` գերմանական վարկերի գծով, 11.6%-ը՝ Ասիական Զարգացման Բանկի վարկերի գծով: Ըստ վարկատուների մասհանումների կառուցվածքը հետևյալն է.</w:t>
      </w:r>
    </w:p>
    <w:p w:rsidR="00DD7F34" w:rsidRPr="00597F50" w:rsidRDefault="00DD7F34" w:rsidP="007730AA">
      <w:pPr>
        <w:spacing w:before="0" w:line="276" w:lineRule="auto"/>
        <w:ind w:firstLine="0"/>
        <w:contextualSpacing w:val="0"/>
        <w:jc w:val="center"/>
        <w:rPr>
          <w:rFonts w:eastAsiaTheme="minorHAnsi" w:cstheme="minorBidi"/>
          <w:b w:val="0"/>
          <w:szCs w:val="22"/>
          <w:lang w:val="en-US" w:eastAsia="en-US"/>
        </w:rPr>
      </w:pPr>
      <w:r w:rsidRPr="00597F50">
        <w:rPr>
          <w:noProof/>
          <w:szCs w:val="22"/>
          <w:lang w:val="en-US" w:eastAsia="en-US"/>
        </w:rPr>
        <w:drawing>
          <wp:inline distT="0" distB="0" distL="0" distR="0">
            <wp:extent cx="5524588" cy="2758527"/>
            <wp:effectExtent l="133350" t="95250" r="133350" b="990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D7F34" w:rsidRPr="00597F50" w:rsidRDefault="00DD7F34" w:rsidP="007730AA">
      <w:pPr>
        <w:spacing w:before="0" w:line="276" w:lineRule="auto"/>
        <w:ind w:firstLine="720"/>
        <w:contextualSpacing w:val="0"/>
        <w:rPr>
          <w:rFonts w:eastAsiaTheme="minorHAnsi" w:cstheme="minorBidi"/>
          <w:b w:val="0"/>
          <w:szCs w:val="22"/>
          <w:lang w:val="en-US" w:eastAsia="en-US"/>
        </w:rPr>
      </w:pPr>
      <w:r w:rsidRPr="00597F50">
        <w:rPr>
          <w:rFonts w:eastAsiaTheme="minorHAnsi" w:cstheme="minorBidi"/>
          <w:b w:val="0"/>
          <w:szCs w:val="22"/>
          <w:lang w:val="en-US" w:eastAsia="en-US"/>
        </w:rPr>
        <w:t>2021 թվականին նպատակային վարկային ծրագրերի գծով մասհանումների կառուցվածքում խոշորագույնը գերմանական KfW բանկի աջակցությամբ իրականացվող Կովկասյան էլեկտրահաղորդման ցանցի ծրագիրն է՝ 48.1 մլն ԱՄՆ դոլար: Ընդհանուր առմամբ, ըստ ոլորտների մասհանումների կառուցվածքը կլինի հետևյալը.</w:t>
      </w:r>
    </w:p>
    <w:p w:rsidR="00DD7F34" w:rsidRPr="00E81B58" w:rsidRDefault="00DD7F34" w:rsidP="007730AA">
      <w:pPr>
        <w:tabs>
          <w:tab w:val="num" w:pos="720"/>
        </w:tabs>
        <w:spacing w:before="0"/>
        <w:ind w:firstLine="0"/>
        <w:contextualSpacing w:val="0"/>
        <w:jc w:val="center"/>
        <w:rPr>
          <w:rFonts w:eastAsiaTheme="minorHAnsi" w:cstheme="minorBidi"/>
          <w:b w:val="0"/>
          <w:szCs w:val="22"/>
          <w:lang w:val="es-ES" w:eastAsia="en-US"/>
        </w:rPr>
      </w:pPr>
      <w:r>
        <w:rPr>
          <w:noProof/>
          <w:lang w:val="en-US" w:eastAsia="en-US"/>
        </w:rPr>
        <w:drawing>
          <wp:inline distT="0" distB="0" distL="0" distR="0">
            <wp:extent cx="6480810" cy="2200910"/>
            <wp:effectExtent l="133350" t="95250" r="129540" b="104140"/>
            <wp:docPr id="7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D7F34" w:rsidRDefault="00DD7F34" w:rsidP="007730AA">
      <w:pPr>
        <w:spacing w:before="0"/>
        <w:ind w:firstLine="720"/>
        <w:contextualSpacing w:val="0"/>
        <w:rPr>
          <w:rFonts w:eastAsiaTheme="minorHAnsi" w:cstheme="minorBidi"/>
          <w:b w:val="0"/>
          <w:sz w:val="24"/>
          <w:lang w:val="es-ES" w:eastAsia="en-US"/>
        </w:rPr>
      </w:pPr>
      <w:r w:rsidRPr="00D021E9">
        <w:rPr>
          <w:rFonts w:eastAsiaTheme="minorHAnsi" w:cstheme="minorBidi"/>
          <w:b w:val="0"/>
          <w:sz w:val="24"/>
          <w:lang w:val="es-ES" w:eastAsia="en-US"/>
        </w:rPr>
        <w:t xml:space="preserve">2021 </w:t>
      </w:r>
      <w:r w:rsidRPr="00D021E9">
        <w:rPr>
          <w:rFonts w:eastAsiaTheme="minorHAnsi" w:cstheme="minorBidi"/>
          <w:b w:val="0"/>
          <w:sz w:val="24"/>
          <w:lang w:val="en-US" w:eastAsia="en-US"/>
        </w:rPr>
        <w:t>թվականին</w:t>
      </w:r>
      <w:r w:rsidRPr="00D021E9">
        <w:rPr>
          <w:rFonts w:eastAsiaTheme="minorHAnsi" w:cstheme="minorBidi"/>
          <w:b w:val="0"/>
          <w:sz w:val="24"/>
          <w:lang w:val="es-ES" w:eastAsia="en-US"/>
        </w:rPr>
        <w:t xml:space="preserve"> </w:t>
      </w:r>
      <w:r w:rsidRPr="00D021E9">
        <w:rPr>
          <w:rFonts w:eastAsiaTheme="minorHAnsi" w:cstheme="minorBidi"/>
          <w:b w:val="0"/>
          <w:sz w:val="24"/>
          <w:lang w:val="en-US" w:eastAsia="en-US"/>
        </w:rPr>
        <w:t>մասհանումների</w:t>
      </w:r>
      <w:r w:rsidRPr="00D021E9">
        <w:rPr>
          <w:rFonts w:eastAsiaTheme="minorHAnsi" w:cstheme="minorBidi"/>
          <w:b w:val="0"/>
          <w:sz w:val="24"/>
          <w:lang w:val="es-ES" w:eastAsia="en-US"/>
        </w:rPr>
        <w:t xml:space="preserve"> </w:t>
      </w:r>
      <w:r w:rsidRPr="00D021E9">
        <w:rPr>
          <w:rFonts w:eastAsiaTheme="minorHAnsi" w:cstheme="minorBidi"/>
          <w:b w:val="0"/>
          <w:sz w:val="24"/>
          <w:lang w:val="en-US" w:eastAsia="en-US"/>
        </w:rPr>
        <w:t>գերակշիռ</w:t>
      </w:r>
      <w:r w:rsidRPr="00D021E9">
        <w:rPr>
          <w:rFonts w:eastAsiaTheme="minorHAnsi" w:cstheme="minorBidi"/>
          <w:b w:val="0"/>
          <w:sz w:val="24"/>
          <w:lang w:val="es-ES" w:eastAsia="en-US"/>
        </w:rPr>
        <w:t xml:space="preserve"> </w:t>
      </w:r>
      <w:r w:rsidRPr="00D021E9">
        <w:rPr>
          <w:rFonts w:eastAsiaTheme="minorHAnsi" w:cstheme="minorBidi"/>
          <w:b w:val="0"/>
          <w:sz w:val="24"/>
          <w:lang w:val="en-US" w:eastAsia="en-US"/>
        </w:rPr>
        <w:t>մասը</w:t>
      </w:r>
      <w:r w:rsidRPr="00D021E9">
        <w:rPr>
          <w:rFonts w:eastAsiaTheme="minorHAnsi" w:cstheme="minorBidi"/>
          <w:b w:val="0"/>
          <w:sz w:val="24"/>
          <w:lang w:val="es-ES" w:eastAsia="en-US"/>
        </w:rPr>
        <w:t xml:space="preserve"> (</w:t>
      </w:r>
      <w:r>
        <w:rPr>
          <w:rFonts w:eastAsiaTheme="minorHAnsi" w:cstheme="minorBidi"/>
          <w:b w:val="0"/>
          <w:sz w:val="24"/>
          <w:lang w:val="es-ES" w:eastAsia="en-US"/>
        </w:rPr>
        <w:t>62.</w:t>
      </w:r>
      <w:r w:rsidRPr="00971332">
        <w:rPr>
          <w:rFonts w:eastAsiaTheme="minorHAnsi" w:cstheme="minorBidi"/>
          <w:b w:val="0"/>
          <w:sz w:val="24"/>
          <w:lang w:val="es-ES" w:eastAsia="en-US"/>
        </w:rPr>
        <w:t>4</w:t>
      </w:r>
      <w:r w:rsidRPr="00D021E9">
        <w:rPr>
          <w:rFonts w:eastAsiaTheme="minorHAnsi" w:cstheme="minorBidi"/>
          <w:b w:val="0"/>
          <w:sz w:val="24"/>
          <w:lang w:val="es-ES" w:eastAsia="en-US"/>
        </w:rPr>
        <w:t xml:space="preserve">%) </w:t>
      </w:r>
      <w:r w:rsidRPr="00D021E9">
        <w:rPr>
          <w:rFonts w:eastAsiaTheme="minorHAnsi" w:cstheme="minorBidi"/>
          <w:b w:val="0"/>
          <w:sz w:val="24"/>
          <w:lang w:val="en-US" w:eastAsia="en-US"/>
        </w:rPr>
        <w:t>կկատարվի</w:t>
      </w:r>
      <w:r w:rsidRPr="00D021E9">
        <w:rPr>
          <w:rFonts w:eastAsiaTheme="minorHAnsi" w:cstheme="minorBidi"/>
          <w:b w:val="0"/>
          <w:sz w:val="24"/>
          <w:lang w:val="es-ES" w:eastAsia="en-US"/>
        </w:rPr>
        <w:t xml:space="preserve"> </w:t>
      </w:r>
      <w:r>
        <w:rPr>
          <w:rFonts w:eastAsiaTheme="minorHAnsi" w:cstheme="minorBidi"/>
          <w:b w:val="0"/>
          <w:sz w:val="24"/>
          <w:lang w:val="es-ES" w:eastAsia="en-US"/>
        </w:rPr>
        <w:t>ԱՄՆ դոլար</w:t>
      </w:r>
      <w:r w:rsidRPr="00D021E9">
        <w:rPr>
          <w:rFonts w:eastAsiaTheme="minorHAnsi" w:cstheme="minorBidi"/>
          <w:b w:val="0"/>
          <w:sz w:val="24"/>
          <w:lang w:val="es-ES" w:eastAsia="en-US"/>
        </w:rPr>
        <w:t xml:space="preserve">ով </w:t>
      </w:r>
      <w:r w:rsidRPr="00D021E9">
        <w:rPr>
          <w:rFonts w:eastAsiaTheme="minorHAnsi" w:cstheme="minorBidi"/>
          <w:b w:val="0"/>
          <w:sz w:val="24"/>
          <w:lang w:val="en-US" w:eastAsia="en-US"/>
        </w:rPr>
        <w:t>տրամադրված</w:t>
      </w:r>
      <w:r w:rsidRPr="00D021E9">
        <w:rPr>
          <w:rFonts w:eastAsiaTheme="minorHAnsi" w:cstheme="minorBidi"/>
          <w:b w:val="0"/>
          <w:sz w:val="24"/>
          <w:lang w:val="es-ES" w:eastAsia="en-US"/>
        </w:rPr>
        <w:t xml:space="preserve"> </w:t>
      </w:r>
      <w:r w:rsidRPr="00D021E9">
        <w:rPr>
          <w:rFonts w:eastAsiaTheme="minorHAnsi" w:cstheme="minorBidi"/>
          <w:b w:val="0"/>
          <w:sz w:val="24"/>
          <w:lang w:val="en-US" w:eastAsia="en-US"/>
        </w:rPr>
        <w:t>վարկերի</w:t>
      </w:r>
      <w:r w:rsidRPr="00D021E9">
        <w:rPr>
          <w:rFonts w:eastAsiaTheme="minorHAnsi" w:cstheme="minorBidi"/>
          <w:b w:val="0"/>
          <w:sz w:val="24"/>
          <w:lang w:val="es-ES" w:eastAsia="en-US"/>
        </w:rPr>
        <w:t xml:space="preserve"> </w:t>
      </w:r>
      <w:r w:rsidRPr="00D021E9">
        <w:rPr>
          <w:rFonts w:eastAsiaTheme="minorHAnsi" w:cstheme="minorBidi"/>
          <w:b w:val="0"/>
          <w:sz w:val="24"/>
          <w:lang w:val="en-US" w:eastAsia="en-US"/>
        </w:rPr>
        <w:t>գծով</w:t>
      </w:r>
      <w:r w:rsidRPr="00D021E9">
        <w:rPr>
          <w:rFonts w:eastAsiaTheme="minorHAnsi" w:cstheme="minorBidi"/>
          <w:b w:val="0"/>
          <w:sz w:val="24"/>
          <w:lang w:val="es-ES" w:eastAsia="en-US"/>
        </w:rPr>
        <w:t>:</w:t>
      </w:r>
      <w:r w:rsidRPr="00E81B58">
        <w:rPr>
          <w:rFonts w:eastAsiaTheme="minorHAnsi" w:cstheme="minorBidi"/>
          <w:b w:val="0"/>
          <w:sz w:val="24"/>
          <w:lang w:val="es-ES" w:eastAsia="en-US"/>
        </w:rPr>
        <w:t xml:space="preserve"> </w:t>
      </w:r>
    </w:p>
    <w:p w:rsidR="00DD7F34" w:rsidRPr="00E81B58" w:rsidRDefault="008239DE" w:rsidP="007730AA">
      <w:pPr>
        <w:spacing w:before="0"/>
        <w:ind w:firstLine="720"/>
        <w:contextualSpacing w:val="0"/>
        <w:rPr>
          <w:rFonts w:eastAsiaTheme="minorHAnsi" w:cstheme="minorBidi"/>
          <w:b w:val="0"/>
          <w:sz w:val="24"/>
          <w:lang w:val="es-ES" w:eastAsia="en-US"/>
        </w:rPr>
      </w:pPr>
      <w:r>
        <w:rPr>
          <w:noProof/>
          <w:lang w:val="en-US" w:eastAsia="en-US"/>
        </w:rPr>
        <mc:AlternateContent>
          <mc:Choice Requires="wpg">
            <w:drawing>
              <wp:anchor distT="0" distB="0" distL="114300" distR="114300" simplePos="0" relativeHeight="251725312" behindDoc="0" locked="0" layoutInCell="1" allowOverlap="1">
                <wp:simplePos x="0" y="0"/>
                <wp:positionH relativeFrom="column">
                  <wp:posOffset>-123825</wp:posOffset>
                </wp:positionH>
                <wp:positionV relativeFrom="paragraph">
                  <wp:posOffset>18415</wp:posOffset>
                </wp:positionV>
                <wp:extent cx="6798945" cy="1741170"/>
                <wp:effectExtent l="114300" t="95250" r="116205" b="87630"/>
                <wp:wrapNone/>
                <wp:docPr id="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8945" cy="1741170"/>
                          <a:chOff x="0" y="0"/>
                          <a:chExt cx="9815554" cy="2756129"/>
                        </a:xfrm>
                      </wpg:grpSpPr>
                      <wpg:graphicFrame>
                        <wpg:cNvPr id="70" name="Chart 2"/>
                        <wpg:cNvFrPr>
                          <a:graphicFrameLocks/>
                        </wpg:cNvFrPr>
                        <wpg:xfrm>
                          <a:off x="0" y="11603"/>
                          <a:ext cx="4861394" cy="2744526"/>
                        </wpg:xfrm>
                        <a:graphic>
                          <a:graphicData uri="http://schemas.openxmlformats.org/drawingml/2006/chart">
                            <c:chart xmlns:c="http://schemas.openxmlformats.org/drawingml/2006/chart" xmlns:r="http://schemas.openxmlformats.org/officeDocument/2006/relationships" r:id="rId83"/>
                          </a:graphicData>
                        </a:graphic>
                      </wpg:graphicFrame>
                      <wpg:graphicFrame>
                        <wpg:cNvPr id="71" name="Chart 3"/>
                        <wpg:cNvFrPr>
                          <a:graphicFrameLocks/>
                        </wpg:cNvFrPr>
                        <wpg:xfrm>
                          <a:off x="4951178" y="0"/>
                          <a:ext cx="4864376" cy="2748333"/>
                        </wpg:xfrm>
                        <a:graphic>
                          <a:graphicData uri="http://schemas.openxmlformats.org/drawingml/2006/chart">
                            <c:chart xmlns:c="http://schemas.openxmlformats.org/drawingml/2006/chart" xmlns:r="http://schemas.openxmlformats.org/officeDocument/2006/relationships" r:id="rId84"/>
                          </a:graphicData>
                        </a:graphic>
                      </wpg:graphicFrame>
                    </wpg:wgp>
                  </a:graphicData>
                </a:graphic>
                <wp14:sizeRelH relativeFrom="margin">
                  <wp14:pctWidth>0</wp14:pctWidth>
                </wp14:sizeRelH>
                <wp14:sizeRelV relativeFrom="margin">
                  <wp14:pctHeight>0</wp14:pctHeight>
                </wp14:sizeRelV>
              </wp:anchor>
            </w:drawing>
          </mc:Choice>
          <mc:Fallback>
            <w:pict>
              <v:group w14:anchorId="5A921992" id="Group 2" o:spid="_x0000_s1026" style="position:absolute;margin-left:-9.75pt;margin-top:1.45pt;width:535.35pt;height:137.1pt;z-index:251725312;mso-width-relative:margin;mso-height-relative:margin" coordsize="98155,27561"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">
                <v:shape id="Chart 2" o:spid="_x0000_s1027" type="#_x0000_t75" style="position:absolute;left:-1320;top:-1061;width:51220;height:29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">
                  <v:imagedata r:id="rId85" o:title=""/>
                  <o:lock v:ext="edit" aspectratio="f"/>
                </v:shape>
                <v:shape id="Chart 3" o:spid="_x0000_s1028" type="#_x0000_t75" style="position:absolute;left:48227;top:-1157;width:51221;height:29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">
                  <v:imagedata r:id="rId86" o:title=""/>
                  <o:lock v:ext="edit" aspectratio="f"/>
                </v:shape>
              </v:group>
            </w:pict>
          </mc:Fallback>
        </mc:AlternateContent>
      </w:r>
    </w:p>
    <w:p w:rsidR="00DD7F34" w:rsidRPr="00971332" w:rsidRDefault="00DD7F34" w:rsidP="007730AA">
      <w:pPr>
        <w:tabs>
          <w:tab w:val="num" w:pos="720"/>
        </w:tabs>
        <w:spacing w:before="0"/>
        <w:ind w:firstLine="0"/>
        <w:contextualSpacing w:val="0"/>
        <w:jc w:val="center"/>
        <w:rPr>
          <w:rFonts w:eastAsiaTheme="minorHAnsi" w:cstheme="minorBidi"/>
          <w:b w:val="0"/>
          <w:szCs w:val="22"/>
          <w:lang w:val="es-ES" w:eastAsia="en-US"/>
        </w:rPr>
      </w:pPr>
    </w:p>
    <w:p w:rsidR="00DD7F34" w:rsidRPr="00E81B58" w:rsidRDefault="00DD7F34" w:rsidP="007730AA">
      <w:pPr>
        <w:tabs>
          <w:tab w:val="num" w:pos="720"/>
        </w:tabs>
        <w:spacing w:before="0"/>
        <w:ind w:firstLine="0"/>
        <w:contextualSpacing w:val="0"/>
        <w:jc w:val="center"/>
        <w:rPr>
          <w:rFonts w:eastAsiaTheme="minorHAnsi" w:cstheme="minorBidi"/>
          <w:b w:val="0"/>
          <w:szCs w:val="22"/>
          <w:lang w:val="es-ES" w:eastAsia="en-US"/>
        </w:rPr>
      </w:pPr>
    </w:p>
    <w:p w:rsidR="00DD7F34" w:rsidRPr="00E81B58" w:rsidRDefault="00DD7F34" w:rsidP="007730AA">
      <w:pPr>
        <w:tabs>
          <w:tab w:val="num" w:pos="720"/>
        </w:tabs>
        <w:spacing w:before="0"/>
        <w:ind w:firstLine="0"/>
        <w:contextualSpacing w:val="0"/>
        <w:jc w:val="center"/>
        <w:rPr>
          <w:rFonts w:eastAsiaTheme="minorHAnsi" w:cstheme="minorBidi"/>
          <w:b w:val="0"/>
          <w:szCs w:val="22"/>
          <w:lang w:val="es-ES" w:eastAsia="en-US"/>
        </w:rPr>
      </w:pPr>
    </w:p>
    <w:p w:rsidR="00DD7F34" w:rsidRPr="00E81B58" w:rsidRDefault="00DD7F34" w:rsidP="007730AA">
      <w:pPr>
        <w:tabs>
          <w:tab w:val="num" w:pos="720"/>
        </w:tabs>
        <w:spacing w:before="0"/>
        <w:ind w:firstLine="0"/>
        <w:contextualSpacing w:val="0"/>
        <w:jc w:val="center"/>
        <w:rPr>
          <w:rFonts w:eastAsiaTheme="minorHAnsi" w:cstheme="minorBidi"/>
          <w:b w:val="0"/>
          <w:szCs w:val="22"/>
          <w:lang w:val="es-ES" w:eastAsia="en-US"/>
        </w:rPr>
      </w:pPr>
    </w:p>
    <w:p w:rsidR="00E513E7" w:rsidRPr="005578F9" w:rsidRDefault="00E513E7" w:rsidP="007730AA">
      <w:pPr>
        <w:spacing w:before="0" w:line="276" w:lineRule="auto"/>
        <w:ind w:firstLine="0"/>
        <w:contextualSpacing w:val="0"/>
        <w:jc w:val="left"/>
        <w:rPr>
          <w:rFonts w:eastAsiaTheme="minorHAnsi" w:cs="Arial"/>
          <w:szCs w:val="22"/>
          <w:lang w:val="es-ES" w:eastAsia="en-US"/>
        </w:rPr>
      </w:pPr>
    </w:p>
    <w:p w:rsidR="00E513E7" w:rsidRPr="005578F9" w:rsidRDefault="00E513E7" w:rsidP="007730AA">
      <w:pPr>
        <w:spacing w:before="0" w:line="276" w:lineRule="auto"/>
        <w:ind w:firstLine="0"/>
        <w:contextualSpacing w:val="0"/>
        <w:jc w:val="left"/>
        <w:rPr>
          <w:rFonts w:eastAsiaTheme="minorHAnsi" w:cs="Arial"/>
          <w:szCs w:val="22"/>
          <w:lang w:val="es-ES" w:eastAsia="en-US"/>
        </w:rPr>
      </w:pPr>
    </w:p>
    <w:p w:rsidR="00472C29" w:rsidRPr="009C7050" w:rsidRDefault="00472C29" w:rsidP="007730AA">
      <w:pPr>
        <w:spacing w:before="0" w:line="276" w:lineRule="auto"/>
        <w:ind w:firstLine="0"/>
        <w:contextualSpacing w:val="0"/>
        <w:jc w:val="left"/>
        <w:rPr>
          <w:rFonts w:eastAsiaTheme="minorHAnsi" w:cs="Arial"/>
          <w:szCs w:val="22"/>
          <w:lang w:val="es-ES" w:eastAsia="en-US"/>
        </w:rPr>
      </w:pPr>
      <w:r w:rsidRPr="009C1BFA">
        <w:rPr>
          <w:rFonts w:eastAsiaTheme="minorHAnsi" w:cs="Arial"/>
          <w:szCs w:val="22"/>
          <w:lang w:val="en-US" w:eastAsia="en-US"/>
        </w:rPr>
        <w:t>Կառավարության</w:t>
      </w:r>
      <w:r w:rsidRPr="009C7050">
        <w:rPr>
          <w:rFonts w:eastAsiaTheme="minorHAnsi" w:cs="Arial"/>
          <w:szCs w:val="22"/>
          <w:lang w:val="es-ES" w:eastAsia="en-US"/>
        </w:rPr>
        <w:t xml:space="preserve"> </w:t>
      </w:r>
      <w:r w:rsidRPr="009C1BFA">
        <w:rPr>
          <w:rFonts w:eastAsiaTheme="minorHAnsi" w:cs="Arial"/>
          <w:szCs w:val="22"/>
          <w:lang w:val="en-US" w:eastAsia="en-US"/>
        </w:rPr>
        <w:t>պարտքի</w:t>
      </w:r>
      <w:r w:rsidRPr="009C7050">
        <w:rPr>
          <w:rFonts w:eastAsiaTheme="minorHAnsi" w:cs="Arial"/>
          <w:szCs w:val="22"/>
          <w:lang w:val="es-ES" w:eastAsia="en-US"/>
        </w:rPr>
        <w:t xml:space="preserve"> </w:t>
      </w:r>
      <w:r w:rsidRPr="009C1BFA">
        <w:rPr>
          <w:rFonts w:eastAsiaTheme="minorHAnsi" w:cs="Arial"/>
          <w:szCs w:val="22"/>
          <w:lang w:val="en-US" w:eastAsia="en-US"/>
        </w:rPr>
        <w:t>մարումը</w:t>
      </w:r>
      <w:r w:rsidRPr="009C7050">
        <w:rPr>
          <w:rFonts w:eastAsiaTheme="minorHAnsi" w:cs="Arial"/>
          <w:szCs w:val="22"/>
          <w:lang w:val="es-ES" w:eastAsia="en-US"/>
        </w:rPr>
        <w:t xml:space="preserve"> </w:t>
      </w:r>
      <w:r w:rsidRPr="009C1BFA">
        <w:rPr>
          <w:rFonts w:eastAsiaTheme="minorHAnsi" w:cs="Arial"/>
          <w:szCs w:val="22"/>
          <w:lang w:val="en-US" w:eastAsia="en-US"/>
        </w:rPr>
        <w:t>և</w:t>
      </w:r>
      <w:r w:rsidRPr="009C7050">
        <w:rPr>
          <w:rFonts w:eastAsiaTheme="minorHAnsi" w:cs="Arial"/>
          <w:szCs w:val="22"/>
          <w:lang w:val="es-ES" w:eastAsia="en-US"/>
        </w:rPr>
        <w:t xml:space="preserve"> </w:t>
      </w:r>
      <w:r w:rsidRPr="009C1BFA">
        <w:rPr>
          <w:rFonts w:eastAsiaTheme="minorHAnsi" w:cs="Arial"/>
          <w:szCs w:val="22"/>
          <w:lang w:val="en-US" w:eastAsia="en-US"/>
        </w:rPr>
        <w:t>սպասարկումը</w:t>
      </w:r>
    </w:p>
    <w:p w:rsidR="00E513E7" w:rsidRDefault="00E513E7" w:rsidP="007730AA">
      <w:pPr>
        <w:spacing w:before="0" w:line="276" w:lineRule="auto"/>
        <w:ind w:firstLine="720"/>
        <w:contextualSpacing w:val="0"/>
        <w:rPr>
          <w:rFonts w:eastAsiaTheme="minorHAnsi" w:cstheme="minorBidi"/>
          <w:b w:val="0"/>
          <w:bCs/>
          <w:sz w:val="24"/>
          <w:lang w:val="es-ES" w:eastAsia="en-US"/>
        </w:rPr>
      </w:pPr>
    </w:p>
    <w:p w:rsidR="00472C29" w:rsidRPr="00597F50" w:rsidRDefault="00472C29" w:rsidP="007730AA">
      <w:pPr>
        <w:spacing w:before="0" w:line="276" w:lineRule="auto"/>
        <w:ind w:firstLine="720"/>
        <w:contextualSpacing w:val="0"/>
        <w:rPr>
          <w:rFonts w:eastAsiaTheme="minorHAnsi" w:cstheme="minorBidi"/>
          <w:b w:val="0"/>
          <w:bCs/>
          <w:szCs w:val="22"/>
          <w:lang w:val="hy-AM" w:eastAsia="en-US"/>
        </w:rPr>
      </w:pPr>
      <w:r w:rsidRPr="00472C29">
        <w:rPr>
          <w:rFonts w:eastAsiaTheme="minorHAnsi" w:cstheme="minorBidi"/>
          <w:b w:val="0"/>
          <w:bCs/>
          <w:sz w:val="24"/>
          <w:lang w:val="es-ES" w:eastAsia="en-US"/>
        </w:rPr>
        <w:t xml:space="preserve">2021 </w:t>
      </w:r>
      <w:r w:rsidRPr="00472C29">
        <w:rPr>
          <w:rFonts w:eastAsiaTheme="minorHAnsi" w:cstheme="minorBidi"/>
          <w:b w:val="0"/>
          <w:bCs/>
          <w:sz w:val="24"/>
          <w:lang w:val="en-US" w:eastAsia="en-US"/>
        </w:rPr>
        <w:t>թվականին</w:t>
      </w:r>
      <w:r w:rsidRPr="00472C29">
        <w:rPr>
          <w:rFonts w:eastAsiaTheme="minorHAnsi" w:cstheme="minorBidi"/>
          <w:b w:val="0"/>
          <w:bCs/>
          <w:sz w:val="24"/>
          <w:lang w:val="es-ES" w:eastAsia="en-US"/>
        </w:rPr>
        <w:t xml:space="preserve"> </w:t>
      </w:r>
      <w:r w:rsidRPr="00472C29">
        <w:rPr>
          <w:rFonts w:eastAsiaTheme="minorHAnsi" w:cstheme="minorBidi"/>
          <w:b w:val="0"/>
          <w:bCs/>
          <w:sz w:val="24"/>
          <w:lang w:val="en-US" w:eastAsia="en-US"/>
        </w:rPr>
        <w:t>կառավարության</w:t>
      </w:r>
      <w:r w:rsidRPr="00472C29">
        <w:rPr>
          <w:rFonts w:eastAsiaTheme="minorHAnsi" w:cstheme="minorBidi"/>
          <w:b w:val="0"/>
          <w:bCs/>
          <w:sz w:val="24"/>
          <w:lang w:val="es-ES" w:eastAsia="en-US"/>
        </w:rPr>
        <w:t xml:space="preserve"> </w:t>
      </w:r>
      <w:r w:rsidRPr="00472C29">
        <w:rPr>
          <w:rFonts w:eastAsiaTheme="minorHAnsi" w:cstheme="minorBidi"/>
          <w:b w:val="0"/>
          <w:bCs/>
          <w:sz w:val="24"/>
          <w:lang w:val="en-US" w:eastAsia="en-US"/>
        </w:rPr>
        <w:t>պարտքի</w:t>
      </w:r>
      <w:r w:rsidRPr="00472C29">
        <w:rPr>
          <w:rFonts w:eastAsiaTheme="minorHAnsi" w:cstheme="minorBidi"/>
          <w:b w:val="0"/>
          <w:bCs/>
          <w:sz w:val="24"/>
          <w:lang w:val="es-ES" w:eastAsia="en-US"/>
        </w:rPr>
        <w:t xml:space="preserve"> </w:t>
      </w:r>
      <w:r w:rsidRPr="00472C29">
        <w:rPr>
          <w:rFonts w:eastAsiaTheme="minorHAnsi" w:cstheme="minorBidi"/>
          <w:b w:val="0"/>
          <w:bCs/>
          <w:sz w:val="24"/>
          <w:lang w:val="en-US" w:eastAsia="en-US"/>
        </w:rPr>
        <w:t>մարման</w:t>
      </w:r>
      <w:r w:rsidRPr="00472C29">
        <w:rPr>
          <w:rFonts w:eastAsiaTheme="minorHAnsi" w:cstheme="minorBidi"/>
          <w:b w:val="0"/>
          <w:bCs/>
          <w:sz w:val="24"/>
          <w:lang w:val="es-ES" w:eastAsia="en-US"/>
        </w:rPr>
        <w:t xml:space="preserve"> </w:t>
      </w:r>
      <w:r w:rsidRPr="00472C29">
        <w:rPr>
          <w:rFonts w:eastAsiaTheme="minorHAnsi" w:cstheme="minorBidi"/>
          <w:b w:val="0"/>
          <w:bCs/>
          <w:sz w:val="24"/>
          <w:lang w:val="en-US" w:eastAsia="en-US"/>
        </w:rPr>
        <w:t>և</w:t>
      </w:r>
      <w:r w:rsidRPr="00472C29">
        <w:rPr>
          <w:rFonts w:eastAsiaTheme="minorHAnsi" w:cstheme="minorBidi"/>
          <w:b w:val="0"/>
          <w:bCs/>
          <w:sz w:val="24"/>
          <w:lang w:val="es-ES" w:eastAsia="en-US"/>
        </w:rPr>
        <w:t xml:space="preserve"> </w:t>
      </w:r>
      <w:r w:rsidRPr="00472C29">
        <w:rPr>
          <w:rFonts w:eastAsiaTheme="minorHAnsi" w:cstheme="minorBidi"/>
          <w:b w:val="0"/>
          <w:bCs/>
          <w:sz w:val="24"/>
          <w:lang w:val="en-US" w:eastAsia="en-US"/>
        </w:rPr>
        <w:t>սպասարկման</w:t>
      </w:r>
      <w:r w:rsidRPr="00472C29">
        <w:rPr>
          <w:rFonts w:eastAsiaTheme="minorHAnsi" w:cstheme="minorBidi"/>
          <w:b w:val="0"/>
          <w:bCs/>
          <w:sz w:val="24"/>
          <w:lang w:val="es-ES" w:eastAsia="en-US"/>
        </w:rPr>
        <w:t xml:space="preserve"> </w:t>
      </w:r>
      <w:r w:rsidRPr="00472C29">
        <w:rPr>
          <w:rFonts w:eastAsiaTheme="minorHAnsi" w:cstheme="minorBidi"/>
          <w:b w:val="0"/>
          <w:bCs/>
          <w:sz w:val="24"/>
          <w:lang w:val="en-US" w:eastAsia="en-US"/>
        </w:rPr>
        <w:t>համար</w:t>
      </w:r>
      <w:r w:rsidRPr="00472C29">
        <w:rPr>
          <w:rFonts w:eastAsiaTheme="minorHAnsi" w:cstheme="minorBidi"/>
          <w:b w:val="0"/>
          <w:bCs/>
          <w:sz w:val="24"/>
          <w:lang w:val="es-ES" w:eastAsia="en-US"/>
        </w:rPr>
        <w:t xml:space="preserve"> </w:t>
      </w:r>
      <w:r w:rsidRPr="00975ABC">
        <w:rPr>
          <w:rFonts w:eastAsiaTheme="minorHAnsi" w:cstheme="minorBidi"/>
          <w:b w:val="0"/>
          <w:bCs/>
          <w:szCs w:val="22"/>
          <w:lang w:val="en-US" w:eastAsia="en-US"/>
        </w:rPr>
        <w:t>կպահանջվի</w:t>
      </w:r>
      <w:r w:rsidRPr="00975ABC">
        <w:rPr>
          <w:rFonts w:eastAsiaTheme="minorHAnsi" w:cstheme="minorBidi"/>
          <w:b w:val="0"/>
          <w:bCs/>
          <w:szCs w:val="22"/>
          <w:lang w:val="es-ES" w:eastAsia="en-US"/>
        </w:rPr>
        <w:t xml:space="preserve"> 48</w:t>
      </w:r>
      <w:r w:rsidR="00597F50">
        <w:rPr>
          <w:rFonts w:eastAsiaTheme="minorHAnsi" w:cstheme="minorBidi"/>
          <w:b w:val="0"/>
          <w:bCs/>
          <w:szCs w:val="22"/>
          <w:lang w:val="hy-AM" w:eastAsia="en-US"/>
        </w:rPr>
        <w:t>0</w:t>
      </w:r>
      <w:r w:rsidRPr="00975ABC">
        <w:rPr>
          <w:rFonts w:eastAsiaTheme="minorHAnsi" w:cstheme="minorBidi"/>
          <w:b w:val="0"/>
          <w:bCs/>
          <w:szCs w:val="22"/>
          <w:lang w:val="es-ES" w:eastAsia="en-US"/>
        </w:rPr>
        <w:t>.</w:t>
      </w:r>
      <w:r w:rsidR="00597F50">
        <w:rPr>
          <w:rFonts w:eastAsiaTheme="minorHAnsi" w:cstheme="minorBidi"/>
          <w:b w:val="0"/>
          <w:bCs/>
          <w:szCs w:val="22"/>
          <w:lang w:val="hy-AM" w:eastAsia="en-US"/>
        </w:rPr>
        <w:t>4</w:t>
      </w:r>
      <w:r w:rsidRPr="00975ABC">
        <w:rPr>
          <w:rFonts w:eastAsiaTheme="minorHAnsi" w:cstheme="minorBidi"/>
          <w:b w:val="0"/>
          <w:bCs/>
          <w:szCs w:val="22"/>
          <w:lang w:val="es-ES" w:eastAsia="en-US"/>
        </w:rPr>
        <w:t xml:space="preserve"> </w:t>
      </w:r>
      <w:r w:rsidRPr="00597F50">
        <w:rPr>
          <w:rFonts w:eastAsiaTheme="minorHAnsi" w:cstheme="minorBidi"/>
          <w:b w:val="0"/>
          <w:bCs/>
          <w:szCs w:val="22"/>
          <w:lang w:val="hy-AM" w:eastAsia="en-US"/>
        </w:rPr>
        <w:t>մլրդ</w:t>
      </w:r>
      <w:r w:rsidRPr="00975ABC">
        <w:rPr>
          <w:rFonts w:eastAsiaTheme="minorHAnsi" w:cstheme="minorBidi"/>
          <w:b w:val="0"/>
          <w:bCs/>
          <w:szCs w:val="22"/>
          <w:lang w:val="es-ES" w:eastAsia="en-US"/>
        </w:rPr>
        <w:t xml:space="preserve"> </w:t>
      </w:r>
      <w:r w:rsidRPr="00597F50">
        <w:rPr>
          <w:rFonts w:eastAsiaTheme="minorHAnsi" w:cstheme="minorBidi"/>
          <w:b w:val="0"/>
          <w:bCs/>
          <w:szCs w:val="22"/>
          <w:lang w:val="hy-AM" w:eastAsia="en-US"/>
        </w:rPr>
        <w:t>դրամ</w:t>
      </w:r>
      <w:r w:rsidRPr="00975ABC">
        <w:rPr>
          <w:rFonts w:eastAsiaTheme="minorHAnsi" w:cstheme="minorBidi"/>
          <w:b w:val="0"/>
          <w:bCs/>
          <w:szCs w:val="22"/>
          <w:lang w:val="es-ES" w:eastAsia="en-US"/>
        </w:rPr>
        <w:t xml:space="preserve">, </w:t>
      </w:r>
      <w:r w:rsidRPr="00597F50">
        <w:rPr>
          <w:rFonts w:eastAsiaTheme="minorHAnsi" w:cstheme="minorBidi"/>
          <w:b w:val="0"/>
          <w:bCs/>
          <w:szCs w:val="22"/>
          <w:lang w:val="hy-AM" w:eastAsia="en-US"/>
        </w:rPr>
        <w:t>որից</w:t>
      </w:r>
      <w:r w:rsidRPr="00975ABC">
        <w:rPr>
          <w:rFonts w:eastAsiaTheme="minorHAnsi" w:cstheme="minorBidi"/>
          <w:b w:val="0"/>
          <w:bCs/>
          <w:szCs w:val="22"/>
          <w:lang w:val="es-ES" w:eastAsia="en-US"/>
        </w:rPr>
        <w:t xml:space="preserve"> 285.7 </w:t>
      </w:r>
      <w:r w:rsidRPr="00597F50">
        <w:rPr>
          <w:rFonts w:eastAsiaTheme="minorHAnsi" w:cstheme="minorBidi"/>
          <w:b w:val="0"/>
          <w:bCs/>
          <w:szCs w:val="22"/>
          <w:lang w:val="hy-AM" w:eastAsia="en-US"/>
        </w:rPr>
        <w:t>մլրդ</w:t>
      </w:r>
      <w:r w:rsidRPr="00975ABC">
        <w:rPr>
          <w:rFonts w:eastAsiaTheme="minorHAnsi" w:cstheme="minorBidi"/>
          <w:b w:val="0"/>
          <w:bCs/>
          <w:szCs w:val="22"/>
          <w:lang w:val="es-ES" w:eastAsia="en-US"/>
        </w:rPr>
        <w:t xml:space="preserve"> </w:t>
      </w:r>
      <w:r w:rsidRPr="00597F50">
        <w:rPr>
          <w:rFonts w:eastAsiaTheme="minorHAnsi" w:cstheme="minorBidi"/>
          <w:b w:val="0"/>
          <w:bCs/>
          <w:szCs w:val="22"/>
          <w:lang w:val="hy-AM" w:eastAsia="en-US"/>
        </w:rPr>
        <w:t>դրամը</w:t>
      </w:r>
      <w:r w:rsidRPr="00975ABC">
        <w:rPr>
          <w:rFonts w:eastAsiaTheme="minorHAnsi" w:cstheme="minorBidi"/>
          <w:b w:val="0"/>
          <w:bCs/>
          <w:szCs w:val="22"/>
          <w:lang w:val="es-ES" w:eastAsia="en-US"/>
        </w:rPr>
        <w:t xml:space="preserve"> </w:t>
      </w:r>
      <w:r w:rsidRPr="00597F50">
        <w:rPr>
          <w:rFonts w:eastAsiaTheme="minorHAnsi" w:cstheme="minorBidi"/>
          <w:b w:val="0"/>
          <w:bCs/>
          <w:szCs w:val="22"/>
          <w:lang w:val="hy-AM" w:eastAsia="en-US"/>
        </w:rPr>
        <w:t>կկազմեն</w:t>
      </w:r>
      <w:r w:rsidRPr="00975ABC">
        <w:rPr>
          <w:rFonts w:eastAsiaTheme="minorHAnsi" w:cstheme="minorBidi"/>
          <w:b w:val="0"/>
          <w:bCs/>
          <w:szCs w:val="22"/>
          <w:lang w:val="es-ES" w:eastAsia="en-US"/>
        </w:rPr>
        <w:t xml:space="preserve"> </w:t>
      </w:r>
      <w:r w:rsidRPr="00597F50">
        <w:rPr>
          <w:rFonts w:eastAsiaTheme="minorHAnsi" w:cstheme="minorBidi"/>
          <w:b w:val="0"/>
          <w:bCs/>
          <w:szCs w:val="22"/>
          <w:lang w:val="hy-AM" w:eastAsia="en-US"/>
        </w:rPr>
        <w:t>պարտքի</w:t>
      </w:r>
      <w:r w:rsidRPr="00975ABC">
        <w:rPr>
          <w:rFonts w:eastAsiaTheme="minorHAnsi" w:cstheme="minorBidi"/>
          <w:b w:val="0"/>
          <w:bCs/>
          <w:szCs w:val="22"/>
          <w:lang w:val="es-ES" w:eastAsia="en-US"/>
        </w:rPr>
        <w:t xml:space="preserve"> </w:t>
      </w:r>
      <w:r w:rsidRPr="00597F50">
        <w:rPr>
          <w:rFonts w:eastAsiaTheme="minorHAnsi" w:cstheme="minorBidi"/>
          <w:b w:val="0"/>
          <w:bCs/>
          <w:szCs w:val="22"/>
          <w:lang w:val="hy-AM" w:eastAsia="en-US"/>
        </w:rPr>
        <w:t>գծով</w:t>
      </w:r>
      <w:r w:rsidRPr="00975ABC">
        <w:rPr>
          <w:rFonts w:eastAsiaTheme="minorHAnsi" w:cstheme="minorBidi"/>
          <w:b w:val="0"/>
          <w:bCs/>
          <w:szCs w:val="22"/>
          <w:lang w:val="es-ES" w:eastAsia="en-US"/>
        </w:rPr>
        <w:t xml:space="preserve"> </w:t>
      </w:r>
      <w:r w:rsidRPr="00597F50">
        <w:rPr>
          <w:rFonts w:eastAsiaTheme="minorHAnsi" w:cstheme="minorBidi"/>
          <w:b w:val="0"/>
          <w:bCs/>
          <w:szCs w:val="22"/>
          <w:lang w:val="hy-AM" w:eastAsia="en-US"/>
        </w:rPr>
        <w:t>մարումները</w:t>
      </w:r>
      <w:r w:rsidRPr="00975ABC">
        <w:rPr>
          <w:rFonts w:eastAsiaTheme="minorHAnsi" w:cstheme="minorBidi"/>
          <w:b w:val="0"/>
          <w:bCs/>
          <w:szCs w:val="22"/>
          <w:lang w:val="es-ES" w:eastAsia="en-US"/>
        </w:rPr>
        <w:t xml:space="preserve">, </w:t>
      </w:r>
      <w:r w:rsidRPr="00597F50">
        <w:rPr>
          <w:rFonts w:eastAsiaTheme="minorHAnsi" w:cstheme="minorBidi"/>
          <w:b w:val="0"/>
          <w:bCs/>
          <w:szCs w:val="22"/>
          <w:lang w:val="hy-AM" w:eastAsia="en-US"/>
        </w:rPr>
        <w:t>իսկ</w:t>
      </w:r>
      <w:r w:rsidRPr="00975ABC">
        <w:rPr>
          <w:rFonts w:eastAsiaTheme="minorHAnsi" w:cstheme="minorBidi"/>
          <w:b w:val="0"/>
          <w:bCs/>
          <w:szCs w:val="22"/>
          <w:lang w:val="es-ES" w:eastAsia="en-US"/>
        </w:rPr>
        <w:t xml:space="preserve"> 1</w:t>
      </w:r>
      <w:r w:rsidR="00597F50">
        <w:rPr>
          <w:rFonts w:eastAsiaTheme="minorHAnsi" w:cstheme="minorBidi"/>
          <w:b w:val="0"/>
          <w:bCs/>
          <w:szCs w:val="22"/>
          <w:lang w:val="hy-AM" w:eastAsia="en-US"/>
        </w:rPr>
        <w:t>94</w:t>
      </w:r>
      <w:r w:rsidRPr="00975ABC">
        <w:rPr>
          <w:rFonts w:eastAsiaTheme="minorHAnsi" w:cstheme="minorBidi"/>
          <w:b w:val="0"/>
          <w:bCs/>
          <w:szCs w:val="22"/>
          <w:lang w:val="es-ES" w:eastAsia="en-US"/>
        </w:rPr>
        <w:t>.</w:t>
      </w:r>
      <w:r w:rsidR="00597F50">
        <w:rPr>
          <w:rFonts w:eastAsiaTheme="minorHAnsi" w:cstheme="minorBidi"/>
          <w:b w:val="0"/>
          <w:bCs/>
          <w:szCs w:val="22"/>
          <w:lang w:val="hy-AM" w:eastAsia="en-US"/>
        </w:rPr>
        <w:t>7</w:t>
      </w:r>
      <w:r w:rsidRPr="00975ABC">
        <w:rPr>
          <w:rFonts w:eastAsiaTheme="minorHAnsi" w:cstheme="minorBidi"/>
          <w:b w:val="0"/>
          <w:bCs/>
          <w:szCs w:val="22"/>
          <w:lang w:val="es-ES" w:eastAsia="en-US"/>
        </w:rPr>
        <w:t xml:space="preserve"> </w:t>
      </w:r>
      <w:r w:rsidRPr="00597F50">
        <w:rPr>
          <w:rFonts w:eastAsiaTheme="minorHAnsi" w:cstheme="minorBidi"/>
          <w:b w:val="0"/>
          <w:bCs/>
          <w:szCs w:val="22"/>
          <w:lang w:val="hy-AM" w:eastAsia="en-US"/>
        </w:rPr>
        <w:t>մլրդ</w:t>
      </w:r>
      <w:r w:rsidRPr="00975ABC">
        <w:rPr>
          <w:rFonts w:eastAsiaTheme="minorHAnsi" w:cstheme="minorBidi"/>
          <w:b w:val="0"/>
          <w:bCs/>
          <w:szCs w:val="22"/>
          <w:lang w:val="es-ES" w:eastAsia="en-US"/>
        </w:rPr>
        <w:t xml:space="preserve"> </w:t>
      </w:r>
      <w:r w:rsidRPr="00597F50">
        <w:rPr>
          <w:rFonts w:eastAsiaTheme="minorHAnsi" w:cstheme="minorBidi"/>
          <w:b w:val="0"/>
          <w:bCs/>
          <w:szCs w:val="22"/>
          <w:lang w:val="hy-AM" w:eastAsia="en-US"/>
        </w:rPr>
        <w:t>դրամը՝</w:t>
      </w:r>
      <w:r w:rsidRPr="00975ABC">
        <w:rPr>
          <w:rFonts w:eastAsiaTheme="minorHAnsi" w:cstheme="minorBidi"/>
          <w:b w:val="0"/>
          <w:bCs/>
          <w:szCs w:val="22"/>
          <w:lang w:val="es-ES" w:eastAsia="en-US"/>
        </w:rPr>
        <w:t xml:space="preserve"> </w:t>
      </w:r>
      <w:r w:rsidRPr="00597F50">
        <w:rPr>
          <w:rFonts w:eastAsiaTheme="minorHAnsi" w:cstheme="minorBidi"/>
          <w:b w:val="0"/>
          <w:bCs/>
          <w:szCs w:val="22"/>
          <w:lang w:val="hy-AM" w:eastAsia="en-US"/>
        </w:rPr>
        <w:t>տոկոսավճարները</w:t>
      </w:r>
      <w:r w:rsidRPr="00975ABC">
        <w:rPr>
          <w:rFonts w:eastAsiaTheme="minorHAnsi" w:cstheme="minorBidi"/>
          <w:b w:val="0"/>
          <w:bCs/>
          <w:szCs w:val="22"/>
          <w:lang w:val="es-ES" w:eastAsia="en-US"/>
        </w:rPr>
        <w:t>:</w:t>
      </w:r>
    </w:p>
    <w:tbl>
      <w:tblPr>
        <w:tblStyle w:val="ListTable7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1583"/>
        <w:gridCol w:w="1686"/>
        <w:gridCol w:w="1644"/>
      </w:tblGrid>
      <w:tr w:rsidR="00472C29" w:rsidRPr="00472C29" w:rsidTr="006F67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33" w:type="dxa"/>
            <w:tcBorders>
              <w:bottom w:val="none" w:sz="0" w:space="0" w:color="auto"/>
              <w:right w:val="none" w:sz="0" w:space="0" w:color="auto"/>
            </w:tcBorders>
          </w:tcPr>
          <w:p w:rsidR="00472C29" w:rsidRPr="009C1BFA" w:rsidRDefault="00472C29" w:rsidP="007730AA">
            <w:pPr>
              <w:spacing w:before="0" w:line="276" w:lineRule="auto"/>
              <w:ind w:firstLine="0"/>
              <w:contextualSpacing w:val="0"/>
              <w:jc w:val="center"/>
              <w:rPr>
                <w:b w:val="0"/>
                <w:i w:val="0"/>
                <w:color w:val="auto"/>
                <w:lang w:val="en-US" w:eastAsia="en-US"/>
              </w:rPr>
            </w:pPr>
            <w:r w:rsidRPr="009C1BFA">
              <w:rPr>
                <w:b w:val="0"/>
                <w:color w:val="auto"/>
                <w:lang w:val="en-US" w:eastAsia="en-US"/>
              </w:rPr>
              <w:t>մլրդ դրամ</w:t>
            </w:r>
          </w:p>
        </w:tc>
        <w:tc>
          <w:tcPr>
            <w:tcW w:w="1583" w:type="dxa"/>
            <w:tcBorders>
              <w:bottom w:val="none" w:sz="0" w:space="0" w:color="auto"/>
            </w:tcBorders>
          </w:tcPr>
          <w:p w:rsidR="00472C29" w:rsidRPr="009C1BFA" w:rsidRDefault="00472C29"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i w:val="0"/>
                <w:color w:val="auto"/>
                <w:lang w:val="en-US" w:eastAsia="en-US"/>
              </w:rPr>
            </w:pPr>
            <w:r w:rsidRPr="009C1BFA">
              <w:rPr>
                <w:b w:val="0"/>
                <w:color w:val="auto"/>
                <w:lang w:val="en-US" w:eastAsia="en-US"/>
              </w:rPr>
              <w:t>մարում</w:t>
            </w:r>
          </w:p>
        </w:tc>
        <w:tc>
          <w:tcPr>
            <w:tcW w:w="1686" w:type="dxa"/>
            <w:tcBorders>
              <w:bottom w:val="none" w:sz="0" w:space="0" w:color="auto"/>
            </w:tcBorders>
          </w:tcPr>
          <w:p w:rsidR="00472C29" w:rsidRPr="009C1BFA" w:rsidRDefault="00472C29"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i w:val="0"/>
                <w:color w:val="auto"/>
                <w:lang w:val="en-US" w:eastAsia="en-US"/>
              </w:rPr>
            </w:pPr>
            <w:r w:rsidRPr="009C1BFA">
              <w:rPr>
                <w:b w:val="0"/>
                <w:color w:val="auto"/>
                <w:lang w:val="en-US" w:eastAsia="en-US"/>
              </w:rPr>
              <w:t>սպասարկում</w:t>
            </w:r>
          </w:p>
        </w:tc>
        <w:tc>
          <w:tcPr>
            <w:tcW w:w="1644" w:type="dxa"/>
            <w:tcBorders>
              <w:bottom w:val="none" w:sz="0" w:space="0" w:color="auto"/>
            </w:tcBorders>
          </w:tcPr>
          <w:p w:rsidR="00472C29" w:rsidRPr="009C1BFA" w:rsidRDefault="00472C29"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i w:val="0"/>
                <w:color w:val="auto"/>
                <w:lang w:val="en-US" w:eastAsia="en-US"/>
              </w:rPr>
            </w:pPr>
            <w:r w:rsidRPr="009C1BFA">
              <w:rPr>
                <w:color w:val="auto"/>
                <w:lang w:val="en-US" w:eastAsia="en-US"/>
              </w:rPr>
              <w:t>ընդամենը</w:t>
            </w:r>
          </w:p>
        </w:tc>
      </w:tr>
      <w:tr w:rsidR="006F6704" w:rsidRPr="00472C29" w:rsidTr="006F670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833" w:type="dxa"/>
            <w:tcBorders>
              <w:right w:val="none" w:sz="0" w:space="0" w:color="auto"/>
            </w:tcBorders>
            <w:vAlign w:val="center"/>
          </w:tcPr>
          <w:p w:rsidR="006F6704" w:rsidRPr="009C1BFA" w:rsidRDefault="006F6704" w:rsidP="007730AA">
            <w:pPr>
              <w:spacing w:before="0" w:line="276" w:lineRule="auto"/>
              <w:ind w:firstLine="0"/>
              <w:contextualSpacing w:val="0"/>
              <w:jc w:val="left"/>
              <w:rPr>
                <w:b w:val="0"/>
                <w:i w:val="0"/>
                <w:color w:val="auto"/>
                <w:lang w:val="en-US" w:eastAsia="en-US"/>
              </w:rPr>
            </w:pPr>
            <w:r w:rsidRPr="009C1BFA">
              <w:rPr>
                <w:b w:val="0"/>
                <w:i w:val="0"/>
                <w:color w:val="auto"/>
                <w:lang w:val="en-US" w:eastAsia="en-US"/>
              </w:rPr>
              <w:t>Պետական գանձապետական պարտատոմսեր</w:t>
            </w:r>
          </w:p>
        </w:tc>
        <w:tc>
          <w:tcPr>
            <w:tcW w:w="1583" w:type="dxa"/>
            <w:vAlign w:val="center"/>
          </w:tcPr>
          <w:p w:rsidR="006F6704" w:rsidRPr="006F6704" w:rsidRDefault="006F6704"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rPr>
            </w:pPr>
            <w:r w:rsidRPr="006F6704">
              <w:rPr>
                <w:color w:val="auto"/>
              </w:rPr>
              <w:t>159.6</w:t>
            </w:r>
            <w:r w:rsidRPr="006F6704">
              <w:rPr>
                <w:color w:val="auto"/>
              </w:rPr>
              <w:footnoteReference w:id="33"/>
            </w:r>
          </w:p>
        </w:tc>
        <w:tc>
          <w:tcPr>
            <w:tcW w:w="1686" w:type="dxa"/>
            <w:vAlign w:val="center"/>
          </w:tcPr>
          <w:p w:rsidR="006F6704" w:rsidRPr="006F6704" w:rsidRDefault="006F6704"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rPr>
            </w:pPr>
            <w:r w:rsidRPr="006F6704">
              <w:rPr>
                <w:color w:val="auto"/>
              </w:rPr>
              <w:t xml:space="preserve">           112.3 </w:t>
            </w:r>
          </w:p>
        </w:tc>
        <w:tc>
          <w:tcPr>
            <w:tcW w:w="1644" w:type="dxa"/>
            <w:vAlign w:val="center"/>
          </w:tcPr>
          <w:p w:rsidR="006F6704" w:rsidRPr="009C1BFA" w:rsidRDefault="006F6704"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rPr>
            </w:pPr>
            <w:r w:rsidRPr="006F6704">
              <w:rPr>
                <w:color w:val="auto"/>
              </w:rPr>
              <w:t xml:space="preserve">      271.9   </w:t>
            </w:r>
          </w:p>
        </w:tc>
      </w:tr>
      <w:tr w:rsidR="006F6704" w:rsidRPr="00472C29" w:rsidTr="006F6704">
        <w:trPr>
          <w:trHeight w:val="361"/>
        </w:trPr>
        <w:tc>
          <w:tcPr>
            <w:cnfStyle w:val="001000000000" w:firstRow="0" w:lastRow="0" w:firstColumn="1" w:lastColumn="0" w:oddVBand="0" w:evenVBand="0" w:oddHBand="0" w:evenHBand="0" w:firstRowFirstColumn="0" w:firstRowLastColumn="0" w:lastRowFirstColumn="0" w:lastRowLastColumn="0"/>
            <w:tcW w:w="4833" w:type="dxa"/>
            <w:tcBorders>
              <w:right w:val="none" w:sz="0" w:space="0" w:color="auto"/>
            </w:tcBorders>
            <w:vAlign w:val="center"/>
          </w:tcPr>
          <w:p w:rsidR="006F6704" w:rsidRPr="009C1BFA" w:rsidRDefault="006F6704" w:rsidP="007730AA">
            <w:pPr>
              <w:spacing w:before="0" w:line="276" w:lineRule="auto"/>
              <w:ind w:firstLine="0"/>
              <w:contextualSpacing w:val="0"/>
              <w:jc w:val="left"/>
              <w:rPr>
                <w:b w:val="0"/>
                <w:i w:val="0"/>
                <w:color w:val="auto"/>
                <w:lang w:val="en-US" w:eastAsia="en-US"/>
              </w:rPr>
            </w:pPr>
            <w:r w:rsidRPr="009C1BFA">
              <w:rPr>
                <w:b w:val="0"/>
                <w:i w:val="0"/>
                <w:color w:val="auto"/>
                <w:lang w:val="en-US" w:eastAsia="en-US"/>
              </w:rPr>
              <w:t>Արտարժութային պետական պարտատոմսեր</w:t>
            </w:r>
          </w:p>
        </w:tc>
        <w:tc>
          <w:tcPr>
            <w:tcW w:w="1583" w:type="dxa"/>
            <w:vAlign w:val="center"/>
          </w:tcPr>
          <w:p w:rsidR="006F6704" w:rsidRPr="006F6704" w:rsidRDefault="006F6704"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auto"/>
              </w:rPr>
            </w:pPr>
            <w:r w:rsidRPr="006F6704">
              <w:rPr>
                <w:color w:val="auto"/>
              </w:rPr>
              <w:t>-</w:t>
            </w:r>
          </w:p>
        </w:tc>
        <w:tc>
          <w:tcPr>
            <w:tcW w:w="1686" w:type="dxa"/>
            <w:vAlign w:val="center"/>
          </w:tcPr>
          <w:p w:rsidR="006F6704" w:rsidRPr="006F6704" w:rsidRDefault="006F6704"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      </w:t>
            </w:r>
            <w:r w:rsidRPr="006F6704">
              <w:rPr>
                <w:color w:val="auto"/>
              </w:rPr>
              <w:t xml:space="preserve">36.3 </w:t>
            </w:r>
          </w:p>
        </w:tc>
        <w:tc>
          <w:tcPr>
            <w:tcW w:w="1644" w:type="dxa"/>
            <w:vAlign w:val="center"/>
          </w:tcPr>
          <w:p w:rsidR="006F6704" w:rsidRPr="009C1BFA" w:rsidRDefault="006F6704"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auto"/>
              </w:rPr>
            </w:pPr>
            <w:r w:rsidRPr="006F6704">
              <w:rPr>
                <w:color w:val="auto"/>
              </w:rPr>
              <w:t xml:space="preserve">        36.3</w:t>
            </w:r>
          </w:p>
        </w:tc>
      </w:tr>
      <w:tr w:rsidR="006F6704" w:rsidRPr="00472C29" w:rsidTr="006F670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833" w:type="dxa"/>
            <w:tcBorders>
              <w:right w:val="none" w:sz="0" w:space="0" w:color="auto"/>
            </w:tcBorders>
            <w:vAlign w:val="center"/>
          </w:tcPr>
          <w:p w:rsidR="006F6704" w:rsidRPr="009C1BFA" w:rsidRDefault="006F6704" w:rsidP="007730AA">
            <w:pPr>
              <w:spacing w:before="0" w:line="276" w:lineRule="auto"/>
              <w:ind w:firstLine="0"/>
              <w:contextualSpacing w:val="0"/>
              <w:jc w:val="left"/>
              <w:rPr>
                <w:b w:val="0"/>
                <w:i w:val="0"/>
                <w:color w:val="auto"/>
                <w:lang w:val="en-US" w:eastAsia="en-US"/>
              </w:rPr>
            </w:pPr>
            <w:r w:rsidRPr="009C1BFA">
              <w:rPr>
                <w:b w:val="0"/>
                <w:i w:val="0"/>
                <w:color w:val="auto"/>
                <w:lang w:val="en-US" w:eastAsia="en-US"/>
              </w:rPr>
              <w:t>Արտաքին վարկեր</w:t>
            </w:r>
          </w:p>
        </w:tc>
        <w:tc>
          <w:tcPr>
            <w:tcW w:w="1583" w:type="dxa"/>
            <w:vAlign w:val="center"/>
          </w:tcPr>
          <w:p w:rsidR="006F6704" w:rsidRPr="006F6704" w:rsidRDefault="006F6704"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rPr>
            </w:pPr>
            <w:r w:rsidRPr="006F6704">
              <w:rPr>
                <w:color w:val="auto"/>
              </w:rPr>
              <w:t>126.1</w:t>
            </w:r>
          </w:p>
        </w:tc>
        <w:tc>
          <w:tcPr>
            <w:tcW w:w="1686" w:type="dxa"/>
            <w:vAlign w:val="center"/>
          </w:tcPr>
          <w:p w:rsidR="006F6704" w:rsidRPr="006F6704" w:rsidRDefault="006F6704"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     </w:t>
            </w:r>
            <w:r w:rsidRPr="006F6704">
              <w:rPr>
                <w:color w:val="auto"/>
              </w:rPr>
              <w:t xml:space="preserve">46.2 </w:t>
            </w:r>
          </w:p>
        </w:tc>
        <w:tc>
          <w:tcPr>
            <w:tcW w:w="1644" w:type="dxa"/>
            <w:vAlign w:val="center"/>
          </w:tcPr>
          <w:p w:rsidR="006F6704" w:rsidRPr="009C1BFA" w:rsidRDefault="006F6704"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rPr>
            </w:pPr>
            <w:r w:rsidRPr="006F6704">
              <w:rPr>
                <w:color w:val="auto"/>
              </w:rPr>
              <w:t xml:space="preserve">      172.3   </w:t>
            </w:r>
          </w:p>
        </w:tc>
      </w:tr>
      <w:tr w:rsidR="006F6704" w:rsidRPr="00472C29" w:rsidTr="006F6704">
        <w:trPr>
          <w:trHeight w:val="361"/>
        </w:trPr>
        <w:tc>
          <w:tcPr>
            <w:cnfStyle w:val="001000000000" w:firstRow="0" w:lastRow="0" w:firstColumn="1" w:lastColumn="0" w:oddVBand="0" w:evenVBand="0" w:oddHBand="0" w:evenHBand="0" w:firstRowFirstColumn="0" w:firstRowLastColumn="0" w:lastRowFirstColumn="0" w:lastRowLastColumn="0"/>
            <w:tcW w:w="4833" w:type="dxa"/>
            <w:tcBorders>
              <w:right w:val="none" w:sz="0" w:space="0" w:color="auto"/>
            </w:tcBorders>
            <w:vAlign w:val="center"/>
          </w:tcPr>
          <w:p w:rsidR="006F6704" w:rsidRPr="009C1BFA" w:rsidRDefault="006F6704" w:rsidP="007730AA">
            <w:pPr>
              <w:spacing w:before="0" w:line="276" w:lineRule="auto"/>
              <w:ind w:firstLine="0"/>
              <w:contextualSpacing w:val="0"/>
              <w:jc w:val="center"/>
              <w:rPr>
                <w:i w:val="0"/>
                <w:color w:val="auto"/>
                <w:lang w:eastAsia="en-US"/>
              </w:rPr>
            </w:pPr>
            <w:r w:rsidRPr="009C1BFA">
              <w:rPr>
                <w:i w:val="0"/>
                <w:color w:val="auto"/>
                <w:lang w:val="en-US" w:eastAsia="en-US"/>
              </w:rPr>
              <w:t>Ընդամենը</w:t>
            </w:r>
          </w:p>
        </w:tc>
        <w:tc>
          <w:tcPr>
            <w:tcW w:w="1583" w:type="dxa"/>
            <w:vAlign w:val="center"/>
          </w:tcPr>
          <w:p w:rsidR="006F6704" w:rsidRPr="009C1BFA" w:rsidRDefault="006F6704"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auto"/>
              </w:rPr>
            </w:pPr>
            <w:r w:rsidRPr="006F6704">
              <w:rPr>
                <w:color w:val="auto"/>
              </w:rPr>
              <w:t>285.7</w:t>
            </w:r>
          </w:p>
        </w:tc>
        <w:tc>
          <w:tcPr>
            <w:tcW w:w="1686" w:type="dxa"/>
            <w:vAlign w:val="center"/>
          </w:tcPr>
          <w:p w:rsidR="006F6704" w:rsidRPr="009C1BFA" w:rsidRDefault="006F6704"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     </w:t>
            </w:r>
            <w:r w:rsidRPr="006F6704">
              <w:rPr>
                <w:color w:val="auto"/>
              </w:rPr>
              <w:t>194.7</w:t>
            </w:r>
          </w:p>
        </w:tc>
        <w:tc>
          <w:tcPr>
            <w:tcW w:w="1644" w:type="dxa"/>
            <w:vAlign w:val="center"/>
          </w:tcPr>
          <w:p w:rsidR="006F6704" w:rsidRPr="009C1BFA" w:rsidRDefault="006F6704" w:rsidP="007730AA">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color w:val="auto"/>
              </w:rPr>
            </w:pPr>
            <w:r w:rsidRPr="006F6704">
              <w:rPr>
                <w:color w:val="auto"/>
              </w:rPr>
              <w:t xml:space="preserve">      480.4   </w:t>
            </w:r>
          </w:p>
        </w:tc>
      </w:tr>
    </w:tbl>
    <w:p w:rsidR="00472C29" w:rsidRDefault="00472C29" w:rsidP="007730AA">
      <w:pPr>
        <w:shd w:val="clear" w:color="auto" w:fill="FFFFFF"/>
        <w:spacing w:before="0" w:line="276" w:lineRule="auto"/>
        <w:ind w:firstLine="0"/>
        <w:contextualSpacing w:val="0"/>
        <w:rPr>
          <w:rFonts w:eastAsiaTheme="minorHAnsi" w:cstheme="minorBidi"/>
          <w:b w:val="0"/>
          <w:sz w:val="6"/>
          <w:szCs w:val="6"/>
          <w:lang w:val="af-ZA" w:eastAsia="en-US"/>
        </w:rPr>
      </w:pPr>
    </w:p>
    <w:p w:rsidR="00BB4651" w:rsidRPr="00472C29" w:rsidRDefault="00BB4651" w:rsidP="007730AA">
      <w:pPr>
        <w:shd w:val="clear" w:color="auto" w:fill="FFFFFF"/>
        <w:spacing w:before="0" w:line="276" w:lineRule="auto"/>
        <w:ind w:firstLine="0"/>
        <w:contextualSpacing w:val="0"/>
        <w:rPr>
          <w:rFonts w:eastAsiaTheme="minorHAnsi" w:cstheme="minorBidi"/>
          <w:b w:val="0"/>
          <w:sz w:val="6"/>
          <w:szCs w:val="6"/>
          <w:lang w:val="af-ZA" w:eastAsia="en-US"/>
        </w:rPr>
      </w:pPr>
    </w:p>
    <w:p w:rsidR="00472C29" w:rsidRPr="00472C29" w:rsidRDefault="00244760" w:rsidP="007730AA">
      <w:pPr>
        <w:shd w:val="clear" w:color="auto" w:fill="FFFFFF"/>
        <w:spacing w:before="0" w:line="276" w:lineRule="auto"/>
        <w:ind w:firstLine="0"/>
        <w:contextualSpacing w:val="0"/>
        <w:jc w:val="center"/>
        <w:rPr>
          <w:rFonts w:eastAsiaTheme="minorHAnsi" w:cstheme="minorBidi"/>
          <w:b w:val="0"/>
          <w:sz w:val="24"/>
          <w:lang w:val="af-ZA" w:eastAsia="en-US"/>
        </w:rPr>
      </w:pPr>
      <w:r>
        <w:rPr>
          <w:noProof/>
          <w:lang w:val="en-US" w:eastAsia="en-US"/>
        </w:rPr>
        <w:drawing>
          <wp:inline distT="0" distB="0" distL="0" distR="0">
            <wp:extent cx="3377380" cy="1976284"/>
            <wp:effectExtent l="114300" t="95250" r="109220" b="10033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44760" w:rsidRPr="00244760" w:rsidRDefault="00244760" w:rsidP="007730AA">
      <w:pPr>
        <w:shd w:val="clear" w:color="auto" w:fill="FFFFFF"/>
        <w:spacing w:before="0" w:line="276" w:lineRule="auto"/>
        <w:ind w:firstLine="720"/>
        <w:contextualSpacing w:val="0"/>
        <w:rPr>
          <w:rFonts w:eastAsiaTheme="minorHAnsi" w:cstheme="minorBidi"/>
          <w:b w:val="0"/>
          <w:szCs w:val="22"/>
          <w:lang w:val="af-ZA" w:eastAsia="en-US"/>
        </w:rPr>
      </w:pPr>
      <w:r w:rsidRPr="00244760">
        <w:rPr>
          <w:rFonts w:eastAsiaTheme="minorHAnsi" w:cstheme="minorBidi"/>
          <w:b w:val="0"/>
          <w:szCs w:val="22"/>
          <w:lang w:val="af-ZA" w:eastAsia="en-US"/>
        </w:rPr>
        <w:t>ՀՀ կառավարության արտարժութային պարտքի սպասարկման և մարման համար նախատեսված միջոցները փոխարկվել են ՀՀ դրամի հիմք ընդունելով 2020թ. նոյեմբերի 2-ի դրությամբ արժութային շուկայում ձևավորված միջին փոխարժեքները (կիրառելով համապատասխան ճշգրտման գործակից, քանի որ փաստացի վճարումները կատարվելու են գործարքի օրվա դրությամբ ՀՀ կենտրոնական բանկի կողմից սահմանված վաճառքի փոխարժեքներով) և այն ենթադրությամբ, որ ԱՄՆ դոլարի 6-ամսյա LIBOR-ի դրույքաչափը 2021 թվականին միջին հաշվով կկազմի 1.0%, 6-ամսյա EURIBOR-ը` չի գերազանցի զրոյական մակարդակը, իսկ SDR-ի տոկոսադրույքը՝ 1.2%:</w:t>
      </w:r>
    </w:p>
    <w:p w:rsidR="00244760" w:rsidRPr="00244760" w:rsidRDefault="00244760" w:rsidP="007730AA">
      <w:pPr>
        <w:spacing w:before="0" w:line="276" w:lineRule="auto"/>
        <w:ind w:firstLine="720"/>
        <w:contextualSpacing w:val="0"/>
        <w:rPr>
          <w:rFonts w:eastAsiaTheme="minorHAnsi" w:cstheme="minorBidi"/>
          <w:b w:val="0"/>
          <w:bCs/>
          <w:szCs w:val="22"/>
          <w:lang w:val="af-ZA" w:eastAsia="en-US"/>
        </w:rPr>
      </w:pPr>
      <w:r w:rsidRPr="00244760">
        <w:rPr>
          <w:rFonts w:eastAsiaTheme="minorHAnsi" w:cstheme="minorBidi"/>
          <w:b w:val="0"/>
          <w:bCs/>
          <w:szCs w:val="22"/>
          <w:lang w:val="en-US" w:eastAsia="en-US"/>
        </w:rPr>
        <w:t>Պետական</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գանձապետական</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պարտատոմսերի</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մարման</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համար</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նախատեսված</w:t>
      </w:r>
      <w:r w:rsidRPr="00244760">
        <w:rPr>
          <w:rFonts w:eastAsiaTheme="minorHAnsi" w:cstheme="minorBidi"/>
          <w:b w:val="0"/>
          <w:bCs/>
          <w:szCs w:val="22"/>
          <w:lang w:val="af-ZA" w:eastAsia="en-US"/>
        </w:rPr>
        <w:t xml:space="preserve"> 159.6 </w:t>
      </w:r>
      <w:r w:rsidRPr="00244760">
        <w:rPr>
          <w:rFonts w:eastAsiaTheme="minorHAnsi" w:cstheme="minorBidi"/>
          <w:b w:val="0"/>
          <w:bCs/>
          <w:szCs w:val="22"/>
          <w:lang w:val="en-US" w:eastAsia="en-US"/>
        </w:rPr>
        <w:t>մլրդ</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դրամի</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մեջ</w:t>
      </w:r>
      <w:r w:rsidRPr="00244760">
        <w:rPr>
          <w:rFonts w:eastAsiaTheme="minorHAnsi" w:cstheme="minorBidi"/>
          <w:b w:val="0"/>
          <w:bCs/>
          <w:szCs w:val="22"/>
          <w:lang w:val="af-ZA" w:eastAsia="en-US"/>
        </w:rPr>
        <w:t xml:space="preserve"> 28 </w:t>
      </w:r>
      <w:r w:rsidRPr="00244760">
        <w:rPr>
          <w:rFonts w:eastAsiaTheme="minorHAnsi" w:cstheme="minorBidi"/>
          <w:b w:val="0"/>
          <w:bCs/>
          <w:szCs w:val="22"/>
          <w:lang w:val="en-US" w:eastAsia="en-US"/>
        </w:rPr>
        <w:t>մլրդ</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դրամը</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կազմում</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է</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պարտատոմսերի</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հետգնումների</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համար</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ծրագրավորված</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գումարը</w:t>
      </w:r>
      <w:r w:rsidRPr="00244760">
        <w:rPr>
          <w:rFonts w:eastAsiaTheme="minorHAnsi" w:cstheme="minorBidi"/>
          <w:b w:val="0"/>
          <w:bCs/>
          <w:szCs w:val="22"/>
          <w:lang w:val="af-ZA" w:eastAsia="en-US"/>
        </w:rPr>
        <w:t>:</w:t>
      </w:r>
    </w:p>
    <w:p w:rsidR="0044444B" w:rsidRPr="00244760" w:rsidRDefault="00244760" w:rsidP="007730AA">
      <w:pPr>
        <w:spacing w:before="0" w:line="276" w:lineRule="auto"/>
        <w:ind w:firstLine="720"/>
        <w:contextualSpacing w:val="0"/>
        <w:rPr>
          <w:rFonts w:eastAsiaTheme="minorHAnsi" w:cstheme="minorBidi"/>
          <w:b w:val="0"/>
          <w:bCs/>
          <w:szCs w:val="22"/>
          <w:lang w:val="af-ZA" w:eastAsia="en-US"/>
        </w:rPr>
      </w:pPr>
      <w:r w:rsidRPr="00244760">
        <w:rPr>
          <w:rFonts w:eastAsiaTheme="minorHAnsi" w:cstheme="minorBidi"/>
          <w:b w:val="0"/>
          <w:bCs/>
          <w:szCs w:val="22"/>
          <w:lang w:val="en-US" w:eastAsia="en-US"/>
        </w:rPr>
        <w:t>Արտաքին</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վարկերի</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մարման</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և</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սպասարկման</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գծով</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նախատեսվում</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է</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վճարել</w:t>
      </w:r>
      <w:r w:rsidRPr="00244760">
        <w:rPr>
          <w:rFonts w:eastAsiaTheme="minorHAnsi" w:cstheme="minorBidi"/>
          <w:b w:val="0"/>
          <w:bCs/>
          <w:szCs w:val="22"/>
          <w:lang w:val="af-ZA" w:eastAsia="en-US"/>
        </w:rPr>
        <w:t xml:space="preserve"> 172.2 </w:t>
      </w:r>
      <w:r w:rsidRPr="00244760">
        <w:rPr>
          <w:rFonts w:eastAsiaTheme="minorHAnsi" w:cstheme="minorBidi"/>
          <w:b w:val="0"/>
          <w:bCs/>
          <w:szCs w:val="22"/>
          <w:lang w:val="en-US" w:eastAsia="en-US"/>
        </w:rPr>
        <w:t>մլրդ</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դրամ</w:t>
      </w:r>
      <w:r w:rsidRPr="00244760">
        <w:rPr>
          <w:rFonts w:eastAsiaTheme="minorHAnsi" w:cstheme="minorBidi"/>
          <w:b w:val="0"/>
          <w:bCs/>
          <w:szCs w:val="22"/>
          <w:lang w:val="af-ZA" w:eastAsia="en-US"/>
        </w:rPr>
        <w:t xml:space="preserve"> (348.8 </w:t>
      </w:r>
      <w:r w:rsidRPr="00244760">
        <w:rPr>
          <w:rFonts w:eastAsiaTheme="minorHAnsi" w:cstheme="minorBidi"/>
          <w:b w:val="0"/>
          <w:bCs/>
          <w:szCs w:val="22"/>
          <w:lang w:val="en-US" w:eastAsia="en-US"/>
        </w:rPr>
        <w:t>մլն</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ԱՄՆ</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դոլար</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Նախատեսվող</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վճարումների</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կառուցվածքն</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ըստ</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վարկատուների</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հետևյալն</w:t>
      </w:r>
      <w:r w:rsidRPr="00244760">
        <w:rPr>
          <w:rFonts w:eastAsiaTheme="minorHAnsi" w:cstheme="minorBidi"/>
          <w:b w:val="0"/>
          <w:bCs/>
          <w:szCs w:val="22"/>
          <w:lang w:val="af-ZA" w:eastAsia="en-US"/>
        </w:rPr>
        <w:t xml:space="preserve"> </w:t>
      </w:r>
      <w:r w:rsidRPr="00244760">
        <w:rPr>
          <w:rFonts w:eastAsiaTheme="minorHAnsi" w:cstheme="minorBidi"/>
          <w:b w:val="0"/>
          <w:bCs/>
          <w:szCs w:val="22"/>
          <w:lang w:val="en-US" w:eastAsia="en-US"/>
        </w:rPr>
        <w:t>է</w:t>
      </w:r>
      <w:r w:rsidRPr="00244760">
        <w:rPr>
          <w:rFonts w:eastAsiaTheme="minorHAnsi" w:cstheme="minorBidi"/>
          <w:b w:val="0"/>
          <w:bCs/>
          <w:szCs w:val="22"/>
          <w:lang w:val="af-ZA" w:eastAsia="en-US"/>
        </w:rPr>
        <w:t>.</w:t>
      </w:r>
    </w:p>
    <w:tbl>
      <w:tblPr>
        <w:tblStyle w:val="MediumGrid2-Accent59"/>
        <w:tblW w:w="10339" w:type="dxa"/>
        <w:tblInd w:w="-5" w:type="dxa"/>
        <w:tblLook w:val="04A0" w:firstRow="1" w:lastRow="0" w:firstColumn="1" w:lastColumn="0" w:noHBand="0" w:noVBand="1"/>
      </w:tblPr>
      <w:tblGrid>
        <w:gridCol w:w="5670"/>
        <w:gridCol w:w="1843"/>
        <w:gridCol w:w="1417"/>
        <w:gridCol w:w="1409"/>
      </w:tblGrid>
      <w:tr w:rsidR="00244760" w:rsidRPr="00472C29" w:rsidTr="00537842">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100" w:firstRow="0" w:lastRow="0" w:firstColumn="1" w:lastColumn="0" w:oddVBand="0" w:evenVBand="0" w:oddHBand="0" w:evenHBand="0" w:firstRowFirstColumn="1" w:firstRowLastColumn="0" w:lastRowFirstColumn="0" w:lastRowLastColumn="0"/>
            <w:tcW w:w="5670" w:type="dxa"/>
            <w:tcBorders>
              <w:top w:val="single" w:sz="4" w:space="0" w:color="auto"/>
              <w:left w:val="single" w:sz="4" w:space="0" w:color="auto"/>
              <w:bottom w:val="single" w:sz="4" w:space="0" w:color="auto"/>
              <w:right w:val="single" w:sz="4" w:space="0" w:color="auto"/>
            </w:tcBorders>
            <w:noWrap/>
            <w:hideMark/>
          </w:tcPr>
          <w:p w:rsidR="00244760" w:rsidRPr="0044444B" w:rsidRDefault="00244760" w:rsidP="007730AA">
            <w:pPr>
              <w:spacing w:before="0" w:line="276" w:lineRule="auto"/>
              <w:ind w:firstLine="0"/>
              <w:contextualSpacing w:val="0"/>
              <w:jc w:val="center"/>
              <w:rPr>
                <w:lang w:val="en-US" w:eastAsia="en-US"/>
              </w:rPr>
            </w:pPr>
            <w:r w:rsidRPr="0044444B">
              <w:rPr>
                <w:lang w:val="en-US" w:eastAsia="en-US"/>
              </w:rPr>
              <w:t>մլն ԱՄՆ դոլար</w:t>
            </w:r>
          </w:p>
        </w:tc>
        <w:tc>
          <w:tcPr>
            <w:tcW w:w="1843" w:type="dxa"/>
            <w:tcBorders>
              <w:top w:val="single" w:sz="4" w:space="0" w:color="auto"/>
              <w:left w:val="single" w:sz="4" w:space="0" w:color="auto"/>
              <w:bottom w:val="single" w:sz="4" w:space="0" w:color="auto"/>
              <w:right w:val="single" w:sz="4" w:space="0" w:color="auto"/>
            </w:tcBorders>
            <w:noWrap/>
            <w:hideMark/>
          </w:tcPr>
          <w:p w:rsidR="00244760" w:rsidRPr="00244760" w:rsidRDefault="00244760"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4"/>
                <w:lang w:val="en-US" w:eastAsia="en-US"/>
              </w:rPr>
            </w:pPr>
            <w:r w:rsidRPr="00244760">
              <w:rPr>
                <w:sz w:val="24"/>
                <w:lang w:val="en-US" w:eastAsia="en-US"/>
              </w:rPr>
              <w:t>տոկոսավճար</w:t>
            </w:r>
          </w:p>
        </w:tc>
        <w:tc>
          <w:tcPr>
            <w:tcW w:w="1417" w:type="dxa"/>
            <w:tcBorders>
              <w:top w:val="single" w:sz="4" w:space="0" w:color="auto"/>
              <w:left w:val="single" w:sz="4" w:space="0" w:color="auto"/>
              <w:bottom w:val="single" w:sz="4" w:space="0" w:color="auto"/>
              <w:right w:val="single" w:sz="4" w:space="0" w:color="auto"/>
            </w:tcBorders>
            <w:noWrap/>
            <w:hideMark/>
          </w:tcPr>
          <w:p w:rsidR="00244760" w:rsidRPr="00244760" w:rsidRDefault="00244760"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4"/>
                <w:lang w:val="en-US" w:eastAsia="en-US"/>
              </w:rPr>
            </w:pPr>
            <w:r w:rsidRPr="00244760">
              <w:rPr>
                <w:sz w:val="24"/>
                <w:lang w:val="en-US" w:eastAsia="en-US"/>
              </w:rPr>
              <w:t>մարում</w:t>
            </w:r>
          </w:p>
        </w:tc>
        <w:tc>
          <w:tcPr>
            <w:tcW w:w="1409" w:type="dxa"/>
            <w:tcBorders>
              <w:top w:val="single" w:sz="4" w:space="0" w:color="auto"/>
              <w:left w:val="single" w:sz="4" w:space="0" w:color="auto"/>
              <w:bottom w:val="single" w:sz="4" w:space="0" w:color="auto"/>
              <w:right w:val="single" w:sz="4" w:space="0" w:color="auto"/>
            </w:tcBorders>
            <w:noWrap/>
            <w:hideMark/>
          </w:tcPr>
          <w:p w:rsidR="00244760" w:rsidRPr="00244760" w:rsidRDefault="00244760" w:rsidP="007730AA">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 w:val="24"/>
                <w:lang w:val="en-US" w:eastAsia="en-US"/>
              </w:rPr>
            </w:pPr>
            <w:r w:rsidRPr="00244760">
              <w:rPr>
                <w:sz w:val="24"/>
                <w:lang w:val="en-US" w:eastAsia="en-US"/>
              </w:rPr>
              <w:t>ընդամենը</w:t>
            </w:r>
          </w:p>
        </w:tc>
      </w:tr>
      <w:tr w:rsidR="00244760" w:rsidRPr="00472C29" w:rsidTr="0053784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tcPr>
          <w:p w:rsidR="00244760" w:rsidRPr="0044444B" w:rsidRDefault="00244760" w:rsidP="007730AA">
            <w:pPr>
              <w:spacing w:before="0" w:line="276" w:lineRule="auto"/>
              <w:ind w:firstLine="0"/>
              <w:contextualSpacing w:val="0"/>
              <w:jc w:val="left"/>
              <w:rPr>
                <w:lang w:eastAsia="en-US"/>
              </w:rPr>
            </w:pPr>
            <w:r w:rsidRPr="0044444B">
              <w:rPr>
                <w:lang w:val="en-US" w:eastAsia="en-US"/>
              </w:rPr>
              <w:t>Վերակառուցման</w:t>
            </w:r>
            <w:r w:rsidRPr="0044444B">
              <w:rPr>
                <w:lang w:eastAsia="en-US"/>
              </w:rPr>
              <w:t xml:space="preserve"> </w:t>
            </w:r>
            <w:r w:rsidRPr="0044444B">
              <w:rPr>
                <w:lang w:val="en-US" w:eastAsia="en-US"/>
              </w:rPr>
              <w:t>և</w:t>
            </w:r>
            <w:r w:rsidRPr="0044444B">
              <w:rPr>
                <w:lang w:eastAsia="en-US"/>
              </w:rPr>
              <w:t xml:space="preserve"> </w:t>
            </w:r>
            <w:r w:rsidRPr="0044444B">
              <w:rPr>
                <w:lang w:val="en-US" w:eastAsia="en-US"/>
              </w:rPr>
              <w:t>Զարգացման</w:t>
            </w:r>
            <w:r w:rsidRPr="0044444B">
              <w:rPr>
                <w:lang w:eastAsia="en-US"/>
              </w:rPr>
              <w:t xml:space="preserve"> </w:t>
            </w:r>
            <w:r w:rsidRPr="0044444B">
              <w:rPr>
                <w:lang w:val="en-US" w:eastAsia="en-US"/>
              </w:rPr>
              <w:t>Միջազգային</w:t>
            </w:r>
            <w:r w:rsidRPr="0044444B">
              <w:rPr>
                <w:lang w:eastAsia="en-US"/>
              </w:rPr>
              <w:t xml:space="preserve"> </w:t>
            </w:r>
            <w:r w:rsidRPr="0044444B">
              <w:rPr>
                <w:lang w:val="en-US" w:eastAsia="en-US"/>
              </w:rPr>
              <w:t>Բանկ</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sz w:val="24"/>
                <w:lang w:val="en-US" w:eastAsia="en-US"/>
              </w:rPr>
            </w:pPr>
            <w:r w:rsidRPr="00244760">
              <w:rPr>
                <w:b w:val="0"/>
                <w:sz w:val="24"/>
              </w:rPr>
              <w:t xml:space="preserve">      19.9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13.1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sz w:val="24"/>
              </w:rPr>
            </w:pPr>
            <w:r w:rsidRPr="00244760">
              <w:rPr>
                <w:sz w:val="24"/>
              </w:rPr>
              <w:t xml:space="preserve"> 3.0 </w:t>
            </w:r>
          </w:p>
        </w:tc>
      </w:tr>
      <w:tr w:rsidR="00244760" w:rsidRPr="00472C29" w:rsidTr="00537842">
        <w:trPr>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Զարգացման Միջազգային Ընկերակցություն</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10.5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76.7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sz w:val="24"/>
              </w:rPr>
            </w:pPr>
            <w:r w:rsidRPr="00244760">
              <w:rPr>
                <w:sz w:val="24"/>
              </w:rPr>
              <w:t xml:space="preserve">87.2 </w:t>
            </w:r>
          </w:p>
        </w:tc>
      </w:tr>
      <w:tr w:rsidR="00244760" w:rsidRPr="00472C29" w:rsidTr="0053784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eastAsia="en-US"/>
              </w:rPr>
            </w:pPr>
            <w:r w:rsidRPr="0044444B">
              <w:rPr>
                <w:lang w:val="en-US" w:eastAsia="en-US"/>
              </w:rPr>
              <w:t>Վերակառուցման</w:t>
            </w:r>
            <w:r w:rsidRPr="0044444B">
              <w:rPr>
                <w:lang w:eastAsia="en-US"/>
              </w:rPr>
              <w:t xml:space="preserve"> </w:t>
            </w:r>
            <w:r w:rsidRPr="0044444B">
              <w:rPr>
                <w:lang w:val="en-US" w:eastAsia="en-US"/>
              </w:rPr>
              <w:t>և</w:t>
            </w:r>
            <w:r w:rsidRPr="0044444B">
              <w:rPr>
                <w:lang w:eastAsia="en-US"/>
              </w:rPr>
              <w:t xml:space="preserve"> </w:t>
            </w:r>
            <w:r w:rsidRPr="0044444B">
              <w:rPr>
                <w:lang w:val="en-US" w:eastAsia="en-US"/>
              </w:rPr>
              <w:t>Զարգացման</w:t>
            </w:r>
            <w:r w:rsidRPr="0044444B">
              <w:rPr>
                <w:lang w:eastAsia="en-US"/>
              </w:rPr>
              <w:t xml:space="preserve"> </w:t>
            </w:r>
            <w:r w:rsidRPr="0044444B">
              <w:rPr>
                <w:lang w:val="en-US" w:eastAsia="en-US"/>
              </w:rPr>
              <w:t>Եվրոպական</w:t>
            </w:r>
            <w:r w:rsidRPr="0044444B">
              <w:rPr>
                <w:lang w:eastAsia="en-US"/>
              </w:rPr>
              <w:t xml:space="preserve"> </w:t>
            </w:r>
            <w:r w:rsidRPr="0044444B">
              <w:rPr>
                <w:lang w:val="en-US" w:eastAsia="en-US"/>
              </w:rPr>
              <w:t>Բանկ</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0.6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4.0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sz w:val="24"/>
              </w:rPr>
            </w:pPr>
            <w:r w:rsidRPr="00244760">
              <w:rPr>
                <w:sz w:val="24"/>
              </w:rPr>
              <w:t xml:space="preserve">  4.6 </w:t>
            </w:r>
          </w:p>
        </w:tc>
      </w:tr>
      <w:tr w:rsidR="00244760" w:rsidRPr="00472C29" w:rsidTr="00537842">
        <w:trPr>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Եվրոպական Ներդրումային Բանկ</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2.2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4.8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sz w:val="24"/>
              </w:rPr>
            </w:pPr>
            <w:r w:rsidRPr="00244760">
              <w:rPr>
                <w:sz w:val="24"/>
              </w:rPr>
              <w:t xml:space="preserve">   7.1 </w:t>
            </w:r>
          </w:p>
        </w:tc>
      </w:tr>
      <w:tr w:rsidR="00244760" w:rsidRPr="00472C29" w:rsidTr="0053784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Գյուղատնտեսության Զարգացման Միջազգային Հիմնադրամ</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0.7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4.1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sz w:val="24"/>
              </w:rPr>
            </w:pPr>
            <w:r w:rsidRPr="00244760">
              <w:rPr>
                <w:sz w:val="24"/>
              </w:rPr>
              <w:t xml:space="preserve">   4.8 </w:t>
            </w:r>
          </w:p>
        </w:tc>
      </w:tr>
      <w:tr w:rsidR="00244760" w:rsidRPr="00472C29" w:rsidTr="00537842">
        <w:trPr>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eastAsia="en-US"/>
              </w:rPr>
            </w:pPr>
            <w:r w:rsidRPr="0044444B">
              <w:rPr>
                <w:lang w:val="en-US" w:eastAsia="en-US"/>
              </w:rPr>
              <w:t>ՕՊԵԿ</w:t>
            </w:r>
            <w:r w:rsidRPr="0044444B">
              <w:rPr>
                <w:lang w:eastAsia="en-US"/>
              </w:rPr>
              <w:t>-</w:t>
            </w:r>
            <w:r w:rsidRPr="0044444B">
              <w:rPr>
                <w:lang w:val="en-US" w:eastAsia="en-US"/>
              </w:rPr>
              <w:t>ի</w:t>
            </w:r>
            <w:r w:rsidRPr="0044444B">
              <w:rPr>
                <w:lang w:eastAsia="en-US"/>
              </w:rPr>
              <w:t xml:space="preserve"> </w:t>
            </w:r>
            <w:r w:rsidRPr="0044444B">
              <w:rPr>
                <w:lang w:val="en-US" w:eastAsia="en-US"/>
              </w:rPr>
              <w:t>Միջազգային</w:t>
            </w:r>
            <w:r w:rsidRPr="0044444B">
              <w:rPr>
                <w:lang w:eastAsia="en-US"/>
              </w:rPr>
              <w:t xml:space="preserve"> </w:t>
            </w:r>
            <w:r w:rsidRPr="0044444B">
              <w:rPr>
                <w:lang w:val="en-US" w:eastAsia="en-US"/>
              </w:rPr>
              <w:t>Զարգացման</w:t>
            </w:r>
            <w:r w:rsidRPr="0044444B">
              <w:rPr>
                <w:lang w:eastAsia="en-US"/>
              </w:rPr>
              <w:t xml:space="preserve"> </w:t>
            </w:r>
            <w:r w:rsidRPr="0044444B">
              <w:rPr>
                <w:lang w:val="en-US" w:eastAsia="en-US"/>
              </w:rPr>
              <w:t>Հիմնադրամ</w:t>
            </w:r>
            <w:r w:rsidRPr="0044444B">
              <w:rPr>
                <w:lang w:eastAsia="en-US"/>
              </w:rPr>
              <w:t xml:space="preserve"> </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2.1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5.3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sz w:val="24"/>
              </w:rPr>
            </w:pPr>
            <w:r w:rsidRPr="00244760">
              <w:rPr>
                <w:sz w:val="24"/>
              </w:rPr>
              <w:t xml:space="preserve">  7.4 </w:t>
            </w:r>
          </w:p>
        </w:tc>
      </w:tr>
      <w:tr w:rsidR="00244760" w:rsidRPr="00472C29" w:rsidTr="0053784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Ասիական Զարգացման Բանկ</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16.8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45.6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sz w:val="24"/>
              </w:rPr>
            </w:pPr>
            <w:r w:rsidRPr="00244760">
              <w:rPr>
                <w:sz w:val="24"/>
              </w:rPr>
              <w:t xml:space="preserve">62.4 </w:t>
            </w:r>
          </w:p>
        </w:tc>
      </w:tr>
      <w:tr w:rsidR="00244760" w:rsidRPr="00472C29" w:rsidTr="00537842">
        <w:trPr>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Եվրամիություն</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2.7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sz w:val="24"/>
              </w:rPr>
            </w:pPr>
            <w:r w:rsidRPr="00244760">
              <w:rPr>
                <w:sz w:val="24"/>
              </w:rPr>
              <w:t xml:space="preserve">   2.7 </w:t>
            </w:r>
          </w:p>
        </w:tc>
      </w:tr>
      <w:tr w:rsidR="00244760" w:rsidRPr="00472C29" w:rsidTr="0053784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Արժույթի Միջազգային Հիմնադրամ</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6.3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19.6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sz w:val="24"/>
              </w:rPr>
            </w:pPr>
            <w:r w:rsidRPr="00244760">
              <w:rPr>
                <w:sz w:val="24"/>
              </w:rPr>
              <w:t xml:space="preserve">25.9 </w:t>
            </w:r>
          </w:p>
        </w:tc>
      </w:tr>
      <w:tr w:rsidR="00244760" w:rsidRPr="00472C29" w:rsidTr="00537842">
        <w:trPr>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 xml:space="preserve">Եվրասիական Զարգացման Բանկ </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7.3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0.1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sz w:val="24"/>
              </w:rPr>
            </w:pPr>
            <w:r w:rsidRPr="00244760">
              <w:rPr>
                <w:sz w:val="24"/>
              </w:rPr>
              <w:t xml:space="preserve">   7.4 </w:t>
            </w:r>
          </w:p>
        </w:tc>
      </w:tr>
      <w:tr w:rsidR="00244760" w:rsidRPr="00472C29" w:rsidTr="0053784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Գերմանիա (ՎՎԲ)</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6.5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22.1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sz w:val="24"/>
              </w:rPr>
            </w:pPr>
            <w:r w:rsidRPr="00244760">
              <w:rPr>
                <w:sz w:val="24"/>
              </w:rPr>
              <w:t xml:space="preserve">28.6 </w:t>
            </w:r>
          </w:p>
        </w:tc>
      </w:tr>
      <w:tr w:rsidR="00244760" w:rsidRPr="00472C29" w:rsidTr="00537842">
        <w:trPr>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Ռուսաստանի Դաշնություն</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11.6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40.0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sz w:val="24"/>
              </w:rPr>
            </w:pPr>
            <w:r w:rsidRPr="00244760">
              <w:rPr>
                <w:sz w:val="24"/>
              </w:rPr>
              <w:t xml:space="preserve"> 51.6 </w:t>
            </w:r>
          </w:p>
        </w:tc>
      </w:tr>
      <w:tr w:rsidR="00244760" w:rsidRPr="00472C29" w:rsidTr="0053784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Ֆրանսիա</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1.9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1.6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sz w:val="24"/>
              </w:rPr>
            </w:pPr>
            <w:r w:rsidRPr="00244760">
              <w:rPr>
                <w:sz w:val="24"/>
              </w:rPr>
              <w:t xml:space="preserve">  3.5 </w:t>
            </w:r>
          </w:p>
        </w:tc>
      </w:tr>
      <w:tr w:rsidR="00244760" w:rsidRPr="00472C29" w:rsidTr="00537842">
        <w:trPr>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ԱՄՆ</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0.3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1.9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sz w:val="24"/>
              </w:rPr>
            </w:pPr>
            <w:r w:rsidRPr="00244760">
              <w:rPr>
                <w:sz w:val="24"/>
              </w:rPr>
              <w:t xml:space="preserve">   2.1 </w:t>
            </w:r>
          </w:p>
        </w:tc>
      </w:tr>
      <w:tr w:rsidR="00244760" w:rsidRPr="00472C29" w:rsidTr="0053784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Ճապոնիա</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2.0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11.6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sz w:val="24"/>
              </w:rPr>
            </w:pPr>
            <w:r w:rsidRPr="00244760">
              <w:rPr>
                <w:sz w:val="24"/>
              </w:rPr>
              <w:t xml:space="preserve"> 13.6 </w:t>
            </w:r>
          </w:p>
        </w:tc>
      </w:tr>
      <w:tr w:rsidR="00244760" w:rsidRPr="00472C29" w:rsidTr="00537842">
        <w:trPr>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Աբու-Դաբիի Զարգացման Հիմնադրամ</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0.1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0.7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sz w:val="24"/>
              </w:rPr>
            </w:pPr>
            <w:r w:rsidRPr="00244760">
              <w:rPr>
                <w:sz w:val="24"/>
              </w:rPr>
              <w:t xml:space="preserve">  0.8 </w:t>
            </w:r>
          </w:p>
        </w:tc>
      </w:tr>
      <w:tr w:rsidR="00244760" w:rsidRPr="00472C29" w:rsidTr="0053784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Չինաստանի Արտահանման-Ներմուծման Բանկ</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0.5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1.7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sz w:val="24"/>
              </w:rPr>
            </w:pPr>
            <w:r w:rsidRPr="00244760">
              <w:rPr>
                <w:sz w:val="24"/>
              </w:rPr>
              <w:t xml:space="preserve">    2.1 </w:t>
            </w:r>
          </w:p>
        </w:tc>
      </w:tr>
      <w:tr w:rsidR="00244760" w:rsidRPr="00472C29" w:rsidTr="00537842">
        <w:trPr>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ԿԲՍ Բանկ (Բելգիա)</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0.0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0.6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sz w:val="24"/>
              </w:rPr>
            </w:pPr>
            <w:r w:rsidRPr="00244760">
              <w:rPr>
                <w:sz w:val="24"/>
              </w:rPr>
              <w:t xml:space="preserve">  0.6 </w:t>
            </w:r>
          </w:p>
        </w:tc>
      </w:tr>
      <w:tr w:rsidR="00244760" w:rsidRPr="00472C29" w:rsidTr="0053784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Ռայֆայզն Բանկ (Ավստրիա)</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0.1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1.1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sz w:val="24"/>
              </w:rPr>
            </w:pPr>
            <w:r w:rsidRPr="00244760">
              <w:rPr>
                <w:sz w:val="24"/>
              </w:rPr>
              <w:t xml:space="preserve">   1.1 </w:t>
            </w:r>
          </w:p>
        </w:tc>
      </w:tr>
      <w:tr w:rsidR="00244760" w:rsidRPr="00472C29" w:rsidTr="00537842">
        <w:trPr>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left"/>
              <w:rPr>
                <w:lang w:val="en-US" w:eastAsia="en-US"/>
              </w:rPr>
            </w:pPr>
            <w:r w:rsidRPr="0044444B">
              <w:rPr>
                <w:lang w:val="en-US" w:eastAsia="en-US"/>
              </w:rPr>
              <w:t>Էռստե Բանկ (Ավստրիա)</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0.1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 w:val="24"/>
              </w:rPr>
            </w:pPr>
            <w:r w:rsidRPr="00244760">
              <w:rPr>
                <w:b w:val="0"/>
                <w:sz w:val="24"/>
              </w:rPr>
              <w:t xml:space="preserve">  0.8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sz w:val="24"/>
              </w:rPr>
            </w:pPr>
            <w:r w:rsidRPr="00244760">
              <w:rPr>
                <w:sz w:val="24"/>
              </w:rPr>
              <w:t xml:space="preserve">  0.9 </w:t>
            </w:r>
          </w:p>
        </w:tc>
      </w:tr>
      <w:tr w:rsidR="00244760" w:rsidRPr="00472C29" w:rsidTr="00537842">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tcPr>
          <w:p w:rsidR="00244760" w:rsidRPr="0044444B" w:rsidRDefault="00244760" w:rsidP="007730AA">
            <w:pPr>
              <w:spacing w:before="0" w:line="276" w:lineRule="auto"/>
              <w:ind w:firstLine="0"/>
              <w:contextualSpacing w:val="0"/>
              <w:jc w:val="left"/>
              <w:rPr>
                <w:lang w:eastAsia="en-US"/>
              </w:rPr>
            </w:pPr>
            <w:r w:rsidRPr="0044444B">
              <w:rPr>
                <w:lang w:val="en-US" w:eastAsia="en-US"/>
              </w:rPr>
              <w:t>Բյուջետային</w:t>
            </w:r>
            <w:r w:rsidRPr="0044444B">
              <w:rPr>
                <w:lang w:eastAsia="en-US"/>
              </w:rPr>
              <w:t xml:space="preserve"> </w:t>
            </w:r>
            <w:r w:rsidRPr="0044444B">
              <w:rPr>
                <w:lang w:val="en-US" w:eastAsia="en-US"/>
              </w:rPr>
              <w:t>աջակցության</w:t>
            </w:r>
            <w:r w:rsidRPr="0044444B">
              <w:rPr>
                <w:lang w:eastAsia="en-US"/>
              </w:rPr>
              <w:t xml:space="preserve"> </w:t>
            </w:r>
            <w:r w:rsidRPr="0044444B">
              <w:rPr>
                <w:lang w:val="en-US" w:eastAsia="en-US"/>
              </w:rPr>
              <w:t>վարկեր՝</w:t>
            </w:r>
            <w:r w:rsidRPr="0044444B">
              <w:rPr>
                <w:lang w:eastAsia="en-US"/>
              </w:rPr>
              <w:t xml:space="preserve"> </w:t>
            </w:r>
            <w:r w:rsidRPr="0044444B">
              <w:rPr>
                <w:lang w:val="en-US" w:eastAsia="en-US"/>
              </w:rPr>
              <w:t>աղբյուրն</w:t>
            </w:r>
            <w:r w:rsidRPr="0044444B">
              <w:rPr>
                <w:lang w:eastAsia="en-US"/>
              </w:rPr>
              <w:t xml:space="preserve"> </w:t>
            </w:r>
            <w:r w:rsidRPr="0044444B">
              <w:rPr>
                <w:lang w:val="en-US" w:eastAsia="en-US"/>
              </w:rPr>
              <w:t>ենթակա</w:t>
            </w:r>
            <w:r w:rsidRPr="0044444B">
              <w:rPr>
                <w:lang w:eastAsia="en-US"/>
              </w:rPr>
              <w:t xml:space="preserve"> </w:t>
            </w:r>
            <w:r w:rsidRPr="0044444B">
              <w:rPr>
                <w:lang w:val="en-US" w:eastAsia="en-US"/>
              </w:rPr>
              <w:t>է</w:t>
            </w:r>
            <w:r w:rsidRPr="0044444B">
              <w:rPr>
                <w:lang w:eastAsia="en-US"/>
              </w:rPr>
              <w:t xml:space="preserve"> </w:t>
            </w:r>
            <w:r w:rsidRPr="0044444B">
              <w:rPr>
                <w:lang w:val="en-US" w:eastAsia="en-US"/>
              </w:rPr>
              <w:t>հետագա</w:t>
            </w:r>
            <w:r w:rsidRPr="0044444B">
              <w:rPr>
                <w:lang w:eastAsia="en-US"/>
              </w:rPr>
              <w:t xml:space="preserve"> </w:t>
            </w:r>
            <w:r w:rsidRPr="0044444B">
              <w:rPr>
                <w:lang w:val="en-US" w:eastAsia="en-US"/>
              </w:rPr>
              <w:t>հստակեցման</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1.4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 w:val="24"/>
              </w:rPr>
            </w:pPr>
            <w:r w:rsidRPr="00244760">
              <w:rPr>
                <w:b w:val="0"/>
                <w:sz w:val="24"/>
              </w:rPr>
              <w:t xml:space="preserve">      -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100000" w:firstRow="0" w:lastRow="0" w:firstColumn="0" w:lastColumn="0" w:oddVBand="0" w:evenVBand="0" w:oddHBand="1" w:evenHBand="0" w:firstRowFirstColumn="0" w:firstRowLastColumn="0" w:lastRowFirstColumn="0" w:lastRowLastColumn="0"/>
              <w:rPr>
                <w:sz w:val="24"/>
              </w:rPr>
            </w:pPr>
            <w:r w:rsidRPr="00244760">
              <w:rPr>
                <w:sz w:val="24"/>
              </w:rPr>
              <w:t xml:space="preserve">   1.4 </w:t>
            </w:r>
          </w:p>
        </w:tc>
      </w:tr>
      <w:tr w:rsidR="00244760" w:rsidRPr="00472C29" w:rsidTr="00537842">
        <w:trPr>
          <w:trHeight w:val="310"/>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left w:val="single" w:sz="4" w:space="0" w:color="auto"/>
              <w:bottom w:val="single" w:sz="4" w:space="0" w:color="auto"/>
              <w:right w:val="single" w:sz="4" w:space="0" w:color="auto"/>
            </w:tcBorders>
            <w:hideMark/>
          </w:tcPr>
          <w:p w:rsidR="00244760" w:rsidRPr="0044444B" w:rsidRDefault="00244760" w:rsidP="007730AA">
            <w:pPr>
              <w:spacing w:before="0" w:line="276" w:lineRule="auto"/>
              <w:ind w:firstLine="0"/>
              <w:contextualSpacing w:val="0"/>
              <w:jc w:val="center"/>
              <w:rPr>
                <w:lang w:val="en-US" w:eastAsia="en-US"/>
              </w:rPr>
            </w:pPr>
            <w:r w:rsidRPr="0044444B">
              <w:rPr>
                <w:lang w:val="en-US" w:eastAsia="en-US"/>
              </w:rPr>
              <w:t>Ընդամենը</w:t>
            </w:r>
          </w:p>
        </w:tc>
        <w:tc>
          <w:tcPr>
            <w:tcW w:w="1843"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Cs/>
                <w:sz w:val="24"/>
              </w:rPr>
            </w:pPr>
            <w:r w:rsidRPr="00244760">
              <w:rPr>
                <w:bCs/>
                <w:sz w:val="24"/>
              </w:rPr>
              <w:t xml:space="preserve">     93.5 </w:t>
            </w:r>
          </w:p>
        </w:tc>
        <w:tc>
          <w:tcPr>
            <w:tcW w:w="1417"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jc w:val="right"/>
              <w:cnfStyle w:val="000000000000" w:firstRow="0" w:lastRow="0" w:firstColumn="0" w:lastColumn="0" w:oddVBand="0" w:evenVBand="0" w:oddHBand="0" w:evenHBand="0" w:firstRowFirstColumn="0" w:firstRowLastColumn="0" w:lastRowFirstColumn="0" w:lastRowLastColumn="0"/>
              <w:rPr>
                <w:bCs/>
                <w:sz w:val="24"/>
              </w:rPr>
            </w:pPr>
            <w:r w:rsidRPr="00244760">
              <w:rPr>
                <w:bCs/>
                <w:sz w:val="24"/>
              </w:rPr>
              <w:t xml:space="preserve">255.3 </w:t>
            </w:r>
          </w:p>
        </w:tc>
        <w:tc>
          <w:tcPr>
            <w:tcW w:w="1409" w:type="dxa"/>
            <w:tcBorders>
              <w:top w:val="single" w:sz="4" w:space="0" w:color="auto"/>
              <w:left w:val="single" w:sz="4" w:space="0" w:color="auto"/>
              <w:bottom w:val="single" w:sz="4" w:space="0" w:color="auto"/>
              <w:right w:val="single" w:sz="4" w:space="0" w:color="auto"/>
            </w:tcBorders>
            <w:noWrap/>
            <w:vAlign w:val="center"/>
          </w:tcPr>
          <w:p w:rsidR="00244760" w:rsidRPr="00244760" w:rsidRDefault="00244760" w:rsidP="007730AA">
            <w:pPr>
              <w:spacing w:before="0" w:line="276" w:lineRule="auto"/>
              <w:ind w:firstLine="0"/>
              <w:jc w:val="right"/>
              <w:cnfStyle w:val="000000000000" w:firstRow="0" w:lastRow="0" w:firstColumn="0" w:lastColumn="0" w:oddVBand="0" w:evenVBand="0" w:oddHBand="0" w:evenHBand="0" w:firstRowFirstColumn="0" w:firstRowLastColumn="0" w:lastRowFirstColumn="0" w:lastRowLastColumn="0"/>
              <w:rPr>
                <w:bCs/>
                <w:sz w:val="24"/>
              </w:rPr>
            </w:pPr>
            <w:r w:rsidRPr="00244760">
              <w:rPr>
                <w:bCs/>
                <w:sz w:val="24"/>
              </w:rPr>
              <w:t xml:space="preserve">348.8 </w:t>
            </w:r>
          </w:p>
        </w:tc>
      </w:tr>
    </w:tbl>
    <w:p w:rsidR="00472C29" w:rsidRPr="00472C29" w:rsidRDefault="00472C29" w:rsidP="007730AA">
      <w:pPr>
        <w:spacing w:before="0" w:line="276" w:lineRule="auto"/>
        <w:ind w:firstLine="0"/>
        <w:contextualSpacing w:val="0"/>
        <w:rPr>
          <w:rFonts w:eastAsiaTheme="minorHAnsi" w:cstheme="minorBidi"/>
          <w:b w:val="0"/>
          <w:bCs/>
          <w:sz w:val="10"/>
          <w:szCs w:val="10"/>
          <w:lang w:val="en-US" w:eastAsia="en-US"/>
        </w:rPr>
      </w:pPr>
    </w:p>
    <w:p w:rsidR="00BB4651" w:rsidRPr="00537842" w:rsidRDefault="00472C29" w:rsidP="007730AA">
      <w:pPr>
        <w:shd w:val="clear" w:color="auto" w:fill="FFFFFF"/>
        <w:spacing w:before="0" w:line="276" w:lineRule="auto"/>
        <w:ind w:firstLine="720"/>
        <w:contextualSpacing w:val="0"/>
        <w:rPr>
          <w:rFonts w:eastAsiaTheme="minorHAnsi" w:cstheme="minorBidi"/>
          <w:b w:val="0"/>
          <w:szCs w:val="22"/>
          <w:lang w:val="en-US" w:eastAsia="en-US"/>
        </w:rPr>
      </w:pPr>
      <w:r w:rsidRPr="00975ABC">
        <w:rPr>
          <w:rFonts w:eastAsiaTheme="minorHAnsi" w:cstheme="minorBidi"/>
          <w:b w:val="0"/>
          <w:szCs w:val="22"/>
          <w:lang w:val="en-US" w:eastAsia="en-US"/>
        </w:rPr>
        <w:t>Արտարժութային</w:t>
      </w:r>
      <w:r w:rsidRPr="00975ABC">
        <w:rPr>
          <w:rFonts w:eastAsiaTheme="minorHAnsi" w:cstheme="minorBidi"/>
          <w:b w:val="0"/>
          <w:szCs w:val="22"/>
          <w:lang w:val="af-ZA" w:eastAsia="en-US"/>
        </w:rPr>
        <w:t xml:space="preserve"> </w:t>
      </w:r>
      <w:r w:rsidRPr="00975ABC">
        <w:rPr>
          <w:rFonts w:eastAsiaTheme="minorHAnsi" w:cstheme="minorBidi"/>
          <w:b w:val="0"/>
          <w:szCs w:val="22"/>
          <w:lang w:val="en-US" w:eastAsia="en-US"/>
        </w:rPr>
        <w:t>պետական</w:t>
      </w:r>
      <w:r w:rsidRPr="00975ABC">
        <w:rPr>
          <w:rFonts w:eastAsiaTheme="minorHAnsi" w:cstheme="minorBidi"/>
          <w:b w:val="0"/>
          <w:szCs w:val="22"/>
          <w:lang w:val="af-ZA" w:eastAsia="en-US"/>
        </w:rPr>
        <w:t xml:space="preserve"> </w:t>
      </w:r>
      <w:r w:rsidRPr="00975ABC">
        <w:rPr>
          <w:rFonts w:eastAsiaTheme="minorHAnsi" w:cstheme="minorBidi"/>
          <w:b w:val="0"/>
          <w:szCs w:val="22"/>
          <w:lang w:val="en-US" w:eastAsia="en-US"/>
        </w:rPr>
        <w:t>պարտատոմսերի</w:t>
      </w:r>
      <w:r w:rsidRPr="00975ABC">
        <w:rPr>
          <w:rFonts w:eastAsiaTheme="minorHAnsi" w:cstheme="minorBidi"/>
          <w:b w:val="0"/>
          <w:szCs w:val="22"/>
          <w:lang w:val="af-ZA" w:eastAsia="en-US"/>
        </w:rPr>
        <w:t xml:space="preserve"> </w:t>
      </w:r>
      <w:r w:rsidRPr="00975ABC">
        <w:rPr>
          <w:rFonts w:eastAsiaTheme="minorHAnsi" w:cstheme="minorBidi"/>
          <w:b w:val="0"/>
          <w:szCs w:val="22"/>
          <w:lang w:val="en-US" w:eastAsia="en-US"/>
        </w:rPr>
        <w:t>սպասարկման</w:t>
      </w:r>
      <w:r w:rsidRPr="00975ABC">
        <w:rPr>
          <w:rFonts w:eastAsiaTheme="minorHAnsi" w:cstheme="minorBidi"/>
          <w:b w:val="0"/>
          <w:szCs w:val="22"/>
          <w:lang w:val="af-ZA" w:eastAsia="en-US"/>
        </w:rPr>
        <w:t xml:space="preserve"> </w:t>
      </w:r>
      <w:r w:rsidRPr="00975ABC">
        <w:rPr>
          <w:rFonts w:eastAsiaTheme="minorHAnsi" w:cstheme="minorBidi"/>
          <w:b w:val="0"/>
          <w:szCs w:val="22"/>
          <w:lang w:val="en-US" w:eastAsia="en-US"/>
        </w:rPr>
        <w:t>ծախսերը</w:t>
      </w:r>
      <w:r w:rsidRPr="00975ABC">
        <w:rPr>
          <w:rFonts w:eastAsiaTheme="minorHAnsi" w:cstheme="minorBidi"/>
          <w:b w:val="0"/>
          <w:szCs w:val="22"/>
          <w:lang w:val="af-ZA" w:eastAsia="en-US"/>
        </w:rPr>
        <w:t xml:space="preserve"> 202</w:t>
      </w:r>
      <w:r w:rsidRPr="00975ABC">
        <w:rPr>
          <w:rFonts w:eastAsiaTheme="minorHAnsi" w:cstheme="minorBidi"/>
          <w:b w:val="0"/>
          <w:szCs w:val="22"/>
          <w:lang w:val="en-US" w:eastAsia="en-US"/>
        </w:rPr>
        <w:t>1 թվականին</w:t>
      </w:r>
      <w:r w:rsidRPr="00975ABC">
        <w:rPr>
          <w:rFonts w:eastAsiaTheme="minorHAnsi" w:cstheme="minorBidi"/>
          <w:b w:val="0"/>
          <w:szCs w:val="22"/>
          <w:lang w:val="af-ZA" w:eastAsia="en-US"/>
        </w:rPr>
        <w:t xml:space="preserve"> </w:t>
      </w:r>
      <w:r w:rsidRPr="00975ABC">
        <w:rPr>
          <w:rFonts w:eastAsiaTheme="minorHAnsi" w:cstheme="minorBidi"/>
          <w:b w:val="0"/>
          <w:szCs w:val="22"/>
          <w:lang w:val="en-US" w:eastAsia="en-US"/>
        </w:rPr>
        <w:t>կկազմեն</w:t>
      </w:r>
      <w:r w:rsidRPr="00975ABC">
        <w:rPr>
          <w:rFonts w:eastAsiaTheme="minorHAnsi" w:cstheme="minorBidi"/>
          <w:b w:val="0"/>
          <w:szCs w:val="22"/>
          <w:lang w:val="af-ZA" w:eastAsia="en-US"/>
        </w:rPr>
        <w:t xml:space="preserve"> </w:t>
      </w:r>
      <w:r w:rsidR="00244760">
        <w:rPr>
          <w:rFonts w:eastAsiaTheme="minorHAnsi" w:cstheme="minorBidi"/>
          <w:b w:val="0"/>
          <w:szCs w:val="22"/>
          <w:lang w:val="hy-AM" w:eastAsia="en-US"/>
        </w:rPr>
        <w:t>73</w:t>
      </w:r>
      <w:r w:rsidRPr="00975ABC">
        <w:rPr>
          <w:rFonts w:eastAsiaTheme="minorHAnsi" w:cstheme="minorBidi"/>
          <w:b w:val="0"/>
          <w:szCs w:val="22"/>
          <w:lang w:val="en-US" w:eastAsia="en-US"/>
        </w:rPr>
        <w:t>.</w:t>
      </w:r>
      <w:r w:rsidR="00244760">
        <w:rPr>
          <w:rFonts w:eastAsiaTheme="minorHAnsi" w:cstheme="minorBidi"/>
          <w:b w:val="0"/>
          <w:szCs w:val="22"/>
          <w:lang w:val="hy-AM" w:eastAsia="en-US"/>
        </w:rPr>
        <w:t>4</w:t>
      </w:r>
      <w:r w:rsidRPr="00975ABC">
        <w:rPr>
          <w:rFonts w:eastAsiaTheme="minorHAnsi" w:cstheme="minorBidi"/>
          <w:b w:val="0"/>
          <w:szCs w:val="22"/>
          <w:lang w:val="af-ZA" w:eastAsia="en-US"/>
        </w:rPr>
        <w:t xml:space="preserve"> </w:t>
      </w:r>
      <w:r w:rsidRPr="00975ABC">
        <w:rPr>
          <w:rFonts w:eastAsiaTheme="minorHAnsi" w:cstheme="minorBidi"/>
          <w:b w:val="0"/>
          <w:szCs w:val="22"/>
          <w:lang w:val="en-US" w:eastAsia="en-US"/>
        </w:rPr>
        <w:t>մլն</w:t>
      </w:r>
      <w:r w:rsidRPr="00975ABC">
        <w:rPr>
          <w:rFonts w:eastAsiaTheme="minorHAnsi" w:cstheme="minorBidi"/>
          <w:b w:val="0"/>
          <w:szCs w:val="22"/>
          <w:lang w:val="af-ZA" w:eastAsia="en-US"/>
        </w:rPr>
        <w:t xml:space="preserve"> </w:t>
      </w:r>
      <w:r w:rsidRPr="00975ABC">
        <w:rPr>
          <w:rFonts w:eastAsiaTheme="minorHAnsi" w:cstheme="minorBidi"/>
          <w:b w:val="0"/>
          <w:szCs w:val="22"/>
          <w:lang w:val="en-US" w:eastAsia="en-US"/>
        </w:rPr>
        <w:t>ԱՄՆ</w:t>
      </w:r>
      <w:r w:rsidRPr="00975ABC">
        <w:rPr>
          <w:rFonts w:eastAsiaTheme="minorHAnsi" w:cstheme="minorBidi"/>
          <w:b w:val="0"/>
          <w:szCs w:val="22"/>
          <w:lang w:val="af-ZA" w:eastAsia="en-US"/>
        </w:rPr>
        <w:t xml:space="preserve"> </w:t>
      </w:r>
      <w:r w:rsidRPr="00975ABC">
        <w:rPr>
          <w:rFonts w:eastAsiaTheme="minorHAnsi" w:cstheme="minorBidi"/>
          <w:b w:val="0"/>
          <w:szCs w:val="22"/>
          <w:lang w:val="en-US" w:eastAsia="en-US"/>
        </w:rPr>
        <w:t>դոլար` շրջանառության</w:t>
      </w:r>
      <w:r w:rsidRPr="00975ABC">
        <w:rPr>
          <w:rFonts w:eastAsiaTheme="minorHAnsi" w:cstheme="minorBidi"/>
          <w:b w:val="0"/>
          <w:szCs w:val="22"/>
          <w:lang w:val="af-ZA" w:eastAsia="en-US"/>
        </w:rPr>
        <w:t xml:space="preserve"> </w:t>
      </w:r>
      <w:r w:rsidRPr="00975ABC">
        <w:rPr>
          <w:rFonts w:eastAsiaTheme="minorHAnsi" w:cstheme="minorBidi"/>
          <w:b w:val="0"/>
          <w:szCs w:val="22"/>
          <w:lang w:val="en-US" w:eastAsia="en-US"/>
        </w:rPr>
        <w:t>մեջ</w:t>
      </w:r>
      <w:r w:rsidRPr="00975ABC">
        <w:rPr>
          <w:rFonts w:eastAsiaTheme="minorHAnsi" w:cstheme="minorBidi"/>
          <w:b w:val="0"/>
          <w:szCs w:val="22"/>
          <w:lang w:val="af-ZA" w:eastAsia="en-US"/>
        </w:rPr>
        <w:t xml:space="preserve"> </w:t>
      </w:r>
      <w:r w:rsidRPr="00975ABC">
        <w:rPr>
          <w:rFonts w:eastAsiaTheme="minorHAnsi" w:cstheme="minorBidi"/>
          <w:b w:val="0"/>
          <w:szCs w:val="22"/>
          <w:lang w:val="en-US" w:eastAsia="en-US"/>
        </w:rPr>
        <w:t>գտնվող</w:t>
      </w:r>
      <w:r w:rsidRPr="00975ABC">
        <w:rPr>
          <w:rFonts w:eastAsiaTheme="minorHAnsi" w:cstheme="minorBidi"/>
          <w:b w:val="0"/>
          <w:szCs w:val="22"/>
          <w:lang w:val="af-ZA" w:eastAsia="en-US"/>
        </w:rPr>
        <w:t xml:space="preserve"> </w:t>
      </w:r>
      <w:r w:rsidRPr="00975ABC">
        <w:rPr>
          <w:rFonts w:eastAsiaTheme="minorHAnsi" w:cstheme="minorBidi"/>
          <w:b w:val="0"/>
          <w:szCs w:val="22"/>
          <w:lang w:val="en-US" w:eastAsia="en-US"/>
        </w:rPr>
        <w:t>պարտատոմսերի</w:t>
      </w:r>
      <w:r w:rsidRPr="00975ABC">
        <w:rPr>
          <w:rFonts w:eastAsiaTheme="minorHAnsi" w:cstheme="minorBidi"/>
          <w:b w:val="0"/>
          <w:szCs w:val="22"/>
          <w:lang w:val="af-ZA" w:eastAsia="en-US"/>
        </w:rPr>
        <w:t xml:space="preserve"> գծով արժեկտրոնային վճարումներ</w:t>
      </w:r>
      <w:r w:rsidRPr="00975ABC">
        <w:rPr>
          <w:rFonts w:eastAsiaTheme="minorHAnsi" w:cstheme="minorBidi"/>
          <w:b w:val="0"/>
          <w:szCs w:val="22"/>
          <w:lang w:val="en-US" w:eastAsia="en-US"/>
        </w:rPr>
        <w:t>ի համար:</w:t>
      </w:r>
      <w:bookmarkStart w:id="247" w:name="_Toc14687615"/>
      <w:bookmarkStart w:id="248" w:name="_Toc13837279"/>
      <w:bookmarkStart w:id="249" w:name="_Toc45838560"/>
      <w:bookmarkStart w:id="250" w:name="_Toc46154385"/>
      <w:bookmarkStart w:id="251" w:name="_Toc20654688"/>
    </w:p>
    <w:p w:rsidR="00E513E7" w:rsidRDefault="00E513E7" w:rsidP="007730AA">
      <w:pPr>
        <w:keepNext/>
        <w:keepLines/>
        <w:spacing w:before="0" w:line="312" w:lineRule="auto"/>
        <w:ind w:firstLine="0"/>
        <w:jc w:val="left"/>
        <w:outlineLvl w:val="2"/>
        <w:rPr>
          <w:szCs w:val="22"/>
          <w:lang w:val="en-US" w:eastAsia="en-US"/>
        </w:rPr>
      </w:pPr>
    </w:p>
    <w:p w:rsidR="00E14DDE" w:rsidRPr="00457531" w:rsidRDefault="00ED3452" w:rsidP="007730AA">
      <w:pPr>
        <w:keepNext/>
        <w:keepLines/>
        <w:spacing w:before="0" w:line="312" w:lineRule="auto"/>
        <w:ind w:firstLine="0"/>
        <w:jc w:val="left"/>
        <w:outlineLvl w:val="2"/>
        <w:rPr>
          <w:szCs w:val="22"/>
          <w:lang w:val="hy-AM" w:eastAsia="en-US"/>
        </w:rPr>
      </w:pPr>
      <w:bookmarkStart w:id="252" w:name="_Toc57655494"/>
      <w:r w:rsidRPr="00457531">
        <w:rPr>
          <w:szCs w:val="22"/>
          <w:lang w:val="en-US" w:eastAsia="en-US"/>
        </w:rPr>
        <w:t>2</w:t>
      </w:r>
      <w:r w:rsidR="00E14DDE" w:rsidRPr="00457531">
        <w:rPr>
          <w:szCs w:val="22"/>
          <w:lang w:val="hy-AM" w:eastAsia="en-US"/>
        </w:rPr>
        <w:t>. ՊԵՏԱԿԱՆ ԲՅՈՒՋԵԻ ՎՐԱ ՄԱԿՐՈՏՆՏԵՍԱԿԱՆ ԿԱՆԽԱՏԵՍՎԱԾ ՑՈՒՑԱՆԻՇՆԵՐԻՑ ՇԵՂՄԱՆ ՌԻՍԿԵՐԻ ԱԶԴԵՑՈՒԹՅԱՆ ՔԱՆԱԿԱԿԱՆ ԳՆԱՀԱՏՈՒՄ</w:t>
      </w:r>
      <w:bookmarkEnd w:id="247"/>
      <w:bookmarkEnd w:id="248"/>
      <w:bookmarkEnd w:id="249"/>
      <w:bookmarkEnd w:id="250"/>
      <w:bookmarkEnd w:id="252"/>
    </w:p>
    <w:p w:rsidR="00457531" w:rsidRDefault="00457531" w:rsidP="007730AA">
      <w:pPr>
        <w:spacing w:before="0" w:line="276" w:lineRule="auto"/>
        <w:ind w:firstLine="0"/>
        <w:contextualSpacing w:val="0"/>
        <w:rPr>
          <w:sz w:val="24"/>
          <w:lang w:val="es-ES"/>
        </w:rPr>
      </w:pPr>
      <w:bookmarkStart w:id="253" w:name="_Toc14687616"/>
      <w:bookmarkStart w:id="254" w:name="_Toc13837280"/>
    </w:p>
    <w:p w:rsidR="00E14DDE" w:rsidRPr="00457531" w:rsidRDefault="00ED3452" w:rsidP="007730AA">
      <w:pPr>
        <w:spacing w:before="0" w:line="276" w:lineRule="auto"/>
        <w:ind w:firstLine="0"/>
        <w:contextualSpacing w:val="0"/>
        <w:rPr>
          <w:szCs w:val="22"/>
          <w:lang w:val="hy-AM"/>
        </w:rPr>
      </w:pPr>
      <w:r w:rsidRPr="00457531">
        <w:rPr>
          <w:szCs w:val="22"/>
          <w:lang w:val="es-ES"/>
        </w:rPr>
        <w:t>2</w:t>
      </w:r>
      <w:r w:rsidR="00E14DDE" w:rsidRPr="00457531">
        <w:rPr>
          <w:szCs w:val="22"/>
          <w:lang w:val="hy-AM"/>
        </w:rPr>
        <w:t>.1. 2021 թվականին պետական բյուջեի հարկային եկամուտների վրա մակրոտնտեսական ցուցանիշների կանխատեսվածից շեղման ռիսկերի ազդեցության քանակական գնահատումը</w:t>
      </w:r>
    </w:p>
    <w:bookmarkEnd w:id="253"/>
    <w:bookmarkEnd w:id="254"/>
    <w:p w:rsidR="00E14DDE" w:rsidRPr="00E14DDE" w:rsidRDefault="00E14DDE" w:rsidP="007730AA">
      <w:pPr>
        <w:spacing w:before="0" w:line="276" w:lineRule="auto"/>
        <w:ind w:firstLine="720"/>
        <w:contextualSpacing w:val="0"/>
        <w:rPr>
          <w:rFonts w:eastAsia="Calibri" w:cs="Sylfaen"/>
          <w:b w:val="0"/>
          <w:szCs w:val="22"/>
          <w:lang w:val="hy-AM" w:eastAsia="en-US"/>
        </w:rPr>
      </w:pPr>
      <w:r w:rsidRPr="00E14DDE">
        <w:rPr>
          <w:rFonts w:eastAsia="Calibri" w:cs="Sylfaen"/>
          <w:b w:val="0"/>
          <w:szCs w:val="22"/>
          <w:lang w:val="hy-AM" w:eastAsia="en-US"/>
        </w:rPr>
        <w:t xml:space="preserve">Կարճաժամկետ հատվածում հարկային եկամուտների կանխատեսվող հոսքերի վրա մակրոտնտեսական բնույթի ռիսկերի ազդեցության քանակական գնահատումը հիմնվել է ստորև նկարագրված </w:t>
      </w:r>
      <w:r w:rsidRPr="00E14DDE">
        <w:rPr>
          <w:rFonts w:eastAsia="Calibri" w:cs="Sylfaen"/>
          <w:szCs w:val="22"/>
          <w:lang w:val="hy-AM" w:eastAsia="en-US"/>
        </w:rPr>
        <w:t>կանխատեսումների ռիսկի և</w:t>
      </w:r>
      <w:r w:rsidRPr="00E14DDE">
        <w:rPr>
          <w:rFonts w:eastAsia="Calibri" w:cs="Sylfaen"/>
          <w:b w:val="0"/>
          <w:szCs w:val="22"/>
          <w:lang w:val="hy-AM" w:eastAsia="en-US"/>
        </w:rPr>
        <w:t xml:space="preserve"> </w:t>
      </w:r>
      <w:r w:rsidRPr="00E14DDE">
        <w:rPr>
          <w:rFonts w:eastAsia="Calibri" w:cs="Sylfaen"/>
          <w:szCs w:val="22"/>
          <w:lang w:val="hy-AM" w:eastAsia="en-US"/>
        </w:rPr>
        <w:t>ենթադրություններից</w:t>
      </w:r>
      <w:r w:rsidRPr="00E14DDE">
        <w:rPr>
          <w:rFonts w:eastAsia="Calibri" w:cs="Sylfaen"/>
          <w:szCs w:val="22"/>
          <w:lang w:val="bg-BG" w:eastAsia="en-US"/>
        </w:rPr>
        <w:t xml:space="preserve"> </w:t>
      </w:r>
      <w:r w:rsidRPr="00E14DDE">
        <w:rPr>
          <w:rFonts w:eastAsia="Calibri" w:cs="Sylfaen"/>
          <w:szCs w:val="22"/>
          <w:lang w:val="hy-AM" w:eastAsia="en-US"/>
        </w:rPr>
        <w:t>շեղումների</w:t>
      </w:r>
      <w:r w:rsidRPr="00E14DDE">
        <w:rPr>
          <w:rFonts w:eastAsia="Calibri" w:cs="Sylfaen"/>
          <w:szCs w:val="22"/>
          <w:lang w:val="bg-BG" w:eastAsia="en-US"/>
        </w:rPr>
        <w:t xml:space="preserve"> </w:t>
      </w:r>
      <w:r w:rsidRPr="00E14DDE">
        <w:rPr>
          <w:rFonts w:eastAsia="Calibri" w:cs="Sylfaen"/>
          <w:szCs w:val="22"/>
          <w:lang w:val="hy-AM" w:eastAsia="en-US"/>
        </w:rPr>
        <w:t>ռիսկի</w:t>
      </w:r>
      <w:r w:rsidRPr="00E14DDE">
        <w:rPr>
          <w:rFonts w:eastAsia="Calibri" w:cs="Sylfaen"/>
          <w:b w:val="0"/>
          <w:szCs w:val="22"/>
          <w:lang w:val="hy-AM" w:eastAsia="en-US"/>
        </w:rPr>
        <w:t xml:space="preserve"> վրա:</w:t>
      </w:r>
    </w:p>
    <w:p w:rsidR="00E14DDE" w:rsidRPr="00E14DDE" w:rsidRDefault="00E14DDE" w:rsidP="007730AA">
      <w:pPr>
        <w:spacing w:before="0" w:line="276" w:lineRule="auto"/>
        <w:ind w:firstLine="720"/>
        <w:contextualSpacing w:val="0"/>
        <w:rPr>
          <w:rFonts w:eastAsia="Calibri" w:cs="Sylfaen"/>
          <w:szCs w:val="22"/>
          <w:lang w:val="hy-AM" w:eastAsia="en-US"/>
        </w:rPr>
      </w:pPr>
      <w:r w:rsidRPr="00E14DDE">
        <w:rPr>
          <w:rFonts w:eastAsia="Calibri" w:cs="Sylfaen"/>
          <w:szCs w:val="22"/>
          <w:lang w:val="hy-AM" w:eastAsia="en-US"/>
        </w:rPr>
        <w:t>1. Կանխատեսումների ռիսկ</w:t>
      </w:r>
    </w:p>
    <w:p w:rsidR="003B3EC4" w:rsidRPr="00F94494" w:rsidRDefault="003B3EC4"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Սովորաբար կանխատեսումներ իրականացնելիս ի հայտ են գալիս հանգամանքներ, որոնք կապված են լինում օգտագործվող կանխատեսման մոդելների տեղայնացումից և մասնավորեցումից, տնտեսության կառուցվածքային տեղաշարժերից</w:t>
      </w:r>
      <w:r w:rsidRPr="00F94494">
        <w:rPr>
          <w:rFonts w:eastAsia="Calibri" w:cs="Sylfaen"/>
          <w:b w:val="0"/>
          <w:szCs w:val="22"/>
          <w:vertAlign w:val="superscript"/>
          <w:lang w:val="hy-AM" w:eastAsia="en-US"/>
        </w:rPr>
        <w:footnoteReference w:id="34"/>
      </w:r>
      <w:r w:rsidRPr="00F94494">
        <w:rPr>
          <w:rFonts w:eastAsia="Calibri" w:cs="Sylfaen"/>
          <w:b w:val="0"/>
          <w:szCs w:val="22"/>
          <w:lang w:val="hy-AM" w:eastAsia="en-US"/>
        </w:rPr>
        <w:t>, նոր երևույթներից (որի վերաբերյալ նախկինում տեղեկատվությունը բացակայել է) և այլն: Այս ռիսկերն ընդունված է անվանել կանխա</w:t>
      </w:r>
      <w:r w:rsidRPr="00F94494">
        <w:rPr>
          <w:rFonts w:eastAsia="Calibri" w:cs="Sylfaen"/>
          <w:b w:val="0"/>
          <w:szCs w:val="22"/>
          <w:lang w:val="hy-AM" w:eastAsia="en-US"/>
        </w:rPr>
        <w:softHyphen/>
        <w:t>տես</w:t>
      </w:r>
      <w:r w:rsidRPr="00F94494">
        <w:rPr>
          <w:rFonts w:eastAsia="Calibri" w:cs="Sylfaen"/>
          <w:b w:val="0"/>
          <w:szCs w:val="22"/>
          <w:lang w:val="hy-AM" w:eastAsia="en-US"/>
        </w:rPr>
        <w:softHyphen/>
        <w:t xml:space="preserve">ման ռիսկեր: </w:t>
      </w:r>
    </w:p>
    <w:p w:rsidR="003B3EC4" w:rsidRPr="00F94494" w:rsidRDefault="003B3EC4"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Հատկապես ներկա իրավիճակում՝ կորոնավիրուսի տարածման և տևողության անորոշությունների հետևանքով, տնտեսական աճի ռիսկերը գնահատվում են առավելապես դեպի ներքև, որը պայմանավորված է ճգնաժամից տնտեսության վերականգնման անորոշությունների՝ ավելի ուշ դուրս գալու ռիսկերով: Բացի այդ, մակրոտնտեսական կանխատեսումներում ներառված չեն ԱՄՀ կողմից համաշխարհային և գործընկեր երկրներ տնտեսական աճերի կանխատեսման դեպի ներքև վերանայումները, որոնք ևս մեծացնում են դեպի ներքև ռիսկերը:</w:t>
      </w:r>
    </w:p>
    <w:p w:rsidR="003B3EC4" w:rsidRPr="00F94494" w:rsidRDefault="003B3EC4" w:rsidP="007730AA">
      <w:pPr>
        <w:spacing w:before="0" w:line="259"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Բյուջեի ծրագրի կատարման տեսանկյունից կարևորվում է ՀՆԱ-ի կանխատեսման ռիսկի գնահատումը, քանի որ բյուջեի ծրագրված սցենարի հարթ իրականացումը կախված է տնտեսությունում ստեղծված անվանական ՀՆԱ-ի մեծությունից: ՀՆԱ-ի գծով կանխատեսումների ռիսկը գնահատվել է նա</w:t>
      </w:r>
      <w:r w:rsidRPr="00F94494">
        <w:rPr>
          <w:rFonts w:eastAsia="Calibri" w:cs="Sylfaen"/>
          <w:b w:val="0"/>
          <w:szCs w:val="22"/>
          <w:lang w:val="hy-AM" w:eastAsia="en-US"/>
        </w:rPr>
        <w:softHyphen/>
        <w:t>խորդ տարիներին պետական բյուջեների հիմքում դրվող ՀՆԱ կանխա</w:t>
      </w:r>
      <w:r w:rsidRPr="00F94494">
        <w:rPr>
          <w:rFonts w:eastAsia="Calibri" w:cs="Sylfaen"/>
          <w:b w:val="0"/>
          <w:szCs w:val="22"/>
          <w:lang w:val="hy-AM" w:eastAsia="en-US"/>
        </w:rPr>
        <w:softHyphen/>
        <w:t>տեսված ցուցա</w:t>
      </w:r>
      <w:r w:rsidRPr="00F94494">
        <w:rPr>
          <w:rFonts w:eastAsia="Calibri" w:cs="Sylfaen"/>
          <w:b w:val="0"/>
          <w:szCs w:val="22"/>
          <w:lang w:val="hy-AM" w:eastAsia="en-US"/>
        </w:rPr>
        <w:softHyphen/>
        <w:t>նիշների և ՀՆԱ փաստացի ցուցանիշների միջև շեղման հիման վրա: Մասնավո</w:t>
      </w:r>
      <w:r w:rsidRPr="00F94494">
        <w:rPr>
          <w:rFonts w:eastAsia="Calibri" w:cs="Sylfaen"/>
          <w:b w:val="0"/>
          <w:szCs w:val="22"/>
          <w:lang w:val="hy-AM" w:eastAsia="en-US"/>
        </w:rPr>
        <w:softHyphen/>
        <w:t>րապես, հետճգնաժամային 2010-2019 թվականների փաստացի ՀՆԱ իրական աճերը միջին հաշվով շեղվել են կանխատեսվածից 1.9 տոկոսային կետ: Այս պարագայում, հաշվի առնելով կանխատեսվածից ցածր ՀՆԱ ձևավորման վերոնկարագրյալ ռիսկերի գերակշռությունը` որպես ռիսկ է դիտարկվել ՀՆԱ իրական աճի կանխատեսված մակարդակից 1.9 տոկոսային կետով ավելի ցածր մակարդակի ձևավորումը:</w:t>
      </w:r>
    </w:p>
    <w:p w:rsidR="003B3EC4" w:rsidRDefault="003B3EC4" w:rsidP="007730AA">
      <w:pPr>
        <w:spacing w:before="0" w:line="259" w:lineRule="auto"/>
        <w:ind w:firstLine="539"/>
        <w:contextualSpacing w:val="0"/>
        <w:rPr>
          <w:rFonts w:eastAsia="Calibri" w:cs="Sylfaen"/>
          <w:b w:val="0"/>
          <w:szCs w:val="22"/>
          <w:lang w:val="hy-AM" w:eastAsia="en-US"/>
        </w:rPr>
      </w:pPr>
      <w:r w:rsidRPr="00F94494">
        <w:rPr>
          <w:rFonts w:eastAsia="Calibri" w:cs="Sylfaen"/>
          <w:b w:val="0"/>
          <w:szCs w:val="22"/>
          <w:lang w:val="hy-AM" w:eastAsia="en-US"/>
        </w:rPr>
        <w:t>Արդյունքում, ՀՆԱ նվազման ռիսկի ազդեցությունը հարկային եկամուտների վրա 2021 թվականի համար գնահատվում է 9.2 մլրդ ՀՀ դրամ ֆինանսական պահանջի ավելացման ուղղությամբ:</w:t>
      </w:r>
    </w:p>
    <w:p w:rsidR="003B3EC4" w:rsidRPr="00F94494" w:rsidRDefault="003B3EC4" w:rsidP="007730AA">
      <w:pPr>
        <w:spacing w:before="0" w:line="259" w:lineRule="auto"/>
        <w:ind w:firstLine="539"/>
        <w:contextualSpacing w:val="0"/>
        <w:rPr>
          <w:rFonts w:eastAsia="Calibri" w:cs="Sylfaen"/>
          <w:b w:val="0"/>
          <w:szCs w:val="22"/>
          <w:lang w:val="hy-AM" w:eastAsia="en-US"/>
        </w:rPr>
      </w:pPr>
    </w:p>
    <w:p w:rsidR="00E14DDE" w:rsidRPr="00E14DDE" w:rsidRDefault="00E14DDE" w:rsidP="007730AA">
      <w:pPr>
        <w:spacing w:before="0" w:line="276" w:lineRule="auto"/>
        <w:ind w:firstLine="720"/>
        <w:contextualSpacing w:val="0"/>
        <w:rPr>
          <w:rFonts w:eastAsia="Calibri" w:cs="Sylfaen"/>
          <w:szCs w:val="22"/>
          <w:lang w:val="hy-AM" w:eastAsia="en-US"/>
        </w:rPr>
      </w:pPr>
      <w:r w:rsidRPr="00E14DDE">
        <w:rPr>
          <w:rFonts w:eastAsia="Calibri" w:cs="Sylfaen"/>
          <w:szCs w:val="22"/>
          <w:lang w:val="bg-BG" w:eastAsia="en-US"/>
        </w:rPr>
        <w:t xml:space="preserve">2. </w:t>
      </w:r>
      <w:r w:rsidRPr="00E14DDE">
        <w:rPr>
          <w:rFonts w:eastAsia="Calibri" w:cs="Sylfaen"/>
          <w:szCs w:val="22"/>
          <w:lang w:val="hy-AM" w:eastAsia="en-US"/>
        </w:rPr>
        <w:t>Ենթադրություններից</w:t>
      </w:r>
      <w:r w:rsidRPr="00E14DDE">
        <w:rPr>
          <w:rFonts w:eastAsia="Calibri" w:cs="Sylfaen"/>
          <w:szCs w:val="22"/>
          <w:lang w:val="bg-BG" w:eastAsia="en-US"/>
        </w:rPr>
        <w:t xml:space="preserve"> </w:t>
      </w:r>
      <w:r w:rsidRPr="00E14DDE">
        <w:rPr>
          <w:rFonts w:eastAsia="Calibri" w:cs="Sylfaen"/>
          <w:szCs w:val="22"/>
          <w:lang w:val="hy-AM" w:eastAsia="en-US"/>
        </w:rPr>
        <w:t>շեղումների</w:t>
      </w:r>
      <w:r w:rsidRPr="00E14DDE">
        <w:rPr>
          <w:rFonts w:eastAsia="Calibri" w:cs="Sylfaen"/>
          <w:szCs w:val="22"/>
          <w:lang w:val="bg-BG" w:eastAsia="en-US"/>
        </w:rPr>
        <w:t xml:space="preserve"> </w:t>
      </w:r>
      <w:r w:rsidRPr="00E14DDE">
        <w:rPr>
          <w:rFonts w:eastAsia="Calibri" w:cs="Sylfaen"/>
          <w:szCs w:val="22"/>
          <w:lang w:val="hy-AM" w:eastAsia="en-US"/>
        </w:rPr>
        <w:t>ռիսկ</w:t>
      </w:r>
    </w:p>
    <w:p w:rsidR="003B3EC4" w:rsidRPr="00F94494" w:rsidRDefault="003B3EC4"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Պետական բյուջեի հիմքում դրվող կանխատեսումները կառուցվում են որոշակի ենթադրու</w:t>
      </w:r>
      <w:r w:rsidRPr="00F94494">
        <w:rPr>
          <w:rFonts w:eastAsia="Calibri" w:cs="Sylfaen"/>
          <w:b w:val="0"/>
          <w:szCs w:val="22"/>
          <w:lang w:val="hy-AM" w:eastAsia="en-US"/>
        </w:rPr>
        <w:softHyphen/>
        <w:t>թյու</w:t>
      </w:r>
      <w:r w:rsidRPr="00F94494">
        <w:rPr>
          <w:rFonts w:eastAsia="Calibri" w:cs="Sylfaen"/>
          <w:b w:val="0"/>
          <w:szCs w:val="22"/>
          <w:lang w:val="hy-AM" w:eastAsia="en-US"/>
        </w:rPr>
        <w:softHyphen/>
        <w:t xml:space="preserve">նների հիման վրա, որոնք էլ իրենց հերթին կախված են արտաքին գործոններից (օրինակ, ներքին տնտեսության գնաճը` միջազգային շուկաների գների կանխատեսվող վարքագծից): Սակայն միշտ չէ, որ այդ ենթադրությունները կանխատեսվող հորիզոնում իրականություն են դառնում՝ կապված ՀՀ կառավարության և ՀՀ ԿԲ-ի կառավարման դաշտից դուրս ի հայտ եկող երևույթների հետ (օրինակ` նավթի համաշխարհային գների հնարավոր փոփոխությունները): </w:t>
      </w:r>
    </w:p>
    <w:p w:rsidR="003B3EC4" w:rsidRPr="00F94494" w:rsidRDefault="003B3EC4"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Ենթադրություններից շեղումների ռիսկ է նաև ԵԱՏՄ անդամ պետությունների տնտեսական զարգացումները: Միաժամանակ, ՀՀ պետական բյուջեի հարկային եկամուտներում մաքսա</w:t>
      </w:r>
      <w:r w:rsidRPr="00F94494">
        <w:rPr>
          <w:rFonts w:eastAsia="Calibri" w:cs="Sylfaen"/>
          <w:b w:val="0"/>
          <w:szCs w:val="22"/>
          <w:lang w:val="hy-AM" w:eastAsia="en-US"/>
        </w:rPr>
        <w:softHyphen/>
        <w:t>տուր</w:t>
      </w:r>
      <w:r w:rsidRPr="00F94494">
        <w:rPr>
          <w:rFonts w:eastAsia="Calibri" w:cs="Sylfaen"/>
          <w:b w:val="0"/>
          <w:szCs w:val="22"/>
          <w:lang w:val="hy-AM" w:eastAsia="en-US"/>
        </w:rPr>
        <w:softHyphen/>
        <w:t>քերի մասնաբաժինը կարող է փոփոխվել նոր պետությունների ԵԱՏՄ-ին անդամակ</w:t>
      </w:r>
      <w:r w:rsidRPr="00F94494">
        <w:rPr>
          <w:rFonts w:eastAsia="Calibri" w:cs="Sylfaen"/>
          <w:b w:val="0"/>
          <w:szCs w:val="22"/>
          <w:lang w:val="hy-AM" w:eastAsia="en-US"/>
        </w:rPr>
        <w:softHyphen/>
        <w:t xml:space="preserve">ցությունից: </w:t>
      </w:r>
    </w:p>
    <w:p w:rsidR="00E14DDE" w:rsidRPr="00E14DDE" w:rsidRDefault="00E14DDE" w:rsidP="007730AA">
      <w:pPr>
        <w:spacing w:before="0" w:line="276" w:lineRule="auto"/>
        <w:ind w:firstLine="720"/>
        <w:contextualSpacing w:val="0"/>
        <w:rPr>
          <w:rFonts w:eastAsia="Calibri" w:cs="Sylfaen"/>
          <w:szCs w:val="22"/>
          <w:lang w:val="ro-RO" w:eastAsia="en-US"/>
        </w:rPr>
      </w:pPr>
      <w:r w:rsidRPr="00E14DDE">
        <w:rPr>
          <w:rFonts w:eastAsia="Calibri" w:cs="Sylfaen"/>
          <w:szCs w:val="22"/>
          <w:lang w:val="ro-RO" w:eastAsia="en-US"/>
        </w:rPr>
        <w:t xml:space="preserve">2.1. </w:t>
      </w:r>
      <w:r w:rsidRPr="00E14DDE">
        <w:rPr>
          <w:rFonts w:eastAsia="Calibri" w:cs="Sylfaen"/>
          <w:szCs w:val="22"/>
          <w:lang w:val="hy-AM" w:eastAsia="en-US"/>
        </w:rPr>
        <w:t>Գնաճի շեղման հնարավոր չափը</w:t>
      </w:r>
    </w:p>
    <w:p w:rsidR="003B5F66" w:rsidRPr="00F94494" w:rsidRDefault="003B5F66"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Գնաճի ցուցանիշի շեղման հնարավոր չափ է դիտարկվում ՀՀ ԿԲ-ի կողմից դրամավարկային քաղաքականության ծրագրում (գնաճի հաշվետվություններում) ներկայացվող գնաճի նպատակային ցուցանիշի կենտրոնական արժեքից շեղման առավելագույն չափը, որը կազմում է 1.5 տոկոսային կետ: Հետևաբար բյուջեի հիմքում դրվող գնաճի</w:t>
      </w:r>
      <w:r>
        <w:rPr>
          <w:rFonts w:eastAsia="Calibri" w:cs="Sylfaen"/>
          <w:b w:val="0"/>
          <w:szCs w:val="22"/>
          <w:lang w:val="hy-AM" w:eastAsia="en-US"/>
        </w:rPr>
        <w:t xml:space="preserve"> </w:t>
      </w:r>
      <w:r w:rsidRPr="00F94494">
        <w:rPr>
          <w:rFonts w:eastAsia="Calibri" w:cs="Sylfaen"/>
          <w:b w:val="0"/>
          <w:szCs w:val="22"/>
          <w:lang w:val="hy-AM" w:eastAsia="en-US"/>
        </w:rPr>
        <w:t xml:space="preserve">կանխատեսված ցուցանիշից շեղման ռիսկերը գնահատվում են հավասարակշռված` կանխատեսված արժեքից </w:t>
      </w:r>
      <w:r w:rsidRPr="00F94494">
        <w:rPr>
          <w:rFonts w:eastAsia="Calibri" w:cs="Sylfaen"/>
          <w:szCs w:val="22"/>
          <w:lang w:val="hy-AM" w:eastAsia="en-US"/>
        </w:rPr>
        <w:t>դեպի</w:t>
      </w:r>
      <w:r w:rsidRPr="00F94494">
        <w:rPr>
          <w:rFonts w:eastAsia="Calibri" w:cs="Sylfaen"/>
          <w:b w:val="0"/>
          <w:szCs w:val="22"/>
          <w:lang w:val="hy-AM" w:eastAsia="en-US"/>
        </w:rPr>
        <w:t xml:space="preserve"> </w:t>
      </w:r>
      <w:r w:rsidRPr="00F94494">
        <w:rPr>
          <w:rFonts w:eastAsia="Calibri" w:cs="Sylfaen"/>
          <w:szCs w:val="22"/>
          <w:lang w:val="hy-AM" w:eastAsia="en-US"/>
        </w:rPr>
        <w:t>ներքև`</w:t>
      </w:r>
      <w:r w:rsidRPr="00F94494">
        <w:rPr>
          <w:rFonts w:eastAsia="Calibri" w:cs="Sylfaen"/>
          <w:b w:val="0"/>
          <w:szCs w:val="22"/>
          <w:lang w:val="hy-AM" w:eastAsia="en-US"/>
        </w:rPr>
        <w:t xml:space="preserve"> </w:t>
      </w:r>
      <w:r w:rsidRPr="00F94494">
        <w:rPr>
          <w:rFonts w:eastAsia="Calibri" w:cs="Sylfaen"/>
          <w:szCs w:val="22"/>
          <w:lang w:val="hy-AM" w:eastAsia="en-US"/>
        </w:rPr>
        <w:t>1.5 տոկոսային կետի չափով</w:t>
      </w:r>
      <w:r w:rsidRPr="00F94494">
        <w:rPr>
          <w:rFonts w:eastAsia="Calibri" w:cs="Sylfaen"/>
          <w:b w:val="0"/>
          <w:szCs w:val="22"/>
          <w:lang w:val="hy-AM" w:eastAsia="en-US"/>
        </w:rPr>
        <w:t xml:space="preserve"> և </w:t>
      </w:r>
      <w:r w:rsidRPr="00F94494">
        <w:rPr>
          <w:rFonts w:eastAsia="Calibri" w:cs="Sylfaen"/>
          <w:szCs w:val="22"/>
          <w:lang w:val="hy-AM" w:eastAsia="en-US"/>
        </w:rPr>
        <w:t>դեպի վերև շեղումը` 1.5 տոկոսային կետի չափով</w:t>
      </w:r>
      <w:r w:rsidRPr="00F94494">
        <w:rPr>
          <w:rFonts w:eastAsia="Calibri" w:cs="Sylfaen"/>
          <w:b w:val="0"/>
          <w:szCs w:val="22"/>
          <w:lang w:val="hy-AM" w:eastAsia="en-US"/>
        </w:rPr>
        <w:t xml:space="preserve">: </w:t>
      </w:r>
    </w:p>
    <w:p w:rsidR="003B5F66" w:rsidRPr="00F94494" w:rsidRDefault="003B5F66"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 xml:space="preserve">Գնաճի շեղման ռիսկը կարող է ազդեցություն ունենալ ՀՀ պետական բյուջեի և՛ եկամտային, և՛ ծախսային կատարողականների վրա` անուղղակի հարկերի, ինչպես նաև ապրանքների և ծառայությունների գծով ծախսերի ուղղությամբ: Գնանկումային պայմաններում հարկերից մուտքերը կկրճատվեն և ընդհակառակը: </w:t>
      </w:r>
    </w:p>
    <w:p w:rsidR="003B5F66" w:rsidRPr="00F94494" w:rsidRDefault="003B5F66"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Արդյունքում, գների նվազման ռիսկի ազդեցությունը հարկային եկամուտների վրա 2021, թվականի համար գնահատվում է 2.5 մլրդ ՀՀ դրամ ֆինանսական պահանջի ավելացման ուղղությամբ:</w:t>
      </w:r>
    </w:p>
    <w:p w:rsidR="00E14DDE" w:rsidRPr="00E14DDE" w:rsidRDefault="00E14DDE" w:rsidP="007730AA">
      <w:pPr>
        <w:spacing w:before="0" w:line="276" w:lineRule="auto"/>
        <w:ind w:firstLine="720"/>
        <w:contextualSpacing w:val="0"/>
        <w:jc w:val="left"/>
        <w:rPr>
          <w:rFonts w:eastAsia="Calibri" w:cs="Sylfaen"/>
          <w:szCs w:val="22"/>
          <w:lang w:val="ro-RO" w:eastAsia="en-US"/>
        </w:rPr>
      </w:pPr>
      <w:r w:rsidRPr="00E14DDE">
        <w:rPr>
          <w:rFonts w:eastAsia="Calibri" w:cs="Sylfaen"/>
          <w:szCs w:val="22"/>
          <w:lang w:val="bg-BG" w:eastAsia="en-US"/>
        </w:rPr>
        <w:t>2.2</w:t>
      </w:r>
      <w:r w:rsidRPr="00E14DDE">
        <w:rPr>
          <w:rFonts w:eastAsia="Calibri" w:cs="Sylfaen"/>
          <w:szCs w:val="22"/>
          <w:lang w:val="ro-RO" w:eastAsia="en-US"/>
        </w:rPr>
        <w:t>.</w:t>
      </w:r>
      <w:r w:rsidRPr="00E14DDE">
        <w:rPr>
          <w:rFonts w:eastAsia="Calibri" w:cs="Sylfaen"/>
          <w:szCs w:val="22"/>
          <w:lang w:val="bg-BG" w:eastAsia="en-US"/>
        </w:rPr>
        <w:t xml:space="preserve"> </w:t>
      </w:r>
      <w:r w:rsidRPr="003B5F66">
        <w:rPr>
          <w:rFonts w:eastAsia="Calibri" w:cs="Sylfaen"/>
          <w:szCs w:val="22"/>
          <w:lang w:val="hy-AM" w:eastAsia="en-US"/>
        </w:rPr>
        <w:t>Փոխարժեքի</w:t>
      </w:r>
      <w:r w:rsidRPr="00E14DDE">
        <w:rPr>
          <w:rFonts w:eastAsia="Calibri" w:cs="Sylfaen"/>
          <w:szCs w:val="22"/>
          <w:lang w:val="hy-AM" w:eastAsia="en-US"/>
        </w:rPr>
        <w:t xml:space="preserve"> </w:t>
      </w:r>
      <w:r w:rsidRPr="003B5F66">
        <w:rPr>
          <w:rFonts w:eastAsia="Calibri" w:cs="Sylfaen"/>
          <w:szCs w:val="22"/>
          <w:lang w:val="hy-AM" w:eastAsia="en-US"/>
        </w:rPr>
        <w:t>շեղման</w:t>
      </w:r>
      <w:r w:rsidRPr="00E14DDE">
        <w:rPr>
          <w:rFonts w:eastAsia="Calibri" w:cs="Sylfaen"/>
          <w:szCs w:val="22"/>
          <w:lang w:val="hy-AM" w:eastAsia="en-US"/>
        </w:rPr>
        <w:t xml:space="preserve"> </w:t>
      </w:r>
      <w:r w:rsidRPr="003B5F66">
        <w:rPr>
          <w:rFonts w:eastAsia="Calibri" w:cs="Sylfaen"/>
          <w:szCs w:val="22"/>
          <w:lang w:val="hy-AM" w:eastAsia="en-US"/>
        </w:rPr>
        <w:t>հնարավոր</w:t>
      </w:r>
      <w:r w:rsidRPr="00E14DDE">
        <w:rPr>
          <w:rFonts w:eastAsia="Calibri" w:cs="Sylfaen"/>
          <w:szCs w:val="22"/>
          <w:lang w:val="hy-AM" w:eastAsia="en-US"/>
        </w:rPr>
        <w:t xml:space="preserve"> </w:t>
      </w:r>
      <w:r w:rsidRPr="003B5F66">
        <w:rPr>
          <w:rFonts w:eastAsia="Calibri" w:cs="Sylfaen"/>
          <w:szCs w:val="22"/>
          <w:lang w:val="hy-AM" w:eastAsia="en-US"/>
        </w:rPr>
        <w:t>չափը</w:t>
      </w:r>
    </w:p>
    <w:p w:rsidR="003B5F66" w:rsidRPr="00F94494" w:rsidRDefault="003B5F66"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ՀՀ ԿԲ-ն և ՀՀ ՖՆ-ն փոխարժեքի կանխա</w:t>
      </w:r>
      <w:r w:rsidRPr="00F94494">
        <w:rPr>
          <w:rFonts w:eastAsia="Calibri" w:cs="Sylfaen"/>
          <w:b w:val="0"/>
          <w:szCs w:val="22"/>
          <w:lang w:val="hy-AM" w:eastAsia="en-US"/>
        </w:rPr>
        <w:softHyphen/>
        <w:t>տեսումներ չեն իրականացնում և մակրոտնտեսական քաղաքականությունն իրականացվում է լողացող փոխարժեքի սկզբունքի հիման վրա, ընդ որում, յուրաքանչյուր տարվա պետական բյուջեի ցուցանիշների կանխատեսումների հիմքում դրվում է փոխարժեքի անփոփոխ (որոշակի պահի դրությամբ) մակարդակ: Սակայն փոխարժեքի տատա</w:t>
      </w:r>
      <w:r w:rsidRPr="00F94494">
        <w:rPr>
          <w:rFonts w:eastAsia="Calibri" w:cs="Sylfaen"/>
          <w:b w:val="0"/>
          <w:szCs w:val="22"/>
          <w:lang w:val="hy-AM" w:eastAsia="en-US"/>
        </w:rPr>
        <w:softHyphen/>
        <w:t>նում</w:t>
      </w:r>
      <w:r w:rsidRPr="00F94494">
        <w:rPr>
          <w:rFonts w:eastAsia="Calibri" w:cs="Sylfaen"/>
          <w:b w:val="0"/>
          <w:szCs w:val="22"/>
          <w:lang w:val="hy-AM" w:eastAsia="en-US"/>
        </w:rPr>
        <w:softHyphen/>
        <w:t>ները կազդեն ներմուծումից ՀՀ պետական բյուջե մուտքագրվող հարկային եկամուտների վրա:</w:t>
      </w:r>
    </w:p>
    <w:p w:rsidR="003B5F66" w:rsidRPr="00F94494" w:rsidRDefault="003B5F66"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Հաշվի առնելով այն հանգամանքը, որ պատմականորեն և՛ արժևորման, և՛ արժեզրկման ուղղությամբ փոխար</w:t>
      </w:r>
      <w:r w:rsidRPr="00F94494">
        <w:rPr>
          <w:rFonts w:eastAsia="Calibri" w:cs="Sylfaen"/>
          <w:b w:val="0"/>
          <w:szCs w:val="22"/>
          <w:lang w:val="hy-AM" w:eastAsia="en-US"/>
        </w:rPr>
        <w:softHyphen/>
        <w:t xml:space="preserve">ժեքի տատանումների բացարձակ շեղման միջին չափը չի գերազանցել 5.0 տոկոսը` որպես ռիսկ է դիտարկվել ԱՄՆ դոլարի նկատմամբ ՀՀ դրամի առավելագույնը 5% արժեզրկումը: </w:t>
      </w:r>
    </w:p>
    <w:p w:rsidR="003B5F66" w:rsidRPr="00F94494" w:rsidRDefault="003B5F66"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Արդյունքում, փոխարժեքի 5 տոկոսով արժեզրկման ռիսկի դրսևորման դեպքում, այլ հավասար պայմաններում, 2021 թվականին կարելի է ապահովել հարկային եկամուտների 10.8 մլրդ ՀՀ դրամ լրացուցիչ մուտք:</w:t>
      </w:r>
    </w:p>
    <w:p w:rsidR="001A0083" w:rsidRPr="003B5F66" w:rsidRDefault="001A0083" w:rsidP="007730AA">
      <w:pPr>
        <w:spacing w:before="0" w:line="276" w:lineRule="auto"/>
        <w:ind w:firstLine="720"/>
        <w:contextualSpacing w:val="0"/>
        <w:rPr>
          <w:rFonts w:eastAsia="Calibri" w:cs="Sylfaen"/>
          <w:szCs w:val="22"/>
          <w:lang w:val="hy-AM" w:eastAsia="en-US"/>
        </w:rPr>
      </w:pPr>
    </w:p>
    <w:p w:rsidR="00E14DDE" w:rsidRPr="00E14DDE" w:rsidRDefault="00E14DDE" w:rsidP="007730AA">
      <w:pPr>
        <w:spacing w:before="0" w:line="276" w:lineRule="auto"/>
        <w:ind w:firstLine="720"/>
        <w:contextualSpacing w:val="0"/>
        <w:rPr>
          <w:rFonts w:eastAsia="Calibri" w:cs="Sylfaen"/>
          <w:szCs w:val="22"/>
          <w:lang w:val="ro-RO" w:eastAsia="en-US"/>
        </w:rPr>
      </w:pPr>
      <w:r w:rsidRPr="00E14DDE">
        <w:rPr>
          <w:rFonts w:eastAsia="Calibri" w:cs="Sylfaen"/>
          <w:szCs w:val="22"/>
          <w:lang w:val="ro-RO" w:eastAsia="en-US"/>
        </w:rPr>
        <w:t xml:space="preserve">2.3. Ներմուծման </w:t>
      </w:r>
      <w:r w:rsidRPr="0077672E">
        <w:rPr>
          <w:rFonts w:eastAsia="Calibri" w:cs="Sylfaen"/>
          <w:szCs w:val="22"/>
          <w:lang w:val="hy-AM" w:eastAsia="en-US"/>
        </w:rPr>
        <w:t>գծով</w:t>
      </w:r>
      <w:r w:rsidRPr="00E14DDE">
        <w:rPr>
          <w:rFonts w:eastAsia="Calibri" w:cs="Sylfaen"/>
          <w:szCs w:val="22"/>
          <w:lang w:val="hy-AM" w:eastAsia="en-US"/>
        </w:rPr>
        <w:t xml:space="preserve"> </w:t>
      </w:r>
      <w:r w:rsidRPr="0077672E">
        <w:rPr>
          <w:rFonts w:eastAsia="Calibri" w:cs="Sylfaen"/>
          <w:szCs w:val="22"/>
          <w:lang w:val="hy-AM" w:eastAsia="en-US"/>
        </w:rPr>
        <w:t>ռիսկի</w:t>
      </w:r>
      <w:r w:rsidRPr="00E14DDE">
        <w:rPr>
          <w:rFonts w:eastAsia="Calibri" w:cs="Sylfaen"/>
          <w:szCs w:val="22"/>
          <w:lang w:val="hy-AM" w:eastAsia="en-US"/>
        </w:rPr>
        <w:t xml:space="preserve"> </w:t>
      </w:r>
      <w:r w:rsidRPr="0077672E">
        <w:rPr>
          <w:rFonts w:eastAsia="Calibri" w:cs="Sylfaen"/>
          <w:szCs w:val="22"/>
          <w:lang w:val="hy-AM" w:eastAsia="en-US"/>
        </w:rPr>
        <w:t>հնարավոր</w:t>
      </w:r>
      <w:r w:rsidRPr="00E14DDE">
        <w:rPr>
          <w:rFonts w:eastAsia="Calibri" w:cs="Sylfaen"/>
          <w:szCs w:val="22"/>
          <w:lang w:val="hy-AM" w:eastAsia="en-US"/>
        </w:rPr>
        <w:t xml:space="preserve"> </w:t>
      </w:r>
      <w:r w:rsidRPr="0077672E">
        <w:rPr>
          <w:rFonts w:eastAsia="Calibri" w:cs="Sylfaen"/>
          <w:szCs w:val="22"/>
          <w:lang w:val="hy-AM" w:eastAsia="en-US"/>
        </w:rPr>
        <w:t>չափը</w:t>
      </w:r>
    </w:p>
    <w:p w:rsidR="003B5F66" w:rsidRPr="00F94494" w:rsidRDefault="003B5F66"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Քանի որ մաքսային սահմանին ներմուծումից գանձվող անուղղակի հարկերը էական կշիռ ունեն պետական բյուջեի ընդհանուր հարկային եկամուտներում, անհրաժեշտ է գնահատել նաև ներմուծման հնարավոր նվազման պարագայում հարկային եկամուտների նվազման ռիսկի չափը: Հետճգնաժամային տարիներին պետական բյուջեում ներմուծման գծով կանխատեսումների շեղման միջին բացարձակ չափը սահմանվում է 10.4%-ի միջակայքում, ինչն էլ հաշվի է առնվել այս գործոնի ազդեցությունը գնահատելու համար: 2021 թվականի համար ծրագրվածից համապատասխանաբար 10.4%-ից պակաս ներմուծման ռիսկի դրսևորման պայմաններում հարկային եկամուտների վրա ազդեցությունը գնահատվում է 16.7 մլրդ ՀՀ դրամ` ֆինանսական պահանջի ավելացման ուղղությամբ:</w:t>
      </w:r>
    </w:p>
    <w:p w:rsidR="003B5F66" w:rsidRPr="00F94494" w:rsidRDefault="003B5F66"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 xml:space="preserve">Ամփոփելով վերը նկարագրված </w:t>
      </w:r>
      <w:r w:rsidRPr="00F94494">
        <w:rPr>
          <w:rFonts w:eastAsia="Calibri" w:cs="Sylfaen"/>
          <w:szCs w:val="22"/>
          <w:lang w:val="hy-AM" w:eastAsia="en-US"/>
        </w:rPr>
        <w:t>կանխատեսումների ռիսկի և</w:t>
      </w:r>
      <w:r w:rsidRPr="00F94494">
        <w:rPr>
          <w:rFonts w:eastAsia="Calibri" w:cs="Sylfaen"/>
          <w:b w:val="0"/>
          <w:szCs w:val="22"/>
          <w:lang w:val="hy-AM" w:eastAsia="en-US"/>
        </w:rPr>
        <w:t xml:space="preserve"> </w:t>
      </w:r>
      <w:r w:rsidRPr="00F94494">
        <w:rPr>
          <w:rFonts w:eastAsia="Calibri" w:cs="Sylfaen"/>
          <w:szCs w:val="22"/>
          <w:lang w:val="hy-AM" w:eastAsia="en-US"/>
        </w:rPr>
        <w:t>ենթադրություններից շեղումների ռիսկի</w:t>
      </w:r>
      <w:r w:rsidRPr="00F94494">
        <w:rPr>
          <w:rFonts w:eastAsia="Calibri" w:cs="Sylfaen"/>
          <w:b w:val="0"/>
          <w:szCs w:val="22"/>
          <w:lang w:val="hy-AM" w:eastAsia="en-US"/>
        </w:rPr>
        <w:t xml:space="preserve"> գնահատականները,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գնահատականները ներկայացվում են ստորև.</w:t>
      </w:r>
    </w:p>
    <w:p w:rsidR="00E14DDE" w:rsidRPr="00E14DDE" w:rsidRDefault="00CF7820" w:rsidP="007730AA">
      <w:pPr>
        <w:pStyle w:val="Caption"/>
        <w:spacing w:before="0" w:after="0"/>
        <w:rPr>
          <w:rFonts w:eastAsia="Calibri"/>
          <w:b/>
          <w:i/>
          <w:sz w:val="20"/>
          <w:szCs w:val="20"/>
          <w:lang w:val="ro-RO" w:eastAsia="en-US"/>
        </w:rPr>
      </w:pPr>
      <w:bookmarkStart w:id="255" w:name="_Toc57631769"/>
      <w:r w:rsidRPr="003B5F66">
        <w:rPr>
          <w:lang w:val="hy-AM"/>
        </w:rPr>
        <w:t>Աղյուսակ</w:t>
      </w:r>
      <w:r w:rsidRPr="00CF7820">
        <w:rPr>
          <w:lang w:val="ro-RO"/>
        </w:rPr>
        <w:t xml:space="preserve"> </w:t>
      </w:r>
      <w:r w:rsidR="003C3925">
        <w:fldChar w:fldCharType="begin"/>
      </w:r>
      <w:r w:rsidRPr="00CF7820">
        <w:rPr>
          <w:lang w:val="ro-RO"/>
        </w:rPr>
        <w:instrText xml:space="preserve"> SEQ </w:instrText>
      </w:r>
      <w:r w:rsidRPr="003B5F66">
        <w:rPr>
          <w:lang w:val="hy-AM"/>
        </w:rPr>
        <w:instrText>Աղյուսակ</w:instrText>
      </w:r>
      <w:r w:rsidRPr="00CF7820">
        <w:rPr>
          <w:lang w:val="ro-RO"/>
        </w:rPr>
        <w:instrText xml:space="preserve"> \* ARABIC </w:instrText>
      </w:r>
      <w:r w:rsidR="003C3925">
        <w:fldChar w:fldCharType="separate"/>
      </w:r>
      <w:r w:rsidR="007E790B">
        <w:rPr>
          <w:noProof/>
          <w:lang w:val="ro-RO"/>
        </w:rPr>
        <w:t>18</w:t>
      </w:r>
      <w:r w:rsidR="003C3925">
        <w:fldChar w:fldCharType="end"/>
      </w:r>
      <w:r>
        <w:rPr>
          <w:rFonts w:ascii="Cambria Math" w:hAnsi="Cambria Math"/>
          <w:lang w:val="hy-AM"/>
        </w:rPr>
        <w:t xml:space="preserve">․ </w:t>
      </w:r>
      <w:r w:rsidR="00E14DDE" w:rsidRPr="00E14DDE">
        <w:rPr>
          <w:rFonts w:eastAsia="Calibri"/>
          <w:b/>
          <w:i/>
          <w:sz w:val="20"/>
          <w:szCs w:val="20"/>
          <w:lang w:val="hy-AM" w:eastAsia="en-US"/>
        </w:rPr>
        <w:t>Հարկային եկամուտների վրա մակրոտնտեսական կանխատեսումների և ենթադրությունների</w:t>
      </w:r>
      <w:r w:rsidR="00E14DDE" w:rsidRPr="00E14DDE">
        <w:rPr>
          <w:rFonts w:eastAsia="Calibri"/>
          <w:b/>
          <w:i/>
          <w:sz w:val="20"/>
          <w:szCs w:val="20"/>
          <w:lang w:val="sk-SK" w:eastAsia="en-US"/>
        </w:rPr>
        <w:t xml:space="preserve"> </w:t>
      </w:r>
      <w:r w:rsidR="00E14DDE" w:rsidRPr="00E14DDE">
        <w:rPr>
          <w:rFonts w:eastAsia="Calibri"/>
          <w:b/>
          <w:i/>
          <w:sz w:val="20"/>
          <w:szCs w:val="20"/>
          <w:lang w:val="hy-AM" w:eastAsia="en-US"/>
        </w:rPr>
        <w:t>ռիսկերի ազդեցություն</w:t>
      </w:r>
      <w:r w:rsidR="00E14DDE" w:rsidRPr="00E14DDE">
        <w:rPr>
          <w:rFonts w:eastAsia="Calibri"/>
          <w:b/>
          <w:i/>
          <w:sz w:val="20"/>
          <w:szCs w:val="20"/>
          <w:vertAlign w:val="superscript"/>
          <w:lang w:val="hy-AM" w:eastAsia="en-US"/>
        </w:rPr>
        <w:footnoteReference w:id="35"/>
      </w:r>
      <w:bookmarkEnd w:id="255"/>
    </w:p>
    <w:tbl>
      <w:tblPr>
        <w:tblW w:w="8851" w:type="dxa"/>
        <w:tblInd w:w="530" w:type="dxa"/>
        <w:tblLook w:val="04A0" w:firstRow="1" w:lastRow="0" w:firstColumn="1" w:lastColumn="0" w:noHBand="0" w:noVBand="1"/>
      </w:tblPr>
      <w:tblGrid>
        <w:gridCol w:w="6390"/>
        <w:gridCol w:w="2440"/>
        <w:gridCol w:w="21"/>
      </w:tblGrid>
      <w:tr w:rsidR="00E14DDE" w:rsidRPr="00130243" w:rsidTr="00D158C9">
        <w:trPr>
          <w:gridAfter w:val="1"/>
          <w:wAfter w:w="21" w:type="dxa"/>
          <w:trHeight w:val="960"/>
          <w:tblHeader/>
        </w:trPr>
        <w:tc>
          <w:tcPr>
            <w:tcW w:w="6390" w:type="dxa"/>
            <w:tcBorders>
              <w:top w:val="nil"/>
              <w:left w:val="single" w:sz="8" w:space="0" w:color="BDD6EE"/>
              <w:bottom w:val="single" w:sz="8" w:space="0" w:color="BDD6EE"/>
              <w:right w:val="single" w:sz="8" w:space="0" w:color="BDD6EE"/>
            </w:tcBorders>
            <w:shd w:val="clear" w:color="000000" w:fill="5B9BD5"/>
            <w:vAlign w:val="center"/>
            <w:hideMark/>
          </w:tcPr>
          <w:p w:rsidR="00E14DDE" w:rsidRPr="00E14DDE" w:rsidRDefault="00E14DDE" w:rsidP="007730AA">
            <w:pPr>
              <w:spacing w:before="0" w:line="240" w:lineRule="auto"/>
              <w:ind w:firstLine="0"/>
              <w:contextualSpacing w:val="0"/>
              <w:rPr>
                <w:rFonts w:cs="Calibri"/>
                <w:bCs/>
                <w:color w:val="FFFFFF"/>
                <w:szCs w:val="22"/>
                <w:lang w:val="en-US" w:eastAsia="en-US"/>
              </w:rPr>
            </w:pPr>
            <w:r w:rsidRPr="00E14DDE">
              <w:rPr>
                <w:rFonts w:cs="Calibri"/>
                <w:bCs/>
                <w:color w:val="FFFFFF"/>
                <w:szCs w:val="22"/>
                <w:lang w:val="en-US" w:eastAsia="en-US"/>
              </w:rPr>
              <w:t>Ռիսկի տեսակը</w:t>
            </w:r>
          </w:p>
        </w:tc>
        <w:tc>
          <w:tcPr>
            <w:tcW w:w="2440" w:type="dxa"/>
            <w:tcBorders>
              <w:top w:val="nil"/>
              <w:left w:val="nil"/>
              <w:bottom w:val="single" w:sz="8" w:space="0" w:color="BDD6EE"/>
              <w:right w:val="single" w:sz="8" w:space="0" w:color="BDD6EE"/>
            </w:tcBorders>
            <w:shd w:val="clear" w:color="000000" w:fill="5B9BD5"/>
            <w:vAlign w:val="center"/>
            <w:hideMark/>
          </w:tcPr>
          <w:p w:rsidR="00E14DDE" w:rsidRPr="00E14DDE" w:rsidRDefault="00E14DDE" w:rsidP="007730AA">
            <w:pPr>
              <w:spacing w:before="0" w:line="240" w:lineRule="auto"/>
              <w:ind w:firstLine="0"/>
              <w:contextualSpacing w:val="0"/>
              <w:jc w:val="center"/>
              <w:rPr>
                <w:rFonts w:cs="Calibri"/>
                <w:bCs/>
                <w:color w:val="FFFFFF"/>
                <w:szCs w:val="22"/>
                <w:lang w:val="en-US" w:eastAsia="en-US"/>
              </w:rPr>
            </w:pPr>
            <w:r w:rsidRPr="00E14DDE">
              <w:rPr>
                <w:rFonts w:cs="Calibri"/>
                <w:bCs/>
                <w:color w:val="FFFFFF"/>
                <w:szCs w:val="22"/>
                <w:lang w:val="en-US" w:eastAsia="en-US"/>
              </w:rPr>
              <w:t>Ազդեցության գնահատականը, մլրդ ՀՀ դրամ</w:t>
            </w:r>
          </w:p>
        </w:tc>
      </w:tr>
      <w:tr w:rsidR="00E14DDE" w:rsidRPr="00E14DDE" w:rsidTr="00D158C9">
        <w:trPr>
          <w:gridAfter w:val="1"/>
          <w:wAfter w:w="21" w:type="dxa"/>
          <w:trHeight w:val="345"/>
          <w:tblHeader/>
        </w:trPr>
        <w:tc>
          <w:tcPr>
            <w:tcW w:w="6390" w:type="dxa"/>
            <w:tcBorders>
              <w:top w:val="nil"/>
              <w:left w:val="single" w:sz="8" w:space="0" w:color="BDD6EE"/>
              <w:bottom w:val="single" w:sz="8" w:space="0" w:color="BDD6EE"/>
              <w:right w:val="single" w:sz="8" w:space="0" w:color="BDD6EE"/>
            </w:tcBorders>
            <w:shd w:val="clear" w:color="000000" w:fill="5B9BD5"/>
            <w:vAlign w:val="center"/>
            <w:hideMark/>
          </w:tcPr>
          <w:p w:rsidR="00E14DDE" w:rsidRPr="00E14DDE" w:rsidRDefault="00E14DDE" w:rsidP="007730AA">
            <w:pPr>
              <w:spacing w:before="0" w:line="240" w:lineRule="auto"/>
              <w:ind w:firstLine="0"/>
              <w:contextualSpacing w:val="0"/>
              <w:rPr>
                <w:rFonts w:cs="Calibri"/>
                <w:bCs/>
                <w:color w:val="FFFFFF"/>
                <w:szCs w:val="22"/>
                <w:lang w:val="en-US" w:eastAsia="en-US"/>
              </w:rPr>
            </w:pPr>
            <w:r w:rsidRPr="00E14DDE">
              <w:rPr>
                <w:rFonts w:ascii="Calibri" w:hAnsi="Calibri" w:cs="Calibri"/>
                <w:bCs/>
                <w:color w:val="FFFFFF"/>
                <w:szCs w:val="22"/>
                <w:lang w:val="en-US" w:eastAsia="en-US"/>
              </w:rPr>
              <w:t> </w:t>
            </w:r>
          </w:p>
        </w:tc>
        <w:tc>
          <w:tcPr>
            <w:tcW w:w="2440" w:type="dxa"/>
            <w:tcBorders>
              <w:top w:val="nil"/>
              <w:left w:val="nil"/>
              <w:bottom w:val="single" w:sz="8" w:space="0" w:color="BDD6EE"/>
              <w:right w:val="single" w:sz="8" w:space="0" w:color="BDD6EE"/>
            </w:tcBorders>
            <w:shd w:val="clear" w:color="000000" w:fill="5B9BD5"/>
            <w:vAlign w:val="center"/>
            <w:hideMark/>
          </w:tcPr>
          <w:p w:rsidR="00E14DDE" w:rsidRPr="00BD3813" w:rsidRDefault="00E14DDE" w:rsidP="007730AA">
            <w:pPr>
              <w:spacing w:before="0" w:line="240" w:lineRule="auto"/>
              <w:ind w:firstLine="0"/>
              <w:contextualSpacing w:val="0"/>
              <w:jc w:val="center"/>
              <w:rPr>
                <w:rFonts w:cs="Calibri"/>
                <w:bCs/>
                <w:color w:val="FFFFFF"/>
                <w:szCs w:val="22"/>
                <w:lang w:eastAsia="en-US"/>
              </w:rPr>
            </w:pPr>
            <w:r w:rsidRPr="00E14DDE">
              <w:rPr>
                <w:rFonts w:cs="Calibri"/>
                <w:bCs/>
                <w:color w:val="FFFFFF"/>
                <w:szCs w:val="22"/>
                <w:lang w:val="en-US" w:eastAsia="en-US"/>
              </w:rPr>
              <w:t>2021</w:t>
            </w:r>
            <w:r w:rsidR="00BD3813">
              <w:rPr>
                <w:rFonts w:cs="Calibri"/>
                <w:bCs/>
                <w:color w:val="FFFFFF"/>
                <w:szCs w:val="22"/>
                <w:lang w:eastAsia="en-US"/>
              </w:rPr>
              <w:t>թ.</w:t>
            </w:r>
          </w:p>
        </w:tc>
      </w:tr>
      <w:tr w:rsidR="00E14DDE" w:rsidRPr="00E14DDE" w:rsidTr="00D158C9">
        <w:trPr>
          <w:trHeight w:val="345"/>
        </w:trPr>
        <w:tc>
          <w:tcPr>
            <w:tcW w:w="8851" w:type="dxa"/>
            <w:gridSpan w:val="3"/>
            <w:tcBorders>
              <w:top w:val="single" w:sz="8" w:space="0" w:color="BDD6EE"/>
              <w:left w:val="single" w:sz="8" w:space="0" w:color="BDD6EE"/>
              <w:bottom w:val="single" w:sz="8" w:space="0" w:color="BDD6EE"/>
              <w:right w:val="single" w:sz="8" w:space="0" w:color="BDD6EE"/>
            </w:tcBorders>
            <w:shd w:val="clear" w:color="auto" w:fill="auto"/>
            <w:vAlign w:val="center"/>
            <w:hideMark/>
          </w:tcPr>
          <w:p w:rsidR="00E14DDE" w:rsidRPr="0021231F" w:rsidRDefault="00E14DDE" w:rsidP="007730AA">
            <w:pPr>
              <w:spacing w:before="0" w:line="240" w:lineRule="auto"/>
              <w:ind w:firstLine="0"/>
              <w:contextualSpacing w:val="0"/>
              <w:rPr>
                <w:rFonts w:cs="Calibri"/>
                <w:bCs/>
                <w:color w:val="000000"/>
                <w:szCs w:val="22"/>
                <w:lang w:eastAsia="en-US"/>
              </w:rPr>
            </w:pPr>
            <w:r w:rsidRPr="00E14DDE">
              <w:rPr>
                <w:rFonts w:cs="Calibri"/>
                <w:bCs/>
                <w:color w:val="000000"/>
                <w:szCs w:val="22"/>
                <w:lang w:val="en-US" w:eastAsia="en-US"/>
              </w:rPr>
              <w:t>Ռիսկերի</w:t>
            </w:r>
            <w:r w:rsidRPr="0021231F">
              <w:rPr>
                <w:rFonts w:cs="Calibri"/>
                <w:bCs/>
                <w:color w:val="000000"/>
                <w:szCs w:val="22"/>
                <w:lang w:eastAsia="en-US"/>
              </w:rPr>
              <w:t xml:space="preserve"> </w:t>
            </w:r>
            <w:r w:rsidRPr="00E14DDE">
              <w:rPr>
                <w:rFonts w:cs="Calibri"/>
                <w:bCs/>
                <w:color w:val="000000"/>
                <w:szCs w:val="22"/>
                <w:lang w:val="en-US" w:eastAsia="en-US"/>
              </w:rPr>
              <w:t>առանձին</w:t>
            </w:r>
            <w:r w:rsidRPr="0021231F">
              <w:rPr>
                <w:rFonts w:cs="Calibri"/>
                <w:bCs/>
                <w:color w:val="000000"/>
                <w:szCs w:val="22"/>
                <w:lang w:eastAsia="en-US"/>
              </w:rPr>
              <w:t xml:space="preserve"> </w:t>
            </w:r>
            <w:r w:rsidRPr="00E14DDE">
              <w:rPr>
                <w:rFonts w:cs="Calibri"/>
                <w:bCs/>
                <w:color w:val="000000"/>
                <w:szCs w:val="22"/>
                <w:lang w:val="en-US" w:eastAsia="en-US"/>
              </w:rPr>
              <w:t>հանդես</w:t>
            </w:r>
            <w:r w:rsidRPr="0021231F">
              <w:rPr>
                <w:rFonts w:cs="Calibri"/>
                <w:bCs/>
                <w:color w:val="000000"/>
                <w:szCs w:val="22"/>
                <w:lang w:eastAsia="en-US"/>
              </w:rPr>
              <w:t xml:space="preserve"> </w:t>
            </w:r>
            <w:r w:rsidRPr="00E14DDE">
              <w:rPr>
                <w:rFonts w:cs="Calibri"/>
                <w:bCs/>
                <w:color w:val="000000"/>
                <w:szCs w:val="22"/>
                <w:lang w:val="en-US" w:eastAsia="en-US"/>
              </w:rPr>
              <w:t>գալու</w:t>
            </w:r>
            <w:r w:rsidRPr="0021231F">
              <w:rPr>
                <w:rFonts w:cs="Calibri"/>
                <w:bCs/>
                <w:color w:val="000000"/>
                <w:szCs w:val="22"/>
                <w:lang w:eastAsia="en-US"/>
              </w:rPr>
              <w:t xml:space="preserve"> </w:t>
            </w:r>
            <w:r w:rsidRPr="00E14DDE">
              <w:rPr>
                <w:rFonts w:cs="Calibri"/>
                <w:bCs/>
                <w:color w:val="000000"/>
                <w:szCs w:val="22"/>
                <w:lang w:val="en-US" w:eastAsia="en-US"/>
              </w:rPr>
              <w:t>պայմաններում</w:t>
            </w:r>
          </w:p>
        </w:tc>
      </w:tr>
      <w:tr w:rsidR="003B5F66" w:rsidRPr="00E14DDE" w:rsidTr="00D158C9">
        <w:trPr>
          <w:gridAfter w:val="1"/>
          <w:wAfter w:w="21" w:type="dxa"/>
          <w:trHeight w:val="675"/>
        </w:trPr>
        <w:tc>
          <w:tcPr>
            <w:tcW w:w="6390" w:type="dxa"/>
            <w:tcBorders>
              <w:top w:val="nil"/>
              <w:left w:val="single" w:sz="8" w:space="0" w:color="BDD6EE"/>
              <w:bottom w:val="single" w:sz="8" w:space="0" w:color="BDD6EE"/>
              <w:right w:val="single" w:sz="8" w:space="0" w:color="BDD6EE"/>
            </w:tcBorders>
            <w:shd w:val="clear" w:color="auto" w:fill="auto"/>
            <w:vAlign w:val="center"/>
            <w:hideMark/>
          </w:tcPr>
          <w:p w:rsidR="003B5F66" w:rsidRPr="0021231F" w:rsidRDefault="003B5F66" w:rsidP="007730AA">
            <w:pPr>
              <w:spacing w:before="0" w:line="240" w:lineRule="auto"/>
              <w:ind w:firstLine="0"/>
              <w:contextualSpacing w:val="0"/>
              <w:jc w:val="left"/>
              <w:rPr>
                <w:rFonts w:cs="Calibri"/>
                <w:bCs/>
                <w:color w:val="000000"/>
                <w:szCs w:val="22"/>
                <w:lang w:eastAsia="en-US"/>
              </w:rPr>
            </w:pPr>
            <w:r w:rsidRPr="0021231F">
              <w:rPr>
                <w:rFonts w:cs="Calibri"/>
                <w:bCs/>
                <w:color w:val="000000"/>
                <w:szCs w:val="22"/>
                <w:lang w:eastAsia="en-US"/>
              </w:rPr>
              <w:t xml:space="preserve">1. </w:t>
            </w:r>
            <w:r w:rsidRPr="00E14DDE">
              <w:rPr>
                <w:rFonts w:cs="Calibri"/>
                <w:bCs/>
                <w:color w:val="000000"/>
                <w:szCs w:val="22"/>
                <w:lang w:val="en-US" w:eastAsia="en-US"/>
              </w:rPr>
              <w:t>Կանխատեսվածից</w:t>
            </w:r>
            <w:r w:rsidRPr="0021231F">
              <w:rPr>
                <w:rFonts w:cs="Calibri"/>
                <w:bCs/>
                <w:color w:val="000000"/>
                <w:szCs w:val="22"/>
                <w:lang w:eastAsia="en-US"/>
              </w:rPr>
              <w:t xml:space="preserve"> 1.9 </w:t>
            </w:r>
            <w:r w:rsidRPr="00E14DDE">
              <w:rPr>
                <w:rFonts w:cs="Calibri"/>
                <w:bCs/>
                <w:color w:val="000000"/>
                <w:szCs w:val="22"/>
                <w:lang w:val="en-US" w:eastAsia="en-US"/>
              </w:rPr>
              <w:t>տոկոսային</w:t>
            </w:r>
            <w:r w:rsidRPr="0021231F">
              <w:rPr>
                <w:rFonts w:cs="Calibri"/>
                <w:bCs/>
                <w:color w:val="000000"/>
                <w:szCs w:val="22"/>
                <w:lang w:eastAsia="en-US"/>
              </w:rPr>
              <w:t xml:space="preserve"> </w:t>
            </w:r>
            <w:r w:rsidRPr="00E14DDE">
              <w:rPr>
                <w:rFonts w:cs="Calibri"/>
                <w:bCs/>
                <w:color w:val="000000"/>
                <w:szCs w:val="22"/>
                <w:lang w:val="en-US" w:eastAsia="en-US"/>
              </w:rPr>
              <w:t>կետով</w:t>
            </w:r>
            <w:r w:rsidRPr="0021231F">
              <w:rPr>
                <w:rFonts w:cs="Calibri"/>
                <w:bCs/>
                <w:color w:val="000000"/>
                <w:szCs w:val="22"/>
                <w:lang w:eastAsia="en-US"/>
              </w:rPr>
              <w:t xml:space="preserve"> </w:t>
            </w:r>
            <w:r w:rsidRPr="00E14DDE">
              <w:rPr>
                <w:rFonts w:cs="Calibri"/>
                <w:bCs/>
                <w:color w:val="000000"/>
                <w:szCs w:val="22"/>
                <w:lang w:val="en-US" w:eastAsia="en-US"/>
              </w:rPr>
              <w:t>ավելի</w:t>
            </w:r>
            <w:r w:rsidRPr="0021231F">
              <w:rPr>
                <w:rFonts w:cs="Calibri"/>
                <w:bCs/>
                <w:color w:val="000000"/>
                <w:szCs w:val="22"/>
                <w:lang w:eastAsia="en-US"/>
              </w:rPr>
              <w:t xml:space="preserve"> </w:t>
            </w:r>
            <w:r w:rsidRPr="00E14DDE">
              <w:rPr>
                <w:rFonts w:cs="Calibri"/>
                <w:bCs/>
                <w:color w:val="000000"/>
                <w:szCs w:val="22"/>
                <w:lang w:val="en-US" w:eastAsia="en-US"/>
              </w:rPr>
              <w:t>ցածր</w:t>
            </w:r>
            <w:r w:rsidRPr="0021231F">
              <w:rPr>
                <w:rFonts w:cs="Calibri"/>
                <w:bCs/>
                <w:color w:val="000000"/>
                <w:szCs w:val="22"/>
                <w:lang w:eastAsia="en-US"/>
              </w:rPr>
              <w:t xml:space="preserve"> </w:t>
            </w:r>
            <w:r w:rsidRPr="00E14DDE">
              <w:rPr>
                <w:rFonts w:cs="Calibri"/>
                <w:bCs/>
                <w:color w:val="000000"/>
                <w:szCs w:val="22"/>
                <w:lang w:val="en-US" w:eastAsia="en-US"/>
              </w:rPr>
              <w:t>իրական</w:t>
            </w:r>
            <w:r w:rsidRPr="0021231F">
              <w:rPr>
                <w:rFonts w:cs="Calibri"/>
                <w:bCs/>
                <w:color w:val="000000"/>
                <w:szCs w:val="22"/>
                <w:lang w:eastAsia="en-US"/>
              </w:rPr>
              <w:t xml:space="preserve"> </w:t>
            </w:r>
            <w:r w:rsidRPr="00E14DDE">
              <w:rPr>
                <w:rFonts w:cs="Calibri"/>
                <w:bCs/>
                <w:color w:val="000000"/>
                <w:szCs w:val="22"/>
                <w:lang w:val="en-US" w:eastAsia="en-US"/>
              </w:rPr>
              <w:t>ՀՆԱ</w:t>
            </w:r>
            <w:r w:rsidRPr="0021231F">
              <w:rPr>
                <w:rFonts w:cs="Calibri"/>
                <w:bCs/>
                <w:color w:val="000000"/>
                <w:szCs w:val="22"/>
                <w:lang w:eastAsia="en-US"/>
              </w:rPr>
              <w:t>-</w:t>
            </w:r>
            <w:r w:rsidRPr="00E14DDE">
              <w:rPr>
                <w:rFonts w:cs="Calibri"/>
                <w:bCs/>
                <w:color w:val="000000"/>
                <w:szCs w:val="22"/>
                <w:lang w:val="en-US" w:eastAsia="en-US"/>
              </w:rPr>
              <w:t>ի</w:t>
            </w:r>
            <w:r w:rsidRPr="0021231F">
              <w:rPr>
                <w:rFonts w:cs="Calibri"/>
                <w:bCs/>
                <w:color w:val="000000"/>
                <w:szCs w:val="22"/>
                <w:lang w:eastAsia="en-US"/>
              </w:rPr>
              <w:t xml:space="preserve"> </w:t>
            </w:r>
            <w:r w:rsidRPr="00E14DDE">
              <w:rPr>
                <w:rFonts w:cs="Calibri"/>
                <w:bCs/>
                <w:color w:val="000000"/>
                <w:szCs w:val="22"/>
                <w:lang w:val="en-US" w:eastAsia="en-US"/>
              </w:rPr>
              <w:t>աճ</w:t>
            </w:r>
          </w:p>
        </w:tc>
        <w:tc>
          <w:tcPr>
            <w:tcW w:w="2440" w:type="dxa"/>
            <w:tcBorders>
              <w:top w:val="nil"/>
              <w:left w:val="nil"/>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-9.2</w:t>
            </w:r>
          </w:p>
        </w:tc>
      </w:tr>
      <w:tr w:rsidR="003B5F66" w:rsidRPr="00E14DDE" w:rsidTr="00D158C9">
        <w:trPr>
          <w:gridAfter w:val="1"/>
          <w:wAfter w:w="21" w:type="dxa"/>
          <w:trHeight w:val="675"/>
        </w:trPr>
        <w:tc>
          <w:tcPr>
            <w:tcW w:w="6390" w:type="dxa"/>
            <w:tcBorders>
              <w:top w:val="nil"/>
              <w:left w:val="single" w:sz="8" w:space="0" w:color="BDD6EE"/>
              <w:bottom w:val="single" w:sz="8" w:space="0" w:color="BDD6EE"/>
              <w:right w:val="single" w:sz="8" w:space="0" w:color="BDD6EE"/>
            </w:tcBorders>
            <w:shd w:val="clear" w:color="auto" w:fill="auto"/>
            <w:vAlign w:val="center"/>
            <w:hideMark/>
          </w:tcPr>
          <w:p w:rsidR="003B5F66" w:rsidRPr="0021231F" w:rsidRDefault="003B5F66" w:rsidP="007730AA">
            <w:pPr>
              <w:spacing w:before="0" w:line="240" w:lineRule="auto"/>
              <w:ind w:firstLine="0"/>
              <w:contextualSpacing w:val="0"/>
              <w:jc w:val="left"/>
              <w:rPr>
                <w:rFonts w:cs="Calibri"/>
                <w:bCs/>
                <w:color w:val="000000"/>
                <w:szCs w:val="22"/>
                <w:lang w:eastAsia="en-US"/>
              </w:rPr>
            </w:pPr>
            <w:r w:rsidRPr="0021231F">
              <w:rPr>
                <w:rFonts w:cs="Calibri"/>
                <w:bCs/>
                <w:color w:val="000000"/>
                <w:szCs w:val="22"/>
                <w:lang w:eastAsia="en-US"/>
              </w:rPr>
              <w:t xml:space="preserve">2. 1.5 </w:t>
            </w:r>
            <w:r w:rsidRPr="00E14DDE">
              <w:rPr>
                <w:rFonts w:cs="Calibri"/>
                <w:bCs/>
                <w:color w:val="000000"/>
                <w:szCs w:val="22"/>
                <w:lang w:val="en-US" w:eastAsia="en-US"/>
              </w:rPr>
              <w:t>տոկոսային</w:t>
            </w:r>
            <w:r w:rsidRPr="0021231F">
              <w:rPr>
                <w:rFonts w:cs="Calibri"/>
                <w:bCs/>
                <w:color w:val="000000"/>
                <w:szCs w:val="22"/>
                <w:lang w:eastAsia="en-US"/>
              </w:rPr>
              <w:t xml:space="preserve"> </w:t>
            </w:r>
            <w:r w:rsidRPr="00E14DDE">
              <w:rPr>
                <w:rFonts w:cs="Calibri"/>
                <w:bCs/>
                <w:color w:val="000000"/>
                <w:szCs w:val="22"/>
                <w:lang w:val="en-US" w:eastAsia="en-US"/>
              </w:rPr>
              <w:t>կետով</w:t>
            </w:r>
            <w:r w:rsidRPr="0021231F">
              <w:rPr>
                <w:rFonts w:cs="Calibri"/>
                <w:bCs/>
                <w:color w:val="000000"/>
                <w:szCs w:val="22"/>
                <w:lang w:eastAsia="en-US"/>
              </w:rPr>
              <w:t xml:space="preserve"> </w:t>
            </w:r>
            <w:r w:rsidRPr="00E14DDE">
              <w:rPr>
                <w:rFonts w:cs="Calibri"/>
                <w:bCs/>
                <w:color w:val="000000"/>
                <w:szCs w:val="22"/>
                <w:lang w:val="en-US" w:eastAsia="en-US"/>
              </w:rPr>
              <w:t>ավելի</w:t>
            </w:r>
            <w:r w:rsidRPr="0021231F">
              <w:rPr>
                <w:rFonts w:cs="Calibri"/>
                <w:bCs/>
                <w:color w:val="000000"/>
                <w:szCs w:val="22"/>
                <w:lang w:eastAsia="en-US"/>
              </w:rPr>
              <w:t xml:space="preserve"> </w:t>
            </w:r>
            <w:r w:rsidRPr="00E14DDE">
              <w:rPr>
                <w:rFonts w:cs="Calibri"/>
                <w:bCs/>
                <w:color w:val="000000"/>
                <w:szCs w:val="22"/>
                <w:lang w:val="en-US" w:eastAsia="en-US"/>
              </w:rPr>
              <w:t>ցածր</w:t>
            </w:r>
            <w:r w:rsidRPr="0021231F">
              <w:rPr>
                <w:rFonts w:cs="Calibri"/>
                <w:bCs/>
                <w:color w:val="000000"/>
                <w:szCs w:val="22"/>
                <w:lang w:eastAsia="en-US"/>
              </w:rPr>
              <w:t xml:space="preserve"> </w:t>
            </w:r>
            <w:r w:rsidRPr="00E14DDE">
              <w:rPr>
                <w:rFonts w:cs="Calibri"/>
                <w:bCs/>
                <w:color w:val="000000"/>
                <w:szCs w:val="22"/>
                <w:lang w:val="en-US" w:eastAsia="en-US"/>
              </w:rPr>
              <w:t>գնաճի</w:t>
            </w:r>
            <w:r w:rsidRPr="0021231F">
              <w:rPr>
                <w:rFonts w:cs="Calibri"/>
                <w:bCs/>
                <w:color w:val="000000"/>
                <w:szCs w:val="22"/>
                <w:lang w:eastAsia="en-US"/>
              </w:rPr>
              <w:t xml:space="preserve"> </w:t>
            </w:r>
            <w:r w:rsidRPr="00E14DDE">
              <w:rPr>
                <w:rFonts w:cs="Calibri"/>
                <w:bCs/>
                <w:color w:val="000000"/>
                <w:szCs w:val="22"/>
                <w:lang w:val="en-US" w:eastAsia="en-US"/>
              </w:rPr>
              <w:t>ռիսկ</w:t>
            </w:r>
          </w:p>
        </w:tc>
        <w:tc>
          <w:tcPr>
            <w:tcW w:w="2440" w:type="dxa"/>
            <w:tcBorders>
              <w:top w:val="nil"/>
              <w:left w:val="nil"/>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-2.5</w:t>
            </w:r>
          </w:p>
        </w:tc>
      </w:tr>
      <w:tr w:rsidR="003B5F66" w:rsidRPr="00E14DDE" w:rsidTr="00D158C9">
        <w:trPr>
          <w:gridAfter w:val="1"/>
          <w:wAfter w:w="21" w:type="dxa"/>
          <w:trHeight w:val="675"/>
        </w:trPr>
        <w:tc>
          <w:tcPr>
            <w:tcW w:w="6390" w:type="dxa"/>
            <w:tcBorders>
              <w:top w:val="nil"/>
              <w:left w:val="single" w:sz="8" w:space="0" w:color="BDD6EE"/>
              <w:bottom w:val="single" w:sz="8" w:space="0" w:color="BDD6EE"/>
              <w:right w:val="single" w:sz="8" w:space="0" w:color="BDD6EE"/>
            </w:tcBorders>
            <w:shd w:val="clear" w:color="auto" w:fill="auto"/>
            <w:vAlign w:val="center"/>
            <w:hideMark/>
          </w:tcPr>
          <w:p w:rsidR="003B5F66" w:rsidRPr="0021231F" w:rsidRDefault="003B5F66" w:rsidP="007730AA">
            <w:pPr>
              <w:spacing w:before="0" w:line="240" w:lineRule="auto"/>
              <w:ind w:firstLine="0"/>
              <w:contextualSpacing w:val="0"/>
              <w:jc w:val="left"/>
              <w:rPr>
                <w:rFonts w:cs="Calibri"/>
                <w:bCs/>
                <w:color w:val="000000"/>
                <w:szCs w:val="22"/>
                <w:lang w:eastAsia="en-US"/>
              </w:rPr>
            </w:pPr>
            <w:r w:rsidRPr="0021231F">
              <w:rPr>
                <w:rFonts w:cs="Calibri"/>
                <w:bCs/>
                <w:color w:val="000000"/>
                <w:szCs w:val="22"/>
                <w:lang w:eastAsia="en-US"/>
              </w:rPr>
              <w:t xml:space="preserve">3. </w:t>
            </w:r>
            <w:r w:rsidRPr="00E14DDE">
              <w:rPr>
                <w:rFonts w:cs="Calibri"/>
                <w:bCs/>
                <w:color w:val="000000"/>
                <w:szCs w:val="22"/>
                <w:lang w:val="en-US" w:eastAsia="en-US"/>
              </w:rPr>
              <w:t>Փոխարժեքի</w:t>
            </w:r>
            <w:r w:rsidRPr="0021231F">
              <w:rPr>
                <w:rFonts w:cs="Calibri"/>
                <w:bCs/>
                <w:color w:val="000000"/>
                <w:szCs w:val="22"/>
                <w:lang w:eastAsia="en-US"/>
              </w:rPr>
              <w:t xml:space="preserve"> </w:t>
            </w:r>
            <w:r w:rsidRPr="00E14DDE">
              <w:rPr>
                <w:rFonts w:cs="Calibri"/>
                <w:bCs/>
                <w:color w:val="000000"/>
                <w:szCs w:val="22"/>
                <w:lang w:val="en-US" w:eastAsia="en-US"/>
              </w:rPr>
              <w:t>առավելագույնը</w:t>
            </w:r>
            <w:r w:rsidRPr="0021231F">
              <w:rPr>
                <w:rFonts w:cs="Calibri"/>
                <w:bCs/>
                <w:color w:val="000000"/>
                <w:szCs w:val="22"/>
                <w:lang w:eastAsia="en-US"/>
              </w:rPr>
              <w:t xml:space="preserve"> 5.0 </w:t>
            </w:r>
            <w:r w:rsidRPr="00E14DDE">
              <w:rPr>
                <w:rFonts w:cs="Calibri"/>
                <w:bCs/>
                <w:color w:val="000000"/>
                <w:szCs w:val="22"/>
                <w:lang w:val="en-US" w:eastAsia="en-US"/>
              </w:rPr>
              <w:t>տոկոսով</w:t>
            </w:r>
            <w:r w:rsidRPr="0021231F">
              <w:rPr>
                <w:rFonts w:cs="Calibri"/>
                <w:bCs/>
                <w:color w:val="000000"/>
                <w:szCs w:val="22"/>
                <w:lang w:eastAsia="en-US"/>
              </w:rPr>
              <w:t xml:space="preserve"> </w:t>
            </w:r>
            <w:r w:rsidRPr="00E14DDE">
              <w:rPr>
                <w:rFonts w:cs="Calibri"/>
                <w:bCs/>
                <w:color w:val="000000"/>
                <w:szCs w:val="22"/>
                <w:lang w:val="en-US" w:eastAsia="en-US"/>
              </w:rPr>
              <w:t>արժեզրկման</w:t>
            </w:r>
            <w:r w:rsidRPr="0021231F">
              <w:rPr>
                <w:rFonts w:cs="Calibri"/>
                <w:bCs/>
                <w:color w:val="000000"/>
                <w:szCs w:val="22"/>
                <w:lang w:eastAsia="en-US"/>
              </w:rPr>
              <w:t xml:space="preserve"> </w:t>
            </w:r>
            <w:r w:rsidRPr="00E14DDE">
              <w:rPr>
                <w:rFonts w:cs="Calibri"/>
                <w:bCs/>
                <w:color w:val="000000"/>
                <w:szCs w:val="22"/>
                <w:lang w:val="en-US" w:eastAsia="en-US"/>
              </w:rPr>
              <w:t>ռիսկ</w:t>
            </w:r>
          </w:p>
        </w:tc>
        <w:tc>
          <w:tcPr>
            <w:tcW w:w="2440" w:type="dxa"/>
            <w:tcBorders>
              <w:top w:val="nil"/>
              <w:left w:val="nil"/>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10.8</w:t>
            </w:r>
          </w:p>
        </w:tc>
      </w:tr>
      <w:tr w:rsidR="003B5F66" w:rsidRPr="00E14DDE" w:rsidTr="00D158C9">
        <w:trPr>
          <w:gridAfter w:val="1"/>
          <w:wAfter w:w="21" w:type="dxa"/>
          <w:trHeight w:val="345"/>
        </w:trPr>
        <w:tc>
          <w:tcPr>
            <w:tcW w:w="6390" w:type="dxa"/>
            <w:tcBorders>
              <w:top w:val="nil"/>
              <w:left w:val="single" w:sz="8" w:space="0" w:color="BDD6EE"/>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left"/>
              <w:rPr>
                <w:rFonts w:cs="Calibri"/>
                <w:bCs/>
                <w:color w:val="000000"/>
                <w:szCs w:val="22"/>
                <w:lang w:val="en-US" w:eastAsia="en-US"/>
              </w:rPr>
            </w:pPr>
            <w:r w:rsidRPr="00E14DDE">
              <w:rPr>
                <w:rFonts w:cs="Calibri"/>
                <w:bCs/>
                <w:color w:val="000000"/>
                <w:szCs w:val="22"/>
                <w:lang w:val="en-US" w:eastAsia="en-US"/>
              </w:rPr>
              <w:t>4. Ներմուծման 10.4 տոկոսով նվազման ռիսկ</w:t>
            </w:r>
          </w:p>
        </w:tc>
        <w:tc>
          <w:tcPr>
            <w:tcW w:w="2440" w:type="dxa"/>
            <w:tcBorders>
              <w:top w:val="nil"/>
              <w:left w:val="nil"/>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-16.7</w:t>
            </w:r>
          </w:p>
        </w:tc>
      </w:tr>
      <w:tr w:rsidR="003B5F66" w:rsidRPr="00E14DDE" w:rsidTr="00D158C9">
        <w:trPr>
          <w:gridAfter w:val="1"/>
          <w:wAfter w:w="21" w:type="dxa"/>
          <w:trHeight w:val="675"/>
        </w:trPr>
        <w:tc>
          <w:tcPr>
            <w:tcW w:w="6390" w:type="dxa"/>
            <w:tcBorders>
              <w:top w:val="nil"/>
              <w:left w:val="single" w:sz="8" w:space="0" w:color="BDD6EE"/>
              <w:bottom w:val="single" w:sz="8" w:space="0" w:color="BDD6EE"/>
              <w:right w:val="single" w:sz="8" w:space="0" w:color="BDD6EE"/>
            </w:tcBorders>
            <w:shd w:val="clear" w:color="auto" w:fill="auto"/>
            <w:vAlign w:val="center"/>
            <w:hideMark/>
          </w:tcPr>
          <w:p w:rsidR="003B5F66" w:rsidRPr="0021231F" w:rsidRDefault="003B5F66" w:rsidP="007730AA">
            <w:pPr>
              <w:spacing w:before="0" w:line="240" w:lineRule="auto"/>
              <w:ind w:firstLine="0"/>
              <w:contextualSpacing w:val="0"/>
              <w:jc w:val="left"/>
              <w:rPr>
                <w:rFonts w:cs="Calibri"/>
                <w:bCs/>
                <w:color w:val="000000"/>
                <w:szCs w:val="22"/>
                <w:lang w:eastAsia="en-US"/>
              </w:rPr>
            </w:pPr>
            <w:r w:rsidRPr="00E14DDE">
              <w:rPr>
                <w:rFonts w:cs="Calibri"/>
                <w:bCs/>
                <w:color w:val="000000"/>
                <w:szCs w:val="22"/>
                <w:lang w:val="en-US" w:eastAsia="en-US"/>
              </w:rPr>
              <w:t>Վերոնշյալ</w:t>
            </w:r>
            <w:r w:rsidRPr="0021231F">
              <w:rPr>
                <w:rFonts w:cs="Calibri"/>
                <w:bCs/>
                <w:color w:val="000000"/>
                <w:szCs w:val="22"/>
                <w:lang w:eastAsia="en-US"/>
              </w:rPr>
              <w:t xml:space="preserve"> </w:t>
            </w:r>
            <w:r w:rsidRPr="00E14DDE">
              <w:rPr>
                <w:rFonts w:cs="Calibri"/>
                <w:bCs/>
                <w:color w:val="000000"/>
                <w:szCs w:val="22"/>
                <w:lang w:val="en-US" w:eastAsia="en-US"/>
              </w:rPr>
              <w:t>ռիսկերի</w:t>
            </w:r>
            <w:r w:rsidRPr="0021231F">
              <w:rPr>
                <w:rFonts w:cs="Calibri"/>
                <w:bCs/>
                <w:color w:val="000000"/>
                <w:szCs w:val="22"/>
                <w:lang w:eastAsia="en-US"/>
              </w:rPr>
              <w:t xml:space="preserve"> </w:t>
            </w:r>
            <w:r w:rsidRPr="00E14DDE">
              <w:rPr>
                <w:rFonts w:cs="Calibri"/>
                <w:bCs/>
                <w:color w:val="000000"/>
                <w:szCs w:val="22"/>
                <w:lang w:val="en-US" w:eastAsia="en-US"/>
              </w:rPr>
              <w:t>միաժամանակյա</w:t>
            </w:r>
            <w:r w:rsidRPr="0021231F">
              <w:rPr>
                <w:rFonts w:cs="Calibri"/>
                <w:bCs/>
                <w:color w:val="000000"/>
                <w:szCs w:val="22"/>
                <w:lang w:eastAsia="en-US"/>
              </w:rPr>
              <w:t xml:space="preserve"> </w:t>
            </w:r>
            <w:r w:rsidRPr="00E14DDE">
              <w:rPr>
                <w:rFonts w:cs="Calibri"/>
                <w:bCs/>
                <w:color w:val="000000"/>
                <w:szCs w:val="22"/>
                <w:lang w:val="en-US" w:eastAsia="en-US"/>
              </w:rPr>
              <w:t>հանդես</w:t>
            </w:r>
            <w:r w:rsidRPr="0021231F">
              <w:rPr>
                <w:rFonts w:cs="Calibri"/>
                <w:bCs/>
                <w:color w:val="000000"/>
                <w:szCs w:val="22"/>
                <w:lang w:eastAsia="en-US"/>
              </w:rPr>
              <w:t xml:space="preserve"> </w:t>
            </w:r>
            <w:r w:rsidRPr="00E14DDE">
              <w:rPr>
                <w:rFonts w:cs="Calibri"/>
                <w:bCs/>
                <w:color w:val="000000"/>
                <w:szCs w:val="22"/>
                <w:lang w:val="en-US" w:eastAsia="en-US"/>
              </w:rPr>
              <w:t>գալու</w:t>
            </w:r>
            <w:r w:rsidRPr="0021231F">
              <w:rPr>
                <w:rFonts w:cs="Calibri"/>
                <w:bCs/>
                <w:color w:val="000000"/>
                <w:szCs w:val="22"/>
                <w:lang w:eastAsia="en-US"/>
              </w:rPr>
              <w:t xml:space="preserve"> </w:t>
            </w:r>
            <w:r w:rsidRPr="00E14DDE">
              <w:rPr>
                <w:rFonts w:cs="Calibri"/>
                <w:bCs/>
                <w:color w:val="000000"/>
                <w:szCs w:val="22"/>
                <w:lang w:val="en-US" w:eastAsia="en-US"/>
              </w:rPr>
              <w:t>պայմաններում</w:t>
            </w:r>
          </w:p>
        </w:tc>
        <w:tc>
          <w:tcPr>
            <w:tcW w:w="2440" w:type="dxa"/>
            <w:tcBorders>
              <w:top w:val="nil"/>
              <w:left w:val="nil"/>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center"/>
              <w:rPr>
                <w:rFonts w:cs="Calibri"/>
                <w:bCs/>
                <w:color w:val="000000"/>
                <w:szCs w:val="22"/>
                <w:lang w:val="en-US" w:eastAsia="en-US"/>
              </w:rPr>
            </w:pPr>
            <w:r w:rsidRPr="00F94494">
              <w:rPr>
                <w:rFonts w:cs="Calibri"/>
                <w:bCs/>
                <w:color w:val="000000"/>
                <w:szCs w:val="22"/>
                <w:lang w:val="hy-AM" w:eastAsia="en-US"/>
              </w:rPr>
              <w:t>-18.8</w:t>
            </w:r>
          </w:p>
        </w:tc>
      </w:tr>
    </w:tbl>
    <w:p w:rsidR="00E14DDE" w:rsidRPr="00E14DDE" w:rsidRDefault="00E14DDE" w:rsidP="007730AA">
      <w:pPr>
        <w:spacing w:before="0" w:line="276" w:lineRule="auto"/>
        <w:ind w:firstLine="720"/>
        <w:contextualSpacing w:val="0"/>
        <w:rPr>
          <w:rFonts w:eastAsia="Calibri" w:cs="Sylfaen"/>
          <w:b w:val="0"/>
          <w:szCs w:val="22"/>
          <w:lang w:val="en-US" w:eastAsia="en-US"/>
        </w:rPr>
      </w:pPr>
    </w:p>
    <w:p w:rsidR="003B5F66" w:rsidRPr="00F94494" w:rsidRDefault="003B5F66"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 xml:space="preserve">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կկազմի շուրջ 18.8 մլրդ ՀՀ դրամ: </w:t>
      </w:r>
    </w:p>
    <w:p w:rsidR="003B5F66" w:rsidRPr="00F94494" w:rsidRDefault="003B5F66" w:rsidP="007730AA">
      <w:pPr>
        <w:spacing w:before="0" w:line="276" w:lineRule="auto"/>
        <w:ind w:firstLine="720"/>
        <w:contextualSpacing w:val="0"/>
        <w:rPr>
          <w:rFonts w:eastAsia="Calibri"/>
          <w:sz w:val="20"/>
          <w:szCs w:val="20"/>
          <w:lang w:val="hy-AM" w:eastAsia="en-US"/>
        </w:rPr>
      </w:pPr>
      <w:r w:rsidRPr="00F94494">
        <w:rPr>
          <w:rFonts w:eastAsia="Calibri" w:cs="Sylfaen"/>
          <w:b w:val="0"/>
          <w:szCs w:val="22"/>
          <w:lang w:val="hy-AM" w:eastAsia="en-US"/>
        </w:rPr>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rsidR="001A0083" w:rsidRDefault="001A0083" w:rsidP="007730AA">
      <w:pPr>
        <w:pStyle w:val="Caption"/>
        <w:spacing w:before="0" w:after="0"/>
        <w:rPr>
          <w:lang w:val="hy-AM"/>
        </w:rPr>
      </w:pPr>
    </w:p>
    <w:p w:rsidR="00E14DDE" w:rsidRPr="00E14DDE" w:rsidRDefault="00CF7820" w:rsidP="007730AA">
      <w:pPr>
        <w:pStyle w:val="Caption"/>
        <w:spacing w:before="0" w:after="0"/>
        <w:rPr>
          <w:rFonts w:eastAsia="Calibri"/>
          <w:b/>
          <w:i/>
          <w:sz w:val="20"/>
          <w:szCs w:val="20"/>
          <w:lang w:val="hy-AM" w:eastAsia="en-US"/>
        </w:rPr>
      </w:pPr>
      <w:bookmarkStart w:id="256" w:name="_Toc57631770"/>
      <w:r w:rsidRPr="00CF7820">
        <w:rPr>
          <w:lang w:val="hy-AM"/>
        </w:rPr>
        <w:t xml:space="preserve">Աղյուսակ </w:t>
      </w:r>
      <w:r w:rsidR="003C3925">
        <w:fldChar w:fldCharType="begin"/>
      </w:r>
      <w:r w:rsidRPr="00CF7820">
        <w:rPr>
          <w:lang w:val="hy-AM"/>
        </w:rPr>
        <w:instrText xml:space="preserve"> SEQ Աղյուսակ \* ARABIC </w:instrText>
      </w:r>
      <w:r w:rsidR="003C3925">
        <w:fldChar w:fldCharType="separate"/>
      </w:r>
      <w:r w:rsidR="007E790B">
        <w:rPr>
          <w:noProof/>
          <w:lang w:val="hy-AM"/>
        </w:rPr>
        <w:t>19</w:t>
      </w:r>
      <w:r w:rsidR="003C3925">
        <w:fldChar w:fldCharType="end"/>
      </w:r>
      <w:r>
        <w:rPr>
          <w:rFonts w:ascii="Cambria Math" w:hAnsi="Cambria Math"/>
          <w:lang w:val="hy-AM"/>
        </w:rPr>
        <w:t xml:space="preserve">․ </w:t>
      </w:r>
      <w:r w:rsidR="00E14DDE" w:rsidRPr="00E14DDE">
        <w:rPr>
          <w:rFonts w:eastAsia="Calibri"/>
          <w:b/>
          <w:i/>
          <w:sz w:val="20"/>
          <w:szCs w:val="20"/>
          <w:lang w:val="hy-AM" w:eastAsia="en-US"/>
        </w:rPr>
        <w:t>Հարկային եկամուտների զգայունությունը հիմնական տնտեսական գործոնների նկատմամբ, տոկոս</w:t>
      </w:r>
      <w:bookmarkEnd w:id="256"/>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9"/>
        <w:gridCol w:w="1398"/>
        <w:gridCol w:w="1138"/>
        <w:gridCol w:w="1435"/>
        <w:gridCol w:w="1568"/>
      </w:tblGrid>
      <w:tr w:rsidR="00E14DDE" w:rsidRPr="00E14DDE" w:rsidTr="003758BB">
        <w:trPr>
          <w:trHeight w:val="476"/>
          <w:jc w:val="center"/>
        </w:trPr>
        <w:tc>
          <w:tcPr>
            <w:tcW w:w="3659" w:type="dxa"/>
            <w:shd w:val="clear" w:color="auto" w:fill="5B9BD5"/>
            <w:noWrap/>
            <w:vAlign w:val="bottom"/>
            <w:hideMark/>
          </w:tcPr>
          <w:p w:rsidR="00E14DDE" w:rsidRPr="00E14DDE" w:rsidRDefault="00E14DDE" w:rsidP="007730AA">
            <w:pPr>
              <w:spacing w:before="0" w:line="240" w:lineRule="auto"/>
              <w:ind w:firstLine="0"/>
              <w:contextualSpacing w:val="0"/>
              <w:rPr>
                <w:rFonts w:eastAsia="Calibri"/>
                <w:color w:val="FFFFFF"/>
                <w:szCs w:val="22"/>
                <w:lang w:val="hy-AM" w:eastAsia="en-US"/>
              </w:rPr>
            </w:pPr>
            <w:r w:rsidRPr="00E14DDE">
              <w:rPr>
                <w:rFonts w:ascii="Calibri" w:eastAsia="Calibri" w:hAnsi="Calibri" w:cs="Calibri"/>
                <w:color w:val="FFFFFF"/>
                <w:szCs w:val="22"/>
                <w:lang w:val="hy-AM" w:eastAsia="en-US"/>
              </w:rPr>
              <w:t> </w:t>
            </w:r>
          </w:p>
        </w:tc>
        <w:tc>
          <w:tcPr>
            <w:tcW w:w="1398" w:type="dxa"/>
            <w:shd w:val="clear" w:color="auto" w:fill="5B9BD5"/>
            <w:noWrap/>
            <w:vAlign w:val="bottom"/>
            <w:hideMark/>
          </w:tcPr>
          <w:p w:rsidR="00E14DDE" w:rsidRPr="00E14DDE" w:rsidRDefault="00E14DDE" w:rsidP="007730AA">
            <w:pPr>
              <w:spacing w:before="0" w:line="240" w:lineRule="auto"/>
              <w:ind w:firstLine="0"/>
              <w:contextualSpacing w:val="0"/>
              <w:rPr>
                <w:rFonts w:eastAsia="Calibri"/>
                <w:color w:val="FFFFFF"/>
                <w:szCs w:val="22"/>
                <w:lang w:val="hy-AM" w:eastAsia="en-US"/>
              </w:rPr>
            </w:pPr>
            <w:r w:rsidRPr="00E14DDE">
              <w:rPr>
                <w:rFonts w:eastAsia="Calibri" w:cs="Sylfaen"/>
                <w:color w:val="FFFFFF"/>
                <w:szCs w:val="22"/>
                <w:lang w:val="hy-AM" w:eastAsia="en-US"/>
              </w:rPr>
              <w:t>ՀՆԱ</w:t>
            </w:r>
          </w:p>
        </w:tc>
        <w:tc>
          <w:tcPr>
            <w:tcW w:w="1138" w:type="dxa"/>
            <w:shd w:val="clear" w:color="auto" w:fill="5B9BD5"/>
            <w:noWrap/>
            <w:vAlign w:val="bottom"/>
            <w:hideMark/>
          </w:tcPr>
          <w:p w:rsidR="00E14DDE" w:rsidRPr="00E14DDE" w:rsidRDefault="00E14DDE" w:rsidP="007730AA">
            <w:pPr>
              <w:spacing w:before="0" w:line="240" w:lineRule="auto"/>
              <w:ind w:firstLine="0"/>
              <w:contextualSpacing w:val="0"/>
              <w:rPr>
                <w:rFonts w:eastAsia="Calibri"/>
                <w:color w:val="FFFFFF"/>
                <w:szCs w:val="22"/>
                <w:lang w:val="hy-AM" w:eastAsia="en-US"/>
              </w:rPr>
            </w:pPr>
            <w:r w:rsidRPr="00E14DDE">
              <w:rPr>
                <w:rFonts w:eastAsia="Calibri" w:cs="Sylfaen"/>
                <w:color w:val="FFFFFF"/>
                <w:szCs w:val="22"/>
                <w:lang w:val="hy-AM" w:eastAsia="en-US"/>
              </w:rPr>
              <w:t>Գնաճ</w:t>
            </w:r>
          </w:p>
        </w:tc>
        <w:tc>
          <w:tcPr>
            <w:tcW w:w="1435" w:type="dxa"/>
            <w:shd w:val="clear" w:color="auto" w:fill="5B9BD5"/>
            <w:noWrap/>
            <w:vAlign w:val="bottom"/>
            <w:hideMark/>
          </w:tcPr>
          <w:p w:rsidR="00E14DDE" w:rsidRPr="00E14DDE" w:rsidRDefault="00E14DDE" w:rsidP="007730AA">
            <w:pPr>
              <w:spacing w:before="0" w:line="240" w:lineRule="auto"/>
              <w:ind w:firstLine="0"/>
              <w:contextualSpacing w:val="0"/>
              <w:rPr>
                <w:rFonts w:eastAsia="Calibri"/>
                <w:color w:val="FFFFFF"/>
                <w:szCs w:val="22"/>
                <w:lang w:val="hy-AM" w:eastAsia="en-US"/>
              </w:rPr>
            </w:pPr>
            <w:r w:rsidRPr="00E14DDE">
              <w:rPr>
                <w:rFonts w:eastAsia="Calibri" w:cs="Sylfaen"/>
                <w:color w:val="FFFFFF"/>
                <w:szCs w:val="22"/>
                <w:lang w:val="hy-AM" w:eastAsia="en-US"/>
              </w:rPr>
              <w:t>Փոխարժեք</w:t>
            </w:r>
          </w:p>
        </w:tc>
        <w:tc>
          <w:tcPr>
            <w:tcW w:w="1568" w:type="dxa"/>
            <w:shd w:val="clear" w:color="auto" w:fill="5B9BD5"/>
            <w:noWrap/>
            <w:vAlign w:val="bottom"/>
            <w:hideMark/>
          </w:tcPr>
          <w:p w:rsidR="00E14DDE" w:rsidRPr="00E14DDE" w:rsidRDefault="00E14DDE" w:rsidP="007730AA">
            <w:pPr>
              <w:spacing w:before="0" w:line="240" w:lineRule="auto"/>
              <w:ind w:firstLine="0"/>
              <w:contextualSpacing w:val="0"/>
              <w:rPr>
                <w:rFonts w:eastAsia="Calibri"/>
                <w:color w:val="FFFFFF"/>
                <w:szCs w:val="22"/>
                <w:lang w:val="hy-AM" w:eastAsia="en-US"/>
              </w:rPr>
            </w:pPr>
            <w:r w:rsidRPr="00E14DDE">
              <w:rPr>
                <w:rFonts w:eastAsia="Calibri" w:cs="Sylfaen"/>
                <w:color w:val="FFFFFF"/>
                <w:szCs w:val="22"/>
                <w:lang w:val="hy-AM" w:eastAsia="en-US"/>
              </w:rPr>
              <w:t>Ներմուծ</w:t>
            </w:r>
            <w:r w:rsidRPr="00E14DDE">
              <w:rPr>
                <w:rFonts w:eastAsia="Calibri"/>
                <w:color w:val="FFFFFF"/>
                <w:szCs w:val="22"/>
                <w:lang w:val="hy-AM" w:eastAsia="en-US"/>
              </w:rPr>
              <w:t>ում</w:t>
            </w:r>
          </w:p>
        </w:tc>
      </w:tr>
      <w:tr w:rsidR="003B5F66" w:rsidRPr="00E14DDE" w:rsidTr="003758BB">
        <w:trPr>
          <w:trHeight w:val="476"/>
          <w:jc w:val="center"/>
        </w:trPr>
        <w:tc>
          <w:tcPr>
            <w:tcW w:w="3659" w:type="dxa"/>
            <w:noWrap/>
            <w:vAlign w:val="bottom"/>
            <w:hideMark/>
          </w:tcPr>
          <w:p w:rsidR="003B5F66" w:rsidRPr="00E14DDE" w:rsidRDefault="003B5F66" w:rsidP="007730AA">
            <w:pPr>
              <w:spacing w:before="0" w:line="240" w:lineRule="auto"/>
              <w:ind w:firstLine="0"/>
              <w:contextualSpacing w:val="0"/>
              <w:rPr>
                <w:rFonts w:eastAsia="Calibri"/>
                <w:szCs w:val="22"/>
                <w:lang w:val="hy-AM" w:eastAsia="en-US"/>
              </w:rPr>
            </w:pPr>
            <w:r w:rsidRPr="00E14DDE">
              <w:rPr>
                <w:rFonts w:eastAsia="Calibri" w:cs="Sylfaen"/>
                <w:szCs w:val="22"/>
                <w:lang w:val="hy-AM" w:eastAsia="en-US"/>
              </w:rPr>
              <w:t>Միջին տարեկան ազդեցություն</w:t>
            </w:r>
          </w:p>
        </w:tc>
        <w:tc>
          <w:tcPr>
            <w:tcW w:w="1398" w:type="dxa"/>
            <w:noWrap/>
            <w:vAlign w:val="bottom"/>
            <w:hideMark/>
          </w:tcPr>
          <w:p w:rsidR="003B5F66" w:rsidRPr="00E14DDE" w:rsidRDefault="003B5F66" w:rsidP="007730AA">
            <w:pPr>
              <w:spacing w:before="0" w:line="240" w:lineRule="auto"/>
              <w:ind w:firstLine="0"/>
              <w:contextualSpacing w:val="0"/>
              <w:jc w:val="right"/>
              <w:rPr>
                <w:rFonts w:eastAsia="Calibri" w:cs="Calibri"/>
                <w:b w:val="0"/>
                <w:szCs w:val="22"/>
                <w:lang w:val="en-US" w:eastAsia="en-US"/>
              </w:rPr>
            </w:pPr>
            <w:r w:rsidRPr="00F94494">
              <w:rPr>
                <w:rFonts w:eastAsia="Calibri"/>
                <w:b w:val="0"/>
                <w:szCs w:val="22"/>
                <w:lang w:val="hy-AM" w:eastAsia="en-US"/>
              </w:rPr>
              <w:t>0.25</w:t>
            </w:r>
          </w:p>
        </w:tc>
        <w:tc>
          <w:tcPr>
            <w:tcW w:w="1138" w:type="dxa"/>
            <w:noWrap/>
            <w:vAlign w:val="bottom"/>
            <w:hideMark/>
          </w:tcPr>
          <w:p w:rsidR="003B5F66" w:rsidRPr="00E14DDE" w:rsidRDefault="003B5F66" w:rsidP="007730AA">
            <w:pPr>
              <w:spacing w:before="0" w:line="240" w:lineRule="auto"/>
              <w:ind w:firstLine="0"/>
              <w:contextualSpacing w:val="0"/>
              <w:jc w:val="right"/>
              <w:rPr>
                <w:rFonts w:eastAsia="Calibri" w:cs="Calibri"/>
                <w:b w:val="0"/>
                <w:szCs w:val="22"/>
                <w:lang w:val="hy-AM" w:eastAsia="en-US"/>
              </w:rPr>
            </w:pPr>
            <w:r w:rsidRPr="00F94494">
              <w:rPr>
                <w:rFonts w:eastAsia="Calibri"/>
                <w:b w:val="0"/>
                <w:szCs w:val="22"/>
                <w:lang w:val="hy-AM" w:eastAsia="en-US"/>
              </w:rPr>
              <w:t>0.10</w:t>
            </w:r>
          </w:p>
        </w:tc>
        <w:tc>
          <w:tcPr>
            <w:tcW w:w="1435" w:type="dxa"/>
            <w:noWrap/>
            <w:vAlign w:val="bottom"/>
            <w:hideMark/>
          </w:tcPr>
          <w:p w:rsidR="003B5F66" w:rsidRPr="00E14DDE" w:rsidRDefault="003B5F66" w:rsidP="007730AA">
            <w:pPr>
              <w:spacing w:before="0" w:line="240" w:lineRule="auto"/>
              <w:ind w:firstLine="0"/>
              <w:contextualSpacing w:val="0"/>
              <w:jc w:val="right"/>
              <w:rPr>
                <w:rFonts w:eastAsia="Calibri" w:cs="Calibri"/>
                <w:b w:val="0"/>
                <w:szCs w:val="22"/>
                <w:lang w:val="hy-AM" w:eastAsia="en-US"/>
              </w:rPr>
            </w:pPr>
            <w:r w:rsidRPr="00F94494">
              <w:rPr>
                <w:rFonts w:eastAsia="Calibri"/>
                <w:b w:val="0"/>
                <w:szCs w:val="22"/>
                <w:lang w:val="hy-AM" w:eastAsia="en-US"/>
              </w:rPr>
              <w:t>0.17</w:t>
            </w:r>
          </w:p>
        </w:tc>
        <w:tc>
          <w:tcPr>
            <w:tcW w:w="1568" w:type="dxa"/>
            <w:noWrap/>
            <w:vAlign w:val="bottom"/>
            <w:hideMark/>
          </w:tcPr>
          <w:p w:rsidR="003B5F66" w:rsidRPr="00E14DDE" w:rsidRDefault="003B5F66" w:rsidP="007730AA">
            <w:pPr>
              <w:spacing w:before="0" w:line="240" w:lineRule="auto"/>
              <w:ind w:firstLine="0"/>
              <w:contextualSpacing w:val="0"/>
              <w:jc w:val="right"/>
              <w:rPr>
                <w:rFonts w:eastAsia="Calibri" w:cs="Calibri"/>
                <w:b w:val="0"/>
                <w:szCs w:val="22"/>
                <w:lang w:val="hy-AM" w:eastAsia="en-US"/>
              </w:rPr>
            </w:pPr>
            <w:r w:rsidRPr="00F94494">
              <w:rPr>
                <w:rFonts w:eastAsia="Calibri"/>
                <w:b w:val="0"/>
                <w:szCs w:val="22"/>
                <w:lang w:val="hy-AM" w:eastAsia="en-US"/>
              </w:rPr>
              <w:t>0.07</w:t>
            </w:r>
          </w:p>
        </w:tc>
      </w:tr>
    </w:tbl>
    <w:p w:rsidR="001A0083" w:rsidRDefault="001A0083" w:rsidP="007730AA">
      <w:pPr>
        <w:spacing w:before="0" w:line="276" w:lineRule="auto"/>
        <w:ind w:firstLine="720"/>
        <w:contextualSpacing w:val="0"/>
        <w:rPr>
          <w:rFonts w:eastAsia="Calibri" w:cs="Sylfaen"/>
          <w:b w:val="0"/>
          <w:szCs w:val="22"/>
          <w:lang w:val="hy-AM" w:eastAsia="en-US"/>
        </w:rPr>
      </w:pPr>
    </w:p>
    <w:p w:rsidR="003B5F66" w:rsidRPr="00F94494" w:rsidRDefault="003B5F66" w:rsidP="007730AA">
      <w:pPr>
        <w:spacing w:before="0" w:line="276" w:lineRule="auto"/>
        <w:ind w:firstLine="720"/>
        <w:contextualSpacing w:val="0"/>
        <w:rPr>
          <w:rFonts w:eastAsia="Calibri" w:cs="Sylfaen"/>
          <w:b w:val="0"/>
          <w:szCs w:val="22"/>
          <w:lang w:val="hy-AM" w:eastAsia="en-US"/>
        </w:rPr>
      </w:pPr>
      <w:bookmarkStart w:id="257" w:name="_Toc52223581"/>
      <w:r w:rsidRPr="00F94494">
        <w:rPr>
          <w:rFonts w:eastAsia="Calibri" w:cs="Sylfaen"/>
          <w:b w:val="0"/>
          <w:szCs w:val="22"/>
          <w:lang w:val="hy-AM" w:eastAsia="en-US"/>
        </w:rPr>
        <w:t>Ինչպես երևում է աղյուսակից, հարկերի հավաքագրման առումով առավել էական գործոններ են հանդիսանում ՀՆԱ-ի և փոխարժեքի փոփոխությունները:</w:t>
      </w:r>
    </w:p>
    <w:p w:rsidR="003B5F66" w:rsidRPr="00F94494" w:rsidRDefault="003B5F66"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Հարկային եկամուտների կանխատեսումների հետ կապված անորոշությունների և ռիսկերի հաշվեկշռի վերաբերյալ գնահատականներն իրենց արտացոլումն են գտել ստորև ներկայացվող հարկային եկամուտների հավանականային բաշխման գծապատկերում և համապատասխան աղյուսակում (տես` Գծապատկեր 6 և Աղյուսակ 21)</w:t>
      </w:r>
      <w:r w:rsidRPr="00F94494">
        <w:rPr>
          <w:rFonts w:eastAsia="Calibri" w:cs="Sylfaen"/>
          <w:b w:val="0"/>
          <w:szCs w:val="22"/>
          <w:vertAlign w:val="superscript"/>
          <w:lang w:val="hy-AM" w:eastAsia="en-US"/>
        </w:rPr>
        <w:footnoteReference w:id="36"/>
      </w:r>
      <w:r w:rsidRPr="00F94494">
        <w:rPr>
          <w:rFonts w:eastAsia="Calibri" w:cs="Sylfaen"/>
          <w:b w:val="0"/>
          <w:szCs w:val="22"/>
          <w:lang w:val="hy-AM" w:eastAsia="en-US"/>
        </w:rPr>
        <w:t>: Հավանականային բաշխման գրաֆիկի կառուցման ժամանակ օգտագործվել է աղյուսակ 19-ում գնահատված ամբողջական ռիսկերի միաժամանակյա հանդես գալու պայմաններում ի հայտ եկող բացասական ռիսկերը:</w:t>
      </w:r>
    </w:p>
    <w:p w:rsidR="001A0083" w:rsidRDefault="001A0083" w:rsidP="007730AA">
      <w:pPr>
        <w:pStyle w:val="Caption"/>
        <w:spacing w:before="0" w:after="0"/>
        <w:rPr>
          <w:lang w:val="hy-AM"/>
        </w:rPr>
      </w:pPr>
    </w:p>
    <w:p w:rsidR="00E14DDE" w:rsidRPr="00E14DDE" w:rsidRDefault="00396D6B" w:rsidP="007730AA">
      <w:pPr>
        <w:pStyle w:val="Caption"/>
        <w:spacing w:before="0" w:after="0"/>
        <w:rPr>
          <w:rFonts w:eastAsia="Calibri"/>
          <w:b/>
          <w:i/>
          <w:sz w:val="20"/>
          <w:szCs w:val="20"/>
          <w:lang w:val="hy-AM" w:eastAsia="en-US"/>
        </w:rPr>
      </w:pPr>
      <w:bookmarkStart w:id="258" w:name="_Toc57631793"/>
      <w:r w:rsidRPr="00396D6B">
        <w:rPr>
          <w:lang w:val="hy-AM"/>
        </w:rPr>
        <w:t xml:space="preserve">Գծապատկեր </w:t>
      </w:r>
      <w:r w:rsidR="003C3925">
        <w:fldChar w:fldCharType="begin"/>
      </w:r>
      <w:r w:rsidRPr="00396D6B">
        <w:rPr>
          <w:lang w:val="hy-AM"/>
        </w:rPr>
        <w:instrText xml:space="preserve"> SEQ Գծապատկեր \* ARABIC </w:instrText>
      </w:r>
      <w:r w:rsidR="003C3925">
        <w:fldChar w:fldCharType="separate"/>
      </w:r>
      <w:r w:rsidR="007E790B">
        <w:rPr>
          <w:noProof/>
          <w:lang w:val="hy-AM"/>
        </w:rPr>
        <w:t>7</w:t>
      </w:r>
      <w:r w:rsidR="003C3925">
        <w:fldChar w:fldCharType="end"/>
      </w:r>
      <w:r>
        <w:rPr>
          <w:rFonts w:ascii="Cambria Math" w:hAnsi="Cambria Math"/>
          <w:lang w:val="hy-AM"/>
        </w:rPr>
        <w:t xml:space="preserve">․ </w:t>
      </w:r>
      <w:r w:rsidR="00E14DDE" w:rsidRPr="00E14DDE">
        <w:rPr>
          <w:rFonts w:eastAsia="Calibri"/>
          <w:b/>
          <w:i/>
          <w:sz w:val="20"/>
          <w:szCs w:val="20"/>
          <w:lang w:val="hy-AM" w:eastAsia="en-US"/>
        </w:rPr>
        <w:t>Հարկային եկամուտների տարեկան աճի տեմպերի կանխատեսումների հավանականային բաշխումը</w:t>
      </w:r>
      <w:r w:rsidR="00E14DDE" w:rsidRPr="00E14DDE">
        <w:rPr>
          <w:rFonts w:eastAsia="Calibri"/>
          <w:b/>
          <w:i/>
          <w:sz w:val="20"/>
          <w:szCs w:val="20"/>
          <w:vertAlign w:val="superscript"/>
          <w:lang w:val="hy-AM" w:eastAsia="en-US"/>
        </w:rPr>
        <w:footnoteReference w:id="37"/>
      </w:r>
      <w:r w:rsidR="00E14DDE" w:rsidRPr="00E14DDE">
        <w:rPr>
          <w:rFonts w:eastAsia="Calibri"/>
          <w:b/>
          <w:i/>
          <w:sz w:val="20"/>
          <w:szCs w:val="20"/>
          <w:lang w:val="hy-AM" w:eastAsia="en-US"/>
        </w:rPr>
        <w:t>, տոկոս</w:t>
      </w:r>
      <w:bookmarkEnd w:id="257"/>
      <w:bookmarkEnd w:id="258"/>
    </w:p>
    <w:p w:rsidR="00E14DDE" w:rsidRPr="00E14DDE" w:rsidRDefault="003B5F66" w:rsidP="007730AA">
      <w:pPr>
        <w:spacing w:before="0" w:line="276" w:lineRule="auto"/>
        <w:ind w:firstLine="180"/>
        <w:contextualSpacing w:val="0"/>
        <w:jc w:val="left"/>
        <w:rPr>
          <w:rFonts w:eastAsia="Calibri"/>
          <w:i/>
          <w:szCs w:val="22"/>
          <w:u w:val="single"/>
          <w:lang w:val="hy-AM" w:eastAsia="en-US"/>
        </w:rPr>
      </w:pPr>
      <w:r w:rsidRPr="00F94494">
        <w:rPr>
          <w:noProof/>
          <w:lang w:val="en-US" w:eastAsia="en-US"/>
        </w:rPr>
        <w:drawing>
          <wp:inline distT="0" distB="0" distL="0" distR="0">
            <wp:extent cx="5943600" cy="2100580"/>
            <wp:effectExtent l="0" t="0" r="0" b="1397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E14DDE" w:rsidRPr="00E14DDE" w:rsidRDefault="00E14DDE" w:rsidP="007730AA">
      <w:pPr>
        <w:spacing w:before="0" w:line="276" w:lineRule="auto"/>
        <w:ind w:firstLine="720"/>
        <w:contextualSpacing w:val="0"/>
        <w:jc w:val="left"/>
        <w:rPr>
          <w:rFonts w:eastAsia="Calibri"/>
          <w:szCs w:val="22"/>
          <w:lang w:val="hy-AM" w:eastAsia="en-US"/>
        </w:rPr>
      </w:pPr>
      <w:r w:rsidRPr="00E14DDE">
        <w:rPr>
          <w:rFonts w:eastAsia="Calibri" w:cs="Sylfaen"/>
          <w:b w:val="0"/>
          <w:szCs w:val="22"/>
          <w:lang w:val="hy-AM" w:eastAsia="en-US"/>
        </w:rPr>
        <w:t xml:space="preserve">Կանխատեսումների բաշխման հավանականություններն առավել պարզորոշ երևում են ստորև բերվող աղյուսակում: </w:t>
      </w:r>
    </w:p>
    <w:p w:rsidR="00CF7820" w:rsidRDefault="00CF7820" w:rsidP="007730AA">
      <w:pPr>
        <w:pStyle w:val="Caption"/>
        <w:spacing w:before="0" w:after="0"/>
        <w:rPr>
          <w:lang w:val="hy-AM"/>
        </w:rPr>
      </w:pPr>
    </w:p>
    <w:p w:rsidR="00E14DDE" w:rsidRPr="00E14DDE" w:rsidRDefault="00CF7820" w:rsidP="007730AA">
      <w:pPr>
        <w:pStyle w:val="Caption"/>
        <w:spacing w:before="0" w:after="0"/>
        <w:rPr>
          <w:rFonts w:eastAsia="Calibri"/>
          <w:b/>
          <w:i/>
          <w:sz w:val="20"/>
          <w:szCs w:val="20"/>
          <w:lang w:val="hy-AM" w:eastAsia="en-US"/>
        </w:rPr>
      </w:pPr>
      <w:bookmarkStart w:id="259" w:name="_Toc57631771"/>
      <w:r w:rsidRPr="00CF7820">
        <w:rPr>
          <w:lang w:val="hy-AM"/>
        </w:rPr>
        <w:t xml:space="preserve">Աղյուսակ </w:t>
      </w:r>
      <w:r w:rsidR="003C3925">
        <w:fldChar w:fldCharType="begin"/>
      </w:r>
      <w:r w:rsidRPr="00CF7820">
        <w:rPr>
          <w:lang w:val="hy-AM"/>
        </w:rPr>
        <w:instrText xml:space="preserve"> SEQ Աղյուսակ \* ARABIC </w:instrText>
      </w:r>
      <w:r w:rsidR="003C3925">
        <w:fldChar w:fldCharType="separate"/>
      </w:r>
      <w:r w:rsidR="007E790B">
        <w:rPr>
          <w:noProof/>
          <w:lang w:val="hy-AM"/>
        </w:rPr>
        <w:t>20</w:t>
      </w:r>
      <w:r w:rsidR="003C3925">
        <w:fldChar w:fldCharType="end"/>
      </w:r>
      <w:r>
        <w:rPr>
          <w:rFonts w:ascii="Cambria Math" w:hAnsi="Cambria Math"/>
          <w:lang w:val="hy-AM"/>
        </w:rPr>
        <w:t xml:space="preserve">․ </w:t>
      </w:r>
      <w:r w:rsidR="00E14DDE" w:rsidRPr="00E14DDE">
        <w:rPr>
          <w:rFonts w:eastAsia="Calibri"/>
          <w:b/>
          <w:i/>
          <w:sz w:val="20"/>
          <w:szCs w:val="20"/>
          <w:lang w:val="hy-AM" w:eastAsia="en-US"/>
        </w:rPr>
        <w:t>Հարկային եկամուտների կանխատեսումների հավանականային բաշխումը</w:t>
      </w:r>
      <w:bookmarkEnd w:id="259"/>
    </w:p>
    <w:tbl>
      <w:tblPr>
        <w:tblW w:w="6840" w:type="dxa"/>
        <w:tblInd w:w="1070" w:type="dxa"/>
        <w:tblLook w:val="04A0" w:firstRow="1" w:lastRow="0" w:firstColumn="1" w:lastColumn="0" w:noHBand="0" w:noVBand="1"/>
      </w:tblPr>
      <w:tblGrid>
        <w:gridCol w:w="2260"/>
        <w:gridCol w:w="1013"/>
        <w:gridCol w:w="1120"/>
        <w:gridCol w:w="1226"/>
        <w:gridCol w:w="1221"/>
      </w:tblGrid>
      <w:tr w:rsidR="00E14DDE" w:rsidRPr="00130243" w:rsidTr="00D158C9">
        <w:trPr>
          <w:trHeight w:val="1005"/>
        </w:trPr>
        <w:tc>
          <w:tcPr>
            <w:tcW w:w="2260" w:type="dxa"/>
            <w:tcBorders>
              <w:top w:val="single" w:sz="8" w:space="0" w:color="FFFFFF"/>
              <w:left w:val="single" w:sz="8" w:space="0" w:color="FFFFFF"/>
              <w:bottom w:val="single" w:sz="8" w:space="0" w:color="FFFFFF"/>
              <w:right w:val="single" w:sz="8" w:space="0" w:color="FFFFFF"/>
            </w:tcBorders>
            <w:shd w:val="clear" w:color="000000" w:fill="5B9BD5"/>
            <w:vAlign w:val="center"/>
            <w:hideMark/>
          </w:tcPr>
          <w:p w:rsidR="00E14DDE" w:rsidRPr="00E14DDE" w:rsidRDefault="00E14DDE" w:rsidP="007730AA">
            <w:pPr>
              <w:spacing w:before="0" w:line="240" w:lineRule="auto"/>
              <w:ind w:firstLine="0"/>
              <w:contextualSpacing w:val="0"/>
              <w:jc w:val="center"/>
              <w:rPr>
                <w:rFonts w:cs="Calibri"/>
                <w:b w:val="0"/>
                <w:color w:val="FFFFFF"/>
                <w:szCs w:val="22"/>
                <w:lang w:val="en-US" w:eastAsia="en-US"/>
              </w:rPr>
            </w:pPr>
            <w:r w:rsidRPr="00E14DDE">
              <w:rPr>
                <w:rFonts w:cs="Calibri"/>
                <w:b w:val="0"/>
                <w:color w:val="FFFFFF"/>
                <w:szCs w:val="22"/>
                <w:lang w:val="en-US" w:eastAsia="en-US"/>
              </w:rPr>
              <w:t>Հարկային եկամուտների աճի միջակայքը</w:t>
            </w:r>
          </w:p>
        </w:tc>
        <w:tc>
          <w:tcPr>
            <w:tcW w:w="4580" w:type="dxa"/>
            <w:gridSpan w:val="4"/>
            <w:tcBorders>
              <w:top w:val="single" w:sz="8" w:space="0" w:color="FFFFFF"/>
              <w:left w:val="nil"/>
              <w:bottom w:val="single" w:sz="8" w:space="0" w:color="FFFFFF"/>
              <w:right w:val="nil"/>
            </w:tcBorders>
            <w:shd w:val="clear" w:color="000000" w:fill="5B9BD5"/>
            <w:vAlign w:val="center"/>
            <w:hideMark/>
          </w:tcPr>
          <w:p w:rsidR="00E14DDE" w:rsidRPr="00E14DDE" w:rsidRDefault="00E14DDE" w:rsidP="007730AA">
            <w:pPr>
              <w:spacing w:before="0" w:line="240" w:lineRule="auto"/>
              <w:ind w:firstLine="0"/>
              <w:contextualSpacing w:val="0"/>
              <w:jc w:val="center"/>
              <w:rPr>
                <w:rFonts w:cs="Calibri"/>
                <w:b w:val="0"/>
                <w:color w:val="FFFFFF"/>
                <w:szCs w:val="22"/>
                <w:lang w:val="en-US" w:eastAsia="en-US"/>
              </w:rPr>
            </w:pPr>
            <w:r w:rsidRPr="00E14DDE">
              <w:rPr>
                <w:rFonts w:cs="Calibri"/>
                <w:b w:val="0"/>
                <w:color w:val="FFFFFF"/>
                <w:szCs w:val="22"/>
                <w:lang w:val="en-US" w:eastAsia="en-US"/>
              </w:rPr>
              <w:t>Հարկային եկամուտների աճի` տվյալ  միջակայքում ձևավորվելու հավանականությունը</w:t>
            </w:r>
          </w:p>
        </w:tc>
      </w:tr>
      <w:tr w:rsidR="00E14DDE" w:rsidRPr="00E14DDE" w:rsidTr="00D158C9">
        <w:trPr>
          <w:trHeight w:val="345"/>
        </w:trPr>
        <w:tc>
          <w:tcPr>
            <w:tcW w:w="2260" w:type="dxa"/>
            <w:tcBorders>
              <w:top w:val="nil"/>
              <w:left w:val="single" w:sz="8" w:space="0" w:color="FFFFFF"/>
              <w:bottom w:val="single" w:sz="8" w:space="0" w:color="FFFFFF"/>
              <w:right w:val="single" w:sz="8" w:space="0" w:color="FFFFFF"/>
            </w:tcBorders>
            <w:shd w:val="clear" w:color="000000" w:fill="5B9BD5"/>
            <w:vAlign w:val="center"/>
            <w:hideMark/>
          </w:tcPr>
          <w:p w:rsidR="00E14DDE" w:rsidRPr="00E14DDE" w:rsidRDefault="00E14DDE" w:rsidP="007730AA">
            <w:pPr>
              <w:spacing w:before="0" w:line="240" w:lineRule="auto"/>
              <w:ind w:firstLine="0"/>
              <w:contextualSpacing w:val="0"/>
              <w:rPr>
                <w:rFonts w:ascii="Calibri" w:hAnsi="Calibri" w:cs="Calibri"/>
                <w:bCs/>
                <w:color w:val="FFFFFF"/>
                <w:szCs w:val="22"/>
                <w:lang w:val="en-US" w:eastAsia="en-US"/>
              </w:rPr>
            </w:pPr>
            <w:r w:rsidRPr="00E14DDE">
              <w:rPr>
                <w:rFonts w:ascii="Calibri" w:hAnsi="Calibri" w:cs="Calibri"/>
                <w:bCs/>
                <w:color w:val="FFFFFF"/>
                <w:szCs w:val="22"/>
                <w:lang w:val="en-US" w:eastAsia="en-US"/>
              </w:rPr>
              <w:t> </w:t>
            </w:r>
          </w:p>
        </w:tc>
        <w:tc>
          <w:tcPr>
            <w:tcW w:w="1013" w:type="dxa"/>
            <w:tcBorders>
              <w:top w:val="nil"/>
              <w:left w:val="nil"/>
              <w:bottom w:val="single" w:sz="8" w:space="0" w:color="FFFFFF"/>
              <w:right w:val="single" w:sz="8" w:space="0" w:color="FFFFFF"/>
            </w:tcBorders>
            <w:shd w:val="clear" w:color="000000" w:fill="5B9BD5"/>
            <w:noWrap/>
            <w:vAlign w:val="center"/>
            <w:hideMark/>
          </w:tcPr>
          <w:p w:rsidR="00E14DDE" w:rsidRPr="00E14DDE" w:rsidRDefault="00E14DDE" w:rsidP="007730AA">
            <w:pPr>
              <w:spacing w:before="0" w:line="240" w:lineRule="auto"/>
              <w:ind w:firstLine="0"/>
              <w:contextualSpacing w:val="0"/>
              <w:jc w:val="center"/>
              <w:rPr>
                <w:rFonts w:cs="Calibri"/>
                <w:bCs/>
                <w:color w:val="FFFFFF"/>
                <w:szCs w:val="22"/>
                <w:lang w:val="en-US" w:eastAsia="en-US"/>
              </w:rPr>
            </w:pPr>
            <w:r w:rsidRPr="00E14DDE">
              <w:rPr>
                <w:rFonts w:cs="Calibri"/>
                <w:bCs/>
                <w:color w:val="FFFFFF"/>
                <w:szCs w:val="22"/>
                <w:lang w:val="en-US" w:eastAsia="en-US"/>
              </w:rPr>
              <w:t>2021-I</w:t>
            </w:r>
          </w:p>
        </w:tc>
        <w:tc>
          <w:tcPr>
            <w:tcW w:w="1120" w:type="dxa"/>
            <w:tcBorders>
              <w:top w:val="nil"/>
              <w:left w:val="nil"/>
              <w:bottom w:val="single" w:sz="8" w:space="0" w:color="FFFFFF"/>
              <w:right w:val="single" w:sz="8" w:space="0" w:color="FFFFFF"/>
            </w:tcBorders>
            <w:shd w:val="clear" w:color="000000" w:fill="5B9BD5"/>
            <w:noWrap/>
            <w:vAlign w:val="center"/>
            <w:hideMark/>
          </w:tcPr>
          <w:p w:rsidR="00E14DDE" w:rsidRPr="00E14DDE" w:rsidRDefault="00E14DDE" w:rsidP="007730AA">
            <w:pPr>
              <w:spacing w:before="0" w:line="240" w:lineRule="auto"/>
              <w:ind w:firstLine="0"/>
              <w:contextualSpacing w:val="0"/>
              <w:jc w:val="center"/>
              <w:rPr>
                <w:rFonts w:cs="Calibri"/>
                <w:bCs/>
                <w:color w:val="FFFFFF"/>
                <w:szCs w:val="22"/>
                <w:lang w:val="en-US" w:eastAsia="en-US"/>
              </w:rPr>
            </w:pPr>
            <w:r w:rsidRPr="00E14DDE">
              <w:rPr>
                <w:rFonts w:cs="Calibri"/>
                <w:bCs/>
                <w:color w:val="FFFFFF"/>
                <w:szCs w:val="22"/>
                <w:lang w:val="en-US" w:eastAsia="en-US"/>
              </w:rPr>
              <w:t>2021-II</w:t>
            </w:r>
          </w:p>
        </w:tc>
        <w:tc>
          <w:tcPr>
            <w:tcW w:w="1226" w:type="dxa"/>
            <w:tcBorders>
              <w:top w:val="nil"/>
              <w:left w:val="nil"/>
              <w:bottom w:val="single" w:sz="8" w:space="0" w:color="FFFFFF"/>
              <w:right w:val="single" w:sz="8" w:space="0" w:color="FFFFFF"/>
            </w:tcBorders>
            <w:shd w:val="clear" w:color="000000" w:fill="5B9BD5"/>
            <w:noWrap/>
            <w:vAlign w:val="center"/>
            <w:hideMark/>
          </w:tcPr>
          <w:p w:rsidR="00E14DDE" w:rsidRPr="00E14DDE" w:rsidRDefault="00E14DDE" w:rsidP="007730AA">
            <w:pPr>
              <w:spacing w:before="0" w:line="240" w:lineRule="auto"/>
              <w:ind w:firstLine="0"/>
              <w:contextualSpacing w:val="0"/>
              <w:jc w:val="center"/>
              <w:rPr>
                <w:rFonts w:cs="Calibri"/>
                <w:bCs/>
                <w:color w:val="FFFFFF"/>
                <w:szCs w:val="22"/>
                <w:lang w:val="en-US" w:eastAsia="en-US"/>
              </w:rPr>
            </w:pPr>
            <w:r w:rsidRPr="00E14DDE">
              <w:rPr>
                <w:rFonts w:cs="Calibri"/>
                <w:bCs/>
                <w:color w:val="FFFFFF"/>
                <w:szCs w:val="22"/>
                <w:lang w:val="en-US" w:eastAsia="en-US"/>
              </w:rPr>
              <w:t>2021-III</w:t>
            </w:r>
          </w:p>
        </w:tc>
        <w:tc>
          <w:tcPr>
            <w:tcW w:w="1221" w:type="dxa"/>
            <w:tcBorders>
              <w:top w:val="nil"/>
              <w:left w:val="nil"/>
              <w:bottom w:val="single" w:sz="8" w:space="0" w:color="FFFFFF"/>
              <w:right w:val="single" w:sz="8" w:space="0" w:color="FFFFFF"/>
            </w:tcBorders>
            <w:shd w:val="clear" w:color="000000" w:fill="5B9BD5"/>
            <w:noWrap/>
            <w:vAlign w:val="center"/>
            <w:hideMark/>
          </w:tcPr>
          <w:p w:rsidR="00E14DDE" w:rsidRPr="00E14DDE" w:rsidRDefault="00E14DDE" w:rsidP="007730AA">
            <w:pPr>
              <w:spacing w:before="0" w:line="240" w:lineRule="auto"/>
              <w:ind w:firstLine="0"/>
              <w:contextualSpacing w:val="0"/>
              <w:jc w:val="center"/>
              <w:rPr>
                <w:rFonts w:cs="Calibri"/>
                <w:bCs/>
                <w:color w:val="FFFFFF"/>
                <w:szCs w:val="22"/>
                <w:lang w:val="en-US" w:eastAsia="en-US"/>
              </w:rPr>
            </w:pPr>
            <w:r w:rsidRPr="00E14DDE">
              <w:rPr>
                <w:rFonts w:cs="Calibri"/>
                <w:bCs/>
                <w:color w:val="FFFFFF"/>
                <w:szCs w:val="22"/>
                <w:lang w:val="en-US" w:eastAsia="en-US"/>
              </w:rPr>
              <w:t>2021-IV</w:t>
            </w:r>
          </w:p>
        </w:tc>
      </w:tr>
      <w:tr w:rsidR="003B5F66" w:rsidRPr="00E14DDE" w:rsidTr="00D158C9">
        <w:trPr>
          <w:trHeight w:val="345"/>
        </w:trPr>
        <w:tc>
          <w:tcPr>
            <w:tcW w:w="2260" w:type="dxa"/>
            <w:tcBorders>
              <w:top w:val="nil"/>
              <w:left w:val="single" w:sz="8" w:space="0" w:color="5B9BD5"/>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Cs/>
                <w:color w:val="000000"/>
                <w:szCs w:val="22"/>
                <w:lang w:val="en-US" w:eastAsia="en-US"/>
              </w:rPr>
            </w:pPr>
            <w:r w:rsidRPr="00E14DDE">
              <w:rPr>
                <w:rFonts w:cs="Calibri"/>
                <w:bCs/>
                <w:color w:val="000000"/>
                <w:szCs w:val="22"/>
                <w:lang w:val="en-US" w:eastAsia="en-US"/>
              </w:rPr>
              <w:t>0-4 տոկոս</w:t>
            </w:r>
          </w:p>
        </w:tc>
        <w:tc>
          <w:tcPr>
            <w:tcW w:w="1013"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Cs/>
                <w:i/>
                <w:iCs/>
                <w:color w:val="000000"/>
                <w:szCs w:val="22"/>
                <w:u w:val="single"/>
                <w:lang w:val="en-US" w:eastAsia="en-US"/>
              </w:rPr>
            </w:pPr>
            <w:r w:rsidRPr="00F94494">
              <w:rPr>
                <w:b w:val="0"/>
                <w:color w:val="000000"/>
                <w:lang w:val="hy-AM"/>
              </w:rPr>
              <w:t>0.</w:t>
            </w:r>
            <w:r w:rsidRPr="00F94494">
              <w:rPr>
                <w:rFonts w:cs="Calibri"/>
                <w:b w:val="0"/>
                <w:color w:val="000000"/>
                <w:szCs w:val="22"/>
                <w:lang w:val="hy-AM" w:eastAsia="en-US"/>
              </w:rPr>
              <w:t>41</w:t>
            </w:r>
          </w:p>
        </w:tc>
        <w:tc>
          <w:tcPr>
            <w:tcW w:w="1120"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0.12</w:t>
            </w:r>
          </w:p>
        </w:tc>
        <w:tc>
          <w:tcPr>
            <w:tcW w:w="1226"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0.07</w:t>
            </w:r>
          </w:p>
        </w:tc>
        <w:tc>
          <w:tcPr>
            <w:tcW w:w="1221"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0.04</w:t>
            </w:r>
          </w:p>
        </w:tc>
      </w:tr>
      <w:tr w:rsidR="003B5F66" w:rsidRPr="00E14DDE" w:rsidTr="00D158C9">
        <w:trPr>
          <w:trHeight w:val="345"/>
        </w:trPr>
        <w:tc>
          <w:tcPr>
            <w:tcW w:w="2260" w:type="dxa"/>
            <w:tcBorders>
              <w:top w:val="nil"/>
              <w:left w:val="single" w:sz="8" w:space="0" w:color="5B9BD5"/>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Cs/>
                <w:color w:val="000000"/>
                <w:szCs w:val="22"/>
                <w:lang w:val="en-US" w:eastAsia="en-US"/>
              </w:rPr>
            </w:pPr>
            <w:r w:rsidRPr="00E14DDE">
              <w:rPr>
                <w:rFonts w:cs="Calibri"/>
                <w:bCs/>
                <w:color w:val="000000"/>
                <w:szCs w:val="22"/>
                <w:lang w:val="en-US" w:eastAsia="en-US"/>
              </w:rPr>
              <w:t>4-8 տոկոս</w:t>
            </w:r>
          </w:p>
        </w:tc>
        <w:tc>
          <w:tcPr>
            <w:tcW w:w="1013"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i/>
                <w:color w:val="000000"/>
                <w:u w:val="single"/>
                <w:lang w:val="hy-AM"/>
              </w:rPr>
              <w:t>0.</w:t>
            </w:r>
            <w:r w:rsidRPr="00F94494">
              <w:rPr>
                <w:rFonts w:cs="Calibri"/>
                <w:bCs/>
                <w:i/>
                <w:iCs/>
                <w:color w:val="000000"/>
                <w:szCs w:val="22"/>
                <w:u w:val="single"/>
                <w:lang w:val="hy-AM" w:eastAsia="en-US"/>
              </w:rPr>
              <w:t>49</w:t>
            </w:r>
          </w:p>
        </w:tc>
        <w:tc>
          <w:tcPr>
            <w:tcW w:w="1120"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i/>
                <w:color w:val="000000"/>
                <w:u w:val="single"/>
                <w:lang w:val="hy-AM"/>
              </w:rPr>
              <w:t>0.</w:t>
            </w:r>
            <w:r w:rsidRPr="00F94494">
              <w:rPr>
                <w:rFonts w:cs="Calibri"/>
                <w:bCs/>
                <w:i/>
                <w:iCs/>
                <w:color w:val="000000"/>
                <w:szCs w:val="22"/>
                <w:u w:val="single"/>
                <w:lang w:val="hy-AM" w:eastAsia="en-US"/>
              </w:rPr>
              <w:t>47</w:t>
            </w:r>
          </w:p>
        </w:tc>
        <w:tc>
          <w:tcPr>
            <w:tcW w:w="1226"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0.36</w:t>
            </w:r>
          </w:p>
        </w:tc>
        <w:tc>
          <w:tcPr>
            <w:tcW w:w="1221"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0.25</w:t>
            </w:r>
          </w:p>
        </w:tc>
      </w:tr>
      <w:tr w:rsidR="003B5F66" w:rsidRPr="00E14DDE" w:rsidTr="00D158C9">
        <w:trPr>
          <w:trHeight w:val="345"/>
        </w:trPr>
        <w:tc>
          <w:tcPr>
            <w:tcW w:w="2260" w:type="dxa"/>
            <w:tcBorders>
              <w:top w:val="nil"/>
              <w:left w:val="single" w:sz="8" w:space="0" w:color="5B9BD5"/>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Cs/>
                <w:color w:val="000000"/>
                <w:szCs w:val="22"/>
                <w:lang w:val="en-US" w:eastAsia="en-US"/>
              </w:rPr>
            </w:pPr>
            <w:r w:rsidRPr="00E14DDE">
              <w:rPr>
                <w:rFonts w:cs="Calibri"/>
                <w:bCs/>
                <w:color w:val="000000"/>
                <w:szCs w:val="22"/>
                <w:lang w:val="en-US" w:eastAsia="en-US"/>
              </w:rPr>
              <w:t>8-12 տոկոս</w:t>
            </w:r>
          </w:p>
        </w:tc>
        <w:tc>
          <w:tcPr>
            <w:tcW w:w="1013"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0.02</w:t>
            </w:r>
          </w:p>
        </w:tc>
        <w:tc>
          <w:tcPr>
            <w:tcW w:w="1120"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Cs/>
                <w:i/>
                <w:iCs/>
                <w:color w:val="000000"/>
                <w:szCs w:val="22"/>
                <w:u w:val="single"/>
                <w:lang w:val="en-US" w:eastAsia="en-US"/>
              </w:rPr>
            </w:pPr>
            <w:r w:rsidRPr="00F94494">
              <w:rPr>
                <w:b w:val="0"/>
                <w:color w:val="000000"/>
                <w:lang w:val="hy-AM"/>
              </w:rPr>
              <w:t>0.</w:t>
            </w:r>
            <w:r w:rsidRPr="00F94494">
              <w:rPr>
                <w:rFonts w:cs="Calibri"/>
                <w:b w:val="0"/>
                <w:color w:val="000000"/>
                <w:szCs w:val="22"/>
                <w:lang w:val="hy-AM" w:eastAsia="en-US"/>
              </w:rPr>
              <w:t>39</w:t>
            </w:r>
          </w:p>
        </w:tc>
        <w:tc>
          <w:tcPr>
            <w:tcW w:w="1226"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Cs/>
                <w:i/>
                <w:iCs/>
                <w:color w:val="000000"/>
                <w:szCs w:val="22"/>
                <w:u w:val="single"/>
                <w:lang w:val="en-US" w:eastAsia="en-US"/>
              </w:rPr>
            </w:pPr>
            <w:r w:rsidRPr="00F94494">
              <w:rPr>
                <w:rFonts w:cs="Calibri"/>
                <w:bCs/>
                <w:i/>
                <w:iCs/>
                <w:color w:val="000000"/>
                <w:szCs w:val="22"/>
                <w:u w:val="single"/>
                <w:lang w:val="hy-AM" w:eastAsia="en-US"/>
              </w:rPr>
              <w:t>0.50</w:t>
            </w:r>
          </w:p>
        </w:tc>
        <w:tc>
          <w:tcPr>
            <w:tcW w:w="1221"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Cs/>
                <w:i/>
                <w:iCs/>
                <w:color w:val="000000"/>
                <w:szCs w:val="22"/>
                <w:u w:val="single"/>
                <w:lang w:val="en-US" w:eastAsia="en-US"/>
              </w:rPr>
            </w:pPr>
            <w:r w:rsidRPr="00F94494">
              <w:rPr>
                <w:rFonts w:cs="Calibri"/>
                <w:bCs/>
                <w:i/>
                <w:iCs/>
                <w:color w:val="000000"/>
                <w:szCs w:val="22"/>
                <w:u w:val="single"/>
                <w:lang w:val="hy-AM" w:eastAsia="en-US"/>
              </w:rPr>
              <w:t>0.54</w:t>
            </w:r>
          </w:p>
        </w:tc>
      </w:tr>
      <w:tr w:rsidR="003B5F66" w:rsidRPr="00E14DDE" w:rsidTr="00D158C9">
        <w:trPr>
          <w:trHeight w:val="345"/>
        </w:trPr>
        <w:tc>
          <w:tcPr>
            <w:tcW w:w="2260" w:type="dxa"/>
            <w:tcBorders>
              <w:top w:val="nil"/>
              <w:left w:val="single" w:sz="8" w:space="0" w:color="5B9BD5"/>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Cs/>
                <w:color w:val="000000"/>
                <w:szCs w:val="22"/>
                <w:lang w:val="en-US" w:eastAsia="en-US"/>
              </w:rPr>
            </w:pPr>
            <w:r w:rsidRPr="00E14DDE">
              <w:rPr>
                <w:rFonts w:cs="Calibri"/>
                <w:bCs/>
                <w:color w:val="000000"/>
                <w:szCs w:val="22"/>
                <w:lang w:val="en-US" w:eastAsia="en-US"/>
              </w:rPr>
              <w:t>12-16 տոկոս</w:t>
            </w:r>
          </w:p>
        </w:tc>
        <w:tc>
          <w:tcPr>
            <w:tcW w:w="1013"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0.00</w:t>
            </w:r>
          </w:p>
        </w:tc>
        <w:tc>
          <w:tcPr>
            <w:tcW w:w="1120"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0.01</w:t>
            </w:r>
          </w:p>
        </w:tc>
        <w:tc>
          <w:tcPr>
            <w:tcW w:w="1226"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0.06</w:t>
            </w:r>
          </w:p>
        </w:tc>
        <w:tc>
          <w:tcPr>
            <w:tcW w:w="1221" w:type="dxa"/>
            <w:tcBorders>
              <w:top w:val="nil"/>
              <w:left w:val="nil"/>
              <w:bottom w:val="single" w:sz="8" w:space="0" w:color="5B9BD5"/>
              <w:right w:val="single" w:sz="8" w:space="0" w:color="5B9BD5"/>
            </w:tcBorders>
            <w:shd w:val="clear" w:color="auto" w:fill="auto"/>
            <w:noWrap/>
            <w:vAlign w:val="center"/>
            <w:hideMark/>
          </w:tcPr>
          <w:p w:rsidR="003B5F66" w:rsidRPr="00E14DDE" w:rsidRDefault="003B5F66" w:rsidP="007730AA">
            <w:pPr>
              <w:spacing w:before="0" w:line="240" w:lineRule="auto"/>
              <w:ind w:firstLine="0"/>
              <w:contextualSpacing w:val="0"/>
              <w:jc w:val="center"/>
              <w:rPr>
                <w:rFonts w:cs="Calibri"/>
                <w:b w:val="0"/>
                <w:color w:val="000000"/>
                <w:szCs w:val="22"/>
                <w:lang w:val="en-US" w:eastAsia="en-US"/>
              </w:rPr>
            </w:pPr>
            <w:r w:rsidRPr="00F94494">
              <w:rPr>
                <w:rFonts w:cs="Calibri"/>
                <w:b w:val="0"/>
                <w:color w:val="000000"/>
                <w:szCs w:val="22"/>
                <w:lang w:val="hy-AM" w:eastAsia="en-US"/>
              </w:rPr>
              <w:t>0.17</w:t>
            </w:r>
          </w:p>
        </w:tc>
      </w:tr>
    </w:tbl>
    <w:p w:rsidR="00E14DDE" w:rsidRDefault="00E14DDE" w:rsidP="007730AA">
      <w:pPr>
        <w:spacing w:before="0" w:line="276" w:lineRule="auto"/>
        <w:ind w:firstLine="720"/>
        <w:contextualSpacing w:val="0"/>
        <w:rPr>
          <w:rFonts w:eastAsia="Calibri" w:cs="Sylfaen"/>
          <w:b w:val="0"/>
          <w:szCs w:val="22"/>
          <w:lang w:val="hy-AM" w:eastAsia="en-US"/>
        </w:rPr>
      </w:pPr>
    </w:p>
    <w:p w:rsidR="00E14DDE" w:rsidRPr="00E14DDE" w:rsidRDefault="00E14DDE" w:rsidP="007730AA">
      <w:pPr>
        <w:spacing w:before="0" w:line="276" w:lineRule="auto"/>
        <w:ind w:firstLine="720"/>
        <w:contextualSpacing w:val="0"/>
        <w:rPr>
          <w:rFonts w:eastAsia="Calibri" w:cs="Sylfaen"/>
          <w:b w:val="0"/>
          <w:szCs w:val="22"/>
          <w:lang w:val="hy-AM" w:eastAsia="en-US"/>
        </w:rPr>
      </w:pPr>
      <w:r w:rsidRPr="00E14DDE">
        <w:rPr>
          <w:rFonts w:eastAsia="Calibri" w:cs="Sylfaen"/>
          <w:b w:val="0"/>
          <w:szCs w:val="22"/>
          <w:lang w:val="hy-AM" w:eastAsia="en-US"/>
        </w:rPr>
        <w:t xml:space="preserve">Աղյուսակ </w:t>
      </w:r>
      <w:r w:rsidR="00284C38" w:rsidRPr="00284C38">
        <w:rPr>
          <w:rFonts w:eastAsia="Calibri" w:cs="Sylfaen"/>
          <w:b w:val="0"/>
          <w:szCs w:val="22"/>
          <w:lang w:val="hy-AM" w:eastAsia="en-US"/>
        </w:rPr>
        <w:t>21</w:t>
      </w:r>
      <w:r w:rsidRPr="00E14DDE">
        <w:rPr>
          <w:rFonts w:eastAsia="Calibri" w:cs="Sylfaen"/>
          <w:b w:val="0"/>
          <w:szCs w:val="22"/>
          <w:lang w:val="hy-AM" w:eastAsia="en-US"/>
        </w:rPr>
        <w:t xml:space="preserve">-ի առաջին սյունը ներկայացնում է հարկային եկամուտների աճի միջակայքերը, իսկ 2-ից 5-րդ սյուները` նշված միջակայքերից յուրաքանչյուրում այդ աճի ձևավորվելու հավանականությունները` ըստ եռամսյակային կանխատեսումների: </w:t>
      </w:r>
    </w:p>
    <w:p w:rsidR="003B5F66" w:rsidRPr="00F94494" w:rsidRDefault="003B5F66"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 xml:space="preserve">Ակնհայտ է, որ 2021 թվականի համար վերոնշյալ չորս միջակայքերի շարքում 4-8%  միջակայքում հարկային եկամուտների աճի ձևավորվելու հավանականությունն ամենաբարձրն է (Գծապատկեր 6-ում այն մուգ կարմիր է, իսկ Աղյուսակ 21-ում՝ հոծ նշումով): </w:t>
      </w:r>
    </w:p>
    <w:p w:rsidR="001A0083" w:rsidRPr="00E14DDE" w:rsidRDefault="001A0083" w:rsidP="007730AA">
      <w:pPr>
        <w:spacing w:before="0" w:line="276" w:lineRule="auto"/>
        <w:ind w:firstLine="720"/>
        <w:contextualSpacing w:val="0"/>
        <w:rPr>
          <w:rFonts w:eastAsia="Calibri" w:cs="Sylfaen"/>
          <w:b w:val="0"/>
          <w:szCs w:val="22"/>
          <w:lang w:val="hy-AM" w:eastAsia="en-US"/>
        </w:rPr>
      </w:pPr>
    </w:p>
    <w:p w:rsidR="003B5F66" w:rsidRPr="00F94494" w:rsidRDefault="003B5F66" w:rsidP="007730AA">
      <w:pPr>
        <w:pBdr>
          <w:top w:val="single" w:sz="4" w:space="0" w:color="auto"/>
          <w:left w:val="single" w:sz="4" w:space="4" w:color="auto"/>
          <w:bottom w:val="single" w:sz="4" w:space="1" w:color="auto"/>
          <w:right w:val="single" w:sz="4" w:space="4" w:color="auto"/>
        </w:pBdr>
        <w:shd w:val="clear" w:color="auto" w:fill="D9D9D9"/>
        <w:spacing w:before="0" w:line="276" w:lineRule="auto"/>
        <w:ind w:firstLine="720"/>
        <w:contextualSpacing w:val="0"/>
        <w:jc w:val="left"/>
        <w:rPr>
          <w:rFonts w:eastAsia="Calibri" w:cs="Sylfaen"/>
          <w:szCs w:val="22"/>
          <w:lang w:val="hy-AM" w:eastAsia="en-US"/>
        </w:rPr>
      </w:pPr>
      <w:r w:rsidRPr="00F94494">
        <w:rPr>
          <w:rFonts w:eastAsia="Calibri" w:cs="Sylfaen"/>
          <w:szCs w:val="22"/>
          <w:lang w:val="hy-AM" w:eastAsia="en-US"/>
        </w:rPr>
        <w:t xml:space="preserve">Ներդիր </w:t>
      </w:r>
    </w:p>
    <w:p w:rsidR="003B5F66" w:rsidRPr="00F94494" w:rsidRDefault="003B5F66" w:rsidP="007730AA">
      <w:pPr>
        <w:pBdr>
          <w:top w:val="single" w:sz="4" w:space="0" w:color="auto"/>
          <w:left w:val="single" w:sz="4" w:space="4" w:color="auto"/>
          <w:bottom w:val="single" w:sz="4" w:space="1" w:color="auto"/>
          <w:right w:val="single" w:sz="4" w:space="4" w:color="auto"/>
        </w:pBdr>
        <w:shd w:val="clear" w:color="auto" w:fill="D9D9D9"/>
        <w:spacing w:before="0" w:line="276" w:lineRule="auto"/>
        <w:ind w:firstLine="720"/>
        <w:contextualSpacing w:val="0"/>
        <w:jc w:val="left"/>
        <w:rPr>
          <w:rFonts w:eastAsia="Calibri" w:cs="Sylfaen"/>
          <w:b w:val="0"/>
          <w:szCs w:val="22"/>
          <w:lang w:val="hy-AM" w:eastAsia="en-US"/>
        </w:rPr>
      </w:pPr>
      <w:r w:rsidRPr="00F94494">
        <w:rPr>
          <w:rFonts w:eastAsia="Calibri" w:cs="Sylfaen"/>
          <w:szCs w:val="22"/>
          <w:lang w:val="hy-AM" w:eastAsia="en-US"/>
        </w:rPr>
        <w:t>Իրական ՀՆԱ-ի և հարկային եկամուտների կանխատեսումների հավանականային բաշխման գծապատկերի կառուցումը</w:t>
      </w:r>
    </w:p>
    <w:p w:rsidR="003B5F66" w:rsidRPr="00F94494" w:rsidRDefault="003B5F66" w:rsidP="007730AA">
      <w:pPr>
        <w:pBdr>
          <w:top w:val="single" w:sz="4" w:space="0" w:color="auto"/>
          <w:left w:val="single" w:sz="4" w:space="4" w:color="auto"/>
          <w:bottom w:val="single" w:sz="4" w:space="1" w:color="auto"/>
          <w:right w:val="single" w:sz="4" w:space="4" w:color="auto"/>
        </w:pBdr>
        <w:shd w:val="clear" w:color="auto" w:fill="D9D9D9"/>
        <w:spacing w:before="0" w:line="276" w:lineRule="auto"/>
        <w:ind w:firstLine="720"/>
        <w:contextualSpacing w:val="0"/>
        <w:jc w:val="left"/>
        <w:rPr>
          <w:rFonts w:eastAsia="Calibri"/>
          <w:b w:val="0"/>
          <w:szCs w:val="22"/>
          <w:lang w:val="hy-AM" w:eastAsia="en-US"/>
        </w:rPr>
      </w:pPr>
      <w:r w:rsidRPr="00F94494">
        <w:rPr>
          <w:rFonts w:eastAsia="Calibri" w:cs="Sylfaen"/>
          <w:b w:val="0"/>
          <w:szCs w:val="22"/>
          <w:lang w:val="hy-AM" w:eastAsia="en-US"/>
        </w:rPr>
        <w:t xml:space="preserve">Իրական ՀՆԱ-ի </w:t>
      </w:r>
      <w:r w:rsidRPr="00F94494">
        <w:rPr>
          <w:rFonts w:eastAsia="Calibri"/>
          <w:b w:val="0"/>
          <w:szCs w:val="22"/>
          <w:lang w:val="hy-AM" w:eastAsia="en-US"/>
        </w:rPr>
        <w:t xml:space="preserve">և հարկային եկամուտների կանխատեսումների </w:t>
      </w:r>
      <w:r w:rsidRPr="00F94494">
        <w:rPr>
          <w:rFonts w:eastAsia="Calibri" w:cs="Sylfaen"/>
          <w:b w:val="0"/>
          <w:szCs w:val="22"/>
          <w:lang w:val="hy-AM" w:eastAsia="en-US"/>
        </w:rPr>
        <w:t>հավանականային</w:t>
      </w:r>
      <w:r w:rsidRPr="00F94494">
        <w:rPr>
          <w:rFonts w:eastAsia="Calibri"/>
          <w:b w:val="0"/>
          <w:szCs w:val="22"/>
          <w:lang w:val="hy-AM" w:eastAsia="en-US"/>
        </w:rPr>
        <w:t xml:space="preserve"> բ</w:t>
      </w:r>
      <w:r w:rsidRPr="00F94494">
        <w:rPr>
          <w:rFonts w:eastAsia="Calibri" w:cs="Sylfaen"/>
          <w:b w:val="0"/>
          <w:szCs w:val="22"/>
          <w:lang w:val="hy-AM" w:eastAsia="en-US"/>
        </w:rPr>
        <w:t xml:space="preserve">աշխումը ներկայացնող գծապատկերները ցույց </w:t>
      </w:r>
      <w:r w:rsidRPr="00F94494">
        <w:rPr>
          <w:rFonts w:eastAsia="Calibri"/>
          <w:b w:val="0"/>
          <w:szCs w:val="22"/>
          <w:lang w:val="hy-AM" w:eastAsia="en-US"/>
        </w:rPr>
        <w:t xml:space="preserve">են </w:t>
      </w:r>
      <w:r w:rsidRPr="00F94494">
        <w:rPr>
          <w:rFonts w:eastAsia="Calibri" w:cs="Sylfaen"/>
          <w:b w:val="0"/>
          <w:szCs w:val="22"/>
          <w:lang w:val="hy-AM" w:eastAsia="en-US"/>
        </w:rPr>
        <w:t>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r w:rsidRPr="00F94494">
        <w:rPr>
          <w:rFonts w:eastAsia="Calibri"/>
          <w:b w:val="0"/>
          <w:szCs w:val="22"/>
          <w:lang w:val="hy-AM" w:eastAsia="en-US"/>
        </w:rPr>
        <w:t>:</w:t>
      </w:r>
    </w:p>
    <w:p w:rsidR="003B5F66" w:rsidRPr="00F94494" w:rsidRDefault="003B5F66" w:rsidP="007730AA">
      <w:pPr>
        <w:pBdr>
          <w:top w:val="single" w:sz="4" w:space="0" w:color="auto"/>
          <w:left w:val="single" w:sz="4" w:space="4" w:color="auto"/>
          <w:bottom w:val="single" w:sz="4" w:space="1" w:color="auto"/>
          <w:right w:val="single" w:sz="4" w:space="4" w:color="auto"/>
        </w:pBdr>
        <w:shd w:val="clear" w:color="auto" w:fill="D9D9D9"/>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Կանխատեսումների հավանականային բաշխման գծապատկերի կառուցման անհրաժեշտությունը պայմանավորված է նրանով</w:t>
      </w:r>
      <w:r w:rsidRPr="00F94494">
        <w:rPr>
          <w:rFonts w:eastAsia="Calibri"/>
          <w:b w:val="0"/>
          <w:szCs w:val="22"/>
          <w:lang w:val="hy-AM" w:eastAsia="en-US"/>
        </w:rPr>
        <w:t xml:space="preserve">, </w:t>
      </w:r>
      <w:r w:rsidRPr="00F94494">
        <w:rPr>
          <w:rFonts w:eastAsia="Calibri" w:cs="Sylfaen"/>
          <w:b w:val="0"/>
          <w:szCs w:val="22"/>
          <w:lang w:val="hy-AM" w:eastAsia="en-US"/>
        </w:rPr>
        <w:t>որ բոլոր կանխատեսումները ինչ</w:t>
      </w:r>
      <w:r w:rsidRPr="00F94494">
        <w:rPr>
          <w:rFonts w:eastAsia="Calibri"/>
          <w:b w:val="0"/>
          <w:szCs w:val="22"/>
          <w:lang w:val="hy-AM" w:eastAsia="en-US"/>
        </w:rPr>
        <w:t>-</w:t>
      </w:r>
      <w:r w:rsidRPr="00F94494">
        <w:rPr>
          <w:rFonts w:eastAsia="Calibri" w:cs="Sylfaen"/>
          <w:b w:val="0"/>
          <w:szCs w:val="22"/>
          <w:lang w:val="hy-AM" w:eastAsia="en-US"/>
        </w:rPr>
        <w:t>որ չափով անորոշ են</w:t>
      </w:r>
      <w:r w:rsidRPr="00F94494">
        <w:rPr>
          <w:rFonts w:eastAsia="Calibri"/>
          <w:b w:val="0"/>
          <w:szCs w:val="22"/>
          <w:lang w:val="hy-AM" w:eastAsia="en-US"/>
        </w:rPr>
        <w:t xml:space="preserve">: </w:t>
      </w:r>
      <w:r w:rsidRPr="00F94494">
        <w:rPr>
          <w:rFonts w:eastAsia="Calibri" w:cs="Sylfaen"/>
          <w:b w:val="0"/>
          <w:szCs w:val="22"/>
          <w:lang w:val="hy-AM" w:eastAsia="en-US"/>
        </w:rPr>
        <w:t>Կարևոր է հաշվի առնել ոչ միայն կոնկրետ կանխատեսված արժեքները</w:t>
      </w:r>
      <w:r w:rsidRPr="00F94494">
        <w:rPr>
          <w:rFonts w:eastAsia="Calibri"/>
          <w:b w:val="0"/>
          <w:szCs w:val="22"/>
          <w:lang w:val="hy-AM" w:eastAsia="en-US"/>
        </w:rPr>
        <w:t xml:space="preserve">, </w:t>
      </w:r>
      <w:r w:rsidRPr="00F94494">
        <w:rPr>
          <w:rFonts w:eastAsia="Calibri" w:cs="Sylfaen"/>
          <w:b w:val="0"/>
          <w:szCs w:val="22"/>
          <w:lang w:val="hy-AM" w:eastAsia="en-US"/>
        </w:rPr>
        <w:t>այլ նաև բոլոր այն</w:t>
      </w:r>
      <w:r w:rsidRPr="00F94494">
        <w:rPr>
          <w:rFonts w:eastAsia="Calibri"/>
          <w:b w:val="0"/>
          <w:szCs w:val="22"/>
          <w:lang w:val="hy-AM" w:eastAsia="en-US"/>
        </w:rPr>
        <w:t xml:space="preserve"> վերոնշյալ </w:t>
      </w:r>
      <w:r w:rsidRPr="00F94494">
        <w:rPr>
          <w:rFonts w:eastAsia="Calibri" w:cs="Sylfaen"/>
          <w:b w:val="0"/>
          <w:szCs w:val="22"/>
          <w:lang w:val="hy-AM" w:eastAsia="en-US"/>
        </w:rPr>
        <w:t>ռիսկերը</w:t>
      </w:r>
      <w:r w:rsidRPr="00F94494">
        <w:rPr>
          <w:rFonts w:eastAsia="Calibri"/>
          <w:b w:val="0"/>
          <w:szCs w:val="22"/>
          <w:lang w:val="hy-AM" w:eastAsia="en-US"/>
        </w:rPr>
        <w:t xml:space="preserve">, </w:t>
      </w:r>
      <w:r w:rsidRPr="00F94494">
        <w:rPr>
          <w:rFonts w:eastAsia="Calibri" w:cs="Sylfaen"/>
          <w:b w:val="0"/>
          <w:szCs w:val="22"/>
          <w:lang w:val="hy-AM" w:eastAsia="en-US"/>
        </w:rPr>
        <w:t>որոնց արդյունքում կարող են շեղումներ առաջանալ իրական ՀՆԱ-ի կանխատեսումների և հարկերի կանխատեսումների կենտրոնական արժեքներից</w:t>
      </w:r>
      <w:r w:rsidRPr="00F94494">
        <w:rPr>
          <w:rFonts w:eastAsia="Calibri"/>
          <w:b w:val="0"/>
          <w:szCs w:val="22"/>
          <w:lang w:val="hy-AM" w:eastAsia="en-US"/>
        </w:rPr>
        <w:t xml:space="preserve">: </w:t>
      </w:r>
      <w:r w:rsidRPr="00F94494">
        <w:rPr>
          <w:rFonts w:eastAsia="Calibri" w:cs="Sylfaen"/>
          <w:b w:val="0"/>
          <w:szCs w:val="22"/>
          <w:lang w:val="hy-AM" w:eastAsia="en-US"/>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F94494">
        <w:rPr>
          <w:rFonts w:eastAsia="Calibri"/>
          <w:b w:val="0"/>
          <w:szCs w:val="22"/>
          <w:lang w:val="hy-AM" w:eastAsia="en-US"/>
        </w:rPr>
        <w:t xml:space="preserve"> դրանց </w:t>
      </w:r>
      <w:r w:rsidRPr="00F94494">
        <w:rPr>
          <w:rFonts w:eastAsia="Calibri" w:cs="Sylfaen"/>
          <w:b w:val="0"/>
          <w:szCs w:val="22"/>
          <w:lang w:val="hy-AM" w:eastAsia="en-US"/>
        </w:rPr>
        <w:t>աղբյուրների վերաբերյալ</w:t>
      </w:r>
      <w:r w:rsidRPr="00F94494">
        <w:rPr>
          <w:rFonts w:eastAsia="Calibri"/>
          <w:b w:val="0"/>
          <w:szCs w:val="22"/>
          <w:lang w:val="hy-AM" w:eastAsia="en-US"/>
        </w:rPr>
        <w:t xml:space="preserve">: </w:t>
      </w:r>
      <w:r w:rsidRPr="00F94494">
        <w:rPr>
          <w:rFonts w:eastAsia="Calibri" w:cs="Sylfaen"/>
          <w:b w:val="0"/>
          <w:szCs w:val="22"/>
          <w:lang w:val="hy-AM" w:eastAsia="en-US"/>
        </w:rPr>
        <w:t>Այդ պատճառով կարևորվում է որոշակի վստահության միջակայքի կառուցման խնդիրը</w:t>
      </w:r>
      <w:r w:rsidRPr="00F94494">
        <w:rPr>
          <w:rFonts w:eastAsia="Calibri"/>
          <w:b w:val="0"/>
          <w:szCs w:val="22"/>
          <w:lang w:val="hy-AM" w:eastAsia="en-US"/>
        </w:rPr>
        <w:t xml:space="preserve">, </w:t>
      </w:r>
      <w:r w:rsidRPr="00F94494">
        <w:rPr>
          <w:rFonts w:eastAsia="Calibri" w:cs="Sylfaen"/>
          <w:b w:val="0"/>
          <w:szCs w:val="22"/>
          <w:lang w:val="hy-AM" w:eastAsia="en-US"/>
        </w:rPr>
        <w:t>որը թույլ կտա գնահատել իրադարձությունների զարգացման հավանական ընթացքը</w:t>
      </w:r>
      <w:r w:rsidRPr="00F94494">
        <w:rPr>
          <w:rFonts w:eastAsia="Calibri"/>
          <w:b w:val="0"/>
          <w:szCs w:val="22"/>
          <w:lang w:val="hy-AM" w:eastAsia="en-US"/>
        </w:rPr>
        <w:t xml:space="preserve">: Իրական ՀՆԱ-ի և հարկերի կանխատեսումների հավանականային բաշխման ներկայացված գծապատկերները հիմնվում են </w:t>
      </w:r>
      <w:r w:rsidRPr="00F94494">
        <w:rPr>
          <w:rFonts w:eastAsia="Calibri" w:cs="Sylfaen"/>
          <w:b w:val="0"/>
          <w:szCs w:val="22"/>
          <w:lang w:val="hy-AM" w:eastAsia="en-US"/>
        </w:rPr>
        <w:t>Անգլիայի բանկի կողմից մշակված մեթոդաբանության վրա և հաշվի է առնում</w:t>
      </w:r>
      <w:r w:rsidRPr="00F94494">
        <w:rPr>
          <w:rFonts w:eastAsia="Calibri"/>
          <w:b w:val="0"/>
          <w:szCs w:val="22"/>
          <w:lang w:val="hy-AM" w:eastAsia="en-US"/>
        </w:rPr>
        <w:t xml:space="preserve"> կանխատեսումների հավանականային բաշխման </w:t>
      </w:r>
      <w:r w:rsidRPr="00F94494">
        <w:rPr>
          <w:rFonts w:eastAsia="Calibri" w:cs="Sylfaen"/>
          <w:b w:val="0"/>
          <w:szCs w:val="22"/>
          <w:lang w:val="hy-AM" w:eastAsia="en-US"/>
        </w:rPr>
        <w:t>ասիմետրիկության առկայությունը</w:t>
      </w:r>
      <w:r w:rsidRPr="00F94494">
        <w:rPr>
          <w:rFonts w:eastAsia="Calibri"/>
          <w:b w:val="0"/>
          <w:szCs w:val="22"/>
          <w:lang w:val="hy-AM" w:eastAsia="en-US"/>
        </w:rPr>
        <w:t xml:space="preserve">: </w:t>
      </w:r>
    </w:p>
    <w:p w:rsidR="003B5F66" w:rsidRPr="00F94494" w:rsidRDefault="003B5F66" w:rsidP="007730AA">
      <w:pPr>
        <w:pBdr>
          <w:top w:val="single" w:sz="4" w:space="0" w:color="auto"/>
          <w:left w:val="single" w:sz="4" w:space="4" w:color="auto"/>
          <w:bottom w:val="single" w:sz="4" w:space="1" w:color="auto"/>
          <w:right w:val="single" w:sz="4" w:space="4" w:color="auto"/>
        </w:pBdr>
        <w:shd w:val="clear" w:color="auto" w:fill="D9D9D9"/>
        <w:spacing w:before="0" w:line="276" w:lineRule="auto"/>
        <w:ind w:firstLine="720"/>
        <w:contextualSpacing w:val="0"/>
        <w:rPr>
          <w:rFonts w:eastAsia="Calibri"/>
          <w:b w:val="0"/>
          <w:szCs w:val="22"/>
          <w:lang w:val="hy-AM" w:eastAsia="en-US"/>
        </w:rPr>
      </w:pPr>
      <w:r w:rsidRPr="00F94494">
        <w:rPr>
          <w:rFonts w:eastAsia="Calibri" w:cs="Sylfaen"/>
          <w:b w:val="0"/>
          <w:szCs w:val="22"/>
          <w:lang w:val="hy-AM" w:eastAsia="en-US"/>
        </w:rPr>
        <w:t>Հայաստանի համար իրական ՀՆԱ-ի և հարկերի աճի կանխատեսումների բաշխման գծապատկերները կառուցվել են երեք չափորոշիչների հիման վրա.</w:t>
      </w:r>
    </w:p>
    <w:p w:rsidR="003B5F66" w:rsidRPr="00F94494" w:rsidRDefault="003B5F66" w:rsidP="007730AA">
      <w:pPr>
        <w:pBdr>
          <w:top w:val="single" w:sz="4" w:space="0" w:color="auto"/>
          <w:left w:val="single" w:sz="4" w:space="4" w:color="auto"/>
          <w:bottom w:val="single" w:sz="4" w:space="1" w:color="auto"/>
          <w:right w:val="single" w:sz="4" w:space="4" w:color="auto"/>
        </w:pBdr>
        <w:shd w:val="clear" w:color="auto" w:fill="D9D9D9"/>
        <w:spacing w:before="0" w:line="276" w:lineRule="auto"/>
        <w:ind w:firstLine="720"/>
        <w:contextualSpacing w:val="0"/>
        <w:rPr>
          <w:rFonts w:eastAsia="Calibri" w:cs="Sylfaen"/>
          <w:b w:val="0"/>
          <w:szCs w:val="22"/>
          <w:lang w:val="hy-AM" w:eastAsia="en-US"/>
        </w:rPr>
      </w:pPr>
      <w:r w:rsidRPr="00F94494">
        <w:rPr>
          <w:rFonts w:eastAsia="Calibri"/>
          <w:b w:val="0"/>
          <w:szCs w:val="22"/>
          <w:lang w:val="hy-AM" w:eastAsia="en-US"/>
        </w:rPr>
        <w:t xml:space="preserve">1. </w:t>
      </w:r>
      <w:r w:rsidRPr="00F94494">
        <w:rPr>
          <w:rFonts w:eastAsia="Calibri" w:cs="Sylfaen"/>
          <w:b w:val="0"/>
          <w:szCs w:val="22"/>
          <w:lang w:val="hy-AM" w:eastAsia="en-US"/>
        </w:rPr>
        <w:t xml:space="preserve">կենտրոնական արժեքները, </w:t>
      </w:r>
      <w:r w:rsidRPr="00F94494">
        <w:rPr>
          <w:rFonts w:eastAsia="Calibri"/>
          <w:b w:val="0"/>
          <w:szCs w:val="22"/>
          <w:lang w:val="hy-AM" w:eastAsia="en-US"/>
        </w:rPr>
        <w:t xml:space="preserve">2. </w:t>
      </w:r>
      <w:r w:rsidRPr="00F94494">
        <w:rPr>
          <w:rFonts w:eastAsia="Calibri" w:cs="Sylfaen"/>
          <w:b w:val="0"/>
          <w:szCs w:val="22"/>
          <w:lang w:val="hy-AM" w:eastAsia="en-US"/>
        </w:rPr>
        <w:t>անորոշության չափը</w:t>
      </w:r>
      <w:r w:rsidRPr="00F94494">
        <w:rPr>
          <w:rFonts w:eastAsia="Calibri"/>
          <w:b w:val="0"/>
          <w:szCs w:val="22"/>
          <w:lang w:val="hy-AM" w:eastAsia="en-US"/>
        </w:rPr>
        <w:t xml:space="preserve"> (</w:t>
      </w:r>
      <w:r w:rsidRPr="00F94494">
        <w:rPr>
          <w:rFonts w:eastAsia="Calibri" w:cs="Sylfaen"/>
          <w:b w:val="0"/>
          <w:szCs w:val="22"/>
          <w:lang w:val="hy-AM" w:eastAsia="en-US"/>
        </w:rPr>
        <w:t>դիսպերսիան</w:t>
      </w:r>
      <w:r w:rsidRPr="00F94494">
        <w:rPr>
          <w:rFonts w:eastAsia="Calibri"/>
          <w:b w:val="0"/>
          <w:szCs w:val="22"/>
          <w:lang w:val="hy-AM" w:eastAsia="en-US"/>
        </w:rPr>
        <w:t>),</w:t>
      </w:r>
      <w:r w:rsidRPr="00F94494">
        <w:rPr>
          <w:rFonts w:eastAsia="Calibri" w:cs="Sylfaen"/>
          <w:b w:val="0"/>
          <w:szCs w:val="22"/>
          <w:lang w:val="hy-AM" w:eastAsia="en-US"/>
        </w:rPr>
        <w:t xml:space="preserve"> որը ստանալու համար հիմք են հանդիսացել փաստացի պատմական շարքերի կանխատեսումային սխալները և </w:t>
      </w:r>
      <w:r w:rsidRPr="00F94494">
        <w:rPr>
          <w:rFonts w:eastAsia="Calibri"/>
          <w:b w:val="0"/>
          <w:szCs w:val="22"/>
          <w:lang w:val="hy-AM" w:eastAsia="en-US"/>
        </w:rPr>
        <w:t xml:space="preserve">3. </w:t>
      </w:r>
      <w:r w:rsidRPr="00F94494">
        <w:rPr>
          <w:rFonts w:eastAsia="Calibri" w:cs="Sylfaen"/>
          <w:b w:val="0"/>
          <w:szCs w:val="22"/>
          <w:lang w:val="hy-AM" w:eastAsia="en-US"/>
        </w:rPr>
        <w:t>ռիսկերի հարաբերական հաշվեկշիռը՝ անհամաչափության գործակցի գնահատման նպատակով:</w:t>
      </w:r>
    </w:p>
    <w:p w:rsidR="003B5F66" w:rsidRPr="00F94494" w:rsidRDefault="003B5F66" w:rsidP="007730AA">
      <w:pPr>
        <w:pBdr>
          <w:top w:val="single" w:sz="4" w:space="0" w:color="auto"/>
          <w:left w:val="single" w:sz="4" w:space="4" w:color="auto"/>
          <w:bottom w:val="single" w:sz="4" w:space="1" w:color="auto"/>
          <w:right w:val="single" w:sz="4" w:space="4" w:color="auto"/>
        </w:pBdr>
        <w:shd w:val="clear" w:color="auto" w:fill="D9D9D9"/>
        <w:spacing w:before="0" w:line="276" w:lineRule="auto"/>
        <w:ind w:firstLine="720"/>
        <w:contextualSpacing w:val="0"/>
        <w:rPr>
          <w:rFonts w:eastAsia="Calibri"/>
          <w:b w:val="0"/>
          <w:szCs w:val="22"/>
          <w:lang w:val="hy-AM" w:eastAsia="en-US"/>
        </w:rPr>
      </w:pPr>
      <w:r w:rsidRPr="00F94494">
        <w:rPr>
          <w:rFonts w:eastAsia="Calibri" w:cs="Sylfaen"/>
          <w:b w:val="0"/>
          <w:szCs w:val="22"/>
          <w:lang w:val="hy-AM" w:eastAsia="en-US"/>
        </w:rPr>
        <w:t>Ունենալով կանխատեսված</w:t>
      </w:r>
      <w:r w:rsidRPr="00F94494">
        <w:rPr>
          <w:rFonts w:eastAsia="Calibri"/>
          <w:b w:val="0"/>
          <w:szCs w:val="22"/>
          <w:lang w:val="hy-AM" w:eastAsia="en-US"/>
        </w:rPr>
        <w:t xml:space="preserve"> կենտրոնական արժեքները, անորոշության չափը (ցրվածքը) և ռիսկերի հաշվեկշիռը` կառուցվել են իրական ՀՆԱ-ի և հարկերի կանխատեսումների հավանականային բաշխման գրաֆիկները 2021 թվականի համար (տես` Գծապատկեր 3.1):</w:t>
      </w:r>
    </w:p>
    <w:p w:rsidR="00E14DDE" w:rsidRPr="00E14DDE" w:rsidRDefault="003B5F66" w:rsidP="007730AA">
      <w:pPr>
        <w:pBdr>
          <w:top w:val="single" w:sz="4" w:space="0" w:color="auto"/>
          <w:left w:val="single" w:sz="4" w:space="4" w:color="auto"/>
          <w:bottom w:val="single" w:sz="4" w:space="1" w:color="auto"/>
          <w:right w:val="single" w:sz="4" w:space="4" w:color="auto"/>
        </w:pBdr>
        <w:shd w:val="clear" w:color="auto" w:fill="D9D9D9"/>
        <w:spacing w:before="0" w:line="276" w:lineRule="auto"/>
        <w:ind w:firstLine="720"/>
        <w:contextualSpacing w:val="0"/>
        <w:rPr>
          <w:rFonts w:eastAsia="Calibri"/>
          <w:b w:val="0"/>
          <w:szCs w:val="22"/>
          <w:lang w:val="hy-AM" w:eastAsia="en-US"/>
        </w:rPr>
      </w:pPr>
      <w:r w:rsidRPr="00F94494">
        <w:rPr>
          <w:rFonts w:eastAsia="Calibri" w:cs="Sylfaen"/>
          <w:b w:val="0"/>
          <w:szCs w:val="22"/>
          <w:lang w:val="hy-AM" w:eastAsia="en-US"/>
        </w:rPr>
        <w:t>ՀՆԱ-ի և հարկերի կանխատեսման գծապատկերներում կենտրոնական մուգ</w:t>
      </w:r>
      <w:r w:rsidRPr="00F94494">
        <w:rPr>
          <w:rFonts w:eastAsia="Calibri"/>
          <w:b w:val="0"/>
          <w:szCs w:val="22"/>
          <w:lang w:val="hy-AM" w:eastAsia="en-US"/>
        </w:rPr>
        <w:t xml:space="preserve"> (</w:t>
      </w:r>
      <w:r w:rsidRPr="00F94494">
        <w:rPr>
          <w:rFonts w:eastAsia="Calibri" w:cs="Sylfaen"/>
          <w:b w:val="0"/>
          <w:szCs w:val="22"/>
          <w:lang w:val="hy-AM" w:eastAsia="en-US"/>
        </w:rPr>
        <w:t>կարմիր)</w:t>
      </w:r>
      <w:r w:rsidRPr="00F94494">
        <w:rPr>
          <w:rFonts w:eastAsia="Calibri"/>
          <w:b w:val="0"/>
          <w:szCs w:val="22"/>
          <w:lang w:val="hy-AM" w:eastAsia="en-US"/>
        </w:rPr>
        <w:t xml:space="preserve"> ավելի նեղ </w:t>
      </w:r>
      <w:r w:rsidRPr="00F94494">
        <w:rPr>
          <w:rFonts w:eastAsia="Calibri" w:cs="Sylfaen"/>
          <w:b w:val="0"/>
          <w:szCs w:val="22"/>
          <w:lang w:val="hy-AM" w:eastAsia="en-US"/>
        </w:rPr>
        <w:t>միջակայքը ներառում է նաև</w:t>
      </w:r>
      <w:r w:rsidRPr="00F94494">
        <w:rPr>
          <w:rFonts w:eastAsia="Calibri"/>
          <w:b w:val="0"/>
          <w:szCs w:val="22"/>
          <w:lang w:val="hy-AM" w:eastAsia="en-US"/>
        </w:rPr>
        <w:t xml:space="preserve"> կանխատեսման </w:t>
      </w:r>
      <w:r w:rsidRPr="00F94494">
        <w:rPr>
          <w:rFonts w:eastAsia="Calibri" w:cs="Sylfaen"/>
          <w:b w:val="0"/>
          <w:szCs w:val="22"/>
          <w:lang w:val="hy-AM" w:eastAsia="en-US"/>
        </w:rPr>
        <w:t>կենտրոնական սցենարը</w:t>
      </w:r>
      <w:r w:rsidRPr="00F94494">
        <w:rPr>
          <w:rFonts w:eastAsia="Calibri"/>
          <w:b w:val="0"/>
          <w:szCs w:val="22"/>
          <w:lang w:val="hy-AM" w:eastAsia="en-US"/>
        </w:rPr>
        <w:t xml:space="preserve"> (</w:t>
      </w:r>
      <w:r w:rsidRPr="00F94494">
        <w:rPr>
          <w:rFonts w:eastAsia="Calibri" w:cs="Sylfaen"/>
          <w:b w:val="0"/>
          <w:szCs w:val="22"/>
          <w:lang w:val="hy-AM" w:eastAsia="en-US"/>
        </w:rPr>
        <w:t>կանխատեսված արժեքները</w:t>
      </w:r>
      <w:r w:rsidRPr="00F94494">
        <w:rPr>
          <w:rFonts w:eastAsia="Calibri"/>
          <w:b w:val="0"/>
          <w:szCs w:val="22"/>
          <w:lang w:val="hy-AM" w:eastAsia="en-US"/>
        </w:rPr>
        <w:t>): Որքան հավանականային կանխատեսումները հեռանում են կենտրոնական սցենարից, այնքան ավելի ցածր է դառնում դրանց իրագործման հավանականությունը, ինչը գծապատկերում արտահայտվում է ավելի թույլ գունավորմամբ: Ներկայացված բաշխումը սիմետրիկ չէ, քանի որ ապագայի համար առկա են տնտեսական աճի և հարկերի կենտրոնական կանխատեսումից ավելի ցածր մակարդակների ձևավորման ռիսկեր</w:t>
      </w:r>
      <w:r w:rsidR="00E14DDE" w:rsidRPr="00E14DDE">
        <w:rPr>
          <w:rFonts w:eastAsia="Calibri"/>
          <w:b w:val="0"/>
          <w:szCs w:val="22"/>
          <w:lang w:val="hy-AM" w:eastAsia="en-US"/>
        </w:rPr>
        <w:t>:</w:t>
      </w:r>
    </w:p>
    <w:p w:rsidR="00E14DDE" w:rsidRPr="00E14DDE" w:rsidRDefault="00E14DDE" w:rsidP="007730AA">
      <w:pPr>
        <w:spacing w:before="0" w:line="276" w:lineRule="auto"/>
        <w:ind w:firstLine="0"/>
        <w:contextualSpacing w:val="0"/>
        <w:rPr>
          <w:color w:val="44546A"/>
          <w:sz w:val="24"/>
          <w:lang w:val="hy-AM"/>
        </w:rPr>
      </w:pPr>
    </w:p>
    <w:p w:rsidR="00E14DDE" w:rsidRPr="00ED3452" w:rsidRDefault="00ED3452" w:rsidP="007730AA">
      <w:pPr>
        <w:spacing w:before="0" w:line="276" w:lineRule="auto"/>
        <w:ind w:firstLine="0"/>
        <w:contextualSpacing w:val="0"/>
        <w:rPr>
          <w:sz w:val="24"/>
          <w:lang w:val="hy-AM"/>
        </w:rPr>
      </w:pPr>
      <w:r w:rsidRPr="00ED3452">
        <w:rPr>
          <w:sz w:val="24"/>
          <w:lang w:val="hy-AM"/>
        </w:rPr>
        <w:t>2</w:t>
      </w:r>
      <w:r w:rsidR="00E14DDE" w:rsidRPr="00ED3452">
        <w:rPr>
          <w:sz w:val="24"/>
          <w:lang w:val="hy-AM"/>
        </w:rPr>
        <w:t>.2. Պետական բյուջեի վրա մակրոտնտեսական ցուցանիշների կանխատեսվածից շեղման ռիսկերի ազդեցության ընդհանուր գնահատականը և դրանց մեղմման հնարավորությունները</w:t>
      </w:r>
    </w:p>
    <w:p w:rsidR="00E14DDE" w:rsidRPr="00E14DDE" w:rsidRDefault="00E14DDE" w:rsidP="007730AA">
      <w:pPr>
        <w:spacing w:before="0" w:line="276" w:lineRule="auto"/>
        <w:ind w:firstLine="720"/>
        <w:contextualSpacing w:val="0"/>
        <w:rPr>
          <w:rFonts w:eastAsia="Calibri" w:cs="Sylfaen"/>
          <w:b w:val="0"/>
          <w:szCs w:val="22"/>
          <w:lang w:val="hy-AM" w:eastAsia="en-US"/>
        </w:rPr>
      </w:pPr>
      <w:r w:rsidRPr="00E14DDE">
        <w:rPr>
          <w:rFonts w:eastAsia="Calibri" w:cs="Sylfaen"/>
          <w:b w:val="0"/>
          <w:szCs w:val="22"/>
          <w:lang w:val="hy-AM" w:eastAsia="en-US"/>
        </w:rPr>
        <w:t>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w:t>
      </w:r>
    </w:p>
    <w:p w:rsidR="00E14DDE" w:rsidRPr="00E14DDE" w:rsidRDefault="00CF7820" w:rsidP="007730AA">
      <w:pPr>
        <w:pStyle w:val="Caption"/>
        <w:spacing w:before="0" w:after="0"/>
        <w:rPr>
          <w:rFonts w:eastAsia="Calibri" w:cs="Sylfaen"/>
          <w:b/>
          <w:i/>
          <w:sz w:val="20"/>
          <w:szCs w:val="20"/>
          <w:lang w:val="sk-SK" w:eastAsia="en-US"/>
        </w:rPr>
      </w:pPr>
      <w:bookmarkStart w:id="260" w:name="_Toc57631772"/>
      <w:r w:rsidRPr="00CF7820">
        <w:rPr>
          <w:lang w:val="hy-AM"/>
        </w:rPr>
        <w:t xml:space="preserve">Աղյուսակ </w:t>
      </w:r>
      <w:r w:rsidR="003C3925">
        <w:fldChar w:fldCharType="begin"/>
      </w:r>
      <w:r w:rsidRPr="00CF7820">
        <w:rPr>
          <w:lang w:val="hy-AM"/>
        </w:rPr>
        <w:instrText xml:space="preserve"> SEQ Աղյուսակ \* ARABIC </w:instrText>
      </w:r>
      <w:r w:rsidR="003C3925">
        <w:fldChar w:fldCharType="separate"/>
      </w:r>
      <w:r w:rsidR="007E790B">
        <w:rPr>
          <w:noProof/>
          <w:lang w:val="hy-AM"/>
        </w:rPr>
        <w:t>21</w:t>
      </w:r>
      <w:r w:rsidR="003C3925">
        <w:fldChar w:fldCharType="end"/>
      </w:r>
      <w:r>
        <w:rPr>
          <w:rFonts w:ascii="Cambria Math" w:hAnsi="Cambria Math"/>
          <w:lang w:val="hy-AM"/>
        </w:rPr>
        <w:t xml:space="preserve">․ </w:t>
      </w:r>
      <w:r w:rsidR="00E14DDE" w:rsidRPr="00E14DDE">
        <w:rPr>
          <w:rFonts w:eastAsia="Calibri"/>
          <w:b/>
          <w:i/>
          <w:sz w:val="20"/>
          <w:szCs w:val="20"/>
          <w:lang w:val="sk-SK" w:eastAsia="en-US"/>
        </w:rPr>
        <w:t xml:space="preserve">ՀՀ </w:t>
      </w:r>
      <w:r w:rsidR="00E14DDE" w:rsidRPr="00E14DDE">
        <w:rPr>
          <w:rFonts w:eastAsia="Calibri" w:cs="Sylfaen"/>
          <w:b/>
          <w:i/>
          <w:sz w:val="20"/>
          <w:szCs w:val="20"/>
          <w:lang w:val="hy-AM" w:eastAsia="en-US"/>
        </w:rPr>
        <w:t>պետական բյուջեի հարկային եկամուտների և ծախսերի, ինչպես նաև այլ հոսքերի գծով ռիսկերի ընդհանուր</w:t>
      </w:r>
      <w:r w:rsidR="00E14DDE" w:rsidRPr="00E14DDE">
        <w:rPr>
          <w:rFonts w:eastAsia="Calibri" w:cs="Sylfaen"/>
          <w:b/>
          <w:i/>
          <w:sz w:val="20"/>
          <w:szCs w:val="20"/>
          <w:lang w:val="sk-SK" w:eastAsia="en-US"/>
        </w:rPr>
        <w:t xml:space="preserve"> </w:t>
      </w:r>
      <w:r w:rsidR="00E14DDE" w:rsidRPr="00E14DDE">
        <w:rPr>
          <w:rFonts w:eastAsia="Calibri" w:cs="Sylfaen"/>
          <w:b/>
          <w:i/>
          <w:sz w:val="20"/>
          <w:szCs w:val="20"/>
          <w:lang w:val="hy-AM" w:eastAsia="en-US"/>
        </w:rPr>
        <w:t>ազդեցությունը</w:t>
      </w:r>
      <w:r w:rsidR="00E14DDE" w:rsidRPr="00E14DDE">
        <w:rPr>
          <w:rFonts w:eastAsia="Calibri" w:cs="Sylfaen"/>
          <w:b/>
          <w:i/>
          <w:sz w:val="20"/>
          <w:szCs w:val="20"/>
          <w:vertAlign w:val="superscript"/>
          <w:lang w:val="en-US" w:eastAsia="en-US"/>
        </w:rPr>
        <w:footnoteReference w:id="38"/>
      </w:r>
      <w:r w:rsidR="00E14DDE" w:rsidRPr="00E14DDE">
        <w:rPr>
          <w:rFonts w:eastAsia="Calibri" w:cs="Sylfaen"/>
          <w:b/>
          <w:i/>
          <w:sz w:val="20"/>
          <w:szCs w:val="20"/>
          <w:lang w:val="sk-SK" w:eastAsia="en-US"/>
        </w:rPr>
        <w:t>. (</w:t>
      </w:r>
      <w:r w:rsidR="00E14DDE" w:rsidRPr="00CF7820">
        <w:rPr>
          <w:rFonts w:eastAsia="Calibri" w:cs="Sylfaen"/>
          <w:b/>
          <w:i/>
          <w:sz w:val="20"/>
          <w:szCs w:val="20"/>
          <w:lang w:val="hy-AM" w:eastAsia="en-US"/>
        </w:rPr>
        <w:t>ֆ</w:t>
      </w:r>
      <w:r w:rsidR="00E14DDE" w:rsidRPr="00CF7820">
        <w:rPr>
          <w:rFonts w:eastAsia="Calibri"/>
          <w:b/>
          <w:bCs w:val="0"/>
          <w:i/>
          <w:sz w:val="20"/>
          <w:szCs w:val="20"/>
          <w:lang w:val="hy-AM" w:eastAsia="en-US"/>
        </w:rPr>
        <w:t>ինանսավորման</w:t>
      </w:r>
      <w:r w:rsidR="00E14DDE" w:rsidRPr="00E14DDE">
        <w:rPr>
          <w:rFonts w:eastAsia="Calibri"/>
          <w:b/>
          <w:bCs w:val="0"/>
          <w:i/>
          <w:sz w:val="20"/>
          <w:szCs w:val="20"/>
          <w:lang w:val="sk-SK" w:eastAsia="en-US"/>
        </w:rPr>
        <w:t xml:space="preserve"> </w:t>
      </w:r>
      <w:r w:rsidR="00E14DDE" w:rsidRPr="00CF7820">
        <w:rPr>
          <w:rFonts w:eastAsia="Calibri"/>
          <w:b/>
          <w:bCs w:val="0"/>
          <w:i/>
          <w:sz w:val="20"/>
          <w:szCs w:val="20"/>
          <w:lang w:val="hy-AM" w:eastAsia="en-US"/>
        </w:rPr>
        <w:t>պահանջ</w:t>
      </w:r>
      <w:r w:rsidR="00E14DDE" w:rsidRPr="00E14DDE">
        <w:rPr>
          <w:rFonts w:eastAsia="Calibri"/>
          <w:b/>
          <w:bCs w:val="0"/>
          <w:i/>
          <w:sz w:val="20"/>
          <w:szCs w:val="20"/>
          <w:lang w:val="sk-SK" w:eastAsia="en-US"/>
        </w:rPr>
        <w:t xml:space="preserve">` - </w:t>
      </w:r>
      <w:r w:rsidR="00E14DDE" w:rsidRPr="00CF7820">
        <w:rPr>
          <w:rFonts w:eastAsia="Calibri"/>
          <w:b/>
          <w:bCs w:val="0"/>
          <w:i/>
          <w:sz w:val="20"/>
          <w:szCs w:val="20"/>
          <w:lang w:val="hy-AM" w:eastAsia="en-US"/>
        </w:rPr>
        <w:t>պահանջի</w:t>
      </w:r>
      <w:r w:rsidR="00E14DDE" w:rsidRPr="00E14DDE">
        <w:rPr>
          <w:rFonts w:eastAsia="Calibri"/>
          <w:b/>
          <w:bCs w:val="0"/>
          <w:i/>
          <w:sz w:val="20"/>
          <w:szCs w:val="20"/>
          <w:lang w:val="sk-SK" w:eastAsia="en-US"/>
        </w:rPr>
        <w:t xml:space="preserve"> </w:t>
      </w:r>
      <w:r w:rsidR="00E14DDE" w:rsidRPr="00CF7820">
        <w:rPr>
          <w:rFonts w:eastAsia="Calibri"/>
          <w:b/>
          <w:bCs w:val="0"/>
          <w:i/>
          <w:sz w:val="20"/>
          <w:szCs w:val="20"/>
          <w:lang w:val="hy-AM" w:eastAsia="en-US"/>
        </w:rPr>
        <w:t>մեծացում</w:t>
      </w:r>
      <w:r w:rsidR="00E14DDE" w:rsidRPr="00E14DDE">
        <w:rPr>
          <w:rFonts w:eastAsia="Calibri"/>
          <w:b/>
          <w:bCs w:val="0"/>
          <w:i/>
          <w:sz w:val="20"/>
          <w:szCs w:val="20"/>
          <w:lang w:val="sk-SK" w:eastAsia="en-US"/>
        </w:rPr>
        <w:t xml:space="preserve">, + </w:t>
      </w:r>
      <w:r w:rsidR="00E14DDE" w:rsidRPr="00CF7820">
        <w:rPr>
          <w:rFonts w:eastAsia="Calibri"/>
          <w:b/>
          <w:bCs w:val="0"/>
          <w:i/>
          <w:sz w:val="20"/>
          <w:szCs w:val="20"/>
          <w:lang w:val="hy-AM" w:eastAsia="en-US"/>
        </w:rPr>
        <w:t>պահանջի</w:t>
      </w:r>
      <w:r w:rsidR="00E14DDE" w:rsidRPr="00E14DDE">
        <w:rPr>
          <w:rFonts w:eastAsia="Calibri"/>
          <w:b/>
          <w:bCs w:val="0"/>
          <w:i/>
          <w:sz w:val="20"/>
          <w:szCs w:val="20"/>
          <w:lang w:val="sk-SK" w:eastAsia="en-US"/>
        </w:rPr>
        <w:t xml:space="preserve"> </w:t>
      </w:r>
      <w:r w:rsidR="00E14DDE" w:rsidRPr="00CF7820">
        <w:rPr>
          <w:rFonts w:eastAsia="Calibri"/>
          <w:b/>
          <w:bCs w:val="0"/>
          <w:i/>
          <w:sz w:val="20"/>
          <w:szCs w:val="20"/>
          <w:lang w:val="hy-AM" w:eastAsia="en-US"/>
        </w:rPr>
        <w:t>նվազում</w:t>
      </w:r>
      <w:r w:rsidR="00E14DDE" w:rsidRPr="00E14DDE">
        <w:rPr>
          <w:rFonts w:eastAsia="Calibri" w:cs="Sylfaen"/>
          <w:b/>
          <w:i/>
          <w:sz w:val="20"/>
          <w:szCs w:val="20"/>
          <w:lang w:val="sk-SK" w:eastAsia="en-US"/>
        </w:rPr>
        <w:t xml:space="preserve">), </w:t>
      </w:r>
      <w:r w:rsidR="00E14DDE" w:rsidRPr="00CF7820">
        <w:rPr>
          <w:rFonts w:eastAsia="Calibri" w:cs="Sylfaen"/>
          <w:b/>
          <w:i/>
          <w:sz w:val="20"/>
          <w:szCs w:val="20"/>
          <w:lang w:val="hy-AM" w:eastAsia="en-US"/>
        </w:rPr>
        <w:t>մլրդ</w:t>
      </w:r>
      <w:r w:rsidR="00E14DDE" w:rsidRPr="00E14DDE">
        <w:rPr>
          <w:rFonts w:eastAsia="Calibri" w:cs="Sylfaen"/>
          <w:b/>
          <w:i/>
          <w:sz w:val="20"/>
          <w:szCs w:val="20"/>
          <w:lang w:val="sk-SK" w:eastAsia="en-US"/>
        </w:rPr>
        <w:t xml:space="preserve"> </w:t>
      </w:r>
      <w:r w:rsidR="00E14DDE" w:rsidRPr="00CF7820">
        <w:rPr>
          <w:rFonts w:eastAsia="Calibri" w:cs="Sylfaen"/>
          <w:b/>
          <w:i/>
          <w:sz w:val="20"/>
          <w:szCs w:val="20"/>
          <w:lang w:val="hy-AM" w:eastAsia="en-US"/>
        </w:rPr>
        <w:t>ՀՀ</w:t>
      </w:r>
      <w:r w:rsidR="00E14DDE" w:rsidRPr="00E14DDE">
        <w:rPr>
          <w:rFonts w:eastAsia="Calibri" w:cs="Sylfaen"/>
          <w:b/>
          <w:i/>
          <w:sz w:val="20"/>
          <w:szCs w:val="20"/>
          <w:lang w:val="sk-SK" w:eastAsia="en-US"/>
        </w:rPr>
        <w:t xml:space="preserve"> </w:t>
      </w:r>
      <w:r w:rsidR="00E14DDE" w:rsidRPr="00CF7820">
        <w:rPr>
          <w:rFonts w:eastAsia="Calibri" w:cs="Sylfaen"/>
          <w:b/>
          <w:i/>
          <w:sz w:val="20"/>
          <w:szCs w:val="20"/>
          <w:lang w:val="hy-AM" w:eastAsia="en-US"/>
        </w:rPr>
        <w:t>դրամ</w:t>
      </w:r>
      <w:bookmarkEnd w:id="260"/>
    </w:p>
    <w:tbl>
      <w:tblPr>
        <w:tblW w:w="9090" w:type="dxa"/>
        <w:tblInd w:w="440" w:type="dxa"/>
        <w:tblLook w:val="04A0" w:firstRow="1" w:lastRow="0" w:firstColumn="1" w:lastColumn="0" w:noHBand="0" w:noVBand="1"/>
      </w:tblPr>
      <w:tblGrid>
        <w:gridCol w:w="8010"/>
        <w:gridCol w:w="1080"/>
      </w:tblGrid>
      <w:tr w:rsidR="00E14DDE" w:rsidRPr="00E14DDE" w:rsidTr="00BD3813">
        <w:trPr>
          <w:trHeight w:val="735"/>
        </w:trPr>
        <w:tc>
          <w:tcPr>
            <w:tcW w:w="8010" w:type="dxa"/>
            <w:tcBorders>
              <w:top w:val="nil"/>
              <w:left w:val="single" w:sz="8" w:space="0" w:color="BDD6EE"/>
              <w:bottom w:val="single" w:sz="8" w:space="0" w:color="BDD6EE"/>
              <w:right w:val="single" w:sz="8" w:space="0" w:color="BDD6EE"/>
            </w:tcBorders>
            <w:shd w:val="clear" w:color="000000" w:fill="5B9BD5"/>
            <w:vAlign w:val="center"/>
            <w:hideMark/>
          </w:tcPr>
          <w:p w:rsidR="00E14DDE" w:rsidRPr="00E14DDE" w:rsidRDefault="00E14DDE" w:rsidP="007730AA">
            <w:pPr>
              <w:spacing w:before="0" w:line="240" w:lineRule="auto"/>
              <w:ind w:firstLine="0"/>
              <w:contextualSpacing w:val="0"/>
              <w:jc w:val="center"/>
              <w:rPr>
                <w:bCs/>
                <w:color w:val="FFFFFF"/>
                <w:szCs w:val="22"/>
                <w:lang w:val="en-US" w:eastAsia="en-US"/>
              </w:rPr>
            </w:pPr>
            <w:r w:rsidRPr="00E14DDE">
              <w:rPr>
                <w:bCs/>
                <w:color w:val="FFFFFF"/>
                <w:szCs w:val="22"/>
                <w:lang w:val="en-US" w:eastAsia="en-US"/>
              </w:rPr>
              <w:t>Մակրոտնտեսական ցուցանիշների կանխատեսվող ռիսկեր</w:t>
            </w:r>
          </w:p>
        </w:tc>
        <w:tc>
          <w:tcPr>
            <w:tcW w:w="1080" w:type="dxa"/>
            <w:tcBorders>
              <w:top w:val="nil"/>
              <w:left w:val="nil"/>
              <w:bottom w:val="single" w:sz="8" w:space="0" w:color="BDD6EE"/>
              <w:right w:val="single" w:sz="8" w:space="0" w:color="BDD6EE"/>
            </w:tcBorders>
            <w:shd w:val="clear" w:color="000000" w:fill="5B9BD5"/>
            <w:vAlign w:val="center"/>
            <w:hideMark/>
          </w:tcPr>
          <w:p w:rsidR="00E14DDE" w:rsidRPr="00BD3813" w:rsidRDefault="00E14DDE" w:rsidP="007730AA">
            <w:pPr>
              <w:spacing w:before="0" w:line="240" w:lineRule="auto"/>
              <w:ind w:firstLine="0"/>
              <w:contextualSpacing w:val="0"/>
              <w:jc w:val="center"/>
              <w:rPr>
                <w:bCs/>
                <w:color w:val="FFFFFF"/>
                <w:szCs w:val="22"/>
                <w:lang w:eastAsia="en-US"/>
              </w:rPr>
            </w:pPr>
            <w:r w:rsidRPr="00E14DDE">
              <w:rPr>
                <w:bCs/>
                <w:color w:val="FFFFFF"/>
                <w:szCs w:val="22"/>
                <w:lang w:val="en-US" w:eastAsia="en-US"/>
              </w:rPr>
              <w:t>2021</w:t>
            </w:r>
            <w:r w:rsidR="00BD3813">
              <w:rPr>
                <w:bCs/>
                <w:color w:val="FFFFFF"/>
                <w:szCs w:val="22"/>
                <w:lang w:eastAsia="en-US"/>
              </w:rPr>
              <w:t>թ.</w:t>
            </w:r>
          </w:p>
        </w:tc>
      </w:tr>
      <w:tr w:rsidR="003B5F66" w:rsidRPr="00E14DDE" w:rsidTr="00BD3813">
        <w:trPr>
          <w:trHeight w:val="448"/>
        </w:trPr>
        <w:tc>
          <w:tcPr>
            <w:tcW w:w="8010" w:type="dxa"/>
            <w:tcBorders>
              <w:top w:val="nil"/>
              <w:left w:val="single" w:sz="8" w:space="0" w:color="BDD6EE"/>
              <w:bottom w:val="single" w:sz="8" w:space="0" w:color="BDD6EE"/>
              <w:right w:val="single" w:sz="8" w:space="0" w:color="BDD6EE"/>
            </w:tcBorders>
            <w:shd w:val="clear" w:color="auto" w:fill="auto"/>
            <w:vAlign w:val="center"/>
            <w:hideMark/>
          </w:tcPr>
          <w:p w:rsidR="003B5F66" w:rsidRPr="0021231F" w:rsidRDefault="003B5F66" w:rsidP="007730AA">
            <w:pPr>
              <w:spacing w:before="0" w:line="240" w:lineRule="auto"/>
              <w:ind w:firstLine="0"/>
              <w:contextualSpacing w:val="0"/>
              <w:jc w:val="left"/>
              <w:rPr>
                <w:b w:val="0"/>
                <w:color w:val="000000"/>
                <w:szCs w:val="22"/>
                <w:lang w:eastAsia="en-US"/>
              </w:rPr>
            </w:pPr>
            <w:r w:rsidRPr="0021231F">
              <w:rPr>
                <w:b w:val="0"/>
                <w:color w:val="000000"/>
                <w:szCs w:val="22"/>
                <w:lang w:eastAsia="en-US"/>
              </w:rPr>
              <w:t xml:space="preserve">1. </w:t>
            </w:r>
            <w:r w:rsidRPr="00E14DDE">
              <w:rPr>
                <w:b w:val="0"/>
                <w:color w:val="000000"/>
                <w:szCs w:val="22"/>
                <w:lang w:val="en-US" w:eastAsia="en-US"/>
              </w:rPr>
              <w:t>Կանխատեսվածից</w:t>
            </w:r>
            <w:r w:rsidRPr="0021231F">
              <w:rPr>
                <w:b w:val="0"/>
                <w:color w:val="000000"/>
                <w:szCs w:val="22"/>
                <w:lang w:eastAsia="en-US"/>
              </w:rPr>
              <w:t xml:space="preserve"> 1.9 </w:t>
            </w:r>
            <w:r w:rsidRPr="00E14DDE">
              <w:rPr>
                <w:b w:val="0"/>
                <w:color w:val="000000"/>
                <w:szCs w:val="22"/>
                <w:lang w:val="en-US" w:eastAsia="en-US"/>
              </w:rPr>
              <w:t>տոկոսային</w:t>
            </w:r>
            <w:r w:rsidRPr="0021231F">
              <w:rPr>
                <w:b w:val="0"/>
                <w:color w:val="000000"/>
                <w:szCs w:val="22"/>
                <w:lang w:eastAsia="en-US"/>
              </w:rPr>
              <w:t xml:space="preserve"> </w:t>
            </w:r>
            <w:r w:rsidRPr="00E14DDE">
              <w:rPr>
                <w:b w:val="0"/>
                <w:color w:val="000000"/>
                <w:szCs w:val="22"/>
                <w:lang w:val="en-US" w:eastAsia="en-US"/>
              </w:rPr>
              <w:t>կետով</w:t>
            </w:r>
            <w:r w:rsidRPr="0021231F">
              <w:rPr>
                <w:b w:val="0"/>
                <w:color w:val="000000"/>
                <w:szCs w:val="22"/>
                <w:lang w:eastAsia="en-US"/>
              </w:rPr>
              <w:t xml:space="preserve"> </w:t>
            </w:r>
            <w:r w:rsidRPr="00E14DDE">
              <w:rPr>
                <w:b w:val="0"/>
                <w:color w:val="000000"/>
                <w:szCs w:val="22"/>
                <w:lang w:val="en-US" w:eastAsia="en-US"/>
              </w:rPr>
              <w:t>ավելի</w:t>
            </w:r>
            <w:r w:rsidRPr="0021231F">
              <w:rPr>
                <w:b w:val="0"/>
                <w:color w:val="000000"/>
                <w:szCs w:val="22"/>
                <w:lang w:eastAsia="en-US"/>
              </w:rPr>
              <w:t xml:space="preserve"> </w:t>
            </w:r>
            <w:r w:rsidRPr="00E14DDE">
              <w:rPr>
                <w:b w:val="0"/>
                <w:color w:val="000000"/>
                <w:szCs w:val="22"/>
                <w:lang w:val="en-US" w:eastAsia="en-US"/>
              </w:rPr>
              <w:t>ցածր</w:t>
            </w:r>
            <w:r w:rsidRPr="0021231F">
              <w:rPr>
                <w:b w:val="0"/>
                <w:color w:val="000000"/>
                <w:szCs w:val="22"/>
                <w:lang w:eastAsia="en-US"/>
              </w:rPr>
              <w:t xml:space="preserve"> </w:t>
            </w:r>
            <w:r w:rsidRPr="00E14DDE">
              <w:rPr>
                <w:b w:val="0"/>
                <w:color w:val="000000"/>
                <w:szCs w:val="22"/>
                <w:lang w:val="en-US" w:eastAsia="en-US"/>
              </w:rPr>
              <w:t>իրական</w:t>
            </w:r>
            <w:r w:rsidRPr="0021231F">
              <w:rPr>
                <w:b w:val="0"/>
                <w:color w:val="000000"/>
                <w:szCs w:val="22"/>
                <w:lang w:eastAsia="en-US"/>
              </w:rPr>
              <w:t xml:space="preserve"> </w:t>
            </w:r>
            <w:r w:rsidRPr="00E14DDE">
              <w:rPr>
                <w:b w:val="0"/>
                <w:color w:val="000000"/>
                <w:szCs w:val="22"/>
                <w:lang w:val="en-US" w:eastAsia="en-US"/>
              </w:rPr>
              <w:t>ՀՆԱ</w:t>
            </w:r>
            <w:r w:rsidRPr="0021231F">
              <w:rPr>
                <w:b w:val="0"/>
                <w:color w:val="000000"/>
                <w:szCs w:val="22"/>
                <w:lang w:eastAsia="en-US"/>
              </w:rPr>
              <w:t>-</w:t>
            </w:r>
            <w:r w:rsidRPr="00E14DDE">
              <w:rPr>
                <w:b w:val="0"/>
                <w:color w:val="000000"/>
                <w:szCs w:val="22"/>
                <w:lang w:val="en-US" w:eastAsia="en-US"/>
              </w:rPr>
              <w:t>ի</w:t>
            </w:r>
            <w:r w:rsidRPr="0021231F">
              <w:rPr>
                <w:b w:val="0"/>
                <w:color w:val="000000"/>
                <w:szCs w:val="22"/>
                <w:lang w:eastAsia="en-US"/>
              </w:rPr>
              <w:t xml:space="preserve"> </w:t>
            </w:r>
            <w:r w:rsidRPr="00E14DDE">
              <w:rPr>
                <w:b w:val="0"/>
                <w:color w:val="000000"/>
                <w:szCs w:val="22"/>
                <w:lang w:val="en-US" w:eastAsia="en-US"/>
              </w:rPr>
              <w:t>աճ</w:t>
            </w:r>
          </w:p>
        </w:tc>
        <w:tc>
          <w:tcPr>
            <w:tcW w:w="1080" w:type="dxa"/>
            <w:tcBorders>
              <w:top w:val="nil"/>
              <w:left w:val="nil"/>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center"/>
              <w:rPr>
                <w:b w:val="0"/>
                <w:color w:val="000000"/>
                <w:szCs w:val="22"/>
                <w:lang w:val="en-US" w:eastAsia="en-US"/>
              </w:rPr>
            </w:pPr>
            <w:r w:rsidRPr="00F94494">
              <w:rPr>
                <w:b w:val="0"/>
                <w:color w:val="000000"/>
                <w:szCs w:val="22"/>
                <w:lang w:val="hy-AM" w:eastAsia="en-US"/>
              </w:rPr>
              <w:t>-9.2</w:t>
            </w:r>
          </w:p>
        </w:tc>
      </w:tr>
      <w:tr w:rsidR="003B5F66" w:rsidRPr="00E14DDE" w:rsidTr="00BD3813">
        <w:trPr>
          <w:trHeight w:val="439"/>
        </w:trPr>
        <w:tc>
          <w:tcPr>
            <w:tcW w:w="8010" w:type="dxa"/>
            <w:tcBorders>
              <w:top w:val="nil"/>
              <w:left w:val="single" w:sz="8" w:space="0" w:color="BDD6EE"/>
              <w:bottom w:val="single" w:sz="8" w:space="0" w:color="BDD6EE"/>
              <w:right w:val="single" w:sz="8" w:space="0" w:color="BDD6EE"/>
            </w:tcBorders>
            <w:shd w:val="clear" w:color="auto" w:fill="auto"/>
            <w:vAlign w:val="center"/>
            <w:hideMark/>
          </w:tcPr>
          <w:p w:rsidR="003B5F66" w:rsidRPr="0021231F" w:rsidRDefault="003B5F66" w:rsidP="007730AA">
            <w:pPr>
              <w:spacing w:before="0" w:line="240" w:lineRule="auto"/>
              <w:ind w:firstLine="0"/>
              <w:contextualSpacing w:val="0"/>
              <w:jc w:val="left"/>
              <w:rPr>
                <w:b w:val="0"/>
                <w:color w:val="000000"/>
                <w:szCs w:val="22"/>
                <w:lang w:eastAsia="en-US"/>
              </w:rPr>
            </w:pPr>
            <w:r w:rsidRPr="0021231F">
              <w:rPr>
                <w:b w:val="0"/>
                <w:color w:val="000000"/>
                <w:szCs w:val="22"/>
                <w:lang w:eastAsia="en-US"/>
              </w:rPr>
              <w:t xml:space="preserve">2. 1.5 </w:t>
            </w:r>
            <w:r w:rsidRPr="00E14DDE">
              <w:rPr>
                <w:b w:val="0"/>
                <w:color w:val="000000"/>
                <w:szCs w:val="22"/>
                <w:lang w:val="en-US" w:eastAsia="en-US"/>
              </w:rPr>
              <w:t>տոկոսային</w:t>
            </w:r>
            <w:r w:rsidRPr="0021231F">
              <w:rPr>
                <w:b w:val="0"/>
                <w:color w:val="000000"/>
                <w:szCs w:val="22"/>
                <w:lang w:eastAsia="en-US"/>
              </w:rPr>
              <w:t xml:space="preserve"> </w:t>
            </w:r>
            <w:r w:rsidRPr="00E14DDE">
              <w:rPr>
                <w:b w:val="0"/>
                <w:color w:val="000000"/>
                <w:szCs w:val="22"/>
                <w:lang w:val="en-US" w:eastAsia="en-US"/>
              </w:rPr>
              <w:t>կետով</w:t>
            </w:r>
            <w:r w:rsidRPr="0021231F">
              <w:rPr>
                <w:b w:val="0"/>
                <w:color w:val="000000"/>
                <w:szCs w:val="22"/>
                <w:lang w:eastAsia="en-US"/>
              </w:rPr>
              <w:t xml:space="preserve"> </w:t>
            </w:r>
            <w:r w:rsidRPr="00E14DDE">
              <w:rPr>
                <w:b w:val="0"/>
                <w:color w:val="000000"/>
                <w:szCs w:val="22"/>
                <w:lang w:val="en-US" w:eastAsia="en-US"/>
              </w:rPr>
              <w:t>ավելի</w:t>
            </w:r>
            <w:r w:rsidRPr="0021231F">
              <w:rPr>
                <w:b w:val="0"/>
                <w:color w:val="000000"/>
                <w:szCs w:val="22"/>
                <w:lang w:eastAsia="en-US"/>
              </w:rPr>
              <w:t xml:space="preserve"> </w:t>
            </w:r>
            <w:r w:rsidRPr="00E14DDE">
              <w:rPr>
                <w:b w:val="0"/>
                <w:color w:val="000000"/>
                <w:szCs w:val="22"/>
                <w:lang w:val="en-US" w:eastAsia="en-US"/>
              </w:rPr>
              <w:t>ցածր</w:t>
            </w:r>
            <w:r w:rsidRPr="0021231F">
              <w:rPr>
                <w:b w:val="0"/>
                <w:color w:val="000000"/>
                <w:szCs w:val="22"/>
                <w:lang w:eastAsia="en-US"/>
              </w:rPr>
              <w:t xml:space="preserve"> </w:t>
            </w:r>
            <w:r w:rsidRPr="00E14DDE">
              <w:rPr>
                <w:b w:val="0"/>
                <w:color w:val="000000"/>
                <w:szCs w:val="22"/>
                <w:lang w:val="en-US" w:eastAsia="en-US"/>
              </w:rPr>
              <w:t>գնաճի</w:t>
            </w:r>
            <w:r w:rsidRPr="0021231F">
              <w:rPr>
                <w:b w:val="0"/>
                <w:color w:val="000000"/>
                <w:szCs w:val="22"/>
                <w:lang w:eastAsia="en-US"/>
              </w:rPr>
              <w:t xml:space="preserve"> </w:t>
            </w:r>
            <w:r w:rsidRPr="00E14DDE">
              <w:rPr>
                <w:b w:val="0"/>
                <w:color w:val="000000"/>
                <w:szCs w:val="22"/>
                <w:lang w:val="en-US" w:eastAsia="en-US"/>
              </w:rPr>
              <w:t>ռիսկ</w:t>
            </w:r>
          </w:p>
        </w:tc>
        <w:tc>
          <w:tcPr>
            <w:tcW w:w="1080" w:type="dxa"/>
            <w:tcBorders>
              <w:top w:val="nil"/>
              <w:left w:val="nil"/>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center"/>
              <w:rPr>
                <w:b w:val="0"/>
                <w:color w:val="000000"/>
                <w:szCs w:val="22"/>
                <w:lang w:val="hy-AM" w:eastAsia="en-US"/>
              </w:rPr>
            </w:pPr>
            <w:r w:rsidRPr="00F94494">
              <w:rPr>
                <w:b w:val="0"/>
                <w:color w:val="000000"/>
                <w:szCs w:val="22"/>
                <w:lang w:val="hy-AM" w:eastAsia="en-US"/>
              </w:rPr>
              <w:t>3.3</w:t>
            </w:r>
          </w:p>
        </w:tc>
      </w:tr>
      <w:tr w:rsidR="003B5F66" w:rsidRPr="00E14DDE" w:rsidTr="00BD3813">
        <w:trPr>
          <w:trHeight w:val="430"/>
        </w:trPr>
        <w:tc>
          <w:tcPr>
            <w:tcW w:w="8010" w:type="dxa"/>
            <w:tcBorders>
              <w:top w:val="nil"/>
              <w:left w:val="single" w:sz="8" w:space="0" w:color="BDD6EE"/>
              <w:bottom w:val="single" w:sz="8" w:space="0" w:color="BDD6EE"/>
              <w:right w:val="single" w:sz="8" w:space="0" w:color="BDD6EE"/>
            </w:tcBorders>
            <w:shd w:val="clear" w:color="auto" w:fill="auto"/>
            <w:vAlign w:val="center"/>
            <w:hideMark/>
          </w:tcPr>
          <w:p w:rsidR="003B5F66" w:rsidRPr="0021231F" w:rsidRDefault="003B5F66" w:rsidP="007730AA">
            <w:pPr>
              <w:spacing w:before="0" w:line="240" w:lineRule="auto"/>
              <w:ind w:firstLine="0"/>
              <w:contextualSpacing w:val="0"/>
              <w:jc w:val="left"/>
              <w:rPr>
                <w:b w:val="0"/>
                <w:color w:val="000000"/>
                <w:szCs w:val="22"/>
                <w:lang w:eastAsia="en-US"/>
              </w:rPr>
            </w:pPr>
            <w:r w:rsidRPr="0021231F">
              <w:rPr>
                <w:b w:val="0"/>
                <w:color w:val="000000"/>
                <w:szCs w:val="22"/>
                <w:lang w:eastAsia="en-US"/>
              </w:rPr>
              <w:t xml:space="preserve">3. </w:t>
            </w:r>
            <w:r w:rsidRPr="00E14DDE">
              <w:rPr>
                <w:b w:val="0"/>
                <w:color w:val="000000"/>
                <w:szCs w:val="22"/>
                <w:lang w:val="en-US" w:eastAsia="en-US"/>
              </w:rPr>
              <w:t>Փոխարժեքի</w:t>
            </w:r>
            <w:r w:rsidRPr="0021231F">
              <w:rPr>
                <w:b w:val="0"/>
                <w:color w:val="000000"/>
                <w:szCs w:val="22"/>
                <w:lang w:eastAsia="en-US"/>
              </w:rPr>
              <w:t xml:space="preserve"> </w:t>
            </w:r>
            <w:r w:rsidRPr="00E14DDE">
              <w:rPr>
                <w:b w:val="0"/>
                <w:color w:val="000000"/>
                <w:szCs w:val="22"/>
                <w:lang w:val="en-US" w:eastAsia="en-US"/>
              </w:rPr>
              <w:t>առավելագույնը</w:t>
            </w:r>
            <w:r w:rsidRPr="0021231F">
              <w:rPr>
                <w:b w:val="0"/>
                <w:color w:val="000000"/>
                <w:szCs w:val="22"/>
                <w:lang w:eastAsia="en-US"/>
              </w:rPr>
              <w:t xml:space="preserve"> 5.0 </w:t>
            </w:r>
            <w:r w:rsidRPr="00E14DDE">
              <w:rPr>
                <w:b w:val="0"/>
                <w:color w:val="000000"/>
                <w:szCs w:val="22"/>
                <w:lang w:val="en-US" w:eastAsia="en-US"/>
              </w:rPr>
              <w:t>տոկոսով</w:t>
            </w:r>
            <w:r w:rsidRPr="0021231F">
              <w:rPr>
                <w:b w:val="0"/>
                <w:color w:val="000000"/>
                <w:szCs w:val="22"/>
                <w:lang w:eastAsia="en-US"/>
              </w:rPr>
              <w:t xml:space="preserve"> </w:t>
            </w:r>
            <w:r w:rsidRPr="00E14DDE">
              <w:rPr>
                <w:b w:val="0"/>
                <w:color w:val="000000"/>
                <w:szCs w:val="22"/>
                <w:lang w:val="en-US" w:eastAsia="en-US"/>
              </w:rPr>
              <w:t>արժեզրկման</w:t>
            </w:r>
            <w:r w:rsidRPr="0021231F">
              <w:rPr>
                <w:b w:val="0"/>
                <w:color w:val="000000"/>
                <w:szCs w:val="22"/>
                <w:lang w:eastAsia="en-US"/>
              </w:rPr>
              <w:t xml:space="preserve"> </w:t>
            </w:r>
            <w:r w:rsidRPr="00E14DDE">
              <w:rPr>
                <w:b w:val="0"/>
                <w:color w:val="000000"/>
                <w:szCs w:val="22"/>
                <w:lang w:val="en-US" w:eastAsia="en-US"/>
              </w:rPr>
              <w:t>ռիսկ</w:t>
            </w:r>
          </w:p>
        </w:tc>
        <w:tc>
          <w:tcPr>
            <w:tcW w:w="1080" w:type="dxa"/>
            <w:tcBorders>
              <w:top w:val="nil"/>
              <w:left w:val="nil"/>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center"/>
              <w:rPr>
                <w:b w:val="0"/>
                <w:color w:val="000000"/>
                <w:szCs w:val="22"/>
                <w:lang w:val="en-US" w:eastAsia="en-US"/>
              </w:rPr>
            </w:pPr>
            <w:r w:rsidRPr="00F94494">
              <w:rPr>
                <w:b w:val="0"/>
                <w:color w:val="000000"/>
                <w:szCs w:val="22"/>
                <w:lang w:val="hy-AM" w:eastAsia="en-US"/>
              </w:rPr>
              <w:t>7.4</w:t>
            </w:r>
          </w:p>
        </w:tc>
      </w:tr>
      <w:tr w:rsidR="003B5F66" w:rsidRPr="00E14DDE" w:rsidTr="00BD3813">
        <w:trPr>
          <w:trHeight w:val="430"/>
        </w:trPr>
        <w:tc>
          <w:tcPr>
            <w:tcW w:w="8010" w:type="dxa"/>
            <w:tcBorders>
              <w:top w:val="nil"/>
              <w:left w:val="single" w:sz="8" w:space="0" w:color="BDD6EE"/>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left"/>
              <w:rPr>
                <w:b w:val="0"/>
                <w:color w:val="000000"/>
                <w:szCs w:val="22"/>
                <w:lang w:val="en-US" w:eastAsia="en-US"/>
              </w:rPr>
            </w:pPr>
            <w:r w:rsidRPr="00E14DDE">
              <w:rPr>
                <w:b w:val="0"/>
                <w:color w:val="000000"/>
                <w:szCs w:val="22"/>
                <w:lang w:val="en-US" w:eastAsia="en-US"/>
              </w:rPr>
              <w:t>4. Ներմուծման 10.4 տոկոսով նվազման ռիսկ</w:t>
            </w:r>
          </w:p>
        </w:tc>
        <w:tc>
          <w:tcPr>
            <w:tcW w:w="1080" w:type="dxa"/>
            <w:tcBorders>
              <w:top w:val="nil"/>
              <w:left w:val="nil"/>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center"/>
              <w:rPr>
                <w:b w:val="0"/>
                <w:color w:val="000000"/>
                <w:szCs w:val="22"/>
                <w:lang w:val="en-US" w:eastAsia="en-US"/>
              </w:rPr>
            </w:pPr>
            <w:r w:rsidRPr="00F94494">
              <w:rPr>
                <w:b w:val="0"/>
                <w:color w:val="000000"/>
                <w:szCs w:val="22"/>
                <w:lang w:val="hy-AM" w:eastAsia="en-US"/>
              </w:rPr>
              <w:t>-16.7</w:t>
            </w:r>
          </w:p>
        </w:tc>
      </w:tr>
      <w:tr w:rsidR="003B5F66" w:rsidRPr="00E14DDE" w:rsidTr="00BD3813">
        <w:trPr>
          <w:trHeight w:val="520"/>
        </w:trPr>
        <w:tc>
          <w:tcPr>
            <w:tcW w:w="8010" w:type="dxa"/>
            <w:tcBorders>
              <w:top w:val="nil"/>
              <w:left w:val="single" w:sz="8" w:space="0" w:color="BDD6EE"/>
              <w:bottom w:val="single" w:sz="8" w:space="0" w:color="BDD6EE"/>
              <w:right w:val="single" w:sz="8" w:space="0" w:color="BDD6EE"/>
            </w:tcBorders>
            <w:shd w:val="clear" w:color="auto" w:fill="auto"/>
            <w:vAlign w:val="center"/>
            <w:hideMark/>
          </w:tcPr>
          <w:p w:rsidR="003B5F66" w:rsidRPr="0021231F" w:rsidRDefault="003B5F66" w:rsidP="007730AA">
            <w:pPr>
              <w:spacing w:before="0" w:line="240" w:lineRule="auto"/>
              <w:ind w:firstLine="0"/>
              <w:contextualSpacing w:val="0"/>
              <w:jc w:val="left"/>
              <w:rPr>
                <w:b w:val="0"/>
                <w:color w:val="000000"/>
                <w:szCs w:val="22"/>
                <w:lang w:eastAsia="en-US"/>
              </w:rPr>
            </w:pPr>
            <w:r w:rsidRPr="0021231F">
              <w:rPr>
                <w:b w:val="0"/>
                <w:color w:val="000000"/>
                <w:szCs w:val="22"/>
                <w:lang w:eastAsia="en-US"/>
              </w:rPr>
              <w:t xml:space="preserve">5. </w:t>
            </w:r>
            <w:r w:rsidRPr="00E14DDE">
              <w:rPr>
                <w:b w:val="0"/>
                <w:color w:val="000000"/>
                <w:szCs w:val="22"/>
                <w:lang w:val="en-US" w:eastAsia="en-US"/>
              </w:rPr>
              <w:t>ԵՄ</w:t>
            </w:r>
            <w:r w:rsidRPr="0021231F">
              <w:rPr>
                <w:b w:val="0"/>
                <w:color w:val="000000"/>
                <w:szCs w:val="22"/>
                <w:lang w:eastAsia="en-US"/>
              </w:rPr>
              <w:t xml:space="preserve"> </w:t>
            </w:r>
            <w:r w:rsidRPr="00E14DDE">
              <w:rPr>
                <w:b w:val="0"/>
                <w:color w:val="000000"/>
                <w:szCs w:val="22"/>
                <w:lang w:val="en-US" w:eastAsia="en-US"/>
              </w:rPr>
              <w:t>բյուջետային</w:t>
            </w:r>
            <w:r w:rsidRPr="0021231F">
              <w:rPr>
                <w:b w:val="0"/>
                <w:color w:val="000000"/>
                <w:szCs w:val="22"/>
                <w:lang w:eastAsia="en-US"/>
              </w:rPr>
              <w:t xml:space="preserve"> </w:t>
            </w:r>
            <w:r w:rsidRPr="00E14DDE">
              <w:rPr>
                <w:b w:val="0"/>
                <w:color w:val="000000"/>
                <w:szCs w:val="22"/>
                <w:lang w:val="en-US" w:eastAsia="en-US"/>
              </w:rPr>
              <w:t>աջակցության</w:t>
            </w:r>
            <w:r w:rsidRPr="0021231F">
              <w:rPr>
                <w:b w:val="0"/>
                <w:color w:val="000000"/>
                <w:szCs w:val="22"/>
                <w:lang w:eastAsia="en-US"/>
              </w:rPr>
              <w:t xml:space="preserve"> </w:t>
            </w:r>
            <w:r w:rsidRPr="00E14DDE">
              <w:rPr>
                <w:b w:val="0"/>
                <w:color w:val="000000"/>
                <w:szCs w:val="22"/>
                <w:lang w:val="en-US" w:eastAsia="en-US"/>
              </w:rPr>
              <w:t>դրամաշնորհների</w:t>
            </w:r>
            <w:r w:rsidRPr="0021231F">
              <w:rPr>
                <w:b w:val="0"/>
                <w:color w:val="000000"/>
                <w:szCs w:val="22"/>
                <w:lang w:eastAsia="en-US"/>
              </w:rPr>
              <w:t xml:space="preserve">  </w:t>
            </w:r>
            <w:r w:rsidRPr="00E14DDE">
              <w:rPr>
                <w:b w:val="0"/>
                <w:color w:val="000000"/>
                <w:szCs w:val="22"/>
                <w:lang w:val="en-US" w:eastAsia="en-US"/>
              </w:rPr>
              <w:t>չստացման</w:t>
            </w:r>
            <w:r w:rsidRPr="0021231F">
              <w:rPr>
                <w:b w:val="0"/>
                <w:color w:val="000000"/>
                <w:szCs w:val="22"/>
                <w:lang w:eastAsia="en-US"/>
              </w:rPr>
              <w:t xml:space="preserve"> </w:t>
            </w:r>
            <w:r w:rsidRPr="00E14DDE">
              <w:rPr>
                <w:b w:val="0"/>
                <w:color w:val="000000"/>
                <w:szCs w:val="22"/>
                <w:lang w:val="en-US" w:eastAsia="en-US"/>
              </w:rPr>
              <w:t>ռիսկեր</w:t>
            </w:r>
          </w:p>
        </w:tc>
        <w:tc>
          <w:tcPr>
            <w:tcW w:w="1080" w:type="dxa"/>
            <w:tcBorders>
              <w:top w:val="nil"/>
              <w:left w:val="nil"/>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center"/>
              <w:rPr>
                <w:b w:val="0"/>
                <w:color w:val="000000"/>
                <w:szCs w:val="22"/>
                <w:lang w:val="en-US" w:eastAsia="en-US"/>
              </w:rPr>
            </w:pPr>
            <w:r w:rsidRPr="00F94494">
              <w:rPr>
                <w:b w:val="0"/>
                <w:color w:val="000000"/>
                <w:szCs w:val="22"/>
                <w:lang w:val="hy-AM" w:eastAsia="en-US"/>
              </w:rPr>
              <w:t>1.2</w:t>
            </w:r>
          </w:p>
        </w:tc>
      </w:tr>
      <w:tr w:rsidR="003B5F66" w:rsidRPr="00E14DDE" w:rsidTr="00BD3813">
        <w:trPr>
          <w:trHeight w:val="376"/>
        </w:trPr>
        <w:tc>
          <w:tcPr>
            <w:tcW w:w="8010" w:type="dxa"/>
            <w:tcBorders>
              <w:top w:val="nil"/>
              <w:left w:val="single" w:sz="8" w:space="0" w:color="BDD6EE"/>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left"/>
              <w:rPr>
                <w:bCs/>
                <w:color w:val="000000"/>
                <w:szCs w:val="22"/>
                <w:lang w:val="en-US" w:eastAsia="en-US"/>
              </w:rPr>
            </w:pPr>
            <w:r w:rsidRPr="00E14DDE">
              <w:rPr>
                <w:bCs/>
                <w:color w:val="000000"/>
                <w:szCs w:val="22"/>
                <w:lang w:val="en-US" w:eastAsia="en-US"/>
              </w:rPr>
              <w:t>Ընդամենը</w:t>
            </w:r>
          </w:p>
        </w:tc>
        <w:tc>
          <w:tcPr>
            <w:tcW w:w="1080" w:type="dxa"/>
            <w:tcBorders>
              <w:top w:val="nil"/>
              <w:left w:val="nil"/>
              <w:bottom w:val="single" w:sz="8" w:space="0" w:color="BDD6EE"/>
              <w:right w:val="single" w:sz="8" w:space="0" w:color="BDD6EE"/>
            </w:tcBorders>
            <w:shd w:val="clear" w:color="auto" w:fill="auto"/>
            <w:vAlign w:val="center"/>
            <w:hideMark/>
          </w:tcPr>
          <w:p w:rsidR="003B5F66" w:rsidRPr="00E14DDE" w:rsidRDefault="003B5F66" w:rsidP="007730AA">
            <w:pPr>
              <w:spacing w:before="0" w:line="240" w:lineRule="auto"/>
              <w:ind w:firstLine="0"/>
              <w:contextualSpacing w:val="0"/>
              <w:jc w:val="center"/>
              <w:rPr>
                <w:bCs/>
                <w:color w:val="000000"/>
                <w:szCs w:val="22"/>
                <w:lang w:val="hy-AM" w:eastAsia="en-US"/>
              </w:rPr>
            </w:pPr>
            <w:r w:rsidRPr="00F94494">
              <w:rPr>
                <w:bCs/>
                <w:color w:val="000000"/>
                <w:szCs w:val="22"/>
                <w:lang w:val="hy-AM" w:eastAsia="en-US"/>
              </w:rPr>
              <w:t>-14.0</w:t>
            </w:r>
          </w:p>
        </w:tc>
      </w:tr>
    </w:tbl>
    <w:p w:rsidR="00E14DDE" w:rsidRPr="00E14DDE" w:rsidRDefault="00E14DDE" w:rsidP="007730AA">
      <w:pPr>
        <w:spacing w:before="0" w:line="276" w:lineRule="auto"/>
        <w:ind w:firstLine="720"/>
        <w:contextualSpacing w:val="0"/>
        <w:rPr>
          <w:rFonts w:eastAsia="Calibri" w:cs="Sylfaen"/>
          <w:b w:val="0"/>
          <w:szCs w:val="22"/>
          <w:lang w:val="sk-SK" w:eastAsia="en-US"/>
        </w:rPr>
      </w:pPr>
    </w:p>
    <w:p w:rsidR="003B5F66" w:rsidRPr="00F94494" w:rsidRDefault="003B5F66" w:rsidP="007730AA">
      <w:pPr>
        <w:spacing w:before="0" w:line="276" w:lineRule="auto"/>
        <w:ind w:firstLine="720"/>
        <w:contextualSpacing w:val="0"/>
        <w:rPr>
          <w:rFonts w:eastAsia="Calibri" w:cs="Sylfaen"/>
          <w:b w:val="0"/>
          <w:szCs w:val="22"/>
          <w:lang w:val="hy-AM" w:eastAsia="en-US"/>
        </w:rPr>
      </w:pPr>
      <w:r w:rsidRPr="00F94494">
        <w:rPr>
          <w:rFonts w:eastAsia="Calibri" w:cs="Sylfaen"/>
          <w:b w:val="0"/>
          <w:szCs w:val="22"/>
          <w:lang w:val="hy-AM" w:eastAsia="en-US"/>
        </w:rPr>
        <w:t xml:space="preserve">Աղյուսակ 22-ում ցույց են տրված գնահատված լրացուցիչ ռիսկերը, որոնք կհանգեցնեն լրացուցիչ ֆինանսավորման պահանջի առաջացման: Ակնհայտորեն երևում է, որ գնաճի տատանումների հետևանքով կնվազի նախատեսված ֆինանսավորման պահանջը և համապատասխանաբար կփոփոխվեն նաև պետական բյուջեի ծախսերը` նվազման ուղղությամբ: </w:t>
      </w:r>
    </w:p>
    <w:p w:rsidR="003B5F66" w:rsidRPr="00F94494" w:rsidRDefault="003B5F66" w:rsidP="007730AA">
      <w:pPr>
        <w:spacing w:before="0" w:line="276" w:lineRule="auto"/>
        <w:ind w:firstLine="720"/>
        <w:contextualSpacing w:val="0"/>
        <w:rPr>
          <w:rFonts w:eastAsia="Calibri" w:cs="Sylfaen"/>
          <w:b w:val="0"/>
          <w:szCs w:val="22"/>
          <w:lang w:val="hy-AM" w:eastAsia="en-US"/>
        </w:rPr>
      </w:pPr>
      <w:r w:rsidRPr="001563DC">
        <w:rPr>
          <w:rFonts w:eastAsia="Calibri" w:cs="Sylfaen"/>
          <w:b w:val="0"/>
          <w:szCs w:val="22"/>
          <w:lang w:val="hy-AM" w:eastAsia="en-US"/>
        </w:rPr>
        <w:t xml:space="preserve">Հարկ է նշել, որ սպասվում է շուրջ </w:t>
      </w:r>
      <w:r w:rsidRPr="001563DC">
        <w:rPr>
          <w:rFonts w:eastAsia="Calibri"/>
          <w:b w:val="0"/>
          <w:lang w:val="hy-AM"/>
        </w:rPr>
        <w:t>68 մլն Եվրոի չափով ԵՄ բյուջետային աջակցության դրամաշնորհի ստացում, որի մի մասը կարող է ստացվել 2020, իսկ մյուս մասը 2021 թվականին: Սակայն, վերջինս պարունակում է բարձր անորոշություն</w:t>
      </w:r>
      <w:r w:rsidRPr="001563DC">
        <w:rPr>
          <w:rFonts w:eastAsia="Calibri" w:cs="Sylfaen"/>
          <w:b w:val="0"/>
          <w:szCs w:val="22"/>
          <w:lang w:val="hy-AM" w:eastAsia="en-US"/>
        </w:rPr>
        <w:t>, այդ իսկ պատճաով ներառված չէ հիմնական սցենարի կանխատեսումներում: Դրամաշնորհի ստացումը հանդիսանում է դրական ռիսկ, և դրա ստացման պարագայում փոփոխություններ կառաջանան ինչպես բյուջեի եկանուտների, այնպես էլ պակասուրդի և պարտքի ցուցանիշներում:</w:t>
      </w:r>
    </w:p>
    <w:p w:rsidR="003B5F66" w:rsidRPr="00F94494" w:rsidRDefault="003B5F66" w:rsidP="007730AA">
      <w:pPr>
        <w:spacing w:before="0" w:line="276" w:lineRule="auto"/>
        <w:ind w:firstLine="720"/>
        <w:contextualSpacing w:val="0"/>
        <w:rPr>
          <w:rFonts w:eastAsia="Calibri"/>
          <w:b w:val="0"/>
          <w:szCs w:val="22"/>
          <w:lang w:val="hy-AM" w:eastAsia="en-US"/>
        </w:rPr>
      </w:pPr>
      <w:r w:rsidRPr="00F94494">
        <w:rPr>
          <w:rFonts w:eastAsia="Calibri" w:cs="Sylfaen"/>
          <w:b w:val="0"/>
          <w:szCs w:val="22"/>
          <w:lang w:val="hy-AM" w:eastAsia="en-US"/>
        </w:rPr>
        <w:t xml:space="preserve">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2021 թվականին ՀՀ պետական բյուջեի դեֆիցիտի լրացուցիչ ֆինանսավորման պահանջը կկազմի շուրջ 14.0 մլրդ ՀՀ դրամ կամ ՀՆԱ-ի 0.2%-ը: </w:t>
      </w:r>
    </w:p>
    <w:p w:rsidR="00AD5F3C" w:rsidRPr="00E14DDE" w:rsidRDefault="00AD5F3C" w:rsidP="007730AA">
      <w:pPr>
        <w:spacing w:before="0" w:line="276" w:lineRule="auto"/>
        <w:ind w:firstLine="720"/>
        <w:contextualSpacing w:val="0"/>
        <w:rPr>
          <w:rFonts w:eastAsia="Calibri"/>
          <w:b w:val="0"/>
          <w:szCs w:val="22"/>
          <w:lang w:val="hy-AM" w:eastAsia="en-US"/>
        </w:rPr>
      </w:pPr>
    </w:p>
    <w:p w:rsidR="00563D38" w:rsidRPr="00457531" w:rsidRDefault="00ED3452" w:rsidP="007730AA">
      <w:pPr>
        <w:keepNext/>
        <w:keepLines/>
        <w:spacing w:before="0" w:line="312" w:lineRule="auto"/>
        <w:ind w:firstLine="0"/>
        <w:jc w:val="left"/>
        <w:outlineLvl w:val="2"/>
        <w:rPr>
          <w:szCs w:val="22"/>
          <w:lang w:val="hy-AM" w:eastAsia="en-US"/>
        </w:rPr>
      </w:pPr>
      <w:bookmarkStart w:id="261" w:name="_Toc46154384"/>
      <w:bookmarkStart w:id="262" w:name="_Toc46760416"/>
      <w:bookmarkStart w:id="263" w:name="_Toc51947420"/>
      <w:bookmarkStart w:id="264" w:name="_Toc57655495"/>
      <w:r w:rsidRPr="00457531">
        <w:rPr>
          <w:szCs w:val="22"/>
          <w:lang w:val="hy-AM" w:eastAsia="en-US"/>
        </w:rPr>
        <w:t>3</w:t>
      </w:r>
      <w:r w:rsidR="00563D38" w:rsidRPr="00457531">
        <w:rPr>
          <w:szCs w:val="22"/>
          <w:lang w:val="hy-AM" w:eastAsia="en-US"/>
        </w:rPr>
        <w:t>. ԱՅԼ ԿԱՌՈՒՅՑՆԵՐԻ ԿՈՂՄԻՑ ՀՀ ՏՆՏԵՍԱԿԱՆ ԱՃԻ ԿԱՆԽԱՏԵՍՈՒՄՆԵՐԻ ՀԵՏ ՀԱՄԵՄԱՏԱԿԱՆ</w:t>
      </w:r>
      <w:bookmarkEnd w:id="261"/>
      <w:bookmarkEnd w:id="262"/>
      <w:bookmarkEnd w:id="263"/>
      <w:bookmarkEnd w:id="264"/>
    </w:p>
    <w:p w:rsidR="00457531" w:rsidRPr="004C6A24" w:rsidRDefault="00457531" w:rsidP="007730AA">
      <w:pPr>
        <w:spacing w:before="0" w:line="276" w:lineRule="auto"/>
        <w:ind w:firstLine="360"/>
        <w:contextualSpacing w:val="0"/>
        <w:rPr>
          <w:rFonts w:cs="Sylfaen"/>
          <w:bCs/>
          <w:szCs w:val="22"/>
          <w:u w:val="single"/>
          <w:lang w:val="hy-AM" w:eastAsia="en-US"/>
        </w:rPr>
      </w:pPr>
    </w:p>
    <w:p w:rsidR="00AD5F3C" w:rsidRPr="00AD5F3C" w:rsidRDefault="00563D38" w:rsidP="007730AA">
      <w:pPr>
        <w:spacing w:before="0" w:line="276" w:lineRule="auto"/>
        <w:ind w:firstLine="360"/>
        <w:contextualSpacing w:val="0"/>
        <w:rPr>
          <w:rFonts w:cs="Sylfaen"/>
          <w:b w:val="0"/>
          <w:szCs w:val="22"/>
          <w:lang w:val="hy-AM"/>
        </w:rPr>
      </w:pPr>
      <w:r w:rsidRPr="005150E5">
        <w:rPr>
          <w:rFonts w:cs="Sylfaen"/>
          <w:bCs/>
          <w:szCs w:val="22"/>
          <w:u w:val="single"/>
          <w:lang w:val="hy-AM" w:eastAsia="en-US"/>
        </w:rPr>
        <w:t>Կանխատեսումներ։</w:t>
      </w:r>
      <w:r w:rsidRPr="005150E5">
        <w:rPr>
          <w:rFonts w:cs="Sylfaen"/>
          <w:b w:val="0"/>
          <w:szCs w:val="22"/>
          <w:lang w:val="hy-AM" w:eastAsia="en-US"/>
        </w:rPr>
        <w:t xml:space="preserve"> Աղյուսակ 2</w:t>
      </w:r>
      <w:r w:rsidR="00284C38" w:rsidRPr="00284C38">
        <w:rPr>
          <w:rFonts w:cs="Sylfaen"/>
          <w:b w:val="0"/>
          <w:szCs w:val="22"/>
          <w:lang w:val="hy-AM" w:eastAsia="en-US"/>
        </w:rPr>
        <w:t>3</w:t>
      </w:r>
      <w:r w:rsidRPr="005150E5">
        <w:rPr>
          <w:rFonts w:cs="Sylfaen"/>
          <w:b w:val="0"/>
          <w:szCs w:val="22"/>
          <w:lang w:val="hy-AM" w:eastAsia="en-US"/>
        </w:rPr>
        <w:t xml:space="preserve">-ում </w:t>
      </w:r>
      <w:r w:rsidR="00AD5F3C" w:rsidRPr="00AD5F3C">
        <w:rPr>
          <w:rFonts w:cs="Sylfaen"/>
          <w:b w:val="0"/>
          <w:szCs w:val="22"/>
          <w:lang w:val="hy-AM"/>
        </w:rPr>
        <w:t>ներկայացված է ՀՀ ֆինանսների նախարարության և այլ կառույցների կողմից ՀՀ տնտեսական աճի 2020-2021թթ. կանխատեսումների համեմատականը: Նշված կառույցների կողմից ՀՀ տնտեսական աճի կանխատեսումները տարվա ընթացքում հիմնականում վերանայվել են նվազման ուղղությամբ: Այսպես` ՀՀ կենտրոնական բանկը, Արժույթի միջազգային հիմնադրամը և Մուդիսը 2020թ. ՀՆԱ կանխատեսվող ցուցանիշը սեպտեմբերին նվազեցրել են 2.2-4.5 տոկոսային կետով՝ կանխատեսելով համապատասխանաբար 6.2%, 6.0% և 4.0% անկում: 2020թ նոյեմբերին Արժույթի միջազգային հիմնադրամը նորից նվազեցրել է կանխատեսվող ցուցանիշը՝ 1.3 տոկոսային կետով, կանխատեսելով՝ -7.3% անկում:  2020թ. ՀՀ տնտեսական ավելի խորը անկման կանխատեսումները պայմանավորված են ինչպես ՀՀ, այնպես էլ աշխարհի տնտեսությունների վերջին զարգացումների և կորոնավիրուսի երկրորդ ալիքի հետևանքների, ինչպես նաև Արցախյան պատերազմի ՀՀ տնտեսության վրա հետագա սոցիալ-տնտեսական ազդեցությունների հաշվի առնելու հանգամանքով:</w:t>
      </w:r>
    </w:p>
    <w:p w:rsidR="00563D38" w:rsidRDefault="00563D38" w:rsidP="007730AA">
      <w:pPr>
        <w:spacing w:before="0" w:line="276" w:lineRule="auto"/>
        <w:ind w:firstLine="360"/>
        <w:contextualSpacing w:val="0"/>
        <w:rPr>
          <w:rFonts w:cs="Sylfaen"/>
          <w:b w:val="0"/>
          <w:szCs w:val="22"/>
          <w:lang w:val="hy-AM" w:eastAsia="en-US"/>
        </w:rPr>
      </w:pPr>
      <w:r w:rsidRPr="005150E5">
        <w:rPr>
          <w:rFonts w:cs="Sylfaen"/>
          <w:bCs/>
          <w:szCs w:val="22"/>
          <w:u w:val="single"/>
          <w:lang w:val="hy-AM" w:eastAsia="en-US"/>
        </w:rPr>
        <w:t>Ռիսկեր։</w:t>
      </w:r>
      <w:r w:rsidRPr="005150E5">
        <w:rPr>
          <w:rFonts w:cs="Sylfaen"/>
          <w:b w:val="0"/>
          <w:szCs w:val="22"/>
          <w:lang w:val="hy-AM" w:eastAsia="en-US"/>
        </w:rPr>
        <w:t xml:space="preserve"> Հաշվի առնելով կորոնավիրուսի համավարակի անորոշությունները՝ կապված դրա տարածման տեմպերի, երկրորդ ալիքի հավանականության, ինչպես նաև հակավիրուսի հայտնաբերման հետ, բոլոր կանխատեսողները 2021թ. ՀՀ տնտեսական աճի ռիսկերը գնահատում</w:t>
      </w:r>
      <w:r w:rsidRPr="005150E5" w:rsidDel="00E54957">
        <w:rPr>
          <w:rFonts w:cs="Sylfaen"/>
          <w:b w:val="0"/>
          <w:szCs w:val="22"/>
          <w:lang w:val="hy-AM" w:eastAsia="en-US"/>
        </w:rPr>
        <w:t xml:space="preserve"> </w:t>
      </w:r>
      <w:r w:rsidRPr="005150E5">
        <w:rPr>
          <w:rFonts w:cs="Sylfaen"/>
          <w:b w:val="0"/>
          <w:szCs w:val="22"/>
          <w:lang w:val="hy-AM" w:eastAsia="en-US"/>
        </w:rPr>
        <w:t>են հիմնականում դեպի ներքև:</w:t>
      </w:r>
    </w:p>
    <w:p w:rsidR="00513DF0" w:rsidRPr="00513DF0" w:rsidRDefault="00513DF0" w:rsidP="00513DF0">
      <w:pPr>
        <w:pStyle w:val="Caption"/>
        <w:spacing w:before="0" w:after="0"/>
        <w:rPr>
          <w:rFonts w:cs="Sylfaen"/>
          <w:bCs w:val="0"/>
          <w:i/>
          <w:color w:val="auto"/>
          <w:sz w:val="20"/>
          <w:szCs w:val="20"/>
          <w:lang w:val="hy-AM" w:eastAsia="en-US"/>
        </w:rPr>
      </w:pPr>
      <w:r w:rsidRPr="00513DF0">
        <w:rPr>
          <w:b/>
          <w:color w:val="auto"/>
          <w:sz w:val="20"/>
          <w:szCs w:val="20"/>
          <w:lang w:val="hy-AM"/>
        </w:rPr>
        <w:t xml:space="preserve">Աղյուսակ </w:t>
      </w:r>
      <w:r w:rsidR="003C3925" w:rsidRPr="00513DF0">
        <w:rPr>
          <w:b/>
          <w:color w:val="auto"/>
          <w:sz w:val="20"/>
          <w:szCs w:val="20"/>
        </w:rPr>
        <w:fldChar w:fldCharType="begin"/>
      </w:r>
      <w:r w:rsidRPr="00513DF0">
        <w:rPr>
          <w:b/>
          <w:color w:val="auto"/>
          <w:sz w:val="20"/>
          <w:szCs w:val="20"/>
          <w:lang w:val="hy-AM"/>
        </w:rPr>
        <w:instrText xml:space="preserve"> SEQ Աղյուսակ \* ARABIC </w:instrText>
      </w:r>
      <w:r w:rsidR="003C3925" w:rsidRPr="00513DF0">
        <w:rPr>
          <w:b/>
          <w:color w:val="auto"/>
          <w:sz w:val="20"/>
          <w:szCs w:val="20"/>
        </w:rPr>
        <w:fldChar w:fldCharType="separate"/>
      </w:r>
      <w:r w:rsidRPr="00513DF0">
        <w:rPr>
          <w:b/>
          <w:noProof/>
          <w:color w:val="auto"/>
          <w:sz w:val="20"/>
          <w:szCs w:val="20"/>
          <w:lang w:val="hy-AM"/>
        </w:rPr>
        <w:t>22</w:t>
      </w:r>
      <w:r w:rsidR="003C3925" w:rsidRPr="00513DF0">
        <w:rPr>
          <w:b/>
          <w:color w:val="auto"/>
          <w:sz w:val="20"/>
          <w:szCs w:val="20"/>
        </w:rPr>
        <w:fldChar w:fldCharType="end"/>
      </w:r>
      <w:r w:rsidRPr="00513DF0">
        <w:rPr>
          <w:rFonts w:ascii="Cambria Math" w:hAnsi="Cambria Math" w:cs="Cambria Math"/>
          <w:b/>
          <w:color w:val="auto"/>
          <w:sz w:val="20"/>
          <w:szCs w:val="20"/>
          <w:lang w:val="hy-AM"/>
        </w:rPr>
        <w:t>․</w:t>
      </w:r>
      <w:r w:rsidRPr="00513DF0">
        <w:rPr>
          <w:color w:val="auto"/>
          <w:sz w:val="20"/>
          <w:szCs w:val="20"/>
          <w:lang w:val="hy-AM"/>
        </w:rPr>
        <w:t xml:space="preserve"> </w:t>
      </w:r>
      <w:r w:rsidRPr="00513DF0">
        <w:rPr>
          <w:rFonts w:cs="Sylfaen"/>
          <w:bCs w:val="0"/>
          <w:i/>
          <w:color w:val="auto"/>
          <w:sz w:val="20"/>
          <w:szCs w:val="20"/>
          <w:lang w:val="hy-AM" w:eastAsia="en-US"/>
        </w:rPr>
        <w:t>ՀՀ ՖՆ և այլ կառույցների կողմից ՀՀ տնտեսական աճի կանխատեսումները (%)</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7"/>
        <w:gridCol w:w="1335"/>
        <w:gridCol w:w="1794"/>
      </w:tblGrid>
      <w:tr w:rsidR="00513DF0" w:rsidRPr="00513DF0" w:rsidTr="002026A8">
        <w:trPr>
          <w:trHeight w:val="206"/>
          <w:jc w:val="center"/>
        </w:trPr>
        <w:tc>
          <w:tcPr>
            <w:tcW w:w="6377" w:type="dxa"/>
            <w:tcBorders>
              <w:top w:val="single" w:sz="4" w:space="0" w:color="auto"/>
              <w:left w:val="single" w:sz="4" w:space="0" w:color="auto"/>
              <w:bottom w:val="single" w:sz="4" w:space="0" w:color="auto"/>
              <w:right w:val="single" w:sz="4" w:space="0" w:color="auto"/>
            </w:tcBorders>
            <w:shd w:val="clear" w:color="auto" w:fill="4F81BD"/>
            <w:noWrap/>
            <w:vAlign w:val="center"/>
          </w:tcPr>
          <w:p w:rsidR="00513DF0" w:rsidRPr="00513DF0" w:rsidRDefault="00513DF0" w:rsidP="00513DF0">
            <w:pPr>
              <w:spacing w:before="40" w:after="60" w:line="276" w:lineRule="auto"/>
              <w:ind w:right="111"/>
              <w:contextualSpacing w:val="0"/>
              <w:rPr>
                <w:rFonts w:cs="Calibri"/>
                <w:b w:val="0"/>
                <w:color w:val="000000"/>
                <w:sz w:val="18"/>
                <w:szCs w:val="18"/>
                <w:highlight w:val="yellow"/>
                <w:lang w:val="it-IT" w:eastAsia="en-US"/>
              </w:rPr>
            </w:pPr>
          </w:p>
        </w:tc>
        <w:tc>
          <w:tcPr>
            <w:tcW w:w="1335" w:type="dxa"/>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513DF0" w:rsidRPr="00513DF0" w:rsidRDefault="00513DF0" w:rsidP="00513DF0">
            <w:pPr>
              <w:spacing w:before="40" w:after="60" w:line="276" w:lineRule="auto"/>
              <w:ind w:right="111" w:firstLine="0"/>
              <w:contextualSpacing w:val="0"/>
              <w:jc w:val="center"/>
              <w:rPr>
                <w:rFonts w:cs="Calibri"/>
                <w:bCs/>
                <w:color w:val="000000"/>
                <w:sz w:val="18"/>
                <w:szCs w:val="18"/>
                <w:lang w:val="hy-AM" w:eastAsia="en-US"/>
              </w:rPr>
            </w:pPr>
            <w:r w:rsidRPr="00513DF0">
              <w:rPr>
                <w:rFonts w:cs="Calibri"/>
                <w:bCs/>
                <w:color w:val="000000"/>
                <w:sz w:val="18"/>
                <w:szCs w:val="18"/>
                <w:lang w:val="hy-AM" w:eastAsia="en-US"/>
              </w:rPr>
              <w:t>2020</w:t>
            </w:r>
          </w:p>
        </w:tc>
        <w:tc>
          <w:tcPr>
            <w:tcW w:w="1794"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513DF0" w:rsidRPr="00513DF0" w:rsidRDefault="00513DF0" w:rsidP="00513DF0">
            <w:pPr>
              <w:spacing w:before="40" w:after="60" w:line="276" w:lineRule="auto"/>
              <w:ind w:right="111" w:firstLine="0"/>
              <w:contextualSpacing w:val="0"/>
              <w:jc w:val="center"/>
              <w:rPr>
                <w:rFonts w:cs="Calibri"/>
                <w:bCs/>
                <w:color w:val="000000"/>
                <w:sz w:val="18"/>
                <w:szCs w:val="18"/>
                <w:lang w:val="hy-AM" w:eastAsia="en-US"/>
              </w:rPr>
            </w:pPr>
            <w:r w:rsidRPr="00513DF0">
              <w:rPr>
                <w:rFonts w:cs="Calibri"/>
                <w:bCs/>
                <w:color w:val="000000"/>
                <w:sz w:val="18"/>
                <w:szCs w:val="18"/>
                <w:lang w:val="hy-AM" w:eastAsia="en-US"/>
              </w:rPr>
              <w:t>2021</w:t>
            </w:r>
          </w:p>
        </w:tc>
      </w:tr>
      <w:tr w:rsidR="00513DF0" w:rsidRPr="00513DF0" w:rsidTr="002026A8">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13DF0" w:rsidRPr="00513DF0" w:rsidRDefault="00513DF0" w:rsidP="00513DF0">
            <w:pPr>
              <w:spacing w:before="40" w:after="60" w:line="276" w:lineRule="auto"/>
              <w:ind w:right="111" w:firstLine="0"/>
              <w:contextualSpacing w:val="0"/>
              <w:rPr>
                <w:rFonts w:cs="Calibri"/>
                <w:b w:val="0"/>
                <w:color w:val="000000"/>
                <w:sz w:val="20"/>
                <w:szCs w:val="20"/>
                <w:lang w:val="hy-AM" w:eastAsia="en-US"/>
              </w:rPr>
            </w:pPr>
            <w:r w:rsidRPr="00513DF0">
              <w:rPr>
                <w:rFonts w:cs="Calibri"/>
                <w:b w:val="0"/>
                <w:color w:val="000000"/>
                <w:sz w:val="20"/>
                <w:szCs w:val="20"/>
                <w:lang w:val="hy-AM" w:eastAsia="en-US"/>
              </w:rPr>
              <w:t>ՀՀ ֆինանսների նախարարություն</w:t>
            </w:r>
            <w:r w:rsidRPr="00513DF0">
              <w:rPr>
                <w:rFonts w:cs="Calibri"/>
                <w:b w:val="0"/>
                <w:color w:val="000000"/>
                <w:sz w:val="20"/>
                <w:szCs w:val="20"/>
                <w:lang w:val="en-US" w:eastAsia="en-US"/>
              </w:rPr>
              <w:t xml:space="preserve"> (2020 նոյեմբեր)</w:t>
            </w:r>
          </w:p>
        </w:tc>
        <w:tc>
          <w:tcPr>
            <w:tcW w:w="1335"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-7.9</w:t>
            </w:r>
          </w:p>
        </w:tc>
        <w:tc>
          <w:tcPr>
            <w:tcW w:w="1794"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3.2</w:t>
            </w:r>
          </w:p>
        </w:tc>
      </w:tr>
      <w:tr w:rsidR="00513DF0" w:rsidRPr="00513DF0" w:rsidTr="002026A8">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13DF0" w:rsidRPr="00513DF0" w:rsidRDefault="00513DF0" w:rsidP="00513DF0">
            <w:pPr>
              <w:spacing w:before="40" w:after="60" w:line="276" w:lineRule="auto"/>
              <w:ind w:right="111" w:firstLine="0"/>
              <w:contextualSpacing w:val="0"/>
              <w:rPr>
                <w:rFonts w:cs="Calibri"/>
                <w:b w:val="0"/>
                <w:color w:val="000000"/>
                <w:sz w:val="20"/>
                <w:szCs w:val="20"/>
                <w:lang w:val="hy-AM" w:eastAsia="en-US"/>
              </w:rPr>
            </w:pPr>
            <w:r w:rsidRPr="00513DF0">
              <w:rPr>
                <w:rFonts w:cs="Calibri"/>
                <w:b w:val="0"/>
                <w:color w:val="000000"/>
                <w:sz w:val="20"/>
                <w:szCs w:val="20"/>
                <w:lang w:val="en-US" w:eastAsia="en-US"/>
              </w:rPr>
              <w:t xml:space="preserve">Արժույթի միջազգային հիմնադրամ (2020 </w:t>
            </w:r>
            <w:r w:rsidRPr="00513DF0">
              <w:rPr>
                <w:rFonts w:cs="Calibri"/>
                <w:b w:val="0"/>
                <w:color w:val="000000"/>
                <w:sz w:val="20"/>
                <w:szCs w:val="20"/>
                <w:lang w:val="hy-AM" w:eastAsia="en-US"/>
              </w:rPr>
              <w:t>նոյ</w:t>
            </w:r>
            <w:r w:rsidRPr="00513DF0">
              <w:rPr>
                <w:rFonts w:cs="Calibri"/>
                <w:b w:val="0"/>
                <w:color w:val="000000"/>
                <w:sz w:val="20"/>
                <w:szCs w:val="20"/>
                <w:lang w:val="en-US" w:eastAsia="en-US"/>
              </w:rPr>
              <w:t>եմբեր)</w:t>
            </w:r>
          </w:p>
        </w:tc>
        <w:tc>
          <w:tcPr>
            <w:tcW w:w="1335" w:type="dxa"/>
            <w:tcBorders>
              <w:top w:val="single" w:sz="4" w:space="0" w:color="auto"/>
              <w:left w:val="single" w:sz="4" w:space="0" w:color="auto"/>
              <w:bottom w:val="single" w:sz="4" w:space="0" w:color="auto"/>
              <w:right w:val="single" w:sz="4" w:space="0" w:color="auto"/>
            </w:tcBorders>
            <w:noWrap/>
            <w:vAlign w:val="center"/>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hy-AM" w:eastAsia="en-US"/>
              </w:rPr>
              <w:t>-</w:t>
            </w:r>
            <w:r w:rsidRPr="00513DF0">
              <w:rPr>
                <w:rFonts w:cs="Calibri"/>
                <w:b w:val="0"/>
                <w:color w:val="000000"/>
                <w:sz w:val="20"/>
                <w:szCs w:val="20"/>
                <w:lang w:val="en-US" w:eastAsia="en-US"/>
              </w:rPr>
              <w:t>7.3</w:t>
            </w:r>
          </w:p>
        </w:tc>
        <w:tc>
          <w:tcPr>
            <w:tcW w:w="1794" w:type="dxa"/>
            <w:tcBorders>
              <w:top w:val="single" w:sz="4" w:space="0" w:color="auto"/>
              <w:left w:val="single" w:sz="4" w:space="0" w:color="auto"/>
              <w:bottom w:val="single" w:sz="4" w:space="0" w:color="auto"/>
              <w:right w:val="single" w:sz="4" w:space="0" w:color="auto"/>
            </w:tcBorders>
            <w:noWrap/>
            <w:vAlign w:val="center"/>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1.0</w:t>
            </w:r>
          </w:p>
        </w:tc>
      </w:tr>
      <w:tr w:rsidR="00513DF0" w:rsidRPr="00513DF0" w:rsidTr="002026A8">
        <w:trPr>
          <w:trHeight w:val="268"/>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13DF0" w:rsidRPr="00513DF0" w:rsidRDefault="00513DF0" w:rsidP="00513DF0">
            <w:pPr>
              <w:spacing w:before="40" w:after="60" w:line="120" w:lineRule="auto"/>
              <w:ind w:right="113" w:firstLine="0"/>
              <w:contextualSpacing w:val="0"/>
              <w:rPr>
                <w:rFonts w:cs="Calibri"/>
                <w:b w:val="0"/>
                <w:color w:val="000000"/>
                <w:sz w:val="20"/>
                <w:szCs w:val="20"/>
                <w:lang w:val="en-US" w:eastAsia="en-US"/>
              </w:rPr>
            </w:pPr>
          </w:p>
        </w:tc>
        <w:tc>
          <w:tcPr>
            <w:tcW w:w="1335" w:type="dxa"/>
            <w:tcBorders>
              <w:top w:val="single" w:sz="4" w:space="0" w:color="auto"/>
              <w:left w:val="single" w:sz="4" w:space="0" w:color="auto"/>
              <w:bottom w:val="single" w:sz="4" w:space="0" w:color="auto"/>
              <w:right w:val="single" w:sz="4" w:space="0" w:color="auto"/>
            </w:tcBorders>
            <w:noWrap/>
            <w:vAlign w:val="center"/>
          </w:tcPr>
          <w:p w:rsidR="00513DF0" w:rsidRPr="00513DF0" w:rsidRDefault="00513DF0" w:rsidP="00513DF0">
            <w:pPr>
              <w:spacing w:before="40" w:after="60" w:line="120" w:lineRule="auto"/>
              <w:ind w:right="113"/>
              <w:contextualSpacing w:val="0"/>
              <w:jc w:val="center"/>
              <w:rPr>
                <w:rFonts w:cs="Calibri"/>
                <w:b w:val="0"/>
                <w:color w:val="000000"/>
                <w:sz w:val="20"/>
                <w:szCs w:val="20"/>
                <w:lang w:val="en-US" w:eastAsia="en-US"/>
              </w:rPr>
            </w:pPr>
          </w:p>
        </w:tc>
        <w:tc>
          <w:tcPr>
            <w:tcW w:w="1794" w:type="dxa"/>
            <w:tcBorders>
              <w:top w:val="single" w:sz="4" w:space="0" w:color="auto"/>
              <w:left w:val="single" w:sz="4" w:space="0" w:color="auto"/>
              <w:bottom w:val="single" w:sz="4" w:space="0" w:color="auto"/>
              <w:right w:val="single" w:sz="4" w:space="0" w:color="auto"/>
            </w:tcBorders>
            <w:noWrap/>
            <w:vAlign w:val="center"/>
          </w:tcPr>
          <w:p w:rsidR="00513DF0" w:rsidRPr="00513DF0" w:rsidRDefault="00513DF0" w:rsidP="00513DF0">
            <w:pPr>
              <w:spacing w:before="40" w:after="60" w:line="120" w:lineRule="auto"/>
              <w:ind w:right="113"/>
              <w:contextualSpacing w:val="0"/>
              <w:jc w:val="center"/>
              <w:rPr>
                <w:rFonts w:cs="Calibri"/>
                <w:b w:val="0"/>
                <w:color w:val="000000"/>
                <w:sz w:val="20"/>
                <w:szCs w:val="20"/>
                <w:lang w:val="en-US" w:eastAsia="en-US"/>
              </w:rPr>
            </w:pPr>
          </w:p>
        </w:tc>
      </w:tr>
      <w:tr w:rsidR="00513DF0" w:rsidRPr="00513DF0" w:rsidTr="002026A8">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13DF0" w:rsidRPr="00513DF0" w:rsidRDefault="00513DF0" w:rsidP="00513DF0">
            <w:pPr>
              <w:spacing w:before="40" w:after="60" w:line="276" w:lineRule="auto"/>
              <w:ind w:right="111" w:firstLine="0"/>
              <w:contextualSpacing w:val="0"/>
              <w:rPr>
                <w:rFonts w:cs="Calibri"/>
                <w:b w:val="0"/>
                <w:color w:val="000000"/>
                <w:sz w:val="20"/>
                <w:szCs w:val="20"/>
                <w:lang w:val="hy-AM" w:eastAsia="en-US"/>
              </w:rPr>
            </w:pPr>
            <w:r w:rsidRPr="00513DF0">
              <w:rPr>
                <w:rFonts w:cs="Calibri"/>
                <w:b w:val="0"/>
                <w:color w:val="000000"/>
                <w:sz w:val="20"/>
                <w:szCs w:val="20"/>
                <w:lang w:val="hy-AM" w:eastAsia="en-US"/>
              </w:rPr>
              <w:t>ՀՀ ֆինանսների նախարարություն</w:t>
            </w:r>
            <w:r w:rsidRPr="00513DF0">
              <w:rPr>
                <w:rFonts w:cs="Calibri"/>
                <w:b w:val="0"/>
                <w:color w:val="000000"/>
                <w:sz w:val="20"/>
                <w:szCs w:val="20"/>
                <w:lang w:val="en-US" w:eastAsia="en-US"/>
              </w:rPr>
              <w:t xml:space="preserve"> (2020 սեպտեմբեր)</w:t>
            </w:r>
          </w:p>
        </w:tc>
        <w:tc>
          <w:tcPr>
            <w:tcW w:w="1335" w:type="dxa"/>
            <w:tcBorders>
              <w:top w:val="single" w:sz="4" w:space="0" w:color="auto"/>
              <w:left w:val="single" w:sz="4" w:space="0" w:color="auto"/>
              <w:bottom w:val="single" w:sz="4" w:space="0" w:color="auto"/>
              <w:right w:val="single" w:sz="4" w:space="0" w:color="auto"/>
            </w:tcBorders>
            <w:noWrap/>
            <w:vAlign w:val="center"/>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-6.0</w:t>
            </w:r>
          </w:p>
        </w:tc>
        <w:tc>
          <w:tcPr>
            <w:tcW w:w="1794" w:type="dxa"/>
            <w:tcBorders>
              <w:top w:val="single" w:sz="4" w:space="0" w:color="auto"/>
              <w:left w:val="single" w:sz="4" w:space="0" w:color="auto"/>
              <w:bottom w:val="single" w:sz="4" w:space="0" w:color="auto"/>
              <w:right w:val="single" w:sz="4" w:space="0" w:color="auto"/>
            </w:tcBorders>
            <w:noWrap/>
            <w:vAlign w:val="center"/>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4.8</w:t>
            </w:r>
          </w:p>
        </w:tc>
      </w:tr>
      <w:tr w:rsidR="00513DF0" w:rsidRPr="00513DF0" w:rsidTr="002026A8">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13DF0" w:rsidRPr="009206BE" w:rsidRDefault="00513DF0" w:rsidP="00513DF0">
            <w:pPr>
              <w:spacing w:before="40" w:after="60" w:line="276" w:lineRule="auto"/>
              <w:ind w:right="111" w:firstLine="0"/>
              <w:contextualSpacing w:val="0"/>
              <w:rPr>
                <w:rFonts w:cs="Calibri"/>
                <w:b w:val="0"/>
                <w:color w:val="000000"/>
                <w:sz w:val="20"/>
                <w:szCs w:val="20"/>
                <w:lang w:eastAsia="en-US"/>
              </w:rPr>
            </w:pPr>
            <w:r w:rsidRPr="00513DF0">
              <w:rPr>
                <w:rFonts w:cs="Calibri"/>
                <w:b w:val="0"/>
                <w:color w:val="000000"/>
                <w:sz w:val="20"/>
                <w:szCs w:val="20"/>
                <w:lang w:val="en-US" w:eastAsia="en-US"/>
              </w:rPr>
              <w:t>ՀՀ</w:t>
            </w:r>
            <w:r w:rsidRPr="009206BE">
              <w:rPr>
                <w:rFonts w:cs="Calibri"/>
                <w:b w:val="0"/>
                <w:color w:val="000000"/>
                <w:sz w:val="20"/>
                <w:szCs w:val="20"/>
                <w:lang w:eastAsia="en-US"/>
              </w:rPr>
              <w:t xml:space="preserve"> </w:t>
            </w:r>
            <w:r w:rsidRPr="00513DF0">
              <w:rPr>
                <w:rFonts w:cs="Calibri"/>
                <w:b w:val="0"/>
                <w:color w:val="000000"/>
                <w:sz w:val="20"/>
                <w:szCs w:val="20"/>
                <w:lang w:val="en-US" w:eastAsia="en-US"/>
              </w:rPr>
              <w:t>կենտրոնական</w:t>
            </w:r>
            <w:r w:rsidRPr="009206BE">
              <w:rPr>
                <w:rFonts w:cs="Calibri"/>
                <w:b w:val="0"/>
                <w:color w:val="000000"/>
                <w:sz w:val="20"/>
                <w:szCs w:val="20"/>
                <w:lang w:eastAsia="en-US"/>
              </w:rPr>
              <w:t xml:space="preserve"> </w:t>
            </w:r>
            <w:r w:rsidRPr="00513DF0">
              <w:rPr>
                <w:rFonts w:cs="Calibri"/>
                <w:b w:val="0"/>
                <w:color w:val="000000"/>
                <w:sz w:val="20"/>
                <w:szCs w:val="20"/>
                <w:lang w:val="en-US" w:eastAsia="en-US"/>
              </w:rPr>
              <w:t>բանկ</w:t>
            </w:r>
            <w:r w:rsidRPr="009206BE">
              <w:rPr>
                <w:rFonts w:cs="Calibri"/>
                <w:b w:val="0"/>
                <w:color w:val="000000"/>
                <w:sz w:val="20"/>
                <w:szCs w:val="20"/>
                <w:lang w:eastAsia="en-US"/>
              </w:rPr>
              <w:t xml:space="preserve"> (20</w:t>
            </w:r>
            <w:r w:rsidRPr="00513DF0">
              <w:rPr>
                <w:rFonts w:cs="Calibri"/>
                <w:b w:val="0"/>
                <w:color w:val="000000"/>
                <w:sz w:val="20"/>
                <w:szCs w:val="20"/>
                <w:lang w:val="hy-AM" w:eastAsia="en-US"/>
              </w:rPr>
              <w:t>20</w:t>
            </w:r>
            <w:r w:rsidRPr="00513DF0">
              <w:rPr>
                <w:rFonts w:cs="Calibri"/>
                <w:b w:val="0"/>
                <w:color w:val="000000"/>
                <w:sz w:val="20"/>
                <w:szCs w:val="20"/>
                <w:lang w:val="en-US" w:eastAsia="en-US"/>
              </w:rPr>
              <w:t>թ</w:t>
            </w:r>
            <w:r w:rsidRPr="009206BE">
              <w:rPr>
                <w:rFonts w:cs="Calibri"/>
                <w:b w:val="0"/>
                <w:color w:val="000000"/>
                <w:sz w:val="20"/>
                <w:szCs w:val="20"/>
                <w:lang w:eastAsia="en-US"/>
              </w:rPr>
              <w:t xml:space="preserve">. </w:t>
            </w:r>
            <w:r w:rsidRPr="00513DF0">
              <w:rPr>
                <w:rFonts w:cs="Calibri"/>
                <w:b w:val="0"/>
                <w:color w:val="000000"/>
                <w:sz w:val="20"/>
                <w:szCs w:val="20"/>
                <w:lang w:val="en-US" w:eastAsia="en-US"/>
              </w:rPr>
              <w:t>սեպտեմբեր</w:t>
            </w:r>
            <w:r w:rsidRPr="009206BE">
              <w:rPr>
                <w:rFonts w:cs="Calibri"/>
                <w:b w:val="0"/>
                <w:color w:val="000000"/>
                <w:sz w:val="20"/>
                <w:szCs w:val="20"/>
                <w:lang w:eastAsia="en-US"/>
              </w:rPr>
              <w:t>)</w:t>
            </w:r>
          </w:p>
        </w:tc>
        <w:tc>
          <w:tcPr>
            <w:tcW w:w="1335"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-6.2</w:t>
            </w:r>
          </w:p>
        </w:tc>
        <w:tc>
          <w:tcPr>
            <w:tcW w:w="1794"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4.9</w:t>
            </w:r>
          </w:p>
        </w:tc>
      </w:tr>
      <w:tr w:rsidR="00513DF0" w:rsidRPr="00513DF0" w:rsidTr="002026A8">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13DF0" w:rsidRPr="00513DF0" w:rsidRDefault="00513DF0" w:rsidP="00513DF0">
            <w:pPr>
              <w:spacing w:before="40" w:after="60" w:line="276" w:lineRule="auto"/>
              <w:ind w:right="111" w:firstLine="0"/>
              <w:contextualSpacing w:val="0"/>
              <w:rPr>
                <w:rFonts w:cs="Calibri"/>
                <w:b w:val="0"/>
                <w:color w:val="000000"/>
                <w:sz w:val="20"/>
                <w:szCs w:val="20"/>
                <w:lang w:val="en-US" w:eastAsia="en-US"/>
              </w:rPr>
            </w:pPr>
            <w:r w:rsidRPr="00513DF0">
              <w:rPr>
                <w:rFonts w:cs="Calibri"/>
                <w:b w:val="0"/>
                <w:color w:val="000000"/>
                <w:sz w:val="20"/>
                <w:szCs w:val="20"/>
                <w:lang w:val="en-US" w:eastAsia="en-US"/>
              </w:rPr>
              <w:t>Արժույթի միջազգային հիմնադրամ (2020 սեպտեմբեր)</w:t>
            </w:r>
          </w:p>
        </w:tc>
        <w:tc>
          <w:tcPr>
            <w:tcW w:w="1335"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-6.0</w:t>
            </w:r>
          </w:p>
        </w:tc>
        <w:tc>
          <w:tcPr>
            <w:tcW w:w="1794"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3.5</w:t>
            </w:r>
          </w:p>
        </w:tc>
      </w:tr>
      <w:tr w:rsidR="00513DF0" w:rsidRPr="00513DF0" w:rsidTr="002026A8">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13DF0" w:rsidRPr="00513DF0" w:rsidRDefault="00513DF0" w:rsidP="00513DF0">
            <w:pPr>
              <w:spacing w:before="40" w:after="60" w:line="276" w:lineRule="auto"/>
              <w:ind w:right="111" w:firstLine="0"/>
              <w:contextualSpacing w:val="0"/>
              <w:rPr>
                <w:rFonts w:cs="Calibri"/>
                <w:b w:val="0"/>
                <w:color w:val="000000"/>
                <w:sz w:val="20"/>
                <w:szCs w:val="20"/>
                <w:lang w:val="en-US" w:eastAsia="en-US"/>
              </w:rPr>
            </w:pPr>
            <w:r w:rsidRPr="00513DF0">
              <w:rPr>
                <w:rFonts w:cs="Calibri"/>
                <w:b w:val="0"/>
                <w:color w:val="000000"/>
                <w:sz w:val="20"/>
                <w:szCs w:val="20"/>
                <w:lang w:val="en-US" w:eastAsia="en-US"/>
              </w:rPr>
              <w:t>Մուդիս (2020 օգոստոս)</w:t>
            </w:r>
          </w:p>
        </w:tc>
        <w:tc>
          <w:tcPr>
            <w:tcW w:w="1335"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-4.0</w:t>
            </w:r>
          </w:p>
        </w:tc>
        <w:tc>
          <w:tcPr>
            <w:tcW w:w="1794"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7.5</w:t>
            </w:r>
          </w:p>
        </w:tc>
      </w:tr>
      <w:tr w:rsidR="00513DF0" w:rsidRPr="00513DF0" w:rsidTr="002026A8">
        <w:trPr>
          <w:trHeight w:val="172"/>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13DF0" w:rsidRPr="00513DF0" w:rsidRDefault="00513DF0" w:rsidP="00513DF0">
            <w:pPr>
              <w:spacing w:before="40" w:after="60" w:line="120" w:lineRule="auto"/>
              <w:ind w:right="113" w:firstLine="0"/>
              <w:contextualSpacing w:val="0"/>
              <w:rPr>
                <w:rFonts w:cs="Calibri"/>
                <w:b w:val="0"/>
                <w:color w:val="000000"/>
                <w:sz w:val="20"/>
                <w:szCs w:val="20"/>
                <w:lang w:val="en-US" w:eastAsia="en-US"/>
              </w:rPr>
            </w:pPr>
          </w:p>
        </w:tc>
        <w:tc>
          <w:tcPr>
            <w:tcW w:w="1335" w:type="dxa"/>
            <w:tcBorders>
              <w:top w:val="single" w:sz="4" w:space="0" w:color="auto"/>
              <w:left w:val="single" w:sz="4" w:space="0" w:color="auto"/>
              <w:bottom w:val="single" w:sz="4" w:space="0" w:color="auto"/>
              <w:right w:val="single" w:sz="4" w:space="0" w:color="auto"/>
            </w:tcBorders>
            <w:noWrap/>
            <w:vAlign w:val="center"/>
          </w:tcPr>
          <w:p w:rsidR="00513DF0" w:rsidRPr="00513DF0" w:rsidRDefault="00513DF0" w:rsidP="00513DF0">
            <w:pPr>
              <w:spacing w:before="40" w:after="60" w:line="120" w:lineRule="auto"/>
              <w:ind w:right="113"/>
              <w:contextualSpacing w:val="0"/>
              <w:jc w:val="center"/>
              <w:rPr>
                <w:rFonts w:cs="Calibri"/>
                <w:b w:val="0"/>
                <w:color w:val="000000"/>
                <w:sz w:val="20"/>
                <w:szCs w:val="20"/>
                <w:lang w:val="en-US" w:eastAsia="en-US"/>
              </w:rPr>
            </w:pPr>
          </w:p>
        </w:tc>
        <w:tc>
          <w:tcPr>
            <w:tcW w:w="1794" w:type="dxa"/>
            <w:tcBorders>
              <w:top w:val="single" w:sz="4" w:space="0" w:color="auto"/>
              <w:left w:val="single" w:sz="4" w:space="0" w:color="auto"/>
              <w:bottom w:val="single" w:sz="4" w:space="0" w:color="auto"/>
              <w:right w:val="single" w:sz="4" w:space="0" w:color="auto"/>
            </w:tcBorders>
            <w:noWrap/>
            <w:vAlign w:val="center"/>
          </w:tcPr>
          <w:p w:rsidR="00513DF0" w:rsidRPr="00513DF0" w:rsidRDefault="00513DF0" w:rsidP="00513DF0">
            <w:pPr>
              <w:spacing w:before="40" w:after="60" w:line="120" w:lineRule="auto"/>
              <w:ind w:right="113"/>
              <w:contextualSpacing w:val="0"/>
              <w:jc w:val="center"/>
              <w:rPr>
                <w:rFonts w:cs="Calibri"/>
                <w:b w:val="0"/>
                <w:color w:val="000000"/>
                <w:sz w:val="20"/>
                <w:szCs w:val="20"/>
                <w:lang w:val="en-US" w:eastAsia="en-US"/>
              </w:rPr>
            </w:pPr>
          </w:p>
        </w:tc>
      </w:tr>
      <w:tr w:rsidR="00513DF0" w:rsidRPr="00513DF0" w:rsidTr="002026A8">
        <w:trPr>
          <w:trHeight w:val="234"/>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13DF0" w:rsidRPr="009206BE" w:rsidRDefault="00513DF0" w:rsidP="00513DF0">
            <w:pPr>
              <w:spacing w:before="40" w:after="60" w:line="276" w:lineRule="auto"/>
              <w:ind w:right="111" w:firstLine="0"/>
              <w:contextualSpacing w:val="0"/>
              <w:rPr>
                <w:rFonts w:cs="Calibri"/>
                <w:b w:val="0"/>
                <w:color w:val="000000"/>
                <w:sz w:val="20"/>
                <w:szCs w:val="20"/>
                <w:highlight w:val="yellow"/>
                <w:lang w:eastAsia="en-US"/>
              </w:rPr>
            </w:pPr>
            <w:r w:rsidRPr="00513DF0">
              <w:rPr>
                <w:rFonts w:cs="Calibri"/>
                <w:b w:val="0"/>
                <w:color w:val="000000"/>
                <w:sz w:val="20"/>
                <w:szCs w:val="20"/>
                <w:lang w:val="en-US" w:eastAsia="en-US"/>
              </w:rPr>
              <w:t>ՀՀ</w:t>
            </w:r>
            <w:r w:rsidRPr="009206BE">
              <w:rPr>
                <w:rFonts w:cs="Calibri"/>
                <w:b w:val="0"/>
                <w:color w:val="000000"/>
                <w:sz w:val="20"/>
                <w:szCs w:val="20"/>
                <w:lang w:eastAsia="en-US"/>
              </w:rPr>
              <w:t xml:space="preserve"> </w:t>
            </w:r>
            <w:r w:rsidRPr="00513DF0">
              <w:rPr>
                <w:rFonts w:cs="Calibri"/>
                <w:b w:val="0"/>
                <w:color w:val="000000"/>
                <w:sz w:val="20"/>
                <w:szCs w:val="20"/>
                <w:lang w:val="en-US" w:eastAsia="en-US"/>
              </w:rPr>
              <w:t>կենտրոնական</w:t>
            </w:r>
            <w:r w:rsidRPr="009206BE">
              <w:rPr>
                <w:rFonts w:cs="Calibri"/>
                <w:b w:val="0"/>
                <w:color w:val="000000"/>
                <w:sz w:val="20"/>
                <w:szCs w:val="20"/>
                <w:lang w:eastAsia="en-US"/>
              </w:rPr>
              <w:t xml:space="preserve"> </w:t>
            </w:r>
            <w:r w:rsidRPr="00513DF0">
              <w:rPr>
                <w:rFonts w:cs="Calibri"/>
                <w:b w:val="0"/>
                <w:color w:val="000000"/>
                <w:sz w:val="20"/>
                <w:szCs w:val="20"/>
                <w:lang w:val="en-US" w:eastAsia="en-US"/>
              </w:rPr>
              <w:t>բանկ</w:t>
            </w:r>
            <w:r w:rsidRPr="009206BE">
              <w:rPr>
                <w:rFonts w:cs="Calibri"/>
                <w:b w:val="0"/>
                <w:color w:val="000000"/>
                <w:sz w:val="20"/>
                <w:szCs w:val="20"/>
                <w:lang w:eastAsia="en-US"/>
              </w:rPr>
              <w:t xml:space="preserve"> (20</w:t>
            </w:r>
            <w:r w:rsidRPr="00513DF0">
              <w:rPr>
                <w:rFonts w:cs="Calibri"/>
                <w:b w:val="0"/>
                <w:color w:val="000000"/>
                <w:sz w:val="20"/>
                <w:szCs w:val="20"/>
                <w:lang w:val="hy-AM" w:eastAsia="en-US"/>
              </w:rPr>
              <w:t>20</w:t>
            </w:r>
            <w:r w:rsidRPr="00513DF0">
              <w:rPr>
                <w:rFonts w:cs="Calibri"/>
                <w:b w:val="0"/>
                <w:color w:val="000000"/>
                <w:sz w:val="20"/>
                <w:szCs w:val="20"/>
                <w:lang w:val="en-US" w:eastAsia="en-US"/>
              </w:rPr>
              <w:t>թ</w:t>
            </w:r>
            <w:r w:rsidRPr="009206BE">
              <w:rPr>
                <w:rFonts w:cs="Calibri"/>
                <w:b w:val="0"/>
                <w:color w:val="000000"/>
                <w:sz w:val="20"/>
                <w:szCs w:val="20"/>
                <w:lang w:eastAsia="en-US"/>
              </w:rPr>
              <w:t xml:space="preserve">. </w:t>
            </w:r>
            <w:r w:rsidRPr="00513DF0">
              <w:rPr>
                <w:rFonts w:cs="Calibri"/>
                <w:b w:val="0"/>
                <w:color w:val="000000"/>
                <w:sz w:val="20"/>
                <w:szCs w:val="20"/>
                <w:lang w:val="en-US" w:eastAsia="en-US"/>
              </w:rPr>
              <w:t>հունիս</w:t>
            </w:r>
            <w:r w:rsidRPr="009206BE">
              <w:rPr>
                <w:rFonts w:cs="Calibri"/>
                <w:b w:val="0"/>
                <w:color w:val="000000"/>
                <w:sz w:val="20"/>
                <w:szCs w:val="20"/>
                <w:lang w:eastAsia="en-US"/>
              </w:rPr>
              <w:t>)</w:t>
            </w:r>
          </w:p>
        </w:tc>
        <w:tc>
          <w:tcPr>
            <w:tcW w:w="1335"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hy-AM" w:eastAsia="en-US"/>
              </w:rPr>
              <w:t>-4</w:t>
            </w:r>
            <w:r w:rsidRPr="00513DF0">
              <w:rPr>
                <w:rFonts w:cs="Calibri"/>
                <w:b w:val="0"/>
                <w:color w:val="000000"/>
                <w:sz w:val="20"/>
                <w:szCs w:val="20"/>
                <w:lang w:val="en-US" w:eastAsia="en-US"/>
              </w:rPr>
              <w:t>.</w:t>
            </w:r>
            <w:r w:rsidRPr="00513DF0">
              <w:rPr>
                <w:rFonts w:cs="Calibri"/>
                <w:b w:val="0"/>
                <w:color w:val="000000"/>
                <w:sz w:val="20"/>
                <w:szCs w:val="20"/>
                <w:lang w:val="hy-AM" w:eastAsia="en-US"/>
              </w:rPr>
              <w:t>0</w:t>
            </w:r>
          </w:p>
        </w:tc>
        <w:tc>
          <w:tcPr>
            <w:tcW w:w="1794"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hy-AM" w:eastAsia="en-US"/>
              </w:rPr>
              <w:t>5</w:t>
            </w:r>
            <w:r w:rsidRPr="00513DF0">
              <w:rPr>
                <w:rFonts w:cs="Calibri"/>
                <w:b w:val="0"/>
                <w:color w:val="000000"/>
                <w:sz w:val="20"/>
                <w:szCs w:val="20"/>
                <w:lang w:val="en-US" w:eastAsia="en-US"/>
              </w:rPr>
              <w:t>.</w:t>
            </w:r>
            <w:r w:rsidRPr="00513DF0">
              <w:rPr>
                <w:rFonts w:cs="Calibri"/>
                <w:b w:val="0"/>
                <w:color w:val="000000"/>
                <w:sz w:val="20"/>
                <w:szCs w:val="20"/>
                <w:lang w:val="hy-AM" w:eastAsia="en-US"/>
              </w:rPr>
              <w:t>5</w:t>
            </w:r>
          </w:p>
        </w:tc>
      </w:tr>
      <w:tr w:rsidR="00513DF0" w:rsidRPr="00513DF0" w:rsidTr="002026A8">
        <w:trPr>
          <w:trHeight w:val="270"/>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13DF0" w:rsidRPr="00513DF0" w:rsidRDefault="00513DF0" w:rsidP="00513DF0">
            <w:pPr>
              <w:spacing w:before="40" w:after="60" w:line="276" w:lineRule="auto"/>
              <w:ind w:right="111" w:firstLine="0"/>
              <w:contextualSpacing w:val="0"/>
              <w:rPr>
                <w:rFonts w:cs="Calibri"/>
                <w:b w:val="0"/>
                <w:color w:val="000000"/>
                <w:sz w:val="20"/>
                <w:szCs w:val="20"/>
                <w:lang w:val="en-US" w:eastAsia="en-US"/>
              </w:rPr>
            </w:pPr>
            <w:r w:rsidRPr="00513DF0">
              <w:rPr>
                <w:rFonts w:cs="Calibri"/>
                <w:b w:val="0"/>
                <w:color w:val="000000"/>
                <w:sz w:val="20"/>
                <w:szCs w:val="20"/>
                <w:lang w:val="en-US" w:eastAsia="en-US"/>
              </w:rPr>
              <w:t>Համաշխարհային բանկ (2020 հ</w:t>
            </w:r>
            <w:r w:rsidRPr="00513DF0">
              <w:rPr>
                <w:rFonts w:cs="Calibri"/>
                <w:b w:val="0"/>
                <w:color w:val="000000"/>
                <w:sz w:val="20"/>
                <w:szCs w:val="20"/>
                <w:lang w:eastAsia="en-US"/>
              </w:rPr>
              <w:t>ուն</w:t>
            </w:r>
            <w:r w:rsidRPr="00513DF0">
              <w:rPr>
                <w:rFonts w:cs="Calibri"/>
                <w:b w:val="0"/>
                <w:color w:val="000000"/>
                <w:sz w:val="20"/>
                <w:szCs w:val="20"/>
                <w:lang w:val="en-US" w:eastAsia="en-US"/>
              </w:rPr>
              <w:t>իս)</w:t>
            </w:r>
          </w:p>
        </w:tc>
        <w:tc>
          <w:tcPr>
            <w:tcW w:w="1335"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-2.8</w:t>
            </w:r>
          </w:p>
        </w:tc>
        <w:tc>
          <w:tcPr>
            <w:tcW w:w="1794"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4.9</w:t>
            </w:r>
          </w:p>
        </w:tc>
      </w:tr>
      <w:tr w:rsidR="00513DF0" w:rsidRPr="00513DF0" w:rsidTr="002026A8">
        <w:trPr>
          <w:trHeight w:val="134"/>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513DF0" w:rsidRPr="00513DF0" w:rsidRDefault="00513DF0" w:rsidP="00513DF0">
            <w:pPr>
              <w:spacing w:before="40" w:after="60" w:line="120" w:lineRule="auto"/>
              <w:ind w:right="113" w:firstLine="0"/>
              <w:contextualSpacing w:val="0"/>
              <w:rPr>
                <w:rFonts w:cs="Calibri"/>
                <w:b w:val="0"/>
                <w:color w:val="000000"/>
                <w:sz w:val="20"/>
                <w:szCs w:val="20"/>
                <w:lang w:val="hy-AM" w:eastAsia="en-US"/>
              </w:rPr>
            </w:pPr>
          </w:p>
        </w:tc>
        <w:tc>
          <w:tcPr>
            <w:tcW w:w="1335" w:type="dxa"/>
            <w:tcBorders>
              <w:top w:val="single" w:sz="4" w:space="0" w:color="auto"/>
              <w:left w:val="single" w:sz="4" w:space="0" w:color="auto"/>
              <w:bottom w:val="single" w:sz="4" w:space="0" w:color="auto"/>
              <w:right w:val="single" w:sz="4" w:space="0" w:color="auto"/>
            </w:tcBorders>
            <w:noWrap/>
            <w:vAlign w:val="center"/>
          </w:tcPr>
          <w:p w:rsidR="00513DF0" w:rsidRPr="00513DF0" w:rsidRDefault="00513DF0" w:rsidP="00513DF0">
            <w:pPr>
              <w:spacing w:before="40" w:after="60" w:line="120" w:lineRule="auto"/>
              <w:ind w:right="113"/>
              <w:contextualSpacing w:val="0"/>
              <w:jc w:val="center"/>
              <w:rPr>
                <w:rFonts w:cs="Calibri"/>
                <w:b w:val="0"/>
                <w:color w:val="000000"/>
                <w:sz w:val="20"/>
                <w:szCs w:val="20"/>
                <w:lang w:val="en-US" w:eastAsia="en-US"/>
              </w:rPr>
            </w:pPr>
          </w:p>
        </w:tc>
        <w:tc>
          <w:tcPr>
            <w:tcW w:w="1794" w:type="dxa"/>
            <w:tcBorders>
              <w:top w:val="single" w:sz="4" w:space="0" w:color="auto"/>
              <w:left w:val="single" w:sz="4" w:space="0" w:color="auto"/>
              <w:bottom w:val="single" w:sz="4" w:space="0" w:color="auto"/>
              <w:right w:val="single" w:sz="4" w:space="0" w:color="auto"/>
            </w:tcBorders>
            <w:noWrap/>
            <w:vAlign w:val="center"/>
          </w:tcPr>
          <w:p w:rsidR="00513DF0" w:rsidRPr="00513DF0" w:rsidRDefault="00513DF0" w:rsidP="00513DF0">
            <w:pPr>
              <w:spacing w:before="40" w:after="60" w:line="120" w:lineRule="auto"/>
              <w:ind w:right="113"/>
              <w:contextualSpacing w:val="0"/>
              <w:jc w:val="center"/>
              <w:rPr>
                <w:rFonts w:cs="Calibri"/>
                <w:b w:val="0"/>
                <w:color w:val="000000"/>
                <w:sz w:val="20"/>
                <w:szCs w:val="20"/>
                <w:lang w:val="en-US" w:eastAsia="en-US"/>
              </w:rPr>
            </w:pPr>
          </w:p>
        </w:tc>
      </w:tr>
      <w:tr w:rsidR="00513DF0" w:rsidRPr="00513DF0" w:rsidTr="002026A8">
        <w:trPr>
          <w:trHeight w:val="234"/>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13DF0" w:rsidRPr="00513DF0" w:rsidRDefault="00513DF0" w:rsidP="00513DF0">
            <w:pPr>
              <w:spacing w:before="40" w:after="60" w:line="276" w:lineRule="auto"/>
              <w:ind w:right="111" w:firstLine="0"/>
              <w:contextualSpacing w:val="0"/>
              <w:rPr>
                <w:rFonts w:cs="Calibri"/>
                <w:b w:val="0"/>
                <w:color w:val="000000"/>
                <w:sz w:val="20"/>
                <w:szCs w:val="20"/>
                <w:lang w:val="en-US" w:eastAsia="en-US"/>
              </w:rPr>
            </w:pPr>
            <w:r w:rsidRPr="00513DF0">
              <w:rPr>
                <w:rFonts w:cs="Calibri"/>
                <w:b w:val="0"/>
                <w:color w:val="000000"/>
                <w:sz w:val="20"/>
                <w:szCs w:val="20"/>
                <w:lang w:val="hy-AM" w:eastAsia="en-US"/>
              </w:rPr>
              <w:t>ՀՀ ֆինանսների նախարարություն</w:t>
            </w:r>
            <w:r w:rsidRPr="00513DF0">
              <w:rPr>
                <w:rFonts w:cs="Calibri"/>
                <w:b w:val="0"/>
                <w:color w:val="000000"/>
                <w:sz w:val="20"/>
                <w:szCs w:val="20"/>
                <w:lang w:val="en-US" w:eastAsia="en-US"/>
              </w:rPr>
              <w:t xml:space="preserve"> (2020 </w:t>
            </w:r>
            <w:r w:rsidRPr="00513DF0">
              <w:rPr>
                <w:rFonts w:cs="Calibri"/>
                <w:b w:val="0"/>
                <w:color w:val="000000"/>
                <w:sz w:val="20"/>
                <w:szCs w:val="20"/>
                <w:lang w:val="hy-AM" w:eastAsia="en-US"/>
              </w:rPr>
              <w:t>ապրիլ</w:t>
            </w:r>
            <w:r w:rsidRPr="00513DF0">
              <w:rPr>
                <w:rFonts w:cs="Calibri"/>
                <w:b w:val="0"/>
                <w:color w:val="000000"/>
                <w:sz w:val="20"/>
                <w:szCs w:val="20"/>
                <w:lang w:val="en-US" w:eastAsia="en-US"/>
              </w:rPr>
              <w:t>)</w:t>
            </w:r>
          </w:p>
        </w:tc>
        <w:tc>
          <w:tcPr>
            <w:tcW w:w="1335"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-2.6</w:t>
            </w:r>
          </w:p>
        </w:tc>
        <w:tc>
          <w:tcPr>
            <w:tcW w:w="1794"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7.0</w:t>
            </w:r>
          </w:p>
        </w:tc>
      </w:tr>
      <w:tr w:rsidR="00513DF0" w:rsidRPr="00513DF0" w:rsidTr="002026A8">
        <w:trPr>
          <w:trHeight w:val="234"/>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13DF0" w:rsidRPr="009206BE" w:rsidRDefault="00513DF0" w:rsidP="00513DF0">
            <w:pPr>
              <w:spacing w:before="40" w:after="60" w:line="276" w:lineRule="auto"/>
              <w:ind w:right="111" w:firstLine="0"/>
              <w:contextualSpacing w:val="0"/>
              <w:rPr>
                <w:rFonts w:cs="Calibri"/>
                <w:b w:val="0"/>
                <w:color w:val="000000"/>
                <w:sz w:val="20"/>
                <w:szCs w:val="20"/>
                <w:highlight w:val="yellow"/>
                <w:lang w:eastAsia="en-US"/>
              </w:rPr>
            </w:pPr>
            <w:r w:rsidRPr="00513DF0">
              <w:rPr>
                <w:rFonts w:cs="Calibri"/>
                <w:b w:val="0"/>
                <w:color w:val="000000"/>
                <w:sz w:val="20"/>
                <w:szCs w:val="20"/>
                <w:lang w:val="en-US" w:eastAsia="en-US"/>
              </w:rPr>
              <w:t>ՀՀ</w:t>
            </w:r>
            <w:r w:rsidRPr="009206BE">
              <w:rPr>
                <w:rFonts w:cs="Calibri"/>
                <w:b w:val="0"/>
                <w:color w:val="000000"/>
                <w:sz w:val="20"/>
                <w:szCs w:val="20"/>
                <w:lang w:eastAsia="en-US"/>
              </w:rPr>
              <w:t xml:space="preserve"> </w:t>
            </w:r>
            <w:r w:rsidRPr="00513DF0">
              <w:rPr>
                <w:rFonts w:cs="Calibri"/>
                <w:b w:val="0"/>
                <w:color w:val="000000"/>
                <w:sz w:val="20"/>
                <w:szCs w:val="20"/>
                <w:lang w:val="en-US" w:eastAsia="en-US"/>
              </w:rPr>
              <w:t>կենտրոնական</w:t>
            </w:r>
            <w:r w:rsidRPr="009206BE">
              <w:rPr>
                <w:rFonts w:cs="Calibri"/>
                <w:b w:val="0"/>
                <w:color w:val="000000"/>
                <w:sz w:val="20"/>
                <w:szCs w:val="20"/>
                <w:lang w:eastAsia="en-US"/>
              </w:rPr>
              <w:t xml:space="preserve"> </w:t>
            </w:r>
            <w:r w:rsidRPr="00513DF0">
              <w:rPr>
                <w:rFonts w:cs="Calibri"/>
                <w:b w:val="0"/>
                <w:color w:val="000000"/>
                <w:sz w:val="20"/>
                <w:szCs w:val="20"/>
                <w:lang w:val="en-US" w:eastAsia="en-US"/>
              </w:rPr>
              <w:t>բանկ</w:t>
            </w:r>
            <w:r w:rsidRPr="009206BE">
              <w:rPr>
                <w:rFonts w:cs="Calibri"/>
                <w:b w:val="0"/>
                <w:color w:val="000000"/>
                <w:sz w:val="20"/>
                <w:szCs w:val="20"/>
                <w:lang w:eastAsia="en-US"/>
              </w:rPr>
              <w:t xml:space="preserve"> (20</w:t>
            </w:r>
            <w:r w:rsidRPr="00513DF0">
              <w:rPr>
                <w:rFonts w:cs="Calibri"/>
                <w:b w:val="0"/>
                <w:color w:val="000000"/>
                <w:sz w:val="20"/>
                <w:szCs w:val="20"/>
                <w:lang w:val="hy-AM" w:eastAsia="en-US"/>
              </w:rPr>
              <w:t>20</w:t>
            </w:r>
            <w:r w:rsidRPr="00513DF0">
              <w:rPr>
                <w:rFonts w:cs="Calibri"/>
                <w:b w:val="0"/>
                <w:color w:val="000000"/>
                <w:sz w:val="20"/>
                <w:szCs w:val="20"/>
                <w:lang w:val="en-US" w:eastAsia="en-US"/>
              </w:rPr>
              <w:t>թ</w:t>
            </w:r>
            <w:r w:rsidRPr="009206BE">
              <w:rPr>
                <w:rFonts w:cs="Calibri"/>
                <w:b w:val="0"/>
                <w:color w:val="000000"/>
                <w:sz w:val="20"/>
                <w:szCs w:val="20"/>
                <w:lang w:eastAsia="en-US"/>
              </w:rPr>
              <w:t xml:space="preserve">. </w:t>
            </w:r>
            <w:r w:rsidRPr="00513DF0">
              <w:rPr>
                <w:rFonts w:cs="Calibri"/>
                <w:b w:val="0"/>
                <w:color w:val="000000"/>
                <w:sz w:val="20"/>
                <w:szCs w:val="20"/>
                <w:lang w:val="hy-AM" w:eastAsia="en-US"/>
              </w:rPr>
              <w:t>մարտ</w:t>
            </w:r>
            <w:r w:rsidRPr="009206BE">
              <w:rPr>
                <w:rFonts w:cs="Calibri"/>
                <w:b w:val="0"/>
                <w:color w:val="000000"/>
                <w:sz w:val="20"/>
                <w:szCs w:val="20"/>
                <w:lang w:eastAsia="en-US"/>
              </w:rPr>
              <w:t>)</w:t>
            </w:r>
          </w:p>
        </w:tc>
        <w:tc>
          <w:tcPr>
            <w:tcW w:w="1335"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0.7</w:t>
            </w:r>
          </w:p>
        </w:tc>
        <w:tc>
          <w:tcPr>
            <w:tcW w:w="1794"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7.2</w:t>
            </w:r>
          </w:p>
        </w:tc>
      </w:tr>
      <w:tr w:rsidR="00513DF0" w:rsidRPr="00513DF0" w:rsidTr="002026A8">
        <w:trPr>
          <w:trHeight w:val="234"/>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13DF0" w:rsidRPr="00513DF0" w:rsidRDefault="00513DF0" w:rsidP="00513DF0">
            <w:pPr>
              <w:spacing w:before="40" w:after="60" w:line="276" w:lineRule="auto"/>
              <w:ind w:right="111" w:firstLine="0"/>
              <w:contextualSpacing w:val="0"/>
              <w:rPr>
                <w:rFonts w:cs="Calibri"/>
                <w:b w:val="0"/>
                <w:color w:val="000000"/>
                <w:sz w:val="20"/>
                <w:szCs w:val="20"/>
                <w:lang w:val="en-US" w:eastAsia="en-US"/>
              </w:rPr>
            </w:pPr>
            <w:r w:rsidRPr="00513DF0">
              <w:rPr>
                <w:rFonts w:cs="Calibri"/>
                <w:b w:val="0"/>
                <w:color w:val="000000"/>
                <w:sz w:val="20"/>
                <w:szCs w:val="20"/>
                <w:lang w:val="en-US" w:eastAsia="en-US"/>
              </w:rPr>
              <w:t xml:space="preserve">Արժույթի միջազգային հիմնադրամ (2020 </w:t>
            </w:r>
            <w:r w:rsidRPr="00513DF0">
              <w:rPr>
                <w:rFonts w:cs="Calibri"/>
                <w:b w:val="0"/>
                <w:color w:val="000000"/>
                <w:sz w:val="20"/>
                <w:szCs w:val="20"/>
                <w:lang w:val="hy-AM" w:eastAsia="en-US"/>
              </w:rPr>
              <w:t>ապրիլ</w:t>
            </w:r>
            <w:r w:rsidRPr="00513DF0">
              <w:rPr>
                <w:rFonts w:cs="Calibri"/>
                <w:b w:val="0"/>
                <w:color w:val="000000"/>
                <w:sz w:val="20"/>
                <w:szCs w:val="20"/>
                <w:lang w:val="en-US" w:eastAsia="en-US"/>
              </w:rPr>
              <w:t>)</w:t>
            </w:r>
          </w:p>
        </w:tc>
        <w:tc>
          <w:tcPr>
            <w:tcW w:w="1335"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hy-AM" w:eastAsia="en-US"/>
              </w:rPr>
              <w:t>-1</w:t>
            </w:r>
            <w:r w:rsidRPr="00513DF0">
              <w:rPr>
                <w:rFonts w:cs="Calibri"/>
                <w:b w:val="0"/>
                <w:color w:val="000000"/>
                <w:sz w:val="20"/>
                <w:szCs w:val="20"/>
                <w:lang w:val="en-US" w:eastAsia="en-US"/>
              </w:rPr>
              <w:t>.</w:t>
            </w:r>
            <w:r w:rsidRPr="00513DF0">
              <w:rPr>
                <w:rFonts w:cs="Calibri"/>
                <w:b w:val="0"/>
                <w:color w:val="000000"/>
                <w:sz w:val="20"/>
                <w:szCs w:val="20"/>
                <w:lang w:val="hy-AM" w:eastAsia="en-US"/>
              </w:rPr>
              <w:t>5</w:t>
            </w:r>
          </w:p>
        </w:tc>
        <w:tc>
          <w:tcPr>
            <w:tcW w:w="1794"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lang w:val="en-US" w:eastAsia="en-US"/>
              </w:rPr>
            </w:pPr>
            <w:r w:rsidRPr="00513DF0">
              <w:rPr>
                <w:rFonts w:cs="Calibri"/>
                <w:b w:val="0"/>
                <w:color w:val="000000"/>
                <w:sz w:val="20"/>
                <w:szCs w:val="20"/>
                <w:lang w:val="en-US" w:eastAsia="en-US"/>
              </w:rPr>
              <w:t>4.</w:t>
            </w:r>
            <w:r w:rsidRPr="00513DF0">
              <w:rPr>
                <w:rFonts w:cs="Calibri"/>
                <w:b w:val="0"/>
                <w:color w:val="000000"/>
                <w:sz w:val="20"/>
                <w:szCs w:val="20"/>
                <w:lang w:val="hy-AM" w:eastAsia="en-US"/>
              </w:rPr>
              <w:t>8</w:t>
            </w:r>
          </w:p>
        </w:tc>
      </w:tr>
      <w:tr w:rsidR="00513DF0" w:rsidRPr="00513DF0" w:rsidTr="002026A8">
        <w:trPr>
          <w:trHeight w:val="234"/>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513DF0" w:rsidRPr="00513DF0" w:rsidRDefault="00513DF0" w:rsidP="00513DF0">
            <w:pPr>
              <w:spacing w:before="40" w:after="60" w:line="276" w:lineRule="auto"/>
              <w:ind w:right="111" w:firstLine="0"/>
              <w:contextualSpacing w:val="0"/>
              <w:rPr>
                <w:rFonts w:cs="Calibri"/>
                <w:b w:val="0"/>
                <w:color w:val="000000"/>
                <w:sz w:val="20"/>
                <w:szCs w:val="20"/>
                <w:highlight w:val="yellow"/>
                <w:lang w:val="en-US" w:eastAsia="en-US"/>
              </w:rPr>
            </w:pPr>
            <w:r w:rsidRPr="00513DF0">
              <w:rPr>
                <w:rFonts w:cs="Calibri"/>
                <w:b w:val="0"/>
                <w:color w:val="000000"/>
                <w:sz w:val="20"/>
                <w:szCs w:val="20"/>
                <w:lang w:val="en-US" w:eastAsia="en-US"/>
              </w:rPr>
              <w:t xml:space="preserve">Մուդիս (2020 </w:t>
            </w:r>
            <w:r w:rsidRPr="00513DF0">
              <w:rPr>
                <w:rFonts w:cs="Calibri"/>
                <w:b w:val="0"/>
                <w:color w:val="000000"/>
                <w:sz w:val="20"/>
                <w:szCs w:val="20"/>
                <w:lang w:val="hy-AM" w:eastAsia="en-US"/>
              </w:rPr>
              <w:t>ապրիլ</w:t>
            </w:r>
            <w:r w:rsidRPr="00513DF0">
              <w:rPr>
                <w:rFonts w:cs="Calibri"/>
                <w:b w:val="0"/>
                <w:color w:val="000000"/>
                <w:sz w:val="20"/>
                <w:szCs w:val="20"/>
                <w:lang w:val="en-US" w:eastAsia="en-US"/>
              </w:rPr>
              <w:t>)</w:t>
            </w:r>
          </w:p>
        </w:tc>
        <w:tc>
          <w:tcPr>
            <w:tcW w:w="1335"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highlight w:val="yellow"/>
                <w:lang w:val="en-US" w:eastAsia="en-US"/>
              </w:rPr>
            </w:pPr>
            <w:r w:rsidRPr="00513DF0">
              <w:rPr>
                <w:rFonts w:cs="Calibri"/>
                <w:b w:val="0"/>
                <w:color w:val="000000"/>
                <w:sz w:val="20"/>
                <w:szCs w:val="20"/>
                <w:lang w:val="en-US" w:eastAsia="en-US"/>
              </w:rPr>
              <w:t>0.5</w:t>
            </w:r>
          </w:p>
        </w:tc>
        <w:tc>
          <w:tcPr>
            <w:tcW w:w="1794" w:type="dxa"/>
            <w:tcBorders>
              <w:top w:val="single" w:sz="4" w:space="0" w:color="auto"/>
              <w:left w:val="single" w:sz="4" w:space="0" w:color="auto"/>
              <w:bottom w:val="single" w:sz="4" w:space="0" w:color="auto"/>
              <w:right w:val="single" w:sz="4" w:space="0" w:color="auto"/>
            </w:tcBorders>
            <w:noWrap/>
            <w:vAlign w:val="center"/>
            <w:hideMark/>
          </w:tcPr>
          <w:p w:rsidR="00513DF0" w:rsidRPr="00513DF0" w:rsidRDefault="00513DF0" w:rsidP="00513DF0">
            <w:pPr>
              <w:spacing w:before="40" w:after="60" w:line="276" w:lineRule="auto"/>
              <w:ind w:right="111"/>
              <w:contextualSpacing w:val="0"/>
              <w:jc w:val="center"/>
              <w:rPr>
                <w:rFonts w:cs="Calibri"/>
                <w:b w:val="0"/>
                <w:color w:val="000000"/>
                <w:sz w:val="20"/>
                <w:szCs w:val="20"/>
                <w:highlight w:val="yellow"/>
                <w:lang w:val="en-US" w:eastAsia="en-US"/>
              </w:rPr>
            </w:pPr>
            <w:r w:rsidRPr="00513DF0">
              <w:rPr>
                <w:rFonts w:cs="Calibri"/>
                <w:b w:val="0"/>
                <w:color w:val="000000"/>
                <w:sz w:val="20"/>
                <w:szCs w:val="20"/>
                <w:lang w:val="en-US" w:eastAsia="en-US"/>
              </w:rPr>
              <w:t>7.0</w:t>
            </w:r>
          </w:p>
        </w:tc>
      </w:tr>
    </w:tbl>
    <w:p w:rsidR="00513DF0" w:rsidRPr="00513DF0" w:rsidRDefault="00513DF0" w:rsidP="00513DF0">
      <w:pPr>
        <w:spacing w:before="0" w:after="120" w:line="480" w:lineRule="auto"/>
        <w:ind w:right="111" w:firstLine="0"/>
        <w:contextualSpacing w:val="0"/>
        <w:jc w:val="left"/>
        <w:rPr>
          <w:rFonts w:ascii="Times New Roman" w:hAnsi="Times New Roman"/>
          <w:bCs/>
          <w:color w:val="1F497D"/>
          <w:sz w:val="18"/>
          <w:szCs w:val="18"/>
          <w:lang w:val="en-US" w:eastAsia="en-US"/>
        </w:rPr>
      </w:pPr>
      <w:r w:rsidRPr="00513DF0">
        <w:rPr>
          <w:b w:val="0"/>
          <w:sz w:val="18"/>
          <w:szCs w:val="18"/>
          <w:lang w:val="en-US" w:eastAsia="en-US"/>
        </w:rPr>
        <w:t xml:space="preserve">    </w:t>
      </w:r>
      <w:r w:rsidRPr="00513DF0">
        <w:rPr>
          <w:b w:val="0"/>
          <w:sz w:val="18"/>
          <w:szCs w:val="18"/>
          <w:lang w:val="hy-AM" w:eastAsia="en-US"/>
        </w:rPr>
        <w:t>Աղբյուրը՝ համապատասխան կառույցների հրապարակումներ</w:t>
      </w:r>
    </w:p>
    <w:p w:rsidR="00AD5F3C" w:rsidRPr="005150E5" w:rsidRDefault="00AD5F3C" w:rsidP="007730AA">
      <w:pPr>
        <w:spacing w:before="0" w:line="276" w:lineRule="auto"/>
        <w:ind w:firstLine="720"/>
        <w:contextualSpacing w:val="0"/>
        <w:rPr>
          <w:rFonts w:cs="Sylfaen"/>
          <w:b w:val="0"/>
          <w:bCs/>
          <w:i/>
          <w:iCs/>
          <w:sz w:val="20"/>
          <w:szCs w:val="20"/>
          <w:lang w:val="hy-AM" w:eastAsia="en-US"/>
        </w:rPr>
      </w:pPr>
    </w:p>
    <w:p w:rsidR="002C0A36" w:rsidRPr="00457531" w:rsidRDefault="00ED3452" w:rsidP="007730AA">
      <w:pPr>
        <w:keepNext/>
        <w:keepLines/>
        <w:spacing w:before="0" w:line="312" w:lineRule="auto"/>
        <w:ind w:firstLine="0"/>
        <w:outlineLvl w:val="2"/>
        <w:rPr>
          <w:szCs w:val="22"/>
          <w:lang w:val="hy-AM" w:eastAsia="en-US"/>
        </w:rPr>
      </w:pPr>
      <w:bookmarkStart w:id="265" w:name="_Toc57655496"/>
      <w:r w:rsidRPr="00457531">
        <w:rPr>
          <w:szCs w:val="22"/>
          <w:lang w:val="hy-AM" w:eastAsia="en-US"/>
        </w:rPr>
        <w:t>4</w:t>
      </w:r>
      <w:r w:rsidR="003342DF" w:rsidRPr="00457531">
        <w:rPr>
          <w:szCs w:val="22"/>
          <w:lang w:val="hy-AM" w:eastAsia="en-US"/>
        </w:rPr>
        <w:t xml:space="preserve">. </w:t>
      </w:r>
      <w:r w:rsidR="002C0A36" w:rsidRPr="00457531">
        <w:rPr>
          <w:szCs w:val="22"/>
          <w:lang w:val="hy-AM" w:eastAsia="en-US"/>
        </w:rPr>
        <w:t>ԵՆԹԱԿԱՌՈՒՑՎԱԾՔԱՅԻՆ (ԷՆԵՐԳԵՏԻԿԱ, ՏՐԱՆՍՊՈՐՏ ԵՎ ՋՐԱՅԻՆ ՏՆՏԵՍՈՒԹՅՈՒՆ) ՈԼՈՐՏՆԵՐՈՒՄ ԳՈՐԾՈՂ ԿԱԶՄԱԿԵՐՊՈՒԹՅՈՒՆՆԵՐԻ ԳՈՐԾՈՒՆԵՈՒԹՅԱՆՆ ԱՌՆՉՎՈՂ ՀԱՐԿԱԲՅՈՒՋԵՏԱՅԻՆ ՌԻՍԿԵՐԻ ԳՆԱՀԱՏԱԿԱՆԸ</w:t>
      </w:r>
      <w:bookmarkEnd w:id="265"/>
    </w:p>
    <w:p w:rsidR="002C0A36" w:rsidRPr="003342DF" w:rsidRDefault="002C0A36" w:rsidP="007730AA">
      <w:pPr>
        <w:spacing w:before="0" w:line="276" w:lineRule="auto"/>
        <w:ind w:firstLine="0"/>
        <w:contextualSpacing w:val="0"/>
        <w:rPr>
          <w:color w:val="1F4E79"/>
          <w:sz w:val="24"/>
          <w:lang w:val="hy-AM"/>
        </w:rPr>
      </w:pPr>
    </w:p>
    <w:p w:rsidR="00BD3813" w:rsidRPr="002C0A36" w:rsidRDefault="00BD3813" w:rsidP="007730AA">
      <w:pPr>
        <w:spacing w:before="0" w:line="276" w:lineRule="auto"/>
        <w:contextualSpacing w:val="0"/>
        <w:jc w:val="left"/>
        <w:rPr>
          <w:szCs w:val="22"/>
          <w:lang w:val="hy-AM"/>
        </w:rPr>
      </w:pPr>
      <w:bookmarkStart w:id="266" w:name="_Toc45838554"/>
      <w:r w:rsidRPr="002C0A36">
        <w:rPr>
          <w:szCs w:val="22"/>
          <w:lang w:val="hy-AM"/>
        </w:rPr>
        <w:t>Ներածություն</w:t>
      </w:r>
    </w:p>
    <w:p w:rsidR="002C0A36" w:rsidRPr="002C0A36" w:rsidRDefault="002C0A36" w:rsidP="007730AA">
      <w:pPr>
        <w:spacing w:before="0" w:line="276" w:lineRule="auto"/>
        <w:contextualSpacing w:val="0"/>
        <w:rPr>
          <w:b w:val="0"/>
          <w:szCs w:val="22"/>
          <w:lang w:val="hy-AM" w:eastAsia="en-US"/>
        </w:rPr>
      </w:pPr>
      <w:r w:rsidRPr="002C0A36">
        <w:rPr>
          <w:b w:val="0"/>
          <w:szCs w:val="22"/>
          <w:lang w:val="hy-AM" w:eastAsia="en-US"/>
        </w:rPr>
        <w:t>Հարկաբյուջետային ռիսկերի գնահատման բարելավման նպատակով Ասիական Զարգացման Բանկի (ԱԶԲ) հետ համատեղ մշակվել է ֆիսկալ ռիսկերի կառավարման բարելավման 2019-2023 թվականների ճանապարհային քարտեզը, որով նախանշված նպատակների իրականացման համար կատարվել է նաև ենթակառուցված</w:t>
      </w:r>
      <w:r w:rsidRPr="002C0A36">
        <w:rPr>
          <w:b w:val="0"/>
          <w:szCs w:val="22"/>
          <w:lang w:val="hy-AM" w:eastAsia="en-US"/>
        </w:rPr>
        <w:softHyphen/>
        <w:t>քային ոլորտներում, մասնավորապես, էներգետիկայի, տրանսպորտի և ջրային տնտեսու</w:t>
      </w:r>
      <w:r w:rsidRPr="002C0A36">
        <w:rPr>
          <w:b w:val="0"/>
          <w:szCs w:val="22"/>
          <w:lang w:val="hy-AM" w:eastAsia="en-US"/>
        </w:rPr>
        <w:softHyphen/>
        <w:t>թյան ոլորտների թվով քսան կազմակերպությունների  գործունեությանն առնչվող հար</w:t>
      </w:r>
      <w:r w:rsidRPr="002C0A36">
        <w:rPr>
          <w:b w:val="0"/>
          <w:szCs w:val="22"/>
          <w:lang w:val="hy-AM" w:eastAsia="en-US"/>
        </w:rPr>
        <w:softHyphen/>
        <w:t>կա</w:t>
      </w:r>
      <w:r w:rsidRPr="002C0A36">
        <w:rPr>
          <w:b w:val="0"/>
          <w:szCs w:val="22"/>
          <w:lang w:val="hy-AM" w:eastAsia="en-US"/>
        </w:rPr>
        <w:softHyphen/>
        <w:t>բյու</w:t>
      </w:r>
      <w:r w:rsidRPr="002C0A36">
        <w:rPr>
          <w:b w:val="0"/>
          <w:szCs w:val="22"/>
          <w:lang w:val="hy-AM" w:eastAsia="en-US"/>
        </w:rPr>
        <w:softHyphen/>
        <w:t xml:space="preserve">ջետային ռիսկերի գնահատում: Այս համատեքստում, զուգահեռաբար, իր գործուն աջակցությունն է ցուցաբերել նաև Արժույթի միջազգային հիմնադրամը (ԱՄՀ): </w:t>
      </w:r>
    </w:p>
    <w:p w:rsidR="002C0A36" w:rsidRPr="002C0A36" w:rsidRDefault="002C0A36" w:rsidP="007730AA">
      <w:pPr>
        <w:spacing w:before="0" w:line="276" w:lineRule="auto"/>
        <w:contextualSpacing w:val="0"/>
        <w:jc w:val="left"/>
        <w:rPr>
          <w:szCs w:val="22"/>
          <w:lang w:val="hy-AM"/>
        </w:rPr>
      </w:pPr>
      <w:r w:rsidRPr="002C0A36">
        <w:rPr>
          <w:szCs w:val="22"/>
          <w:lang w:val="hy-AM"/>
        </w:rPr>
        <w:t>Հարկաբյուջետային ռիսկերի գնահատման նպատակը</w:t>
      </w:r>
    </w:p>
    <w:p w:rsidR="002C0A36" w:rsidRPr="002C0A36" w:rsidRDefault="002C0A36" w:rsidP="007730AA">
      <w:pPr>
        <w:spacing w:before="0" w:line="276" w:lineRule="auto"/>
        <w:contextualSpacing w:val="0"/>
        <w:rPr>
          <w:b w:val="0"/>
          <w:szCs w:val="22"/>
          <w:lang w:val="hy-AM" w:eastAsia="en-US"/>
        </w:rPr>
      </w:pPr>
      <w:r w:rsidRPr="002C0A36">
        <w:rPr>
          <w:b w:val="0"/>
          <w:szCs w:val="22"/>
          <w:lang w:val="hy-AM" w:eastAsia="en-US"/>
        </w:rPr>
        <w:t>Հարկաբյուջետային ռիսկերի այս գնահատման նպատակն է ֆինանսական վիճակի վերլու</w:t>
      </w:r>
      <w:r w:rsidRPr="002C0A36">
        <w:rPr>
          <w:b w:val="0"/>
          <w:szCs w:val="22"/>
          <w:lang w:val="hy-AM" w:eastAsia="en-US"/>
        </w:rPr>
        <w:softHyphen/>
      </w:r>
      <w:r w:rsidRPr="002C0A36">
        <w:rPr>
          <w:b w:val="0"/>
          <w:szCs w:val="22"/>
          <w:lang w:val="hy-AM" w:eastAsia="en-US"/>
        </w:rPr>
        <w:softHyphen/>
        <w:t>ծության միջոցով գնահատել Ընկերությունների ֆինանսական վիճակի վատթարացման հա</w:t>
      </w:r>
      <w:r w:rsidRPr="002C0A36">
        <w:rPr>
          <w:b w:val="0"/>
          <w:szCs w:val="22"/>
          <w:lang w:val="hy-AM" w:eastAsia="en-US"/>
        </w:rPr>
        <w:softHyphen/>
        <w:t>վանականությունը, որը կարող է հանգեցնել պետական բյուջեից Ընկերություններին չնախա</w:t>
      </w:r>
      <w:r w:rsidRPr="002C0A36">
        <w:rPr>
          <w:b w:val="0"/>
          <w:szCs w:val="22"/>
          <w:lang w:val="hy-AM" w:eastAsia="en-US"/>
        </w:rPr>
        <w:softHyphen/>
        <w:t>տես</w:t>
      </w:r>
      <w:r w:rsidRPr="002C0A36">
        <w:rPr>
          <w:b w:val="0"/>
          <w:szCs w:val="22"/>
          <w:lang w:val="hy-AM" w:eastAsia="en-US"/>
        </w:rPr>
        <w:softHyphen/>
        <w:t>ված փոխառությունների, սուբսիդիաների տրամադրման, սեփական կապիտալի համալրման  կամ այլ վճարումներ կատարելու անհրաժեշտության, ինչպես նաև Ընկերություն</w:t>
      </w:r>
      <w:r w:rsidRPr="002C0A36">
        <w:rPr>
          <w:b w:val="0"/>
          <w:szCs w:val="22"/>
          <w:lang w:val="hy-AM" w:eastAsia="en-US"/>
        </w:rPr>
        <w:softHyphen/>
        <w:t>ների կողմից պե</w:t>
      </w:r>
      <w:r w:rsidRPr="002C0A36">
        <w:rPr>
          <w:b w:val="0"/>
          <w:szCs w:val="22"/>
          <w:lang w:val="hy-AM" w:eastAsia="en-US"/>
        </w:rPr>
        <w:softHyphen/>
        <w:t>տա</w:t>
      </w:r>
      <w:r w:rsidRPr="002C0A36">
        <w:rPr>
          <w:b w:val="0"/>
          <w:szCs w:val="22"/>
          <w:lang w:val="hy-AM" w:eastAsia="en-US"/>
        </w:rPr>
        <w:softHyphen/>
        <w:t>կան բյուջե կանխատեսված շահութաբաժինների, ստացված վարկային միջոցների օգտա</w:t>
      </w:r>
      <w:r w:rsidRPr="002C0A36">
        <w:rPr>
          <w:b w:val="0"/>
          <w:szCs w:val="22"/>
          <w:lang w:val="hy-AM" w:eastAsia="en-US"/>
        </w:rPr>
        <w:softHyphen/>
        <w:t>գործ</w:t>
      </w:r>
      <w:r w:rsidRPr="002C0A36">
        <w:rPr>
          <w:b w:val="0"/>
          <w:szCs w:val="22"/>
          <w:lang w:val="hy-AM" w:eastAsia="en-US"/>
        </w:rPr>
        <w:softHyphen/>
        <w:t xml:space="preserve">ման դիմաց հաշվարկված տոկոսների չվճարման և մայր գումարների չմարման։ </w:t>
      </w:r>
    </w:p>
    <w:p w:rsidR="002C0A36" w:rsidRPr="002C0A36" w:rsidRDefault="002C0A36" w:rsidP="007730AA">
      <w:pPr>
        <w:spacing w:before="0" w:line="276" w:lineRule="auto"/>
        <w:contextualSpacing w:val="0"/>
        <w:jc w:val="left"/>
        <w:rPr>
          <w:szCs w:val="22"/>
          <w:lang w:val="hy-AM"/>
        </w:rPr>
      </w:pPr>
      <w:r w:rsidRPr="002C0A36">
        <w:rPr>
          <w:szCs w:val="22"/>
          <w:lang w:val="hy-AM"/>
        </w:rPr>
        <w:t>Հարկաբյուջետային ռիսկերի գնահատման մեթոդաբանություն</w:t>
      </w:r>
    </w:p>
    <w:p w:rsidR="002C0A36" w:rsidRDefault="002C0A36" w:rsidP="007730AA">
      <w:pPr>
        <w:spacing w:before="0" w:line="276" w:lineRule="auto"/>
        <w:contextualSpacing w:val="0"/>
        <w:rPr>
          <w:b w:val="0"/>
          <w:szCs w:val="22"/>
          <w:lang w:val="hy-AM"/>
        </w:rPr>
      </w:pPr>
      <w:r w:rsidRPr="002C0A36">
        <w:rPr>
          <w:b w:val="0"/>
          <w:szCs w:val="22"/>
          <w:lang w:val="hy-AM"/>
        </w:rPr>
        <w:t>Ընկերությունների կողմից ներկայացված ֆինանսական հաշվետվությունների հիման վրա հարկաբյուջետային ռիսկերի գնահատման համար կիրառվել է ԱՄՀ-ի կողմից հրապարակված՝ «Կորպորատիվ հատվածից առաջացող ֆիսկալ ռիսկերի կառավարման ուղեցույց»-ում (այսուհետ՝ ԱՄՀ ուղեցույց), ինչպես նաև ԱԶԲ խորհրդատուի հետ մշակված և ՀՀ ֆինանսների նախարարի 14.09.2018թ. N439-Ա հրամանով հաստատված Ֆիսկալ ռիսկերի գնահատման ձեռնարկ-ում  ներկայացված մեթոդաբա</w:t>
      </w:r>
      <w:r w:rsidRPr="002C0A36">
        <w:rPr>
          <w:b w:val="0"/>
          <w:szCs w:val="22"/>
          <w:lang w:val="hy-AM"/>
        </w:rPr>
        <w:softHyphen/>
        <w:t>նությունը, որի համաձայն Ընկերությունների ֆինանսական վիճակի վատթարացման հավանականությունը կանխատեսելու համար հաշվարկվել է միջազգայնորեն այդ նպատակով ընդունված Է. Ալթմանի «Z-միավոր» կոչվող հսկիչ ցուցանիշը: Զուգահեռաբար Ընկերություն</w:t>
      </w:r>
      <w:r w:rsidRPr="002C0A36">
        <w:rPr>
          <w:b w:val="0"/>
          <w:szCs w:val="22"/>
          <w:lang w:val="hy-AM"/>
        </w:rPr>
        <w:softHyphen/>
        <w:t>ների ֆինանսական հուսա</w:t>
      </w:r>
      <w:r w:rsidRPr="002C0A36">
        <w:rPr>
          <w:b w:val="0"/>
          <w:szCs w:val="22"/>
          <w:lang w:val="hy-AM"/>
        </w:rPr>
        <w:softHyphen/>
        <w:t>լիության մասին լրացուցիչ տեղեկատվության ստացման, ինչպես նաև «Z-միավոր»-ի ստուգա</w:t>
      </w:r>
      <w:r w:rsidRPr="002C0A36">
        <w:rPr>
          <w:b w:val="0"/>
          <w:szCs w:val="22"/>
          <w:lang w:val="hy-AM"/>
        </w:rPr>
        <w:softHyphen/>
        <w:t>ճշտման համար կիրառվել են լրացուցիչ ֆինանսական գործակիցներ (շահութաբերության, իրացվելիության, վճարունակության հաշվարկման համար), որոնք արտացոլում են կապը Ընկերությունների ֆինանսական հաշվետ</w:t>
      </w:r>
      <w:r w:rsidRPr="002C0A36">
        <w:rPr>
          <w:b w:val="0"/>
          <w:szCs w:val="22"/>
          <w:lang w:val="hy-AM"/>
        </w:rPr>
        <w:softHyphen/>
        <w:t>վու</w:t>
      </w:r>
      <w:r w:rsidRPr="002C0A36">
        <w:rPr>
          <w:b w:val="0"/>
          <w:szCs w:val="22"/>
          <w:lang w:val="hy-AM"/>
        </w:rPr>
        <w:softHyphen/>
      </w:r>
      <w:r w:rsidRPr="002C0A36">
        <w:rPr>
          <w:b w:val="0"/>
          <w:szCs w:val="22"/>
          <w:lang w:val="hy-AM"/>
        </w:rPr>
        <w:softHyphen/>
        <w:t>թյուն</w:t>
      </w:r>
      <w:r w:rsidRPr="002C0A36">
        <w:rPr>
          <w:b w:val="0"/>
          <w:szCs w:val="22"/>
          <w:lang w:val="hy-AM"/>
        </w:rPr>
        <w:softHyphen/>
        <w:t xml:space="preserve">ների տարբեր հոդվածների միջև: </w:t>
      </w:r>
    </w:p>
    <w:p w:rsidR="00BD3813" w:rsidRDefault="00BD3813" w:rsidP="007730AA">
      <w:pPr>
        <w:spacing w:before="0" w:line="276" w:lineRule="auto"/>
        <w:contextualSpacing w:val="0"/>
        <w:rPr>
          <w:b w:val="0"/>
          <w:szCs w:val="22"/>
          <w:lang w:val="hy-AM"/>
        </w:rPr>
      </w:pPr>
    </w:p>
    <w:p w:rsidR="002C0A36" w:rsidRPr="002C0A36" w:rsidRDefault="002C0A36" w:rsidP="007730AA">
      <w:pPr>
        <w:spacing w:before="0" w:line="276" w:lineRule="auto"/>
        <w:contextualSpacing w:val="0"/>
        <w:rPr>
          <w:szCs w:val="22"/>
          <w:lang w:val="hy-AM"/>
        </w:rPr>
      </w:pPr>
      <w:r w:rsidRPr="002C0A36">
        <w:rPr>
          <w:szCs w:val="22"/>
          <w:lang w:val="hy-AM"/>
        </w:rPr>
        <w:t>Էներգետիկայի ոլորտի պետական մասնակցությամբ ընկերություններ</w:t>
      </w:r>
    </w:p>
    <w:p w:rsidR="002C0A36" w:rsidRPr="002C0A36" w:rsidRDefault="002C0A36" w:rsidP="007730AA">
      <w:pPr>
        <w:spacing w:before="0" w:line="276" w:lineRule="auto"/>
        <w:contextualSpacing w:val="0"/>
        <w:rPr>
          <w:b w:val="0"/>
          <w:szCs w:val="22"/>
          <w:lang w:val="hy-AM" w:eastAsia="en-US"/>
        </w:rPr>
      </w:pPr>
      <w:r w:rsidRPr="002C0A36">
        <w:rPr>
          <w:rFonts w:ascii="Calibri" w:hAnsi="Calibri"/>
          <w:b w:val="0"/>
          <w:szCs w:val="22"/>
          <w:lang w:val="hy-AM"/>
        </w:rPr>
        <w:t xml:space="preserve"> </w:t>
      </w:r>
      <w:r w:rsidRPr="002C0A36">
        <w:rPr>
          <w:rFonts w:ascii="Calibri" w:hAnsi="Calibri"/>
          <w:b w:val="0"/>
          <w:szCs w:val="22"/>
          <w:lang w:val="hy-AM"/>
        </w:rPr>
        <w:tab/>
      </w:r>
      <w:r w:rsidRPr="002C0A36">
        <w:rPr>
          <w:b w:val="0"/>
          <w:szCs w:val="22"/>
          <w:lang w:val="hy-AM" w:eastAsia="en-US"/>
        </w:rPr>
        <w:t xml:space="preserve"> Էներգետիկայի ոլորտի դիտանցման ենթարկված թվով ութ պետական մասնակցությամբ ընկերություն</w:t>
      </w:r>
      <w:r w:rsidRPr="002C0A36">
        <w:rPr>
          <w:b w:val="0"/>
          <w:szCs w:val="22"/>
          <w:lang w:val="hy-AM" w:eastAsia="en-US"/>
        </w:rPr>
        <w:softHyphen/>
        <w:t>ների (Ընկերություններ) գործունեության արդյունքում հարկա</w:t>
      </w:r>
      <w:r w:rsidRPr="002C0A36">
        <w:rPr>
          <w:b w:val="0"/>
          <w:szCs w:val="22"/>
          <w:lang w:val="hy-AM" w:eastAsia="en-US"/>
        </w:rPr>
        <w:softHyphen/>
        <w:t>բյուջե</w:t>
      </w:r>
      <w:r w:rsidRPr="002C0A36">
        <w:rPr>
          <w:b w:val="0"/>
          <w:szCs w:val="22"/>
          <w:lang w:val="hy-AM" w:eastAsia="en-US"/>
        </w:rPr>
        <w:softHyphen/>
      </w:r>
      <w:r w:rsidRPr="002C0A36">
        <w:rPr>
          <w:b w:val="0"/>
          <w:szCs w:val="22"/>
          <w:lang w:val="hy-AM" w:eastAsia="en-US"/>
        </w:rPr>
        <w:softHyphen/>
        <w:t>տային ռիսկերն են.</w:t>
      </w:r>
    </w:p>
    <w:p w:rsidR="002C0A36" w:rsidRPr="002C0A36" w:rsidRDefault="002C0A36" w:rsidP="007730AA">
      <w:pPr>
        <w:spacing w:before="0" w:line="276" w:lineRule="auto"/>
        <w:contextualSpacing w:val="0"/>
        <w:rPr>
          <w:b w:val="0"/>
          <w:szCs w:val="22"/>
          <w:lang w:val="hy-AM" w:eastAsia="en-US"/>
        </w:rPr>
      </w:pPr>
      <w:r w:rsidRPr="002C0A36">
        <w:rPr>
          <w:b w:val="0"/>
          <w:szCs w:val="22"/>
          <w:lang w:val="hy-AM" w:eastAsia="en-US"/>
        </w:rPr>
        <w:t>● Ընկերությունների ֆինանսական վիճակի վատթարացման դեպքում որպես ժամանակավոր օգնություն չնախատեսված բյուջետային վարկերի տրամադրման կամ սեփական կապիտալի համալրման համար բյուջետային հատկացումների անհրաժեշտության առաջացում,</w:t>
      </w:r>
    </w:p>
    <w:p w:rsidR="002C0A36" w:rsidRPr="002C0A36" w:rsidRDefault="002C0A36" w:rsidP="007730AA">
      <w:pPr>
        <w:spacing w:before="0" w:line="276" w:lineRule="auto"/>
        <w:contextualSpacing w:val="0"/>
        <w:rPr>
          <w:b w:val="0"/>
          <w:szCs w:val="22"/>
          <w:lang w:val="hy-AM" w:eastAsia="en-US"/>
        </w:rPr>
      </w:pPr>
      <w:r w:rsidRPr="002C0A36">
        <w:rPr>
          <w:b w:val="0"/>
          <w:szCs w:val="22"/>
          <w:lang w:val="hy-AM" w:eastAsia="en-US"/>
        </w:rPr>
        <w:t>● Ընկերություններին չնախատեսված սուբսիդիաների տրամադրում կամ այլ վճարումներ կատարելու անհրաժեշտություն,</w:t>
      </w:r>
    </w:p>
    <w:p w:rsidR="002C0A36" w:rsidRPr="002C0A36" w:rsidRDefault="002C0A36" w:rsidP="007730AA">
      <w:pPr>
        <w:spacing w:before="0" w:line="276" w:lineRule="auto"/>
        <w:contextualSpacing w:val="0"/>
        <w:rPr>
          <w:b w:val="0"/>
          <w:szCs w:val="22"/>
          <w:lang w:val="hy-AM" w:eastAsia="en-US"/>
        </w:rPr>
      </w:pPr>
      <w:r w:rsidRPr="002C0A36">
        <w:rPr>
          <w:b w:val="0"/>
          <w:szCs w:val="22"/>
          <w:lang w:val="hy-AM" w:eastAsia="en-US"/>
        </w:rPr>
        <w:t xml:space="preserve">● Ընկերություններից պետական բյուջեի մուտքերի կազմում նախատեսված շահութաբաժինների չստացում, </w:t>
      </w:r>
    </w:p>
    <w:p w:rsidR="002C0A36" w:rsidRPr="002C0A36" w:rsidRDefault="002C0A36" w:rsidP="007730AA">
      <w:pPr>
        <w:spacing w:before="0" w:line="276" w:lineRule="auto"/>
        <w:contextualSpacing w:val="0"/>
        <w:rPr>
          <w:b w:val="0"/>
          <w:szCs w:val="22"/>
          <w:lang w:val="hy-AM" w:eastAsia="en-US"/>
        </w:rPr>
      </w:pPr>
      <w:r w:rsidRPr="002C0A36">
        <w:rPr>
          <w:b w:val="0"/>
          <w:szCs w:val="22"/>
          <w:lang w:val="hy-AM" w:eastAsia="en-US"/>
        </w:rPr>
        <w:t xml:space="preserve">● ՀՀ պետական բյուջեից Ընկերություններին տրամադրված վարկային միջոցների օգտագործման դիմաց հաշվարկված տոկոսների չվճարում և մայր գումարների չմարում: </w:t>
      </w:r>
    </w:p>
    <w:p w:rsidR="002C0A36" w:rsidRPr="002C0A36" w:rsidRDefault="002C0A36" w:rsidP="007730AA">
      <w:pPr>
        <w:spacing w:before="0" w:line="276" w:lineRule="auto"/>
        <w:contextualSpacing w:val="0"/>
        <w:rPr>
          <w:b w:val="0"/>
          <w:szCs w:val="22"/>
          <w:lang w:val="hy-AM" w:eastAsia="en-US"/>
        </w:rPr>
      </w:pPr>
      <w:r w:rsidRPr="002C0A36">
        <w:rPr>
          <w:b w:val="0"/>
          <w:szCs w:val="22"/>
          <w:lang w:val="hy-AM" w:eastAsia="en-US"/>
        </w:rPr>
        <w:t>2019թ. ընթացքում (այսուհետ` հաշվետու ժամանակաշրջան) էներգետիկայի ոլորտի (այսուհետ` Ոլորտ) Ընկերությունների հիմնական գործունեությունից ստացված հանրագումարային եկամուտները կազմել են 111.9 մլրդ դրամ 2018թ. (այսուհետ` նախորդ ժամանա</w:t>
      </w:r>
      <w:r w:rsidRPr="002C0A36">
        <w:rPr>
          <w:b w:val="0"/>
          <w:szCs w:val="22"/>
          <w:lang w:val="hy-AM" w:eastAsia="en-US"/>
        </w:rPr>
        <w:softHyphen/>
        <w:t>կաշրջան) 124.7 մլրդ դրամի դիմաց, կամ պակաս 12.8 մլրդ դրամով (10.3%-ով), իսկ 2020թ. 1-ին կիսամյակում` (այսուհետ` միջանկյալ ժամանակաշրջան) 61.0</w:t>
      </w:r>
      <w:r w:rsidRPr="002C0A36">
        <w:rPr>
          <w:b w:val="0"/>
          <w:color w:val="FF0000"/>
          <w:szCs w:val="22"/>
          <w:lang w:val="hy-AM" w:eastAsia="en-US"/>
        </w:rPr>
        <w:t xml:space="preserve"> </w:t>
      </w:r>
      <w:r w:rsidRPr="002C0A36">
        <w:rPr>
          <w:b w:val="0"/>
          <w:szCs w:val="22"/>
          <w:lang w:val="hy-AM" w:eastAsia="en-US"/>
        </w:rPr>
        <w:t>մլրդ դրամ՝ 2019թ. 1-ին կիսամյակի 49.4 մլրդ դրամի դիմաց կամ ավել 11.6 մլրդ դրամով (23.5%-ով): Հաշվետու ժամանակաշրջանում այդ Ընկերությունների հանրագումարային ծախսերը կազմել են 108.9 մլրդ դրամ` նախորդ ժամանակաշրջանի 122.8 մլրդ դրամի դիմաց` կամ  13.9 մլրդ դրամով  պակաս (11.3%-ով), իսկ միջանկյալ ժամանակաշրջանում 51.0 մլրդ դրամ՝ նախորդ միջանկյալ ժամանակաշրջանի 42.3 մլրդ դրամի դիմաց կամ ավել 8.7 մլրդ դրամով (20.6%-ով)։</w:t>
      </w:r>
    </w:p>
    <w:p w:rsidR="002C0A36" w:rsidRPr="002C0A36" w:rsidRDefault="002C0A36" w:rsidP="007730AA">
      <w:pPr>
        <w:spacing w:before="0" w:line="276" w:lineRule="auto"/>
        <w:contextualSpacing w:val="0"/>
        <w:rPr>
          <w:b w:val="0"/>
          <w:szCs w:val="22"/>
          <w:lang w:val="hy-AM" w:eastAsia="en-US"/>
        </w:rPr>
      </w:pPr>
      <w:r w:rsidRPr="002C0A36">
        <w:rPr>
          <w:b w:val="0"/>
          <w:szCs w:val="22"/>
          <w:lang w:val="hy-AM" w:eastAsia="en-US"/>
        </w:rPr>
        <w:t xml:space="preserve">Ընկերությունների հանրագումարային 111.9 մլրդ դրամ ընդհանուր եկամուտների և 108.9 մլրդ դրամ ընդհանուր ծախսերի արդյունքում հաշվետու ժամանակաշրջանում շահույթը կազմել է 3.0 մլրդ դրամ, իսկ զուտ շահույթը կազմել է 2.6 մլրդ դրամ, նախորդ ժամանակաշրջանի 2.9 մլրդ դրամի դիմաց։ Միջանկյալ ժամանակաշրջանում Ընկերությունների հանրագումարային 61.0 մլրդ դրամ ընդհանուր եկամուտների և 51.0 մլրդ դրամ ընդհանուր ծախսերի արդյունքում շահույթը կազմել է 10.0 մլրդ դրամ (աղյուսակ </w:t>
      </w:r>
      <w:r w:rsidR="00396D6B">
        <w:rPr>
          <w:b w:val="0"/>
          <w:szCs w:val="22"/>
          <w:lang w:val="hy-AM" w:eastAsia="en-US"/>
        </w:rPr>
        <w:t>24</w:t>
      </w:r>
      <w:r w:rsidRPr="002C0A36">
        <w:rPr>
          <w:b w:val="0"/>
          <w:szCs w:val="22"/>
          <w:lang w:val="hy-AM" w:eastAsia="en-US"/>
        </w:rPr>
        <w:t xml:space="preserve">): </w:t>
      </w:r>
    </w:p>
    <w:p w:rsidR="002C0A36" w:rsidRPr="002C0A36" w:rsidRDefault="00CF7820" w:rsidP="007730AA">
      <w:pPr>
        <w:pStyle w:val="Caption"/>
        <w:spacing w:before="0" w:after="0"/>
        <w:rPr>
          <w:b/>
          <w:i/>
          <w:lang w:val="hy-AM"/>
        </w:rPr>
      </w:pPr>
      <w:bookmarkStart w:id="267" w:name="_Toc57631774"/>
      <w:r w:rsidRPr="00CF7820">
        <w:rPr>
          <w:lang w:val="hy-AM"/>
        </w:rPr>
        <w:t xml:space="preserve">Աղյուսակ </w:t>
      </w:r>
      <w:r w:rsidR="003C3925">
        <w:fldChar w:fldCharType="begin"/>
      </w:r>
      <w:r w:rsidRPr="00CF7820">
        <w:rPr>
          <w:lang w:val="hy-AM"/>
        </w:rPr>
        <w:instrText xml:space="preserve"> SEQ Աղյուսակ \* ARABIC </w:instrText>
      </w:r>
      <w:r w:rsidR="003C3925">
        <w:fldChar w:fldCharType="separate"/>
      </w:r>
      <w:r w:rsidR="007E790B">
        <w:rPr>
          <w:noProof/>
          <w:lang w:val="hy-AM"/>
        </w:rPr>
        <w:t>23</w:t>
      </w:r>
      <w:r w:rsidR="003C3925">
        <w:fldChar w:fldCharType="end"/>
      </w:r>
      <w:r>
        <w:rPr>
          <w:rFonts w:ascii="Cambria Math" w:hAnsi="Cambria Math"/>
          <w:lang w:val="hy-AM"/>
        </w:rPr>
        <w:t>․</w:t>
      </w:r>
      <w:r w:rsidR="002C0A36" w:rsidRPr="002C0A36">
        <w:rPr>
          <w:sz w:val="20"/>
          <w:szCs w:val="20"/>
          <w:lang w:val="hy-AM"/>
        </w:rPr>
        <w:t xml:space="preserve"> </w:t>
      </w:r>
      <w:r w:rsidR="002C0A36" w:rsidRPr="002C0A36">
        <w:rPr>
          <w:b/>
          <w:i/>
          <w:sz w:val="20"/>
          <w:szCs w:val="20"/>
          <w:lang w:val="hy-AM"/>
        </w:rPr>
        <w:t>Էներգետիկայի ոլորտի պետական մասնակցությամբ ընկերությունների հանրագումարային շահույթը (վնասը) ըստ տարիների</w:t>
      </w:r>
      <w:bookmarkEnd w:id="267"/>
      <w:r w:rsidR="002C0A36" w:rsidRPr="002C0A36">
        <w:rPr>
          <w:b/>
          <w:i/>
          <w:sz w:val="20"/>
          <w:szCs w:val="20"/>
          <w:lang w:val="hy-AM"/>
        </w:rPr>
        <w:t xml:space="preserve"> </w:t>
      </w:r>
      <w:r w:rsidR="002C0A36" w:rsidRPr="002C0A36">
        <w:rPr>
          <w:b/>
          <w:szCs w:val="22"/>
          <w:lang w:val="hy-AM"/>
        </w:rPr>
        <w:t xml:space="preserve">                                                                                                </w:t>
      </w:r>
    </w:p>
    <w:p w:rsidR="002C0A36" w:rsidRPr="002C0A36" w:rsidRDefault="002C0A36" w:rsidP="007730AA">
      <w:pPr>
        <w:spacing w:before="0" w:line="276" w:lineRule="auto"/>
        <w:contextualSpacing w:val="0"/>
        <w:jc w:val="right"/>
        <w:rPr>
          <w:b w:val="0"/>
          <w:i/>
          <w:sz w:val="18"/>
          <w:szCs w:val="18"/>
          <w:lang w:val="hy-AM"/>
        </w:rPr>
      </w:pPr>
      <w:r w:rsidRPr="002C0A36">
        <w:rPr>
          <w:b w:val="0"/>
          <w:i/>
          <w:sz w:val="18"/>
          <w:szCs w:val="18"/>
          <w:lang w:val="hy-AM"/>
        </w:rPr>
        <w:t>հազ</w:t>
      </w:r>
      <w:r w:rsidRPr="002C0A36">
        <w:rPr>
          <w:rFonts w:ascii="Cambria Math" w:hAnsi="Cambria Math" w:cs="Cambria Math"/>
          <w:sz w:val="18"/>
          <w:szCs w:val="18"/>
          <w:lang w:val="hy-AM"/>
        </w:rPr>
        <w:t>․</w:t>
      </w:r>
      <w:r w:rsidRPr="002C0A36">
        <w:rPr>
          <w:b w:val="0"/>
          <w:i/>
          <w:sz w:val="18"/>
          <w:szCs w:val="18"/>
          <w:lang w:val="hy-AM"/>
        </w:rPr>
        <w:t>դրամ</w:t>
      </w:r>
    </w:p>
    <w:tbl>
      <w:tblPr>
        <w:tblW w:w="1009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4"/>
        <w:gridCol w:w="1984"/>
        <w:gridCol w:w="1843"/>
        <w:gridCol w:w="1843"/>
      </w:tblGrid>
      <w:tr w:rsidR="002C0A36" w:rsidRPr="002C0A36" w:rsidTr="00DF3013">
        <w:trPr>
          <w:trHeight w:val="698"/>
          <w:tblHeader/>
        </w:trPr>
        <w:tc>
          <w:tcPr>
            <w:tcW w:w="4424" w:type="dxa"/>
            <w:vMerge w:val="restart"/>
            <w:tcBorders>
              <w:top w:val="single" w:sz="4" w:space="0" w:color="auto"/>
              <w:left w:val="single" w:sz="4" w:space="0" w:color="auto"/>
              <w:right w:val="single" w:sz="4" w:space="0" w:color="auto"/>
            </w:tcBorders>
            <w:shd w:val="clear" w:color="auto" w:fill="0070C0"/>
            <w:vAlign w:val="center"/>
          </w:tcPr>
          <w:p w:rsidR="002C0A36" w:rsidRPr="00BD3813" w:rsidRDefault="002C0A36" w:rsidP="007730AA">
            <w:pPr>
              <w:spacing w:before="0" w:line="276" w:lineRule="auto"/>
              <w:contextualSpacing w:val="0"/>
              <w:jc w:val="center"/>
              <w:rPr>
                <w:color w:val="FFFFFF"/>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0070C0"/>
            <w:noWrap/>
            <w:vAlign w:val="center"/>
          </w:tcPr>
          <w:p w:rsidR="002C0A36" w:rsidRPr="00BD3813" w:rsidRDefault="002C0A36" w:rsidP="007730AA">
            <w:pPr>
              <w:spacing w:before="0" w:line="276" w:lineRule="auto"/>
              <w:contextualSpacing w:val="0"/>
              <w:jc w:val="center"/>
              <w:rPr>
                <w:color w:val="FFFFFF"/>
                <w:sz w:val="18"/>
                <w:szCs w:val="18"/>
                <w:lang w:val="en-US" w:eastAsia="en-US"/>
              </w:rPr>
            </w:pPr>
            <w:r w:rsidRPr="00BD3813">
              <w:rPr>
                <w:color w:val="FFFFFF"/>
                <w:sz w:val="18"/>
                <w:szCs w:val="18"/>
                <w:lang w:val="en-US" w:eastAsia="en-US"/>
              </w:rPr>
              <w:t>2018թ.</w:t>
            </w:r>
          </w:p>
        </w:tc>
        <w:tc>
          <w:tcPr>
            <w:tcW w:w="1843" w:type="dxa"/>
            <w:tcBorders>
              <w:top w:val="single" w:sz="4" w:space="0" w:color="auto"/>
              <w:left w:val="single" w:sz="4" w:space="0" w:color="auto"/>
              <w:bottom w:val="single" w:sz="4" w:space="0" w:color="auto"/>
              <w:right w:val="single" w:sz="4" w:space="0" w:color="auto"/>
            </w:tcBorders>
            <w:shd w:val="clear" w:color="auto" w:fill="0070C0"/>
            <w:noWrap/>
            <w:vAlign w:val="center"/>
          </w:tcPr>
          <w:p w:rsidR="002C0A36" w:rsidRPr="00BD3813" w:rsidRDefault="002C0A36" w:rsidP="007730AA">
            <w:pPr>
              <w:spacing w:before="0" w:line="276" w:lineRule="auto"/>
              <w:contextualSpacing w:val="0"/>
              <w:jc w:val="center"/>
              <w:rPr>
                <w:color w:val="FFFFFF"/>
                <w:sz w:val="18"/>
                <w:szCs w:val="18"/>
                <w:lang w:val="en-US" w:eastAsia="en-US"/>
              </w:rPr>
            </w:pPr>
            <w:r w:rsidRPr="00BD3813">
              <w:rPr>
                <w:color w:val="FFFFFF"/>
                <w:sz w:val="18"/>
                <w:szCs w:val="18"/>
                <w:lang w:val="en-US" w:eastAsia="en-US"/>
              </w:rPr>
              <w:t>2019թ.</w:t>
            </w:r>
          </w:p>
        </w:tc>
        <w:tc>
          <w:tcPr>
            <w:tcW w:w="1843" w:type="dxa"/>
            <w:tcBorders>
              <w:top w:val="single" w:sz="4" w:space="0" w:color="auto"/>
              <w:left w:val="single" w:sz="4" w:space="0" w:color="auto"/>
              <w:bottom w:val="single" w:sz="4" w:space="0" w:color="auto"/>
              <w:right w:val="single" w:sz="4" w:space="0" w:color="auto"/>
            </w:tcBorders>
            <w:shd w:val="clear" w:color="auto" w:fill="0070C0"/>
            <w:vAlign w:val="center"/>
          </w:tcPr>
          <w:p w:rsidR="002C0A36" w:rsidRPr="00BD3813" w:rsidRDefault="002C0A36" w:rsidP="007730AA">
            <w:pPr>
              <w:spacing w:before="0" w:line="276" w:lineRule="auto"/>
              <w:contextualSpacing w:val="0"/>
              <w:jc w:val="center"/>
              <w:rPr>
                <w:color w:val="FFFFFF"/>
                <w:sz w:val="18"/>
                <w:szCs w:val="18"/>
              </w:rPr>
            </w:pPr>
            <w:r w:rsidRPr="00BD3813">
              <w:rPr>
                <w:color w:val="FFFFFF"/>
                <w:sz w:val="18"/>
                <w:szCs w:val="18"/>
                <w:lang w:val="en-US" w:eastAsia="en-US"/>
              </w:rPr>
              <w:t>2020թ.                (1-ին կիսամյակ)</w:t>
            </w:r>
          </w:p>
        </w:tc>
      </w:tr>
      <w:tr w:rsidR="002C0A36" w:rsidRPr="002C0A36" w:rsidTr="00DF3013">
        <w:trPr>
          <w:trHeight w:val="383"/>
          <w:tblHeader/>
        </w:trPr>
        <w:tc>
          <w:tcPr>
            <w:tcW w:w="4424" w:type="dxa"/>
            <w:vMerge/>
            <w:tcBorders>
              <w:left w:val="single" w:sz="4" w:space="0" w:color="auto"/>
              <w:bottom w:val="single" w:sz="4" w:space="0" w:color="auto"/>
              <w:right w:val="single" w:sz="4" w:space="0" w:color="auto"/>
            </w:tcBorders>
            <w:shd w:val="clear" w:color="auto" w:fill="0070C0"/>
            <w:vAlign w:val="center"/>
            <w:hideMark/>
          </w:tcPr>
          <w:p w:rsidR="002C0A36" w:rsidRPr="00BD3813" w:rsidRDefault="002C0A36" w:rsidP="007730AA">
            <w:pPr>
              <w:spacing w:before="0" w:line="276" w:lineRule="auto"/>
              <w:contextualSpacing w:val="0"/>
              <w:jc w:val="center"/>
              <w:rPr>
                <w:color w:val="FFFFFF"/>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2C0A36" w:rsidRPr="00BD3813" w:rsidRDefault="002C0A36" w:rsidP="007730AA">
            <w:pPr>
              <w:spacing w:before="0" w:line="276" w:lineRule="auto"/>
              <w:contextualSpacing w:val="0"/>
              <w:jc w:val="center"/>
              <w:rPr>
                <w:color w:val="FFFFFF"/>
                <w:sz w:val="18"/>
                <w:szCs w:val="18"/>
              </w:rPr>
            </w:pPr>
            <w:r w:rsidRPr="00BD3813">
              <w:rPr>
                <w:color w:val="FFFFFF"/>
                <w:sz w:val="18"/>
                <w:szCs w:val="18"/>
              </w:rPr>
              <w:t>Փաստ.</w:t>
            </w:r>
          </w:p>
        </w:tc>
        <w:tc>
          <w:tcPr>
            <w:tcW w:w="184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2C0A36" w:rsidRPr="00BD3813" w:rsidRDefault="002C0A36" w:rsidP="007730AA">
            <w:pPr>
              <w:spacing w:before="0" w:line="276" w:lineRule="auto"/>
              <w:contextualSpacing w:val="0"/>
              <w:jc w:val="center"/>
              <w:rPr>
                <w:color w:val="FFFFFF"/>
                <w:sz w:val="18"/>
                <w:szCs w:val="18"/>
              </w:rPr>
            </w:pPr>
            <w:r w:rsidRPr="00BD3813">
              <w:rPr>
                <w:color w:val="FFFFFF"/>
                <w:sz w:val="18"/>
                <w:szCs w:val="18"/>
              </w:rPr>
              <w:t>Փաստ.</w:t>
            </w:r>
          </w:p>
        </w:tc>
        <w:tc>
          <w:tcPr>
            <w:tcW w:w="1843"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BD3813" w:rsidRDefault="002C0A36" w:rsidP="007730AA">
            <w:pPr>
              <w:spacing w:before="0" w:line="276" w:lineRule="auto"/>
              <w:contextualSpacing w:val="0"/>
              <w:jc w:val="center"/>
              <w:rPr>
                <w:color w:val="FFFFFF"/>
                <w:sz w:val="18"/>
                <w:szCs w:val="18"/>
              </w:rPr>
            </w:pPr>
            <w:r w:rsidRPr="00BD3813">
              <w:rPr>
                <w:color w:val="FFFFFF"/>
                <w:sz w:val="18"/>
                <w:szCs w:val="18"/>
              </w:rPr>
              <w:t>Փաստ.</w:t>
            </w:r>
          </w:p>
        </w:tc>
      </w:tr>
      <w:tr w:rsidR="002C0A36" w:rsidRPr="002C0A36" w:rsidTr="00DF3013">
        <w:trPr>
          <w:trHeight w:val="876"/>
        </w:trPr>
        <w:tc>
          <w:tcPr>
            <w:tcW w:w="44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contextualSpacing w:val="0"/>
              <w:jc w:val="left"/>
              <w:rPr>
                <w:sz w:val="18"/>
                <w:szCs w:val="18"/>
              </w:rPr>
            </w:pPr>
            <w:r w:rsidRPr="002C0A36">
              <w:rPr>
                <w:sz w:val="18"/>
                <w:szCs w:val="18"/>
              </w:rPr>
              <w:t>Էներգետիկայի ոլորտի պետական մասնակցու</w:t>
            </w:r>
            <w:r w:rsidRPr="002C0A36">
              <w:rPr>
                <w:sz w:val="18"/>
                <w:szCs w:val="18"/>
              </w:rPr>
              <w:softHyphen/>
              <w:t>թյամբ ընկերությունների հանրագումարային շահույ</w:t>
            </w:r>
            <w:r w:rsidRPr="002C0A36">
              <w:rPr>
                <w:sz w:val="18"/>
                <w:szCs w:val="18"/>
              </w:rPr>
              <w:softHyphen/>
              <w:t>թը հարկումից հետո</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contextualSpacing w:val="0"/>
              <w:jc w:val="center"/>
              <w:rPr>
                <w:sz w:val="18"/>
                <w:szCs w:val="18"/>
              </w:rPr>
            </w:pPr>
            <w:r w:rsidRPr="002C0A36">
              <w:rPr>
                <w:sz w:val="18"/>
                <w:szCs w:val="18"/>
              </w:rPr>
              <w:t>2,877,833.8</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contextualSpacing w:val="0"/>
              <w:jc w:val="center"/>
              <w:rPr>
                <w:sz w:val="18"/>
                <w:szCs w:val="18"/>
                <w:lang w:val="hy-AM"/>
              </w:rPr>
            </w:pPr>
            <w:r w:rsidRPr="002C0A36">
              <w:rPr>
                <w:sz w:val="18"/>
                <w:szCs w:val="18"/>
              </w:rPr>
              <w:t>2,579,309.</w:t>
            </w:r>
            <w:r w:rsidRPr="002C0A36">
              <w:rPr>
                <w:sz w:val="18"/>
                <w:szCs w:val="18"/>
                <w:lang w:val="hy-AM"/>
              </w:rPr>
              <w:t>3</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contextualSpacing w:val="0"/>
              <w:jc w:val="center"/>
              <w:rPr>
                <w:rFonts w:cs="Calibri"/>
                <w:color w:val="000000"/>
                <w:sz w:val="18"/>
                <w:szCs w:val="18"/>
              </w:rPr>
            </w:pPr>
            <w:r w:rsidRPr="002C0A36">
              <w:rPr>
                <w:rFonts w:cs="Calibri"/>
                <w:color w:val="000000"/>
                <w:sz w:val="18"/>
                <w:szCs w:val="18"/>
              </w:rPr>
              <w:t>7,</w:t>
            </w:r>
            <w:r w:rsidRPr="002C0A36">
              <w:rPr>
                <w:sz w:val="18"/>
                <w:szCs w:val="18"/>
              </w:rPr>
              <w:t>262</w:t>
            </w:r>
            <w:r w:rsidRPr="002C0A36">
              <w:rPr>
                <w:rFonts w:cs="Calibri"/>
                <w:color w:val="000000"/>
                <w:sz w:val="18"/>
                <w:szCs w:val="18"/>
              </w:rPr>
              <w:t>,429.0</w:t>
            </w:r>
          </w:p>
        </w:tc>
      </w:tr>
      <w:tr w:rsidR="002C0A36" w:rsidRPr="002C0A36" w:rsidTr="00DF3013">
        <w:trPr>
          <w:trHeight w:val="325"/>
        </w:trPr>
        <w:tc>
          <w:tcPr>
            <w:tcW w:w="4424" w:type="dxa"/>
            <w:tcBorders>
              <w:top w:val="single" w:sz="4" w:space="0" w:color="auto"/>
              <w:left w:val="single" w:sz="4" w:space="0" w:color="auto"/>
              <w:bottom w:val="single" w:sz="4" w:space="0" w:color="auto"/>
              <w:right w:val="single" w:sz="4" w:space="0" w:color="auto"/>
            </w:tcBorders>
            <w:vAlign w:val="bottom"/>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rPr>
              <w:t>«Հայկական ատոմակայան ՓԲԸ</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(2,765,702.0)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(2,521,168.0)</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2C0A36" w:rsidRPr="002C0A36" w:rsidRDefault="002C0A36" w:rsidP="007730AA">
            <w:pPr>
              <w:spacing w:before="0" w:line="276" w:lineRule="auto"/>
              <w:contextualSpacing w:val="0"/>
              <w:jc w:val="center"/>
              <w:rPr>
                <w:rFonts w:cs="Calibri"/>
                <w:b w:val="0"/>
                <w:color w:val="000000"/>
                <w:sz w:val="18"/>
                <w:szCs w:val="18"/>
              </w:rPr>
            </w:pPr>
            <w:r w:rsidRPr="002C0A36">
              <w:rPr>
                <w:rFonts w:cs="Calibri"/>
                <w:b w:val="0"/>
                <w:color w:val="000000"/>
                <w:sz w:val="18"/>
                <w:szCs w:val="18"/>
              </w:rPr>
              <w:t>5,493,635.0</w:t>
            </w:r>
          </w:p>
        </w:tc>
      </w:tr>
      <w:tr w:rsidR="002C0A36" w:rsidRPr="002C0A36" w:rsidTr="00DF3013">
        <w:trPr>
          <w:trHeight w:val="213"/>
        </w:trPr>
        <w:tc>
          <w:tcPr>
            <w:tcW w:w="44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rPr>
              <w:t>«Բարձրավոլտ էլեկտրական ցանցեր ՓԲԸ</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3,370,279.0</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3,783,925.0</w:t>
            </w:r>
          </w:p>
        </w:tc>
        <w:tc>
          <w:tcPr>
            <w:tcW w:w="1843"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rsidR="002C0A36" w:rsidRPr="002C0A36" w:rsidRDefault="002C0A36" w:rsidP="007730AA">
            <w:pPr>
              <w:spacing w:before="0" w:line="276" w:lineRule="auto"/>
              <w:contextualSpacing w:val="0"/>
              <w:jc w:val="center"/>
              <w:rPr>
                <w:rFonts w:cs="Calibri"/>
                <w:b w:val="0"/>
                <w:color w:val="000000"/>
                <w:sz w:val="18"/>
                <w:szCs w:val="18"/>
              </w:rPr>
            </w:pPr>
            <w:r w:rsidRPr="002C0A36">
              <w:rPr>
                <w:rFonts w:cs="Calibri"/>
                <w:b w:val="0"/>
                <w:color w:val="000000"/>
                <w:sz w:val="18"/>
                <w:szCs w:val="18"/>
              </w:rPr>
              <w:t>49,597.0</w:t>
            </w:r>
          </w:p>
        </w:tc>
      </w:tr>
      <w:tr w:rsidR="002C0A36" w:rsidRPr="002C0A36" w:rsidTr="00DF3013">
        <w:trPr>
          <w:trHeight w:val="465"/>
        </w:trPr>
        <w:tc>
          <w:tcPr>
            <w:tcW w:w="4424"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rPr>
              <w:t>«Երևանի ջերմաէլեկտրակենտրոն (ՋԷԿ)» ՓԲԸ</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2,206,620.8</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contextualSpacing w:val="0"/>
              <w:jc w:val="center"/>
              <w:rPr>
                <w:b w:val="0"/>
                <w:sz w:val="18"/>
                <w:szCs w:val="18"/>
                <w:lang w:val="hy-AM"/>
              </w:rPr>
            </w:pPr>
            <w:r w:rsidRPr="002C0A36">
              <w:rPr>
                <w:b w:val="0"/>
                <w:sz w:val="18"/>
                <w:szCs w:val="18"/>
              </w:rPr>
              <w:t>1,262,087.</w:t>
            </w:r>
            <w:r w:rsidRPr="002C0A36">
              <w:rPr>
                <w:b w:val="0"/>
                <w:sz w:val="18"/>
                <w:szCs w:val="18"/>
                <w:lang w:val="hy-AM"/>
              </w:rPr>
              <w:t>3</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1,752,796.0</w:t>
            </w:r>
          </w:p>
        </w:tc>
      </w:tr>
      <w:tr w:rsidR="002C0A36" w:rsidRPr="002C0A36" w:rsidTr="00DF3013">
        <w:trPr>
          <w:trHeight w:val="687"/>
        </w:trPr>
        <w:tc>
          <w:tcPr>
            <w:tcW w:w="44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rPr>
              <w:t xml:space="preserve">«Էլեկտրաէներգետիկական համակարգի օպերատոր» </w:t>
            </w:r>
            <w:r w:rsidRPr="002C0A36">
              <w:rPr>
                <w:rFonts w:ascii="Calibri" w:hAnsi="Calibri" w:cs="Calibri"/>
                <w:b w:val="0"/>
                <w:sz w:val="18"/>
                <w:szCs w:val="18"/>
              </w:rPr>
              <w:t> </w:t>
            </w:r>
            <w:r w:rsidRPr="002C0A36">
              <w:rPr>
                <w:b w:val="0"/>
                <w:sz w:val="18"/>
                <w:szCs w:val="18"/>
              </w:rPr>
              <w:t>ՓԲԸ</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5,740.0</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17,908.0</w:t>
            </w:r>
          </w:p>
        </w:tc>
        <w:tc>
          <w:tcPr>
            <w:tcW w:w="1843"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rsidR="002C0A36" w:rsidRPr="002C0A36" w:rsidRDefault="002C0A36" w:rsidP="007730AA">
            <w:pPr>
              <w:spacing w:before="0" w:line="276" w:lineRule="auto"/>
              <w:contextualSpacing w:val="0"/>
              <w:jc w:val="center"/>
              <w:rPr>
                <w:rFonts w:cs="Calibri"/>
                <w:b w:val="0"/>
                <w:color w:val="000000"/>
                <w:sz w:val="18"/>
                <w:szCs w:val="18"/>
              </w:rPr>
            </w:pPr>
            <w:r w:rsidRPr="002C0A36">
              <w:rPr>
                <w:rFonts w:cs="Calibri"/>
                <w:b w:val="0"/>
                <w:color w:val="000000"/>
                <w:sz w:val="18"/>
                <w:szCs w:val="18"/>
                <w:shd w:val="clear" w:color="auto" w:fill="D5DCE4"/>
              </w:rPr>
              <w:t>(82,161.0</w:t>
            </w:r>
            <w:r w:rsidRPr="002C0A36">
              <w:rPr>
                <w:rFonts w:cs="Calibri"/>
                <w:b w:val="0"/>
                <w:color w:val="000000"/>
                <w:sz w:val="18"/>
                <w:szCs w:val="18"/>
              </w:rPr>
              <w:t>)</w:t>
            </w:r>
          </w:p>
        </w:tc>
      </w:tr>
      <w:tr w:rsidR="002C0A36" w:rsidRPr="002C0A36" w:rsidTr="00DF3013">
        <w:trPr>
          <w:trHeight w:val="300"/>
        </w:trPr>
        <w:tc>
          <w:tcPr>
            <w:tcW w:w="4424" w:type="dxa"/>
            <w:tcBorders>
              <w:top w:val="single" w:sz="4" w:space="0" w:color="auto"/>
              <w:left w:val="single" w:sz="4" w:space="0" w:color="auto"/>
              <w:bottom w:val="single" w:sz="4" w:space="0" w:color="auto"/>
              <w:right w:val="single" w:sz="4" w:space="0" w:color="auto"/>
            </w:tcBorders>
            <w:noWrap/>
            <w:vAlign w:val="bottom"/>
            <w:hideMark/>
          </w:tcPr>
          <w:p w:rsidR="002C0A36" w:rsidRPr="002C0A36" w:rsidRDefault="002C0A36" w:rsidP="007730AA">
            <w:pPr>
              <w:spacing w:before="0" w:line="276" w:lineRule="auto"/>
              <w:contextualSpacing w:val="0"/>
              <w:jc w:val="left"/>
              <w:rPr>
                <w:b w:val="0"/>
                <w:sz w:val="18"/>
                <w:szCs w:val="18"/>
                <w:lang w:val="en-US"/>
              </w:rPr>
            </w:pPr>
            <w:r w:rsidRPr="002C0A36">
              <w:rPr>
                <w:b w:val="0"/>
                <w:sz w:val="18"/>
                <w:szCs w:val="18"/>
              </w:rPr>
              <w:t>«Էներգակարգաբերում» ՓԲԸ</w:t>
            </w:r>
            <w:r w:rsidRPr="002C0A36">
              <w:rPr>
                <w:b w:val="0"/>
                <w:sz w:val="18"/>
                <w:szCs w:val="18"/>
                <w:vertAlign w:val="superscript"/>
              </w:rPr>
              <w:footnoteReference w:id="39"/>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6,449.0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2C0A36" w:rsidRPr="002C0A36" w:rsidRDefault="002C0A36" w:rsidP="007730AA">
            <w:pPr>
              <w:spacing w:before="0" w:line="276" w:lineRule="auto"/>
              <w:contextualSpacing w:val="0"/>
              <w:jc w:val="center"/>
              <w:rPr>
                <w:rFonts w:cs="Calibri"/>
                <w:b w:val="0"/>
                <w:color w:val="000000"/>
                <w:sz w:val="18"/>
                <w:szCs w:val="18"/>
              </w:rPr>
            </w:pPr>
            <w:r w:rsidRPr="002C0A36">
              <w:rPr>
                <w:rFonts w:cs="Calibri"/>
                <w:b w:val="0"/>
                <w:color w:val="000000"/>
                <w:sz w:val="18"/>
                <w:szCs w:val="18"/>
              </w:rPr>
              <w:t>-</w:t>
            </w:r>
          </w:p>
        </w:tc>
      </w:tr>
      <w:tr w:rsidR="002C0A36" w:rsidRPr="002C0A36" w:rsidTr="00DF3013">
        <w:trPr>
          <w:trHeight w:val="197"/>
        </w:trPr>
        <w:tc>
          <w:tcPr>
            <w:tcW w:w="442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rPr>
              <w:t>«Հաշվարկային կենտրոն» ՓԲԸ</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31,990.0</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15,133.0</w:t>
            </w:r>
          </w:p>
        </w:tc>
        <w:tc>
          <w:tcPr>
            <w:tcW w:w="1843"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rsidR="002C0A36" w:rsidRPr="002C0A36" w:rsidRDefault="002C0A36" w:rsidP="007730AA">
            <w:pPr>
              <w:spacing w:before="0" w:line="276" w:lineRule="auto"/>
              <w:contextualSpacing w:val="0"/>
              <w:jc w:val="center"/>
              <w:rPr>
                <w:rFonts w:cs="Calibri"/>
                <w:b w:val="0"/>
                <w:color w:val="000000"/>
                <w:sz w:val="18"/>
                <w:szCs w:val="18"/>
              </w:rPr>
            </w:pPr>
            <w:r w:rsidRPr="002C0A36">
              <w:rPr>
                <w:rFonts w:cs="Calibri"/>
                <w:b w:val="0"/>
                <w:color w:val="000000"/>
                <w:sz w:val="18"/>
                <w:szCs w:val="18"/>
              </w:rPr>
              <w:t>30,960.0</w:t>
            </w:r>
          </w:p>
        </w:tc>
      </w:tr>
      <w:tr w:rsidR="002C0A36" w:rsidRPr="002C0A36" w:rsidTr="00DF3013">
        <w:trPr>
          <w:trHeight w:val="161"/>
        </w:trPr>
        <w:tc>
          <w:tcPr>
            <w:tcW w:w="4424" w:type="dxa"/>
            <w:tcBorders>
              <w:top w:val="single" w:sz="4" w:space="0" w:color="auto"/>
              <w:left w:val="single" w:sz="4" w:space="0" w:color="auto"/>
              <w:bottom w:val="single" w:sz="4" w:space="0" w:color="auto"/>
              <w:right w:val="single" w:sz="4" w:space="0" w:color="auto"/>
            </w:tcBorders>
            <w:noWrap/>
            <w:vAlign w:val="bottom"/>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rPr>
              <w:t>«Հայատոմ» ՓԲԸ</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11,872.0</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11,468.0</w:t>
            </w:r>
          </w:p>
        </w:tc>
        <w:tc>
          <w:tcPr>
            <w:tcW w:w="1843" w:type="dxa"/>
            <w:tcBorders>
              <w:top w:val="nil"/>
              <w:left w:val="single" w:sz="4" w:space="0" w:color="auto"/>
              <w:bottom w:val="single" w:sz="4" w:space="0" w:color="auto"/>
              <w:right w:val="single" w:sz="4" w:space="0" w:color="auto"/>
            </w:tcBorders>
            <w:shd w:val="clear" w:color="auto" w:fill="auto"/>
            <w:vAlign w:val="bottom"/>
            <w:hideMark/>
          </w:tcPr>
          <w:p w:rsidR="002C0A36" w:rsidRPr="002C0A36" w:rsidRDefault="002C0A36" w:rsidP="007730AA">
            <w:pPr>
              <w:spacing w:before="0" w:line="276" w:lineRule="auto"/>
              <w:contextualSpacing w:val="0"/>
              <w:jc w:val="center"/>
              <w:rPr>
                <w:rFonts w:cs="Calibri"/>
                <w:b w:val="0"/>
                <w:color w:val="000000"/>
                <w:sz w:val="18"/>
                <w:szCs w:val="18"/>
              </w:rPr>
            </w:pPr>
            <w:r w:rsidRPr="002C0A36">
              <w:rPr>
                <w:rFonts w:cs="Calibri"/>
                <w:b w:val="0"/>
                <w:color w:val="000000"/>
                <w:sz w:val="18"/>
                <w:szCs w:val="18"/>
              </w:rPr>
              <w:t>13,342.0</w:t>
            </w:r>
          </w:p>
        </w:tc>
      </w:tr>
      <w:tr w:rsidR="002C0A36" w:rsidRPr="002C0A36" w:rsidTr="00DF3013">
        <w:trPr>
          <w:trHeight w:val="253"/>
        </w:trPr>
        <w:tc>
          <w:tcPr>
            <w:tcW w:w="442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rPr>
              <w:t>«Անալիտիկ» ՓԲԸ</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10,585.0</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9,956.0</w:t>
            </w:r>
          </w:p>
        </w:tc>
        <w:tc>
          <w:tcPr>
            <w:tcW w:w="1843"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rsidR="002C0A36" w:rsidRPr="002C0A36" w:rsidRDefault="002C0A36" w:rsidP="007730AA">
            <w:pPr>
              <w:spacing w:before="0" w:line="276" w:lineRule="auto"/>
              <w:contextualSpacing w:val="0"/>
              <w:jc w:val="center"/>
              <w:rPr>
                <w:rFonts w:cs="Calibri"/>
                <w:b w:val="0"/>
                <w:color w:val="000000"/>
                <w:sz w:val="18"/>
                <w:szCs w:val="18"/>
              </w:rPr>
            </w:pPr>
            <w:r w:rsidRPr="002C0A36">
              <w:rPr>
                <w:rFonts w:cs="Calibri"/>
                <w:b w:val="0"/>
                <w:color w:val="000000"/>
                <w:sz w:val="18"/>
                <w:szCs w:val="18"/>
              </w:rPr>
              <w:t>4,260.0</w:t>
            </w:r>
          </w:p>
        </w:tc>
      </w:tr>
    </w:tbl>
    <w:p w:rsidR="002C0A36" w:rsidRPr="002C0A36" w:rsidRDefault="002C0A36" w:rsidP="007730AA">
      <w:pPr>
        <w:spacing w:before="0" w:line="276" w:lineRule="auto"/>
        <w:contextualSpacing w:val="0"/>
        <w:rPr>
          <w:b w:val="0"/>
          <w:szCs w:val="22"/>
        </w:rPr>
      </w:pPr>
    </w:p>
    <w:p w:rsidR="002C0A36" w:rsidRDefault="002C0A36" w:rsidP="007730AA">
      <w:pPr>
        <w:spacing w:before="0" w:line="276" w:lineRule="auto"/>
        <w:contextualSpacing w:val="0"/>
        <w:rPr>
          <w:b w:val="0"/>
          <w:szCs w:val="22"/>
          <w:lang w:val="hy-AM"/>
        </w:rPr>
      </w:pPr>
      <w:r w:rsidRPr="002C0A36">
        <w:rPr>
          <w:b w:val="0"/>
          <w:szCs w:val="22"/>
        </w:rPr>
        <w:t>Հաշվետու ժամանակաշրջանում նախորդ ժամանակաշրջանի նկատմամբ</w:t>
      </w:r>
      <w:r w:rsidRPr="002C0A36">
        <w:rPr>
          <w:b w:val="0"/>
          <w:szCs w:val="22"/>
          <w:lang w:val="hy-AM"/>
        </w:rPr>
        <w:t xml:space="preserve"> </w:t>
      </w:r>
      <w:r w:rsidRPr="002C0A36">
        <w:rPr>
          <w:b w:val="0"/>
          <w:szCs w:val="22"/>
        </w:rPr>
        <w:t>Ընկերություն</w:t>
      </w:r>
      <w:r w:rsidRPr="002C0A36">
        <w:rPr>
          <w:b w:val="0"/>
          <w:szCs w:val="22"/>
        </w:rPr>
        <w:softHyphen/>
        <w:t xml:space="preserve">ների հանրագումարային սեփական կապիտալը </w:t>
      </w:r>
      <w:r w:rsidRPr="002C0A36">
        <w:rPr>
          <w:b w:val="0"/>
          <w:szCs w:val="22"/>
          <w:lang w:val="hy-AM"/>
        </w:rPr>
        <w:t>նվազել</w:t>
      </w:r>
      <w:r w:rsidRPr="002C0A36">
        <w:rPr>
          <w:b w:val="0"/>
          <w:szCs w:val="22"/>
        </w:rPr>
        <w:t xml:space="preserve"> է </w:t>
      </w:r>
      <w:r w:rsidRPr="002C0A36">
        <w:rPr>
          <w:b w:val="0"/>
          <w:szCs w:val="22"/>
          <w:lang w:val="hy-AM"/>
        </w:rPr>
        <w:t>մոտ 2</w:t>
      </w:r>
      <w:r w:rsidRPr="002C0A36">
        <w:rPr>
          <w:b w:val="0"/>
          <w:szCs w:val="22"/>
        </w:rPr>
        <w:t>.</w:t>
      </w:r>
      <w:r w:rsidRPr="002C0A36">
        <w:rPr>
          <w:b w:val="0"/>
          <w:szCs w:val="22"/>
          <w:lang w:val="hy-AM"/>
        </w:rPr>
        <w:t>0</w:t>
      </w:r>
      <w:r w:rsidRPr="002C0A36">
        <w:rPr>
          <w:b w:val="0"/>
          <w:szCs w:val="22"/>
        </w:rPr>
        <w:t xml:space="preserve"> մլրդ դրամով (</w:t>
      </w:r>
      <w:r w:rsidRPr="002C0A36">
        <w:rPr>
          <w:b w:val="0"/>
          <w:szCs w:val="22"/>
          <w:lang w:val="hy-AM"/>
        </w:rPr>
        <w:t>2</w:t>
      </w:r>
      <w:r w:rsidRPr="002C0A36">
        <w:rPr>
          <w:b w:val="0"/>
          <w:szCs w:val="22"/>
        </w:rPr>
        <w:t>.</w:t>
      </w:r>
      <w:r w:rsidRPr="002C0A36">
        <w:rPr>
          <w:b w:val="0"/>
          <w:szCs w:val="22"/>
          <w:lang w:val="hy-AM"/>
        </w:rPr>
        <w:t>3</w:t>
      </w:r>
      <w:r w:rsidRPr="002C0A36">
        <w:rPr>
          <w:b w:val="0"/>
          <w:szCs w:val="22"/>
        </w:rPr>
        <w:t xml:space="preserve">%-ով) </w:t>
      </w:r>
      <w:r w:rsidRPr="002C0A36">
        <w:rPr>
          <w:rFonts w:eastAsia="Calibri" w:cs="Sylfaen"/>
          <w:b w:val="0"/>
          <w:szCs w:val="22"/>
        </w:rPr>
        <w:t>և</w:t>
      </w:r>
      <w:r w:rsidRPr="002C0A36">
        <w:rPr>
          <w:rFonts w:eastAsia="Calibri" w:cs="Arial"/>
          <w:b w:val="0"/>
          <w:szCs w:val="22"/>
        </w:rPr>
        <w:t xml:space="preserve"> </w:t>
      </w:r>
      <w:r w:rsidRPr="002C0A36">
        <w:rPr>
          <w:rFonts w:eastAsia="Calibri" w:cs="Sylfaen"/>
          <w:b w:val="0"/>
          <w:szCs w:val="22"/>
        </w:rPr>
        <w:t>կազմել</w:t>
      </w:r>
      <w:r w:rsidRPr="002C0A36">
        <w:rPr>
          <w:rFonts w:eastAsia="Calibri" w:cs="Arial"/>
          <w:szCs w:val="22"/>
        </w:rPr>
        <w:t xml:space="preserve"> </w:t>
      </w:r>
      <w:r w:rsidRPr="002C0A36">
        <w:rPr>
          <w:rFonts w:eastAsia="Calibri" w:cs="Arial"/>
          <w:b w:val="0"/>
          <w:szCs w:val="22"/>
        </w:rPr>
        <w:t xml:space="preserve">83.2 </w:t>
      </w:r>
      <w:r w:rsidRPr="002C0A36">
        <w:rPr>
          <w:rFonts w:eastAsia="Calibri" w:cs="Sylfaen"/>
          <w:b w:val="0"/>
          <w:szCs w:val="22"/>
        </w:rPr>
        <w:t>մլրդ</w:t>
      </w:r>
      <w:r w:rsidRPr="002C0A36">
        <w:rPr>
          <w:rFonts w:eastAsia="Calibri" w:cs="Arial"/>
          <w:b w:val="0"/>
          <w:szCs w:val="22"/>
        </w:rPr>
        <w:t xml:space="preserve"> </w:t>
      </w:r>
      <w:r w:rsidRPr="002C0A36">
        <w:rPr>
          <w:rFonts w:eastAsia="Calibri" w:cs="Sylfaen"/>
          <w:b w:val="0"/>
          <w:szCs w:val="22"/>
        </w:rPr>
        <w:t>դրամ</w:t>
      </w:r>
      <w:r w:rsidRPr="002C0A36">
        <w:rPr>
          <w:rFonts w:eastAsia="Calibri" w:cs="Arial"/>
          <w:b w:val="0"/>
          <w:szCs w:val="22"/>
        </w:rPr>
        <w:t>:</w:t>
      </w:r>
      <w:r w:rsidRPr="002C0A36">
        <w:rPr>
          <w:rFonts w:eastAsia="Calibri"/>
          <w:b w:val="0"/>
          <w:szCs w:val="22"/>
        </w:rPr>
        <w:t xml:space="preserve"> </w:t>
      </w:r>
      <w:r w:rsidRPr="002C0A36">
        <w:rPr>
          <w:b w:val="0"/>
          <w:szCs w:val="22"/>
        </w:rPr>
        <w:t>Ընդ որում Ընկերությունների հանրագումարային պարտավորությունները 4.</w:t>
      </w:r>
      <w:r w:rsidRPr="002C0A36">
        <w:rPr>
          <w:b w:val="0"/>
          <w:szCs w:val="22"/>
          <w:lang w:val="hy-AM"/>
        </w:rPr>
        <w:t>6</w:t>
      </w:r>
      <w:r w:rsidRPr="002C0A36">
        <w:rPr>
          <w:b w:val="0"/>
          <w:szCs w:val="22"/>
        </w:rPr>
        <w:t xml:space="preserve"> անգամ գերազանցում են սեփական կապիտալի հանրագումարային մեծությանը: </w:t>
      </w:r>
      <w:r w:rsidRPr="002C0A36">
        <w:rPr>
          <w:rFonts w:eastAsia="Calibri" w:cs="Arial"/>
          <w:b w:val="0"/>
          <w:szCs w:val="22"/>
        </w:rPr>
        <w:t xml:space="preserve">Միջանկյալ ժամանակաշրջանում նախորդ միջանկյալ ժամանակաշրջանի նկատմամբ Ընկերությունների հանրագումարային սեփական կապիտալը </w:t>
      </w:r>
      <w:r w:rsidRPr="002C0A36">
        <w:rPr>
          <w:rFonts w:eastAsia="Calibri" w:cs="Arial"/>
          <w:b w:val="0"/>
          <w:szCs w:val="22"/>
          <w:lang w:val="hy-AM"/>
        </w:rPr>
        <w:t>ավելացել</w:t>
      </w:r>
      <w:r w:rsidRPr="002C0A36">
        <w:rPr>
          <w:rFonts w:eastAsia="Calibri" w:cs="Arial"/>
          <w:b w:val="0"/>
          <w:szCs w:val="22"/>
        </w:rPr>
        <w:t xml:space="preserve"> է 4.0 մլն դրամով և կազմել </w:t>
      </w:r>
      <w:r w:rsidRPr="002C0A36">
        <w:rPr>
          <w:rFonts w:eastAsia="Calibri" w:cs="Arial"/>
          <w:b w:val="0"/>
          <w:szCs w:val="22"/>
          <w:lang w:val="hy-AM"/>
        </w:rPr>
        <w:t>90</w:t>
      </w:r>
      <w:r w:rsidRPr="002C0A36">
        <w:rPr>
          <w:rFonts w:ascii="Cambria Math" w:eastAsia="Calibri" w:hAnsi="Cambria Math" w:cs="Cambria Math"/>
          <w:b w:val="0"/>
          <w:szCs w:val="22"/>
          <w:lang w:val="hy-AM"/>
        </w:rPr>
        <w:t>․</w:t>
      </w:r>
      <w:r w:rsidRPr="002C0A36">
        <w:rPr>
          <w:rFonts w:eastAsia="Calibri" w:cs="Arial"/>
          <w:b w:val="0"/>
          <w:szCs w:val="22"/>
          <w:lang w:val="hy-AM"/>
        </w:rPr>
        <w:t>3</w:t>
      </w:r>
      <w:r w:rsidRPr="002C0A36">
        <w:rPr>
          <w:rFonts w:eastAsia="Calibri" w:cs="Arial"/>
          <w:b w:val="0"/>
          <w:szCs w:val="22"/>
        </w:rPr>
        <w:t xml:space="preserve"> մլրդ դրամ</w:t>
      </w:r>
      <w:r w:rsidRPr="002C0A36">
        <w:rPr>
          <w:b w:val="0"/>
          <w:szCs w:val="22"/>
        </w:rPr>
        <w:t xml:space="preserve"> (աղյուսակ 2</w:t>
      </w:r>
      <w:r w:rsidR="00396D6B">
        <w:rPr>
          <w:b w:val="0"/>
          <w:szCs w:val="22"/>
          <w:lang w:val="hy-AM"/>
        </w:rPr>
        <w:t>5</w:t>
      </w:r>
      <w:r w:rsidRPr="002C0A36">
        <w:rPr>
          <w:b w:val="0"/>
          <w:szCs w:val="22"/>
        </w:rPr>
        <w:t xml:space="preserve">): </w:t>
      </w:r>
      <w:r w:rsidRPr="002C0A36">
        <w:rPr>
          <w:b w:val="0"/>
          <w:szCs w:val="22"/>
          <w:lang w:val="hy-AM"/>
        </w:rPr>
        <w:t xml:space="preserve"> </w:t>
      </w:r>
    </w:p>
    <w:p w:rsidR="00BD3813" w:rsidRDefault="00BD3813" w:rsidP="007730AA">
      <w:pPr>
        <w:spacing w:before="0" w:line="276" w:lineRule="auto"/>
        <w:contextualSpacing w:val="0"/>
        <w:rPr>
          <w:b w:val="0"/>
          <w:szCs w:val="22"/>
          <w:lang w:val="hy-AM"/>
        </w:rPr>
      </w:pPr>
    </w:p>
    <w:p w:rsidR="002C0A36" w:rsidRPr="002C0A36" w:rsidRDefault="00CF7820" w:rsidP="007730AA">
      <w:pPr>
        <w:pStyle w:val="Caption"/>
        <w:spacing w:before="0" w:after="0"/>
        <w:rPr>
          <w:sz w:val="20"/>
          <w:szCs w:val="20"/>
          <w:lang w:val="hy-AM"/>
        </w:rPr>
      </w:pPr>
      <w:bookmarkStart w:id="268" w:name="_Toc57631775"/>
      <w:r w:rsidRPr="00CF7820">
        <w:rPr>
          <w:lang w:val="hy-AM"/>
        </w:rPr>
        <w:t xml:space="preserve">Աղյուսակ </w:t>
      </w:r>
      <w:r w:rsidR="003C3925">
        <w:fldChar w:fldCharType="begin"/>
      </w:r>
      <w:r w:rsidRPr="00CF7820">
        <w:rPr>
          <w:lang w:val="hy-AM"/>
        </w:rPr>
        <w:instrText xml:space="preserve"> SEQ Աղյուսակ \* ARABIC </w:instrText>
      </w:r>
      <w:r w:rsidR="003C3925">
        <w:fldChar w:fldCharType="separate"/>
      </w:r>
      <w:r w:rsidR="007E790B">
        <w:rPr>
          <w:noProof/>
          <w:lang w:val="hy-AM"/>
        </w:rPr>
        <w:t>24</w:t>
      </w:r>
      <w:r w:rsidR="003C3925">
        <w:fldChar w:fldCharType="end"/>
      </w:r>
      <w:r>
        <w:rPr>
          <w:rFonts w:ascii="Cambria Math" w:hAnsi="Cambria Math"/>
          <w:lang w:val="hy-AM"/>
        </w:rPr>
        <w:t xml:space="preserve">․ </w:t>
      </w:r>
      <w:r w:rsidR="002C0A36" w:rsidRPr="002C0A36">
        <w:rPr>
          <w:b/>
          <w:i/>
          <w:sz w:val="20"/>
          <w:szCs w:val="20"/>
          <w:lang w:val="hy-AM"/>
        </w:rPr>
        <w:t>Էներգետիկայի ոլորտի պետական մասնակցությամբ ընկերությունների հանրագումարային հաշվապահական հաշվեկշիռը 2018թ. դեկտեմբերի 31-ի, 2019թ. դեկտեմբերի 31-ի և 2020թ. հունիսի 30-ի դրությամբ</w:t>
      </w:r>
      <w:bookmarkEnd w:id="268"/>
      <w:r w:rsidR="002C0A36" w:rsidRPr="002C0A36">
        <w:rPr>
          <w:b/>
          <w:i/>
          <w:sz w:val="20"/>
          <w:szCs w:val="20"/>
          <w:lang w:val="hy-AM"/>
        </w:rPr>
        <w:t xml:space="preserve">                                                                    </w:t>
      </w:r>
    </w:p>
    <w:p w:rsidR="002C0A36" w:rsidRDefault="002C0A36" w:rsidP="007730AA">
      <w:pPr>
        <w:spacing w:before="0" w:line="276" w:lineRule="auto"/>
        <w:ind w:firstLine="562"/>
        <w:contextualSpacing w:val="0"/>
        <w:jc w:val="right"/>
        <w:rPr>
          <w:b w:val="0"/>
          <w:i/>
          <w:sz w:val="18"/>
          <w:szCs w:val="18"/>
          <w:lang w:val="en-US"/>
        </w:rPr>
      </w:pPr>
      <w:r w:rsidRPr="002C0A36">
        <w:rPr>
          <w:b w:val="0"/>
          <w:i/>
          <w:sz w:val="18"/>
          <w:szCs w:val="18"/>
        </w:rPr>
        <w:t>հազ. դրամ</w:t>
      </w:r>
    </w:p>
    <w:tbl>
      <w:tblPr>
        <w:tblpPr w:leftFromText="180" w:rightFromText="180" w:bottomFromText="160" w:vertAnchor="text" w:horzAnchor="margin" w:tblpY="267"/>
        <w:tblW w:w="9351" w:type="dxa"/>
        <w:tblLook w:val="04A0" w:firstRow="1" w:lastRow="0" w:firstColumn="1" w:lastColumn="0" w:noHBand="0" w:noVBand="1"/>
      </w:tblPr>
      <w:tblGrid>
        <w:gridCol w:w="4753"/>
        <w:gridCol w:w="1617"/>
        <w:gridCol w:w="1559"/>
        <w:gridCol w:w="1422"/>
      </w:tblGrid>
      <w:tr w:rsidR="002C0A36" w:rsidRPr="002C0A36" w:rsidTr="00457531">
        <w:trPr>
          <w:trHeight w:val="191"/>
          <w:tblHeader/>
        </w:trPr>
        <w:tc>
          <w:tcPr>
            <w:tcW w:w="4753" w:type="dxa"/>
            <w:tcBorders>
              <w:top w:val="single" w:sz="4" w:space="0" w:color="auto"/>
              <w:left w:val="single" w:sz="4" w:space="0" w:color="auto"/>
              <w:bottom w:val="single" w:sz="4" w:space="0" w:color="auto"/>
              <w:right w:val="single" w:sz="4" w:space="0" w:color="auto"/>
            </w:tcBorders>
            <w:shd w:val="clear" w:color="auto" w:fill="4F81BD" w:themeFill="accent1"/>
          </w:tcPr>
          <w:p w:rsidR="002C0A36" w:rsidRPr="00BD3813" w:rsidRDefault="002C0A36" w:rsidP="007730AA">
            <w:pPr>
              <w:spacing w:before="0" w:line="276" w:lineRule="auto"/>
              <w:contextualSpacing w:val="0"/>
              <w:jc w:val="left"/>
              <w:rPr>
                <w:sz w:val="18"/>
                <w:szCs w:val="18"/>
              </w:rPr>
            </w:pPr>
            <w:r w:rsidRPr="00BD3813">
              <w:rPr>
                <w:color w:val="FFFFFF"/>
                <w:sz w:val="18"/>
                <w:szCs w:val="18"/>
              </w:rPr>
              <w:t>Հաշվեկշռային հոդվածներ</w:t>
            </w:r>
          </w:p>
        </w:tc>
        <w:tc>
          <w:tcPr>
            <w:tcW w:w="1617" w:type="dxa"/>
            <w:tcBorders>
              <w:top w:val="single" w:sz="4" w:space="0" w:color="auto"/>
              <w:left w:val="nil"/>
              <w:bottom w:val="single" w:sz="4" w:space="0" w:color="auto"/>
              <w:right w:val="single" w:sz="4" w:space="0" w:color="auto"/>
            </w:tcBorders>
            <w:shd w:val="clear" w:color="auto" w:fill="4F81BD" w:themeFill="accent1"/>
            <w:noWrap/>
          </w:tcPr>
          <w:p w:rsidR="002C0A36" w:rsidRPr="00BD3813" w:rsidRDefault="002C0A36" w:rsidP="007730AA">
            <w:pPr>
              <w:spacing w:before="0" w:line="276" w:lineRule="auto"/>
              <w:contextualSpacing w:val="0"/>
              <w:jc w:val="left"/>
              <w:rPr>
                <w:color w:val="FFFFFF"/>
                <w:sz w:val="18"/>
                <w:szCs w:val="18"/>
              </w:rPr>
            </w:pPr>
            <w:r w:rsidRPr="00BD3813">
              <w:rPr>
                <w:color w:val="FFFFFF"/>
                <w:sz w:val="18"/>
                <w:szCs w:val="18"/>
              </w:rPr>
              <w:t>2018թ.</w:t>
            </w:r>
          </w:p>
        </w:tc>
        <w:tc>
          <w:tcPr>
            <w:tcW w:w="1559" w:type="dxa"/>
            <w:tcBorders>
              <w:top w:val="single" w:sz="4" w:space="0" w:color="auto"/>
              <w:left w:val="nil"/>
              <w:bottom w:val="single" w:sz="4" w:space="0" w:color="auto"/>
              <w:right w:val="single" w:sz="4" w:space="0" w:color="auto"/>
            </w:tcBorders>
            <w:shd w:val="clear" w:color="auto" w:fill="4F81BD" w:themeFill="accent1"/>
            <w:noWrap/>
          </w:tcPr>
          <w:p w:rsidR="002C0A36" w:rsidRPr="00BD3813" w:rsidRDefault="002C0A36" w:rsidP="007730AA">
            <w:pPr>
              <w:spacing w:before="0" w:line="276" w:lineRule="auto"/>
              <w:contextualSpacing w:val="0"/>
              <w:jc w:val="left"/>
              <w:rPr>
                <w:color w:val="FFFFFF"/>
                <w:sz w:val="18"/>
                <w:szCs w:val="18"/>
              </w:rPr>
            </w:pPr>
            <w:r w:rsidRPr="00BD3813">
              <w:rPr>
                <w:color w:val="FFFFFF"/>
                <w:sz w:val="18"/>
                <w:szCs w:val="18"/>
              </w:rPr>
              <w:t>2019թ.</w:t>
            </w:r>
          </w:p>
        </w:tc>
        <w:tc>
          <w:tcPr>
            <w:tcW w:w="1422" w:type="dxa"/>
            <w:tcBorders>
              <w:top w:val="single" w:sz="4" w:space="0" w:color="auto"/>
              <w:left w:val="single" w:sz="4" w:space="0" w:color="auto"/>
              <w:bottom w:val="single" w:sz="4" w:space="0" w:color="auto"/>
              <w:right w:val="single" w:sz="4" w:space="0" w:color="auto"/>
            </w:tcBorders>
            <w:shd w:val="clear" w:color="auto" w:fill="4F81BD" w:themeFill="accent1"/>
            <w:noWrap/>
          </w:tcPr>
          <w:p w:rsidR="002C0A36" w:rsidRPr="00BD3813" w:rsidRDefault="002C0A36" w:rsidP="007730AA">
            <w:pPr>
              <w:spacing w:before="0" w:line="276" w:lineRule="auto"/>
              <w:contextualSpacing w:val="0"/>
              <w:jc w:val="left"/>
              <w:rPr>
                <w:color w:val="FFFFFF"/>
                <w:sz w:val="18"/>
                <w:szCs w:val="18"/>
              </w:rPr>
            </w:pPr>
            <w:r w:rsidRPr="00BD3813">
              <w:rPr>
                <w:color w:val="FFFFFF"/>
                <w:sz w:val="18"/>
                <w:szCs w:val="18"/>
              </w:rPr>
              <w:t xml:space="preserve">2020թ. </w:t>
            </w:r>
            <w:r w:rsidRPr="00BD3813">
              <w:rPr>
                <w:color w:val="FFFFFF"/>
                <w:sz w:val="18"/>
                <w:szCs w:val="18"/>
              </w:rPr>
              <w:br/>
              <w:t>1-ին կիսամյակ</w:t>
            </w:r>
          </w:p>
        </w:tc>
      </w:tr>
      <w:tr w:rsidR="002C0A36" w:rsidRPr="002C0A36" w:rsidTr="00457531">
        <w:trPr>
          <w:trHeight w:val="191"/>
          <w:tblHeader/>
        </w:trPr>
        <w:tc>
          <w:tcPr>
            <w:tcW w:w="4753"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rPr>
              <w:t>1. Ընդամենը ակտիվներ</w:t>
            </w:r>
          </w:p>
        </w:tc>
        <w:tc>
          <w:tcPr>
            <w:tcW w:w="1617" w:type="dxa"/>
            <w:tcBorders>
              <w:top w:val="nil"/>
              <w:left w:val="nil"/>
              <w:bottom w:val="single" w:sz="4" w:space="0" w:color="auto"/>
              <w:right w:val="single" w:sz="8" w:space="0" w:color="auto"/>
            </w:tcBorders>
            <w:shd w:val="clear" w:color="auto" w:fill="C6D9F1" w:themeFill="text2" w:themeFillTint="33"/>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435,287,267.9</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2C0A36" w:rsidRPr="002C0A36" w:rsidRDefault="002C0A36" w:rsidP="007730AA">
            <w:pPr>
              <w:spacing w:before="0" w:line="276" w:lineRule="auto"/>
              <w:contextualSpacing w:val="0"/>
              <w:jc w:val="center"/>
              <w:rPr>
                <w:b w:val="0"/>
                <w:sz w:val="18"/>
                <w:szCs w:val="18"/>
                <w:lang w:val="en-US"/>
              </w:rPr>
            </w:pPr>
            <w:r w:rsidRPr="002C0A36">
              <w:rPr>
                <w:b w:val="0"/>
                <w:sz w:val="18"/>
                <w:szCs w:val="18"/>
              </w:rPr>
              <w:t>466,665,802.</w:t>
            </w:r>
            <w:r w:rsidRPr="002C0A36">
              <w:rPr>
                <w:b w:val="0"/>
                <w:sz w:val="18"/>
                <w:szCs w:val="18"/>
                <w:lang w:val="en-US"/>
              </w:rPr>
              <w:t>2</w:t>
            </w:r>
          </w:p>
        </w:tc>
        <w:tc>
          <w:tcPr>
            <w:tcW w:w="142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2C0A36" w:rsidRPr="002C0A36" w:rsidRDefault="002C0A36" w:rsidP="007730AA">
            <w:pPr>
              <w:spacing w:before="0" w:line="276" w:lineRule="auto"/>
              <w:contextualSpacing w:val="0"/>
              <w:jc w:val="left"/>
              <w:rPr>
                <w:b w:val="0"/>
                <w:sz w:val="18"/>
                <w:szCs w:val="18"/>
              </w:rPr>
            </w:pPr>
            <w:r w:rsidRPr="002C0A36">
              <w:rPr>
                <w:b w:val="0"/>
                <w:sz w:val="18"/>
                <w:szCs w:val="18"/>
              </w:rPr>
              <w:t xml:space="preserve">463,824,230.0 </w:t>
            </w:r>
          </w:p>
        </w:tc>
      </w:tr>
      <w:tr w:rsidR="002C0A36" w:rsidRPr="002C0A36" w:rsidTr="00457531">
        <w:trPr>
          <w:trHeight w:val="187"/>
          <w:tblHeader/>
        </w:trPr>
        <w:tc>
          <w:tcPr>
            <w:tcW w:w="4753" w:type="dxa"/>
            <w:tcBorders>
              <w:top w:val="nil"/>
              <w:left w:val="single" w:sz="8" w:space="0" w:color="auto"/>
              <w:bottom w:val="single" w:sz="4" w:space="0" w:color="auto"/>
              <w:right w:val="single" w:sz="4" w:space="0" w:color="auto"/>
            </w:tcBorders>
            <w:vAlign w:val="bottom"/>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rPr>
              <w:t xml:space="preserve"> </w:t>
            </w:r>
            <w:r w:rsidRPr="002C0A36">
              <w:rPr>
                <w:b w:val="0"/>
                <w:sz w:val="18"/>
                <w:szCs w:val="18"/>
                <w:lang w:val="hy-AM"/>
              </w:rPr>
              <w:t xml:space="preserve">  </w:t>
            </w:r>
            <w:r w:rsidRPr="002C0A36">
              <w:rPr>
                <w:b w:val="0"/>
                <w:sz w:val="18"/>
                <w:szCs w:val="18"/>
              </w:rPr>
              <w:t>- Ընթացիկ ակտիվներ</w:t>
            </w:r>
          </w:p>
        </w:tc>
        <w:tc>
          <w:tcPr>
            <w:tcW w:w="1617" w:type="dxa"/>
            <w:tcBorders>
              <w:top w:val="nil"/>
              <w:left w:val="nil"/>
              <w:bottom w:val="single" w:sz="4" w:space="0" w:color="auto"/>
              <w:right w:val="single" w:sz="8" w:space="0" w:color="auto"/>
            </w:tcBorders>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79,960,062.9</w:t>
            </w:r>
          </w:p>
        </w:tc>
        <w:tc>
          <w:tcPr>
            <w:tcW w:w="1559"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contextualSpacing w:val="0"/>
              <w:jc w:val="center"/>
              <w:rPr>
                <w:b w:val="0"/>
                <w:sz w:val="18"/>
                <w:szCs w:val="18"/>
              </w:rPr>
            </w:pPr>
            <w:r w:rsidRPr="002C0A36">
              <w:rPr>
                <w:b w:val="0"/>
                <w:sz w:val="18"/>
                <w:szCs w:val="18"/>
              </w:rPr>
              <w:t>84,423,033.2</w:t>
            </w:r>
          </w:p>
        </w:tc>
        <w:tc>
          <w:tcPr>
            <w:tcW w:w="1422"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contextualSpacing w:val="0"/>
              <w:jc w:val="left"/>
              <w:rPr>
                <w:b w:val="0"/>
                <w:sz w:val="18"/>
                <w:szCs w:val="18"/>
              </w:rPr>
            </w:pPr>
            <w:r w:rsidRPr="002C0A36">
              <w:rPr>
                <w:b w:val="0"/>
                <w:sz w:val="18"/>
                <w:szCs w:val="18"/>
              </w:rPr>
              <w:t xml:space="preserve">89,161,822.0 </w:t>
            </w:r>
          </w:p>
        </w:tc>
      </w:tr>
      <w:tr w:rsidR="002C0A36" w:rsidRPr="002C0A36" w:rsidTr="00457531">
        <w:trPr>
          <w:trHeight w:val="187"/>
          <w:tblHeader/>
        </w:trPr>
        <w:tc>
          <w:tcPr>
            <w:tcW w:w="4753" w:type="dxa"/>
            <w:tcBorders>
              <w:top w:val="nil"/>
              <w:left w:val="single" w:sz="8" w:space="0" w:color="auto"/>
              <w:bottom w:val="single" w:sz="4" w:space="0" w:color="auto"/>
              <w:right w:val="single" w:sz="4" w:space="0" w:color="auto"/>
            </w:tcBorders>
            <w:vAlign w:val="bottom"/>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lang w:val="hy-AM"/>
              </w:rPr>
              <w:t xml:space="preserve">  </w:t>
            </w:r>
            <w:r w:rsidRPr="002C0A36">
              <w:rPr>
                <w:b w:val="0"/>
                <w:sz w:val="18"/>
                <w:szCs w:val="18"/>
              </w:rPr>
              <w:t xml:space="preserve"> - Ոչ ընթացիկ ակտիվներ</w:t>
            </w:r>
          </w:p>
        </w:tc>
        <w:tc>
          <w:tcPr>
            <w:tcW w:w="1617" w:type="dxa"/>
            <w:tcBorders>
              <w:top w:val="nil"/>
              <w:left w:val="nil"/>
              <w:bottom w:val="single" w:sz="4" w:space="0" w:color="auto"/>
              <w:right w:val="single" w:sz="8" w:space="0" w:color="auto"/>
            </w:tcBorders>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355,327,205.0</w:t>
            </w:r>
          </w:p>
        </w:tc>
        <w:tc>
          <w:tcPr>
            <w:tcW w:w="1559"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contextualSpacing w:val="0"/>
              <w:jc w:val="center"/>
              <w:rPr>
                <w:b w:val="0"/>
                <w:sz w:val="18"/>
                <w:szCs w:val="18"/>
              </w:rPr>
            </w:pPr>
            <w:r w:rsidRPr="002C0A36">
              <w:rPr>
                <w:b w:val="0"/>
                <w:sz w:val="18"/>
                <w:szCs w:val="18"/>
              </w:rPr>
              <w:t>382,242,768.9</w:t>
            </w:r>
          </w:p>
        </w:tc>
        <w:tc>
          <w:tcPr>
            <w:tcW w:w="1422"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contextualSpacing w:val="0"/>
              <w:jc w:val="left"/>
              <w:rPr>
                <w:b w:val="0"/>
                <w:sz w:val="18"/>
                <w:szCs w:val="18"/>
              </w:rPr>
            </w:pPr>
            <w:r w:rsidRPr="002C0A36">
              <w:rPr>
                <w:b w:val="0"/>
                <w:sz w:val="18"/>
                <w:szCs w:val="18"/>
              </w:rPr>
              <w:t xml:space="preserve">374,662,408.0 </w:t>
            </w:r>
          </w:p>
        </w:tc>
      </w:tr>
      <w:tr w:rsidR="002C0A36" w:rsidRPr="002C0A36" w:rsidTr="00457531">
        <w:trPr>
          <w:trHeight w:val="187"/>
          <w:tblHeader/>
        </w:trPr>
        <w:tc>
          <w:tcPr>
            <w:tcW w:w="475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rPr>
              <w:t>2. Ընդամենը պարտավորություններ</w:t>
            </w:r>
          </w:p>
        </w:tc>
        <w:tc>
          <w:tcPr>
            <w:tcW w:w="161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350,159,009.6</w:t>
            </w:r>
          </w:p>
        </w:tc>
        <w:tc>
          <w:tcPr>
            <w:tcW w:w="155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2C0A36" w:rsidRPr="002C0A36" w:rsidRDefault="002C0A36" w:rsidP="007730AA">
            <w:pPr>
              <w:spacing w:before="0" w:line="276" w:lineRule="auto"/>
              <w:contextualSpacing w:val="0"/>
              <w:jc w:val="center"/>
              <w:rPr>
                <w:b w:val="0"/>
                <w:sz w:val="18"/>
                <w:szCs w:val="18"/>
              </w:rPr>
            </w:pPr>
            <w:r w:rsidRPr="002C0A36">
              <w:rPr>
                <w:b w:val="0"/>
                <w:sz w:val="18"/>
                <w:szCs w:val="18"/>
              </w:rPr>
              <w:t>383,500,663.1</w:t>
            </w:r>
          </w:p>
        </w:tc>
        <w:tc>
          <w:tcPr>
            <w:tcW w:w="1422"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2C0A36" w:rsidRPr="002C0A36" w:rsidRDefault="002C0A36" w:rsidP="007730AA">
            <w:pPr>
              <w:spacing w:before="0" w:line="276" w:lineRule="auto"/>
              <w:contextualSpacing w:val="0"/>
              <w:jc w:val="left"/>
              <w:rPr>
                <w:b w:val="0"/>
                <w:sz w:val="18"/>
                <w:szCs w:val="18"/>
              </w:rPr>
            </w:pPr>
            <w:r w:rsidRPr="002C0A36">
              <w:rPr>
                <w:b w:val="0"/>
                <w:sz w:val="18"/>
                <w:szCs w:val="18"/>
              </w:rPr>
              <w:t xml:space="preserve">373,560,452.0 </w:t>
            </w:r>
          </w:p>
        </w:tc>
      </w:tr>
      <w:tr w:rsidR="002C0A36" w:rsidRPr="002C0A36" w:rsidTr="00457531">
        <w:trPr>
          <w:trHeight w:val="415"/>
          <w:tblHeader/>
        </w:trPr>
        <w:tc>
          <w:tcPr>
            <w:tcW w:w="4753" w:type="dxa"/>
            <w:tcBorders>
              <w:top w:val="single" w:sz="4" w:space="0" w:color="auto"/>
              <w:left w:val="single" w:sz="4" w:space="0" w:color="auto"/>
              <w:bottom w:val="single" w:sz="4" w:space="0" w:color="auto"/>
              <w:right w:val="single" w:sz="4" w:space="0" w:color="auto"/>
            </w:tcBorders>
            <w:vAlign w:val="bottom"/>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lang w:val="hy-AM"/>
              </w:rPr>
              <w:t xml:space="preserve"> </w:t>
            </w:r>
            <w:r w:rsidRPr="002C0A36">
              <w:rPr>
                <w:b w:val="0"/>
                <w:sz w:val="18"/>
                <w:szCs w:val="18"/>
              </w:rPr>
              <w:t xml:space="preserve"> - Ընթացիկ պարտավորություններ</w:t>
            </w:r>
          </w:p>
        </w:tc>
        <w:tc>
          <w:tcPr>
            <w:tcW w:w="1617" w:type="dxa"/>
            <w:tcBorders>
              <w:top w:val="single" w:sz="4" w:space="0" w:color="auto"/>
              <w:left w:val="nil"/>
              <w:bottom w:val="single" w:sz="4" w:space="0" w:color="auto"/>
              <w:right w:val="single" w:sz="4" w:space="0" w:color="auto"/>
            </w:tcBorders>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66,335,523.5</w:t>
            </w:r>
          </w:p>
        </w:tc>
        <w:tc>
          <w:tcPr>
            <w:tcW w:w="1559"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contextualSpacing w:val="0"/>
              <w:jc w:val="center"/>
              <w:rPr>
                <w:b w:val="0"/>
                <w:sz w:val="18"/>
                <w:szCs w:val="18"/>
              </w:rPr>
            </w:pPr>
            <w:r w:rsidRPr="002C0A36">
              <w:rPr>
                <w:b w:val="0"/>
                <w:sz w:val="18"/>
                <w:szCs w:val="18"/>
              </w:rPr>
              <w:t>66,024,817.6</w:t>
            </w:r>
          </w:p>
        </w:tc>
        <w:tc>
          <w:tcPr>
            <w:tcW w:w="1422"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contextualSpacing w:val="0"/>
              <w:jc w:val="left"/>
              <w:rPr>
                <w:b w:val="0"/>
                <w:sz w:val="18"/>
                <w:szCs w:val="18"/>
              </w:rPr>
            </w:pPr>
            <w:r w:rsidRPr="002C0A36">
              <w:rPr>
                <w:b w:val="0"/>
                <w:sz w:val="18"/>
                <w:szCs w:val="18"/>
              </w:rPr>
              <w:t xml:space="preserve">58,213,157.0 </w:t>
            </w:r>
          </w:p>
        </w:tc>
      </w:tr>
      <w:tr w:rsidR="002C0A36" w:rsidRPr="002C0A36" w:rsidTr="00457531">
        <w:trPr>
          <w:trHeight w:val="367"/>
          <w:tblHeader/>
        </w:trPr>
        <w:tc>
          <w:tcPr>
            <w:tcW w:w="4753" w:type="dxa"/>
            <w:tcBorders>
              <w:top w:val="single" w:sz="4" w:space="0" w:color="auto"/>
              <w:left w:val="single" w:sz="4" w:space="0" w:color="auto"/>
              <w:bottom w:val="single" w:sz="4" w:space="0" w:color="auto"/>
              <w:right w:val="single" w:sz="4" w:space="0" w:color="auto"/>
            </w:tcBorders>
            <w:vAlign w:val="bottom"/>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rPr>
              <w:t xml:space="preserve"> </w:t>
            </w:r>
            <w:r w:rsidRPr="002C0A36">
              <w:rPr>
                <w:b w:val="0"/>
                <w:sz w:val="18"/>
                <w:szCs w:val="18"/>
                <w:lang w:val="hy-AM"/>
              </w:rPr>
              <w:t xml:space="preserve"> </w:t>
            </w:r>
            <w:r w:rsidRPr="002C0A36">
              <w:rPr>
                <w:b w:val="0"/>
                <w:sz w:val="18"/>
                <w:szCs w:val="18"/>
              </w:rPr>
              <w:t>- Ոչ ընթացիկ պարտավորություններ</w:t>
            </w:r>
          </w:p>
        </w:tc>
        <w:tc>
          <w:tcPr>
            <w:tcW w:w="1617" w:type="dxa"/>
            <w:tcBorders>
              <w:top w:val="single" w:sz="4" w:space="0" w:color="auto"/>
              <w:left w:val="nil"/>
              <w:bottom w:val="single" w:sz="4" w:space="0" w:color="auto"/>
              <w:right w:val="single" w:sz="4" w:space="0" w:color="auto"/>
            </w:tcBorders>
            <w:noWrap/>
            <w:vAlign w:val="center"/>
            <w:hideMark/>
          </w:tcPr>
          <w:p w:rsidR="002C0A36" w:rsidRPr="002C0A36" w:rsidRDefault="002C0A36" w:rsidP="007730AA">
            <w:pPr>
              <w:spacing w:before="0" w:line="276" w:lineRule="auto"/>
              <w:contextualSpacing w:val="0"/>
              <w:jc w:val="center"/>
              <w:rPr>
                <w:b w:val="0"/>
                <w:sz w:val="18"/>
                <w:szCs w:val="18"/>
              </w:rPr>
            </w:pPr>
            <w:r w:rsidRPr="002C0A36">
              <w:rPr>
                <w:b w:val="0"/>
                <w:sz w:val="18"/>
                <w:szCs w:val="18"/>
              </w:rPr>
              <w:t>283,823,486.1</w:t>
            </w:r>
          </w:p>
        </w:tc>
        <w:tc>
          <w:tcPr>
            <w:tcW w:w="1559"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contextualSpacing w:val="0"/>
              <w:jc w:val="center"/>
              <w:rPr>
                <w:b w:val="0"/>
                <w:sz w:val="18"/>
                <w:szCs w:val="18"/>
              </w:rPr>
            </w:pPr>
            <w:r w:rsidRPr="002C0A36">
              <w:rPr>
                <w:b w:val="0"/>
                <w:sz w:val="18"/>
                <w:szCs w:val="18"/>
              </w:rPr>
              <w:t>317,475,845.5</w:t>
            </w:r>
          </w:p>
        </w:tc>
        <w:tc>
          <w:tcPr>
            <w:tcW w:w="1422"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contextualSpacing w:val="0"/>
              <w:jc w:val="left"/>
              <w:rPr>
                <w:b w:val="0"/>
                <w:sz w:val="18"/>
                <w:szCs w:val="18"/>
              </w:rPr>
            </w:pPr>
            <w:r w:rsidRPr="002C0A36">
              <w:rPr>
                <w:b w:val="0"/>
                <w:sz w:val="18"/>
                <w:szCs w:val="18"/>
              </w:rPr>
              <w:t xml:space="preserve">315,347,295.0 </w:t>
            </w:r>
          </w:p>
        </w:tc>
      </w:tr>
      <w:tr w:rsidR="002C0A36" w:rsidRPr="002C0A36" w:rsidTr="00457531">
        <w:trPr>
          <w:trHeight w:val="319"/>
          <w:tblHeader/>
        </w:trPr>
        <w:tc>
          <w:tcPr>
            <w:tcW w:w="475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2C0A36" w:rsidRPr="002C0A36" w:rsidRDefault="002C0A36" w:rsidP="007730AA">
            <w:pPr>
              <w:spacing w:before="0" w:line="276" w:lineRule="auto"/>
              <w:contextualSpacing w:val="0"/>
              <w:jc w:val="left"/>
              <w:rPr>
                <w:b w:val="0"/>
                <w:sz w:val="18"/>
                <w:szCs w:val="18"/>
              </w:rPr>
            </w:pPr>
            <w:r w:rsidRPr="002C0A36">
              <w:rPr>
                <w:b w:val="0"/>
                <w:sz w:val="18"/>
                <w:szCs w:val="18"/>
              </w:rPr>
              <w:t>3. Սեփական կապիտալ (զուտ ակտիվներ)</w:t>
            </w:r>
          </w:p>
        </w:tc>
        <w:tc>
          <w:tcPr>
            <w:tcW w:w="1617"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contextualSpacing w:val="0"/>
              <w:jc w:val="center"/>
              <w:rPr>
                <w:b w:val="0"/>
                <w:sz w:val="18"/>
                <w:szCs w:val="18"/>
                <w:lang w:val="en-US"/>
              </w:rPr>
            </w:pPr>
            <w:r w:rsidRPr="002C0A36">
              <w:rPr>
                <w:b w:val="0"/>
                <w:sz w:val="18"/>
                <w:szCs w:val="18"/>
              </w:rPr>
              <w:t>85,128,25</w:t>
            </w:r>
            <w:r w:rsidRPr="002C0A36">
              <w:rPr>
                <w:b w:val="0"/>
                <w:sz w:val="18"/>
                <w:szCs w:val="18"/>
                <w:lang w:val="en-US"/>
              </w:rPr>
              <w:t>8</w:t>
            </w:r>
            <w:r w:rsidRPr="002C0A36">
              <w:rPr>
                <w:b w:val="0"/>
                <w:sz w:val="18"/>
                <w:szCs w:val="18"/>
              </w:rPr>
              <w:t>.</w:t>
            </w:r>
            <w:r w:rsidRPr="002C0A36">
              <w:rPr>
                <w:b w:val="0"/>
                <w:sz w:val="18"/>
                <w:szCs w:val="18"/>
                <w:lang w:val="en-US"/>
              </w:rPr>
              <w:t>3</w:t>
            </w:r>
          </w:p>
        </w:tc>
        <w:tc>
          <w:tcPr>
            <w:tcW w:w="155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2C0A36" w:rsidRPr="002C0A36" w:rsidRDefault="002C0A36" w:rsidP="007730AA">
            <w:pPr>
              <w:spacing w:before="0" w:line="276" w:lineRule="auto"/>
              <w:contextualSpacing w:val="0"/>
              <w:jc w:val="center"/>
              <w:rPr>
                <w:b w:val="0"/>
                <w:sz w:val="18"/>
                <w:szCs w:val="18"/>
                <w:lang w:val="en-US"/>
              </w:rPr>
            </w:pPr>
            <w:r w:rsidRPr="002C0A36">
              <w:rPr>
                <w:b w:val="0"/>
                <w:sz w:val="18"/>
                <w:szCs w:val="18"/>
              </w:rPr>
              <w:t>83,165,139.</w:t>
            </w:r>
            <w:r w:rsidRPr="002C0A36">
              <w:rPr>
                <w:b w:val="0"/>
                <w:sz w:val="18"/>
                <w:szCs w:val="18"/>
                <w:lang w:val="en-US"/>
              </w:rPr>
              <w:t>1</w:t>
            </w:r>
          </w:p>
        </w:tc>
        <w:tc>
          <w:tcPr>
            <w:tcW w:w="1422"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2C0A36" w:rsidRPr="002C0A36" w:rsidRDefault="002C0A36" w:rsidP="007730AA">
            <w:pPr>
              <w:spacing w:before="0" w:line="276" w:lineRule="auto"/>
              <w:contextualSpacing w:val="0"/>
              <w:jc w:val="left"/>
              <w:rPr>
                <w:b w:val="0"/>
                <w:sz w:val="18"/>
                <w:szCs w:val="18"/>
              </w:rPr>
            </w:pPr>
            <w:r w:rsidRPr="002C0A36">
              <w:rPr>
                <w:b w:val="0"/>
                <w:sz w:val="18"/>
                <w:szCs w:val="18"/>
              </w:rPr>
              <w:t xml:space="preserve">90,263,778.0 </w:t>
            </w:r>
          </w:p>
        </w:tc>
      </w:tr>
    </w:tbl>
    <w:p w:rsidR="002C0A36" w:rsidRPr="002C0A36" w:rsidRDefault="002C0A36" w:rsidP="007730AA">
      <w:pPr>
        <w:spacing w:before="0" w:line="276" w:lineRule="auto"/>
        <w:ind w:firstLine="0"/>
        <w:contextualSpacing w:val="0"/>
        <w:rPr>
          <w:b w:val="0"/>
          <w:szCs w:val="22"/>
          <w:lang w:val="hy-AM"/>
        </w:rPr>
      </w:pPr>
      <w:r w:rsidRPr="002C0A36">
        <w:rPr>
          <w:b w:val="0"/>
          <w:szCs w:val="22"/>
        </w:rPr>
        <w:t xml:space="preserve">          </w:t>
      </w:r>
      <w:r w:rsidRPr="002C0A36">
        <w:rPr>
          <w:b w:val="0"/>
          <w:szCs w:val="22"/>
          <w:lang w:val="hy-AM"/>
        </w:rPr>
        <w:t>Վարկային պարտավորությունների հետ կապված անհրաժեշտ է նշել, որ Ընկերություն</w:t>
      </w:r>
      <w:r w:rsidRPr="002C0A36">
        <w:rPr>
          <w:b w:val="0"/>
          <w:szCs w:val="22"/>
          <w:lang w:val="hy-AM"/>
        </w:rPr>
        <w:softHyphen/>
        <w:t>ները չունեն ժամկետանց վարկային պարտավորություններ, ինչպես նաև ՀՀ կառավարության կողմից բյուջետային երաշխիքներ չեն ստացել: Ընդ որում «Երևանի ՋԷԿ», «Բարձրավոլտ էլեկտրական ցանցեր» և «Հայկական ատոմային էլեկտրակայան»</w:t>
      </w:r>
      <w:r w:rsidRPr="002C0A36">
        <w:rPr>
          <w:rFonts w:ascii="Calibri" w:hAnsi="Calibri" w:cs="Calibri"/>
          <w:b w:val="0"/>
          <w:szCs w:val="22"/>
          <w:lang w:val="hy-AM"/>
        </w:rPr>
        <w:t> </w:t>
      </w:r>
      <w:r w:rsidRPr="002C0A36">
        <w:rPr>
          <w:b w:val="0"/>
          <w:szCs w:val="22"/>
          <w:lang w:val="hy-AM"/>
        </w:rPr>
        <w:t>ՓԲԸ-ները հանդիսանում են միջազգային կազմակերպությունների և օտարերկրյա պետությունների աջակցությամբ իրակա</w:t>
      </w:r>
      <w:r w:rsidRPr="002C0A36">
        <w:rPr>
          <w:b w:val="0"/>
          <w:szCs w:val="22"/>
          <w:lang w:val="hy-AM"/>
        </w:rPr>
        <w:softHyphen/>
        <w:t>նացվող նպատակային վարկային ծրագրերի շրջանակներում ենթավարկային պայմանագրերով Ոլորտին տրամադրված վարկային միջոցների խոշորագույն ստացողներից:</w:t>
      </w:r>
    </w:p>
    <w:p w:rsidR="002C0A36" w:rsidRPr="002C0A36" w:rsidRDefault="002C0A36" w:rsidP="007730AA">
      <w:pPr>
        <w:spacing w:before="0" w:line="276" w:lineRule="auto"/>
        <w:ind w:firstLine="0"/>
        <w:contextualSpacing w:val="0"/>
        <w:rPr>
          <w:b w:val="0"/>
          <w:szCs w:val="22"/>
          <w:lang w:val="hy-AM"/>
        </w:rPr>
      </w:pPr>
      <w:r w:rsidRPr="002C0A36">
        <w:rPr>
          <w:b w:val="0"/>
          <w:szCs w:val="22"/>
          <w:lang w:val="hy-AM"/>
        </w:rPr>
        <w:t xml:space="preserve">Ընկերությունները ներգրավված չեն այնպիսի տեղական կամ միջազգային դատական վարույթներում, որոնք կարող են էական ազդեցություն ունենալ այդ Ընկերությունների ֆինանսական վիճակի վրա: </w:t>
      </w:r>
    </w:p>
    <w:p w:rsidR="002C0A36" w:rsidRPr="002C0A36" w:rsidRDefault="002C0A36" w:rsidP="007730AA">
      <w:pPr>
        <w:spacing w:before="0" w:line="276" w:lineRule="auto"/>
        <w:ind w:firstLine="709"/>
        <w:contextualSpacing w:val="0"/>
        <w:rPr>
          <w:b w:val="0"/>
          <w:szCs w:val="22"/>
          <w:lang w:val="hy-AM"/>
        </w:rPr>
      </w:pPr>
      <w:r w:rsidRPr="002C0A36">
        <w:rPr>
          <w:b w:val="0"/>
          <w:szCs w:val="22"/>
          <w:lang w:val="hy-AM"/>
        </w:rPr>
        <w:t>Հաշվետու ժամանակաշրջանում որոշ Ընկերությունների ֆինանսական կատարողականի փոքր-ինչ բարելավման արդյունքում ստացված շահութաբաժինները կազմել են 49.5 մլն դրամ` կանխատեսվող 36.0 մլն դրամի փոխարեն: Հետևաբար, 2019թ. փաստացի շահութա</w:t>
      </w:r>
      <w:r w:rsidRPr="002C0A36">
        <w:rPr>
          <w:b w:val="0"/>
          <w:szCs w:val="22"/>
          <w:lang w:val="hy-AM"/>
        </w:rPr>
        <w:softHyphen/>
        <w:t>բաժինների գումարը 13.4 մլն դրամով գերազանցել է կանխատեսվող ցուցանիշը, որը պայմանավորված է «Հաշվարկային կենտրոն» ՓԲԸ-ի մոտ 3 անգամ ավել շահութաբաժնի վճարմամբ։</w:t>
      </w:r>
    </w:p>
    <w:p w:rsidR="002C0A36" w:rsidRDefault="00DF3013" w:rsidP="007730AA">
      <w:pPr>
        <w:spacing w:before="0" w:line="276" w:lineRule="auto"/>
        <w:ind w:firstLine="709"/>
        <w:contextualSpacing w:val="0"/>
        <w:rPr>
          <w:b w:val="0"/>
          <w:szCs w:val="22"/>
          <w:lang w:val="hy-AM"/>
        </w:rPr>
      </w:pPr>
      <w:r>
        <w:rPr>
          <w:b w:val="0"/>
          <w:szCs w:val="22"/>
          <w:lang w:val="hy-AM"/>
        </w:rPr>
        <w:tab/>
      </w:r>
      <w:r w:rsidR="002C0A36" w:rsidRPr="002C0A36">
        <w:rPr>
          <w:b w:val="0"/>
          <w:szCs w:val="22"/>
          <w:lang w:val="hy-AM"/>
        </w:rPr>
        <w:tab/>
        <w:t xml:space="preserve">Ընկերությունների հարկաբյուջետային ռիսկերի գնահատման համար կիրառված ֆինանսական գործակիցների ամփոփ արդյունքները և պրակտիկայում ընդունված թույլատրելի սահմանային նորմաները ներկայացված են աղյուսակում: </w:t>
      </w:r>
    </w:p>
    <w:p w:rsidR="00BD3813" w:rsidRPr="002C0A36" w:rsidRDefault="00BD3813" w:rsidP="007730AA">
      <w:pPr>
        <w:spacing w:before="0" w:line="276" w:lineRule="auto"/>
        <w:ind w:firstLine="709"/>
        <w:contextualSpacing w:val="0"/>
        <w:rPr>
          <w:b w:val="0"/>
          <w:szCs w:val="22"/>
          <w:lang w:val="hy-AM"/>
        </w:rPr>
      </w:pPr>
    </w:p>
    <w:p w:rsidR="002C0A36" w:rsidRPr="002C0A36" w:rsidRDefault="00CF7820" w:rsidP="007730AA">
      <w:pPr>
        <w:pStyle w:val="Caption"/>
        <w:spacing w:before="0" w:after="0"/>
        <w:rPr>
          <w:b/>
          <w:i/>
          <w:sz w:val="20"/>
          <w:szCs w:val="20"/>
          <w:lang w:val="hy-AM"/>
        </w:rPr>
      </w:pPr>
      <w:bookmarkStart w:id="269" w:name="_Toc57631776"/>
      <w:r w:rsidRPr="00CF7820">
        <w:rPr>
          <w:lang w:val="hy-AM"/>
        </w:rPr>
        <w:t xml:space="preserve">Աղյուսակ </w:t>
      </w:r>
      <w:r w:rsidR="003C3925">
        <w:fldChar w:fldCharType="begin"/>
      </w:r>
      <w:r w:rsidRPr="00CF7820">
        <w:rPr>
          <w:lang w:val="hy-AM"/>
        </w:rPr>
        <w:instrText xml:space="preserve"> SEQ Աղյուսակ \* ARABIC </w:instrText>
      </w:r>
      <w:r w:rsidR="003C3925">
        <w:fldChar w:fldCharType="separate"/>
      </w:r>
      <w:r w:rsidR="007E790B">
        <w:rPr>
          <w:noProof/>
          <w:lang w:val="hy-AM"/>
        </w:rPr>
        <w:t>25</w:t>
      </w:r>
      <w:r w:rsidR="003C3925">
        <w:fldChar w:fldCharType="end"/>
      </w:r>
      <w:r>
        <w:rPr>
          <w:rFonts w:ascii="Cambria Math" w:hAnsi="Cambria Math"/>
          <w:lang w:val="hy-AM"/>
        </w:rPr>
        <w:t xml:space="preserve">․ </w:t>
      </w:r>
      <w:r w:rsidR="002C0A36" w:rsidRPr="002C0A36">
        <w:rPr>
          <w:b/>
          <w:i/>
          <w:sz w:val="20"/>
          <w:szCs w:val="20"/>
          <w:lang w:val="hy-AM"/>
        </w:rPr>
        <w:t>Էներգետիկայի ոլորտի պետական ընկերությունների հանրագումարային ֆինանսական ցուցանիշները</w:t>
      </w:r>
      <w:bookmarkEnd w:id="269"/>
      <w:r w:rsidR="002C0A36" w:rsidRPr="002C0A36">
        <w:rPr>
          <w:b/>
          <w:i/>
          <w:sz w:val="20"/>
          <w:szCs w:val="20"/>
          <w:lang w:val="hy-AM"/>
        </w:rPr>
        <w:t xml:space="preserve"> </w:t>
      </w:r>
    </w:p>
    <w:tbl>
      <w:tblPr>
        <w:tblW w:w="9942" w:type="dxa"/>
        <w:tblInd w:w="-34" w:type="dxa"/>
        <w:tblLook w:val="04A0" w:firstRow="1" w:lastRow="0" w:firstColumn="1" w:lastColumn="0" w:noHBand="0" w:noVBand="1"/>
      </w:tblPr>
      <w:tblGrid>
        <w:gridCol w:w="4111"/>
        <w:gridCol w:w="1134"/>
        <w:gridCol w:w="1134"/>
        <w:gridCol w:w="1136"/>
        <w:gridCol w:w="2427"/>
      </w:tblGrid>
      <w:tr w:rsidR="002C0A36" w:rsidRPr="002C0A36" w:rsidTr="00B86D85">
        <w:trPr>
          <w:trHeight w:val="393"/>
          <w:tblHeader/>
        </w:trPr>
        <w:tc>
          <w:tcPr>
            <w:tcW w:w="4111" w:type="dxa"/>
            <w:tcBorders>
              <w:top w:val="single" w:sz="4" w:space="0" w:color="auto"/>
              <w:left w:val="single" w:sz="12" w:space="0" w:color="auto"/>
              <w:bottom w:val="single" w:sz="4" w:space="0" w:color="auto"/>
              <w:right w:val="single" w:sz="4" w:space="0" w:color="auto"/>
            </w:tcBorders>
            <w:shd w:val="clear" w:color="auto" w:fill="0070C0"/>
            <w:vAlign w:val="center"/>
            <w:hideMark/>
          </w:tcPr>
          <w:p w:rsidR="002C0A36" w:rsidRPr="002C0A36" w:rsidRDefault="002C0A36" w:rsidP="007730AA">
            <w:pPr>
              <w:spacing w:before="0" w:line="276" w:lineRule="auto"/>
              <w:ind w:firstLine="0"/>
              <w:contextualSpacing w:val="0"/>
              <w:jc w:val="left"/>
              <w:rPr>
                <w:b w:val="0"/>
                <w:color w:val="FFFFFF"/>
                <w:sz w:val="18"/>
                <w:szCs w:val="18"/>
              </w:rPr>
            </w:pPr>
            <w:r w:rsidRPr="002C0A36">
              <w:rPr>
                <w:b w:val="0"/>
                <w:color w:val="FFFFFF"/>
                <w:sz w:val="18"/>
                <w:szCs w:val="18"/>
              </w:rPr>
              <w:t>Ցուցանիշ</w:t>
            </w:r>
          </w:p>
        </w:tc>
        <w:tc>
          <w:tcPr>
            <w:tcW w:w="1134"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2C0A36" w:rsidRDefault="002C0A36" w:rsidP="007730AA">
            <w:pPr>
              <w:spacing w:before="0" w:line="276" w:lineRule="auto"/>
              <w:ind w:firstLine="0"/>
              <w:contextualSpacing w:val="0"/>
              <w:jc w:val="center"/>
              <w:rPr>
                <w:b w:val="0"/>
                <w:color w:val="FFFFFF"/>
                <w:sz w:val="18"/>
                <w:szCs w:val="18"/>
              </w:rPr>
            </w:pPr>
            <w:r w:rsidRPr="002C0A36">
              <w:rPr>
                <w:b w:val="0"/>
                <w:color w:val="FFFFFF"/>
                <w:sz w:val="18"/>
                <w:szCs w:val="18"/>
              </w:rPr>
              <w:t>201</w:t>
            </w:r>
            <w:r w:rsidRPr="002C0A36">
              <w:rPr>
                <w:b w:val="0"/>
                <w:color w:val="FFFFFF"/>
                <w:sz w:val="18"/>
                <w:szCs w:val="18"/>
                <w:lang w:val="hy-AM"/>
              </w:rPr>
              <w:t>8</w:t>
            </w:r>
            <w:r w:rsidRPr="002C0A36">
              <w:rPr>
                <w:b w:val="0"/>
                <w:color w:val="FFFFFF"/>
                <w:sz w:val="18"/>
                <w:szCs w:val="18"/>
              </w:rPr>
              <w:t>թ.</w:t>
            </w:r>
          </w:p>
        </w:tc>
        <w:tc>
          <w:tcPr>
            <w:tcW w:w="1134" w:type="dxa"/>
            <w:tcBorders>
              <w:top w:val="single" w:sz="4" w:space="0" w:color="auto"/>
              <w:left w:val="single" w:sz="4" w:space="0" w:color="auto"/>
              <w:bottom w:val="single" w:sz="4" w:space="0" w:color="auto"/>
              <w:right w:val="single" w:sz="4" w:space="0" w:color="auto"/>
            </w:tcBorders>
            <w:shd w:val="clear" w:color="auto" w:fill="0070C0"/>
            <w:vAlign w:val="center"/>
          </w:tcPr>
          <w:p w:rsidR="002C0A36" w:rsidRPr="002C0A36" w:rsidRDefault="002C0A36" w:rsidP="007730AA">
            <w:pPr>
              <w:spacing w:before="0" w:line="276" w:lineRule="auto"/>
              <w:ind w:firstLine="0"/>
              <w:contextualSpacing w:val="0"/>
              <w:jc w:val="center"/>
              <w:rPr>
                <w:b w:val="0"/>
                <w:color w:val="FFFFFF"/>
                <w:sz w:val="18"/>
                <w:szCs w:val="18"/>
              </w:rPr>
            </w:pPr>
            <w:r w:rsidRPr="002C0A36">
              <w:rPr>
                <w:b w:val="0"/>
                <w:color w:val="FFFFFF"/>
                <w:sz w:val="18"/>
                <w:szCs w:val="18"/>
              </w:rPr>
              <w:t>201</w:t>
            </w:r>
            <w:r w:rsidRPr="002C0A36">
              <w:rPr>
                <w:b w:val="0"/>
                <w:color w:val="FFFFFF"/>
                <w:sz w:val="18"/>
                <w:szCs w:val="18"/>
                <w:lang w:val="hy-AM"/>
              </w:rPr>
              <w:t>9</w:t>
            </w:r>
            <w:r w:rsidRPr="002C0A36">
              <w:rPr>
                <w:b w:val="0"/>
                <w:color w:val="FFFFFF"/>
                <w:sz w:val="18"/>
                <w:szCs w:val="18"/>
              </w:rPr>
              <w:t>թ.</w:t>
            </w:r>
          </w:p>
        </w:tc>
        <w:tc>
          <w:tcPr>
            <w:tcW w:w="1136" w:type="dxa"/>
            <w:tcBorders>
              <w:top w:val="single" w:sz="4" w:space="0" w:color="auto"/>
              <w:left w:val="single" w:sz="4" w:space="0" w:color="auto"/>
              <w:bottom w:val="single" w:sz="4" w:space="0" w:color="auto"/>
              <w:right w:val="single" w:sz="4" w:space="0" w:color="auto"/>
            </w:tcBorders>
            <w:shd w:val="clear" w:color="auto" w:fill="0070C0"/>
            <w:vAlign w:val="center"/>
          </w:tcPr>
          <w:p w:rsidR="002C0A36" w:rsidRPr="002C0A36" w:rsidRDefault="002C0A36" w:rsidP="007730AA">
            <w:pPr>
              <w:spacing w:before="0" w:line="276" w:lineRule="auto"/>
              <w:ind w:firstLine="0"/>
              <w:contextualSpacing w:val="0"/>
              <w:jc w:val="center"/>
              <w:rPr>
                <w:b w:val="0"/>
                <w:color w:val="FFFFFF"/>
                <w:sz w:val="18"/>
                <w:szCs w:val="18"/>
              </w:rPr>
            </w:pPr>
            <w:r w:rsidRPr="002C0A36">
              <w:rPr>
                <w:b w:val="0"/>
                <w:color w:val="FFFFFF"/>
                <w:sz w:val="18"/>
                <w:szCs w:val="18"/>
              </w:rPr>
              <w:t xml:space="preserve">2020թ. </w:t>
            </w:r>
            <w:r w:rsidRPr="002C0A36">
              <w:rPr>
                <w:b w:val="0"/>
                <w:color w:val="FFFFFF"/>
                <w:sz w:val="18"/>
                <w:szCs w:val="18"/>
              </w:rPr>
              <w:br/>
              <w:t>1-ին կիսամյակ</w:t>
            </w:r>
          </w:p>
        </w:tc>
        <w:tc>
          <w:tcPr>
            <w:tcW w:w="2427" w:type="dxa"/>
            <w:tcBorders>
              <w:top w:val="single" w:sz="4" w:space="0" w:color="auto"/>
              <w:left w:val="single" w:sz="4" w:space="0" w:color="auto"/>
              <w:bottom w:val="single" w:sz="4" w:space="0" w:color="auto"/>
              <w:right w:val="single" w:sz="12" w:space="0" w:color="auto"/>
            </w:tcBorders>
            <w:shd w:val="clear" w:color="auto" w:fill="0070C0"/>
            <w:vAlign w:val="center"/>
            <w:hideMark/>
          </w:tcPr>
          <w:p w:rsidR="002C0A36" w:rsidRPr="002C0A36" w:rsidRDefault="002C0A36" w:rsidP="007730AA">
            <w:pPr>
              <w:spacing w:before="0" w:line="276" w:lineRule="auto"/>
              <w:ind w:firstLine="0"/>
              <w:contextualSpacing w:val="0"/>
              <w:jc w:val="left"/>
              <w:rPr>
                <w:b w:val="0"/>
                <w:color w:val="FFFFFF"/>
                <w:sz w:val="18"/>
                <w:szCs w:val="18"/>
              </w:rPr>
            </w:pPr>
            <w:r w:rsidRPr="002C0A36">
              <w:rPr>
                <w:b w:val="0"/>
                <w:color w:val="FFFFFF"/>
                <w:sz w:val="18"/>
                <w:szCs w:val="18"/>
              </w:rPr>
              <w:t xml:space="preserve">Թույլատրելի սահմանային </w:t>
            </w:r>
            <w:r w:rsidRPr="002C0A36">
              <w:rPr>
                <w:b w:val="0"/>
                <w:color w:val="FFFFFF"/>
                <w:sz w:val="18"/>
                <w:szCs w:val="18"/>
                <w:lang w:val="en-US"/>
              </w:rPr>
              <w:t xml:space="preserve">    </w:t>
            </w:r>
            <w:r w:rsidRPr="002C0A36">
              <w:rPr>
                <w:b w:val="0"/>
                <w:color w:val="FFFFFF"/>
                <w:sz w:val="18"/>
                <w:szCs w:val="18"/>
              </w:rPr>
              <w:t>նորմա</w:t>
            </w:r>
          </w:p>
        </w:tc>
      </w:tr>
      <w:tr w:rsidR="002C0A36" w:rsidRPr="002C0A36" w:rsidTr="00B86D85">
        <w:trPr>
          <w:trHeight w:val="578"/>
        </w:trPr>
        <w:tc>
          <w:tcPr>
            <w:tcW w:w="4111"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Ծախսերի վերականգնման գործակից</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1.0</w:t>
            </w:r>
          </w:p>
        </w:tc>
        <w:tc>
          <w:tcPr>
            <w:tcW w:w="11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sz w:val="18"/>
                <w:szCs w:val="18"/>
              </w:rPr>
              <w:t>1.2</w:t>
            </w:r>
          </w:p>
        </w:tc>
        <w:tc>
          <w:tcPr>
            <w:tcW w:w="2427"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center"/>
              <w:rPr>
                <w:b w:val="0"/>
                <w:sz w:val="18"/>
                <w:szCs w:val="18"/>
              </w:rPr>
            </w:pPr>
            <w:r w:rsidRPr="002C0A36">
              <w:rPr>
                <w:b w:val="0"/>
                <w:sz w:val="18"/>
                <w:szCs w:val="18"/>
              </w:rPr>
              <w:t>Առնվազն 1</w:t>
            </w:r>
          </w:p>
        </w:tc>
      </w:tr>
      <w:tr w:rsidR="002C0A36" w:rsidRPr="002C0A36" w:rsidTr="00B86D85">
        <w:trPr>
          <w:trHeight w:val="471"/>
        </w:trPr>
        <w:tc>
          <w:tcPr>
            <w:tcW w:w="4111"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Զուտ շահույթի մարժա    (%)</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2.4</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11.9</w:t>
            </w:r>
          </w:p>
        </w:tc>
        <w:tc>
          <w:tcPr>
            <w:tcW w:w="2427" w:type="dxa"/>
            <w:tcBorders>
              <w:top w:val="single" w:sz="4" w:space="0" w:color="auto"/>
              <w:left w:val="single" w:sz="4" w:space="0" w:color="auto"/>
              <w:bottom w:val="single" w:sz="4" w:space="0" w:color="auto"/>
              <w:right w:val="single" w:sz="12" w:space="0" w:color="auto"/>
            </w:tcBorders>
            <w:hideMark/>
          </w:tcPr>
          <w:p w:rsidR="002C0A36" w:rsidRPr="002C0A36" w:rsidRDefault="002C0A36" w:rsidP="007730AA">
            <w:pPr>
              <w:spacing w:before="0" w:line="276" w:lineRule="auto"/>
              <w:ind w:firstLine="0"/>
              <w:contextualSpacing w:val="0"/>
              <w:jc w:val="center"/>
              <w:rPr>
                <w:b w:val="0"/>
                <w:sz w:val="18"/>
                <w:szCs w:val="18"/>
              </w:rPr>
            </w:pPr>
            <w:r w:rsidRPr="002C0A36">
              <w:rPr>
                <w:b w:val="0"/>
                <w:sz w:val="18"/>
                <w:szCs w:val="18"/>
              </w:rPr>
              <w:t>Առնվազն 8%</w:t>
            </w:r>
          </w:p>
        </w:tc>
      </w:tr>
      <w:tr w:rsidR="002C0A36" w:rsidRPr="002C0A36" w:rsidTr="00B86D85">
        <w:trPr>
          <w:trHeight w:val="407"/>
        </w:trPr>
        <w:tc>
          <w:tcPr>
            <w:tcW w:w="4111"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Արագ իրացվելիության գործակից</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0.5</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0.4</w:t>
            </w:r>
          </w:p>
        </w:tc>
        <w:tc>
          <w:tcPr>
            <w:tcW w:w="11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0</w:t>
            </w:r>
            <w:r w:rsidRPr="002C0A36">
              <w:rPr>
                <w:b w:val="0"/>
                <w:sz w:val="18"/>
                <w:szCs w:val="18"/>
              </w:rPr>
              <w:t>.</w:t>
            </w:r>
            <w:r w:rsidRPr="002C0A36">
              <w:rPr>
                <w:b w:val="0"/>
                <w:bCs/>
                <w:color w:val="000000"/>
                <w:sz w:val="18"/>
                <w:szCs w:val="18"/>
              </w:rPr>
              <w:t>6</w:t>
            </w:r>
          </w:p>
        </w:tc>
        <w:tc>
          <w:tcPr>
            <w:tcW w:w="2427"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center"/>
              <w:rPr>
                <w:b w:val="0"/>
                <w:sz w:val="18"/>
                <w:szCs w:val="18"/>
              </w:rPr>
            </w:pPr>
            <w:r w:rsidRPr="002C0A36">
              <w:rPr>
                <w:b w:val="0"/>
                <w:sz w:val="18"/>
                <w:szCs w:val="18"/>
              </w:rPr>
              <w:t>Առնվազն 1</w:t>
            </w:r>
          </w:p>
        </w:tc>
      </w:tr>
      <w:tr w:rsidR="002C0A36" w:rsidRPr="002C0A36" w:rsidTr="00B86D85">
        <w:trPr>
          <w:trHeight w:val="505"/>
        </w:trPr>
        <w:tc>
          <w:tcPr>
            <w:tcW w:w="4111"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left"/>
              <w:rPr>
                <w:b w:val="0"/>
                <w:sz w:val="18"/>
                <w:szCs w:val="18"/>
                <w:lang w:val="hy-AM"/>
              </w:rPr>
            </w:pPr>
            <w:r w:rsidRPr="002C0A36">
              <w:rPr>
                <w:b w:val="0"/>
                <w:sz w:val="18"/>
                <w:szCs w:val="18"/>
                <w:lang w:val="hy-AM"/>
              </w:rPr>
              <w:t>Դեբիտորական պարտքերի շրջանառություն</w:t>
            </w:r>
            <w:r w:rsidRPr="002C0A36">
              <w:rPr>
                <w:b w:val="0"/>
                <w:sz w:val="18"/>
                <w:szCs w:val="18"/>
              </w:rPr>
              <w:t xml:space="preserve"> (օր)</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70.3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48.5</w:t>
            </w:r>
          </w:p>
        </w:tc>
        <w:tc>
          <w:tcPr>
            <w:tcW w:w="1136"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hy-AM"/>
              </w:rPr>
            </w:pPr>
            <w:r w:rsidRPr="002C0A36">
              <w:rPr>
                <w:b w:val="0"/>
                <w:bCs/>
                <w:color w:val="000000"/>
                <w:sz w:val="18"/>
                <w:szCs w:val="18"/>
              </w:rPr>
              <w:t>39.5</w:t>
            </w:r>
          </w:p>
        </w:tc>
        <w:tc>
          <w:tcPr>
            <w:tcW w:w="2427" w:type="dxa"/>
            <w:tcBorders>
              <w:top w:val="single" w:sz="4" w:space="0" w:color="auto"/>
              <w:left w:val="single" w:sz="4" w:space="0" w:color="auto"/>
              <w:bottom w:val="single" w:sz="4" w:space="0" w:color="auto"/>
              <w:right w:val="single" w:sz="12" w:space="0" w:color="auto"/>
            </w:tcBorders>
            <w:vAlign w:val="center"/>
            <w:hideMark/>
          </w:tcPr>
          <w:p w:rsidR="002C0A36" w:rsidRPr="002C0A36" w:rsidRDefault="002C0A36" w:rsidP="007730AA">
            <w:pPr>
              <w:spacing w:before="0" w:line="276" w:lineRule="auto"/>
              <w:ind w:firstLine="0"/>
              <w:contextualSpacing w:val="0"/>
              <w:jc w:val="center"/>
              <w:rPr>
                <w:b w:val="0"/>
                <w:sz w:val="18"/>
                <w:szCs w:val="18"/>
              </w:rPr>
            </w:pPr>
            <w:r w:rsidRPr="002C0A36">
              <w:rPr>
                <w:rFonts w:eastAsia="Calibri" w:cs="Arial"/>
                <w:b w:val="0"/>
                <w:sz w:val="18"/>
                <w:szCs w:val="18"/>
              </w:rPr>
              <w:t>Առավելագույնը</w:t>
            </w:r>
            <w:r w:rsidRPr="002C0A36">
              <w:rPr>
                <w:rFonts w:eastAsia="Calibri"/>
                <w:b w:val="0"/>
                <w:sz w:val="18"/>
                <w:szCs w:val="18"/>
              </w:rPr>
              <w:t xml:space="preserve"> 60/30 </w:t>
            </w:r>
            <w:r w:rsidRPr="002C0A36">
              <w:rPr>
                <w:rFonts w:eastAsia="Calibri" w:cs="Arial"/>
                <w:b w:val="0"/>
                <w:sz w:val="18"/>
                <w:szCs w:val="18"/>
              </w:rPr>
              <w:t>օր</w:t>
            </w:r>
          </w:p>
        </w:tc>
      </w:tr>
      <w:tr w:rsidR="002C0A36" w:rsidRPr="002C0A36" w:rsidTr="00B86D85">
        <w:trPr>
          <w:trHeight w:val="438"/>
        </w:trPr>
        <w:tc>
          <w:tcPr>
            <w:tcW w:w="4111"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Պարտքի սպասարկման գործակից</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0.1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rPr>
              <w:t>0.3</w:t>
            </w:r>
            <w:r w:rsidRPr="002C0A36">
              <w:rPr>
                <w:b w:val="0"/>
                <w:bCs/>
                <w:color w:val="000000"/>
                <w:sz w:val="18"/>
                <w:szCs w:val="18"/>
                <w:lang w:val="en-US"/>
              </w:rPr>
              <w:t xml:space="preserve"> </w:t>
            </w:r>
          </w:p>
        </w:tc>
        <w:tc>
          <w:tcPr>
            <w:tcW w:w="11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color w:val="000000"/>
                <w:sz w:val="18"/>
                <w:szCs w:val="18"/>
                <w:lang w:val="hy-AM"/>
              </w:rPr>
            </w:pPr>
            <w:r w:rsidRPr="002C0A36">
              <w:rPr>
                <w:b w:val="0"/>
                <w:sz w:val="18"/>
                <w:szCs w:val="18"/>
              </w:rPr>
              <w:t>0.</w:t>
            </w:r>
            <w:r w:rsidRPr="002C0A36">
              <w:rPr>
                <w:b w:val="0"/>
                <w:sz w:val="18"/>
                <w:szCs w:val="18"/>
                <w:lang w:val="hy-AM"/>
              </w:rPr>
              <w:t>2</w:t>
            </w:r>
          </w:p>
        </w:tc>
        <w:tc>
          <w:tcPr>
            <w:tcW w:w="2427"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center"/>
              <w:rPr>
                <w:b w:val="0"/>
                <w:sz w:val="18"/>
                <w:szCs w:val="18"/>
              </w:rPr>
            </w:pPr>
            <w:r w:rsidRPr="002C0A36">
              <w:rPr>
                <w:b w:val="0"/>
                <w:sz w:val="18"/>
                <w:szCs w:val="18"/>
              </w:rPr>
              <w:t>Առավելագույնը 0.5</w:t>
            </w:r>
          </w:p>
        </w:tc>
      </w:tr>
      <w:tr w:rsidR="002C0A36" w:rsidRPr="002C0A36" w:rsidTr="00B86D85">
        <w:trPr>
          <w:trHeight w:val="400"/>
        </w:trPr>
        <w:tc>
          <w:tcPr>
            <w:tcW w:w="4111"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Վերաֆինանսավորման գործակից</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2.7</w:t>
            </w:r>
          </w:p>
        </w:tc>
        <w:tc>
          <w:tcPr>
            <w:tcW w:w="1136"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hy-AM"/>
              </w:rPr>
            </w:pPr>
            <w:r w:rsidRPr="002C0A36">
              <w:rPr>
                <w:b w:val="0"/>
                <w:bCs/>
                <w:color w:val="000000"/>
                <w:sz w:val="18"/>
                <w:szCs w:val="18"/>
              </w:rPr>
              <w:t>5.</w:t>
            </w:r>
            <w:r w:rsidRPr="002C0A36">
              <w:rPr>
                <w:b w:val="0"/>
                <w:bCs/>
                <w:color w:val="000000"/>
                <w:sz w:val="18"/>
                <w:szCs w:val="18"/>
                <w:lang w:val="hy-AM"/>
              </w:rPr>
              <w:t>0</w:t>
            </w:r>
          </w:p>
        </w:tc>
        <w:tc>
          <w:tcPr>
            <w:tcW w:w="2427" w:type="dxa"/>
            <w:tcBorders>
              <w:top w:val="single" w:sz="4" w:space="0" w:color="auto"/>
              <w:left w:val="single" w:sz="4" w:space="0" w:color="auto"/>
              <w:bottom w:val="single" w:sz="4" w:space="0" w:color="auto"/>
              <w:right w:val="single" w:sz="12" w:space="0" w:color="auto"/>
            </w:tcBorders>
            <w:hideMark/>
          </w:tcPr>
          <w:p w:rsidR="002C0A36" w:rsidRPr="002C0A36" w:rsidRDefault="002C0A36" w:rsidP="007730AA">
            <w:pPr>
              <w:spacing w:before="0" w:line="276" w:lineRule="auto"/>
              <w:ind w:firstLine="0"/>
              <w:contextualSpacing w:val="0"/>
              <w:jc w:val="center"/>
              <w:rPr>
                <w:b w:val="0"/>
                <w:sz w:val="18"/>
                <w:szCs w:val="18"/>
              </w:rPr>
            </w:pPr>
            <w:r w:rsidRPr="002C0A36">
              <w:rPr>
                <w:b w:val="0"/>
                <w:sz w:val="18"/>
                <w:szCs w:val="18"/>
              </w:rPr>
              <w:t>Առավելագույնը 1</w:t>
            </w:r>
          </w:p>
        </w:tc>
      </w:tr>
      <w:tr w:rsidR="002C0A36" w:rsidRPr="00130243" w:rsidTr="00B86D85">
        <w:trPr>
          <w:trHeight w:val="819"/>
        </w:trPr>
        <w:tc>
          <w:tcPr>
            <w:tcW w:w="4111" w:type="dxa"/>
            <w:tcBorders>
              <w:top w:val="single" w:sz="4" w:space="0" w:color="auto"/>
              <w:left w:val="single" w:sz="12" w:space="0" w:color="auto"/>
              <w:bottom w:val="single" w:sz="12"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Z- միավոր</w:t>
            </w:r>
          </w:p>
        </w:tc>
        <w:tc>
          <w:tcPr>
            <w:tcW w:w="1134"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0.72</w:t>
            </w:r>
          </w:p>
        </w:tc>
        <w:tc>
          <w:tcPr>
            <w:tcW w:w="1134"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0.8</w:t>
            </w:r>
          </w:p>
        </w:tc>
        <w:tc>
          <w:tcPr>
            <w:tcW w:w="1136"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hy-AM"/>
              </w:rPr>
            </w:pPr>
            <w:r w:rsidRPr="002C0A36">
              <w:rPr>
                <w:b w:val="0"/>
                <w:bCs/>
                <w:color w:val="000000"/>
                <w:sz w:val="18"/>
                <w:szCs w:val="18"/>
              </w:rPr>
              <w:t>1.08</w:t>
            </w:r>
          </w:p>
        </w:tc>
        <w:tc>
          <w:tcPr>
            <w:tcW w:w="2427" w:type="dxa"/>
            <w:tcBorders>
              <w:top w:val="single" w:sz="4" w:space="0" w:color="auto"/>
              <w:left w:val="single" w:sz="4" w:space="0" w:color="auto"/>
              <w:bottom w:val="single" w:sz="12" w:space="0" w:color="auto"/>
              <w:right w:val="single" w:sz="12"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lang w:val="hy-AM"/>
              </w:rPr>
            </w:pPr>
            <w:r w:rsidRPr="002C0A36">
              <w:rPr>
                <w:b w:val="0"/>
                <w:sz w:val="18"/>
                <w:szCs w:val="18"/>
                <w:lang w:val="hy-AM"/>
              </w:rPr>
              <w:t>Ապահով գոտի Z&gt;2.6, Գորշ գոտի 1.1&lt;Z&lt;2.6, Ծանր գոտի Z&lt;1.1</w:t>
            </w:r>
          </w:p>
        </w:tc>
      </w:tr>
    </w:tbl>
    <w:p w:rsidR="002C0A36" w:rsidRPr="002C0A36" w:rsidRDefault="002C0A36" w:rsidP="007730AA">
      <w:pPr>
        <w:spacing w:before="0" w:line="276" w:lineRule="auto"/>
        <w:ind w:firstLine="0"/>
        <w:contextualSpacing w:val="0"/>
        <w:rPr>
          <w:b w:val="0"/>
          <w:szCs w:val="22"/>
          <w:lang w:val="hy-AM" w:eastAsia="en-US"/>
        </w:rPr>
      </w:pPr>
    </w:p>
    <w:p w:rsidR="002C0A36" w:rsidRPr="002C0A36" w:rsidRDefault="002C0A36" w:rsidP="007730AA">
      <w:pPr>
        <w:spacing w:before="0" w:line="276" w:lineRule="auto"/>
        <w:ind w:firstLine="709"/>
        <w:contextualSpacing w:val="0"/>
        <w:rPr>
          <w:b w:val="0"/>
          <w:szCs w:val="22"/>
          <w:lang w:val="hy-AM" w:eastAsia="en-US"/>
        </w:rPr>
      </w:pPr>
      <w:r w:rsidRPr="002C0A36">
        <w:rPr>
          <w:b w:val="0"/>
          <w:szCs w:val="22"/>
          <w:lang w:val="hy-AM" w:eastAsia="en-US"/>
        </w:rPr>
        <w:t xml:space="preserve">Ինչպես երևում է աղյուսակից, հաշվետու ժամանակաշրջանում սնանկացման կանխատեսման Ալթմանի Z-միավորը վկայում է Ընկերությունների ֆինանսական վիճակի վատթարացման նշանակալի հավանականության մասին (գործակիցը` Z=0.8, գտնվում է սահմանված ծանր գոտում` Z&lt;1.1), իսկ միջանկյալ ժամանակաշրջանում արդեն նկատվում է բարելավման միտում, (գործակիցը` Z=1.08): </w:t>
      </w:r>
    </w:p>
    <w:p w:rsidR="002C0A36" w:rsidRPr="002C0A36" w:rsidRDefault="002C0A36" w:rsidP="007730AA">
      <w:pPr>
        <w:spacing w:before="0" w:line="276" w:lineRule="auto"/>
        <w:ind w:firstLine="709"/>
        <w:contextualSpacing w:val="0"/>
        <w:rPr>
          <w:b w:val="0"/>
          <w:szCs w:val="22"/>
          <w:lang w:val="hy-AM"/>
        </w:rPr>
      </w:pPr>
      <w:r w:rsidRPr="002C0A36">
        <w:rPr>
          <w:b w:val="0"/>
          <w:szCs w:val="22"/>
          <w:lang w:val="hy-AM" w:eastAsia="en-US"/>
        </w:rPr>
        <w:t>Հաշվետու և միջանկյալ ժամանակաշրջաններում ստուգաճշտող լրացուցիչ ֆինանսական վեց գործակիցներից երեքը չեն համապատասխանում</w:t>
      </w:r>
      <w:r w:rsidRPr="002C0A36">
        <w:rPr>
          <w:b w:val="0"/>
          <w:szCs w:val="22"/>
          <w:lang w:val="hy-AM"/>
        </w:rPr>
        <w:t xml:space="preserve"> միջազգային պրակտիկայում ընդունված թույլատրելի սահմանային նորմային և վկայում են ֆինանսական վիճակի վատթարացման բարձր հավանականության մասին:</w:t>
      </w:r>
    </w:p>
    <w:p w:rsidR="002C0A36" w:rsidRPr="002C0A36" w:rsidRDefault="002C0A36" w:rsidP="007730AA">
      <w:pPr>
        <w:spacing w:before="0" w:line="276" w:lineRule="auto"/>
        <w:ind w:firstLine="709"/>
        <w:contextualSpacing w:val="0"/>
        <w:rPr>
          <w:rFonts w:eastAsia="Calibri"/>
          <w:b w:val="0"/>
          <w:szCs w:val="22"/>
          <w:lang w:val="ro-RO"/>
        </w:rPr>
      </w:pPr>
      <w:r w:rsidRPr="002C0A36">
        <w:rPr>
          <w:b w:val="0"/>
          <w:szCs w:val="22"/>
          <w:lang w:val="hy-AM"/>
        </w:rPr>
        <w:t>Զուտ շահույթի մարժան բնութագրում է բիզնեսի գործառնական արդյունավետությունը: Այն հաշվետու ժամանակաշրջանում 2.4% է, որը Ոլորտի որոշ Ընկերու</w:t>
      </w:r>
      <w:r w:rsidRPr="002C0A36">
        <w:rPr>
          <w:b w:val="0"/>
          <w:szCs w:val="22"/>
          <w:lang w:val="hy-AM"/>
        </w:rPr>
        <w:softHyphen/>
        <w:t>թյունների վնասով աշխատելու արդյունք է և դեռևս ցածր է միջազգային պրակտի</w:t>
      </w:r>
      <w:r w:rsidRPr="002C0A36">
        <w:rPr>
          <w:b w:val="0"/>
          <w:szCs w:val="22"/>
          <w:lang w:val="hy-AM"/>
        </w:rPr>
        <w:softHyphen/>
        <w:t>կայում կիրառ</w:t>
      </w:r>
      <w:r w:rsidRPr="002C0A36">
        <w:rPr>
          <w:b w:val="0"/>
          <w:szCs w:val="22"/>
          <w:lang w:val="hy-AM"/>
        </w:rPr>
        <w:softHyphen/>
        <w:t>վող շեմային մակարդակից,</w:t>
      </w:r>
      <w:r w:rsidRPr="002C0A36">
        <w:rPr>
          <w:rFonts w:eastAsia="Calibri" w:cs="Arial"/>
          <w:b w:val="0"/>
          <w:szCs w:val="22"/>
          <w:lang w:val="ro-RO"/>
        </w:rPr>
        <w:t xml:space="preserve"> </w:t>
      </w:r>
      <w:r w:rsidRPr="002C0A36">
        <w:rPr>
          <w:rFonts w:eastAsia="Calibri" w:cs="Arial"/>
          <w:b w:val="0"/>
          <w:szCs w:val="22"/>
          <w:lang w:val="hy-AM"/>
        </w:rPr>
        <w:t>իսկ</w:t>
      </w:r>
      <w:r w:rsidRPr="002C0A36">
        <w:rPr>
          <w:rFonts w:eastAsia="Calibri" w:cs="Arial"/>
          <w:b w:val="0"/>
          <w:szCs w:val="22"/>
          <w:lang w:val="ro-RO"/>
        </w:rPr>
        <w:t xml:space="preserve"> </w:t>
      </w:r>
      <w:r w:rsidRPr="002C0A36">
        <w:rPr>
          <w:rFonts w:eastAsia="Calibri" w:cs="Sylfaen"/>
          <w:b w:val="0"/>
          <w:szCs w:val="22"/>
          <w:lang w:val="hy-AM"/>
        </w:rPr>
        <w:t>միջանկյալ</w:t>
      </w:r>
      <w:r w:rsidRPr="002C0A36">
        <w:rPr>
          <w:rFonts w:eastAsia="Calibri" w:cs="Sylfaen"/>
          <w:b w:val="0"/>
          <w:szCs w:val="22"/>
          <w:lang w:val="ro-RO"/>
        </w:rPr>
        <w:t xml:space="preserve"> </w:t>
      </w:r>
      <w:r w:rsidRPr="002C0A36">
        <w:rPr>
          <w:rFonts w:eastAsia="Calibri" w:cs="Sylfaen"/>
          <w:b w:val="0"/>
          <w:szCs w:val="22"/>
          <w:lang w:val="hy-AM"/>
        </w:rPr>
        <w:t>ժամանակաշրջանում</w:t>
      </w:r>
      <w:r w:rsidRPr="002C0A36">
        <w:rPr>
          <w:rFonts w:eastAsia="Calibri" w:cs="Sylfaen"/>
          <w:b w:val="0"/>
          <w:szCs w:val="22"/>
          <w:lang w:val="ro-RO"/>
        </w:rPr>
        <w:t xml:space="preserve"> </w:t>
      </w:r>
      <w:r w:rsidRPr="002C0A36">
        <w:rPr>
          <w:rFonts w:eastAsia="Calibri" w:cs="Sylfaen"/>
          <w:b w:val="0"/>
          <w:szCs w:val="22"/>
          <w:lang w:val="hy-AM"/>
        </w:rPr>
        <w:t>այս</w:t>
      </w:r>
      <w:r w:rsidRPr="002C0A36">
        <w:rPr>
          <w:rFonts w:eastAsia="Calibri" w:cs="Sylfaen"/>
          <w:b w:val="0"/>
          <w:szCs w:val="22"/>
          <w:lang w:val="ro-RO"/>
        </w:rPr>
        <w:t xml:space="preserve"> </w:t>
      </w:r>
      <w:r w:rsidRPr="002C0A36">
        <w:rPr>
          <w:rFonts w:eastAsia="Calibri" w:cs="Sylfaen"/>
          <w:b w:val="0"/>
          <w:szCs w:val="22"/>
          <w:lang w:val="hy-AM"/>
        </w:rPr>
        <w:t>ցուցանիշը</w:t>
      </w:r>
      <w:r w:rsidRPr="002C0A36">
        <w:rPr>
          <w:rFonts w:eastAsia="Calibri" w:cs="Sylfaen"/>
          <w:b w:val="0"/>
          <w:szCs w:val="22"/>
          <w:lang w:val="ro-RO"/>
        </w:rPr>
        <w:t xml:space="preserve"> </w:t>
      </w:r>
      <w:r w:rsidRPr="002C0A36">
        <w:rPr>
          <w:rFonts w:eastAsia="Calibri" w:cs="Sylfaen"/>
          <w:b w:val="0"/>
          <w:szCs w:val="22"/>
          <w:lang w:val="hy-AM"/>
        </w:rPr>
        <w:t>ցուցաբերել</w:t>
      </w:r>
      <w:r w:rsidRPr="002C0A36">
        <w:rPr>
          <w:rFonts w:eastAsia="Calibri" w:cs="Sylfaen"/>
          <w:b w:val="0"/>
          <w:szCs w:val="22"/>
          <w:lang w:val="ro-RO"/>
        </w:rPr>
        <w:t xml:space="preserve"> </w:t>
      </w:r>
      <w:r w:rsidRPr="002C0A36">
        <w:rPr>
          <w:rFonts w:eastAsia="Calibri" w:cs="Sylfaen"/>
          <w:b w:val="0"/>
          <w:szCs w:val="22"/>
          <w:lang w:val="hy-AM"/>
        </w:rPr>
        <w:t>է</w:t>
      </w:r>
      <w:r w:rsidRPr="002C0A36">
        <w:rPr>
          <w:rFonts w:eastAsia="Calibri" w:cs="Sylfaen"/>
          <w:b w:val="0"/>
          <w:szCs w:val="22"/>
          <w:lang w:val="ro-RO"/>
        </w:rPr>
        <w:t xml:space="preserve"> </w:t>
      </w:r>
      <w:r w:rsidRPr="002C0A36">
        <w:rPr>
          <w:rFonts w:eastAsia="Calibri" w:cs="Sylfaen"/>
          <w:b w:val="0"/>
          <w:szCs w:val="22"/>
          <w:lang w:val="hy-AM"/>
        </w:rPr>
        <w:t>դրական</w:t>
      </w:r>
      <w:r w:rsidRPr="002C0A36">
        <w:rPr>
          <w:rFonts w:eastAsia="Calibri" w:cs="Sylfaen"/>
          <w:b w:val="0"/>
          <w:szCs w:val="22"/>
          <w:lang w:val="ro-RO"/>
        </w:rPr>
        <w:t xml:space="preserve"> </w:t>
      </w:r>
      <w:r w:rsidRPr="002C0A36">
        <w:rPr>
          <w:rFonts w:eastAsia="Calibri" w:cs="Sylfaen"/>
          <w:b w:val="0"/>
          <w:szCs w:val="22"/>
          <w:lang w:val="hy-AM"/>
        </w:rPr>
        <w:t>դինամիկա</w:t>
      </w:r>
      <w:r w:rsidRPr="002C0A36">
        <w:rPr>
          <w:rFonts w:eastAsia="Calibri" w:cs="Sylfaen"/>
          <w:b w:val="0"/>
          <w:szCs w:val="22"/>
          <w:lang w:val="ro-RO"/>
        </w:rPr>
        <w:t xml:space="preserve">, </w:t>
      </w:r>
      <w:r w:rsidRPr="002C0A36">
        <w:rPr>
          <w:rFonts w:eastAsia="Calibri" w:cs="Sylfaen"/>
          <w:b w:val="0"/>
          <w:szCs w:val="22"/>
          <w:lang w:val="hy-AM"/>
        </w:rPr>
        <w:t>աճել</w:t>
      </w:r>
      <w:r w:rsidRPr="002C0A36">
        <w:rPr>
          <w:rFonts w:eastAsia="Calibri" w:cs="Sylfaen"/>
          <w:b w:val="0"/>
          <w:szCs w:val="22"/>
          <w:lang w:val="ro-RO"/>
        </w:rPr>
        <w:t xml:space="preserve"> </w:t>
      </w:r>
      <w:r w:rsidRPr="002C0A36">
        <w:rPr>
          <w:rFonts w:eastAsia="Calibri" w:cs="Sylfaen"/>
          <w:b w:val="0"/>
          <w:szCs w:val="22"/>
          <w:lang w:val="hy-AM"/>
        </w:rPr>
        <w:t>է</w:t>
      </w:r>
      <w:r w:rsidRPr="002C0A36">
        <w:rPr>
          <w:rFonts w:eastAsia="Calibri" w:cs="Sylfaen"/>
          <w:b w:val="0"/>
          <w:szCs w:val="22"/>
          <w:lang w:val="ro-RO"/>
        </w:rPr>
        <w:t xml:space="preserve"> 0.</w:t>
      </w:r>
      <w:r w:rsidRPr="002C0A36">
        <w:rPr>
          <w:rFonts w:eastAsia="Calibri" w:cs="Sylfaen"/>
          <w:b w:val="0"/>
          <w:szCs w:val="22"/>
          <w:lang w:val="hy-AM"/>
        </w:rPr>
        <w:t>4</w:t>
      </w:r>
      <w:r w:rsidRPr="002C0A36">
        <w:rPr>
          <w:rFonts w:eastAsia="Calibri" w:cs="Sylfaen"/>
          <w:b w:val="0"/>
          <w:szCs w:val="22"/>
          <w:lang w:val="ro-RO"/>
        </w:rPr>
        <w:t xml:space="preserve"> </w:t>
      </w:r>
      <w:r w:rsidRPr="002C0A36">
        <w:rPr>
          <w:rFonts w:eastAsia="Calibri" w:cs="Sylfaen"/>
          <w:b w:val="0"/>
          <w:szCs w:val="22"/>
          <w:lang w:val="hy-AM"/>
        </w:rPr>
        <w:t>տոկոսային</w:t>
      </w:r>
      <w:r w:rsidRPr="002C0A36">
        <w:rPr>
          <w:rFonts w:eastAsia="Calibri" w:cs="Sylfaen"/>
          <w:b w:val="0"/>
          <w:szCs w:val="22"/>
          <w:lang w:val="ro-RO"/>
        </w:rPr>
        <w:t xml:space="preserve"> </w:t>
      </w:r>
      <w:r w:rsidRPr="002C0A36">
        <w:rPr>
          <w:rFonts w:eastAsia="Calibri" w:cs="Sylfaen"/>
          <w:b w:val="0"/>
          <w:szCs w:val="22"/>
          <w:lang w:val="hy-AM"/>
        </w:rPr>
        <w:t>կետով</w:t>
      </w:r>
      <w:r w:rsidRPr="002C0A36">
        <w:rPr>
          <w:rFonts w:eastAsia="Calibri" w:cs="Sylfaen"/>
          <w:b w:val="0"/>
          <w:szCs w:val="22"/>
          <w:lang w:val="ro-RO"/>
        </w:rPr>
        <w:t xml:space="preserve"> (</w:t>
      </w:r>
      <w:r w:rsidRPr="002C0A36">
        <w:rPr>
          <w:rFonts w:eastAsia="Calibri" w:cs="Sylfaen"/>
          <w:b w:val="0"/>
          <w:szCs w:val="22"/>
          <w:lang w:val="hy-AM"/>
        </w:rPr>
        <w:t>գործակիցը</w:t>
      </w:r>
      <w:r w:rsidRPr="002C0A36">
        <w:rPr>
          <w:rFonts w:eastAsia="Calibri" w:cs="Sylfaen"/>
          <w:b w:val="0"/>
          <w:szCs w:val="22"/>
          <w:lang w:val="ro-RO"/>
        </w:rPr>
        <w:t xml:space="preserve"> </w:t>
      </w:r>
      <w:r w:rsidRPr="002C0A36">
        <w:rPr>
          <w:rFonts w:eastAsia="Calibri" w:cs="Sylfaen"/>
          <w:b w:val="0"/>
          <w:szCs w:val="22"/>
          <w:lang w:val="hy-AM"/>
        </w:rPr>
        <w:t>կազմել</w:t>
      </w:r>
      <w:r w:rsidRPr="002C0A36">
        <w:rPr>
          <w:rFonts w:eastAsia="Calibri" w:cs="Sylfaen"/>
          <w:b w:val="0"/>
          <w:szCs w:val="22"/>
          <w:lang w:val="ro-RO"/>
        </w:rPr>
        <w:t xml:space="preserve"> </w:t>
      </w:r>
      <w:r w:rsidRPr="002C0A36">
        <w:rPr>
          <w:rFonts w:eastAsia="Calibri" w:cs="Sylfaen"/>
          <w:b w:val="0"/>
          <w:szCs w:val="22"/>
          <w:lang w:val="hy-AM"/>
        </w:rPr>
        <w:t>է</w:t>
      </w:r>
      <w:r w:rsidRPr="002C0A36">
        <w:rPr>
          <w:rFonts w:eastAsia="Calibri" w:cs="Sylfaen"/>
          <w:b w:val="0"/>
          <w:szCs w:val="22"/>
          <w:lang w:val="ro-RO"/>
        </w:rPr>
        <w:t xml:space="preserve"> </w:t>
      </w:r>
      <w:r w:rsidRPr="002C0A36">
        <w:rPr>
          <w:rFonts w:eastAsia="Calibri" w:cs="Sylfaen"/>
          <w:b w:val="0"/>
          <w:szCs w:val="22"/>
          <w:lang w:val="hy-AM"/>
        </w:rPr>
        <w:t>11</w:t>
      </w:r>
      <w:r w:rsidRPr="002C0A36">
        <w:rPr>
          <w:rFonts w:ascii="Cambria Math" w:eastAsia="Calibri" w:hAnsi="Cambria Math" w:cs="Cambria Math"/>
          <w:b w:val="0"/>
          <w:szCs w:val="22"/>
          <w:lang w:val="hy-AM"/>
        </w:rPr>
        <w:t>․</w:t>
      </w:r>
      <w:r w:rsidRPr="002C0A36">
        <w:rPr>
          <w:rFonts w:eastAsia="Calibri" w:cs="Sylfaen"/>
          <w:b w:val="0"/>
          <w:szCs w:val="22"/>
          <w:lang w:val="hy-AM"/>
        </w:rPr>
        <w:t>9</w:t>
      </w:r>
      <w:r w:rsidRPr="002C0A36">
        <w:rPr>
          <w:rFonts w:eastAsia="Calibri" w:cs="Sylfaen"/>
          <w:b w:val="0"/>
          <w:szCs w:val="22"/>
          <w:lang w:val="ro-RO"/>
        </w:rPr>
        <w:t>):</w:t>
      </w:r>
    </w:p>
    <w:p w:rsidR="002C0A36" w:rsidRPr="002C0A36" w:rsidRDefault="002C0A36" w:rsidP="007730AA">
      <w:pPr>
        <w:spacing w:before="0" w:line="276" w:lineRule="auto"/>
        <w:ind w:firstLine="709"/>
        <w:contextualSpacing w:val="0"/>
        <w:rPr>
          <w:rFonts w:eastAsia="Calibri"/>
          <w:szCs w:val="22"/>
          <w:lang w:val="ro-RO" w:eastAsia="en-US"/>
        </w:rPr>
      </w:pPr>
      <w:r w:rsidRPr="002C0A36">
        <w:rPr>
          <w:rFonts w:eastAsia="Calibri"/>
          <w:b w:val="0"/>
          <w:szCs w:val="22"/>
          <w:lang w:val="en-US" w:eastAsia="en-US"/>
        </w:rPr>
        <w:t>Արագ</w:t>
      </w:r>
      <w:r w:rsidRPr="002C0A36">
        <w:rPr>
          <w:rFonts w:eastAsia="Calibri"/>
          <w:b w:val="0"/>
          <w:szCs w:val="22"/>
          <w:lang w:val="ro-RO" w:eastAsia="en-US"/>
        </w:rPr>
        <w:t xml:space="preserve"> </w:t>
      </w:r>
      <w:r w:rsidRPr="002C0A36">
        <w:rPr>
          <w:rFonts w:eastAsia="Calibri"/>
          <w:b w:val="0"/>
          <w:szCs w:val="22"/>
          <w:lang w:val="en-US" w:eastAsia="en-US"/>
        </w:rPr>
        <w:t>իրացվելիության</w:t>
      </w:r>
      <w:r w:rsidRPr="002C0A36">
        <w:rPr>
          <w:rFonts w:eastAsia="Calibri"/>
          <w:b w:val="0"/>
          <w:szCs w:val="22"/>
          <w:lang w:val="ro-RO" w:eastAsia="en-US"/>
        </w:rPr>
        <w:t xml:space="preserve"> </w:t>
      </w:r>
      <w:r w:rsidRPr="002C0A36">
        <w:rPr>
          <w:rFonts w:eastAsia="Calibri"/>
          <w:b w:val="0"/>
          <w:szCs w:val="22"/>
          <w:lang w:val="en-US" w:eastAsia="en-US"/>
        </w:rPr>
        <w:t>գործակիցը</w:t>
      </w:r>
      <w:r w:rsidRPr="002C0A36">
        <w:rPr>
          <w:rFonts w:eastAsia="Calibri"/>
          <w:b w:val="0"/>
          <w:szCs w:val="22"/>
          <w:lang w:val="ro-RO" w:eastAsia="en-US"/>
        </w:rPr>
        <w:t xml:space="preserve"> </w:t>
      </w:r>
      <w:r w:rsidRPr="002C0A36">
        <w:rPr>
          <w:rFonts w:eastAsia="Calibri"/>
          <w:b w:val="0"/>
          <w:szCs w:val="22"/>
          <w:lang w:val="en-US" w:eastAsia="en-US"/>
        </w:rPr>
        <w:t>հաշվետու</w:t>
      </w:r>
      <w:r w:rsidRPr="002C0A36">
        <w:rPr>
          <w:rFonts w:eastAsia="Calibri"/>
          <w:b w:val="0"/>
          <w:szCs w:val="22"/>
          <w:lang w:val="ro-RO" w:eastAsia="en-US"/>
        </w:rPr>
        <w:t xml:space="preserve"> </w:t>
      </w:r>
      <w:r w:rsidRPr="002C0A36">
        <w:rPr>
          <w:rFonts w:eastAsia="Calibri"/>
          <w:b w:val="0"/>
          <w:szCs w:val="22"/>
          <w:lang w:val="en-US" w:eastAsia="en-US"/>
        </w:rPr>
        <w:t>և</w:t>
      </w:r>
      <w:r w:rsidRPr="002C0A36">
        <w:rPr>
          <w:rFonts w:eastAsia="Calibri"/>
          <w:b w:val="0"/>
          <w:szCs w:val="22"/>
          <w:lang w:val="ro-RO" w:eastAsia="en-US"/>
        </w:rPr>
        <w:t xml:space="preserve"> </w:t>
      </w:r>
      <w:r w:rsidRPr="002C0A36">
        <w:rPr>
          <w:rFonts w:eastAsia="Calibri"/>
          <w:b w:val="0"/>
          <w:szCs w:val="22"/>
          <w:lang w:val="en-US" w:eastAsia="en-US"/>
        </w:rPr>
        <w:t>միջանկյալ</w:t>
      </w:r>
      <w:r w:rsidRPr="002C0A36">
        <w:rPr>
          <w:rFonts w:eastAsia="Calibri"/>
          <w:b w:val="0"/>
          <w:szCs w:val="22"/>
          <w:lang w:val="ro-RO" w:eastAsia="en-US"/>
        </w:rPr>
        <w:t xml:space="preserve"> </w:t>
      </w:r>
      <w:r w:rsidRPr="002C0A36">
        <w:rPr>
          <w:rFonts w:eastAsia="Calibri"/>
          <w:b w:val="0"/>
          <w:szCs w:val="22"/>
          <w:lang w:val="en-US" w:eastAsia="en-US"/>
        </w:rPr>
        <w:t>ժամանակաշրջաններում</w:t>
      </w:r>
      <w:r w:rsidRPr="002C0A36">
        <w:rPr>
          <w:rFonts w:eastAsia="Calibri"/>
          <w:b w:val="0"/>
          <w:szCs w:val="22"/>
          <w:lang w:val="ro-RO" w:eastAsia="en-US"/>
        </w:rPr>
        <w:t xml:space="preserve"> </w:t>
      </w:r>
      <w:r w:rsidRPr="002C0A36">
        <w:rPr>
          <w:rFonts w:eastAsia="Calibri"/>
          <w:b w:val="0"/>
          <w:szCs w:val="22"/>
          <w:lang w:val="en-US" w:eastAsia="en-US"/>
        </w:rPr>
        <w:t>նախորդ</w:t>
      </w:r>
      <w:r w:rsidRPr="002C0A36">
        <w:rPr>
          <w:rFonts w:eastAsia="Calibri"/>
          <w:b w:val="0"/>
          <w:szCs w:val="22"/>
          <w:lang w:val="ro-RO" w:eastAsia="en-US"/>
        </w:rPr>
        <w:t xml:space="preserve"> </w:t>
      </w:r>
      <w:r w:rsidRPr="002C0A36">
        <w:rPr>
          <w:rFonts w:eastAsia="Calibri"/>
          <w:b w:val="0"/>
          <w:szCs w:val="22"/>
          <w:lang w:val="en-US" w:eastAsia="en-US"/>
        </w:rPr>
        <w:t>ժամա</w:t>
      </w:r>
      <w:r w:rsidRPr="002C0A36">
        <w:rPr>
          <w:rFonts w:eastAsia="Calibri"/>
          <w:b w:val="0"/>
          <w:szCs w:val="22"/>
          <w:lang w:val="ro-RO" w:eastAsia="en-US"/>
        </w:rPr>
        <w:softHyphen/>
      </w:r>
      <w:r w:rsidRPr="002C0A36">
        <w:rPr>
          <w:rFonts w:eastAsia="Calibri"/>
          <w:b w:val="0"/>
          <w:szCs w:val="22"/>
          <w:lang w:val="en-US" w:eastAsia="en-US"/>
        </w:rPr>
        <w:t>նակաշրջանների</w:t>
      </w:r>
      <w:r w:rsidRPr="002C0A36">
        <w:rPr>
          <w:rFonts w:eastAsia="Calibri"/>
          <w:b w:val="0"/>
          <w:szCs w:val="22"/>
          <w:lang w:val="ro-RO" w:eastAsia="en-US"/>
        </w:rPr>
        <w:t xml:space="preserve"> </w:t>
      </w:r>
      <w:r w:rsidRPr="002C0A36">
        <w:rPr>
          <w:rFonts w:eastAsia="Calibri"/>
          <w:b w:val="0"/>
          <w:szCs w:val="22"/>
          <w:lang w:val="en-US" w:eastAsia="en-US"/>
        </w:rPr>
        <w:t>նկատմամբ</w:t>
      </w:r>
      <w:r w:rsidRPr="002C0A36">
        <w:rPr>
          <w:rFonts w:eastAsia="Calibri"/>
          <w:b w:val="0"/>
          <w:szCs w:val="22"/>
          <w:lang w:val="ro-RO" w:eastAsia="en-US"/>
        </w:rPr>
        <w:t xml:space="preserve"> </w:t>
      </w:r>
      <w:r w:rsidRPr="002C0A36">
        <w:rPr>
          <w:rFonts w:eastAsia="Calibri"/>
          <w:b w:val="0"/>
          <w:szCs w:val="22"/>
          <w:lang w:val="en-US" w:eastAsia="en-US"/>
        </w:rPr>
        <w:t>դեռևս</w:t>
      </w:r>
      <w:r w:rsidRPr="002C0A36">
        <w:rPr>
          <w:rFonts w:eastAsia="Calibri"/>
          <w:b w:val="0"/>
          <w:szCs w:val="22"/>
          <w:lang w:val="ro-RO" w:eastAsia="en-US"/>
        </w:rPr>
        <w:t xml:space="preserve"> </w:t>
      </w:r>
      <w:r w:rsidRPr="002C0A36">
        <w:rPr>
          <w:rFonts w:eastAsia="Calibri"/>
          <w:b w:val="0"/>
          <w:szCs w:val="22"/>
          <w:lang w:val="en-US" w:eastAsia="en-US"/>
        </w:rPr>
        <w:t>ցածր</w:t>
      </w:r>
      <w:r w:rsidRPr="002C0A36">
        <w:rPr>
          <w:rFonts w:eastAsia="Calibri"/>
          <w:b w:val="0"/>
          <w:szCs w:val="22"/>
          <w:lang w:val="ro-RO" w:eastAsia="en-US"/>
        </w:rPr>
        <w:t xml:space="preserve"> </w:t>
      </w:r>
      <w:r w:rsidRPr="002C0A36">
        <w:rPr>
          <w:rFonts w:eastAsia="Calibri"/>
          <w:b w:val="0"/>
          <w:szCs w:val="22"/>
          <w:lang w:val="en-US" w:eastAsia="en-US"/>
        </w:rPr>
        <w:t>է</w:t>
      </w:r>
      <w:r w:rsidRPr="002C0A36">
        <w:rPr>
          <w:rFonts w:eastAsia="Calibri"/>
          <w:b w:val="0"/>
          <w:szCs w:val="22"/>
          <w:lang w:val="ro-RO" w:eastAsia="en-US"/>
        </w:rPr>
        <w:t xml:space="preserve"> </w:t>
      </w:r>
      <w:r w:rsidRPr="002C0A36">
        <w:rPr>
          <w:rFonts w:eastAsia="Calibri"/>
          <w:b w:val="0"/>
          <w:szCs w:val="22"/>
          <w:lang w:val="en-US" w:eastAsia="en-US"/>
        </w:rPr>
        <w:t>մնում</w:t>
      </w:r>
      <w:r w:rsidRPr="002C0A36">
        <w:rPr>
          <w:rFonts w:eastAsia="Calibri"/>
          <w:b w:val="0"/>
          <w:szCs w:val="22"/>
          <w:lang w:val="ro-RO" w:eastAsia="en-US"/>
        </w:rPr>
        <w:t xml:space="preserve"> </w:t>
      </w:r>
      <w:r w:rsidRPr="002C0A36">
        <w:rPr>
          <w:rFonts w:eastAsia="Calibri"/>
          <w:b w:val="0"/>
          <w:szCs w:val="22"/>
          <w:lang w:val="en-US" w:eastAsia="en-US"/>
        </w:rPr>
        <w:t>միջազգային</w:t>
      </w:r>
      <w:r w:rsidRPr="002C0A36">
        <w:rPr>
          <w:rFonts w:eastAsia="Calibri"/>
          <w:b w:val="0"/>
          <w:szCs w:val="22"/>
          <w:lang w:val="ro-RO" w:eastAsia="en-US"/>
        </w:rPr>
        <w:t xml:space="preserve"> </w:t>
      </w:r>
      <w:r w:rsidRPr="002C0A36">
        <w:rPr>
          <w:rFonts w:eastAsia="Calibri"/>
          <w:b w:val="0"/>
          <w:szCs w:val="22"/>
          <w:lang w:val="en-US" w:eastAsia="en-US"/>
        </w:rPr>
        <w:t>պրակտիկայում</w:t>
      </w:r>
      <w:r w:rsidRPr="002C0A36">
        <w:rPr>
          <w:rFonts w:eastAsia="Calibri"/>
          <w:b w:val="0"/>
          <w:szCs w:val="22"/>
          <w:lang w:val="ro-RO" w:eastAsia="en-US"/>
        </w:rPr>
        <w:t xml:space="preserve"> </w:t>
      </w:r>
      <w:r w:rsidRPr="002C0A36">
        <w:rPr>
          <w:rFonts w:eastAsia="Calibri"/>
          <w:b w:val="0"/>
          <w:szCs w:val="22"/>
          <w:lang w:val="en-US" w:eastAsia="en-US"/>
        </w:rPr>
        <w:t>կիրառվող</w:t>
      </w:r>
      <w:r w:rsidRPr="002C0A36">
        <w:rPr>
          <w:rFonts w:eastAsia="Calibri"/>
          <w:b w:val="0"/>
          <w:szCs w:val="22"/>
          <w:lang w:val="ro-RO" w:eastAsia="en-US"/>
        </w:rPr>
        <w:t xml:space="preserve"> </w:t>
      </w:r>
      <w:r w:rsidRPr="002C0A36">
        <w:rPr>
          <w:rFonts w:eastAsia="Calibri"/>
          <w:b w:val="0"/>
          <w:szCs w:val="22"/>
          <w:lang w:val="en-US" w:eastAsia="en-US"/>
        </w:rPr>
        <w:t>շեմային</w:t>
      </w:r>
      <w:r w:rsidRPr="002C0A36">
        <w:rPr>
          <w:rFonts w:eastAsia="Calibri"/>
          <w:b w:val="0"/>
          <w:szCs w:val="22"/>
          <w:lang w:val="ro-RO" w:eastAsia="en-US"/>
        </w:rPr>
        <w:t xml:space="preserve"> </w:t>
      </w:r>
      <w:r w:rsidRPr="002C0A36">
        <w:rPr>
          <w:rFonts w:eastAsia="Calibri"/>
          <w:b w:val="0"/>
          <w:szCs w:val="22"/>
          <w:lang w:val="en-US" w:eastAsia="en-US"/>
        </w:rPr>
        <w:t>մակարդակից</w:t>
      </w:r>
      <w:r w:rsidRPr="002C0A36">
        <w:rPr>
          <w:rFonts w:eastAsia="Calibri"/>
          <w:b w:val="0"/>
          <w:szCs w:val="22"/>
          <w:lang w:val="ro-RO" w:eastAsia="en-US"/>
        </w:rPr>
        <w:t xml:space="preserve">, </w:t>
      </w:r>
      <w:r w:rsidRPr="002C0A36">
        <w:rPr>
          <w:rFonts w:eastAsia="Calibri"/>
          <w:b w:val="0"/>
          <w:szCs w:val="22"/>
          <w:lang w:val="en-US" w:eastAsia="en-US"/>
        </w:rPr>
        <w:t>որը</w:t>
      </w:r>
      <w:r w:rsidRPr="002C0A36">
        <w:rPr>
          <w:rFonts w:eastAsia="Calibri"/>
          <w:b w:val="0"/>
          <w:szCs w:val="22"/>
          <w:lang w:val="ro-RO" w:eastAsia="en-US"/>
        </w:rPr>
        <w:t xml:space="preserve"> </w:t>
      </w:r>
      <w:r w:rsidRPr="002C0A36">
        <w:rPr>
          <w:rFonts w:eastAsia="Calibri"/>
          <w:b w:val="0"/>
          <w:szCs w:val="22"/>
          <w:lang w:val="en-US" w:eastAsia="en-US"/>
        </w:rPr>
        <w:t>փաստում</w:t>
      </w:r>
      <w:r w:rsidRPr="002C0A36">
        <w:rPr>
          <w:rFonts w:eastAsia="Calibri"/>
          <w:b w:val="0"/>
          <w:szCs w:val="22"/>
          <w:lang w:val="ro-RO" w:eastAsia="en-US"/>
        </w:rPr>
        <w:t xml:space="preserve"> </w:t>
      </w:r>
      <w:r w:rsidRPr="002C0A36">
        <w:rPr>
          <w:rFonts w:eastAsia="Calibri"/>
          <w:b w:val="0"/>
          <w:szCs w:val="22"/>
          <w:lang w:val="en-US" w:eastAsia="en-US"/>
        </w:rPr>
        <w:t>է</w:t>
      </w:r>
      <w:r w:rsidRPr="002C0A36">
        <w:rPr>
          <w:rFonts w:eastAsia="Calibri"/>
          <w:b w:val="0"/>
          <w:szCs w:val="22"/>
          <w:lang w:val="ro-RO" w:eastAsia="en-US"/>
        </w:rPr>
        <w:t xml:space="preserve">, </w:t>
      </w:r>
      <w:r w:rsidRPr="002C0A36">
        <w:rPr>
          <w:rFonts w:eastAsia="Calibri"/>
          <w:b w:val="0"/>
          <w:szCs w:val="22"/>
          <w:lang w:val="en-US" w:eastAsia="en-US"/>
        </w:rPr>
        <w:t>որ</w:t>
      </w:r>
      <w:r w:rsidRPr="002C0A36">
        <w:rPr>
          <w:rFonts w:eastAsia="Calibri"/>
          <w:b w:val="0"/>
          <w:szCs w:val="22"/>
          <w:lang w:val="ro-RO" w:eastAsia="en-US"/>
        </w:rPr>
        <w:t xml:space="preserve"> </w:t>
      </w:r>
      <w:r w:rsidRPr="002C0A36">
        <w:rPr>
          <w:rFonts w:eastAsia="Calibri"/>
          <w:b w:val="0"/>
          <w:szCs w:val="22"/>
          <w:lang w:val="en-US" w:eastAsia="en-US"/>
        </w:rPr>
        <w:t>որոշ</w:t>
      </w:r>
      <w:r w:rsidRPr="002C0A36">
        <w:rPr>
          <w:rFonts w:eastAsia="Calibri"/>
          <w:b w:val="0"/>
          <w:szCs w:val="22"/>
          <w:lang w:val="ro-RO" w:eastAsia="en-US"/>
        </w:rPr>
        <w:t xml:space="preserve"> </w:t>
      </w:r>
      <w:r w:rsidRPr="002C0A36">
        <w:rPr>
          <w:rFonts w:eastAsia="Calibri"/>
          <w:b w:val="0"/>
          <w:szCs w:val="22"/>
          <w:lang w:val="en-US" w:eastAsia="en-US"/>
        </w:rPr>
        <w:t>Ընկերություներ</w:t>
      </w:r>
      <w:r w:rsidRPr="002C0A36">
        <w:rPr>
          <w:rFonts w:eastAsia="Calibri"/>
          <w:b w:val="0"/>
          <w:szCs w:val="22"/>
          <w:lang w:val="ro-RO" w:eastAsia="en-US"/>
        </w:rPr>
        <w:t xml:space="preserve"> </w:t>
      </w:r>
      <w:r w:rsidRPr="002C0A36">
        <w:rPr>
          <w:rFonts w:eastAsia="Calibri"/>
          <w:b w:val="0"/>
          <w:szCs w:val="22"/>
          <w:lang w:val="en-US" w:eastAsia="en-US"/>
        </w:rPr>
        <w:t>կարող</w:t>
      </w:r>
      <w:r w:rsidRPr="002C0A36">
        <w:rPr>
          <w:rFonts w:eastAsia="Calibri"/>
          <w:b w:val="0"/>
          <w:szCs w:val="22"/>
          <w:lang w:val="ro-RO" w:eastAsia="en-US"/>
        </w:rPr>
        <w:t xml:space="preserve"> </w:t>
      </w:r>
      <w:r w:rsidRPr="002C0A36">
        <w:rPr>
          <w:rFonts w:eastAsia="Calibri"/>
          <w:b w:val="0"/>
          <w:szCs w:val="22"/>
          <w:lang w:val="en-US" w:eastAsia="en-US"/>
        </w:rPr>
        <w:t>են</w:t>
      </w:r>
      <w:r w:rsidRPr="002C0A36">
        <w:rPr>
          <w:rFonts w:eastAsia="Calibri"/>
          <w:b w:val="0"/>
          <w:szCs w:val="22"/>
          <w:lang w:val="ro-RO" w:eastAsia="en-US"/>
        </w:rPr>
        <w:t xml:space="preserve"> </w:t>
      </w:r>
      <w:r w:rsidRPr="002C0A36">
        <w:rPr>
          <w:rFonts w:eastAsia="Calibri"/>
          <w:b w:val="0"/>
          <w:szCs w:val="22"/>
          <w:lang w:val="en-US" w:eastAsia="en-US"/>
        </w:rPr>
        <w:t>արագ</w:t>
      </w:r>
      <w:r w:rsidRPr="002C0A36">
        <w:rPr>
          <w:rFonts w:eastAsia="Calibri"/>
          <w:b w:val="0"/>
          <w:szCs w:val="22"/>
          <w:lang w:val="ro-RO" w:eastAsia="en-US"/>
        </w:rPr>
        <w:t xml:space="preserve"> </w:t>
      </w:r>
      <w:r w:rsidRPr="002C0A36">
        <w:rPr>
          <w:rFonts w:eastAsia="Calibri"/>
          <w:b w:val="0"/>
          <w:szCs w:val="22"/>
          <w:lang w:val="en-US" w:eastAsia="en-US"/>
        </w:rPr>
        <w:t>իրացվելի</w:t>
      </w:r>
      <w:r w:rsidRPr="002C0A36">
        <w:rPr>
          <w:rFonts w:eastAsia="Calibri"/>
          <w:b w:val="0"/>
          <w:szCs w:val="22"/>
          <w:lang w:val="ro-RO" w:eastAsia="en-US"/>
        </w:rPr>
        <w:t xml:space="preserve"> </w:t>
      </w:r>
      <w:r w:rsidRPr="002C0A36">
        <w:rPr>
          <w:rFonts w:eastAsia="Calibri"/>
          <w:b w:val="0"/>
          <w:szCs w:val="22"/>
          <w:lang w:val="en-US" w:eastAsia="en-US"/>
        </w:rPr>
        <w:t>ընթացիկ</w:t>
      </w:r>
      <w:r w:rsidRPr="002C0A36">
        <w:rPr>
          <w:rFonts w:eastAsia="Calibri"/>
          <w:b w:val="0"/>
          <w:szCs w:val="22"/>
          <w:lang w:val="ro-RO" w:eastAsia="en-US"/>
        </w:rPr>
        <w:t xml:space="preserve"> </w:t>
      </w:r>
      <w:r w:rsidRPr="002C0A36">
        <w:rPr>
          <w:rFonts w:eastAsia="Calibri"/>
          <w:b w:val="0"/>
          <w:szCs w:val="22"/>
          <w:lang w:val="en-US" w:eastAsia="en-US"/>
        </w:rPr>
        <w:t>ակտիվների</w:t>
      </w:r>
      <w:r w:rsidRPr="002C0A36">
        <w:rPr>
          <w:rFonts w:eastAsia="Calibri"/>
          <w:b w:val="0"/>
          <w:szCs w:val="22"/>
          <w:lang w:val="ro-RO" w:eastAsia="en-US"/>
        </w:rPr>
        <w:t xml:space="preserve"> </w:t>
      </w:r>
      <w:r w:rsidRPr="002C0A36">
        <w:rPr>
          <w:rFonts w:eastAsia="Calibri"/>
          <w:b w:val="0"/>
          <w:szCs w:val="22"/>
          <w:lang w:val="en-US" w:eastAsia="en-US"/>
        </w:rPr>
        <w:t>հաշվին</w:t>
      </w:r>
      <w:r w:rsidRPr="002C0A36">
        <w:rPr>
          <w:rFonts w:eastAsia="Calibri"/>
          <w:b w:val="0"/>
          <w:szCs w:val="22"/>
          <w:lang w:val="ro-RO" w:eastAsia="en-US"/>
        </w:rPr>
        <w:t xml:space="preserve"> </w:t>
      </w:r>
      <w:r w:rsidRPr="002C0A36">
        <w:rPr>
          <w:rFonts w:eastAsia="Calibri"/>
          <w:b w:val="0"/>
          <w:szCs w:val="22"/>
          <w:lang w:val="en-US" w:eastAsia="en-US"/>
        </w:rPr>
        <w:t>մարել</w:t>
      </w:r>
      <w:r w:rsidRPr="002C0A36">
        <w:rPr>
          <w:rFonts w:eastAsia="Calibri"/>
          <w:b w:val="0"/>
          <w:szCs w:val="22"/>
          <w:lang w:val="ro-RO" w:eastAsia="en-US"/>
        </w:rPr>
        <w:t xml:space="preserve"> </w:t>
      </w:r>
      <w:r w:rsidRPr="002C0A36">
        <w:rPr>
          <w:rFonts w:eastAsia="Calibri"/>
          <w:b w:val="0"/>
          <w:szCs w:val="22"/>
          <w:lang w:val="en-US" w:eastAsia="en-US"/>
        </w:rPr>
        <w:t>ընթացիկ</w:t>
      </w:r>
      <w:r w:rsidRPr="002C0A36">
        <w:rPr>
          <w:rFonts w:eastAsia="Calibri"/>
          <w:b w:val="0"/>
          <w:szCs w:val="22"/>
          <w:lang w:val="ro-RO" w:eastAsia="en-US"/>
        </w:rPr>
        <w:t xml:space="preserve"> </w:t>
      </w:r>
      <w:r w:rsidRPr="002C0A36">
        <w:rPr>
          <w:rFonts w:eastAsia="Calibri"/>
          <w:b w:val="0"/>
          <w:szCs w:val="22"/>
          <w:lang w:val="en-US" w:eastAsia="en-US"/>
        </w:rPr>
        <w:t>պարտավորությունների</w:t>
      </w:r>
      <w:r w:rsidRPr="002C0A36">
        <w:rPr>
          <w:rFonts w:eastAsia="Calibri"/>
          <w:b w:val="0"/>
          <w:szCs w:val="22"/>
          <w:lang w:val="ro-RO" w:eastAsia="en-US"/>
        </w:rPr>
        <w:t xml:space="preserve"> </w:t>
      </w:r>
      <w:r w:rsidRPr="002C0A36">
        <w:rPr>
          <w:rFonts w:eastAsia="Calibri"/>
          <w:b w:val="0"/>
          <w:szCs w:val="22"/>
          <w:lang w:val="en-US" w:eastAsia="en-US"/>
        </w:rPr>
        <w:t>ընդամենը</w:t>
      </w:r>
      <w:r w:rsidRPr="002C0A36">
        <w:rPr>
          <w:rFonts w:eastAsia="Calibri"/>
          <w:b w:val="0"/>
          <w:szCs w:val="22"/>
          <w:lang w:val="ro-RO" w:eastAsia="en-US"/>
        </w:rPr>
        <w:t xml:space="preserve"> 40-60 </w:t>
      </w:r>
      <w:r w:rsidRPr="002C0A36">
        <w:rPr>
          <w:rFonts w:eastAsia="Calibri"/>
          <w:b w:val="0"/>
          <w:szCs w:val="22"/>
          <w:lang w:val="en-US" w:eastAsia="en-US"/>
        </w:rPr>
        <w:t>տոկոսը</w:t>
      </w:r>
      <w:r w:rsidRPr="002C0A36">
        <w:rPr>
          <w:rFonts w:eastAsia="Calibri"/>
          <w:b w:val="0"/>
          <w:szCs w:val="22"/>
          <w:lang w:val="ro-RO" w:eastAsia="en-US"/>
        </w:rPr>
        <w:t>:</w:t>
      </w:r>
    </w:p>
    <w:p w:rsidR="002C0A36" w:rsidRPr="002C0A36" w:rsidRDefault="002C0A36" w:rsidP="007730AA">
      <w:pPr>
        <w:spacing w:before="0" w:line="276" w:lineRule="auto"/>
        <w:ind w:firstLine="709"/>
        <w:contextualSpacing w:val="0"/>
        <w:rPr>
          <w:b w:val="0"/>
          <w:szCs w:val="22"/>
          <w:lang w:val="ro-RO"/>
        </w:rPr>
      </w:pPr>
      <w:r w:rsidRPr="002C0A36">
        <w:rPr>
          <w:b w:val="0"/>
          <w:szCs w:val="22"/>
          <w:lang w:val="hy-AM"/>
        </w:rPr>
        <w:t xml:space="preserve">Դեբիտորական պարտքերի վերադարձելիության միջին ժամանակաշրջանի ցուցանիշը հաշվետու ժամանակաշրջանում նախորդ ժամանակաշրջանի ցուցանիշի նկատմամբ չնայած ցուցաբերել է աճման դինամիկա, այնուամենայնիվ հաշվետու տարում մնացել է սահմանային նորմայի միջակայքում (հաշվետու տարում նախորդ տարվա նկատմամբ առևտրային և այլ դեբիտորական պարտքերը նվազել են 2.3 մլրդ դրամով կամ 18.9%-ով): </w:t>
      </w:r>
    </w:p>
    <w:p w:rsidR="002C0A36" w:rsidRPr="002C0A36" w:rsidRDefault="002C0A36" w:rsidP="007730AA">
      <w:pPr>
        <w:spacing w:before="0" w:line="276" w:lineRule="auto"/>
        <w:ind w:firstLine="709"/>
        <w:contextualSpacing w:val="0"/>
        <w:rPr>
          <w:b w:val="0"/>
          <w:szCs w:val="22"/>
          <w:lang w:val="hy-AM"/>
        </w:rPr>
      </w:pPr>
      <w:r w:rsidRPr="002C0A36">
        <w:rPr>
          <w:b w:val="0"/>
          <w:szCs w:val="22"/>
          <w:lang w:val="hy-AM"/>
        </w:rPr>
        <w:tab/>
        <w:t>Վերաֆինանսավորման գործակիցը հաշվետու ժամանակաշրջանում նախորդ ժամանակաշրջանի նկատմամբ դրսևորել է նվազման դինամիկա և կազմել 2.7, որը դեռևս բավա</w:t>
      </w:r>
      <w:r w:rsidRPr="002C0A36">
        <w:rPr>
          <w:b w:val="0"/>
          <w:szCs w:val="22"/>
          <w:lang w:val="hy-AM"/>
        </w:rPr>
        <w:softHyphen/>
        <w:t xml:space="preserve">կանին բարձր է միջազգային պրակտիկայում կիրառվող շեմային մակարդակից։ Դա փաստում է, որ որոշ Ընկերություներ ի վիճակի չեն գործառնություններից ստացվող դրամական հոսքերի հաշվին կատարել իրենց ընթացիկ պարտավորությունները: </w:t>
      </w:r>
    </w:p>
    <w:p w:rsidR="002C0A36" w:rsidRPr="002C0A36" w:rsidRDefault="002C0A36" w:rsidP="007730AA">
      <w:pPr>
        <w:spacing w:before="0" w:line="276" w:lineRule="auto"/>
        <w:ind w:firstLine="709"/>
        <w:contextualSpacing w:val="0"/>
        <w:rPr>
          <w:rFonts w:ascii="Calibri" w:eastAsia="Calibri" w:hAnsi="Calibri"/>
          <w:szCs w:val="22"/>
          <w:lang w:val="ro-RO" w:eastAsia="en-US"/>
        </w:rPr>
      </w:pPr>
      <w:r w:rsidRPr="002C0A36">
        <w:rPr>
          <w:b w:val="0"/>
          <w:szCs w:val="22"/>
          <w:lang w:val="hy-AM"/>
        </w:rPr>
        <w:t>Հաշվի առնելով, որ հաշվետու և միջանկյալ ժամանակաշրջաններում Ընկերությունների համար հաշվարկված Z-միավորը վկայում է Ընկերու</w:t>
      </w:r>
      <w:r w:rsidRPr="002C0A36">
        <w:rPr>
          <w:b w:val="0"/>
          <w:szCs w:val="22"/>
          <w:lang w:val="hy-AM"/>
        </w:rPr>
        <w:softHyphen/>
        <w:t>թյունների ֆինանսական վիճակի վատթարանալու բարձր հավանականության մասին, այս դեպքում, անկախ լրացուցիչ գործակիցներից, Ընկերությունների ֆինանսական վիճակի վատթարացման հավանականությունը նշանակալի է</w:t>
      </w:r>
      <w:r w:rsidRPr="002C0A36">
        <w:rPr>
          <w:rFonts w:eastAsia="Calibri"/>
          <w:b w:val="0"/>
          <w:szCs w:val="22"/>
          <w:lang w:val="ro-RO"/>
        </w:rPr>
        <w:t>:</w:t>
      </w:r>
      <w:r w:rsidRPr="002C0A36">
        <w:rPr>
          <w:rFonts w:ascii="Calibri" w:eastAsia="Calibri" w:hAnsi="Calibri"/>
          <w:b w:val="0"/>
          <w:szCs w:val="22"/>
          <w:lang w:val="ro-RO" w:eastAsia="en-US"/>
        </w:rPr>
        <w:t xml:space="preserve"> </w:t>
      </w:r>
    </w:p>
    <w:p w:rsidR="002C0A36" w:rsidRPr="002C0A36" w:rsidRDefault="002C0A36" w:rsidP="007730AA">
      <w:pPr>
        <w:spacing w:before="0" w:line="276" w:lineRule="auto"/>
        <w:ind w:firstLine="709"/>
        <w:contextualSpacing w:val="0"/>
        <w:rPr>
          <w:szCs w:val="22"/>
          <w:lang w:val="hy-AM"/>
        </w:rPr>
      </w:pPr>
      <w:r w:rsidRPr="002C0A36">
        <w:rPr>
          <w:szCs w:val="22"/>
          <w:lang w:val="hy-AM"/>
        </w:rPr>
        <w:t>Մասնավոր ընկերություններ</w:t>
      </w:r>
    </w:p>
    <w:p w:rsidR="002C0A36" w:rsidRPr="002C0A36" w:rsidRDefault="002C0A36" w:rsidP="007730AA">
      <w:pPr>
        <w:spacing w:before="0" w:line="276" w:lineRule="auto"/>
        <w:ind w:firstLine="709"/>
        <w:contextualSpacing w:val="0"/>
        <w:rPr>
          <w:b w:val="0"/>
          <w:szCs w:val="22"/>
          <w:lang w:val="hy-AM"/>
        </w:rPr>
      </w:pPr>
      <w:r w:rsidRPr="002C0A36">
        <w:rPr>
          <w:b w:val="0"/>
          <w:szCs w:val="22"/>
          <w:lang w:val="hy-AM"/>
        </w:rPr>
        <w:t>Էներգետիկայի ոլորտի դիտանցման ենթարկվող մասնավոր Ընկերությունների գործունեության արդյունքում հարկա</w:t>
      </w:r>
      <w:r w:rsidRPr="002C0A36">
        <w:rPr>
          <w:b w:val="0"/>
          <w:szCs w:val="22"/>
          <w:lang w:val="hy-AM"/>
        </w:rPr>
        <w:softHyphen/>
        <w:t>բյուջե</w:t>
      </w:r>
      <w:r w:rsidRPr="002C0A36">
        <w:rPr>
          <w:b w:val="0"/>
          <w:szCs w:val="22"/>
          <w:lang w:val="hy-AM"/>
        </w:rPr>
        <w:softHyphen/>
      </w:r>
      <w:r w:rsidRPr="002C0A36">
        <w:rPr>
          <w:b w:val="0"/>
          <w:szCs w:val="22"/>
          <w:lang w:val="hy-AM"/>
        </w:rPr>
        <w:softHyphen/>
        <w:t>տային ռիսկերն են.</w:t>
      </w:r>
    </w:p>
    <w:p w:rsidR="002C0A36" w:rsidRPr="002C0A36" w:rsidRDefault="002C0A36" w:rsidP="007730AA">
      <w:pPr>
        <w:spacing w:before="0" w:line="276" w:lineRule="auto"/>
        <w:ind w:firstLine="709"/>
        <w:contextualSpacing w:val="0"/>
        <w:rPr>
          <w:b w:val="0"/>
          <w:szCs w:val="22"/>
          <w:lang w:val="hy-AM"/>
        </w:rPr>
      </w:pPr>
      <w:r w:rsidRPr="002C0A36">
        <w:rPr>
          <w:b w:val="0"/>
          <w:szCs w:val="22"/>
          <w:lang w:val="hy-AM"/>
        </w:rPr>
        <w:t>● ՀՀ պետական բյուջեից մասնավոր Ընկերություններին չնախատեսված փոխառություն</w:t>
      </w:r>
      <w:r w:rsidRPr="002C0A36">
        <w:rPr>
          <w:b w:val="0"/>
          <w:szCs w:val="22"/>
          <w:lang w:val="hy-AM"/>
        </w:rPr>
        <w:softHyphen/>
        <w:t>ների տրամադրում կամ սեփական կապիտալի համալրում,</w:t>
      </w:r>
    </w:p>
    <w:p w:rsidR="002C0A36" w:rsidRPr="002C0A36" w:rsidRDefault="002C0A36" w:rsidP="007730AA">
      <w:pPr>
        <w:spacing w:before="0" w:line="276" w:lineRule="auto"/>
        <w:ind w:firstLine="709"/>
        <w:contextualSpacing w:val="0"/>
        <w:rPr>
          <w:b w:val="0"/>
          <w:szCs w:val="22"/>
          <w:lang w:val="hy-AM"/>
        </w:rPr>
      </w:pPr>
      <w:r w:rsidRPr="002C0A36">
        <w:rPr>
          <w:b w:val="0"/>
          <w:szCs w:val="22"/>
          <w:lang w:val="hy-AM"/>
        </w:rPr>
        <w:t>● Մասնավոր Ընկերություններին սուբսիդիաների տրամադրում կամ այլ վճարումներ կատարելու անհրաժեշտություն,</w:t>
      </w:r>
    </w:p>
    <w:p w:rsidR="002C0A36" w:rsidRPr="002C0A36" w:rsidRDefault="002C0A36" w:rsidP="007730AA">
      <w:pPr>
        <w:spacing w:before="0" w:line="276" w:lineRule="auto"/>
        <w:ind w:firstLine="709"/>
        <w:contextualSpacing w:val="0"/>
        <w:rPr>
          <w:b w:val="0"/>
          <w:szCs w:val="22"/>
          <w:lang w:val="hy-AM"/>
        </w:rPr>
      </w:pPr>
      <w:r w:rsidRPr="002C0A36">
        <w:rPr>
          <w:b w:val="0"/>
          <w:szCs w:val="22"/>
          <w:lang w:val="hy-AM"/>
        </w:rPr>
        <w:t>● ՀՀ պետական բյուջեից մասնավոր Ընկերություններին տրամադրված վարկերի դիմաց տոկոսների չվճարում և մայր գումարների չմարում:</w:t>
      </w:r>
    </w:p>
    <w:p w:rsidR="002C0A36" w:rsidRPr="002C0A36" w:rsidRDefault="002C0A36" w:rsidP="007730AA">
      <w:pPr>
        <w:spacing w:before="0" w:line="276" w:lineRule="auto"/>
        <w:ind w:firstLine="709"/>
        <w:contextualSpacing w:val="0"/>
        <w:rPr>
          <w:rFonts w:eastAsia="Calibri"/>
          <w:szCs w:val="22"/>
          <w:lang w:val="ro-RO"/>
        </w:rPr>
      </w:pPr>
      <w:r w:rsidRPr="002C0A36">
        <w:rPr>
          <w:b w:val="0"/>
          <w:szCs w:val="22"/>
          <w:lang w:val="hy-AM"/>
        </w:rPr>
        <w:t xml:space="preserve">Հաշվետու ժամանակաշրջանում էներգետիկայի ոլորտի դիտանցման ենթարկված մասնավոր ընկերությունների (թվով հինգ) հիմնական գործունեությունից ստացված հանրագումարային եկամուտները նախորդ ժամանակաշրջանի նկատմամբ ավելացել են 23.3 մլրդ դրամով և կազմել 463.1 մլրդ դրամ, </w:t>
      </w:r>
      <w:r w:rsidRPr="002C0A36">
        <w:rPr>
          <w:rFonts w:eastAsia="Calibri"/>
          <w:b w:val="0"/>
          <w:szCs w:val="22"/>
          <w:lang w:val="ro-RO"/>
        </w:rPr>
        <w:t>իսկ միջանկյալ ժամանակաշրջանում նախորդ միջանկյալ ժամանակաշրջանի նկատմամբ նույնպես ավելացել են 7.6 մլրդ դրամով և կազմել 223.4</w:t>
      </w:r>
      <w:r w:rsidRPr="002C0A36">
        <w:rPr>
          <w:rFonts w:eastAsia="Calibri"/>
          <w:b w:val="0"/>
          <w:color w:val="FF0000"/>
          <w:szCs w:val="22"/>
          <w:lang w:val="ro-RO"/>
        </w:rPr>
        <w:t xml:space="preserve"> </w:t>
      </w:r>
      <w:r w:rsidRPr="002C0A36">
        <w:rPr>
          <w:rFonts w:eastAsia="Calibri"/>
          <w:b w:val="0"/>
          <w:szCs w:val="22"/>
          <w:lang w:val="ro-RO"/>
        </w:rPr>
        <w:t>մլրդ դրամ:</w:t>
      </w:r>
      <w:r w:rsidRPr="002C0A36">
        <w:rPr>
          <w:rFonts w:eastAsia="Calibri"/>
          <w:szCs w:val="22"/>
          <w:lang w:val="ro-RO"/>
        </w:rPr>
        <w:t xml:space="preserve"> </w:t>
      </w:r>
      <w:r w:rsidRPr="002C0A36">
        <w:rPr>
          <w:b w:val="0"/>
          <w:szCs w:val="22"/>
          <w:lang w:val="hy-AM"/>
        </w:rPr>
        <w:t>Հաշվետու ժամանակաշրջանում Ընկերությունների հան</w:t>
      </w:r>
      <w:r w:rsidRPr="002C0A36">
        <w:rPr>
          <w:b w:val="0"/>
          <w:szCs w:val="22"/>
          <w:lang w:val="hy-AM"/>
        </w:rPr>
        <w:softHyphen/>
        <w:t xml:space="preserve">րագումարային ծախսերը կազմել են 436.3 մլրդ դրամ` նախորդ ժամանակաշրջանի 437.4 մլրդ դրամի դիմաց` նվազելով 1.1 մլրդ դրամով (0.25%-ով), </w:t>
      </w:r>
      <w:r w:rsidRPr="002C0A36">
        <w:rPr>
          <w:rFonts w:eastAsia="Calibri" w:cs="Arial"/>
          <w:b w:val="0"/>
          <w:szCs w:val="22"/>
          <w:lang w:val="ro-RO"/>
        </w:rPr>
        <w:t>իսկ միջանկյալ ժամանակաշրջանում նախորդ միջանկյալ ժամանակաշրջանի նկատմամբ ավելացել են 10.2</w:t>
      </w:r>
      <w:r w:rsidRPr="002C0A36">
        <w:rPr>
          <w:rFonts w:eastAsia="Calibri" w:cs="Arial"/>
          <w:b w:val="0"/>
          <w:color w:val="FF0000"/>
          <w:szCs w:val="22"/>
          <w:lang w:val="ro-RO"/>
        </w:rPr>
        <w:t xml:space="preserve"> </w:t>
      </w:r>
      <w:r w:rsidRPr="002C0A36">
        <w:rPr>
          <w:rFonts w:eastAsia="Calibri" w:cs="Arial"/>
          <w:b w:val="0"/>
          <w:szCs w:val="22"/>
          <w:lang w:val="ro-RO"/>
        </w:rPr>
        <w:t>մլրդ դրամով և կազմել 208.5 մլրդ դրամ:</w:t>
      </w:r>
      <w:r w:rsidRPr="002C0A36">
        <w:rPr>
          <w:rFonts w:eastAsia="Calibri"/>
          <w:b w:val="0"/>
          <w:szCs w:val="22"/>
          <w:lang w:val="hy-AM"/>
        </w:rPr>
        <w:t xml:space="preserve"> </w:t>
      </w:r>
    </w:p>
    <w:p w:rsidR="00396D6B" w:rsidRDefault="002C0A36" w:rsidP="007730AA">
      <w:pPr>
        <w:spacing w:before="0" w:line="276" w:lineRule="auto"/>
        <w:ind w:firstLine="709"/>
        <w:contextualSpacing w:val="0"/>
        <w:rPr>
          <w:rFonts w:eastAsia="Calibri"/>
          <w:b w:val="0"/>
          <w:szCs w:val="22"/>
          <w:lang w:val="ro-RO"/>
        </w:rPr>
      </w:pPr>
      <w:r w:rsidRPr="002C0A36">
        <w:rPr>
          <w:b w:val="0"/>
          <w:szCs w:val="22"/>
          <w:lang w:val="hy-AM"/>
        </w:rPr>
        <w:t>Ընկերությունների 463.1 մլրդ դրամ ընդհանուր եկամուտների և 436.3 մլրդ դրամ ընդհա</w:t>
      </w:r>
      <w:r w:rsidRPr="002C0A36">
        <w:rPr>
          <w:b w:val="0"/>
          <w:szCs w:val="22"/>
          <w:lang w:val="hy-AM"/>
        </w:rPr>
        <w:softHyphen/>
        <w:t xml:space="preserve">նուր ծախսերի արդյունքում հաշվետու ժամանակաշրջանում շահույթը կազմել է 26.8 մլրդ դրամ, </w:t>
      </w:r>
      <w:r w:rsidRPr="002C0A36">
        <w:rPr>
          <w:rFonts w:eastAsia="Calibri"/>
          <w:b w:val="0"/>
          <w:szCs w:val="22"/>
          <w:lang w:val="ro-RO"/>
        </w:rPr>
        <w:t>իսկ միջանկյալ ժամանակաշրջանում՝ Ընկերությունների հանրագումարային 223.4 մլրդ դրամ ընդհանուր եկամուտների և 208.5 մլրդ դրամ ընդհանուր ծախսերի արդյունքում շահույթը կազմել է 14.9 մլրդ դրամ, որից զուտ շահույթը 8.6 մլ</w:t>
      </w:r>
      <w:r w:rsidRPr="002C0A36">
        <w:rPr>
          <w:rFonts w:eastAsia="Calibri"/>
          <w:b w:val="0"/>
          <w:szCs w:val="22"/>
          <w:lang w:val="hy-AM"/>
        </w:rPr>
        <w:t>րդ</w:t>
      </w:r>
      <w:r w:rsidRPr="002C0A36">
        <w:rPr>
          <w:rFonts w:eastAsia="Calibri"/>
          <w:b w:val="0"/>
          <w:szCs w:val="22"/>
          <w:lang w:val="ro-RO"/>
        </w:rPr>
        <w:t xml:space="preserve"> </w:t>
      </w:r>
      <w:r w:rsidRPr="002C0A36">
        <w:rPr>
          <w:rFonts w:eastAsia="Calibri"/>
          <w:b w:val="0"/>
          <w:szCs w:val="22"/>
          <w:lang w:val="hy-AM"/>
        </w:rPr>
        <w:t>դրամ</w:t>
      </w:r>
      <w:r w:rsidRPr="002C0A36">
        <w:rPr>
          <w:rFonts w:eastAsia="Calibri"/>
          <w:b w:val="0"/>
          <w:szCs w:val="22"/>
          <w:lang w:val="ro-RO"/>
        </w:rPr>
        <w:t xml:space="preserve"> (</w:t>
      </w:r>
      <w:r w:rsidRPr="002C0A36">
        <w:rPr>
          <w:rFonts w:eastAsia="Calibri"/>
          <w:b w:val="0"/>
          <w:szCs w:val="22"/>
          <w:lang w:val="hy-AM"/>
        </w:rPr>
        <w:t>աղյուսակ</w:t>
      </w:r>
      <w:r w:rsidRPr="002C0A36">
        <w:rPr>
          <w:rFonts w:eastAsia="Calibri"/>
          <w:b w:val="0"/>
          <w:szCs w:val="22"/>
          <w:lang w:val="ro-RO"/>
        </w:rPr>
        <w:t xml:space="preserve"> </w:t>
      </w:r>
      <w:r w:rsidR="00396D6B">
        <w:rPr>
          <w:rFonts w:eastAsia="Calibri"/>
          <w:b w:val="0"/>
          <w:szCs w:val="22"/>
          <w:lang w:val="hy-AM"/>
        </w:rPr>
        <w:t>27</w:t>
      </w:r>
      <w:r w:rsidRPr="002C0A36">
        <w:rPr>
          <w:rFonts w:eastAsia="Calibri"/>
          <w:b w:val="0"/>
          <w:szCs w:val="22"/>
          <w:lang w:val="ro-RO"/>
        </w:rPr>
        <w:t xml:space="preserve">): </w:t>
      </w:r>
    </w:p>
    <w:p w:rsidR="00BD3813" w:rsidRDefault="00BD3813" w:rsidP="007730AA">
      <w:pPr>
        <w:spacing w:before="0" w:line="276" w:lineRule="auto"/>
        <w:ind w:firstLine="709"/>
        <w:contextualSpacing w:val="0"/>
        <w:rPr>
          <w:rFonts w:eastAsia="Calibri"/>
          <w:b w:val="0"/>
          <w:szCs w:val="22"/>
          <w:lang w:val="ro-RO"/>
        </w:rPr>
      </w:pPr>
    </w:p>
    <w:p w:rsidR="002C0A36" w:rsidRPr="002C0A36" w:rsidRDefault="00396D6B" w:rsidP="007730AA">
      <w:pPr>
        <w:pStyle w:val="Caption"/>
        <w:spacing w:before="0" w:after="0"/>
        <w:rPr>
          <w:szCs w:val="22"/>
          <w:lang w:val="hy-AM"/>
        </w:rPr>
      </w:pPr>
      <w:bookmarkStart w:id="270" w:name="_Toc57631777"/>
      <w:r w:rsidRPr="00396D6B">
        <w:rPr>
          <w:lang w:val="hy-AM"/>
        </w:rPr>
        <w:t xml:space="preserve">Աղյուսակ </w:t>
      </w:r>
      <w:r w:rsidR="003C3925">
        <w:fldChar w:fldCharType="begin"/>
      </w:r>
      <w:r w:rsidRPr="00396D6B">
        <w:rPr>
          <w:lang w:val="hy-AM"/>
        </w:rPr>
        <w:instrText xml:space="preserve"> SEQ Աղյուսակ \* ARABIC </w:instrText>
      </w:r>
      <w:r w:rsidR="003C3925">
        <w:fldChar w:fldCharType="separate"/>
      </w:r>
      <w:r w:rsidR="007E790B">
        <w:rPr>
          <w:noProof/>
          <w:lang w:val="hy-AM"/>
        </w:rPr>
        <w:t>26</w:t>
      </w:r>
      <w:r w:rsidR="003C3925">
        <w:fldChar w:fldCharType="end"/>
      </w:r>
      <w:r>
        <w:rPr>
          <w:rFonts w:ascii="Cambria Math" w:hAnsi="Cambria Math"/>
          <w:lang w:val="hy-AM"/>
        </w:rPr>
        <w:t xml:space="preserve">․ </w:t>
      </w:r>
      <w:r w:rsidR="002C0A36" w:rsidRPr="002C0A36">
        <w:rPr>
          <w:b/>
          <w:i/>
          <w:sz w:val="20"/>
          <w:szCs w:val="20"/>
          <w:lang w:val="hy-AM"/>
        </w:rPr>
        <w:t>Էներգետիկայի ոլորտի մասնավոր ընկերությունների հանրագումարային զուտ շահույթն ըստ տարիների</w:t>
      </w:r>
      <w:bookmarkEnd w:id="270"/>
      <w:r w:rsidR="002C0A36" w:rsidRPr="002C0A36">
        <w:rPr>
          <w:szCs w:val="22"/>
          <w:lang w:val="hy-AM"/>
        </w:rPr>
        <w:t xml:space="preserve">                                                                                                             </w:t>
      </w:r>
    </w:p>
    <w:p w:rsidR="002C0A36" w:rsidRPr="002C0A36" w:rsidRDefault="002C0A36" w:rsidP="007730AA">
      <w:pPr>
        <w:spacing w:before="0" w:line="276" w:lineRule="auto"/>
        <w:ind w:firstLine="709"/>
        <w:contextualSpacing w:val="0"/>
        <w:jc w:val="right"/>
        <w:rPr>
          <w:b w:val="0"/>
          <w:i/>
          <w:sz w:val="18"/>
          <w:szCs w:val="18"/>
        </w:rPr>
      </w:pPr>
      <w:r w:rsidRPr="002C0A36">
        <w:rPr>
          <w:rFonts w:ascii="Calibri" w:hAnsi="Calibri"/>
          <w:b w:val="0"/>
          <w:szCs w:val="22"/>
          <w:lang w:val="hy-AM"/>
        </w:rPr>
        <w:t xml:space="preserve">                                                                                                                                                  </w:t>
      </w:r>
      <w:r w:rsidR="00CE30E9">
        <w:rPr>
          <w:rFonts w:ascii="Calibri" w:hAnsi="Calibri"/>
          <w:b w:val="0"/>
          <w:szCs w:val="22"/>
          <w:lang w:val="hy-AM"/>
        </w:rPr>
        <w:t xml:space="preserve">       </w:t>
      </w:r>
      <w:r w:rsidRPr="002C0A36">
        <w:rPr>
          <w:b w:val="0"/>
          <w:i/>
          <w:sz w:val="18"/>
          <w:szCs w:val="18"/>
          <w:lang w:val="hy-AM"/>
        </w:rPr>
        <w:t xml:space="preserve">հազ. </w:t>
      </w:r>
      <w:r w:rsidRPr="002C0A36">
        <w:rPr>
          <w:b w:val="0"/>
          <w:i/>
          <w:sz w:val="18"/>
          <w:szCs w:val="18"/>
        </w:rPr>
        <w:t>դ</w:t>
      </w:r>
      <w:r w:rsidRPr="002C0A36">
        <w:rPr>
          <w:b w:val="0"/>
          <w:i/>
          <w:sz w:val="18"/>
          <w:szCs w:val="18"/>
          <w:lang w:val="hy-AM"/>
        </w:rPr>
        <w:t>րամ</w:t>
      </w:r>
    </w:p>
    <w:tbl>
      <w:tblPr>
        <w:tblW w:w="10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094"/>
        <w:gridCol w:w="2095"/>
        <w:gridCol w:w="2095"/>
      </w:tblGrid>
      <w:tr w:rsidR="002C0A36" w:rsidRPr="002C0A36" w:rsidTr="00CE30E9">
        <w:trPr>
          <w:trHeight w:val="431"/>
          <w:tblHeader/>
          <w:jc w:val="center"/>
        </w:trPr>
        <w:tc>
          <w:tcPr>
            <w:tcW w:w="4106"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BD3813" w:rsidRDefault="002C0A36" w:rsidP="007730AA">
            <w:pPr>
              <w:spacing w:before="0" w:line="276" w:lineRule="auto"/>
              <w:ind w:firstLine="709"/>
              <w:contextualSpacing w:val="0"/>
              <w:jc w:val="center"/>
              <w:rPr>
                <w:b w:val="0"/>
                <w:color w:val="FFFFFF"/>
                <w:sz w:val="18"/>
                <w:szCs w:val="18"/>
              </w:rPr>
            </w:pPr>
            <w:r w:rsidRPr="00BD3813">
              <w:rPr>
                <w:b w:val="0"/>
                <w:color w:val="FFFFFF"/>
                <w:sz w:val="18"/>
                <w:szCs w:val="18"/>
              </w:rPr>
              <w:t>Մասնավոր ընկերություններ</w:t>
            </w:r>
          </w:p>
        </w:tc>
        <w:tc>
          <w:tcPr>
            <w:tcW w:w="2094"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BD3813" w:rsidRDefault="002C0A36" w:rsidP="007730AA">
            <w:pPr>
              <w:spacing w:before="0" w:line="276" w:lineRule="auto"/>
              <w:ind w:firstLine="0"/>
              <w:contextualSpacing w:val="0"/>
              <w:jc w:val="center"/>
              <w:rPr>
                <w:b w:val="0"/>
                <w:color w:val="FFFFFF"/>
                <w:sz w:val="18"/>
                <w:szCs w:val="18"/>
              </w:rPr>
            </w:pPr>
            <w:r w:rsidRPr="00BD3813">
              <w:rPr>
                <w:b w:val="0"/>
                <w:color w:val="FFFFFF"/>
                <w:sz w:val="18"/>
                <w:szCs w:val="18"/>
              </w:rPr>
              <w:t>201</w:t>
            </w:r>
            <w:r w:rsidRPr="00BD3813">
              <w:rPr>
                <w:b w:val="0"/>
                <w:color w:val="FFFFFF"/>
                <w:sz w:val="18"/>
                <w:szCs w:val="18"/>
                <w:lang w:val="hy-AM"/>
              </w:rPr>
              <w:t>8</w:t>
            </w:r>
            <w:r w:rsidRPr="00BD3813">
              <w:rPr>
                <w:b w:val="0"/>
                <w:color w:val="FFFFFF"/>
                <w:sz w:val="18"/>
                <w:szCs w:val="18"/>
              </w:rPr>
              <w:t>թ.</w:t>
            </w:r>
          </w:p>
        </w:tc>
        <w:tc>
          <w:tcPr>
            <w:tcW w:w="2095"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BD3813" w:rsidRDefault="002C0A36" w:rsidP="007730AA">
            <w:pPr>
              <w:spacing w:before="0" w:line="276" w:lineRule="auto"/>
              <w:ind w:firstLine="0"/>
              <w:contextualSpacing w:val="0"/>
              <w:jc w:val="center"/>
              <w:rPr>
                <w:b w:val="0"/>
                <w:color w:val="FFFFFF"/>
                <w:sz w:val="18"/>
                <w:szCs w:val="18"/>
              </w:rPr>
            </w:pPr>
            <w:r w:rsidRPr="00BD3813">
              <w:rPr>
                <w:b w:val="0"/>
                <w:color w:val="FFFFFF"/>
                <w:sz w:val="18"/>
                <w:szCs w:val="18"/>
              </w:rPr>
              <w:t>201</w:t>
            </w:r>
            <w:r w:rsidRPr="00BD3813">
              <w:rPr>
                <w:b w:val="0"/>
                <w:color w:val="FFFFFF"/>
                <w:sz w:val="18"/>
                <w:szCs w:val="18"/>
                <w:lang w:val="hy-AM"/>
              </w:rPr>
              <w:t>9</w:t>
            </w:r>
            <w:r w:rsidRPr="00BD3813">
              <w:rPr>
                <w:b w:val="0"/>
                <w:color w:val="FFFFFF"/>
                <w:sz w:val="18"/>
                <w:szCs w:val="18"/>
              </w:rPr>
              <w:t>թ.</w:t>
            </w:r>
          </w:p>
        </w:tc>
        <w:tc>
          <w:tcPr>
            <w:tcW w:w="2095"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BD3813" w:rsidRDefault="002C0A36" w:rsidP="007730AA">
            <w:pPr>
              <w:spacing w:before="0" w:line="276" w:lineRule="auto"/>
              <w:ind w:firstLine="0"/>
              <w:contextualSpacing w:val="0"/>
              <w:jc w:val="center"/>
              <w:rPr>
                <w:b w:val="0"/>
                <w:color w:val="FFFFFF"/>
                <w:sz w:val="18"/>
                <w:szCs w:val="18"/>
              </w:rPr>
            </w:pPr>
            <w:r w:rsidRPr="00BD3813">
              <w:rPr>
                <w:b w:val="0"/>
                <w:color w:val="FFFFFF"/>
                <w:sz w:val="18"/>
                <w:szCs w:val="18"/>
              </w:rPr>
              <w:t xml:space="preserve">2020թ. </w:t>
            </w:r>
            <w:r w:rsidRPr="00BD3813">
              <w:rPr>
                <w:b w:val="0"/>
                <w:color w:val="FFFFFF"/>
                <w:sz w:val="18"/>
                <w:szCs w:val="18"/>
              </w:rPr>
              <w:br/>
              <w:t>1-ին կիսամյակ</w:t>
            </w:r>
          </w:p>
        </w:tc>
      </w:tr>
      <w:tr w:rsidR="002C0A36" w:rsidRPr="002C0A36" w:rsidTr="00CE30E9">
        <w:trPr>
          <w:trHeight w:val="442"/>
          <w:tblHeader/>
          <w:jc w:val="center"/>
        </w:trPr>
        <w:tc>
          <w:tcPr>
            <w:tcW w:w="4106"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BD3813" w:rsidRDefault="002C0A36" w:rsidP="007730AA">
            <w:pPr>
              <w:spacing w:before="0" w:line="276" w:lineRule="auto"/>
              <w:ind w:firstLine="709"/>
              <w:contextualSpacing w:val="0"/>
              <w:jc w:val="left"/>
              <w:rPr>
                <w:b w:val="0"/>
                <w:color w:val="FFFFFF"/>
                <w:sz w:val="18"/>
                <w:szCs w:val="18"/>
              </w:rPr>
            </w:pPr>
          </w:p>
        </w:tc>
        <w:tc>
          <w:tcPr>
            <w:tcW w:w="2094"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BD3813" w:rsidRDefault="00CE30E9" w:rsidP="007730AA">
            <w:pPr>
              <w:spacing w:before="0" w:line="276" w:lineRule="auto"/>
              <w:ind w:firstLine="709"/>
              <w:contextualSpacing w:val="0"/>
              <w:rPr>
                <w:b w:val="0"/>
                <w:color w:val="FFFFFF"/>
                <w:sz w:val="18"/>
                <w:szCs w:val="18"/>
              </w:rPr>
            </w:pPr>
            <w:r w:rsidRPr="00BD3813">
              <w:rPr>
                <w:b w:val="0"/>
                <w:color w:val="FFFFFF"/>
                <w:sz w:val="18"/>
                <w:szCs w:val="18"/>
              </w:rPr>
              <w:t>Փաստ</w:t>
            </w:r>
          </w:p>
        </w:tc>
        <w:tc>
          <w:tcPr>
            <w:tcW w:w="2095"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BD3813" w:rsidRDefault="00CE30E9" w:rsidP="007730AA">
            <w:pPr>
              <w:spacing w:before="0" w:line="276" w:lineRule="auto"/>
              <w:ind w:firstLine="709"/>
              <w:contextualSpacing w:val="0"/>
              <w:rPr>
                <w:b w:val="0"/>
                <w:color w:val="FFFFFF"/>
                <w:sz w:val="18"/>
                <w:szCs w:val="18"/>
              </w:rPr>
            </w:pPr>
            <w:r w:rsidRPr="00BD3813">
              <w:rPr>
                <w:b w:val="0"/>
                <w:color w:val="FFFFFF"/>
                <w:sz w:val="18"/>
                <w:szCs w:val="18"/>
              </w:rPr>
              <w:t>Փաստ</w:t>
            </w:r>
          </w:p>
        </w:tc>
        <w:tc>
          <w:tcPr>
            <w:tcW w:w="2095" w:type="dxa"/>
            <w:tcBorders>
              <w:top w:val="single" w:sz="4" w:space="0" w:color="auto"/>
              <w:left w:val="single" w:sz="4" w:space="0" w:color="auto"/>
              <w:bottom w:val="single" w:sz="4" w:space="0" w:color="auto"/>
              <w:right w:val="single" w:sz="4" w:space="0" w:color="auto"/>
            </w:tcBorders>
            <w:shd w:val="clear" w:color="auto" w:fill="0070C0"/>
            <w:hideMark/>
          </w:tcPr>
          <w:p w:rsidR="002C0A36" w:rsidRPr="00BD3813" w:rsidRDefault="00CE30E9" w:rsidP="007730AA">
            <w:pPr>
              <w:spacing w:before="0" w:line="276" w:lineRule="auto"/>
              <w:ind w:firstLine="709"/>
              <w:contextualSpacing w:val="0"/>
              <w:rPr>
                <w:b w:val="0"/>
                <w:color w:val="FFFFFF"/>
                <w:sz w:val="18"/>
                <w:szCs w:val="18"/>
              </w:rPr>
            </w:pPr>
            <w:r w:rsidRPr="00BD3813">
              <w:rPr>
                <w:b w:val="0"/>
                <w:color w:val="FFFFFF"/>
                <w:sz w:val="18"/>
                <w:szCs w:val="18"/>
              </w:rPr>
              <w:t>Փաստ</w:t>
            </w:r>
          </w:p>
        </w:tc>
      </w:tr>
      <w:tr w:rsidR="002C0A36" w:rsidRPr="002C0A36" w:rsidTr="00CE30E9">
        <w:trPr>
          <w:trHeight w:val="443"/>
          <w:jc w:val="center"/>
        </w:trPr>
        <w:tc>
          <w:tcPr>
            <w:tcW w:w="410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709"/>
              <w:contextualSpacing w:val="0"/>
              <w:jc w:val="left"/>
              <w:rPr>
                <w:b w:val="0"/>
                <w:sz w:val="18"/>
                <w:szCs w:val="18"/>
              </w:rPr>
            </w:pPr>
            <w:r w:rsidRPr="002C0A36">
              <w:rPr>
                <w:b w:val="0"/>
                <w:sz w:val="18"/>
                <w:szCs w:val="18"/>
              </w:rPr>
              <w:t>ԸՆԴԱՄԵՆԸ</w:t>
            </w:r>
          </w:p>
        </w:tc>
        <w:tc>
          <w:tcPr>
            <w:tcW w:w="20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709"/>
              <w:contextualSpacing w:val="0"/>
              <w:rPr>
                <w:b w:val="0"/>
                <w:color w:val="000000"/>
                <w:sz w:val="18"/>
                <w:szCs w:val="18"/>
              </w:rPr>
            </w:pPr>
            <w:r w:rsidRPr="002C0A36">
              <w:rPr>
                <w:b w:val="0"/>
                <w:color w:val="000000"/>
                <w:sz w:val="18"/>
                <w:szCs w:val="18"/>
              </w:rPr>
              <w:t>16,154,475.0</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C0A36" w:rsidRPr="002C0A36" w:rsidRDefault="002C0A36" w:rsidP="007730AA">
            <w:pPr>
              <w:spacing w:before="0" w:line="276" w:lineRule="auto"/>
              <w:ind w:firstLine="709"/>
              <w:contextualSpacing w:val="0"/>
              <w:rPr>
                <w:b w:val="0"/>
                <w:color w:val="000000"/>
                <w:sz w:val="18"/>
                <w:szCs w:val="18"/>
              </w:rPr>
            </w:pPr>
            <w:r w:rsidRPr="002C0A36">
              <w:rPr>
                <w:b w:val="0"/>
                <w:color w:val="000000"/>
                <w:sz w:val="18"/>
                <w:szCs w:val="18"/>
              </w:rPr>
              <w:t>14,830,506.0</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C0A36" w:rsidRPr="002C0A36" w:rsidRDefault="002C0A36" w:rsidP="007730AA">
            <w:pPr>
              <w:spacing w:before="0" w:line="276" w:lineRule="auto"/>
              <w:ind w:firstLine="709"/>
              <w:contextualSpacing w:val="0"/>
              <w:rPr>
                <w:b w:val="0"/>
                <w:color w:val="000000"/>
                <w:sz w:val="18"/>
                <w:szCs w:val="18"/>
              </w:rPr>
            </w:pPr>
            <w:r w:rsidRPr="002C0A36">
              <w:rPr>
                <w:b w:val="0"/>
                <w:color w:val="000000"/>
                <w:sz w:val="18"/>
                <w:szCs w:val="18"/>
              </w:rPr>
              <w:t>8,646,589.0</w:t>
            </w:r>
          </w:p>
        </w:tc>
      </w:tr>
      <w:tr w:rsidR="002C0A36" w:rsidRPr="002C0A36" w:rsidTr="00CE30E9">
        <w:trPr>
          <w:trHeight w:val="386"/>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1. «Հրազդան</w:t>
            </w:r>
            <w:r w:rsidRPr="002C0A36">
              <w:rPr>
                <w:rFonts w:ascii="Calibri" w:hAnsi="Calibri" w:cs="Calibri"/>
                <w:b w:val="0"/>
                <w:sz w:val="18"/>
                <w:szCs w:val="18"/>
              </w:rPr>
              <w:t> </w:t>
            </w:r>
            <w:r w:rsidRPr="002C0A36">
              <w:rPr>
                <w:b w:val="0"/>
                <w:sz w:val="18"/>
                <w:szCs w:val="18"/>
              </w:rPr>
              <w:t>ՋԷԿ»</w:t>
            </w:r>
            <w:r w:rsidRPr="002C0A36">
              <w:rPr>
                <w:rFonts w:ascii="Calibri" w:hAnsi="Calibri" w:cs="Calibri"/>
                <w:b w:val="0"/>
                <w:sz w:val="18"/>
                <w:szCs w:val="18"/>
              </w:rPr>
              <w:t> </w:t>
            </w:r>
            <w:r w:rsidRPr="002C0A36">
              <w:rPr>
                <w:b w:val="0"/>
                <w:sz w:val="18"/>
                <w:szCs w:val="18"/>
              </w:rPr>
              <w:t>ԲԲԸ</w:t>
            </w:r>
          </w:p>
        </w:tc>
        <w:tc>
          <w:tcPr>
            <w:tcW w:w="2094"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2,835,161.0</w:t>
            </w:r>
          </w:p>
        </w:tc>
        <w:tc>
          <w:tcPr>
            <w:tcW w:w="2095" w:type="dxa"/>
            <w:tcBorders>
              <w:top w:val="single" w:sz="4" w:space="0" w:color="auto"/>
              <w:left w:val="single" w:sz="4" w:space="0" w:color="auto"/>
              <w:bottom w:val="single" w:sz="4" w:space="0" w:color="auto"/>
              <w:right w:val="single" w:sz="4" w:space="0" w:color="auto"/>
            </w:tcBorders>
            <w:vAlign w:val="center"/>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2,382,469.0</w:t>
            </w:r>
          </w:p>
        </w:tc>
        <w:tc>
          <w:tcPr>
            <w:tcW w:w="2095" w:type="dxa"/>
            <w:tcBorders>
              <w:top w:val="single" w:sz="4" w:space="0" w:color="auto"/>
              <w:left w:val="single" w:sz="4" w:space="0" w:color="auto"/>
              <w:bottom w:val="single" w:sz="4" w:space="0" w:color="auto"/>
              <w:right w:val="single" w:sz="4" w:space="0" w:color="auto"/>
            </w:tcBorders>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(209,941.0)</w:t>
            </w:r>
          </w:p>
        </w:tc>
      </w:tr>
      <w:tr w:rsidR="002C0A36" w:rsidRPr="002C0A36" w:rsidTr="00CE30E9">
        <w:trPr>
          <w:trHeight w:val="365"/>
          <w:jc w:val="center"/>
        </w:trPr>
        <w:tc>
          <w:tcPr>
            <w:tcW w:w="410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2. «Գազպրոմ</w:t>
            </w:r>
            <w:r w:rsidRPr="002C0A36">
              <w:rPr>
                <w:rFonts w:ascii="Calibri" w:hAnsi="Calibri" w:cs="Calibri"/>
                <w:b w:val="0"/>
                <w:sz w:val="18"/>
                <w:szCs w:val="18"/>
              </w:rPr>
              <w:t> </w:t>
            </w:r>
            <w:r w:rsidRPr="002C0A36">
              <w:rPr>
                <w:b w:val="0"/>
                <w:sz w:val="18"/>
                <w:szCs w:val="18"/>
              </w:rPr>
              <w:t>Արմենիա»</w:t>
            </w:r>
            <w:r w:rsidRPr="002C0A36">
              <w:rPr>
                <w:rFonts w:ascii="Calibri" w:hAnsi="Calibri" w:cs="Calibri"/>
                <w:b w:val="0"/>
                <w:sz w:val="18"/>
                <w:szCs w:val="18"/>
              </w:rPr>
              <w:t> </w:t>
            </w:r>
            <w:r w:rsidRPr="002C0A36">
              <w:rPr>
                <w:b w:val="0"/>
                <w:sz w:val="18"/>
                <w:szCs w:val="18"/>
              </w:rPr>
              <w:t>ՓԲԸ</w:t>
            </w:r>
          </w:p>
        </w:tc>
        <w:tc>
          <w:tcPr>
            <w:tcW w:w="20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14,920,000.0</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524,000.0</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2,489,000.0</w:t>
            </w:r>
          </w:p>
        </w:tc>
      </w:tr>
      <w:tr w:rsidR="002C0A36" w:rsidRPr="002C0A36" w:rsidTr="00CE30E9">
        <w:trPr>
          <w:trHeight w:val="375"/>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2.1 «Տրանսգազ»</w:t>
            </w:r>
            <w:r w:rsidRPr="002C0A36">
              <w:rPr>
                <w:rFonts w:ascii="Calibri" w:hAnsi="Calibri" w:cs="Calibri"/>
                <w:b w:val="0"/>
                <w:sz w:val="18"/>
                <w:szCs w:val="18"/>
              </w:rPr>
              <w:t> </w:t>
            </w:r>
            <w:r w:rsidRPr="002C0A36">
              <w:rPr>
                <w:b w:val="0"/>
                <w:sz w:val="18"/>
                <w:szCs w:val="18"/>
              </w:rPr>
              <w:t>ՍՊԸ*</w:t>
            </w:r>
          </w:p>
        </w:tc>
        <w:tc>
          <w:tcPr>
            <w:tcW w:w="2094"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(5,811.0)</w:t>
            </w:r>
          </w:p>
        </w:tc>
        <w:tc>
          <w:tcPr>
            <w:tcW w:w="2095" w:type="dxa"/>
            <w:tcBorders>
              <w:top w:val="single" w:sz="4" w:space="0" w:color="auto"/>
              <w:left w:val="single" w:sz="4" w:space="0" w:color="auto"/>
              <w:bottom w:val="single" w:sz="4" w:space="0" w:color="auto"/>
              <w:right w:val="single" w:sz="4" w:space="0" w:color="auto"/>
            </w:tcBorders>
            <w:vAlign w:val="center"/>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23,776.0</w:t>
            </w:r>
          </w:p>
        </w:tc>
        <w:tc>
          <w:tcPr>
            <w:tcW w:w="2095" w:type="dxa"/>
            <w:tcBorders>
              <w:top w:val="single" w:sz="4" w:space="0" w:color="auto"/>
              <w:left w:val="single" w:sz="4" w:space="0" w:color="auto"/>
              <w:bottom w:val="single" w:sz="4" w:space="0" w:color="auto"/>
              <w:right w:val="single" w:sz="4" w:space="0" w:color="auto"/>
            </w:tcBorders>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(31,957.0)</w:t>
            </w:r>
          </w:p>
        </w:tc>
      </w:tr>
      <w:tr w:rsidR="002C0A36" w:rsidRPr="002C0A36" w:rsidTr="00CE30E9">
        <w:trPr>
          <w:trHeight w:val="261"/>
          <w:jc w:val="center"/>
        </w:trPr>
        <w:tc>
          <w:tcPr>
            <w:tcW w:w="410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3.«Միջազգային</w:t>
            </w:r>
            <w:r w:rsidRPr="002C0A36">
              <w:rPr>
                <w:rFonts w:ascii="Calibri" w:hAnsi="Calibri" w:cs="Calibri"/>
                <w:b w:val="0"/>
                <w:sz w:val="18"/>
                <w:szCs w:val="18"/>
              </w:rPr>
              <w:t> </w:t>
            </w:r>
            <w:r w:rsidRPr="002C0A36">
              <w:rPr>
                <w:b w:val="0"/>
                <w:sz w:val="18"/>
                <w:szCs w:val="18"/>
              </w:rPr>
              <w:t>էներգետիկ</w:t>
            </w:r>
            <w:r w:rsidRPr="002C0A36">
              <w:rPr>
                <w:rFonts w:ascii="Calibri" w:hAnsi="Calibri" w:cs="Calibri"/>
                <w:b w:val="0"/>
                <w:sz w:val="18"/>
                <w:szCs w:val="18"/>
              </w:rPr>
              <w:t> </w:t>
            </w:r>
            <w:r w:rsidRPr="002C0A36">
              <w:rPr>
                <w:b w:val="0"/>
                <w:sz w:val="18"/>
                <w:szCs w:val="18"/>
              </w:rPr>
              <w:t>կորպորացիա» ՓԲԸ</w:t>
            </w:r>
          </w:p>
        </w:tc>
        <w:tc>
          <w:tcPr>
            <w:tcW w:w="20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(12,353,723.0)</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159,937.0</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(442,299.0)</w:t>
            </w:r>
          </w:p>
        </w:tc>
      </w:tr>
      <w:tr w:rsidR="002C0A36" w:rsidRPr="002C0A36" w:rsidTr="00CE30E9">
        <w:trPr>
          <w:trHeight w:val="285"/>
          <w:jc w:val="center"/>
        </w:trPr>
        <w:tc>
          <w:tcPr>
            <w:tcW w:w="4106"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4. «Հայաստանի</w:t>
            </w:r>
            <w:r w:rsidRPr="002C0A36">
              <w:rPr>
                <w:rFonts w:ascii="Calibri" w:hAnsi="Calibri" w:cs="Calibri"/>
                <w:b w:val="0"/>
                <w:sz w:val="18"/>
                <w:szCs w:val="18"/>
              </w:rPr>
              <w:t> </w:t>
            </w:r>
            <w:r w:rsidRPr="002C0A36">
              <w:rPr>
                <w:b w:val="0"/>
                <w:sz w:val="18"/>
                <w:szCs w:val="18"/>
              </w:rPr>
              <w:t>էլեկտրական</w:t>
            </w:r>
            <w:r w:rsidRPr="002C0A36">
              <w:rPr>
                <w:rFonts w:ascii="Calibri" w:hAnsi="Calibri" w:cs="Calibri"/>
                <w:b w:val="0"/>
                <w:sz w:val="18"/>
                <w:szCs w:val="18"/>
              </w:rPr>
              <w:t> </w:t>
            </w:r>
            <w:r w:rsidRPr="002C0A36">
              <w:rPr>
                <w:b w:val="0"/>
                <w:sz w:val="18"/>
                <w:szCs w:val="18"/>
              </w:rPr>
              <w:t>ցանցեր»</w:t>
            </w:r>
            <w:r w:rsidRPr="002C0A36">
              <w:rPr>
                <w:rFonts w:ascii="Calibri" w:hAnsi="Calibri" w:cs="Calibri"/>
                <w:b w:val="0"/>
                <w:sz w:val="18"/>
                <w:szCs w:val="18"/>
              </w:rPr>
              <w:t> </w:t>
            </w:r>
            <w:r w:rsidRPr="002C0A36">
              <w:rPr>
                <w:b w:val="0"/>
                <w:sz w:val="18"/>
                <w:szCs w:val="18"/>
              </w:rPr>
              <w:t>ՓԲԸ</w:t>
            </w:r>
          </w:p>
        </w:tc>
        <w:tc>
          <w:tcPr>
            <w:tcW w:w="2094"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10,753,037.0</w:t>
            </w:r>
          </w:p>
        </w:tc>
        <w:tc>
          <w:tcPr>
            <w:tcW w:w="2095" w:type="dxa"/>
            <w:tcBorders>
              <w:top w:val="single" w:sz="4" w:space="0" w:color="auto"/>
              <w:left w:val="single" w:sz="4" w:space="0" w:color="auto"/>
              <w:bottom w:val="single" w:sz="4" w:space="0" w:color="auto"/>
              <w:right w:val="single" w:sz="4" w:space="0" w:color="auto"/>
            </w:tcBorders>
            <w:vAlign w:val="center"/>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11,764,100.0</w:t>
            </w:r>
          </w:p>
        </w:tc>
        <w:tc>
          <w:tcPr>
            <w:tcW w:w="2095" w:type="dxa"/>
            <w:tcBorders>
              <w:top w:val="single" w:sz="4" w:space="0" w:color="auto"/>
              <w:left w:val="single" w:sz="4" w:space="0" w:color="auto"/>
              <w:bottom w:val="single" w:sz="4" w:space="0" w:color="auto"/>
              <w:right w:val="single" w:sz="4" w:space="0" w:color="auto"/>
            </w:tcBorders>
          </w:tcPr>
          <w:p w:rsidR="002C0A36" w:rsidRPr="002C0A36" w:rsidRDefault="002C0A36" w:rsidP="007730AA">
            <w:pPr>
              <w:spacing w:before="0" w:line="276" w:lineRule="auto"/>
              <w:ind w:firstLine="709"/>
              <w:contextualSpacing w:val="0"/>
              <w:jc w:val="center"/>
              <w:rPr>
                <w:b w:val="0"/>
                <w:color w:val="000000"/>
                <w:sz w:val="18"/>
                <w:szCs w:val="18"/>
              </w:rPr>
            </w:pPr>
            <w:r w:rsidRPr="002C0A36">
              <w:rPr>
                <w:b w:val="0"/>
                <w:color w:val="000000"/>
                <w:sz w:val="18"/>
                <w:szCs w:val="18"/>
              </w:rPr>
              <w:t>6,809,829.0</w:t>
            </w:r>
          </w:p>
        </w:tc>
      </w:tr>
    </w:tbl>
    <w:p w:rsidR="002C0A36" w:rsidRPr="002C0A36" w:rsidRDefault="002C0A36" w:rsidP="007730AA">
      <w:pPr>
        <w:spacing w:before="0" w:line="276" w:lineRule="auto"/>
        <w:ind w:firstLine="709"/>
        <w:contextualSpacing w:val="0"/>
        <w:jc w:val="left"/>
        <w:rPr>
          <w:rFonts w:ascii="Calibri" w:hAnsi="Calibri"/>
          <w:b w:val="0"/>
          <w:sz w:val="18"/>
          <w:szCs w:val="18"/>
        </w:rPr>
      </w:pPr>
      <w:r w:rsidRPr="002C0A36">
        <w:rPr>
          <w:rFonts w:ascii="Calibri" w:hAnsi="Calibri"/>
          <w:b w:val="0"/>
          <w:sz w:val="18"/>
          <w:szCs w:val="18"/>
        </w:rPr>
        <w:t>*«Տրանսգազ»</w:t>
      </w:r>
      <w:r w:rsidRPr="002C0A36">
        <w:rPr>
          <w:rFonts w:ascii="Courier New" w:hAnsi="Courier New" w:cs="Courier New"/>
          <w:b w:val="0"/>
          <w:sz w:val="18"/>
          <w:szCs w:val="18"/>
        </w:rPr>
        <w:t> </w:t>
      </w:r>
      <w:r w:rsidRPr="002C0A36">
        <w:rPr>
          <w:rFonts w:ascii="Calibri" w:hAnsi="Calibri"/>
          <w:b w:val="0"/>
          <w:sz w:val="18"/>
          <w:szCs w:val="18"/>
        </w:rPr>
        <w:t>ՍՊԸ-ի ցուցանիշները ներառված են «Գազպրոմ</w:t>
      </w:r>
      <w:r w:rsidRPr="002C0A36">
        <w:rPr>
          <w:rFonts w:ascii="Courier New" w:hAnsi="Courier New" w:cs="Courier New"/>
          <w:b w:val="0"/>
          <w:sz w:val="18"/>
          <w:szCs w:val="18"/>
        </w:rPr>
        <w:t> </w:t>
      </w:r>
      <w:r w:rsidRPr="002C0A36">
        <w:rPr>
          <w:rFonts w:ascii="Calibri" w:hAnsi="Calibri"/>
          <w:b w:val="0"/>
          <w:sz w:val="18"/>
          <w:szCs w:val="18"/>
        </w:rPr>
        <w:t>Արմենիա»</w:t>
      </w:r>
      <w:r w:rsidRPr="002C0A36">
        <w:rPr>
          <w:rFonts w:ascii="Courier New" w:hAnsi="Courier New" w:cs="Courier New"/>
          <w:b w:val="0"/>
          <w:sz w:val="18"/>
          <w:szCs w:val="18"/>
        </w:rPr>
        <w:t> </w:t>
      </w:r>
      <w:r w:rsidRPr="002C0A36">
        <w:rPr>
          <w:rFonts w:ascii="Calibri" w:hAnsi="Calibri"/>
          <w:b w:val="0"/>
          <w:sz w:val="18"/>
          <w:szCs w:val="18"/>
        </w:rPr>
        <w:t>ՓԲԸ-ի ցուցանիշներ</w:t>
      </w:r>
      <w:r w:rsidRPr="002C0A36">
        <w:rPr>
          <w:rFonts w:ascii="Calibri" w:hAnsi="Calibri"/>
          <w:b w:val="0"/>
          <w:sz w:val="18"/>
          <w:szCs w:val="18"/>
          <w:lang w:val="hy-AM"/>
        </w:rPr>
        <w:t>ում</w:t>
      </w:r>
      <w:r w:rsidRPr="002C0A36">
        <w:rPr>
          <w:rFonts w:ascii="Calibri" w:hAnsi="Calibri"/>
          <w:b w:val="0"/>
          <w:sz w:val="18"/>
          <w:szCs w:val="18"/>
        </w:rPr>
        <w:t>։</w:t>
      </w:r>
    </w:p>
    <w:p w:rsidR="002C0A36" w:rsidRPr="002C0A36" w:rsidRDefault="002C0A36" w:rsidP="007730AA">
      <w:pPr>
        <w:spacing w:before="0" w:line="276" w:lineRule="auto"/>
        <w:ind w:firstLine="709"/>
        <w:contextualSpacing w:val="0"/>
        <w:jc w:val="left"/>
        <w:rPr>
          <w:rFonts w:ascii="Calibri" w:hAnsi="Calibri"/>
          <w:b w:val="0"/>
          <w:sz w:val="18"/>
          <w:szCs w:val="18"/>
        </w:rPr>
      </w:pPr>
    </w:p>
    <w:p w:rsidR="002C0A36" w:rsidRPr="002C0A36" w:rsidRDefault="002C0A36" w:rsidP="007730AA">
      <w:pPr>
        <w:spacing w:before="0" w:line="276" w:lineRule="auto"/>
        <w:ind w:firstLine="709"/>
        <w:contextualSpacing w:val="0"/>
        <w:rPr>
          <w:b w:val="0"/>
          <w:szCs w:val="22"/>
        </w:rPr>
      </w:pPr>
      <w:r w:rsidRPr="002C0A36">
        <w:rPr>
          <w:b w:val="0"/>
          <w:szCs w:val="22"/>
        </w:rPr>
        <w:t>Վարկային պարտավորությունների հետ կապված անհրաժեշտ է նշել, որ Ընկերություն</w:t>
      </w:r>
      <w:r w:rsidRPr="002C0A36">
        <w:rPr>
          <w:b w:val="0"/>
          <w:szCs w:val="22"/>
        </w:rPr>
        <w:softHyphen/>
        <w:t>ները չունեն ժամկետանց վարկային պարտավորություններ, ինչպես նաև ՀՀ կառավարության կողմից բյուջետային երաշխիքներ չեն ստացել: Ընդ որում «Հայաստանի էլեկտրական ցանցեր» և «Միջազգային էներգետիկ կորպորացիա»</w:t>
      </w:r>
      <w:r w:rsidRPr="002C0A36">
        <w:rPr>
          <w:rFonts w:ascii="Calibri" w:hAnsi="Calibri" w:cs="Calibri"/>
          <w:b w:val="0"/>
          <w:szCs w:val="22"/>
        </w:rPr>
        <w:t> </w:t>
      </w:r>
      <w:r w:rsidRPr="002C0A36">
        <w:rPr>
          <w:b w:val="0"/>
          <w:szCs w:val="22"/>
        </w:rPr>
        <w:t>ՓԲԸ-ները հանդիսանում են միջազգային կազմակերպությունների և օտարերկրյա պետությունների աջակցությամբ իրականացվող նպատակային վարկային ծրագրերի շրջանակներում ենթավարկային պայմանագրերով ոլորտին տրամադրված վարկային միջոցների խոշորագույն ստացողներից:</w:t>
      </w:r>
    </w:p>
    <w:p w:rsidR="002C0A36" w:rsidRPr="002C0A36" w:rsidRDefault="002C0A36" w:rsidP="007730AA">
      <w:pPr>
        <w:spacing w:before="0" w:line="276" w:lineRule="auto"/>
        <w:ind w:firstLine="709"/>
        <w:contextualSpacing w:val="0"/>
        <w:rPr>
          <w:b w:val="0"/>
          <w:szCs w:val="22"/>
        </w:rPr>
      </w:pPr>
      <w:r w:rsidRPr="002C0A36">
        <w:rPr>
          <w:b w:val="0"/>
          <w:szCs w:val="22"/>
        </w:rPr>
        <w:t xml:space="preserve">Ընկերությունները ներգրավված չեն այնպիսի տեղական կամ միջազգային դատական վարույթներում, որոնք կարող են էական ազդեցություն ունենալ այդ Ընկերությունների ֆինանսական վիճակի վրա: </w:t>
      </w:r>
    </w:p>
    <w:p w:rsidR="002C0A36" w:rsidRPr="002C0A36" w:rsidRDefault="002C0A36" w:rsidP="007730AA">
      <w:pPr>
        <w:spacing w:before="0" w:line="276" w:lineRule="auto"/>
        <w:ind w:firstLine="709"/>
        <w:contextualSpacing w:val="0"/>
        <w:rPr>
          <w:b w:val="0"/>
          <w:szCs w:val="22"/>
        </w:rPr>
      </w:pPr>
      <w:r w:rsidRPr="002C0A36">
        <w:rPr>
          <w:b w:val="0"/>
          <w:szCs w:val="22"/>
        </w:rPr>
        <w:t>Ընկերությունների հարկաբյուջետային ռիսկերի գնահատման համար կիրառված ֆինանսական գործակիցների ամփոփ արդյունքները և պրակտիկայում ընդունված թույլատրելի սահմա</w:t>
      </w:r>
      <w:r w:rsidRPr="002C0A36">
        <w:rPr>
          <w:b w:val="0"/>
          <w:szCs w:val="22"/>
        </w:rPr>
        <w:softHyphen/>
        <w:t>նային նորմաները ներկայացված են աղյուսակում:</w:t>
      </w:r>
    </w:p>
    <w:p w:rsidR="008408B0" w:rsidRDefault="008408B0" w:rsidP="007730AA">
      <w:pPr>
        <w:spacing w:before="0" w:line="276" w:lineRule="auto"/>
        <w:ind w:firstLine="709"/>
        <w:contextualSpacing w:val="0"/>
        <w:rPr>
          <w:sz w:val="20"/>
          <w:szCs w:val="20"/>
        </w:rPr>
      </w:pPr>
    </w:p>
    <w:p w:rsidR="00E513E7" w:rsidRPr="005578F9" w:rsidRDefault="00E513E7" w:rsidP="007730AA">
      <w:pPr>
        <w:pStyle w:val="Caption"/>
        <w:spacing w:before="0" w:after="0"/>
      </w:pPr>
      <w:bookmarkStart w:id="271" w:name="_Toc57631778"/>
    </w:p>
    <w:p w:rsidR="00E513E7" w:rsidRPr="005578F9" w:rsidRDefault="00E513E7" w:rsidP="007730AA">
      <w:pPr>
        <w:pStyle w:val="Caption"/>
        <w:spacing w:before="0" w:after="0"/>
      </w:pPr>
    </w:p>
    <w:p w:rsidR="00E513E7" w:rsidRPr="005578F9" w:rsidRDefault="00E513E7" w:rsidP="007730AA">
      <w:pPr>
        <w:pStyle w:val="Caption"/>
        <w:spacing w:before="0" w:after="0"/>
      </w:pPr>
    </w:p>
    <w:p w:rsidR="002C0A36" w:rsidRPr="005578F9" w:rsidRDefault="00CF7820" w:rsidP="007730AA">
      <w:pPr>
        <w:pStyle w:val="Caption"/>
        <w:spacing w:before="0" w:after="0"/>
        <w:rPr>
          <w:b/>
          <w:i/>
          <w:sz w:val="20"/>
          <w:szCs w:val="20"/>
        </w:rPr>
      </w:pPr>
      <w:r>
        <w:t>Աղյուսակ</w:t>
      </w:r>
      <w:r w:rsidRPr="005578F9">
        <w:t xml:space="preserve"> </w:t>
      </w:r>
      <w:r w:rsidR="003C3925">
        <w:fldChar w:fldCharType="begin"/>
      </w:r>
      <w:r w:rsidRPr="005578F9">
        <w:instrText xml:space="preserve"> </w:instrText>
      </w:r>
      <w:r w:rsidRPr="00E513E7">
        <w:rPr>
          <w:lang w:val="en-US"/>
        </w:rPr>
        <w:instrText>SEQ</w:instrText>
      </w:r>
      <w:r w:rsidRPr="005578F9">
        <w:instrText xml:space="preserve"> </w:instrText>
      </w:r>
      <w:r>
        <w:instrText>Աղյուսակ</w:instrText>
      </w:r>
      <w:r w:rsidRPr="005578F9">
        <w:instrText xml:space="preserve"> \* </w:instrText>
      </w:r>
      <w:r w:rsidRPr="00E513E7">
        <w:rPr>
          <w:lang w:val="en-US"/>
        </w:rPr>
        <w:instrText>ARABIC</w:instrText>
      </w:r>
      <w:r w:rsidRPr="005578F9">
        <w:instrText xml:space="preserve"> </w:instrText>
      </w:r>
      <w:r w:rsidR="003C3925">
        <w:fldChar w:fldCharType="separate"/>
      </w:r>
      <w:r w:rsidR="007E790B" w:rsidRPr="005578F9">
        <w:rPr>
          <w:noProof/>
        </w:rPr>
        <w:t>27</w:t>
      </w:r>
      <w:r w:rsidR="003C3925">
        <w:fldChar w:fldCharType="end"/>
      </w:r>
      <w:r>
        <w:rPr>
          <w:rFonts w:ascii="Cambria Math" w:hAnsi="Cambria Math"/>
          <w:lang w:val="hy-AM"/>
        </w:rPr>
        <w:t xml:space="preserve">․ </w:t>
      </w:r>
      <w:r w:rsidR="002C0A36" w:rsidRPr="002C0A36">
        <w:rPr>
          <w:b/>
          <w:i/>
          <w:sz w:val="20"/>
          <w:szCs w:val="20"/>
        </w:rPr>
        <w:t>Էներգետիկայի</w:t>
      </w:r>
      <w:r w:rsidR="002C0A36" w:rsidRPr="005578F9">
        <w:rPr>
          <w:b/>
          <w:i/>
          <w:sz w:val="20"/>
          <w:szCs w:val="20"/>
        </w:rPr>
        <w:t xml:space="preserve"> </w:t>
      </w:r>
      <w:r w:rsidR="002C0A36" w:rsidRPr="002C0A36">
        <w:rPr>
          <w:b/>
          <w:i/>
          <w:sz w:val="20"/>
          <w:szCs w:val="20"/>
        </w:rPr>
        <w:t>ոլորտի</w:t>
      </w:r>
      <w:r w:rsidR="002C0A36" w:rsidRPr="005578F9">
        <w:rPr>
          <w:b/>
          <w:i/>
          <w:sz w:val="20"/>
          <w:szCs w:val="20"/>
        </w:rPr>
        <w:t xml:space="preserve"> </w:t>
      </w:r>
      <w:r w:rsidR="002C0A36" w:rsidRPr="002C0A36">
        <w:rPr>
          <w:b/>
          <w:i/>
          <w:sz w:val="20"/>
          <w:szCs w:val="20"/>
        </w:rPr>
        <w:t>մասնավոր</w:t>
      </w:r>
      <w:r w:rsidR="002C0A36" w:rsidRPr="005578F9">
        <w:rPr>
          <w:b/>
          <w:i/>
          <w:sz w:val="20"/>
          <w:szCs w:val="20"/>
        </w:rPr>
        <w:t xml:space="preserve"> </w:t>
      </w:r>
      <w:r w:rsidR="002C0A36" w:rsidRPr="002C0A36">
        <w:rPr>
          <w:b/>
          <w:i/>
          <w:sz w:val="20"/>
          <w:szCs w:val="20"/>
        </w:rPr>
        <w:t>ընկերությունների</w:t>
      </w:r>
      <w:r w:rsidR="002C0A36" w:rsidRPr="005578F9">
        <w:rPr>
          <w:b/>
          <w:i/>
          <w:sz w:val="20"/>
          <w:szCs w:val="20"/>
        </w:rPr>
        <w:t xml:space="preserve"> </w:t>
      </w:r>
      <w:r w:rsidR="002C0A36" w:rsidRPr="002C0A36">
        <w:rPr>
          <w:b/>
          <w:i/>
          <w:sz w:val="20"/>
          <w:szCs w:val="20"/>
        </w:rPr>
        <w:t>հանրագումարային</w:t>
      </w:r>
      <w:r w:rsidR="002C0A36" w:rsidRPr="005578F9">
        <w:rPr>
          <w:b/>
          <w:i/>
          <w:sz w:val="20"/>
          <w:szCs w:val="20"/>
        </w:rPr>
        <w:t xml:space="preserve"> </w:t>
      </w:r>
      <w:r w:rsidR="002C0A36" w:rsidRPr="002C0A36">
        <w:rPr>
          <w:b/>
          <w:i/>
          <w:sz w:val="20"/>
          <w:szCs w:val="20"/>
        </w:rPr>
        <w:t>ֆինանսական</w:t>
      </w:r>
      <w:r w:rsidR="002C0A36" w:rsidRPr="005578F9">
        <w:rPr>
          <w:b/>
          <w:i/>
          <w:sz w:val="20"/>
          <w:szCs w:val="20"/>
        </w:rPr>
        <w:t xml:space="preserve"> </w:t>
      </w:r>
      <w:r w:rsidR="002C0A36" w:rsidRPr="002C0A36">
        <w:rPr>
          <w:b/>
          <w:i/>
          <w:sz w:val="20"/>
          <w:szCs w:val="20"/>
        </w:rPr>
        <w:t>ցուցանիշները</w:t>
      </w:r>
      <w:bookmarkEnd w:id="271"/>
    </w:p>
    <w:tbl>
      <w:tblPr>
        <w:tblW w:w="9781" w:type="dxa"/>
        <w:tblInd w:w="-15" w:type="dxa"/>
        <w:tblLayout w:type="fixed"/>
        <w:tblLook w:val="04A0" w:firstRow="1" w:lastRow="0" w:firstColumn="1" w:lastColumn="0" w:noHBand="0" w:noVBand="1"/>
      </w:tblPr>
      <w:tblGrid>
        <w:gridCol w:w="2835"/>
        <w:gridCol w:w="1736"/>
        <w:gridCol w:w="1737"/>
        <w:gridCol w:w="1736"/>
        <w:gridCol w:w="1737"/>
      </w:tblGrid>
      <w:tr w:rsidR="002C0A36" w:rsidRPr="002C0A36" w:rsidTr="00E34E04">
        <w:trPr>
          <w:trHeight w:val="269"/>
        </w:trPr>
        <w:tc>
          <w:tcPr>
            <w:tcW w:w="2835" w:type="dxa"/>
            <w:tcBorders>
              <w:top w:val="single" w:sz="4" w:space="0" w:color="auto"/>
              <w:left w:val="single" w:sz="12" w:space="0" w:color="auto"/>
              <w:bottom w:val="single" w:sz="4" w:space="0" w:color="auto"/>
              <w:right w:val="single" w:sz="4" w:space="0" w:color="auto"/>
            </w:tcBorders>
            <w:shd w:val="clear" w:color="auto" w:fill="0070C0"/>
            <w:vAlign w:val="center"/>
            <w:hideMark/>
          </w:tcPr>
          <w:p w:rsidR="002C0A36" w:rsidRPr="002C0A36" w:rsidRDefault="002C0A36" w:rsidP="007730AA">
            <w:pPr>
              <w:spacing w:before="0" w:line="276" w:lineRule="auto"/>
              <w:ind w:firstLine="709"/>
              <w:contextualSpacing w:val="0"/>
              <w:rPr>
                <w:rFonts w:cs="Calibri"/>
                <w:color w:val="FFFFFF"/>
                <w:sz w:val="18"/>
                <w:szCs w:val="18"/>
              </w:rPr>
            </w:pPr>
            <w:r w:rsidRPr="002C0A36">
              <w:rPr>
                <w:rFonts w:cs="Calibri"/>
                <w:color w:val="FFFFFF"/>
                <w:sz w:val="18"/>
                <w:szCs w:val="18"/>
              </w:rPr>
              <w:t>Ցուցանիշ</w:t>
            </w:r>
          </w:p>
        </w:tc>
        <w:tc>
          <w:tcPr>
            <w:tcW w:w="1736"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2C0A36" w:rsidRDefault="002C0A36" w:rsidP="007730AA">
            <w:pPr>
              <w:spacing w:before="0" w:line="276" w:lineRule="auto"/>
              <w:ind w:firstLine="980"/>
              <w:contextualSpacing w:val="0"/>
              <w:jc w:val="center"/>
              <w:rPr>
                <w:rFonts w:cs="Calibri"/>
                <w:color w:val="FFFFFF"/>
                <w:sz w:val="18"/>
                <w:szCs w:val="18"/>
                <w:lang w:val="hy-AM"/>
              </w:rPr>
            </w:pPr>
            <w:r w:rsidRPr="002C0A36">
              <w:rPr>
                <w:rFonts w:cs="Calibri"/>
                <w:color w:val="FFFFFF"/>
                <w:sz w:val="18"/>
                <w:szCs w:val="18"/>
              </w:rPr>
              <w:t>2018թ.</w:t>
            </w:r>
          </w:p>
        </w:tc>
        <w:tc>
          <w:tcPr>
            <w:tcW w:w="1737"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2C0A36" w:rsidRDefault="002C0A36" w:rsidP="007730AA">
            <w:pPr>
              <w:spacing w:before="0" w:line="276" w:lineRule="auto"/>
              <w:ind w:firstLine="709"/>
              <w:contextualSpacing w:val="0"/>
              <w:jc w:val="center"/>
              <w:rPr>
                <w:rFonts w:cs="Calibri"/>
                <w:color w:val="FFFFFF"/>
                <w:sz w:val="18"/>
                <w:szCs w:val="18"/>
              </w:rPr>
            </w:pPr>
            <w:r w:rsidRPr="002C0A36">
              <w:rPr>
                <w:rFonts w:cs="Calibri"/>
                <w:color w:val="FFFFFF"/>
                <w:sz w:val="18"/>
                <w:szCs w:val="18"/>
              </w:rPr>
              <w:t>2019թ.</w:t>
            </w:r>
          </w:p>
        </w:tc>
        <w:tc>
          <w:tcPr>
            <w:tcW w:w="1736"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2C0A36" w:rsidRDefault="002C0A36" w:rsidP="007730AA">
            <w:pPr>
              <w:spacing w:before="0" w:line="276" w:lineRule="auto"/>
              <w:ind w:firstLine="0"/>
              <w:contextualSpacing w:val="0"/>
              <w:jc w:val="center"/>
              <w:rPr>
                <w:rFonts w:cs="Calibri"/>
                <w:color w:val="FFFFFF"/>
                <w:sz w:val="18"/>
                <w:szCs w:val="18"/>
              </w:rPr>
            </w:pPr>
            <w:r w:rsidRPr="002C0A36">
              <w:rPr>
                <w:rFonts w:cs="Calibri"/>
                <w:b w:val="0"/>
                <w:color w:val="FFFFFF"/>
                <w:sz w:val="18"/>
                <w:szCs w:val="18"/>
              </w:rPr>
              <w:t xml:space="preserve">2020թ. </w:t>
            </w:r>
            <w:r w:rsidRPr="002C0A36">
              <w:rPr>
                <w:rFonts w:cs="Calibri"/>
                <w:b w:val="0"/>
                <w:color w:val="FFFFFF"/>
                <w:sz w:val="18"/>
                <w:szCs w:val="18"/>
              </w:rPr>
              <w:br/>
              <w:t>1-ին կիսամյակ</w:t>
            </w:r>
          </w:p>
        </w:tc>
        <w:tc>
          <w:tcPr>
            <w:tcW w:w="1737" w:type="dxa"/>
            <w:tcBorders>
              <w:top w:val="single" w:sz="4" w:space="0" w:color="auto"/>
              <w:left w:val="single" w:sz="4" w:space="0" w:color="auto"/>
              <w:bottom w:val="single" w:sz="4" w:space="0" w:color="auto"/>
              <w:right w:val="single" w:sz="12" w:space="0" w:color="auto"/>
            </w:tcBorders>
            <w:shd w:val="clear" w:color="auto" w:fill="0070C0"/>
            <w:vAlign w:val="center"/>
            <w:hideMark/>
          </w:tcPr>
          <w:p w:rsidR="002C0A36" w:rsidRPr="002C0A36" w:rsidRDefault="002C0A36" w:rsidP="007730AA">
            <w:pPr>
              <w:spacing w:before="0" w:line="276" w:lineRule="auto"/>
              <w:ind w:firstLine="0"/>
              <w:contextualSpacing w:val="0"/>
              <w:jc w:val="center"/>
              <w:rPr>
                <w:rFonts w:cs="Calibri"/>
                <w:color w:val="FFFFFF"/>
                <w:sz w:val="18"/>
                <w:szCs w:val="18"/>
              </w:rPr>
            </w:pPr>
            <w:r w:rsidRPr="002C0A36">
              <w:rPr>
                <w:rFonts w:cs="Calibri"/>
                <w:color w:val="FFFFFF"/>
                <w:sz w:val="18"/>
                <w:szCs w:val="18"/>
              </w:rPr>
              <w:t>Թույլատրելի սահմանային նորմա</w:t>
            </w:r>
          </w:p>
        </w:tc>
      </w:tr>
      <w:tr w:rsidR="002C0A36" w:rsidRPr="002C0A36" w:rsidTr="00E34E04">
        <w:trPr>
          <w:trHeight w:val="247"/>
        </w:trPr>
        <w:tc>
          <w:tcPr>
            <w:tcW w:w="2835" w:type="dxa"/>
            <w:tcBorders>
              <w:top w:val="single" w:sz="4" w:space="0" w:color="auto"/>
              <w:left w:val="single" w:sz="12"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rFonts w:cs="Calibri"/>
                <w:b w:val="0"/>
                <w:sz w:val="18"/>
                <w:szCs w:val="18"/>
              </w:rPr>
            </w:pPr>
            <w:r w:rsidRPr="002C0A36">
              <w:rPr>
                <w:rFonts w:cs="Calibri"/>
                <w:b w:val="0"/>
                <w:sz w:val="18"/>
                <w:szCs w:val="18"/>
              </w:rPr>
              <w:t>Ծախսերի վերականգնման գործակից</w:t>
            </w:r>
          </w:p>
        </w:tc>
        <w:tc>
          <w:tcPr>
            <w:tcW w:w="17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709"/>
              <w:contextualSpacing w:val="0"/>
              <w:jc w:val="center"/>
              <w:rPr>
                <w:rFonts w:cs="Calibri"/>
                <w:b w:val="0"/>
                <w:sz w:val="18"/>
                <w:szCs w:val="18"/>
              </w:rPr>
            </w:pPr>
            <w:r w:rsidRPr="002C0A36">
              <w:rPr>
                <w:rFonts w:cs="Calibri"/>
                <w:b w:val="0"/>
                <w:sz w:val="18"/>
                <w:szCs w:val="18"/>
              </w:rPr>
              <w:t>1.1</w:t>
            </w:r>
          </w:p>
        </w:tc>
        <w:tc>
          <w:tcPr>
            <w:tcW w:w="17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C0A36" w:rsidRPr="002C0A36" w:rsidRDefault="002C0A36" w:rsidP="007730AA">
            <w:pPr>
              <w:spacing w:before="0" w:line="276" w:lineRule="auto"/>
              <w:ind w:firstLine="709"/>
              <w:contextualSpacing w:val="0"/>
              <w:jc w:val="center"/>
              <w:rPr>
                <w:rFonts w:cs="Calibri"/>
                <w:b w:val="0"/>
                <w:sz w:val="18"/>
                <w:szCs w:val="18"/>
              </w:rPr>
            </w:pPr>
            <w:r w:rsidRPr="002C0A36">
              <w:rPr>
                <w:rFonts w:cs="Calibri"/>
                <w:b w:val="0"/>
                <w:sz w:val="18"/>
                <w:szCs w:val="18"/>
              </w:rPr>
              <w:t>1.1</w:t>
            </w:r>
          </w:p>
        </w:tc>
        <w:tc>
          <w:tcPr>
            <w:tcW w:w="17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C0A36" w:rsidRPr="002C0A36" w:rsidRDefault="002C0A36" w:rsidP="007730AA">
            <w:pPr>
              <w:spacing w:before="0" w:line="276" w:lineRule="auto"/>
              <w:ind w:firstLine="709"/>
              <w:contextualSpacing w:val="0"/>
              <w:jc w:val="center"/>
              <w:rPr>
                <w:rFonts w:cs="Calibri"/>
                <w:b w:val="0"/>
                <w:sz w:val="18"/>
                <w:szCs w:val="18"/>
              </w:rPr>
            </w:pPr>
            <w:r w:rsidRPr="002C0A36">
              <w:rPr>
                <w:rFonts w:cs="Calibri"/>
                <w:b w:val="0"/>
                <w:sz w:val="18"/>
                <w:szCs w:val="18"/>
              </w:rPr>
              <w:t>1.1</w:t>
            </w:r>
          </w:p>
        </w:tc>
        <w:tc>
          <w:tcPr>
            <w:tcW w:w="1737"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rFonts w:cs="Calibri"/>
                <w:b w:val="0"/>
                <w:sz w:val="18"/>
                <w:szCs w:val="18"/>
              </w:rPr>
            </w:pPr>
            <w:r w:rsidRPr="002C0A36">
              <w:rPr>
                <w:rFonts w:cs="Calibri"/>
                <w:b w:val="0"/>
                <w:sz w:val="18"/>
                <w:szCs w:val="18"/>
              </w:rPr>
              <w:t>Առնվազն 1</w:t>
            </w:r>
          </w:p>
        </w:tc>
      </w:tr>
      <w:tr w:rsidR="002C0A36" w:rsidRPr="002C0A36" w:rsidTr="00E34E04">
        <w:trPr>
          <w:trHeight w:val="404"/>
        </w:trPr>
        <w:tc>
          <w:tcPr>
            <w:tcW w:w="2835" w:type="dxa"/>
            <w:tcBorders>
              <w:top w:val="single" w:sz="4" w:space="0" w:color="auto"/>
              <w:left w:val="single" w:sz="12"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left"/>
              <w:rPr>
                <w:rFonts w:cs="Calibri"/>
                <w:b w:val="0"/>
                <w:sz w:val="18"/>
                <w:szCs w:val="18"/>
              </w:rPr>
            </w:pPr>
            <w:r w:rsidRPr="002C0A36">
              <w:rPr>
                <w:rFonts w:cs="Calibri"/>
                <w:b w:val="0"/>
                <w:sz w:val="18"/>
                <w:szCs w:val="18"/>
              </w:rPr>
              <w:t>Զուտ շահույթի մարժա    (%)</w:t>
            </w:r>
          </w:p>
        </w:tc>
        <w:tc>
          <w:tcPr>
            <w:tcW w:w="1736"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rPr>
              <w:t>3.7</w:t>
            </w:r>
          </w:p>
        </w:tc>
        <w:tc>
          <w:tcPr>
            <w:tcW w:w="1737" w:type="dxa"/>
            <w:tcBorders>
              <w:top w:val="single" w:sz="4" w:space="0" w:color="auto"/>
              <w:left w:val="single" w:sz="4" w:space="0" w:color="auto"/>
              <w:bottom w:val="single" w:sz="4" w:space="0" w:color="auto"/>
              <w:right w:val="single" w:sz="4" w:space="0" w:color="auto"/>
            </w:tcBorders>
            <w:vAlign w:val="center"/>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rPr>
              <w:t>3</w:t>
            </w:r>
            <w:r w:rsidRPr="002C0A36">
              <w:rPr>
                <w:rFonts w:cs="Calibri"/>
                <w:b w:val="0"/>
                <w:bCs/>
                <w:color w:val="000000"/>
                <w:sz w:val="18"/>
                <w:szCs w:val="18"/>
                <w:lang w:val="hy-AM"/>
              </w:rPr>
              <w:t>.</w:t>
            </w:r>
            <w:r w:rsidRPr="002C0A36">
              <w:rPr>
                <w:rFonts w:cs="Calibri"/>
                <w:b w:val="0"/>
                <w:bCs/>
                <w:color w:val="000000"/>
                <w:sz w:val="18"/>
                <w:szCs w:val="18"/>
              </w:rPr>
              <w:t>2</w:t>
            </w:r>
          </w:p>
        </w:tc>
        <w:tc>
          <w:tcPr>
            <w:tcW w:w="1736" w:type="dxa"/>
            <w:tcBorders>
              <w:top w:val="single" w:sz="4" w:space="0" w:color="auto"/>
              <w:left w:val="single" w:sz="4" w:space="0" w:color="auto"/>
              <w:bottom w:val="single" w:sz="4" w:space="0" w:color="auto"/>
              <w:right w:val="single" w:sz="4" w:space="0" w:color="auto"/>
            </w:tcBorders>
            <w:vAlign w:val="center"/>
          </w:tcPr>
          <w:p w:rsidR="002C0A36" w:rsidRPr="002C0A36" w:rsidRDefault="002C0A36" w:rsidP="007730AA">
            <w:pPr>
              <w:spacing w:before="0" w:line="276" w:lineRule="auto"/>
              <w:ind w:firstLine="709"/>
              <w:contextualSpacing w:val="0"/>
              <w:jc w:val="center"/>
              <w:rPr>
                <w:rFonts w:cs="Calibri"/>
                <w:b w:val="0"/>
                <w:bCs/>
                <w:color w:val="000000"/>
                <w:sz w:val="18"/>
                <w:szCs w:val="18"/>
                <w:lang w:val="hy-AM"/>
              </w:rPr>
            </w:pPr>
            <w:r w:rsidRPr="002C0A36">
              <w:rPr>
                <w:rFonts w:cs="Calibri"/>
                <w:b w:val="0"/>
                <w:bCs/>
                <w:color w:val="000000"/>
                <w:sz w:val="18"/>
                <w:szCs w:val="18"/>
              </w:rPr>
              <w:t>3</w:t>
            </w:r>
            <w:r w:rsidRPr="002C0A36">
              <w:rPr>
                <w:rFonts w:cs="Calibri"/>
                <w:b w:val="0"/>
                <w:bCs/>
                <w:color w:val="000000"/>
                <w:sz w:val="18"/>
                <w:szCs w:val="18"/>
                <w:lang w:val="hy-AM"/>
              </w:rPr>
              <w:t>.</w:t>
            </w:r>
            <w:r w:rsidRPr="002C0A36">
              <w:rPr>
                <w:rFonts w:cs="Calibri"/>
                <w:b w:val="0"/>
                <w:bCs/>
                <w:color w:val="000000"/>
                <w:sz w:val="18"/>
                <w:szCs w:val="18"/>
              </w:rPr>
              <w:t>9</w:t>
            </w:r>
          </w:p>
        </w:tc>
        <w:tc>
          <w:tcPr>
            <w:tcW w:w="1737" w:type="dxa"/>
            <w:tcBorders>
              <w:top w:val="single" w:sz="4" w:space="0" w:color="auto"/>
              <w:left w:val="single" w:sz="4" w:space="0" w:color="auto"/>
              <w:bottom w:val="single" w:sz="4" w:space="0" w:color="auto"/>
              <w:right w:val="single" w:sz="12" w:space="0" w:color="auto"/>
            </w:tcBorders>
            <w:vAlign w:val="center"/>
            <w:hideMark/>
          </w:tcPr>
          <w:p w:rsidR="002C0A36" w:rsidRPr="002C0A36" w:rsidRDefault="002C0A36" w:rsidP="007730AA">
            <w:pPr>
              <w:spacing w:before="0" w:line="276" w:lineRule="auto"/>
              <w:ind w:firstLine="0"/>
              <w:contextualSpacing w:val="0"/>
              <w:jc w:val="left"/>
              <w:rPr>
                <w:rFonts w:cs="Calibri"/>
                <w:b w:val="0"/>
                <w:sz w:val="18"/>
                <w:szCs w:val="18"/>
              </w:rPr>
            </w:pPr>
            <w:r w:rsidRPr="002C0A36">
              <w:rPr>
                <w:rFonts w:cs="Calibri"/>
                <w:b w:val="0"/>
                <w:sz w:val="18"/>
                <w:szCs w:val="18"/>
              </w:rPr>
              <w:t>Առնվազն 8%</w:t>
            </w:r>
          </w:p>
        </w:tc>
      </w:tr>
      <w:tr w:rsidR="002C0A36" w:rsidRPr="002C0A36" w:rsidTr="00E34E04">
        <w:trPr>
          <w:trHeight w:val="303"/>
        </w:trPr>
        <w:tc>
          <w:tcPr>
            <w:tcW w:w="2835" w:type="dxa"/>
            <w:tcBorders>
              <w:top w:val="single" w:sz="4" w:space="0" w:color="auto"/>
              <w:left w:val="single" w:sz="12"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rFonts w:cs="Calibri"/>
                <w:b w:val="0"/>
                <w:sz w:val="18"/>
                <w:szCs w:val="18"/>
              </w:rPr>
            </w:pPr>
            <w:r w:rsidRPr="002C0A36">
              <w:rPr>
                <w:rFonts w:cs="Calibri"/>
                <w:b w:val="0"/>
                <w:sz w:val="18"/>
                <w:szCs w:val="18"/>
              </w:rPr>
              <w:t>Արագ իրացվելիության գործակից</w:t>
            </w:r>
          </w:p>
        </w:tc>
        <w:tc>
          <w:tcPr>
            <w:tcW w:w="17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rPr>
              <w:t>2.8</w:t>
            </w:r>
          </w:p>
        </w:tc>
        <w:tc>
          <w:tcPr>
            <w:tcW w:w="17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rPr>
              <w:t>2</w:t>
            </w:r>
            <w:r w:rsidRPr="002C0A36">
              <w:rPr>
                <w:rFonts w:cs="Calibri"/>
                <w:b w:val="0"/>
                <w:bCs/>
                <w:color w:val="000000"/>
                <w:sz w:val="18"/>
                <w:szCs w:val="18"/>
                <w:lang w:val="hy-AM"/>
              </w:rPr>
              <w:t>.</w:t>
            </w:r>
            <w:r w:rsidRPr="002C0A36">
              <w:rPr>
                <w:rFonts w:cs="Calibri"/>
                <w:b w:val="0"/>
                <w:bCs/>
                <w:color w:val="000000"/>
                <w:sz w:val="18"/>
                <w:szCs w:val="18"/>
              </w:rPr>
              <w:t>8</w:t>
            </w:r>
          </w:p>
        </w:tc>
        <w:tc>
          <w:tcPr>
            <w:tcW w:w="17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C0A36" w:rsidRPr="002C0A36" w:rsidRDefault="002C0A36" w:rsidP="007730AA">
            <w:pPr>
              <w:spacing w:before="0" w:line="276" w:lineRule="auto"/>
              <w:ind w:firstLine="709"/>
              <w:contextualSpacing w:val="0"/>
              <w:jc w:val="center"/>
              <w:rPr>
                <w:rFonts w:cs="Calibri"/>
                <w:b w:val="0"/>
                <w:bCs/>
                <w:color w:val="000000"/>
                <w:sz w:val="18"/>
                <w:szCs w:val="18"/>
                <w:lang w:val="en-US"/>
              </w:rPr>
            </w:pPr>
            <w:r w:rsidRPr="002C0A36">
              <w:rPr>
                <w:rFonts w:cs="Calibri"/>
                <w:b w:val="0"/>
                <w:bCs/>
                <w:color w:val="000000"/>
                <w:sz w:val="18"/>
                <w:szCs w:val="18"/>
              </w:rPr>
              <w:t>2</w:t>
            </w:r>
            <w:r w:rsidRPr="002C0A36">
              <w:rPr>
                <w:rFonts w:cs="Calibri"/>
                <w:b w:val="0"/>
                <w:bCs/>
                <w:color w:val="000000"/>
                <w:sz w:val="18"/>
                <w:szCs w:val="18"/>
                <w:lang w:val="hy-AM"/>
              </w:rPr>
              <w:t>.</w:t>
            </w:r>
            <w:r w:rsidRPr="002C0A36">
              <w:rPr>
                <w:rFonts w:cs="Calibri"/>
                <w:b w:val="0"/>
                <w:bCs/>
                <w:color w:val="000000"/>
                <w:sz w:val="18"/>
                <w:szCs w:val="18"/>
                <w:lang w:val="en-US"/>
              </w:rPr>
              <w:t>5</w:t>
            </w:r>
          </w:p>
        </w:tc>
        <w:tc>
          <w:tcPr>
            <w:tcW w:w="1737"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rFonts w:cs="Calibri"/>
                <w:b w:val="0"/>
                <w:sz w:val="18"/>
                <w:szCs w:val="18"/>
              </w:rPr>
            </w:pPr>
            <w:r w:rsidRPr="002C0A36">
              <w:rPr>
                <w:rFonts w:cs="Calibri"/>
                <w:b w:val="0"/>
                <w:sz w:val="18"/>
                <w:szCs w:val="18"/>
              </w:rPr>
              <w:t>Առնվազն 1</w:t>
            </w:r>
          </w:p>
        </w:tc>
      </w:tr>
      <w:tr w:rsidR="002C0A36" w:rsidRPr="002C0A36" w:rsidTr="00E34E04">
        <w:trPr>
          <w:trHeight w:val="763"/>
        </w:trPr>
        <w:tc>
          <w:tcPr>
            <w:tcW w:w="2835" w:type="dxa"/>
            <w:tcBorders>
              <w:top w:val="single" w:sz="4" w:space="0" w:color="auto"/>
              <w:left w:val="single" w:sz="12"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left"/>
              <w:rPr>
                <w:rFonts w:cs="Calibri"/>
                <w:b w:val="0"/>
                <w:sz w:val="18"/>
                <w:szCs w:val="18"/>
              </w:rPr>
            </w:pPr>
            <w:r w:rsidRPr="002C0A36">
              <w:rPr>
                <w:rFonts w:cs="Calibri"/>
                <w:b w:val="0"/>
                <w:sz w:val="18"/>
                <w:szCs w:val="18"/>
              </w:rPr>
              <w:t>Դեբիտորական պարտքերի շրջանառու</w:t>
            </w:r>
            <w:r w:rsidRPr="002C0A36">
              <w:rPr>
                <w:rFonts w:cs="Calibri"/>
                <w:b w:val="0"/>
                <w:sz w:val="18"/>
                <w:szCs w:val="18"/>
              </w:rPr>
              <w:softHyphen/>
              <w:t>թյուն (օր)</w:t>
            </w:r>
          </w:p>
        </w:tc>
        <w:tc>
          <w:tcPr>
            <w:tcW w:w="1736" w:type="dxa"/>
            <w:tcBorders>
              <w:top w:val="single" w:sz="4" w:space="0" w:color="auto"/>
              <w:left w:val="single" w:sz="4" w:space="0" w:color="auto"/>
              <w:bottom w:val="single" w:sz="4" w:space="0" w:color="auto"/>
              <w:right w:val="single" w:sz="4" w:space="0" w:color="auto"/>
            </w:tcBorders>
            <w:vAlign w:val="center"/>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rPr>
              <w:t>54.6</w:t>
            </w:r>
          </w:p>
        </w:tc>
        <w:tc>
          <w:tcPr>
            <w:tcW w:w="1737" w:type="dxa"/>
            <w:tcBorders>
              <w:top w:val="single" w:sz="4" w:space="0" w:color="auto"/>
              <w:left w:val="single" w:sz="4" w:space="0" w:color="auto"/>
              <w:bottom w:val="single" w:sz="4" w:space="0" w:color="auto"/>
              <w:right w:val="single" w:sz="4" w:space="0" w:color="auto"/>
            </w:tcBorders>
            <w:vAlign w:val="center"/>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rPr>
              <w:t>57</w:t>
            </w:r>
            <w:r w:rsidRPr="002C0A36">
              <w:rPr>
                <w:rFonts w:cs="Calibri"/>
                <w:b w:val="0"/>
                <w:bCs/>
                <w:color w:val="000000"/>
                <w:sz w:val="18"/>
                <w:szCs w:val="18"/>
                <w:lang w:val="hy-AM"/>
              </w:rPr>
              <w:t>.</w:t>
            </w:r>
            <w:r w:rsidRPr="002C0A36">
              <w:rPr>
                <w:rFonts w:cs="Calibri"/>
                <w:b w:val="0"/>
                <w:bCs/>
                <w:color w:val="000000"/>
                <w:sz w:val="18"/>
                <w:szCs w:val="18"/>
              </w:rPr>
              <w:t>9</w:t>
            </w:r>
          </w:p>
        </w:tc>
        <w:tc>
          <w:tcPr>
            <w:tcW w:w="1736" w:type="dxa"/>
            <w:tcBorders>
              <w:top w:val="single" w:sz="4" w:space="0" w:color="auto"/>
              <w:left w:val="single" w:sz="4" w:space="0" w:color="auto"/>
              <w:bottom w:val="single" w:sz="4" w:space="0" w:color="auto"/>
              <w:right w:val="single" w:sz="4" w:space="0" w:color="auto"/>
            </w:tcBorders>
            <w:vAlign w:val="center"/>
          </w:tcPr>
          <w:p w:rsidR="002C0A36" w:rsidRPr="002C0A36" w:rsidRDefault="002C0A36" w:rsidP="007730AA">
            <w:pPr>
              <w:spacing w:before="0" w:line="276" w:lineRule="auto"/>
              <w:ind w:firstLine="709"/>
              <w:contextualSpacing w:val="0"/>
              <w:jc w:val="center"/>
              <w:rPr>
                <w:rFonts w:cs="Calibri"/>
                <w:b w:val="0"/>
                <w:bCs/>
                <w:color w:val="000000"/>
                <w:sz w:val="18"/>
                <w:szCs w:val="18"/>
                <w:highlight w:val="yellow"/>
              </w:rPr>
            </w:pPr>
            <w:r w:rsidRPr="002C0A36">
              <w:rPr>
                <w:rFonts w:cs="Calibri"/>
                <w:b w:val="0"/>
                <w:bCs/>
                <w:color w:val="000000"/>
                <w:sz w:val="18"/>
                <w:szCs w:val="18"/>
              </w:rPr>
              <w:t>41.4</w:t>
            </w:r>
          </w:p>
        </w:tc>
        <w:tc>
          <w:tcPr>
            <w:tcW w:w="1737" w:type="dxa"/>
            <w:tcBorders>
              <w:top w:val="single" w:sz="4" w:space="0" w:color="auto"/>
              <w:left w:val="single" w:sz="4" w:space="0" w:color="auto"/>
              <w:bottom w:val="single" w:sz="4" w:space="0" w:color="auto"/>
              <w:right w:val="single" w:sz="12" w:space="0" w:color="auto"/>
            </w:tcBorders>
            <w:vAlign w:val="center"/>
            <w:hideMark/>
          </w:tcPr>
          <w:p w:rsidR="002C0A36" w:rsidRPr="002C0A36" w:rsidRDefault="002C0A36" w:rsidP="007730AA">
            <w:pPr>
              <w:spacing w:before="0" w:line="276" w:lineRule="auto"/>
              <w:ind w:firstLine="0"/>
              <w:contextualSpacing w:val="0"/>
              <w:jc w:val="left"/>
              <w:rPr>
                <w:rFonts w:cs="Calibri"/>
                <w:b w:val="0"/>
                <w:sz w:val="18"/>
                <w:szCs w:val="18"/>
              </w:rPr>
            </w:pPr>
            <w:r w:rsidRPr="002C0A36">
              <w:rPr>
                <w:rFonts w:eastAsia="Calibri" w:cs="Calibri"/>
                <w:b w:val="0"/>
                <w:sz w:val="18"/>
                <w:szCs w:val="18"/>
              </w:rPr>
              <w:t>Առավելագույնը 60/30 օր</w:t>
            </w:r>
          </w:p>
        </w:tc>
      </w:tr>
      <w:tr w:rsidR="002C0A36" w:rsidRPr="002C0A36" w:rsidTr="00E34E04">
        <w:trPr>
          <w:trHeight w:val="339"/>
        </w:trPr>
        <w:tc>
          <w:tcPr>
            <w:tcW w:w="2835" w:type="dxa"/>
            <w:tcBorders>
              <w:top w:val="single" w:sz="4" w:space="0" w:color="auto"/>
              <w:left w:val="single" w:sz="12"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rFonts w:cs="Calibri"/>
                <w:b w:val="0"/>
                <w:sz w:val="18"/>
                <w:szCs w:val="18"/>
              </w:rPr>
            </w:pPr>
            <w:r w:rsidRPr="002C0A36">
              <w:rPr>
                <w:rFonts w:cs="Calibri"/>
                <w:b w:val="0"/>
                <w:sz w:val="18"/>
                <w:szCs w:val="18"/>
              </w:rPr>
              <w:t>Պարտքի սպասարկման գործակից</w:t>
            </w:r>
          </w:p>
        </w:tc>
        <w:tc>
          <w:tcPr>
            <w:tcW w:w="17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rPr>
              <w:t>0.1</w:t>
            </w:r>
          </w:p>
        </w:tc>
        <w:tc>
          <w:tcPr>
            <w:tcW w:w="173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rPr>
              <w:t>0</w:t>
            </w:r>
            <w:r w:rsidRPr="002C0A36">
              <w:rPr>
                <w:rFonts w:cs="Calibri"/>
                <w:b w:val="0"/>
                <w:bCs/>
                <w:color w:val="000000"/>
                <w:sz w:val="18"/>
                <w:szCs w:val="18"/>
                <w:lang w:val="hy-AM"/>
              </w:rPr>
              <w:t>.</w:t>
            </w:r>
            <w:r w:rsidRPr="002C0A36">
              <w:rPr>
                <w:rFonts w:cs="Calibri"/>
                <w:b w:val="0"/>
                <w:bCs/>
                <w:color w:val="000000"/>
                <w:sz w:val="18"/>
                <w:szCs w:val="18"/>
              </w:rPr>
              <w:t>1</w:t>
            </w:r>
          </w:p>
        </w:tc>
        <w:tc>
          <w:tcPr>
            <w:tcW w:w="173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lang w:val="hy-AM"/>
              </w:rPr>
              <w:t>0.</w:t>
            </w:r>
            <w:r w:rsidRPr="002C0A36">
              <w:rPr>
                <w:rFonts w:cs="Calibri"/>
                <w:b w:val="0"/>
                <w:bCs/>
                <w:color w:val="000000"/>
                <w:sz w:val="18"/>
                <w:szCs w:val="18"/>
              </w:rPr>
              <w:t>1</w:t>
            </w:r>
          </w:p>
        </w:tc>
        <w:tc>
          <w:tcPr>
            <w:tcW w:w="1737"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rFonts w:cs="Calibri"/>
                <w:b w:val="0"/>
                <w:sz w:val="18"/>
                <w:szCs w:val="18"/>
              </w:rPr>
            </w:pPr>
            <w:r w:rsidRPr="002C0A36">
              <w:rPr>
                <w:rFonts w:cs="Calibri"/>
                <w:b w:val="0"/>
                <w:sz w:val="18"/>
                <w:szCs w:val="18"/>
              </w:rPr>
              <w:t>Առավելագույնը 0.5</w:t>
            </w:r>
          </w:p>
        </w:tc>
      </w:tr>
      <w:tr w:rsidR="002C0A36" w:rsidRPr="002C0A36" w:rsidTr="00E34E04">
        <w:trPr>
          <w:trHeight w:val="321"/>
        </w:trPr>
        <w:tc>
          <w:tcPr>
            <w:tcW w:w="2835" w:type="dxa"/>
            <w:tcBorders>
              <w:top w:val="single" w:sz="4" w:space="0" w:color="auto"/>
              <w:left w:val="single" w:sz="12"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left"/>
              <w:rPr>
                <w:rFonts w:cs="Calibri"/>
                <w:b w:val="0"/>
                <w:sz w:val="18"/>
                <w:szCs w:val="18"/>
              </w:rPr>
            </w:pPr>
            <w:r w:rsidRPr="002C0A36">
              <w:rPr>
                <w:rFonts w:cs="Calibri"/>
                <w:b w:val="0"/>
                <w:sz w:val="18"/>
                <w:szCs w:val="18"/>
              </w:rPr>
              <w:t>Վերաֆինանսավորման գործակից</w:t>
            </w:r>
          </w:p>
        </w:tc>
        <w:tc>
          <w:tcPr>
            <w:tcW w:w="1736"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rPr>
              <w:t>1.0</w:t>
            </w:r>
          </w:p>
        </w:tc>
        <w:tc>
          <w:tcPr>
            <w:tcW w:w="1737" w:type="dxa"/>
            <w:tcBorders>
              <w:top w:val="single" w:sz="4" w:space="0" w:color="auto"/>
              <w:left w:val="single" w:sz="4" w:space="0" w:color="auto"/>
              <w:bottom w:val="single" w:sz="4" w:space="0" w:color="auto"/>
              <w:right w:val="single" w:sz="4" w:space="0" w:color="auto"/>
            </w:tcBorders>
            <w:vAlign w:val="center"/>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rPr>
              <w:t>0</w:t>
            </w:r>
            <w:r w:rsidRPr="002C0A36">
              <w:rPr>
                <w:rFonts w:cs="Calibri"/>
                <w:b w:val="0"/>
                <w:bCs/>
                <w:color w:val="000000"/>
                <w:sz w:val="18"/>
                <w:szCs w:val="18"/>
                <w:lang w:val="hy-AM"/>
              </w:rPr>
              <w:t>.</w:t>
            </w:r>
            <w:r w:rsidRPr="002C0A36">
              <w:rPr>
                <w:rFonts w:cs="Calibri"/>
                <w:b w:val="0"/>
                <w:bCs/>
                <w:color w:val="000000"/>
                <w:sz w:val="18"/>
                <w:szCs w:val="18"/>
              </w:rPr>
              <w:t>7</w:t>
            </w:r>
          </w:p>
        </w:tc>
        <w:tc>
          <w:tcPr>
            <w:tcW w:w="1736" w:type="dxa"/>
            <w:tcBorders>
              <w:top w:val="single" w:sz="4" w:space="0" w:color="auto"/>
              <w:left w:val="single" w:sz="4" w:space="0" w:color="auto"/>
              <w:bottom w:val="single" w:sz="4" w:space="0" w:color="auto"/>
              <w:right w:val="single" w:sz="4" w:space="0" w:color="auto"/>
            </w:tcBorders>
            <w:vAlign w:val="center"/>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rPr>
              <w:t>1.2</w:t>
            </w:r>
          </w:p>
        </w:tc>
        <w:tc>
          <w:tcPr>
            <w:tcW w:w="1737" w:type="dxa"/>
            <w:tcBorders>
              <w:top w:val="single" w:sz="4" w:space="0" w:color="auto"/>
              <w:left w:val="single" w:sz="4" w:space="0" w:color="auto"/>
              <w:bottom w:val="single" w:sz="4" w:space="0" w:color="auto"/>
              <w:right w:val="single" w:sz="12" w:space="0" w:color="auto"/>
            </w:tcBorders>
            <w:vAlign w:val="center"/>
            <w:hideMark/>
          </w:tcPr>
          <w:p w:rsidR="002C0A36" w:rsidRPr="002C0A36" w:rsidRDefault="002C0A36" w:rsidP="007730AA">
            <w:pPr>
              <w:spacing w:before="0" w:line="276" w:lineRule="auto"/>
              <w:ind w:firstLine="0"/>
              <w:contextualSpacing w:val="0"/>
              <w:jc w:val="left"/>
              <w:rPr>
                <w:rFonts w:cs="Calibri"/>
                <w:b w:val="0"/>
                <w:sz w:val="18"/>
                <w:szCs w:val="18"/>
              </w:rPr>
            </w:pPr>
            <w:r w:rsidRPr="002C0A36">
              <w:rPr>
                <w:rFonts w:cs="Calibri"/>
                <w:b w:val="0"/>
                <w:sz w:val="18"/>
                <w:szCs w:val="18"/>
              </w:rPr>
              <w:t>Առավելագույնը 1</w:t>
            </w:r>
          </w:p>
        </w:tc>
      </w:tr>
      <w:tr w:rsidR="002C0A36" w:rsidRPr="00130243" w:rsidTr="00E34E04">
        <w:trPr>
          <w:trHeight w:val="1131"/>
        </w:trPr>
        <w:tc>
          <w:tcPr>
            <w:tcW w:w="2835" w:type="dxa"/>
            <w:tcBorders>
              <w:top w:val="single" w:sz="4" w:space="0" w:color="auto"/>
              <w:left w:val="single" w:sz="12"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rFonts w:cs="Calibri"/>
                <w:b w:val="0"/>
                <w:sz w:val="18"/>
                <w:szCs w:val="18"/>
              </w:rPr>
            </w:pPr>
            <w:r w:rsidRPr="002C0A36">
              <w:rPr>
                <w:rFonts w:cs="Calibri"/>
                <w:b w:val="0"/>
                <w:sz w:val="18"/>
                <w:szCs w:val="18"/>
              </w:rPr>
              <w:t>Z միավոր</w:t>
            </w:r>
          </w:p>
        </w:tc>
        <w:tc>
          <w:tcPr>
            <w:tcW w:w="1736"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rPr>
              <w:t>1.23</w:t>
            </w:r>
          </w:p>
        </w:tc>
        <w:tc>
          <w:tcPr>
            <w:tcW w:w="1737"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tcPr>
          <w:p w:rsidR="002C0A36" w:rsidRPr="002C0A36" w:rsidRDefault="002C0A36" w:rsidP="007730AA">
            <w:pPr>
              <w:spacing w:before="0" w:line="276" w:lineRule="auto"/>
              <w:ind w:firstLine="709"/>
              <w:contextualSpacing w:val="0"/>
              <w:jc w:val="center"/>
              <w:rPr>
                <w:rFonts w:cs="Calibri"/>
                <w:b w:val="0"/>
                <w:bCs/>
                <w:color w:val="000000"/>
                <w:sz w:val="18"/>
                <w:szCs w:val="18"/>
              </w:rPr>
            </w:pPr>
            <w:r w:rsidRPr="002C0A36">
              <w:rPr>
                <w:rFonts w:cs="Calibri"/>
                <w:b w:val="0"/>
                <w:bCs/>
                <w:color w:val="000000"/>
                <w:sz w:val="18"/>
                <w:szCs w:val="18"/>
              </w:rPr>
              <w:t>1</w:t>
            </w:r>
            <w:r w:rsidRPr="002C0A36">
              <w:rPr>
                <w:rFonts w:cs="Calibri"/>
                <w:b w:val="0"/>
                <w:bCs/>
                <w:color w:val="000000"/>
                <w:sz w:val="18"/>
                <w:szCs w:val="18"/>
                <w:lang w:val="hy-AM"/>
              </w:rPr>
              <w:t>.</w:t>
            </w:r>
            <w:r w:rsidRPr="002C0A36">
              <w:rPr>
                <w:rFonts w:cs="Calibri"/>
                <w:b w:val="0"/>
                <w:bCs/>
                <w:color w:val="000000"/>
                <w:sz w:val="18"/>
                <w:szCs w:val="18"/>
              </w:rPr>
              <w:t>4</w:t>
            </w:r>
          </w:p>
        </w:tc>
        <w:tc>
          <w:tcPr>
            <w:tcW w:w="1736"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tcPr>
          <w:p w:rsidR="002C0A36" w:rsidRPr="002C0A36" w:rsidRDefault="002C0A36" w:rsidP="007730AA">
            <w:pPr>
              <w:spacing w:before="0" w:line="276" w:lineRule="auto"/>
              <w:ind w:firstLine="709"/>
              <w:contextualSpacing w:val="0"/>
              <w:jc w:val="center"/>
              <w:rPr>
                <w:rFonts w:cs="Calibri"/>
                <w:b w:val="0"/>
                <w:bCs/>
                <w:color w:val="000000"/>
                <w:sz w:val="18"/>
                <w:szCs w:val="18"/>
                <w:lang w:val="hy-AM"/>
              </w:rPr>
            </w:pPr>
            <w:r w:rsidRPr="002C0A36">
              <w:rPr>
                <w:rFonts w:cs="Calibri"/>
                <w:b w:val="0"/>
                <w:bCs/>
                <w:color w:val="000000"/>
                <w:sz w:val="18"/>
                <w:szCs w:val="18"/>
                <w:lang w:val="hy-AM"/>
              </w:rPr>
              <w:t>1.65</w:t>
            </w:r>
          </w:p>
        </w:tc>
        <w:tc>
          <w:tcPr>
            <w:tcW w:w="1737" w:type="dxa"/>
            <w:tcBorders>
              <w:top w:val="single" w:sz="4" w:space="0" w:color="auto"/>
              <w:left w:val="single" w:sz="4" w:space="0" w:color="auto"/>
              <w:bottom w:val="single" w:sz="12" w:space="0" w:color="auto"/>
              <w:right w:val="single" w:sz="12"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rFonts w:cs="Calibri"/>
                <w:b w:val="0"/>
                <w:sz w:val="18"/>
                <w:szCs w:val="18"/>
                <w:lang w:val="hy-AM"/>
              </w:rPr>
            </w:pPr>
            <w:r w:rsidRPr="002C0A36">
              <w:rPr>
                <w:rFonts w:cs="Calibri"/>
                <w:b w:val="0"/>
                <w:sz w:val="18"/>
                <w:szCs w:val="18"/>
                <w:lang w:val="hy-AM"/>
              </w:rPr>
              <w:t>Ապահով գոտի՝  Z&gt;2.6,Գորշ գոտի` 1.1&lt;Z&lt;2.6,Ծանր գոտի`    Z&lt;1.1:</w:t>
            </w:r>
          </w:p>
        </w:tc>
      </w:tr>
    </w:tbl>
    <w:p w:rsidR="002C0A36" w:rsidRPr="002C0A36" w:rsidRDefault="002C0A36" w:rsidP="007730AA">
      <w:pPr>
        <w:spacing w:before="0" w:line="276" w:lineRule="auto"/>
        <w:ind w:firstLine="709"/>
        <w:contextualSpacing w:val="0"/>
        <w:jc w:val="left"/>
        <w:rPr>
          <w:rFonts w:ascii="Calibri" w:hAnsi="Calibri"/>
          <w:b w:val="0"/>
          <w:szCs w:val="22"/>
          <w:lang w:val="hy-AM"/>
        </w:rPr>
      </w:pPr>
    </w:p>
    <w:p w:rsidR="002C0A36" w:rsidRPr="002C0A36" w:rsidRDefault="002C0A36" w:rsidP="007730AA">
      <w:pPr>
        <w:spacing w:before="0" w:line="276" w:lineRule="auto"/>
        <w:ind w:firstLine="709"/>
        <w:contextualSpacing w:val="0"/>
        <w:rPr>
          <w:rFonts w:eastAsia="Calibri"/>
          <w:b w:val="0"/>
          <w:szCs w:val="22"/>
          <w:lang w:val="hy-AM"/>
        </w:rPr>
      </w:pPr>
      <w:r w:rsidRPr="002C0A36">
        <w:rPr>
          <w:b w:val="0"/>
          <w:szCs w:val="22"/>
          <w:lang w:val="hy-AM"/>
        </w:rPr>
        <w:t>Ինչպես երևում է աղյուսակից հաշվետու և միջանկյալ ժամանակաշրջաններում սնանկացման կանխատեսման Ալթմանի Z-միավորը վկայում է Ընկերությունների ֆինանսական վիճակի վատթարացման միջին հավանականության մասին (համապատասխանաբար՝ Z=1.4 և Z=1.65, գտնվում են սահմանված գորշ գոտում 1.1&lt;Z&lt;2.6)</w:t>
      </w:r>
      <w:r w:rsidRPr="002C0A36">
        <w:rPr>
          <w:rFonts w:eastAsia="Calibri"/>
          <w:b w:val="0"/>
          <w:szCs w:val="22"/>
          <w:lang w:val="hy-AM"/>
        </w:rPr>
        <w:t>:</w:t>
      </w:r>
    </w:p>
    <w:p w:rsidR="002C0A36" w:rsidRPr="002C0A36" w:rsidRDefault="002C0A36" w:rsidP="007730AA">
      <w:pPr>
        <w:spacing w:before="0" w:line="276" w:lineRule="auto"/>
        <w:ind w:firstLine="709"/>
        <w:contextualSpacing w:val="0"/>
        <w:rPr>
          <w:b w:val="0"/>
          <w:szCs w:val="22"/>
          <w:lang w:val="hy-AM"/>
        </w:rPr>
      </w:pPr>
      <w:r w:rsidRPr="002C0A36">
        <w:rPr>
          <w:b w:val="0"/>
          <w:szCs w:val="22"/>
          <w:lang w:val="hy-AM"/>
        </w:rPr>
        <w:t>Հաշվետու ժամանակաշրջանում ստուգաճշտող լրացուցիչ ֆինանսական վեց գործակիցներից մեկը, իսկ միջանկյալ ժամանակաշրջանում երեքը չեն համապատասխանում միջազ</w:t>
      </w:r>
      <w:r w:rsidRPr="002C0A36">
        <w:rPr>
          <w:b w:val="0"/>
          <w:szCs w:val="22"/>
          <w:lang w:val="hy-AM"/>
        </w:rPr>
        <w:softHyphen/>
        <w:t xml:space="preserve">գային պրակտիկայում ընդունված թույլատրելի սահմանային նորմային: </w:t>
      </w:r>
    </w:p>
    <w:p w:rsidR="002C0A36" w:rsidRPr="002C0A36" w:rsidRDefault="002C0A36" w:rsidP="007730AA">
      <w:pPr>
        <w:spacing w:before="0" w:line="276" w:lineRule="auto"/>
        <w:ind w:firstLine="709"/>
        <w:contextualSpacing w:val="0"/>
        <w:rPr>
          <w:b w:val="0"/>
          <w:szCs w:val="22"/>
          <w:lang w:val="hy-AM"/>
        </w:rPr>
      </w:pPr>
      <w:r w:rsidRPr="002C0A36">
        <w:rPr>
          <w:b w:val="0"/>
          <w:szCs w:val="22"/>
          <w:lang w:val="hy-AM"/>
        </w:rPr>
        <w:t xml:space="preserve">Զուտ շահույթի մարժան բնութագրում է բիզնեսի գործառնական արդյունավետությունը: </w:t>
      </w:r>
    </w:p>
    <w:p w:rsidR="002C0A36" w:rsidRPr="002C0A36" w:rsidRDefault="002C0A36" w:rsidP="007730AA">
      <w:pPr>
        <w:spacing w:before="0" w:line="276" w:lineRule="auto"/>
        <w:ind w:firstLine="709"/>
        <w:contextualSpacing w:val="0"/>
        <w:rPr>
          <w:rFonts w:eastAsia="Calibri"/>
          <w:b w:val="0"/>
          <w:szCs w:val="22"/>
          <w:lang w:val="hy-AM"/>
        </w:rPr>
      </w:pPr>
      <w:r w:rsidRPr="002C0A36">
        <w:rPr>
          <w:b w:val="0"/>
          <w:szCs w:val="22"/>
          <w:lang w:val="hy-AM"/>
        </w:rPr>
        <w:t>Հաշվետու ժամանակաշրջանում նախորդ ժամանակաշրջանի նկատմամբ այս ցուցանիշը ցուցաբերել է նվազման դինամիկա և 4.8 տոկոսային կետով պակաս է պրակտիկայում կիրառ</w:t>
      </w:r>
      <w:r w:rsidRPr="002C0A36">
        <w:rPr>
          <w:b w:val="0"/>
          <w:szCs w:val="22"/>
          <w:lang w:val="hy-AM"/>
        </w:rPr>
        <w:softHyphen/>
        <w:t>վող նվազագույն նորմայից,</w:t>
      </w:r>
      <w:r w:rsidRPr="002C0A36">
        <w:rPr>
          <w:rFonts w:eastAsia="Calibri" w:cs="Arial"/>
          <w:b w:val="0"/>
          <w:szCs w:val="22"/>
          <w:lang w:val="hy-AM"/>
        </w:rPr>
        <w:t xml:space="preserve"> իսկ միջանկյալ ժամանակաշրջանում ցուցաբերել</w:t>
      </w:r>
      <w:r w:rsidRPr="002C0A36">
        <w:rPr>
          <w:rFonts w:eastAsia="Calibri"/>
          <w:b w:val="0"/>
          <w:szCs w:val="22"/>
          <w:lang w:val="hy-AM"/>
        </w:rPr>
        <w:t xml:space="preserve"> </w:t>
      </w:r>
      <w:r w:rsidRPr="002C0A36">
        <w:rPr>
          <w:rFonts w:eastAsia="Calibri" w:cs="Arial"/>
          <w:b w:val="0"/>
          <w:szCs w:val="22"/>
          <w:lang w:val="hy-AM"/>
        </w:rPr>
        <w:t>է</w:t>
      </w:r>
      <w:r w:rsidRPr="002C0A36">
        <w:rPr>
          <w:rFonts w:eastAsia="Calibri"/>
          <w:b w:val="0"/>
          <w:szCs w:val="22"/>
          <w:lang w:val="hy-AM"/>
        </w:rPr>
        <w:t xml:space="preserve"> դրական </w:t>
      </w:r>
      <w:r w:rsidRPr="002C0A36">
        <w:rPr>
          <w:rFonts w:eastAsia="Calibri" w:cs="Arial"/>
          <w:b w:val="0"/>
          <w:szCs w:val="22"/>
          <w:lang w:val="hy-AM"/>
        </w:rPr>
        <w:t>դինամիկա</w:t>
      </w:r>
      <w:r w:rsidRPr="002C0A36">
        <w:rPr>
          <w:rFonts w:eastAsia="Calibri"/>
          <w:b w:val="0"/>
          <w:szCs w:val="22"/>
          <w:lang w:val="hy-AM"/>
        </w:rPr>
        <w:t xml:space="preserve"> և </w:t>
      </w:r>
      <w:r w:rsidRPr="002C0A36">
        <w:rPr>
          <w:rFonts w:eastAsia="Calibri" w:cs="Arial"/>
          <w:b w:val="0"/>
          <w:szCs w:val="22"/>
          <w:lang w:val="hy-AM"/>
        </w:rPr>
        <w:t>կազմել է 3,9 տոկոսային կետ, որը դեռևս 4,1 տոկոսային</w:t>
      </w:r>
      <w:r w:rsidRPr="002C0A36">
        <w:rPr>
          <w:rFonts w:eastAsia="Calibri"/>
          <w:b w:val="0"/>
          <w:szCs w:val="22"/>
          <w:lang w:val="hy-AM"/>
        </w:rPr>
        <w:t xml:space="preserve"> </w:t>
      </w:r>
      <w:r w:rsidRPr="002C0A36">
        <w:rPr>
          <w:rFonts w:eastAsia="Calibri" w:cs="Arial"/>
          <w:b w:val="0"/>
          <w:szCs w:val="22"/>
          <w:lang w:val="hy-AM"/>
        </w:rPr>
        <w:t>կետով</w:t>
      </w:r>
      <w:r w:rsidRPr="002C0A36">
        <w:rPr>
          <w:rFonts w:eastAsia="Calibri"/>
          <w:b w:val="0"/>
          <w:szCs w:val="22"/>
          <w:lang w:val="hy-AM"/>
        </w:rPr>
        <w:t xml:space="preserve"> </w:t>
      </w:r>
      <w:r w:rsidRPr="002C0A36">
        <w:rPr>
          <w:rFonts w:eastAsia="Calibri" w:cs="Arial"/>
          <w:b w:val="0"/>
          <w:szCs w:val="22"/>
          <w:lang w:val="hy-AM"/>
        </w:rPr>
        <w:t>պակաս</w:t>
      </w:r>
      <w:r w:rsidRPr="002C0A36">
        <w:rPr>
          <w:rFonts w:eastAsia="Calibri"/>
          <w:b w:val="0"/>
          <w:szCs w:val="22"/>
          <w:lang w:val="hy-AM"/>
        </w:rPr>
        <w:t xml:space="preserve"> </w:t>
      </w:r>
      <w:r w:rsidRPr="002C0A36">
        <w:rPr>
          <w:rFonts w:eastAsia="Calibri" w:cs="Arial"/>
          <w:b w:val="0"/>
          <w:szCs w:val="22"/>
          <w:lang w:val="hy-AM"/>
        </w:rPr>
        <w:t>է</w:t>
      </w:r>
      <w:r w:rsidRPr="002C0A36">
        <w:rPr>
          <w:rFonts w:eastAsia="Calibri"/>
          <w:b w:val="0"/>
          <w:szCs w:val="22"/>
          <w:lang w:val="hy-AM"/>
        </w:rPr>
        <w:t xml:space="preserve"> </w:t>
      </w:r>
      <w:r w:rsidRPr="002C0A36">
        <w:rPr>
          <w:rFonts w:eastAsia="Calibri" w:cs="Arial"/>
          <w:b w:val="0"/>
          <w:szCs w:val="22"/>
          <w:lang w:val="hy-AM"/>
        </w:rPr>
        <w:t>պրակտիկայում</w:t>
      </w:r>
      <w:r w:rsidRPr="002C0A36">
        <w:rPr>
          <w:rFonts w:eastAsia="Calibri"/>
          <w:b w:val="0"/>
          <w:szCs w:val="22"/>
          <w:lang w:val="hy-AM"/>
        </w:rPr>
        <w:t xml:space="preserve"> </w:t>
      </w:r>
      <w:r w:rsidRPr="002C0A36">
        <w:rPr>
          <w:rFonts w:eastAsia="Calibri" w:cs="Arial"/>
          <w:b w:val="0"/>
          <w:szCs w:val="22"/>
          <w:lang w:val="hy-AM"/>
        </w:rPr>
        <w:t>կիրառ</w:t>
      </w:r>
      <w:r w:rsidRPr="002C0A36">
        <w:rPr>
          <w:rFonts w:eastAsia="Calibri"/>
          <w:b w:val="0"/>
          <w:szCs w:val="22"/>
          <w:lang w:val="hy-AM"/>
        </w:rPr>
        <w:softHyphen/>
      </w:r>
      <w:r w:rsidRPr="002C0A36">
        <w:rPr>
          <w:rFonts w:eastAsia="Calibri" w:cs="Arial"/>
          <w:b w:val="0"/>
          <w:szCs w:val="22"/>
          <w:lang w:val="hy-AM"/>
        </w:rPr>
        <w:t>վող</w:t>
      </w:r>
      <w:r w:rsidRPr="002C0A36">
        <w:rPr>
          <w:rFonts w:eastAsia="Calibri"/>
          <w:b w:val="0"/>
          <w:szCs w:val="22"/>
          <w:lang w:val="hy-AM"/>
        </w:rPr>
        <w:t xml:space="preserve"> </w:t>
      </w:r>
      <w:r w:rsidRPr="002C0A36">
        <w:rPr>
          <w:rFonts w:eastAsia="Calibri" w:cs="Arial"/>
          <w:b w:val="0"/>
          <w:szCs w:val="22"/>
          <w:lang w:val="hy-AM"/>
        </w:rPr>
        <w:t>նվազագույն</w:t>
      </w:r>
      <w:r w:rsidRPr="002C0A36">
        <w:rPr>
          <w:rFonts w:eastAsia="Calibri"/>
          <w:b w:val="0"/>
          <w:szCs w:val="22"/>
          <w:lang w:val="hy-AM"/>
        </w:rPr>
        <w:t xml:space="preserve"> </w:t>
      </w:r>
      <w:r w:rsidRPr="002C0A36">
        <w:rPr>
          <w:rFonts w:eastAsia="Calibri" w:cs="Arial"/>
          <w:b w:val="0"/>
          <w:szCs w:val="22"/>
          <w:lang w:val="hy-AM"/>
        </w:rPr>
        <w:t>նորմայից</w:t>
      </w:r>
      <w:r w:rsidRPr="002C0A36">
        <w:rPr>
          <w:rFonts w:eastAsia="Calibri"/>
          <w:b w:val="0"/>
          <w:szCs w:val="22"/>
          <w:lang w:val="hy-AM"/>
        </w:rPr>
        <w:t>:</w:t>
      </w:r>
    </w:p>
    <w:p w:rsidR="002C0A36" w:rsidRPr="002C0A36" w:rsidRDefault="002C0A36" w:rsidP="007730AA">
      <w:pPr>
        <w:spacing w:before="0" w:line="276" w:lineRule="auto"/>
        <w:ind w:firstLine="709"/>
        <w:contextualSpacing w:val="0"/>
        <w:rPr>
          <w:rFonts w:eastAsia="Calibri"/>
          <w:b w:val="0"/>
          <w:szCs w:val="22"/>
          <w:lang w:val="hy-AM"/>
        </w:rPr>
      </w:pPr>
      <w:r w:rsidRPr="002C0A36">
        <w:rPr>
          <w:b w:val="0"/>
          <w:szCs w:val="22"/>
          <w:lang w:val="hy-AM"/>
        </w:rPr>
        <w:t xml:space="preserve">Արագ իրացվելիության գործակիցը հաշվետու ժամանակաշրջանում նախորդ ժամանակաշրջանի նկատմամբ ցուցաբերել է դրական դինամիկա և կազմել 2.8, </w:t>
      </w:r>
      <w:r w:rsidRPr="002C0A36">
        <w:rPr>
          <w:rFonts w:eastAsia="Calibri" w:cs="Arial"/>
          <w:b w:val="0"/>
          <w:szCs w:val="22"/>
          <w:lang w:val="hy-AM"/>
        </w:rPr>
        <w:t>իսկ</w:t>
      </w:r>
      <w:r w:rsidRPr="002C0A36">
        <w:rPr>
          <w:rFonts w:eastAsia="Calibri" w:cs="Arial"/>
          <w:b w:val="0"/>
          <w:szCs w:val="22"/>
          <w:lang w:val="ro-RO"/>
        </w:rPr>
        <w:t xml:space="preserve"> </w:t>
      </w:r>
      <w:r w:rsidRPr="002C0A36">
        <w:rPr>
          <w:rFonts w:eastAsia="Calibri" w:cs="Arial"/>
          <w:b w:val="0"/>
          <w:szCs w:val="22"/>
          <w:lang w:val="hy-AM"/>
        </w:rPr>
        <w:t>միջանկյալ</w:t>
      </w:r>
      <w:r w:rsidRPr="002C0A36">
        <w:rPr>
          <w:rFonts w:eastAsia="Calibri" w:cs="Arial"/>
          <w:b w:val="0"/>
          <w:szCs w:val="22"/>
          <w:lang w:val="ro-RO"/>
        </w:rPr>
        <w:t xml:space="preserve"> </w:t>
      </w:r>
      <w:r w:rsidRPr="002C0A36">
        <w:rPr>
          <w:rFonts w:eastAsia="Calibri" w:cs="Arial"/>
          <w:b w:val="0"/>
          <w:szCs w:val="22"/>
          <w:lang w:val="hy-AM"/>
        </w:rPr>
        <w:t>ժամանակաշրջանում</w:t>
      </w:r>
      <w:r w:rsidRPr="002C0A36">
        <w:rPr>
          <w:rFonts w:eastAsia="Calibri" w:cs="Arial"/>
          <w:b w:val="0"/>
          <w:szCs w:val="22"/>
          <w:lang w:val="ro-RO"/>
        </w:rPr>
        <w:t xml:space="preserve"> </w:t>
      </w:r>
      <w:r w:rsidRPr="002C0A36">
        <w:rPr>
          <w:rFonts w:eastAsia="Calibri" w:cs="Arial"/>
          <w:b w:val="0"/>
          <w:szCs w:val="22"/>
          <w:lang w:val="hy-AM"/>
        </w:rPr>
        <w:t>կազմել</w:t>
      </w:r>
      <w:r w:rsidRPr="002C0A36">
        <w:rPr>
          <w:rFonts w:eastAsia="Calibri" w:cs="Arial"/>
          <w:b w:val="0"/>
          <w:szCs w:val="22"/>
          <w:lang w:val="ro-RO"/>
        </w:rPr>
        <w:t xml:space="preserve"> </w:t>
      </w:r>
      <w:r w:rsidRPr="002C0A36">
        <w:rPr>
          <w:rFonts w:eastAsia="Calibri" w:cs="Arial"/>
          <w:b w:val="0"/>
          <w:szCs w:val="22"/>
          <w:lang w:val="hy-AM"/>
        </w:rPr>
        <w:t>2</w:t>
      </w:r>
      <w:r w:rsidRPr="002C0A36">
        <w:rPr>
          <w:rFonts w:ascii="Cambria Math" w:eastAsia="Calibri" w:hAnsi="Cambria Math" w:cs="Cambria Math"/>
          <w:b w:val="0"/>
          <w:szCs w:val="22"/>
          <w:lang w:val="hy-AM"/>
        </w:rPr>
        <w:t>․</w:t>
      </w:r>
      <w:r w:rsidRPr="002C0A36">
        <w:rPr>
          <w:rFonts w:eastAsia="Calibri" w:cs="Arial"/>
          <w:b w:val="0"/>
          <w:szCs w:val="22"/>
          <w:lang w:val="hy-AM"/>
        </w:rPr>
        <w:t xml:space="preserve">5, </w:t>
      </w:r>
      <w:r w:rsidRPr="002C0A36">
        <w:rPr>
          <w:b w:val="0"/>
          <w:szCs w:val="22"/>
          <w:lang w:val="hy-AM"/>
        </w:rPr>
        <w:t>որը փաստում է, որ Ընկերություները արագ իրաց</w:t>
      </w:r>
      <w:r w:rsidRPr="002C0A36">
        <w:rPr>
          <w:b w:val="0"/>
          <w:szCs w:val="22"/>
          <w:lang w:val="hy-AM"/>
        </w:rPr>
        <w:softHyphen/>
        <w:t>վելի ընթացիկ ակտիվների հաշվին կարող են մարել իրենց ընթացիկ պարտավորությունները</w:t>
      </w:r>
      <w:r w:rsidRPr="002C0A36">
        <w:rPr>
          <w:rFonts w:eastAsia="Calibri"/>
          <w:b w:val="0"/>
          <w:szCs w:val="22"/>
          <w:lang w:val="hy-AM"/>
        </w:rPr>
        <w:t xml:space="preserve">: </w:t>
      </w:r>
    </w:p>
    <w:p w:rsidR="002C0A36" w:rsidRPr="002C0A36" w:rsidRDefault="002C0A36" w:rsidP="007730AA">
      <w:pPr>
        <w:spacing w:before="0" w:line="276" w:lineRule="auto"/>
        <w:ind w:firstLine="709"/>
        <w:contextualSpacing w:val="0"/>
        <w:rPr>
          <w:b w:val="0"/>
          <w:szCs w:val="22"/>
          <w:lang w:val="hy-AM"/>
        </w:rPr>
      </w:pPr>
      <w:r w:rsidRPr="002C0A36">
        <w:rPr>
          <w:b w:val="0"/>
          <w:szCs w:val="22"/>
          <w:lang w:val="hy-AM"/>
        </w:rPr>
        <w:tab/>
        <w:t>Վերաֆինանսավորման գործակիցը հաշվետու ժամանակաշրջանում նախորդ ժամանակաշրջանի նկատմամբ նվազել է 0.3 կետով և կազմել է 0.7, որը փաստում է, որ որոշ Ընկերու</w:t>
      </w:r>
      <w:r w:rsidRPr="002C0A36">
        <w:rPr>
          <w:b w:val="0"/>
          <w:szCs w:val="22"/>
          <w:lang w:val="hy-AM"/>
        </w:rPr>
        <w:softHyphen/>
        <w:t>թյուններն ի վիճակի են գործառնություններից ստացվող իրենց դրամական հոսքերի հաշվին կատարել իրենց ընթացիկ պարտավորությունները</w:t>
      </w:r>
      <w:r w:rsidRPr="002C0A36">
        <w:rPr>
          <w:rFonts w:eastAsia="Calibri"/>
          <w:b w:val="0"/>
          <w:szCs w:val="22"/>
          <w:lang w:val="hy-AM"/>
        </w:rPr>
        <w:t>, իսկ</w:t>
      </w:r>
      <w:r w:rsidRPr="002C0A36">
        <w:rPr>
          <w:rFonts w:eastAsia="Calibri"/>
          <w:b w:val="0"/>
          <w:szCs w:val="22"/>
          <w:lang w:val="ro-RO"/>
        </w:rPr>
        <w:t xml:space="preserve"> </w:t>
      </w:r>
      <w:r w:rsidRPr="002C0A36">
        <w:rPr>
          <w:rFonts w:eastAsia="Calibri"/>
          <w:b w:val="0"/>
          <w:szCs w:val="22"/>
          <w:lang w:val="hy-AM"/>
        </w:rPr>
        <w:t>միջանկյալ</w:t>
      </w:r>
      <w:r w:rsidRPr="002C0A36">
        <w:rPr>
          <w:rFonts w:eastAsia="Calibri"/>
          <w:b w:val="0"/>
          <w:szCs w:val="22"/>
          <w:lang w:val="ro-RO"/>
        </w:rPr>
        <w:t xml:space="preserve"> </w:t>
      </w:r>
      <w:r w:rsidRPr="002C0A36">
        <w:rPr>
          <w:rFonts w:eastAsia="Calibri"/>
          <w:b w:val="0"/>
          <w:szCs w:val="22"/>
          <w:lang w:val="hy-AM"/>
        </w:rPr>
        <w:t>ժամանակաշրջանում</w:t>
      </w:r>
      <w:r w:rsidRPr="002C0A36">
        <w:rPr>
          <w:rFonts w:eastAsia="Calibri"/>
          <w:b w:val="0"/>
          <w:szCs w:val="22"/>
          <w:lang w:val="ro-RO"/>
        </w:rPr>
        <w:t xml:space="preserve"> </w:t>
      </w:r>
      <w:r w:rsidRPr="002C0A36">
        <w:rPr>
          <w:rFonts w:eastAsia="Calibri"/>
          <w:b w:val="0"/>
          <w:szCs w:val="22"/>
          <w:lang w:val="hy-AM"/>
        </w:rPr>
        <w:t>կազմել</w:t>
      </w:r>
      <w:r w:rsidRPr="002C0A36">
        <w:rPr>
          <w:rFonts w:eastAsia="Calibri"/>
          <w:b w:val="0"/>
          <w:szCs w:val="22"/>
          <w:lang w:val="ro-RO"/>
        </w:rPr>
        <w:t xml:space="preserve"> </w:t>
      </w:r>
      <w:r w:rsidRPr="002C0A36">
        <w:rPr>
          <w:rFonts w:eastAsia="Calibri"/>
          <w:b w:val="0"/>
          <w:szCs w:val="22"/>
          <w:lang w:val="hy-AM"/>
        </w:rPr>
        <w:t>է</w:t>
      </w:r>
      <w:r w:rsidRPr="002C0A36">
        <w:rPr>
          <w:rFonts w:eastAsia="Calibri"/>
          <w:b w:val="0"/>
          <w:szCs w:val="22"/>
          <w:lang w:val="ro-RO"/>
        </w:rPr>
        <w:t xml:space="preserve"> </w:t>
      </w:r>
      <w:r w:rsidRPr="002C0A36">
        <w:rPr>
          <w:rFonts w:eastAsia="Calibri"/>
          <w:b w:val="0"/>
          <w:szCs w:val="22"/>
          <w:lang w:val="hy-AM"/>
        </w:rPr>
        <w:t>1</w:t>
      </w:r>
      <w:r w:rsidRPr="002C0A36">
        <w:rPr>
          <w:rFonts w:ascii="Cambria Math" w:eastAsia="Calibri" w:hAnsi="Cambria Math" w:cs="Cambria Math"/>
          <w:b w:val="0"/>
          <w:szCs w:val="22"/>
          <w:lang w:val="hy-AM"/>
        </w:rPr>
        <w:t>․</w:t>
      </w:r>
      <w:r w:rsidRPr="002C0A36">
        <w:rPr>
          <w:rFonts w:eastAsia="Calibri"/>
          <w:b w:val="0"/>
          <w:szCs w:val="22"/>
          <w:lang w:val="hy-AM"/>
        </w:rPr>
        <w:t>2</w:t>
      </w:r>
      <w:r w:rsidRPr="002C0A36">
        <w:rPr>
          <w:b w:val="0"/>
          <w:szCs w:val="22"/>
          <w:lang w:val="hy-AM"/>
        </w:rPr>
        <w:t xml:space="preserve">: </w:t>
      </w:r>
    </w:p>
    <w:p w:rsidR="002C0A36" w:rsidRPr="002C0A36" w:rsidRDefault="002C0A36" w:rsidP="007730AA">
      <w:pPr>
        <w:spacing w:before="0" w:line="276" w:lineRule="auto"/>
        <w:ind w:firstLine="709"/>
        <w:contextualSpacing w:val="0"/>
        <w:rPr>
          <w:b w:val="0"/>
          <w:szCs w:val="22"/>
          <w:lang w:val="hy-AM"/>
        </w:rPr>
      </w:pPr>
      <w:r w:rsidRPr="002C0A36">
        <w:rPr>
          <w:b w:val="0"/>
          <w:szCs w:val="22"/>
          <w:lang w:val="hy-AM"/>
        </w:rPr>
        <w:t xml:space="preserve">Հաշվի առնելով, որ հաշվետու </w:t>
      </w:r>
      <w:r w:rsidRPr="002C0A36">
        <w:rPr>
          <w:rFonts w:eastAsia="Calibri" w:cs="Arial"/>
          <w:b w:val="0"/>
          <w:szCs w:val="22"/>
          <w:lang w:val="hy-AM"/>
        </w:rPr>
        <w:t xml:space="preserve">և միջանկյալ ժամանակաշրջաններում </w:t>
      </w:r>
      <w:r w:rsidRPr="002C0A36">
        <w:rPr>
          <w:b w:val="0"/>
          <w:szCs w:val="22"/>
          <w:lang w:val="hy-AM"/>
        </w:rPr>
        <w:t>Ընկերությունների ֆինանսական ծանր վիճակի հավանականությունը գնահատող Z-միավորը վկայում է Ընկերու</w:t>
      </w:r>
      <w:r w:rsidRPr="002C0A36">
        <w:rPr>
          <w:b w:val="0"/>
          <w:szCs w:val="22"/>
          <w:lang w:val="hy-AM"/>
        </w:rPr>
        <w:softHyphen/>
        <w:t xml:space="preserve">թյունների ֆինանսական միջին վիճակի հավանականության մասին (Z=1.4) և </w:t>
      </w:r>
      <w:r w:rsidRPr="002C0A36">
        <w:rPr>
          <w:rFonts w:eastAsia="Calibri"/>
          <w:b w:val="0"/>
          <w:szCs w:val="22"/>
          <w:lang w:val="hy-AM"/>
        </w:rPr>
        <w:t>(Z=1.65)</w:t>
      </w:r>
      <w:r w:rsidRPr="002C0A36">
        <w:rPr>
          <w:b w:val="0"/>
          <w:szCs w:val="22"/>
          <w:lang w:val="hy-AM"/>
        </w:rPr>
        <w:t xml:space="preserve">, իսկ լրացուցիչ վեց գործակիցներից հաշվետու </w:t>
      </w:r>
      <w:r w:rsidRPr="002C0A36">
        <w:rPr>
          <w:rFonts w:eastAsia="Calibri" w:cs="Arial"/>
          <w:b w:val="0"/>
          <w:szCs w:val="22"/>
          <w:lang w:val="hy-AM"/>
        </w:rPr>
        <w:t xml:space="preserve">ժամանակաշրջաններում </w:t>
      </w:r>
      <w:r w:rsidRPr="002C0A36">
        <w:rPr>
          <w:b w:val="0"/>
          <w:szCs w:val="22"/>
          <w:lang w:val="hy-AM"/>
        </w:rPr>
        <w:t xml:space="preserve">մեկը, </w:t>
      </w:r>
      <w:r w:rsidRPr="002C0A36">
        <w:rPr>
          <w:rFonts w:eastAsia="Calibri" w:cs="Arial"/>
          <w:b w:val="0"/>
          <w:szCs w:val="22"/>
          <w:lang w:val="hy-AM"/>
        </w:rPr>
        <w:t xml:space="preserve">միջանկյալ ժամանակաշրջաններում երեքը </w:t>
      </w:r>
      <w:r w:rsidRPr="002C0A36">
        <w:rPr>
          <w:b w:val="0"/>
          <w:szCs w:val="22"/>
          <w:lang w:val="hy-AM"/>
        </w:rPr>
        <w:t>չեն համապատասխանում միջազգային պրակտիկայում կիրառվող շեմային մակարդակին, հետևաբար Ընկերությունների ֆինանսական ծանր վիճակի հավանականության գնահատականը միջին է:</w:t>
      </w:r>
      <w:bookmarkEnd w:id="266"/>
    </w:p>
    <w:p w:rsidR="002C0A36" w:rsidRPr="002C0A36" w:rsidRDefault="002C0A36" w:rsidP="007730AA">
      <w:pPr>
        <w:spacing w:before="0" w:line="276" w:lineRule="auto"/>
        <w:ind w:firstLine="709"/>
        <w:contextualSpacing w:val="0"/>
        <w:rPr>
          <w:b w:val="0"/>
          <w:szCs w:val="22"/>
          <w:lang w:val="hy-AM"/>
        </w:rPr>
      </w:pPr>
    </w:p>
    <w:bookmarkEnd w:id="251"/>
    <w:p w:rsidR="002C0A36" w:rsidRPr="002C0A36" w:rsidRDefault="002C0A36" w:rsidP="007730AA">
      <w:pPr>
        <w:spacing w:before="0" w:line="276" w:lineRule="auto"/>
        <w:ind w:firstLine="709"/>
        <w:contextualSpacing w:val="0"/>
        <w:jc w:val="center"/>
        <w:rPr>
          <w:szCs w:val="22"/>
          <w:lang w:val="hy-AM"/>
        </w:rPr>
      </w:pPr>
      <w:r w:rsidRPr="002C0A36">
        <w:rPr>
          <w:szCs w:val="22"/>
          <w:lang w:val="hy-AM"/>
        </w:rPr>
        <w:t>Տրանսպորտի ոլորտի պետական մասնակցությամբ ընկերություններ</w:t>
      </w:r>
    </w:p>
    <w:p w:rsidR="002C0A36" w:rsidRPr="002C0A36" w:rsidRDefault="002C0A36" w:rsidP="007730AA">
      <w:pPr>
        <w:spacing w:before="0" w:line="276" w:lineRule="auto"/>
        <w:ind w:firstLine="709"/>
        <w:contextualSpacing w:val="0"/>
        <w:rPr>
          <w:b w:val="0"/>
          <w:szCs w:val="22"/>
          <w:lang w:val="hy-AM"/>
        </w:rPr>
      </w:pPr>
      <w:r w:rsidRPr="002C0A36">
        <w:rPr>
          <w:b w:val="0"/>
          <w:szCs w:val="22"/>
          <w:lang w:val="hy-AM"/>
        </w:rPr>
        <w:t>Տրանսպորտի ոլորտի դիտանցման ենթարկվող պետական մասնակցությամբ ընկերությունների գործունեության արդյունքում հարկա</w:t>
      </w:r>
      <w:r w:rsidRPr="002C0A36">
        <w:rPr>
          <w:b w:val="0"/>
          <w:szCs w:val="22"/>
          <w:lang w:val="hy-AM"/>
        </w:rPr>
        <w:softHyphen/>
        <w:t>բյուջե</w:t>
      </w:r>
      <w:r w:rsidRPr="002C0A36">
        <w:rPr>
          <w:b w:val="0"/>
          <w:szCs w:val="22"/>
          <w:lang w:val="hy-AM"/>
        </w:rPr>
        <w:softHyphen/>
      </w:r>
      <w:r w:rsidRPr="002C0A36">
        <w:rPr>
          <w:b w:val="0"/>
          <w:szCs w:val="22"/>
          <w:lang w:val="hy-AM"/>
        </w:rPr>
        <w:softHyphen/>
        <w:t>տային ռիսկերն են.</w:t>
      </w:r>
    </w:p>
    <w:p w:rsidR="002C0A36" w:rsidRPr="002C0A36" w:rsidRDefault="002C0A36" w:rsidP="007730AA">
      <w:pPr>
        <w:shd w:val="clear" w:color="auto" w:fill="FFFFFF"/>
        <w:spacing w:before="0" w:line="276" w:lineRule="auto"/>
        <w:ind w:firstLine="709"/>
        <w:contextualSpacing w:val="0"/>
        <w:rPr>
          <w:b w:val="0"/>
          <w:szCs w:val="22"/>
          <w:lang w:val="hy-AM"/>
        </w:rPr>
      </w:pPr>
      <w:r w:rsidRPr="002C0A36">
        <w:rPr>
          <w:b w:val="0"/>
          <w:szCs w:val="22"/>
          <w:lang w:val="hy-AM"/>
        </w:rPr>
        <w:t>● Ընկերությունների ֆինանսական վիճակի վատթարացման արդյունքում որպես ժամանակավոր օգնություն չնախատեսված բյուջետային վարկերի տրամադրման կամ սեփական կապիտալի համալրման համար բյուջետային հատկացումների անհրաժեշտության առաջացում,</w:t>
      </w:r>
    </w:p>
    <w:p w:rsidR="002C0A36" w:rsidRPr="002C0A36" w:rsidRDefault="002C0A36" w:rsidP="007730AA">
      <w:pPr>
        <w:shd w:val="clear" w:color="auto" w:fill="FFFFFF"/>
        <w:spacing w:before="0" w:line="276" w:lineRule="auto"/>
        <w:ind w:firstLine="709"/>
        <w:contextualSpacing w:val="0"/>
        <w:rPr>
          <w:b w:val="0"/>
          <w:szCs w:val="22"/>
          <w:lang w:val="hy-AM"/>
        </w:rPr>
      </w:pPr>
      <w:r w:rsidRPr="002C0A36">
        <w:rPr>
          <w:b w:val="0"/>
          <w:szCs w:val="22"/>
          <w:lang w:val="hy-AM"/>
        </w:rPr>
        <w:t>● Ընկերություններին չնախատեսված սուբսիդիաների տրամադրում կամ այլ վճարումներ կատարելու անհրաժեշտություն,</w:t>
      </w:r>
    </w:p>
    <w:p w:rsidR="002C0A36" w:rsidRPr="002C0A36" w:rsidRDefault="002C0A36" w:rsidP="007730AA">
      <w:pPr>
        <w:shd w:val="clear" w:color="auto" w:fill="FFFFFF"/>
        <w:spacing w:before="0" w:line="276" w:lineRule="auto"/>
        <w:ind w:firstLine="709"/>
        <w:contextualSpacing w:val="0"/>
        <w:rPr>
          <w:b w:val="0"/>
          <w:szCs w:val="22"/>
          <w:lang w:val="hy-AM"/>
        </w:rPr>
      </w:pPr>
      <w:r w:rsidRPr="002C0A36">
        <w:rPr>
          <w:b w:val="0"/>
          <w:szCs w:val="22"/>
          <w:lang w:val="hy-AM"/>
        </w:rPr>
        <w:t>● Ընկերություններից պետական բյուջեի մուտքերի կազմում նախատեսված շահութաբաժինների չստացում,</w:t>
      </w:r>
    </w:p>
    <w:p w:rsidR="002C0A36" w:rsidRPr="002C0A36" w:rsidRDefault="002C0A36" w:rsidP="007730AA">
      <w:pPr>
        <w:shd w:val="clear" w:color="auto" w:fill="FFFFFF"/>
        <w:spacing w:before="0" w:line="276" w:lineRule="auto"/>
        <w:ind w:firstLine="709"/>
        <w:contextualSpacing w:val="0"/>
        <w:rPr>
          <w:b w:val="0"/>
          <w:szCs w:val="22"/>
          <w:lang w:val="hy-AM"/>
        </w:rPr>
      </w:pPr>
      <w:r w:rsidRPr="002C0A36">
        <w:rPr>
          <w:b w:val="0"/>
          <w:szCs w:val="22"/>
          <w:lang w:val="hy-AM"/>
        </w:rPr>
        <w:t>● ՀՀ պետական բյուջեից Ընկերություններին տրամադրված վարկային միջոցների օգտագործման դիմաց հաշվարկված տոկոսների չվճարում և մայր գումարների չմարում:</w:t>
      </w:r>
    </w:p>
    <w:p w:rsidR="002C0A36" w:rsidRPr="002C0A36" w:rsidRDefault="002C0A36" w:rsidP="007730AA">
      <w:pPr>
        <w:shd w:val="clear" w:color="auto" w:fill="FFFFFF"/>
        <w:spacing w:before="0" w:line="276" w:lineRule="auto"/>
        <w:ind w:firstLine="709"/>
        <w:contextualSpacing w:val="0"/>
        <w:rPr>
          <w:rFonts w:ascii="Calibri" w:hAnsi="Calibri"/>
          <w:b w:val="0"/>
          <w:color w:val="000000"/>
          <w:szCs w:val="22"/>
          <w:lang w:val="hy-AM"/>
        </w:rPr>
      </w:pPr>
      <w:r w:rsidRPr="002C0A36">
        <w:rPr>
          <w:b w:val="0"/>
          <w:szCs w:val="22"/>
          <w:lang w:val="hy-AM"/>
        </w:rPr>
        <w:t xml:space="preserve">Հաշվետու ժամանակաշրջանում տրանսպորտի ոլորտի երեք պետական մասնակցությամբ ընկերությունների (այսուհետ` Ընկերություններ) հիմնական գործունեությունից ստացված հանրագումարային եկամուտները կազմել են 11.4 մլրդ դրամ` 2018թ. 11.8 մլրդ դրամի դիմաց կամ պակաս 0.4 մլրդ դրամով (3.4%), իսկ միջանկյալ ժամանակշրջանում՝ հանրագումարային եկամուտները կազմել են 3.4 մլրդ դրամ, նախորդ միջանկյալ ժամանակաշրջանի 4.73 մլրդ դրամի դիմաց կամ 1.36 մլրդ դրամով պակաս (28.7%): Հաշվետու ժամանակաշրջանում այդ Ընկերությունների հանրագումարային ծախսերը կազմելեն 8.7 մլրդ դրամ` նախորդ ժամանակաշրջանի 8.4 մլրդ դրամի դիմաց` կամ ավել 0.3 մլրդ դրամով (3.6%), իսկ միջանկյալ ժամանակաշրջանում հանրագումարային ծախսերը կազմել են 4.0 մլրդ դրամ: </w:t>
      </w:r>
    </w:p>
    <w:p w:rsidR="002C0A36" w:rsidRPr="002C0A36" w:rsidRDefault="002C0A36" w:rsidP="007730AA">
      <w:pPr>
        <w:spacing w:before="0" w:line="276" w:lineRule="auto"/>
        <w:ind w:firstLine="709"/>
        <w:contextualSpacing w:val="0"/>
        <w:rPr>
          <w:b w:val="0"/>
          <w:szCs w:val="22"/>
          <w:lang w:val="hy-AM"/>
        </w:rPr>
      </w:pPr>
      <w:r w:rsidRPr="002C0A36">
        <w:rPr>
          <w:b w:val="0"/>
          <w:color w:val="000000"/>
          <w:szCs w:val="22"/>
          <w:lang w:val="hy-AM"/>
        </w:rPr>
        <w:t>Հաշվետու ժամանակաշրջանում</w:t>
      </w:r>
      <w:r w:rsidRPr="002C0A36">
        <w:rPr>
          <w:b w:val="0"/>
          <w:szCs w:val="22"/>
          <w:lang w:val="hy-AM"/>
        </w:rPr>
        <w:t xml:space="preserve"> Ընկերությունների 11.4 մլրդ դրամ ընդհանուր եկամուտների և 8.7 մլրդ դրամ ընդհանուր ծախսերի արդյունքում շահույթը կազմել է 2.7 մլրդ դրամ, իսկ զուտ շահույթը` 2.1 մլրդ դրամ, 2020թ. առաջին կիսամյակում վնասը կազմել է 0.7 մլրդ դրամ, իսկ զուտ վնասը ՝ 0.6 մլրդ դրամ (աղյուսակ </w:t>
      </w:r>
      <w:r w:rsidR="00396D6B">
        <w:rPr>
          <w:b w:val="0"/>
          <w:szCs w:val="22"/>
          <w:lang w:val="hy-AM"/>
        </w:rPr>
        <w:t>29</w:t>
      </w:r>
      <w:r w:rsidRPr="002C0A36">
        <w:rPr>
          <w:b w:val="0"/>
          <w:szCs w:val="22"/>
          <w:lang w:val="hy-AM"/>
        </w:rPr>
        <w:t xml:space="preserve">): </w:t>
      </w:r>
    </w:p>
    <w:p w:rsidR="00CF7820" w:rsidRDefault="00CF7820" w:rsidP="007730AA">
      <w:pPr>
        <w:pStyle w:val="Caption"/>
        <w:spacing w:before="0" w:after="0"/>
        <w:rPr>
          <w:lang w:val="hy-AM"/>
        </w:rPr>
      </w:pPr>
      <w:bookmarkStart w:id="272" w:name="_Toc20590417"/>
    </w:p>
    <w:p w:rsidR="002C0A36" w:rsidRPr="002C0A36" w:rsidRDefault="00CF7820" w:rsidP="007730AA">
      <w:pPr>
        <w:pStyle w:val="Caption"/>
        <w:spacing w:before="0" w:after="0"/>
        <w:rPr>
          <w:rFonts w:ascii="Calibri" w:hAnsi="Calibri"/>
          <w:b/>
          <w:szCs w:val="22"/>
          <w:lang w:val="hy-AM"/>
        </w:rPr>
      </w:pPr>
      <w:bookmarkStart w:id="273" w:name="_Toc57631779"/>
      <w:r w:rsidRPr="00CF7820">
        <w:rPr>
          <w:lang w:val="hy-AM"/>
        </w:rPr>
        <w:t xml:space="preserve">Աղյուսակ </w:t>
      </w:r>
      <w:r w:rsidR="003C3925">
        <w:fldChar w:fldCharType="begin"/>
      </w:r>
      <w:r w:rsidRPr="00CF7820">
        <w:rPr>
          <w:lang w:val="hy-AM"/>
        </w:rPr>
        <w:instrText xml:space="preserve"> SEQ Աղյուսակ \* ARABIC </w:instrText>
      </w:r>
      <w:r w:rsidR="003C3925">
        <w:fldChar w:fldCharType="separate"/>
      </w:r>
      <w:r w:rsidR="007E790B">
        <w:rPr>
          <w:noProof/>
          <w:lang w:val="hy-AM"/>
        </w:rPr>
        <w:t>28</w:t>
      </w:r>
      <w:r w:rsidR="003C3925">
        <w:fldChar w:fldCharType="end"/>
      </w:r>
      <w:r>
        <w:rPr>
          <w:rFonts w:ascii="Cambria Math" w:hAnsi="Cambria Math"/>
          <w:lang w:val="hy-AM"/>
        </w:rPr>
        <w:t xml:space="preserve">․ </w:t>
      </w:r>
      <w:r w:rsidR="002C0A36" w:rsidRPr="002C0A36">
        <w:rPr>
          <w:b/>
          <w:i/>
          <w:sz w:val="20"/>
          <w:szCs w:val="20"/>
          <w:lang w:val="hy-AM"/>
        </w:rPr>
        <w:t>Տրանսպորտի ոլորտի պետական մասնակցությամբ ընկերությունների հանրագումարային շահույթը (վնասը) ըստ տարիների</w:t>
      </w:r>
      <w:bookmarkEnd w:id="273"/>
      <w:r w:rsidR="002C0A36" w:rsidRPr="002C0A36">
        <w:rPr>
          <w:b/>
          <w:i/>
          <w:sz w:val="20"/>
          <w:szCs w:val="20"/>
          <w:lang w:val="hy-AM"/>
        </w:rPr>
        <w:t xml:space="preserve"> </w:t>
      </w:r>
      <w:bookmarkEnd w:id="272"/>
      <w:r w:rsidR="002C0A36" w:rsidRPr="002C0A36">
        <w:rPr>
          <w:rFonts w:ascii="Calibri" w:hAnsi="Calibri"/>
          <w:b/>
          <w:szCs w:val="22"/>
          <w:lang w:val="hy-AM"/>
        </w:rPr>
        <w:t xml:space="preserve"> </w:t>
      </w:r>
      <w:r w:rsidR="002C0A36" w:rsidRPr="002C0A36">
        <w:rPr>
          <w:b/>
          <w:szCs w:val="22"/>
          <w:lang w:val="hy-AM"/>
        </w:rPr>
        <w:t xml:space="preserve">                                                                                                                    </w:t>
      </w:r>
      <w:r w:rsidR="002C0A36" w:rsidRPr="002C0A36">
        <w:rPr>
          <w:rFonts w:ascii="Calibri" w:hAnsi="Calibri"/>
          <w:b/>
          <w:szCs w:val="22"/>
          <w:lang w:val="hy-AM"/>
        </w:rPr>
        <w:t xml:space="preserve">                                      </w:t>
      </w:r>
    </w:p>
    <w:p w:rsidR="002C0A36" w:rsidRPr="002C0A36" w:rsidRDefault="002C0A36" w:rsidP="007730AA">
      <w:pPr>
        <w:spacing w:before="0" w:line="276" w:lineRule="auto"/>
        <w:ind w:firstLine="0"/>
        <w:contextualSpacing w:val="0"/>
        <w:jc w:val="right"/>
        <w:rPr>
          <w:b w:val="0"/>
          <w:i/>
          <w:sz w:val="18"/>
          <w:szCs w:val="18"/>
          <w:lang w:val="hy-AM"/>
        </w:rPr>
      </w:pPr>
      <w:r w:rsidRPr="002C0A36">
        <w:rPr>
          <w:rFonts w:ascii="Calibri" w:hAnsi="Calibri"/>
          <w:b w:val="0"/>
          <w:szCs w:val="22"/>
          <w:lang w:val="hy-AM"/>
        </w:rPr>
        <w:t xml:space="preserve">                                                                                        </w:t>
      </w:r>
      <w:r w:rsidRPr="002C0A36">
        <w:rPr>
          <w:b w:val="0"/>
          <w:i/>
          <w:sz w:val="18"/>
          <w:szCs w:val="18"/>
          <w:lang w:val="hy-AM"/>
        </w:rPr>
        <w:t>հազ. դրամ</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843"/>
        <w:gridCol w:w="1701"/>
        <w:gridCol w:w="1559"/>
      </w:tblGrid>
      <w:tr w:rsidR="002C0A36" w:rsidRPr="002C0A36" w:rsidTr="007E430F">
        <w:trPr>
          <w:trHeight w:val="449"/>
          <w:tblHeader/>
        </w:trPr>
        <w:tc>
          <w:tcPr>
            <w:tcW w:w="4395" w:type="dxa"/>
            <w:vMerge w:val="restart"/>
            <w:tcBorders>
              <w:top w:val="single" w:sz="4" w:space="0" w:color="auto"/>
              <w:left w:val="single" w:sz="4" w:space="0" w:color="auto"/>
              <w:right w:val="single" w:sz="4" w:space="0" w:color="auto"/>
            </w:tcBorders>
            <w:shd w:val="clear" w:color="auto" w:fill="0070C0"/>
            <w:vAlign w:val="center"/>
          </w:tcPr>
          <w:p w:rsidR="002C0A36" w:rsidRPr="002C0A36" w:rsidRDefault="002C0A36" w:rsidP="007730AA">
            <w:pPr>
              <w:spacing w:before="0" w:line="276" w:lineRule="auto"/>
              <w:ind w:firstLine="0"/>
              <w:contextualSpacing w:val="0"/>
              <w:jc w:val="left"/>
              <w:rPr>
                <w:b w:val="0"/>
                <w:color w:val="FFFFFF"/>
                <w:sz w:val="18"/>
                <w:szCs w:val="18"/>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0070C0"/>
            <w:noWrap/>
            <w:vAlign w:val="center"/>
          </w:tcPr>
          <w:p w:rsidR="002C0A36" w:rsidRPr="002C0A36" w:rsidRDefault="002C0A36" w:rsidP="007730AA">
            <w:pPr>
              <w:spacing w:before="0" w:line="276" w:lineRule="auto"/>
              <w:ind w:firstLine="0"/>
              <w:contextualSpacing w:val="0"/>
              <w:jc w:val="center"/>
              <w:rPr>
                <w:b w:val="0"/>
                <w:color w:val="FFFFFF"/>
                <w:sz w:val="18"/>
                <w:szCs w:val="18"/>
              </w:rPr>
            </w:pPr>
            <w:r w:rsidRPr="002C0A36">
              <w:rPr>
                <w:b w:val="0"/>
                <w:color w:val="FFFFFF"/>
                <w:sz w:val="18"/>
                <w:szCs w:val="18"/>
              </w:rPr>
              <w:t>2018թ.</w:t>
            </w:r>
          </w:p>
        </w:tc>
        <w:tc>
          <w:tcPr>
            <w:tcW w:w="1701" w:type="dxa"/>
            <w:tcBorders>
              <w:top w:val="single" w:sz="4" w:space="0" w:color="auto"/>
              <w:left w:val="single" w:sz="4" w:space="0" w:color="auto"/>
              <w:bottom w:val="single" w:sz="4" w:space="0" w:color="auto"/>
              <w:right w:val="single" w:sz="4" w:space="0" w:color="auto"/>
            </w:tcBorders>
            <w:shd w:val="clear" w:color="auto" w:fill="0070C0"/>
            <w:noWrap/>
            <w:vAlign w:val="center"/>
          </w:tcPr>
          <w:p w:rsidR="002C0A36" w:rsidRPr="002C0A36" w:rsidRDefault="002C0A36" w:rsidP="007730AA">
            <w:pPr>
              <w:spacing w:before="0" w:line="276" w:lineRule="auto"/>
              <w:ind w:firstLine="0"/>
              <w:contextualSpacing w:val="0"/>
              <w:jc w:val="center"/>
              <w:rPr>
                <w:b w:val="0"/>
                <w:color w:val="FFFFFF"/>
                <w:sz w:val="18"/>
                <w:szCs w:val="18"/>
              </w:rPr>
            </w:pPr>
            <w:r w:rsidRPr="002C0A36">
              <w:rPr>
                <w:b w:val="0"/>
                <w:color w:val="FFFFFF"/>
                <w:sz w:val="18"/>
                <w:szCs w:val="18"/>
              </w:rPr>
              <w:t>2019թ.</w:t>
            </w: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tcPr>
          <w:p w:rsidR="002C0A36" w:rsidRPr="002C0A36" w:rsidRDefault="002C0A36" w:rsidP="007730AA">
            <w:pPr>
              <w:spacing w:before="0" w:line="276" w:lineRule="auto"/>
              <w:ind w:firstLine="0"/>
              <w:contextualSpacing w:val="0"/>
              <w:jc w:val="center"/>
              <w:rPr>
                <w:b w:val="0"/>
                <w:color w:val="FFFFFF"/>
                <w:sz w:val="18"/>
                <w:szCs w:val="18"/>
              </w:rPr>
            </w:pPr>
            <w:r w:rsidRPr="002C0A36">
              <w:rPr>
                <w:b w:val="0"/>
                <w:color w:val="FFFFFF"/>
                <w:sz w:val="18"/>
                <w:szCs w:val="18"/>
              </w:rPr>
              <w:t xml:space="preserve">2020թ. </w:t>
            </w:r>
            <w:r w:rsidRPr="002C0A36">
              <w:rPr>
                <w:b w:val="0"/>
                <w:color w:val="FFFFFF"/>
                <w:sz w:val="18"/>
                <w:szCs w:val="18"/>
              </w:rPr>
              <w:br/>
              <w:t>1-ին կիսամյակ</w:t>
            </w:r>
          </w:p>
        </w:tc>
      </w:tr>
      <w:tr w:rsidR="002C0A36" w:rsidRPr="002C0A36" w:rsidTr="007E430F">
        <w:trPr>
          <w:trHeight w:val="341"/>
          <w:tblHeader/>
        </w:trPr>
        <w:tc>
          <w:tcPr>
            <w:tcW w:w="4395" w:type="dxa"/>
            <w:vMerge/>
            <w:tcBorders>
              <w:left w:val="single" w:sz="4" w:space="0" w:color="auto"/>
              <w:bottom w:val="single" w:sz="4" w:space="0" w:color="auto"/>
              <w:right w:val="single" w:sz="4" w:space="0" w:color="auto"/>
            </w:tcBorders>
            <w:shd w:val="clear" w:color="auto" w:fill="0070C0"/>
            <w:vAlign w:val="center"/>
            <w:hideMark/>
          </w:tcPr>
          <w:p w:rsidR="002C0A36" w:rsidRPr="002C0A36" w:rsidRDefault="002C0A36" w:rsidP="007730AA">
            <w:pPr>
              <w:spacing w:before="0" w:line="276" w:lineRule="auto"/>
              <w:ind w:firstLine="0"/>
              <w:contextualSpacing w:val="0"/>
              <w:jc w:val="left"/>
              <w:rPr>
                <w:b w:val="0"/>
                <w:color w:val="FFFFFF"/>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2C0A36" w:rsidRPr="002C0A36" w:rsidRDefault="002C0A36" w:rsidP="007730AA">
            <w:pPr>
              <w:spacing w:before="0" w:line="276" w:lineRule="auto"/>
              <w:ind w:firstLine="0"/>
              <w:contextualSpacing w:val="0"/>
              <w:jc w:val="center"/>
              <w:rPr>
                <w:b w:val="0"/>
                <w:color w:val="FFFFFF"/>
                <w:sz w:val="18"/>
                <w:szCs w:val="18"/>
              </w:rPr>
            </w:pPr>
            <w:r w:rsidRPr="002C0A36">
              <w:rPr>
                <w:b w:val="0"/>
                <w:color w:val="FFFFFF"/>
                <w:sz w:val="18"/>
                <w:szCs w:val="18"/>
              </w:rPr>
              <w:t>Փաստ.</w:t>
            </w:r>
          </w:p>
        </w:tc>
        <w:tc>
          <w:tcPr>
            <w:tcW w:w="1701"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2C0A36" w:rsidRPr="002C0A36" w:rsidRDefault="002C0A36" w:rsidP="007730AA">
            <w:pPr>
              <w:spacing w:before="0" w:line="276" w:lineRule="auto"/>
              <w:ind w:firstLine="0"/>
              <w:contextualSpacing w:val="0"/>
              <w:jc w:val="center"/>
              <w:rPr>
                <w:b w:val="0"/>
                <w:color w:val="FFFFFF"/>
                <w:sz w:val="18"/>
                <w:szCs w:val="18"/>
              </w:rPr>
            </w:pPr>
            <w:r w:rsidRPr="002C0A36">
              <w:rPr>
                <w:b w:val="0"/>
                <w:color w:val="FFFFFF"/>
                <w:sz w:val="18"/>
                <w:szCs w:val="18"/>
              </w:rPr>
              <w:t>Փաստ.</w:t>
            </w:r>
          </w:p>
        </w:tc>
        <w:tc>
          <w:tcPr>
            <w:tcW w:w="1559"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2C0A36" w:rsidRDefault="002C0A36" w:rsidP="007730AA">
            <w:pPr>
              <w:spacing w:before="0" w:line="276" w:lineRule="auto"/>
              <w:ind w:firstLine="0"/>
              <w:contextualSpacing w:val="0"/>
              <w:jc w:val="center"/>
              <w:rPr>
                <w:b w:val="0"/>
                <w:color w:val="FFFFFF"/>
                <w:sz w:val="18"/>
                <w:szCs w:val="18"/>
              </w:rPr>
            </w:pPr>
            <w:r w:rsidRPr="002C0A36">
              <w:rPr>
                <w:b w:val="0"/>
                <w:color w:val="FFFFFF"/>
                <w:sz w:val="18"/>
                <w:szCs w:val="18"/>
              </w:rPr>
              <w:t>Փաստ.</w:t>
            </w:r>
          </w:p>
        </w:tc>
      </w:tr>
      <w:tr w:rsidR="002C0A36" w:rsidRPr="002C0A36" w:rsidTr="007E430F">
        <w:trPr>
          <w:trHeight w:val="876"/>
        </w:trPr>
        <w:tc>
          <w:tcPr>
            <w:tcW w:w="43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sz w:val="18"/>
                <w:szCs w:val="18"/>
              </w:rPr>
            </w:pPr>
            <w:r w:rsidRPr="002C0A36">
              <w:rPr>
                <w:sz w:val="18"/>
                <w:szCs w:val="18"/>
                <w:lang w:val="en-US"/>
              </w:rPr>
              <w:t>Տրանսպորտ</w:t>
            </w:r>
            <w:r w:rsidRPr="002C0A36">
              <w:rPr>
                <w:sz w:val="18"/>
                <w:szCs w:val="18"/>
              </w:rPr>
              <w:t>այի</w:t>
            </w:r>
            <w:r w:rsidRPr="002C0A36">
              <w:rPr>
                <w:sz w:val="18"/>
                <w:szCs w:val="18"/>
                <w:lang w:val="en-US"/>
              </w:rPr>
              <w:t>ն</w:t>
            </w:r>
            <w:r w:rsidRPr="002C0A36">
              <w:rPr>
                <w:sz w:val="18"/>
                <w:szCs w:val="18"/>
              </w:rPr>
              <w:t xml:space="preserve"> ոլորտի պետական մասնակցու</w:t>
            </w:r>
            <w:r w:rsidRPr="002C0A36">
              <w:rPr>
                <w:sz w:val="18"/>
                <w:szCs w:val="18"/>
              </w:rPr>
              <w:softHyphen/>
              <w:t>թյամբ ընկերությունների հանրագումարային շահույ</w:t>
            </w:r>
            <w:r w:rsidRPr="002C0A36">
              <w:rPr>
                <w:sz w:val="18"/>
                <w:szCs w:val="18"/>
              </w:rPr>
              <w:softHyphen/>
              <w:t>թը հարկումից հետո</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ind w:firstLine="0"/>
              <w:contextualSpacing w:val="0"/>
              <w:jc w:val="center"/>
              <w:rPr>
                <w:sz w:val="18"/>
                <w:szCs w:val="18"/>
                <w:lang w:val="en-US"/>
              </w:rPr>
            </w:pPr>
            <w:r w:rsidRPr="002C0A36">
              <w:rPr>
                <w:sz w:val="18"/>
                <w:szCs w:val="18"/>
              </w:rPr>
              <w:t>2,</w:t>
            </w:r>
            <w:r w:rsidRPr="002C0A36">
              <w:rPr>
                <w:sz w:val="18"/>
                <w:szCs w:val="18"/>
                <w:lang w:val="en-US"/>
              </w:rPr>
              <w:t>701</w:t>
            </w:r>
            <w:r w:rsidRPr="002C0A36">
              <w:rPr>
                <w:sz w:val="18"/>
                <w:szCs w:val="18"/>
              </w:rPr>
              <w:t>,</w:t>
            </w:r>
            <w:r w:rsidRPr="002C0A36">
              <w:rPr>
                <w:sz w:val="18"/>
                <w:szCs w:val="18"/>
                <w:lang w:val="en-US"/>
              </w:rPr>
              <w:t>095</w:t>
            </w:r>
            <w:r w:rsidRPr="002C0A36">
              <w:rPr>
                <w:sz w:val="18"/>
                <w:szCs w:val="18"/>
              </w:rPr>
              <w:t>.</w:t>
            </w:r>
            <w:r w:rsidRPr="002C0A36">
              <w:rPr>
                <w:sz w:val="18"/>
                <w:szCs w:val="18"/>
                <w:lang w:val="en-US"/>
              </w:rPr>
              <w:t>0</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ind w:firstLine="0"/>
              <w:contextualSpacing w:val="0"/>
              <w:jc w:val="center"/>
              <w:rPr>
                <w:sz w:val="18"/>
                <w:szCs w:val="18"/>
                <w:lang w:val="en-US"/>
              </w:rPr>
            </w:pPr>
            <w:r w:rsidRPr="002C0A36">
              <w:rPr>
                <w:sz w:val="18"/>
                <w:szCs w:val="18"/>
              </w:rPr>
              <w:t>2,</w:t>
            </w:r>
            <w:r w:rsidRPr="002C0A36">
              <w:rPr>
                <w:sz w:val="18"/>
                <w:szCs w:val="18"/>
                <w:lang w:val="en-US"/>
              </w:rPr>
              <w:t>116</w:t>
            </w:r>
            <w:r w:rsidRPr="002C0A36">
              <w:rPr>
                <w:sz w:val="18"/>
                <w:szCs w:val="18"/>
              </w:rPr>
              <w:t>,</w:t>
            </w:r>
            <w:r w:rsidRPr="002C0A36">
              <w:rPr>
                <w:sz w:val="18"/>
                <w:szCs w:val="18"/>
                <w:lang w:val="en-US"/>
              </w:rPr>
              <w:t>872</w:t>
            </w:r>
            <w:r w:rsidRPr="002C0A36">
              <w:rPr>
                <w:sz w:val="18"/>
                <w:szCs w:val="18"/>
              </w:rPr>
              <w:t>.</w:t>
            </w:r>
            <w:r w:rsidRPr="002C0A36">
              <w:rPr>
                <w:sz w:val="18"/>
                <w:szCs w:val="18"/>
                <w:lang w:val="en-US"/>
              </w:rPr>
              <w:t>0</w:t>
            </w:r>
          </w:p>
        </w:tc>
        <w:tc>
          <w:tcPr>
            <w:tcW w:w="15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rFonts w:cs="Calibri"/>
                <w:color w:val="000000"/>
                <w:sz w:val="18"/>
                <w:szCs w:val="18"/>
              </w:rPr>
            </w:pPr>
            <w:r w:rsidRPr="002C0A36">
              <w:rPr>
                <w:sz w:val="18"/>
                <w:szCs w:val="18"/>
              </w:rPr>
              <w:t>(</w:t>
            </w:r>
            <w:r w:rsidRPr="002C0A36">
              <w:rPr>
                <w:sz w:val="18"/>
                <w:szCs w:val="18"/>
                <w:lang w:val="en-US"/>
              </w:rPr>
              <w:t>601</w:t>
            </w:r>
            <w:r w:rsidRPr="002C0A36">
              <w:rPr>
                <w:sz w:val="18"/>
                <w:szCs w:val="18"/>
              </w:rPr>
              <w:t>,</w:t>
            </w:r>
            <w:r w:rsidRPr="002C0A36">
              <w:rPr>
                <w:sz w:val="18"/>
                <w:szCs w:val="18"/>
                <w:lang w:val="en-US"/>
              </w:rPr>
              <w:t>980</w:t>
            </w:r>
            <w:r w:rsidRPr="002C0A36">
              <w:rPr>
                <w:sz w:val="18"/>
                <w:szCs w:val="18"/>
              </w:rPr>
              <w:t>.0)</w:t>
            </w:r>
          </w:p>
        </w:tc>
      </w:tr>
      <w:tr w:rsidR="002C0A36" w:rsidRPr="002C0A36" w:rsidTr="007E430F">
        <w:trPr>
          <w:trHeight w:val="325"/>
        </w:trPr>
        <w:tc>
          <w:tcPr>
            <w:tcW w:w="4395" w:type="dxa"/>
            <w:tcBorders>
              <w:top w:val="single" w:sz="4" w:space="0" w:color="auto"/>
              <w:left w:val="single" w:sz="4" w:space="0" w:color="auto"/>
              <w:bottom w:val="single" w:sz="4" w:space="0" w:color="auto"/>
              <w:right w:val="single" w:sz="4" w:space="0" w:color="auto"/>
            </w:tcBorders>
            <w:vAlign w:val="bottom"/>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«Հայ</w:t>
            </w:r>
            <w:r w:rsidRPr="002C0A36">
              <w:rPr>
                <w:b w:val="0"/>
                <w:sz w:val="18"/>
                <w:szCs w:val="18"/>
                <w:lang w:val="en-US"/>
              </w:rPr>
              <w:t>աէրոնավիգացիա</w:t>
            </w:r>
            <w:r w:rsidRPr="002C0A36">
              <w:rPr>
                <w:b w:val="0"/>
                <w:sz w:val="18"/>
                <w:szCs w:val="18"/>
              </w:rPr>
              <w:t> ՓԲԸ</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1</w:t>
            </w:r>
            <w:r w:rsidRPr="002C0A36">
              <w:rPr>
                <w:b w:val="0"/>
                <w:sz w:val="18"/>
                <w:szCs w:val="18"/>
              </w:rPr>
              <w:t>,7</w:t>
            </w:r>
            <w:r w:rsidRPr="002C0A36">
              <w:rPr>
                <w:b w:val="0"/>
                <w:sz w:val="18"/>
                <w:szCs w:val="18"/>
                <w:lang w:val="en-US"/>
              </w:rPr>
              <w:t>94</w:t>
            </w:r>
            <w:r w:rsidRPr="002C0A36">
              <w:rPr>
                <w:b w:val="0"/>
                <w:sz w:val="18"/>
                <w:szCs w:val="18"/>
              </w:rPr>
              <w:t>,</w:t>
            </w:r>
            <w:r w:rsidRPr="002C0A36">
              <w:rPr>
                <w:b w:val="0"/>
                <w:sz w:val="18"/>
                <w:szCs w:val="18"/>
                <w:lang w:val="en-US"/>
              </w:rPr>
              <w:t>986</w:t>
            </w:r>
            <w:r w:rsidRPr="002C0A36">
              <w:rPr>
                <w:b w:val="0"/>
                <w:sz w:val="18"/>
                <w:szCs w:val="18"/>
              </w:rPr>
              <w:t>.0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1</w:t>
            </w:r>
            <w:r w:rsidRPr="002C0A36">
              <w:rPr>
                <w:b w:val="0"/>
                <w:sz w:val="18"/>
                <w:szCs w:val="18"/>
              </w:rPr>
              <w:t>,</w:t>
            </w:r>
            <w:r w:rsidRPr="002C0A36">
              <w:rPr>
                <w:b w:val="0"/>
                <w:sz w:val="18"/>
                <w:szCs w:val="18"/>
                <w:lang w:val="en-US"/>
              </w:rPr>
              <w:t>357</w:t>
            </w:r>
            <w:r w:rsidRPr="002C0A36">
              <w:rPr>
                <w:b w:val="0"/>
                <w:sz w:val="18"/>
                <w:szCs w:val="18"/>
              </w:rPr>
              <w:t>,1</w:t>
            </w:r>
            <w:r w:rsidRPr="002C0A36">
              <w:rPr>
                <w:b w:val="0"/>
                <w:sz w:val="18"/>
                <w:szCs w:val="18"/>
                <w:lang w:val="en-US"/>
              </w:rPr>
              <w:t>96</w:t>
            </w:r>
            <w:r w:rsidRPr="002C0A36">
              <w:rPr>
                <w:b w:val="0"/>
                <w:sz w:val="18"/>
                <w:szCs w:val="18"/>
              </w:rPr>
              <w:t>.0</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2C0A36" w:rsidRPr="002C0A36" w:rsidRDefault="002C0A36" w:rsidP="007730AA">
            <w:pPr>
              <w:spacing w:before="0" w:line="276" w:lineRule="auto"/>
              <w:ind w:firstLine="0"/>
              <w:contextualSpacing w:val="0"/>
              <w:jc w:val="center"/>
              <w:rPr>
                <w:rFonts w:cs="Calibri"/>
                <w:b w:val="0"/>
                <w:color w:val="000000"/>
                <w:sz w:val="18"/>
                <w:szCs w:val="18"/>
              </w:rPr>
            </w:pPr>
            <w:r w:rsidRPr="002C0A36">
              <w:rPr>
                <w:b w:val="0"/>
                <w:sz w:val="18"/>
                <w:szCs w:val="18"/>
              </w:rPr>
              <w:t>(</w:t>
            </w:r>
            <w:r w:rsidRPr="002C0A36">
              <w:rPr>
                <w:b w:val="0"/>
                <w:sz w:val="18"/>
                <w:szCs w:val="18"/>
                <w:lang w:val="en-US"/>
              </w:rPr>
              <w:t>467</w:t>
            </w:r>
            <w:r w:rsidRPr="002C0A36">
              <w:rPr>
                <w:b w:val="0"/>
                <w:sz w:val="18"/>
                <w:szCs w:val="18"/>
              </w:rPr>
              <w:t>,</w:t>
            </w:r>
            <w:r w:rsidRPr="002C0A36">
              <w:rPr>
                <w:b w:val="0"/>
                <w:sz w:val="18"/>
                <w:szCs w:val="18"/>
                <w:lang w:val="en-US"/>
              </w:rPr>
              <w:t>664</w:t>
            </w:r>
            <w:r w:rsidRPr="002C0A36">
              <w:rPr>
                <w:b w:val="0"/>
                <w:sz w:val="18"/>
                <w:szCs w:val="18"/>
              </w:rPr>
              <w:t>.0)</w:t>
            </w:r>
          </w:p>
        </w:tc>
      </w:tr>
      <w:tr w:rsidR="002C0A36" w:rsidRPr="002C0A36" w:rsidTr="007E430F">
        <w:trPr>
          <w:trHeight w:val="213"/>
        </w:trPr>
        <w:tc>
          <w:tcPr>
            <w:tcW w:w="439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w:t>
            </w:r>
            <w:r w:rsidRPr="002C0A36">
              <w:rPr>
                <w:b w:val="0"/>
                <w:sz w:val="18"/>
                <w:szCs w:val="18"/>
                <w:lang w:val="en-US"/>
              </w:rPr>
              <w:t>Կարեն</w:t>
            </w:r>
            <w:r w:rsidRPr="002C0A36">
              <w:rPr>
                <w:b w:val="0"/>
                <w:sz w:val="18"/>
                <w:szCs w:val="18"/>
              </w:rPr>
              <w:t xml:space="preserve"> </w:t>
            </w:r>
            <w:r w:rsidRPr="002C0A36">
              <w:rPr>
                <w:b w:val="0"/>
                <w:sz w:val="18"/>
                <w:szCs w:val="18"/>
                <w:lang w:val="en-US"/>
              </w:rPr>
              <w:t>Դեմիրճյանի</w:t>
            </w:r>
            <w:r w:rsidRPr="002C0A36">
              <w:rPr>
                <w:b w:val="0"/>
                <w:sz w:val="18"/>
                <w:szCs w:val="18"/>
              </w:rPr>
              <w:t xml:space="preserve"> </w:t>
            </w:r>
            <w:r w:rsidRPr="002C0A36">
              <w:rPr>
                <w:b w:val="0"/>
                <w:sz w:val="18"/>
                <w:szCs w:val="18"/>
                <w:lang w:val="en-US"/>
              </w:rPr>
              <w:t>անվան</w:t>
            </w:r>
            <w:r w:rsidRPr="002C0A36">
              <w:rPr>
                <w:b w:val="0"/>
                <w:sz w:val="18"/>
                <w:szCs w:val="18"/>
              </w:rPr>
              <w:t xml:space="preserve"> </w:t>
            </w:r>
            <w:r w:rsidRPr="002C0A36">
              <w:rPr>
                <w:b w:val="0"/>
                <w:sz w:val="18"/>
                <w:szCs w:val="18"/>
                <w:lang w:val="en-US"/>
              </w:rPr>
              <w:t>Երևանի</w:t>
            </w:r>
            <w:r w:rsidRPr="002C0A36">
              <w:rPr>
                <w:b w:val="0"/>
                <w:sz w:val="18"/>
                <w:szCs w:val="18"/>
              </w:rPr>
              <w:t xml:space="preserve"> </w:t>
            </w:r>
            <w:r w:rsidRPr="002C0A36">
              <w:rPr>
                <w:b w:val="0"/>
                <w:sz w:val="18"/>
                <w:szCs w:val="18"/>
                <w:lang w:val="en-US"/>
              </w:rPr>
              <w:t>մետրոպոլիտեն</w:t>
            </w:r>
            <w:r w:rsidRPr="002C0A36">
              <w:rPr>
                <w:b w:val="0"/>
                <w:sz w:val="18"/>
                <w:szCs w:val="18"/>
              </w:rPr>
              <w:t> ՓԲԸ</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ind w:firstLine="0"/>
              <w:contextualSpacing w:val="0"/>
              <w:jc w:val="center"/>
              <w:rPr>
                <w:b w:val="0"/>
                <w:sz w:val="18"/>
                <w:szCs w:val="18"/>
              </w:rPr>
            </w:pPr>
            <w:r w:rsidRPr="002C0A36">
              <w:rPr>
                <w:b w:val="0"/>
                <w:sz w:val="18"/>
                <w:szCs w:val="18"/>
                <w:lang w:val="en-US"/>
              </w:rPr>
              <w:t>825</w:t>
            </w:r>
            <w:r w:rsidRPr="002C0A36">
              <w:rPr>
                <w:b w:val="0"/>
                <w:sz w:val="18"/>
                <w:szCs w:val="18"/>
              </w:rPr>
              <w:t>,</w:t>
            </w:r>
            <w:r w:rsidRPr="002C0A36">
              <w:rPr>
                <w:b w:val="0"/>
                <w:sz w:val="18"/>
                <w:szCs w:val="18"/>
                <w:lang w:val="en-US"/>
              </w:rPr>
              <w:t>467</w:t>
            </w:r>
            <w:r w:rsidRPr="002C0A36">
              <w:rPr>
                <w:b w:val="0"/>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ind w:firstLine="0"/>
              <w:contextualSpacing w:val="0"/>
              <w:jc w:val="center"/>
              <w:rPr>
                <w:b w:val="0"/>
                <w:sz w:val="18"/>
                <w:szCs w:val="18"/>
              </w:rPr>
            </w:pPr>
            <w:r w:rsidRPr="002C0A36">
              <w:rPr>
                <w:b w:val="0"/>
                <w:sz w:val="18"/>
                <w:szCs w:val="18"/>
                <w:lang w:val="en-US"/>
              </w:rPr>
              <w:t>790</w:t>
            </w:r>
            <w:r w:rsidRPr="002C0A36">
              <w:rPr>
                <w:b w:val="0"/>
                <w:sz w:val="18"/>
                <w:szCs w:val="18"/>
              </w:rPr>
              <w:t>,</w:t>
            </w:r>
            <w:r w:rsidRPr="002C0A36">
              <w:rPr>
                <w:b w:val="0"/>
                <w:sz w:val="18"/>
                <w:szCs w:val="18"/>
                <w:lang w:val="en-US"/>
              </w:rPr>
              <w:t>21</w:t>
            </w:r>
            <w:r w:rsidRPr="002C0A36">
              <w:rPr>
                <w:b w:val="0"/>
                <w:sz w:val="18"/>
                <w:szCs w:val="18"/>
              </w:rPr>
              <w:t>9.0</w:t>
            </w:r>
          </w:p>
        </w:tc>
        <w:tc>
          <w:tcPr>
            <w:tcW w:w="1559"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rsidR="002C0A36" w:rsidRPr="002C0A36" w:rsidRDefault="002C0A36" w:rsidP="007730AA">
            <w:pPr>
              <w:spacing w:before="0" w:line="276" w:lineRule="auto"/>
              <w:ind w:firstLine="0"/>
              <w:contextualSpacing w:val="0"/>
              <w:jc w:val="center"/>
              <w:rPr>
                <w:rFonts w:cs="Calibri"/>
                <w:b w:val="0"/>
                <w:color w:val="000000"/>
                <w:sz w:val="18"/>
                <w:szCs w:val="18"/>
              </w:rPr>
            </w:pPr>
            <w:r w:rsidRPr="002C0A36">
              <w:rPr>
                <w:b w:val="0"/>
                <w:sz w:val="18"/>
                <w:szCs w:val="18"/>
              </w:rPr>
              <w:t>(</w:t>
            </w:r>
            <w:r w:rsidRPr="002C0A36">
              <w:rPr>
                <w:b w:val="0"/>
                <w:sz w:val="18"/>
                <w:szCs w:val="18"/>
                <w:lang w:val="en-US"/>
              </w:rPr>
              <w:t>91</w:t>
            </w:r>
            <w:r w:rsidRPr="002C0A36">
              <w:rPr>
                <w:b w:val="0"/>
                <w:sz w:val="18"/>
                <w:szCs w:val="18"/>
              </w:rPr>
              <w:t>,</w:t>
            </w:r>
            <w:r w:rsidRPr="002C0A36">
              <w:rPr>
                <w:b w:val="0"/>
                <w:sz w:val="18"/>
                <w:szCs w:val="18"/>
                <w:lang w:val="en-US"/>
              </w:rPr>
              <w:t>884</w:t>
            </w:r>
            <w:r w:rsidRPr="002C0A36">
              <w:rPr>
                <w:b w:val="0"/>
                <w:sz w:val="18"/>
                <w:szCs w:val="18"/>
              </w:rPr>
              <w:t>.0)</w:t>
            </w:r>
          </w:p>
        </w:tc>
      </w:tr>
      <w:tr w:rsidR="002C0A36" w:rsidRPr="002C0A36" w:rsidTr="007E430F">
        <w:trPr>
          <w:trHeight w:val="225"/>
        </w:trPr>
        <w:tc>
          <w:tcPr>
            <w:tcW w:w="4395"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w:t>
            </w:r>
            <w:r w:rsidRPr="002C0A36">
              <w:rPr>
                <w:b w:val="0"/>
                <w:sz w:val="18"/>
                <w:szCs w:val="18"/>
                <w:lang w:val="en-US"/>
              </w:rPr>
              <w:t>Հայավտոկայարան</w:t>
            </w:r>
            <w:r w:rsidRPr="002C0A36">
              <w:rPr>
                <w:b w:val="0"/>
                <w:sz w:val="18"/>
                <w:szCs w:val="18"/>
              </w:rPr>
              <w:t>» ՓԲԸ</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80</w:t>
            </w:r>
            <w:r w:rsidRPr="002C0A36">
              <w:rPr>
                <w:b w:val="0"/>
                <w:sz w:val="18"/>
                <w:szCs w:val="18"/>
              </w:rPr>
              <w:t>,6</w:t>
            </w:r>
            <w:r w:rsidRPr="002C0A36">
              <w:rPr>
                <w:b w:val="0"/>
                <w:sz w:val="18"/>
                <w:szCs w:val="18"/>
                <w:lang w:val="en-US"/>
              </w:rPr>
              <w:t>42</w:t>
            </w:r>
            <w:r w:rsidRPr="002C0A36">
              <w:rPr>
                <w:b w:val="0"/>
                <w:sz w:val="18"/>
                <w:szCs w:val="18"/>
              </w:rPr>
              <w:t>.</w:t>
            </w:r>
            <w:r w:rsidRPr="002C0A36">
              <w:rPr>
                <w:b w:val="0"/>
                <w:sz w:val="18"/>
                <w:szCs w:val="18"/>
                <w:lang w:val="en-US"/>
              </w:rPr>
              <w:t>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ind w:firstLine="0"/>
              <w:contextualSpacing w:val="0"/>
              <w:jc w:val="center"/>
              <w:rPr>
                <w:b w:val="0"/>
                <w:sz w:val="18"/>
                <w:szCs w:val="18"/>
                <w:lang w:val="hy-AM"/>
              </w:rPr>
            </w:pPr>
            <w:r w:rsidRPr="002C0A36">
              <w:rPr>
                <w:b w:val="0"/>
                <w:sz w:val="18"/>
                <w:szCs w:val="18"/>
              </w:rPr>
              <w:t>(</w:t>
            </w:r>
            <w:r w:rsidRPr="002C0A36">
              <w:rPr>
                <w:b w:val="0"/>
                <w:sz w:val="18"/>
                <w:szCs w:val="18"/>
                <w:lang w:val="en-US"/>
              </w:rPr>
              <w:t>30</w:t>
            </w:r>
            <w:r w:rsidRPr="002C0A36">
              <w:rPr>
                <w:b w:val="0"/>
                <w:sz w:val="18"/>
                <w:szCs w:val="18"/>
              </w:rPr>
              <w:t>,</w:t>
            </w:r>
            <w:r w:rsidRPr="002C0A36">
              <w:rPr>
                <w:b w:val="0"/>
                <w:sz w:val="18"/>
                <w:szCs w:val="18"/>
                <w:lang w:val="en-US"/>
              </w:rPr>
              <w:t>543</w:t>
            </w:r>
            <w:r w:rsidRPr="002C0A36">
              <w:rPr>
                <w:b w:val="0"/>
                <w:sz w:val="18"/>
                <w:szCs w:val="18"/>
              </w:rPr>
              <w:t>.0)</w:t>
            </w:r>
          </w:p>
        </w:tc>
        <w:tc>
          <w:tcPr>
            <w:tcW w:w="1559" w:type="dxa"/>
            <w:tcBorders>
              <w:top w:val="nil"/>
              <w:left w:val="single" w:sz="4" w:space="0" w:color="auto"/>
              <w:bottom w:val="single" w:sz="4" w:space="0" w:color="auto"/>
              <w:right w:val="single" w:sz="4" w:space="0" w:color="auto"/>
            </w:tcBorders>
            <w:shd w:val="clear" w:color="auto" w:fill="auto"/>
            <w:vAlign w:val="bottom"/>
            <w:hideMark/>
          </w:tcPr>
          <w:p w:rsidR="002C0A36" w:rsidRPr="002C0A36" w:rsidRDefault="002C0A36" w:rsidP="007730AA">
            <w:pPr>
              <w:spacing w:before="0" w:line="276" w:lineRule="auto"/>
              <w:ind w:firstLine="0"/>
              <w:contextualSpacing w:val="0"/>
              <w:jc w:val="center"/>
              <w:rPr>
                <w:rFonts w:cs="Calibri"/>
                <w:b w:val="0"/>
                <w:color w:val="000000"/>
                <w:sz w:val="18"/>
                <w:szCs w:val="18"/>
              </w:rPr>
            </w:pPr>
            <w:r w:rsidRPr="002C0A36">
              <w:rPr>
                <w:b w:val="0"/>
                <w:sz w:val="18"/>
                <w:szCs w:val="18"/>
              </w:rPr>
              <w:t>(</w:t>
            </w:r>
            <w:r w:rsidRPr="002C0A36">
              <w:rPr>
                <w:b w:val="0"/>
                <w:sz w:val="18"/>
                <w:szCs w:val="18"/>
                <w:lang w:val="en-US"/>
              </w:rPr>
              <w:t>42</w:t>
            </w:r>
            <w:r w:rsidRPr="002C0A36">
              <w:rPr>
                <w:b w:val="0"/>
                <w:sz w:val="18"/>
                <w:szCs w:val="18"/>
              </w:rPr>
              <w:t>,</w:t>
            </w:r>
            <w:r w:rsidRPr="002C0A36">
              <w:rPr>
                <w:b w:val="0"/>
                <w:sz w:val="18"/>
                <w:szCs w:val="18"/>
                <w:lang w:val="en-US"/>
              </w:rPr>
              <w:t>432</w:t>
            </w:r>
            <w:r w:rsidRPr="002C0A36">
              <w:rPr>
                <w:b w:val="0"/>
                <w:sz w:val="18"/>
                <w:szCs w:val="18"/>
              </w:rPr>
              <w:t>.0)</w:t>
            </w:r>
          </w:p>
        </w:tc>
      </w:tr>
    </w:tbl>
    <w:p w:rsidR="00CF7820" w:rsidRDefault="002C0A36" w:rsidP="007730AA">
      <w:pPr>
        <w:pStyle w:val="Caption"/>
        <w:spacing w:before="0" w:after="0" w:line="240" w:lineRule="auto"/>
        <w:ind w:firstLine="562"/>
        <w:rPr>
          <w:b/>
          <w:i/>
          <w:color w:val="000000"/>
          <w:lang w:val="hy-AM"/>
        </w:rPr>
      </w:pPr>
      <w:r w:rsidRPr="002C0A36">
        <w:rPr>
          <w:color w:val="000000"/>
          <w:sz w:val="20"/>
          <w:szCs w:val="20"/>
        </w:rPr>
        <w:t xml:space="preserve"> </w:t>
      </w:r>
      <w:r w:rsidRPr="002C0A36">
        <w:rPr>
          <w:b/>
          <w:i/>
          <w:color w:val="000000"/>
        </w:rPr>
        <w:t xml:space="preserve">                                                                                                                                                                                 </w:t>
      </w:r>
    </w:p>
    <w:p w:rsidR="002C0A36" w:rsidRPr="002C0A36" w:rsidRDefault="00CF7820" w:rsidP="007730AA">
      <w:pPr>
        <w:pStyle w:val="Caption"/>
        <w:spacing w:before="0" w:after="0" w:line="240" w:lineRule="auto"/>
        <w:ind w:firstLine="562"/>
        <w:rPr>
          <w:b/>
          <w:i/>
          <w:sz w:val="20"/>
          <w:szCs w:val="20"/>
          <w:lang w:val="hy-AM"/>
        </w:rPr>
      </w:pPr>
      <w:bookmarkStart w:id="274" w:name="_Toc57631780"/>
      <w:r w:rsidRPr="00CF7820">
        <w:rPr>
          <w:lang w:val="hy-AM"/>
        </w:rPr>
        <w:t xml:space="preserve">Աղյուսակ </w:t>
      </w:r>
      <w:r w:rsidR="003C3925">
        <w:fldChar w:fldCharType="begin"/>
      </w:r>
      <w:r w:rsidRPr="00CF7820">
        <w:rPr>
          <w:lang w:val="hy-AM"/>
        </w:rPr>
        <w:instrText xml:space="preserve"> SEQ Աղյուսակ \* ARABIC </w:instrText>
      </w:r>
      <w:r w:rsidR="003C3925">
        <w:fldChar w:fldCharType="separate"/>
      </w:r>
      <w:r w:rsidR="007E790B">
        <w:rPr>
          <w:noProof/>
          <w:lang w:val="hy-AM"/>
        </w:rPr>
        <w:t>29</w:t>
      </w:r>
      <w:r w:rsidR="003C3925">
        <w:fldChar w:fldCharType="end"/>
      </w:r>
      <w:r>
        <w:rPr>
          <w:rFonts w:ascii="Cambria Math" w:hAnsi="Cambria Math"/>
          <w:lang w:val="hy-AM"/>
        </w:rPr>
        <w:t xml:space="preserve">․ </w:t>
      </w:r>
      <w:r w:rsidR="002C0A36" w:rsidRPr="00CF7820">
        <w:rPr>
          <w:b/>
          <w:i/>
          <w:sz w:val="20"/>
          <w:szCs w:val="20"/>
          <w:lang w:val="hy-AM"/>
        </w:rPr>
        <w:t>Տրանսպորտ</w:t>
      </w:r>
      <w:r w:rsidR="002C0A36" w:rsidRPr="002C0A36">
        <w:rPr>
          <w:b/>
          <w:i/>
          <w:sz w:val="20"/>
          <w:szCs w:val="20"/>
          <w:lang w:val="hy-AM"/>
        </w:rPr>
        <w:t>այի</w:t>
      </w:r>
      <w:r w:rsidR="002C0A36" w:rsidRPr="00CF7820">
        <w:rPr>
          <w:b/>
          <w:i/>
          <w:sz w:val="20"/>
          <w:szCs w:val="20"/>
          <w:lang w:val="hy-AM"/>
        </w:rPr>
        <w:t>ն</w:t>
      </w:r>
      <w:r w:rsidR="002C0A36" w:rsidRPr="002C0A36">
        <w:rPr>
          <w:b/>
          <w:i/>
          <w:sz w:val="20"/>
          <w:szCs w:val="20"/>
          <w:lang w:val="hy-AM"/>
        </w:rPr>
        <w:t xml:space="preserve"> ոլորտի պետական մասնակցությամբ ընկերությունների հանրագումարային հաշվապահական հաշվեկշիռը 2018թ. դեկտեմբերի 31-ի, 2019թ. դեկտեմբերի 31-ի և 2020թ. հունիսի 30-ի դրությամբ</w:t>
      </w:r>
      <w:bookmarkEnd w:id="274"/>
      <w:r w:rsidR="002C0A36" w:rsidRPr="002C0A36">
        <w:rPr>
          <w:b/>
          <w:i/>
          <w:sz w:val="20"/>
          <w:szCs w:val="20"/>
          <w:lang w:val="hy-AM"/>
        </w:rPr>
        <w:t xml:space="preserve"> </w:t>
      </w:r>
    </w:p>
    <w:p w:rsidR="002C0A36" w:rsidRPr="002C0A36" w:rsidRDefault="002C0A36" w:rsidP="007730AA">
      <w:pPr>
        <w:shd w:val="clear" w:color="auto" w:fill="FFFFFF"/>
        <w:spacing w:before="0" w:line="276" w:lineRule="auto"/>
        <w:ind w:firstLine="0"/>
        <w:contextualSpacing w:val="0"/>
        <w:jc w:val="right"/>
        <w:rPr>
          <w:b w:val="0"/>
          <w:i/>
          <w:sz w:val="18"/>
          <w:szCs w:val="18"/>
          <w:lang w:val="en-US"/>
        </w:rPr>
      </w:pPr>
      <w:r w:rsidRPr="00CF7820">
        <w:rPr>
          <w:b w:val="0"/>
          <w:i/>
          <w:sz w:val="18"/>
          <w:szCs w:val="18"/>
          <w:lang w:val="hy-AM"/>
        </w:rPr>
        <w:t xml:space="preserve">                                                                                                                                                  </w:t>
      </w:r>
      <w:r w:rsidRPr="002C0A36">
        <w:rPr>
          <w:b w:val="0"/>
          <w:i/>
          <w:sz w:val="18"/>
          <w:szCs w:val="18"/>
        </w:rPr>
        <w:t>հազ. դրամ</w:t>
      </w:r>
    </w:p>
    <w:tbl>
      <w:tblPr>
        <w:tblpPr w:leftFromText="180" w:rightFromText="180" w:bottomFromText="160" w:vertAnchor="text" w:horzAnchor="margin" w:tblpY="267"/>
        <w:tblW w:w="9464" w:type="dxa"/>
        <w:tblLook w:val="04A0" w:firstRow="1" w:lastRow="0" w:firstColumn="1" w:lastColumn="0" w:noHBand="0" w:noVBand="1"/>
      </w:tblPr>
      <w:tblGrid>
        <w:gridCol w:w="4077"/>
        <w:gridCol w:w="1560"/>
        <w:gridCol w:w="1842"/>
        <w:gridCol w:w="1985"/>
      </w:tblGrid>
      <w:tr w:rsidR="002C0A36" w:rsidRPr="002C0A36" w:rsidTr="007E430F">
        <w:trPr>
          <w:trHeight w:val="191"/>
          <w:tblHeader/>
        </w:trPr>
        <w:tc>
          <w:tcPr>
            <w:tcW w:w="4077" w:type="dxa"/>
            <w:tcBorders>
              <w:top w:val="single" w:sz="4" w:space="0" w:color="auto"/>
              <w:left w:val="single" w:sz="4" w:space="0" w:color="auto"/>
              <w:bottom w:val="single" w:sz="4" w:space="0" w:color="auto"/>
              <w:right w:val="single" w:sz="4" w:space="0" w:color="auto"/>
            </w:tcBorders>
            <w:shd w:val="clear" w:color="auto" w:fill="4F81BD" w:themeFill="accent1"/>
          </w:tcPr>
          <w:p w:rsidR="002C0A36" w:rsidRPr="000573ED" w:rsidRDefault="002C0A36" w:rsidP="007730AA">
            <w:pPr>
              <w:spacing w:before="0" w:line="276" w:lineRule="auto"/>
              <w:ind w:firstLine="0"/>
              <w:contextualSpacing w:val="0"/>
              <w:jc w:val="left"/>
              <w:rPr>
                <w:sz w:val="18"/>
                <w:szCs w:val="18"/>
              </w:rPr>
            </w:pPr>
            <w:r w:rsidRPr="000573ED">
              <w:rPr>
                <w:color w:val="FFFFFF"/>
                <w:sz w:val="18"/>
                <w:szCs w:val="18"/>
              </w:rPr>
              <w:t>Հաշվեկշռային հոդվածներ</w:t>
            </w:r>
          </w:p>
        </w:tc>
        <w:tc>
          <w:tcPr>
            <w:tcW w:w="1560" w:type="dxa"/>
            <w:tcBorders>
              <w:top w:val="single" w:sz="4" w:space="0" w:color="auto"/>
              <w:left w:val="nil"/>
              <w:bottom w:val="single" w:sz="4" w:space="0" w:color="auto"/>
              <w:right w:val="single" w:sz="4" w:space="0" w:color="auto"/>
            </w:tcBorders>
            <w:shd w:val="clear" w:color="auto" w:fill="4F81BD" w:themeFill="accent1"/>
            <w:noWrap/>
          </w:tcPr>
          <w:p w:rsidR="002C0A36" w:rsidRPr="000573ED" w:rsidRDefault="002C0A36" w:rsidP="007730AA">
            <w:pPr>
              <w:spacing w:before="0" w:line="276" w:lineRule="auto"/>
              <w:ind w:firstLine="0"/>
              <w:contextualSpacing w:val="0"/>
              <w:jc w:val="left"/>
              <w:rPr>
                <w:color w:val="FFFFFF" w:themeColor="background1"/>
                <w:sz w:val="18"/>
                <w:szCs w:val="18"/>
              </w:rPr>
            </w:pPr>
            <w:r w:rsidRPr="000573ED">
              <w:rPr>
                <w:color w:val="FFFFFF" w:themeColor="background1"/>
                <w:sz w:val="18"/>
                <w:szCs w:val="18"/>
              </w:rPr>
              <w:t>2018թ.</w:t>
            </w:r>
          </w:p>
        </w:tc>
        <w:tc>
          <w:tcPr>
            <w:tcW w:w="1842" w:type="dxa"/>
            <w:tcBorders>
              <w:top w:val="single" w:sz="4" w:space="0" w:color="auto"/>
              <w:left w:val="nil"/>
              <w:bottom w:val="single" w:sz="4" w:space="0" w:color="auto"/>
              <w:right w:val="single" w:sz="4" w:space="0" w:color="auto"/>
            </w:tcBorders>
            <w:shd w:val="clear" w:color="auto" w:fill="4F81BD" w:themeFill="accent1"/>
            <w:noWrap/>
          </w:tcPr>
          <w:p w:rsidR="002C0A36" w:rsidRPr="000573ED" w:rsidRDefault="002C0A36" w:rsidP="007730AA">
            <w:pPr>
              <w:spacing w:before="0" w:line="276" w:lineRule="auto"/>
              <w:ind w:firstLine="0"/>
              <w:contextualSpacing w:val="0"/>
              <w:jc w:val="left"/>
              <w:rPr>
                <w:color w:val="FFFFFF" w:themeColor="background1"/>
                <w:sz w:val="18"/>
                <w:szCs w:val="18"/>
              </w:rPr>
            </w:pPr>
            <w:r w:rsidRPr="000573ED">
              <w:rPr>
                <w:color w:val="FFFFFF" w:themeColor="background1"/>
                <w:sz w:val="18"/>
                <w:szCs w:val="18"/>
              </w:rPr>
              <w:t>2019թ.</w:t>
            </w:r>
          </w:p>
        </w:tc>
        <w:tc>
          <w:tcPr>
            <w:tcW w:w="1985" w:type="dxa"/>
            <w:tcBorders>
              <w:top w:val="single" w:sz="4" w:space="0" w:color="auto"/>
              <w:left w:val="single" w:sz="4" w:space="0" w:color="auto"/>
              <w:bottom w:val="single" w:sz="4" w:space="0" w:color="auto"/>
              <w:right w:val="single" w:sz="4" w:space="0" w:color="auto"/>
            </w:tcBorders>
            <w:shd w:val="clear" w:color="auto" w:fill="4F81BD" w:themeFill="accent1"/>
            <w:noWrap/>
          </w:tcPr>
          <w:p w:rsidR="002C0A36" w:rsidRPr="000573ED" w:rsidRDefault="002C0A36" w:rsidP="007730AA">
            <w:pPr>
              <w:spacing w:before="0" w:line="276" w:lineRule="auto"/>
              <w:ind w:firstLine="0"/>
              <w:contextualSpacing w:val="0"/>
              <w:jc w:val="center"/>
              <w:rPr>
                <w:color w:val="FFFFFF" w:themeColor="background1"/>
                <w:sz w:val="18"/>
                <w:szCs w:val="18"/>
              </w:rPr>
            </w:pPr>
            <w:r w:rsidRPr="000573ED">
              <w:rPr>
                <w:color w:val="FFFFFF" w:themeColor="background1"/>
                <w:sz w:val="18"/>
                <w:szCs w:val="18"/>
              </w:rPr>
              <w:t xml:space="preserve">2020թ. </w:t>
            </w:r>
            <w:r w:rsidRPr="000573ED">
              <w:rPr>
                <w:color w:val="FFFFFF" w:themeColor="background1"/>
                <w:sz w:val="18"/>
                <w:szCs w:val="18"/>
              </w:rPr>
              <w:br/>
              <w:t>1-ին կիսամյակ</w:t>
            </w:r>
          </w:p>
        </w:tc>
      </w:tr>
      <w:tr w:rsidR="002C0A36" w:rsidRPr="002C0A36" w:rsidTr="007E430F">
        <w:trPr>
          <w:trHeight w:val="191"/>
          <w:tblHeader/>
        </w:trPr>
        <w:tc>
          <w:tcPr>
            <w:tcW w:w="4077" w:type="dxa"/>
            <w:tcBorders>
              <w:top w:val="nil"/>
              <w:left w:val="single" w:sz="8"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1. Ընդամենը ակտիվներ</w:t>
            </w:r>
          </w:p>
        </w:tc>
        <w:tc>
          <w:tcPr>
            <w:tcW w:w="1560" w:type="dxa"/>
            <w:tcBorders>
              <w:top w:val="nil"/>
              <w:left w:val="nil"/>
              <w:bottom w:val="single" w:sz="4" w:space="0" w:color="auto"/>
              <w:right w:val="single" w:sz="8" w:space="0" w:color="auto"/>
            </w:tcBorders>
            <w:shd w:val="clear" w:color="auto" w:fill="C6D9F1" w:themeFill="text2" w:themeFillTint="33"/>
            <w:noWrap/>
            <w:vAlign w:val="center"/>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28</w:t>
            </w:r>
            <w:r w:rsidRPr="002C0A36">
              <w:rPr>
                <w:b w:val="0"/>
                <w:sz w:val="18"/>
                <w:szCs w:val="18"/>
              </w:rPr>
              <w:t>,2</w:t>
            </w:r>
            <w:r w:rsidRPr="002C0A36">
              <w:rPr>
                <w:b w:val="0"/>
                <w:sz w:val="18"/>
                <w:szCs w:val="18"/>
                <w:lang w:val="en-US"/>
              </w:rPr>
              <w:t>61</w:t>
            </w:r>
            <w:r w:rsidRPr="002C0A36">
              <w:rPr>
                <w:b w:val="0"/>
                <w:sz w:val="18"/>
                <w:szCs w:val="18"/>
              </w:rPr>
              <w:t>,</w:t>
            </w:r>
            <w:r w:rsidRPr="002C0A36">
              <w:rPr>
                <w:b w:val="0"/>
                <w:sz w:val="18"/>
                <w:szCs w:val="18"/>
                <w:lang w:val="en-US"/>
              </w:rPr>
              <w:t>7</w:t>
            </w:r>
            <w:r w:rsidRPr="002C0A36">
              <w:rPr>
                <w:b w:val="0"/>
                <w:sz w:val="18"/>
                <w:szCs w:val="18"/>
              </w:rPr>
              <w:t>7</w:t>
            </w:r>
            <w:r w:rsidRPr="002C0A36">
              <w:rPr>
                <w:b w:val="0"/>
                <w:sz w:val="18"/>
                <w:szCs w:val="18"/>
                <w:lang w:val="en-US"/>
              </w:rPr>
              <w:t>3</w:t>
            </w:r>
            <w:r w:rsidRPr="002C0A36">
              <w:rPr>
                <w:b w:val="0"/>
                <w:sz w:val="18"/>
                <w:szCs w:val="18"/>
              </w:rPr>
              <w:t>.</w:t>
            </w:r>
            <w:r w:rsidRPr="002C0A36">
              <w:rPr>
                <w:b w:val="0"/>
                <w:sz w:val="18"/>
                <w:szCs w:val="18"/>
                <w:lang w:val="en-US"/>
              </w:rPr>
              <w:t>0</w:t>
            </w:r>
          </w:p>
        </w:tc>
        <w:tc>
          <w:tcPr>
            <w:tcW w:w="1842"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27</w:t>
            </w:r>
            <w:r w:rsidRPr="002C0A36">
              <w:rPr>
                <w:b w:val="0"/>
                <w:sz w:val="18"/>
                <w:szCs w:val="18"/>
              </w:rPr>
              <w:t>,</w:t>
            </w:r>
            <w:r w:rsidRPr="002C0A36">
              <w:rPr>
                <w:b w:val="0"/>
                <w:sz w:val="18"/>
                <w:szCs w:val="18"/>
                <w:lang w:val="en-US"/>
              </w:rPr>
              <w:t>971</w:t>
            </w:r>
            <w:r w:rsidRPr="002C0A36">
              <w:rPr>
                <w:b w:val="0"/>
                <w:sz w:val="18"/>
                <w:szCs w:val="18"/>
              </w:rPr>
              <w:t>,0</w:t>
            </w:r>
            <w:r w:rsidRPr="002C0A36">
              <w:rPr>
                <w:b w:val="0"/>
                <w:sz w:val="18"/>
                <w:szCs w:val="18"/>
                <w:lang w:val="en-US"/>
              </w:rPr>
              <w:t>1</w:t>
            </w:r>
            <w:r w:rsidRPr="002C0A36">
              <w:rPr>
                <w:b w:val="0"/>
                <w:sz w:val="18"/>
                <w:szCs w:val="18"/>
              </w:rPr>
              <w:t>2.</w:t>
            </w:r>
            <w:r w:rsidRPr="002C0A36">
              <w:rPr>
                <w:b w:val="0"/>
                <w:sz w:val="18"/>
                <w:szCs w:val="18"/>
                <w:lang w:val="en-US"/>
              </w:rPr>
              <w:t>0</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lang w:val="en-US"/>
              </w:rPr>
              <w:t>25</w:t>
            </w:r>
            <w:r w:rsidRPr="002C0A36">
              <w:rPr>
                <w:b w:val="0"/>
                <w:sz w:val="18"/>
                <w:szCs w:val="18"/>
              </w:rPr>
              <w:t>,</w:t>
            </w:r>
            <w:r w:rsidRPr="002C0A36">
              <w:rPr>
                <w:b w:val="0"/>
                <w:sz w:val="18"/>
                <w:szCs w:val="18"/>
                <w:lang w:val="en-US"/>
              </w:rPr>
              <w:t>061</w:t>
            </w:r>
            <w:r w:rsidRPr="002C0A36">
              <w:rPr>
                <w:b w:val="0"/>
                <w:sz w:val="18"/>
                <w:szCs w:val="18"/>
              </w:rPr>
              <w:t>,</w:t>
            </w:r>
            <w:r w:rsidRPr="002C0A36">
              <w:rPr>
                <w:b w:val="0"/>
                <w:sz w:val="18"/>
                <w:szCs w:val="18"/>
                <w:lang w:val="en-US"/>
              </w:rPr>
              <w:t>5</w:t>
            </w:r>
            <w:r w:rsidRPr="002C0A36">
              <w:rPr>
                <w:b w:val="0"/>
                <w:sz w:val="18"/>
                <w:szCs w:val="18"/>
              </w:rPr>
              <w:t xml:space="preserve">30.0 </w:t>
            </w:r>
          </w:p>
        </w:tc>
      </w:tr>
      <w:tr w:rsidR="002C0A36" w:rsidRPr="002C0A36" w:rsidTr="007E430F">
        <w:trPr>
          <w:trHeight w:val="187"/>
          <w:tblHeader/>
        </w:trPr>
        <w:tc>
          <w:tcPr>
            <w:tcW w:w="4077" w:type="dxa"/>
            <w:tcBorders>
              <w:top w:val="nil"/>
              <w:left w:val="single" w:sz="8" w:space="0" w:color="auto"/>
              <w:bottom w:val="single" w:sz="4" w:space="0" w:color="auto"/>
              <w:right w:val="single" w:sz="4" w:space="0" w:color="auto"/>
            </w:tcBorders>
            <w:vAlign w:val="bottom"/>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 Ընթացիկ ակտիվներ</w:t>
            </w:r>
          </w:p>
        </w:tc>
        <w:tc>
          <w:tcPr>
            <w:tcW w:w="1560" w:type="dxa"/>
            <w:tcBorders>
              <w:top w:val="nil"/>
              <w:left w:val="nil"/>
              <w:bottom w:val="single" w:sz="4" w:space="0" w:color="auto"/>
              <w:right w:val="single" w:sz="8" w:space="0" w:color="auto"/>
            </w:tcBorders>
            <w:noWrap/>
            <w:vAlign w:val="center"/>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rPr>
              <w:t>7,</w:t>
            </w:r>
            <w:r w:rsidRPr="002C0A36">
              <w:rPr>
                <w:b w:val="0"/>
                <w:sz w:val="18"/>
                <w:szCs w:val="18"/>
                <w:lang w:val="en-US"/>
              </w:rPr>
              <w:t>416</w:t>
            </w:r>
            <w:r w:rsidRPr="002C0A36">
              <w:rPr>
                <w:b w:val="0"/>
                <w:sz w:val="18"/>
                <w:szCs w:val="18"/>
              </w:rPr>
              <w:t>,62</w:t>
            </w:r>
            <w:r w:rsidRPr="002C0A36">
              <w:rPr>
                <w:b w:val="0"/>
                <w:sz w:val="18"/>
                <w:szCs w:val="18"/>
                <w:lang w:val="en-US"/>
              </w:rPr>
              <w:t>4</w:t>
            </w:r>
            <w:r w:rsidRPr="002C0A36">
              <w:rPr>
                <w:b w:val="0"/>
                <w:sz w:val="18"/>
                <w:szCs w:val="18"/>
              </w:rPr>
              <w:t>.</w:t>
            </w:r>
            <w:r w:rsidRPr="002C0A36">
              <w:rPr>
                <w:b w:val="0"/>
                <w:sz w:val="18"/>
                <w:szCs w:val="18"/>
                <w:lang w:val="en-US"/>
              </w:rPr>
              <w:t>0</w:t>
            </w:r>
          </w:p>
        </w:tc>
        <w:tc>
          <w:tcPr>
            <w:tcW w:w="1842"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7</w:t>
            </w:r>
            <w:r w:rsidRPr="002C0A36">
              <w:rPr>
                <w:b w:val="0"/>
                <w:sz w:val="18"/>
                <w:szCs w:val="18"/>
              </w:rPr>
              <w:t>,</w:t>
            </w:r>
            <w:r w:rsidRPr="002C0A36">
              <w:rPr>
                <w:b w:val="0"/>
                <w:sz w:val="18"/>
                <w:szCs w:val="18"/>
                <w:lang w:val="en-US"/>
              </w:rPr>
              <w:t>69</w:t>
            </w:r>
            <w:r w:rsidRPr="002C0A36">
              <w:rPr>
                <w:b w:val="0"/>
                <w:sz w:val="18"/>
                <w:szCs w:val="18"/>
              </w:rPr>
              <w:t>3,</w:t>
            </w:r>
            <w:r w:rsidRPr="002C0A36">
              <w:rPr>
                <w:b w:val="0"/>
                <w:sz w:val="18"/>
                <w:szCs w:val="18"/>
                <w:lang w:val="en-US"/>
              </w:rPr>
              <w:t>811</w:t>
            </w:r>
            <w:r w:rsidRPr="002C0A36">
              <w:rPr>
                <w:b w:val="0"/>
                <w:sz w:val="18"/>
                <w:szCs w:val="18"/>
              </w:rPr>
              <w:t>.</w:t>
            </w:r>
            <w:r w:rsidRPr="002C0A36">
              <w:rPr>
                <w:b w:val="0"/>
                <w:sz w:val="18"/>
                <w:szCs w:val="18"/>
                <w:lang w:val="en-US"/>
              </w:rPr>
              <w:t>0</w:t>
            </w:r>
          </w:p>
        </w:tc>
        <w:tc>
          <w:tcPr>
            <w:tcW w:w="1985"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lang w:val="en-US"/>
              </w:rPr>
              <w:t>5</w:t>
            </w:r>
            <w:r w:rsidRPr="002C0A36">
              <w:rPr>
                <w:b w:val="0"/>
                <w:sz w:val="18"/>
                <w:szCs w:val="18"/>
              </w:rPr>
              <w:t>,</w:t>
            </w:r>
            <w:r w:rsidRPr="002C0A36">
              <w:rPr>
                <w:b w:val="0"/>
                <w:sz w:val="18"/>
                <w:szCs w:val="18"/>
                <w:lang w:val="en-US"/>
              </w:rPr>
              <w:t>280</w:t>
            </w:r>
            <w:r w:rsidRPr="002C0A36">
              <w:rPr>
                <w:b w:val="0"/>
                <w:sz w:val="18"/>
                <w:szCs w:val="18"/>
              </w:rPr>
              <w:t>,2</w:t>
            </w:r>
            <w:r w:rsidRPr="002C0A36">
              <w:rPr>
                <w:b w:val="0"/>
                <w:sz w:val="18"/>
                <w:szCs w:val="18"/>
                <w:lang w:val="en-US"/>
              </w:rPr>
              <w:t>90</w:t>
            </w:r>
            <w:r w:rsidRPr="002C0A36">
              <w:rPr>
                <w:b w:val="0"/>
                <w:sz w:val="18"/>
                <w:szCs w:val="18"/>
              </w:rPr>
              <w:t xml:space="preserve">.0 </w:t>
            </w:r>
          </w:p>
        </w:tc>
      </w:tr>
      <w:tr w:rsidR="002C0A36" w:rsidRPr="002C0A36" w:rsidTr="007E430F">
        <w:trPr>
          <w:trHeight w:val="187"/>
          <w:tblHeader/>
        </w:trPr>
        <w:tc>
          <w:tcPr>
            <w:tcW w:w="4077" w:type="dxa"/>
            <w:tcBorders>
              <w:top w:val="nil"/>
              <w:left w:val="single" w:sz="8" w:space="0" w:color="auto"/>
              <w:bottom w:val="single" w:sz="4" w:space="0" w:color="auto"/>
              <w:right w:val="single" w:sz="4" w:space="0" w:color="auto"/>
            </w:tcBorders>
            <w:vAlign w:val="bottom"/>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 xml:space="preserve"> - Ոչ ընթացիկ ակտիվներ</w:t>
            </w:r>
          </w:p>
        </w:tc>
        <w:tc>
          <w:tcPr>
            <w:tcW w:w="1560" w:type="dxa"/>
            <w:tcBorders>
              <w:top w:val="nil"/>
              <w:left w:val="nil"/>
              <w:bottom w:val="single" w:sz="4" w:space="0" w:color="auto"/>
              <w:right w:val="single" w:sz="8" w:space="0" w:color="auto"/>
            </w:tcBorders>
            <w:noWrap/>
            <w:vAlign w:val="center"/>
            <w:hideMark/>
          </w:tcPr>
          <w:p w:rsidR="002C0A36" w:rsidRPr="002C0A36" w:rsidRDefault="002C0A36" w:rsidP="007730AA">
            <w:pPr>
              <w:spacing w:before="0" w:line="276" w:lineRule="auto"/>
              <w:ind w:firstLine="0"/>
              <w:contextualSpacing w:val="0"/>
              <w:jc w:val="center"/>
              <w:rPr>
                <w:b w:val="0"/>
                <w:sz w:val="18"/>
                <w:szCs w:val="18"/>
              </w:rPr>
            </w:pPr>
            <w:r w:rsidRPr="002C0A36">
              <w:rPr>
                <w:b w:val="0"/>
                <w:sz w:val="18"/>
                <w:szCs w:val="18"/>
                <w:lang w:val="en-US"/>
              </w:rPr>
              <w:t>20</w:t>
            </w:r>
            <w:r w:rsidRPr="002C0A36">
              <w:rPr>
                <w:b w:val="0"/>
                <w:sz w:val="18"/>
                <w:szCs w:val="18"/>
              </w:rPr>
              <w:t>,</w:t>
            </w:r>
            <w:r w:rsidRPr="002C0A36">
              <w:rPr>
                <w:b w:val="0"/>
                <w:sz w:val="18"/>
                <w:szCs w:val="18"/>
                <w:lang w:val="en-US"/>
              </w:rPr>
              <w:t>845</w:t>
            </w:r>
            <w:r w:rsidRPr="002C0A36">
              <w:rPr>
                <w:b w:val="0"/>
                <w:sz w:val="18"/>
                <w:szCs w:val="18"/>
              </w:rPr>
              <w:t>,</w:t>
            </w:r>
            <w:r w:rsidRPr="002C0A36">
              <w:rPr>
                <w:b w:val="0"/>
                <w:sz w:val="18"/>
                <w:szCs w:val="18"/>
                <w:lang w:val="en-US"/>
              </w:rPr>
              <w:t>149</w:t>
            </w:r>
            <w:r w:rsidRPr="002C0A36">
              <w:rPr>
                <w:b w:val="0"/>
                <w:sz w:val="18"/>
                <w:szCs w:val="18"/>
              </w:rPr>
              <w:t>.0</w:t>
            </w:r>
          </w:p>
        </w:tc>
        <w:tc>
          <w:tcPr>
            <w:tcW w:w="1842"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rPr>
              <w:t>2</w:t>
            </w:r>
            <w:r w:rsidRPr="002C0A36">
              <w:rPr>
                <w:b w:val="0"/>
                <w:sz w:val="18"/>
                <w:szCs w:val="18"/>
                <w:lang w:val="en-US"/>
              </w:rPr>
              <w:t>0</w:t>
            </w:r>
            <w:r w:rsidRPr="002C0A36">
              <w:rPr>
                <w:b w:val="0"/>
                <w:sz w:val="18"/>
                <w:szCs w:val="18"/>
              </w:rPr>
              <w:t>,2</w:t>
            </w:r>
            <w:r w:rsidRPr="002C0A36">
              <w:rPr>
                <w:b w:val="0"/>
                <w:sz w:val="18"/>
                <w:szCs w:val="18"/>
                <w:lang w:val="en-US"/>
              </w:rPr>
              <w:t>77</w:t>
            </w:r>
            <w:r w:rsidRPr="002C0A36">
              <w:rPr>
                <w:b w:val="0"/>
                <w:sz w:val="18"/>
                <w:szCs w:val="18"/>
              </w:rPr>
              <w:t>,</w:t>
            </w:r>
            <w:r w:rsidRPr="002C0A36">
              <w:rPr>
                <w:b w:val="0"/>
                <w:sz w:val="18"/>
                <w:szCs w:val="18"/>
                <w:lang w:val="en-US"/>
              </w:rPr>
              <w:t>201</w:t>
            </w:r>
            <w:r w:rsidRPr="002C0A36">
              <w:rPr>
                <w:b w:val="0"/>
                <w:sz w:val="18"/>
                <w:szCs w:val="18"/>
              </w:rPr>
              <w:t>.</w:t>
            </w:r>
            <w:r w:rsidRPr="002C0A36">
              <w:rPr>
                <w:b w:val="0"/>
                <w:sz w:val="18"/>
                <w:szCs w:val="18"/>
                <w:lang w:val="en-US"/>
              </w:rPr>
              <w:t>0</w:t>
            </w:r>
          </w:p>
        </w:tc>
        <w:tc>
          <w:tcPr>
            <w:tcW w:w="1985"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lang w:val="en-US"/>
              </w:rPr>
              <w:t>19</w:t>
            </w:r>
            <w:r w:rsidRPr="002C0A36">
              <w:rPr>
                <w:b w:val="0"/>
                <w:sz w:val="18"/>
                <w:szCs w:val="18"/>
              </w:rPr>
              <w:t>,</w:t>
            </w:r>
            <w:r w:rsidRPr="002C0A36">
              <w:rPr>
                <w:b w:val="0"/>
                <w:sz w:val="18"/>
                <w:szCs w:val="18"/>
                <w:lang w:val="en-US"/>
              </w:rPr>
              <w:t>781</w:t>
            </w:r>
            <w:r w:rsidRPr="002C0A36">
              <w:rPr>
                <w:b w:val="0"/>
                <w:sz w:val="18"/>
                <w:szCs w:val="18"/>
              </w:rPr>
              <w:t>,</w:t>
            </w:r>
            <w:r w:rsidRPr="002C0A36">
              <w:rPr>
                <w:b w:val="0"/>
                <w:sz w:val="18"/>
                <w:szCs w:val="18"/>
                <w:lang w:val="en-US"/>
              </w:rPr>
              <w:t>2</w:t>
            </w:r>
            <w:r w:rsidRPr="002C0A36">
              <w:rPr>
                <w:b w:val="0"/>
                <w:sz w:val="18"/>
                <w:szCs w:val="18"/>
              </w:rPr>
              <w:t xml:space="preserve">40.0 </w:t>
            </w:r>
          </w:p>
        </w:tc>
      </w:tr>
      <w:tr w:rsidR="002C0A36" w:rsidRPr="002C0A36" w:rsidTr="007E430F">
        <w:trPr>
          <w:trHeight w:val="187"/>
          <w:tblHeader/>
        </w:trPr>
        <w:tc>
          <w:tcPr>
            <w:tcW w:w="40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2. Ընդամենը պարտավորություններ</w:t>
            </w:r>
          </w:p>
        </w:tc>
        <w:tc>
          <w:tcPr>
            <w:tcW w:w="15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14</w:t>
            </w:r>
            <w:r w:rsidRPr="002C0A36">
              <w:rPr>
                <w:b w:val="0"/>
                <w:sz w:val="18"/>
                <w:szCs w:val="18"/>
              </w:rPr>
              <w:t>,</w:t>
            </w:r>
            <w:r w:rsidRPr="002C0A36">
              <w:rPr>
                <w:b w:val="0"/>
                <w:sz w:val="18"/>
                <w:szCs w:val="18"/>
                <w:lang w:val="en-US"/>
              </w:rPr>
              <w:t>0</w:t>
            </w:r>
            <w:r w:rsidRPr="002C0A36">
              <w:rPr>
                <w:b w:val="0"/>
                <w:sz w:val="18"/>
                <w:szCs w:val="18"/>
              </w:rPr>
              <w:t>9</w:t>
            </w:r>
            <w:r w:rsidRPr="002C0A36">
              <w:rPr>
                <w:b w:val="0"/>
                <w:sz w:val="18"/>
                <w:szCs w:val="18"/>
                <w:lang w:val="en-US"/>
              </w:rPr>
              <w:t>8</w:t>
            </w:r>
            <w:r w:rsidRPr="002C0A36">
              <w:rPr>
                <w:b w:val="0"/>
                <w:sz w:val="18"/>
                <w:szCs w:val="18"/>
              </w:rPr>
              <w:t>,0</w:t>
            </w:r>
            <w:r w:rsidRPr="002C0A36">
              <w:rPr>
                <w:b w:val="0"/>
                <w:sz w:val="18"/>
                <w:szCs w:val="18"/>
                <w:lang w:val="en-US"/>
              </w:rPr>
              <w:t>44</w:t>
            </w:r>
            <w:r w:rsidRPr="002C0A36">
              <w:rPr>
                <w:b w:val="0"/>
                <w:sz w:val="18"/>
                <w:szCs w:val="18"/>
              </w:rPr>
              <w:t>.</w:t>
            </w:r>
            <w:r w:rsidRPr="002C0A36">
              <w:rPr>
                <w:b w:val="0"/>
                <w:sz w:val="18"/>
                <w:szCs w:val="18"/>
                <w:lang w:val="en-US"/>
              </w:rPr>
              <w:t>0</w:t>
            </w:r>
          </w:p>
        </w:tc>
        <w:tc>
          <w:tcPr>
            <w:tcW w:w="1842"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12</w:t>
            </w:r>
            <w:r w:rsidRPr="002C0A36">
              <w:rPr>
                <w:b w:val="0"/>
                <w:sz w:val="18"/>
                <w:szCs w:val="18"/>
              </w:rPr>
              <w:t>,</w:t>
            </w:r>
            <w:r w:rsidRPr="002C0A36">
              <w:rPr>
                <w:b w:val="0"/>
                <w:sz w:val="18"/>
                <w:szCs w:val="18"/>
                <w:lang w:val="en-US"/>
              </w:rPr>
              <w:t>668</w:t>
            </w:r>
            <w:r w:rsidRPr="002C0A36">
              <w:rPr>
                <w:b w:val="0"/>
                <w:sz w:val="18"/>
                <w:szCs w:val="18"/>
              </w:rPr>
              <w:t>,</w:t>
            </w:r>
            <w:r w:rsidRPr="002C0A36">
              <w:rPr>
                <w:b w:val="0"/>
                <w:sz w:val="18"/>
                <w:szCs w:val="18"/>
                <w:lang w:val="en-US"/>
              </w:rPr>
              <w:t>912</w:t>
            </w:r>
            <w:r w:rsidRPr="002C0A36">
              <w:rPr>
                <w:b w:val="0"/>
                <w:sz w:val="18"/>
                <w:szCs w:val="18"/>
              </w:rPr>
              <w:t>.</w:t>
            </w:r>
            <w:r w:rsidRPr="002C0A36">
              <w:rPr>
                <w:b w:val="0"/>
                <w:sz w:val="18"/>
                <w:szCs w:val="18"/>
                <w:lang w:val="en-US"/>
              </w:rPr>
              <w:t>0</w:t>
            </w:r>
          </w:p>
        </w:tc>
        <w:tc>
          <w:tcPr>
            <w:tcW w:w="1985"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lang w:val="en-US"/>
              </w:rPr>
              <w:t>12</w:t>
            </w:r>
            <w:r w:rsidRPr="002C0A36">
              <w:rPr>
                <w:b w:val="0"/>
                <w:sz w:val="18"/>
                <w:szCs w:val="18"/>
              </w:rPr>
              <w:t>,</w:t>
            </w:r>
            <w:r w:rsidRPr="002C0A36">
              <w:rPr>
                <w:b w:val="0"/>
                <w:sz w:val="18"/>
                <w:szCs w:val="18"/>
                <w:lang w:val="en-US"/>
              </w:rPr>
              <w:t>348</w:t>
            </w:r>
            <w:r w:rsidRPr="002C0A36">
              <w:rPr>
                <w:b w:val="0"/>
                <w:sz w:val="18"/>
                <w:szCs w:val="18"/>
              </w:rPr>
              <w:t>,</w:t>
            </w:r>
            <w:r w:rsidRPr="002C0A36">
              <w:rPr>
                <w:b w:val="0"/>
                <w:sz w:val="18"/>
                <w:szCs w:val="18"/>
                <w:lang w:val="en-US"/>
              </w:rPr>
              <w:t>971</w:t>
            </w:r>
            <w:r w:rsidRPr="002C0A36">
              <w:rPr>
                <w:b w:val="0"/>
                <w:sz w:val="18"/>
                <w:szCs w:val="18"/>
              </w:rPr>
              <w:t xml:space="preserve">.0 </w:t>
            </w:r>
          </w:p>
        </w:tc>
      </w:tr>
      <w:tr w:rsidR="002C0A36" w:rsidRPr="002C0A36" w:rsidTr="007E430F">
        <w:trPr>
          <w:trHeight w:val="187"/>
          <w:tblHeader/>
        </w:trPr>
        <w:tc>
          <w:tcPr>
            <w:tcW w:w="4077" w:type="dxa"/>
            <w:tcBorders>
              <w:top w:val="single" w:sz="4" w:space="0" w:color="auto"/>
              <w:left w:val="single" w:sz="4" w:space="0" w:color="auto"/>
              <w:bottom w:val="single" w:sz="4" w:space="0" w:color="auto"/>
              <w:right w:val="single" w:sz="4" w:space="0" w:color="auto"/>
            </w:tcBorders>
            <w:vAlign w:val="bottom"/>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 xml:space="preserve"> - Ընթացիկ պարտավորություններ</w:t>
            </w:r>
          </w:p>
        </w:tc>
        <w:tc>
          <w:tcPr>
            <w:tcW w:w="1560" w:type="dxa"/>
            <w:tcBorders>
              <w:top w:val="single" w:sz="4" w:space="0" w:color="auto"/>
              <w:left w:val="nil"/>
              <w:bottom w:val="single" w:sz="4" w:space="0" w:color="auto"/>
              <w:right w:val="single" w:sz="4" w:space="0" w:color="auto"/>
            </w:tcBorders>
            <w:noWrap/>
            <w:vAlign w:val="center"/>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2</w:t>
            </w:r>
            <w:r w:rsidRPr="002C0A36">
              <w:rPr>
                <w:b w:val="0"/>
                <w:sz w:val="18"/>
                <w:szCs w:val="18"/>
              </w:rPr>
              <w:t>,</w:t>
            </w:r>
            <w:r w:rsidRPr="002C0A36">
              <w:rPr>
                <w:b w:val="0"/>
                <w:sz w:val="18"/>
                <w:szCs w:val="18"/>
                <w:lang w:val="en-US"/>
              </w:rPr>
              <w:t>290</w:t>
            </w:r>
            <w:r w:rsidRPr="002C0A36">
              <w:rPr>
                <w:b w:val="0"/>
                <w:sz w:val="18"/>
                <w:szCs w:val="18"/>
              </w:rPr>
              <w:t>,</w:t>
            </w:r>
            <w:r w:rsidRPr="002C0A36">
              <w:rPr>
                <w:b w:val="0"/>
                <w:sz w:val="18"/>
                <w:szCs w:val="18"/>
                <w:lang w:val="en-US"/>
              </w:rPr>
              <w:t>818</w:t>
            </w:r>
            <w:r w:rsidRPr="002C0A36">
              <w:rPr>
                <w:b w:val="0"/>
                <w:sz w:val="18"/>
                <w:szCs w:val="18"/>
              </w:rPr>
              <w:t>.</w:t>
            </w:r>
            <w:r w:rsidRPr="002C0A36">
              <w:rPr>
                <w:b w:val="0"/>
                <w:sz w:val="18"/>
                <w:szCs w:val="18"/>
                <w:lang w:val="en-US"/>
              </w:rPr>
              <w:t>0</w:t>
            </w:r>
          </w:p>
        </w:tc>
        <w:tc>
          <w:tcPr>
            <w:tcW w:w="1842"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2</w:t>
            </w:r>
            <w:r w:rsidRPr="002C0A36">
              <w:rPr>
                <w:b w:val="0"/>
                <w:sz w:val="18"/>
                <w:szCs w:val="18"/>
              </w:rPr>
              <w:t>,0</w:t>
            </w:r>
            <w:r w:rsidRPr="002C0A36">
              <w:rPr>
                <w:b w:val="0"/>
                <w:sz w:val="18"/>
                <w:szCs w:val="18"/>
                <w:lang w:val="en-US"/>
              </w:rPr>
              <w:t>19</w:t>
            </w:r>
            <w:r w:rsidRPr="002C0A36">
              <w:rPr>
                <w:b w:val="0"/>
                <w:sz w:val="18"/>
                <w:szCs w:val="18"/>
              </w:rPr>
              <w:t>,</w:t>
            </w:r>
            <w:r w:rsidRPr="002C0A36">
              <w:rPr>
                <w:b w:val="0"/>
                <w:sz w:val="18"/>
                <w:szCs w:val="18"/>
                <w:lang w:val="en-US"/>
              </w:rPr>
              <w:t>561</w:t>
            </w:r>
            <w:r w:rsidRPr="002C0A36">
              <w:rPr>
                <w:b w:val="0"/>
                <w:sz w:val="18"/>
                <w:szCs w:val="18"/>
              </w:rPr>
              <w:t>.</w:t>
            </w:r>
            <w:r w:rsidRPr="002C0A36">
              <w:rPr>
                <w:b w:val="0"/>
                <w:sz w:val="18"/>
                <w:szCs w:val="18"/>
                <w:lang w:val="en-US"/>
              </w:rPr>
              <w:t>0</w:t>
            </w:r>
          </w:p>
        </w:tc>
        <w:tc>
          <w:tcPr>
            <w:tcW w:w="1985"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lang w:val="en-US"/>
              </w:rPr>
              <w:t>1</w:t>
            </w:r>
            <w:r w:rsidRPr="002C0A36">
              <w:rPr>
                <w:b w:val="0"/>
                <w:sz w:val="18"/>
                <w:szCs w:val="18"/>
              </w:rPr>
              <w:t>,</w:t>
            </w:r>
            <w:r w:rsidRPr="002C0A36">
              <w:rPr>
                <w:b w:val="0"/>
                <w:sz w:val="18"/>
                <w:szCs w:val="18"/>
                <w:lang w:val="en-US"/>
              </w:rPr>
              <w:t>838</w:t>
            </w:r>
            <w:r w:rsidRPr="002C0A36">
              <w:rPr>
                <w:b w:val="0"/>
                <w:sz w:val="18"/>
                <w:szCs w:val="18"/>
              </w:rPr>
              <w:t>,</w:t>
            </w:r>
            <w:r w:rsidRPr="002C0A36">
              <w:rPr>
                <w:b w:val="0"/>
                <w:sz w:val="18"/>
                <w:szCs w:val="18"/>
                <w:lang w:val="en-US"/>
              </w:rPr>
              <w:t>521</w:t>
            </w:r>
            <w:r w:rsidRPr="002C0A36">
              <w:rPr>
                <w:b w:val="0"/>
                <w:sz w:val="18"/>
                <w:szCs w:val="18"/>
              </w:rPr>
              <w:t xml:space="preserve">.0 </w:t>
            </w:r>
          </w:p>
        </w:tc>
      </w:tr>
      <w:tr w:rsidR="002C0A36" w:rsidRPr="002C0A36" w:rsidTr="007E430F">
        <w:trPr>
          <w:trHeight w:val="187"/>
          <w:tblHeader/>
        </w:trPr>
        <w:tc>
          <w:tcPr>
            <w:tcW w:w="4077" w:type="dxa"/>
            <w:tcBorders>
              <w:top w:val="single" w:sz="4" w:space="0" w:color="auto"/>
              <w:left w:val="single" w:sz="4" w:space="0" w:color="auto"/>
              <w:bottom w:val="single" w:sz="4" w:space="0" w:color="auto"/>
              <w:right w:val="single" w:sz="4" w:space="0" w:color="auto"/>
            </w:tcBorders>
            <w:vAlign w:val="bottom"/>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 Ոչ ընթացիկ պարտավորություններ</w:t>
            </w:r>
          </w:p>
        </w:tc>
        <w:tc>
          <w:tcPr>
            <w:tcW w:w="1560" w:type="dxa"/>
            <w:tcBorders>
              <w:top w:val="single" w:sz="4" w:space="0" w:color="auto"/>
              <w:left w:val="nil"/>
              <w:bottom w:val="single" w:sz="4" w:space="0" w:color="auto"/>
              <w:right w:val="single" w:sz="4" w:space="0" w:color="auto"/>
            </w:tcBorders>
            <w:noWrap/>
            <w:vAlign w:val="center"/>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11</w:t>
            </w:r>
            <w:r w:rsidRPr="002C0A36">
              <w:rPr>
                <w:b w:val="0"/>
                <w:sz w:val="18"/>
                <w:szCs w:val="18"/>
              </w:rPr>
              <w:t>,8</w:t>
            </w:r>
            <w:r w:rsidRPr="002C0A36">
              <w:rPr>
                <w:b w:val="0"/>
                <w:sz w:val="18"/>
                <w:szCs w:val="18"/>
                <w:lang w:val="en-US"/>
              </w:rPr>
              <w:t>07</w:t>
            </w:r>
            <w:r w:rsidRPr="002C0A36">
              <w:rPr>
                <w:b w:val="0"/>
                <w:sz w:val="18"/>
                <w:szCs w:val="18"/>
              </w:rPr>
              <w:t>,</w:t>
            </w:r>
            <w:r w:rsidRPr="002C0A36">
              <w:rPr>
                <w:b w:val="0"/>
                <w:sz w:val="18"/>
                <w:szCs w:val="18"/>
                <w:lang w:val="en-US"/>
              </w:rPr>
              <w:t>22</w:t>
            </w:r>
            <w:r w:rsidRPr="002C0A36">
              <w:rPr>
                <w:b w:val="0"/>
                <w:sz w:val="18"/>
                <w:szCs w:val="18"/>
              </w:rPr>
              <w:t>6.</w:t>
            </w:r>
            <w:r w:rsidRPr="002C0A36">
              <w:rPr>
                <w:b w:val="0"/>
                <w:sz w:val="18"/>
                <w:szCs w:val="18"/>
                <w:lang w:val="en-US"/>
              </w:rPr>
              <w:t>0</w:t>
            </w:r>
          </w:p>
        </w:tc>
        <w:tc>
          <w:tcPr>
            <w:tcW w:w="1842"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10,649,351.0</w:t>
            </w:r>
          </w:p>
        </w:tc>
        <w:tc>
          <w:tcPr>
            <w:tcW w:w="1985" w:type="dxa"/>
            <w:tcBorders>
              <w:top w:val="nil"/>
              <w:left w:val="single" w:sz="4" w:space="0" w:color="auto"/>
              <w:bottom w:val="single" w:sz="4" w:space="0" w:color="auto"/>
              <w:right w:val="single" w:sz="4" w:space="0" w:color="auto"/>
            </w:tcBorders>
            <w:noWrap/>
            <w:vAlign w:val="center"/>
          </w:tcPr>
          <w:p w:rsidR="002C0A36" w:rsidRPr="002C0A36" w:rsidRDefault="002C0A36" w:rsidP="007730AA">
            <w:pPr>
              <w:spacing w:before="0" w:line="276" w:lineRule="auto"/>
              <w:ind w:firstLine="0"/>
              <w:contextualSpacing w:val="0"/>
              <w:jc w:val="left"/>
              <w:rPr>
                <w:b w:val="0"/>
                <w:sz w:val="18"/>
                <w:szCs w:val="18"/>
                <w:lang w:val="en-US"/>
              </w:rPr>
            </w:pPr>
            <w:r w:rsidRPr="002C0A36">
              <w:rPr>
                <w:b w:val="0"/>
                <w:sz w:val="18"/>
                <w:szCs w:val="18"/>
                <w:lang w:val="en-US"/>
              </w:rPr>
              <w:t xml:space="preserve">10,510,450.0 </w:t>
            </w:r>
          </w:p>
        </w:tc>
      </w:tr>
      <w:tr w:rsidR="002C0A36" w:rsidRPr="002C0A36" w:rsidTr="007E430F">
        <w:trPr>
          <w:trHeight w:val="187"/>
          <w:tblHeader/>
        </w:trPr>
        <w:tc>
          <w:tcPr>
            <w:tcW w:w="407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3. Սեփական կապիտալ (զուտ ակտիվներ)</w:t>
            </w:r>
          </w:p>
        </w:tc>
        <w:tc>
          <w:tcPr>
            <w:tcW w:w="1560"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14,163,729.0</w:t>
            </w:r>
          </w:p>
        </w:tc>
        <w:tc>
          <w:tcPr>
            <w:tcW w:w="1842"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15,302,100.0</w:t>
            </w:r>
          </w:p>
        </w:tc>
        <w:tc>
          <w:tcPr>
            <w:tcW w:w="1985"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12,712,560.0</w:t>
            </w:r>
          </w:p>
        </w:tc>
      </w:tr>
    </w:tbl>
    <w:p w:rsidR="002C0A36" w:rsidRPr="002C0A36" w:rsidRDefault="002C0A36" w:rsidP="007730AA">
      <w:pPr>
        <w:shd w:val="clear" w:color="auto" w:fill="FFFFFF"/>
        <w:spacing w:before="0" w:line="276" w:lineRule="auto"/>
        <w:ind w:firstLine="0"/>
        <w:contextualSpacing w:val="0"/>
        <w:jc w:val="left"/>
        <w:rPr>
          <w:b w:val="0"/>
          <w:i/>
          <w:color w:val="000000"/>
          <w:sz w:val="18"/>
          <w:szCs w:val="18"/>
        </w:rPr>
      </w:pPr>
    </w:p>
    <w:p w:rsidR="002C0A36" w:rsidRPr="002C0A36" w:rsidRDefault="002C0A36" w:rsidP="007730AA">
      <w:pPr>
        <w:shd w:val="clear" w:color="auto" w:fill="FFFFFF"/>
        <w:spacing w:before="0" w:line="276" w:lineRule="auto"/>
        <w:contextualSpacing w:val="0"/>
        <w:rPr>
          <w:b w:val="0"/>
          <w:color w:val="000000"/>
          <w:szCs w:val="22"/>
        </w:rPr>
      </w:pPr>
      <w:r w:rsidRPr="002C0A36">
        <w:rPr>
          <w:b w:val="0"/>
          <w:color w:val="000000"/>
          <w:szCs w:val="22"/>
        </w:rPr>
        <w:t>Հաշվետու ժամանակաշրջանում նախորդ ժամանակաշրջանի նկատմամբ Ընկերությունների հանրագումարային սեփական կապիտալն ավելացել է 1.1 մլրդ դրամով (7.7%):</w:t>
      </w:r>
      <w:r w:rsidRPr="002C0A36">
        <w:rPr>
          <w:b w:val="0"/>
          <w:szCs w:val="22"/>
        </w:rPr>
        <w:t>, իսկ միջանկյալ ժամանակաշրջանում</w:t>
      </w:r>
      <w:r w:rsidRPr="002C0A36">
        <w:rPr>
          <w:b w:val="0"/>
          <w:szCs w:val="22"/>
          <w:lang w:val="en-US"/>
        </w:rPr>
        <w:t>՝</w:t>
      </w:r>
      <w:r w:rsidRPr="002C0A36">
        <w:rPr>
          <w:b w:val="0"/>
          <w:szCs w:val="22"/>
        </w:rPr>
        <w:t xml:space="preserve"> հանրագումարային սեփական կապիտալ</w:t>
      </w:r>
      <w:r w:rsidRPr="002C0A36">
        <w:rPr>
          <w:b w:val="0"/>
          <w:szCs w:val="22"/>
          <w:lang w:val="en-US"/>
        </w:rPr>
        <w:t>ը</w:t>
      </w:r>
      <w:r w:rsidRPr="002C0A36">
        <w:rPr>
          <w:b w:val="0"/>
          <w:szCs w:val="22"/>
        </w:rPr>
        <w:t xml:space="preserve">ն </w:t>
      </w:r>
      <w:r w:rsidRPr="002C0A36">
        <w:rPr>
          <w:b w:val="0"/>
          <w:szCs w:val="22"/>
          <w:lang w:val="en-US"/>
        </w:rPr>
        <w:t>նվազ</w:t>
      </w:r>
      <w:r w:rsidRPr="002C0A36">
        <w:rPr>
          <w:b w:val="0"/>
          <w:szCs w:val="22"/>
        </w:rPr>
        <w:t>ել է 1.7 մլրդ դրամով (12.2%):</w:t>
      </w:r>
      <w:r w:rsidRPr="002C0A36">
        <w:rPr>
          <w:b w:val="0"/>
          <w:color w:val="000000"/>
          <w:szCs w:val="22"/>
        </w:rPr>
        <w:t xml:space="preserve"> </w:t>
      </w:r>
    </w:p>
    <w:p w:rsidR="002C0A36" w:rsidRPr="002C0A36" w:rsidRDefault="002C0A36" w:rsidP="007730AA">
      <w:pPr>
        <w:shd w:val="clear" w:color="auto" w:fill="FFFFFF"/>
        <w:spacing w:before="0" w:line="276" w:lineRule="auto"/>
        <w:contextualSpacing w:val="0"/>
        <w:rPr>
          <w:b w:val="0"/>
          <w:color w:val="000000"/>
          <w:szCs w:val="22"/>
        </w:rPr>
      </w:pPr>
      <w:r w:rsidRPr="002C0A36">
        <w:rPr>
          <w:b w:val="0"/>
          <w:color w:val="000000"/>
          <w:szCs w:val="22"/>
        </w:rPr>
        <w:t>Վարկային պարտավորությունների հետ կապված անհրաժեշտ է նշել, որ Ընկերությունները չունեն ժամկետանց վարկային պարտավորություններ, ինչպես նաև ՀՀ կառավարության կողմից բյուջետային երաշխիքներ չեն ստացել:</w:t>
      </w:r>
    </w:p>
    <w:p w:rsidR="002C0A36" w:rsidRPr="002C0A36" w:rsidRDefault="002C0A36" w:rsidP="007730AA">
      <w:pPr>
        <w:shd w:val="clear" w:color="auto" w:fill="FFFFFF"/>
        <w:spacing w:before="0" w:line="276" w:lineRule="auto"/>
        <w:contextualSpacing w:val="0"/>
        <w:rPr>
          <w:b w:val="0"/>
          <w:color w:val="000000"/>
          <w:szCs w:val="22"/>
        </w:rPr>
      </w:pPr>
      <w:r w:rsidRPr="002C0A36">
        <w:rPr>
          <w:b w:val="0"/>
          <w:color w:val="000000"/>
          <w:szCs w:val="22"/>
        </w:rPr>
        <w:t>Հարկ է նաև նշել, որ «Կարեն Դեմիրճյանի անվան Երևանի մետրոպոլիտեն»</w:t>
      </w:r>
      <w:r w:rsidRPr="002C0A36">
        <w:rPr>
          <w:rFonts w:ascii="Calibri" w:hAnsi="Calibri" w:cs="Calibri"/>
          <w:b w:val="0"/>
          <w:color w:val="000000"/>
          <w:szCs w:val="22"/>
        </w:rPr>
        <w:t> </w:t>
      </w:r>
      <w:r w:rsidRPr="002C0A36">
        <w:rPr>
          <w:b w:val="0"/>
          <w:color w:val="000000"/>
          <w:szCs w:val="22"/>
        </w:rPr>
        <w:t>ՓԲԸ-ին ՀՀ պետական բյուջեից տրամադրվող սուբսիդիայի հաշվարկներում ներառված են նաև միջազգային ֆինանսական կազմակերպությունների աջակցությամբ իրականացվող վարկային ծրագրերի շրջանակներում այս ընկերությանը ենթավարկային պայմանագրերով տրամադրված վարկերի մայր գումարների և հաշվարկված տոկոսների մարումները:</w:t>
      </w:r>
    </w:p>
    <w:p w:rsidR="002C0A36" w:rsidRPr="002C0A36" w:rsidRDefault="002C0A36" w:rsidP="007730AA">
      <w:pPr>
        <w:shd w:val="clear" w:color="auto" w:fill="FFFFFF"/>
        <w:spacing w:before="0" w:line="276" w:lineRule="auto"/>
        <w:contextualSpacing w:val="0"/>
        <w:rPr>
          <w:b w:val="0"/>
          <w:color w:val="000000"/>
          <w:szCs w:val="22"/>
        </w:rPr>
      </w:pPr>
      <w:r w:rsidRPr="002C0A36">
        <w:rPr>
          <w:b w:val="0"/>
          <w:color w:val="000000"/>
          <w:szCs w:val="22"/>
        </w:rPr>
        <w:t>Ընկերությունները ներգրավված չեն այնպիսի տեղական կամ միջազգային դատական վարույթներում, որոնք կարող են էական ազդեցություն ունենալ իրենց ֆինանսական վիճակի վրա:</w:t>
      </w:r>
    </w:p>
    <w:p w:rsidR="002C0A36" w:rsidRPr="002C0A36" w:rsidRDefault="002C0A36" w:rsidP="007730AA">
      <w:pPr>
        <w:shd w:val="clear" w:color="auto" w:fill="FFFFFF"/>
        <w:spacing w:before="0" w:line="276" w:lineRule="auto"/>
        <w:contextualSpacing w:val="0"/>
        <w:rPr>
          <w:b w:val="0"/>
          <w:color w:val="000000"/>
          <w:szCs w:val="22"/>
        </w:rPr>
      </w:pPr>
      <w:r w:rsidRPr="002C0A36">
        <w:rPr>
          <w:b w:val="0"/>
          <w:color w:val="000000"/>
          <w:szCs w:val="22"/>
        </w:rPr>
        <w:t>Հաշվետու ժամանակաշրջանում ՀՀ պետական բյուջե շահութաբաժիններ վճարվել է միայն «Հայաէրոնավիգացիա» ՓԲԸ-ի կողմից` 406.6 մլն դրամ, կանխատեսված 327.3 մլն դրամի փոխարեն:</w:t>
      </w:r>
    </w:p>
    <w:p w:rsidR="002C0A36" w:rsidRPr="002C0A36" w:rsidRDefault="002C0A36" w:rsidP="007730AA">
      <w:pPr>
        <w:shd w:val="clear" w:color="auto" w:fill="FFFFFF"/>
        <w:spacing w:before="0" w:line="276" w:lineRule="auto"/>
        <w:contextualSpacing w:val="0"/>
        <w:rPr>
          <w:b w:val="0"/>
          <w:color w:val="000000"/>
          <w:szCs w:val="22"/>
        </w:rPr>
      </w:pPr>
      <w:r w:rsidRPr="002C0A36">
        <w:rPr>
          <w:rFonts w:ascii="Calibri" w:hAnsi="Calibri" w:cs="Calibri"/>
          <w:b w:val="0"/>
          <w:color w:val="000000"/>
          <w:szCs w:val="22"/>
        </w:rPr>
        <w:t> </w:t>
      </w:r>
      <w:r w:rsidRPr="002C0A36">
        <w:rPr>
          <w:b w:val="0"/>
          <w:color w:val="000000"/>
          <w:szCs w:val="22"/>
        </w:rPr>
        <w:t>Ընկերությունների հարկաբյուջետային ռիսկերի գնահատման համար կիրառված ֆինանսական գործակիցների ամփոփ արդյունքները և պրակտիկայում ընդունված թույլատրելի սահմանային նորմաները ներկայացված են աղյուսակում:</w:t>
      </w:r>
    </w:p>
    <w:p w:rsidR="002C0A36" w:rsidRDefault="002C0A36" w:rsidP="007730AA">
      <w:pPr>
        <w:shd w:val="clear" w:color="auto" w:fill="FFFFFF"/>
        <w:spacing w:before="0" w:line="276" w:lineRule="auto"/>
        <w:ind w:firstLine="0"/>
        <w:contextualSpacing w:val="0"/>
        <w:jc w:val="left"/>
        <w:rPr>
          <w:rFonts w:ascii="Calibri" w:hAnsi="Calibri"/>
          <w:b w:val="0"/>
          <w:color w:val="000000"/>
          <w:szCs w:val="22"/>
        </w:rPr>
      </w:pPr>
    </w:p>
    <w:p w:rsidR="00A066BB" w:rsidRPr="002C0A36" w:rsidRDefault="00A066BB" w:rsidP="007730AA">
      <w:pPr>
        <w:shd w:val="clear" w:color="auto" w:fill="FFFFFF"/>
        <w:spacing w:before="0" w:line="276" w:lineRule="auto"/>
        <w:ind w:firstLine="0"/>
        <w:contextualSpacing w:val="0"/>
        <w:jc w:val="left"/>
        <w:rPr>
          <w:rFonts w:ascii="Calibri" w:hAnsi="Calibri"/>
          <w:b w:val="0"/>
          <w:color w:val="000000"/>
          <w:szCs w:val="22"/>
        </w:rPr>
      </w:pPr>
    </w:p>
    <w:p w:rsidR="00E513E7" w:rsidRPr="005578F9" w:rsidRDefault="00E513E7" w:rsidP="007730AA">
      <w:pPr>
        <w:pStyle w:val="Caption"/>
        <w:spacing w:before="0" w:after="0" w:line="240" w:lineRule="auto"/>
      </w:pPr>
      <w:bookmarkStart w:id="275" w:name="_Toc57631781"/>
    </w:p>
    <w:p w:rsidR="00E513E7" w:rsidRPr="005578F9" w:rsidRDefault="00E513E7" w:rsidP="007730AA">
      <w:pPr>
        <w:pStyle w:val="Caption"/>
        <w:spacing w:before="0" w:after="0" w:line="240" w:lineRule="auto"/>
      </w:pPr>
    </w:p>
    <w:p w:rsidR="002C0A36" w:rsidRPr="005578F9" w:rsidRDefault="00CF7820" w:rsidP="007730AA">
      <w:pPr>
        <w:pStyle w:val="Caption"/>
        <w:spacing w:before="0" w:after="0" w:line="240" w:lineRule="auto"/>
        <w:rPr>
          <w:b/>
          <w:i/>
          <w:sz w:val="20"/>
          <w:szCs w:val="20"/>
        </w:rPr>
      </w:pPr>
      <w:r>
        <w:t>Աղյուսակ</w:t>
      </w:r>
      <w:r w:rsidRPr="005578F9">
        <w:t xml:space="preserve"> </w:t>
      </w:r>
      <w:r w:rsidR="003C3925">
        <w:fldChar w:fldCharType="begin"/>
      </w:r>
      <w:r w:rsidRPr="005578F9">
        <w:instrText xml:space="preserve"> </w:instrText>
      </w:r>
      <w:r w:rsidRPr="00E513E7">
        <w:rPr>
          <w:lang w:val="en-US"/>
        </w:rPr>
        <w:instrText>SEQ</w:instrText>
      </w:r>
      <w:r w:rsidRPr="005578F9">
        <w:instrText xml:space="preserve"> </w:instrText>
      </w:r>
      <w:r>
        <w:instrText>Աղյուսակ</w:instrText>
      </w:r>
      <w:r w:rsidRPr="005578F9">
        <w:instrText xml:space="preserve"> \* </w:instrText>
      </w:r>
      <w:r w:rsidRPr="00E513E7">
        <w:rPr>
          <w:lang w:val="en-US"/>
        </w:rPr>
        <w:instrText>ARABIC</w:instrText>
      </w:r>
      <w:r w:rsidRPr="005578F9">
        <w:instrText xml:space="preserve"> </w:instrText>
      </w:r>
      <w:r w:rsidR="003C3925">
        <w:fldChar w:fldCharType="separate"/>
      </w:r>
      <w:r w:rsidR="007E790B" w:rsidRPr="005578F9">
        <w:rPr>
          <w:noProof/>
        </w:rPr>
        <w:t>30</w:t>
      </w:r>
      <w:r w:rsidR="003C3925">
        <w:fldChar w:fldCharType="end"/>
      </w:r>
      <w:r>
        <w:rPr>
          <w:rFonts w:ascii="Cambria Math" w:hAnsi="Cambria Math"/>
          <w:lang w:val="hy-AM"/>
        </w:rPr>
        <w:t xml:space="preserve">․ </w:t>
      </w:r>
      <w:r w:rsidR="002C0A36" w:rsidRPr="002C0A36">
        <w:rPr>
          <w:b/>
          <w:i/>
          <w:sz w:val="20"/>
          <w:szCs w:val="20"/>
          <w:lang w:val="en-US"/>
        </w:rPr>
        <w:t>Տրանսպորտ</w:t>
      </w:r>
      <w:r w:rsidR="002C0A36" w:rsidRPr="002C0A36">
        <w:rPr>
          <w:b/>
          <w:i/>
          <w:sz w:val="20"/>
          <w:szCs w:val="20"/>
          <w:lang w:val="hy-AM"/>
        </w:rPr>
        <w:t>այի</w:t>
      </w:r>
      <w:r w:rsidR="002C0A36" w:rsidRPr="002C0A36">
        <w:rPr>
          <w:b/>
          <w:i/>
          <w:sz w:val="20"/>
          <w:szCs w:val="20"/>
          <w:lang w:val="en-US"/>
        </w:rPr>
        <w:t>ն</w:t>
      </w:r>
      <w:r w:rsidR="002C0A36" w:rsidRPr="002C0A36">
        <w:rPr>
          <w:b/>
          <w:i/>
          <w:sz w:val="20"/>
          <w:szCs w:val="20"/>
          <w:lang w:val="hy-AM"/>
        </w:rPr>
        <w:t xml:space="preserve"> ոլորտի պետական ընկերությունների հանրագումարային ֆինանսական ցուցանիշները</w:t>
      </w:r>
      <w:bookmarkEnd w:id="275"/>
      <w:r w:rsidR="002C0A36" w:rsidRPr="002C0A36">
        <w:rPr>
          <w:b/>
          <w:i/>
          <w:sz w:val="20"/>
          <w:szCs w:val="20"/>
          <w:lang w:val="hy-AM"/>
        </w:rPr>
        <w:t xml:space="preserve"> </w:t>
      </w:r>
    </w:p>
    <w:tbl>
      <w:tblPr>
        <w:tblpPr w:leftFromText="180" w:rightFromText="180" w:vertAnchor="text" w:horzAnchor="margin" w:tblpY="454"/>
        <w:tblW w:w="9464" w:type="dxa"/>
        <w:tblLook w:val="04A0" w:firstRow="1" w:lastRow="0" w:firstColumn="1" w:lastColumn="0" w:noHBand="0" w:noVBand="1"/>
      </w:tblPr>
      <w:tblGrid>
        <w:gridCol w:w="3678"/>
        <w:gridCol w:w="1273"/>
        <w:gridCol w:w="1023"/>
        <w:gridCol w:w="1152"/>
        <w:gridCol w:w="2338"/>
      </w:tblGrid>
      <w:tr w:rsidR="002C0A36" w:rsidRPr="002C0A36" w:rsidTr="007E430F">
        <w:trPr>
          <w:trHeight w:val="393"/>
          <w:tblHeader/>
        </w:trPr>
        <w:tc>
          <w:tcPr>
            <w:tcW w:w="3678" w:type="dxa"/>
            <w:tcBorders>
              <w:top w:val="single" w:sz="4" w:space="0" w:color="auto"/>
              <w:left w:val="single" w:sz="12" w:space="0" w:color="auto"/>
              <w:bottom w:val="single" w:sz="4" w:space="0" w:color="auto"/>
              <w:right w:val="single" w:sz="4" w:space="0" w:color="auto"/>
            </w:tcBorders>
            <w:shd w:val="clear" w:color="auto" w:fill="0070C0"/>
            <w:vAlign w:val="center"/>
            <w:hideMark/>
          </w:tcPr>
          <w:p w:rsidR="002C0A36" w:rsidRPr="000573ED" w:rsidRDefault="002C0A36" w:rsidP="007730AA">
            <w:pPr>
              <w:spacing w:before="0" w:line="240" w:lineRule="auto"/>
              <w:ind w:firstLine="0"/>
              <w:contextualSpacing w:val="0"/>
              <w:jc w:val="left"/>
              <w:rPr>
                <w:color w:val="FFFFFF"/>
                <w:sz w:val="18"/>
                <w:szCs w:val="18"/>
              </w:rPr>
            </w:pPr>
            <w:r w:rsidRPr="000573ED">
              <w:rPr>
                <w:color w:val="FFFFFF"/>
                <w:sz w:val="18"/>
                <w:szCs w:val="18"/>
              </w:rPr>
              <w:t>Ցուցանիշ</w:t>
            </w:r>
          </w:p>
        </w:tc>
        <w:tc>
          <w:tcPr>
            <w:tcW w:w="1273"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0573ED" w:rsidRDefault="002C0A36" w:rsidP="007730AA">
            <w:pPr>
              <w:spacing w:before="0" w:line="240" w:lineRule="auto"/>
              <w:ind w:firstLine="0"/>
              <w:contextualSpacing w:val="0"/>
              <w:jc w:val="center"/>
              <w:rPr>
                <w:color w:val="FFFFFF"/>
                <w:sz w:val="18"/>
                <w:szCs w:val="18"/>
              </w:rPr>
            </w:pPr>
            <w:r w:rsidRPr="000573ED">
              <w:rPr>
                <w:color w:val="FFFFFF"/>
                <w:sz w:val="18"/>
                <w:szCs w:val="18"/>
              </w:rPr>
              <w:t>201</w:t>
            </w:r>
            <w:r w:rsidRPr="000573ED">
              <w:rPr>
                <w:color w:val="FFFFFF"/>
                <w:sz w:val="18"/>
                <w:szCs w:val="18"/>
                <w:lang w:val="hy-AM"/>
              </w:rPr>
              <w:t>8</w:t>
            </w:r>
            <w:r w:rsidRPr="000573ED">
              <w:rPr>
                <w:color w:val="FFFFFF"/>
                <w:sz w:val="18"/>
                <w:szCs w:val="18"/>
              </w:rPr>
              <w:t>թ.</w:t>
            </w:r>
          </w:p>
        </w:tc>
        <w:tc>
          <w:tcPr>
            <w:tcW w:w="1023" w:type="dxa"/>
            <w:tcBorders>
              <w:top w:val="single" w:sz="4" w:space="0" w:color="auto"/>
              <w:left w:val="single" w:sz="4" w:space="0" w:color="auto"/>
              <w:bottom w:val="single" w:sz="4" w:space="0" w:color="auto"/>
              <w:right w:val="single" w:sz="4" w:space="0" w:color="auto"/>
            </w:tcBorders>
            <w:shd w:val="clear" w:color="auto" w:fill="0070C0"/>
            <w:vAlign w:val="center"/>
          </w:tcPr>
          <w:p w:rsidR="002C0A36" w:rsidRPr="000573ED" w:rsidRDefault="002C0A36" w:rsidP="007730AA">
            <w:pPr>
              <w:spacing w:before="0" w:line="240" w:lineRule="auto"/>
              <w:ind w:firstLine="0"/>
              <w:contextualSpacing w:val="0"/>
              <w:jc w:val="center"/>
              <w:rPr>
                <w:color w:val="FFFFFF"/>
                <w:sz w:val="18"/>
                <w:szCs w:val="18"/>
              </w:rPr>
            </w:pPr>
            <w:r w:rsidRPr="000573ED">
              <w:rPr>
                <w:color w:val="FFFFFF"/>
                <w:sz w:val="18"/>
                <w:szCs w:val="18"/>
              </w:rPr>
              <w:t>201</w:t>
            </w:r>
            <w:r w:rsidRPr="000573ED">
              <w:rPr>
                <w:color w:val="FFFFFF"/>
                <w:sz w:val="18"/>
                <w:szCs w:val="18"/>
                <w:lang w:val="hy-AM"/>
              </w:rPr>
              <w:t>9</w:t>
            </w:r>
            <w:r w:rsidRPr="000573ED">
              <w:rPr>
                <w:color w:val="FFFFFF"/>
                <w:sz w:val="18"/>
                <w:szCs w:val="18"/>
              </w:rPr>
              <w:t>թ.</w:t>
            </w:r>
          </w:p>
        </w:tc>
        <w:tc>
          <w:tcPr>
            <w:tcW w:w="1152" w:type="dxa"/>
            <w:tcBorders>
              <w:top w:val="single" w:sz="4" w:space="0" w:color="auto"/>
              <w:left w:val="single" w:sz="4" w:space="0" w:color="auto"/>
              <w:bottom w:val="single" w:sz="4" w:space="0" w:color="auto"/>
              <w:right w:val="single" w:sz="4" w:space="0" w:color="auto"/>
            </w:tcBorders>
            <w:shd w:val="clear" w:color="auto" w:fill="0070C0"/>
            <w:vAlign w:val="center"/>
          </w:tcPr>
          <w:p w:rsidR="002C0A36" w:rsidRPr="000573ED" w:rsidRDefault="002C0A36" w:rsidP="007730AA">
            <w:pPr>
              <w:spacing w:before="0" w:line="240" w:lineRule="auto"/>
              <w:ind w:firstLine="0"/>
              <w:contextualSpacing w:val="0"/>
              <w:jc w:val="center"/>
              <w:rPr>
                <w:color w:val="FFFFFF"/>
                <w:sz w:val="18"/>
                <w:szCs w:val="18"/>
              </w:rPr>
            </w:pPr>
            <w:r w:rsidRPr="000573ED">
              <w:rPr>
                <w:color w:val="FFFFFF"/>
                <w:sz w:val="18"/>
                <w:szCs w:val="18"/>
              </w:rPr>
              <w:t xml:space="preserve">2020թ. </w:t>
            </w:r>
            <w:r w:rsidRPr="000573ED">
              <w:rPr>
                <w:color w:val="FFFFFF"/>
                <w:sz w:val="18"/>
                <w:szCs w:val="18"/>
              </w:rPr>
              <w:br/>
              <w:t>1-ին կիսամյակ</w:t>
            </w:r>
          </w:p>
        </w:tc>
        <w:tc>
          <w:tcPr>
            <w:tcW w:w="2338" w:type="dxa"/>
            <w:tcBorders>
              <w:top w:val="single" w:sz="4" w:space="0" w:color="auto"/>
              <w:left w:val="single" w:sz="4" w:space="0" w:color="auto"/>
              <w:bottom w:val="single" w:sz="4" w:space="0" w:color="auto"/>
              <w:right w:val="single" w:sz="12" w:space="0" w:color="auto"/>
            </w:tcBorders>
            <w:shd w:val="clear" w:color="auto" w:fill="0070C0"/>
            <w:vAlign w:val="center"/>
            <w:hideMark/>
          </w:tcPr>
          <w:p w:rsidR="002C0A36" w:rsidRPr="000573ED" w:rsidRDefault="002C0A36" w:rsidP="007730AA">
            <w:pPr>
              <w:spacing w:before="0" w:line="240" w:lineRule="auto"/>
              <w:ind w:firstLine="0"/>
              <w:contextualSpacing w:val="0"/>
              <w:jc w:val="left"/>
              <w:rPr>
                <w:color w:val="FFFFFF"/>
                <w:sz w:val="18"/>
                <w:szCs w:val="18"/>
              </w:rPr>
            </w:pPr>
            <w:r w:rsidRPr="000573ED">
              <w:rPr>
                <w:color w:val="FFFFFF"/>
                <w:sz w:val="18"/>
                <w:szCs w:val="18"/>
              </w:rPr>
              <w:t>Թույլատրելի սահմանային նորմա</w:t>
            </w:r>
          </w:p>
        </w:tc>
      </w:tr>
      <w:tr w:rsidR="002C0A36" w:rsidRPr="002C0A36" w:rsidTr="007E430F">
        <w:trPr>
          <w:trHeight w:val="578"/>
        </w:trPr>
        <w:tc>
          <w:tcPr>
            <w:tcW w:w="3678"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Ծախսերի վերականգնման գործակից</w:t>
            </w:r>
          </w:p>
        </w:tc>
        <w:tc>
          <w:tcPr>
            <w:tcW w:w="12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rPr>
              <w:t>1.</w:t>
            </w:r>
            <w:r w:rsidRPr="002C0A36">
              <w:rPr>
                <w:b w:val="0"/>
                <w:bCs/>
                <w:color w:val="000000"/>
                <w:sz w:val="18"/>
                <w:szCs w:val="18"/>
                <w:lang w:val="en-US"/>
              </w:rPr>
              <w:t>4</w:t>
            </w:r>
          </w:p>
        </w:tc>
        <w:tc>
          <w:tcPr>
            <w:tcW w:w="10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rPr>
              <w:t>1.</w:t>
            </w:r>
            <w:r w:rsidRPr="002C0A36">
              <w:rPr>
                <w:b w:val="0"/>
                <w:bCs/>
                <w:color w:val="000000"/>
                <w:sz w:val="18"/>
                <w:szCs w:val="18"/>
                <w:lang w:val="en-US"/>
              </w:rPr>
              <w:t>3</w:t>
            </w:r>
          </w:p>
        </w:tc>
        <w:tc>
          <w:tcPr>
            <w:tcW w:w="11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sz w:val="18"/>
                <w:szCs w:val="18"/>
                <w:lang w:val="en-US"/>
              </w:rPr>
              <w:t>0.8</w:t>
            </w:r>
          </w:p>
        </w:tc>
        <w:tc>
          <w:tcPr>
            <w:tcW w:w="2338"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Առնվազն 1</w:t>
            </w:r>
          </w:p>
        </w:tc>
      </w:tr>
      <w:tr w:rsidR="002C0A36" w:rsidRPr="002C0A36" w:rsidTr="007E430F">
        <w:trPr>
          <w:trHeight w:val="471"/>
        </w:trPr>
        <w:tc>
          <w:tcPr>
            <w:tcW w:w="3678"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Զուտ շահույթի մարժա    (%)</w:t>
            </w:r>
          </w:p>
        </w:tc>
        <w:tc>
          <w:tcPr>
            <w:tcW w:w="127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26</w:t>
            </w:r>
            <w:r w:rsidRPr="002C0A36">
              <w:rPr>
                <w:b w:val="0"/>
                <w:bCs/>
                <w:color w:val="000000"/>
                <w:sz w:val="18"/>
                <w:szCs w:val="18"/>
              </w:rPr>
              <w:t>.</w:t>
            </w:r>
            <w:r w:rsidRPr="002C0A36">
              <w:rPr>
                <w:b w:val="0"/>
                <w:bCs/>
                <w:color w:val="000000"/>
                <w:sz w:val="18"/>
                <w:szCs w:val="18"/>
                <w:lang w:val="en-US"/>
              </w:rPr>
              <w:t>0</w:t>
            </w:r>
          </w:p>
        </w:tc>
        <w:tc>
          <w:tcPr>
            <w:tcW w:w="102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rPr>
              <w:t>2</w:t>
            </w:r>
            <w:r w:rsidRPr="002C0A36">
              <w:rPr>
                <w:b w:val="0"/>
                <w:bCs/>
                <w:color w:val="000000"/>
                <w:sz w:val="18"/>
                <w:szCs w:val="18"/>
                <w:lang w:val="en-US"/>
              </w:rPr>
              <w:t>1.3</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sz w:val="18"/>
                <w:szCs w:val="18"/>
                <w:lang w:val="en-US"/>
              </w:rPr>
              <w:t>(21.5)</w:t>
            </w:r>
          </w:p>
        </w:tc>
        <w:tc>
          <w:tcPr>
            <w:tcW w:w="2338" w:type="dxa"/>
            <w:tcBorders>
              <w:top w:val="single" w:sz="4" w:space="0" w:color="auto"/>
              <w:left w:val="single" w:sz="4" w:space="0" w:color="auto"/>
              <w:bottom w:val="single" w:sz="4" w:space="0" w:color="auto"/>
              <w:right w:val="single" w:sz="12" w:space="0" w:color="auto"/>
            </w:tcBorders>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Առնվազն 8%</w:t>
            </w:r>
          </w:p>
        </w:tc>
      </w:tr>
      <w:tr w:rsidR="002C0A36" w:rsidRPr="002C0A36" w:rsidTr="007E430F">
        <w:trPr>
          <w:trHeight w:val="407"/>
        </w:trPr>
        <w:tc>
          <w:tcPr>
            <w:tcW w:w="3678"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Արագ իրացվելիության գործակից</w:t>
            </w:r>
          </w:p>
        </w:tc>
        <w:tc>
          <w:tcPr>
            <w:tcW w:w="12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2</w:t>
            </w:r>
            <w:r w:rsidRPr="002C0A36">
              <w:rPr>
                <w:b w:val="0"/>
                <w:bCs/>
                <w:color w:val="000000"/>
                <w:sz w:val="18"/>
                <w:szCs w:val="18"/>
              </w:rPr>
              <w:t>.</w:t>
            </w:r>
            <w:r w:rsidRPr="002C0A36">
              <w:rPr>
                <w:b w:val="0"/>
                <w:bCs/>
                <w:color w:val="000000"/>
                <w:sz w:val="18"/>
                <w:szCs w:val="18"/>
                <w:lang w:val="en-US"/>
              </w:rPr>
              <w:t>9</w:t>
            </w:r>
          </w:p>
        </w:tc>
        <w:tc>
          <w:tcPr>
            <w:tcW w:w="10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3.5</w:t>
            </w:r>
          </w:p>
        </w:tc>
        <w:tc>
          <w:tcPr>
            <w:tcW w:w="11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2.5</w:t>
            </w:r>
          </w:p>
        </w:tc>
        <w:tc>
          <w:tcPr>
            <w:tcW w:w="2338"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Առնվազն 1</w:t>
            </w:r>
          </w:p>
        </w:tc>
      </w:tr>
      <w:tr w:rsidR="002C0A36" w:rsidRPr="002C0A36" w:rsidTr="007E430F">
        <w:trPr>
          <w:trHeight w:val="227"/>
        </w:trPr>
        <w:tc>
          <w:tcPr>
            <w:tcW w:w="3678"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40" w:lineRule="auto"/>
              <w:ind w:firstLine="0"/>
              <w:contextualSpacing w:val="0"/>
              <w:jc w:val="left"/>
              <w:rPr>
                <w:b w:val="0"/>
                <w:sz w:val="18"/>
                <w:szCs w:val="18"/>
                <w:lang w:val="hy-AM"/>
              </w:rPr>
            </w:pPr>
            <w:r w:rsidRPr="002C0A36">
              <w:rPr>
                <w:b w:val="0"/>
                <w:sz w:val="18"/>
                <w:szCs w:val="18"/>
                <w:lang w:val="hy-AM"/>
              </w:rPr>
              <w:t>Դեբիտորական պարտքերի շրջանառություն</w:t>
            </w:r>
            <w:r w:rsidRPr="002C0A36">
              <w:rPr>
                <w:b w:val="0"/>
                <w:sz w:val="18"/>
                <w:szCs w:val="18"/>
              </w:rPr>
              <w:t xml:space="preserve"> (օր)</w:t>
            </w:r>
          </w:p>
        </w:tc>
        <w:tc>
          <w:tcPr>
            <w:tcW w:w="127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59.0</w:t>
            </w:r>
          </w:p>
        </w:tc>
        <w:tc>
          <w:tcPr>
            <w:tcW w:w="102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55.8</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98.1</w:t>
            </w:r>
          </w:p>
        </w:tc>
        <w:tc>
          <w:tcPr>
            <w:tcW w:w="2338" w:type="dxa"/>
            <w:tcBorders>
              <w:top w:val="single" w:sz="4" w:space="0" w:color="auto"/>
              <w:left w:val="single" w:sz="4" w:space="0" w:color="auto"/>
              <w:bottom w:val="single" w:sz="4" w:space="0" w:color="auto"/>
              <w:right w:val="single" w:sz="12" w:space="0" w:color="auto"/>
            </w:tcBorders>
            <w:vAlign w:val="center"/>
            <w:hideMark/>
          </w:tcPr>
          <w:p w:rsidR="002C0A36" w:rsidRPr="002C0A36" w:rsidRDefault="002C0A36" w:rsidP="007730AA">
            <w:pPr>
              <w:spacing w:before="0" w:line="240" w:lineRule="auto"/>
              <w:ind w:firstLine="0"/>
              <w:contextualSpacing w:val="0"/>
              <w:jc w:val="left"/>
              <w:rPr>
                <w:b w:val="0"/>
                <w:sz w:val="18"/>
                <w:szCs w:val="18"/>
              </w:rPr>
            </w:pPr>
            <w:r w:rsidRPr="002C0A36">
              <w:rPr>
                <w:rFonts w:eastAsia="Calibri" w:cs="Arial"/>
                <w:b w:val="0"/>
                <w:sz w:val="18"/>
                <w:szCs w:val="18"/>
              </w:rPr>
              <w:t>Առավելագույնը</w:t>
            </w:r>
            <w:r w:rsidRPr="002C0A36">
              <w:rPr>
                <w:rFonts w:eastAsia="Calibri"/>
                <w:b w:val="0"/>
                <w:sz w:val="18"/>
                <w:szCs w:val="18"/>
              </w:rPr>
              <w:t xml:space="preserve"> 60/30 </w:t>
            </w:r>
            <w:r w:rsidRPr="002C0A36">
              <w:rPr>
                <w:rFonts w:eastAsia="Calibri" w:cs="Arial"/>
                <w:b w:val="0"/>
                <w:sz w:val="18"/>
                <w:szCs w:val="18"/>
              </w:rPr>
              <w:t>օր</w:t>
            </w:r>
          </w:p>
        </w:tc>
      </w:tr>
      <w:tr w:rsidR="002C0A36" w:rsidRPr="002C0A36" w:rsidTr="007E430F">
        <w:trPr>
          <w:trHeight w:val="438"/>
        </w:trPr>
        <w:tc>
          <w:tcPr>
            <w:tcW w:w="3678"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Պարտքի սպասարկման գործակից</w:t>
            </w:r>
          </w:p>
        </w:tc>
        <w:tc>
          <w:tcPr>
            <w:tcW w:w="12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rPr>
              <w:t>0</w:t>
            </w:r>
            <w:r w:rsidRPr="002C0A36">
              <w:rPr>
                <w:b w:val="0"/>
                <w:bCs/>
                <w:color w:val="000000"/>
                <w:sz w:val="18"/>
                <w:szCs w:val="18"/>
                <w:lang w:val="en-US"/>
              </w:rPr>
              <w:t>.02</w:t>
            </w:r>
          </w:p>
        </w:tc>
        <w:tc>
          <w:tcPr>
            <w:tcW w:w="10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rPr>
              <w:t>0.</w:t>
            </w:r>
            <w:r w:rsidRPr="002C0A36">
              <w:rPr>
                <w:b w:val="0"/>
                <w:bCs/>
                <w:color w:val="000000"/>
                <w:sz w:val="18"/>
                <w:szCs w:val="18"/>
                <w:lang w:val="en-US"/>
              </w:rPr>
              <w:t>01</w:t>
            </w:r>
          </w:p>
        </w:tc>
        <w:tc>
          <w:tcPr>
            <w:tcW w:w="11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color w:val="000000"/>
                <w:sz w:val="18"/>
                <w:szCs w:val="18"/>
                <w:lang w:val="en-US"/>
              </w:rPr>
            </w:pPr>
            <w:r w:rsidRPr="002C0A36">
              <w:rPr>
                <w:b w:val="0"/>
                <w:sz w:val="18"/>
                <w:szCs w:val="18"/>
              </w:rPr>
              <w:t>0.</w:t>
            </w:r>
            <w:r w:rsidRPr="002C0A36">
              <w:rPr>
                <w:b w:val="0"/>
                <w:sz w:val="18"/>
                <w:szCs w:val="18"/>
                <w:lang w:val="en-US"/>
              </w:rPr>
              <w:t>0</w:t>
            </w:r>
          </w:p>
        </w:tc>
        <w:tc>
          <w:tcPr>
            <w:tcW w:w="2338"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Առավելագույնը 0.5</w:t>
            </w:r>
          </w:p>
        </w:tc>
      </w:tr>
      <w:tr w:rsidR="002C0A36" w:rsidRPr="002C0A36" w:rsidTr="007E430F">
        <w:trPr>
          <w:trHeight w:val="305"/>
        </w:trPr>
        <w:tc>
          <w:tcPr>
            <w:tcW w:w="3678"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Վերաֆինանսավորման գործակից</w:t>
            </w:r>
          </w:p>
        </w:tc>
        <w:tc>
          <w:tcPr>
            <w:tcW w:w="127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0.55</w:t>
            </w:r>
          </w:p>
        </w:tc>
        <w:tc>
          <w:tcPr>
            <w:tcW w:w="102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0.53</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0.3</w:t>
            </w:r>
          </w:p>
        </w:tc>
        <w:tc>
          <w:tcPr>
            <w:tcW w:w="2338" w:type="dxa"/>
            <w:tcBorders>
              <w:top w:val="single" w:sz="4" w:space="0" w:color="auto"/>
              <w:left w:val="single" w:sz="4" w:space="0" w:color="auto"/>
              <w:bottom w:val="single" w:sz="4" w:space="0" w:color="auto"/>
              <w:right w:val="single" w:sz="12" w:space="0" w:color="auto"/>
            </w:tcBorders>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Առավելագույնը 1</w:t>
            </w:r>
          </w:p>
        </w:tc>
      </w:tr>
      <w:tr w:rsidR="002C0A36" w:rsidRPr="00130243" w:rsidTr="007E430F">
        <w:trPr>
          <w:trHeight w:val="936"/>
        </w:trPr>
        <w:tc>
          <w:tcPr>
            <w:tcW w:w="3678" w:type="dxa"/>
            <w:tcBorders>
              <w:top w:val="single" w:sz="4" w:space="0" w:color="auto"/>
              <w:left w:val="single" w:sz="12" w:space="0" w:color="auto"/>
              <w:bottom w:val="single" w:sz="12" w:space="0" w:color="auto"/>
              <w:right w:val="single" w:sz="4"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Z- միավոր</w:t>
            </w:r>
          </w:p>
        </w:tc>
        <w:tc>
          <w:tcPr>
            <w:tcW w:w="1273"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rPr>
              <w:t>0</w:t>
            </w:r>
            <w:r w:rsidRPr="002C0A36">
              <w:rPr>
                <w:b w:val="0"/>
                <w:bCs/>
                <w:color w:val="000000"/>
                <w:sz w:val="18"/>
                <w:szCs w:val="18"/>
                <w:lang w:val="en-US"/>
              </w:rPr>
              <w:t>3.9</w:t>
            </w:r>
          </w:p>
        </w:tc>
        <w:tc>
          <w:tcPr>
            <w:tcW w:w="1023"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4.2</w:t>
            </w:r>
          </w:p>
        </w:tc>
        <w:tc>
          <w:tcPr>
            <w:tcW w:w="1152"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2.5</w:t>
            </w:r>
          </w:p>
        </w:tc>
        <w:tc>
          <w:tcPr>
            <w:tcW w:w="2338" w:type="dxa"/>
            <w:tcBorders>
              <w:top w:val="single" w:sz="4" w:space="0" w:color="auto"/>
              <w:left w:val="single" w:sz="4" w:space="0" w:color="auto"/>
              <w:bottom w:val="single" w:sz="12" w:space="0" w:color="auto"/>
              <w:right w:val="single" w:sz="12"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lang w:val="hy-AM"/>
              </w:rPr>
            </w:pPr>
            <w:r w:rsidRPr="002C0A36">
              <w:rPr>
                <w:b w:val="0"/>
                <w:sz w:val="18"/>
                <w:szCs w:val="18"/>
                <w:lang w:val="hy-AM"/>
              </w:rPr>
              <w:t xml:space="preserve">Ապահով գոտի Z&gt;2.6, Գորշ գոտի 1.1&lt;Z&lt;2.6, </w:t>
            </w:r>
            <w:r w:rsidRPr="002C0A36">
              <w:rPr>
                <w:b w:val="0"/>
                <w:sz w:val="18"/>
                <w:szCs w:val="18"/>
                <w:lang w:val="en-US"/>
              </w:rPr>
              <w:t xml:space="preserve">      </w:t>
            </w:r>
            <w:r w:rsidRPr="002C0A36">
              <w:rPr>
                <w:b w:val="0"/>
                <w:sz w:val="18"/>
                <w:szCs w:val="18"/>
                <w:lang w:val="hy-AM"/>
              </w:rPr>
              <w:t>Ծանր գոտի Z&lt;1.1</w:t>
            </w:r>
          </w:p>
        </w:tc>
      </w:tr>
    </w:tbl>
    <w:p w:rsidR="002C0A36" w:rsidRPr="002C0A36" w:rsidRDefault="002C0A36" w:rsidP="007730AA">
      <w:pPr>
        <w:shd w:val="clear" w:color="auto" w:fill="FFFFFF"/>
        <w:spacing w:before="0" w:line="276" w:lineRule="auto"/>
        <w:ind w:firstLine="0"/>
        <w:contextualSpacing w:val="0"/>
        <w:rPr>
          <w:b w:val="0"/>
          <w:color w:val="000000"/>
          <w:szCs w:val="22"/>
          <w:lang w:val="en-US"/>
        </w:rPr>
      </w:pPr>
    </w:p>
    <w:p w:rsidR="002C0A36" w:rsidRPr="002C0A36" w:rsidRDefault="002C0A36" w:rsidP="007730AA">
      <w:pPr>
        <w:shd w:val="clear" w:color="auto" w:fill="FFFFFF"/>
        <w:spacing w:before="0" w:line="276" w:lineRule="auto"/>
        <w:contextualSpacing w:val="0"/>
        <w:rPr>
          <w:b w:val="0"/>
          <w:color w:val="000000"/>
          <w:szCs w:val="22"/>
          <w:lang w:val="en-US"/>
        </w:rPr>
      </w:pPr>
      <w:r w:rsidRPr="002C0A36">
        <w:rPr>
          <w:b w:val="0"/>
          <w:color w:val="000000"/>
          <w:szCs w:val="22"/>
        </w:rPr>
        <w:t>Ինչպես</w:t>
      </w:r>
      <w:r w:rsidRPr="002C0A36">
        <w:rPr>
          <w:b w:val="0"/>
          <w:color w:val="000000"/>
          <w:szCs w:val="22"/>
          <w:lang w:val="en-US"/>
        </w:rPr>
        <w:t xml:space="preserve"> </w:t>
      </w:r>
      <w:r w:rsidRPr="002C0A36">
        <w:rPr>
          <w:b w:val="0"/>
          <w:color w:val="000000"/>
          <w:szCs w:val="22"/>
        </w:rPr>
        <w:t>երևում</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աղյուսակից</w:t>
      </w:r>
      <w:r w:rsidRPr="002C0A36">
        <w:rPr>
          <w:b w:val="0"/>
          <w:color w:val="000000"/>
          <w:szCs w:val="22"/>
          <w:lang w:val="en-US"/>
        </w:rPr>
        <w:t xml:space="preserve"> </w:t>
      </w:r>
      <w:r w:rsidRPr="002C0A36">
        <w:rPr>
          <w:b w:val="0"/>
          <w:color w:val="000000"/>
          <w:szCs w:val="22"/>
        </w:rPr>
        <w:t>հաշվետու</w:t>
      </w:r>
      <w:r w:rsidRPr="002C0A36">
        <w:rPr>
          <w:b w:val="0"/>
          <w:color w:val="000000"/>
          <w:szCs w:val="22"/>
          <w:lang w:val="en-US"/>
        </w:rPr>
        <w:t xml:space="preserve"> </w:t>
      </w:r>
      <w:r w:rsidRPr="002C0A36">
        <w:rPr>
          <w:b w:val="0"/>
          <w:color w:val="000000"/>
          <w:szCs w:val="22"/>
        </w:rPr>
        <w:t>ժամանակաշրջանում</w:t>
      </w:r>
      <w:r w:rsidRPr="002C0A36">
        <w:rPr>
          <w:b w:val="0"/>
          <w:color w:val="000000"/>
          <w:szCs w:val="22"/>
          <w:lang w:val="en-US"/>
        </w:rPr>
        <w:t xml:space="preserve"> </w:t>
      </w:r>
      <w:r w:rsidRPr="002C0A36">
        <w:rPr>
          <w:b w:val="0"/>
          <w:color w:val="000000"/>
          <w:szCs w:val="22"/>
        </w:rPr>
        <w:t>սնանկացման</w:t>
      </w:r>
      <w:r w:rsidRPr="002C0A36">
        <w:rPr>
          <w:b w:val="0"/>
          <w:color w:val="000000"/>
          <w:szCs w:val="22"/>
          <w:lang w:val="en-US"/>
        </w:rPr>
        <w:t xml:space="preserve"> </w:t>
      </w:r>
      <w:r w:rsidRPr="002C0A36">
        <w:rPr>
          <w:b w:val="0"/>
          <w:color w:val="000000"/>
          <w:szCs w:val="22"/>
        </w:rPr>
        <w:t>կանխատեսման</w:t>
      </w:r>
      <w:r w:rsidRPr="002C0A36">
        <w:rPr>
          <w:b w:val="0"/>
          <w:color w:val="000000"/>
          <w:szCs w:val="22"/>
          <w:lang w:val="en-US"/>
        </w:rPr>
        <w:t xml:space="preserve"> </w:t>
      </w:r>
      <w:r w:rsidRPr="002C0A36">
        <w:rPr>
          <w:b w:val="0"/>
          <w:color w:val="000000"/>
          <w:szCs w:val="22"/>
        </w:rPr>
        <w:t>Ալթմանի</w:t>
      </w:r>
      <w:r w:rsidRPr="002C0A36">
        <w:rPr>
          <w:b w:val="0"/>
          <w:color w:val="000000"/>
          <w:szCs w:val="22"/>
          <w:lang w:val="en-US"/>
        </w:rPr>
        <w:t xml:space="preserve"> Z-</w:t>
      </w:r>
      <w:r w:rsidRPr="002C0A36">
        <w:rPr>
          <w:b w:val="0"/>
          <w:color w:val="000000"/>
          <w:szCs w:val="22"/>
        </w:rPr>
        <w:t>միավորը</w:t>
      </w:r>
      <w:r w:rsidRPr="002C0A36">
        <w:rPr>
          <w:b w:val="0"/>
          <w:color w:val="000000"/>
          <w:szCs w:val="22"/>
          <w:lang w:val="en-US"/>
        </w:rPr>
        <w:t xml:space="preserve"> </w:t>
      </w:r>
      <w:r w:rsidRPr="002C0A36">
        <w:rPr>
          <w:b w:val="0"/>
          <w:color w:val="000000"/>
          <w:szCs w:val="22"/>
        </w:rPr>
        <w:t>վկայում</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Ընկերությունների</w:t>
      </w:r>
      <w:r w:rsidRPr="002C0A36">
        <w:rPr>
          <w:b w:val="0"/>
          <w:color w:val="000000"/>
          <w:szCs w:val="22"/>
          <w:lang w:val="en-US"/>
        </w:rPr>
        <w:t xml:space="preserve"> </w:t>
      </w:r>
      <w:r w:rsidRPr="002C0A36">
        <w:rPr>
          <w:b w:val="0"/>
          <w:color w:val="000000"/>
          <w:szCs w:val="22"/>
        </w:rPr>
        <w:t>ֆինանսական</w:t>
      </w:r>
      <w:r w:rsidRPr="002C0A36">
        <w:rPr>
          <w:b w:val="0"/>
          <w:color w:val="000000"/>
          <w:szCs w:val="22"/>
          <w:lang w:val="en-US"/>
        </w:rPr>
        <w:t xml:space="preserve"> </w:t>
      </w:r>
      <w:r w:rsidRPr="002C0A36">
        <w:rPr>
          <w:b w:val="0"/>
          <w:color w:val="000000"/>
          <w:szCs w:val="22"/>
        </w:rPr>
        <w:t>վիճակի</w:t>
      </w:r>
      <w:r w:rsidRPr="002C0A36">
        <w:rPr>
          <w:b w:val="0"/>
          <w:color w:val="000000"/>
          <w:szCs w:val="22"/>
          <w:lang w:val="en-US"/>
        </w:rPr>
        <w:t xml:space="preserve"> </w:t>
      </w:r>
      <w:r w:rsidRPr="002C0A36">
        <w:rPr>
          <w:b w:val="0"/>
          <w:color w:val="000000"/>
          <w:szCs w:val="22"/>
        </w:rPr>
        <w:t>վատթարացման</w:t>
      </w:r>
      <w:r w:rsidRPr="002C0A36">
        <w:rPr>
          <w:b w:val="0"/>
          <w:color w:val="000000"/>
          <w:szCs w:val="22"/>
          <w:lang w:val="en-US"/>
        </w:rPr>
        <w:t xml:space="preserve"> </w:t>
      </w:r>
      <w:r w:rsidRPr="002C0A36">
        <w:rPr>
          <w:b w:val="0"/>
          <w:color w:val="000000"/>
          <w:szCs w:val="22"/>
        </w:rPr>
        <w:t>ցածր</w:t>
      </w:r>
      <w:r w:rsidRPr="002C0A36">
        <w:rPr>
          <w:b w:val="0"/>
          <w:color w:val="000000"/>
          <w:szCs w:val="22"/>
          <w:lang w:val="en-US"/>
        </w:rPr>
        <w:t xml:space="preserve"> </w:t>
      </w:r>
      <w:r w:rsidRPr="002C0A36">
        <w:rPr>
          <w:b w:val="0"/>
          <w:color w:val="000000"/>
          <w:szCs w:val="22"/>
        </w:rPr>
        <w:t>հավանականության</w:t>
      </w:r>
      <w:r w:rsidRPr="002C0A36">
        <w:rPr>
          <w:b w:val="0"/>
          <w:color w:val="000000"/>
          <w:szCs w:val="22"/>
          <w:lang w:val="en-US"/>
        </w:rPr>
        <w:t xml:space="preserve"> </w:t>
      </w:r>
      <w:r w:rsidRPr="002C0A36">
        <w:rPr>
          <w:b w:val="0"/>
          <w:color w:val="000000"/>
          <w:szCs w:val="22"/>
        </w:rPr>
        <w:t>մասին</w:t>
      </w:r>
      <w:r w:rsidRPr="002C0A36">
        <w:rPr>
          <w:b w:val="0"/>
          <w:color w:val="000000"/>
          <w:szCs w:val="22"/>
          <w:lang w:val="en-US"/>
        </w:rPr>
        <w:t xml:space="preserve"> (</w:t>
      </w:r>
      <w:r w:rsidRPr="002C0A36">
        <w:rPr>
          <w:b w:val="0"/>
          <w:color w:val="000000"/>
          <w:szCs w:val="22"/>
        </w:rPr>
        <w:t>գործակիցը</w:t>
      </w:r>
      <w:r w:rsidRPr="002C0A36">
        <w:rPr>
          <w:b w:val="0"/>
          <w:color w:val="000000"/>
          <w:szCs w:val="22"/>
          <w:lang w:val="en-US"/>
        </w:rPr>
        <w:t xml:space="preserve">` Z=4.2, </w:t>
      </w:r>
      <w:r w:rsidRPr="002C0A36">
        <w:rPr>
          <w:b w:val="0"/>
          <w:color w:val="000000"/>
          <w:szCs w:val="22"/>
        </w:rPr>
        <w:t>գտնվում</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սահմանված</w:t>
      </w:r>
      <w:r w:rsidRPr="002C0A36">
        <w:rPr>
          <w:b w:val="0"/>
          <w:color w:val="000000"/>
          <w:szCs w:val="22"/>
          <w:lang w:val="en-US"/>
        </w:rPr>
        <w:t xml:space="preserve"> </w:t>
      </w:r>
      <w:r w:rsidRPr="002C0A36">
        <w:rPr>
          <w:b w:val="0"/>
          <w:color w:val="000000"/>
          <w:szCs w:val="22"/>
        </w:rPr>
        <w:t>ապահով</w:t>
      </w:r>
      <w:r w:rsidRPr="002C0A36">
        <w:rPr>
          <w:b w:val="0"/>
          <w:color w:val="000000"/>
          <w:szCs w:val="22"/>
          <w:lang w:val="en-US"/>
        </w:rPr>
        <w:t xml:space="preserve"> </w:t>
      </w:r>
      <w:r w:rsidRPr="002C0A36">
        <w:rPr>
          <w:b w:val="0"/>
          <w:color w:val="000000"/>
          <w:szCs w:val="22"/>
        </w:rPr>
        <w:t>գոտում</w:t>
      </w:r>
      <w:r w:rsidRPr="002C0A36">
        <w:rPr>
          <w:b w:val="0"/>
          <w:color w:val="000000"/>
          <w:szCs w:val="22"/>
          <w:lang w:val="en-US"/>
        </w:rPr>
        <w:t xml:space="preserve">` Z&gt;2.6), </w:t>
      </w:r>
      <w:r w:rsidRPr="002C0A36">
        <w:rPr>
          <w:b w:val="0"/>
          <w:color w:val="000000"/>
          <w:szCs w:val="22"/>
        </w:rPr>
        <w:t>իսկ</w:t>
      </w:r>
      <w:r w:rsidRPr="002C0A36">
        <w:rPr>
          <w:b w:val="0"/>
          <w:color w:val="000000"/>
          <w:szCs w:val="22"/>
          <w:lang w:val="en-US"/>
        </w:rPr>
        <w:t xml:space="preserve"> </w:t>
      </w:r>
      <w:r w:rsidRPr="002C0A36">
        <w:rPr>
          <w:b w:val="0"/>
          <w:color w:val="000000"/>
          <w:szCs w:val="22"/>
        </w:rPr>
        <w:t>միջանկյալ</w:t>
      </w:r>
      <w:r w:rsidRPr="002C0A36">
        <w:rPr>
          <w:b w:val="0"/>
          <w:color w:val="000000"/>
          <w:szCs w:val="22"/>
          <w:lang w:val="en-US"/>
        </w:rPr>
        <w:t xml:space="preserve"> </w:t>
      </w:r>
      <w:r w:rsidRPr="002C0A36">
        <w:rPr>
          <w:b w:val="0"/>
          <w:color w:val="000000"/>
          <w:szCs w:val="22"/>
        </w:rPr>
        <w:t>ժամանակաշրջանում՝</w:t>
      </w:r>
      <w:r w:rsidRPr="002C0A36">
        <w:rPr>
          <w:b w:val="0"/>
          <w:color w:val="000000"/>
          <w:szCs w:val="22"/>
          <w:lang w:val="en-US"/>
        </w:rPr>
        <w:t xml:space="preserve"> </w:t>
      </w:r>
      <w:r w:rsidRPr="002C0A36">
        <w:rPr>
          <w:b w:val="0"/>
          <w:color w:val="000000"/>
          <w:szCs w:val="22"/>
        </w:rPr>
        <w:t>միջին՝</w:t>
      </w:r>
      <w:r w:rsidRPr="002C0A36">
        <w:rPr>
          <w:b w:val="0"/>
          <w:color w:val="000000"/>
          <w:szCs w:val="22"/>
          <w:lang w:val="en-US"/>
        </w:rPr>
        <w:t xml:space="preserve"> Z=2.5 (1.1&lt;Z&lt;2.6 </w:t>
      </w:r>
      <w:r w:rsidRPr="002C0A36">
        <w:rPr>
          <w:b w:val="0"/>
          <w:color w:val="000000"/>
          <w:szCs w:val="22"/>
        </w:rPr>
        <w:t>գորշ</w:t>
      </w:r>
      <w:r w:rsidRPr="002C0A36">
        <w:rPr>
          <w:b w:val="0"/>
          <w:color w:val="000000"/>
          <w:szCs w:val="22"/>
          <w:lang w:val="en-US"/>
        </w:rPr>
        <w:t xml:space="preserve"> </w:t>
      </w:r>
      <w:r w:rsidRPr="002C0A36">
        <w:rPr>
          <w:b w:val="0"/>
          <w:color w:val="000000"/>
          <w:szCs w:val="22"/>
        </w:rPr>
        <w:t>գոտի</w:t>
      </w:r>
      <w:r w:rsidRPr="002C0A36">
        <w:rPr>
          <w:b w:val="0"/>
          <w:color w:val="000000"/>
          <w:szCs w:val="22"/>
          <w:lang w:val="en-US"/>
        </w:rPr>
        <w:t>):</w:t>
      </w:r>
    </w:p>
    <w:p w:rsidR="002C0A36" w:rsidRPr="002C0A36" w:rsidRDefault="002C0A36" w:rsidP="007730AA">
      <w:pPr>
        <w:shd w:val="clear" w:color="auto" w:fill="FFFFFF"/>
        <w:spacing w:before="0" w:line="276" w:lineRule="auto"/>
        <w:contextualSpacing w:val="0"/>
        <w:rPr>
          <w:b w:val="0"/>
          <w:color w:val="000000"/>
          <w:szCs w:val="22"/>
          <w:lang w:val="en-US"/>
        </w:rPr>
      </w:pPr>
      <w:r w:rsidRPr="002C0A36">
        <w:rPr>
          <w:b w:val="0"/>
          <w:color w:val="000000"/>
          <w:szCs w:val="22"/>
        </w:rPr>
        <w:t>Հաշվետու</w:t>
      </w:r>
      <w:r w:rsidRPr="002C0A36">
        <w:rPr>
          <w:b w:val="0"/>
          <w:color w:val="000000"/>
          <w:szCs w:val="22"/>
          <w:lang w:val="en-US"/>
        </w:rPr>
        <w:t xml:space="preserve"> </w:t>
      </w:r>
      <w:r w:rsidRPr="002C0A36">
        <w:rPr>
          <w:b w:val="0"/>
          <w:color w:val="000000"/>
          <w:szCs w:val="22"/>
        </w:rPr>
        <w:t>ժամանակաշրջանում</w:t>
      </w:r>
      <w:r w:rsidRPr="002C0A36">
        <w:rPr>
          <w:b w:val="0"/>
          <w:color w:val="000000"/>
          <w:szCs w:val="22"/>
          <w:lang w:val="en-US"/>
        </w:rPr>
        <w:t xml:space="preserve"> </w:t>
      </w:r>
      <w:r w:rsidRPr="002C0A36">
        <w:rPr>
          <w:b w:val="0"/>
          <w:color w:val="000000"/>
          <w:szCs w:val="22"/>
        </w:rPr>
        <w:t>ստուգաճշտող</w:t>
      </w:r>
      <w:r w:rsidRPr="002C0A36">
        <w:rPr>
          <w:b w:val="0"/>
          <w:color w:val="000000"/>
          <w:szCs w:val="22"/>
          <w:lang w:val="en-US"/>
        </w:rPr>
        <w:t xml:space="preserve"> </w:t>
      </w:r>
      <w:r w:rsidRPr="002C0A36">
        <w:rPr>
          <w:b w:val="0"/>
          <w:color w:val="000000"/>
          <w:szCs w:val="22"/>
        </w:rPr>
        <w:t>լրացուցիչ</w:t>
      </w:r>
      <w:r w:rsidRPr="002C0A36">
        <w:rPr>
          <w:b w:val="0"/>
          <w:color w:val="000000"/>
          <w:szCs w:val="22"/>
          <w:lang w:val="en-US"/>
        </w:rPr>
        <w:t xml:space="preserve"> </w:t>
      </w:r>
      <w:r w:rsidRPr="002C0A36">
        <w:rPr>
          <w:b w:val="0"/>
          <w:color w:val="000000"/>
          <w:szCs w:val="22"/>
        </w:rPr>
        <w:t>ֆինանսական</w:t>
      </w:r>
      <w:r w:rsidRPr="002C0A36">
        <w:rPr>
          <w:b w:val="0"/>
          <w:color w:val="000000"/>
          <w:szCs w:val="22"/>
          <w:lang w:val="en-US"/>
        </w:rPr>
        <w:t xml:space="preserve"> </w:t>
      </w:r>
      <w:r w:rsidRPr="002C0A36">
        <w:rPr>
          <w:b w:val="0"/>
          <w:color w:val="000000"/>
          <w:szCs w:val="22"/>
        </w:rPr>
        <w:t>վեց</w:t>
      </w:r>
      <w:r w:rsidRPr="002C0A36">
        <w:rPr>
          <w:b w:val="0"/>
          <w:color w:val="000000"/>
          <w:szCs w:val="22"/>
          <w:lang w:val="en-US"/>
        </w:rPr>
        <w:t xml:space="preserve"> </w:t>
      </w:r>
      <w:r w:rsidRPr="002C0A36">
        <w:rPr>
          <w:b w:val="0"/>
          <w:color w:val="000000"/>
          <w:szCs w:val="22"/>
        </w:rPr>
        <w:t>գործակիցները</w:t>
      </w:r>
      <w:r w:rsidRPr="002C0A36">
        <w:rPr>
          <w:b w:val="0"/>
          <w:color w:val="000000"/>
          <w:szCs w:val="22"/>
          <w:lang w:val="en-US"/>
        </w:rPr>
        <w:t xml:space="preserve"> </w:t>
      </w:r>
      <w:r w:rsidRPr="002C0A36">
        <w:rPr>
          <w:b w:val="0"/>
          <w:color w:val="000000"/>
          <w:szCs w:val="22"/>
        </w:rPr>
        <w:t>հիմնականում</w:t>
      </w:r>
      <w:r w:rsidRPr="002C0A36">
        <w:rPr>
          <w:b w:val="0"/>
          <w:color w:val="000000"/>
          <w:szCs w:val="22"/>
          <w:lang w:val="en-US"/>
        </w:rPr>
        <w:t xml:space="preserve"> </w:t>
      </w:r>
      <w:r w:rsidRPr="002C0A36">
        <w:rPr>
          <w:b w:val="0"/>
          <w:color w:val="000000"/>
          <w:szCs w:val="22"/>
        </w:rPr>
        <w:t>ապահովել</w:t>
      </w:r>
      <w:r w:rsidRPr="002C0A36">
        <w:rPr>
          <w:b w:val="0"/>
          <w:color w:val="000000"/>
          <w:szCs w:val="22"/>
          <w:lang w:val="en-US"/>
        </w:rPr>
        <w:t xml:space="preserve"> </w:t>
      </w:r>
      <w:r w:rsidRPr="002C0A36">
        <w:rPr>
          <w:b w:val="0"/>
          <w:color w:val="000000"/>
          <w:szCs w:val="22"/>
        </w:rPr>
        <w:t>են</w:t>
      </w:r>
      <w:r w:rsidRPr="002C0A36">
        <w:rPr>
          <w:b w:val="0"/>
          <w:color w:val="000000"/>
          <w:szCs w:val="22"/>
          <w:lang w:val="en-US"/>
        </w:rPr>
        <w:t xml:space="preserve"> </w:t>
      </w:r>
      <w:r w:rsidRPr="002C0A36">
        <w:rPr>
          <w:b w:val="0"/>
          <w:color w:val="000000"/>
          <w:szCs w:val="22"/>
        </w:rPr>
        <w:t>միջազգային</w:t>
      </w:r>
      <w:r w:rsidRPr="002C0A36">
        <w:rPr>
          <w:b w:val="0"/>
          <w:color w:val="000000"/>
          <w:szCs w:val="22"/>
          <w:lang w:val="en-US"/>
        </w:rPr>
        <w:t xml:space="preserve"> </w:t>
      </w:r>
      <w:r w:rsidRPr="002C0A36">
        <w:rPr>
          <w:b w:val="0"/>
          <w:color w:val="000000"/>
          <w:szCs w:val="22"/>
        </w:rPr>
        <w:t>պրակտիկայում</w:t>
      </w:r>
      <w:r w:rsidRPr="002C0A36">
        <w:rPr>
          <w:b w:val="0"/>
          <w:color w:val="000000"/>
          <w:szCs w:val="22"/>
          <w:lang w:val="en-US"/>
        </w:rPr>
        <w:t xml:space="preserve"> </w:t>
      </w:r>
      <w:r w:rsidRPr="002C0A36">
        <w:rPr>
          <w:b w:val="0"/>
          <w:color w:val="000000"/>
          <w:szCs w:val="22"/>
        </w:rPr>
        <w:t>ընդունված</w:t>
      </w:r>
      <w:r w:rsidRPr="002C0A36">
        <w:rPr>
          <w:b w:val="0"/>
          <w:color w:val="000000"/>
          <w:szCs w:val="22"/>
          <w:lang w:val="en-US"/>
        </w:rPr>
        <w:t xml:space="preserve"> </w:t>
      </w:r>
      <w:r w:rsidRPr="002C0A36">
        <w:rPr>
          <w:b w:val="0"/>
          <w:color w:val="000000"/>
          <w:szCs w:val="22"/>
        </w:rPr>
        <w:t>թույլատրելի</w:t>
      </w:r>
      <w:r w:rsidRPr="002C0A36">
        <w:rPr>
          <w:b w:val="0"/>
          <w:color w:val="000000"/>
          <w:szCs w:val="22"/>
          <w:lang w:val="en-US"/>
        </w:rPr>
        <w:t xml:space="preserve"> </w:t>
      </w:r>
      <w:r w:rsidRPr="002C0A36">
        <w:rPr>
          <w:b w:val="0"/>
          <w:color w:val="000000"/>
          <w:szCs w:val="22"/>
        </w:rPr>
        <w:t>սահմանային</w:t>
      </w:r>
      <w:r w:rsidRPr="002C0A36">
        <w:rPr>
          <w:b w:val="0"/>
          <w:color w:val="000000"/>
          <w:szCs w:val="22"/>
          <w:lang w:val="en-US"/>
        </w:rPr>
        <w:t xml:space="preserve"> </w:t>
      </w:r>
      <w:r w:rsidRPr="002C0A36">
        <w:rPr>
          <w:b w:val="0"/>
          <w:color w:val="000000"/>
          <w:szCs w:val="22"/>
        </w:rPr>
        <w:t>նորմաները</w:t>
      </w:r>
      <w:r w:rsidRPr="002C0A36">
        <w:rPr>
          <w:b w:val="0"/>
          <w:color w:val="000000"/>
          <w:szCs w:val="22"/>
          <w:lang w:val="en-US"/>
        </w:rPr>
        <w:t xml:space="preserve"> </w:t>
      </w:r>
      <w:r w:rsidRPr="002C0A36">
        <w:rPr>
          <w:b w:val="0"/>
          <w:color w:val="000000"/>
          <w:szCs w:val="22"/>
        </w:rPr>
        <w:t>և</w:t>
      </w:r>
      <w:r w:rsidRPr="002C0A36">
        <w:rPr>
          <w:b w:val="0"/>
          <w:color w:val="000000"/>
          <w:szCs w:val="22"/>
          <w:lang w:val="en-US"/>
        </w:rPr>
        <w:t xml:space="preserve"> </w:t>
      </w:r>
      <w:r w:rsidRPr="002C0A36">
        <w:rPr>
          <w:b w:val="0"/>
          <w:color w:val="000000"/>
          <w:szCs w:val="22"/>
        </w:rPr>
        <w:t>վկայում</w:t>
      </w:r>
      <w:r w:rsidRPr="002C0A36">
        <w:rPr>
          <w:b w:val="0"/>
          <w:color w:val="000000"/>
          <w:szCs w:val="22"/>
          <w:lang w:val="en-US"/>
        </w:rPr>
        <w:t xml:space="preserve"> </w:t>
      </w:r>
      <w:r w:rsidRPr="002C0A36">
        <w:rPr>
          <w:b w:val="0"/>
          <w:color w:val="000000"/>
          <w:szCs w:val="22"/>
        </w:rPr>
        <w:t>են</w:t>
      </w:r>
      <w:r w:rsidRPr="002C0A36">
        <w:rPr>
          <w:b w:val="0"/>
          <w:color w:val="000000"/>
          <w:szCs w:val="22"/>
          <w:lang w:val="en-US"/>
        </w:rPr>
        <w:t xml:space="preserve"> </w:t>
      </w:r>
      <w:r w:rsidRPr="002C0A36">
        <w:rPr>
          <w:b w:val="0"/>
          <w:color w:val="000000"/>
          <w:szCs w:val="22"/>
        </w:rPr>
        <w:t>ֆինանսական</w:t>
      </w:r>
      <w:r w:rsidRPr="002C0A36">
        <w:rPr>
          <w:b w:val="0"/>
          <w:color w:val="000000"/>
          <w:szCs w:val="22"/>
          <w:lang w:val="en-US"/>
        </w:rPr>
        <w:t xml:space="preserve"> </w:t>
      </w:r>
      <w:r w:rsidRPr="002C0A36">
        <w:rPr>
          <w:b w:val="0"/>
          <w:color w:val="000000"/>
          <w:szCs w:val="22"/>
        </w:rPr>
        <w:t>ծանր</w:t>
      </w:r>
      <w:r w:rsidRPr="002C0A36">
        <w:rPr>
          <w:b w:val="0"/>
          <w:color w:val="000000"/>
          <w:szCs w:val="22"/>
          <w:lang w:val="en-US"/>
        </w:rPr>
        <w:t xml:space="preserve"> </w:t>
      </w:r>
      <w:r w:rsidRPr="002C0A36">
        <w:rPr>
          <w:b w:val="0"/>
          <w:color w:val="000000"/>
          <w:szCs w:val="22"/>
        </w:rPr>
        <w:t>վիճակի</w:t>
      </w:r>
      <w:r w:rsidRPr="002C0A36">
        <w:rPr>
          <w:b w:val="0"/>
          <w:color w:val="000000"/>
          <w:szCs w:val="22"/>
          <w:lang w:val="en-US"/>
        </w:rPr>
        <w:t xml:space="preserve"> </w:t>
      </w:r>
      <w:r w:rsidRPr="002C0A36">
        <w:rPr>
          <w:b w:val="0"/>
          <w:color w:val="000000"/>
          <w:szCs w:val="22"/>
        </w:rPr>
        <w:t>ցածր</w:t>
      </w:r>
      <w:r w:rsidRPr="002C0A36">
        <w:rPr>
          <w:b w:val="0"/>
          <w:color w:val="000000"/>
          <w:szCs w:val="22"/>
          <w:lang w:val="en-US"/>
        </w:rPr>
        <w:t xml:space="preserve"> </w:t>
      </w:r>
      <w:r w:rsidRPr="002C0A36">
        <w:rPr>
          <w:b w:val="0"/>
          <w:color w:val="000000"/>
          <w:szCs w:val="22"/>
        </w:rPr>
        <w:t>հավանականության</w:t>
      </w:r>
      <w:r w:rsidRPr="002C0A36">
        <w:rPr>
          <w:b w:val="0"/>
          <w:color w:val="000000"/>
          <w:szCs w:val="22"/>
          <w:lang w:val="en-US"/>
        </w:rPr>
        <w:t xml:space="preserve"> </w:t>
      </w:r>
      <w:r w:rsidRPr="002C0A36">
        <w:rPr>
          <w:b w:val="0"/>
          <w:color w:val="000000"/>
          <w:szCs w:val="22"/>
        </w:rPr>
        <w:t>մասին</w:t>
      </w:r>
      <w:r w:rsidRPr="002C0A36">
        <w:rPr>
          <w:b w:val="0"/>
          <w:color w:val="000000"/>
          <w:szCs w:val="22"/>
          <w:lang w:val="en-US"/>
        </w:rPr>
        <w:t xml:space="preserve">, </w:t>
      </w:r>
      <w:r w:rsidRPr="002C0A36">
        <w:rPr>
          <w:b w:val="0"/>
          <w:color w:val="000000"/>
          <w:szCs w:val="22"/>
        </w:rPr>
        <w:t>սակայն</w:t>
      </w:r>
      <w:r w:rsidRPr="002C0A36">
        <w:rPr>
          <w:b w:val="0"/>
          <w:color w:val="000000"/>
          <w:szCs w:val="22"/>
          <w:lang w:val="en-US"/>
        </w:rPr>
        <w:t xml:space="preserve"> </w:t>
      </w:r>
      <w:r w:rsidRPr="002C0A36">
        <w:rPr>
          <w:b w:val="0"/>
          <w:color w:val="000000"/>
          <w:szCs w:val="22"/>
        </w:rPr>
        <w:t>միջանկյալ</w:t>
      </w:r>
      <w:r w:rsidRPr="002C0A36">
        <w:rPr>
          <w:b w:val="0"/>
          <w:color w:val="000000"/>
          <w:szCs w:val="22"/>
          <w:lang w:val="en-US"/>
        </w:rPr>
        <w:t xml:space="preserve"> </w:t>
      </w:r>
      <w:r w:rsidRPr="002C0A36">
        <w:rPr>
          <w:b w:val="0"/>
          <w:color w:val="000000"/>
          <w:szCs w:val="22"/>
        </w:rPr>
        <w:t>ժամանակաշրջանում՝</w:t>
      </w:r>
      <w:r w:rsidRPr="002C0A36">
        <w:rPr>
          <w:b w:val="0"/>
          <w:color w:val="000000"/>
          <w:szCs w:val="22"/>
          <w:lang w:val="en-US"/>
        </w:rPr>
        <w:t xml:space="preserve"> </w:t>
      </w:r>
      <w:r w:rsidRPr="002C0A36">
        <w:rPr>
          <w:b w:val="0"/>
          <w:color w:val="000000"/>
          <w:szCs w:val="22"/>
        </w:rPr>
        <w:t>ֆինանսական</w:t>
      </w:r>
      <w:r w:rsidRPr="002C0A36">
        <w:rPr>
          <w:b w:val="0"/>
          <w:color w:val="000000"/>
          <w:szCs w:val="22"/>
          <w:lang w:val="en-US"/>
        </w:rPr>
        <w:t xml:space="preserve"> երեք </w:t>
      </w:r>
      <w:r w:rsidRPr="002C0A36">
        <w:rPr>
          <w:b w:val="0"/>
          <w:color w:val="000000"/>
          <w:szCs w:val="22"/>
        </w:rPr>
        <w:t>գործակիցներ</w:t>
      </w:r>
      <w:r w:rsidRPr="002C0A36">
        <w:rPr>
          <w:b w:val="0"/>
          <w:color w:val="000000"/>
          <w:szCs w:val="22"/>
          <w:lang w:val="en-US"/>
        </w:rPr>
        <w:t xml:space="preserve"> չեն ապահովել </w:t>
      </w:r>
      <w:r w:rsidRPr="002C0A36">
        <w:rPr>
          <w:b w:val="0"/>
          <w:color w:val="000000"/>
          <w:szCs w:val="22"/>
        </w:rPr>
        <w:t>թույլատրելի</w:t>
      </w:r>
      <w:r w:rsidRPr="002C0A36">
        <w:rPr>
          <w:b w:val="0"/>
          <w:color w:val="000000"/>
          <w:szCs w:val="22"/>
          <w:lang w:val="en-US"/>
        </w:rPr>
        <w:t xml:space="preserve"> </w:t>
      </w:r>
      <w:r w:rsidRPr="002C0A36">
        <w:rPr>
          <w:b w:val="0"/>
          <w:color w:val="000000"/>
          <w:szCs w:val="22"/>
        </w:rPr>
        <w:t>սահմանային</w:t>
      </w:r>
      <w:r w:rsidRPr="002C0A36">
        <w:rPr>
          <w:b w:val="0"/>
          <w:color w:val="000000"/>
          <w:szCs w:val="22"/>
          <w:lang w:val="en-US"/>
        </w:rPr>
        <w:t xml:space="preserve"> </w:t>
      </w:r>
      <w:r w:rsidRPr="002C0A36">
        <w:rPr>
          <w:b w:val="0"/>
          <w:color w:val="000000"/>
          <w:szCs w:val="22"/>
        </w:rPr>
        <w:t>նորմաները</w:t>
      </w:r>
      <w:r w:rsidRPr="002C0A36">
        <w:rPr>
          <w:b w:val="0"/>
          <w:color w:val="000000"/>
          <w:szCs w:val="22"/>
          <w:lang w:val="en-US"/>
        </w:rPr>
        <w:t>:</w:t>
      </w:r>
    </w:p>
    <w:p w:rsidR="002C0A36" w:rsidRPr="002C0A36" w:rsidRDefault="002C0A36" w:rsidP="007730AA">
      <w:pPr>
        <w:shd w:val="clear" w:color="auto" w:fill="FFFFFF"/>
        <w:spacing w:before="0" w:line="276" w:lineRule="auto"/>
        <w:contextualSpacing w:val="0"/>
        <w:rPr>
          <w:b w:val="0"/>
          <w:color w:val="000000"/>
          <w:szCs w:val="22"/>
          <w:lang w:val="en-US"/>
        </w:rPr>
      </w:pPr>
      <w:r w:rsidRPr="002C0A36">
        <w:rPr>
          <w:b w:val="0"/>
          <w:color w:val="000000"/>
          <w:szCs w:val="22"/>
        </w:rPr>
        <w:t>Հաշվի</w:t>
      </w:r>
      <w:r w:rsidRPr="002C0A36">
        <w:rPr>
          <w:b w:val="0"/>
          <w:color w:val="000000"/>
          <w:szCs w:val="22"/>
          <w:lang w:val="en-US"/>
        </w:rPr>
        <w:t xml:space="preserve"> </w:t>
      </w:r>
      <w:r w:rsidRPr="002C0A36">
        <w:rPr>
          <w:b w:val="0"/>
          <w:color w:val="000000"/>
          <w:szCs w:val="22"/>
        </w:rPr>
        <w:t>առնելով</w:t>
      </w:r>
      <w:r w:rsidRPr="002C0A36">
        <w:rPr>
          <w:b w:val="0"/>
          <w:color w:val="000000"/>
          <w:szCs w:val="22"/>
          <w:lang w:val="en-US"/>
        </w:rPr>
        <w:t xml:space="preserve">, </w:t>
      </w:r>
      <w:r w:rsidRPr="002C0A36">
        <w:rPr>
          <w:b w:val="0"/>
          <w:color w:val="000000"/>
          <w:szCs w:val="22"/>
        </w:rPr>
        <w:t>որ</w:t>
      </w:r>
      <w:r w:rsidRPr="002C0A36">
        <w:rPr>
          <w:b w:val="0"/>
          <w:color w:val="000000"/>
          <w:szCs w:val="22"/>
          <w:lang w:val="en-US"/>
        </w:rPr>
        <w:t xml:space="preserve"> </w:t>
      </w:r>
      <w:r w:rsidRPr="002C0A36">
        <w:rPr>
          <w:b w:val="0"/>
          <w:color w:val="000000"/>
          <w:szCs w:val="22"/>
        </w:rPr>
        <w:t>հաշվետու</w:t>
      </w:r>
      <w:r w:rsidRPr="002C0A36">
        <w:rPr>
          <w:b w:val="0"/>
          <w:color w:val="000000"/>
          <w:szCs w:val="22"/>
          <w:lang w:val="en-US"/>
        </w:rPr>
        <w:t xml:space="preserve"> </w:t>
      </w:r>
      <w:r w:rsidRPr="002C0A36">
        <w:rPr>
          <w:b w:val="0"/>
          <w:color w:val="000000"/>
          <w:szCs w:val="22"/>
        </w:rPr>
        <w:t>ժամանակաշրջանում</w:t>
      </w:r>
      <w:r w:rsidRPr="002C0A36">
        <w:rPr>
          <w:b w:val="0"/>
          <w:color w:val="000000"/>
          <w:szCs w:val="22"/>
          <w:lang w:val="en-US"/>
        </w:rPr>
        <w:t xml:space="preserve"> </w:t>
      </w:r>
      <w:r w:rsidRPr="002C0A36">
        <w:rPr>
          <w:b w:val="0"/>
          <w:color w:val="000000"/>
          <w:szCs w:val="22"/>
        </w:rPr>
        <w:t>Ընկերությունների</w:t>
      </w:r>
      <w:r w:rsidRPr="002C0A36">
        <w:rPr>
          <w:b w:val="0"/>
          <w:color w:val="000000"/>
          <w:szCs w:val="22"/>
          <w:lang w:val="en-US"/>
        </w:rPr>
        <w:t xml:space="preserve"> </w:t>
      </w:r>
      <w:r w:rsidRPr="002C0A36">
        <w:rPr>
          <w:b w:val="0"/>
          <w:color w:val="000000"/>
          <w:szCs w:val="22"/>
        </w:rPr>
        <w:t>ֆինանսական</w:t>
      </w:r>
      <w:r w:rsidRPr="002C0A36">
        <w:rPr>
          <w:b w:val="0"/>
          <w:color w:val="000000"/>
          <w:szCs w:val="22"/>
          <w:lang w:val="en-US"/>
        </w:rPr>
        <w:t xml:space="preserve"> </w:t>
      </w:r>
      <w:r w:rsidRPr="002C0A36">
        <w:rPr>
          <w:b w:val="0"/>
          <w:color w:val="000000"/>
          <w:szCs w:val="22"/>
        </w:rPr>
        <w:t>ծանր</w:t>
      </w:r>
      <w:r w:rsidRPr="002C0A36">
        <w:rPr>
          <w:b w:val="0"/>
          <w:color w:val="000000"/>
          <w:szCs w:val="22"/>
          <w:lang w:val="en-US"/>
        </w:rPr>
        <w:t xml:space="preserve"> </w:t>
      </w:r>
      <w:r w:rsidRPr="002C0A36">
        <w:rPr>
          <w:b w:val="0"/>
          <w:color w:val="000000"/>
          <w:szCs w:val="22"/>
        </w:rPr>
        <w:t>վիճակի</w:t>
      </w:r>
      <w:r w:rsidRPr="002C0A36">
        <w:rPr>
          <w:b w:val="0"/>
          <w:color w:val="000000"/>
          <w:szCs w:val="22"/>
          <w:lang w:val="en-US"/>
        </w:rPr>
        <w:t xml:space="preserve"> </w:t>
      </w:r>
      <w:r w:rsidRPr="002C0A36">
        <w:rPr>
          <w:b w:val="0"/>
          <w:color w:val="000000"/>
          <w:szCs w:val="22"/>
        </w:rPr>
        <w:t>հավանականությունը</w:t>
      </w:r>
      <w:r w:rsidRPr="002C0A36">
        <w:rPr>
          <w:b w:val="0"/>
          <w:color w:val="000000"/>
          <w:szCs w:val="22"/>
          <w:lang w:val="en-US"/>
        </w:rPr>
        <w:t xml:space="preserve"> </w:t>
      </w:r>
      <w:r w:rsidRPr="002C0A36">
        <w:rPr>
          <w:b w:val="0"/>
          <w:color w:val="000000"/>
          <w:szCs w:val="22"/>
        </w:rPr>
        <w:t>գնահատող</w:t>
      </w:r>
      <w:r w:rsidRPr="002C0A36">
        <w:rPr>
          <w:b w:val="0"/>
          <w:color w:val="000000"/>
          <w:szCs w:val="22"/>
          <w:lang w:val="en-US"/>
        </w:rPr>
        <w:t xml:space="preserve"> Z-</w:t>
      </w:r>
      <w:r w:rsidRPr="002C0A36">
        <w:rPr>
          <w:b w:val="0"/>
          <w:color w:val="000000"/>
          <w:szCs w:val="22"/>
        </w:rPr>
        <w:t>միավորը</w:t>
      </w:r>
      <w:r w:rsidRPr="002C0A36">
        <w:rPr>
          <w:b w:val="0"/>
          <w:color w:val="000000"/>
          <w:szCs w:val="22"/>
          <w:lang w:val="en-US"/>
        </w:rPr>
        <w:t xml:space="preserve"> </w:t>
      </w:r>
      <w:r w:rsidRPr="002C0A36">
        <w:rPr>
          <w:b w:val="0"/>
          <w:color w:val="000000"/>
          <w:szCs w:val="22"/>
        </w:rPr>
        <w:t>վկայում</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Ընկերությունների</w:t>
      </w:r>
      <w:r w:rsidRPr="002C0A36">
        <w:rPr>
          <w:b w:val="0"/>
          <w:color w:val="000000"/>
          <w:szCs w:val="22"/>
          <w:lang w:val="en-US"/>
        </w:rPr>
        <w:t xml:space="preserve"> </w:t>
      </w:r>
      <w:r w:rsidRPr="002C0A36">
        <w:rPr>
          <w:b w:val="0"/>
          <w:color w:val="000000"/>
          <w:szCs w:val="22"/>
        </w:rPr>
        <w:t>ֆինանսական</w:t>
      </w:r>
      <w:r w:rsidRPr="002C0A36">
        <w:rPr>
          <w:b w:val="0"/>
          <w:color w:val="000000"/>
          <w:szCs w:val="22"/>
          <w:lang w:val="en-US"/>
        </w:rPr>
        <w:t xml:space="preserve"> </w:t>
      </w:r>
      <w:r w:rsidRPr="002C0A36">
        <w:rPr>
          <w:b w:val="0"/>
          <w:color w:val="000000"/>
          <w:szCs w:val="22"/>
        </w:rPr>
        <w:t>ծանր</w:t>
      </w:r>
      <w:r w:rsidRPr="002C0A36">
        <w:rPr>
          <w:b w:val="0"/>
          <w:color w:val="000000"/>
          <w:szCs w:val="22"/>
          <w:lang w:val="en-US"/>
        </w:rPr>
        <w:t xml:space="preserve"> </w:t>
      </w:r>
      <w:r w:rsidRPr="002C0A36">
        <w:rPr>
          <w:b w:val="0"/>
          <w:color w:val="000000"/>
          <w:szCs w:val="22"/>
        </w:rPr>
        <w:t>վիճակի</w:t>
      </w:r>
      <w:r w:rsidRPr="002C0A36">
        <w:rPr>
          <w:b w:val="0"/>
          <w:color w:val="000000"/>
          <w:szCs w:val="22"/>
          <w:lang w:val="en-US"/>
        </w:rPr>
        <w:t xml:space="preserve"> </w:t>
      </w:r>
      <w:r w:rsidRPr="002C0A36">
        <w:rPr>
          <w:b w:val="0"/>
          <w:color w:val="000000"/>
          <w:szCs w:val="22"/>
        </w:rPr>
        <w:t>ցածր</w:t>
      </w:r>
      <w:r w:rsidRPr="002C0A36">
        <w:rPr>
          <w:b w:val="0"/>
          <w:color w:val="000000"/>
          <w:szCs w:val="22"/>
          <w:lang w:val="en-US"/>
        </w:rPr>
        <w:t xml:space="preserve"> </w:t>
      </w:r>
      <w:r w:rsidRPr="002C0A36">
        <w:rPr>
          <w:b w:val="0"/>
          <w:color w:val="000000"/>
          <w:szCs w:val="22"/>
        </w:rPr>
        <w:t>հավանականության</w:t>
      </w:r>
      <w:r w:rsidRPr="002C0A36">
        <w:rPr>
          <w:b w:val="0"/>
          <w:color w:val="000000"/>
          <w:szCs w:val="22"/>
          <w:lang w:val="en-US"/>
        </w:rPr>
        <w:t xml:space="preserve"> </w:t>
      </w:r>
      <w:r w:rsidRPr="002C0A36">
        <w:rPr>
          <w:b w:val="0"/>
          <w:color w:val="000000"/>
          <w:szCs w:val="22"/>
        </w:rPr>
        <w:t>մասին</w:t>
      </w:r>
      <w:r w:rsidRPr="002C0A36">
        <w:rPr>
          <w:b w:val="0"/>
          <w:color w:val="000000"/>
          <w:szCs w:val="22"/>
          <w:lang w:val="en-US"/>
        </w:rPr>
        <w:t xml:space="preserve">, </w:t>
      </w:r>
      <w:r w:rsidRPr="002C0A36">
        <w:rPr>
          <w:b w:val="0"/>
          <w:color w:val="000000"/>
          <w:szCs w:val="22"/>
        </w:rPr>
        <w:t>իսկ</w:t>
      </w:r>
      <w:r w:rsidRPr="002C0A36">
        <w:rPr>
          <w:b w:val="0"/>
          <w:color w:val="000000"/>
          <w:szCs w:val="22"/>
          <w:lang w:val="en-US"/>
        </w:rPr>
        <w:t xml:space="preserve"> </w:t>
      </w:r>
      <w:r w:rsidRPr="002C0A36">
        <w:rPr>
          <w:b w:val="0"/>
          <w:color w:val="000000"/>
          <w:szCs w:val="22"/>
        </w:rPr>
        <w:t>ստուգաճշտող</w:t>
      </w:r>
      <w:r w:rsidRPr="002C0A36">
        <w:rPr>
          <w:b w:val="0"/>
          <w:color w:val="000000"/>
          <w:szCs w:val="22"/>
          <w:lang w:val="en-US"/>
        </w:rPr>
        <w:t xml:space="preserve"> </w:t>
      </w:r>
      <w:r w:rsidRPr="002C0A36">
        <w:rPr>
          <w:b w:val="0"/>
          <w:color w:val="000000"/>
          <w:szCs w:val="22"/>
        </w:rPr>
        <w:t>լրացուցիչ</w:t>
      </w:r>
      <w:r w:rsidRPr="002C0A36">
        <w:rPr>
          <w:b w:val="0"/>
          <w:color w:val="000000"/>
          <w:szCs w:val="22"/>
          <w:lang w:val="en-US"/>
        </w:rPr>
        <w:t xml:space="preserve"> </w:t>
      </w:r>
      <w:r w:rsidRPr="002C0A36">
        <w:rPr>
          <w:b w:val="0"/>
          <w:color w:val="000000"/>
          <w:szCs w:val="22"/>
        </w:rPr>
        <w:t>ֆինանսական</w:t>
      </w:r>
      <w:r w:rsidRPr="002C0A36">
        <w:rPr>
          <w:b w:val="0"/>
          <w:color w:val="000000"/>
          <w:szCs w:val="22"/>
          <w:lang w:val="en-US"/>
        </w:rPr>
        <w:t xml:space="preserve"> </w:t>
      </w:r>
      <w:r w:rsidRPr="002C0A36">
        <w:rPr>
          <w:b w:val="0"/>
          <w:color w:val="000000"/>
          <w:szCs w:val="22"/>
        </w:rPr>
        <w:t>գործակիցները</w:t>
      </w:r>
      <w:r w:rsidRPr="002C0A36">
        <w:rPr>
          <w:b w:val="0"/>
          <w:color w:val="000000"/>
          <w:szCs w:val="22"/>
          <w:lang w:val="en-US"/>
        </w:rPr>
        <w:t xml:space="preserve"> </w:t>
      </w:r>
      <w:r w:rsidRPr="002C0A36">
        <w:rPr>
          <w:b w:val="0"/>
          <w:color w:val="000000"/>
          <w:szCs w:val="22"/>
        </w:rPr>
        <w:t>ապահովել</w:t>
      </w:r>
      <w:r w:rsidRPr="002C0A36">
        <w:rPr>
          <w:b w:val="0"/>
          <w:color w:val="000000"/>
          <w:szCs w:val="22"/>
          <w:lang w:val="en-US"/>
        </w:rPr>
        <w:t xml:space="preserve"> </w:t>
      </w:r>
      <w:r w:rsidRPr="002C0A36">
        <w:rPr>
          <w:b w:val="0"/>
          <w:color w:val="000000"/>
          <w:szCs w:val="22"/>
        </w:rPr>
        <w:t>են</w:t>
      </w:r>
      <w:r w:rsidRPr="002C0A36">
        <w:rPr>
          <w:b w:val="0"/>
          <w:color w:val="000000"/>
          <w:szCs w:val="22"/>
          <w:lang w:val="en-US"/>
        </w:rPr>
        <w:t xml:space="preserve"> </w:t>
      </w:r>
      <w:r w:rsidRPr="002C0A36">
        <w:rPr>
          <w:b w:val="0"/>
          <w:color w:val="000000"/>
          <w:szCs w:val="22"/>
        </w:rPr>
        <w:t>միջազգային</w:t>
      </w:r>
      <w:r w:rsidRPr="002C0A36">
        <w:rPr>
          <w:b w:val="0"/>
          <w:color w:val="000000"/>
          <w:szCs w:val="22"/>
          <w:lang w:val="en-US"/>
        </w:rPr>
        <w:t xml:space="preserve"> </w:t>
      </w:r>
      <w:r w:rsidRPr="002C0A36">
        <w:rPr>
          <w:b w:val="0"/>
          <w:color w:val="000000"/>
          <w:szCs w:val="22"/>
        </w:rPr>
        <w:t>պրակտիկայում</w:t>
      </w:r>
      <w:r w:rsidRPr="002C0A36">
        <w:rPr>
          <w:b w:val="0"/>
          <w:color w:val="000000"/>
          <w:szCs w:val="22"/>
          <w:lang w:val="en-US"/>
        </w:rPr>
        <w:t xml:space="preserve"> </w:t>
      </w:r>
      <w:r w:rsidRPr="002C0A36">
        <w:rPr>
          <w:b w:val="0"/>
          <w:color w:val="000000"/>
          <w:szCs w:val="22"/>
        </w:rPr>
        <w:t>ընդունված</w:t>
      </w:r>
      <w:r w:rsidRPr="002C0A36">
        <w:rPr>
          <w:b w:val="0"/>
          <w:color w:val="000000"/>
          <w:szCs w:val="22"/>
          <w:lang w:val="en-US"/>
        </w:rPr>
        <w:t xml:space="preserve"> </w:t>
      </w:r>
      <w:r w:rsidRPr="002C0A36">
        <w:rPr>
          <w:b w:val="0"/>
          <w:color w:val="000000"/>
          <w:szCs w:val="22"/>
        </w:rPr>
        <w:t>թույլատրելի</w:t>
      </w:r>
      <w:r w:rsidRPr="002C0A36">
        <w:rPr>
          <w:b w:val="0"/>
          <w:color w:val="000000"/>
          <w:szCs w:val="22"/>
          <w:lang w:val="en-US"/>
        </w:rPr>
        <w:t xml:space="preserve"> </w:t>
      </w:r>
      <w:r w:rsidRPr="002C0A36">
        <w:rPr>
          <w:b w:val="0"/>
          <w:color w:val="000000"/>
          <w:szCs w:val="22"/>
        </w:rPr>
        <w:t>սահմանային</w:t>
      </w:r>
      <w:r w:rsidRPr="002C0A36">
        <w:rPr>
          <w:b w:val="0"/>
          <w:color w:val="000000"/>
          <w:szCs w:val="22"/>
          <w:lang w:val="en-US"/>
        </w:rPr>
        <w:t xml:space="preserve"> </w:t>
      </w:r>
      <w:r w:rsidRPr="002C0A36">
        <w:rPr>
          <w:b w:val="0"/>
          <w:color w:val="000000"/>
          <w:szCs w:val="22"/>
        </w:rPr>
        <w:t>նորմաները</w:t>
      </w:r>
      <w:r w:rsidRPr="002C0A36">
        <w:rPr>
          <w:b w:val="0"/>
          <w:color w:val="000000"/>
          <w:szCs w:val="22"/>
          <w:lang w:val="en-US"/>
        </w:rPr>
        <w:t xml:space="preserve"> </w:t>
      </w:r>
      <w:r w:rsidRPr="002C0A36">
        <w:rPr>
          <w:b w:val="0"/>
          <w:color w:val="000000"/>
          <w:szCs w:val="22"/>
        </w:rPr>
        <w:t>և</w:t>
      </w:r>
      <w:r w:rsidRPr="002C0A36">
        <w:rPr>
          <w:b w:val="0"/>
          <w:color w:val="000000"/>
          <w:szCs w:val="22"/>
          <w:lang w:val="en-US"/>
        </w:rPr>
        <w:t xml:space="preserve"> </w:t>
      </w:r>
      <w:r w:rsidRPr="002C0A36">
        <w:rPr>
          <w:b w:val="0"/>
          <w:color w:val="000000"/>
          <w:szCs w:val="22"/>
        </w:rPr>
        <w:t>վկայում</w:t>
      </w:r>
      <w:r w:rsidRPr="002C0A36">
        <w:rPr>
          <w:b w:val="0"/>
          <w:color w:val="000000"/>
          <w:szCs w:val="22"/>
          <w:lang w:val="en-US"/>
        </w:rPr>
        <w:t xml:space="preserve"> </w:t>
      </w:r>
      <w:r w:rsidRPr="002C0A36">
        <w:rPr>
          <w:b w:val="0"/>
          <w:color w:val="000000"/>
          <w:szCs w:val="22"/>
        </w:rPr>
        <w:t>են</w:t>
      </w:r>
      <w:r w:rsidRPr="002C0A36">
        <w:rPr>
          <w:b w:val="0"/>
          <w:color w:val="000000"/>
          <w:szCs w:val="22"/>
          <w:lang w:val="en-US"/>
        </w:rPr>
        <w:t xml:space="preserve"> </w:t>
      </w:r>
      <w:r w:rsidRPr="002C0A36">
        <w:rPr>
          <w:b w:val="0"/>
          <w:color w:val="000000"/>
          <w:szCs w:val="22"/>
        </w:rPr>
        <w:t>ֆինանսական</w:t>
      </w:r>
      <w:r w:rsidRPr="002C0A36">
        <w:rPr>
          <w:b w:val="0"/>
          <w:color w:val="000000"/>
          <w:szCs w:val="22"/>
          <w:lang w:val="en-US"/>
        </w:rPr>
        <w:t xml:space="preserve"> </w:t>
      </w:r>
      <w:r w:rsidRPr="002C0A36">
        <w:rPr>
          <w:b w:val="0"/>
          <w:color w:val="000000"/>
          <w:szCs w:val="22"/>
        </w:rPr>
        <w:t>ծանր</w:t>
      </w:r>
      <w:r w:rsidRPr="002C0A36">
        <w:rPr>
          <w:b w:val="0"/>
          <w:color w:val="000000"/>
          <w:szCs w:val="22"/>
          <w:lang w:val="en-US"/>
        </w:rPr>
        <w:t xml:space="preserve"> </w:t>
      </w:r>
      <w:r w:rsidRPr="002C0A36">
        <w:rPr>
          <w:b w:val="0"/>
          <w:color w:val="000000"/>
          <w:szCs w:val="22"/>
        </w:rPr>
        <w:t>վիճակի</w:t>
      </w:r>
      <w:r w:rsidRPr="002C0A36">
        <w:rPr>
          <w:b w:val="0"/>
          <w:color w:val="000000"/>
          <w:szCs w:val="22"/>
          <w:lang w:val="en-US"/>
        </w:rPr>
        <w:t xml:space="preserve"> </w:t>
      </w:r>
      <w:r w:rsidRPr="002C0A36">
        <w:rPr>
          <w:b w:val="0"/>
          <w:color w:val="000000"/>
          <w:szCs w:val="22"/>
        </w:rPr>
        <w:t>ցածր</w:t>
      </w:r>
      <w:r w:rsidRPr="002C0A36">
        <w:rPr>
          <w:b w:val="0"/>
          <w:color w:val="000000"/>
          <w:szCs w:val="22"/>
          <w:lang w:val="en-US"/>
        </w:rPr>
        <w:t xml:space="preserve"> </w:t>
      </w:r>
      <w:r w:rsidRPr="002C0A36">
        <w:rPr>
          <w:b w:val="0"/>
          <w:color w:val="000000"/>
          <w:szCs w:val="22"/>
        </w:rPr>
        <w:t>հավանականության</w:t>
      </w:r>
      <w:r w:rsidRPr="002C0A36">
        <w:rPr>
          <w:b w:val="0"/>
          <w:color w:val="000000"/>
          <w:szCs w:val="22"/>
          <w:lang w:val="en-US"/>
        </w:rPr>
        <w:t xml:space="preserve"> </w:t>
      </w:r>
      <w:r w:rsidRPr="002C0A36">
        <w:rPr>
          <w:b w:val="0"/>
          <w:color w:val="000000"/>
          <w:szCs w:val="22"/>
        </w:rPr>
        <w:t>մասին</w:t>
      </w:r>
      <w:r w:rsidRPr="002C0A36">
        <w:rPr>
          <w:b w:val="0"/>
          <w:color w:val="000000"/>
          <w:szCs w:val="22"/>
          <w:lang w:val="en-US"/>
        </w:rPr>
        <w:t xml:space="preserve">, </w:t>
      </w:r>
      <w:r w:rsidRPr="002C0A36">
        <w:rPr>
          <w:b w:val="0"/>
          <w:color w:val="000000"/>
          <w:szCs w:val="22"/>
        </w:rPr>
        <w:t>հետևաբար</w:t>
      </w:r>
      <w:r w:rsidRPr="002C0A36">
        <w:rPr>
          <w:b w:val="0"/>
          <w:color w:val="000000"/>
          <w:szCs w:val="22"/>
          <w:lang w:val="en-US"/>
        </w:rPr>
        <w:t xml:space="preserve"> </w:t>
      </w:r>
      <w:r w:rsidRPr="002C0A36">
        <w:rPr>
          <w:b w:val="0"/>
          <w:color w:val="000000"/>
          <w:szCs w:val="22"/>
        </w:rPr>
        <w:t>այս</w:t>
      </w:r>
      <w:r w:rsidRPr="002C0A36">
        <w:rPr>
          <w:b w:val="0"/>
          <w:color w:val="000000"/>
          <w:szCs w:val="22"/>
          <w:lang w:val="en-US"/>
        </w:rPr>
        <w:t xml:space="preserve"> </w:t>
      </w:r>
      <w:r w:rsidRPr="002C0A36">
        <w:rPr>
          <w:b w:val="0"/>
          <w:color w:val="000000"/>
          <w:szCs w:val="22"/>
        </w:rPr>
        <w:t>երկու</w:t>
      </w:r>
      <w:r w:rsidRPr="002C0A36">
        <w:rPr>
          <w:b w:val="0"/>
          <w:color w:val="000000"/>
          <w:szCs w:val="22"/>
          <w:lang w:val="en-US"/>
        </w:rPr>
        <w:t xml:space="preserve"> </w:t>
      </w:r>
      <w:r w:rsidRPr="002C0A36">
        <w:rPr>
          <w:b w:val="0"/>
          <w:color w:val="000000"/>
          <w:szCs w:val="22"/>
        </w:rPr>
        <w:t>նախնական</w:t>
      </w:r>
      <w:r w:rsidRPr="002C0A36">
        <w:rPr>
          <w:b w:val="0"/>
          <w:color w:val="000000"/>
          <w:szCs w:val="22"/>
          <w:lang w:val="en-US"/>
        </w:rPr>
        <w:t xml:space="preserve"> </w:t>
      </w:r>
      <w:r w:rsidRPr="002C0A36">
        <w:rPr>
          <w:b w:val="0"/>
          <w:color w:val="000000"/>
          <w:szCs w:val="22"/>
        </w:rPr>
        <w:t>գնահատումների</w:t>
      </w:r>
      <w:r w:rsidRPr="002C0A36">
        <w:rPr>
          <w:b w:val="0"/>
          <w:color w:val="000000"/>
          <w:szCs w:val="22"/>
          <w:lang w:val="en-US"/>
        </w:rPr>
        <w:t xml:space="preserve"> </w:t>
      </w:r>
      <w:r w:rsidRPr="002C0A36">
        <w:rPr>
          <w:b w:val="0"/>
          <w:color w:val="000000"/>
          <w:szCs w:val="22"/>
        </w:rPr>
        <w:t>զուգակցման</w:t>
      </w:r>
      <w:r w:rsidRPr="002C0A36">
        <w:rPr>
          <w:b w:val="0"/>
          <w:color w:val="000000"/>
          <w:szCs w:val="22"/>
          <w:lang w:val="en-US"/>
        </w:rPr>
        <w:t xml:space="preserve"> </w:t>
      </w:r>
      <w:r w:rsidRPr="002C0A36">
        <w:rPr>
          <w:b w:val="0"/>
          <w:color w:val="000000"/>
          <w:szCs w:val="22"/>
        </w:rPr>
        <w:t>արդյունքում</w:t>
      </w:r>
      <w:r w:rsidRPr="002C0A36">
        <w:rPr>
          <w:b w:val="0"/>
          <w:color w:val="000000"/>
          <w:szCs w:val="22"/>
          <w:lang w:val="en-US"/>
        </w:rPr>
        <w:t xml:space="preserve"> </w:t>
      </w:r>
      <w:r w:rsidRPr="002C0A36">
        <w:rPr>
          <w:b w:val="0"/>
          <w:color w:val="000000"/>
          <w:szCs w:val="22"/>
        </w:rPr>
        <w:t>Ընկերությունների</w:t>
      </w:r>
      <w:r w:rsidRPr="002C0A36">
        <w:rPr>
          <w:b w:val="0"/>
          <w:color w:val="000000"/>
          <w:szCs w:val="22"/>
          <w:lang w:val="en-US"/>
        </w:rPr>
        <w:t xml:space="preserve"> </w:t>
      </w:r>
      <w:r w:rsidRPr="002C0A36">
        <w:rPr>
          <w:b w:val="0"/>
          <w:color w:val="000000"/>
          <w:szCs w:val="22"/>
        </w:rPr>
        <w:t>ֆինանսական</w:t>
      </w:r>
      <w:r w:rsidRPr="002C0A36">
        <w:rPr>
          <w:b w:val="0"/>
          <w:color w:val="000000"/>
          <w:szCs w:val="22"/>
          <w:lang w:val="en-US"/>
        </w:rPr>
        <w:t xml:space="preserve"> </w:t>
      </w:r>
      <w:r w:rsidRPr="002C0A36">
        <w:rPr>
          <w:b w:val="0"/>
          <w:color w:val="000000"/>
          <w:szCs w:val="22"/>
        </w:rPr>
        <w:t>վիճակի</w:t>
      </w:r>
      <w:r w:rsidRPr="002C0A36">
        <w:rPr>
          <w:b w:val="0"/>
          <w:color w:val="000000"/>
          <w:szCs w:val="22"/>
          <w:lang w:val="en-US"/>
        </w:rPr>
        <w:t xml:space="preserve"> </w:t>
      </w:r>
      <w:r w:rsidRPr="002C0A36">
        <w:rPr>
          <w:b w:val="0"/>
          <w:color w:val="000000"/>
          <w:szCs w:val="22"/>
        </w:rPr>
        <w:t>վատթարացման</w:t>
      </w:r>
      <w:r w:rsidRPr="002C0A36">
        <w:rPr>
          <w:b w:val="0"/>
          <w:color w:val="000000"/>
          <w:szCs w:val="22"/>
          <w:lang w:val="en-US"/>
        </w:rPr>
        <w:t xml:space="preserve"> </w:t>
      </w:r>
      <w:r w:rsidRPr="002C0A36">
        <w:rPr>
          <w:b w:val="0"/>
          <w:color w:val="000000"/>
          <w:szCs w:val="22"/>
        </w:rPr>
        <w:t>հավանականությունը</w:t>
      </w:r>
      <w:r w:rsidRPr="002C0A36">
        <w:rPr>
          <w:b w:val="0"/>
          <w:color w:val="000000"/>
          <w:szCs w:val="22"/>
          <w:lang w:val="en-US"/>
        </w:rPr>
        <w:t xml:space="preserve"> </w:t>
      </w:r>
      <w:r w:rsidRPr="002C0A36">
        <w:rPr>
          <w:b w:val="0"/>
          <w:color w:val="000000"/>
          <w:szCs w:val="22"/>
        </w:rPr>
        <w:t>գնահատվում</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ցածր</w:t>
      </w:r>
      <w:r w:rsidRPr="002C0A36">
        <w:rPr>
          <w:b w:val="0"/>
          <w:color w:val="000000"/>
          <w:szCs w:val="22"/>
          <w:lang w:val="en-US"/>
        </w:rPr>
        <w:t xml:space="preserve">: </w:t>
      </w:r>
      <w:r w:rsidRPr="002C0A36">
        <w:rPr>
          <w:b w:val="0"/>
          <w:color w:val="000000"/>
          <w:szCs w:val="22"/>
        </w:rPr>
        <w:t>Սակայն</w:t>
      </w:r>
      <w:r w:rsidRPr="002C0A36">
        <w:rPr>
          <w:b w:val="0"/>
          <w:color w:val="000000"/>
          <w:szCs w:val="22"/>
          <w:lang w:val="en-US"/>
        </w:rPr>
        <w:t xml:space="preserve"> </w:t>
      </w:r>
      <w:r w:rsidRPr="002C0A36">
        <w:rPr>
          <w:b w:val="0"/>
          <w:color w:val="000000"/>
          <w:szCs w:val="22"/>
        </w:rPr>
        <w:t>միջանկյալ</w:t>
      </w:r>
      <w:r w:rsidRPr="002C0A36">
        <w:rPr>
          <w:b w:val="0"/>
          <w:color w:val="000000"/>
          <w:szCs w:val="22"/>
          <w:lang w:val="en-US"/>
        </w:rPr>
        <w:t xml:space="preserve"> </w:t>
      </w:r>
      <w:r w:rsidRPr="002C0A36">
        <w:rPr>
          <w:b w:val="0"/>
          <w:color w:val="000000"/>
          <w:szCs w:val="22"/>
        </w:rPr>
        <w:t>ժամանակաշրջանում՝</w:t>
      </w:r>
      <w:r w:rsidRPr="002C0A36">
        <w:rPr>
          <w:b w:val="0"/>
          <w:color w:val="000000"/>
          <w:szCs w:val="22"/>
          <w:lang w:val="en-US"/>
        </w:rPr>
        <w:t xml:space="preserve"> </w:t>
      </w:r>
      <w:r w:rsidRPr="002C0A36">
        <w:rPr>
          <w:b w:val="0"/>
          <w:color w:val="000000"/>
          <w:szCs w:val="22"/>
        </w:rPr>
        <w:t>Ընկերությունների</w:t>
      </w:r>
      <w:r w:rsidRPr="002C0A36">
        <w:rPr>
          <w:b w:val="0"/>
          <w:color w:val="000000"/>
          <w:szCs w:val="22"/>
          <w:lang w:val="en-US"/>
        </w:rPr>
        <w:t xml:space="preserve"> </w:t>
      </w:r>
      <w:r w:rsidRPr="002C0A36">
        <w:rPr>
          <w:b w:val="0"/>
          <w:color w:val="000000"/>
          <w:szCs w:val="22"/>
        </w:rPr>
        <w:t>ֆինանսական</w:t>
      </w:r>
      <w:r w:rsidRPr="002C0A36">
        <w:rPr>
          <w:b w:val="0"/>
          <w:color w:val="000000"/>
          <w:szCs w:val="22"/>
          <w:lang w:val="en-US"/>
        </w:rPr>
        <w:t xml:space="preserve"> </w:t>
      </w:r>
      <w:r w:rsidRPr="002C0A36">
        <w:rPr>
          <w:b w:val="0"/>
          <w:color w:val="000000"/>
          <w:szCs w:val="22"/>
        </w:rPr>
        <w:t>ծանր</w:t>
      </w:r>
      <w:r w:rsidRPr="002C0A36">
        <w:rPr>
          <w:b w:val="0"/>
          <w:color w:val="000000"/>
          <w:szCs w:val="22"/>
          <w:lang w:val="en-US"/>
        </w:rPr>
        <w:t xml:space="preserve"> </w:t>
      </w:r>
      <w:r w:rsidRPr="002C0A36">
        <w:rPr>
          <w:b w:val="0"/>
          <w:color w:val="000000"/>
          <w:szCs w:val="22"/>
        </w:rPr>
        <w:t>վիճակի</w:t>
      </w:r>
      <w:r w:rsidRPr="002C0A36">
        <w:rPr>
          <w:b w:val="0"/>
          <w:color w:val="000000"/>
          <w:szCs w:val="22"/>
          <w:lang w:val="en-US"/>
        </w:rPr>
        <w:t xml:space="preserve"> </w:t>
      </w:r>
      <w:r w:rsidRPr="002C0A36">
        <w:rPr>
          <w:b w:val="0"/>
          <w:color w:val="000000"/>
          <w:szCs w:val="22"/>
        </w:rPr>
        <w:t>հավանականությունը</w:t>
      </w:r>
      <w:r w:rsidRPr="002C0A36">
        <w:rPr>
          <w:b w:val="0"/>
          <w:color w:val="000000"/>
          <w:szCs w:val="22"/>
          <w:lang w:val="en-US"/>
        </w:rPr>
        <w:t xml:space="preserve"> </w:t>
      </w:r>
      <w:r w:rsidRPr="002C0A36">
        <w:rPr>
          <w:b w:val="0"/>
          <w:color w:val="000000"/>
          <w:szCs w:val="22"/>
        </w:rPr>
        <w:t>գնահատող</w:t>
      </w:r>
      <w:r w:rsidRPr="002C0A36">
        <w:rPr>
          <w:b w:val="0"/>
          <w:color w:val="000000"/>
          <w:szCs w:val="22"/>
          <w:lang w:val="en-US"/>
        </w:rPr>
        <w:t xml:space="preserve"> Z-</w:t>
      </w:r>
      <w:r w:rsidRPr="002C0A36">
        <w:rPr>
          <w:b w:val="0"/>
          <w:color w:val="000000"/>
          <w:szCs w:val="22"/>
        </w:rPr>
        <w:t>միավորը</w:t>
      </w:r>
      <w:r w:rsidRPr="002C0A36">
        <w:rPr>
          <w:b w:val="0"/>
          <w:color w:val="000000"/>
          <w:szCs w:val="22"/>
          <w:lang w:val="en-US"/>
        </w:rPr>
        <w:t xml:space="preserve"> </w:t>
      </w:r>
      <w:r w:rsidRPr="002C0A36">
        <w:rPr>
          <w:b w:val="0"/>
          <w:color w:val="000000"/>
          <w:szCs w:val="22"/>
        </w:rPr>
        <w:t>վկայում</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Ընկերությունների</w:t>
      </w:r>
      <w:r w:rsidRPr="002C0A36">
        <w:rPr>
          <w:b w:val="0"/>
          <w:color w:val="000000"/>
          <w:szCs w:val="22"/>
          <w:lang w:val="en-US"/>
        </w:rPr>
        <w:t xml:space="preserve"> </w:t>
      </w:r>
      <w:r w:rsidRPr="002C0A36">
        <w:rPr>
          <w:b w:val="0"/>
          <w:color w:val="000000"/>
          <w:szCs w:val="22"/>
        </w:rPr>
        <w:t>ֆինանսական</w:t>
      </w:r>
      <w:r w:rsidRPr="002C0A36">
        <w:rPr>
          <w:b w:val="0"/>
          <w:color w:val="000000"/>
          <w:szCs w:val="22"/>
          <w:lang w:val="en-US"/>
        </w:rPr>
        <w:t xml:space="preserve"> </w:t>
      </w:r>
      <w:r w:rsidRPr="002C0A36">
        <w:rPr>
          <w:b w:val="0"/>
          <w:color w:val="000000"/>
          <w:szCs w:val="22"/>
        </w:rPr>
        <w:t>միջին</w:t>
      </w:r>
      <w:r w:rsidRPr="002C0A36">
        <w:rPr>
          <w:b w:val="0"/>
          <w:color w:val="000000"/>
          <w:szCs w:val="22"/>
          <w:lang w:val="en-US"/>
        </w:rPr>
        <w:t xml:space="preserve"> </w:t>
      </w:r>
      <w:r w:rsidRPr="002C0A36">
        <w:rPr>
          <w:b w:val="0"/>
          <w:color w:val="000000"/>
          <w:szCs w:val="22"/>
        </w:rPr>
        <w:t>ծանրության</w:t>
      </w:r>
      <w:r w:rsidRPr="002C0A36">
        <w:rPr>
          <w:b w:val="0"/>
          <w:color w:val="000000"/>
          <w:szCs w:val="22"/>
          <w:lang w:val="en-US"/>
        </w:rPr>
        <w:t xml:space="preserve"> </w:t>
      </w:r>
      <w:r w:rsidRPr="002C0A36">
        <w:rPr>
          <w:b w:val="0"/>
          <w:color w:val="000000"/>
          <w:szCs w:val="22"/>
        </w:rPr>
        <w:t>հավանականության</w:t>
      </w:r>
      <w:r w:rsidRPr="002C0A36">
        <w:rPr>
          <w:b w:val="0"/>
          <w:color w:val="000000"/>
          <w:szCs w:val="22"/>
          <w:lang w:val="en-US"/>
        </w:rPr>
        <w:t xml:space="preserve"> </w:t>
      </w:r>
      <w:r w:rsidRPr="002C0A36">
        <w:rPr>
          <w:b w:val="0"/>
          <w:color w:val="000000"/>
          <w:szCs w:val="22"/>
        </w:rPr>
        <w:t>մասին</w:t>
      </w:r>
      <w:r w:rsidRPr="002C0A36">
        <w:rPr>
          <w:b w:val="0"/>
          <w:color w:val="000000"/>
          <w:szCs w:val="22"/>
          <w:lang w:val="en-US"/>
        </w:rPr>
        <w:t xml:space="preserve"> Z=2.5:</w:t>
      </w:r>
    </w:p>
    <w:p w:rsidR="002C0A36" w:rsidRPr="004A727C" w:rsidRDefault="002C0A36" w:rsidP="007730AA">
      <w:pPr>
        <w:spacing w:before="0" w:line="276" w:lineRule="auto"/>
        <w:ind w:firstLine="0"/>
        <w:contextualSpacing w:val="0"/>
        <w:jc w:val="center"/>
        <w:rPr>
          <w:szCs w:val="22"/>
          <w:lang w:val="en-US"/>
        </w:rPr>
      </w:pPr>
      <w:r w:rsidRPr="002C0A36">
        <w:rPr>
          <w:szCs w:val="22"/>
        </w:rPr>
        <w:t>Ոռոգման</w:t>
      </w:r>
      <w:r w:rsidRPr="004A727C">
        <w:rPr>
          <w:szCs w:val="22"/>
          <w:lang w:val="en-US"/>
        </w:rPr>
        <w:t xml:space="preserve"> </w:t>
      </w:r>
      <w:r w:rsidRPr="002C0A36">
        <w:rPr>
          <w:szCs w:val="22"/>
        </w:rPr>
        <w:t>ոլորտ</w:t>
      </w:r>
    </w:p>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lang w:val="hy-AM"/>
        </w:rPr>
        <w:t>Ոռոգման ոլորտի դիտանցման ենթարկված պետական մասնակցությամբ երկու ընկերությունների գործունեության արդյունքում հարկաբյուջետային ռիսկերն են.</w:t>
      </w:r>
    </w:p>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lang w:val="hy-AM"/>
        </w:rPr>
        <w:t>● Ընկերությունների ֆինանսական վիճակի վատթարացման դեպքում որպես ժամանակավոր օգնություն չնախատեսված բյուջետային վարկերի տրամադրման կամ սեփական կապիտալի համալրման համար բյուջետային հատկացումների անհրաժեշտության առաջացում,</w:t>
      </w:r>
    </w:p>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lang w:val="hy-AM"/>
        </w:rPr>
        <w:t>● Ընկերություններին չնախատեսված սուբսիդիաների տրամադրում կամ այլ վճարումներ կատարելու անհրաժեշտություն,</w:t>
      </w:r>
    </w:p>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lang w:val="hy-AM"/>
        </w:rPr>
        <w:t>● Ընկերություններից պետական բյուջեի մուտքերի կազմում նախատեսված շահութաբաժինների չստացում,</w:t>
      </w:r>
    </w:p>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lang w:val="hy-AM"/>
        </w:rPr>
        <w:t>● ՀՀ պետական բյուջեից Ընկերություններին տրամադրված վարկային միջոցների օգտագործման դիմաց հաշվարկված տոկոսների չվճարում և մայր գումարների չմարում:</w:t>
      </w:r>
    </w:p>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lang w:val="hy-AM"/>
        </w:rPr>
        <w:t xml:space="preserve">Հաշվետու ժամանակաշրջանում ոռոգման ոլորտի երկու պետական մասնակցությամբ ընկերությունների (Ընկերություններ) հիմնական գործունեությունից ստացված հանրագումարային եկամուտները կազմել են 2.7 մլրդ դրամ` նախորդ ժամանակաշրջանի 3.6 մլրդ դրամի դիմաց կամ 0.9 մլրդ դրամով պակաս (25.0%), իսկ միջանկյալ ժամանակաշրջանում Ընկերությունների հիմնական գործունեությունից ստացված հանրագումարային եկամուտները կազմել են 1.2 մլրդ դրամ նախորդ նույն ժամանակաշրջանի 1.4 մլրդ դրամի դիմաց կամ 0.2 մլրդ դրամով պակաս (14.3%): Հաշվետու ժամանակաշրջանում այդ Ընկերությունների հանրագումարային ծախսերը կազմել են 5.7 մլրդ դրամ` նախորդ ժամանակաշրջանի 7.7 մլրդ դրամի դիմաց` կամ պակաս 2.0 մլրդ դրամով (26.0%), միաժամանակ միջանկյալ ժամանակաշրջանում հանրագումարային ծախսերը կազմել են 0.9 մլրդ դրամ նախորդ տարվա նույն ժամանակաշրջանի 0.8 մլրդ դրամի դիմաց կամ 0.1 մլրդ դրամով ավել (12.5.%): </w:t>
      </w:r>
    </w:p>
    <w:p w:rsidR="002C0A36" w:rsidRPr="002C0A36" w:rsidRDefault="002C0A36" w:rsidP="007730AA">
      <w:pPr>
        <w:spacing w:before="0" w:line="276" w:lineRule="auto"/>
        <w:contextualSpacing w:val="0"/>
        <w:rPr>
          <w:b w:val="0"/>
          <w:color w:val="000000"/>
          <w:szCs w:val="22"/>
          <w:lang w:val="hy-AM"/>
        </w:rPr>
      </w:pPr>
      <w:r w:rsidRPr="002C0A36">
        <w:rPr>
          <w:b w:val="0"/>
          <w:color w:val="000000"/>
          <w:szCs w:val="22"/>
          <w:lang w:val="hy-AM"/>
        </w:rPr>
        <w:t xml:space="preserve">Հաշվետու ժամանակաշրջանում Ընկերությունների հանրագումարային 2.7 մլրդ դրամ ընդհանուր եկամուտների և 5.7 մլրդ դրամ ընդհանուր ծախսերի արդյունքում վնասը կազմել է 3.0 մլրդ դրամ, իսկ զուտ վնասը նախորդ ժամանակաշրջանի նկատմամբ պակասել է 1.1 մլրդ դրամով (26.0.%), Միջանկյալ ժամանակաշրջանում Ընկերությունների հանրագումարային 1.2 մլրդ ընդհանուր եկամուտների և 0.9 մլրդ դրամ ընդհանուր ծախսերի արդյունքում շահույթը կազմել է 0.3 մլրդ դրամ (աղյուսակ </w:t>
      </w:r>
      <w:r w:rsidR="00396D6B">
        <w:rPr>
          <w:b w:val="0"/>
          <w:color w:val="000000"/>
          <w:szCs w:val="22"/>
          <w:lang w:val="hy-AM"/>
        </w:rPr>
        <w:t>32</w:t>
      </w:r>
      <w:r w:rsidRPr="002C0A36">
        <w:rPr>
          <w:b w:val="0"/>
          <w:color w:val="000000"/>
          <w:szCs w:val="22"/>
          <w:lang w:val="hy-AM"/>
        </w:rPr>
        <w:t>):</w:t>
      </w:r>
    </w:p>
    <w:p w:rsidR="002C0A36" w:rsidRPr="002C0A36" w:rsidRDefault="002C0A36" w:rsidP="007730AA">
      <w:pPr>
        <w:spacing w:before="0" w:line="276" w:lineRule="auto"/>
        <w:ind w:firstLine="0"/>
        <w:contextualSpacing w:val="0"/>
        <w:rPr>
          <w:b w:val="0"/>
          <w:color w:val="000000"/>
          <w:szCs w:val="22"/>
          <w:lang w:val="hy-AM"/>
        </w:rPr>
      </w:pPr>
    </w:p>
    <w:p w:rsidR="002C0A36" w:rsidRPr="002C0A36" w:rsidRDefault="002C0A36" w:rsidP="007730AA">
      <w:pPr>
        <w:pStyle w:val="Caption"/>
        <w:spacing w:before="0" w:after="0" w:line="240" w:lineRule="auto"/>
        <w:rPr>
          <w:b/>
          <w:i/>
          <w:color w:val="000000"/>
          <w:sz w:val="20"/>
          <w:szCs w:val="20"/>
          <w:lang w:val="hy-AM"/>
        </w:rPr>
      </w:pPr>
      <w:r w:rsidRPr="002C0A36">
        <w:rPr>
          <w:rFonts w:ascii="Calibri" w:hAnsi="Calibri" w:cs="Calibri"/>
          <w:color w:val="000000"/>
          <w:szCs w:val="22"/>
          <w:lang w:val="hy-AM"/>
        </w:rPr>
        <w:t> </w:t>
      </w:r>
      <w:bookmarkStart w:id="276" w:name="_Toc57631782"/>
      <w:r w:rsidR="00CF7820" w:rsidRPr="00CF7820">
        <w:rPr>
          <w:lang w:val="hy-AM"/>
        </w:rPr>
        <w:t xml:space="preserve">Աղյուսակ </w:t>
      </w:r>
      <w:r w:rsidR="003C3925">
        <w:fldChar w:fldCharType="begin"/>
      </w:r>
      <w:r w:rsidR="00CF7820" w:rsidRPr="00CF7820">
        <w:rPr>
          <w:lang w:val="hy-AM"/>
        </w:rPr>
        <w:instrText xml:space="preserve"> SEQ Աղյուսակ \* ARABIC </w:instrText>
      </w:r>
      <w:r w:rsidR="003C3925">
        <w:fldChar w:fldCharType="separate"/>
      </w:r>
      <w:r w:rsidR="007E790B">
        <w:rPr>
          <w:noProof/>
          <w:lang w:val="hy-AM"/>
        </w:rPr>
        <w:t>31</w:t>
      </w:r>
      <w:r w:rsidR="003C3925">
        <w:fldChar w:fldCharType="end"/>
      </w:r>
      <w:r w:rsidR="00CF7820">
        <w:rPr>
          <w:rFonts w:ascii="Cambria Math" w:hAnsi="Cambria Math"/>
          <w:lang w:val="hy-AM"/>
        </w:rPr>
        <w:t>․</w:t>
      </w:r>
      <w:r w:rsidR="00CF7820" w:rsidRPr="00CF7820">
        <w:rPr>
          <w:lang w:val="hy-AM"/>
        </w:rPr>
        <w:t xml:space="preserve"> </w:t>
      </w:r>
      <w:r w:rsidRPr="00CF7820">
        <w:rPr>
          <w:b/>
          <w:i/>
          <w:sz w:val="20"/>
          <w:szCs w:val="20"/>
          <w:lang w:val="hy-AM"/>
        </w:rPr>
        <w:t>Ոռոգման ոլորտի պետական մասնակցությամբ ընկերությունների հանրագումարային զուտ շահույթը (վնասը) ըստ տարիների</w:t>
      </w:r>
      <w:bookmarkEnd w:id="276"/>
      <w:r w:rsidRPr="002C0A36">
        <w:rPr>
          <w:b/>
          <w:i/>
          <w:color w:val="000000"/>
          <w:sz w:val="20"/>
          <w:szCs w:val="20"/>
          <w:lang w:val="hy-AM"/>
        </w:rPr>
        <w:t xml:space="preserve"> </w:t>
      </w:r>
    </w:p>
    <w:p w:rsidR="002C0A36" w:rsidRPr="002C0A36" w:rsidRDefault="002C0A36" w:rsidP="007730AA">
      <w:pPr>
        <w:shd w:val="clear" w:color="auto" w:fill="FFFFFF"/>
        <w:spacing w:before="0" w:line="240" w:lineRule="auto"/>
        <w:ind w:firstLine="0"/>
        <w:contextualSpacing w:val="0"/>
        <w:jc w:val="right"/>
        <w:rPr>
          <w:b w:val="0"/>
          <w:i/>
          <w:sz w:val="18"/>
          <w:szCs w:val="18"/>
          <w:lang w:val="hy-AM"/>
        </w:rPr>
      </w:pPr>
      <w:r w:rsidRPr="002C0A36">
        <w:rPr>
          <w:b w:val="0"/>
          <w:i/>
          <w:sz w:val="18"/>
          <w:szCs w:val="18"/>
          <w:lang w:val="hy-AM"/>
        </w:rPr>
        <w:t xml:space="preserve">                                                                                                                             հազ. դրամ</w:t>
      </w:r>
    </w:p>
    <w:p w:rsidR="002C0A36" w:rsidRPr="002C0A36" w:rsidRDefault="002C0A36" w:rsidP="007730AA">
      <w:pPr>
        <w:shd w:val="clear" w:color="auto" w:fill="FFFFFF"/>
        <w:spacing w:before="0" w:line="240" w:lineRule="auto"/>
        <w:ind w:firstLine="0"/>
        <w:contextualSpacing w:val="0"/>
        <w:jc w:val="left"/>
        <w:rPr>
          <w:b w:val="0"/>
          <w:i/>
          <w:sz w:val="18"/>
          <w:szCs w:val="18"/>
          <w:lang w:val="hy-AM"/>
        </w:rPr>
      </w:pP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701"/>
        <w:gridCol w:w="1701"/>
        <w:gridCol w:w="1565"/>
      </w:tblGrid>
      <w:tr w:rsidR="002C0A36" w:rsidRPr="002C0A36" w:rsidTr="007E430F">
        <w:trPr>
          <w:trHeight w:val="449"/>
          <w:tblHeader/>
        </w:trPr>
        <w:tc>
          <w:tcPr>
            <w:tcW w:w="4390" w:type="dxa"/>
            <w:vMerge w:val="restart"/>
            <w:tcBorders>
              <w:top w:val="single" w:sz="4" w:space="0" w:color="auto"/>
              <w:left w:val="single" w:sz="4" w:space="0" w:color="auto"/>
              <w:right w:val="single" w:sz="4" w:space="0" w:color="auto"/>
            </w:tcBorders>
            <w:shd w:val="clear" w:color="auto" w:fill="0070C0"/>
            <w:vAlign w:val="center"/>
          </w:tcPr>
          <w:p w:rsidR="002C0A36" w:rsidRPr="000573ED" w:rsidRDefault="002C0A36" w:rsidP="007730AA">
            <w:pPr>
              <w:spacing w:before="0" w:line="276" w:lineRule="auto"/>
              <w:ind w:firstLine="0"/>
              <w:contextualSpacing w:val="0"/>
              <w:jc w:val="left"/>
              <w:rPr>
                <w:color w:val="FFFFFF"/>
                <w:sz w:val="18"/>
                <w:szCs w:val="18"/>
                <w:lang w:val="hy-AM"/>
              </w:rPr>
            </w:pPr>
          </w:p>
        </w:tc>
        <w:tc>
          <w:tcPr>
            <w:tcW w:w="1701" w:type="dxa"/>
            <w:tcBorders>
              <w:top w:val="single" w:sz="4" w:space="0" w:color="auto"/>
              <w:left w:val="single" w:sz="4" w:space="0" w:color="auto"/>
              <w:bottom w:val="single" w:sz="4" w:space="0" w:color="auto"/>
              <w:right w:val="single" w:sz="4" w:space="0" w:color="auto"/>
            </w:tcBorders>
            <w:shd w:val="clear" w:color="auto" w:fill="0070C0"/>
            <w:noWrap/>
            <w:vAlign w:val="center"/>
          </w:tcPr>
          <w:p w:rsidR="002C0A36" w:rsidRPr="000573ED" w:rsidRDefault="002C0A36" w:rsidP="007730AA">
            <w:pPr>
              <w:spacing w:before="0" w:line="276" w:lineRule="auto"/>
              <w:ind w:firstLine="0"/>
              <w:contextualSpacing w:val="0"/>
              <w:jc w:val="center"/>
              <w:rPr>
                <w:color w:val="FFFFFF"/>
                <w:sz w:val="18"/>
                <w:szCs w:val="18"/>
                <w:lang w:val="en-US"/>
              </w:rPr>
            </w:pPr>
            <w:r w:rsidRPr="000573ED">
              <w:rPr>
                <w:color w:val="FFFFFF"/>
                <w:sz w:val="18"/>
                <w:szCs w:val="18"/>
                <w:lang w:val="en-US"/>
              </w:rPr>
              <w:t>2018</w:t>
            </w:r>
            <w:r w:rsidRPr="000573ED">
              <w:rPr>
                <w:color w:val="FFFFFF"/>
                <w:sz w:val="18"/>
                <w:szCs w:val="18"/>
              </w:rPr>
              <w:t>թ</w:t>
            </w:r>
            <w:r w:rsidRPr="000573ED">
              <w:rPr>
                <w:color w:val="FFFFFF"/>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0070C0"/>
            <w:noWrap/>
            <w:vAlign w:val="center"/>
          </w:tcPr>
          <w:p w:rsidR="002C0A36" w:rsidRPr="000573ED" w:rsidRDefault="002C0A36" w:rsidP="007730AA">
            <w:pPr>
              <w:spacing w:before="0" w:line="276" w:lineRule="auto"/>
              <w:ind w:firstLine="0"/>
              <w:contextualSpacing w:val="0"/>
              <w:jc w:val="center"/>
              <w:rPr>
                <w:color w:val="FFFFFF"/>
                <w:sz w:val="18"/>
                <w:szCs w:val="18"/>
                <w:lang w:val="en-US"/>
              </w:rPr>
            </w:pPr>
            <w:r w:rsidRPr="000573ED">
              <w:rPr>
                <w:color w:val="FFFFFF"/>
                <w:sz w:val="18"/>
                <w:szCs w:val="18"/>
                <w:lang w:val="en-US"/>
              </w:rPr>
              <w:t>2019</w:t>
            </w:r>
            <w:r w:rsidRPr="000573ED">
              <w:rPr>
                <w:color w:val="FFFFFF"/>
                <w:sz w:val="18"/>
                <w:szCs w:val="18"/>
              </w:rPr>
              <w:t>թ</w:t>
            </w:r>
            <w:r w:rsidRPr="000573ED">
              <w:rPr>
                <w:color w:val="FFFFFF"/>
                <w:sz w:val="18"/>
                <w:szCs w:val="18"/>
                <w:lang w:val="en-US"/>
              </w:rPr>
              <w:t>.</w:t>
            </w:r>
          </w:p>
        </w:tc>
        <w:tc>
          <w:tcPr>
            <w:tcW w:w="1565" w:type="dxa"/>
            <w:tcBorders>
              <w:top w:val="single" w:sz="4" w:space="0" w:color="auto"/>
              <w:left w:val="single" w:sz="4" w:space="0" w:color="auto"/>
              <w:bottom w:val="single" w:sz="4" w:space="0" w:color="auto"/>
              <w:right w:val="single" w:sz="4" w:space="0" w:color="auto"/>
            </w:tcBorders>
            <w:shd w:val="clear" w:color="auto" w:fill="0070C0"/>
            <w:vAlign w:val="center"/>
          </w:tcPr>
          <w:p w:rsidR="002C0A36" w:rsidRPr="000573ED" w:rsidRDefault="002C0A36" w:rsidP="007730AA">
            <w:pPr>
              <w:spacing w:before="0" w:line="276" w:lineRule="auto"/>
              <w:ind w:firstLine="0"/>
              <w:contextualSpacing w:val="0"/>
              <w:jc w:val="center"/>
              <w:rPr>
                <w:color w:val="FFFFFF"/>
                <w:sz w:val="18"/>
                <w:szCs w:val="18"/>
                <w:lang w:val="en-US"/>
              </w:rPr>
            </w:pPr>
            <w:r w:rsidRPr="000573ED">
              <w:rPr>
                <w:color w:val="FFFFFF"/>
                <w:sz w:val="18"/>
                <w:szCs w:val="18"/>
                <w:lang w:val="en-US"/>
              </w:rPr>
              <w:t>2020</w:t>
            </w:r>
            <w:r w:rsidRPr="000573ED">
              <w:rPr>
                <w:color w:val="FFFFFF"/>
                <w:sz w:val="18"/>
                <w:szCs w:val="18"/>
              </w:rPr>
              <w:t>թ</w:t>
            </w:r>
            <w:r w:rsidRPr="000573ED">
              <w:rPr>
                <w:color w:val="FFFFFF"/>
                <w:sz w:val="18"/>
                <w:szCs w:val="18"/>
                <w:lang w:val="en-US"/>
              </w:rPr>
              <w:t xml:space="preserve">. </w:t>
            </w:r>
            <w:r w:rsidRPr="000573ED">
              <w:rPr>
                <w:color w:val="FFFFFF"/>
                <w:sz w:val="18"/>
                <w:szCs w:val="18"/>
                <w:lang w:val="en-US"/>
              </w:rPr>
              <w:br/>
              <w:t>1-</w:t>
            </w:r>
            <w:r w:rsidRPr="000573ED">
              <w:rPr>
                <w:color w:val="FFFFFF"/>
                <w:sz w:val="18"/>
                <w:szCs w:val="18"/>
              </w:rPr>
              <w:t>ին</w:t>
            </w:r>
            <w:r w:rsidRPr="000573ED">
              <w:rPr>
                <w:color w:val="FFFFFF"/>
                <w:sz w:val="18"/>
                <w:szCs w:val="18"/>
                <w:lang w:val="en-US"/>
              </w:rPr>
              <w:t xml:space="preserve"> </w:t>
            </w:r>
            <w:r w:rsidRPr="000573ED">
              <w:rPr>
                <w:color w:val="FFFFFF"/>
                <w:sz w:val="18"/>
                <w:szCs w:val="18"/>
              </w:rPr>
              <w:t>կիսամյակ</w:t>
            </w:r>
          </w:p>
        </w:tc>
      </w:tr>
      <w:tr w:rsidR="002C0A36" w:rsidRPr="002C0A36" w:rsidTr="007E430F">
        <w:trPr>
          <w:trHeight w:val="440"/>
          <w:tblHeader/>
        </w:trPr>
        <w:tc>
          <w:tcPr>
            <w:tcW w:w="4390" w:type="dxa"/>
            <w:vMerge/>
            <w:tcBorders>
              <w:left w:val="single" w:sz="4" w:space="0" w:color="auto"/>
              <w:bottom w:val="single" w:sz="4" w:space="0" w:color="auto"/>
              <w:right w:val="single" w:sz="4" w:space="0" w:color="auto"/>
            </w:tcBorders>
            <w:shd w:val="clear" w:color="auto" w:fill="0070C0"/>
            <w:vAlign w:val="center"/>
            <w:hideMark/>
          </w:tcPr>
          <w:p w:rsidR="002C0A36" w:rsidRPr="000573ED" w:rsidRDefault="002C0A36" w:rsidP="007730AA">
            <w:pPr>
              <w:spacing w:before="0" w:line="276" w:lineRule="auto"/>
              <w:ind w:firstLine="0"/>
              <w:contextualSpacing w:val="0"/>
              <w:jc w:val="left"/>
              <w:rPr>
                <w:color w:val="FFFFFF"/>
                <w:sz w:val="18"/>
                <w:szCs w:val="18"/>
                <w:lang w:val="en-US"/>
              </w:rPr>
            </w:pPr>
          </w:p>
        </w:tc>
        <w:tc>
          <w:tcPr>
            <w:tcW w:w="1701"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2C0A36" w:rsidRPr="000573ED" w:rsidRDefault="002C0A36" w:rsidP="007730AA">
            <w:pPr>
              <w:spacing w:before="0" w:line="276" w:lineRule="auto"/>
              <w:ind w:firstLine="0"/>
              <w:contextualSpacing w:val="0"/>
              <w:jc w:val="center"/>
              <w:rPr>
                <w:color w:val="FFFFFF"/>
                <w:sz w:val="18"/>
                <w:szCs w:val="18"/>
                <w:lang w:val="en-US"/>
              </w:rPr>
            </w:pPr>
            <w:r w:rsidRPr="000573ED">
              <w:rPr>
                <w:color w:val="FFFFFF"/>
                <w:sz w:val="18"/>
                <w:szCs w:val="18"/>
              </w:rPr>
              <w:t>Փաստ</w:t>
            </w:r>
            <w:r w:rsidRPr="000573ED">
              <w:rPr>
                <w:color w:val="FFFFFF"/>
                <w:sz w:val="18"/>
                <w:szCs w:val="18"/>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rsidR="002C0A36" w:rsidRPr="000573ED" w:rsidRDefault="002C0A36" w:rsidP="007730AA">
            <w:pPr>
              <w:spacing w:before="0" w:line="276" w:lineRule="auto"/>
              <w:ind w:firstLine="0"/>
              <w:contextualSpacing w:val="0"/>
              <w:jc w:val="center"/>
              <w:rPr>
                <w:color w:val="FFFFFF"/>
                <w:sz w:val="18"/>
                <w:szCs w:val="18"/>
                <w:lang w:val="en-US"/>
              </w:rPr>
            </w:pPr>
            <w:r w:rsidRPr="000573ED">
              <w:rPr>
                <w:color w:val="FFFFFF"/>
                <w:sz w:val="18"/>
                <w:szCs w:val="18"/>
              </w:rPr>
              <w:t>Փաստ</w:t>
            </w:r>
            <w:r w:rsidRPr="000573ED">
              <w:rPr>
                <w:color w:val="FFFFFF"/>
                <w:sz w:val="18"/>
                <w:szCs w:val="18"/>
                <w:lang w:val="en-US"/>
              </w:rPr>
              <w:t>.</w:t>
            </w:r>
          </w:p>
        </w:tc>
        <w:tc>
          <w:tcPr>
            <w:tcW w:w="1565"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0573ED" w:rsidRDefault="002C0A36" w:rsidP="007730AA">
            <w:pPr>
              <w:spacing w:before="0" w:line="276" w:lineRule="auto"/>
              <w:ind w:firstLine="0"/>
              <w:contextualSpacing w:val="0"/>
              <w:jc w:val="center"/>
              <w:rPr>
                <w:color w:val="FFFFFF"/>
                <w:sz w:val="18"/>
                <w:szCs w:val="18"/>
                <w:lang w:val="en-US"/>
              </w:rPr>
            </w:pPr>
            <w:r w:rsidRPr="000573ED">
              <w:rPr>
                <w:color w:val="FFFFFF"/>
                <w:sz w:val="18"/>
                <w:szCs w:val="18"/>
              </w:rPr>
              <w:t>Փաստ</w:t>
            </w:r>
            <w:r w:rsidRPr="000573ED">
              <w:rPr>
                <w:color w:val="FFFFFF"/>
                <w:sz w:val="18"/>
                <w:szCs w:val="18"/>
                <w:lang w:val="en-US"/>
              </w:rPr>
              <w:t>.</w:t>
            </w:r>
          </w:p>
        </w:tc>
      </w:tr>
      <w:tr w:rsidR="002C0A36" w:rsidRPr="002C0A36" w:rsidTr="007E430F">
        <w:trPr>
          <w:trHeight w:val="759"/>
        </w:trPr>
        <w:tc>
          <w:tcPr>
            <w:tcW w:w="43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sz w:val="18"/>
                <w:szCs w:val="18"/>
              </w:rPr>
            </w:pPr>
            <w:r w:rsidRPr="002C0A36">
              <w:rPr>
                <w:sz w:val="18"/>
                <w:szCs w:val="18"/>
                <w:lang w:val="en-US"/>
              </w:rPr>
              <w:t>Ոռոգման</w:t>
            </w:r>
            <w:r w:rsidRPr="002C0A36">
              <w:rPr>
                <w:sz w:val="18"/>
                <w:szCs w:val="18"/>
              </w:rPr>
              <w:t xml:space="preserve"> ոլորտի պետական մասնակցու</w:t>
            </w:r>
            <w:r w:rsidRPr="002C0A36">
              <w:rPr>
                <w:sz w:val="18"/>
                <w:szCs w:val="18"/>
              </w:rPr>
              <w:softHyphen/>
              <w:t>թյամբ ընկերությունների հանրագումարային շահույ</w:t>
            </w:r>
            <w:r w:rsidRPr="002C0A36">
              <w:rPr>
                <w:sz w:val="18"/>
                <w:szCs w:val="18"/>
              </w:rPr>
              <w:softHyphen/>
              <w:t>թը հարկումից հետո</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rPr>
              <w:t>(</w:t>
            </w:r>
            <w:r w:rsidRPr="002C0A36">
              <w:rPr>
                <w:b w:val="0"/>
                <w:sz w:val="18"/>
                <w:szCs w:val="18"/>
                <w:lang w:val="en-US"/>
              </w:rPr>
              <w:t>4,175</w:t>
            </w:r>
            <w:r w:rsidRPr="002C0A36">
              <w:rPr>
                <w:b w:val="0"/>
                <w:sz w:val="18"/>
                <w:szCs w:val="18"/>
              </w:rPr>
              <w:t>,</w:t>
            </w:r>
            <w:r w:rsidRPr="002C0A36">
              <w:rPr>
                <w:b w:val="0"/>
                <w:sz w:val="18"/>
                <w:szCs w:val="18"/>
                <w:lang w:val="en-US"/>
              </w:rPr>
              <w:t>612</w:t>
            </w:r>
            <w:r w:rsidRPr="002C0A36">
              <w:rPr>
                <w:b w:val="0"/>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rPr>
              <w:t>(</w:t>
            </w:r>
            <w:r w:rsidRPr="002C0A36">
              <w:rPr>
                <w:b w:val="0"/>
                <w:sz w:val="18"/>
                <w:szCs w:val="18"/>
                <w:lang w:val="en-US"/>
              </w:rPr>
              <w:t>3,086</w:t>
            </w:r>
            <w:r w:rsidRPr="002C0A36">
              <w:rPr>
                <w:b w:val="0"/>
                <w:sz w:val="18"/>
                <w:szCs w:val="18"/>
              </w:rPr>
              <w:t>,</w:t>
            </w:r>
            <w:r w:rsidRPr="002C0A36">
              <w:rPr>
                <w:b w:val="0"/>
                <w:sz w:val="18"/>
                <w:szCs w:val="18"/>
                <w:lang w:val="en-US"/>
              </w:rPr>
              <w:t>788</w:t>
            </w:r>
            <w:r w:rsidRPr="002C0A36">
              <w:rPr>
                <w:b w:val="0"/>
                <w:sz w:val="18"/>
                <w:szCs w:val="18"/>
              </w:rPr>
              <w:t>.0)</w:t>
            </w:r>
          </w:p>
        </w:tc>
        <w:tc>
          <w:tcPr>
            <w:tcW w:w="15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rFonts w:cs="Calibri"/>
                <w:b w:val="0"/>
                <w:color w:val="000000"/>
                <w:sz w:val="18"/>
                <w:szCs w:val="18"/>
              </w:rPr>
            </w:pPr>
            <w:r w:rsidRPr="002C0A36">
              <w:rPr>
                <w:rFonts w:cs="Calibri"/>
                <w:b w:val="0"/>
                <w:color w:val="000000"/>
                <w:sz w:val="18"/>
                <w:szCs w:val="18"/>
                <w:lang w:val="en-US"/>
              </w:rPr>
              <w:t>339</w:t>
            </w:r>
            <w:r w:rsidRPr="002C0A36">
              <w:rPr>
                <w:rFonts w:cs="Calibri"/>
                <w:b w:val="0"/>
                <w:color w:val="000000"/>
                <w:sz w:val="18"/>
                <w:szCs w:val="18"/>
              </w:rPr>
              <w:t>,</w:t>
            </w:r>
            <w:r w:rsidRPr="002C0A36">
              <w:rPr>
                <w:rFonts w:cs="Calibri"/>
                <w:b w:val="0"/>
                <w:color w:val="000000"/>
                <w:sz w:val="18"/>
                <w:szCs w:val="18"/>
                <w:lang w:val="en-US"/>
              </w:rPr>
              <w:t>321</w:t>
            </w:r>
            <w:r w:rsidRPr="002C0A36">
              <w:rPr>
                <w:rFonts w:cs="Calibri"/>
                <w:b w:val="0"/>
                <w:color w:val="000000"/>
                <w:sz w:val="18"/>
                <w:szCs w:val="18"/>
              </w:rPr>
              <w:t>.0</w:t>
            </w:r>
          </w:p>
        </w:tc>
      </w:tr>
      <w:tr w:rsidR="002C0A36" w:rsidRPr="002C0A36" w:rsidTr="007E430F">
        <w:trPr>
          <w:trHeight w:val="376"/>
        </w:trPr>
        <w:tc>
          <w:tcPr>
            <w:tcW w:w="4390" w:type="dxa"/>
            <w:tcBorders>
              <w:top w:val="single" w:sz="4" w:space="0" w:color="auto"/>
              <w:left w:val="single" w:sz="4" w:space="0" w:color="auto"/>
              <w:bottom w:val="single" w:sz="4" w:space="0" w:color="auto"/>
              <w:right w:val="single" w:sz="4" w:space="0" w:color="auto"/>
            </w:tcBorders>
            <w:vAlign w:val="bottom"/>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w:t>
            </w:r>
            <w:r w:rsidRPr="002C0A36">
              <w:rPr>
                <w:b w:val="0"/>
                <w:sz w:val="18"/>
                <w:szCs w:val="18"/>
                <w:lang w:val="en-US"/>
              </w:rPr>
              <w:t>Ջրառ</w:t>
            </w:r>
            <w:r w:rsidRPr="002C0A36">
              <w:rPr>
                <w:b w:val="0"/>
                <w:sz w:val="18"/>
                <w:szCs w:val="18"/>
              </w:rPr>
              <w:t> ՓԲԸ</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rPr>
              <w:t>(</w:t>
            </w:r>
            <w:r w:rsidRPr="002C0A36">
              <w:rPr>
                <w:b w:val="0"/>
                <w:sz w:val="18"/>
                <w:szCs w:val="18"/>
                <w:lang w:val="en-US"/>
              </w:rPr>
              <w:t>4,170</w:t>
            </w:r>
            <w:r w:rsidRPr="002C0A36">
              <w:rPr>
                <w:b w:val="0"/>
                <w:sz w:val="18"/>
                <w:szCs w:val="18"/>
              </w:rPr>
              <w:t>,</w:t>
            </w:r>
            <w:r w:rsidRPr="002C0A36">
              <w:rPr>
                <w:b w:val="0"/>
                <w:sz w:val="18"/>
                <w:szCs w:val="18"/>
                <w:lang w:val="en-US"/>
              </w:rPr>
              <w:t>199</w:t>
            </w:r>
            <w:r w:rsidRPr="002C0A36">
              <w:rPr>
                <w:b w:val="0"/>
                <w:sz w:val="18"/>
                <w:szCs w:val="18"/>
              </w:rPr>
              <w:t>.0)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rPr>
              <w:t>(</w:t>
            </w:r>
            <w:r w:rsidRPr="002C0A36">
              <w:rPr>
                <w:b w:val="0"/>
                <w:sz w:val="18"/>
                <w:szCs w:val="18"/>
                <w:lang w:val="en-US"/>
              </w:rPr>
              <w:t>3,092</w:t>
            </w:r>
            <w:r w:rsidRPr="002C0A36">
              <w:rPr>
                <w:b w:val="0"/>
                <w:sz w:val="18"/>
                <w:szCs w:val="18"/>
              </w:rPr>
              <w:t>,</w:t>
            </w:r>
            <w:r w:rsidRPr="002C0A36">
              <w:rPr>
                <w:b w:val="0"/>
                <w:sz w:val="18"/>
                <w:szCs w:val="18"/>
                <w:lang w:val="en-US"/>
              </w:rPr>
              <w:t>914</w:t>
            </w:r>
            <w:r w:rsidRPr="002C0A36">
              <w:rPr>
                <w:b w:val="0"/>
                <w:sz w:val="18"/>
                <w:szCs w:val="18"/>
              </w:rPr>
              <w:t>.0)</w:t>
            </w:r>
          </w:p>
        </w:tc>
        <w:tc>
          <w:tcPr>
            <w:tcW w:w="1565" w:type="dxa"/>
            <w:tcBorders>
              <w:top w:val="nil"/>
              <w:left w:val="single" w:sz="4" w:space="0" w:color="auto"/>
              <w:bottom w:val="single" w:sz="4" w:space="0" w:color="auto"/>
              <w:right w:val="single" w:sz="4" w:space="0" w:color="auto"/>
            </w:tcBorders>
            <w:shd w:val="clear" w:color="auto" w:fill="auto"/>
            <w:vAlign w:val="bottom"/>
            <w:hideMark/>
          </w:tcPr>
          <w:p w:rsidR="002C0A36" w:rsidRPr="002C0A36" w:rsidRDefault="002C0A36" w:rsidP="007730AA">
            <w:pPr>
              <w:spacing w:before="0" w:line="276" w:lineRule="auto"/>
              <w:ind w:firstLine="0"/>
              <w:contextualSpacing w:val="0"/>
              <w:jc w:val="center"/>
              <w:rPr>
                <w:rFonts w:cs="Calibri"/>
                <w:b w:val="0"/>
                <w:color w:val="000000"/>
                <w:sz w:val="18"/>
                <w:szCs w:val="18"/>
              </w:rPr>
            </w:pPr>
            <w:r w:rsidRPr="002C0A36">
              <w:rPr>
                <w:rFonts w:cs="Calibri"/>
                <w:b w:val="0"/>
                <w:color w:val="000000"/>
                <w:sz w:val="18"/>
                <w:szCs w:val="18"/>
                <w:lang w:val="en-US"/>
              </w:rPr>
              <w:t>337</w:t>
            </w:r>
            <w:r w:rsidRPr="002C0A36">
              <w:rPr>
                <w:rFonts w:cs="Calibri"/>
                <w:b w:val="0"/>
                <w:color w:val="000000"/>
                <w:sz w:val="18"/>
                <w:szCs w:val="18"/>
              </w:rPr>
              <w:t>,</w:t>
            </w:r>
            <w:r w:rsidRPr="002C0A36">
              <w:rPr>
                <w:rFonts w:cs="Calibri"/>
                <w:b w:val="0"/>
                <w:color w:val="000000"/>
                <w:sz w:val="18"/>
                <w:szCs w:val="18"/>
                <w:lang w:val="en-US"/>
              </w:rPr>
              <w:t>980</w:t>
            </w:r>
            <w:r w:rsidRPr="002C0A36">
              <w:rPr>
                <w:rFonts w:cs="Calibri"/>
                <w:b w:val="0"/>
                <w:color w:val="000000"/>
                <w:sz w:val="18"/>
                <w:szCs w:val="18"/>
              </w:rPr>
              <w:t>.0</w:t>
            </w:r>
          </w:p>
        </w:tc>
      </w:tr>
      <w:tr w:rsidR="002C0A36" w:rsidRPr="002C0A36" w:rsidTr="007E430F">
        <w:trPr>
          <w:trHeight w:val="370"/>
        </w:trPr>
        <w:tc>
          <w:tcPr>
            <w:tcW w:w="43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w:t>
            </w:r>
            <w:r w:rsidRPr="002C0A36">
              <w:rPr>
                <w:b w:val="0"/>
                <w:sz w:val="18"/>
                <w:szCs w:val="18"/>
                <w:lang w:val="en-US"/>
              </w:rPr>
              <w:t>Մելիորացիա</w:t>
            </w:r>
            <w:r w:rsidRPr="002C0A36">
              <w:rPr>
                <w:b w:val="0"/>
                <w:sz w:val="18"/>
                <w:szCs w:val="18"/>
              </w:rPr>
              <w:t> ՓԲԸ</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ind w:firstLine="0"/>
              <w:contextualSpacing w:val="0"/>
              <w:jc w:val="center"/>
              <w:rPr>
                <w:b w:val="0"/>
                <w:sz w:val="18"/>
                <w:szCs w:val="18"/>
              </w:rPr>
            </w:pPr>
            <w:r w:rsidRPr="002C0A36">
              <w:rPr>
                <w:b w:val="0"/>
                <w:sz w:val="18"/>
                <w:szCs w:val="18"/>
              </w:rPr>
              <w:t>(</w:t>
            </w:r>
            <w:r w:rsidRPr="002C0A36">
              <w:rPr>
                <w:b w:val="0"/>
                <w:sz w:val="18"/>
                <w:szCs w:val="18"/>
                <w:lang w:val="en-US"/>
              </w:rPr>
              <w:t>5</w:t>
            </w:r>
            <w:r w:rsidRPr="002C0A36">
              <w:rPr>
                <w:b w:val="0"/>
                <w:sz w:val="18"/>
                <w:szCs w:val="18"/>
              </w:rPr>
              <w:t>,</w:t>
            </w:r>
            <w:r w:rsidRPr="002C0A36">
              <w:rPr>
                <w:b w:val="0"/>
                <w:sz w:val="18"/>
                <w:szCs w:val="18"/>
                <w:lang w:val="en-US"/>
              </w:rPr>
              <w:t>413</w:t>
            </w:r>
            <w:r w:rsidRPr="002C0A36">
              <w:rPr>
                <w:b w:val="0"/>
                <w:sz w:val="18"/>
                <w:szCs w:val="18"/>
              </w:rPr>
              <w:t>.0)</w:t>
            </w:r>
          </w:p>
        </w:tc>
        <w:tc>
          <w:tcPr>
            <w:tcW w:w="1701"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rsidR="002C0A36" w:rsidRPr="002C0A36" w:rsidRDefault="002C0A36" w:rsidP="007730AA">
            <w:pPr>
              <w:spacing w:before="0" w:line="276" w:lineRule="auto"/>
              <w:ind w:firstLine="0"/>
              <w:contextualSpacing w:val="0"/>
              <w:jc w:val="center"/>
              <w:rPr>
                <w:b w:val="0"/>
                <w:sz w:val="18"/>
                <w:szCs w:val="18"/>
              </w:rPr>
            </w:pPr>
            <w:r w:rsidRPr="002C0A36">
              <w:rPr>
                <w:b w:val="0"/>
                <w:sz w:val="18"/>
                <w:szCs w:val="18"/>
                <w:lang w:val="en-US"/>
              </w:rPr>
              <w:t>6</w:t>
            </w:r>
            <w:r w:rsidRPr="002C0A36">
              <w:rPr>
                <w:b w:val="0"/>
                <w:sz w:val="18"/>
                <w:szCs w:val="18"/>
              </w:rPr>
              <w:t>,</w:t>
            </w:r>
            <w:r w:rsidRPr="002C0A36">
              <w:rPr>
                <w:b w:val="0"/>
                <w:sz w:val="18"/>
                <w:szCs w:val="18"/>
                <w:lang w:val="en-US"/>
              </w:rPr>
              <w:t>126</w:t>
            </w:r>
            <w:r w:rsidRPr="002C0A36">
              <w:rPr>
                <w:b w:val="0"/>
                <w:sz w:val="18"/>
                <w:szCs w:val="18"/>
              </w:rPr>
              <w:t>.0</w:t>
            </w:r>
          </w:p>
        </w:tc>
        <w:tc>
          <w:tcPr>
            <w:tcW w:w="1565" w:type="dxa"/>
            <w:tcBorders>
              <w:top w:val="nil"/>
              <w:left w:val="single" w:sz="4" w:space="0" w:color="auto"/>
              <w:bottom w:val="single" w:sz="4" w:space="0" w:color="auto"/>
              <w:right w:val="single" w:sz="4" w:space="0" w:color="auto"/>
            </w:tcBorders>
            <w:shd w:val="clear" w:color="auto" w:fill="C6D9F1" w:themeFill="text2" w:themeFillTint="33"/>
            <w:vAlign w:val="bottom"/>
            <w:hideMark/>
          </w:tcPr>
          <w:p w:rsidR="002C0A36" w:rsidRPr="002C0A36" w:rsidRDefault="002C0A36" w:rsidP="007730AA">
            <w:pPr>
              <w:spacing w:before="0" w:line="276" w:lineRule="auto"/>
              <w:ind w:firstLine="0"/>
              <w:contextualSpacing w:val="0"/>
              <w:jc w:val="center"/>
              <w:rPr>
                <w:rFonts w:cs="Calibri"/>
                <w:b w:val="0"/>
                <w:color w:val="000000"/>
                <w:sz w:val="18"/>
                <w:szCs w:val="18"/>
              </w:rPr>
            </w:pPr>
            <w:r w:rsidRPr="002C0A36">
              <w:rPr>
                <w:rFonts w:cs="Calibri"/>
                <w:b w:val="0"/>
                <w:color w:val="000000"/>
                <w:sz w:val="18"/>
                <w:szCs w:val="18"/>
                <w:lang w:val="en-US"/>
              </w:rPr>
              <w:t>1</w:t>
            </w:r>
            <w:r w:rsidRPr="002C0A36">
              <w:rPr>
                <w:rFonts w:cs="Calibri"/>
                <w:b w:val="0"/>
                <w:color w:val="000000"/>
                <w:sz w:val="18"/>
                <w:szCs w:val="18"/>
              </w:rPr>
              <w:t>,</w:t>
            </w:r>
            <w:r w:rsidRPr="002C0A36">
              <w:rPr>
                <w:rFonts w:cs="Calibri"/>
                <w:b w:val="0"/>
                <w:color w:val="000000"/>
                <w:sz w:val="18"/>
                <w:szCs w:val="18"/>
                <w:lang w:val="en-US"/>
              </w:rPr>
              <w:t>341</w:t>
            </w:r>
            <w:r w:rsidRPr="002C0A36">
              <w:rPr>
                <w:rFonts w:cs="Calibri"/>
                <w:b w:val="0"/>
                <w:color w:val="000000"/>
                <w:sz w:val="18"/>
                <w:szCs w:val="18"/>
              </w:rPr>
              <w:t>.0</w:t>
            </w:r>
          </w:p>
        </w:tc>
      </w:tr>
    </w:tbl>
    <w:p w:rsidR="002C0A36" w:rsidRPr="002C0A36" w:rsidRDefault="002C0A36" w:rsidP="007730AA">
      <w:pPr>
        <w:spacing w:before="0" w:line="276" w:lineRule="auto"/>
        <w:ind w:firstLine="0"/>
        <w:contextualSpacing w:val="0"/>
        <w:rPr>
          <w:b w:val="0"/>
          <w:sz w:val="24"/>
        </w:rPr>
      </w:pPr>
    </w:p>
    <w:p w:rsidR="002C0A36" w:rsidRPr="002C0A36" w:rsidRDefault="002C0A36" w:rsidP="007730AA">
      <w:pPr>
        <w:shd w:val="clear" w:color="auto" w:fill="FFFFFF"/>
        <w:spacing w:before="0" w:line="276" w:lineRule="auto"/>
        <w:contextualSpacing w:val="0"/>
        <w:rPr>
          <w:b w:val="0"/>
          <w:color w:val="000000"/>
          <w:szCs w:val="22"/>
          <w:lang w:val="hy-AM"/>
        </w:rPr>
      </w:pPr>
      <w:bookmarkStart w:id="277" w:name="_Toc20590421"/>
      <w:r w:rsidRPr="002C0A36">
        <w:rPr>
          <w:b w:val="0"/>
          <w:color w:val="000000"/>
          <w:szCs w:val="22"/>
          <w:lang w:val="hy-AM"/>
        </w:rPr>
        <w:t>Վարկային պարտավորությունների հետ կապված անհրաժեշտ է նշել, որ Ընկերությունները չունեն ժամկետանց վարկային պարտավորություններ, ինչպես նաև ՀՀ կառավարության կողմից բյուջետային երաշխիքներ չեն ստացել:</w:t>
      </w:r>
    </w:p>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lang w:val="hy-AM"/>
        </w:rPr>
        <w:t>Ընկերությունները ներգրավված չեն այնպիսի տեղական կամ միջազգային դատական վարույթներում, որոնք կարող են էական ազդեցություն ունենալ իրենց ֆինանսական վիճակի վրա:</w:t>
      </w:r>
    </w:p>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lang w:val="hy-AM"/>
        </w:rPr>
        <w:t>Ընկերությունների հարկաբյուջետային ռիսկերի գնահատման համար կիրառված ֆինանսական գործակիցների ամփոփ արդյունքները և պրակտիկայում ընդունված թույլատրելի սահմանային նորմաները ներկայացված են աղյուսակում:</w:t>
      </w:r>
    </w:p>
    <w:p w:rsidR="00CF7820" w:rsidRDefault="00CF7820" w:rsidP="007730AA">
      <w:pPr>
        <w:pStyle w:val="Caption"/>
        <w:spacing w:before="0" w:after="0" w:line="240" w:lineRule="auto"/>
        <w:ind w:firstLine="562"/>
        <w:rPr>
          <w:lang w:val="hy-AM"/>
        </w:rPr>
      </w:pPr>
    </w:p>
    <w:p w:rsidR="002C0A36" w:rsidRPr="002C0A36" w:rsidRDefault="00CF7820" w:rsidP="007730AA">
      <w:pPr>
        <w:pStyle w:val="Caption"/>
        <w:spacing w:before="0" w:after="0" w:line="240" w:lineRule="auto"/>
        <w:ind w:firstLine="562"/>
        <w:rPr>
          <w:b/>
          <w:i/>
          <w:sz w:val="20"/>
          <w:szCs w:val="20"/>
          <w:lang w:val="hy-AM"/>
        </w:rPr>
      </w:pPr>
      <w:bookmarkStart w:id="278" w:name="_Toc57631783"/>
      <w:r w:rsidRPr="00CF7820">
        <w:rPr>
          <w:lang w:val="hy-AM"/>
        </w:rPr>
        <w:t xml:space="preserve">Աղյուսակ </w:t>
      </w:r>
      <w:r w:rsidR="003C3925">
        <w:fldChar w:fldCharType="begin"/>
      </w:r>
      <w:r w:rsidRPr="00CF7820">
        <w:rPr>
          <w:lang w:val="hy-AM"/>
        </w:rPr>
        <w:instrText xml:space="preserve"> SEQ Աղյուսակ \* ARABIC </w:instrText>
      </w:r>
      <w:r w:rsidR="003C3925">
        <w:fldChar w:fldCharType="separate"/>
      </w:r>
      <w:r w:rsidR="007E790B">
        <w:rPr>
          <w:noProof/>
          <w:lang w:val="hy-AM"/>
        </w:rPr>
        <w:t>32</w:t>
      </w:r>
      <w:r w:rsidR="003C3925">
        <w:fldChar w:fldCharType="end"/>
      </w:r>
      <w:r>
        <w:rPr>
          <w:rFonts w:ascii="Cambria Math" w:hAnsi="Cambria Math"/>
          <w:lang w:val="hy-AM"/>
        </w:rPr>
        <w:t xml:space="preserve">․ </w:t>
      </w:r>
      <w:r w:rsidR="002C0A36" w:rsidRPr="002C0A36">
        <w:rPr>
          <w:b/>
          <w:i/>
          <w:sz w:val="20"/>
          <w:szCs w:val="20"/>
          <w:lang w:val="hy-AM"/>
        </w:rPr>
        <w:t>Ոռոգման ոլորտի պետական մասնակցությամբ ընկերությունների ֆինանսական ցուցանիշները</w:t>
      </w:r>
      <w:bookmarkEnd w:id="278"/>
    </w:p>
    <w:tbl>
      <w:tblPr>
        <w:tblpPr w:leftFromText="180" w:rightFromText="180" w:vertAnchor="text" w:horzAnchor="margin" w:tblpY="454"/>
        <w:tblW w:w="9464" w:type="dxa"/>
        <w:tblLook w:val="04A0" w:firstRow="1" w:lastRow="0" w:firstColumn="1" w:lastColumn="0" w:noHBand="0" w:noVBand="1"/>
      </w:tblPr>
      <w:tblGrid>
        <w:gridCol w:w="3678"/>
        <w:gridCol w:w="1273"/>
        <w:gridCol w:w="1023"/>
        <w:gridCol w:w="1152"/>
        <w:gridCol w:w="2338"/>
      </w:tblGrid>
      <w:tr w:rsidR="002C0A36" w:rsidRPr="002C0A36" w:rsidTr="007E430F">
        <w:trPr>
          <w:trHeight w:val="393"/>
          <w:tblHeader/>
        </w:trPr>
        <w:tc>
          <w:tcPr>
            <w:tcW w:w="3678" w:type="dxa"/>
            <w:tcBorders>
              <w:top w:val="single" w:sz="4" w:space="0" w:color="auto"/>
              <w:left w:val="single" w:sz="12" w:space="0" w:color="auto"/>
              <w:bottom w:val="single" w:sz="4" w:space="0" w:color="auto"/>
              <w:right w:val="single" w:sz="4" w:space="0" w:color="auto"/>
            </w:tcBorders>
            <w:shd w:val="clear" w:color="auto" w:fill="0070C0"/>
            <w:vAlign w:val="center"/>
            <w:hideMark/>
          </w:tcPr>
          <w:p w:rsidR="002C0A36" w:rsidRPr="000573ED" w:rsidRDefault="002C0A36" w:rsidP="007730AA">
            <w:pPr>
              <w:spacing w:before="0" w:line="276" w:lineRule="auto"/>
              <w:ind w:firstLine="0"/>
              <w:contextualSpacing w:val="0"/>
              <w:jc w:val="left"/>
              <w:rPr>
                <w:color w:val="FFFFFF"/>
                <w:sz w:val="18"/>
                <w:szCs w:val="18"/>
                <w:lang w:val="en-US"/>
              </w:rPr>
            </w:pPr>
            <w:r w:rsidRPr="000573ED">
              <w:rPr>
                <w:color w:val="FFFFFF"/>
                <w:sz w:val="18"/>
                <w:szCs w:val="18"/>
              </w:rPr>
              <w:t>Ցուցանիշ</w:t>
            </w:r>
          </w:p>
        </w:tc>
        <w:tc>
          <w:tcPr>
            <w:tcW w:w="1273"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0573ED" w:rsidRDefault="002C0A36" w:rsidP="007730AA">
            <w:pPr>
              <w:spacing w:before="0" w:line="276" w:lineRule="auto"/>
              <w:ind w:firstLine="0"/>
              <w:contextualSpacing w:val="0"/>
              <w:jc w:val="center"/>
              <w:rPr>
                <w:color w:val="FFFFFF"/>
                <w:sz w:val="18"/>
                <w:szCs w:val="18"/>
                <w:lang w:val="en-US"/>
              </w:rPr>
            </w:pPr>
            <w:r w:rsidRPr="000573ED">
              <w:rPr>
                <w:color w:val="FFFFFF"/>
                <w:sz w:val="18"/>
                <w:szCs w:val="18"/>
                <w:lang w:val="en-US"/>
              </w:rPr>
              <w:t>201</w:t>
            </w:r>
            <w:r w:rsidRPr="000573ED">
              <w:rPr>
                <w:color w:val="FFFFFF"/>
                <w:sz w:val="18"/>
                <w:szCs w:val="18"/>
                <w:lang w:val="hy-AM"/>
              </w:rPr>
              <w:t>8</w:t>
            </w:r>
            <w:r w:rsidRPr="000573ED">
              <w:rPr>
                <w:color w:val="FFFFFF"/>
                <w:sz w:val="18"/>
                <w:szCs w:val="18"/>
              </w:rPr>
              <w:t>թ</w:t>
            </w:r>
            <w:r w:rsidRPr="000573ED">
              <w:rPr>
                <w:color w:val="FFFFFF"/>
                <w:sz w:val="18"/>
                <w:szCs w:val="18"/>
                <w:lang w:val="en-US"/>
              </w:rPr>
              <w:t>.</w:t>
            </w:r>
          </w:p>
        </w:tc>
        <w:tc>
          <w:tcPr>
            <w:tcW w:w="1023" w:type="dxa"/>
            <w:tcBorders>
              <w:top w:val="single" w:sz="4" w:space="0" w:color="auto"/>
              <w:left w:val="single" w:sz="4" w:space="0" w:color="auto"/>
              <w:bottom w:val="single" w:sz="4" w:space="0" w:color="auto"/>
              <w:right w:val="single" w:sz="4" w:space="0" w:color="auto"/>
            </w:tcBorders>
            <w:shd w:val="clear" w:color="auto" w:fill="0070C0"/>
            <w:vAlign w:val="center"/>
          </w:tcPr>
          <w:p w:rsidR="002C0A36" w:rsidRPr="000573ED" w:rsidRDefault="002C0A36" w:rsidP="007730AA">
            <w:pPr>
              <w:spacing w:before="0" w:line="276" w:lineRule="auto"/>
              <w:ind w:firstLine="0"/>
              <w:contextualSpacing w:val="0"/>
              <w:jc w:val="center"/>
              <w:rPr>
                <w:color w:val="FFFFFF"/>
                <w:sz w:val="18"/>
                <w:szCs w:val="18"/>
                <w:lang w:val="en-US"/>
              </w:rPr>
            </w:pPr>
            <w:r w:rsidRPr="000573ED">
              <w:rPr>
                <w:color w:val="FFFFFF"/>
                <w:sz w:val="18"/>
                <w:szCs w:val="18"/>
                <w:lang w:val="en-US"/>
              </w:rPr>
              <w:t>201</w:t>
            </w:r>
            <w:r w:rsidRPr="000573ED">
              <w:rPr>
                <w:color w:val="FFFFFF"/>
                <w:sz w:val="18"/>
                <w:szCs w:val="18"/>
                <w:lang w:val="hy-AM"/>
              </w:rPr>
              <w:t>9</w:t>
            </w:r>
            <w:r w:rsidRPr="000573ED">
              <w:rPr>
                <w:color w:val="FFFFFF"/>
                <w:sz w:val="18"/>
                <w:szCs w:val="18"/>
              </w:rPr>
              <w:t>թ</w:t>
            </w:r>
            <w:r w:rsidRPr="000573ED">
              <w:rPr>
                <w:color w:val="FFFFFF"/>
                <w:sz w:val="18"/>
                <w:szCs w:val="18"/>
                <w:lang w:val="en-US"/>
              </w:rPr>
              <w:t>.</w:t>
            </w:r>
          </w:p>
        </w:tc>
        <w:tc>
          <w:tcPr>
            <w:tcW w:w="1152" w:type="dxa"/>
            <w:tcBorders>
              <w:top w:val="single" w:sz="4" w:space="0" w:color="auto"/>
              <w:left w:val="single" w:sz="4" w:space="0" w:color="auto"/>
              <w:bottom w:val="single" w:sz="4" w:space="0" w:color="auto"/>
              <w:right w:val="single" w:sz="4" w:space="0" w:color="auto"/>
            </w:tcBorders>
            <w:shd w:val="clear" w:color="auto" w:fill="0070C0"/>
            <w:vAlign w:val="center"/>
          </w:tcPr>
          <w:p w:rsidR="002C0A36" w:rsidRPr="000573ED" w:rsidRDefault="002C0A36" w:rsidP="007730AA">
            <w:pPr>
              <w:spacing w:before="0" w:line="276" w:lineRule="auto"/>
              <w:ind w:firstLine="0"/>
              <w:contextualSpacing w:val="0"/>
              <w:jc w:val="center"/>
              <w:rPr>
                <w:color w:val="FFFFFF"/>
                <w:sz w:val="18"/>
                <w:szCs w:val="18"/>
                <w:lang w:val="en-US"/>
              </w:rPr>
            </w:pPr>
            <w:r w:rsidRPr="000573ED">
              <w:rPr>
                <w:color w:val="FFFFFF"/>
                <w:sz w:val="18"/>
                <w:szCs w:val="18"/>
                <w:lang w:val="en-US"/>
              </w:rPr>
              <w:t>2020</w:t>
            </w:r>
            <w:r w:rsidRPr="000573ED">
              <w:rPr>
                <w:color w:val="FFFFFF"/>
                <w:sz w:val="18"/>
                <w:szCs w:val="18"/>
              </w:rPr>
              <w:t>թ</w:t>
            </w:r>
            <w:r w:rsidRPr="000573ED">
              <w:rPr>
                <w:color w:val="FFFFFF"/>
                <w:sz w:val="18"/>
                <w:szCs w:val="18"/>
                <w:lang w:val="en-US"/>
              </w:rPr>
              <w:t xml:space="preserve">. </w:t>
            </w:r>
            <w:r w:rsidRPr="000573ED">
              <w:rPr>
                <w:color w:val="FFFFFF"/>
                <w:sz w:val="18"/>
                <w:szCs w:val="18"/>
                <w:lang w:val="en-US"/>
              </w:rPr>
              <w:br/>
              <w:t>1-</w:t>
            </w:r>
            <w:r w:rsidRPr="000573ED">
              <w:rPr>
                <w:color w:val="FFFFFF"/>
                <w:sz w:val="18"/>
                <w:szCs w:val="18"/>
              </w:rPr>
              <w:t>ին</w:t>
            </w:r>
            <w:r w:rsidRPr="000573ED">
              <w:rPr>
                <w:color w:val="FFFFFF"/>
                <w:sz w:val="18"/>
                <w:szCs w:val="18"/>
                <w:lang w:val="en-US"/>
              </w:rPr>
              <w:t xml:space="preserve"> </w:t>
            </w:r>
            <w:r w:rsidRPr="000573ED">
              <w:rPr>
                <w:color w:val="FFFFFF"/>
                <w:sz w:val="18"/>
                <w:szCs w:val="18"/>
              </w:rPr>
              <w:t>կիսամյակ</w:t>
            </w:r>
          </w:p>
        </w:tc>
        <w:tc>
          <w:tcPr>
            <w:tcW w:w="2338" w:type="dxa"/>
            <w:tcBorders>
              <w:top w:val="single" w:sz="4" w:space="0" w:color="auto"/>
              <w:left w:val="single" w:sz="4" w:space="0" w:color="auto"/>
              <w:bottom w:val="single" w:sz="4" w:space="0" w:color="auto"/>
              <w:right w:val="single" w:sz="12" w:space="0" w:color="auto"/>
            </w:tcBorders>
            <w:shd w:val="clear" w:color="auto" w:fill="0070C0"/>
            <w:vAlign w:val="center"/>
            <w:hideMark/>
          </w:tcPr>
          <w:p w:rsidR="002C0A36" w:rsidRPr="000573ED" w:rsidRDefault="002C0A36" w:rsidP="007730AA">
            <w:pPr>
              <w:spacing w:before="0" w:line="276" w:lineRule="auto"/>
              <w:ind w:firstLine="0"/>
              <w:contextualSpacing w:val="0"/>
              <w:jc w:val="left"/>
              <w:rPr>
                <w:color w:val="FFFFFF"/>
                <w:sz w:val="18"/>
                <w:szCs w:val="18"/>
                <w:lang w:val="en-US"/>
              </w:rPr>
            </w:pPr>
            <w:r w:rsidRPr="000573ED">
              <w:rPr>
                <w:color w:val="FFFFFF"/>
                <w:sz w:val="18"/>
                <w:szCs w:val="18"/>
              </w:rPr>
              <w:t>Թույլատրելի</w:t>
            </w:r>
            <w:r w:rsidRPr="000573ED">
              <w:rPr>
                <w:color w:val="FFFFFF"/>
                <w:sz w:val="18"/>
                <w:szCs w:val="18"/>
                <w:lang w:val="en-US"/>
              </w:rPr>
              <w:t xml:space="preserve"> </w:t>
            </w:r>
            <w:r w:rsidRPr="000573ED">
              <w:rPr>
                <w:color w:val="FFFFFF"/>
                <w:sz w:val="18"/>
                <w:szCs w:val="18"/>
              </w:rPr>
              <w:t>սահմանային</w:t>
            </w:r>
            <w:r w:rsidRPr="000573ED">
              <w:rPr>
                <w:color w:val="FFFFFF"/>
                <w:sz w:val="18"/>
                <w:szCs w:val="18"/>
                <w:lang w:val="en-US"/>
              </w:rPr>
              <w:t xml:space="preserve"> </w:t>
            </w:r>
            <w:r w:rsidRPr="000573ED">
              <w:rPr>
                <w:color w:val="FFFFFF"/>
                <w:sz w:val="18"/>
                <w:szCs w:val="18"/>
              </w:rPr>
              <w:t>նորմա</w:t>
            </w:r>
          </w:p>
        </w:tc>
      </w:tr>
      <w:tr w:rsidR="002C0A36" w:rsidRPr="002C0A36" w:rsidTr="007E430F">
        <w:trPr>
          <w:trHeight w:val="578"/>
        </w:trPr>
        <w:tc>
          <w:tcPr>
            <w:tcW w:w="3678"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lang w:val="en-US"/>
              </w:rPr>
            </w:pPr>
            <w:r w:rsidRPr="002C0A36">
              <w:rPr>
                <w:b w:val="0"/>
                <w:sz w:val="18"/>
                <w:szCs w:val="18"/>
              </w:rPr>
              <w:t>Ծախսերի</w:t>
            </w:r>
            <w:r w:rsidRPr="002C0A36">
              <w:rPr>
                <w:b w:val="0"/>
                <w:sz w:val="18"/>
                <w:szCs w:val="18"/>
                <w:lang w:val="en-US"/>
              </w:rPr>
              <w:t xml:space="preserve"> </w:t>
            </w:r>
            <w:r w:rsidRPr="002C0A36">
              <w:rPr>
                <w:b w:val="0"/>
                <w:sz w:val="18"/>
                <w:szCs w:val="18"/>
              </w:rPr>
              <w:t>վերականգնման</w:t>
            </w:r>
            <w:r w:rsidRPr="002C0A36">
              <w:rPr>
                <w:b w:val="0"/>
                <w:sz w:val="18"/>
                <w:szCs w:val="18"/>
                <w:lang w:val="en-US"/>
              </w:rPr>
              <w:t xml:space="preserve"> </w:t>
            </w:r>
            <w:r w:rsidRPr="002C0A36">
              <w:rPr>
                <w:b w:val="0"/>
                <w:sz w:val="18"/>
                <w:szCs w:val="18"/>
              </w:rPr>
              <w:t>գործակից</w:t>
            </w:r>
          </w:p>
        </w:tc>
        <w:tc>
          <w:tcPr>
            <w:tcW w:w="12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0.5</w:t>
            </w:r>
          </w:p>
        </w:tc>
        <w:tc>
          <w:tcPr>
            <w:tcW w:w="10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0.5</w:t>
            </w:r>
          </w:p>
        </w:tc>
        <w:tc>
          <w:tcPr>
            <w:tcW w:w="11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sz w:val="18"/>
                <w:szCs w:val="18"/>
                <w:lang w:val="en-US"/>
              </w:rPr>
              <w:t>1.4</w:t>
            </w:r>
          </w:p>
        </w:tc>
        <w:tc>
          <w:tcPr>
            <w:tcW w:w="2338"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Առնվազն</w:t>
            </w:r>
            <w:r w:rsidRPr="002C0A36">
              <w:rPr>
                <w:b w:val="0"/>
                <w:sz w:val="18"/>
                <w:szCs w:val="18"/>
                <w:lang w:val="en-US"/>
              </w:rPr>
              <w:t xml:space="preserve"> </w:t>
            </w:r>
            <w:r w:rsidRPr="002C0A36">
              <w:rPr>
                <w:b w:val="0"/>
                <w:sz w:val="18"/>
                <w:szCs w:val="18"/>
              </w:rPr>
              <w:t>1</w:t>
            </w:r>
          </w:p>
        </w:tc>
      </w:tr>
      <w:tr w:rsidR="002C0A36" w:rsidRPr="002C0A36" w:rsidTr="007E430F">
        <w:trPr>
          <w:trHeight w:val="471"/>
        </w:trPr>
        <w:tc>
          <w:tcPr>
            <w:tcW w:w="3678"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Զուտ շահույթի մարժա    (%)</w:t>
            </w:r>
          </w:p>
        </w:tc>
        <w:tc>
          <w:tcPr>
            <w:tcW w:w="127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w:t>
            </w:r>
            <w:r w:rsidRPr="002C0A36">
              <w:rPr>
                <w:b w:val="0"/>
                <w:bCs/>
                <w:color w:val="000000"/>
                <w:sz w:val="18"/>
                <w:szCs w:val="18"/>
                <w:lang w:val="en-US"/>
              </w:rPr>
              <w:t>211</w:t>
            </w:r>
            <w:r w:rsidRPr="002C0A36">
              <w:rPr>
                <w:b w:val="0"/>
                <w:bCs/>
                <w:color w:val="000000"/>
                <w:sz w:val="18"/>
                <w:szCs w:val="18"/>
              </w:rPr>
              <w:t>.</w:t>
            </w:r>
            <w:r w:rsidRPr="002C0A36">
              <w:rPr>
                <w:b w:val="0"/>
                <w:bCs/>
                <w:color w:val="000000"/>
                <w:sz w:val="18"/>
                <w:szCs w:val="18"/>
                <w:lang w:val="en-US"/>
              </w:rPr>
              <w:t>7</w:t>
            </w:r>
            <w:r w:rsidRPr="002C0A36">
              <w:rPr>
                <w:b w:val="0"/>
                <w:bCs/>
                <w:color w:val="000000"/>
                <w:sz w:val="18"/>
                <w:szCs w:val="18"/>
              </w:rPr>
              <w:t>)</w:t>
            </w:r>
          </w:p>
        </w:tc>
        <w:tc>
          <w:tcPr>
            <w:tcW w:w="102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w:t>
            </w:r>
            <w:r w:rsidRPr="002C0A36">
              <w:rPr>
                <w:b w:val="0"/>
                <w:bCs/>
                <w:color w:val="000000"/>
                <w:sz w:val="18"/>
                <w:szCs w:val="18"/>
                <w:lang w:val="en-US"/>
              </w:rPr>
              <w:t>197</w:t>
            </w:r>
            <w:r w:rsidRPr="002C0A36">
              <w:rPr>
                <w:b w:val="0"/>
                <w:bCs/>
                <w:color w:val="000000"/>
                <w:sz w:val="18"/>
                <w:szCs w:val="18"/>
              </w:rPr>
              <w:t>.</w:t>
            </w:r>
            <w:r w:rsidRPr="002C0A36">
              <w:rPr>
                <w:b w:val="0"/>
                <w:bCs/>
                <w:color w:val="000000"/>
                <w:sz w:val="18"/>
                <w:szCs w:val="18"/>
                <w:lang w:val="en-US"/>
              </w:rPr>
              <w:t>7</w:t>
            </w:r>
            <w:r w:rsidRPr="002C0A36">
              <w:rPr>
                <w:b w:val="0"/>
                <w:bCs/>
                <w:color w:val="000000"/>
                <w:sz w:val="18"/>
                <w:szCs w:val="18"/>
              </w:rPr>
              <w:t>)</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sz w:val="18"/>
                <w:szCs w:val="18"/>
                <w:lang w:val="en-US"/>
              </w:rPr>
              <w:t>58</w:t>
            </w:r>
            <w:r w:rsidRPr="002C0A36">
              <w:rPr>
                <w:b w:val="0"/>
                <w:sz w:val="18"/>
                <w:szCs w:val="18"/>
              </w:rPr>
              <w:t>.</w:t>
            </w:r>
            <w:r w:rsidRPr="002C0A36">
              <w:rPr>
                <w:b w:val="0"/>
                <w:sz w:val="18"/>
                <w:szCs w:val="18"/>
                <w:lang w:val="en-US"/>
              </w:rPr>
              <w:t>8</w:t>
            </w:r>
          </w:p>
        </w:tc>
        <w:tc>
          <w:tcPr>
            <w:tcW w:w="2338" w:type="dxa"/>
            <w:tcBorders>
              <w:top w:val="single" w:sz="4" w:space="0" w:color="auto"/>
              <w:left w:val="single" w:sz="4" w:space="0" w:color="auto"/>
              <w:bottom w:val="single" w:sz="4" w:space="0" w:color="auto"/>
              <w:right w:val="single" w:sz="12" w:space="0" w:color="auto"/>
            </w:tcBorders>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Առնվազն 8%</w:t>
            </w:r>
          </w:p>
        </w:tc>
      </w:tr>
      <w:tr w:rsidR="002C0A36" w:rsidRPr="002C0A36" w:rsidTr="007E430F">
        <w:trPr>
          <w:trHeight w:val="407"/>
        </w:trPr>
        <w:tc>
          <w:tcPr>
            <w:tcW w:w="3678"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Արագ իրացվելիության գործակից</w:t>
            </w:r>
          </w:p>
        </w:tc>
        <w:tc>
          <w:tcPr>
            <w:tcW w:w="12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7.7</w:t>
            </w:r>
          </w:p>
        </w:tc>
        <w:tc>
          <w:tcPr>
            <w:tcW w:w="10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6.2</w:t>
            </w:r>
          </w:p>
        </w:tc>
        <w:tc>
          <w:tcPr>
            <w:tcW w:w="11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3.6</w:t>
            </w:r>
          </w:p>
        </w:tc>
        <w:tc>
          <w:tcPr>
            <w:tcW w:w="2338"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Առնվազն 1</w:t>
            </w:r>
          </w:p>
        </w:tc>
      </w:tr>
      <w:tr w:rsidR="002C0A36" w:rsidRPr="002C0A36" w:rsidTr="007E430F">
        <w:trPr>
          <w:trHeight w:val="227"/>
        </w:trPr>
        <w:tc>
          <w:tcPr>
            <w:tcW w:w="3678"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left"/>
              <w:rPr>
                <w:b w:val="0"/>
                <w:sz w:val="18"/>
                <w:szCs w:val="18"/>
                <w:lang w:val="hy-AM"/>
              </w:rPr>
            </w:pPr>
            <w:r w:rsidRPr="002C0A36">
              <w:rPr>
                <w:b w:val="0"/>
                <w:sz w:val="18"/>
                <w:szCs w:val="18"/>
                <w:lang w:val="hy-AM"/>
              </w:rPr>
              <w:t>Դեբիտորական պարտքերի շրջանառություն</w:t>
            </w:r>
            <w:r w:rsidRPr="002C0A36">
              <w:rPr>
                <w:b w:val="0"/>
                <w:sz w:val="18"/>
                <w:szCs w:val="18"/>
              </w:rPr>
              <w:t xml:space="preserve"> (օր)</w:t>
            </w:r>
          </w:p>
        </w:tc>
        <w:tc>
          <w:tcPr>
            <w:tcW w:w="127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388.6</w:t>
            </w:r>
          </w:p>
        </w:tc>
        <w:tc>
          <w:tcPr>
            <w:tcW w:w="102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262.0</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541.5</w:t>
            </w:r>
          </w:p>
        </w:tc>
        <w:tc>
          <w:tcPr>
            <w:tcW w:w="2338" w:type="dxa"/>
            <w:tcBorders>
              <w:top w:val="single" w:sz="4" w:space="0" w:color="auto"/>
              <w:left w:val="single" w:sz="4" w:space="0" w:color="auto"/>
              <w:bottom w:val="single" w:sz="4" w:space="0" w:color="auto"/>
              <w:right w:val="single" w:sz="12" w:space="0" w:color="auto"/>
            </w:tcBorders>
            <w:vAlign w:val="center"/>
            <w:hideMark/>
          </w:tcPr>
          <w:p w:rsidR="002C0A36" w:rsidRPr="002C0A36" w:rsidRDefault="002C0A36" w:rsidP="007730AA">
            <w:pPr>
              <w:spacing w:before="0" w:line="276" w:lineRule="auto"/>
              <w:ind w:firstLine="0"/>
              <w:contextualSpacing w:val="0"/>
              <w:jc w:val="left"/>
              <w:rPr>
                <w:b w:val="0"/>
                <w:sz w:val="18"/>
                <w:szCs w:val="18"/>
              </w:rPr>
            </w:pPr>
            <w:r w:rsidRPr="002C0A36">
              <w:rPr>
                <w:rFonts w:eastAsia="Calibri" w:cs="Arial"/>
                <w:b w:val="0"/>
                <w:sz w:val="18"/>
                <w:szCs w:val="18"/>
              </w:rPr>
              <w:t>Առավելագույնը</w:t>
            </w:r>
            <w:r w:rsidRPr="002C0A36">
              <w:rPr>
                <w:rFonts w:eastAsia="Calibri"/>
                <w:b w:val="0"/>
                <w:sz w:val="18"/>
                <w:szCs w:val="18"/>
              </w:rPr>
              <w:t xml:space="preserve"> 60/30 </w:t>
            </w:r>
            <w:r w:rsidRPr="002C0A36">
              <w:rPr>
                <w:rFonts w:eastAsia="Calibri" w:cs="Arial"/>
                <w:b w:val="0"/>
                <w:sz w:val="18"/>
                <w:szCs w:val="18"/>
              </w:rPr>
              <w:t>օր</w:t>
            </w:r>
          </w:p>
        </w:tc>
      </w:tr>
      <w:tr w:rsidR="002C0A36" w:rsidRPr="002C0A36" w:rsidTr="007E430F">
        <w:trPr>
          <w:trHeight w:val="438"/>
        </w:trPr>
        <w:tc>
          <w:tcPr>
            <w:tcW w:w="3678"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Պարտքի սպասարկման գործակից</w:t>
            </w:r>
          </w:p>
        </w:tc>
        <w:tc>
          <w:tcPr>
            <w:tcW w:w="12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rPr>
            </w:pPr>
            <w:r w:rsidRPr="002C0A36">
              <w:rPr>
                <w:b w:val="0"/>
                <w:bCs/>
                <w:color w:val="000000"/>
                <w:sz w:val="18"/>
                <w:szCs w:val="18"/>
              </w:rPr>
              <w:t>(</w:t>
            </w:r>
            <w:r w:rsidRPr="002C0A36">
              <w:rPr>
                <w:b w:val="0"/>
                <w:bCs/>
                <w:color w:val="000000"/>
                <w:sz w:val="18"/>
                <w:szCs w:val="18"/>
                <w:lang w:val="en-US"/>
              </w:rPr>
              <w:t>0.0</w:t>
            </w:r>
            <w:r w:rsidRPr="002C0A36">
              <w:rPr>
                <w:b w:val="0"/>
                <w:bCs/>
                <w:color w:val="000000"/>
                <w:sz w:val="18"/>
                <w:szCs w:val="18"/>
              </w:rPr>
              <w:t>)</w:t>
            </w:r>
          </w:p>
        </w:tc>
        <w:tc>
          <w:tcPr>
            <w:tcW w:w="10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rPr>
              <w:t>0.</w:t>
            </w:r>
            <w:r w:rsidRPr="002C0A36">
              <w:rPr>
                <w:b w:val="0"/>
                <w:bCs/>
                <w:color w:val="000000"/>
                <w:sz w:val="18"/>
                <w:szCs w:val="18"/>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color w:val="000000"/>
                <w:sz w:val="18"/>
                <w:szCs w:val="18"/>
                <w:lang w:val="hy-AM"/>
              </w:rPr>
            </w:pPr>
            <w:r w:rsidRPr="002C0A36">
              <w:rPr>
                <w:b w:val="0"/>
                <w:sz w:val="18"/>
                <w:szCs w:val="18"/>
              </w:rPr>
              <w:t>0.</w:t>
            </w:r>
            <w:r w:rsidRPr="002C0A36">
              <w:rPr>
                <w:b w:val="0"/>
                <w:sz w:val="18"/>
                <w:szCs w:val="18"/>
                <w:lang w:val="hy-AM"/>
              </w:rPr>
              <w:t>2</w:t>
            </w:r>
          </w:p>
        </w:tc>
        <w:tc>
          <w:tcPr>
            <w:tcW w:w="2338"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Առավելագույնը 0.5</w:t>
            </w:r>
          </w:p>
        </w:tc>
      </w:tr>
      <w:tr w:rsidR="002C0A36" w:rsidRPr="002C0A36" w:rsidTr="007E430F">
        <w:trPr>
          <w:trHeight w:val="305"/>
        </w:trPr>
        <w:tc>
          <w:tcPr>
            <w:tcW w:w="3678"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Վերաֆինանսավորման գործակից</w:t>
            </w:r>
          </w:p>
        </w:tc>
        <w:tc>
          <w:tcPr>
            <w:tcW w:w="127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0.2</w:t>
            </w:r>
          </w:p>
        </w:tc>
        <w:tc>
          <w:tcPr>
            <w:tcW w:w="102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0.1</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0.5</w:t>
            </w:r>
          </w:p>
        </w:tc>
        <w:tc>
          <w:tcPr>
            <w:tcW w:w="2338" w:type="dxa"/>
            <w:tcBorders>
              <w:top w:val="single" w:sz="4" w:space="0" w:color="auto"/>
              <w:left w:val="single" w:sz="4" w:space="0" w:color="auto"/>
              <w:bottom w:val="single" w:sz="4" w:space="0" w:color="auto"/>
              <w:right w:val="single" w:sz="12" w:space="0" w:color="auto"/>
            </w:tcBorders>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Առավելագույնը 1</w:t>
            </w:r>
          </w:p>
        </w:tc>
      </w:tr>
      <w:tr w:rsidR="002C0A36" w:rsidRPr="00130243" w:rsidTr="007E430F">
        <w:trPr>
          <w:trHeight w:val="706"/>
        </w:trPr>
        <w:tc>
          <w:tcPr>
            <w:tcW w:w="3678" w:type="dxa"/>
            <w:tcBorders>
              <w:top w:val="single" w:sz="4" w:space="0" w:color="auto"/>
              <w:left w:val="single" w:sz="12" w:space="0" w:color="auto"/>
              <w:bottom w:val="single" w:sz="12"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Z- միավոր</w:t>
            </w:r>
          </w:p>
        </w:tc>
        <w:tc>
          <w:tcPr>
            <w:tcW w:w="1273"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38</w:t>
            </w:r>
            <w:r w:rsidRPr="002C0A36">
              <w:rPr>
                <w:b w:val="0"/>
                <w:bCs/>
                <w:color w:val="000000"/>
                <w:sz w:val="18"/>
                <w:szCs w:val="18"/>
              </w:rPr>
              <w:t>.</w:t>
            </w:r>
            <w:r w:rsidRPr="002C0A36">
              <w:rPr>
                <w:b w:val="0"/>
                <w:bCs/>
                <w:color w:val="000000"/>
                <w:sz w:val="18"/>
                <w:szCs w:val="18"/>
                <w:lang w:val="en-US"/>
              </w:rPr>
              <w:t>3</w:t>
            </w:r>
          </w:p>
        </w:tc>
        <w:tc>
          <w:tcPr>
            <w:tcW w:w="1023"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171.6</w:t>
            </w:r>
          </w:p>
        </w:tc>
        <w:tc>
          <w:tcPr>
            <w:tcW w:w="1152"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91.1</w:t>
            </w:r>
          </w:p>
        </w:tc>
        <w:tc>
          <w:tcPr>
            <w:tcW w:w="2338" w:type="dxa"/>
            <w:tcBorders>
              <w:top w:val="single" w:sz="4" w:space="0" w:color="auto"/>
              <w:left w:val="single" w:sz="4" w:space="0" w:color="auto"/>
              <w:bottom w:val="single" w:sz="12" w:space="0" w:color="auto"/>
              <w:right w:val="single" w:sz="12"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lang w:val="hy-AM"/>
              </w:rPr>
            </w:pPr>
            <w:r w:rsidRPr="002C0A36">
              <w:rPr>
                <w:b w:val="0"/>
                <w:sz w:val="18"/>
                <w:szCs w:val="18"/>
                <w:lang w:val="hy-AM"/>
              </w:rPr>
              <w:t>Ապահով գոտի Z&gt;2.6, Գորշ գոտի 1.1&lt;Z&lt;2.6, Ծանր գոտի Z&lt;1.1</w:t>
            </w:r>
          </w:p>
        </w:tc>
      </w:tr>
    </w:tbl>
    <w:p w:rsidR="002C0A36" w:rsidRPr="002C0A36" w:rsidRDefault="002C0A36" w:rsidP="007730AA">
      <w:pPr>
        <w:spacing w:before="0" w:line="276" w:lineRule="auto"/>
        <w:ind w:firstLine="0"/>
        <w:contextualSpacing w:val="0"/>
        <w:rPr>
          <w:b w:val="0"/>
          <w:sz w:val="24"/>
          <w:lang w:val="en-US"/>
        </w:rPr>
      </w:pPr>
    </w:p>
    <w:bookmarkEnd w:id="277"/>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lang w:val="hy-AM"/>
        </w:rPr>
        <w:t>Ինչպես երևում է աղյուսակից հաշվետու ժամանակաշրջաններում սնանկացման կանխատեսման Ալթմանի Z-միավորը վկայում է Ընկերությունների ֆինանսական ծանր վիճակի բավականին ցածր հավանականության մասին (գործակիցը` համապատասխանաբար՝ Z=171.6, Z= 91.1, գտնվում են սահմանված ապահով գոտում` Z&gt;2.6):</w:t>
      </w:r>
    </w:p>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lang w:val="hy-AM"/>
        </w:rPr>
        <w:t>Հաշվետու ժամանակաշրջանում ստուգաճշտող լրացուցիչ ֆինանսական վեց գործակիցներից երեքը, իսկ միջանկյալ ժամանակաշրջանում մեկը չեն համապատասխանում միջազգային պրակտիկայում ընդունված թույլատրելի սահմանային նորմային, իսկ Ընկերությունների ֆինանսական ծանր վիճակի հավանականությունը գնահատող Z-միավորը վկայում է Ընկերությունների ֆինանսական ծանր վիճակի ցածր հավանականության մասին, հետևաբար այս երկու նախնական գնահատումների զուգակցման արդյունքում Ընկերությունների ֆինանսական վիճակի վատթարացման հավանականությունը գնահատվում է միջին:</w:t>
      </w:r>
    </w:p>
    <w:p w:rsidR="002C0A36" w:rsidRPr="002C0A36" w:rsidRDefault="002C0A36" w:rsidP="007730AA">
      <w:pPr>
        <w:spacing w:before="0" w:line="276" w:lineRule="auto"/>
        <w:contextualSpacing w:val="0"/>
        <w:jc w:val="center"/>
        <w:rPr>
          <w:szCs w:val="22"/>
          <w:lang w:val="hy-AM"/>
        </w:rPr>
      </w:pPr>
    </w:p>
    <w:p w:rsidR="002C0A36" w:rsidRPr="002C0A36" w:rsidRDefault="002C0A36" w:rsidP="007730AA">
      <w:pPr>
        <w:spacing w:before="0" w:line="276" w:lineRule="auto"/>
        <w:contextualSpacing w:val="0"/>
        <w:jc w:val="center"/>
        <w:rPr>
          <w:szCs w:val="22"/>
          <w:lang w:val="hy-AM"/>
        </w:rPr>
      </w:pPr>
      <w:r w:rsidRPr="002C0A36">
        <w:rPr>
          <w:szCs w:val="22"/>
          <w:lang w:val="hy-AM"/>
        </w:rPr>
        <w:t>Պետական-մասնավոր</w:t>
      </w:r>
      <w:r w:rsidRPr="002C0A36">
        <w:rPr>
          <w:b w:val="0"/>
          <w:sz w:val="24"/>
          <w:lang w:val="hy-AM"/>
        </w:rPr>
        <w:t xml:space="preserve"> </w:t>
      </w:r>
      <w:r w:rsidRPr="002C0A36">
        <w:rPr>
          <w:szCs w:val="22"/>
          <w:lang w:val="hy-AM"/>
        </w:rPr>
        <w:t>գործընկերություն (ՊՄԳ)</w:t>
      </w:r>
    </w:p>
    <w:p w:rsidR="002C0A36" w:rsidRPr="002C0A36" w:rsidRDefault="002C0A36" w:rsidP="007730AA">
      <w:pPr>
        <w:spacing w:before="0" w:line="276" w:lineRule="auto"/>
        <w:contextualSpacing w:val="0"/>
        <w:rPr>
          <w:b w:val="0"/>
          <w:szCs w:val="22"/>
          <w:lang w:val="hy-AM"/>
        </w:rPr>
      </w:pPr>
      <w:r w:rsidRPr="002C0A36">
        <w:rPr>
          <w:b w:val="0"/>
          <w:szCs w:val="22"/>
          <w:lang w:val="hy-AM"/>
        </w:rPr>
        <w:t>Տրանսպորտի և ջրային տնտեսության ոլորտներում ՊՄԳ ձևաչափով գործում են Հա</w:t>
      </w:r>
      <w:r w:rsidRPr="002C0A36">
        <w:rPr>
          <w:b w:val="0"/>
          <w:szCs w:val="22"/>
          <w:lang w:val="hy-AM"/>
        </w:rPr>
        <w:softHyphen/>
        <w:t>րավկովկասյան երկաթուղի և Վեոլիա Ջուր ՓԲԸ-ները:</w:t>
      </w:r>
    </w:p>
    <w:p w:rsidR="002C0A36" w:rsidRPr="002C0A36" w:rsidRDefault="002C0A36" w:rsidP="007730AA">
      <w:pPr>
        <w:spacing w:before="0" w:line="276" w:lineRule="auto"/>
        <w:ind w:firstLine="426"/>
        <w:contextualSpacing w:val="0"/>
        <w:rPr>
          <w:b w:val="0"/>
          <w:szCs w:val="22"/>
          <w:lang w:val="hy-AM"/>
        </w:rPr>
      </w:pPr>
      <w:r w:rsidRPr="002C0A36">
        <w:rPr>
          <w:szCs w:val="22"/>
          <w:lang w:val="hy-AM"/>
        </w:rPr>
        <w:t>Հարավկովկասյան երկաթուղի ՓԲԸ</w:t>
      </w:r>
    </w:p>
    <w:p w:rsidR="002C0A36" w:rsidRPr="002C0A36" w:rsidRDefault="002C0A36" w:rsidP="007730AA">
      <w:pPr>
        <w:shd w:val="clear" w:color="auto" w:fill="FFFFFF"/>
        <w:spacing w:before="0" w:line="276" w:lineRule="auto"/>
        <w:ind w:firstLine="426"/>
        <w:contextualSpacing w:val="0"/>
        <w:rPr>
          <w:b w:val="0"/>
          <w:szCs w:val="22"/>
          <w:lang w:val="hy-AM"/>
        </w:rPr>
      </w:pPr>
      <w:r w:rsidRPr="002C0A36">
        <w:rPr>
          <w:b w:val="0"/>
          <w:szCs w:val="22"/>
          <w:lang w:val="hy-AM"/>
        </w:rPr>
        <w:t>ՀՀ կառավարության 07.02.2008թ. N83-Ա որոշման հիման վրա Հայաստանի Հանրապետության, «Հարավկովկասյան երկաթուղի» ՓԲԸ-ի և «Ռուսական երկաթուղիներ» ԲԲԸ-ի միջև 13.02.2008թ. կնքվել է «Հայկական երկաթուղու համակարգը «Ռուսական երկաթուղիներ» ԲԲԸ կողմից ստեղծված «Հարավկովկասյան երկաթուղի» ՓԲԸ փոխանցելու մասին» կոնցեսիոն պայմանագիրը:</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Հաշվետու ժամանակաշրջանում Հարավկովկասյան երկաթուղի ՓԲԸ-ի (այսուհետ` Ընկերություն) ընդամենը եկա</w:t>
      </w:r>
      <w:r w:rsidRPr="002C0A36">
        <w:rPr>
          <w:b w:val="0"/>
          <w:szCs w:val="22"/>
          <w:lang w:val="hy-AM"/>
        </w:rPr>
        <w:softHyphen/>
        <w:t>մուտ</w:t>
      </w:r>
      <w:r w:rsidRPr="002C0A36">
        <w:rPr>
          <w:b w:val="0"/>
          <w:szCs w:val="22"/>
          <w:lang w:val="hy-AM"/>
        </w:rPr>
        <w:softHyphen/>
        <w:t>ները կազմել են 25.5 մլրդ դրամ նախորդ ժամանակաշրջանի 23.0 մլրդ դրամի դիմաց կամ ավել 10.9%-ով (2.5 մլրդ դրամով), իսկ միջանկյալ ժամանակաշրջանում՝ 10.7 մլրդ դրամ նախորդ միջանկյալ ժամանակաշրջանի 9.2 մլրդ դրամի դիմաց կամ ավել 1.5 մլրդ դրամով (16.3%):</w:t>
      </w:r>
    </w:p>
    <w:p w:rsidR="002C0A36" w:rsidRPr="002C0A36" w:rsidRDefault="002C0A36" w:rsidP="007730AA">
      <w:pPr>
        <w:shd w:val="clear" w:color="auto" w:fill="FFFFFF"/>
        <w:spacing w:before="0" w:line="276" w:lineRule="auto"/>
        <w:ind w:firstLine="426"/>
        <w:contextualSpacing w:val="0"/>
        <w:rPr>
          <w:rFonts w:ascii="Calibri" w:hAnsi="Calibri"/>
          <w:b w:val="0"/>
          <w:color w:val="000000"/>
          <w:szCs w:val="22"/>
          <w:lang w:val="hy-AM"/>
        </w:rPr>
      </w:pPr>
      <w:r w:rsidRPr="002C0A36">
        <w:rPr>
          <w:b w:val="0"/>
          <w:sz w:val="24"/>
          <w:lang w:val="hy-AM"/>
        </w:rPr>
        <w:tab/>
      </w:r>
      <w:r w:rsidRPr="002C0A36">
        <w:rPr>
          <w:b w:val="0"/>
          <w:szCs w:val="22"/>
          <w:lang w:val="hy-AM"/>
        </w:rPr>
        <w:t>Հաշվետու ժամանակաշրջանում Ընկերության ծախսերը կազմել են 24.3 մլրդ դրամ` նախորդ ժամանակաշրջանի 22.8 մլրդ դրամի դիմաց` կամ ավել 1.5 մլրդ դրամով (6.6%), իսկ միջանկյալ ժամանակաշրջանում ծախսերը կազմել են 9.4 մլրդ դրամ նախորդ միջանկյալ ժամանակաշրջանի 8.6 մլրդ դրամի դիմաց, կամ ավել 0.8 մլրդ դրամով (9.3%):</w:t>
      </w:r>
      <w:r w:rsidRPr="002C0A36">
        <w:rPr>
          <w:rFonts w:ascii="Calibri" w:hAnsi="Calibri"/>
          <w:b w:val="0"/>
          <w:color w:val="000000"/>
          <w:szCs w:val="22"/>
          <w:lang w:val="hy-AM"/>
        </w:rPr>
        <w:t xml:space="preserve"> </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Ընկերության 25.5 մլրդ դրամ ընդհանուր եկամուտների և 24.3 մլրդ դրամ ընդհանուր ծախսերի արդյունքում հաշվետու ժամանակաշրջանում շահույթը կազմել է 1.2 մլրդ դրամ, իսկ զուտ շահույթը` 1.1 մլրդ դրամ, միաժամանակ միջանկյալ ժամանակաշրջանում 10.7 մլրդ դրամ ընդհանուր եկամուտների և 9.4 մլրդ դրամ ընդհանուր ծախսերի արդյունքում շահույթը կազմել է 1.3 մլրդ դրամ:</w:t>
      </w:r>
    </w:p>
    <w:p w:rsidR="002C0A36" w:rsidRPr="002C0A36" w:rsidRDefault="002C0A36" w:rsidP="007730AA">
      <w:pPr>
        <w:shd w:val="clear" w:color="auto" w:fill="FFFFFF"/>
        <w:spacing w:before="0" w:line="276" w:lineRule="auto"/>
        <w:ind w:firstLine="426"/>
        <w:contextualSpacing w:val="0"/>
        <w:rPr>
          <w:b w:val="0"/>
          <w:szCs w:val="22"/>
          <w:lang w:val="hy-AM"/>
        </w:rPr>
      </w:pPr>
      <w:bookmarkStart w:id="279" w:name="_Toc20590422"/>
      <w:r w:rsidRPr="002C0A36">
        <w:rPr>
          <w:b w:val="0"/>
          <w:szCs w:val="22"/>
          <w:lang w:val="hy-AM"/>
        </w:rPr>
        <w:t>Ընկերության հարկաբյուջետային ռիսկերի գնահատման համար կիրառված ֆինանսական գործակիցների ամփոփ արդյունքները և պրակտիկայում ընդունված թույլատրելի սահմանային նորմաները ներկայացված են աղյուսակում:</w:t>
      </w:r>
    </w:p>
    <w:p w:rsidR="00CF7820" w:rsidRDefault="00CF7820" w:rsidP="007730AA">
      <w:pPr>
        <w:spacing w:before="0" w:line="276" w:lineRule="auto"/>
        <w:ind w:firstLine="426"/>
        <w:contextualSpacing w:val="0"/>
        <w:rPr>
          <w:sz w:val="20"/>
          <w:szCs w:val="20"/>
          <w:lang w:val="hy-AM"/>
        </w:rPr>
      </w:pPr>
    </w:p>
    <w:p w:rsidR="002C0A36" w:rsidRPr="002C0A36" w:rsidRDefault="00CF7820" w:rsidP="007730AA">
      <w:pPr>
        <w:pStyle w:val="Caption"/>
        <w:spacing w:before="0" w:after="0" w:line="240" w:lineRule="auto"/>
        <w:ind w:firstLine="562"/>
        <w:rPr>
          <w:b/>
          <w:i/>
          <w:sz w:val="20"/>
          <w:szCs w:val="20"/>
          <w:lang w:val="hy-AM"/>
        </w:rPr>
      </w:pPr>
      <w:bookmarkStart w:id="280" w:name="_Toc57631784"/>
      <w:r w:rsidRPr="00CF7820">
        <w:rPr>
          <w:lang w:val="hy-AM"/>
        </w:rPr>
        <w:t xml:space="preserve">Աղյուսակ </w:t>
      </w:r>
      <w:r w:rsidR="003C3925">
        <w:fldChar w:fldCharType="begin"/>
      </w:r>
      <w:r w:rsidRPr="00CF7820">
        <w:rPr>
          <w:lang w:val="hy-AM"/>
        </w:rPr>
        <w:instrText xml:space="preserve"> SEQ Աղյուսակ \* ARABIC </w:instrText>
      </w:r>
      <w:r w:rsidR="003C3925">
        <w:fldChar w:fldCharType="separate"/>
      </w:r>
      <w:r w:rsidR="007E790B">
        <w:rPr>
          <w:noProof/>
          <w:lang w:val="hy-AM"/>
        </w:rPr>
        <w:t>33</w:t>
      </w:r>
      <w:r w:rsidR="003C3925">
        <w:fldChar w:fldCharType="end"/>
      </w:r>
      <w:r>
        <w:rPr>
          <w:rFonts w:ascii="Cambria Math" w:hAnsi="Cambria Math"/>
          <w:lang w:val="hy-AM"/>
        </w:rPr>
        <w:t xml:space="preserve">․ </w:t>
      </w:r>
      <w:r w:rsidR="002C0A36" w:rsidRPr="002C0A36">
        <w:rPr>
          <w:b/>
          <w:i/>
          <w:sz w:val="20"/>
          <w:szCs w:val="20"/>
          <w:lang w:val="hy-AM"/>
        </w:rPr>
        <w:t>Հարավկովկասյան երկաթուղի</w:t>
      </w:r>
      <w:r w:rsidR="002C0A36" w:rsidRPr="002C0A36">
        <w:rPr>
          <w:b/>
          <w:sz w:val="24"/>
          <w:lang w:val="hy-AM"/>
        </w:rPr>
        <w:t xml:space="preserve"> </w:t>
      </w:r>
      <w:r w:rsidR="002C0A36" w:rsidRPr="002C0A36">
        <w:rPr>
          <w:sz w:val="20"/>
          <w:szCs w:val="20"/>
          <w:lang w:val="hy-AM"/>
        </w:rPr>
        <w:t xml:space="preserve"> </w:t>
      </w:r>
      <w:r w:rsidR="002C0A36" w:rsidRPr="002C0A36">
        <w:rPr>
          <w:b/>
          <w:sz w:val="20"/>
          <w:szCs w:val="20"/>
          <w:lang w:val="hy-AM"/>
        </w:rPr>
        <w:t>ՓԲԸ-ի</w:t>
      </w:r>
      <w:r w:rsidR="002C0A36" w:rsidRPr="002C0A36">
        <w:rPr>
          <w:sz w:val="20"/>
          <w:szCs w:val="20"/>
          <w:lang w:val="hy-AM"/>
        </w:rPr>
        <w:t xml:space="preserve"> </w:t>
      </w:r>
      <w:r w:rsidR="002C0A36" w:rsidRPr="002C0A36">
        <w:rPr>
          <w:b/>
          <w:i/>
          <w:sz w:val="20"/>
          <w:szCs w:val="20"/>
          <w:lang w:val="hy-AM"/>
        </w:rPr>
        <w:t>ֆինանսական ցուցանիշները</w:t>
      </w:r>
      <w:bookmarkEnd w:id="280"/>
    </w:p>
    <w:tbl>
      <w:tblPr>
        <w:tblpPr w:leftFromText="180" w:rightFromText="180" w:vertAnchor="text" w:horzAnchor="margin" w:tblpY="454"/>
        <w:tblW w:w="9464" w:type="dxa"/>
        <w:tblLook w:val="04A0" w:firstRow="1" w:lastRow="0" w:firstColumn="1" w:lastColumn="0" w:noHBand="0" w:noVBand="1"/>
      </w:tblPr>
      <w:tblGrid>
        <w:gridCol w:w="3678"/>
        <w:gridCol w:w="1273"/>
        <w:gridCol w:w="1023"/>
        <w:gridCol w:w="1152"/>
        <w:gridCol w:w="2338"/>
      </w:tblGrid>
      <w:tr w:rsidR="002C0A36" w:rsidRPr="002C0A36" w:rsidTr="007E430F">
        <w:trPr>
          <w:trHeight w:val="393"/>
          <w:tblHeader/>
        </w:trPr>
        <w:tc>
          <w:tcPr>
            <w:tcW w:w="3678" w:type="dxa"/>
            <w:tcBorders>
              <w:top w:val="single" w:sz="4" w:space="0" w:color="auto"/>
              <w:left w:val="single" w:sz="12" w:space="0" w:color="auto"/>
              <w:bottom w:val="single" w:sz="4" w:space="0" w:color="auto"/>
              <w:right w:val="single" w:sz="4" w:space="0" w:color="auto"/>
            </w:tcBorders>
            <w:shd w:val="clear" w:color="auto" w:fill="0070C0"/>
            <w:vAlign w:val="center"/>
            <w:hideMark/>
          </w:tcPr>
          <w:p w:rsidR="002C0A36" w:rsidRPr="000573ED" w:rsidRDefault="002C0A36" w:rsidP="007730AA">
            <w:pPr>
              <w:spacing w:before="0" w:line="276" w:lineRule="auto"/>
              <w:ind w:firstLine="0"/>
              <w:contextualSpacing w:val="0"/>
              <w:jc w:val="left"/>
              <w:rPr>
                <w:color w:val="FFFFFF"/>
                <w:sz w:val="18"/>
                <w:szCs w:val="18"/>
                <w:lang w:val="en-US"/>
              </w:rPr>
            </w:pPr>
            <w:r w:rsidRPr="000573ED">
              <w:rPr>
                <w:color w:val="FFFFFF"/>
                <w:sz w:val="18"/>
                <w:szCs w:val="18"/>
              </w:rPr>
              <w:t>Ցուցանիշ</w:t>
            </w:r>
          </w:p>
        </w:tc>
        <w:tc>
          <w:tcPr>
            <w:tcW w:w="1273"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0573ED" w:rsidRDefault="002C0A36" w:rsidP="007730AA">
            <w:pPr>
              <w:spacing w:before="0" w:line="276" w:lineRule="auto"/>
              <w:ind w:firstLine="0"/>
              <w:contextualSpacing w:val="0"/>
              <w:jc w:val="center"/>
              <w:rPr>
                <w:color w:val="FFFFFF"/>
                <w:sz w:val="18"/>
                <w:szCs w:val="18"/>
                <w:lang w:val="en-US"/>
              </w:rPr>
            </w:pPr>
            <w:r w:rsidRPr="000573ED">
              <w:rPr>
                <w:color w:val="FFFFFF"/>
                <w:sz w:val="18"/>
                <w:szCs w:val="18"/>
                <w:lang w:val="en-US"/>
              </w:rPr>
              <w:t>201</w:t>
            </w:r>
            <w:r w:rsidRPr="000573ED">
              <w:rPr>
                <w:color w:val="FFFFFF"/>
                <w:sz w:val="18"/>
                <w:szCs w:val="18"/>
                <w:lang w:val="hy-AM"/>
              </w:rPr>
              <w:t>8</w:t>
            </w:r>
            <w:r w:rsidRPr="000573ED">
              <w:rPr>
                <w:color w:val="FFFFFF"/>
                <w:sz w:val="18"/>
                <w:szCs w:val="18"/>
              </w:rPr>
              <w:t>թ</w:t>
            </w:r>
            <w:r w:rsidRPr="000573ED">
              <w:rPr>
                <w:color w:val="FFFFFF"/>
                <w:sz w:val="18"/>
                <w:szCs w:val="18"/>
                <w:lang w:val="en-US"/>
              </w:rPr>
              <w:t>.</w:t>
            </w:r>
          </w:p>
        </w:tc>
        <w:tc>
          <w:tcPr>
            <w:tcW w:w="1023" w:type="dxa"/>
            <w:tcBorders>
              <w:top w:val="single" w:sz="4" w:space="0" w:color="auto"/>
              <w:left w:val="single" w:sz="4" w:space="0" w:color="auto"/>
              <w:bottom w:val="single" w:sz="4" w:space="0" w:color="auto"/>
              <w:right w:val="single" w:sz="4" w:space="0" w:color="auto"/>
            </w:tcBorders>
            <w:shd w:val="clear" w:color="auto" w:fill="0070C0"/>
            <w:vAlign w:val="center"/>
          </w:tcPr>
          <w:p w:rsidR="002C0A36" w:rsidRPr="000573ED" w:rsidRDefault="002C0A36" w:rsidP="007730AA">
            <w:pPr>
              <w:spacing w:before="0" w:line="276" w:lineRule="auto"/>
              <w:ind w:firstLine="0"/>
              <w:contextualSpacing w:val="0"/>
              <w:jc w:val="center"/>
              <w:rPr>
                <w:color w:val="FFFFFF"/>
                <w:sz w:val="18"/>
                <w:szCs w:val="18"/>
                <w:lang w:val="en-US"/>
              </w:rPr>
            </w:pPr>
            <w:r w:rsidRPr="000573ED">
              <w:rPr>
                <w:color w:val="FFFFFF"/>
                <w:sz w:val="18"/>
                <w:szCs w:val="18"/>
                <w:lang w:val="en-US"/>
              </w:rPr>
              <w:t>201</w:t>
            </w:r>
            <w:r w:rsidRPr="000573ED">
              <w:rPr>
                <w:color w:val="FFFFFF"/>
                <w:sz w:val="18"/>
                <w:szCs w:val="18"/>
                <w:lang w:val="hy-AM"/>
              </w:rPr>
              <w:t>9</w:t>
            </w:r>
            <w:r w:rsidRPr="000573ED">
              <w:rPr>
                <w:color w:val="FFFFFF"/>
                <w:sz w:val="18"/>
                <w:szCs w:val="18"/>
              </w:rPr>
              <w:t>թ</w:t>
            </w:r>
            <w:r w:rsidRPr="000573ED">
              <w:rPr>
                <w:color w:val="FFFFFF"/>
                <w:sz w:val="18"/>
                <w:szCs w:val="18"/>
                <w:lang w:val="en-US"/>
              </w:rPr>
              <w:t>.</w:t>
            </w:r>
          </w:p>
        </w:tc>
        <w:tc>
          <w:tcPr>
            <w:tcW w:w="1152" w:type="dxa"/>
            <w:tcBorders>
              <w:top w:val="single" w:sz="4" w:space="0" w:color="auto"/>
              <w:left w:val="single" w:sz="4" w:space="0" w:color="auto"/>
              <w:bottom w:val="single" w:sz="4" w:space="0" w:color="auto"/>
              <w:right w:val="single" w:sz="4" w:space="0" w:color="auto"/>
            </w:tcBorders>
            <w:shd w:val="clear" w:color="auto" w:fill="0070C0"/>
            <w:vAlign w:val="center"/>
          </w:tcPr>
          <w:p w:rsidR="002C0A36" w:rsidRPr="000573ED" w:rsidRDefault="002C0A36" w:rsidP="007730AA">
            <w:pPr>
              <w:spacing w:before="0" w:line="276" w:lineRule="auto"/>
              <w:ind w:firstLine="0"/>
              <w:contextualSpacing w:val="0"/>
              <w:jc w:val="center"/>
              <w:rPr>
                <w:color w:val="FFFFFF"/>
                <w:sz w:val="18"/>
                <w:szCs w:val="18"/>
                <w:lang w:val="en-US"/>
              </w:rPr>
            </w:pPr>
            <w:r w:rsidRPr="000573ED">
              <w:rPr>
                <w:color w:val="FFFFFF"/>
                <w:sz w:val="18"/>
                <w:szCs w:val="18"/>
                <w:lang w:val="en-US"/>
              </w:rPr>
              <w:t>2020</w:t>
            </w:r>
            <w:r w:rsidRPr="000573ED">
              <w:rPr>
                <w:color w:val="FFFFFF"/>
                <w:sz w:val="18"/>
                <w:szCs w:val="18"/>
              </w:rPr>
              <w:t>թ</w:t>
            </w:r>
            <w:r w:rsidRPr="000573ED">
              <w:rPr>
                <w:color w:val="FFFFFF"/>
                <w:sz w:val="18"/>
                <w:szCs w:val="18"/>
                <w:lang w:val="en-US"/>
              </w:rPr>
              <w:t xml:space="preserve">. </w:t>
            </w:r>
            <w:r w:rsidRPr="000573ED">
              <w:rPr>
                <w:color w:val="FFFFFF"/>
                <w:sz w:val="18"/>
                <w:szCs w:val="18"/>
                <w:lang w:val="en-US"/>
              </w:rPr>
              <w:br/>
              <w:t>1-</w:t>
            </w:r>
            <w:r w:rsidRPr="000573ED">
              <w:rPr>
                <w:color w:val="FFFFFF"/>
                <w:sz w:val="18"/>
                <w:szCs w:val="18"/>
              </w:rPr>
              <w:t>ին</w:t>
            </w:r>
            <w:r w:rsidRPr="000573ED">
              <w:rPr>
                <w:color w:val="FFFFFF"/>
                <w:sz w:val="18"/>
                <w:szCs w:val="18"/>
                <w:lang w:val="en-US"/>
              </w:rPr>
              <w:t xml:space="preserve"> </w:t>
            </w:r>
            <w:r w:rsidRPr="000573ED">
              <w:rPr>
                <w:color w:val="FFFFFF"/>
                <w:sz w:val="18"/>
                <w:szCs w:val="18"/>
              </w:rPr>
              <w:t>կիսամյակ</w:t>
            </w:r>
          </w:p>
        </w:tc>
        <w:tc>
          <w:tcPr>
            <w:tcW w:w="2338" w:type="dxa"/>
            <w:tcBorders>
              <w:top w:val="single" w:sz="4" w:space="0" w:color="auto"/>
              <w:left w:val="single" w:sz="4" w:space="0" w:color="auto"/>
              <w:bottom w:val="single" w:sz="4" w:space="0" w:color="auto"/>
              <w:right w:val="single" w:sz="12" w:space="0" w:color="auto"/>
            </w:tcBorders>
            <w:shd w:val="clear" w:color="auto" w:fill="0070C0"/>
            <w:vAlign w:val="center"/>
            <w:hideMark/>
          </w:tcPr>
          <w:p w:rsidR="002C0A36" w:rsidRPr="000573ED" w:rsidRDefault="002C0A36" w:rsidP="007730AA">
            <w:pPr>
              <w:spacing w:before="0" w:line="276" w:lineRule="auto"/>
              <w:ind w:firstLine="0"/>
              <w:contextualSpacing w:val="0"/>
              <w:jc w:val="center"/>
              <w:rPr>
                <w:color w:val="FFFFFF"/>
                <w:sz w:val="18"/>
                <w:szCs w:val="18"/>
                <w:lang w:val="en-US"/>
              </w:rPr>
            </w:pPr>
            <w:r w:rsidRPr="000573ED">
              <w:rPr>
                <w:color w:val="FFFFFF"/>
                <w:sz w:val="18"/>
                <w:szCs w:val="18"/>
              </w:rPr>
              <w:t>Թույլատրելի</w:t>
            </w:r>
            <w:r w:rsidRPr="000573ED">
              <w:rPr>
                <w:color w:val="FFFFFF"/>
                <w:sz w:val="18"/>
                <w:szCs w:val="18"/>
                <w:lang w:val="en-US"/>
              </w:rPr>
              <w:t xml:space="preserve"> </w:t>
            </w:r>
            <w:r w:rsidRPr="000573ED">
              <w:rPr>
                <w:color w:val="FFFFFF"/>
                <w:sz w:val="18"/>
                <w:szCs w:val="18"/>
              </w:rPr>
              <w:t>սահմանային</w:t>
            </w:r>
            <w:r w:rsidRPr="000573ED">
              <w:rPr>
                <w:color w:val="FFFFFF"/>
                <w:sz w:val="18"/>
                <w:szCs w:val="18"/>
                <w:lang w:val="en-US"/>
              </w:rPr>
              <w:t xml:space="preserve"> </w:t>
            </w:r>
            <w:r w:rsidRPr="000573ED">
              <w:rPr>
                <w:color w:val="FFFFFF"/>
                <w:sz w:val="18"/>
                <w:szCs w:val="18"/>
              </w:rPr>
              <w:t>նորմա</w:t>
            </w:r>
          </w:p>
        </w:tc>
      </w:tr>
      <w:tr w:rsidR="002C0A36" w:rsidRPr="002C0A36" w:rsidTr="007E430F">
        <w:trPr>
          <w:trHeight w:val="578"/>
        </w:trPr>
        <w:tc>
          <w:tcPr>
            <w:tcW w:w="3678"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lang w:val="en-US"/>
              </w:rPr>
            </w:pPr>
            <w:r w:rsidRPr="002C0A36">
              <w:rPr>
                <w:b w:val="0"/>
                <w:sz w:val="18"/>
                <w:szCs w:val="18"/>
              </w:rPr>
              <w:t>Ծախսերի</w:t>
            </w:r>
            <w:r w:rsidRPr="002C0A36">
              <w:rPr>
                <w:b w:val="0"/>
                <w:sz w:val="18"/>
                <w:szCs w:val="18"/>
                <w:lang w:val="en-US"/>
              </w:rPr>
              <w:t xml:space="preserve"> </w:t>
            </w:r>
            <w:r w:rsidRPr="002C0A36">
              <w:rPr>
                <w:b w:val="0"/>
                <w:sz w:val="18"/>
                <w:szCs w:val="18"/>
              </w:rPr>
              <w:t>վերականգնման</w:t>
            </w:r>
            <w:r w:rsidRPr="002C0A36">
              <w:rPr>
                <w:b w:val="0"/>
                <w:sz w:val="18"/>
                <w:szCs w:val="18"/>
                <w:lang w:val="en-US"/>
              </w:rPr>
              <w:t xml:space="preserve"> </w:t>
            </w:r>
            <w:r w:rsidRPr="002C0A36">
              <w:rPr>
                <w:b w:val="0"/>
                <w:sz w:val="18"/>
                <w:szCs w:val="18"/>
              </w:rPr>
              <w:t>գործակից</w:t>
            </w:r>
          </w:p>
        </w:tc>
        <w:tc>
          <w:tcPr>
            <w:tcW w:w="12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1.0</w:t>
            </w:r>
          </w:p>
        </w:tc>
        <w:tc>
          <w:tcPr>
            <w:tcW w:w="10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1.1</w:t>
            </w:r>
          </w:p>
        </w:tc>
        <w:tc>
          <w:tcPr>
            <w:tcW w:w="11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sz w:val="18"/>
                <w:szCs w:val="18"/>
                <w:lang w:val="en-US"/>
              </w:rPr>
              <w:t>1.1</w:t>
            </w:r>
          </w:p>
        </w:tc>
        <w:tc>
          <w:tcPr>
            <w:tcW w:w="2338"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Առնվազն</w:t>
            </w:r>
            <w:r w:rsidRPr="002C0A36">
              <w:rPr>
                <w:b w:val="0"/>
                <w:sz w:val="18"/>
                <w:szCs w:val="18"/>
                <w:lang w:val="en-US"/>
              </w:rPr>
              <w:t xml:space="preserve"> </w:t>
            </w:r>
            <w:r w:rsidRPr="002C0A36">
              <w:rPr>
                <w:b w:val="0"/>
                <w:sz w:val="18"/>
                <w:szCs w:val="18"/>
              </w:rPr>
              <w:t>1</w:t>
            </w:r>
          </w:p>
        </w:tc>
      </w:tr>
      <w:tr w:rsidR="002C0A36" w:rsidRPr="002C0A36" w:rsidTr="007E430F">
        <w:trPr>
          <w:trHeight w:val="471"/>
        </w:trPr>
        <w:tc>
          <w:tcPr>
            <w:tcW w:w="3678"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Զուտ շահույթի մարժա    (%)</w:t>
            </w:r>
          </w:p>
        </w:tc>
        <w:tc>
          <w:tcPr>
            <w:tcW w:w="127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2.6</w:t>
            </w:r>
          </w:p>
        </w:tc>
        <w:tc>
          <w:tcPr>
            <w:tcW w:w="102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4.5</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sz w:val="18"/>
                <w:szCs w:val="18"/>
              </w:rPr>
              <w:t>1</w:t>
            </w:r>
            <w:r w:rsidRPr="002C0A36">
              <w:rPr>
                <w:b w:val="0"/>
                <w:sz w:val="18"/>
                <w:szCs w:val="18"/>
                <w:lang w:val="en-US"/>
              </w:rPr>
              <w:t>4.5</w:t>
            </w:r>
          </w:p>
        </w:tc>
        <w:tc>
          <w:tcPr>
            <w:tcW w:w="2338" w:type="dxa"/>
            <w:tcBorders>
              <w:top w:val="single" w:sz="4" w:space="0" w:color="auto"/>
              <w:left w:val="single" w:sz="4" w:space="0" w:color="auto"/>
              <w:bottom w:val="single" w:sz="4" w:space="0" w:color="auto"/>
              <w:right w:val="single" w:sz="12" w:space="0" w:color="auto"/>
            </w:tcBorders>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Առնվազն 8%</w:t>
            </w:r>
          </w:p>
        </w:tc>
      </w:tr>
      <w:tr w:rsidR="002C0A36" w:rsidRPr="002C0A36" w:rsidTr="007E430F">
        <w:trPr>
          <w:trHeight w:val="407"/>
        </w:trPr>
        <w:tc>
          <w:tcPr>
            <w:tcW w:w="3678"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Արագ իրացվելիության գործակից</w:t>
            </w:r>
          </w:p>
        </w:tc>
        <w:tc>
          <w:tcPr>
            <w:tcW w:w="12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2.1</w:t>
            </w:r>
          </w:p>
        </w:tc>
        <w:tc>
          <w:tcPr>
            <w:tcW w:w="10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2.6</w:t>
            </w:r>
          </w:p>
        </w:tc>
        <w:tc>
          <w:tcPr>
            <w:tcW w:w="11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3.3</w:t>
            </w:r>
          </w:p>
        </w:tc>
        <w:tc>
          <w:tcPr>
            <w:tcW w:w="2338"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Առնվազն 1</w:t>
            </w:r>
          </w:p>
        </w:tc>
      </w:tr>
      <w:tr w:rsidR="002C0A36" w:rsidRPr="002C0A36" w:rsidTr="007E430F">
        <w:trPr>
          <w:trHeight w:val="227"/>
        </w:trPr>
        <w:tc>
          <w:tcPr>
            <w:tcW w:w="3678"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left"/>
              <w:rPr>
                <w:b w:val="0"/>
                <w:sz w:val="18"/>
                <w:szCs w:val="18"/>
                <w:lang w:val="hy-AM"/>
              </w:rPr>
            </w:pPr>
            <w:r w:rsidRPr="002C0A36">
              <w:rPr>
                <w:b w:val="0"/>
                <w:sz w:val="18"/>
                <w:szCs w:val="18"/>
                <w:lang w:val="hy-AM"/>
              </w:rPr>
              <w:t>Դեբիտորական պարտքերի շրջանառություն</w:t>
            </w:r>
            <w:r w:rsidRPr="002C0A36">
              <w:rPr>
                <w:b w:val="0"/>
                <w:sz w:val="18"/>
                <w:szCs w:val="18"/>
              </w:rPr>
              <w:t xml:space="preserve"> (օր)</w:t>
            </w:r>
          </w:p>
        </w:tc>
        <w:tc>
          <w:tcPr>
            <w:tcW w:w="127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13</w:t>
            </w:r>
            <w:r w:rsidRPr="002C0A36">
              <w:rPr>
                <w:b w:val="0"/>
                <w:bCs/>
                <w:color w:val="000000"/>
                <w:sz w:val="18"/>
                <w:szCs w:val="18"/>
              </w:rPr>
              <w:t>.</w:t>
            </w:r>
            <w:r w:rsidRPr="002C0A36">
              <w:rPr>
                <w:b w:val="0"/>
                <w:bCs/>
                <w:color w:val="000000"/>
                <w:sz w:val="18"/>
                <w:szCs w:val="18"/>
                <w:lang w:val="en-US"/>
              </w:rPr>
              <w:t>1</w:t>
            </w:r>
          </w:p>
        </w:tc>
        <w:tc>
          <w:tcPr>
            <w:tcW w:w="102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23</w:t>
            </w:r>
            <w:r w:rsidRPr="002C0A36">
              <w:rPr>
                <w:b w:val="0"/>
                <w:bCs/>
                <w:color w:val="000000"/>
                <w:sz w:val="18"/>
                <w:szCs w:val="18"/>
              </w:rPr>
              <w:t>.</w:t>
            </w:r>
            <w:r w:rsidRPr="002C0A36">
              <w:rPr>
                <w:b w:val="0"/>
                <w:bCs/>
                <w:color w:val="000000"/>
                <w:sz w:val="18"/>
                <w:szCs w:val="18"/>
                <w:lang w:val="en-US"/>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15</w:t>
            </w:r>
            <w:r w:rsidRPr="002C0A36">
              <w:rPr>
                <w:b w:val="0"/>
                <w:bCs/>
                <w:color w:val="000000"/>
                <w:sz w:val="18"/>
                <w:szCs w:val="18"/>
              </w:rPr>
              <w:t>.</w:t>
            </w:r>
            <w:r w:rsidRPr="002C0A36">
              <w:rPr>
                <w:b w:val="0"/>
                <w:bCs/>
                <w:color w:val="000000"/>
                <w:sz w:val="18"/>
                <w:szCs w:val="18"/>
                <w:lang w:val="en-US"/>
              </w:rPr>
              <w:t>4</w:t>
            </w:r>
          </w:p>
        </w:tc>
        <w:tc>
          <w:tcPr>
            <w:tcW w:w="2338" w:type="dxa"/>
            <w:tcBorders>
              <w:top w:val="single" w:sz="4" w:space="0" w:color="auto"/>
              <w:left w:val="single" w:sz="4" w:space="0" w:color="auto"/>
              <w:bottom w:val="single" w:sz="4" w:space="0" w:color="auto"/>
              <w:right w:val="single" w:sz="12" w:space="0" w:color="auto"/>
            </w:tcBorders>
            <w:vAlign w:val="center"/>
            <w:hideMark/>
          </w:tcPr>
          <w:p w:rsidR="002C0A36" w:rsidRPr="002C0A36" w:rsidRDefault="002C0A36" w:rsidP="007730AA">
            <w:pPr>
              <w:spacing w:before="0" w:line="276" w:lineRule="auto"/>
              <w:ind w:firstLine="0"/>
              <w:contextualSpacing w:val="0"/>
              <w:jc w:val="left"/>
              <w:rPr>
                <w:b w:val="0"/>
                <w:sz w:val="18"/>
                <w:szCs w:val="18"/>
              </w:rPr>
            </w:pPr>
            <w:r w:rsidRPr="002C0A36">
              <w:rPr>
                <w:rFonts w:eastAsia="Calibri" w:cs="Arial"/>
                <w:b w:val="0"/>
                <w:sz w:val="18"/>
                <w:szCs w:val="18"/>
              </w:rPr>
              <w:t>Առավելագույնը</w:t>
            </w:r>
            <w:r w:rsidRPr="002C0A36">
              <w:rPr>
                <w:rFonts w:eastAsia="Calibri"/>
                <w:b w:val="0"/>
                <w:sz w:val="18"/>
                <w:szCs w:val="18"/>
              </w:rPr>
              <w:t xml:space="preserve"> 60/30 </w:t>
            </w:r>
            <w:r w:rsidRPr="002C0A36">
              <w:rPr>
                <w:rFonts w:eastAsia="Calibri" w:cs="Arial"/>
                <w:b w:val="0"/>
                <w:sz w:val="18"/>
                <w:szCs w:val="18"/>
              </w:rPr>
              <w:t>օր</w:t>
            </w:r>
          </w:p>
        </w:tc>
      </w:tr>
      <w:tr w:rsidR="002C0A36" w:rsidRPr="002C0A36" w:rsidTr="007E430F">
        <w:trPr>
          <w:trHeight w:val="438"/>
        </w:trPr>
        <w:tc>
          <w:tcPr>
            <w:tcW w:w="3678"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Պարտքի սպասարկման գործակից</w:t>
            </w:r>
          </w:p>
        </w:tc>
        <w:tc>
          <w:tcPr>
            <w:tcW w:w="12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rPr>
              <w:t>0.</w:t>
            </w:r>
            <w:r w:rsidRPr="002C0A36">
              <w:rPr>
                <w:b w:val="0"/>
                <w:bCs/>
                <w:color w:val="000000"/>
                <w:sz w:val="18"/>
                <w:szCs w:val="18"/>
                <w:lang w:val="en-US"/>
              </w:rPr>
              <w:t>0</w:t>
            </w:r>
          </w:p>
        </w:tc>
        <w:tc>
          <w:tcPr>
            <w:tcW w:w="10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rPr>
              <w:t>0.</w:t>
            </w:r>
            <w:r w:rsidRPr="002C0A36">
              <w:rPr>
                <w:b w:val="0"/>
                <w:bCs/>
                <w:color w:val="000000"/>
                <w:sz w:val="18"/>
                <w:szCs w:val="18"/>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color w:val="000000"/>
                <w:sz w:val="18"/>
                <w:szCs w:val="18"/>
                <w:lang w:val="en-US"/>
              </w:rPr>
            </w:pPr>
            <w:r w:rsidRPr="002C0A36">
              <w:rPr>
                <w:b w:val="0"/>
                <w:sz w:val="18"/>
                <w:szCs w:val="18"/>
              </w:rPr>
              <w:t>0.</w:t>
            </w:r>
            <w:r w:rsidRPr="002C0A36">
              <w:rPr>
                <w:b w:val="0"/>
                <w:sz w:val="18"/>
                <w:szCs w:val="18"/>
                <w:lang w:val="en-US"/>
              </w:rPr>
              <w:t>0</w:t>
            </w:r>
          </w:p>
        </w:tc>
        <w:tc>
          <w:tcPr>
            <w:tcW w:w="2338"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Առավելագույնը 0.5</w:t>
            </w:r>
          </w:p>
        </w:tc>
      </w:tr>
      <w:tr w:rsidR="002C0A36" w:rsidRPr="002C0A36" w:rsidTr="007E430F">
        <w:trPr>
          <w:trHeight w:val="305"/>
        </w:trPr>
        <w:tc>
          <w:tcPr>
            <w:tcW w:w="3678"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Վերաֆինանսավորման գործակից</w:t>
            </w:r>
          </w:p>
        </w:tc>
        <w:tc>
          <w:tcPr>
            <w:tcW w:w="127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1.4</w:t>
            </w:r>
          </w:p>
        </w:tc>
        <w:tc>
          <w:tcPr>
            <w:tcW w:w="102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1.0</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1.0</w:t>
            </w:r>
          </w:p>
        </w:tc>
        <w:tc>
          <w:tcPr>
            <w:tcW w:w="2338" w:type="dxa"/>
            <w:tcBorders>
              <w:top w:val="single" w:sz="4" w:space="0" w:color="auto"/>
              <w:left w:val="single" w:sz="4" w:space="0" w:color="auto"/>
              <w:bottom w:val="single" w:sz="4" w:space="0" w:color="auto"/>
              <w:right w:val="single" w:sz="12" w:space="0" w:color="auto"/>
            </w:tcBorders>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Առավելագույնը 1</w:t>
            </w:r>
          </w:p>
        </w:tc>
      </w:tr>
      <w:tr w:rsidR="002C0A36" w:rsidRPr="00130243" w:rsidTr="007E430F">
        <w:trPr>
          <w:trHeight w:val="936"/>
        </w:trPr>
        <w:tc>
          <w:tcPr>
            <w:tcW w:w="3678" w:type="dxa"/>
            <w:tcBorders>
              <w:top w:val="single" w:sz="4" w:space="0" w:color="auto"/>
              <w:left w:val="single" w:sz="12" w:space="0" w:color="auto"/>
              <w:bottom w:val="single" w:sz="12"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rPr>
            </w:pPr>
            <w:r w:rsidRPr="002C0A36">
              <w:rPr>
                <w:b w:val="0"/>
                <w:sz w:val="18"/>
                <w:szCs w:val="18"/>
              </w:rPr>
              <w:t>Z- միավոր</w:t>
            </w:r>
          </w:p>
        </w:tc>
        <w:tc>
          <w:tcPr>
            <w:tcW w:w="1273"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18.8</w:t>
            </w:r>
          </w:p>
        </w:tc>
        <w:tc>
          <w:tcPr>
            <w:tcW w:w="1023"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lang w:val="en-US"/>
              </w:rPr>
              <w:t>17.8</w:t>
            </w:r>
          </w:p>
        </w:tc>
        <w:tc>
          <w:tcPr>
            <w:tcW w:w="1152"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76" w:lineRule="auto"/>
              <w:ind w:firstLine="0"/>
              <w:contextualSpacing w:val="0"/>
              <w:jc w:val="center"/>
              <w:rPr>
                <w:b w:val="0"/>
                <w:bCs/>
                <w:color w:val="000000"/>
                <w:sz w:val="18"/>
                <w:szCs w:val="18"/>
                <w:lang w:val="en-US"/>
              </w:rPr>
            </w:pPr>
            <w:r w:rsidRPr="002C0A36">
              <w:rPr>
                <w:b w:val="0"/>
                <w:bCs/>
                <w:color w:val="000000"/>
                <w:sz w:val="18"/>
                <w:szCs w:val="18"/>
              </w:rPr>
              <w:t>1</w:t>
            </w:r>
            <w:r w:rsidRPr="002C0A36">
              <w:rPr>
                <w:b w:val="0"/>
                <w:bCs/>
                <w:color w:val="000000"/>
                <w:sz w:val="18"/>
                <w:szCs w:val="18"/>
                <w:lang w:val="en-US"/>
              </w:rPr>
              <w:t>9.0</w:t>
            </w:r>
          </w:p>
        </w:tc>
        <w:tc>
          <w:tcPr>
            <w:tcW w:w="2338" w:type="dxa"/>
            <w:tcBorders>
              <w:top w:val="single" w:sz="4" w:space="0" w:color="auto"/>
              <w:left w:val="single" w:sz="4" w:space="0" w:color="auto"/>
              <w:bottom w:val="single" w:sz="12" w:space="0" w:color="auto"/>
              <w:right w:val="single" w:sz="12"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lang w:val="hy-AM"/>
              </w:rPr>
            </w:pPr>
            <w:r w:rsidRPr="002C0A36">
              <w:rPr>
                <w:b w:val="0"/>
                <w:sz w:val="18"/>
                <w:szCs w:val="18"/>
                <w:lang w:val="hy-AM"/>
              </w:rPr>
              <w:t>Ապահով գոտի Z&gt;2.6, Գորշ գոտի 1.1&lt;Z&lt;2.6, Ծանր գոտի Z&lt;1.1</w:t>
            </w:r>
          </w:p>
        </w:tc>
      </w:tr>
    </w:tbl>
    <w:p w:rsidR="002C0A36" w:rsidRPr="002C0A36" w:rsidRDefault="002C0A36" w:rsidP="007730AA">
      <w:pPr>
        <w:spacing w:before="0" w:line="276" w:lineRule="auto"/>
        <w:ind w:firstLine="0"/>
        <w:contextualSpacing w:val="0"/>
        <w:rPr>
          <w:b w:val="0"/>
          <w:i/>
          <w:sz w:val="20"/>
          <w:szCs w:val="20"/>
          <w:lang w:val="en-US"/>
        </w:rPr>
      </w:pPr>
    </w:p>
    <w:bookmarkEnd w:id="279"/>
    <w:p w:rsidR="002C0A36" w:rsidRPr="002C0A36" w:rsidRDefault="002C0A36" w:rsidP="007730AA">
      <w:pPr>
        <w:shd w:val="clear" w:color="auto" w:fill="FFFFFF"/>
        <w:spacing w:before="0" w:line="276" w:lineRule="auto"/>
        <w:contextualSpacing w:val="0"/>
        <w:rPr>
          <w:b w:val="0"/>
          <w:szCs w:val="22"/>
          <w:lang w:val="en-US"/>
        </w:rPr>
      </w:pPr>
      <w:r w:rsidRPr="002C0A36">
        <w:rPr>
          <w:b w:val="0"/>
          <w:szCs w:val="22"/>
        </w:rPr>
        <w:t>Ինչպես</w:t>
      </w:r>
      <w:r w:rsidRPr="002C0A36">
        <w:rPr>
          <w:b w:val="0"/>
          <w:szCs w:val="22"/>
          <w:lang w:val="en-US"/>
        </w:rPr>
        <w:t xml:space="preserve"> </w:t>
      </w:r>
      <w:r w:rsidRPr="002C0A36">
        <w:rPr>
          <w:b w:val="0"/>
          <w:szCs w:val="22"/>
        </w:rPr>
        <w:t>երևում</w:t>
      </w:r>
      <w:r w:rsidRPr="002C0A36">
        <w:rPr>
          <w:b w:val="0"/>
          <w:szCs w:val="22"/>
          <w:lang w:val="en-US"/>
        </w:rPr>
        <w:t xml:space="preserve"> </w:t>
      </w:r>
      <w:r w:rsidRPr="002C0A36">
        <w:rPr>
          <w:b w:val="0"/>
          <w:szCs w:val="22"/>
        </w:rPr>
        <w:t>է</w:t>
      </w:r>
      <w:r w:rsidRPr="002C0A36">
        <w:rPr>
          <w:b w:val="0"/>
          <w:szCs w:val="22"/>
          <w:lang w:val="en-US"/>
        </w:rPr>
        <w:t xml:space="preserve"> </w:t>
      </w:r>
      <w:r w:rsidRPr="002C0A36">
        <w:rPr>
          <w:b w:val="0"/>
          <w:szCs w:val="22"/>
        </w:rPr>
        <w:t>աղյուսակից</w:t>
      </w:r>
      <w:r w:rsidRPr="002C0A36">
        <w:rPr>
          <w:b w:val="0"/>
          <w:szCs w:val="22"/>
          <w:lang w:val="en-US"/>
        </w:rPr>
        <w:t xml:space="preserve">, </w:t>
      </w:r>
      <w:r w:rsidRPr="002C0A36">
        <w:rPr>
          <w:b w:val="0"/>
          <w:szCs w:val="22"/>
        </w:rPr>
        <w:t>հաշվետու</w:t>
      </w:r>
      <w:r w:rsidRPr="002C0A36">
        <w:rPr>
          <w:b w:val="0"/>
          <w:szCs w:val="22"/>
          <w:lang w:val="en-US"/>
        </w:rPr>
        <w:t xml:space="preserve"> </w:t>
      </w:r>
      <w:r w:rsidRPr="002C0A36">
        <w:rPr>
          <w:b w:val="0"/>
          <w:szCs w:val="22"/>
        </w:rPr>
        <w:t>և</w:t>
      </w:r>
      <w:r w:rsidRPr="002C0A36">
        <w:rPr>
          <w:b w:val="0"/>
          <w:szCs w:val="22"/>
          <w:lang w:val="en-US"/>
        </w:rPr>
        <w:t xml:space="preserve"> </w:t>
      </w:r>
      <w:r w:rsidRPr="002C0A36">
        <w:rPr>
          <w:b w:val="0"/>
          <w:szCs w:val="22"/>
        </w:rPr>
        <w:t>միջանկյալ</w:t>
      </w:r>
      <w:r w:rsidRPr="002C0A36">
        <w:rPr>
          <w:b w:val="0"/>
          <w:szCs w:val="22"/>
          <w:lang w:val="en-US"/>
        </w:rPr>
        <w:t xml:space="preserve"> </w:t>
      </w:r>
      <w:r w:rsidRPr="002C0A36">
        <w:rPr>
          <w:b w:val="0"/>
          <w:szCs w:val="22"/>
        </w:rPr>
        <w:t>ժամանակաշրջաններում</w:t>
      </w:r>
      <w:r w:rsidRPr="002C0A36">
        <w:rPr>
          <w:b w:val="0"/>
          <w:szCs w:val="22"/>
          <w:lang w:val="en-US"/>
        </w:rPr>
        <w:t xml:space="preserve"> </w:t>
      </w:r>
      <w:r w:rsidRPr="002C0A36">
        <w:rPr>
          <w:b w:val="0"/>
          <w:szCs w:val="22"/>
        </w:rPr>
        <w:t>սնանկացման</w:t>
      </w:r>
      <w:r w:rsidRPr="002C0A36">
        <w:rPr>
          <w:b w:val="0"/>
          <w:szCs w:val="22"/>
          <w:lang w:val="en-US"/>
        </w:rPr>
        <w:t xml:space="preserve"> </w:t>
      </w:r>
      <w:r w:rsidRPr="002C0A36">
        <w:rPr>
          <w:b w:val="0"/>
          <w:szCs w:val="22"/>
        </w:rPr>
        <w:t>կանխատեսման</w:t>
      </w:r>
      <w:r w:rsidRPr="002C0A36">
        <w:rPr>
          <w:b w:val="0"/>
          <w:szCs w:val="22"/>
          <w:lang w:val="en-US"/>
        </w:rPr>
        <w:t xml:space="preserve"> </w:t>
      </w:r>
      <w:r w:rsidRPr="002C0A36">
        <w:rPr>
          <w:b w:val="0"/>
          <w:szCs w:val="22"/>
        </w:rPr>
        <w:t>Ալթմանի</w:t>
      </w:r>
      <w:r w:rsidRPr="002C0A36">
        <w:rPr>
          <w:b w:val="0"/>
          <w:szCs w:val="22"/>
          <w:lang w:val="en-US"/>
        </w:rPr>
        <w:t xml:space="preserve"> Z-</w:t>
      </w:r>
      <w:r w:rsidRPr="002C0A36">
        <w:rPr>
          <w:b w:val="0"/>
          <w:szCs w:val="22"/>
        </w:rPr>
        <w:t>միավորը</w:t>
      </w:r>
      <w:r w:rsidRPr="002C0A36">
        <w:rPr>
          <w:b w:val="0"/>
          <w:szCs w:val="22"/>
          <w:lang w:val="en-US"/>
        </w:rPr>
        <w:t xml:space="preserve"> </w:t>
      </w:r>
      <w:r w:rsidRPr="002C0A36">
        <w:rPr>
          <w:b w:val="0"/>
          <w:szCs w:val="22"/>
        </w:rPr>
        <w:t>վկայում</w:t>
      </w:r>
      <w:r w:rsidRPr="002C0A36">
        <w:rPr>
          <w:b w:val="0"/>
          <w:szCs w:val="22"/>
          <w:lang w:val="en-US"/>
        </w:rPr>
        <w:t xml:space="preserve"> </w:t>
      </w:r>
      <w:r w:rsidRPr="002C0A36">
        <w:rPr>
          <w:b w:val="0"/>
          <w:szCs w:val="22"/>
        </w:rPr>
        <w:t>է</w:t>
      </w:r>
      <w:r w:rsidRPr="002C0A36">
        <w:rPr>
          <w:b w:val="0"/>
          <w:szCs w:val="22"/>
          <w:lang w:val="en-US"/>
        </w:rPr>
        <w:t xml:space="preserve"> </w:t>
      </w:r>
      <w:r w:rsidRPr="002C0A36">
        <w:rPr>
          <w:b w:val="0"/>
          <w:szCs w:val="22"/>
        </w:rPr>
        <w:t>Ընկերության</w:t>
      </w:r>
      <w:r w:rsidRPr="002C0A36">
        <w:rPr>
          <w:b w:val="0"/>
          <w:szCs w:val="22"/>
          <w:lang w:val="en-US"/>
        </w:rPr>
        <w:t xml:space="preserve"> </w:t>
      </w:r>
      <w:r w:rsidRPr="002C0A36">
        <w:rPr>
          <w:b w:val="0"/>
          <w:szCs w:val="22"/>
        </w:rPr>
        <w:t>ֆինանսական</w:t>
      </w:r>
      <w:r w:rsidRPr="002C0A36">
        <w:rPr>
          <w:b w:val="0"/>
          <w:szCs w:val="22"/>
          <w:lang w:val="en-US"/>
        </w:rPr>
        <w:t xml:space="preserve"> </w:t>
      </w:r>
      <w:r w:rsidRPr="002C0A36">
        <w:rPr>
          <w:b w:val="0"/>
          <w:szCs w:val="22"/>
        </w:rPr>
        <w:t>ծանր</w:t>
      </w:r>
      <w:r w:rsidRPr="002C0A36">
        <w:rPr>
          <w:b w:val="0"/>
          <w:szCs w:val="22"/>
          <w:lang w:val="en-US"/>
        </w:rPr>
        <w:t xml:space="preserve"> </w:t>
      </w:r>
      <w:r w:rsidRPr="002C0A36">
        <w:rPr>
          <w:b w:val="0"/>
          <w:szCs w:val="22"/>
        </w:rPr>
        <w:t>վիճակի</w:t>
      </w:r>
      <w:r w:rsidRPr="002C0A36">
        <w:rPr>
          <w:b w:val="0"/>
          <w:szCs w:val="22"/>
          <w:lang w:val="en-US"/>
        </w:rPr>
        <w:t xml:space="preserve"> </w:t>
      </w:r>
      <w:r w:rsidRPr="002C0A36">
        <w:rPr>
          <w:b w:val="0"/>
          <w:szCs w:val="22"/>
        </w:rPr>
        <w:t>բավականին</w:t>
      </w:r>
      <w:r w:rsidRPr="002C0A36">
        <w:rPr>
          <w:b w:val="0"/>
          <w:szCs w:val="22"/>
          <w:lang w:val="en-US"/>
        </w:rPr>
        <w:t xml:space="preserve"> </w:t>
      </w:r>
      <w:r w:rsidRPr="002C0A36">
        <w:rPr>
          <w:b w:val="0"/>
          <w:szCs w:val="22"/>
        </w:rPr>
        <w:t>ցածր</w:t>
      </w:r>
      <w:r w:rsidRPr="002C0A36">
        <w:rPr>
          <w:b w:val="0"/>
          <w:szCs w:val="22"/>
          <w:lang w:val="en-US"/>
        </w:rPr>
        <w:t xml:space="preserve"> </w:t>
      </w:r>
      <w:r w:rsidRPr="002C0A36">
        <w:rPr>
          <w:b w:val="0"/>
          <w:szCs w:val="22"/>
        </w:rPr>
        <w:t>հավանականության</w:t>
      </w:r>
      <w:r w:rsidRPr="002C0A36">
        <w:rPr>
          <w:b w:val="0"/>
          <w:szCs w:val="22"/>
          <w:lang w:val="en-US"/>
        </w:rPr>
        <w:t xml:space="preserve"> </w:t>
      </w:r>
      <w:r w:rsidRPr="002C0A36">
        <w:rPr>
          <w:b w:val="0"/>
          <w:szCs w:val="22"/>
        </w:rPr>
        <w:t>մասին</w:t>
      </w:r>
      <w:r w:rsidRPr="002C0A36">
        <w:rPr>
          <w:b w:val="0"/>
          <w:szCs w:val="22"/>
          <w:lang w:val="en-US"/>
        </w:rPr>
        <w:t xml:space="preserve"> (</w:t>
      </w:r>
      <w:r w:rsidRPr="002C0A36">
        <w:rPr>
          <w:b w:val="0"/>
          <w:szCs w:val="22"/>
        </w:rPr>
        <w:t>գործակիցները</w:t>
      </w:r>
      <w:r w:rsidRPr="002C0A36">
        <w:rPr>
          <w:b w:val="0"/>
          <w:szCs w:val="22"/>
          <w:lang w:val="en-US"/>
        </w:rPr>
        <w:t xml:space="preserve"> </w:t>
      </w:r>
      <w:r w:rsidRPr="002C0A36">
        <w:rPr>
          <w:b w:val="0"/>
          <w:szCs w:val="22"/>
        </w:rPr>
        <w:t>համապատասխանաբար՝</w:t>
      </w:r>
      <w:r w:rsidRPr="002C0A36">
        <w:rPr>
          <w:b w:val="0"/>
          <w:szCs w:val="22"/>
          <w:lang w:val="en-US"/>
        </w:rPr>
        <w:t xml:space="preserve"> Z=17.8, Z=19 </w:t>
      </w:r>
      <w:r w:rsidRPr="002C0A36">
        <w:rPr>
          <w:b w:val="0"/>
          <w:szCs w:val="22"/>
        </w:rPr>
        <w:t>գտնվում</w:t>
      </w:r>
      <w:r w:rsidRPr="002C0A36">
        <w:rPr>
          <w:b w:val="0"/>
          <w:szCs w:val="22"/>
          <w:lang w:val="en-US"/>
        </w:rPr>
        <w:t xml:space="preserve"> </w:t>
      </w:r>
      <w:r w:rsidRPr="002C0A36">
        <w:rPr>
          <w:b w:val="0"/>
          <w:szCs w:val="22"/>
        </w:rPr>
        <w:t>են</w:t>
      </w:r>
      <w:r w:rsidRPr="002C0A36">
        <w:rPr>
          <w:b w:val="0"/>
          <w:szCs w:val="22"/>
          <w:lang w:val="en-US"/>
        </w:rPr>
        <w:t xml:space="preserve"> </w:t>
      </w:r>
      <w:r w:rsidRPr="002C0A36">
        <w:rPr>
          <w:b w:val="0"/>
          <w:szCs w:val="22"/>
        </w:rPr>
        <w:t>սահմանված</w:t>
      </w:r>
      <w:r w:rsidRPr="002C0A36">
        <w:rPr>
          <w:b w:val="0"/>
          <w:szCs w:val="22"/>
          <w:lang w:val="en-US"/>
        </w:rPr>
        <w:t xml:space="preserve"> </w:t>
      </w:r>
      <w:r w:rsidRPr="002C0A36">
        <w:rPr>
          <w:b w:val="0"/>
          <w:szCs w:val="22"/>
        </w:rPr>
        <w:t>ապահով</w:t>
      </w:r>
      <w:r w:rsidRPr="002C0A36">
        <w:rPr>
          <w:b w:val="0"/>
          <w:szCs w:val="22"/>
          <w:lang w:val="en-US"/>
        </w:rPr>
        <w:t xml:space="preserve"> </w:t>
      </w:r>
      <w:r w:rsidRPr="002C0A36">
        <w:rPr>
          <w:b w:val="0"/>
          <w:szCs w:val="22"/>
        </w:rPr>
        <w:t>գոտում</w:t>
      </w:r>
      <w:r w:rsidRPr="002C0A36">
        <w:rPr>
          <w:b w:val="0"/>
          <w:szCs w:val="22"/>
          <w:lang w:val="en-US"/>
        </w:rPr>
        <w:t>` Z&gt;2.6):</w:t>
      </w:r>
    </w:p>
    <w:p w:rsidR="002C0A36" w:rsidRPr="002C0A36" w:rsidRDefault="002C0A36" w:rsidP="007730AA">
      <w:pPr>
        <w:shd w:val="clear" w:color="auto" w:fill="FFFFFF"/>
        <w:spacing w:before="0" w:line="276" w:lineRule="auto"/>
        <w:contextualSpacing w:val="0"/>
        <w:rPr>
          <w:b w:val="0"/>
          <w:szCs w:val="22"/>
          <w:lang w:val="en-US"/>
        </w:rPr>
      </w:pPr>
      <w:r w:rsidRPr="002C0A36">
        <w:rPr>
          <w:b w:val="0"/>
          <w:szCs w:val="22"/>
        </w:rPr>
        <w:t>Հաշվետու</w:t>
      </w:r>
      <w:r w:rsidRPr="002C0A36">
        <w:rPr>
          <w:b w:val="0"/>
          <w:szCs w:val="22"/>
          <w:lang w:val="en-US"/>
        </w:rPr>
        <w:t xml:space="preserve"> </w:t>
      </w:r>
      <w:r w:rsidRPr="002C0A36">
        <w:rPr>
          <w:b w:val="0"/>
          <w:szCs w:val="22"/>
        </w:rPr>
        <w:t>ժամանակաշրջանում</w:t>
      </w:r>
      <w:r w:rsidRPr="002C0A36">
        <w:rPr>
          <w:b w:val="0"/>
          <w:szCs w:val="22"/>
          <w:lang w:val="en-US"/>
        </w:rPr>
        <w:t xml:space="preserve"> </w:t>
      </w:r>
      <w:r w:rsidRPr="002C0A36">
        <w:rPr>
          <w:b w:val="0"/>
          <w:szCs w:val="22"/>
        </w:rPr>
        <w:t>ստուգաճշտող</w:t>
      </w:r>
      <w:r w:rsidRPr="002C0A36">
        <w:rPr>
          <w:b w:val="0"/>
          <w:szCs w:val="22"/>
          <w:lang w:val="en-US"/>
        </w:rPr>
        <w:t xml:space="preserve"> </w:t>
      </w:r>
      <w:r w:rsidRPr="002C0A36">
        <w:rPr>
          <w:b w:val="0"/>
          <w:szCs w:val="22"/>
        </w:rPr>
        <w:t>լրացուցիչ</w:t>
      </w:r>
      <w:r w:rsidRPr="002C0A36">
        <w:rPr>
          <w:b w:val="0"/>
          <w:szCs w:val="22"/>
          <w:lang w:val="en-US"/>
        </w:rPr>
        <w:t xml:space="preserve"> </w:t>
      </w:r>
      <w:r w:rsidRPr="002C0A36">
        <w:rPr>
          <w:b w:val="0"/>
          <w:szCs w:val="22"/>
        </w:rPr>
        <w:t>ֆինանսական</w:t>
      </w:r>
      <w:r w:rsidRPr="002C0A36">
        <w:rPr>
          <w:b w:val="0"/>
          <w:szCs w:val="22"/>
          <w:lang w:val="en-US"/>
        </w:rPr>
        <w:t xml:space="preserve"> </w:t>
      </w:r>
      <w:r w:rsidRPr="002C0A36">
        <w:rPr>
          <w:b w:val="0"/>
          <w:szCs w:val="22"/>
        </w:rPr>
        <w:t>վեց</w:t>
      </w:r>
      <w:r w:rsidRPr="002C0A36">
        <w:rPr>
          <w:b w:val="0"/>
          <w:szCs w:val="22"/>
          <w:lang w:val="en-US"/>
        </w:rPr>
        <w:t xml:space="preserve"> </w:t>
      </w:r>
      <w:r w:rsidRPr="002C0A36">
        <w:rPr>
          <w:b w:val="0"/>
          <w:szCs w:val="22"/>
        </w:rPr>
        <w:t>գործակիցներից</w:t>
      </w:r>
      <w:r w:rsidRPr="002C0A36">
        <w:rPr>
          <w:b w:val="0"/>
          <w:szCs w:val="22"/>
          <w:lang w:val="en-US"/>
        </w:rPr>
        <w:t xml:space="preserve"> </w:t>
      </w:r>
      <w:r w:rsidRPr="002C0A36">
        <w:rPr>
          <w:b w:val="0"/>
          <w:szCs w:val="22"/>
        </w:rPr>
        <w:t>մեկը</w:t>
      </w:r>
      <w:r w:rsidRPr="002C0A36">
        <w:rPr>
          <w:b w:val="0"/>
          <w:szCs w:val="22"/>
          <w:lang w:val="en-US"/>
        </w:rPr>
        <w:t xml:space="preserve"> </w:t>
      </w:r>
      <w:r w:rsidRPr="002C0A36">
        <w:rPr>
          <w:b w:val="0"/>
          <w:szCs w:val="22"/>
        </w:rPr>
        <w:t>չի</w:t>
      </w:r>
      <w:r w:rsidRPr="002C0A36">
        <w:rPr>
          <w:b w:val="0"/>
          <w:szCs w:val="22"/>
          <w:lang w:val="en-US"/>
        </w:rPr>
        <w:t xml:space="preserve"> </w:t>
      </w:r>
      <w:r w:rsidRPr="002C0A36">
        <w:rPr>
          <w:b w:val="0"/>
          <w:szCs w:val="22"/>
        </w:rPr>
        <w:t>համապատասխանում</w:t>
      </w:r>
      <w:r w:rsidRPr="002C0A36">
        <w:rPr>
          <w:b w:val="0"/>
          <w:szCs w:val="22"/>
          <w:lang w:val="en-US"/>
        </w:rPr>
        <w:t xml:space="preserve"> </w:t>
      </w:r>
      <w:r w:rsidRPr="002C0A36">
        <w:rPr>
          <w:b w:val="0"/>
          <w:szCs w:val="22"/>
        </w:rPr>
        <w:t>միջազգային</w:t>
      </w:r>
      <w:r w:rsidRPr="002C0A36">
        <w:rPr>
          <w:b w:val="0"/>
          <w:szCs w:val="22"/>
          <w:lang w:val="en-US"/>
        </w:rPr>
        <w:t xml:space="preserve"> </w:t>
      </w:r>
      <w:r w:rsidRPr="002C0A36">
        <w:rPr>
          <w:b w:val="0"/>
          <w:szCs w:val="22"/>
        </w:rPr>
        <w:t>պրակտիկայում</w:t>
      </w:r>
      <w:r w:rsidRPr="002C0A36">
        <w:rPr>
          <w:b w:val="0"/>
          <w:szCs w:val="22"/>
          <w:lang w:val="en-US"/>
        </w:rPr>
        <w:t xml:space="preserve"> </w:t>
      </w:r>
      <w:r w:rsidRPr="002C0A36">
        <w:rPr>
          <w:b w:val="0"/>
          <w:szCs w:val="22"/>
        </w:rPr>
        <w:t>ընդունված</w:t>
      </w:r>
      <w:r w:rsidRPr="002C0A36">
        <w:rPr>
          <w:b w:val="0"/>
          <w:szCs w:val="22"/>
          <w:lang w:val="en-US"/>
        </w:rPr>
        <w:t xml:space="preserve"> </w:t>
      </w:r>
      <w:r w:rsidRPr="002C0A36">
        <w:rPr>
          <w:b w:val="0"/>
          <w:szCs w:val="22"/>
        </w:rPr>
        <w:t>թույլատրելի</w:t>
      </w:r>
      <w:r w:rsidRPr="002C0A36">
        <w:rPr>
          <w:b w:val="0"/>
          <w:szCs w:val="22"/>
          <w:lang w:val="en-US"/>
        </w:rPr>
        <w:t xml:space="preserve"> </w:t>
      </w:r>
      <w:r w:rsidRPr="002C0A36">
        <w:rPr>
          <w:b w:val="0"/>
          <w:szCs w:val="22"/>
        </w:rPr>
        <w:t>սահմանային</w:t>
      </w:r>
      <w:r w:rsidRPr="002C0A36">
        <w:rPr>
          <w:b w:val="0"/>
          <w:szCs w:val="22"/>
          <w:lang w:val="en-US"/>
        </w:rPr>
        <w:t xml:space="preserve"> </w:t>
      </w:r>
      <w:r w:rsidRPr="002C0A36">
        <w:rPr>
          <w:b w:val="0"/>
          <w:szCs w:val="22"/>
        </w:rPr>
        <w:t>նորմային</w:t>
      </w:r>
      <w:r w:rsidRPr="002C0A36">
        <w:rPr>
          <w:b w:val="0"/>
          <w:szCs w:val="22"/>
          <w:lang w:val="en-US"/>
        </w:rPr>
        <w:t xml:space="preserve">, </w:t>
      </w:r>
      <w:r w:rsidRPr="002C0A36">
        <w:rPr>
          <w:b w:val="0"/>
          <w:szCs w:val="22"/>
        </w:rPr>
        <w:t>իսկ</w:t>
      </w:r>
      <w:r w:rsidRPr="002C0A36">
        <w:rPr>
          <w:b w:val="0"/>
          <w:szCs w:val="22"/>
          <w:lang w:val="en-US"/>
        </w:rPr>
        <w:t xml:space="preserve"> </w:t>
      </w:r>
      <w:r w:rsidRPr="002C0A36">
        <w:rPr>
          <w:b w:val="0"/>
          <w:szCs w:val="22"/>
        </w:rPr>
        <w:t>միջանկյալ</w:t>
      </w:r>
      <w:r w:rsidRPr="002C0A36">
        <w:rPr>
          <w:b w:val="0"/>
          <w:szCs w:val="22"/>
          <w:lang w:val="en-US"/>
        </w:rPr>
        <w:t xml:space="preserve"> </w:t>
      </w:r>
      <w:r w:rsidRPr="002C0A36">
        <w:rPr>
          <w:b w:val="0"/>
          <w:szCs w:val="22"/>
        </w:rPr>
        <w:t>ժամանակաշրջանում</w:t>
      </w:r>
      <w:r w:rsidRPr="002C0A36">
        <w:rPr>
          <w:b w:val="0"/>
          <w:szCs w:val="22"/>
          <w:lang w:val="en-US"/>
        </w:rPr>
        <w:t xml:space="preserve"> </w:t>
      </w:r>
      <w:r w:rsidRPr="002C0A36">
        <w:rPr>
          <w:b w:val="0"/>
          <w:szCs w:val="22"/>
        </w:rPr>
        <w:t>լրացուցիչ</w:t>
      </w:r>
      <w:r w:rsidRPr="002C0A36">
        <w:rPr>
          <w:b w:val="0"/>
          <w:szCs w:val="22"/>
          <w:lang w:val="en-US"/>
        </w:rPr>
        <w:t xml:space="preserve"> </w:t>
      </w:r>
      <w:r w:rsidRPr="002C0A36">
        <w:rPr>
          <w:b w:val="0"/>
          <w:szCs w:val="22"/>
        </w:rPr>
        <w:t>ֆինանսական</w:t>
      </w:r>
      <w:r w:rsidRPr="002C0A36">
        <w:rPr>
          <w:b w:val="0"/>
          <w:szCs w:val="22"/>
          <w:lang w:val="en-US"/>
        </w:rPr>
        <w:t xml:space="preserve"> </w:t>
      </w:r>
      <w:r w:rsidRPr="002C0A36">
        <w:rPr>
          <w:b w:val="0"/>
          <w:szCs w:val="22"/>
        </w:rPr>
        <w:t>վեց</w:t>
      </w:r>
      <w:r w:rsidRPr="002C0A36">
        <w:rPr>
          <w:b w:val="0"/>
          <w:szCs w:val="22"/>
          <w:lang w:val="en-US"/>
        </w:rPr>
        <w:t xml:space="preserve"> </w:t>
      </w:r>
      <w:r w:rsidRPr="002C0A36">
        <w:rPr>
          <w:b w:val="0"/>
          <w:szCs w:val="22"/>
        </w:rPr>
        <w:t>գործակիցները</w:t>
      </w:r>
      <w:r w:rsidRPr="002C0A36">
        <w:rPr>
          <w:b w:val="0"/>
          <w:szCs w:val="22"/>
          <w:lang w:val="en-US"/>
        </w:rPr>
        <w:t xml:space="preserve"> </w:t>
      </w:r>
      <w:r w:rsidRPr="002C0A36">
        <w:rPr>
          <w:b w:val="0"/>
          <w:szCs w:val="22"/>
        </w:rPr>
        <w:t>համապատասխանում</w:t>
      </w:r>
      <w:r w:rsidRPr="002C0A36">
        <w:rPr>
          <w:b w:val="0"/>
          <w:szCs w:val="22"/>
          <w:lang w:val="en-US"/>
        </w:rPr>
        <w:t xml:space="preserve"> </w:t>
      </w:r>
      <w:r w:rsidRPr="002C0A36">
        <w:rPr>
          <w:b w:val="0"/>
          <w:szCs w:val="22"/>
        </w:rPr>
        <w:t>են</w:t>
      </w:r>
      <w:r w:rsidRPr="002C0A36">
        <w:rPr>
          <w:b w:val="0"/>
          <w:szCs w:val="22"/>
          <w:lang w:val="en-US"/>
        </w:rPr>
        <w:t xml:space="preserve"> </w:t>
      </w:r>
      <w:r w:rsidRPr="002C0A36">
        <w:rPr>
          <w:b w:val="0"/>
          <w:szCs w:val="22"/>
        </w:rPr>
        <w:t>միջազգային</w:t>
      </w:r>
      <w:r w:rsidRPr="002C0A36">
        <w:rPr>
          <w:b w:val="0"/>
          <w:szCs w:val="22"/>
          <w:lang w:val="en-US"/>
        </w:rPr>
        <w:t xml:space="preserve"> </w:t>
      </w:r>
      <w:r w:rsidRPr="002C0A36">
        <w:rPr>
          <w:b w:val="0"/>
          <w:szCs w:val="22"/>
        </w:rPr>
        <w:t>պրակտիկայում</w:t>
      </w:r>
      <w:r w:rsidRPr="002C0A36">
        <w:rPr>
          <w:b w:val="0"/>
          <w:szCs w:val="22"/>
          <w:lang w:val="en-US"/>
        </w:rPr>
        <w:t xml:space="preserve"> </w:t>
      </w:r>
      <w:r w:rsidRPr="002C0A36">
        <w:rPr>
          <w:b w:val="0"/>
          <w:szCs w:val="22"/>
        </w:rPr>
        <w:t>ընդունված</w:t>
      </w:r>
      <w:r w:rsidRPr="002C0A36">
        <w:rPr>
          <w:b w:val="0"/>
          <w:szCs w:val="22"/>
          <w:lang w:val="en-US"/>
        </w:rPr>
        <w:t xml:space="preserve"> </w:t>
      </w:r>
      <w:r w:rsidRPr="002C0A36">
        <w:rPr>
          <w:b w:val="0"/>
          <w:szCs w:val="22"/>
        </w:rPr>
        <w:t>թույլատրելի</w:t>
      </w:r>
      <w:r w:rsidRPr="002C0A36">
        <w:rPr>
          <w:b w:val="0"/>
          <w:szCs w:val="22"/>
          <w:lang w:val="en-US"/>
        </w:rPr>
        <w:t xml:space="preserve"> </w:t>
      </w:r>
      <w:r w:rsidRPr="002C0A36">
        <w:rPr>
          <w:b w:val="0"/>
          <w:szCs w:val="22"/>
        </w:rPr>
        <w:t>սահմանային</w:t>
      </w:r>
      <w:r w:rsidRPr="002C0A36">
        <w:rPr>
          <w:b w:val="0"/>
          <w:szCs w:val="22"/>
          <w:lang w:val="en-US"/>
        </w:rPr>
        <w:t xml:space="preserve"> </w:t>
      </w:r>
      <w:r w:rsidRPr="002C0A36">
        <w:rPr>
          <w:b w:val="0"/>
          <w:szCs w:val="22"/>
        </w:rPr>
        <w:t>նորմային</w:t>
      </w:r>
      <w:r w:rsidRPr="002C0A36">
        <w:rPr>
          <w:b w:val="0"/>
          <w:szCs w:val="22"/>
          <w:lang w:val="en-US"/>
        </w:rPr>
        <w:t xml:space="preserve"> </w:t>
      </w:r>
      <w:r w:rsidRPr="002C0A36">
        <w:rPr>
          <w:b w:val="0"/>
          <w:szCs w:val="22"/>
        </w:rPr>
        <w:t>և</w:t>
      </w:r>
      <w:r w:rsidRPr="002C0A36">
        <w:rPr>
          <w:b w:val="0"/>
          <w:szCs w:val="22"/>
          <w:lang w:val="en-US"/>
        </w:rPr>
        <w:t xml:space="preserve"> </w:t>
      </w:r>
      <w:r w:rsidRPr="002C0A36">
        <w:rPr>
          <w:b w:val="0"/>
          <w:szCs w:val="22"/>
        </w:rPr>
        <w:t>վկայում</w:t>
      </w:r>
      <w:r w:rsidRPr="002C0A36">
        <w:rPr>
          <w:b w:val="0"/>
          <w:szCs w:val="22"/>
          <w:lang w:val="en-US"/>
        </w:rPr>
        <w:t xml:space="preserve"> </w:t>
      </w:r>
      <w:r w:rsidRPr="002C0A36">
        <w:rPr>
          <w:b w:val="0"/>
          <w:szCs w:val="22"/>
        </w:rPr>
        <w:t>են</w:t>
      </w:r>
      <w:r w:rsidRPr="002C0A36">
        <w:rPr>
          <w:b w:val="0"/>
          <w:szCs w:val="22"/>
          <w:lang w:val="en-US"/>
        </w:rPr>
        <w:t xml:space="preserve"> </w:t>
      </w:r>
      <w:r w:rsidRPr="002C0A36">
        <w:rPr>
          <w:b w:val="0"/>
          <w:szCs w:val="22"/>
        </w:rPr>
        <w:t>ֆինանսական</w:t>
      </w:r>
      <w:r w:rsidRPr="002C0A36">
        <w:rPr>
          <w:b w:val="0"/>
          <w:szCs w:val="22"/>
          <w:lang w:val="en-US"/>
        </w:rPr>
        <w:t xml:space="preserve"> </w:t>
      </w:r>
      <w:r w:rsidRPr="002C0A36">
        <w:rPr>
          <w:b w:val="0"/>
          <w:szCs w:val="22"/>
        </w:rPr>
        <w:t>ծանր</w:t>
      </w:r>
      <w:r w:rsidRPr="002C0A36">
        <w:rPr>
          <w:b w:val="0"/>
          <w:szCs w:val="22"/>
          <w:lang w:val="en-US"/>
        </w:rPr>
        <w:t xml:space="preserve"> </w:t>
      </w:r>
      <w:r w:rsidRPr="002C0A36">
        <w:rPr>
          <w:b w:val="0"/>
          <w:szCs w:val="22"/>
        </w:rPr>
        <w:t>վիճակի</w:t>
      </w:r>
      <w:r w:rsidRPr="002C0A36">
        <w:rPr>
          <w:b w:val="0"/>
          <w:szCs w:val="22"/>
          <w:lang w:val="en-US"/>
        </w:rPr>
        <w:t xml:space="preserve"> </w:t>
      </w:r>
      <w:r w:rsidRPr="002C0A36">
        <w:rPr>
          <w:b w:val="0"/>
          <w:szCs w:val="22"/>
        </w:rPr>
        <w:t>ցածր</w:t>
      </w:r>
      <w:r w:rsidRPr="002C0A36">
        <w:rPr>
          <w:b w:val="0"/>
          <w:szCs w:val="22"/>
          <w:lang w:val="en-US"/>
        </w:rPr>
        <w:t xml:space="preserve"> </w:t>
      </w:r>
      <w:r w:rsidRPr="002C0A36">
        <w:rPr>
          <w:b w:val="0"/>
          <w:szCs w:val="22"/>
        </w:rPr>
        <w:t>հավանականության</w:t>
      </w:r>
      <w:r w:rsidRPr="002C0A36">
        <w:rPr>
          <w:b w:val="0"/>
          <w:szCs w:val="22"/>
          <w:lang w:val="en-US"/>
        </w:rPr>
        <w:t xml:space="preserve"> </w:t>
      </w:r>
      <w:r w:rsidRPr="002C0A36">
        <w:rPr>
          <w:b w:val="0"/>
          <w:szCs w:val="22"/>
        </w:rPr>
        <w:t>մասին</w:t>
      </w:r>
      <w:r w:rsidRPr="002C0A36">
        <w:rPr>
          <w:b w:val="0"/>
          <w:szCs w:val="22"/>
          <w:lang w:val="en-US"/>
        </w:rPr>
        <w:t>:</w:t>
      </w:r>
    </w:p>
    <w:p w:rsidR="002C0A36" w:rsidRPr="002C0A36" w:rsidRDefault="002C0A36" w:rsidP="007730AA">
      <w:pPr>
        <w:shd w:val="clear" w:color="auto" w:fill="FFFFFF"/>
        <w:spacing w:before="0" w:line="276" w:lineRule="auto"/>
        <w:contextualSpacing w:val="0"/>
        <w:rPr>
          <w:b w:val="0"/>
          <w:szCs w:val="22"/>
          <w:lang w:val="en-US"/>
        </w:rPr>
      </w:pPr>
      <w:r w:rsidRPr="002C0A36">
        <w:rPr>
          <w:b w:val="0"/>
          <w:szCs w:val="22"/>
        </w:rPr>
        <w:t>Հաշվի</w:t>
      </w:r>
      <w:r w:rsidRPr="002C0A36">
        <w:rPr>
          <w:b w:val="0"/>
          <w:szCs w:val="22"/>
          <w:lang w:val="en-US"/>
        </w:rPr>
        <w:t xml:space="preserve"> </w:t>
      </w:r>
      <w:r w:rsidRPr="002C0A36">
        <w:rPr>
          <w:b w:val="0"/>
          <w:szCs w:val="22"/>
        </w:rPr>
        <w:t>առնելով</w:t>
      </w:r>
      <w:r w:rsidRPr="002C0A36">
        <w:rPr>
          <w:b w:val="0"/>
          <w:szCs w:val="22"/>
          <w:lang w:val="en-US"/>
        </w:rPr>
        <w:t xml:space="preserve">, </w:t>
      </w:r>
      <w:r w:rsidRPr="002C0A36">
        <w:rPr>
          <w:b w:val="0"/>
          <w:szCs w:val="22"/>
        </w:rPr>
        <w:t>որ</w:t>
      </w:r>
      <w:r w:rsidRPr="002C0A36">
        <w:rPr>
          <w:b w:val="0"/>
          <w:szCs w:val="22"/>
          <w:lang w:val="en-US"/>
        </w:rPr>
        <w:t xml:space="preserve"> </w:t>
      </w:r>
      <w:r w:rsidRPr="002C0A36">
        <w:rPr>
          <w:b w:val="0"/>
          <w:szCs w:val="22"/>
        </w:rPr>
        <w:t>հաշվետու</w:t>
      </w:r>
      <w:r w:rsidRPr="002C0A36">
        <w:rPr>
          <w:b w:val="0"/>
          <w:szCs w:val="22"/>
          <w:lang w:val="en-US"/>
        </w:rPr>
        <w:t xml:space="preserve"> </w:t>
      </w:r>
      <w:r w:rsidRPr="002C0A36">
        <w:rPr>
          <w:b w:val="0"/>
          <w:szCs w:val="22"/>
        </w:rPr>
        <w:t>և</w:t>
      </w:r>
      <w:r w:rsidRPr="002C0A36">
        <w:rPr>
          <w:b w:val="0"/>
          <w:szCs w:val="22"/>
          <w:lang w:val="en-US"/>
        </w:rPr>
        <w:t xml:space="preserve"> </w:t>
      </w:r>
      <w:r w:rsidRPr="002C0A36">
        <w:rPr>
          <w:b w:val="0"/>
          <w:szCs w:val="22"/>
        </w:rPr>
        <w:t>միջանկյալ</w:t>
      </w:r>
      <w:r w:rsidRPr="002C0A36">
        <w:rPr>
          <w:b w:val="0"/>
          <w:szCs w:val="22"/>
          <w:lang w:val="en-US"/>
        </w:rPr>
        <w:t xml:space="preserve"> </w:t>
      </w:r>
      <w:r w:rsidRPr="002C0A36">
        <w:rPr>
          <w:b w:val="0"/>
          <w:szCs w:val="22"/>
        </w:rPr>
        <w:t>ժամանակաշրջաններում</w:t>
      </w:r>
      <w:r w:rsidRPr="002C0A36">
        <w:rPr>
          <w:b w:val="0"/>
          <w:szCs w:val="22"/>
          <w:lang w:val="en-US"/>
        </w:rPr>
        <w:t xml:space="preserve"> </w:t>
      </w:r>
      <w:r w:rsidRPr="002C0A36">
        <w:rPr>
          <w:b w:val="0"/>
          <w:szCs w:val="22"/>
        </w:rPr>
        <w:t>սնանկացման</w:t>
      </w:r>
      <w:r w:rsidRPr="002C0A36">
        <w:rPr>
          <w:b w:val="0"/>
          <w:szCs w:val="22"/>
          <w:lang w:val="en-US"/>
        </w:rPr>
        <w:t xml:space="preserve"> </w:t>
      </w:r>
      <w:r w:rsidRPr="002C0A36">
        <w:rPr>
          <w:b w:val="0"/>
          <w:szCs w:val="22"/>
        </w:rPr>
        <w:t>կանխատեսման</w:t>
      </w:r>
      <w:r w:rsidRPr="002C0A36">
        <w:rPr>
          <w:b w:val="0"/>
          <w:szCs w:val="22"/>
          <w:lang w:val="en-US"/>
        </w:rPr>
        <w:t xml:space="preserve"> </w:t>
      </w:r>
      <w:r w:rsidRPr="002C0A36">
        <w:rPr>
          <w:b w:val="0"/>
          <w:szCs w:val="22"/>
        </w:rPr>
        <w:t>Ալթմանի</w:t>
      </w:r>
      <w:r w:rsidRPr="002C0A36">
        <w:rPr>
          <w:b w:val="0"/>
          <w:szCs w:val="22"/>
          <w:lang w:val="en-US"/>
        </w:rPr>
        <w:t xml:space="preserve"> Z-</w:t>
      </w:r>
      <w:r w:rsidRPr="002C0A36">
        <w:rPr>
          <w:b w:val="0"/>
          <w:szCs w:val="22"/>
        </w:rPr>
        <w:t>միավորը</w:t>
      </w:r>
      <w:r w:rsidRPr="002C0A36">
        <w:rPr>
          <w:b w:val="0"/>
          <w:szCs w:val="22"/>
          <w:lang w:val="en-US"/>
        </w:rPr>
        <w:t xml:space="preserve"> </w:t>
      </w:r>
      <w:r w:rsidRPr="002C0A36">
        <w:rPr>
          <w:b w:val="0"/>
          <w:szCs w:val="22"/>
        </w:rPr>
        <w:t>վկայում</w:t>
      </w:r>
      <w:r w:rsidRPr="002C0A36">
        <w:rPr>
          <w:b w:val="0"/>
          <w:szCs w:val="22"/>
          <w:lang w:val="en-US"/>
        </w:rPr>
        <w:t xml:space="preserve"> </w:t>
      </w:r>
      <w:r w:rsidRPr="002C0A36">
        <w:rPr>
          <w:b w:val="0"/>
          <w:szCs w:val="22"/>
        </w:rPr>
        <w:t>է</w:t>
      </w:r>
      <w:r w:rsidRPr="002C0A36">
        <w:rPr>
          <w:b w:val="0"/>
          <w:szCs w:val="22"/>
          <w:lang w:val="en-US"/>
        </w:rPr>
        <w:t xml:space="preserve"> </w:t>
      </w:r>
      <w:r w:rsidRPr="002C0A36">
        <w:rPr>
          <w:b w:val="0"/>
          <w:szCs w:val="22"/>
        </w:rPr>
        <w:t>Ընկերության</w:t>
      </w:r>
      <w:r w:rsidRPr="002C0A36">
        <w:rPr>
          <w:b w:val="0"/>
          <w:szCs w:val="22"/>
          <w:lang w:val="en-US"/>
        </w:rPr>
        <w:t xml:space="preserve"> </w:t>
      </w:r>
      <w:r w:rsidRPr="002C0A36">
        <w:rPr>
          <w:b w:val="0"/>
          <w:szCs w:val="22"/>
        </w:rPr>
        <w:t>ֆինանսական</w:t>
      </w:r>
      <w:r w:rsidRPr="002C0A36">
        <w:rPr>
          <w:b w:val="0"/>
          <w:szCs w:val="22"/>
          <w:lang w:val="en-US"/>
        </w:rPr>
        <w:t xml:space="preserve"> </w:t>
      </w:r>
      <w:r w:rsidRPr="002C0A36">
        <w:rPr>
          <w:b w:val="0"/>
          <w:szCs w:val="22"/>
        </w:rPr>
        <w:t>ծանր</w:t>
      </w:r>
      <w:r w:rsidRPr="002C0A36">
        <w:rPr>
          <w:b w:val="0"/>
          <w:szCs w:val="22"/>
          <w:lang w:val="en-US"/>
        </w:rPr>
        <w:t xml:space="preserve"> </w:t>
      </w:r>
      <w:r w:rsidRPr="002C0A36">
        <w:rPr>
          <w:b w:val="0"/>
          <w:szCs w:val="22"/>
        </w:rPr>
        <w:t>վիճակի</w:t>
      </w:r>
      <w:r w:rsidRPr="002C0A36">
        <w:rPr>
          <w:b w:val="0"/>
          <w:szCs w:val="22"/>
          <w:lang w:val="en-US"/>
        </w:rPr>
        <w:t xml:space="preserve"> </w:t>
      </w:r>
      <w:r w:rsidRPr="002C0A36">
        <w:rPr>
          <w:b w:val="0"/>
          <w:szCs w:val="22"/>
        </w:rPr>
        <w:t>ցածր</w:t>
      </w:r>
      <w:r w:rsidRPr="002C0A36">
        <w:rPr>
          <w:b w:val="0"/>
          <w:szCs w:val="22"/>
          <w:lang w:val="en-US"/>
        </w:rPr>
        <w:t xml:space="preserve"> </w:t>
      </w:r>
      <w:r w:rsidRPr="002C0A36">
        <w:rPr>
          <w:b w:val="0"/>
          <w:szCs w:val="22"/>
        </w:rPr>
        <w:t>հավանականության</w:t>
      </w:r>
      <w:r w:rsidRPr="002C0A36">
        <w:rPr>
          <w:b w:val="0"/>
          <w:szCs w:val="22"/>
          <w:lang w:val="en-US"/>
        </w:rPr>
        <w:t xml:space="preserve"> </w:t>
      </w:r>
      <w:r w:rsidRPr="002C0A36">
        <w:rPr>
          <w:b w:val="0"/>
          <w:szCs w:val="22"/>
        </w:rPr>
        <w:t>մասին</w:t>
      </w:r>
      <w:r w:rsidRPr="002C0A36">
        <w:rPr>
          <w:b w:val="0"/>
          <w:szCs w:val="22"/>
          <w:lang w:val="en-US"/>
        </w:rPr>
        <w:t xml:space="preserve">, ինչպես նաև </w:t>
      </w:r>
      <w:r w:rsidRPr="002C0A36">
        <w:rPr>
          <w:b w:val="0"/>
          <w:szCs w:val="22"/>
        </w:rPr>
        <w:t>հաշվետու</w:t>
      </w:r>
      <w:r w:rsidRPr="002C0A36">
        <w:rPr>
          <w:b w:val="0"/>
          <w:szCs w:val="22"/>
          <w:lang w:val="en-US"/>
        </w:rPr>
        <w:t xml:space="preserve"> </w:t>
      </w:r>
      <w:r w:rsidRPr="002C0A36">
        <w:rPr>
          <w:b w:val="0"/>
          <w:szCs w:val="22"/>
        </w:rPr>
        <w:t>ժամանակաշրջանում</w:t>
      </w:r>
      <w:r w:rsidRPr="002C0A36">
        <w:rPr>
          <w:b w:val="0"/>
          <w:szCs w:val="22"/>
          <w:lang w:val="en-US"/>
        </w:rPr>
        <w:t xml:space="preserve"> </w:t>
      </w:r>
      <w:r w:rsidRPr="002C0A36">
        <w:rPr>
          <w:b w:val="0"/>
          <w:szCs w:val="22"/>
        </w:rPr>
        <w:t>ստուգաճշտող</w:t>
      </w:r>
      <w:r w:rsidRPr="002C0A36">
        <w:rPr>
          <w:b w:val="0"/>
          <w:szCs w:val="22"/>
          <w:lang w:val="en-US"/>
        </w:rPr>
        <w:t xml:space="preserve"> </w:t>
      </w:r>
      <w:r w:rsidRPr="002C0A36">
        <w:rPr>
          <w:b w:val="0"/>
          <w:szCs w:val="22"/>
        </w:rPr>
        <w:t>լրացուցիչ</w:t>
      </w:r>
      <w:r w:rsidRPr="002C0A36">
        <w:rPr>
          <w:b w:val="0"/>
          <w:szCs w:val="22"/>
          <w:lang w:val="en-US"/>
        </w:rPr>
        <w:t xml:space="preserve"> </w:t>
      </w:r>
      <w:r w:rsidRPr="002C0A36">
        <w:rPr>
          <w:b w:val="0"/>
          <w:szCs w:val="22"/>
        </w:rPr>
        <w:t>ֆինանսական</w:t>
      </w:r>
      <w:r w:rsidRPr="002C0A36">
        <w:rPr>
          <w:b w:val="0"/>
          <w:szCs w:val="22"/>
          <w:lang w:val="en-US"/>
        </w:rPr>
        <w:t xml:space="preserve"> </w:t>
      </w:r>
      <w:r w:rsidRPr="002C0A36">
        <w:rPr>
          <w:b w:val="0"/>
          <w:szCs w:val="22"/>
        </w:rPr>
        <w:t>վեց</w:t>
      </w:r>
      <w:r w:rsidRPr="002C0A36">
        <w:rPr>
          <w:b w:val="0"/>
          <w:szCs w:val="22"/>
          <w:lang w:val="en-US"/>
        </w:rPr>
        <w:t xml:space="preserve"> </w:t>
      </w:r>
      <w:r w:rsidRPr="002C0A36">
        <w:rPr>
          <w:b w:val="0"/>
          <w:szCs w:val="22"/>
        </w:rPr>
        <w:t>գործակիցներից</w:t>
      </w:r>
      <w:r w:rsidRPr="002C0A36">
        <w:rPr>
          <w:b w:val="0"/>
          <w:szCs w:val="22"/>
          <w:lang w:val="en-US"/>
        </w:rPr>
        <w:t xml:space="preserve"> ընդամենը </w:t>
      </w:r>
      <w:r w:rsidRPr="002C0A36">
        <w:rPr>
          <w:b w:val="0"/>
          <w:szCs w:val="22"/>
        </w:rPr>
        <w:t>մեկը</w:t>
      </w:r>
      <w:r w:rsidRPr="002C0A36">
        <w:rPr>
          <w:b w:val="0"/>
          <w:szCs w:val="22"/>
          <w:lang w:val="en-US"/>
        </w:rPr>
        <w:t xml:space="preserve"> </w:t>
      </w:r>
      <w:r w:rsidRPr="002C0A36">
        <w:rPr>
          <w:b w:val="0"/>
          <w:szCs w:val="22"/>
        </w:rPr>
        <w:t>չի</w:t>
      </w:r>
      <w:r w:rsidRPr="002C0A36">
        <w:rPr>
          <w:b w:val="0"/>
          <w:szCs w:val="22"/>
          <w:lang w:val="en-US"/>
        </w:rPr>
        <w:t xml:space="preserve"> </w:t>
      </w:r>
      <w:r w:rsidRPr="002C0A36">
        <w:rPr>
          <w:b w:val="0"/>
          <w:szCs w:val="22"/>
        </w:rPr>
        <w:t>համապատասխանում</w:t>
      </w:r>
      <w:r w:rsidRPr="002C0A36">
        <w:rPr>
          <w:b w:val="0"/>
          <w:szCs w:val="22"/>
          <w:lang w:val="en-US"/>
        </w:rPr>
        <w:t xml:space="preserve"> </w:t>
      </w:r>
      <w:r w:rsidRPr="002C0A36">
        <w:rPr>
          <w:b w:val="0"/>
          <w:szCs w:val="22"/>
        </w:rPr>
        <w:t>միջազգային</w:t>
      </w:r>
      <w:r w:rsidRPr="002C0A36">
        <w:rPr>
          <w:b w:val="0"/>
          <w:szCs w:val="22"/>
          <w:lang w:val="en-US"/>
        </w:rPr>
        <w:t xml:space="preserve"> </w:t>
      </w:r>
      <w:r w:rsidRPr="002C0A36">
        <w:rPr>
          <w:b w:val="0"/>
          <w:szCs w:val="22"/>
        </w:rPr>
        <w:t>պրակտիկայում</w:t>
      </w:r>
      <w:r w:rsidRPr="002C0A36">
        <w:rPr>
          <w:b w:val="0"/>
          <w:szCs w:val="22"/>
          <w:lang w:val="en-US"/>
        </w:rPr>
        <w:t xml:space="preserve"> </w:t>
      </w:r>
      <w:r w:rsidRPr="002C0A36">
        <w:rPr>
          <w:b w:val="0"/>
          <w:szCs w:val="22"/>
        </w:rPr>
        <w:t>ընդունված</w:t>
      </w:r>
      <w:r w:rsidRPr="002C0A36">
        <w:rPr>
          <w:b w:val="0"/>
          <w:szCs w:val="22"/>
          <w:lang w:val="en-US"/>
        </w:rPr>
        <w:t xml:space="preserve"> </w:t>
      </w:r>
      <w:r w:rsidRPr="002C0A36">
        <w:rPr>
          <w:b w:val="0"/>
          <w:szCs w:val="22"/>
        </w:rPr>
        <w:t>թույլատրելի</w:t>
      </w:r>
      <w:r w:rsidRPr="002C0A36">
        <w:rPr>
          <w:b w:val="0"/>
          <w:szCs w:val="22"/>
          <w:lang w:val="en-US"/>
        </w:rPr>
        <w:t xml:space="preserve"> </w:t>
      </w:r>
      <w:r w:rsidRPr="002C0A36">
        <w:rPr>
          <w:b w:val="0"/>
          <w:szCs w:val="22"/>
        </w:rPr>
        <w:t>սահմանային</w:t>
      </w:r>
      <w:r w:rsidRPr="002C0A36">
        <w:rPr>
          <w:b w:val="0"/>
          <w:szCs w:val="22"/>
          <w:lang w:val="en-US"/>
        </w:rPr>
        <w:t xml:space="preserve"> </w:t>
      </w:r>
      <w:r w:rsidRPr="002C0A36">
        <w:rPr>
          <w:b w:val="0"/>
          <w:szCs w:val="22"/>
        </w:rPr>
        <w:t>նորմային</w:t>
      </w:r>
      <w:r w:rsidRPr="002C0A36">
        <w:rPr>
          <w:b w:val="0"/>
          <w:szCs w:val="22"/>
          <w:lang w:val="en-US"/>
        </w:rPr>
        <w:t xml:space="preserve">, </w:t>
      </w:r>
      <w:r w:rsidRPr="002C0A36">
        <w:rPr>
          <w:b w:val="0"/>
          <w:szCs w:val="22"/>
        </w:rPr>
        <w:t>իսկ</w:t>
      </w:r>
      <w:r w:rsidRPr="002C0A36">
        <w:rPr>
          <w:b w:val="0"/>
          <w:szCs w:val="22"/>
          <w:lang w:val="en-US"/>
        </w:rPr>
        <w:t xml:space="preserve"> </w:t>
      </w:r>
      <w:r w:rsidRPr="002C0A36">
        <w:rPr>
          <w:b w:val="0"/>
          <w:szCs w:val="22"/>
        </w:rPr>
        <w:t>միջանկյալ</w:t>
      </w:r>
      <w:r w:rsidRPr="002C0A36">
        <w:rPr>
          <w:b w:val="0"/>
          <w:szCs w:val="22"/>
          <w:lang w:val="en-US"/>
        </w:rPr>
        <w:t xml:space="preserve"> </w:t>
      </w:r>
      <w:r w:rsidRPr="002C0A36">
        <w:rPr>
          <w:b w:val="0"/>
          <w:szCs w:val="22"/>
        </w:rPr>
        <w:t>ժամանակաշրջանում</w:t>
      </w:r>
      <w:r w:rsidRPr="002C0A36">
        <w:rPr>
          <w:b w:val="0"/>
          <w:szCs w:val="22"/>
          <w:lang w:val="en-US"/>
        </w:rPr>
        <w:t xml:space="preserve"> </w:t>
      </w:r>
      <w:r w:rsidRPr="002C0A36">
        <w:rPr>
          <w:b w:val="0"/>
          <w:szCs w:val="22"/>
        </w:rPr>
        <w:t>լրացուցիչ</w:t>
      </w:r>
      <w:r w:rsidRPr="002C0A36">
        <w:rPr>
          <w:b w:val="0"/>
          <w:szCs w:val="22"/>
          <w:lang w:val="en-US"/>
        </w:rPr>
        <w:t xml:space="preserve"> </w:t>
      </w:r>
      <w:r w:rsidRPr="002C0A36">
        <w:rPr>
          <w:b w:val="0"/>
          <w:szCs w:val="22"/>
        </w:rPr>
        <w:t>ֆինանսական</w:t>
      </w:r>
      <w:r w:rsidRPr="002C0A36">
        <w:rPr>
          <w:b w:val="0"/>
          <w:szCs w:val="22"/>
          <w:lang w:val="en-US"/>
        </w:rPr>
        <w:t xml:space="preserve"> </w:t>
      </w:r>
      <w:r w:rsidRPr="002C0A36">
        <w:rPr>
          <w:b w:val="0"/>
          <w:szCs w:val="22"/>
        </w:rPr>
        <w:t>վեց</w:t>
      </w:r>
      <w:r w:rsidRPr="002C0A36">
        <w:rPr>
          <w:b w:val="0"/>
          <w:szCs w:val="22"/>
          <w:lang w:val="en-US"/>
        </w:rPr>
        <w:t xml:space="preserve"> </w:t>
      </w:r>
      <w:r w:rsidRPr="002C0A36">
        <w:rPr>
          <w:b w:val="0"/>
          <w:szCs w:val="22"/>
        </w:rPr>
        <w:t>գործակիցներն</w:t>
      </w:r>
      <w:r w:rsidRPr="002C0A36">
        <w:rPr>
          <w:b w:val="0"/>
          <w:szCs w:val="22"/>
          <w:lang w:val="en-US"/>
        </w:rPr>
        <w:t xml:space="preserve"> </w:t>
      </w:r>
      <w:r w:rsidRPr="002C0A36">
        <w:rPr>
          <w:b w:val="0"/>
          <w:szCs w:val="22"/>
        </w:rPr>
        <w:t>էլ</w:t>
      </w:r>
      <w:r w:rsidRPr="002C0A36">
        <w:rPr>
          <w:b w:val="0"/>
          <w:szCs w:val="22"/>
          <w:lang w:val="en-US"/>
        </w:rPr>
        <w:t xml:space="preserve"> </w:t>
      </w:r>
      <w:r w:rsidRPr="002C0A36">
        <w:rPr>
          <w:b w:val="0"/>
          <w:szCs w:val="22"/>
        </w:rPr>
        <w:t>համապատասխանում</w:t>
      </w:r>
      <w:r w:rsidRPr="002C0A36">
        <w:rPr>
          <w:b w:val="0"/>
          <w:szCs w:val="22"/>
          <w:lang w:val="en-US"/>
        </w:rPr>
        <w:t xml:space="preserve"> </w:t>
      </w:r>
      <w:r w:rsidRPr="002C0A36">
        <w:rPr>
          <w:b w:val="0"/>
          <w:szCs w:val="22"/>
        </w:rPr>
        <w:t>են</w:t>
      </w:r>
      <w:r w:rsidRPr="002C0A36">
        <w:rPr>
          <w:b w:val="0"/>
          <w:szCs w:val="22"/>
          <w:lang w:val="en-US"/>
        </w:rPr>
        <w:t xml:space="preserve"> այդ նորմային, </w:t>
      </w:r>
      <w:r w:rsidRPr="002C0A36">
        <w:rPr>
          <w:b w:val="0"/>
          <w:szCs w:val="22"/>
        </w:rPr>
        <w:t>հետևաբար</w:t>
      </w:r>
      <w:r w:rsidRPr="002C0A36">
        <w:rPr>
          <w:b w:val="0"/>
          <w:szCs w:val="22"/>
          <w:lang w:val="en-US"/>
        </w:rPr>
        <w:t xml:space="preserve"> </w:t>
      </w:r>
      <w:r w:rsidRPr="002C0A36">
        <w:rPr>
          <w:b w:val="0"/>
          <w:szCs w:val="22"/>
        </w:rPr>
        <w:t>այս</w:t>
      </w:r>
      <w:r w:rsidRPr="002C0A36">
        <w:rPr>
          <w:b w:val="0"/>
          <w:szCs w:val="22"/>
          <w:lang w:val="en-US"/>
        </w:rPr>
        <w:t xml:space="preserve"> </w:t>
      </w:r>
      <w:r w:rsidRPr="002C0A36">
        <w:rPr>
          <w:b w:val="0"/>
          <w:szCs w:val="22"/>
        </w:rPr>
        <w:t>երկու</w:t>
      </w:r>
      <w:r w:rsidRPr="002C0A36">
        <w:rPr>
          <w:b w:val="0"/>
          <w:szCs w:val="22"/>
          <w:lang w:val="en-US"/>
        </w:rPr>
        <w:t xml:space="preserve"> </w:t>
      </w:r>
      <w:r w:rsidRPr="002C0A36">
        <w:rPr>
          <w:b w:val="0"/>
          <w:szCs w:val="22"/>
        </w:rPr>
        <w:t>նախնական</w:t>
      </w:r>
      <w:r w:rsidRPr="002C0A36">
        <w:rPr>
          <w:b w:val="0"/>
          <w:szCs w:val="22"/>
          <w:lang w:val="en-US"/>
        </w:rPr>
        <w:t xml:space="preserve"> </w:t>
      </w:r>
      <w:r w:rsidRPr="002C0A36">
        <w:rPr>
          <w:b w:val="0"/>
          <w:szCs w:val="22"/>
        </w:rPr>
        <w:t>գնահատումների</w:t>
      </w:r>
      <w:r w:rsidRPr="002C0A36">
        <w:rPr>
          <w:b w:val="0"/>
          <w:szCs w:val="22"/>
          <w:lang w:val="en-US"/>
        </w:rPr>
        <w:t xml:space="preserve"> </w:t>
      </w:r>
      <w:r w:rsidRPr="002C0A36">
        <w:rPr>
          <w:b w:val="0"/>
          <w:szCs w:val="22"/>
        </w:rPr>
        <w:t>զուգակցման</w:t>
      </w:r>
      <w:r w:rsidRPr="002C0A36">
        <w:rPr>
          <w:b w:val="0"/>
          <w:szCs w:val="22"/>
          <w:lang w:val="en-US"/>
        </w:rPr>
        <w:t xml:space="preserve"> </w:t>
      </w:r>
      <w:r w:rsidRPr="002C0A36">
        <w:rPr>
          <w:b w:val="0"/>
          <w:szCs w:val="22"/>
        </w:rPr>
        <w:t>արդյունքում</w:t>
      </w:r>
      <w:r w:rsidRPr="002C0A36">
        <w:rPr>
          <w:b w:val="0"/>
          <w:szCs w:val="22"/>
          <w:lang w:val="en-US"/>
        </w:rPr>
        <w:t xml:space="preserve"> </w:t>
      </w:r>
      <w:r w:rsidRPr="002C0A36">
        <w:rPr>
          <w:b w:val="0"/>
          <w:szCs w:val="22"/>
        </w:rPr>
        <w:t>Ընկերության</w:t>
      </w:r>
      <w:r w:rsidRPr="002C0A36">
        <w:rPr>
          <w:b w:val="0"/>
          <w:szCs w:val="22"/>
          <w:lang w:val="en-US"/>
        </w:rPr>
        <w:t xml:space="preserve"> </w:t>
      </w:r>
      <w:r w:rsidRPr="002C0A36">
        <w:rPr>
          <w:b w:val="0"/>
          <w:szCs w:val="22"/>
        </w:rPr>
        <w:t>ֆինանսական</w:t>
      </w:r>
      <w:r w:rsidRPr="002C0A36">
        <w:rPr>
          <w:b w:val="0"/>
          <w:szCs w:val="22"/>
          <w:lang w:val="en-US"/>
        </w:rPr>
        <w:t xml:space="preserve"> </w:t>
      </w:r>
      <w:r w:rsidRPr="002C0A36">
        <w:rPr>
          <w:b w:val="0"/>
          <w:szCs w:val="22"/>
        </w:rPr>
        <w:t>ծանր</w:t>
      </w:r>
      <w:r w:rsidRPr="002C0A36">
        <w:rPr>
          <w:b w:val="0"/>
          <w:szCs w:val="22"/>
          <w:lang w:val="en-US"/>
        </w:rPr>
        <w:t xml:space="preserve"> </w:t>
      </w:r>
      <w:r w:rsidRPr="002C0A36">
        <w:rPr>
          <w:b w:val="0"/>
          <w:szCs w:val="22"/>
        </w:rPr>
        <w:t>վիճակի</w:t>
      </w:r>
      <w:r w:rsidRPr="002C0A36">
        <w:rPr>
          <w:b w:val="0"/>
          <w:szCs w:val="22"/>
          <w:lang w:val="en-US"/>
        </w:rPr>
        <w:t xml:space="preserve"> </w:t>
      </w:r>
      <w:r w:rsidRPr="002C0A36">
        <w:rPr>
          <w:b w:val="0"/>
          <w:szCs w:val="22"/>
        </w:rPr>
        <w:t>հավանականությունը</w:t>
      </w:r>
      <w:r w:rsidRPr="002C0A36">
        <w:rPr>
          <w:b w:val="0"/>
          <w:szCs w:val="22"/>
          <w:lang w:val="en-US"/>
        </w:rPr>
        <w:t xml:space="preserve"> </w:t>
      </w:r>
      <w:r w:rsidRPr="002C0A36">
        <w:rPr>
          <w:b w:val="0"/>
          <w:szCs w:val="22"/>
        </w:rPr>
        <w:t>գնահատվում</w:t>
      </w:r>
      <w:r w:rsidRPr="002C0A36">
        <w:rPr>
          <w:b w:val="0"/>
          <w:szCs w:val="22"/>
          <w:lang w:val="en-US"/>
        </w:rPr>
        <w:t xml:space="preserve"> </w:t>
      </w:r>
      <w:r w:rsidRPr="002C0A36">
        <w:rPr>
          <w:b w:val="0"/>
          <w:szCs w:val="22"/>
        </w:rPr>
        <w:t>է</w:t>
      </w:r>
      <w:r w:rsidRPr="002C0A36">
        <w:rPr>
          <w:b w:val="0"/>
          <w:szCs w:val="22"/>
          <w:lang w:val="en-US"/>
        </w:rPr>
        <w:t xml:space="preserve"> </w:t>
      </w:r>
      <w:r w:rsidRPr="002C0A36">
        <w:rPr>
          <w:b w:val="0"/>
          <w:szCs w:val="22"/>
        </w:rPr>
        <w:t>ցածր</w:t>
      </w:r>
      <w:r w:rsidRPr="002C0A36">
        <w:rPr>
          <w:b w:val="0"/>
          <w:szCs w:val="22"/>
          <w:lang w:val="en-US"/>
        </w:rPr>
        <w:t>:</w:t>
      </w:r>
      <w:r w:rsidRPr="002C0A36">
        <w:rPr>
          <w:b w:val="0"/>
          <w:szCs w:val="22"/>
          <w:lang w:val="en-US"/>
        </w:rPr>
        <w:tab/>
      </w:r>
    </w:p>
    <w:p w:rsidR="002C0A36" w:rsidRPr="002C0A36" w:rsidRDefault="002C0A36" w:rsidP="007730AA">
      <w:pPr>
        <w:spacing w:before="0" w:line="276" w:lineRule="auto"/>
        <w:contextualSpacing w:val="0"/>
        <w:rPr>
          <w:b w:val="0"/>
          <w:szCs w:val="22"/>
          <w:lang w:val="en-US"/>
        </w:rPr>
      </w:pPr>
      <w:r w:rsidRPr="002C0A36">
        <w:rPr>
          <w:b w:val="0"/>
          <w:szCs w:val="22"/>
        </w:rPr>
        <w:t>Վարկային</w:t>
      </w:r>
      <w:r w:rsidRPr="002C0A36">
        <w:rPr>
          <w:b w:val="0"/>
          <w:szCs w:val="22"/>
          <w:lang w:val="en-US"/>
        </w:rPr>
        <w:t xml:space="preserve"> </w:t>
      </w:r>
      <w:r w:rsidRPr="002C0A36">
        <w:rPr>
          <w:b w:val="0"/>
          <w:szCs w:val="22"/>
        </w:rPr>
        <w:t>պարտավորությունների</w:t>
      </w:r>
      <w:r w:rsidRPr="002C0A36">
        <w:rPr>
          <w:b w:val="0"/>
          <w:szCs w:val="22"/>
          <w:lang w:val="en-US"/>
        </w:rPr>
        <w:t xml:space="preserve"> </w:t>
      </w:r>
      <w:r w:rsidRPr="002C0A36">
        <w:rPr>
          <w:b w:val="0"/>
          <w:szCs w:val="22"/>
        </w:rPr>
        <w:t>հետ</w:t>
      </w:r>
      <w:r w:rsidRPr="002C0A36">
        <w:rPr>
          <w:b w:val="0"/>
          <w:szCs w:val="22"/>
          <w:lang w:val="en-US"/>
        </w:rPr>
        <w:t xml:space="preserve"> </w:t>
      </w:r>
      <w:r w:rsidRPr="002C0A36">
        <w:rPr>
          <w:b w:val="0"/>
          <w:szCs w:val="22"/>
        </w:rPr>
        <w:t>կապված</w:t>
      </w:r>
      <w:r w:rsidRPr="002C0A36">
        <w:rPr>
          <w:b w:val="0"/>
          <w:szCs w:val="22"/>
          <w:lang w:val="en-US"/>
        </w:rPr>
        <w:t xml:space="preserve"> </w:t>
      </w:r>
      <w:r w:rsidRPr="002C0A36">
        <w:rPr>
          <w:b w:val="0"/>
          <w:szCs w:val="22"/>
        </w:rPr>
        <w:t>անհրաժեշտ</w:t>
      </w:r>
      <w:r w:rsidRPr="002C0A36">
        <w:rPr>
          <w:b w:val="0"/>
          <w:szCs w:val="22"/>
          <w:lang w:val="en-US"/>
        </w:rPr>
        <w:t xml:space="preserve"> </w:t>
      </w:r>
      <w:r w:rsidRPr="002C0A36">
        <w:rPr>
          <w:b w:val="0"/>
          <w:szCs w:val="22"/>
        </w:rPr>
        <w:t>է</w:t>
      </w:r>
      <w:r w:rsidRPr="002C0A36">
        <w:rPr>
          <w:b w:val="0"/>
          <w:szCs w:val="22"/>
          <w:lang w:val="en-US"/>
        </w:rPr>
        <w:t xml:space="preserve"> </w:t>
      </w:r>
      <w:r w:rsidRPr="002C0A36">
        <w:rPr>
          <w:b w:val="0"/>
          <w:szCs w:val="22"/>
        </w:rPr>
        <w:t>նշել</w:t>
      </w:r>
      <w:r w:rsidRPr="002C0A36">
        <w:rPr>
          <w:b w:val="0"/>
          <w:szCs w:val="22"/>
          <w:lang w:val="en-US"/>
        </w:rPr>
        <w:t xml:space="preserve">, </w:t>
      </w:r>
      <w:r w:rsidRPr="002C0A36">
        <w:rPr>
          <w:b w:val="0"/>
          <w:szCs w:val="22"/>
        </w:rPr>
        <w:t>որ</w:t>
      </w:r>
      <w:r w:rsidRPr="002C0A36">
        <w:rPr>
          <w:b w:val="0"/>
          <w:szCs w:val="22"/>
          <w:lang w:val="en-US"/>
        </w:rPr>
        <w:t xml:space="preserve"> </w:t>
      </w:r>
      <w:r w:rsidRPr="002C0A36">
        <w:rPr>
          <w:b w:val="0"/>
          <w:szCs w:val="22"/>
        </w:rPr>
        <w:t>Ընկերությունը</w:t>
      </w:r>
      <w:r w:rsidRPr="002C0A36">
        <w:rPr>
          <w:b w:val="0"/>
          <w:szCs w:val="22"/>
          <w:lang w:val="en-US"/>
        </w:rPr>
        <w:t xml:space="preserve"> </w:t>
      </w:r>
      <w:r w:rsidRPr="002C0A36">
        <w:rPr>
          <w:b w:val="0"/>
          <w:szCs w:val="22"/>
        </w:rPr>
        <w:t>չունի</w:t>
      </w:r>
      <w:r w:rsidRPr="002C0A36">
        <w:rPr>
          <w:b w:val="0"/>
          <w:szCs w:val="22"/>
          <w:lang w:val="en-US"/>
        </w:rPr>
        <w:t xml:space="preserve"> </w:t>
      </w:r>
      <w:r w:rsidRPr="002C0A36">
        <w:rPr>
          <w:b w:val="0"/>
          <w:szCs w:val="22"/>
        </w:rPr>
        <w:t>ՀՀ</w:t>
      </w:r>
      <w:r w:rsidRPr="002C0A36">
        <w:rPr>
          <w:b w:val="0"/>
          <w:szCs w:val="22"/>
          <w:lang w:val="en-US"/>
        </w:rPr>
        <w:t xml:space="preserve"> </w:t>
      </w:r>
      <w:r w:rsidRPr="002C0A36">
        <w:rPr>
          <w:b w:val="0"/>
          <w:szCs w:val="22"/>
        </w:rPr>
        <w:t>պետական</w:t>
      </w:r>
      <w:r w:rsidRPr="002C0A36">
        <w:rPr>
          <w:b w:val="0"/>
          <w:szCs w:val="22"/>
          <w:lang w:val="en-US"/>
        </w:rPr>
        <w:t xml:space="preserve"> </w:t>
      </w:r>
      <w:r w:rsidRPr="002C0A36">
        <w:rPr>
          <w:b w:val="0"/>
          <w:szCs w:val="22"/>
        </w:rPr>
        <w:t>բյուջեի</w:t>
      </w:r>
      <w:r w:rsidRPr="002C0A36">
        <w:rPr>
          <w:b w:val="0"/>
          <w:szCs w:val="22"/>
          <w:lang w:val="en-US"/>
        </w:rPr>
        <w:t xml:space="preserve"> </w:t>
      </w:r>
      <w:r w:rsidRPr="002C0A36">
        <w:rPr>
          <w:b w:val="0"/>
          <w:szCs w:val="22"/>
        </w:rPr>
        <w:t>նկատմամբ</w:t>
      </w:r>
      <w:r w:rsidRPr="002C0A36">
        <w:rPr>
          <w:b w:val="0"/>
          <w:szCs w:val="22"/>
          <w:lang w:val="en-US"/>
        </w:rPr>
        <w:t xml:space="preserve"> </w:t>
      </w:r>
      <w:r w:rsidRPr="002C0A36">
        <w:rPr>
          <w:b w:val="0"/>
          <w:szCs w:val="22"/>
        </w:rPr>
        <w:t>ենթավարկային</w:t>
      </w:r>
      <w:r w:rsidRPr="002C0A36">
        <w:rPr>
          <w:b w:val="0"/>
          <w:szCs w:val="22"/>
          <w:lang w:val="en-US"/>
        </w:rPr>
        <w:t xml:space="preserve"> </w:t>
      </w:r>
      <w:r w:rsidRPr="002C0A36">
        <w:rPr>
          <w:b w:val="0"/>
          <w:szCs w:val="22"/>
        </w:rPr>
        <w:t>պայմանագրերով</w:t>
      </w:r>
      <w:r w:rsidRPr="002C0A36">
        <w:rPr>
          <w:b w:val="0"/>
          <w:szCs w:val="22"/>
          <w:lang w:val="en-US"/>
        </w:rPr>
        <w:t xml:space="preserve"> </w:t>
      </w:r>
      <w:r w:rsidRPr="002C0A36">
        <w:rPr>
          <w:b w:val="0"/>
          <w:szCs w:val="22"/>
        </w:rPr>
        <w:t>նախատեսված</w:t>
      </w:r>
      <w:r w:rsidRPr="002C0A36">
        <w:rPr>
          <w:b w:val="0"/>
          <w:szCs w:val="22"/>
          <w:lang w:val="en-US"/>
        </w:rPr>
        <w:t xml:space="preserve"> </w:t>
      </w:r>
      <w:r w:rsidRPr="002C0A36">
        <w:rPr>
          <w:b w:val="0"/>
          <w:szCs w:val="22"/>
        </w:rPr>
        <w:t>վարկային</w:t>
      </w:r>
      <w:r w:rsidRPr="002C0A36">
        <w:rPr>
          <w:b w:val="0"/>
          <w:szCs w:val="22"/>
          <w:lang w:val="en-US"/>
        </w:rPr>
        <w:t xml:space="preserve"> </w:t>
      </w:r>
      <w:r w:rsidRPr="002C0A36">
        <w:rPr>
          <w:b w:val="0"/>
          <w:szCs w:val="22"/>
        </w:rPr>
        <w:t>պարտավորություններ</w:t>
      </w:r>
      <w:r w:rsidRPr="002C0A36">
        <w:rPr>
          <w:b w:val="0"/>
          <w:szCs w:val="22"/>
          <w:lang w:val="en-US"/>
        </w:rPr>
        <w:t xml:space="preserve">: </w:t>
      </w:r>
    </w:p>
    <w:p w:rsidR="002C0A36" w:rsidRPr="002C0A36" w:rsidRDefault="002C0A36" w:rsidP="007730AA">
      <w:pPr>
        <w:shd w:val="clear" w:color="auto" w:fill="FFFFFF"/>
        <w:spacing w:before="0" w:line="276" w:lineRule="auto"/>
        <w:contextualSpacing w:val="0"/>
        <w:rPr>
          <w:b w:val="0"/>
          <w:szCs w:val="22"/>
          <w:lang w:val="en-US"/>
        </w:rPr>
      </w:pPr>
      <w:r w:rsidRPr="002C0A36">
        <w:rPr>
          <w:b w:val="0"/>
          <w:szCs w:val="22"/>
        </w:rPr>
        <w:t>Ընկերությունը</w:t>
      </w:r>
      <w:r w:rsidRPr="002C0A36">
        <w:rPr>
          <w:b w:val="0"/>
          <w:szCs w:val="22"/>
          <w:lang w:val="en-US"/>
        </w:rPr>
        <w:t xml:space="preserve"> </w:t>
      </w:r>
      <w:r w:rsidRPr="002C0A36">
        <w:rPr>
          <w:b w:val="0"/>
          <w:szCs w:val="22"/>
        </w:rPr>
        <w:t>ներգրավված</w:t>
      </w:r>
      <w:r w:rsidRPr="002C0A36">
        <w:rPr>
          <w:b w:val="0"/>
          <w:szCs w:val="22"/>
          <w:lang w:val="en-US"/>
        </w:rPr>
        <w:t xml:space="preserve"> </w:t>
      </w:r>
      <w:r w:rsidRPr="002C0A36">
        <w:rPr>
          <w:b w:val="0"/>
          <w:szCs w:val="22"/>
        </w:rPr>
        <w:t>չի</w:t>
      </w:r>
      <w:r w:rsidRPr="002C0A36">
        <w:rPr>
          <w:b w:val="0"/>
          <w:szCs w:val="22"/>
          <w:lang w:val="en-US"/>
        </w:rPr>
        <w:t xml:space="preserve"> </w:t>
      </w:r>
      <w:r w:rsidRPr="002C0A36">
        <w:rPr>
          <w:b w:val="0"/>
          <w:szCs w:val="22"/>
        </w:rPr>
        <w:t>այնպիսի</w:t>
      </w:r>
      <w:r w:rsidRPr="002C0A36">
        <w:rPr>
          <w:b w:val="0"/>
          <w:szCs w:val="22"/>
          <w:lang w:val="en-US"/>
        </w:rPr>
        <w:t xml:space="preserve"> </w:t>
      </w:r>
      <w:r w:rsidRPr="002C0A36">
        <w:rPr>
          <w:b w:val="0"/>
          <w:szCs w:val="22"/>
        </w:rPr>
        <w:t>տեղական</w:t>
      </w:r>
      <w:r w:rsidRPr="002C0A36">
        <w:rPr>
          <w:b w:val="0"/>
          <w:szCs w:val="22"/>
          <w:lang w:val="en-US"/>
        </w:rPr>
        <w:t xml:space="preserve"> </w:t>
      </w:r>
      <w:r w:rsidRPr="002C0A36">
        <w:rPr>
          <w:b w:val="0"/>
          <w:szCs w:val="22"/>
        </w:rPr>
        <w:t>կամ</w:t>
      </w:r>
      <w:r w:rsidRPr="002C0A36">
        <w:rPr>
          <w:b w:val="0"/>
          <w:szCs w:val="22"/>
          <w:lang w:val="en-US"/>
        </w:rPr>
        <w:t xml:space="preserve"> </w:t>
      </w:r>
      <w:r w:rsidRPr="002C0A36">
        <w:rPr>
          <w:b w:val="0"/>
          <w:szCs w:val="22"/>
        </w:rPr>
        <w:t>միջազգային</w:t>
      </w:r>
      <w:r w:rsidRPr="002C0A36">
        <w:rPr>
          <w:b w:val="0"/>
          <w:szCs w:val="22"/>
          <w:lang w:val="en-US"/>
        </w:rPr>
        <w:t xml:space="preserve"> </w:t>
      </w:r>
      <w:r w:rsidRPr="002C0A36">
        <w:rPr>
          <w:b w:val="0"/>
          <w:szCs w:val="22"/>
        </w:rPr>
        <w:t>դատական</w:t>
      </w:r>
      <w:r w:rsidRPr="002C0A36">
        <w:rPr>
          <w:b w:val="0"/>
          <w:szCs w:val="22"/>
          <w:lang w:val="en-US"/>
        </w:rPr>
        <w:t xml:space="preserve"> </w:t>
      </w:r>
      <w:r w:rsidRPr="002C0A36">
        <w:rPr>
          <w:b w:val="0"/>
          <w:szCs w:val="22"/>
        </w:rPr>
        <w:t>վարույթներում</w:t>
      </w:r>
      <w:r w:rsidRPr="002C0A36">
        <w:rPr>
          <w:b w:val="0"/>
          <w:szCs w:val="22"/>
          <w:lang w:val="en-US"/>
        </w:rPr>
        <w:t xml:space="preserve">, </w:t>
      </w:r>
      <w:r w:rsidRPr="002C0A36">
        <w:rPr>
          <w:b w:val="0"/>
          <w:szCs w:val="22"/>
        </w:rPr>
        <w:t>որոնք</w:t>
      </w:r>
      <w:r w:rsidRPr="002C0A36">
        <w:rPr>
          <w:b w:val="0"/>
          <w:szCs w:val="22"/>
          <w:lang w:val="en-US"/>
        </w:rPr>
        <w:t xml:space="preserve"> </w:t>
      </w:r>
      <w:r w:rsidRPr="002C0A36">
        <w:rPr>
          <w:b w:val="0"/>
          <w:szCs w:val="22"/>
        </w:rPr>
        <w:t>կարող</w:t>
      </w:r>
      <w:r w:rsidRPr="002C0A36">
        <w:rPr>
          <w:b w:val="0"/>
          <w:szCs w:val="22"/>
          <w:lang w:val="en-US"/>
        </w:rPr>
        <w:t xml:space="preserve"> </w:t>
      </w:r>
      <w:r w:rsidRPr="002C0A36">
        <w:rPr>
          <w:b w:val="0"/>
          <w:szCs w:val="22"/>
        </w:rPr>
        <w:t>են</w:t>
      </w:r>
      <w:r w:rsidRPr="002C0A36">
        <w:rPr>
          <w:b w:val="0"/>
          <w:szCs w:val="22"/>
          <w:lang w:val="en-US"/>
        </w:rPr>
        <w:t xml:space="preserve"> </w:t>
      </w:r>
      <w:r w:rsidRPr="002C0A36">
        <w:rPr>
          <w:b w:val="0"/>
          <w:szCs w:val="22"/>
        </w:rPr>
        <w:t>էականա</w:t>
      </w:r>
      <w:r w:rsidRPr="002C0A36">
        <w:rPr>
          <w:b w:val="0"/>
          <w:szCs w:val="22"/>
          <w:lang w:val="en-US"/>
        </w:rPr>
        <w:t xml:space="preserve"> </w:t>
      </w:r>
      <w:r w:rsidRPr="002C0A36">
        <w:rPr>
          <w:b w:val="0"/>
          <w:szCs w:val="22"/>
        </w:rPr>
        <w:t>զդեցություն</w:t>
      </w:r>
      <w:r w:rsidRPr="002C0A36">
        <w:rPr>
          <w:b w:val="0"/>
          <w:szCs w:val="22"/>
          <w:lang w:val="en-US"/>
        </w:rPr>
        <w:t xml:space="preserve"> </w:t>
      </w:r>
      <w:r w:rsidRPr="002C0A36">
        <w:rPr>
          <w:b w:val="0"/>
          <w:szCs w:val="22"/>
        </w:rPr>
        <w:t>ունենալ</w:t>
      </w:r>
      <w:r w:rsidRPr="002C0A36">
        <w:rPr>
          <w:b w:val="0"/>
          <w:szCs w:val="22"/>
          <w:lang w:val="en-US"/>
        </w:rPr>
        <w:t xml:space="preserve"> </w:t>
      </w:r>
      <w:r w:rsidRPr="002C0A36">
        <w:rPr>
          <w:b w:val="0"/>
          <w:szCs w:val="22"/>
        </w:rPr>
        <w:t>ընկերության</w:t>
      </w:r>
      <w:r w:rsidRPr="002C0A36">
        <w:rPr>
          <w:b w:val="0"/>
          <w:szCs w:val="22"/>
          <w:lang w:val="en-US"/>
        </w:rPr>
        <w:t xml:space="preserve"> </w:t>
      </w:r>
      <w:r w:rsidRPr="002C0A36">
        <w:rPr>
          <w:b w:val="0"/>
          <w:szCs w:val="22"/>
        </w:rPr>
        <w:t>ֆինանսական</w:t>
      </w:r>
      <w:r w:rsidRPr="002C0A36">
        <w:rPr>
          <w:b w:val="0"/>
          <w:szCs w:val="22"/>
          <w:lang w:val="en-US"/>
        </w:rPr>
        <w:t xml:space="preserve"> </w:t>
      </w:r>
      <w:r w:rsidRPr="002C0A36">
        <w:rPr>
          <w:b w:val="0"/>
          <w:szCs w:val="22"/>
        </w:rPr>
        <w:t>վիճակի</w:t>
      </w:r>
      <w:r w:rsidRPr="002C0A36">
        <w:rPr>
          <w:b w:val="0"/>
          <w:szCs w:val="22"/>
          <w:lang w:val="en-US"/>
        </w:rPr>
        <w:t xml:space="preserve"> </w:t>
      </w:r>
      <w:r w:rsidRPr="002C0A36">
        <w:rPr>
          <w:b w:val="0"/>
          <w:szCs w:val="22"/>
        </w:rPr>
        <w:t>վրա</w:t>
      </w:r>
      <w:r w:rsidRPr="002C0A36">
        <w:rPr>
          <w:b w:val="0"/>
          <w:szCs w:val="22"/>
          <w:lang w:val="en-US"/>
        </w:rPr>
        <w:t>:</w:t>
      </w:r>
    </w:p>
    <w:p w:rsidR="002C0A36" w:rsidRPr="002C0A36" w:rsidRDefault="002C0A36" w:rsidP="007730AA">
      <w:pPr>
        <w:shd w:val="clear" w:color="auto" w:fill="FFFFFF"/>
        <w:spacing w:before="0" w:line="276" w:lineRule="auto"/>
        <w:contextualSpacing w:val="0"/>
        <w:rPr>
          <w:b w:val="0"/>
          <w:color w:val="000000"/>
          <w:szCs w:val="22"/>
          <w:lang w:val="en-US"/>
        </w:rPr>
      </w:pPr>
      <w:r w:rsidRPr="002C0A36">
        <w:rPr>
          <w:b w:val="0"/>
          <w:sz w:val="24"/>
          <w:lang w:val="en-US"/>
        </w:rPr>
        <w:tab/>
      </w:r>
      <w:r w:rsidRPr="002C0A36">
        <w:rPr>
          <w:b w:val="0"/>
          <w:color w:val="000000"/>
          <w:szCs w:val="22"/>
        </w:rPr>
        <w:t>Հարկ</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նաև</w:t>
      </w:r>
      <w:r w:rsidRPr="002C0A36">
        <w:rPr>
          <w:b w:val="0"/>
          <w:color w:val="000000"/>
          <w:szCs w:val="22"/>
          <w:lang w:val="en-US"/>
        </w:rPr>
        <w:t xml:space="preserve"> </w:t>
      </w:r>
      <w:r w:rsidRPr="002C0A36">
        <w:rPr>
          <w:b w:val="0"/>
          <w:color w:val="000000"/>
          <w:szCs w:val="22"/>
        </w:rPr>
        <w:t>նշել</w:t>
      </w:r>
      <w:r w:rsidRPr="002C0A36">
        <w:rPr>
          <w:b w:val="0"/>
          <w:color w:val="000000"/>
          <w:szCs w:val="22"/>
          <w:lang w:val="en-US"/>
        </w:rPr>
        <w:t xml:space="preserve">, </w:t>
      </w:r>
      <w:r w:rsidRPr="002C0A36">
        <w:rPr>
          <w:b w:val="0"/>
          <w:color w:val="000000"/>
          <w:szCs w:val="22"/>
        </w:rPr>
        <w:t>որ</w:t>
      </w:r>
      <w:r w:rsidRPr="002C0A36">
        <w:rPr>
          <w:b w:val="0"/>
          <w:color w:val="000000"/>
          <w:szCs w:val="22"/>
          <w:lang w:val="en-US"/>
        </w:rPr>
        <w:t xml:space="preserve"> </w:t>
      </w:r>
      <w:r w:rsidRPr="002C0A36">
        <w:rPr>
          <w:b w:val="0"/>
          <w:color w:val="000000"/>
          <w:szCs w:val="22"/>
        </w:rPr>
        <w:t>կոնցեսիոն</w:t>
      </w:r>
      <w:r w:rsidRPr="002C0A36">
        <w:rPr>
          <w:b w:val="0"/>
          <w:color w:val="000000"/>
          <w:szCs w:val="22"/>
          <w:lang w:val="en-US"/>
        </w:rPr>
        <w:t xml:space="preserve"> </w:t>
      </w:r>
      <w:r w:rsidRPr="002C0A36">
        <w:rPr>
          <w:b w:val="0"/>
          <w:color w:val="000000"/>
          <w:szCs w:val="22"/>
        </w:rPr>
        <w:t>պայմանագրով</w:t>
      </w:r>
      <w:r w:rsidRPr="002C0A36">
        <w:rPr>
          <w:b w:val="0"/>
          <w:color w:val="000000"/>
          <w:szCs w:val="22"/>
          <w:lang w:val="en-US"/>
        </w:rPr>
        <w:t xml:space="preserve"> </w:t>
      </w:r>
      <w:r w:rsidRPr="002C0A36">
        <w:rPr>
          <w:b w:val="0"/>
          <w:color w:val="000000"/>
          <w:szCs w:val="22"/>
        </w:rPr>
        <w:t>նախատեսված</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որ</w:t>
      </w:r>
      <w:r w:rsidRPr="002C0A36">
        <w:rPr>
          <w:b w:val="0"/>
          <w:color w:val="000000"/>
          <w:szCs w:val="22"/>
          <w:lang w:val="en-US"/>
        </w:rPr>
        <w:t xml:space="preserve"> </w:t>
      </w:r>
      <w:r w:rsidRPr="002C0A36">
        <w:rPr>
          <w:b w:val="0"/>
          <w:color w:val="000000"/>
          <w:szCs w:val="22"/>
        </w:rPr>
        <w:t>կոնցեդենտը</w:t>
      </w:r>
      <w:r w:rsidRPr="002C0A36">
        <w:rPr>
          <w:b w:val="0"/>
          <w:color w:val="000000"/>
          <w:szCs w:val="22"/>
          <w:lang w:val="en-US"/>
        </w:rPr>
        <w:t xml:space="preserve"> </w:t>
      </w:r>
      <w:r w:rsidRPr="002C0A36">
        <w:rPr>
          <w:b w:val="0"/>
          <w:color w:val="000000"/>
          <w:szCs w:val="22"/>
        </w:rPr>
        <w:t>սուբսիդավորում</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մասնակի</w:t>
      </w:r>
      <w:r w:rsidRPr="002C0A36">
        <w:rPr>
          <w:b w:val="0"/>
          <w:color w:val="000000"/>
          <w:szCs w:val="22"/>
          <w:lang w:val="en-US"/>
        </w:rPr>
        <w:t xml:space="preserve"> </w:t>
      </w:r>
      <w:r w:rsidRPr="002C0A36">
        <w:rPr>
          <w:b w:val="0"/>
          <w:color w:val="000000"/>
          <w:szCs w:val="22"/>
        </w:rPr>
        <w:t>փոխհատուցում</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համաձայնեցված</w:t>
      </w:r>
      <w:r w:rsidRPr="002C0A36">
        <w:rPr>
          <w:b w:val="0"/>
          <w:color w:val="000000"/>
          <w:szCs w:val="22"/>
          <w:lang w:val="en-US"/>
        </w:rPr>
        <w:t xml:space="preserve"> </w:t>
      </w:r>
      <w:r w:rsidRPr="002C0A36">
        <w:rPr>
          <w:b w:val="0"/>
          <w:color w:val="000000"/>
          <w:szCs w:val="22"/>
        </w:rPr>
        <w:t>ծավալներով</w:t>
      </w:r>
      <w:r w:rsidRPr="002C0A36">
        <w:rPr>
          <w:b w:val="0"/>
          <w:color w:val="000000"/>
          <w:szCs w:val="22"/>
          <w:lang w:val="en-US"/>
        </w:rPr>
        <w:t xml:space="preserve"> </w:t>
      </w:r>
      <w:r w:rsidRPr="002C0A36">
        <w:rPr>
          <w:b w:val="0"/>
          <w:color w:val="000000"/>
          <w:szCs w:val="22"/>
        </w:rPr>
        <w:t>և</w:t>
      </w:r>
      <w:r w:rsidRPr="002C0A36">
        <w:rPr>
          <w:b w:val="0"/>
          <w:color w:val="000000"/>
          <w:szCs w:val="22"/>
          <w:lang w:val="en-US"/>
        </w:rPr>
        <w:t xml:space="preserve"> </w:t>
      </w:r>
      <w:r w:rsidRPr="002C0A36">
        <w:rPr>
          <w:b w:val="0"/>
          <w:color w:val="000000"/>
          <w:szCs w:val="22"/>
        </w:rPr>
        <w:t>ուղղություններով</w:t>
      </w:r>
      <w:r w:rsidRPr="002C0A36">
        <w:rPr>
          <w:b w:val="0"/>
          <w:color w:val="000000"/>
          <w:szCs w:val="22"/>
          <w:lang w:val="en-US"/>
        </w:rPr>
        <w:t xml:space="preserve"> </w:t>
      </w:r>
      <w:r w:rsidRPr="002C0A36">
        <w:rPr>
          <w:b w:val="0"/>
          <w:color w:val="000000"/>
          <w:szCs w:val="22"/>
        </w:rPr>
        <w:t>ուղևորափոխադրումների</w:t>
      </w:r>
      <w:r w:rsidRPr="002C0A36">
        <w:rPr>
          <w:b w:val="0"/>
          <w:color w:val="000000"/>
          <w:szCs w:val="22"/>
          <w:lang w:val="en-US"/>
        </w:rPr>
        <w:t xml:space="preserve"> </w:t>
      </w:r>
      <w:r w:rsidRPr="002C0A36">
        <w:rPr>
          <w:b w:val="0"/>
          <w:color w:val="000000"/>
          <w:szCs w:val="22"/>
        </w:rPr>
        <w:t>կոնցեսիոների</w:t>
      </w:r>
      <w:r w:rsidRPr="002C0A36">
        <w:rPr>
          <w:b w:val="0"/>
          <w:color w:val="000000"/>
          <w:szCs w:val="22"/>
          <w:lang w:val="en-US"/>
        </w:rPr>
        <w:t xml:space="preserve"> (</w:t>
      </w:r>
      <w:r w:rsidRPr="002C0A36">
        <w:rPr>
          <w:b w:val="0"/>
          <w:color w:val="000000"/>
          <w:szCs w:val="22"/>
        </w:rPr>
        <w:t>Ընկերության</w:t>
      </w:r>
      <w:r w:rsidRPr="002C0A36">
        <w:rPr>
          <w:b w:val="0"/>
          <w:color w:val="000000"/>
          <w:szCs w:val="22"/>
          <w:lang w:val="en-US"/>
        </w:rPr>
        <w:t xml:space="preserve">) </w:t>
      </w:r>
      <w:r w:rsidRPr="002C0A36">
        <w:rPr>
          <w:b w:val="0"/>
          <w:color w:val="000000"/>
          <w:szCs w:val="22"/>
        </w:rPr>
        <w:t>տարեկան</w:t>
      </w:r>
      <w:r w:rsidRPr="002C0A36">
        <w:rPr>
          <w:b w:val="0"/>
          <w:color w:val="000000"/>
          <w:szCs w:val="22"/>
          <w:lang w:val="en-US"/>
        </w:rPr>
        <w:t xml:space="preserve"> </w:t>
      </w:r>
      <w:r w:rsidRPr="002C0A36">
        <w:rPr>
          <w:b w:val="0"/>
          <w:color w:val="000000"/>
          <w:szCs w:val="22"/>
        </w:rPr>
        <w:t>վնասը</w:t>
      </w:r>
      <w:r w:rsidRPr="002C0A36">
        <w:rPr>
          <w:b w:val="0"/>
          <w:color w:val="000000"/>
          <w:szCs w:val="22"/>
          <w:lang w:val="en-US"/>
        </w:rPr>
        <w:t xml:space="preserve"> </w:t>
      </w:r>
      <w:r w:rsidRPr="002C0A36">
        <w:rPr>
          <w:b w:val="0"/>
          <w:color w:val="000000"/>
          <w:szCs w:val="22"/>
        </w:rPr>
        <w:t>կոնցեսիոների</w:t>
      </w:r>
      <w:r w:rsidRPr="002C0A36">
        <w:rPr>
          <w:b w:val="0"/>
          <w:color w:val="000000"/>
          <w:szCs w:val="22"/>
          <w:lang w:val="en-US"/>
        </w:rPr>
        <w:t xml:space="preserve"> </w:t>
      </w:r>
      <w:r w:rsidRPr="002C0A36">
        <w:rPr>
          <w:b w:val="0"/>
          <w:color w:val="000000"/>
          <w:szCs w:val="22"/>
        </w:rPr>
        <w:t>կողմից</w:t>
      </w:r>
      <w:r w:rsidRPr="002C0A36">
        <w:rPr>
          <w:b w:val="0"/>
          <w:color w:val="000000"/>
          <w:szCs w:val="22"/>
          <w:lang w:val="en-US"/>
        </w:rPr>
        <w:t xml:space="preserve"> </w:t>
      </w:r>
      <w:r w:rsidRPr="002C0A36">
        <w:rPr>
          <w:b w:val="0"/>
          <w:color w:val="000000"/>
          <w:szCs w:val="22"/>
        </w:rPr>
        <w:t>անկախ</w:t>
      </w:r>
      <w:r w:rsidRPr="002C0A36">
        <w:rPr>
          <w:b w:val="0"/>
          <w:color w:val="000000"/>
          <w:szCs w:val="22"/>
          <w:lang w:val="en-US"/>
        </w:rPr>
        <w:t xml:space="preserve"> </w:t>
      </w:r>
      <w:r w:rsidRPr="002C0A36">
        <w:rPr>
          <w:b w:val="0"/>
          <w:color w:val="000000"/>
          <w:szCs w:val="22"/>
        </w:rPr>
        <w:t>աուդիտորի</w:t>
      </w:r>
      <w:r w:rsidRPr="002C0A36">
        <w:rPr>
          <w:b w:val="0"/>
          <w:color w:val="000000"/>
          <w:szCs w:val="22"/>
          <w:lang w:val="en-US"/>
        </w:rPr>
        <w:t xml:space="preserve"> </w:t>
      </w:r>
      <w:r w:rsidRPr="002C0A36">
        <w:rPr>
          <w:b w:val="0"/>
          <w:color w:val="000000"/>
          <w:szCs w:val="22"/>
        </w:rPr>
        <w:t>կողմից</w:t>
      </w:r>
      <w:r w:rsidRPr="002C0A36">
        <w:rPr>
          <w:b w:val="0"/>
          <w:color w:val="000000"/>
          <w:szCs w:val="22"/>
          <w:lang w:val="en-US"/>
        </w:rPr>
        <w:t xml:space="preserve"> </w:t>
      </w:r>
      <w:r w:rsidRPr="002C0A36">
        <w:rPr>
          <w:b w:val="0"/>
          <w:color w:val="000000"/>
          <w:szCs w:val="22"/>
        </w:rPr>
        <w:t>այդ</w:t>
      </w:r>
      <w:r w:rsidRPr="002C0A36">
        <w:rPr>
          <w:b w:val="0"/>
          <w:color w:val="000000"/>
          <w:szCs w:val="22"/>
          <w:lang w:val="en-US"/>
        </w:rPr>
        <w:t xml:space="preserve"> </w:t>
      </w:r>
      <w:r w:rsidRPr="002C0A36">
        <w:rPr>
          <w:b w:val="0"/>
          <w:color w:val="000000"/>
          <w:szCs w:val="22"/>
        </w:rPr>
        <w:t>վնասների</w:t>
      </w:r>
      <w:r w:rsidRPr="002C0A36">
        <w:rPr>
          <w:b w:val="0"/>
          <w:color w:val="000000"/>
          <w:szCs w:val="22"/>
          <w:lang w:val="en-US"/>
        </w:rPr>
        <w:t xml:space="preserve"> </w:t>
      </w:r>
      <w:r w:rsidRPr="002C0A36">
        <w:rPr>
          <w:b w:val="0"/>
          <w:color w:val="000000"/>
          <w:szCs w:val="22"/>
        </w:rPr>
        <w:t>հաստատված</w:t>
      </w:r>
      <w:r w:rsidRPr="002C0A36">
        <w:rPr>
          <w:b w:val="0"/>
          <w:color w:val="000000"/>
          <w:szCs w:val="22"/>
          <w:lang w:val="en-US"/>
        </w:rPr>
        <w:t xml:space="preserve"> </w:t>
      </w:r>
      <w:r w:rsidRPr="002C0A36">
        <w:rPr>
          <w:b w:val="0"/>
          <w:color w:val="000000"/>
          <w:szCs w:val="22"/>
        </w:rPr>
        <w:t>հաշվարկների</w:t>
      </w:r>
      <w:r w:rsidRPr="002C0A36">
        <w:rPr>
          <w:b w:val="0"/>
          <w:color w:val="000000"/>
          <w:szCs w:val="22"/>
          <w:lang w:val="en-US"/>
        </w:rPr>
        <w:t xml:space="preserve"> </w:t>
      </w:r>
      <w:r w:rsidRPr="002C0A36">
        <w:rPr>
          <w:b w:val="0"/>
          <w:color w:val="000000"/>
          <w:szCs w:val="22"/>
        </w:rPr>
        <w:t>ներկայացման</w:t>
      </w:r>
      <w:r w:rsidRPr="002C0A36">
        <w:rPr>
          <w:b w:val="0"/>
          <w:color w:val="000000"/>
          <w:szCs w:val="22"/>
          <w:lang w:val="en-US"/>
        </w:rPr>
        <w:t xml:space="preserve"> </w:t>
      </w:r>
      <w:r w:rsidRPr="002C0A36">
        <w:rPr>
          <w:b w:val="0"/>
          <w:color w:val="000000"/>
          <w:szCs w:val="22"/>
        </w:rPr>
        <w:t>պարագայում</w:t>
      </w:r>
      <w:r w:rsidRPr="002C0A36">
        <w:rPr>
          <w:b w:val="0"/>
          <w:color w:val="000000"/>
          <w:szCs w:val="22"/>
          <w:lang w:val="en-US"/>
        </w:rPr>
        <w:t>:</w:t>
      </w:r>
    </w:p>
    <w:p w:rsidR="002C0A36" w:rsidRPr="002C0A36" w:rsidRDefault="002C0A36" w:rsidP="007730AA">
      <w:pPr>
        <w:shd w:val="clear" w:color="auto" w:fill="FFFFFF"/>
        <w:spacing w:before="0" w:line="276" w:lineRule="auto"/>
        <w:contextualSpacing w:val="0"/>
        <w:rPr>
          <w:b w:val="0"/>
          <w:color w:val="000000"/>
          <w:szCs w:val="22"/>
          <w:lang w:val="en-US"/>
        </w:rPr>
      </w:pPr>
      <w:r w:rsidRPr="002C0A36">
        <w:rPr>
          <w:b w:val="0"/>
          <w:color w:val="000000"/>
          <w:szCs w:val="22"/>
        </w:rPr>
        <w:t>Սուբսիդիայի</w:t>
      </w:r>
      <w:r w:rsidRPr="002C0A36">
        <w:rPr>
          <w:b w:val="0"/>
          <w:color w:val="000000"/>
          <w:szCs w:val="22"/>
          <w:lang w:val="en-US"/>
        </w:rPr>
        <w:t xml:space="preserve"> </w:t>
      </w:r>
      <w:r w:rsidRPr="002C0A36">
        <w:rPr>
          <w:b w:val="0"/>
          <w:color w:val="000000"/>
          <w:szCs w:val="22"/>
        </w:rPr>
        <w:t>համաձայնեցված</w:t>
      </w:r>
      <w:r w:rsidRPr="002C0A36">
        <w:rPr>
          <w:b w:val="0"/>
          <w:color w:val="000000"/>
          <w:szCs w:val="22"/>
          <w:lang w:val="en-US"/>
        </w:rPr>
        <w:t xml:space="preserve"> </w:t>
      </w:r>
      <w:r w:rsidRPr="002C0A36">
        <w:rPr>
          <w:b w:val="0"/>
          <w:color w:val="000000"/>
          <w:szCs w:val="22"/>
        </w:rPr>
        <w:t>չափը</w:t>
      </w:r>
      <w:r w:rsidRPr="002C0A36">
        <w:rPr>
          <w:b w:val="0"/>
          <w:color w:val="000000"/>
          <w:szCs w:val="22"/>
          <w:lang w:val="en-US"/>
        </w:rPr>
        <w:t xml:space="preserve"> </w:t>
      </w:r>
      <w:r w:rsidRPr="002C0A36">
        <w:rPr>
          <w:b w:val="0"/>
          <w:color w:val="000000"/>
          <w:szCs w:val="22"/>
        </w:rPr>
        <w:t>կազմում</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2015</w:t>
      </w:r>
      <w:r w:rsidRPr="002C0A36">
        <w:rPr>
          <w:b w:val="0"/>
          <w:color w:val="000000"/>
          <w:szCs w:val="22"/>
        </w:rPr>
        <w:t>թ</w:t>
      </w:r>
      <w:r w:rsidRPr="002C0A36">
        <w:rPr>
          <w:b w:val="0"/>
          <w:color w:val="000000"/>
          <w:szCs w:val="22"/>
          <w:lang w:val="en-US"/>
        </w:rPr>
        <w:t>. 25%, 2016</w:t>
      </w:r>
      <w:r w:rsidRPr="002C0A36">
        <w:rPr>
          <w:b w:val="0"/>
          <w:color w:val="000000"/>
          <w:szCs w:val="22"/>
        </w:rPr>
        <w:t>թ</w:t>
      </w:r>
      <w:r w:rsidRPr="002C0A36">
        <w:rPr>
          <w:b w:val="0"/>
          <w:color w:val="000000"/>
          <w:szCs w:val="22"/>
          <w:lang w:val="en-US"/>
        </w:rPr>
        <w:t xml:space="preserve">. </w:t>
      </w:r>
      <w:r w:rsidRPr="002C0A36">
        <w:rPr>
          <w:b w:val="0"/>
          <w:color w:val="000000"/>
          <w:szCs w:val="22"/>
        </w:rPr>
        <w:t>մինչև</w:t>
      </w:r>
      <w:r w:rsidRPr="002C0A36">
        <w:rPr>
          <w:b w:val="0"/>
          <w:color w:val="000000"/>
          <w:szCs w:val="22"/>
          <w:lang w:val="en-US"/>
        </w:rPr>
        <w:t xml:space="preserve"> 2038</w:t>
      </w:r>
      <w:r w:rsidRPr="002C0A36">
        <w:rPr>
          <w:b w:val="0"/>
          <w:color w:val="000000"/>
          <w:szCs w:val="22"/>
        </w:rPr>
        <w:t>թ</w:t>
      </w:r>
      <w:r w:rsidRPr="002C0A36">
        <w:rPr>
          <w:b w:val="0"/>
          <w:color w:val="000000"/>
          <w:szCs w:val="22"/>
          <w:lang w:val="en-US"/>
        </w:rPr>
        <w:t xml:space="preserve">. 30 </w:t>
      </w:r>
      <w:r w:rsidRPr="002C0A36">
        <w:rPr>
          <w:b w:val="0"/>
          <w:color w:val="000000"/>
          <w:szCs w:val="22"/>
        </w:rPr>
        <w:t>տոկոս</w:t>
      </w:r>
      <w:r w:rsidRPr="002C0A36">
        <w:rPr>
          <w:b w:val="0"/>
          <w:color w:val="000000"/>
          <w:szCs w:val="22"/>
          <w:lang w:val="en-US"/>
        </w:rPr>
        <w:t xml:space="preserve"> (2015</w:t>
      </w:r>
      <w:r w:rsidRPr="002C0A36">
        <w:rPr>
          <w:b w:val="0"/>
          <w:color w:val="000000"/>
          <w:szCs w:val="22"/>
        </w:rPr>
        <w:t>թ</w:t>
      </w:r>
      <w:r w:rsidRPr="002C0A36">
        <w:rPr>
          <w:b w:val="0"/>
          <w:color w:val="000000"/>
          <w:szCs w:val="22"/>
          <w:lang w:val="en-US"/>
        </w:rPr>
        <w:t xml:space="preserve">. </w:t>
      </w:r>
      <w:r w:rsidRPr="002C0A36">
        <w:rPr>
          <w:b w:val="0"/>
          <w:color w:val="000000"/>
          <w:szCs w:val="22"/>
        </w:rPr>
        <w:t>համար</w:t>
      </w:r>
      <w:r w:rsidRPr="002C0A36">
        <w:rPr>
          <w:b w:val="0"/>
          <w:color w:val="000000"/>
          <w:szCs w:val="22"/>
          <w:lang w:val="en-US"/>
        </w:rPr>
        <w:t xml:space="preserve"> 344.1 </w:t>
      </w:r>
      <w:r w:rsidRPr="002C0A36">
        <w:rPr>
          <w:b w:val="0"/>
          <w:color w:val="000000"/>
          <w:szCs w:val="22"/>
        </w:rPr>
        <w:t>մլն</w:t>
      </w:r>
      <w:r w:rsidRPr="002C0A36">
        <w:rPr>
          <w:b w:val="0"/>
          <w:color w:val="000000"/>
          <w:szCs w:val="22"/>
          <w:lang w:val="en-US"/>
        </w:rPr>
        <w:t xml:space="preserve"> </w:t>
      </w:r>
      <w:r w:rsidRPr="002C0A36">
        <w:rPr>
          <w:b w:val="0"/>
          <w:color w:val="000000"/>
          <w:szCs w:val="22"/>
        </w:rPr>
        <w:t>դրամ</w:t>
      </w:r>
      <w:r w:rsidRPr="002C0A36">
        <w:rPr>
          <w:b w:val="0"/>
          <w:color w:val="000000"/>
          <w:szCs w:val="22"/>
          <w:lang w:val="en-US"/>
        </w:rPr>
        <w:t>, 2016</w:t>
      </w:r>
      <w:r w:rsidRPr="002C0A36">
        <w:rPr>
          <w:b w:val="0"/>
          <w:color w:val="000000"/>
          <w:szCs w:val="22"/>
        </w:rPr>
        <w:t>թ</w:t>
      </w:r>
      <w:r w:rsidRPr="002C0A36">
        <w:rPr>
          <w:b w:val="0"/>
          <w:color w:val="000000"/>
          <w:szCs w:val="22"/>
          <w:lang w:val="en-US"/>
        </w:rPr>
        <w:t xml:space="preserve">.` 312.8 </w:t>
      </w:r>
      <w:r w:rsidRPr="002C0A36">
        <w:rPr>
          <w:b w:val="0"/>
          <w:color w:val="000000"/>
          <w:szCs w:val="22"/>
        </w:rPr>
        <w:t>մլն</w:t>
      </w:r>
      <w:r w:rsidRPr="002C0A36">
        <w:rPr>
          <w:b w:val="0"/>
          <w:color w:val="000000"/>
          <w:szCs w:val="22"/>
          <w:lang w:val="en-US"/>
        </w:rPr>
        <w:t xml:space="preserve"> </w:t>
      </w:r>
      <w:r w:rsidRPr="002C0A36">
        <w:rPr>
          <w:b w:val="0"/>
          <w:color w:val="000000"/>
          <w:szCs w:val="22"/>
        </w:rPr>
        <w:t>դրամ</w:t>
      </w:r>
      <w:r w:rsidRPr="002C0A36">
        <w:rPr>
          <w:b w:val="0"/>
          <w:color w:val="000000"/>
          <w:szCs w:val="22"/>
          <w:lang w:val="en-US"/>
        </w:rPr>
        <w:t xml:space="preserve">, </w:t>
      </w:r>
      <w:r w:rsidRPr="002C0A36">
        <w:rPr>
          <w:b w:val="0"/>
          <w:color w:val="000000"/>
          <w:szCs w:val="22"/>
        </w:rPr>
        <w:t>իսկ</w:t>
      </w:r>
      <w:r w:rsidRPr="002C0A36">
        <w:rPr>
          <w:b w:val="0"/>
          <w:color w:val="000000"/>
          <w:szCs w:val="22"/>
          <w:lang w:val="en-US"/>
        </w:rPr>
        <w:t xml:space="preserve"> 2017</w:t>
      </w:r>
      <w:r w:rsidRPr="002C0A36">
        <w:rPr>
          <w:b w:val="0"/>
          <w:color w:val="000000"/>
          <w:szCs w:val="22"/>
        </w:rPr>
        <w:t>թ</w:t>
      </w:r>
      <w:r w:rsidRPr="002C0A36">
        <w:rPr>
          <w:b w:val="0"/>
          <w:color w:val="000000"/>
          <w:szCs w:val="22"/>
          <w:lang w:val="en-US"/>
        </w:rPr>
        <w:t>-</w:t>
      </w:r>
      <w:r w:rsidRPr="002C0A36">
        <w:rPr>
          <w:b w:val="0"/>
          <w:color w:val="000000"/>
          <w:szCs w:val="22"/>
        </w:rPr>
        <w:t>ին</w:t>
      </w:r>
      <w:r w:rsidRPr="002C0A36">
        <w:rPr>
          <w:b w:val="0"/>
          <w:color w:val="000000"/>
          <w:szCs w:val="22"/>
          <w:lang w:val="en-US"/>
        </w:rPr>
        <w:t xml:space="preserve"> 301.7 </w:t>
      </w:r>
      <w:r w:rsidRPr="002C0A36">
        <w:rPr>
          <w:b w:val="0"/>
          <w:color w:val="000000"/>
          <w:szCs w:val="22"/>
        </w:rPr>
        <w:t>մլն</w:t>
      </w:r>
      <w:r w:rsidRPr="002C0A36">
        <w:rPr>
          <w:b w:val="0"/>
          <w:color w:val="000000"/>
          <w:szCs w:val="22"/>
          <w:lang w:val="en-US"/>
        </w:rPr>
        <w:t xml:space="preserve"> </w:t>
      </w:r>
      <w:r w:rsidRPr="002C0A36">
        <w:rPr>
          <w:b w:val="0"/>
          <w:color w:val="000000"/>
          <w:szCs w:val="22"/>
        </w:rPr>
        <w:t>դրամ</w:t>
      </w:r>
      <w:r w:rsidRPr="002C0A36">
        <w:rPr>
          <w:b w:val="0"/>
          <w:color w:val="000000"/>
          <w:szCs w:val="22"/>
          <w:lang w:val="en-US"/>
        </w:rPr>
        <w:t>, 2018</w:t>
      </w:r>
      <w:r w:rsidRPr="002C0A36">
        <w:rPr>
          <w:b w:val="0"/>
          <w:color w:val="000000"/>
          <w:szCs w:val="22"/>
        </w:rPr>
        <w:t>թ</w:t>
      </w:r>
      <w:r w:rsidRPr="002C0A36">
        <w:rPr>
          <w:b w:val="0"/>
          <w:color w:val="000000"/>
          <w:szCs w:val="22"/>
          <w:lang w:val="en-US"/>
        </w:rPr>
        <w:t>-</w:t>
      </w:r>
      <w:r w:rsidRPr="002C0A36">
        <w:rPr>
          <w:b w:val="0"/>
          <w:color w:val="000000"/>
          <w:szCs w:val="22"/>
        </w:rPr>
        <w:t>ին՝</w:t>
      </w:r>
      <w:r w:rsidRPr="002C0A36">
        <w:rPr>
          <w:b w:val="0"/>
          <w:color w:val="000000"/>
          <w:szCs w:val="22"/>
          <w:lang w:val="en-US"/>
        </w:rPr>
        <w:t xml:space="preserve"> 347.0 </w:t>
      </w:r>
      <w:r w:rsidRPr="002C0A36">
        <w:rPr>
          <w:b w:val="0"/>
          <w:color w:val="000000"/>
          <w:szCs w:val="22"/>
        </w:rPr>
        <w:t>մլն</w:t>
      </w:r>
      <w:r w:rsidRPr="002C0A36">
        <w:rPr>
          <w:b w:val="0"/>
          <w:color w:val="000000"/>
          <w:szCs w:val="22"/>
          <w:lang w:val="en-US"/>
        </w:rPr>
        <w:t xml:space="preserve"> </w:t>
      </w:r>
      <w:r w:rsidRPr="002C0A36">
        <w:rPr>
          <w:b w:val="0"/>
          <w:color w:val="000000"/>
          <w:szCs w:val="22"/>
        </w:rPr>
        <w:t>դրամ</w:t>
      </w:r>
      <w:r w:rsidRPr="002C0A36">
        <w:rPr>
          <w:b w:val="0"/>
          <w:color w:val="000000"/>
          <w:szCs w:val="22"/>
          <w:lang w:val="en-US"/>
        </w:rPr>
        <w:t>, 2019</w:t>
      </w:r>
      <w:r w:rsidRPr="002C0A36">
        <w:rPr>
          <w:b w:val="0"/>
          <w:color w:val="000000"/>
          <w:szCs w:val="22"/>
        </w:rPr>
        <w:t>թ</w:t>
      </w:r>
      <w:r w:rsidRPr="002C0A36">
        <w:rPr>
          <w:b w:val="0"/>
          <w:color w:val="000000"/>
          <w:szCs w:val="22"/>
          <w:lang w:val="en-US"/>
        </w:rPr>
        <w:t xml:space="preserve">. </w:t>
      </w:r>
      <w:r w:rsidRPr="002C0A36">
        <w:rPr>
          <w:b w:val="0"/>
          <w:color w:val="000000"/>
          <w:szCs w:val="22"/>
        </w:rPr>
        <w:t>նախատեսվել</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352.0 </w:t>
      </w:r>
      <w:r w:rsidRPr="002C0A36">
        <w:rPr>
          <w:b w:val="0"/>
          <w:color w:val="000000"/>
          <w:szCs w:val="22"/>
        </w:rPr>
        <w:t>մլն</w:t>
      </w:r>
      <w:r w:rsidRPr="002C0A36">
        <w:rPr>
          <w:b w:val="0"/>
          <w:color w:val="000000"/>
          <w:szCs w:val="22"/>
          <w:lang w:val="en-US"/>
        </w:rPr>
        <w:t xml:space="preserve"> </w:t>
      </w:r>
      <w:r w:rsidRPr="002C0A36">
        <w:rPr>
          <w:b w:val="0"/>
          <w:color w:val="000000"/>
          <w:szCs w:val="22"/>
        </w:rPr>
        <w:t>դրամ</w:t>
      </w:r>
      <w:r w:rsidRPr="002C0A36">
        <w:rPr>
          <w:b w:val="0"/>
          <w:color w:val="000000"/>
          <w:szCs w:val="22"/>
          <w:lang w:val="en-US"/>
        </w:rPr>
        <w:t xml:space="preserve">, </w:t>
      </w:r>
      <w:r w:rsidRPr="002C0A36">
        <w:rPr>
          <w:b w:val="0"/>
          <w:color w:val="000000"/>
          <w:szCs w:val="22"/>
        </w:rPr>
        <w:t>փաստացի</w:t>
      </w:r>
      <w:r w:rsidRPr="002C0A36">
        <w:rPr>
          <w:b w:val="0"/>
          <w:color w:val="000000"/>
          <w:szCs w:val="22"/>
          <w:lang w:val="en-US"/>
        </w:rPr>
        <w:t xml:space="preserve"> </w:t>
      </w:r>
      <w:r w:rsidRPr="002C0A36">
        <w:rPr>
          <w:b w:val="0"/>
          <w:color w:val="000000"/>
          <w:szCs w:val="22"/>
        </w:rPr>
        <w:t>վճարվել</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377.8 </w:t>
      </w:r>
      <w:r w:rsidRPr="002C0A36">
        <w:rPr>
          <w:b w:val="0"/>
          <w:color w:val="000000"/>
          <w:szCs w:val="22"/>
        </w:rPr>
        <w:t>մլն</w:t>
      </w:r>
      <w:r w:rsidRPr="002C0A36">
        <w:rPr>
          <w:b w:val="0"/>
          <w:color w:val="000000"/>
          <w:szCs w:val="22"/>
          <w:lang w:val="en-US"/>
        </w:rPr>
        <w:t xml:space="preserve"> </w:t>
      </w:r>
      <w:r w:rsidRPr="002C0A36">
        <w:rPr>
          <w:b w:val="0"/>
          <w:color w:val="000000"/>
          <w:szCs w:val="22"/>
        </w:rPr>
        <w:t>դրամ</w:t>
      </w:r>
      <w:r w:rsidRPr="002C0A36">
        <w:rPr>
          <w:b w:val="0"/>
          <w:color w:val="000000"/>
          <w:szCs w:val="22"/>
          <w:lang w:val="en-US"/>
        </w:rPr>
        <w:t>):</w:t>
      </w:r>
    </w:p>
    <w:p w:rsidR="002C0A36" w:rsidRPr="002C0A36" w:rsidRDefault="002C0A36" w:rsidP="007730AA">
      <w:pPr>
        <w:shd w:val="clear" w:color="auto" w:fill="FFFFFF"/>
        <w:spacing w:before="0" w:line="276" w:lineRule="auto"/>
        <w:contextualSpacing w:val="0"/>
        <w:rPr>
          <w:b w:val="0"/>
          <w:color w:val="000000"/>
          <w:szCs w:val="22"/>
          <w:lang w:val="en-US"/>
        </w:rPr>
      </w:pPr>
      <w:r w:rsidRPr="002C0A36">
        <w:rPr>
          <w:b w:val="0"/>
          <w:color w:val="000000"/>
          <w:szCs w:val="22"/>
        </w:rPr>
        <w:t>Միաժամանակ</w:t>
      </w:r>
      <w:r w:rsidRPr="002C0A36">
        <w:rPr>
          <w:b w:val="0"/>
          <w:color w:val="000000"/>
          <w:szCs w:val="22"/>
          <w:lang w:val="en-US"/>
        </w:rPr>
        <w:t xml:space="preserve"> </w:t>
      </w:r>
      <w:r w:rsidRPr="002C0A36">
        <w:rPr>
          <w:b w:val="0"/>
          <w:color w:val="000000"/>
          <w:szCs w:val="22"/>
        </w:rPr>
        <w:t>կոնցեսիոն</w:t>
      </w:r>
      <w:r w:rsidRPr="002C0A36">
        <w:rPr>
          <w:b w:val="0"/>
          <w:color w:val="000000"/>
          <w:szCs w:val="22"/>
          <w:lang w:val="en-US"/>
        </w:rPr>
        <w:t xml:space="preserve"> </w:t>
      </w:r>
      <w:r w:rsidRPr="002C0A36">
        <w:rPr>
          <w:b w:val="0"/>
          <w:color w:val="000000"/>
          <w:szCs w:val="22"/>
        </w:rPr>
        <w:t>պայմանագրով</w:t>
      </w:r>
      <w:r w:rsidRPr="002C0A36">
        <w:rPr>
          <w:b w:val="0"/>
          <w:color w:val="000000"/>
          <w:szCs w:val="22"/>
          <w:lang w:val="en-US"/>
        </w:rPr>
        <w:t xml:space="preserve"> </w:t>
      </w:r>
      <w:r w:rsidRPr="002C0A36">
        <w:rPr>
          <w:b w:val="0"/>
          <w:color w:val="000000"/>
          <w:szCs w:val="22"/>
        </w:rPr>
        <w:t>նախատեսված</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նաև</w:t>
      </w:r>
      <w:r w:rsidRPr="002C0A36">
        <w:rPr>
          <w:b w:val="0"/>
          <w:color w:val="000000"/>
          <w:szCs w:val="22"/>
          <w:lang w:val="en-US"/>
        </w:rPr>
        <w:t xml:space="preserve">, </w:t>
      </w:r>
      <w:r w:rsidRPr="002C0A36">
        <w:rPr>
          <w:b w:val="0"/>
          <w:color w:val="000000"/>
          <w:szCs w:val="22"/>
        </w:rPr>
        <w:t>որ</w:t>
      </w:r>
      <w:r w:rsidRPr="002C0A36">
        <w:rPr>
          <w:b w:val="0"/>
          <w:color w:val="000000"/>
          <w:szCs w:val="22"/>
          <w:lang w:val="en-US"/>
        </w:rPr>
        <w:t xml:space="preserve"> </w:t>
      </w:r>
      <w:r w:rsidRPr="002C0A36">
        <w:rPr>
          <w:b w:val="0"/>
          <w:color w:val="000000"/>
          <w:szCs w:val="22"/>
        </w:rPr>
        <w:t>կոնցեսիոները</w:t>
      </w:r>
      <w:r w:rsidRPr="002C0A36">
        <w:rPr>
          <w:b w:val="0"/>
          <w:color w:val="000000"/>
          <w:szCs w:val="22"/>
          <w:lang w:val="en-US"/>
        </w:rPr>
        <w:t xml:space="preserve"> </w:t>
      </w:r>
      <w:r w:rsidRPr="002C0A36">
        <w:rPr>
          <w:b w:val="0"/>
          <w:color w:val="000000"/>
          <w:szCs w:val="22"/>
        </w:rPr>
        <w:t>կոնցեդենտին</w:t>
      </w:r>
      <w:r w:rsidRPr="002C0A36">
        <w:rPr>
          <w:b w:val="0"/>
          <w:color w:val="000000"/>
          <w:szCs w:val="22"/>
          <w:lang w:val="en-US"/>
        </w:rPr>
        <w:t xml:space="preserve"> </w:t>
      </w:r>
      <w:r w:rsidRPr="002C0A36">
        <w:rPr>
          <w:b w:val="0"/>
          <w:color w:val="000000"/>
          <w:szCs w:val="22"/>
        </w:rPr>
        <w:t>պետք</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վճարի</w:t>
      </w:r>
      <w:r w:rsidRPr="002C0A36">
        <w:rPr>
          <w:b w:val="0"/>
          <w:color w:val="000000"/>
          <w:szCs w:val="22"/>
          <w:lang w:val="en-US"/>
        </w:rPr>
        <w:t xml:space="preserve"> </w:t>
      </w:r>
      <w:r w:rsidRPr="002C0A36">
        <w:rPr>
          <w:b w:val="0"/>
          <w:color w:val="000000"/>
          <w:szCs w:val="22"/>
        </w:rPr>
        <w:t>տարեկան</w:t>
      </w:r>
      <w:r w:rsidRPr="002C0A36">
        <w:rPr>
          <w:b w:val="0"/>
          <w:color w:val="000000"/>
          <w:szCs w:val="22"/>
          <w:lang w:val="en-US"/>
        </w:rPr>
        <w:t xml:space="preserve"> </w:t>
      </w:r>
      <w:r w:rsidRPr="002C0A36">
        <w:rPr>
          <w:b w:val="0"/>
          <w:color w:val="000000"/>
          <w:szCs w:val="22"/>
        </w:rPr>
        <w:t>կոնցեսիոն</w:t>
      </w:r>
      <w:r w:rsidRPr="002C0A36">
        <w:rPr>
          <w:b w:val="0"/>
          <w:color w:val="000000"/>
          <w:szCs w:val="22"/>
          <w:lang w:val="en-US"/>
        </w:rPr>
        <w:t xml:space="preserve"> </w:t>
      </w:r>
      <w:r w:rsidRPr="002C0A36">
        <w:rPr>
          <w:b w:val="0"/>
          <w:color w:val="000000"/>
          <w:szCs w:val="22"/>
        </w:rPr>
        <w:t>վճար</w:t>
      </w:r>
      <w:r w:rsidRPr="002C0A36">
        <w:rPr>
          <w:b w:val="0"/>
          <w:color w:val="000000"/>
          <w:szCs w:val="22"/>
          <w:lang w:val="en-US"/>
        </w:rPr>
        <w:t xml:space="preserve">` </w:t>
      </w:r>
      <w:r w:rsidRPr="002C0A36">
        <w:rPr>
          <w:b w:val="0"/>
          <w:color w:val="000000"/>
          <w:szCs w:val="22"/>
        </w:rPr>
        <w:t>համախառն</w:t>
      </w:r>
      <w:r w:rsidRPr="002C0A36">
        <w:rPr>
          <w:b w:val="0"/>
          <w:color w:val="000000"/>
          <w:szCs w:val="22"/>
          <w:lang w:val="en-US"/>
        </w:rPr>
        <w:t xml:space="preserve"> </w:t>
      </w:r>
      <w:r w:rsidRPr="002C0A36">
        <w:rPr>
          <w:b w:val="0"/>
          <w:color w:val="000000"/>
          <w:szCs w:val="22"/>
        </w:rPr>
        <w:t>հասույթի</w:t>
      </w:r>
      <w:r w:rsidRPr="002C0A36">
        <w:rPr>
          <w:b w:val="0"/>
          <w:color w:val="000000"/>
          <w:szCs w:val="22"/>
          <w:lang w:val="en-US"/>
        </w:rPr>
        <w:t xml:space="preserve"> 2%-</w:t>
      </w:r>
      <w:r w:rsidRPr="002C0A36">
        <w:rPr>
          <w:b w:val="0"/>
          <w:color w:val="000000"/>
          <w:szCs w:val="22"/>
        </w:rPr>
        <w:t>ի</w:t>
      </w:r>
      <w:r w:rsidRPr="002C0A36">
        <w:rPr>
          <w:b w:val="0"/>
          <w:color w:val="000000"/>
          <w:szCs w:val="22"/>
          <w:lang w:val="en-US"/>
        </w:rPr>
        <w:t xml:space="preserve"> </w:t>
      </w:r>
      <w:r w:rsidRPr="002C0A36">
        <w:rPr>
          <w:b w:val="0"/>
          <w:color w:val="000000"/>
          <w:szCs w:val="22"/>
        </w:rPr>
        <w:t>չափով</w:t>
      </w:r>
      <w:r w:rsidRPr="002C0A36">
        <w:rPr>
          <w:b w:val="0"/>
          <w:color w:val="000000"/>
          <w:szCs w:val="22"/>
          <w:lang w:val="en-US"/>
        </w:rPr>
        <w:t xml:space="preserve"> (2015</w:t>
      </w:r>
      <w:r w:rsidRPr="002C0A36">
        <w:rPr>
          <w:b w:val="0"/>
          <w:color w:val="000000"/>
          <w:szCs w:val="22"/>
        </w:rPr>
        <w:t>թ</w:t>
      </w:r>
      <w:r w:rsidRPr="002C0A36">
        <w:rPr>
          <w:b w:val="0"/>
          <w:color w:val="000000"/>
          <w:szCs w:val="22"/>
          <w:lang w:val="en-US"/>
        </w:rPr>
        <w:t xml:space="preserve">.` 344.1 </w:t>
      </w:r>
      <w:r w:rsidRPr="002C0A36">
        <w:rPr>
          <w:b w:val="0"/>
          <w:color w:val="000000"/>
          <w:szCs w:val="22"/>
        </w:rPr>
        <w:t>մլն</w:t>
      </w:r>
      <w:r w:rsidRPr="002C0A36">
        <w:rPr>
          <w:b w:val="0"/>
          <w:color w:val="000000"/>
          <w:szCs w:val="22"/>
          <w:lang w:val="en-US"/>
        </w:rPr>
        <w:t xml:space="preserve"> </w:t>
      </w:r>
      <w:r w:rsidRPr="002C0A36">
        <w:rPr>
          <w:b w:val="0"/>
          <w:color w:val="000000"/>
          <w:szCs w:val="22"/>
        </w:rPr>
        <w:t>դրամ</w:t>
      </w:r>
      <w:r w:rsidRPr="002C0A36">
        <w:rPr>
          <w:b w:val="0"/>
          <w:color w:val="000000"/>
          <w:szCs w:val="22"/>
          <w:lang w:val="en-US"/>
        </w:rPr>
        <w:t>, 2016</w:t>
      </w:r>
      <w:r w:rsidRPr="002C0A36">
        <w:rPr>
          <w:b w:val="0"/>
          <w:color w:val="000000"/>
          <w:szCs w:val="22"/>
        </w:rPr>
        <w:t>թ</w:t>
      </w:r>
      <w:r w:rsidRPr="002C0A36">
        <w:rPr>
          <w:b w:val="0"/>
          <w:color w:val="000000"/>
          <w:szCs w:val="22"/>
          <w:lang w:val="en-US"/>
        </w:rPr>
        <w:t xml:space="preserve">.` 312.8 </w:t>
      </w:r>
      <w:r w:rsidRPr="002C0A36">
        <w:rPr>
          <w:b w:val="0"/>
          <w:color w:val="000000"/>
          <w:szCs w:val="22"/>
        </w:rPr>
        <w:t>մլն</w:t>
      </w:r>
      <w:r w:rsidRPr="002C0A36">
        <w:rPr>
          <w:b w:val="0"/>
          <w:color w:val="000000"/>
          <w:szCs w:val="22"/>
          <w:lang w:val="en-US"/>
        </w:rPr>
        <w:t xml:space="preserve"> </w:t>
      </w:r>
      <w:r w:rsidRPr="002C0A36">
        <w:rPr>
          <w:b w:val="0"/>
          <w:color w:val="000000"/>
          <w:szCs w:val="22"/>
        </w:rPr>
        <w:t>դրամ</w:t>
      </w:r>
      <w:r w:rsidRPr="002C0A36">
        <w:rPr>
          <w:b w:val="0"/>
          <w:color w:val="000000"/>
          <w:szCs w:val="22"/>
          <w:lang w:val="en-US"/>
        </w:rPr>
        <w:t>, 2017</w:t>
      </w:r>
      <w:r w:rsidRPr="002C0A36">
        <w:rPr>
          <w:b w:val="0"/>
          <w:color w:val="000000"/>
          <w:szCs w:val="22"/>
        </w:rPr>
        <w:t>թ</w:t>
      </w:r>
      <w:r w:rsidRPr="002C0A36">
        <w:rPr>
          <w:b w:val="0"/>
          <w:color w:val="000000"/>
          <w:szCs w:val="22"/>
          <w:lang w:val="en-US"/>
        </w:rPr>
        <w:t xml:space="preserve">.` 301.7 </w:t>
      </w:r>
      <w:r w:rsidRPr="002C0A36">
        <w:rPr>
          <w:b w:val="0"/>
          <w:color w:val="000000"/>
          <w:szCs w:val="22"/>
        </w:rPr>
        <w:t>մլն</w:t>
      </w:r>
      <w:r w:rsidRPr="002C0A36">
        <w:rPr>
          <w:b w:val="0"/>
          <w:color w:val="000000"/>
          <w:szCs w:val="22"/>
          <w:lang w:val="en-US"/>
        </w:rPr>
        <w:t xml:space="preserve"> </w:t>
      </w:r>
      <w:r w:rsidRPr="002C0A36">
        <w:rPr>
          <w:b w:val="0"/>
          <w:color w:val="000000"/>
          <w:szCs w:val="22"/>
        </w:rPr>
        <w:t>դրամ</w:t>
      </w:r>
      <w:r w:rsidRPr="002C0A36">
        <w:rPr>
          <w:b w:val="0"/>
          <w:color w:val="000000"/>
          <w:szCs w:val="22"/>
          <w:lang w:val="en-US"/>
        </w:rPr>
        <w:t xml:space="preserve">, </w:t>
      </w:r>
      <w:r w:rsidRPr="002C0A36">
        <w:rPr>
          <w:b w:val="0"/>
          <w:color w:val="000000"/>
          <w:szCs w:val="22"/>
        </w:rPr>
        <w:t>իսկ</w:t>
      </w:r>
      <w:r w:rsidRPr="002C0A36">
        <w:rPr>
          <w:b w:val="0"/>
          <w:color w:val="000000"/>
          <w:szCs w:val="22"/>
          <w:lang w:val="en-US"/>
        </w:rPr>
        <w:t xml:space="preserve"> 2018</w:t>
      </w:r>
      <w:r w:rsidRPr="002C0A36">
        <w:rPr>
          <w:b w:val="0"/>
          <w:color w:val="000000"/>
          <w:szCs w:val="22"/>
        </w:rPr>
        <w:t>թ</w:t>
      </w:r>
      <w:r w:rsidRPr="002C0A36">
        <w:rPr>
          <w:b w:val="0"/>
          <w:color w:val="000000"/>
          <w:szCs w:val="22"/>
          <w:lang w:val="en-US"/>
        </w:rPr>
        <w:t>.</w:t>
      </w:r>
      <w:r w:rsidRPr="002C0A36">
        <w:rPr>
          <w:b w:val="0"/>
          <w:color w:val="000000"/>
          <w:szCs w:val="22"/>
        </w:rPr>
        <w:t>՝</w:t>
      </w:r>
      <w:r w:rsidRPr="002C0A36">
        <w:rPr>
          <w:b w:val="0"/>
          <w:color w:val="000000"/>
          <w:szCs w:val="22"/>
          <w:lang w:val="en-US"/>
        </w:rPr>
        <w:t xml:space="preserve"> 347.0</w:t>
      </w:r>
      <w:r w:rsidRPr="002C0A36">
        <w:rPr>
          <w:b w:val="0"/>
          <w:color w:val="000000"/>
          <w:szCs w:val="22"/>
          <w:lang w:val="hy-AM"/>
        </w:rPr>
        <w:t xml:space="preserve"> </w:t>
      </w:r>
      <w:r w:rsidRPr="002C0A36">
        <w:rPr>
          <w:b w:val="0"/>
          <w:color w:val="000000"/>
          <w:szCs w:val="22"/>
        </w:rPr>
        <w:t>մլն</w:t>
      </w:r>
      <w:r w:rsidRPr="002C0A36">
        <w:rPr>
          <w:b w:val="0"/>
          <w:color w:val="000000"/>
          <w:szCs w:val="22"/>
          <w:lang w:val="en-US"/>
        </w:rPr>
        <w:t xml:space="preserve"> </w:t>
      </w:r>
      <w:r w:rsidRPr="002C0A36">
        <w:rPr>
          <w:b w:val="0"/>
          <w:color w:val="000000"/>
          <w:szCs w:val="22"/>
        </w:rPr>
        <w:t>դրամ</w:t>
      </w:r>
      <w:r w:rsidRPr="002C0A36">
        <w:rPr>
          <w:b w:val="0"/>
          <w:color w:val="000000"/>
          <w:szCs w:val="22"/>
          <w:lang w:val="en-US"/>
        </w:rPr>
        <w:t>, 2019</w:t>
      </w:r>
      <w:r w:rsidRPr="002C0A36">
        <w:rPr>
          <w:b w:val="0"/>
          <w:color w:val="000000"/>
          <w:szCs w:val="22"/>
        </w:rPr>
        <w:t>թ</w:t>
      </w:r>
      <w:r w:rsidRPr="002C0A36">
        <w:rPr>
          <w:b w:val="0"/>
          <w:color w:val="000000"/>
          <w:szCs w:val="22"/>
          <w:lang w:val="en-US"/>
        </w:rPr>
        <w:t xml:space="preserve">. </w:t>
      </w:r>
      <w:r w:rsidRPr="002C0A36">
        <w:rPr>
          <w:b w:val="0"/>
          <w:color w:val="000000"/>
          <w:szCs w:val="22"/>
        </w:rPr>
        <w:t>փաստացի</w:t>
      </w:r>
      <w:r w:rsidRPr="002C0A36">
        <w:rPr>
          <w:b w:val="0"/>
          <w:color w:val="000000"/>
          <w:szCs w:val="22"/>
          <w:lang w:val="en-US"/>
        </w:rPr>
        <w:t xml:space="preserve"> </w:t>
      </w:r>
      <w:r w:rsidRPr="002C0A36">
        <w:rPr>
          <w:b w:val="0"/>
          <w:color w:val="000000"/>
          <w:szCs w:val="22"/>
        </w:rPr>
        <w:t>վճարվել</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377.8 </w:t>
      </w:r>
      <w:r w:rsidRPr="002C0A36">
        <w:rPr>
          <w:b w:val="0"/>
          <w:color w:val="000000"/>
          <w:szCs w:val="22"/>
        </w:rPr>
        <w:t>մլն</w:t>
      </w:r>
      <w:r w:rsidRPr="002C0A36">
        <w:rPr>
          <w:b w:val="0"/>
          <w:color w:val="000000"/>
          <w:szCs w:val="22"/>
          <w:lang w:val="en-US"/>
        </w:rPr>
        <w:t xml:space="preserve"> </w:t>
      </w:r>
      <w:r w:rsidRPr="002C0A36">
        <w:rPr>
          <w:b w:val="0"/>
          <w:color w:val="000000"/>
          <w:szCs w:val="22"/>
        </w:rPr>
        <w:t>դրամ</w:t>
      </w:r>
      <w:r w:rsidRPr="002C0A36">
        <w:rPr>
          <w:b w:val="0"/>
          <w:color w:val="000000"/>
          <w:szCs w:val="22"/>
          <w:lang w:val="en-US"/>
        </w:rPr>
        <w:t>):</w:t>
      </w:r>
    </w:p>
    <w:p w:rsidR="002C0A36" w:rsidRPr="002C0A36" w:rsidRDefault="002C0A36" w:rsidP="007730AA">
      <w:pPr>
        <w:shd w:val="clear" w:color="auto" w:fill="FFFFFF"/>
        <w:spacing w:before="0" w:line="276" w:lineRule="auto"/>
        <w:contextualSpacing w:val="0"/>
        <w:rPr>
          <w:b w:val="0"/>
          <w:color w:val="000000"/>
          <w:szCs w:val="22"/>
          <w:lang w:val="en-US"/>
        </w:rPr>
      </w:pPr>
      <w:r w:rsidRPr="002C0A36">
        <w:rPr>
          <w:b w:val="0"/>
          <w:color w:val="000000"/>
          <w:szCs w:val="22"/>
        </w:rPr>
        <w:t>Հետևաբար</w:t>
      </w:r>
      <w:r w:rsidRPr="002C0A36">
        <w:rPr>
          <w:b w:val="0"/>
          <w:color w:val="000000"/>
          <w:szCs w:val="22"/>
          <w:lang w:val="en-US"/>
        </w:rPr>
        <w:t xml:space="preserve"> </w:t>
      </w:r>
      <w:r w:rsidRPr="002C0A36">
        <w:rPr>
          <w:b w:val="0"/>
          <w:color w:val="000000"/>
          <w:szCs w:val="22"/>
        </w:rPr>
        <w:t>հաշվի</w:t>
      </w:r>
      <w:r w:rsidRPr="002C0A36">
        <w:rPr>
          <w:b w:val="0"/>
          <w:color w:val="000000"/>
          <w:szCs w:val="22"/>
          <w:lang w:val="en-US"/>
        </w:rPr>
        <w:t xml:space="preserve"> </w:t>
      </w:r>
      <w:r w:rsidRPr="002C0A36">
        <w:rPr>
          <w:b w:val="0"/>
          <w:color w:val="000000"/>
          <w:szCs w:val="22"/>
        </w:rPr>
        <w:t>առնելով</w:t>
      </w:r>
      <w:r w:rsidRPr="002C0A36">
        <w:rPr>
          <w:b w:val="0"/>
          <w:color w:val="000000"/>
          <w:szCs w:val="22"/>
          <w:lang w:val="en-US"/>
        </w:rPr>
        <w:t xml:space="preserve">, </w:t>
      </w:r>
      <w:r w:rsidRPr="002C0A36">
        <w:rPr>
          <w:b w:val="0"/>
          <w:color w:val="000000"/>
          <w:szCs w:val="22"/>
        </w:rPr>
        <w:t>որ</w:t>
      </w:r>
      <w:r w:rsidRPr="002C0A36">
        <w:rPr>
          <w:b w:val="0"/>
          <w:color w:val="000000"/>
          <w:szCs w:val="22"/>
          <w:lang w:val="en-US"/>
        </w:rPr>
        <w:t xml:space="preserve"> </w:t>
      </w:r>
      <w:r w:rsidRPr="002C0A36">
        <w:rPr>
          <w:b w:val="0"/>
          <w:color w:val="000000"/>
          <w:szCs w:val="22"/>
        </w:rPr>
        <w:t>ՀՀ</w:t>
      </w:r>
      <w:r w:rsidRPr="002C0A36">
        <w:rPr>
          <w:b w:val="0"/>
          <w:color w:val="000000"/>
          <w:szCs w:val="22"/>
          <w:lang w:val="en-US"/>
        </w:rPr>
        <w:t xml:space="preserve"> </w:t>
      </w:r>
      <w:r w:rsidRPr="002C0A36">
        <w:rPr>
          <w:b w:val="0"/>
          <w:color w:val="000000"/>
          <w:szCs w:val="22"/>
        </w:rPr>
        <w:t>պետական</w:t>
      </w:r>
      <w:r w:rsidRPr="002C0A36">
        <w:rPr>
          <w:b w:val="0"/>
          <w:color w:val="000000"/>
          <w:szCs w:val="22"/>
          <w:lang w:val="en-US"/>
        </w:rPr>
        <w:t xml:space="preserve"> </w:t>
      </w:r>
      <w:r w:rsidRPr="002C0A36">
        <w:rPr>
          <w:b w:val="0"/>
          <w:color w:val="000000"/>
          <w:szCs w:val="22"/>
        </w:rPr>
        <w:t>բյուջեից</w:t>
      </w:r>
      <w:r w:rsidRPr="002C0A36">
        <w:rPr>
          <w:b w:val="0"/>
          <w:color w:val="000000"/>
          <w:szCs w:val="22"/>
          <w:lang w:val="en-US"/>
        </w:rPr>
        <w:t xml:space="preserve"> </w:t>
      </w:r>
      <w:r w:rsidRPr="002C0A36">
        <w:rPr>
          <w:b w:val="0"/>
          <w:color w:val="000000"/>
          <w:szCs w:val="22"/>
        </w:rPr>
        <w:t>տրամադրվող</w:t>
      </w:r>
      <w:r w:rsidRPr="002C0A36">
        <w:rPr>
          <w:b w:val="0"/>
          <w:color w:val="000000"/>
          <w:szCs w:val="22"/>
          <w:lang w:val="en-US"/>
        </w:rPr>
        <w:t xml:space="preserve"> </w:t>
      </w:r>
      <w:r w:rsidRPr="002C0A36">
        <w:rPr>
          <w:b w:val="0"/>
          <w:color w:val="000000"/>
          <w:szCs w:val="22"/>
        </w:rPr>
        <w:t>սուբսիդիայի</w:t>
      </w:r>
      <w:r w:rsidRPr="002C0A36">
        <w:rPr>
          <w:b w:val="0"/>
          <w:color w:val="000000"/>
          <w:szCs w:val="22"/>
          <w:lang w:val="en-US"/>
        </w:rPr>
        <w:t xml:space="preserve"> </w:t>
      </w:r>
      <w:r w:rsidRPr="002C0A36">
        <w:rPr>
          <w:b w:val="0"/>
          <w:color w:val="000000"/>
          <w:szCs w:val="22"/>
        </w:rPr>
        <w:t>և</w:t>
      </w:r>
      <w:r w:rsidRPr="002C0A36">
        <w:rPr>
          <w:b w:val="0"/>
          <w:color w:val="000000"/>
          <w:szCs w:val="22"/>
          <w:lang w:val="en-US"/>
        </w:rPr>
        <w:t xml:space="preserve"> </w:t>
      </w:r>
      <w:r w:rsidRPr="002C0A36">
        <w:rPr>
          <w:b w:val="0"/>
          <w:color w:val="000000"/>
          <w:szCs w:val="22"/>
        </w:rPr>
        <w:t>Ընկերության</w:t>
      </w:r>
      <w:r w:rsidRPr="002C0A36">
        <w:rPr>
          <w:b w:val="0"/>
          <w:color w:val="000000"/>
          <w:szCs w:val="22"/>
          <w:lang w:val="en-US"/>
        </w:rPr>
        <w:t xml:space="preserve"> </w:t>
      </w:r>
      <w:r w:rsidRPr="002C0A36">
        <w:rPr>
          <w:b w:val="0"/>
          <w:color w:val="000000"/>
          <w:szCs w:val="22"/>
        </w:rPr>
        <w:t>կողմից</w:t>
      </w:r>
      <w:r w:rsidRPr="002C0A36">
        <w:rPr>
          <w:b w:val="0"/>
          <w:color w:val="000000"/>
          <w:szCs w:val="22"/>
          <w:lang w:val="en-US"/>
        </w:rPr>
        <w:t xml:space="preserve"> </w:t>
      </w:r>
      <w:r w:rsidRPr="002C0A36">
        <w:rPr>
          <w:b w:val="0"/>
          <w:color w:val="000000"/>
          <w:szCs w:val="22"/>
        </w:rPr>
        <w:t>վճարվող</w:t>
      </w:r>
      <w:r w:rsidRPr="002C0A36">
        <w:rPr>
          <w:b w:val="0"/>
          <w:color w:val="000000"/>
          <w:szCs w:val="22"/>
          <w:lang w:val="en-US"/>
        </w:rPr>
        <w:t xml:space="preserve"> </w:t>
      </w:r>
      <w:r w:rsidRPr="002C0A36">
        <w:rPr>
          <w:b w:val="0"/>
          <w:color w:val="000000"/>
          <w:szCs w:val="22"/>
        </w:rPr>
        <w:t>կոնցեսիոն</w:t>
      </w:r>
      <w:r w:rsidRPr="002C0A36">
        <w:rPr>
          <w:b w:val="0"/>
          <w:color w:val="000000"/>
          <w:szCs w:val="22"/>
          <w:lang w:val="en-US"/>
        </w:rPr>
        <w:t xml:space="preserve"> </w:t>
      </w:r>
      <w:r w:rsidRPr="002C0A36">
        <w:rPr>
          <w:b w:val="0"/>
          <w:color w:val="000000"/>
          <w:szCs w:val="22"/>
        </w:rPr>
        <w:t>վճարի</w:t>
      </w:r>
      <w:r w:rsidRPr="002C0A36">
        <w:rPr>
          <w:b w:val="0"/>
          <w:color w:val="000000"/>
          <w:szCs w:val="22"/>
          <w:lang w:val="en-US"/>
        </w:rPr>
        <w:t xml:space="preserve"> </w:t>
      </w:r>
      <w:r w:rsidRPr="002C0A36">
        <w:rPr>
          <w:b w:val="0"/>
          <w:color w:val="000000"/>
          <w:szCs w:val="22"/>
        </w:rPr>
        <w:t>չափերը</w:t>
      </w:r>
      <w:r w:rsidRPr="002C0A36">
        <w:rPr>
          <w:b w:val="0"/>
          <w:color w:val="000000"/>
          <w:szCs w:val="22"/>
          <w:lang w:val="en-US"/>
        </w:rPr>
        <w:t xml:space="preserve"> </w:t>
      </w:r>
      <w:r w:rsidRPr="002C0A36">
        <w:rPr>
          <w:b w:val="0"/>
          <w:color w:val="000000"/>
          <w:szCs w:val="22"/>
        </w:rPr>
        <w:t>համեմատելի</w:t>
      </w:r>
      <w:r w:rsidRPr="002C0A36">
        <w:rPr>
          <w:b w:val="0"/>
          <w:color w:val="000000"/>
          <w:szCs w:val="22"/>
          <w:lang w:val="en-US"/>
        </w:rPr>
        <w:t xml:space="preserve"> </w:t>
      </w:r>
      <w:r w:rsidRPr="002C0A36">
        <w:rPr>
          <w:b w:val="0"/>
          <w:color w:val="000000"/>
          <w:szCs w:val="22"/>
        </w:rPr>
        <w:t>են</w:t>
      </w:r>
      <w:r w:rsidRPr="002C0A36">
        <w:rPr>
          <w:b w:val="0"/>
          <w:color w:val="000000"/>
          <w:szCs w:val="22"/>
          <w:lang w:val="en-US"/>
        </w:rPr>
        <w:t xml:space="preserve">, </w:t>
      </w:r>
      <w:r w:rsidRPr="002C0A36">
        <w:rPr>
          <w:b w:val="0"/>
          <w:color w:val="000000"/>
          <w:szCs w:val="22"/>
        </w:rPr>
        <w:t>ուստի</w:t>
      </w:r>
      <w:r w:rsidRPr="002C0A36">
        <w:rPr>
          <w:b w:val="0"/>
          <w:color w:val="000000"/>
          <w:szCs w:val="22"/>
          <w:lang w:val="en-US"/>
        </w:rPr>
        <w:t xml:space="preserve"> </w:t>
      </w:r>
      <w:r w:rsidRPr="002C0A36">
        <w:rPr>
          <w:b w:val="0"/>
          <w:color w:val="000000"/>
          <w:szCs w:val="22"/>
        </w:rPr>
        <w:t>Ընկերության</w:t>
      </w:r>
      <w:r w:rsidRPr="002C0A36">
        <w:rPr>
          <w:b w:val="0"/>
          <w:color w:val="000000"/>
          <w:szCs w:val="22"/>
          <w:lang w:val="en-US"/>
        </w:rPr>
        <w:t xml:space="preserve"> </w:t>
      </w:r>
      <w:r w:rsidRPr="002C0A36">
        <w:rPr>
          <w:b w:val="0"/>
          <w:color w:val="000000"/>
          <w:szCs w:val="22"/>
        </w:rPr>
        <w:t>կողմից</w:t>
      </w:r>
      <w:r w:rsidRPr="002C0A36">
        <w:rPr>
          <w:b w:val="0"/>
          <w:color w:val="000000"/>
          <w:szCs w:val="22"/>
          <w:lang w:val="en-US"/>
        </w:rPr>
        <w:t xml:space="preserve"> </w:t>
      </w:r>
      <w:r w:rsidRPr="002C0A36">
        <w:rPr>
          <w:b w:val="0"/>
          <w:color w:val="000000"/>
          <w:szCs w:val="22"/>
        </w:rPr>
        <w:t>ՀՀ</w:t>
      </w:r>
      <w:r w:rsidRPr="002C0A36">
        <w:rPr>
          <w:b w:val="0"/>
          <w:color w:val="000000"/>
          <w:szCs w:val="22"/>
          <w:lang w:val="en-US"/>
        </w:rPr>
        <w:t xml:space="preserve"> </w:t>
      </w:r>
      <w:r w:rsidRPr="002C0A36">
        <w:rPr>
          <w:b w:val="0"/>
          <w:color w:val="000000"/>
          <w:szCs w:val="22"/>
        </w:rPr>
        <w:t>պետական</w:t>
      </w:r>
      <w:r w:rsidRPr="002C0A36">
        <w:rPr>
          <w:b w:val="0"/>
          <w:color w:val="000000"/>
          <w:szCs w:val="22"/>
          <w:lang w:val="en-US"/>
        </w:rPr>
        <w:t xml:space="preserve"> </w:t>
      </w:r>
      <w:r w:rsidRPr="002C0A36">
        <w:rPr>
          <w:b w:val="0"/>
          <w:color w:val="000000"/>
          <w:szCs w:val="22"/>
        </w:rPr>
        <w:t>բյուջեի</w:t>
      </w:r>
      <w:r w:rsidRPr="002C0A36">
        <w:rPr>
          <w:b w:val="0"/>
          <w:color w:val="000000"/>
          <w:szCs w:val="22"/>
          <w:lang w:val="en-US"/>
        </w:rPr>
        <w:t xml:space="preserve"> </w:t>
      </w:r>
      <w:r w:rsidRPr="002C0A36">
        <w:rPr>
          <w:b w:val="0"/>
          <w:color w:val="000000"/>
          <w:szCs w:val="22"/>
        </w:rPr>
        <w:t>վճարվող</w:t>
      </w:r>
      <w:r w:rsidRPr="002C0A36">
        <w:rPr>
          <w:b w:val="0"/>
          <w:color w:val="000000"/>
          <w:szCs w:val="22"/>
          <w:lang w:val="en-US"/>
        </w:rPr>
        <w:t xml:space="preserve"> </w:t>
      </w:r>
      <w:r w:rsidRPr="002C0A36">
        <w:rPr>
          <w:b w:val="0"/>
          <w:color w:val="000000"/>
          <w:szCs w:val="22"/>
        </w:rPr>
        <w:t>կոնցեսիոն</w:t>
      </w:r>
      <w:r w:rsidRPr="002C0A36">
        <w:rPr>
          <w:b w:val="0"/>
          <w:color w:val="000000"/>
          <w:szCs w:val="22"/>
          <w:lang w:val="en-US"/>
        </w:rPr>
        <w:t xml:space="preserve"> </w:t>
      </w:r>
      <w:r w:rsidRPr="002C0A36">
        <w:rPr>
          <w:b w:val="0"/>
          <w:color w:val="000000"/>
          <w:szCs w:val="22"/>
        </w:rPr>
        <w:t>վճարի</w:t>
      </w:r>
      <w:r w:rsidRPr="002C0A36">
        <w:rPr>
          <w:b w:val="0"/>
          <w:color w:val="000000"/>
          <w:szCs w:val="22"/>
          <w:lang w:val="en-US"/>
        </w:rPr>
        <w:t xml:space="preserve"> </w:t>
      </w:r>
      <w:r w:rsidRPr="002C0A36">
        <w:rPr>
          <w:b w:val="0"/>
          <w:color w:val="000000"/>
          <w:szCs w:val="22"/>
        </w:rPr>
        <w:t>չվճարման</w:t>
      </w:r>
      <w:r w:rsidRPr="002C0A36">
        <w:rPr>
          <w:b w:val="0"/>
          <w:color w:val="000000"/>
          <w:szCs w:val="22"/>
          <w:lang w:val="en-US"/>
        </w:rPr>
        <w:t xml:space="preserve"> </w:t>
      </w:r>
      <w:r w:rsidRPr="002C0A36">
        <w:rPr>
          <w:b w:val="0"/>
          <w:color w:val="000000"/>
          <w:szCs w:val="22"/>
        </w:rPr>
        <w:t>ռիսկը</w:t>
      </w:r>
      <w:r w:rsidRPr="002C0A36">
        <w:rPr>
          <w:b w:val="0"/>
          <w:color w:val="000000"/>
          <w:szCs w:val="22"/>
          <w:lang w:val="en-US"/>
        </w:rPr>
        <w:t xml:space="preserve"> </w:t>
      </w:r>
      <w:r w:rsidRPr="002C0A36">
        <w:rPr>
          <w:b w:val="0"/>
          <w:color w:val="000000"/>
          <w:szCs w:val="22"/>
        </w:rPr>
        <w:t>գնահատվում</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բավականին</w:t>
      </w:r>
      <w:r w:rsidRPr="002C0A36">
        <w:rPr>
          <w:b w:val="0"/>
          <w:color w:val="000000"/>
          <w:szCs w:val="22"/>
          <w:lang w:val="en-US"/>
        </w:rPr>
        <w:t xml:space="preserve"> </w:t>
      </w:r>
      <w:r w:rsidRPr="002C0A36">
        <w:rPr>
          <w:b w:val="0"/>
          <w:color w:val="000000"/>
          <w:szCs w:val="22"/>
        </w:rPr>
        <w:t>ցածր</w:t>
      </w:r>
      <w:r w:rsidRPr="002C0A36">
        <w:rPr>
          <w:b w:val="0"/>
          <w:color w:val="000000"/>
          <w:szCs w:val="22"/>
          <w:lang w:val="en-US"/>
        </w:rPr>
        <w:t>:</w:t>
      </w:r>
    </w:p>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rPr>
        <w:t>Միաժամանակ</w:t>
      </w:r>
      <w:r w:rsidRPr="002C0A36">
        <w:rPr>
          <w:b w:val="0"/>
          <w:color w:val="000000"/>
          <w:szCs w:val="22"/>
          <w:lang w:val="en-US"/>
        </w:rPr>
        <w:t xml:space="preserve"> </w:t>
      </w:r>
      <w:r w:rsidRPr="002C0A36">
        <w:rPr>
          <w:b w:val="0"/>
          <w:color w:val="000000"/>
          <w:szCs w:val="22"/>
        </w:rPr>
        <w:t>հաշվի</w:t>
      </w:r>
      <w:r w:rsidRPr="002C0A36">
        <w:rPr>
          <w:b w:val="0"/>
          <w:color w:val="000000"/>
          <w:szCs w:val="22"/>
          <w:lang w:val="en-US"/>
        </w:rPr>
        <w:t xml:space="preserve"> </w:t>
      </w:r>
      <w:r w:rsidRPr="002C0A36">
        <w:rPr>
          <w:b w:val="0"/>
          <w:color w:val="000000"/>
          <w:szCs w:val="22"/>
        </w:rPr>
        <w:t>առնելով</w:t>
      </w:r>
      <w:r w:rsidRPr="002C0A36">
        <w:rPr>
          <w:b w:val="0"/>
          <w:color w:val="000000"/>
          <w:szCs w:val="22"/>
          <w:lang w:val="en-US"/>
        </w:rPr>
        <w:t xml:space="preserve"> </w:t>
      </w:r>
      <w:r w:rsidRPr="002C0A36">
        <w:rPr>
          <w:b w:val="0"/>
          <w:color w:val="000000"/>
          <w:szCs w:val="22"/>
        </w:rPr>
        <w:t>վերոգրյալը</w:t>
      </w:r>
      <w:r w:rsidRPr="002C0A36">
        <w:rPr>
          <w:b w:val="0"/>
          <w:color w:val="000000"/>
          <w:szCs w:val="22"/>
          <w:lang w:val="en-US"/>
        </w:rPr>
        <w:t xml:space="preserve">, </w:t>
      </w:r>
      <w:r w:rsidRPr="002C0A36">
        <w:rPr>
          <w:b w:val="0"/>
          <w:color w:val="000000"/>
          <w:szCs w:val="22"/>
        </w:rPr>
        <w:t>ինչպես</w:t>
      </w:r>
      <w:r w:rsidRPr="002C0A36">
        <w:rPr>
          <w:b w:val="0"/>
          <w:color w:val="000000"/>
          <w:szCs w:val="22"/>
          <w:lang w:val="en-US"/>
        </w:rPr>
        <w:t xml:space="preserve"> </w:t>
      </w:r>
      <w:r w:rsidRPr="002C0A36">
        <w:rPr>
          <w:b w:val="0"/>
          <w:color w:val="000000"/>
          <w:szCs w:val="22"/>
        </w:rPr>
        <w:t>նաև</w:t>
      </w:r>
      <w:r w:rsidRPr="002C0A36">
        <w:rPr>
          <w:b w:val="0"/>
          <w:color w:val="000000"/>
          <w:szCs w:val="22"/>
          <w:lang w:val="en-US"/>
        </w:rPr>
        <w:t xml:space="preserve"> </w:t>
      </w:r>
      <w:r w:rsidRPr="002C0A36">
        <w:rPr>
          <w:b w:val="0"/>
          <w:color w:val="000000"/>
          <w:szCs w:val="22"/>
        </w:rPr>
        <w:t>Ընկերության</w:t>
      </w:r>
      <w:r w:rsidRPr="002C0A36">
        <w:rPr>
          <w:b w:val="0"/>
          <w:color w:val="000000"/>
          <w:szCs w:val="22"/>
          <w:lang w:val="en-US"/>
        </w:rPr>
        <w:t xml:space="preserve"> </w:t>
      </w:r>
      <w:r w:rsidRPr="002C0A36">
        <w:rPr>
          <w:b w:val="0"/>
          <w:color w:val="000000"/>
          <w:szCs w:val="22"/>
        </w:rPr>
        <w:t>ֆինանսատնտեսական</w:t>
      </w:r>
      <w:r w:rsidRPr="002C0A36">
        <w:rPr>
          <w:b w:val="0"/>
          <w:color w:val="000000"/>
          <w:szCs w:val="22"/>
          <w:lang w:val="en-US"/>
        </w:rPr>
        <w:t xml:space="preserve"> </w:t>
      </w:r>
      <w:r w:rsidRPr="002C0A36">
        <w:rPr>
          <w:b w:val="0"/>
          <w:color w:val="000000"/>
          <w:szCs w:val="22"/>
        </w:rPr>
        <w:t>գործունեության</w:t>
      </w:r>
      <w:r w:rsidRPr="002C0A36">
        <w:rPr>
          <w:b w:val="0"/>
          <w:color w:val="000000"/>
          <w:szCs w:val="22"/>
          <w:lang w:val="en-US"/>
        </w:rPr>
        <w:t xml:space="preserve"> </w:t>
      </w:r>
      <w:r w:rsidRPr="002C0A36">
        <w:rPr>
          <w:b w:val="0"/>
          <w:color w:val="000000"/>
          <w:szCs w:val="22"/>
        </w:rPr>
        <w:t>վերլուծության</w:t>
      </w:r>
      <w:r w:rsidRPr="002C0A36">
        <w:rPr>
          <w:b w:val="0"/>
          <w:color w:val="000000"/>
          <w:szCs w:val="22"/>
          <w:lang w:val="en-US"/>
        </w:rPr>
        <w:t xml:space="preserve"> </w:t>
      </w:r>
      <w:r w:rsidRPr="002C0A36">
        <w:rPr>
          <w:b w:val="0"/>
          <w:color w:val="000000"/>
          <w:szCs w:val="22"/>
        </w:rPr>
        <w:t>արդյունքները</w:t>
      </w:r>
      <w:r w:rsidRPr="002C0A36">
        <w:rPr>
          <w:b w:val="0"/>
          <w:color w:val="000000"/>
          <w:szCs w:val="22"/>
          <w:lang w:val="en-US"/>
        </w:rPr>
        <w:t xml:space="preserve">` </w:t>
      </w:r>
      <w:r w:rsidRPr="002C0A36">
        <w:rPr>
          <w:b w:val="0"/>
          <w:color w:val="000000"/>
          <w:szCs w:val="22"/>
        </w:rPr>
        <w:t>ՀՀ</w:t>
      </w:r>
      <w:r w:rsidRPr="002C0A36">
        <w:rPr>
          <w:b w:val="0"/>
          <w:color w:val="000000"/>
          <w:szCs w:val="22"/>
          <w:lang w:val="en-US"/>
        </w:rPr>
        <w:t xml:space="preserve"> </w:t>
      </w:r>
      <w:r w:rsidRPr="002C0A36">
        <w:rPr>
          <w:b w:val="0"/>
          <w:color w:val="000000"/>
          <w:szCs w:val="22"/>
        </w:rPr>
        <w:t>պետական</w:t>
      </w:r>
      <w:r w:rsidRPr="002C0A36">
        <w:rPr>
          <w:b w:val="0"/>
          <w:color w:val="000000"/>
          <w:szCs w:val="22"/>
          <w:lang w:val="en-US"/>
        </w:rPr>
        <w:t xml:space="preserve"> </w:t>
      </w:r>
      <w:r w:rsidRPr="002C0A36">
        <w:rPr>
          <w:b w:val="0"/>
          <w:color w:val="000000"/>
          <w:szCs w:val="22"/>
        </w:rPr>
        <w:t>բյուջեից</w:t>
      </w:r>
      <w:r w:rsidRPr="002C0A36">
        <w:rPr>
          <w:b w:val="0"/>
          <w:color w:val="000000"/>
          <w:szCs w:val="22"/>
          <w:lang w:val="en-US"/>
        </w:rPr>
        <w:t xml:space="preserve"> </w:t>
      </w:r>
      <w:r w:rsidRPr="002C0A36">
        <w:rPr>
          <w:b w:val="0"/>
          <w:color w:val="000000"/>
          <w:szCs w:val="22"/>
        </w:rPr>
        <w:t>Ընկերությանը</w:t>
      </w:r>
      <w:r w:rsidRPr="002C0A36">
        <w:rPr>
          <w:b w:val="0"/>
          <w:color w:val="000000"/>
          <w:szCs w:val="22"/>
          <w:lang w:val="en-US"/>
        </w:rPr>
        <w:t xml:space="preserve"> </w:t>
      </w:r>
      <w:r w:rsidRPr="002C0A36">
        <w:rPr>
          <w:b w:val="0"/>
          <w:color w:val="000000"/>
          <w:szCs w:val="22"/>
        </w:rPr>
        <w:t>չնախատեսված</w:t>
      </w:r>
      <w:r w:rsidRPr="002C0A36">
        <w:rPr>
          <w:b w:val="0"/>
          <w:color w:val="000000"/>
          <w:szCs w:val="22"/>
          <w:lang w:val="en-US"/>
        </w:rPr>
        <w:t xml:space="preserve"> </w:t>
      </w:r>
      <w:r w:rsidRPr="002C0A36">
        <w:rPr>
          <w:b w:val="0"/>
          <w:color w:val="000000"/>
          <w:szCs w:val="22"/>
        </w:rPr>
        <w:t>փոխառությունների</w:t>
      </w:r>
      <w:r w:rsidRPr="002C0A36">
        <w:rPr>
          <w:b w:val="0"/>
          <w:color w:val="000000"/>
          <w:szCs w:val="22"/>
          <w:lang w:val="en-US"/>
        </w:rPr>
        <w:t xml:space="preserve">, </w:t>
      </w:r>
      <w:r w:rsidRPr="002C0A36">
        <w:rPr>
          <w:b w:val="0"/>
          <w:color w:val="000000"/>
          <w:szCs w:val="22"/>
        </w:rPr>
        <w:t>սուբսիդիաների</w:t>
      </w:r>
      <w:r w:rsidRPr="002C0A36">
        <w:rPr>
          <w:b w:val="0"/>
          <w:color w:val="000000"/>
          <w:szCs w:val="22"/>
          <w:lang w:val="en-US"/>
        </w:rPr>
        <w:t xml:space="preserve"> (</w:t>
      </w:r>
      <w:r w:rsidRPr="002C0A36">
        <w:rPr>
          <w:b w:val="0"/>
          <w:color w:val="000000"/>
          <w:szCs w:val="22"/>
        </w:rPr>
        <w:t>այդ</w:t>
      </w:r>
      <w:r w:rsidRPr="002C0A36">
        <w:rPr>
          <w:b w:val="0"/>
          <w:color w:val="000000"/>
          <w:szCs w:val="22"/>
          <w:lang w:val="en-US"/>
        </w:rPr>
        <w:t xml:space="preserve"> </w:t>
      </w:r>
      <w:r w:rsidRPr="002C0A36">
        <w:rPr>
          <w:b w:val="0"/>
          <w:color w:val="000000"/>
          <w:szCs w:val="22"/>
        </w:rPr>
        <w:t>թվում</w:t>
      </w:r>
      <w:r w:rsidRPr="002C0A36">
        <w:rPr>
          <w:b w:val="0"/>
          <w:color w:val="000000"/>
          <w:szCs w:val="22"/>
          <w:lang w:val="en-US"/>
        </w:rPr>
        <w:t xml:space="preserve"> </w:t>
      </w:r>
      <w:r w:rsidRPr="002C0A36">
        <w:rPr>
          <w:b w:val="0"/>
          <w:color w:val="000000"/>
          <w:szCs w:val="22"/>
        </w:rPr>
        <w:t>լրացուցիչ</w:t>
      </w:r>
      <w:r w:rsidRPr="002C0A36">
        <w:rPr>
          <w:b w:val="0"/>
          <w:color w:val="000000"/>
          <w:szCs w:val="22"/>
          <w:lang w:val="en-US"/>
        </w:rPr>
        <w:t xml:space="preserve">) </w:t>
      </w:r>
      <w:r w:rsidRPr="002C0A36">
        <w:rPr>
          <w:b w:val="0"/>
          <w:color w:val="000000"/>
          <w:szCs w:val="22"/>
        </w:rPr>
        <w:t>տրամադրման</w:t>
      </w:r>
      <w:r w:rsidRPr="002C0A36">
        <w:rPr>
          <w:b w:val="0"/>
          <w:color w:val="000000"/>
          <w:szCs w:val="22"/>
          <w:lang w:val="en-US"/>
        </w:rPr>
        <w:t xml:space="preserve">, </w:t>
      </w:r>
      <w:r w:rsidRPr="002C0A36">
        <w:rPr>
          <w:b w:val="0"/>
          <w:color w:val="000000"/>
          <w:szCs w:val="22"/>
        </w:rPr>
        <w:t>սեփական</w:t>
      </w:r>
      <w:r w:rsidRPr="002C0A36">
        <w:rPr>
          <w:b w:val="0"/>
          <w:color w:val="000000"/>
          <w:szCs w:val="22"/>
          <w:lang w:val="en-US"/>
        </w:rPr>
        <w:t xml:space="preserve"> </w:t>
      </w:r>
      <w:r w:rsidRPr="002C0A36">
        <w:rPr>
          <w:b w:val="0"/>
          <w:color w:val="000000"/>
          <w:szCs w:val="22"/>
        </w:rPr>
        <w:t>կապիտալի</w:t>
      </w:r>
      <w:r w:rsidRPr="002C0A36">
        <w:rPr>
          <w:b w:val="0"/>
          <w:color w:val="000000"/>
          <w:szCs w:val="22"/>
          <w:lang w:val="en-US"/>
        </w:rPr>
        <w:t xml:space="preserve"> </w:t>
      </w:r>
      <w:r w:rsidRPr="002C0A36">
        <w:rPr>
          <w:b w:val="0"/>
          <w:color w:val="000000"/>
          <w:szCs w:val="22"/>
        </w:rPr>
        <w:t>համալրման</w:t>
      </w:r>
      <w:r w:rsidRPr="002C0A36">
        <w:rPr>
          <w:b w:val="0"/>
          <w:color w:val="000000"/>
          <w:szCs w:val="22"/>
          <w:lang w:val="en-US"/>
        </w:rPr>
        <w:t xml:space="preserve"> </w:t>
      </w:r>
      <w:r w:rsidRPr="002C0A36">
        <w:rPr>
          <w:b w:val="0"/>
          <w:color w:val="000000"/>
          <w:szCs w:val="22"/>
        </w:rPr>
        <w:t>կամ</w:t>
      </w:r>
      <w:r w:rsidRPr="002C0A36">
        <w:rPr>
          <w:b w:val="0"/>
          <w:color w:val="000000"/>
          <w:szCs w:val="22"/>
          <w:lang w:val="en-US"/>
        </w:rPr>
        <w:t xml:space="preserve"> </w:t>
      </w:r>
      <w:r w:rsidRPr="002C0A36">
        <w:rPr>
          <w:b w:val="0"/>
          <w:color w:val="000000"/>
          <w:szCs w:val="22"/>
        </w:rPr>
        <w:t>այլ</w:t>
      </w:r>
      <w:r w:rsidRPr="002C0A36">
        <w:rPr>
          <w:b w:val="0"/>
          <w:color w:val="000000"/>
          <w:szCs w:val="22"/>
          <w:lang w:val="en-US"/>
        </w:rPr>
        <w:t xml:space="preserve"> </w:t>
      </w:r>
      <w:r w:rsidRPr="002C0A36">
        <w:rPr>
          <w:b w:val="0"/>
          <w:color w:val="000000"/>
          <w:szCs w:val="22"/>
        </w:rPr>
        <w:t>վճարումներ</w:t>
      </w:r>
      <w:r w:rsidRPr="002C0A36">
        <w:rPr>
          <w:b w:val="0"/>
          <w:color w:val="000000"/>
          <w:szCs w:val="22"/>
          <w:lang w:val="en-US"/>
        </w:rPr>
        <w:t xml:space="preserve"> </w:t>
      </w:r>
      <w:r w:rsidRPr="002C0A36">
        <w:rPr>
          <w:b w:val="0"/>
          <w:color w:val="000000"/>
          <w:szCs w:val="22"/>
        </w:rPr>
        <w:t>կատարելու</w:t>
      </w:r>
      <w:r w:rsidRPr="002C0A36">
        <w:rPr>
          <w:b w:val="0"/>
          <w:color w:val="000000"/>
          <w:szCs w:val="22"/>
          <w:lang w:val="en-US"/>
        </w:rPr>
        <w:t xml:space="preserve"> </w:t>
      </w:r>
      <w:r w:rsidRPr="002C0A36">
        <w:rPr>
          <w:b w:val="0"/>
          <w:color w:val="000000"/>
          <w:szCs w:val="22"/>
        </w:rPr>
        <w:t>անհրաժեշտության</w:t>
      </w:r>
      <w:r w:rsidRPr="002C0A36">
        <w:rPr>
          <w:b w:val="0"/>
          <w:color w:val="000000"/>
          <w:szCs w:val="22"/>
          <w:lang w:val="en-US"/>
        </w:rPr>
        <w:t xml:space="preserve">, </w:t>
      </w:r>
      <w:r w:rsidRPr="002C0A36">
        <w:rPr>
          <w:b w:val="0"/>
          <w:color w:val="000000"/>
          <w:szCs w:val="22"/>
        </w:rPr>
        <w:t>ինչպես</w:t>
      </w:r>
      <w:r w:rsidRPr="002C0A36">
        <w:rPr>
          <w:b w:val="0"/>
          <w:color w:val="000000"/>
          <w:szCs w:val="22"/>
          <w:lang w:val="en-US"/>
        </w:rPr>
        <w:t xml:space="preserve"> </w:t>
      </w:r>
      <w:r w:rsidRPr="002C0A36">
        <w:rPr>
          <w:b w:val="0"/>
          <w:color w:val="000000"/>
          <w:szCs w:val="22"/>
        </w:rPr>
        <w:t>նաև</w:t>
      </w:r>
      <w:r w:rsidRPr="002C0A36">
        <w:rPr>
          <w:b w:val="0"/>
          <w:color w:val="000000"/>
          <w:szCs w:val="22"/>
          <w:lang w:val="en-US"/>
        </w:rPr>
        <w:t xml:space="preserve"> </w:t>
      </w:r>
      <w:r w:rsidRPr="002C0A36">
        <w:rPr>
          <w:b w:val="0"/>
          <w:color w:val="000000"/>
          <w:szCs w:val="22"/>
        </w:rPr>
        <w:t>Ընկերության</w:t>
      </w:r>
      <w:r w:rsidRPr="002C0A36">
        <w:rPr>
          <w:b w:val="0"/>
          <w:color w:val="000000"/>
          <w:szCs w:val="22"/>
          <w:lang w:val="en-US"/>
        </w:rPr>
        <w:t xml:space="preserve"> </w:t>
      </w:r>
      <w:r w:rsidRPr="002C0A36">
        <w:rPr>
          <w:b w:val="0"/>
          <w:color w:val="000000"/>
          <w:szCs w:val="22"/>
        </w:rPr>
        <w:t>կողմից</w:t>
      </w:r>
      <w:r w:rsidRPr="002C0A36">
        <w:rPr>
          <w:b w:val="0"/>
          <w:color w:val="000000"/>
          <w:szCs w:val="22"/>
          <w:lang w:val="en-US"/>
        </w:rPr>
        <w:t xml:space="preserve"> </w:t>
      </w:r>
      <w:r w:rsidRPr="002C0A36">
        <w:rPr>
          <w:b w:val="0"/>
          <w:color w:val="000000"/>
          <w:szCs w:val="22"/>
        </w:rPr>
        <w:t>ՀՀ</w:t>
      </w:r>
      <w:r w:rsidRPr="002C0A36">
        <w:rPr>
          <w:b w:val="0"/>
          <w:color w:val="000000"/>
          <w:szCs w:val="22"/>
          <w:lang w:val="en-US"/>
        </w:rPr>
        <w:t xml:space="preserve"> </w:t>
      </w:r>
      <w:r w:rsidRPr="002C0A36">
        <w:rPr>
          <w:b w:val="0"/>
          <w:color w:val="000000"/>
          <w:szCs w:val="22"/>
        </w:rPr>
        <w:t>պետական</w:t>
      </w:r>
      <w:r w:rsidRPr="002C0A36">
        <w:rPr>
          <w:b w:val="0"/>
          <w:color w:val="000000"/>
          <w:szCs w:val="22"/>
          <w:lang w:val="en-US"/>
        </w:rPr>
        <w:t xml:space="preserve"> </w:t>
      </w:r>
      <w:r w:rsidRPr="002C0A36">
        <w:rPr>
          <w:b w:val="0"/>
          <w:color w:val="000000"/>
          <w:szCs w:val="22"/>
        </w:rPr>
        <w:t>բյուջե</w:t>
      </w:r>
      <w:r w:rsidRPr="002C0A36">
        <w:rPr>
          <w:b w:val="0"/>
          <w:color w:val="000000"/>
          <w:szCs w:val="22"/>
          <w:lang w:val="en-US"/>
        </w:rPr>
        <w:t xml:space="preserve"> </w:t>
      </w:r>
      <w:r w:rsidRPr="002C0A36">
        <w:rPr>
          <w:b w:val="0"/>
          <w:color w:val="000000"/>
          <w:szCs w:val="22"/>
        </w:rPr>
        <w:t>վճարվող</w:t>
      </w:r>
      <w:r w:rsidRPr="002C0A36">
        <w:rPr>
          <w:b w:val="0"/>
          <w:color w:val="000000"/>
          <w:szCs w:val="22"/>
          <w:lang w:val="en-US"/>
        </w:rPr>
        <w:t xml:space="preserve"> </w:t>
      </w:r>
      <w:r w:rsidRPr="002C0A36">
        <w:rPr>
          <w:b w:val="0"/>
          <w:color w:val="000000"/>
          <w:szCs w:val="22"/>
        </w:rPr>
        <w:t>կոնցեսիոն</w:t>
      </w:r>
      <w:r w:rsidRPr="002C0A36">
        <w:rPr>
          <w:b w:val="0"/>
          <w:color w:val="000000"/>
          <w:szCs w:val="22"/>
          <w:lang w:val="en-US"/>
        </w:rPr>
        <w:t xml:space="preserve"> </w:t>
      </w:r>
      <w:r w:rsidRPr="002C0A36">
        <w:rPr>
          <w:b w:val="0"/>
          <w:color w:val="000000"/>
          <w:szCs w:val="22"/>
        </w:rPr>
        <w:t>վճարի</w:t>
      </w:r>
      <w:r w:rsidRPr="002C0A36">
        <w:rPr>
          <w:b w:val="0"/>
          <w:color w:val="000000"/>
          <w:szCs w:val="22"/>
          <w:lang w:val="en-US"/>
        </w:rPr>
        <w:t xml:space="preserve"> </w:t>
      </w:r>
      <w:r w:rsidRPr="002C0A36">
        <w:rPr>
          <w:b w:val="0"/>
          <w:color w:val="000000"/>
          <w:szCs w:val="22"/>
        </w:rPr>
        <w:t>չվճարման</w:t>
      </w:r>
      <w:r w:rsidRPr="002C0A36">
        <w:rPr>
          <w:b w:val="0"/>
          <w:color w:val="000000"/>
          <w:szCs w:val="22"/>
          <w:lang w:val="en-US"/>
        </w:rPr>
        <w:t xml:space="preserve"> </w:t>
      </w:r>
      <w:r w:rsidRPr="002C0A36">
        <w:rPr>
          <w:b w:val="0"/>
          <w:color w:val="000000"/>
          <w:szCs w:val="22"/>
        </w:rPr>
        <w:t>ռիսկը</w:t>
      </w:r>
      <w:r w:rsidRPr="002C0A36">
        <w:rPr>
          <w:b w:val="0"/>
          <w:color w:val="000000"/>
          <w:szCs w:val="22"/>
          <w:lang w:val="en-US"/>
        </w:rPr>
        <w:t xml:space="preserve"> </w:t>
      </w:r>
      <w:r w:rsidRPr="002C0A36">
        <w:rPr>
          <w:b w:val="0"/>
          <w:color w:val="000000"/>
          <w:szCs w:val="22"/>
        </w:rPr>
        <w:t>գնահատվում</w:t>
      </w:r>
      <w:r w:rsidRPr="002C0A36">
        <w:rPr>
          <w:b w:val="0"/>
          <w:color w:val="000000"/>
          <w:szCs w:val="22"/>
          <w:lang w:val="en-US"/>
        </w:rPr>
        <w:t xml:space="preserve"> </w:t>
      </w:r>
      <w:r w:rsidRPr="002C0A36">
        <w:rPr>
          <w:b w:val="0"/>
          <w:color w:val="000000"/>
          <w:szCs w:val="22"/>
        </w:rPr>
        <w:t>է</w:t>
      </w:r>
      <w:r w:rsidRPr="002C0A36">
        <w:rPr>
          <w:b w:val="0"/>
          <w:color w:val="000000"/>
          <w:szCs w:val="22"/>
          <w:lang w:val="en-US"/>
        </w:rPr>
        <w:t xml:space="preserve"> </w:t>
      </w:r>
      <w:r w:rsidRPr="002C0A36">
        <w:rPr>
          <w:b w:val="0"/>
          <w:color w:val="000000"/>
          <w:szCs w:val="22"/>
        </w:rPr>
        <w:t>ցածր</w:t>
      </w:r>
      <w:r w:rsidRPr="002C0A36">
        <w:rPr>
          <w:b w:val="0"/>
          <w:color w:val="000000"/>
          <w:szCs w:val="22"/>
          <w:lang w:val="en-US"/>
        </w:rPr>
        <w:t>:</w:t>
      </w:r>
    </w:p>
    <w:p w:rsidR="002C0A36" w:rsidRPr="002C0A36" w:rsidRDefault="002C0A36" w:rsidP="007730AA">
      <w:pPr>
        <w:spacing w:before="0" w:line="276" w:lineRule="auto"/>
        <w:contextualSpacing w:val="0"/>
        <w:rPr>
          <w:szCs w:val="22"/>
          <w:lang w:val="hy-AM"/>
        </w:rPr>
      </w:pPr>
      <w:r w:rsidRPr="002C0A36">
        <w:rPr>
          <w:szCs w:val="22"/>
          <w:lang w:val="hy-AM"/>
        </w:rPr>
        <w:t>Վեոլիա Ջուր ՓԲԸ</w:t>
      </w:r>
    </w:p>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lang w:val="hy-AM"/>
        </w:rPr>
        <w:t>21.11.2016թ. ՀՀ կառավարության և «Վեոլիա Օ Կոմպանի Ժեներալ Դեզ Օ» կոմանդիտային բաժնետիրական ընկերության և «Վեոլիա Ջուր» ՓԲԸ-ի (այսուհետ` Ընկերություն) միջև կնքվել է «Երևան Ջուր», «Հայջրմուղկոյուղի», «Լոռի-ջրմուղկոյուղի», «Շիրակ-ջրմուղկոյուղի» և «Նոր Ակունք» փակ բաժնետիրական ընկերությունների կողմից օգտագործվող ու պահպանվող ջրային համակարգերի և այլ գույքի վարձակալության պայմանագիր` 15 տարի ժամկետով (Վարձակալական պայմանգիր):</w:t>
      </w:r>
    </w:p>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lang w:val="hy-AM"/>
        </w:rPr>
        <w:t>Վարձակալական պայմանգրի 9-րդ հոդվածի համաձայն Ընկերության կողմից մատուցվող ջրամատակարարման և կեղտաջրերի հեռացման ծառայությունների սակագները կարգավորվում և հաստավում են Հանրային ծառայությունները կարգավորող հանձնաժողովի կողմից:</w:t>
      </w:r>
    </w:p>
    <w:p w:rsidR="002C0A36" w:rsidRPr="002C0A36" w:rsidRDefault="002C0A36" w:rsidP="007730AA">
      <w:pPr>
        <w:shd w:val="clear" w:color="auto" w:fill="FFFFFF"/>
        <w:spacing w:before="0" w:line="276" w:lineRule="auto"/>
        <w:contextualSpacing w:val="0"/>
        <w:rPr>
          <w:b w:val="0"/>
          <w:color w:val="000000"/>
          <w:szCs w:val="22"/>
          <w:lang w:val="hy-AM"/>
        </w:rPr>
      </w:pPr>
      <w:r w:rsidRPr="002C0A36">
        <w:rPr>
          <w:b w:val="0"/>
          <w:color w:val="000000"/>
          <w:szCs w:val="22"/>
          <w:lang w:val="hy-AM"/>
        </w:rPr>
        <w:t xml:space="preserve">Միաժամանակ Վարձակալական պայմանագրի 8-րդ հոդվածի համաձայն Ընկերությունը պարտավոր է յուրաքանչյուր կիսամյակ վճարել վարձակալության վճար` համաձայն նախատեսված վարձակալության վճարի վճարման ժամանակացույցի: Վարձակալության վճարի ամբողջական գումարը կազմել է 89.7 մլրդ ՀՀ դրամ։ </w:t>
      </w:r>
    </w:p>
    <w:p w:rsidR="002C0A36" w:rsidRPr="002C0A36" w:rsidRDefault="002C0A36" w:rsidP="007730AA">
      <w:pPr>
        <w:spacing w:before="0" w:line="276" w:lineRule="auto"/>
        <w:contextualSpacing w:val="0"/>
        <w:rPr>
          <w:b w:val="0"/>
          <w:color w:val="000000"/>
          <w:szCs w:val="22"/>
          <w:lang w:val="hy-AM"/>
        </w:rPr>
      </w:pPr>
      <w:r w:rsidRPr="002C0A36">
        <w:rPr>
          <w:b w:val="0"/>
          <w:color w:val="000000"/>
          <w:szCs w:val="22"/>
          <w:lang w:val="hy-AM"/>
        </w:rPr>
        <w:t>Հարկ է նաև նշել, որ Ընկերությունն ապահովել է Վարձակալական  պայմանագրով 2020թ. Վարձակալական վճարի կիսամյակային առաջին վճարումը:</w:t>
      </w:r>
    </w:p>
    <w:p w:rsidR="002C0A36" w:rsidRPr="002C0A36" w:rsidRDefault="002C0A36" w:rsidP="007730AA">
      <w:pPr>
        <w:shd w:val="clear" w:color="auto" w:fill="FFFFFF"/>
        <w:spacing w:before="0" w:line="276" w:lineRule="auto"/>
        <w:contextualSpacing w:val="0"/>
        <w:rPr>
          <w:b w:val="0"/>
          <w:szCs w:val="22"/>
          <w:lang w:val="hy-AM"/>
        </w:rPr>
      </w:pPr>
      <w:r w:rsidRPr="002C0A36">
        <w:rPr>
          <w:b w:val="0"/>
          <w:szCs w:val="22"/>
          <w:lang w:val="hy-AM"/>
        </w:rPr>
        <w:t>Հաշվետու ժամանակաշրջանում «Վեոլիա Ջուր» ՓԲԸ-ի (այսուհետ` Ընկերություն) ընդամենը եկամուտները կազմել են 22.4 մլրդ դրամ նախորդ ժամանակաշրջանի 21.4 մլրդ դրամի դիմաց` կամ ավել 4.6%-ով (1.0 մլրդ դրամով), իսկ միջանկյալ ժամանակաշրջանում՝ 9.3 մլրդ դրամ նախորդ միջանկյալ ժամանակաշրջանի 9.1 մլրդ դրամի դիմաց, կամ ավել 0.2 մլրդ դրամով (2.2%-ով):</w:t>
      </w:r>
    </w:p>
    <w:p w:rsidR="002C0A36" w:rsidRPr="002C0A36" w:rsidRDefault="002C0A36" w:rsidP="007730AA">
      <w:pPr>
        <w:shd w:val="clear" w:color="auto" w:fill="FFFFFF"/>
        <w:spacing w:before="0" w:line="276" w:lineRule="auto"/>
        <w:contextualSpacing w:val="0"/>
        <w:rPr>
          <w:b w:val="0"/>
          <w:szCs w:val="22"/>
          <w:lang w:val="hy-AM"/>
        </w:rPr>
      </w:pPr>
      <w:r w:rsidRPr="002C0A36">
        <w:rPr>
          <w:b w:val="0"/>
          <w:szCs w:val="22"/>
          <w:lang w:val="hy-AM"/>
        </w:rPr>
        <w:t>Հաշվետու ժամանակաշրջանում Ընկերության ծախսերը կազմել են 19.2 մլրդ դրամ` նախորդ ժամանակաշրջանի 19.4 մլրդ դրամի դիմաց` կամ պակաս 1.0%-ով (0.2 մլրդ դրամով), իսկ միջանկյալ ժամանակաշրջանում՝ 7.3 մլրդ դրամ նախորդ միջանկյալ ժամանակաշրջանի 7.5 մլրդ դրամի դիմաց կամ պակաս 0.2 մլրդ դրամով (2.7%-ով):</w:t>
      </w:r>
    </w:p>
    <w:p w:rsidR="002C0A36" w:rsidRPr="002C0A36" w:rsidRDefault="002C0A36" w:rsidP="007730AA">
      <w:pPr>
        <w:shd w:val="clear" w:color="auto" w:fill="FFFFFF"/>
        <w:spacing w:before="0" w:line="276" w:lineRule="auto"/>
        <w:contextualSpacing w:val="0"/>
        <w:rPr>
          <w:b w:val="0"/>
          <w:szCs w:val="22"/>
          <w:lang w:val="hy-AM"/>
        </w:rPr>
      </w:pPr>
      <w:r w:rsidRPr="002C0A36">
        <w:rPr>
          <w:b w:val="0"/>
          <w:szCs w:val="22"/>
          <w:lang w:val="hy-AM"/>
        </w:rPr>
        <w:t>Ընկերության 22.4 մլրդ դրամ ընդհանուր եկամուտների և 19.2 մլրդ դրամ ընդհանուր ծախսերի արդյունքում հաշվետու ժամանակաշրջանում շահույթը կազմել է 3.2 մլրդ դրամ, իսկ միջանկյալ ժամանակաշրջանում 9.3 մլրդ դրամ ընդհանուր եկամուտների և 7.3 մլրդ դրամ ընդհանուր ծախսերի պայմաններում շահույթը կազմել է 2.0 մլրդ դրամ:</w:t>
      </w:r>
    </w:p>
    <w:p w:rsidR="002C0A36" w:rsidRPr="002C0A36" w:rsidRDefault="002C0A36" w:rsidP="00E513E7">
      <w:pPr>
        <w:shd w:val="clear" w:color="auto" w:fill="FFFFFF"/>
        <w:spacing w:before="0" w:line="276" w:lineRule="auto"/>
        <w:contextualSpacing w:val="0"/>
        <w:rPr>
          <w:rFonts w:ascii="Calibri" w:hAnsi="Calibri"/>
          <w:b w:val="0"/>
          <w:color w:val="000000"/>
          <w:szCs w:val="22"/>
          <w:lang w:val="hy-AM"/>
        </w:rPr>
      </w:pPr>
      <w:r w:rsidRPr="002C0A36">
        <w:rPr>
          <w:b w:val="0"/>
          <w:szCs w:val="22"/>
          <w:lang w:val="hy-AM"/>
        </w:rPr>
        <w:t>Ընկերության հարկաբյուջետային ռիսկերի գնահատման համար կիրառված ֆինանսական գործակիցների ամփոփ արդյունքները և պրակտիկայում ընդունված թույլատրելի սահմանային նորմաները ներկայացված են աղյուսակում:</w:t>
      </w:r>
      <w:r w:rsidRPr="002C0A36">
        <w:rPr>
          <w:rFonts w:ascii="Sylfaen" w:hAnsi="Sylfaen"/>
          <w:b w:val="0"/>
          <w:color w:val="000000"/>
          <w:szCs w:val="22"/>
          <w:lang w:val="hy-AM"/>
        </w:rPr>
        <w:t> </w:t>
      </w:r>
    </w:p>
    <w:p w:rsidR="00E513E7" w:rsidRPr="005578F9" w:rsidRDefault="00E513E7" w:rsidP="007730AA">
      <w:pPr>
        <w:pStyle w:val="Caption"/>
        <w:spacing w:before="0" w:after="0" w:line="240" w:lineRule="auto"/>
        <w:rPr>
          <w:lang w:val="hy-AM"/>
        </w:rPr>
      </w:pPr>
      <w:bookmarkStart w:id="281" w:name="_Toc57631785"/>
    </w:p>
    <w:p w:rsidR="00E513E7" w:rsidRPr="005578F9" w:rsidRDefault="00E513E7" w:rsidP="007730AA">
      <w:pPr>
        <w:pStyle w:val="Caption"/>
        <w:spacing w:before="0" w:after="0" w:line="240" w:lineRule="auto"/>
        <w:rPr>
          <w:lang w:val="hy-AM"/>
        </w:rPr>
      </w:pPr>
    </w:p>
    <w:p w:rsidR="002C0A36" w:rsidRPr="00CF7820" w:rsidRDefault="00CF7820" w:rsidP="007730AA">
      <w:pPr>
        <w:pStyle w:val="Caption"/>
        <w:spacing w:before="0" w:after="0" w:line="240" w:lineRule="auto"/>
        <w:rPr>
          <w:b/>
          <w:i/>
          <w:sz w:val="20"/>
          <w:szCs w:val="20"/>
          <w:lang w:val="hy-AM"/>
        </w:rPr>
      </w:pPr>
      <w:r w:rsidRPr="00CF7820">
        <w:rPr>
          <w:lang w:val="hy-AM"/>
        </w:rPr>
        <w:t xml:space="preserve">Աղյուսակ </w:t>
      </w:r>
      <w:r w:rsidR="003C3925">
        <w:fldChar w:fldCharType="begin"/>
      </w:r>
      <w:r w:rsidRPr="00CF7820">
        <w:rPr>
          <w:lang w:val="hy-AM"/>
        </w:rPr>
        <w:instrText xml:space="preserve"> SEQ Աղյուսակ \* ARABIC </w:instrText>
      </w:r>
      <w:r w:rsidR="003C3925">
        <w:fldChar w:fldCharType="separate"/>
      </w:r>
      <w:r w:rsidR="007E790B">
        <w:rPr>
          <w:noProof/>
          <w:lang w:val="hy-AM"/>
        </w:rPr>
        <w:t>34</w:t>
      </w:r>
      <w:r w:rsidR="003C3925">
        <w:fldChar w:fldCharType="end"/>
      </w:r>
      <w:r>
        <w:rPr>
          <w:rFonts w:ascii="Cambria Math" w:hAnsi="Cambria Math"/>
          <w:lang w:val="hy-AM"/>
        </w:rPr>
        <w:t>․</w:t>
      </w:r>
      <w:r w:rsidR="002C0A36" w:rsidRPr="002C0A36">
        <w:rPr>
          <w:color w:val="000000"/>
          <w:sz w:val="20"/>
          <w:szCs w:val="20"/>
          <w:lang w:val="hy-AM"/>
        </w:rPr>
        <w:t xml:space="preserve"> </w:t>
      </w:r>
      <w:r w:rsidR="002C0A36" w:rsidRPr="00CF7820">
        <w:rPr>
          <w:b/>
          <w:i/>
          <w:sz w:val="20"/>
          <w:szCs w:val="20"/>
          <w:lang w:val="hy-AM"/>
        </w:rPr>
        <w:t>«Վեոլիա Ջուր» ՓԲԸ-ի ֆինանսական ցուցանիշները</w:t>
      </w:r>
      <w:bookmarkEnd w:id="281"/>
      <w:r w:rsidR="002C0A36" w:rsidRPr="00CF7820">
        <w:rPr>
          <w:b/>
          <w:i/>
          <w:sz w:val="20"/>
          <w:szCs w:val="20"/>
          <w:lang w:val="hy-AM"/>
        </w:rPr>
        <w:t> </w:t>
      </w:r>
    </w:p>
    <w:tbl>
      <w:tblPr>
        <w:tblpPr w:leftFromText="180" w:rightFromText="180" w:vertAnchor="text" w:horzAnchor="margin" w:tblpY="454"/>
        <w:tblW w:w="9464" w:type="dxa"/>
        <w:tblLook w:val="04A0" w:firstRow="1" w:lastRow="0" w:firstColumn="1" w:lastColumn="0" w:noHBand="0" w:noVBand="1"/>
      </w:tblPr>
      <w:tblGrid>
        <w:gridCol w:w="3678"/>
        <w:gridCol w:w="1273"/>
        <w:gridCol w:w="1023"/>
        <w:gridCol w:w="1152"/>
        <w:gridCol w:w="2338"/>
      </w:tblGrid>
      <w:tr w:rsidR="002C0A36" w:rsidRPr="002C0A36" w:rsidTr="007E430F">
        <w:trPr>
          <w:trHeight w:val="393"/>
          <w:tblHeader/>
        </w:trPr>
        <w:tc>
          <w:tcPr>
            <w:tcW w:w="3678" w:type="dxa"/>
            <w:tcBorders>
              <w:top w:val="single" w:sz="4" w:space="0" w:color="auto"/>
              <w:left w:val="single" w:sz="12" w:space="0" w:color="auto"/>
              <w:bottom w:val="single" w:sz="4" w:space="0" w:color="auto"/>
              <w:right w:val="single" w:sz="4" w:space="0" w:color="auto"/>
            </w:tcBorders>
            <w:shd w:val="clear" w:color="auto" w:fill="0070C0"/>
            <w:vAlign w:val="center"/>
            <w:hideMark/>
          </w:tcPr>
          <w:p w:rsidR="002C0A36" w:rsidRPr="000573ED" w:rsidRDefault="002C0A36" w:rsidP="007730AA">
            <w:pPr>
              <w:spacing w:before="0" w:line="240" w:lineRule="auto"/>
              <w:ind w:firstLine="0"/>
              <w:contextualSpacing w:val="0"/>
              <w:jc w:val="left"/>
              <w:rPr>
                <w:color w:val="FFFFFF"/>
                <w:sz w:val="18"/>
                <w:szCs w:val="18"/>
              </w:rPr>
            </w:pPr>
            <w:r w:rsidRPr="000573ED">
              <w:rPr>
                <w:color w:val="FFFFFF"/>
                <w:sz w:val="18"/>
                <w:szCs w:val="18"/>
              </w:rPr>
              <w:t>Ցուցանիշ</w:t>
            </w:r>
          </w:p>
        </w:tc>
        <w:tc>
          <w:tcPr>
            <w:tcW w:w="1273"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2C0A36" w:rsidRPr="000573ED" w:rsidRDefault="002C0A36" w:rsidP="007730AA">
            <w:pPr>
              <w:spacing w:before="0" w:line="240" w:lineRule="auto"/>
              <w:ind w:firstLine="0"/>
              <w:contextualSpacing w:val="0"/>
              <w:jc w:val="center"/>
              <w:rPr>
                <w:color w:val="FFFFFF"/>
                <w:sz w:val="18"/>
                <w:szCs w:val="18"/>
              </w:rPr>
            </w:pPr>
            <w:r w:rsidRPr="000573ED">
              <w:rPr>
                <w:color w:val="FFFFFF"/>
                <w:sz w:val="18"/>
                <w:szCs w:val="18"/>
              </w:rPr>
              <w:t>201</w:t>
            </w:r>
            <w:r w:rsidRPr="000573ED">
              <w:rPr>
                <w:color w:val="FFFFFF"/>
                <w:sz w:val="18"/>
                <w:szCs w:val="18"/>
                <w:lang w:val="hy-AM"/>
              </w:rPr>
              <w:t>8</w:t>
            </w:r>
            <w:r w:rsidRPr="000573ED">
              <w:rPr>
                <w:color w:val="FFFFFF"/>
                <w:sz w:val="18"/>
                <w:szCs w:val="18"/>
              </w:rPr>
              <w:t>թ.</w:t>
            </w:r>
          </w:p>
        </w:tc>
        <w:tc>
          <w:tcPr>
            <w:tcW w:w="1023" w:type="dxa"/>
            <w:tcBorders>
              <w:top w:val="single" w:sz="4" w:space="0" w:color="auto"/>
              <w:left w:val="single" w:sz="4" w:space="0" w:color="auto"/>
              <w:bottom w:val="single" w:sz="4" w:space="0" w:color="auto"/>
              <w:right w:val="single" w:sz="4" w:space="0" w:color="auto"/>
            </w:tcBorders>
            <w:shd w:val="clear" w:color="auto" w:fill="0070C0"/>
            <w:vAlign w:val="center"/>
          </w:tcPr>
          <w:p w:rsidR="002C0A36" w:rsidRPr="000573ED" w:rsidRDefault="002C0A36" w:rsidP="007730AA">
            <w:pPr>
              <w:spacing w:before="0" w:line="240" w:lineRule="auto"/>
              <w:ind w:firstLine="0"/>
              <w:contextualSpacing w:val="0"/>
              <w:jc w:val="center"/>
              <w:rPr>
                <w:color w:val="FFFFFF"/>
                <w:sz w:val="18"/>
                <w:szCs w:val="18"/>
              </w:rPr>
            </w:pPr>
            <w:r w:rsidRPr="000573ED">
              <w:rPr>
                <w:color w:val="FFFFFF"/>
                <w:sz w:val="18"/>
                <w:szCs w:val="18"/>
              </w:rPr>
              <w:t>201</w:t>
            </w:r>
            <w:r w:rsidRPr="000573ED">
              <w:rPr>
                <w:color w:val="FFFFFF"/>
                <w:sz w:val="18"/>
                <w:szCs w:val="18"/>
                <w:lang w:val="hy-AM"/>
              </w:rPr>
              <w:t>9</w:t>
            </w:r>
            <w:r w:rsidRPr="000573ED">
              <w:rPr>
                <w:color w:val="FFFFFF"/>
                <w:sz w:val="18"/>
                <w:szCs w:val="18"/>
              </w:rPr>
              <w:t>թ.</w:t>
            </w:r>
          </w:p>
        </w:tc>
        <w:tc>
          <w:tcPr>
            <w:tcW w:w="1152" w:type="dxa"/>
            <w:tcBorders>
              <w:top w:val="single" w:sz="4" w:space="0" w:color="auto"/>
              <w:left w:val="single" w:sz="4" w:space="0" w:color="auto"/>
              <w:bottom w:val="single" w:sz="4" w:space="0" w:color="auto"/>
              <w:right w:val="single" w:sz="4" w:space="0" w:color="auto"/>
            </w:tcBorders>
            <w:shd w:val="clear" w:color="auto" w:fill="0070C0"/>
            <w:vAlign w:val="center"/>
          </w:tcPr>
          <w:p w:rsidR="002C0A36" w:rsidRPr="000573ED" w:rsidRDefault="002C0A36" w:rsidP="007730AA">
            <w:pPr>
              <w:spacing w:before="0" w:line="240" w:lineRule="auto"/>
              <w:ind w:firstLine="0"/>
              <w:contextualSpacing w:val="0"/>
              <w:jc w:val="center"/>
              <w:rPr>
                <w:color w:val="FFFFFF"/>
                <w:sz w:val="18"/>
                <w:szCs w:val="18"/>
              </w:rPr>
            </w:pPr>
            <w:r w:rsidRPr="000573ED">
              <w:rPr>
                <w:color w:val="FFFFFF"/>
                <w:sz w:val="18"/>
                <w:szCs w:val="18"/>
              </w:rPr>
              <w:t xml:space="preserve">2020թ. </w:t>
            </w:r>
            <w:r w:rsidRPr="000573ED">
              <w:rPr>
                <w:color w:val="FFFFFF"/>
                <w:sz w:val="18"/>
                <w:szCs w:val="18"/>
              </w:rPr>
              <w:br/>
              <w:t>1-ին կիսամյակ</w:t>
            </w:r>
          </w:p>
        </w:tc>
        <w:tc>
          <w:tcPr>
            <w:tcW w:w="2338" w:type="dxa"/>
            <w:tcBorders>
              <w:top w:val="single" w:sz="4" w:space="0" w:color="auto"/>
              <w:left w:val="single" w:sz="4" w:space="0" w:color="auto"/>
              <w:bottom w:val="single" w:sz="4" w:space="0" w:color="auto"/>
              <w:right w:val="single" w:sz="12" w:space="0" w:color="auto"/>
            </w:tcBorders>
            <w:shd w:val="clear" w:color="auto" w:fill="0070C0"/>
            <w:vAlign w:val="center"/>
            <w:hideMark/>
          </w:tcPr>
          <w:p w:rsidR="002C0A36" w:rsidRPr="000573ED" w:rsidRDefault="002C0A36" w:rsidP="007730AA">
            <w:pPr>
              <w:spacing w:before="0" w:line="240" w:lineRule="auto"/>
              <w:ind w:firstLine="0"/>
              <w:contextualSpacing w:val="0"/>
              <w:jc w:val="left"/>
              <w:rPr>
                <w:color w:val="FFFFFF"/>
                <w:sz w:val="18"/>
                <w:szCs w:val="18"/>
              </w:rPr>
            </w:pPr>
            <w:r w:rsidRPr="000573ED">
              <w:rPr>
                <w:color w:val="FFFFFF"/>
                <w:sz w:val="18"/>
                <w:szCs w:val="18"/>
              </w:rPr>
              <w:t>Թույլատրելի սահմանային նորմա</w:t>
            </w:r>
          </w:p>
        </w:tc>
      </w:tr>
      <w:tr w:rsidR="002C0A36" w:rsidRPr="002C0A36" w:rsidTr="007E430F">
        <w:trPr>
          <w:trHeight w:val="578"/>
        </w:trPr>
        <w:tc>
          <w:tcPr>
            <w:tcW w:w="3678"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Ծախսերի վերականգնման գործակից</w:t>
            </w:r>
          </w:p>
        </w:tc>
        <w:tc>
          <w:tcPr>
            <w:tcW w:w="12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rPr>
            </w:pPr>
            <w:r w:rsidRPr="002C0A36">
              <w:rPr>
                <w:b w:val="0"/>
                <w:bCs/>
                <w:color w:val="000000"/>
                <w:sz w:val="18"/>
                <w:szCs w:val="18"/>
              </w:rPr>
              <w:t>1.1</w:t>
            </w:r>
          </w:p>
        </w:tc>
        <w:tc>
          <w:tcPr>
            <w:tcW w:w="10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rPr>
              <w:t>1.</w:t>
            </w:r>
            <w:r w:rsidRPr="002C0A36">
              <w:rPr>
                <w:b w:val="0"/>
                <w:bCs/>
                <w:color w:val="000000"/>
                <w:sz w:val="18"/>
                <w:szCs w:val="18"/>
                <w:lang w:val="en-US"/>
              </w:rPr>
              <w:t>2</w:t>
            </w:r>
          </w:p>
        </w:tc>
        <w:tc>
          <w:tcPr>
            <w:tcW w:w="11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sz w:val="18"/>
                <w:szCs w:val="18"/>
              </w:rPr>
              <w:t>1.</w:t>
            </w:r>
            <w:r w:rsidRPr="002C0A36">
              <w:rPr>
                <w:b w:val="0"/>
                <w:sz w:val="18"/>
                <w:szCs w:val="18"/>
                <w:lang w:val="en-US"/>
              </w:rPr>
              <w:t>3</w:t>
            </w:r>
          </w:p>
        </w:tc>
        <w:tc>
          <w:tcPr>
            <w:tcW w:w="2338"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Առնվազն 1</w:t>
            </w:r>
          </w:p>
        </w:tc>
      </w:tr>
      <w:tr w:rsidR="002C0A36" w:rsidRPr="002C0A36" w:rsidTr="007E430F">
        <w:trPr>
          <w:trHeight w:val="471"/>
        </w:trPr>
        <w:tc>
          <w:tcPr>
            <w:tcW w:w="3678"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Զուտ շահույթի մարժա    (%)</w:t>
            </w:r>
          </w:p>
        </w:tc>
        <w:tc>
          <w:tcPr>
            <w:tcW w:w="127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rPr>
            </w:pPr>
            <w:r w:rsidRPr="002C0A36">
              <w:rPr>
                <w:b w:val="0"/>
                <w:bCs/>
                <w:color w:val="000000"/>
                <w:sz w:val="18"/>
                <w:szCs w:val="18"/>
              </w:rPr>
              <w:t>(</w:t>
            </w:r>
            <w:r w:rsidRPr="002C0A36">
              <w:rPr>
                <w:b w:val="0"/>
                <w:bCs/>
                <w:color w:val="000000"/>
                <w:sz w:val="18"/>
                <w:szCs w:val="18"/>
                <w:lang w:val="en-US"/>
              </w:rPr>
              <w:t>1</w:t>
            </w:r>
            <w:r w:rsidRPr="002C0A36">
              <w:rPr>
                <w:b w:val="0"/>
                <w:bCs/>
                <w:color w:val="000000"/>
                <w:sz w:val="18"/>
                <w:szCs w:val="18"/>
              </w:rPr>
              <w:t>4.</w:t>
            </w:r>
            <w:r w:rsidRPr="002C0A36">
              <w:rPr>
                <w:b w:val="0"/>
                <w:bCs/>
                <w:color w:val="000000"/>
                <w:sz w:val="18"/>
                <w:szCs w:val="18"/>
                <w:lang w:val="en-US"/>
              </w:rPr>
              <w:t>1</w:t>
            </w:r>
            <w:r w:rsidRPr="002C0A36">
              <w:rPr>
                <w:b w:val="0"/>
                <w:bCs/>
                <w:color w:val="000000"/>
                <w:sz w:val="18"/>
                <w:szCs w:val="18"/>
              </w:rPr>
              <w:t>)</w:t>
            </w:r>
          </w:p>
        </w:tc>
        <w:tc>
          <w:tcPr>
            <w:tcW w:w="102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rPr>
            </w:pPr>
            <w:r w:rsidRPr="002C0A36">
              <w:rPr>
                <w:b w:val="0"/>
                <w:bCs/>
                <w:color w:val="000000"/>
                <w:sz w:val="18"/>
                <w:szCs w:val="18"/>
              </w:rPr>
              <w:t>(</w:t>
            </w:r>
            <w:r w:rsidRPr="002C0A36">
              <w:rPr>
                <w:b w:val="0"/>
                <w:bCs/>
                <w:color w:val="000000"/>
                <w:sz w:val="18"/>
                <w:szCs w:val="18"/>
                <w:lang w:val="en-US"/>
              </w:rPr>
              <w:t>9</w:t>
            </w:r>
            <w:r w:rsidRPr="002C0A36">
              <w:rPr>
                <w:b w:val="0"/>
                <w:bCs/>
                <w:color w:val="000000"/>
                <w:sz w:val="18"/>
                <w:szCs w:val="18"/>
              </w:rPr>
              <w:t>.</w:t>
            </w:r>
            <w:r w:rsidRPr="002C0A36">
              <w:rPr>
                <w:b w:val="0"/>
                <w:bCs/>
                <w:color w:val="000000"/>
                <w:sz w:val="18"/>
                <w:szCs w:val="18"/>
                <w:lang w:val="en-US"/>
              </w:rPr>
              <w:t>0</w:t>
            </w:r>
            <w:r w:rsidRPr="002C0A36">
              <w:rPr>
                <w:b w:val="0"/>
                <w:bCs/>
                <w:color w:val="000000"/>
                <w:sz w:val="18"/>
                <w:szCs w:val="18"/>
              </w:rPr>
              <w:t>)</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rPr>
            </w:pPr>
            <w:r w:rsidRPr="002C0A36">
              <w:rPr>
                <w:b w:val="0"/>
                <w:bCs/>
                <w:color w:val="000000"/>
                <w:sz w:val="18"/>
                <w:szCs w:val="18"/>
              </w:rPr>
              <w:t>(</w:t>
            </w:r>
            <w:r w:rsidRPr="002C0A36">
              <w:rPr>
                <w:b w:val="0"/>
                <w:bCs/>
                <w:color w:val="000000"/>
                <w:sz w:val="18"/>
                <w:szCs w:val="18"/>
                <w:lang w:val="en-US"/>
              </w:rPr>
              <w:t>2</w:t>
            </w:r>
            <w:r w:rsidRPr="002C0A36">
              <w:rPr>
                <w:b w:val="0"/>
                <w:bCs/>
                <w:color w:val="000000"/>
                <w:sz w:val="18"/>
                <w:szCs w:val="18"/>
              </w:rPr>
              <w:t>.</w:t>
            </w:r>
            <w:r w:rsidRPr="002C0A36">
              <w:rPr>
                <w:b w:val="0"/>
                <w:bCs/>
                <w:color w:val="000000"/>
                <w:sz w:val="18"/>
                <w:szCs w:val="18"/>
                <w:lang w:val="en-US"/>
              </w:rPr>
              <w:t>0</w:t>
            </w:r>
            <w:r w:rsidRPr="002C0A36">
              <w:rPr>
                <w:b w:val="0"/>
                <w:bCs/>
                <w:color w:val="000000"/>
                <w:sz w:val="18"/>
                <w:szCs w:val="18"/>
              </w:rPr>
              <w:t>)</w:t>
            </w:r>
          </w:p>
        </w:tc>
        <w:tc>
          <w:tcPr>
            <w:tcW w:w="2338" w:type="dxa"/>
            <w:tcBorders>
              <w:top w:val="single" w:sz="4" w:space="0" w:color="auto"/>
              <w:left w:val="single" w:sz="4" w:space="0" w:color="auto"/>
              <w:bottom w:val="single" w:sz="4" w:space="0" w:color="auto"/>
              <w:right w:val="single" w:sz="12" w:space="0" w:color="auto"/>
            </w:tcBorders>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Առնվազն 8%</w:t>
            </w:r>
          </w:p>
        </w:tc>
      </w:tr>
      <w:tr w:rsidR="002C0A36" w:rsidRPr="002C0A36" w:rsidTr="007E430F">
        <w:trPr>
          <w:trHeight w:val="407"/>
        </w:trPr>
        <w:tc>
          <w:tcPr>
            <w:tcW w:w="3678"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Արագ իրացվելիության գործակից</w:t>
            </w:r>
          </w:p>
        </w:tc>
        <w:tc>
          <w:tcPr>
            <w:tcW w:w="12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rPr>
              <w:t>0.</w:t>
            </w:r>
            <w:r w:rsidRPr="002C0A36">
              <w:rPr>
                <w:b w:val="0"/>
                <w:bCs/>
                <w:color w:val="000000"/>
                <w:sz w:val="18"/>
                <w:szCs w:val="18"/>
                <w:lang w:val="en-US"/>
              </w:rPr>
              <w:t>6</w:t>
            </w:r>
          </w:p>
        </w:tc>
        <w:tc>
          <w:tcPr>
            <w:tcW w:w="10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1.0</w:t>
            </w:r>
          </w:p>
        </w:tc>
        <w:tc>
          <w:tcPr>
            <w:tcW w:w="11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1.1</w:t>
            </w:r>
          </w:p>
        </w:tc>
        <w:tc>
          <w:tcPr>
            <w:tcW w:w="2338"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Առնվազն 1</w:t>
            </w:r>
          </w:p>
        </w:tc>
      </w:tr>
      <w:tr w:rsidR="002C0A36" w:rsidRPr="002C0A36" w:rsidTr="007E430F">
        <w:trPr>
          <w:trHeight w:val="227"/>
        </w:trPr>
        <w:tc>
          <w:tcPr>
            <w:tcW w:w="3678"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40" w:lineRule="auto"/>
              <w:ind w:firstLine="0"/>
              <w:contextualSpacing w:val="0"/>
              <w:jc w:val="left"/>
              <w:rPr>
                <w:b w:val="0"/>
                <w:sz w:val="18"/>
                <w:szCs w:val="18"/>
                <w:lang w:val="hy-AM"/>
              </w:rPr>
            </w:pPr>
            <w:r w:rsidRPr="002C0A36">
              <w:rPr>
                <w:b w:val="0"/>
                <w:sz w:val="18"/>
                <w:szCs w:val="18"/>
                <w:lang w:val="hy-AM"/>
              </w:rPr>
              <w:t>Դեբիտորական պարտքերի շրջանառություն</w:t>
            </w:r>
            <w:r w:rsidRPr="002C0A36">
              <w:rPr>
                <w:b w:val="0"/>
                <w:sz w:val="18"/>
                <w:szCs w:val="18"/>
              </w:rPr>
              <w:t xml:space="preserve"> (օր)</w:t>
            </w:r>
          </w:p>
        </w:tc>
        <w:tc>
          <w:tcPr>
            <w:tcW w:w="127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rPr>
            </w:pPr>
            <w:r w:rsidRPr="002C0A36">
              <w:rPr>
                <w:b w:val="0"/>
                <w:bCs/>
                <w:color w:val="000000"/>
                <w:sz w:val="18"/>
                <w:szCs w:val="18"/>
              </w:rPr>
              <w:t>7</w:t>
            </w:r>
            <w:r w:rsidRPr="002C0A36">
              <w:rPr>
                <w:b w:val="0"/>
                <w:bCs/>
                <w:color w:val="000000"/>
                <w:sz w:val="18"/>
                <w:szCs w:val="18"/>
                <w:lang w:val="en-US"/>
              </w:rPr>
              <w:t>2</w:t>
            </w:r>
            <w:r w:rsidRPr="002C0A36">
              <w:rPr>
                <w:b w:val="0"/>
                <w:bCs/>
                <w:color w:val="000000"/>
                <w:sz w:val="18"/>
                <w:szCs w:val="18"/>
              </w:rPr>
              <w:t>.3</w:t>
            </w:r>
          </w:p>
        </w:tc>
        <w:tc>
          <w:tcPr>
            <w:tcW w:w="102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74</w:t>
            </w:r>
            <w:r w:rsidRPr="002C0A36">
              <w:rPr>
                <w:b w:val="0"/>
                <w:bCs/>
                <w:color w:val="000000"/>
                <w:sz w:val="18"/>
                <w:szCs w:val="18"/>
              </w:rPr>
              <w:t>.</w:t>
            </w:r>
            <w:r w:rsidRPr="002C0A36">
              <w:rPr>
                <w:b w:val="0"/>
                <w:bCs/>
                <w:color w:val="000000"/>
                <w:sz w:val="18"/>
                <w:szCs w:val="18"/>
                <w:lang w:val="en-US"/>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100</w:t>
            </w:r>
            <w:r w:rsidRPr="002C0A36">
              <w:rPr>
                <w:b w:val="0"/>
                <w:bCs/>
                <w:color w:val="000000"/>
                <w:sz w:val="18"/>
                <w:szCs w:val="18"/>
              </w:rPr>
              <w:t>.</w:t>
            </w:r>
            <w:r w:rsidRPr="002C0A36">
              <w:rPr>
                <w:b w:val="0"/>
                <w:bCs/>
                <w:color w:val="000000"/>
                <w:sz w:val="18"/>
                <w:szCs w:val="18"/>
                <w:lang w:val="en-US"/>
              </w:rPr>
              <w:t>4</w:t>
            </w:r>
          </w:p>
        </w:tc>
        <w:tc>
          <w:tcPr>
            <w:tcW w:w="2338" w:type="dxa"/>
            <w:tcBorders>
              <w:top w:val="single" w:sz="4" w:space="0" w:color="auto"/>
              <w:left w:val="single" w:sz="4" w:space="0" w:color="auto"/>
              <w:bottom w:val="single" w:sz="4" w:space="0" w:color="auto"/>
              <w:right w:val="single" w:sz="12" w:space="0" w:color="auto"/>
            </w:tcBorders>
            <w:vAlign w:val="center"/>
            <w:hideMark/>
          </w:tcPr>
          <w:p w:rsidR="002C0A36" w:rsidRPr="002C0A36" w:rsidRDefault="002C0A36" w:rsidP="007730AA">
            <w:pPr>
              <w:spacing w:before="0" w:line="240" w:lineRule="auto"/>
              <w:ind w:firstLine="0"/>
              <w:contextualSpacing w:val="0"/>
              <w:jc w:val="left"/>
              <w:rPr>
                <w:b w:val="0"/>
                <w:sz w:val="18"/>
                <w:szCs w:val="18"/>
              </w:rPr>
            </w:pPr>
            <w:r w:rsidRPr="002C0A36">
              <w:rPr>
                <w:rFonts w:eastAsia="Calibri" w:cs="Arial"/>
                <w:b w:val="0"/>
                <w:sz w:val="18"/>
                <w:szCs w:val="18"/>
              </w:rPr>
              <w:t>Առավելագույնը</w:t>
            </w:r>
            <w:r w:rsidRPr="002C0A36">
              <w:rPr>
                <w:rFonts w:eastAsia="Calibri"/>
                <w:b w:val="0"/>
                <w:sz w:val="18"/>
                <w:szCs w:val="18"/>
              </w:rPr>
              <w:t xml:space="preserve"> 60/30 </w:t>
            </w:r>
            <w:r w:rsidRPr="002C0A36">
              <w:rPr>
                <w:rFonts w:eastAsia="Calibri" w:cs="Arial"/>
                <w:b w:val="0"/>
                <w:sz w:val="18"/>
                <w:szCs w:val="18"/>
              </w:rPr>
              <w:t>օր</w:t>
            </w:r>
          </w:p>
        </w:tc>
      </w:tr>
      <w:tr w:rsidR="002C0A36" w:rsidRPr="002C0A36" w:rsidTr="007E430F">
        <w:trPr>
          <w:trHeight w:val="438"/>
        </w:trPr>
        <w:tc>
          <w:tcPr>
            <w:tcW w:w="3678" w:type="dxa"/>
            <w:tcBorders>
              <w:top w:val="single" w:sz="4" w:space="0" w:color="auto"/>
              <w:left w:val="single" w:sz="12"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Պարտքի սպասարկման գործակից</w:t>
            </w:r>
          </w:p>
        </w:tc>
        <w:tc>
          <w:tcPr>
            <w:tcW w:w="127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rPr>
            </w:pPr>
            <w:r w:rsidRPr="002C0A36">
              <w:rPr>
                <w:b w:val="0"/>
                <w:bCs/>
                <w:color w:val="000000"/>
                <w:sz w:val="18"/>
                <w:szCs w:val="18"/>
              </w:rPr>
              <w:t>0.1</w:t>
            </w:r>
          </w:p>
        </w:tc>
        <w:tc>
          <w:tcPr>
            <w:tcW w:w="102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rPr>
              <w:t>0.</w:t>
            </w:r>
            <w:r w:rsidRPr="002C0A36">
              <w:rPr>
                <w:b w:val="0"/>
                <w:bCs/>
                <w:color w:val="000000"/>
                <w:sz w:val="18"/>
                <w:szCs w:val="18"/>
                <w:lang w:val="en-US"/>
              </w:rPr>
              <w:t>0</w:t>
            </w:r>
          </w:p>
        </w:tc>
        <w:tc>
          <w:tcPr>
            <w:tcW w:w="11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color w:val="000000"/>
                <w:sz w:val="18"/>
                <w:szCs w:val="18"/>
                <w:lang w:val="en-US"/>
              </w:rPr>
            </w:pPr>
            <w:r w:rsidRPr="002C0A36">
              <w:rPr>
                <w:b w:val="0"/>
                <w:sz w:val="18"/>
                <w:szCs w:val="18"/>
              </w:rPr>
              <w:t>0.</w:t>
            </w:r>
            <w:r w:rsidRPr="002C0A36">
              <w:rPr>
                <w:b w:val="0"/>
                <w:sz w:val="18"/>
                <w:szCs w:val="18"/>
                <w:lang w:val="en-US"/>
              </w:rPr>
              <w:t>0</w:t>
            </w:r>
          </w:p>
        </w:tc>
        <w:tc>
          <w:tcPr>
            <w:tcW w:w="2338" w:type="dxa"/>
            <w:tcBorders>
              <w:top w:val="single" w:sz="4" w:space="0" w:color="auto"/>
              <w:left w:val="single" w:sz="4" w:space="0" w:color="auto"/>
              <w:bottom w:val="single" w:sz="4" w:space="0" w:color="auto"/>
              <w:right w:val="single" w:sz="12"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Առավելագույնը 0.5</w:t>
            </w:r>
          </w:p>
        </w:tc>
      </w:tr>
      <w:tr w:rsidR="002C0A36" w:rsidRPr="002C0A36" w:rsidTr="007E430F">
        <w:trPr>
          <w:trHeight w:val="305"/>
        </w:trPr>
        <w:tc>
          <w:tcPr>
            <w:tcW w:w="3678" w:type="dxa"/>
            <w:tcBorders>
              <w:top w:val="single" w:sz="4" w:space="0" w:color="auto"/>
              <w:left w:val="single" w:sz="12" w:space="0" w:color="auto"/>
              <w:bottom w:val="single" w:sz="4" w:space="0" w:color="auto"/>
              <w:right w:val="single" w:sz="4" w:space="0" w:color="auto"/>
            </w:tcBorders>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Վերաֆինանսավորման գործակից</w:t>
            </w:r>
          </w:p>
        </w:tc>
        <w:tc>
          <w:tcPr>
            <w:tcW w:w="127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5</w:t>
            </w:r>
            <w:r w:rsidRPr="002C0A36">
              <w:rPr>
                <w:b w:val="0"/>
                <w:bCs/>
                <w:color w:val="000000"/>
                <w:sz w:val="18"/>
                <w:szCs w:val="18"/>
              </w:rPr>
              <w:t>.</w:t>
            </w:r>
            <w:r w:rsidRPr="002C0A36">
              <w:rPr>
                <w:b w:val="0"/>
                <w:bCs/>
                <w:color w:val="000000"/>
                <w:sz w:val="18"/>
                <w:szCs w:val="18"/>
                <w:lang w:val="en-US"/>
              </w:rPr>
              <w:t>3</w:t>
            </w:r>
          </w:p>
        </w:tc>
        <w:tc>
          <w:tcPr>
            <w:tcW w:w="1023"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2</w:t>
            </w:r>
            <w:r w:rsidRPr="002C0A36">
              <w:rPr>
                <w:b w:val="0"/>
                <w:bCs/>
                <w:color w:val="000000"/>
                <w:sz w:val="18"/>
                <w:szCs w:val="18"/>
              </w:rPr>
              <w:t>.</w:t>
            </w:r>
            <w:r w:rsidRPr="002C0A36">
              <w:rPr>
                <w:b w:val="0"/>
                <w:bCs/>
                <w:color w:val="000000"/>
                <w:sz w:val="18"/>
                <w:szCs w:val="18"/>
                <w:lang w:val="en-US"/>
              </w:rPr>
              <w:t>1</w:t>
            </w:r>
          </w:p>
        </w:tc>
        <w:tc>
          <w:tcPr>
            <w:tcW w:w="1152" w:type="dxa"/>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hy-AM"/>
              </w:rPr>
            </w:pPr>
            <w:r w:rsidRPr="002C0A36">
              <w:rPr>
                <w:b w:val="0"/>
                <w:bCs/>
                <w:color w:val="000000"/>
                <w:sz w:val="18"/>
                <w:szCs w:val="18"/>
                <w:lang w:val="en-US"/>
              </w:rPr>
              <w:t>4</w:t>
            </w:r>
            <w:r w:rsidRPr="002C0A36">
              <w:rPr>
                <w:b w:val="0"/>
                <w:bCs/>
                <w:color w:val="000000"/>
                <w:sz w:val="18"/>
                <w:szCs w:val="18"/>
              </w:rPr>
              <w:t>.</w:t>
            </w:r>
            <w:r w:rsidRPr="002C0A36">
              <w:rPr>
                <w:b w:val="0"/>
                <w:bCs/>
                <w:color w:val="000000"/>
                <w:sz w:val="18"/>
                <w:szCs w:val="18"/>
                <w:lang w:val="hy-AM"/>
              </w:rPr>
              <w:t>0</w:t>
            </w:r>
          </w:p>
        </w:tc>
        <w:tc>
          <w:tcPr>
            <w:tcW w:w="2338" w:type="dxa"/>
            <w:tcBorders>
              <w:top w:val="single" w:sz="4" w:space="0" w:color="auto"/>
              <w:left w:val="single" w:sz="4" w:space="0" w:color="auto"/>
              <w:bottom w:val="single" w:sz="4" w:space="0" w:color="auto"/>
              <w:right w:val="single" w:sz="12" w:space="0" w:color="auto"/>
            </w:tcBorders>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Առավելագույնը 1</w:t>
            </w:r>
          </w:p>
        </w:tc>
      </w:tr>
      <w:tr w:rsidR="002C0A36" w:rsidRPr="00130243" w:rsidTr="007E430F">
        <w:trPr>
          <w:trHeight w:val="936"/>
        </w:trPr>
        <w:tc>
          <w:tcPr>
            <w:tcW w:w="3678" w:type="dxa"/>
            <w:tcBorders>
              <w:top w:val="single" w:sz="4" w:space="0" w:color="auto"/>
              <w:left w:val="single" w:sz="12" w:space="0" w:color="auto"/>
              <w:bottom w:val="single" w:sz="12" w:space="0" w:color="auto"/>
              <w:right w:val="single" w:sz="4"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rPr>
            </w:pPr>
            <w:r w:rsidRPr="002C0A36">
              <w:rPr>
                <w:b w:val="0"/>
                <w:sz w:val="18"/>
                <w:szCs w:val="18"/>
              </w:rPr>
              <w:t>Z- միավոր</w:t>
            </w:r>
          </w:p>
        </w:tc>
        <w:tc>
          <w:tcPr>
            <w:tcW w:w="1273"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rPr>
            </w:pPr>
            <w:r w:rsidRPr="002C0A36">
              <w:rPr>
                <w:b w:val="0"/>
                <w:bCs/>
                <w:color w:val="000000"/>
                <w:sz w:val="18"/>
                <w:szCs w:val="18"/>
              </w:rPr>
              <w:t>(</w:t>
            </w:r>
            <w:r w:rsidRPr="002C0A36">
              <w:rPr>
                <w:b w:val="0"/>
                <w:bCs/>
                <w:color w:val="000000"/>
                <w:sz w:val="18"/>
                <w:szCs w:val="18"/>
                <w:lang w:val="en-US"/>
              </w:rPr>
              <w:t>1</w:t>
            </w:r>
            <w:r w:rsidRPr="002C0A36">
              <w:rPr>
                <w:b w:val="0"/>
                <w:bCs/>
                <w:color w:val="000000"/>
                <w:sz w:val="18"/>
                <w:szCs w:val="18"/>
              </w:rPr>
              <w:t>.</w:t>
            </w:r>
            <w:r w:rsidRPr="002C0A36">
              <w:rPr>
                <w:b w:val="0"/>
                <w:bCs/>
                <w:color w:val="000000"/>
                <w:sz w:val="18"/>
                <w:szCs w:val="18"/>
                <w:lang w:val="en-US"/>
              </w:rPr>
              <w:t>3</w:t>
            </w:r>
            <w:r w:rsidRPr="002C0A36">
              <w:rPr>
                <w:b w:val="0"/>
                <w:bCs/>
                <w:color w:val="000000"/>
                <w:sz w:val="18"/>
                <w:szCs w:val="18"/>
              </w:rPr>
              <w:t>)</w:t>
            </w:r>
          </w:p>
        </w:tc>
        <w:tc>
          <w:tcPr>
            <w:tcW w:w="1023"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rPr>
            </w:pPr>
            <w:r w:rsidRPr="002C0A36">
              <w:rPr>
                <w:b w:val="0"/>
                <w:bCs/>
                <w:color w:val="000000"/>
                <w:sz w:val="18"/>
                <w:szCs w:val="18"/>
              </w:rPr>
              <w:t>(</w:t>
            </w:r>
            <w:r w:rsidRPr="002C0A36">
              <w:rPr>
                <w:b w:val="0"/>
                <w:bCs/>
                <w:color w:val="000000"/>
                <w:sz w:val="18"/>
                <w:szCs w:val="18"/>
                <w:lang w:val="en-US"/>
              </w:rPr>
              <w:t>0</w:t>
            </w:r>
            <w:r w:rsidRPr="002C0A36">
              <w:rPr>
                <w:b w:val="0"/>
                <w:bCs/>
                <w:color w:val="000000"/>
                <w:sz w:val="18"/>
                <w:szCs w:val="18"/>
              </w:rPr>
              <w:t>.</w:t>
            </w:r>
            <w:r w:rsidRPr="002C0A36">
              <w:rPr>
                <w:b w:val="0"/>
                <w:bCs/>
                <w:color w:val="000000"/>
                <w:sz w:val="18"/>
                <w:szCs w:val="18"/>
                <w:lang w:val="en-US"/>
              </w:rPr>
              <w:t>5</w:t>
            </w:r>
            <w:r w:rsidRPr="002C0A36">
              <w:rPr>
                <w:b w:val="0"/>
                <w:bCs/>
                <w:color w:val="000000"/>
                <w:sz w:val="18"/>
                <w:szCs w:val="18"/>
              </w:rPr>
              <w:t>)</w:t>
            </w:r>
          </w:p>
        </w:tc>
        <w:tc>
          <w:tcPr>
            <w:tcW w:w="1152" w:type="dxa"/>
            <w:tcBorders>
              <w:top w:val="single" w:sz="4" w:space="0" w:color="auto"/>
              <w:left w:val="single" w:sz="4" w:space="0" w:color="auto"/>
              <w:bottom w:val="single" w:sz="12" w:space="0" w:color="auto"/>
              <w:right w:val="single" w:sz="4" w:space="0" w:color="auto"/>
            </w:tcBorders>
            <w:shd w:val="clear" w:color="auto" w:fill="C6D9F1" w:themeFill="text2" w:themeFillTint="33"/>
            <w:vAlign w:val="center"/>
            <w:hideMark/>
          </w:tcPr>
          <w:p w:rsidR="002C0A36" w:rsidRPr="002C0A36" w:rsidRDefault="002C0A36" w:rsidP="007730AA">
            <w:pPr>
              <w:spacing w:before="0" w:line="240" w:lineRule="auto"/>
              <w:ind w:firstLine="0"/>
              <w:contextualSpacing w:val="0"/>
              <w:jc w:val="center"/>
              <w:rPr>
                <w:b w:val="0"/>
                <w:bCs/>
                <w:color w:val="000000"/>
                <w:sz w:val="18"/>
                <w:szCs w:val="18"/>
                <w:lang w:val="en-US"/>
              </w:rPr>
            </w:pPr>
            <w:r w:rsidRPr="002C0A36">
              <w:rPr>
                <w:b w:val="0"/>
                <w:bCs/>
                <w:color w:val="000000"/>
                <w:sz w:val="18"/>
                <w:szCs w:val="18"/>
                <w:lang w:val="en-US"/>
              </w:rPr>
              <w:t>0</w:t>
            </w:r>
            <w:r w:rsidRPr="002C0A36">
              <w:rPr>
                <w:b w:val="0"/>
                <w:bCs/>
                <w:color w:val="000000"/>
                <w:sz w:val="18"/>
                <w:szCs w:val="18"/>
              </w:rPr>
              <w:t>.</w:t>
            </w:r>
            <w:r w:rsidRPr="002C0A36">
              <w:rPr>
                <w:b w:val="0"/>
                <w:bCs/>
                <w:color w:val="000000"/>
                <w:sz w:val="18"/>
                <w:szCs w:val="18"/>
                <w:lang w:val="en-US"/>
              </w:rPr>
              <w:t>1</w:t>
            </w:r>
          </w:p>
        </w:tc>
        <w:tc>
          <w:tcPr>
            <w:tcW w:w="2338" w:type="dxa"/>
            <w:tcBorders>
              <w:top w:val="single" w:sz="4" w:space="0" w:color="auto"/>
              <w:left w:val="single" w:sz="4" w:space="0" w:color="auto"/>
              <w:bottom w:val="single" w:sz="12" w:space="0" w:color="auto"/>
              <w:right w:val="single" w:sz="12" w:space="0" w:color="auto"/>
            </w:tcBorders>
            <w:shd w:val="clear" w:color="auto" w:fill="C6D9F1" w:themeFill="text2" w:themeFillTint="33"/>
            <w:hideMark/>
          </w:tcPr>
          <w:p w:rsidR="002C0A36" w:rsidRPr="002C0A36" w:rsidRDefault="002C0A36" w:rsidP="007730AA">
            <w:pPr>
              <w:spacing w:before="0" w:line="240" w:lineRule="auto"/>
              <w:ind w:firstLine="0"/>
              <w:contextualSpacing w:val="0"/>
              <w:jc w:val="left"/>
              <w:rPr>
                <w:b w:val="0"/>
                <w:sz w:val="18"/>
                <w:szCs w:val="18"/>
                <w:lang w:val="hy-AM"/>
              </w:rPr>
            </w:pPr>
            <w:r w:rsidRPr="002C0A36">
              <w:rPr>
                <w:b w:val="0"/>
                <w:sz w:val="18"/>
                <w:szCs w:val="18"/>
                <w:lang w:val="hy-AM"/>
              </w:rPr>
              <w:t>Ապահով գոտի Z&gt;2.6, Գորշ գոտի 1.1&lt;Z&lt;2.6, Ծանր գոտի Z&lt;1.1</w:t>
            </w:r>
          </w:p>
        </w:tc>
      </w:tr>
    </w:tbl>
    <w:p w:rsidR="002C0A36" w:rsidRPr="002C0A36" w:rsidRDefault="002C0A36" w:rsidP="007730AA">
      <w:pPr>
        <w:shd w:val="clear" w:color="auto" w:fill="FFFFFF"/>
        <w:spacing w:before="0" w:line="240" w:lineRule="auto"/>
        <w:ind w:firstLine="0"/>
        <w:contextualSpacing w:val="0"/>
        <w:jc w:val="left"/>
        <w:rPr>
          <w:rFonts w:ascii="Calibri" w:hAnsi="Calibri"/>
          <w:b w:val="0"/>
          <w:i/>
          <w:color w:val="000000"/>
          <w:sz w:val="20"/>
          <w:szCs w:val="20"/>
          <w:lang w:val="hy-AM"/>
        </w:rPr>
      </w:pPr>
    </w:p>
    <w:p w:rsidR="002C0A36" w:rsidRPr="00B86D85" w:rsidRDefault="002C0A36" w:rsidP="007730AA">
      <w:pPr>
        <w:spacing w:before="0" w:line="276" w:lineRule="auto"/>
        <w:contextualSpacing w:val="0"/>
        <w:rPr>
          <w:b w:val="0"/>
          <w:szCs w:val="22"/>
          <w:lang w:val="hy-AM"/>
        </w:rPr>
      </w:pPr>
      <w:r w:rsidRPr="00B86D85">
        <w:rPr>
          <w:b w:val="0"/>
          <w:szCs w:val="22"/>
          <w:lang w:val="hy-AM"/>
        </w:rPr>
        <w:t>Ինչպես երևում է աղյուսակից հաշվետու և միջանկյալ ժամանակաշրջաններում սնանկացման կանխատեսման Ալթմանի Z-միավորը վկայում է Ընկերության ֆինանսական ծանր վիճակի նշանակալի հավանականության մասին (գործակիցները` գտնվում են սահմանված ծանր գոտում` Z&lt;1.1): Հաշվետու և միջանկյալ ժամանակաշրջաններում ստուգաճշտող լրացուցիչ ֆինան</w:t>
      </w:r>
      <w:r w:rsidRPr="00B86D85">
        <w:rPr>
          <w:b w:val="0"/>
          <w:szCs w:val="22"/>
          <w:lang w:val="hy-AM"/>
        </w:rPr>
        <w:softHyphen/>
        <w:t>սա</w:t>
      </w:r>
      <w:r w:rsidRPr="00B86D85">
        <w:rPr>
          <w:b w:val="0"/>
          <w:szCs w:val="22"/>
          <w:lang w:val="hy-AM"/>
        </w:rPr>
        <w:softHyphen/>
        <w:t>կան վեց գործակիցներից երեքը չեն համապատասխանում միջազգային պրակտի</w:t>
      </w:r>
      <w:r w:rsidRPr="00B86D85">
        <w:rPr>
          <w:b w:val="0"/>
          <w:szCs w:val="22"/>
          <w:lang w:val="hy-AM"/>
        </w:rPr>
        <w:softHyphen/>
        <w:t>կա</w:t>
      </w:r>
      <w:r w:rsidRPr="00B86D85">
        <w:rPr>
          <w:b w:val="0"/>
          <w:szCs w:val="22"/>
          <w:lang w:val="hy-AM"/>
        </w:rPr>
        <w:softHyphen/>
        <w:t>յում ընդուն</w:t>
      </w:r>
      <w:r w:rsidRPr="00B86D85">
        <w:rPr>
          <w:b w:val="0"/>
          <w:szCs w:val="22"/>
          <w:lang w:val="hy-AM"/>
        </w:rPr>
        <w:softHyphen/>
        <w:t>ված թույլատրելի սահմանային նորմային և վկայում են ֆինանսական ծանր վիճակի նշանակալի հավա</w:t>
      </w:r>
      <w:r w:rsidRPr="00B86D85">
        <w:rPr>
          <w:b w:val="0"/>
          <w:szCs w:val="22"/>
          <w:lang w:val="hy-AM"/>
        </w:rPr>
        <w:softHyphen/>
      </w:r>
      <w:r w:rsidRPr="00B86D85">
        <w:rPr>
          <w:b w:val="0"/>
          <w:szCs w:val="22"/>
          <w:lang w:val="hy-AM"/>
        </w:rPr>
        <w:softHyphen/>
        <w:t>նականության մասին:</w:t>
      </w:r>
    </w:p>
    <w:p w:rsidR="002C0A36" w:rsidRPr="007E2B43" w:rsidRDefault="002C0A36" w:rsidP="007730AA">
      <w:pPr>
        <w:spacing w:before="0" w:line="276" w:lineRule="auto"/>
        <w:contextualSpacing w:val="0"/>
        <w:rPr>
          <w:b w:val="0"/>
          <w:szCs w:val="22"/>
          <w:lang w:val="hy-AM"/>
        </w:rPr>
      </w:pPr>
      <w:r w:rsidRPr="007E2B43">
        <w:rPr>
          <w:b w:val="0"/>
          <w:szCs w:val="22"/>
          <w:lang w:val="hy-AM"/>
        </w:rPr>
        <w:t>Վարկային պարտավորությունների հետ կապված անհրաժեշտ է նշել, որ Ընկերությունը չունի ՀՀ պետական բյուջեի նկատմամբ ենթավարկային պայմանգրերով նախատեսված վարկային պարտավորություններ:</w:t>
      </w:r>
    </w:p>
    <w:p w:rsidR="002C0A36" w:rsidRPr="007E2B43" w:rsidRDefault="002C0A36" w:rsidP="007730AA">
      <w:pPr>
        <w:spacing w:before="0" w:line="276" w:lineRule="auto"/>
        <w:contextualSpacing w:val="0"/>
        <w:rPr>
          <w:b w:val="0"/>
          <w:szCs w:val="22"/>
          <w:lang w:val="hy-AM"/>
        </w:rPr>
      </w:pPr>
      <w:r w:rsidRPr="007E2B43">
        <w:rPr>
          <w:b w:val="0"/>
          <w:szCs w:val="22"/>
          <w:lang w:val="hy-AM"/>
        </w:rPr>
        <w:t>Ընկերությունը ներգրավված չի այնպիսի տեղական կամ միջազգային դատական վա</w:t>
      </w:r>
      <w:r w:rsidRPr="007E2B43">
        <w:rPr>
          <w:b w:val="0"/>
          <w:szCs w:val="22"/>
          <w:lang w:val="hy-AM"/>
        </w:rPr>
        <w:softHyphen/>
        <w:t>րույթ</w:t>
      </w:r>
      <w:r w:rsidRPr="007E2B43">
        <w:rPr>
          <w:b w:val="0"/>
          <w:szCs w:val="22"/>
          <w:lang w:val="hy-AM"/>
        </w:rPr>
        <w:softHyphen/>
        <w:t>ներում, որոնք կարող են էական ազդեցություն ունենալ ընկերության ֆինանսական վի</w:t>
      </w:r>
      <w:r w:rsidRPr="007E2B43">
        <w:rPr>
          <w:b w:val="0"/>
          <w:szCs w:val="22"/>
          <w:lang w:val="hy-AM"/>
        </w:rPr>
        <w:softHyphen/>
        <w:t>ճակի վրա:</w:t>
      </w:r>
    </w:p>
    <w:p w:rsidR="002C0A36" w:rsidRPr="007E2B43" w:rsidRDefault="002C0A36" w:rsidP="007730AA">
      <w:pPr>
        <w:spacing w:before="0" w:line="276" w:lineRule="auto"/>
        <w:contextualSpacing w:val="0"/>
        <w:rPr>
          <w:b w:val="0"/>
          <w:szCs w:val="22"/>
          <w:lang w:val="hy-AM"/>
        </w:rPr>
      </w:pPr>
      <w:r w:rsidRPr="007E2B43">
        <w:rPr>
          <w:b w:val="0"/>
          <w:szCs w:val="22"/>
          <w:lang w:val="hy-AM"/>
        </w:rPr>
        <w:t xml:space="preserve">Հաշվի առնելով, որ հաշվետու և միջանկյալ ժամանակաշրջաններում սնանկացման կանխատեսման Ալթմանի Z-միավորը վկայում է Ընկերության ֆինանսական ծանր վիճակի հավանականության մասին, իսկ ստուգաճշտող լրացուցիչ ֆինանսական վեց գործակիցներից երեքը չեն համապատասխանում միջազգային պրակտիկայում ընդունված թույլատրելի սահմանային նորմային և վկայում են ֆինանսական ծանր վիճակի  հավանականության մասին, հետևաբար այս երկու նախնական գնահատումների զուգակցման արդյունքում Ընկերության ֆինանսական վիճակի վատթարացման հավանականությունը նշանակալի է: </w:t>
      </w:r>
    </w:p>
    <w:p w:rsidR="002C0A36" w:rsidRPr="005578F9" w:rsidRDefault="002C0A36" w:rsidP="007730AA">
      <w:pPr>
        <w:spacing w:before="0" w:line="276" w:lineRule="auto"/>
        <w:contextualSpacing w:val="0"/>
        <w:rPr>
          <w:b w:val="0"/>
          <w:szCs w:val="22"/>
          <w:lang w:val="hy-AM"/>
        </w:rPr>
      </w:pPr>
    </w:p>
    <w:p w:rsidR="002C0A36" w:rsidRPr="007E2B43" w:rsidRDefault="002C0A36" w:rsidP="007730AA">
      <w:pPr>
        <w:spacing w:before="0" w:line="276" w:lineRule="auto"/>
        <w:ind w:firstLine="0"/>
        <w:contextualSpacing w:val="0"/>
        <w:jc w:val="center"/>
        <w:rPr>
          <w:szCs w:val="22"/>
          <w:lang w:val="hy-AM"/>
        </w:rPr>
      </w:pPr>
      <w:r w:rsidRPr="007E2B43">
        <w:rPr>
          <w:szCs w:val="22"/>
          <w:lang w:val="hy-AM"/>
        </w:rPr>
        <w:t>ՀԱՄԱՌՈՏ ԱԿՆԱՐԿ</w:t>
      </w:r>
    </w:p>
    <w:p w:rsidR="002C0A36" w:rsidRPr="007E2B43" w:rsidRDefault="002C0A36" w:rsidP="007730AA">
      <w:pPr>
        <w:spacing w:before="0" w:line="276" w:lineRule="auto"/>
        <w:ind w:firstLine="426"/>
        <w:contextualSpacing w:val="0"/>
        <w:jc w:val="center"/>
        <w:rPr>
          <w:szCs w:val="22"/>
          <w:lang w:val="hy-AM"/>
        </w:rPr>
      </w:pPr>
      <w:r w:rsidRPr="007E2B43">
        <w:rPr>
          <w:szCs w:val="22"/>
          <w:lang w:val="hy-AM"/>
        </w:rPr>
        <w:t>ՍՊԵՑԻՖԻԿ ՖԻՍԿԱԼ ՌԻՍԿԵՐԻ ՀԱՄԱՊԱՐՓԱԿ ՇՐՋԱՆԱԿԻ ՎԵՐԱԲԵՐՅԱԼ</w:t>
      </w:r>
    </w:p>
    <w:p w:rsidR="002C0A36" w:rsidRPr="007E2B43" w:rsidRDefault="002C0A36" w:rsidP="007730AA">
      <w:pPr>
        <w:spacing w:before="0" w:line="276" w:lineRule="auto"/>
        <w:ind w:firstLine="426"/>
        <w:contextualSpacing w:val="0"/>
        <w:rPr>
          <w:szCs w:val="22"/>
          <w:lang w:val="hy-AM"/>
        </w:rPr>
      </w:pPr>
      <w:r w:rsidRPr="007E2B43">
        <w:rPr>
          <w:b w:val="0"/>
          <w:szCs w:val="22"/>
          <w:lang w:val="hy-AM"/>
        </w:rPr>
        <w:t xml:space="preserve">Սպեցիֆիկ </w:t>
      </w:r>
      <w:r w:rsidRPr="002C0A36">
        <w:rPr>
          <w:b w:val="0"/>
          <w:szCs w:val="22"/>
          <w:lang w:val="hy-AM"/>
        </w:rPr>
        <w:t>ֆիսկալ ռիսկերն առաջանում են պայմանական պարտավորությունների կամ այլ անորոշ իրադարձությունների նյութականացման արդյունքում: Այդ իրադարձություններից յուրաքանչյուրը կարող է ենթադրել անհապաղ և/կամ շարունակական ծախսեր՝ պայմանավորված կառավարության բացահայտ պարտավորություններով (պարտավորություններ, որոնք ունեն իրավական կամ պայմանագրային հիմք) կամ թաքնված պարտավորություններով, որոնք սահմանված չեն որևէ օրենքով կամ պայմանագրով:</w:t>
      </w:r>
    </w:p>
    <w:p w:rsidR="002C0A36" w:rsidRPr="007E2B43" w:rsidRDefault="002C0A36" w:rsidP="007730AA">
      <w:pPr>
        <w:spacing w:before="0" w:line="276" w:lineRule="auto"/>
        <w:ind w:firstLine="426"/>
        <w:contextualSpacing w:val="0"/>
        <w:rPr>
          <w:b w:val="0"/>
          <w:szCs w:val="22"/>
          <w:lang w:val="hy-AM"/>
        </w:rPr>
      </w:pPr>
      <w:r w:rsidRPr="007E2B43">
        <w:rPr>
          <w:b w:val="0"/>
          <w:szCs w:val="22"/>
          <w:lang w:val="hy-AM"/>
        </w:rPr>
        <w:t xml:space="preserve">Ստորև կատարված ուսումնասիրությունն արտացոլում է </w:t>
      </w:r>
      <w:r w:rsidRPr="002C0A36">
        <w:rPr>
          <w:b w:val="0"/>
          <w:szCs w:val="22"/>
          <w:lang w:val="hy-AM"/>
        </w:rPr>
        <w:t xml:space="preserve">սպեցիֆիկ ֆիսկալ ռիսկերի </w:t>
      </w:r>
      <w:r w:rsidRPr="007E2B43">
        <w:rPr>
          <w:b w:val="0"/>
          <w:szCs w:val="22"/>
          <w:lang w:val="hy-AM"/>
        </w:rPr>
        <w:t>ընդգրկուն</w:t>
      </w:r>
      <w:r w:rsidRPr="002C0A36">
        <w:rPr>
          <w:b w:val="0"/>
          <w:szCs w:val="22"/>
          <w:lang w:val="hy-AM"/>
        </w:rPr>
        <w:t xml:space="preserve"> </w:t>
      </w:r>
      <w:r w:rsidRPr="007E2B43">
        <w:rPr>
          <w:b w:val="0"/>
          <w:szCs w:val="22"/>
          <w:lang w:val="hy-AM"/>
        </w:rPr>
        <w:t xml:space="preserve">շրջանակը, որի համար հիմք է հանդիսացել </w:t>
      </w:r>
      <w:r w:rsidRPr="002C0A36">
        <w:rPr>
          <w:b w:val="0"/>
          <w:szCs w:val="22"/>
          <w:lang w:val="hy-AM"/>
        </w:rPr>
        <w:t>ԱԶԲ</w:t>
      </w:r>
      <w:r w:rsidRPr="007E2B43">
        <w:rPr>
          <w:b w:val="0"/>
          <w:szCs w:val="22"/>
          <w:lang w:val="hy-AM"/>
        </w:rPr>
        <w:t>-ի</w:t>
      </w:r>
      <w:r w:rsidRPr="002C0A36">
        <w:rPr>
          <w:b w:val="0"/>
          <w:szCs w:val="22"/>
          <w:lang w:val="hy-AM"/>
        </w:rPr>
        <w:t xml:space="preserve"> հետ համատեղ մշակված ֆիսկալ ռիսկերի կառավարման բարելավման 2019-2023 թվականների ճանապարհային քարտեզը</w:t>
      </w:r>
      <w:r w:rsidRPr="007E2B43">
        <w:rPr>
          <w:b w:val="0"/>
          <w:szCs w:val="22"/>
          <w:lang w:val="hy-AM"/>
        </w:rPr>
        <w:t>:</w:t>
      </w:r>
      <w:r w:rsidRPr="002C0A36">
        <w:rPr>
          <w:b w:val="0"/>
          <w:szCs w:val="22"/>
          <w:lang w:val="hy-AM"/>
        </w:rPr>
        <w:t xml:space="preserve"> </w:t>
      </w:r>
    </w:p>
    <w:p w:rsidR="002C0A36" w:rsidRPr="002C0A36" w:rsidRDefault="002C0A36" w:rsidP="007730AA">
      <w:pPr>
        <w:spacing w:before="0" w:line="276" w:lineRule="auto"/>
        <w:ind w:firstLine="426"/>
        <w:contextualSpacing w:val="0"/>
        <w:jc w:val="center"/>
        <w:rPr>
          <w:bCs/>
          <w:szCs w:val="22"/>
          <w:lang w:val="hy-AM"/>
        </w:rPr>
      </w:pPr>
    </w:p>
    <w:p w:rsidR="002C0A36" w:rsidRPr="002C0A36" w:rsidRDefault="002C0A36" w:rsidP="007730AA">
      <w:pPr>
        <w:spacing w:before="0" w:line="276" w:lineRule="auto"/>
        <w:ind w:firstLine="426"/>
        <w:contextualSpacing w:val="0"/>
        <w:jc w:val="center"/>
        <w:rPr>
          <w:bCs/>
          <w:szCs w:val="22"/>
          <w:lang w:val="hy-AM"/>
        </w:rPr>
      </w:pPr>
      <w:r w:rsidRPr="002C0A36">
        <w:rPr>
          <w:bCs/>
          <w:szCs w:val="22"/>
          <w:lang w:val="hy-AM"/>
        </w:rPr>
        <w:t>Հնարավոր բնապահպանական պարտավորությունների հետևանքով առաջացող ֆիսկալ ռիսկեր</w:t>
      </w:r>
    </w:p>
    <w:p w:rsidR="002C0A36" w:rsidRPr="002C0A36" w:rsidRDefault="002C0A36" w:rsidP="007730AA">
      <w:pPr>
        <w:spacing w:before="0" w:line="276" w:lineRule="auto"/>
        <w:ind w:firstLine="426"/>
        <w:contextualSpacing w:val="0"/>
        <w:rPr>
          <w:b w:val="0"/>
          <w:szCs w:val="22"/>
          <w:lang w:val="hy-AM"/>
        </w:rPr>
      </w:pP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ՀՀ շրջակա միջավայրի նախարարության (ՇՄՆ) քարտեզագրման արդյունքում առկա է մոտ 2500 սողանքային տարածքներ և ներկայում խնդրի լուծման ֆինանսավորման աղբյուր դիտարկվում է ՀՀ կառավարության պահուստային ֆոնդը: Թունավոր թափոնների տեղամասերի հետ կապված ռիսկերից խուսափելու նպատակով նշված տարածքներում հանքարդյունաբերական գործունեության թույլտվություններ չեն տրամադրվում:</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ՇՄՆ նաև նույնականացրել է հնարավոր բնապահպանական պարտավորություններ ենթադրող 44 տեղամասեր, որոնք առաջացել են դեռևս խորհրդային ժամանակաշրջանում հիմնականում հանքարդյունաբերական ծագումով: Վերականգնման նպատակով ՇՄՆ կողմից առաջնահերթ են համարվել 10 վայրեր, որից 2019թ. վերականգնել է միայն մեկ տեղամաս: ՇՄՆ իրականացնում է ջրի խորքային հորերի որակի ուսումնասիրություններ՝ հնարավոր ռիսկերը բացահայտելու նպատակով։</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Այսպիսի հնարավոր պարտավորությունները չափազանց բարդ է նախապես հաշվարկել, սակայն կարևորագույն խնդիրը վերականգնման կարիք ունեցող տեղամասերի նույնականացումն ու մանրակրկիտ ուսումնասիրությունն է` ծախսերի նախնական հաշվարկներ կատարելու նպատակով: Այս առնչությամբ ՇՄՆ բարձրացրել է 3 առաջնահերթ խնդիրներ.</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Սևանա լճի ջրածածկ և ճահճապատ անտառտնկարկների մաքրում: ՇՄՆ հաշվարկների համաձայն 2021-2023թթ. ժամանակահատվածի համար պահանջվում է 706.0 մլն դրամ:</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Սևանա լճից մինչև 1901.5 մետր բացարձակ նիշում գտնվող շենքեր-շինությունների քանդման (ապամոնտաժման) աշխատանքներ: Սևանա լճի մակարդակի բարձրանալու հետևանքով քանդման ենթակա են դարձել 68520 մ</w:t>
      </w:r>
      <w:r w:rsidRPr="002C0A36">
        <w:rPr>
          <w:b w:val="0"/>
          <w:szCs w:val="22"/>
          <w:vertAlign w:val="superscript"/>
          <w:lang w:val="hy-AM"/>
        </w:rPr>
        <w:t>2</w:t>
      </w:r>
      <w:r w:rsidRPr="002C0A36">
        <w:rPr>
          <w:b w:val="0"/>
          <w:szCs w:val="22"/>
          <w:lang w:val="hy-AM"/>
        </w:rPr>
        <w:t xml:space="preserve"> ընդհանուր մակերեսով 1697 շենքեր և շինություններ: 2021 և 2022թթ. նախատեսվող աշխատանքների մոտավոր արժեքը կազմում է 1,464 մլն դրամ: </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Ընդերքօգտագործման թափոնների լքված/տիրազուրկ տեղամասերի և օբյեկտների ռեկուլտիվացիայի նախագծային փաթեթների մշակման աշխատանքներ: Սա առնչվում է վերը նշված հին, շրջակա միջավայրն աղտոտող հանքարդյունաբերական և հարակից ոլորտների 44 տեղամասերին, որոնք ներառում են պոչամբարները: Վտանգավոր և առաջնահերթ համարվող 10 տեղամասերի ամբողջական մաքրման և ռեկուլտիվացիայի ծրագրի մոտավոր արժեքը գնահատվել է 2,216 մլն դրամ:</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Այսպիսով, բնապահպանական վերականգման ծախսերի ընդհանուր գնահատված մոտավոր արժեքը ներկայումս մոտ 4.4 մլրդ դրամ է:</w:t>
      </w:r>
    </w:p>
    <w:p w:rsidR="002C0A36" w:rsidRPr="002C0A36" w:rsidRDefault="002C0A36" w:rsidP="007730AA">
      <w:pPr>
        <w:spacing w:before="0" w:line="276" w:lineRule="auto"/>
        <w:ind w:firstLine="426"/>
        <w:contextualSpacing w:val="0"/>
        <w:rPr>
          <w:b w:val="0"/>
          <w:szCs w:val="22"/>
          <w:lang w:val="hy-AM"/>
        </w:rPr>
      </w:pPr>
    </w:p>
    <w:p w:rsidR="002C0A36" w:rsidRPr="002C0A36" w:rsidRDefault="002C0A36" w:rsidP="007730AA">
      <w:pPr>
        <w:spacing w:before="0" w:line="276" w:lineRule="auto"/>
        <w:ind w:firstLine="426"/>
        <w:contextualSpacing w:val="0"/>
        <w:rPr>
          <w:bCs/>
          <w:szCs w:val="22"/>
          <w:lang w:val="hy-AM"/>
        </w:rPr>
      </w:pPr>
      <w:r w:rsidRPr="002C0A36">
        <w:rPr>
          <w:bCs/>
          <w:szCs w:val="22"/>
          <w:lang w:val="hy-AM"/>
        </w:rPr>
        <w:t>Բնական և մարդածին աղետներից առաջացող ֆիսկալ ռիսկեր</w:t>
      </w:r>
    </w:p>
    <w:p w:rsidR="002C0A36" w:rsidRPr="002C0A36" w:rsidRDefault="002C0A36" w:rsidP="007730AA">
      <w:pPr>
        <w:spacing w:before="0" w:line="276" w:lineRule="auto"/>
        <w:ind w:firstLine="426"/>
        <w:contextualSpacing w:val="0"/>
        <w:rPr>
          <w:bCs/>
          <w:szCs w:val="22"/>
          <w:lang w:val="hy-AM"/>
        </w:rPr>
      </w:pPr>
    </w:p>
    <w:p w:rsidR="002C0A36" w:rsidRPr="002C0A36" w:rsidRDefault="002C0A36" w:rsidP="007730AA">
      <w:pPr>
        <w:spacing w:before="0" w:line="276" w:lineRule="auto"/>
        <w:ind w:firstLine="426"/>
        <w:contextualSpacing w:val="0"/>
        <w:rPr>
          <w:bCs/>
          <w:szCs w:val="22"/>
          <w:lang w:val="hy-AM"/>
        </w:rPr>
      </w:pPr>
      <w:r w:rsidRPr="002C0A36">
        <w:rPr>
          <w:b w:val="0"/>
          <w:szCs w:val="22"/>
          <w:lang w:val="hy-AM"/>
        </w:rPr>
        <w:t>Աղետների ռիսկերը կարող են ունենալ հիմնականում բնական պատճառներ, հատկապես՝ հիդրոօդերևութաբանական (ջրհեղեղներ, կարկտահարություն, ցրտահարություն, երաշտ, փոթորիկ), երկրաֆիզիկական (երկրաշարժ, հրաբխի ժայթքում, սողանք), կենսաբանական (համաճարակներ և պանդեմիաներ, սանիտարական այլ ճգնաժամեր), տիեզերական (հեռահաղորդակցության և էլեկտրաէներգետիկ խափանումների հանգեցնող արեգակնային փոթորիկներ): Սակայն, կարող են լինել նաև այլ պատճառներ, հատկապես՝ տեխնոլոգիական, բնատեխնածին:</w:t>
      </w:r>
    </w:p>
    <w:p w:rsidR="002C0A36" w:rsidRPr="002C0A36" w:rsidRDefault="002C0A36" w:rsidP="007730AA">
      <w:pPr>
        <w:spacing w:before="0" w:line="276" w:lineRule="auto"/>
        <w:ind w:firstLine="426"/>
        <w:contextualSpacing w:val="0"/>
        <w:rPr>
          <w:b w:val="0"/>
          <w:strike/>
          <w:szCs w:val="22"/>
          <w:lang w:val="hy-AM"/>
        </w:rPr>
      </w:pPr>
      <w:r w:rsidRPr="002C0A36">
        <w:rPr>
          <w:rFonts w:cs="Sylfaen"/>
          <w:b w:val="0"/>
          <w:szCs w:val="22"/>
          <w:lang w:val="hy-AM"/>
        </w:rPr>
        <w:t xml:space="preserve">2019թ. բնական աղետների (կարկտահարություն և ցրտահարություն) հետևանքով վնասվել է 15698 հա ցանքատարածություններ, որոնց հասցված ընդհանուր վնասը կազմել է 9,578 մլն դրամ: 50-100% տուժած հողօգտագործողներին </w:t>
      </w:r>
      <w:r w:rsidRPr="002C0A36">
        <w:rPr>
          <w:b w:val="0"/>
          <w:szCs w:val="22"/>
          <w:lang w:val="hy-AM"/>
        </w:rPr>
        <w:t xml:space="preserve">ՀՀ պետական բյուջեից </w:t>
      </w:r>
      <w:r w:rsidRPr="002C0A36">
        <w:rPr>
          <w:rFonts w:cs="Sylfaen"/>
          <w:b w:val="0"/>
          <w:szCs w:val="22"/>
          <w:lang w:val="hy-AM"/>
        </w:rPr>
        <w:t xml:space="preserve">տրամադրվել է 437.0 մլն դրամ գումարի փոխհատուցում: 2020թ. տեղի ունեցած բնական աղետների հետևանքով կրած վնասների համար վնասի փոխհատուցում չի նախատեսվում, քանի որ պետական աջակցության միջոցով իրականացվում է գյուղատնտեսության ոլորտում ապահովագրական համակարգի ներդրման փորձնական ծրագիր: Սակայն վնասված ցանքատարածությունները կազմում են շուրջ 1221,4 հա, որոնցից ակնկալվող բերքի կորուստը դրամական արժեքով կազմում է շուրջ 636.0 մլն դրամ: </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Հայաստանը նաև մեծապես ենթարկվում է երկրաշարժի ռիսկի՝ ինչպես ցույց է տվել 1988թ. Սպիտակի երկրաշարժը: Երևանի տարածաշրջանը սեյսմագետների կողմից  համարվում է բարձր ռիսկի գոտի, մասնավորապես՝ Գառնու խզվածքի պատճառով և այստեղ առկա է խոշոր, ավերիչ երկրաշարժերի պատմություն: Այդ տարածքում խոշոր երկրաշարժը կարող է ծանր մակրոտնտեսական ազդեցություններ ունենալ: Հայաստանը պատմականորեն խոցելի է եղել երկրաշարժերի տեսանկյունից: 1988թ. տեղի ունեցած վերջին ավերիչ երկրաշարժի հետևանքով երկրի հյուսիսային շրջաններում պատճառված տնտեսական վնասները կազմել են մոտավորապես 15-20 մլրդ ԱՄՆ դոլար: Նշված վնասները գերազանցում էին նախկին Հայկական ԽՍՀ ՀՆԱ-ն:</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xml:space="preserve">Համաձայն աղետների ռիսկի կառավարման վերաբերյալ ԱԶԲ 2014թ. զեկույցի, Երևանում 7.0 բալ ուժգնությամբ երկրաշարժի հետևանքով կարող է զոհվել ընդհուպ մինչև 300 հազար մարդ, ինչը պայմանավորված է ոչ համարժեք, խորհրդային ժամանակաշրջանի մեծաթիվ շենքերի, հատկապես՝ խոշոր բազմաբնակարան շենքերի առկայությամբ: </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Նախնական ուսումնասիրությունները ցույց են տալիս, որ տնտեսական վնասները կարող են կազմել ընդհուպ մինչև ՀՆԱ 100%, ինչը կարող է նշանակել ՀՆԱ 30%-ի չափով ֆիսկալ ազդեցություններ (Համաշխարհային Բանկ և ԱԶԲ):</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Կենսաբանական վտանգների առումով, ինչպես այլ երկրներում, այնպես էլ ՀՀ-ում, Covid-19 հիվանդության տարածումը՝ չնայած վաղ ձեռնարկված միջոցառումներին այն տարբեր կասկադային ազդեցությունների միջոցով վերածվեց տնտեսական և սոցիալական ճգնաժամի: Հաշվի առնելով, որ համավարակը դեռևս շարունակվում է, այս աղետի ֆիսկալ ազդեցությունների գնահատմանը հնարավոր է անդրադառնալ համավարակի ավարտից հետո (ուղիղ սանիտարահամաճարակային արձագանք և տնտեսական ու սոցիալական աջակցության փաթեթներ):</w:t>
      </w:r>
    </w:p>
    <w:p w:rsidR="002C0A36" w:rsidRPr="002C0A36" w:rsidRDefault="002C0A36" w:rsidP="007730AA">
      <w:pPr>
        <w:spacing w:before="0" w:line="276" w:lineRule="auto"/>
        <w:ind w:firstLine="426"/>
        <w:contextualSpacing w:val="0"/>
        <w:jc w:val="center"/>
        <w:rPr>
          <w:bCs/>
          <w:szCs w:val="22"/>
          <w:lang w:val="hy-AM"/>
        </w:rPr>
      </w:pPr>
    </w:p>
    <w:p w:rsidR="002C0A36" w:rsidRPr="002C0A36" w:rsidRDefault="002C0A36" w:rsidP="007730AA">
      <w:pPr>
        <w:spacing w:before="0" w:line="276" w:lineRule="auto"/>
        <w:ind w:firstLine="426"/>
        <w:contextualSpacing w:val="0"/>
        <w:jc w:val="center"/>
        <w:rPr>
          <w:bCs/>
          <w:szCs w:val="22"/>
          <w:lang w:val="hy-AM"/>
        </w:rPr>
      </w:pPr>
      <w:r w:rsidRPr="002C0A36">
        <w:rPr>
          <w:bCs/>
          <w:szCs w:val="22"/>
          <w:lang w:val="hy-AM"/>
        </w:rPr>
        <w:t>Ֆինանսական համակարգից առաջացող ֆիսկալ ռիսկեր</w:t>
      </w:r>
    </w:p>
    <w:p w:rsidR="002C0A36" w:rsidRPr="002C0A36" w:rsidRDefault="002C0A36" w:rsidP="007730AA">
      <w:pPr>
        <w:spacing w:before="0" w:line="276" w:lineRule="auto"/>
        <w:ind w:firstLine="426"/>
        <w:contextualSpacing w:val="0"/>
        <w:jc w:val="center"/>
        <w:rPr>
          <w:bCs/>
          <w:szCs w:val="22"/>
          <w:lang w:val="hy-AM"/>
        </w:rPr>
      </w:pP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Վերջին տարիների ընթացքում ՀՀ ԿԲ կողմից վերահսկվող առևտրային բանկերն ուժեղ կապիտալացվել են և ներկայումս ունեն հասանելի կապիտալի բուֆերներ: Ֆինանսական համակարգը բավական ամուր է խիստ շոկերի դիմակայելու տեսանկյունից: Ինչպես և երկրների մեծամասնությունում, Covid-19 համավարակի հետ կապված ճգնաժամն առաջացրել է ՀՀ ԿԲ կողմից իրացվելիության մասով աջակցության ապահովման անհրաժեշտություն՝ բացի կապիտալի բուֆերի հետ կապված որոշ կանոնների մեղմացումը, որը թույլ է տալիս օգտագործել այդ բուֆերները, նաև հիմնական կապիտալի համարժեքության նորմատիվը 10%-ից մինչև 9% իջեցնելը:</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Ներկա փուլում դեռևս վաղ է նշել վարկերի այն մասնաբաժինը, որոնք կդառնան ժամկետանց և ՀՀ ԿԲ-ն օգոստոս ամսին հրապարակված Ֆինանսական կայունության հաշվետվությունում նշում է այս առումով առկա մեծ անորոշությունը: ՀՀ ԿԲ-ն բանկերին առաջարկել է խթանել ժամանակավոր վերաֆինանսավորումները և վարկերի մարման ժամանակացույցերի փոփոխություններն՝ առանց ճգնաժամի առաջին ամիսների ընթացքում հաճախորդների վարկային վարկանիշի որակի փոփոխության: Վերը նշված Ֆինանսական կայունության հաշվետվությունում ՀՀ ԿԲ-ն նաև իրականացրել է սթրես թեստեր, որոնք ցույց են տալիս, որ բանկային համակարգ</w:t>
      </w:r>
      <w:r w:rsidR="002C3EE1">
        <w:rPr>
          <w:b w:val="0"/>
          <w:szCs w:val="22"/>
          <w:lang w:val="hy-AM"/>
        </w:rPr>
        <w:t>ը</w:t>
      </w:r>
      <w:r w:rsidRPr="002C0A36">
        <w:rPr>
          <w:b w:val="0"/>
          <w:szCs w:val="22"/>
          <w:lang w:val="hy-AM"/>
        </w:rPr>
        <w:t xml:space="preserve">, ընդհանուր առմամբ, ունակ է դիմակայել հիմնական ռիսկերի։ </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Առևտրային բանկերում խնդիրների ծագման հետևանքով Ավանդների հատուցումը երաշխավորող</w:t>
      </w:r>
      <w:r w:rsidRPr="002C0A36">
        <w:rPr>
          <w:rFonts w:ascii="Calibri" w:hAnsi="Calibri" w:cs="Calibri"/>
          <w:b w:val="0"/>
          <w:szCs w:val="22"/>
          <w:lang w:val="hy-AM"/>
        </w:rPr>
        <w:t> </w:t>
      </w:r>
      <w:r w:rsidRPr="002C0A36">
        <w:rPr>
          <w:b w:val="0"/>
          <w:szCs w:val="22"/>
          <w:lang w:val="hy-AM"/>
        </w:rPr>
        <w:t>հիմնադրամին ֆինանսական միջոցների տրամադրման անհրաժեշտության ռիսկը ներկայումս, սահմանափակ է, սակայն անորոշությունների մակարդակը մնում է բարձր:</w:t>
      </w:r>
    </w:p>
    <w:p w:rsidR="002C0A36" w:rsidRPr="002C0A36" w:rsidRDefault="002C0A36" w:rsidP="007730AA">
      <w:pPr>
        <w:spacing w:before="0" w:line="276" w:lineRule="auto"/>
        <w:ind w:firstLine="426"/>
        <w:contextualSpacing w:val="0"/>
        <w:rPr>
          <w:bCs/>
          <w:szCs w:val="22"/>
          <w:lang w:val="hy-AM"/>
        </w:rPr>
      </w:pPr>
    </w:p>
    <w:p w:rsidR="002C0A36" w:rsidRPr="002C0A36" w:rsidRDefault="002C0A36" w:rsidP="007730AA">
      <w:pPr>
        <w:spacing w:before="0" w:line="276" w:lineRule="auto"/>
        <w:ind w:firstLine="426"/>
        <w:contextualSpacing w:val="0"/>
        <w:jc w:val="center"/>
        <w:rPr>
          <w:bCs/>
          <w:szCs w:val="22"/>
          <w:lang w:val="hy-AM"/>
        </w:rPr>
      </w:pPr>
      <w:r w:rsidRPr="002C0A36">
        <w:rPr>
          <w:bCs/>
          <w:szCs w:val="22"/>
          <w:lang w:val="hy-AM"/>
        </w:rPr>
        <w:t>Պետության դեմ իրականացվող դատական վարույթներից առաջացող ֆիսկալ ռիսկեր</w:t>
      </w:r>
    </w:p>
    <w:p w:rsidR="002C0A36" w:rsidRPr="002C0A36" w:rsidRDefault="002C0A36" w:rsidP="007730AA">
      <w:pPr>
        <w:spacing w:before="0" w:line="276" w:lineRule="auto"/>
        <w:ind w:firstLine="426"/>
        <w:contextualSpacing w:val="0"/>
        <w:jc w:val="center"/>
        <w:rPr>
          <w:bCs/>
          <w:szCs w:val="22"/>
          <w:lang w:val="hy-AM"/>
        </w:rPr>
      </w:pPr>
    </w:p>
    <w:p w:rsidR="002C0A36" w:rsidRPr="002C0A36" w:rsidRDefault="002C0A36" w:rsidP="007730AA">
      <w:pPr>
        <w:spacing w:before="0" w:line="276" w:lineRule="auto"/>
        <w:ind w:firstLine="426"/>
        <w:contextualSpacing w:val="0"/>
        <w:rPr>
          <w:rFonts w:cs="Arial"/>
          <w:b w:val="0"/>
          <w:szCs w:val="22"/>
          <w:lang w:val="hy-AM"/>
        </w:rPr>
      </w:pPr>
      <w:r w:rsidRPr="002C0A36">
        <w:rPr>
          <w:rFonts w:cs="Arial"/>
          <w:b w:val="0"/>
          <w:szCs w:val="22"/>
          <w:lang w:val="hy-AM"/>
        </w:rPr>
        <w:t>ՀՀ ՖՆ մասնակցությամբ պետության դեմ քննվող հայցերի քանակը կազմում է 725, մոտ 3.0 մլրդ ՀՀ դրամի, 1.6 մլն  ԱՄՆ դոլարի, 606.4 հազ. եվրոյի և 3.6 մլն չեխական կրոն հայցագնով:</w:t>
      </w:r>
    </w:p>
    <w:p w:rsidR="002C0A36" w:rsidRPr="002C0A36" w:rsidRDefault="002C0A36" w:rsidP="007730AA">
      <w:pPr>
        <w:spacing w:before="0" w:line="276" w:lineRule="auto"/>
        <w:ind w:firstLine="426"/>
        <w:contextualSpacing w:val="0"/>
        <w:rPr>
          <w:rFonts w:cs="Arial"/>
          <w:b w:val="0"/>
          <w:szCs w:val="22"/>
          <w:lang w:val="hy-AM"/>
        </w:rPr>
      </w:pPr>
      <w:r w:rsidRPr="002C0A36">
        <w:rPr>
          <w:b w:val="0"/>
          <w:szCs w:val="22"/>
          <w:lang w:val="hy-AM"/>
        </w:rPr>
        <w:t xml:space="preserve">Բացի վերը նշված հայցերից, առկա են առավել նշանակալի այլ հայցեր՝ </w:t>
      </w:r>
      <w:r w:rsidRPr="002C0A36">
        <w:rPr>
          <w:rFonts w:cs="Times Armenian"/>
          <w:b w:val="0"/>
          <w:szCs w:val="22"/>
          <w:lang w:val="hy-AM"/>
        </w:rPr>
        <w:t xml:space="preserve">ընդդեմ </w:t>
      </w:r>
      <w:r w:rsidRPr="002C0A36">
        <w:rPr>
          <w:rFonts w:cs="GHEA Grapalat"/>
          <w:b w:val="0"/>
          <w:szCs w:val="22"/>
          <w:lang w:val="hy-AM"/>
        </w:rPr>
        <w:t>ՀՀ Պետական եկամուտների կո</w:t>
      </w:r>
      <w:r w:rsidRPr="002C0A36">
        <w:rPr>
          <w:rFonts w:cs="GHEA Grapalat"/>
          <w:b w:val="0"/>
          <w:szCs w:val="22"/>
          <w:lang w:val="hy-AM"/>
        </w:rPr>
        <w:softHyphen/>
        <w:t>մի</w:t>
      </w:r>
      <w:r w:rsidRPr="002C0A36">
        <w:rPr>
          <w:rFonts w:cs="GHEA Grapalat"/>
          <w:b w:val="0"/>
          <w:szCs w:val="22"/>
          <w:lang w:val="hy-AM"/>
        </w:rPr>
        <w:softHyphen/>
        <w:t xml:space="preserve">տեի: Ներկայացված հայցերով </w:t>
      </w:r>
      <w:r w:rsidRPr="002C0A36">
        <w:rPr>
          <w:rFonts w:cs="Times Armenian"/>
          <w:b w:val="0"/>
          <w:szCs w:val="22"/>
          <w:lang w:val="hy-AM"/>
        </w:rPr>
        <w:t xml:space="preserve">ՀՀ դատարաններում վիճարկվում է </w:t>
      </w:r>
      <w:r w:rsidRPr="002C0A36">
        <w:rPr>
          <w:rFonts w:cs="GHEA Grapalat"/>
          <w:b w:val="0"/>
          <w:szCs w:val="22"/>
          <w:lang w:val="hy-AM"/>
        </w:rPr>
        <w:t>2114 դատական գործ՝  մոտ 116.0 մլրդ դրամ գումարի չափով։</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xml:space="preserve">Անհրաժեշտ է նշել, որ ռիսկի իրական մակարդակը շատ ավելի ցածր է, քանի որ հայցվորները ոչ բոլոր գործերն են հաղթում, իսկ հաղթելու պարագայում վճռով հաճախ սահմանվում են ավելի փոքր գումարներ: </w:t>
      </w:r>
    </w:p>
    <w:p w:rsidR="00396D6B" w:rsidRDefault="00396D6B" w:rsidP="007730AA">
      <w:pPr>
        <w:shd w:val="clear" w:color="auto" w:fill="FFFFFF"/>
        <w:spacing w:before="0" w:line="276" w:lineRule="auto"/>
        <w:ind w:firstLine="426"/>
        <w:contextualSpacing w:val="0"/>
        <w:jc w:val="center"/>
        <w:rPr>
          <w:rFonts w:eastAsia="Calibri"/>
          <w:szCs w:val="22"/>
          <w:lang w:val="hy-AM"/>
        </w:rPr>
      </w:pPr>
    </w:p>
    <w:p w:rsidR="00396D6B" w:rsidRDefault="00396D6B" w:rsidP="007730AA">
      <w:pPr>
        <w:shd w:val="clear" w:color="auto" w:fill="FFFFFF"/>
        <w:spacing w:before="0" w:line="276" w:lineRule="auto"/>
        <w:ind w:firstLine="426"/>
        <w:contextualSpacing w:val="0"/>
        <w:jc w:val="center"/>
        <w:rPr>
          <w:rFonts w:eastAsia="Calibri"/>
          <w:szCs w:val="22"/>
          <w:lang w:val="hy-AM"/>
        </w:rPr>
      </w:pPr>
    </w:p>
    <w:p w:rsidR="002C0A36" w:rsidRPr="002C0A36" w:rsidRDefault="002C0A36" w:rsidP="007730AA">
      <w:pPr>
        <w:shd w:val="clear" w:color="auto" w:fill="FFFFFF"/>
        <w:spacing w:before="0" w:line="276" w:lineRule="auto"/>
        <w:ind w:firstLine="426"/>
        <w:contextualSpacing w:val="0"/>
        <w:jc w:val="center"/>
        <w:rPr>
          <w:rFonts w:eastAsia="Calibri"/>
          <w:szCs w:val="22"/>
          <w:lang w:val="hy-AM"/>
        </w:rPr>
      </w:pPr>
      <w:r w:rsidRPr="002C0A36">
        <w:rPr>
          <w:rFonts w:eastAsia="Calibri"/>
          <w:szCs w:val="22"/>
          <w:lang w:val="hy-AM"/>
        </w:rPr>
        <w:t>Պետություն-մասնավոր գործընկերության (ՊՄԳ) ձևաչափով գործող ընկերությունների պայմանագրերից բխող պայմանական պարտավորությունների վերլուծություն</w:t>
      </w:r>
    </w:p>
    <w:p w:rsidR="002C0A36" w:rsidRPr="002C0A36" w:rsidRDefault="002C0A36" w:rsidP="007730AA">
      <w:pPr>
        <w:shd w:val="clear" w:color="auto" w:fill="FFFFFF"/>
        <w:spacing w:before="0" w:line="276" w:lineRule="auto"/>
        <w:ind w:firstLine="426"/>
        <w:contextualSpacing w:val="0"/>
        <w:jc w:val="center"/>
        <w:rPr>
          <w:rFonts w:eastAsia="Calibri"/>
          <w:szCs w:val="22"/>
          <w:lang w:val="hy-AM"/>
        </w:rPr>
      </w:pPr>
    </w:p>
    <w:p w:rsidR="002C0A36" w:rsidRPr="002C0A36" w:rsidRDefault="002C0A36" w:rsidP="007730AA">
      <w:pPr>
        <w:shd w:val="clear" w:color="auto" w:fill="FFFFFF"/>
        <w:spacing w:before="0" w:line="276" w:lineRule="auto"/>
        <w:ind w:firstLine="426"/>
        <w:contextualSpacing w:val="0"/>
        <w:jc w:val="left"/>
        <w:rPr>
          <w:rFonts w:eastAsia="Calibri"/>
          <w:b w:val="0"/>
          <w:szCs w:val="22"/>
          <w:lang w:val="hy-AM"/>
        </w:rPr>
      </w:pPr>
      <w:r w:rsidRPr="002C0A36">
        <w:rPr>
          <w:rFonts w:eastAsia="Calibri"/>
          <w:b w:val="0"/>
          <w:szCs w:val="22"/>
          <w:lang w:val="hy-AM"/>
        </w:rPr>
        <w:t xml:space="preserve">Վերլուծության են ենթարկվել ստորև ներկայացված ՊՄԳ ձևաչափով գործող թվով երեք ընկերությունների պայմանագրերը։ </w:t>
      </w:r>
    </w:p>
    <w:p w:rsidR="002C0A36" w:rsidRPr="002C0A36" w:rsidRDefault="002C0A36" w:rsidP="007730AA">
      <w:pPr>
        <w:shd w:val="clear" w:color="auto" w:fill="FFFFFF"/>
        <w:spacing w:before="0" w:line="276" w:lineRule="auto"/>
        <w:ind w:firstLine="426"/>
        <w:contextualSpacing w:val="0"/>
        <w:jc w:val="left"/>
        <w:rPr>
          <w:rFonts w:eastAsia="Calibri"/>
          <w:b w:val="0"/>
          <w:szCs w:val="22"/>
          <w:lang w:val="hy-AM"/>
        </w:rPr>
      </w:pP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013"/>
        <w:gridCol w:w="1276"/>
        <w:gridCol w:w="1389"/>
        <w:gridCol w:w="1388"/>
        <w:gridCol w:w="1705"/>
      </w:tblGrid>
      <w:tr w:rsidR="002C0A36" w:rsidRPr="00130243" w:rsidTr="00FD74CB">
        <w:trPr>
          <w:trHeight w:val="278"/>
        </w:trPr>
        <w:tc>
          <w:tcPr>
            <w:tcW w:w="2518" w:type="dxa"/>
            <w:vMerge w:val="restart"/>
            <w:tcBorders>
              <w:top w:val="single" w:sz="4" w:space="0" w:color="auto"/>
              <w:left w:val="single" w:sz="4" w:space="0" w:color="auto"/>
              <w:bottom w:val="single" w:sz="4" w:space="0" w:color="auto"/>
              <w:right w:val="single" w:sz="4" w:space="0" w:color="auto"/>
            </w:tcBorders>
            <w:shd w:val="clear" w:color="auto" w:fill="0070C0"/>
          </w:tcPr>
          <w:p w:rsidR="002C0A36" w:rsidRPr="002C0A36" w:rsidRDefault="002C0A36" w:rsidP="007730AA">
            <w:pPr>
              <w:spacing w:before="0" w:line="276" w:lineRule="auto"/>
              <w:ind w:firstLine="426"/>
              <w:contextualSpacing w:val="0"/>
              <w:jc w:val="center"/>
              <w:rPr>
                <w:bCs/>
                <w:color w:val="FFFFFF"/>
                <w:sz w:val="18"/>
                <w:szCs w:val="18"/>
                <w:lang w:val="hy-AM"/>
              </w:rPr>
            </w:pPr>
          </w:p>
          <w:p w:rsidR="002C0A36" w:rsidRPr="002C0A36" w:rsidRDefault="002C0A36" w:rsidP="007730AA">
            <w:pPr>
              <w:spacing w:before="0" w:line="276" w:lineRule="auto"/>
              <w:ind w:firstLine="426"/>
              <w:contextualSpacing w:val="0"/>
              <w:jc w:val="center"/>
              <w:rPr>
                <w:bCs/>
                <w:color w:val="FFFFFF"/>
                <w:sz w:val="18"/>
                <w:szCs w:val="18"/>
                <w:lang w:val="hy-AM"/>
              </w:rPr>
            </w:pPr>
          </w:p>
          <w:p w:rsidR="002C0A36" w:rsidRPr="002C0A36" w:rsidRDefault="002C0A36" w:rsidP="007730AA">
            <w:pPr>
              <w:spacing w:before="0" w:line="276" w:lineRule="auto"/>
              <w:ind w:firstLine="426"/>
              <w:contextualSpacing w:val="0"/>
              <w:jc w:val="center"/>
              <w:rPr>
                <w:bCs/>
                <w:color w:val="FFFFFF"/>
                <w:sz w:val="18"/>
                <w:szCs w:val="18"/>
                <w:lang w:val="hy-AM"/>
              </w:rPr>
            </w:pPr>
            <w:r w:rsidRPr="002C0A36">
              <w:rPr>
                <w:bCs/>
                <w:color w:val="FFFFFF"/>
                <w:sz w:val="18"/>
                <w:szCs w:val="18"/>
                <w:lang w:val="hy-AM"/>
              </w:rPr>
              <w:t>Անվանում</w:t>
            </w:r>
          </w:p>
        </w:tc>
        <w:tc>
          <w:tcPr>
            <w:tcW w:w="2013" w:type="dxa"/>
            <w:vMerge w:val="restart"/>
            <w:tcBorders>
              <w:top w:val="single" w:sz="4" w:space="0" w:color="auto"/>
              <w:left w:val="single" w:sz="4" w:space="0" w:color="auto"/>
              <w:bottom w:val="single" w:sz="4" w:space="0" w:color="auto"/>
              <w:right w:val="single" w:sz="4" w:space="0" w:color="auto"/>
            </w:tcBorders>
            <w:shd w:val="clear" w:color="auto" w:fill="0070C0"/>
          </w:tcPr>
          <w:p w:rsidR="002C0A36" w:rsidRPr="002C0A36" w:rsidRDefault="002C0A36" w:rsidP="007730AA">
            <w:pPr>
              <w:spacing w:before="0" w:line="276" w:lineRule="auto"/>
              <w:ind w:firstLine="426"/>
              <w:contextualSpacing w:val="0"/>
              <w:rPr>
                <w:bCs/>
                <w:color w:val="FFFFFF"/>
                <w:sz w:val="18"/>
                <w:szCs w:val="18"/>
                <w:lang w:val="hy-AM"/>
              </w:rPr>
            </w:pPr>
          </w:p>
          <w:p w:rsidR="002C0A36" w:rsidRPr="002C0A36" w:rsidRDefault="002C0A36" w:rsidP="007730AA">
            <w:pPr>
              <w:spacing w:before="0" w:line="276" w:lineRule="auto"/>
              <w:ind w:firstLine="426"/>
              <w:contextualSpacing w:val="0"/>
              <w:rPr>
                <w:bCs/>
                <w:color w:val="FFFFFF"/>
                <w:sz w:val="18"/>
                <w:szCs w:val="18"/>
                <w:lang w:val="hy-AM"/>
              </w:rPr>
            </w:pPr>
          </w:p>
          <w:p w:rsidR="002C0A36" w:rsidRPr="002C0A36" w:rsidRDefault="002C0A36" w:rsidP="007730AA">
            <w:pPr>
              <w:spacing w:before="0" w:line="276" w:lineRule="auto"/>
              <w:ind w:firstLine="426"/>
              <w:contextualSpacing w:val="0"/>
              <w:rPr>
                <w:bCs/>
                <w:color w:val="FFFFFF"/>
                <w:sz w:val="18"/>
                <w:szCs w:val="18"/>
                <w:lang w:val="hy-AM"/>
              </w:rPr>
            </w:pPr>
            <w:r w:rsidRPr="002C0A36">
              <w:rPr>
                <w:bCs/>
                <w:color w:val="FFFFFF"/>
                <w:sz w:val="18"/>
                <w:szCs w:val="18"/>
                <w:lang w:val="hy-AM"/>
              </w:rPr>
              <w:t>Ոլորտ</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0070C0"/>
          </w:tcPr>
          <w:p w:rsidR="002C0A36" w:rsidRPr="002C0A36" w:rsidRDefault="002C0A36" w:rsidP="007730AA">
            <w:pPr>
              <w:spacing w:before="0" w:line="276" w:lineRule="auto"/>
              <w:ind w:firstLine="426"/>
              <w:contextualSpacing w:val="0"/>
              <w:rPr>
                <w:bCs/>
                <w:color w:val="FFFFFF"/>
                <w:sz w:val="18"/>
                <w:szCs w:val="18"/>
                <w:lang w:val="hy-AM"/>
              </w:rPr>
            </w:pPr>
          </w:p>
          <w:p w:rsidR="002C0A36" w:rsidRPr="002C0A36" w:rsidRDefault="002C0A36" w:rsidP="007730AA">
            <w:pPr>
              <w:spacing w:before="0" w:line="276" w:lineRule="auto"/>
              <w:ind w:firstLine="426"/>
              <w:contextualSpacing w:val="0"/>
              <w:rPr>
                <w:bCs/>
                <w:color w:val="FFFFFF"/>
                <w:sz w:val="18"/>
                <w:szCs w:val="18"/>
                <w:lang w:val="hy-AM"/>
              </w:rPr>
            </w:pPr>
          </w:p>
          <w:p w:rsidR="002C0A36" w:rsidRPr="002C0A36" w:rsidRDefault="002C0A36" w:rsidP="007730AA">
            <w:pPr>
              <w:spacing w:before="0" w:line="276" w:lineRule="auto"/>
              <w:ind w:firstLine="0"/>
              <w:contextualSpacing w:val="0"/>
              <w:jc w:val="center"/>
              <w:rPr>
                <w:bCs/>
                <w:color w:val="FFFFFF"/>
                <w:sz w:val="18"/>
                <w:szCs w:val="18"/>
                <w:lang w:val="hy-AM"/>
              </w:rPr>
            </w:pPr>
            <w:r w:rsidRPr="002C0A36">
              <w:rPr>
                <w:bCs/>
                <w:color w:val="FFFFFF"/>
                <w:sz w:val="18"/>
                <w:szCs w:val="18"/>
                <w:lang w:val="hy-AM"/>
              </w:rPr>
              <w:t>Սկիզբ</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0070C0"/>
          </w:tcPr>
          <w:p w:rsidR="002C0A36" w:rsidRPr="002C0A36" w:rsidRDefault="002C0A36" w:rsidP="007730AA">
            <w:pPr>
              <w:spacing w:before="0" w:line="276" w:lineRule="auto"/>
              <w:ind w:firstLine="426"/>
              <w:contextualSpacing w:val="0"/>
              <w:rPr>
                <w:bCs/>
                <w:color w:val="FFFFFF"/>
                <w:sz w:val="18"/>
                <w:szCs w:val="18"/>
                <w:lang w:val="hy-AM"/>
              </w:rPr>
            </w:pPr>
          </w:p>
          <w:p w:rsidR="002C0A36" w:rsidRPr="002C0A36" w:rsidRDefault="002C0A36" w:rsidP="007730AA">
            <w:pPr>
              <w:spacing w:before="0" w:line="276" w:lineRule="auto"/>
              <w:ind w:firstLine="426"/>
              <w:contextualSpacing w:val="0"/>
              <w:rPr>
                <w:bCs/>
                <w:color w:val="FFFFFF"/>
                <w:sz w:val="18"/>
                <w:szCs w:val="18"/>
                <w:lang w:val="hy-AM"/>
              </w:rPr>
            </w:pPr>
          </w:p>
          <w:p w:rsidR="002C0A36" w:rsidRPr="002C0A36" w:rsidRDefault="002C0A36" w:rsidP="007730AA">
            <w:pPr>
              <w:spacing w:before="0" w:line="276" w:lineRule="auto"/>
              <w:ind w:firstLine="426"/>
              <w:contextualSpacing w:val="0"/>
              <w:rPr>
                <w:bCs/>
                <w:color w:val="FFFFFF"/>
                <w:sz w:val="18"/>
                <w:szCs w:val="18"/>
                <w:lang w:val="hy-AM"/>
              </w:rPr>
            </w:pPr>
            <w:r w:rsidRPr="002C0A36">
              <w:rPr>
                <w:bCs/>
                <w:color w:val="FFFFFF"/>
                <w:sz w:val="18"/>
                <w:szCs w:val="18"/>
                <w:lang w:val="hy-AM"/>
              </w:rPr>
              <w:t>Ավարտ</w:t>
            </w:r>
          </w:p>
        </w:tc>
        <w:tc>
          <w:tcPr>
            <w:tcW w:w="3093" w:type="dxa"/>
            <w:gridSpan w:val="2"/>
            <w:tcBorders>
              <w:top w:val="single" w:sz="4" w:space="0" w:color="auto"/>
              <w:left w:val="single" w:sz="4" w:space="0" w:color="auto"/>
              <w:bottom w:val="single" w:sz="4" w:space="0" w:color="auto"/>
              <w:right w:val="single" w:sz="4" w:space="0" w:color="auto"/>
            </w:tcBorders>
            <w:shd w:val="clear" w:color="auto" w:fill="0070C0"/>
            <w:hideMark/>
          </w:tcPr>
          <w:p w:rsidR="002C0A36" w:rsidRPr="002C0A36" w:rsidRDefault="002C0A36" w:rsidP="007730AA">
            <w:pPr>
              <w:spacing w:before="0" w:line="276" w:lineRule="auto"/>
              <w:ind w:firstLine="426"/>
              <w:contextualSpacing w:val="0"/>
              <w:jc w:val="center"/>
              <w:rPr>
                <w:bCs/>
                <w:color w:val="FFFFFF"/>
                <w:sz w:val="18"/>
                <w:szCs w:val="18"/>
                <w:lang w:val="hy-AM"/>
              </w:rPr>
            </w:pPr>
            <w:r w:rsidRPr="002C0A36">
              <w:rPr>
                <w:bCs/>
                <w:color w:val="FFFFFF"/>
                <w:sz w:val="18"/>
                <w:szCs w:val="18"/>
                <w:lang w:val="hy-AM"/>
              </w:rPr>
              <w:t>Պայմանական պարտավորությունների ֆիսկալ ռիսկի կարգավիճակը</w:t>
            </w:r>
          </w:p>
        </w:tc>
      </w:tr>
      <w:tr w:rsidR="002C0A36" w:rsidRPr="002C0A36" w:rsidTr="00FD74CB">
        <w:trPr>
          <w:trHeight w:val="277"/>
        </w:trPr>
        <w:tc>
          <w:tcPr>
            <w:tcW w:w="2518" w:type="dxa"/>
            <w:vMerge/>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426"/>
              <w:contextualSpacing w:val="0"/>
              <w:jc w:val="left"/>
              <w:rPr>
                <w:bCs/>
                <w:color w:val="FFFFFF"/>
                <w:sz w:val="18"/>
                <w:szCs w:val="18"/>
                <w:lang w:val="hy-AM"/>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426"/>
              <w:contextualSpacing w:val="0"/>
              <w:jc w:val="left"/>
              <w:rPr>
                <w:bCs/>
                <w:color w:val="FFFFFF"/>
                <w:sz w:val="18"/>
                <w:szCs w:val="18"/>
                <w:lang w:val="hy-AM"/>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426"/>
              <w:contextualSpacing w:val="0"/>
              <w:jc w:val="left"/>
              <w:rPr>
                <w:bCs/>
                <w:color w:val="FFFFFF"/>
                <w:sz w:val="18"/>
                <w:szCs w:val="18"/>
                <w:lang w:val="hy-AM"/>
              </w:rPr>
            </w:pPr>
          </w:p>
        </w:tc>
        <w:tc>
          <w:tcPr>
            <w:tcW w:w="1389" w:type="dxa"/>
            <w:vMerge/>
            <w:tcBorders>
              <w:top w:val="single" w:sz="4" w:space="0" w:color="auto"/>
              <w:left w:val="single" w:sz="4" w:space="0" w:color="auto"/>
              <w:bottom w:val="single" w:sz="4" w:space="0" w:color="auto"/>
              <w:right w:val="single" w:sz="4" w:space="0" w:color="auto"/>
            </w:tcBorders>
            <w:vAlign w:val="center"/>
            <w:hideMark/>
          </w:tcPr>
          <w:p w:rsidR="002C0A36" w:rsidRPr="002C0A36" w:rsidRDefault="002C0A36" w:rsidP="007730AA">
            <w:pPr>
              <w:spacing w:before="0" w:line="276" w:lineRule="auto"/>
              <w:ind w:firstLine="426"/>
              <w:contextualSpacing w:val="0"/>
              <w:jc w:val="left"/>
              <w:rPr>
                <w:bCs/>
                <w:color w:val="FFFFFF"/>
                <w:sz w:val="18"/>
                <w:szCs w:val="18"/>
                <w:lang w:val="hy-AM"/>
              </w:rPr>
            </w:pPr>
          </w:p>
        </w:tc>
        <w:tc>
          <w:tcPr>
            <w:tcW w:w="1388" w:type="dxa"/>
            <w:tcBorders>
              <w:top w:val="single" w:sz="4" w:space="0" w:color="auto"/>
              <w:left w:val="single" w:sz="4" w:space="0" w:color="auto"/>
              <w:bottom w:val="single" w:sz="4" w:space="0" w:color="auto"/>
              <w:right w:val="single" w:sz="4" w:space="0" w:color="auto"/>
            </w:tcBorders>
            <w:shd w:val="clear" w:color="auto" w:fill="0070C0"/>
            <w:hideMark/>
          </w:tcPr>
          <w:p w:rsidR="002C0A36" w:rsidRPr="002C0A36" w:rsidRDefault="002C0A36" w:rsidP="007730AA">
            <w:pPr>
              <w:spacing w:before="0" w:line="276" w:lineRule="auto"/>
              <w:ind w:firstLine="426"/>
              <w:contextualSpacing w:val="0"/>
              <w:jc w:val="center"/>
              <w:rPr>
                <w:bCs/>
                <w:color w:val="FFFFFF"/>
                <w:sz w:val="18"/>
                <w:szCs w:val="18"/>
                <w:lang w:val="en-US"/>
              </w:rPr>
            </w:pPr>
            <w:r w:rsidRPr="002C0A36">
              <w:rPr>
                <w:bCs/>
                <w:color w:val="FFFFFF"/>
                <w:sz w:val="18"/>
                <w:szCs w:val="18"/>
                <w:lang w:val="hy-AM"/>
              </w:rPr>
              <w:t xml:space="preserve">Մինչև </w:t>
            </w:r>
            <w:r w:rsidRPr="002C0A36">
              <w:rPr>
                <w:bCs/>
                <w:color w:val="FFFFFF"/>
                <w:sz w:val="18"/>
                <w:szCs w:val="18"/>
              </w:rPr>
              <w:t>COVID 19</w:t>
            </w:r>
          </w:p>
        </w:tc>
        <w:tc>
          <w:tcPr>
            <w:tcW w:w="1705" w:type="dxa"/>
            <w:tcBorders>
              <w:top w:val="single" w:sz="4" w:space="0" w:color="auto"/>
              <w:left w:val="single" w:sz="4" w:space="0" w:color="auto"/>
              <w:bottom w:val="single" w:sz="4" w:space="0" w:color="auto"/>
              <w:right w:val="single" w:sz="4" w:space="0" w:color="auto"/>
            </w:tcBorders>
            <w:shd w:val="clear" w:color="auto" w:fill="0070C0"/>
            <w:hideMark/>
          </w:tcPr>
          <w:p w:rsidR="002C0A36" w:rsidRPr="002C0A36" w:rsidRDefault="002C0A36" w:rsidP="007730AA">
            <w:pPr>
              <w:spacing w:before="0" w:line="276" w:lineRule="auto"/>
              <w:ind w:firstLine="426"/>
              <w:contextualSpacing w:val="0"/>
              <w:jc w:val="center"/>
              <w:rPr>
                <w:bCs/>
                <w:color w:val="FFFFFF"/>
                <w:sz w:val="18"/>
                <w:szCs w:val="18"/>
                <w:lang w:val="hy-AM"/>
              </w:rPr>
            </w:pPr>
            <w:r w:rsidRPr="002C0A36">
              <w:rPr>
                <w:bCs/>
                <w:color w:val="FFFFFF"/>
                <w:sz w:val="18"/>
                <w:szCs w:val="18"/>
              </w:rPr>
              <w:t xml:space="preserve">COVID-19 </w:t>
            </w:r>
            <w:r w:rsidRPr="002C0A36">
              <w:rPr>
                <w:bCs/>
                <w:color w:val="FFFFFF"/>
                <w:sz w:val="18"/>
                <w:szCs w:val="18"/>
                <w:lang w:val="hy-AM"/>
              </w:rPr>
              <w:t>ի պայմաններում</w:t>
            </w:r>
          </w:p>
        </w:tc>
      </w:tr>
      <w:tr w:rsidR="002C0A36" w:rsidRPr="002C0A36" w:rsidTr="00FD74CB">
        <w:tc>
          <w:tcPr>
            <w:tcW w:w="2518"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hd w:val="clear" w:color="auto" w:fill="FFFFFF"/>
              <w:spacing w:before="0" w:line="276" w:lineRule="auto"/>
              <w:ind w:firstLine="0"/>
              <w:contextualSpacing w:val="0"/>
              <w:jc w:val="left"/>
              <w:rPr>
                <w:rFonts w:eastAsia="Calibri"/>
                <w:sz w:val="18"/>
                <w:szCs w:val="18"/>
                <w:lang w:val="hy-AM"/>
              </w:rPr>
            </w:pPr>
            <w:r w:rsidRPr="002C0A36">
              <w:rPr>
                <w:color w:val="000000"/>
                <w:sz w:val="18"/>
                <w:szCs w:val="18"/>
                <w:lang w:val="hy-AM"/>
              </w:rPr>
              <w:t>«Հարավկովկասյան երկաթուղի» ՓԲԸ</w:t>
            </w:r>
          </w:p>
        </w:tc>
        <w:tc>
          <w:tcPr>
            <w:tcW w:w="2013"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center"/>
              <w:rPr>
                <w:b w:val="0"/>
                <w:sz w:val="18"/>
                <w:szCs w:val="18"/>
                <w:lang w:val="hy-AM"/>
              </w:rPr>
            </w:pPr>
            <w:r w:rsidRPr="002C0A36">
              <w:rPr>
                <w:b w:val="0"/>
                <w:sz w:val="18"/>
                <w:szCs w:val="18"/>
                <w:lang w:val="hy-AM"/>
              </w:rPr>
              <w:t>Տրանսպորտ</w:t>
            </w:r>
          </w:p>
        </w:tc>
        <w:tc>
          <w:tcPr>
            <w:tcW w:w="1276"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lang w:val="hy-AM"/>
              </w:rPr>
            </w:pPr>
            <w:r w:rsidRPr="002C0A36">
              <w:rPr>
                <w:b w:val="0"/>
                <w:sz w:val="18"/>
                <w:szCs w:val="18"/>
              </w:rPr>
              <w:t>2008</w:t>
            </w:r>
            <w:r w:rsidRPr="002C0A36">
              <w:rPr>
                <w:b w:val="0"/>
                <w:sz w:val="18"/>
                <w:szCs w:val="18"/>
                <w:lang w:val="hy-AM"/>
              </w:rPr>
              <w:t>թ.</w:t>
            </w:r>
          </w:p>
        </w:tc>
        <w:tc>
          <w:tcPr>
            <w:tcW w:w="1389"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rPr>
            </w:pPr>
            <w:r w:rsidRPr="002C0A36">
              <w:rPr>
                <w:b w:val="0"/>
                <w:sz w:val="18"/>
                <w:szCs w:val="18"/>
              </w:rPr>
              <w:t>2038</w:t>
            </w:r>
            <w:r w:rsidRPr="002C0A36">
              <w:rPr>
                <w:b w:val="0"/>
                <w:sz w:val="18"/>
                <w:szCs w:val="18"/>
                <w:lang w:val="hy-AM"/>
              </w:rPr>
              <w:t>թ.</w:t>
            </w:r>
          </w:p>
        </w:tc>
        <w:tc>
          <w:tcPr>
            <w:tcW w:w="1388"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lang w:val="hy-AM"/>
              </w:rPr>
            </w:pPr>
            <w:r w:rsidRPr="002C0A36">
              <w:rPr>
                <w:b w:val="0"/>
                <w:sz w:val="18"/>
                <w:szCs w:val="18"/>
                <w:lang w:val="hy-AM"/>
              </w:rPr>
              <w:t>Միջին</w:t>
            </w:r>
          </w:p>
        </w:tc>
        <w:tc>
          <w:tcPr>
            <w:tcW w:w="1705"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lang w:val="hy-AM"/>
              </w:rPr>
            </w:pPr>
            <w:r w:rsidRPr="002C0A36">
              <w:rPr>
                <w:b w:val="0"/>
                <w:sz w:val="18"/>
                <w:szCs w:val="18"/>
                <w:lang w:val="hy-AM"/>
              </w:rPr>
              <w:t>Բարձր</w:t>
            </w:r>
          </w:p>
        </w:tc>
      </w:tr>
      <w:tr w:rsidR="002C0A36" w:rsidRPr="002C0A36" w:rsidTr="00FD74CB">
        <w:tc>
          <w:tcPr>
            <w:tcW w:w="251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b w:val="0"/>
                <w:sz w:val="18"/>
                <w:szCs w:val="18"/>
                <w:lang w:val="hy-AM"/>
              </w:rPr>
            </w:pPr>
            <w:r w:rsidRPr="002C0A36">
              <w:rPr>
                <w:color w:val="000000"/>
                <w:sz w:val="18"/>
                <w:szCs w:val="18"/>
                <w:lang w:val="hy-AM"/>
              </w:rPr>
              <w:t>«Վեոլիա Ջուր» ՓԲԸ</w:t>
            </w:r>
          </w:p>
        </w:tc>
        <w:tc>
          <w:tcPr>
            <w:tcW w:w="201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center"/>
              <w:rPr>
                <w:b w:val="0"/>
                <w:sz w:val="18"/>
                <w:szCs w:val="18"/>
                <w:lang w:val="hy-AM"/>
              </w:rPr>
            </w:pPr>
            <w:r w:rsidRPr="002C0A36">
              <w:rPr>
                <w:b w:val="0"/>
                <w:sz w:val="18"/>
                <w:szCs w:val="18"/>
                <w:lang w:val="hy-AM"/>
              </w:rPr>
              <w:t>Ջրամատակարարում և կեղտաջրերի հեռացում</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426"/>
              <w:contextualSpacing w:val="0"/>
              <w:jc w:val="center"/>
              <w:rPr>
                <w:b w:val="0"/>
                <w:sz w:val="18"/>
                <w:szCs w:val="18"/>
                <w:lang w:val="en-US"/>
              </w:rPr>
            </w:pPr>
            <w:r w:rsidRPr="002C0A36">
              <w:rPr>
                <w:b w:val="0"/>
                <w:sz w:val="18"/>
                <w:szCs w:val="18"/>
              </w:rPr>
              <w:t>2016</w:t>
            </w:r>
            <w:r w:rsidRPr="002C0A36">
              <w:rPr>
                <w:b w:val="0"/>
                <w:sz w:val="18"/>
                <w:szCs w:val="18"/>
                <w:lang w:val="hy-AM"/>
              </w:rPr>
              <w:t>թ.</w:t>
            </w:r>
          </w:p>
        </w:tc>
        <w:tc>
          <w:tcPr>
            <w:tcW w:w="138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426"/>
              <w:contextualSpacing w:val="0"/>
              <w:jc w:val="center"/>
              <w:rPr>
                <w:b w:val="0"/>
                <w:sz w:val="18"/>
                <w:szCs w:val="18"/>
              </w:rPr>
            </w:pPr>
            <w:r w:rsidRPr="002C0A36">
              <w:rPr>
                <w:b w:val="0"/>
                <w:sz w:val="18"/>
                <w:szCs w:val="18"/>
              </w:rPr>
              <w:t>2031</w:t>
            </w:r>
            <w:r w:rsidRPr="002C0A36">
              <w:rPr>
                <w:b w:val="0"/>
                <w:sz w:val="18"/>
                <w:szCs w:val="18"/>
                <w:lang w:val="hy-AM"/>
              </w:rPr>
              <w:t>թ.</w:t>
            </w:r>
          </w:p>
        </w:tc>
        <w:tc>
          <w:tcPr>
            <w:tcW w:w="138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426"/>
              <w:contextualSpacing w:val="0"/>
              <w:jc w:val="center"/>
              <w:rPr>
                <w:b w:val="0"/>
                <w:sz w:val="18"/>
                <w:szCs w:val="18"/>
                <w:lang w:val="hy-AM"/>
              </w:rPr>
            </w:pPr>
            <w:r w:rsidRPr="002C0A36">
              <w:rPr>
                <w:b w:val="0"/>
                <w:sz w:val="18"/>
                <w:szCs w:val="18"/>
                <w:lang w:val="hy-AM"/>
              </w:rPr>
              <w:t>Միջին</w:t>
            </w:r>
          </w:p>
        </w:tc>
        <w:tc>
          <w:tcPr>
            <w:tcW w:w="170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426"/>
              <w:contextualSpacing w:val="0"/>
              <w:jc w:val="center"/>
              <w:rPr>
                <w:b w:val="0"/>
                <w:sz w:val="18"/>
                <w:szCs w:val="18"/>
                <w:lang w:val="hy-AM"/>
              </w:rPr>
            </w:pPr>
            <w:r w:rsidRPr="002C0A36">
              <w:rPr>
                <w:b w:val="0"/>
                <w:sz w:val="18"/>
                <w:szCs w:val="18"/>
                <w:lang w:val="hy-AM"/>
              </w:rPr>
              <w:t>Միջին</w:t>
            </w:r>
          </w:p>
        </w:tc>
      </w:tr>
      <w:tr w:rsidR="002C0A36" w:rsidRPr="002C0A36" w:rsidTr="00FD74CB">
        <w:trPr>
          <w:trHeight w:val="791"/>
        </w:trPr>
        <w:tc>
          <w:tcPr>
            <w:tcW w:w="2518"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left"/>
              <w:rPr>
                <w:b w:val="0"/>
                <w:sz w:val="18"/>
                <w:szCs w:val="18"/>
                <w:lang w:val="hy-AM"/>
              </w:rPr>
            </w:pPr>
            <w:r w:rsidRPr="002C0A36">
              <w:rPr>
                <w:bCs/>
                <w:sz w:val="18"/>
                <w:szCs w:val="18"/>
                <w:lang w:val="hy-AM"/>
              </w:rPr>
              <w:t>«Արմենիա միջազգային օդանավակայաններ» ՓԲԸ</w:t>
            </w:r>
          </w:p>
        </w:tc>
        <w:tc>
          <w:tcPr>
            <w:tcW w:w="2013"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center"/>
              <w:rPr>
                <w:b w:val="0"/>
                <w:sz w:val="18"/>
                <w:szCs w:val="18"/>
                <w:lang w:val="hy-AM"/>
              </w:rPr>
            </w:pPr>
            <w:r w:rsidRPr="002C0A36">
              <w:rPr>
                <w:b w:val="0"/>
                <w:sz w:val="18"/>
                <w:szCs w:val="18"/>
                <w:lang w:val="hy-AM"/>
              </w:rPr>
              <w:t>Տրանսպորտ</w:t>
            </w:r>
          </w:p>
        </w:tc>
        <w:tc>
          <w:tcPr>
            <w:tcW w:w="1276"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lang w:val="hy-AM"/>
              </w:rPr>
            </w:pPr>
            <w:r w:rsidRPr="002C0A36">
              <w:rPr>
                <w:b w:val="0"/>
                <w:sz w:val="18"/>
                <w:szCs w:val="18"/>
              </w:rPr>
              <w:t>2002</w:t>
            </w:r>
            <w:r w:rsidRPr="002C0A36">
              <w:rPr>
                <w:b w:val="0"/>
                <w:sz w:val="18"/>
                <w:szCs w:val="18"/>
                <w:lang w:val="hy-AM"/>
              </w:rPr>
              <w:t>թ.</w:t>
            </w:r>
          </w:p>
        </w:tc>
        <w:tc>
          <w:tcPr>
            <w:tcW w:w="1389"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lang w:val="en-US"/>
              </w:rPr>
            </w:pPr>
            <w:r w:rsidRPr="002C0A36">
              <w:rPr>
                <w:b w:val="0"/>
                <w:sz w:val="18"/>
                <w:szCs w:val="18"/>
              </w:rPr>
              <w:t>2032</w:t>
            </w:r>
            <w:r w:rsidRPr="002C0A36">
              <w:rPr>
                <w:b w:val="0"/>
                <w:sz w:val="18"/>
                <w:szCs w:val="18"/>
                <w:lang w:val="hy-AM"/>
              </w:rPr>
              <w:t>թ.</w:t>
            </w:r>
          </w:p>
        </w:tc>
        <w:tc>
          <w:tcPr>
            <w:tcW w:w="1388"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lang w:val="hy-AM"/>
              </w:rPr>
            </w:pPr>
            <w:r w:rsidRPr="002C0A36">
              <w:rPr>
                <w:b w:val="0"/>
                <w:sz w:val="18"/>
                <w:szCs w:val="18"/>
                <w:lang w:val="hy-AM"/>
              </w:rPr>
              <w:t>Ցածր</w:t>
            </w:r>
          </w:p>
        </w:tc>
        <w:tc>
          <w:tcPr>
            <w:tcW w:w="1705"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lang w:val="hy-AM"/>
              </w:rPr>
            </w:pPr>
            <w:r w:rsidRPr="002C0A36">
              <w:rPr>
                <w:b w:val="0"/>
                <w:sz w:val="18"/>
                <w:szCs w:val="18"/>
                <w:lang w:val="hy-AM"/>
              </w:rPr>
              <w:t>Բարձր</w:t>
            </w:r>
          </w:p>
        </w:tc>
      </w:tr>
    </w:tbl>
    <w:p w:rsidR="002C0A36" w:rsidRPr="002C0A36" w:rsidRDefault="002C0A36" w:rsidP="007730AA">
      <w:pPr>
        <w:spacing w:before="0" w:line="276" w:lineRule="auto"/>
        <w:ind w:firstLine="426"/>
        <w:contextualSpacing w:val="0"/>
        <w:rPr>
          <w:b w:val="0"/>
          <w:szCs w:val="22"/>
          <w:lang w:val="hy-AM"/>
        </w:rPr>
      </w:pP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Բացի նշված երեք պայմանագրերից ՀՀ Կառավարության և մասնավոր ընկերությունների միջև ստորագրվել են կառավարության աջակցության համաձայնագրեր էներգետիկայի ոլորտում, որոնք նույնպես հանդիսանում են պայմանական պարտավորությունների աղբյուր, քանի որ պարունակում են երաշխավորած գնման պայմաններ։ Սակայն քանի դեռ դրանցից երկուսը շահագործման հանձնված չեն և գտնվում են կառուցման ընթացքում ֆիսկալ ռի</w:t>
      </w:r>
      <w:r w:rsidR="008F3AE2" w:rsidRPr="002C0A36">
        <w:rPr>
          <w:b w:val="0"/>
          <w:szCs w:val="22"/>
          <w:lang w:val="hy-AM"/>
        </w:rPr>
        <w:t>ս</w:t>
      </w:r>
      <w:r w:rsidRPr="002C0A36">
        <w:rPr>
          <w:b w:val="0"/>
          <w:szCs w:val="22"/>
          <w:lang w:val="hy-AM"/>
        </w:rPr>
        <w:t>կի կարգավիճակը գնահատվել է ցածր։</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268"/>
        <w:gridCol w:w="1984"/>
        <w:gridCol w:w="3402"/>
      </w:tblGrid>
      <w:tr w:rsidR="002C0A36" w:rsidRPr="002C0A36" w:rsidTr="007E430F">
        <w:trPr>
          <w:trHeight w:val="1314"/>
        </w:trPr>
        <w:tc>
          <w:tcPr>
            <w:tcW w:w="2547" w:type="dxa"/>
            <w:tcBorders>
              <w:top w:val="single" w:sz="4" w:space="0" w:color="auto"/>
              <w:left w:val="single" w:sz="4" w:space="0" w:color="auto"/>
              <w:bottom w:val="single" w:sz="4" w:space="0" w:color="auto"/>
              <w:right w:val="single" w:sz="4" w:space="0" w:color="auto"/>
            </w:tcBorders>
            <w:shd w:val="clear" w:color="auto" w:fill="0070C0"/>
          </w:tcPr>
          <w:p w:rsidR="002C0A36" w:rsidRPr="002C0A36" w:rsidRDefault="002C0A36" w:rsidP="007730AA">
            <w:pPr>
              <w:spacing w:before="0" w:line="276" w:lineRule="auto"/>
              <w:ind w:firstLine="426"/>
              <w:contextualSpacing w:val="0"/>
              <w:jc w:val="center"/>
              <w:rPr>
                <w:bCs/>
                <w:color w:val="FFFFFF"/>
                <w:sz w:val="18"/>
                <w:szCs w:val="18"/>
                <w:lang w:val="hy-AM"/>
              </w:rPr>
            </w:pPr>
          </w:p>
          <w:p w:rsidR="002C0A36" w:rsidRPr="002C0A36" w:rsidRDefault="002C0A36" w:rsidP="007730AA">
            <w:pPr>
              <w:spacing w:before="0" w:line="276" w:lineRule="auto"/>
              <w:ind w:firstLine="426"/>
              <w:contextualSpacing w:val="0"/>
              <w:jc w:val="center"/>
              <w:rPr>
                <w:bCs/>
                <w:color w:val="FFFFFF"/>
                <w:sz w:val="18"/>
                <w:szCs w:val="18"/>
                <w:lang w:val="hy-AM"/>
              </w:rPr>
            </w:pPr>
            <w:r w:rsidRPr="002C0A36">
              <w:rPr>
                <w:bCs/>
                <w:color w:val="FFFFFF"/>
                <w:sz w:val="18"/>
                <w:szCs w:val="18"/>
                <w:lang w:val="hy-AM"/>
              </w:rPr>
              <w:t>Անվանում</w:t>
            </w:r>
          </w:p>
        </w:tc>
        <w:tc>
          <w:tcPr>
            <w:tcW w:w="2268" w:type="dxa"/>
            <w:tcBorders>
              <w:top w:val="single" w:sz="4" w:space="0" w:color="auto"/>
              <w:left w:val="single" w:sz="4" w:space="0" w:color="auto"/>
              <w:bottom w:val="single" w:sz="4" w:space="0" w:color="auto"/>
              <w:right w:val="single" w:sz="4" w:space="0" w:color="auto"/>
            </w:tcBorders>
            <w:shd w:val="clear" w:color="auto" w:fill="0070C0"/>
          </w:tcPr>
          <w:p w:rsidR="002C0A36" w:rsidRPr="002C0A36" w:rsidRDefault="002C0A36" w:rsidP="007730AA">
            <w:pPr>
              <w:spacing w:before="0" w:line="276" w:lineRule="auto"/>
              <w:ind w:firstLine="426"/>
              <w:contextualSpacing w:val="0"/>
              <w:jc w:val="center"/>
              <w:rPr>
                <w:bCs/>
                <w:color w:val="FFFFFF"/>
                <w:sz w:val="18"/>
                <w:szCs w:val="18"/>
                <w:lang w:val="hy-AM"/>
              </w:rPr>
            </w:pPr>
          </w:p>
          <w:p w:rsidR="002C0A36" w:rsidRPr="002C0A36" w:rsidRDefault="002C0A36" w:rsidP="007730AA">
            <w:pPr>
              <w:spacing w:before="0" w:line="276" w:lineRule="auto"/>
              <w:ind w:firstLine="426"/>
              <w:contextualSpacing w:val="0"/>
              <w:jc w:val="center"/>
              <w:rPr>
                <w:bCs/>
                <w:color w:val="FFFFFF"/>
                <w:sz w:val="18"/>
                <w:szCs w:val="18"/>
                <w:lang w:val="hy-AM"/>
              </w:rPr>
            </w:pPr>
            <w:r w:rsidRPr="002C0A36">
              <w:rPr>
                <w:bCs/>
                <w:color w:val="FFFFFF"/>
                <w:sz w:val="18"/>
                <w:szCs w:val="18"/>
                <w:lang w:val="hy-AM"/>
              </w:rPr>
              <w:t>Սկիզբ</w:t>
            </w:r>
          </w:p>
        </w:tc>
        <w:tc>
          <w:tcPr>
            <w:tcW w:w="1984" w:type="dxa"/>
            <w:tcBorders>
              <w:top w:val="single" w:sz="4" w:space="0" w:color="auto"/>
              <w:left w:val="single" w:sz="4" w:space="0" w:color="auto"/>
              <w:bottom w:val="single" w:sz="4" w:space="0" w:color="auto"/>
              <w:right w:val="single" w:sz="4" w:space="0" w:color="auto"/>
            </w:tcBorders>
            <w:shd w:val="clear" w:color="auto" w:fill="0070C0"/>
          </w:tcPr>
          <w:p w:rsidR="002C0A36" w:rsidRPr="002C0A36" w:rsidRDefault="002C0A36" w:rsidP="007730AA">
            <w:pPr>
              <w:spacing w:before="0" w:line="276" w:lineRule="auto"/>
              <w:ind w:firstLine="426"/>
              <w:contextualSpacing w:val="0"/>
              <w:jc w:val="center"/>
              <w:rPr>
                <w:bCs/>
                <w:color w:val="FFFFFF"/>
                <w:sz w:val="18"/>
                <w:szCs w:val="18"/>
                <w:lang w:val="hy-AM"/>
              </w:rPr>
            </w:pPr>
          </w:p>
          <w:p w:rsidR="002C0A36" w:rsidRPr="002C0A36" w:rsidRDefault="002C0A36" w:rsidP="007730AA">
            <w:pPr>
              <w:spacing w:before="0" w:line="276" w:lineRule="auto"/>
              <w:ind w:firstLine="426"/>
              <w:contextualSpacing w:val="0"/>
              <w:jc w:val="center"/>
              <w:rPr>
                <w:bCs/>
                <w:color w:val="FFFFFF"/>
                <w:sz w:val="18"/>
                <w:szCs w:val="18"/>
                <w:lang w:val="hy-AM"/>
              </w:rPr>
            </w:pPr>
            <w:r w:rsidRPr="002C0A36">
              <w:rPr>
                <w:bCs/>
                <w:color w:val="FFFFFF"/>
                <w:sz w:val="18"/>
                <w:szCs w:val="18"/>
                <w:lang w:val="hy-AM"/>
              </w:rPr>
              <w:t>Ավարտ</w:t>
            </w:r>
          </w:p>
        </w:tc>
        <w:tc>
          <w:tcPr>
            <w:tcW w:w="3402" w:type="dxa"/>
            <w:tcBorders>
              <w:top w:val="single" w:sz="4" w:space="0" w:color="auto"/>
              <w:left w:val="single" w:sz="4" w:space="0" w:color="auto"/>
              <w:right w:val="single" w:sz="4" w:space="0" w:color="auto"/>
            </w:tcBorders>
            <w:shd w:val="clear" w:color="auto" w:fill="0070C0"/>
            <w:hideMark/>
          </w:tcPr>
          <w:p w:rsidR="002C0A36" w:rsidRPr="002C0A36" w:rsidRDefault="002C0A36" w:rsidP="007730AA">
            <w:pPr>
              <w:spacing w:before="0" w:line="276" w:lineRule="auto"/>
              <w:ind w:firstLine="426"/>
              <w:contextualSpacing w:val="0"/>
              <w:jc w:val="center"/>
              <w:rPr>
                <w:bCs/>
                <w:color w:val="FFFFFF"/>
                <w:sz w:val="18"/>
                <w:szCs w:val="18"/>
                <w:lang w:val="hy-AM"/>
              </w:rPr>
            </w:pPr>
            <w:r w:rsidRPr="002C0A36">
              <w:rPr>
                <w:bCs/>
                <w:color w:val="FFFFFF"/>
                <w:sz w:val="18"/>
                <w:szCs w:val="18"/>
                <w:lang w:val="hy-AM"/>
              </w:rPr>
              <w:t>Պայմանական պարտավորությունների ֆիսկալ ռիսկի կարգավիճակը</w:t>
            </w:r>
          </w:p>
          <w:p w:rsidR="002C0A36" w:rsidRPr="002C0A36" w:rsidRDefault="002C0A36" w:rsidP="007730AA">
            <w:pPr>
              <w:spacing w:before="0" w:line="276" w:lineRule="auto"/>
              <w:ind w:firstLine="426"/>
              <w:contextualSpacing w:val="0"/>
              <w:jc w:val="center"/>
              <w:rPr>
                <w:bCs/>
                <w:color w:val="FFFFFF"/>
                <w:sz w:val="18"/>
                <w:szCs w:val="18"/>
                <w:lang w:val="hy-AM"/>
              </w:rPr>
            </w:pPr>
          </w:p>
        </w:tc>
      </w:tr>
      <w:tr w:rsidR="002C0A36" w:rsidRPr="002C0A36" w:rsidTr="007E430F">
        <w:tc>
          <w:tcPr>
            <w:tcW w:w="2547"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hd w:val="clear" w:color="auto" w:fill="FFFFFF"/>
              <w:spacing w:before="0" w:line="276" w:lineRule="auto"/>
              <w:ind w:firstLine="0"/>
              <w:contextualSpacing w:val="0"/>
              <w:jc w:val="left"/>
              <w:rPr>
                <w:rFonts w:eastAsia="Calibri"/>
                <w:sz w:val="18"/>
                <w:szCs w:val="18"/>
                <w:lang w:val="hy-AM"/>
              </w:rPr>
            </w:pPr>
            <w:r w:rsidRPr="002C0A36">
              <w:rPr>
                <w:sz w:val="18"/>
                <w:szCs w:val="18"/>
                <w:lang w:val="hy-AM"/>
              </w:rPr>
              <w:t>«Էֆարվի Մասրիկ» ՓԲԸ</w:t>
            </w:r>
          </w:p>
        </w:tc>
        <w:tc>
          <w:tcPr>
            <w:tcW w:w="2268"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lang w:val="hy-AM"/>
              </w:rPr>
            </w:pPr>
            <w:r w:rsidRPr="002C0A36">
              <w:rPr>
                <w:b w:val="0"/>
                <w:sz w:val="18"/>
                <w:szCs w:val="18"/>
              </w:rPr>
              <w:t>20</w:t>
            </w:r>
            <w:r w:rsidRPr="002C0A36">
              <w:rPr>
                <w:b w:val="0"/>
                <w:sz w:val="18"/>
                <w:szCs w:val="18"/>
                <w:lang w:val="en-US"/>
              </w:rPr>
              <w:t>1</w:t>
            </w:r>
            <w:r w:rsidRPr="002C0A36">
              <w:rPr>
                <w:b w:val="0"/>
                <w:sz w:val="18"/>
                <w:szCs w:val="18"/>
              </w:rPr>
              <w:t>8</w:t>
            </w:r>
            <w:r w:rsidRPr="002C0A36">
              <w:rPr>
                <w:b w:val="0"/>
                <w:sz w:val="18"/>
                <w:szCs w:val="18"/>
                <w:lang w:val="hy-AM"/>
              </w:rPr>
              <w:t>թ.</w:t>
            </w:r>
          </w:p>
        </w:tc>
        <w:tc>
          <w:tcPr>
            <w:tcW w:w="1984"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rPr>
            </w:pPr>
            <w:r w:rsidRPr="002C0A36">
              <w:rPr>
                <w:b w:val="0"/>
                <w:sz w:val="18"/>
                <w:szCs w:val="18"/>
              </w:rPr>
              <w:t>20</w:t>
            </w:r>
            <w:r w:rsidRPr="002C0A36">
              <w:rPr>
                <w:b w:val="0"/>
                <w:sz w:val="18"/>
                <w:szCs w:val="18"/>
                <w:lang w:val="en-US"/>
              </w:rPr>
              <w:t>42</w:t>
            </w:r>
            <w:r w:rsidRPr="002C0A36">
              <w:rPr>
                <w:b w:val="0"/>
                <w:sz w:val="18"/>
                <w:szCs w:val="18"/>
                <w:lang w:val="hy-AM"/>
              </w:rPr>
              <w:t>թ.</w:t>
            </w:r>
          </w:p>
        </w:tc>
        <w:tc>
          <w:tcPr>
            <w:tcW w:w="3402"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lang w:val="hy-AM"/>
              </w:rPr>
            </w:pPr>
            <w:r w:rsidRPr="002C0A36">
              <w:rPr>
                <w:b w:val="0"/>
                <w:sz w:val="18"/>
                <w:szCs w:val="18"/>
                <w:lang w:val="hy-AM"/>
              </w:rPr>
              <w:t>Ցածր</w:t>
            </w:r>
          </w:p>
        </w:tc>
      </w:tr>
      <w:tr w:rsidR="002C0A36" w:rsidRPr="002C0A36" w:rsidTr="007E430F">
        <w:tc>
          <w:tcPr>
            <w:tcW w:w="254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sz w:val="18"/>
                <w:szCs w:val="18"/>
                <w:lang w:val="hy-AM"/>
              </w:rPr>
            </w:pPr>
            <w:r w:rsidRPr="002C0A36">
              <w:rPr>
                <w:sz w:val="18"/>
                <w:szCs w:val="18"/>
              </w:rPr>
              <w:t>«</w:t>
            </w:r>
            <w:r w:rsidRPr="002C0A36">
              <w:rPr>
                <w:sz w:val="18"/>
                <w:szCs w:val="18"/>
                <w:lang w:val="hy-AM"/>
              </w:rPr>
              <w:t>Արմփաուեր» ՓԲԸ</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426"/>
              <w:contextualSpacing w:val="0"/>
              <w:jc w:val="center"/>
              <w:rPr>
                <w:b w:val="0"/>
                <w:sz w:val="18"/>
                <w:szCs w:val="18"/>
                <w:lang w:val="en-US"/>
              </w:rPr>
            </w:pPr>
            <w:r w:rsidRPr="002C0A36">
              <w:rPr>
                <w:b w:val="0"/>
                <w:sz w:val="18"/>
                <w:szCs w:val="18"/>
              </w:rPr>
              <w:t>201</w:t>
            </w:r>
            <w:r w:rsidRPr="002C0A36">
              <w:rPr>
                <w:b w:val="0"/>
                <w:sz w:val="18"/>
                <w:szCs w:val="18"/>
                <w:lang w:val="en-US"/>
              </w:rPr>
              <w:t>7</w:t>
            </w:r>
            <w:r w:rsidRPr="002C0A36">
              <w:rPr>
                <w:b w:val="0"/>
                <w:sz w:val="18"/>
                <w:szCs w:val="18"/>
                <w:lang w:val="hy-AM"/>
              </w:rPr>
              <w:t>թ.</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426"/>
              <w:contextualSpacing w:val="0"/>
              <w:jc w:val="center"/>
              <w:rPr>
                <w:b w:val="0"/>
                <w:sz w:val="18"/>
                <w:szCs w:val="18"/>
              </w:rPr>
            </w:pPr>
            <w:r w:rsidRPr="002C0A36">
              <w:rPr>
                <w:b w:val="0"/>
                <w:sz w:val="18"/>
                <w:szCs w:val="18"/>
              </w:rPr>
              <w:t>20</w:t>
            </w:r>
            <w:r w:rsidRPr="002C0A36">
              <w:rPr>
                <w:b w:val="0"/>
                <w:sz w:val="18"/>
                <w:szCs w:val="18"/>
                <w:lang w:val="en-US"/>
              </w:rPr>
              <w:t>42</w:t>
            </w:r>
            <w:r w:rsidRPr="002C0A36">
              <w:rPr>
                <w:b w:val="0"/>
                <w:sz w:val="18"/>
                <w:szCs w:val="18"/>
                <w:lang w:val="hy-AM"/>
              </w:rPr>
              <w:t>թ.</w:t>
            </w:r>
          </w:p>
        </w:tc>
        <w:tc>
          <w:tcPr>
            <w:tcW w:w="3402"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426"/>
              <w:contextualSpacing w:val="0"/>
              <w:jc w:val="center"/>
              <w:rPr>
                <w:b w:val="0"/>
                <w:sz w:val="18"/>
                <w:szCs w:val="18"/>
                <w:lang w:val="hy-AM"/>
              </w:rPr>
            </w:pPr>
            <w:r w:rsidRPr="002C0A36">
              <w:rPr>
                <w:b w:val="0"/>
                <w:sz w:val="18"/>
                <w:szCs w:val="18"/>
                <w:lang w:val="hy-AM"/>
              </w:rPr>
              <w:t>Ցածր</w:t>
            </w:r>
          </w:p>
        </w:tc>
      </w:tr>
      <w:tr w:rsidR="002C0A36" w:rsidRPr="002C0A36" w:rsidTr="007E430F">
        <w:trPr>
          <w:trHeight w:val="791"/>
        </w:trPr>
        <w:tc>
          <w:tcPr>
            <w:tcW w:w="2547"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left"/>
              <w:rPr>
                <w:sz w:val="18"/>
                <w:szCs w:val="18"/>
                <w:lang w:val="hy-AM"/>
              </w:rPr>
            </w:pPr>
            <w:r w:rsidRPr="002C0A36">
              <w:rPr>
                <w:sz w:val="18"/>
                <w:szCs w:val="18"/>
              </w:rPr>
              <w:t>«Քոնթուրգլոբալ հիդրո կասկադ»</w:t>
            </w:r>
          </w:p>
        </w:tc>
        <w:tc>
          <w:tcPr>
            <w:tcW w:w="2268"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lang w:val="hy-AM"/>
              </w:rPr>
            </w:pPr>
            <w:r w:rsidRPr="002C0A36">
              <w:rPr>
                <w:b w:val="0"/>
                <w:sz w:val="18"/>
                <w:szCs w:val="18"/>
              </w:rPr>
              <w:t>20</w:t>
            </w:r>
            <w:r w:rsidRPr="002C0A36">
              <w:rPr>
                <w:b w:val="0"/>
                <w:sz w:val="18"/>
                <w:szCs w:val="18"/>
                <w:lang w:val="en-US"/>
              </w:rPr>
              <w:t>14</w:t>
            </w:r>
            <w:r w:rsidRPr="002C0A36">
              <w:rPr>
                <w:b w:val="0"/>
                <w:sz w:val="18"/>
                <w:szCs w:val="18"/>
                <w:lang w:val="hy-AM"/>
              </w:rPr>
              <w:t>թ.</w:t>
            </w:r>
          </w:p>
        </w:tc>
        <w:tc>
          <w:tcPr>
            <w:tcW w:w="1984"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lang w:val="en-US"/>
              </w:rPr>
            </w:pPr>
            <w:r w:rsidRPr="002C0A36">
              <w:rPr>
                <w:b w:val="0"/>
                <w:sz w:val="18"/>
                <w:szCs w:val="18"/>
              </w:rPr>
              <w:t>20</w:t>
            </w:r>
            <w:r w:rsidRPr="002C0A36">
              <w:rPr>
                <w:b w:val="0"/>
                <w:sz w:val="18"/>
                <w:szCs w:val="18"/>
                <w:lang w:val="en-US"/>
              </w:rPr>
              <w:t>40</w:t>
            </w:r>
            <w:r w:rsidRPr="002C0A36">
              <w:rPr>
                <w:b w:val="0"/>
                <w:sz w:val="18"/>
                <w:szCs w:val="18"/>
                <w:lang w:val="hy-AM"/>
              </w:rPr>
              <w:t>թ.</w:t>
            </w:r>
          </w:p>
        </w:tc>
        <w:tc>
          <w:tcPr>
            <w:tcW w:w="3402"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426"/>
              <w:contextualSpacing w:val="0"/>
              <w:jc w:val="center"/>
              <w:rPr>
                <w:b w:val="0"/>
                <w:sz w:val="18"/>
                <w:szCs w:val="18"/>
                <w:lang w:val="hy-AM"/>
              </w:rPr>
            </w:pPr>
            <w:r w:rsidRPr="002C0A36">
              <w:rPr>
                <w:b w:val="0"/>
                <w:sz w:val="18"/>
                <w:szCs w:val="18"/>
                <w:lang w:val="hy-AM"/>
              </w:rPr>
              <w:t>Ցածր</w:t>
            </w:r>
          </w:p>
        </w:tc>
      </w:tr>
    </w:tbl>
    <w:p w:rsidR="002C0A36" w:rsidRPr="002C0A36" w:rsidRDefault="002C0A36" w:rsidP="007730AA">
      <w:pPr>
        <w:spacing w:before="0" w:line="276" w:lineRule="auto"/>
        <w:ind w:firstLine="426"/>
        <w:contextualSpacing w:val="0"/>
        <w:rPr>
          <w:b w:val="0"/>
          <w:szCs w:val="22"/>
          <w:lang w:val="hy-AM"/>
        </w:rPr>
      </w:pP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2019թ. դեկտեմբերի 26-ին թիվ 1922-Լ որոշմամբ ՀՀ կառավարությունը հավանություն տվեց խոշոր արևային կայանի կառուցման ծրագրին, որn այժմ գտնվում է մրցույթի նախաորակավորման փուլում։ Նախատեսվում է, որ ծրագրային ընկերության հիմնադիր է լինելու հաղթող հայտատուն և պետական Հայաստանի պետական հետաքրքրությունների ֆոնդ ՓԲԸ: Ծրագրի կայացման դեպքում ակնկալվում է տարբեր պայմանական պարտավորությունների առաջացում:</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xml:space="preserve">Համաձայն ՊՄԳ պայմանագրերի՝ պայմանական պարտավորությունների նյութականացման ռիսկը եղել է միջին կամ ցածր, սակայն COVID 19-ի ճգնաժամի պայմաններում ռիսկի աստիճանը բարձրացել է ՊՄԳ բոլոր պայմանագրերի համար (այդ պայմանագրերում ֆորս-մաժորային իրավիճակներին և ֆինանսական կայունությանը վերաբերող դրույթների հիման վրա), հաշվի առնելով, որ ճգնաժամն ազդում է ընկերությունների դրամական հոսքերի վրա, ինչն իր հերթին մեծացնում է պայամանագրի վերաբանակցման և վաղաժամ դադարեցման ռիսկերը։ </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xml:space="preserve">COVID 19-ի ճգնաժամային իրավիճակով պայմանավորված ՊՄԳ ընկերությունների կորպորատիվ ռիսկերի նախորդ վերլուծությունների օգտակարությունը կարող է նվազել, քանի որ ֆինանսական հաշվետվությունների թվերը ներկայացնում են անցյալը, իսկ ներկա պայմաններում առավել կարևոր է դրամական միջոցների ընթացիկ դիրքը, ֆինանսական պարտավորությունների ծավալը, բաժնետերերի և վարկատուների կողմից ՊՄԳ ընկերությանն աջակցելու կարողությունն ու  պատրաստակամությունը: </w:t>
      </w:r>
    </w:p>
    <w:p w:rsidR="002C0A36" w:rsidRPr="002C0A36" w:rsidRDefault="002C0A36" w:rsidP="007730AA">
      <w:pPr>
        <w:shd w:val="clear" w:color="auto" w:fill="FFFFFF"/>
        <w:spacing w:before="0" w:line="276" w:lineRule="auto"/>
        <w:ind w:firstLine="426"/>
        <w:contextualSpacing w:val="0"/>
        <w:rPr>
          <w:rFonts w:eastAsia="Calibri"/>
          <w:szCs w:val="22"/>
          <w:lang w:val="hy-AM"/>
        </w:rPr>
      </w:pPr>
      <w:r w:rsidRPr="002C0A36">
        <w:rPr>
          <w:b w:val="0"/>
          <w:szCs w:val="22"/>
          <w:lang w:val="hy-AM"/>
        </w:rPr>
        <w:t xml:space="preserve"> </w:t>
      </w:r>
      <w:r w:rsidRPr="002C0A36">
        <w:rPr>
          <w:color w:val="000000"/>
          <w:szCs w:val="22"/>
          <w:lang w:val="hy-AM"/>
        </w:rPr>
        <w:t>«Հարավկովկասյան երկաթուղի» ՓԲԸ</w:t>
      </w:r>
    </w:p>
    <w:p w:rsidR="002C0A36" w:rsidRPr="002C0A36" w:rsidRDefault="002C0A36" w:rsidP="007730AA">
      <w:pPr>
        <w:shd w:val="clear" w:color="auto" w:fill="FFFFFF"/>
        <w:spacing w:before="0" w:line="276" w:lineRule="auto"/>
        <w:ind w:firstLine="426"/>
        <w:contextualSpacing w:val="0"/>
        <w:rPr>
          <w:b w:val="0"/>
          <w:color w:val="000000"/>
          <w:szCs w:val="22"/>
          <w:lang w:val="hy-AM"/>
        </w:rPr>
      </w:pPr>
      <w:r w:rsidRPr="002C0A36">
        <w:rPr>
          <w:b w:val="0"/>
          <w:color w:val="000000"/>
          <w:szCs w:val="22"/>
          <w:lang w:val="hy-AM"/>
        </w:rPr>
        <w:t>ՀՀ կառավարության 07.02.2008թ. N83-Ա որոշման հիման վրա Հայաստանի Հանրապետության, «Հարավկովկասյան երկաթուղի» ՓԲԸ-ի և «Ռուսական երկաթուղիներ» ԲԲԸ-ի միջև 13.02.2008թ. կնքվել է «Հայկական երկաթուղու համակարգը «Ռուսական երկաթուղիներ» ԲԲԸ կողմից ստեղծված «Հարավկովկասյան երկաթուղի» ՓԲԸ փոխանցելու մասին» կոնցեսիոն պայմանագիրը:</w:t>
      </w:r>
    </w:p>
    <w:p w:rsidR="002C0A36" w:rsidRPr="002C0A36" w:rsidRDefault="002C0A36" w:rsidP="007730AA">
      <w:pPr>
        <w:shd w:val="clear" w:color="auto" w:fill="FFFFFF"/>
        <w:spacing w:before="0" w:line="276" w:lineRule="auto"/>
        <w:ind w:firstLine="426"/>
        <w:contextualSpacing w:val="0"/>
        <w:rPr>
          <w:b w:val="0"/>
          <w:color w:val="000000"/>
          <w:szCs w:val="22"/>
          <w:lang w:val="hy-AM"/>
        </w:rPr>
      </w:pPr>
      <w:r w:rsidRPr="002C0A36">
        <w:rPr>
          <w:b w:val="0"/>
          <w:color w:val="000000"/>
          <w:szCs w:val="22"/>
          <w:lang w:val="hy-AM"/>
        </w:rPr>
        <w:t>Կոնցեսիոն պայմանագիրը ներառում է վնասի սուբսիդավորում ուղևորափոխադրման ոչ շահութաբեր երթուղիների համար, ինչն էլ նյութականացել է յուրաքանչյուր տարի: Սակայն վճարման ենթակա գումարների առավելագույն չափը սահմանափակվում է տարեկան կոնցեսիոն վճարի չափով: Ըստ առկա պատմական տեղեկատվության, կոնցեսիոն պայմանագրի մեկնարկից ի վեր ոչ մի այլ պայմանական պարտավորության նյութականացում տեղի չի ունեցել:</w:t>
      </w:r>
    </w:p>
    <w:p w:rsidR="002C0A36" w:rsidRPr="002C0A36" w:rsidRDefault="002C0A36" w:rsidP="007730AA">
      <w:pPr>
        <w:shd w:val="clear" w:color="auto" w:fill="FFFFFF"/>
        <w:spacing w:before="0" w:line="276" w:lineRule="auto"/>
        <w:ind w:firstLine="426"/>
        <w:contextualSpacing w:val="0"/>
        <w:rPr>
          <w:b w:val="0"/>
          <w:color w:val="000000"/>
          <w:szCs w:val="22"/>
          <w:lang w:val="hy-AM"/>
        </w:rPr>
      </w:pPr>
      <w:r w:rsidRPr="002C0A36">
        <w:rPr>
          <w:b w:val="0"/>
          <w:color w:val="000000"/>
          <w:szCs w:val="22"/>
          <w:lang w:val="hy-AM"/>
        </w:rPr>
        <w:t>Կոնցեսիոն պայմանագիրը նախատեսում է նաև փոխհատուցումներ մի շարք դեպքերում, որոնց նյութականացման ռիսկի հավանականությունն ավելանում է պայմանավորված համավարակի հետ կապված ճգնաժամով։ Այդպիսի դեպքերից են՝</w:t>
      </w:r>
    </w:p>
    <w:p w:rsidR="002C0A36" w:rsidRPr="002C0A36" w:rsidRDefault="002C0A36" w:rsidP="007730AA">
      <w:pPr>
        <w:spacing w:before="0" w:line="276" w:lineRule="auto"/>
        <w:ind w:firstLine="426"/>
        <w:contextualSpacing w:val="0"/>
        <w:rPr>
          <w:b w:val="0"/>
          <w:color w:val="000000"/>
          <w:szCs w:val="22"/>
          <w:lang w:val="hy-AM"/>
        </w:rPr>
      </w:pPr>
      <w:r w:rsidRPr="002C0A36">
        <w:rPr>
          <w:b w:val="0"/>
          <w:color w:val="000000"/>
          <w:szCs w:val="22"/>
          <w:lang w:val="hy-AM"/>
        </w:rPr>
        <w:t>Օրենսդրության անբարենպաստ փոփոխություն,</w:t>
      </w:r>
    </w:p>
    <w:p w:rsidR="002C0A36" w:rsidRPr="002C0A36" w:rsidRDefault="002C0A36" w:rsidP="007730AA">
      <w:pPr>
        <w:spacing w:before="0" w:line="276" w:lineRule="auto"/>
        <w:ind w:firstLine="426"/>
        <w:contextualSpacing w:val="0"/>
        <w:rPr>
          <w:b w:val="0"/>
          <w:color w:val="000000"/>
          <w:szCs w:val="22"/>
          <w:lang w:val="hy-AM"/>
        </w:rPr>
      </w:pPr>
      <w:r w:rsidRPr="002C0A36">
        <w:rPr>
          <w:b w:val="0"/>
          <w:color w:val="000000"/>
          <w:szCs w:val="22"/>
          <w:lang w:val="hy-AM"/>
        </w:rPr>
        <w:t>Անհաղթահարելի ուժի ազդեցության մեղմման ծախսեր,</w:t>
      </w:r>
    </w:p>
    <w:p w:rsidR="002C0A36" w:rsidRPr="002C0A36" w:rsidRDefault="002C0A36" w:rsidP="007730AA">
      <w:pPr>
        <w:spacing w:before="0" w:line="276" w:lineRule="auto"/>
        <w:ind w:firstLine="426"/>
        <w:contextualSpacing w:val="0"/>
        <w:rPr>
          <w:b w:val="0"/>
          <w:color w:val="000000"/>
          <w:szCs w:val="22"/>
          <w:lang w:val="hy-AM"/>
        </w:rPr>
      </w:pPr>
      <w:r w:rsidRPr="002C0A36">
        <w:rPr>
          <w:b w:val="0"/>
          <w:color w:val="000000"/>
          <w:szCs w:val="22"/>
          <w:lang w:val="hy-AM"/>
        </w:rPr>
        <w:t>Անհաղթահարելի ուժի հետևանքով պայմանագրի վաղաժամ դադարեցման հետ կապված վճարումներ,</w:t>
      </w:r>
    </w:p>
    <w:p w:rsidR="002C0A36" w:rsidRPr="002C0A36" w:rsidRDefault="002C0A36" w:rsidP="007730AA">
      <w:pPr>
        <w:spacing w:before="0" w:line="276" w:lineRule="auto"/>
        <w:ind w:firstLine="426"/>
        <w:contextualSpacing w:val="0"/>
        <w:rPr>
          <w:b w:val="0"/>
          <w:color w:val="000000"/>
          <w:szCs w:val="22"/>
          <w:lang w:val="hy-AM"/>
        </w:rPr>
      </w:pPr>
      <w:r w:rsidRPr="002C0A36">
        <w:rPr>
          <w:b w:val="0"/>
          <w:color w:val="000000"/>
          <w:szCs w:val="22"/>
          <w:lang w:val="hy-AM"/>
        </w:rPr>
        <w:t xml:space="preserve">Կոնցեդենտի դեֆոլտի հիմքով պայմանագրի վաղաժամ դադարեցման վճարներ, </w:t>
      </w:r>
    </w:p>
    <w:p w:rsidR="002C0A36" w:rsidRPr="002C0A36" w:rsidRDefault="002C0A36" w:rsidP="007730AA">
      <w:pPr>
        <w:spacing w:before="0" w:line="276" w:lineRule="auto"/>
        <w:ind w:firstLine="426"/>
        <w:contextualSpacing w:val="0"/>
        <w:rPr>
          <w:b w:val="0"/>
          <w:color w:val="000000"/>
          <w:szCs w:val="22"/>
          <w:lang w:val="hy-AM"/>
        </w:rPr>
      </w:pPr>
      <w:r w:rsidRPr="002C0A36">
        <w:rPr>
          <w:b w:val="0"/>
          <w:color w:val="000000"/>
          <w:szCs w:val="22"/>
          <w:lang w:val="hy-AM"/>
        </w:rPr>
        <w:t>Փոխադարձ համաձայնությամբ պայմանագրի վաղաժամ դադարեցման վճարներ:</w:t>
      </w:r>
    </w:p>
    <w:p w:rsidR="002C0A36" w:rsidRPr="002C0A36" w:rsidRDefault="002C0A36" w:rsidP="007730AA">
      <w:pPr>
        <w:spacing w:before="0" w:line="276" w:lineRule="auto"/>
        <w:ind w:firstLine="426"/>
        <w:contextualSpacing w:val="0"/>
        <w:rPr>
          <w:b w:val="0"/>
          <w:color w:val="000000"/>
          <w:szCs w:val="22"/>
          <w:lang w:val="hy-AM"/>
        </w:rPr>
      </w:pPr>
      <w:r w:rsidRPr="002C0A36">
        <w:rPr>
          <w:b w:val="0"/>
          <w:color w:val="000000"/>
          <w:szCs w:val="22"/>
          <w:lang w:val="hy-AM"/>
        </w:rPr>
        <w:t>Կոնցեսիոն պայմանագրի վաղաժամ դադարեցման վճարների մասով չափելի պայմանական պարտավորությունների առավելագույն ազդեցությունը վատագույն սցենարի դեպքում գնահատվում է 96.9 մլրդ ՀՀ դրամ</w:t>
      </w:r>
      <w:r w:rsidRPr="002C0A36">
        <w:rPr>
          <w:b w:val="0"/>
          <w:szCs w:val="22"/>
          <w:vertAlign w:val="superscript"/>
        </w:rPr>
        <w:footnoteReference w:id="40"/>
      </w:r>
      <w:r w:rsidRPr="002C0A36">
        <w:rPr>
          <w:b w:val="0"/>
          <w:color w:val="000000"/>
          <w:szCs w:val="22"/>
          <w:lang w:val="hy-AM"/>
        </w:rPr>
        <w:t xml:space="preserve">։ </w:t>
      </w:r>
      <w:r w:rsidRPr="002C0A36">
        <w:rPr>
          <w:rFonts w:cs="GHEA Grapalat"/>
          <w:b w:val="0"/>
          <w:color w:val="000000"/>
          <w:szCs w:val="22"/>
          <w:lang w:val="hy-AM"/>
        </w:rPr>
        <w:t>Վաղաժամ դադարեցումը</w:t>
      </w:r>
      <w:r w:rsidRPr="002C0A36">
        <w:rPr>
          <w:b w:val="0"/>
          <w:color w:val="000000"/>
          <w:szCs w:val="22"/>
          <w:lang w:val="hy-AM"/>
        </w:rPr>
        <w:t xml:space="preserve"> </w:t>
      </w:r>
      <w:r w:rsidRPr="002C0A36">
        <w:rPr>
          <w:rFonts w:cs="GHEA Grapalat"/>
          <w:b w:val="0"/>
          <w:color w:val="000000"/>
          <w:szCs w:val="22"/>
          <w:lang w:val="hy-AM"/>
        </w:rPr>
        <w:t>ենթադրում է</w:t>
      </w:r>
      <w:r w:rsidRPr="002C0A36">
        <w:rPr>
          <w:b w:val="0"/>
          <w:color w:val="000000"/>
          <w:szCs w:val="22"/>
          <w:lang w:val="hy-AM"/>
        </w:rPr>
        <w:t xml:space="preserve"> նաև շարժակազմի ձեռք բերման և այլընտրանքային գործընկերոջ ընտրության գործընթացի ծախսեր:</w:t>
      </w:r>
    </w:p>
    <w:p w:rsidR="002C0A36" w:rsidRPr="002C0A36" w:rsidRDefault="002C0A36" w:rsidP="007730AA">
      <w:pPr>
        <w:shd w:val="clear" w:color="auto" w:fill="FFFFFF"/>
        <w:spacing w:before="0" w:line="276" w:lineRule="auto"/>
        <w:ind w:firstLine="426"/>
        <w:contextualSpacing w:val="0"/>
        <w:rPr>
          <w:b w:val="0"/>
          <w:color w:val="000000"/>
          <w:szCs w:val="22"/>
          <w:lang w:val="hy-AM"/>
        </w:rPr>
      </w:pPr>
      <w:r w:rsidRPr="002C0A36">
        <w:rPr>
          <w:b w:val="0"/>
          <w:color w:val="000000"/>
          <w:szCs w:val="22"/>
          <w:lang w:val="hy-AM"/>
        </w:rPr>
        <w:t>Կոնցեսիոն պայմանագրի ֆիսկալ ռիսկայնության կարգավիճակը մինչև համավարակը գնահատվում էր միջին, իսկ համավարակի հետ կապված ճգնաժամով պայմանավորված՝ բարձր (</w:t>
      </w:r>
      <w:r w:rsidRPr="002C0A36">
        <w:rPr>
          <w:rFonts w:cs="Times Armenian"/>
          <w:b w:val="0"/>
          <w:bCs/>
          <w:szCs w:val="22"/>
          <w:lang w:val="hy-AM"/>
        </w:rPr>
        <w:t>արտակարգ դրության և կիրառվող սահմանափակումների առկայության ազդեցություն)</w:t>
      </w:r>
      <w:r w:rsidRPr="002C0A36">
        <w:rPr>
          <w:color w:val="000000"/>
          <w:szCs w:val="22"/>
          <w:lang w:val="hy-AM"/>
        </w:rPr>
        <w:t>:</w:t>
      </w:r>
    </w:p>
    <w:p w:rsidR="002C0A36" w:rsidRPr="002C0A36" w:rsidRDefault="002C0A36" w:rsidP="007730AA">
      <w:pPr>
        <w:shd w:val="clear" w:color="auto" w:fill="FFFFFF"/>
        <w:spacing w:before="0" w:line="276" w:lineRule="auto"/>
        <w:ind w:firstLine="426"/>
        <w:contextualSpacing w:val="0"/>
        <w:jc w:val="left"/>
        <w:rPr>
          <w:rFonts w:ascii="Calibri" w:hAnsi="Calibri"/>
          <w:color w:val="000000"/>
          <w:szCs w:val="22"/>
          <w:lang w:val="hy-AM"/>
        </w:rPr>
      </w:pPr>
    </w:p>
    <w:p w:rsidR="002C0A36" w:rsidRPr="002C0A36" w:rsidRDefault="002C0A36" w:rsidP="007730AA">
      <w:pPr>
        <w:shd w:val="clear" w:color="auto" w:fill="FFFFFF"/>
        <w:spacing w:before="0" w:line="276" w:lineRule="auto"/>
        <w:ind w:firstLine="426"/>
        <w:contextualSpacing w:val="0"/>
        <w:rPr>
          <w:color w:val="000000"/>
          <w:szCs w:val="22"/>
          <w:lang w:val="hy-AM"/>
        </w:rPr>
      </w:pPr>
      <w:r w:rsidRPr="002C0A36">
        <w:rPr>
          <w:rFonts w:ascii="Calibri" w:hAnsi="Calibri"/>
          <w:color w:val="000000"/>
          <w:szCs w:val="22"/>
          <w:lang w:val="hy-AM"/>
        </w:rPr>
        <w:t xml:space="preserve"> </w:t>
      </w:r>
      <w:r w:rsidRPr="002C0A36">
        <w:rPr>
          <w:color w:val="000000"/>
          <w:szCs w:val="22"/>
          <w:lang w:val="hy-AM"/>
        </w:rPr>
        <w:t>«Վեոլիա Ջուր» ՓԲԸ</w:t>
      </w:r>
    </w:p>
    <w:p w:rsidR="002C0A36" w:rsidRPr="002C0A36" w:rsidRDefault="002C0A36" w:rsidP="007730AA">
      <w:pPr>
        <w:shd w:val="clear" w:color="auto" w:fill="FFFFFF"/>
        <w:spacing w:before="0" w:line="276" w:lineRule="auto"/>
        <w:ind w:firstLine="426"/>
        <w:contextualSpacing w:val="0"/>
        <w:rPr>
          <w:b w:val="0"/>
          <w:color w:val="000000"/>
          <w:szCs w:val="22"/>
          <w:lang w:val="hy-AM"/>
        </w:rPr>
      </w:pPr>
      <w:r w:rsidRPr="002C0A36">
        <w:rPr>
          <w:b w:val="0"/>
          <w:color w:val="000000"/>
          <w:szCs w:val="22"/>
          <w:lang w:val="hy-AM"/>
        </w:rPr>
        <w:t>21.11.2016թ. ՀՀ կառավարության և «Վեոլիա Օ Կոմպանի Ժեներալ Դեզ Օ» կոմանդիտային բաժնետիրական ընկերության և «Վեոլիա Ջուր» ՓԲԸ-ի (այսուհետ` Ընկերություն) միջև կնքվել է «Երևան Ջուր», «Հայջրմուղկոյուղի», «Լոռի-ջրմուղկոյուղի», «Շիրակ-ջրմուղկոյուղի» և «Նոր Ակունք» փակ բաժնետիրական ընկերությունների կողմից օգտագործվող ու պահպանվող ջրային համակարգերի և այլ գույքի վարձակալության պայմանագիր` 15 տարի ժամկետով (Վարձակալական պայմանգիր):</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Վարձակալական պայմանագրի գծով ՀՀ կառավարությունը ստանձնել է մի շարք նշանակալի պայմանական պարտավորություններ, այդ թվում ՝</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xml:space="preserve"> Եթե Վարձակալը պարտադիր բնույթի կապիտալ աշխատանքներից բացի իրականացրել է այլ աշխատանքներ, ապա համապատասխան գումարը ենթակա է փոխհատուցման Վարձատուի կողմից (ով նաև հանդիսանում է կոնցեսիոն ակտիվների վարձատու):</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xml:space="preserve"> Առկա է բազային սակագնի երաշխիք, որն արդեն երկու անգամ կիրառվել է՝ ներառյալ ՀՀ կառավարության կողմից վարձակալական վճարի կրճատմամբ` միտված խուսափելու սպառողների համար առաջիկայում սակագների բարձրացումից:</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xml:space="preserve"> </w:t>
      </w:r>
      <w:r w:rsidRPr="002C0A36">
        <w:rPr>
          <w:b w:val="0"/>
          <w:szCs w:val="22"/>
          <w:lang w:val="hy-AM"/>
        </w:rPr>
        <w:tab/>
        <w:t xml:space="preserve">Վարձակալական պայմանագիրը լի է վերաբանակցությունների և վաղաժամկետ դադարեցման իրադարձություններով։ Առաջիկայում Վարձակալական պայմանագրի վաղաժամկետ դադարեցման ռիսկը ցածր է։ </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xml:space="preserve">Covid 19 ճգնաժամի պայմաններում ՀՀ կառավարությունը փոխհատուցել է ընկերությանը՝ փոքր սպառողների հաշիվների համար. մասնավորապես այդ նպատակով մարտ ամսին ՀՀ կառավարության կողմից հաստատվեց մոտ 300 մլն դրամ սուբսիդիա։ Միևնույն ժամանակ, ընկերությունն ունեցել է և՛ ընկերությունների կողմից ծառայության սպառման ծավալների կրճատում, և՛ վճարումների ուշացում։ Քանի դեռ տնտեսական իրավիճակը էապես չի բարելավվել, այդ միտումները կարող են շարունակվել։ Տնտեսական վերականգնման բարձր անորոշության պայմաններում մեծանում են պայմանագրի պայմանական պարտավորությունների նյութականացման հնարավորությունները: Այդ պատճառով Վարձակալական պայմանագրի հարկաբյուջետային ռիսկի կարգավիճակը ներկայում նշանակալի է։ </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xml:space="preserve">Վարձակալական պայմանագրի վաղաժամ դադարեցման վճարների մասով չափելի պայմանական պարտավորությունների առավելագույն ազդեցությունը վատագույն սցենարի դեպքում գնահատվում է </w:t>
      </w:r>
      <w:r w:rsidR="004A1484">
        <w:rPr>
          <w:b w:val="0"/>
          <w:szCs w:val="22"/>
          <w:lang w:val="hy-AM"/>
        </w:rPr>
        <w:t>73</w:t>
      </w:r>
      <w:r w:rsidRPr="002C0A36">
        <w:rPr>
          <w:b w:val="0"/>
          <w:szCs w:val="22"/>
          <w:lang w:val="hy-AM"/>
        </w:rPr>
        <w:t>.</w:t>
      </w:r>
      <w:r w:rsidR="004A1484">
        <w:rPr>
          <w:b w:val="0"/>
          <w:szCs w:val="22"/>
          <w:lang w:val="hy-AM"/>
        </w:rPr>
        <w:t>6</w:t>
      </w:r>
      <w:r w:rsidRPr="002C0A36">
        <w:rPr>
          <w:b w:val="0"/>
          <w:szCs w:val="22"/>
          <w:lang w:val="hy-AM"/>
        </w:rPr>
        <w:t xml:space="preserve"> մլրդ ՀՀ դրամ։</w:t>
      </w:r>
    </w:p>
    <w:p w:rsidR="002C0A36" w:rsidRPr="002C0A36" w:rsidRDefault="002C0A36" w:rsidP="007730AA">
      <w:pPr>
        <w:spacing w:before="0" w:line="276" w:lineRule="auto"/>
        <w:ind w:firstLine="426"/>
        <w:contextualSpacing w:val="0"/>
        <w:jc w:val="left"/>
        <w:rPr>
          <w:rFonts w:ascii="Calibri" w:hAnsi="Calibri"/>
          <w:b w:val="0"/>
          <w:szCs w:val="22"/>
          <w:lang w:val="hy-AM"/>
        </w:rPr>
      </w:pPr>
      <w:r w:rsidRPr="002C0A36">
        <w:rPr>
          <w:rFonts w:ascii="Calibri" w:hAnsi="Calibri"/>
          <w:b w:val="0"/>
          <w:szCs w:val="22"/>
          <w:lang w:val="hy-AM"/>
        </w:rPr>
        <w:t xml:space="preserve">  </w:t>
      </w:r>
    </w:p>
    <w:p w:rsidR="002C0A36" w:rsidRPr="00396D6B" w:rsidRDefault="002C0A36" w:rsidP="007730AA">
      <w:pPr>
        <w:spacing w:before="0" w:line="276" w:lineRule="auto"/>
        <w:ind w:firstLine="426"/>
        <w:contextualSpacing w:val="0"/>
        <w:rPr>
          <w:color w:val="000000"/>
          <w:szCs w:val="22"/>
          <w:lang w:val="hy-AM"/>
        </w:rPr>
      </w:pPr>
      <w:r w:rsidRPr="00396D6B">
        <w:rPr>
          <w:bCs/>
          <w:szCs w:val="22"/>
          <w:lang w:val="hy-AM"/>
        </w:rPr>
        <w:t>«Արմենիա միջազգային օդանավակայաններ</w:t>
      </w:r>
      <w:r w:rsidRPr="00396D6B">
        <w:rPr>
          <w:color w:val="000000"/>
          <w:szCs w:val="22"/>
          <w:lang w:val="hy-AM"/>
        </w:rPr>
        <w:t>» ՓԲԸ</w:t>
      </w:r>
    </w:p>
    <w:p w:rsidR="002C0A36" w:rsidRPr="002C0A36" w:rsidRDefault="002C0A36" w:rsidP="007730AA">
      <w:pPr>
        <w:spacing w:before="0" w:line="276" w:lineRule="auto"/>
        <w:ind w:firstLine="426"/>
        <w:contextualSpacing w:val="0"/>
        <w:rPr>
          <w:bCs/>
          <w:szCs w:val="22"/>
          <w:lang w:val="hy-AM"/>
        </w:rPr>
      </w:pP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Կոնցեսիոն պայմանագիրը գործում է 2002թ-ից Երևանի «Զվարթնոց» օդանավակայանի համար, իսկ 2007թ-ից ի վեր ներառում է նաև Գյումրու «Շիրակ» օդանավակայանը: Մայր ընկերությունը աշխարհի օդանավակայանների խոշորագույն օպերատորներից է՝ «Կորպորասիոն Ամերիկա Ս.Ա.»  ընկերությունը, որը ցուցակված է Նյու Յորքի ֆոնդային բորսայում:</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Խումբը մինչև 2019 թվականը շահութաբերության բարձր ցուցանիշներ ուներ, իսկ ՀՀ-ի դուստր ձեռնարկությունը եղել է ամենաարդյունավետներից մեկը:</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xml:space="preserve">Պայմանագիրը Կոնցեսիոներին հնարավորություն է տալիս միակողմանիորեն երկարացնել կոնցեսիայի տևողությունը: </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xml:space="preserve">Հաշվի առնելով ընկերության բարձր շահութաբերությունը՝ պայմանագրի վաղաժամ դադարեցման պայմանական պարտավորությունը և ընկերության բիզնես ռիսկը գնահատվել են ցածր։ </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Սակայն իրավիճակը փոխվել է համավարակով պայմանավորված, քանի որ աշխարհում օդանավակայանների ոլորտը ճգնաժամից առավել տուժածներից մեկն է:</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Միաժամանակ, խմբի գրեթե բոլոր ընկերությունները գտնվում էին ֆինանսական դժվարությունների մեջ և բանակցում էին վարկատուների հետ վարկերի վերակառուցման շուրջ, ինչպես նաև բանակցություններ վարում կառավարությունների կողմից կոնցեսիոն վճարների ժամանակավոր դադարեցման և որոշ դեպքերում լրացուցիչ աջակցության տրամադրման շուրջ:</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Իրավիճակն համեմատաբար վերահսկելի է հայկական ընկերության համար, սակայն անորոշության բարձր մակարդակով:</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 xml:space="preserve"> </w:t>
      </w:r>
      <w:r w:rsidRPr="002C0A36">
        <w:rPr>
          <w:b w:val="0"/>
          <w:szCs w:val="22"/>
          <w:lang w:val="hy-AM"/>
        </w:rPr>
        <w:tab/>
        <w:t xml:space="preserve">«Արմենիա միջազգային օդանավակայաններ» ՓԲԸ-ն վարկի մասով ունեցել է տեխնիկական դեֆոլտ՝ կովենանտի խախտման պատճառով, սակայն, համաձայն ֆինանսական հաշվետվության, ընկերությունը բանկի հետ եկել է համաձայնության հետևաբար հետվճարման ժամանակացույցը մնում է անփոփոխ: Խնդիրը կայանում է նրանում, որ առաջիկա տարվա համար ընկերությունը չի ունենա դրամական միջոցների բավարար ներհոսք՝ տարվա իր մարումները կատարելու համար։ </w:t>
      </w:r>
    </w:p>
    <w:p w:rsidR="002C0A36" w:rsidRPr="002C0A36" w:rsidRDefault="002C0A36" w:rsidP="007730AA">
      <w:pPr>
        <w:spacing w:before="0" w:line="276" w:lineRule="auto"/>
        <w:ind w:firstLine="426"/>
        <w:contextualSpacing w:val="0"/>
        <w:rPr>
          <w:b w:val="0"/>
          <w:szCs w:val="22"/>
          <w:lang w:val="hy-AM"/>
        </w:rPr>
      </w:pPr>
      <w:r w:rsidRPr="002C0A36">
        <w:rPr>
          <w:b w:val="0"/>
          <w:szCs w:val="22"/>
          <w:lang w:val="hy-AM"/>
        </w:rPr>
        <w:t>Պետք է նշել, որ վարկատուների օգտին են գրավադրված ընկերության բաժնետոմսերը և ակտիվները: Վարկի մնացորդը 2020 թվականի սկզբին գնահատվում է 36 մլրդ ՀՀ դրամ, որի մի մասը կարող է դառնալ ՀՀ կառավարության պարտավորություն (հաշվի առնելով դրամական միջոցների մնացորդի վերաբերյալ առկա տեղեկությունները)` Կոնցենդենտի կամ մայր ընկերության ֆինանսական դժվարությունների առկայության դեպքում։ ՀՀ կառավարության համար առավելագույն պարտավորությունը գնահատվում է 12 մլրդ ՀՀ դրամ: Հետևաբար, վերոնշյալ ՊՄԳ պայմանագրի ֆիսկալ ռիսկայնության կարգավիճակը նշանակալի է:</w:t>
      </w:r>
      <w:r w:rsidRPr="002C0A36">
        <w:rPr>
          <w:rFonts w:ascii="Calibri" w:hAnsi="Calibri"/>
          <w:b w:val="0"/>
          <w:szCs w:val="22"/>
          <w:lang w:val="hy-AM"/>
        </w:rPr>
        <w:t xml:space="preserve"> </w:t>
      </w:r>
    </w:p>
    <w:p w:rsidR="002C0A36" w:rsidRPr="002C0A36" w:rsidRDefault="002C0A36" w:rsidP="007730AA">
      <w:pPr>
        <w:spacing w:before="0" w:line="276" w:lineRule="auto"/>
        <w:ind w:firstLine="426"/>
        <w:jc w:val="left"/>
        <w:rPr>
          <w:szCs w:val="22"/>
          <w:lang w:val="hy-AM" w:eastAsia="en-US"/>
        </w:rPr>
      </w:pPr>
    </w:p>
    <w:p w:rsidR="00F9035D" w:rsidRDefault="00F9035D" w:rsidP="007730AA">
      <w:pPr>
        <w:spacing w:before="0" w:line="276" w:lineRule="auto"/>
        <w:ind w:firstLine="426"/>
        <w:jc w:val="left"/>
        <w:rPr>
          <w:szCs w:val="22"/>
          <w:lang w:val="hy-AM" w:eastAsia="en-US"/>
        </w:rPr>
      </w:pPr>
    </w:p>
    <w:p w:rsidR="002C0A36" w:rsidRPr="002C0A36" w:rsidRDefault="002C0A36" w:rsidP="007730AA">
      <w:pPr>
        <w:spacing w:before="0" w:line="276" w:lineRule="auto"/>
        <w:ind w:firstLine="426"/>
        <w:jc w:val="left"/>
        <w:rPr>
          <w:szCs w:val="22"/>
          <w:lang w:val="hy-AM" w:eastAsia="en-US"/>
        </w:rPr>
      </w:pPr>
      <w:r w:rsidRPr="002C0A36">
        <w:rPr>
          <w:szCs w:val="22"/>
          <w:lang w:val="hy-AM" w:eastAsia="en-US"/>
        </w:rPr>
        <w:t>Բյուջետային վարկավորման ուսումնասիրություն</w:t>
      </w:r>
    </w:p>
    <w:p w:rsidR="002C0A36" w:rsidRPr="002C0A36" w:rsidRDefault="002C0A36" w:rsidP="007730AA">
      <w:pPr>
        <w:spacing w:before="0" w:line="276" w:lineRule="auto"/>
        <w:ind w:firstLine="426"/>
        <w:jc w:val="left"/>
        <w:rPr>
          <w:szCs w:val="22"/>
          <w:lang w:val="hy-AM" w:eastAsia="en-US"/>
        </w:rPr>
      </w:pPr>
    </w:p>
    <w:p w:rsidR="002C0A36" w:rsidRPr="002C0A36" w:rsidRDefault="002C0A36" w:rsidP="007730AA">
      <w:pPr>
        <w:spacing w:before="0" w:line="276" w:lineRule="auto"/>
        <w:ind w:firstLine="426"/>
        <w:contextualSpacing w:val="0"/>
        <w:rPr>
          <w:rFonts w:cs="Sylfaen"/>
          <w:b w:val="0"/>
          <w:szCs w:val="22"/>
          <w:lang w:val="hy-AM"/>
        </w:rPr>
      </w:pPr>
      <w:r w:rsidRPr="002C0A36">
        <w:rPr>
          <w:rFonts w:cs="Sylfaen"/>
          <w:b w:val="0"/>
          <w:szCs w:val="22"/>
          <w:lang w:val="hy-AM"/>
        </w:rPr>
        <w:t>ՀՀ</w:t>
      </w:r>
      <w:r w:rsidRPr="002C0A36">
        <w:rPr>
          <w:b w:val="0"/>
          <w:szCs w:val="22"/>
          <w:lang w:val="hy-AM"/>
        </w:rPr>
        <w:t xml:space="preserve"> </w:t>
      </w:r>
      <w:r w:rsidRPr="002C0A36">
        <w:rPr>
          <w:rFonts w:cs="Sylfaen"/>
          <w:b w:val="0"/>
          <w:szCs w:val="22"/>
          <w:lang w:val="hy-AM"/>
        </w:rPr>
        <w:t>պետական</w:t>
      </w:r>
      <w:r w:rsidRPr="002C0A36">
        <w:rPr>
          <w:b w:val="0"/>
          <w:szCs w:val="22"/>
          <w:lang w:val="hy-AM"/>
        </w:rPr>
        <w:t xml:space="preserve"> </w:t>
      </w:r>
      <w:r w:rsidRPr="002C0A36">
        <w:rPr>
          <w:rFonts w:cs="Sylfaen"/>
          <w:b w:val="0"/>
          <w:szCs w:val="22"/>
          <w:lang w:val="hy-AM"/>
        </w:rPr>
        <w:t>բյուջեից</w:t>
      </w:r>
      <w:r w:rsidRPr="002C0A36">
        <w:rPr>
          <w:b w:val="0"/>
          <w:szCs w:val="22"/>
          <w:lang w:val="hy-AM"/>
        </w:rPr>
        <w:t xml:space="preserve">, </w:t>
      </w:r>
      <w:r w:rsidRPr="002C0A36">
        <w:rPr>
          <w:rFonts w:cs="Sylfaen"/>
          <w:b w:val="0"/>
          <w:szCs w:val="22"/>
          <w:lang w:val="hy-AM"/>
        </w:rPr>
        <w:t>միջազգային</w:t>
      </w:r>
      <w:r w:rsidRPr="002C0A36">
        <w:rPr>
          <w:b w:val="0"/>
          <w:szCs w:val="22"/>
          <w:lang w:val="hy-AM"/>
        </w:rPr>
        <w:t xml:space="preserve"> </w:t>
      </w:r>
      <w:r w:rsidRPr="002C0A36">
        <w:rPr>
          <w:rFonts w:cs="Sylfaen"/>
          <w:b w:val="0"/>
          <w:szCs w:val="22"/>
          <w:lang w:val="hy-AM"/>
        </w:rPr>
        <w:t>կազմակերպություններից</w:t>
      </w:r>
      <w:r w:rsidRPr="002C0A36">
        <w:rPr>
          <w:b w:val="0"/>
          <w:szCs w:val="22"/>
          <w:lang w:val="hy-AM"/>
        </w:rPr>
        <w:t xml:space="preserve"> </w:t>
      </w:r>
      <w:r w:rsidRPr="002C0A36">
        <w:rPr>
          <w:rFonts w:cs="Sylfaen"/>
          <w:b w:val="0"/>
          <w:szCs w:val="22"/>
          <w:lang w:val="hy-AM"/>
        </w:rPr>
        <w:t>և</w:t>
      </w:r>
      <w:r w:rsidRPr="002C0A36">
        <w:rPr>
          <w:b w:val="0"/>
          <w:szCs w:val="22"/>
          <w:lang w:val="hy-AM"/>
        </w:rPr>
        <w:t xml:space="preserve"> </w:t>
      </w:r>
      <w:r w:rsidRPr="002C0A36">
        <w:rPr>
          <w:rFonts w:cs="Sylfaen"/>
          <w:b w:val="0"/>
          <w:szCs w:val="22"/>
          <w:lang w:val="hy-AM"/>
        </w:rPr>
        <w:t>օտարերկրյա</w:t>
      </w:r>
      <w:r w:rsidRPr="002C0A36">
        <w:rPr>
          <w:b w:val="0"/>
          <w:szCs w:val="22"/>
          <w:lang w:val="hy-AM"/>
        </w:rPr>
        <w:t xml:space="preserve"> </w:t>
      </w:r>
      <w:r w:rsidRPr="002C0A36">
        <w:rPr>
          <w:rFonts w:cs="Sylfaen"/>
          <w:b w:val="0"/>
          <w:szCs w:val="22"/>
          <w:lang w:val="hy-AM"/>
        </w:rPr>
        <w:t>պետություններից</w:t>
      </w:r>
      <w:r w:rsidRPr="002C0A36">
        <w:rPr>
          <w:b w:val="0"/>
          <w:szCs w:val="22"/>
          <w:lang w:val="hy-AM"/>
        </w:rPr>
        <w:t xml:space="preserve"> </w:t>
      </w:r>
      <w:r w:rsidRPr="002C0A36">
        <w:rPr>
          <w:rFonts w:cs="Sylfaen"/>
          <w:b w:val="0"/>
          <w:szCs w:val="22"/>
          <w:lang w:val="hy-AM"/>
        </w:rPr>
        <w:t>ներգրաված</w:t>
      </w:r>
      <w:r w:rsidRPr="002C0A36">
        <w:rPr>
          <w:b w:val="0"/>
          <w:szCs w:val="22"/>
          <w:lang w:val="hy-AM"/>
        </w:rPr>
        <w:t xml:space="preserve"> </w:t>
      </w:r>
      <w:r w:rsidRPr="002C0A36">
        <w:rPr>
          <w:rFonts w:cs="Sylfaen"/>
          <w:b w:val="0"/>
          <w:szCs w:val="22"/>
          <w:lang w:val="hy-AM"/>
        </w:rPr>
        <w:t>վարկային</w:t>
      </w:r>
      <w:r w:rsidRPr="002C0A36">
        <w:rPr>
          <w:b w:val="0"/>
          <w:szCs w:val="22"/>
          <w:lang w:val="hy-AM"/>
        </w:rPr>
        <w:t xml:space="preserve"> </w:t>
      </w:r>
      <w:r w:rsidRPr="002C0A36">
        <w:rPr>
          <w:rFonts w:cs="Sylfaen"/>
          <w:b w:val="0"/>
          <w:szCs w:val="22"/>
          <w:lang w:val="hy-AM"/>
        </w:rPr>
        <w:t>միջոցների</w:t>
      </w:r>
      <w:r w:rsidRPr="002C0A36">
        <w:rPr>
          <w:b w:val="0"/>
          <w:szCs w:val="22"/>
          <w:lang w:val="hy-AM"/>
        </w:rPr>
        <w:t xml:space="preserve"> </w:t>
      </w:r>
      <w:r w:rsidRPr="002C0A36">
        <w:rPr>
          <w:rFonts w:cs="Sylfaen"/>
          <w:b w:val="0"/>
          <w:szCs w:val="22"/>
          <w:lang w:val="hy-AM"/>
        </w:rPr>
        <w:t>հաշվին</w:t>
      </w:r>
      <w:r w:rsidRPr="002C0A36">
        <w:rPr>
          <w:b w:val="0"/>
          <w:szCs w:val="22"/>
          <w:lang w:val="hy-AM"/>
        </w:rPr>
        <w:t xml:space="preserve"> 31.08.2020</w:t>
      </w:r>
      <w:r w:rsidRPr="002C0A36">
        <w:rPr>
          <w:rFonts w:cs="Sylfaen"/>
          <w:b w:val="0"/>
          <w:szCs w:val="22"/>
          <w:lang w:val="hy-AM"/>
        </w:rPr>
        <w:t>թ</w:t>
      </w:r>
      <w:r w:rsidRPr="002C0A36">
        <w:rPr>
          <w:b w:val="0"/>
          <w:szCs w:val="22"/>
          <w:lang w:val="hy-AM"/>
        </w:rPr>
        <w:t xml:space="preserve">. </w:t>
      </w:r>
      <w:r w:rsidRPr="002C0A36">
        <w:rPr>
          <w:rFonts w:cs="Sylfaen"/>
          <w:b w:val="0"/>
          <w:szCs w:val="22"/>
          <w:lang w:val="hy-AM"/>
        </w:rPr>
        <w:t>դրությամբ տրամադրված բյուջետային</w:t>
      </w:r>
      <w:r w:rsidRPr="002C0A36">
        <w:rPr>
          <w:b w:val="0"/>
          <w:szCs w:val="22"/>
          <w:lang w:val="hy-AM"/>
        </w:rPr>
        <w:t xml:space="preserve"> </w:t>
      </w:r>
      <w:r w:rsidRPr="002C0A36">
        <w:rPr>
          <w:rFonts w:cs="Sylfaen"/>
          <w:b w:val="0"/>
          <w:szCs w:val="22"/>
          <w:lang w:val="hy-AM"/>
        </w:rPr>
        <w:t>վարկերի</w:t>
      </w:r>
      <w:r w:rsidRPr="002C0A36">
        <w:rPr>
          <w:b w:val="0"/>
          <w:szCs w:val="22"/>
          <w:lang w:val="hy-AM"/>
        </w:rPr>
        <w:t xml:space="preserve"> </w:t>
      </w:r>
      <w:r w:rsidRPr="002C0A36">
        <w:rPr>
          <w:rFonts w:cs="Sylfaen"/>
          <w:b w:val="0"/>
          <w:szCs w:val="22"/>
          <w:lang w:val="hy-AM"/>
        </w:rPr>
        <w:t>և</w:t>
      </w:r>
      <w:r w:rsidRPr="002C0A36">
        <w:rPr>
          <w:b w:val="0"/>
          <w:szCs w:val="22"/>
          <w:lang w:val="hy-AM"/>
        </w:rPr>
        <w:t xml:space="preserve"> </w:t>
      </w:r>
      <w:r w:rsidRPr="002C0A36">
        <w:rPr>
          <w:rFonts w:cs="Sylfaen"/>
          <w:b w:val="0"/>
          <w:szCs w:val="22"/>
          <w:lang w:val="hy-AM"/>
        </w:rPr>
        <w:t>ենթավարկերի</w:t>
      </w:r>
      <w:r w:rsidRPr="002C0A36">
        <w:rPr>
          <w:b w:val="0"/>
          <w:szCs w:val="22"/>
          <w:lang w:val="hy-AM"/>
        </w:rPr>
        <w:t xml:space="preserve"> չմարված մասի ընդհանուր գումարը </w:t>
      </w:r>
      <w:r w:rsidRPr="002C0A36">
        <w:rPr>
          <w:rFonts w:cs="Sylfaen"/>
          <w:b w:val="0"/>
          <w:szCs w:val="22"/>
          <w:lang w:val="hy-AM"/>
        </w:rPr>
        <w:t xml:space="preserve">կազմել է 432.8 մլրդ դրամ, որն հիմնականում ուղղվել է ՀՀ ենթակառուցվածքային ոլորտին, գյուղատնտեսության և այլ ոլորտներին: Ընդհանուր առմամբ տրամադրվել է </w:t>
      </w:r>
      <w:r w:rsidRPr="002C0A36">
        <w:rPr>
          <w:rFonts w:cs="Sylfaen"/>
          <w:szCs w:val="22"/>
          <w:lang w:val="hy-AM"/>
        </w:rPr>
        <w:t>51</w:t>
      </w:r>
      <w:r w:rsidRPr="002C0A36">
        <w:rPr>
          <w:rFonts w:cs="Sylfaen"/>
          <w:b w:val="0"/>
          <w:szCs w:val="22"/>
          <w:lang w:val="hy-AM"/>
        </w:rPr>
        <w:t xml:space="preserve"> վարկառուների 85 միավոր վարկ: </w:t>
      </w:r>
    </w:p>
    <w:p w:rsidR="002C0A36" w:rsidRPr="002C0A36" w:rsidRDefault="002C0A36" w:rsidP="007730AA">
      <w:pPr>
        <w:widowControl w:val="0"/>
        <w:autoSpaceDE w:val="0"/>
        <w:autoSpaceDN w:val="0"/>
        <w:adjustRightInd w:val="0"/>
        <w:spacing w:before="0" w:line="276" w:lineRule="auto"/>
        <w:ind w:firstLine="426"/>
        <w:contextualSpacing w:val="0"/>
        <w:rPr>
          <w:rFonts w:cs="Sylfaen"/>
          <w:b w:val="0"/>
          <w:color w:val="000000"/>
          <w:sz w:val="20"/>
          <w:szCs w:val="20"/>
          <w:lang w:val="hy-AM"/>
        </w:rPr>
      </w:pPr>
      <w:r w:rsidRPr="002C0A36">
        <w:rPr>
          <w:rFonts w:cs="Sylfaen"/>
          <w:b w:val="0"/>
          <w:szCs w:val="22"/>
          <w:lang w:val="hy-AM"/>
        </w:rPr>
        <w:t xml:space="preserve">2020թ. օգոստոսի 31-ի դրությամբ ՀՀ կառավարության տրված վարկերի կառուցվածքում </w:t>
      </w:r>
      <w:r w:rsidRPr="002C0A36">
        <w:rPr>
          <w:rFonts w:cs="Sylfaen"/>
          <w:b w:val="0"/>
          <w:color w:val="000000"/>
          <w:szCs w:val="22"/>
          <w:lang w:val="hy-AM"/>
        </w:rPr>
        <w:t>միջազգային</w:t>
      </w:r>
      <w:r w:rsidRPr="002C0A36">
        <w:rPr>
          <w:rFonts w:cs="Times Armenian"/>
          <w:b w:val="0"/>
          <w:color w:val="000000"/>
          <w:szCs w:val="22"/>
          <w:lang w:val="hy-AM"/>
        </w:rPr>
        <w:t xml:space="preserve"> </w:t>
      </w:r>
      <w:r w:rsidRPr="002C0A36">
        <w:rPr>
          <w:rFonts w:cs="Sylfaen"/>
          <w:b w:val="0"/>
          <w:color w:val="000000"/>
          <w:szCs w:val="22"/>
          <w:lang w:val="hy-AM"/>
        </w:rPr>
        <w:t>կազմակերպությունների</w:t>
      </w:r>
      <w:r w:rsidRPr="002C0A36">
        <w:rPr>
          <w:rFonts w:cs="Times Armenian"/>
          <w:b w:val="0"/>
          <w:color w:val="000000"/>
          <w:szCs w:val="22"/>
          <w:lang w:val="hy-AM"/>
        </w:rPr>
        <w:t xml:space="preserve"> </w:t>
      </w:r>
      <w:r w:rsidRPr="002C0A36">
        <w:rPr>
          <w:rFonts w:cs="Sylfaen"/>
          <w:b w:val="0"/>
          <w:color w:val="000000"/>
          <w:szCs w:val="22"/>
          <w:lang w:val="hy-AM"/>
        </w:rPr>
        <w:t>և</w:t>
      </w:r>
      <w:r w:rsidRPr="002C0A36">
        <w:rPr>
          <w:rFonts w:cs="Times Armenian"/>
          <w:b w:val="0"/>
          <w:color w:val="000000"/>
          <w:szCs w:val="22"/>
          <w:lang w:val="hy-AM"/>
        </w:rPr>
        <w:t xml:space="preserve"> </w:t>
      </w:r>
      <w:r w:rsidRPr="002C0A36">
        <w:rPr>
          <w:rFonts w:cs="Sylfaen"/>
          <w:b w:val="0"/>
          <w:color w:val="000000"/>
          <w:szCs w:val="22"/>
          <w:lang w:val="hy-AM"/>
        </w:rPr>
        <w:t>օտարերկրյա</w:t>
      </w:r>
      <w:r w:rsidRPr="002C0A36">
        <w:rPr>
          <w:rFonts w:cs="Times Armenian"/>
          <w:b w:val="0"/>
          <w:color w:val="000000"/>
          <w:szCs w:val="22"/>
          <w:lang w:val="hy-AM"/>
        </w:rPr>
        <w:t xml:space="preserve"> </w:t>
      </w:r>
      <w:r w:rsidRPr="002C0A36">
        <w:rPr>
          <w:rFonts w:cs="Sylfaen"/>
          <w:b w:val="0"/>
          <w:color w:val="000000"/>
          <w:szCs w:val="22"/>
          <w:lang w:val="hy-AM"/>
        </w:rPr>
        <w:t>պետությունների աջակցությամբ իրակա</w:t>
      </w:r>
      <w:r w:rsidRPr="002C0A36">
        <w:rPr>
          <w:rFonts w:cs="Sylfaen"/>
          <w:b w:val="0"/>
          <w:color w:val="000000"/>
          <w:szCs w:val="22"/>
          <w:lang w:val="hy-AM"/>
        </w:rPr>
        <w:softHyphen/>
        <w:t>նաց</w:t>
      </w:r>
      <w:r w:rsidRPr="002C0A36">
        <w:rPr>
          <w:rFonts w:cs="Sylfaen"/>
          <w:b w:val="0"/>
          <w:color w:val="000000"/>
          <w:szCs w:val="22"/>
          <w:lang w:val="hy-AM"/>
        </w:rPr>
        <w:softHyphen/>
        <w:t>վող</w:t>
      </w:r>
      <w:r w:rsidRPr="002C0A36">
        <w:rPr>
          <w:rFonts w:cs="Sylfaen"/>
          <w:b w:val="0"/>
          <w:szCs w:val="22"/>
          <w:lang w:val="hy-AM"/>
        </w:rPr>
        <w:t xml:space="preserve"> նպատակային վարկային ծրագրերի շրջանակներում ենթավարկային պայմանագրերով կազմակերպություններին տրամադրված բյուջետային վարկերի </w:t>
      </w:r>
      <w:r w:rsidRPr="002C0A36">
        <w:rPr>
          <w:rFonts w:cs="Sylfaen"/>
          <w:b w:val="0"/>
          <w:color w:val="000000"/>
          <w:szCs w:val="22"/>
          <w:lang w:val="hy-AM"/>
        </w:rPr>
        <w:t>չմարված</w:t>
      </w:r>
      <w:r w:rsidRPr="002C0A36">
        <w:rPr>
          <w:rFonts w:cs="Times Armenian"/>
          <w:b w:val="0"/>
          <w:color w:val="000000"/>
          <w:szCs w:val="22"/>
          <w:lang w:val="hy-AM"/>
        </w:rPr>
        <w:t xml:space="preserve"> </w:t>
      </w:r>
      <w:r w:rsidRPr="002C0A36">
        <w:rPr>
          <w:rFonts w:cs="Sylfaen"/>
          <w:b w:val="0"/>
          <w:color w:val="000000"/>
          <w:szCs w:val="22"/>
          <w:lang w:val="hy-AM"/>
        </w:rPr>
        <w:t>մասը</w:t>
      </w:r>
      <w:r w:rsidRPr="002C0A36">
        <w:rPr>
          <w:rFonts w:cs="Times Armenian"/>
          <w:b w:val="0"/>
          <w:color w:val="000000"/>
          <w:szCs w:val="22"/>
          <w:lang w:val="hy-AM"/>
        </w:rPr>
        <w:t xml:space="preserve"> (</w:t>
      </w:r>
      <w:r w:rsidRPr="002C0A36">
        <w:rPr>
          <w:rFonts w:cs="Sylfaen"/>
          <w:b w:val="0"/>
          <w:color w:val="000000"/>
          <w:szCs w:val="22"/>
          <w:lang w:val="hy-AM"/>
        </w:rPr>
        <w:t>մնացորդը</w:t>
      </w:r>
      <w:r w:rsidRPr="002C0A36">
        <w:rPr>
          <w:rFonts w:cs="Times Armenian"/>
          <w:b w:val="0"/>
          <w:color w:val="000000"/>
          <w:szCs w:val="22"/>
          <w:lang w:val="hy-AM"/>
        </w:rPr>
        <w:t xml:space="preserve">) </w:t>
      </w:r>
      <w:r w:rsidRPr="002C0A36">
        <w:rPr>
          <w:rFonts w:cs="Sylfaen"/>
          <w:b w:val="0"/>
          <w:color w:val="000000"/>
          <w:szCs w:val="22"/>
          <w:lang w:val="hy-AM"/>
        </w:rPr>
        <w:t>կազմել</w:t>
      </w:r>
      <w:r w:rsidRPr="002C0A36">
        <w:rPr>
          <w:rFonts w:cs="Times Armenian"/>
          <w:b w:val="0"/>
          <w:color w:val="000000"/>
          <w:szCs w:val="22"/>
          <w:lang w:val="hy-AM"/>
        </w:rPr>
        <w:t xml:space="preserve"> </w:t>
      </w:r>
      <w:r w:rsidRPr="002C0A36">
        <w:rPr>
          <w:rFonts w:cs="Sylfaen"/>
          <w:b w:val="0"/>
          <w:color w:val="000000"/>
          <w:szCs w:val="22"/>
          <w:lang w:val="hy-AM"/>
        </w:rPr>
        <w:t>է</w:t>
      </w:r>
      <w:r w:rsidRPr="002C0A36">
        <w:rPr>
          <w:rFonts w:cs="Times Armenian"/>
          <w:b w:val="0"/>
          <w:color w:val="000000"/>
          <w:szCs w:val="22"/>
          <w:lang w:val="hy-AM"/>
        </w:rPr>
        <w:t xml:space="preserve"> մոտ 205.0 </w:t>
      </w:r>
      <w:r w:rsidRPr="002C0A36">
        <w:rPr>
          <w:rFonts w:cs="Sylfaen"/>
          <w:b w:val="0"/>
          <w:color w:val="000000"/>
          <w:szCs w:val="22"/>
          <w:lang w:val="hy-AM"/>
        </w:rPr>
        <w:t>մլրդ</w:t>
      </w:r>
      <w:r w:rsidRPr="002C0A36">
        <w:rPr>
          <w:rFonts w:cs="Times Armenian"/>
          <w:b w:val="0"/>
          <w:color w:val="000000"/>
          <w:szCs w:val="22"/>
          <w:lang w:val="hy-AM"/>
        </w:rPr>
        <w:t xml:space="preserve"> </w:t>
      </w:r>
      <w:r w:rsidRPr="002C0A36">
        <w:rPr>
          <w:rFonts w:cs="Sylfaen"/>
          <w:b w:val="0"/>
          <w:color w:val="000000"/>
          <w:szCs w:val="22"/>
          <w:lang w:val="hy-AM"/>
        </w:rPr>
        <w:t>դրամ</w:t>
      </w:r>
      <w:r w:rsidRPr="002C0A36">
        <w:rPr>
          <w:rFonts w:cs="Times Armenian"/>
          <w:b w:val="0"/>
          <w:color w:val="000000"/>
          <w:szCs w:val="22"/>
          <w:lang w:val="hy-AM"/>
        </w:rPr>
        <w:t xml:space="preserve"> </w:t>
      </w:r>
      <w:r w:rsidRPr="002C0A36">
        <w:rPr>
          <w:rFonts w:cs="Sylfaen"/>
          <w:b w:val="0"/>
          <w:color w:val="000000"/>
          <w:szCs w:val="22"/>
          <w:lang w:val="hy-AM"/>
        </w:rPr>
        <w:t>կամ</w:t>
      </w:r>
      <w:r w:rsidRPr="002C0A36">
        <w:rPr>
          <w:rFonts w:cs="Sylfaen"/>
          <w:b w:val="0"/>
          <w:szCs w:val="22"/>
          <w:lang w:val="hy-AM"/>
        </w:rPr>
        <w:t xml:space="preserve"> տրամադրված ընդհանուր վարկային պորտֆելի 47.4 </w:t>
      </w:r>
      <w:r w:rsidRPr="002C0A36">
        <w:rPr>
          <w:rFonts w:cs="Sylfaen"/>
          <w:szCs w:val="22"/>
          <w:lang w:val="hy-AM"/>
        </w:rPr>
        <w:t>%</w:t>
      </w:r>
      <w:r w:rsidRPr="002C0A36">
        <w:rPr>
          <w:rFonts w:cs="Sylfaen"/>
          <w:b w:val="0"/>
          <w:szCs w:val="22"/>
          <w:lang w:val="hy-AM"/>
        </w:rPr>
        <w:t xml:space="preserve">-ը: </w:t>
      </w:r>
    </w:p>
    <w:p w:rsidR="002C0A36" w:rsidRPr="002C0A36" w:rsidRDefault="002C0A36" w:rsidP="007730AA">
      <w:pPr>
        <w:widowControl w:val="0"/>
        <w:autoSpaceDE w:val="0"/>
        <w:autoSpaceDN w:val="0"/>
        <w:adjustRightInd w:val="0"/>
        <w:spacing w:before="0" w:line="276" w:lineRule="auto"/>
        <w:ind w:firstLine="426"/>
        <w:contextualSpacing w:val="0"/>
        <w:rPr>
          <w:rFonts w:cs="Sylfaen"/>
          <w:i/>
          <w:color w:val="000000"/>
          <w:szCs w:val="22"/>
          <w:lang w:val="hy-AM"/>
        </w:rPr>
      </w:pPr>
      <w:r w:rsidRPr="002C0A36">
        <w:rPr>
          <w:rFonts w:cs="Sylfaen"/>
          <w:b w:val="0"/>
          <w:szCs w:val="22"/>
          <w:lang w:val="hy-AM"/>
        </w:rPr>
        <w:t xml:space="preserve">Ենթակառուցվածքային ոլորտում տրամադրված վարկերի չմարված մասի մեջ մեծ տեսակարար կշիռ ունեն էներգետիկայի ոլորտի վարկերը` 324.9 մլրդ դրամ (96.6%): </w:t>
      </w:r>
    </w:p>
    <w:p w:rsidR="002C0A36" w:rsidRPr="002C0A36" w:rsidRDefault="002C0A36" w:rsidP="007730AA">
      <w:pPr>
        <w:spacing w:before="0" w:line="276" w:lineRule="auto"/>
        <w:ind w:firstLine="426"/>
        <w:contextualSpacing w:val="0"/>
        <w:rPr>
          <w:rFonts w:cs="Sylfaen"/>
          <w:b w:val="0"/>
          <w:i/>
          <w:color w:val="FF0000"/>
          <w:szCs w:val="22"/>
          <w:lang w:val="hy-AM"/>
        </w:rPr>
      </w:pPr>
      <w:r w:rsidRPr="002C0A36">
        <w:rPr>
          <w:rFonts w:cs="Sylfaen"/>
          <w:b w:val="0"/>
          <w:szCs w:val="22"/>
          <w:lang w:val="hy-AM"/>
        </w:rPr>
        <w:t>Ընդհանուր վարկային պորտֆելում ՀՀ դրամով տրամադրված վարկերը կազմել են 27% կամ 116.4 մլրդ դրամ, ԱՄՆ դոլարով` 157.65 մլրդ դրամ կամ 36%, Եվրոյով` 45.45 դրամ կամ 11%, ճապոնական իենով` 111.77 մլրդ դրամ կամ 26 %: (տես գծապատկերը):</w:t>
      </w:r>
      <w:r w:rsidRPr="002C0A36">
        <w:rPr>
          <w:rFonts w:cs="Sylfaen"/>
          <w:b w:val="0"/>
          <w:i/>
          <w:szCs w:val="22"/>
          <w:lang w:val="hy-AM"/>
        </w:rPr>
        <w:t xml:space="preserve"> </w:t>
      </w:r>
    </w:p>
    <w:p w:rsidR="002C0A36" w:rsidRPr="002C0A36" w:rsidRDefault="002C0A36" w:rsidP="007730AA">
      <w:pPr>
        <w:spacing w:before="0" w:line="276" w:lineRule="auto"/>
        <w:ind w:firstLine="426"/>
        <w:contextualSpacing w:val="0"/>
        <w:rPr>
          <w:rFonts w:cs="Times Unicode"/>
          <w:b w:val="0"/>
          <w:color w:val="FFFFFF"/>
          <w:szCs w:val="22"/>
          <w:lang w:val="hy-AM"/>
        </w:rPr>
      </w:pPr>
      <w:r w:rsidRPr="002C0A36">
        <w:rPr>
          <w:rFonts w:cs="Times Unicode"/>
          <w:b w:val="0"/>
          <w:szCs w:val="22"/>
          <w:lang w:val="hy-AM"/>
        </w:rPr>
        <w:t xml:space="preserve">Ակնհայտ է, որ պորտֆելը պարունակում է փոխարժեքի էական ռիսկեր, քանի որ </w:t>
      </w:r>
      <w:r w:rsidRPr="002C0A36">
        <w:rPr>
          <w:rFonts w:cs="Sylfaen"/>
          <w:b w:val="0"/>
          <w:szCs w:val="22"/>
          <w:lang w:val="hy-AM"/>
        </w:rPr>
        <w:t xml:space="preserve">տրամադրված վարկերի </w:t>
      </w:r>
      <w:r w:rsidRPr="002C0A36">
        <w:rPr>
          <w:rFonts w:cs="Times Unicode"/>
          <w:b w:val="0"/>
          <w:szCs w:val="22"/>
          <w:lang w:val="hy-AM"/>
        </w:rPr>
        <w:t xml:space="preserve">գերակշիռ մասը՝ 73.1%-ը ներգրավված է արտարժույթով, իսկ վարկառուների եկամուտները հիմնականում ՀՀ դրամով են: </w:t>
      </w:r>
    </w:p>
    <w:p w:rsidR="002C0A36" w:rsidRPr="002C0A36" w:rsidRDefault="002C0A36" w:rsidP="007730AA">
      <w:pPr>
        <w:spacing w:before="0" w:line="276" w:lineRule="auto"/>
        <w:ind w:firstLine="426"/>
        <w:contextualSpacing w:val="0"/>
        <w:jc w:val="left"/>
        <w:rPr>
          <w:rFonts w:cs="Sylfaen"/>
          <w:sz w:val="20"/>
          <w:szCs w:val="20"/>
          <w:lang w:val="hy-AM"/>
        </w:rPr>
      </w:pPr>
      <w:r w:rsidRPr="002C0A36">
        <w:rPr>
          <w:rFonts w:cs="Sylfaen"/>
          <w:sz w:val="20"/>
          <w:szCs w:val="20"/>
          <w:lang w:val="hy-AM"/>
        </w:rPr>
        <w:t xml:space="preserve">      Վարկերի արժութային կազմը</w:t>
      </w:r>
    </w:p>
    <w:p w:rsidR="002C0A36" w:rsidRPr="002C0A36" w:rsidRDefault="002C0A36" w:rsidP="007730AA">
      <w:pPr>
        <w:spacing w:before="0" w:line="276" w:lineRule="auto"/>
        <w:ind w:firstLine="0"/>
        <w:contextualSpacing w:val="0"/>
        <w:jc w:val="left"/>
        <w:rPr>
          <w:rFonts w:ascii="Calibri" w:hAnsi="Calibri" w:cs="Sylfaen"/>
          <w:sz w:val="20"/>
          <w:szCs w:val="20"/>
          <w:lang w:val="hy-AM"/>
        </w:rPr>
      </w:pPr>
      <w:r w:rsidRPr="002C0A36">
        <w:rPr>
          <w:rFonts w:cs="Sylfaen"/>
          <w:noProof/>
          <w:sz w:val="20"/>
          <w:szCs w:val="20"/>
          <w:lang w:val="en-US" w:eastAsia="en-US"/>
        </w:rPr>
        <w:drawing>
          <wp:inline distT="0" distB="0" distL="0" distR="0">
            <wp:extent cx="5518205" cy="3500354"/>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79479" cy="3792953"/>
                    </a:xfrm>
                    <a:prstGeom prst="rect">
                      <a:avLst/>
                    </a:prstGeom>
                    <a:noFill/>
                    <a:ln>
                      <a:noFill/>
                    </a:ln>
                  </pic:spPr>
                </pic:pic>
              </a:graphicData>
            </a:graphic>
          </wp:inline>
        </w:drawing>
      </w:r>
    </w:p>
    <w:p w:rsidR="002C0A36" w:rsidRDefault="002C0A36" w:rsidP="007730AA">
      <w:pPr>
        <w:spacing w:before="0" w:line="276" w:lineRule="auto"/>
        <w:ind w:firstLine="0"/>
        <w:contextualSpacing w:val="0"/>
        <w:rPr>
          <w:rFonts w:cs="Sylfaen"/>
          <w:b w:val="0"/>
          <w:szCs w:val="22"/>
          <w:lang w:val="hy-AM"/>
        </w:rPr>
      </w:pPr>
      <w:r w:rsidRPr="002C0A36">
        <w:rPr>
          <w:rFonts w:cs="Sylfaen"/>
          <w:b w:val="0"/>
          <w:szCs w:val="22"/>
          <w:lang w:val="hy-AM"/>
        </w:rPr>
        <w:t xml:space="preserve">Ամենախոշոր 3 վարկառուները էներգետիկ ոլորտի պետական ընկերություններ են, որոնց չմարված վարկային պորտֆելը կազմում է ընդհանուրի մոտ 62%։ </w:t>
      </w:r>
    </w:p>
    <w:p w:rsidR="00F9035D" w:rsidRDefault="00F9035D" w:rsidP="007730AA">
      <w:pPr>
        <w:spacing w:before="0" w:line="276" w:lineRule="auto"/>
        <w:ind w:firstLine="0"/>
        <w:contextualSpacing w:val="0"/>
        <w:jc w:val="center"/>
        <w:rPr>
          <w:rFonts w:cs="Sylfaen"/>
          <w:sz w:val="20"/>
          <w:szCs w:val="20"/>
          <w:lang w:val="hy-AM"/>
        </w:rPr>
      </w:pPr>
    </w:p>
    <w:p w:rsidR="002C0A36" w:rsidRPr="002C0A36" w:rsidRDefault="002C0A36" w:rsidP="007730AA">
      <w:pPr>
        <w:spacing w:before="0" w:line="276" w:lineRule="auto"/>
        <w:ind w:firstLine="0"/>
        <w:contextualSpacing w:val="0"/>
        <w:jc w:val="center"/>
        <w:rPr>
          <w:rFonts w:cs="Sylfaen"/>
          <w:sz w:val="20"/>
          <w:szCs w:val="20"/>
          <w:lang w:val="hy-AM"/>
        </w:rPr>
      </w:pPr>
      <w:r w:rsidRPr="002C0A36">
        <w:rPr>
          <w:rFonts w:cs="Sylfaen"/>
          <w:sz w:val="20"/>
          <w:szCs w:val="20"/>
          <w:lang w:val="hy-AM"/>
        </w:rPr>
        <w:t>ԽՈՇՈՐ ՎԱՐԿԱՌՈՒՆԵՐԻ ՎԱՐԿԱՅԻՆ ՄՆԱՑՈՐԴԻ ՎԵՐԱԲԵՐՅԱԼ</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8"/>
        <w:gridCol w:w="1530"/>
        <w:gridCol w:w="1620"/>
        <w:gridCol w:w="1440"/>
        <w:gridCol w:w="1620"/>
      </w:tblGrid>
      <w:tr w:rsidR="002C0A36" w:rsidRPr="002C0A36" w:rsidTr="00B979C4">
        <w:trPr>
          <w:trHeight w:val="557"/>
        </w:trPr>
        <w:tc>
          <w:tcPr>
            <w:tcW w:w="4068" w:type="dxa"/>
            <w:tcBorders>
              <w:top w:val="single" w:sz="4" w:space="0" w:color="auto"/>
              <w:left w:val="single" w:sz="4" w:space="0" w:color="auto"/>
              <w:bottom w:val="single" w:sz="4" w:space="0" w:color="auto"/>
              <w:right w:val="single" w:sz="4" w:space="0" w:color="auto"/>
            </w:tcBorders>
            <w:shd w:val="clear" w:color="auto" w:fill="0070C0"/>
          </w:tcPr>
          <w:p w:rsidR="002C0A36" w:rsidRPr="002C0A36" w:rsidRDefault="002C0A36" w:rsidP="007730AA">
            <w:pPr>
              <w:spacing w:before="0" w:line="276" w:lineRule="auto"/>
              <w:ind w:firstLine="0"/>
              <w:contextualSpacing w:val="0"/>
              <w:jc w:val="center"/>
              <w:rPr>
                <w:bCs/>
                <w:color w:val="FFFFFF"/>
                <w:sz w:val="18"/>
                <w:szCs w:val="18"/>
                <w:lang w:val="hy-AM"/>
              </w:rPr>
            </w:pPr>
            <w:r w:rsidRPr="002C0A36">
              <w:rPr>
                <w:bCs/>
                <w:color w:val="FFFFFF"/>
                <w:sz w:val="18"/>
                <w:szCs w:val="18"/>
                <w:lang w:val="hy-AM"/>
              </w:rPr>
              <w:t>Անվանում</w:t>
            </w:r>
          </w:p>
        </w:tc>
        <w:tc>
          <w:tcPr>
            <w:tcW w:w="1530" w:type="dxa"/>
            <w:tcBorders>
              <w:top w:val="single" w:sz="4" w:space="0" w:color="auto"/>
              <w:left w:val="single" w:sz="4" w:space="0" w:color="auto"/>
              <w:bottom w:val="single" w:sz="4" w:space="0" w:color="auto"/>
              <w:right w:val="single" w:sz="4" w:space="0" w:color="auto"/>
            </w:tcBorders>
            <w:shd w:val="clear" w:color="auto" w:fill="0070C0"/>
          </w:tcPr>
          <w:p w:rsidR="002C0A36" w:rsidRPr="002C0A36" w:rsidRDefault="002C0A36" w:rsidP="007730AA">
            <w:pPr>
              <w:spacing w:before="0" w:line="276" w:lineRule="auto"/>
              <w:ind w:firstLine="0"/>
              <w:contextualSpacing w:val="0"/>
              <w:jc w:val="center"/>
              <w:rPr>
                <w:bCs/>
                <w:color w:val="FFFFFF"/>
                <w:sz w:val="18"/>
                <w:szCs w:val="18"/>
                <w:lang w:val="en-US"/>
              </w:rPr>
            </w:pPr>
            <w:r w:rsidRPr="002C0A36">
              <w:rPr>
                <w:bCs/>
                <w:color w:val="FFFFFF"/>
                <w:sz w:val="18"/>
                <w:szCs w:val="18"/>
                <w:lang w:val="en-US"/>
              </w:rPr>
              <w:t>Մլրդ դրամ</w:t>
            </w:r>
          </w:p>
        </w:tc>
        <w:tc>
          <w:tcPr>
            <w:tcW w:w="1620" w:type="dxa"/>
            <w:tcBorders>
              <w:top w:val="single" w:sz="4" w:space="0" w:color="auto"/>
              <w:left w:val="single" w:sz="4" w:space="0" w:color="auto"/>
              <w:bottom w:val="single" w:sz="4" w:space="0" w:color="auto"/>
              <w:right w:val="single" w:sz="4" w:space="0" w:color="auto"/>
            </w:tcBorders>
            <w:shd w:val="clear" w:color="auto" w:fill="0070C0"/>
          </w:tcPr>
          <w:p w:rsidR="002C0A36" w:rsidRPr="002C0A36" w:rsidRDefault="002C0A36" w:rsidP="007730AA">
            <w:pPr>
              <w:spacing w:before="0" w:line="276" w:lineRule="auto"/>
              <w:ind w:firstLine="0"/>
              <w:contextualSpacing w:val="0"/>
              <w:jc w:val="center"/>
              <w:rPr>
                <w:bCs/>
                <w:color w:val="FFFFFF"/>
                <w:sz w:val="18"/>
                <w:szCs w:val="18"/>
                <w:lang w:val="hy-AM"/>
              </w:rPr>
            </w:pPr>
            <w:r w:rsidRPr="002C0A36">
              <w:rPr>
                <w:bCs/>
                <w:color w:val="FFFFFF"/>
                <w:sz w:val="18"/>
                <w:szCs w:val="18"/>
                <w:lang w:val="en-US"/>
              </w:rPr>
              <w:t>Կշիռը վարկային մնացորդի մեջ (%)</w:t>
            </w:r>
          </w:p>
        </w:tc>
        <w:tc>
          <w:tcPr>
            <w:tcW w:w="1440" w:type="dxa"/>
            <w:tcBorders>
              <w:top w:val="single" w:sz="4" w:space="0" w:color="auto"/>
              <w:left w:val="single" w:sz="4" w:space="0" w:color="auto"/>
              <w:right w:val="single" w:sz="4" w:space="0" w:color="auto"/>
            </w:tcBorders>
            <w:shd w:val="clear" w:color="auto" w:fill="0070C0"/>
          </w:tcPr>
          <w:p w:rsidR="002C0A36" w:rsidRPr="002C0A36" w:rsidRDefault="002C0A36" w:rsidP="007730AA">
            <w:pPr>
              <w:spacing w:before="0" w:line="276" w:lineRule="auto"/>
              <w:ind w:firstLine="0"/>
              <w:contextualSpacing w:val="0"/>
              <w:jc w:val="center"/>
              <w:rPr>
                <w:bCs/>
                <w:color w:val="FFFFFF"/>
                <w:sz w:val="18"/>
                <w:szCs w:val="18"/>
                <w:lang w:val="hy-AM"/>
              </w:rPr>
            </w:pPr>
            <w:r w:rsidRPr="002C0A36">
              <w:rPr>
                <w:bCs/>
                <w:color w:val="FFFFFF"/>
                <w:sz w:val="18"/>
                <w:szCs w:val="18"/>
                <w:lang w:val="en-US"/>
              </w:rPr>
              <w:t>Կշիռը ՀՆԱ-ի մեջ (%)</w:t>
            </w:r>
          </w:p>
        </w:tc>
        <w:tc>
          <w:tcPr>
            <w:tcW w:w="1620" w:type="dxa"/>
            <w:tcBorders>
              <w:top w:val="single" w:sz="4" w:space="0" w:color="auto"/>
              <w:left w:val="single" w:sz="4" w:space="0" w:color="auto"/>
              <w:right w:val="single" w:sz="4" w:space="0" w:color="auto"/>
            </w:tcBorders>
            <w:shd w:val="clear" w:color="auto" w:fill="0070C0"/>
            <w:hideMark/>
          </w:tcPr>
          <w:p w:rsidR="002C0A36" w:rsidRPr="002C0A36" w:rsidRDefault="002C0A36" w:rsidP="007730AA">
            <w:pPr>
              <w:spacing w:before="0" w:line="276" w:lineRule="auto"/>
              <w:ind w:firstLine="0"/>
              <w:contextualSpacing w:val="0"/>
              <w:jc w:val="center"/>
              <w:rPr>
                <w:bCs/>
                <w:color w:val="FFFFFF"/>
                <w:sz w:val="18"/>
                <w:szCs w:val="18"/>
                <w:lang w:val="hy-AM"/>
              </w:rPr>
            </w:pPr>
            <w:r w:rsidRPr="002C0A36">
              <w:rPr>
                <w:bCs/>
                <w:color w:val="FFFFFF"/>
                <w:sz w:val="18"/>
                <w:szCs w:val="18"/>
                <w:lang w:val="en-US"/>
              </w:rPr>
              <w:t>Ֆ</w:t>
            </w:r>
            <w:r w:rsidRPr="002C0A36">
              <w:rPr>
                <w:bCs/>
                <w:color w:val="FFFFFF"/>
                <w:sz w:val="18"/>
                <w:szCs w:val="18"/>
                <w:lang w:val="hy-AM"/>
              </w:rPr>
              <w:t>իսկալ ռիսկի կարգավիճակը</w:t>
            </w:r>
          </w:p>
          <w:p w:rsidR="002C0A36" w:rsidRPr="002C0A36" w:rsidRDefault="002C0A36" w:rsidP="007730AA">
            <w:pPr>
              <w:spacing w:before="0" w:line="276" w:lineRule="auto"/>
              <w:ind w:firstLine="0"/>
              <w:contextualSpacing w:val="0"/>
              <w:jc w:val="center"/>
              <w:rPr>
                <w:bCs/>
                <w:color w:val="FFFFFF"/>
                <w:sz w:val="18"/>
                <w:szCs w:val="18"/>
                <w:lang w:val="hy-AM"/>
              </w:rPr>
            </w:pPr>
          </w:p>
        </w:tc>
      </w:tr>
      <w:tr w:rsidR="002C0A36" w:rsidRPr="002C0A36" w:rsidTr="00B979C4">
        <w:trPr>
          <w:trHeight w:val="361"/>
        </w:trPr>
        <w:tc>
          <w:tcPr>
            <w:tcW w:w="4068"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hd w:val="clear" w:color="auto" w:fill="FFFFFF"/>
              <w:spacing w:before="0" w:line="276" w:lineRule="auto"/>
              <w:ind w:firstLine="0"/>
              <w:contextualSpacing w:val="0"/>
              <w:jc w:val="left"/>
              <w:rPr>
                <w:rFonts w:eastAsia="Calibri"/>
                <w:sz w:val="18"/>
                <w:szCs w:val="18"/>
                <w:lang w:val="hy-AM"/>
              </w:rPr>
            </w:pPr>
            <w:r w:rsidRPr="002C0A36">
              <w:rPr>
                <w:sz w:val="18"/>
                <w:szCs w:val="18"/>
                <w:lang w:val="hy-AM"/>
              </w:rPr>
              <w:t>«</w:t>
            </w:r>
            <w:r w:rsidRPr="002C0A36">
              <w:rPr>
                <w:rFonts w:cs="Arial"/>
                <w:sz w:val="18"/>
                <w:szCs w:val="18"/>
                <w:lang w:val="hy-AM"/>
              </w:rPr>
              <w:t>Երևանի</w:t>
            </w:r>
            <w:r w:rsidRPr="002C0A36">
              <w:rPr>
                <w:sz w:val="18"/>
                <w:szCs w:val="18"/>
                <w:lang w:val="hy-AM"/>
              </w:rPr>
              <w:t xml:space="preserve"> </w:t>
            </w:r>
            <w:r w:rsidRPr="002C0A36">
              <w:rPr>
                <w:rFonts w:cs="Arial"/>
                <w:sz w:val="18"/>
                <w:szCs w:val="18"/>
                <w:lang w:val="hy-AM"/>
              </w:rPr>
              <w:t>ՋԷԿ</w:t>
            </w:r>
            <w:r w:rsidRPr="002C0A36">
              <w:rPr>
                <w:sz w:val="18"/>
                <w:szCs w:val="18"/>
                <w:lang w:val="hy-AM"/>
              </w:rPr>
              <w:t>» ՓԲԸ</w:t>
            </w:r>
          </w:p>
        </w:tc>
        <w:tc>
          <w:tcPr>
            <w:tcW w:w="1530" w:type="dxa"/>
            <w:tcBorders>
              <w:top w:val="single" w:sz="4" w:space="0" w:color="auto"/>
              <w:left w:val="single" w:sz="4" w:space="0" w:color="auto"/>
              <w:bottom w:val="single" w:sz="4" w:space="0" w:color="auto"/>
              <w:right w:val="single" w:sz="4" w:space="0" w:color="auto"/>
            </w:tcBorders>
            <w:hideMark/>
          </w:tcPr>
          <w:p w:rsidR="002C0A36" w:rsidRPr="004A1484" w:rsidRDefault="002C0A36" w:rsidP="007730AA">
            <w:pPr>
              <w:spacing w:before="0" w:line="276" w:lineRule="auto"/>
              <w:ind w:firstLine="0"/>
              <w:contextualSpacing w:val="0"/>
              <w:jc w:val="center"/>
              <w:rPr>
                <w:b w:val="0"/>
                <w:sz w:val="18"/>
                <w:szCs w:val="18"/>
                <w:lang w:val="hy-AM"/>
              </w:rPr>
            </w:pPr>
            <w:r w:rsidRPr="002C0A36">
              <w:rPr>
                <w:b w:val="0"/>
                <w:sz w:val="18"/>
                <w:szCs w:val="18"/>
                <w:lang w:val="en-US"/>
              </w:rPr>
              <w:t>11</w:t>
            </w:r>
            <w:r w:rsidR="004A1484">
              <w:rPr>
                <w:b w:val="0"/>
                <w:sz w:val="18"/>
                <w:szCs w:val="18"/>
                <w:lang w:val="hy-AM"/>
              </w:rPr>
              <w:t>9</w:t>
            </w:r>
            <w:r w:rsidRPr="002C0A36">
              <w:rPr>
                <w:b w:val="0"/>
                <w:sz w:val="18"/>
                <w:szCs w:val="18"/>
                <w:lang w:val="en-US"/>
              </w:rPr>
              <w:t>.</w:t>
            </w:r>
            <w:r w:rsidR="004A1484">
              <w:rPr>
                <w:b w:val="0"/>
                <w:sz w:val="18"/>
                <w:szCs w:val="18"/>
                <w:lang w:val="hy-AM"/>
              </w:rPr>
              <w:t>7</w:t>
            </w:r>
          </w:p>
        </w:tc>
        <w:tc>
          <w:tcPr>
            <w:tcW w:w="1620" w:type="dxa"/>
            <w:tcBorders>
              <w:top w:val="single" w:sz="4" w:space="0" w:color="auto"/>
              <w:left w:val="single" w:sz="4" w:space="0" w:color="auto"/>
              <w:bottom w:val="single" w:sz="4" w:space="0" w:color="auto"/>
              <w:right w:val="single" w:sz="4" w:space="0" w:color="auto"/>
            </w:tcBorders>
            <w:hideMark/>
          </w:tcPr>
          <w:p w:rsidR="002C0A36" w:rsidRPr="004A1484" w:rsidRDefault="004A1484" w:rsidP="007730AA">
            <w:pPr>
              <w:spacing w:before="0" w:line="276" w:lineRule="auto"/>
              <w:ind w:firstLine="0"/>
              <w:contextualSpacing w:val="0"/>
              <w:jc w:val="center"/>
              <w:rPr>
                <w:b w:val="0"/>
                <w:sz w:val="18"/>
                <w:szCs w:val="18"/>
                <w:lang w:val="hy-AM"/>
              </w:rPr>
            </w:pPr>
            <w:r>
              <w:rPr>
                <w:b w:val="0"/>
                <w:sz w:val="18"/>
                <w:szCs w:val="18"/>
                <w:lang w:val="hy-AM"/>
              </w:rPr>
              <w:t>24.6</w:t>
            </w:r>
          </w:p>
        </w:tc>
        <w:tc>
          <w:tcPr>
            <w:tcW w:w="1440" w:type="dxa"/>
            <w:tcBorders>
              <w:top w:val="single" w:sz="4" w:space="0" w:color="auto"/>
              <w:left w:val="single" w:sz="4" w:space="0" w:color="auto"/>
              <w:bottom w:val="single" w:sz="4" w:space="0" w:color="auto"/>
              <w:right w:val="single" w:sz="4" w:space="0" w:color="auto"/>
            </w:tcBorders>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1.8</w:t>
            </w:r>
          </w:p>
        </w:tc>
        <w:tc>
          <w:tcPr>
            <w:tcW w:w="1620"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Միջին</w:t>
            </w:r>
          </w:p>
        </w:tc>
      </w:tr>
      <w:tr w:rsidR="002C0A36" w:rsidRPr="002C0A36" w:rsidTr="00B979C4">
        <w:trPr>
          <w:trHeight w:val="440"/>
        </w:trPr>
        <w:tc>
          <w:tcPr>
            <w:tcW w:w="40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left"/>
              <w:rPr>
                <w:sz w:val="18"/>
                <w:szCs w:val="18"/>
                <w:lang w:val="hy-AM"/>
              </w:rPr>
            </w:pPr>
            <w:r w:rsidRPr="002C0A36">
              <w:rPr>
                <w:sz w:val="18"/>
                <w:szCs w:val="18"/>
              </w:rPr>
              <w:t>«</w:t>
            </w:r>
            <w:r w:rsidRPr="002C0A36">
              <w:rPr>
                <w:sz w:val="18"/>
                <w:szCs w:val="18"/>
                <w:lang w:val="en-US"/>
              </w:rPr>
              <w:t>Բարձրավոլտ էլ. ցանցեր</w:t>
            </w:r>
            <w:r w:rsidRPr="002C0A36">
              <w:rPr>
                <w:sz w:val="18"/>
                <w:szCs w:val="18"/>
                <w:lang w:val="hy-AM"/>
              </w:rPr>
              <w:t>» ՓԲԸ</w:t>
            </w:r>
          </w:p>
        </w:tc>
        <w:tc>
          <w:tcPr>
            <w:tcW w:w="153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4A1484" w:rsidRDefault="002C0A36" w:rsidP="007730AA">
            <w:pPr>
              <w:spacing w:before="0" w:line="276" w:lineRule="auto"/>
              <w:ind w:firstLine="0"/>
              <w:contextualSpacing w:val="0"/>
              <w:jc w:val="center"/>
              <w:rPr>
                <w:b w:val="0"/>
                <w:sz w:val="18"/>
                <w:szCs w:val="18"/>
                <w:lang w:val="hy-AM"/>
              </w:rPr>
            </w:pPr>
            <w:r w:rsidRPr="002C0A36">
              <w:rPr>
                <w:b w:val="0"/>
                <w:sz w:val="18"/>
                <w:szCs w:val="18"/>
                <w:lang w:val="en-US"/>
              </w:rPr>
              <w:t>5</w:t>
            </w:r>
            <w:r w:rsidR="004A1484">
              <w:rPr>
                <w:b w:val="0"/>
                <w:sz w:val="18"/>
                <w:szCs w:val="18"/>
                <w:lang w:val="hy-AM"/>
              </w:rPr>
              <w:t>7</w:t>
            </w:r>
            <w:r w:rsidRPr="002C0A36">
              <w:rPr>
                <w:b w:val="0"/>
                <w:sz w:val="18"/>
                <w:szCs w:val="18"/>
                <w:lang w:val="en-US"/>
              </w:rPr>
              <w:t>.</w:t>
            </w:r>
            <w:r w:rsidR="004A1484">
              <w:rPr>
                <w:b w:val="0"/>
                <w:sz w:val="18"/>
                <w:szCs w:val="18"/>
                <w:lang w:val="hy-AM"/>
              </w:rPr>
              <w:t>6</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4A1484" w:rsidRDefault="004A1484" w:rsidP="007730AA">
            <w:pPr>
              <w:spacing w:before="0" w:line="276" w:lineRule="auto"/>
              <w:ind w:firstLine="0"/>
              <w:contextualSpacing w:val="0"/>
              <w:jc w:val="center"/>
              <w:rPr>
                <w:b w:val="0"/>
                <w:sz w:val="18"/>
                <w:szCs w:val="18"/>
                <w:lang w:val="hy-AM"/>
              </w:rPr>
            </w:pPr>
            <w:r>
              <w:rPr>
                <w:b w:val="0"/>
                <w:sz w:val="18"/>
                <w:szCs w:val="18"/>
                <w:lang w:val="hy-AM"/>
              </w:rPr>
              <w:t>11.9</w:t>
            </w:r>
          </w:p>
        </w:tc>
        <w:tc>
          <w:tcPr>
            <w:tcW w:w="144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0.8</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Միջին</w:t>
            </w:r>
          </w:p>
        </w:tc>
      </w:tr>
      <w:tr w:rsidR="002C0A36" w:rsidRPr="002C0A36" w:rsidTr="00B979C4">
        <w:trPr>
          <w:trHeight w:val="362"/>
        </w:trPr>
        <w:tc>
          <w:tcPr>
            <w:tcW w:w="4068"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left"/>
              <w:rPr>
                <w:sz w:val="18"/>
                <w:szCs w:val="18"/>
                <w:lang w:val="hy-AM"/>
              </w:rPr>
            </w:pPr>
            <w:r w:rsidRPr="002C0A36">
              <w:rPr>
                <w:sz w:val="18"/>
                <w:szCs w:val="18"/>
              </w:rPr>
              <w:t>«</w:t>
            </w:r>
            <w:r w:rsidRPr="002C0A36">
              <w:rPr>
                <w:rFonts w:cs="Arial"/>
                <w:color w:val="222222"/>
                <w:sz w:val="18"/>
                <w:szCs w:val="18"/>
                <w:lang w:val="hy-AM"/>
              </w:rPr>
              <w:t>Հայկական ատոմային էլեկտրակայան</w:t>
            </w:r>
            <w:r w:rsidRPr="002C0A36">
              <w:rPr>
                <w:sz w:val="18"/>
                <w:szCs w:val="18"/>
              </w:rPr>
              <w:t>»</w:t>
            </w:r>
            <w:r w:rsidRPr="002C0A36">
              <w:rPr>
                <w:sz w:val="18"/>
                <w:szCs w:val="18"/>
                <w:lang w:val="hy-AM"/>
              </w:rPr>
              <w:t xml:space="preserve"> ՓԲԸ</w:t>
            </w:r>
          </w:p>
        </w:tc>
        <w:tc>
          <w:tcPr>
            <w:tcW w:w="1530" w:type="dxa"/>
            <w:tcBorders>
              <w:top w:val="single" w:sz="4" w:space="0" w:color="auto"/>
              <w:left w:val="single" w:sz="4" w:space="0" w:color="auto"/>
              <w:bottom w:val="single" w:sz="4" w:space="0" w:color="auto"/>
              <w:right w:val="single" w:sz="4" w:space="0" w:color="auto"/>
            </w:tcBorders>
            <w:hideMark/>
          </w:tcPr>
          <w:p w:rsidR="002C0A36" w:rsidRPr="004A1484" w:rsidRDefault="004A1484" w:rsidP="007730AA">
            <w:pPr>
              <w:spacing w:before="0" w:line="276" w:lineRule="auto"/>
              <w:ind w:firstLine="0"/>
              <w:contextualSpacing w:val="0"/>
              <w:jc w:val="center"/>
              <w:rPr>
                <w:b w:val="0"/>
                <w:sz w:val="18"/>
                <w:szCs w:val="18"/>
                <w:lang w:val="hy-AM"/>
              </w:rPr>
            </w:pPr>
            <w:r>
              <w:rPr>
                <w:b w:val="0"/>
                <w:sz w:val="18"/>
                <w:szCs w:val="18"/>
                <w:lang w:val="hy-AM"/>
              </w:rPr>
              <w:t>107</w:t>
            </w:r>
            <w:r w:rsidR="002C0A36" w:rsidRPr="002C0A36">
              <w:rPr>
                <w:b w:val="0"/>
                <w:sz w:val="18"/>
                <w:szCs w:val="18"/>
                <w:lang w:val="en-US"/>
              </w:rPr>
              <w:t>.</w:t>
            </w:r>
            <w:r>
              <w:rPr>
                <w:b w:val="0"/>
                <w:sz w:val="18"/>
                <w:szCs w:val="18"/>
                <w:lang w:val="hy-AM"/>
              </w:rPr>
              <w:t>7</w:t>
            </w:r>
          </w:p>
        </w:tc>
        <w:tc>
          <w:tcPr>
            <w:tcW w:w="1620" w:type="dxa"/>
            <w:tcBorders>
              <w:top w:val="single" w:sz="4" w:space="0" w:color="auto"/>
              <w:left w:val="single" w:sz="4" w:space="0" w:color="auto"/>
              <w:bottom w:val="single" w:sz="4" w:space="0" w:color="auto"/>
              <w:right w:val="single" w:sz="4" w:space="0" w:color="auto"/>
            </w:tcBorders>
            <w:hideMark/>
          </w:tcPr>
          <w:p w:rsidR="002C0A36" w:rsidRPr="004A1484" w:rsidRDefault="004A1484" w:rsidP="007730AA">
            <w:pPr>
              <w:spacing w:before="0" w:line="276" w:lineRule="auto"/>
              <w:ind w:firstLine="0"/>
              <w:contextualSpacing w:val="0"/>
              <w:jc w:val="center"/>
              <w:rPr>
                <w:b w:val="0"/>
                <w:sz w:val="18"/>
                <w:szCs w:val="18"/>
                <w:lang w:val="hy-AM"/>
              </w:rPr>
            </w:pPr>
            <w:r>
              <w:rPr>
                <w:b w:val="0"/>
                <w:sz w:val="18"/>
                <w:szCs w:val="18"/>
                <w:lang w:val="hy-AM"/>
              </w:rPr>
              <w:t>22.1</w:t>
            </w:r>
          </w:p>
        </w:tc>
        <w:tc>
          <w:tcPr>
            <w:tcW w:w="1440" w:type="dxa"/>
            <w:tcBorders>
              <w:top w:val="single" w:sz="4" w:space="0" w:color="auto"/>
              <w:left w:val="single" w:sz="4" w:space="0" w:color="auto"/>
              <w:bottom w:val="single" w:sz="4" w:space="0" w:color="auto"/>
              <w:right w:val="single" w:sz="4" w:space="0" w:color="auto"/>
            </w:tcBorders>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1.5</w:t>
            </w:r>
          </w:p>
        </w:tc>
        <w:tc>
          <w:tcPr>
            <w:tcW w:w="1620" w:type="dxa"/>
            <w:tcBorders>
              <w:top w:val="single" w:sz="4" w:space="0" w:color="auto"/>
              <w:left w:val="single" w:sz="4" w:space="0" w:color="auto"/>
              <w:bottom w:val="single" w:sz="4" w:space="0" w:color="auto"/>
              <w:right w:val="single" w:sz="4" w:space="0" w:color="auto"/>
            </w:tcBorders>
            <w:hideMark/>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Միջին</w:t>
            </w:r>
          </w:p>
        </w:tc>
      </w:tr>
      <w:tr w:rsidR="002C0A36" w:rsidRPr="002C0A36" w:rsidTr="00B979C4">
        <w:trPr>
          <w:trHeight w:val="155"/>
        </w:trPr>
        <w:tc>
          <w:tcPr>
            <w:tcW w:w="40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C0A36" w:rsidRPr="002C0A36" w:rsidRDefault="002C0A36" w:rsidP="007730AA">
            <w:pPr>
              <w:spacing w:before="0" w:line="276" w:lineRule="auto"/>
              <w:ind w:firstLine="0"/>
              <w:contextualSpacing w:val="0"/>
              <w:jc w:val="left"/>
              <w:rPr>
                <w:sz w:val="18"/>
                <w:szCs w:val="18"/>
                <w:lang w:val="en-US"/>
              </w:rPr>
            </w:pPr>
            <w:r w:rsidRPr="002C0A36">
              <w:rPr>
                <w:sz w:val="18"/>
                <w:szCs w:val="18"/>
                <w:lang w:val="en-US"/>
              </w:rPr>
              <w:t>ԸՆԴԱՄԵՆԸ</w:t>
            </w:r>
          </w:p>
        </w:tc>
        <w:tc>
          <w:tcPr>
            <w:tcW w:w="15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C0A36" w:rsidRPr="004A1484" w:rsidRDefault="002C0A36" w:rsidP="007730AA">
            <w:pPr>
              <w:spacing w:before="0" w:line="276" w:lineRule="auto"/>
              <w:ind w:firstLine="0"/>
              <w:contextualSpacing w:val="0"/>
              <w:jc w:val="center"/>
              <w:rPr>
                <w:b w:val="0"/>
                <w:sz w:val="18"/>
                <w:szCs w:val="18"/>
                <w:lang w:val="hy-AM"/>
              </w:rPr>
            </w:pPr>
            <w:r w:rsidRPr="002C0A36">
              <w:rPr>
                <w:b w:val="0"/>
                <w:sz w:val="18"/>
                <w:szCs w:val="18"/>
                <w:lang w:val="en-US"/>
              </w:rPr>
              <w:t>2</w:t>
            </w:r>
            <w:r w:rsidR="004A1484">
              <w:rPr>
                <w:b w:val="0"/>
                <w:sz w:val="18"/>
                <w:szCs w:val="18"/>
                <w:lang w:val="hy-AM"/>
              </w:rPr>
              <w:t>84</w:t>
            </w:r>
            <w:r w:rsidRPr="002C0A36">
              <w:rPr>
                <w:b w:val="0"/>
                <w:sz w:val="18"/>
                <w:szCs w:val="18"/>
                <w:lang w:val="en-US"/>
              </w:rPr>
              <w:t>.</w:t>
            </w:r>
            <w:r w:rsidR="004A1484">
              <w:rPr>
                <w:b w:val="0"/>
                <w:sz w:val="18"/>
                <w:szCs w:val="18"/>
                <w:lang w:val="hy-AM"/>
              </w:rPr>
              <w:t>7</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w:t>
            </w:r>
          </w:p>
        </w:tc>
        <w:tc>
          <w:tcPr>
            <w:tcW w:w="144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2C0A36" w:rsidRPr="002C0A36" w:rsidRDefault="002C0A36" w:rsidP="007730AA">
            <w:pPr>
              <w:spacing w:before="0" w:line="276" w:lineRule="auto"/>
              <w:ind w:firstLine="0"/>
              <w:contextualSpacing w:val="0"/>
              <w:jc w:val="center"/>
              <w:rPr>
                <w:b w:val="0"/>
                <w:sz w:val="18"/>
                <w:szCs w:val="18"/>
                <w:lang w:val="en-US"/>
              </w:rPr>
            </w:pPr>
            <w:r w:rsidRPr="002C0A36">
              <w:rPr>
                <w:b w:val="0"/>
                <w:sz w:val="18"/>
                <w:szCs w:val="18"/>
                <w:lang w:val="en-US"/>
              </w:rPr>
              <w:t>-</w:t>
            </w:r>
          </w:p>
        </w:tc>
      </w:tr>
    </w:tbl>
    <w:p w:rsidR="00B86D85" w:rsidRDefault="00B86D85" w:rsidP="007730AA">
      <w:pPr>
        <w:spacing w:before="0" w:line="276" w:lineRule="auto"/>
        <w:ind w:firstLine="0"/>
        <w:contextualSpacing w:val="0"/>
        <w:jc w:val="left"/>
        <w:rPr>
          <w:b w:val="0"/>
          <w:szCs w:val="22"/>
          <w:lang w:val="en-US"/>
        </w:rPr>
      </w:pPr>
    </w:p>
    <w:p w:rsidR="00B86D85" w:rsidRDefault="00B86D85" w:rsidP="007730AA">
      <w:pPr>
        <w:spacing w:before="0" w:line="240" w:lineRule="auto"/>
        <w:ind w:firstLine="0"/>
        <w:contextualSpacing w:val="0"/>
        <w:jc w:val="left"/>
        <w:rPr>
          <w:b w:val="0"/>
          <w:szCs w:val="22"/>
          <w:lang w:val="en-US"/>
        </w:rPr>
      </w:pPr>
      <w:r>
        <w:rPr>
          <w:b w:val="0"/>
          <w:szCs w:val="22"/>
          <w:lang w:val="en-US"/>
        </w:rPr>
        <w:br w:type="page"/>
      </w:r>
    </w:p>
    <w:p w:rsidR="00A00B8B" w:rsidRPr="00B979C4" w:rsidRDefault="00A00B8B" w:rsidP="007730AA">
      <w:pPr>
        <w:pStyle w:val="ListParagraph"/>
        <w:keepNext/>
        <w:keepLines/>
        <w:numPr>
          <w:ilvl w:val="0"/>
          <w:numId w:val="24"/>
        </w:numPr>
        <w:spacing w:before="0" w:line="312" w:lineRule="auto"/>
        <w:ind w:left="0"/>
        <w:jc w:val="left"/>
        <w:outlineLvl w:val="2"/>
        <w:rPr>
          <w:szCs w:val="22"/>
          <w:lang w:val="hy-AM" w:eastAsia="en-US"/>
        </w:rPr>
      </w:pPr>
      <w:bookmarkStart w:id="282" w:name="_Toc57655497"/>
      <w:r w:rsidRPr="00B979C4">
        <w:rPr>
          <w:szCs w:val="22"/>
          <w:lang w:val="hy-AM" w:eastAsia="en-US"/>
        </w:rPr>
        <w:t>2021 ԹՎԱԿԱՆԻ ՀԱՐԿԱՅԻՆ ԾԱԽՍԵՐԻ ԳՆԱՀԱՏԱԿԱՆԻ ՎԵՐԼՈՒԾՈՒԹՅՈՒՆ</w:t>
      </w:r>
      <w:bookmarkEnd w:id="282"/>
    </w:p>
    <w:p w:rsidR="00A00B8B" w:rsidRPr="00A00B8B" w:rsidRDefault="00A00B8B" w:rsidP="007730AA">
      <w:pPr>
        <w:spacing w:before="0" w:line="276" w:lineRule="auto"/>
        <w:ind w:firstLine="0"/>
        <w:contextualSpacing w:val="0"/>
        <w:rPr>
          <w:b w:val="0"/>
          <w:szCs w:val="22"/>
          <w:lang w:val="en-US" w:eastAsia="en-US"/>
        </w:rPr>
      </w:pPr>
    </w:p>
    <w:p w:rsidR="00A00B8B" w:rsidRPr="00A00B8B" w:rsidRDefault="00A00B8B" w:rsidP="007730AA">
      <w:pPr>
        <w:spacing w:before="0" w:line="276" w:lineRule="auto"/>
        <w:contextualSpacing w:val="0"/>
        <w:rPr>
          <w:rFonts w:eastAsia="Calibri" w:cs="Calibri"/>
          <w:szCs w:val="22"/>
          <w:u w:val="single"/>
          <w:lang w:eastAsia="en-US"/>
        </w:rPr>
      </w:pPr>
      <w:r w:rsidRPr="00A00B8B">
        <w:rPr>
          <w:rFonts w:eastAsia="Calibri" w:cs="Calibri"/>
          <w:szCs w:val="22"/>
          <w:u w:val="single"/>
          <w:lang w:val="en-US" w:eastAsia="en-US"/>
        </w:rPr>
        <w:t>Ն</w:t>
      </w:r>
      <w:r w:rsidRPr="00A00B8B">
        <w:rPr>
          <w:rFonts w:eastAsia="Calibri" w:cs="Calibri"/>
          <w:szCs w:val="22"/>
          <w:u w:val="single"/>
          <w:lang w:val="hy-AM" w:eastAsia="en-US"/>
        </w:rPr>
        <w:t>ախաբան</w:t>
      </w:r>
      <w:r w:rsidRPr="00A00B8B">
        <w:rPr>
          <w:rFonts w:eastAsia="Calibri" w:cs="Calibri"/>
          <w:szCs w:val="22"/>
          <w:u w:val="single"/>
          <w:lang w:eastAsia="en-US"/>
        </w:rPr>
        <w:t>.</w:t>
      </w:r>
    </w:p>
    <w:p w:rsidR="00A00B8B" w:rsidRPr="00A00B8B" w:rsidRDefault="00A00B8B" w:rsidP="007730AA">
      <w:pPr>
        <w:shd w:val="clear" w:color="auto" w:fill="FFFFFF"/>
        <w:spacing w:before="0" w:line="276" w:lineRule="auto"/>
        <w:contextualSpacing w:val="0"/>
        <w:rPr>
          <w:rFonts w:cs="Sylfaen"/>
          <w:b w:val="0"/>
          <w:color w:val="000000"/>
          <w:szCs w:val="22"/>
        </w:rPr>
      </w:pPr>
      <w:r w:rsidRPr="00A00B8B">
        <w:rPr>
          <w:rFonts w:cs="Sylfaen"/>
          <w:b w:val="0"/>
          <w:color w:val="000000"/>
          <w:szCs w:val="22"/>
          <w:lang w:val="en-US"/>
        </w:rPr>
        <w:t>Արդյունավետ</w:t>
      </w:r>
      <w:r w:rsidRPr="00A00B8B">
        <w:rPr>
          <w:rFonts w:cs="Sylfaen"/>
          <w:b w:val="0"/>
          <w:color w:val="000000"/>
          <w:szCs w:val="22"/>
        </w:rPr>
        <w:t xml:space="preserve"> </w:t>
      </w:r>
      <w:r w:rsidRPr="00A00B8B">
        <w:rPr>
          <w:rFonts w:cs="Sylfaen"/>
          <w:b w:val="0"/>
          <w:color w:val="000000"/>
          <w:szCs w:val="22"/>
          <w:lang w:val="en-US"/>
        </w:rPr>
        <w:t>հարկա</w:t>
      </w:r>
      <w:r w:rsidRPr="00A00B8B">
        <w:rPr>
          <w:rFonts w:cs="Sylfaen"/>
          <w:b w:val="0"/>
          <w:color w:val="000000"/>
          <w:szCs w:val="22"/>
        </w:rPr>
        <w:softHyphen/>
      </w:r>
      <w:r w:rsidRPr="00A00B8B">
        <w:rPr>
          <w:rFonts w:cs="Sylfaen"/>
          <w:b w:val="0"/>
          <w:color w:val="000000"/>
          <w:szCs w:val="22"/>
          <w:lang w:val="en-US"/>
        </w:rPr>
        <w:t>բյու</w:t>
      </w:r>
      <w:r w:rsidRPr="00A00B8B">
        <w:rPr>
          <w:rFonts w:cs="Sylfaen"/>
          <w:b w:val="0"/>
          <w:color w:val="000000"/>
          <w:szCs w:val="22"/>
        </w:rPr>
        <w:softHyphen/>
      </w:r>
      <w:r w:rsidRPr="00A00B8B">
        <w:rPr>
          <w:rFonts w:cs="Sylfaen"/>
          <w:b w:val="0"/>
          <w:color w:val="000000"/>
          <w:szCs w:val="22"/>
          <w:lang w:val="en-US"/>
        </w:rPr>
        <w:t>ջետային</w:t>
      </w:r>
      <w:r w:rsidRPr="00A00B8B">
        <w:rPr>
          <w:rFonts w:cs="Sylfaen"/>
          <w:b w:val="0"/>
          <w:color w:val="000000"/>
          <w:szCs w:val="22"/>
        </w:rPr>
        <w:t xml:space="preserve"> </w:t>
      </w:r>
      <w:r w:rsidRPr="00A00B8B">
        <w:rPr>
          <w:rFonts w:cs="Sylfaen"/>
          <w:b w:val="0"/>
          <w:color w:val="000000"/>
          <w:szCs w:val="22"/>
          <w:lang w:val="en-US"/>
        </w:rPr>
        <w:t>քաղաքականություն</w:t>
      </w:r>
      <w:r w:rsidRPr="00A00B8B">
        <w:rPr>
          <w:rFonts w:cs="Sylfaen"/>
          <w:b w:val="0"/>
          <w:color w:val="000000"/>
          <w:szCs w:val="22"/>
        </w:rPr>
        <w:t xml:space="preserve"> </w:t>
      </w:r>
      <w:r w:rsidRPr="00A00B8B">
        <w:rPr>
          <w:rFonts w:cs="Sylfaen"/>
          <w:b w:val="0"/>
          <w:color w:val="000000"/>
          <w:szCs w:val="22"/>
          <w:lang w:val="en-US"/>
        </w:rPr>
        <w:t>մշա</w:t>
      </w:r>
      <w:r w:rsidRPr="00A00B8B">
        <w:rPr>
          <w:rFonts w:cs="Sylfaen"/>
          <w:b w:val="0"/>
          <w:color w:val="000000"/>
          <w:szCs w:val="22"/>
        </w:rPr>
        <w:softHyphen/>
      </w:r>
      <w:r w:rsidRPr="00A00B8B">
        <w:rPr>
          <w:rFonts w:cs="Sylfaen"/>
          <w:b w:val="0"/>
          <w:color w:val="000000"/>
          <w:szCs w:val="22"/>
          <w:lang w:val="en-US"/>
        </w:rPr>
        <w:t>կելու</w:t>
      </w:r>
      <w:r w:rsidRPr="00A00B8B">
        <w:rPr>
          <w:rFonts w:cs="Sylfaen"/>
          <w:b w:val="0"/>
          <w:color w:val="000000"/>
          <w:szCs w:val="22"/>
        </w:rPr>
        <w:t xml:space="preserve"> </w:t>
      </w:r>
      <w:r w:rsidRPr="00A00B8B">
        <w:rPr>
          <w:rFonts w:cs="Sylfaen"/>
          <w:b w:val="0"/>
          <w:color w:val="000000"/>
          <w:szCs w:val="22"/>
          <w:lang w:val="en-US"/>
        </w:rPr>
        <w:t>և</w:t>
      </w:r>
      <w:r w:rsidRPr="00A00B8B">
        <w:rPr>
          <w:rFonts w:cs="Sylfaen"/>
          <w:b w:val="0"/>
          <w:color w:val="000000"/>
          <w:szCs w:val="22"/>
        </w:rPr>
        <w:t xml:space="preserve"> </w:t>
      </w:r>
      <w:r w:rsidRPr="00A00B8B">
        <w:rPr>
          <w:rFonts w:cs="Sylfaen"/>
          <w:b w:val="0"/>
          <w:color w:val="000000"/>
          <w:szCs w:val="22"/>
          <w:lang w:val="en-US"/>
        </w:rPr>
        <w:t>իրականացնելու</w:t>
      </w:r>
      <w:r w:rsidRPr="00A00B8B">
        <w:rPr>
          <w:rFonts w:cs="Sylfaen"/>
          <w:b w:val="0"/>
          <w:color w:val="000000"/>
          <w:szCs w:val="22"/>
        </w:rPr>
        <w:t xml:space="preserve"> </w:t>
      </w:r>
      <w:r w:rsidRPr="00A00B8B">
        <w:rPr>
          <w:rFonts w:cs="Sylfaen"/>
          <w:b w:val="0"/>
          <w:color w:val="000000"/>
          <w:szCs w:val="22"/>
          <w:lang w:val="en-US"/>
        </w:rPr>
        <w:t>տես</w:t>
      </w:r>
      <w:r w:rsidRPr="00A00B8B">
        <w:rPr>
          <w:rFonts w:cs="Sylfaen"/>
          <w:b w:val="0"/>
          <w:color w:val="000000"/>
          <w:szCs w:val="22"/>
        </w:rPr>
        <w:softHyphen/>
      </w:r>
      <w:r w:rsidRPr="00A00B8B">
        <w:rPr>
          <w:rFonts w:cs="Sylfaen"/>
          <w:b w:val="0"/>
          <w:color w:val="000000"/>
          <w:szCs w:val="22"/>
          <w:lang w:val="en-US"/>
        </w:rPr>
        <w:t>անկյունից</w:t>
      </w:r>
      <w:r w:rsidRPr="00A00B8B">
        <w:rPr>
          <w:rFonts w:cs="Sylfaen"/>
          <w:b w:val="0"/>
          <w:color w:val="000000"/>
          <w:szCs w:val="22"/>
        </w:rPr>
        <w:t xml:space="preserve"> </w:t>
      </w:r>
      <w:r w:rsidRPr="00A00B8B">
        <w:rPr>
          <w:rFonts w:cs="Sylfaen"/>
          <w:b w:val="0"/>
          <w:color w:val="000000"/>
          <w:szCs w:val="22"/>
          <w:lang w:val="en-US"/>
        </w:rPr>
        <w:t>հարկային</w:t>
      </w:r>
      <w:r w:rsidRPr="00A00B8B">
        <w:rPr>
          <w:rFonts w:cs="Sylfaen"/>
          <w:b w:val="0"/>
          <w:color w:val="000000"/>
          <w:szCs w:val="22"/>
        </w:rPr>
        <w:t xml:space="preserve"> </w:t>
      </w:r>
      <w:r w:rsidRPr="00A00B8B">
        <w:rPr>
          <w:rFonts w:cs="Sylfaen"/>
          <w:b w:val="0"/>
          <w:color w:val="000000"/>
          <w:szCs w:val="22"/>
          <w:lang w:val="en-US"/>
        </w:rPr>
        <w:t>ծախսերի</w:t>
      </w:r>
      <w:r w:rsidRPr="00A00B8B">
        <w:rPr>
          <w:rFonts w:cs="Sylfaen"/>
          <w:b w:val="0"/>
          <w:color w:val="000000"/>
          <w:szCs w:val="22"/>
        </w:rPr>
        <w:t xml:space="preserve"> </w:t>
      </w:r>
      <w:r w:rsidRPr="00A00B8B">
        <w:rPr>
          <w:rFonts w:cs="Sylfaen"/>
          <w:b w:val="0"/>
          <w:color w:val="000000"/>
          <w:szCs w:val="22"/>
          <w:lang w:val="en-US"/>
        </w:rPr>
        <w:t>գնահատականը</w:t>
      </w:r>
      <w:r w:rsidRPr="00A00B8B">
        <w:rPr>
          <w:rFonts w:cs="Sylfaen"/>
          <w:b w:val="0"/>
          <w:color w:val="000000"/>
          <w:szCs w:val="22"/>
        </w:rPr>
        <w:t xml:space="preserve"> </w:t>
      </w:r>
      <w:r w:rsidRPr="00A00B8B">
        <w:rPr>
          <w:rFonts w:cs="Sylfaen"/>
          <w:b w:val="0"/>
          <w:color w:val="000000"/>
          <w:szCs w:val="22"/>
          <w:lang w:val="en-US"/>
        </w:rPr>
        <w:t>խիստ</w:t>
      </w:r>
      <w:r w:rsidRPr="00A00B8B">
        <w:rPr>
          <w:rFonts w:cs="Sylfaen"/>
          <w:b w:val="0"/>
          <w:color w:val="000000"/>
          <w:szCs w:val="22"/>
        </w:rPr>
        <w:t xml:space="preserve"> </w:t>
      </w:r>
      <w:r w:rsidRPr="00A00B8B">
        <w:rPr>
          <w:rFonts w:cs="Sylfaen"/>
          <w:b w:val="0"/>
          <w:color w:val="000000"/>
          <w:szCs w:val="22"/>
          <w:lang w:val="en-US"/>
        </w:rPr>
        <w:t>կարևոր</w:t>
      </w:r>
      <w:r w:rsidRPr="00A00B8B">
        <w:rPr>
          <w:rFonts w:cs="Sylfaen"/>
          <w:b w:val="0"/>
          <w:color w:val="000000"/>
          <w:szCs w:val="22"/>
        </w:rPr>
        <w:t xml:space="preserve"> </w:t>
      </w:r>
      <w:r w:rsidRPr="00A00B8B">
        <w:rPr>
          <w:rFonts w:cs="Sylfaen"/>
          <w:b w:val="0"/>
          <w:color w:val="000000"/>
          <w:szCs w:val="22"/>
          <w:lang w:val="en-US"/>
        </w:rPr>
        <w:t>է</w:t>
      </w:r>
      <w:r w:rsidRPr="00A00B8B">
        <w:rPr>
          <w:rFonts w:cs="Sylfaen"/>
          <w:b w:val="0"/>
          <w:color w:val="000000"/>
          <w:szCs w:val="22"/>
        </w:rPr>
        <w:t xml:space="preserve">, </w:t>
      </w:r>
      <w:r w:rsidRPr="00A00B8B">
        <w:rPr>
          <w:rFonts w:cs="Sylfaen"/>
          <w:b w:val="0"/>
          <w:color w:val="000000"/>
          <w:szCs w:val="22"/>
          <w:lang w:val="en-US"/>
        </w:rPr>
        <w:t>քանի</w:t>
      </w:r>
      <w:r w:rsidRPr="00A00B8B">
        <w:rPr>
          <w:rFonts w:cs="Sylfaen"/>
          <w:b w:val="0"/>
          <w:color w:val="000000"/>
          <w:szCs w:val="22"/>
        </w:rPr>
        <w:t xml:space="preserve"> </w:t>
      </w:r>
      <w:r w:rsidRPr="00A00B8B">
        <w:rPr>
          <w:rFonts w:cs="Sylfaen"/>
          <w:b w:val="0"/>
          <w:color w:val="000000"/>
          <w:szCs w:val="22"/>
          <w:lang w:val="en-US"/>
        </w:rPr>
        <w:t>որ</w:t>
      </w:r>
      <w:r w:rsidRPr="00A00B8B">
        <w:rPr>
          <w:rFonts w:cs="Sylfaen"/>
          <w:b w:val="0"/>
          <w:color w:val="000000"/>
          <w:szCs w:val="22"/>
        </w:rPr>
        <w:t xml:space="preserve"> </w:t>
      </w:r>
      <w:r w:rsidRPr="00A00B8B">
        <w:rPr>
          <w:rFonts w:cs="Sylfaen"/>
          <w:b w:val="0"/>
          <w:color w:val="000000"/>
          <w:szCs w:val="22"/>
          <w:lang w:val="en-US"/>
        </w:rPr>
        <w:t>հար</w:t>
      </w:r>
      <w:r w:rsidRPr="00A00B8B">
        <w:rPr>
          <w:rFonts w:cs="Sylfaen"/>
          <w:b w:val="0"/>
          <w:color w:val="000000"/>
          <w:szCs w:val="22"/>
        </w:rPr>
        <w:softHyphen/>
      </w:r>
      <w:r w:rsidRPr="00A00B8B">
        <w:rPr>
          <w:rFonts w:cs="Sylfaen"/>
          <w:b w:val="0"/>
          <w:color w:val="000000"/>
          <w:szCs w:val="22"/>
          <w:lang w:val="en-US"/>
        </w:rPr>
        <w:t>կա</w:t>
      </w:r>
      <w:r w:rsidRPr="00A00B8B">
        <w:rPr>
          <w:rFonts w:cs="Sylfaen"/>
          <w:b w:val="0"/>
          <w:color w:val="000000"/>
          <w:szCs w:val="22"/>
        </w:rPr>
        <w:softHyphen/>
      </w:r>
      <w:r w:rsidRPr="00A00B8B">
        <w:rPr>
          <w:rFonts w:cs="Sylfaen"/>
          <w:b w:val="0"/>
          <w:color w:val="000000"/>
          <w:szCs w:val="22"/>
          <w:lang w:val="en-US"/>
        </w:rPr>
        <w:t>յին</w:t>
      </w:r>
      <w:r w:rsidRPr="00A00B8B">
        <w:rPr>
          <w:rFonts w:cs="Sylfaen"/>
          <w:b w:val="0"/>
          <w:color w:val="000000"/>
          <w:szCs w:val="22"/>
        </w:rPr>
        <w:t xml:space="preserve"> </w:t>
      </w:r>
      <w:r w:rsidRPr="00A00B8B">
        <w:rPr>
          <w:rFonts w:cs="Sylfaen"/>
          <w:b w:val="0"/>
          <w:color w:val="000000"/>
          <w:szCs w:val="22"/>
          <w:lang w:val="en-US"/>
        </w:rPr>
        <w:t>ծախ</w:t>
      </w:r>
      <w:r w:rsidRPr="00A00B8B">
        <w:rPr>
          <w:rFonts w:cs="Sylfaen"/>
          <w:b w:val="0"/>
          <w:color w:val="000000"/>
          <w:szCs w:val="22"/>
        </w:rPr>
        <w:softHyphen/>
      </w:r>
      <w:r w:rsidRPr="00A00B8B">
        <w:rPr>
          <w:rFonts w:cs="Sylfaen"/>
          <w:b w:val="0"/>
          <w:color w:val="000000"/>
          <w:szCs w:val="22"/>
          <w:lang w:val="en-US"/>
        </w:rPr>
        <w:t>սերի</w:t>
      </w:r>
      <w:r w:rsidRPr="00A00B8B">
        <w:rPr>
          <w:rFonts w:cs="Sylfaen"/>
          <w:b w:val="0"/>
          <w:color w:val="000000"/>
          <w:szCs w:val="22"/>
        </w:rPr>
        <w:t xml:space="preserve"> </w:t>
      </w:r>
      <w:r w:rsidRPr="00A00B8B">
        <w:rPr>
          <w:rFonts w:cs="Sylfaen"/>
          <w:b w:val="0"/>
          <w:color w:val="000000"/>
          <w:szCs w:val="22"/>
          <w:lang w:val="en-US"/>
        </w:rPr>
        <w:t>գնահատմամբ</w:t>
      </w:r>
      <w:r w:rsidRPr="00A00B8B">
        <w:rPr>
          <w:rFonts w:cs="Sylfaen"/>
          <w:b w:val="0"/>
          <w:color w:val="000000"/>
          <w:szCs w:val="22"/>
        </w:rPr>
        <w:t xml:space="preserve"> </w:t>
      </w:r>
      <w:r w:rsidRPr="00A00B8B">
        <w:rPr>
          <w:rFonts w:cs="Sylfaen"/>
          <w:b w:val="0"/>
          <w:color w:val="000000"/>
          <w:szCs w:val="22"/>
          <w:lang w:val="en-US"/>
        </w:rPr>
        <w:t>ամբողջականացվում</w:t>
      </w:r>
      <w:r w:rsidRPr="00A00B8B">
        <w:rPr>
          <w:rFonts w:cs="Sylfaen"/>
          <w:b w:val="0"/>
          <w:color w:val="000000"/>
          <w:szCs w:val="22"/>
        </w:rPr>
        <w:t xml:space="preserve"> </w:t>
      </w:r>
      <w:r w:rsidRPr="00A00B8B">
        <w:rPr>
          <w:rFonts w:cs="Sylfaen"/>
          <w:b w:val="0"/>
          <w:color w:val="000000"/>
          <w:szCs w:val="22"/>
          <w:lang w:val="en-US"/>
        </w:rPr>
        <w:t>է</w:t>
      </w:r>
      <w:r w:rsidRPr="00A00B8B">
        <w:rPr>
          <w:rFonts w:cs="Sylfaen"/>
          <w:b w:val="0"/>
          <w:color w:val="000000"/>
          <w:szCs w:val="22"/>
        </w:rPr>
        <w:t xml:space="preserve"> </w:t>
      </w:r>
      <w:r w:rsidRPr="00A00B8B">
        <w:rPr>
          <w:rFonts w:cs="Sylfaen"/>
          <w:b w:val="0"/>
          <w:color w:val="000000"/>
          <w:szCs w:val="22"/>
          <w:lang w:val="en-US"/>
        </w:rPr>
        <w:t>պետության</w:t>
      </w:r>
      <w:r w:rsidRPr="00A00B8B">
        <w:rPr>
          <w:rFonts w:cs="Sylfaen"/>
          <w:b w:val="0"/>
          <w:color w:val="000000"/>
          <w:szCs w:val="22"/>
        </w:rPr>
        <w:t xml:space="preserve"> </w:t>
      </w:r>
      <w:r w:rsidRPr="00A00B8B">
        <w:rPr>
          <w:rFonts w:cs="Sylfaen"/>
          <w:b w:val="0"/>
          <w:color w:val="000000"/>
          <w:szCs w:val="22"/>
          <w:lang w:val="en-US"/>
        </w:rPr>
        <w:t>կողմից</w:t>
      </w:r>
      <w:r w:rsidRPr="00A00B8B">
        <w:rPr>
          <w:rFonts w:cs="Sylfaen"/>
          <w:b w:val="0"/>
          <w:color w:val="000000"/>
          <w:szCs w:val="22"/>
        </w:rPr>
        <w:t xml:space="preserve"> </w:t>
      </w:r>
      <w:r w:rsidRPr="00A00B8B">
        <w:rPr>
          <w:rFonts w:cs="Sylfaen"/>
          <w:b w:val="0"/>
          <w:color w:val="000000"/>
          <w:szCs w:val="22"/>
          <w:lang w:val="en-US"/>
        </w:rPr>
        <w:t>իրա</w:t>
      </w:r>
      <w:r w:rsidRPr="00A00B8B">
        <w:rPr>
          <w:rFonts w:cs="Sylfaen"/>
          <w:b w:val="0"/>
          <w:color w:val="000000"/>
          <w:szCs w:val="22"/>
        </w:rPr>
        <w:softHyphen/>
      </w:r>
      <w:r w:rsidRPr="00A00B8B">
        <w:rPr>
          <w:rFonts w:cs="Sylfaen"/>
          <w:b w:val="0"/>
          <w:color w:val="000000"/>
          <w:szCs w:val="22"/>
          <w:lang w:val="en-US"/>
        </w:rPr>
        <w:t>կա</w:t>
      </w:r>
      <w:r w:rsidRPr="00A00B8B">
        <w:rPr>
          <w:rFonts w:cs="Sylfaen"/>
          <w:b w:val="0"/>
          <w:color w:val="000000"/>
          <w:szCs w:val="22"/>
        </w:rPr>
        <w:softHyphen/>
      </w:r>
      <w:r w:rsidRPr="00A00B8B">
        <w:rPr>
          <w:rFonts w:cs="Sylfaen"/>
          <w:b w:val="0"/>
          <w:color w:val="000000"/>
          <w:szCs w:val="22"/>
          <w:lang w:val="en-US"/>
        </w:rPr>
        <w:t>նացվող</w:t>
      </w:r>
      <w:r w:rsidRPr="00A00B8B">
        <w:rPr>
          <w:rFonts w:cs="Sylfaen"/>
          <w:b w:val="0"/>
          <w:color w:val="000000"/>
          <w:szCs w:val="22"/>
        </w:rPr>
        <w:t xml:space="preserve">` </w:t>
      </w:r>
      <w:r w:rsidRPr="00A00B8B">
        <w:rPr>
          <w:rFonts w:cs="Sylfaen"/>
          <w:b w:val="0"/>
          <w:color w:val="000000"/>
          <w:szCs w:val="22"/>
          <w:lang w:val="en-US"/>
        </w:rPr>
        <w:t>եկա</w:t>
      </w:r>
      <w:r w:rsidRPr="00A00B8B">
        <w:rPr>
          <w:rFonts w:cs="Sylfaen"/>
          <w:b w:val="0"/>
          <w:color w:val="000000"/>
          <w:szCs w:val="22"/>
        </w:rPr>
        <w:softHyphen/>
      </w:r>
      <w:r w:rsidRPr="00A00B8B">
        <w:rPr>
          <w:rFonts w:cs="Sylfaen"/>
          <w:b w:val="0"/>
          <w:color w:val="000000"/>
          <w:szCs w:val="22"/>
          <w:lang w:val="en-US"/>
        </w:rPr>
        <w:t>մուտ</w:t>
      </w:r>
      <w:r w:rsidRPr="00A00B8B">
        <w:rPr>
          <w:rFonts w:cs="Sylfaen"/>
          <w:b w:val="0"/>
          <w:color w:val="000000"/>
          <w:szCs w:val="22"/>
        </w:rPr>
        <w:softHyphen/>
      </w:r>
      <w:r w:rsidRPr="00A00B8B">
        <w:rPr>
          <w:rFonts w:cs="Sylfaen"/>
          <w:b w:val="0"/>
          <w:color w:val="000000"/>
          <w:szCs w:val="22"/>
          <w:lang w:val="en-US"/>
        </w:rPr>
        <w:t>ների</w:t>
      </w:r>
      <w:r w:rsidRPr="00A00B8B">
        <w:rPr>
          <w:rFonts w:cs="Sylfaen"/>
          <w:b w:val="0"/>
          <w:color w:val="000000"/>
          <w:szCs w:val="22"/>
        </w:rPr>
        <w:t xml:space="preserve"> </w:t>
      </w:r>
      <w:r w:rsidRPr="00A00B8B">
        <w:rPr>
          <w:rFonts w:cs="Sylfaen"/>
          <w:b w:val="0"/>
          <w:color w:val="000000"/>
          <w:szCs w:val="22"/>
          <w:lang w:val="en-US"/>
        </w:rPr>
        <w:t>վերա</w:t>
      </w:r>
      <w:r w:rsidRPr="00A00B8B">
        <w:rPr>
          <w:rFonts w:cs="Sylfaen"/>
          <w:b w:val="0"/>
          <w:color w:val="000000"/>
          <w:szCs w:val="22"/>
        </w:rPr>
        <w:softHyphen/>
      </w:r>
      <w:r w:rsidRPr="00A00B8B">
        <w:rPr>
          <w:rFonts w:cs="Sylfaen"/>
          <w:b w:val="0"/>
          <w:color w:val="000000"/>
          <w:szCs w:val="22"/>
          <w:lang w:val="en-US"/>
        </w:rPr>
        <w:t>բաշխման</w:t>
      </w:r>
      <w:r w:rsidRPr="00A00B8B">
        <w:rPr>
          <w:rFonts w:cs="Sylfaen"/>
          <w:b w:val="0"/>
          <w:color w:val="000000"/>
          <w:szCs w:val="22"/>
        </w:rPr>
        <w:t xml:space="preserve"> </w:t>
      </w:r>
      <w:r w:rsidRPr="00A00B8B">
        <w:rPr>
          <w:rFonts w:cs="Sylfaen"/>
          <w:b w:val="0"/>
          <w:color w:val="000000"/>
          <w:szCs w:val="22"/>
          <w:lang w:val="en-US"/>
        </w:rPr>
        <w:t>գործառույթի</w:t>
      </w:r>
      <w:r w:rsidRPr="00A00B8B">
        <w:rPr>
          <w:rFonts w:cs="Sylfaen"/>
          <w:b w:val="0"/>
          <w:color w:val="000000"/>
          <w:szCs w:val="22"/>
        </w:rPr>
        <w:t xml:space="preserve"> </w:t>
      </w:r>
      <w:r w:rsidRPr="00A00B8B">
        <w:rPr>
          <w:rFonts w:cs="Sylfaen"/>
          <w:b w:val="0"/>
          <w:color w:val="000000"/>
          <w:szCs w:val="22"/>
          <w:lang w:val="en-US"/>
        </w:rPr>
        <w:t>շրջանակներն</w:t>
      </w:r>
      <w:r w:rsidRPr="00A00B8B">
        <w:rPr>
          <w:rFonts w:cs="Sylfaen"/>
          <w:b w:val="0"/>
          <w:color w:val="000000"/>
          <w:szCs w:val="22"/>
        </w:rPr>
        <w:t xml:space="preserve"> </w:t>
      </w:r>
      <w:r w:rsidRPr="00A00B8B">
        <w:rPr>
          <w:rFonts w:cs="Sylfaen"/>
          <w:b w:val="0"/>
          <w:color w:val="000000"/>
          <w:szCs w:val="22"/>
          <w:lang w:val="en-US"/>
        </w:rPr>
        <w:t>ու</w:t>
      </w:r>
      <w:r w:rsidRPr="00A00B8B">
        <w:rPr>
          <w:rFonts w:cs="Sylfaen"/>
          <w:b w:val="0"/>
          <w:color w:val="000000"/>
          <w:szCs w:val="22"/>
        </w:rPr>
        <w:t xml:space="preserve"> </w:t>
      </w:r>
      <w:r w:rsidRPr="00A00B8B">
        <w:rPr>
          <w:rFonts w:cs="Sylfaen"/>
          <w:b w:val="0"/>
          <w:color w:val="000000"/>
          <w:szCs w:val="22"/>
          <w:lang w:val="en-US"/>
        </w:rPr>
        <w:t>արդյունավե</w:t>
      </w:r>
      <w:r w:rsidRPr="00A00B8B">
        <w:rPr>
          <w:rFonts w:cs="Sylfaen"/>
          <w:b w:val="0"/>
          <w:color w:val="000000"/>
          <w:szCs w:val="22"/>
        </w:rPr>
        <w:softHyphen/>
      </w:r>
      <w:r w:rsidRPr="00A00B8B">
        <w:rPr>
          <w:rFonts w:cs="Sylfaen"/>
          <w:b w:val="0"/>
          <w:color w:val="000000"/>
          <w:szCs w:val="22"/>
          <w:lang w:val="en-US"/>
        </w:rPr>
        <w:t>տու</w:t>
      </w:r>
      <w:r w:rsidRPr="00A00B8B">
        <w:rPr>
          <w:rFonts w:cs="Sylfaen"/>
          <w:b w:val="0"/>
          <w:color w:val="000000"/>
          <w:szCs w:val="22"/>
        </w:rPr>
        <w:softHyphen/>
      </w:r>
      <w:r w:rsidRPr="00A00B8B">
        <w:rPr>
          <w:rFonts w:cs="Sylfaen"/>
          <w:b w:val="0"/>
          <w:color w:val="000000"/>
          <w:szCs w:val="22"/>
          <w:lang w:val="en-US"/>
        </w:rPr>
        <w:t>թյունը</w:t>
      </w:r>
      <w:r w:rsidRPr="00A00B8B">
        <w:rPr>
          <w:rFonts w:cs="Sylfaen"/>
          <w:b w:val="0"/>
          <w:color w:val="000000"/>
          <w:szCs w:val="22"/>
        </w:rPr>
        <w:t>:</w:t>
      </w:r>
    </w:p>
    <w:p w:rsidR="00A00B8B" w:rsidRPr="00A00B8B" w:rsidRDefault="00A00B8B" w:rsidP="007730AA">
      <w:pPr>
        <w:shd w:val="clear" w:color="auto" w:fill="FFFFFF"/>
        <w:spacing w:before="0" w:line="276" w:lineRule="auto"/>
        <w:contextualSpacing w:val="0"/>
        <w:rPr>
          <w:rFonts w:cs="Sylfaen"/>
          <w:b w:val="0"/>
          <w:color w:val="000000"/>
          <w:szCs w:val="22"/>
        </w:rPr>
      </w:pPr>
      <w:r w:rsidRPr="00A00B8B">
        <w:rPr>
          <w:rFonts w:cs="Sylfaen"/>
          <w:b w:val="0"/>
          <w:color w:val="000000"/>
          <w:szCs w:val="22"/>
          <w:lang w:val="en-US"/>
        </w:rPr>
        <w:t>Հարկային</w:t>
      </w:r>
      <w:r w:rsidRPr="00A00B8B">
        <w:rPr>
          <w:rFonts w:cs="Sylfaen"/>
          <w:b w:val="0"/>
          <w:color w:val="000000"/>
          <w:szCs w:val="22"/>
        </w:rPr>
        <w:t xml:space="preserve"> </w:t>
      </w:r>
      <w:r w:rsidRPr="00A00B8B">
        <w:rPr>
          <w:rFonts w:cs="Sylfaen"/>
          <w:b w:val="0"/>
          <w:color w:val="000000"/>
          <w:szCs w:val="22"/>
          <w:lang w:val="en-US"/>
        </w:rPr>
        <w:t>ծախսերի</w:t>
      </w:r>
      <w:r w:rsidRPr="00A00B8B">
        <w:rPr>
          <w:rFonts w:cs="Sylfaen"/>
          <w:b w:val="0"/>
          <w:color w:val="000000"/>
          <w:szCs w:val="22"/>
        </w:rPr>
        <w:t xml:space="preserve"> </w:t>
      </w:r>
      <w:r w:rsidRPr="00A00B8B">
        <w:rPr>
          <w:rFonts w:cs="Sylfaen"/>
          <w:b w:val="0"/>
          <w:color w:val="000000"/>
          <w:szCs w:val="22"/>
          <w:lang w:val="en-US"/>
        </w:rPr>
        <w:t>գնահատականի</w:t>
      </w:r>
      <w:r w:rsidRPr="00A00B8B">
        <w:rPr>
          <w:rFonts w:cs="Sylfaen"/>
          <w:b w:val="0"/>
          <w:color w:val="000000"/>
          <w:szCs w:val="22"/>
        </w:rPr>
        <w:t xml:space="preserve"> </w:t>
      </w:r>
      <w:r w:rsidRPr="00A00B8B">
        <w:rPr>
          <w:rFonts w:cs="Sylfaen"/>
          <w:b w:val="0"/>
          <w:color w:val="000000"/>
          <w:szCs w:val="22"/>
          <w:lang w:val="en-US"/>
        </w:rPr>
        <w:t>վերաբերյալ</w:t>
      </w:r>
      <w:r w:rsidRPr="00A00B8B">
        <w:rPr>
          <w:rFonts w:cs="Sylfaen"/>
          <w:b w:val="0"/>
          <w:color w:val="000000"/>
          <w:szCs w:val="22"/>
        </w:rPr>
        <w:t xml:space="preserve"> </w:t>
      </w:r>
      <w:r w:rsidRPr="00A00B8B">
        <w:rPr>
          <w:rFonts w:cs="Sylfaen"/>
          <w:b w:val="0"/>
          <w:color w:val="000000"/>
          <w:szCs w:val="22"/>
          <w:lang w:val="en-US"/>
        </w:rPr>
        <w:t>տեղեկատվությունը</w:t>
      </w:r>
      <w:r w:rsidRPr="00A00B8B">
        <w:rPr>
          <w:rFonts w:cs="Sylfaen"/>
          <w:b w:val="0"/>
          <w:color w:val="000000"/>
          <w:szCs w:val="22"/>
        </w:rPr>
        <w:t xml:space="preserve"> </w:t>
      </w:r>
      <w:r w:rsidRPr="00A00B8B">
        <w:rPr>
          <w:rFonts w:cs="Sylfaen"/>
          <w:b w:val="0"/>
          <w:color w:val="000000"/>
          <w:szCs w:val="22"/>
          <w:lang w:val="en-US"/>
        </w:rPr>
        <w:t>թափանցիկ</w:t>
      </w:r>
      <w:r w:rsidRPr="00A00B8B">
        <w:rPr>
          <w:rFonts w:cs="Sylfaen"/>
          <w:b w:val="0"/>
          <w:color w:val="000000"/>
          <w:szCs w:val="22"/>
        </w:rPr>
        <w:t xml:space="preserve"> </w:t>
      </w:r>
      <w:r w:rsidRPr="00A00B8B">
        <w:rPr>
          <w:rFonts w:cs="Sylfaen"/>
          <w:b w:val="0"/>
          <w:color w:val="000000"/>
          <w:szCs w:val="22"/>
          <w:lang w:val="en-US"/>
        </w:rPr>
        <w:t>և</w:t>
      </w:r>
      <w:r w:rsidRPr="00A00B8B">
        <w:rPr>
          <w:rFonts w:cs="Sylfaen"/>
          <w:b w:val="0"/>
          <w:color w:val="000000"/>
          <w:szCs w:val="22"/>
        </w:rPr>
        <w:t xml:space="preserve"> </w:t>
      </w:r>
      <w:r w:rsidRPr="00A00B8B">
        <w:rPr>
          <w:rFonts w:cs="Sylfaen"/>
          <w:b w:val="0"/>
          <w:color w:val="000000"/>
          <w:szCs w:val="22"/>
          <w:lang w:val="en-US"/>
        </w:rPr>
        <w:t>շահա</w:t>
      </w:r>
      <w:r w:rsidRPr="00A00B8B">
        <w:rPr>
          <w:rFonts w:cs="Sylfaen"/>
          <w:b w:val="0"/>
          <w:color w:val="000000"/>
          <w:szCs w:val="22"/>
        </w:rPr>
        <w:softHyphen/>
      </w:r>
      <w:r w:rsidRPr="00A00B8B">
        <w:rPr>
          <w:rFonts w:cs="Sylfaen"/>
          <w:b w:val="0"/>
          <w:color w:val="000000"/>
          <w:szCs w:val="22"/>
          <w:lang w:val="en-US"/>
        </w:rPr>
        <w:t>ռուների</w:t>
      </w:r>
      <w:r w:rsidRPr="00A00B8B">
        <w:rPr>
          <w:rFonts w:cs="Sylfaen"/>
          <w:b w:val="0"/>
          <w:color w:val="000000"/>
          <w:szCs w:val="22"/>
        </w:rPr>
        <w:t xml:space="preserve"> </w:t>
      </w:r>
      <w:r w:rsidRPr="00A00B8B">
        <w:rPr>
          <w:rFonts w:cs="Sylfaen"/>
          <w:b w:val="0"/>
          <w:color w:val="000000"/>
          <w:szCs w:val="22"/>
          <w:lang w:val="en-US"/>
        </w:rPr>
        <w:t>տարբեր</w:t>
      </w:r>
      <w:r w:rsidRPr="00A00B8B">
        <w:rPr>
          <w:rFonts w:cs="Sylfaen"/>
          <w:b w:val="0"/>
          <w:color w:val="000000"/>
          <w:szCs w:val="22"/>
        </w:rPr>
        <w:t xml:space="preserve"> </w:t>
      </w:r>
      <w:r w:rsidRPr="00A00B8B">
        <w:rPr>
          <w:rFonts w:cs="Sylfaen"/>
          <w:b w:val="0"/>
          <w:color w:val="000000"/>
          <w:szCs w:val="22"/>
          <w:lang w:val="en-US"/>
        </w:rPr>
        <w:t>խմբերի</w:t>
      </w:r>
      <w:r w:rsidRPr="00A00B8B">
        <w:rPr>
          <w:rFonts w:cs="Sylfaen"/>
          <w:b w:val="0"/>
          <w:color w:val="000000"/>
          <w:szCs w:val="22"/>
        </w:rPr>
        <w:t xml:space="preserve"> </w:t>
      </w:r>
      <w:r w:rsidRPr="00A00B8B">
        <w:rPr>
          <w:rFonts w:cs="Sylfaen"/>
          <w:b w:val="0"/>
          <w:color w:val="000000"/>
          <w:szCs w:val="22"/>
          <w:lang w:val="en-US"/>
        </w:rPr>
        <w:t>համար</w:t>
      </w:r>
      <w:r w:rsidRPr="00A00B8B">
        <w:rPr>
          <w:rFonts w:cs="Sylfaen"/>
          <w:b w:val="0"/>
          <w:color w:val="000000"/>
          <w:szCs w:val="22"/>
        </w:rPr>
        <w:t xml:space="preserve"> </w:t>
      </w:r>
      <w:r w:rsidRPr="00A00B8B">
        <w:rPr>
          <w:rFonts w:cs="Sylfaen"/>
          <w:b w:val="0"/>
          <w:color w:val="000000"/>
          <w:szCs w:val="22"/>
          <w:lang w:val="en-US"/>
        </w:rPr>
        <w:t>հասանելի</w:t>
      </w:r>
      <w:r w:rsidRPr="00A00B8B">
        <w:rPr>
          <w:rFonts w:cs="Sylfaen"/>
          <w:b w:val="0"/>
          <w:color w:val="000000"/>
          <w:szCs w:val="22"/>
        </w:rPr>
        <w:t xml:space="preserve"> </w:t>
      </w:r>
      <w:r w:rsidRPr="00A00B8B">
        <w:rPr>
          <w:rFonts w:cs="Sylfaen"/>
          <w:b w:val="0"/>
          <w:color w:val="000000"/>
          <w:szCs w:val="22"/>
          <w:lang w:val="en-US"/>
        </w:rPr>
        <w:t>դարձնելու</w:t>
      </w:r>
      <w:r w:rsidRPr="00A00B8B">
        <w:rPr>
          <w:rFonts w:cs="Sylfaen"/>
          <w:b w:val="0"/>
          <w:color w:val="000000"/>
          <w:szCs w:val="22"/>
        </w:rPr>
        <w:t xml:space="preserve"> </w:t>
      </w:r>
      <w:r w:rsidRPr="00A00B8B">
        <w:rPr>
          <w:rFonts w:cs="Sylfaen"/>
          <w:b w:val="0"/>
          <w:color w:val="000000"/>
          <w:szCs w:val="22"/>
          <w:lang w:val="en-US"/>
        </w:rPr>
        <w:t>նպատակով</w:t>
      </w:r>
      <w:r w:rsidRPr="00A00B8B">
        <w:rPr>
          <w:rFonts w:cs="Sylfaen"/>
          <w:b w:val="0"/>
          <w:color w:val="000000"/>
          <w:szCs w:val="22"/>
        </w:rPr>
        <w:t xml:space="preserve">, </w:t>
      </w:r>
      <w:r w:rsidRPr="00A00B8B">
        <w:rPr>
          <w:rFonts w:cs="Sylfaen"/>
          <w:b w:val="0"/>
          <w:color w:val="000000"/>
          <w:szCs w:val="22"/>
          <w:lang w:val="en-US"/>
        </w:rPr>
        <w:t>որոշ</w:t>
      </w:r>
      <w:r w:rsidRPr="00A00B8B">
        <w:rPr>
          <w:rFonts w:cs="Sylfaen"/>
          <w:b w:val="0"/>
          <w:color w:val="000000"/>
          <w:szCs w:val="22"/>
        </w:rPr>
        <w:t xml:space="preserve"> </w:t>
      </w:r>
      <w:r w:rsidRPr="00A00B8B">
        <w:rPr>
          <w:rFonts w:cs="Sylfaen"/>
          <w:b w:val="0"/>
          <w:color w:val="000000"/>
          <w:szCs w:val="22"/>
          <w:lang w:val="en-US"/>
        </w:rPr>
        <w:t>երկրներ</w:t>
      </w:r>
      <w:r w:rsidRPr="00A00B8B">
        <w:rPr>
          <w:rFonts w:cs="Sylfaen"/>
          <w:b w:val="0"/>
          <w:color w:val="000000"/>
          <w:szCs w:val="22"/>
        </w:rPr>
        <w:t xml:space="preserve"> </w:t>
      </w:r>
      <w:r w:rsidRPr="00A00B8B">
        <w:rPr>
          <w:rFonts w:cs="Sylfaen"/>
          <w:b w:val="0"/>
          <w:color w:val="000000"/>
          <w:szCs w:val="22"/>
          <w:lang w:val="en-US"/>
        </w:rPr>
        <w:t>այդ</w:t>
      </w:r>
      <w:r w:rsidRPr="00A00B8B">
        <w:rPr>
          <w:rFonts w:cs="Sylfaen"/>
          <w:b w:val="0"/>
          <w:color w:val="000000"/>
          <w:szCs w:val="22"/>
        </w:rPr>
        <w:t xml:space="preserve"> </w:t>
      </w:r>
      <w:r w:rsidRPr="00A00B8B">
        <w:rPr>
          <w:rFonts w:cs="Sylfaen"/>
          <w:b w:val="0"/>
          <w:color w:val="000000"/>
          <w:szCs w:val="22"/>
          <w:lang w:val="en-US"/>
        </w:rPr>
        <w:t>տեղեկատվությունը</w:t>
      </w:r>
      <w:r w:rsidRPr="00A00B8B">
        <w:rPr>
          <w:rFonts w:cs="Sylfaen"/>
          <w:b w:val="0"/>
          <w:color w:val="000000"/>
          <w:szCs w:val="22"/>
        </w:rPr>
        <w:t xml:space="preserve"> </w:t>
      </w:r>
      <w:r w:rsidRPr="00A00B8B">
        <w:rPr>
          <w:rFonts w:cs="Sylfaen"/>
          <w:b w:val="0"/>
          <w:color w:val="000000"/>
          <w:szCs w:val="22"/>
          <w:lang w:val="en-US"/>
        </w:rPr>
        <w:t>ներառում</w:t>
      </w:r>
      <w:r w:rsidRPr="00A00B8B">
        <w:rPr>
          <w:rFonts w:cs="Sylfaen"/>
          <w:b w:val="0"/>
          <w:color w:val="000000"/>
          <w:szCs w:val="22"/>
        </w:rPr>
        <w:t xml:space="preserve"> </w:t>
      </w:r>
      <w:r w:rsidRPr="00A00B8B">
        <w:rPr>
          <w:rFonts w:cs="Sylfaen"/>
          <w:b w:val="0"/>
          <w:color w:val="000000"/>
          <w:szCs w:val="22"/>
          <w:lang w:val="en-US"/>
        </w:rPr>
        <w:t>են</w:t>
      </w:r>
      <w:r w:rsidRPr="00A00B8B">
        <w:rPr>
          <w:rFonts w:cs="Sylfaen"/>
          <w:b w:val="0"/>
          <w:color w:val="000000"/>
          <w:szCs w:val="22"/>
        </w:rPr>
        <w:t xml:space="preserve"> </w:t>
      </w:r>
      <w:r w:rsidRPr="00A00B8B">
        <w:rPr>
          <w:rFonts w:cs="Sylfaen"/>
          <w:b w:val="0"/>
          <w:color w:val="000000"/>
          <w:szCs w:val="22"/>
          <w:lang w:val="en-US"/>
        </w:rPr>
        <w:t>առաջիկա</w:t>
      </w:r>
      <w:r w:rsidRPr="00A00B8B">
        <w:rPr>
          <w:rFonts w:cs="Sylfaen"/>
          <w:b w:val="0"/>
          <w:color w:val="000000"/>
          <w:szCs w:val="22"/>
        </w:rPr>
        <w:t xml:space="preserve"> </w:t>
      </w:r>
      <w:r w:rsidRPr="00A00B8B">
        <w:rPr>
          <w:rFonts w:cs="Sylfaen"/>
          <w:b w:val="0"/>
          <w:color w:val="000000"/>
          <w:szCs w:val="22"/>
          <w:lang w:val="en-US"/>
        </w:rPr>
        <w:t>տարվա</w:t>
      </w:r>
      <w:r w:rsidRPr="00A00B8B">
        <w:rPr>
          <w:rFonts w:cs="Sylfaen"/>
          <w:b w:val="0"/>
          <w:color w:val="000000"/>
          <w:szCs w:val="22"/>
        </w:rPr>
        <w:t xml:space="preserve"> </w:t>
      </w:r>
      <w:r w:rsidRPr="00A00B8B">
        <w:rPr>
          <w:rFonts w:cs="Sylfaen"/>
          <w:b w:val="0"/>
          <w:color w:val="000000"/>
          <w:szCs w:val="22"/>
          <w:lang w:val="en-US"/>
        </w:rPr>
        <w:t>համար</w:t>
      </w:r>
      <w:r w:rsidRPr="00A00B8B">
        <w:rPr>
          <w:rFonts w:cs="Sylfaen"/>
          <w:b w:val="0"/>
          <w:color w:val="000000"/>
          <w:szCs w:val="22"/>
        </w:rPr>
        <w:t xml:space="preserve"> </w:t>
      </w:r>
      <w:r w:rsidRPr="00A00B8B">
        <w:rPr>
          <w:rFonts w:cs="Sylfaen"/>
          <w:b w:val="0"/>
          <w:color w:val="000000"/>
          <w:szCs w:val="22"/>
          <w:lang w:val="en-US"/>
        </w:rPr>
        <w:t>մշակվող</w:t>
      </w:r>
      <w:r w:rsidRPr="00A00B8B">
        <w:rPr>
          <w:rFonts w:cs="Sylfaen"/>
          <w:b w:val="0"/>
          <w:color w:val="000000"/>
          <w:szCs w:val="22"/>
        </w:rPr>
        <w:t xml:space="preserve"> </w:t>
      </w:r>
      <w:r w:rsidRPr="00A00B8B">
        <w:rPr>
          <w:rFonts w:cs="Sylfaen"/>
          <w:b w:val="0"/>
          <w:color w:val="000000"/>
          <w:szCs w:val="22"/>
          <w:lang w:val="en-US"/>
        </w:rPr>
        <w:t>բյուջեի</w:t>
      </w:r>
      <w:r w:rsidRPr="00A00B8B">
        <w:rPr>
          <w:rFonts w:cs="Sylfaen"/>
          <w:b w:val="0"/>
          <w:color w:val="000000"/>
          <w:szCs w:val="22"/>
        </w:rPr>
        <w:t xml:space="preserve"> </w:t>
      </w:r>
      <w:r w:rsidRPr="00A00B8B">
        <w:rPr>
          <w:rFonts w:cs="Sylfaen"/>
          <w:b w:val="0"/>
          <w:color w:val="000000"/>
          <w:szCs w:val="22"/>
          <w:lang w:val="en-US"/>
        </w:rPr>
        <w:t>բացատ</w:t>
      </w:r>
      <w:r w:rsidRPr="00A00B8B">
        <w:rPr>
          <w:rFonts w:cs="Sylfaen"/>
          <w:b w:val="0"/>
          <w:color w:val="000000"/>
          <w:szCs w:val="22"/>
        </w:rPr>
        <w:softHyphen/>
      </w:r>
      <w:r w:rsidRPr="00A00B8B">
        <w:rPr>
          <w:rFonts w:cs="Sylfaen"/>
          <w:b w:val="0"/>
          <w:color w:val="000000"/>
          <w:szCs w:val="22"/>
          <w:lang w:val="en-US"/>
        </w:rPr>
        <w:t>րա</w:t>
      </w:r>
      <w:r w:rsidRPr="00A00B8B">
        <w:rPr>
          <w:rFonts w:cs="Sylfaen"/>
          <w:b w:val="0"/>
          <w:color w:val="000000"/>
          <w:szCs w:val="22"/>
        </w:rPr>
        <w:softHyphen/>
      </w:r>
      <w:r w:rsidRPr="00A00B8B">
        <w:rPr>
          <w:rFonts w:cs="Sylfaen"/>
          <w:b w:val="0"/>
          <w:color w:val="000000"/>
          <w:szCs w:val="22"/>
          <w:lang w:val="en-US"/>
        </w:rPr>
        <w:t>գրում</w:t>
      </w:r>
      <w:r w:rsidRPr="00A00B8B">
        <w:rPr>
          <w:rFonts w:cs="Sylfaen"/>
          <w:b w:val="0"/>
          <w:color w:val="000000"/>
          <w:szCs w:val="22"/>
        </w:rPr>
        <w:t>:</w:t>
      </w:r>
    </w:p>
    <w:p w:rsidR="00A00B8B" w:rsidRPr="00A00B8B" w:rsidRDefault="00A00B8B" w:rsidP="007730AA">
      <w:pPr>
        <w:shd w:val="clear" w:color="auto" w:fill="FFFFFF"/>
        <w:spacing w:before="0" w:line="276" w:lineRule="auto"/>
        <w:contextualSpacing w:val="0"/>
        <w:rPr>
          <w:rFonts w:cs="Sylfaen"/>
          <w:b w:val="0"/>
          <w:color w:val="000000"/>
          <w:szCs w:val="22"/>
        </w:rPr>
      </w:pPr>
      <w:r w:rsidRPr="00A00B8B">
        <w:rPr>
          <w:rFonts w:cs="Sylfaen"/>
          <w:b w:val="0"/>
          <w:color w:val="000000"/>
          <w:szCs w:val="22"/>
          <w:lang w:val="en-US"/>
        </w:rPr>
        <w:t>Հայաստանի</w:t>
      </w:r>
      <w:r w:rsidRPr="00A00B8B">
        <w:rPr>
          <w:rFonts w:cs="Sylfaen"/>
          <w:b w:val="0"/>
          <w:color w:val="000000"/>
          <w:szCs w:val="22"/>
        </w:rPr>
        <w:t xml:space="preserve"> </w:t>
      </w:r>
      <w:r w:rsidRPr="00A00B8B">
        <w:rPr>
          <w:rFonts w:cs="Sylfaen"/>
          <w:b w:val="0"/>
          <w:color w:val="000000"/>
          <w:szCs w:val="22"/>
          <w:lang w:val="en-US"/>
        </w:rPr>
        <w:t>Հանրա</w:t>
      </w:r>
      <w:r w:rsidRPr="00A00B8B">
        <w:rPr>
          <w:rFonts w:cs="Sylfaen"/>
          <w:b w:val="0"/>
          <w:color w:val="000000"/>
          <w:szCs w:val="22"/>
        </w:rPr>
        <w:softHyphen/>
      </w:r>
      <w:r w:rsidRPr="00A00B8B">
        <w:rPr>
          <w:rFonts w:cs="Sylfaen"/>
          <w:b w:val="0"/>
          <w:color w:val="000000"/>
          <w:szCs w:val="22"/>
          <w:lang w:val="en-US"/>
        </w:rPr>
        <w:t>պե</w:t>
      </w:r>
      <w:r w:rsidRPr="00A00B8B">
        <w:rPr>
          <w:rFonts w:cs="Sylfaen"/>
          <w:b w:val="0"/>
          <w:color w:val="000000"/>
          <w:szCs w:val="22"/>
        </w:rPr>
        <w:softHyphen/>
      </w:r>
      <w:r w:rsidRPr="00A00B8B">
        <w:rPr>
          <w:rFonts w:cs="Sylfaen"/>
          <w:b w:val="0"/>
          <w:color w:val="000000"/>
          <w:szCs w:val="22"/>
          <w:lang w:val="en-US"/>
        </w:rPr>
        <w:t>տու</w:t>
      </w:r>
      <w:r w:rsidRPr="00A00B8B">
        <w:rPr>
          <w:rFonts w:cs="Sylfaen"/>
          <w:b w:val="0"/>
          <w:color w:val="000000"/>
          <w:szCs w:val="22"/>
        </w:rPr>
        <w:softHyphen/>
      </w:r>
      <w:r w:rsidRPr="00A00B8B">
        <w:rPr>
          <w:rFonts w:cs="Sylfaen"/>
          <w:b w:val="0"/>
          <w:color w:val="000000"/>
          <w:szCs w:val="22"/>
          <w:lang w:val="en-US"/>
        </w:rPr>
        <w:t>թյունում</w:t>
      </w:r>
      <w:r w:rsidRPr="00A00B8B">
        <w:rPr>
          <w:rFonts w:cs="Sylfaen"/>
          <w:b w:val="0"/>
          <w:color w:val="000000"/>
          <w:szCs w:val="22"/>
        </w:rPr>
        <w:t xml:space="preserve"> </w:t>
      </w:r>
      <w:r w:rsidRPr="00A00B8B">
        <w:rPr>
          <w:rFonts w:cs="Sylfaen"/>
          <w:b w:val="0"/>
          <w:color w:val="000000"/>
          <w:szCs w:val="22"/>
          <w:lang w:val="en-US"/>
        </w:rPr>
        <w:t>առաջին</w:t>
      </w:r>
      <w:r w:rsidRPr="00A00B8B">
        <w:rPr>
          <w:rFonts w:cs="Sylfaen"/>
          <w:b w:val="0"/>
          <w:color w:val="000000"/>
          <w:szCs w:val="22"/>
        </w:rPr>
        <w:t xml:space="preserve"> </w:t>
      </w:r>
      <w:r w:rsidRPr="00A00B8B">
        <w:rPr>
          <w:rFonts w:cs="Sylfaen"/>
          <w:b w:val="0"/>
          <w:color w:val="000000"/>
          <w:szCs w:val="22"/>
          <w:lang w:val="en-US"/>
        </w:rPr>
        <w:t>անգամ</w:t>
      </w:r>
      <w:r w:rsidRPr="00A00B8B">
        <w:rPr>
          <w:rFonts w:cs="Sylfaen"/>
          <w:b w:val="0"/>
          <w:color w:val="000000"/>
          <w:szCs w:val="22"/>
        </w:rPr>
        <w:t xml:space="preserve"> </w:t>
      </w:r>
      <w:r w:rsidRPr="00A00B8B">
        <w:rPr>
          <w:rFonts w:cs="Sylfaen"/>
          <w:b w:val="0"/>
          <w:color w:val="000000"/>
          <w:szCs w:val="22"/>
          <w:lang w:val="en-US"/>
        </w:rPr>
        <w:t>հարկային</w:t>
      </w:r>
      <w:r w:rsidRPr="00A00B8B">
        <w:rPr>
          <w:rFonts w:cs="Sylfaen"/>
          <w:b w:val="0"/>
          <w:color w:val="000000"/>
          <w:szCs w:val="22"/>
        </w:rPr>
        <w:t xml:space="preserve"> </w:t>
      </w:r>
      <w:r w:rsidRPr="00A00B8B">
        <w:rPr>
          <w:rFonts w:cs="Sylfaen"/>
          <w:b w:val="0"/>
          <w:color w:val="000000"/>
          <w:szCs w:val="22"/>
          <w:lang w:val="en-US"/>
        </w:rPr>
        <w:t>ծախսերի</w:t>
      </w:r>
      <w:r w:rsidRPr="00A00B8B">
        <w:rPr>
          <w:rFonts w:cs="Sylfaen"/>
          <w:b w:val="0"/>
          <w:color w:val="000000"/>
          <w:szCs w:val="22"/>
        </w:rPr>
        <w:t xml:space="preserve"> </w:t>
      </w:r>
      <w:r w:rsidRPr="00A00B8B">
        <w:rPr>
          <w:rFonts w:cs="Sylfaen"/>
          <w:b w:val="0"/>
          <w:color w:val="000000"/>
          <w:szCs w:val="22"/>
          <w:lang w:val="en-US"/>
        </w:rPr>
        <w:t>մեծությունը</w:t>
      </w:r>
      <w:r w:rsidRPr="00A00B8B">
        <w:rPr>
          <w:rFonts w:cs="Sylfaen"/>
          <w:b w:val="0"/>
          <w:color w:val="000000"/>
          <w:szCs w:val="22"/>
        </w:rPr>
        <w:t xml:space="preserve"> </w:t>
      </w:r>
      <w:r w:rsidRPr="00A00B8B">
        <w:rPr>
          <w:rFonts w:cs="Sylfaen"/>
          <w:b w:val="0"/>
          <w:color w:val="000000"/>
          <w:szCs w:val="22"/>
          <w:lang w:val="en-US"/>
        </w:rPr>
        <w:t>գնահատվել</w:t>
      </w:r>
      <w:r w:rsidRPr="00A00B8B">
        <w:rPr>
          <w:rFonts w:cs="Sylfaen"/>
          <w:b w:val="0"/>
          <w:color w:val="000000"/>
          <w:szCs w:val="22"/>
        </w:rPr>
        <w:t xml:space="preserve"> </w:t>
      </w:r>
      <w:r w:rsidRPr="00A00B8B">
        <w:rPr>
          <w:rFonts w:cs="Sylfaen"/>
          <w:b w:val="0"/>
          <w:color w:val="000000"/>
          <w:szCs w:val="22"/>
          <w:lang w:val="en-US"/>
        </w:rPr>
        <w:t>է</w:t>
      </w:r>
      <w:r w:rsidRPr="00A00B8B">
        <w:rPr>
          <w:rFonts w:cs="Sylfaen"/>
          <w:b w:val="0"/>
          <w:color w:val="000000"/>
          <w:szCs w:val="22"/>
        </w:rPr>
        <w:t xml:space="preserve"> 2015</w:t>
      </w:r>
      <w:r w:rsidRPr="00A00B8B">
        <w:rPr>
          <w:rFonts w:cs="Sylfaen"/>
          <w:b w:val="0"/>
          <w:color w:val="000000"/>
          <w:szCs w:val="22"/>
          <w:lang w:val="en-US"/>
        </w:rPr>
        <w:t>թ</w:t>
      </w:r>
      <w:r w:rsidRPr="00A00B8B">
        <w:rPr>
          <w:rFonts w:cs="Sylfaen"/>
          <w:b w:val="0"/>
          <w:color w:val="000000"/>
          <w:szCs w:val="22"/>
        </w:rPr>
        <w:t xml:space="preserve">. </w:t>
      </w:r>
      <w:r w:rsidRPr="00A00B8B">
        <w:rPr>
          <w:rFonts w:cs="Sylfaen"/>
          <w:b w:val="0"/>
          <w:color w:val="000000"/>
          <w:szCs w:val="22"/>
          <w:lang w:val="en-US"/>
        </w:rPr>
        <w:t>համար</w:t>
      </w:r>
      <w:r w:rsidRPr="00A00B8B">
        <w:rPr>
          <w:rFonts w:cs="Sylfaen"/>
          <w:b w:val="0"/>
          <w:color w:val="000000"/>
          <w:szCs w:val="22"/>
        </w:rPr>
        <w:t xml:space="preserve">, </w:t>
      </w:r>
      <w:r w:rsidRPr="00A00B8B">
        <w:rPr>
          <w:rFonts w:cs="Sylfaen"/>
          <w:b w:val="0"/>
          <w:color w:val="000000"/>
          <w:szCs w:val="22"/>
          <w:lang w:val="en-US"/>
        </w:rPr>
        <w:t>որը</w:t>
      </w:r>
      <w:r w:rsidRPr="00A00B8B">
        <w:rPr>
          <w:rFonts w:cs="Sylfaen"/>
          <w:b w:val="0"/>
          <w:color w:val="000000"/>
          <w:szCs w:val="22"/>
        </w:rPr>
        <w:t xml:space="preserve"> </w:t>
      </w:r>
      <w:r w:rsidRPr="00A00B8B">
        <w:rPr>
          <w:rFonts w:cs="Sylfaen"/>
          <w:b w:val="0"/>
          <w:color w:val="000000"/>
          <w:szCs w:val="22"/>
          <w:lang w:val="en-US"/>
        </w:rPr>
        <w:t>ներառ</w:t>
      </w:r>
      <w:r w:rsidRPr="00A00B8B">
        <w:rPr>
          <w:rFonts w:cs="Sylfaen"/>
          <w:b w:val="0"/>
          <w:color w:val="000000"/>
          <w:szCs w:val="22"/>
        </w:rPr>
        <w:softHyphen/>
      </w:r>
      <w:r w:rsidRPr="00A00B8B">
        <w:rPr>
          <w:rFonts w:cs="Sylfaen"/>
          <w:b w:val="0"/>
          <w:color w:val="000000"/>
          <w:szCs w:val="22"/>
          <w:lang w:val="en-US"/>
        </w:rPr>
        <w:t>վել</w:t>
      </w:r>
      <w:r w:rsidRPr="00A00B8B">
        <w:rPr>
          <w:rFonts w:cs="Sylfaen"/>
          <w:b w:val="0"/>
          <w:color w:val="000000"/>
          <w:szCs w:val="22"/>
        </w:rPr>
        <w:t xml:space="preserve"> </w:t>
      </w:r>
      <w:r w:rsidRPr="00A00B8B">
        <w:rPr>
          <w:rFonts w:cs="Sylfaen"/>
          <w:b w:val="0"/>
          <w:color w:val="000000"/>
          <w:szCs w:val="22"/>
          <w:lang w:val="en-US"/>
        </w:rPr>
        <w:t>է</w:t>
      </w:r>
      <w:r w:rsidRPr="00A00B8B">
        <w:rPr>
          <w:rFonts w:cs="Sylfaen"/>
          <w:b w:val="0"/>
          <w:color w:val="000000"/>
          <w:szCs w:val="22"/>
        </w:rPr>
        <w:t xml:space="preserve"> </w:t>
      </w:r>
      <w:r w:rsidRPr="00A00B8B">
        <w:rPr>
          <w:rFonts w:cs="Sylfaen"/>
          <w:b w:val="0"/>
          <w:color w:val="000000"/>
          <w:szCs w:val="22"/>
          <w:lang w:val="en-US"/>
        </w:rPr>
        <w:t></w:t>
      </w:r>
      <w:r w:rsidRPr="00A00B8B">
        <w:rPr>
          <w:rFonts w:cs="Sylfaen"/>
          <w:b w:val="0"/>
          <w:color w:val="000000"/>
          <w:szCs w:val="22"/>
        </w:rPr>
        <w:t xml:space="preserve">2015 </w:t>
      </w:r>
      <w:r w:rsidRPr="00A00B8B">
        <w:rPr>
          <w:rFonts w:cs="Sylfaen"/>
          <w:b w:val="0"/>
          <w:color w:val="000000"/>
          <w:szCs w:val="22"/>
          <w:lang w:val="en-US"/>
        </w:rPr>
        <w:t>թվականի</w:t>
      </w:r>
      <w:r w:rsidRPr="00A00B8B">
        <w:rPr>
          <w:rFonts w:cs="Sylfaen"/>
          <w:b w:val="0"/>
          <w:color w:val="000000"/>
          <w:szCs w:val="22"/>
        </w:rPr>
        <w:t xml:space="preserve"> </w:t>
      </w:r>
      <w:r w:rsidRPr="00A00B8B">
        <w:rPr>
          <w:rFonts w:cs="Sylfaen"/>
          <w:b w:val="0"/>
          <w:color w:val="000000"/>
          <w:szCs w:val="22"/>
          <w:lang w:val="en-US"/>
        </w:rPr>
        <w:t>պետական</w:t>
      </w:r>
      <w:r w:rsidRPr="00A00B8B">
        <w:rPr>
          <w:rFonts w:cs="Sylfaen"/>
          <w:b w:val="0"/>
          <w:color w:val="000000"/>
          <w:szCs w:val="22"/>
        </w:rPr>
        <w:t xml:space="preserve"> </w:t>
      </w:r>
      <w:r w:rsidRPr="00A00B8B">
        <w:rPr>
          <w:rFonts w:cs="Sylfaen"/>
          <w:b w:val="0"/>
          <w:color w:val="000000"/>
          <w:szCs w:val="22"/>
          <w:lang w:val="en-US"/>
        </w:rPr>
        <w:t>բյուջեի</w:t>
      </w:r>
      <w:r w:rsidRPr="00A00B8B">
        <w:rPr>
          <w:rFonts w:cs="Sylfaen"/>
          <w:b w:val="0"/>
          <w:color w:val="000000"/>
          <w:szCs w:val="22"/>
        </w:rPr>
        <w:t xml:space="preserve"> </w:t>
      </w:r>
      <w:r w:rsidRPr="00A00B8B">
        <w:rPr>
          <w:rFonts w:cs="Sylfaen"/>
          <w:b w:val="0"/>
          <w:color w:val="000000"/>
          <w:szCs w:val="22"/>
          <w:lang w:val="en-US"/>
        </w:rPr>
        <w:t>մասին</w:t>
      </w:r>
      <w:r w:rsidRPr="00A00B8B">
        <w:rPr>
          <w:rFonts w:cs="Sylfaen"/>
          <w:b w:val="0"/>
          <w:color w:val="000000"/>
          <w:szCs w:val="22"/>
        </w:rPr>
        <w:t xml:space="preserve"> </w:t>
      </w:r>
      <w:r w:rsidRPr="00A00B8B">
        <w:rPr>
          <w:rFonts w:cs="Sylfaen"/>
          <w:b w:val="0"/>
          <w:color w:val="000000"/>
          <w:szCs w:val="22"/>
          <w:lang w:val="en-US"/>
        </w:rPr>
        <w:t>ՀՀ</w:t>
      </w:r>
      <w:r w:rsidRPr="00A00B8B">
        <w:rPr>
          <w:rFonts w:cs="Sylfaen"/>
          <w:b w:val="0"/>
          <w:color w:val="000000"/>
          <w:szCs w:val="22"/>
        </w:rPr>
        <w:t xml:space="preserve"> </w:t>
      </w:r>
      <w:r w:rsidRPr="00A00B8B">
        <w:rPr>
          <w:rFonts w:cs="Sylfaen"/>
          <w:b w:val="0"/>
          <w:color w:val="000000"/>
          <w:szCs w:val="22"/>
          <w:lang w:val="en-US"/>
        </w:rPr>
        <w:t>օրենքի</w:t>
      </w:r>
      <w:r w:rsidRPr="00A00B8B">
        <w:rPr>
          <w:rFonts w:cs="Sylfaen"/>
          <w:b w:val="0"/>
          <w:color w:val="000000"/>
          <w:szCs w:val="22"/>
        </w:rPr>
        <w:t xml:space="preserve"> </w:t>
      </w:r>
      <w:r w:rsidRPr="00A00B8B">
        <w:rPr>
          <w:rFonts w:cs="Sylfaen"/>
          <w:b w:val="0"/>
          <w:color w:val="000000"/>
          <w:szCs w:val="22"/>
          <w:lang w:val="en-US"/>
        </w:rPr>
        <w:t>բացատրագրում</w:t>
      </w:r>
      <w:r w:rsidRPr="00A00B8B">
        <w:rPr>
          <w:rFonts w:cs="Sylfaen"/>
          <w:b w:val="0"/>
          <w:color w:val="000000"/>
          <w:szCs w:val="22"/>
        </w:rPr>
        <w:t xml:space="preserve">` </w:t>
      </w:r>
      <w:r w:rsidRPr="00A00B8B">
        <w:rPr>
          <w:rFonts w:cs="Sylfaen"/>
          <w:b w:val="0"/>
          <w:color w:val="000000"/>
          <w:szCs w:val="22"/>
          <w:lang w:val="en-US"/>
        </w:rPr>
        <w:t>որպես</w:t>
      </w:r>
      <w:r w:rsidRPr="00A00B8B">
        <w:rPr>
          <w:rFonts w:cs="Sylfaen"/>
          <w:b w:val="0"/>
          <w:color w:val="000000"/>
          <w:szCs w:val="22"/>
        </w:rPr>
        <w:t xml:space="preserve"> </w:t>
      </w:r>
      <w:r w:rsidRPr="00A00B8B">
        <w:rPr>
          <w:rFonts w:cs="Sylfaen"/>
          <w:b w:val="0"/>
          <w:color w:val="000000"/>
          <w:szCs w:val="22"/>
          <w:lang w:val="en-US"/>
        </w:rPr>
        <w:t>առանձին</w:t>
      </w:r>
      <w:r w:rsidRPr="00A00B8B">
        <w:rPr>
          <w:rFonts w:cs="Sylfaen"/>
          <w:b w:val="0"/>
          <w:color w:val="000000"/>
          <w:szCs w:val="22"/>
        </w:rPr>
        <w:t xml:space="preserve"> </w:t>
      </w:r>
      <w:r w:rsidRPr="00A00B8B">
        <w:rPr>
          <w:rFonts w:cs="Sylfaen"/>
          <w:b w:val="0"/>
          <w:color w:val="000000"/>
          <w:szCs w:val="22"/>
          <w:lang w:val="en-US"/>
        </w:rPr>
        <w:t>հավելված</w:t>
      </w:r>
      <w:r w:rsidRPr="00A00B8B">
        <w:rPr>
          <w:rFonts w:cs="Sylfaen"/>
          <w:b w:val="0"/>
          <w:color w:val="000000"/>
          <w:szCs w:val="22"/>
        </w:rPr>
        <w:t xml:space="preserve">: </w:t>
      </w:r>
    </w:p>
    <w:p w:rsidR="00A00B8B" w:rsidRPr="00A00B8B" w:rsidRDefault="00A00B8B" w:rsidP="007730AA">
      <w:pPr>
        <w:shd w:val="clear" w:color="auto" w:fill="FFFFFF"/>
        <w:spacing w:before="0" w:line="276" w:lineRule="auto"/>
        <w:contextualSpacing w:val="0"/>
        <w:rPr>
          <w:rFonts w:cs="Sylfaen"/>
          <w:b w:val="0"/>
          <w:color w:val="000000"/>
          <w:szCs w:val="22"/>
        </w:rPr>
      </w:pPr>
    </w:p>
    <w:p w:rsidR="00A00B8B" w:rsidRPr="00A00B8B" w:rsidRDefault="00A00B8B" w:rsidP="007730AA">
      <w:pPr>
        <w:shd w:val="clear" w:color="auto" w:fill="FFFFFF"/>
        <w:spacing w:before="0" w:line="276" w:lineRule="auto"/>
        <w:contextualSpacing w:val="0"/>
        <w:jc w:val="left"/>
        <w:rPr>
          <w:rFonts w:cs="Sylfaen"/>
          <w:color w:val="000000"/>
          <w:szCs w:val="22"/>
          <w:u w:val="single"/>
        </w:rPr>
      </w:pPr>
      <w:r w:rsidRPr="00A00B8B">
        <w:rPr>
          <w:rFonts w:cs="Sylfaen"/>
          <w:color w:val="000000"/>
          <w:szCs w:val="22"/>
          <w:u w:val="single"/>
          <w:lang w:val="en-US"/>
        </w:rPr>
        <w:t>Հարկային</w:t>
      </w:r>
      <w:r w:rsidRPr="00A00B8B">
        <w:rPr>
          <w:rFonts w:cs="Sylfaen"/>
          <w:color w:val="000000"/>
          <w:szCs w:val="22"/>
          <w:u w:val="single"/>
        </w:rPr>
        <w:t xml:space="preserve"> </w:t>
      </w:r>
      <w:r w:rsidRPr="00A00B8B">
        <w:rPr>
          <w:rFonts w:cs="Sylfaen"/>
          <w:color w:val="000000"/>
          <w:szCs w:val="22"/>
          <w:u w:val="single"/>
          <w:lang w:val="en-US"/>
        </w:rPr>
        <w:t>ծախսերը</w:t>
      </w:r>
      <w:r w:rsidRPr="00A00B8B">
        <w:rPr>
          <w:rFonts w:cs="Sylfaen"/>
          <w:color w:val="000000"/>
          <w:szCs w:val="22"/>
          <w:u w:val="single"/>
        </w:rPr>
        <w:t>.</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en-US"/>
        </w:rPr>
        <w:t>Հայաստանի</w:t>
      </w:r>
      <w:r w:rsidRPr="00A00B8B">
        <w:rPr>
          <w:rFonts w:cs="Sylfaen"/>
          <w:b w:val="0"/>
          <w:color w:val="000000"/>
          <w:szCs w:val="22"/>
        </w:rPr>
        <w:t xml:space="preserve"> </w:t>
      </w:r>
      <w:r w:rsidRPr="00A00B8B">
        <w:rPr>
          <w:rFonts w:cs="Sylfaen"/>
          <w:b w:val="0"/>
          <w:color w:val="000000"/>
          <w:szCs w:val="22"/>
          <w:lang w:val="en-US"/>
        </w:rPr>
        <w:t>Հանրապետության</w:t>
      </w:r>
      <w:r w:rsidRPr="00A00B8B">
        <w:rPr>
          <w:rFonts w:cs="Sylfaen"/>
          <w:b w:val="0"/>
          <w:color w:val="000000"/>
          <w:szCs w:val="22"/>
        </w:rPr>
        <w:t xml:space="preserve"> </w:t>
      </w:r>
      <w:r w:rsidRPr="00A00B8B">
        <w:rPr>
          <w:rFonts w:cs="Sylfaen"/>
          <w:b w:val="0"/>
          <w:color w:val="000000"/>
          <w:szCs w:val="22"/>
          <w:lang w:val="en-US"/>
        </w:rPr>
        <w:t>գործող</w:t>
      </w:r>
      <w:r w:rsidRPr="00A00B8B">
        <w:rPr>
          <w:rFonts w:cs="Sylfaen"/>
          <w:b w:val="0"/>
          <w:color w:val="000000"/>
          <w:szCs w:val="22"/>
        </w:rPr>
        <w:t xml:space="preserve"> </w:t>
      </w:r>
      <w:r w:rsidRPr="00A00B8B">
        <w:rPr>
          <w:rFonts w:cs="Sylfaen"/>
          <w:b w:val="0"/>
          <w:color w:val="000000"/>
          <w:szCs w:val="22"/>
          <w:lang w:val="en-US"/>
        </w:rPr>
        <w:t>օրենսդրությամբ</w:t>
      </w:r>
      <w:r w:rsidRPr="00A00B8B">
        <w:rPr>
          <w:rFonts w:cs="Sylfaen"/>
          <w:b w:val="0"/>
          <w:color w:val="000000"/>
          <w:szCs w:val="22"/>
        </w:rPr>
        <w:t xml:space="preserve"> </w:t>
      </w:r>
      <w:r w:rsidRPr="00A00B8B">
        <w:rPr>
          <w:rFonts w:cs="Sylfaen"/>
          <w:b w:val="0"/>
          <w:color w:val="000000"/>
          <w:szCs w:val="22"/>
          <w:lang w:val="en-US"/>
        </w:rPr>
        <w:t>Հարկային</w:t>
      </w:r>
      <w:r w:rsidRPr="00A00B8B">
        <w:rPr>
          <w:rFonts w:cs="Sylfaen"/>
          <w:b w:val="0"/>
          <w:color w:val="000000"/>
          <w:szCs w:val="22"/>
        </w:rPr>
        <w:t xml:space="preserve"> </w:t>
      </w:r>
      <w:r w:rsidRPr="00A00B8B">
        <w:rPr>
          <w:rFonts w:cs="Sylfaen"/>
          <w:b w:val="0"/>
          <w:color w:val="000000"/>
          <w:szCs w:val="22"/>
          <w:lang w:val="en-US"/>
        </w:rPr>
        <w:t>ծախս</w:t>
      </w:r>
      <w:r w:rsidRPr="00A00B8B">
        <w:rPr>
          <w:rFonts w:cs="Sylfaen"/>
          <w:b w:val="0"/>
          <w:color w:val="000000"/>
          <w:szCs w:val="22"/>
        </w:rPr>
        <w:t xml:space="preserve"> </w:t>
      </w:r>
      <w:r w:rsidRPr="00A00B8B">
        <w:rPr>
          <w:rFonts w:cs="Sylfaen"/>
          <w:b w:val="0"/>
          <w:color w:val="000000"/>
          <w:szCs w:val="22"/>
          <w:lang w:val="en-US"/>
        </w:rPr>
        <w:t>հասկա</w:t>
      </w:r>
      <w:r w:rsidRPr="00A00B8B">
        <w:rPr>
          <w:rFonts w:cs="Sylfaen"/>
          <w:b w:val="0"/>
          <w:color w:val="000000"/>
          <w:szCs w:val="22"/>
        </w:rPr>
        <w:softHyphen/>
      </w:r>
      <w:r w:rsidRPr="00A00B8B">
        <w:rPr>
          <w:rFonts w:cs="Sylfaen"/>
          <w:b w:val="0"/>
          <w:color w:val="000000"/>
          <w:szCs w:val="22"/>
          <w:lang w:val="en-US"/>
        </w:rPr>
        <w:t>ցու</w:t>
      </w:r>
      <w:r w:rsidRPr="00A00B8B">
        <w:rPr>
          <w:rFonts w:cs="Sylfaen"/>
          <w:b w:val="0"/>
          <w:color w:val="000000"/>
          <w:szCs w:val="22"/>
        </w:rPr>
        <w:softHyphen/>
      </w:r>
      <w:r w:rsidRPr="00A00B8B">
        <w:rPr>
          <w:rFonts w:cs="Sylfaen"/>
          <w:b w:val="0"/>
          <w:color w:val="000000"/>
          <w:szCs w:val="22"/>
          <w:lang w:val="en-US"/>
        </w:rPr>
        <w:t>թյունը</w:t>
      </w:r>
      <w:r w:rsidRPr="00A00B8B">
        <w:rPr>
          <w:rFonts w:cs="Sylfaen"/>
          <w:b w:val="0"/>
          <w:color w:val="000000"/>
          <w:szCs w:val="22"/>
        </w:rPr>
        <w:t xml:space="preserve"> </w:t>
      </w:r>
      <w:r w:rsidRPr="00A00B8B">
        <w:rPr>
          <w:rFonts w:cs="Sylfaen"/>
          <w:b w:val="0"/>
          <w:color w:val="000000"/>
          <w:szCs w:val="22"/>
          <w:lang w:val="en-US"/>
        </w:rPr>
        <w:t>սահմանված</w:t>
      </w:r>
      <w:r w:rsidRPr="00A00B8B">
        <w:rPr>
          <w:rFonts w:cs="Sylfaen"/>
          <w:b w:val="0"/>
          <w:color w:val="000000"/>
          <w:szCs w:val="22"/>
        </w:rPr>
        <w:t xml:space="preserve"> </w:t>
      </w:r>
      <w:r w:rsidRPr="00A00B8B">
        <w:rPr>
          <w:rFonts w:cs="Sylfaen"/>
          <w:b w:val="0"/>
          <w:color w:val="000000"/>
          <w:szCs w:val="22"/>
          <w:lang w:val="en-US"/>
        </w:rPr>
        <w:t>չէ</w:t>
      </w:r>
      <w:r w:rsidRPr="00A00B8B">
        <w:rPr>
          <w:rFonts w:cs="Sylfaen"/>
          <w:b w:val="0"/>
          <w:color w:val="000000"/>
          <w:szCs w:val="22"/>
        </w:rPr>
        <w:t xml:space="preserve">: </w:t>
      </w:r>
      <w:r w:rsidRPr="00A00B8B">
        <w:rPr>
          <w:rFonts w:cs="Sylfaen"/>
          <w:b w:val="0"/>
          <w:color w:val="000000"/>
          <w:szCs w:val="22"/>
          <w:lang w:val="en-US"/>
        </w:rPr>
        <w:t>Բովան</w:t>
      </w:r>
      <w:r w:rsidRPr="00A00B8B">
        <w:rPr>
          <w:rFonts w:cs="Sylfaen"/>
          <w:b w:val="0"/>
          <w:color w:val="000000"/>
          <w:szCs w:val="22"/>
        </w:rPr>
        <w:softHyphen/>
      </w:r>
      <w:r w:rsidRPr="00A00B8B">
        <w:rPr>
          <w:rFonts w:cs="Sylfaen"/>
          <w:b w:val="0"/>
          <w:color w:val="000000"/>
          <w:szCs w:val="22"/>
          <w:lang w:val="en-US"/>
        </w:rPr>
        <w:t>դակային</w:t>
      </w:r>
      <w:r w:rsidRPr="00A00B8B">
        <w:rPr>
          <w:rFonts w:cs="Sylfaen"/>
          <w:b w:val="0"/>
          <w:color w:val="000000"/>
          <w:szCs w:val="22"/>
        </w:rPr>
        <w:t xml:space="preserve"> </w:t>
      </w:r>
      <w:r w:rsidRPr="00A00B8B">
        <w:rPr>
          <w:rFonts w:cs="Sylfaen"/>
          <w:b w:val="0"/>
          <w:color w:val="000000"/>
          <w:szCs w:val="22"/>
          <w:lang w:val="en-US"/>
        </w:rPr>
        <w:t>առումով</w:t>
      </w:r>
      <w:r w:rsidRPr="00A00B8B">
        <w:rPr>
          <w:rFonts w:cs="Sylfaen"/>
          <w:b w:val="0"/>
          <w:color w:val="000000"/>
          <w:szCs w:val="22"/>
        </w:rPr>
        <w:t xml:space="preserve">, </w:t>
      </w:r>
      <w:r w:rsidRPr="00A00B8B">
        <w:rPr>
          <w:rFonts w:cs="Sylfaen"/>
          <w:b w:val="0"/>
          <w:color w:val="000000"/>
          <w:szCs w:val="22"/>
          <w:lang w:val="en-US"/>
        </w:rPr>
        <w:t>հարկային</w:t>
      </w:r>
      <w:r w:rsidRPr="00A00B8B">
        <w:rPr>
          <w:rFonts w:cs="Sylfaen"/>
          <w:b w:val="0"/>
          <w:color w:val="000000"/>
          <w:szCs w:val="22"/>
        </w:rPr>
        <w:t xml:space="preserve"> </w:t>
      </w:r>
      <w:r w:rsidRPr="00A00B8B">
        <w:rPr>
          <w:rFonts w:cs="Sylfaen"/>
          <w:b w:val="0"/>
          <w:color w:val="000000"/>
          <w:szCs w:val="22"/>
          <w:lang w:val="en-US"/>
        </w:rPr>
        <w:t>ծախսերը</w:t>
      </w:r>
      <w:r w:rsidRPr="00A00B8B">
        <w:rPr>
          <w:rFonts w:cs="Sylfaen"/>
          <w:b w:val="0"/>
          <w:color w:val="000000"/>
          <w:szCs w:val="22"/>
        </w:rPr>
        <w:t xml:space="preserve"> </w:t>
      </w:r>
      <w:r w:rsidRPr="00A00B8B">
        <w:rPr>
          <w:rFonts w:cs="Sylfaen"/>
          <w:b w:val="0"/>
          <w:color w:val="000000"/>
          <w:szCs w:val="22"/>
          <w:lang w:val="en-US"/>
        </w:rPr>
        <w:t>գործող</w:t>
      </w:r>
      <w:r w:rsidRPr="00A00B8B">
        <w:rPr>
          <w:rFonts w:cs="Sylfaen"/>
          <w:b w:val="0"/>
          <w:color w:val="000000"/>
          <w:szCs w:val="22"/>
        </w:rPr>
        <w:t xml:space="preserve"> </w:t>
      </w:r>
      <w:r w:rsidRPr="00A00B8B">
        <w:rPr>
          <w:rFonts w:cs="Sylfaen"/>
          <w:b w:val="0"/>
          <w:color w:val="000000"/>
          <w:szCs w:val="22"/>
          <w:lang w:val="en-US"/>
        </w:rPr>
        <w:t>հարկային</w:t>
      </w:r>
      <w:r w:rsidRPr="00A00B8B">
        <w:rPr>
          <w:rFonts w:cs="Sylfaen"/>
          <w:b w:val="0"/>
          <w:color w:val="000000"/>
          <w:szCs w:val="22"/>
        </w:rPr>
        <w:t xml:space="preserve"> </w:t>
      </w:r>
      <w:r w:rsidRPr="00A00B8B">
        <w:rPr>
          <w:rFonts w:cs="Sylfaen"/>
          <w:b w:val="0"/>
          <w:color w:val="000000"/>
          <w:szCs w:val="22"/>
          <w:lang w:val="en-US"/>
        </w:rPr>
        <w:t>արտոնությունների</w:t>
      </w:r>
      <w:r w:rsidRPr="00A00B8B">
        <w:rPr>
          <w:rFonts w:cs="Sylfaen"/>
          <w:b w:val="0"/>
          <w:color w:val="000000"/>
          <w:szCs w:val="22"/>
        </w:rPr>
        <w:t xml:space="preserve"> </w:t>
      </w:r>
      <w:r w:rsidRPr="00A00B8B">
        <w:rPr>
          <w:rFonts w:cs="Sylfaen"/>
          <w:b w:val="0"/>
          <w:color w:val="000000"/>
          <w:szCs w:val="22"/>
          <w:lang w:val="en-US"/>
        </w:rPr>
        <w:t>հետևան</w:t>
      </w:r>
      <w:r w:rsidRPr="00A00B8B">
        <w:rPr>
          <w:rFonts w:cs="Sylfaen"/>
          <w:b w:val="0"/>
          <w:color w:val="000000"/>
          <w:szCs w:val="22"/>
        </w:rPr>
        <w:softHyphen/>
      </w:r>
      <w:r w:rsidRPr="00A00B8B">
        <w:rPr>
          <w:rFonts w:cs="Sylfaen"/>
          <w:b w:val="0"/>
          <w:color w:val="000000"/>
          <w:szCs w:val="22"/>
          <w:lang w:val="en-US"/>
        </w:rPr>
        <w:t>քով</w:t>
      </w:r>
      <w:r w:rsidRPr="00A00B8B">
        <w:rPr>
          <w:rFonts w:cs="Sylfaen"/>
          <w:b w:val="0"/>
          <w:color w:val="000000"/>
          <w:szCs w:val="22"/>
        </w:rPr>
        <w:t xml:space="preserve"> </w:t>
      </w:r>
      <w:r w:rsidRPr="00A00B8B">
        <w:rPr>
          <w:rFonts w:cs="Sylfaen"/>
          <w:b w:val="0"/>
          <w:color w:val="000000"/>
          <w:szCs w:val="22"/>
          <w:lang w:val="en-US"/>
        </w:rPr>
        <w:t>պետական</w:t>
      </w:r>
      <w:r w:rsidRPr="00A00B8B">
        <w:rPr>
          <w:rFonts w:cs="Sylfaen"/>
          <w:b w:val="0"/>
          <w:color w:val="000000"/>
          <w:szCs w:val="22"/>
        </w:rPr>
        <w:t xml:space="preserve"> </w:t>
      </w:r>
      <w:r w:rsidRPr="00A00B8B">
        <w:rPr>
          <w:rFonts w:cs="Sylfaen"/>
          <w:b w:val="0"/>
          <w:color w:val="000000"/>
          <w:szCs w:val="22"/>
          <w:lang w:val="en-US"/>
        </w:rPr>
        <w:t>բյուջե</w:t>
      </w:r>
      <w:r w:rsidRPr="00A00B8B">
        <w:rPr>
          <w:rFonts w:cs="Sylfaen"/>
          <w:b w:val="0"/>
          <w:color w:val="000000"/>
          <w:szCs w:val="22"/>
        </w:rPr>
        <w:t xml:space="preserve"> </w:t>
      </w:r>
      <w:r w:rsidRPr="00A00B8B">
        <w:rPr>
          <w:rFonts w:cs="Sylfaen"/>
          <w:b w:val="0"/>
          <w:color w:val="000000"/>
          <w:szCs w:val="22"/>
          <w:lang w:val="en-US"/>
        </w:rPr>
        <w:t>չգանձվող</w:t>
      </w:r>
      <w:r w:rsidRPr="00A00B8B">
        <w:rPr>
          <w:rFonts w:cs="Sylfaen"/>
          <w:b w:val="0"/>
          <w:color w:val="000000"/>
          <w:szCs w:val="22"/>
        </w:rPr>
        <w:t xml:space="preserve"> (</w:t>
      </w:r>
      <w:r w:rsidRPr="00A00B8B">
        <w:rPr>
          <w:rFonts w:cs="Sylfaen"/>
          <w:b w:val="0"/>
          <w:color w:val="000000"/>
          <w:szCs w:val="22"/>
          <w:lang w:val="en-US"/>
        </w:rPr>
        <w:t>պակաս</w:t>
      </w:r>
      <w:r w:rsidRPr="00A00B8B">
        <w:rPr>
          <w:rFonts w:cs="Sylfaen"/>
          <w:b w:val="0"/>
          <w:color w:val="000000"/>
          <w:szCs w:val="22"/>
        </w:rPr>
        <w:t xml:space="preserve"> </w:t>
      </w:r>
      <w:r w:rsidRPr="00A00B8B">
        <w:rPr>
          <w:rFonts w:cs="Sylfaen"/>
          <w:b w:val="0"/>
          <w:color w:val="000000"/>
          <w:szCs w:val="22"/>
          <w:lang w:val="en-US"/>
        </w:rPr>
        <w:t>գանձվող</w:t>
      </w:r>
      <w:r w:rsidRPr="00A00B8B">
        <w:rPr>
          <w:rFonts w:cs="Sylfaen"/>
          <w:b w:val="0"/>
          <w:color w:val="000000"/>
          <w:szCs w:val="22"/>
        </w:rPr>
        <w:t xml:space="preserve">) </w:t>
      </w:r>
      <w:r w:rsidRPr="00A00B8B">
        <w:rPr>
          <w:rFonts w:cs="Sylfaen"/>
          <w:b w:val="0"/>
          <w:color w:val="000000"/>
          <w:szCs w:val="22"/>
          <w:lang w:val="en-US"/>
        </w:rPr>
        <w:t>հարկային</w:t>
      </w:r>
      <w:r w:rsidRPr="00A00B8B">
        <w:rPr>
          <w:rFonts w:cs="Sylfaen"/>
          <w:b w:val="0"/>
          <w:color w:val="000000"/>
          <w:szCs w:val="22"/>
        </w:rPr>
        <w:t xml:space="preserve"> </w:t>
      </w:r>
      <w:r w:rsidRPr="00A00B8B">
        <w:rPr>
          <w:rFonts w:cs="Sylfaen"/>
          <w:b w:val="0"/>
          <w:color w:val="000000"/>
          <w:szCs w:val="22"/>
          <w:lang w:val="en-US"/>
        </w:rPr>
        <w:t>եկամուտներն</w:t>
      </w:r>
      <w:r w:rsidRPr="00A00B8B">
        <w:rPr>
          <w:rFonts w:cs="Sylfaen"/>
          <w:b w:val="0"/>
          <w:color w:val="000000"/>
          <w:szCs w:val="22"/>
        </w:rPr>
        <w:t xml:space="preserve"> </w:t>
      </w:r>
      <w:r w:rsidRPr="00A00B8B">
        <w:rPr>
          <w:rFonts w:cs="Sylfaen"/>
          <w:b w:val="0"/>
          <w:color w:val="000000"/>
          <w:szCs w:val="22"/>
          <w:lang w:val="en-US"/>
        </w:rPr>
        <w:t>են</w:t>
      </w:r>
      <w:r w:rsidRPr="00A00B8B">
        <w:rPr>
          <w:rFonts w:cs="Sylfaen"/>
          <w:b w:val="0"/>
          <w:color w:val="000000"/>
          <w:szCs w:val="22"/>
        </w:rPr>
        <w:t xml:space="preserve"> </w:t>
      </w:r>
      <w:r w:rsidRPr="00A00B8B">
        <w:rPr>
          <w:rFonts w:cs="Sylfaen"/>
          <w:b w:val="0"/>
          <w:color w:val="000000"/>
          <w:szCs w:val="22"/>
          <w:lang w:val="en-US"/>
        </w:rPr>
        <w:t>կամ</w:t>
      </w:r>
      <w:r w:rsidRPr="00A00B8B">
        <w:rPr>
          <w:rFonts w:cs="Sylfaen"/>
          <w:b w:val="0"/>
          <w:color w:val="000000"/>
          <w:szCs w:val="22"/>
        </w:rPr>
        <w:t xml:space="preserve"> </w:t>
      </w:r>
      <w:r w:rsidRPr="00A00B8B">
        <w:rPr>
          <w:rFonts w:cs="Sylfaen"/>
          <w:b w:val="0"/>
          <w:color w:val="000000"/>
          <w:szCs w:val="22"/>
          <w:lang w:val="en-US"/>
        </w:rPr>
        <w:t>այդ</w:t>
      </w:r>
      <w:r w:rsidRPr="00A00B8B">
        <w:rPr>
          <w:rFonts w:cs="Sylfaen"/>
          <w:b w:val="0"/>
          <w:color w:val="000000"/>
          <w:szCs w:val="22"/>
        </w:rPr>
        <w:t xml:space="preserve"> </w:t>
      </w:r>
      <w:r w:rsidRPr="00A00B8B">
        <w:rPr>
          <w:rFonts w:cs="Sylfaen"/>
          <w:b w:val="0"/>
          <w:color w:val="000000"/>
          <w:szCs w:val="22"/>
          <w:lang w:val="en-US"/>
        </w:rPr>
        <w:t>եկամուտների</w:t>
      </w:r>
      <w:r w:rsidRPr="00A00B8B">
        <w:rPr>
          <w:rFonts w:cs="Sylfaen"/>
          <w:b w:val="0"/>
          <w:color w:val="000000"/>
          <w:szCs w:val="22"/>
        </w:rPr>
        <w:t xml:space="preserve"> </w:t>
      </w:r>
      <w:r w:rsidRPr="00A00B8B">
        <w:rPr>
          <w:rFonts w:cs="Sylfaen"/>
          <w:b w:val="0"/>
          <w:color w:val="000000"/>
          <w:szCs w:val="22"/>
          <w:lang w:val="en-US"/>
        </w:rPr>
        <w:t>չափով</w:t>
      </w:r>
      <w:r w:rsidRPr="00A00B8B">
        <w:rPr>
          <w:rFonts w:cs="Sylfaen"/>
          <w:b w:val="0"/>
          <w:color w:val="000000"/>
          <w:szCs w:val="22"/>
        </w:rPr>
        <w:t xml:space="preserve"> </w:t>
      </w:r>
      <w:r w:rsidRPr="00A00B8B">
        <w:rPr>
          <w:rFonts w:cs="Sylfaen"/>
          <w:b w:val="0"/>
          <w:color w:val="000000"/>
          <w:szCs w:val="22"/>
          <w:lang w:val="en-US"/>
        </w:rPr>
        <w:t>պետության</w:t>
      </w:r>
      <w:r w:rsidRPr="00A00B8B">
        <w:rPr>
          <w:rFonts w:cs="Sylfaen"/>
          <w:b w:val="0"/>
          <w:color w:val="000000"/>
          <w:szCs w:val="22"/>
        </w:rPr>
        <w:t xml:space="preserve"> </w:t>
      </w:r>
      <w:r w:rsidRPr="00A00B8B">
        <w:rPr>
          <w:rFonts w:cs="Sylfaen"/>
          <w:b w:val="0"/>
          <w:color w:val="000000"/>
          <w:szCs w:val="22"/>
          <w:lang w:val="en-US"/>
        </w:rPr>
        <w:t>կրած</w:t>
      </w:r>
      <w:r w:rsidRPr="00A00B8B">
        <w:rPr>
          <w:rFonts w:cs="Sylfaen"/>
          <w:b w:val="0"/>
          <w:color w:val="000000"/>
          <w:szCs w:val="22"/>
        </w:rPr>
        <w:t xml:space="preserve"> </w:t>
      </w:r>
      <w:r w:rsidRPr="00A00B8B">
        <w:rPr>
          <w:rFonts w:cs="Sylfaen"/>
          <w:b w:val="0"/>
          <w:color w:val="000000"/>
          <w:szCs w:val="22"/>
          <w:lang w:val="en-US"/>
        </w:rPr>
        <w:t>այլընտրանքային</w:t>
      </w:r>
      <w:r w:rsidRPr="00A00B8B">
        <w:rPr>
          <w:rFonts w:cs="Sylfaen"/>
          <w:b w:val="0"/>
          <w:color w:val="000000"/>
          <w:szCs w:val="22"/>
        </w:rPr>
        <w:t xml:space="preserve"> </w:t>
      </w:r>
      <w:r w:rsidRPr="00A00B8B">
        <w:rPr>
          <w:rFonts w:cs="Sylfaen"/>
          <w:b w:val="0"/>
          <w:color w:val="000000"/>
          <w:szCs w:val="22"/>
          <w:lang w:val="en-US"/>
        </w:rPr>
        <w:t>ծախ</w:t>
      </w:r>
      <w:r w:rsidRPr="00A00B8B">
        <w:rPr>
          <w:rFonts w:cs="Sylfaen"/>
          <w:b w:val="0"/>
          <w:color w:val="000000"/>
          <w:szCs w:val="22"/>
        </w:rPr>
        <w:softHyphen/>
      </w:r>
      <w:r w:rsidRPr="00A00B8B">
        <w:rPr>
          <w:rFonts w:cs="Sylfaen"/>
          <w:b w:val="0"/>
          <w:color w:val="000000"/>
          <w:szCs w:val="22"/>
          <w:lang w:val="en-US"/>
        </w:rPr>
        <w:t>սերն</w:t>
      </w:r>
      <w:r w:rsidRPr="00A00B8B">
        <w:rPr>
          <w:rFonts w:cs="Sylfaen"/>
          <w:b w:val="0"/>
          <w:color w:val="000000"/>
          <w:szCs w:val="22"/>
        </w:rPr>
        <w:t xml:space="preserve"> </w:t>
      </w:r>
      <w:r w:rsidRPr="00A00B8B">
        <w:rPr>
          <w:rFonts w:cs="Sylfaen"/>
          <w:b w:val="0"/>
          <w:color w:val="000000"/>
          <w:szCs w:val="22"/>
          <w:lang w:val="en-US"/>
        </w:rPr>
        <w:t>են</w:t>
      </w:r>
      <w:r w:rsidRPr="00A00B8B">
        <w:rPr>
          <w:rFonts w:cs="Sylfaen"/>
          <w:b w:val="0"/>
          <w:color w:val="000000"/>
          <w:szCs w:val="22"/>
          <w:lang w:val="hy-AM"/>
        </w:rPr>
        <w:t>, քանի որ հարկային ծախսերը հանգեցնում են համապատասխան գումարի չափով բյու</w:t>
      </w:r>
      <w:r w:rsidRPr="00A00B8B">
        <w:rPr>
          <w:rFonts w:cs="Sylfaen"/>
          <w:b w:val="0"/>
          <w:color w:val="000000"/>
          <w:szCs w:val="22"/>
        </w:rPr>
        <w:softHyphen/>
      </w:r>
      <w:r w:rsidRPr="00A00B8B">
        <w:rPr>
          <w:rFonts w:cs="Sylfaen"/>
          <w:b w:val="0"/>
          <w:color w:val="000000"/>
          <w:szCs w:val="22"/>
          <w:lang w:val="hy-AM"/>
        </w:rPr>
        <w:t>ջետային ծախսերի կրճատման: Ընդ որում, ի</w:t>
      </w:r>
      <w:r w:rsidRPr="00A00B8B">
        <w:rPr>
          <w:rFonts w:eastAsia="Calibri" w:cs="Calibri"/>
          <w:b w:val="0"/>
          <w:szCs w:val="22"/>
        </w:rPr>
        <w:t xml:space="preserve"> տարբերություն պետական բյուջեի ծախ</w:t>
      </w:r>
      <w:r w:rsidRPr="00A00B8B">
        <w:rPr>
          <w:rFonts w:eastAsia="Calibri" w:cs="Calibri"/>
          <w:b w:val="0"/>
          <w:szCs w:val="22"/>
        </w:rPr>
        <w:softHyphen/>
        <w:t>սե</w:t>
      </w:r>
      <w:r w:rsidRPr="00A00B8B">
        <w:rPr>
          <w:rFonts w:eastAsia="Calibri" w:cs="Calibri"/>
          <w:b w:val="0"/>
          <w:szCs w:val="22"/>
        </w:rPr>
        <w:softHyphen/>
        <w:t xml:space="preserve">րի, որոնք ենթակա են խորքային վերլուծության, մոնիտորինգի ու հսկողության, հարկային ծախսերը հաճախ </w:t>
      </w:r>
      <w:r w:rsidRPr="00A00B8B">
        <w:rPr>
          <w:rFonts w:eastAsia="Calibri" w:cs="Calibri"/>
          <w:b w:val="0"/>
          <w:szCs w:val="22"/>
          <w:lang w:val="hy-AM"/>
        </w:rPr>
        <w:t>պատշաճ ձևով չեն վերահսկվում</w:t>
      </w:r>
      <w:r w:rsidRPr="00A00B8B">
        <w:rPr>
          <w:rFonts w:eastAsia="Calibri" w:cs="Calibri"/>
          <w:b w:val="0"/>
          <w:szCs w:val="22"/>
        </w:rPr>
        <w:t>:</w:t>
      </w:r>
      <w:r w:rsidRPr="00A00B8B">
        <w:rPr>
          <w:rFonts w:eastAsia="Calibri" w:cs="Calibri"/>
          <w:b w:val="0"/>
          <w:szCs w:val="22"/>
          <w:lang w:val="hy-AM"/>
        </w:rPr>
        <w:t xml:space="preserve"> </w:t>
      </w:r>
      <w:r w:rsidRPr="00A00B8B">
        <w:rPr>
          <w:rFonts w:cs="Sylfaen"/>
          <w:b w:val="0"/>
          <w:color w:val="000000"/>
          <w:szCs w:val="22"/>
          <w:lang w:val="hy-AM"/>
        </w:rPr>
        <w:t>Արդյունքում, նվազում է հանրային ֆինանս</w:t>
      </w:r>
      <w:r w:rsidRPr="00A00B8B">
        <w:rPr>
          <w:rFonts w:cs="Sylfaen"/>
          <w:b w:val="0"/>
          <w:color w:val="000000"/>
          <w:szCs w:val="22"/>
        </w:rPr>
        <w:softHyphen/>
      </w:r>
      <w:r w:rsidRPr="00A00B8B">
        <w:rPr>
          <w:rFonts w:cs="Sylfaen"/>
          <w:b w:val="0"/>
          <w:color w:val="000000"/>
          <w:szCs w:val="22"/>
          <w:lang w:val="hy-AM"/>
        </w:rPr>
        <w:t>ների կառավարման արդյունավետությունն ու թափանցիկությունը, սահմանափակ</w:t>
      </w:r>
      <w:r w:rsidRPr="00A00B8B">
        <w:rPr>
          <w:rFonts w:cs="Sylfaen"/>
          <w:b w:val="0"/>
          <w:color w:val="000000"/>
          <w:szCs w:val="22"/>
        </w:rPr>
        <w:softHyphen/>
      </w:r>
      <w:r w:rsidRPr="00A00B8B">
        <w:rPr>
          <w:rFonts w:cs="Sylfaen"/>
          <w:b w:val="0"/>
          <w:color w:val="000000"/>
          <w:szCs w:val="22"/>
          <w:lang w:val="hy-AM"/>
        </w:rPr>
        <w:t>վում են պետության վերաբաշխիչ գործառույթի շրջանակները:</w:t>
      </w:r>
      <w:r w:rsidRPr="00A00B8B">
        <w:rPr>
          <w:rFonts w:eastAsia="Calibri" w:cs="Calibri"/>
          <w:b w:val="0"/>
          <w:szCs w:val="22"/>
          <w:lang w:val="hy-AM"/>
        </w:rPr>
        <w:t xml:space="preserve"> </w:t>
      </w:r>
      <w:r w:rsidRPr="00A00B8B">
        <w:rPr>
          <w:rFonts w:cs="Sylfaen"/>
          <w:b w:val="0"/>
          <w:color w:val="000000"/>
          <w:szCs w:val="22"/>
          <w:lang w:val="en-US"/>
        </w:rPr>
        <w:t>Այդ</w:t>
      </w:r>
      <w:r w:rsidRPr="00A00B8B">
        <w:rPr>
          <w:rFonts w:cs="Sylfaen"/>
          <w:b w:val="0"/>
          <w:color w:val="000000"/>
          <w:szCs w:val="22"/>
        </w:rPr>
        <w:t xml:space="preserve"> </w:t>
      </w:r>
      <w:r w:rsidRPr="00A00B8B">
        <w:rPr>
          <w:rFonts w:cs="Sylfaen"/>
          <w:b w:val="0"/>
          <w:color w:val="000000"/>
          <w:szCs w:val="22"/>
          <w:lang w:val="en-US"/>
        </w:rPr>
        <w:t>իսկ</w:t>
      </w:r>
      <w:r w:rsidRPr="00A00B8B">
        <w:rPr>
          <w:rFonts w:cs="Sylfaen"/>
          <w:b w:val="0"/>
          <w:color w:val="000000"/>
          <w:szCs w:val="22"/>
        </w:rPr>
        <w:t xml:space="preserve"> </w:t>
      </w:r>
      <w:r w:rsidRPr="00A00B8B">
        <w:rPr>
          <w:rFonts w:cs="Sylfaen"/>
          <w:b w:val="0"/>
          <w:color w:val="000000"/>
          <w:szCs w:val="22"/>
          <w:lang w:val="en-US"/>
        </w:rPr>
        <w:t>պատճառով</w:t>
      </w:r>
      <w:r w:rsidRPr="00A00B8B">
        <w:rPr>
          <w:rFonts w:cs="Sylfaen"/>
          <w:b w:val="0"/>
          <w:color w:val="000000"/>
          <w:szCs w:val="22"/>
        </w:rPr>
        <w:t xml:space="preserve"> </w:t>
      </w:r>
      <w:r w:rsidRPr="00A00B8B">
        <w:rPr>
          <w:rFonts w:cs="Sylfaen"/>
          <w:b w:val="0"/>
          <w:color w:val="000000"/>
          <w:szCs w:val="22"/>
          <w:lang w:val="en-US"/>
        </w:rPr>
        <w:t>հար</w:t>
      </w:r>
      <w:r w:rsidRPr="00A00B8B">
        <w:rPr>
          <w:rFonts w:cs="Sylfaen"/>
          <w:b w:val="0"/>
          <w:color w:val="000000"/>
          <w:szCs w:val="22"/>
        </w:rPr>
        <w:softHyphen/>
      </w:r>
      <w:r w:rsidRPr="00A00B8B">
        <w:rPr>
          <w:rFonts w:cs="Sylfaen"/>
          <w:b w:val="0"/>
          <w:color w:val="000000"/>
          <w:szCs w:val="22"/>
          <w:lang w:val="en-US"/>
        </w:rPr>
        <w:t>կա</w:t>
      </w:r>
      <w:r w:rsidRPr="00A00B8B">
        <w:rPr>
          <w:rFonts w:cs="Sylfaen"/>
          <w:b w:val="0"/>
          <w:color w:val="000000"/>
          <w:szCs w:val="22"/>
        </w:rPr>
        <w:softHyphen/>
      </w:r>
      <w:r w:rsidRPr="00A00B8B">
        <w:rPr>
          <w:rFonts w:cs="Sylfaen"/>
          <w:b w:val="0"/>
          <w:color w:val="000000"/>
          <w:szCs w:val="22"/>
          <w:lang w:val="en-US"/>
        </w:rPr>
        <w:t>յին</w:t>
      </w:r>
      <w:r w:rsidRPr="00A00B8B">
        <w:rPr>
          <w:rFonts w:cs="Sylfaen"/>
          <w:b w:val="0"/>
          <w:color w:val="000000"/>
          <w:szCs w:val="22"/>
        </w:rPr>
        <w:t xml:space="preserve"> </w:t>
      </w:r>
      <w:r w:rsidRPr="00A00B8B">
        <w:rPr>
          <w:rFonts w:cs="Sylfaen"/>
          <w:b w:val="0"/>
          <w:color w:val="000000"/>
          <w:szCs w:val="22"/>
          <w:lang w:val="en-US"/>
        </w:rPr>
        <w:t>ծախսերի</w:t>
      </w:r>
      <w:r w:rsidRPr="00A00B8B">
        <w:rPr>
          <w:rFonts w:cs="Sylfaen"/>
          <w:b w:val="0"/>
          <w:color w:val="000000"/>
          <w:szCs w:val="22"/>
        </w:rPr>
        <w:t xml:space="preserve"> </w:t>
      </w:r>
      <w:r w:rsidRPr="00A00B8B">
        <w:rPr>
          <w:rFonts w:cs="Sylfaen"/>
          <w:b w:val="0"/>
          <w:color w:val="000000"/>
          <w:szCs w:val="22"/>
          <w:lang w:val="hy-AM"/>
        </w:rPr>
        <w:t xml:space="preserve">պարբերաբար </w:t>
      </w:r>
      <w:r w:rsidRPr="00A00B8B">
        <w:rPr>
          <w:rFonts w:cs="Sylfaen"/>
          <w:b w:val="0"/>
          <w:color w:val="000000"/>
          <w:szCs w:val="22"/>
          <w:lang w:val="en-US"/>
        </w:rPr>
        <w:t>գնահատումը</w:t>
      </w:r>
      <w:r w:rsidRPr="00A00B8B">
        <w:rPr>
          <w:rFonts w:cs="Sylfaen"/>
          <w:b w:val="0"/>
          <w:color w:val="000000"/>
          <w:szCs w:val="22"/>
        </w:rPr>
        <w:t xml:space="preserve"> </w:t>
      </w:r>
      <w:r w:rsidRPr="00A00B8B">
        <w:rPr>
          <w:rFonts w:cs="Sylfaen"/>
          <w:b w:val="0"/>
          <w:color w:val="000000"/>
          <w:szCs w:val="22"/>
          <w:lang w:val="en-US"/>
        </w:rPr>
        <w:t>հանգուցային</w:t>
      </w:r>
      <w:r w:rsidRPr="00A00B8B">
        <w:rPr>
          <w:rFonts w:cs="Sylfaen"/>
          <w:b w:val="0"/>
          <w:color w:val="000000"/>
          <w:szCs w:val="22"/>
        </w:rPr>
        <w:t xml:space="preserve"> </w:t>
      </w:r>
      <w:r w:rsidRPr="00A00B8B">
        <w:rPr>
          <w:rFonts w:cs="Sylfaen"/>
          <w:b w:val="0"/>
          <w:color w:val="000000"/>
          <w:szCs w:val="22"/>
          <w:lang w:val="en-US"/>
        </w:rPr>
        <w:t>նշանակություն</w:t>
      </w:r>
      <w:r w:rsidRPr="00A00B8B">
        <w:rPr>
          <w:rFonts w:cs="Sylfaen"/>
          <w:b w:val="0"/>
          <w:color w:val="000000"/>
          <w:szCs w:val="22"/>
        </w:rPr>
        <w:t xml:space="preserve"> </w:t>
      </w:r>
      <w:r w:rsidRPr="00A00B8B">
        <w:rPr>
          <w:rFonts w:cs="Sylfaen"/>
          <w:b w:val="0"/>
          <w:color w:val="000000"/>
          <w:szCs w:val="22"/>
          <w:lang w:val="en-US"/>
        </w:rPr>
        <w:t>ունի</w:t>
      </w:r>
      <w:r w:rsidRPr="00A00B8B">
        <w:rPr>
          <w:rFonts w:cs="Sylfaen"/>
          <w:b w:val="0"/>
          <w:color w:val="000000"/>
          <w:szCs w:val="22"/>
        </w:rPr>
        <w:t xml:space="preserve"> </w:t>
      </w:r>
      <w:r w:rsidRPr="00A00B8B">
        <w:rPr>
          <w:rFonts w:cs="Sylfaen"/>
          <w:b w:val="0"/>
          <w:color w:val="000000"/>
          <w:szCs w:val="22"/>
          <w:lang w:val="en-US"/>
        </w:rPr>
        <w:t>պետության</w:t>
      </w:r>
      <w:r w:rsidRPr="00A00B8B">
        <w:rPr>
          <w:rFonts w:cs="Sylfaen"/>
          <w:b w:val="0"/>
          <w:color w:val="000000"/>
          <w:szCs w:val="22"/>
        </w:rPr>
        <w:t xml:space="preserve"> </w:t>
      </w:r>
      <w:r w:rsidRPr="00A00B8B">
        <w:rPr>
          <w:rFonts w:cs="Sylfaen"/>
          <w:b w:val="0"/>
          <w:color w:val="000000"/>
          <w:szCs w:val="22"/>
          <w:lang w:val="en-US"/>
        </w:rPr>
        <w:t>հար</w:t>
      </w:r>
      <w:r w:rsidRPr="00A00B8B">
        <w:rPr>
          <w:rFonts w:cs="Sylfaen"/>
          <w:b w:val="0"/>
          <w:color w:val="000000"/>
          <w:szCs w:val="22"/>
        </w:rPr>
        <w:softHyphen/>
      </w:r>
      <w:r w:rsidRPr="00A00B8B">
        <w:rPr>
          <w:rFonts w:cs="Sylfaen"/>
          <w:b w:val="0"/>
          <w:color w:val="000000"/>
          <w:szCs w:val="22"/>
          <w:lang w:val="en-US"/>
        </w:rPr>
        <w:t>կաբյուջետային</w:t>
      </w:r>
      <w:r w:rsidRPr="00A00B8B">
        <w:rPr>
          <w:rFonts w:cs="Sylfaen"/>
          <w:b w:val="0"/>
          <w:color w:val="000000"/>
          <w:szCs w:val="22"/>
        </w:rPr>
        <w:t xml:space="preserve"> </w:t>
      </w:r>
      <w:r w:rsidRPr="00A00B8B">
        <w:rPr>
          <w:rFonts w:cs="Sylfaen"/>
          <w:b w:val="0"/>
          <w:color w:val="000000"/>
          <w:szCs w:val="22"/>
          <w:lang w:val="en-US"/>
        </w:rPr>
        <w:t>քաղաքականության</w:t>
      </w:r>
      <w:r w:rsidRPr="00A00B8B">
        <w:rPr>
          <w:rFonts w:cs="Sylfaen"/>
          <w:b w:val="0"/>
          <w:color w:val="000000"/>
          <w:szCs w:val="22"/>
        </w:rPr>
        <w:t xml:space="preserve"> </w:t>
      </w:r>
      <w:r w:rsidRPr="00A00B8B">
        <w:rPr>
          <w:rFonts w:cs="Sylfaen"/>
          <w:b w:val="0"/>
          <w:color w:val="000000"/>
          <w:szCs w:val="22"/>
          <w:lang w:val="hy-AM"/>
        </w:rPr>
        <w:t>տեսանկյունից</w:t>
      </w:r>
      <w:r w:rsidRPr="00A00B8B">
        <w:rPr>
          <w:rFonts w:cs="Sylfaen"/>
          <w:b w:val="0"/>
          <w:color w:val="000000"/>
          <w:szCs w:val="22"/>
        </w:rPr>
        <w:t>:</w:t>
      </w:r>
    </w:p>
    <w:p w:rsidR="00A00B8B" w:rsidRPr="00A00B8B" w:rsidRDefault="00A00B8B" w:rsidP="007730AA">
      <w:pPr>
        <w:shd w:val="clear" w:color="auto" w:fill="FFFFFF"/>
        <w:spacing w:before="0" w:line="276" w:lineRule="auto"/>
        <w:ind w:firstLine="0"/>
        <w:contextualSpacing w:val="0"/>
        <w:jc w:val="left"/>
        <w:rPr>
          <w:rFonts w:cs="Sylfaen"/>
          <w:b w:val="0"/>
          <w:color w:val="000000"/>
          <w:szCs w:val="22"/>
          <w:u w:val="single"/>
        </w:rPr>
      </w:pPr>
    </w:p>
    <w:p w:rsidR="00A00B8B" w:rsidRPr="00A00B8B" w:rsidRDefault="00A00B8B" w:rsidP="007730AA">
      <w:pPr>
        <w:shd w:val="clear" w:color="auto" w:fill="FFFFFF"/>
        <w:spacing w:before="0" w:line="276" w:lineRule="auto"/>
        <w:ind w:firstLine="0"/>
        <w:contextualSpacing w:val="0"/>
        <w:jc w:val="left"/>
        <w:rPr>
          <w:rFonts w:cs="Sylfaen"/>
          <w:color w:val="000000"/>
          <w:szCs w:val="22"/>
          <w:u w:val="single"/>
          <w:lang w:val="hy-AM"/>
        </w:rPr>
      </w:pPr>
      <w:r w:rsidRPr="00A00B8B">
        <w:rPr>
          <w:rFonts w:cs="Sylfaen"/>
          <w:color w:val="000000"/>
          <w:szCs w:val="22"/>
          <w:u w:val="single"/>
          <w:lang w:val="hy-AM"/>
        </w:rPr>
        <w:t xml:space="preserve">Հաշվետվությամբ ընդգրկվող ժամանակահատվածը, </w:t>
      </w:r>
      <w:r w:rsidRPr="00A00B8B">
        <w:rPr>
          <w:rFonts w:cs="Sylfaen"/>
          <w:color w:val="000000"/>
          <w:szCs w:val="22"/>
          <w:u w:val="single"/>
          <w:lang w:val="en-US"/>
        </w:rPr>
        <w:t>հարկային</w:t>
      </w:r>
      <w:r w:rsidRPr="00A00B8B">
        <w:rPr>
          <w:rFonts w:cs="Sylfaen"/>
          <w:color w:val="000000"/>
          <w:szCs w:val="22"/>
          <w:u w:val="single"/>
        </w:rPr>
        <w:t xml:space="preserve"> </w:t>
      </w:r>
      <w:r w:rsidRPr="00A00B8B">
        <w:rPr>
          <w:rFonts w:cs="Sylfaen"/>
          <w:color w:val="000000"/>
          <w:szCs w:val="22"/>
          <w:u w:val="single"/>
          <w:lang w:val="en-US"/>
        </w:rPr>
        <w:t>ծախսերի</w:t>
      </w:r>
      <w:r w:rsidRPr="00A00B8B">
        <w:rPr>
          <w:rFonts w:cs="Sylfaen"/>
          <w:color w:val="000000"/>
          <w:szCs w:val="22"/>
          <w:u w:val="single"/>
        </w:rPr>
        <w:t xml:space="preserve"> </w:t>
      </w:r>
      <w:r w:rsidRPr="00A00B8B">
        <w:rPr>
          <w:rFonts w:cs="Sylfaen"/>
          <w:color w:val="000000"/>
          <w:szCs w:val="22"/>
          <w:u w:val="single"/>
          <w:lang w:val="hy-AM"/>
        </w:rPr>
        <w:t>գնահատման համար օգտագործված տեղեկատվ</w:t>
      </w:r>
      <w:r w:rsidRPr="00A00B8B">
        <w:rPr>
          <w:rFonts w:cs="Sylfaen"/>
          <w:color w:val="000000"/>
          <w:szCs w:val="22"/>
          <w:u w:val="single"/>
          <w:lang w:val="en-US"/>
        </w:rPr>
        <w:t>ությունը</w:t>
      </w:r>
      <w:r w:rsidRPr="00A00B8B">
        <w:rPr>
          <w:rFonts w:cs="Sylfaen"/>
          <w:color w:val="000000"/>
          <w:szCs w:val="22"/>
          <w:u w:val="single"/>
          <w:lang w:val="hy-AM"/>
        </w:rPr>
        <w:t xml:space="preserve"> և ընտրված</w:t>
      </w:r>
      <w:r w:rsidRPr="00A00B8B">
        <w:rPr>
          <w:rFonts w:cs="Sylfaen"/>
          <w:color w:val="000000"/>
          <w:szCs w:val="22"/>
          <w:u w:val="single"/>
        </w:rPr>
        <w:t xml:space="preserve"> </w:t>
      </w:r>
      <w:r w:rsidRPr="00A00B8B">
        <w:rPr>
          <w:rFonts w:cs="Sylfaen"/>
          <w:color w:val="000000"/>
          <w:szCs w:val="22"/>
          <w:u w:val="single"/>
          <w:lang w:val="hy-AM"/>
        </w:rPr>
        <w:t>մեթոդաբանությունը.</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hy-AM"/>
        </w:rPr>
        <w:t>Սույն հաշվետվությամբ գնահատված են 2021 թվականի հաշվետու տարվա հարկային ծախսերը:</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hy-AM"/>
        </w:rPr>
        <w:t>Գնահատման համար տեղեկատվական հիմք են հանդիսացել 2019 թվականի հաշ</w:t>
      </w:r>
      <w:r w:rsidRPr="00A00B8B">
        <w:rPr>
          <w:rFonts w:cs="Sylfaen"/>
          <w:b w:val="0"/>
          <w:color w:val="000000"/>
          <w:szCs w:val="22"/>
          <w:lang w:val="hy-AM"/>
        </w:rPr>
        <w:softHyphen/>
        <w:t>վետու տարվա համար ՀՀ վիճակագրական կոմիտեի կողմից հրապարակված հիմ</w:t>
      </w:r>
      <w:r w:rsidRPr="00A00B8B">
        <w:rPr>
          <w:rFonts w:cs="Sylfaen"/>
          <w:b w:val="0"/>
          <w:color w:val="000000"/>
          <w:szCs w:val="22"/>
          <w:lang w:val="hy-AM"/>
        </w:rPr>
        <w:softHyphen/>
        <w:t>նա</w:t>
      </w:r>
      <w:r w:rsidRPr="00A00B8B">
        <w:rPr>
          <w:rFonts w:cs="Sylfaen"/>
          <w:b w:val="0"/>
          <w:color w:val="000000"/>
          <w:szCs w:val="22"/>
          <w:lang w:val="hy-AM"/>
        </w:rPr>
        <w:softHyphen/>
        <w:t>կան մակրոտնտեսական տվյալները, ինչ</w:t>
      </w:r>
      <w:r w:rsidRPr="00A00B8B">
        <w:rPr>
          <w:rFonts w:cs="Sylfaen"/>
          <w:b w:val="0"/>
          <w:color w:val="000000"/>
          <w:szCs w:val="22"/>
          <w:lang w:val="hy-AM"/>
        </w:rPr>
        <w:softHyphen/>
        <w:t>պես նաև ՀՀ  ՊԵԿ  տեղեկատվական բազայում առկա` տնտեսա</w:t>
      </w:r>
      <w:r w:rsidRPr="00A00B8B">
        <w:rPr>
          <w:rFonts w:cs="Sylfaen"/>
          <w:b w:val="0"/>
          <w:color w:val="000000"/>
          <w:szCs w:val="22"/>
          <w:lang w:val="hy-AM"/>
        </w:rPr>
        <w:softHyphen/>
        <w:t>վա</w:t>
      </w:r>
      <w:r w:rsidRPr="00A00B8B">
        <w:rPr>
          <w:rFonts w:cs="Sylfaen"/>
          <w:b w:val="0"/>
          <w:color w:val="000000"/>
          <w:szCs w:val="22"/>
          <w:lang w:val="hy-AM"/>
        </w:rPr>
        <w:softHyphen/>
        <w:t>րող սուբյեկտների կողմից ներկայացված հաշվետվությունների տվյալները, որոնք ենթարկվել են որոշակի ճշգրտումների` կապ</w:t>
      </w:r>
      <w:r w:rsidRPr="00A00B8B">
        <w:rPr>
          <w:rFonts w:cs="Sylfaen"/>
          <w:b w:val="0"/>
          <w:color w:val="000000"/>
          <w:szCs w:val="22"/>
          <w:lang w:val="hy-AM"/>
        </w:rPr>
        <w:softHyphen/>
        <w:t>ված 2021 թվականի համար կանխատեսվող համապատասխան տվյալների հետ:</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hy-AM"/>
        </w:rPr>
        <w:t>Հաշվետվության մեթոդաբանության հիմքում դրված են ՀՆԱ-ի ճյուղային կառուց</w:t>
      </w:r>
      <w:r w:rsidRPr="00A00B8B">
        <w:rPr>
          <w:rFonts w:cs="Sylfaen"/>
          <w:b w:val="0"/>
          <w:color w:val="000000"/>
          <w:szCs w:val="22"/>
          <w:lang w:val="hy-AM"/>
        </w:rPr>
        <w:softHyphen/>
        <w:t>վածքի (հարկունակ և ոչ հարկունակ մասերի) ուսումնասիրության մակրոտնտեսական մոտե</w:t>
      </w:r>
      <w:r w:rsidRPr="00A00B8B">
        <w:rPr>
          <w:rFonts w:cs="Sylfaen"/>
          <w:b w:val="0"/>
          <w:color w:val="000000"/>
          <w:szCs w:val="22"/>
          <w:lang w:val="hy-AM"/>
        </w:rPr>
        <w:softHyphen/>
      </w:r>
      <w:r w:rsidRPr="00A00B8B">
        <w:rPr>
          <w:rFonts w:cs="Sylfaen"/>
          <w:b w:val="0"/>
          <w:color w:val="000000"/>
          <w:szCs w:val="22"/>
          <w:lang w:val="hy-AM"/>
        </w:rPr>
        <w:softHyphen/>
      </w:r>
      <w:r w:rsidRPr="00A00B8B">
        <w:rPr>
          <w:rFonts w:cs="Sylfaen"/>
          <w:b w:val="0"/>
          <w:color w:val="000000"/>
          <w:szCs w:val="22"/>
          <w:lang w:val="hy-AM"/>
        </w:rPr>
        <w:softHyphen/>
        <w:t>ցումները, 2019 թվականին վերաբերող ԱԱՀ-ի, շահութահարկի և շրջանառության հարկի հաշվարկներով՝ ԱԱՀ-ի և շահութահարկի արտոնությունների, ինչպես նաև ԱԱՀ-ով հարկվող շեմի ուսումնասիրության արդյունքները:</w:t>
      </w:r>
    </w:p>
    <w:p w:rsidR="00A00B8B" w:rsidRPr="00A00B8B" w:rsidRDefault="00A00B8B" w:rsidP="007730AA">
      <w:pPr>
        <w:shd w:val="clear" w:color="auto" w:fill="FFFFFF"/>
        <w:spacing w:before="0" w:line="276" w:lineRule="auto"/>
        <w:contextualSpacing w:val="0"/>
        <w:rPr>
          <w:rFonts w:cs="Sylfaen"/>
          <w:b w:val="0"/>
          <w:iCs/>
          <w:color w:val="000000"/>
          <w:szCs w:val="22"/>
          <w:lang w:val="hy-AM"/>
        </w:rPr>
      </w:pPr>
      <w:r w:rsidRPr="00A00B8B">
        <w:rPr>
          <w:rFonts w:cs="Sylfaen"/>
          <w:b w:val="0"/>
          <w:iCs/>
          <w:color w:val="000000"/>
          <w:szCs w:val="22"/>
          <w:lang w:val="hy-AM"/>
        </w:rPr>
        <w:t>Հաշվետվության կազմման համար ընտրվող մեթոդաբանության տեսանկյունից շատ կարևոր է նաև Հարկային ծախս հասկացության հստակ սահմանումը և հարկային ծախ</w:t>
      </w:r>
      <w:r w:rsidRPr="00A00B8B">
        <w:rPr>
          <w:rFonts w:cs="Sylfaen"/>
          <w:b w:val="0"/>
          <w:iCs/>
          <w:color w:val="000000"/>
          <w:szCs w:val="22"/>
          <w:lang w:val="hy-AM"/>
        </w:rPr>
        <w:softHyphen/>
        <w:t>սերի շրջանակի ճիշտ որոշումը: Այս առումով, հատ</w:t>
      </w:r>
      <w:r w:rsidRPr="00A00B8B">
        <w:rPr>
          <w:rFonts w:cs="Sylfaen"/>
          <w:b w:val="0"/>
          <w:iCs/>
          <w:color w:val="000000"/>
          <w:szCs w:val="22"/>
          <w:lang w:val="hy-AM"/>
        </w:rPr>
        <w:softHyphen/>
        <w:t>կա</w:t>
      </w:r>
      <w:r w:rsidRPr="00A00B8B">
        <w:rPr>
          <w:rFonts w:cs="Sylfaen"/>
          <w:b w:val="0"/>
          <w:iCs/>
          <w:color w:val="000000"/>
          <w:szCs w:val="22"/>
          <w:lang w:val="hy-AM"/>
        </w:rPr>
        <w:softHyphen/>
        <w:t>նշական է այն, որ գործող հարկային օրենս</w:t>
      </w:r>
      <w:r w:rsidRPr="00A00B8B">
        <w:rPr>
          <w:rFonts w:cs="Sylfaen"/>
          <w:b w:val="0"/>
          <w:iCs/>
          <w:color w:val="000000"/>
          <w:szCs w:val="22"/>
          <w:lang w:val="hy-AM"/>
        </w:rPr>
        <w:softHyphen/>
        <w:t>դրությամբ նախատեսված` հարկման արտոնյալ պայմաններ ենթադրող ոչ բոլոր կար</w:t>
      </w:r>
      <w:r w:rsidRPr="00A00B8B">
        <w:rPr>
          <w:rFonts w:cs="Sylfaen"/>
          <w:b w:val="0"/>
          <w:iCs/>
          <w:color w:val="000000"/>
          <w:szCs w:val="22"/>
          <w:lang w:val="hy-AM"/>
        </w:rPr>
        <w:softHyphen/>
        <w:t>գա</w:t>
      </w:r>
      <w:r w:rsidRPr="00A00B8B">
        <w:rPr>
          <w:rFonts w:cs="Sylfaen"/>
          <w:b w:val="0"/>
          <w:iCs/>
          <w:color w:val="000000"/>
          <w:szCs w:val="22"/>
          <w:lang w:val="hy-AM"/>
        </w:rPr>
        <w:softHyphen/>
        <w:t>վորումները կարելի է դիտարկել որպես հարկային ծախսեր (օրինակ` եկամտային հար</w:t>
      </w:r>
      <w:r w:rsidRPr="00A00B8B">
        <w:rPr>
          <w:rFonts w:cs="Sylfaen"/>
          <w:b w:val="0"/>
          <w:iCs/>
          <w:color w:val="000000"/>
          <w:szCs w:val="22"/>
          <w:lang w:val="hy-AM"/>
        </w:rPr>
        <w:softHyphen/>
        <w:t>կով հարկման նպատակով համախառն եկամտից նվազեցվող եկամուտները)` անգամ եթե դրանց կիրառության արդյունքում կրճատվում են տնտեսավարող սուբյեկտների կողմից վճար</w:t>
      </w:r>
      <w:r w:rsidRPr="00A00B8B">
        <w:rPr>
          <w:rFonts w:cs="Sylfaen"/>
          <w:b w:val="0"/>
          <w:iCs/>
          <w:color w:val="000000"/>
          <w:szCs w:val="22"/>
          <w:lang w:val="hy-AM"/>
        </w:rPr>
        <w:softHyphen/>
        <w:t>վող հարկերը: Հարկային ծախսերի շրջանակի որոշման համար հաշվի է առնվել Հենա</w:t>
      </w:r>
      <w:r w:rsidRPr="00A00B8B">
        <w:rPr>
          <w:rFonts w:cs="Sylfaen"/>
          <w:b w:val="0"/>
          <w:iCs/>
          <w:color w:val="000000"/>
          <w:szCs w:val="22"/>
          <w:lang w:val="hy-AM"/>
        </w:rPr>
        <w:softHyphen/>
        <w:t>նի</w:t>
      </w:r>
      <w:r w:rsidRPr="00A00B8B">
        <w:rPr>
          <w:rFonts w:cs="Sylfaen"/>
          <w:b w:val="0"/>
          <w:iCs/>
          <w:color w:val="000000"/>
          <w:szCs w:val="22"/>
          <w:lang w:val="hy-AM"/>
        </w:rPr>
        <w:softHyphen/>
        <w:t>շա</w:t>
      </w:r>
      <w:r w:rsidRPr="00A00B8B">
        <w:rPr>
          <w:rFonts w:cs="Sylfaen"/>
          <w:b w:val="0"/>
          <w:iCs/>
          <w:color w:val="000000"/>
          <w:szCs w:val="22"/>
          <w:lang w:val="hy-AM"/>
        </w:rPr>
        <w:softHyphen/>
        <w:t>յին հարկ հասկացությունը, որն իրենից ներկայացնում է հարկերի այն հան</w:t>
      </w:r>
      <w:r w:rsidRPr="00A00B8B">
        <w:rPr>
          <w:rFonts w:cs="Sylfaen"/>
          <w:b w:val="0"/>
          <w:iCs/>
          <w:color w:val="000000"/>
          <w:szCs w:val="22"/>
          <w:lang w:val="hy-AM"/>
        </w:rPr>
        <w:softHyphen/>
        <w:t>րա</w:t>
      </w:r>
      <w:r w:rsidRPr="00A00B8B">
        <w:rPr>
          <w:rFonts w:cs="Sylfaen"/>
          <w:b w:val="0"/>
          <w:iCs/>
          <w:color w:val="000000"/>
          <w:szCs w:val="22"/>
          <w:lang w:val="hy-AM"/>
        </w:rPr>
        <w:softHyphen/>
        <w:t>գու</w:t>
      </w:r>
      <w:r w:rsidRPr="00A00B8B">
        <w:rPr>
          <w:rFonts w:cs="Sylfaen"/>
          <w:b w:val="0"/>
          <w:iCs/>
          <w:color w:val="000000"/>
          <w:szCs w:val="22"/>
          <w:lang w:val="hy-AM"/>
        </w:rPr>
        <w:softHyphen/>
        <w:t>մարը, որը կվճար</w:t>
      </w:r>
      <w:r w:rsidRPr="00A00B8B">
        <w:rPr>
          <w:rFonts w:cs="Sylfaen"/>
          <w:b w:val="0"/>
          <w:iCs/>
          <w:color w:val="000000"/>
          <w:szCs w:val="22"/>
          <w:lang w:val="hy-AM"/>
        </w:rPr>
        <w:softHyphen/>
        <w:t>վեր պետական բյուջե տնտեսության մեջ ձևավորվող ողջ հարկման բազան հար</w:t>
      </w:r>
      <w:r w:rsidRPr="00A00B8B">
        <w:rPr>
          <w:rFonts w:cs="Sylfaen"/>
          <w:b w:val="0"/>
          <w:iCs/>
          <w:color w:val="000000"/>
          <w:szCs w:val="22"/>
          <w:lang w:val="hy-AM"/>
        </w:rPr>
        <w:softHyphen/>
        <w:t>կելու պարա</w:t>
      </w:r>
      <w:r w:rsidRPr="00A00B8B">
        <w:rPr>
          <w:rFonts w:cs="Sylfaen"/>
          <w:b w:val="0"/>
          <w:iCs/>
          <w:color w:val="000000"/>
          <w:szCs w:val="22"/>
          <w:lang w:val="hy-AM"/>
        </w:rPr>
        <w:softHyphen/>
        <w:t>գայում: Այս համատեքստում հարկային ծախսերը որոշվել են որպես հենանի</w:t>
      </w:r>
      <w:r w:rsidRPr="00A00B8B">
        <w:rPr>
          <w:rFonts w:cs="Sylfaen"/>
          <w:b w:val="0"/>
          <w:iCs/>
          <w:color w:val="000000"/>
          <w:szCs w:val="22"/>
          <w:lang w:val="hy-AM"/>
        </w:rPr>
        <w:softHyphen/>
        <w:t>շա</w:t>
      </w:r>
      <w:r w:rsidRPr="00A00B8B">
        <w:rPr>
          <w:rFonts w:cs="Sylfaen"/>
          <w:b w:val="0"/>
          <w:iCs/>
          <w:color w:val="000000"/>
          <w:szCs w:val="22"/>
          <w:lang w:val="hy-AM"/>
        </w:rPr>
        <w:softHyphen/>
        <w:t>յին հարկերի և փաստացի պետական բյուջե վճարվող հարկերի տարբերություն: Հար</w:t>
      </w:r>
      <w:r w:rsidRPr="00A00B8B">
        <w:rPr>
          <w:rFonts w:cs="Sylfaen"/>
          <w:b w:val="0"/>
          <w:iCs/>
          <w:color w:val="000000"/>
          <w:szCs w:val="22"/>
          <w:lang w:val="hy-AM"/>
        </w:rPr>
        <w:softHyphen/>
        <w:t>կային ծախսերի գնահատումը` որպես հենանիշային հարկերի ու պետական բյուջե փաս</w:t>
      </w:r>
      <w:r w:rsidRPr="00A00B8B">
        <w:rPr>
          <w:rFonts w:cs="Sylfaen"/>
          <w:b w:val="0"/>
          <w:iCs/>
          <w:color w:val="000000"/>
          <w:szCs w:val="22"/>
          <w:lang w:val="hy-AM"/>
        </w:rPr>
        <w:softHyphen/>
        <w:t>տացի գանձվող հարկերի տարբերություն, ընդունված մոտեցում է նաև միջազգային պրակ</w:t>
      </w:r>
      <w:r w:rsidRPr="00A00B8B">
        <w:rPr>
          <w:rFonts w:cs="Sylfaen"/>
          <w:b w:val="0"/>
          <w:iCs/>
          <w:color w:val="000000"/>
          <w:szCs w:val="22"/>
          <w:lang w:val="hy-AM"/>
        </w:rPr>
        <w:softHyphen/>
        <w:t>տի</w:t>
      </w:r>
      <w:r w:rsidRPr="00A00B8B">
        <w:rPr>
          <w:rFonts w:cs="Sylfaen"/>
          <w:b w:val="0"/>
          <w:iCs/>
          <w:color w:val="000000"/>
          <w:szCs w:val="22"/>
          <w:lang w:val="hy-AM"/>
        </w:rPr>
        <w:softHyphen/>
        <w:t>կա</w:t>
      </w:r>
      <w:r w:rsidRPr="00A00B8B">
        <w:rPr>
          <w:rFonts w:cs="Sylfaen"/>
          <w:b w:val="0"/>
          <w:iCs/>
          <w:color w:val="000000"/>
          <w:szCs w:val="22"/>
          <w:lang w:val="hy-AM"/>
        </w:rPr>
        <w:softHyphen/>
        <w:t>յում: Ընդ որում, հատկանշական է այն, որ միջազգային պրակտիկայում հենա</w:t>
      </w:r>
      <w:r w:rsidRPr="00A00B8B">
        <w:rPr>
          <w:rFonts w:cs="Sylfaen"/>
          <w:b w:val="0"/>
          <w:iCs/>
          <w:color w:val="000000"/>
          <w:szCs w:val="22"/>
          <w:lang w:val="hy-AM"/>
        </w:rPr>
        <w:softHyphen/>
        <w:t>նի</w:t>
      </w:r>
      <w:r w:rsidRPr="00A00B8B">
        <w:rPr>
          <w:rFonts w:cs="Sylfaen"/>
          <w:b w:val="0"/>
          <w:iCs/>
          <w:color w:val="000000"/>
          <w:szCs w:val="22"/>
          <w:lang w:val="hy-AM"/>
        </w:rPr>
        <w:softHyphen/>
        <w:t>շային հար</w:t>
      </w:r>
      <w:r w:rsidRPr="00A00B8B">
        <w:rPr>
          <w:rFonts w:cs="Sylfaen"/>
          <w:b w:val="0"/>
          <w:iCs/>
          <w:color w:val="000000"/>
          <w:szCs w:val="22"/>
          <w:lang w:val="hy-AM"/>
        </w:rPr>
        <w:softHyphen/>
        <w:t>կերի կամ այլ կերպ ասած` հարկային նշաձողի միասնական կամ սպառիչ սահ</w:t>
      </w:r>
      <w:r w:rsidRPr="00A00B8B">
        <w:rPr>
          <w:rFonts w:cs="Sylfaen"/>
          <w:b w:val="0"/>
          <w:iCs/>
          <w:color w:val="000000"/>
          <w:szCs w:val="22"/>
          <w:lang w:val="hy-AM"/>
        </w:rPr>
        <w:softHyphen/>
        <w:t>մա</w:t>
      </w:r>
      <w:r w:rsidRPr="00A00B8B">
        <w:rPr>
          <w:rFonts w:cs="Sylfaen"/>
          <w:b w:val="0"/>
          <w:iCs/>
          <w:color w:val="000000"/>
          <w:szCs w:val="22"/>
          <w:lang w:val="hy-AM"/>
        </w:rPr>
        <w:softHyphen/>
        <w:t>նում չկա: Երկրների մի մասում, օրինակ, հարկային ծախսերը սահմանվում են որպես օրենս</w:t>
      </w:r>
      <w:r w:rsidRPr="00A00B8B">
        <w:rPr>
          <w:rFonts w:cs="Sylfaen"/>
          <w:b w:val="0"/>
          <w:iCs/>
          <w:color w:val="000000"/>
          <w:szCs w:val="22"/>
          <w:lang w:val="hy-AM"/>
        </w:rPr>
        <w:softHyphen/>
      </w:r>
      <w:r w:rsidRPr="00A00B8B">
        <w:rPr>
          <w:rFonts w:cs="Sylfaen"/>
          <w:b w:val="0"/>
          <w:iCs/>
          <w:color w:val="000000"/>
          <w:szCs w:val="22"/>
          <w:lang w:val="hy-AM"/>
        </w:rPr>
        <w:softHyphen/>
        <w:t>դրու</w:t>
      </w:r>
      <w:r w:rsidRPr="00A00B8B">
        <w:rPr>
          <w:rFonts w:cs="Sylfaen"/>
          <w:b w:val="0"/>
          <w:iCs/>
          <w:color w:val="000000"/>
          <w:szCs w:val="22"/>
          <w:lang w:val="hy-AM"/>
        </w:rPr>
        <w:softHyphen/>
      </w:r>
      <w:r w:rsidRPr="00A00B8B">
        <w:rPr>
          <w:rFonts w:cs="Sylfaen"/>
          <w:b w:val="0"/>
          <w:iCs/>
          <w:color w:val="000000"/>
          <w:szCs w:val="22"/>
          <w:lang w:val="hy-AM"/>
        </w:rPr>
        <w:softHyphen/>
        <w:t>թյամբ նախատեսված դրույթներ, որոնց կիրառությունը հանգեցնում է պետական եկա</w:t>
      </w:r>
      <w:r w:rsidRPr="00A00B8B">
        <w:rPr>
          <w:rFonts w:cs="Sylfaen"/>
          <w:b w:val="0"/>
          <w:iCs/>
          <w:color w:val="000000"/>
          <w:szCs w:val="22"/>
          <w:lang w:val="hy-AM"/>
        </w:rPr>
        <w:softHyphen/>
        <w:t>մուտ</w:t>
      </w:r>
      <w:r w:rsidRPr="00A00B8B">
        <w:rPr>
          <w:rFonts w:cs="Sylfaen"/>
          <w:b w:val="0"/>
          <w:iCs/>
          <w:color w:val="000000"/>
          <w:szCs w:val="22"/>
          <w:lang w:val="hy-AM"/>
        </w:rPr>
        <w:softHyphen/>
        <w:t>ների կրճատման հարկային նշաձողի կամ նորմի (այսինքն` հարկի հաշվարկման հիմ</w:t>
      </w:r>
      <w:r w:rsidRPr="00A00B8B">
        <w:rPr>
          <w:rFonts w:cs="Sylfaen"/>
          <w:b w:val="0"/>
          <w:iCs/>
          <w:color w:val="000000"/>
          <w:szCs w:val="22"/>
          <w:lang w:val="hy-AM"/>
        </w:rPr>
        <w:softHyphen/>
        <w:t>նա</w:t>
      </w:r>
      <w:r w:rsidRPr="00A00B8B">
        <w:rPr>
          <w:rFonts w:cs="Sylfaen"/>
          <w:b w:val="0"/>
          <w:iCs/>
          <w:color w:val="000000"/>
          <w:szCs w:val="22"/>
          <w:lang w:val="hy-AM"/>
        </w:rPr>
        <w:softHyphen/>
        <w:t>կան սկզբունքի) կիրառության համեմատությամբ: Հարկային ծախսերի սահմանման ընդ</w:t>
      </w:r>
      <w:r w:rsidRPr="00A00B8B">
        <w:rPr>
          <w:rFonts w:cs="Sylfaen"/>
          <w:b w:val="0"/>
          <w:iCs/>
          <w:color w:val="000000"/>
          <w:szCs w:val="22"/>
          <w:lang w:val="hy-AM"/>
        </w:rPr>
        <w:softHyphen/>
        <w:t>հա</w:t>
      </w:r>
      <w:r w:rsidRPr="00A00B8B">
        <w:rPr>
          <w:rFonts w:cs="Sylfaen"/>
          <w:b w:val="0"/>
          <w:iCs/>
          <w:color w:val="000000"/>
          <w:szCs w:val="22"/>
          <w:lang w:val="hy-AM"/>
        </w:rPr>
        <w:softHyphen/>
        <w:t>նուր սկզբունքն այն է, որ դրանք ունեն սահմանափակ կիրառության շրջանակ: Օրենս</w:t>
      </w:r>
      <w:r w:rsidRPr="00A00B8B">
        <w:rPr>
          <w:rFonts w:cs="Sylfaen"/>
          <w:b w:val="0"/>
          <w:iCs/>
          <w:color w:val="000000"/>
          <w:szCs w:val="22"/>
          <w:lang w:val="hy-AM"/>
        </w:rPr>
        <w:softHyphen/>
        <w:t>դրու</w:t>
      </w:r>
      <w:r w:rsidRPr="00A00B8B">
        <w:rPr>
          <w:rFonts w:cs="Sylfaen"/>
          <w:b w:val="0"/>
          <w:iCs/>
          <w:color w:val="000000"/>
          <w:szCs w:val="22"/>
          <w:lang w:val="hy-AM"/>
        </w:rPr>
        <w:softHyphen/>
        <w:t>թյան այնպիսի դրույթներ, որոնցից կարող է օգտվել հարկ վճարողների մեծա</w:t>
      </w:r>
      <w:r w:rsidRPr="00A00B8B">
        <w:rPr>
          <w:rFonts w:cs="Sylfaen"/>
          <w:b w:val="0"/>
          <w:iCs/>
          <w:color w:val="000000"/>
          <w:szCs w:val="22"/>
          <w:lang w:val="hy-AM"/>
        </w:rPr>
        <w:softHyphen/>
        <w:t>մաս</w:t>
      </w:r>
      <w:r w:rsidRPr="00A00B8B">
        <w:rPr>
          <w:rFonts w:cs="Sylfaen"/>
          <w:b w:val="0"/>
          <w:iCs/>
          <w:color w:val="000000"/>
          <w:szCs w:val="22"/>
          <w:lang w:val="hy-AM"/>
        </w:rPr>
        <w:softHyphen/>
        <w:t>նու</w:t>
      </w:r>
      <w:r w:rsidRPr="00A00B8B">
        <w:rPr>
          <w:rFonts w:cs="Sylfaen"/>
          <w:b w:val="0"/>
          <w:iCs/>
          <w:color w:val="000000"/>
          <w:szCs w:val="22"/>
          <w:lang w:val="hy-AM"/>
        </w:rPr>
        <w:softHyphen/>
        <w:t>թյունը, դիտվում են որպես ընդհանուր կանոնի` հարկային նորմի մաս և չեն որակվում որպես հարկային ծախսեր: Կան երկրներ, որտեղ ընդհանրապես հարկային ծախ</w:t>
      </w:r>
      <w:r w:rsidRPr="00A00B8B">
        <w:rPr>
          <w:rFonts w:cs="Sylfaen"/>
          <w:b w:val="0"/>
          <w:iCs/>
          <w:color w:val="000000"/>
          <w:szCs w:val="22"/>
          <w:lang w:val="hy-AM"/>
        </w:rPr>
        <w:softHyphen/>
        <w:t>սերի կամ հենա</w:t>
      </w:r>
      <w:r w:rsidRPr="00A00B8B">
        <w:rPr>
          <w:rFonts w:cs="Sylfaen"/>
          <w:b w:val="0"/>
          <w:iCs/>
          <w:color w:val="000000"/>
          <w:szCs w:val="22"/>
          <w:lang w:val="hy-AM"/>
        </w:rPr>
        <w:softHyphen/>
        <w:t>նի</w:t>
      </w:r>
      <w:r w:rsidRPr="00A00B8B">
        <w:rPr>
          <w:rFonts w:cs="Sylfaen"/>
          <w:b w:val="0"/>
          <w:iCs/>
          <w:color w:val="000000"/>
          <w:szCs w:val="22"/>
          <w:lang w:val="hy-AM"/>
        </w:rPr>
        <w:softHyphen/>
      </w:r>
      <w:r w:rsidRPr="00A00B8B">
        <w:rPr>
          <w:rFonts w:cs="Sylfaen"/>
          <w:b w:val="0"/>
          <w:iCs/>
          <w:color w:val="000000"/>
          <w:szCs w:val="22"/>
          <w:lang w:val="hy-AM"/>
        </w:rPr>
        <w:softHyphen/>
        <w:t>շային հարկի կամ հարկային նշաձողի սահմանումներ չկան: Այս երկրնե</w:t>
      </w:r>
      <w:r w:rsidRPr="00A00B8B">
        <w:rPr>
          <w:rFonts w:cs="Sylfaen"/>
          <w:b w:val="0"/>
          <w:iCs/>
          <w:color w:val="000000"/>
          <w:szCs w:val="22"/>
          <w:lang w:val="hy-AM"/>
        </w:rPr>
        <w:softHyphen/>
        <w:t>րում, օրենս</w:t>
      </w:r>
      <w:r w:rsidRPr="00A00B8B">
        <w:rPr>
          <w:rFonts w:cs="Sylfaen"/>
          <w:b w:val="0"/>
          <w:iCs/>
          <w:color w:val="000000"/>
          <w:szCs w:val="22"/>
          <w:lang w:val="hy-AM"/>
        </w:rPr>
        <w:softHyphen/>
        <w:t>դրու</w:t>
      </w:r>
      <w:r w:rsidRPr="00A00B8B">
        <w:rPr>
          <w:rFonts w:cs="Sylfaen"/>
          <w:b w:val="0"/>
          <w:iCs/>
          <w:color w:val="000000"/>
          <w:szCs w:val="22"/>
          <w:lang w:val="hy-AM"/>
        </w:rPr>
        <w:softHyphen/>
        <w:t>թյան առանձնա</w:t>
      </w:r>
      <w:r w:rsidRPr="00A00B8B">
        <w:rPr>
          <w:rFonts w:cs="Sylfaen"/>
          <w:b w:val="0"/>
          <w:iCs/>
          <w:color w:val="000000"/>
          <w:szCs w:val="22"/>
          <w:lang w:val="hy-AM"/>
        </w:rPr>
        <w:softHyphen/>
        <w:t>հա</w:t>
      </w:r>
      <w:r w:rsidRPr="00A00B8B">
        <w:rPr>
          <w:rFonts w:cs="Sylfaen"/>
          <w:b w:val="0"/>
          <w:iCs/>
          <w:color w:val="000000"/>
          <w:szCs w:val="22"/>
          <w:lang w:val="hy-AM"/>
        </w:rPr>
        <w:softHyphen/>
        <w:t>տուկ դրույթները (օրինակ, ազատումներ կամ հարկման նվազեցված դրույքաչափեր) դիտ</w:t>
      </w:r>
      <w:r w:rsidRPr="00A00B8B">
        <w:rPr>
          <w:rFonts w:cs="Sylfaen"/>
          <w:b w:val="0"/>
          <w:iCs/>
          <w:color w:val="000000"/>
          <w:szCs w:val="22"/>
          <w:lang w:val="hy-AM"/>
        </w:rPr>
        <w:softHyphen/>
      </w:r>
      <w:r w:rsidRPr="00A00B8B">
        <w:rPr>
          <w:rFonts w:cs="Sylfaen"/>
          <w:b w:val="0"/>
          <w:iCs/>
          <w:color w:val="000000"/>
          <w:szCs w:val="22"/>
          <w:lang w:val="hy-AM"/>
        </w:rPr>
        <w:softHyphen/>
        <w:t>վում են որպես բազային հարկային համակարգի մաս, այլ ոչ թե որպես հարկային ծախս: Ընդհանուր առմամբ, ձեռնարկատիրական գործունեության հետ կապված ազատում</w:t>
      </w:r>
      <w:r w:rsidRPr="00A00B8B">
        <w:rPr>
          <w:rFonts w:cs="Sylfaen"/>
          <w:b w:val="0"/>
          <w:iCs/>
          <w:color w:val="000000"/>
          <w:szCs w:val="22"/>
          <w:lang w:val="hy-AM"/>
        </w:rPr>
        <w:softHyphen/>
        <w:t>ները երկրների այս խմբում չեն դիտարկվում որպես հարկային ծախ</w:t>
      </w:r>
      <w:r w:rsidRPr="00A00B8B">
        <w:rPr>
          <w:rFonts w:cs="Sylfaen"/>
          <w:b w:val="0"/>
          <w:iCs/>
          <w:color w:val="000000"/>
          <w:szCs w:val="22"/>
          <w:lang w:val="hy-AM"/>
        </w:rPr>
        <w:softHyphen/>
        <w:t>սեր: Երրորդ խումբ երկրներում հար</w:t>
      </w:r>
      <w:r w:rsidRPr="00A00B8B">
        <w:rPr>
          <w:rFonts w:cs="Sylfaen"/>
          <w:b w:val="0"/>
          <w:iCs/>
          <w:color w:val="000000"/>
          <w:szCs w:val="22"/>
          <w:lang w:val="hy-AM"/>
        </w:rPr>
        <w:softHyphen/>
        <w:t>կա</w:t>
      </w:r>
      <w:r w:rsidRPr="00A00B8B">
        <w:rPr>
          <w:rFonts w:cs="Sylfaen"/>
          <w:b w:val="0"/>
          <w:iCs/>
          <w:color w:val="000000"/>
          <w:szCs w:val="22"/>
          <w:lang w:val="hy-AM"/>
        </w:rPr>
        <w:softHyphen/>
        <w:t>յին ծախսերը սահմանվում են որպես հարկային համակարգի առանձին դրույթներ, որոնք նվա</w:t>
      </w:r>
      <w:r w:rsidRPr="00A00B8B">
        <w:rPr>
          <w:rFonts w:cs="Sylfaen"/>
          <w:b w:val="0"/>
          <w:iCs/>
          <w:color w:val="000000"/>
          <w:szCs w:val="22"/>
          <w:lang w:val="hy-AM"/>
        </w:rPr>
        <w:softHyphen/>
        <w:t>զեցնում են տնտեսական միավորի հարկային պարտավորությունները` որոշակի քաղա</w:t>
      </w:r>
      <w:r w:rsidRPr="00A00B8B">
        <w:rPr>
          <w:rFonts w:cs="Sylfaen"/>
          <w:b w:val="0"/>
          <w:iCs/>
          <w:color w:val="000000"/>
          <w:szCs w:val="22"/>
          <w:lang w:val="hy-AM"/>
        </w:rPr>
        <w:softHyphen/>
        <w:t>քա</w:t>
      </w:r>
      <w:r w:rsidRPr="00A00B8B">
        <w:rPr>
          <w:rFonts w:cs="Sylfaen"/>
          <w:b w:val="0"/>
          <w:iCs/>
          <w:color w:val="000000"/>
          <w:szCs w:val="22"/>
          <w:lang w:val="hy-AM"/>
        </w:rPr>
        <w:softHyphen/>
        <w:t>կանության նպատակներին հասնելու և ոչ թե առավել արդյունավետ և տնտեսապես չեզոք եղանակով եկամուտներ ստանալու նպա</w:t>
      </w:r>
      <w:r w:rsidRPr="00A00B8B">
        <w:rPr>
          <w:rFonts w:cs="Sylfaen"/>
          <w:b w:val="0"/>
          <w:iCs/>
          <w:color w:val="000000"/>
          <w:szCs w:val="22"/>
          <w:lang w:val="hy-AM"/>
        </w:rPr>
        <w:softHyphen/>
        <w:t>տա</w:t>
      </w:r>
      <w:r w:rsidRPr="00A00B8B">
        <w:rPr>
          <w:rFonts w:cs="Sylfaen"/>
          <w:b w:val="0"/>
          <w:iCs/>
          <w:color w:val="000000"/>
          <w:szCs w:val="22"/>
          <w:lang w:val="hy-AM"/>
        </w:rPr>
        <w:softHyphen/>
        <w:t>կով:</w:t>
      </w:r>
    </w:p>
    <w:p w:rsidR="00A00B8B" w:rsidRPr="00A00B8B" w:rsidRDefault="00A00B8B" w:rsidP="007730AA">
      <w:pPr>
        <w:shd w:val="clear" w:color="auto" w:fill="FFFFFF"/>
        <w:spacing w:before="0" w:line="276" w:lineRule="auto"/>
        <w:contextualSpacing w:val="0"/>
        <w:rPr>
          <w:rFonts w:cs="Sylfaen"/>
          <w:b w:val="0"/>
          <w:iCs/>
          <w:color w:val="000000"/>
          <w:szCs w:val="22"/>
          <w:lang w:val="hy-AM"/>
        </w:rPr>
      </w:pPr>
      <w:r w:rsidRPr="00A00B8B">
        <w:rPr>
          <w:rFonts w:cs="Sylfaen"/>
          <w:b w:val="0"/>
          <w:iCs/>
          <w:color w:val="000000"/>
          <w:szCs w:val="22"/>
          <w:lang w:val="hy-AM"/>
        </w:rPr>
        <w:t>Հաշվետվության շրջանակներում գնա</w:t>
      </w:r>
      <w:r w:rsidRPr="00A00B8B">
        <w:rPr>
          <w:rFonts w:cs="Sylfaen"/>
          <w:b w:val="0"/>
          <w:iCs/>
          <w:color w:val="000000"/>
          <w:szCs w:val="22"/>
          <w:lang w:val="hy-AM"/>
        </w:rPr>
        <w:softHyphen/>
        <w:t>հատ</w:t>
      </w:r>
      <w:r w:rsidRPr="00A00B8B">
        <w:rPr>
          <w:rFonts w:cs="Sylfaen"/>
          <w:b w:val="0"/>
          <w:iCs/>
          <w:color w:val="000000"/>
          <w:szCs w:val="22"/>
          <w:lang w:val="hy-AM"/>
        </w:rPr>
        <w:softHyphen/>
        <w:t>վել են ավելացված արժեքի հարկին, շահութահարկին և եկա</w:t>
      </w:r>
      <w:r w:rsidRPr="00A00B8B">
        <w:rPr>
          <w:rFonts w:cs="Sylfaen"/>
          <w:b w:val="0"/>
          <w:iCs/>
          <w:color w:val="000000"/>
          <w:szCs w:val="22"/>
          <w:lang w:val="hy-AM"/>
        </w:rPr>
        <w:softHyphen/>
        <w:t>մտա</w:t>
      </w:r>
      <w:r w:rsidRPr="00A00B8B">
        <w:rPr>
          <w:rFonts w:cs="Sylfaen"/>
          <w:b w:val="0"/>
          <w:iCs/>
          <w:color w:val="000000"/>
          <w:szCs w:val="22"/>
          <w:lang w:val="hy-AM"/>
        </w:rPr>
        <w:softHyphen/>
        <w:t>յին հարկին վերա</w:t>
      </w:r>
      <w:r w:rsidRPr="00A00B8B">
        <w:rPr>
          <w:rFonts w:cs="Sylfaen"/>
          <w:b w:val="0"/>
          <w:iCs/>
          <w:color w:val="000000"/>
          <w:szCs w:val="22"/>
          <w:lang w:val="hy-AM"/>
        </w:rPr>
        <w:softHyphen/>
        <w:t>բե</w:t>
      </w:r>
      <w:r w:rsidRPr="00A00B8B">
        <w:rPr>
          <w:rFonts w:cs="Sylfaen"/>
          <w:b w:val="0"/>
          <w:iCs/>
          <w:color w:val="000000"/>
          <w:szCs w:val="22"/>
          <w:lang w:val="hy-AM"/>
        </w:rPr>
        <w:softHyphen/>
      </w:r>
      <w:r w:rsidRPr="00A00B8B">
        <w:rPr>
          <w:rFonts w:cs="Sylfaen"/>
          <w:b w:val="0"/>
          <w:iCs/>
          <w:color w:val="000000"/>
          <w:szCs w:val="22"/>
          <w:lang w:val="hy-AM"/>
        </w:rPr>
        <w:softHyphen/>
        <w:t>րող հիմնական (ընդգրկուն) հարկային արտոնությունների ու ավե</w:t>
      </w:r>
      <w:r w:rsidRPr="00A00B8B">
        <w:rPr>
          <w:rFonts w:cs="Sylfaen"/>
          <w:b w:val="0"/>
          <w:iCs/>
          <w:color w:val="000000"/>
          <w:szCs w:val="22"/>
          <w:lang w:val="hy-AM"/>
        </w:rPr>
        <w:softHyphen/>
        <w:t>լացված արժեքի հարկի չհարկվող շեմի կիրառության հետևան</w:t>
      </w:r>
      <w:r w:rsidRPr="00A00B8B">
        <w:rPr>
          <w:rFonts w:cs="Sylfaen"/>
          <w:b w:val="0"/>
          <w:iCs/>
          <w:color w:val="000000"/>
          <w:szCs w:val="22"/>
          <w:lang w:val="hy-AM"/>
        </w:rPr>
        <w:softHyphen/>
        <w:t>քով պետական բյուջե չգանձ</w:t>
      </w:r>
      <w:r w:rsidRPr="00A00B8B">
        <w:rPr>
          <w:rFonts w:cs="Sylfaen"/>
          <w:b w:val="0"/>
          <w:iCs/>
          <w:color w:val="000000"/>
          <w:szCs w:val="22"/>
          <w:lang w:val="hy-AM"/>
        </w:rPr>
        <w:softHyphen/>
      </w:r>
      <w:r w:rsidRPr="00A00B8B">
        <w:rPr>
          <w:rFonts w:cs="Sylfaen"/>
          <w:b w:val="0"/>
          <w:iCs/>
          <w:color w:val="000000"/>
          <w:szCs w:val="22"/>
          <w:lang w:val="hy-AM"/>
        </w:rPr>
        <w:softHyphen/>
        <w:t>վող (պակաս գանձ</w:t>
      </w:r>
      <w:r w:rsidRPr="00A00B8B">
        <w:rPr>
          <w:rFonts w:cs="Sylfaen"/>
          <w:b w:val="0"/>
          <w:iCs/>
          <w:color w:val="000000"/>
          <w:szCs w:val="22"/>
          <w:lang w:val="hy-AM"/>
        </w:rPr>
        <w:softHyphen/>
        <w:t>վող) հար</w:t>
      </w:r>
      <w:r w:rsidRPr="00A00B8B">
        <w:rPr>
          <w:rFonts w:cs="Sylfaen"/>
          <w:b w:val="0"/>
          <w:iCs/>
          <w:color w:val="000000"/>
          <w:szCs w:val="22"/>
          <w:lang w:val="hy-AM"/>
        </w:rPr>
        <w:softHyphen/>
        <w:t>կային եկամուտները: Սույն հաշվետվությամբ մեր կող</w:t>
      </w:r>
      <w:r w:rsidRPr="00A00B8B">
        <w:rPr>
          <w:rFonts w:cs="Sylfaen"/>
          <w:b w:val="0"/>
          <w:iCs/>
          <w:color w:val="000000"/>
          <w:szCs w:val="22"/>
          <w:lang w:val="hy-AM"/>
        </w:rPr>
        <w:softHyphen/>
        <w:t>մից կատար</w:t>
      </w:r>
      <w:r w:rsidRPr="00A00B8B">
        <w:rPr>
          <w:rFonts w:cs="Sylfaen"/>
          <w:b w:val="0"/>
          <w:iCs/>
          <w:color w:val="000000"/>
          <w:szCs w:val="22"/>
          <w:lang w:val="hy-AM"/>
        </w:rPr>
        <w:softHyphen/>
        <w:t>վող ուսում</w:t>
      </w:r>
      <w:r w:rsidRPr="00A00B8B">
        <w:rPr>
          <w:rFonts w:cs="Sylfaen"/>
          <w:b w:val="0"/>
          <w:iCs/>
          <w:color w:val="000000"/>
          <w:szCs w:val="22"/>
          <w:lang w:val="hy-AM"/>
        </w:rPr>
        <w:softHyphen/>
        <w:t>նա</w:t>
      </w:r>
      <w:r w:rsidRPr="00A00B8B">
        <w:rPr>
          <w:rFonts w:cs="Sylfaen"/>
          <w:b w:val="0"/>
          <w:iCs/>
          <w:color w:val="000000"/>
          <w:szCs w:val="22"/>
          <w:lang w:val="hy-AM"/>
        </w:rPr>
        <w:softHyphen/>
        <w:t>սի</w:t>
      </w:r>
      <w:r w:rsidRPr="00A00B8B">
        <w:rPr>
          <w:rFonts w:cs="Sylfaen"/>
          <w:b w:val="0"/>
          <w:iCs/>
          <w:color w:val="000000"/>
          <w:szCs w:val="22"/>
          <w:lang w:val="hy-AM"/>
        </w:rPr>
        <w:softHyphen/>
        <w:t>րու</w:t>
      </w:r>
      <w:r w:rsidRPr="00A00B8B">
        <w:rPr>
          <w:rFonts w:cs="Sylfaen"/>
          <w:b w:val="0"/>
          <w:iCs/>
          <w:color w:val="000000"/>
          <w:szCs w:val="22"/>
          <w:lang w:val="hy-AM"/>
        </w:rPr>
        <w:softHyphen/>
        <w:t>թյուն</w:t>
      </w:r>
      <w:r w:rsidRPr="00A00B8B">
        <w:rPr>
          <w:rFonts w:cs="Sylfaen"/>
          <w:b w:val="0"/>
          <w:iCs/>
          <w:color w:val="000000"/>
          <w:szCs w:val="22"/>
          <w:lang w:val="hy-AM"/>
        </w:rPr>
        <w:softHyphen/>
        <w:t>ներն ու գնա</w:t>
      </w:r>
      <w:r w:rsidRPr="00A00B8B">
        <w:rPr>
          <w:rFonts w:cs="Sylfaen"/>
          <w:b w:val="0"/>
          <w:iCs/>
          <w:color w:val="000000"/>
          <w:szCs w:val="22"/>
          <w:lang w:val="hy-AM"/>
        </w:rPr>
        <w:softHyphen/>
        <w:t>հա</w:t>
      </w:r>
      <w:r w:rsidRPr="00A00B8B">
        <w:rPr>
          <w:rFonts w:cs="Sylfaen"/>
          <w:b w:val="0"/>
          <w:iCs/>
          <w:color w:val="000000"/>
          <w:szCs w:val="22"/>
          <w:lang w:val="hy-AM"/>
        </w:rPr>
        <w:softHyphen/>
        <w:t>տականներն առավել ընդ</w:t>
      </w:r>
      <w:r w:rsidRPr="00A00B8B">
        <w:rPr>
          <w:rFonts w:cs="Sylfaen"/>
          <w:b w:val="0"/>
          <w:iCs/>
          <w:color w:val="000000"/>
          <w:szCs w:val="22"/>
          <w:lang w:val="hy-AM"/>
        </w:rPr>
        <w:softHyphen/>
        <w:t>գր</w:t>
      </w:r>
      <w:r w:rsidRPr="00A00B8B">
        <w:rPr>
          <w:rFonts w:cs="Sylfaen"/>
          <w:b w:val="0"/>
          <w:iCs/>
          <w:color w:val="000000"/>
          <w:szCs w:val="22"/>
          <w:lang w:val="hy-AM"/>
        </w:rPr>
        <w:softHyphen/>
        <w:t>կուն և տար</w:t>
      </w:r>
      <w:r w:rsidRPr="00A00B8B">
        <w:rPr>
          <w:rFonts w:cs="Sylfaen"/>
          <w:b w:val="0"/>
          <w:iCs/>
          <w:color w:val="000000"/>
          <w:szCs w:val="22"/>
          <w:lang w:val="hy-AM"/>
        </w:rPr>
        <w:softHyphen/>
        <w:t>բերակված լինելու նպատակով` ընդլայնվել են գնահատվող ԱԱՀ-ի և շահութահարկի հար</w:t>
      </w:r>
      <w:r w:rsidRPr="00A00B8B">
        <w:rPr>
          <w:rFonts w:cs="Sylfaen"/>
          <w:b w:val="0"/>
          <w:iCs/>
          <w:color w:val="000000"/>
          <w:szCs w:val="22"/>
          <w:lang w:val="hy-AM"/>
        </w:rPr>
        <w:softHyphen/>
        <w:t>կա</w:t>
      </w:r>
      <w:r w:rsidRPr="00A00B8B">
        <w:rPr>
          <w:rFonts w:cs="Sylfaen"/>
          <w:b w:val="0"/>
          <w:iCs/>
          <w:color w:val="000000"/>
          <w:szCs w:val="22"/>
          <w:lang w:val="hy-AM"/>
        </w:rPr>
        <w:softHyphen/>
        <w:t>յին արտոնու</w:t>
      </w:r>
      <w:r w:rsidRPr="00A00B8B">
        <w:rPr>
          <w:rFonts w:cs="Sylfaen"/>
          <w:b w:val="0"/>
          <w:iCs/>
          <w:color w:val="000000"/>
          <w:szCs w:val="22"/>
          <w:lang w:val="hy-AM"/>
        </w:rPr>
        <w:softHyphen/>
        <w:t>թյուն</w:t>
      </w:r>
      <w:r w:rsidRPr="00A00B8B">
        <w:rPr>
          <w:rFonts w:cs="Sylfaen"/>
          <w:b w:val="0"/>
          <w:iCs/>
          <w:color w:val="000000"/>
          <w:szCs w:val="22"/>
          <w:lang w:val="hy-AM"/>
        </w:rPr>
        <w:softHyphen/>
        <w:t>ների տեսակ</w:t>
      </w:r>
      <w:r w:rsidRPr="00A00B8B">
        <w:rPr>
          <w:rFonts w:cs="Sylfaen"/>
          <w:b w:val="0"/>
          <w:iCs/>
          <w:color w:val="000000"/>
          <w:szCs w:val="22"/>
          <w:lang w:val="hy-AM"/>
        </w:rPr>
        <w:softHyphen/>
        <w:t>ները, այդ թվում՝ հիմնվելով հարկ վճարողների կողմից հարկային մարմին ներկայացված հարկային հաշվարկներով արտացոլված տվյալների վրա:</w:t>
      </w:r>
    </w:p>
    <w:p w:rsidR="00A00B8B" w:rsidRPr="00A00B8B" w:rsidRDefault="00A00B8B" w:rsidP="007730AA">
      <w:pPr>
        <w:shd w:val="clear" w:color="auto" w:fill="FFFFFF"/>
        <w:spacing w:before="0" w:line="276" w:lineRule="auto"/>
        <w:contextualSpacing w:val="0"/>
        <w:jc w:val="left"/>
        <w:rPr>
          <w:rFonts w:cs="Sylfaen"/>
          <w:b w:val="0"/>
          <w:color w:val="000000"/>
          <w:szCs w:val="22"/>
          <w:u w:val="single"/>
          <w:lang w:val="hy-AM"/>
        </w:rPr>
      </w:pPr>
    </w:p>
    <w:p w:rsidR="00A00B8B" w:rsidRPr="00A00B8B" w:rsidRDefault="00A00B8B" w:rsidP="007730AA">
      <w:pPr>
        <w:shd w:val="clear" w:color="auto" w:fill="FFFFFF"/>
        <w:spacing w:before="0" w:line="276" w:lineRule="auto"/>
        <w:contextualSpacing w:val="0"/>
        <w:rPr>
          <w:rFonts w:cs="Sylfaen"/>
          <w:color w:val="000000"/>
          <w:szCs w:val="22"/>
          <w:u w:val="single"/>
          <w:lang w:val="hy-AM"/>
        </w:rPr>
      </w:pPr>
      <w:r w:rsidRPr="00A00B8B">
        <w:rPr>
          <w:rFonts w:cs="Sylfaen"/>
          <w:color w:val="000000"/>
          <w:szCs w:val="22"/>
          <w:u w:val="single"/>
          <w:lang w:val="hy-AM"/>
        </w:rPr>
        <w:t>Հարկային ծախսերի մասին հաշվետվություննների կազմման ու ներկայացման</w:t>
      </w:r>
    </w:p>
    <w:p w:rsidR="00A00B8B" w:rsidRPr="00A00B8B" w:rsidRDefault="00A00B8B" w:rsidP="007730AA">
      <w:pPr>
        <w:shd w:val="clear" w:color="auto" w:fill="FFFFFF"/>
        <w:spacing w:before="0" w:line="276" w:lineRule="auto"/>
        <w:contextualSpacing w:val="0"/>
        <w:rPr>
          <w:rFonts w:cs="Sylfaen"/>
          <w:color w:val="000000"/>
          <w:szCs w:val="22"/>
          <w:u w:val="single"/>
          <w:lang w:val="hy-AM"/>
        </w:rPr>
      </w:pPr>
      <w:r w:rsidRPr="00A00B8B">
        <w:rPr>
          <w:rFonts w:cs="Sylfaen"/>
          <w:color w:val="000000"/>
          <w:szCs w:val="22"/>
          <w:u w:val="single"/>
          <w:lang w:val="hy-AM"/>
        </w:rPr>
        <w:t>միջազգային փորձը.</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hy-AM"/>
        </w:rPr>
        <w:t>Հարկային ծախսերի մասին հաշվետվությունների կազմումն ու ներկայացումը ընդուն</w:t>
      </w:r>
      <w:r w:rsidRPr="00A00B8B">
        <w:rPr>
          <w:rFonts w:cs="Sylfaen"/>
          <w:b w:val="0"/>
          <w:color w:val="000000"/>
          <w:szCs w:val="22"/>
          <w:lang w:val="hy-AM"/>
        </w:rPr>
        <w:softHyphen/>
        <w:t>ված ու տարածված գործելակերպ է Եվրոպական Միության ու Տնտեսական համագոր</w:t>
      </w:r>
      <w:r w:rsidRPr="00A00B8B">
        <w:rPr>
          <w:rFonts w:cs="Sylfaen"/>
          <w:b w:val="0"/>
          <w:color w:val="000000"/>
          <w:szCs w:val="22"/>
          <w:lang w:val="hy-AM"/>
        </w:rPr>
        <w:softHyphen/>
        <w:t>ծակ</w:t>
      </w:r>
      <w:r w:rsidRPr="00A00B8B">
        <w:rPr>
          <w:rFonts w:cs="Sylfaen"/>
          <w:b w:val="0"/>
          <w:color w:val="000000"/>
          <w:szCs w:val="22"/>
          <w:lang w:val="hy-AM"/>
        </w:rPr>
        <w:softHyphen/>
        <w:t>ցու</w:t>
      </w:r>
      <w:r w:rsidRPr="00A00B8B">
        <w:rPr>
          <w:rFonts w:cs="Sylfaen"/>
          <w:b w:val="0"/>
          <w:color w:val="000000"/>
          <w:szCs w:val="22"/>
          <w:lang w:val="hy-AM"/>
        </w:rPr>
        <w:softHyphen/>
        <w:t>թյան և զարգացման կազմակերպության անդամ երկրների մեծ մասում:</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hy-AM"/>
        </w:rPr>
        <w:t>Հարկային ծախսերի վերաբերյալ առաջին հաշվետվությունները կազմվել են 1960-ական թվականների վերջերին Գերմանիայում և Ամերիկայի Միացյալ Նահանգներում: 1970-ական թվականների վերջին հարկային ծախսերի մասին հաշվետվություններ սկսեցին կազմ</w:t>
      </w:r>
      <w:r w:rsidRPr="00A00B8B">
        <w:rPr>
          <w:rFonts w:cs="Sylfaen"/>
          <w:b w:val="0"/>
          <w:color w:val="000000"/>
          <w:szCs w:val="22"/>
          <w:lang w:val="hy-AM"/>
        </w:rPr>
        <w:softHyphen/>
        <w:t>վել նաև Ավստրիայում, Կանադայում, Իսպանիայում և Միացյալ Թագավորությունում:</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hy-AM"/>
        </w:rPr>
        <w:t>Հարկային ծախսերի տարեկան հաշվետվությունները կազմվում և հրապարակվում են հար</w:t>
      </w:r>
      <w:r w:rsidRPr="00A00B8B">
        <w:rPr>
          <w:rFonts w:cs="Sylfaen"/>
          <w:b w:val="0"/>
          <w:color w:val="000000"/>
          <w:szCs w:val="22"/>
          <w:lang w:val="hy-AM"/>
        </w:rPr>
        <w:softHyphen/>
      </w:r>
      <w:r w:rsidRPr="00A00B8B">
        <w:rPr>
          <w:rFonts w:cs="Sylfaen"/>
          <w:b w:val="0"/>
          <w:color w:val="000000"/>
          <w:szCs w:val="22"/>
          <w:lang w:val="hy-AM"/>
        </w:rPr>
        <w:softHyphen/>
      </w:r>
      <w:r w:rsidRPr="00A00B8B">
        <w:rPr>
          <w:rFonts w:cs="Sylfaen"/>
          <w:b w:val="0"/>
          <w:color w:val="000000"/>
          <w:szCs w:val="22"/>
          <w:lang w:val="hy-AM"/>
        </w:rPr>
        <w:softHyphen/>
        <w:t>կային արտոնությունների կիրառության արդյունքում չգանձվող հարկային եկա</w:t>
      </w:r>
      <w:r w:rsidRPr="00A00B8B">
        <w:rPr>
          <w:rFonts w:cs="Sylfaen"/>
          <w:b w:val="0"/>
          <w:color w:val="000000"/>
          <w:szCs w:val="22"/>
          <w:lang w:val="hy-AM"/>
        </w:rPr>
        <w:softHyphen/>
        <w:t>մուտ</w:t>
      </w:r>
      <w:r w:rsidRPr="00A00B8B">
        <w:rPr>
          <w:rFonts w:cs="Sylfaen"/>
          <w:b w:val="0"/>
          <w:color w:val="000000"/>
          <w:szCs w:val="22"/>
          <w:lang w:val="hy-AM"/>
        </w:rPr>
        <w:softHyphen/>
        <w:t>ների մեծությունը ուշադրության կենտրոնում պահելու, հարկային արտոնությունների շրջա</w:t>
      </w:r>
      <w:r w:rsidRPr="00A00B8B">
        <w:rPr>
          <w:rFonts w:cs="Sylfaen"/>
          <w:b w:val="0"/>
          <w:color w:val="000000"/>
          <w:szCs w:val="22"/>
          <w:lang w:val="hy-AM"/>
        </w:rPr>
        <w:softHyphen/>
        <w:t>նակի վերանայման վերաբերյալ քաղաքական որոշումներ կայացնելու, ինչպես նաև հար</w:t>
      </w:r>
      <w:r w:rsidRPr="00A00B8B">
        <w:rPr>
          <w:rFonts w:cs="Sylfaen"/>
          <w:b w:val="0"/>
          <w:color w:val="000000"/>
          <w:szCs w:val="22"/>
          <w:lang w:val="hy-AM"/>
        </w:rPr>
        <w:softHyphen/>
        <w:t>կա</w:t>
      </w:r>
      <w:r w:rsidRPr="00A00B8B">
        <w:rPr>
          <w:rFonts w:cs="Sylfaen"/>
          <w:b w:val="0"/>
          <w:color w:val="000000"/>
          <w:szCs w:val="22"/>
          <w:lang w:val="hy-AM"/>
        </w:rPr>
        <w:softHyphen/>
        <w:t>բյու</w:t>
      </w:r>
      <w:r w:rsidRPr="00A00B8B">
        <w:rPr>
          <w:rFonts w:cs="Sylfaen"/>
          <w:b w:val="0"/>
          <w:color w:val="000000"/>
          <w:szCs w:val="22"/>
          <w:lang w:val="hy-AM"/>
        </w:rPr>
        <w:softHyphen/>
        <w:t>ջետային քաղաքականության թափանցիկությունն ու Կառավարության հաշվետվո</w:t>
      </w:r>
      <w:r w:rsidRPr="00A00B8B">
        <w:rPr>
          <w:rFonts w:cs="Sylfaen"/>
          <w:b w:val="0"/>
          <w:color w:val="000000"/>
          <w:szCs w:val="22"/>
          <w:lang w:val="hy-AM"/>
        </w:rPr>
        <w:softHyphen/>
        <w:t>ղա</w:t>
      </w:r>
      <w:r w:rsidRPr="00A00B8B">
        <w:rPr>
          <w:rFonts w:cs="Sylfaen"/>
          <w:b w:val="0"/>
          <w:color w:val="000000"/>
          <w:szCs w:val="22"/>
          <w:lang w:val="hy-AM"/>
        </w:rPr>
        <w:softHyphen/>
        <w:t>կա</w:t>
      </w:r>
      <w:r w:rsidRPr="00A00B8B">
        <w:rPr>
          <w:rFonts w:cs="Sylfaen"/>
          <w:b w:val="0"/>
          <w:color w:val="000000"/>
          <w:szCs w:val="22"/>
          <w:lang w:val="hy-AM"/>
        </w:rPr>
        <w:softHyphen/>
        <w:t>նու</w:t>
      </w:r>
      <w:r w:rsidRPr="00A00B8B">
        <w:rPr>
          <w:rFonts w:cs="Sylfaen"/>
          <w:b w:val="0"/>
          <w:color w:val="000000"/>
          <w:szCs w:val="22"/>
          <w:lang w:val="hy-AM"/>
        </w:rPr>
        <w:softHyphen/>
        <w:t>թյունն ապահովելու նպատակով:</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hy-AM"/>
        </w:rPr>
        <w:t>Ավստրիայում, Բելգիայում, Ֆրանսիայում, Գերմանիայում, Պորտուգալիայում, Իսպա</w:t>
      </w:r>
      <w:r w:rsidRPr="00A00B8B">
        <w:rPr>
          <w:rFonts w:cs="Sylfaen"/>
          <w:b w:val="0"/>
          <w:color w:val="000000"/>
          <w:szCs w:val="22"/>
          <w:lang w:val="hy-AM"/>
        </w:rPr>
        <w:softHyphen/>
        <w:t>նիա</w:t>
      </w:r>
      <w:r w:rsidRPr="00A00B8B">
        <w:rPr>
          <w:rFonts w:cs="Sylfaen"/>
          <w:b w:val="0"/>
          <w:color w:val="000000"/>
          <w:szCs w:val="22"/>
          <w:lang w:val="hy-AM"/>
        </w:rPr>
        <w:softHyphen/>
        <w:t>յում և Միացյալ Թագավորությունում հարկային ծախսերի մասին հաշվետվությունների կազ</w:t>
      </w:r>
      <w:r w:rsidRPr="00A00B8B">
        <w:rPr>
          <w:rFonts w:cs="Sylfaen"/>
          <w:b w:val="0"/>
          <w:color w:val="000000"/>
          <w:szCs w:val="22"/>
          <w:lang w:val="hy-AM"/>
        </w:rPr>
        <w:softHyphen/>
        <w:t>մումն ու հրապարակումը կարգավորվում է օրենքով: Նշյալ հաշվետվությունները ուղղա</w:t>
      </w:r>
      <w:r w:rsidRPr="00A00B8B">
        <w:rPr>
          <w:rFonts w:cs="Sylfaen"/>
          <w:b w:val="0"/>
          <w:color w:val="000000"/>
          <w:szCs w:val="22"/>
          <w:lang w:val="hy-AM"/>
        </w:rPr>
        <w:softHyphen/>
        <w:t>կիո</w:t>
      </w:r>
      <w:r w:rsidRPr="00A00B8B">
        <w:rPr>
          <w:rFonts w:cs="Sylfaen"/>
          <w:b w:val="0"/>
          <w:color w:val="000000"/>
          <w:szCs w:val="22"/>
          <w:lang w:val="hy-AM"/>
        </w:rPr>
        <w:softHyphen/>
        <w:t>րեն կապված են պետական բյուջեի հետ, իսկ դրանց կազմումը բյուջետային գործըն</w:t>
      </w:r>
      <w:r w:rsidRPr="00A00B8B">
        <w:rPr>
          <w:rFonts w:cs="Sylfaen"/>
          <w:b w:val="0"/>
          <w:color w:val="000000"/>
          <w:szCs w:val="22"/>
          <w:lang w:val="hy-AM"/>
        </w:rPr>
        <w:softHyphen/>
        <w:t>թացի կարևոր բաղկացուցիչներից է:</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hy-AM"/>
        </w:rPr>
        <w:t>Հարկային ծախսերի մասին հաշվետվությունների կազմումն ու ներկայացումը հիմնա</w:t>
      </w:r>
      <w:r w:rsidRPr="00A00B8B">
        <w:rPr>
          <w:rFonts w:cs="Sylfaen"/>
          <w:b w:val="0"/>
          <w:color w:val="000000"/>
          <w:szCs w:val="22"/>
          <w:lang w:val="hy-AM"/>
        </w:rPr>
        <w:softHyphen/>
        <w:t>կա</w:t>
      </w:r>
      <w:r w:rsidRPr="00A00B8B">
        <w:rPr>
          <w:rFonts w:cs="Sylfaen"/>
          <w:b w:val="0"/>
          <w:color w:val="000000"/>
          <w:szCs w:val="22"/>
          <w:lang w:val="hy-AM"/>
        </w:rPr>
        <w:softHyphen/>
        <w:t>նում կատարվում է տարեկան պարբերականությամբ, թեև կան երկրներ, որոնք այս հաշ</w:t>
      </w:r>
      <w:r w:rsidRPr="00A00B8B">
        <w:rPr>
          <w:rFonts w:cs="Sylfaen"/>
          <w:b w:val="0"/>
          <w:color w:val="000000"/>
          <w:szCs w:val="22"/>
          <w:lang w:val="hy-AM"/>
        </w:rPr>
        <w:softHyphen/>
        <w:t>վետ</w:t>
      </w:r>
      <w:r w:rsidRPr="00A00B8B">
        <w:rPr>
          <w:rFonts w:cs="Sylfaen"/>
          <w:b w:val="0"/>
          <w:color w:val="000000"/>
          <w:szCs w:val="22"/>
          <w:lang w:val="hy-AM"/>
        </w:rPr>
        <w:softHyphen/>
        <w:t>վությունները կազմում և ներկայացնում են երկու կամ երեք տարին մեկ անգամ:</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p>
    <w:p w:rsidR="00A00B8B" w:rsidRPr="00A00B8B" w:rsidRDefault="00A00B8B" w:rsidP="007730AA">
      <w:pPr>
        <w:shd w:val="clear" w:color="auto" w:fill="FFFFFF"/>
        <w:spacing w:before="0" w:line="276" w:lineRule="auto"/>
        <w:contextualSpacing w:val="0"/>
        <w:jc w:val="left"/>
        <w:rPr>
          <w:rFonts w:cs="Sylfaen"/>
          <w:color w:val="000000"/>
          <w:szCs w:val="22"/>
          <w:u w:val="single"/>
          <w:lang w:val="hy-AM"/>
        </w:rPr>
      </w:pPr>
      <w:r w:rsidRPr="00A00B8B">
        <w:rPr>
          <w:rFonts w:cs="Sylfaen"/>
          <w:color w:val="000000"/>
          <w:szCs w:val="22"/>
          <w:u w:val="single"/>
          <w:lang w:val="hy-AM"/>
        </w:rPr>
        <w:t>Հարկային ծախսերի մասին հաշվետվության կազմման ու ներկայացման</w:t>
      </w:r>
    </w:p>
    <w:p w:rsidR="00A00B8B" w:rsidRPr="00A00B8B" w:rsidRDefault="00A00B8B" w:rsidP="007730AA">
      <w:pPr>
        <w:shd w:val="clear" w:color="auto" w:fill="FFFFFF"/>
        <w:spacing w:before="0" w:line="276" w:lineRule="auto"/>
        <w:contextualSpacing w:val="0"/>
        <w:jc w:val="left"/>
        <w:rPr>
          <w:rFonts w:cs="Sylfaen"/>
          <w:color w:val="000000"/>
          <w:szCs w:val="22"/>
          <w:u w:val="single"/>
          <w:lang w:val="hy-AM"/>
        </w:rPr>
      </w:pPr>
      <w:r w:rsidRPr="00A00B8B">
        <w:rPr>
          <w:rFonts w:cs="Sylfaen"/>
          <w:color w:val="000000"/>
          <w:szCs w:val="22"/>
          <w:u w:val="single"/>
          <w:lang w:val="hy-AM"/>
        </w:rPr>
        <w:t>անհրաժեշտությունը Հայաստանի Հանրապետությունում.</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hy-AM"/>
        </w:rPr>
        <w:t>Սույն փաստաթուղթը Հայաստանի Հանրապետությունում իրականացվող բյուջետային գործ</w:t>
      </w:r>
      <w:r w:rsidRPr="00A00B8B">
        <w:rPr>
          <w:rFonts w:cs="Sylfaen"/>
          <w:b w:val="0"/>
          <w:color w:val="000000"/>
          <w:szCs w:val="22"/>
          <w:lang w:val="hy-AM"/>
        </w:rPr>
        <w:softHyphen/>
        <w:t>ընթացի շրջանակներում հարկային ծախսերի գնահատման վեցերորդ հաշվետվությունն է: Թեև մեր երկրի օրենսդրությամբ հարկային ծախսերի մասին հաշվետվություն կազմելու և ներ</w:t>
      </w:r>
      <w:r w:rsidRPr="00A00B8B">
        <w:rPr>
          <w:rFonts w:cs="Sylfaen"/>
          <w:b w:val="0"/>
          <w:color w:val="000000"/>
          <w:szCs w:val="22"/>
          <w:lang w:val="hy-AM"/>
        </w:rPr>
        <w:softHyphen/>
        <w:t>կայացնելու պահանջ նախատեսված չէ, այդուհանդերձ կարևորելով այսպիսի փաստա</w:t>
      </w:r>
      <w:r w:rsidRPr="00A00B8B">
        <w:rPr>
          <w:rFonts w:cs="Sylfaen"/>
          <w:b w:val="0"/>
          <w:color w:val="000000"/>
          <w:szCs w:val="22"/>
          <w:lang w:val="hy-AM"/>
        </w:rPr>
        <w:softHyphen/>
        <w:t>թղթերի դերը հանրային ֆինանսների կառավարման թափանցիկության անհրաժեշտ մակար</w:t>
      </w:r>
      <w:r w:rsidRPr="00A00B8B">
        <w:rPr>
          <w:rFonts w:cs="Sylfaen"/>
          <w:b w:val="0"/>
          <w:color w:val="000000"/>
          <w:szCs w:val="22"/>
          <w:lang w:val="hy-AM"/>
        </w:rPr>
        <w:softHyphen/>
        <w:t>դակի ապահովման գործում՝ Կառավարությունը մտադիր է հարկային ծախսերի մասին ամենամյա հաշվետվությունների կազմումն ու ներկայացումը դարձնել բյուջետային գործ</w:t>
      </w:r>
      <w:r w:rsidRPr="00A00B8B">
        <w:rPr>
          <w:rFonts w:cs="Sylfaen"/>
          <w:b w:val="0"/>
          <w:color w:val="000000"/>
          <w:szCs w:val="22"/>
          <w:lang w:val="hy-AM"/>
        </w:rPr>
        <w:softHyphen/>
        <w:t>ընթացի կարևոր բաղկացուցիչ:</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hy-AM"/>
        </w:rPr>
        <w:t>Մյուս կողմից, հարկային ծախսերի մասին այսպիսի փաստաթղթի կազմումը հնա</w:t>
      </w:r>
      <w:r w:rsidRPr="00A00B8B">
        <w:rPr>
          <w:rFonts w:cs="Sylfaen"/>
          <w:b w:val="0"/>
          <w:color w:val="000000"/>
          <w:szCs w:val="22"/>
          <w:lang w:val="hy-AM"/>
        </w:rPr>
        <w:softHyphen/>
        <w:t>րա</w:t>
      </w:r>
      <w:r w:rsidRPr="00A00B8B">
        <w:rPr>
          <w:rFonts w:cs="Sylfaen"/>
          <w:b w:val="0"/>
          <w:color w:val="000000"/>
          <w:szCs w:val="22"/>
          <w:lang w:val="hy-AM"/>
        </w:rPr>
        <w:softHyphen/>
        <w:t>վո</w:t>
      </w:r>
      <w:r w:rsidRPr="00A00B8B">
        <w:rPr>
          <w:rFonts w:cs="Sylfaen"/>
          <w:b w:val="0"/>
          <w:color w:val="000000"/>
          <w:szCs w:val="22"/>
          <w:lang w:val="hy-AM"/>
        </w:rPr>
        <w:softHyphen/>
        <w:t>րություն կընձեռի առավել համապարփակ ձևով գնահատել գործող հարկային արտոնու</w:t>
      </w:r>
      <w:r w:rsidRPr="00A00B8B">
        <w:rPr>
          <w:rFonts w:cs="Sylfaen"/>
          <w:b w:val="0"/>
          <w:color w:val="000000"/>
          <w:szCs w:val="22"/>
          <w:lang w:val="hy-AM"/>
        </w:rPr>
        <w:softHyphen/>
        <w:t>թյուն</w:t>
      </w:r>
      <w:r w:rsidRPr="00A00B8B">
        <w:rPr>
          <w:rFonts w:cs="Sylfaen"/>
          <w:b w:val="0"/>
          <w:color w:val="000000"/>
          <w:szCs w:val="22"/>
          <w:lang w:val="hy-AM"/>
        </w:rPr>
        <w:softHyphen/>
        <w:t>ների արդյունավետությունը, դրանց հետագա կիրառության նպատակահարմա</w:t>
      </w:r>
      <w:r w:rsidRPr="00A00B8B">
        <w:rPr>
          <w:rFonts w:cs="Sylfaen"/>
          <w:b w:val="0"/>
          <w:color w:val="000000"/>
          <w:szCs w:val="22"/>
          <w:lang w:val="hy-AM"/>
        </w:rPr>
        <w:softHyphen/>
        <w:t>րու</w:t>
      </w:r>
      <w:r w:rsidRPr="00A00B8B">
        <w:rPr>
          <w:rFonts w:cs="Sylfaen"/>
          <w:b w:val="0"/>
          <w:color w:val="000000"/>
          <w:szCs w:val="22"/>
          <w:lang w:val="hy-AM"/>
        </w:rPr>
        <w:softHyphen/>
        <w:t>թյունը կամ հարկային արտոնությունները կրճատելու հնարավորություններն ու սահմանա</w:t>
      </w:r>
      <w:r w:rsidRPr="00A00B8B">
        <w:rPr>
          <w:rFonts w:cs="Sylfaen"/>
          <w:b w:val="0"/>
          <w:color w:val="000000"/>
          <w:szCs w:val="22"/>
          <w:lang w:val="hy-AM"/>
        </w:rPr>
        <w:softHyphen/>
        <w:t>փա</w:t>
      </w:r>
      <w:r w:rsidRPr="00A00B8B">
        <w:rPr>
          <w:rFonts w:cs="Sylfaen"/>
          <w:b w:val="0"/>
          <w:color w:val="000000"/>
          <w:szCs w:val="22"/>
          <w:lang w:val="hy-AM"/>
        </w:rPr>
        <w:softHyphen/>
        <w:t>կումները:</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hy-AM"/>
        </w:rPr>
        <w:t>Բացի այդ, հարկային ծախսերի գնահատմամբ Կառավարությունը ընդհանրացնում է երկրի ռեսուրսային ներուժի վերաբերյալ պատկերացումները, ինչը շատ կարևոր է՝ գնա</w:t>
      </w:r>
      <w:r w:rsidRPr="00A00B8B">
        <w:rPr>
          <w:rFonts w:cs="Sylfaen"/>
          <w:b w:val="0"/>
          <w:color w:val="000000"/>
          <w:szCs w:val="22"/>
          <w:lang w:val="hy-AM"/>
        </w:rPr>
        <w:softHyphen/>
        <w:t>հա</w:t>
      </w:r>
      <w:r w:rsidRPr="00A00B8B">
        <w:rPr>
          <w:rFonts w:cs="Sylfaen"/>
          <w:b w:val="0"/>
          <w:color w:val="000000"/>
          <w:szCs w:val="22"/>
          <w:lang w:val="hy-AM"/>
        </w:rPr>
        <w:softHyphen/>
        <w:t>տելու համար Կառավարության առջև դրված համակարգային խնդիրների լուծման եղանակները:</w:t>
      </w:r>
    </w:p>
    <w:p w:rsidR="00A00B8B" w:rsidRPr="00A00B8B" w:rsidRDefault="00A00B8B" w:rsidP="007730AA">
      <w:pPr>
        <w:shd w:val="clear" w:color="auto" w:fill="FFFFFF"/>
        <w:spacing w:before="0" w:line="276" w:lineRule="auto"/>
        <w:contextualSpacing w:val="0"/>
        <w:rPr>
          <w:rFonts w:cs="Sylfaen"/>
          <w:b w:val="0"/>
          <w:i/>
          <w:iCs/>
          <w:color w:val="000000"/>
          <w:szCs w:val="22"/>
          <w:lang w:val="hy-AM"/>
        </w:rPr>
      </w:pPr>
    </w:p>
    <w:p w:rsidR="00A00B8B" w:rsidRPr="00A00B8B" w:rsidRDefault="00A00B8B" w:rsidP="007730AA">
      <w:pPr>
        <w:shd w:val="clear" w:color="auto" w:fill="FFFFFF"/>
        <w:spacing w:before="0" w:line="276" w:lineRule="auto"/>
        <w:ind w:firstLine="0"/>
        <w:contextualSpacing w:val="0"/>
        <w:rPr>
          <w:rFonts w:cs="Sylfaen"/>
          <w:color w:val="000000"/>
          <w:szCs w:val="22"/>
          <w:u w:val="single"/>
          <w:lang w:val="hy-AM"/>
        </w:rPr>
      </w:pPr>
      <w:r w:rsidRPr="00A00B8B">
        <w:rPr>
          <w:rFonts w:cs="Sylfaen"/>
          <w:color w:val="000000"/>
          <w:szCs w:val="22"/>
          <w:u w:val="single"/>
          <w:lang w:val="hy-AM"/>
        </w:rPr>
        <w:t>Հարկային ծախսերի հաշվետվության ներկայացման կարևորությունը հարկային արտոնությունների շրջանակը վերանայելու տեսանկյունից.</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hy-AM"/>
        </w:rPr>
        <w:t>Հայաստանյան հարկային համակարգի ձևավորման ու զարգացման ողջ ընթացքում հար</w:t>
      </w:r>
      <w:r w:rsidRPr="00A00B8B">
        <w:rPr>
          <w:rFonts w:cs="Sylfaen"/>
          <w:b w:val="0"/>
          <w:color w:val="000000"/>
          <w:szCs w:val="22"/>
          <w:lang w:val="hy-AM"/>
        </w:rPr>
        <w:softHyphen/>
        <w:t>կային օրենսդրությամբ նախատեսված են եղել տարբեր հարկային արտոնություններ, որոնց շրջանակը հարկային քաղաքականության իրականացման տարբեր փուլերում, կախ</w:t>
      </w:r>
      <w:r w:rsidRPr="00A00B8B">
        <w:rPr>
          <w:rFonts w:cs="Sylfaen"/>
          <w:b w:val="0"/>
          <w:color w:val="000000"/>
          <w:szCs w:val="22"/>
          <w:lang w:val="hy-AM"/>
        </w:rPr>
        <w:softHyphen/>
        <w:t>ված տնտեսության զարգացման տեմպերից, առաջնահերթություններից ու մարտահրավեր</w:t>
      </w:r>
      <w:r w:rsidRPr="00A00B8B">
        <w:rPr>
          <w:rFonts w:cs="Sylfaen"/>
          <w:b w:val="0"/>
          <w:color w:val="000000"/>
          <w:szCs w:val="22"/>
          <w:lang w:val="hy-AM"/>
        </w:rPr>
        <w:softHyphen/>
        <w:t>նե</w:t>
      </w:r>
      <w:r w:rsidRPr="00A00B8B">
        <w:rPr>
          <w:rFonts w:cs="Sylfaen"/>
          <w:b w:val="0"/>
          <w:color w:val="000000"/>
          <w:szCs w:val="22"/>
          <w:lang w:val="hy-AM"/>
        </w:rPr>
        <w:softHyphen/>
        <w:t>րից, մշտապես վերանայվել է: Որոշ հարկային արտոնություններ ժամանակավոր բնույթ են ունեցել (օրինակ` օտարերկրյա ներդրումներով ռեզիդենտ կազմակերպությունների` շահու</w:t>
      </w:r>
      <w:r w:rsidRPr="00A00B8B">
        <w:rPr>
          <w:rFonts w:cs="Sylfaen"/>
          <w:b w:val="0"/>
          <w:color w:val="000000"/>
          <w:szCs w:val="22"/>
          <w:lang w:val="hy-AM"/>
        </w:rPr>
        <w:softHyphen/>
      </w:r>
      <w:r w:rsidRPr="00A00B8B">
        <w:rPr>
          <w:rFonts w:cs="Sylfaen"/>
          <w:b w:val="0"/>
          <w:color w:val="000000"/>
          <w:szCs w:val="22"/>
          <w:lang w:val="hy-AM"/>
        </w:rPr>
        <w:softHyphen/>
        <w:t>թահարկի գումարի նվազեցման արտոնությունը) և կողմնորոշված են եղել քաղաքա</w:t>
      </w:r>
      <w:r w:rsidRPr="00A00B8B">
        <w:rPr>
          <w:rFonts w:cs="Sylfaen"/>
          <w:b w:val="0"/>
          <w:color w:val="000000"/>
          <w:szCs w:val="22"/>
          <w:lang w:val="hy-AM"/>
        </w:rPr>
        <w:softHyphen/>
        <w:t>կա</w:t>
      </w:r>
      <w:r w:rsidRPr="00A00B8B">
        <w:rPr>
          <w:rFonts w:cs="Sylfaen"/>
          <w:b w:val="0"/>
          <w:color w:val="000000"/>
          <w:szCs w:val="22"/>
          <w:lang w:val="hy-AM"/>
        </w:rPr>
        <w:softHyphen/>
        <w:t>նության իրականացման որևէ ժամանակահատվածում կոնկրետ խնդիրների լուծմանը: Որոշ հարկային արտոնություններ, որոնք տրվել են դեռևս հարկային համակարգի ձևա</w:t>
      </w:r>
      <w:r w:rsidRPr="00A00B8B">
        <w:rPr>
          <w:rFonts w:cs="Sylfaen"/>
          <w:b w:val="0"/>
          <w:color w:val="000000"/>
          <w:szCs w:val="22"/>
          <w:lang w:val="hy-AM"/>
        </w:rPr>
        <w:softHyphen/>
        <w:t>վոր</w:t>
      </w:r>
      <w:r w:rsidRPr="00A00B8B">
        <w:rPr>
          <w:rFonts w:cs="Sylfaen"/>
          <w:b w:val="0"/>
          <w:color w:val="000000"/>
          <w:szCs w:val="22"/>
          <w:lang w:val="hy-AM"/>
        </w:rPr>
        <w:softHyphen/>
        <w:t>ման ամենավաղ փուլերում, շարունակվում են կիրառվել մինչև այժմ, քանի որ դրանց կիրա</w:t>
      </w:r>
      <w:r w:rsidRPr="00A00B8B">
        <w:rPr>
          <w:rFonts w:cs="Sylfaen"/>
          <w:b w:val="0"/>
          <w:color w:val="000000"/>
          <w:szCs w:val="22"/>
          <w:lang w:val="hy-AM"/>
        </w:rPr>
        <w:softHyphen/>
        <w:t>ռու</w:t>
      </w:r>
      <w:r w:rsidRPr="00A00B8B">
        <w:rPr>
          <w:rFonts w:cs="Sylfaen"/>
          <w:b w:val="0"/>
          <w:color w:val="000000"/>
          <w:szCs w:val="22"/>
          <w:lang w:val="hy-AM"/>
        </w:rPr>
        <w:softHyphen/>
        <w:t>թյան պատճառներն ու հիմնավորումները արդիական են նաև մեր օրերում (օրինակ` գյու</w:t>
      </w:r>
      <w:r w:rsidRPr="00A00B8B">
        <w:rPr>
          <w:rFonts w:cs="Sylfaen"/>
          <w:b w:val="0"/>
          <w:color w:val="000000"/>
          <w:szCs w:val="22"/>
          <w:lang w:val="hy-AM"/>
        </w:rPr>
        <w:softHyphen/>
        <w:t>ղա</w:t>
      </w:r>
      <w:r w:rsidRPr="00A00B8B">
        <w:rPr>
          <w:rFonts w:cs="Sylfaen"/>
          <w:b w:val="0"/>
          <w:color w:val="000000"/>
          <w:szCs w:val="22"/>
          <w:lang w:val="hy-AM"/>
        </w:rPr>
        <w:softHyphen/>
        <w:t>տնտեսական արտադրանքի իրացումից ստացվող եկամուտների համար նախատեսված` շահութահարկից ու եկամտային հարկից ազատման արտոնությունները):</w:t>
      </w:r>
    </w:p>
    <w:p w:rsidR="00A00B8B" w:rsidRPr="00A00B8B" w:rsidRDefault="00A00B8B" w:rsidP="007730AA">
      <w:pPr>
        <w:shd w:val="clear" w:color="auto" w:fill="FFFFFF"/>
        <w:spacing w:before="0" w:line="276" w:lineRule="auto"/>
        <w:contextualSpacing w:val="0"/>
        <w:rPr>
          <w:rFonts w:cs="Sylfaen"/>
          <w:b w:val="0"/>
          <w:color w:val="000000"/>
          <w:szCs w:val="22"/>
          <w:lang w:val="hy-AM"/>
        </w:rPr>
      </w:pPr>
      <w:r w:rsidRPr="00A00B8B">
        <w:rPr>
          <w:rFonts w:cs="Sylfaen"/>
          <w:b w:val="0"/>
          <w:color w:val="000000"/>
          <w:szCs w:val="22"/>
          <w:lang w:val="hy-AM"/>
        </w:rPr>
        <w:t>Ընդհանուր առմամբ, ինչպես նախկինում, այնպես էլ ներկայումս հարկային օրենս</w:t>
      </w:r>
      <w:r w:rsidRPr="00A00B8B">
        <w:rPr>
          <w:rFonts w:cs="Sylfaen"/>
          <w:b w:val="0"/>
          <w:color w:val="000000"/>
          <w:szCs w:val="22"/>
          <w:lang w:val="hy-AM"/>
        </w:rPr>
        <w:softHyphen/>
        <w:t>դրու</w:t>
      </w:r>
      <w:r w:rsidRPr="00A00B8B">
        <w:rPr>
          <w:rFonts w:cs="Sylfaen"/>
          <w:b w:val="0"/>
          <w:color w:val="000000"/>
          <w:szCs w:val="22"/>
          <w:lang w:val="hy-AM"/>
        </w:rPr>
        <w:softHyphen/>
        <w:t>թյամբ նախատեսված հարկային արտոնությունները կարելի է խմբավորել երեք հիմնական խմբե</w:t>
      </w:r>
      <w:r w:rsidRPr="00A00B8B">
        <w:rPr>
          <w:rFonts w:cs="Sylfaen"/>
          <w:b w:val="0"/>
          <w:color w:val="000000"/>
          <w:szCs w:val="22"/>
          <w:lang w:val="hy-AM"/>
        </w:rPr>
        <w:softHyphen/>
        <w:t>րում`</w:t>
      </w:r>
    </w:p>
    <w:p w:rsidR="00A00B8B" w:rsidRPr="00130243" w:rsidRDefault="00A00B8B" w:rsidP="007730AA">
      <w:pPr>
        <w:numPr>
          <w:ilvl w:val="0"/>
          <w:numId w:val="68"/>
        </w:numPr>
        <w:shd w:val="clear" w:color="auto" w:fill="FFFFFF"/>
        <w:tabs>
          <w:tab w:val="left" w:pos="851"/>
        </w:tabs>
        <w:spacing w:before="0" w:line="276" w:lineRule="auto"/>
        <w:ind w:left="0" w:firstLine="567"/>
        <w:contextualSpacing w:val="0"/>
        <w:jc w:val="left"/>
        <w:rPr>
          <w:b w:val="0"/>
          <w:color w:val="000000"/>
          <w:szCs w:val="22"/>
          <w:lang w:val="hy-AM"/>
        </w:rPr>
      </w:pPr>
      <w:r w:rsidRPr="00130243">
        <w:rPr>
          <w:rFonts w:cs="Sylfaen"/>
          <w:b w:val="0"/>
          <w:color w:val="000000"/>
          <w:szCs w:val="22"/>
          <w:lang w:val="hy-AM"/>
        </w:rPr>
        <w:t>սոցիալական</w:t>
      </w:r>
      <w:r w:rsidRPr="00130243">
        <w:rPr>
          <w:b w:val="0"/>
          <w:color w:val="000000"/>
          <w:szCs w:val="22"/>
          <w:lang w:val="hy-AM"/>
        </w:rPr>
        <w:t xml:space="preserve"> </w:t>
      </w:r>
      <w:r w:rsidRPr="00130243">
        <w:rPr>
          <w:rFonts w:cs="Sylfaen"/>
          <w:b w:val="0"/>
          <w:color w:val="000000"/>
          <w:szCs w:val="22"/>
          <w:lang w:val="hy-AM"/>
        </w:rPr>
        <w:t>ուղղվածություն</w:t>
      </w:r>
      <w:r w:rsidRPr="00130243">
        <w:rPr>
          <w:b w:val="0"/>
          <w:color w:val="000000"/>
          <w:szCs w:val="22"/>
          <w:lang w:val="hy-AM"/>
        </w:rPr>
        <w:t xml:space="preserve"> </w:t>
      </w:r>
      <w:r w:rsidRPr="00130243">
        <w:rPr>
          <w:rFonts w:cs="Sylfaen"/>
          <w:b w:val="0"/>
          <w:color w:val="000000"/>
          <w:szCs w:val="22"/>
          <w:lang w:val="hy-AM"/>
        </w:rPr>
        <w:t>ունեցող</w:t>
      </w:r>
      <w:r w:rsidRPr="00130243">
        <w:rPr>
          <w:b w:val="0"/>
          <w:color w:val="000000"/>
          <w:szCs w:val="22"/>
          <w:lang w:val="hy-AM"/>
        </w:rPr>
        <w:t xml:space="preserve"> </w:t>
      </w:r>
      <w:r w:rsidRPr="00130243">
        <w:rPr>
          <w:rFonts w:cs="Sylfaen"/>
          <w:b w:val="0"/>
          <w:color w:val="000000"/>
          <w:szCs w:val="22"/>
          <w:lang w:val="hy-AM"/>
        </w:rPr>
        <w:t>հարկային</w:t>
      </w:r>
      <w:r w:rsidRPr="00130243">
        <w:rPr>
          <w:b w:val="0"/>
          <w:color w:val="000000"/>
          <w:szCs w:val="22"/>
          <w:lang w:val="hy-AM"/>
        </w:rPr>
        <w:t xml:space="preserve"> </w:t>
      </w:r>
      <w:r w:rsidRPr="00130243">
        <w:rPr>
          <w:rFonts w:cs="Sylfaen"/>
          <w:b w:val="0"/>
          <w:color w:val="000000"/>
          <w:szCs w:val="22"/>
          <w:lang w:val="hy-AM"/>
        </w:rPr>
        <w:t>արտոնություններ</w:t>
      </w:r>
      <w:r w:rsidRPr="00130243">
        <w:rPr>
          <w:b w:val="0"/>
          <w:color w:val="000000"/>
          <w:szCs w:val="22"/>
          <w:lang w:val="hy-AM"/>
        </w:rPr>
        <w:t>,</w:t>
      </w:r>
    </w:p>
    <w:p w:rsidR="00A00B8B" w:rsidRPr="00A00B8B" w:rsidRDefault="00A00B8B" w:rsidP="007730AA">
      <w:pPr>
        <w:numPr>
          <w:ilvl w:val="0"/>
          <w:numId w:val="68"/>
        </w:numPr>
        <w:shd w:val="clear" w:color="auto" w:fill="FFFFFF"/>
        <w:tabs>
          <w:tab w:val="left" w:pos="851"/>
        </w:tabs>
        <w:spacing w:before="0" w:line="276" w:lineRule="auto"/>
        <w:ind w:left="0" w:firstLine="567"/>
        <w:contextualSpacing w:val="0"/>
        <w:jc w:val="left"/>
        <w:rPr>
          <w:b w:val="0"/>
          <w:color w:val="000000"/>
          <w:szCs w:val="22"/>
        </w:rPr>
      </w:pPr>
      <w:r w:rsidRPr="00A00B8B">
        <w:rPr>
          <w:rFonts w:cs="Sylfaen"/>
          <w:b w:val="0"/>
          <w:color w:val="000000"/>
          <w:szCs w:val="22"/>
        </w:rPr>
        <w:t>ոլորտային</w:t>
      </w:r>
      <w:r w:rsidRPr="00A00B8B">
        <w:rPr>
          <w:b w:val="0"/>
          <w:color w:val="000000"/>
          <w:szCs w:val="22"/>
        </w:rPr>
        <w:t xml:space="preserve"> </w:t>
      </w:r>
      <w:r w:rsidRPr="00A00B8B">
        <w:rPr>
          <w:rFonts w:cs="Sylfaen"/>
          <w:b w:val="0"/>
          <w:color w:val="000000"/>
          <w:szCs w:val="22"/>
        </w:rPr>
        <w:t>հարկային</w:t>
      </w:r>
      <w:r w:rsidRPr="00A00B8B">
        <w:rPr>
          <w:b w:val="0"/>
          <w:color w:val="000000"/>
          <w:szCs w:val="22"/>
        </w:rPr>
        <w:t xml:space="preserve"> </w:t>
      </w:r>
      <w:r w:rsidRPr="00A00B8B">
        <w:rPr>
          <w:rFonts w:cs="Sylfaen"/>
          <w:b w:val="0"/>
          <w:color w:val="000000"/>
          <w:szCs w:val="22"/>
        </w:rPr>
        <w:t>արտոնություններ</w:t>
      </w:r>
      <w:r w:rsidRPr="00A00B8B">
        <w:rPr>
          <w:b w:val="0"/>
          <w:color w:val="000000"/>
          <w:szCs w:val="22"/>
        </w:rPr>
        <w:t>,</w:t>
      </w:r>
    </w:p>
    <w:p w:rsidR="00A00B8B" w:rsidRPr="00A00B8B" w:rsidRDefault="00A00B8B" w:rsidP="007730AA">
      <w:pPr>
        <w:numPr>
          <w:ilvl w:val="0"/>
          <w:numId w:val="68"/>
        </w:numPr>
        <w:shd w:val="clear" w:color="auto" w:fill="FFFFFF"/>
        <w:tabs>
          <w:tab w:val="left" w:pos="851"/>
        </w:tabs>
        <w:spacing w:before="0" w:line="276" w:lineRule="auto"/>
        <w:ind w:left="0" w:firstLine="567"/>
        <w:contextualSpacing w:val="0"/>
        <w:jc w:val="left"/>
        <w:rPr>
          <w:b w:val="0"/>
          <w:color w:val="000000"/>
          <w:szCs w:val="22"/>
        </w:rPr>
      </w:pPr>
      <w:r w:rsidRPr="00A00B8B">
        <w:rPr>
          <w:rFonts w:cs="Sylfaen"/>
          <w:b w:val="0"/>
          <w:color w:val="000000"/>
          <w:szCs w:val="22"/>
        </w:rPr>
        <w:t>գործարար</w:t>
      </w:r>
      <w:r w:rsidRPr="00A00B8B">
        <w:rPr>
          <w:b w:val="0"/>
          <w:color w:val="000000"/>
          <w:szCs w:val="22"/>
        </w:rPr>
        <w:t xml:space="preserve"> </w:t>
      </w:r>
      <w:r w:rsidRPr="00A00B8B">
        <w:rPr>
          <w:rFonts w:cs="Sylfaen"/>
          <w:b w:val="0"/>
          <w:color w:val="000000"/>
          <w:szCs w:val="22"/>
        </w:rPr>
        <w:t>և</w:t>
      </w:r>
      <w:r w:rsidRPr="00A00B8B">
        <w:rPr>
          <w:b w:val="0"/>
          <w:color w:val="000000"/>
          <w:szCs w:val="22"/>
        </w:rPr>
        <w:t xml:space="preserve"> </w:t>
      </w:r>
      <w:r w:rsidRPr="00A00B8B">
        <w:rPr>
          <w:rFonts w:cs="Sylfaen"/>
          <w:b w:val="0"/>
          <w:color w:val="000000"/>
          <w:szCs w:val="22"/>
        </w:rPr>
        <w:t>ներդրումային</w:t>
      </w:r>
      <w:r w:rsidRPr="00A00B8B">
        <w:rPr>
          <w:b w:val="0"/>
          <w:color w:val="000000"/>
          <w:szCs w:val="22"/>
        </w:rPr>
        <w:t xml:space="preserve"> </w:t>
      </w:r>
      <w:r w:rsidRPr="00A00B8B">
        <w:rPr>
          <w:rFonts w:cs="Sylfaen"/>
          <w:b w:val="0"/>
          <w:color w:val="000000"/>
          <w:szCs w:val="22"/>
        </w:rPr>
        <w:t>միջավայրի</w:t>
      </w:r>
      <w:r w:rsidRPr="00A00B8B">
        <w:rPr>
          <w:b w:val="0"/>
          <w:color w:val="000000"/>
          <w:szCs w:val="22"/>
        </w:rPr>
        <w:t xml:space="preserve"> </w:t>
      </w:r>
      <w:r w:rsidRPr="00A00B8B">
        <w:rPr>
          <w:rFonts w:cs="Sylfaen"/>
          <w:b w:val="0"/>
          <w:color w:val="000000"/>
          <w:szCs w:val="22"/>
        </w:rPr>
        <w:t>բարելավմանն</w:t>
      </w:r>
      <w:r w:rsidRPr="00A00B8B">
        <w:rPr>
          <w:b w:val="0"/>
          <w:color w:val="000000"/>
          <w:szCs w:val="22"/>
        </w:rPr>
        <w:t xml:space="preserve"> </w:t>
      </w:r>
      <w:r w:rsidRPr="00A00B8B">
        <w:rPr>
          <w:rFonts w:cs="Sylfaen"/>
          <w:b w:val="0"/>
          <w:color w:val="000000"/>
          <w:szCs w:val="22"/>
        </w:rPr>
        <w:t>ու</w:t>
      </w:r>
      <w:r w:rsidRPr="00A00B8B">
        <w:rPr>
          <w:b w:val="0"/>
          <w:color w:val="000000"/>
          <w:szCs w:val="22"/>
        </w:rPr>
        <w:t xml:space="preserve"> </w:t>
      </w:r>
      <w:r w:rsidRPr="00A00B8B">
        <w:rPr>
          <w:rFonts w:cs="Sylfaen"/>
          <w:b w:val="0"/>
          <w:color w:val="000000"/>
          <w:szCs w:val="22"/>
        </w:rPr>
        <w:t>ակտիվության</w:t>
      </w:r>
      <w:r w:rsidRPr="00A00B8B">
        <w:rPr>
          <w:b w:val="0"/>
          <w:color w:val="000000"/>
          <w:szCs w:val="22"/>
        </w:rPr>
        <w:t xml:space="preserve"> </w:t>
      </w:r>
      <w:r w:rsidRPr="00A00B8B">
        <w:rPr>
          <w:rFonts w:cs="Sylfaen"/>
          <w:b w:val="0"/>
          <w:color w:val="000000"/>
          <w:szCs w:val="22"/>
        </w:rPr>
        <w:t>բարձրաց</w:t>
      </w:r>
      <w:r w:rsidRPr="00130243">
        <w:rPr>
          <w:rFonts w:cs="Sylfaen"/>
          <w:b w:val="0"/>
          <w:color w:val="000000"/>
          <w:szCs w:val="22"/>
        </w:rPr>
        <w:softHyphen/>
      </w:r>
      <w:r w:rsidRPr="00A00B8B">
        <w:rPr>
          <w:rFonts w:cs="Sylfaen"/>
          <w:b w:val="0"/>
          <w:color w:val="000000"/>
          <w:szCs w:val="22"/>
        </w:rPr>
        <w:t>մանն</w:t>
      </w:r>
      <w:r w:rsidRPr="00A00B8B">
        <w:rPr>
          <w:b w:val="0"/>
          <w:color w:val="000000"/>
          <w:szCs w:val="22"/>
        </w:rPr>
        <w:t xml:space="preserve"> </w:t>
      </w:r>
      <w:r w:rsidRPr="00A00B8B">
        <w:rPr>
          <w:rFonts w:cs="Sylfaen"/>
          <w:b w:val="0"/>
          <w:color w:val="000000"/>
          <w:szCs w:val="22"/>
        </w:rPr>
        <w:t>ուղղված</w:t>
      </w:r>
      <w:r w:rsidRPr="00A00B8B">
        <w:rPr>
          <w:b w:val="0"/>
          <w:color w:val="000000"/>
          <w:szCs w:val="22"/>
        </w:rPr>
        <w:t xml:space="preserve"> </w:t>
      </w:r>
      <w:r w:rsidRPr="00A00B8B">
        <w:rPr>
          <w:rFonts w:cs="Sylfaen"/>
          <w:b w:val="0"/>
          <w:color w:val="000000"/>
          <w:szCs w:val="22"/>
        </w:rPr>
        <w:t>հարկային</w:t>
      </w:r>
      <w:r w:rsidRPr="00A00B8B">
        <w:rPr>
          <w:b w:val="0"/>
          <w:color w:val="000000"/>
          <w:szCs w:val="22"/>
        </w:rPr>
        <w:t xml:space="preserve"> </w:t>
      </w:r>
      <w:r w:rsidRPr="00A00B8B">
        <w:rPr>
          <w:rFonts w:cs="Sylfaen"/>
          <w:b w:val="0"/>
          <w:color w:val="000000"/>
          <w:szCs w:val="22"/>
        </w:rPr>
        <w:t>արտոնություններ</w:t>
      </w:r>
      <w:r w:rsidRPr="00A00B8B">
        <w:rPr>
          <w:b w:val="0"/>
          <w:color w:val="000000"/>
          <w:szCs w:val="22"/>
        </w:rPr>
        <w:t>:</w:t>
      </w:r>
    </w:p>
    <w:p w:rsidR="00A00B8B" w:rsidRPr="00130243" w:rsidRDefault="00A00B8B" w:rsidP="007730AA">
      <w:pPr>
        <w:shd w:val="clear" w:color="auto" w:fill="FFFFFF"/>
        <w:spacing w:before="0" w:line="276" w:lineRule="auto"/>
        <w:contextualSpacing w:val="0"/>
        <w:rPr>
          <w:b w:val="0"/>
          <w:color w:val="000000"/>
          <w:szCs w:val="22"/>
        </w:rPr>
      </w:pPr>
      <w:r w:rsidRPr="00A00B8B">
        <w:rPr>
          <w:rFonts w:cs="Sylfaen"/>
          <w:b w:val="0"/>
          <w:color w:val="000000"/>
          <w:szCs w:val="22"/>
        </w:rPr>
        <w:t>Սոցիալական</w:t>
      </w:r>
      <w:r w:rsidRPr="00A00B8B">
        <w:rPr>
          <w:b w:val="0"/>
          <w:color w:val="000000"/>
          <w:szCs w:val="22"/>
        </w:rPr>
        <w:t xml:space="preserve"> </w:t>
      </w:r>
      <w:r w:rsidRPr="00A00B8B">
        <w:rPr>
          <w:rFonts w:cs="Sylfaen"/>
          <w:b w:val="0"/>
          <w:color w:val="000000"/>
          <w:szCs w:val="22"/>
        </w:rPr>
        <w:t>ուղղվածություն</w:t>
      </w:r>
      <w:r w:rsidRPr="00A00B8B">
        <w:rPr>
          <w:b w:val="0"/>
          <w:color w:val="000000"/>
          <w:szCs w:val="22"/>
        </w:rPr>
        <w:t xml:space="preserve"> </w:t>
      </w:r>
      <w:r w:rsidRPr="00A00B8B">
        <w:rPr>
          <w:rFonts w:cs="Sylfaen"/>
          <w:b w:val="0"/>
          <w:color w:val="000000"/>
          <w:szCs w:val="22"/>
        </w:rPr>
        <w:t>ունեցող</w:t>
      </w:r>
      <w:r w:rsidRPr="00A00B8B">
        <w:rPr>
          <w:b w:val="0"/>
          <w:color w:val="000000"/>
          <w:szCs w:val="22"/>
        </w:rPr>
        <w:t xml:space="preserve"> </w:t>
      </w:r>
      <w:r w:rsidRPr="00A00B8B">
        <w:rPr>
          <w:rFonts w:cs="Sylfaen"/>
          <w:b w:val="0"/>
          <w:color w:val="000000"/>
          <w:szCs w:val="22"/>
        </w:rPr>
        <w:t>հարկային</w:t>
      </w:r>
      <w:r w:rsidRPr="00A00B8B">
        <w:rPr>
          <w:b w:val="0"/>
          <w:color w:val="000000"/>
          <w:szCs w:val="22"/>
        </w:rPr>
        <w:t xml:space="preserve"> </w:t>
      </w:r>
      <w:r w:rsidRPr="00A00B8B">
        <w:rPr>
          <w:rFonts w:cs="Sylfaen"/>
          <w:b w:val="0"/>
          <w:color w:val="000000"/>
          <w:szCs w:val="22"/>
        </w:rPr>
        <w:t>արտոնությունների</w:t>
      </w:r>
      <w:r w:rsidRPr="00A00B8B">
        <w:rPr>
          <w:b w:val="0"/>
          <w:color w:val="000000"/>
          <w:szCs w:val="22"/>
        </w:rPr>
        <w:t xml:space="preserve"> </w:t>
      </w:r>
      <w:r w:rsidRPr="00A00B8B">
        <w:rPr>
          <w:rFonts w:cs="Sylfaen"/>
          <w:b w:val="0"/>
          <w:color w:val="000000"/>
          <w:szCs w:val="22"/>
        </w:rPr>
        <w:t>կիրառության</w:t>
      </w:r>
      <w:r w:rsidRPr="00A00B8B">
        <w:rPr>
          <w:b w:val="0"/>
          <w:color w:val="000000"/>
          <w:szCs w:val="22"/>
        </w:rPr>
        <w:t xml:space="preserve"> </w:t>
      </w:r>
      <w:r w:rsidRPr="00A00B8B">
        <w:rPr>
          <w:rFonts w:cs="Sylfaen"/>
          <w:b w:val="0"/>
          <w:color w:val="000000"/>
          <w:szCs w:val="22"/>
        </w:rPr>
        <w:t>հիմ</w:t>
      </w:r>
      <w:r w:rsidRPr="00130243">
        <w:rPr>
          <w:rFonts w:cs="Sylfaen"/>
          <w:b w:val="0"/>
          <w:color w:val="000000"/>
          <w:szCs w:val="22"/>
        </w:rPr>
        <w:softHyphen/>
      </w:r>
      <w:r w:rsidRPr="00A00B8B">
        <w:rPr>
          <w:rFonts w:cs="Sylfaen"/>
          <w:b w:val="0"/>
          <w:color w:val="000000"/>
          <w:szCs w:val="22"/>
        </w:rPr>
        <w:t>նա</w:t>
      </w:r>
      <w:r w:rsidRPr="00130243">
        <w:rPr>
          <w:rFonts w:cs="Sylfaen"/>
          <w:b w:val="0"/>
          <w:color w:val="000000"/>
          <w:szCs w:val="22"/>
        </w:rPr>
        <w:softHyphen/>
      </w:r>
      <w:r w:rsidRPr="00A00B8B">
        <w:rPr>
          <w:rFonts w:cs="Sylfaen"/>
          <w:b w:val="0"/>
          <w:color w:val="000000"/>
          <w:szCs w:val="22"/>
        </w:rPr>
        <w:t>կան</w:t>
      </w:r>
      <w:r w:rsidRPr="00A00B8B">
        <w:rPr>
          <w:b w:val="0"/>
          <w:color w:val="000000"/>
          <w:szCs w:val="22"/>
        </w:rPr>
        <w:t xml:space="preserve"> </w:t>
      </w:r>
      <w:r w:rsidRPr="00A00B8B">
        <w:rPr>
          <w:rFonts w:cs="Sylfaen"/>
          <w:b w:val="0"/>
          <w:color w:val="000000"/>
          <w:szCs w:val="22"/>
        </w:rPr>
        <w:t>նպատակը</w:t>
      </w:r>
      <w:r w:rsidRPr="00A00B8B">
        <w:rPr>
          <w:b w:val="0"/>
          <w:color w:val="000000"/>
          <w:szCs w:val="22"/>
        </w:rPr>
        <w:t xml:space="preserve"> </w:t>
      </w:r>
      <w:r w:rsidRPr="00A00B8B">
        <w:rPr>
          <w:rFonts w:cs="Sylfaen"/>
          <w:b w:val="0"/>
          <w:color w:val="000000"/>
          <w:szCs w:val="22"/>
        </w:rPr>
        <w:t>առողջապահական</w:t>
      </w:r>
      <w:r w:rsidRPr="00A00B8B">
        <w:rPr>
          <w:b w:val="0"/>
          <w:color w:val="000000"/>
          <w:szCs w:val="22"/>
        </w:rPr>
        <w:t xml:space="preserve">, </w:t>
      </w:r>
      <w:r w:rsidRPr="00A00B8B">
        <w:rPr>
          <w:rFonts w:cs="Sylfaen"/>
          <w:b w:val="0"/>
          <w:color w:val="000000"/>
          <w:szCs w:val="22"/>
        </w:rPr>
        <w:t>կրթական</w:t>
      </w:r>
      <w:r w:rsidRPr="00A00B8B">
        <w:rPr>
          <w:b w:val="0"/>
          <w:color w:val="000000"/>
          <w:szCs w:val="22"/>
        </w:rPr>
        <w:t xml:space="preserve"> </w:t>
      </w:r>
      <w:r w:rsidRPr="00A00B8B">
        <w:rPr>
          <w:rFonts w:cs="Sylfaen"/>
          <w:b w:val="0"/>
          <w:color w:val="000000"/>
          <w:szCs w:val="22"/>
        </w:rPr>
        <w:t>ու</w:t>
      </w:r>
      <w:r w:rsidRPr="00A00B8B">
        <w:rPr>
          <w:b w:val="0"/>
          <w:color w:val="000000"/>
          <w:szCs w:val="22"/>
        </w:rPr>
        <w:t xml:space="preserve"> </w:t>
      </w:r>
      <w:r w:rsidRPr="00A00B8B">
        <w:rPr>
          <w:rFonts w:cs="Sylfaen"/>
          <w:b w:val="0"/>
          <w:color w:val="000000"/>
          <w:szCs w:val="22"/>
        </w:rPr>
        <w:t>գիտական</w:t>
      </w:r>
      <w:r w:rsidRPr="00A00B8B">
        <w:rPr>
          <w:b w:val="0"/>
          <w:color w:val="000000"/>
          <w:szCs w:val="22"/>
        </w:rPr>
        <w:t xml:space="preserve"> </w:t>
      </w:r>
      <w:r w:rsidRPr="00A00B8B">
        <w:rPr>
          <w:rFonts w:cs="Sylfaen"/>
          <w:b w:val="0"/>
          <w:color w:val="000000"/>
          <w:szCs w:val="22"/>
        </w:rPr>
        <w:t>նշանակության</w:t>
      </w:r>
      <w:r w:rsidRPr="00A00B8B">
        <w:rPr>
          <w:b w:val="0"/>
          <w:color w:val="000000"/>
          <w:szCs w:val="22"/>
        </w:rPr>
        <w:t xml:space="preserve"> </w:t>
      </w:r>
      <w:r w:rsidRPr="00A00B8B">
        <w:rPr>
          <w:rFonts w:cs="Sylfaen"/>
          <w:b w:val="0"/>
          <w:color w:val="000000"/>
          <w:szCs w:val="22"/>
        </w:rPr>
        <w:t>որոշ</w:t>
      </w:r>
      <w:r w:rsidRPr="00A00B8B">
        <w:rPr>
          <w:b w:val="0"/>
          <w:color w:val="000000"/>
          <w:szCs w:val="22"/>
        </w:rPr>
        <w:t xml:space="preserve"> </w:t>
      </w:r>
      <w:r w:rsidRPr="00A00B8B">
        <w:rPr>
          <w:rFonts w:cs="Sylfaen"/>
          <w:b w:val="0"/>
          <w:color w:val="000000"/>
          <w:szCs w:val="22"/>
        </w:rPr>
        <w:t>ծառա</w:t>
      </w:r>
      <w:r w:rsidRPr="00130243">
        <w:rPr>
          <w:rFonts w:cs="Sylfaen"/>
          <w:b w:val="0"/>
          <w:color w:val="000000"/>
          <w:szCs w:val="22"/>
        </w:rPr>
        <w:softHyphen/>
      </w:r>
      <w:r w:rsidRPr="00130243">
        <w:rPr>
          <w:rFonts w:cs="Sylfaen"/>
          <w:b w:val="0"/>
          <w:color w:val="000000"/>
          <w:szCs w:val="22"/>
        </w:rPr>
        <w:softHyphen/>
      </w:r>
      <w:r w:rsidRPr="00A00B8B">
        <w:rPr>
          <w:rFonts w:cs="Sylfaen"/>
          <w:b w:val="0"/>
          <w:color w:val="000000"/>
          <w:szCs w:val="22"/>
        </w:rPr>
        <w:t>յությունների</w:t>
      </w:r>
      <w:r w:rsidRPr="00A00B8B">
        <w:rPr>
          <w:b w:val="0"/>
          <w:color w:val="000000"/>
          <w:szCs w:val="22"/>
        </w:rPr>
        <w:t xml:space="preserve"> </w:t>
      </w:r>
      <w:r w:rsidRPr="00A00B8B">
        <w:rPr>
          <w:rFonts w:cs="Sylfaen"/>
          <w:b w:val="0"/>
          <w:color w:val="000000"/>
          <w:szCs w:val="22"/>
        </w:rPr>
        <w:t>մատուցումն</w:t>
      </w:r>
      <w:r w:rsidRPr="00A00B8B">
        <w:rPr>
          <w:b w:val="0"/>
          <w:color w:val="000000"/>
          <w:szCs w:val="22"/>
        </w:rPr>
        <w:t xml:space="preserve"> </w:t>
      </w:r>
      <w:r w:rsidRPr="00A00B8B">
        <w:rPr>
          <w:rFonts w:cs="Sylfaen"/>
          <w:b w:val="0"/>
          <w:color w:val="000000"/>
          <w:szCs w:val="22"/>
        </w:rPr>
        <w:t>ու</w:t>
      </w:r>
      <w:r w:rsidRPr="00A00B8B">
        <w:rPr>
          <w:b w:val="0"/>
          <w:color w:val="000000"/>
          <w:szCs w:val="22"/>
        </w:rPr>
        <w:t xml:space="preserve"> </w:t>
      </w:r>
      <w:r w:rsidRPr="00A00B8B">
        <w:rPr>
          <w:rFonts w:cs="Sylfaen"/>
          <w:b w:val="0"/>
          <w:color w:val="000000"/>
          <w:szCs w:val="22"/>
        </w:rPr>
        <w:t>ապրանքների</w:t>
      </w:r>
      <w:r w:rsidRPr="00A00B8B">
        <w:rPr>
          <w:b w:val="0"/>
          <w:color w:val="000000"/>
          <w:szCs w:val="22"/>
        </w:rPr>
        <w:t xml:space="preserve"> </w:t>
      </w:r>
      <w:r w:rsidRPr="00A00B8B">
        <w:rPr>
          <w:rFonts w:cs="Sylfaen"/>
          <w:b w:val="0"/>
          <w:color w:val="000000"/>
          <w:szCs w:val="22"/>
        </w:rPr>
        <w:t>մատակարարումը</w:t>
      </w:r>
      <w:r w:rsidRPr="00A00B8B">
        <w:rPr>
          <w:b w:val="0"/>
          <w:color w:val="000000"/>
          <w:szCs w:val="22"/>
        </w:rPr>
        <w:t xml:space="preserve"> </w:t>
      </w:r>
      <w:r w:rsidRPr="00A00B8B">
        <w:rPr>
          <w:rFonts w:cs="Sylfaen"/>
          <w:b w:val="0"/>
          <w:color w:val="000000"/>
          <w:szCs w:val="22"/>
        </w:rPr>
        <w:t>ավելացված</w:t>
      </w:r>
      <w:r w:rsidRPr="00A00B8B">
        <w:rPr>
          <w:b w:val="0"/>
          <w:color w:val="000000"/>
          <w:szCs w:val="22"/>
        </w:rPr>
        <w:t xml:space="preserve"> </w:t>
      </w:r>
      <w:r w:rsidRPr="00A00B8B">
        <w:rPr>
          <w:rFonts w:cs="Sylfaen"/>
          <w:b w:val="0"/>
          <w:color w:val="000000"/>
          <w:szCs w:val="22"/>
        </w:rPr>
        <w:t>արժեքի</w:t>
      </w:r>
      <w:r w:rsidRPr="00A00B8B">
        <w:rPr>
          <w:b w:val="0"/>
          <w:color w:val="000000"/>
          <w:szCs w:val="22"/>
        </w:rPr>
        <w:t xml:space="preserve"> </w:t>
      </w:r>
      <w:r w:rsidRPr="00A00B8B">
        <w:rPr>
          <w:rFonts w:cs="Sylfaen"/>
          <w:b w:val="0"/>
          <w:color w:val="000000"/>
          <w:szCs w:val="22"/>
        </w:rPr>
        <w:t>հար</w:t>
      </w:r>
      <w:r w:rsidRPr="00130243">
        <w:rPr>
          <w:rFonts w:cs="Sylfaen"/>
          <w:b w:val="0"/>
          <w:color w:val="000000"/>
          <w:szCs w:val="22"/>
        </w:rPr>
        <w:softHyphen/>
      </w:r>
      <w:r w:rsidRPr="00A00B8B">
        <w:rPr>
          <w:rFonts w:cs="Sylfaen"/>
          <w:b w:val="0"/>
          <w:color w:val="000000"/>
          <w:szCs w:val="22"/>
        </w:rPr>
        <w:t>կից</w:t>
      </w:r>
      <w:r w:rsidRPr="00A00B8B">
        <w:rPr>
          <w:b w:val="0"/>
          <w:color w:val="000000"/>
          <w:szCs w:val="22"/>
        </w:rPr>
        <w:t xml:space="preserve"> </w:t>
      </w:r>
      <w:r w:rsidRPr="00A00B8B">
        <w:rPr>
          <w:rFonts w:cs="Sylfaen"/>
          <w:b w:val="0"/>
          <w:color w:val="000000"/>
          <w:szCs w:val="22"/>
        </w:rPr>
        <w:t>ազատելն</w:t>
      </w:r>
      <w:r w:rsidRPr="00A00B8B">
        <w:rPr>
          <w:b w:val="0"/>
          <w:color w:val="000000"/>
          <w:szCs w:val="22"/>
        </w:rPr>
        <w:t xml:space="preserve"> </w:t>
      </w:r>
      <w:r w:rsidRPr="00A00B8B">
        <w:rPr>
          <w:rFonts w:cs="Sylfaen"/>
          <w:b w:val="0"/>
          <w:color w:val="000000"/>
          <w:szCs w:val="22"/>
        </w:rPr>
        <w:t>է</w:t>
      </w:r>
      <w:r w:rsidRPr="00A00B8B">
        <w:rPr>
          <w:b w:val="0"/>
          <w:color w:val="000000"/>
          <w:szCs w:val="22"/>
        </w:rPr>
        <w:t xml:space="preserve">, </w:t>
      </w:r>
      <w:r w:rsidRPr="00A00B8B">
        <w:rPr>
          <w:rFonts w:cs="Sylfaen"/>
          <w:b w:val="0"/>
          <w:color w:val="000000"/>
          <w:szCs w:val="22"/>
        </w:rPr>
        <w:t>ինչը</w:t>
      </w:r>
      <w:r w:rsidRPr="00A00B8B">
        <w:rPr>
          <w:b w:val="0"/>
          <w:color w:val="000000"/>
          <w:szCs w:val="22"/>
        </w:rPr>
        <w:t xml:space="preserve">, </w:t>
      </w:r>
      <w:r w:rsidRPr="00A00B8B">
        <w:rPr>
          <w:rFonts w:cs="Sylfaen"/>
          <w:b w:val="0"/>
          <w:color w:val="000000"/>
          <w:szCs w:val="22"/>
        </w:rPr>
        <w:t>այլ</w:t>
      </w:r>
      <w:r w:rsidRPr="00A00B8B">
        <w:rPr>
          <w:b w:val="0"/>
          <w:color w:val="000000"/>
          <w:szCs w:val="22"/>
        </w:rPr>
        <w:t xml:space="preserve"> </w:t>
      </w:r>
      <w:r w:rsidRPr="00A00B8B">
        <w:rPr>
          <w:rFonts w:cs="Sylfaen"/>
          <w:b w:val="0"/>
          <w:color w:val="000000"/>
          <w:szCs w:val="22"/>
        </w:rPr>
        <w:t>հավասար</w:t>
      </w:r>
      <w:r w:rsidRPr="00A00B8B">
        <w:rPr>
          <w:b w:val="0"/>
          <w:color w:val="000000"/>
          <w:szCs w:val="22"/>
        </w:rPr>
        <w:t xml:space="preserve"> </w:t>
      </w:r>
      <w:r w:rsidRPr="00A00B8B">
        <w:rPr>
          <w:rFonts w:cs="Sylfaen"/>
          <w:b w:val="0"/>
          <w:color w:val="000000"/>
          <w:szCs w:val="22"/>
        </w:rPr>
        <w:t>պայմաններում</w:t>
      </w:r>
      <w:r w:rsidRPr="00A00B8B">
        <w:rPr>
          <w:b w:val="0"/>
          <w:color w:val="000000"/>
          <w:szCs w:val="22"/>
        </w:rPr>
        <w:t xml:space="preserve"> </w:t>
      </w:r>
      <w:r w:rsidRPr="00A00B8B">
        <w:rPr>
          <w:rFonts w:cs="Sylfaen"/>
          <w:b w:val="0"/>
          <w:color w:val="000000"/>
          <w:szCs w:val="22"/>
        </w:rPr>
        <w:t>հնարավորություն</w:t>
      </w:r>
      <w:r w:rsidRPr="00A00B8B">
        <w:rPr>
          <w:b w:val="0"/>
          <w:color w:val="000000"/>
          <w:szCs w:val="22"/>
        </w:rPr>
        <w:t xml:space="preserve"> </w:t>
      </w:r>
      <w:r w:rsidRPr="00A00B8B">
        <w:rPr>
          <w:rFonts w:cs="Sylfaen"/>
          <w:b w:val="0"/>
          <w:color w:val="000000"/>
          <w:szCs w:val="22"/>
        </w:rPr>
        <w:t>է</w:t>
      </w:r>
      <w:r w:rsidRPr="00A00B8B">
        <w:rPr>
          <w:b w:val="0"/>
          <w:color w:val="000000"/>
          <w:szCs w:val="22"/>
        </w:rPr>
        <w:t xml:space="preserve"> </w:t>
      </w:r>
      <w:r w:rsidRPr="00A00B8B">
        <w:rPr>
          <w:rFonts w:cs="Sylfaen"/>
          <w:b w:val="0"/>
          <w:color w:val="000000"/>
          <w:szCs w:val="22"/>
        </w:rPr>
        <w:t>ընձեռում</w:t>
      </w:r>
      <w:r w:rsidRPr="00A00B8B">
        <w:rPr>
          <w:b w:val="0"/>
          <w:color w:val="000000"/>
          <w:szCs w:val="22"/>
        </w:rPr>
        <w:t xml:space="preserve"> </w:t>
      </w:r>
      <w:r w:rsidRPr="00A00B8B">
        <w:rPr>
          <w:rFonts w:cs="Sylfaen"/>
          <w:b w:val="0"/>
          <w:color w:val="000000"/>
          <w:szCs w:val="22"/>
        </w:rPr>
        <w:t>նշյալ</w:t>
      </w:r>
      <w:r w:rsidRPr="00A00B8B">
        <w:rPr>
          <w:b w:val="0"/>
          <w:color w:val="000000"/>
          <w:szCs w:val="22"/>
        </w:rPr>
        <w:t xml:space="preserve"> </w:t>
      </w:r>
      <w:r w:rsidRPr="00A00B8B">
        <w:rPr>
          <w:rFonts w:cs="Sylfaen"/>
          <w:b w:val="0"/>
          <w:color w:val="000000"/>
          <w:szCs w:val="22"/>
        </w:rPr>
        <w:t>ապրանք</w:t>
      </w:r>
      <w:r w:rsidRPr="00130243">
        <w:rPr>
          <w:rFonts w:cs="Sylfaen"/>
          <w:b w:val="0"/>
          <w:color w:val="000000"/>
          <w:szCs w:val="22"/>
        </w:rPr>
        <w:softHyphen/>
      </w:r>
      <w:r w:rsidRPr="00A00B8B">
        <w:rPr>
          <w:rFonts w:cs="Sylfaen"/>
          <w:b w:val="0"/>
          <w:color w:val="000000"/>
          <w:szCs w:val="22"/>
        </w:rPr>
        <w:t>ներն</w:t>
      </w:r>
      <w:r w:rsidRPr="00A00B8B">
        <w:rPr>
          <w:b w:val="0"/>
          <w:color w:val="000000"/>
          <w:szCs w:val="22"/>
        </w:rPr>
        <w:t xml:space="preserve"> </w:t>
      </w:r>
      <w:r w:rsidRPr="00A00B8B">
        <w:rPr>
          <w:rFonts w:cs="Sylfaen"/>
          <w:b w:val="0"/>
          <w:color w:val="000000"/>
          <w:szCs w:val="22"/>
        </w:rPr>
        <w:t>ու</w:t>
      </w:r>
      <w:r w:rsidRPr="00A00B8B">
        <w:rPr>
          <w:b w:val="0"/>
          <w:color w:val="000000"/>
          <w:szCs w:val="22"/>
        </w:rPr>
        <w:t xml:space="preserve"> </w:t>
      </w:r>
      <w:r w:rsidRPr="00A00B8B">
        <w:rPr>
          <w:rFonts w:cs="Sylfaen"/>
          <w:b w:val="0"/>
          <w:color w:val="000000"/>
          <w:szCs w:val="22"/>
        </w:rPr>
        <w:t>ծառայությունները</w:t>
      </w:r>
      <w:r w:rsidRPr="00A00B8B">
        <w:rPr>
          <w:b w:val="0"/>
          <w:color w:val="000000"/>
          <w:szCs w:val="22"/>
        </w:rPr>
        <w:t xml:space="preserve"> </w:t>
      </w:r>
      <w:r w:rsidRPr="00A00B8B">
        <w:rPr>
          <w:rFonts w:cs="Sylfaen"/>
          <w:b w:val="0"/>
          <w:color w:val="000000"/>
          <w:szCs w:val="22"/>
        </w:rPr>
        <w:t>ձեռք</w:t>
      </w:r>
      <w:r w:rsidRPr="00A00B8B">
        <w:rPr>
          <w:b w:val="0"/>
          <w:color w:val="000000"/>
          <w:szCs w:val="22"/>
        </w:rPr>
        <w:t xml:space="preserve"> </w:t>
      </w:r>
      <w:r w:rsidRPr="00A00B8B">
        <w:rPr>
          <w:rFonts w:cs="Sylfaen"/>
          <w:b w:val="0"/>
          <w:color w:val="000000"/>
          <w:szCs w:val="22"/>
        </w:rPr>
        <w:t>բերել</w:t>
      </w:r>
      <w:r w:rsidRPr="00A00B8B">
        <w:rPr>
          <w:b w:val="0"/>
          <w:color w:val="000000"/>
          <w:szCs w:val="22"/>
        </w:rPr>
        <w:t xml:space="preserve"> </w:t>
      </w:r>
      <w:r w:rsidRPr="00A00B8B">
        <w:rPr>
          <w:rFonts w:cs="Sylfaen"/>
          <w:b w:val="0"/>
          <w:color w:val="000000"/>
          <w:szCs w:val="22"/>
        </w:rPr>
        <w:t>համեմատաբար</w:t>
      </w:r>
      <w:r w:rsidRPr="00A00B8B">
        <w:rPr>
          <w:b w:val="0"/>
          <w:color w:val="000000"/>
          <w:szCs w:val="22"/>
        </w:rPr>
        <w:t xml:space="preserve"> </w:t>
      </w:r>
      <w:r w:rsidRPr="00A00B8B">
        <w:rPr>
          <w:rFonts w:cs="Sylfaen"/>
          <w:b w:val="0"/>
          <w:color w:val="000000"/>
          <w:szCs w:val="22"/>
        </w:rPr>
        <w:t>ցածր</w:t>
      </w:r>
      <w:r w:rsidRPr="00A00B8B">
        <w:rPr>
          <w:b w:val="0"/>
          <w:color w:val="000000"/>
          <w:szCs w:val="22"/>
        </w:rPr>
        <w:t xml:space="preserve"> </w:t>
      </w:r>
      <w:r w:rsidRPr="00A00B8B">
        <w:rPr>
          <w:rFonts w:cs="Sylfaen"/>
          <w:b w:val="0"/>
          <w:color w:val="000000"/>
          <w:szCs w:val="22"/>
        </w:rPr>
        <w:t>գներով</w:t>
      </w:r>
      <w:r w:rsidRPr="00A00B8B">
        <w:rPr>
          <w:b w:val="0"/>
          <w:color w:val="000000"/>
          <w:szCs w:val="22"/>
        </w:rPr>
        <w:t>:</w:t>
      </w:r>
    </w:p>
    <w:p w:rsidR="00A00B8B" w:rsidRPr="00130243" w:rsidRDefault="00A00B8B" w:rsidP="007730AA">
      <w:pPr>
        <w:shd w:val="clear" w:color="auto" w:fill="FFFFFF"/>
        <w:spacing w:before="0" w:line="276" w:lineRule="auto"/>
        <w:contextualSpacing w:val="0"/>
        <w:rPr>
          <w:b w:val="0"/>
          <w:color w:val="000000"/>
          <w:szCs w:val="22"/>
        </w:rPr>
      </w:pPr>
      <w:r w:rsidRPr="00A00B8B">
        <w:rPr>
          <w:rFonts w:cs="Sylfaen"/>
          <w:b w:val="0"/>
          <w:color w:val="000000"/>
          <w:szCs w:val="22"/>
        </w:rPr>
        <w:t>Ոլորտային</w:t>
      </w:r>
      <w:r w:rsidRPr="00A00B8B">
        <w:rPr>
          <w:b w:val="0"/>
          <w:color w:val="000000"/>
          <w:szCs w:val="22"/>
        </w:rPr>
        <w:t xml:space="preserve"> </w:t>
      </w:r>
      <w:r w:rsidRPr="00A00B8B">
        <w:rPr>
          <w:rFonts w:cs="Sylfaen"/>
          <w:b w:val="0"/>
          <w:color w:val="000000"/>
          <w:szCs w:val="22"/>
        </w:rPr>
        <w:t>հարկային</w:t>
      </w:r>
      <w:r w:rsidRPr="00A00B8B">
        <w:rPr>
          <w:b w:val="0"/>
          <w:color w:val="000000"/>
          <w:szCs w:val="22"/>
        </w:rPr>
        <w:t xml:space="preserve"> </w:t>
      </w:r>
      <w:r w:rsidRPr="00A00B8B">
        <w:rPr>
          <w:rFonts w:cs="Sylfaen"/>
          <w:b w:val="0"/>
          <w:color w:val="000000"/>
          <w:szCs w:val="22"/>
        </w:rPr>
        <w:t>արտոնությունների</w:t>
      </w:r>
      <w:r w:rsidRPr="00A00B8B">
        <w:rPr>
          <w:b w:val="0"/>
          <w:color w:val="000000"/>
          <w:szCs w:val="22"/>
        </w:rPr>
        <w:t xml:space="preserve"> </w:t>
      </w:r>
      <w:r w:rsidRPr="00A00B8B">
        <w:rPr>
          <w:rFonts w:cs="Sylfaen"/>
          <w:b w:val="0"/>
          <w:color w:val="000000"/>
          <w:szCs w:val="22"/>
        </w:rPr>
        <w:t>կիրառությունը</w:t>
      </w:r>
      <w:r w:rsidRPr="00A00B8B">
        <w:rPr>
          <w:b w:val="0"/>
          <w:color w:val="000000"/>
          <w:szCs w:val="22"/>
        </w:rPr>
        <w:t xml:space="preserve"> </w:t>
      </w:r>
      <w:r w:rsidRPr="00A00B8B">
        <w:rPr>
          <w:rFonts w:cs="Sylfaen"/>
          <w:b w:val="0"/>
          <w:color w:val="000000"/>
          <w:szCs w:val="22"/>
        </w:rPr>
        <w:t>պայմանավորված</w:t>
      </w:r>
      <w:r w:rsidRPr="00A00B8B">
        <w:rPr>
          <w:b w:val="0"/>
          <w:color w:val="000000"/>
          <w:szCs w:val="22"/>
        </w:rPr>
        <w:t xml:space="preserve"> </w:t>
      </w:r>
      <w:r w:rsidRPr="00A00B8B">
        <w:rPr>
          <w:rFonts w:cs="Sylfaen"/>
          <w:b w:val="0"/>
          <w:color w:val="000000"/>
          <w:szCs w:val="22"/>
        </w:rPr>
        <w:t>է</w:t>
      </w:r>
      <w:r w:rsidRPr="00A00B8B">
        <w:rPr>
          <w:b w:val="0"/>
          <w:color w:val="000000"/>
          <w:szCs w:val="22"/>
        </w:rPr>
        <w:t xml:space="preserve"> </w:t>
      </w:r>
      <w:r w:rsidRPr="00A00B8B">
        <w:rPr>
          <w:b w:val="0"/>
          <w:color w:val="000000"/>
          <w:szCs w:val="22"/>
          <w:lang w:val="en-US"/>
        </w:rPr>
        <w:t>հիմնականում</w:t>
      </w:r>
      <w:r w:rsidRPr="00130243">
        <w:rPr>
          <w:b w:val="0"/>
          <w:color w:val="000000"/>
          <w:szCs w:val="22"/>
        </w:rPr>
        <w:t xml:space="preserve"> </w:t>
      </w:r>
      <w:r w:rsidRPr="00A00B8B">
        <w:rPr>
          <w:rFonts w:cs="Sylfaen"/>
          <w:b w:val="0"/>
          <w:color w:val="000000"/>
          <w:szCs w:val="22"/>
          <w:lang w:val="en-US"/>
        </w:rPr>
        <w:t>ա</w:t>
      </w:r>
      <w:r w:rsidRPr="00A00B8B">
        <w:rPr>
          <w:rFonts w:cs="Sylfaen"/>
          <w:b w:val="0"/>
          <w:color w:val="000000"/>
          <w:szCs w:val="22"/>
        </w:rPr>
        <w:t>զգային</w:t>
      </w:r>
      <w:r w:rsidRPr="00A00B8B">
        <w:rPr>
          <w:b w:val="0"/>
          <w:color w:val="000000"/>
          <w:szCs w:val="22"/>
        </w:rPr>
        <w:t xml:space="preserve"> </w:t>
      </w:r>
      <w:r w:rsidRPr="00A00B8B">
        <w:rPr>
          <w:rFonts w:cs="Sylfaen"/>
          <w:b w:val="0"/>
          <w:color w:val="000000"/>
          <w:szCs w:val="22"/>
        </w:rPr>
        <w:t>տնտեսության</w:t>
      </w:r>
      <w:r w:rsidRPr="00A00B8B">
        <w:rPr>
          <w:b w:val="0"/>
          <w:color w:val="000000"/>
          <w:szCs w:val="22"/>
        </w:rPr>
        <w:t xml:space="preserve"> </w:t>
      </w:r>
      <w:r w:rsidRPr="00A00B8B">
        <w:rPr>
          <w:rFonts w:cs="Sylfaen"/>
          <w:b w:val="0"/>
          <w:color w:val="000000"/>
          <w:szCs w:val="22"/>
        </w:rPr>
        <w:t>երկարաժամկետ</w:t>
      </w:r>
      <w:r w:rsidRPr="00A00B8B">
        <w:rPr>
          <w:b w:val="0"/>
          <w:color w:val="000000"/>
          <w:szCs w:val="22"/>
        </w:rPr>
        <w:t xml:space="preserve"> </w:t>
      </w:r>
      <w:r w:rsidRPr="00A00B8B">
        <w:rPr>
          <w:rFonts w:cs="Sylfaen"/>
          <w:b w:val="0"/>
          <w:color w:val="000000"/>
          <w:szCs w:val="22"/>
        </w:rPr>
        <w:t>և</w:t>
      </w:r>
      <w:r w:rsidRPr="00A00B8B">
        <w:rPr>
          <w:b w:val="0"/>
          <w:color w:val="000000"/>
          <w:szCs w:val="22"/>
        </w:rPr>
        <w:t xml:space="preserve"> </w:t>
      </w:r>
      <w:r w:rsidRPr="00A00B8B">
        <w:rPr>
          <w:rFonts w:cs="Sylfaen"/>
          <w:b w:val="0"/>
          <w:color w:val="000000"/>
          <w:szCs w:val="22"/>
        </w:rPr>
        <w:t>կայուն</w:t>
      </w:r>
      <w:r w:rsidRPr="00A00B8B">
        <w:rPr>
          <w:b w:val="0"/>
          <w:color w:val="000000"/>
          <w:szCs w:val="22"/>
        </w:rPr>
        <w:t xml:space="preserve"> </w:t>
      </w:r>
      <w:r w:rsidRPr="00A00B8B">
        <w:rPr>
          <w:rFonts w:cs="Sylfaen"/>
          <w:b w:val="0"/>
          <w:color w:val="000000"/>
          <w:szCs w:val="22"/>
        </w:rPr>
        <w:t>զարգացման</w:t>
      </w:r>
      <w:r w:rsidRPr="00A00B8B">
        <w:rPr>
          <w:b w:val="0"/>
          <w:color w:val="000000"/>
          <w:szCs w:val="22"/>
        </w:rPr>
        <w:t xml:space="preserve"> </w:t>
      </w:r>
      <w:r w:rsidRPr="00A00B8B">
        <w:rPr>
          <w:rFonts w:cs="Sylfaen"/>
          <w:b w:val="0"/>
          <w:color w:val="000000"/>
          <w:szCs w:val="22"/>
        </w:rPr>
        <w:t>տեսանկյունից</w:t>
      </w:r>
      <w:r w:rsidRPr="00A00B8B">
        <w:rPr>
          <w:b w:val="0"/>
          <w:color w:val="000000"/>
          <w:szCs w:val="22"/>
        </w:rPr>
        <w:t xml:space="preserve"> </w:t>
      </w:r>
      <w:r w:rsidRPr="00A00B8B">
        <w:rPr>
          <w:rFonts w:cs="Sylfaen"/>
          <w:b w:val="0"/>
          <w:color w:val="000000"/>
          <w:szCs w:val="22"/>
        </w:rPr>
        <w:t>տնտե</w:t>
      </w:r>
      <w:r w:rsidRPr="00130243">
        <w:rPr>
          <w:rFonts w:cs="Sylfaen"/>
          <w:b w:val="0"/>
          <w:color w:val="000000"/>
          <w:szCs w:val="22"/>
        </w:rPr>
        <w:softHyphen/>
      </w:r>
      <w:r w:rsidRPr="00A00B8B">
        <w:rPr>
          <w:rFonts w:cs="Sylfaen"/>
          <w:b w:val="0"/>
          <w:color w:val="000000"/>
          <w:szCs w:val="22"/>
        </w:rPr>
        <w:t>սության</w:t>
      </w:r>
      <w:r w:rsidRPr="00A00B8B">
        <w:rPr>
          <w:b w:val="0"/>
          <w:color w:val="000000"/>
          <w:szCs w:val="22"/>
        </w:rPr>
        <w:t xml:space="preserve"> </w:t>
      </w:r>
      <w:r w:rsidRPr="00A00B8B">
        <w:rPr>
          <w:rFonts w:cs="Sylfaen"/>
          <w:b w:val="0"/>
          <w:color w:val="000000"/>
          <w:szCs w:val="22"/>
        </w:rPr>
        <w:t>որոշ</w:t>
      </w:r>
      <w:r w:rsidRPr="00A00B8B">
        <w:rPr>
          <w:b w:val="0"/>
          <w:color w:val="000000"/>
          <w:szCs w:val="22"/>
        </w:rPr>
        <w:t xml:space="preserve"> </w:t>
      </w:r>
      <w:r w:rsidRPr="00A00B8B">
        <w:rPr>
          <w:rFonts w:cs="Sylfaen"/>
          <w:b w:val="0"/>
          <w:color w:val="000000"/>
          <w:szCs w:val="22"/>
        </w:rPr>
        <w:t>ոլորտների</w:t>
      </w:r>
      <w:r w:rsidRPr="00A00B8B">
        <w:rPr>
          <w:b w:val="0"/>
          <w:color w:val="000000"/>
          <w:szCs w:val="22"/>
        </w:rPr>
        <w:t xml:space="preserve"> </w:t>
      </w:r>
      <w:r w:rsidRPr="00A00B8B">
        <w:rPr>
          <w:rFonts w:cs="Sylfaen"/>
          <w:b w:val="0"/>
          <w:color w:val="000000"/>
          <w:szCs w:val="22"/>
        </w:rPr>
        <w:t>զարգաց</w:t>
      </w:r>
      <w:r w:rsidRPr="00A00B8B">
        <w:rPr>
          <w:rFonts w:cs="Sylfaen"/>
          <w:b w:val="0"/>
          <w:color w:val="000000"/>
          <w:szCs w:val="22"/>
          <w:lang w:val="en-US"/>
        </w:rPr>
        <w:t>ման</w:t>
      </w:r>
      <w:r w:rsidRPr="00A00B8B">
        <w:rPr>
          <w:b w:val="0"/>
          <w:color w:val="000000"/>
          <w:szCs w:val="22"/>
        </w:rPr>
        <w:t xml:space="preserve"> </w:t>
      </w:r>
      <w:r w:rsidRPr="00A00B8B">
        <w:rPr>
          <w:rFonts w:cs="Sylfaen"/>
          <w:b w:val="0"/>
          <w:color w:val="000000"/>
          <w:szCs w:val="22"/>
        </w:rPr>
        <w:t>գերակայություն</w:t>
      </w:r>
      <w:r w:rsidRPr="00130243">
        <w:rPr>
          <w:rFonts w:cs="Sylfaen"/>
          <w:b w:val="0"/>
          <w:color w:val="000000"/>
          <w:szCs w:val="22"/>
        </w:rPr>
        <w:t xml:space="preserve"> </w:t>
      </w:r>
      <w:r w:rsidRPr="00A00B8B">
        <w:rPr>
          <w:rFonts w:cs="Sylfaen"/>
          <w:b w:val="0"/>
          <w:color w:val="000000"/>
          <w:szCs w:val="22"/>
          <w:lang w:val="en-US"/>
        </w:rPr>
        <w:t>համարելը</w:t>
      </w:r>
      <w:r w:rsidRPr="00A00B8B">
        <w:rPr>
          <w:b w:val="0"/>
          <w:color w:val="000000"/>
          <w:szCs w:val="22"/>
        </w:rPr>
        <w:t xml:space="preserve">: </w:t>
      </w:r>
      <w:r w:rsidRPr="00A00B8B">
        <w:rPr>
          <w:rFonts w:cs="Sylfaen"/>
          <w:b w:val="0"/>
          <w:color w:val="000000"/>
          <w:szCs w:val="22"/>
        </w:rPr>
        <w:t>Դրանք</w:t>
      </w:r>
      <w:r w:rsidRPr="00A00B8B">
        <w:rPr>
          <w:b w:val="0"/>
          <w:color w:val="000000"/>
          <w:szCs w:val="22"/>
        </w:rPr>
        <w:t xml:space="preserve"> </w:t>
      </w:r>
      <w:r w:rsidRPr="00A00B8B">
        <w:rPr>
          <w:rFonts w:cs="Sylfaen"/>
          <w:b w:val="0"/>
          <w:color w:val="000000"/>
          <w:szCs w:val="22"/>
        </w:rPr>
        <w:t>հիմ</w:t>
      </w:r>
      <w:r w:rsidRPr="00130243">
        <w:rPr>
          <w:rFonts w:cs="Sylfaen"/>
          <w:b w:val="0"/>
          <w:color w:val="000000"/>
          <w:szCs w:val="22"/>
        </w:rPr>
        <w:softHyphen/>
      </w:r>
      <w:r w:rsidRPr="00A00B8B">
        <w:rPr>
          <w:rFonts w:cs="Sylfaen"/>
          <w:b w:val="0"/>
          <w:color w:val="000000"/>
          <w:szCs w:val="22"/>
        </w:rPr>
        <w:t>նա</w:t>
      </w:r>
      <w:r w:rsidRPr="00130243">
        <w:rPr>
          <w:rFonts w:cs="Sylfaen"/>
          <w:b w:val="0"/>
          <w:color w:val="000000"/>
          <w:szCs w:val="22"/>
        </w:rPr>
        <w:softHyphen/>
      </w:r>
      <w:r w:rsidRPr="00A00B8B">
        <w:rPr>
          <w:rFonts w:cs="Sylfaen"/>
          <w:b w:val="0"/>
          <w:color w:val="000000"/>
          <w:szCs w:val="22"/>
        </w:rPr>
        <w:t>կանում</w:t>
      </w:r>
      <w:r w:rsidRPr="00A00B8B">
        <w:rPr>
          <w:b w:val="0"/>
          <w:color w:val="000000"/>
          <w:szCs w:val="22"/>
        </w:rPr>
        <w:t xml:space="preserve"> </w:t>
      </w:r>
      <w:r w:rsidRPr="00A00B8B">
        <w:rPr>
          <w:rFonts w:cs="Sylfaen"/>
          <w:b w:val="0"/>
          <w:color w:val="000000"/>
          <w:szCs w:val="22"/>
        </w:rPr>
        <w:t>այն</w:t>
      </w:r>
      <w:r w:rsidRPr="00A00B8B">
        <w:rPr>
          <w:b w:val="0"/>
          <w:color w:val="000000"/>
          <w:szCs w:val="22"/>
        </w:rPr>
        <w:t xml:space="preserve"> </w:t>
      </w:r>
      <w:r w:rsidRPr="00A00B8B">
        <w:rPr>
          <w:rFonts w:cs="Sylfaen"/>
          <w:b w:val="0"/>
          <w:color w:val="000000"/>
          <w:szCs w:val="22"/>
        </w:rPr>
        <w:t>ոլորտներն</w:t>
      </w:r>
      <w:r w:rsidRPr="00A00B8B">
        <w:rPr>
          <w:b w:val="0"/>
          <w:color w:val="000000"/>
          <w:szCs w:val="22"/>
        </w:rPr>
        <w:t xml:space="preserve"> </w:t>
      </w:r>
      <w:r w:rsidRPr="00A00B8B">
        <w:rPr>
          <w:rFonts w:cs="Sylfaen"/>
          <w:b w:val="0"/>
          <w:color w:val="000000"/>
          <w:szCs w:val="22"/>
        </w:rPr>
        <w:t>են</w:t>
      </w:r>
      <w:r w:rsidRPr="00A00B8B">
        <w:rPr>
          <w:b w:val="0"/>
          <w:color w:val="000000"/>
          <w:szCs w:val="22"/>
        </w:rPr>
        <w:t xml:space="preserve">, </w:t>
      </w:r>
      <w:r w:rsidRPr="00A00B8B">
        <w:rPr>
          <w:rFonts w:cs="Sylfaen"/>
          <w:b w:val="0"/>
          <w:color w:val="000000"/>
          <w:szCs w:val="22"/>
        </w:rPr>
        <w:t>որոնք</w:t>
      </w:r>
      <w:r w:rsidRPr="00A00B8B">
        <w:rPr>
          <w:b w:val="0"/>
          <w:color w:val="000000"/>
          <w:szCs w:val="22"/>
        </w:rPr>
        <w:t xml:space="preserve"> </w:t>
      </w:r>
      <w:r w:rsidRPr="00A00B8B">
        <w:rPr>
          <w:rFonts w:cs="Sylfaen"/>
          <w:b w:val="0"/>
          <w:color w:val="000000"/>
          <w:szCs w:val="22"/>
        </w:rPr>
        <w:t>ավանդաբար</w:t>
      </w:r>
      <w:r w:rsidRPr="00A00B8B">
        <w:rPr>
          <w:b w:val="0"/>
          <w:color w:val="000000"/>
          <w:szCs w:val="22"/>
        </w:rPr>
        <w:t xml:space="preserve"> </w:t>
      </w:r>
      <w:r w:rsidRPr="00A00B8B">
        <w:rPr>
          <w:rFonts w:cs="Sylfaen"/>
          <w:b w:val="0"/>
          <w:color w:val="000000"/>
          <w:szCs w:val="22"/>
        </w:rPr>
        <w:t>ձևավորել</w:t>
      </w:r>
      <w:r w:rsidRPr="00A00B8B">
        <w:rPr>
          <w:b w:val="0"/>
          <w:color w:val="000000"/>
          <w:szCs w:val="22"/>
        </w:rPr>
        <w:t xml:space="preserve"> </w:t>
      </w:r>
      <w:r w:rsidRPr="00A00B8B">
        <w:rPr>
          <w:rFonts w:cs="Sylfaen"/>
          <w:b w:val="0"/>
          <w:color w:val="000000"/>
          <w:szCs w:val="22"/>
        </w:rPr>
        <w:t>են</w:t>
      </w:r>
      <w:r w:rsidRPr="00A00B8B">
        <w:rPr>
          <w:b w:val="0"/>
          <w:color w:val="000000"/>
          <w:szCs w:val="22"/>
        </w:rPr>
        <w:t xml:space="preserve"> </w:t>
      </w:r>
      <w:r w:rsidRPr="00A00B8B">
        <w:rPr>
          <w:rFonts w:cs="Sylfaen"/>
          <w:b w:val="0"/>
          <w:color w:val="000000"/>
          <w:szCs w:val="22"/>
        </w:rPr>
        <w:t>ազգային</w:t>
      </w:r>
      <w:r w:rsidRPr="00A00B8B">
        <w:rPr>
          <w:b w:val="0"/>
          <w:color w:val="000000"/>
          <w:szCs w:val="22"/>
        </w:rPr>
        <w:t xml:space="preserve"> </w:t>
      </w:r>
      <w:r w:rsidRPr="00A00B8B">
        <w:rPr>
          <w:rFonts w:cs="Sylfaen"/>
          <w:b w:val="0"/>
          <w:color w:val="000000"/>
          <w:szCs w:val="22"/>
        </w:rPr>
        <w:t>տնտեսության</w:t>
      </w:r>
      <w:r w:rsidRPr="00A00B8B">
        <w:rPr>
          <w:b w:val="0"/>
          <w:color w:val="000000"/>
          <w:szCs w:val="22"/>
        </w:rPr>
        <w:t xml:space="preserve"> </w:t>
      </w:r>
      <w:r w:rsidRPr="00A00B8B">
        <w:rPr>
          <w:rFonts w:cs="Sylfaen"/>
          <w:b w:val="0"/>
          <w:color w:val="000000"/>
          <w:szCs w:val="22"/>
        </w:rPr>
        <w:t>նկա</w:t>
      </w:r>
      <w:r w:rsidRPr="00130243">
        <w:rPr>
          <w:rFonts w:cs="Sylfaen"/>
          <w:b w:val="0"/>
          <w:color w:val="000000"/>
          <w:szCs w:val="22"/>
        </w:rPr>
        <w:softHyphen/>
      </w:r>
      <w:r w:rsidRPr="00A00B8B">
        <w:rPr>
          <w:rFonts w:cs="Sylfaen"/>
          <w:b w:val="0"/>
          <w:color w:val="000000"/>
          <w:szCs w:val="22"/>
        </w:rPr>
        <w:t>րա</w:t>
      </w:r>
      <w:r w:rsidRPr="00130243">
        <w:rPr>
          <w:rFonts w:cs="Sylfaen"/>
          <w:b w:val="0"/>
          <w:color w:val="000000"/>
          <w:szCs w:val="22"/>
        </w:rPr>
        <w:softHyphen/>
      </w:r>
      <w:r w:rsidRPr="00A00B8B">
        <w:rPr>
          <w:rFonts w:cs="Sylfaen"/>
          <w:b w:val="0"/>
          <w:color w:val="000000"/>
          <w:szCs w:val="22"/>
        </w:rPr>
        <w:t>գիրը</w:t>
      </w:r>
      <w:r w:rsidRPr="00A00B8B">
        <w:rPr>
          <w:b w:val="0"/>
          <w:color w:val="000000"/>
          <w:szCs w:val="22"/>
        </w:rPr>
        <w:t xml:space="preserve"> (</w:t>
      </w:r>
      <w:r w:rsidRPr="00A00B8B">
        <w:rPr>
          <w:rFonts w:cs="Sylfaen"/>
          <w:b w:val="0"/>
          <w:color w:val="000000"/>
          <w:szCs w:val="22"/>
        </w:rPr>
        <w:t>ոսկերչություն</w:t>
      </w:r>
      <w:r w:rsidRPr="00A00B8B">
        <w:rPr>
          <w:b w:val="0"/>
          <w:color w:val="000000"/>
          <w:szCs w:val="22"/>
        </w:rPr>
        <w:t xml:space="preserve">, </w:t>
      </w:r>
      <w:r w:rsidRPr="00A00B8B">
        <w:rPr>
          <w:rFonts w:cs="Sylfaen"/>
          <w:b w:val="0"/>
          <w:color w:val="000000"/>
          <w:szCs w:val="22"/>
        </w:rPr>
        <w:t>զբոսաշրջություն</w:t>
      </w:r>
      <w:r w:rsidRPr="00A00B8B">
        <w:rPr>
          <w:b w:val="0"/>
          <w:color w:val="000000"/>
          <w:szCs w:val="22"/>
        </w:rPr>
        <w:t xml:space="preserve">, </w:t>
      </w:r>
      <w:r w:rsidRPr="00A00B8B">
        <w:rPr>
          <w:rFonts w:cs="Sylfaen"/>
          <w:b w:val="0"/>
          <w:color w:val="000000"/>
          <w:szCs w:val="22"/>
        </w:rPr>
        <w:t>գորգագործություն</w:t>
      </w:r>
      <w:r w:rsidRPr="00A00B8B">
        <w:rPr>
          <w:b w:val="0"/>
          <w:color w:val="000000"/>
          <w:szCs w:val="22"/>
        </w:rPr>
        <w:t xml:space="preserve"> </w:t>
      </w:r>
      <w:r w:rsidRPr="00A00B8B">
        <w:rPr>
          <w:rFonts w:cs="Sylfaen"/>
          <w:b w:val="0"/>
          <w:color w:val="000000"/>
          <w:szCs w:val="22"/>
        </w:rPr>
        <w:t>և</w:t>
      </w:r>
      <w:r w:rsidRPr="00A00B8B">
        <w:rPr>
          <w:b w:val="0"/>
          <w:color w:val="000000"/>
          <w:szCs w:val="22"/>
        </w:rPr>
        <w:t xml:space="preserve"> </w:t>
      </w:r>
      <w:r w:rsidRPr="00A00B8B">
        <w:rPr>
          <w:rFonts w:cs="Sylfaen"/>
          <w:b w:val="0"/>
          <w:color w:val="000000"/>
          <w:szCs w:val="22"/>
        </w:rPr>
        <w:t>այլն</w:t>
      </w:r>
      <w:r w:rsidRPr="00A00B8B">
        <w:rPr>
          <w:b w:val="0"/>
          <w:color w:val="000000"/>
          <w:szCs w:val="22"/>
        </w:rPr>
        <w:t xml:space="preserve">): </w:t>
      </w:r>
      <w:r w:rsidRPr="00A00B8B">
        <w:rPr>
          <w:rFonts w:cs="Sylfaen"/>
          <w:b w:val="0"/>
          <w:color w:val="000000"/>
          <w:szCs w:val="22"/>
        </w:rPr>
        <w:t>Այս</w:t>
      </w:r>
      <w:r w:rsidRPr="00A00B8B">
        <w:rPr>
          <w:b w:val="0"/>
          <w:color w:val="000000"/>
          <w:szCs w:val="22"/>
        </w:rPr>
        <w:t xml:space="preserve"> </w:t>
      </w:r>
      <w:r w:rsidRPr="00A00B8B">
        <w:rPr>
          <w:rFonts w:cs="Sylfaen"/>
          <w:b w:val="0"/>
          <w:color w:val="000000"/>
          <w:szCs w:val="22"/>
        </w:rPr>
        <w:t>առումով</w:t>
      </w:r>
      <w:r w:rsidRPr="00A00B8B">
        <w:rPr>
          <w:b w:val="0"/>
          <w:color w:val="000000"/>
          <w:szCs w:val="22"/>
        </w:rPr>
        <w:t xml:space="preserve">, </w:t>
      </w:r>
      <w:r w:rsidRPr="00A00B8B">
        <w:rPr>
          <w:rFonts w:cs="Sylfaen"/>
          <w:b w:val="0"/>
          <w:color w:val="000000"/>
          <w:szCs w:val="22"/>
        </w:rPr>
        <w:t>Կառա</w:t>
      </w:r>
      <w:r w:rsidRPr="00130243">
        <w:rPr>
          <w:rFonts w:cs="Sylfaen"/>
          <w:b w:val="0"/>
          <w:color w:val="000000"/>
          <w:szCs w:val="22"/>
        </w:rPr>
        <w:softHyphen/>
      </w:r>
      <w:r w:rsidRPr="00A00B8B">
        <w:rPr>
          <w:rFonts w:cs="Sylfaen"/>
          <w:b w:val="0"/>
          <w:color w:val="000000"/>
          <w:szCs w:val="22"/>
        </w:rPr>
        <w:t>վա</w:t>
      </w:r>
      <w:r w:rsidRPr="00130243">
        <w:rPr>
          <w:rFonts w:cs="Sylfaen"/>
          <w:b w:val="0"/>
          <w:color w:val="000000"/>
          <w:szCs w:val="22"/>
        </w:rPr>
        <w:softHyphen/>
      </w:r>
      <w:r w:rsidRPr="00A00B8B">
        <w:rPr>
          <w:rFonts w:cs="Sylfaen"/>
          <w:b w:val="0"/>
          <w:color w:val="000000"/>
          <w:szCs w:val="22"/>
        </w:rPr>
        <w:t>րությունը</w:t>
      </w:r>
      <w:r w:rsidRPr="00A00B8B">
        <w:rPr>
          <w:b w:val="0"/>
          <w:color w:val="000000"/>
          <w:szCs w:val="22"/>
        </w:rPr>
        <w:t xml:space="preserve"> </w:t>
      </w:r>
      <w:r w:rsidRPr="00A00B8B">
        <w:rPr>
          <w:rFonts w:cs="Sylfaen"/>
          <w:b w:val="0"/>
          <w:color w:val="000000"/>
          <w:szCs w:val="22"/>
        </w:rPr>
        <w:t>տարբեր</w:t>
      </w:r>
      <w:r w:rsidRPr="00A00B8B">
        <w:rPr>
          <w:b w:val="0"/>
          <w:color w:val="000000"/>
          <w:szCs w:val="22"/>
        </w:rPr>
        <w:t xml:space="preserve"> </w:t>
      </w:r>
      <w:r w:rsidRPr="00A00B8B">
        <w:rPr>
          <w:rFonts w:cs="Sylfaen"/>
          <w:b w:val="0"/>
          <w:color w:val="000000"/>
          <w:szCs w:val="22"/>
        </w:rPr>
        <w:t>գործիքներով</w:t>
      </w:r>
      <w:r w:rsidRPr="00A00B8B">
        <w:rPr>
          <w:b w:val="0"/>
          <w:color w:val="000000"/>
          <w:szCs w:val="22"/>
        </w:rPr>
        <w:t xml:space="preserve"> (</w:t>
      </w:r>
      <w:r w:rsidRPr="00A00B8B">
        <w:rPr>
          <w:rFonts w:cs="Sylfaen"/>
          <w:b w:val="0"/>
          <w:color w:val="000000"/>
          <w:szCs w:val="22"/>
        </w:rPr>
        <w:t>այդ</w:t>
      </w:r>
      <w:r w:rsidRPr="00A00B8B">
        <w:rPr>
          <w:b w:val="0"/>
          <w:color w:val="000000"/>
          <w:szCs w:val="22"/>
        </w:rPr>
        <w:t xml:space="preserve"> </w:t>
      </w:r>
      <w:r w:rsidRPr="00A00B8B">
        <w:rPr>
          <w:rFonts w:cs="Sylfaen"/>
          <w:b w:val="0"/>
          <w:color w:val="000000"/>
          <w:szCs w:val="22"/>
        </w:rPr>
        <w:t>թվում</w:t>
      </w:r>
      <w:r w:rsidRPr="00A00B8B">
        <w:rPr>
          <w:b w:val="0"/>
          <w:color w:val="000000"/>
          <w:szCs w:val="22"/>
        </w:rPr>
        <w:t xml:space="preserve">` </w:t>
      </w:r>
      <w:r w:rsidRPr="00A00B8B">
        <w:rPr>
          <w:rFonts w:cs="Sylfaen"/>
          <w:b w:val="0"/>
          <w:color w:val="000000"/>
          <w:szCs w:val="22"/>
        </w:rPr>
        <w:t>հարկային</w:t>
      </w:r>
      <w:r w:rsidRPr="00A00B8B">
        <w:rPr>
          <w:b w:val="0"/>
          <w:color w:val="000000"/>
          <w:szCs w:val="22"/>
        </w:rPr>
        <w:t xml:space="preserve"> </w:t>
      </w:r>
      <w:r w:rsidRPr="00A00B8B">
        <w:rPr>
          <w:rFonts w:cs="Sylfaen"/>
          <w:b w:val="0"/>
          <w:color w:val="000000"/>
          <w:szCs w:val="22"/>
        </w:rPr>
        <w:t>արտոնությունների</w:t>
      </w:r>
      <w:r w:rsidRPr="00A00B8B">
        <w:rPr>
          <w:b w:val="0"/>
          <w:color w:val="000000"/>
          <w:szCs w:val="22"/>
        </w:rPr>
        <w:t xml:space="preserve"> </w:t>
      </w:r>
      <w:r w:rsidRPr="00A00B8B">
        <w:rPr>
          <w:rFonts w:cs="Sylfaen"/>
          <w:b w:val="0"/>
          <w:color w:val="000000"/>
          <w:szCs w:val="22"/>
        </w:rPr>
        <w:t>կիրա</w:t>
      </w:r>
      <w:r w:rsidRPr="00130243">
        <w:rPr>
          <w:rFonts w:cs="Sylfaen"/>
          <w:b w:val="0"/>
          <w:color w:val="000000"/>
          <w:szCs w:val="22"/>
        </w:rPr>
        <w:softHyphen/>
      </w:r>
      <w:r w:rsidRPr="00A00B8B">
        <w:rPr>
          <w:rFonts w:cs="Sylfaen"/>
          <w:b w:val="0"/>
          <w:color w:val="000000"/>
          <w:szCs w:val="22"/>
        </w:rPr>
        <w:t>ռու</w:t>
      </w:r>
      <w:r w:rsidRPr="00130243">
        <w:rPr>
          <w:rFonts w:cs="Sylfaen"/>
          <w:b w:val="0"/>
          <w:color w:val="000000"/>
          <w:szCs w:val="22"/>
        </w:rPr>
        <w:softHyphen/>
      </w:r>
      <w:r w:rsidRPr="00A00B8B">
        <w:rPr>
          <w:rFonts w:cs="Sylfaen"/>
          <w:b w:val="0"/>
          <w:color w:val="000000"/>
          <w:szCs w:val="22"/>
        </w:rPr>
        <w:t>թյամբ</w:t>
      </w:r>
      <w:r w:rsidRPr="00A00B8B">
        <w:rPr>
          <w:b w:val="0"/>
          <w:color w:val="000000"/>
          <w:szCs w:val="22"/>
        </w:rPr>
        <w:t xml:space="preserve">) </w:t>
      </w:r>
      <w:r w:rsidRPr="00A00B8B">
        <w:rPr>
          <w:rFonts w:cs="Sylfaen"/>
          <w:b w:val="0"/>
          <w:color w:val="000000"/>
          <w:szCs w:val="22"/>
        </w:rPr>
        <w:t>օժանդակում</w:t>
      </w:r>
      <w:r w:rsidRPr="00A00B8B">
        <w:rPr>
          <w:b w:val="0"/>
          <w:color w:val="000000"/>
          <w:szCs w:val="22"/>
        </w:rPr>
        <w:t xml:space="preserve"> </w:t>
      </w:r>
      <w:r w:rsidRPr="00A00B8B">
        <w:rPr>
          <w:rFonts w:cs="Sylfaen"/>
          <w:b w:val="0"/>
          <w:color w:val="000000"/>
          <w:szCs w:val="22"/>
        </w:rPr>
        <w:t>է</w:t>
      </w:r>
      <w:r w:rsidRPr="00A00B8B">
        <w:rPr>
          <w:b w:val="0"/>
          <w:color w:val="000000"/>
          <w:szCs w:val="22"/>
        </w:rPr>
        <w:t xml:space="preserve"> </w:t>
      </w:r>
      <w:r w:rsidRPr="00A00B8B">
        <w:rPr>
          <w:rFonts w:cs="Sylfaen"/>
          <w:b w:val="0"/>
          <w:color w:val="000000"/>
          <w:szCs w:val="22"/>
        </w:rPr>
        <w:t>այդ</w:t>
      </w:r>
      <w:r w:rsidRPr="00A00B8B">
        <w:rPr>
          <w:b w:val="0"/>
          <w:color w:val="000000"/>
          <w:szCs w:val="22"/>
        </w:rPr>
        <w:t xml:space="preserve"> </w:t>
      </w:r>
      <w:r w:rsidRPr="00A00B8B">
        <w:rPr>
          <w:rFonts w:cs="Sylfaen"/>
          <w:b w:val="0"/>
          <w:color w:val="000000"/>
          <w:szCs w:val="22"/>
        </w:rPr>
        <w:t>ոլորտներում</w:t>
      </w:r>
      <w:r w:rsidRPr="00A00B8B">
        <w:rPr>
          <w:b w:val="0"/>
          <w:color w:val="000000"/>
          <w:szCs w:val="22"/>
        </w:rPr>
        <w:t xml:space="preserve"> </w:t>
      </w:r>
      <w:r w:rsidRPr="00A00B8B">
        <w:rPr>
          <w:rFonts w:cs="Sylfaen"/>
          <w:b w:val="0"/>
          <w:color w:val="000000"/>
          <w:szCs w:val="22"/>
        </w:rPr>
        <w:t>գործող</w:t>
      </w:r>
      <w:r w:rsidRPr="00A00B8B">
        <w:rPr>
          <w:b w:val="0"/>
          <w:color w:val="000000"/>
          <w:szCs w:val="22"/>
        </w:rPr>
        <w:t xml:space="preserve"> </w:t>
      </w:r>
      <w:r w:rsidRPr="00A00B8B">
        <w:rPr>
          <w:rFonts w:cs="Sylfaen"/>
          <w:b w:val="0"/>
          <w:color w:val="000000"/>
          <w:szCs w:val="22"/>
        </w:rPr>
        <w:t>տնտեսավարող</w:t>
      </w:r>
      <w:r w:rsidRPr="00A00B8B">
        <w:rPr>
          <w:b w:val="0"/>
          <w:color w:val="000000"/>
          <w:szCs w:val="22"/>
        </w:rPr>
        <w:t xml:space="preserve"> </w:t>
      </w:r>
      <w:r w:rsidRPr="00A00B8B">
        <w:rPr>
          <w:rFonts w:cs="Sylfaen"/>
          <w:b w:val="0"/>
          <w:color w:val="000000"/>
          <w:szCs w:val="22"/>
        </w:rPr>
        <w:t>սուբյեկտներին</w:t>
      </w:r>
      <w:r w:rsidRPr="00130243">
        <w:rPr>
          <w:b w:val="0"/>
          <w:color w:val="000000"/>
          <w:szCs w:val="22"/>
        </w:rPr>
        <w:t>,</w:t>
      </w:r>
    </w:p>
    <w:p w:rsidR="00A00B8B" w:rsidRPr="00130243" w:rsidRDefault="00A00B8B" w:rsidP="007730AA">
      <w:pPr>
        <w:shd w:val="clear" w:color="auto" w:fill="FFFFFF"/>
        <w:spacing w:before="0" w:line="276" w:lineRule="auto"/>
        <w:contextualSpacing w:val="0"/>
        <w:rPr>
          <w:b w:val="0"/>
          <w:color w:val="000000"/>
          <w:szCs w:val="22"/>
        </w:rPr>
      </w:pPr>
      <w:r w:rsidRPr="00A00B8B">
        <w:rPr>
          <w:rFonts w:cs="Sylfaen"/>
          <w:b w:val="0"/>
          <w:color w:val="000000"/>
          <w:szCs w:val="22"/>
          <w:shd w:val="clear" w:color="auto" w:fill="FFFFFF"/>
        </w:rPr>
        <w:t>Գործարար</w:t>
      </w:r>
      <w:r w:rsidRPr="00A00B8B">
        <w:rPr>
          <w:b w:val="0"/>
          <w:color w:val="000000"/>
          <w:szCs w:val="22"/>
          <w:shd w:val="clear" w:color="auto" w:fill="FFFFFF"/>
        </w:rPr>
        <w:t xml:space="preserve"> </w:t>
      </w:r>
      <w:r w:rsidRPr="00A00B8B">
        <w:rPr>
          <w:rFonts w:cs="Sylfaen"/>
          <w:b w:val="0"/>
          <w:color w:val="000000"/>
          <w:szCs w:val="22"/>
          <w:shd w:val="clear" w:color="auto" w:fill="FFFFFF"/>
        </w:rPr>
        <w:t>և</w:t>
      </w:r>
      <w:r w:rsidRPr="00A00B8B">
        <w:rPr>
          <w:b w:val="0"/>
          <w:color w:val="000000"/>
          <w:szCs w:val="22"/>
          <w:shd w:val="clear" w:color="auto" w:fill="FFFFFF"/>
        </w:rPr>
        <w:t xml:space="preserve"> </w:t>
      </w:r>
      <w:r w:rsidRPr="00A00B8B">
        <w:rPr>
          <w:rFonts w:cs="Sylfaen"/>
          <w:b w:val="0"/>
          <w:color w:val="000000"/>
          <w:szCs w:val="22"/>
          <w:shd w:val="clear" w:color="auto" w:fill="FFFFFF"/>
        </w:rPr>
        <w:t>ներդրումային</w:t>
      </w:r>
      <w:r w:rsidRPr="00A00B8B">
        <w:rPr>
          <w:b w:val="0"/>
          <w:color w:val="000000"/>
          <w:szCs w:val="22"/>
          <w:shd w:val="clear" w:color="auto" w:fill="FFFFFF"/>
        </w:rPr>
        <w:t xml:space="preserve"> </w:t>
      </w:r>
      <w:r w:rsidRPr="00A00B8B">
        <w:rPr>
          <w:rFonts w:cs="Sylfaen"/>
          <w:b w:val="0"/>
          <w:color w:val="000000"/>
          <w:szCs w:val="22"/>
          <w:shd w:val="clear" w:color="auto" w:fill="FFFFFF"/>
        </w:rPr>
        <w:t>միջավայրի</w:t>
      </w:r>
      <w:r w:rsidRPr="00A00B8B">
        <w:rPr>
          <w:b w:val="0"/>
          <w:color w:val="000000"/>
          <w:szCs w:val="22"/>
          <w:shd w:val="clear" w:color="auto" w:fill="FFFFFF"/>
        </w:rPr>
        <w:t xml:space="preserve"> </w:t>
      </w:r>
      <w:r w:rsidRPr="00A00B8B">
        <w:rPr>
          <w:rFonts w:cs="Sylfaen"/>
          <w:b w:val="0"/>
          <w:color w:val="000000"/>
          <w:szCs w:val="22"/>
          <w:shd w:val="clear" w:color="auto" w:fill="FFFFFF"/>
        </w:rPr>
        <w:t>բարելավմանն</w:t>
      </w:r>
      <w:r w:rsidRPr="00A00B8B">
        <w:rPr>
          <w:b w:val="0"/>
          <w:color w:val="000000"/>
          <w:szCs w:val="22"/>
          <w:shd w:val="clear" w:color="auto" w:fill="FFFFFF"/>
        </w:rPr>
        <w:t xml:space="preserve"> </w:t>
      </w:r>
      <w:r w:rsidRPr="00A00B8B">
        <w:rPr>
          <w:rFonts w:cs="Sylfaen"/>
          <w:b w:val="0"/>
          <w:color w:val="000000"/>
          <w:szCs w:val="22"/>
          <w:shd w:val="clear" w:color="auto" w:fill="FFFFFF"/>
        </w:rPr>
        <w:t>ու</w:t>
      </w:r>
      <w:r w:rsidRPr="00A00B8B">
        <w:rPr>
          <w:b w:val="0"/>
          <w:color w:val="000000"/>
          <w:szCs w:val="22"/>
          <w:shd w:val="clear" w:color="auto" w:fill="FFFFFF"/>
        </w:rPr>
        <w:t xml:space="preserve"> </w:t>
      </w:r>
      <w:r w:rsidRPr="00A00B8B">
        <w:rPr>
          <w:rFonts w:cs="Sylfaen"/>
          <w:b w:val="0"/>
          <w:color w:val="000000"/>
          <w:szCs w:val="22"/>
          <w:shd w:val="clear" w:color="auto" w:fill="FFFFFF"/>
        </w:rPr>
        <w:t>ակտիվության</w:t>
      </w:r>
      <w:r w:rsidRPr="00A00B8B">
        <w:rPr>
          <w:b w:val="0"/>
          <w:color w:val="000000"/>
          <w:szCs w:val="22"/>
          <w:shd w:val="clear" w:color="auto" w:fill="FFFFFF"/>
        </w:rPr>
        <w:t xml:space="preserve"> </w:t>
      </w:r>
      <w:r w:rsidRPr="00A00B8B">
        <w:rPr>
          <w:rFonts w:cs="Sylfaen"/>
          <w:b w:val="0"/>
          <w:color w:val="000000"/>
          <w:szCs w:val="22"/>
          <w:shd w:val="clear" w:color="auto" w:fill="FFFFFF"/>
        </w:rPr>
        <w:t>բարձրաց</w:t>
      </w:r>
      <w:r w:rsidRPr="00130243">
        <w:rPr>
          <w:rFonts w:cs="Sylfaen"/>
          <w:b w:val="0"/>
          <w:color w:val="000000"/>
          <w:szCs w:val="22"/>
          <w:shd w:val="clear" w:color="auto" w:fill="FFFFFF"/>
        </w:rPr>
        <w:softHyphen/>
      </w:r>
      <w:r w:rsidRPr="00A00B8B">
        <w:rPr>
          <w:rFonts w:cs="Sylfaen"/>
          <w:b w:val="0"/>
          <w:color w:val="000000"/>
          <w:szCs w:val="22"/>
          <w:shd w:val="clear" w:color="auto" w:fill="FFFFFF"/>
        </w:rPr>
        <w:t>մանն</w:t>
      </w:r>
      <w:r w:rsidRPr="00A00B8B">
        <w:rPr>
          <w:b w:val="0"/>
          <w:color w:val="000000"/>
          <w:szCs w:val="22"/>
          <w:shd w:val="clear" w:color="auto" w:fill="FFFFFF"/>
        </w:rPr>
        <w:t xml:space="preserve"> </w:t>
      </w:r>
      <w:r w:rsidRPr="00A00B8B">
        <w:rPr>
          <w:rFonts w:cs="Sylfaen"/>
          <w:b w:val="0"/>
          <w:color w:val="000000"/>
          <w:szCs w:val="22"/>
          <w:shd w:val="clear" w:color="auto" w:fill="FFFFFF"/>
        </w:rPr>
        <w:t>ուղղված</w:t>
      </w:r>
      <w:r w:rsidRPr="00A00B8B">
        <w:rPr>
          <w:b w:val="0"/>
          <w:color w:val="000000"/>
          <w:szCs w:val="22"/>
          <w:shd w:val="clear" w:color="auto" w:fill="FFFFFF"/>
        </w:rPr>
        <w:t xml:space="preserve"> </w:t>
      </w:r>
      <w:r w:rsidRPr="00A00B8B">
        <w:rPr>
          <w:rFonts w:cs="Sylfaen"/>
          <w:b w:val="0"/>
          <w:color w:val="000000"/>
          <w:szCs w:val="22"/>
          <w:shd w:val="clear" w:color="auto" w:fill="FFFFFF"/>
        </w:rPr>
        <w:t>հարկային</w:t>
      </w:r>
      <w:r w:rsidRPr="00A00B8B">
        <w:rPr>
          <w:b w:val="0"/>
          <w:color w:val="000000"/>
          <w:szCs w:val="22"/>
          <w:shd w:val="clear" w:color="auto" w:fill="FFFFFF"/>
        </w:rPr>
        <w:t xml:space="preserve"> </w:t>
      </w:r>
      <w:r w:rsidRPr="00A00B8B">
        <w:rPr>
          <w:rFonts w:cs="Sylfaen"/>
          <w:b w:val="0"/>
          <w:color w:val="000000"/>
          <w:szCs w:val="22"/>
          <w:shd w:val="clear" w:color="auto" w:fill="FFFFFF"/>
        </w:rPr>
        <w:t>արտոնությունների</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կիրառության</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հիմնական</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նպատակը</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տնտե</w:t>
      </w:r>
      <w:r w:rsidRPr="00130243">
        <w:rPr>
          <w:rFonts w:cs="Sylfaen"/>
          <w:b w:val="0"/>
          <w:color w:val="000000"/>
          <w:szCs w:val="22"/>
          <w:shd w:val="clear" w:color="auto" w:fill="FFFFFF"/>
        </w:rPr>
        <w:softHyphen/>
      </w:r>
      <w:r w:rsidRPr="00A00B8B">
        <w:rPr>
          <w:rFonts w:cs="Sylfaen"/>
          <w:b w:val="0"/>
          <w:color w:val="000000"/>
          <w:szCs w:val="22"/>
          <w:shd w:val="clear" w:color="auto" w:fill="FFFFFF"/>
          <w:lang w:val="en-US"/>
        </w:rPr>
        <w:t>սա</w:t>
      </w:r>
      <w:r w:rsidRPr="00130243">
        <w:rPr>
          <w:rFonts w:cs="Sylfaen"/>
          <w:b w:val="0"/>
          <w:color w:val="000000"/>
          <w:szCs w:val="22"/>
          <w:shd w:val="clear" w:color="auto" w:fill="FFFFFF"/>
        </w:rPr>
        <w:softHyphen/>
      </w:r>
      <w:r w:rsidRPr="00A00B8B">
        <w:rPr>
          <w:rFonts w:cs="Sylfaen"/>
          <w:b w:val="0"/>
          <w:color w:val="000000"/>
          <w:szCs w:val="22"/>
          <w:shd w:val="clear" w:color="auto" w:fill="FFFFFF"/>
          <w:lang w:val="en-US"/>
        </w:rPr>
        <w:t>վարող</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սուբյեկտների</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համար</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առավել</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նպաստավոր</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հարկային</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միջավայրի</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ձևավորումը</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և</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ազգա</w:t>
      </w:r>
      <w:r w:rsidRPr="00130243">
        <w:rPr>
          <w:rFonts w:cs="Sylfaen"/>
          <w:b w:val="0"/>
          <w:color w:val="000000"/>
          <w:szCs w:val="22"/>
          <w:shd w:val="clear" w:color="auto" w:fill="FFFFFF"/>
        </w:rPr>
        <w:softHyphen/>
      </w:r>
      <w:r w:rsidRPr="00A00B8B">
        <w:rPr>
          <w:rFonts w:cs="Sylfaen"/>
          <w:b w:val="0"/>
          <w:color w:val="000000"/>
          <w:szCs w:val="22"/>
          <w:shd w:val="clear" w:color="auto" w:fill="FFFFFF"/>
          <w:lang w:val="en-US"/>
        </w:rPr>
        <w:t>յին</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տնտեսության</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մրցունակության</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բարձրացումն</w:t>
      </w:r>
      <w:r w:rsidRPr="00130243">
        <w:rPr>
          <w:rFonts w:cs="Sylfaen"/>
          <w:b w:val="0"/>
          <w:color w:val="000000"/>
          <w:szCs w:val="22"/>
          <w:shd w:val="clear" w:color="auto" w:fill="FFFFFF"/>
        </w:rPr>
        <w:t xml:space="preserve"> </w:t>
      </w:r>
      <w:r w:rsidRPr="00A00B8B">
        <w:rPr>
          <w:rFonts w:cs="Sylfaen"/>
          <w:b w:val="0"/>
          <w:color w:val="000000"/>
          <w:szCs w:val="22"/>
          <w:shd w:val="clear" w:color="auto" w:fill="FFFFFF"/>
          <w:lang w:val="en-US"/>
        </w:rPr>
        <w:t>է</w:t>
      </w:r>
      <w:r w:rsidRPr="00A00B8B">
        <w:rPr>
          <w:b w:val="0"/>
          <w:color w:val="000000"/>
          <w:szCs w:val="22"/>
          <w:shd w:val="clear" w:color="auto" w:fill="FFFFFF"/>
        </w:rPr>
        <w:t>:</w:t>
      </w:r>
    </w:p>
    <w:p w:rsidR="00A00B8B" w:rsidRPr="00130243" w:rsidRDefault="00A00B8B" w:rsidP="007730AA">
      <w:pPr>
        <w:shd w:val="clear" w:color="auto" w:fill="FFFFFF"/>
        <w:spacing w:before="0" w:line="276" w:lineRule="auto"/>
        <w:contextualSpacing w:val="0"/>
        <w:rPr>
          <w:rFonts w:cs="Sylfaen"/>
          <w:b w:val="0"/>
          <w:color w:val="000000"/>
          <w:szCs w:val="22"/>
        </w:rPr>
      </w:pPr>
      <w:r w:rsidRPr="00A00B8B">
        <w:rPr>
          <w:rFonts w:cs="Sylfaen"/>
          <w:b w:val="0"/>
          <w:color w:val="000000"/>
          <w:szCs w:val="22"/>
          <w:lang w:val="en-US"/>
        </w:rPr>
        <w:t>Վերոնշյալ</w:t>
      </w:r>
      <w:r w:rsidRPr="00130243">
        <w:rPr>
          <w:rFonts w:cs="Sylfaen"/>
          <w:b w:val="0"/>
          <w:color w:val="000000"/>
          <w:szCs w:val="22"/>
        </w:rPr>
        <w:t xml:space="preserve"> </w:t>
      </w:r>
      <w:r w:rsidRPr="00A00B8B">
        <w:rPr>
          <w:rFonts w:cs="Sylfaen"/>
          <w:b w:val="0"/>
          <w:color w:val="000000"/>
          <w:szCs w:val="22"/>
          <w:lang w:val="en-US"/>
        </w:rPr>
        <w:t>հարկային</w:t>
      </w:r>
      <w:r w:rsidRPr="00130243">
        <w:rPr>
          <w:rFonts w:cs="Sylfaen"/>
          <w:b w:val="0"/>
          <w:color w:val="000000"/>
          <w:szCs w:val="22"/>
        </w:rPr>
        <w:t xml:space="preserve"> </w:t>
      </w:r>
      <w:r w:rsidRPr="00A00B8B">
        <w:rPr>
          <w:rFonts w:cs="Sylfaen"/>
          <w:b w:val="0"/>
          <w:color w:val="000000"/>
          <w:szCs w:val="22"/>
          <w:lang w:val="en-US"/>
        </w:rPr>
        <w:t>արտոնությունների</w:t>
      </w:r>
      <w:r w:rsidRPr="00130243">
        <w:rPr>
          <w:rFonts w:cs="Sylfaen"/>
          <w:b w:val="0"/>
          <w:color w:val="000000"/>
          <w:szCs w:val="22"/>
        </w:rPr>
        <w:t xml:space="preserve"> </w:t>
      </w:r>
      <w:r w:rsidRPr="00A00B8B">
        <w:rPr>
          <w:rFonts w:cs="Sylfaen"/>
          <w:b w:val="0"/>
          <w:color w:val="000000"/>
          <w:szCs w:val="22"/>
          <w:lang w:val="en-US"/>
        </w:rPr>
        <w:t>կիրառության</w:t>
      </w:r>
      <w:r w:rsidRPr="00130243">
        <w:rPr>
          <w:rFonts w:cs="Sylfaen"/>
          <w:b w:val="0"/>
          <w:color w:val="000000"/>
          <w:szCs w:val="22"/>
        </w:rPr>
        <w:t xml:space="preserve"> </w:t>
      </w:r>
      <w:r w:rsidRPr="00A00B8B">
        <w:rPr>
          <w:rFonts w:cs="Sylfaen"/>
          <w:b w:val="0"/>
          <w:color w:val="000000"/>
          <w:szCs w:val="22"/>
          <w:lang w:val="en-US"/>
        </w:rPr>
        <w:t>հետևանքով</w:t>
      </w:r>
      <w:r w:rsidRPr="00130243">
        <w:rPr>
          <w:rFonts w:cs="Sylfaen"/>
          <w:b w:val="0"/>
          <w:color w:val="000000"/>
          <w:szCs w:val="22"/>
        </w:rPr>
        <w:t xml:space="preserve"> </w:t>
      </w:r>
      <w:r w:rsidRPr="00A00B8B">
        <w:rPr>
          <w:rFonts w:cs="Sylfaen"/>
          <w:b w:val="0"/>
          <w:color w:val="000000"/>
          <w:szCs w:val="22"/>
          <w:lang w:val="en-US"/>
        </w:rPr>
        <w:t>առաջացող</w:t>
      </w:r>
      <w:r w:rsidRPr="00130243">
        <w:rPr>
          <w:rFonts w:cs="Sylfaen"/>
          <w:b w:val="0"/>
          <w:color w:val="000000"/>
          <w:szCs w:val="22"/>
        </w:rPr>
        <w:t xml:space="preserve">` </w:t>
      </w:r>
      <w:r w:rsidRPr="00A00B8B">
        <w:rPr>
          <w:rFonts w:cs="Sylfaen"/>
          <w:b w:val="0"/>
          <w:color w:val="000000"/>
          <w:szCs w:val="22"/>
          <w:lang w:val="en-US"/>
        </w:rPr>
        <w:t>հար</w:t>
      </w:r>
      <w:r w:rsidRPr="00130243">
        <w:rPr>
          <w:rFonts w:cs="Sylfaen"/>
          <w:b w:val="0"/>
          <w:color w:val="000000"/>
          <w:szCs w:val="22"/>
        </w:rPr>
        <w:softHyphen/>
      </w:r>
      <w:r w:rsidRPr="00A00B8B">
        <w:rPr>
          <w:rFonts w:cs="Sylfaen"/>
          <w:b w:val="0"/>
          <w:color w:val="000000"/>
          <w:szCs w:val="22"/>
          <w:lang w:val="en-US"/>
        </w:rPr>
        <w:t>կա</w:t>
      </w:r>
      <w:r w:rsidRPr="00130243">
        <w:rPr>
          <w:rFonts w:cs="Sylfaen"/>
          <w:b w:val="0"/>
          <w:color w:val="000000"/>
          <w:szCs w:val="22"/>
        </w:rPr>
        <w:softHyphen/>
      </w:r>
      <w:r w:rsidRPr="00A00B8B">
        <w:rPr>
          <w:rFonts w:cs="Sylfaen"/>
          <w:b w:val="0"/>
          <w:color w:val="000000"/>
          <w:szCs w:val="22"/>
          <w:lang w:val="en-US"/>
        </w:rPr>
        <w:t>յին</w:t>
      </w:r>
      <w:r w:rsidRPr="00130243">
        <w:rPr>
          <w:rFonts w:cs="Sylfaen"/>
          <w:b w:val="0"/>
          <w:color w:val="000000"/>
          <w:szCs w:val="22"/>
        </w:rPr>
        <w:t xml:space="preserve"> </w:t>
      </w:r>
      <w:r w:rsidRPr="00A00B8B">
        <w:rPr>
          <w:rFonts w:cs="Sylfaen"/>
          <w:b w:val="0"/>
          <w:color w:val="000000"/>
          <w:szCs w:val="22"/>
          <w:lang w:val="en-US"/>
        </w:rPr>
        <w:t>եկամուտների</w:t>
      </w:r>
      <w:r w:rsidRPr="00130243">
        <w:rPr>
          <w:rFonts w:cs="Sylfaen"/>
          <w:b w:val="0"/>
          <w:color w:val="000000"/>
          <w:szCs w:val="22"/>
        </w:rPr>
        <w:t xml:space="preserve"> </w:t>
      </w:r>
      <w:r w:rsidRPr="00A00B8B">
        <w:rPr>
          <w:rFonts w:cs="Sylfaen"/>
          <w:b w:val="0"/>
          <w:color w:val="000000"/>
          <w:szCs w:val="22"/>
          <w:lang w:val="en-US"/>
        </w:rPr>
        <w:t>կորստի</w:t>
      </w:r>
      <w:r w:rsidRPr="00130243">
        <w:rPr>
          <w:rFonts w:cs="Sylfaen"/>
          <w:b w:val="0"/>
          <w:color w:val="000000"/>
          <w:szCs w:val="22"/>
        </w:rPr>
        <w:t xml:space="preserve">` </w:t>
      </w:r>
      <w:r w:rsidRPr="00A00B8B">
        <w:rPr>
          <w:rFonts w:cs="Sylfaen"/>
          <w:b w:val="0"/>
          <w:color w:val="000000"/>
          <w:szCs w:val="22"/>
          <w:lang w:val="en-US"/>
        </w:rPr>
        <w:t>հարկային</w:t>
      </w:r>
      <w:r w:rsidRPr="00130243">
        <w:rPr>
          <w:rFonts w:cs="Sylfaen"/>
          <w:b w:val="0"/>
          <w:color w:val="000000"/>
          <w:szCs w:val="22"/>
        </w:rPr>
        <w:t xml:space="preserve"> </w:t>
      </w:r>
      <w:r w:rsidRPr="00A00B8B">
        <w:rPr>
          <w:rFonts w:cs="Sylfaen"/>
          <w:b w:val="0"/>
          <w:color w:val="000000"/>
          <w:szCs w:val="22"/>
          <w:lang w:val="en-US"/>
        </w:rPr>
        <w:t>ծախսերի</w:t>
      </w:r>
      <w:r w:rsidRPr="00130243">
        <w:rPr>
          <w:rFonts w:cs="Sylfaen"/>
          <w:b w:val="0"/>
          <w:color w:val="000000"/>
          <w:szCs w:val="22"/>
        </w:rPr>
        <w:t xml:space="preserve"> </w:t>
      </w:r>
      <w:r w:rsidRPr="00A00B8B">
        <w:rPr>
          <w:rFonts w:cs="Sylfaen"/>
          <w:b w:val="0"/>
          <w:color w:val="000000"/>
          <w:szCs w:val="22"/>
          <w:lang w:val="en-US"/>
        </w:rPr>
        <w:t>գնահատման</w:t>
      </w:r>
      <w:r w:rsidRPr="00130243">
        <w:rPr>
          <w:rFonts w:cs="Sylfaen"/>
          <w:b w:val="0"/>
          <w:color w:val="000000"/>
          <w:szCs w:val="22"/>
        </w:rPr>
        <w:t xml:space="preserve"> </w:t>
      </w:r>
      <w:r w:rsidRPr="00A00B8B">
        <w:rPr>
          <w:rFonts w:cs="Sylfaen"/>
          <w:b w:val="0"/>
          <w:color w:val="000000"/>
          <w:szCs w:val="22"/>
          <w:lang w:val="en-US"/>
        </w:rPr>
        <w:t>հաշվետվությունների</w:t>
      </w:r>
      <w:r w:rsidRPr="00130243">
        <w:rPr>
          <w:rFonts w:cs="Sylfaen"/>
          <w:b w:val="0"/>
          <w:color w:val="000000"/>
          <w:szCs w:val="22"/>
        </w:rPr>
        <w:t xml:space="preserve"> </w:t>
      </w:r>
      <w:r w:rsidRPr="00A00B8B">
        <w:rPr>
          <w:rFonts w:cs="Sylfaen"/>
          <w:b w:val="0"/>
          <w:color w:val="000000"/>
          <w:szCs w:val="22"/>
          <w:lang w:val="en-US"/>
        </w:rPr>
        <w:t>կազ</w:t>
      </w:r>
      <w:r w:rsidRPr="00130243">
        <w:rPr>
          <w:rFonts w:cs="Sylfaen"/>
          <w:b w:val="0"/>
          <w:color w:val="000000"/>
          <w:szCs w:val="22"/>
        </w:rPr>
        <w:softHyphen/>
      </w:r>
      <w:r w:rsidRPr="00A00B8B">
        <w:rPr>
          <w:rFonts w:cs="Sylfaen"/>
          <w:b w:val="0"/>
          <w:color w:val="000000"/>
          <w:szCs w:val="22"/>
          <w:lang w:val="en-US"/>
        </w:rPr>
        <w:t>մումը</w:t>
      </w:r>
      <w:r w:rsidRPr="00130243">
        <w:rPr>
          <w:rFonts w:cs="Sylfaen"/>
          <w:b w:val="0"/>
          <w:color w:val="000000"/>
          <w:szCs w:val="22"/>
        </w:rPr>
        <w:t xml:space="preserve">, </w:t>
      </w:r>
      <w:r w:rsidRPr="00A00B8B">
        <w:rPr>
          <w:rFonts w:cs="Sylfaen"/>
          <w:b w:val="0"/>
          <w:color w:val="000000"/>
          <w:szCs w:val="22"/>
          <w:lang w:val="en-US"/>
        </w:rPr>
        <w:t>ներկայացումը</w:t>
      </w:r>
      <w:r w:rsidRPr="00130243">
        <w:rPr>
          <w:rFonts w:cs="Sylfaen"/>
          <w:b w:val="0"/>
          <w:color w:val="000000"/>
          <w:szCs w:val="22"/>
        </w:rPr>
        <w:t xml:space="preserve"> </w:t>
      </w:r>
      <w:r w:rsidRPr="00A00B8B">
        <w:rPr>
          <w:rFonts w:cs="Sylfaen"/>
          <w:b w:val="0"/>
          <w:color w:val="000000"/>
          <w:szCs w:val="22"/>
          <w:lang w:val="en-US"/>
        </w:rPr>
        <w:t>և</w:t>
      </w:r>
      <w:r w:rsidRPr="00130243">
        <w:rPr>
          <w:rFonts w:cs="Sylfaen"/>
          <w:b w:val="0"/>
          <w:color w:val="000000"/>
          <w:szCs w:val="22"/>
        </w:rPr>
        <w:t xml:space="preserve"> </w:t>
      </w:r>
      <w:r w:rsidRPr="00A00B8B">
        <w:rPr>
          <w:rFonts w:cs="Sylfaen"/>
          <w:b w:val="0"/>
          <w:color w:val="000000"/>
          <w:szCs w:val="22"/>
          <w:lang w:val="en-US"/>
        </w:rPr>
        <w:t>գոր</w:t>
      </w:r>
      <w:r w:rsidRPr="00130243">
        <w:rPr>
          <w:rFonts w:cs="Sylfaen"/>
          <w:b w:val="0"/>
          <w:color w:val="000000"/>
          <w:szCs w:val="22"/>
        </w:rPr>
        <w:softHyphen/>
      </w:r>
      <w:r w:rsidRPr="00A00B8B">
        <w:rPr>
          <w:rFonts w:cs="Sylfaen"/>
          <w:b w:val="0"/>
          <w:color w:val="000000"/>
          <w:szCs w:val="22"/>
          <w:lang w:val="en-US"/>
        </w:rPr>
        <w:t>ծադիր</w:t>
      </w:r>
      <w:r w:rsidRPr="00130243">
        <w:rPr>
          <w:rFonts w:cs="Sylfaen"/>
          <w:b w:val="0"/>
          <w:color w:val="000000"/>
          <w:szCs w:val="22"/>
        </w:rPr>
        <w:t xml:space="preserve"> </w:t>
      </w:r>
      <w:r w:rsidRPr="00A00B8B">
        <w:rPr>
          <w:rFonts w:cs="Sylfaen"/>
          <w:b w:val="0"/>
          <w:color w:val="000000"/>
          <w:szCs w:val="22"/>
          <w:lang w:val="en-US"/>
        </w:rPr>
        <w:t>ու</w:t>
      </w:r>
      <w:r w:rsidRPr="00130243">
        <w:rPr>
          <w:rFonts w:cs="Sylfaen"/>
          <w:b w:val="0"/>
          <w:color w:val="000000"/>
          <w:szCs w:val="22"/>
        </w:rPr>
        <w:t xml:space="preserve"> </w:t>
      </w:r>
      <w:r w:rsidRPr="00A00B8B">
        <w:rPr>
          <w:rFonts w:cs="Sylfaen"/>
          <w:b w:val="0"/>
          <w:color w:val="000000"/>
          <w:szCs w:val="22"/>
          <w:lang w:val="en-US"/>
        </w:rPr>
        <w:t>օրենսդիր</w:t>
      </w:r>
      <w:r w:rsidRPr="00130243">
        <w:rPr>
          <w:rFonts w:cs="Sylfaen"/>
          <w:b w:val="0"/>
          <w:color w:val="000000"/>
          <w:szCs w:val="22"/>
        </w:rPr>
        <w:t xml:space="preserve"> </w:t>
      </w:r>
      <w:r w:rsidRPr="00A00B8B">
        <w:rPr>
          <w:rFonts w:cs="Sylfaen"/>
          <w:b w:val="0"/>
          <w:color w:val="000000"/>
          <w:szCs w:val="22"/>
          <w:lang w:val="en-US"/>
        </w:rPr>
        <w:t>իշխանության</w:t>
      </w:r>
      <w:r w:rsidRPr="00130243">
        <w:rPr>
          <w:rFonts w:cs="Sylfaen"/>
          <w:b w:val="0"/>
          <w:color w:val="000000"/>
          <w:szCs w:val="22"/>
        </w:rPr>
        <w:t xml:space="preserve"> </w:t>
      </w:r>
      <w:r w:rsidRPr="00A00B8B">
        <w:rPr>
          <w:rFonts w:cs="Sylfaen"/>
          <w:b w:val="0"/>
          <w:color w:val="000000"/>
          <w:szCs w:val="22"/>
          <w:lang w:val="en-US"/>
        </w:rPr>
        <w:t>մարմիններում</w:t>
      </w:r>
      <w:r w:rsidRPr="00130243">
        <w:rPr>
          <w:rFonts w:cs="Sylfaen"/>
          <w:b w:val="0"/>
          <w:color w:val="000000"/>
          <w:szCs w:val="22"/>
        </w:rPr>
        <w:t xml:space="preserve"> </w:t>
      </w:r>
      <w:r w:rsidRPr="00A00B8B">
        <w:rPr>
          <w:rFonts w:cs="Sylfaen"/>
          <w:b w:val="0"/>
          <w:color w:val="000000"/>
          <w:szCs w:val="22"/>
          <w:lang w:val="en-US"/>
        </w:rPr>
        <w:t>դրանց</w:t>
      </w:r>
      <w:r w:rsidRPr="00130243">
        <w:rPr>
          <w:rFonts w:cs="Sylfaen"/>
          <w:b w:val="0"/>
          <w:color w:val="000000"/>
          <w:szCs w:val="22"/>
        </w:rPr>
        <w:t xml:space="preserve"> </w:t>
      </w:r>
      <w:r w:rsidRPr="00A00B8B">
        <w:rPr>
          <w:rFonts w:cs="Sylfaen"/>
          <w:b w:val="0"/>
          <w:color w:val="000000"/>
          <w:szCs w:val="22"/>
          <w:lang w:val="en-US"/>
        </w:rPr>
        <w:t>քննար</w:t>
      </w:r>
      <w:r w:rsidRPr="00130243">
        <w:rPr>
          <w:rFonts w:cs="Sylfaen"/>
          <w:b w:val="0"/>
          <w:color w:val="000000"/>
          <w:szCs w:val="22"/>
        </w:rPr>
        <w:softHyphen/>
      </w:r>
      <w:r w:rsidRPr="00A00B8B">
        <w:rPr>
          <w:rFonts w:cs="Sylfaen"/>
          <w:b w:val="0"/>
          <w:color w:val="000000"/>
          <w:szCs w:val="22"/>
          <w:lang w:val="en-US"/>
        </w:rPr>
        <w:t>կումը</w:t>
      </w:r>
      <w:r w:rsidRPr="00130243">
        <w:rPr>
          <w:rFonts w:cs="Sylfaen"/>
          <w:b w:val="0"/>
          <w:color w:val="000000"/>
          <w:szCs w:val="22"/>
        </w:rPr>
        <w:t xml:space="preserve"> </w:t>
      </w:r>
      <w:r w:rsidRPr="00A00B8B">
        <w:rPr>
          <w:rFonts w:cs="Sylfaen"/>
          <w:b w:val="0"/>
          <w:color w:val="000000"/>
          <w:szCs w:val="22"/>
          <w:lang w:val="en-US"/>
        </w:rPr>
        <w:t>կարևոր</w:t>
      </w:r>
      <w:r w:rsidRPr="00130243">
        <w:rPr>
          <w:rFonts w:cs="Sylfaen"/>
          <w:b w:val="0"/>
          <w:color w:val="000000"/>
          <w:szCs w:val="22"/>
        </w:rPr>
        <w:t xml:space="preserve"> </w:t>
      </w:r>
      <w:r w:rsidRPr="00A00B8B">
        <w:rPr>
          <w:rFonts w:cs="Sylfaen"/>
          <w:b w:val="0"/>
          <w:color w:val="000000"/>
          <w:szCs w:val="22"/>
          <w:lang w:val="en-US"/>
        </w:rPr>
        <w:t>քայլ</w:t>
      </w:r>
      <w:r w:rsidRPr="00130243">
        <w:rPr>
          <w:rFonts w:cs="Sylfaen"/>
          <w:b w:val="0"/>
          <w:color w:val="000000"/>
          <w:szCs w:val="22"/>
        </w:rPr>
        <w:t xml:space="preserve"> </w:t>
      </w:r>
      <w:r w:rsidRPr="00A00B8B">
        <w:rPr>
          <w:rFonts w:cs="Sylfaen"/>
          <w:b w:val="0"/>
          <w:color w:val="000000"/>
          <w:szCs w:val="22"/>
          <w:lang w:val="en-US"/>
        </w:rPr>
        <w:t>է</w:t>
      </w:r>
      <w:r w:rsidRPr="00130243">
        <w:rPr>
          <w:rFonts w:cs="Sylfaen"/>
          <w:b w:val="0"/>
          <w:color w:val="000000"/>
          <w:szCs w:val="22"/>
        </w:rPr>
        <w:t xml:space="preserve"> </w:t>
      </w:r>
      <w:r w:rsidRPr="00A00B8B">
        <w:rPr>
          <w:rFonts w:cs="Sylfaen"/>
          <w:b w:val="0"/>
          <w:color w:val="000000"/>
          <w:szCs w:val="22"/>
          <w:lang w:val="en-US"/>
        </w:rPr>
        <w:t>հար</w:t>
      </w:r>
      <w:r w:rsidRPr="00130243">
        <w:rPr>
          <w:rFonts w:cs="Sylfaen"/>
          <w:b w:val="0"/>
          <w:color w:val="000000"/>
          <w:szCs w:val="22"/>
        </w:rPr>
        <w:softHyphen/>
      </w:r>
      <w:r w:rsidRPr="00A00B8B">
        <w:rPr>
          <w:rFonts w:cs="Sylfaen"/>
          <w:b w:val="0"/>
          <w:color w:val="000000"/>
          <w:szCs w:val="22"/>
          <w:lang w:val="en-US"/>
        </w:rPr>
        <w:t>կային</w:t>
      </w:r>
      <w:r w:rsidRPr="00130243">
        <w:rPr>
          <w:rFonts w:cs="Sylfaen"/>
          <w:b w:val="0"/>
          <w:color w:val="000000"/>
          <w:szCs w:val="22"/>
        </w:rPr>
        <w:t xml:space="preserve"> </w:t>
      </w:r>
      <w:r w:rsidRPr="00A00B8B">
        <w:rPr>
          <w:rFonts w:cs="Sylfaen"/>
          <w:b w:val="0"/>
          <w:color w:val="000000"/>
          <w:szCs w:val="22"/>
          <w:lang w:val="en-US"/>
        </w:rPr>
        <w:t>արտոնությունների</w:t>
      </w:r>
      <w:r w:rsidRPr="00130243">
        <w:rPr>
          <w:rFonts w:cs="Sylfaen"/>
          <w:b w:val="0"/>
          <w:color w:val="000000"/>
          <w:szCs w:val="22"/>
        </w:rPr>
        <w:t xml:space="preserve"> </w:t>
      </w:r>
      <w:r w:rsidRPr="00A00B8B">
        <w:rPr>
          <w:rFonts w:cs="Sylfaen"/>
          <w:b w:val="0"/>
          <w:color w:val="000000"/>
          <w:szCs w:val="22"/>
          <w:lang w:val="en-US"/>
        </w:rPr>
        <w:t>շրջանակի</w:t>
      </w:r>
      <w:r w:rsidRPr="00130243">
        <w:rPr>
          <w:rFonts w:cs="Sylfaen"/>
          <w:b w:val="0"/>
          <w:color w:val="000000"/>
          <w:szCs w:val="22"/>
        </w:rPr>
        <w:t xml:space="preserve"> </w:t>
      </w:r>
      <w:r w:rsidRPr="00A00B8B">
        <w:rPr>
          <w:rFonts w:cs="Sylfaen"/>
          <w:b w:val="0"/>
          <w:color w:val="000000"/>
          <w:szCs w:val="22"/>
          <w:lang w:val="en-US"/>
        </w:rPr>
        <w:t>հնարավոր</w:t>
      </w:r>
      <w:r w:rsidRPr="00130243">
        <w:rPr>
          <w:rFonts w:cs="Sylfaen"/>
          <w:b w:val="0"/>
          <w:color w:val="000000"/>
          <w:szCs w:val="22"/>
        </w:rPr>
        <w:t xml:space="preserve"> </w:t>
      </w:r>
      <w:r w:rsidRPr="00A00B8B">
        <w:rPr>
          <w:rFonts w:cs="Sylfaen"/>
          <w:b w:val="0"/>
          <w:color w:val="000000"/>
          <w:szCs w:val="22"/>
          <w:lang w:val="en-US"/>
        </w:rPr>
        <w:t>վերանայման</w:t>
      </w:r>
      <w:r w:rsidRPr="00130243">
        <w:rPr>
          <w:rFonts w:cs="Sylfaen"/>
          <w:b w:val="0"/>
          <w:color w:val="000000"/>
          <w:szCs w:val="22"/>
        </w:rPr>
        <w:t xml:space="preserve"> </w:t>
      </w:r>
      <w:r w:rsidRPr="00A00B8B">
        <w:rPr>
          <w:rFonts w:cs="Sylfaen"/>
          <w:b w:val="0"/>
          <w:color w:val="000000"/>
          <w:szCs w:val="22"/>
          <w:lang w:val="en-US"/>
        </w:rPr>
        <w:t>քաղաքականության</w:t>
      </w:r>
      <w:r w:rsidRPr="00130243">
        <w:rPr>
          <w:rFonts w:cs="Sylfaen"/>
          <w:b w:val="0"/>
          <w:color w:val="000000"/>
          <w:szCs w:val="22"/>
        </w:rPr>
        <w:t xml:space="preserve"> </w:t>
      </w:r>
      <w:r w:rsidRPr="00A00B8B">
        <w:rPr>
          <w:rFonts w:cs="Sylfaen"/>
          <w:b w:val="0"/>
          <w:color w:val="000000"/>
          <w:szCs w:val="22"/>
          <w:lang w:val="en-US"/>
        </w:rPr>
        <w:t>իրա</w:t>
      </w:r>
      <w:r w:rsidRPr="00130243">
        <w:rPr>
          <w:rFonts w:cs="Sylfaen"/>
          <w:b w:val="0"/>
          <w:color w:val="000000"/>
          <w:szCs w:val="22"/>
        </w:rPr>
        <w:softHyphen/>
      </w:r>
      <w:r w:rsidRPr="00A00B8B">
        <w:rPr>
          <w:rFonts w:cs="Sylfaen"/>
          <w:b w:val="0"/>
          <w:color w:val="000000"/>
          <w:szCs w:val="22"/>
          <w:lang w:val="en-US"/>
        </w:rPr>
        <w:t>կանացման</w:t>
      </w:r>
      <w:r w:rsidRPr="00130243">
        <w:rPr>
          <w:rFonts w:cs="Sylfaen"/>
          <w:b w:val="0"/>
          <w:color w:val="000000"/>
          <w:szCs w:val="22"/>
        </w:rPr>
        <w:t xml:space="preserve"> </w:t>
      </w:r>
      <w:r w:rsidRPr="00A00B8B">
        <w:rPr>
          <w:rFonts w:cs="Sylfaen"/>
          <w:b w:val="0"/>
          <w:color w:val="000000"/>
          <w:szCs w:val="22"/>
          <w:lang w:val="en-US"/>
        </w:rPr>
        <w:t>ճանապարհին</w:t>
      </w:r>
      <w:r w:rsidRPr="00130243">
        <w:rPr>
          <w:rFonts w:cs="Sylfaen"/>
          <w:b w:val="0"/>
          <w:color w:val="000000"/>
          <w:szCs w:val="22"/>
        </w:rPr>
        <w:t>:</w:t>
      </w:r>
    </w:p>
    <w:p w:rsidR="00A00B8B" w:rsidRPr="00A00B8B" w:rsidRDefault="00A00B8B" w:rsidP="007730AA">
      <w:pPr>
        <w:shd w:val="clear" w:color="auto" w:fill="FFFFFF"/>
        <w:spacing w:before="0" w:line="276" w:lineRule="auto"/>
        <w:contextualSpacing w:val="0"/>
        <w:rPr>
          <w:b w:val="0"/>
          <w:color w:val="000000"/>
          <w:szCs w:val="22"/>
        </w:rPr>
      </w:pPr>
      <w:r w:rsidRPr="00A00B8B">
        <w:rPr>
          <w:rFonts w:cs="Sylfaen"/>
          <w:b w:val="0"/>
          <w:color w:val="000000"/>
          <w:szCs w:val="22"/>
          <w:lang w:val="en-US"/>
        </w:rPr>
        <w:t>Այս</w:t>
      </w:r>
      <w:r w:rsidRPr="00130243">
        <w:rPr>
          <w:rFonts w:cs="Sylfaen"/>
          <w:b w:val="0"/>
          <w:color w:val="000000"/>
          <w:szCs w:val="22"/>
        </w:rPr>
        <w:t xml:space="preserve"> </w:t>
      </w:r>
      <w:r w:rsidRPr="00A00B8B">
        <w:rPr>
          <w:rFonts w:cs="Sylfaen"/>
          <w:b w:val="0"/>
          <w:color w:val="000000"/>
          <w:szCs w:val="22"/>
          <w:lang w:val="en-US"/>
        </w:rPr>
        <w:t>իմաստով</w:t>
      </w:r>
      <w:r w:rsidRPr="00130243">
        <w:rPr>
          <w:rFonts w:cs="Sylfaen"/>
          <w:b w:val="0"/>
          <w:color w:val="000000"/>
          <w:szCs w:val="22"/>
        </w:rPr>
        <w:t xml:space="preserve">, </w:t>
      </w:r>
      <w:r w:rsidRPr="00A00B8B">
        <w:rPr>
          <w:rFonts w:cs="Sylfaen"/>
          <w:b w:val="0"/>
          <w:color w:val="000000"/>
          <w:szCs w:val="22"/>
          <w:lang w:val="en-US"/>
        </w:rPr>
        <w:t>ա</w:t>
      </w:r>
      <w:r w:rsidRPr="00A00B8B">
        <w:rPr>
          <w:rFonts w:cs="Sylfaen"/>
          <w:b w:val="0"/>
          <w:color w:val="000000"/>
          <w:szCs w:val="22"/>
        </w:rPr>
        <w:t>ռաջիկա</w:t>
      </w:r>
      <w:r w:rsidRPr="00A00B8B">
        <w:rPr>
          <w:b w:val="0"/>
          <w:color w:val="000000"/>
          <w:szCs w:val="22"/>
        </w:rPr>
        <w:t xml:space="preserve"> </w:t>
      </w:r>
      <w:r w:rsidRPr="00A00B8B">
        <w:rPr>
          <w:rFonts w:cs="Sylfaen"/>
          <w:b w:val="0"/>
          <w:color w:val="000000"/>
          <w:szCs w:val="22"/>
        </w:rPr>
        <w:t>տարիներին</w:t>
      </w:r>
      <w:r w:rsidRPr="00130243">
        <w:rPr>
          <w:rFonts w:cs="Sylfaen"/>
          <w:b w:val="0"/>
          <w:color w:val="000000"/>
          <w:szCs w:val="22"/>
        </w:rPr>
        <w:t xml:space="preserve"> </w:t>
      </w:r>
      <w:r w:rsidRPr="00A00B8B">
        <w:rPr>
          <w:rFonts w:cs="Sylfaen"/>
          <w:b w:val="0"/>
          <w:color w:val="000000"/>
          <w:szCs w:val="22"/>
        </w:rPr>
        <w:t>հարկային</w:t>
      </w:r>
      <w:r w:rsidRPr="00130243">
        <w:rPr>
          <w:rFonts w:cs="Sylfaen"/>
          <w:b w:val="0"/>
          <w:color w:val="000000"/>
          <w:szCs w:val="22"/>
        </w:rPr>
        <w:t xml:space="preserve"> </w:t>
      </w:r>
      <w:r w:rsidRPr="00A00B8B">
        <w:rPr>
          <w:rFonts w:cs="Sylfaen"/>
          <w:b w:val="0"/>
          <w:color w:val="000000"/>
          <w:szCs w:val="22"/>
        </w:rPr>
        <w:t>ծախսերի</w:t>
      </w:r>
      <w:r w:rsidRPr="00130243">
        <w:rPr>
          <w:rFonts w:cs="Sylfaen"/>
          <w:b w:val="0"/>
          <w:color w:val="000000"/>
          <w:szCs w:val="22"/>
        </w:rPr>
        <w:t xml:space="preserve"> </w:t>
      </w:r>
      <w:r w:rsidRPr="00A00B8B">
        <w:rPr>
          <w:rFonts w:cs="Sylfaen"/>
          <w:b w:val="0"/>
          <w:color w:val="000000"/>
          <w:szCs w:val="22"/>
        </w:rPr>
        <w:t>նման</w:t>
      </w:r>
      <w:r w:rsidRPr="00130243">
        <w:rPr>
          <w:rFonts w:cs="Sylfaen"/>
          <w:b w:val="0"/>
          <w:color w:val="000000"/>
          <w:szCs w:val="22"/>
        </w:rPr>
        <w:t xml:space="preserve"> </w:t>
      </w:r>
      <w:r w:rsidRPr="00A00B8B">
        <w:rPr>
          <w:rFonts w:cs="Sylfaen"/>
          <w:b w:val="0"/>
          <w:color w:val="000000"/>
          <w:szCs w:val="22"/>
        </w:rPr>
        <w:t>գնահատականները</w:t>
      </w:r>
      <w:r w:rsidRPr="00130243">
        <w:rPr>
          <w:rFonts w:cs="Sylfaen"/>
          <w:b w:val="0"/>
          <w:color w:val="000000"/>
          <w:szCs w:val="22"/>
        </w:rPr>
        <w:t xml:space="preserve"> </w:t>
      </w:r>
      <w:r w:rsidRPr="00A00B8B">
        <w:rPr>
          <w:rFonts w:cs="Sylfaen"/>
          <w:b w:val="0"/>
          <w:color w:val="000000"/>
          <w:szCs w:val="22"/>
        </w:rPr>
        <w:t>հիմք</w:t>
      </w:r>
      <w:r w:rsidRPr="00130243">
        <w:rPr>
          <w:rFonts w:cs="Sylfaen"/>
          <w:b w:val="0"/>
          <w:color w:val="000000"/>
          <w:szCs w:val="22"/>
        </w:rPr>
        <w:t xml:space="preserve"> </w:t>
      </w:r>
      <w:r w:rsidRPr="00A00B8B">
        <w:rPr>
          <w:rFonts w:cs="Sylfaen"/>
          <w:b w:val="0"/>
          <w:color w:val="000000"/>
          <w:szCs w:val="22"/>
        </w:rPr>
        <w:t>են</w:t>
      </w:r>
      <w:r w:rsidRPr="00130243">
        <w:rPr>
          <w:rFonts w:cs="Sylfaen"/>
          <w:b w:val="0"/>
          <w:color w:val="000000"/>
          <w:szCs w:val="22"/>
        </w:rPr>
        <w:t xml:space="preserve"> </w:t>
      </w:r>
      <w:r w:rsidRPr="00A00B8B">
        <w:rPr>
          <w:rFonts w:cs="Sylfaen"/>
          <w:b w:val="0"/>
          <w:color w:val="000000"/>
          <w:szCs w:val="22"/>
        </w:rPr>
        <w:t>հանդիսանալու</w:t>
      </w:r>
      <w:r w:rsidRPr="00130243">
        <w:rPr>
          <w:rFonts w:cs="Sylfaen"/>
          <w:b w:val="0"/>
          <w:color w:val="000000"/>
          <w:szCs w:val="22"/>
        </w:rPr>
        <w:t xml:space="preserve"> </w:t>
      </w:r>
      <w:r w:rsidRPr="00A00B8B">
        <w:rPr>
          <w:rFonts w:cs="Sylfaen"/>
          <w:b w:val="0"/>
          <w:color w:val="000000"/>
          <w:szCs w:val="22"/>
        </w:rPr>
        <w:t>հարկային</w:t>
      </w:r>
      <w:r w:rsidRPr="00130243">
        <w:rPr>
          <w:rFonts w:cs="Sylfaen"/>
          <w:b w:val="0"/>
          <w:color w:val="000000"/>
          <w:szCs w:val="22"/>
        </w:rPr>
        <w:t xml:space="preserve"> </w:t>
      </w:r>
      <w:r w:rsidRPr="00A00B8B">
        <w:rPr>
          <w:rFonts w:cs="Sylfaen"/>
          <w:b w:val="0"/>
          <w:color w:val="000000"/>
          <w:szCs w:val="22"/>
        </w:rPr>
        <w:t>արտոնությունների</w:t>
      </w:r>
      <w:r w:rsidRPr="00130243">
        <w:rPr>
          <w:rFonts w:cs="Sylfaen"/>
          <w:b w:val="0"/>
          <w:color w:val="000000"/>
          <w:szCs w:val="22"/>
        </w:rPr>
        <w:t xml:space="preserve"> </w:t>
      </w:r>
      <w:r w:rsidRPr="00A00B8B">
        <w:rPr>
          <w:rFonts w:cs="Sylfaen"/>
          <w:b w:val="0"/>
          <w:color w:val="000000"/>
          <w:szCs w:val="22"/>
        </w:rPr>
        <w:t>շրջանակի</w:t>
      </w:r>
      <w:r w:rsidRPr="00130243">
        <w:rPr>
          <w:rFonts w:cs="Sylfaen"/>
          <w:b w:val="0"/>
          <w:color w:val="000000"/>
          <w:szCs w:val="22"/>
        </w:rPr>
        <w:t xml:space="preserve"> </w:t>
      </w:r>
      <w:r w:rsidRPr="00A00B8B">
        <w:rPr>
          <w:rFonts w:cs="Sylfaen"/>
          <w:b w:val="0"/>
          <w:color w:val="000000"/>
          <w:szCs w:val="22"/>
        </w:rPr>
        <w:t>վերանայման</w:t>
      </w:r>
      <w:r w:rsidRPr="00130243">
        <w:rPr>
          <w:rFonts w:cs="Sylfaen"/>
          <w:b w:val="0"/>
          <w:color w:val="000000"/>
          <w:szCs w:val="22"/>
        </w:rPr>
        <w:t>,</w:t>
      </w:r>
      <w:r w:rsidRPr="00A00B8B">
        <w:rPr>
          <w:b w:val="0"/>
          <w:color w:val="000000"/>
          <w:szCs w:val="22"/>
        </w:rPr>
        <w:t xml:space="preserve"> </w:t>
      </w:r>
      <w:r w:rsidRPr="00A00B8B">
        <w:rPr>
          <w:rFonts w:cs="Sylfaen"/>
          <w:b w:val="0"/>
          <w:color w:val="000000"/>
          <w:szCs w:val="22"/>
        </w:rPr>
        <w:t>հարկման</w:t>
      </w:r>
      <w:r w:rsidRPr="00A00B8B">
        <w:rPr>
          <w:b w:val="0"/>
          <w:color w:val="000000"/>
          <w:szCs w:val="22"/>
        </w:rPr>
        <w:t xml:space="preserve"> </w:t>
      </w:r>
      <w:r w:rsidRPr="00A00B8B">
        <w:rPr>
          <w:rFonts w:cs="Sylfaen"/>
          <w:b w:val="0"/>
          <w:color w:val="000000"/>
          <w:szCs w:val="22"/>
        </w:rPr>
        <w:t>բազայի</w:t>
      </w:r>
      <w:r w:rsidRPr="00A00B8B">
        <w:rPr>
          <w:b w:val="0"/>
          <w:color w:val="000000"/>
          <w:szCs w:val="22"/>
        </w:rPr>
        <w:t xml:space="preserve"> </w:t>
      </w:r>
      <w:r w:rsidRPr="00A00B8B">
        <w:rPr>
          <w:rFonts w:cs="Sylfaen"/>
          <w:b w:val="0"/>
          <w:color w:val="000000"/>
          <w:szCs w:val="22"/>
        </w:rPr>
        <w:t>ընդլայնման</w:t>
      </w:r>
      <w:r w:rsidRPr="00A00B8B">
        <w:rPr>
          <w:b w:val="0"/>
          <w:color w:val="000000"/>
          <w:szCs w:val="22"/>
        </w:rPr>
        <w:t xml:space="preserve"> </w:t>
      </w:r>
      <w:r w:rsidRPr="00A00B8B">
        <w:rPr>
          <w:rFonts w:cs="Sylfaen"/>
          <w:b w:val="0"/>
          <w:color w:val="000000"/>
          <w:szCs w:val="22"/>
        </w:rPr>
        <w:t>ու</w:t>
      </w:r>
      <w:r w:rsidRPr="00A00B8B">
        <w:rPr>
          <w:b w:val="0"/>
          <w:color w:val="000000"/>
          <w:szCs w:val="22"/>
        </w:rPr>
        <w:t xml:space="preserve"> </w:t>
      </w:r>
      <w:r w:rsidRPr="00A00B8B">
        <w:rPr>
          <w:rFonts w:cs="Sylfaen"/>
          <w:b w:val="0"/>
          <w:color w:val="000000"/>
          <w:szCs w:val="22"/>
        </w:rPr>
        <w:t>ամրապնդման</w:t>
      </w:r>
      <w:r w:rsidRPr="00130243">
        <w:rPr>
          <w:rFonts w:cs="Sylfaen"/>
          <w:b w:val="0"/>
          <w:color w:val="000000"/>
          <w:szCs w:val="22"/>
        </w:rPr>
        <w:t xml:space="preserve"> </w:t>
      </w:r>
      <w:r w:rsidRPr="00A00B8B">
        <w:rPr>
          <w:rFonts w:cs="Sylfaen"/>
          <w:b w:val="0"/>
          <w:color w:val="000000"/>
          <w:szCs w:val="22"/>
        </w:rPr>
        <w:t>քաղաքականություն</w:t>
      </w:r>
      <w:r w:rsidRPr="00130243">
        <w:rPr>
          <w:rFonts w:cs="Sylfaen"/>
          <w:b w:val="0"/>
          <w:color w:val="000000"/>
          <w:szCs w:val="22"/>
        </w:rPr>
        <w:t xml:space="preserve"> </w:t>
      </w:r>
      <w:r w:rsidRPr="00A00B8B">
        <w:rPr>
          <w:rFonts w:cs="Sylfaen"/>
          <w:b w:val="0"/>
          <w:color w:val="000000"/>
          <w:szCs w:val="22"/>
        </w:rPr>
        <w:t>իրականացնելու</w:t>
      </w:r>
      <w:r w:rsidRPr="00130243">
        <w:rPr>
          <w:rFonts w:cs="Sylfaen"/>
          <w:b w:val="0"/>
          <w:color w:val="000000"/>
          <w:szCs w:val="22"/>
        </w:rPr>
        <w:t xml:space="preserve"> </w:t>
      </w:r>
      <w:r w:rsidRPr="00A00B8B">
        <w:rPr>
          <w:rFonts w:cs="Sylfaen"/>
          <w:b w:val="0"/>
          <w:color w:val="000000"/>
          <w:szCs w:val="22"/>
        </w:rPr>
        <w:t>համար</w:t>
      </w:r>
      <w:r w:rsidRPr="00A00B8B">
        <w:rPr>
          <w:b w:val="0"/>
          <w:color w:val="000000"/>
          <w:szCs w:val="22"/>
        </w:rPr>
        <w:t xml:space="preserve">, </w:t>
      </w:r>
      <w:r w:rsidRPr="00A00B8B">
        <w:rPr>
          <w:rFonts w:cs="Sylfaen"/>
          <w:b w:val="0"/>
          <w:color w:val="000000"/>
          <w:szCs w:val="22"/>
        </w:rPr>
        <w:t>ինչը</w:t>
      </w:r>
      <w:r w:rsidRPr="00A00B8B">
        <w:rPr>
          <w:b w:val="0"/>
          <w:color w:val="000000"/>
          <w:szCs w:val="22"/>
        </w:rPr>
        <w:t xml:space="preserve"> </w:t>
      </w:r>
      <w:r w:rsidRPr="00A00B8B">
        <w:rPr>
          <w:rFonts w:cs="Sylfaen"/>
          <w:b w:val="0"/>
          <w:color w:val="000000"/>
          <w:szCs w:val="22"/>
        </w:rPr>
        <w:t>հնա</w:t>
      </w:r>
      <w:r w:rsidRPr="00130243">
        <w:rPr>
          <w:rFonts w:cs="Sylfaen"/>
          <w:b w:val="0"/>
          <w:color w:val="000000"/>
          <w:szCs w:val="22"/>
        </w:rPr>
        <w:softHyphen/>
      </w:r>
      <w:r w:rsidRPr="00A00B8B">
        <w:rPr>
          <w:rFonts w:cs="Sylfaen"/>
          <w:b w:val="0"/>
          <w:color w:val="000000"/>
          <w:szCs w:val="22"/>
        </w:rPr>
        <w:t>րավորություն</w:t>
      </w:r>
      <w:r w:rsidRPr="00A00B8B">
        <w:rPr>
          <w:b w:val="0"/>
          <w:color w:val="000000"/>
          <w:szCs w:val="22"/>
        </w:rPr>
        <w:t xml:space="preserve"> </w:t>
      </w:r>
      <w:r w:rsidRPr="00A00B8B">
        <w:rPr>
          <w:rFonts w:cs="Sylfaen"/>
          <w:b w:val="0"/>
          <w:color w:val="000000"/>
          <w:szCs w:val="22"/>
        </w:rPr>
        <w:t>կընձեռի</w:t>
      </w:r>
      <w:r w:rsidRPr="00A00B8B">
        <w:rPr>
          <w:b w:val="0"/>
          <w:color w:val="000000"/>
          <w:szCs w:val="22"/>
        </w:rPr>
        <w:t xml:space="preserve"> </w:t>
      </w:r>
      <w:r w:rsidRPr="00A00B8B">
        <w:rPr>
          <w:rFonts w:cs="Sylfaen"/>
          <w:b w:val="0"/>
          <w:color w:val="000000"/>
          <w:szCs w:val="22"/>
        </w:rPr>
        <w:t>աստի</w:t>
      </w:r>
      <w:r w:rsidRPr="00130243">
        <w:rPr>
          <w:rFonts w:cs="Sylfaen"/>
          <w:b w:val="0"/>
          <w:color w:val="000000"/>
          <w:szCs w:val="22"/>
        </w:rPr>
        <w:softHyphen/>
      </w:r>
      <w:r w:rsidRPr="00A00B8B">
        <w:rPr>
          <w:rFonts w:cs="Sylfaen"/>
          <w:b w:val="0"/>
          <w:color w:val="000000"/>
          <w:szCs w:val="22"/>
        </w:rPr>
        <w:t>ճանաբար</w:t>
      </w:r>
      <w:r w:rsidRPr="00A00B8B">
        <w:rPr>
          <w:b w:val="0"/>
          <w:color w:val="000000"/>
          <w:szCs w:val="22"/>
        </w:rPr>
        <w:t xml:space="preserve"> </w:t>
      </w:r>
      <w:r w:rsidRPr="00A00B8B">
        <w:rPr>
          <w:rFonts w:cs="Sylfaen"/>
          <w:b w:val="0"/>
          <w:color w:val="000000"/>
          <w:szCs w:val="22"/>
        </w:rPr>
        <w:t>բարե</w:t>
      </w:r>
      <w:r w:rsidRPr="00130243">
        <w:rPr>
          <w:rFonts w:cs="Sylfaen"/>
          <w:b w:val="0"/>
          <w:color w:val="000000"/>
          <w:szCs w:val="22"/>
        </w:rPr>
        <w:softHyphen/>
      </w:r>
      <w:r w:rsidRPr="00A00B8B">
        <w:rPr>
          <w:rFonts w:cs="Sylfaen"/>
          <w:b w:val="0"/>
          <w:color w:val="000000"/>
          <w:szCs w:val="22"/>
        </w:rPr>
        <w:t>լավել</w:t>
      </w:r>
      <w:r w:rsidRPr="00A00B8B">
        <w:rPr>
          <w:b w:val="0"/>
          <w:color w:val="000000"/>
          <w:szCs w:val="22"/>
        </w:rPr>
        <w:t xml:space="preserve"> </w:t>
      </w:r>
      <w:r w:rsidRPr="00A00B8B">
        <w:rPr>
          <w:rFonts w:cs="Sylfaen"/>
          <w:b w:val="0"/>
          <w:color w:val="000000"/>
          <w:szCs w:val="22"/>
        </w:rPr>
        <w:t>հարկեր</w:t>
      </w:r>
      <w:r w:rsidRPr="00A00B8B">
        <w:rPr>
          <w:b w:val="0"/>
          <w:color w:val="000000"/>
          <w:szCs w:val="22"/>
        </w:rPr>
        <w:t>/</w:t>
      </w:r>
      <w:r w:rsidRPr="00A00B8B">
        <w:rPr>
          <w:rFonts w:cs="Sylfaen"/>
          <w:b w:val="0"/>
          <w:color w:val="000000"/>
          <w:szCs w:val="22"/>
        </w:rPr>
        <w:t>ՀՆԱ</w:t>
      </w:r>
      <w:r w:rsidRPr="00A00B8B">
        <w:rPr>
          <w:b w:val="0"/>
          <w:color w:val="000000"/>
          <w:szCs w:val="22"/>
        </w:rPr>
        <w:t xml:space="preserve"> </w:t>
      </w:r>
      <w:r w:rsidRPr="00A00B8B">
        <w:rPr>
          <w:rFonts w:cs="Sylfaen"/>
          <w:b w:val="0"/>
          <w:color w:val="000000"/>
          <w:szCs w:val="22"/>
        </w:rPr>
        <w:t>հարաբերակցությունը</w:t>
      </w:r>
      <w:r w:rsidRPr="00A00B8B">
        <w:rPr>
          <w:b w:val="0"/>
          <w:color w:val="000000"/>
          <w:szCs w:val="22"/>
        </w:rPr>
        <w:t xml:space="preserve"> </w:t>
      </w:r>
      <w:r w:rsidRPr="00A00B8B">
        <w:rPr>
          <w:rFonts w:cs="Sylfaen"/>
          <w:b w:val="0"/>
          <w:color w:val="000000"/>
          <w:szCs w:val="22"/>
        </w:rPr>
        <w:t>և</w:t>
      </w:r>
      <w:r w:rsidRPr="00A00B8B">
        <w:rPr>
          <w:b w:val="0"/>
          <w:color w:val="000000"/>
          <w:szCs w:val="22"/>
        </w:rPr>
        <w:t xml:space="preserve"> </w:t>
      </w:r>
      <w:r w:rsidRPr="00A00B8B">
        <w:rPr>
          <w:rFonts w:cs="Sylfaen"/>
          <w:b w:val="0"/>
          <w:color w:val="000000"/>
          <w:szCs w:val="22"/>
        </w:rPr>
        <w:t>ամրապնդել</w:t>
      </w:r>
      <w:r w:rsidRPr="00A00B8B">
        <w:rPr>
          <w:b w:val="0"/>
          <w:color w:val="000000"/>
          <w:szCs w:val="22"/>
        </w:rPr>
        <w:t xml:space="preserve"> </w:t>
      </w:r>
      <w:r w:rsidRPr="00A00B8B">
        <w:rPr>
          <w:rFonts w:cs="Sylfaen"/>
          <w:b w:val="0"/>
          <w:color w:val="000000"/>
          <w:szCs w:val="22"/>
        </w:rPr>
        <w:t>հարկման</w:t>
      </w:r>
      <w:r w:rsidRPr="00A00B8B">
        <w:rPr>
          <w:b w:val="0"/>
          <w:color w:val="000000"/>
          <w:szCs w:val="22"/>
        </w:rPr>
        <w:t xml:space="preserve"> </w:t>
      </w:r>
      <w:r w:rsidRPr="00A00B8B">
        <w:rPr>
          <w:rFonts w:cs="Sylfaen"/>
          <w:b w:val="0"/>
          <w:color w:val="000000"/>
          <w:szCs w:val="22"/>
        </w:rPr>
        <w:t>հորի</w:t>
      </w:r>
      <w:r w:rsidRPr="00130243">
        <w:rPr>
          <w:rFonts w:cs="Sylfaen"/>
          <w:b w:val="0"/>
          <w:color w:val="000000"/>
          <w:szCs w:val="22"/>
        </w:rPr>
        <w:softHyphen/>
      </w:r>
      <w:r w:rsidRPr="00A00B8B">
        <w:rPr>
          <w:rFonts w:cs="Sylfaen"/>
          <w:b w:val="0"/>
          <w:color w:val="000000"/>
          <w:szCs w:val="22"/>
        </w:rPr>
        <w:t>զո</w:t>
      </w:r>
      <w:r w:rsidRPr="00130243">
        <w:rPr>
          <w:rFonts w:cs="Sylfaen"/>
          <w:b w:val="0"/>
          <w:color w:val="000000"/>
          <w:szCs w:val="22"/>
        </w:rPr>
        <w:softHyphen/>
      </w:r>
      <w:r w:rsidRPr="00A00B8B">
        <w:rPr>
          <w:rFonts w:cs="Sylfaen"/>
          <w:b w:val="0"/>
          <w:color w:val="000000"/>
          <w:szCs w:val="22"/>
        </w:rPr>
        <w:t>նա</w:t>
      </w:r>
      <w:r w:rsidRPr="00130243">
        <w:rPr>
          <w:rFonts w:cs="Sylfaen"/>
          <w:b w:val="0"/>
          <w:color w:val="000000"/>
          <w:szCs w:val="22"/>
        </w:rPr>
        <w:softHyphen/>
      </w:r>
      <w:r w:rsidRPr="00A00B8B">
        <w:rPr>
          <w:rFonts w:cs="Sylfaen"/>
          <w:b w:val="0"/>
          <w:color w:val="000000"/>
          <w:szCs w:val="22"/>
        </w:rPr>
        <w:t>կան</w:t>
      </w:r>
      <w:r w:rsidRPr="00A00B8B">
        <w:rPr>
          <w:b w:val="0"/>
          <w:color w:val="000000"/>
          <w:szCs w:val="22"/>
        </w:rPr>
        <w:t xml:space="preserve"> </w:t>
      </w:r>
      <w:r w:rsidRPr="00A00B8B">
        <w:rPr>
          <w:rFonts w:cs="Sylfaen"/>
          <w:b w:val="0"/>
          <w:color w:val="000000"/>
          <w:szCs w:val="22"/>
        </w:rPr>
        <w:t>արդա</w:t>
      </w:r>
      <w:r w:rsidRPr="00130243">
        <w:rPr>
          <w:rFonts w:cs="Sylfaen"/>
          <w:b w:val="0"/>
          <w:color w:val="000000"/>
          <w:szCs w:val="22"/>
        </w:rPr>
        <w:softHyphen/>
      </w:r>
      <w:r w:rsidRPr="00A00B8B">
        <w:rPr>
          <w:rFonts w:cs="Sylfaen"/>
          <w:b w:val="0"/>
          <w:color w:val="000000"/>
          <w:szCs w:val="22"/>
        </w:rPr>
        <w:t>րության</w:t>
      </w:r>
      <w:r w:rsidRPr="00A00B8B">
        <w:rPr>
          <w:b w:val="0"/>
          <w:color w:val="000000"/>
          <w:szCs w:val="22"/>
        </w:rPr>
        <w:t xml:space="preserve"> </w:t>
      </w:r>
      <w:r w:rsidRPr="00A00B8B">
        <w:rPr>
          <w:rFonts w:cs="Sylfaen"/>
          <w:b w:val="0"/>
          <w:color w:val="000000"/>
          <w:szCs w:val="22"/>
        </w:rPr>
        <w:t>սկզբունքը</w:t>
      </w:r>
      <w:r w:rsidRPr="00A00B8B">
        <w:rPr>
          <w:b w:val="0"/>
          <w:color w:val="000000"/>
          <w:szCs w:val="22"/>
        </w:rPr>
        <w:t xml:space="preserve">: </w:t>
      </w:r>
      <w:r w:rsidRPr="00A00B8B">
        <w:rPr>
          <w:b w:val="0"/>
          <w:color w:val="000000"/>
          <w:szCs w:val="22"/>
          <w:lang w:val="en-US"/>
        </w:rPr>
        <w:t>Հարկային</w:t>
      </w:r>
      <w:r w:rsidRPr="00130243">
        <w:rPr>
          <w:b w:val="0"/>
          <w:color w:val="000000"/>
          <w:szCs w:val="22"/>
        </w:rPr>
        <w:t xml:space="preserve"> </w:t>
      </w:r>
      <w:r w:rsidRPr="00A00B8B">
        <w:rPr>
          <w:b w:val="0"/>
          <w:color w:val="000000"/>
          <w:szCs w:val="22"/>
          <w:lang w:val="en-US"/>
        </w:rPr>
        <w:t>քաղաքակա</w:t>
      </w:r>
      <w:r w:rsidRPr="00130243">
        <w:rPr>
          <w:b w:val="0"/>
          <w:color w:val="000000"/>
          <w:szCs w:val="22"/>
        </w:rPr>
        <w:softHyphen/>
      </w:r>
      <w:r w:rsidRPr="00A00B8B">
        <w:rPr>
          <w:b w:val="0"/>
          <w:color w:val="000000"/>
          <w:szCs w:val="22"/>
          <w:lang w:val="en-US"/>
        </w:rPr>
        <w:t>նու</w:t>
      </w:r>
      <w:r w:rsidRPr="00130243">
        <w:rPr>
          <w:b w:val="0"/>
          <w:color w:val="000000"/>
          <w:szCs w:val="22"/>
        </w:rPr>
        <w:softHyphen/>
      </w:r>
      <w:r w:rsidRPr="00A00B8B">
        <w:rPr>
          <w:b w:val="0"/>
          <w:color w:val="000000"/>
          <w:szCs w:val="22"/>
          <w:lang w:val="en-US"/>
        </w:rPr>
        <w:t>թյան</w:t>
      </w:r>
      <w:r w:rsidRPr="00130243">
        <w:rPr>
          <w:b w:val="0"/>
          <w:color w:val="000000"/>
          <w:szCs w:val="22"/>
        </w:rPr>
        <w:t xml:space="preserve"> </w:t>
      </w:r>
      <w:r w:rsidRPr="00A00B8B">
        <w:rPr>
          <w:b w:val="0"/>
          <w:color w:val="000000"/>
          <w:szCs w:val="22"/>
          <w:lang w:val="en-US"/>
        </w:rPr>
        <w:t>այս</w:t>
      </w:r>
      <w:r w:rsidRPr="00130243">
        <w:rPr>
          <w:b w:val="0"/>
          <w:color w:val="000000"/>
          <w:szCs w:val="22"/>
        </w:rPr>
        <w:t xml:space="preserve"> </w:t>
      </w:r>
      <w:r w:rsidRPr="00A00B8B">
        <w:rPr>
          <w:b w:val="0"/>
          <w:color w:val="000000"/>
          <w:szCs w:val="22"/>
          <w:lang w:val="en-US"/>
        </w:rPr>
        <w:t>ուղղության</w:t>
      </w:r>
      <w:r w:rsidRPr="00130243">
        <w:rPr>
          <w:b w:val="0"/>
          <w:color w:val="000000"/>
          <w:szCs w:val="22"/>
        </w:rPr>
        <w:t xml:space="preserve"> </w:t>
      </w:r>
      <w:r w:rsidRPr="00A00B8B">
        <w:rPr>
          <w:rFonts w:cs="Sylfaen"/>
          <w:b w:val="0"/>
          <w:color w:val="000000"/>
          <w:szCs w:val="22"/>
        </w:rPr>
        <w:t>նպա</w:t>
      </w:r>
      <w:r w:rsidRPr="00130243">
        <w:rPr>
          <w:rFonts w:cs="Sylfaen"/>
          <w:b w:val="0"/>
          <w:color w:val="000000"/>
          <w:szCs w:val="22"/>
        </w:rPr>
        <w:softHyphen/>
      </w:r>
      <w:r w:rsidRPr="00A00B8B">
        <w:rPr>
          <w:rFonts w:cs="Sylfaen"/>
          <w:b w:val="0"/>
          <w:color w:val="000000"/>
          <w:szCs w:val="22"/>
        </w:rPr>
        <w:t>տակը</w:t>
      </w:r>
      <w:r w:rsidRPr="00A00B8B">
        <w:rPr>
          <w:b w:val="0"/>
          <w:color w:val="000000"/>
          <w:szCs w:val="22"/>
        </w:rPr>
        <w:t xml:space="preserve">, </w:t>
      </w:r>
      <w:r w:rsidRPr="00A00B8B">
        <w:rPr>
          <w:rFonts w:cs="Sylfaen"/>
          <w:b w:val="0"/>
          <w:color w:val="000000"/>
          <w:szCs w:val="22"/>
        </w:rPr>
        <w:t>ըստ</w:t>
      </w:r>
      <w:r w:rsidRPr="00A00B8B">
        <w:rPr>
          <w:b w:val="0"/>
          <w:color w:val="000000"/>
          <w:szCs w:val="22"/>
        </w:rPr>
        <w:t xml:space="preserve"> </w:t>
      </w:r>
      <w:r w:rsidRPr="00A00B8B">
        <w:rPr>
          <w:rFonts w:cs="Sylfaen"/>
          <w:b w:val="0"/>
          <w:color w:val="000000"/>
          <w:szCs w:val="22"/>
        </w:rPr>
        <w:t>էության</w:t>
      </w:r>
      <w:r w:rsidRPr="00A00B8B">
        <w:rPr>
          <w:b w:val="0"/>
          <w:color w:val="000000"/>
          <w:szCs w:val="22"/>
        </w:rPr>
        <w:t xml:space="preserve">, </w:t>
      </w:r>
      <w:r w:rsidRPr="00A00B8B">
        <w:rPr>
          <w:rFonts w:cs="Sylfaen"/>
          <w:b w:val="0"/>
          <w:color w:val="000000"/>
          <w:szCs w:val="22"/>
        </w:rPr>
        <w:t>հարկման</w:t>
      </w:r>
      <w:r w:rsidRPr="00A00B8B">
        <w:rPr>
          <w:b w:val="0"/>
          <w:color w:val="000000"/>
          <w:szCs w:val="22"/>
        </w:rPr>
        <w:t xml:space="preserve"> </w:t>
      </w:r>
      <w:r w:rsidRPr="00A00B8B">
        <w:rPr>
          <w:rFonts w:cs="Sylfaen"/>
          <w:b w:val="0"/>
          <w:color w:val="000000"/>
          <w:szCs w:val="22"/>
        </w:rPr>
        <w:t>ոլոր</w:t>
      </w:r>
      <w:r w:rsidRPr="00130243">
        <w:rPr>
          <w:rFonts w:cs="Sylfaen"/>
          <w:b w:val="0"/>
          <w:color w:val="000000"/>
          <w:szCs w:val="22"/>
        </w:rPr>
        <w:softHyphen/>
      </w:r>
      <w:r w:rsidRPr="00A00B8B">
        <w:rPr>
          <w:rFonts w:cs="Sylfaen"/>
          <w:b w:val="0"/>
          <w:color w:val="000000"/>
          <w:szCs w:val="22"/>
        </w:rPr>
        <w:t>տում</w:t>
      </w:r>
      <w:r w:rsidRPr="00A00B8B">
        <w:rPr>
          <w:b w:val="0"/>
          <w:color w:val="000000"/>
          <w:szCs w:val="22"/>
        </w:rPr>
        <w:t xml:space="preserve"> </w:t>
      </w:r>
      <w:r w:rsidRPr="00A00B8B">
        <w:rPr>
          <w:rFonts w:cs="Sylfaen"/>
          <w:b w:val="0"/>
          <w:color w:val="000000"/>
          <w:szCs w:val="22"/>
        </w:rPr>
        <w:t>խտրա</w:t>
      </w:r>
      <w:r w:rsidRPr="00130243">
        <w:rPr>
          <w:rFonts w:cs="Sylfaen"/>
          <w:b w:val="0"/>
          <w:color w:val="000000"/>
          <w:szCs w:val="22"/>
        </w:rPr>
        <w:softHyphen/>
      </w:r>
      <w:r w:rsidRPr="00A00B8B">
        <w:rPr>
          <w:rFonts w:cs="Sylfaen"/>
          <w:b w:val="0"/>
          <w:color w:val="000000"/>
          <w:szCs w:val="22"/>
        </w:rPr>
        <w:t>կանությունը</w:t>
      </w:r>
      <w:r w:rsidRPr="00A00B8B">
        <w:rPr>
          <w:b w:val="0"/>
          <w:color w:val="000000"/>
          <w:szCs w:val="22"/>
        </w:rPr>
        <w:t xml:space="preserve"> </w:t>
      </w:r>
      <w:r w:rsidRPr="00A00B8B">
        <w:rPr>
          <w:rFonts w:cs="Sylfaen"/>
          <w:b w:val="0"/>
          <w:color w:val="000000"/>
          <w:szCs w:val="22"/>
        </w:rPr>
        <w:t>նվա</w:t>
      </w:r>
      <w:r w:rsidRPr="00130243">
        <w:rPr>
          <w:rFonts w:cs="Sylfaen"/>
          <w:b w:val="0"/>
          <w:color w:val="000000"/>
          <w:szCs w:val="22"/>
        </w:rPr>
        <w:softHyphen/>
      </w:r>
      <w:r w:rsidRPr="00A00B8B">
        <w:rPr>
          <w:rFonts w:cs="Sylfaen"/>
          <w:b w:val="0"/>
          <w:color w:val="000000"/>
          <w:szCs w:val="22"/>
        </w:rPr>
        <w:t>զագույնի</w:t>
      </w:r>
      <w:r w:rsidRPr="00A00B8B">
        <w:rPr>
          <w:b w:val="0"/>
          <w:color w:val="000000"/>
          <w:szCs w:val="22"/>
        </w:rPr>
        <w:t xml:space="preserve"> </w:t>
      </w:r>
      <w:r w:rsidRPr="00A00B8B">
        <w:rPr>
          <w:rFonts w:cs="Sylfaen"/>
          <w:b w:val="0"/>
          <w:color w:val="000000"/>
          <w:szCs w:val="22"/>
        </w:rPr>
        <w:t>հասցնելը</w:t>
      </w:r>
      <w:r w:rsidRPr="00A00B8B">
        <w:rPr>
          <w:b w:val="0"/>
          <w:color w:val="000000"/>
          <w:szCs w:val="22"/>
        </w:rPr>
        <w:t xml:space="preserve"> </w:t>
      </w:r>
      <w:r w:rsidRPr="00A00B8B">
        <w:rPr>
          <w:rFonts w:cs="Sylfaen"/>
          <w:b w:val="0"/>
          <w:color w:val="000000"/>
          <w:szCs w:val="22"/>
        </w:rPr>
        <w:t>և</w:t>
      </w:r>
      <w:r w:rsidRPr="00A00B8B">
        <w:rPr>
          <w:b w:val="0"/>
          <w:color w:val="000000"/>
          <w:szCs w:val="22"/>
        </w:rPr>
        <w:t xml:space="preserve"> </w:t>
      </w:r>
      <w:r w:rsidRPr="00A00B8B">
        <w:rPr>
          <w:rFonts w:cs="Sylfaen"/>
          <w:b w:val="0"/>
          <w:color w:val="000000"/>
          <w:szCs w:val="22"/>
        </w:rPr>
        <w:t>պետա</w:t>
      </w:r>
      <w:r w:rsidRPr="00130243">
        <w:rPr>
          <w:rFonts w:cs="Sylfaen"/>
          <w:b w:val="0"/>
          <w:color w:val="000000"/>
          <w:szCs w:val="22"/>
        </w:rPr>
        <w:softHyphen/>
      </w:r>
      <w:r w:rsidRPr="00130243">
        <w:rPr>
          <w:rFonts w:cs="Sylfaen"/>
          <w:b w:val="0"/>
          <w:color w:val="000000"/>
          <w:szCs w:val="22"/>
        </w:rPr>
        <w:softHyphen/>
      </w:r>
      <w:r w:rsidRPr="00A00B8B">
        <w:rPr>
          <w:rFonts w:cs="Sylfaen"/>
          <w:b w:val="0"/>
          <w:color w:val="000000"/>
          <w:szCs w:val="22"/>
        </w:rPr>
        <w:t>կան</w:t>
      </w:r>
      <w:r w:rsidRPr="00A00B8B">
        <w:rPr>
          <w:b w:val="0"/>
          <w:color w:val="000000"/>
          <w:szCs w:val="22"/>
        </w:rPr>
        <w:t xml:space="preserve"> </w:t>
      </w:r>
      <w:r w:rsidRPr="00A00B8B">
        <w:rPr>
          <w:rFonts w:cs="Sylfaen"/>
          <w:b w:val="0"/>
          <w:color w:val="000000"/>
          <w:szCs w:val="22"/>
        </w:rPr>
        <w:t>բյուջեի</w:t>
      </w:r>
      <w:r w:rsidRPr="00130243">
        <w:rPr>
          <w:rFonts w:cs="Sylfaen"/>
          <w:b w:val="0"/>
          <w:color w:val="000000"/>
          <w:szCs w:val="22"/>
        </w:rPr>
        <w:t xml:space="preserve"> </w:t>
      </w:r>
      <w:r w:rsidRPr="00A00B8B">
        <w:rPr>
          <w:rFonts w:cs="Sylfaen"/>
          <w:b w:val="0"/>
          <w:color w:val="000000"/>
          <w:szCs w:val="22"/>
        </w:rPr>
        <w:t>հարկային</w:t>
      </w:r>
      <w:r w:rsidRPr="00130243">
        <w:rPr>
          <w:rFonts w:cs="Sylfaen"/>
          <w:b w:val="0"/>
          <w:color w:val="000000"/>
          <w:szCs w:val="22"/>
        </w:rPr>
        <w:t xml:space="preserve"> </w:t>
      </w:r>
      <w:r w:rsidRPr="00A00B8B">
        <w:rPr>
          <w:rFonts w:cs="Sylfaen"/>
          <w:b w:val="0"/>
          <w:color w:val="000000"/>
          <w:szCs w:val="22"/>
        </w:rPr>
        <w:t>եկա</w:t>
      </w:r>
      <w:r w:rsidRPr="00130243">
        <w:rPr>
          <w:rFonts w:cs="Sylfaen"/>
          <w:b w:val="0"/>
          <w:color w:val="000000"/>
          <w:szCs w:val="22"/>
        </w:rPr>
        <w:softHyphen/>
      </w:r>
      <w:r w:rsidRPr="00A00B8B">
        <w:rPr>
          <w:rFonts w:cs="Sylfaen"/>
          <w:b w:val="0"/>
          <w:color w:val="000000"/>
          <w:szCs w:val="22"/>
        </w:rPr>
        <w:t>մուտ</w:t>
      </w:r>
      <w:r w:rsidRPr="00130243">
        <w:rPr>
          <w:rFonts w:cs="Sylfaen"/>
          <w:b w:val="0"/>
          <w:color w:val="000000"/>
          <w:szCs w:val="22"/>
        </w:rPr>
        <w:softHyphen/>
      </w:r>
      <w:r w:rsidRPr="00A00B8B">
        <w:rPr>
          <w:rFonts w:cs="Sylfaen"/>
          <w:b w:val="0"/>
          <w:color w:val="000000"/>
          <w:szCs w:val="22"/>
        </w:rPr>
        <w:t>ների</w:t>
      </w:r>
      <w:r w:rsidRPr="00A00B8B">
        <w:rPr>
          <w:b w:val="0"/>
          <w:color w:val="000000"/>
          <w:szCs w:val="22"/>
        </w:rPr>
        <w:t xml:space="preserve"> </w:t>
      </w:r>
      <w:r w:rsidRPr="00A00B8B">
        <w:rPr>
          <w:rFonts w:cs="Sylfaen"/>
          <w:b w:val="0"/>
          <w:color w:val="000000"/>
          <w:szCs w:val="22"/>
          <w:lang w:val="en-US"/>
        </w:rPr>
        <w:t>արդարացի</w:t>
      </w:r>
      <w:r w:rsidRPr="00130243">
        <w:rPr>
          <w:rFonts w:cs="Sylfaen"/>
          <w:b w:val="0"/>
          <w:color w:val="000000"/>
          <w:szCs w:val="22"/>
        </w:rPr>
        <w:t xml:space="preserve"> </w:t>
      </w:r>
      <w:r w:rsidRPr="00A00B8B">
        <w:rPr>
          <w:rFonts w:cs="Sylfaen"/>
          <w:b w:val="0"/>
          <w:color w:val="000000"/>
          <w:szCs w:val="22"/>
          <w:lang w:val="en-US"/>
        </w:rPr>
        <w:t>վերաբաշխուն</w:t>
      </w:r>
      <w:r w:rsidRPr="00A00B8B">
        <w:rPr>
          <w:b w:val="0"/>
          <w:color w:val="000000"/>
          <w:szCs w:val="22"/>
        </w:rPr>
        <w:t xml:space="preserve"> </w:t>
      </w:r>
      <w:r w:rsidRPr="00A00B8B">
        <w:rPr>
          <w:rFonts w:cs="Sylfaen"/>
          <w:b w:val="0"/>
          <w:color w:val="000000"/>
          <w:szCs w:val="22"/>
        </w:rPr>
        <w:t>ապա</w:t>
      </w:r>
      <w:r w:rsidRPr="00130243">
        <w:rPr>
          <w:rFonts w:cs="Sylfaen"/>
          <w:b w:val="0"/>
          <w:color w:val="000000"/>
          <w:szCs w:val="22"/>
        </w:rPr>
        <w:softHyphen/>
      </w:r>
      <w:r w:rsidRPr="00A00B8B">
        <w:rPr>
          <w:rFonts w:cs="Sylfaen"/>
          <w:b w:val="0"/>
          <w:color w:val="000000"/>
          <w:szCs w:val="22"/>
        </w:rPr>
        <w:t>հով</w:t>
      </w:r>
      <w:r w:rsidRPr="00A00B8B">
        <w:rPr>
          <w:rFonts w:cs="Sylfaen"/>
          <w:b w:val="0"/>
          <w:color w:val="000000"/>
          <w:szCs w:val="22"/>
          <w:lang w:val="en-US"/>
        </w:rPr>
        <w:t>ել</w:t>
      </w:r>
      <w:r w:rsidRPr="00A00B8B">
        <w:rPr>
          <w:rFonts w:cs="Sylfaen"/>
          <w:b w:val="0"/>
          <w:color w:val="000000"/>
          <w:szCs w:val="22"/>
        </w:rPr>
        <w:t>ն</w:t>
      </w:r>
      <w:r w:rsidRPr="00A00B8B">
        <w:rPr>
          <w:b w:val="0"/>
          <w:color w:val="000000"/>
          <w:szCs w:val="22"/>
        </w:rPr>
        <w:t xml:space="preserve"> </w:t>
      </w:r>
      <w:r w:rsidRPr="00A00B8B">
        <w:rPr>
          <w:rFonts w:cs="Sylfaen"/>
          <w:b w:val="0"/>
          <w:color w:val="000000"/>
          <w:szCs w:val="22"/>
        </w:rPr>
        <w:t>է</w:t>
      </w:r>
      <w:r w:rsidRPr="00A00B8B">
        <w:rPr>
          <w:b w:val="0"/>
          <w:color w:val="000000"/>
          <w:szCs w:val="22"/>
        </w:rPr>
        <w:t>:</w:t>
      </w:r>
    </w:p>
    <w:p w:rsidR="00A00B8B" w:rsidRPr="00A00B8B" w:rsidRDefault="00A00B8B" w:rsidP="007730AA">
      <w:pPr>
        <w:shd w:val="clear" w:color="auto" w:fill="FFFFFF"/>
        <w:spacing w:before="0" w:line="276" w:lineRule="auto"/>
        <w:contextualSpacing w:val="0"/>
        <w:rPr>
          <w:b w:val="0"/>
          <w:color w:val="000000"/>
          <w:szCs w:val="22"/>
        </w:rPr>
      </w:pPr>
      <w:r w:rsidRPr="00A00B8B">
        <w:rPr>
          <w:rFonts w:cs="Sylfaen"/>
          <w:b w:val="0"/>
          <w:color w:val="000000"/>
          <w:szCs w:val="22"/>
          <w:lang w:val="en-US"/>
        </w:rPr>
        <w:t>Միաժամանակ</w:t>
      </w:r>
      <w:r w:rsidRPr="00130243">
        <w:rPr>
          <w:rFonts w:cs="Sylfaen"/>
          <w:b w:val="0"/>
          <w:color w:val="000000"/>
          <w:szCs w:val="22"/>
        </w:rPr>
        <w:t xml:space="preserve">, </w:t>
      </w:r>
      <w:r w:rsidRPr="00A00B8B">
        <w:rPr>
          <w:rFonts w:cs="Sylfaen"/>
          <w:b w:val="0"/>
          <w:color w:val="000000"/>
          <w:szCs w:val="22"/>
          <w:lang w:val="en-US"/>
        </w:rPr>
        <w:t>ակնհայտ</w:t>
      </w:r>
      <w:r w:rsidRPr="00130243">
        <w:rPr>
          <w:rFonts w:cs="Sylfaen"/>
          <w:b w:val="0"/>
          <w:color w:val="000000"/>
          <w:szCs w:val="22"/>
        </w:rPr>
        <w:t xml:space="preserve"> </w:t>
      </w:r>
      <w:r w:rsidRPr="00A00B8B">
        <w:rPr>
          <w:rFonts w:cs="Sylfaen"/>
          <w:b w:val="0"/>
          <w:color w:val="000000"/>
          <w:szCs w:val="22"/>
          <w:lang w:val="en-US"/>
        </w:rPr>
        <w:t>է</w:t>
      </w:r>
      <w:r w:rsidRPr="00130243">
        <w:rPr>
          <w:rFonts w:cs="Sylfaen"/>
          <w:b w:val="0"/>
          <w:color w:val="000000"/>
          <w:szCs w:val="22"/>
        </w:rPr>
        <w:t xml:space="preserve">, </w:t>
      </w:r>
      <w:r w:rsidRPr="00A00B8B">
        <w:rPr>
          <w:rFonts w:cs="Sylfaen"/>
          <w:b w:val="0"/>
          <w:color w:val="000000"/>
          <w:szCs w:val="22"/>
          <w:lang w:val="en-US"/>
        </w:rPr>
        <w:t>որ</w:t>
      </w:r>
      <w:r w:rsidRPr="00130243">
        <w:rPr>
          <w:rFonts w:cs="Sylfaen"/>
          <w:b w:val="0"/>
          <w:color w:val="000000"/>
          <w:szCs w:val="22"/>
        </w:rPr>
        <w:t xml:space="preserve"> </w:t>
      </w:r>
      <w:r w:rsidRPr="00A00B8B">
        <w:rPr>
          <w:rFonts w:cs="Sylfaen"/>
          <w:b w:val="0"/>
          <w:color w:val="000000"/>
          <w:szCs w:val="22"/>
        </w:rPr>
        <w:t>գործող</w:t>
      </w:r>
      <w:r w:rsidRPr="00A00B8B">
        <w:rPr>
          <w:b w:val="0"/>
          <w:color w:val="000000"/>
          <w:szCs w:val="22"/>
        </w:rPr>
        <w:t xml:space="preserve"> </w:t>
      </w:r>
      <w:r w:rsidRPr="00A00B8B">
        <w:rPr>
          <w:rFonts w:cs="Sylfaen"/>
          <w:b w:val="0"/>
          <w:color w:val="000000"/>
          <w:szCs w:val="22"/>
        </w:rPr>
        <w:t>արտո</w:t>
      </w:r>
      <w:r w:rsidRPr="00130243">
        <w:rPr>
          <w:rFonts w:cs="Sylfaen"/>
          <w:b w:val="0"/>
          <w:color w:val="000000"/>
          <w:szCs w:val="22"/>
        </w:rPr>
        <w:softHyphen/>
      </w:r>
      <w:r w:rsidRPr="00A00B8B">
        <w:rPr>
          <w:rFonts w:cs="Sylfaen"/>
          <w:b w:val="0"/>
          <w:color w:val="000000"/>
          <w:szCs w:val="22"/>
        </w:rPr>
        <w:t>նությունների</w:t>
      </w:r>
      <w:r w:rsidRPr="00A00B8B">
        <w:rPr>
          <w:b w:val="0"/>
          <w:color w:val="000000"/>
          <w:szCs w:val="22"/>
        </w:rPr>
        <w:t xml:space="preserve"> շրջանակի </w:t>
      </w:r>
      <w:r w:rsidRPr="00A00B8B">
        <w:rPr>
          <w:rFonts w:cs="Sylfaen"/>
          <w:b w:val="0"/>
          <w:color w:val="000000"/>
          <w:szCs w:val="22"/>
        </w:rPr>
        <w:t>վերանայումը</w:t>
      </w:r>
      <w:r w:rsidRPr="00A00B8B">
        <w:rPr>
          <w:b w:val="0"/>
          <w:color w:val="000000"/>
          <w:szCs w:val="22"/>
        </w:rPr>
        <w:t xml:space="preserve"> </w:t>
      </w:r>
      <w:r w:rsidRPr="00A00B8B">
        <w:rPr>
          <w:rFonts w:cs="Sylfaen"/>
          <w:b w:val="0"/>
          <w:color w:val="000000"/>
          <w:szCs w:val="22"/>
        </w:rPr>
        <w:t>կնշա</w:t>
      </w:r>
      <w:r w:rsidRPr="00130243">
        <w:rPr>
          <w:rFonts w:cs="Sylfaen"/>
          <w:b w:val="0"/>
          <w:color w:val="000000"/>
          <w:szCs w:val="22"/>
        </w:rPr>
        <w:softHyphen/>
      </w:r>
      <w:r w:rsidRPr="00A00B8B">
        <w:rPr>
          <w:rFonts w:cs="Sylfaen"/>
          <w:b w:val="0"/>
          <w:color w:val="000000"/>
          <w:szCs w:val="22"/>
        </w:rPr>
        <w:t>նակի</w:t>
      </w:r>
      <w:r w:rsidRPr="00A00B8B">
        <w:rPr>
          <w:b w:val="0"/>
          <w:color w:val="000000"/>
          <w:szCs w:val="22"/>
        </w:rPr>
        <w:t xml:space="preserve"> </w:t>
      </w:r>
      <w:r w:rsidRPr="00A00B8B">
        <w:rPr>
          <w:rFonts w:cs="Sylfaen"/>
          <w:b w:val="0"/>
          <w:color w:val="000000"/>
          <w:szCs w:val="22"/>
        </w:rPr>
        <w:t>կտրուկ</w:t>
      </w:r>
      <w:r w:rsidRPr="00A00B8B">
        <w:rPr>
          <w:b w:val="0"/>
          <w:color w:val="000000"/>
          <w:szCs w:val="22"/>
        </w:rPr>
        <w:t xml:space="preserve"> </w:t>
      </w:r>
      <w:r w:rsidRPr="00A00B8B">
        <w:rPr>
          <w:rFonts w:cs="Sylfaen"/>
          <w:b w:val="0"/>
          <w:color w:val="000000"/>
          <w:szCs w:val="22"/>
        </w:rPr>
        <w:t>փոփոխել</w:t>
      </w:r>
      <w:r w:rsidRPr="00A00B8B">
        <w:rPr>
          <w:b w:val="0"/>
          <w:color w:val="000000"/>
          <w:szCs w:val="22"/>
        </w:rPr>
        <w:t xml:space="preserve"> </w:t>
      </w:r>
      <w:r w:rsidRPr="00A00B8B">
        <w:rPr>
          <w:rFonts w:cs="Sylfaen"/>
          <w:b w:val="0"/>
          <w:color w:val="000000"/>
          <w:szCs w:val="22"/>
        </w:rPr>
        <w:t>այդ</w:t>
      </w:r>
      <w:r w:rsidRPr="00A00B8B">
        <w:rPr>
          <w:b w:val="0"/>
          <w:color w:val="000000"/>
          <w:szCs w:val="22"/>
        </w:rPr>
        <w:t xml:space="preserve"> </w:t>
      </w:r>
      <w:r w:rsidRPr="00A00B8B">
        <w:rPr>
          <w:rFonts w:cs="Sylfaen"/>
          <w:b w:val="0"/>
          <w:color w:val="000000"/>
          <w:szCs w:val="22"/>
        </w:rPr>
        <w:t>արտոնություններից</w:t>
      </w:r>
      <w:r w:rsidRPr="00A00B8B">
        <w:rPr>
          <w:b w:val="0"/>
          <w:color w:val="000000"/>
          <w:szCs w:val="22"/>
        </w:rPr>
        <w:t xml:space="preserve"> </w:t>
      </w:r>
      <w:r w:rsidRPr="00A00B8B">
        <w:rPr>
          <w:rFonts w:cs="Sylfaen"/>
          <w:b w:val="0"/>
          <w:color w:val="000000"/>
          <w:szCs w:val="22"/>
        </w:rPr>
        <w:t>օգտ</w:t>
      </w:r>
      <w:r w:rsidRPr="00130243">
        <w:rPr>
          <w:rFonts w:cs="Sylfaen"/>
          <w:b w:val="0"/>
          <w:color w:val="000000"/>
          <w:szCs w:val="22"/>
        </w:rPr>
        <w:softHyphen/>
      </w:r>
      <w:r w:rsidRPr="00A00B8B">
        <w:rPr>
          <w:rFonts w:cs="Sylfaen"/>
          <w:b w:val="0"/>
          <w:color w:val="000000"/>
          <w:szCs w:val="22"/>
        </w:rPr>
        <w:t>վող</w:t>
      </w:r>
      <w:r w:rsidRPr="00130243">
        <w:rPr>
          <w:rFonts w:cs="Sylfaen"/>
          <w:b w:val="0"/>
          <w:color w:val="000000"/>
          <w:szCs w:val="22"/>
        </w:rPr>
        <w:softHyphen/>
      </w:r>
      <w:r w:rsidRPr="00A00B8B">
        <w:rPr>
          <w:rFonts w:cs="Sylfaen"/>
          <w:b w:val="0"/>
          <w:color w:val="000000"/>
          <w:szCs w:val="22"/>
        </w:rPr>
        <w:t>ների</w:t>
      </w:r>
      <w:r w:rsidRPr="00A00B8B">
        <w:rPr>
          <w:b w:val="0"/>
          <w:color w:val="000000"/>
          <w:szCs w:val="22"/>
        </w:rPr>
        <w:t xml:space="preserve"> </w:t>
      </w:r>
      <w:r w:rsidRPr="00A00B8B">
        <w:rPr>
          <w:rFonts w:cs="Sylfaen"/>
          <w:b w:val="0"/>
          <w:color w:val="000000"/>
          <w:szCs w:val="22"/>
        </w:rPr>
        <w:t>ձեռնարկատիրական</w:t>
      </w:r>
      <w:r w:rsidRPr="00A00B8B">
        <w:rPr>
          <w:b w:val="0"/>
          <w:color w:val="000000"/>
          <w:szCs w:val="22"/>
        </w:rPr>
        <w:t xml:space="preserve"> </w:t>
      </w:r>
      <w:r w:rsidRPr="00A00B8B">
        <w:rPr>
          <w:rFonts w:cs="Sylfaen"/>
          <w:b w:val="0"/>
          <w:color w:val="000000"/>
          <w:szCs w:val="22"/>
        </w:rPr>
        <w:t>ու</w:t>
      </w:r>
      <w:r w:rsidRPr="00A00B8B">
        <w:rPr>
          <w:b w:val="0"/>
          <w:color w:val="000000"/>
          <w:szCs w:val="22"/>
        </w:rPr>
        <w:t xml:space="preserve"> </w:t>
      </w:r>
      <w:r w:rsidRPr="00A00B8B">
        <w:rPr>
          <w:rFonts w:cs="Sylfaen"/>
          <w:b w:val="0"/>
          <w:color w:val="000000"/>
          <w:szCs w:val="22"/>
        </w:rPr>
        <w:t>տնտե</w:t>
      </w:r>
      <w:r w:rsidRPr="00130243">
        <w:rPr>
          <w:rFonts w:cs="Sylfaen"/>
          <w:b w:val="0"/>
          <w:color w:val="000000"/>
          <w:szCs w:val="22"/>
        </w:rPr>
        <w:softHyphen/>
      </w:r>
      <w:r w:rsidRPr="00A00B8B">
        <w:rPr>
          <w:rFonts w:cs="Sylfaen"/>
          <w:b w:val="0"/>
          <w:color w:val="000000"/>
          <w:szCs w:val="22"/>
        </w:rPr>
        <w:t>սա</w:t>
      </w:r>
      <w:r w:rsidRPr="00130243">
        <w:rPr>
          <w:rFonts w:cs="Sylfaen"/>
          <w:b w:val="0"/>
          <w:color w:val="000000"/>
          <w:szCs w:val="22"/>
        </w:rPr>
        <w:softHyphen/>
      </w:r>
      <w:r w:rsidRPr="00A00B8B">
        <w:rPr>
          <w:rFonts w:cs="Sylfaen"/>
          <w:b w:val="0"/>
          <w:color w:val="000000"/>
          <w:szCs w:val="22"/>
        </w:rPr>
        <w:t>կան</w:t>
      </w:r>
      <w:r w:rsidRPr="00A00B8B">
        <w:rPr>
          <w:b w:val="0"/>
          <w:color w:val="000000"/>
          <w:szCs w:val="22"/>
        </w:rPr>
        <w:t xml:space="preserve"> </w:t>
      </w:r>
      <w:r w:rsidRPr="00A00B8B">
        <w:rPr>
          <w:rFonts w:cs="Sylfaen"/>
          <w:b w:val="0"/>
          <w:color w:val="000000"/>
          <w:szCs w:val="22"/>
        </w:rPr>
        <w:t>գործունեության</w:t>
      </w:r>
      <w:r w:rsidRPr="00A00B8B">
        <w:rPr>
          <w:b w:val="0"/>
          <w:color w:val="000000"/>
          <w:szCs w:val="22"/>
        </w:rPr>
        <w:t xml:space="preserve"> </w:t>
      </w:r>
      <w:r w:rsidRPr="00A00B8B">
        <w:rPr>
          <w:rFonts w:cs="Sylfaen"/>
          <w:b w:val="0"/>
          <w:color w:val="000000"/>
          <w:szCs w:val="22"/>
        </w:rPr>
        <w:t>պայմանները</w:t>
      </w:r>
      <w:r w:rsidRPr="00A00B8B">
        <w:rPr>
          <w:b w:val="0"/>
          <w:color w:val="000000"/>
          <w:szCs w:val="22"/>
        </w:rPr>
        <w:t xml:space="preserve"> </w:t>
      </w:r>
      <w:r w:rsidRPr="00A00B8B">
        <w:rPr>
          <w:rFonts w:cs="Sylfaen"/>
          <w:b w:val="0"/>
          <w:color w:val="000000"/>
          <w:szCs w:val="22"/>
        </w:rPr>
        <w:t>և</w:t>
      </w:r>
      <w:r w:rsidRPr="00A00B8B">
        <w:rPr>
          <w:b w:val="0"/>
          <w:color w:val="000000"/>
          <w:szCs w:val="22"/>
        </w:rPr>
        <w:t xml:space="preserve"> </w:t>
      </w:r>
      <w:r w:rsidRPr="00A00B8B">
        <w:rPr>
          <w:rFonts w:cs="Sylfaen"/>
          <w:b w:val="0"/>
          <w:color w:val="000000"/>
          <w:szCs w:val="22"/>
        </w:rPr>
        <w:t>ազգային</w:t>
      </w:r>
      <w:r w:rsidRPr="00A00B8B">
        <w:rPr>
          <w:b w:val="0"/>
          <w:color w:val="000000"/>
          <w:szCs w:val="22"/>
        </w:rPr>
        <w:t xml:space="preserve"> </w:t>
      </w:r>
      <w:r w:rsidRPr="00A00B8B">
        <w:rPr>
          <w:rFonts w:cs="Sylfaen"/>
          <w:b w:val="0"/>
          <w:color w:val="000000"/>
          <w:szCs w:val="22"/>
        </w:rPr>
        <w:t>տնտեսության</w:t>
      </w:r>
      <w:r w:rsidRPr="00A00B8B">
        <w:rPr>
          <w:b w:val="0"/>
          <w:color w:val="000000"/>
          <w:szCs w:val="22"/>
        </w:rPr>
        <w:t xml:space="preserve"> </w:t>
      </w:r>
      <w:r w:rsidRPr="00A00B8B">
        <w:rPr>
          <w:rFonts w:cs="Sylfaen"/>
          <w:b w:val="0"/>
          <w:color w:val="000000"/>
          <w:szCs w:val="22"/>
        </w:rPr>
        <w:t>ներդրումային</w:t>
      </w:r>
      <w:r w:rsidRPr="00A00B8B">
        <w:rPr>
          <w:b w:val="0"/>
          <w:color w:val="000000"/>
          <w:szCs w:val="22"/>
        </w:rPr>
        <w:t xml:space="preserve"> </w:t>
      </w:r>
      <w:r w:rsidRPr="00A00B8B">
        <w:rPr>
          <w:rFonts w:cs="Sylfaen"/>
          <w:b w:val="0"/>
          <w:color w:val="000000"/>
          <w:szCs w:val="22"/>
        </w:rPr>
        <w:t>միջա</w:t>
      </w:r>
      <w:r w:rsidRPr="00130243">
        <w:rPr>
          <w:rFonts w:cs="Sylfaen"/>
          <w:b w:val="0"/>
          <w:color w:val="000000"/>
          <w:szCs w:val="22"/>
        </w:rPr>
        <w:softHyphen/>
      </w:r>
      <w:r w:rsidRPr="00A00B8B">
        <w:rPr>
          <w:rFonts w:cs="Sylfaen"/>
          <w:b w:val="0"/>
          <w:color w:val="000000"/>
          <w:szCs w:val="22"/>
        </w:rPr>
        <w:t>վայրը</w:t>
      </w:r>
      <w:r w:rsidRPr="00A00B8B">
        <w:rPr>
          <w:b w:val="0"/>
          <w:color w:val="000000"/>
          <w:szCs w:val="22"/>
        </w:rPr>
        <w:t xml:space="preserve"> </w:t>
      </w:r>
      <w:r w:rsidRPr="00A00B8B">
        <w:rPr>
          <w:rFonts w:cs="Sylfaen"/>
          <w:b w:val="0"/>
          <w:color w:val="000000"/>
          <w:szCs w:val="22"/>
        </w:rPr>
        <w:t>ընդ</w:t>
      </w:r>
      <w:r w:rsidRPr="00130243">
        <w:rPr>
          <w:rFonts w:cs="Sylfaen"/>
          <w:b w:val="0"/>
          <w:color w:val="000000"/>
          <w:szCs w:val="22"/>
        </w:rPr>
        <w:softHyphen/>
      </w:r>
      <w:r w:rsidRPr="00A00B8B">
        <w:rPr>
          <w:rFonts w:cs="Sylfaen"/>
          <w:b w:val="0"/>
          <w:color w:val="000000"/>
          <w:szCs w:val="22"/>
        </w:rPr>
        <w:t>հանրապես</w:t>
      </w:r>
      <w:r w:rsidRPr="00A00B8B">
        <w:rPr>
          <w:b w:val="0"/>
          <w:color w:val="000000"/>
          <w:szCs w:val="22"/>
        </w:rPr>
        <w:t xml:space="preserve">: </w:t>
      </w:r>
      <w:r w:rsidRPr="00A00B8B">
        <w:rPr>
          <w:rFonts w:cs="Sylfaen"/>
          <w:b w:val="0"/>
          <w:color w:val="000000"/>
          <w:szCs w:val="22"/>
        </w:rPr>
        <w:t>Այս</w:t>
      </w:r>
      <w:r w:rsidRPr="00A00B8B">
        <w:rPr>
          <w:b w:val="0"/>
          <w:color w:val="000000"/>
          <w:szCs w:val="22"/>
        </w:rPr>
        <w:t xml:space="preserve"> </w:t>
      </w:r>
      <w:r w:rsidRPr="00A00B8B">
        <w:rPr>
          <w:rFonts w:cs="Sylfaen"/>
          <w:b w:val="0"/>
          <w:color w:val="000000"/>
          <w:szCs w:val="22"/>
        </w:rPr>
        <w:t>առումով</w:t>
      </w:r>
      <w:r w:rsidRPr="00A00B8B">
        <w:rPr>
          <w:b w:val="0"/>
          <w:color w:val="000000"/>
          <w:szCs w:val="22"/>
        </w:rPr>
        <w:t>,</w:t>
      </w:r>
      <w:r w:rsidRPr="00130243">
        <w:rPr>
          <w:b w:val="0"/>
          <w:color w:val="000000"/>
          <w:szCs w:val="22"/>
        </w:rPr>
        <w:t xml:space="preserve"> </w:t>
      </w:r>
      <w:r w:rsidRPr="00A00B8B">
        <w:rPr>
          <w:rFonts w:cs="Sylfaen"/>
          <w:b w:val="0"/>
          <w:color w:val="000000"/>
          <w:szCs w:val="22"/>
        </w:rPr>
        <w:t>հարկային</w:t>
      </w:r>
      <w:r w:rsidRPr="00130243">
        <w:rPr>
          <w:rFonts w:cs="Sylfaen"/>
          <w:b w:val="0"/>
          <w:color w:val="000000"/>
          <w:szCs w:val="22"/>
        </w:rPr>
        <w:t xml:space="preserve"> </w:t>
      </w:r>
      <w:r w:rsidRPr="00A00B8B">
        <w:rPr>
          <w:rFonts w:cs="Sylfaen"/>
          <w:b w:val="0"/>
          <w:color w:val="000000"/>
          <w:szCs w:val="22"/>
        </w:rPr>
        <w:t>արտո</w:t>
      </w:r>
      <w:r w:rsidRPr="00130243">
        <w:rPr>
          <w:rFonts w:cs="Sylfaen"/>
          <w:b w:val="0"/>
          <w:color w:val="000000"/>
          <w:szCs w:val="22"/>
        </w:rPr>
        <w:softHyphen/>
      </w:r>
      <w:r w:rsidRPr="00A00B8B">
        <w:rPr>
          <w:rFonts w:cs="Sylfaen"/>
          <w:b w:val="0"/>
          <w:color w:val="000000"/>
          <w:szCs w:val="22"/>
        </w:rPr>
        <w:t>նու</w:t>
      </w:r>
      <w:r w:rsidRPr="00130243">
        <w:rPr>
          <w:rFonts w:cs="Sylfaen"/>
          <w:b w:val="0"/>
          <w:color w:val="000000"/>
          <w:szCs w:val="22"/>
        </w:rPr>
        <w:softHyphen/>
      </w:r>
      <w:r w:rsidRPr="00A00B8B">
        <w:rPr>
          <w:rFonts w:cs="Sylfaen"/>
          <w:b w:val="0"/>
          <w:color w:val="000000"/>
          <w:szCs w:val="22"/>
        </w:rPr>
        <w:t>թյուն</w:t>
      </w:r>
      <w:r w:rsidRPr="00130243">
        <w:rPr>
          <w:rFonts w:cs="Sylfaen"/>
          <w:b w:val="0"/>
          <w:color w:val="000000"/>
          <w:szCs w:val="22"/>
        </w:rPr>
        <w:softHyphen/>
      </w:r>
      <w:r w:rsidRPr="00A00B8B">
        <w:rPr>
          <w:rFonts w:cs="Sylfaen"/>
          <w:b w:val="0"/>
          <w:color w:val="000000"/>
          <w:szCs w:val="22"/>
        </w:rPr>
        <w:t>ների</w:t>
      </w:r>
      <w:r w:rsidRPr="00A00B8B">
        <w:rPr>
          <w:b w:val="0"/>
          <w:color w:val="000000"/>
          <w:szCs w:val="22"/>
        </w:rPr>
        <w:t xml:space="preserve"> </w:t>
      </w:r>
      <w:r w:rsidRPr="00A00B8B">
        <w:rPr>
          <w:rFonts w:cs="Sylfaen"/>
          <w:b w:val="0"/>
          <w:color w:val="000000"/>
          <w:szCs w:val="22"/>
        </w:rPr>
        <w:t>շրջանակի</w:t>
      </w:r>
      <w:r w:rsidRPr="00A00B8B">
        <w:rPr>
          <w:b w:val="0"/>
          <w:color w:val="000000"/>
          <w:szCs w:val="22"/>
        </w:rPr>
        <w:t xml:space="preserve"> </w:t>
      </w:r>
      <w:r w:rsidRPr="00A00B8B">
        <w:rPr>
          <w:rFonts w:cs="Sylfaen"/>
          <w:b w:val="0"/>
          <w:color w:val="000000"/>
          <w:szCs w:val="22"/>
        </w:rPr>
        <w:t>վերանայումը</w:t>
      </w:r>
      <w:r w:rsidRPr="00A00B8B">
        <w:rPr>
          <w:b w:val="0"/>
          <w:color w:val="000000"/>
          <w:szCs w:val="22"/>
        </w:rPr>
        <w:t xml:space="preserve"> </w:t>
      </w:r>
      <w:r w:rsidRPr="00A00B8B">
        <w:rPr>
          <w:rFonts w:cs="Sylfaen"/>
          <w:b w:val="0"/>
          <w:color w:val="000000"/>
          <w:szCs w:val="22"/>
        </w:rPr>
        <w:t>պետք</w:t>
      </w:r>
      <w:r w:rsidRPr="00A00B8B">
        <w:rPr>
          <w:b w:val="0"/>
          <w:color w:val="000000"/>
          <w:szCs w:val="22"/>
        </w:rPr>
        <w:t xml:space="preserve"> </w:t>
      </w:r>
      <w:r w:rsidRPr="00A00B8B">
        <w:rPr>
          <w:rFonts w:cs="Sylfaen"/>
          <w:b w:val="0"/>
          <w:color w:val="000000"/>
          <w:szCs w:val="22"/>
        </w:rPr>
        <w:t>է</w:t>
      </w:r>
      <w:r w:rsidRPr="00A00B8B">
        <w:rPr>
          <w:b w:val="0"/>
          <w:color w:val="000000"/>
          <w:szCs w:val="22"/>
        </w:rPr>
        <w:t xml:space="preserve"> </w:t>
      </w:r>
      <w:r w:rsidRPr="00A00B8B">
        <w:rPr>
          <w:rFonts w:cs="Sylfaen"/>
          <w:b w:val="0"/>
          <w:color w:val="000000"/>
          <w:szCs w:val="22"/>
        </w:rPr>
        <w:t>իրա</w:t>
      </w:r>
      <w:r w:rsidRPr="00130243">
        <w:rPr>
          <w:rFonts w:cs="Sylfaen"/>
          <w:b w:val="0"/>
          <w:color w:val="000000"/>
          <w:szCs w:val="22"/>
        </w:rPr>
        <w:softHyphen/>
      </w:r>
      <w:r w:rsidRPr="00A00B8B">
        <w:rPr>
          <w:rFonts w:cs="Sylfaen"/>
          <w:b w:val="0"/>
          <w:color w:val="000000"/>
          <w:szCs w:val="22"/>
        </w:rPr>
        <w:t>կանացվի</w:t>
      </w:r>
      <w:r w:rsidRPr="00A00B8B">
        <w:rPr>
          <w:b w:val="0"/>
          <w:color w:val="000000"/>
          <w:szCs w:val="22"/>
        </w:rPr>
        <w:t xml:space="preserve"> </w:t>
      </w:r>
      <w:r w:rsidRPr="00A00B8B">
        <w:rPr>
          <w:rFonts w:cs="Sylfaen"/>
          <w:b w:val="0"/>
          <w:color w:val="000000"/>
          <w:szCs w:val="22"/>
        </w:rPr>
        <w:t>բավարար</w:t>
      </w:r>
      <w:r w:rsidRPr="00A00B8B">
        <w:rPr>
          <w:b w:val="0"/>
          <w:color w:val="000000"/>
          <w:szCs w:val="22"/>
        </w:rPr>
        <w:t xml:space="preserve"> </w:t>
      </w:r>
      <w:r w:rsidRPr="00A00B8B">
        <w:rPr>
          <w:rFonts w:cs="Sylfaen"/>
          <w:b w:val="0"/>
          <w:color w:val="000000"/>
          <w:szCs w:val="22"/>
        </w:rPr>
        <w:t>զգուշավորությամբ</w:t>
      </w:r>
      <w:r w:rsidRPr="00A00B8B">
        <w:rPr>
          <w:b w:val="0"/>
          <w:color w:val="000000"/>
          <w:szCs w:val="22"/>
        </w:rPr>
        <w:t xml:space="preserve">` </w:t>
      </w:r>
      <w:r w:rsidRPr="00A00B8B">
        <w:rPr>
          <w:rFonts w:cs="Sylfaen"/>
          <w:b w:val="0"/>
          <w:color w:val="000000"/>
          <w:szCs w:val="22"/>
        </w:rPr>
        <w:t>խուսա</w:t>
      </w:r>
      <w:r w:rsidRPr="00130243">
        <w:rPr>
          <w:rFonts w:cs="Sylfaen"/>
          <w:b w:val="0"/>
          <w:color w:val="000000"/>
          <w:szCs w:val="22"/>
        </w:rPr>
        <w:softHyphen/>
      </w:r>
      <w:r w:rsidRPr="00A00B8B">
        <w:rPr>
          <w:rFonts w:cs="Sylfaen"/>
          <w:b w:val="0"/>
          <w:color w:val="000000"/>
          <w:szCs w:val="22"/>
        </w:rPr>
        <w:t>փելու</w:t>
      </w:r>
      <w:r w:rsidRPr="00130243">
        <w:rPr>
          <w:rFonts w:cs="Sylfaen"/>
          <w:b w:val="0"/>
          <w:color w:val="000000"/>
          <w:szCs w:val="22"/>
        </w:rPr>
        <w:t xml:space="preserve"> </w:t>
      </w:r>
      <w:r w:rsidRPr="00A00B8B">
        <w:rPr>
          <w:rFonts w:cs="Sylfaen"/>
          <w:b w:val="0"/>
          <w:color w:val="000000"/>
          <w:szCs w:val="22"/>
        </w:rPr>
        <w:t>համար</w:t>
      </w:r>
      <w:r w:rsidRPr="00130243">
        <w:rPr>
          <w:rFonts w:cs="Sylfaen"/>
          <w:b w:val="0"/>
          <w:color w:val="000000"/>
          <w:szCs w:val="22"/>
        </w:rPr>
        <w:t xml:space="preserve"> </w:t>
      </w:r>
      <w:r w:rsidRPr="00A00B8B">
        <w:rPr>
          <w:rFonts w:cs="Sylfaen"/>
          <w:b w:val="0"/>
          <w:color w:val="000000"/>
          <w:szCs w:val="22"/>
        </w:rPr>
        <w:t>հնարավոր</w:t>
      </w:r>
      <w:r w:rsidRPr="00A00B8B">
        <w:rPr>
          <w:b w:val="0"/>
          <w:color w:val="000000"/>
          <w:szCs w:val="22"/>
        </w:rPr>
        <w:t xml:space="preserve"> </w:t>
      </w:r>
      <w:r w:rsidRPr="00A00B8B">
        <w:rPr>
          <w:rFonts w:cs="Sylfaen"/>
          <w:b w:val="0"/>
          <w:color w:val="000000"/>
          <w:szCs w:val="22"/>
        </w:rPr>
        <w:t>ցնցում</w:t>
      </w:r>
      <w:r w:rsidRPr="00130243">
        <w:rPr>
          <w:rFonts w:cs="Sylfaen"/>
          <w:b w:val="0"/>
          <w:color w:val="000000"/>
          <w:szCs w:val="22"/>
        </w:rPr>
        <w:softHyphen/>
      </w:r>
      <w:r w:rsidRPr="00A00B8B">
        <w:rPr>
          <w:rFonts w:cs="Sylfaen"/>
          <w:b w:val="0"/>
          <w:color w:val="000000"/>
          <w:szCs w:val="22"/>
        </w:rPr>
        <w:t>ներից</w:t>
      </w:r>
      <w:r w:rsidRPr="00A00B8B">
        <w:rPr>
          <w:b w:val="0"/>
          <w:color w:val="000000"/>
          <w:szCs w:val="22"/>
        </w:rPr>
        <w:t xml:space="preserve"> </w:t>
      </w:r>
      <w:r w:rsidRPr="00A00B8B">
        <w:rPr>
          <w:rFonts w:cs="Sylfaen"/>
          <w:b w:val="0"/>
          <w:color w:val="000000"/>
          <w:szCs w:val="22"/>
        </w:rPr>
        <w:t>ու</w:t>
      </w:r>
      <w:r w:rsidRPr="00A00B8B">
        <w:rPr>
          <w:b w:val="0"/>
          <w:color w:val="000000"/>
          <w:szCs w:val="22"/>
        </w:rPr>
        <w:t xml:space="preserve"> </w:t>
      </w:r>
      <w:r w:rsidRPr="00A00B8B">
        <w:rPr>
          <w:rFonts w:cs="Sylfaen"/>
          <w:b w:val="0"/>
          <w:color w:val="000000"/>
          <w:szCs w:val="22"/>
        </w:rPr>
        <w:t>տնտեսության</w:t>
      </w:r>
      <w:r w:rsidRPr="00A00B8B">
        <w:rPr>
          <w:b w:val="0"/>
          <w:color w:val="000000"/>
          <w:szCs w:val="22"/>
        </w:rPr>
        <w:t xml:space="preserve"> </w:t>
      </w:r>
      <w:r w:rsidRPr="00A00B8B">
        <w:rPr>
          <w:rFonts w:cs="Sylfaen"/>
          <w:b w:val="0"/>
          <w:color w:val="000000"/>
          <w:szCs w:val="22"/>
        </w:rPr>
        <w:t>վրա</w:t>
      </w:r>
      <w:r w:rsidRPr="00A00B8B">
        <w:rPr>
          <w:b w:val="0"/>
          <w:color w:val="000000"/>
          <w:szCs w:val="22"/>
        </w:rPr>
        <w:t xml:space="preserve"> </w:t>
      </w:r>
      <w:r w:rsidRPr="00A00B8B">
        <w:rPr>
          <w:rFonts w:cs="Sylfaen"/>
          <w:b w:val="0"/>
          <w:color w:val="000000"/>
          <w:szCs w:val="22"/>
        </w:rPr>
        <w:t>բացասական</w:t>
      </w:r>
      <w:r w:rsidRPr="00A00B8B">
        <w:rPr>
          <w:b w:val="0"/>
          <w:color w:val="000000"/>
          <w:szCs w:val="22"/>
        </w:rPr>
        <w:t xml:space="preserve"> </w:t>
      </w:r>
      <w:r w:rsidRPr="00A00B8B">
        <w:rPr>
          <w:rFonts w:cs="Sylfaen"/>
          <w:b w:val="0"/>
          <w:color w:val="000000"/>
          <w:szCs w:val="22"/>
        </w:rPr>
        <w:t>հետևանք</w:t>
      </w:r>
      <w:r w:rsidRPr="00130243">
        <w:rPr>
          <w:rFonts w:cs="Sylfaen"/>
          <w:b w:val="0"/>
          <w:color w:val="000000"/>
          <w:szCs w:val="22"/>
        </w:rPr>
        <w:softHyphen/>
      </w:r>
      <w:r w:rsidRPr="00A00B8B">
        <w:rPr>
          <w:rFonts w:cs="Sylfaen"/>
          <w:b w:val="0"/>
          <w:color w:val="000000"/>
          <w:szCs w:val="22"/>
        </w:rPr>
        <w:t>նե</w:t>
      </w:r>
      <w:r w:rsidRPr="00130243">
        <w:rPr>
          <w:rFonts w:cs="Sylfaen"/>
          <w:b w:val="0"/>
          <w:color w:val="000000"/>
          <w:szCs w:val="22"/>
        </w:rPr>
        <w:softHyphen/>
      </w:r>
      <w:r w:rsidRPr="00A00B8B">
        <w:rPr>
          <w:rFonts w:cs="Sylfaen"/>
          <w:b w:val="0"/>
          <w:color w:val="000000"/>
          <w:szCs w:val="22"/>
        </w:rPr>
        <w:t>րից, և հետևողականությամբ, քանի որ հարկային արտոնությունների շրջանակի վերանայումը լրացուցիչ ռեսուրսներ կենտ</w:t>
      </w:r>
      <w:r w:rsidRPr="00130243">
        <w:rPr>
          <w:rFonts w:cs="Sylfaen"/>
          <w:b w:val="0"/>
          <w:color w:val="000000"/>
          <w:szCs w:val="22"/>
        </w:rPr>
        <w:softHyphen/>
      </w:r>
      <w:r w:rsidRPr="00A00B8B">
        <w:rPr>
          <w:rFonts w:cs="Sylfaen"/>
          <w:b w:val="0"/>
          <w:color w:val="000000"/>
          <w:szCs w:val="22"/>
        </w:rPr>
        <w:t>րոնացնելու և դրանք տնտեսության հետագա զարգացմանն ուղղելու հնարավորություն կընձեռի</w:t>
      </w:r>
      <w:r w:rsidRPr="00A00B8B">
        <w:rPr>
          <w:b w:val="0"/>
          <w:color w:val="000000"/>
          <w:szCs w:val="22"/>
        </w:rPr>
        <w:t xml:space="preserve">: </w:t>
      </w:r>
      <w:r w:rsidRPr="00A00B8B">
        <w:rPr>
          <w:rFonts w:cs="Sylfaen"/>
          <w:b w:val="0"/>
          <w:color w:val="000000"/>
          <w:szCs w:val="22"/>
        </w:rPr>
        <w:t>Մասնավորապես</w:t>
      </w:r>
      <w:r w:rsidRPr="00A00B8B">
        <w:rPr>
          <w:b w:val="0"/>
          <w:color w:val="000000"/>
          <w:szCs w:val="22"/>
        </w:rPr>
        <w:t xml:space="preserve">, </w:t>
      </w:r>
      <w:r w:rsidRPr="00A00B8B">
        <w:rPr>
          <w:rFonts w:cs="Sylfaen"/>
          <w:b w:val="0"/>
          <w:color w:val="000000"/>
          <w:szCs w:val="22"/>
        </w:rPr>
        <w:t>նախքան</w:t>
      </w:r>
      <w:r w:rsidRPr="00130243">
        <w:rPr>
          <w:rFonts w:cs="Sylfaen"/>
          <w:b w:val="0"/>
          <w:color w:val="000000"/>
          <w:szCs w:val="22"/>
        </w:rPr>
        <w:t xml:space="preserve"> </w:t>
      </w:r>
      <w:r w:rsidRPr="00A00B8B">
        <w:rPr>
          <w:rFonts w:cs="Sylfaen"/>
          <w:b w:val="0"/>
          <w:color w:val="000000"/>
          <w:szCs w:val="22"/>
        </w:rPr>
        <w:t>հարկային</w:t>
      </w:r>
      <w:r w:rsidRPr="00130243">
        <w:rPr>
          <w:rFonts w:cs="Sylfaen"/>
          <w:b w:val="0"/>
          <w:color w:val="000000"/>
          <w:szCs w:val="22"/>
        </w:rPr>
        <w:t xml:space="preserve"> </w:t>
      </w:r>
      <w:r w:rsidRPr="00A00B8B">
        <w:rPr>
          <w:rFonts w:cs="Sylfaen"/>
          <w:b w:val="0"/>
          <w:color w:val="000000"/>
          <w:szCs w:val="22"/>
        </w:rPr>
        <w:t>արտոնությունների</w:t>
      </w:r>
      <w:r w:rsidRPr="00A00B8B">
        <w:rPr>
          <w:b w:val="0"/>
          <w:color w:val="000000"/>
          <w:szCs w:val="22"/>
        </w:rPr>
        <w:t xml:space="preserve"> </w:t>
      </w:r>
      <w:r w:rsidRPr="00A00B8B">
        <w:rPr>
          <w:rFonts w:cs="Sylfaen"/>
          <w:b w:val="0"/>
          <w:color w:val="000000"/>
          <w:szCs w:val="22"/>
        </w:rPr>
        <w:t>կրճատումը</w:t>
      </w:r>
      <w:r w:rsidRPr="00A00B8B">
        <w:rPr>
          <w:b w:val="0"/>
          <w:color w:val="000000"/>
          <w:szCs w:val="22"/>
        </w:rPr>
        <w:t xml:space="preserve"> </w:t>
      </w:r>
      <w:r w:rsidRPr="00A00B8B">
        <w:rPr>
          <w:rFonts w:cs="Sylfaen"/>
          <w:b w:val="0"/>
          <w:color w:val="000000"/>
          <w:szCs w:val="22"/>
        </w:rPr>
        <w:t>պետք</w:t>
      </w:r>
      <w:r w:rsidRPr="00A00B8B">
        <w:rPr>
          <w:b w:val="0"/>
          <w:color w:val="000000"/>
          <w:szCs w:val="22"/>
        </w:rPr>
        <w:t xml:space="preserve"> </w:t>
      </w:r>
      <w:r w:rsidRPr="00A00B8B">
        <w:rPr>
          <w:rFonts w:cs="Sylfaen"/>
          <w:b w:val="0"/>
          <w:color w:val="000000"/>
          <w:szCs w:val="22"/>
        </w:rPr>
        <w:t>է</w:t>
      </w:r>
      <w:r w:rsidRPr="00A00B8B">
        <w:rPr>
          <w:b w:val="0"/>
          <w:color w:val="000000"/>
          <w:szCs w:val="22"/>
        </w:rPr>
        <w:t xml:space="preserve"> </w:t>
      </w:r>
      <w:r w:rsidRPr="00A00B8B">
        <w:rPr>
          <w:rFonts w:cs="Sylfaen"/>
          <w:b w:val="0"/>
          <w:color w:val="000000"/>
          <w:szCs w:val="22"/>
        </w:rPr>
        <w:t>ման</w:t>
      </w:r>
      <w:r w:rsidRPr="00130243">
        <w:rPr>
          <w:rFonts w:cs="Sylfaen"/>
          <w:b w:val="0"/>
          <w:color w:val="000000"/>
          <w:szCs w:val="22"/>
        </w:rPr>
        <w:softHyphen/>
      </w:r>
      <w:r w:rsidRPr="00A00B8B">
        <w:rPr>
          <w:rFonts w:cs="Sylfaen"/>
          <w:b w:val="0"/>
          <w:color w:val="000000"/>
          <w:szCs w:val="22"/>
        </w:rPr>
        <w:t>րա</w:t>
      </w:r>
      <w:r w:rsidRPr="00130243">
        <w:rPr>
          <w:rFonts w:cs="Sylfaen"/>
          <w:b w:val="0"/>
          <w:color w:val="000000"/>
          <w:szCs w:val="22"/>
        </w:rPr>
        <w:softHyphen/>
      </w:r>
      <w:r w:rsidRPr="00A00B8B">
        <w:rPr>
          <w:rFonts w:cs="Sylfaen"/>
          <w:b w:val="0"/>
          <w:color w:val="000000"/>
          <w:szCs w:val="22"/>
        </w:rPr>
        <w:t>մասն</w:t>
      </w:r>
      <w:r w:rsidRPr="00130243">
        <w:rPr>
          <w:rFonts w:cs="Sylfaen"/>
          <w:b w:val="0"/>
          <w:color w:val="000000"/>
          <w:szCs w:val="22"/>
        </w:rPr>
        <w:t xml:space="preserve"> </w:t>
      </w:r>
      <w:r w:rsidRPr="00A00B8B">
        <w:rPr>
          <w:rFonts w:cs="Sylfaen"/>
          <w:b w:val="0"/>
          <w:color w:val="000000"/>
          <w:szCs w:val="22"/>
        </w:rPr>
        <w:t>ուսումնասիրվեն</w:t>
      </w:r>
      <w:r w:rsidRPr="00A00B8B">
        <w:rPr>
          <w:b w:val="0"/>
          <w:color w:val="000000"/>
          <w:szCs w:val="22"/>
        </w:rPr>
        <w:t xml:space="preserve"> </w:t>
      </w:r>
      <w:r w:rsidRPr="00A00B8B">
        <w:rPr>
          <w:rFonts w:cs="Sylfaen"/>
          <w:b w:val="0"/>
          <w:color w:val="000000"/>
          <w:szCs w:val="22"/>
        </w:rPr>
        <w:t>գործող</w:t>
      </w:r>
      <w:r w:rsidRPr="00130243">
        <w:rPr>
          <w:rFonts w:cs="Sylfaen"/>
          <w:b w:val="0"/>
          <w:color w:val="000000"/>
          <w:szCs w:val="22"/>
        </w:rPr>
        <w:t xml:space="preserve"> </w:t>
      </w:r>
      <w:r w:rsidRPr="00A00B8B">
        <w:rPr>
          <w:rFonts w:cs="Sylfaen"/>
          <w:b w:val="0"/>
          <w:color w:val="000000"/>
          <w:szCs w:val="22"/>
        </w:rPr>
        <w:t>հարկային</w:t>
      </w:r>
      <w:r w:rsidRPr="00130243">
        <w:rPr>
          <w:rFonts w:cs="Sylfaen"/>
          <w:b w:val="0"/>
          <w:color w:val="000000"/>
          <w:szCs w:val="22"/>
        </w:rPr>
        <w:t xml:space="preserve"> </w:t>
      </w:r>
      <w:r w:rsidRPr="00A00B8B">
        <w:rPr>
          <w:rFonts w:cs="Sylfaen"/>
          <w:b w:val="0"/>
          <w:color w:val="000000"/>
          <w:szCs w:val="22"/>
        </w:rPr>
        <w:t>արտո</w:t>
      </w:r>
      <w:r w:rsidRPr="00130243">
        <w:rPr>
          <w:rFonts w:cs="Sylfaen"/>
          <w:b w:val="0"/>
          <w:color w:val="000000"/>
          <w:szCs w:val="22"/>
        </w:rPr>
        <w:softHyphen/>
      </w:r>
      <w:r w:rsidRPr="00A00B8B">
        <w:rPr>
          <w:rFonts w:cs="Sylfaen"/>
          <w:b w:val="0"/>
          <w:color w:val="000000"/>
          <w:szCs w:val="22"/>
        </w:rPr>
        <w:t>նությունների</w:t>
      </w:r>
      <w:r w:rsidRPr="00A00B8B">
        <w:rPr>
          <w:b w:val="0"/>
          <w:color w:val="000000"/>
          <w:szCs w:val="22"/>
        </w:rPr>
        <w:t xml:space="preserve"> </w:t>
      </w:r>
      <w:r w:rsidRPr="00A00B8B">
        <w:rPr>
          <w:rFonts w:cs="Sylfaen"/>
          <w:b w:val="0"/>
          <w:color w:val="000000"/>
          <w:szCs w:val="22"/>
        </w:rPr>
        <w:t>կիրառության</w:t>
      </w:r>
      <w:r w:rsidRPr="00A00B8B">
        <w:rPr>
          <w:b w:val="0"/>
          <w:color w:val="000000"/>
          <w:szCs w:val="22"/>
        </w:rPr>
        <w:t xml:space="preserve"> </w:t>
      </w:r>
      <w:r w:rsidRPr="00A00B8B">
        <w:rPr>
          <w:rFonts w:cs="Sylfaen"/>
          <w:b w:val="0"/>
          <w:color w:val="000000"/>
          <w:szCs w:val="22"/>
        </w:rPr>
        <w:t>բոլոր</w:t>
      </w:r>
      <w:r w:rsidRPr="00A00B8B">
        <w:rPr>
          <w:b w:val="0"/>
          <w:color w:val="000000"/>
          <w:szCs w:val="22"/>
        </w:rPr>
        <w:t xml:space="preserve"> </w:t>
      </w:r>
      <w:r w:rsidRPr="00A00B8B">
        <w:rPr>
          <w:rFonts w:cs="Sylfaen"/>
          <w:b w:val="0"/>
          <w:color w:val="000000"/>
          <w:szCs w:val="22"/>
        </w:rPr>
        <w:t>դրա</w:t>
      </w:r>
      <w:r w:rsidRPr="00130243">
        <w:rPr>
          <w:rFonts w:cs="Sylfaen"/>
          <w:b w:val="0"/>
          <w:color w:val="000000"/>
          <w:szCs w:val="22"/>
        </w:rPr>
        <w:softHyphen/>
      </w:r>
      <w:r w:rsidRPr="00A00B8B">
        <w:rPr>
          <w:rFonts w:cs="Sylfaen"/>
          <w:b w:val="0"/>
          <w:color w:val="000000"/>
          <w:szCs w:val="22"/>
        </w:rPr>
        <w:t>կան</w:t>
      </w:r>
      <w:r w:rsidRPr="00A00B8B">
        <w:rPr>
          <w:b w:val="0"/>
          <w:color w:val="000000"/>
          <w:szCs w:val="22"/>
        </w:rPr>
        <w:t xml:space="preserve"> </w:t>
      </w:r>
      <w:r w:rsidRPr="00A00B8B">
        <w:rPr>
          <w:rFonts w:cs="Sylfaen"/>
          <w:b w:val="0"/>
          <w:color w:val="000000"/>
          <w:szCs w:val="22"/>
        </w:rPr>
        <w:t>ու</w:t>
      </w:r>
      <w:r w:rsidRPr="00A00B8B">
        <w:rPr>
          <w:b w:val="0"/>
          <w:color w:val="000000"/>
          <w:szCs w:val="22"/>
        </w:rPr>
        <w:t xml:space="preserve"> </w:t>
      </w:r>
      <w:r w:rsidRPr="00A00B8B">
        <w:rPr>
          <w:rFonts w:cs="Sylfaen"/>
          <w:b w:val="0"/>
          <w:color w:val="000000"/>
          <w:szCs w:val="22"/>
        </w:rPr>
        <w:t>բացասական</w:t>
      </w:r>
      <w:r w:rsidRPr="00A00B8B">
        <w:rPr>
          <w:b w:val="0"/>
          <w:color w:val="000000"/>
          <w:szCs w:val="22"/>
        </w:rPr>
        <w:t xml:space="preserve"> </w:t>
      </w:r>
      <w:r w:rsidRPr="00A00B8B">
        <w:rPr>
          <w:rFonts w:cs="Sylfaen"/>
          <w:b w:val="0"/>
          <w:color w:val="000000"/>
          <w:szCs w:val="22"/>
        </w:rPr>
        <w:t>կողմերը</w:t>
      </w:r>
      <w:r w:rsidRPr="00A00B8B">
        <w:rPr>
          <w:b w:val="0"/>
          <w:color w:val="000000"/>
          <w:szCs w:val="22"/>
        </w:rPr>
        <w:t xml:space="preserve">, </w:t>
      </w:r>
      <w:r w:rsidRPr="00A00B8B">
        <w:rPr>
          <w:rFonts w:cs="Sylfaen"/>
          <w:b w:val="0"/>
          <w:color w:val="000000"/>
          <w:szCs w:val="22"/>
        </w:rPr>
        <w:t>այդ</w:t>
      </w:r>
      <w:r w:rsidRPr="00A00B8B">
        <w:rPr>
          <w:b w:val="0"/>
          <w:color w:val="000000"/>
          <w:szCs w:val="22"/>
        </w:rPr>
        <w:t xml:space="preserve"> </w:t>
      </w:r>
      <w:r w:rsidRPr="00A00B8B">
        <w:rPr>
          <w:rFonts w:cs="Sylfaen"/>
          <w:b w:val="0"/>
          <w:color w:val="000000"/>
          <w:szCs w:val="22"/>
        </w:rPr>
        <w:t>թվում</w:t>
      </w:r>
      <w:r w:rsidRPr="00A00B8B">
        <w:rPr>
          <w:b w:val="0"/>
          <w:color w:val="000000"/>
          <w:szCs w:val="22"/>
        </w:rPr>
        <w:t xml:space="preserve">` </w:t>
      </w:r>
      <w:r w:rsidRPr="00A00B8B">
        <w:rPr>
          <w:rFonts w:cs="Sylfaen"/>
          <w:b w:val="0"/>
          <w:color w:val="000000"/>
          <w:szCs w:val="22"/>
        </w:rPr>
        <w:t>ինչ</w:t>
      </w:r>
      <w:r w:rsidRPr="00130243">
        <w:rPr>
          <w:rFonts w:cs="Sylfaen"/>
          <w:b w:val="0"/>
          <w:color w:val="000000"/>
          <w:szCs w:val="22"/>
        </w:rPr>
        <w:softHyphen/>
      </w:r>
      <w:r w:rsidRPr="00A00B8B">
        <w:rPr>
          <w:rFonts w:cs="Sylfaen"/>
          <w:b w:val="0"/>
          <w:color w:val="000000"/>
          <w:szCs w:val="22"/>
        </w:rPr>
        <w:t>պես</w:t>
      </w:r>
      <w:r w:rsidRPr="00A00B8B">
        <w:rPr>
          <w:b w:val="0"/>
          <w:color w:val="000000"/>
          <w:szCs w:val="22"/>
        </w:rPr>
        <w:t xml:space="preserve"> </w:t>
      </w:r>
      <w:r w:rsidRPr="00A00B8B">
        <w:rPr>
          <w:rFonts w:cs="Sylfaen"/>
          <w:b w:val="0"/>
          <w:color w:val="000000"/>
          <w:szCs w:val="22"/>
        </w:rPr>
        <w:t>պետության</w:t>
      </w:r>
      <w:r w:rsidRPr="00A00B8B">
        <w:rPr>
          <w:b w:val="0"/>
          <w:color w:val="000000"/>
          <w:szCs w:val="22"/>
        </w:rPr>
        <w:t xml:space="preserve">, </w:t>
      </w:r>
      <w:r w:rsidRPr="00A00B8B">
        <w:rPr>
          <w:rFonts w:cs="Sylfaen"/>
          <w:b w:val="0"/>
          <w:color w:val="000000"/>
          <w:szCs w:val="22"/>
        </w:rPr>
        <w:t>այնպես</w:t>
      </w:r>
      <w:r w:rsidRPr="00A00B8B">
        <w:rPr>
          <w:b w:val="0"/>
          <w:color w:val="000000"/>
          <w:szCs w:val="22"/>
        </w:rPr>
        <w:t xml:space="preserve"> </w:t>
      </w:r>
      <w:r w:rsidRPr="00A00B8B">
        <w:rPr>
          <w:rFonts w:cs="Sylfaen"/>
          <w:b w:val="0"/>
          <w:color w:val="000000"/>
          <w:szCs w:val="22"/>
        </w:rPr>
        <w:t>էլ</w:t>
      </w:r>
      <w:r w:rsidRPr="00A00B8B">
        <w:rPr>
          <w:b w:val="0"/>
          <w:color w:val="000000"/>
          <w:szCs w:val="22"/>
        </w:rPr>
        <w:t xml:space="preserve"> </w:t>
      </w:r>
      <w:r w:rsidRPr="00A00B8B">
        <w:rPr>
          <w:rFonts w:cs="Sylfaen"/>
          <w:b w:val="0"/>
          <w:color w:val="000000"/>
          <w:szCs w:val="22"/>
        </w:rPr>
        <w:t>այդ</w:t>
      </w:r>
      <w:r w:rsidRPr="00A00B8B">
        <w:rPr>
          <w:b w:val="0"/>
          <w:color w:val="000000"/>
          <w:szCs w:val="22"/>
        </w:rPr>
        <w:t xml:space="preserve"> </w:t>
      </w:r>
      <w:r w:rsidRPr="00A00B8B">
        <w:rPr>
          <w:rFonts w:cs="Sylfaen"/>
          <w:b w:val="0"/>
          <w:color w:val="000000"/>
          <w:szCs w:val="22"/>
        </w:rPr>
        <w:t>արտո</w:t>
      </w:r>
      <w:r w:rsidRPr="00130243">
        <w:rPr>
          <w:rFonts w:cs="Sylfaen"/>
          <w:b w:val="0"/>
          <w:color w:val="000000"/>
          <w:szCs w:val="22"/>
        </w:rPr>
        <w:softHyphen/>
      </w:r>
      <w:r w:rsidRPr="00A00B8B">
        <w:rPr>
          <w:rFonts w:cs="Sylfaen"/>
          <w:b w:val="0"/>
          <w:color w:val="000000"/>
          <w:szCs w:val="22"/>
        </w:rPr>
        <w:t>նու</w:t>
      </w:r>
      <w:r w:rsidRPr="00130243">
        <w:rPr>
          <w:rFonts w:cs="Sylfaen"/>
          <w:b w:val="0"/>
          <w:color w:val="000000"/>
          <w:szCs w:val="22"/>
        </w:rPr>
        <w:softHyphen/>
      </w:r>
      <w:r w:rsidRPr="00A00B8B">
        <w:rPr>
          <w:rFonts w:cs="Sylfaen"/>
          <w:b w:val="0"/>
          <w:color w:val="000000"/>
          <w:szCs w:val="22"/>
        </w:rPr>
        <w:t>թյուն</w:t>
      </w:r>
      <w:r w:rsidRPr="00130243">
        <w:rPr>
          <w:rFonts w:cs="Sylfaen"/>
          <w:b w:val="0"/>
          <w:color w:val="000000"/>
          <w:szCs w:val="22"/>
        </w:rPr>
        <w:softHyphen/>
      </w:r>
      <w:r w:rsidRPr="00A00B8B">
        <w:rPr>
          <w:rFonts w:cs="Sylfaen"/>
          <w:b w:val="0"/>
          <w:color w:val="000000"/>
          <w:szCs w:val="22"/>
        </w:rPr>
        <w:t>ներից</w:t>
      </w:r>
      <w:r w:rsidRPr="00A00B8B">
        <w:rPr>
          <w:b w:val="0"/>
          <w:color w:val="000000"/>
          <w:szCs w:val="22"/>
        </w:rPr>
        <w:t xml:space="preserve"> </w:t>
      </w:r>
      <w:r w:rsidRPr="00A00B8B">
        <w:rPr>
          <w:rFonts w:cs="Sylfaen"/>
          <w:b w:val="0"/>
          <w:color w:val="000000"/>
          <w:szCs w:val="22"/>
        </w:rPr>
        <w:t>օգտվողների</w:t>
      </w:r>
      <w:r w:rsidRPr="00A00B8B">
        <w:rPr>
          <w:b w:val="0"/>
          <w:color w:val="000000"/>
          <w:szCs w:val="22"/>
        </w:rPr>
        <w:t xml:space="preserve"> </w:t>
      </w:r>
      <w:r w:rsidRPr="00A00B8B">
        <w:rPr>
          <w:rFonts w:cs="Sylfaen"/>
          <w:b w:val="0"/>
          <w:color w:val="000000"/>
          <w:szCs w:val="22"/>
        </w:rPr>
        <w:t>տեսանկյունից</w:t>
      </w:r>
      <w:r w:rsidRPr="00A00B8B">
        <w:rPr>
          <w:b w:val="0"/>
          <w:color w:val="000000"/>
          <w:szCs w:val="22"/>
        </w:rPr>
        <w:t xml:space="preserve">, </w:t>
      </w:r>
      <w:r w:rsidRPr="00A00B8B">
        <w:rPr>
          <w:rFonts w:cs="Sylfaen"/>
          <w:b w:val="0"/>
          <w:color w:val="000000"/>
          <w:szCs w:val="22"/>
        </w:rPr>
        <w:t>համադր</w:t>
      </w:r>
      <w:r w:rsidRPr="00130243">
        <w:rPr>
          <w:rFonts w:cs="Sylfaen"/>
          <w:b w:val="0"/>
          <w:color w:val="000000"/>
          <w:szCs w:val="22"/>
        </w:rPr>
        <w:softHyphen/>
      </w:r>
      <w:r w:rsidRPr="00A00B8B">
        <w:rPr>
          <w:rFonts w:cs="Sylfaen"/>
          <w:b w:val="0"/>
          <w:color w:val="000000"/>
          <w:szCs w:val="22"/>
        </w:rPr>
        <w:t>վեն</w:t>
      </w:r>
      <w:r w:rsidRPr="00A00B8B">
        <w:rPr>
          <w:b w:val="0"/>
          <w:color w:val="000000"/>
          <w:szCs w:val="22"/>
        </w:rPr>
        <w:t xml:space="preserve"> </w:t>
      </w:r>
      <w:r w:rsidRPr="00A00B8B">
        <w:rPr>
          <w:rFonts w:cs="Sylfaen"/>
          <w:b w:val="0"/>
          <w:color w:val="000000"/>
          <w:szCs w:val="22"/>
        </w:rPr>
        <w:t>արտոնությունների</w:t>
      </w:r>
      <w:r w:rsidRPr="00A00B8B">
        <w:rPr>
          <w:b w:val="0"/>
          <w:color w:val="000000"/>
          <w:szCs w:val="22"/>
        </w:rPr>
        <w:t xml:space="preserve"> </w:t>
      </w:r>
      <w:r w:rsidRPr="00A00B8B">
        <w:rPr>
          <w:rFonts w:cs="Sylfaen"/>
          <w:b w:val="0"/>
          <w:color w:val="000000"/>
          <w:szCs w:val="22"/>
        </w:rPr>
        <w:t>կիրառության</w:t>
      </w:r>
      <w:r w:rsidRPr="00A00B8B">
        <w:rPr>
          <w:b w:val="0"/>
          <w:color w:val="000000"/>
          <w:szCs w:val="22"/>
        </w:rPr>
        <w:t xml:space="preserve"> </w:t>
      </w:r>
      <w:r w:rsidRPr="00A00B8B">
        <w:rPr>
          <w:rFonts w:cs="Sylfaen"/>
          <w:b w:val="0"/>
          <w:color w:val="000000"/>
          <w:szCs w:val="22"/>
        </w:rPr>
        <w:t>օգուտ</w:t>
      </w:r>
      <w:r w:rsidRPr="00130243">
        <w:rPr>
          <w:rFonts w:cs="Sylfaen"/>
          <w:b w:val="0"/>
          <w:color w:val="000000"/>
          <w:szCs w:val="22"/>
        </w:rPr>
        <w:softHyphen/>
      </w:r>
      <w:r w:rsidRPr="00A00B8B">
        <w:rPr>
          <w:rFonts w:cs="Sylfaen"/>
          <w:b w:val="0"/>
          <w:color w:val="000000"/>
          <w:szCs w:val="22"/>
        </w:rPr>
        <w:t>ներն</w:t>
      </w:r>
      <w:r w:rsidRPr="00A00B8B">
        <w:rPr>
          <w:b w:val="0"/>
          <w:color w:val="000000"/>
          <w:szCs w:val="22"/>
        </w:rPr>
        <w:t xml:space="preserve"> </w:t>
      </w:r>
      <w:r w:rsidRPr="00A00B8B">
        <w:rPr>
          <w:rFonts w:cs="Sylfaen"/>
          <w:b w:val="0"/>
          <w:color w:val="000000"/>
          <w:szCs w:val="22"/>
        </w:rPr>
        <w:t>ու</w:t>
      </w:r>
      <w:r w:rsidRPr="00A00B8B">
        <w:rPr>
          <w:b w:val="0"/>
          <w:color w:val="000000"/>
          <w:szCs w:val="22"/>
        </w:rPr>
        <w:t xml:space="preserve"> </w:t>
      </w:r>
      <w:r w:rsidRPr="00A00B8B">
        <w:rPr>
          <w:rFonts w:cs="Sylfaen"/>
          <w:b w:val="0"/>
          <w:color w:val="000000"/>
          <w:szCs w:val="22"/>
        </w:rPr>
        <w:t>վնասները</w:t>
      </w:r>
      <w:r w:rsidRPr="00A00B8B">
        <w:rPr>
          <w:b w:val="0"/>
          <w:color w:val="000000"/>
          <w:szCs w:val="22"/>
        </w:rPr>
        <w:t xml:space="preserve">, </w:t>
      </w:r>
      <w:r w:rsidRPr="00A00B8B">
        <w:rPr>
          <w:rFonts w:cs="Sylfaen"/>
          <w:b w:val="0"/>
          <w:color w:val="000000"/>
          <w:szCs w:val="22"/>
        </w:rPr>
        <w:t>բացահայտվեն</w:t>
      </w:r>
      <w:r w:rsidRPr="00A00B8B">
        <w:rPr>
          <w:b w:val="0"/>
          <w:color w:val="000000"/>
          <w:szCs w:val="22"/>
        </w:rPr>
        <w:t xml:space="preserve"> </w:t>
      </w:r>
      <w:r w:rsidRPr="00A00B8B">
        <w:rPr>
          <w:rFonts w:cs="Sylfaen"/>
          <w:b w:val="0"/>
          <w:color w:val="000000"/>
          <w:szCs w:val="22"/>
        </w:rPr>
        <w:t>արտոնու</w:t>
      </w:r>
      <w:r w:rsidRPr="00130243">
        <w:rPr>
          <w:rFonts w:cs="Sylfaen"/>
          <w:b w:val="0"/>
          <w:color w:val="000000"/>
          <w:szCs w:val="22"/>
        </w:rPr>
        <w:softHyphen/>
      </w:r>
      <w:r w:rsidRPr="00A00B8B">
        <w:rPr>
          <w:rFonts w:cs="Sylfaen"/>
          <w:b w:val="0"/>
          <w:color w:val="000000"/>
          <w:szCs w:val="22"/>
        </w:rPr>
        <w:t>թյուն</w:t>
      </w:r>
      <w:r w:rsidRPr="00130243">
        <w:rPr>
          <w:rFonts w:cs="Sylfaen"/>
          <w:b w:val="0"/>
          <w:color w:val="000000"/>
          <w:szCs w:val="22"/>
        </w:rPr>
        <w:softHyphen/>
      </w:r>
      <w:r w:rsidRPr="00A00B8B">
        <w:rPr>
          <w:rFonts w:cs="Sylfaen"/>
          <w:b w:val="0"/>
          <w:color w:val="000000"/>
          <w:szCs w:val="22"/>
        </w:rPr>
        <w:t>ների</w:t>
      </w:r>
      <w:r w:rsidRPr="00A00B8B">
        <w:rPr>
          <w:b w:val="0"/>
          <w:color w:val="000000"/>
          <w:szCs w:val="22"/>
        </w:rPr>
        <w:t xml:space="preserve"> </w:t>
      </w:r>
      <w:r w:rsidRPr="00A00B8B">
        <w:rPr>
          <w:rFonts w:cs="Sylfaen"/>
          <w:b w:val="0"/>
          <w:color w:val="000000"/>
          <w:szCs w:val="22"/>
        </w:rPr>
        <w:t>վերանայման</w:t>
      </w:r>
      <w:r w:rsidRPr="00A00B8B">
        <w:rPr>
          <w:b w:val="0"/>
          <w:color w:val="000000"/>
          <w:szCs w:val="22"/>
        </w:rPr>
        <w:t xml:space="preserve"> </w:t>
      </w:r>
      <w:r w:rsidRPr="00A00B8B">
        <w:rPr>
          <w:rFonts w:cs="Sylfaen"/>
          <w:b w:val="0"/>
          <w:color w:val="000000"/>
          <w:szCs w:val="22"/>
        </w:rPr>
        <w:t>հնարավոր</w:t>
      </w:r>
      <w:r w:rsidRPr="00A00B8B">
        <w:rPr>
          <w:b w:val="0"/>
          <w:color w:val="000000"/>
          <w:szCs w:val="22"/>
        </w:rPr>
        <w:t xml:space="preserve"> </w:t>
      </w:r>
      <w:r w:rsidRPr="00A00B8B">
        <w:rPr>
          <w:rFonts w:cs="Sylfaen"/>
          <w:b w:val="0"/>
          <w:color w:val="000000"/>
          <w:szCs w:val="22"/>
        </w:rPr>
        <w:t>ազդե</w:t>
      </w:r>
      <w:r w:rsidRPr="00130243">
        <w:rPr>
          <w:rFonts w:cs="Sylfaen"/>
          <w:b w:val="0"/>
          <w:color w:val="000000"/>
          <w:szCs w:val="22"/>
        </w:rPr>
        <w:softHyphen/>
      </w:r>
      <w:r w:rsidRPr="00A00B8B">
        <w:rPr>
          <w:rFonts w:cs="Sylfaen"/>
          <w:b w:val="0"/>
          <w:color w:val="000000"/>
          <w:szCs w:val="22"/>
        </w:rPr>
        <w:t>ցու</w:t>
      </w:r>
      <w:r w:rsidRPr="00130243">
        <w:rPr>
          <w:rFonts w:cs="Sylfaen"/>
          <w:b w:val="0"/>
          <w:color w:val="000000"/>
          <w:szCs w:val="22"/>
        </w:rPr>
        <w:softHyphen/>
      </w:r>
      <w:r w:rsidRPr="00A00B8B">
        <w:rPr>
          <w:rFonts w:cs="Sylfaen"/>
          <w:b w:val="0"/>
          <w:color w:val="000000"/>
          <w:szCs w:val="22"/>
        </w:rPr>
        <w:t>թյունները</w:t>
      </w:r>
      <w:r w:rsidRPr="00A00B8B">
        <w:rPr>
          <w:b w:val="0"/>
          <w:color w:val="000000"/>
          <w:szCs w:val="22"/>
        </w:rPr>
        <w:t xml:space="preserve"> </w:t>
      </w:r>
      <w:r w:rsidRPr="00A00B8B">
        <w:rPr>
          <w:rFonts w:cs="Sylfaen"/>
          <w:b w:val="0"/>
          <w:color w:val="000000"/>
          <w:szCs w:val="22"/>
        </w:rPr>
        <w:t>պետական</w:t>
      </w:r>
      <w:r w:rsidRPr="00A00B8B">
        <w:rPr>
          <w:b w:val="0"/>
          <w:color w:val="000000"/>
          <w:szCs w:val="22"/>
        </w:rPr>
        <w:t xml:space="preserve"> </w:t>
      </w:r>
      <w:r w:rsidRPr="00A00B8B">
        <w:rPr>
          <w:rFonts w:cs="Sylfaen"/>
          <w:b w:val="0"/>
          <w:color w:val="000000"/>
          <w:szCs w:val="22"/>
        </w:rPr>
        <w:t>բյուջեի</w:t>
      </w:r>
      <w:r w:rsidRPr="00130243">
        <w:rPr>
          <w:rFonts w:cs="Sylfaen"/>
          <w:b w:val="0"/>
          <w:color w:val="000000"/>
          <w:szCs w:val="22"/>
        </w:rPr>
        <w:t xml:space="preserve"> </w:t>
      </w:r>
      <w:r w:rsidRPr="00A00B8B">
        <w:rPr>
          <w:rFonts w:cs="Sylfaen"/>
          <w:b w:val="0"/>
          <w:color w:val="000000"/>
          <w:szCs w:val="22"/>
        </w:rPr>
        <w:t>հարկային</w:t>
      </w:r>
      <w:r w:rsidRPr="00130243">
        <w:rPr>
          <w:rFonts w:cs="Sylfaen"/>
          <w:b w:val="0"/>
          <w:color w:val="000000"/>
          <w:szCs w:val="22"/>
        </w:rPr>
        <w:t xml:space="preserve"> </w:t>
      </w:r>
      <w:r w:rsidRPr="00A00B8B">
        <w:rPr>
          <w:rFonts w:cs="Sylfaen"/>
          <w:b w:val="0"/>
          <w:color w:val="000000"/>
          <w:szCs w:val="22"/>
        </w:rPr>
        <w:t>եկա</w:t>
      </w:r>
      <w:r w:rsidRPr="00130243">
        <w:rPr>
          <w:rFonts w:cs="Sylfaen"/>
          <w:b w:val="0"/>
          <w:color w:val="000000"/>
          <w:szCs w:val="22"/>
        </w:rPr>
        <w:softHyphen/>
      </w:r>
      <w:r w:rsidRPr="00A00B8B">
        <w:rPr>
          <w:rFonts w:cs="Sylfaen"/>
          <w:b w:val="0"/>
          <w:color w:val="000000"/>
          <w:szCs w:val="22"/>
        </w:rPr>
        <w:t>մուտ</w:t>
      </w:r>
      <w:r w:rsidRPr="00130243">
        <w:rPr>
          <w:rFonts w:cs="Sylfaen"/>
          <w:b w:val="0"/>
          <w:color w:val="000000"/>
          <w:szCs w:val="22"/>
        </w:rPr>
        <w:softHyphen/>
      </w:r>
      <w:r w:rsidRPr="00A00B8B">
        <w:rPr>
          <w:rFonts w:cs="Sylfaen"/>
          <w:b w:val="0"/>
          <w:color w:val="000000"/>
          <w:szCs w:val="22"/>
        </w:rPr>
        <w:t>ների</w:t>
      </w:r>
      <w:r w:rsidRPr="00A00B8B">
        <w:rPr>
          <w:b w:val="0"/>
          <w:color w:val="000000"/>
          <w:szCs w:val="22"/>
        </w:rPr>
        <w:t xml:space="preserve">, </w:t>
      </w:r>
      <w:r w:rsidRPr="00A00B8B">
        <w:rPr>
          <w:rFonts w:cs="Sylfaen"/>
          <w:b w:val="0"/>
          <w:color w:val="000000"/>
          <w:szCs w:val="22"/>
        </w:rPr>
        <w:t>ազգային</w:t>
      </w:r>
      <w:r w:rsidRPr="00A00B8B">
        <w:rPr>
          <w:b w:val="0"/>
          <w:color w:val="000000"/>
          <w:szCs w:val="22"/>
        </w:rPr>
        <w:t xml:space="preserve"> </w:t>
      </w:r>
      <w:r w:rsidRPr="00A00B8B">
        <w:rPr>
          <w:rFonts w:cs="Sylfaen"/>
          <w:b w:val="0"/>
          <w:color w:val="000000"/>
          <w:szCs w:val="22"/>
        </w:rPr>
        <w:t>տնտեսության</w:t>
      </w:r>
      <w:r w:rsidRPr="00A00B8B">
        <w:rPr>
          <w:b w:val="0"/>
          <w:color w:val="000000"/>
          <w:szCs w:val="22"/>
        </w:rPr>
        <w:t xml:space="preserve"> </w:t>
      </w:r>
      <w:r w:rsidRPr="00A00B8B">
        <w:rPr>
          <w:rFonts w:cs="Sylfaen"/>
          <w:b w:val="0"/>
          <w:color w:val="000000"/>
          <w:szCs w:val="22"/>
        </w:rPr>
        <w:t>տնտե</w:t>
      </w:r>
      <w:r w:rsidRPr="00130243">
        <w:rPr>
          <w:rFonts w:cs="Sylfaen"/>
          <w:b w:val="0"/>
          <w:color w:val="000000"/>
          <w:szCs w:val="22"/>
        </w:rPr>
        <w:softHyphen/>
      </w:r>
      <w:r w:rsidRPr="00A00B8B">
        <w:rPr>
          <w:rFonts w:cs="Sylfaen"/>
          <w:b w:val="0"/>
          <w:color w:val="000000"/>
          <w:szCs w:val="22"/>
        </w:rPr>
        <w:t>սա</w:t>
      </w:r>
      <w:r w:rsidRPr="00130243">
        <w:rPr>
          <w:rFonts w:cs="Sylfaen"/>
          <w:b w:val="0"/>
          <w:color w:val="000000"/>
          <w:szCs w:val="22"/>
        </w:rPr>
        <w:softHyphen/>
      </w:r>
      <w:r w:rsidRPr="00A00B8B">
        <w:rPr>
          <w:rFonts w:cs="Sylfaen"/>
          <w:b w:val="0"/>
          <w:color w:val="000000"/>
          <w:szCs w:val="22"/>
        </w:rPr>
        <w:t>կան</w:t>
      </w:r>
      <w:r w:rsidRPr="00A00B8B">
        <w:rPr>
          <w:b w:val="0"/>
          <w:color w:val="000000"/>
          <w:szCs w:val="22"/>
        </w:rPr>
        <w:t xml:space="preserve"> </w:t>
      </w:r>
      <w:r w:rsidRPr="00A00B8B">
        <w:rPr>
          <w:rFonts w:cs="Sylfaen"/>
          <w:b w:val="0"/>
          <w:color w:val="000000"/>
          <w:szCs w:val="22"/>
        </w:rPr>
        <w:t>ակտիվության</w:t>
      </w:r>
      <w:r w:rsidRPr="00A00B8B">
        <w:rPr>
          <w:b w:val="0"/>
          <w:color w:val="000000"/>
          <w:szCs w:val="22"/>
        </w:rPr>
        <w:t xml:space="preserve">, </w:t>
      </w:r>
      <w:r w:rsidRPr="00A00B8B">
        <w:rPr>
          <w:rFonts w:cs="Sylfaen"/>
          <w:b w:val="0"/>
          <w:color w:val="000000"/>
          <w:szCs w:val="22"/>
        </w:rPr>
        <w:t>գործարար</w:t>
      </w:r>
      <w:r w:rsidRPr="00A00B8B">
        <w:rPr>
          <w:b w:val="0"/>
          <w:color w:val="000000"/>
          <w:szCs w:val="22"/>
        </w:rPr>
        <w:t xml:space="preserve"> </w:t>
      </w:r>
      <w:r w:rsidRPr="00A00B8B">
        <w:rPr>
          <w:rFonts w:cs="Sylfaen"/>
          <w:b w:val="0"/>
          <w:color w:val="000000"/>
          <w:szCs w:val="22"/>
        </w:rPr>
        <w:t>ու</w:t>
      </w:r>
      <w:r w:rsidRPr="00A00B8B">
        <w:rPr>
          <w:b w:val="0"/>
          <w:color w:val="000000"/>
          <w:szCs w:val="22"/>
        </w:rPr>
        <w:t xml:space="preserve"> </w:t>
      </w:r>
      <w:r w:rsidRPr="00A00B8B">
        <w:rPr>
          <w:rFonts w:cs="Sylfaen"/>
          <w:b w:val="0"/>
          <w:color w:val="000000"/>
          <w:szCs w:val="22"/>
        </w:rPr>
        <w:t>ներդրու</w:t>
      </w:r>
      <w:r w:rsidRPr="00130243">
        <w:rPr>
          <w:rFonts w:cs="Sylfaen"/>
          <w:b w:val="0"/>
          <w:color w:val="000000"/>
          <w:szCs w:val="22"/>
        </w:rPr>
        <w:softHyphen/>
      </w:r>
      <w:r w:rsidRPr="00A00B8B">
        <w:rPr>
          <w:rFonts w:cs="Sylfaen"/>
          <w:b w:val="0"/>
          <w:color w:val="000000"/>
          <w:szCs w:val="22"/>
        </w:rPr>
        <w:t>մա</w:t>
      </w:r>
      <w:r w:rsidRPr="00130243">
        <w:rPr>
          <w:rFonts w:cs="Sylfaen"/>
          <w:b w:val="0"/>
          <w:color w:val="000000"/>
          <w:szCs w:val="22"/>
        </w:rPr>
        <w:softHyphen/>
      </w:r>
      <w:r w:rsidRPr="00A00B8B">
        <w:rPr>
          <w:rFonts w:cs="Sylfaen"/>
          <w:b w:val="0"/>
          <w:color w:val="000000"/>
          <w:szCs w:val="22"/>
        </w:rPr>
        <w:t>յին</w:t>
      </w:r>
      <w:r w:rsidRPr="00A00B8B">
        <w:rPr>
          <w:b w:val="0"/>
          <w:color w:val="000000"/>
          <w:szCs w:val="22"/>
        </w:rPr>
        <w:t xml:space="preserve"> </w:t>
      </w:r>
      <w:r w:rsidRPr="00A00B8B">
        <w:rPr>
          <w:rFonts w:cs="Sylfaen"/>
          <w:b w:val="0"/>
          <w:color w:val="000000"/>
          <w:szCs w:val="22"/>
        </w:rPr>
        <w:t>գրավչության</w:t>
      </w:r>
      <w:r w:rsidRPr="00A00B8B">
        <w:rPr>
          <w:b w:val="0"/>
          <w:color w:val="000000"/>
          <w:szCs w:val="22"/>
        </w:rPr>
        <w:t xml:space="preserve">, </w:t>
      </w:r>
      <w:r w:rsidRPr="00A00B8B">
        <w:rPr>
          <w:rFonts w:cs="Sylfaen"/>
          <w:b w:val="0"/>
          <w:color w:val="000000"/>
          <w:szCs w:val="22"/>
        </w:rPr>
        <w:t>երկրի</w:t>
      </w:r>
      <w:r w:rsidRPr="00A00B8B">
        <w:rPr>
          <w:b w:val="0"/>
          <w:color w:val="000000"/>
          <w:szCs w:val="22"/>
        </w:rPr>
        <w:t xml:space="preserve"> </w:t>
      </w:r>
      <w:r w:rsidRPr="00A00B8B">
        <w:rPr>
          <w:rFonts w:cs="Sylfaen"/>
          <w:b w:val="0"/>
          <w:color w:val="000000"/>
          <w:szCs w:val="22"/>
        </w:rPr>
        <w:t>սոցիալ</w:t>
      </w:r>
      <w:r w:rsidRPr="00A00B8B">
        <w:rPr>
          <w:b w:val="0"/>
          <w:color w:val="000000"/>
          <w:szCs w:val="22"/>
        </w:rPr>
        <w:t>-</w:t>
      </w:r>
      <w:r w:rsidRPr="00A00B8B">
        <w:rPr>
          <w:rFonts w:cs="Sylfaen"/>
          <w:b w:val="0"/>
          <w:color w:val="000000"/>
          <w:szCs w:val="22"/>
        </w:rPr>
        <w:t>տնտե</w:t>
      </w:r>
      <w:r w:rsidRPr="00130243">
        <w:rPr>
          <w:rFonts w:cs="Sylfaen"/>
          <w:b w:val="0"/>
          <w:color w:val="000000"/>
          <w:szCs w:val="22"/>
        </w:rPr>
        <w:softHyphen/>
      </w:r>
      <w:r w:rsidRPr="00A00B8B">
        <w:rPr>
          <w:rFonts w:cs="Sylfaen"/>
          <w:b w:val="0"/>
          <w:color w:val="000000"/>
          <w:szCs w:val="22"/>
        </w:rPr>
        <w:t>սա</w:t>
      </w:r>
      <w:r w:rsidRPr="00130243">
        <w:rPr>
          <w:rFonts w:cs="Sylfaen"/>
          <w:b w:val="0"/>
          <w:color w:val="000000"/>
          <w:szCs w:val="22"/>
        </w:rPr>
        <w:softHyphen/>
      </w:r>
      <w:r w:rsidRPr="00A00B8B">
        <w:rPr>
          <w:rFonts w:cs="Sylfaen"/>
          <w:b w:val="0"/>
          <w:color w:val="000000"/>
          <w:szCs w:val="22"/>
        </w:rPr>
        <w:t>կան</w:t>
      </w:r>
      <w:r w:rsidRPr="00A00B8B">
        <w:rPr>
          <w:b w:val="0"/>
          <w:color w:val="000000"/>
          <w:szCs w:val="22"/>
        </w:rPr>
        <w:t xml:space="preserve"> </w:t>
      </w:r>
      <w:r w:rsidRPr="00A00B8B">
        <w:rPr>
          <w:rFonts w:cs="Sylfaen"/>
          <w:b w:val="0"/>
          <w:color w:val="000000"/>
          <w:szCs w:val="22"/>
        </w:rPr>
        <w:t>վիճակի</w:t>
      </w:r>
      <w:r w:rsidRPr="00A00B8B">
        <w:rPr>
          <w:b w:val="0"/>
          <w:color w:val="000000"/>
          <w:szCs w:val="22"/>
        </w:rPr>
        <w:t xml:space="preserve">, </w:t>
      </w:r>
      <w:r w:rsidRPr="00A00B8B">
        <w:rPr>
          <w:rFonts w:cs="Sylfaen"/>
          <w:b w:val="0"/>
          <w:color w:val="000000"/>
          <w:szCs w:val="22"/>
        </w:rPr>
        <w:t>տնտեսական</w:t>
      </w:r>
      <w:r w:rsidRPr="00A00B8B">
        <w:rPr>
          <w:b w:val="0"/>
          <w:color w:val="000000"/>
          <w:szCs w:val="22"/>
        </w:rPr>
        <w:t xml:space="preserve"> </w:t>
      </w:r>
      <w:r w:rsidRPr="00A00B8B">
        <w:rPr>
          <w:rFonts w:cs="Sylfaen"/>
          <w:b w:val="0"/>
          <w:color w:val="000000"/>
          <w:szCs w:val="22"/>
        </w:rPr>
        <w:t>մրցակցության</w:t>
      </w:r>
      <w:r w:rsidRPr="00A00B8B">
        <w:rPr>
          <w:b w:val="0"/>
          <w:color w:val="000000"/>
          <w:szCs w:val="22"/>
        </w:rPr>
        <w:t xml:space="preserve">, </w:t>
      </w:r>
      <w:r w:rsidRPr="00A00B8B">
        <w:rPr>
          <w:rFonts w:cs="Sylfaen"/>
          <w:b w:val="0"/>
          <w:color w:val="000000"/>
          <w:szCs w:val="22"/>
        </w:rPr>
        <w:t>գնա</w:t>
      </w:r>
      <w:r w:rsidRPr="00130243">
        <w:rPr>
          <w:rFonts w:cs="Sylfaen"/>
          <w:b w:val="0"/>
          <w:color w:val="000000"/>
          <w:szCs w:val="22"/>
        </w:rPr>
        <w:softHyphen/>
      </w:r>
      <w:r w:rsidRPr="00A00B8B">
        <w:rPr>
          <w:rFonts w:cs="Sylfaen"/>
          <w:b w:val="0"/>
          <w:color w:val="000000"/>
          <w:szCs w:val="22"/>
        </w:rPr>
        <w:t>ճա</w:t>
      </w:r>
      <w:r w:rsidRPr="00130243">
        <w:rPr>
          <w:rFonts w:cs="Sylfaen"/>
          <w:b w:val="0"/>
          <w:color w:val="000000"/>
          <w:szCs w:val="22"/>
        </w:rPr>
        <w:softHyphen/>
      </w:r>
      <w:r w:rsidRPr="00A00B8B">
        <w:rPr>
          <w:rFonts w:cs="Sylfaen"/>
          <w:b w:val="0"/>
          <w:color w:val="000000"/>
          <w:szCs w:val="22"/>
        </w:rPr>
        <w:t>յին</w:t>
      </w:r>
      <w:r w:rsidRPr="00A00B8B">
        <w:rPr>
          <w:b w:val="0"/>
          <w:color w:val="000000"/>
          <w:szCs w:val="22"/>
        </w:rPr>
        <w:t xml:space="preserve"> </w:t>
      </w:r>
      <w:r w:rsidRPr="00A00B8B">
        <w:rPr>
          <w:rFonts w:cs="Sylfaen"/>
          <w:b w:val="0"/>
          <w:color w:val="000000"/>
          <w:szCs w:val="22"/>
        </w:rPr>
        <w:t>ճնշումների</w:t>
      </w:r>
      <w:r w:rsidRPr="00A00B8B">
        <w:rPr>
          <w:b w:val="0"/>
          <w:color w:val="000000"/>
          <w:szCs w:val="22"/>
        </w:rPr>
        <w:t xml:space="preserve"> </w:t>
      </w:r>
      <w:r w:rsidRPr="00A00B8B">
        <w:rPr>
          <w:rFonts w:cs="Sylfaen"/>
          <w:b w:val="0"/>
          <w:color w:val="000000"/>
          <w:szCs w:val="22"/>
        </w:rPr>
        <w:t>և</w:t>
      </w:r>
      <w:r w:rsidRPr="00A00B8B">
        <w:rPr>
          <w:b w:val="0"/>
          <w:color w:val="000000"/>
          <w:szCs w:val="22"/>
        </w:rPr>
        <w:t xml:space="preserve"> </w:t>
      </w:r>
      <w:r w:rsidRPr="00A00B8B">
        <w:rPr>
          <w:rFonts w:cs="Sylfaen"/>
          <w:b w:val="0"/>
          <w:color w:val="000000"/>
          <w:szCs w:val="22"/>
        </w:rPr>
        <w:t>այլ</w:t>
      </w:r>
      <w:r w:rsidRPr="00A00B8B">
        <w:rPr>
          <w:b w:val="0"/>
          <w:color w:val="000000"/>
          <w:szCs w:val="22"/>
        </w:rPr>
        <w:t xml:space="preserve"> </w:t>
      </w:r>
      <w:r w:rsidRPr="00A00B8B">
        <w:rPr>
          <w:rFonts w:cs="Sylfaen"/>
          <w:b w:val="0"/>
          <w:color w:val="000000"/>
          <w:szCs w:val="22"/>
        </w:rPr>
        <w:t>կարևոր</w:t>
      </w:r>
      <w:r w:rsidRPr="00A00B8B">
        <w:rPr>
          <w:b w:val="0"/>
          <w:color w:val="000000"/>
          <w:szCs w:val="22"/>
        </w:rPr>
        <w:t xml:space="preserve"> </w:t>
      </w:r>
      <w:r w:rsidRPr="00A00B8B">
        <w:rPr>
          <w:rFonts w:cs="Sylfaen"/>
          <w:b w:val="0"/>
          <w:color w:val="000000"/>
          <w:szCs w:val="22"/>
        </w:rPr>
        <w:t>ցուցա</w:t>
      </w:r>
      <w:r w:rsidRPr="00130243">
        <w:rPr>
          <w:rFonts w:cs="Sylfaen"/>
          <w:b w:val="0"/>
          <w:color w:val="000000"/>
          <w:szCs w:val="22"/>
        </w:rPr>
        <w:softHyphen/>
      </w:r>
      <w:r w:rsidRPr="00A00B8B">
        <w:rPr>
          <w:rFonts w:cs="Sylfaen"/>
          <w:b w:val="0"/>
          <w:color w:val="000000"/>
          <w:szCs w:val="22"/>
        </w:rPr>
        <w:t>նիշ</w:t>
      </w:r>
      <w:r w:rsidRPr="00130243">
        <w:rPr>
          <w:rFonts w:cs="Sylfaen"/>
          <w:b w:val="0"/>
          <w:color w:val="000000"/>
          <w:szCs w:val="22"/>
        </w:rPr>
        <w:softHyphen/>
      </w:r>
      <w:r w:rsidRPr="00A00B8B">
        <w:rPr>
          <w:rFonts w:cs="Sylfaen"/>
          <w:b w:val="0"/>
          <w:color w:val="000000"/>
          <w:szCs w:val="22"/>
        </w:rPr>
        <w:t>ների</w:t>
      </w:r>
      <w:r w:rsidRPr="00A00B8B">
        <w:rPr>
          <w:b w:val="0"/>
          <w:color w:val="000000"/>
          <w:szCs w:val="22"/>
        </w:rPr>
        <w:t xml:space="preserve"> </w:t>
      </w:r>
      <w:r w:rsidRPr="00A00B8B">
        <w:rPr>
          <w:rFonts w:cs="Sylfaen"/>
          <w:b w:val="0"/>
          <w:color w:val="000000"/>
          <w:szCs w:val="22"/>
        </w:rPr>
        <w:t>վրա</w:t>
      </w:r>
      <w:r w:rsidRPr="00A00B8B">
        <w:rPr>
          <w:b w:val="0"/>
          <w:color w:val="000000"/>
          <w:szCs w:val="22"/>
        </w:rPr>
        <w:t>:</w:t>
      </w:r>
      <w:r w:rsidRPr="00130243">
        <w:rPr>
          <w:b w:val="0"/>
          <w:color w:val="000000"/>
          <w:szCs w:val="22"/>
        </w:rPr>
        <w:t xml:space="preserve"> </w:t>
      </w:r>
      <w:r w:rsidRPr="00A00B8B">
        <w:rPr>
          <w:rFonts w:cs="Sylfaen"/>
          <w:b w:val="0"/>
          <w:color w:val="000000"/>
          <w:szCs w:val="22"/>
        </w:rPr>
        <w:t>Վերոնշյալը</w:t>
      </w:r>
      <w:r w:rsidRPr="00A00B8B">
        <w:rPr>
          <w:b w:val="0"/>
          <w:color w:val="000000"/>
          <w:szCs w:val="22"/>
        </w:rPr>
        <w:t xml:space="preserve"> </w:t>
      </w:r>
      <w:r w:rsidRPr="00A00B8B">
        <w:rPr>
          <w:rFonts w:cs="Sylfaen"/>
          <w:b w:val="0"/>
          <w:color w:val="000000"/>
          <w:szCs w:val="22"/>
        </w:rPr>
        <w:t>նաև</w:t>
      </w:r>
      <w:r w:rsidRPr="00A00B8B">
        <w:rPr>
          <w:b w:val="0"/>
          <w:color w:val="000000"/>
          <w:szCs w:val="22"/>
        </w:rPr>
        <w:t xml:space="preserve"> </w:t>
      </w:r>
      <w:r w:rsidRPr="00A00B8B">
        <w:rPr>
          <w:rFonts w:cs="Sylfaen"/>
          <w:b w:val="0"/>
          <w:color w:val="000000"/>
          <w:szCs w:val="22"/>
        </w:rPr>
        <w:t>նշանակում</w:t>
      </w:r>
      <w:r w:rsidRPr="00A00B8B">
        <w:rPr>
          <w:b w:val="0"/>
          <w:color w:val="000000"/>
          <w:szCs w:val="22"/>
        </w:rPr>
        <w:t xml:space="preserve"> </w:t>
      </w:r>
      <w:r w:rsidRPr="00A00B8B">
        <w:rPr>
          <w:rFonts w:cs="Sylfaen"/>
          <w:b w:val="0"/>
          <w:color w:val="000000"/>
          <w:szCs w:val="22"/>
        </w:rPr>
        <w:t>է</w:t>
      </w:r>
      <w:r w:rsidRPr="00A00B8B">
        <w:rPr>
          <w:b w:val="0"/>
          <w:color w:val="000000"/>
          <w:szCs w:val="22"/>
        </w:rPr>
        <w:t xml:space="preserve">, </w:t>
      </w:r>
      <w:r w:rsidRPr="00A00B8B">
        <w:rPr>
          <w:rFonts w:cs="Sylfaen"/>
          <w:b w:val="0"/>
          <w:color w:val="000000"/>
          <w:szCs w:val="22"/>
        </w:rPr>
        <w:t>որ</w:t>
      </w:r>
      <w:r w:rsidRPr="00A00B8B">
        <w:rPr>
          <w:b w:val="0"/>
          <w:color w:val="000000"/>
          <w:szCs w:val="22"/>
        </w:rPr>
        <w:t xml:space="preserve"> </w:t>
      </w:r>
      <w:r w:rsidRPr="00A00B8B">
        <w:rPr>
          <w:rFonts w:cs="Sylfaen"/>
          <w:b w:val="0"/>
          <w:color w:val="000000"/>
          <w:szCs w:val="22"/>
        </w:rPr>
        <w:t>առա</w:t>
      </w:r>
      <w:r w:rsidRPr="00130243">
        <w:rPr>
          <w:rFonts w:cs="Sylfaen"/>
          <w:b w:val="0"/>
          <w:color w:val="000000"/>
          <w:szCs w:val="22"/>
        </w:rPr>
        <w:softHyphen/>
      </w:r>
      <w:r w:rsidRPr="00A00B8B">
        <w:rPr>
          <w:rFonts w:cs="Sylfaen"/>
          <w:b w:val="0"/>
          <w:color w:val="000000"/>
          <w:szCs w:val="22"/>
        </w:rPr>
        <w:t>ջիկա</w:t>
      </w:r>
      <w:r w:rsidRPr="00A00B8B">
        <w:rPr>
          <w:b w:val="0"/>
          <w:color w:val="000000"/>
          <w:szCs w:val="22"/>
        </w:rPr>
        <w:t xml:space="preserve"> </w:t>
      </w:r>
      <w:r w:rsidRPr="00A00B8B">
        <w:rPr>
          <w:rFonts w:cs="Sylfaen"/>
          <w:b w:val="0"/>
          <w:color w:val="000000"/>
          <w:szCs w:val="22"/>
        </w:rPr>
        <w:t>տարիներին</w:t>
      </w:r>
      <w:r w:rsidRPr="00130243">
        <w:rPr>
          <w:rFonts w:cs="Sylfaen"/>
          <w:b w:val="0"/>
          <w:color w:val="000000"/>
          <w:szCs w:val="22"/>
        </w:rPr>
        <w:t xml:space="preserve"> </w:t>
      </w:r>
      <w:r w:rsidRPr="00A00B8B">
        <w:rPr>
          <w:rFonts w:cs="Sylfaen"/>
          <w:b w:val="0"/>
          <w:color w:val="000000"/>
          <w:szCs w:val="22"/>
        </w:rPr>
        <w:t>հարկային</w:t>
      </w:r>
      <w:r w:rsidRPr="00130243">
        <w:rPr>
          <w:rFonts w:cs="Sylfaen"/>
          <w:b w:val="0"/>
          <w:color w:val="000000"/>
          <w:szCs w:val="22"/>
        </w:rPr>
        <w:t xml:space="preserve"> </w:t>
      </w:r>
      <w:r w:rsidRPr="00A00B8B">
        <w:rPr>
          <w:rFonts w:cs="Sylfaen"/>
          <w:b w:val="0"/>
          <w:color w:val="000000"/>
          <w:szCs w:val="22"/>
        </w:rPr>
        <w:t>քաղա</w:t>
      </w:r>
      <w:r w:rsidRPr="00130243">
        <w:rPr>
          <w:rFonts w:cs="Sylfaen"/>
          <w:b w:val="0"/>
          <w:color w:val="000000"/>
          <w:szCs w:val="22"/>
        </w:rPr>
        <w:softHyphen/>
      </w:r>
      <w:r w:rsidRPr="00A00B8B">
        <w:rPr>
          <w:rFonts w:cs="Sylfaen"/>
          <w:b w:val="0"/>
          <w:color w:val="000000"/>
          <w:szCs w:val="22"/>
        </w:rPr>
        <w:t>քակա</w:t>
      </w:r>
      <w:r w:rsidRPr="00130243">
        <w:rPr>
          <w:rFonts w:cs="Sylfaen"/>
          <w:b w:val="0"/>
          <w:color w:val="000000"/>
          <w:szCs w:val="22"/>
        </w:rPr>
        <w:softHyphen/>
      </w:r>
      <w:r w:rsidRPr="00A00B8B">
        <w:rPr>
          <w:rFonts w:cs="Sylfaen"/>
          <w:b w:val="0"/>
          <w:color w:val="000000"/>
          <w:szCs w:val="22"/>
        </w:rPr>
        <w:t>նու</w:t>
      </w:r>
      <w:r w:rsidRPr="00130243">
        <w:rPr>
          <w:rFonts w:cs="Sylfaen"/>
          <w:b w:val="0"/>
          <w:color w:val="000000"/>
          <w:szCs w:val="22"/>
        </w:rPr>
        <w:softHyphen/>
      </w:r>
      <w:r w:rsidRPr="00A00B8B">
        <w:rPr>
          <w:rFonts w:cs="Sylfaen"/>
          <w:b w:val="0"/>
          <w:color w:val="000000"/>
          <w:szCs w:val="22"/>
        </w:rPr>
        <w:t>թյան</w:t>
      </w:r>
      <w:r w:rsidRPr="00130243">
        <w:rPr>
          <w:rFonts w:cs="Sylfaen"/>
          <w:b w:val="0"/>
          <w:color w:val="000000"/>
          <w:szCs w:val="22"/>
        </w:rPr>
        <w:t xml:space="preserve"> </w:t>
      </w:r>
      <w:r w:rsidRPr="00A00B8B">
        <w:rPr>
          <w:rFonts w:cs="Sylfaen"/>
          <w:b w:val="0"/>
          <w:color w:val="000000"/>
          <w:szCs w:val="22"/>
          <w:lang w:val="en-US"/>
        </w:rPr>
        <w:t>շրջանակներում</w:t>
      </w:r>
      <w:r w:rsidRPr="00130243">
        <w:rPr>
          <w:rFonts w:cs="Sylfaen"/>
          <w:b w:val="0"/>
          <w:color w:val="000000"/>
          <w:szCs w:val="22"/>
        </w:rPr>
        <w:t xml:space="preserve"> </w:t>
      </w:r>
      <w:r w:rsidRPr="00A00B8B">
        <w:rPr>
          <w:rFonts w:cs="Sylfaen"/>
          <w:b w:val="0"/>
          <w:color w:val="000000"/>
          <w:szCs w:val="22"/>
        </w:rPr>
        <w:t>շեշտադրումը</w:t>
      </w:r>
      <w:r w:rsidRPr="00A00B8B">
        <w:rPr>
          <w:b w:val="0"/>
          <w:color w:val="000000"/>
          <w:szCs w:val="22"/>
        </w:rPr>
        <w:t xml:space="preserve"> </w:t>
      </w:r>
      <w:r w:rsidRPr="00A00B8B">
        <w:rPr>
          <w:rFonts w:cs="Sylfaen"/>
          <w:b w:val="0"/>
          <w:color w:val="000000"/>
          <w:szCs w:val="22"/>
        </w:rPr>
        <w:t>կատար</w:t>
      </w:r>
      <w:r w:rsidRPr="00130243">
        <w:rPr>
          <w:rFonts w:cs="Sylfaen"/>
          <w:b w:val="0"/>
          <w:color w:val="000000"/>
          <w:szCs w:val="22"/>
        </w:rPr>
        <w:softHyphen/>
      </w:r>
      <w:r w:rsidRPr="00A00B8B">
        <w:rPr>
          <w:rFonts w:cs="Sylfaen"/>
          <w:b w:val="0"/>
          <w:color w:val="000000"/>
          <w:szCs w:val="22"/>
        </w:rPr>
        <w:t>վելու</w:t>
      </w:r>
      <w:r w:rsidRPr="00A00B8B">
        <w:rPr>
          <w:b w:val="0"/>
          <w:color w:val="000000"/>
          <w:szCs w:val="22"/>
        </w:rPr>
        <w:t xml:space="preserve"> </w:t>
      </w:r>
      <w:r w:rsidRPr="00A00B8B">
        <w:rPr>
          <w:rFonts w:cs="Sylfaen"/>
          <w:b w:val="0"/>
          <w:color w:val="000000"/>
          <w:szCs w:val="22"/>
        </w:rPr>
        <w:t>է</w:t>
      </w:r>
      <w:r w:rsidRPr="00A00B8B">
        <w:rPr>
          <w:b w:val="0"/>
          <w:color w:val="000000"/>
          <w:szCs w:val="22"/>
        </w:rPr>
        <w:t xml:space="preserve"> </w:t>
      </w:r>
      <w:r w:rsidRPr="00A00B8B">
        <w:rPr>
          <w:rFonts w:cs="Sylfaen"/>
          <w:b w:val="0"/>
          <w:color w:val="000000"/>
          <w:szCs w:val="22"/>
        </w:rPr>
        <w:t>հատ</w:t>
      </w:r>
      <w:r w:rsidRPr="00130243">
        <w:rPr>
          <w:rFonts w:cs="Sylfaen"/>
          <w:b w:val="0"/>
          <w:color w:val="000000"/>
          <w:szCs w:val="22"/>
        </w:rPr>
        <w:softHyphen/>
      </w:r>
      <w:r w:rsidRPr="00A00B8B">
        <w:rPr>
          <w:rFonts w:cs="Sylfaen"/>
          <w:b w:val="0"/>
          <w:color w:val="000000"/>
          <w:szCs w:val="22"/>
        </w:rPr>
        <w:t>կապես</w:t>
      </w:r>
      <w:r w:rsidRPr="00A00B8B">
        <w:rPr>
          <w:b w:val="0"/>
          <w:color w:val="000000"/>
          <w:szCs w:val="22"/>
        </w:rPr>
        <w:t xml:space="preserve"> </w:t>
      </w:r>
      <w:r w:rsidRPr="00A00B8B">
        <w:rPr>
          <w:rFonts w:cs="Sylfaen"/>
          <w:b w:val="0"/>
          <w:color w:val="000000"/>
          <w:szCs w:val="22"/>
        </w:rPr>
        <w:t>այն</w:t>
      </w:r>
      <w:r w:rsidRPr="00A00B8B">
        <w:rPr>
          <w:b w:val="0"/>
          <w:color w:val="000000"/>
          <w:szCs w:val="22"/>
        </w:rPr>
        <w:t xml:space="preserve"> </w:t>
      </w:r>
      <w:r w:rsidRPr="00A00B8B">
        <w:rPr>
          <w:rFonts w:cs="Sylfaen"/>
          <w:b w:val="0"/>
          <w:color w:val="000000"/>
          <w:szCs w:val="22"/>
        </w:rPr>
        <w:t>արտո</w:t>
      </w:r>
      <w:r w:rsidRPr="00130243">
        <w:rPr>
          <w:rFonts w:cs="Sylfaen"/>
          <w:b w:val="0"/>
          <w:color w:val="000000"/>
          <w:szCs w:val="22"/>
        </w:rPr>
        <w:softHyphen/>
      </w:r>
      <w:r w:rsidRPr="00A00B8B">
        <w:rPr>
          <w:rFonts w:cs="Sylfaen"/>
          <w:b w:val="0"/>
          <w:color w:val="000000"/>
          <w:szCs w:val="22"/>
        </w:rPr>
        <w:t>նու</w:t>
      </w:r>
      <w:r w:rsidRPr="00130243">
        <w:rPr>
          <w:rFonts w:cs="Sylfaen"/>
          <w:b w:val="0"/>
          <w:color w:val="000000"/>
          <w:szCs w:val="22"/>
        </w:rPr>
        <w:softHyphen/>
      </w:r>
      <w:r w:rsidRPr="00A00B8B">
        <w:rPr>
          <w:rFonts w:cs="Sylfaen"/>
          <w:b w:val="0"/>
          <w:color w:val="000000"/>
          <w:szCs w:val="22"/>
        </w:rPr>
        <w:t>թյունների</w:t>
      </w:r>
      <w:r w:rsidRPr="00A00B8B">
        <w:rPr>
          <w:b w:val="0"/>
          <w:color w:val="000000"/>
          <w:szCs w:val="22"/>
        </w:rPr>
        <w:t xml:space="preserve"> </w:t>
      </w:r>
      <w:r w:rsidRPr="00A00B8B">
        <w:rPr>
          <w:rFonts w:cs="Sylfaen"/>
          <w:b w:val="0"/>
          <w:color w:val="000000"/>
          <w:szCs w:val="22"/>
        </w:rPr>
        <w:t>վերանայման</w:t>
      </w:r>
      <w:r w:rsidRPr="00A00B8B">
        <w:rPr>
          <w:b w:val="0"/>
          <w:color w:val="000000"/>
          <w:szCs w:val="22"/>
        </w:rPr>
        <w:t xml:space="preserve"> </w:t>
      </w:r>
      <w:r w:rsidRPr="00A00B8B">
        <w:rPr>
          <w:rFonts w:cs="Sylfaen"/>
          <w:b w:val="0"/>
          <w:color w:val="000000"/>
          <w:szCs w:val="22"/>
        </w:rPr>
        <w:t>վրա</w:t>
      </w:r>
      <w:r w:rsidRPr="00A00B8B">
        <w:rPr>
          <w:b w:val="0"/>
          <w:color w:val="000000"/>
          <w:szCs w:val="22"/>
        </w:rPr>
        <w:t xml:space="preserve">, </w:t>
      </w:r>
      <w:r w:rsidRPr="00A00B8B">
        <w:rPr>
          <w:rFonts w:cs="Sylfaen"/>
          <w:b w:val="0"/>
          <w:color w:val="000000"/>
          <w:szCs w:val="22"/>
        </w:rPr>
        <w:t>որոնց</w:t>
      </w:r>
      <w:r w:rsidRPr="00A00B8B">
        <w:rPr>
          <w:b w:val="0"/>
          <w:color w:val="000000"/>
          <w:szCs w:val="22"/>
        </w:rPr>
        <w:t xml:space="preserve"> </w:t>
      </w:r>
      <w:r w:rsidRPr="00A00B8B">
        <w:rPr>
          <w:rFonts w:cs="Sylfaen"/>
          <w:b w:val="0"/>
          <w:color w:val="000000"/>
          <w:szCs w:val="22"/>
        </w:rPr>
        <w:t>ազդեցությունը</w:t>
      </w:r>
      <w:r w:rsidRPr="00A00B8B">
        <w:rPr>
          <w:b w:val="0"/>
          <w:color w:val="000000"/>
          <w:szCs w:val="22"/>
        </w:rPr>
        <w:t xml:space="preserve"> </w:t>
      </w:r>
      <w:r w:rsidRPr="00A00B8B">
        <w:rPr>
          <w:rFonts w:cs="Sylfaen"/>
          <w:b w:val="0"/>
          <w:color w:val="000000"/>
          <w:szCs w:val="22"/>
        </w:rPr>
        <w:t>ազգա</w:t>
      </w:r>
      <w:r w:rsidRPr="00130243">
        <w:rPr>
          <w:rFonts w:cs="Sylfaen"/>
          <w:b w:val="0"/>
          <w:color w:val="000000"/>
          <w:szCs w:val="22"/>
        </w:rPr>
        <w:softHyphen/>
      </w:r>
      <w:r w:rsidRPr="00A00B8B">
        <w:rPr>
          <w:rFonts w:cs="Sylfaen"/>
          <w:b w:val="0"/>
          <w:color w:val="000000"/>
          <w:szCs w:val="22"/>
        </w:rPr>
        <w:t>յին</w:t>
      </w:r>
      <w:r w:rsidRPr="00A00B8B">
        <w:rPr>
          <w:b w:val="0"/>
          <w:color w:val="000000"/>
          <w:szCs w:val="22"/>
        </w:rPr>
        <w:t xml:space="preserve"> </w:t>
      </w:r>
      <w:r w:rsidRPr="00A00B8B">
        <w:rPr>
          <w:rFonts w:cs="Sylfaen"/>
          <w:b w:val="0"/>
          <w:color w:val="000000"/>
          <w:szCs w:val="22"/>
        </w:rPr>
        <w:t>տնտե</w:t>
      </w:r>
      <w:r w:rsidRPr="00130243">
        <w:rPr>
          <w:rFonts w:cs="Sylfaen"/>
          <w:b w:val="0"/>
          <w:color w:val="000000"/>
          <w:szCs w:val="22"/>
        </w:rPr>
        <w:softHyphen/>
      </w:r>
      <w:r w:rsidRPr="00A00B8B">
        <w:rPr>
          <w:rFonts w:cs="Sylfaen"/>
          <w:b w:val="0"/>
          <w:color w:val="000000"/>
          <w:szCs w:val="22"/>
        </w:rPr>
        <w:t>սության</w:t>
      </w:r>
      <w:r w:rsidRPr="00A00B8B">
        <w:rPr>
          <w:b w:val="0"/>
          <w:color w:val="000000"/>
          <w:szCs w:val="22"/>
        </w:rPr>
        <w:t xml:space="preserve"> </w:t>
      </w:r>
      <w:r w:rsidRPr="00A00B8B">
        <w:rPr>
          <w:rFonts w:cs="Sylfaen"/>
          <w:b w:val="0"/>
          <w:color w:val="000000"/>
          <w:szCs w:val="22"/>
        </w:rPr>
        <w:t>զարգաց</w:t>
      </w:r>
      <w:r w:rsidRPr="00130243">
        <w:rPr>
          <w:rFonts w:cs="Sylfaen"/>
          <w:b w:val="0"/>
          <w:color w:val="000000"/>
          <w:szCs w:val="22"/>
        </w:rPr>
        <w:softHyphen/>
      </w:r>
      <w:r w:rsidRPr="00A00B8B">
        <w:rPr>
          <w:rFonts w:cs="Sylfaen"/>
          <w:b w:val="0"/>
          <w:color w:val="000000"/>
          <w:szCs w:val="22"/>
        </w:rPr>
        <w:t>ման</w:t>
      </w:r>
      <w:r w:rsidRPr="00A00B8B">
        <w:rPr>
          <w:b w:val="0"/>
          <w:color w:val="000000"/>
          <w:szCs w:val="22"/>
        </w:rPr>
        <w:t xml:space="preserve"> </w:t>
      </w:r>
      <w:r w:rsidRPr="00A00B8B">
        <w:rPr>
          <w:rFonts w:cs="Sylfaen"/>
          <w:b w:val="0"/>
          <w:color w:val="000000"/>
          <w:szCs w:val="22"/>
        </w:rPr>
        <w:t>տեսանկյունից</w:t>
      </w:r>
      <w:r w:rsidRPr="00A00B8B">
        <w:rPr>
          <w:b w:val="0"/>
          <w:color w:val="000000"/>
          <w:szCs w:val="22"/>
        </w:rPr>
        <w:t xml:space="preserve"> </w:t>
      </w:r>
      <w:r w:rsidRPr="00A00B8B">
        <w:rPr>
          <w:rFonts w:cs="Sylfaen"/>
          <w:b w:val="0"/>
          <w:color w:val="000000"/>
          <w:szCs w:val="22"/>
        </w:rPr>
        <w:t>գնահատվում</w:t>
      </w:r>
      <w:r w:rsidRPr="00A00B8B">
        <w:rPr>
          <w:b w:val="0"/>
          <w:color w:val="000000"/>
          <w:szCs w:val="22"/>
        </w:rPr>
        <w:t xml:space="preserve"> </w:t>
      </w:r>
      <w:r w:rsidRPr="00A00B8B">
        <w:rPr>
          <w:rFonts w:cs="Sylfaen"/>
          <w:b w:val="0"/>
          <w:color w:val="000000"/>
          <w:szCs w:val="22"/>
        </w:rPr>
        <w:t>է</w:t>
      </w:r>
      <w:r w:rsidRPr="00A00B8B">
        <w:rPr>
          <w:b w:val="0"/>
          <w:color w:val="000000"/>
          <w:szCs w:val="22"/>
        </w:rPr>
        <w:t xml:space="preserve"> </w:t>
      </w:r>
      <w:r w:rsidRPr="00A00B8B">
        <w:rPr>
          <w:rFonts w:cs="Sylfaen"/>
          <w:b w:val="0"/>
          <w:color w:val="000000"/>
          <w:szCs w:val="22"/>
        </w:rPr>
        <w:t>ցածր</w:t>
      </w:r>
      <w:r w:rsidRPr="00A00B8B">
        <w:rPr>
          <w:b w:val="0"/>
          <w:color w:val="000000"/>
          <w:szCs w:val="22"/>
        </w:rPr>
        <w:t xml:space="preserve"> </w:t>
      </w:r>
      <w:r w:rsidRPr="00A00B8B">
        <w:rPr>
          <w:rFonts w:cs="Sylfaen"/>
          <w:b w:val="0"/>
          <w:color w:val="000000"/>
          <w:szCs w:val="22"/>
        </w:rPr>
        <w:t>և</w:t>
      </w:r>
      <w:r w:rsidRPr="00A00B8B">
        <w:rPr>
          <w:b w:val="0"/>
          <w:color w:val="000000"/>
          <w:szCs w:val="22"/>
        </w:rPr>
        <w:t xml:space="preserve"> </w:t>
      </w:r>
      <w:r w:rsidRPr="00A00B8B">
        <w:rPr>
          <w:rFonts w:cs="Sylfaen"/>
          <w:b w:val="0"/>
          <w:color w:val="000000"/>
          <w:szCs w:val="22"/>
        </w:rPr>
        <w:t>որոնց</w:t>
      </w:r>
      <w:r w:rsidRPr="00A00B8B">
        <w:rPr>
          <w:b w:val="0"/>
          <w:color w:val="000000"/>
          <w:szCs w:val="22"/>
        </w:rPr>
        <w:t xml:space="preserve"> </w:t>
      </w:r>
      <w:r w:rsidRPr="00A00B8B">
        <w:rPr>
          <w:rFonts w:cs="Sylfaen"/>
          <w:b w:val="0"/>
          <w:color w:val="000000"/>
          <w:szCs w:val="22"/>
        </w:rPr>
        <w:t>կիրա</w:t>
      </w:r>
      <w:r w:rsidRPr="00130243">
        <w:rPr>
          <w:rFonts w:cs="Sylfaen"/>
          <w:b w:val="0"/>
          <w:color w:val="000000"/>
          <w:szCs w:val="22"/>
        </w:rPr>
        <w:softHyphen/>
      </w:r>
      <w:r w:rsidRPr="00A00B8B">
        <w:rPr>
          <w:rFonts w:cs="Sylfaen"/>
          <w:b w:val="0"/>
          <w:color w:val="000000"/>
          <w:szCs w:val="22"/>
        </w:rPr>
        <w:t>ռու</w:t>
      </w:r>
      <w:r w:rsidRPr="00130243">
        <w:rPr>
          <w:rFonts w:cs="Sylfaen"/>
          <w:b w:val="0"/>
          <w:color w:val="000000"/>
          <w:szCs w:val="22"/>
        </w:rPr>
        <w:softHyphen/>
      </w:r>
      <w:r w:rsidRPr="00A00B8B">
        <w:rPr>
          <w:rFonts w:cs="Sylfaen"/>
          <w:b w:val="0"/>
          <w:color w:val="000000"/>
          <w:szCs w:val="22"/>
        </w:rPr>
        <w:t>թյան</w:t>
      </w:r>
      <w:r w:rsidRPr="00A00B8B">
        <w:rPr>
          <w:b w:val="0"/>
          <w:color w:val="000000"/>
          <w:szCs w:val="22"/>
        </w:rPr>
        <w:t xml:space="preserve"> </w:t>
      </w:r>
      <w:r w:rsidRPr="00A00B8B">
        <w:rPr>
          <w:rFonts w:cs="Sylfaen"/>
          <w:b w:val="0"/>
          <w:color w:val="000000"/>
          <w:szCs w:val="22"/>
        </w:rPr>
        <w:t>նպա</w:t>
      </w:r>
      <w:r w:rsidRPr="00130243">
        <w:rPr>
          <w:rFonts w:cs="Sylfaen"/>
          <w:b w:val="0"/>
          <w:color w:val="000000"/>
          <w:szCs w:val="22"/>
        </w:rPr>
        <w:softHyphen/>
      </w:r>
      <w:r w:rsidRPr="00A00B8B">
        <w:rPr>
          <w:rFonts w:cs="Sylfaen"/>
          <w:b w:val="0"/>
          <w:color w:val="000000"/>
          <w:szCs w:val="22"/>
        </w:rPr>
        <w:t>տակահարմարությունը</w:t>
      </w:r>
      <w:r w:rsidRPr="00A00B8B">
        <w:rPr>
          <w:b w:val="0"/>
          <w:color w:val="000000"/>
          <w:szCs w:val="22"/>
        </w:rPr>
        <w:t xml:space="preserve"> </w:t>
      </w:r>
      <w:r w:rsidRPr="00A00B8B">
        <w:rPr>
          <w:rFonts w:cs="Sylfaen"/>
          <w:b w:val="0"/>
          <w:color w:val="000000"/>
          <w:szCs w:val="22"/>
        </w:rPr>
        <w:t>չի</w:t>
      </w:r>
      <w:r w:rsidRPr="00A00B8B">
        <w:rPr>
          <w:b w:val="0"/>
          <w:color w:val="000000"/>
          <w:szCs w:val="22"/>
        </w:rPr>
        <w:t xml:space="preserve"> </w:t>
      </w:r>
      <w:r w:rsidRPr="00A00B8B">
        <w:rPr>
          <w:rFonts w:cs="Sylfaen"/>
          <w:b w:val="0"/>
          <w:color w:val="000000"/>
          <w:szCs w:val="22"/>
        </w:rPr>
        <w:t>հիմնավորվում</w:t>
      </w:r>
      <w:r w:rsidRPr="00A00B8B">
        <w:rPr>
          <w:b w:val="0"/>
          <w:color w:val="000000"/>
          <w:szCs w:val="22"/>
        </w:rPr>
        <w:t xml:space="preserve"> «</w:t>
      </w:r>
      <w:r w:rsidRPr="00A00B8B">
        <w:rPr>
          <w:rFonts w:cs="Sylfaen"/>
          <w:b w:val="0"/>
          <w:color w:val="000000"/>
          <w:szCs w:val="22"/>
        </w:rPr>
        <w:t>ծախսեր</w:t>
      </w:r>
      <w:r w:rsidRPr="00A00B8B">
        <w:rPr>
          <w:b w:val="0"/>
          <w:color w:val="000000"/>
          <w:szCs w:val="22"/>
        </w:rPr>
        <w:t>-</w:t>
      </w:r>
      <w:r w:rsidRPr="00A00B8B">
        <w:rPr>
          <w:rFonts w:cs="Sylfaen"/>
          <w:b w:val="0"/>
          <w:color w:val="000000"/>
          <w:szCs w:val="22"/>
        </w:rPr>
        <w:t>օգուտներ</w:t>
      </w:r>
      <w:r w:rsidRPr="00A00B8B">
        <w:rPr>
          <w:b w:val="0"/>
          <w:color w:val="000000"/>
          <w:szCs w:val="22"/>
        </w:rPr>
        <w:t xml:space="preserve">» </w:t>
      </w:r>
      <w:r w:rsidRPr="00A00B8B">
        <w:rPr>
          <w:rFonts w:cs="Sylfaen"/>
          <w:b w:val="0"/>
          <w:color w:val="000000"/>
          <w:szCs w:val="22"/>
        </w:rPr>
        <w:t>վերլու</w:t>
      </w:r>
      <w:r w:rsidRPr="00130243">
        <w:rPr>
          <w:rFonts w:cs="Sylfaen"/>
          <w:b w:val="0"/>
          <w:color w:val="000000"/>
          <w:szCs w:val="22"/>
        </w:rPr>
        <w:softHyphen/>
      </w:r>
      <w:r w:rsidRPr="00A00B8B">
        <w:rPr>
          <w:rFonts w:cs="Sylfaen"/>
          <w:b w:val="0"/>
          <w:color w:val="000000"/>
          <w:szCs w:val="22"/>
        </w:rPr>
        <w:t>ծու</w:t>
      </w:r>
      <w:r w:rsidRPr="00130243">
        <w:rPr>
          <w:rFonts w:cs="Sylfaen"/>
          <w:b w:val="0"/>
          <w:color w:val="000000"/>
          <w:szCs w:val="22"/>
        </w:rPr>
        <w:softHyphen/>
      </w:r>
      <w:r w:rsidRPr="00A00B8B">
        <w:rPr>
          <w:rFonts w:cs="Sylfaen"/>
          <w:b w:val="0"/>
          <w:color w:val="000000"/>
          <w:szCs w:val="22"/>
        </w:rPr>
        <w:t>թյուն</w:t>
      </w:r>
      <w:r w:rsidRPr="00130243">
        <w:rPr>
          <w:rFonts w:cs="Sylfaen"/>
          <w:b w:val="0"/>
          <w:color w:val="000000"/>
          <w:szCs w:val="22"/>
        </w:rPr>
        <w:softHyphen/>
      </w:r>
      <w:r w:rsidRPr="00A00B8B">
        <w:rPr>
          <w:rFonts w:cs="Sylfaen"/>
          <w:b w:val="0"/>
          <w:color w:val="000000"/>
          <w:szCs w:val="22"/>
        </w:rPr>
        <w:t>ների</w:t>
      </w:r>
      <w:r w:rsidRPr="00A00B8B">
        <w:rPr>
          <w:b w:val="0"/>
          <w:color w:val="000000"/>
          <w:szCs w:val="22"/>
        </w:rPr>
        <w:t xml:space="preserve"> </w:t>
      </w:r>
      <w:r w:rsidRPr="00A00B8B">
        <w:rPr>
          <w:rFonts w:cs="Sylfaen"/>
          <w:b w:val="0"/>
          <w:color w:val="000000"/>
          <w:szCs w:val="22"/>
        </w:rPr>
        <w:t>արդ</w:t>
      </w:r>
      <w:r w:rsidRPr="00130243">
        <w:rPr>
          <w:rFonts w:cs="Sylfaen"/>
          <w:b w:val="0"/>
          <w:color w:val="000000"/>
          <w:szCs w:val="22"/>
        </w:rPr>
        <w:softHyphen/>
      </w:r>
      <w:r w:rsidRPr="00A00B8B">
        <w:rPr>
          <w:rFonts w:cs="Sylfaen"/>
          <w:b w:val="0"/>
          <w:color w:val="000000"/>
          <w:szCs w:val="22"/>
        </w:rPr>
        <w:t>յունքներով</w:t>
      </w:r>
      <w:r w:rsidRPr="00A00B8B">
        <w:rPr>
          <w:b w:val="0"/>
          <w:color w:val="000000"/>
          <w:szCs w:val="22"/>
        </w:rPr>
        <w:t xml:space="preserve">: </w:t>
      </w:r>
      <w:r w:rsidRPr="00A00B8B">
        <w:rPr>
          <w:rFonts w:cs="Sylfaen"/>
          <w:b w:val="0"/>
          <w:color w:val="000000"/>
          <w:szCs w:val="22"/>
        </w:rPr>
        <w:t>Այսինքն</w:t>
      </w:r>
      <w:r w:rsidRPr="00A00B8B">
        <w:rPr>
          <w:b w:val="0"/>
          <w:color w:val="000000"/>
          <w:szCs w:val="22"/>
        </w:rPr>
        <w:t xml:space="preserve">, </w:t>
      </w:r>
      <w:r w:rsidRPr="00A00B8B">
        <w:rPr>
          <w:rFonts w:cs="Sylfaen"/>
          <w:b w:val="0"/>
          <w:color w:val="000000"/>
          <w:szCs w:val="22"/>
        </w:rPr>
        <w:t>բոլոր</w:t>
      </w:r>
      <w:r w:rsidRPr="00A00B8B">
        <w:rPr>
          <w:b w:val="0"/>
          <w:color w:val="000000"/>
          <w:szCs w:val="22"/>
        </w:rPr>
        <w:t xml:space="preserve"> </w:t>
      </w:r>
      <w:r w:rsidRPr="00A00B8B">
        <w:rPr>
          <w:rFonts w:cs="Sylfaen"/>
          <w:b w:val="0"/>
          <w:color w:val="000000"/>
          <w:szCs w:val="22"/>
        </w:rPr>
        <w:t>այն</w:t>
      </w:r>
      <w:r w:rsidRPr="00130243">
        <w:rPr>
          <w:rFonts w:cs="Sylfaen"/>
          <w:b w:val="0"/>
          <w:color w:val="000000"/>
          <w:szCs w:val="22"/>
        </w:rPr>
        <w:t xml:space="preserve"> </w:t>
      </w:r>
      <w:r w:rsidRPr="00A00B8B">
        <w:rPr>
          <w:rFonts w:cs="Sylfaen"/>
          <w:b w:val="0"/>
          <w:color w:val="000000"/>
          <w:szCs w:val="22"/>
        </w:rPr>
        <w:t>հարկային</w:t>
      </w:r>
      <w:r w:rsidRPr="00130243">
        <w:rPr>
          <w:rFonts w:cs="Sylfaen"/>
          <w:b w:val="0"/>
          <w:color w:val="000000"/>
          <w:szCs w:val="22"/>
        </w:rPr>
        <w:t xml:space="preserve"> </w:t>
      </w:r>
      <w:r w:rsidRPr="00A00B8B">
        <w:rPr>
          <w:rFonts w:cs="Sylfaen"/>
          <w:b w:val="0"/>
          <w:color w:val="000000"/>
          <w:szCs w:val="22"/>
        </w:rPr>
        <w:t>արտոնությունները</w:t>
      </w:r>
      <w:r w:rsidRPr="00A00B8B">
        <w:rPr>
          <w:b w:val="0"/>
          <w:color w:val="000000"/>
          <w:szCs w:val="22"/>
        </w:rPr>
        <w:t xml:space="preserve">, </w:t>
      </w:r>
      <w:r w:rsidRPr="00A00B8B">
        <w:rPr>
          <w:rFonts w:cs="Sylfaen"/>
          <w:b w:val="0"/>
          <w:color w:val="000000"/>
          <w:szCs w:val="22"/>
        </w:rPr>
        <w:t>որոնց</w:t>
      </w:r>
      <w:r w:rsidRPr="00A00B8B">
        <w:rPr>
          <w:b w:val="0"/>
          <w:color w:val="000000"/>
          <w:szCs w:val="22"/>
        </w:rPr>
        <w:t xml:space="preserve"> </w:t>
      </w:r>
      <w:r w:rsidRPr="00A00B8B">
        <w:rPr>
          <w:rFonts w:cs="Sylfaen"/>
          <w:b w:val="0"/>
          <w:color w:val="000000"/>
          <w:szCs w:val="22"/>
        </w:rPr>
        <w:t>կիրառու</w:t>
      </w:r>
      <w:r w:rsidRPr="00130243">
        <w:rPr>
          <w:rFonts w:cs="Sylfaen"/>
          <w:b w:val="0"/>
          <w:color w:val="000000"/>
          <w:szCs w:val="22"/>
        </w:rPr>
        <w:softHyphen/>
      </w:r>
      <w:r w:rsidRPr="00A00B8B">
        <w:rPr>
          <w:rFonts w:cs="Sylfaen"/>
          <w:b w:val="0"/>
          <w:color w:val="000000"/>
          <w:szCs w:val="22"/>
        </w:rPr>
        <w:t>թյան</w:t>
      </w:r>
      <w:r w:rsidRPr="00A00B8B">
        <w:rPr>
          <w:b w:val="0"/>
          <w:color w:val="000000"/>
          <w:szCs w:val="22"/>
        </w:rPr>
        <w:t xml:space="preserve"> </w:t>
      </w:r>
      <w:r w:rsidRPr="00A00B8B">
        <w:rPr>
          <w:rFonts w:cs="Sylfaen"/>
          <w:b w:val="0"/>
          <w:color w:val="000000"/>
          <w:szCs w:val="22"/>
        </w:rPr>
        <w:t>արդ</w:t>
      </w:r>
      <w:r w:rsidRPr="00130243">
        <w:rPr>
          <w:rFonts w:cs="Sylfaen"/>
          <w:b w:val="0"/>
          <w:color w:val="000000"/>
          <w:szCs w:val="22"/>
        </w:rPr>
        <w:softHyphen/>
      </w:r>
      <w:r w:rsidRPr="00A00B8B">
        <w:rPr>
          <w:rFonts w:cs="Sylfaen"/>
          <w:b w:val="0"/>
          <w:color w:val="000000"/>
          <w:szCs w:val="22"/>
        </w:rPr>
        <w:t>յունքում</w:t>
      </w:r>
      <w:r w:rsidRPr="00A00B8B">
        <w:rPr>
          <w:b w:val="0"/>
          <w:color w:val="000000"/>
          <w:szCs w:val="22"/>
        </w:rPr>
        <w:t xml:space="preserve"> </w:t>
      </w:r>
      <w:r w:rsidRPr="00A00B8B">
        <w:rPr>
          <w:rFonts w:cs="Sylfaen"/>
          <w:b w:val="0"/>
          <w:color w:val="000000"/>
          <w:szCs w:val="22"/>
        </w:rPr>
        <w:t>սպառողների</w:t>
      </w:r>
      <w:r w:rsidRPr="00A00B8B">
        <w:rPr>
          <w:b w:val="0"/>
          <w:color w:val="000000"/>
          <w:szCs w:val="22"/>
        </w:rPr>
        <w:t xml:space="preserve"> </w:t>
      </w:r>
      <w:r w:rsidRPr="00A00B8B">
        <w:rPr>
          <w:rFonts w:cs="Sylfaen"/>
          <w:b w:val="0"/>
          <w:color w:val="000000"/>
          <w:szCs w:val="22"/>
        </w:rPr>
        <w:t>ու</w:t>
      </w:r>
      <w:r w:rsidRPr="00A00B8B">
        <w:rPr>
          <w:b w:val="0"/>
          <w:color w:val="000000"/>
          <w:szCs w:val="22"/>
        </w:rPr>
        <w:t xml:space="preserve"> </w:t>
      </w:r>
      <w:r w:rsidRPr="00A00B8B">
        <w:rPr>
          <w:rFonts w:cs="Sylfaen"/>
          <w:b w:val="0"/>
          <w:color w:val="000000"/>
          <w:szCs w:val="22"/>
        </w:rPr>
        <w:t>տնտե</w:t>
      </w:r>
      <w:r w:rsidRPr="00130243">
        <w:rPr>
          <w:rFonts w:cs="Sylfaen"/>
          <w:b w:val="0"/>
          <w:color w:val="000000"/>
          <w:szCs w:val="22"/>
        </w:rPr>
        <w:softHyphen/>
      </w:r>
      <w:r w:rsidRPr="00A00B8B">
        <w:rPr>
          <w:rFonts w:cs="Sylfaen"/>
          <w:b w:val="0"/>
          <w:color w:val="000000"/>
          <w:szCs w:val="22"/>
        </w:rPr>
        <w:t>սա</w:t>
      </w:r>
      <w:r w:rsidRPr="00130243">
        <w:rPr>
          <w:rFonts w:cs="Sylfaen"/>
          <w:b w:val="0"/>
          <w:color w:val="000000"/>
          <w:szCs w:val="22"/>
        </w:rPr>
        <w:softHyphen/>
      </w:r>
      <w:r w:rsidRPr="00A00B8B">
        <w:rPr>
          <w:rFonts w:cs="Sylfaen"/>
          <w:b w:val="0"/>
          <w:color w:val="000000"/>
          <w:szCs w:val="22"/>
        </w:rPr>
        <w:t>վարող</w:t>
      </w:r>
      <w:r w:rsidRPr="00A00B8B">
        <w:rPr>
          <w:b w:val="0"/>
          <w:color w:val="000000"/>
          <w:szCs w:val="22"/>
        </w:rPr>
        <w:t xml:space="preserve"> </w:t>
      </w:r>
      <w:r w:rsidRPr="00A00B8B">
        <w:rPr>
          <w:rFonts w:cs="Sylfaen"/>
          <w:b w:val="0"/>
          <w:color w:val="000000"/>
          <w:szCs w:val="22"/>
        </w:rPr>
        <w:t>սուբյեկտների</w:t>
      </w:r>
      <w:r w:rsidRPr="00A00B8B">
        <w:rPr>
          <w:b w:val="0"/>
          <w:color w:val="000000"/>
          <w:szCs w:val="22"/>
        </w:rPr>
        <w:t xml:space="preserve"> </w:t>
      </w:r>
      <w:r w:rsidRPr="00A00B8B">
        <w:rPr>
          <w:rFonts w:cs="Sylfaen"/>
          <w:b w:val="0"/>
          <w:color w:val="000000"/>
          <w:szCs w:val="22"/>
        </w:rPr>
        <w:t>համար</w:t>
      </w:r>
      <w:r w:rsidRPr="00A00B8B">
        <w:rPr>
          <w:b w:val="0"/>
          <w:color w:val="000000"/>
          <w:szCs w:val="22"/>
        </w:rPr>
        <w:t xml:space="preserve"> </w:t>
      </w:r>
      <w:r w:rsidRPr="00A00B8B">
        <w:rPr>
          <w:rFonts w:cs="Sylfaen"/>
          <w:b w:val="0"/>
          <w:color w:val="000000"/>
          <w:szCs w:val="22"/>
        </w:rPr>
        <w:t>ստեղծվող</w:t>
      </w:r>
      <w:r w:rsidRPr="00A00B8B">
        <w:rPr>
          <w:b w:val="0"/>
          <w:color w:val="000000"/>
          <w:szCs w:val="22"/>
        </w:rPr>
        <w:t xml:space="preserve"> «</w:t>
      </w:r>
      <w:r w:rsidRPr="00A00B8B">
        <w:rPr>
          <w:rFonts w:cs="Sylfaen"/>
          <w:b w:val="0"/>
          <w:color w:val="000000"/>
          <w:szCs w:val="22"/>
        </w:rPr>
        <w:t>օգուտ</w:t>
      </w:r>
      <w:r w:rsidRPr="00130243">
        <w:rPr>
          <w:rFonts w:cs="Sylfaen"/>
          <w:b w:val="0"/>
          <w:color w:val="000000"/>
          <w:szCs w:val="22"/>
        </w:rPr>
        <w:softHyphen/>
      </w:r>
      <w:r w:rsidRPr="00A00B8B">
        <w:rPr>
          <w:rFonts w:cs="Sylfaen"/>
          <w:b w:val="0"/>
          <w:color w:val="000000"/>
          <w:szCs w:val="22"/>
        </w:rPr>
        <w:t>ները</w:t>
      </w:r>
      <w:r w:rsidRPr="00A00B8B">
        <w:rPr>
          <w:b w:val="0"/>
          <w:color w:val="000000"/>
          <w:szCs w:val="22"/>
        </w:rPr>
        <w:t xml:space="preserve">» </w:t>
      </w:r>
      <w:r w:rsidRPr="00A00B8B">
        <w:rPr>
          <w:rFonts w:cs="Sylfaen"/>
          <w:b w:val="0"/>
          <w:color w:val="000000"/>
          <w:szCs w:val="22"/>
        </w:rPr>
        <w:t>համարժեք</w:t>
      </w:r>
      <w:r w:rsidRPr="00A00B8B">
        <w:rPr>
          <w:b w:val="0"/>
          <w:color w:val="000000"/>
          <w:szCs w:val="22"/>
        </w:rPr>
        <w:t xml:space="preserve"> </w:t>
      </w:r>
      <w:r w:rsidRPr="00A00B8B">
        <w:rPr>
          <w:rFonts w:cs="Sylfaen"/>
          <w:b w:val="0"/>
          <w:color w:val="000000"/>
          <w:szCs w:val="22"/>
        </w:rPr>
        <w:t>չեն</w:t>
      </w:r>
      <w:r w:rsidRPr="00A00B8B">
        <w:rPr>
          <w:b w:val="0"/>
          <w:color w:val="000000"/>
          <w:szCs w:val="22"/>
        </w:rPr>
        <w:t xml:space="preserve"> </w:t>
      </w:r>
      <w:r w:rsidRPr="00A00B8B">
        <w:rPr>
          <w:rFonts w:cs="Sylfaen"/>
          <w:b w:val="0"/>
          <w:color w:val="000000"/>
          <w:szCs w:val="22"/>
        </w:rPr>
        <w:t>պետության</w:t>
      </w:r>
      <w:r w:rsidRPr="00A00B8B">
        <w:rPr>
          <w:b w:val="0"/>
          <w:color w:val="000000"/>
          <w:szCs w:val="22"/>
        </w:rPr>
        <w:t xml:space="preserve"> </w:t>
      </w:r>
      <w:r w:rsidRPr="00A00B8B">
        <w:rPr>
          <w:rFonts w:cs="Sylfaen"/>
          <w:b w:val="0"/>
          <w:color w:val="000000"/>
          <w:szCs w:val="22"/>
        </w:rPr>
        <w:t>կրած</w:t>
      </w:r>
      <w:r w:rsidRPr="00A00B8B">
        <w:rPr>
          <w:b w:val="0"/>
          <w:color w:val="000000"/>
          <w:szCs w:val="22"/>
        </w:rPr>
        <w:t xml:space="preserve"> «</w:t>
      </w:r>
      <w:r w:rsidRPr="00A00B8B">
        <w:rPr>
          <w:rFonts w:cs="Sylfaen"/>
          <w:b w:val="0"/>
          <w:color w:val="000000"/>
          <w:szCs w:val="22"/>
        </w:rPr>
        <w:t>ծախ</w:t>
      </w:r>
      <w:r w:rsidRPr="00130243">
        <w:rPr>
          <w:rFonts w:cs="Sylfaen"/>
          <w:b w:val="0"/>
          <w:color w:val="000000"/>
          <w:szCs w:val="22"/>
        </w:rPr>
        <w:softHyphen/>
      </w:r>
      <w:r w:rsidRPr="00A00B8B">
        <w:rPr>
          <w:rFonts w:cs="Sylfaen"/>
          <w:b w:val="0"/>
          <w:color w:val="000000"/>
          <w:szCs w:val="22"/>
        </w:rPr>
        <w:t>սերին</w:t>
      </w:r>
      <w:r w:rsidRPr="00A00B8B">
        <w:rPr>
          <w:b w:val="0"/>
          <w:color w:val="000000"/>
          <w:szCs w:val="22"/>
        </w:rPr>
        <w:t>» (</w:t>
      </w:r>
      <w:r w:rsidRPr="00A00B8B">
        <w:rPr>
          <w:rFonts w:cs="Sylfaen"/>
          <w:b w:val="0"/>
          <w:color w:val="000000"/>
          <w:szCs w:val="22"/>
        </w:rPr>
        <w:t>պետության</w:t>
      </w:r>
      <w:r w:rsidRPr="00A00B8B">
        <w:rPr>
          <w:b w:val="0"/>
          <w:color w:val="000000"/>
          <w:szCs w:val="22"/>
        </w:rPr>
        <w:t xml:space="preserve"> </w:t>
      </w:r>
      <w:r w:rsidRPr="00A00B8B">
        <w:rPr>
          <w:rFonts w:cs="Sylfaen"/>
          <w:b w:val="0"/>
          <w:color w:val="000000"/>
          <w:szCs w:val="22"/>
        </w:rPr>
        <w:t>կորցրած</w:t>
      </w:r>
      <w:r w:rsidRPr="00130243">
        <w:rPr>
          <w:rFonts w:cs="Sylfaen"/>
          <w:b w:val="0"/>
          <w:color w:val="000000"/>
          <w:szCs w:val="22"/>
        </w:rPr>
        <w:t xml:space="preserve"> </w:t>
      </w:r>
      <w:r w:rsidRPr="00A00B8B">
        <w:rPr>
          <w:rFonts w:cs="Sylfaen"/>
          <w:b w:val="0"/>
          <w:color w:val="000000"/>
          <w:szCs w:val="22"/>
        </w:rPr>
        <w:t>հարկային</w:t>
      </w:r>
      <w:r w:rsidRPr="00130243">
        <w:rPr>
          <w:rFonts w:cs="Sylfaen"/>
          <w:b w:val="0"/>
          <w:color w:val="000000"/>
          <w:szCs w:val="22"/>
        </w:rPr>
        <w:t xml:space="preserve"> </w:t>
      </w:r>
      <w:r w:rsidRPr="00A00B8B">
        <w:rPr>
          <w:rFonts w:cs="Sylfaen"/>
          <w:b w:val="0"/>
          <w:color w:val="000000"/>
          <w:szCs w:val="22"/>
        </w:rPr>
        <w:t>եկա</w:t>
      </w:r>
      <w:r w:rsidRPr="00130243">
        <w:rPr>
          <w:rFonts w:cs="Sylfaen"/>
          <w:b w:val="0"/>
          <w:color w:val="000000"/>
          <w:szCs w:val="22"/>
        </w:rPr>
        <w:softHyphen/>
      </w:r>
      <w:r w:rsidRPr="00A00B8B">
        <w:rPr>
          <w:rFonts w:cs="Sylfaen"/>
          <w:b w:val="0"/>
          <w:color w:val="000000"/>
          <w:szCs w:val="22"/>
        </w:rPr>
        <w:t>մուտ</w:t>
      </w:r>
      <w:r w:rsidRPr="00130243">
        <w:rPr>
          <w:rFonts w:cs="Sylfaen"/>
          <w:b w:val="0"/>
          <w:color w:val="000000"/>
          <w:szCs w:val="22"/>
        </w:rPr>
        <w:softHyphen/>
      </w:r>
      <w:r w:rsidRPr="00130243">
        <w:rPr>
          <w:rFonts w:cs="Sylfaen"/>
          <w:b w:val="0"/>
          <w:color w:val="000000"/>
          <w:szCs w:val="22"/>
        </w:rPr>
        <w:softHyphen/>
      </w:r>
      <w:r w:rsidRPr="00A00B8B">
        <w:rPr>
          <w:rFonts w:cs="Sylfaen"/>
          <w:b w:val="0"/>
          <w:color w:val="000000"/>
          <w:szCs w:val="22"/>
        </w:rPr>
        <w:t>նե</w:t>
      </w:r>
      <w:r w:rsidRPr="00130243">
        <w:rPr>
          <w:rFonts w:cs="Sylfaen"/>
          <w:b w:val="0"/>
          <w:color w:val="000000"/>
          <w:szCs w:val="22"/>
        </w:rPr>
        <w:softHyphen/>
      </w:r>
      <w:r w:rsidRPr="00A00B8B">
        <w:rPr>
          <w:rFonts w:cs="Sylfaen"/>
          <w:b w:val="0"/>
          <w:color w:val="000000"/>
          <w:szCs w:val="22"/>
        </w:rPr>
        <w:t>րին</w:t>
      </w:r>
      <w:r w:rsidRPr="00A00B8B">
        <w:rPr>
          <w:b w:val="0"/>
          <w:color w:val="000000"/>
          <w:szCs w:val="22"/>
        </w:rPr>
        <w:t xml:space="preserve">), </w:t>
      </w:r>
      <w:r w:rsidRPr="00A00B8B">
        <w:rPr>
          <w:rFonts w:cs="Sylfaen"/>
          <w:b w:val="0"/>
          <w:color w:val="000000"/>
          <w:szCs w:val="22"/>
        </w:rPr>
        <w:t>պետք</w:t>
      </w:r>
      <w:r w:rsidRPr="00A00B8B">
        <w:rPr>
          <w:b w:val="0"/>
          <w:color w:val="000000"/>
          <w:szCs w:val="22"/>
        </w:rPr>
        <w:t xml:space="preserve"> </w:t>
      </w:r>
      <w:r w:rsidRPr="00A00B8B">
        <w:rPr>
          <w:rFonts w:cs="Sylfaen"/>
          <w:b w:val="0"/>
          <w:color w:val="000000"/>
          <w:szCs w:val="22"/>
        </w:rPr>
        <w:t>է</w:t>
      </w:r>
      <w:r w:rsidRPr="00A00B8B">
        <w:rPr>
          <w:b w:val="0"/>
          <w:color w:val="000000"/>
          <w:szCs w:val="22"/>
        </w:rPr>
        <w:t xml:space="preserve"> </w:t>
      </w:r>
      <w:r w:rsidRPr="00A00B8B">
        <w:rPr>
          <w:rFonts w:cs="Sylfaen"/>
          <w:b w:val="0"/>
          <w:color w:val="000000"/>
          <w:szCs w:val="22"/>
        </w:rPr>
        <w:t>աստիճանաբար</w:t>
      </w:r>
      <w:r w:rsidRPr="00A00B8B">
        <w:rPr>
          <w:b w:val="0"/>
          <w:color w:val="000000"/>
          <w:szCs w:val="22"/>
        </w:rPr>
        <w:t xml:space="preserve"> </w:t>
      </w:r>
      <w:r w:rsidRPr="00A00B8B">
        <w:rPr>
          <w:rFonts w:cs="Sylfaen"/>
          <w:b w:val="0"/>
          <w:color w:val="000000"/>
          <w:szCs w:val="22"/>
        </w:rPr>
        <w:t>կրճատ</w:t>
      </w:r>
      <w:r w:rsidRPr="00130243">
        <w:rPr>
          <w:rFonts w:cs="Sylfaen"/>
          <w:b w:val="0"/>
          <w:color w:val="000000"/>
          <w:szCs w:val="22"/>
        </w:rPr>
        <w:softHyphen/>
      </w:r>
      <w:r w:rsidRPr="00A00B8B">
        <w:rPr>
          <w:rFonts w:cs="Sylfaen"/>
          <w:b w:val="0"/>
          <w:color w:val="000000"/>
          <w:szCs w:val="22"/>
        </w:rPr>
        <w:t>վեն</w:t>
      </w:r>
      <w:r w:rsidRPr="00A00B8B">
        <w:rPr>
          <w:b w:val="0"/>
          <w:color w:val="000000"/>
          <w:szCs w:val="22"/>
        </w:rPr>
        <w:t xml:space="preserve">: </w:t>
      </w:r>
      <w:r w:rsidRPr="00A00B8B">
        <w:rPr>
          <w:rFonts w:cs="Sylfaen"/>
          <w:b w:val="0"/>
          <w:color w:val="000000"/>
          <w:szCs w:val="22"/>
        </w:rPr>
        <w:t>Քաղաքականության</w:t>
      </w:r>
      <w:r w:rsidRPr="00A00B8B">
        <w:rPr>
          <w:b w:val="0"/>
          <w:color w:val="000000"/>
          <w:szCs w:val="22"/>
        </w:rPr>
        <w:t xml:space="preserve"> </w:t>
      </w:r>
      <w:r w:rsidRPr="00A00B8B">
        <w:rPr>
          <w:rFonts w:cs="Sylfaen"/>
          <w:b w:val="0"/>
          <w:color w:val="000000"/>
          <w:szCs w:val="22"/>
        </w:rPr>
        <w:t>այսպիսի</w:t>
      </w:r>
      <w:r w:rsidRPr="00A00B8B">
        <w:rPr>
          <w:b w:val="0"/>
          <w:color w:val="000000"/>
          <w:szCs w:val="22"/>
        </w:rPr>
        <w:t xml:space="preserve"> </w:t>
      </w:r>
      <w:r w:rsidRPr="00A00B8B">
        <w:rPr>
          <w:rFonts w:cs="Sylfaen"/>
          <w:b w:val="0"/>
          <w:color w:val="000000"/>
          <w:szCs w:val="22"/>
        </w:rPr>
        <w:t>մոտեցումը</w:t>
      </w:r>
      <w:r w:rsidRPr="00A00B8B">
        <w:rPr>
          <w:b w:val="0"/>
          <w:color w:val="000000"/>
          <w:szCs w:val="22"/>
        </w:rPr>
        <w:t xml:space="preserve"> </w:t>
      </w:r>
      <w:r w:rsidRPr="00A00B8B">
        <w:rPr>
          <w:rFonts w:cs="Sylfaen"/>
          <w:b w:val="0"/>
          <w:color w:val="000000"/>
          <w:szCs w:val="22"/>
        </w:rPr>
        <w:t>հիմ</w:t>
      </w:r>
      <w:r w:rsidRPr="00130243">
        <w:rPr>
          <w:rFonts w:cs="Sylfaen"/>
          <w:b w:val="0"/>
          <w:color w:val="000000"/>
          <w:szCs w:val="22"/>
        </w:rPr>
        <w:softHyphen/>
      </w:r>
      <w:r w:rsidRPr="00130243">
        <w:rPr>
          <w:rFonts w:cs="Sylfaen"/>
          <w:b w:val="0"/>
          <w:color w:val="000000"/>
          <w:szCs w:val="22"/>
        </w:rPr>
        <w:softHyphen/>
      </w:r>
      <w:r w:rsidRPr="00A00B8B">
        <w:rPr>
          <w:rFonts w:cs="Sylfaen"/>
          <w:b w:val="0"/>
          <w:color w:val="000000"/>
          <w:szCs w:val="22"/>
        </w:rPr>
        <w:t>նա</w:t>
      </w:r>
      <w:r w:rsidRPr="00130243">
        <w:rPr>
          <w:rFonts w:cs="Sylfaen"/>
          <w:b w:val="0"/>
          <w:color w:val="000000"/>
          <w:szCs w:val="22"/>
        </w:rPr>
        <w:softHyphen/>
      </w:r>
      <w:r w:rsidRPr="00A00B8B">
        <w:rPr>
          <w:rFonts w:cs="Sylfaen"/>
          <w:b w:val="0"/>
          <w:color w:val="000000"/>
          <w:szCs w:val="22"/>
        </w:rPr>
        <w:t>վորվում</w:t>
      </w:r>
      <w:r w:rsidRPr="00A00B8B">
        <w:rPr>
          <w:b w:val="0"/>
          <w:color w:val="000000"/>
          <w:szCs w:val="22"/>
        </w:rPr>
        <w:t xml:space="preserve"> </w:t>
      </w:r>
      <w:r w:rsidRPr="00A00B8B">
        <w:rPr>
          <w:rFonts w:cs="Sylfaen"/>
          <w:b w:val="0"/>
          <w:color w:val="000000"/>
          <w:szCs w:val="22"/>
        </w:rPr>
        <w:t>է</w:t>
      </w:r>
      <w:r w:rsidRPr="00A00B8B">
        <w:rPr>
          <w:b w:val="0"/>
          <w:color w:val="000000"/>
          <w:szCs w:val="22"/>
        </w:rPr>
        <w:t xml:space="preserve"> </w:t>
      </w:r>
      <w:r w:rsidRPr="00A00B8B">
        <w:rPr>
          <w:rFonts w:cs="Sylfaen"/>
          <w:b w:val="0"/>
          <w:color w:val="000000"/>
          <w:szCs w:val="22"/>
        </w:rPr>
        <w:t>ֆինանսական</w:t>
      </w:r>
      <w:r w:rsidRPr="00A00B8B">
        <w:rPr>
          <w:b w:val="0"/>
          <w:color w:val="000000"/>
          <w:szCs w:val="22"/>
        </w:rPr>
        <w:t xml:space="preserve"> </w:t>
      </w:r>
      <w:r w:rsidRPr="00A00B8B">
        <w:rPr>
          <w:rFonts w:cs="Sylfaen"/>
          <w:b w:val="0"/>
          <w:color w:val="000000"/>
          <w:szCs w:val="22"/>
        </w:rPr>
        <w:t>ռեսուրս</w:t>
      </w:r>
      <w:r w:rsidRPr="00130243">
        <w:rPr>
          <w:rFonts w:cs="Sylfaen"/>
          <w:b w:val="0"/>
          <w:color w:val="000000"/>
          <w:szCs w:val="22"/>
        </w:rPr>
        <w:softHyphen/>
      </w:r>
      <w:r w:rsidRPr="00A00B8B">
        <w:rPr>
          <w:rFonts w:cs="Sylfaen"/>
          <w:b w:val="0"/>
          <w:color w:val="000000"/>
          <w:szCs w:val="22"/>
        </w:rPr>
        <w:t>ներ</w:t>
      </w:r>
      <w:r w:rsidRPr="00A00B8B">
        <w:rPr>
          <w:b w:val="0"/>
          <w:color w:val="000000"/>
          <w:szCs w:val="22"/>
        </w:rPr>
        <w:t xml:space="preserve"> </w:t>
      </w:r>
      <w:r w:rsidRPr="00A00B8B">
        <w:rPr>
          <w:rFonts w:cs="Sylfaen"/>
          <w:b w:val="0"/>
          <w:color w:val="000000"/>
          <w:szCs w:val="22"/>
        </w:rPr>
        <w:t>կենտրոնացնելու՝</w:t>
      </w:r>
      <w:r w:rsidRPr="00A00B8B">
        <w:rPr>
          <w:b w:val="0"/>
          <w:color w:val="000000"/>
          <w:szCs w:val="22"/>
        </w:rPr>
        <w:t xml:space="preserve"> </w:t>
      </w:r>
      <w:r w:rsidRPr="00A00B8B">
        <w:rPr>
          <w:rFonts w:cs="Sylfaen"/>
          <w:b w:val="0"/>
          <w:color w:val="000000"/>
          <w:szCs w:val="22"/>
        </w:rPr>
        <w:t>պետության</w:t>
      </w:r>
      <w:r w:rsidRPr="00A00B8B">
        <w:rPr>
          <w:b w:val="0"/>
          <w:color w:val="000000"/>
          <w:szCs w:val="22"/>
        </w:rPr>
        <w:t xml:space="preserve"> </w:t>
      </w:r>
      <w:r w:rsidRPr="00A00B8B">
        <w:rPr>
          <w:rFonts w:cs="Sylfaen"/>
          <w:b w:val="0"/>
          <w:color w:val="000000"/>
          <w:szCs w:val="22"/>
        </w:rPr>
        <w:t>սահմանափակ</w:t>
      </w:r>
      <w:r w:rsidRPr="00A00B8B">
        <w:rPr>
          <w:b w:val="0"/>
          <w:color w:val="000000"/>
          <w:szCs w:val="22"/>
        </w:rPr>
        <w:t xml:space="preserve"> </w:t>
      </w:r>
      <w:r w:rsidRPr="00A00B8B">
        <w:rPr>
          <w:rFonts w:cs="Sylfaen"/>
          <w:b w:val="0"/>
          <w:color w:val="000000"/>
          <w:szCs w:val="22"/>
        </w:rPr>
        <w:t>ներուժը</w:t>
      </w:r>
      <w:r w:rsidRPr="00A00B8B">
        <w:rPr>
          <w:b w:val="0"/>
          <w:color w:val="000000"/>
          <w:szCs w:val="22"/>
        </w:rPr>
        <w:t xml:space="preserve"> </w:t>
      </w:r>
      <w:r w:rsidRPr="00A00B8B">
        <w:rPr>
          <w:rFonts w:cs="Sylfaen"/>
          <w:b w:val="0"/>
          <w:color w:val="000000"/>
          <w:szCs w:val="22"/>
        </w:rPr>
        <w:t>առավել</w:t>
      </w:r>
      <w:r w:rsidRPr="00A00B8B">
        <w:rPr>
          <w:b w:val="0"/>
          <w:color w:val="000000"/>
          <w:szCs w:val="22"/>
        </w:rPr>
        <w:t xml:space="preserve"> </w:t>
      </w:r>
      <w:r w:rsidRPr="00A00B8B">
        <w:rPr>
          <w:rFonts w:cs="Sylfaen"/>
          <w:b w:val="0"/>
          <w:color w:val="000000"/>
          <w:szCs w:val="22"/>
        </w:rPr>
        <w:t>արդյունավետ</w:t>
      </w:r>
      <w:r w:rsidRPr="00A00B8B">
        <w:rPr>
          <w:b w:val="0"/>
          <w:color w:val="000000"/>
          <w:szCs w:val="22"/>
        </w:rPr>
        <w:t xml:space="preserve"> </w:t>
      </w:r>
      <w:r w:rsidRPr="00A00B8B">
        <w:rPr>
          <w:rFonts w:cs="Sylfaen"/>
          <w:b w:val="0"/>
          <w:color w:val="000000"/>
          <w:szCs w:val="22"/>
        </w:rPr>
        <w:t>և</w:t>
      </w:r>
      <w:r w:rsidRPr="00A00B8B">
        <w:rPr>
          <w:b w:val="0"/>
          <w:color w:val="000000"/>
          <w:szCs w:val="22"/>
        </w:rPr>
        <w:t xml:space="preserve"> </w:t>
      </w:r>
      <w:r w:rsidRPr="00A00B8B">
        <w:rPr>
          <w:rFonts w:cs="Sylfaen"/>
          <w:b w:val="0"/>
          <w:color w:val="000000"/>
          <w:szCs w:val="22"/>
        </w:rPr>
        <w:t>առա</w:t>
      </w:r>
      <w:r w:rsidRPr="00130243">
        <w:rPr>
          <w:rFonts w:cs="Sylfaen"/>
          <w:b w:val="0"/>
          <w:color w:val="000000"/>
          <w:szCs w:val="22"/>
        </w:rPr>
        <w:softHyphen/>
      </w:r>
      <w:r w:rsidRPr="00A00B8B">
        <w:rPr>
          <w:rFonts w:cs="Sylfaen"/>
          <w:b w:val="0"/>
          <w:color w:val="000000"/>
          <w:szCs w:val="22"/>
        </w:rPr>
        <w:t>վել</w:t>
      </w:r>
      <w:r w:rsidRPr="00A00B8B">
        <w:rPr>
          <w:b w:val="0"/>
          <w:color w:val="000000"/>
          <w:szCs w:val="22"/>
        </w:rPr>
        <w:t xml:space="preserve"> </w:t>
      </w:r>
      <w:r w:rsidRPr="00A00B8B">
        <w:rPr>
          <w:rFonts w:cs="Sylfaen"/>
          <w:b w:val="0"/>
          <w:color w:val="000000"/>
          <w:szCs w:val="22"/>
        </w:rPr>
        <w:t>հասցեական</w:t>
      </w:r>
      <w:r w:rsidRPr="00A00B8B">
        <w:rPr>
          <w:b w:val="0"/>
          <w:color w:val="000000"/>
          <w:szCs w:val="22"/>
        </w:rPr>
        <w:t xml:space="preserve"> </w:t>
      </w:r>
      <w:r w:rsidRPr="00A00B8B">
        <w:rPr>
          <w:rFonts w:cs="Sylfaen"/>
          <w:b w:val="0"/>
          <w:color w:val="000000"/>
          <w:szCs w:val="22"/>
        </w:rPr>
        <w:t>ձևով</w:t>
      </w:r>
      <w:r w:rsidRPr="00A00B8B">
        <w:rPr>
          <w:b w:val="0"/>
          <w:color w:val="000000"/>
          <w:szCs w:val="22"/>
        </w:rPr>
        <w:t xml:space="preserve"> </w:t>
      </w:r>
      <w:r w:rsidRPr="00A00B8B">
        <w:rPr>
          <w:rFonts w:cs="Sylfaen"/>
          <w:b w:val="0"/>
          <w:color w:val="000000"/>
          <w:szCs w:val="22"/>
        </w:rPr>
        <w:t>օգտագործելու</w:t>
      </w:r>
      <w:r w:rsidRPr="00A00B8B">
        <w:rPr>
          <w:b w:val="0"/>
          <w:color w:val="000000"/>
          <w:szCs w:val="22"/>
        </w:rPr>
        <w:t xml:space="preserve"> </w:t>
      </w:r>
      <w:r w:rsidRPr="00A00B8B">
        <w:rPr>
          <w:rFonts w:cs="Sylfaen"/>
          <w:b w:val="0"/>
          <w:color w:val="000000"/>
          <w:szCs w:val="22"/>
        </w:rPr>
        <w:t>նպատակա</w:t>
      </w:r>
      <w:r w:rsidRPr="00130243">
        <w:rPr>
          <w:rFonts w:cs="Sylfaen"/>
          <w:b w:val="0"/>
          <w:color w:val="000000"/>
          <w:szCs w:val="22"/>
        </w:rPr>
        <w:softHyphen/>
      </w:r>
      <w:r w:rsidRPr="00A00B8B">
        <w:rPr>
          <w:rFonts w:cs="Sylfaen"/>
          <w:b w:val="0"/>
          <w:color w:val="000000"/>
          <w:szCs w:val="22"/>
        </w:rPr>
        <w:t>դրու</w:t>
      </w:r>
      <w:r w:rsidRPr="00130243">
        <w:rPr>
          <w:rFonts w:cs="Sylfaen"/>
          <w:b w:val="0"/>
          <w:color w:val="000000"/>
          <w:szCs w:val="22"/>
        </w:rPr>
        <w:softHyphen/>
      </w:r>
      <w:r w:rsidRPr="00130243">
        <w:rPr>
          <w:rFonts w:cs="Sylfaen"/>
          <w:b w:val="0"/>
          <w:color w:val="000000"/>
          <w:szCs w:val="22"/>
        </w:rPr>
        <w:softHyphen/>
      </w:r>
      <w:r w:rsidRPr="00A00B8B">
        <w:rPr>
          <w:rFonts w:cs="Sylfaen"/>
          <w:b w:val="0"/>
          <w:color w:val="000000"/>
          <w:szCs w:val="22"/>
        </w:rPr>
        <w:t>մով</w:t>
      </w:r>
      <w:r w:rsidRPr="00A00B8B">
        <w:rPr>
          <w:b w:val="0"/>
          <w:color w:val="000000"/>
          <w:szCs w:val="22"/>
        </w:rPr>
        <w:t xml:space="preserve">, </w:t>
      </w:r>
      <w:r w:rsidRPr="00A00B8B">
        <w:rPr>
          <w:rFonts w:cs="Sylfaen"/>
          <w:b w:val="0"/>
          <w:color w:val="000000"/>
          <w:szCs w:val="22"/>
        </w:rPr>
        <w:t>քանի</w:t>
      </w:r>
      <w:r w:rsidRPr="00A00B8B">
        <w:rPr>
          <w:b w:val="0"/>
          <w:color w:val="000000"/>
          <w:szCs w:val="22"/>
        </w:rPr>
        <w:t xml:space="preserve"> </w:t>
      </w:r>
      <w:r w:rsidRPr="00A00B8B">
        <w:rPr>
          <w:rFonts w:cs="Sylfaen"/>
          <w:b w:val="0"/>
          <w:color w:val="000000"/>
          <w:szCs w:val="22"/>
        </w:rPr>
        <w:t>որ</w:t>
      </w:r>
      <w:r w:rsidRPr="00130243">
        <w:rPr>
          <w:rFonts w:cs="Sylfaen"/>
          <w:b w:val="0"/>
          <w:color w:val="000000"/>
          <w:szCs w:val="22"/>
        </w:rPr>
        <w:t xml:space="preserve"> </w:t>
      </w:r>
      <w:r w:rsidRPr="00A00B8B">
        <w:rPr>
          <w:rFonts w:cs="Sylfaen"/>
          <w:b w:val="0"/>
          <w:color w:val="000000"/>
          <w:szCs w:val="22"/>
        </w:rPr>
        <w:t>հարկային</w:t>
      </w:r>
      <w:r w:rsidRPr="00130243">
        <w:rPr>
          <w:rFonts w:cs="Sylfaen"/>
          <w:b w:val="0"/>
          <w:color w:val="000000"/>
          <w:szCs w:val="22"/>
        </w:rPr>
        <w:t xml:space="preserve"> </w:t>
      </w:r>
      <w:r w:rsidRPr="00A00B8B">
        <w:rPr>
          <w:rFonts w:cs="Sylfaen"/>
          <w:b w:val="0"/>
          <w:color w:val="000000"/>
          <w:szCs w:val="22"/>
        </w:rPr>
        <w:t>արտո</w:t>
      </w:r>
      <w:r w:rsidRPr="00130243">
        <w:rPr>
          <w:rFonts w:cs="Sylfaen"/>
          <w:b w:val="0"/>
          <w:color w:val="000000"/>
          <w:szCs w:val="22"/>
        </w:rPr>
        <w:softHyphen/>
      </w:r>
      <w:r w:rsidRPr="00A00B8B">
        <w:rPr>
          <w:rFonts w:cs="Sylfaen"/>
          <w:b w:val="0"/>
          <w:color w:val="000000"/>
          <w:szCs w:val="22"/>
        </w:rPr>
        <w:t>նու</w:t>
      </w:r>
      <w:r w:rsidRPr="00130243">
        <w:rPr>
          <w:rFonts w:cs="Sylfaen"/>
          <w:b w:val="0"/>
          <w:color w:val="000000"/>
          <w:szCs w:val="22"/>
        </w:rPr>
        <w:softHyphen/>
      </w:r>
      <w:r w:rsidRPr="00A00B8B">
        <w:rPr>
          <w:rFonts w:cs="Sylfaen"/>
          <w:b w:val="0"/>
          <w:color w:val="000000"/>
          <w:szCs w:val="22"/>
        </w:rPr>
        <w:t>թյունների</w:t>
      </w:r>
      <w:r w:rsidRPr="00A00B8B">
        <w:rPr>
          <w:b w:val="0"/>
          <w:color w:val="000000"/>
          <w:szCs w:val="22"/>
        </w:rPr>
        <w:t xml:space="preserve"> </w:t>
      </w:r>
      <w:r w:rsidRPr="00A00B8B">
        <w:rPr>
          <w:rFonts w:cs="Sylfaen"/>
          <w:b w:val="0"/>
          <w:color w:val="000000"/>
          <w:szCs w:val="22"/>
        </w:rPr>
        <w:t>տրամադրմամբ</w:t>
      </w:r>
      <w:r w:rsidRPr="00A00B8B">
        <w:rPr>
          <w:b w:val="0"/>
          <w:color w:val="000000"/>
          <w:szCs w:val="22"/>
        </w:rPr>
        <w:t xml:space="preserve">, </w:t>
      </w:r>
      <w:r w:rsidRPr="00A00B8B">
        <w:rPr>
          <w:rFonts w:cs="Sylfaen"/>
          <w:b w:val="0"/>
          <w:color w:val="000000"/>
          <w:szCs w:val="22"/>
        </w:rPr>
        <w:t>պետությունը</w:t>
      </w:r>
      <w:r w:rsidRPr="00A00B8B">
        <w:rPr>
          <w:b w:val="0"/>
          <w:color w:val="000000"/>
          <w:szCs w:val="22"/>
        </w:rPr>
        <w:t xml:space="preserve">, </w:t>
      </w:r>
      <w:r w:rsidRPr="00A00B8B">
        <w:rPr>
          <w:rFonts w:cs="Sylfaen"/>
          <w:b w:val="0"/>
          <w:color w:val="000000"/>
          <w:szCs w:val="22"/>
        </w:rPr>
        <w:t>ըստ</w:t>
      </w:r>
      <w:r w:rsidRPr="00A00B8B">
        <w:rPr>
          <w:b w:val="0"/>
          <w:color w:val="000000"/>
          <w:szCs w:val="22"/>
        </w:rPr>
        <w:t xml:space="preserve"> </w:t>
      </w:r>
      <w:r w:rsidRPr="00A00B8B">
        <w:rPr>
          <w:rFonts w:cs="Sylfaen"/>
          <w:b w:val="0"/>
          <w:color w:val="000000"/>
          <w:szCs w:val="22"/>
        </w:rPr>
        <w:t>էութ</w:t>
      </w:r>
      <w:r w:rsidRPr="00130243">
        <w:rPr>
          <w:rFonts w:cs="Sylfaen"/>
          <w:b w:val="0"/>
          <w:color w:val="000000"/>
          <w:szCs w:val="22"/>
        </w:rPr>
        <w:softHyphen/>
      </w:r>
      <w:r w:rsidRPr="00A00B8B">
        <w:rPr>
          <w:rFonts w:cs="Sylfaen"/>
          <w:b w:val="0"/>
          <w:color w:val="000000"/>
          <w:szCs w:val="22"/>
        </w:rPr>
        <w:t>յան</w:t>
      </w:r>
      <w:r w:rsidRPr="00A00B8B">
        <w:rPr>
          <w:b w:val="0"/>
          <w:color w:val="000000"/>
          <w:szCs w:val="22"/>
        </w:rPr>
        <w:t xml:space="preserve">, </w:t>
      </w:r>
      <w:r w:rsidRPr="00A00B8B">
        <w:rPr>
          <w:rFonts w:cs="Sylfaen"/>
          <w:b w:val="0"/>
          <w:color w:val="000000"/>
          <w:szCs w:val="22"/>
        </w:rPr>
        <w:t>զրկվում</w:t>
      </w:r>
      <w:r w:rsidRPr="00A00B8B">
        <w:rPr>
          <w:b w:val="0"/>
          <w:color w:val="000000"/>
          <w:szCs w:val="22"/>
        </w:rPr>
        <w:t xml:space="preserve"> </w:t>
      </w:r>
      <w:r w:rsidRPr="00A00B8B">
        <w:rPr>
          <w:rFonts w:cs="Sylfaen"/>
          <w:b w:val="0"/>
          <w:color w:val="000000"/>
          <w:szCs w:val="22"/>
        </w:rPr>
        <w:t>է</w:t>
      </w:r>
      <w:r w:rsidRPr="00A00B8B">
        <w:rPr>
          <w:b w:val="0"/>
          <w:color w:val="000000"/>
          <w:szCs w:val="22"/>
        </w:rPr>
        <w:t xml:space="preserve"> </w:t>
      </w:r>
      <w:r w:rsidRPr="00A00B8B">
        <w:rPr>
          <w:rFonts w:cs="Sylfaen"/>
          <w:b w:val="0"/>
          <w:color w:val="000000"/>
          <w:szCs w:val="22"/>
        </w:rPr>
        <w:t>լրացուցիչ</w:t>
      </w:r>
      <w:r w:rsidRPr="00130243">
        <w:rPr>
          <w:rFonts w:cs="Sylfaen"/>
          <w:b w:val="0"/>
          <w:color w:val="000000"/>
          <w:szCs w:val="22"/>
        </w:rPr>
        <w:t xml:space="preserve"> </w:t>
      </w:r>
      <w:r w:rsidRPr="00A00B8B">
        <w:rPr>
          <w:rFonts w:cs="Sylfaen"/>
          <w:b w:val="0"/>
          <w:color w:val="000000"/>
          <w:szCs w:val="22"/>
        </w:rPr>
        <w:t>հարկային</w:t>
      </w:r>
      <w:r w:rsidRPr="00130243">
        <w:rPr>
          <w:rFonts w:cs="Sylfaen"/>
          <w:b w:val="0"/>
          <w:color w:val="000000"/>
          <w:szCs w:val="22"/>
        </w:rPr>
        <w:t xml:space="preserve"> </w:t>
      </w:r>
      <w:r w:rsidRPr="00A00B8B">
        <w:rPr>
          <w:rFonts w:cs="Sylfaen"/>
          <w:b w:val="0"/>
          <w:color w:val="000000"/>
          <w:szCs w:val="22"/>
        </w:rPr>
        <w:t>եկա</w:t>
      </w:r>
      <w:r w:rsidRPr="00130243">
        <w:rPr>
          <w:rFonts w:cs="Sylfaen"/>
          <w:b w:val="0"/>
          <w:color w:val="000000"/>
          <w:szCs w:val="22"/>
        </w:rPr>
        <w:softHyphen/>
      </w:r>
      <w:r w:rsidRPr="00A00B8B">
        <w:rPr>
          <w:rFonts w:cs="Sylfaen"/>
          <w:b w:val="0"/>
          <w:color w:val="000000"/>
          <w:szCs w:val="22"/>
        </w:rPr>
        <w:t>մուտներ</w:t>
      </w:r>
      <w:r w:rsidRPr="00130243">
        <w:rPr>
          <w:rFonts w:cs="Sylfaen"/>
          <w:b w:val="0"/>
          <w:color w:val="000000"/>
          <w:szCs w:val="22"/>
        </w:rPr>
        <w:t xml:space="preserve"> </w:t>
      </w:r>
      <w:r w:rsidRPr="00A00B8B">
        <w:rPr>
          <w:rFonts w:cs="Sylfaen"/>
          <w:b w:val="0"/>
          <w:color w:val="000000"/>
          <w:szCs w:val="22"/>
        </w:rPr>
        <w:t>հավաքագրելու</w:t>
      </w:r>
      <w:r w:rsidRPr="00A00B8B">
        <w:rPr>
          <w:b w:val="0"/>
          <w:color w:val="000000"/>
          <w:szCs w:val="22"/>
        </w:rPr>
        <w:t xml:space="preserve"> </w:t>
      </w:r>
      <w:r w:rsidRPr="00A00B8B">
        <w:rPr>
          <w:rFonts w:cs="Sylfaen"/>
          <w:b w:val="0"/>
          <w:color w:val="000000"/>
          <w:szCs w:val="22"/>
        </w:rPr>
        <w:t>և</w:t>
      </w:r>
      <w:r w:rsidRPr="00A00B8B">
        <w:rPr>
          <w:b w:val="0"/>
          <w:color w:val="000000"/>
          <w:szCs w:val="22"/>
        </w:rPr>
        <w:t xml:space="preserve"> </w:t>
      </w:r>
      <w:r w:rsidRPr="00A00B8B">
        <w:rPr>
          <w:rFonts w:cs="Sylfaen"/>
          <w:b w:val="0"/>
          <w:color w:val="000000"/>
          <w:szCs w:val="22"/>
        </w:rPr>
        <w:t>զարգացման</w:t>
      </w:r>
      <w:r w:rsidRPr="00130243">
        <w:rPr>
          <w:rFonts w:cs="Sylfaen"/>
          <w:b w:val="0"/>
          <w:color w:val="000000"/>
          <w:szCs w:val="22"/>
        </w:rPr>
        <w:t>,</w:t>
      </w:r>
      <w:r w:rsidRPr="00A00B8B">
        <w:rPr>
          <w:b w:val="0"/>
          <w:color w:val="000000"/>
          <w:szCs w:val="22"/>
        </w:rPr>
        <w:t xml:space="preserve"> </w:t>
      </w:r>
      <w:r w:rsidRPr="00A00B8B">
        <w:rPr>
          <w:rFonts w:cs="Sylfaen"/>
          <w:b w:val="0"/>
          <w:color w:val="000000"/>
          <w:szCs w:val="22"/>
        </w:rPr>
        <w:t>սոցիա</w:t>
      </w:r>
      <w:r w:rsidRPr="00130243">
        <w:rPr>
          <w:rFonts w:cs="Sylfaen"/>
          <w:b w:val="0"/>
          <w:color w:val="000000"/>
          <w:szCs w:val="22"/>
        </w:rPr>
        <w:softHyphen/>
      </w:r>
      <w:r w:rsidRPr="00A00B8B">
        <w:rPr>
          <w:rFonts w:cs="Sylfaen"/>
          <w:b w:val="0"/>
          <w:color w:val="000000"/>
          <w:szCs w:val="22"/>
        </w:rPr>
        <w:t>լա</w:t>
      </w:r>
      <w:r w:rsidRPr="00130243">
        <w:rPr>
          <w:rFonts w:cs="Sylfaen"/>
          <w:b w:val="0"/>
          <w:color w:val="000000"/>
          <w:szCs w:val="22"/>
        </w:rPr>
        <w:softHyphen/>
      </w:r>
      <w:r w:rsidRPr="00A00B8B">
        <w:rPr>
          <w:rFonts w:cs="Sylfaen"/>
          <w:b w:val="0"/>
          <w:color w:val="000000"/>
          <w:szCs w:val="22"/>
        </w:rPr>
        <w:t>կան</w:t>
      </w:r>
      <w:r w:rsidRPr="00130243">
        <w:rPr>
          <w:rFonts w:cs="Sylfaen"/>
          <w:b w:val="0"/>
          <w:color w:val="000000"/>
          <w:szCs w:val="22"/>
        </w:rPr>
        <w:t xml:space="preserve">, </w:t>
      </w:r>
      <w:r w:rsidRPr="00A00B8B">
        <w:rPr>
          <w:rFonts w:cs="Sylfaen"/>
          <w:b w:val="0"/>
          <w:color w:val="000000"/>
          <w:szCs w:val="22"/>
          <w:lang w:val="en-US"/>
        </w:rPr>
        <w:t>բնապահպանական</w:t>
      </w:r>
      <w:r w:rsidRPr="00130243">
        <w:rPr>
          <w:rFonts w:cs="Sylfaen"/>
          <w:b w:val="0"/>
          <w:color w:val="000000"/>
          <w:szCs w:val="22"/>
        </w:rPr>
        <w:t xml:space="preserve">, </w:t>
      </w:r>
      <w:r w:rsidRPr="00A00B8B">
        <w:rPr>
          <w:rFonts w:cs="Sylfaen"/>
          <w:b w:val="0"/>
          <w:color w:val="000000"/>
          <w:szCs w:val="22"/>
          <w:lang w:val="en-US"/>
        </w:rPr>
        <w:t>առողջա</w:t>
      </w:r>
      <w:r w:rsidRPr="00130243">
        <w:rPr>
          <w:rFonts w:cs="Sylfaen"/>
          <w:b w:val="0"/>
          <w:color w:val="000000"/>
          <w:szCs w:val="22"/>
        </w:rPr>
        <w:softHyphen/>
      </w:r>
      <w:r w:rsidRPr="00A00B8B">
        <w:rPr>
          <w:rFonts w:cs="Sylfaen"/>
          <w:b w:val="0"/>
          <w:color w:val="000000"/>
          <w:szCs w:val="22"/>
          <w:lang w:val="en-US"/>
        </w:rPr>
        <w:t>պա</w:t>
      </w:r>
      <w:r w:rsidRPr="00130243">
        <w:rPr>
          <w:rFonts w:cs="Sylfaen"/>
          <w:b w:val="0"/>
          <w:color w:val="000000"/>
          <w:szCs w:val="22"/>
        </w:rPr>
        <w:softHyphen/>
      </w:r>
      <w:r w:rsidRPr="00A00B8B">
        <w:rPr>
          <w:rFonts w:cs="Sylfaen"/>
          <w:b w:val="0"/>
          <w:color w:val="000000"/>
          <w:szCs w:val="22"/>
          <w:lang w:val="en-US"/>
        </w:rPr>
        <w:t>հական</w:t>
      </w:r>
      <w:r w:rsidRPr="00130243">
        <w:rPr>
          <w:rFonts w:cs="Sylfaen"/>
          <w:b w:val="0"/>
          <w:color w:val="000000"/>
          <w:szCs w:val="22"/>
        </w:rPr>
        <w:t xml:space="preserve"> </w:t>
      </w:r>
      <w:r w:rsidRPr="00A00B8B">
        <w:rPr>
          <w:rFonts w:cs="Sylfaen"/>
          <w:b w:val="0"/>
          <w:color w:val="000000"/>
          <w:szCs w:val="22"/>
          <w:lang w:val="en-US"/>
        </w:rPr>
        <w:t>կամ</w:t>
      </w:r>
      <w:r w:rsidRPr="00130243">
        <w:rPr>
          <w:rFonts w:cs="Sylfaen"/>
          <w:b w:val="0"/>
          <w:color w:val="000000"/>
          <w:szCs w:val="22"/>
        </w:rPr>
        <w:t xml:space="preserve"> </w:t>
      </w:r>
      <w:r w:rsidRPr="00A00B8B">
        <w:rPr>
          <w:rFonts w:cs="Sylfaen"/>
          <w:b w:val="0"/>
          <w:color w:val="000000"/>
          <w:szCs w:val="22"/>
          <w:lang w:val="en-US"/>
        </w:rPr>
        <w:t>այլ</w:t>
      </w:r>
      <w:r w:rsidRPr="00130243">
        <w:rPr>
          <w:rFonts w:cs="Sylfaen"/>
          <w:b w:val="0"/>
          <w:color w:val="000000"/>
          <w:szCs w:val="22"/>
        </w:rPr>
        <w:t xml:space="preserve"> </w:t>
      </w:r>
      <w:r w:rsidRPr="00A00B8B">
        <w:rPr>
          <w:rFonts w:cs="Sylfaen"/>
          <w:b w:val="0"/>
          <w:color w:val="000000"/>
          <w:szCs w:val="22"/>
          <w:lang w:val="en-US"/>
        </w:rPr>
        <w:t>հանրօգուտ</w:t>
      </w:r>
      <w:r w:rsidRPr="00130243">
        <w:rPr>
          <w:rFonts w:cs="Sylfaen"/>
          <w:b w:val="0"/>
          <w:color w:val="000000"/>
          <w:szCs w:val="22"/>
        </w:rPr>
        <w:t xml:space="preserve"> </w:t>
      </w:r>
      <w:r w:rsidRPr="00A00B8B">
        <w:rPr>
          <w:rFonts w:cs="Sylfaen"/>
          <w:b w:val="0"/>
          <w:color w:val="000000"/>
          <w:szCs w:val="22"/>
          <w:lang w:val="en-US"/>
        </w:rPr>
        <w:t>նպատակներով</w:t>
      </w:r>
      <w:r w:rsidRPr="00A00B8B">
        <w:rPr>
          <w:b w:val="0"/>
          <w:color w:val="000000"/>
          <w:szCs w:val="22"/>
        </w:rPr>
        <w:t xml:space="preserve"> </w:t>
      </w:r>
      <w:r w:rsidRPr="00A00B8B">
        <w:rPr>
          <w:rFonts w:cs="Sylfaen"/>
          <w:b w:val="0"/>
          <w:color w:val="000000"/>
          <w:szCs w:val="22"/>
        </w:rPr>
        <w:t>լրա</w:t>
      </w:r>
      <w:r w:rsidRPr="00130243">
        <w:rPr>
          <w:rFonts w:cs="Sylfaen"/>
          <w:b w:val="0"/>
          <w:color w:val="000000"/>
          <w:szCs w:val="22"/>
        </w:rPr>
        <w:softHyphen/>
      </w:r>
      <w:r w:rsidRPr="00A00B8B">
        <w:rPr>
          <w:rFonts w:cs="Sylfaen"/>
          <w:b w:val="0"/>
          <w:color w:val="000000"/>
          <w:szCs w:val="22"/>
        </w:rPr>
        <w:t>ցու</w:t>
      </w:r>
      <w:r w:rsidRPr="00130243">
        <w:rPr>
          <w:rFonts w:cs="Sylfaen"/>
          <w:b w:val="0"/>
          <w:color w:val="000000"/>
          <w:szCs w:val="22"/>
        </w:rPr>
        <w:softHyphen/>
      </w:r>
      <w:r w:rsidRPr="00A00B8B">
        <w:rPr>
          <w:rFonts w:cs="Sylfaen"/>
          <w:b w:val="0"/>
          <w:color w:val="000000"/>
          <w:szCs w:val="22"/>
        </w:rPr>
        <w:t>ցիչ</w:t>
      </w:r>
      <w:r w:rsidRPr="00A00B8B">
        <w:rPr>
          <w:b w:val="0"/>
          <w:color w:val="000000"/>
          <w:szCs w:val="22"/>
        </w:rPr>
        <w:t xml:space="preserve"> </w:t>
      </w:r>
      <w:r w:rsidRPr="00A00B8B">
        <w:rPr>
          <w:rFonts w:cs="Sylfaen"/>
          <w:b w:val="0"/>
          <w:color w:val="000000"/>
          <w:szCs w:val="22"/>
        </w:rPr>
        <w:t>ծրագրեր</w:t>
      </w:r>
      <w:r w:rsidRPr="00A00B8B">
        <w:rPr>
          <w:b w:val="0"/>
          <w:color w:val="000000"/>
          <w:szCs w:val="22"/>
        </w:rPr>
        <w:t xml:space="preserve"> </w:t>
      </w:r>
      <w:r w:rsidRPr="00A00B8B">
        <w:rPr>
          <w:rFonts w:cs="Sylfaen"/>
          <w:b w:val="0"/>
          <w:color w:val="000000"/>
          <w:szCs w:val="22"/>
        </w:rPr>
        <w:t>իրականացնելու</w:t>
      </w:r>
      <w:r w:rsidRPr="00A00B8B">
        <w:rPr>
          <w:b w:val="0"/>
          <w:color w:val="000000"/>
          <w:szCs w:val="22"/>
        </w:rPr>
        <w:t xml:space="preserve"> </w:t>
      </w:r>
      <w:r w:rsidRPr="00A00B8B">
        <w:rPr>
          <w:rFonts w:cs="Sylfaen"/>
          <w:b w:val="0"/>
          <w:color w:val="000000"/>
          <w:szCs w:val="22"/>
        </w:rPr>
        <w:t>հնա</w:t>
      </w:r>
      <w:r w:rsidRPr="00130243">
        <w:rPr>
          <w:rFonts w:cs="Sylfaen"/>
          <w:b w:val="0"/>
          <w:color w:val="000000"/>
          <w:szCs w:val="22"/>
        </w:rPr>
        <w:softHyphen/>
      </w:r>
      <w:r w:rsidRPr="00A00B8B">
        <w:rPr>
          <w:rFonts w:cs="Sylfaen"/>
          <w:b w:val="0"/>
          <w:color w:val="000000"/>
          <w:szCs w:val="22"/>
        </w:rPr>
        <w:t>րա</w:t>
      </w:r>
      <w:r w:rsidRPr="00130243">
        <w:rPr>
          <w:rFonts w:cs="Sylfaen"/>
          <w:b w:val="0"/>
          <w:color w:val="000000"/>
          <w:szCs w:val="22"/>
        </w:rPr>
        <w:softHyphen/>
      </w:r>
      <w:r w:rsidRPr="00A00B8B">
        <w:rPr>
          <w:rFonts w:cs="Sylfaen"/>
          <w:b w:val="0"/>
          <w:color w:val="000000"/>
          <w:szCs w:val="22"/>
        </w:rPr>
        <w:t>վորություններից</w:t>
      </w:r>
      <w:r w:rsidRPr="00A00B8B">
        <w:rPr>
          <w:b w:val="0"/>
          <w:color w:val="000000"/>
          <w:szCs w:val="22"/>
        </w:rPr>
        <w:t xml:space="preserve">: </w:t>
      </w:r>
      <w:r w:rsidRPr="00A00B8B">
        <w:rPr>
          <w:rFonts w:cs="Sylfaen"/>
          <w:b w:val="0"/>
          <w:color w:val="000000"/>
          <w:szCs w:val="22"/>
        </w:rPr>
        <w:t>Արդ</w:t>
      </w:r>
      <w:r w:rsidRPr="00130243">
        <w:rPr>
          <w:rFonts w:cs="Sylfaen"/>
          <w:b w:val="0"/>
          <w:color w:val="000000"/>
          <w:szCs w:val="22"/>
        </w:rPr>
        <w:softHyphen/>
      </w:r>
      <w:r w:rsidRPr="00A00B8B">
        <w:rPr>
          <w:rFonts w:cs="Sylfaen"/>
          <w:b w:val="0"/>
          <w:color w:val="000000"/>
          <w:szCs w:val="22"/>
        </w:rPr>
        <w:t>յուն</w:t>
      </w:r>
      <w:r w:rsidRPr="00130243">
        <w:rPr>
          <w:rFonts w:cs="Sylfaen"/>
          <w:b w:val="0"/>
          <w:color w:val="000000"/>
          <w:szCs w:val="22"/>
        </w:rPr>
        <w:softHyphen/>
      </w:r>
      <w:r w:rsidRPr="00A00B8B">
        <w:rPr>
          <w:rFonts w:cs="Sylfaen"/>
          <w:b w:val="0"/>
          <w:color w:val="000000"/>
          <w:szCs w:val="22"/>
        </w:rPr>
        <w:t>քում</w:t>
      </w:r>
      <w:r w:rsidRPr="00A00B8B">
        <w:rPr>
          <w:b w:val="0"/>
          <w:color w:val="000000"/>
          <w:szCs w:val="22"/>
        </w:rPr>
        <w:t xml:space="preserve"> </w:t>
      </w:r>
      <w:r w:rsidRPr="00A00B8B">
        <w:rPr>
          <w:rFonts w:cs="Sylfaen"/>
          <w:b w:val="0"/>
          <w:color w:val="000000"/>
          <w:szCs w:val="22"/>
        </w:rPr>
        <w:t>պետության</w:t>
      </w:r>
      <w:r w:rsidRPr="00A00B8B">
        <w:rPr>
          <w:b w:val="0"/>
          <w:color w:val="000000"/>
          <w:szCs w:val="22"/>
        </w:rPr>
        <w:t xml:space="preserve"> </w:t>
      </w:r>
      <w:r w:rsidRPr="00A00B8B">
        <w:rPr>
          <w:rFonts w:cs="Sylfaen"/>
          <w:b w:val="0"/>
          <w:color w:val="000000"/>
          <w:szCs w:val="22"/>
        </w:rPr>
        <w:t>կարևորա</w:t>
      </w:r>
      <w:r w:rsidRPr="00130243">
        <w:rPr>
          <w:rFonts w:cs="Sylfaen"/>
          <w:b w:val="0"/>
          <w:color w:val="000000"/>
          <w:szCs w:val="22"/>
        </w:rPr>
        <w:softHyphen/>
      </w:r>
      <w:r w:rsidRPr="00A00B8B">
        <w:rPr>
          <w:rFonts w:cs="Sylfaen"/>
          <w:b w:val="0"/>
          <w:color w:val="000000"/>
          <w:szCs w:val="22"/>
        </w:rPr>
        <w:t>գույն</w:t>
      </w:r>
      <w:r w:rsidRPr="00A00B8B">
        <w:rPr>
          <w:b w:val="0"/>
          <w:color w:val="000000"/>
          <w:szCs w:val="22"/>
        </w:rPr>
        <w:t xml:space="preserve"> </w:t>
      </w:r>
      <w:r w:rsidRPr="00A00B8B">
        <w:rPr>
          <w:rFonts w:cs="Sylfaen"/>
          <w:b w:val="0"/>
          <w:color w:val="000000"/>
          <w:szCs w:val="22"/>
        </w:rPr>
        <w:t>գործառույթներից</w:t>
      </w:r>
      <w:r w:rsidRPr="00A00B8B">
        <w:rPr>
          <w:b w:val="0"/>
          <w:color w:val="000000"/>
          <w:szCs w:val="22"/>
        </w:rPr>
        <w:t xml:space="preserve"> </w:t>
      </w:r>
      <w:r w:rsidRPr="00A00B8B">
        <w:rPr>
          <w:rFonts w:cs="Sylfaen"/>
          <w:b w:val="0"/>
          <w:color w:val="000000"/>
          <w:szCs w:val="22"/>
        </w:rPr>
        <w:t>մեկը՝</w:t>
      </w:r>
      <w:r w:rsidRPr="00A00B8B">
        <w:rPr>
          <w:b w:val="0"/>
          <w:color w:val="000000"/>
          <w:szCs w:val="22"/>
        </w:rPr>
        <w:t xml:space="preserve"> </w:t>
      </w:r>
      <w:r w:rsidRPr="00A00B8B">
        <w:rPr>
          <w:rFonts w:cs="Sylfaen"/>
          <w:b w:val="0"/>
          <w:color w:val="000000"/>
          <w:szCs w:val="22"/>
        </w:rPr>
        <w:t>եկա</w:t>
      </w:r>
      <w:r w:rsidRPr="00130243">
        <w:rPr>
          <w:rFonts w:cs="Sylfaen"/>
          <w:b w:val="0"/>
          <w:color w:val="000000"/>
          <w:szCs w:val="22"/>
        </w:rPr>
        <w:softHyphen/>
      </w:r>
      <w:r w:rsidRPr="00A00B8B">
        <w:rPr>
          <w:rFonts w:cs="Sylfaen"/>
          <w:b w:val="0"/>
          <w:color w:val="000000"/>
          <w:szCs w:val="22"/>
        </w:rPr>
        <w:t>մուտ</w:t>
      </w:r>
      <w:r w:rsidRPr="00130243">
        <w:rPr>
          <w:rFonts w:cs="Sylfaen"/>
          <w:b w:val="0"/>
          <w:color w:val="000000"/>
          <w:szCs w:val="22"/>
        </w:rPr>
        <w:softHyphen/>
      </w:r>
      <w:r w:rsidRPr="00A00B8B">
        <w:rPr>
          <w:rFonts w:cs="Sylfaen"/>
          <w:b w:val="0"/>
          <w:color w:val="000000"/>
          <w:szCs w:val="22"/>
        </w:rPr>
        <w:t>ների</w:t>
      </w:r>
      <w:r w:rsidRPr="00A00B8B">
        <w:rPr>
          <w:b w:val="0"/>
          <w:color w:val="000000"/>
          <w:szCs w:val="22"/>
        </w:rPr>
        <w:t xml:space="preserve"> </w:t>
      </w:r>
      <w:r w:rsidRPr="00A00B8B">
        <w:rPr>
          <w:rFonts w:cs="Sylfaen"/>
          <w:b w:val="0"/>
          <w:color w:val="000000"/>
          <w:szCs w:val="22"/>
        </w:rPr>
        <w:t>վերաբաշխ</w:t>
      </w:r>
      <w:r w:rsidRPr="00130243">
        <w:rPr>
          <w:rFonts w:cs="Sylfaen"/>
          <w:b w:val="0"/>
          <w:color w:val="000000"/>
          <w:szCs w:val="22"/>
        </w:rPr>
        <w:softHyphen/>
      </w:r>
      <w:r w:rsidRPr="00A00B8B">
        <w:rPr>
          <w:rFonts w:cs="Sylfaen"/>
          <w:b w:val="0"/>
          <w:color w:val="000000"/>
          <w:szCs w:val="22"/>
        </w:rPr>
        <w:t>ման</w:t>
      </w:r>
      <w:r w:rsidRPr="00130243">
        <w:rPr>
          <w:b w:val="0"/>
          <w:color w:val="000000"/>
          <w:szCs w:val="22"/>
        </w:rPr>
        <w:t xml:space="preserve"> </w:t>
      </w:r>
      <w:r w:rsidRPr="00A00B8B">
        <w:rPr>
          <w:rFonts w:cs="Sylfaen"/>
          <w:b w:val="0"/>
          <w:color w:val="000000"/>
          <w:szCs w:val="22"/>
        </w:rPr>
        <w:t>գոր</w:t>
      </w:r>
      <w:r w:rsidRPr="00130243">
        <w:rPr>
          <w:rFonts w:cs="Sylfaen"/>
          <w:b w:val="0"/>
          <w:color w:val="000000"/>
          <w:szCs w:val="22"/>
        </w:rPr>
        <w:softHyphen/>
      </w:r>
      <w:r w:rsidRPr="00A00B8B">
        <w:rPr>
          <w:rFonts w:cs="Sylfaen"/>
          <w:b w:val="0"/>
          <w:color w:val="000000"/>
          <w:szCs w:val="22"/>
        </w:rPr>
        <w:t>ծառույթը</w:t>
      </w:r>
      <w:r w:rsidRPr="00130243">
        <w:rPr>
          <w:rFonts w:cs="Sylfaen"/>
          <w:b w:val="0"/>
          <w:color w:val="000000"/>
          <w:szCs w:val="22"/>
        </w:rPr>
        <w:t>,</w:t>
      </w:r>
      <w:r w:rsidRPr="00A00B8B">
        <w:rPr>
          <w:b w:val="0"/>
          <w:color w:val="000000"/>
          <w:szCs w:val="22"/>
        </w:rPr>
        <w:t xml:space="preserve"> </w:t>
      </w:r>
      <w:r w:rsidRPr="00A00B8B">
        <w:rPr>
          <w:rFonts w:cs="Sylfaen"/>
          <w:b w:val="0"/>
          <w:color w:val="000000"/>
          <w:szCs w:val="22"/>
        </w:rPr>
        <w:t>ամբողջությամբ</w:t>
      </w:r>
      <w:r w:rsidRPr="00A00B8B">
        <w:rPr>
          <w:b w:val="0"/>
          <w:color w:val="000000"/>
          <w:szCs w:val="22"/>
        </w:rPr>
        <w:t xml:space="preserve"> </w:t>
      </w:r>
      <w:r w:rsidRPr="00A00B8B">
        <w:rPr>
          <w:rFonts w:cs="Sylfaen"/>
          <w:b w:val="0"/>
          <w:color w:val="000000"/>
          <w:szCs w:val="22"/>
        </w:rPr>
        <w:t>և</w:t>
      </w:r>
      <w:r w:rsidRPr="00A00B8B">
        <w:rPr>
          <w:b w:val="0"/>
          <w:color w:val="000000"/>
          <w:szCs w:val="22"/>
        </w:rPr>
        <w:t xml:space="preserve"> </w:t>
      </w:r>
      <w:r w:rsidRPr="00A00B8B">
        <w:rPr>
          <w:rFonts w:cs="Sylfaen"/>
          <w:b w:val="0"/>
          <w:color w:val="000000"/>
          <w:szCs w:val="22"/>
        </w:rPr>
        <w:t>հասցեական</w:t>
      </w:r>
      <w:r w:rsidRPr="00A00B8B">
        <w:rPr>
          <w:b w:val="0"/>
          <w:color w:val="000000"/>
          <w:szCs w:val="22"/>
        </w:rPr>
        <w:t xml:space="preserve"> </w:t>
      </w:r>
      <w:r w:rsidRPr="00A00B8B">
        <w:rPr>
          <w:rFonts w:cs="Sylfaen"/>
          <w:b w:val="0"/>
          <w:color w:val="000000"/>
          <w:szCs w:val="22"/>
        </w:rPr>
        <w:t>ձևով</w:t>
      </w:r>
      <w:r w:rsidRPr="00A00B8B">
        <w:rPr>
          <w:b w:val="0"/>
          <w:color w:val="000000"/>
          <w:szCs w:val="22"/>
        </w:rPr>
        <w:t xml:space="preserve"> </w:t>
      </w:r>
      <w:r w:rsidRPr="00A00B8B">
        <w:rPr>
          <w:rFonts w:cs="Sylfaen"/>
          <w:b w:val="0"/>
          <w:color w:val="000000"/>
          <w:szCs w:val="22"/>
        </w:rPr>
        <w:t>չի</w:t>
      </w:r>
      <w:r w:rsidRPr="00A00B8B">
        <w:rPr>
          <w:b w:val="0"/>
          <w:color w:val="000000"/>
          <w:szCs w:val="22"/>
        </w:rPr>
        <w:t xml:space="preserve"> </w:t>
      </w:r>
      <w:r w:rsidRPr="00A00B8B">
        <w:rPr>
          <w:rFonts w:cs="Sylfaen"/>
          <w:b w:val="0"/>
          <w:color w:val="000000"/>
          <w:szCs w:val="22"/>
        </w:rPr>
        <w:t>իրակա</w:t>
      </w:r>
      <w:r w:rsidRPr="00130243">
        <w:rPr>
          <w:rFonts w:cs="Sylfaen"/>
          <w:b w:val="0"/>
          <w:color w:val="000000"/>
          <w:szCs w:val="22"/>
        </w:rPr>
        <w:softHyphen/>
      </w:r>
      <w:r w:rsidRPr="00A00B8B">
        <w:rPr>
          <w:rFonts w:cs="Sylfaen"/>
          <w:b w:val="0"/>
          <w:color w:val="000000"/>
          <w:szCs w:val="22"/>
        </w:rPr>
        <w:t>նաց</w:t>
      </w:r>
      <w:r w:rsidRPr="00130243">
        <w:rPr>
          <w:rFonts w:cs="Sylfaen"/>
          <w:b w:val="0"/>
          <w:color w:val="000000"/>
          <w:szCs w:val="22"/>
        </w:rPr>
        <w:softHyphen/>
      </w:r>
      <w:r w:rsidRPr="00A00B8B">
        <w:rPr>
          <w:rFonts w:cs="Sylfaen"/>
          <w:b w:val="0"/>
          <w:color w:val="000000"/>
          <w:szCs w:val="22"/>
        </w:rPr>
        <w:t>վում</w:t>
      </w:r>
      <w:r w:rsidRPr="00A00B8B">
        <w:rPr>
          <w:b w:val="0"/>
          <w:color w:val="000000"/>
          <w:szCs w:val="22"/>
        </w:rPr>
        <w:t>:</w:t>
      </w:r>
    </w:p>
    <w:p w:rsidR="00A00B8B" w:rsidRPr="00B979C4" w:rsidRDefault="00A00B8B" w:rsidP="007730AA">
      <w:pPr>
        <w:shd w:val="clear" w:color="auto" w:fill="FFFFFF"/>
        <w:spacing w:before="0" w:line="276" w:lineRule="auto"/>
        <w:contextualSpacing w:val="0"/>
        <w:rPr>
          <w:color w:val="000000"/>
          <w:szCs w:val="22"/>
          <w:u w:val="single"/>
        </w:rPr>
      </w:pPr>
      <w:r w:rsidRPr="00A00B8B">
        <w:rPr>
          <w:color w:val="000000"/>
          <w:szCs w:val="22"/>
          <w:u w:val="single"/>
          <w:lang w:val="en-US"/>
        </w:rPr>
        <w:t>Հարկային</w:t>
      </w:r>
      <w:r w:rsidRPr="00B979C4">
        <w:rPr>
          <w:color w:val="000000"/>
          <w:szCs w:val="22"/>
          <w:u w:val="single"/>
        </w:rPr>
        <w:t xml:space="preserve"> </w:t>
      </w:r>
      <w:r w:rsidRPr="00A00B8B">
        <w:rPr>
          <w:color w:val="000000"/>
          <w:szCs w:val="22"/>
          <w:u w:val="single"/>
          <w:lang w:val="en-US"/>
        </w:rPr>
        <w:t>ծախսերի</w:t>
      </w:r>
      <w:r w:rsidRPr="00B979C4">
        <w:rPr>
          <w:color w:val="000000"/>
          <w:szCs w:val="22"/>
          <w:u w:val="single"/>
        </w:rPr>
        <w:t xml:space="preserve"> </w:t>
      </w:r>
      <w:r w:rsidRPr="00A00B8B">
        <w:rPr>
          <w:color w:val="000000"/>
          <w:szCs w:val="22"/>
          <w:u w:val="single"/>
          <w:lang w:val="en-US"/>
        </w:rPr>
        <w:t>գնահատականները</w:t>
      </w:r>
      <w:r w:rsidRPr="00B979C4">
        <w:rPr>
          <w:color w:val="000000"/>
          <w:szCs w:val="22"/>
          <w:u w:val="single"/>
        </w:rPr>
        <w:t xml:space="preserve"> </w:t>
      </w:r>
      <w:r w:rsidRPr="00A00B8B">
        <w:rPr>
          <w:color w:val="000000"/>
          <w:szCs w:val="22"/>
          <w:u w:val="single"/>
          <w:lang w:val="en-US"/>
        </w:rPr>
        <w:t>ըստ</w:t>
      </w:r>
      <w:r w:rsidRPr="00B979C4">
        <w:rPr>
          <w:color w:val="000000"/>
          <w:szCs w:val="22"/>
          <w:u w:val="single"/>
        </w:rPr>
        <w:t xml:space="preserve"> </w:t>
      </w:r>
      <w:r w:rsidRPr="00A00B8B">
        <w:rPr>
          <w:color w:val="000000"/>
          <w:szCs w:val="22"/>
          <w:u w:val="single"/>
          <w:lang w:val="en-US"/>
        </w:rPr>
        <w:t>հարկատեսակների</w:t>
      </w:r>
      <w:r w:rsidRPr="00B979C4">
        <w:rPr>
          <w:color w:val="000000"/>
          <w:szCs w:val="22"/>
          <w:u w:val="single"/>
        </w:rPr>
        <w:t xml:space="preserve"> </w:t>
      </w:r>
      <w:r w:rsidRPr="00A00B8B">
        <w:rPr>
          <w:color w:val="000000"/>
          <w:szCs w:val="22"/>
          <w:u w:val="single"/>
          <w:lang w:val="en-US"/>
        </w:rPr>
        <w:t>ու</w:t>
      </w:r>
      <w:r w:rsidRPr="00B979C4">
        <w:rPr>
          <w:color w:val="000000"/>
          <w:szCs w:val="22"/>
          <w:u w:val="single"/>
        </w:rPr>
        <w:t xml:space="preserve"> </w:t>
      </w:r>
    </w:p>
    <w:p w:rsidR="00A00B8B" w:rsidRPr="004C6A24" w:rsidRDefault="00A00B8B" w:rsidP="007730AA">
      <w:pPr>
        <w:shd w:val="clear" w:color="auto" w:fill="FFFFFF"/>
        <w:spacing w:before="0" w:line="276" w:lineRule="auto"/>
        <w:contextualSpacing w:val="0"/>
        <w:rPr>
          <w:color w:val="000000"/>
          <w:szCs w:val="22"/>
          <w:u w:val="single"/>
        </w:rPr>
      </w:pPr>
      <w:r w:rsidRPr="00A00B8B">
        <w:rPr>
          <w:color w:val="000000"/>
          <w:szCs w:val="22"/>
          <w:u w:val="single"/>
          <w:lang w:val="en-US"/>
        </w:rPr>
        <w:t>արտոնությունների</w:t>
      </w:r>
      <w:r w:rsidRPr="004C6A24">
        <w:rPr>
          <w:color w:val="000000"/>
          <w:szCs w:val="22"/>
          <w:u w:val="single"/>
        </w:rPr>
        <w:t xml:space="preserve"> </w:t>
      </w:r>
      <w:r w:rsidRPr="00A00B8B">
        <w:rPr>
          <w:color w:val="000000"/>
          <w:szCs w:val="22"/>
          <w:u w:val="single"/>
          <w:lang w:val="en-US"/>
        </w:rPr>
        <w:t>հիմնական</w:t>
      </w:r>
      <w:r w:rsidRPr="004C6A24">
        <w:rPr>
          <w:color w:val="000000"/>
          <w:szCs w:val="22"/>
          <w:u w:val="single"/>
        </w:rPr>
        <w:t xml:space="preserve"> </w:t>
      </w:r>
      <w:r w:rsidRPr="00A00B8B">
        <w:rPr>
          <w:color w:val="000000"/>
          <w:szCs w:val="22"/>
          <w:u w:val="single"/>
          <w:lang w:val="en-US"/>
        </w:rPr>
        <w:t>տեսակների</w:t>
      </w:r>
      <w:r w:rsidRPr="004C6A24">
        <w:rPr>
          <w:color w:val="000000"/>
          <w:szCs w:val="22"/>
          <w:u w:val="single"/>
        </w:rPr>
        <w:t>.</w:t>
      </w:r>
    </w:p>
    <w:p w:rsidR="00A00B8B" w:rsidRPr="004C6A24" w:rsidRDefault="00A00B8B" w:rsidP="007730AA">
      <w:pPr>
        <w:spacing w:before="0" w:line="276" w:lineRule="auto"/>
        <w:contextualSpacing w:val="0"/>
        <w:rPr>
          <w:rFonts w:cs="Sylfaen"/>
          <w:b w:val="0"/>
          <w:iCs/>
          <w:color w:val="000000"/>
          <w:szCs w:val="22"/>
          <w:lang w:eastAsia="en-US"/>
        </w:rPr>
      </w:pPr>
      <w:r w:rsidRPr="00A00B8B">
        <w:rPr>
          <w:rFonts w:cs="Sylfaen"/>
          <w:b w:val="0"/>
          <w:iCs/>
          <w:color w:val="000000"/>
          <w:szCs w:val="22"/>
          <w:lang w:eastAsia="en-US"/>
        </w:rPr>
        <w:t>Սույն</w:t>
      </w:r>
      <w:r w:rsidRPr="004C6A24">
        <w:rPr>
          <w:rFonts w:cs="Sylfaen"/>
          <w:b w:val="0"/>
          <w:iCs/>
          <w:color w:val="000000"/>
          <w:szCs w:val="22"/>
          <w:lang w:eastAsia="en-US"/>
        </w:rPr>
        <w:t xml:space="preserve"> </w:t>
      </w:r>
      <w:r w:rsidRPr="00A00B8B">
        <w:rPr>
          <w:rFonts w:cs="Sylfaen"/>
          <w:b w:val="0"/>
          <w:iCs/>
          <w:color w:val="000000"/>
          <w:szCs w:val="22"/>
          <w:lang w:eastAsia="en-US"/>
        </w:rPr>
        <w:t>հաշվետվությամբ</w:t>
      </w:r>
      <w:r w:rsidRPr="004C6A24">
        <w:rPr>
          <w:rFonts w:cs="Sylfaen"/>
          <w:b w:val="0"/>
          <w:iCs/>
          <w:color w:val="000000"/>
          <w:szCs w:val="22"/>
          <w:lang w:eastAsia="en-US"/>
        </w:rPr>
        <w:t xml:space="preserve"> </w:t>
      </w:r>
      <w:r w:rsidRPr="00A00B8B">
        <w:rPr>
          <w:rFonts w:cs="Sylfaen"/>
          <w:b w:val="0"/>
          <w:iCs/>
          <w:color w:val="000000"/>
          <w:szCs w:val="22"/>
          <w:lang w:eastAsia="en-US"/>
        </w:rPr>
        <w:t>ներկայացված</w:t>
      </w:r>
      <w:r w:rsidRPr="004C6A24">
        <w:rPr>
          <w:rFonts w:cs="Sylfaen"/>
          <w:b w:val="0"/>
          <w:iCs/>
          <w:color w:val="000000"/>
          <w:szCs w:val="22"/>
          <w:lang w:eastAsia="en-US"/>
        </w:rPr>
        <w:t xml:space="preserve"> </w:t>
      </w:r>
      <w:r w:rsidRPr="00A00B8B">
        <w:rPr>
          <w:rFonts w:cs="Sylfaen"/>
          <w:b w:val="0"/>
          <w:iCs/>
          <w:color w:val="000000"/>
          <w:szCs w:val="22"/>
          <w:lang w:eastAsia="en-US"/>
        </w:rPr>
        <w:t>է</w:t>
      </w:r>
      <w:r w:rsidRPr="004C6A24">
        <w:rPr>
          <w:rFonts w:cs="Sylfaen"/>
          <w:b w:val="0"/>
          <w:iCs/>
          <w:color w:val="000000"/>
          <w:szCs w:val="22"/>
          <w:lang w:eastAsia="en-US"/>
        </w:rPr>
        <w:t xml:space="preserve"> </w:t>
      </w:r>
      <w:r w:rsidRPr="00A00B8B">
        <w:rPr>
          <w:rFonts w:cs="Sylfaen"/>
          <w:b w:val="0"/>
          <w:iCs/>
          <w:color w:val="000000"/>
          <w:szCs w:val="22"/>
          <w:lang w:eastAsia="en-US"/>
        </w:rPr>
        <w:t>հարկային</w:t>
      </w:r>
      <w:r w:rsidRPr="004C6A24">
        <w:rPr>
          <w:rFonts w:cs="Sylfaen"/>
          <w:b w:val="0"/>
          <w:iCs/>
          <w:color w:val="000000"/>
          <w:szCs w:val="22"/>
          <w:lang w:eastAsia="en-US"/>
        </w:rPr>
        <w:t xml:space="preserve"> </w:t>
      </w:r>
      <w:r w:rsidRPr="00A00B8B">
        <w:rPr>
          <w:rFonts w:cs="Sylfaen"/>
          <w:b w:val="0"/>
          <w:iCs/>
          <w:color w:val="000000"/>
          <w:szCs w:val="22"/>
          <w:lang w:eastAsia="en-US"/>
        </w:rPr>
        <w:t>արտոնությունների</w:t>
      </w:r>
      <w:r w:rsidRPr="004C6A24">
        <w:rPr>
          <w:rFonts w:cs="Sylfaen"/>
          <w:b w:val="0"/>
          <w:iCs/>
          <w:color w:val="000000"/>
          <w:szCs w:val="22"/>
          <w:lang w:eastAsia="en-US"/>
        </w:rPr>
        <w:t xml:space="preserve"> </w:t>
      </w:r>
      <w:r w:rsidRPr="00A00B8B">
        <w:rPr>
          <w:rFonts w:cs="Sylfaen"/>
          <w:b w:val="0"/>
          <w:iCs/>
          <w:color w:val="000000"/>
          <w:szCs w:val="22"/>
          <w:lang w:eastAsia="en-US"/>
        </w:rPr>
        <w:t>հետևանքով</w:t>
      </w:r>
      <w:r w:rsidRPr="004C6A24">
        <w:rPr>
          <w:rFonts w:cs="Sylfaen"/>
          <w:b w:val="0"/>
          <w:iCs/>
          <w:color w:val="000000"/>
          <w:szCs w:val="22"/>
          <w:lang w:eastAsia="en-US"/>
        </w:rPr>
        <w:t xml:space="preserve"> </w:t>
      </w:r>
      <w:r w:rsidRPr="00A00B8B">
        <w:rPr>
          <w:rFonts w:cs="Sylfaen"/>
          <w:b w:val="0"/>
          <w:iCs/>
          <w:color w:val="000000"/>
          <w:szCs w:val="22"/>
          <w:lang w:eastAsia="en-US"/>
        </w:rPr>
        <w:t>պետա</w:t>
      </w:r>
      <w:r w:rsidRPr="004C6A24">
        <w:rPr>
          <w:rFonts w:cs="Sylfaen"/>
          <w:b w:val="0"/>
          <w:iCs/>
          <w:color w:val="000000"/>
          <w:szCs w:val="22"/>
          <w:lang w:eastAsia="en-US"/>
        </w:rPr>
        <w:softHyphen/>
      </w:r>
      <w:r w:rsidRPr="00A00B8B">
        <w:rPr>
          <w:rFonts w:cs="Sylfaen"/>
          <w:b w:val="0"/>
          <w:iCs/>
          <w:color w:val="000000"/>
          <w:szCs w:val="22"/>
          <w:lang w:eastAsia="en-US"/>
        </w:rPr>
        <w:t>կան</w:t>
      </w:r>
      <w:r w:rsidRPr="004C6A24">
        <w:rPr>
          <w:rFonts w:cs="Sylfaen"/>
          <w:b w:val="0"/>
          <w:iCs/>
          <w:color w:val="000000"/>
          <w:szCs w:val="22"/>
          <w:lang w:eastAsia="en-US"/>
        </w:rPr>
        <w:t xml:space="preserve"> </w:t>
      </w:r>
      <w:r w:rsidRPr="00A00B8B">
        <w:rPr>
          <w:rFonts w:cs="Sylfaen"/>
          <w:b w:val="0"/>
          <w:iCs/>
          <w:color w:val="000000"/>
          <w:szCs w:val="22"/>
          <w:lang w:eastAsia="en-US"/>
        </w:rPr>
        <w:t>բյուջե</w:t>
      </w:r>
      <w:r w:rsidRPr="004C6A24">
        <w:rPr>
          <w:rFonts w:cs="Sylfaen"/>
          <w:b w:val="0"/>
          <w:iCs/>
          <w:color w:val="000000"/>
          <w:szCs w:val="22"/>
          <w:lang w:eastAsia="en-US"/>
        </w:rPr>
        <w:t xml:space="preserve"> </w:t>
      </w:r>
      <w:r w:rsidRPr="00A00B8B">
        <w:rPr>
          <w:rFonts w:cs="Sylfaen"/>
          <w:b w:val="0"/>
          <w:iCs/>
          <w:color w:val="000000"/>
          <w:szCs w:val="22"/>
          <w:lang w:eastAsia="en-US"/>
        </w:rPr>
        <w:t>չգանձվող</w:t>
      </w:r>
      <w:r w:rsidRPr="004C6A24">
        <w:rPr>
          <w:rFonts w:cs="Sylfaen"/>
          <w:b w:val="0"/>
          <w:iCs/>
          <w:color w:val="000000"/>
          <w:szCs w:val="22"/>
          <w:lang w:eastAsia="en-US"/>
        </w:rPr>
        <w:t xml:space="preserve"> (</w:t>
      </w:r>
      <w:r w:rsidRPr="00A00B8B">
        <w:rPr>
          <w:rFonts w:cs="Sylfaen"/>
          <w:b w:val="0"/>
          <w:iCs/>
          <w:color w:val="000000"/>
          <w:szCs w:val="22"/>
          <w:lang w:eastAsia="en-US"/>
        </w:rPr>
        <w:t>պակաս</w:t>
      </w:r>
      <w:r w:rsidRPr="004C6A24">
        <w:rPr>
          <w:rFonts w:cs="Sylfaen"/>
          <w:b w:val="0"/>
          <w:iCs/>
          <w:color w:val="000000"/>
          <w:szCs w:val="22"/>
          <w:lang w:eastAsia="en-US"/>
        </w:rPr>
        <w:t xml:space="preserve"> </w:t>
      </w:r>
      <w:r w:rsidRPr="00A00B8B">
        <w:rPr>
          <w:rFonts w:cs="Sylfaen"/>
          <w:b w:val="0"/>
          <w:iCs/>
          <w:color w:val="000000"/>
          <w:szCs w:val="22"/>
          <w:lang w:eastAsia="en-US"/>
        </w:rPr>
        <w:t>գանձվող</w:t>
      </w:r>
      <w:r w:rsidRPr="004C6A24">
        <w:rPr>
          <w:rFonts w:cs="Sylfaen"/>
          <w:b w:val="0"/>
          <w:iCs/>
          <w:color w:val="000000"/>
          <w:szCs w:val="22"/>
          <w:lang w:eastAsia="en-US"/>
        </w:rPr>
        <w:t xml:space="preserve">) </w:t>
      </w:r>
      <w:r w:rsidRPr="00A00B8B">
        <w:rPr>
          <w:rFonts w:cs="Sylfaen"/>
          <w:b w:val="0"/>
          <w:iCs/>
          <w:color w:val="000000"/>
          <w:szCs w:val="22"/>
          <w:lang w:eastAsia="en-US"/>
        </w:rPr>
        <w:t>հարկային</w:t>
      </w:r>
      <w:r w:rsidRPr="004C6A24">
        <w:rPr>
          <w:rFonts w:cs="Sylfaen"/>
          <w:b w:val="0"/>
          <w:iCs/>
          <w:color w:val="000000"/>
          <w:szCs w:val="22"/>
          <w:lang w:eastAsia="en-US"/>
        </w:rPr>
        <w:t xml:space="preserve"> </w:t>
      </w:r>
      <w:r w:rsidRPr="00A00B8B">
        <w:rPr>
          <w:rFonts w:cs="Sylfaen"/>
          <w:b w:val="0"/>
          <w:iCs/>
          <w:color w:val="000000"/>
          <w:szCs w:val="22"/>
          <w:lang w:eastAsia="en-US"/>
        </w:rPr>
        <w:t>եկամուտների</w:t>
      </w:r>
      <w:r w:rsidRPr="004C6A24">
        <w:rPr>
          <w:rFonts w:cs="Sylfaen"/>
          <w:b w:val="0"/>
          <w:iCs/>
          <w:color w:val="000000"/>
          <w:szCs w:val="22"/>
          <w:lang w:eastAsia="en-US"/>
        </w:rPr>
        <w:t xml:space="preserve"> </w:t>
      </w:r>
      <w:r w:rsidRPr="00A00B8B">
        <w:rPr>
          <w:rFonts w:cs="Sylfaen"/>
          <w:b w:val="0"/>
          <w:iCs/>
          <w:color w:val="000000"/>
          <w:szCs w:val="22"/>
          <w:lang w:eastAsia="en-US"/>
        </w:rPr>
        <w:t>մակրոտնտե</w:t>
      </w:r>
      <w:r w:rsidRPr="004C6A24">
        <w:rPr>
          <w:rFonts w:cs="Sylfaen"/>
          <w:b w:val="0"/>
          <w:iCs/>
          <w:color w:val="000000"/>
          <w:szCs w:val="22"/>
          <w:lang w:eastAsia="en-US"/>
        </w:rPr>
        <w:softHyphen/>
      </w:r>
      <w:r w:rsidRPr="00A00B8B">
        <w:rPr>
          <w:rFonts w:cs="Sylfaen"/>
          <w:b w:val="0"/>
          <w:iCs/>
          <w:color w:val="000000"/>
          <w:szCs w:val="22"/>
          <w:lang w:eastAsia="en-US"/>
        </w:rPr>
        <w:t>սա</w:t>
      </w:r>
      <w:r w:rsidRPr="004C6A24">
        <w:rPr>
          <w:rFonts w:cs="Sylfaen"/>
          <w:b w:val="0"/>
          <w:iCs/>
          <w:color w:val="000000"/>
          <w:szCs w:val="22"/>
          <w:lang w:eastAsia="en-US"/>
        </w:rPr>
        <w:softHyphen/>
      </w:r>
      <w:r w:rsidRPr="00A00B8B">
        <w:rPr>
          <w:rFonts w:cs="Sylfaen"/>
          <w:b w:val="0"/>
          <w:iCs/>
          <w:color w:val="000000"/>
          <w:szCs w:val="22"/>
          <w:lang w:eastAsia="en-US"/>
        </w:rPr>
        <w:t>կան</w:t>
      </w:r>
      <w:r w:rsidRPr="004C6A24">
        <w:rPr>
          <w:rFonts w:cs="Sylfaen"/>
          <w:b w:val="0"/>
          <w:iCs/>
          <w:color w:val="000000"/>
          <w:szCs w:val="22"/>
          <w:lang w:eastAsia="en-US"/>
        </w:rPr>
        <w:t xml:space="preserve"> </w:t>
      </w:r>
      <w:r w:rsidRPr="00A00B8B">
        <w:rPr>
          <w:rFonts w:cs="Sylfaen"/>
          <w:b w:val="0"/>
          <w:iCs/>
          <w:color w:val="000000"/>
          <w:szCs w:val="22"/>
          <w:lang w:eastAsia="en-US"/>
        </w:rPr>
        <w:t>գնահատականը՝</w:t>
      </w:r>
      <w:r w:rsidRPr="004C6A24">
        <w:rPr>
          <w:rFonts w:cs="Sylfaen"/>
          <w:b w:val="0"/>
          <w:iCs/>
          <w:color w:val="000000"/>
          <w:szCs w:val="22"/>
          <w:lang w:eastAsia="en-US"/>
        </w:rPr>
        <w:t xml:space="preserve"> </w:t>
      </w:r>
      <w:r w:rsidRPr="00A00B8B">
        <w:rPr>
          <w:rFonts w:cs="Sylfaen"/>
          <w:b w:val="0"/>
          <w:iCs/>
          <w:color w:val="000000"/>
          <w:szCs w:val="22"/>
          <w:lang w:eastAsia="en-US"/>
        </w:rPr>
        <w:t>տնտեսության</w:t>
      </w:r>
      <w:r w:rsidRPr="004C6A24">
        <w:rPr>
          <w:rFonts w:cs="Sylfaen"/>
          <w:b w:val="0"/>
          <w:iCs/>
          <w:color w:val="000000"/>
          <w:szCs w:val="22"/>
          <w:lang w:eastAsia="en-US"/>
        </w:rPr>
        <w:t xml:space="preserve"> </w:t>
      </w:r>
      <w:r w:rsidRPr="00A00B8B">
        <w:rPr>
          <w:rFonts w:cs="Sylfaen"/>
          <w:b w:val="0"/>
          <w:iCs/>
          <w:color w:val="000000"/>
          <w:szCs w:val="22"/>
          <w:lang w:eastAsia="en-US"/>
        </w:rPr>
        <w:t>այն</w:t>
      </w:r>
      <w:r w:rsidRPr="004C6A24">
        <w:rPr>
          <w:rFonts w:cs="Sylfaen"/>
          <w:b w:val="0"/>
          <w:iCs/>
          <w:color w:val="000000"/>
          <w:szCs w:val="22"/>
          <w:lang w:eastAsia="en-US"/>
        </w:rPr>
        <w:t xml:space="preserve"> </w:t>
      </w:r>
      <w:r w:rsidRPr="00A00B8B">
        <w:rPr>
          <w:rFonts w:cs="Sylfaen"/>
          <w:b w:val="0"/>
          <w:iCs/>
          <w:color w:val="000000"/>
          <w:szCs w:val="22"/>
          <w:lang w:eastAsia="en-US"/>
        </w:rPr>
        <w:t>ոլորտների</w:t>
      </w:r>
      <w:r w:rsidRPr="004C6A24">
        <w:rPr>
          <w:rFonts w:cs="Sylfaen"/>
          <w:b w:val="0"/>
          <w:iCs/>
          <w:color w:val="000000"/>
          <w:szCs w:val="22"/>
          <w:lang w:eastAsia="en-US"/>
        </w:rPr>
        <w:t xml:space="preserve"> </w:t>
      </w:r>
      <w:r w:rsidRPr="00A00B8B">
        <w:rPr>
          <w:rFonts w:cs="Sylfaen"/>
          <w:b w:val="0"/>
          <w:iCs/>
          <w:color w:val="000000"/>
          <w:szCs w:val="22"/>
          <w:lang w:eastAsia="en-US"/>
        </w:rPr>
        <w:t>մասով</w:t>
      </w:r>
      <w:r w:rsidRPr="004C6A24">
        <w:rPr>
          <w:rFonts w:cs="Sylfaen"/>
          <w:b w:val="0"/>
          <w:iCs/>
          <w:color w:val="000000"/>
          <w:szCs w:val="22"/>
          <w:lang w:eastAsia="en-US"/>
        </w:rPr>
        <w:t xml:space="preserve">, </w:t>
      </w:r>
      <w:r w:rsidRPr="00A00B8B">
        <w:rPr>
          <w:rFonts w:cs="Sylfaen"/>
          <w:b w:val="0"/>
          <w:iCs/>
          <w:color w:val="000000"/>
          <w:szCs w:val="22"/>
          <w:lang w:eastAsia="en-US"/>
        </w:rPr>
        <w:t>որոնք</w:t>
      </w:r>
      <w:r w:rsidRPr="004C6A24">
        <w:rPr>
          <w:rFonts w:cs="Sylfaen"/>
          <w:b w:val="0"/>
          <w:iCs/>
          <w:color w:val="000000"/>
          <w:szCs w:val="22"/>
          <w:lang w:eastAsia="en-US"/>
        </w:rPr>
        <w:t xml:space="preserve"> </w:t>
      </w:r>
      <w:r w:rsidRPr="00A00B8B">
        <w:rPr>
          <w:rFonts w:cs="Sylfaen"/>
          <w:b w:val="0"/>
          <w:iCs/>
          <w:color w:val="000000"/>
          <w:szCs w:val="22"/>
          <w:lang w:eastAsia="en-US"/>
        </w:rPr>
        <w:t>օգտվում</w:t>
      </w:r>
      <w:r w:rsidRPr="004C6A24">
        <w:rPr>
          <w:rFonts w:cs="Sylfaen"/>
          <w:b w:val="0"/>
          <w:iCs/>
          <w:color w:val="000000"/>
          <w:szCs w:val="22"/>
          <w:lang w:eastAsia="en-US"/>
        </w:rPr>
        <w:t xml:space="preserve"> </w:t>
      </w:r>
      <w:r w:rsidRPr="00A00B8B">
        <w:rPr>
          <w:rFonts w:cs="Sylfaen"/>
          <w:b w:val="0"/>
          <w:iCs/>
          <w:color w:val="000000"/>
          <w:szCs w:val="22"/>
          <w:lang w:eastAsia="en-US"/>
        </w:rPr>
        <w:t>են</w:t>
      </w:r>
      <w:r w:rsidRPr="004C6A24">
        <w:rPr>
          <w:rFonts w:cs="Sylfaen"/>
          <w:b w:val="0"/>
          <w:iCs/>
          <w:color w:val="000000"/>
          <w:szCs w:val="22"/>
          <w:lang w:eastAsia="en-US"/>
        </w:rPr>
        <w:t xml:space="preserve"> </w:t>
      </w:r>
      <w:r w:rsidRPr="00A00B8B">
        <w:rPr>
          <w:rFonts w:cs="Sylfaen"/>
          <w:b w:val="0"/>
          <w:iCs/>
          <w:color w:val="000000"/>
          <w:szCs w:val="22"/>
          <w:lang w:eastAsia="en-US"/>
        </w:rPr>
        <w:t>հարկային</w:t>
      </w:r>
      <w:r w:rsidRPr="004C6A24">
        <w:rPr>
          <w:rFonts w:cs="Sylfaen"/>
          <w:b w:val="0"/>
          <w:iCs/>
          <w:color w:val="000000"/>
          <w:szCs w:val="22"/>
          <w:lang w:eastAsia="en-US"/>
        </w:rPr>
        <w:t xml:space="preserve"> </w:t>
      </w:r>
      <w:r w:rsidRPr="00A00B8B">
        <w:rPr>
          <w:rFonts w:cs="Sylfaen"/>
          <w:b w:val="0"/>
          <w:iCs/>
          <w:color w:val="000000"/>
          <w:szCs w:val="22"/>
          <w:lang w:eastAsia="en-US"/>
        </w:rPr>
        <w:t>արտո</w:t>
      </w:r>
      <w:r w:rsidRPr="004C6A24">
        <w:rPr>
          <w:rFonts w:cs="Sylfaen"/>
          <w:b w:val="0"/>
          <w:iCs/>
          <w:color w:val="000000"/>
          <w:szCs w:val="22"/>
          <w:lang w:eastAsia="en-US"/>
        </w:rPr>
        <w:softHyphen/>
      </w:r>
      <w:r w:rsidRPr="00A00B8B">
        <w:rPr>
          <w:rFonts w:cs="Sylfaen"/>
          <w:b w:val="0"/>
          <w:iCs/>
          <w:color w:val="000000"/>
          <w:szCs w:val="22"/>
          <w:lang w:eastAsia="en-US"/>
        </w:rPr>
        <w:t>նություններից</w:t>
      </w:r>
      <w:r w:rsidRPr="004C6A24">
        <w:rPr>
          <w:rFonts w:cs="Sylfaen"/>
          <w:b w:val="0"/>
          <w:iCs/>
          <w:color w:val="000000"/>
          <w:szCs w:val="22"/>
          <w:lang w:eastAsia="en-US"/>
        </w:rPr>
        <w:t xml:space="preserve">:  </w:t>
      </w:r>
      <w:r w:rsidRPr="00A00B8B">
        <w:rPr>
          <w:rFonts w:cs="Sylfaen"/>
          <w:b w:val="0"/>
          <w:iCs/>
          <w:color w:val="000000"/>
          <w:szCs w:val="22"/>
          <w:lang w:val="en-US" w:eastAsia="en-US"/>
        </w:rPr>
        <w:t>Միաժամանակ</w:t>
      </w:r>
      <w:r w:rsidRPr="004C6A24">
        <w:rPr>
          <w:rFonts w:cs="Sylfaen"/>
          <w:b w:val="0"/>
          <w:iCs/>
          <w:color w:val="000000"/>
          <w:szCs w:val="22"/>
          <w:lang w:eastAsia="en-US"/>
        </w:rPr>
        <w:t xml:space="preserve">, </w:t>
      </w:r>
      <w:r w:rsidRPr="00A00B8B">
        <w:rPr>
          <w:rFonts w:cs="Sylfaen"/>
          <w:b w:val="0"/>
          <w:iCs/>
          <w:color w:val="000000"/>
          <w:szCs w:val="22"/>
          <w:lang w:eastAsia="en-US"/>
        </w:rPr>
        <w:t>գնահատվել</w:t>
      </w:r>
      <w:r w:rsidRPr="004C6A24">
        <w:rPr>
          <w:rFonts w:cs="Sylfaen"/>
          <w:b w:val="0"/>
          <w:iCs/>
          <w:color w:val="000000"/>
          <w:szCs w:val="22"/>
          <w:lang w:eastAsia="en-US"/>
        </w:rPr>
        <w:t xml:space="preserve"> </w:t>
      </w:r>
      <w:r w:rsidRPr="00A00B8B">
        <w:rPr>
          <w:rFonts w:cs="Sylfaen"/>
          <w:b w:val="0"/>
          <w:iCs/>
          <w:color w:val="000000"/>
          <w:szCs w:val="22"/>
          <w:lang w:eastAsia="en-US"/>
        </w:rPr>
        <w:t>են</w:t>
      </w:r>
      <w:r w:rsidRPr="004C6A24">
        <w:rPr>
          <w:rFonts w:cs="Sylfaen"/>
          <w:b w:val="0"/>
          <w:iCs/>
          <w:color w:val="000000"/>
          <w:szCs w:val="22"/>
          <w:lang w:eastAsia="en-US"/>
        </w:rPr>
        <w:t xml:space="preserve"> </w:t>
      </w:r>
      <w:r w:rsidRPr="00A00B8B">
        <w:rPr>
          <w:rFonts w:cs="Sylfaen"/>
          <w:b w:val="0"/>
          <w:iCs/>
          <w:color w:val="000000"/>
          <w:szCs w:val="22"/>
          <w:lang w:eastAsia="en-US"/>
        </w:rPr>
        <w:t>մի</w:t>
      </w:r>
      <w:r w:rsidRPr="004C6A24">
        <w:rPr>
          <w:rFonts w:cs="Sylfaen"/>
          <w:b w:val="0"/>
          <w:iCs/>
          <w:color w:val="000000"/>
          <w:szCs w:val="22"/>
          <w:lang w:eastAsia="en-US"/>
        </w:rPr>
        <w:t xml:space="preserve"> </w:t>
      </w:r>
      <w:r w:rsidRPr="00A00B8B">
        <w:rPr>
          <w:rFonts w:cs="Sylfaen"/>
          <w:b w:val="0"/>
          <w:iCs/>
          <w:color w:val="000000"/>
          <w:szCs w:val="22"/>
          <w:lang w:eastAsia="en-US"/>
        </w:rPr>
        <w:t>քանի</w:t>
      </w:r>
      <w:r w:rsidRPr="004C6A24">
        <w:rPr>
          <w:rFonts w:cs="Sylfaen"/>
          <w:b w:val="0"/>
          <w:iCs/>
          <w:color w:val="000000"/>
          <w:szCs w:val="22"/>
          <w:lang w:eastAsia="en-US"/>
        </w:rPr>
        <w:t xml:space="preserve"> </w:t>
      </w:r>
      <w:r w:rsidRPr="00A00B8B">
        <w:rPr>
          <w:rFonts w:cs="Sylfaen"/>
          <w:b w:val="0"/>
          <w:iCs/>
          <w:color w:val="000000"/>
          <w:szCs w:val="22"/>
          <w:lang w:eastAsia="en-US"/>
        </w:rPr>
        <w:t>այլ</w:t>
      </w:r>
      <w:r w:rsidRPr="004C6A24">
        <w:rPr>
          <w:rFonts w:cs="Sylfaen"/>
          <w:b w:val="0"/>
          <w:iCs/>
          <w:color w:val="000000"/>
          <w:szCs w:val="22"/>
          <w:lang w:eastAsia="en-US"/>
        </w:rPr>
        <w:t xml:space="preserve"> </w:t>
      </w:r>
      <w:r w:rsidRPr="00A00B8B">
        <w:rPr>
          <w:rFonts w:cs="Sylfaen"/>
          <w:b w:val="0"/>
          <w:iCs/>
          <w:color w:val="000000"/>
          <w:szCs w:val="22"/>
          <w:lang w:eastAsia="en-US"/>
        </w:rPr>
        <w:t>հարկային</w:t>
      </w:r>
      <w:r w:rsidRPr="004C6A24">
        <w:rPr>
          <w:rFonts w:cs="Sylfaen"/>
          <w:b w:val="0"/>
          <w:iCs/>
          <w:color w:val="000000"/>
          <w:szCs w:val="22"/>
          <w:lang w:eastAsia="en-US"/>
        </w:rPr>
        <w:t xml:space="preserve"> </w:t>
      </w:r>
      <w:r w:rsidRPr="00A00B8B">
        <w:rPr>
          <w:rFonts w:cs="Sylfaen"/>
          <w:b w:val="0"/>
          <w:iCs/>
          <w:color w:val="000000"/>
          <w:szCs w:val="22"/>
          <w:lang w:eastAsia="en-US"/>
        </w:rPr>
        <w:t>արտո</w:t>
      </w:r>
      <w:r w:rsidRPr="004C6A24">
        <w:rPr>
          <w:rFonts w:cs="Sylfaen"/>
          <w:b w:val="0"/>
          <w:iCs/>
          <w:color w:val="000000"/>
          <w:szCs w:val="22"/>
          <w:lang w:eastAsia="en-US"/>
        </w:rPr>
        <w:softHyphen/>
      </w:r>
      <w:r w:rsidRPr="00A00B8B">
        <w:rPr>
          <w:rFonts w:cs="Sylfaen"/>
          <w:b w:val="0"/>
          <w:iCs/>
          <w:color w:val="000000"/>
          <w:szCs w:val="22"/>
          <w:lang w:eastAsia="en-US"/>
        </w:rPr>
        <w:t>նու</w:t>
      </w:r>
      <w:r w:rsidRPr="004C6A24">
        <w:rPr>
          <w:rFonts w:cs="Sylfaen"/>
          <w:b w:val="0"/>
          <w:iCs/>
          <w:color w:val="000000"/>
          <w:szCs w:val="22"/>
          <w:lang w:eastAsia="en-US"/>
        </w:rPr>
        <w:softHyphen/>
      </w:r>
      <w:r w:rsidRPr="00A00B8B">
        <w:rPr>
          <w:rFonts w:cs="Sylfaen"/>
          <w:b w:val="0"/>
          <w:iCs/>
          <w:color w:val="000000"/>
          <w:szCs w:val="22"/>
          <w:lang w:eastAsia="en-US"/>
        </w:rPr>
        <w:t>թյուն</w:t>
      </w:r>
      <w:r w:rsidRPr="004C6A24">
        <w:rPr>
          <w:rFonts w:cs="Sylfaen"/>
          <w:b w:val="0"/>
          <w:iCs/>
          <w:color w:val="000000"/>
          <w:szCs w:val="22"/>
          <w:lang w:eastAsia="en-US"/>
        </w:rPr>
        <w:softHyphen/>
      </w:r>
      <w:r w:rsidRPr="00A00B8B">
        <w:rPr>
          <w:rFonts w:cs="Sylfaen"/>
          <w:b w:val="0"/>
          <w:iCs/>
          <w:color w:val="000000"/>
          <w:szCs w:val="22"/>
          <w:lang w:eastAsia="en-US"/>
        </w:rPr>
        <w:t>ների</w:t>
      </w:r>
      <w:r w:rsidRPr="004C6A24">
        <w:rPr>
          <w:rFonts w:cs="Sylfaen"/>
          <w:b w:val="0"/>
          <w:iCs/>
          <w:color w:val="000000"/>
          <w:szCs w:val="22"/>
          <w:lang w:eastAsia="en-US"/>
        </w:rPr>
        <w:t xml:space="preserve"> (</w:t>
      </w:r>
      <w:r w:rsidRPr="00A00B8B">
        <w:rPr>
          <w:rFonts w:cs="Sylfaen"/>
          <w:b w:val="0"/>
          <w:iCs/>
          <w:color w:val="000000"/>
          <w:szCs w:val="22"/>
          <w:lang w:eastAsia="en-US"/>
        </w:rPr>
        <w:t>ոչ</w:t>
      </w:r>
      <w:r w:rsidRPr="004C6A24">
        <w:rPr>
          <w:rFonts w:cs="Sylfaen"/>
          <w:b w:val="0"/>
          <w:iCs/>
          <w:color w:val="000000"/>
          <w:szCs w:val="22"/>
          <w:lang w:eastAsia="en-US"/>
        </w:rPr>
        <w:t xml:space="preserve"> </w:t>
      </w:r>
      <w:r w:rsidRPr="00A00B8B">
        <w:rPr>
          <w:rFonts w:cs="Sylfaen"/>
          <w:b w:val="0"/>
          <w:iCs/>
          <w:color w:val="000000"/>
          <w:szCs w:val="22"/>
          <w:lang w:eastAsia="en-US"/>
        </w:rPr>
        <w:t>ոլորտային</w:t>
      </w:r>
      <w:r w:rsidRPr="004C6A24">
        <w:rPr>
          <w:rFonts w:cs="Sylfaen"/>
          <w:b w:val="0"/>
          <w:iCs/>
          <w:color w:val="000000"/>
          <w:szCs w:val="22"/>
          <w:lang w:eastAsia="en-US"/>
        </w:rPr>
        <w:t xml:space="preserve"> </w:t>
      </w:r>
      <w:r w:rsidRPr="00A00B8B">
        <w:rPr>
          <w:rFonts w:cs="Sylfaen"/>
          <w:b w:val="0"/>
          <w:iCs/>
          <w:color w:val="000000"/>
          <w:szCs w:val="22"/>
          <w:lang w:eastAsia="en-US"/>
        </w:rPr>
        <w:t>նշանակության</w:t>
      </w:r>
      <w:r w:rsidRPr="004C6A24">
        <w:rPr>
          <w:rFonts w:cs="Sylfaen"/>
          <w:b w:val="0"/>
          <w:iCs/>
          <w:color w:val="000000"/>
          <w:szCs w:val="22"/>
          <w:lang w:eastAsia="en-US"/>
        </w:rPr>
        <w:t xml:space="preserve">) </w:t>
      </w:r>
      <w:r w:rsidRPr="00A00B8B">
        <w:rPr>
          <w:rFonts w:cs="Sylfaen"/>
          <w:b w:val="0"/>
          <w:iCs/>
          <w:color w:val="000000"/>
          <w:szCs w:val="22"/>
          <w:lang w:eastAsia="en-US"/>
        </w:rPr>
        <w:t>կիրառության</w:t>
      </w:r>
      <w:r w:rsidRPr="004C6A24">
        <w:rPr>
          <w:rFonts w:cs="Sylfaen"/>
          <w:b w:val="0"/>
          <w:iCs/>
          <w:color w:val="000000"/>
          <w:szCs w:val="22"/>
          <w:lang w:eastAsia="en-US"/>
        </w:rPr>
        <w:t xml:space="preserve"> </w:t>
      </w:r>
      <w:r w:rsidRPr="00A00B8B">
        <w:rPr>
          <w:rFonts w:cs="Sylfaen"/>
          <w:b w:val="0"/>
          <w:iCs/>
          <w:color w:val="000000"/>
          <w:szCs w:val="22"/>
          <w:lang w:eastAsia="en-US"/>
        </w:rPr>
        <w:t>հետևանքով</w:t>
      </w:r>
      <w:r w:rsidRPr="004C6A24">
        <w:rPr>
          <w:rFonts w:cs="Sylfaen"/>
          <w:b w:val="0"/>
          <w:iCs/>
          <w:color w:val="000000"/>
          <w:szCs w:val="22"/>
          <w:lang w:eastAsia="en-US"/>
        </w:rPr>
        <w:t xml:space="preserve"> </w:t>
      </w:r>
      <w:r w:rsidRPr="00A00B8B">
        <w:rPr>
          <w:rFonts w:cs="Sylfaen"/>
          <w:b w:val="0"/>
          <w:iCs/>
          <w:color w:val="000000"/>
          <w:szCs w:val="22"/>
          <w:lang w:eastAsia="en-US"/>
        </w:rPr>
        <w:t>պետական</w:t>
      </w:r>
      <w:r w:rsidRPr="004C6A24">
        <w:rPr>
          <w:rFonts w:cs="Sylfaen"/>
          <w:b w:val="0"/>
          <w:iCs/>
          <w:color w:val="000000"/>
          <w:szCs w:val="22"/>
          <w:lang w:eastAsia="en-US"/>
        </w:rPr>
        <w:t xml:space="preserve"> </w:t>
      </w:r>
      <w:r w:rsidRPr="00A00B8B">
        <w:rPr>
          <w:rFonts w:cs="Sylfaen"/>
          <w:b w:val="0"/>
          <w:iCs/>
          <w:color w:val="000000"/>
          <w:szCs w:val="22"/>
          <w:lang w:eastAsia="en-US"/>
        </w:rPr>
        <w:t>բյուջեի</w:t>
      </w:r>
      <w:r w:rsidRPr="004C6A24">
        <w:rPr>
          <w:rFonts w:cs="Sylfaen"/>
          <w:b w:val="0"/>
          <w:iCs/>
          <w:color w:val="000000"/>
          <w:szCs w:val="22"/>
          <w:lang w:eastAsia="en-US"/>
        </w:rPr>
        <w:t xml:space="preserve"> </w:t>
      </w:r>
      <w:r w:rsidRPr="00A00B8B">
        <w:rPr>
          <w:rFonts w:cs="Sylfaen"/>
          <w:b w:val="0"/>
          <w:iCs/>
          <w:color w:val="000000"/>
          <w:szCs w:val="22"/>
          <w:lang w:eastAsia="en-US"/>
        </w:rPr>
        <w:t>հար</w:t>
      </w:r>
      <w:r w:rsidRPr="004C6A24">
        <w:rPr>
          <w:rFonts w:cs="Sylfaen"/>
          <w:b w:val="0"/>
          <w:iCs/>
          <w:color w:val="000000"/>
          <w:szCs w:val="22"/>
          <w:lang w:eastAsia="en-US"/>
        </w:rPr>
        <w:softHyphen/>
      </w:r>
      <w:r w:rsidRPr="00A00B8B">
        <w:rPr>
          <w:rFonts w:cs="Sylfaen"/>
          <w:b w:val="0"/>
          <w:iCs/>
          <w:color w:val="000000"/>
          <w:szCs w:val="22"/>
          <w:lang w:eastAsia="en-US"/>
        </w:rPr>
        <w:t>կա</w:t>
      </w:r>
      <w:r w:rsidRPr="004C6A24">
        <w:rPr>
          <w:rFonts w:cs="Sylfaen"/>
          <w:b w:val="0"/>
          <w:iCs/>
          <w:color w:val="000000"/>
          <w:szCs w:val="22"/>
          <w:lang w:eastAsia="en-US"/>
        </w:rPr>
        <w:softHyphen/>
      </w:r>
      <w:r w:rsidRPr="00A00B8B">
        <w:rPr>
          <w:rFonts w:cs="Sylfaen"/>
          <w:b w:val="0"/>
          <w:iCs/>
          <w:color w:val="000000"/>
          <w:szCs w:val="22"/>
          <w:lang w:eastAsia="en-US"/>
        </w:rPr>
        <w:t>յին</w:t>
      </w:r>
      <w:r w:rsidRPr="004C6A24">
        <w:rPr>
          <w:rFonts w:cs="Sylfaen"/>
          <w:b w:val="0"/>
          <w:iCs/>
          <w:color w:val="000000"/>
          <w:szCs w:val="22"/>
          <w:lang w:eastAsia="en-US"/>
        </w:rPr>
        <w:t xml:space="preserve"> </w:t>
      </w:r>
      <w:r w:rsidRPr="00A00B8B">
        <w:rPr>
          <w:rFonts w:cs="Sylfaen"/>
          <w:b w:val="0"/>
          <w:iCs/>
          <w:color w:val="000000"/>
          <w:szCs w:val="22"/>
          <w:lang w:eastAsia="en-US"/>
        </w:rPr>
        <w:t>եկամուտների</w:t>
      </w:r>
      <w:r w:rsidRPr="004C6A24">
        <w:rPr>
          <w:rFonts w:cs="Sylfaen"/>
          <w:b w:val="0"/>
          <w:iCs/>
          <w:color w:val="000000"/>
          <w:szCs w:val="22"/>
          <w:lang w:eastAsia="en-US"/>
        </w:rPr>
        <w:t xml:space="preserve"> </w:t>
      </w:r>
      <w:r w:rsidRPr="00A00B8B">
        <w:rPr>
          <w:rFonts w:cs="Sylfaen"/>
          <w:b w:val="0"/>
          <w:iCs/>
          <w:color w:val="000000"/>
          <w:szCs w:val="22"/>
          <w:lang w:eastAsia="en-US"/>
        </w:rPr>
        <w:t>կորուստները</w:t>
      </w:r>
      <w:r w:rsidRPr="004C6A24">
        <w:rPr>
          <w:rFonts w:cs="Sylfaen"/>
          <w:b w:val="0"/>
          <w:iCs/>
          <w:color w:val="000000"/>
          <w:szCs w:val="22"/>
          <w:lang w:eastAsia="en-US"/>
        </w:rPr>
        <w:t>: 202</w:t>
      </w:r>
      <w:r w:rsidRPr="00A00B8B">
        <w:rPr>
          <w:rFonts w:cs="Sylfaen"/>
          <w:b w:val="0"/>
          <w:iCs/>
          <w:color w:val="000000"/>
          <w:szCs w:val="22"/>
          <w:lang w:val="hy-AM" w:eastAsia="en-US"/>
        </w:rPr>
        <w:t>1</w:t>
      </w:r>
      <w:r w:rsidRPr="004C6A24">
        <w:rPr>
          <w:rFonts w:cs="Sylfaen"/>
          <w:b w:val="0"/>
          <w:iCs/>
          <w:color w:val="000000"/>
          <w:szCs w:val="22"/>
          <w:lang w:eastAsia="en-US"/>
        </w:rPr>
        <w:t xml:space="preserve"> </w:t>
      </w:r>
      <w:r w:rsidRPr="00A00B8B">
        <w:rPr>
          <w:rFonts w:cs="Sylfaen"/>
          <w:b w:val="0"/>
          <w:iCs/>
          <w:color w:val="000000"/>
          <w:szCs w:val="22"/>
          <w:lang w:val="en-US" w:eastAsia="en-US"/>
        </w:rPr>
        <w:t>թվականի</w:t>
      </w:r>
      <w:r w:rsidRPr="004C6A24">
        <w:rPr>
          <w:rFonts w:cs="Sylfaen"/>
          <w:b w:val="0"/>
          <w:iCs/>
          <w:color w:val="000000"/>
          <w:szCs w:val="22"/>
          <w:lang w:eastAsia="en-US"/>
        </w:rPr>
        <w:t xml:space="preserve"> </w:t>
      </w:r>
      <w:r w:rsidRPr="00A00B8B">
        <w:rPr>
          <w:rFonts w:cs="Sylfaen"/>
          <w:b w:val="0"/>
          <w:iCs/>
          <w:color w:val="000000"/>
          <w:szCs w:val="22"/>
          <w:lang w:val="en-US" w:eastAsia="en-US"/>
        </w:rPr>
        <w:t>հարկային</w:t>
      </w:r>
      <w:r w:rsidRPr="004C6A24">
        <w:rPr>
          <w:rFonts w:cs="Sylfaen"/>
          <w:b w:val="0"/>
          <w:iCs/>
          <w:color w:val="000000"/>
          <w:szCs w:val="22"/>
          <w:lang w:eastAsia="en-US"/>
        </w:rPr>
        <w:t xml:space="preserve"> </w:t>
      </w:r>
      <w:r w:rsidRPr="00A00B8B">
        <w:rPr>
          <w:rFonts w:cs="Sylfaen"/>
          <w:b w:val="0"/>
          <w:iCs/>
          <w:color w:val="000000"/>
          <w:szCs w:val="22"/>
          <w:lang w:val="en-US" w:eastAsia="en-US"/>
        </w:rPr>
        <w:t>ծախսերի</w:t>
      </w:r>
      <w:r w:rsidRPr="004C6A24">
        <w:rPr>
          <w:rFonts w:cs="Sylfaen"/>
          <w:b w:val="0"/>
          <w:iCs/>
          <w:color w:val="000000"/>
          <w:szCs w:val="22"/>
          <w:lang w:eastAsia="en-US"/>
        </w:rPr>
        <w:t xml:space="preserve"> </w:t>
      </w:r>
      <w:r w:rsidRPr="00A00B8B">
        <w:rPr>
          <w:rFonts w:cs="Sylfaen"/>
          <w:b w:val="0"/>
          <w:iCs/>
          <w:color w:val="000000"/>
          <w:szCs w:val="22"/>
          <w:lang w:val="en-US" w:eastAsia="en-US"/>
        </w:rPr>
        <w:t>գնահատականը</w:t>
      </w:r>
      <w:r w:rsidRPr="004C6A24">
        <w:rPr>
          <w:rFonts w:cs="Sylfaen"/>
          <w:b w:val="0"/>
          <w:iCs/>
          <w:color w:val="000000"/>
          <w:szCs w:val="22"/>
          <w:lang w:eastAsia="en-US"/>
        </w:rPr>
        <w:t xml:space="preserve"> </w:t>
      </w:r>
      <w:r w:rsidRPr="00A00B8B">
        <w:rPr>
          <w:rFonts w:cs="Sylfaen"/>
          <w:b w:val="0"/>
          <w:iCs/>
          <w:color w:val="000000"/>
          <w:szCs w:val="22"/>
          <w:lang w:val="en-US" w:eastAsia="en-US"/>
        </w:rPr>
        <w:t>ներառում</w:t>
      </w:r>
      <w:r w:rsidRPr="004C6A24">
        <w:rPr>
          <w:rFonts w:cs="Sylfaen"/>
          <w:b w:val="0"/>
          <w:iCs/>
          <w:color w:val="000000"/>
          <w:szCs w:val="22"/>
          <w:lang w:eastAsia="en-US"/>
        </w:rPr>
        <w:t xml:space="preserve"> </w:t>
      </w:r>
      <w:r w:rsidRPr="00A00B8B">
        <w:rPr>
          <w:rFonts w:cs="Sylfaen"/>
          <w:b w:val="0"/>
          <w:iCs/>
          <w:color w:val="000000"/>
          <w:szCs w:val="22"/>
          <w:lang w:val="en-US" w:eastAsia="en-US"/>
        </w:rPr>
        <w:t>է</w:t>
      </w:r>
      <w:r w:rsidRPr="004C6A24">
        <w:rPr>
          <w:rFonts w:cs="Sylfaen"/>
          <w:b w:val="0"/>
          <w:iCs/>
          <w:color w:val="000000"/>
          <w:szCs w:val="22"/>
          <w:lang w:eastAsia="en-US"/>
        </w:rPr>
        <w:t xml:space="preserve"> </w:t>
      </w:r>
      <w:r w:rsidRPr="00A00B8B">
        <w:rPr>
          <w:rFonts w:cs="Sylfaen"/>
          <w:b w:val="0"/>
          <w:iCs/>
          <w:color w:val="000000"/>
          <w:szCs w:val="22"/>
          <w:lang w:val="en-US" w:eastAsia="en-US"/>
        </w:rPr>
        <w:t>նաև</w:t>
      </w:r>
      <w:r w:rsidRPr="004C6A24">
        <w:rPr>
          <w:rFonts w:cs="Sylfaen"/>
          <w:b w:val="0"/>
          <w:iCs/>
          <w:color w:val="000000"/>
          <w:szCs w:val="22"/>
          <w:lang w:eastAsia="en-US"/>
        </w:rPr>
        <w:t xml:space="preserve"> </w:t>
      </w:r>
      <w:r w:rsidRPr="00A00B8B">
        <w:rPr>
          <w:rFonts w:cs="Sylfaen"/>
          <w:b w:val="0"/>
          <w:iCs/>
          <w:color w:val="000000"/>
          <w:szCs w:val="22"/>
          <w:lang w:val="en-US" w:eastAsia="en-US"/>
        </w:rPr>
        <w:t>ԱԱՀ</w:t>
      </w:r>
      <w:r w:rsidRPr="004C6A24">
        <w:rPr>
          <w:rFonts w:cs="Sylfaen"/>
          <w:b w:val="0"/>
          <w:iCs/>
          <w:color w:val="000000"/>
          <w:szCs w:val="22"/>
          <w:lang w:eastAsia="en-US"/>
        </w:rPr>
        <w:t>-</w:t>
      </w:r>
      <w:r w:rsidRPr="00A00B8B">
        <w:rPr>
          <w:rFonts w:cs="Sylfaen"/>
          <w:b w:val="0"/>
          <w:iCs/>
          <w:color w:val="000000"/>
          <w:szCs w:val="22"/>
          <w:lang w:val="en-US" w:eastAsia="en-US"/>
        </w:rPr>
        <w:t>ի</w:t>
      </w:r>
      <w:r w:rsidRPr="004C6A24">
        <w:rPr>
          <w:rFonts w:cs="Sylfaen"/>
          <w:b w:val="0"/>
          <w:iCs/>
          <w:color w:val="000000"/>
          <w:szCs w:val="22"/>
          <w:lang w:eastAsia="en-US"/>
        </w:rPr>
        <w:t xml:space="preserve"> </w:t>
      </w:r>
      <w:r w:rsidRPr="00A00B8B">
        <w:rPr>
          <w:rFonts w:cs="Sylfaen"/>
          <w:b w:val="0"/>
          <w:iCs/>
          <w:color w:val="000000"/>
          <w:szCs w:val="22"/>
          <w:lang w:val="en-US" w:eastAsia="en-US"/>
        </w:rPr>
        <w:t>հաշվարկով</w:t>
      </w:r>
      <w:r w:rsidRPr="004C6A24">
        <w:rPr>
          <w:rFonts w:cs="Sylfaen"/>
          <w:b w:val="0"/>
          <w:iCs/>
          <w:color w:val="000000"/>
          <w:szCs w:val="22"/>
          <w:lang w:eastAsia="en-US"/>
        </w:rPr>
        <w:t xml:space="preserve"> </w:t>
      </w:r>
      <w:r w:rsidRPr="00A00B8B">
        <w:rPr>
          <w:rFonts w:cs="Sylfaen"/>
          <w:b w:val="0"/>
          <w:iCs/>
          <w:color w:val="000000"/>
          <w:szCs w:val="22"/>
          <w:lang w:val="en-US" w:eastAsia="en-US"/>
        </w:rPr>
        <w:t>արտացոլված</w:t>
      </w:r>
      <w:r w:rsidRPr="004C6A24">
        <w:rPr>
          <w:rFonts w:cs="Sylfaen"/>
          <w:b w:val="0"/>
          <w:iCs/>
          <w:color w:val="000000"/>
          <w:szCs w:val="22"/>
          <w:lang w:eastAsia="en-US"/>
        </w:rPr>
        <w:t xml:space="preserve"> </w:t>
      </w:r>
      <w:r w:rsidRPr="00A00B8B">
        <w:rPr>
          <w:rFonts w:cs="Sylfaen"/>
          <w:b w:val="0"/>
          <w:iCs/>
          <w:color w:val="000000"/>
          <w:szCs w:val="22"/>
          <w:lang w:val="en-US" w:eastAsia="en-US"/>
        </w:rPr>
        <w:t>մի</w:t>
      </w:r>
      <w:r w:rsidRPr="004C6A24">
        <w:rPr>
          <w:rFonts w:cs="Sylfaen"/>
          <w:b w:val="0"/>
          <w:iCs/>
          <w:color w:val="000000"/>
          <w:szCs w:val="22"/>
          <w:lang w:eastAsia="en-US"/>
        </w:rPr>
        <w:t xml:space="preserve"> </w:t>
      </w:r>
      <w:r w:rsidRPr="00A00B8B">
        <w:rPr>
          <w:rFonts w:cs="Sylfaen"/>
          <w:b w:val="0"/>
          <w:iCs/>
          <w:color w:val="000000"/>
          <w:szCs w:val="22"/>
          <w:lang w:val="en-US" w:eastAsia="en-US"/>
        </w:rPr>
        <w:t>շարք</w:t>
      </w:r>
      <w:r w:rsidRPr="004C6A24">
        <w:rPr>
          <w:rFonts w:cs="Sylfaen"/>
          <w:b w:val="0"/>
          <w:iCs/>
          <w:color w:val="000000"/>
          <w:szCs w:val="22"/>
          <w:lang w:eastAsia="en-US"/>
        </w:rPr>
        <w:t xml:space="preserve"> </w:t>
      </w:r>
      <w:r w:rsidRPr="00A00B8B">
        <w:rPr>
          <w:rFonts w:cs="Sylfaen"/>
          <w:b w:val="0"/>
          <w:iCs/>
          <w:color w:val="000000"/>
          <w:szCs w:val="22"/>
          <w:lang w:val="en-US" w:eastAsia="en-US"/>
        </w:rPr>
        <w:t>այլ</w:t>
      </w:r>
      <w:r w:rsidRPr="004C6A24">
        <w:rPr>
          <w:rFonts w:cs="Sylfaen"/>
          <w:b w:val="0"/>
          <w:iCs/>
          <w:color w:val="000000"/>
          <w:szCs w:val="22"/>
          <w:lang w:eastAsia="en-US"/>
        </w:rPr>
        <w:t xml:space="preserve"> </w:t>
      </w:r>
      <w:r w:rsidRPr="00A00B8B">
        <w:rPr>
          <w:rFonts w:cs="Sylfaen"/>
          <w:b w:val="0"/>
          <w:iCs/>
          <w:color w:val="000000"/>
          <w:szCs w:val="22"/>
          <w:lang w:val="en-US" w:eastAsia="en-US"/>
        </w:rPr>
        <w:t>հարկային</w:t>
      </w:r>
      <w:r w:rsidRPr="004C6A24">
        <w:rPr>
          <w:rFonts w:cs="Sylfaen"/>
          <w:b w:val="0"/>
          <w:iCs/>
          <w:color w:val="000000"/>
          <w:szCs w:val="22"/>
          <w:lang w:eastAsia="en-US"/>
        </w:rPr>
        <w:t xml:space="preserve"> </w:t>
      </w:r>
      <w:r w:rsidRPr="00A00B8B">
        <w:rPr>
          <w:rFonts w:cs="Sylfaen"/>
          <w:b w:val="0"/>
          <w:iCs/>
          <w:color w:val="000000"/>
          <w:szCs w:val="22"/>
          <w:lang w:val="en-US" w:eastAsia="en-US"/>
        </w:rPr>
        <w:t>արտոնությունների</w:t>
      </w:r>
      <w:r w:rsidRPr="004C6A24">
        <w:rPr>
          <w:rFonts w:cs="Sylfaen"/>
          <w:b w:val="0"/>
          <w:iCs/>
          <w:color w:val="000000"/>
          <w:szCs w:val="22"/>
          <w:lang w:eastAsia="en-US"/>
        </w:rPr>
        <w:t xml:space="preserve"> </w:t>
      </w:r>
      <w:r w:rsidRPr="00A00B8B">
        <w:rPr>
          <w:rFonts w:cs="Sylfaen"/>
          <w:b w:val="0"/>
          <w:iCs/>
          <w:color w:val="000000"/>
          <w:szCs w:val="22"/>
          <w:lang w:val="en-US" w:eastAsia="en-US"/>
        </w:rPr>
        <w:t>գնահատականները</w:t>
      </w:r>
      <w:r w:rsidRPr="004C6A24">
        <w:rPr>
          <w:rFonts w:cs="Sylfaen"/>
          <w:b w:val="0"/>
          <w:iCs/>
          <w:color w:val="000000"/>
          <w:szCs w:val="22"/>
          <w:lang w:eastAsia="en-US"/>
        </w:rPr>
        <w:t>:</w:t>
      </w:r>
    </w:p>
    <w:p w:rsidR="00A00B8B" w:rsidRPr="004C6A24" w:rsidRDefault="00A00B8B" w:rsidP="007730AA">
      <w:pPr>
        <w:spacing w:before="0" w:line="276" w:lineRule="auto"/>
        <w:contextualSpacing w:val="0"/>
        <w:rPr>
          <w:rFonts w:cs="Sylfaen"/>
          <w:b w:val="0"/>
          <w:iCs/>
          <w:color w:val="000000"/>
          <w:szCs w:val="22"/>
          <w:lang w:eastAsia="en-US"/>
        </w:rPr>
      </w:pPr>
      <w:r w:rsidRPr="00A00B8B">
        <w:rPr>
          <w:rFonts w:cs="Sylfaen"/>
          <w:b w:val="0"/>
          <w:iCs/>
          <w:color w:val="000000"/>
          <w:szCs w:val="22"/>
          <w:lang w:val="en-US" w:eastAsia="en-US"/>
        </w:rPr>
        <w:t>Գնահատման</w:t>
      </w:r>
      <w:r w:rsidRPr="004C6A24">
        <w:rPr>
          <w:rFonts w:cs="Sylfaen"/>
          <w:b w:val="0"/>
          <w:iCs/>
          <w:color w:val="000000"/>
          <w:szCs w:val="22"/>
          <w:lang w:eastAsia="en-US"/>
        </w:rPr>
        <w:t xml:space="preserve"> </w:t>
      </w:r>
      <w:r w:rsidRPr="00A00B8B">
        <w:rPr>
          <w:rFonts w:cs="Sylfaen"/>
          <w:b w:val="0"/>
          <w:iCs/>
          <w:color w:val="000000"/>
          <w:szCs w:val="22"/>
          <w:lang w:val="en-US" w:eastAsia="en-US"/>
        </w:rPr>
        <w:t>արդյունքների</w:t>
      </w:r>
      <w:r w:rsidRPr="004C6A24">
        <w:rPr>
          <w:rFonts w:cs="Sylfaen"/>
          <w:b w:val="0"/>
          <w:iCs/>
          <w:color w:val="000000"/>
          <w:szCs w:val="22"/>
          <w:lang w:eastAsia="en-US"/>
        </w:rPr>
        <w:t xml:space="preserve"> </w:t>
      </w:r>
      <w:r w:rsidRPr="00A00B8B">
        <w:rPr>
          <w:rFonts w:cs="Sylfaen"/>
          <w:b w:val="0"/>
          <w:iCs/>
          <w:color w:val="000000"/>
          <w:szCs w:val="22"/>
          <w:lang w:val="en-US" w:eastAsia="en-US"/>
        </w:rPr>
        <w:t>համաձայն</w:t>
      </w:r>
      <w:r w:rsidRPr="004C6A24">
        <w:rPr>
          <w:rFonts w:cs="Sylfaen"/>
          <w:b w:val="0"/>
          <w:iCs/>
          <w:color w:val="000000"/>
          <w:szCs w:val="22"/>
          <w:lang w:eastAsia="en-US"/>
        </w:rPr>
        <w:t xml:space="preserve">, </w:t>
      </w:r>
      <w:r w:rsidRPr="00A00B8B">
        <w:rPr>
          <w:rFonts w:cs="Sylfaen"/>
          <w:b w:val="0"/>
          <w:iCs/>
          <w:color w:val="000000"/>
          <w:szCs w:val="22"/>
          <w:lang w:val="en-US" w:eastAsia="en-US"/>
        </w:rPr>
        <w:t>հարկային</w:t>
      </w:r>
      <w:r w:rsidRPr="004C6A24">
        <w:rPr>
          <w:rFonts w:cs="Sylfaen"/>
          <w:b w:val="0"/>
          <w:iCs/>
          <w:color w:val="000000"/>
          <w:szCs w:val="22"/>
          <w:lang w:eastAsia="en-US"/>
        </w:rPr>
        <w:t xml:space="preserve"> </w:t>
      </w:r>
      <w:r w:rsidRPr="00A00B8B">
        <w:rPr>
          <w:rFonts w:cs="Sylfaen"/>
          <w:b w:val="0"/>
          <w:iCs/>
          <w:color w:val="000000"/>
          <w:szCs w:val="22"/>
          <w:lang w:val="en-US" w:eastAsia="en-US"/>
        </w:rPr>
        <w:t>ծախսերի</w:t>
      </w:r>
      <w:r w:rsidRPr="004C6A24">
        <w:rPr>
          <w:rFonts w:cs="Sylfaen"/>
          <w:b w:val="0"/>
          <w:iCs/>
          <w:color w:val="000000"/>
          <w:szCs w:val="22"/>
          <w:lang w:eastAsia="en-US"/>
        </w:rPr>
        <w:t xml:space="preserve"> </w:t>
      </w:r>
      <w:r w:rsidRPr="00A00B8B">
        <w:rPr>
          <w:rFonts w:cs="Sylfaen"/>
          <w:b w:val="0"/>
          <w:iCs/>
          <w:color w:val="000000"/>
          <w:szCs w:val="22"/>
          <w:lang w:val="en-US" w:eastAsia="en-US"/>
        </w:rPr>
        <w:t>տարեկան</w:t>
      </w:r>
      <w:r w:rsidRPr="004C6A24">
        <w:rPr>
          <w:rFonts w:cs="Sylfaen"/>
          <w:b w:val="0"/>
          <w:iCs/>
          <w:color w:val="000000"/>
          <w:szCs w:val="22"/>
          <w:lang w:eastAsia="en-US"/>
        </w:rPr>
        <w:t xml:space="preserve"> </w:t>
      </w:r>
      <w:r w:rsidRPr="00A00B8B">
        <w:rPr>
          <w:rFonts w:cs="Sylfaen"/>
          <w:b w:val="0"/>
          <w:iCs/>
          <w:color w:val="000000"/>
          <w:szCs w:val="22"/>
          <w:lang w:val="en-US" w:eastAsia="en-US"/>
        </w:rPr>
        <w:t>մեծությունը</w:t>
      </w:r>
      <w:r w:rsidRPr="004C6A24">
        <w:rPr>
          <w:rFonts w:cs="Sylfaen"/>
          <w:b w:val="0"/>
          <w:iCs/>
          <w:color w:val="000000"/>
          <w:szCs w:val="22"/>
          <w:lang w:eastAsia="en-US"/>
        </w:rPr>
        <w:t xml:space="preserve"> </w:t>
      </w:r>
      <w:r w:rsidRPr="00A00B8B">
        <w:rPr>
          <w:rFonts w:cs="Sylfaen"/>
          <w:b w:val="0"/>
          <w:iCs/>
          <w:color w:val="000000"/>
          <w:szCs w:val="22"/>
          <w:lang w:val="en-US" w:eastAsia="en-US"/>
        </w:rPr>
        <w:t>կազմել</w:t>
      </w:r>
      <w:r w:rsidRPr="004C6A24">
        <w:rPr>
          <w:rFonts w:cs="Sylfaen"/>
          <w:b w:val="0"/>
          <w:iCs/>
          <w:color w:val="000000"/>
          <w:szCs w:val="22"/>
          <w:lang w:eastAsia="en-US"/>
        </w:rPr>
        <w:t xml:space="preserve"> </w:t>
      </w:r>
      <w:r w:rsidRPr="00A00B8B">
        <w:rPr>
          <w:rFonts w:cs="Sylfaen"/>
          <w:b w:val="0"/>
          <w:iCs/>
          <w:color w:val="000000"/>
          <w:szCs w:val="22"/>
          <w:lang w:val="en-US" w:eastAsia="en-US"/>
        </w:rPr>
        <w:t>է</w:t>
      </w:r>
      <w:r w:rsidRPr="004C6A24">
        <w:rPr>
          <w:rFonts w:cs="Sylfaen"/>
          <w:b w:val="0"/>
          <w:iCs/>
          <w:color w:val="000000"/>
          <w:szCs w:val="22"/>
          <w:lang w:eastAsia="en-US"/>
        </w:rPr>
        <w:t xml:space="preserve"> </w:t>
      </w:r>
      <w:r w:rsidRPr="004C6A24">
        <w:rPr>
          <w:rFonts w:cs="Sylfaen"/>
          <w:iCs/>
          <w:color w:val="000000"/>
          <w:szCs w:val="22"/>
          <w:lang w:eastAsia="en-US"/>
        </w:rPr>
        <w:t xml:space="preserve">451,075 </w:t>
      </w:r>
      <w:r w:rsidRPr="00A00B8B">
        <w:rPr>
          <w:rFonts w:cs="Sylfaen"/>
          <w:iCs/>
          <w:color w:val="000000"/>
          <w:szCs w:val="22"/>
          <w:lang w:val="en-US" w:eastAsia="en-US"/>
        </w:rPr>
        <w:t>մլն</w:t>
      </w:r>
      <w:r w:rsidRPr="004C6A24">
        <w:rPr>
          <w:rFonts w:cs="Sylfaen"/>
          <w:iCs/>
          <w:color w:val="000000"/>
          <w:szCs w:val="22"/>
          <w:lang w:eastAsia="en-US"/>
        </w:rPr>
        <w:t xml:space="preserve">. </w:t>
      </w:r>
      <w:r w:rsidRPr="00A00B8B">
        <w:rPr>
          <w:rFonts w:cs="Sylfaen"/>
          <w:iCs/>
          <w:color w:val="000000"/>
          <w:szCs w:val="22"/>
          <w:lang w:val="en-US" w:eastAsia="en-US"/>
        </w:rPr>
        <w:t>դրամ</w:t>
      </w:r>
      <w:r w:rsidRPr="004C6A24">
        <w:rPr>
          <w:rFonts w:cs="Sylfaen"/>
          <w:b w:val="0"/>
          <w:iCs/>
          <w:color w:val="000000"/>
          <w:szCs w:val="22"/>
          <w:lang w:eastAsia="en-US"/>
        </w:rPr>
        <w:t xml:space="preserve">, </w:t>
      </w:r>
      <w:r w:rsidRPr="00A00B8B">
        <w:rPr>
          <w:rFonts w:cs="Sylfaen"/>
          <w:b w:val="0"/>
          <w:iCs/>
          <w:color w:val="000000"/>
          <w:szCs w:val="22"/>
          <w:lang w:val="en-US" w:eastAsia="en-US"/>
        </w:rPr>
        <w:t>որից</w:t>
      </w:r>
      <w:r w:rsidRPr="004C6A24">
        <w:rPr>
          <w:rFonts w:cs="Sylfaen"/>
          <w:b w:val="0"/>
          <w:iCs/>
          <w:color w:val="000000"/>
          <w:szCs w:val="22"/>
          <w:lang w:eastAsia="en-US"/>
        </w:rPr>
        <w:t xml:space="preserve"> </w:t>
      </w:r>
      <w:r w:rsidRPr="00A00B8B">
        <w:rPr>
          <w:rFonts w:cs="Sylfaen"/>
          <w:b w:val="0"/>
          <w:iCs/>
          <w:color w:val="000000"/>
          <w:szCs w:val="22"/>
          <w:lang w:val="en-US" w:eastAsia="en-US"/>
        </w:rPr>
        <w:t>ավելացված</w:t>
      </w:r>
      <w:r w:rsidRPr="004C6A24">
        <w:rPr>
          <w:rFonts w:cs="Sylfaen"/>
          <w:b w:val="0"/>
          <w:iCs/>
          <w:color w:val="000000"/>
          <w:szCs w:val="22"/>
          <w:lang w:eastAsia="en-US"/>
        </w:rPr>
        <w:t xml:space="preserve"> </w:t>
      </w:r>
      <w:r w:rsidRPr="00A00B8B">
        <w:rPr>
          <w:rFonts w:cs="Sylfaen"/>
          <w:b w:val="0"/>
          <w:iCs/>
          <w:color w:val="000000"/>
          <w:szCs w:val="22"/>
          <w:lang w:val="en-US" w:eastAsia="en-US"/>
        </w:rPr>
        <w:t>արժեքի</w:t>
      </w:r>
      <w:r w:rsidRPr="004C6A24">
        <w:rPr>
          <w:rFonts w:cs="Sylfaen"/>
          <w:b w:val="0"/>
          <w:iCs/>
          <w:color w:val="000000"/>
          <w:szCs w:val="22"/>
          <w:lang w:eastAsia="en-US"/>
        </w:rPr>
        <w:t xml:space="preserve"> </w:t>
      </w:r>
      <w:r w:rsidRPr="00A00B8B">
        <w:rPr>
          <w:rFonts w:cs="Sylfaen"/>
          <w:b w:val="0"/>
          <w:iCs/>
          <w:color w:val="000000"/>
          <w:szCs w:val="22"/>
          <w:lang w:val="en-US" w:eastAsia="en-US"/>
        </w:rPr>
        <w:t>հարկի</w:t>
      </w:r>
      <w:r w:rsidRPr="004C6A24">
        <w:rPr>
          <w:rFonts w:cs="Sylfaen"/>
          <w:b w:val="0"/>
          <w:iCs/>
          <w:color w:val="000000"/>
          <w:szCs w:val="22"/>
          <w:lang w:eastAsia="en-US"/>
        </w:rPr>
        <w:t xml:space="preserve"> </w:t>
      </w:r>
      <w:r w:rsidRPr="00A00B8B">
        <w:rPr>
          <w:rFonts w:cs="Sylfaen"/>
          <w:b w:val="0"/>
          <w:iCs/>
          <w:color w:val="000000"/>
          <w:szCs w:val="22"/>
          <w:lang w:val="en-US" w:eastAsia="en-US"/>
        </w:rPr>
        <w:t>գծով՝</w:t>
      </w:r>
      <w:r w:rsidRPr="004C6A24">
        <w:rPr>
          <w:rFonts w:cs="Sylfaen"/>
          <w:b w:val="0"/>
          <w:iCs/>
          <w:color w:val="000000"/>
          <w:szCs w:val="22"/>
          <w:lang w:eastAsia="en-US"/>
        </w:rPr>
        <w:t xml:space="preserve"> </w:t>
      </w:r>
      <w:r w:rsidRPr="004C6A24">
        <w:rPr>
          <w:rFonts w:cs="Sylfaen"/>
          <w:iCs/>
          <w:color w:val="000000"/>
          <w:szCs w:val="22"/>
          <w:lang w:eastAsia="en-US"/>
        </w:rPr>
        <w:t xml:space="preserve">362,931 </w:t>
      </w:r>
      <w:r w:rsidRPr="00A00B8B">
        <w:rPr>
          <w:rFonts w:cs="Sylfaen"/>
          <w:iCs/>
          <w:color w:val="000000"/>
          <w:szCs w:val="22"/>
          <w:lang w:val="en-US" w:eastAsia="en-US"/>
        </w:rPr>
        <w:t>մլն</w:t>
      </w:r>
      <w:r w:rsidRPr="004C6A24">
        <w:rPr>
          <w:rFonts w:cs="Sylfaen"/>
          <w:iCs/>
          <w:color w:val="000000"/>
          <w:szCs w:val="22"/>
          <w:lang w:eastAsia="en-US"/>
        </w:rPr>
        <w:t xml:space="preserve">. </w:t>
      </w:r>
      <w:r w:rsidRPr="00A00B8B">
        <w:rPr>
          <w:rFonts w:cs="Sylfaen"/>
          <w:iCs/>
          <w:color w:val="000000"/>
          <w:szCs w:val="22"/>
          <w:lang w:val="en-US" w:eastAsia="en-US"/>
        </w:rPr>
        <w:t>դրամ</w:t>
      </w:r>
      <w:r w:rsidRPr="004C6A24">
        <w:rPr>
          <w:rFonts w:cs="Sylfaen"/>
          <w:b w:val="0"/>
          <w:iCs/>
          <w:color w:val="000000"/>
          <w:szCs w:val="22"/>
          <w:lang w:eastAsia="en-US"/>
        </w:rPr>
        <w:t xml:space="preserve">, </w:t>
      </w:r>
      <w:r w:rsidRPr="00A00B8B">
        <w:rPr>
          <w:rFonts w:cs="Sylfaen"/>
          <w:b w:val="0"/>
          <w:iCs/>
          <w:color w:val="000000"/>
          <w:szCs w:val="22"/>
          <w:lang w:val="en-US" w:eastAsia="en-US"/>
        </w:rPr>
        <w:t>շահութահարկի</w:t>
      </w:r>
      <w:r w:rsidRPr="004C6A24">
        <w:rPr>
          <w:rFonts w:cs="Sylfaen"/>
          <w:b w:val="0"/>
          <w:iCs/>
          <w:color w:val="000000"/>
          <w:szCs w:val="22"/>
          <w:lang w:eastAsia="en-US"/>
        </w:rPr>
        <w:t xml:space="preserve"> </w:t>
      </w:r>
      <w:r w:rsidRPr="00A00B8B">
        <w:rPr>
          <w:rFonts w:cs="Sylfaen"/>
          <w:b w:val="0"/>
          <w:iCs/>
          <w:color w:val="000000"/>
          <w:szCs w:val="22"/>
          <w:lang w:val="en-US" w:eastAsia="en-US"/>
        </w:rPr>
        <w:t>գծով՝</w:t>
      </w:r>
      <w:r w:rsidRPr="004C6A24">
        <w:rPr>
          <w:rFonts w:cs="Sylfaen"/>
          <w:b w:val="0"/>
          <w:iCs/>
          <w:color w:val="000000"/>
          <w:szCs w:val="22"/>
          <w:lang w:eastAsia="en-US"/>
        </w:rPr>
        <w:t xml:space="preserve"> </w:t>
      </w:r>
      <w:r w:rsidRPr="004C6A24">
        <w:rPr>
          <w:color w:val="000000"/>
          <w:szCs w:val="22"/>
          <w:lang w:eastAsia="en-US"/>
        </w:rPr>
        <w:t>71,739</w:t>
      </w:r>
      <w:r w:rsidRPr="004C6A24">
        <w:rPr>
          <w:i/>
          <w:szCs w:val="22"/>
          <w:lang w:eastAsia="en-US"/>
        </w:rPr>
        <w:t xml:space="preserve"> </w:t>
      </w:r>
      <w:r w:rsidRPr="00A00B8B">
        <w:rPr>
          <w:rFonts w:cs="Sylfaen"/>
          <w:iCs/>
          <w:color w:val="000000"/>
          <w:szCs w:val="22"/>
          <w:lang w:val="en-US" w:eastAsia="en-US"/>
        </w:rPr>
        <w:t>մլն</w:t>
      </w:r>
      <w:r w:rsidRPr="004C6A24">
        <w:rPr>
          <w:rFonts w:cs="Sylfaen"/>
          <w:iCs/>
          <w:color w:val="000000"/>
          <w:szCs w:val="22"/>
          <w:lang w:eastAsia="en-US"/>
        </w:rPr>
        <w:t xml:space="preserve">. </w:t>
      </w:r>
      <w:r w:rsidRPr="00A00B8B">
        <w:rPr>
          <w:rFonts w:cs="Sylfaen"/>
          <w:iCs/>
          <w:color w:val="000000"/>
          <w:szCs w:val="22"/>
          <w:lang w:val="en-US" w:eastAsia="en-US"/>
        </w:rPr>
        <w:t>դրամ</w:t>
      </w:r>
      <w:r w:rsidRPr="004C6A24">
        <w:rPr>
          <w:rFonts w:cs="Sylfaen"/>
          <w:b w:val="0"/>
          <w:iCs/>
          <w:color w:val="000000"/>
          <w:szCs w:val="22"/>
          <w:lang w:eastAsia="en-US"/>
        </w:rPr>
        <w:t xml:space="preserve">, </w:t>
      </w:r>
      <w:r w:rsidRPr="00A00B8B">
        <w:rPr>
          <w:rFonts w:cs="Sylfaen"/>
          <w:b w:val="0"/>
          <w:iCs/>
          <w:color w:val="000000"/>
          <w:szCs w:val="22"/>
          <w:lang w:val="en-US" w:eastAsia="en-US"/>
        </w:rPr>
        <w:t>եկամտային</w:t>
      </w:r>
      <w:r w:rsidRPr="004C6A24">
        <w:rPr>
          <w:rFonts w:cs="Sylfaen"/>
          <w:b w:val="0"/>
          <w:iCs/>
          <w:color w:val="000000"/>
          <w:szCs w:val="22"/>
          <w:lang w:eastAsia="en-US"/>
        </w:rPr>
        <w:t xml:space="preserve"> </w:t>
      </w:r>
      <w:r w:rsidRPr="00A00B8B">
        <w:rPr>
          <w:rFonts w:cs="Sylfaen"/>
          <w:b w:val="0"/>
          <w:iCs/>
          <w:color w:val="000000"/>
          <w:szCs w:val="22"/>
          <w:lang w:val="en-US" w:eastAsia="en-US"/>
        </w:rPr>
        <w:t>հարկի</w:t>
      </w:r>
      <w:r w:rsidRPr="004C6A24">
        <w:rPr>
          <w:rFonts w:cs="Sylfaen"/>
          <w:b w:val="0"/>
          <w:iCs/>
          <w:color w:val="000000"/>
          <w:szCs w:val="22"/>
          <w:lang w:eastAsia="en-US"/>
        </w:rPr>
        <w:t xml:space="preserve"> </w:t>
      </w:r>
      <w:r w:rsidRPr="00A00B8B">
        <w:rPr>
          <w:rFonts w:cs="Sylfaen"/>
          <w:b w:val="0"/>
          <w:iCs/>
          <w:color w:val="000000"/>
          <w:szCs w:val="22"/>
          <w:lang w:val="en-US" w:eastAsia="en-US"/>
        </w:rPr>
        <w:t>գծով՝</w:t>
      </w:r>
      <w:r w:rsidRPr="004C6A24">
        <w:rPr>
          <w:rFonts w:cs="Sylfaen"/>
          <w:b w:val="0"/>
          <w:iCs/>
          <w:color w:val="000000"/>
          <w:szCs w:val="22"/>
          <w:lang w:eastAsia="en-US"/>
        </w:rPr>
        <w:t xml:space="preserve"> </w:t>
      </w:r>
      <w:r w:rsidRPr="004C6A24">
        <w:rPr>
          <w:color w:val="000000"/>
          <w:szCs w:val="22"/>
          <w:lang w:eastAsia="en-US"/>
        </w:rPr>
        <w:t>16,406</w:t>
      </w:r>
      <w:r w:rsidRPr="004C6A24">
        <w:rPr>
          <w:i/>
          <w:color w:val="000000"/>
          <w:szCs w:val="22"/>
          <w:lang w:eastAsia="en-US"/>
        </w:rPr>
        <w:t xml:space="preserve"> </w:t>
      </w:r>
      <w:r w:rsidRPr="00A00B8B">
        <w:rPr>
          <w:rFonts w:cs="Sylfaen"/>
          <w:iCs/>
          <w:color w:val="000000"/>
          <w:szCs w:val="22"/>
          <w:lang w:val="en-US" w:eastAsia="en-US"/>
        </w:rPr>
        <w:t>մլն</w:t>
      </w:r>
      <w:r w:rsidRPr="004C6A24">
        <w:rPr>
          <w:rFonts w:cs="Sylfaen"/>
          <w:iCs/>
          <w:color w:val="000000"/>
          <w:szCs w:val="22"/>
          <w:lang w:eastAsia="en-US"/>
        </w:rPr>
        <w:t xml:space="preserve">. </w:t>
      </w:r>
      <w:r w:rsidRPr="00A00B8B">
        <w:rPr>
          <w:rFonts w:cs="Sylfaen"/>
          <w:iCs/>
          <w:color w:val="000000"/>
          <w:szCs w:val="22"/>
          <w:lang w:val="en-US" w:eastAsia="en-US"/>
        </w:rPr>
        <w:t>դրամ</w:t>
      </w:r>
      <w:r w:rsidRPr="004C6A24">
        <w:rPr>
          <w:rFonts w:cs="Sylfaen"/>
          <w:b w:val="0"/>
          <w:iCs/>
          <w:color w:val="000000"/>
          <w:szCs w:val="22"/>
          <w:lang w:eastAsia="en-US"/>
        </w:rPr>
        <w:t>:</w:t>
      </w:r>
    </w:p>
    <w:p w:rsidR="00A00B8B" w:rsidRPr="004C6A24" w:rsidRDefault="00A00B8B" w:rsidP="007730AA">
      <w:pPr>
        <w:numPr>
          <w:ilvl w:val="0"/>
          <w:numId w:val="63"/>
        </w:numPr>
        <w:tabs>
          <w:tab w:val="left" w:pos="851"/>
        </w:tabs>
        <w:spacing w:before="0" w:line="276" w:lineRule="auto"/>
        <w:ind w:left="0" w:firstLine="567"/>
        <w:contextualSpacing w:val="0"/>
        <w:rPr>
          <w:i/>
          <w:szCs w:val="22"/>
          <w:lang w:eastAsia="en-US"/>
        </w:rPr>
      </w:pPr>
      <w:r w:rsidRPr="00A00B8B">
        <w:rPr>
          <w:rFonts w:cs="Sylfaen"/>
          <w:i/>
          <w:szCs w:val="22"/>
          <w:lang w:val="en-US" w:eastAsia="en-US"/>
        </w:rPr>
        <w:t>ԱԱՀ</w:t>
      </w:r>
      <w:r w:rsidRPr="004C6A24">
        <w:rPr>
          <w:i/>
          <w:szCs w:val="22"/>
          <w:lang w:eastAsia="en-US"/>
        </w:rPr>
        <w:t>-</w:t>
      </w:r>
      <w:r w:rsidRPr="00A00B8B">
        <w:rPr>
          <w:i/>
          <w:szCs w:val="22"/>
          <w:lang w:val="en-US" w:eastAsia="en-US"/>
        </w:rPr>
        <w:t>ի</w:t>
      </w:r>
      <w:r w:rsidRPr="004C6A24">
        <w:rPr>
          <w:i/>
          <w:szCs w:val="22"/>
          <w:lang w:eastAsia="en-US"/>
        </w:rPr>
        <w:t xml:space="preserve"> </w:t>
      </w:r>
      <w:r w:rsidRPr="00A00B8B">
        <w:rPr>
          <w:i/>
          <w:szCs w:val="22"/>
          <w:lang w:val="en-US" w:eastAsia="en-US"/>
        </w:rPr>
        <w:t>գծով</w:t>
      </w:r>
      <w:r w:rsidRPr="004C6A24">
        <w:rPr>
          <w:i/>
          <w:szCs w:val="22"/>
          <w:lang w:eastAsia="en-US"/>
        </w:rPr>
        <w:t xml:space="preserve"> </w:t>
      </w:r>
      <w:r w:rsidRPr="00A00B8B">
        <w:rPr>
          <w:i/>
          <w:szCs w:val="22"/>
          <w:lang w:val="en-US" w:eastAsia="en-US"/>
        </w:rPr>
        <w:t>հարկային</w:t>
      </w:r>
      <w:r w:rsidRPr="004C6A24">
        <w:rPr>
          <w:i/>
          <w:szCs w:val="22"/>
          <w:lang w:eastAsia="en-US"/>
        </w:rPr>
        <w:t xml:space="preserve"> </w:t>
      </w:r>
      <w:r w:rsidRPr="00A00B8B">
        <w:rPr>
          <w:i/>
          <w:szCs w:val="22"/>
          <w:lang w:val="en-US" w:eastAsia="en-US"/>
        </w:rPr>
        <w:t>ծախսերը</w:t>
      </w:r>
      <w:r w:rsidRPr="004C6A24">
        <w:rPr>
          <w:i/>
          <w:szCs w:val="22"/>
          <w:lang w:eastAsia="en-US"/>
        </w:rPr>
        <w:t>.</w:t>
      </w:r>
    </w:p>
    <w:p w:rsidR="00A00B8B" w:rsidRPr="004C6A24" w:rsidRDefault="00A00B8B" w:rsidP="007730AA">
      <w:pPr>
        <w:spacing w:before="0" w:line="276" w:lineRule="auto"/>
        <w:contextualSpacing w:val="0"/>
        <w:rPr>
          <w:rFonts w:cs="Sylfaen"/>
          <w:b w:val="0"/>
          <w:iCs/>
          <w:color w:val="000000"/>
          <w:szCs w:val="22"/>
          <w:lang w:eastAsia="en-US"/>
        </w:rPr>
      </w:pPr>
      <w:r w:rsidRPr="00A00B8B">
        <w:rPr>
          <w:rFonts w:cs="Sylfaen"/>
          <w:b w:val="0"/>
          <w:iCs/>
          <w:color w:val="000000"/>
          <w:szCs w:val="22"/>
          <w:lang w:val="en-US" w:eastAsia="en-US"/>
        </w:rPr>
        <w:t>Ավելացված</w:t>
      </w:r>
      <w:r w:rsidRPr="004C6A24">
        <w:rPr>
          <w:rFonts w:cs="Sylfaen"/>
          <w:b w:val="0"/>
          <w:iCs/>
          <w:color w:val="000000"/>
          <w:szCs w:val="22"/>
          <w:lang w:eastAsia="en-US"/>
        </w:rPr>
        <w:t xml:space="preserve"> </w:t>
      </w:r>
      <w:r w:rsidRPr="00A00B8B">
        <w:rPr>
          <w:rFonts w:cs="Sylfaen"/>
          <w:b w:val="0"/>
          <w:iCs/>
          <w:color w:val="000000"/>
          <w:szCs w:val="22"/>
          <w:lang w:val="en-US" w:eastAsia="en-US"/>
        </w:rPr>
        <w:t>արժեքի</w:t>
      </w:r>
      <w:r w:rsidRPr="004C6A24">
        <w:rPr>
          <w:rFonts w:cs="Sylfaen"/>
          <w:b w:val="0"/>
          <w:iCs/>
          <w:color w:val="000000"/>
          <w:szCs w:val="22"/>
          <w:lang w:eastAsia="en-US"/>
        </w:rPr>
        <w:t xml:space="preserve"> </w:t>
      </w:r>
      <w:r w:rsidRPr="00A00B8B">
        <w:rPr>
          <w:rFonts w:cs="Sylfaen"/>
          <w:b w:val="0"/>
          <w:iCs/>
          <w:color w:val="000000"/>
          <w:szCs w:val="22"/>
          <w:lang w:val="en-US" w:eastAsia="en-US"/>
        </w:rPr>
        <w:t>հարկի</w:t>
      </w:r>
      <w:r w:rsidRPr="004C6A24">
        <w:rPr>
          <w:rFonts w:cs="Sylfaen"/>
          <w:b w:val="0"/>
          <w:iCs/>
          <w:color w:val="000000"/>
          <w:szCs w:val="22"/>
          <w:lang w:eastAsia="en-US"/>
        </w:rPr>
        <w:t xml:space="preserve"> </w:t>
      </w:r>
      <w:r w:rsidRPr="00A00B8B">
        <w:rPr>
          <w:rFonts w:cs="Sylfaen"/>
          <w:b w:val="0"/>
          <w:iCs/>
          <w:color w:val="000000"/>
          <w:szCs w:val="22"/>
          <w:lang w:val="en-US" w:eastAsia="en-US"/>
        </w:rPr>
        <w:t>գծով</w:t>
      </w:r>
      <w:r w:rsidRPr="004C6A24">
        <w:rPr>
          <w:rFonts w:cs="Sylfaen"/>
          <w:b w:val="0"/>
          <w:iCs/>
          <w:color w:val="000000"/>
          <w:szCs w:val="22"/>
          <w:lang w:eastAsia="en-US"/>
        </w:rPr>
        <w:t xml:space="preserve"> </w:t>
      </w:r>
      <w:r w:rsidRPr="00A00B8B">
        <w:rPr>
          <w:rFonts w:cs="Sylfaen"/>
          <w:b w:val="0"/>
          <w:iCs/>
          <w:color w:val="000000"/>
          <w:szCs w:val="22"/>
          <w:lang w:val="en-US" w:eastAsia="en-US"/>
        </w:rPr>
        <w:t>հարկային</w:t>
      </w:r>
      <w:r w:rsidRPr="004C6A24">
        <w:rPr>
          <w:rFonts w:cs="Sylfaen"/>
          <w:b w:val="0"/>
          <w:iCs/>
          <w:color w:val="000000"/>
          <w:szCs w:val="22"/>
          <w:lang w:eastAsia="en-US"/>
        </w:rPr>
        <w:t xml:space="preserve"> </w:t>
      </w:r>
      <w:r w:rsidRPr="00A00B8B">
        <w:rPr>
          <w:rFonts w:cs="Sylfaen"/>
          <w:b w:val="0"/>
          <w:iCs/>
          <w:color w:val="000000"/>
          <w:szCs w:val="22"/>
          <w:lang w:val="en-US" w:eastAsia="en-US"/>
        </w:rPr>
        <w:t>ծախսերի</w:t>
      </w:r>
      <w:r w:rsidRPr="004C6A24">
        <w:rPr>
          <w:rFonts w:cs="Sylfaen"/>
          <w:b w:val="0"/>
          <w:iCs/>
          <w:color w:val="000000"/>
          <w:szCs w:val="22"/>
          <w:lang w:eastAsia="en-US"/>
        </w:rPr>
        <w:t xml:space="preserve"> </w:t>
      </w:r>
      <w:r w:rsidRPr="00A00B8B">
        <w:rPr>
          <w:rFonts w:cs="Sylfaen"/>
          <w:b w:val="0"/>
          <w:iCs/>
          <w:color w:val="000000"/>
          <w:szCs w:val="22"/>
          <w:lang w:val="en-US" w:eastAsia="en-US"/>
        </w:rPr>
        <w:t>մեծությունը</w:t>
      </w:r>
      <w:r w:rsidRPr="004C6A24">
        <w:rPr>
          <w:rFonts w:cs="Sylfaen"/>
          <w:b w:val="0"/>
          <w:iCs/>
          <w:color w:val="000000"/>
          <w:szCs w:val="22"/>
          <w:lang w:eastAsia="en-US"/>
        </w:rPr>
        <w:t xml:space="preserve"> </w:t>
      </w:r>
      <w:r w:rsidRPr="00A00B8B">
        <w:rPr>
          <w:rFonts w:cs="Sylfaen"/>
          <w:b w:val="0"/>
          <w:iCs/>
          <w:color w:val="000000"/>
          <w:szCs w:val="22"/>
          <w:lang w:val="en-US" w:eastAsia="en-US"/>
        </w:rPr>
        <w:t>տնտեսության</w:t>
      </w:r>
      <w:r w:rsidRPr="004C6A24">
        <w:rPr>
          <w:rFonts w:cs="Sylfaen"/>
          <w:b w:val="0"/>
          <w:iCs/>
          <w:color w:val="000000"/>
          <w:szCs w:val="22"/>
          <w:lang w:eastAsia="en-US"/>
        </w:rPr>
        <w:t xml:space="preserve"> </w:t>
      </w:r>
      <w:r w:rsidRPr="00A00B8B">
        <w:rPr>
          <w:rFonts w:cs="Sylfaen"/>
          <w:b w:val="0"/>
          <w:iCs/>
          <w:color w:val="000000"/>
          <w:szCs w:val="22"/>
          <w:lang w:val="en-US" w:eastAsia="en-US"/>
        </w:rPr>
        <w:t>տար</w:t>
      </w:r>
      <w:r w:rsidRPr="004C6A24">
        <w:rPr>
          <w:rFonts w:cs="Sylfaen"/>
          <w:b w:val="0"/>
          <w:iCs/>
          <w:color w:val="000000"/>
          <w:szCs w:val="22"/>
          <w:lang w:eastAsia="en-US"/>
        </w:rPr>
        <w:softHyphen/>
      </w:r>
      <w:r w:rsidRPr="00A00B8B">
        <w:rPr>
          <w:rFonts w:cs="Sylfaen"/>
          <w:b w:val="0"/>
          <w:iCs/>
          <w:color w:val="000000"/>
          <w:szCs w:val="22"/>
          <w:lang w:val="en-US" w:eastAsia="en-US"/>
        </w:rPr>
        <w:t>բեր</w:t>
      </w:r>
      <w:r w:rsidRPr="004C6A24">
        <w:rPr>
          <w:rFonts w:cs="Sylfaen"/>
          <w:b w:val="0"/>
          <w:iCs/>
          <w:color w:val="000000"/>
          <w:szCs w:val="22"/>
          <w:lang w:eastAsia="en-US"/>
        </w:rPr>
        <w:t xml:space="preserve"> </w:t>
      </w:r>
      <w:r w:rsidRPr="00A00B8B">
        <w:rPr>
          <w:rFonts w:cs="Sylfaen"/>
          <w:b w:val="0"/>
          <w:iCs/>
          <w:color w:val="000000"/>
          <w:szCs w:val="22"/>
          <w:lang w:val="en-US" w:eastAsia="en-US"/>
        </w:rPr>
        <w:t>ոլորտների</w:t>
      </w:r>
      <w:r w:rsidRPr="004C6A24">
        <w:rPr>
          <w:rFonts w:cs="Sylfaen"/>
          <w:b w:val="0"/>
          <w:iCs/>
          <w:color w:val="000000"/>
          <w:szCs w:val="22"/>
          <w:lang w:eastAsia="en-US"/>
        </w:rPr>
        <w:t xml:space="preserve"> </w:t>
      </w:r>
      <w:r w:rsidRPr="00A00B8B">
        <w:rPr>
          <w:rFonts w:cs="Sylfaen"/>
          <w:b w:val="0"/>
          <w:iCs/>
          <w:color w:val="000000"/>
          <w:szCs w:val="22"/>
          <w:lang w:val="en-US" w:eastAsia="en-US"/>
        </w:rPr>
        <w:t>ու</w:t>
      </w:r>
      <w:r w:rsidRPr="004C6A24">
        <w:rPr>
          <w:rFonts w:cs="Sylfaen"/>
          <w:b w:val="0"/>
          <w:iCs/>
          <w:color w:val="000000"/>
          <w:szCs w:val="22"/>
          <w:lang w:eastAsia="en-US"/>
        </w:rPr>
        <w:t xml:space="preserve"> </w:t>
      </w:r>
      <w:r w:rsidRPr="00A00B8B">
        <w:rPr>
          <w:rFonts w:cs="Sylfaen"/>
          <w:b w:val="0"/>
          <w:iCs/>
          <w:color w:val="000000"/>
          <w:szCs w:val="22"/>
          <w:lang w:val="en-US" w:eastAsia="en-US"/>
        </w:rPr>
        <w:t>առանձին</w:t>
      </w:r>
      <w:r w:rsidRPr="004C6A24">
        <w:rPr>
          <w:rFonts w:cs="Sylfaen"/>
          <w:b w:val="0"/>
          <w:iCs/>
          <w:color w:val="000000"/>
          <w:szCs w:val="22"/>
          <w:lang w:eastAsia="en-US"/>
        </w:rPr>
        <w:t xml:space="preserve"> </w:t>
      </w:r>
      <w:r w:rsidRPr="00A00B8B">
        <w:rPr>
          <w:rFonts w:cs="Sylfaen"/>
          <w:b w:val="0"/>
          <w:iCs/>
          <w:color w:val="000000"/>
          <w:szCs w:val="22"/>
          <w:lang w:val="en-US" w:eastAsia="en-US"/>
        </w:rPr>
        <w:t>հարկային</w:t>
      </w:r>
      <w:r w:rsidRPr="004C6A24">
        <w:rPr>
          <w:rFonts w:cs="Sylfaen"/>
          <w:b w:val="0"/>
          <w:iCs/>
          <w:color w:val="000000"/>
          <w:szCs w:val="22"/>
          <w:lang w:eastAsia="en-US"/>
        </w:rPr>
        <w:t xml:space="preserve"> </w:t>
      </w:r>
      <w:r w:rsidRPr="00A00B8B">
        <w:rPr>
          <w:rFonts w:cs="Sylfaen"/>
          <w:b w:val="0"/>
          <w:iCs/>
          <w:color w:val="000000"/>
          <w:szCs w:val="22"/>
          <w:lang w:val="en-US" w:eastAsia="en-US"/>
        </w:rPr>
        <w:t>արտոնությունների</w:t>
      </w:r>
      <w:r w:rsidRPr="004C6A24">
        <w:rPr>
          <w:rFonts w:cs="Sylfaen"/>
          <w:b w:val="0"/>
          <w:iCs/>
          <w:color w:val="000000"/>
          <w:szCs w:val="22"/>
          <w:lang w:eastAsia="en-US"/>
        </w:rPr>
        <w:t xml:space="preserve"> </w:t>
      </w:r>
      <w:r w:rsidRPr="00A00B8B">
        <w:rPr>
          <w:rFonts w:cs="Sylfaen"/>
          <w:b w:val="0"/>
          <w:iCs/>
          <w:color w:val="000000"/>
          <w:szCs w:val="22"/>
          <w:lang w:val="en-US" w:eastAsia="en-US"/>
        </w:rPr>
        <w:t>միջև</w:t>
      </w:r>
      <w:r w:rsidRPr="004C6A24">
        <w:rPr>
          <w:rFonts w:cs="Sylfaen"/>
          <w:b w:val="0"/>
          <w:iCs/>
          <w:color w:val="000000"/>
          <w:szCs w:val="22"/>
          <w:lang w:eastAsia="en-US"/>
        </w:rPr>
        <w:t xml:space="preserve"> </w:t>
      </w:r>
      <w:r w:rsidRPr="00A00B8B">
        <w:rPr>
          <w:rFonts w:cs="Sylfaen"/>
          <w:b w:val="0"/>
          <w:iCs/>
          <w:color w:val="000000"/>
          <w:szCs w:val="22"/>
          <w:lang w:val="en-US" w:eastAsia="en-US"/>
        </w:rPr>
        <w:t>բաշխվում</w:t>
      </w:r>
      <w:r w:rsidRPr="004C6A24">
        <w:rPr>
          <w:rFonts w:cs="Sylfaen"/>
          <w:b w:val="0"/>
          <w:iCs/>
          <w:color w:val="000000"/>
          <w:szCs w:val="22"/>
          <w:lang w:eastAsia="en-US"/>
        </w:rPr>
        <w:t xml:space="preserve"> </w:t>
      </w:r>
      <w:r w:rsidRPr="00A00B8B">
        <w:rPr>
          <w:rFonts w:cs="Sylfaen"/>
          <w:b w:val="0"/>
          <w:iCs/>
          <w:color w:val="000000"/>
          <w:szCs w:val="22"/>
          <w:lang w:val="en-US" w:eastAsia="en-US"/>
        </w:rPr>
        <w:t>է</w:t>
      </w:r>
      <w:r w:rsidRPr="004C6A24">
        <w:rPr>
          <w:rFonts w:cs="Sylfaen"/>
          <w:b w:val="0"/>
          <w:iCs/>
          <w:color w:val="000000"/>
          <w:szCs w:val="22"/>
          <w:lang w:eastAsia="en-US"/>
        </w:rPr>
        <w:t xml:space="preserve"> </w:t>
      </w:r>
      <w:r w:rsidRPr="00A00B8B">
        <w:rPr>
          <w:rFonts w:cs="Sylfaen"/>
          <w:b w:val="0"/>
          <w:iCs/>
          <w:color w:val="000000"/>
          <w:szCs w:val="22"/>
          <w:lang w:val="en-US" w:eastAsia="en-US"/>
        </w:rPr>
        <w:t>հետևյալ</w:t>
      </w:r>
      <w:r w:rsidRPr="004C6A24">
        <w:rPr>
          <w:rFonts w:cs="Sylfaen"/>
          <w:b w:val="0"/>
          <w:iCs/>
          <w:color w:val="000000"/>
          <w:szCs w:val="22"/>
          <w:lang w:eastAsia="en-US"/>
        </w:rPr>
        <w:t xml:space="preserve"> </w:t>
      </w:r>
      <w:r w:rsidRPr="00A00B8B">
        <w:rPr>
          <w:rFonts w:cs="Sylfaen"/>
          <w:b w:val="0"/>
          <w:iCs/>
          <w:color w:val="000000"/>
          <w:szCs w:val="22"/>
          <w:lang w:val="en-US" w:eastAsia="en-US"/>
        </w:rPr>
        <w:t>կերպ</w:t>
      </w:r>
      <w:r w:rsidRPr="004C6A24">
        <w:rPr>
          <w:rFonts w:cs="Sylfaen"/>
          <w:b w:val="0"/>
          <w:iCs/>
          <w:color w:val="000000"/>
          <w:szCs w:val="22"/>
          <w:lang w:eastAsia="en-US"/>
        </w:rPr>
        <w:t>.</w:t>
      </w:r>
    </w:p>
    <w:p w:rsidR="00A00B8B" w:rsidRPr="00A00B8B" w:rsidRDefault="00A00B8B" w:rsidP="007730AA">
      <w:pPr>
        <w:numPr>
          <w:ilvl w:val="0"/>
          <w:numId w:val="62"/>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գյուղատնտեսություն` </w:t>
      </w:r>
      <w:r w:rsidRPr="00A00B8B">
        <w:rPr>
          <w:i/>
          <w:szCs w:val="22"/>
          <w:lang w:val="en-US" w:eastAsia="en-US"/>
        </w:rPr>
        <w:t>16,544 մլն. դրամ</w:t>
      </w:r>
      <w:r w:rsidRPr="00A00B8B">
        <w:rPr>
          <w:b w:val="0"/>
          <w:szCs w:val="22"/>
          <w:lang w:val="en-US" w:eastAsia="en-US"/>
        </w:rPr>
        <w:t>,</w:t>
      </w:r>
    </w:p>
    <w:p w:rsidR="00A00B8B" w:rsidRPr="00A00B8B" w:rsidRDefault="00A00B8B" w:rsidP="007730AA">
      <w:pPr>
        <w:numPr>
          <w:ilvl w:val="0"/>
          <w:numId w:val="62"/>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առողջապահություն` </w:t>
      </w:r>
      <w:r w:rsidRPr="00A00B8B">
        <w:rPr>
          <w:i/>
          <w:szCs w:val="22"/>
          <w:lang w:val="en-US" w:eastAsia="en-US"/>
        </w:rPr>
        <w:t>53,279 մլն. դրամ</w:t>
      </w:r>
      <w:r w:rsidRPr="00A00B8B">
        <w:rPr>
          <w:b w:val="0"/>
          <w:szCs w:val="22"/>
          <w:lang w:val="en-US" w:eastAsia="en-US"/>
        </w:rPr>
        <w:t>,</w:t>
      </w:r>
    </w:p>
    <w:p w:rsidR="00A00B8B" w:rsidRPr="00A00B8B" w:rsidRDefault="00A00B8B" w:rsidP="007730AA">
      <w:pPr>
        <w:numPr>
          <w:ilvl w:val="0"/>
          <w:numId w:val="62"/>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կրթություն` </w:t>
      </w:r>
      <w:r w:rsidRPr="00A00B8B">
        <w:rPr>
          <w:i/>
          <w:szCs w:val="22"/>
          <w:lang w:val="en-US" w:eastAsia="en-US"/>
        </w:rPr>
        <w:t>27,807 մլն. դրամ</w:t>
      </w:r>
      <w:r w:rsidRPr="00A00B8B">
        <w:rPr>
          <w:b w:val="0"/>
          <w:szCs w:val="22"/>
          <w:lang w:val="en-US" w:eastAsia="en-US"/>
        </w:rPr>
        <w:t>,</w:t>
      </w:r>
    </w:p>
    <w:p w:rsidR="00A00B8B" w:rsidRPr="00A00B8B" w:rsidRDefault="00A00B8B" w:rsidP="007730AA">
      <w:pPr>
        <w:numPr>
          <w:ilvl w:val="0"/>
          <w:numId w:val="62"/>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ֆինանսներ և ապահովագրություն` </w:t>
      </w:r>
      <w:r w:rsidRPr="00A00B8B">
        <w:rPr>
          <w:i/>
          <w:szCs w:val="22"/>
          <w:lang w:val="en-US" w:eastAsia="en-US"/>
        </w:rPr>
        <w:t>73,878 մլն. դրամ</w:t>
      </w:r>
      <w:r w:rsidRPr="00A00B8B">
        <w:rPr>
          <w:b w:val="0"/>
          <w:szCs w:val="22"/>
          <w:lang w:val="en-US" w:eastAsia="en-US"/>
        </w:rPr>
        <w:t>,</w:t>
      </w:r>
    </w:p>
    <w:p w:rsidR="00A00B8B" w:rsidRPr="00A00B8B" w:rsidRDefault="00A00B8B" w:rsidP="007730AA">
      <w:pPr>
        <w:numPr>
          <w:ilvl w:val="0"/>
          <w:numId w:val="62"/>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խաղատների գործունեություն, շահումով խաղերի (այդ թվում՝ ինտերնետ շահումով խաղերի), տոտալիզատորի և ինտերնետ տոտալիզատորի կազմակերպում՝ </w:t>
      </w:r>
      <w:r w:rsidRPr="00A00B8B">
        <w:rPr>
          <w:i/>
          <w:szCs w:val="22"/>
          <w:lang w:val="en-US" w:eastAsia="en-US"/>
        </w:rPr>
        <w:t>53,217 մլն. դրամ</w:t>
      </w:r>
      <w:r w:rsidRPr="00A00B8B">
        <w:rPr>
          <w:b w:val="0"/>
          <w:szCs w:val="22"/>
          <w:lang w:val="en-US" w:eastAsia="en-US"/>
        </w:rPr>
        <w:t>,</w:t>
      </w:r>
    </w:p>
    <w:p w:rsidR="00A00B8B" w:rsidRPr="00A00B8B" w:rsidRDefault="00A00B8B" w:rsidP="007730AA">
      <w:pPr>
        <w:numPr>
          <w:ilvl w:val="0"/>
          <w:numId w:val="62"/>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ոսկու և թանկարժեք քարերի իրացում՝ </w:t>
      </w:r>
      <w:r w:rsidRPr="00A00B8B">
        <w:rPr>
          <w:i/>
          <w:szCs w:val="22"/>
          <w:lang w:val="en-US" w:eastAsia="en-US"/>
        </w:rPr>
        <w:t>3,167 մլն. դրամ</w:t>
      </w:r>
      <w:r w:rsidRPr="00A00B8B">
        <w:rPr>
          <w:b w:val="0"/>
          <w:szCs w:val="22"/>
          <w:lang w:val="en-US" w:eastAsia="en-US"/>
        </w:rPr>
        <w:t>,</w:t>
      </w:r>
    </w:p>
    <w:p w:rsidR="00A00B8B" w:rsidRPr="00A00B8B" w:rsidRDefault="00A00B8B" w:rsidP="007730AA">
      <w:pPr>
        <w:numPr>
          <w:ilvl w:val="0"/>
          <w:numId w:val="62"/>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մարդասիրական օգնություն՝ </w:t>
      </w:r>
      <w:r w:rsidRPr="00A00B8B">
        <w:rPr>
          <w:i/>
          <w:szCs w:val="22"/>
          <w:lang w:val="en-US" w:eastAsia="en-US"/>
        </w:rPr>
        <w:t>3,924 մլն. դրամ</w:t>
      </w:r>
      <w:r w:rsidRPr="00A00B8B">
        <w:rPr>
          <w:b w:val="0"/>
          <w:szCs w:val="22"/>
          <w:lang w:val="en-US" w:eastAsia="en-US"/>
        </w:rPr>
        <w:t>,</w:t>
      </w:r>
    </w:p>
    <w:p w:rsidR="00A00B8B" w:rsidRPr="00A00B8B" w:rsidRDefault="00A00B8B" w:rsidP="007730AA">
      <w:pPr>
        <w:numPr>
          <w:ilvl w:val="0"/>
          <w:numId w:val="62"/>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պարարտանյութերի իրացում՝ </w:t>
      </w:r>
      <w:r w:rsidRPr="00A00B8B">
        <w:rPr>
          <w:i/>
          <w:szCs w:val="22"/>
          <w:lang w:val="en-US" w:eastAsia="en-US"/>
        </w:rPr>
        <w:t>3,615 մլն. դրամ</w:t>
      </w:r>
      <w:r w:rsidRPr="00A00B8B">
        <w:rPr>
          <w:b w:val="0"/>
          <w:szCs w:val="22"/>
          <w:lang w:val="en-US" w:eastAsia="en-US"/>
        </w:rPr>
        <w:t>,</w:t>
      </w:r>
    </w:p>
    <w:p w:rsidR="00A00B8B" w:rsidRPr="00A00B8B" w:rsidRDefault="00A00B8B" w:rsidP="007730AA">
      <w:pPr>
        <w:numPr>
          <w:ilvl w:val="0"/>
          <w:numId w:val="62"/>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ծխախոտի արտադրանք արտադրող չհանդիսացող և ծխախոտի արտադրանք ներմուծող չհանդիսացող հարկ վճարողների կողմից ծխախոտի արտադրանքի օտարում՝ </w:t>
      </w:r>
      <w:r w:rsidRPr="00A00B8B">
        <w:rPr>
          <w:i/>
          <w:szCs w:val="22"/>
          <w:lang w:val="en-US" w:eastAsia="en-US"/>
        </w:rPr>
        <w:t>19,847 մլն. դրամ</w:t>
      </w:r>
      <w:r w:rsidRPr="00A00B8B">
        <w:rPr>
          <w:b w:val="0"/>
          <w:szCs w:val="22"/>
          <w:lang w:val="en-US" w:eastAsia="en-US"/>
        </w:rPr>
        <w:t>,</w:t>
      </w:r>
    </w:p>
    <w:p w:rsidR="00A00B8B" w:rsidRPr="00A00B8B" w:rsidRDefault="00A00B8B" w:rsidP="007730AA">
      <w:pPr>
        <w:numPr>
          <w:ilvl w:val="0"/>
          <w:numId w:val="62"/>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 ջրօգտագործողների ընկերությունների կողմից ոռոգման ջրի օտարում՝ </w:t>
      </w:r>
      <w:r w:rsidRPr="00A00B8B">
        <w:rPr>
          <w:i/>
          <w:szCs w:val="22"/>
          <w:lang w:val="en-US" w:eastAsia="en-US"/>
        </w:rPr>
        <w:t>1,419 մլն. դրամ</w:t>
      </w:r>
      <w:r w:rsidRPr="00A00B8B">
        <w:rPr>
          <w:b w:val="0"/>
          <w:szCs w:val="22"/>
          <w:lang w:val="en-US" w:eastAsia="en-US"/>
        </w:rPr>
        <w:t>,</w:t>
      </w:r>
    </w:p>
    <w:p w:rsidR="00A00B8B" w:rsidRPr="00A00B8B" w:rsidRDefault="00A00B8B" w:rsidP="007730AA">
      <w:pPr>
        <w:numPr>
          <w:ilvl w:val="0"/>
          <w:numId w:val="62"/>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սուբսիդիաների, սուբվենցիաների և դրամաշնորհային ծրագրերի շրջանակներում իրականացվող` ապրանքի մատակարարում, աշխատանքի կատարում և (կամ) ծառայության մատուցում՝ </w:t>
      </w:r>
      <w:r w:rsidRPr="00A00B8B">
        <w:rPr>
          <w:i/>
          <w:szCs w:val="22"/>
          <w:lang w:val="en-US" w:eastAsia="en-US"/>
        </w:rPr>
        <w:t>913 մլն. դրամ</w:t>
      </w:r>
      <w:r w:rsidRPr="00A00B8B">
        <w:rPr>
          <w:b w:val="0"/>
          <w:szCs w:val="22"/>
          <w:lang w:val="en-US" w:eastAsia="en-US"/>
        </w:rPr>
        <w:t>,</w:t>
      </w:r>
    </w:p>
    <w:p w:rsidR="00A00B8B" w:rsidRPr="00A00B8B" w:rsidRDefault="00A00B8B" w:rsidP="007730AA">
      <w:pPr>
        <w:numPr>
          <w:ilvl w:val="0"/>
          <w:numId w:val="62"/>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ազատ տնտեսական գոտու կազմակերպչին և ազատ տնտեսական գոտու շահագործողին ծառայությունների մատուցում, ազատ տնտեսական գոտու կազմակերպչի և ազատ տնտեսական գոտու շահագործողի համար աշխատանքների կատարում, ազատ տնտեսական գոտու տարածքում ապրանքների մատակարարում՝ </w:t>
      </w:r>
      <w:r w:rsidRPr="00A00B8B">
        <w:rPr>
          <w:i/>
          <w:szCs w:val="22"/>
          <w:lang w:val="en-US" w:eastAsia="en-US"/>
        </w:rPr>
        <w:t>133 մլն. դրամ</w:t>
      </w:r>
      <w:r w:rsidRPr="00A00B8B">
        <w:rPr>
          <w:b w:val="0"/>
          <w:szCs w:val="22"/>
          <w:lang w:val="en-US" w:eastAsia="en-US"/>
        </w:rPr>
        <w:t>,</w:t>
      </w:r>
    </w:p>
    <w:p w:rsidR="00A00B8B" w:rsidRPr="00A00B8B" w:rsidRDefault="00A00B8B" w:rsidP="007730AA">
      <w:pPr>
        <w:numPr>
          <w:ilvl w:val="0"/>
          <w:numId w:val="62"/>
        </w:numPr>
        <w:tabs>
          <w:tab w:val="left" w:pos="900"/>
        </w:tabs>
        <w:spacing w:before="0" w:line="276" w:lineRule="auto"/>
        <w:ind w:left="0" w:firstLine="567"/>
        <w:contextualSpacing w:val="0"/>
        <w:rPr>
          <w:b w:val="0"/>
          <w:szCs w:val="22"/>
          <w:lang w:val="en-US" w:eastAsia="en-US"/>
        </w:rPr>
      </w:pPr>
      <w:r w:rsidRPr="00A00B8B">
        <w:rPr>
          <w:b w:val="0"/>
          <w:szCs w:val="22"/>
          <w:lang w:val="en-US" w:eastAsia="en-US"/>
        </w:rPr>
        <w:t xml:space="preserve">այլ օրենքներով տրված արտոնություններ՝ </w:t>
      </w:r>
      <w:r w:rsidRPr="00A00B8B">
        <w:rPr>
          <w:i/>
          <w:szCs w:val="22"/>
          <w:lang w:val="en-US" w:eastAsia="en-US"/>
        </w:rPr>
        <w:t>1,860 մլն. դրամ</w:t>
      </w:r>
      <w:r w:rsidRPr="00A00B8B">
        <w:rPr>
          <w:b w:val="0"/>
          <w:szCs w:val="22"/>
          <w:lang w:val="en-US" w:eastAsia="en-US"/>
        </w:rPr>
        <w:t>,</w:t>
      </w:r>
    </w:p>
    <w:p w:rsidR="00A00B8B" w:rsidRPr="00A00B8B" w:rsidRDefault="00A00B8B" w:rsidP="007730AA">
      <w:pPr>
        <w:numPr>
          <w:ilvl w:val="0"/>
          <w:numId w:val="62"/>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վերը չնշված այլ արտոնություններ` </w:t>
      </w:r>
      <w:r w:rsidRPr="00A00B8B">
        <w:rPr>
          <w:i/>
          <w:szCs w:val="22"/>
          <w:lang w:val="en-US" w:eastAsia="en-US"/>
        </w:rPr>
        <w:t>62,425 մլն. դրամ*:</w:t>
      </w:r>
    </w:p>
    <w:p w:rsidR="00A00B8B" w:rsidRPr="00A00B8B" w:rsidRDefault="00A00B8B" w:rsidP="007730AA">
      <w:pPr>
        <w:spacing w:before="0" w:line="276" w:lineRule="auto"/>
        <w:contextualSpacing w:val="0"/>
        <w:rPr>
          <w:rFonts w:cs="Sylfaen"/>
          <w:i/>
          <w:iCs/>
          <w:color w:val="000000"/>
          <w:szCs w:val="22"/>
          <w:lang w:val="en-US" w:eastAsia="en-US"/>
        </w:rPr>
      </w:pPr>
      <w:r w:rsidRPr="00A00B8B">
        <w:rPr>
          <w:rFonts w:cs="Sylfaen"/>
          <w:iCs/>
          <w:color w:val="000000"/>
          <w:szCs w:val="22"/>
          <w:lang w:val="en-US" w:eastAsia="en-US"/>
        </w:rPr>
        <w:t>*</w:t>
      </w:r>
      <w:r w:rsidRPr="00A00B8B">
        <w:rPr>
          <w:rFonts w:cs="Sylfaen"/>
          <w:b w:val="0"/>
          <w:iCs/>
          <w:color w:val="000000"/>
          <w:szCs w:val="22"/>
          <w:lang w:val="en-US" w:eastAsia="en-US"/>
        </w:rPr>
        <w:t xml:space="preserve"> </w:t>
      </w:r>
      <w:r w:rsidRPr="00A00B8B">
        <w:rPr>
          <w:rFonts w:cs="Sylfaen"/>
          <w:i/>
          <w:iCs/>
          <w:color w:val="000000"/>
          <w:szCs w:val="22"/>
          <w:lang w:val="en-US" w:eastAsia="en-US"/>
        </w:rPr>
        <w:t>ավելացված արժեքի հարկի գծով հ</w:t>
      </w:r>
      <w:r w:rsidRPr="00A00B8B">
        <w:rPr>
          <w:rFonts w:cs="Sylfaen"/>
          <w:i/>
          <w:iCs/>
          <w:color w:val="000000"/>
          <w:szCs w:val="22"/>
          <w:lang w:eastAsia="en-US"/>
        </w:rPr>
        <w:t>արկային</w:t>
      </w:r>
      <w:r w:rsidRPr="00A00B8B">
        <w:rPr>
          <w:rFonts w:cs="Sylfaen"/>
          <w:i/>
          <w:iCs/>
          <w:color w:val="000000"/>
          <w:szCs w:val="22"/>
          <w:lang w:val="en-US" w:eastAsia="en-US"/>
        </w:rPr>
        <w:t xml:space="preserve"> </w:t>
      </w:r>
      <w:r w:rsidRPr="00A00B8B">
        <w:rPr>
          <w:rFonts w:cs="Sylfaen"/>
          <w:i/>
          <w:iCs/>
          <w:color w:val="000000"/>
          <w:szCs w:val="22"/>
          <w:lang w:eastAsia="en-US"/>
        </w:rPr>
        <w:t>ծախսերի</w:t>
      </w:r>
      <w:r w:rsidRPr="00A00B8B">
        <w:rPr>
          <w:rFonts w:cs="Sylfaen"/>
          <w:i/>
          <w:iCs/>
          <w:color w:val="000000"/>
          <w:szCs w:val="22"/>
          <w:lang w:val="en-US" w:eastAsia="en-US"/>
        </w:rPr>
        <w:t xml:space="preserve"> </w:t>
      </w:r>
      <w:r w:rsidRPr="00A00B8B">
        <w:rPr>
          <w:rFonts w:cs="Sylfaen"/>
          <w:i/>
          <w:iCs/>
          <w:color w:val="000000"/>
          <w:szCs w:val="22"/>
          <w:lang w:eastAsia="en-US"/>
        </w:rPr>
        <w:t>մեծությունը</w:t>
      </w:r>
      <w:r w:rsidRPr="00A00B8B">
        <w:rPr>
          <w:rFonts w:cs="Sylfaen"/>
          <w:i/>
          <w:iCs/>
          <w:color w:val="000000"/>
          <w:szCs w:val="22"/>
          <w:lang w:val="en-US" w:eastAsia="en-US"/>
        </w:rPr>
        <w:t xml:space="preserve"> </w:t>
      </w:r>
      <w:r w:rsidRPr="00A00B8B">
        <w:rPr>
          <w:rFonts w:cs="Sylfaen"/>
          <w:i/>
          <w:iCs/>
          <w:color w:val="000000"/>
          <w:szCs w:val="22"/>
          <w:lang w:eastAsia="en-US"/>
        </w:rPr>
        <w:t>գնահատելիս</w:t>
      </w:r>
      <w:r w:rsidRPr="00A00B8B">
        <w:rPr>
          <w:rFonts w:cs="Sylfaen"/>
          <w:i/>
          <w:iCs/>
          <w:color w:val="000000"/>
          <w:szCs w:val="22"/>
          <w:lang w:val="en-US" w:eastAsia="en-US"/>
        </w:rPr>
        <w:t>՝</w:t>
      </w:r>
    </w:p>
    <w:p w:rsidR="00A00B8B" w:rsidRPr="00A00B8B" w:rsidRDefault="00A00B8B" w:rsidP="007730AA">
      <w:pPr>
        <w:numPr>
          <w:ilvl w:val="0"/>
          <w:numId w:val="65"/>
        </w:numPr>
        <w:tabs>
          <w:tab w:val="left" w:pos="851"/>
        </w:tabs>
        <w:spacing w:before="0" w:line="276" w:lineRule="auto"/>
        <w:ind w:left="0" w:firstLine="567"/>
        <w:contextualSpacing w:val="0"/>
        <w:rPr>
          <w:rFonts w:cs="Sylfaen"/>
          <w:b w:val="0"/>
          <w:iCs/>
          <w:color w:val="000000"/>
          <w:szCs w:val="22"/>
          <w:lang w:val="en-US" w:eastAsia="en-US"/>
        </w:rPr>
      </w:pPr>
      <w:r w:rsidRPr="00A00B8B">
        <w:rPr>
          <w:rFonts w:cs="Sylfaen"/>
          <w:b w:val="0"/>
          <w:iCs/>
          <w:color w:val="000000"/>
          <w:szCs w:val="22"/>
          <w:lang w:eastAsia="en-US"/>
        </w:rPr>
        <w:t>ավելացված</w:t>
      </w:r>
      <w:r w:rsidRPr="00A00B8B">
        <w:rPr>
          <w:rFonts w:cs="Sylfaen"/>
          <w:b w:val="0"/>
          <w:iCs/>
          <w:color w:val="000000"/>
          <w:szCs w:val="22"/>
          <w:lang w:val="en-US" w:eastAsia="en-US"/>
        </w:rPr>
        <w:t xml:space="preserve"> </w:t>
      </w:r>
      <w:r w:rsidRPr="00A00B8B">
        <w:rPr>
          <w:rFonts w:cs="Sylfaen"/>
          <w:b w:val="0"/>
          <w:iCs/>
          <w:color w:val="000000"/>
          <w:szCs w:val="22"/>
          <w:lang w:eastAsia="en-US"/>
        </w:rPr>
        <w:t>արժեքի</w:t>
      </w:r>
      <w:r w:rsidRPr="00A00B8B">
        <w:rPr>
          <w:rFonts w:cs="Sylfaen"/>
          <w:b w:val="0"/>
          <w:iCs/>
          <w:color w:val="000000"/>
          <w:szCs w:val="22"/>
          <w:lang w:val="en-US" w:eastAsia="en-US"/>
        </w:rPr>
        <w:t xml:space="preserve"> </w:t>
      </w:r>
      <w:r w:rsidRPr="00A00B8B">
        <w:rPr>
          <w:rFonts w:cs="Sylfaen"/>
          <w:b w:val="0"/>
          <w:iCs/>
          <w:color w:val="000000"/>
          <w:szCs w:val="22"/>
          <w:lang w:eastAsia="en-US"/>
        </w:rPr>
        <w:t>հարկի</w:t>
      </w:r>
      <w:r w:rsidRPr="00A00B8B">
        <w:rPr>
          <w:rFonts w:cs="Sylfaen"/>
          <w:b w:val="0"/>
          <w:iCs/>
          <w:color w:val="000000"/>
          <w:szCs w:val="22"/>
          <w:lang w:val="en-US" w:eastAsia="en-US"/>
        </w:rPr>
        <w:t xml:space="preserve"> </w:t>
      </w:r>
      <w:r w:rsidRPr="00A00B8B">
        <w:rPr>
          <w:rFonts w:cs="Sylfaen"/>
          <w:b w:val="0"/>
          <w:iCs/>
          <w:color w:val="000000"/>
          <w:szCs w:val="22"/>
          <w:lang w:eastAsia="en-US"/>
        </w:rPr>
        <w:t>զրոյական</w:t>
      </w:r>
      <w:r w:rsidRPr="00A00B8B">
        <w:rPr>
          <w:rFonts w:cs="Sylfaen"/>
          <w:b w:val="0"/>
          <w:iCs/>
          <w:color w:val="000000"/>
          <w:szCs w:val="22"/>
          <w:lang w:val="en-US" w:eastAsia="en-US"/>
        </w:rPr>
        <w:t xml:space="preserve"> </w:t>
      </w:r>
      <w:r w:rsidRPr="00A00B8B">
        <w:rPr>
          <w:rFonts w:cs="Sylfaen"/>
          <w:b w:val="0"/>
          <w:iCs/>
          <w:color w:val="000000"/>
          <w:szCs w:val="22"/>
          <w:lang w:eastAsia="en-US"/>
        </w:rPr>
        <w:t>դրույքաչափի</w:t>
      </w:r>
      <w:r w:rsidRPr="00A00B8B">
        <w:rPr>
          <w:rFonts w:cs="Sylfaen"/>
          <w:b w:val="0"/>
          <w:iCs/>
          <w:color w:val="000000"/>
          <w:szCs w:val="22"/>
          <w:lang w:val="en-US" w:eastAsia="en-US"/>
        </w:rPr>
        <w:t xml:space="preserve"> </w:t>
      </w:r>
      <w:r w:rsidRPr="00A00B8B">
        <w:rPr>
          <w:rFonts w:cs="Sylfaen"/>
          <w:b w:val="0"/>
          <w:iCs/>
          <w:color w:val="000000"/>
          <w:szCs w:val="22"/>
          <w:lang w:eastAsia="en-US"/>
        </w:rPr>
        <w:t>կիրառությունը</w:t>
      </w:r>
      <w:r w:rsidRPr="00A00B8B">
        <w:rPr>
          <w:rFonts w:cs="Sylfaen"/>
          <w:b w:val="0"/>
          <w:iCs/>
          <w:color w:val="000000"/>
          <w:szCs w:val="22"/>
          <w:lang w:val="en-US" w:eastAsia="en-US"/>
        </w:rPr>
        <w:t xml:space="preserve"> </w:t>
      </w:r>
      <w:r w:rsidRPr="00A00B8B">
        <w:rPr>
          <w:rFonts w:cs="Sylfaen"/>
          <w:b w:val="0"/>
          <w:iCs/>
          <w:color w:val="000000"/>
          <w:szCs w:val="22"/>
          <w:lang w:eastAsia="en-US"/>
        </w:rPr>
        <w:t>չի</w:t>
      </w:r>
      <w:r w:rsidRPr="00A00B8B">
        <w:rPr>
          <w:rFonts w:cs="Sylfaen"/>
          <w:b w:val="0"/>
          <w:iCs/>
          <w:color w:val="000000"/>
          <w:szCs w:val="22"/>
          <w:lang w:val="en-US" w:eastAsia="en-US"/>
        </w:rPr>
        <w:t xml:space="preserve"> </w:t>
      </w:r>
      <w:r w:rsidRPr="00A00B8B">
        <w:rPr>
          <w:rFonts w:cs="Sylfaen"/>
          <w:b w:val="0"/>
          <w:iCs/>
          <w:color w:val="000000"/>
          <w:szCs w:val="22"/>
          <w:lang w:eastAsia="en-US"/>
        </w:rPr>
        <w:t>դիտվել</w:t>
      </w:r>
      <w:r w:rsidRPr="00A00B8B">
        <w:rPr>
          <w:rFonts w:cs="Sylfaen"/>
          <w:b w:val="0"/>
          <w:iCs/>
          <w:color w:val="000000"/>
          <w:szCs w:val="22"/>
          <w:lang w:val="en-US" w:eastAsia="en-US"/>
        </w:rPr>
        <w:t xml:space="preserve"> </w:t>
      </w:r>
      <w:r w:rsidRPr="00A00B8B">
        <w:rPr>
          <w:rFonts w:cs="Sylfaen"/>
          <w:b w:val="0"/>
          <w:iCs/>
          <w:color w:val="000000"/>
          <w:szCs w:val="22"/>
          <w:lang w:eastAsia="en-US"/>
        </w:rPr>
        <w:t>որպես</w:t>
      </w:r>
      <w:r w:rsidRPr="00A00B8B">
        <w:rPr>
          <w:rFonts w:cs="Sylfaen"/>
          <w:b w:val="0"/>
          <w:iCs/>
          <w:color w:val="000000"/>
          <w:szCs w:val="22"/>
          <w:lang w:val="en-US" w:eastAsia="en-US"/>
        </w:rPr>
        <w:t xml:space="preserve"> </w:t>
      </w:r>
      <w:r w:rsidRPr="00A00B8B">
        <w:rPr>
          <w:rFonts w:cs="Sylfaen"/>
          <w:b w:val="0"/>
          <w:iCs/>
          <w:color w:val="000000"/>
          <w:szCs w:val="22"/>
          <w:lang w:eastAsia="en-US"/>
        </w:rPr>
        <w:t>հարկային</w:t>
      </w:r>
      <w:r w:rsidRPr="00A00B8B">
        <w:rPr>
          <w:rFonts w:cs="Sylfaen"/>
          <w:b w:val="0"/>
          <w:iCs/>
          <w:color w:val="000000"/>
          <w:szCs w:val="22"/>
          <w:lang w:val="en-US" w:eastAsia="en-US"/>
        </w:rPr>
        <w:t xml:space="preserve"> </w:t>
      </w:r>
      <w:r w:rsidRPr="00A00B8B">
        <w:rPr>
          <w:rFonts w:cs="Sylfaen"/>
          <w:b w:val="0"/>
          <w:iCs/>
          <w:color w:val="000000"/>
          <w:szCs w:val="22"/>
          <w:lang w:eastAsia="en-US"/>
        </w:rPr>
        <w:t>ծախս</w:t>
      </w:r>
      <w:r w:rsidRPr="00A00B8B">
        <w:rPr>
          <w:rFonts w:cs="Sylfaen"/>
          <w:b w:val="0"/>
          <w:iCs/>
          <w:color w:val="000000"/>
          <w:szCs w:val="22"/>
          <w:lang w:val="en-US" w:eastAsia="en-US"/>
        </w:rPr>
        <w:t xml:space="preserve">, </w:t>
      </w:r>
      <w:r w:rsidRPr="00A00B8B">
        <w:rPr>
          <w:rFonts w:cs="Sylfaen"/>
          <w:b w:val="0"/>
          <w:iCs/>
          <w:color w:val="000000"/>
          <w:szCs w:val="22"/>
          <w:lang w:eastAsia="en-US"/>
        </w:rPr>
        <w:t>քանի</w:t>
      </w:r>
      <w:r w:rsidRPr="00A00B8B">
        <w:rPr>
          <w:rFonts w:cs="Sylfaen"/>
          <w:b w:val="0"/>
          <w:iCs/>
          <w:color w:val="000000"/>
          <w:szCs w:val="22"/>
          <w:lang w:val="en-US" w:eastAsia="en-US"/>
        </w:rPr>
        <w:t xml:space="preserve"> </w:t>
      </w:r>
      <w:r w:rsidRPr="00A00B8B">
        <w:rPr>
          <w:rFonts w:cs="Sylfaen"/>
          <w:b w:val="0"/>
          <w:iCs/>
          <w:color w:val="000000"/>
          <w:szCs w:val="22"/>
          <w:lang w:eastAsia="en-US"/>
        </w:rPr>
        <w:t>որ</w:t>
      </w:r>
      <w:r w:rsidRPr="00A00B8B">
        <w:rPr>
          <w:rFonts w:cs="Sylfaen"/>
          <w:b w:val="0"/>
          <w:iCs/>
          <w:color w:val="000000"/>
          <w:szCs w:val="22"/>
          <w:lang w:val="en-US" w:eastAsia="en-US"/>
        </w:rPr>
        <w:t xml:space="preserve"> </w:t>
      </w:r>
      <w:r w:rsidRPr="00A00B8B">
        <w:rPr>
          <w:rFonts w:cs="Sylfaen"/>
          <w:b w:val="0"/>
          <w:iCs/>
          <w:color w:val="000000"/>
          <w:szCs w:val="22"/>
          <w:lang w:eastAsia="en-US"/>
        </w:rPr>
        <w:t>այն</w:t>
      </w:r>
      <w:r w:rsidRPr="00A00B8B">
        <w:rPr>
          <w:rFonts w:cs="Sylfaen"/>
          <w:b w:val="0"/>
          <w:iCs/>
          <w:color w:val="000000"/>
          <w:szCs w:val="22"/>
          <w:lang w:val="en-US" w:eastAsia="en-US"/>
        </w:rPr>
        <w:t xml:space="preserve"> </w:t>
      </w:r>
      <w:r w:rsidRPr="00A00B8B">
        <w:rPr>
          <w:rFonts w:cs="Sylfaen"/>
          <w:b w:val="0"/>
          <w:iCs/>
          <w:color w:val="000000"/>
          <w:szCs w:val="22"/>
          <w:lang w:eastAsia="en-US"/>
        </w:rPr>
        <w:t>հիմնականում</w:t>
      </w:r>
      <w:r w:rsidRPr="00A00B8B">
        <w:rPr>
          <w:rFonts w:cs="Sylfaen"/>
          <w:b w:val="0"/>
          <w:iCs/>
          <w:color w:val="000000"/>
          <w:szCs w:val="22"/>
          <w:lang w:val="en-US" w:eastAsia="en-US"/>
        </w:rPr>
        <w:t xml:space="preserve"> </w:t>
      </w:r>
      <w:r w:rsidRPr="00A00B8B">
        <w:rPr>
          <w:rFonts w:cs="Sylfaen"/>
          <w:b w:val="0"/>
          <w:iCs/>
          <w:color w:val="000000"/>
          <w:szCs w:val="22"/>
          <w:lang w:eastAsia="en-US"/>
        </w:rPr>
        <w:t>կիրառվում</w:t>
      </w:r>
      <w:r w:rsidRPr="00A00B8B">
        <w:rPr>
          <w:rFonts w:cs="Sylfaen"/>
          <w:b w:val="0"/>
          <w:iCs/>
          <w:color w:val="000000"/>
          <w:szCs w:val="22"/>
          <w:lang w:val="en-US" w:eastAsia="en-US"/>
        </w:rPr>
        <w:t xml:space="preserve"> </w:t>
      </w:r>
      <w:r w:rsidRPr="00A00B8B">
        <w:rPr>
          <w:rFonts w:cs="Sylfaen"/>
          <w:b w:val="0"/>
          <w:iCs/>
          <w:color w:val="000000"/>
          <w:szCs w:val="22"/>
          <w:lang w:eastAsia="en-US"/>
        </w:rPr>
        <w:t>է</w:t>
      </w:r>
      <w:r w:rsidRPr="00A00B8B">
        <w:rPr>
          <w:rFonts w:cs="Sylfaen"/>
          <w:b w:val="0"/>
          <w:iCs/>
          <w:color w:val="000000"/>
          <w:szCs w:val="22"/>
          <w:lang w:val="en-US" w:eastAsia="en-US"/>
        </w:rPr>
        <w:t xml:space="preserve"> </w:t>
      </w:r>
      <w:r w:rsidRPr="00A00B8B">
        <w:rPr>
          <w:rFonts w:cs="Sylfaen"/>
          <w:b w:val="0"/>
          <w:iCs/>
          <w:color w:val="000000"/>
          <w:szCs w:val="22"/>
          <w:lang w:eastAsia="en-US"/>
        </w:rPr>
        <w:t>արտահանվող</w:t>
      </w:r>
      <w:r w:rsidRPr="00A00B8B">
        <w:rPr>
          <w:rFonts w:cs="Sylfaen"/>
          <w:b w:val="0"/>
          <w:iCs/>
          <w:color w:val="000000"/>
          <w:szCs w:val="22"/>
          <w:lang w:val="en-US" w:eastAsia="en-US"/>
        </w:rPr>
        <w:t xml:space="preserve"> </w:t>
      </w:r>
      <w:r w:rsidRPr="00A00B8B">
        <w:rPr>
          <w:rFonts w:cs="Sylfaen"/>
          <w:b w:val="0"/>
          <w:iCs/>
          <w:color w:val="000000"/>
          <w:szCs w:val="22"/>
          <w:lang w:eastAsia="en-US"/>
        </w:rPr>
        <w:t>ապրանք</w:t>
      </w:r>
      <w:r w:rsidRPr="00A00B8B">
        <w:rPr>
          <w:rFonts w:cs="Sylfaen"/>
          <w:b w:val="0"/>
          <w:iCs/>
          <w:color w:val="000000"/>
          <w:szCs w:val="22"/>
          <w:lang w:val="en-US" w:eastAsia="en-US"/>
        </w:rPr>
        <w:softHyphen/>
      </w:r>
      <w:r w:rsidRPr="00A00B8B">
        <w:rPr>
          <w:rFonts w:cs="Sylfaen"/>
          <w:b w:val="0"/>
          <w:iCs/>
          <w:color w:val="000000"/>
          <w:szCs w:val="22"/>
          <w:lang w:eastAsia="en-US"/>
        </w:rPr>
        <w:t>ների</w:t>
      </w:r>
      <w:r w:rsidRPr="00A00B8B">
        <w:rPr>
          <w:rFonts w:cs="Sylfaen"/>
          <w:b w:val="0"/>
          <w:iCs/>
          <w:color w:val="000000"/>
          <w:szCs w:val="22"/>
          <w:lang w:val="en-US" w:eastAsia="en-US"/>
        </w:rPr>
        <w:t xml:space="preserve"> </w:t>
      </w:r>
      <w:r w:rsidRPr="00A00B8B">
        <w:rPr>
          <w:rFonts w:cs="Sylfaen"/>
          <w:b w:val="0"/>
          <w:iCs/>
          <w:color w:val="000000"/>
          <w:szCs w:val="22"/>
          <w:lang w:eastAsia="en-US"/>
        </w:rPr>
        <w:t>իրացման</w:t>
      </w:r>
      <w:r w:rsidRPr="00A00B8B">
        <w:rPr>
          <w:rFonts w:cs="Sylfaen"/>
          <w:b w:val="0"/>
          <w:iCs/>
          <w:color w:val="000000"/>
          <w:szCs w:val="22"/>
          <w:lang w:val="en-US" w:eastAsia="en-US"/>
        </w:rPr>
        <w:t xml:space="preserve"> </w:t>
      </w:r>
      <w:r w:rsidRPr="00A00B8B">
        <w:rPr>
          <w:rFonts w:cs="Sylfaen"/>
          <w:b w:val="0"/>
          <w:iCs/>
          <w:color w:val="000000"/>
          <w:szCs w:val="22"/>
          <w:lang w:eastAsia="en-US"/>
        </w:rPr>
        <w:t>գործարքների</w:t>
      </w:r>
      <w:r w:rsidRPr="00A00B8B">
        <w:rPr>
          <w:rFonts w:cs="Sylfaen"/>
          <w:b w:val="0"/>
          <w:iCs/>
          <w:color w:val="000000"/>
          <w:szCs w:val="22"/>
          <w:lang w:val="en-US" w:eastAsia="en-US"/>
        </w:rPr>
        <w:t xml:space="preserve"> </w:t>
      </w:r>
      <w:r w:rsidRPr="00A00B8B">
        <w:rPr>
          <w:rFonts w:cs="Sylfaen"/>
          <w:b w:val="0"/>
          <w:iCs/>
          <w:color w:val="000000"/>
          <w:szCs w:val="22"/>
          <w:lang w:eastAsia="en-US"/>
        </w:rPr>
        <w:t>համար</w:t>
      </w:r>
      <w:r w:rsidRPr="00A00B8B">
        <w:rPr>
          <w:rFonts w:cs="Sylfaen"/>
          <w:b w:val="0"/>
          <w:iCs/>
          <w:color w:val="000000"/>
          <w:szCs w:val="22"/>
          <w:lang w:val="en-US" w:eastAsia="en-US"/>
        </w:rPr>
        <w:t xml:space="preserve">, </w:t>
      </w:r>
      <w:r w:rsidRPr="00A00B8B">
        <w:rPr>
          <w:rFonts w:cs="Sylfaen"/>
          <w:b w:val="0"/>
          <w:iCs/>
          <w:color w:val="000000"/>
          <w:szCs w:val="22"/>
          <w:lang w:eastAsia="en-US"/>
        </w:rPr>
        <w:t>որոնց</w:t>
      </w:r>
      <w:r w:rsidRPr="00A00B8B">
        <w:rPr>
          <w:rFonts w:cs="Sylfaen"/>
          <w:b w:val="0"/>
          <w:iCs/>
          <w:color w:val="000000"/>
          <w:szCs w:val="22"/>
          <w:lang w:val="en-US" w:eastAsia="en-US"/>
        </w:rPr>
        <w:t xml:space="preserve"> </w:t>
      </w:r>
      <w:r w:rsidRPr="00A00B8B">
        <w:rPr>
          <w:rFonts w:cs="Sylfaen"/>
          <w:b w:val="0"/>
          <w:iCs/>
          <w:color w:val="000000"/>
          <w:szCs w:val="22"/>
          <w:lang w:eastAsia="en-US"/>
        </w:rPr>
        <w:t>մասով</w:t>
      </w:r>
      <w:r w:rsidRPr="00A00B8B">
        <w:rPr>
          <w:rFonts w:cs="Sylfaen"/>
          <w:b w:val="0"/>
          <w:iCs/>
          <w:color w:val="000000"/>
          <w:szCs w:val="22"/>
          <w:lang w:val="en-US" w:eastAsia="en-US"/>
        </w:rPr>
        <w:t xml:space="preserve"> </w:t>
      </w:r>
      <w:r w:rsidRPr="00A00B8B">
        <w:rPr>
          <w:rFonts w:cs="Sylfaen"/>
          <w:b w:val="0"/>
          <w:iCs/>
          <w:color w:val="000000"/>
          <w:szCs w:val="22"/>
          <w:lang w:eastAsia="en-US"/>
        </w:rPr>
        <w:t>ավելացված</w:t>
      </w:r>
      <w:r w:rsidRPr="00A00B8B">
        <w:rPr>
          <w:rFonts w:cs="Sylfaen"/>
          <w:b w:val="0"/>
          <w:iCs/>
          <w:color w:val="000000"/>
          <w:szCs w:val="22"/>
          <w:lang w:val="en-US" w:eastAsia="en-US"/>
        </w:rPr>
        <w:t xml:space="preserve"> </w:t>
      </w:r>
      <w:r w:rsidRPr="00A00B8B">
        <w:rPr>
          <w:rFonts w:cs="Sylfaen"/>
          <w:b w:val="0"/>
          <w:iCs/>
          <w:color w:val="000000"/>
          <w:szCs w:val="22"/>
          <w:lang w:eastAsia="en-US"/>
        </w:rPr>
        <w:t>արժեքի</w:t>
      </w:r>
      <w:r w:rsidRPr="00A00B8B">
        <w:rPr>
          <w:rFonts w:cs="Sylfaen"/>
          <w:b w:val="0"/>
          <w:iCs/>
          <w:color w:val="000000"/>
          <w:szCs w:val="22"/>
          <w:lang w:val="en-US" w:eastAsia="en-US"/>
        </w:rPr>
        <w:t xml:space="preserve"> </w:t>
      </w:r>
      <w:r w:rsidRPr="00A00B8B">
        <w:rPr>
          <w:rFonts w:cs="Sylfaen"/>
          <w:b w:val="0"/>
          <w:iCs/>
          <w:color w:val="000000"/>
          <w:szCs w:val="22"/>
          <w:lang w:eastAsia="en-US"/>
        </w:rPr>
        <w:t>հարկի</w:t>
      </w:r>
      <w:r w:rsidRPr="00A00B8B">
        <w:rPr>
          <w:rFonts w:cs="Sylfaen"/>
          <w:b w:val="0"/>
          <w:iCs/>
          <w:color w:val="000000"/>
          <w:szCs w:val="22"/>
          <w:lang w:val="en-US" w:eastAsia="en-US"/>
        </w:rPr>
        <w:t xml:space="preserve"> </w:t>
      </w:r>
      <w:r w:rsidRPr="00A00B8B">
        <w:rPr>
          <w:rFonts w:cs="Sylfaen"/>
          <w:b w:val="0"/>
          <w:iCs/>
          <w:color w:val="000000"/>
          <w:szCs w:val="22"/>
          <w:lang w:eastAsia="en-US"/>
        </w:rPr>
        <w:t>զրոյական</w:t>
      </w:r>
      <w:r w:rsidRPr="00A00B8B">
        <w:rPr>
          <w:rFonts w:cs="Sylfaen"/>
          <w:b w:val="0"/>
          <w:iCs/>
          <w:color w:val="000000"/>
          <w:szCs w:val="22"/>
          <w:lang w:val="en-US" w:eastAsia="en-US"/>
        </w:rPr>
        <w:t xml:space="preserve"> </w:t>
      </w:r>
      <w:r w:rsidRPr="00A00B8B">
        <w:rPr>
          <w:rFonts w:cs="Sylfaen"/>
          <w:b w:val="0"/>
          <w:iCs/>
          <w:color w:val="000000"/>
          <w:szCs w:val="22"/>
          <w:lang w:eastAsia="en-US"/>
        </w:rPr>
        <w:t>դրույ</w:t>
      </w:r>
      <w:r w:rsidRPr="00A00B8B">
        <w:rPr>
          <w:rFonts w:cs="Sylfaen"/>
          <w:b w:val="0"/>
          <w:iCs/>
          <w:color w:val="000000"/>
          <w:szCs w:val="22"/>
          <w:lang w:val="en-US" w:eastAsia="en-US"/>
        </w:rPr>
        <w:softHyphen/>
      </w:r>
      <w:r w:rsidRPr="00A00B8B">
        <w:rPr>
          <w:rFonts w:cs="Sylfaen"/>
          <w:b w:val="0"/>
          <w:iCs/>
          <w:color w:val="000000"/>
          <w:szCs w:val="22"/>
          <w:lang w:eastAsia="en-US"/>
        </w:rPr>
        <w:t>քաչափի</w:t>
      </w:r>
      <w:r w:rsidRPr="00A00B8B">
        <w:rPr>
          <w:rFonts w:cs="Sylfaen"/>
          <w:b w:val="0"/>
          <w:iCs/>
          <w:color w:val="000000"/>
          <w:szCs w:val="22"/>
          <w:lang w:val="en-US" w:eastAsia="en-US"/>
        </w:rPr>
        <w:t xml:space="preserve"> </w:t>
      </w:r>
      <w:r w:rsidRPr="00A00B8B">
        <w:rPr>
          <w:rFonts w:cs="Sylfaen"/>
          <w:b w:val="0"/>
          <w:iCs/>
          <w:color w:val="000000"/>
          <w:szCs w:val="22"/>
          <w:lang w:eastAsia="en-US"/>
        </w:rPr>
        <w:t>կիրառությունը</w:t>
      </w:r>
      <w:r w:rsidRPr="00A00B8B">
        <w:rPr>
          <w:rFonts w:cs="Sylfaen"/>
          <w:b w:val="0"/>
          <w:iCs/>
          <w:color w:val="000000"/>
          <w:szCs w:val="22"/>
          <w:lang w:val="en-US" w:eastAsia="en-US"/>
        </w:rPr>
        <w:t xml:space="preserve"> </w:t>
      </w:r>
      <w:r w:rsidRPr="00A00B8B">
        <w:rPr>
          <w:rFonts w:cs="Sylfaen"/>
          <w:b w:val="0"/>
          <w:iCs/>
          <w:color w:val="000000"/>
          <w:szCs w:val="22"/>
          <w:lang w:eastAsia="en-US"/>
        </w:rPr>
        <w:t>միջազգային</w:t>
      </w:r>
      <w:r w:rsidRPr="00A00B8B">
        <w:rPr>
          <w:rFonts w:cs="Sylfaen"/>
          <w:b w:val="0"/>
          <w:iCs/>
          <w:color w:val="000000"/>
          <w:szCs w:val="22"/>
          <w:lang w:val="en-US" w:eastAsia="en-US"/>
        </w:rPr>
        <w:t xml:space="preserve"> </w:t>
      </w:r>
      <w:r w:rsidRPr="00A00B8B">
        <w:rPr>
          <w:rFonts w:cs="Sylfaen"/>
          <w:b w:val="0"/>
          <w:iCs/>
          <w:color w:val="000000"/>
          <w:szCs w:val="22"/>
          <w:lang w:eastAsia="en-US"/>
        </w:rPr>
        <w:t>պրակտիկայում</w:t>
      </w:r>
      <w:r w:rsidRPr="00A00B8B">
        <w:rPr>
          <w:rFonts w:cs="Sylfaen"/>
          <w:b w:val="0"/>
          <w:iCs/>
          <w:color w:val="000000"/>
          <w:szCs w:val="22"/>
          <w:lang w:val="en-US" w:eastAsia="en-US"/>
        </w:rPr>
        <w:t xml:space="preserve"> </w:t>
      </w:r>
      <w:r w:rsidRPr="00A00B8B">
        <w:rPr>
          <w:rFonts w:cs="Sylfaen"/>
          <w:b w:val="0"/>
          <w:iCs/>
          <w:color w:val="000000"/>
          <w:szCs w:val="22"/>
          <w:lang w:eastAsia="en-US"/>
        </w:rPr>
        <w:t>ընդունված</w:t>
      </w:r>
      <w:r w:rsidRPr="00A00B8B">
        <w:rPr>
          <w:rFonts w:cs="Sylfaen"/>
          <w:b w:val="0"/>
          <w:iCs/>
          <w:color w:val="000000"/>
          <w:szCs w:val="22"/>
          <w:lang w:val="en-US" w:eastAsia="en-US"/>
        </w:rPr>
        <w:t xml:space="preserve"> </w:t>
      </w:r>
      <w:r w:rsidRPr="00A00B8B">
        <w:rPr>
          <w:rFonts w:cs="Sylfaen"/>
          <w:b w:val="0"/>
          <w:iCs/>
          <w:color w:val="000000"/>
          <w:szCs w:val="22"/>
          <w:lang w:eastAsia="en-US"/>
        </w:rPr>
        <w:t>մոտեցում</w:t>
      </w:r>
      <w:r w:rsidRPr="00A00B8B">
        <w:rPr>
          <w:rFonts w:cs="Sylfaen"/>
          <w:b w:val="0"/>
          <w:iCs/>
          <w:color w:val="000000"/>
          <w:szCs w:val="22"/>
          <w:lang w:val="en-US" w:eastAsia="en-US"/>
        </w:rPr>
        <w:t xml:space="preserve"> </w:t>
      </w:r>
      <w:r w:rsidRPr="00A00B8B">
        <w:rPr>
          <w:rFonts w:cs="Sylfaen"/>
          <w:b w:val="0"/>
          <w:iCs/>
          <w:color w:val="000000"/>
          <w:szCs w:val="22"/>
          <w:lang w:eastAsia="en-US"/>
        </w:rPr>
        <w:t>է</w:t>
      </w:r>
      <w:r w:rsidRPr="00A00B8B">
        <w:rPr>
          <w:rFonts w:cs="Sylfaen"/>
          <w:b w:val="0"/>
          <w:iCs/>
          <w:color w:val="000000"/>
          <w:szCs w:val="22"/>
          <w:lang w:val="en-US" w:eastAsia="en-US"/>
        </w:rPr>
        <w:t xml:space="preserve">, </w:t>
      </w:r>
      <w:r w:rsidRPr="00A00B8B">
        <w:rPr>
          <w:rFonts w:cs="Sylfaen"/>
          <w:b w:val="0"/>
          <w:iCs/>
          <w:color w:val="000000"/>
          <w:szCs w:val="22"/>
          <w:lang w:eastAsia="en-US"/>
        </w:rPr>
        <w:t>և</w:t>
      </w:r>
      <w:r w:rsidRPr="00A00B8B">
        <w:rPr>
          <w:rFonts w:cs="Sylfaen"/>
          <w:b w:val="0"/>
          <w:iCs/>
          <w:color w:val="000000"/>
          <w:szCs w:val="22"/>
          <w:lang w:val="en-US" w:eastAsia="en-US"/>
        </w:rPr>
        <w:t xml:space="preserve"> </w:t>
      </w:r>
      <w:r w:rsidRPr="00A00B8B">
        <w:rPr>
          <w:rFonts w:cs="Sylfaen"/>
          <w:b w:val="0"/>
          <w:iCs/>
          <w:color w:val="000000"/>
          <w:szCs w:val="22"/>
          <w:lang w:eastAsia="en-US"/>
        </w:rPr>
        <w:t>հետևա</w:t>
      </w:r>
      <w:r w:rsidRPr="00A00B8B">
        <w:rPr>
          <w:rFonts w:cs="Sylfaen"/>
          <w:b w:val="0"/>
          <w:iCs/>
          <w:color w:val="000000"/>
          <w:szCs w:val="22"/>
          <w:lang w:val="en-US" w:eastAsia="en-US"/>
        </w:rPr>
        <w:softHyphen/>
      </w:r>
      <w:r w:rsidRPr="00A00B8B">
        <w:rPr>
          <w:rFonts w:cs="Sylfaen"/>
          <w:b w:val="0"/>
          <w:iCs/>
          <w:color w:val="000000"/>
          <w:szCs w:val="22"/>
          <w:lang w:eastAsia="en-US"/>
        </w:rPr>
        <w:t>բար</w:t>
      </w:r>
      <w:r w:rsidRPr="00A00B8B">
        <w:rPr>
          <w:rFonts w:cs="Sylfaen"/>
          <w:b w:val="0"/>
          <w:iCs/>
          <w:color w:val="000000"/>
          <w:szCs w:val="22"/>
          <w:lang w:val="en-US" w:eastAsia="en-US"/>
        </w:rPr>
        <w:t xml:space="preserve">, </w:t>
      </w:r>
      <w:r w:rsidRPr="00A00B8B">
        <w:rPr>
          <w:rFonts w:cs="Sylfaen"/>
          <w:b w:val="0"/>
          <w:iCs/>
          <w:color w:val="000000"/>
          <w:szCs w:val="22"/>
          <w:lang w:eastAsia="en-US"/>
        </w:rPr>
        <w:t>այդ</w:t>
      </w:r>
      <w:r w:rsidRPr="00A00B8B">
        <w:rPr>
          <w:rFonts w:cs="Sylfaen"/>
          <w:b w:val="0"/>
          <w:iCs/>
          <w:color w:val="000000"/>
          <w:szCs w:val="22"/>
          <w:lang w:val="en-US" w:eastAsia="en-US"/>
        </w:rPr>
        <w:t xml:space="preserve"> </w:t>
      </w:r>
      <w:r w:rsidRPr="00A00B8B">
        <w:rPr>
          <w:rFonts w:cs="Sylfaen"/>
          <w:b w:val="0"/>
          <w:iCs/>
          <w:color w:val="000000"/>
          <w:szCs w:val="22"/>
          <w:lang w:eastAsia="en-US"/>
        </w:rPr>
        <w:t>գործարքներից</w:t>
      </w:r>
      <w:r w:rsidRPr="00A00B8B">
        <w:rPr>
          <w:rFonts w:cs="Sylfaen"/>
          <w:b w:val="0"/>
          <w:iCs/>
          <w:color w:val="000000"/>
          <w:szCs w:val="22"/>
          <w:lang w:val="en-US" w:eastAsia="en-US"/>
        </w:rPr>
        <w:t xml:space="preserve"> </w:t>
      </w:r>
      <w:r w:rsidRPr="00A00B8B">
        <w:rPr>
          <w:rFonts w:cs="Sylfaen"/>
          <w:b w:val="0"/>
          <w:iCs/>
          <w:color w:val="000000"/>
          <w:szCs w:val="22"/>
          <w:lang w:eastAsia="en-US"/>
        </w:rPr>
        <w:t>ավելացված</w:t>
      </w:r>
      <w:r w:rsidRPr="00A00B8B">
        <w:rPr>
          <w:rFonts w:cs="Sylfaen"/>
          <w:b w:val="0"/>
          <w:iCs/>
          <w:color w:val="000000"/>
          <w:szCs w:val="22"/>
          <w:lang w:val="en-US" w:eastAsia="en-US"/>
        </w:rPr>
        <w:t xml:space="preserve"> </w:t>
      </w:r>
      <w:r w:rsidRPr="00A00B8B">
        <w:rPr>
          <w:rFonts w:cs="Sylfaen"/>
          <w:b w:val="0"/>
          <w:iCs/>
          <w:color w:val="000000"/>
          <w:szCs w:val="22"/>
          <w:lang w:eastAsia="en-US"/>
        </w:rPr>
        <w:t>արժեքի</w:t>
      </w:r>
      <w:r w:rsidRPr="00A00B8B">
        <w:rPr>
          <w:rFonts w:cs="Sylfaen"/>
          <w:b w:val="0"/>
          <w:iCs/>
          <w:color w:val="000000"/>
          <w:szCs w:val="22"/>
          <w:lang w:val="en-US" w:eastAsia="en-US"/>
        </w:rPr>
        <w:t xml:space="preserve"> </w:t>
      </w:r>
      <w:r w:rsidRPr="00A00B8B">
        <w:rPr>
          <w:rFonts w:cs="Sylfaen"/>
          <w:b w:val="0"/>
          <w:iCs/>
          <w:color w:val="000000"/>
          <w:szCs w:val="22"/>
          <w:lang w:eastAsia="en-US"/>
        </w:rPr>
        <w:t>հարկի</w:t>
      </w:r>
      <w:r w:rsidRPr="00A00B8B">
        <w:rPr>
          <w:rFonts w:cs="Sylfaen"/>
          <w:b w:val="0"/>
          <w:iCs/>
          <w:color w:val="000000"/>
          <w:szCs w:val="22"/>
          <w:lang w:val="en-US" w:eastAsia="en-US"/>
        </w:rPr>
        <w:t xml:space="preserve"> </w:t>
      </w:r>
      <w:r w:rsidRPr="00A00B8B">
        <w:rPr>
          <w:rFonts w:cs="Sylfaen"/>
          <w:b w:val="0"/>
          <w:iCs/>
          <w:color w:val="000000"/>
          <w:szCs w:val="22"/>
          <w:lang w:eastAsia="en-US"/>
        </w:rPr>
        <w:t>հաշվարկային</w:t>
      </w:r>
      <w:r w:rsidRPr="00A00B8B">
        <w:rPr>
          <w:rFonts w:cs="Sylfaen"/>
          <w:b w:val="0"/>
          <w:iCs/>
          <w:color w:val="000000"/>
          <w:szCs w:val="22"/>
          <w:lang w:val="en-US" w:eastAsia="en-US"/>
        </w:rPr>
        <w:t xml:space="preserve"> </w:t>
      </w:r>
      <w:r w:rsidRPr="00A00B8B">
        <w:rPr>
          <w:rFonts w:cs="Sylfaen"/>
          <w:b w:val="0"/>
          <w:iCs/>
          <w:color w:val="000000"/>
          <w:szCs w:val="22"/>
          <w:lang w:eastAsia="en-US"/>
        </w:rPr>
        <w:t>մեծությունը</w:t>
      </w:r>
      <w:r w:rsidRPr="00A00B8B">
        <w:rPr>
          <w:rFonts w:cs="Sylfaen"/>
          <w:b w:val="0"/>
          <w:iCs/>
          <w:color w:val="000000"/>
          <w:szCs w:val="22"/>
          <w:lang w:val="en-US" w:eastAsia="en-US"/>
        </w:rPr>
        <w:t xml:space="preserve"> </w:t>
      </w:r>
      <w:r w:rsidRPr="00A00B8B">
        <w:rPr>
          <w:rFonts w:cs="Sylfaen"/>
          <w:b w:val="0"/>
          <w:iCs/>
          <w:color w:val="000000"/>
          <w:szCs w:val="22"/>
          <w:lang w:eastAsia="en-US"/>
        </w:rPr>
        <w:t>չի</w:t>
      </w:r>
      <w:r w:rsidRPr="00A00B8B">
        <w:rPr>
          <w:rFonts w:cs="Sylfaen"/>
          <w:b w:val="0"/>
          <w:iCs/>
          <w:color w:val="000000"/>
          <w:szCs w:val="22"/>
          <w:lang w:val="en-US" w:eastAsia="en-US"/>
        </w:rPr>
        <w:t xml:space="preserve"> </w:t>
      </w:r>
      <w:r w:rsidRPr="00A00B8B">
        <w:rPr>
          <w:rFonts w:cs="Sylfaen"/>
          <w:b w:val="0"/>
          <w:iCs/>
          <w:color w:val="000000"/>
          <w:szCs w:val="22"/>
          <w:lang w:eastAsia="en-US"/>
        </w:rPr>
        <w:t>կարող</w:t>
      </w:r>
      <w:r w:rsidRPr="00A00B8B">
        <w:rPr>
          <w:rFonts w:cs="Sylfaen"/>
          <w:b w:val="0"/>
          <w:iCs/>
          <w:color w:val="000000"/>
          <w:szCs w:val="22"/>
          <w:lang w:val="en-US" w:eastAsia="en-US"/>
        </w:rPr>
        <w:t xml:space="preserve"> </w:t>
      </w:r>
      <w:r w:rsidRPr="00A00B8B">
        <w:rPr>
          <w:rFonts w:cs="Sylfaen"/>
          <w:b w:val="0"/>
          <w:iCs/>
          <w:color w:val="000000"/>
          <w:szCs w:val="22"/>
          <w:lang w:eastAsia="en-US"/>
        </w:rPr>
        <w:t>համարվել</w:t>
      </w:r>
      <w:r w:rsidRPr="00A00B8B">
        <w:rPr>
          <w:rFonts w:cs="Sylfaen"/>
          <w:b w:val="0"/>
          <w:iCs/>
          <w:color w:val="000000"/>
          <w:szCs w:val="22"/>
          <w:lang w:val="en-US" w:eastAsia="en-US"/>
        </w:rPr>
        <w:t xml:space="preserve"> </w:t>
      </w:r>
      <w:r w:rsidRPr="00A00B8B">
        <w:rPr>
          <w:rFonts w:cs="Sylfaen"/>
          <w:b w:val="0"/>
          <w:iCs/>
          <w:color w:val="000000"/>
          <w:szCs w:val="22"/>
          <w:lang w:eastAsia="en-US"/>
        </w:rPr>
        <w:t>հենանիշային</w:t>
      </w:r>
      <w:r w:rsidRPr="00A00B8B">
        <w:rPr>
          <w:rFonts w:cs="Sylfaen"/>
          <w:b w:val="0"/>
          <w:iCs/>
          <w:color w:val="000000"/>
          <w:szCs w:val="22"/>
          <w:lang w:val="en-US" w:eastAsia="en-US"/>
        </w:rPr>
        <w:t xml:space="preserve"> </w:t>
      </w:r>
      <w:r w:rsidRPr="00A00B8B">
        <w:rPr>
          <w:rFonts w:cs="Sylfaen"/>
          <w:b w:val="0"/>
          <w:iCs/>
          <w:color w:val="000000"/>
          <w:szCs w:val="22"/>
          <w:lang w:eastAsia="en-US"/>
        </w:rPr>
        <w:t>հարկ</w:t>
      </w:r>
      <w:r w:rsidRPr="00A00B8B">
        <w:rPr>
          <w:rFonts w:cs="Sylfaen"/>
          <w:b w:val="0"/>
          <w:iCs/>
          <w:color w:val="000000"/>
          <w:szCs w:val="22"/>
          <w:lang w:val="en-US" w:eastAsia="en-US"/>
        </w:rPr>
        <w:t>,</w:t>
      </w:r>
    </w:p>
    <w:p w:rsidR="00A00B8B" w:rsidRPr="00A00B8B" w:rsidRDefault="00A00B8B" w:rsidP="007730AA">
      <w:pPr>
        <w:numPr>
          <w:ilvl w:val="0"/>
          <w:numId w:val="65"/>
        </w:numPr>
        <w:tabs>
          <w:tab w:val="left" w:pos="851"/>
        </w:tabs>
        <w:spacing w:before="0" w:line="276" w:lineRule="auto"/>
        <w:ind w:left="0" w:firstLine="567"/>
        <w:contextualSpacing w:val="0"/>
        <w:rPr>
          <w:rFonts w:cs="Sylfaen"/>
          <w:b w:val="0"/>
          <w:iCs/>
          <w:color w:val="000000"/>
          <w:szCs w:val="22"/>
          <w:lang w:val="en-US" w:eastAsia="en-US"/>
        </w:rPr>
      </w:pPr>
      <w:r w:rsidRPr="00A00B8B">
        <w:rPr>
          <w:rFonts w:cs="Sylfaen"/>
          <w:b w:val="0"/>
          <w:iCs/>
          <w:color w:val="000000"/>
          <w:szCs w:val="22"/>
          <w:lang w:eastAsia="en-US"/>
        </w:rPr>
        <w:t>հաշվարկներում</w:t>
      </w:r>
      <w:r w:rsidRPr="00A00B8B">
        <w:rPr>
          <w:rFonts w:cs="Sylfaen"/>
          <w:b w:val="0"/>
          <w:iCs/>
          <w:color w:val="000000"/>
          <w:szCs w:val="22"/>
          <w:lang w:val="en-US" w:eastAsia="en-US"/>
        </w:rPr>
        <w:t xml:space="preserve"> չեն </w:t>
      </w:r>
      <w:r w:rsidRPr="00A00B8B">
        <w:rPr>
          <w:rFonts w:cs="Sylfaen"/>
          <w:b w:val="0"/>
          <w:iCs/>
          <w:color w:val="000000"/>
          <w:szCs w:val="22"/>
          <w:lang w:eastAsia="en-US"/>
        </w:rPr>
        <w:t>ներառվ</w:t>
      </w:r>
      <w:r w:rsidRPr="00A00B8B">
        <w:rPr>
          <w:rFonts w:cs="Sylfaen"/>
          <w:b w:val="0"/>
          <w:iCs/>
          <w:color w:val="000000"/>
          <w:szCs w:val="22"/>
          <w:lang w:val="en-US" w:eastAsia="en-US"/>
        </w:rPr>
        <w:t xml:space="preserve">ել </w:t>
      </w:r>
      <w:r w:rsidRPr="00A00B8B">
        <w:rPr>
          <w:rFonts w:cs="Sylfaen"/>
          <w:b w:val="0"/>
          <w:iCs/>
          <w:color w:val="000000"/>
          <w:szCs w:val="22"/>
          <w:lang w:eastAsia="en-US"/>
        </w:rPr>
        <w:t>նաև</w:t>
      </w:r>
      <w:r w:rsidRPr="00A00B8B">
        <w:rPr>
          <w:rFonts w:cs="Sylfaen"/>
          <w:b w:val="0"/>
          <w:iCs/>
          <w:color w:val="000000"/>
          <w:szCs w:val="22"/>
          <w:lang w:val="en-US" w:eastAsia="en-US"/>
        </w:rPr>
        <w:t xml:space="preserve"> </w:t>
      </w:r>
      <w:r w:rsidRPr="00A00B8B">
        <w:rPr>
          <w:rFonts w:cs="Sylfaen"/>
          <w:b w:val="0"/>
          <w:iCs/>
          <w:color w:val="000000"/>
          <w:szCs w:val="22"/>
          <w:lang w:eastAsia="en-US"/>
        </w:rPr>
        <w:t>ներդրումային</w:t>
      </w:r>
      <w:r w:rsidRPr="00A00B8B">
        <w:rPr>
          <w:rFonts w:cs="Sylfaen"/>
          <w:b w:val="0"/>
          <w:iCs/>
          <w:color w:val="000000"/>
          <w:szCs w:val="22"/>
          <w:lang w:val="en-US" w:eastAsia="en-US"/>
        </w:rPr>
        <w:t xml:space="preserve"> </w:t>
      </w:r>
      <w:r w:rsidRPr="00A00B8B">
        <w:rPr>
          <w:rFonts w:cs="Sylfaen"/>
          <w:b w:val="0"/>
          <w:iCs/>
          <w:color w:val="000000"/>
          <w:szCs w:val="22"/>
          <w:lang w:eastAsia="en-US"/>
        </w:rPr>
        <w:t>ծրագրերի</w:t>
      </w:r>
      <w:r w:rsidRPr="00A00B8B">
        <w:rPr>
          <w:rFonts w:cs="Sylfaen"/>
          <w:b w:val="0"/>
          <w:iCs/>
          <w:color w:val="000000"/>
          <w:szCs w:val="22"/>
          <w:lang w:val="en-US" w:eastAsia="en-US"/>
        </w:rPr>
        <w:t xml:space="preserve"> </w:t>
      </w:r>
      <w:r w:rsidRPr="00A00B8B">
        <w:rPr>
          <w:rFonts w:cs="Sylfaen"/>
          <w:b w:val="0"/>
          <w:iCs/>
          <w:color w:val="000000"/>
          <w:szCs w:val="22"/>
          <w:lang w:eastAsia="en-US"/>
        </w:rPr>
        <w:t>շրջանակներում</w:t>
      </w:r>
      <w:r w:rsidRPr="00A00B8B">
        <w:rPr>
          <w:rFonts w:cs="Sylfaen"/>
          <w:b w:val="0"/>
          <w:iCs/>
          <w:color w:val="000000"/>
          <w:szCs w:val="22"/>
          <w:lang w:val="en-US" w:eastAsia="en-US"/>
        </w:rPr>
        <w:t xml:space="preserve"> </w:t>
      </w:r>
      <w:r w:rsidRPr="00A00B8B">
        <w:rPr>
          <w:rFonts w:cs="Sylfaen"/>
          <w:b w:val="0"/>
          <w:iCs/>
          <w:color w:val="000000"/>
          <w:szCs w:val="22"/>
          <w:lang w:eastAsia="en-US"/>
        </w:rPr>
        <w:t>ներ</w:t>
      </w:r>
      <w:r w:rsidRPr="00A00B8B">
        <w:rPr>
          <w:rFonts w:cs="Sylfaen"/>
          <w:b w:val="0"/>
          <w:iCs/>
          <w:color w:val="000000"/>
          <w:szCs w:val="22"/>
          <w:lang w:val="en-US" w:eastAsia="en-US"/>
        </w:rPr>
        <w:softHyphen/>
      </w:r>
      <w:r w:rsidRPr="00A00B8B">
        <w:rPr>
          <w:rFonts w:cs="Sylfaen"/>
          <w:b w:val="0"/>
          <w:iCs/>
          <w:color w:val="000000"/>
          <w:szCs w:val="22"/>
          <w:lang w:eastAsia="en-US"/>
        </w:rPr>
        <w:t>մուծ</w:t>
      </w:r>
      <w:r w:rsidRPr="00A00B8B">
        <w:rPr>
          <w:rFonts w:cs="Sylfaen"/>
          <w:b w:val="0"/>
          <w:iCs/>
          <w:color w:val="000000"/>
          <w:szCs w:val="22"/>
          <w:lang w:val="en-US" w:eastAsia="en-US"/>
        </w:rPr>
        <w:softHyphen/>
      </w:r>
      <w:r w:rsidRPr="00A00B8B">
        <w:rPr>
          <w:rFonts w:cs="Sylfaen"/>
          <w:b w:val="0"/>
          <w:iCs/>
          <w:color w:val="000000"/>
          <w:szCs w:val="22"/>
          <w:lang w:eastAsia="en-US"/>
        </w:rPr>
        <w:t>վող</w:t>
      </w:r>
      <w:r w:rsidRPr="00A00B8B">
        <w:rPr>
          <w:rFonts w:cs="Sylfaen"/>
          <w:b w:val="0"/>
          <w:iCs/>
          <w:color w:val="000000"/>
          <w:szCs w:val="22"/>
          <w:lang w:val="en-US" w:eastAsia="en-US"/>
        </w:rPr>
        <w:t xml:space="preserve"> </w:t>
      </w:r>
      <w:r w:rsidRPr="00A00B8B">
        <w:rPr>
          <w:rFonts w:cs="Sylfaen"/>
          <w:b w:val="0"/>
          <w:iCs/>
          <w:color w:val="000000"/>
          <w:szCs w:val="22"/>
          <w:lang w:eastAsia="en-US"/>
        </w:rPr>
        <w:t>ապրանքների</w:t>
      </w:r>
      <w:r w:rsidRPr="00A00B8B">
        <w:rPr>
          <w:rFonts w:cs="Sylfaen"/>
          <w:b w:val="0"/>
          <w:iCs/>
          <w:color w:val="000000"/>
          <w:szCs w:val="22"/>
          <w:lang w:val="en-US" w:eastAsia="en-US"/>
        </w:rPr>
        <w:t xml:space="preserve"> </w:t>
      </w:r>
      <w:r w:rsidRPr="00A00B8B">
        <w:rPr>
          <w:rFonts w:cs="Sylfaen"/>
          <w:b w:val="0"/>
          <w:iCs/>
          <w:color w:val="000000"/>
          <w:szCs w:val="22"/>
          <w:lang w:eastAsia="en-US"/>
        </w:rPr>
        <w:t>մասով</w:t>
      </w:r>
      <w:r w:rsidRPr="00A00B8B">
        <w:rPr>
          <w:rFonts w:cs="Sylfaen"/>
          <w:b w:val="0"/>
          <w:iCs/>
          <w:color w:val="000000"/>
          <w:szCs w:val="22"/>
          <w:lang w:val="en-US" w:eastAsia="en-US"/>
        </w:rPr>
        <w:t xml:space="preserve"> </w:t>
      </w:r>
      <w:r w:rsidRPr="00A00B8B">
        <w:rPr>
          <w:rFonts w:cs="Sylfaen"/>
          <w:b w:val="0"/>
          <w:iCs/>
          <w:color w:val="000000"/>
          <w:szCs w:val="22"/>
          <w:lang w:eastAsia="en-US"/>
        </w:rPr>
        <w:t>մաքսային</w:t>
      </w:r>
      <w:r w:rsidRPr="00A00B8B">
        <w:rPr>
          <w:rFonts w:cs="Sylfaen"/>
          <w:b w:val="0"/>
          <w:iCs/>
          <w:color w:val="000000"/>
          <w:szCs w:val="22"/>
          <w:lang w:val="en-US" w:eastAsia="en-US"/>
        </w:rPr>
        <w:t xml:space="preserve"> </w:t>
      </w:r>
      <w:r w:rsidRPr="00A00B8B">
        <w:rPr>
          <w:rFonts w:cs="Sylfaen"/>
          <w:b w:val="0"/>
          <w:iCs/>
          <w:color w:val="000000"/>
          <w:szCs w:val="22"/>
          <w:lang w:eastAsia="en-US"/>
        </w:rPr>
        <w:t>մարմինների</w:t>
      </w:r>
      <w:r w:rsidRPr="00A00B8B">
        <w:rPr>
          <w:rFonts w:cs="Sylfaen"/>
          <w:b w:val="0"/>
          <w:iCs/>
          <w:color w:val="000000"/>
          <w:szCs w:val="22"/>
          <w:lang w:val="en-US" w:eastAsia="en-US"/>
        </w:rPr>
        <w:t xml:space="preserve"> </w:t>
      </w:r>
      <w:r w:rsidRPr="00A00B8B">
        <w:rPr>
          <w:rFonts w:cs="Sylfaen"/>
          <w:b w:val="0"/>
          <w:iCs/>
          <w:color w:val="000000"/>
          <w:szCs w:val="22"/>
          <w:lang w:eastAsia="en-US"/>
        </w:rPr>
        <w:t>կողմից</w:t>
      </w:r>
      <w:r w:rsidRPr="00A00B8B">
        <w:rPr>
          <w:rFonts w:cs="Sylfaen"/>
          <w:b w:val="0"/>
          <w:iCs/>
          <w:color w:val="000000"/>
          <w:szCs w:val="22"/>
          <w:lang w:val="en-US" w:eastAsia="en-US"/>
        </w:rPr>
        <w:t xml:space="preserve"> </w:t>
      </w:r>
      <w:r w:rsidRPr="00A00B8B">
        <w:rPr>
          <w:rFonts w:cs="Sylfaen"/>
          <w:b w:val="0"/>
          <w:iCs/>
          <w:color w:val="000000"/>
          <w:szCs w:val="22"/>
          <w:lang w:eastAsia="en-US"/>
        </w:rPr>
        <w:t>հաշվարկվող</w:t>
      </w:r>
      <w:r w:rsidRPr="00A00B8B">
        <w:rPr>
          <w:rFonts w:cs="Sylfaen"/>
          <w:b w:val="0"/>
          <w:iCs/>
          <w:color w:val="000000"/>
          <w:szCs w:val="22"/>
          <w:lang w:val="en-US" w:eastAsia="en-US"/>
        </w:rPr>
        <w:t xml:space="preserve"> </w:t>
      </w:r>
      <w:r w:rsidRPr="00A00B8B">
        <w:rPr>
          <w:rFonts w:cs="Sylfaen"/>
          <w:b w:val="0"/>
          <w:iCs/>
          <w:color w:val="000000"/>
          <w:szCs w:val="22"/>
          <w:lang w:eastAsia="en-US"/>
        </w:rPr>
        <w:t>ավելացված</w:t>
      </w:r>
      <w:r w:rsidRPr="00A00B8B">
        <w:rPr>
          <w:rFonts w:cs="Sylfaen"/>
          <w:b w:val="0"/>
          <w:iCs/>
          <w:color w:val="000000"/>
          <w:szCs w:val="22"/>
          <w:lang w:val="en-US" w:eastAsia="en-US"/>
        </w:rPr>
        <w:t xml:space="preserve"> </w:t>
      </w:r>
      <w:r w:rsidRPr="00A00B8B">
        <w:rPr>
          <w:rFonts w:cs="Sylfaen"/>
          <w:b w:val="0"/>
          <w:iCs/>
          <w:color w:val="000000"/>
          <w:szCs w:val="22"/>
          <w:lang w:eastAsia="en-US"/>
        </w:rPr>
        <w:t>արժեքի</w:t>
      </w:r>
      <w:r w:rsidRPr="00A00B8B">
        <w:rPr>
          <w:rFonts w:cs="Sylfaen"/>
          <w:b w:val="0"/>
          <w:iCs/>
          <w:color w:val="000000"/>
          <w:szCs w:val="22"/>
          <w:lang w:val="en-US" w:eastAsia="en-US"/>
        </w:rPr>
        <w:t xml:space="preserve"> </w:t>
      </w:r>
      <w:r w:rsidRPr="00A00B8B">
        <w:rPr>
          <w:rFonts w:cs="Sylfaen"/>
          <w:b w:val="0"/>
          <w:iCs/>
          <w:color w:val="000000"/>
          <w:szCs w:val="22"/>
          <w:lang w:eastAsia="en-US"/>
        </w:rPr>
        <w:t>հարկի</w:t>
      </w:r>
      <w:r w:rsidRPr="00A00B8B">
        <w:rPr>
          <w:rFonts w:cs="Sylfaen"/>
          <w:b w:val="0"/>
          <w:iCs/>
          <w:color w:val="000000"/>
          <w:szCs w:val="22"/>
          <w:lang w:val="en-US" w:eastAsia="en-US"/>
        </w:rPr>
        <w:t xml:space="preserve"> </w:t>
      </w:r>
      <w:r w:rsidRPr="00A00B8B">
        <w:rPr>
          <w:rFonts w:cs="Sylfaen"/>
          <w:b w:val="0"/>
          <w:iCs/>
          <w:color w:val="000000"/>
          <w:szCs w:val="22"/>
          <w:lang w:eastAsia="en-US"/>
        </w:rPr>
        <w:t>գումարները</w:t>
      </w:r>
      <w:r w:rsidRPr="00A00B8B">
        <w:rPr>
          <w:rFonts w:cs="Sylfaen"/>
          <w:b w:val="0"/>
          <w:iCs/>
          <w:color w:val="000000"/>
          <w:szCs w:val="22"/>
          <w:lang w:val="en-US" w:eastAsia="en-US"/>
        </w:rPr>
        <w:t xml:space="preserve">, </w:t>
      </w:r>
      <w:r w:rsidRPr="00A00B8B">
        <w:rPr>
          <w:rFonts w:cs="Sylfaen"/>
          <w:b w:val="0"/>
          <w:iCs/>
          <w:color w:val="000000"/>
          <w:szCs w:val="22"/>
          <w:lang w:eastAsia="en-US"/>
        </w:rPr>
        <w:t>որոնց</w:t>
      </w:r>
      <w:r w:rsidRPr="00A00B8B">
        <w:rPr>
          <w:rFonts w:cs="Sylfaen"/>
          <w:b w:val="0"/>
          <w:iCs/>
          <w:color w:val="000000"/>
          <w:szCs w:val="22"/>
          <w:lang w:val="en-US" w:eastAsia="en-US"/>
        </w:rPr>
        <w:t xml:space="preserve"> </w:t>
      </w:r>
      <w:r w:rsidRPr="00A00B8B">
        <w:rPr>
          <w:rFonts w:cs="Sylfaen"/>
          <w:b w:val="0"/>
          <w:iCs/>
          <w:color w:val="000000"/>
          <w:szCs w:val="22"/>
          <w:lang w:eastAsia="en-US"/>
        </w:rPr>
        <w:t>վճարման</w:t>
      </w:r>
      <w:r w:rsidRPr="00A00B8B">
        <w:rPr>
          <w:rFonts w:cs="Sylfaen"/>
          <w:b w:val="0"/>
          <w:iCs/>
          <w:color w:val="000000"/>
          <w:szCs w:val="22"/>
          <w:lang w:val="en-US" w:eastAsia="en-US"/>
        </w:rPr>
        <w:t xml:space="preserve"> </w:t>
      </w:r>
      <w:r w:rsidRPr="00A00B8B">
        <w:rPr>
          <w:rFonts w:cs="Sylfaen"/>
          <w:b w:val="0"/>
          <w:iCs/>
          <w:color w:val="000000"/>
          <w:szCs w:val="22"/>
          <w:lang w:eastAsia="en-US"/>
        </w:rPr>
        <w:t>ժամկետը</w:t>
      </w:r>
      <w:r w:rsidRPr="00A00B8B">
        <w:rPr>
          <w:rFonts w:cs="Sylfaen"/>
          <w:b w:val="0"/>
          <w:iCs/>
          <w:color w:val="000000"/>
          <w:szCs w:val="22"/>
          <w:lang w:val="en-US" w:eastAsia="en-US"/>
        </w:rPr>
        <w:t xml:space="preserve"> </w:t>
      </w:r>
      <w:r w:rsidRPr="00A00B8B">
        <w:rPr>
          <w:rFonts w:cs="Sylfaen"/>
          <w:b w:val="0"/>
          <w:iCs/>
          <w:color w:val="000000"/>
          <w:szCs w:val="22"/>
          <w:lang w:eastAsia="en-US"/>
        </w:rPr>
        <w:t>հետաձգվում</w:t>
      </w:r>
      <w:r w:rsidRPr="00A00B8B">
        <w:rPr>
          <w:rFonts w:cs="Sylfaen"/>
          <w:b w:val="0"/>
          <w:iCs/>
          <w:color w:val="000000"/>
          <w:szCs w:val="22"/>
          <w:lang w:val="en-US" w:eastAsia="en-US"/>
        </w:rPr>
        <w:t xml:space="preserve"> </w:t>
      </w:r>
      <w:r w:rsidRPr="00A00B8B">
        <w:rPr>
          <w:rFonts w:cs="Sylfaen"/>
          <w:b w:val="0"/>
          <w:iCs/>
          <w:color w:val="000000"/>
          <w:szCs w:val="22"/>
          <w:lang w:eastAsia="en-US"/>
        </w:rPr>
        <w:t>է</w:t>
      </w:r>
      <w:r w:rsidRPr="00A00B8B">
        <w:rPr>
          <w:rFonts w:cs="Sylfaen"/>
          <w:b w:val="0"/>
          <w:iCs/>
          <w:color w:val="000000"/>
          <w:szCs w:val="22"/>
          <w:lang w:val="en-US" w:eastAsia="en-US"/>
        </w:rPr>
        <w:t xml:space="preserve"> </w:t>
      </w:r>
      <w:r w:rsidRPr="00A00B8B">
        <w:rPr>
          <w:rFonts w:cs="Sylfaen"/>
          <w:b w:val="0"/>
          <w:iCs/>
          <w:color w:val="000000"/>
          <w:szCs w:val="22"/>
          <w:lang w:eastAsia="en-US"/>
        </w:rPr>
        <w:t>օրենքով</w:t>
      </w:r>
      <w:r w:rsidRPr="00A00B8B">
        <w:rPr>
          <w:rFonts w:cs="Sylfaen"/>
          <w:b w:val="0"/>
          <w:iCs/>
          <w:color w:val="000000"/>
          <w:szCs w:val="22"/>
          <w:lang w:val="en-US" w:eastAsia="en-US"/>
        </w:rPr>
        <w:t xml:space="preserve"> </w:t>
      </w:r>
      <w:r w:rsidRPr="00A00B8B">
        <w:rPr>
          <w:rFonts w:cs="Sylfaen"/>
          <w:b w:val="0"/>
          <w:iCs/>
          <w:color w:val="000000"/>
          <w:szCs w:val="22"/>
          <w:lang w:eastAsia="en-US"/>
        </w:rPr>
        <w:t>սահ</w:t>
      </w:r>
      <w:r w:rsidRPr="00A00B8B">
        <w:rPr>
          <w:rFonts w:cs="Sylfaen"/>
          <w:b w:val="0"/>
          <w:iCs/>
          <w:color w:val="000000"/>
          <w:szCs w:val="22"/>
          <w:lang w:val="en-US" w:eastAsia="en-US"/>
        </w:rPr>
        <w:softHyphen/>
      </w:r>
      <w:r w:rsidRPr="00A00B8B">
        <w:rPr>
          <w:rFonts w:cs="Sylfaen"/>
          <w:b w:val="0"/>
          <w:iCs/>
          <w:color w:val="000000"/>
          <w:szCs w:val="22"/>
          <w:lang w:eastAsia="en-US"/>
        </w:rPr>
        <w:t>ման</w:t>
      </w:r>
      <w:r w:rsidRPr="00A00B8B">
        <w:rPr>
          <w:rFonts w:cs="Sylfaen"/>
          <w:b w:val="0"/>
          <w:iCs/>
          <w:color w:val="000000"/>
          <w:szCs w:val="22"/>
          <w:lang w:val="en-US" w:eastAsia="en-US"/>
        </w:rPr>
        <w:softHyphen/>
      </w:r>
      <w:r w:rsidRPr="00A00B8B">
        <w:rPr>
          <w:rFonts w:cs="Sylfaen"/>
          <w:b w:val="0"/>
          <w:iCs/>
          <w:color w:val="000000"/>
          <w:szCs w:val="22"/>
          <w:lang w:eastAsia="en-US"/>
        </w:rPr>
        <w:t>ված</w:t>
      </w:r>
      <w:r w:rsidRPr="00A00B8B">
        <w:rPr>
          <w:rFonts w:cs="Sylfaen"/>
          <w:b w:val="0"/>
          <w:iCs/>
          <w:color w:val="000000"/>
          <w:szCs w:val="22"/>
          <w:lang w:val="en-US" w:eastAsia="en-US"/>
        </w:rPr>
        <w:t xml:space="preserve"> </w:t>
      </w:r>
      <w:r w:rsidRPr="00A00B8B">
        <w:rPr>
          <w:rFonts w:cs="Sylfaen"/>
          <w:b w:val="0"/>
          <w:iCs/>
          <w:color w:val="000000"/>
          <w:szCs w:val="22"/>
          <w:lang w:eastAsia="en-US"/>
        </w:rPr>
        <w:t>համապատասխան</w:t>
      </w:r>
      <w:r w:rsidRPr="00A00B8B">
        <w:rPr>
          <w:rFonts w:cs="Sylfaen"/>
          <w:b w:val="0"/>
          <w:iCs/>
          <w:color w:val="000000"/>
          <w:szCs w:val="22"/>
          <w:lang w:val="en-US" w:eastAsia="en-US"/>
        </w:rPr>
        <w:t xml:space="preserve"> </w:t>
      </w:r>
      <w:r w:rsidRPr="00A00B8B">
        <w:rPr>
          <w:rFonts w:cs="Sylfaen"/>
          <w:b w:val="0"/>
          <w:iCs/>
          <w:color w:val="000000"/>
          <w:szCs w:val="22"/>
          <w:lang w:eastAsia="en-US"/>
        </w:rPr>
        <w:t>ժամկետներով՝</w:t>
      </w:r>
      <w:r w:rsidRPr="00A00B8B">
        <w:rPr>
          <w:rFonts w:cs="Sylfaen"/>
          <w:b w:val="0"/>
          <w:iCs/>
          <w:color w:val="000000"/>
          <w:szCs w:val="22"/>
          <w:lang w:val="en-US" w:eastAsia="en-US"/>
        </w:rPr>
        <w:t xml:space="preserve"> </w:t>
      </w:r>
      <w:r w:rsidRPr="00A00B8B">
        <w:rPr>
          <w:rFonts w:cs="Sylfaen"/>
          <w:b w:val="0"/>
          <w:iCs/>
          <w:color w:val="000000"/>
          <w:szCs w:val="22"/>
          <w:lang w:eastAsia="en-US"/>
        </w:rPr>
        <w:t>հաշվի</w:t>
      </w:r>
      <w:r w:rsidRPr="00A00B8B">
        <w:rPr>
          <w:rFonts w:cs="Sylfaen"/>
          <w:b w:val="0"/>
          <w:iCs/>
          <w:color w:val="000000"/>
          <w:szCs w:val="22"/>
          <w:lang w:val="en-US" w:eastAsia="en-US"/>
        </w:rPr>
        <w:t xml:space="preserve"> </w:t>
      </w:r>
      <w:r w:rsidRPr="00A00B8B">
        <w:rPr>
          <w:rFonts w:cs="Sylfaen"/>
          <w:b w:val="0"/>
          <w:iCs/>
          <w:color w:val="000000"/>
          <w:szCs w:val="22"/>
          <w:lang w:eastAsia="en-US"/>
        </w:rPr>
        <w:t>առնելով</w:t>
      </w:r>
      <w:r w:rsidRPr="00A00B8B">
        <w:rPr>
          <w:rFonts w:cs="Sylfaen"/>
          <w:b w:val="0"/>
          <w:iCs/>
          <w:color w:val="000000"/>
          <w:szCs w:val="22"/>
          <w:lang w:val="en-US" w:eastAsia="en-US"/>
        </w:rPr>
        <w:t xml:space="preserve"> </w:t>
      </w:r>
      <w:r w:rsidRPr="00A00B8B">
        <w:rPr>
          <w:rFonts w:cs="Sylfaen"/>
          <w:b w:val="0"/>
          <w:iCs/>
          <w:color w:val="000000"/>
          <w:szCs w:val="22"/>
          <w:lang w:eastAsia="en-US"/>
        </w:rPr>
        <w:t>այն</w:t>
      </w:r>
      <w:r w:rsidRPr="00A00B8B">
        <w:rPr>
          <w:rFonts w:cs="Sylfaen"/>
          <w:b w:val="0"/>
          <w:iCs/>
          <w:color w:val="000000"/>
          <w:szCs w:val="22"/>
          <w:lang w:val="en-US" w:eastAsia="en-US"/>
        </w:rPr>
        <w:t xml:space="preserve">, </w:t>
      </w:r>
      <w:r w:rsidRPr="00A00B8B">
        <w:rPr>
          <w:rFonts w:cs="Sylfaen"/>
          <w:b w:val="0"/>
          <w:iCs/>
          <w:color w:val="000000"/>
          <w:szCs w:val="22"/>
          <w:lang w:eastAsia="en-US"/>
        </w:rPr>
        <w:t>որ</w:t>
      </w:r>
      <w:r w:rsidRPr="00A00B8B">
        <w:rPr>
          <w:rFonts w:cs="Sylfaen"/>
          <w:b w:val="0"/>
          <w:iCs/>
          <w:color w:val="000000"/>
          <w:szCs w:val="22"/>
          <w:lang w:val="en-US" w:eastAsia="en-US"/>
        </w:rPr>
        <w:t xml:space="preserve"> </w:t>
      </w:r>
      <w:r w:rsidRPr="00A00B8B">
        <w:rPr>
          <w:rFonts w:cs="Sylfaen"/>
          <w:b w:val="0"/>
          <w:iCs/>
          <w:color w:val="000000"/>
          <w:szCs w:val="22"/>
          <w:lang w:eastAsia="en-US"/>
        </w:rPr>
        <w:t>ավելացված</w:t>
      </w:r>
      <w:r w:rsidRPr="00A00B8B">
        <w:rPr>
          <w:rFonts w:cs="Sylfaen"/>
          <w:b w:val="0"/>
          <w:iCs/>
          <w:color w:val="000000"/>
          <w:szCs w:val="22"/>
          <w:lang w:val="en-US" w:eastAsia="en-US"/>
        </w:rPr>
        <w:t xml:space="preserve"> </w:t>
      </w:r>
      <w:r w:rsidRPr="00A00B8B">
        <w:rPr>
          <w:rFonts w:cs="Sylfaen"/>
          <w:b w:val="0"/>
          <w:iCs/>
          <w:color w:val="000000"/>
          <w:szCs w:val="22"/>
          <w:lang w:eastAsia="en-US"/>
        </w:rPr>
        <w:t>արժեքի</w:t>
      </w:r>
      <w:r w:rsidRPr="00A00B8B">
        <w:rPr>
          <w:rFonts w:cs="Sylfaen"/>
          <w:b w:val="0"/>
          <w:iCs/>
          <w:color w:val="000000"/>
          <w:szCs w:val="22"/>
          <w:lang w:val="en-US" w:eastAsia="en-US"/>
        </w:rPr>
        <w:t xml:space="preserve"> </w:t>
      </w:r>
      <w:r w:rsidRPr="00A00B8B">
        <w:rPr>
          <w:rFonts w:cs="Sylfaen"/>
          <w:b w:val="0"/>
          <w:iCs/>
          <w:color w:val="000000"/>
          <w:szCs w:val="22"/>
          <w:lang w:eastAsia="en-US"/>
        </w:rPr>
        <w:t>հարկի</w:t>
      </w:r>
      <w:r w:rsidRPr="00A00B8B">
        <w:rPr>
          <w:rFonts w:cs="Sylfaen"/>
          <w:b w:val="0"/>
          <w:iCs/>
          <w:color w:val="000000"/>
          <w:szCs w:val="22"/>
          <w:lang w:val="en-US" w:eastAsia="en-US"/>
        </w:rPr>
        <w:t xml:space="preserve"> </w:t>
      </w:r>
      <w:r w:rsidRPr="00A00B8B">
        <w:rPr>
          <w:rFonts w:cs="Sylfaen"/>
          <w:b w:val="0"/>
          <w:iCs/>
          <w:color w:val="000000"/>
          <w:szCs w:val="22"/>
          <w:lang w:eastAsia="en-US"/>
        </w:rPr>
        <w:t>գումար</w:t>
      </w:r>
      <w:r w:rsidRPr="00A00B8B">
        <w:rPr>
          <w:rFonts w:cs="Sylfaen"/>
          <w:b w:val="0"/>
          <w:iCs/>
          <w:color w:val="000000"/>
          <w:szCs w:val="22"/>
          <w:lang w:val="en-US" w:eastAsia="en-US"/>
        </w:rPr>
        <w:softHyphen/>
      </w:r>
      <w:r w:rsidRPr="00A00B8B">
        <w:rPr>
          <w:rFonts w:cs="Sylfaen"/>
          <w:b w:val="0"/>
          <w:iCs/>
          <w:color w:val="000000"/>
          <w:szCs w:val="22"/>
          <w:lang w:eastAsia="en-US"/>
        </w:rPr>
        <w:t>ների</w:t>
      </w:r>
      <w:r w:rsidRPr="00A00B8B">
        <w:rPr>
          <w:rFonts w:cs="Sylfaen"/>
          <w:b w:val="0"/>
          <w:iCs/>
          <w:color w:val="000000"/>
          <w:szCs w:val="22"/>
          <w:lang w:val="en-US" w:eastAsia="en-US"/>
        </w:rPr>
        <w:t xml:space="preserve"> </w:t>
      </w:r>
      <w:r w:rsidRPr="00A00B8B">
        <w:rPr>
          <w:rFonts w:cs="Sylfaen"/>
          <w:b w:val="0"/>
          <w:iCs/>
          <w:color w:val="000000"/>
          <w:szCs w:val="22"/>
          <w:lang w:eastAsia="en-US"/>
        </w:rPr>
        <w:t>վճարման</w:t>
      </w:r>
      <w:r w:rsidRPr="00A00B8B">
        <w:rPr>
          <w:rFonts w:cs="Sylfaen"/>
          <w:b w:val="0"/>
          <w:iCs/>
          <w:color w:val="000000"/>
          <w:szCs w:val="22"/>
          <w:lang w:val="en-US" w:eastAsia="en-US"/>
        </w:rPr>
        <w:t xml:space="preserve"> </w:t>
      </w:r>
      <w:r w:rsidRPr="00A00B8B">
        <w:rPr>
          <w:rFonts w:cs="Sylfaen"/>
          <w:b w:val="0"/>
          <w:iCs/>
          <w:color w:val="000000"/>
          <w:szCs w:val="22"/>
          <w:lang w:eastAsia="en-US"/>
        </w:rPr>
        <w:t>ժամկետի</w:t>
      </w:r>
      <w:r w:rsidRPr="00A00B8B">
        <w:rPr>
          <w:rFonts w:cs="Sylfaen"/>
          <w:b w:val="0"/>
          <w:iCs/>
          <w:color w:val="000000"/>
          <w:szCs w:val="22"/>
          <w:lang w:val="en-US" w:eastAsia="en-US"/>
        </w:rPr>
        <w:t xml:space="preserve"> </w:t>
      </w:r>
      <w:r w:rsidRPr="00A00B8B">
        <w:rPr>
          <w:rFonts w:cs="Sylfaen"/>
          <w:b w:val="0"/>
          <w:iCs/>
          <w:color w:val="000000"/>
          <w:szCs w:val="22"/>
          <w:lang w:eastAsia="en-US"/>
        </w:rPr>
        <w:t>հետաձգումը</w:t>
      </w:r>
      <w:r w:rsidRPr="00A00B8B">
        <w:rPr>
          <w:rFonts w:cs="Sylfaen"/>
          <w:b w:val="0"/>
          <w:iCs/>
          <w:color w:val="000000"/>
          <w:szCs w:val="22"/>
          <w:lang w:val="en-US" w:eastAsia="en-US"/>
        </w:rPr>
        <w:t xml:space="preserve"> </w:t>
      </w:r>
      <w:r w:rsidRPr="00A00B8B">
        <w:rPr>
          <w:rFonts w:cs="Sylfaen"/>
          <w:b w:val="0"/>
          <w:iCs/>
          <w:color w:val="000000"/>
          <w:szCs w:val="22"/>
          <w:lang w:eastAsia="en-US"/>
        </w:rPr>
        <w:t>միայն</w:t>
      </w:r>
      <w:r w:rsidRPr="00A00B8B">
        <w:rPr>
          <w:rFonts w:cs="Sylfaen"/>
          <w:b w:val="0"/>
          <w:iCs/>
          <w:color w:val="000000"/>
          <w:szCs w:val="22"/>
          <w:lang w:val="en-US" w:eastAsia="en-US"/>
        </w:rPr>
        <w:t xml:space="preserve"> </w:t>
      </w:r>
      <w:r w:rsidRPr="00A00B8B">
        <w:rPr>
          <w:rFonts w:cs="Sylfaen"/>
          <w:b w:val="0"/>
          <w:iCs/>
          <w:color w:val="000000"/>
          <w:szCs w:val="22"/>
          <w:lang w:eastAsia="en-US"/>
        </w:rPr>
        <w:t>ժամանակային</w:t>
      </w:r>
      <w:r w:rsidRPr="00A00B8B">
        <w:rPr>
          <w:rFonts w:cs="Sylfaen"/>
          <w:b w:val="0"/>
          <w:iCs/>
          <w:color w:val="000000"/>
          <w:szCs w:val="22"/>
          <w:lang w:val="en-US" w:eastAsia="en-US"/>
        </w:rPr>
        <w:t xml:space="preserve"> </w:t>
      </w:r>
      <w:r w:rsidRPr="00A00B8B">
        <w:rPr>
          <w:rFonts w:cs="Sylfaen"/>
          <w:b w:val="0"/>
          <w:iCs/>
          <w:color w:val="000000"/>
          <w:szCs w:val="22"/>
          <w:lang w:eastAsia="en-US"/>
        </w:rPr>
        <w:t>ազդեցություն</w:t>
      </w:r>
      <w:r w:rsidRPr="00A00B8B">
        <w:rPr>
          <w:rFonts w:cs="Sylfaen"/>
          <w:b w:val="0"/>
          <w:iCs/>
          <w:color w:val="000000"/>
          <w:szCs w:val="22"/>
          <w:lang w:val="en-US" w:eastAsia="en-US"/>
        </w:rPr>
        <w:t xml:space="preserve"> </w:t>
      </w:r>
      <w:r w:rsidRPr="00A00B8B">
        <w:rPr>
          <w:rFonts w:cs="Sylfaen"/>
          <w:b w:val="0"/>
          <w:iCs/>
          <w:color w:val="000000"/>
          <w:szCs w:val="22"/>
          <w:lang w:eastAsia="en-US"/>
        </w:rPr>
        <w:t>է</w:t>
      </w:r>
      <w:r w:rsidRPr="00A00B8B">
        <w:rPr>
          <w:rFonts w:cs="Sylfaen"/>
          <w:b w:val="0"/>
          <w:iCs/>
          <w:color w:val="000000"/>
          <w:szCs w:val="22"/>
          <w:lang w:val="en-US" w:eastAsia="en-US"/>
        </w:rPr>
        <w:t xml:space="preserve"> </w:t>
      </w:r>
      <w:r w:rsidRPr="00A00B8B">
        <w:rPr>
          <w:rFonts w:cs="Sylfaen"/>
          <w:b w:val="0"/>
          <w:iCs/>
          <w:color w:val="000000"/>
          <w:szCs w:val="22"/>
          <w:lang w:eastAsia="en-US"/>
        </w:rPr>
        <w:t>ունե</w:t>
      </w:r>
      <w:r w:rsidRPr="00A00B8B">
        <w:rPr>
          <w:rFonts w:cs="Sylfaen"/>
          <w:b w:val="0"/>
          <w:iCs/>
          <w:color w:val="000000"/>
          <w:szCs w:val="22"/>
          <w:lang w:val="en-US" w:eastAsia="en-US"/>
        </w:rPr>
        <w:softHyphen/>
      </w:r>
      <w:r w:rsidRPr="00A00B8B">
        <w:rPr>
          <w:rFonts w:cs="Sylfaen"/>
          <w:b w:val="0"/>
          <w:iCs/>
          <w:color w:val="000000"/>
          <w:szCs w:val="22"/>
          <w:lang w:eastAsia="en-US"/>
        </w:rPr>
        <w:t>նում</w:t>
      </w:r>
      <w:r w:rsidRPr="00A00B8B">
        <w:rPr>
          <w:rFonts w:cs="Sylfaen"/>
          <w:b w:val="0"/>
          <w:iCs/>
          <w:color w:val="000000"/>
          <w:szCs w:val="22"/>
          <w:lang w:val="en-US" w:eastAsia="en-US"/>
        </w:rPr>
        <w:t xml:space="preserve"> </w:t>
      </w:r>
      <w:r w:rsidRPr="00A00B8B">
        <w:rPr>
          <w:rFonts w:cs="Sylfaen"/>
          <w:b w:val="0"/>
          <w:iCs/>
          <w:color w:val="000000"/>
          <w:szCs w:val="22"/>
          <w:lang w:eastAsia="en-US"/>
        </w:rPr>
        <w:t>պետական</w:t>
      </w:r>
      <w:r w:rsidRPr="00A00B8B">
        <w:rPr>
          <w:rFonts w:cs="Sylfaen"/>
          <w:b w:val="0"/>
          <w:iCs/>
          <w:color w:val="000000"/>
          <w:szCs w:val="22"/>
          <w:lang w:val="en-US" w:eastAsia="en-US"/>
        </w:rPr>
        <w:t xml:space="preserve"> </w:t>
      </w:r>
      <w:r w:rsidRPr="00A00B8B">
        <w:rPr>
          <w:rFonts w:cs="Sylfaen"/>
          <w:b w:val="0"/>
          <w:iCs/>
          <w:color w:val="000000"/>
          <w:szCs w:val="22"/>
          <w:lang w:eastAsia="en-US"/>
        </w:rPr>
        <w:t>բյուջեի</w:t>
      </w:r>
      <w:r w:rsidRPr="00A00B8B">
        <w:rPr>
          <w:rFonts w:cs="Sylfaen"/>
          <w:b w:val="0"/>
          <w:iCs/>
          <w:color w:val="000000"/>
          <w:szCs w:val="22"/>
          <w:lang w:val="en-US" w:eastAsia="en-US"/>
        </w:rPr>
        <w:t xml:space="preserve"> </w:t>
      </w:r>
      <w:r w:rsidRPr="00A00B8B">
        <w:rPr>
          <w:rFonts w:cs="Sylfaen"/>
          <w:b w:val="0"/>
          <w:iCs/>
          <w:color w:val="000000"/>
          <w:szCs w:val="22"/>
          <w:lang w:eastAsia="en-US"/>
        </w:rPr>
        <w:t>հարկային</w:t>
      </w:r>
      <w:r w:rsidRPr="00A00B8B">
        <w:rPr>
          <w:rFonts w:cs="Sylfaen"/>
          <w:b w:val="0"/>
          <w:iCs/>
          <w:color w:val="000000"/>
          <w:szCs w:val="22"/>
          <w:lang w:val="en-US" w:eastAsia="en-US"/>
        </w:rPr>
        <w:t xml:space="preserve"> </w:t>
      </w:r>
      <w:r w:rsidRPr="00A00B8B">
        <w:rPr>
          <w:rFonts w:cs="Sylfaen"/>
          <w:b w:val="0"/>
          <w:iCs/>
          <w:color w:val="000000"/>
          <w:szCs w:val="22"/>
          <w:lang w:eastAsia="en-US"/>
        </w:rPr>
        <w:t>եկամուտների</w:t>
      </w:r>
      <w:r w:rsidRPr="00A00B8B">
        <w:rPr>
          <w:rFonts w:cs="Sylfaen"/>
          <w:b w:val="0"/>
          <w:iCs/>
          <w:color w:val="000000"/>
          <w:szCs w:val="22"/>
          <w:lang w:val="en-US" w:eastAsia="en-US"/>
        </w:rPr>
        <w:t xml:space="preserve"> </w:t>
      </w:r>
      <w:r w:rsidRPr="00A00B8B">
        <w:rPr>
          <w:rFonts w:cs="Sylfaen"/>
          <w:b w:val="0"/>
          <w:iCs/>
          <w:color w:val="000000"/>
          <w:szCs w:val="22"/>
          <w:lang w:eastAsia="en-US"/>
        </w:rPr>
        <w:t>մեծության</w:t>
      </w:r>
      <w:r w:rsidRPr="00A00B8B">
        <w:rPr>
          <w:rFonts w:cs="Sylfaen"/>
          <w:b w:val="0"/>
          <w:iCs/>
          <w:color w:val="000000"/>
          <w:szCs w:val="22"/>
          <w:lang w:val="en-US" w:eastAsia="en-US"/>
        </w:rPr>
        <w:t xml:space="preserve"> </w:t>
      </w:r>
      <w:r w:rsidRPr="00A00B8B">
        <w:rPr>
          <w:rFonts w:cs="Sylfaen"/>
          <w:b w:val="0"/>
          <w:iCs/>
          <w:color w:val="000000"/>
          <w:szCs w:val="22"/>
          <w:lang w:eastAsia="en-US"/>
        </w:rPr>
        <w:t>վրա</w:t>
      </w:r>
      <w:r w:rsidRPr="00A00B8B">
        <w:rPr>
          <w:rFonts w:cs="Sylfaen"/>
          <w:b w:val="0"/>
          <w:iCs/>
          <w:color w:val="000000"/>
          <w:szCs w:val="22"/>
          <w:lang w:val="en-US" w:eastAsia="en-US"/>
        </w:rPr>
        <w:t>,</w:t>
      </w:r>
    </w:p>
    <w:p w:rsidR="00A00B8B" w:rsidRPr="00A00B8B" w:rsidRDefault="00A00B8B" w:rsidP="007730AA">
      <w:pPr>
        <w:numPr>
          <w:ilvl w:val="0"/>
          <w:numId w:val="65"/>
        </w:numPr>
        <w:tabs>
          <w:tab w:val="left" w:pos="851"/>
        </w:tabs>
        <w:spacing w:before="0" w:line="276" w:lineRule="auto"/>
        <w:ind w:left="0" w:firstLine="567"/>
        <w:contextualSpacing w:val="0"/>
        <w:rPr>
          <w:rFonts w:cs="Sylfaen"/>
          <w:b w:val="0"/>
          <w:iCs/>
          <w:color w:val="000000"/>
          <w:szCs w:val="22"/>
          <w:lang w:val="en-US" w:eastAsia="en-US"/>
        </w:rPr>
      </w:pPr>
      <w:r w:rsidRPr="00A00B8B">
        <w:rPr>
          <w:rFonts w:cs="Sylfaen"/>
          <w:b w:val="0"/>
          <w:iCs/>
          <w:color w:val="000000"/>
          <w:szCs w:val="22"/>
          <w:lang w:eastAsia="en-US"/>
        </w:rPr>
        <w:t>հաշվարկներում</w:t>
      </w:r>
      <w:r w:rsidRPr="00A00B8B">
        <w:rPr>
          <w:rFonts w:cs="Sylfaen"/>
          <w:b w:val="0"/>
          <w:iCs/>
          <w:color w:val="000000"/>
          <w:szCs w:val="22"/>
          <w:lang w:val="en-US" w:eastAsia="en-US"/>
        </w:rPr>
        <w:t xml:space="preserve"> </w:t>
      </w:r>
      <w:r w:rsidRPr="00A00B8B">
        <w:rPr>
          <w:rFonts w:cs="Sylfaen"/>
          <w:b w:val="0"/>
          <w:iCs/>
          <w:color w:val="000000"/>
          <w:szCs w:val="22"/>
          <w:lang w:eastAsia="en-US"/>
        </w:rPr>
        <w:t>չեն</w:t>
      </w:r>
      <w:r w:rsidRPr="00A00B8B">
        <w:rPr>
          <w:rFonts w:cs="Sylfaen"/>
          <w:b w:val="0"/>
          <w:iCs/>
          <w:color w:val="000000"/>
          <w:szCs w:val="22"/>
          <w:lang w:val="en-US" w:eastAsia="en-US"/>
        </w:rPr>
        <w:t xml:space="preserve"> </w:t>
      </w:r>
      <w:r w:rsidRPr="00A00B8B">
        <w:rPr>
          <w:rFonts w:cs="Sylfaen"/>
          <w:b w:val="0"/>
          <w:iCs/>
          <w:color w:val="000000"/>
          <w:szCs w:val="22"/>
          <w:lang w:eastAsia="en-US"/>
        </w:rPr>
        <w:t>ներառվել</w:t>
      </w:r>
      <w:r w:rsidRPr="00A00B8B">
        <w:rPr>
          <w:rFonts w:cs="Sylfaen"/>
          <w:b w:val="0"/>
          <w:iCs/>
          <w:color w:val="000000"/>
          <w:szCs w:val="22"/>
          <w:lang w:val="en-US" w:eastAsia="en-US"/>
        </w:rPr>
        <w:t xml:space="preserve"> </w:t>
      </w:r>
      <w:r w:rsidRPr="00A00B8B">
        <w:rPr>
          <w:rFonts w:cs="Sylfaen"/>
          <w:b w:val="0"/>
          <w:iCs/>
          <w:color w:val="000000"/>
          <w:szCs w:val="22"/>
          <w:lang w:eastAsia="en-US"/>
        </w:rPr>
        <w:t>նաև</w:t>
      </w:r>
      <w:r w:rsidRPr="00A00B8B">
        <w:rPr>
          <w:rFonts w:cs="Sylfaen"/>
          <w:b w:val="0"/>
          <w:iCs/>
          <w:color w:val="000000"/>
          <w:szCs w:val="22"/>
          <w:lang w:val="en-US" w:eastAsia="en-US"/>
        </w:rPr>
        <w:t xml:space="preserve"> </w:t>
      </w:r>
      <w:r w:rsidRPr="00A00B8B">
        <w:rPr>
          <w:rFonts w:cs="Sylfaen"/>
          <w:b w:val="0"/>
          <w:iCs/>
          <w:color w:val="000000"/>
          <w:szCs w:val="22"/>
          <w:lang w:eastAsia="en-US"/>
        </w:rPr>
        <w:t>այն</w:t>
      </w:r>
      <w:r w:rsidRPr="00A00B8B">
        <w:rPr>
          <w:rFonts w:cs="Sylfaen"/>
          <w:b w:val="0"/>
          <w:iCs/>
          <w:color w:val="000000"/>
          <w:szCs w:val="22"/>
          <w:lang w:val="en-US" w:eastAsia="en-US"/>
        </w:rPr>
        <w:t xml:space="preserve"> </w:t>
      </w:r>
      <w:r w:rsidRPr="00A00B8B">
        <w:rPr>
          <w:rFonts w:cs="Sylfaen"/>
          <w:b w:val="0"/>
          <w:iCs/>
          <w:color w:val="000000"/>
          <w:szCs w:val="22"/>
          <w:lang w:eastAsia="en-US"/>
        </w:rPr>
        <w:t>ապրանքների</w:t>
      </w:r>
      <w:r w:rsidRPr="00A00B8B">
        <w:rPr>
          <w:rFonts w:cs="Sylfaen"/>
          <w:b w:val="0"/>
          <w:iCs/>
          <w:color w:val="000000"/>
          <w:szCs w:val="22"/>
          <w:lang w:val="en-US" w:eastAsia="en-US"/>
        </w:rPr>
        <w:t xml:space="preserve"> </w:t>
      </w:r>
      <w:r w:rsidRPr="00A00B8B">
        <w:rPr>
          <w:rFonts w:cs="Sylfaen"/>
          <w:b w:val="0"/>
          <w:iCs/>
          <w:color w:val="000000"/>
          <w:szCs w:val="22"/>
          <w:lang w:eastAsia="en-US"/>
        </w:rPr>
        <w:t>ներմուծման</w:t>
      </w:r>
      <w:r w:rsidRPr="00A00B8B">
        <w:rPr>
          <w:rFonts w:cs="Sylfaen"/>
          <w:b w:val="0"/>
          <w:iCs/>
          <w:color w:val="000000"/>
          <w:szCs w:val="22"/>
          <w:lang w:val="en-US" w:eastAsia="en-US"/>
        </w:rPr>
        <w:t xml:space="preserve"> </w:t>
      </w:r>
      <w:r w:rsidRPr="00A00B8B">
        <w:rPr>
          <w:rFonts w:cs="Sylfaen"/>
          <w:b w:val="0"/>
          <w:iCs/>
          <w:color w:val="000000"/>
          <w:szCs w:val="22"/>
          <w:lang w:eastAsia="en-US"/>
        </w:rPr>
        <w:t>համար</w:t>
      </w:r>
      <w:r w:rsidRPr="00A00B8B">
        <w:rPr>
          <w:rFonts w:cs="Sylfaen"/>
          <w:b w:val="0"/>
          <w:iCs/>
          <w:color w:val="000000"/>
          <w:szCs w:val="22"/>
          <w:lang w:val="en-US" w:eastAsia="en-US"/>
        </w:rPr>
        <w:t xml:space="preserve"> </w:t>
      </w:r>
      <w:r w:rsidRPr="00A00B8B">
        <w:rPr>
          <w:rFonts w:cs="Sylfaen"/>
          <w:b w:val="0"/>
          <w:iCs/>
          <w:color w:val="000000"/>
          <w:szCs w:val="22"/>
          <w:lang w:eastAsia="en-US"/>
        </w:rPr>
        <w:t>ավելաց</w:t>
      </w:r>
      <w:r w:rsidRPr="00A00B8B">
        <w:rPr>
          <w:rFonts w:cs="Sylfaen"/>
          <w:b w:val="0"/>
          <w:iCs/>
          <w:color w:val="000000"/>
          <w:szCs w:val="22"/>
          <w:lang w:val="en-US" w:eastAsia="en-US"/>
        </w:rPr>
        <w:softHyphen/>
      </w:r>
      <w:r w:rsidRPr="00A00B8B">
        <w:rPr>
          <w:rFonts w:cs="Sylfaen"/>
          <w:b w:val="0"/>
          <w:iCs/>
          <w:color w:val="000000"/>
          <w:szCs w:val="22"/>
          <w:lang w:eastAsia="en-US"/>
        </w:rPr>
        <w:t>ված</w:t>
      </w:r>
      <w:r w:rsidRPr="00A00B8B">
        <w:rPr>
          <w:rFonts w:cs="Sylfaen"/>
          <w:b w:val="0"/>
          <w:iCs/>
          <w:color w:val="000000"/>
          <w:szCs w:val="22"/>
          <w:lang w:val="en-US" w:eastAsia="en-US"/>
        </w:rPr>
        <w:t xml:space="preserve"> </w:t>
      </w:r>
      <w:r w:rsidRPr="00A00B8B">
        <w:rPr>
          <w:rFonts w:cs="Sylfaen"/>
          <w:b w:val="0"/>
          <w:iCs/>
          <w:color w:val="000000"/>
          <w:szCs w:val="22"/>
          <w:lang w:eastAsia="en-US"/>
        </w:rPr>
        <w:t>արժեքի</w:t>
      </w:r>
      <w:r w:rsidRPr="00A00B8B">
        <w:rPr>
          <w:rFonts w:cs="Sylfaen"/>
          <w:b w:val="0"/>
          <w:iCs/>
          <w:color w:val="000000"/>
          <w:szCs w:val="22"/>
          <w:lang w:val="en-US" w:eastAsia="en-US"/>
        </w:rPr>
        <w:t xml:space="preserve"> </w:t>
      </w:r>
      <w:r w:rsidRPr="00A00B8B">
        <w:rPr>
          <w:rFonts w:cs="Sylfaen"/>
          <w:b w:val="0"/>
          <w:iCs/>
          <w:color w:val="000000"/>
          <w:szCs w:val="22"/>
          <w:lang w:eastAsia="en-US"/>
        </w:rPr>
        <w:t>հարկի</w:t>
      </w:r>
      <w:r w:rsidRPr="00A00B8B">
        <w:rPr>
          <w:rFonts w:cs="Sylfaen"/>
          <w:b w:val="0"/>
          <w:iCs/>
          <w:color w:val="000000"/>
          <w:szCs w:val="22"/>
          <w:lang w:val="en-US" w:eastAsia="en-US"/>
        </w:rPr>
        <w:t xml:space="preserve"> </w:t>
      </w:r>
      <w:r w:rsidRPr="00A00B8B">
        <w:rPr>
          <w:rFonts w:cs="Sylfaen"/>
          <w:b w:val="0"/>
          <w:iCs/>
          <w:color w:val="000000"/>
          <w:szCs w:val="22"/>
          <w:lang w:eastAsia="en-US"/>
        </w:rPr>
        <w:t>հաշվարկային</w:t>
      </w:r>
      <w:r w:rsidRPr="00A00B8B">
        <w:rPr>
          <w:rFonts w:cs="Sylfaen"/>
          <w:b w:val="0"/>
          <w:iCs/>
          <w:color w:val="000000"/>
          <w:szCs w:val="22"/>
          <w:lang w:val="en-US" w:eastAsia="en-US"/>
        </w:rPr>
        <w:t xml:space="preserve"> </w:t>
      </w:r>
      <w:r w:rsidRPr="00A00B8B">
        <w:rPr>
          <w:rFonts w:cs="Sylfaen"/>
          <w:b w:val="0"/>
          <w:iCs/>
          <w:color w:val="000000"/>
          <w:szCs w:val="22"/>
          <w:lang w:eastAsia="en-US"/>
        </w:rPr>
        <w:t>գումարները</w:t>
      </w:r>
      <w:r w:rsidRPr="00A00B8B">
        <w:rPr>
          <w:rFonts w:cs="Sylfaen"/>
          <w:b w:val="0"/>
          <w:iCs/>
          <w:color w:val="000000"/>
          <w:szCs w:val="22"/>
          <w:lang w:val="en-US" w:eastAsia="en-US"/>
        </w:rPr>
        <w:t xml:space="preserve">, </w:t>
      </w:r>
      <w:r w:rsidRPr="00A00B8B">
        <w:rPr>
          <w:rFonts w:cs="Sylfaen"/>
          <w:b w:val="0"/>
          <w:iCs/>
          <w:color w:val="000000"/>
          <w:szCs w:val="22"/>
          <w:lang w:eastAsia="en-US"/>
        </w:rPr>
        <w:t>որոնք</w:t>
      </w:r>
      <w:r w:rsidRPr="00A00B8B">
        <w:rPr>
          <w:rFonts w:cs="Sylfaen"/>
          <w:b w:val="0"/>
          <w:iCs/>
          <w:color w:val="000000"/>
          <w:szCs w:val="22"/>
          <w:lang w:val="en-US" w:eastAsia="en-US"/>
        </w:rPr>
        <w:t xml:space="preserve"> </w:t>
      </w:r>
      <w:r w:rsidRPr="00A00B8B">
        <w:rPr>
          <w:rFonts w:cs="Sylfaen"/>
          <w:b w:val="0"/>
          <w:iCs/>
          <w:color w:val="000000"/>
          <w:szCs w:val="22"/>
          <w:lang w:eastAsia="en-US"/>
        </w:rPr>
        <w:t>ներառված</w:t>
      </w:r>
      <w:r w:rsidRPr="00A00B8B">
        <w:rPr>
          <w:rFonts w:cs="Sylfaen"/>
          <w:b w:val="0"/>
          <w:iCs/>
          <w:color w:val="000000"/>
          <w:szCs w:val="22"/>
          <w:lang w:val="en-US" w:eastAsia="en-US"/>
        </w:rPr>
        <w:t xml:space="preserve"> </w:t>
      </w:r>
      <w:r w:rsidRPr="00A00B8B">
        <w:rPr>
          <w:rFonts w:cs="Sylfaen"/>
          <w:b w:val="0"/>
          <w:iCs/>
          <w:color w:val="000000"/>
          <w:szCs w:val="22"/>
          <w:lang w:eastAsia="en-US"/>
        </w:rPr>
        <w:t>են</w:t>
      </w:r>
      <w:r w:rsidRPr="00A00B8B">
        <w:rPr>
          <w:rFonts w:cs="Sylfaen"/>
          <w:b w:val="0"/>
          <w:iCs/>
          <w:color w:val="000000"/>
          <w:szCs w:val="22"/>
          <w:lang w:val="en-US" w:eastAsia="en-US"/>
        </w:rPr>
        <w:t xml:space="preserve"> «</w:t>
      </w:r>
      <w:r w:rsidRPr="00A00B8B">
        <w:rPr>
          <w:rFonts w:cs="Sylfaen"/>
          <w:b w:val="0"/>
          <w:iCs/>
          <w:color w:val="000000"/>
          <w:szCs w:val="22"/>
          <w:lang w:eastAsia="en-US"/>
        </w:rPr>
        <w:t>Կազմակերպու</w:t>
      </w:r>
      <w:r w:rsidRPr="00A00B8B">
        <w:rPr>
          <w:rFonts w:cs="Sylfaen"/>
          <w:b w:val="0"/>
          <w:iCs/>
          <w:color w:val="000000"/>
          <w:szCs w:val="22"/>
          <w:lang w:val="en-US" w:eastAsia="en-US"/>
        </w:rPr>
        <w:softHyphen/>
      </w:r>
      <w:r w:rsidRPr="00A00B8B">
        <w:rPr>
          <w:rFonts w:cs="Sylfaen"/>
          <w:b w:val="0"/>
          <w:iCs/>
          <w:color w:val="000000"/>
          <w:szCs w:val="22"/>
          <w:lang w:eastAsia="en-US"/>
        </w:rPr>
        <w:t>թյուն</w:t>
      </w:r>
      <w:r w:rsidRPr="00A00B8B">
        <w:rPr>
          <w:rFonts w:cs="Sylfaen"/>
          <w:b w:val="0"/>
          <w:iCs/>
          <w:color w:val="000000"/>
          <w:szCs w:val="22"/>
          <w:lang w:val="en-US" w:eastAsia="en-US"/>
        </w:rPr>
        <w:softHyphen/>
      </w:r>
      <w:r w:rsidRPr="00A00B8B">
        <w:rPr>
          <w:rFonts w:cs="Sylfaen"/>
          <w:b w:val="0"/>
          <w:iCs/>
          <w:color w:val="000000"/>
          <w:szCs w:val="22"/>
          <w:lang w:eastAsia="en-US"/>
        </w:rPr>
        <w:t>ների</w:t>
      </w:r>
      <w:r w:rsidRPr="00A00B8B">
        <w:rPr>
          <w:rFonts w:cs="Sylfaen"/>
          <w:b w:val="0"/>
          <w:iCs/>
          <w:color w:val="000000"/>
          <w:szCs w:val="22"/>
          <w:lang w:val="en-US" w:eastAsia="en-US"/>
        </w:rPr>
        <w:t xml:space="preserve"> </w:t>
      </w:r>
      <w:r w:rsidRPr="00A00B8B">
        <w:rPr>
          <w:rFonts w:cs="Sylfaen"/>
          <w:b w:val="0"/>
          <w:iCs/>
          <w:color w:val="000000"/>
          <w:szCs w:val="22"/>
          <w:lang w:eastAsia="en-US"/>
        </w:rPr>
        <w:t>և</w:t>
      </w:r>
      <w:r w:rsidRPr="00A00B8B">
        <w:rPr>
          <w:rFonts w:cs="Sylfaen"/>
          <w:b w:val="0"/>
          <w:iCs/>
          <w:color w:val="000000"/>
          <w:szCs w:val="22"/>
          <w:lang w:val="en-US" w:eastAsia="en-US"/>
        </w:rPr>
        <w:t xml:space="preserve"> </w:t>
      </w:r>
      <w:r w:rsidRPr="00A00B8B">
        <w:rPr>
          <w:rFonts w:cs="Sylfaen"/>
          <w:b w:val="0"/>
          <w:iCs/>
          <w:color w:val="000000"/>
          <w:szCs w:val="22"/>
          <w:lang w:eastAsia="en-US"/>
        </w:rPr>
        <w:t>անհատ</w:t>
      </w:r>
      <w:r w:rsidRPr="00A00B8B">
        <w:rPr>
          <w:rFonts w:cs="Sylfaen"/>
          <w:b w:val="0"/>
          <w:iCs/>
          <w:color w:val="000000"/>
          <w:szCs w:val="22"/>
          <w:lang w:val="en-US" w:eastAsia="en-US"/>
        </w:rPr>
        <w:t xml:space="preserve"> </w:t>
      </w:r>
      <w:r w:rsidRPr="00A00B8B">
        <w:rPr>
          <w:rFonts w:cs="Sylfaen"/>
          <w:b w:val="0"/>
          <w:iCs/>
          <w:color w:val="000000"/>
          <w:szCs w:val="22"/>
          <w:lang w:eastAsia="en-US"/>
        </w:rPr>
        <w:t>ձեռնարկատերերի</w:t>
      </w:r>
      <w:r w:rsidRPr="00A00B8B">
        <w:rPr>
          <w:rFonts w:cs="Sylfaen"/>
          <w:b w:val="0"/>
          <w:iCs/>
          <w:color w:val="000000"/>
          <w:szCs w:val="22"/>
          <w:lang w:val="en-US" w:eastAsia="en-US"/>
        </w:rPr>
        <w:t xml:space="preserve"> </w:t>
      </w:r>
      <w:r w:rsidRPr="00A00B8B">
        <w:rPr>
          <w:rFonts w:cs="Sylfaen"/>
          <w:b w:val="0"/>
          <w:iCs/>
          <w:color w:val="000000"/>
          <w:szCs w:val="22"/>
          <w:lang w:eastAsia="en-US"/>
        </w:rPr>
        <w:t>կողմից</w:t>
      </w:r>
      <w:r w:rsidRPr="00A00B8B">
        <w:rPr>
          <w:rFonts w:cs="Sylfaen"/>
          <w:b w:val="0"/>
          <w:iCs/>
          <w:color w:val="000000"/>
          <w:szCs w:val="22"/>
          <w:lang w:val="en-US" w:eastAsia="en-US"/>
        </w:rPr>
        <w:t xml:space="preserve"> </w:t>
      </w:r>
      <w:r w:rsidRPr="00A00B8B">
        <w:rPr>
          <w:rFonts w:cs="Sylfaen"/>
          <w:b w:val="0"/>
          <w:iCs/>
          <w:color w:val="000000"/>
          <w:szCs w:val="22"/>
          <w:lang w:eastAsia="en-US"/>
        </w:rPr>
        <w:t>ներմուծվող՝</w:t>
      </w:r>
      <w:r w:rsidRPr="00A00B8B">
        <w:rPr>
          <w:rFonts w:cs="Sylfaen"/>
          <w:b w:val="0"/>
          <w:iCs/>
          <w:color w:val="000000"/>
          <w:szCs w:val="22"/>
          <w:lang w:val="en-US" w:eastAsia="en-US"/>
        </w:rPr>
        <w:t xml:space="preserve"> </w:t>
      </w:r>
      <w:r w:rsidRPr="00A00B8B">
        <w:rPr>
          <w:rFonts w:cs="Sylfaen"/>
          <w:b w:val="0"/>
          <w:iCs/>
          <w:color w:val="000000"/>
          <w:szCs w:val="22"/>
          <w:lang w:eastAsia="en-US"/>
        </w:rPr>
        <w:t>ակցիզային</w:t>
      </w:r>
      <w:r w:rsidRPr="00A00B8B">
        <w:rPr>
          <w:rFonts w:cs="Sylfaen"/>
          <w:b w:val="0"/>
          <w:iCs/>
          <w:color w:val="000000"/>
          <w:szCs w:val="22"/>
          <w:lang w:val="en-US" w:eastAsia="en-US"/>
        </w:rPr>
        <w:t xml:space="preserve"> </w:t>
      </w:r>
      <w:r w:rsidRPr="00A00B8B">
        <w:rPr>
          <w:rFonts w:cs="Sylfaen"/>
          <w:b w:val="0"/>
          <w:iCs/>
          <w:color w:val="000000"/>
          <w:szCs w:val="22"/>
          <w:lang w:eastAsia="en-US"/>
        </w:rPr>
        <w:t>հարկով</w:t>
      </w:r>
      <w:r w:rsidRPr="00A00B8B">
        <w:rPr>
          <w:rFonts w:cs="Sylfaen"/>
          <w:b w:val="0"/>
          <w:iCs/>
          <w:color w:val="000000"/>
          <w:szCs w:val="22"/>
          <w:lang w:val="en-US" w:eastAsia="en-US"/>
        </w:rPr>
        <w:t xml:space="preserve"> </w:t>
      </w:r>
      <w:r w:rsidRPr="00A00B8B">
        <w:rPr>
          <w:rFonts w:cs="Sylfaen"/>
          <w:b w:val="0"/>
          <w:iCs/>
          <w:color w:val="000000"/>
          <w:szCs w:val="22"/>
          <w:lang w:eastAsia="en-US"/>
        </w:rPr>
        <w:t>հարկման</w:t>
      </w:r>
      <w:r w:rsidRPr="00A00B8B">
        <w:rPr>
          <w:rFonts w:cs="Sylfaen"/>
          <w:b w:val="0"/>
          <w:iCs/>
          <w:color w:val="000000"/>
          <w:szCs w:val="22"/>
          <w:lang w:val="en-US" w:eastAsia="en-US"/>
        </w:rPr>
        <w:t xml:space="preserve"> </w:t>
      </w:r>
      <w:r w:rsidRPr="00A00B8B">
        <w:rPr>
          <w:rFonts w:cs="Sylfaen"/>
          <w:b w:val="0"/>
          <w:iCs/>
          <w:color w:val="000000"/>
          <w:szCs w:val="22"/>
          <w:lang w:eastAsia="en-US"/>
        </w:rPr>
        <w:t>ոչ</w:t>
      </w:r>
      <w:r w:rsidRPr="00A00B8B">
        <w:rPr>
          <w:rFonts w:cs="Sylfaen"/>
          <w:b w:val="0"/>
          <w:iCs/>
          <w:color w:val="000000"/>
          <w:szCs w:val="22"/>
          <w:lang w:val="en-US" w:eastAsia="en-US"/>
        </w:rPr>
        <w:t xml:space="preserve"> </w:t>
      </w:r>
      <w:r w:rsidRPr="00A00B8B">
        <w:rPr>
          <w:rFonts w:cs="Sylfaen"/>
          <w:b w:val="0"/>
          <w:iCs/>
          <w:color w:val="000000"/>
          <w:szCs w:val="22"/>
          <w:lang w:eastAsia="en-US"/>
        </w:rPr>
        <w:t>ենթակա</w:t>
      </w:r>
      <w:r w:rsidRPr="00A00B8B">
        <w:rPr>
          <w:rFonts w:cs="Sylfaen"/>
          <w:b w:val="0"/>
          <w:iCs/>
          <w:color w:val="000000"/>
          <w:szCs w:val="22"/>
          <w:lang w:val="en-US" w:eastAsia="en-US"/>
        </w:rPr>
        <w:t xml:space="preserve"> </w:t>
      </w:r>
      <w:r w:rsidRPr="00A00B8B">
        <w:rPr>
          <w:rFonts w:cs="Sylfaen"/>
          <w:b w:val="0"/>
          <w:iCs/>
          <w:color w:val="000000"/>
          <w:szCs w:val="22"/>
          <w:lang w:eastAsia="en-US"/>
        </w:rPr>
        <w:t>այն</w:t>
      </w:r>
      <w:r w:rsidRPr="00A00B8B">
        <w:rPr>
          <w:rFonts w:cs="Sylfaen"/>
          <w:b w:val="0"/>
          <w:iCs/>
          <w:color w:val="000000"/>
          <w:szCs w:val="22"/>
          <w:lang w:val="en-US" w:eastAsia="en-US"/>
        </w:rPr>
        <w:t xml:space="preserve"> </w:t>
      </w:r>
      <w:r w:rsidRPr="00A00B8B">
        <w:rPr>
          <w:rFonts w:cs="Sylfaen"/>
          <w:b w:val="0"/>
          <w:iCs/>
          <w:color w:val="000000"/>
          <w:szCs w:val="22"/>
          <w:lang w:eastAsia="en-US"/>
        </w:rPr>
        <w:t>ապրանքների</w:t>
      </w:r>
      <w:r w:rsidRPr="00A00B8B">
        <w:rPr>
          <w:rFonts w:cs="Sylfaen"/>
          <w:b w:val="0"/>
          <w:iCs/>
          <w:color w:val="000000"/>
          <w:szCs w:val="22"/>
          <w:lang w:val="en-US" w:eastAsia="en-US"/>
        </w:rPr>
        <w:t xml:space="preserve"> </w:t>
      </w:r>
      <w:r w:rsidRPr="00A00B8B">
        <w:rPr>
          <w:rFonts w:cs="Sylfaen"/>
          <w:b w:val="0"/>
          <w:iCs/>
          <w:color w:val="000000"/>
          <w:szCs w:val="22"/>
          <w:lang w:eastAsia="en-US"/>
        </w:rPr>
        <w:t>ցանկը</w:t>
      </w:r>
      <w:r w:rsidRPr="00A00B8B">
        <w:rPr>
          <w:rFonts w:cs="Sylfaen"/>
          <w:b w:val="0"/>
          <w:iCs/>
          <w:color w:val="000000"/>
          <w:szCs w:val="22"/>
          <w:lang w:val="en-US" w:eastAsia="en-US"/>
        </w:rPr>
        <w:t xml:space="preserve"> հաստատելու մասին, </w:t>
      </w:r>
      <w:r w:rsidRPr="00A00B8B">
        <w:rPr>
          <w:rFonts w:cs="Sylfaen"/>
          <w:b w:val="0"/>
          <w:iCs/>
          <w:color w:val="000000"/>
          <w:szCs w:val="22"/>
          <w:lang w:eastAsia="en-US"/>
        </w:rPr>
        <w:t>որոնց</w:t>
      </w:r>
      <w:r w:rsidRPr="00A00B8B">
        <w:rPr>
          <w:rFonts w:cs="Sylfaen"/>
          <w:b w:val="0"/>
          <w:iCs/>
          <w:color w:val="000000"/>
          <w:szCs w:val="22"/>
          <w:lang w:val="en-US" w:eastAsia="en-US"/>
        </w:rPr>
        <w:t xml:space="preserve"> </w:t>
      </w:r>
      <w:r w:rsidRPr="00A00B8B">
        <w:rPr>
          <w:rFonts w:cs="Sylfaen"/>
          <w:b w:val="0"/>
          <w:iCs/>
          <w:color w:val="000000"/>
          <w:szCs w:val="22"/>
          <w:lang w:eastAsia="en-US"/>
        </w:rPr>
        <w:t>ներմուծումն</w:t>
      </w:r>
      <w:r w:rsidRPr="00A00B8B">
        <w:rPr>
          <w:rFonts w:cs="Sylfaen"/>
          <w:b w:val="0"/>
          <w:iCs/>
          <w:color w:val="000000"/>
          <w:szCs w:val="22"/>
          <w:lang w:val="en-US" w:eastAsia="en-US"/>
        </w:rPr>
        <w:t xml:space="preserve"> </w:t>
      </w:r>
      <w:r w:rsidRPr="00A00B8B">
        <w:rPr>
          <w:rFonts w:cs="Sylfaen"/>
          <w:b w:val="0"/>
          <w:iCs/>
          <w:color w:val="000000"/>
          <w:szCs w:val="22"/>
          <w:lang w:eastAsia="en-US"/>
        </w:rPr>
        <w:t>ազատված</w:t>
      </w:r>
      <w:r w:rsidRPr="00A00B8B">
        <w:rPr>
          <w:rFonts w:cs="Sylfaen"/>
          <w:b w:val="0"/>
          <w:iCs/>
          <w:color w:val="000000"/>
          <w:szCs w:val="22"/>
          <w:lang w:val="en-US" w:eastAsia="en-US"/>
        </w:rPr>
        <w:t xml:space="preserve"> </w:t>
      </w:r>
      <w:r w:rsidRPr="00A00B8B">
        <w:rPr>
          <w:rFonts w:cs="Sylfaen"/>
          <w:b w:val="0"/>
          <w:iCs/>
          <w:color w:val="000000"/>
          <w:szCs w:val="22"/>
          <w:lang w:eastAsia="en-US"/>
        </w:rPr>
        <w:t>է</w:t>
      </w:r>
      <w:r w:rsidRPr="00A00B8B">
        <w:rPr>
          <w:rFonts w:cs="Sylfaen"/>
          <w:b w:val="0"/>
          <w:iCs/>
          <w:color w:val="000000"/>
          <w:szCs w:val="22"/>
          <w:lang w:val="en-US" w:eastAsia="en-US"/>
        </w:rPr>
        <w:t xml:space="preserve"> </w:t>
      </w:r>
      <w:r w:rsidRPr="00A00B8B">
        <w:rPr>
          <w:rFonts w:cs="Sylfaen"/>
          <w:b w:val="0"/>
          <w:iCs/>
          <w:color w:val="000000"/>
          <w:szCs w:val="22"/>
          <w:lang w:eastAsia="en-US"/>
        </w:rPr>
        <w:t>ավելացված</w:t>
      </w:r>
      <w:r w:rsidRPr="00A00B8B">
        <w:rPr>
          <w:rFonts w:cs="Sylfaen"/>
          <w:b w:val="0"/>
          <w:iCs/>
          <w:color w:val="000000"/>
          <w:szCs w:val="22"/>
          <w:lang w:val="en-US" w:eastAsia="en-US"/>
        </w:rPr>
        <w:t xml:space="preserve"> </w:t>
      </w:r>
      <w:r w:rsidRPr="00A00B8B">
        <w:rPr>
          <w:rFonts w:cs="Sylfaen"/>
          <w:b w:val="0"/>
          <w:iCs/>
          <w:color w:val="000000"/>
          <w:szCs w:val="22"/>
          <w:lang w:eastAsia="en-US"/>
        </w:rPr>
        <w:t>արժեքի</w:t>
      </w:r>
      <w:r w:rsidRPr="00A00B8B">
        <w:rPr>
          <w:rFonts w:cs="Sylfaen"/>
          <w:b w:val="0"/>
          <w:iCs/>
          <w:color w:val="000000"/>
          <w:szCs w:val="22"/>
          <w:lang w:val="en-US" w:eastAsia="en-US"/>
        </w:rPr>
        <w:t xml:space="preserve"> </w:t>
      </w:r>
      <w:r w:rsidRPr="00A00B8B">
        <w:rPr>
          <w:rFonts w:cs="Sylfaen"/>
          <w:b w:val="0"/>
          <w:iCs/>
          <w:color w:val="000000"/>
          <w:szCs w:val="22"/>
          <w:lang w:eastAsia="en-US"/>
        </w:rPr>
        <w:t>հարկից</w:t>
      </w:r>
      <w:r w:rsidRPr="00A00B8B">
        <w:rPr>
          <w:rFonts w:cs="Sylfaen"/>
          <w:b w:val="0"/>
          <w:iCs/>
          <w:color w:val="000000"/>
          <w:szCs w:val="22"/>
          <w:lang w:val="en-US" w:eastAsia="en-US"/>
        </w:rPr>
        <w:t xml:space="preserve">» </w:t>
      </w:r>
      <w:r w:rsidRPr="00A00B8B">
        <w:rPr>
          <w:rFonts w:cs="Sylfaen"/>
          <w:b w:val="0"/>
          <w:iCs/>
          <w:color w:val="000000"/>
          <w:szCs w:val="22"/>
          <w:lang w:eastAsia="en-US"/>
        </w:rPr>
        <w:t>ՀՀ</w:t>
      </w:r>
      <w:r w:rsidRPr="00A00B8B">
        <w:rPr>
          <w:rFonts w:cs="Sylfaen"/>
          <w:b w:val="0"/>
          <w:iCs/>
          <w:color w:val="000000"/>
          <w:szCs w:val="22"/>
          <w:lang w:val="en-US" w:eastAsia="en-US"/>
        </w:rPr>
        <w:t xml:space="preserve"> </w:t>
      </w:r>
      <w:r w:rsidRPr="00A00B8B">
        <w:rPr>
          <w:rFonts w:cs="Sylfaen"/>
          <w:b w:val="0"/>
          <w:iCs/>
          <w:color w:val="000000"/>
          <w:szCs w:val="22"/>
          <w:lang w:eastAsia="en-US"/>
        </w:rPr>
        <w:t>օրենքով</w:t>
      </w:r>
      <w:r w:rsidRPr="00A00B8B">
        <w:rPr>
          <w:rFonts w:cs="Sylfaen"/>
          <w:b w:val="0"/>
          <w:iCs/>
          <w:color w:val="000000"/>
          <w:szCs w:val="22"/>
          <w:lang w:val="en-US" w:eastAsia="en-US"/>
        </w:rPr>
        <w:t xml:space="preserve"> </w:t>
      </w:r>
      <w:r w:rsidRPr="00A00B8B">
        <w:rPr>
          <w:rFonts w:cs="Sylfaen"/>
          <w:b w:val="0"/>
          <w:iCs/>
          <w:color w:val="000000"/>
          <w:szCs w:val="22"/>
          <w:lang w:eastAsia="en-US"/>
        </w:rPr>
        <w:t>հաստատված</w:t>
      </w:r>
      <w:r w:rsidRPr="00A00B8B">
        <w:rPr>
          <w:rFonts w:cs="Sylfaen"/>
          <w:b w:val="0"/>
          <w:iCs/>
          <w:color w:val="000000"/>
          <w:szCs w:val="22"/>
          <w:lang w:val="en-US" w:eastAsia="en-US"/>
        </w:rPr>
        <w:t xml:space="preserve"> </w:t>
      </w:r>
      <w:r w:rsidRPr="00A00B8B">
        <w:rPr>
          <w:rFonts w:cs="Sylfaen"/>
          <w:b w:val="0"/>
          <w:iCs/>
          <w:color w:val="000000"/>
          <w:szCs w:val="22"/>
          <w:lang w:eastAsia="en-US"/>
        </w:rPr>
        <w:t>ցանկում</w:t>
      </w:r>
      <w:r w:rsidRPr="00A00B8B">
        <w:rPr>
          <w:rFonts w:cs="Sylfaen"/>
          <w:b w:val="0"/>
          <w:iCs/>
          <w:color w:val="000000"/>
          <w:szCs w:val="22"/>
          <w:lang w:val="en-US" w:eastAsia="en-US"/>
        </w:rPr>
        <w:t xml:space="preserve">, </w:t>
      </w:r>
      <w:r w:rsidRPr="00A00B8B">
        <w:rPr>
          <w:rFonts w:cs="Sylfaen"/>
          <w:b w:val="0"/>
          <w:iCs/>
          <w:color w:val="000000"/>
          <w:szCs w:val="22"/>
          <w:lang w:eastAsia="en-US"/>
        </w:rPr>
        <w:t>քանի</w:t>
      </w:r>
      <w:r w:rsidRPr="00A00B8B">
        <w:rPr>
          <w:rFonts w:cs="Sylfaen"/>
          <w:b w:val="0"/>
          <w:iCs/>
          <w:color w:val="000000"/>
          <w:szCs w:val="22"/>
          <w:lang w:val="en-US" w:eastAsia="en-US"/>
        </w:rPr>
        <w:t xml:space="preserve"> </w:t>
      </w:r>
      <w:r w:rsidRPr="00A00B8B">
        <w:rPr>
          <w:rFonts w:cs="Sylfaen"/>
          <w:b w:val="0"/>
          <w:iCs/>
          <w:color w:val="000000"/>
          <w:szCs w:val="22"/>
          <w:lang w:eastAsia="en-US"/>
        </w:rPr>
        <w:t>որ</w:t>
      </w:r>
      <w:r w:rsidRPr="00A00B8B">
        <w:rPr>
          <w:rFonts w:cs="Sylfaen"/>
          <w:b w:val="0"/>
          <w:iCs/>
          <w:color w:val="000000"/>
          <w:szCs w:val="22"/>
          <w:lang w:val="en-US" w:eastAsia="en-US"/>
        </w:rPr>
        <w:t xml:space="preserve"> </w:t>
      </w:r>
      <w:r w:rsidRPr="00A00B8B">
        <w:rPr>
          <w:rFonts w:cs="Sylfaen"/>
          <w:b w:val="0"/>
          <w:iCs/>
          <w:color w:val="000000"/>
          <w:szCs w:val="22"/>
          <w:lang w:eastAsia="en-US"/>
        </w:rPr>
        <w:t>այդ</w:t>
      </w:r>
      <w:r w:rsidRPr="00A00B8B">
        <w:rPr>
          <w:rFonts w:cs="Sylfaen"/>
          <w:b w:val="0"/>
          <w:iCs/>
          <w:color w:val="000000"/>
          <w:szCs w:val="22"/>
          <w:lang w:val="en-US" w:eastAsia="en-US"/>
        </w:rPr>
        <w:t xml:space="preserve"> </w:t>
      </w:r>
      <w:r w:rsidRPr="00A00B8B">
        <w:rPr>
          <w:rFonts w:cs="Sylfaen"/>
          <w:b w:val="0"/>
          <w:iCs/>
          <w:color w:val="000000"/>
          <w:szCs w:val="22"/>
          <w:lang w:eastAsia="en-US"/>
        </w:rPr>
        <w:t>ապրանք</w:t>
      </w:r>
      <w:r w:rsidRPr="00A00B8B">
        <w:rPr>
          <w:rFonts w:cs="Sylfaen"/>
          <w:b w:val="0"/>
          <w:iCs/>
          <w:color w:val="000000"/>
          <w:szCs w:val="22"/>
          <w:lang w:val="en-US" w:eastAsia="en-US"/>
        </w:rPr>
        <w:softHyphen/>
      </w:r>
      <w:r w:rsidRPr="00A00B8B">
        <w:rPr>
          <w:rFonts w:cs="Sylfaen"/>
          <w:b w:val="0"/>
          <w:iCs/>
          <w:color w:val="000000"/>
          <w:szCs w:val="22"/>
          <w:lang w:eastAsia="en-US"/>
        </w:rPr>
        <w:t>ների</w:t>
      </w:r>
      <w:r w:rsidRPr="00A00B8B">
        <w:rPr>
          <w:rFonts w:cs="Sylfaen"/>
          <w:b w:val="0"/>
          <w:iCs/>
          <w:color w:val="000000"/>
          <w:szCs w:val="22"/>
          <w:lang w:val="en-US" w:eastAsia="en-US"/>
        </w:rPr>
        <w:t xml:space="preserve"> </w:t>
      </w:r>
      <w:r w:rsidRPr="00A00B8B">
        <w:rPr>
          <w:rFonts w:cs="Sylfaen"/>
          <w:b w:val="0"/>
          <w:iCs/>
          <w:color w:val="000000"/>
          <w:szCs w:val="22"/>
          <w:lang w:eastAsia="en-US"/>
        </w:rPr>
        <w:t>մասով</w:t>
      </w:r>
      <w:r w:rsidRPr="00A00B8B">
        <w:rPr>
          <w:rFonts w:cs="Sylfaen"/>
          <w:b w:val="0"/>
          <w:iCs/>
          <w:color w:val="000000"/>
          <w:szCs w:val="22"/>
          <w:lang w:val="en-US" w:eastAsia="en-US"/>
        </w:rPr>
        <w:t xml:space="preserve">, </w:t>
      </w:r>
      <w:r w:rsidRPr="00A00B8B">
        <w:rPr>
          <w:rFonts w:cs="Sylfaen"/>
          <w:b w:val="0"/>
          <w:iCs/>
          <w:color w:val="000000"/>
          <w:szCs w:val="22"/>
          <w:lang w:eastAsia="en-US"/>
        </w:rPr>
        <w:t>տնտեսական</w:t>
      </w:r>
      <w:r w:rsidRPr="00A00B8B">
        <w:rPr>
          <w:rFonts w:cs="Sylfaen"/>
          <w:b w:val="0"/>
          <w:iCs/>
          <w:color w:val="000000"/>
          <w:szCs w:val="22"/>
          <w:lang w:val="en-US" w:eastAsia="en-US"/>
        </w:rPr>
        <w:t xml:space="preserve"> </w:t>
      </w:r>
      <w:r w:rsidRPr="00A00B8B">
        <w:rPr>
          <w:rFonts w:cs="Sylfaen"/>
          <w:b w:val="0"/>
          <w:iCs/>
          <w:color w:val="000000"/>
          <w:szCs w:val="22"/>
          <w:lang w:eastAsia="en-US"/>
        </w:rPr>
        <w:t>գործունեության</w:t>
      </w:r>
      <w:r w:rsidRPr="00A00B8B">
        <w:rPr>
          <w:rFonts w:cs="Sylfaen"/>
          <w:b w:val="0"/>
          <w:iCs/>
          <w:color w:val="000000"/>
          <w:szCs w:val="22"/>
          <w:lang w:val="en-US" w:eastAsia="en-US"/>
        </w:rPr>
        <w:t xml:space="preserve"> </w:t>
      </w:r>
      <w:r w:rsidRPr="00A00B8B">
        <w:rPr>
          <w:rFonts w:cs="Sylfaen"/>
          <w:b w:val="0"/>
          <w:iCs/>
          <w:color w:val="000000"/>
          <w:szCs w:val="22"/>
          <w:lang w:eastAsia="en-US"/>
        </w:rPr>
        <w:t>հետագա</w:t>
      </w:r>
      <w:r w:rsidRPr="00A00B8B">
        <w:rPr>
          <w:rFonts w:cs="Sylfaen"/>
          <w:b w:val="0"/>
          <w:iCs/>
          <w:color w:val="000000"/>
          <w:szCs w:val="22"/>
          <w:lang w:val="en-US" w:eastAsia="en-US"/>
        </w:rPr>
        <w:t xml:space="preserve"> փուլերում կարող են ձևավորվել ավելացված արժեքով հարկման բազաներ, որոնցից </w:t>
      </w:r>
      <w:r w:rsidRPr="00A00B8B">
        <w:rPr>
          <w:rFonts w:cs="Sylfaen"/>
          <w:b w:val="0"/>
          <w:iCs/>
          <w:color w:val="000000"/>
          <w:szCs w:val="22"/>
          <w:lang w:eastAsia="en-US"/>
        </w:rPr>
        <w:t>ավելացված</w:t>
      </w:r>
      <w:r w:rsidRPr="00A00B8B">
        <w:rPr>
          <w:rFonts w:cs="Sylfaen"/>
          <w:b w:val="0"/>
          <w:iCs/>
          <w:color w:val="000000"/>
          <w:szCs w:val="22"/>
          <w:lang w:val="en-US" w:eastAsia="en-US"/>
        </w:rPr>
        <w:t xml:space="preserve"> </w:t>
      </w:r>
      <w:r w:rsidRPr="00A00B8B">
        <w:rPr>
          <w:rFonts w:cs="Sylfaen"/>
          <w:b w:val="0"/>
          <w:iCs/>
          <w:color w:val="000000"/>
          <w:szCs w:val="22"/>
          <w:lang w:eastAsia="en-US"/>
        </w:rPr>
        <w:t>արժեքի</w:t>
      </w:r>
      <w:r w:rsidRPr="00A00B8B">
        <w:rPr>
          <w:rFonts w:cs="Sylfaen"/>
          <w:b w:val="0"/>
          <w:iCs/>
          <w:color w:val="000000"/>
          <w:szCs w:val="22"/>
          <w:lang w:val="en-US" w:eastAsia="en-US"/>
        </w:rPr>
        <w:t xml:space="preserve"> </w:t>
      </w:r>
      <w:r w:rsidRPr="00A00B8B">
        <w:rPr>
          <w:rFonts w:cs="Sylfaen"/>
          <w:b w:val="0"/>
          <w:iCs/>
          <w:color w:val="000000"/>
          <w:szCs w:val="22"/>
          <w:lang w:eastAsia="en-US"/>
        </w:rPr>
        <w:t>հարկ</w:t>
      </w:r>
      <w:r w:rsidRPr="00A00B8B">
        <w:rPr>
          <w:rFonts w:cs="Sylfaen"/>
          <w:b w:val="0"/>
          <w:iCs/>
          <w:color w:val="000000"/>
          <w:szCs w:val="22"/>
          <w:lang w:val="en-US" w:eastAsia="en-US"/>
        </w:rPr>
        <w:t xml:space="preserve">ը </w:t>
      </w:r>
      <w:r w:rsidRPr="00A00B8B">
        <w:rPr>
          <w:rFonts w:cs="Sylfaen"/>
          <w:b w:val="0"/>
          <w:iCs/>
          <w:color w:val="000000"/>
          <w:szCs w:val="22"/>
          <w:lang w:eastAsia="en-US"/>
        </w:rPr>
        <w:t>հաշվարկվ</w:t>
      </w:r>
      <w:r w:rsidRPr="00A00B8B">
        <w:rPr>
          <w:rFonts w:cs="Sylfaen"/>
          <w:b w:val="0"/>
          <w:iCs/>
          <w:color w:val="000000"/>
          <w:szCs w:val="22"/>
          <w:lang w:val="en-US" w:eastAsia="en-US"/>
        </w:rPr>
        <w:t xml:space="preserve">ում </w:t>
      </w:r>
      <w:r w:rsidRPr="00A00B8B">
        <w:rPr>
          <w:rFonts w:cs="Sylfaen"/>
          <w:b w:val="0"/>
          <w:iCs/>
          <w:color w:val="000000"/>
          <w:szCs w:val="22"/>
          <w:lang w:eastAsia="en-US"/>
        </w:rPr>
        <w:t>և</w:t>
      </w:r>
      <w:r w:rsidRPr="00A00B8B">
        <w:rPr>
          <w:rFonts w:cs="Sylfaen"/>
          <w:b w:val="0"/>
          <w:iCs/>
          <w:color w:val="000000"/>
          <w:szCs w:val="22"/>
          <w:lang w:val="en-US" w:eastAsia="en-US"/>
        </w:rPr>
        <w:t xml:space="preserve"> </w:t>
      </w:r>
      <w:r w:rsidRPr="00A00B8B">
        <w:rPr>
          <w:rFonts w:cs="Sylfaen"/>
          <w:b w:val="0"/>
          <w:iCs/>
          <w:color w:val="000000"/>
          <w:szCs w:val="22"/>
          <w:lang w:eastAsia="en-US"/>
        </w:rPr>
        <w:t>վճարվ</w:t>
      </w:r>
      <w:r w:rsidRPr="00A00B8B">
        <w:rPr>
          <w:rFonts w:cs="Sylfaen"/>
          <w:b w:val="0"/>
          <w:iCs/>
          <w:color w:val="000000"/>
          <w:szCs w:val="22"/>
          <w:lang w:val="en-US" w:eastAsia="en-US"/>
        </w:rPr>
        <w:t xml:space="preserve">ում է </w:t>
      </w:r>
      <w:r w:rsidRPr="00A00B8B">
        <w:rPr>
          <w:rFonts w:cs="Sylfaen"/>
          <w:b w:val="0"/>
          <w:iCs/>
          <w:color w:val="000000"/>
          <w:szCs w:val="22"/>
          <w:lang w:eastAsia="en-US"/>
        </w:rPr>
        <w:t>օրենքով</w:t>
      </w:r>
      <w:r w:rsidRPr="00A00B8B">
        <w:rPr>
          <w:rFonts w:cs="Sylfaen"/>
          <w:b w:val="0"/>
          <w:iCs/>
          <w:color w:val="000000"/>
          <w:szCs w:val="22"/>
          <w:lang w:val="en-US" w:eastAsia="en-US"/>
        </w:rPr>
        <w:t xml:space="preserve"> </w:t>
      </w:r>
      <w:r w:rsidRPr="00A00B8B">
        <w:rPr>
          <w:rFonts w:cs="Sylfaen"/>
          <w:b w:val="0"/>
          <w:iCs/>
          <w:color w:val="000000"/>
          <w:szCs w:val="22"/>
          <w:lang w:eastAsia="en-US"/>
        </w:rPr>
        <w:t>սահմանված</w:t>
      </w:r>
      <w:r w:rsidRPr="00A00B8B">
        <w:rPr>
          <w:rFonts w:cs="Sylfaen"/>
          <w:b w:val="0"/>
          <w:iCs/>
          <w:color w:val="000000"/>
          <w:szCs w:val="22"/>
          <w:lang w:val="en-US" w:eastAsia="en-US"/>
        </w:rPr>
        <w:t xml:space="preserve"> </w:t>
      </w:r>
      <w:r w:rsidRPr="00A00B8B">
        <w:rPr>
          <w:rFonts w:cs="Sylfaen"/>
          <w:b w:val="0"/>
          <w:iCs/>
          <w:color w:val="000000"/>
          <w:szCs w:val="22"/>
          <w:lang w:eastAsia="en-US"/>
        </w:rPr>
        <w:t>կարգով</w:t>
      </w:r>
      <w:r w:rsidRPr="00A00B8B">
        <w:rPr>
          <w:rFonts w:cs="Sylfaen"/>
          <w:b w:val="0"/>
          <w:iCs/>
          <w:color w:val="000000"/>
          <w:szCs w:val="22"/>
          <w:lang w:val="en-US" w:eastAsia="en-US"/>
        </w:rPr>
        <w:t>:</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Այսպիսով, 202</w:t>
      </w:r>
      <w:r w:rsidRPr="00A00B8B">
        <w:rPr>
          <w:b w:val="0"/>
          <w:szCs w:val="22"/>
          <w:lang w:val="hy-AM" w:eastAsia="en-US"/>
        </w:rPr>
        <w:t>1</w:t>
      </w:r>
      <w:r w:rsidRPr="00A00B8B">
        <w:rPr>
          <w:b w:val="0"/>
          <w:szCs w:val="22"/>
          <w:lang w:val="en-US" w:eastAsia="en-US"/>
        </w:rPr>
        <w:t xml:space="preserve"> թվականի ԱԱՀ-ի գծով գնահատված հարկային ծախսերը կազմում են </w:t>
      </w:r>
      <w:r w:rsidRPr="00A00B8B">
        <w:rPr>
          <w:rFonts w:cs="Sylfaen"/>
          <w:iCs/>
          <w:color w:val="000000"/>
          <w:szCs w:val="22"/>
          <w:lang w:val="en-US" w:eastAsia="en-US"/>
        </w:rPr>
        <w:t xml:space="preserve">362,931 </w:t>
      </w:r>
      <w:r w:rsidRPr="00A00B8B">
        <w:rPr>
          <w:i/>
          <w:szCs w:val="22"/>
          <w:lang w:val="en-US" w:eastAsia="en-US"/>
        </w:rPr>
        <w:t>մլն. դրամ</w:t>
      </w:r>
      <w:r w:rsidRPr="00A00B8B">
        <w:rPr>
          <w:b w:val="0"/>
          <w:szCs w:val="22"/>
          <w:lang w:val="en-US" w:eastAsia="en-US"/>
        </w:rPr>
        <w:t xml:space="preserve">*: </w:t>
      </w:r>
    </w:p>
    <w:p w:rsidR="00A00B8B" w:rsidRPr="00A00B8B" w:rsidRDefault="00A00B8B" w:rsidP="007730AA">
      <w:pPr>
        <w:spacing w:before="0" w:line="276" w:lineRule="auto"/>
        <w:contextualSpacing w:val="0"/>
        <w:rPr>
          <w:b w:val="0"/>
          <w:i/>
          <w:szCs w:val="22"/>
          <w:lang w:val="en-US" w:eastAsia="en-US"/>
        </w:rPr>
      </w:pPr>
      <w:r w:rsidRPr="00A00B8B">
        <w:rPr>
          <w:b w:val="0"/>
          <w:i/>
          <w:szCs w:val="22"/>
          <w:lang w:val="en-US" w:eastAsia="en-US"/>
        </w:rPr>
        <w:t>*Տրված գնահատականում ներառված է նաև ԱԱՀ-ի շեմի կիրառության հետևան</w:t>
      </w:r>
      <w:r w:rsidRPr="00A00B8B">
        <w:rPr>
          <w:b w:val="0"/>
          <w:i/>
          <w:szCs w:val="22"/>
          <w:lang w:val="en-US" w:eastAsia="en-US"/>
        </w:rPr>
        <w:softHyphen/>
        <w:t>քով ԱԱՀ-ի գծով հարկային եկամուտների հաշվարկային կորուստը, որը սույն հաշվետ</w:t>
      </w:r>
      <w:r w:rsidRPr="00A00B8B">
        <w:rPr>
          <w:b w:val="0"/>
          <w:i/>
          <w:szCs w:val="22"/>
          <w:lang w:val="en-US" w:eastAsia="en-US"/>
        </w:rPr>
        <w:softHyphen/>
        <w:t>վու</w:t>
      </w:r>
      <w:r w:rsidRPr="00A00B8B">
        <w:rPr>
          <w:b w:val="0"/>
          <w:i/>
          <w:szCs w:val="22"/>
          <w:lang w:val="en-US" w:eastAsia="en-US"/>
        </w:rPr>
        <w:softHyphen/>
      </w:r>
      <w:r w:rsidRPr="00A00B8B">
        <w:rPr>
          <w:b w:val="0"/>
          <w:i/>
          <w:szCs w:val="22"/>
          <w:lang w:val="en-US" w:eastAsia="en-US"/>
        </w:rPr>
        <w:softHyphen/>
        <w:t xml:space="preserve">թյունում ներկայացվում է առանձին գնահատմամբ և կազմում է </w:t>
      </w:r>
      <w:r w:rsidRPr="00A00B8B">
        <w:rPr>
          <w:i/>
          <w:szCs w:val="22"/>
          <w:lang w:val="en-US" w:eastAsia="en-US"/>
        </w:rPr>
        <w:t xml:space="preserve">38,957 մլն. դրամ, </w:t>
      </w:r>
      <w:r w:rsidRPr="00A00B8B">
        <w:rPr>
          <w:b w:val="0"/>
          <w:szCs w:val="22"/>
          <w:lang w:val="en-US" w:eastAsia="en-US"/>
        </w:rPr>
        <w:t xml:space="preserve">ինչպես նաև միկրոբիզնեսին տրված հարկային արտոնությունների մասով ԱԱՀ-ի գծով </w:t>
      </w:r>
      <w:r w:rsidRPr="00A00B8B">
        <w:rPr>
          <w:b w:val="0"/>
          <w:i/>
          <w:szCs w:val="22"/>
          <w:lang w:val="en-US" w:eastAsia="en-US"/>
        </w:rPr>
        <w:t>հարկային եկամուտների հաշվարկային կորուստը, որը սույն հաշվետ</w:t>
      </w:r>
      <w:r w:rsidRPr="00A00B8B">
        <w:rPr>
          <w:b w:val="0"/>
          <w:i/>
          <w:szCs w:val="22"/>
          <w:lang w:val="en-US" w:eastAsia="en-US"/>
        </w:rPr>
        <w:softHyphen/>
        <w:t>վու</w:t>
      </w:r>
      <w:r w:rsidRPr="00A00B8B">
        <w:rPr>
          <w:b w:val="0"/>
          <w:i/>
          <w:szCs w:val="22"/>
          <w:lang w:val="en-US" w:eastAsia="en-US"/>
        </w:rPr>
        <w:softHyphen/>
      </w:r>
      <w:r w:rsidRPr="00A00B8B">
        <w:rPr>
          <w:b w:val="0"/>
          <w:i/>
          <w:szCs w:val="22"/>
          <w:lang w:val="en-US" w:eastAsia="en-US"/>
        </w:rPr>
        <w:softHyphen/>
        <w:t xml:space="preserve">թյունում ներկայացվում է առանձին գնահատմամբ և կազմում է </w:t>
      </w:r>
      <w:r w:rsidRPr="00A00B8B">
        <w:rPr>
          <w:i/>
          <w:szCs w:val="22"/>
          <w:lang w:val="en-US" w:eastAsia="en-US"/>
        </w:rPr>
        <w:t>1,924 մլն. դրամ</w:t>
      </w:r>
      <w:r w:rsidRPr="00A00B8B">
        <w:rPr>
          <w:b w:val="0"/>
          <w:i/>
          <w:szCs w:val="22"/>
          <w:lang w:val="en-US" w:eastAsia="en-US"/>
        </w:rPr>
        <w:t>:</w:t>
      </w:r>
    </w:p>
    <w:p w:rsidR="00A00B8B" w:rsidRPr="00A00B8B" w:rsidRDefault="00A00B8B" w:rsidP="007730AA">
      <w:pPr>
        <w:tabs>
          <w:tab w:val="left" w:pos="851"/>
        </w:tabs>
        <w:spacing w:before="0" w:line="276" w:lineRule="auto"/>
        <w:ind w:firstLine="0"/>
        <w:rPr>
          <w:i/>
          <w:szCs w:val="22"/>
          <w:lang w:val="en-US" w:eastAsia="en-US"/>
        </w:rPr>
      </w:pPr>
    </w:p>
    <w:p w:rsidR="00A00B8B" w:rsidRPr="00A00B8B" w:rsidRDefault="00A00B8B" w:rsidP="007730AA">
      <w:pPr>
        <w:numPr>
          <w:ilvl w:val="0"/>
          <w:numId w:val="63"/>
        </w:numPr>
        <w:tabs>
          <w:tab w:val="left" w:pos="851"/>
        </w:tabs>
        <w:spacing w:before="0" w:line="276" w:lineRule="auto"/>
        <w:ind w:left="0" w:firstLine="567"/>
        <w:contextualSpacing w:val="0"/>
        <w:jc w:val="left"/>
        <w:rPr>
          <w:i/>
          <w:szCs w:val="22"/>
          <w:lang w:val="en-US" w:eastAsia="en-US"/>
        </w:rPr>
      </w:pPr>
      <w:r w:rsidRPr="00A00B8B">
        <w:rPr>
          <w:rFonts w:cs="Sylfaen"/>
          <w:i/>
          <w:szCs w:val="22"/>
          <w:lang w:val="en-US" w:eastAsia="en-US"/>
        </w:rPr>
        <w:t>Շահութահարկի</w:t>
      </w:r>
      <w:r w:rsidRPr="00A00B8B">
        <w:rPr>
          <w:i/>
          <w:szCs w:val="22"/>
          <w:lang w:val="en-US" w:eastAsia="en-US"/>
        </w:rPr>
        <w:t xml:space="preserve"> գծով հարկային ծախսեր.</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 xml:space="preserve">Շահութահարկի գծով հարկային ծախսերը գնահատվել են </w:t>
      </w:r>
      <w:r w:rsidRPr="00A00B8B">
        <w:rPr>
          <w:i/>
          <w:szCs w:val="22"/>
          <w:lang w:val="en-US" w:eastAsia="en-US"/>
        </w:rPr>
        <w:t>71,739 մլն. դրամի չափով*</w:t>
      </w:r>
      <w:r w:rsidRPr="00A00B8B">
        <w:rPr>
          <w:b w:val="0"/>
          <w:szCs w:val="22"/>
          <w:lang w:val="en-US" w:eastAsia="en-US"/>
        </w:rPr>
        <w:t>: Շահու</w:t>
      </w:r>
      <w:r w:rsidRPr="00A00B8B">
        <w:rPr>
          <w:b w:val="0"/>
          <w:szCs w:val="22"/>
          <w:lang w:val="en-US" w:eastAsia="en-US"/>
        </w:rPr>
        <w:softHyphen/>
        <w:t>թահարկի գծով հարկային արտոնությունները գնահատվել են հետևյալ հիմնական ուղղու</w:t>
      </w:r>
      <w:r w:rsidRPr="00A00B8B">
        <w:rPr>
          <w:b w:val="0"/>
          <w:szCs w:val="22"/>
          <w:lang w:val="en-US" w:eastAsia="en-US"/>
        </w:rPr>
        <w:softHyphen/>
        <w:t>թյուններով.</w:t>
      </w:r>
    </w:p>
    <w:p w:rsidR="00A00B8B" w:rsidRPr="00A00B8B" w:rsidRDefault="00A00B8B" w:rsidP="007730AA">
      <w:pPr>
        <w:numPr>
          <w:ilvl w:val="0"/>
          <w:numId w:val="64"/>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գյուղատնտեսություն` </w:t>
      </w:r>
      <w:r w:rsidRPr="00A00B8B">
        <w:rPr>
          <w:i/>
          <w:color w:val="000000"/>
          <w:szCs w:val="22"/>
          <w:lang w:val="en-US" w:eastAsia="en-US"/>
        </w:rPr>
        <w:t>40,925</w:t>
      </w:r>
      <w:r w:rsidRPr="00A00B8B">
        <w:rPr>
          <w:i/>
          <w:szCs w:val="22"/>
          <w:lang w:val="en-US" w:eastAsia="en-US"/>
        </w:rPr>
        <w:t xml:space="preserve"> մլն. դրամ</w:t>
      </w:r>
      <w:r w:rsidRPr="00A00B8B">
        <w:rPr>
          <w:b w:val="0"/>
          <w:szCs w:val="22"/>
          <w:lang w:val="en-US" w:eastAsia="en-US"/>
        </w:rPr>
        <w:t xml:space="preserve">, այդ թվում՝ կազմակերպությունների շահույթից՝ </w:t>
      </w:r>
      <w:r w:rsidRPr="00A00B8B">
        <w:rPr>
          <w:i/>
          <w:color w:val="000000"/>
          <w:szCs w:val="22"/>
          <w:lang w:val="en-US" w:eastAsia="en-US"/>
        </w:rPr>
        <w:t>2,491</w:t>
      </w:r>
      <w:r w:rsidRPr="00A00B8B">
        <w:rPr>
          <w:i/>
          <w:szCs w:val="22"/>
          <w:lang w:val="en-US" w:eastAsia="en-US"/>
        </w:rPr>
        <w:t xml:space="preserve"> մլն. դրամ</w:t>
      </w:r>
      <w:r w:rsidRPr="00A00B8B">
        <w:rPr>
          <w:b w:val="0"/>
          <w:szCs w:val="22"/>
          <w:lang w:val="en-US" w:eastAsia="en-US"/>
        </w:rPr>
        <w:t xml:space="preserve">, և ֆիզիկական անձանց (ԱՁ-ների) շահույթից՝ </w:t>
      </w:r>
      <w:r w:rsidRPr="00A00B8B">
        <w:rPr>
          <w:i/>
          <w:color w:val="000000"/>
          <w:szCs w:val="22"/>
          <w:lang w:val="en-US" w:eastAsia="en-US"/>
        </w:rPr>
        <w:t>38,434</w:t>
      </w:r>
      <w:r w:rsidRPr="00A00B8B">
        <w:rPr>
          <w:i/>
          <w:szCs w:val="22"/>
          <w:lang w:val="en-US" w:eastAsia="en-US"/>
        </w:rPr>
        <w:t xml:space="preserve"> մլն. դրամ</w:t>
      </w:r>
      <w:r w:rsidRPr="00A00B8B">
        <w:rPr>
          <w:b w:val="0"/>
          <w:szCs w:val="22"/>
          <w:lang w:val="en-US" w:eastAsia="en-US"/>
        </w:rPr>
        <w:t>,</w:t>
      </w:r>
    </w:p>
    <w:p w:rsidR="00A00B8B" w:rsidRPr="00A00B8B" w:rsidRDefault="00A00B8B" w:rsidP="007730AA">
      <w:pPr>
        <w:numPr>
          <w:ilvl w:val="0"/>
          <w:numId w:val="64"/>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հարկվող շահույթի նվազեցման արտոնություններ, բացառությամբ՝ գյուղատնտեսության՝ </w:t>
      </w:r>
      <w:r w:rsidRPr="00A00B8B">
        <w:rPr>
          <w:i/>
          <w:color w:val="000000"/>
          <w:szCs w:val="22"/>
          <w:lang w:val="en-US" w:eastAsia="en-US"/>
        </w:rPr>
        <w:t>6,188</w:t>
      </w:r>
      <w:r w:rsidRPr="00A00B8B">
        <w:rPr>
          <w:i/>
          <w:szCs w:val="22"/>
          <w:lang w:val="en-US" w:eastAsia="en-US"/>
        </w:rPr>
        <w:t xml:space="preserve"> մլն. դրամ</w:t>
      </w:r>
      <w:r w:rsidRPr="00A00B8B">
        <w:rPr>
          <w:b w:val="0"/>
          <w:szCs w:val="22"/>
          <w:lang w:val="en-US" w:eastAsia="en-US"/>
        </w:rPr>
        <w:t>,</w:t>
      </w:r>
    </w:p>
    <w:p w:rsidR="00A00B8B" w:rsidRPr="00A00B8B" w:rsidRDefault="00A00B8B" w:rsidP="007730AA">
      <w:pPr>
        <w:numPr>
          <w:ilvl w:val="0"/>
          <w:numId w:val="64"/>
        </w:numPr>
        <w:tabs>
          <w:tab w:val="left" w:pos="851"/>
        </w:tabs>
        <w:spacing w:before="0" w:line="276" w:lineRule="auto"/>
        <w:ind w:left="0" w:firstLine="567"/>
        <w:contextualSpacing w:val="0"/>
        <w:rPr>
          <w:b w:val="0"/>
          <w:szCs w:val="22"/>
          <w:lang w:val="en-US" w:eastAsia="en-US"/>
        </w:rPr>
      </w:pPr>
      <w:r w:rsidRPr="00A00B8B">
        <w:rPr>
          <w:b w:val="0"/>
          <w:szCs w:val="22"/>
          <w:lang w:val="en-US" w:eastAsia="en-US"/>
        </w:rPr>
        <w:t xml:space="preserve">շահութահարկի նվազեցման արտոնություններ՝ </w:t>
      </w:r>
      <w:r w:rsidRPr="00A00B8B">
        <w:rPr>
          <w:i/>
          <w:color w:val="000000"/>
          <w:szCs w:val="22"/>
          <w:lang w:val="en-US" w:eastAsia="en-US"/>
        </w:rPr>
        <w:t>98</w:t>
      </w:r>
      <w:r w:rsidRPr="00A00B8B">
        <w:rPr>
          <w:i/>
          <w:szCs w:val="22"/>
          <w:lang w:val="en-US" w:eastAsia="en-US"/>
        </w:rPr>
        <w:t xml:space="preserve"> մլն. դրամ</w:t>
      </w:r>
      <w:r w:rsidRPr="00A00B8B">
        <w:rPr>
          <w:b w:val="0"/>
          <w:szCs w:val="22"/>
          <w:lang w:val="en-US" w:eastAsia="en-US"/>
        </w:rPr>
        <w:t>,</w:t>
      </w:r>
    </w:p>
    <w:p w:rsidR="00A00B8B" w:rsidRPr="00A00B8B" w:rsidRDefault="00A00B8B" w:rsidP="007730AA">
      <w:pPr>
        <w:numPr>
          <w:ilvl w:val="0"/>
          <w:numId w:val="64"/>
        </w:numPr>
        <w:tabs>
          <w:tab w:val="left" w:pos="851"/>
        </w:tabs>
        <w:spacing w:before="0" w:line="276" w:lineRule="auto"/>
        <w:ind w:left="0" w:firstLine="567"/>
        <w:contextualSpacing w:val="0"/>
        <w:rPr>
          <w:b w:val="0"/>
          <w:szCs w:val="22"/>
          <w:lang w:val="en-US" w:eastAsia="en-US"/>
        </w:rPr>
      </w:pPr>
      <w:r w:rsidRPr="00A00B8B">
        <w:rPr>
          <w:rFonts w:cs="Sylfaen"/>
          <w:b w:val="0"/>
          <w:szCs w:val="22"/>
          <w:lang w:val="en-US" w:eastAsia="en-US"/>
        </w:rPr>
        <w:t xml:space="preserve">ԱԱՀ-ի շեմ` </w:t>
      </w:r>
      <w:r w:rsidRPr="00A00B8B">
        <w:rPr>
          <w:i/>
          <w:szCs w:val="22"/>
          <w:lang w:val="en-US" w:eastAsia="en-US"/>
        </w:rPr>
        <w:t>23,374 մլն. դրամ,</w:t>
      </w:r>
    </w:p>
    <w:p w:rsidR="00A00B8B" w:rsidRPr="00A00B8B" w:rsidRDefault="00A00B8B" w:rsidP="007730AA">
      <w:pPr>
        <w:numPr>
          <w:ilvl w:val="0"/>
          <w:numId w:val="64"/>
        </w:numPr>
        <w:tabs>
          <w:tab w:val="left" w:pos="851"/>
        </w:tabs>
        <w:spacing w:before="0" w:line="276" w:lineRule="auto"/>
        <w:ind w:left="0" w:firstLine="567"/>
        <w:contextualSpacing w:val="0"/>
        <w:rPr>
          <w:b w:val="0"/>
          <w:szCs w:val="22"/>
          <w:lang w:val="en-US" w:eastAsia="en-US"/>
        </w:rPr>
      </w:pPr>
      <w:r w:rsidRPr="00A00B8B">
        <w:rPr>
          <w:rFonts w:cs="Sylfaen"/>
          <w:b w:val="0"/>
          <w:szCs w:val="22"/>
          <w:lang w:val="en-US" w:eastAsia="en-US"/>
        </w:rPr>
        <w:t xml:space="preserve">միկրոբիզնես՝ </w:t>
      </w:r>
      <w:r w:rsidRPr="00A00B8B">
        <w:rPr>
          <w:i/>
          <w:szCs w:val="22"/>
          <w:lang w:val="en-US" w:eastAsia="en-US"/>
        </w:rPr>
        <w:t>1,154 մլն. դրամ:</w:t>
      </w:r>
    </w:p>
    <w:p w:rsidR="00A00B8B" w:rsidRPr="00A00B8B" w:rsidRDefault="00A00B8B" w:rsidP="007730AA">
      <w:pPr>
        <w:tabs>
          <w:tab w:val="left" w:pos="851"/>
        </w:tabs>
        <w:spacing w:before="0" w:line="276" w:lineRule="auto"/>
        <w:ind w:firstLine="0"/>
        <w:rPr>
          <w:b w:val="0"/>
          <w:szCs w:val="22"/>
          <w:lang w:val="en-US" w:eastAsia="en-US"/>
        </w:rPr>
      </w:pPr>
    </w:p>
    <w:p w:rsidR="00A00B8B" w:rsidRPr="00A00B8B" w:rsidRDefault="00A00B8B" w:rsidP="007730AA">
      <w:pPr>
        <w:spacing w:before="0" w:line="276" w:lineRule="auto"/>
        <w:ind w:firstLine="720"/>
        <w:rPr>
          <w:b w:val="0"/>
          <w:i/>
          <w:szCs w:val="22"/>
          <w:lang w:val="en-US" w:eastAsia="en-US"/>
        </w:rPr>
      </w:pPr>
      <w:r w:rsidRPr="00A00B8B">
        <w:rPr>
          <w:b w:val="0"/>
          <w:i/>
          <w:szCs w:val="22"/>
          <w:lang w:val="en-US" w:eastAsia="en-US"/>
        </w:rPr>
        <w:t>*</w:t>
      </w:r>
      <w:r w:rsidRPr="00A00B8B">
        <w:rPr>
          <w:b w:val="0"/>
          <w:i/>
          <w:szCs w:val="22"/>
          <w:lang w:val="hy-AM" w:eastAsia="en-US"/>
        </w:rPr>
        <w:t>Մինչև 2020 թվականը</w:t>
      </w:r>
      <w:r w:rsidRPr="00A00B8B">
        <w:rPr>
          <w:b w:val="0"/>
          <w:i/>
          <w:szCs w:val="22"/>
          <w:lang w:val="en-US" w:eastAsia="en-US"/>
        </w:rPr>
        <w:t xml:space="preserve"> հարկային ծախսերի գնահատականներում ֆիզիկական անձանց (ԱՁ-ների) շահույթի գծով հարկային ծախսերը ներառված էին եկամտային հարկի բաժնում:</w:t>
      </w:r>
    </w:p>
    <w:p w:rsidR="00A00B8B" w:rsidRPr="00A00B8B" w:rsidRDefault="00A00B8B" w:rsidP="007730AA">
      <w:pPr>
        <w:spacing w:before="0" w:line="276" w:lineRule="auto"/>
        <w:ind w:firstLine="0"/>
        <w:rPr>
          <w:i/>
          <w:szCs w:val="22"/>
          <w:lang w:val="en-US" w:eastAsia="en-US"/>
        </w:rPr>
      </w:pPr>
    </w:p>
    <w:p w:rsidR="00A00B8B" w:rsidRPr="00A00B8B" w:rsidRDefault="00A00B8B" w:rsidP="007730AA">
      <w:pPr>
        <w:numPr>
          <w:ilvl w:val="0"/>
          <w:numId w:val="63"/>
        </w:numPr>
        <w:tabs>
          <w:tab w:val="left" w:pos="993"/>
        </w:tabs>
        <w:spacing w:before="0" w:line="276" w:lineRule="auto"/>
        <w:ind w:left="0" w:firstLine="567"/>
        <w:contextualSpacing w:val="0"/>
        <w:rPr>
          <w:rFonts w:cs="Sylfaen"/>
          <w:i/>
          <w:szCs w:val="22"/>
          <w:lang w:val="en-US" w:eastAsia="en-US"/>
        </w:rPr>
      </w:pPr>
      <w:r w:rsidRPr="00A00B8B">
        <w:rPr>
          <w:rFonts w:cs="Sylfaen"/>
          <w:i/>
          <w:szCs w:val="22"/>
          <w:lang w:val="en-US" w:eastAsia="en-US"/>
        </w:rPr>
        <w:t>Եկամտային հարկի գծով հարկային ծախսեր.</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 xml:space="preserve">Եկամտային հարկի գծով հարկային ծախսերը գնահատվել են </w:t>
      </w:r>
      <w:r w:rsidRPr="00A00B8B">
        <w:rPr>
          <w:szCs w:val="22"/>
          <w:lang w:val="en-US" w:eastAsia="en-US"/>
        </w:rPr>
        <w:t>1</w:t>
      </w:r>
      <w:r w:rsidRPr="00A00B8B">
        <w:rPr>
          <w:szCs w:val="22"/>
          <w:lang w:val="hy-AM" w:eastAsia="en-US"/>
        </w:rPr>
        <w:t>6,</w:t>
      </w:r>
      <w:r w:rsidRPr="00A00B8B">
        <w:rPr>
          <w:szCs w:val="22"/>
          <w:lang w:val="en-US" w:eastAsia="en-US"/>
        </w:rPr>
        <w:t>406 մլն. դրամի չափով</w:t>
      </w:r>
      <w:r w:rsidRPr="00A00B8B">
        <w:rPr>
          <w:b w:val="0"/>
          <w:szCs w:val="22"/>
          <w:lang w:val="en-US" w:eastAsia="en-US"/>
        </w:rPr>
        <w:t xml:space="preserve">, այդ թվում՝ եկամտային հարկի գծով հարկային ծախսերը գնահատվել են գյուղատնտեսության վարձու աշխատողների աշխատանքի վարձատրության մասով, ինչպես նաև միկրոբիզնեսի մասով՝ </w:t>
      </w:r>
      <w:r w:rsidRPr="00A00B8B">
        <w:rPr>
          <w:szCs w:val="22"/>
          <w:lang w:val="en-US" w:eastAsia="en-US"/>
        </w:rPr>
        <w:t>4,798 մլն. դրամի չափով</w:t>
      </w:r>
      <w:r w:rsidRPr="00A00B8B">
        <w:rPr>
          <w:b w:val="0"/>
          <w:szCs w:val="22"/>
          <w:lang w:val="en-US" w:eastAsia="en-US"/>
        </w:rPr>
        <w:t>:</w:t>
      </w:r>
    </w:p>
    <w:p w:rsidR="00A00B8B" w:rsidRPr="00A00B8B" w:rsidRDefault="00A00B8B" w:rsidP="007730AA">
      <w:pPr>
        <w:spacing w:before="0" w:line="276" w:lineRule="auto"/>
        <w:ind w:firstLine="0"/>
        <w:rPr>
          <w:i/>
          <w:szCs w:val="22"/>
          <w:lang w:val="en-US" w:eastAsia="en-US"/>
        </w:rPr>
      </w:pPr>
    </w:p>
    <w:p w:rsidR="00A00B8B" w:rsidRPr="00A00B8B" w:rsidRDefault="00A00B8B" w:rsidP="007730AA">
      <w:pPr>
        <w:numPr>
          <w:ilvl w:val="0"/>
          <w:numId w:val="63"/>
        </w:numPr>
        <w:tabs>
          <w:tab w:val="left" w:pos="993"/>
        </w:tabs>
        <w:spacing w:before="0" w:line="276" w:lineRule="auto"/>
        <w:ind w:left="0" w:firstLine="567"/>
        <w:contextualSpacing w:val="0"/>
        <w:rPr>
          <w:rFonts w:cs="Sylfaen"/>
          <w:i/>
          <w:szCs w:val="22"/>
          <w:lang w:val="en-US" w:eastAsia="en-US"/>
        </w:rPr>
      </w:pPr>
      <w:r w:rsidRPr="00A00B8B">
        <w:rPr>
          <w:rFonts w:cs="Sylfaen"/>
          <w:i/>
          <w:szCs w:val="22"/>
          <w:lang w:val="en-US" w:eastAsia="en-US"/>
        </w:rPr>
        <w:t>ԱԱՀ-ի շեմի գծով հարկային ծախսերը.</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 xml:space="preserve">ԱԱՀ-ի շեմի գծով հարկային ծախսերը գնահատվել են </w:t>
      </w:r>
      <w:r w:rsidRPr="00A00B8B">
        <w:rPr>
          <w:i/>
          <w:szCs w:val="22"/>
          <w:lang w:val="en-US" w:eastAsia="en-US"/>
        </w:rPr>
        <w:t>62,331 մլն. դրամի չափով*,</w:t>
      </w:r>
      <w:r w:rsidRPr="00A00B8B">
        <w:rPr>
          <w:b w:val="0"/>
          <w:szCs w:val="22"/>
          <w:lang w:val="en-US" w:eastAsia="en-US"/>
        </w:rPr>
        <w:t xml:space="preserve"> այդ թվում`</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 xml:space="preserve">ԱԱՀ` </w:t>
      </w:r>
      <w:r w:rsidRPr="00A00B8B">
        <w:rPr>
          <w:i/>
          <w:szCs w:val="22"/>
          <w:lang w:val="en-US" w:eastAsia="en-US"/>
        </w:rPr>
        <w:t>38,</w:t>
      </w:r>
      <w:r w:rsidRPr="00A00B8B">
        <w:rPr>
          <w:i/>
          <w:szCs w:val="22"/>
          <w:lang w:val="hy-AM" w:eastAsia="en-US"/>
        </w:rPr>
        <w:t>957</w:t>
      </w:r>
      <w:r w:rsidRPr="00A00B8B">
        <w:rPr>
          <w:i/>
          <w:szCs w:val="22"/>
          <w:lang w:val="en-US" w:eastAsia="en-US"/>
        </w:rPr>
        <w:t xml:space="preserve"> մլն. դրամ</w:t>
      </w:r>
      <w:r w:rsidRPr="00A00B8B">
        <w:rPr>
          <w:b w:val="0"/>
          <w:szCs w:val="22"/>
          <w:lang w:val="en-US" w:eastAsia="en-US"/>
        </w:rPr>
        <w:t>,</w:t>
      </w:r>
    </w:p>
    <w:p w:rsidR="00A00B8B" w:rsidRPr="00A00B8B" w:rsidRDefault="00A00B8B" w:rsidP="007730AA">
      <w:pPr>
        <w:shd w:val="clear" w:color="auto" w:fill="FFFFFF"/>
        <w:spacing w:before="0" w:line="276" w:lineRule="auto"/>
        <w:contextualSpacing w:val="0"/>
        <w:rPr>
          <w:b w:val="0"/>
          <w:szCs w:val="22"/>
          <w:lang w:val="en-US"/>
        </w:rPr>
      </w:pPr>
      <w:r w:rsidRPr="00A00B8B">
        <w:rPr>
          <w:b w:val="0"/>
          <w:szCs w:val="22"/>
        </w:rPr>
        <w:t>Շահութահարկ</w:t>
      </w:r>
      <w:r w:rsidRPr="00130243">
        <w:rPr>
          <w:b w:val="0"/>
          <w:szCs w:val="22"/>
          <w:lang w:val="en-US"/>
        </w:rPr>
        <w:t xml:space="preserve">` </w:t>
      </w:r>
      <w:r w:rsidRPr="00A00B8B">
        <w:rPr>
          <w:i/>
          <w:szCs w:val="22"/>
          <w:lang w:val="en-US"/>
        </w:rPr>
        <w:t>23,374 մլն. դրամ</w:t>
      </w:r>
      <w:r w:rsidRPr="00130243">
        <w:rPr>
          <w:b w:val="0"/>
          <w:szCs w:val="22"/>
          <w:lang w:val="en-US"/>
        </w:rPr>
        <w:t>:</w:t>
      </w:r>
    </w:p>
    <w:p w:rsidR="00A00B8B" w:rsidRPr="00A00B8B" w:rsidRDefault="00A00B8B" w:rsidP="007730AA">
      <w:pPr>
        <w:spacing w:before="0" w:line="276" w:lineRule="auto"/>
        <w:contextualSpacing w:val="0"/>
        <w:rPr>
          <w:b w:val="0"/>
          <w:i/>
          <w:szCs w:val="22"/>
          <w:lang w:val="en-US" w:eastAsia="en-US"/>
        </w:rPr>
      </w:pPr>
      <w:r w:rsidRPr="00A00B8B">
        <w:rPr>
          <w:i/>
          <w:szCs w:val="22"/>
          <w:lang w:val="en-US" w:eastAsia="en-US"/>
        </w:rPr>
        <w:t>*</w:t>
      </w:r>
      <w:r w:rsidRPr="00A00B8B">
        <w:rPr>
          <w:b w:val="0"/>
          <w:i/>
          <w:szCs w:val="22"/>
          <w:lang w:val="en-US" w:eastAsia="en-US"/>
        </w:rPr>
        <w:t>ԱԱՀ-ի շեմի գծով հարկային ծախսերի գնահատման համար ԱԱՀ-ի շեմն ընդունվել է 115.0 մլն. դրամ:</w:t>
      </w:r>
    </w:p>
    <w:p w:rsidR="00A00B8B" w:rsidRPr="00A00B8B" w:rsidRDefault="00A00B8B" w:rsidP="007730AA">
      <w:pPr>
        <w:spacing w:before="0" w:line="276" w:lineRule="auto"/>
        <w:contextualSpacing w:val="0"/>
        <w:rPr>
          <w:b w:val="0"/>
          <w:i/>
          <w:szCs w:val="22"/>
          <w:lang w:val="en-US" w:eastAsia="en-US"/>
        </w:rPr>
      </w:pPr>
    </w:p>
    <w:p w:rsidR="00A00B8B" w:rsidRPr="00A00B8B" w:rsidRDefault="00A00B8B" w:rsidP="007730AA">
      <w:pPr>
        <w:numPr>
          <w:ilvl w:val="0"/>
          <w:numId w:val="63"/>
        </w:numPr>
        <w:tabs>
          <w:tab w:val="left" w:pos="993"/>
        </w:tabs>
        <w:spacing w:before="0" w:line="276" w:lineRule="auto"/>
        <w:ind w:left="0" w:firstLine="567"/>
        <w:contextualSpacing w:val="0"/>
        <w:rPr>
          <w:rFonts w:cs="Sylfaen"/>
          <w:i/>
          <w:szCs w:val="22"/>
          <w:lang w:val="en-US" w:eastAsia="en-US"/>
        </w:rPr>
      </w:pPr>
      <w:r w:rsidRPr="00A00B8B">
        <w:rPr>
          <w:rFonts w:cs="Sylfaen"/>
          <w:i/>
          <w:szCs w:val="22"/>
          <w:lang w:val="en-US" w:eastAsia="en-US"/>
        </w:rPr>
        <w:t>Միկրոբիզնեսի գծով հարկային ծախսերը.</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 xml:space="preserve">ԱԱՀ-ի շեմի գծով հարկային ծախսերը գնահատվել են </w:t>
      </w:r>
      <w:r w:rsidRPr="00A00B8B">
        <w:rPr>
          <w:i/>
          <w:szCs w:val="22"/>
          <w:lang w:val="en-US" w:eastAsia="en-US"/>
        </w:rPr>
        <w:t>7,876 մլն. դրամի չափով*,</w:t>
      </w:r>
      <w:r w:rsidRPr="00A00B8B">
        <w:rPr>
          <w:b w:val="0"/>
          <w:szCs w:val="22"/>
          <w:lang w:val="en-US" w:eastAsia="en-US"/>
        </w:rPr>
        <w:t xml:space="preserve"> այդ թվում`</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 xml:space="preserve">ԱԱՀ` </w:t>
      </w:r>
      <w:r w:rsidRPr="00A00B8B">
        <w:rPr>
          <w:i/>
          <w:szCs w:val="22"/>
          <w:lang w:val="en-US" w:eastAsia="en-US"/>
        </w:rPr>
        <w:t>1,924 մլն. դրամ</w:t>
      </w:r>
      <w:r w:rsidRPr="00A00B8B">
        <w:rPr>
          <w:b w:val="0"/>
          <w:szCs w:val="22"/>
          <w:lang w:val="en-US" w:eastAsia="en-US"/>
        </w:rPr>
        <w:t>,</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 xml:space="preserve">Շահութահարկ` </w:t>
      </w:r>
      <w:r w:rsidRPr="00A00B8B">
        <w:rPr>
          <w:i/>
          <w:szCs w:val="22"/>
          <w:lang w:val="en-US" w:eastAsia="en-US"/>
        </w:rPr>
        <w:t>1,154 մլն. դրամ</w:t>
      </w:r>
      <w:r w:rsidRPr="00A00B8B">
        <w:rPr>
          <w:b w:val="0"/>
          <w:szCs w:val="22"/>
          <w:lang w:val="en-US" w:eastAsia="en-US"/>
        </w:rPr>
        <w:t>,</w:t>
      </w:r>
    </w:p>
    <w:p w:rsidR="00A00B8B" w:rsidRPr="00A00B8B" w:rsidRDefault="00A00B8B" w:rsidP="007730AA">
      <w:pPr>
        <w:spacing w:before="0" w:line="276" w:lineRule="auto"/>
        <w:contextualSpacing w:val="0"/>
        <w:rPr>
          <w:b w:val="0"/>
          <w:i/>
          <w:szCs w:val="22"/>
          <w:lang w:val="en-US" w:eastAsia="en-US"/>
        </w:rPr>
      </w:pPr>
      <w:r w:rsidRPr="00A00B8B">
        <w:rPr>
          <w:b w:val="0"/>
          <w:szCs w:val="22"/>
          <w:lang w:val="en-US" w:eastAsia="en-US"/>
        </w:rPr>
        <w:t xml:space="preserve">Եկամտային հարկ՝ </w:t>
      </w:r>
      <w:r w:rsidRPr="00A00B8B">
        <w:rPr>
          <w:i/>
          <w:szCs w:val="22"/>
          <w:lang w:val="en-US" w:eastAsia="en-US"/>
        </w:rPr>
        <w:t>4,798 մլն. դրամ</w:t>
      </w:r>
      <w:r w:rsidRPr="00A00B8B">
        <w:rPr>
          <w:b w:val="0"/>
          <w:szCs w:val="22"/>
          <w:lang w:val="en-US" w:eastAsia="en-US"/>
        </w:rPr>
        <w:t>:</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 xml:space="preserve">Ընդհանուր հարկային ծախսը գնահատվել է </w:t>
      </w:r>
      <w:r w:rsidRPr="00A00B8B">
        <w:rPr>
          <w:rFonts w:cs="Sylfaen"/>
          <w:i/>
          <w:iCs/>
          <w:szCs w:val="22"/>
          <w:lang w:val="en-US" w:eastAsia="en-US"/>
        </w:rPr>
        <w:t>451,075</w:t>
      </w:r>
      <w:r w:rsidRPr="00A00B8B">
        <w:rPr>
          <w:rFonts w:cs="Sylfaen"/>
          <w:iCs/>
          <w:color w:val="000000"/>
          <w:szCs w:val="22"/>
          <w:lang w:val="en-US" w:eastAsia="en-US"/>
        </w:rPr>
        <w:t xml:space="preserve"> </w:t>
      </w:r>
      <w:r w:rsidRPr="00A00B8B">
        <w:rPr>
          <w:i/>
          <w:szCs w:val="22"/>
          <w:lang w:val="en-US" w:eastAsia="en-US"/>
        </w:rPr>
        <w:t>մլն. դրամի չափով</w:t>
      </w:r>
      <w:r w:rsidRPr="00A00B8B">
        <w:rPr>
          <w:b w:val="0"/>
          <w:szCs w:val="22"/>
          <w:lang w:val="en-US" w:eastAsia="en-US"/>
        </w:rPr>
        <w:t>, ինչը 202</w:t>
      </w:r>
      <w:r w:rsidRPr="00A00B8B">
        <w:rPr>
          <w:b w:val="0"/>
          <w:szCs w:val="22"/>
          <w:lang w:val="hy-AM" w:eastAsia="en-US"/>
        </w:rPr>
        <w:t>1</w:t>
      </w:r>
      <w:r w:rsidRPr="00A00B8B">
        <w:rPr>
          <w:b w:val="0"/>
          <w:szCs w:val="22"/>
          <w:lang w:val="en-US" w:eastAsia="en-US"/>
        </w:rPr>
        <w:t xml:space="preserve"> թվականի համար կանխատեսված հարկային եկամուտների և ՀՆԱ-ի նկատմամբ կազմում է համապատասխանաբար` </w:t>
      </w:r>
      <w:r w:rsidR="003E7504">
        <w:rPr>
          <w:i/>
          <w:szCs w:val="22"/>
          <w:lang w:val="en-US" w:eastAsia="en-US"/>
        </w:rPr>
        <w:t>31.32 և 7.05</w:t>
      </w:r>
      <w:r w:rsidRPr="00A00B8B">
        <w:rPr>
          <w:i/>
          <w:szCs w:val="22"/>
          <w:lang w:val="en-US" w:eastAsia="en-US"/>
        </w:rPr>
        <w:t xml:space="preserve"> տոկոս:</w:t>
      </w:r>
    </w:p>
    <w:p w:rsidR="00A00B8B" w:rsidRDefault="00A00B8B" w:rsidP="007730AA">
      <w:pPr>
        <w:spacing w:before="0" w:line="276" w:lineRule="auto"/>
        <w:contextualSpacing w:val="0"/>
        <w:rPr>
          <w:b w:val="0"/>
          <w:szCs w:val="22"/>
          <w:lang w:val="en-US" w:eastAsia="en-US"/>
        </w:rPr>
      </w:pPr>
      <w:r w:rsidRPr="00A00B8B">
        <w:rPr>
          <w:b w:val="0"/>
          <w:szCs w:val="22"/>
          <w:lang w:val="en-US" w:eastAsia="en-US"/>
        </w:rPr>
        <w:t>Վերլուծության ամփոփ արդյունքները ներ</w:t>
      </w:r>
      <w:r w:rsidRPr="00A00B8B">
        <w:rPr>
          <w:b w:val="0"/>
          <w:szCs w:val="22"/>
          <w:lang w:val="en-US" w:eastAsia="en-US"/>
        </w:rPr>
        <w:softHyphen/>
        <w:t>կա</w:t>
      </w:r>
      <w:r w:rsidRPr="00A00B8B">
        <w:rPr>
          <w:b w:val="0"/>
          <w:szCs w:val="22"/>
          <w:lang w:val="en-US" w:eastAsia="en-US"/>
        </w:rPr>
        <w:softHyphen/>
        <w:t>յաց</w:t>
      </w:r>
      <w:r w:rsidRPr="00A00B8B">
        <w:rPr>
          <w:b w:val="0"/>
          <w:szCs w:val="22"/>
          <w:lang w:val="en-US" w:eastAsia="en-US"/>
        </w:rPr>
        <w:softHyphen/>
        <w:t>ված են ստորև.</w:t>
      </w:r>
    </w:p>
    <w:p w:rsidR="00A00B8B" w:rsidRPr="00A00B8B" w:rsidRDefault="00A00B8B" w:rsidP="007730AA">
      <w:pPr>
        <w:spacing w:before="0" w:line="276" w:lineRule="auto"/>
        <w:ind w:firstLine="720"/>
        <w:contextualSpacing w:val="0"/>
        <w:jc w:val="right"/>
        <w:rPr>
          <w:b w:val="0"/>
          <w:szCs w:val="22"/>
          <w:lang w:val="en-US" w:eastAsia="en-US"/>
        </w:rPr>
      </w:pPr>
      <w:r w:rsidRPr="00A00B8B">
        <w:rPr>
          <w:b w:val="0"/>
          <w:szCs w:val="22"/>
          <w:lang w:val="en-US" w:eastAsia="en-US"/>
        </w:rPr>
        <w:t>մլն. դրամ</w:t>
      </w:r>
    </w:p>
    <w:tbl>
      <w:tblPr>
        <w:tblW w:w="9667"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3443"/>
        <w:gridCol w:w="1820"/>
        <w:gridCol w:w="1820"/>
        <w:gridCol w:w="1820"/>
      </w:tblGrid>
      <w:tr w:rsidR="00A00B8B" w:rsidRPr="00A00B8B" w:rsidTr="00A066BB">
        <w:trPr>
          <w:trHeight w:val="1410"/>
        </w:trPr>
        <w:tc>
          <w:tcPr>
            <w:tcW w:w="764" w:type="dxa"/>
            <w:shd w:val="clear" w:color="auto" w:fill="4F81BD" w:themeFill="accent1"/>
            <w:vAlign w:val="center"/>
            <w:hideMark/>
          </w:tcPr>
          <w:p w:rsidR="00A00B8B" w:rsidRPr="00B86D85" w:rsidRDefault="00A00B8B" w:rsidP="007730AA">
            <w:pPr>
              <w:spacing w:before="0" w:line="240" w:lineRule="auto"/>
              <w:ind w:firstLine="0"/>
              <w:contextualSpacing w:val="0"/>
              <w:jc w:val="center"/>
              <w:rPr>
                <w:rFonts w:cs="Calibri"/>
                <w:bCs/>
                <w:color w:val="FFFFFF" w:themeColor="background1"/>
                <w:szCs w:val="22"/>
                <w:lang w:val="en-US" w:eastAsia="en-US"/>
              </w:rPr>
            </w:pPr>
            <w:r w:rsidRPr="00B86D85">
              <w:rPr>
                <w:rFonts w:cs="Calibri"/>
                <w:bCs/>
                <w:color w:val="FFFFFF" w:themeColor="background1"/>
                <w:szCs w:val="22"/>
                <w:lang w:val="en-US" w:eastAsia="en-US"/>
              </w:rPr>
              <w:t>Հ/Հ</w:t>
            </w:r>
          </w:p>
        </w:tc>
        <w:tc>
          <w:tcPr>
            <w:tcW w:w="3443" w:type="dxa"/>
            <w:shd w:val="clear" w:color="auto" w:fill="4F81BD" w:themeFill="accent1"/>
            <w:vAlign w:val="center"/>
            <w:hideMark/>
          </w:tcPr>
          <w:p w:rsidR="00A00B8B" w:rsidRPr="00B86D85" w:rsidRDefault="00A00B8B" w:rsidP="007730AA">
            <w:pPr>
              <w:spacing w:before="0" w:line="240" w:lineRule="auto"/>
              <w:ind w:firstLine="0"/>
              <w:contextualSpacing w:val="0"/>
              <w:jc w:val="center"/>
              <w:rPr>
                <w:rFonts w:cs="Calibri"/>
                <w:bCs/>
                <w:color w:val="FFFFFF" w:themeColor="background1"/>
                <w:szCs w:val="22"/>
                <w:lang w:val="en-US" w:eastAsia="en-US"/>
              </w:rPr>
            </w:pPr>
            <w:r w:rsidRPr="00B86D85">
              <w:rPr>
                <w:rFonts w:cs="Calibri"/>
                <w:bCs/>
                <w:color w:val="FFFFFF" w:themeColor="background1"/>
                <w:szCs w:val="22"/>
                <w:lang w:val="en-US" w:eastAsia="en-US"/>
              </w:rPr>
              <w:t>Հարկային ծախսերի տեսակը</w:t>
            </w:r>
          </w:p>
        </w:tc>
        <w:tc>
          <w:tcPr>
            <w:tcW w:w="1820" w:type="dxa"/>
            <w:shd w:val="clear" w:color="auto" w:fill="4F81BD" w:themeFill="accent1"/>
            <w:vAlign w:val="center"/>
            <w:hideMark/>
          </w:tcPr>
          <w:p w:rsidR="00A00B8B" w:rsidRPr="00B86D85" w:rsidRDefault="00A00B8B" w:rsidP="007730AA">
            <w:pPr>
              <w:spacing w:before="0" w:line="240" w:lineRule="auto"/>
              <w:ind w:firstLine="0"/>
              <w:contextualSpacing w:val="0"/>
              <w:jc w:val="center"/>
              <w:rPr>
                <w:rFonts w:cs="Calibri"/>
                <w:bCs/>
                <w:color w:val="FFFFFF" w:themeColor="background1"/>
                <w:szCs w:val="22"/>
                <w:lang w:val="en-US" w:eastAsia="en-US"/>
              </w:rPr>
            </w:pPr>
            <w:r w:rsidRPr="00B86D85">
              <w:rPr>
                <w:rFonts w:cs="Calibri"/>
                <w:bCs/>
                <w:color w:val="FFFFFF" w:themeColor="background1"/>
                <w:szCs w:val="22"/>
                <w:lang w:val="en-US" w:eastAsia="en-US"/>
              </w:rPr>
              <w:t>Հարկային ծախսերի չափը</w:t>
            </w:r>
          </w:p>
        </w:tc>
        <w:tc>
          <w:tcPr>
            <w:tcW w:w="1820" w:type="dxa"/>
            <w:shd w:val="clear" w:color="auto" w:fill="4F81BD" w:themeFill="accent1"/>
            <w:vAlign w:val="center"/>
            <w:hideMark/>
          </w:tcPr>
          <w:p w:rsidR="00A00B8B" w:rsidRPr="00B86D85" w:rsidRDefault="00A00B8B" w:rsidP="007730AA">
            <w:pPr>
              <w:spacing w:before="0" w:line="240" w:lineRule="auto"/>
              <w:ind w:firstLine="0"/>
              <w:contextualSpacing w:val="0"/>
              <w:jc w:val="center"/>
              <w:rPr>
                <w:rFonts w:cs="Calibri"/>
                <w:bCs/>
                <w:color w:val="FFFFFF" w:themeColor="background1"/>
                <w:szCs w:val="22"/>
                <w:lang w:val="en-US" w:eastAsia="en-US"/>
              </w:rPr>
            </w:pPr>
            <w:r w:rsidRPr="00B86D85">
              <w:rPr>
                <w:rFonts w:cs="Calibri"/>
                <w:bCs/>
                <w:color w:val="FFFFFF" w:themeColor="background1"/>
                <w:szCs w:val="22"/>
                <w:lang w:val="en-US" w:eastAsia="en-US"/>
              </w:rPr>
              <w:t>Կշիռը հարկային եկամուտների մեջ</w:t>
            </w:r>
          </w:p>
        </w:tc>
        <w:tc>
          <w:tcPr>
            <w:tcW w:w="1820" w:type="dxa"/>
            <w:shd w:val="clear" w:color="auto" w:fill="4F81BD" w:themeFill="accent1"/>
            <w:vAlign w:val="center"/>
            <w:hideMark/>
          </w:tcPr>
          <w:p w:rsidR="00A00B8B" w:rsidRPr="00B86D85" w:rsidRDefault="00A00B8B" w:rsidP="007730AA">
            <w:pPr>
              <w:spacing w:before="0" w:line="240" w:lineRule="auto"/>
              <w:ind w:firstLine="0"/>
              <w:contextualSpacing w:val="0"/>
              <w:jc w:val="center"/>
              <w:rPr>
                <w:rFonts w:cs="Calibri"/>
                <w:bCs/>
                <w:color w:val="FFFFFF" w:themeColor="background1"/>
                <w:szCs w:val="22"/>
                <w:lang w:val="en-US" w:eastAsia="en-US"/>
              </w:rPr>
            </w:pPr>
            <w:r w:rsidRPr="00B86D85">
              <w:rPr>
                <w:rFonts w:cs="Calibri"/>
                <w:bCs/>
                <w:color w:val="FFFFFF" w:themeColor="background1"/>
                <w:szCs w:val="22"/>
                <w:lang w:val="en-US" w:eastAsia="en-US"/>
              </w:rPr>
              <w:t>Կշիռը ՀՆԱ-ի մեջ</w:t>
            </w:r>
          </w:p>
        </w:tc>
      </w:tr>
      <w:tr w:rsidR="00A00B8B" w:rsidRPr="00A00B8B" w:rsidTr="00A066BB">
        <w:trPr>
          <w:trHeight w:val="795"/>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Cs/>
                <w:color w:val="000000"/>
                <w:szCs w:val="22"/>
                <w:lang w:val="en-US" w:eastAsia="en-US"/>
              </w:rPr>
            </w:pPr>
            <w:r w:rsidRPr="00B86D85">
              <w:rPr>
                <w:rFonts w:cs="Calibri"/>
                <w:bCs/>
                <w:color w:val="000000"/>
                <w:szCs w:val="22"/>
                <w:lang w:val="en-US" w:eastAsia="en-US"/>
              </w:rPr>
              <w:t>1</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Cs/>
                <w:color w:val="000000"/>
                <w:szCs w:val="22"/>
                <w:lang w:val="en-US" w:eastAsia="en-US"/>
              </w:rPr>
            </w:pPr>
            <w:r w:rsidRPr="00B86D85">
              <w:rPr>
                <w:rFonts w:cs="Calibri"/>
                <w:bCs/>
                <w:color w:val="000000"/>
                <w:szCs w:val="22"/>
                <w:lang w:val="en-US" w:eastAsia="en-US"/>
              </w:rPr>
              <w:t>ԱԱՀ-ի գծով, այդ թվում`</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Cs/>
                <w:color w:val="000000"/>
                <w:szCs w:val="22"/>
                <w:lang w:val="en-US" w:eastAsia="en-US"/>
              </w:rPr>
            </w:pPr>
            <w:r w:rsidRPr="00B86D85">
              <w:rPr>
                <w:rFonts w:cs="Calibri"/>
                <w:bCs/>
                <w:color w:val="000000"/>
                <w:szCs w:val="22"/>
                <w:lang w:val="en-US" w:eastAsia="en-US"/>
              </w:rPr>
              <w:t>362,931</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Cs/>
                <w:i/>
                <w:iCs/>
                <w:color w:val="000000"/>
                <w:szCs w:val="22"/>
                <w:lang w:val="en-US" w:eastAsia="en-US"/>
              </w:rPr>
            </w:pPr>
            <w:r>
              <w:rPr>
                <w:rFonts w:cs="Calibri"/>
                <w:bCs/>
                <w:i/>
                <w:iCs/>
                <w:color w:val="000000"/>
                <w:szCs w:val="22"/>
                <w:lang w:val="en-US" w:eastAsia="en-US"/>
              </w:rPr>
              <w:t>25.20</w:t>
            </w:r>
            <w:r w:rsidR="00A00B8B" w:rsidRPr="00B86D85">
              <w:rPr>
                <w:rFonts w:cs="Calibri"/>
                <w:bCs/>
                <w:i/>
                <w:iCs/>
                <w:color w:val="000000"/>
                <w:szCs w:val="22"/>
                <w:lang w:val="en-US" w:eastAsia="en-US"/>
              </w:rPr>
              <w:t>%</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Cs/>
                <w:i/>
                <w:iCs/>
                <w:color w:val="000000"/>
                <w:szCs w:val="22"/>
                <w:lang w:val="en-US" w:eastAsia="en-US"/>
              </w:rPr>
            </w:pPr>
            <w:r>
              <w:rPr>
                <w:rFonts w:cs="Calibri"/>
                <w:bCs/>
                <w:i/>
                <w:iCs/>
                <w:color w:val="000000"/>
                <w:szCs w:val="22"/>
                <w:lang w:val="en-US" w:eastAsia="en-US"/>
              </w:rPr>
              <w:t>5.67</w:t>
            </w:r>
            <w:r w:rsidR="00A00B8B" w:rsidRPr="00B86D85">
              <w:rPr>
                <w:rFonts w:cs="Calibri"/>
                <w:bCs/>
                <w:i/>
                <w:iCs/>
                <w:color w:val="000000"/>
                <w:szCs w:val="22"/>
                <w:lang w:val="en-US" w:eastAsia="en-US"/>
              </w:rPr>
              <w:t>%</w:t>
            </w:r>
          </w:p>
        </w:tc>
      </w:tr>
      <w:tr w:rsidR="00A00B8B" w:rsidRPr="00A00B8B" w:rsidTr="00A066BB">
        <w:trPr>
          <w:trHeight w:val="535"/>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1.1.</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գյուղատնտեսություն</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16,544</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1.15</w:t>
            </w:r>
            <w:r w:rsidR="00A00B8B" w:rsidRPr="00B86D85">
              <w:rPr>
                <w:rFonts w:cs="Calibri"/>
                <w:b w:val="0"/>
                <w:i/>
                <w:iCs/>
                <w:color w:val="000000"/>
                <w:szCs w:val="22"/>
                <w:lang w:val="en-US" w:eastAsia="en-US"/>
              </w:rPr>
              <w:t>%</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0.26</w:t>
            </w:r>
            <w:r w:rsidR="00A00B8B" w:rsidRPr="00B86D85">
              <w:rPr>
                <w:rFonts w:cs="Calibri"/>
                <w:b w:val="0"/>
                <w:i/>
                <w:iCs/>
                <w:color w:val="000000"/>
                <w:szCs w:val="22"/>
                <w:lang w:val="en-US" w:eastAsia="en-US"/>
              </w:rPr>
              <w:t>%</w:t>
            </w:r>
          </w:p>
        </w:tc>
      </w:tr>
      <w:tr w:rsidR="00A00B8B" w:rsidRPr="00A00B8B" w:rsidTr="00A066BB">
        <w:trPr>
          <w:trHeight w:val="447"/>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1.2.</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առողջապահություն</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53,279</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3.70</w:t>
            </w:r>
            <w:r w:rsidR="00A00B8B" w:rsidRPr="00B86D85">
              <w:rPr>
                <w:rFonts w:cs="Calibri"/>
                <w:b w:val="0"/>
                <w:i/>
                <w:iCs/>
                <w:color w:val="000000"/>
                <w:szCs w:val="22"/>
                <w:lang w:val="en-US" w:eastAsia="en-US"/>
              </w:rPr>
              <w:t>%</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0.83</w:t>
            </w:r>
            <w:r w:rsidR="00A00B8B" w:rsidRPr="00B86D85">
              <w:rPr>
                <w:rFonts w:cs="Calibri"/>
                <w:b w:val="0"/>
                <w:i/>
                <w:iCs/>
                <w:color w:val="000000"/>
                <w:szCs w:val="22"/>
                <w:lang w:val="en-US" w:eastAsia="en-US"/>
              </w:rPr>
              <w:t>%</w:t>
            </w:r>
          </w:p>
        </w:tc>
      </w:tr>
      <w:tr w:rsidR="00A00B8B" w:rsidRPr="00A00B8B" w:rsidTr="00A066BB">
        <w:trPr>
          <w:trHeight w:val="487"/>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1.3.</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կրթություն</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27,807</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1.93</w:t>
            </w:r>
            <w:r w:rsidR="00A00B8B" w:rsidRPr="00B86D85">
              <w:rPr>
                <w:rFonts w:cs="Calibri"/>
                <w:b w:val="0"/>
                <w:i/>
                <w:iCs/>
                <w:color w:val="000000"/>
                <w:szCs w:val="22"/>
                <w:lang w:val="en-US" w:eastAsia="en-US"/>
              </w:rPr>
              <w:t>%</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0.43</w:t>
            </w:r>
            <w:r w:rsidR="00A00B8B" w:rsidRPr="00B86D85">
              <w:rPr>
                <w:rFonts w:cs="Calibri"/>
                <w:b w:val="0"/>
                <w:i/>
                <w:iCs/>
                <w:color w:val="000000"/>
                <w:szCs w:val="22"/>
                <w:lang w:val="en-US" w:eastAsia="en-US"/>
              </w:rPr>
              <w:t>%</w:t>
            </w:r>
          </w:p>
        </w:tc>
      </w:tr>
      <w:tr w:rsidR="00A00B8B" w:rsidRPr="00A00B8B" w:rsidTr="00A066BB">
        <w:trPr>
          <w:trHeight w:val="795"/>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1.4.</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ֆինանսներ և ապահովագրություն</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73,878</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5.13</w:t>
            </w:r>
            <w:r w:rsidR="00A00B8B" w:rsidRPr="00B86D85">
              <w:rPr>
                <w:rFonts w:cs="Calibri"/>
                <w:b w:val="0"/>
                <w:i/>
                <w:iCs/>
                <w:color w:val="000000"/>
                <w:szCs w:val="22"/>
                <w:lang w:val="en-US" w:eastAsia="en-US"/>
              </w:rPr>
              <w:t>%</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1.16</w:t>
            </w:r>
            <w:r w:rsidR="00A00B8B" w:rsidRPr="00B86D85">
              <w:rPr>
                <w:rFonts w:cs="Calibri"/>
                <w:b w:val="0"/>
                <w:i/>
                <w:iCs/>
                <w:color w:val="000000"/>
                <w:szCs w:val="22"/>
                <w:lang w:val="en-US" w:eastAsia="en-US"/>
              </w:rPr>
              <w:t>%</w:t>
            </w:r>
          </w:p>
        </w:tc>
      </w:tr>
      <w:tr w:rsidR="00A00B8B" w:rsidRPr="00A00B8B" w:rsidTr="00A066BB">
        <w:trPr>
          <w:trHeight w:val="497"/>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1.5.</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ԱԱՀ-ի շեմ</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38,957</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2.71</w:t>
            </w:r>
            <w:r w:rsidR="00A00B8B" w:rsidRPr="00B86D85">
              <w:rPr>
                <w:rFonts w:cs="Calibri"/>
                <w:b w:val="0"/>
                <w:i/>
                <w:iCs/>
                <w:color w:val="000000"/>
                <w:szCs w:val="22"/>
                <w:lang w:val="en-US" w:eastAsia="en-US"/>
              </w:rPr>
              <w:t>%</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0.61</w:t>
            </w:r>
            <w:r w:rsidR="00A00B8B" w:rsidRPr="00B86D85">
              <w:rPr>
                <w:rFonts w:cs="Calibri"/>
                <w:b w:val="0"/>
                <w:i/>
                <w:iCs/>
                <w:color w:val="000000"/>
                <w:szCs w:val="22"/>
                <w:lang w:val="en-US" w:eastAsia="en-US"/>
              </w:rPr>
              <w:t>%</w:t>
            </w:r>
          </w:p>
        </w:tc>
      </w:tr>
      <w:tr w:rsidR="00A00B8B" w:rsidRPr="00A00B8B" w:rsidTr="00A066BB">
        <w:trPr>
          <w:trHeight w:val="1710"/>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1.6.</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խաղատների գործունեություն, շահումով խաղերի (այդ թվում՝ ինտերնետ շահումով խաղերի), տոտալիզատորի և ինտերնետ տոտալիզատորի կազմակերպում</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53,217</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3.70</w:t>
            </w:r>
            <w:r w:rsidR="00A00B8B" w:rsidRPr="00B86D85">
              <w:rPr>
                <w:rFonts w:cs="Calibri"/>
                <w:b w:val="0"/>
                <w:i/>
                <w:iCs/>
                <w:color w:val="000000"/>
                <w:szCs w:val="22"/>
                <w:lang w:val="en-US" w:eastAsia="en-US"/>
              </w:rPr>
              <w:t>%</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0.83</w:t>
            </w:r>
            <w:r w:rsidR="00A00B8B" w:rsidRPr="00B86D85">
              <w:rPr>
                <w:rFonts w:cs="Calibri"/>
                <w:b w:val="0"/>
                <w:i/>
                <w:iCs/>
                <w:color w:val="000000"/>
                <w:szCs w:val="22"/>
                <w:lang w:val="en-US" w:eastAsia="en-US"/>
              </w:rPr>
              <w:t>%</w:t>
            </w:r>
          </w:p>
        </w:tc>
      </w:tr>
      <w:tr w:rsidR="00A00B8B" w:rsidRPr="00A00B8B" w:rsidTr="00A066BB">
        <w:trPr>
          <w:trHeight w:val="795"/>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1.7.</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ոսկու և թանկարժեք քարերի իրացում</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3,167</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0.22</w:t>
            </w:r>
            <w:r w:rsidR="00A00B8B" w:rsidRPr="00B86D85">
              <w:rPr>
                <w:rFonts w:cs="Calibri"/>
                <w:b w:val="0"/>
                <w:i/>
                <w:iCs/>
                <w:color w:val="000000"/>
                <w:szCs w:val="22"/>
                <w:lang w:val="en-US" w:eastAsia="en-US"/>
              </w:rPr>
              <w:t>%</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0.05%</w:t>
            </w:r>
          </w:p>
        </w:tc>
      </w:tr>
      <w:tr w:rsidR="00A00B8B" w:rsidRPr="00A00B8B" w:rsidTr="00A066BB">
        <w:trPr>
          <w:trHeight w:val="475"/>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1.8.</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մարդասիրական օգնություն</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3,924</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0.27</w:t>
            </w:r>
            <w:r w:rsidR="00A00B8B" w:rsidRPr="00B86D85">
              <w:rPr>
                <w:rFonts w:cs="Calibri"/>
                <w:b w:val="0"/>
                <w:i/>
                <w:iCs/>
                <w:color w:val="000000"/>
                <w:szCs w:val="22"/>
                <w:lang w:val="en-US" w:eastAsia="en-US"/>
              </w:rPr>
              <w:t>%</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0.06%</w:t>
            </w:r>
          </w:p>
        </w:tc>
      </w:tr>
      <w:tr w:rsidR="00A00B8B" w:rsidRPr="00A00B8B" w:rsidTr="00A066BB">
        <w:trPr>
          <w:trHeight w:val="553"/>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1.9.</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պարարտանյութերի իրացում</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3,615</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0.25</w:t>
            </w:r>
            <w:r w:rsidR="00A00B8B" w:rsidRPr="00B86D85">
              <w:rPr>
                <w:rFonts w:cs="Calibri"/>
                <w:b w:val="0"/>
                <w:i/>
                <w:iCs/>
                <w:color w:val="000000"/>
                <w:szCs w:val="22"/>
                <w:lang w:val="en-US" w:eastAsia="en-US"/>
              </w:rPr>
              <w:t>%</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0.06</w:t>
            </w:r>
            <w:r w:rsidR="00A00B8B" w:rsidRPr="00B86D85">
              <w:rPr>
                <w:rFonts w:cs="Calibri"/>
                <w:b w:val="0"/>
                <w:i/>
                <w:iCs/>
                <w:color w:val="000000"/>
                <w:szCs w:val="22"/>
                <w:lang w:val="en-US" w:eastAsia="en-US"/>
              </w:rPr>
              <w:t>%</w:t>
            </w:r>
          </w:p>
        </w:tc>
      </w:tr>
      <w:tr w:rsidR="00A00B8B" w:rsidRPr="00A00B8B" w:rsidTr="00A066BB">
        <w:trPr>
          <w:trHeight w:val="1695"/>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1.10.</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ծխախոտի արտադրանք արտադրող չհանդիսացող և ծխախոտի արտադրանք ներմուծող չհանդիսացող հարկ վճարողների կողմից ծխախոտի արտադրանքի օտարում</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19,847</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1.38</w:t>
            </w:r>
            <w:r w:rsidR="00A00B8B" w:rsidRPr="00B86D85">
              <w:rPr>
                <w:rFonts w:cs="Calibri"/>
                <w:b w:val="0"/>
                <w:i/>
                <w:iCs/>
                <w:color w:val="000000"/>
                <w:szCs w:val="22"/>
                <w:lang w:val="en-US" w:eastAsia="en-US"/>
              </w:rPr>
              <w:t>%</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0.31</w:t>
            </w:r>
            <w:r w:rsidR="00A00B8B" w:rsidRPr="00B86D85">
              <w:rPr>
                <w:rFonts w:cs="Calibri"/>
                <w:b w:val="0"/>
                <w:i/>
                <w:iCs/>
                <w:color w:val="000000"/>
                <w:szCs w:val="22"/>
                <w:lang w:val="en-US" w:eastAsia="en-US"/>
              </w:rPr>
              <w:t>%</w:t>
            </w:r>
          </w:p>
        </w:tc>
      </w:tr>
      <w:tr w:rsidR="00A00B8B" w:rsidRPr="00A00B8B" w:rsidTr="00A066BB">
        <w:trPr>
          <w:trHeight w:val="900"/>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1.11.</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ջրօգտագործողների ընկերությունների կողմից ոռոգման ջրի օտարում</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1,439</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0.10%</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0.02%</w:t>
            </w:r>
          </w:p>
        </w:tc>
      </w:tr>
      <w:tr w:rsidR="00A00B8B" w:rsidRPr="00A00B8B" w:rsidTr="00A066BB">
        <w:trPr>
          <w:trHeight w:val="2430"/>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1.12.</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սուբսիդիաների, սուբվենցիաների և դրամաշնորհային ծրագրերի շրջանակներում իրականացվող` ապրանքի մատակարարում, աշխատանքի կատարում և (կամ) ծառայության մատուցում</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913</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0.06%</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0.01%</w:t>
            </w:r>
          </w:p>
        </w:tc>
      </w:tr>
      <w:tr w:rsidR="00A00B8B" w:rsidRPr="00A00B8B" w:rsidTr="00A066BB">
        <w:trPr>
          <w:trHeight w:val="3285"/>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1.13.</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ազատ տնտեսական գոտու կազմակերպչին և ազատ տնտեսական գոտու շահագործողին ծառայությունների մատուցումը, ազատ տնտեսական գոտու կազմակերպչի և ազատ տնտեսական գոտու շահագործողի համար աշխատանքների կատարումը, ազատ տնտեսական գոտու տարածքում ապրանքների մատակարարում</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133</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0.01%</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0.00%</w:t>
            </w:r>
          </w:p>
        </w:tc>
      </w:tr>
      <w:tr w:rsidR="00A00B8B" w:rsidRPr="00A00B8B" w:rsidTr="00A066BB">
        <w:trPr>
          <w:trHeight w:val="795"/>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1.14.</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այլ օրենքներով տրված արտանություններ</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1,860</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0.13</w:t>
            </w:r>
            <w:r w:rsidR="00A00B8B" w:rsidRPr="00B86D85">
              <w:rPr>
                <w:rFonts w:cs="Calibri"/>
                <w:b w:val="0"/>
                <w:i/>
                <w:iCs/>
                <w:color w:val="000000"/>
                <w:szCs w:val="22"/>
                <w:lang w:val="en-US" w:eastAsia="en-US"/>
              </w:rPr>
              <w:t>%</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0.03%</w:t>
            </w:r>
          </w:p>
        </w:tc>
      </w:tr>
      <w:tr w:rsidR="00A00B8B" w:rsidRPr="00A00B8B" w:rsidTr="00A066BB">
        <w:trPr>
          <w:trHeight w:val="429"/>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1.15.</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այլ արտոնություններ</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62,425</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4.33</w:t>
            </w:r>
            <w:r w:rsidR="00A00B8B" w:rsidRPr="00B86D85">
              <w:rPr>
                <w:rFonts w:cs="Calibri"/>
                <w:b w:val="0"/>
                <w:i/>
                <w:iCs/>
                <w:color w:val="000000"/>
                <w:szCs w:val="22"/>
                <w:lang w:val="en-US" w:eastAsia="en-US"/>
              </w:rPr>
              <w:t>%</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0.98</w:t>
            </w:r>
            <w:r w:rsidR="00A00B8B" w:rsidRPr="00B86D85">
              <w:rPr>
                <w:rFonts w:cs="Calibri"/>
                <w:b w:val="0"/>
                <w:i/>
                <w:iCs/>
                <w:color w:val="000000"/>
                <w:szCs w:val="22"/>
                <w:lang w:val="en-US" w:eastAsia="en-US"/>
              </w:rPr>
              <w:t>%</w:t>
            </w:r>
          </w:p>
        </w:tc>
      </w:tr>
      <w:tr w:rsidR="00A00B8B" w:rsidRPr="00A00B8B" w:rsidTr="00A066BB">
        <w:trPr>
          <w:trHeight w:val="408"/>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1.16.</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Միկրոբիզնես</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1,924</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0.13%</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0.03%</w:t>
            </w:r>
          </w:p>
        </w:tc>
      </w:tr>
      <w:tr w:rsidR="00A00B8B" w:rsidRPr="00A00B8B" w:rsidTr="00A066BB">
        <w:trPr>
          <w:trHeight w:val="795"/>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Cs/>
                <w:color w:val="000000"/>
                <w:szCs w:val="22"/>
                <w:lang w:val="en-US" w:eastAsia="en-US"/>
              </w:rPr>
            </w:pPr>
            <w:r w:rsidRPr="00B86D85">
              <w:rPr>
                <w:rFonts w:cs="Calibri"/>
                <w:bCs/>
                <w:color w:val="000000"/>
                <w:szCs w:val="22"/>
                <w:lang w:val="en-US" w:eastAsia="en-US"/>
              </w:rPr>
              <w:t>2</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Cs/>
                <w:color w:val="000000"/>
                <w:szCs w:val="22"/>
                <w:lang w:val="en-US" w:eastAsia="en-US"/>
              </w:rPr>
            </w:pPr>
            <w:r w:rsidRPr="00B86D85">
              <w:rPr>
                <w:rFonts w:cs="Calibri"/>
                <w:bCs/>
                <w:color w:val="000000"/>
                <w:szCs w:val="22"/>
                <w:lang w:val="en-US" w:eastAsia="en-US"/>
              </w:rPr>
              <w:t>Շահութահարկի գծով, այդ թվում`</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Cs/>
                <w:color w:val="000000"/>
                <w:szCs w:val="22"/>
                <w:lang w:val="en-US" w:eastAsia="en-US"/>
              </w:rPr>
            </w:pPr>
            <w:r w:rsidRPr="00B86D85">
              <w:rPr>
                <w:rFonts w:cs="Calibri"/>
                <w:bCs/>
                <w:color w:val="000000"/>
                <w:szCs w:val="22"/>
                <w:lang w:val="en-US" w:eastAsia="en-US"/>
              </w:rPr>
              <w:t>71,739</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Cs/>
                <w:i/>
                <w:iCs/>
                <w:color w:val="000000"/>
                <w:szCs w:val="22"/>
                <w:lang w:val="en-US" w:eastAsia="en-US"/>
              </w:rPr>
            </w:pPr>
            <w:r>
              <w:rPr>
                <w:rFonts w:cs="Calibri"/>
                <w:bCs/>
                <w:i/>
                <w:iCs/>
                <w:color w:val="000000"/>
                <w:szCs w:val="22"/>
                <w:lang w:val="en-US" w:eastAsia="en-US"/>
              </w:rPr>
              <w:t>4.9</w:t>
            </w:r>
            <w:r w:rsidR="00A00B8B" w:rsidRPr="00B86D85">
              <w:rPr>
                <w:rFonts w:cs="Calibri"/>
                <w:bCs/>
                <w:i/>
                <w:iCs/>
                <w:color w:val="000000"/>
                <w:szCs w:val="22"/>
                <w:lang w:val="en-US" w:eastAsia="en-US"/>
              </w:rPr>
              <w:t>8%</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Cs/>
                <w:i/>
                <w:iCs/>
                <w:color w:val="000000"/>
                <w:szCs w:val="22"/>
                <w:lang w:val="en-US" w:eastAsia="en-US"/>
              </w:rPr>
            </w:pPr>
            <w:r>
              <w:rPr>
                <w:rFonts w:cs="Calibri"/>
                <w:bCs/>
                <w:i/>
                <w:iCs/>
                <w:color w:val="000000"/>
                <w:szCs w:val="22"/>
                <w:lang w:val="en-US" w:eastAsia="en-US"/>
              </w:rPr>
              <w:t>1.12</w:t>
            </w:r>
            <w:r w:rsidR="00A00B8B" w:rsidRPr="00B86D85">
              <w:rPr>
                <w:rFonts w:cs="Calibri"/>
                <w:bCs/>
                <w:i/>
                <w:iCs/>
                <w:color w:val="000000"/>
                <w:szCs w:val="22"/>
                <w:lang w:val="en-US" w:eastAsia="en-US"/>
              </w:rPr>
              <w:t>%</w:t>
            </w:r>
          </w:p>
        </w:tc>
      </w:tr>
      <w:tr w:rsidR="00A00B8B" w:rsidRPr="00A00B8B" w:rsidTr="00A066BB">
        <w:trPr>
          <w:trHeight w:val="795"/>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2.1.</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գյուղատնտեսություն, այդ թվում՝</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40,925</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2.84</w:t>
            </w:r>
            <w:r w:rsidR="00A00B8B" w:rsidRPr="00B86D85">
              <w:rPr>
                <w:rFonts w:cs="Calibri"/>
                <w:b w:val="0"/>
                <w:i/>
                <w:iCs/>
                <w:color w:val="000000"/>
                <w:szCs w:val="22"/>
                <w:lang w:val="en-US" w:eastAsia="en-US"/>
              </w:rPr>
              <w:t>%</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0.64</w:t>
            </w:r>
            <w:r w:rsidR="00A00B8B" w:rsidRPr="00B86D85">
              <w:rPr>
                <w:rFonts w:cs="Calibri"/>
                <w:b w:val="0"/>
                <w:i/>
                <w:iCs/>
                <w:color w:val="000000"/>
                <w:szCs w:val="22"/>
                <w:lang w:val="en-US" w:eastAsia="en-US"/>
              </w:rPr>
              <w:t>%</w:t>
            </w:r>
          </w:p>
        </w:tc>
      </w:tr>
      <w:tr w:rsidR="00A00B8B" w:rsidRPr="00A00B8B" w:rsidTr="00A066BB">
        <w:trPr>
          <w:trHeight w:val="795"/>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2.1.1.</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կազմակերպությունների շահույթից</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2,491</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0.17%</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0.04%</w:t>
            </w:r>
          </w:p>
        </w:tc>
      </w:tr>
      <w:tr w:rsidR="00A00B8B" w:rsidRPr="00A00B8B" w:rsidTr="00A066BB">
        <w:trPr>
          <w:trHeight w:val="795"/>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2.1.2.</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ֆիզիկական անձանց (Ա/Ձ-ների) շահույթից</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38,434</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2.67</w:t>
            </w:r>
            <w:r w:rsidR="00A00B8B" w:rsidRPr="00B86D85">
              <w:rPr>
                <w:rFonts w:cs="Calibri"/>
                <w:b w:val="0"/>
                <w:i/>
                <w:iCs/>
                <w:color w:val="000000"/>
                <w:szCs w:val="22"/>
                <w:lang w:val="en-US" w:eastAsia="en-US"/>
              </w:rPr>
              <w:t>%</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0.60</w:t>
            </w:r>
            <w:r w:rsidR="00A00B8B" w:rsidRPr="00B86D85">
              <w:rPr>
                <w:rFonts w:cs="Calibri"/>
                <w:b w:val="0"/>
                <w:i/>
                <w:iCs/>
                <w:color w:val="000000"/>
                <w:szCs w:val="22"/>
                <w:lang w:val="en-US" w:eastAsia="en-US"/>
              </w:rPr>
              <w:t>%</w:t>
            </w:r>
          </w:p>
        </w:tc>
      </w:tr>
      <w:tr w:rsidR="00A00B8B" w:rsidRPr="00A00B8B" w:rsidTr="00A066BB">
        <w:trPr>
          <w:trHeight w:val="1125"/>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2.2.</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հարկվող շահույթի նվազեցման արտոնություններ, բացառությամբ՝ գյուղատնտեսության</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6,188</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0.43</w:t>
            </w:r>
            <w:r w:rsidR="00A00B8B" w:rsidRPr="00B86D85">
              <w:rPr>
                <w:rFonts w:cs="Calibri"/>
                <w:b w:val="0"/>
                <w:i/>
                <w:iCs/>
                <w:color w:val="000000"/>
                <w:szCs w:val="22"/>
                <w:lang w:val="en-US" w:eastAsia="en-US"/>
              </w:rPr>
              <w:t>%</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0.10</w:t>
            </w:r>
            <w:r w:rsidR="00A00B8B" w:rsidRPr="00B86D85">
              <w:rPr>
                <w:rFonts w:cs="Calibri"/>
                <w:b w:val="0"/>
                <w:i/>
                <w:iCs/>
                <w:color w:val="000000"/>
                <w:szCs w:val="22"/>
                <w:lang w:val="en-US" w:eastAsia="en-US"/>
              </w:rPr>
              <w:t>%</w:t>
            </w:r>
          </w:p>
        </w:tc>
      </w:tr>
      <w:tr w:rsidR="00A00B8B" w:rsidRPr="00A00B8B" w:rsidTr="00A066BB">
        <w:trPr>
          <w:trHeight w:val="795"/>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2.3.</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շահութահարկի նվազեցման արտոնություններ</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98</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0.01%</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0.00%</w:t>
            </w:r>
          </w:p>
        </w:tc>
      </w:tr>
      <w:tr w:rsidR="00A00B8B" w:rsidRPr="00A00B8B" w:rsidTr="00A066BB">
        <w:trPr>
          <w:trHeight w:val="427"/>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2.4.</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ԱԱՀ-ի շեմ</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23,374</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1.62</w:t>
            </w:r>
            <w:r w:rsidR="00A00B8B" w:rsidRPr="00B86D85">
              <w:rPr>
                <w:rFonts w:cs="Calibri"/>
                <w:b w:val="0"/>
                <w:i/>
                <w:iCs/>
                <w:color w:val="000000"/>
                <w:szCs w:val="22"/>
                <w:lang w:val="en-US" w:eastAsia="en-US"/>
              </w:rPr>
              <w:t>%</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0.37</w:t>
            </w:r>
            <w:r w:rsidR="00A00B8B" w:rsidRPr="00B86D85">
              <w:rPr>
                <w:rFonts w:cs="Calibri"/>
                <w:b w:val="0"/>
                <w:i/>
                <w:iCs/>
                <w:color w:val="000000"/>
                <w:szCs w:val="22"/>
                <w:lang w:val="en-US" w:eastAsia="en-US"/>
              </w:rPr>
              <w:t>%</w:t>
            </w:r>
          </w:p>
        </w:tc>
      </w:tr>
      <w:tr w:rsidR="00A00B8B" w:rsidRPr="00A00B8B" w:rsidTr="00A066BB">
        <w:trPr>
          <w:trHeight w:val="438"/>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2.5.</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միկրոբիզնես</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1,154</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0.08%</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0.02%</w:t>
            </w:r>
          </w:p>
        </w:tc>
      </w:tr>
      <w:tr w:rsidR="00A00B8B" w:rsidRPr="00A00B8B" w:rsidTr="00A066BB">
        <w:trPr>
          <w:trHeight w:val="795"/>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Cs/>
                <w:color w:val="000000"/>
                <w:szCs w:val="22"/>
                <w:lang w:val="en-US" w:eastAsia="en-US"/>
              </w:rPr>
            </w:pPr>
            <w:r w:rsidRPr="00B86D85">
              <w:rPr>
                <w:rFonts w:cs="Calibri"/>
                <w:bCs/>
                <w:color w:val="000000"/>
                <w:szCs w:val="22"/>
                <w:lang w:val="en-US" w:eastAsia="en-US"/>
              </w:rPr>
              <w:t>3</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Cs/>
                <w:color w:val="000000"/>
                <w:szCs w:val="22"/>
                <w:lang w:val="en-US" w:eastAsia="en-US"/>
              </w:rPr>
            </w:pPr>
            <w:r w:rsidRPr="00B86D85">
              <w:rPr>
                <w:rFonts w:cs="Calibri"/>
                <w:bCs/>
                <w:color w:val="000000"/>
                <w:szCs w:val="22"/>
                <w:lang w:val="en-US" w:eastAsia="en-US"/>
              </w:rPr>
              <w:t>Եկամտային հարկի գծով, այդ թվում`</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Cs/>
                <w:color w:val="000000"/>
                <w:szCs w:val="22"/>
                <w:lang w:val="en-US" w:eastAsia="en-US"/>
              </w:rPr>
            </w:pPr>
            <w:r w:rsidRPr="00B86D85">
              <w:rPr>
                <w:rFonts w:cs="Calibri"/>
                <w:bCs/>
                <w:color w:val="000000"/>
                <w:szCs w:val="22"/>
                <w:lang w:val="en-US" w:eastAsia="en-US"/>
              </w:rPr>
              <w:t>16,406</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Cs/>
                <w:i/>
                <w:iCs/>
                <w:color w:val="000000"/>
                <w:szCs w:val="22"/>
                <w:lang w:val="en-US" w:eastAsia="en-US"/>
              </w:rPr>
            </w:pPr>
            <w:r>
              <w:rPr>
                <w:rFonts w:cs="Calibri"/>
                <w:bCs/>
                <w:i/>
                <w:iCs/>
                <w:color w:val="000000"/>
                <w:szCs w:val="22"/>
                <w:lang w:val="en-US" w:eastAsia="en-US"/>
              </w:rPr>
              <w:t>1.14</w:t>
            </w:r>
            <w:r w:rsidR="00A00B8B" w:rsidRPr="00B86D85">
              <w:rPr>
                <w:rFonts w:cs="Calibri"/>
                <w:bCs/>
                <w:i/>
                <w:iCs/>
                <w:color w:val="000000"/>
                <w:szCs w:val="22"/>
                <w:lang w:val="en-US" w:eastAsia="en-US"/>
              </w:rPr>
              <w:t>%</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Cs/>
                <w:i/>
                <w:iCs/>
                <w:color w:val="000000"/>
                <w:szCs w:val="22"/>
                <w:lang w:val="en-US" w:eastAsia="en-US"/>
              </w:rPr>
            </w:pPr>
            <w:r w:rsidRPr="00B86D85">
              <w:rPr>
                <w:rFonts w:cs="Calibri"/>
                <w:bCs/>
                <w:i/>
                <w:iCs/>
                <w:color w:val="000000"/>
                <w:szCs w:val="22"/>
                <w:lang w:val="en-US" w:eastAsia="en-US"/>
              </w:rPr>
              <w:t>0</w:t>
            </w:r>
            <w:r w:rsidR="003E7504">
              <w:rPr>
                <w:rFonts w:cs="Calibri"/>
                <w:bCs/>
                <w:i/>
                <w:iCs/>
                <w:color w:val="000000"/>
                <w:szCs w:val="22"/>
                <w:lang w:val="en-US" w:eastAsia="en-US"/>
              </w:rPr>
              <w:t>.26</w:t>
            </w:r>
            <w:r w:rsidRPr="00B86D85">
              <w:rPr>
                <w:rFonts w:cs="Calibri"/>
                <w:bCs/>
                <w:i/>
                <w:iCs/>
                <w:color w:val="000000"/>
                <w:szCs w:val="22"/>
                <w:lang w:val="en-US" w:eastAsia="en-US"/>
              </w:rPr>
              <w:t>%</w:t>
            </w:r>
          </w:p>
        </w:tc>
      </w:tr>
      <w:tr w:rsidR="00A00B8B" w:rsidRPr="00A00B8B" w:rsidTr="00A066BB">
        <w:trPr>
          <w:trHeight w:val="795"/>
        </w:trPr>
        <w:tc>
          <w:tcPr>
            <w:tcW w:w="764"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3.1.</w:t>
            </w:r>
          </w:p>
        </w:tc>
        <w:tc>
          <w:tcPr>
            <w:tcW w:w="3443"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գյուղատնտեսության ոլորտի աշխատողների աշխատավարձ</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11,608</w:t>
            </w:r>
          </w:p>
        </w:tc>
        <w:tc>
          <w:tcPr>
            <w:tcW w:w="1820" w:type="dxa"/>
            <w:shd w:val="clear" w:color="auto" w:fill="DBE5F1" w:themeFill="accent1" w:themeFillTint="33"/>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0.81</w:t>
            </w:r>
            <w:r w:rsidR="00A00B8B" w:rsidRPr="00B86D85">
              <w:rPr>
                <w:rFonts w:cs="Calibri"/>
                <w:b w:val="0"/>
                <w:i/>
                <w:iCs/>
                <w:color w:val="000000"/>
                <w:szCs w:val="22"/>
                <w:lang w:val="en-US" w:eastAsia="en-US"/>
              </w:rPr>
              <w:t>%</w:t>
            </w:r>
          </w:p>
        </w:tc>
        <w:tc>
          <w:tcPr>
            <w:tcW w:w="1820" w:type="dxa"/>
            <w:shd w:val="clear" w:color="auto" w:fill="DBE5F1" w:themeFill="accent1" w:themeFillTint="33"/>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0</w:t>
            </w:r>
            <w:r w:rsidR="003E7504">
              <w:rPr>
                <w:rFonts w:cs="Calibri"/>
                <w:b w:val="0"/>
                <w:i/>
                <w:iCs/>
                <w:color w:val="000000"/>
                <w:szCs w:val="22"/>
                <w:lang w:val="en-US" w:eastAsia="en-US"/>
              </w:rPr>
              <w:t>.18</w:t>
            </w:r>
            <w:r w:rsidRPr="00B86D85">
              <w:rPr>
                <w:rFonts w:cs="Calibri"/>
                <w:b w:val="0"/>
                <w:i/>
                <w:iCs/>
                <w:color w:val="000000"/>
                <w:szCs w:val="22"/>
                <w:lang w:val="en-US" w:eastAsia="en-US"/>
              </w:rPr>
              <w:t>%</w:t>
            </w:r>
          </w:p>
        </w:tc>
      </w:tr>
      <w:tr w:rsidR="00A00B8B" w:rsidRPr="00A00B8B" w:rsidTr="00A066BB">
        <w:trPr>
          <w:trHeight w:val="504"/>
        </w:trPr>
        <w:tc>
          <w:tcPr>
            <w:tcW w:w="764"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i/>
                <w:iCs/>
                <w:color w:val="000000"/>
                <w:szCs w:val="22"/>
                <w:lang w:val="en-US" w:eastAsia="en-US"/>
              </w:rPr>
            </w:pPr>
            <w:r w:rsidRPr="00B86D85">
              <w:rPr>
                <w:rFonts w:cs="Calibri"/>
                <w:b w:val="0"/>
                <w:i/>
                <w:iCs/>
                <w:color w:val="000000"/>
                <w:szCs w:val="22"/>
                <w:lang w:val="en-US" w:eastAsia="en-US"/>
              </w:rPr>
              <w:t>3.2.</w:t>
            </w:r>
          </w:p>
        </w:tc>
        <w:tc>
          <w:tcPr>
            <w:tcW w:w="3443" w:type="dxa"/>
            <w:shd w:val="clear" w:color="auto" w:fill="auto"/>
            <w:vAlign w:val="center"/>
            <w:hideMark/>
          </w:tcPr>
          <w:p w:rsidR="00A00B8B" w:rsidRPr="00B86D85" w:rsidRDefault="00A00B8B" w:rsidP="007730AA">
            <w:pPr>
              <w:spacing w:before="0" w:line="240" w:lineRule="auto"/>
              <w:ind w:firstLine="0"/>
              <w:contextualSpacing w:val="0"/>
              <w:jc w:val="left"/>
              <w:rPr>
                <w:rFonts w:cs="Calibri"/>
                <w:b w:val="0"/>
                <w:i/>
                <w:iCs/>
                <w:color w:val="000000"/>
                <w:szCs w:val="22"/>
                <w:lang w:val="en-US" w:eastAsia="en-US"/>
              </w:rPr>
            </w:pPr>
            <w:r w:rsidRPr="00B86D85">
              <w:rPr>
                <w:rFonts w:cs="Calibri"/>
                <w:b w:val="0"/>
                <w:i/>
                <w:iCs/>
                <w:color w:val="000000"/>
                <w:szCs w:val="22"/>
                <w:lang w:val="en-US" w:eastAsia="en-US"/>
              </w:rPr>
              <w:t>միկրոբիզնես</w:t>
            </w:r>
          </w:p>
        </w:tc>
        <w:tc>
          <w:tcPr>
            <w:tcW w:w="1820" w:type="dxa"/>
            <w:shd w:val="clear" w:color="auto" w:fill="auto"/>
            <w:vAlign w:val="center"/>
            <w:hideMark/>
          </w:tcPr>
          <w:p w:rsidR="00A00B8B" w:rsidRPr="00B86D85" w:rsidRDefault="00A00B8B" w:rsidP="007730AA">
            <w:pPr>
              <w:spacing w:before="0" w:line="240" w:lineRule="auto"/>
              <w:ind w:firstLine="0"/>
              <w:contextualSpacing w:val="0"/>
              <w:jc w:val="center"/>
              <w:rPr>
                <w:rFonts w:cs="Calibri"/>
                <w:b w:val="0"/>
                <w:color w:val="000000"/>
                <w:szCs w:val="22"/>
                <w:lang w:val="en-US" w:eastAsia="en-US"/>
              </w:rPr>
            </w:pPr>
            <w:r w:rsidRPr="00B86D85">
              <w:rPr>
                <w:rFonts w:cs="Calibri"/>
                <w:b w:val="0"/>
                <w:color w:val="000000"/>
                <w:szCs w:val="22"/>
                <w:lang w:val="en-US" w:eastAsia="en-US"/>
              </w:rPr>
              <w:t>4,798</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0.33</w:t>
            </w:r>
            <w:r w:rsidR="00A00B8B" w:rsidRPr="00B86D85">
              <w:rPr>
                <w:rFonts w:cs="Calibri"/>
                <w:b w:val="0"/>
                <w:i/>
                <w:iCs/>
                <w:color w:val="000000"/>
                <w:szCs w:val="22"/>
                <w:lang w:val="en-US" w:eastAsia="en-US"/>
              </w:rPr>
              <w:t>%</w:t>
            </w:r>
          </w:p>
        </w:tc>
        <w:tc>
          <w:tcPr>
            <w:tcW w:w="1820" w:type="dxa"/>
            <w:shd w:val="clear" w:color="auto" w:fill="auto"/>
            <w:vAlign w:val="center"/>
            <w:hideMark/>
          </w:tcPr>
          <w:p w:rsidR="00A00B8B" w:rsidRPr="00B86D85" w:rsidRDefault="003E7504" w:rsidP="007730AA">
            <w:pPr>
              <w:spacing w:before="0" w:line="240" w:lineRule="auto"/>
              <w:ind w:firstLine="0"/>
              <w:contextualSpacing w:val="0"/>
              <w:jc w:val="center"/>
              <w:rPr>
                <w:rFonts w:cs="Calibri"/>
                <w:b w:val="0"/>
                <w:i/>
                <w:iCs/>
                <w:color w:val="000000"/>
                <w:szCs w:val="22"/>
                <w:lang w:val="en-US" w:eastAsia="en-US"/>
              </w:rPr>
            </w:pPr>
            <w:r>
              <w:rPr>
                <w:rFonts w:cs="Calibri"/>
                <w:b w:val="0"/>
                <w:i/>
                <w:iCs/>
                <w:color w:val="000000"/>
                <w:szCs w:val="22"/>
                <w:lang w:val="en-US" w:eastAsia="en-US"/>
              </w:rPr>
              <w:t>0.08</w:t>
            </w:r>
            <w:r w:rsidR="00A00B8B" w:rsidRPr="00B86D85">
              <w:rPr>
                <w:rFonts w:cs="Calibri"/>
                <w:b w:val="0"/>
                <w:i/>
                <w:iCs/>
                <w:color w:val="000000"/>
                <w:szCs w:val="22"/>
                <w:lang w:val="en-US" w:eastAsia="en-US"/>
              </w:rPr>
              <w:t>%</w:t>
            </w:r>
          </w:p>
        </w:tc>
      </w:tr>
      <w:tr w:rsidR="00A00B8B" w:rsidRPr="00A00B8B" w:rsidTr="00B86D85">
        <w:trPr>
          <w:trHeight w:val="375"/>
        </w:trPr>
        <w:tc>
          <w:tcPr>
            <w:tcW w:w="4207" w:type="dxa"/>
            <w:gridSpan w:val="2"/>
            <w:shd w:val="clear" w:color="auto" w:fill="4F81BD" w:themeFill="accent1"/>
            <w:vAlign w:val="center"/>
            <w:hideMark/>
          </w:tcPr>
          <w:p w:rsidR="00A00B8B" w:rsidRPr="00B86D85" w:rsidRDefault="00A00B8B" w:rsidP="007730AA">
            <w:pPr>
              <w:spacing w:before="0" w:line="240" w:lineRule="auto"/>
              <w:ind w:firstLine="0"/>
              <w:contextualSpacing w:val="0"/>
              <w:jc w:val="center"/>
              <w:rPr>
                <w:rFonts w:cs="Calibri"/>
                <w:bCs/>
                <w:color w:val="FFFFFF" w:themeColor="background1"/>
                <w:szCs w:val="22"/>
                <w:lang w:val="en-US" w:eastAsia="en-US"/>
              </w:rPr>
            </w:pPr>
            <w:r w:rsidRPr="00B86D85">
              <w:rPr>
                <w:rFonts w:cs="Calibri"/>
                <w:bCs/>
                <w:color w:val="FFFFFF" w:themeColor="background1"/>
                <w:szCs w:val="22"/>
                <w:lang w:val="en-US" w:eastAsia="en-US"/>
              </w:rPr>
              <w:t>Ընդամենը</w:t>
            </w:r>
          </w:p>
        </w:tc>
        <w:tc>
          <w:tcPr>
            <w:tcW w:w="1820" w:type="dxa"/>
            <w:shd w:val="clear" w:color="auto" w:fill="4F81BD" w:themeFill="accent1"/>
            <w:vAlign w:val="center"/>
            <w:hideMark/>
          </w:tcPr>
          <w:p w:rsidR="00A00B8B" w:rsidRPr="00B86D85" w:rsidRDefault="00A00B8B" w:rsidP="007730AA">
            <w:pPr>
              <w:spacing w:before="0" w:line="240" w:lineRule="auto"/>
              <w:ind w:firstLine="0"/>
              <w:contextualSpacing w:val="0"/>
              <w:jc w:val="center"/>
              <w:rPr>
                <w:rFonts w:cs="Calibri"/>
                <w:bCs/>
                <w:color w:val="FFFFFF" w:themeColor="background1"/>
                <w:szCs w:val="22"/>
                <w:lang w:val="en-US" w:eastAsia="en-US"/>
              </w:rPr>
            </w:pPr>
            <w:r w:rsidRPr="00B86D85">
              <w:rPr>
                <w:rFonts w:cs="Calibri"/>
                <w:bCs/>
                <w:color w:val="FFFFFF" w:themeColor="background1"/>
                <w:szCs w:val="22"/>
                <w:lang w:val="en-US" w:eastAsia="en-US"/>
              </w:rPr>
              <w:t>451,075</w:t>
            </w:r>
          </w:p>
        </w:tc>
        <w:tc>
          <w:tcPr>
            <w:tcW w:w="1820" w:type="dxa"/>
            <w:shd w:val="clear" w:color="auto" w:fill="4F81BD" w:themeFill="accent1"/>
            <w:vAlign w:val="center"/>
            <w:hideMark/>
          </w:tcPr>
          <w:p w:rsidR="00A00B8B" w:rsidRPr="00B86D85" w:rsidRDefault="003E7504" w:rsidP="007730AA">
            <w:pPr>
              <w:spacing w:before="0" w:line="240" w:lineRule="auto"/>
              <w:ind w:firstLine="0"/>
              <w:contextualSpacing w:val="0"/>
              <w:jc w:val="center"/>
              <w:rPr>
                <w:rFonts w:cs="Calibri"/>
                <w:bCs/>
                <w:i/>
                <w:iCs/>
                <w:color w:val="FFFFFF" w:themeColor="background1"/>
                <w:szCs w:val="22"/>
                <w:lang w:val="en-US" w:eastAsia="en-US"/>
              </w:rPr>
            </w:pPr>
            <w:r>
              <w:rPr>
                <w:rFonts w:cs="Calibri"/>
                <w:bCs/>
                <w:i/>
                <w:iCs/>
                <w:color w:val="FFFFFF" w:themeColor="background1"/>
                <w:szCs w:val="22"/>
                <w:lang w:val="en-US" w:eastAsia="en-US"/>
              </w:rPr>
              <w:t>31.32</w:t>
            </w:r>
            <w:r w:rsidR="00A00B8B" w:rsidRPr="00B86D85">
              <w:rPr>
                <w:rFonts w:cs="Calibri"/>
                <w:bCs/>
                <w:i/>
                <w:iCs/>
                <w:color w:val="FFFFFF" w:themeColor="background1"/>
                <w:szCs w:val="22"/>
                <w:lang w:val="en-US" w:eastAsia="en-US"/>
              </w:rPr>
              <w:t>%</w:t>
            </w:r>
          </w:p>
        </w:tc>
        <w:tc>
          <w:tcPr>
            <w:tcW w:w="1820" w:type="dxa"/>
            <w:shd w:val="clear" w:color="auto" w:fill="4F81BD" w:themeFill="accent1"/>
            <w:vAlign w:val="center"/>
            <w:hideMark/>
          </w:tcPr>
          <w:p w:rsidR="00A00B8B" w:rsidRPr="00B86D85" w:rsidRDefault="003E7504" w:rsidP="007730AA">
            <w:pPr>
              <w:spacing w:before="0" w:line="240" w:lineRule="auto"/>
              <w:ind w:firstLine="0"/>
              <w:contextualSpacing w:val="0"/>
              <w:jc w:val="center"/>
              <w:rPr>
                <w:rFonts w:cs="Calibri"/>
                <w:bCs/>
                <w:i/>
                <w:iCs/>
                <w:color w:val="FFFFFF" w:themeColor="background1"/>
                <w:szCs w:val="22"/>
                <w:lang w:val="en-US" w:eastAsia="en-US"/>
              </w:rPr>
            </w:pPr>
            <w:r>
              <w:rPr>
                <w:rFonts w:cs="Calibri"/>
                <w:bCs/>
                <w:i/>
                <w:iCs/>
                <w:color w:val="FFFFFF" w:themeColor="background1"/>
                <w:szCs w:val="22"/>
                <w:lang w:val="en-US" w:eastAsia="en-US"/>
              </w:rPr>
              <w:t>7.05</w:t>
            </w:r>
            <w:r w:rsidR="00A00B8B" w:rsidRPr="00B86D85">
              <w:rPr>
                <w:rFonts w:cs="Calibri"/>
                <w:bCs/>
                <w:i/>
                <w:iCs/>
                <w:color w:val="FFFFFF" w:themeColor="background1"/>
                <w:szCs w:val="22"/>
                <w:lang w:val="en-US" w:eastAsia="en-US"/>
              </w:rPr>
              <w:t>%</w:t>
            </w:r>
          </w:p>
        </w:tc>
      </w:tr>
    </w:tbl>
    <w:p w:rsidR="00A00B8B" w:rsidRPr="00A00B8B" w:rsidRDefault="00A00B8B" w:rsidP="007730AA">
      <w:pPr>
        <w:tabs>
          <w:tab w:val="left" w:pos="588"/>
        </w:tabs>
        <w:spacing w:before="0" w:line="276" w:lineRule="auto"/>
        <w:ind w:firstLine="0"/>
        <w:contextualSpacing w:val="0"/>
        <w:jc w:val="left"/>
        <w:rPr>
          <w:b w:val="0"/>
          <w:i/>
          <w:szCs w:val="22"/>
          <w:lang w:val="en-US" w:eastAsia="en-US"/>
        </w:rPr>
      </w:pPr>
    </w:p>
    <w:p w:rsidR="00A00B8B" w:rsidRPr="00A00B8B" w:rsidRDefault="00A00B8B" w:rsidP="007730AA">
      <w:pPr>
        <w:spacing w:before="0" w:line="276" w:lineRule="auto"/>
        <w:ind w:firstLine="0"/>
        <w:contextualSpacing w:val="0"/>
        <w:jc w:val="center"/>
        <w:rPr>
          <w:szCs w:val="22"/>
          <w:lang w:val="en-US" w:eastAsia="en-US"/>
        </w:rPr>
      </w:pPr>
      <w:r w:rsidRPr="00A00B8B">
        <w:rPr>
          <w:szCs w:val="22"/>
          <w:lang w:val="en-US" w:eastAsia="en-US"/>
        </w:rPr>
        <w:t>Մեթոդաբանություն</w:t>
      </w:r>
    </w:p>
    <w:p w:rsidR="00A00B8B" w:rsidRPr="00A00B8B" w:rsidRDefault="00A00B8B" w:rsidP="007730AA">
      <w:pPr>
        <w:spacing w:before="0" w:line="276" w:lineRule="auto"/>
        <w:ind w:firstLine="0"/>
        <w:contextualSpacing w:val="0"/>
        <w:jc w:val="center"/>
        <w:rPr>
          <w:szCs w:val="22"/>
          <w:lang w:val="en-US" w:eastAsia="en-US"/>
        </w:rPr>
      </w:pPr>
      <w:r w:rsidRPr="00A00B8B">
        <w:rPr>
          <w:szCs w:val="22"/>
          <w:lang w:val="en-US" w:eastAsia="en-US"/>
        </w:rPr>
        <w:t>202</w:t>
      </w:r>
      <w:r w:rsidRPr="00A00B8B">
        <w:rPr>
          <w:szCs w:val="22"/>
          <w:lang w:val="hy-AM" w:eastAsia="en-US"/>
        </w:rPr>
        <w:t>1</w:t>
      </w:r>
      <w:r w:rsidRPr="00A00B8B">
        <w:rPr>
          <w:szCs w:val="22"/>
          <w:lang w:val="en-US" w:eastAsia="en-US"/>
        </w:rPr>
        <w:t xml:space="preserve"> թվականի հարկային ծախսերի գնահատման</w:t>
      </w:r>
    </w:p>
    <w:p w:rsidR="00A00B8B" w:rsidRPr="00A00B8B" w:rsidRDefault="00A00B8B" w:rsidP="007730AA">
      <w:pPr>
        <w:spacing w:before="0" w:line="276" w:lineRule="auto"/>
        <w:ind w:firstLine="0"/>
        <w:contextualSpacing w:val="0"/>
        <w:rPr>
          <w:b w:val="0"/>
          <w:szCs w:val="22"/>
          <w:lang w:val="en-US" w:eastAsia="en-US"/>
        </w:rPr>
      </w:pPr>
    </w:p>
    <w:p w:rsidR="00A00B8B" w:rsidRPr="00A00B8B" w:rsidRDefault="00A00B8B" w:rsidP="007730AA">
      <w:pPr>
        <w:numPr>
          <w:ilvl w:val="0"/>
          <w:numId w:val="67"/>
        </w:numPr>
        <w:tabs>
          <w:tab w:val="left" w:pos="851"/>
        </w:tabs>
        <w:spacing w:before="0" w:line="276" w:lineRule="auto"/>
        <w:ind w:left="0" w:firstLine="567"/>
        <w:contextualSpacing w:val="0"/>
        <w:jc w:val="left"/>
        <w:rPr>
          <w:i/>
          <w:szCs w:val="22"/>
          <w:lang w:val="en-US" w:eastAsia="en-US"/>
        </w:rPr>
      </w:pPr>
      <w:r w:rsidRPr="00A00B8B">
        <w:rPr>
          <w:rFonts w:cs="Sylfaen"/>
          <w:i/>
          <w:szCs w:val="22"/>
          <w:lang w:val="en-US" w:eastAsia="en-US"/>
        </w:rPr>
        <w:t>ԱԱՀ</w:t>
      </w:r>
      <w:r w:rsidRPr="00A00B8B">
        <w:rPr>
          <w:i/>
          <w:szCs w:val="22"/>
          <w:lang w:val="en-US" w:eastAsia="en-US"/>
        </w:rPr>
        <w:t>-ի գծով հարկային ծախսերը.</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ԱԱՀ-ի գծով հարկային ծախսերը գնահատվել են հետևյալ հիմնական ուղղություն</w:t>
      </w:r>
      <w:r w:rsidRPr="00A00B8B">
        <w:rPr>
          <w:b w:val="0"/>
          <w:szCs w:val="22"/>
          <w:lang w:val="en-US" w:eastAsia="en-US"/>
        </w:rPr>
        <w:softHyphen/>
        <w:t>նե</w:t>
      </w:r>
      <w:r w:rsidRPr="00A00B8B">
        <w:rPr>
          <w:b w:val="0"/>
          <w:szCs w:val="22"/>
          <w:lang w:val="en-US" w:eastAsia="en-US"/>
        </w:rPr>
        <w:softHyphen/>
        <w:t>րով.</w:t>
      </w:r>
    </w:p>
    <w:p w:rsidR="00A00B8B" w:rsidRPr="00A00B8B" w:rsidRDefault="00A00B8B" w:rsidP="007730AA">
      <w:pPr>
        <w:numPr>
          <w:ilvl w:val="0"/>
          <w:numId w:val="66"/>
        </w:numPr>
        <w:spacing w:before="0" w:line="276" w:lineRule="auto"/>
        <w:ind w:left="0"/>
        <w:contextualSpacing w:val="0"/>
        <w:jc w:val="left"/>
        <w:rPr>
          <w:b w:val="0"/>
          <w:szCs w:val="22"/>
          <w:lang w:val="en-US" w:eastAsia="en-US"/>
        </w:rPr>
      </w:pPr>
      <w:r w:rsidRPr="00A00B8B">
        <w:rPr>
          <w:b w:val="0"/>
          <w:szCs w:val="22"/>
          <w:lang w:val="en-US" w:eastAsia="en-US"/>
        </w:rPr>
        <w:t>գյու</w:t>
      </w:r>
      <w:r w:rsidRPr="00A00B8B">
        <w:rPr>
          <w:b w:val="0"/>
          <w:szCs w:val="22"/>
          <w:lang w:val="en-US" w:eastAsia="en-US"/>
        </w:rPr>
        <w:softHyphen/>
        <w:t>ղա</w:t>
      </w:r>
      <w:r w:rsidRPr="00A00B8B">
        <w:rPr>
          <w:b w:val="0"/>
          <w:szCs w:val="22"/>
          <w:lang w:val="en-US" w:eastAsia="en-US"/>
        </w:rPr>
        <w:softHyphen/>
        <w:t>տնտեսություն,</w:t>
      </w:r>
    </w:p>
    <w:p w:rsidR="00A00B8B" w:rsidRPr="00A00B8B" w:rsidRDefault="00A00B8B" w:rsidP="007730AA">
      <w:pPr>
        <w:numPr>
          <w:ilvl w:val="0"/>
          <w:numId w:val="66"/>
        </w:numPr>
        <w:spacing w:before="0" w:line="276" w:lineRule="auto"/>
        <w:ind w:left="0"/>
        <w:contextualSpacing w:val="0"/>
        <w:jc w:val="left"/>
        <w:rPr>
          <w:b w:val="0"/>
          <w:szCs w:val="22"/>
          <w:lang w:val="en-US" w:eastAsia="en-US"/>
        </w:rPr>
      </w:pPr>
      <w:r w:rsidRPr="00A00B8B">
        <w:rPr>
          <w:b w:val="0"/>
          <w:szCs w:val="22"/>
          <w:lang w:val="en-US" w:eastAsia="en-US"/>
        </w:rPr>
        <w:t>առողջապահություն,</w:t>
      </w:r>
    </w:p>
    <w:p w:rsidR="00A00B8B" w:rsidRPr="00A00B8B" w:rsidRDefault="00A00B8B" w:rsidP="007730AA">
      <w:pPr>
        <w:numPr>
          <w:ilvl w:val="0"/>
          <w:numId w:val="66"/>
        </w:numPr>
        <w:spacing w:before="0" w:line="276" w:lineRule="auto"/>
        <w:ind w:left="0"/>
        <w:contextualSpacing w:val="0"/>
        <w:jc w:val="left"/>
        <w:rPr>
          <w:b w:val="0"/>
          <w:szCs w:val="22"/>
          <w:lang w:val="en-US" w:eastAsia="en-US"/>
        </w:rPr>
      </w:pPr>
      <w:r w:rsidRPr="00A00B8B">
        <w:rPr>
          <w:b w:val="0"/>
          <w:szCs w:val="22"/>
          <w:lang w:val="en-US" w:eastAsia="en-US"/>
        </w:rPr>
        <w:t>կրթություն,</w:t>
      </w:r>
    </w:p>
    <w:p w:rsidR="00A00B8B" w:rsidRPr="00A00B8B" w:rsidRDefault="00A00B8B" w:rsidP="007730AA">
      <w:pPr>
        <w:numPr>
          <w:ilvl w:val="0"/>
          <w:numId w:val="66"/>
        </w:numPr>
        <w:spacing w:before="0" w:line="276" w:lineRule="auto"/>
        <w:ind w:left="0"/>
        <w:contextualSpacing w:val="0"/>
        <w:jc w:val="left"/>
        <w:rPr>
          <w:b w:val="0"/>
          <w:szCs w:val="22"/>
          <w:lang w:val="en-US" w:eastAsia="en-US"/>
        </w:rPr>
      </w:pPr>
      <w:r w:rsidRPr="00A00B8B">
        <w:rPr>
          <w:b w:val="0"/>
          <w:szCs w:val="22"/>
          <w:lang w:val="en-US" w:eastAsia="en-US"/>
        </w:rPr>
        <w:t>ֆինանսներ և ապահովագրություն,</w:t>
      </w:r>
    </w:p>
    <w:p w:rsidR="00A00B8B" w:rsidRPr="00A00B8B" w:rsidRDefault="00A00B8B" w:rsidP="007730AA">
      <w:pPr>
        <w:numPr>
          <w:ilvl w:val="0"/>
          <w:numId w:val="66"/>
        </w:numPr>
        <w:tabs>
          <w:tab w:val="left" w:pos="851"/>
        </w:tabs>
        <w:spacing w:before="0" w:line="276" w:lineRule="auto"/>
        <w:ind w:left="0"/>
        <w:contextualSpacing w:val="0"/>
        <w:jc w:val="left"/>
        <w:rPr>
          <w:b w:val="0"/>
          <w:szCs w:val="22"/>
          <w:lang w:val="en-US" w:eastAsia="en-US"/>
        </w:rPr>
      </w:pPr>
      <w:r w:rsidRPr="00A00B8B">
        <w:rPr>
          <w:b w:val="0"/>
          <w:szCs w:val="22"/>
          <w:lang w:val="en-US" w:eastAsia="en-US"/>
        </w:rPr>
        <w:t>խաղատների գործունեություն, շահումով խաղերի (այդ թվում՝ ինտերնետ շահումով խաղերի), տոտալիզատորի և ինտերնետ տոտալիզատորի կազմակերպում,</w:t>
      </w:r>
    </w:p>
    <w:p w:rsidR="00A00B8B" w:rsidRPr="00A00B8B" w:rsidRDefault="00A00B8B" w:rsidP="007730AA">
      <w:pPr>
        <w:numPr>
          <w:ilvl w:val="0"/>
          <w:numId w:val="66"/>
        </w:numPr>
        <w:tabs>
          <w:tab w:val="left" w:pos="851"/>
        </w:tabs>
        <w:spacing w:before="0" w:line="276" w:lineRule="auto"/>
        <w:ind w:left="0"/>
        <w:contextualSpacing w:val="0"/>
        <w:jc w:val="left"/>
        <w:rPr>
          <w:b w:val="0"/>
          <w:szCs w:val="22"/>
          <w:lang w:val="en-US" w:eastAsia="en-US"/>
        </w:rPr>
      </w:pPr>
      <w:r w:rsidRPr="00A00B8B">
        <w:rPr>
          <w:b w:val="0"/>
          <w:szCs w:val="22"/>
          <w:lang w:val="en-US" w:eastAsia="en-US"/>
        </w:rPr>
        <w:t>ոսկու և թանկարժեք քարերի իրացում,</w:t>
      </w:r>
    </w:p>
    <w:p w:rsidR="00A00B8B" w:rsidRPr="00A00B8B" w:rsidRDefault="00A00B8B" w:rsidP="007730AA">
      <w:pPr>
        <w:numPr>
          <w:ilvl w:val="0"/>
          <w:numId w:val="66"/>
        </w:numPr>
        <w:tabs>
          <w:tab w:val="left" w:pos="851"/>
        </w:tabs>
        <w:spacing w:before="0" w:line="276" w:lineRule="auto"/>
        <w:ind w:left="0"/>
        <w:contextualSpacing w:val="0"/>
        <w:jc w:val="left"/>
        <w:rPr>
          <w:b w:val="0"/>
          <w:szCs w:val="22"/>
          <w:lang w:val="en-US" w:eastAsia="en-US"/>
        </w:rPr>
      </w:pPr>
      <w:r w:rsidRPr="00A00B8B">
        <w:rPr>
          <w:b w:val="0"/>
          <w:szCs w:val="22"/>
          <w:lang w:val="en-US" w:eastAsia="en-US"/>
        </w:rPr>
        <w:t>մարդասիրական օգնություն,</w:t>
      </w:r>
    </w:p>
    <w:p w:rsidR="00A00B8B" w:rsidRPr="00A00B8B" w:rsidRDefault="00A00B8B" w:rsidP="007730AA">
      <w:pPr>
        <w:numPr>
          <w:ilvl w:val="0"/>
          <w:numId w:val="66"/>
        </w:numPr>
        <w:tabs>
          <w:tab w:val="left" w:pos="851"/>
        </w:tabs>
        <w:spacing w:before="0" w:line="276" w:lineRule="auto"/>
        <w:ind w:left="0"/>
        <w:contextualSpacing w:val="0"/>
        <w:jc w:val="left"/>
        <w:rPr>
          <w:b w:val="0"/>
          <w:szCs w:val="22"/>
          <w:lang w:val="en-US" w:eastAsia="en-US"/>
        </w:rPr>
      </w:pPr>
      <w:r w:rsidRPr="00A00B8B">
        <w:rPr>
          <w:b w:val="0"/>
          <w:szCs w:val="22"/>
          <w:lang w:val="en-US" w:eastAsia="en-US"/>
        </w:rPr>
        <w:t>պարարտանյութերի իրացում,</w:t>
      </w:r>
    </w:p>
    <w:p w:rsidR="00A00B8B" w:rsidRPr="00A00B8B" w:rsidRDefault="00A00B8B" w:rsidP="007730AA">
      <w:pPr>
        <w:numPr>
          <w:ilvl w:val="0"/>
          <w:numId w:val="66"/>
        </w:numPr>
        <w:tabs>
          <w:tab w:val="left" w:pos="851"/>
        </w:tabs>
        <w:spacing w:before="0" w:line="276" w:lineRule="auto"/>
        <w:ind w:left="0"/>
        <w:contextualSpacing w:val="0"/>
        <w:jc w:val="left"/>
        <w:rPr>
          <w:b w:val="0"/>
          <w:szCs w:val="22"/>
          <w:lang w:val="en-US" w:eastAsia="en-US"/>
        </w:rPr>
      </w:pPr>
      <w:r w:rsidRPr="00A00B8B">
        <w:rPr>
          <w:b w:val="0"/>
          <w:szCs w:val="22"/>
          <w:lang w:val="en-US" w:eastAsia="en-US"/>
        </w:rPr>
        <w:t>ծխախոտի արտադրանք արտադրող չհանդիսացող և ծխախոտի արտադրանք ներմուծող չհանդիսացող հարկ վճարողների կողմից ծխախոտի արտադրանքի օտարում,</w:t>
      </w:r>
    </w:p>
    <w:p w:rsidR="00A00B8B" w:rsidRPr="00A00B8B" w:rsidRDefault="00A00B8B" w:rsidP="007730AA">
      <w:pPr>
        <w:numPr>
          <w:ilvl w:val="0"/>
          <w:numId w:val="66"/>
        </w:numPr>
        <w:tabs>
          <w:tab w:val="left" w:pos="851"/>
        </w:tabs>
        <w:spacing w:before="0" w:line="276" w:lineRule="auto"/>
        <w:ind w:left="0"/>
        <w:contextualSpacing w:val="0"/>
        <w:jc w:val="left"/>
        <w:rPr>
          <w:b w:val="0"/>
          <w:szCs w:val="22"/>
          <w:lang w:val="en-US" w:eastAsia="en-US"/>
        </w:rPr>
      </w:pPr>
      <w:r w:rsidRPr="00A00B8B">
        <w:rPr>
          <w:b w:val="0"/>
          <w:szCs w:val="22"/>
          <w:lang w:val="en-US" w:eastAsia="en-US"/>
        </w:rPr>
        <w:t xml:space="preserve"> ջրօգտագործողների ընկերությունների կողմից ոռոգման ջրի օտարում,</w:t>
      </w:r>
    </w:p>
    <w:p w:rsidR="00A00B8B" w:rsidRPr="00A00B8B" w:rsidRDefault="00A00B8B" w:rsidP="007730AA">
      <w:pPr>
        <w:numPr>
          <w:ilvl w:val="0"/>
          <w:numId w:val="66"/>
        </w:numPr>
        <w:tabs>
          <w:tab w:val="left" w:pos="851"/>
        </w:tabs>
        <w:spacing w:before="0" w:line="276" w:lineRule="auto"/>
        <w:ind w:left="0"/>
        <w:contextualSpacing w:val="0"/>
        <w:jc w:val="left"/>
        <w:rPr>
          <w:b w:val="0"/>
          <w:szCs w:val="22"/>
          <w:lang w:val="en-US" w:eastAsia="en-US"/>
        </w:rPr>
      </w:pPr>
      <w:r w:rsidRPr="00A00B8B">
        <w:rPr>
          <w:b w:val="0"/>
          <w:szCs w:val="22"/>
          <w:lang w:val="en-US" w:eastAsia="en-US"/>
        </w:rPr>
        <w:t>սուբսիդիաների, սուբվենցիաների և դրամաշնորհային ծրագրերի շրջանակներում իրականացվող` ապրանքի մատակարարում, աշխատանքի կատարում և (կամ) ծառայության մատուցում,</w:t>
      </w:r>
    </w:p>
    <w:p w:rsidR="00A00B8B" w:rsidRPr="00A00B8B" w:rsidRDefault="00A00B8B" w:rsidP="007730AA">
      <w:pPr>
        <w:numPr>
          <w:ilvl w:val="0"/>
          <w:numId w:val="66"/>
        </w:numPr>
        <w:tabs>
          <w:tab w:val="left" w:pos="851"/>
        </w:tabs>
        <w:spacing w:before="0" w:line="276" w:lineRule="auto"/>
        <w:ind w:left="0"/>
        <w:contextualSpacing w:val="0"/>
        <w:jc w:val="left"/>
        <w:rPr>
          <w:b w:val="0"/>
          <w:szCs w:val="22"/>
          <w:lang w:val="en-US" w:eastAsia="en-US"/>
        </w:rPr>
      </w:pPr>
      <w:r w:rsidRPr="00A00B8B">
        <w:rPr>
          <w:b w:val="0"/>
          <w:szCs w:val="22"/>
          <w:lang w:val="en-US" w:eastAsia="en-US"/>
        </w:rPr>
        <w:t>ազատ տնտեսական գոտու կազմակերպչին և ազատ տնտեսական գոտու շահագործողին ծառայությունների մատուցում, ազատ տնտեսական գոտու կազմակերպչի և ազատ տնտեսական գոտու շահագործողի համար աշխատանքների կատարում, ազատ տնտեսական գոտու տարածքում ապրանքների մատակարարում,</w:t>
      </w:r>
    </w:p>
    <w:p w:rsidR="00A00B8B" w:rsidRPr="00A00B8B" w:rsidRDefault="00A00B8B" w:rsidP="007730AA">
      <w:pPr>
        <w:numPr>
          <w:ilvl w:val="0"/>
          <w:numId w:val="66"/>
        </w:numPr>
        <w:tabs>
          <w:tab w:val="left" w:pos="851"/>
        </w:tabs>
        <w:spacing w:before="0" w:line="276" w:lineRule="auto"/>
        <w:ind w:left="0"/>
        <w:contextualSpacing w:val="0"/>
        <w:jc w:val="left"/>
        <w:rPr>
          <w:b w:val="0"/>
          <w:szCs w:val="22"/>
          <w:lang w:val="en-US" w:eastAsia="en-US"/>
        </w:rPr>
      </w:pPr>
      <w:r w:rsidRPr="00A00B8B">
        <w:rPr>
          <w:b w:val="0"/>
          <w:szCs w:val="22"/>
          <w:lang w:val="en-US" w:eastAsia="en-US"/>
        </w:rPr>
        <w:t>այլ օրենքներով տրված արտոնություններ,</w:t>
      </w:r>
    </w:p>
    <w:p w:rsidR="00A00B8B" w:rsidRPr="00A00B8B" w:rsidRDefault="00A00B8B" w:rsidP="007730AA">
      <w:pPr>
        <w:numPr>
          <w:ilvl w:val="0"/>
          <w:numId w:val="66"/>
        </w:numPr>
        <w:tabs>
          <w:tab w:val="left" w:pos="851"/>
        </w:tabs>
        <w:spacing w:before="0" w:line="276" w:lineRule="auto"/>
        <w:ind w:left="0"/>
        <w:contextualSpacing w:val="0"/>
        <w:jc w:val="left"/>
        <w:rPr>
          <w:b w:val="0"/>
          <w:szCs w:val="22"/>
          <w:lang w:val="en-US" w:eastAsia="en-US"/>
        </w:rPr>
      </w:pPr>
      <w:r w:rsidRPr="00A00B8B">
        <w:rPr>
          <w:b w:val="0"/>
          <w:szCs w:val="22"/>
          <w:lang w:val="en-US" w:eastAsia="en-US"/>
        </w:rPr>
        <w:t xml:space="preserve"> վերը չնշված այլ արտոնություններ:</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ՀՀ ՎԿ տվյալների բազայից որոշվել են 201</w:t>
      </w:r>
      <w:r w:rsidRPr="00A00B8B">
        <w:rPr>
          <w:b w:val="0"/>
          <w:szCs w:val="22"/>
          <w:lang w:val="hy-AM" w:eastAsia="en-US"/>
        </w:rPr>
        <w:t>9</w:t>
      </w:r>
      <w:r w:rsidRPr="00A00B8B">
        <w:rPr>
          <w:b w:val="0"/>
          <w:szCs w:val="22"/>
          <w:lang w:val="en-US" w:eastAsia="en-US"/>
        </w:rPr>
        <w:t xml:space="preserve"> թվականի համար տնտեսության յուրա</w:t>
      </w:r>
      <w:r w:rsidRPr="00A00B8B">
        <w:rPr>
          <w:b w:val="0"/>
          <w:szCs w:val="22"/>
          <w:lang w:val="en-US" w:eastAsia="en-US"/>
        </w:rPr>
        <w:softHyphen/>
        <w:t>քանչյուր ոլորտի ավելացված արժեքները, որոնք նախապես ճշգրտվել են ֆինան</w:t>
      </w:r>
      <w:r w:rsidRPr="00A00B8B">
        <w:rPr>
          <w:b w:val="0"/>
          <w:szCs w:val="22"/>
          <w:lang w:val="en-US" w:eastAsia="en-US"/>
        </w:rPr>
        <w:softHyphen/>
        <w:t>սա</w:t>
      </w:r>
      <w:r w:rsidRPr="00A00B8B">
        <w:rPr>
          <w:b w:val="0"/>
          <w:szCs w:val="22"/>
          <w:lang w:val="en-US" w:eastAsia="en-US"/>
        </w:rPr>
        <w:softHyphen/>
        <w:t>կան միջնորդությունների անուղղակի չափվող ծառայությունների արժեքի չափով:</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Տնտեսության յուրաքանչյուր ոլորտի ավելացված արժեքները նվազեցվել են չդի</w:t>
      </w:r>
      <w:r w:rsidRPr="00A00B8B">
        <w:rPr>
          <w:b w:val="0"/>
          <w:szCs w:val="22"/>
          <w:lang w:val="en-US" w:eastAsia="en-US"/>
        </w:rPr>
        <w:softHyphen/>
        <w:t>տարկ</w:t>
      </w:r>
      <w:r w:rsidRPr="00A00B8B">
        <w:rPr>
          <w:b w:val="0"/>
          <w:szCs w:val="22"/>
          <w:lang w:val="en-US" w:eastAsia="en-US"/>
        </w:rPr>
        <w:softHyphen/>
        <w:t>վող (չհաշվառվող) տնտեսության ավելացված արժեքների մասնաբաժնի չափով:</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Տնտեսության արտահանելի ճյուղերի ավելացված արժեքները նվազեցվել են արտա</w:t>
      </w:r>
      <w:r w:rsidRPr="00A00B8B">
        <w:rPr>
          <w:b w:val="0"/>
          <w:szCs w:val="22"/>
          <w:lang w:val="en-US" w:eastAsia="en-US"/>
        </w:rPr>
        <w:softHyphen/>
      </w:r>
      <w:r w:rsidRPr="00A00B8B">
        <w:rPr>
          <w:b w:val="0"/>
          <w:szCs w:val="22"/>
          <w:lang w:val="en-US" w:eastAsia="en-US"/>
        </w:rPr>
        <w:softHyphen/>
      </w:r>
      <w:r w:rsidRPr="00A00B8B">
        <w:rPr>
          <w:b w:val="0"/>
          <w:szCs w:val="22"/>
          <w:lang w:val="en-US" w:eastAsia="en-US"/>
        </w:rPr>
        <w:softHyphen/>
        <w:t>հան</w:t>
      </w:r>
      <w:r w:rsidRPr="00A00B8B">
        <w:rPr>
          <w:b w:val="0"/>
          <w:szCs w:val="22"/>
          <w:lang w:val="en-US" w:eastAsia="en-US"/>
        </w:rPr>
        <w:softHyphen/>
        <w:t>ման արժեքների չափով` արտահանմանն ուղղված ճյուղերի (գյուղատնտե</w:t>
      </w:r>
      <w:r w:rsidRPr="00A00B8B">
        <w:rPr>
          <w:b w:val="0"/>
          <w:szCs w:val="22"/>
          <w:lang w:val="en-US" w:eastAsia="en-US"/>
        </w:rPr>
        <w:softHyphen/>
        <w:t>սու</w:t>
      </w:r>
      <w:r w:rsidRPr="00A00B8B">
        <w:rPr>
          <w:b w:val="0"/>
          <w:szCs w:val="22"/>
          <w:lang w:val="en-US" w:eastAsia="en-US"/>
        </w:rPr>
        <w:softHyphen/>
        <w:t>թյուն, հան</w:t>
      </w:r>
      <w:r w:rsidRPr="00A00B8B">
        <w:rPr>
          <w:b w:val="0"/>
          <w:szCs w:val="22"/>
          <w:lang w:val="en-US" w:eastAsia="en-US"/>
        </w:rPr>
        <w:softHyphen/>
        <w:t>ք</w:t>
      </w:r>
      <w:r w:rsidRPr="00A00B8B">
        <w:rPr>
          <w:b w:val="0"/>
          <w:szCs w:val="22"/>
          <w:lang w:val="en-US" w:eastAsia="en-US"/>
        </w:rPr>
        <w:softHyphen/>
        <w:t>արդյունաբերություն, մշակող արդյունաբերություն, էլեկտրաէներգետիկա, փոխա</w:t>
      </w:r>
      <w:r w:rsidRPr="00A00B8B">
        <w:rPr>
          <w:b w:val="0"/>
          <w:szCs w:val="22"/>
          <w:lang w:val="en-US" w:eastAsia="en-US"/>
        </w:rPr>
        <w:softHyphen/>
      </w:r>
      <w:r w:rsidRPr="00A00B8B">
        <w:rPr>
          <w:b w:val="0"/>
          <w:szCs w:val="22"/>
          <w:lang w:val="en-US" w:eastAsia="en-US"/>
        </w:rPr>
        <w:softHyphen/>
      </w:r>
      <w:r w:rsidRPr="00A00B8B">
        <w:rPr>
          <w:b w:val="0"/>
          <w:szCs w:val="22"/>
          <w:lang w:val="en-US" w:eastAsia="en-US"/>
        </w:rPr>
        <w:softHyphen/>
        <w:t>դրում</w:t>
      </w:r>
      <w:r w:rsidRPr="00A00B8B">
        <w:rPr>
          <w:b w:val="0"/>
          <w:szCs w:val="22"/>
          <w:lang w:val="en-US" w:eastAsia="en-US"/>
        </w:rPr>
        <w:softHyphen/>
      </w:r>
      <w:r w:rsidRPr="00A00B8B">
        <w:rPr>
          <w:b w:val="0"/>
          <w:szCs w:val="22"/>
          <w:lang w:val="en-US" w:eastAsia="en-US"/>
        </w:rPr>
        <w:softHyphen/>
        <w:t>ներ և պահեստային տնտեսություն, տեղեկատվություն և կապ)` ընդհանուր ավե</w:t>
      </w:r>
      <w:r w:rsidRPr="00A00B8B">
        <w:rPr>
          <w:b w:val="0"/>
          <w:szCs w:val="22"/>
          <w:lang w:val="en-US" w:eastAsia="en-US"/>
        </w:rPr>
        <w:softHyphen/>
      </w:r>
      <w:r w:rsidRPr="00A00B8B">
        <w:rPr>
          <w:b w:val="0"/>
          <w:szCs w:val="22"/>
          <w:lang w:val="en-US" w:eastAsia="en-US"/>
        </w:rPr>
        <w:softHyphen/>
      </w:r>
      <w:r w:rsidRPr="00A00B8B">
        <w:rPr>
          <w:b w:val="0"/>
          <w:szCs w:val="22"/>
          <w:lang w:val="en-US" w:eastAsia="en-US"/>
        </w:rPr>
        <w:softHyphen/>
        <w:t>լաց</w:t>
      </w:r>
      <w:r w:rsidRPr="00A00B8B">
        <w:rPr>
          <w:b w:val="0"/>
          <w:szCs w:val="22"/>
          <w:lang w:val="en-US" w:eastAsia="en-US"/>
        </w:rPr>
        <w:softHyphen/>
        <w:t>ված արժեքի մեջ ունեցած տեսակարար կշիռներին համապատասխան:</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Գյուղատնտեսության ոլորտի ստացված արդյունքը ճշգրտվել է գյուղատնտեսության մասնաբաժնում ապրան</w:t>
      </w:r>
      <w:r w:rsidRPr="00A00B8B">
        <w:rPr>
          <w:b w:val="0"/>
          <w:szCs w:val="22"/>
          <w:lang w:val="en-US" w:eastAsia="en-US"/>
        </w:rPr>
        <w:softHyphen/>
      </w:r>
      <w:r w:rsidRPr="00A00B8B">
        <w:rPr>
          <w:b w:val="0"/>
          <w:szCs w:val="22"/>
          <w:lang w:val="en-US" w:eastAsia="en-US"/>
        </w:rPr>
        <w:softHyphen/>
      </w:r>
      <w:r w:rsidRPr="00A00B8B">
        <w:rPr>
          <w:b w:val="0"/>
          <w:szCs w:val="22"/>
          <w:lang w:val="en-US" w:eastAsia="en-US"/>
        </w:rPr>
        <w:softHyphen/>
        <w:t>քայ</w:t>
      </w:r>
      <w:r w:rsidRPr="00A00B8B">
        <w:rPr>
          <w:b w:val="0"/>
          <w:szCs w:val="22"/>
          <w:lang w:val="en-US" w:eastAsia="en-US"/>
        </w:rPr>
        <w:softHyphen/>
        <w:t>նու</w:t>
      </w:r>
      <w:r w:rsidRPr="00A00B8B">
        <w:rPr>
          <w:b w:val="0"/>
          <w:szCs w:val="22"/>
          <w:lang w:val="en-US" w:eastAsia="en-US"/>
        </w:rPr>
        <w:softHyphen/>
        <w:t>թյան մակարդակով (ապրան</w:t>
      </w:r>
      <w:r w:rsidRPr="00A00B8B">
        <w:rPr>
          <w:b w:val="0"/>
          <w:szCs w:val="22"/>
          <w:lang w:val="en-US" w:eastAsia="en-US"/>
        </w:rPr>
        <w:softHyphen/>
        <w:t>քայ</w:t>
      </w:r>
      <w:r w:rsidRPr="00A00B8B">
        <w:rPr>
          <w:b w:val="0"/>
          <w:szCs w:val="22"/>
          <w:lang w:val="en-US" w:eastAsia="en-US"/>
        </w:rPr>
        <w:softHyphen/>
      </w:r>
      <w:r w:rsidRPr="00A00B8B">
        <w:rPr>
          <w:b w:val="0"/>
          <w:szCs w:val="22"/>
          <w:lang w:val="en-US" w:eastAsia="en-US"/>
        </w:rPr>
        <w:softHyphen/>
        <w:t>նության մակարդակը ցույց է տալիս գյու</w:t>
      </w:r>
      <w:r w:rsidRPr="00A00B8B">
        <w:rPr>
          <w:b w:val="0"/>
          <w:szCs w:val="22"/>
          <w:lang w:val="en-US" w:eastAsia="en-US"/>
        </w:rPr>
        <w:softHyphen/>
        <w:t>ղա</w:t>
      </w:r>
      <w:r w:rsidRPr="00A00B8B">
        <w:rPr>
          <w:b w:val="0"/>
          <w:szCs w:val="22"/>
          <w:lang w:val="en-US" w:eastAsia="en-US"/>
        </w:rPr>
        <w:softHyphen/>
        <w:t>տնտե</w:t>
      </w:r>
      <w:r w:rsidRPr="00A00B8B">
        <w:rPr>
          <w:b w:val="0"/>
          <w:szCs w:val="22"/>
          <w:lang w:val="en-US" w:eastAsia="en-US"/>
        </w:rPr>
        <w:softHyphen/>
        <w:t>սական արտադ</w:t>
      </w:r>
      <w:r w:rsidRPr="00A00B8B">
        <w:rPr>
          <w:b w:val="0"/>
          <w:szCs w:val="22"/>
          <w:lang w:val="en-US" w:eastAsia="en-US"/>
        </w:rPr>
        <w:softHyphen/>
        <w:t>րանքի այն մասը, որը գնա</w:t>
      </w:r>
      <w:r w:rsidRPr="00A00B8B">
        <w:rPr>
          <w:b w:val="0"/>
          <w:szCs w:val="22"/>
          <w:lang w:val="en-US" w:eastAsia="en-US"/>
        </w:rPr>
        <w:softHyphen/>
        <w:t>ցել է իրացման կամ այլ ձևով օտարման կամ ապրան</w:t>
      </w:r>
      <w:r w:rsidRPr="00A00B8B">
        <w:rPr>
          <w:b w:val="0"/>
          <w:szCs w:val="22"/>
          <w:lang w:val="en-US" w:eastAsia="en-US"/>
        </w:rPr>
        <w:softHyphen/>
        <w:t>քա</w:t>
      </w:r>
      <w:r w:rsidRPr="00A00B8B">
        <w:rPr>
          <w:b w:val="0"/>
          <w:szCs w:val="22"/>
          <w:lang w:val="en-US" w:eastAsia="en-US"/>
        </w:rPr>
        <w:softHyphen/>
        <w:t>փո</w:t>
      </w:r>
      <w:r w:rsidRPr="00A00B8B">
        <w:rPr>
          <w:b w:val="0"/>
          <w:szCs w:val="22"/>
          <w:lang w:val="en-US" w:eastAsia="en-US"/>
        </w:rPr>
        <w:softHyphen/>
        <w:t>խանակման):</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Այնուհետև ստացված բազայի նկատմամբ կիրառվել է ԱԱՀ-ի 20% դրույքաչափը և հաշ</w:t>
      </w:r>
      <w:r w:rsidRPr="00A00B8B">
        <w:rPr>
          <w:b w:val="0"/>
          <w:szCs w:val="22"/>
          <w:lang w:val="en-US" w:eastAsia="en-US"/>
        </w:rPr>
        <w:softHyphen/>
      </w:r>
      <w:r w:rsidRPr="00A00B8B">
        <w:rPr>
          <w:b w:val="0"/>
          <w:szCs w:val="22"/>
          <w:lang w:val="en-US" w:eastAsia="en-US"/>
        </w:rPr>
        <w:softHyphen/>
      </w:r>
      <w:r w:rsidRPr="00A00B8B">
        <w:rPr>
          <w:b w:val="0"/>
          <w:szCs w:val="22"/>
          <w:lang w:val="en-US" w:eastAsia="en-US"/>
        </w:rPr>
        <w:softHyphen/>
        <w:t>վարկ</w:t>
      </w:r>
      <w:r w:rsidRPr="00A00B8B">
        <w:rPr>
          <w:b w:val="0"/>
          <w:szCs w:val="22"/>
          <w:lang w:val="en-US" w:eastAsia="en-US"/>
        </w:rPr>
        <w:softHyphen/>
        <w:t>վել է ԱԱՀ-ի գծով եկամտային ներուժը: Ստացված արդյունքը ճշգրտվել է 202</w:t>
      </w:r>
      <w:r w:rsidRPr="00A00B8B">
        <w:rPr>
          <w:b w:val="0"/>
          <w:szCs w:val="22"/>
          <w:lang w:val="hy-AM" w:eastAsia="en-US"/>
        </w:rPr>
        <w:t>1</w:t>
      </w:r>
      <w:r w:rsidRPr="00A00B8B">
        <w:rPr>
          <w:b w:val="0"/>
          <w:szCs w:val="22"/>
          <w:lang w:val="en-US" w:eastAsia="en-US"/>
        </w:rPr>
        <w:t xml:space="preserve"> թվականի տնտեսության ճյուղերի կանխատեսվող ծավալների աճով:</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Ստացված արդյունքների հիման վրա առանձնացվել են գյուղատնտեսության, կրթու</w:t>
      </w:r>
      <w:r w:rsidRPr="00A00B8B">
        <w:rPr>
          <w:b w:val="0"/>
          <w:szCs w:val="22"/>
          <w:lang w:val="en-US" w:eastAsia="en-US"/>
        </w:rPr>
        <w:softHyphen/>
        <w:t>թյան, առողջապահության, ֆինանսական և ապահովագրության ոլորտների համապատասխան ԱԱՀ-ի մասնաբաժինները, որոնք իրենցից ներ</w:t>
      </w:r>
      <w:r w:rsidRPr="00A00B8B">
        <w:rPr>
          <w:b w:val="0"/>
          <w:szCs w:val="22"/>
          <w:lang w:val="en-US" w:eastAsia="en-US"/>
        </w:rPr>
        <w:softHyphen/>
        <w:t xml:space="preserve">կայացնում են այդ ոլորտների համար ԱԱՀ-ի գծով հարկային ծախսերը: </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Միաժամանակ, ԱԱՀ-ի հաշվարկներից արտածվել են խաղատների, շահումով խաղերի (այդ թվում՝ ինտերնետ շահումով խաղերի), տոտալիզատորի և ինտերնետ տոտալիզատորի կազմակերպ</w:t>
      </w:r>
      <w:r w:rsidRPr="00A00B8B">
        <w:rPr>
          <w:b w:val="0"/>
          <w:szCs w:val="22"/>
          <w:lang w:val="hy-AM" w:eastAsia="en-US"/>
        </w:rPr>
        <w:t>ման</w:t>
      </w:r>
      <w:r w:rsidRPr="00A00B8B">
        <w:rPr>
          <w:b w:val="0"/>
          <w:szCs w:val="22"/>
          <w:lang w:val="en-US" w:eastAsia="en-US"/>
        </w:rPr>
        <w:t>, ոսկու և թանկարժեք քարերի իրացման, մարդասիրական օգնության, պարարտանյութերի իրացման, ծխախոտի արտադրանք արտադրող չհանդիսացող և ծխախոտի արտադրանք ներմուծող չհանդիսացող հարկ վճարողների կողմից ծխախոտի արտադրանքի օտարում, ջրօգտագործողների ընկերությունների կողմից ոռոգման ջրի օտարում, սուբսիդիաների, սուբվենցիաների և դրամաշնորհային ծրագրերի շրջանակներում իրականացվող` ապրանքի մատակարարում, աշխատանքի կատարում և (կամ) ծառայության մատուցում, ազատ տնտեսական գոտու կազմակերպչին և ազատ տնտեսական գոտու շահագործողին ծառայությունների մատուցում, ազատ տնտեսական գոտու կազմակերպչի և ազատ տնտեսական գոտու շահագործողի համար աշխատանքների կատարում, ազատ տնտեսական գոտու տարածքում ապրանքների մատակարարում և այլ օրենքներով տրված ԱԱՀ-ից ազատման արտոնությունների մասով շրջանառությունները, որոնց նկատմամբ կիարառելով համապատասխան գործունեության տեսակների ավելացված արժեք/թողարկում հարաբերակցության ցուցանիշը, այնուհետև՝ ԱԱՀ-ի 20% դրույքաչափը, հաշ</w:t>
      </w:r>
      <w:r w:rsidRPr="00A00B8B">
        <w:rPr>
          <w:b w:val="0"/>
          <w:szCs w:val="22"/>
          <w:lang w:val="en-US" w:eastAsia="en-US"/>
        </w:rPr>
        <w:softHyphen/>
      </w:r>
      <w:r w:rsidRPr="00A00B8B">
        <w:rPr>
          <w:b w:val="0"/>
          <w:szCs w:val="22"/>
          <w:lang w:val="en-US" w:eastAsia="en-US"/>
        </w:rPr>
        <w:softHyphen/>
      </w:r>
      <w:r w:rsidRPr="00A00B8B">
        <w:rPr>
          <w:b w:val="0"/>
          <w:szCs w:val="22"/>
          <w:lang w:val="en-US" w:eastAsia="en-US"/>
        </w:rPr>
        <w:softHyphen/>
        <w:t>վարկ</w:t>
      </w:r>
      <w:r w:rsidRPr="00A00B8B">
        <w:rPr>
          <w:b w:val="0"/>
          <w:szCs w:val="22"/>
          <w:lang w:val="en-US" w:eastAsia="en-US"/>
        </w:rPr>
        <w:softHyphen/>
        <w:t>վել է նշված գործունեության տեսակների համար ԱԱՀ-ի գծով եկամտային ներուժը: Ստացված արդյունքը ճշգրտվել է 202</w:t>
      </w:r>
      <w:r w:rsidRPr="00A00B8B">
        <w:rPr>
          <w:b w:val="0"/>
          <w:szCs w:val="22"/>
          <w:lang w:val="hy-AM" w:eastAsia="en-US"/>
        </w:rPr>
        <w:t>1</w:t>
      </w:r>
      <w:r w:rsidRPr="00A00B8B">
        <w:rPr>
          <w:b w:val="0"/>
          <w:szCs w:val="22"/>
          <w:lang w:val="en-US" w:eastAsia="en-US"/>
        </w:rPr>
        <w:t xml:space="preserve"> թվականի նշված գործունեության տեսակների կանխատեսվող ծավալների աճով: </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Բացի այդ, որոշվել են ԱԱՀ-ի գծով վերը չնշված այլ հարկային ծախսերը` որպես ԱԱՀ-ի գծով եկա</w:t>
      </w:r>
      <w:r w:rsidRPr="00A00B8B">
        <w:rPr>
          <w:b w:val="0"/>
          <w:szCs w:val="22"/>
          <w:lang w:val="en-US" w:eastAsia="en-US"/>
        </w:rPr>
        <w:softHyphen/>
        <w:t>մտա</w:t>
      </w:r>
      <w:r w:rsidRPr="00A00B8B">
        <w:rPr>
          <w:b w:val="0"/>
          <w:szCs w:val="22"/>
          <w:lang w:val="en-US" w:eastAsia="en-US"/>
        </w:rPr>
        <w:softHyphen/>
        <w:t>յին ներուժի և ներքին տնտեսությունից փաստացի հավաքագրված ԱԱՀ-ի, վերոնշյալ ոլորտ</w:t>
      </w:r>
      <w:r w:rsidRPr="00A00B8B">
        <w:rPr>
          <w:b w:val="0"/>
          <w:szCs w:val="22"/>
          <w:lang w:val="en-US" w:eastAsia="en-US"/>
        </w:rPr>
        <w:softHyphen/>
        <w:t>ների, գործունեության տեսակների, ԱԱՀ-ի շեմի ու միկրոբիզնեսի գծով գնա</w:t>
      </w:r>
      <w:r w:rsidRPr="00A00B8B">
        <w:rPr>
          <w:b w:val="0"/>
          <w:szCs w:val="22"/>
          <w:lang w:val="en-US" w:eastAsia="en-US"/>
        </w:rPr>
        <w:softHyphen/>
        <w:t>հատված` ԱԱՀ-ի հար</w:t>
      </w:r>
      <w:r w:rsidRPr="00A00B8B">
        <w:rPr>
          <w:b w:val="0"/>
          <w:szCs w:val="22"/>
          <w:lang w:val="en-US" w:eastAsia="en-US"/>
        </w:rPr>
        <w:softHyphen/>
        <w:t xml:space="preserve">կային ծախսերի հանրագումարի տարբերություն: </w:t>
      </w:r>
    </w:p>
    <w:p w:rsidR="00A00B8B" w:rsidRPr="00A00B8B" w:rsidRDefault="00A00B8B" w:rsidP="007730AA">
      <w:pPr>
        <w:tabs>
          <w:tab w:val="left" w:pos="851"/>
        </w:tabs>
        <w:spacing w:before="0" w:line="276" w:lineRule="auto"/>
        <w:ind w:firstLine="0"/>
        <w:rPr>
          <w:i/>
          <w:szCs w:val="22"/>
          <w:lang w:val="en-US" w:eastAsia="en-US"/>
        </w:rPr>
      </w:pPr>
    </w:p>
    <w:p w:rsidR="00A00B8B" w:rsidRPr="00A00B8B" w:rsidRDefault="00A00B8B" w:rsidP="007730AA">
      <w:pPr>
        <w:numPr>
          <w:ilvl w:val="0"/>
          <w:numId w:val="67"/>
        </w:numPr>
        <w:tabs>
          <w:tab w:val="left" w:pos="851"/>
        </w:tabs>
        <w:spacing w:before="0" w:line="276" w:lineRule="auto"/>
        <w:ind w:left="0" w:firstLine="567"/>
        <w:contextualSpacing w:val="0"/>
        <w:jc w:val="left"/>
        <w:rPr>
          <w:i/>
          <w:szCs w:val="22"/>
          <w:lang w:val="en-US" w:eastAsia="en-US"/>
        </w:rPr>
      </w:pPr>
      <w:r w:rsidRPr="00A00B8B">
        <w:rPr>
          <w:rFonts w:cs="Sylfaen"/>
          <w:i/>
          <w:szCs w:val="22"/>
          <w:lang w:val="en-US" w:eastAsia="en-US"/>
        </w:rPr>
        <w:t>Շահութահարկի</w:t>
      </w:r>
      <w:r w:rsidRPr="00A00B8B">
        <w:rPr>
          <w:i/>
          <w:szCs w:val="22"/>
          <w:lang w:val="en-US" w:eastAsia="en-US"/>
        </w:rPr>
        <w:t xml:space="preserve"> գծով հարկային ծախսեր.</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Շահու</w:t>
      </w:r>
      <w:r w:rsidRPr="00A00B8B">
        <w:rPr>
          <w:b w:val="0"/>
          <w:szCs w:val="22"/>
          <w:lang w:val="en-US" w:eastAsia="en-US"/>
        </w:rPr>
        <w:softHyphen/>
        <w:t>թահարկի գծով հարկային ծախսերի գնահատականը ներառում է գյուղատնտեսության արտոնությունները, ինչպես նաև շահութահարկի հաշվարկներով արտացոլված հարկվող շահույթի նվազեցման արտոնությունները, բացառությամբ՝ գյուղատնտեսության արտոնությունների և շահութահարկի նվազեցման արտոնությունները:</w:t>
      </w:r>
    </w:p>
    <w:p w:rsidR="00A00B8B" w:rsidRPr="00A00B8B" w:rsidRDefault="00A00B8B" w:rsidP="007730AA">
      <w:pPr>
        <w:spacing w:before="0" w:line="276" w:lineRule="auto"/>
        <w:contextualSpacing w:val="0"/>
        <w:rPr>
          <w:b w:val="0"/>
          <w:szCs w:val="22"/>
          <w:lang w:val="en-US" w:eastAsia="en-US"/>
        </w:rPr>
      </w:pPr>
    </w:p>
    <w:p w:rsidR="00A00B8B" w:rsidRPr="00A00B8B" w:rsidRDefault="00A00B8B" w:rsidP="007730AA">
      <w:pPr>
        <w:spacing w:before="0" w:line="276" w:lineRule="auto"/>
        <w:contextualSpacing w:val="0"/>
        <w:rPr>
          <w:szCs w:val="22"/>
          <w:lang w:val="en-US" w:eastAsia="en-US"/>
        </w:rPr>
      </w:pPr>
      <w:r w:rsidRPr="00A00B8B">
        <w:rPr>
          <w:szCs w:val="22"/>
          <w:lang w:val="en-US" w:eastAsia="en-US"/>
        </w:rPr>
        <w:t>Գյուղատնտեսություն.</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Որոշվել են 201</w:t>
      </w:r>
      <w:r w:rsidRPr="00A00B8B">
        <w:rPr>
          <w:b w:val="0"/>
          <w:szCs w:val="22"/>
          <w:lang w:val="hy-AM" w:eastAsia="en-US"/>
        </w:rPr>
        <w:t>9</w:t>
      </w:r>
      <w:r w:rsidRPr="00A00B8B">
        <w:rPr>
          <w:b w:val="0"/>
          <w:szCs w:val="22"/>
          <w:lang w:val="en-US" w:eastAsia="en-US"/>
        </w:rPr>
        <w:t xml:space="preserve"> թվականի համար գյուղատնտեսության ոլորտի զուտ շահույթը և զուտ խառը եկամուտները` հիմք ընդունելով եկամուտների ձևավորման եղանակով 201</w:t>
      </w:r>
      <w:r w:rsidRPr="00A00B8B">
        <w:rPr>
          <w:b w:val="0"/>
          <w:szCs w:val="22"/>
          <w:lang w:val="hy-AM" w:eastAsia="en-US"/>
        </w:rPr>
        <w:t>8</w:t>
      </w:r>
      <w:r w:rsidRPr="00A00B8B">
        <w:rPr>
          <w:b w:val="0"/>
          <w:szCs w:val="22"/>
          <w:lang w:val="en-US" w:eastAsia="en-US"/>
        </w:rPr>
        <w:t xml:space="preserve"> թվա</w:t>
      </w:r>
      <w:r w:rsidRPr="00A00B8B">
        <w:rPr>
          <w:b w:val="0"/>
          <w:szCs w:val="22"/>
          <w:lang w:val="en-US" w:eastAsia="en-US"/>
        </w:rPr>
        <w:softHyphen/>
        <w:t>կանի համար հաշվարկված գյուղատնտեսության ոլորտի զուտ շահույթը և զուտ խառը եկա</w:t>
      </w:r>
      <w:r w:rsidRPr="00A00B8B">
        <w:rPr>
          <w:b w:val="0"/>
          <w:szCs w:val="22"/>
          <w:lang w:val="en-US" w:eastAsia="en-US"/>
        </w:rPr>
        <w:softHyphen/>
        <w:t>մուտ</w:t>
      </w:r>
      <w:r w:rsidRPr="00A00B8B">
        <w:rPr>
          <w:b w:val="0"/>
          <w:szCs w:val="22"/>
          <w:lang w:val="en-US" w:eastAsia="en-US"/>
        </w:rPr>
        <w:softHyphen/>
        <w:t>ները, որոնց նկատմամբ կիրառվել է գյուղատնտեսության ոլորտի 201</w:t>
      </w:r>
      <w:r w:rsidRPr="00A00B8B">
        <w:rPr>
          <w:b w:val="0"/>
          <w:szCs w:val="22"/>
          <w:lang w:val="hy-AM" w:eastAsia="en-US"/>
        </w:rPr>
        <w:t>9</w:t>
      </w:r>
      <w:r w:rsidRPr="00A00B8B">
        <w:rPr>
          <w:b w:val="0"/>
          <w:szCs w:val="22"/>
          <w:lang w:val="en-US" w:eastAsia="en-US"/>
        </w:rPr>
        <w:t xml:space="preserve"> թվականի` արտադ</w:t>
      </w:r>
      <w:r w:rsidRPr="00A00B8B">
        <w:rPr>
          <w:b w:val="0"/>
          <w:szCs w:val="22"/>
          <w:lang w:val="en-US" w:eastAsia="en-US"/>
        </w:rPr>
        <w:softHyphen/>
      </w:r>
      <w:r w:rsidRPr="00A00B8B">
        <w:rPr>
          <w:b w:val="0"/>
          <w:szCs w:val="22"/>
          <w:lang w:val="en-US" w:eastAsia="en-US"/>
        </w:rPr>
        <w:softHyphen/>
        <w:t>րական եղանակով որոշված ավելացված արժեքների աճի տեմպը:</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Ստացված արդյունքը ճշգրտվել է գյուղատնտեսության մաս</w:t>
      </w:r>
      <w:r w:rsidRPr="00A00B8B">
        <w:rPr>
          <w:b w:val="0"/>
          <w:szCs w:val="22"/>
          <w:lang w:val="en-US" w:eastAsia="en-US"/>
        </w:rPr>
        <w:softHyphen/>
        <w:t>նա</w:t>
      </w:r>
      <w:r w:rsidRPr="00A00B8B">
        <w:rPr>
          <w:b w:val="0"/>
          <w:szCs w:val="22"/>
          <w:lang w:val="en-US" w:eastAsia="en-US"/>
        </w:rPr>
        <w:softHyphen/>
        <w:t>բաժ</w:t>
      </w:r>
      <w:r w:rsidRPr="00A00B8B">
        <w:rPr>
          <w:b w:val="0"/>
          <w:szCs w:val="22"/>
          <w:lang w:val="en-US" w:eastAsia="en-US"/>
        </w:rPr>
        <w:softHyphen/>
        <w:t>նում չդիտարկվող (չհաշվառվող) տնտեսության և ապրանքայնության մակարդակով:</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Այնուհետև որոշվել է ստացված արդյունքի մեջ առևտրային կազմակեր</w:t>
      </w:r>
      <w:r w:rsidRPr="00A00B8B">
        <w:rPr>
          <w:b w:val="0"/>
          <w:szCs w:val="22"/>
          <w:lang w:val="en-US" w:eastAsia="en-US"/>
        </w:rPr>
        <w:softHyphen/>
        <w:t>պու</w:t>
      </w:r>
      <w:r w:rsidRPr="00A00B8B">
        <w:rPr>
          <w:b w:val="0"/>
          <w:szCs w:val="22"/>
          <w:lang w:val="en-US" w:eastAsia="en-US"/>
        </w:rPr>
        <w:softHyphen/>
        <w:t>թյուն</w:t>
      </w:r>
      <w:r w:rsidRPr="00A00B8B">
        <w:rPr>
          <w:b w:val="0"/>
          <w:szCs w:val="22"/>
          <w:lang w:val="en-US" w:eastAsia="en-US"/>
        </w:rPr>
        <w:softHyphen/>
        <w:t>ների և անհատ ձեռնարկատերերի մասնաբաժինը` համաձայն ՀՀ ԱՎԿ տվյալների: Այնուհետև կիրառվել է շահութահարկի 18% դրույքաչափը և հաշ</w:t>
      </w:r>
      <w:r w:rsidRPr="00A00B8B">
        <w:rPr>
          <w:b w:val="0"/>
          <w:szCs w:val="22"/>
          <w:lang w:val="en-US" w:eastAsia="en-US"/>
        </w:rPr>
        <w:softHyphen/>
      </w:r>
      <w:r w:rsidRPr="00A00B8B">
        <w:rPr>
          <w:b w:val="0"/>
          <w:szCs w:val="22"/>
          <w:lang w:val="en-US" w:eastAsia="en-US"/>
        </w:rPr>
        <w:softHyphen/>
      </w:r>
      <w:r w:rsidRPr="00A00B8B">
        <w:rPr>
          <w:b w:val="0"/>
          <w:szCs w:val="22"/>
          <w:lang w:val="en-US" w:eastAsia="en-US"/>
        </w:rPr>
        <w:softHyphen/>
        <w:t>վարկ</w:t>
      </w:r>
      <w:r w:rsidRPr="00A00B8B">
        <w:rPr>
          <w:b w:val="0"/>
          <w:szCs w:val="22"/>
          <w:lang w:val="en-US" w:eastAsia="en-US"/>
        </w:rPr>
        <w:softHyphen/>
        <w:t>վել է շահութահարկի գծով եկամտային ներուժը: Ստացված արդյունքը ճշգրտվել է 202</w:t>
      </w:r>
      <w:r w:rsidRPr="00A00B8B">
        <w:rPr>
          <w:b w:val="0"/>
          <w:szCs w:val="22"/>
          <w:lang w:val="hy-AM" w:eastAsia="en-US"/>
        </w:rPr>
        <w:t>1</w:t>
      </w:r>
      <w:r w:rsidRPr="00A00B8B">
        <w:rPr>
          <w:b w:val="0"/>
          <w:szCs w:val="22"/>
          <w:lang w:val="en-US" w:eastAsia="en-US"/>
        </w:rPr>
        <w:t xml:space="preserve"> թվականի գյուղատնտեսության ճյուղի կանխատեսվող ծավալների աճով:</w:t>
      </w:r>
    </w:p>
    <w:p w:rsidR="00A00B8B" w:rsidRPr="00A00B8B" w:rsidRDefault="00A00B8B" w:rsidP="007730AA">
      <w:pPr>
        <w:spacing w:before="0" w:line="276" w:lineRule="auto"/>
        <w:contextualSpacing w:val="0"/>
        <w:rPr>
          <w:szCs w:val="22"/>
          <w:lang w:val="en-US" w:eastAsia="en-US"/>
        </w:rPr>
      </w:pPr>
    </w:p>
    <w:p w:rsidR="00A00B8B" w:rsidRPr="00A00B8B" w:rsidRDefault="00A00B8B" w:rsidP="007730AA">
      <w:pPr>
        <w:spacing w:before="0" w:line="276" w:lineRule="auto"/>
        <w:contextualSpacing w:val="0"/>
        <w:rPr>
          <w:szCs w:val="22"/>
          <w:lang w:val="en-US" w:eastAsia="en-US"/>
        </w:rPr>
      </w:pPr>
      <w:r w:rsidRPr="00A00B8B">
        <w:rPr>
          <w:szCs w:val="22"/>
          <w:lang w:val="en-US" w:eastAsia="en-US"/>
        </w:rPr>
        <w:t>Հարկվող շահույթի նվազեցման արտոնությունները, բացառությամբ՝ գյուղատնտեսության.</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Շահութահարկի հաշվարկներից արտածվել են հարկվող շահույթի նվազեցման արտոնությունները, բացառությամբ՝ գյուղատնտեսության արտոնությունների,  որոնց նկատմամբ կիրառվել է շահութահարկի 18% դրույքաչափը՝ արդյունքում հաշ</w:t>
      </w:r>
      <w:r w:rsidRPr="00A00B8B">
        <w:rPr>
          <w:b w:val="0"/>
          <w:szCs w:val="22"/>
          <w:lang w:val="en-US" w:eastAsia="en-US"/>
        </w:rPr>
        <w:softHyphen/>
      </w:r>
      <w:r w:rsidRPr="00A00B8B">
        <w:rPr>
          <w:b w:val="0"/>
          <w:szCs w:val="22"/>
          <w:lang w:val="en-US" w:eastAsia="en-US"/>
        </w:rPr>
        <w:softHyphen/>
      </w:r>
      <w:r w:rsidRPr="00A00B8B">
        <w:rPr>
          <w:b w:val="0"/>
          <w:szCs w:val="22"/>
          <w:lang w:val="en-US" w:eastAsia="en-US"/>
        </w:rPr>
        <w:softHyphen/>
        <w:t>վարկ</w:t>
      </w:r>
      <w:r w:rsidRPr="00A00B8B">
        <w:rPr>
          <w:b w:val="0"/>
          <w:szCs w:val="22"/>
          <w:lang w:val="en-US" w:eastAsia="en-US"/>
        </w:rPr>
        <w:softHyphen/>
        <w:t>վել է նշված ուղղության համար շահութահարկի գծով եկամտային ներուժը: Ստացված արդյունքը ճշգրտվել է 202</w:t>
      </w:r>
      <w:r w:rsidRPr="00A00B8B">
        <w:rPr>
          <w:b w:val="0"/>
          <w:szCs w:val="22"/>
          <w:lang w:val="hy-AM" w:eastAsia="en-US"/>
        </w:rPr>
        <w:t>1</w:t>
      </w:r>
      <w:r w:rsidRPr="00A00B8B">
        <w:rPr>
          <w:b w:val="0"/>
          <w:szCs w:val="22"/>
          <w:lang w:val="en-US" w:eastAsia="en-US"/>
        </w:rPr>
        <w:t xml:space="preserve"> թվականի նշված ուղղության կանխատեսվող ծավալների աճով:</w:t>
      </w:r>
    </w:p>
    <w:p w:rsidR="00A00B8B" w:rsidRPr="00A00B8B" w:rsidRDefault="00A00B8B" w:rsidP="007730AA">
      <w:pPr>
        <w:spacing w:before="0" w:line="276" w:lineRule="auto"/>
        <w:contextualSpacing w:val="0"/>
        <w:rPr>
          <w:b w:val="0"/>
          <w:szCs w:val="22"/>
          <w:lang w:val="en-US" w:eastAsia="en-US"/>
        </w:rPr>
      </w:pPr>
    </w:p>
    <w:p w:rsidR="00A00B8B" w:rsidRPr="00A00B8B" w:rsidRDefault="00A00B8B" w:rsidP="007730AA">
      <w:pPr>
        <w:spacing w:before="0" w:line="276" w:lineRule="auto"/>
        <w:contextualSpacing w:val="0"/>
        <w:rPr>
          <w:szCs w:val="22"/>
          <w:lang w:val="en-US" w:eastAsia="en-US"/>
        </w:rPr>
      </w:pPr>
      <w:r w:rsidRPr="00A00B8B">
        <w:rPr>
          <w:szCs w:val="22"/>
          <w:lang w:val="en-US" w:eastAsia="en-US"/>
        </w:rPr>
        <w:t>Շահութահարկի նվազեցման արտոնությունները.</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Շահութահարկի հաշվարկներից արտածվել են շահութահարկի նվազեցման արտոնությունները, որն իրենից ներկայացնում է նշված ուղղության համար շահութահարկի գծով եկամտային ներուժը: Ստացված արդյունքը ճշգրտվել է 202</w:t>
      </w:r>
      <w:r w:rsidRPr="00A00B8B">
        <w:rPr>
          <w:b w:val="0"/>
          <w:szCs w:val="22"/>
          <w:lang w:val="hy-AM" w:eastAsia="en-US"/>
        </w:rPr>
        <w:t>1</w:t>
      </w:r>
      <w:r w:rsidRPr="00A00B8B">
        <w:rPr>
          <w:b w:val="0"/>
          <w:szCs w:val="22"/>
          <w:lang w:val="en-US" w:eastAsia="en-US"/>
        </w:rPr>
        <w:t xml:space="preserve"> թվականի նշված ուղղության կանխատեսվող ծավալների աճով</w:t>
      </w:r>
      <w:r w:rsidRPr="00A00B8B">
        <w:rPr>
          <w:b w:val="0"/>
          <w:szCs w:val="22"/>
          <w:lang w:val="hy-AM" w:eastAsia="en-US"/>
        </w:rPr>
        <w:t xml:space="preserve"> և շահութահարկի դրույքաչափի փոփոխության արդյունքով</w:t>
      </w:r>
      <w:r w:rsidRPr="00A00B8B">
        <w:rPr>
          <w:b w:val="0"/>
          <w:szCs w:val="22"/>
          <w:lang w:val="en-US" w:eastAsia="en-US"/>
        </w:rPr>
        <w:t>:</w:t>
      </w:r>
    </w:p>
    <w:p w:rsidR="00A00B8B" w:rsidRPr="00A00B8B" w:rsidRDefault="00A00B8B" w:rsidP="007730AA">
      <w:pPr>
        <w:spacing w:before="0" w:line="276" w:lineRule="auto"/>
        <w:contextualSpacing w:val="0"/>
        <w:rPr>
          <w:szCs w:val="22"/>
          <w:lang w:val="en-US" w:eastAsia="en-US"/>
        </w:rPr>
      </w:pPr>
    </w:p>
    <w:p w:rsidR="00A00B8B" w:rsidRPr="00A00B8B" w:rsidRDefault="00A00B8B" w:rsidP="007730AA">
      <w:pPr>
        <w:numPr>
          <w:ilvl w:val="0"/>
          <w:numId w:val="67"/>
        </w:numPr>
        <w:tabs>
          <w:tab w:val="left" w:pos="993"/>
        </w:tabs>
        <w:spacing w:before="0" w:line="276" w:lineRule="auto"/>
        <w:ind w:left="0" w:firstLine="567"/>
        <w:contextualSpacing w:val="0"/>
        <w:jc w:val="left"/>
        <w:rPr>
          <w:rFonts w:cs="Sylfaen"/>
          <w:i/>
          <w:szCs w:val="22"/>
          <w:lang w:val="en-US" w:eastAsia="en-US"/>
        </w:rPr>
      </w:pPr>
      <w:r w:rsidRPr="00A00B8B">
        <w:rPr>
          <w:rFonts w:cs="Sylfaen"/>
          <w:i/>
          <w:szCs w:val="22"/>
          <w:lang w:val="en-US" w:eastAsia="en-US"/>
        </w:rPr>
        <w:t>Եկամտային հարկի գծով հարկային ծախսեր.</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Եկամտային հարկի գծով հարկային ծախսերի մասով գնահատվել է գյուղատնտեսության և միկրոբիզնեսի արտոնությունները:</w:t>
      </w:r>
    </w:p>
    <w:p w:rsidR="00A00B8B" w:rsidRPr="00A00B8B" w:rsidRDefault="00A00B8B" w:rsidP="007730AA">
      <w:pPr>
        <w:spacing w:before="0" w:line="276" w:lineRule="auto"/>
        <w:contextualSpacing w:val="0"/>
        <w:rPr>
          <w:szCs w:val="22"/>
          <w:lang w:val="en-US" w:eastAsia="en-US"/>
        </w:rPr>
      </w:pPr>
      <w:r w:rsidRPr="00A00B8B">
        <w:rPr>
          <w:szCs w:val="22"/>
          <w:lang w:val="en-US" w:eastAsia="en-US"/>
        </w:rPr>
        <w:t>Գյուղատնտեսություն.</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Որոշվել են 201</w:t>
      </w:r>
      <w:r w:rsidRPr="00A00B8B">
        <w:rPr>
          <w:b w:val="0"/>
          <w:szCs w:val="22"/>
          <w:lang w:val="hy-AM" w:eastAsia="en-US"/>
        </w:rPr>
        <w:t>9</w:t>
      </w:r>
      <w:r w:rsidRPr="00A00B8B">
        <w:rPr>
          <w:b w:val="0"/>
          <w:szCs w:val="22"/>
          <w:lang w:val="en-US" w:eastAsia="en-US"/>
        </w:rPr>
        <w:t xml:space="preserve"> թվականի համար գյուղատնտեսության ոլորտի  վարձու աշխատողների աշխատանքի վարձատրության գծով եկամուտները` հիմք ընդունելով եկամուտների ձևավորման եղանակով 201</w:t>
      </w:r>
      <w:r w:rsidRPr="00A00B8B">
        <w:rPr>
          <w:b w:val="0"/>
          <w:szCs w:val="22"/>
          <w:lang w:val="hy-AM" w:eastAsia="en-US"/>
        </w:rPr>
        <w:t>8</w:t>
      </w:r>
      <w:r w:rsidRPr="00A00B8B">
        <w:rPr>
          <w:b w:val="0"/>
          <w:szCs w:val="22"/>
          <w:lang w:val="en-US" w:eastAsia="en-US"/>
        </w:rPr>
        <w:t xml:space="preserve"> թվա</w:t>
      </w:r>
      <w:r w:rsidRPr="00A00B8B">
        <w:rPr>
          <w:b w:val="0"/>
          <w:szCs w:val="22"/>
          <w:lang w:val="en-US" w:eastAsia="en-US"/>
        </w:rPr>
        <w:softHyphen/>
        <w:t>կանի համար հաշվարկված գյուղատնտեսության ոլորտի վարձու աշխատողների աշխատանքի վարձատրության գծով եկա</w:t>
      </w:r>
      <w:r w:rsidRPr="00A00B8B">
        <w:rPr>
          <w:b w:val="0"/>
          <w:szCs w:val="22"/>
          <w:lang w:val="en-US" w:eastAsia="en-US"/>
        </w:rPr>
        <w:softHyphen/>
        <w:t>մուտ</w:t>
      </w:r>
      <w:r w:rsidRPr="00A00B8B">
        <w:rPr>
          <w:b w:val="0"/>
          <w:szCs w:val="22"/>
          <w:lang w:val="en-US" w:eastAsia="en-US"/>
        </w:rPr>
        <w:softHyphen/>
        <w:t>ները, որոնց նկատմամբ կիրառվել է գյուղատնտեսության ոլորտի 201</w:t>
      </w:r>
      <w:r w:rsidRPr="00A00B8B">
        <w:rPr>
          <w:b w:val="0"/>
          <w:szCs w:val="22"/>
          <w:lang w:val="hy-AM" w:eastAsia="en-US"/>
        </w:rPr>
        <w:t>9</w:t>
      </w:r>
      <w:r w:rsidRPr="00A00B8B">
        <w:rPr>
          <w:b w:val="0"/>
          <w:szCs w:val="22"/>
          <w:lang w:val="en-US" w:eastAsia="en-US"/>
        </w:rPr>
        <w:t xml:space="preserve"> թվականի` արտադ</w:t>
      </w:r>
      <w:r w:rsidRPr="00A00B8B">
        <w:rPr>
          <w:b w:val="0"/>
          <w:szCs w:val="22"/>
          <w:lang w:val="en-US" w:eastAsia="en-US"/>
        </w:rPr>
        <w:softHyphen/>
      </w:r>
      <w:r w:rsidRPr="00A00B8B">
        <w:rPr>
          <w:b w:val="0"/>
          <w:szCs w:val="22"/>
          <w:lang w:val="en-US" w:eastAsia="en-US"/>
        </w:rPr>
        <w:softHyphen/>
        <w:t>րական եղանակով որոշված ավելացված արժեքների աճի տեմպը:</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Ստացված արդյունքը ճշգրտվել է գյուղատնտեսության մասնաբաժ</w:t>
      </w:r>
      <w:r w:rsidRPr="00A00B8B">
        <w:rPr>
          <w:b w:val="0"/>
          <w:szCs w:val="22"/>
          <w:lang w:val="en-US" w:eastAsia="en-US"/>
        </w:rPr>
        <w:softHyphen/>
        <w:t>նում ապրանքայ</w:t>
      </w:r>
      <w:r w:rsidRPr="00A00B8B">
        <w:rPr>
          <w:b w:val="0"/>
          <w:szCs w:val="22"/>
          <w:lang w:val="en-US" w:eastAsia="en-US"/>
        </w:rPr>
        <w:softHyphen/>
        <w:t>նու</w:t>
      </w:r>
      <w:r w:rsidRPr="00A00B8B">
        <w:rPr>
          <w:b w:val="0"/>
          <w:szCs w:val="22"/>
          <w:lang w:val="en-US" w:eastAsia="en-US"/>
        </w:rPr>
        <w:softHyphen/>
        <w:t>թյան մակարդակով:</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Որոշվել է ճշգրտված արդյունքի մեջ ֆիզիկական անձանց (անհատ ձեռնարկատեր չհանդիսացող) մաս</w:t>
      </w:r>
      <w:r w:rsidRPr="00A00B8B">
        <w:rPr>
          <w:b w:val="0"/>
          <w:szCs w:val="22"/>
          <w:lang w:val="en-US" w:eastAsia="en-US"/>
        </w:rPr>
        <w:softHyphen/>
        <w:t>նա</w:t>
      </w:r>
      <w:r w:rsidRPr="00A00B8B">
        <w:rPr>
          <w:b w:val="0"/>
          <w:szCs w:val="22"/>
          <w:lang w:val="en-US" w:eastAsia="en-US"/>
        </w:rPr>
        <w:softHyphen/>
        <w:t>բա</w:t>
      </w:r>
      <w:r w:rsidRPr="00A00B8B">
        <w:rPr>
          <w:b w:val="0"/>
          <w:szCs w:val="22"/>
          <w:lang w:val="en-US" w:eastAsia="en-US"/>
        </w:rPr>
        <w:softHyphen/>
        <w:t>ժինը` համաձայն ՀՀ ՎԿ տվյալների: Ստացված արդյունքը ճշգրտվել է 2020 թվականի գյուղատնտեսության ճյուղի կանխատեսվող ծավալների աճով:</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Հաշվարկվել է ստացված արդյունքին համապատասխանող եկամտային հարկի գումարը:</w:t>
      </w:r>
    </w:p>
    <w:p w:rsidR="00A00B8B" w:rsidRDefault="00A00B8B" w:rsidP="007730AA">
      <w:pPr>
        <w:spacing w:before="0" w:line="276" w:lineRule="auto"/>
        <w:contextualSpacing w:val="0"/>
        <w:rPr>
          <w:b w:val="0"/>
          <w:szCs w:val="22"/>
          <w:lang w:val="en-US" w:eastAsia="en-US"/>
        </w:rPr>
      </w:pPr>
    </w:p>
    <w:p w:rsidR="00F9035D" w:rsidRDefault="00F9035D" w:rsidP="007730AA">
      <w:pPr>
        <w:spacing w:before="0" w:line="276" w:lineRule="auto"/>
        <w:contextualSpacing w:val="0"/>
        <w:rPr>
          <w:b w:val="0"/>
          <w:szCs w:val="22"/>
          <w:lang w:val="en-US" w:eastAsia="en-US"/>
        </w:rPr>
      </w:pPr>
    </w:p>
    <w:p w:rsidR="00F9035D" w:rsidRPr="00A00B8B" w:rsidRDefault="00F9035D" w:rsidP="007730AA">
      <w:pPr>
        <w:spacing w:before="0" w:line="276" w:lineRule="auto"/>
        <w:contextualSpacing w:val="0"/>
        <w:rPr>
          <w:b w:val="0"/>
          <w:szCs w:val="22"/>
          <w:lang w:val="en-US" w:eastAsia="en-US"/>
        </w:rPr>
      </w:pPr>
    </w:p>
    <w:p w:rsidR="00A00B8B" w:rsidRPr="00A00B8B" w:rsidRDefault="00A00B8B" w:rsidP="007730AA">
      <w:pPr>
        <w:numPr>
          <w:ilvl w:val="0"/>
          <w:numId w:val="67"/>
        </w:numPr>
        <w:tabs>
          <w:tab w:val="left" w:pos="993"/>
        </w:tabs>
        <w:spacing w:before="0" w:line="276" w:lineRule="auto"/>
        <w:ind w:left="0" w:firstLine="567"/>
        <w:contextualSpacing w:val="0"/>
        <w:jc w:val="left"/>
        <w:rPr>
          <w:rFonts w:cs="Sylfaen"/>
          <w:i/>
          <w:szCs w:val="22"/>
          <w:lang w:val="en-US" w:eastAsia="en-US"/>
        </w:rPr>
      </w:pPr>
      <w:r w:rsidRPr="00A00B8B">
        <w:rPr>
          <w:rFonts w:cs="Sylfaen"/>
          <w:i/>
          <w:szCs w:val="22"/>
          <w:lang w:val="en-US" w:eastAsia="en-US"/>
        </w:rPr>
        <w:t>ԱԱՀ-ի շեմի գծով հարկային ծախսերը.</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Որոշվել է 201</w:t>
      </w:r>
      <w:r w:rsidRPr="00A00B8B">
        <w:rPr>
          <w:b w:val="0"/>
          <w:szCs w:val="22"/>
          <w:lang w:val="hy-AM" w:eastAsia="en-US"/>
        </w:rPr>
        <w:t>9</w:t>
      </w:r>
      <w:r w:rsidRPr="00A00B8B">
        <w:rPr>
          <w:b w:val="0"/>
          <w:szCs w:val="22"/>
          <w:lang w:val="en-US" w:eastAsia="en-US"/>
        </w:rPr>
        <w:t xml:space="preserve"> թվականի շրջանառության հարկ վճարողների շրջանառությունը` համաձայն հարկ վճա</w:t>
      </w:r>
      <w:r w:rsidRPr="00A00B8B">
        <w:rPr>
          <w:b w:val="0"/>
          <w:szCs w:val="22"/>
          <w:lang w:val="en-US" w:eastAsia="en-US"/>
        </w:rPr>
        <w:softHyphen/>
        <w:t>րող</w:t>
      </w:r>
      <w:r w:rsidRPr="00A00B8B">
        <w:rPr>
          <w:b w:val="0"/>
          <w:szCs w:val="22"/>
          <w:lang w:val="en-US" w:eastAsia="en-US"/>
        </w:rPr>
        <w:softHyphen/>
        <w:t>ների կողմից ներկայացված շրջանառության հարկի հաշվարկների:</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Հաշվարկվել է շահութահարկի բազան` հիմք ընդունելով շահութա</w:t>
      </w:r>
      <w:r w:rsidRPr="00A00B8B">
        <w:rPr>
          <w:b w:val="0"/>
          <w:szCs w:val="22"/>
          <w:lang w:val="en-US" w:eastAsia="en-US"/>
        </w:rPr>
        <w:softHyphen/>
        <w:t>բե</w:t>
      </w:r>
      <w:r w:rsidRPr="00A00B8B">
        <w:rPr>
          <w:b w:val="0"/>
          <w:szCs w:val="22"/>
          <w:lang w:val="en-US" w:eastAsia="en-US"/>
        </w:rPr>
        <w:softHyphen/>
        <w:t>րու</w:t>
      </w:r>
      <w:r w:rsidRPr="00A00B8B">
        <w:rPr>
          <w:b w:val="0"/>
          <w:szCs w:val="22"/>
          <w:lang w:val="en-US" w:eastAsia="en-US"/>
        </w:rPr>
        <w:softHyphen/>
        <w:t>թյան միջի</w:t>
      </w:r>
      <w:r w:rsidRPr="00A00B8B">
        <w:rPr>
          <w:b w:val="0"/>
          <w:szCs w:val="22"/>
          <w:lang w:val="en-US" w:eastAsia="en-US"/>
        </w:rPr>
        <w:softHyphen/>
        <w:t>նաց</w:t>
      </w:r>
      <w:r w:rsidRPr="00A00B8B">
        <w:rPr>
          <w:b w:val="0"/>
          <w:szCs w:val="22"/>
          <w:lang w:val="en-US" w:eastAsia="en-US"/>
        </w:rPr>
        <w:softHyphen/>
        <w:t>ված մակարդակները:</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Ստացված բազայի նկատմամբ կիրառվել է շահութահարկի 20% դրույքաչափ և հաշ</w:t>
      </w:r>
      <w:r w:rsidRPr="00A00B8B">
        <w:rPr>
          <w:b w:val="0"/>
          <w:szCs w:val="22"/>
          <w:lang w:val="en-US" w:eastAsia="en-US"/>
        </w:rPr>
        <w:softHyphen/>
        <w:t>վարկ</w:t>
      </w:r>
      <w:r w:rsidRPr="00A00B8B">
        <w:rPr>
          <w:b w:val="0"/>
          <w:szCs w:val="22"/>
          <w:lang w:val="en-US" w:eastAsia="en-US"/>
        </w:rPr>
        <w:softHyphen/>
        <w:t>վել է շահութահարկի գծով արդյունքը:</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Հաշվարկվել է ԱԱՀ-ի բազան` հիմք ընդունելով շահութաբերության և աշխատավար</w:t>
      </w:r>
      <w:r w:rsidRPr="00A00B8B">
        <w:rPr>
          <w:b w:val="0"/>
          <w:szCs w:val="22"/>
          <w:lang w:val="en-US" w:eastAsia="en-US"/>
        </w:rPr>
        <w:softHyphen/>
        <w:t>ձերի միջինացված մակարդակները:</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 xml:space="preserve">Ստացված բազայի նկատմամբ կիրառվել է ԱԱՀ-ի 20% դրույքաչափ և հաշվարկվել է ԱԱՀ-ի գծով արդյունքը: </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Շահութահարկի ու ԱԱՀ-ի գծով ստացված եկամտային ներուժի և փաստացի վճարված շրջա</w:t>
      </w:r>
      <w:r w:rsidRPr="00A00B8B">
        <w:rPr>
          <w:b w:val="0"/>
          <w:szCs w:val="22"/>
          <w:lang w:val="en-US" w:eastAsia="en-US"/>
        </w:rPr>
        <w:softHyphen/>
        <w:t>նառության հարկի տարբերությունը` ճշգրտված 202</w:t>
      </w:r>
      <w:r w:rsidRPr="00A00B8B">
        <w:rPr>
          <w:b w:val="0"/>
          <w:szCs w:val="22"/>
          <w:lang w:val="hy-AM" w:eastAsia="en-US"/>
        </w:rPr>
        <w:t>1</w:t>
      </w:r>
      <w:r w:rsidRPr="00A00B8B">
        <w:rPr>
          <w:b w:val="0"/>
          <w:szCs w:val="22"/>
          <w:lang w:val="en-US" w:eastAsia="en-US"/>
        </w:rPr>
        <w:t xml:space="preserve"> թվականի տնտեսության ճյուղերի կանխատեսվող ծավալների աճով</w:t>
      </w:r>
      <w:r w:rsidRPr="00A00B8B">
        <w:rPr>
          <w:b w:val="0"/>
          <w:szCs w:val="22"/>
          <w:lang w:val="hy-AM" w:eastAsia="en-US"/>
        </w:rPr>
        <w:t xml:space="preserve"> և շահութահարկի դրույքաչափի փոփոխության արդյուքով</w:t>
      </w:r>
      <w:r w:rsidRPr="00A00B8B">
        <w:rPr>
          <w:b w:val="0"/>
          <w:szCs w:val="22"/>
          <w:lang w:val="en-US" w:eastAsia="en-US"/>
        </w:rPr>
        <w:t>, իրենից ներկայացնում է ԱԱՀ-ի շեմի գծով շահութահարկի ու ԱԱՀ-ի հարկա</w:t>
      </w:r>
      <w:r w:rsidRPr="00A00B8B">
        <w:rPr>
          <w:b w:val="0"/>
          <w:szCs w:val="22"/>
          <w:lang w:val="en-US" w:eastAsia="en-US"/>
        </w:rPr>
        <w:softHyphen/>
        <w:t>յին ծախսը:</w:t>
      </w:r>
    </w:p>
    <w:p w:rsidR="00A00B8B" w:rsidRPr="00A00B8B" w:rsidRDefault="00A00B8B" w:rsidP="007730AA">
      <w:pPr>
        <w:spacing w:before="0" w:line="276" w:lineRule="auto"/>
        <w:contextualSpacing w:val="0"/>
        <w:rPr>
          <w:b w:val="0"/>
          <w:szCs w:val="22"/>
          <w:lang w:val="en-US" w:eastAsia="en-US"/>
        </w:rPr>
      </w:pPr>
    </w:p>
    <w:p w:rsidR="00A00B8B" w:rsidRPr="00A00B8B" w:rsidRDefault="00A00B8B" w:rsidP="007730AA">
      <w:pPr>
        <w:numPr>
          <w:ilvl w:val="0"/>
          <w:numId w:val="67"/>
        </w:numPr>
        <w:tabs>
          <w:tab w:val="left" w:pos="993"/>
        </w:tabs>
        <w:spacing w:before="0" w:line="276" w:lineRule="auto"/>
        <w:ind w:left="0" w:firstLine="567"/>
        <w:contextualSpacing w:val="0"/>
        <w:jc w:val="left"/>
        <w:rPr>
          <w:rFonts w:cs="Sylfaen"/>
          <w:i/>
          <w:szCs w:val="22"/>
          <w:lang w:val="en-US" w:eastAsia="en-US"/>
        </w:rPr>
      </w:pPr>
      <w:r w:rsidRPr="00A00B8B">
        <w:rPr>
          <w:rFonts w:cs="Sylfaen"/>
          <w:i/>
          <w:szCs w:val="22"/>
          <w:lang w:val="en-US" w:eastAsia="en-US"/>
        </w:rPr>
        <w:t>Միկրոբիզնեսի գծով հարկային ծախսերը.</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Որոշվել է 201</w:t>
      </w:r>
      <w:r w:rsidRPr="00A00B8B">
        <w:rPr>
          <w:b w:val="0"/>
          <w:szCs w:val="22"/>
          <w:lang w:val="hy-AM" w:eastAsia="en-US"/>
        </w:rPr>
        <w:t>9</w:t>
      </w:r>
      <w:r w:rsidRPr="00A00B8B">
        <w:rPr>
          <w:b w:val="0"/>
          <w:szCs w:val="22"/>
          <w:lang w:val="en-US" w:eastAsia="en-US"/>
        </w:rPr>
        <w:t xml:space="preserve"> թվականի մինչև 24 մլն. դրամ շրջանառություն ունցող շրջանառության հարկ վճարողների վճարված շրջանառության հարկի գումարը` համաձայն հարկ վճա</w:t>
      </w:r>
      <w:r w:rsidRPr="00A00B8B">
        <w:rPr>
          <w:b w:val="0"/>
          <w:szCs w:val="22"/>
          <w:lang w:val="en-US" w:eastAsia="en-US"/>
        </w:rPr>
        <w:softHyphen/>
        <w:t>րող</w:t>
      </w:r>
      <w:r w:rsidRPr="00A00B8B">
        <w:rPr>
          <w:b w:val="0"/>
          <w:szCs w:val="22"/>
          <w:lang w:val="en-US" w:eastAsia="en-US"/>
        </w:rPr>
        <w:softHyphen/>
        <w:t>ների կողմից ներկայացված շրջանառության հարկի հաշվարկների:</w:t>
      </w:r>
    </w:p>
    <w:p w:rsidR="00A00B8B" w:rsidRPr="00A00B8B" w:rsidRDefault="00A00B8B" w:rsidP="007730AA">
      <w:pPr>
        <w:spacing w:before="0" w:line="276" w:lineRule="auto"/>
        <w:contextualSpacing w:val="0"/>
        <w:rPr>
          <w:b w:val="0"/>
          <w:szCs w:val="22"/>
          <w:lang w:val="en-US" w:eastAsia="en-US"/>
        </w:rPr>
      </w:pPr>
      <w:r w:rsidRPr="00A00B8B">
        <w:rPr>
          <w:b w:val="0"/>
          <w:szCs w:val="22"/>
          <w:lang w:val="en-US" w:eastAsia="en-US"/>
        </w:rPr>
        <w:t>Գնհատատվել է վերը նշված հարկ վճարողներից միկրոբիզնեսի շրջանակ տեղափոխված հարկ վճարողների կողմից վճարված շրջանառության հարկի չափը, ինչը ճշգրտվել է 202</w:t>
      </w:r>
      <w:r w:rsidRPr="00A00B8B">
        <w:rPr>
          <w:b w:val="0"/>
          <w:szCs w:val="22"/>
          <w:lang w:val="hy-AM" w:eastAsia="en-US"/>
        </w:rPr>
        <w:t>1</w:t>
      </w:r>
      <w:r w:rsidRPr="00A00B8B">
        <w:rPr>
          <w:b w:val="0"/>
          <w:szCs w:val="22"/>
          <w:lang w:val="en-US" w:eastAsia="en-US"/>
        </w:rPr>
        <w:t xml:space="preserve"> թվականի տնտեսության ճյուղերի կանխատեսվող ծավալների աճով</w:t>
      </w:r>
      <w:r w:rsidRPr="00A00B8B">
        <w:rPr>
          <w:b w:val="0"/>
          <w:szCs w:val="22"/>
          <w:lang w:val="hy-AM" w:eastAsia="en-US"/>
        </w:rPr>
        <w:t xml:space="preserve"> և շահութահարկի դրույքաչափի փոփոխության արդյունքով</w:t>
      </w:r>
      <w:r w:rsidRPr="00A00B8B">
        <w:rPr>
          <w:b w:val="0"/>
          <w:szCs w:val="22"/>
          <w:lang w:val="en-US" w:eastAsia="en-US"/>
        </w:rPr>
        <w:t>, որն էլ իրենից ներկայացնում է միկրոբիզնեսի գծով շահութահարկի ու ԱԱՀ-ի հարկա</w:t>
      </w:r>
      <w:r w:rsidRPr="00A00B8B">
        <w:rPr>
          <w:b w:val="0"/>
          <w:szCs w:val="22"/>
          <w:lang w:val="en-US" w:eastAsia="en-US"/>
        </w:rPr>
        <w:softHyphen/>
        <w:t>յին ծախսը: Միկրոբիզնեսի գծով հարկային ծախսի բաշխումն ըստ շահութահարկի ու ԱԱՀ-ի կտարվել է հիմք ընդունելով շահութաբերության և աշխատավար</w:t>
      </w:r>
      <w:r w:rsidRPr="00A00B8B">
        <w:rPr>
          <w:b w:val="0"/>
          <w:szCs w:val="22"/>
          <w:lang w:val="en-US" w:eastAsia="en-US"/>
        </w:rPr>
        <w:softHyphen/>
        <w:t>ձերի միջինացված մակարդակները:</w:t>
      </w:r>
    </w:p>
    <w:p w:rsidR="008D2DDA" w:rsidRDefault="00A00B8B" w:rsidP="007730AA">
      <w:pPr>
        <w:spacing w:before="0" w:line="276" w:lineRule="auto"/>
        <w:contextualSpacing w:val="0"/>
        <w:rPr>
          <w:b w:val="0"/>
          <w:szCs w:val="22"/>
          <w:lang w:val="hy-AM" w:eastAsia="en-US"/>
        </w:rPr>
      </w:pPr>
      <w:r w:rsidRPr="00A00B8B">
        <w:rPr>
          <w:b w:val="0"/>
          <w:szCs w:val="22"/>
          <w:lang w:val="en-US" w:eastAsia="en-US"/>
        </w:rPr>
        <w:t>Այնուհետև գնահատվել է միկրոբիզնեսի շրջանակներում աշխատողների եկամտային հարկի գծով հարկային ծախսը՝ որպես օրենքով սահմանված կարգով յուրաքանչյուր աշխատողի համար նվազագույն աշխատավարձի պայմաններում հաշվարկված հարկի և 5000 դրամ գումարի տարբերության և աշխատողների գնահատված թվաքանակի ու 12-ի արտադրյալ</w:t>
      </w:r>
      <w:r w:rsidRPr="00A00B8B">
        <w:rPr>
          <w:b w:val="0"/>
          <w:szCs w:val="22"/>
          <w:lang w:val="hy-AM" w:eastAsia="en-US"/>
        </w:rPr>
        <w:t>` ճշգրտված եկամտային հարկի դրույքաչափի փոփոխության արդյունքով</w:t>
      </w:r>
      <w:r w:rsidRPr="00A00B8B">
        <w:rPr>
          <w:b w:val="0"/>
          <w:szCs w:val="22"/>
          <w:lang w:val="en-US" w:eastAsia="en-US"/>
        </w:rPr>
        <w:t xml:space="preserve">: </w:t>
      </w:r>
    </w:p>
    <w:p w:rsidR="008B76F4" w:rsidRDefault="008B76F4" w:rsidP="007730AA">
      <w:pPr>
        <w:spacing w:before="0" w:line="276" w:lineRule="auto"/>
        <w:contextualSpacing w:val="0"/>
        <w:rPr>
          <w:b w:val="0"/>
          <w:szCs w:val="22"/>
          <w:lang w:val="hy-AM" w:eastAsia="en-US"/>
        </w:rPr>
      </w:pPr>
    </w:p>
    <w:p w:rsidR="008B76F4" w:rsidRDefault="008B76F4" w:rsidP="00E513E7">
      <w:pPr>
        <w:pStyle w:val="TableofFigures"/>
        <w:rPr>
          <w:rFonts w:eastAsia="Calibri"/>
          <w:lang w:val="hy-AM" w:eastAsia="en-US"/>
        </w:rPr>
      </w:pPr>
    </w:p>
    <w:p w:rsidR="008B76F4" w:rsidRDefault="008B76F4" w:rsidP="00E513E7">
      <w:pPr>
        <w:pStyle w:val="TableofFigures"/>
        <w:rPr>
          <w:rFonts w:eastAsia="Calibri"/>
          <w:lang w:val="hy-AM" w:eastAsia="en-US"/>
        </w:rPr>
      </w:pPr>
    </w:p>
    <w:p w:rsidR="008B76F4" w:rsidRDefault="008B76F4" w:rsidP="00E513E7">
      <w:pPr>
        <w:pStyle w:val="TableofFigures"/>
        <w:rPr>
          <w:rFonts w:eastAsia="Calibri"/>
          <w:lang w:val="hy-AM" w:eastAsia="en-US"/>
        </w:rPr>
      </w:pPr>
    </w:p>
    <w:p w:rsidR="008B76F4" w:rsidRDefault="008B76F4" w:rsidP="00E513E7">
      <w:pPr>
        <w:pStyle w:val="TableofFigures"/>
        <w:rPr>
          <w:rFonts w:eastAsia="Calibri"/>
          <w:lang w:val="hy-AM" w:eastAsia="en-US"/>
        </w:rPr>
      </w:pPr>
    </w:p>
    <w:p w:rsidR="008B76F4" w:rsidRDefault="008B76F4" w:rsidP="00E513E7">
      <w:pPr>
        <w:pStyle w:val="TableofFigures"/>
        <w:rPr>
          <w:rFonts w:eastAsia="Calibri"/>
          <w:lang w:val="hy-AM" w:eastAsia="en-US"/>
        </w:rPr>
      </w:pPr>
    </w:p>
    <w:p w:rsidR="008B76F4" w:rsidRDefault="008B76F4" w:rsidP="00E513E7">
      <w:pPr>
        <w:pStyle w:val="TableofFigures"/>
        <w:rPr>
          <w:rFonts w:eastAsia="Calibri"/>
          <w:lang w:val="hy-AM" w:eastAsia="en-US"/>
        </w:rPr>
      </w:pPr>
    </w:p>
    <w:p w:rsidR="008B76F4" w:rsidRDefault="008B76F4" w:rsidP="00E513E7">
      <w:pPr>
        <w:pStyle w:val="TableofFigures"/>
        <w:rPr>
          <w:rFonts w:eastAsia="Calibri"/>
          <w:lang w:val="hy-AM" w:eastAsia="en-US"/>
        </w:rPr>
      </w:pPr>
    </w:p>
    <w:p w:rsidR="008B76F4" w:rsidRDefault="008B76F4" w:rsidP="00E513E7">
      <w:pPr>
        <w:pStyle w:val="TableofFigures"/>
        <w:rPr>
          <w:rFonts w:eastAsia="Calibri"/>
          <w:lang w:val="hy-AM" w:eastAsia="en-US"/>
        </w:rPr>
      </w:pPr>
    </w:p>
    <w:p w:rsidR="008B76F4" w:rsidRDefault="008B76F4" w:rsidP="00E513E7">
      <w:pPr>
        <w:pStyle w:val="TableofFigures"/>
        <w:rPr>
          <w:rFonts w:eastAsia="Calibri"/>
          <w:lang w:val="hy-AM" w:eastAsia="en-US"/>
        </w:rPr>
      </w:pPr>
    </w:p>
    <w:p w:rsidR="00396D6B" w:rsidRPr="00F054E5" w:rsidRDefault="00396D6B" w:rsidP="007730AA">
      <w:pPr>
        <w:spacing w:before="0" w:line="240" w:lineRule="auto"/>
        <w:ind w:firstLine="0"/>
        <w:contextualSpacing w:val="0"/>
        <w:jc w:val="left"/>
        <w:rPr>
          <w:bCs/>
          <w:kern w:val="28"/>
          <w:sz w:val="28"/>
          <w:szCs w:val="28"/>
          <w:lang w:val="en-US"/>
        </w:rPr>
      </w:pPr>
      <w:bookmarkStart w:id="283" w:name="_Toc499827216"/>
      <w:bookmarkStart w:id="284" w:name="_Toc26174959"/>
      <w:r w:rsidRPr="00F054E5">
        <w:rPr>
          <w:bCs/>
          <w:kern w:val="28"/>
          <w:sz w:val="28"/>
          <w:szCs w:val="28"/>
          <w:lang w:val="en-US"/>
        </w:rPr>
        <w:br w:type="page"/>
      </w:r>
    </w:p>
    <w:p w:rsidR="008B76F4" w:rsidRPr="008B76F4" w:rsidRDefault="008B76F4" w:rsidP="007730AA">
      <w:pPr>
        <w:spacing w:before="0"/>
        <w:ind w:firstLine="0"/>
        <w:jc w:val="center"/>
        <w:outlineLvl w:val="0"/>
        <w:rPr>
          <w:rFonts w:eastAsia="Calibri" w:cs="Times Armenian"/>
          <w:b w:val="0"/>
          <w:sz w:val="28"/>
          <w:szCs w:val="28"/>
          <w:lang w:val="hy-AM" w:eastAsia="en-US"/>
        </w:rPr>
      </w:pPr>
      <w:bookmarkStart w:id="285" w:name="_Toc57655498"/>
      <w:r w:rsidRPr="008B76F4">
        <w:rPr>
          <w:bCs/>
          <w:kern w:val="28"/>
          <w:sz w:val="28"/>
          <w:szCs w:val="28"/>
        </w:rPr>
        <w:t>ԱՂՅՈՒՍԱԿՆԵՐ</w:t>
      </w:r>
      <w:bookmarkEnd w:id="283"/>
      <w:bookmarkEnd w:id="284"/>
      <w:bookmarkEnd w:id="285"/>
    </w:p>
    <w:p w:rsidR="00106B70" w:rsidRDefault="003C3925" w:rsidP="00E513E7">
      <w:pPr>
        <w:pStyle w:val="TableofFigures"/>
        <w:rPr>
          <w:rFonts w:asciiTheme="minorHAnsi" w:eastAsiaTheme="minorEastAsia" w:hAnsiTheme="minorHAnsi" w:cstheme="minorBidi"/>
          <w:noProof/>
          <w:szCs w:val="22"/>
          <w:lang w:val="en-US" w:eastAsia="en-US"/>
        </w:rPr>
      </w:pPr>
      <w:r>
        <w:rPr>
          <w:rFonts w:eastAsia="Calibri" w:cs="Times Armenian"/>
          <w:szCs w:val="22"/>
          <w:lang w:val="hy-AM" w:eastAsia="en-US"/>
        </w:rPr>
        <w:fldChar w:fldCharType="begin"/>
      </w:r>
      <w:r w:rsidR="008B76F4">
        <w:rPr>
          <w:rFonts w:eastAsia="Calibri" w:cs="Times Armenian"/>
          <w:szCs w:val="22"/>
          <w:lang w:val="hy-AM" w:eastAsia="en-US"/>
        </w:rPr>
        <w:instrText xml:space="preserve"> TOC \h \z \c "Աղյուսակ" </w:instrText>
      </w:r>
      <w:r>
        <w:rPr>
          <w:rFonts w:eastAsia="Calibri" w:cs="Times Armenian"/>
          <w:szCs w:val="22"/>
          <w:lang w:val="hy-AM" w:eastAsia="en-US"/>
        </w:rPr>
        <w:fldChar w:fldCharType="separate"/>
      </w:r>
      <w:hyperlink w:anchor="_Toc57631752" w:history="1">
        <w:r w:rsidR="00106B70" w:rsidRPr="00B83FCC">
          <w:rPr>
            <w:rStyle w:val="Hyperlink"/>
            <w:noProof/>
            <w:lang w:val="hy-AM"/>
          </w:rPr>
          <w:t>Աղյուսակ 1</w:t>
        </w:r>
        <w:r w:rsidR="00106B70" w:rsidRPr="00B83FCC">
          <w:rPr>
            <w:rStyle w:val="Hyperlink"/>
            <w:rFonts w:ascii="Cambria Math" w:hAnsi="Cambria Math"/>
            <w:noProof/>
            <w:lang w:val="hy-AM"/>
          </w:rPr>
          <w:t xml:space="preserve">․ </w:t>
        </w:r>
        <w:r w:rsidR="00106B70" w:rsidRPr="00B83FCC">
          <w:rPr>
            <w:rStyle w:val="Hyperlink"/>
            <w:i/>
            <w:noProof/>
            <w:lang w:val="hy-AM"/>
          </w:rPr>
          <w:t>2017-2021թթ պետական բյուջեի ամփոփ ցուցանիշները (մլրդ դրամով)</w:t>
        </w:r>
        <w:r w:rsidR="00106B70">
          <w:rPr>
            <w:noProof/>
            <w:webHidden/>
          </w:rPr>
          <w:tab/>
        </w:r>
        <w:r>
          <w:rPr>
            <w:noProof/>
            <w:webHidden/>
          </w:rPr>
          <w:fldChar w:fldCharType="begin"/>
        </w:r>
        <w:r w:rsidR="00106B70">
          <w:rPr>
            <w:noProof/>
            <w:webHidden/>
          </w:rPr>
          <w:instrText xml:space="preserve"> PAGEREF _Toc57631752 \h </w:instrText>
        </w:r>
        <w:r>
          <w:rPr>
            <w:noProof/>
            <w:webHidden/>
          </w:rPr>
        </w:r>
        <w:r>
          <w:rPr>
            <w:noProof/>
            <w:webHidden/>
          </w:rPr>
          <w:fldChar w:fldCharType="separate"/>
        </w:r>
        <w:r w:rsidR="00106B70">
          <w:rPr>
            <w:noProof/>
            <w:webHidden/>
          </w:rPr>
          <w:t>109</w:t>
        </w:r>
        <w:r>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53" w:history="1">
        <w:r w:rsidR="00106B70" w:rsidRPr="00B83FCC">
          <w:rPr>
            <w:rStyle w:val="Hyperlink"/>
            <w:noProof/>
            <w:lang w:val="hy-AM"/>
          </w:rPr>
          <w:t>Աղյուսակ</w:t>
        </w:r>
        <w:r w:rsidR="00106B70" w:rsidRPr="00B83FCC">
          <w:rPr>
            <w:rStyle w:val="Hyperlink"/>
            <w:noProof/>
            <w:lang w:val="es-ES"/>
          </w:rPr>
          <w:t xml:space="preserve"> 2</w:t>
        </w:r>
        <w:r w:rsidR="00106B70" w:rsidRPr="00B83FCC">
          <w:rPr>
            <w:rStyle w:val="Hyperlink"/>
            <w:rFonts w:ascii="Cambria Math" w:hAnsi="Cambria Math"/>
            <w:noProof/>
            <w:lang w:val="hy-AM"/>
          </w:rPr>
          <w:t>․</w:t>
        </w:r>
        <w:r w:rsidR="00106B70" w:rsidRPr="00B83FCC">
          <w:rPr>
            <w:rStyle w:val="Hyperlink"/>
            <w:i/>
            <w:noProof/>
            <w:lang w:val="hy-AM"/>
          </w:rPr>
          <w:t xml:space="preserve"> 2021թ ակնկալվող արտաքին օժանդակությունն ըստ բնույթի</w:t>
        </w:r>
        <w:r w:rsidR="00106B70">
          <w:rPr>
            <w:noProof/>
            <w:webHidden/>
          </w:rPr>
          <w:tab/>
        </w:r>
        <w:r w:rsidR="003C3925">
          <w:rPr>
            <w:noProof/>
            <w:webHidden/>
          </w:rPr>
          <w:fldChar w:fldCharType="begin"/>
        </w:r>
        <w:r w:rsidR="00106B70">
          <w:rPr>
            <w:noProof/>
            <w:webHidden/>
          </w:rPr>
          <w:instrText xml:space="preserve"> PAGEREF _Toc57631753 \h </w:instrText>
        </w:r>
        <w:r w:rsidR="003C3925">
          <w:rPr>
            <w:noProof/>
            <w:webHidden/>
          </w:rPr>
        </w:r>
        <w:r w:rsidR="003C3925">
          <w:rPr>
            <w:noProof/>
            <w:webHidden/>
          </w:rPr>
          <w:fldChar w:fldCharType="separate"/>
        </w:r>
        <w:r w:rsidR="00106B70">
          <w:rPr>
            <w:noProof/>
            <w:webHidden/>
          </w:rPr>
          <w:t>111</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54" w:history="1">
        <w:r w:rsidR="00106B70" w:rsidRPr="00B83FCC">
          <w:rPr>
            <w:rStyle w:val="Hyperlink"/>
            <w:noProof/>
            <w:lang w:val="hy-AM"/>
          </w:rPr>
          <w:t>Աղյուսակ 3</w:t>
        </w:r>
        <w:r w:rsidR="00106B70" w:rsidRPr="00B83FCC">
          <w:rPr>
            <w:rStyle w:val="Hyperlink"/>
            <w:rFonts w:ascii="Cambria Math" w:hAnsi="Cambria Math"/>
            <w:noProof/>
            <w:lang w:val="hy-AM"/>
          </w:rPr>
          <w:t xml:space="preserve">․ </w:t>
        </w:r>
        <w:r w:rsidR="00106B70" w:rsidRPr="00B83FCC">
          <w:rPr>
            <w:rStyle w:val="Hyperlink"/>
            <w:i/>
            <w:noProof/>
            <w:lang w:val="hy-AM"/>
          </w:rPr>
          <w:t>ՀՀ 2021 թվականի պետական բյուջեի նախագծի հաշվարկներում կիրառված տարադրամների փոխարժեքները ՀՀ դրամով</w:t>
        </w:r>
        <w:r w:rsidR="00106B70">
          <w:rPr>
            <w:noProof/>
            <w:webHidden/>
          </w:rPr>
          <w:tab/>
        </w:r>
        <w:r w:rsidR="003C3925">
          <w:rPr>
            <w:noProof/>
            <w:webHidden/>
          </w:rPr>
          <w:fldChar w:fldCharType="begin"/>
        </w:r>
        <w:r w:rsidR="00106B70">
          <w:rPr>
            <w:noProof/>
            <w:webHidden/>
          </w:rPr>
          <w:instrText xml:space="preserve"> PAGEREF _Toc57631754 \h </w:instrText>
        </w:r>
        <w:r w:rsidR="003C3925">
          <w:rPr>
            <w:noProof/>
            <w:webHidden/>
          </w:rPr>
        </w:r>
        <w:r w:rsidR="003C3925">
          <w:rPr>
            <w:noProof/>
            <w:webHidden/>
          </w:rPr>
          <w:fldChar w:fldCharType="separate"/>
        </w:r>
        <w:r w:rsidR="00106B70">
          <w:rPr>
            <w:noProof/>
            <w:webHidden/>
          </w:rPr>
          <w:t>112</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55" w:history="1">
        <w:r w:rsidR="00106B70" w:rsidRPr="00B83FCC">
          <w:rPr>
            <w:rStyle w:val="Hyperlink"/>
            <w:noProof/>
            <w:lang w:val="hy-AM"/>
          </w:rPr>
          <w:t>Աղյուսակ 4</w:t>
        </w:r>
        <w:r w:rsidR="00106B70" w:rsidRPr="00B83FCC">
          <w:rPr>
            <w:rStyle w:val="Hyperlink"/>
            <w:rFonts w:ascii="Cambria Math" w:hAnsi="Cambria Math"/>
            <w:noProof/>
            <w:lang w:val="hy-AM"/>
          </w:rPr>
          <w:t xml:space="preserve">․ </w:t>
        </w:r>
        <w:r w:rsidR="00106B70" w:rsidRPr="00B83FCC">
          <w:rPr>
            <w:rStyle w:val="Hyperlink"/>
            <w:i/>
            <w:noProof/>
            <w:lang w:val="hy-AM"/>
          </w:rPr>
          <w:t>ՀՀ 2017-2021 թթ պետական բյուջեների դեֆիցիտի ֆինանսավորման աղբյուրները (մլն դրամ)</w:t>
        </w:r>
        <w:r w:rsidR="00106B70">
          <w:rPr>
            <w:noProof/>
            <w:webHidden/>
          </w:rPr>
          <w:tab/>
        </w:r>
        <w:r w:rsidR="003C3925">
          <w:rPr>
            <w:noProof/>
            <w:webHidden/>
          </w:rPr>
          <w:fldChar w:fldCharType="begin"/>
        </w:r>
        <w:r w:rsidR="00106B70">
          <w:rPr>
            <w:noProof/>
            <w:webHidden/>
          </w:rPr>
          <w:instrText xml:space="preserve"> PAGEREF _Toc57631755 \h </w:instrText>
        </w:r>
        <w:r w:rsidR="003C3925">
          <w:rPr>
            <w:noProof/>
            <w:webHidden/>
          </w:rPr>
        </w:r>
        <w:r w:rsidR="003C3925">
          <w:rPr>
            <w:noProof/>
            <w:webHidden/>
          </w:rPr>
          <w:fldChar w:fldCharType="separate"/>
        </w:r>
        <w:r w:rsidR="00106B70">
          <w:rPr>
            <w:noProof/>
            <w:webHidden/>
          </w:rPr>
          <w:t>113</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56" w:history="1">
        <w:r w:rsidR="00106B70" w:rsidRPr="00B83FCC">
          <w:rPr>
            <w:rStyle w:val="Hyperlink"/>
            <w:noProof/>
            <w:lang w:val="hy-AM"/>
          </w:rPr>
          <w:t>Աղյուսակ 5</w:t>
        </w:r>
        <w:r w:rsidR="00106B70" w:rsidRPr="00B83FCC">
          <w:rPr>
            <w:rStyle w:val="Hyperlink"/>
            <w:rFonts w:ascii="Cambria Math" w:hAnsi="Cambria Math"/>
            <w:noProof/>
            <w:lang w:val="hy-AM"/>
          </w:rPr>
          <w:t xml:space="preserve">․ </w:t>
        </w:r>
        <w:r w:rsidR="00106B70" w:rsidRPr="00B83FCC">
          <w:rPr>
            <w:rStyle w:val="Hyperlink"/>
            <w:i/>
            <w:noProof/>
            <w:lang w:val="hy-AM"/>
          </w:rPr>
          <w:t>Ընդհանուր և առաջնային դեֆիցիտները (%-ով ՀՆԱ-ի նկատմամբ) 2021թ</w:t>
        </w:r>
        <w:r w:rsidR="00106B70">
          <w:rPr>
            <w:noProof/>
            <w:webHidden/>
          </w:rPr>
          <w:tab/>
        </w:r>
        <w:r w:rsidR="003C3925">
          <w:rPr>
            <w:noProof/>
            <w:webHidden/>
          </w:rPr>
          <w:fldChar w:fldCharType="begin"/>
        </w:r>
        <w:r w:rsidR="00106B70">
          <w:rPr>
            <w:noProof/>
            <w:webHidden/>
          </w:rPr>
          <w:instrText xml:space="preserve"> PAGEREF _Toc57631756 \h </w:instrText>
        </w:r>
        <w:r w:rsidR="003C3925">
          <w:rPr>
            <w:noProof/>
            <w:webHidden/>
          </w:rPr>
        </w:r>
        <w:r w:rsidR="003C3925">
          <w:rPr>
            <w:noProof/>
            <w:webHidden/>
          </w:rPr>
          <w:fldChar w:fldCharType="separate"/>
        </w:r>
        <w:r w:rsidR="00106B70">
          <w:rPr>
            <w:noProof/>
            <w:webHidden/>
          </w:rPr>
          <w:t>114</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57" w:history="1">
        <w:r w:rsidR="00106B70" w:rsidRPr="00B83FCC">
          <w:rPr>
            <w:rStyle w:val="Hyperlink"/>
            <w:noProof/>
          </w:rPr>
          <w:t>Աղյուսակ</w:t>
        </w:r>
        <w:r w:rsidR="00106B70" w:rsidRPr="00B83FCC">
          <w:rPr>
            <w:rStyle w:val="Hyperlink"/>
            <w:noProof/>
            <w:lang w:val="af-ZA"/>
          </w:rPr>
          <w:t xml:space="preserve"> 6</w:t>
        </w:r>
        <w:r w:rsidR="00106B70" w:rsidRPr="00B83FCC">
          <w:rPr>
            <w:rStyle w:val="Hyperlink"/>
            <w:rFonts w:ascii="Cambria Math" w:hAnsi="Cambria Math"/>
            <w:noProof/>
            <w:lang w:val="hy-AM"/>
          </w:rPr>
          <w:t xml:space="preserve">․ </w:t>
        </w:r>
        <w:r w:rsidR="00106B70" w:rsidRPr="00B83FCC">
          <w:rPr>
            <w:rStyle w:val="Hyperlink"/>
            <w:i/>
            <w:noProof/>
            <w:lang w:val="hy-AM"/>
          </w:rPr>
          <w:t>2017-2021թթ փաստացի/կանխատեսումային բյուջետային եկամուտները (մլրդ դրամներով)</w:t>
        </w:r>
        <w:r w:rsidR="00106B70">
          <w:rPr>
            <w:noProof/>
            <w:webHidden/>
          </w:rPr>
          <w:tab/>
        </w:r>
        <w:r w:rsidR="003C3925">
          <w:rPr>
            <w:noProof/>
            <w:webHidden/>
          </w:rPr>
          <w:fldChar w:fldCharType="begin"/>
        </w:r>
        <w:r w:rsidR="00106B70">
          <w:rPr>
            <w:noProof/>
            <w:webHidden/>
          </w:rPr>
          <w:instrText xml:space="preserve"> PAGEREF _Toc57631757 \h </w:instrText>
        </w:r>
        <w:r w:rsidR="003C3925">
          <w:rPr>
            <w:noProof/>
            <w:webHidden/>
          </w:rPr>
        </w:r>
        <w:r w:rsidR="003C3925">
          <w:rPr>
            <w:noProof/>
            <w:webHidden/>
          </w:rPr>
          <w:fldChar w:fldCharType="separate"/>
        </w:r>
        <w:r w:rsidR="00106B70">
          <w:rPr>
            <w:noProof/>
            <w:webHidden/>
          </w:rPr>
          <w:t>114</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58" w:history="1">
        <w:r w:rsidR="00106B70" w:rsidRPr="00B83FCC">
          <w:rPr>
            <w:rStyle w:val="Hyperlink"/>
            <w:noProof/>
          </w:rPr>
          <w:t>Աղյուսակ</w:t>
        </w:r>
        <w:r w:rsidR="00106B70" w:rsidRPr="00B83FCC">
          <w:rPr>
            <w:rStyle w:val="Hyperlink"/>
            <w:noProof/>
            <w:lang w:val="af-ZA"/>
          </w:rPr>
          <w:t xml:space="preserve"> 7</w:t>
        </w:r>
        <w:r w:rsidR="00106B70" w:rsidRPr="00B83FCC">
          <w:rPr>
            <w:rStyle w:val="Hyperlink"/>
            <w:rFonts w:ascii="Cambria Math" w:hAnsi="Cambria Math"/>
            <w:noProof/>
            <w:lang w:val="hy-AM"/>
          </w:rPr>
          <w:t xml:space="preserve">․ </w:t>
        </w:r>
        <w:r w:rsidR="00106B70" w:rsidRPr="00B83FCC">
          <w:rPr>
            <w:rStyle w:val="Hyperlink"/>
            <w:i/>
            <w:noProof/>
            <w:lang w:val="hy-AM"/>
          </w:rPr>
          <w:t>2017-2021թթ փաստացի/կանխատեսումային պաշտոնական դրամաշնորհները (մլրդ դրամներով)</w:t>
        </w:r>
        <w:r w:rsidR="00106B70">
          <w:rPr>
            <w:noProof/>
            <w:webHidden/>
          </w:rPr>
          <w:tab/>
        </w:r>
        <w:r w:rsidR="003C3925">
          <w:rPr>
            <w:noProof/>
            <w:webHidden/>
          </w:rPr>
          <w:fldChar w:fldCharType="begin"/>
        </w:r>
        <w:r w:rsidR="00106B70">
          <w:rPr>
            <w:noProof/>
            <w:webHidden/>
          </w:rPr>
          <w:instrText xml:space="preserve"> PAGEREF _Toc57631758 \h </w:instrText>
        </w:r>
        <w:r w:rsidR="003C3925">
          <w:rPr>
            <w:noProof/>
            <w:webHidden/>
          </w:rPr>
        </w:r>
        <w:r w:rsidR="003C3925">
          <w:rPr>
            <w:noProof/>
            <w:webHidden/>
          </w:rPr>
          <w:fldChar w:fldCharType="separate"/>
        </w:r>
        <w:r w:rsidR="00106B70">
          <w:rPr>
            <w:noProof/>
            <w:webHidden/>
          </w:rPr>
          <w:t>120</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59" w:history="1">
        <w:r w:rsidR="00106B70" w:rsidRPr="00B83FCC">
          <w:rPr>
            <w:rStyle w:val="Hyperlink"/>
            <w:noProof/>
          </w:rPr>
          <w:t>Աղյուսակ</w:t>
        </w:r>
        <w:r w:rsidR="00106B70" w:rsidRPr="00B83FCC">
          <w:rPr>
            <w:rStyle w:val="Hyperlink"/>
            <w:noProof/>
            <w:lang w:val="af-ZA"/>
          </w:rPr>
          <w:t xml:space="preserve"> 8</w:t>
        </w:r>
        <w:r w:rsidR="00106B70" w:rsidRPr="00B83FCC">
          <w:rPr>
            <w:rStyle w:val="Hyperlink"/>
            <w:rFonts w:ascii="Cambria Math" w:hAnsi="Cambria Math"/>
            <w:noProof/>
            <w:lang w:val="hy-AM"/>
          </w:rPr>
          <w:t xml:space="preserve">․ </w:t>
        </w:r>
        <w:r w:rsidR="00106B70" w:rsidRPr="00B83FCC">
          <w:rPr>
            <w:rStyle w:val="Hyperlink"/>
            <w:i/>
            <w:noProof/>
            <w:lang w:val="hy-AM"/>
          </w:rPr>
          <w:t>2021 թվականի համար ՀՀ-ԵՄ գործողությունների ծրագրով նախատեսված ընդհանուր բնույթի բյուջետային օժանդակություն պաշտոնական դրամաշնորհային ծրագրեր (մլրդ դրամներով)</w:t>
        </w:r>
        <w:r w:rsidR="00106B70">
          <w:rPr>
            <w:noProof/>
            <w:webHidden/>
          </w:rPr>
          <w:tab/>
        </w:r>
        <w:r w:rsidR="003C3925">
          <w:rPr>
            <w:noProof/>
            <w:webHidden/>
          </w:rPr>
          <w:fldChar w:fldCharType="begin"/>
        </w:r>
        <w:r w:rsidR="00106B70">
          <w:rPr>
            <w:noProof/>
            <w:webHidden/>
          </w:rPr>
          <w:instrText xml:space="preserve"> PAGEREF _Toc57631759 \h </w:instrText>
        </w:r>
        <w:r w:rsidR="003C3925">
          <w:rPr>
            <w:noProof/>
            <w:webHidden/>
          </w:rPr>
        </w:r>
        <w:r w:rsidR="003C3925">
          <w:rPr>
            <w:noProof/>
            <w:webHidden/>
          </w:rPr>
          <w:fldChar w:fldCharType="separate"/>
        </w:r>
        <w:r w:rsidR="00106B70">
          <w:rPr>
            <w:noProof/>
            <w:webHidden/>
          </w:rPr>
          <w:t>120</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60" w:history="1">
        <w:r w:rsidR="00106B70" w:rsidRPr="00B83FCC">
          <w:rPr>
            <w:rStyle w:val="Hyperlink"/>
            <w:noProof/>
          </w:rPr>
          <w:t>Աղյուսակ</w:t>
        </w:r>
        <w:r w:rsidR="00106B70" w:rsidRPr="00B83FCC">
          <w:rPr>
            <w:rStyle w:val="Hyperlink"/>
            <w:noProof/>
            <w:lang w:val="af-ZA"/>
          </w:rPr>
          <w:t xml:space="preserve"> 9</w:t>
        </w:r>
        <w:r w:rsidR="00106B70" w:rsidRPr="00B83FCC">
          <w:rPr>
            <w:rStyle w:val="Hyperlink"/>
            <w:rFonts w:ascii="Cambria Math" w:hAnsi="Cambria Math"/>
            <w:noProof/>
            <w:lang w:val="hy-AM"/>
          </w:rPr>
          <w:t xml:space="preserve">․ </w:t>
        </w:r>
        <w:r w:rsidR="00106B70" w:rsidRPr="00B83FCC">
          <w:rPr>
            <w:rStyle w:val="Hyperlink"/>
            <w:i/>
            <w:noProof/>
            <w:lang w:val="hy-AM"/>
          </w:rPr>
          <w:t>Այլ եկամուտների կազմում հաշվառվող եկամտատեսակների գծով ՀՀ 2017-2021թթ փաստացի/կանխատեսումային ցուցանիշները (մլրդ դրամներով</w:t>
        </w:r>
        <w:r w:rsidR="00106B70" w:rsidRPr="00B83FCC">
          <w:rPr>
            <w:rStyle w:val="Hyperlink"/>
            <w:rFonts w:cs="Sylfaen"/>
            <w:noProof/>
            <w:lang w:val="fr-FR" w:eastAsia="en-US"/>
          </w:rPr>
          <w:t>)</w:t>
        </w:r>
        <w:r w:rsidR="00106B70">
          <w:rPr>
            <w:noProof/>
            <w:webHidden/>
          </w:rPr>
          <w:tab/>
        </w:r>
        <w:r w:rsidR="003C3925">
          <w:rPr>
            <w:noProof/>
            <w:webHidden/>
          </w:rPr>
          <w:fldChar w:fldCharType="begin"/>
        </w:r>
        <w:r w:rsidR="00106B70">
          <w:rPr>
            <w:noProof/>
            <w:webHidden/>
          </w:rPr>
          <w:instrText xml:space="preserve"> PAGEREF _Toc57631760 \h </w:instrText>
        </w:r>
        <w:r w:rsidR="003C3925">
          <w:rPr>
            <w:noProof/>
            <w:webHidden/>
          </w:rPr>
        </w:r>
        <w:r w:rsidR="003C3925">
          <w:rPr>
            <w:noProof/>
            <w:webHidden/>
          </w:rPr>
          <w:fldChar w:fldCharType="separate"/>
        </w:r>
        <w:r w:rsidR="00106B70">
          <w:rPr>
            <w:noProof/>
            <w:webHidden/>
          </w:rPr>
          <w:t>121</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61" w:history="1">
        <w:r w:rsidR="00106B70" w:rsidRPr="00B83FCC">
          <w:rPr>
            <w:rStyle w:val="Hyperlink"/>
            <w:noProof/>
          </w:rPr>
          <w:t>Աղյուսակ</w:t>
        </w:r>
        <w:r w:rsidR="00106B70" w:rsidRPr="00B83FCC">
          <w:rPr>
            <w:rStyle w:val="Hyperlink"/>
            <w:noProof/>
            <w:lang w:val="af-ZA"/>
          </w:rPr>
          <w:t xml:space="preserve"> 10</w:t>
        </w:r>
        <w:r w:rsidR="00106B70" w:rsidRPr="00B83FCC">
          <w:rPr>
            <w:rStyle w:val="Hyperlink"/>
            <w:rFonts w:ascii="Cambria Math" w:hAnsi="Cambria Math"/>
            <w:noProof/>
            <w:lang w:val="hy-AM"/>
          </w:rPr>
          <w:t xml:space="preserve">․ </w:t>
        </w:r>
        <w:r w:rsidR="00106B70" w:rsidRPr="00B83FCC">
          <w:rPr>
            <w:rStyle w:val="Hyperlink"/>
            <w:i/>
            <w:noProof/>
            <w:lang w:val="af-ZA" w:eastAsia="en-US"/>
          </w:rPr>
          <w:t>2017-2021</w:t>
        </w:r>
        <w:r w:rsidR="00106B70" w:rsidRPr="00B83FCC">
          <w:rPr>
            <w:rStyle w:val="Hyperlink"/>
            <w:i/>
            <w:noProof/>
            <w:lang w:val="it-IT" w:eastAsia="en-US"/>
          </w:rPr>
          <w:t>թթ</w:t>
        </w:r>
        <w:r w:rsidR="00106B70" w:rsidRPr="00B83FCC">
          <w:rPr>
            <w:rStyle w:val="Hyperlink"/>
            <w:i/>
            <w:noProof/>
            <w:lang w:val="af-ZA" w:eastAsia="en-US"/>
          </w:rPr>
          <w:t xml:space="preserve"> </w:t>
        </w:r>
        <w:r w:rsidR="00106B70" w:rsidRPr="00B83FCC">
          <w:rPr>
            <w:rStyle w:val="Hyperlink"/>
            <w:rFonts w:cs="Sylfaen"/>
            <w:i/>
            <w:noProof/>
            <w:lang w:val="en-US" w:eastAsia="en-US"/>
          </w:rPr>
          <w:t>ընթացիկ</w:t>
        </w:r>
        <w:r w:rsidR="00106B70" w:rsidRPr="00B83FCC">
          <w:rPr>
            <w:rStyle w:val="Hyperlink"/>
            <w:i/>
            <w:noProof/>
            <w:lang w:val="af-ZA" w:eastAsia="en-US"/>
          </w:rPr>
          <w:t xml:space="preserve"> </w:t>
        </w:r>
        <w:r w:rsidR="00106B70" w:rsidRPr="00B83FCC">
          <w:rPr>
            <w:rStyle w:val="Hyperlink"/>
            <w:rFonts w:cs="Sylfaen"/>
            <w:i/>
            <w:noProof/>
            <w:lang w:val="en-US" w:eastAsia="en-US"/>
          </w:rPr>
          <w:t>և</w:t>
        </w:r>
        <w:r w:rsidR="00106B70" w:rsidRPr="00B83FCC">
          <w:rPr>
            <w:rStyle w:val="Hyperlink"/>
            <w:i/>
            <w:noProof/>
            <w:lang w:val="af-ZA" w:eastAsia="en-US"/>
          </w:rPr>
          <w:t xml:space="preserve"> </w:t>
        </w:r>
        <w:r w:rsidR="00106B70" w:rsidRPr="00B83FCC">
          <w:rPr>
            <w:rStyle w:val="Hyperlink"/>
            <w:rFonts w:cs="Sylfaen"/>
            <w:i/>
            <w:noProof/>
            <w:lang w:val="en-US" w:eastAsia="en-US"/>
          </w:rPr>
          <w:t>ոչ</w:t>
        </w:r>
        <w:r w:rsidR="00106B70" w:rsidRPr="00B83FCC">
          <w:rPr>
            <w:rStyle w:val="Hyperlink"/>
            <w:rFonts w:cs="Sylfaen"/>
            <w:i/>
            <w:noProof/>
            <w:lang w:val="af-ZA" w:eastAsia="en-US"/>
          </w:rPr>
          <w:t xml:space="preserve"> </w:t>
        </w:r>
        <w:r w:rsidR="00106B70" w:rsidRPr="00B83FCC">
          <w:rPr>
            <w:rStyle w:val="Hyperlink"/>
            <w:rFonts w:cs="Sylfaen"/>
            <w:i/>
            <w:noProof/>
            <w:lang w:val="en-US" w:eastAsia="en-US"/>
          </w:rPr>
          <w:t>ֆինանսական</w:t>
        </w:r>
        <w:r w:rsidR="00106B70" w:rsidRPr="00B83FCC">
          <w:rPr>
            <w:rStyle w:val="Hyperlink"/>
            <w:rFonts w:cs="Sylfaen"/>
            <w:i/>
            <w:noProof/>
            <w:lang w:val="af-ZA" w:eastAsia="en-US"/>
          </w:rPr>
          <w:t xml:space="preserve"> </w:t>
        </w:r>
        <w:r w:rsidR="00106B70" w:rsidRPr="00B83FCC">
          <w:rPr>
            <w:rStyle w:val="Hyperlink"/>
            <w:rFonts w:cs="Sylfaen"/>
            <w:i/>
            <w:noProof/>
            <w:lang w:val="en-US" w:eastAsia="en-US"/>
          </w:rPr>
          <w:t>ակտիվների</w:t>
        </w:r>
        <w:r w:rsidR="00106B70" w:rsidRPr="00B83FCC">
          <w:rPr>
            <w:rStyle w:val="Hyperlink"/>
            <w:rFonts w:cs="Sylfaen"/>
            <w:i/>
            <w:noProof/>
            <w:lang w:val="af-ZA" w:eastAsia="en-US"/>
          </w:rPr>
          <w:t xml:space="preserve"> </w:t>
        </w:r>
        <w:r w:rsidR="00106B70" w:rsidRPr="00B83FCC">
          <w:rPr>
            <w:rStyle w:val="Hyperlink"/>
            <w:rFonts w:cs="Sylfaen"/>
            <w:i/>
            <w:noProof/>
            <w:lang w:val="en-US" w:eastAsia="en-US"/>
          </w:rPr>
          <w:t>գծով</w:t>
        </w:r>
        <w:r w:rsidR="00106B70" w:rsidRPr="00B83FCC">
          <w:rPr>
            <w:rStyle w:val="Hyperlink"/>
            <w:rFonts w:cs="Sylfaen"/>
            <w:i/>
            <w:noProof/>
            <w:lang w:val="af-ZA" w:eastAsia="en-US"/>
          </w:rPr>
          <w:t xml:space="preserve"> </w:t>
        </w:r>
        <w:r w:rsidR="00106B70" w:rsidRPr="00B83FCC">
          <w:rPr>
            <w:rStyle w:val="Hyperlink"/>
            <w:rFonts w:cs="Sylfaen"/>
            <w:i/>
            <w:noProof/>
            <w:lang w:val="en-US" w:eastAsia="en-US"/>
          </w:rPr>
          <w:t>ծախսերի</w:t>
        </w:r>
        <w:r w:rsidR="00106B70" w:rsidRPr="00B83FCC">
          <w:rPr>
            <w:rStyle w:val="Hyperlink"/>
            <w:i/>
            <w:noProof/>
            <w:lang w:val="af-ZA" w:eastAsia="en-US"/>
          </w:rPr>
          <w:t xml:space="preserve"> </w:t>
        </w:r>
        <w:r w:rsidR="00106B70" w:rsidRPr="00B83FCC">
          <w:rPr>
            <w:rStyle w:val="Hyperlink"/>
            <w:rFonts w:cs="Sylfaen"/>
            <w:i/>
            <w:noProof/>
            <w:lang w:val="en-US" w:eastAsia="en-US"/>
          </w:rPr>
          <w:t>փոփոխության</w:t>
        </w:r>
        <w:r w:rsidR="00106B70" w:rsidRPr="00B83FCC">
          <w:rPr>
            <w:rStyle w:val="Hyperlink"/>
            <w:i/>
            <w:noProof/>
            <w:lang w:val="af-ZA" w:eastAsia="en-US"/>
          </w:rPr>
          <w:t xml:space="preserve"> </w:t>
        </w:r>
        <w:r w:rsidR="00106B70" w:rsidRPr="00B83FCC">
          <w:rPr>
            <w:rStyle w:val="Hyperlink"/>
            <w:rFonts w:cs="Sylfaen"/>
            <w:i/>
            <w:noProof/>
            <w:lang w:val="en-US" w:eastAsia="en-US"/>
          </w:rPr>
          <w:t>և</w:t>
        </w:r>
        <w:r w:rsidR="00106B70" w:rsidRPr="00B83FCC">
          <w:rPr>
            <w:rStyle w:val="Hyperlink"/>
            <w:i/>
            <w:noProof/>
            <w:lang w:val="af-ZA" w:eastAsia="en-US"/>
          </w:rPr>
          <w:t xml:space="preserve"> </w:t>
        </w:r>
        <w:r w:rsidR="00106B70" w:rsidRPr="00B83FCC">
          <w:rPr>
            <w:rStyle w:val="Hyperlink"/>
            <w:rFonts w:cs="Sylfaen"/>
            <w:i/>
            <w:noProof/>
            <w:lang w:val="en-US" w:eastAsia="en-US"/>
          </w:rPr>
          <w:t>հարաբերակցության</w:t>
        </w:r>
        <w:r w:rsidR="00106B70" w:rsidRPr="00B83FCC">
          <w:rPr>
            <w:rStyle w:val="Hyperlink"/>
            <w:i/>
            <w:noProof/>
            <w:lang w:val="af-ZA" w:eastAsia="en-US"/>
          </w:rPr>
          <w:t xml:space="preserve"> </w:t>
        </w:r>
        <w:r w:rsidR="00106B70" w:rsidRPr="00B83FCC">
          <w:rPr>
            <w:rStyle w:val="Hyperlink"/>
            <w:rFonts w:cs="Sylfaen"/>
            <w:i/>
            <w:noProof/>
            <w:lang w:val="en-US" w:eastAsia="en-US"/>
          </w:rPr>
          <w:t>միտումները</w:t>
        </w:r>
        <w:r w:rsidR="00106B70">
          <w:rPr>
            <w:noProof/>
            <w:webHidden/>
          </w:rPr>
          <w:tab/>
        </w:r>
        <w:r w:rsidR="003C3925">
          <w:rPr>
            <w:noProof/>
            <w:webHidden/>
          </w:rPr>
          <w:fldChar w:fldCharType="begin"/>
        </w:r>
        <w:r w:rsidR="00106B70">
          <w:rPr>
            <w:noProof/>
            <w:webHidden/>
          </w:rPr>
          <w:instrText xml:space="preserve"> PAGEREF _Toc57631761 \h </w:instrText>
        </w:r>
        <w:r w:rsidR="003C3925">
          <w:rPr>
            <w:noProof/>
            <w:webHidden/>
          </w:rPr>
        </w:r>
        <w:r w:rsidR="003C3925">
          <w:rPr>
            <w:noProof/>
            <w:webHidden/>
          </w:rPr>
          <w:fldChar w:fldCharType="separate"/>
        </w:r>
        <w:r w:rsidR="00106B70">
          <w:rPr>
            <w:noProof/>
            <w:webHidden/>
          </w:rPr>
          <w:t>126</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62" w:history="1">
        <w:r w:rsidR="00106B70" w:rsidRPr="00B83FCC">
          <w:rPr>
            <w:rStyle w:val="Hyperlink"/>
            <w:noProof/>
            <w:lang w:val="hy-AM"/>
          </w:rPr>
          <w:t>Աղյուսակ 11</w:t>
        </w:r>
        <w:r w:rsidR="00106B70" w:rsidRPr="00B83FCC">
          <w:rPr>
            <w:rStyle w:val="Hyperlink"/>
            <w:rFonts w:ascii="Cambria Math" w:hAnsi="Cambria Math"/>
            <w:noProof/>
            <w:lang w:val="hy-AM"/>
          </w:rPr>
          <w:t xml:space="preserve">․ </w:t>
        </w:r>
        <w:r w:rsidR="00106B70" w:rsidRPr="00B83FCC">
          <w:rPr>
            <w:rStyle w:val="Hyperlink"/>
            <w:i/>
            <w:noProof/>
            <w:lang w:val="hy-AM"/>
          </w:rPr>
          <w:t>2017-2021թթ ընթացիկ ծախսերի ֆինանսավորման կառուցվածը ըստ տնտեսագիտական դասակարգման</w:t>
        </w:r>
        <w:r w:rsidR="00106B70">
          <w:rPr>
            <w:noProof/>
            <w:webHidden/>
          </w:rPr>
          <w:tab/>
        </w:r>
        <w:r w:rsidR="003C3925">
          <w:rPr>
            <w:noProof/>
            <w:webHidden/>
          </w:rPr>
          <w:fldChar w:fldCharType="begin"/>
        </w:r>
        <w:r w:rsidR="00106B70">
          <w:rPr>
            <w:noProof/>
            <w:webHidden/>
          </w:rPr>
          <w:instrText xml:space="preserve"> PAGEREF _Toc57631762 \h </w:instrText>
        </w:r>
        <w:r w:rsidR="003C3925">
          <w:rPr>
            <w:noProof/>
            <w:webHidden/>
          </w:rPr>
        </w:r>
        <w:r w:rsidR="003C3925">
          <w:rPr>
            <w:noProof/>
            <w:webHidden/>
          </w:rPr>
          <w:fldChar w:fldCharType="separate"/>
        </w:r>
        <w:r w:rsidR="00106B70">
          <w:rPr>
            <w:noProof/>
            <w:webHidden/>
          </w:rPr>
          <w:t>128</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63" w:history="1">
        <w:r w:rsidR="00106B70" w:rsidRPr="00B83FCC">
          <w:rPr>
            <w:rStyle w:val="Hyperlink"/>
            <w:noProof/>
            <w:lang w:val="hy-AM"/>
          </w:rPr>
          <w:t>Աղյուսակ 12</w:t>
        </w:r>
        <w:r w:rsidR="00106B70" w:rsidRPr="00B83FCC">
          <w:rPr>
            <w:rStyle w:val="Hyperlink"/>
            <w:rFonts w:ascii="Cambria Math" w:hAnsi="Cambria Math"/>
            <w:noProof/>
            <w:lang w:val="hy-AM"/>
          </w:rPr>
          <w:t xml:space="preserve">․ </w:t>
        </w:r>
        <w:r w:rsidR="00106B70" w:rsidRPr="00B83FCC">
          <w:rPr>
            <w:rStyle w:val="Hyperlink"/>
            <w:i/>
            <w:noProof/>
            <w:lang w:val="af-ZA" w:eastAsia="en-US"/>
          </w:rPr>
          <w:t>ՀՀ պետական բյուջեից համայնքներին տրվող հատկացումների վերաբերյալ</w:t>
        </w:r>
        <w:r w:rsidR="00106B70">
          <w:rPr>
            <w:noProof/>
            <w:webHidden/>
          </w:rPr>
          <w:tab/>
        </w:r>
        <w:r w:rsidR="003C3925">
          <w:rPr>
            <w:noProof/>
            <w:webHidden/>
          </w:rPr>
          <w:fldChar w:fldCharType="begin"/>
        </w:r>
        <w:r w:rsidR="00106B70">
          <w:rPr>
            <w:noProof/>
            <w:webHidden/>
          </w:rPr>
          <w:instrText xml:space="preserve"> PAGEREF _Toc57631763 \h </w:instrText>
        </w:r>
        <w:r w:rsidR="003C3925">
          <w:rPr>
            <w:noProof/>
            <w:webHidden/>
          </w:rPr>
        </w:r>
        <w:r w:rsidR="003C3925">
          <w:rPr>
            <w:noProof/>
            <w:webHidden/>
          </w:rPr>
          <w:fldChar w:fldCharType="separate"/>
        </w:r>
        <w:r w:rsidR="00106B70">
          <w:rPr>
            <w:noProof/>
            <w:webHidden/>
          </w:rPr>
          <w:t>129</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64" w:history="1">
        <w:r w:rsidR="00106B70" w:rsidRPr="00B83FCC">
          <w:rPr>
            <w:rStyle w:val="Hyperlink"/>
            <w:noProof/>
            <w:lang w:val="hy-AM"/>
          </w:rPr>
          <w:t>Աղյուսակ 13</w:t>
        </w:r>
        <w:r w:rsidR="00106B70" w:rsidRPr="00B83FCC">
          <w:rPr>
            <w:rStyle w:val="Hyperlink"/>
            <w:rFonts w:ascii="Cambria Math" w:hAnsi="Cambria Math"/>
            <w:noProof/>
            <w:lang w:val="hy-AM"/>
          </w:rPr>
          <w:t xml:space="preserve">․ </w:t>
        </w:r>
        <w:r w:rsidR="00106B70" w:rsidRPr="00B83FCC">
          <w:rPr>
            <w:rStyle w:val="Hyperlink"/>
            <w:i/>
            <w:noProof/>
            <w:lang w:val="hy-AM"/>
          </w:rPr>
          <w:t>2019-2021թթ ոչ ֆինանսական ակտիվների գծով ծախսերի ֆինանսավորման կառուցվածը ըստ արտաքին և ներքին աղբյուրների</w:t>
        </w:r>
        <w:r w:rsidR="00106B70">
          <w:rPr>
            <w:noProof/>
            <w:webHidden/>
          </w:rPr>
          <w:tab/>
        </w:r>
        <w:r w:rsidR="003C3925">
          <w:rPr>
            <w:noProof/>
            <w:webHidden/>
          </w:rPr>
          <w:fldChar w:fldCharType="begin"/>
        </w:r>
        <w:r w:rsidR="00106B70">
          <w:rPr>
            <w:noProof/>
            <w:webHidden/>
          </w:rPr>
          <w:instrText xml:space="preserve"> PAGEREF _Toc57631764 \h </w:instrText>
        </w:r>
        <w:r w:rsidR="003C3925">
          <w:rPr>
            <w:noProof/>
            <w:webHidden/>
          </w:rPr>
        </w:r>
        <w:r w:rsidR="003C3925">
          <w:rPr>
            <w:noProof/>
            <w:webHidden/>
          </w:rPr>
          <w:fldChar w:fldCharType="separate"/>
        </w:r>
        <w:r w:rsidR="00106B70">
          <w:rPr>
            <w:noProof/>
            <w:webHidden/>
          </w:rPr>
          <w:t>131</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65" w:history="1">
        <w:r w:rsidR="00106B70" w:rsidRPr="00B83FCC">
          <w:rPr>
            <w:rStyle w:val="Hyperlink"/>
            <w:bCs/>
            <w:noProof/>
            <w:lang w:val="hy-AM"/>
          </w:rPr>
          <w:t>Աղյուսակ 14</w:t>
        </w:r>
        <w:r w:rsidR="00106B70" w:rsidRPr="00B83FCC">
          <w:rPr>
            <w:rStyle w:val="Hyperlink"/>
            <w:rFonts w:ascii="Cambria Math" w:hAnsi="Cambria Math"/>
            <w:bCs/>
            <w:noProof/>
            <w:lang w:val="hy-AM"/>
          </w:rPr>
          <w:t xml:space="preserve">․ </w:t>
        </w:r>
        <w:r w:rsidR="00106B70" w:rsidRPr="00B83FCC">
          <w:rPr>
            <w:rStyle w:val="Hyperlink"/>
            <w:bCs/>
            <w:i/>
            <w:noProof/>
            <w:lang w:val="hy-AM"/>
          </w:rPr>
          <w:t>ՀՀ 2021-2023թթ պետական բյուջեների ծախսերը՝ ըստ ոլորտների (մլն. դրամ)</w:t>
        </w:r>
        <w:r w:rsidR="00106B70">
          <w:rPr>
            <w:noProof/>
            <w:webHidden/>
          </w:rPr>
          <w:tab/>
        </w:r>
        <w:r w:rsidR="003C3925">
          <w:rPr>
            <w:noProof/>
            <w:webHidden/>
          </w:rPr>
          <w:fldChar w:fldCharType="begin"/>
        </w:r>
        <w:r w:rsidR="00106B70">
          <w:rPr>
            <w:noProof/>
            <w:webHidden/>
          </w:rPr>
          <w:instrText xml:space="preserve"> PAGEREF _Toc57631765 \h </w:instrText>
        </w:r>
        <w:r w:rsidR="003C3925">
          <w:rPr>
            <w:noProof/>
            <w:webHidden/>
          </w:rPr>
        </w:r>
        <w:r w:rsidR="003C3925">
          <w:rPr>
            <w:noProof/>
            <w:webHidden/>
          </w:rPr>
          <w:fldChar w:fldCharType="separate"/>
        </w:r>
        <w:r w:rsidR="00106B70">
          <w:rPr>
            <w:noProof/>
            <w:webHidden/>
          </w:rPr>
          <w:t>132</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66" w:history="1">
        <w:r w:rsidR="00106B70" w:rsidRPr="00B83FCC">
          <w:rPr>
            <w:rStyle w:val="Hyperlink"/>
            <w:bCs/>
            <w:noProof/>
            <w:lang w:val="hy-AM"/>
          </w:rPr>
          <w:t>Աղյուսակ 15</w:t>
        </w:r>
        <w:r w:rsidR="00106B70" w:rsidRPr="00B83FCC">
          <w:rPr>
            <w:rStyle w:val="Hyperlink"/>
            <w:rFonts w:ascii="Cambria Math" w:hAnsi="Cambria Math"/>
            <w:bCs/>
            <w:noProof/>
            <w:lang w:val="hy-AM"/>
          </w:rPr>
          <w:t xml:space="preserve">․ </w:t>
        </w:r>
        <w:r w:rsidR="00106B70" w:rsidRPr="00B83FCC">
          <w:rPr>
            <w:rStyle w:val="Hyperlink"/>
            <w:bCs/>
            <w:i/>
            <w:noProof/>
            <w:lang w:val="hy-AM"/>
          </w:rPr>
          <w:t>Սոցիալական ոլորտի բյուջետային ծախսերը  (մլն դրամ)</w:t>
        </w:r>
        <w:r w:rsidR="00106B70">
          <w:rPr>
            <w:noProof/>
            <w:webHidden/>
          </w:rPr>
          <w:tab/>
        </w:r>
        <w:r w:rsidR="003C3925">
          <w:rPr>
            <w:noProof/>
            <w:webHidden/>
          </w:rPr>
          <w:fldChar w:fldCharType="begin"/>
        </w:r>
        <w:r w:rsidR="00106B70">
          <w:rPr>
            <w:noProof/>
            <w:webHidden/>
          </w:rPr>
          <w:instrText xml:space="preserve"> PAGEREF _Toc57631766 \h </w:instrText>
        </w:r>
        <w:r w:rsidR="003C3925">
          <w:rPr>
            <w:noProof/>
            <w:webHidden/>
          </w:rPr>
        </w:r>
        <w:r w:rsidR="003C3925">
          <w:rPr>
            <w:noProof/>
            <w:webHidden/>
          </w:rPr>
          <w:fldChar w:fldCharType="separate"/>
        </w:r>
        <w:r w:rsidR="00106B70">
          <w:rPr>
            <w:noProof/>
            <w:webHidden/>
          </w:rPr>
          <w:t>134</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67" w:history="1">
        <w:r w:rsidR="00106B70" w:rsidRPr="00B83FCC">
          <w:rPr>
            <w:rStyle w:val="Hyperlink"/>
            <w:bCs/>
            <w:noProof/>
            <w:lang w:val="hy-AM"/>
          </w:rPr>
          <w:t>Աղյուսակ 16</w:t>
        </w:r>
        <w:r w:rsidR="00106B70" w:rsidRPr="00B83FCC">
          <w:rPr>
            <w:rStyle w:val="Hyperlink"/>
            <w:rFonts w:ascii="Cambria Math" w:hAnsi="Cambria Math"/>
            <w:bCs/>
            <w:noProof/>
            <w:lang w:val="hy-AM"/>
          </w:rPr>
          <w:t xml:space="preserve">․ </w:t>
        </w:r>
        <w:r w:rsidR="00106B70" w:rsidRPr="00B83FCC">
          <w:rPr>
            <w:rStyle w:val="Hyperlink"/>
            <w:rFonts w:cs="Arial"/>
            <w:bCs/>
            <w:i/>
            <w:noProof/>
            <w:lang w:val="hy-AM"/>
          </w:rPr>
          <w:t>Տնտեսական ոլորտի</w:t>
        </w:r>
        <w:r w:rsidR="00106B70" w:rsidRPr="00B83FCC">
          <w:rPr>
            <w:rStyle w:val="Hyperlink"/>
            <w:bCs/>
            <w:i/>
            <w:noProof/>
            <w:lang w:val="hy-AM"/>
          </w:rPr>
          <w:t xml:space="preserve"> 2021-2023</w:t>
        </w:r>
        <w:r w:rsidR="00106B70" w:rsidRPr="00B83FCC">
          <w:rPr>
            <w:rStyle w:val="Hyperlink"/>
            <w:rFonts w:cs="Arial"/>
            <w:bCs/>
            <w:i/>
            <w:noProof/>
            <w:lang w:val="hy-AM"/>
          </w:rPr>
          <w:t>թթ</w:t>
        </w:r>
        <w:r w:rsidR="00106B70" w:rsidRPr="00B83FCC">
          <w:rPr>
            <w:rStyle w:val="Hyperlink"/>
            <w:bCs/>
            <w:i/>
            <w:noProof/>
            <w:lang w:val="hy-AM"/>
          </w:rPr>
          <w:t xml:space="preserve"> </w:t>
        </w:r>
        <w:r w:rsidR="00106B70" w:rsidRPr="00B83FCC">
          <w:rPr>
            <w:rStyle w:val="Hyperlink"/>
            <w:rFonts w:cs="Arial"/>
            <w:bCs/>
            <w:i/>
            <w:noProof/>
            <w:lang w:val="hy-AM"/>
          </w:rPr>
          <w:t>բյուջետային</w:t>
        </w:r>
        <w:r w:rsidR="00106B70" w:rsidRPr="00B83FCC">
          <w:rPr>
            <w:rStyle w:val="Hyperlink"/>
            <w:bCs/>
            <w:i/>
            <w:noProof/>
            <w:lang w:val="hy-AM"/>
          </w:rPr>
          <w:t xml:space="preserve"> </w:t>
        </w:r>
        <w:r w:rsidR="00106B70" w:rsidRPr="00B83FCC">
          <w:rPr>
            <w:rStyle w:val="Hyperlink"/>
            <w:rFonts w:cs="Arial"/>
            <w:bCs/>
            <w:i/>
            <w:noProof/>
            <w:lang w:val="hy-AM"/>
          </w:rPr>
          <w:t>ծախսերը</w:t>
        </w:r>
        <w:r w:rsidR="00106B70" w:rsidRPr="00B83FCC">
          <w:rPr>
            <w:rStyle w:val="Hyperlink"/>
            <w:bCs/>
            <w:i/>
            <w:noProof/>
            <w:lang w:val="hy-AM"/>
          </w:rPr>
          <w:t xml:space="preserve"> (</w:t>
        </w:r>
        <w:r w:rsidR="00106B70" w:rsidRPr="00B83FCC">
          <w:rPr>
            <w:rStyle w:val="Hyperlink"/>
            <w:rFonts w:cs="Arial"/>
            <w:bCs/>
            <w:i/>
            <w:noProof/>
            <w:lang w:val="hy-AM"/>
          </w:rPr>
          <w:t>մլն</w:t>
        </w:r>
        <w:r w:rsidR="00106B70" w:rsidRPr="00B83FCC">
          <w:rPr>
            <w:rStyle w:val="Hyperlink"/>
            <w:bCs/>
            <w:i/>
            <w:noProof/>
            <w:lang w:val="hy-AM"/>
          </w:rPr>
          <w:t xml:space="preserve"> </w:t>
        </w:r>
        <w:r w:rsidR="00106B70" w:rsidRPr="00B83FCC">
          <w:rPr>
            <w:rStyle w:val="Hyperlink"/>
            <w:rFonts w:cs="Arial"/>
            <w:bCs/>
            <w:i/>
            <w:noProof/>
            <w:lang w:val="hy-AM"/>
          </w:rPr>
          <w:t>դրամ</w:t>
        </w:r>
        <w:r w:rsidR="00106B70" w:rsidRPr="00B83FCC">
          <w:rPr>
            <w:rStyle w:val="Hyperlink"/>
            <w:bCs/>
            <w:i/>
            <w:noProof/>
            <w:lang w:val="hy-AM"/>
          </w:rPr>
          <w:t>)</w:t>
        </w:r>
        <w:r w:rsidR="00106B70">
          <w:rPr>
            <w:noProof/>
            <w:webHidden/>
          </w:rPr>
          <w:tab/>
        </w:r>
        <w:r w:rsidR="003C3925">
          <w:rPr>
            <w:noProof/>
            <w:webHidden/>
          </w:rPr>
          <w:fldChar w:fldCharType="begin"/>
        </w:r>
        <w:r w:rsidR="00106B70">
          <w:rPr>
            <w:noProof/>
            <w:webHidden/>
          </w:rPr>
          <w:instrText xml:space="preserve"> PAGEREF _Toc57631767 \h </w:instrText>
        </w:r>
        <w:r w:rsidR="003C3925">
          <w:rPr>
            <w:noProof/>
            <w:webHidden/>
          </w:rPr>
        </w:r>
        <w:r w:rsidR="003C3925">
          <w:rPr>
            <w:noProof/>
            <w:webHidden/>
          </w:rPr>
          <w:fldChar w:fldCharType="separate"/>
        </w:r>
        <w:r w:rsidR="00106B70">
          <w:rPr>
            <w:noProof/>
            <w:webHidden/>
          </w:rPr>
          <w:t>135</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68" w:history="1">
        <w:r w:rsidR="00106B70" w:rsidRPr="00B83FCC">
          <w:rPr>
            <w:rStyle w:val="Hyperlink"/>
            <w:bCs/>
            <w:noProof/>
          </w:rPr>
          <w:t>Աղյուսակ 17</w:t>
        </w:r>
        <w:r w:rsidR="00106B70" w:rsidRPr="00B83FCC">
          <w:rPr>
            <w:rStyle w:val="Hyperlink"/>
            <w:rFonts w:ascii="MS Gothic" w:eastAsia="MS Gothic" w:hAnsi="MS Gothic" w:cs="MS Gothic" w:hint="eastAsia"/>
            <w:bCs/>
            <w:noProof/>
            <w:lang w:val="hy-AM"/>
          </w:rPr>
          <w:t>․</w:t>
        </w:r>
        <w:r w:rsidR="00106B70" w:rsidRPr="00B83FCC">
          <w:rPr>
            <w:rStyle w:val="Hyperlink"/>
            <w:rFonts w:ascii="Cambria Math" w:hAnsi="Cambria Math"/>
            <w:bCs/>
            <w:noProof/>
            <w:lang w:val="hy-AM"/>
          </w:rPr>
          <w:t xml:space="preserve"> </w:t>
        </w:r>
        <w:r w:rsidR="00106B70" w:rsidRPr="00B83FCC">
          <w:rPr>
            <w:rStyle w:val="Hyperlink"/>
            <w:bCs/>
            <w:i/>
            <w:noProof/>
            <w:lang w:val="hy-AM"/>
          </w:rPr>
          <w:t>Արտաքին աղբյուրներից 2021թ. ստացվելիք միջոցների (վարկերի և պաշտոնական դրամաշնորհներ) հաշվին ֆինանսավորվող ծախսերը</w:t>
        </w:r>
        <w:r w:rsidR="00106B70">
          <w:rPr>
            <w:noProof/>
            <w:webHidden/>
          </w:rPr>
          <w:tab/>
        </w:r>
        <w:r w:rsidR="003C3925">
          <w:rPr>
            <w:noProof/>
            <w:webHidden/>
          </w:rPr>
          <w:fldChar w:fldCharType="begin"/>
        </w:r>
        <w:r w:rsidR="00106B70">
          <w:rPr>
            <w:noProof/>
            <w:webHidden/>
          </w:rPr>
          <w:instrText xml:space="preserve"> PAGEREF _Toc57631768 \h </w:instrText>
        </w:r>
        <w:r w:rsidR="003C3925">
          <w:rPr>
            <w:noProof/>
            <w:webHidden/>
          </w:rPr>
        </w:r>
        <w:r w:rsidR="003C3925">
          <w:rPr>
            <w:noProof/>
            <w:webHidden/>
          </w:rPr>
          <w:fldChar w:fldCharType="separate"/>
        </w:r>
        <w:r w:rsidR="00106B70">
          <w:rPr>
            <w:noProof/>
            <w:webHidden/>
          </w:rPr>
          <w:t>137</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69" w:history="1">
        <w:r w:rsidR="00106B70" w:rsidRPr="00B83FCC">
          <w:rPr>
            <w:rStyle w:val="Hyperlink"/>
            <w:noProof/>
            <w:lang w:val="hy-AM"/>
          </w:rPr>
          <w:t>Աղյուսակ</w:t>
        </w:r>
        <w:r w:rsidR="00106B70" w:rsidRPr="00B83FCC">
          <w:rPr>
            <w:rStyle w:val="Hyperlink"/>
            <w:noProof/>
            <w:lang w:val="ro-RO"/>
          </w:rPr>
          <w:t xml:space="preserve"> 18</w:t>
        </w:r>
        <w:r w:rsidR="00106B70" w:rsidRPr="00B83FCC">
          <w:rPr>
            <w:rStyle w:val="Hyperlink"/>
            <w:rFonts w:ascii="Cambria Math" w:hAnsi="Cambria Math"/>
            <w:noProof/>
            <w:lang w:val="hy-AM"/>
          </w:rPr>
          <w:t xml:space="preserve">․ </w:t>
        </w:r>
        <w:r w:rsidR="00106B70" w:rsidRPr="00B83FCC">
          <w:rPr>
            <w:rStyle w:val="Hyperlink"/>
            <w:rFonts w:eastAsia="Calibri"/>
            <w:i/>
            <w:noProof/>
            <w:lang w:val="hy-AM" w:eastAsia="en-US"/>
          </w:rPr>
          <w:t>Հարկային եկամուտների վրա մակրոտնտեսական կանխատեսումների և ենթադրությունների</w:t>
        </w:r>
        <w:r w:rsidR="00106B70" w:rsidRPr="00B83FCC">
          <w:rPr>
            <w:rStyle w:val="Hyperlink"/>
            <w:rFonts w:eastAsia="Calibri"/>
            <w:i/>
            <w:noProof/>
            <w:lang w:val="sk-SK" w:eastAsia="en-US"/>
          </w:rPr>
          <w:t xml:space="preserve"> </w:t>
        </w:r>
        <w:r w:rsidR="00106B70" w:rsidRPr="00B83FCC">
          <w:rPr>
            <w:rStyle w:val="Hyperlink"/>
            <w:rFonts w:eastAsia="Calibri"/>
            <w:i/>
            <w:noProof/>
            <w:lang w:val="hy-AM" w:eastAsia="en-US"/>
          </w:rPr>
          <w:t>ռիսկերի ազդեցություն</w:t>
        </w:r>
        <w:r w:rsidR="00106B70">
          <w:rPr>
            <w:noProof/>
            <w:webHidden/>
          </w:rPr>
          <w:tab/>
        </w:r>
        <w:r w:rsidR="003C3925">
          <w:rPr>
            <w:noProof/>
            <w:webHidden/>
          </w:rPr>
          <w:fldChar w:fldCharType="begin"/>
        </w:r>
        <w:r w:rsidR="00106B70">
          <w:rPr>
            <w:noProof/>
            <w:webHidden/>
          </w:rPr>
          <w:instrText xml:space="preserve"> PAGEREF _Toc57631769 \h </w:instrText>
        </w:r>
        <w:r w:rsidR="003C3925">
          <w:rPr>
            <w:noProof/>
            <w:webHidden/>
          </w:rPr>
        </w:r>
        <w:r w:rsidR="003C3925">
          <w:rPr>
            <w:noProof/>
            <w:webHidden/>
          </w:rPr>
          <w:fldChar w:fldCharType="separate"/>
        </w:r>
        <w:r w:rsidR="00106B70">
          <w:rPr>
            <w:noProof/>
            <w:webHidden/>
          </w:rPr>
          <w:t>241</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70" w:history="1">
        <w:r w:rsidR="00106B70" w:rsidRPr="00B83FCC">
          <w:rPr>
            <w:rStyle w:val="Hyperlink"/>
            <w:noProof/>
            <w:lang w:val="hy-AM"/>
          </w:rPr>
          <w:t>Աղյուսակ 19</w:t>
        </w:r>
        <w:r w:rsidR="00106B70" w:rsidRPr="00B83FCC">
          <w:rPr>
            <w:rStyle w:val="Hyperlink"/>
            <w:rFonts w:ascii="Cambria Math" w:hAnsi="Cambria Math"/>
            <w:noProof/>
            <w:lang w:val="hy-AM"/>
          </w:rPr>
          <w:t xml:space="preserve">․ </w:t>
        </w:r>
        <w:r w:rsidR="00106B70" w:rsidRPr="00B83FCC">
          <w:rPr>
            <w:rStyle w:val="Hyperlink"/>
            <w:rFonts w:eastAsia="Calibri"/>
            <w:i/>
            <w:noProof/>
            <w:lang w:val="hy-AM" w:eastAsia="en-US"/>
          </w:rPr>
          <w:t>Հարկային եկամուտների զգայունությունը հիմնական տնտեսական գործոնների նկատմամբ, տոկոս</w:t>
        </w:r>
        <w:r w:rsidR="00106B70">
          <w:rPr>
            <w:noProof/>
            <w:webHidden/>
          </w:rPr>
          <w:tab/>
        </w:r>
        <w:r w:rsidR="003C3925">
          <w:rPr>
            <w:noProof/>
            <w:webHidden/>
          </w:rPr>
          <w:fldChar w:fldCharType="begin"/>
        </w:r>
        <w:r w:rsidR="00106B70">
          <w:rPr>
            <w:noProof/>
            <w:webHidden/>
          </w:rPr>
          <w:instrText xml:space="preserve"> PAGEREF _Toc57631770 \h </w:instrText>
        </w:r>
        <w:r w:rsidR="003C3925">
          <w:rPr>
            <w:noProof/>
            <w:webHidden/>
          </w:rPr>
        </w:r>
        <w:r w:rsidR="003C3925">
          <w:rPr>
            <w:noProof/>
            <w:webHidden/>
          </w:rPr>
          <w:fldChar w:fldCharType="separate"/>
        </w:r>
        <w:r w:rsidR="00106B70">
          <w:rPr>
            <w:noProof/>
            <w:webHidden/>
          </w:rPr>
          <w:t>242</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71" w:history="1">
        <w:r w:rsidR="00106B70" w:rsidRPr="00B83FCC">
          <w:rPr>
            <w:rStyle w:val="Hyperlink"/>
            <w:noProof/>
            <w:lang w:val="hy-AM"/>
          </w:rPr>
          <w:t>Աղյուսակ 20</w:t>
        </w:r>
        <w:r w:rsidR="00106B70" w:rsidRPr="00B83FCC">
          <w:rPr>
            <w:rStyle w:val="Hyperlink"/>
            <w:rFonts w:ascii="Cambria Math" w:hAnsi="Cambria Math"/>
            <w:noProof/>
            <w:lang w:val="hy-AM"/>
          </w:rPr>
          <w:t xml:space="preserve">․ </w:t>
        </w:r>
        <w:r w:rsidR="00106B70" w:rsidRPr="00B83FCC">
          <w:rPr>
            <w:rStyle w:val="Hyperlink"/>
            <w:rFonts w:eastAsia="Calibri"/>
            <w:i/>
            <w:noProof/>
            <w:lang w:val="hy-AM" w:eastAsia="en-US"/>
          </w:rPr>
          <w:t>Հարկային եկամուտների կանխատեսումների հավանականային բաշխումը</w:t>
        </w:r>
        <w:r w:rsidR="00106B70">
          <w:rPr>
            <w:noProof/>
            <w:webHidden/>
          </w:rPr>
          <w:tab/>
        </w:r>
        <w:r w:rsidR="003C3925">
          <w:rPr>
            <w:noProof/>
            <w:webHidden/>
          </w:rPr>
          <w:fldChar w:fldCharType="begin"/>
        </w:r>
        <w:r w:rsidR="00106B70">
          <w:rPr>
            <w:noProof/>
            <w:webHidden/>
          </w:rPr>
          <w:instrText xml:space="preserve"> PAGEREF _Toc57631771 \h </w:instrText>
        </w:r>
        <w:r w:rsidR="003C3925">
          <w:rPr>
            <w:noProof/>
            <w:webHidden/>
          </w:rPr>
        </w:r>
        <w:r w:rsidR="003C3925">
          <w:rPr>
            <w:noProof/>
            <w:webHidden/>
          </w:rPr>
          <w:fldChar w:fldCharType="separate"/>
        </w:r>
        <w:r w:rsidR="00106B70">
          <w:rPr>
            <w:noProof/>
            <w:webHidden/>
          </w:rPr>
          <w:t>243</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72" w:history="1">
        <w:r w:rsidR="00106B70" w:rsidRPr="00B83FCC">
          <w:rPr>
            <w:rStyle w:val="Hyperlink"/>
            <w:noProof/>
            <w:lang w:val="hy-AM"/>
          </w:rPr>
          <w:t>Աղյուսակ 21</w:t>
        </w:r>
        <w:r w:rsidR="00106B70" w:rsidRPr="00B83FCC">
          <w:rPr>
            <w:rStyle w:val="Hyperlink"/>
            <w:rFonts w:ascii="Cambria Math" w:hAnsi="Cambria Math"/>
            <w:noProof/>
            <w:lang w:val="hy-AM"/>
          </w:rPr>
          <w:t xml:space="preserve">․ </w:t>
        </w:r>
        <w:r w:rsidR="00106B70" w:rsidRPr="00B83FCC">
          <w:rPr>
            <w:rStyle w:val="Hyperlink"/>
            <w:rFonts w:eastAsia="Calibri"/>
            <w:i/>
            <w:noProof/>
            <w:lang w:val="sk-SK" w:eastAsia="en-US"/>
          </w:rPr>
          <w:t xml:space="preserve">ՀՀ </w:t>
        </w:r>
        <w:r w:rsidR="00106B70" w:rsidRPr="00B83FCC">
          <w:rPr>
            <w:rStyle w:val="Hyperlink"/>
            <w:rFonts w:eastAsia="Calibri" w:cs="Sylfaen"/>
            <w:i/>
            <w:noProof/>
            <w:lang w:val="hy-AM" w:eastAsia="en-US"/>
          </w:rPr>
          <w:t>պետական բյուջեի հարկային եկամուտների և ծախսերի, ինչպես նաև այլ հոսքերի գծով ռիսկերի ընդհանուր</w:t>
        </w:r>
        <w:r w:rsidR="00106B70" w:rsidRPr="00B83FCC">
          <w:rPr>
            <w:rStyle w:val="Hyperlink"/>
            <w:rFonts w:eastAsia="Calibri" w:cs="Sylfaen"/>
            <w:i/>
            <w:noProof/>
            <w:lang w:val="sk-SK" w:eastAsia="en-US"/>
          </w:rPr>
          <w:t xml:space="preserve"> </w:t>
        </w:r>
        <w:r w:rsidR="00106B70" w:rsidRPr="00B83FCC">
          <w:rPr>
            <w:rStyle w:val="Hyperlink"/>
            <w:rFonts w:eastAsia="Calibri" w:cs="Sylfaen"/>
            <w:i/>
            <w:noProof/>
            <w:lang w:val="hy-AM" w:eastAsia="en-US"/>
          </w:rPr>
          <w:t>ազդեցությունը</w:t>
        </w:r>
        <w:r w:rsidR="00106B70" w:rsidRPr="00B83FCC">
          <w:rPr>
            <w:rStyle w:val="Hyperlink"/>
            <w:rFonts w:eastAsia="Calibri" w:cs="Sylfaen"/>
            <w:i/>
            <w:noProof/>
            <w:lang w:val="sk-SK" w:eastAsia="en-US"/>
          </w:rPr>
          <w:t>. (</w:t>
        </w:r>
        <w:r w:rsidR="00106B70" w:rsidRPr="00B83FCC">
          <w:rPr>
            <w:rStyle w:val="Hyperlink"/>
            <w:rFonts w:eastAsia="Calibri" w:cs="Sylfaen"/>
            <w:i/>
            <w:noProof/>
            <w:lang w:val="hy-AM" w:eastAsia="en-US"/>
          </w:rPr>
          <w:t>ֆ</w:t>
        </w:r>
        <w:r w:rsidR="00106B70" w:rsidRPr="00B83FCC">
          <w:rPr>
            <w:rStyle w:val="Hyperlink"/>
            <w:rFonts w:eastAsia="Calibri"/>
            <w:i/>
            <w:noProof/>
            <w:lang w:val="hy-AM" w:eastAsia="en-US"/>
          </w:rPr>
          <w:t>ինանսավորման</w:t>
        </w:r>
        <w:r w:rsidR="00106B70" w:rsidRPr="00B83FCC">
          <w:rPr>
            <w:rStyle w:val="Hyperlink"/>
            <w:rFonts w:eastAsia="Calibri"/>
            <w:i/>
            <w:noProof/>
            <w:lang w:val="sk-SK" w:eastAsia="en-US"/>
          </w:rPr>
          <w:t xml:space="preserve"> </w:t>
        </w:r>
        <w:r w:rsidR="00106B70" w:rsidRPr="00B83FCC">
          <w:rPr>
            <w:rStyle w:val="Hyperlink"/>
            <w:rFonts w:eastAsia="Calibri"/>
            <w:i/>
            <w:noProof/>
            <w:lang w:val="hy-AM" w:eastAsia="en-US"/>
          </w:rPr>
          <w:t>պահանջ</w:t>
        </w:r>
        <w:r w:rsidR="00106B70" w:rsidRPr="00B83FCC">
          <w:rPr>
            <w:rStyle w:val="Hyperlink"/>
            <w:rFonts w:eastAsia="Calibri"/>
            <w:i/>
            <w:noProof/>
            <w:lang w:val="sk-SK" w:eastAsia="en-US"/>
          </w:rPr>
          <w:t xml:space="preserve">` - </w:t>
        </w:r>
        <w:r w:rsidR="00106B70" w:rsidRPr="00B83FCC">
          <w:rPr>
            <w:rStyle w:val="Hyperlink"/>
            <w:rFonts w:eastAsia="Calibri"/>
            <w:i/>
            <w:noProof/>
            <w:lang w:val="hy-AM" w:eastAsia="en-US"/>
          </w:rPr>
          <w:t>պահանջի</w:t>
        </w:r>
        <w:r w:rsidR="00106B70" w:rsidRPr="00B83FCC">
          <w:rPr>
            <w:rStyle w:val="Hyperlink"/>
            <w:rFonts w:eastAsia="Calibri"/>
            <w:i/>
            <w:noProof/>
            <w:lang w:val="sk-SK" w:eastAsia="en-US"/>
          </w:rPr>
          <w:t xml:space="preserve"> </w:t>
        </w:r>
        <w:r w:rsidR="00106B70" w:rsidRPr="00B83FCC">
          <w:rPr>
            <w:rStyle w:val="Hyperlink"/>
            <w:rFonts w:eastAsia="Calibri"/>
            <w:i/>
            <w:noProof/>
            <w:lang w:val="hy-AM" w:eastAsia="en-US"/>
          </w:rPr>
          <w:t>մեծացում</w:t>
        </w:r>
        <w:r w:rsidR="00106B70" w:rsidRPr="00B83FCC">
          <w:rPr>
            <w:rStyle w:val="Hyperlink"/>
            <w:rFonts w:eastAsia="Calibri"/>
            <w:i/>
            <w:noProof/>
            <w:lang w:val="sk-SK" w:eastAsia="en-US"/>
          </w:rPr>
          <w:t xml:space="preserve">, + </w:t>
        </w:r>
        <w:r w:rsidR="00106B70" w:rsidRPr="00B83FCC">
          <w:rPr>
            <w:rStyle w:val="Hyperlink"/>
            <w:rFonts w:eastAsia="Calibri"/>
            <w:i/>
            <w:noProof/>
            <w:lang w:val="hy-AM" w:eastAsia="en-US"/>
          </w:rPr>
          <w:t>պահանջի</w:t>
        </w:r>
        <w:r w:rsidR="00106B70" w:rsidRPr="00B83FCC">
          <w:rPr>
            <w:rStyle w:val="Hyperlink"/>
            <w:rFonts w:eastAsia="Calibri"/>
            <w:i/>
            <w:noProof/>
            <w:lang w:val="sk-SK" w:eastAsia="en-US"/>
          </w:rPr>
          <w:t xml:space="preserve"> </w:t>
        </w:r>
        <w:r w:rsidR="00106B70" w:rsidRPr="00B83FCC">
          <w:rPr>
            <w:rStyle w:val="Hyperlink"/>
            <w:rFonts w:eastAsia="Calibri"/>
            <w:i/>
            <w:noProof/>
            <w:lang w:val="hy-AM" w:eastAsia="en-US"/>
          </w:rPr>
          <w:t>նվազում</w:t>
        </w:r>
        <w:r w:rsidR="00106B70" w:rsidRPr="00B83FCC">
          <w:rPr>
            <w:rStyle w:val="Hyperlink"/>
            <w:rFonts w:eastAsia="Calibri" w:cs="Sylfaen"/>
            <w:i/>
            <w:noProof/>
            <w:lang w:val="sk-SK" w:eastAsia="en-US"/>
          </w:rPr>
          <w:t xml:space="preserve">), </w:t>
        </w:r>
        <w:r w:rsidR="00106B70" w:rsidRPr="00B83FCC">
          <w:rPr>
            <w:rStyle w:val="Hyperlink"/>
            <w:rFonts w:eastAsia="Calibri" w:cs="Sylfaen"/>
            <w:i/>
            <w:noProof/>
            <w:lang w:val="hy-AM" w:eastAsia="en-US"/>
          </w:rPr>
          <w:t>մլրդ</w:t>
        </w:r>
        <w:r w:rsidR="00106B70" w:rsidRPr="00B83FCC">
          <w:rPr>
            <w:rStyle w:val="Hyperlink"/>
            <w:rFonts w:eastAsia="Calibri" w:cs="Sylfaen"/>
            <w:i/>
            <w:noProof/>
            <w:lang w:val="sk-SK" w:eastAsia="en-US"/>
          </w:rPr>
          <w:t xml:space="preserve"> </w:t>
        </w:r>
        <w:r w:rsidR="00106B70" w:rsidRPr="00B83FCC">
          <w:rPr>
            <w:rStyle w:val="Hyperlink"/>
            <w:rFonts w:eastAsia="Calibri" w:cs="Sylfaen"/>
            <w:i/>
            <w:noProof/>
            <w:lang w:val="hy-AM" w:eastAsia="en-US"/>
          </w:rPr>
          <w:t>ՀՀ</w:t>
        </w:r>
        <w:r w:rsidR="00106B70" w:rsidRPr="00B83FCC">
          <w:rPr>
            <w:rStyle w:val="Hyperlink"/>
            <w:rFonts w:eastAsia="Calibri" w:cs="Sylfaen"/>
            <w:i/>
            <w:noProof/>
            <w:lang w:val="sk-SK" w:eastAsia="en-US"/>
          </w:rPr>
          <w:t xml:space="preserve"> </w:t>
        </w:r>
        <w:r w:rsidR="00106B70" w:rsidRPr="00B83FCC">
          <w:rPr>
            <w:rStyle w:val="Hyperlink"/>
            <w:rFonts w:eastAsia="Calibri" w:cs="Sylfaen"/>
            <w:i/>
            <w:noProof/>
            <w:lang w:val="hy-AM" w:eastAsia="en-US"/>
          </w:rPr>
          <w:t>դրամ</w:t>
        </w:r>
        <w:r w:rsidR="00106B70">
          <w:rPr>
            <w:noProof/>
            <w:webHidden/>
          </w:rPr>
          <w:tab/>
        </w:r>
        <w:r w:rsidR="003C3925">
          <w:rPr>
            <w:noProof/>
            <w:webHidden/>
          </w:rPr>
          <w:fldChar w:fldCharType="begin"/>
        </w:r>
        <w:r w:rsidR="00106B70">
          <w:rPr>
            <w:noProof/>
            <w:webHidden/>
          </w:rPr>
          <w:instrText xml:space="preserve"> PAGEREF _Toc57631772 \h </w:instrText>
        </w:r>
        <w:r w:rsidR="003C3925">
          <w:rPr>
            <w:noProof/>
            <w:webHidden/>
          </w:rPr>
        </w:r>
        <w:r w:rsidR="003C3925">
          <w:rPr>
            <w:noProof/>
            <w:webHidden/>
          </w:rPr>
          <w:fldChar w:fldCharType="separate"/>
        </w:r>
        <w:r w:rsidR="00106B70">
          <w:rPr>
            <w:noProof/>
            <w:webHidden/>
          </w:rPr>
          <w:t>244</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73" w:history="1">
        <w:r w:rsidR="00106B70" w:rsidRPr="00B83FCC">
          <w:rPr>
            <w:rStyle w:val="Hyperlink"/>
            <w:noProof/>
            <w:lang w:val="hy-AM"/>
          </w:rPr>
          <w:t>Աղյուսակ 22</w:t>
        </w:r>
        <w:r w:rsidR="00106B70" w:rsidRPr="00B83FCC">
          <w:rPr>
            <w:rStyle w:val="Hyperlink"/>
            <w:rFonts w:ascii="Cambria Math" w:hAnsi="Cambria Math"/>
            <w:noProof/>
            <w:lang w:val="hy-AM"/>
          </w:rPr>
          <w:t xml:space="preserve">․ </w:t>
        </w:r>
        <w:r w:rsidR="00106B70" w:rsidRPr="00B83FCC">
          <w:rPr>
            <w:rStyle w:val="Hyperlink"/>
            <w:rFonts w:cs="Sylfaen"/>
            <w:i/>
            <w:noProof/>
            <w:lang w:val="hy-AM" w:eastAsia="en-US"/>
          </w:rPr>
          <w:t>ՀՀ ՖՆ և այլ կառույցների կողմից ՀՀ տնտեսական աճի կանխատեսումները (%)</w:t>
        </w:r>
        <w:r w:rsidR="00106B70">
          <w:rPr>
            <w:noProof/>
            <w:webHidden/>
          </w:rPr>
          <w:tab/>
        </w:r>
        <w:r w:rsidR="003C3925">
          <w:rPr>
            <w:noProof/>
            <w:webHidden/>
          </w:rPr>
          <w:fldChar w:fldCharType="begin"/>
        </w:r>
        <w:r w:rsidR="00106B70">
          <w:rPr>
            <w:noProof/>
            <w:webHidden/>
          </w:rPr>
          <w:instrText xml:space="preserve"> PAGEREF _Toc57631773 \h </w:instrText>
        </w:r>
        <w:r w:rsidR="003C3925">
          <w:rPr>
            <w:noProof/>
            <w:webHidden/>
          </w:rPr>
        </w:r>
        <w:r w:rsidR="003C3925">
          <w:rPr>
            <w:noProof/>
            <w:webHidden/>
          </w:rPr>
          <w:fldChar w:fldCharType="separate"/>
        </w:r>
        <w:r w:rsidR="00106B70">
          <w:rPr>
            <w:noProof/>
            <w:webHidden/>
          </w:rPr>
          <w:t>245</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74" w:history="1">
        <w:r w:rsidR="00106B70" w:rsidRPr="00B83FCC">
          <w:rPr>
            <w:rStyle w:val="Hyperlink"/>
            <w:noProof/>
            <w:lang w:val="hy-AM"/>
          </w:rPr>
          <w:t>Աղյուսակ 23</w:t>
        </w:r>
        <w:r w:rsidR="00106B70" w:rsidRPr="00B83FCC">
          <w:rPr>
            <w:rStyle w:val="Hyperlink"/>
            <w:rFonts w:ascii="Cambria Math" w:hAnsi="Cambria Math"/>
            <w:noProof/>
            <w:lang w:val="hy-AM"/>
          </w:rPr>
          <w:t>․</w:t>
        </w:r>
        <w:r w:rsidR="00106B70" w:rsidRPr="00B83FCC">
          <w:rPr>
            <w:rStyle w:val="Hyperlink"/>
            <w:noProof/>
            <w:lang w:val="hy-AM"/>
          </w:rPr>
          <w:t xml:space="preserve"> </w:t>
        </w:r>
        <w:r w:rsidR="00106B70" w:rsidRPr="00B83FCC">
          <w:rPr>
            <w:rStyle w:val="Hyperlink"/>
            <w:i/>
            <w:noProof/>
            <w:lang w:val="hy-AM"/>
          </w:rPr>
          <w:t>Էներգետիկայի ոլորտի պետական մասնակցությամբ ընկերությունների հանրագումարային շահույթը (վնասը) ըստ տարիների</w:t>
        </w:r>
        <w:r w:rsidR="00106B70">
          <w:rPr>
            <w:noProof/>
            <w:webHidden/>
          </w:rPr>
          <w:tab/>
        </w:r>
        <w:r w:rsidR="003C3925">
          <w:rPr>
            <w:noProof/>
            <w:webHidden/>
          </w:rPr>
          <w:fldChar w:fldCharType="begin"/>
        </w:r>
        <w:r w:rsidR="00106B70">
          <w:rPr>
            <w:noProof/>
            <w:webHidden/>
          </w:rPr>
          <w:instrText xml:space="preserve"> PAGEREF _Toc57631774 \h </w:instrText>
        </w:r>
        <w:r w:rsidR="003C3925">
          <w:rPr>
            <w:noProof/>
            <w:webHidden/>
          </w:rPr>
        </w:r>
        <w:r w:rsidR="003C3925">
          <w:rPr>
            <w:noProof/>
            <w:webHidden/>
          </w:rPr>
          <w:fldChar w:fldCharType="separate"/>
        </w:r>
        <w:r w:rsidR="00106B70">
          <w:rPr>
            <w:noProof/>
            <w:webHidden/>
          </w:rPr>
          <w:t>248</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75" w:history="1">
        <w:r w:rsidR="00106B70" w:rsidRPr="00B83FCC">
          <w:rPr>
            <w:rStyle w:val="Hyperlink"/>
            <w:noProof/>
            <w:lang w:val="hy-AM"/>
          </w:rPr>
          <w:t>Աղյուսակ 24</w:t>
        </w:r>
        <w:r w:rsidR="00106B70" w:rsidRPr="00B83FCC">
          <w:rPr>
            <w:rStyle w:val="Hyperlink"/>
            <w:rFonts w:ascii="Cambria Math" w:hAnsi="Cambria Math"/>
            <w:noProof/>
            <w:lang w:val="hy-AM"/>
          </w:rPr>
          <w:t xml:space="preserve">․ </w:t>
        </w:r>
        <w:r w:rsidR="00106B70" w:rsidRPr="00B83FCC">
          <w:rPr>
            <w:rStyle w:val="Hyperlink"/>
            <w:i/>
            <w:noProof/>
            <w:lang w:val="hy-AM"/>
          </w:rPr>
          <w:t>Էներգետիկայի ոլորտի պետական մասնակցությամբ ընկերությունների հանրագումարային հաշվապահական հաշվեկշիռը 2018թ. դեկտեմբերի 31-ի, 2019թ. դեկտեմբերի 31-ի և 2020թ. հունիսի 30-ի դրությամբ</w:t>
        </w:r>
        <w:r w:rsidR="00106B70">
          <w:rPr>
            <w:noProof/>
            <w:webHidden/>
          </w:rPr>
          <w:tab/>
        </w:r>
        <w:r w:rsidR="003C3925">
          <w:rPr>
            <w:noProof/>
            <w:webHidden/>
          </w:rPr>
          <w:fldChar w:fldCharType="begin"/>
        </w:r>
        <w:r w:rsidR="00106B70">
          <w:rPr>
            <w:noProof/>
            <w:webHidden/>
          </w:rPr>
          <w:instrText xml:space="preserve"> PAGEREF _Toc57631775 \h </w:instrText>
        </w:r>
        <w:r w:rsidR="003C3925">
          <w:rPr>
            <w:noProof/>
            <w:webHidden/>
          </w:rPr>
        </w:r>
        <w:r w:rsidR="003C3925">
          <w:rPr>
            <w:noProof/>
            <w:webHidden/>
          </w:rPr>
          <w:fldChar w:fldCharType="separate"/>
        </w:r>
        <w:r w:rsidR="00106B70">
          <w:rPr>
            <w:noProof/>
            <w:webHidden/>
          </w:rPr>
          <w:t>249</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76" w:history="1">
        <w:r w:rsidR="00106B70" w:rsidRPr="00B83FCC">
          <w:rPr>
            <w:rStyle w:val="Hyperlink"/>
            <w:noProof/>
            <w:lang w:val="hy-AM"/>
          </w:rPr>
          <w:t>Աղյուսակ 25</w:t>
        </w:r>
        <w:r w:rsidR="00106B70" w:rsidRPr="00B83FCC">
          <w:rPr>
            <w:rStyle w:val="Hyperlink"/>
            <w:rFonts w:ascii="Cambria Math" w:hAnsi="Cambria Math"/>
            <w:noProof/>
            <w:lang w:val="hy-AM"/>
          </w:rPr>
          <w:t xml:space="preserve">․ </w:t>
        </w:r>
        <w:r w:rsidR="00106B70" w:rsidRPr="00B83FCC">
          <w:rPr>
            <w:rStyle w:val="Hyperlink"/>
            <w:i/>
            <w:noProof/>
            <w:lang w:val="hy-AM"/>
          </w:rPr>
          <w:t>Էներգետիկայի ոլորտի պետական ընկերությունների հանրագումարային ֆինանսական ցուցանիշները</w:t>
        </w:r>
        <w:r w:rsidR="00106B70">
          <w:rPr>
            <w:noProof/>
            <w:webHidden/>
          </w:rPr>
          <w:tab/>
        </w:r>
        <w:r w:rsidR="003C3925">
          <w:rPr>
            <w:noProof/>
            <w:webHidden/>
          </w:rPr>
          <w:fldChar w:fldCharType="begin"/>
        </w:r>
        <w:r w:rsidR="00106B70">
          <w:rPr>
            <w:noProof/>
            <w:webHidden/>
          </w:rPr>
          <w:instrText xml:space="preserve"> PAGEREF _Toc57631776 \h </w:instrText>
        </w:r>
        <w:r w:rsidR="003C3925">
          <w:rPr>
            <w:noProof/>
            <w:webHidden/>
          </w:rPr>
        </w:r>
        <w:r w:rsidR="003C3925">
          <w:rPr>
            <w:noProof/>
            <w:webHidden/>
          </w:rPr>
          <w:fldChar w:fldCharType="separate"/>
        </w:r>
        <w:r w:rsidR="00106B70">
          <w:rPr>
            <w:noProof/>
            <w:webHidden/>
          </w:rPr>
          <w:t>250</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77" w:history="1">
        <w:r w:rsidR="00106B70" w:rsidRPr="00B83FCC">
          <w:rPr>
            <w:rStyle w:val="Hyperlink"/>
            <w:noProof/>
            <w:lang w:val="hy-AM"/>
          </w:rPr>
          <w:t>Աղյուսակ 26</w:t>
        </w:r>
        <w:r w:rsidR="00106B70" w:rsidRPr="00B83FCC">
          <w:rPr>
            <w:rStyle w:val="Hyperlink"/>
            <w:rFonts w:ascii="Cambria Math" w:hAnsi="Cambria Math"/>
            <w:noProof/>
            <w:lang w:val="hy-AM"/>
          </w:rPr>
          <w:t xml:space="preserve">․ </w:t>
        </w:r>
        <w:r w:rsidR="00106B70" w:rsidRPr="00B83FCC">
          <w:rPr>
            <w:rStyle w:val="Hyperlink"/>
            <w:i/>
            <w:noProof/>
            <w:lang w:val="hy-AM"/>
          </w:rPr>
          <w:t>Էներգետիկայի ոլորտի մասնավոր ընկերությունների հանրագումարային զուտ շահույթն ըստ տարիների</w:t>
        </w:r>
        <w:r w:rsidR="00106B70">
          <w:rPr>
            <w:noProof/>
            <w:webHidden/>
          </w:rPr>
          <w:tab/>
        </w:r>
        <w:r w:rsidR="003C3925">
          <w:rPr>
            <w:noProof/>
            <w:webHidden/>
          </w:rPr>
          <w:fldChar w:fldCharType="begin"/>
        </w:r>
        <w:r w:rsidR="00106B70">
          <w:rPr>
            <w:noProof/>
            <w:webHidden/>
          </w:rPr>
          <w:instrText xml:space="preserve"> PAGEREF _Toc57631777 \h </w:instrText>
        </w:r>
        <w:r w:rsidR="003C3925">
          <w:rPr>
            <w:noProof/>
            <w:webHidden/>
          </w:rPr>
        </w:r>
        <w:r w:rsidR="003C3925">
          <w:rPr>
            <w:noProof/>
            <w:webHidden/>
          </w:rPr>
          <w:fldChar w:fldCharType="separate"/>
        </w:r>
        <w:r w:rsidR="00106B70">
          <w:rPr>
            <w:noProof/>
            <w:webHidden/>
          </w:rPr>
          <w:t>252</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78" w:history="1">
        <w:r w:rsidR="00106B70" w:rsidRPr="00B83FCC">
          <w:rPr>
            <w:rStyle w:val="Hyperlink"/>
            <w:noProof/>
          </w:rPr>
          <w:t>Աղյուսակ 27</w:t>
        </w:r>
        <w:r w:rsidR="00106B70" w:rsidRPr="00B83FCC">
          <w:rPr>
            <w:rStyle w:val="Hyperlink"/>
            <w:rFonts w:ascii="Cambria Math" w:hAnsi="Cambria Math"/>
            <w:noProof/>
            <w:lang w:val="hy-AM"/>
          </w:rPr>
          <w:t xml:space="preserve">․ </w:t>
        </w:r>
        <w:r w:rsidR="00106B70" w:rsidRPr="00B83FCC">
          <w:rPr>
            <w:rStyle w:val="Hyperlink"/>
            <w:i/>
            <w:noProof/>
          </w:rPr>
          <w:t>Էներգետիկայի ոլորտի մասնավոր ընկերությունների հանրագումարային ֆինանսական ցուցանիշները</w:t>
        </w:r>
        <w:r w:rsidR="00106B70">
          <w:rPr>
            <w:noProof/>
            <w:webHidden/>
          </w:rPr>
          <w:tab/>
        </w:r>
        <w:r w:rsidR="003C3925">
          <w:rPr>
            <w:noProof/>
            <w:webHidden/>
          </w:rPr>
          <w:fldChar w:fldCharType="begin"/>
        </w:r>
        <w:r w:rsidR="00106B70">
          <w:rPr>
            <w:noProof/>
            <w:webHidden/>
          </w:rPr>
          <w:instrText xml:space="preserve"> PAGEREF _Toc57631778 \h </w:instrText>
        </w:r>
        <w:r w:rsidR="003C3925">
          <w:rPr>
            <w:noProof/>
            <w:webHidden/>
          </w:rPr>
        </w:r>
        <w:r w:rsidR="003C3925">
          <w:rPr>
            <w:noProof/>
            <w:webHidden/>
          </w:rPr>
          <w:fldChar w:fldCharType="separate"/>
        </w:r>
        <w:r w:rsidR="00106B70">
          <w:rPr>
            <w:noProof/>
            <w:webHidden/>
          </w:rPr>
          <w:t>252</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79" w:history="1">
        <w:r w:rsidR="00106B70" w:rsidRPr="00B83FCC">
          <w:rPr>
            <w:rStyle w:val="Hyperlink"/>
            <w:noProof/>
            <w:lang w:val="hy-AM"/>
          </w:rPr>
          <w:t>Աղյուսակ 28</w:t>
        </w:r>
        <w:r w:rsidR="00106B70" w:rsidRPr="00B83FCC">
          <w:rPr>
            <w:rStyle w:val="Hyperlink"/>
            <w:rFonts w:ascii="Cambria Math" w:hAnsi="Cambria Math"/>
            <w:noProof/>
            <w:lang w:val="hy-AM"/>
          </w:rPr>
          <w:t xml:space="preserve">․ </w:t>
        </w:r>
        <w:r w:rsidR="00106B70" w:rsidRPr="00B83FCC">
          <w:rPr>
            <w:rStyle w:val="Hyperlink"/>
            <w:i/>
            <w:noProof/>
            <w:lang w:val="hy-AM"/>
          </w:rPr>
          <w:t>Տրանսպորտի ոլորտի պետական մասնակցությամբ ընկերությունների հանրագումարային շահույթը (վնասը) ըստ տարիների</w:t>
        </w:r>
        <w:r w:rsidR="00106B70">
          <w:rPr>
            <w:noProof/>
            <w:webHidden/>
          </w:rPr>
          <w:tab/>
        </w:r>
        <w:r w:rsidR="003C3925">
          <w:rPr>
            <w:noProof/>
            <w:webHidden/>
          </w:rPr>
          <w:fldChar w:fldCharType="begin"/>
        </w:r>
        <w:r w:rsidR="00106B70">
          <w:rPr>
            <w:noProof/>
            <w:webHidden/>
          </w:rPr>
          <w:instrText xml:space="preserve"> PAGEREF _Toc57631779 \h </w:instrText>
        </w:r>
        <w:r w:rsidR="003C3925">
          <w:rPr>
            <w:noProof/>
            <w:webHidden/>
          </w:rPr>
        </w:r>
        <w:r w:rsidR="003C3925">
          <w:rPr>
            <w:noProof/>
            <w:webHidden/>
          </w:rPr>
          <w:fldChar w:fldCharType="separate"/>
        </w:r>
        <w:r w:rsidR="00106B70">
          <w:rPr>
            <w:noProof/>
            <w:webHidden/>
          </w:rPr>
          <w:t>254</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80" w:history="1">
        <w:r w:rsidR="00106B70" w:rsidRPr="00B83FCC">
          <w:rPr>
            <w:rStyle w:val="Hyperlink"/>
            <w:noProof/>
            <w:lang w:val="hy-AM"/>
          </w:rPr>
          <w:t>Աղյուսակ 29</w:t>
        </w:r>
        <w:r w:rsidR="00106B70" w:rsidRPr="00B83FCC">
          <w:rPr>
            <w:rStyle w:val="Hyperlink"/>
            <w:rFonts w:ascii="Cambria Math" w:hAnsi="Cambria Math"/>
            <w:noProof/>
            <w:lang w:val="hy-AM"/>
          </w:rPr>
          <w:t xml:space="preserve">․ </w:t>
        </w:r>
        <w:r w:rsidR="00106B70" w:rsidRPr="00B83FCC">
          <w:rPr>
            <w:rStyle w:val="Hyperlink"/>
            <w:i/>
            <w:noProof/>
            <w:lang w:val="hy-AM"/>
          </w:rPr>
          <w:t>Տրանսպորտային ոլորտի պետական մասնակցությամբ ընկերությունների հանրագումարային հաշվապահական հաշվեկշիռը 2018թ. դեկտեմբերի 31-ի, 2019թ. դեկտեմբերի 31-ի և 2020թ. հունիսի 30-ի դրությամբ</w:t>
        </w:r>
        <w:r w:rsidR="00106B70">
          <w:rPr>
            <w:noProof/>
            <w:webHidden/>
          </w:rPr>
          <w:tab/>
        </w:r>
        <w:r w:rsidR="003C3925">
          <w:rPr>
            <w:noProof/>
            <w:webHidden/>
          </w:rPr>
          <w:fldChar w:fldCharType="begin"/>
        </w:r>
        <w:r w:rsidR="00106B70">
          <w:rPr>
            <w:noProof/>
            <w:webHidden/>
          </w:rPr>
          <w:instrText xml:space="preserve"> PAGEREF _Toc57631780 \h </w:instrText>
        </w:r>
        <w:r w:rsidR="003C3925">
          <w:rPr>
            <w:noProof/>
            <w:webHidden/>
          </w:rPr>
        </w:r>
        <w:r w:rsidR="003C3925">
          <w:rPr>
            <w:noProof/>
            <w:webHidden/>
          </w:rPr>
          <w:fldChar w:fldCharType="separate"/>
        </w:r>
        <w:r w:rsidR="00106B70">
          <w:rPr>
            <w:noProof/>
            <w:webHidden/>
          </w:rPr>
          <w:t>255</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81" w:history="1">
        <w:r w:rsidR="00106B70" w:rsidRPr="00B83FCC">
          <w:rPr>
            <w:rStyle w:val="Hyperlink"/>
            <w:noProof/>
          </w:rPr>
          <w:t>Աղյուսակ 30</w:t>
        </w:r>
        <w:r w:rsidR="00106B70" w:rsidRPr="00B83FCC">
          <w:rPr>
            <w:rStyle w:val="Hyperlink"/>
            <w:rFonts w:ascii="Cambria Math" w:hAnsi="Cambria Math"/>
            <w:noProof/>
            <w:lang w:val="hy-AM"/>
          </w:rPr>
          <w:t xml:space="preserve">․ </w:t>
        </w:r>
        <w:r w:rsidR="00106B70" w:rsidRPr="00B83FCC">
          <w:rPr>
            <w:rStyle w:val="Hyperlink"/>
            <w:i/>
            <w:noProof/>
            <w:lang w:val="en-US"/>
          </w:rPr>
          <w:t>Տրանսպորտ</w:t>
        </w:r>
        <w:r w:rsidR="00106B70" w:rsidRPr="00B83FCC">
          <w:rPr>
            <w:rStyle w:val="Hyperlink"/>
            <w:i/>
            <w:noProof/>
            <w:lang w:val="hy-AM"/>
          </w:rPr>
          <w:t>այի</w:t>
        </w:r>
        <w:r w:rsidR="00106B70" w:rsidRPr="00B83FCC">
          <w:rPr>
            <w:rStyle w:val="Hyperlink"/>
            <w:i/>
            <w:noProof/>
            <w:lang w:val="en-US"/>
          </w:rPr>
          <w:t>ն</w:t>
        </w:r>
        <w:r w:rsidR="00106B70" w:rsidRPr="00B83FCC">
          <w:rPr>
            <w:rStyle w:val="Hyperlink"/>
            <w:i/>
            <w:noProof/>
            <w:lang w:val="hy-AM"/>
          </w:rPr>
          <w:t xml:space="preserve"> ոլորտի պետական ընկերությունների հանրագումարային ֆինանսական ցուցանիշները</w:t>
        </w:r>
        <w:r w:rsidR="00106B70">
          <w:rPr>
            <w:noProof/>
            <w:webHidden/>
          </w:rPr>
          <w:tab/>
        </w:r>
        <w:r w:rsidR="003C3925">
          <w:rPr>
            <w:noProof/>
            <w:webHidden/>
          </w:rPr>
          <w:fldChar w:fldCharType="begin"/>
        </w:r>
        <w:r w:rsidR="00106B70">
          <w:rPr>
            <w:noProof/>
            <w:webHidden/>
          </w:rPr>
          <w:instrText xml:space="preserve"> PAGEREF _Toc57631781 \h </w:instrText>
        </w:r>
        <w:r w:rsidR="003C3925">
          <w:rPr>
            <w:noProof/>
            <w:webHidden/>
          </w:rPr>
        </w:r>
        <w:r w:rsidR="003C3925">
          <w:rPr>
            <w:noProof/>
            <w:webHidden/>
          </w:rPr>
          <w:fldChar w:fldCharType="separate"/>
        </w:r>
        <w:r w:rsidR="00106B70">
          <w:rPr>
            <w:noProof/>
            <w:webHidden/>
          </w:rPr>
          <w:t>255</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82" w:history="1">
        <w:r w:rsidR="00106B70" w:rsidRPr="00B83FCC">
          <w:rPr>
            <w:rStyle w:val="Hyperlink"/>
            <w:noProof/>
            <w:lang w:val="hy-AM"/>
          </w:rPr>
          <w:t>Աղյուսակ 31</w:t>
        </w:r>
        <w:r w:rsidR="00106B70" w:rsidRPr="00B83FCC">
          <w:rPr>
            <w:rStyle w:val="Hyperlink"/>
            <w:rFonts w:ascii="Cambria Math" w:hAnsi="Cambria Math"/>
            <w:noProof/>
            <w:lang w:val="hy-AM"/>
          </w:rPr>
          <w:t>․</w:t>
        </w:r>
        <w:r w:rsidR="00106B70" w:rsidRPr="00B83FCC">
          <w:rPr>
            <w:rStyle w:val="Hyperlink"/>
            <w:noProof/>
            <w:lang w:val="hy-AM"/>
          </w:rPr>
          <w:t xml:space="preserve"> </w:t>
        </w:r>
        <w:r w:rsidR="00106B70" w:rsidRPr="00B83FCC">
          <w:rPr>
            <w:rStyle w:val="Hyperlink"/>
            <w:i/>
            <w:noProof/>
            <w:lang w:val="hy-AM"/>
          </w:rPr>
          <w:t>Ոռոգման ոլորտի պետական մասնակցությամբ ընկերությունների հանրագումարային զուտ շահույթը (վնասը) ըստ տարիների</w:t>
        </w:r>
        <w:r w:rsidR="00106B70">
          <w:rPr>
            <w:noProof/>
            <w:webHidden/>
          </w:rPr>
          <w:tab/>
        </w:r>
        <w:r w:rsidR="003C3925">
          <w:rPr>
            <w:noProof/>
            <w:webHidden/>
          </w:rPr>
          <w:fldChar w:fldCharType="begin"/>
        </w:r>
        <w:r w:rsidR="00106B70">
          <w:rPr>
            <w:noProof/>
            <w:webHidden/>
          </w:rPr>
          <w:instrText xml:space="preserve"> PAGEREF _Toc57631782 \h </w:instrText>
        </w:r>
        <w:r w:rsidR="003C3925">
          <w:rPr>
            <w:noProof/>
            <w:webHidden/>
          </w:rPr>
        </w:r>
        <w:r w:rsidR="003C3925">
          <w:rPr>
            <w:noProof/>
            <w:webHidden/>
          </w:rPr>
          <w:fldChar w:fldCharType="separate"/>
        </w:r>
        <w:r w:rsidR="00106B70">
          <w:rPr>
            <w:noProof/>
            <w:webHidden/>
          </w:rPr>
          <w:t>257</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83" w:history="1">
        <w:r w:rsidR="00106B70" w:rsidRPr="00B83FCC">
          <w:rPr>
            <w:rStyle w:val="Hyperlink"/>
            <w:noProof/>
            <w:lang w:val="hy-AM"/>
          </w:rPr>
          <w:t>Աղյուսակ 32</w:t>
        </w:r>
        <w:r w:rsidR="00106B70" w:rsidRPr="00B83FCC">
          <w:rPr>
            <w:rStyle w:val="Hyperlink"/>
            <w:rFonts w:ascii="Cambria Math" w:hAnsi="Cambria Math"/>
            <w:noProof/>
            <w:lang w:val="hy-AM"/>
          </w:rPr>
          <w:t xml:space="preserve">․ </w:t>
        </w:r>
        <w:r w:rsidR="00106B70" w:rsidRPr="00B83FCC">
          <w:rPr>
            <w:rStyle w:val="Hyperlink"/>
            <w:i/>
            <w:noProof/>
            <w:lang w:val="hy-AM"/>
          </w:rPr>
          <w:t>Ոռոգման ոլորտի պետական մասնակցությամբ ընկերությունների ֆինանսական ցուցանիշները</w:t>
        </w:r>
        <w:r w:rsidR="00106B70">
          <w:rPr>
            <w:noProof/>
            <w:webHidden/>
          </w:rPr>
          <w:tab/>
        </w:r>
        <w:r w:rsidR="003C3925">
          <w:rPr>
            <w:noProof/>
            <w:webHidden/>
          </w:rPr>
          <w:fldChar w:fldCharType="begin"/>
        </w:r>
        <w:r w:rsidR="00106B70">
          <w:rPr>
            <w:noProof/>
            <w:webHidden/>
          </w:rPr>
          <w:instrText xml:space="preserve"> PAGEREF _Toc57631783 \h </w:instrText>
        </w:r>
        <w:r w:rsidR="003C3925">
          <w:rPr>
            <w:noProof/>
            <w:webHidden/>
          </w:rPr>
        </w:r>
        <w:r w:rsidR="003C3925">
          <w:rPr>
            <w:noProof/>
            <w:webHidden/>
          </w:rPr>
          <w:fldChar w:fldCharType="separate"/>
        </w:r>
        <w:r w:rsidR="00106B70">
          <w:rPr>
            <w:noProof/>
            <w:webHidden/>
          </w:rPr>
          <w:t>258</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84" w:history="1">
        <w:r w:rsidR="00106B70" w:rsidRPr="00B83FCC">
          <w:rPr>
            <w:rStyle w:val="Hyperlink"/>
            <w:noProof/>
            <w:lang w:val="hy-AM"/>
          </w:rPr>
          <w:t>Աղյուսակ 33</w:t>
        </w:r>
        <w:r w:rsidR="00106B70" w:rsidRPr="00B83FCC">
          <w:rPr>
            <w:rStyle w:val="Hyperlink"/>
            <w:rFonts w:ascii="Cambria Math" w:hAnsi="Cambria Math"/>
            <w:noProof/>
            <w:lang w:val="hy-AM"/>
          </w:rPr>
          <w:t xml:space="preserve">․ </w:t>
        </w:r>
        <w:r w:rsidR="00106B70" w:rsidRPr="00B83FCC">
          <w:rPr>
            <w:rStyle w:val="Hyperlink"/>
            <w:i/>
            <w:noProof/>
            <w:lang w:val="hy-AM"/>
          </w:rPr>
          <w:t>Հարավկովկասյան երկաթուղի</w:t>
        </w:r>
        <w:r w:rsidR="00106B70" w:rsidRPr="00B83FCC">
          <w:rPr>
            <w:rStyle w:val="Hyperlink"/>
            <w:noProof/>
            <w:lang w:val="hy-AM"/>
          </w:rPr>
          <w:t xml:space="preserve">  ՓԲԸ-ի </w:t>
        </w:r>
        <w:r w:rsidR="00106B70" w:rsidRPr="00B83FCC">
          <w:rPr>
            <w:rStyle w:val="Hyperlink"/>
            <w:i/>
            <w:noProof/>
            <w:lang w:val="hy-AM"/>
          </w:rPr>
          <w:t>ֆինանսական ցուցանիշները</w:t>
        </w:r>
        <w:r w:rsidR="00106B70">
          <w:rPr>
            <w:noProof/>
            <w:webHidden/>
          </w:rPr>
          <w:tab/>
        </w:r>
        <w:r w:rsidR="003C3925">
          <w:rPr>
            <w:noProof/>
            <w:webHidden/>
          </w:rPr>
          <w:fldChar w:fldCharType="begin"/>
        </w:r>
        <w:r w:rsidR="00106B70">
          <w:rPr>
            <w:noProof/>
            <w:webHidden/>
          </w:rPr>
          <w:instrText xml:space="preserve"> PAGEREF _Toc57631784 \h </w:instrText>
        </w:r>
        <w:r w:rsidR="003C3925">
          <w:rPr>
            <w:noProof/>
            <w:webHidden/>
          </w:rPr>
        </w:r>
        <w:r w:rsidR="003C3925">
          <w:rPr>
            <w:noProof/>
            <w:webHidden/>
          </w:rPr>
          <w:fldChar w:fldCharType="separate"/>
        </w:r>
        <w:r w:rsidR="00106B70">
          <w:rPr>
            <w:noProof/>
            <w:webHidden/>
          </w:rPr>
          <w:t>259</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85" w:history="1">
        <w:r w:rsidR="00106B70" w:rsidRPr="00B83FCC">
          <w:rPr>
            <w:rStyle w:val="Hyperlink"/>
            <w:noProof/>
            <w:lang w:val="hy-AM"/>
          </w:rPr>
          <w:t>Աղյուսակ 34</w:t>
        </w:r>
        <w:r w:rsidR="00106B70" w:rsidRPr="00B83FCC">
          <w:rPr>
            <w:rStyle w:val="Hyperlink"/>
            <w:rFonts w:ascii="Cambria Math" w:hAnsi="Cambria Math"/>
            <w:noProof/>
            <w:lang w:val="hy-AM"/>
          </w:rPr>
          <w:t>․</w:t>
        </w:r>
        <w:r w:rsidR="00106B70" w:rsidRPr="00B83FCC">
          <w:rPr>
            <w:rStyle w:val="Hyperlink"/>
            <w:noProof/>
            <w:lang w:val="hy-AM"/>
          </w:rPr>
          <w:t xml:space="preserve"> </w:t>
        </w:r>
        <w:r w:rsidR="00106B70" w:rsidRPr="00B83FCC">
          <w:rPr>
            <w:rStyle w:val="Hyperlink"/>
            <w:i/>
            <w:noProof/>
            <w:lang w:val="hy-AM"/>
          </w:rPr>
          <w:t>«Վեոլիա Ջուր» ՓԲԸ-ի ֆինանսական ցուցանիշները</w:t>
        </w:r>
        <w:r w:rsidR="00106B70">
          <w:rPr>
            <w:noProof/>
            <w:webHidden/>
          </w:rPr>
          <w:tab/>
        </w:r>
        <w:r w:rsidR="003C3925">
          <w:rPr>
            <w:noProof/>
            <w:webHidden/>
          </w:rPr>
          <w:fldChar w:fldCharType="begin"/>
        </w:r>
        <w:r w:rsidR="00106B70">
          <w:rPr>
            <w:noProof/>
            <w:webHidden/>
          </w:rPr>
          <w:instrText xml:space="preserve"> PAGEREF _Toc57631785 \h </w:instrText>
        </w:r>
        <w:r w:rsidR="003C3925">
          <w:rPr>
            <w:noProof/>
            <w:webHidden/>
          </w:rPr>
        </w:r>
        <w:r w:rsidR="003C3925">
          <w:rPr>
            <w:noProof/>
            <w:webHidden/>
          </w:rPr>
          <w:fldChar w:fldCharType="separate"/>
        </w:r>
        <w:r w:rsidR="00106B70">
          <w:rPr>
            <w:noProof/>
            <w:webHidden/>
          </w:rPr>
          <w:t>261</w:t>
        </w:r>
        <w:r w:rsidR="003C3925">
          <w:rPr>
            <w:noProof/>
            <w:webHidden/>
          </w:rPr>
          <w:fldChar w:fldCharType="end"/>
        </w:r>
      </w:hyperlink>
    </w:p>
    <w:p w:rsidR="008B76F4" w:rsidRDefault="003C3925" w:rsidP="00E513E7">
      <w:pPr>
        <w:spacing w:before="0" w:line="276" w:lineRule="auto"/>
        <w:ind w:firstLine="720"/>
        <w:contextualSpacing w:val="0"/>
        <w:rPr>
          <w:rFonts w:eastAsia="Calibri" w:cs="Times Armenian"/>
          <w:b w:val="0"/>
          <w:szCs w:val="22"/>
          <w:lang w:val="hy-AM" w:eastAsia="en-US"/>
        </w:rPr>
      </w:pPr>
      <w:r>
        <w:rPr>
          <w:rFonts w:eastAsia="Calibri" w:cs="Times Armenian"/>
          <w:b w:val="0"/>
          <w:szCs w:val="22"/>
          <w:lang w:val="hy-AM" w:eastAsia="en-US"/>
        </w:rPr>
        <w:fldChar w:fldCharType="end"/>
      </w:r>
    </w:p>
    <w:p w:rsidR="008B76F4" w:rsidRDefault="008B76F4" w:rsidP="00E513E7">
      <w:pPr>
        <w:spacing w:before="0" w:line="276" w:lineRule="auto"/>
        <w:ind w:firstLine="720"/>
        <w:contextualSpacing w:val="0"/>
        <w:rPr>
          <w:rFonts w:eastAsia="Calibri" w:cs="Times Armenian"/>
          <w:b w:val="0"/>
          <w:szCs w:val="22"/>
          <w:lang w:val="hy-AM" w:eastAsia="en-US"/>
        </w:rPr>
      </w:pPr>
    </w:p>
    <w:p w:rsidR="008B76F4" w:rsidRDefault="008B76F4" w:rsidP="00E513E7">
      <w:pPr>
        <w:spacing w:before="0" w:line="276" w:lineRule="auto"/>
        <w:ind w:firstLine="720"/>
        <w:contextualSpacing w:val="0"/>
        <w:rPr>
          <w:rFonts w:eastAsia="Calibri" w:cs="Times Armenian"/>
          <w:b w:val="0"/>
          <w:szCs w:val="22"/>
          <w:lang w:val="hy-AM" w:eastAsia="en-US"/>
        </w:rPr>
      </w:pPr>
    </w:p>
    <w:p w:rsidR="008B76F4" w:rsidRDefault="008B76F4" w:rsidP="00E513E7">
      <w:pPr>
        <w:spacing w:before="0" w:line="276" w:lineRule="auto"/>
        <w:ind w:firstLine="720"/>
        <w:contextualSpacing w:val="0"/>
        <w:rPr>
          <w:rFonts w:eastAsia="Calibri" w:cs="Times Armenian"/>
          <w:b w:val="0"/>
          <w:szCs w:val="22"/>
          <w:lang w:val="hy-AM" w:eastAsia="en-US"/>
        </w:rPr>
      </w:pPr>
    </w:p>
    <w:p w:rsidR="008B76F4" w:rsidRDefault="008B76F4" w:rsidP="00E513E7">
      <w:pPr>
        <w:spacing w:before="0" w:line="276" w:lineRule="auto"/>
        <w:ind w:firstLine="720"/>
        <w:contextualSpacing w:val="0"/>
        <w:rPr>
          <w:rFonts w:eastAsia="Calibri" w:cs="Times Armenian"/>
          <w:b w:val="0"/>
          <w:szCs w:val="22"/>
          <w:lang w:val="hy-AM" w:eastAsia="en-US"/>
        </w:rPr>
      </w:pPr>
    </w:p>
    <w:p w:rsidR="008B76F4" w:rsidRDefault="008B76F4" w:rsidP="00E513E7">
      <w:pPr>
        <w:spacing w:before="0" w:line="276" w:lineRule="auto"/>
        <w:ind w:firstLine="720"/>
        <w:contextualSpacing w:val="0"/>
        <w:rPr>
          <w:rFonts w:eastAsia="Calibri" w:cs="Times Armenian"/>
          <w:b w:val="0"/>
          <w:szCs w:val="22"/>
          <w:lang w:val="hy-AM" w:eastAsia="en-US"/>
        </w:rPr>
      </w:pPr>
    </w:p>
    <w:p w:rsidR="008B76F4" w:rsidRDefault="008B76F4" w:rsidP="00E513E7">
      <w:pPr>
        <w:spacing w:before="0" w:line="276" w:lineRule="auto"/>
        <w:ind w:firstLine="720"/>
        <w:contextualSpacing w:val="0"/>
        <w:rPr>
          <w:rFonts w:eastAsia="Calibri" w:cs="Times Armenian"/>
          <w:b w:val="0"/>
          <w:szCs w:val="22"/>
          <w:lang w:val="hy-AM" w:eastAsia="en-US"/>
        </w:rPr>
      </w:pPr>
    </w:p>
    <w:p w:rsidR="008B76F4" w:rsidRDefault="008B76F4" w:rsidP="00E513E7">
      <w:pPr>
        <w:spacing w:before="0" w:line="276" w:lineRule="auto"/>
        <w:ind w:firstLine="720"/>
        <w:contextualSpacing w:val="0"/>
        <w:rPr>
          <w:rFonts w:eastAsia="Calibri" w:cs="Times Armenian"/>
          <w:b w:val="0"/>
          <w:szCs w:val="22"/>
          <w:lang w:val="hy-AM" w:eastAsia="en-US"/>
        </w:rPr>
      </w:pPr>
    </w:p>
    <w:p w:rsidR="008B76F4" w:rsidRDefault="008B76F4" w:rsidP="007730AA">
      <w:pPr>
        <w:spacing w:before="0" w:line="276" w:lineRule="auto"/>
        <w:contextualSpacing w:val="0"/>
        <w:rPr>
          <w:rFonts w:eastAsia="Calibri" w:cs="Times Armenian"/>
          <w:b w:val="0"/>
          <w:szCs w:val="22"/>
          <w:lang w:val="hy-AM" w:eastAsia="en-US"/>
        </w:rPr>
      </w:pPr>
    </w:p>
    <w:p w:rsidR="008B76F4" w:rsidRDefault="008B76F4" w:rsidP="007730AA">
      <w:pPr>
        <w:spacing w:before="0" w:line="276" w:lineRule="auto"/>
        <w:contextualSpacing w:val="0"/>
        <w:rPr>
          <w:rFonts w:eastAsia="Calibri" w:cs="Times Armenian"/>
          <w:b w:val="0"/>
          <w:szCs w:val="22"/>
          <w:lang w:val="hy-AM" w:eastAsia="en-US"/>
        </w:rPr>
      </w:pPr>
    </w:p>
    <w:p w:rsidR="008B76F4" w:rsidRDefault="008B76F4" w:rsidP="007730AA">
      <w:pPr>
        <w:spacing w:before="0" w:line="276" w:lineRule="auto"/>
        <w:contextualSpacing w:val="0"/>
        <w:rPr>
          <w:rFonts w:eastAsia="Calibri" w:cs="Times Armenian"/>
          <w:b w:val="0"/>
          <w:szCs w:val="22"/>
          <w:lang w:val="hy-AM" w:eastAsia="en-US"/>
        </w:rPr>
      </w:pPr>
    </w:p>
    <w:p w:rsidR="008B76F4" w:rsidRDefault="008B76F4" w:rsidP="007730AA">
      <w:pPr>
        <w:spacing w:before="0" w:line="276" w:lineRule="auto"/>
        <w:contextualSpacing w:val="0"/>
        <w:rPr>
          <w:rFonts w:eastAsia="Calibri" w:cs="Times Armenian"/>
          <w:b w:val="0"/>
          <w:szCs w:val="22"/>
          <w:lang w:val="hy-AM" w:eastAsia="en-US"/>
        </w:rPr>
      </w:pPr>
    </w:p>
    <w:p w:rsidR="008B76F4" w:rsidRDefault="008B76F4" w:rsidP="007730AA">
      <w:pPr>
        <w:spacing w:before="0" w:line="276" w:lineRule="auto"/>
        <w:contextualSpacing w:val="0"/>
        <w:rPr>
          <w:rFonts w:eastAsia="Calibri" w:cs="Times Armenian"/>
          <w:b w:val="0"/>
          <w:szCs w:val="22"/>
          <w:lang w:val="hy-AM" w:eastAsia="en-US"/>
        </w:rPr>
      </w:pPr>
    </w:p>
    <w:p w:rsidR="008B76F4" w:rsidRDefault="008B76F4" w:rsidP="007730AA">
      <w:pPr>
        <w:spacing w:before="0" w:line="276" w:lineRule="auto"/>
        <w:contextualSpacing w:val="0"/>
        <w:rPr>
          <w:rFonts w:eastAsia="Calibri" w:cs="Times Armenian"/>
          <w:b w:val="0"/>
          <w:szCs w:val="22"/>
          <w:lang w:val="hy-AM" w:eastAsia="en-US"/>
        </w:rPr>
      </w:pPr>
    </w:p>
    <w:p w:rsidR="008B76F4" w:rsidRDefault="008B76F4" w:rsidP="007730AA">
      <w:pPr>
        <w:spacing w:before="0" w:line="276" w:lineRule="auto"/>
        <w:contextualSpacing w:val="0"/>
        <w:rPr>
          <w:rFonts w:eastAsia="Calibri" w:cs="Times Armenian"/>
          <w:b w:val="0"/>
          <w:szCs w:val="22"/>
          <w:lang w:val="hy-AM" w:eastAsia="en-US"/>
        </w:rPr>
      </w:pPr>
    </w:p>
    <w:p w:rsidR="008B76F4" w:rsidRDefault="008B76F4" w:rsidP="007730AA">
      <w:pPr>
        <w:spacing w:before="0" w:line="276" w:lineRule="auto"/>
        <w:contextualSpacing w:val="0"/>
        <w:rPr>
          <w:rFonts w:eastAsia="Calibri" w:cs="Times Armenian"/>
          <w:b w:val="0"/>
          <w:szCs w:val="22"/>
          <w:lang w:val="hy-AM" w:eastAsia="en-US"/>
        </w:rPr>
      </w:pPr>
    </w:p>
    <w:p w:rsidR="008B76F4" w:rsidRDefault="008B76F4" w:rsidP="007730AA">
      <w:pPr>
        <w:spacing w:before="0" w:line="276" w:lineRule="auto"/>
        <w:contextualSpacing w:val="0"/>
        <w:rPr>
          <w:rFonts w:eastAsia="Calibri" w:cs="Times Armenian"/>
          <w:b w:val="0"/>
          <w:szCs w:val="22"/>
          <w:lang w:val="hy-AM" w:eastAsia="en-US"/>
        </w:rPr>
      </w:pPr>
    </w:p>
    <w:p w:rsidR="008B76F4" w:rsidRDefault="008B76F4" w:rsidP="007730AA">
      <w:pPr>
        <w:spacing w:before="0" w:line="276" w:lineRule="auto"/>
        <w:contextualSpacing w:val="0"/>
        <w:rPr>
          <w:rFonts w:eastAsia="Calibri" w:cs="Times Armenian"/>
          <w:b w:val="0"/>
          <w:szCs w:val="22"/>
          <w:lang w:val="hy-AM" w:eastAsia="en-US"/>
        </w:rPr>
      </w:pPr>
    </w:p>
    <w:p w:rsidR="008B76F4" w:rsidRDefault="008B76F4" w:rsidP="007730AA">
      <w:pPr>
        <w:spacing w:before="0" w:line="276" w:lineRule="auto"/>
        <w:contextualSpacing w:val="0"/>
        <w:rPr>
          <w:rFonts w:eastAsia="Calibri" w:cs="Times Armenian"/>
          <w:b w:val="0"/>
          <w:szCs w:val="22"/>
          <w:lang w:val="hy-AM" w:eastAsia="en-US"/>
        </w:rPr>
      </w:pPr>
    </w:p>
    <w:p w:rsidR="008B76F4" w:rsidRDefault="008B76F4" w:rsidP="007730AA">
      <w:pPr>
        <w:spacing w:before="0" w:line="276" w:lineRule="auto"/>
        <w:contextualSpacing w:val="0"/>
        <w:rPr>
          <w:rFonts w:eastAsia="Calibri" w:cs="Times Armenian"/>
          <w:b w:val="0"/>
          <w:szCs w:val="22"/>
          <w:lang w:val="hy-AM" w:eastAsia="en-US"/>
        </w:rPr>
      </w:pPr>
    </w:p>
    <w:p w:rsidR="008B76F4" w:rsidRDefault="008B76F4" w:rsidP="007730AA">
      <w:pPr>
        <w:spacing w:before="0" w:line="276" w:lineRule="auto"/>
        <w:contextualSpacing w:val="0"/>
        <w:rPr>
          <w:rFonts w:eastAsia="Calibri" w:cs="Times Armenian"/>
          <w:b w:val="0"/>
          <w:szCs w:val="22"/>
          <w:lang w:val="hy-AM" w:eastAsia="en-US"/>
        </w:rPr>
      </w:pPr>
    </w:p>
    <w:p w:rsidR="008B76F4" w:rsidRPr="00F054E5" w:rsidRDefault="00396D6B" w:rsidP="007730AA">
      <w:pPr>
        <w:spacing w:before="0"/>
        <w:ind w:firstLine="0"/>
        <w:jc w:val="center"/>
        <w:outlineLvl w:val="0"/>
        <w:rPr>
          <w:bCs/>
          <w:kern w:val="28"/>
          <w:sz w:val="28"/>
          <w:szCs w:val="28"/>
        </w:rPr>
      </w:pPr>
      <w:bookmarkStart w:id="286" w:name="_Toc499827217"/>
      <w:bookmarkStart w:id="287" w:name="_Toc26174960"/>
      <w:r>
        <w:rPr>
          <w:bCs/>
          <w:kern w:val="28"/>
          <w:sz w:val="28"/>
          <w:szCs w:val="28"/>
          <w:lang w:val="en-US"/>
        </w:rPr>
        <w:br w:type="page"/>
      </w:r>
      <w:bookmarkStart w:id="288" w:name="_Toc57655499"/>
      <w:r w:rsidR="008B76F4" w:rsidRPr="00F054E5">
        <w:rPr>
          <w:bCs/>
          <w:kern w:val="28"/>
          <w:sz w:val="28"/>
          <w:szCs w:val="28"/>
        </w:rPr>
        <w:t>ԳԾԱՊԱՏԿԵՐՆԵՐ</w:t>
      </w:r>
      <w:bookmarkEnd w:id="286"/>
      <w:bookmarkEnd w:id="287"/>
      <w:bookmarkEnd w:id="288"/>
    </w:p>
    <w:p w:rsidR="00106B70" w:rsidRDefault="003C3925" w:rsidP="00E513E7">
      <w:pPr>
        <w:pStyle w:val="TableofFigures"/>
        <w:rPr>
          <w:rFonts w:asciiTheme="minorHAnsi" w:eastAsiaTheme="minorEastAsia" w:hAnsiTheme="minorHAnsi" w:cstheme="minorBidi"/>
          <w:noProof/>
          <w:szCs w:val="22"/>
          <w:lang w:val="en-US" w:eastAsia="en-US"/>
        </w:rPr>
      </w:pPr>
      <w:r>
        <w:rPr>
          <w:rFonts w:eastAsia="Calibri" w:cs="Times Armenian"/>
          <w:szCs w:val="22"/>
          <w:lang w:val="hy-AM" w:eastAsia="en-US"/>
        </w:rPr>
        <w:fldChar w:fldCharType="begin"/>
      </w:r>
      <w:r w:rsidR="00987A1B">
        <w:rPr>
          <w:rFonts w:eastAsia="Calibri" w:cs="Times Armenian"/>
          <w:szCs w:val="22"/>
          <w:lang w:val="hy-AM" w:eastAsia="en-US"/>
        </w:rPr>
        <w:instrText xml:space="preserve"> TOC \h \z \c "Գծապատկեր" </w:instrText>
      </w:r>
      <w:r>
        <w:rPr>
          <w:rFonts w:eastAsia="Calibri" w:cs="Times Armenian"/>
          <w:szCs w:val="22"/>
          <w:lang w:val="hy-AM" w:eastAsia="en-US"/>
        </w:rPr>
        <w:fldChar w:fldCharType="separate"/>
      </w:r>
      <w:hyperlink w:anchor="_Toc57631787" w:history="1">
        <w:r w:rsidR="00106B70" w:rsidRPr="00F53F6E">
          <w:rPr>
            <w:rStyle w:val="Hyperlink"/>
            <w:noProof/>
          </w:rPr>
          <w:t>Գծապատկեր</w:t>
        </w:r>
        <w:r w:rsidR="00106B70" w:rsidRPr="00F53F6E">
          <w:rPr>
            <w:rStyle w:val="Hyperlink"/>
            <w:noProof/>
            <w:lang w:val="af-ZA"/>
          </w:rPr>
          <w:t xml:space="preserve"> 1</w:t>
        </w:r>
        <w:r w:rsidR="00106B70" w:rsidRPr="00F53F6E">
          <w:rPr>
            <w:rStyle w:val="Hyperlink"/>
            <w:rFonts w:ascii="Cambria Math" w:hAnsi="Cambria Math"/>
            <w:noProof/>
            <w:lang w:val="hy-AM"/>
          </w:rPr>
          <w:t xml:space="preserve">․ </w:t>
        </w:r>
        <w:r w:rsidR="00106B70" w:rsidRPr="00F53F6E">
          <w:rPr>
            <w:rStyle w:val="Hyperlink"/>
            <w:i/>
            <w:noProof/>
            <w:lang w:val="hy-AM"/>
          </w:rPr>
          <w:t>ՀՀ 2017-2021թթ հարկային եկամուտները և պետական տուրքերը (մլրդ դրամով) և կշիռը ՀՆԱ-ի նկատմամբ</w:t>
        </w:r>
        <w:r w:rsidR="00106B70">
          <w:rPr>
            <w:noProof/>
            <w:webHidden/>
          </w:rPr>
          <w:tab/>
        </w:r>
        <w:r>
          <w:rPr>
            <w:noProof/>
            <w:webHidden/>
          </w:rPr>
          <w:fldChar w:fldCharType="begin"/>
        </w:r>
        <w:r w:rsidR="00106B70">
          <w:rPr>
            <w:noProof/>
            <w:webHidden/>
          </w:rPr>
          <w:instrText xml:space="preserve"> PAGEREF _Toc57631787 \h </w:instrText>
        </w:r>
        <w:r>
          <w:rPr>
            <w:noProof/>
            <w:webHidden/>
          </w:rPr>
        </w:r>
        <w:r>
          <w:rPr>
            <w:noProof/>
            <w:webHidden/>
          </w:rPr>
          <w:fldChar w:fldCharType="separate"/>
        </w:r>
        <w:r w:rsidR="00106B70">
          <w:rPr>
            <w:noProof/>
            <w:webHidden/>
          </w:rPr>
          <w:t>115</w:t>
        </w:r>
        <w:r>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88" w:history="1">
        <w:r w:rsidR="00106B70" w:rsidRPr="00F53F6E">
          <w:rPr>
            <w:rStyle w:val="Hyperlink"/>
            <w:noProof/>
            <w:lang w:val="hy-AM"/>
          </w:rPr>
          <w:t>Գծապատկեր 2</w:t>
        </w:r>
        <w:r w:rsidR="00106B70" w:rsidRPr="00F53F6E">
          <w:rPr>
            <w:rStyle w:val="Hyperlink"/>
            <w:rFonts w:ascii="Cambria Math" w:hAnsi="Cambria Math"/>
            <w:noProof/>
            <w:lang w:val="hy-AM"/>
          </w:rPr>
          <w:t>․</w:t>
        </w:r>
        <w:r w:rsidR="00106B70" w:rsidRPr="00F53F6E">
          <w:rPr>
            <w:rStyle w:val="Hyperlink"/>
            <w:rFonts w:eastAsia="Calibri"/>
            <w:i/>
            <w:iCs/>
            <w:noProof/>
            <w:lang w:val="hy-AM" w:eastAsia="en-US"/>
          </w:rPr>
          <w:t xml:space="preserve"> </w:t>
        </w:r>
        <w:r w:rsidR="00106B70" w:rsidRPr="00F53F6E">
          <w:rPr>
            <w:rStyle w:val="Hyperlink"/>
            <w:i/>
            <w:noProof/>
            <w:lang w:val="af-ZA" w:eastAsia="en-US"/>
          </w:rPr>
          <w:t>2017-2021</w:t>
        </w:r>
        <w:r w:rsidR="00106B70" w:rsidRPr="00F53F6E">
          <w:rPr>
            <w:rStyle w:val="Hyperlink"/>
            <w:i/>
            <w:noProof/>
            <w:lang w:val="it-IT" w:eastAsia="en-US"/>
          </w:rPr>
          <w:t>թթ</w:t>
        </w:r>
        <w:r w:rsidR="00106B70" w:rsidRPr="00F53F6E">
          <w:rPr>
            <w:rStyle w:val="Hyperlink"/>
            <w:rFonts w:ascii="Cambria Math" w:hAnsi="Cambria Math"/>
            <w:i/>
            <w:noProof/>
            <w:lang w:val="hy-AM" w:eastAsia="en-US"/>
          </w:rPr>
          <w:t>․</w:t>
        </w:r>
        <w:r w:rsidR="00106B70" w:rsidRPr="00F53F6E">
          <w:rPr>
            <w:rStyle w:val="Hyperlink"/>
            <w:i/>
            <w:noProof/>
            <w:lang w:val="af-ZA" w:eastAsia="en-US"/>
          </w:rPr>
          <w:t xml:space="preserve"> </w:t>
        </w:r>
        <w:r w:rsidR="00106B70" w:rsidRPr="00F53F6E">
          <w:rPr>
            <w:rStyle w:val="Hyperlink"/>
            <w:rFonts w:cs="Sylfaen"/>
            <w:i/>
            <w:noProof/>
            <w:lang w:val="hy-AM" w:eastAsia="en-US"/>
          </w:rPr>
          <w:t>ընթացիկ</w:t>
        </w:r>
        <w:r w:rsidR="00106B70" w:rsidRPr="00F53F6E">
          <w:rPr>
            <w:rStyle w:val="Hyperlink"/>
            <w:i/>
            <w:noProof/>
            <w:lang w:val="af-ZA" w:eastAsia="en-US"/>
          </w:rPr>
          <w:t xml:space="preserve"> </w:t>
        </w:r>
        <w:r w:rsidR="00106B70" w:rsidRPr="00F53F6E">
          <w:rPr>
            <w:rStyle w:val="Hyperlink"/>
            <w:rFonts w:cs="Sylfaen"/>
            <w:i/>
            <w:noProof/>
            <w:lang w:val="hy-AM" w:eastAsia="en-US"/>
          </w:rPr>
          <w:t>և</w:t>
        </w:r>
        <w:r w:rsidR="00106B70" w:rsidRPr="00F53F6E">
          <w:rPr>
            <w:rStyle w:val="Hyperlink"/>
            <w:i/>
            <w:noProof/>
            <w:lang w:val="af-ZA" w:eastAsia="en-US"/>
          </w:rPr>
          <w:t xml:space="preserve"> </w:t>
        </w:r>
        <w:r w:rsidR="00106B70" w:rsidRPr="00F53F6E">
          <w:rPr>
            <w:rStyle w:val="Hyperlink"/>
            <w:rFonts w:cs="Sylfaen"/>
            <w:i/>
            <w:noProof/>
            <w:lang w:val="hy-AM" w:eastAsia="en-US"/>
          </w:rPr>
          <w:t>ոչ</w:t>
        </w:r>
        <w:r w:rsidR="00106B70" w:rsidRPr="00F53F6E">
          <w:rPr>
            <w:rStyle w:val="Hyperlink"/>
            <w:rFonts w:cs="Sylfaen"/>
            <w:i/>
            <w:noProof/>
            <w:lang w:val="af-ZA" w:eastAsia="en-US"/>
          </w:rPr>
          <w:t xml:space="preserve"> </w:t>
        </w:r>
        <w:r w:rsidR="00106B70" w:rsidRPr="00F53F6E">
          <w:rPr>
            <w:rStyle w:val="Hyperlink"/>
            <w:rFonts w:cs="Sylfaen"/>
            <w:i/>
            <w:noProof/>
            <w:lang w:val="hy-AM" w:eastAsia="en-US"/>
          </w:rPr>
          <w:t>ֆինանսական</w:t>
        </w:r>
        <w:r w:rsidR="00106B70" w:rsidRPr="00F53F6E">
          <w:rPr>
            <w:rStyle w:val="Hyperlink"/>
            <w:rFonts w:cs="Sylfaen"/>
            <w:i/>
            <w:noProof/>
            <w:lang w:val="af-ZA" w:eastAsia="en-US"/>
          </w:rPr>
          <w:t xml:space="preserve"> </w:t>
        </w:r>
        <w:r w:rsidR="00106B70" w:rsidRPr="00F53F6E">
          <w:rPr>
            <w:rStyle w:val="Hyperlink"/>
            <w:rFonts w:cs="Sylfaen"/>
            <w:i/>
            <w:noProof/>
            <w:lang w:val="hy-AM" w:eastAsia="en-US"/>
          </w:rPr>
          <w:t>ակտիվների</w:t>
        </w:r>
        <w:r w:rsidR="00106B70" w:rsidRPr="00F53F6E">
          <w:rPr>
            <w:rStyle w:val="Hyperlink"/>
            <w:rFonts w:cs="Sylfaen"/>
            <w:i/>
            <w:noProof/>
            <w:lang w:val="af-ZA" w:eastAsia="en-US"/>
          </w:rPr>
          <w:t xml:space="preserve"> </w:t>
        </w:r>
        <w:r w:rsidR="00106B70" w:rsidRPr="00F53F6E">
          <w:rPr>
            <w:rStyle w:val="Hyperlink"/>
            <w:rFonts w:cs="Sylfaen"/>
            <w:i/>
            <w:noProof/>
            <w:lang w:val="hy-AM" w:eastAsia="en-US"/>
          </w:rPr>
          <w:t>գծով</w:t>
        </w:r>
        <w:r w:rsidR="00106B70" w:rsidRPr="00F53F6E">
          <w:rPr>
            <w:rStyle w:val="Hyperlink"/>
            <w:rFonts w:cs="Sylfaen"/>
            <w:i/>
            <w:noProof/>
            <w:lang w:val="af-ZA" w:eastAsia="en-US"/>
          </w:rPr>
          <w:t xml:space="preserve"> </w:t>
        </w:r>
        <w:r w:rsidR="00106B70" w:rsidRPr="00F53F6E">
          <w:rPr>
            <w:rStyle w:val="Hyperlink"/>
            <w:rFonts w:cs="Sylfaen"/>
            <w:i/>
            <w:noProof/>
            <w:lang w:val="hy-AM" w:eastAsia="en-US"/>
          </w:rPr>
          <w:t>ծախսերի</w:t>
        </w:r>
        <w:r w:rsidR="00106B70" w:rsidRPr="00F53F6E">
          <w:rPr>
            <w:rStyle w:val="Hyperlink"/>
            <w:i/>
            <w:noProof/>
            <w:lang w:val="af-ZA" w:eastAsia="en-US"/>
          </w:rPr>
          <w:t xml:space="preserve"> </w:t>
        </w:r>
        <w:r w:rsidR="00106B70" w:rsidRPr="00F53F6E">
          <w:rPr>
            <w:rStyle w:val="Hyperlink"/>
            <w:rFonts w:cs="Sylfaen"/>
            <w:i/>
            <w:noProof/>
            <w:lang w:val="hy-AM" w:eastAsia="en-US"/>
          </w:rPr>
          <w:t>փոփոխության</w:t>
        </w:r>
        <w:r w:rsidR="00106B70" w:rsidRPr="00F53F6E">
          <w:rPr>
            <w:rStyle w:val="Hyperlink"/>
            <w:i/>
            <w:noProof/>
            <w:lang w:val="af-ZA" w:eastAsia="en-US"/>
          </w:rPr>
          <w:t xml:space="preserve"> </w:t>
        </w:r>
        <w:r w:rsidR="00106B70" w:rsidRPr="00F53F6E">
          <w:rPr>
            <w:rStyle w:val="Hyperlink"/>
            <w:rFonts w:cs="Sylfaen"/>
            <w:i/>
            <w:noProof/>
            <w:lang w:val="hy-AM" w:eastAsia="en-US"/>
          </w:rPr>
          <w:t>և</w:t>
        </w:r>
        <w:r w:rsidR="00106B70" w:rsidRPr="00F53F6E">
          <w:rPr>
            <w:rStyle w:val="Hyperlink"/>
            <w:i/>
            <w:noProof/>
            <w:lang w:val="af-ZA" w:eastAsia="en-US"/>
          </w:rPr>
          <w:t xml:space="preserve"> </w:t>
        </w:r>
        <w:r w:rsidR="00106B70" w:rsidRPr="00F53F6E">
          <w:rPr>
            <w:rStyle w:val="Hyperlink"/>
            <w:rFonts w:cs="Sylfaen"/>
            <w:i/>
            <w:noProof/>
            <w:lang w:val="hy-AM" w:eastAsia="en-US"/>
          </w:rPr>
          <w:t>հարաբերակցության</w:t>
        </w:r>
        <w:r w:rsidR="00106B70" w:rsidRPr="00F53F6E">
          <w:rPr>
            <w:rStyle w:val="Hyperlink"/>
            <w:i/>
            <w:noProof/>
            <w:lang w:val="af-ZA" w:eastAsia="en-US"/>
          </w:rPr>
          <w:t xml:space="preserve"> </w:t>
        </w:r>
        <w:r w:rsidR="00106B70" w:rsidRPr="00F53F6E">
          <w:rPr>
            <w:rStyle w:val="Hyperlink"/>
            <w:rFonts w:cs="Sylfaen"/>
            <w:i/>
            <w:noProof/>
            <w:lang w:val="hy-AM" w:eastAsia="en-US"/>
          </w:rPr>
          <w:t>միտումները</w:t>
        </w:r>
        <w:r w:rsidR="00106B70">
          <w:rPr>
            <w:noProof/>
            <w:webHidden/>
          </w:rPr>
          <w:tab/>
        </w:r>
        <w:r w:rsidR="003C3925">
          <w:rPr>
            <w:noProof/>
            <w:webHidden/>
          </w:rPr>
          <w:fldChar w:fldCharType="begin"/>
        </w:r>
        <w:r w:rsidR="00106B70">
          <w:rPr>
            <w:noProof/>
            <w:webHidden/>
          </w:rPr>
          <w:instrText xml:space="preserve"> PAGEREF _Toc57631788 \h </w:instrText>
        </w:r>
        <w:r w:rsidR="003C3925">
          <w:rPr>
            <w:noProof/>
            <w:webHidden/>
          </w:rPr>
        </w:r>
        <w:r w:rsidR="003C3925">
          <w:rPr>
            <w:noProof/>
            <w:webHidden/>
          </w:rPr>
          <w:fldChar w:fldCharType="separate"/>
        </w:r>
        <w:r w:rsidR="00106B70">
          <w:rPr>
            <w:noProof/>
            <w:webHidden/>
          </w:rPr>
          <w:t>126</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89" w:history="1">
        <w:r w:rsidR="00106B70" w:rsidRPr="00F53F6E">
          <w:rPr>
            <w:rStyle w:val="Hyperlink"/>
            <w:noProof/>
            <w:lang w:val="hy-AM"/>
          </w:rPr>
          <w:t>Գծապատկեր 3</w:t>
        </w:r>
        <w:r w:rsidR="00106B70" w:rsidRPr="00F53F6E">
          <w:rPr>
            <w:rStyle w:val="Hyperlink"/>
            <w:rFonts w:ascii="Cambria Math" w:hAnsi="Cambria Math"/>
            <w:noProof/>
            <w:lang w:val="hy-AM"/>
          </w:rPr>
          <w:t xml:space="preserve">․ </w:t>
        </w:r>
        <w:r w:rsidR="00106B70" w:rsidRPr="00F53F6E">
          <w:rPr>
            <w:rStyle w:val="Hyperlink"/>
            <w:rFonts w:cs="Sylfaen"/>
            <w:i/>
            <w:noProof/>
            <w:lang w:val="hy-AM" w:eastAsia="en-US"/>
          </w:rPr>
          <w:t>2017-2021թթ</w:t>
        </w:r>
        <w:r w:rsidR="00106B70" w:rsidRPr="00F53F6E">
          <w:rPr>
            <w:rStyle w:val="Hyperlink"/>
            <w:rFonts w:ascii="Cambria Math" w:hAnsi="Cambria Math" w:cs="Sylfaen"/>
            <w:i/>
            <w:noProof/>
            <w:lang w:val="hy-AM" w:eastAsia="en-US"/>
          </w:rPr>
          <w:t xml:space="preserve">․ </w:t>
        </w:r>
        <w:r w:rsidR="00106B70" w:rsidRPr="00F53F6E">
          <w:rPr>
            <w:rStyle w:val="Hyperlink"/>
            <w:rFonts w:cs="Sylfaen"/>
            <w:i/>
            <w:noProof/>
            <w:lang w:val="hy-AM" w:eastAsia="en-US"/>
          </w:rPr>
          <w:t>ընթացիկ ծախսերի ֆինանսավորման ըստ տնտեսագիտական դասակարգման կառուցվածքի ծախսերի հարաբերակցությունը ՀՆԱ-ի նկատմամբ</w:t>
        </w:r>
        <w:r w:rsidR="00106B70">
          <w:rPr>
            <w:noProof/>
            <w:webHidden/>
          </w:rPr>
          <w:tab/>
        </w:r>
        <w:r w:rsidR="003C3925">
          <w:rPr>
            <w:noProof/>
            <w:webHidden/>
          </w:rPr>
          <w:fldChar w:fldCharType="begin"/>
        </w:r>
        <w:r w:rsidR="00106B70">
          <w:rPr>
            <w:noProof/>
            <w:webHidden/>
          </w:rPr>
          <w:instrText xml:space="preserve"> PAGEREF _Toc57631789 \h </w:instrText>
        </w:r>
        <w:r w:rsidR="003C3925">
          <w:rPr>
            <w:noProof/>
            <w:webHidden/>
          </w:rPr>
        </w:r>
        <w:r w:rsidR="003C3925">
          <w:rPr>
            <w:noProof/>
            <w:webHidden/>
          </w:rPr>
          <w:fldChar w:fldCharType="separate"/>
        </w:r>
        <w:r w:rsidR="00106B70">
          <w:rPr>
            <w:noProof/>
            <w:webHidden/>
          </w:rPr>
          <w:t>127</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90" w:history="1">
        <w:r w:rsidR="00106B70" w:rsidRPr="00F53F6E">
          <w:rPr>
            <w:rStyle w:val="Hyperlink"/>
            <w:noProof/>
            <w:lang w:val="hy-AM"/>
          </w:rPr>
          <w:t>Գծապատկեր 4. 2017-2021թթ</w:t>
        </w:r>
        <w:r w:rsidR="00106B70" w:rsidRPr="00F53F6E">
          <w:rPr>
            <w:rStyle w:val="Hyperlink"/>
            <w:rFonts w:ascii="Cambria Math" w:hAnsi="Cambria Math" w:cs="Cambria Math"/>
            <w:noProof/>
            <w:lang w:val="hy-AM"/>
          </w:rPr>
          <w:t xml:space="preserve">․ </w:t>
        </w:r>
        <w:r w:rsidR="00106B70" w:rsidRPr="00F53F6E">
          <w:rPr>
            <w:rStyle w:val="Hyperlink"/>
            <w:rFonts w:cs="Sylfaen"/>
            <w:i/>
            <w:noProof/>
            <w:lang w:val="hy-AM" w:eastAsia="en-US"/>
          </w:rPr>
          <w:t>Ոչ ֆինանսական ակտիվների գծով ծախսերի ֆինանսավորման կառուցվածքը</w:t>
        </w:r>
        <w:r w:rsidR="00106B70">
          <w:rPr>
            <w:noProof/>
            <w:webHidden/>
          </w:rPr>
          <w:tab/>
        </w:r>
        <w:r w:rsidR="003C3925">
          <w:rPr>
            <w:noProof/>
            <w:webHidden/>
          </w:rPr>
          <w:fldChar w:fldCharType="begin"/>
        </w:r>
        <w:r w:rsidR="00106B70">
          <w:rPr>
            <w:noProof/>
            <w:webHidden/>
          </w:rPr>
          <w:instrText xml:space="preserve"> PAGEREF _Toc57631790 \h </w:instrText>
        </w:r>
        <w:r w:rsidR="003C3925">
          <w:rPr>
            <w:noProof/>
            <w:webHidden/>
          </w:rPr>
        </w:r>
        <w:r w:rsidR="003C3925">
          <w:rPr>
            <w:noProof/>
            <w:webHidden/>
          </w:rPr>
          <w:fldChar w:fldCharType="separate"/>
        </w:r>
        <w:r w:rsidR="00106B70">
          <w:rPr>
            <w:noProof/>
            <w:webHidden/>
          </w:rPr>
          <w:t>130</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91" w:history="1">
        <w:r w:rsidR="00106B70" w:rsidRPr="00F53F6E">
          <w:rPr>
            <w:rStyle w:val="Hyperlink"/>
            <w:bCs/>
            <w:noProof/>
          </w:rPr>
          <w:t>Գծապատկեր 5</w:t>
        </w:r>
        <w:r w:rsidR="00106B70" w:rsidRPr="00F53F6E">
          <w:rPr>
            <w:rStyle w:val="Hyperlink"/>
            <w:bCs/>
            <w:noProof/>
            <w:lang w:val="en-US"/>
          </w:rPr>
          <w:t xml:space="preserve">. </w:t>
        </w:r>
        <w:r w:rsidR="00106B70" w:rsidRPr="00F53F6E">
          <w:rPr>
            <w:rStyle w:val="Hyperlink"/>
            <w:bCs/>
            <w:i/>
            <w:noProof/>
            <w:lang w:val="hy-AM"/>
          </w:rPr>
          <w:t>2017-2021թվակաների ծախսերի համեմատականը</w:t>
        </w:r>
        <w:r w:rsidR="00106B70">
          <w:rPr>
            <w:noProof/>
            <w:webHidden/>
          </w:rPr>
          <w:tab/>
        </w:r>
        <w:r w:rsidR="003C3925">
          <w:rPr>
            <w:noProof/>
            <w:webHidden/>
          </w:rPr>
          <w:fldChar w:fldCharType="begin"/>
        </w:r>
        <w:r w:rsidR="00106B70">
          <w:rPr>
            <w:noProof/>
            <w:webHidden/>
          </w:rPr>
          <w:instrText xml:space="preserve"> PAGEREF _Toc57631791 \h </w:instrText>
        </w:r>
        <w:r w:rsidR="003C3925">
          <w:rPr>
            <w:noProof/>
            <w:webHidden/>
          </w:rPr>
        </w:r>
        <w:r w:rsidR="003C3925">
          <w:rPr>
            <w:noProof/>
            <w:webHidden/>
          </w:rPr>
          <w:fldChar w:fldCharType="separate"/>
        </w:r>
        <w:r w:rsidR="00106B70">
          <w:rPr>
            <w:noProof/>
            <w:webHidden/>
          </w:rPr>
          <w:t>132</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92" w:history="1">
        <w:r w:rsidR="00106B70" w:rsidRPr="00F53F6E">
          <w:rPr>
            <w:rStyle w:val="Hyperlink"/>
            <w:bCs/>
            <w:noProof/>
            <w:lang w:val="hy-AM"/>
          </w:rPr>
          <w:t>Գծապատկեր 6</w:t>
        </w:r>
        <w:r w:rsidR="00106B70" w:rsidRPr="00F53F6E">
          <w:rPr>
            <w:rStyle w:val="Hyperlink"/>
            <w:rFonts w:ascii="MS Gothic" w:eastAsia="MS Gothic" w:hAnsi="MS Gothic" w:cs="MS Gothic" w:hint="eastAsia"/>
            <w:bCs/>
            <w:noProof/>
            <w:lang w:val="hy-AM"/>
          </w:rPr>
          <w:t>․</w:t>
        </w:r>
        <w:r w:rsidR="00106B70" w:rsidRPr="00F53F6E">
          <w:rPr>
            <w:rStyle w:val="Hyperlink"/>
            <w:rFonts w:ascii="Cambria Math" w:hAnsi="Cambria Math"/>
            <w:bCs/>
            <w:noProof/>
            <w:lang w:val="hy-AM"/>
          </w:rPr>
          <w:t xml:space="preserve"> </w:t>
        </w:r>
        <w:r w:rsidR="00106B70" w:rsidRPr="00F53F6E">
          <w:rPr>
            <w:rStyle w:val="Hyperlink"/>
            <w:rFonts w:cs="Arial"/>
            <w:bCs/>
            <w:i/>
            <w:noProof/>
            <w:lang w:val="hy-AM"/>
          </w:rPr>
          <w:t>2017-2021 թթ</w:t>
        </w:r>
        <w:r w:rsidR="00106B70" w:rsidRPr="00F53F6E">
          <w:rPr>
            <w:rStyle w:val="Hyperlink"/>
            <w:rFonts w:ascii="MS Gothic" w:eastAsia="MS Gothic" w:hAnsi="MS Gothic" w:cs="MS Gothic" w:hint="eastAsia"/>
            <w:bCs/>
            <w:i/>
            <w:noProof/>
            <w:lang w:val="hy-AM"/>
          </w:rPr>
          <w:t>․</w:t>
        </w:r>
        <w:r w:rsidR="00106B70" w:rsidRPr="00F53F6E">
          <w:rPr>
            <w:rStyle w:val="Hyperlink"/>
            <w:rFonts w:cs="Arial"/>
            <w:bCs/>
            <w:i/>
            <w:noProof/>
            <w:lang w:val="hy-AM"/>
          </w:rPr>
          <w:t xml:space="preserve"> վարկային, դրամաշնորհային միջոցների հաշվին ֆինանսավորումը, կշիռը ՀՆԱ-ում, կշիռը ընդամենը ծախսերում</w:t>
        </w:r>
        <w:r w:rsidR="00106B70">
          <w:rPr>
            <w:noProof/>
            <w:webHidden/>
          </w:rPr>
          <w:tab/>
        </w:r>
        <w:r w:rsidR="003C3925">
          <w:rPr>
            <w:noProof/>
            <w:webHidden/>
          </w:rPr>
          <w:fldChar w:fldCharType="begin"/>
        </w:r>
        <w:r w:rsidR="00106B70">
          <w:rPr>
            <w:noProof/>
            <w:webHidden/>
          </w:rPr>
          <w:instrText xml:space="preserve"> PAGEREF _Toc57631792 \h </w:instrText>
        </w:r>
        <w:r w:rsidR="003C3925">
          <w:rPr>
            <w:noProof/>
            <w:webHidden/>
          </w:rPr>
        </w:r>
        <w:r w:rsidR="003C3925">
          <w:rPr>
            <w:noProof/>
            <w:webHidden/>
          </w:rPr>
          <w:fldChar w:fldCharType="separate"/>
        </w:r>
        <w:r w:rsidR="00106B70">
          <w:rPr>
            <w:noProof/>
            <w:webHidden/>
          </w:rPr>
          <w:t>136</w:t>
        </w:r>
        <w:r w:rsidR="003C3925">
          <w:rPr>
            <w:noProof/>
            <w:webHidden/>
          </w:rPr>
          <w:fldChar w:fldCharType="end"/>
        </w:r>
      </w:hyperlink>
    </w:p>
    <w:p w:rsidR="00106B70" w:rsidRDefault="0043500B" w:rsidP="00E513E7">
      <w:pPr>
        <w:pStyle w:val="TableofFigures"/>
        <w:rPr>
          <w:rFonts w:asciiTheme="minorHAnsi" w:eastAsiaTheme="minorEastAsia" w:hAnsiTheme="minorHAnsi" w:cstheme="minorBidi"/>
          <w:noProof/>
          <w:szCs w:val="22"/>
          <w:lang w:val="en-US" w:eastAsia="en-US"/>
        </w:rPr>
      </w:pPr>
      <w:hyperlink w:anchor="_Toc57631793" w:history="1">
        <w:r w:rsidR="00106B70" w:rsidRPr="00F53F6E">
          <w:rPr>
            <w:rStyle w:val="Hyperlink"/>
            <w:noProof/>
            <w:lang w:val="hy-AM"/>
          </w:rPr>
          <w:t>Գծապատկեր 7</w:t>
        </w:r>
        <w:r w:rsidR="00106B70" w:rsidRPr="00F53F6E">
          <w:rPr>
            <w:rStyle w:val="Hyperlink"/>
            <w:rFonts w:ascii="Cambria Math" w:hAnsi="Cambria Math"/>
            <w:noProof/>
            <w:lang w:val="hy-AM"/>
          </w:rPr>
          <w:t xml:space="preserve">․ </w:t>
        </w:r>
        <w:r w:rsidR="00106B70" w:rsidRPr="00F53F6E">
          <w:rPr>
            <w:rStyle w:val="Hyperlink"/>
            <w:rFonts w:eastAsia="Calibri"/>
            <w:i/>
            <w:noProof/>
            <w:lang w:val="hy-AM" w:eastAsia="en-US"/>
          </w:rPr>
          <w:t>Հարկային եկամուտների տարեկան աճի տեմպերի կանխատեսումների հավանականային բաշխումը, տոկոս</w:t>
        </w:r>
        <w:r w:rsidR="00106B70">
          <w:rPr>
            <w:noProof/>
            <w:webHidden/>
          </w:rPr>
          <w:tab/>
        </w:r>
        <w:r w:rsidR="003C3925">
          <w:rPr>
            <w:noProof/>
            <w:webHidden/>
          </w:rPr>
          <w:fldChar w:fldCharType="begin"/>
        </w:r>
        <w:r w:rsidR="00106B70">
          <w:rPr>
            <w:noProof/>
            <w:webHidden/>
          </w:rPr>
          <w:instrText xml:space="preserve"> PAGEREF _Toc57631793 \h </w:instrText>
        </w:r>
        <w:r w:rsidR="003C3925">
          <w:rPr>
            <w:noProof/>
            <w:webHidden/>
          </w:rPr>
        </w:r>
        <w:r w:rsidR="003C3925">
          <w:rPr>
            <w:noProof/>
            <w:webHidden/>
          </w:rPr>
          <w:fldChar w:fldCharType="separate"/>
        </w:r>
        <w:r w:rsidR="00106B70">
          <w:rPr>
            <w:noProof/>
            <w:webHidden/>
          </w:rPr>
          <w:t>242</w:t>
        </w:r>
        <w:r w:rsidR="003C3925">
          <w:rPr>
            <w:noProof/>
            <w:webHidden/>
          </w:rPr>
          <w:fldChar w:fldCharType="end"/>
        </w:r>
      </w:hyperlink>
    </w:p>
    <w:p w:rsidR="008B76F4" w:rsidRPr="008B76F4" w:rsidRDefault="003C3925" w:rsidP="007730AA">
      <w:pPr>
        <w:spacing w:before="0" w:line="276" w:lineRule="auto"/>
        <w:contextualSpacing w:val="0"/>
        <w:rPr>
          <w:rFonts w:eastAsia="Calibri" w:cs="Times Armenian"/>
          <w:b w:val="0"/>
          <w:szCs w:val="22"/>
          <w:lang w:val="hy-AM" w:eastAsia="en-US"/>
        </w:rPr>
      </w:pPr>
      <w:r>
        <w:rPr>
          <w:rFonts w:eastAsia="Calibri" w:cs="Times Armenian"/>
          <w:b w:val="0"/>
          <w:szCs w:val="22"/>
          <w:lang w:val="hy-AM" w:eastAsia="en-US"/>
        </w:rPr>
        <w:fldChar w:fldCharType="end"/>
      </w:r>
    </w:p>
    <w:sectPr w:rsidR="008B76F4" w:rsidRPr="008B76F4" w:rsidSect="00B3034A">
      <w:footerReference w:type="default" r:id="rId90"/>
      <w:pgSz w:w="11906" w:h="16838" w:code="9"/>
      <w:pgMar w:top="1134" w:right="1016" w:bottom="426" w:left="1134" w:header="720" w:footer="1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00B" w:rsidRDefault="0043500B" w:rsidP="00F52B25">
      <w:r>
        <w:separator/>
      </w:r>
    </w:p>
  </w:endnote>
  <w:endnote w:type="continuationSeparator" w:id="0">
    <w:p w:rsidR="0043500B" w:rsidRDefault="0043500B"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LatArm">
    <w:panose1 w:val="00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auto"/>
    <w:pitch w:val="variable"/>
    <w:sig w:usb0="80000267" w:usb1="00000000" w:usb2="00000000" w:usb3="00000000" w:csb0="000001F7" w:csb1="00000000"/>
  </w:font>
  <w:font w:name="MS Mincho">
    <w:altName w:val="Yu Gothic UI"/>
    <w:panose1 w:val="02020609040205080304"/>
    <w:charset w:val="80"/>
    <w:family w:val="modern"/>
    <w:pitch w:val="fixed"/>
    <w:sig w:usb0="E00002FF" w:usb1="6AC7FDFB" w:usb2="00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00000287" w:usb1="00000000" w:usb2="00000000" w:usb3="00000000" w:csb0="0000009F" w:csb1="00000000"/>
  </w:font>
  <w:font w:name="Russian Baltica">
    <w:charset w:val="00"/>
    <w:family w:val="roman"/>
    <w:pitch w:val="variable"/>
    <w:sig w:usb0="00000003" w:usb1="00000000" w:usb2="00000000" w:usb3="00000000" w:csb0="00000001" w:csb1="00000000"/>
  </w:font>
  <w:font w:name="Dallak Helv">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charset w:val="01"/>
    <w:family w:val="roman"/>
    <w:pitch w:val="variable"/>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K Courier">
    <w:charset w:val="00"/>
    <w:family w:val="modern"/>
    <w:pitch w:val="fixed"/>
    <w:sig w:usb0="E0002EFF" w:usb1="C0007843" w:usb2="00000009" w:usb3="00000000" w:csb0="000001FF" w:csb1="00000000"/>
  </w:font>
  <w:font w:name="Browallia New">
    <w:charset w:val="00"/>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erriweather">
    <w:altName w:val="Times New Roman"/>
    <w:charset w:val="00"/>
    <w:family w:val="auto"/>
    <w:pitch w:val="default"/>
  </w:font>
  <w:font w:name="IRTEK Courier">
    <w:altName w:val="Courier New"/>
    <w:charset w:val="00"/>
    <w:family w:val="roman"/>
    <w:pitch w:val="fixed"/>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DengXian">
    <w:altName w:val="等线"/>
    <w:panose1 w:val="02010600030101010101"/>
    <w:charset w:val="86"/>
    <w:family w:val="auto"/>
    <w:pitch w:val="variable"/>
    <w:sig w:usb0="A00002BF" w:usb1="38CF7CFA" w:usb2="00000016" w:usb3="00000000" w:csb0="0004000F" w:csb1="00000000"/>
  </w:font>
  <w:font w:name="Times Unicode">
    <w:panose1 w:val="02020603050405020304"/>
    <w:charset w:val="00"/>
    <w:family w:val="roman"/>
    <w:pitch w:val="variable"/>
    <w:sig w:usb0="00000287" w:usb1="00000000" w:usb2="00000000" w:usb3="00000000" w:csb0="0000009F" w:csb1="00000000"/>
  </w:font>
  <w:font w:name="GHEAGrapalat">
    <w:altName w:val="MS Mincho"/>
    <w:panose1 w:val="00000000000000000000"/>
    <w:charset w:val="80"/>
    <w:family w:val="auto"/>
    <w:notTrueType/>
    <w:pitch w:val="default"/>
    <w:sig w:usb0="00000001" w:usb1="08070000" w:usb2="00000010" w:usb3="00000000" w:csb0="00020000" w:csb1="00000000"/>
  </w:font>
  <w:font w:name="Arial CIT">
    <w:altName w:val="Times New Roman"/>
    <w:charset w:val="00"/>
    <w:family w:val="swiss"/>
    <w:pitch w:val="variable"/>
    <w:sig w:usb0="00000003" w:usb1="00000000" w:usb2="00000000" w:usb3="00000000" w:csb0="000001FF" w:csb1="00000000"/>
  </w:font>
  <w:font w:name="GHEAGrapalat-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6A8" w:rsidRPr="00560CEC" w:rsidRDefault="003C3925">
    <w:pPr>
      <w:pStyle w:val="Footer"/>
      <w:jc w:val="center"/>
      <w:rPr>
        <w:sz w:val="18"/>
        <w:szCs w:val="18"/>
      </w:rPr>
    </w:pPr>
    <w:r w:rsidRPr="00560CEC">
      <w:rPr>
        <w:sz w:val="18"/>
        <w:szCs w:val="18"/>
      </w:rPr>
      <w:fldChar w:fldCharType="begin"/>
    </w:r>
    <w:r w:rsidR="002026A8" w:rsidRPr="00560CEC">
      <w:rPr>
        <w:sz w:val="18"/>
        <w:szCs w:val="18"/>
      </w:rPr>
      <w:instrText xml:space="preserve"> PAGE   \* MERGEFORMAT </w:instrText>
    </w:r>
    <w:r w:rsidRPr="00560CEC">
      <w:rPr>
        <w:sz w:val="18"/>
        <w:szCs w:val="18"/>
      </w:rPr>
      <w:fldChar w:fldCharType="separate"/>
    </w:r>
    <w:r w:rsidR="00BD0C63">
      <w:rPr>
        <w:noProof/>
        <w:sz w:val="18"/>
        <w:szCs w:val="18"/>
      </w:rPr>
      <w:t>2</w:t>
    </w:r>
    <w:r w:rsidRPr="00560CEC">
      <w:rPr>
        <w:noProof/>
        <w:sz w:val="18"/>
        <w:szCs w:val="18"/>
      </w:rPr>
      <w:fldChar w:fldCharType="end"/>
    </w:r>
  </w:p>
  <w:p w:rsidR="002026A8" w:rsidRDefault="00202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00B" w:rsidRDefault="0043500B" w:rsidP="00F52B25">
      <w:r>
        <w:separator/>
      </w:r>
    </w:p>
  </w:footnote>
  <w:footnote w:type="continuationSeparator" w:id="0">
    <w:p w:rsidR="0043500B" w:rsidRDefault="0043500B" w:rsidP="00F52B25">
      <w:r>
        <w:continuationSeparator/>
      </w:r>
    </w:p>
  </w:footnote>
  <w:footnote w:id="1">
    <w:p w:rsidR="002026A8" w:rsidRPr="00500ADC" w:rsidRDefault="002026A8" w:rsidP="00DE6C7D">
      <w:pPr>
        <w:pStyle w:val="FootnoteText"/>
      </w:pPr>
      <w:r w:rsidRPr="00500ADC">
        <w:rPr>
          <w:rStyle w:val="FootnoteReference"/>
        </w:rPr>
        <w:footnoteRef/>
      </w:r>
      <w:r w:rsidRPr="00DE6C7D">
        <w:t>Կապիտալ ներդրումներում ներառված չէ պաշարների փոփոխությունը, ներկայացված են միայն հիմնական միջոցներում կատարված կապիտալ ներդրումները, քանի որ 2019թ.-ից ՀՀ ՎԿ կողմից պաշարների փոփոխությունը հաշվառվում է որպես հաշվեկշռող գործոն կամ այլ կերպ՝ վիճակագրական սխալները ներառվում են դրա մեջ:</w:t>
      </w:r>
    </w:p>
  </w:footnote>
  <w:footnote w:id="2">
    <w:p w:rsidR="002026A8" w:rsidRPr="00DE6C7D" w:rsidRDefault="002026A8" w:rsidP="00DE6C7D">
      <w:pPr>
        <w:pStyle w:val="FootnoteText"/>
      </w:pPr>
      <w:r w:rsidRPr="00DE6C7D">
        <w:rPr>
          <w:rStyle w:val="FootnoteReference"/>
          <w:rFonts w:ascii="GHEA Grapalat" w:hAnsi="GHEA Grapalat"/>
          <w:sz w:val="16"/>
          <w:szCs w:val="16"/>
        </w:rPr>
        <w:footnoteRef/>
      </w:r>
      <w:r w:rsidRPr="00DE6C7D">
        <w:t xml:space="preserve"> ՀՀ երկրի ռիսկի հավելավճարը՝ կորոնավիրուսի առաջին ալիքի ազդեցության որոշակի կայունացումից հետո, սեպտեմբերի 28–ից սկսել է բարձրանալ՝ պայմանավորված Արցախյան պատերազմական գործողություններով:</w:t>
      </w:r>
    </w:p>
  </w:footnote>
  <w:footnote w:id="3">
    <w:p w:rsidR="002026A8" w:rsidRPr="008411CC" w:rsidRDefault="002026A8" w:rsidP="00DE6C7D">
      <w:pPr>
        <w:pStyle w:val="FootnoteText"/>
        <w:rPr>
          <w:i/>
        </w:rPr>
      </w:pPr>
      <w:r w:rsidRPr="00DE6C7D">
        <w:rPr>
          <w:rStyle w:val="FootnoteReference"/>
          <w:rFonts w:ascii="GHEA Grapalat" w:hAnsi="GHEA Grapalat"/>
          <w:sz w:val="16"/>
          <w:szCs w:val="16"/>
        </w:rPr>
        <w:footnoteRef/>
      </w:r>
      <w:r w:rsidRPr="00DE6C7D">
        <w:rPr>
          <w:lang w:val="hy-AM"/>
        </w:rPr>
        <w:t xml:space="preserve"> </w:t>
      </w:r>
      <w:r w:rsidRPr="00DE6C7D">
        <w:t>Երկրի ռիսկի հավելավճարները հաշվարկված են որպես տվյալ երկրի եվրոպարտատոմսերի (դոլարային արժույթով) և ԱՄՆ համապատասխան ժամկետայնությամբ գանձապետական պարտատոմսերի եկամտաբերությունների տարբերություն (պարտատոմսերի մարման ժամկետները նշված են երկրների անվանումների կողքը՝ փակագծերում):</w:t>
      </w:r>
      <w:r w:rsidRPr="008411CC">
        <w:rPr>
          <w:i/>
        </w:rPr>
        <w:t xml:space="preserve"> </w:t>
      </w:r>
    </w:p>
  </w:footnote>
  <w:footnote w:id="4">
    <w:p w:rsidR="002026A8" w:rsidRPr="000E6B55" w:rsidRDefault="002026A8" w:rsidP="00DE6C7D">
      <w:pPr>
        <w:pStyle w:val="FootnoteText"/>
        <w:rPr>
          <w:lang w:val="hy-AM"/>
        </w:rPr>
      </w:pPr>
      <w:r>
        <w:rPr>
          <w:rStyle w:val="FootnoteReference"/>
        </w:rPr>
        <w:footnoteRef/>
      </w:r>
      <w:r w:rsidRPr="008411CC">
        <w:rPr>
          <w:i/>
        </w:rPr>
        <w:t xml:space="preserve"> </w:t>
      </w:r>
      <w:r w:rsidRPr="008411CC">
        <w:rPr>
          <w:i/>
          <w:lang w:val="hy-AM"/>
        </w:rPr>
        <w:t xml:space="preserve">Աղբյուրը՝ </w:t>
      </w:r>
      <w:r w:rsidRPr="008411CC">
        <w:rPr>
          <w:i/>
        </w:rPr>
        <w:t>Fiscal Monitor: Policies for the Recovery: October 2020.</w:t>
      </w:r>
      <w:r w:rsidRPr="000E6B55">
        <w:t xml:space="preserve"> </w:t>
      </w:r>
      <w:hyperlink r:id="rId1" w:history="1">
        <w:r w:rsidRPr="000E6B55">
          <w:rPr>
            <w:color w:val="0000FF"/>
            <w:u w:val="single"/>
          </w:rPr>
          <w:t>https://www.imf.org/en/Publications/FM/Issues/2020/09/30/october-2020-fiscal-monitor</w:t>
        </w:r>
      </w:hyperlink>
      <w:r w:rsidRPr="000E6B55">
        <w:t>:</w:t>
      </w:r>
      <w:r w:rsidRPr="004F66C2">
        <w:rPr>
          <w:rFonts w:ascii="Times New Roman" w:hAnsi="Times New Roman"/>
          <w:sz w:val="24"/>
          <w:szCs w:val="24"/>
        </w:rPr>
        <w:t xml:space="preserve"> </w:t>
      </w:r>
      <w:r w:rsidRPr="004F66C2">
        <w:rPr>
          <w:rFonts w:ascii="Times New Roman" w:hAnsi="Times New Roman"/>
          <w:sz w:val="24"/>
          <w:szCs w:val="24"/>
          <w:lang w:val="hy-AM"/>
        </w:rPr>
        <w:t xml:space="preserve"> </w:t>
      </w:r>
    </w:p>
  </w:footnote>
  <w:footnote w:id="5">
    <w:p w:rsidR="002026A8" w:rsidRPr="009206BE" w:rsidRDefault="002026A8" w:rsidP="00DE6C7D">
      <w:pPr>
        <w:pStyle w:val="FootnoteText"/>
        <w:rPr>
          <w:lang w:val="hy-AM"/>
        </w:rPr>
      </w:pPr>
      <w:r w:rsidRPr="000E6B55">
        <w:rPr>
          <w:rStyle w:val="FootnoteReference"/>
          <w:sz w:val="18"/>
          <w:szCs w:val="18"/>
        </w:rPr>
        <w:footnoteRef/>
      </w:r>
      <w:r w:rsidRPr="009206BE">
        <w:rPr>
          <w:lang w:val="hy-AM"/>
        </w:rPr>
        <w:t>ՏԱՑ-ի աճին ճյուղերի նպաստումները ՀՀ ֆինանսների նախարարության գնահատականներն են: Գյուղատնտեսության ցուցանիշը հաշվարկներում ներկայացված չէ,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6">
    <w:p w:rsidR="002026A8" w:rsidRPr="009206BE" w:rsidRDefault="002026A8" w:rsidP="00DE6C7D">
      <w:pPr>
        <w:pStyle w:val="FootnoteText"/>
        <w:rPr>
          <w:lang w:val="hy-AM"/>
        </w:rPr>
      </w:pPr>
      <w:r>
        <w:rPr>
          <w:rStyle w:val="FootnoteReference"/>
        </w:rPr>
        <w:footnoteRef/>
      </w:r>
      <w:r w:rsidRPr="009206BE">
        <w:rPr>
          <w:lang w:val="hy-AM"/>
        </w:rPr>
        <w:t xml:space="preserve"> 2020թ. ՀՀ ՎԿ կողմից աշխատանքի շուկայի վիճակագրության վերանայված մեթոդաբանության համաձայն աշխատանքի շուկայի ցուցանիշները հաշվարկվում են ոչ թե առկա, այլ մշտական բնակչության թվի հիման վրա: </w:t>
      </w:r>
    </w:p>
  </w:footnote>
  <w:footnote w:id="7">
    <w:p w:rsidR="002026A8" w:rsidRPr="009206BE" w:rsidRDefault="002026A8" w:rsidP="00DE6C7D">
      <w:pPr>
        <w:pStyle w:val="FootnoteText"/>
        <w:rPr>
          <w:lang w:val="hy-AM"/>
        </w:rPr>
      </w:pPr>
      <w:r>
        <w:rPr>
          <w:rStyle w:val="FootnoteReference"/>
        </w:rPr>
        <w:footnoteRef/>
      </w:r>
      <w:r w:rsidRPr="009206BE">
        <w:rPr>
          <w:lang w:val="hy-AM"/>
        </w:rPr>
        <w:t xml:space="preserve"> ՀՀ ՖՆ գնահատական, որը տրված է ՀՀ ՎԿ-ի ՀՆԱ-ի պաշտոնական տվյալների ըստ պահանջարկի բաղադրիչներից անցում կատարելով Վճարային հաշվեկշռի բաղադրիչների, համաձայն որի երրորդ եռամսյակում ծառայությունների արտահանման նվազումը գնահատվում է՝ 77.4%, իսկ կուտակային՝ 56%: </w:t>
      </w:r>
    </w:p>
  </w:footnote>
  <w:footnote w:id="8">
    <w:p w:rsidR="002026A8" w:rsidRPr="009206BE" w:rsidRDefault="002026A8" w:rsidP="00DE6C7D">
      <w:pPr>
        <w:pStyle w:val="FootnoteText"/>
        <w:rPr>
          <w:rFonts w:eastAsia="Calibri" w:cs="Sylfaen"/>
          <w:lang w:val="hy-AM"/>
        </w:rPr>
      </w:pPr>
      <w:r>
        <w:rPr>
          <w:rStyle w:val="FootnoteReference"/>
        </w:rPr>
        <w:footnoteRef/>
      </w:r>
      <w:r w:rsidRPr="009206BE">
        <w:rPr>
          <w:lang w:val="hy-AM"/>
        </w:rPr>
        <w:t xml:space="preserve"> ՀՀ ՖՆ գնահատական, որը տրված է ՀՀ ՎԿ-ի ՀՆԱ-ի պաշտոնական տվյալների ըստ պահանջարկի բաղադրիչներից անցում կատարելով Վճարային հաշվեկշռի բաղադրիչների, համաձայն որի երրորդ եռամսյակում ծառայությունների ներմուծման նվազումը գնահատվում է՝ 77.5%, իսկ կուտակային՝ 59.6%: </w:t>
      </w:r>
    </w:p>
    <w:p w:rsidR="002026A8" w:rsidRPr="009206BE" w:rsidRDefault="002026A8" w:rsidP="00DE6C7D">
      <w:pPr>
        <w:pStyle w:val="FootnoteText"/>
        <w:rPr>
          <w:lang w:val="hy-AM"/>
        </w:rPr>
      </w:pPr>
    </w:p>
  </w:footnote>
  <w:footnote w:id="9">
    <w:p w:rsidR="002026A8" w:rsidRPr="009206BE" w:rsidRDefault="002026A8" w:rsidP="00DE6C7D">
      <w:pPr>
        <w:pStyle w:val="FootnoteText"/>
        <w:rPr>
          <w:lang w:val="hy-AM"/>
        </w:rPr>
      </w:pPr>
      <w:r>
        <w:rPr>
          <w:rStyle w:val="FootnoteReference"/>
        </w:rPr>
        <w:footnoteRef/>
      </w:r>
      <w:r w:rsidRPr="009206BE">
        <w:rPr>
          <w:lang w:val="hy-AM"/>
        </w:rPr>
        <w:t xml:space="preserve"> </w:t>
      </w:r>
      <w:r w:rsidRPr="009206BE">
        <w:rPr>
          <w:i/>
          <w:lang w:val="hy-AM"/>
        </w:rPr>
        <w:t>Տե՛ս Ֆինանսական կայունության հաշեվտվություն, 2020/1, ՀՀ ԿԲ</w:t>
      </w:r>
      <w:r w:rsidRPr="009206BE">
        <w:rPr>
          <w:lang w:val="hy-AM"/>
        </w:rPr>
        <w:t xml:space="preserve">, </w:t>
      </w:r>
      <w:hyperlink r:id="rId2" w:history="1">
        <w:r w:rsidRPr="000E6B55">
          <w:rPr>
            <w:rStyle w:val="Hyperlink"/>
            <w:lang w:val="hy-AM"/>
          </w:rPr>
          <w:t>https://www.cba.am/AM/pperiodicals/Stability%20report_I_20.pdf</w:t>
        </w:r>
      </w:hyperlink>
      <w:r w:rsidRPr="009206BE">
        <w:rPr>
          <w:lang w:val="hy-AM"/>
        </w:rPr>
        <w:t xml:space="preserve">։ </w:t>
      </w:r>
    </w:p>
  </w:footnote>
  <w:footnote w:id="10">
    <w:p w:rsidR="002026A8" w:rsidRPr="00DE6C7D" w:rsidRDefault="002026A8" w:rsidP="004E6953">
      <w:pPr>
        <w:pBdr>
          <w:top w:val="nil"/>
          <w:left w:val="nil"/>
          <w:bottom w:val="nil"/>
          <w:right w:val="nil"/>
          <w:between w:val="nil"/>
        </w:pBdr>
        <w:spacing w:line="240" w:lineRule="auto"/>
        <w:ind w:firstLine="0"/>
        <w:rPr>
          <w:rFonts w:eastAsia="Merriweather" w:cs="Merriweather"/>
          <w:b w:val="0"/>
          <w:color w:val="000000"/>
          <w:sz w:val="16"/>
          <w:szCs w:val="16"/>
          <w:lang w:val="hy-AM"/>
        </w:rPr>
      </w:pPr>
      <w:r w:rsidRPr="00DE6C7D">
        <w:rPr>
          <w:rStyle w:val="FootnoteReference"/>
          <w:rFonts w:ascii="GHEA Grapalat" w:hAnsi="GHEA Grapalat"/>
          <w:b w:val="0"/>
          <w:sz w:val="16"/>
          <w:szCs w:val="16"/>
        </w:rPr>
        <w:footnoteRef/>
      </w:r>
      <w:r w:rsidRPr="00DE6C7D">
        <w:rPr>
          <w:b w:val="0"/>
          <w:color w:val="000000"/>
          <w:sz w:val="16"/>
          <w:szCs w:val="16"/>
          <w:lang w:val="hy-AM"/>
        </w:rPr>
        <w:t xml:space="preserve"> </w:t>
      </w:r>
      <w:r w:rsidRPr="00DE6C7D">
        <w:rPr>
          <w:rFonts w:eastAsia="GHEA Grapalat" w:cs="GHEA Grapalat"/>
          <w:b w:val="0"/>
          <w:i/>
          <w:color w:val="000000"/>
          <w:sz w:val="16"/>
          <w:szCs w:val="16"/>
          <w:lang w:val="hy-AM"/>
        </w:rPr>
        <w:t>ՀՀ ֆինանսների նախարարության հարկաբյուջետային քաղաքականության դինամիկ ստոխաստիկ ընդհանուր հավասարակշռության մոդելը մշակվել է 2018-2020թթ. ընթացքում՝ ԱՄՀ կողմից տրամադրված տեխնիկական աջակցության շրջանակներում, ավելի մանրամասն տես Ներդիր 2.-ում:</w:t>
      </w:r>
    </w:p>
  </w:footnote>
  <w:footnote w:id="11">
    <w:p w:rsidR="002026A8" w:rsidRPr="009206BE" w:rsidRDefault="002026A8" w:rsidP="00DE6C7D">
      <w:pPr>
        <w:pStyle w:val="FootnoteText"/>
        <w:rPr>
          <w:sz w:val="18"/>
          <w:szCs w:val="18"/>
          <w:lang w:val="hy-AM"/>
        </w:rPr>
      </w:pPr>
      <w:r w:rsidRPr="00DE6C7D">
        <w:rPr>
          <w:rStyle w:val="FootnoteReference"/>
          <w:rFonts w:ascii="GHEA Grapalat" w:hAnsi="GHEA Grapalat"/>
          <w:sz w:val="16"/>
          <w:szCs w:val="16"/>
        </w:rPr>
        <w:footnoteRef/>
      </w:r>
      <w:r w:rsidRPr="009206BE">
        <w:rPr>
          <w:lang w:val="hy-AM"/>
        </w:rPr>
        <w:t xml:space="preserve"> </w:t>
      </w:r>
      <w:r w:rsidRPr="009206BE">
        <w:rPr>
          <w:rFonts w:eastAsia="GHEA Grapalat"/>
          <w:lang w:val="hy-AM"/>
        </w:rPr>
        <w:t>2021 թ.</w:t>
      </w:r>
      <w:r w:rsidRPr="009206BE">
        <w:rPr>
          <w:lang w:val="hy-AM"/>
        </w:rPr>
        <w:t xml:space="preserve"> </w:t>
      </w:r>
      <w:r w:rsidRPr="009206BE">
        <w:rPr>
          <w:rFonts w:eastAsia="GHEA Grapalat"/>
          <w:lang w:val="hy-AM"/>
        </w:rPr>
        <w:t>պետական բյուջեի հիմքում դրվող մակրոշրջանակի սկզբնական կանխատեսումներն իրականացվել են օգոստոս ամսին:</w:t>
      </w:r>
    </w:p>
  </w:footnote>
  <w:footnote w:id="12">
    <w:p w:rsidR="002026A8" w:rsidRPr="009206BE" w:rsidRDefault="002026A8" w:rsidP="00DE6C7D">
      <w:pPr>
        <w:pStyle w:val="FootnoteText"/>
        <w:rPr>
          <w:lang w:val="hy-AM"/>
        </w:rPr>
      </w:pPr>
      <w:r w:rsidRPr="00DE6C7D">
        <w:rPr>
          <w:rStyle w:val="FootnoteReference"/>
          <w:rFonts w:ascii="GHEA Grapalat" w:hAnsi="GHEA Grapalat"/>
          <w:sz w:val="16"/>
          <w:szCs w:val="16"/>
        </w:rPr>
        <w:footnoteRef/>
      </w:r>
      <w:r w:rsidRPr="009206BE">
        <w:rPr>
          <w:lang w:val="hy-AM"/>
        </w:rPr>
        <w:t xml:space="preserve"> </w:t>
      </w:r>
      <w:r w:rsidRPr="009206BE">
        <w:rPr>
          <w:rFonts w:eastAsia="GHEA Grapalat"/>
          <w:lang w:val="hy-AM"/>
        </w:rPr>
        <w:t>ՀՀ գործընկեր երկրների տնտեսական աճերի 2020 և 2021 թթ. ԱՄՀ կողմից հոկտեմբեր ամսվա կանխատեսումները և նախորդ կանխատեսումների հետ համեմատականը ներկայացված են Աղյուսակ 1.2.-ում</w:t>
      </w:r>
    </w:p>
  </w:footnote>
  <w:footnote w:id="13">
    <w:p w:rsidR="002026A8" w:rsidRPr="009206BE" w:rsidRDefault="002026A8" w:rsidP="00DE6C7D">
      <w:pPr>
        <w:pStyle w:val="FootnoteText"/>
        <w:rPr>
          <w:rFonts w:eastAsia="GHEA Grapalat"/>
          <w:sz w:val="18"/>
          <w:szCs w:val="18"/>
          <w:lang w:val="hy-AM"/>
        </w:rPr>
      </w:pPr>
      <w:r w:rsidRPr="00DE6C7D">
        <w:rPr>
          <w:rStyle w:val="FootnoteReference"/>
          <w:rFonts w:ascii="GHEA Grapalat" w:hAnsi="GHEA Grapalat"/>
          <w:sz w:val="16"/>
          <w:szCs w:val="16"/>
        </w:rPr>
        <w:footnoteRef/>
      </w:r>
      <w:r w:rsidRPr="009206BE">
        <w:rPr>
          <w:lang w:val="hy-AM"/>
        </w:rPr>
        <w:t xml:space="preserve"> </w:t>
      </w:r>
      <w:r w:rsidRPr="009206BE">
        <w:rPr>
          <w:rFonts w:eastAsia="GHEA Grapalat"/>
          <w:lang w:val="hy-AM"/>
        </w:rPr>
        <w:t>Առավել մանրամասն ներկայացված է Ներդիր 3-ում։</w:t>
      </w:r>
    </w:p>
  </w:footnote>
  <w:footnote w:id="14">
    <w:p w:rsidR="002026A8" w:rsidRPr="009206BE" w:rsidRDefault="002026A8" w:rsidP="00DE6C7D">
      <w:pPr>
        <w:pStyle w:val="FootnoteText"/>
        <w:rPr>
          <w:lang w:val="hy-AM"/>
        </w:rPr>
      </w:pPr>
      <w:r w:rsidRPr="00DE6C7D">
        <w:rPr>
          <w:rStyle w:val="FootnoteReference"/>
          <w:rFonts w:ascii="GHEA Grapalat" w:hAnsi="GHEA Grapalat"/>
          <w:sz w:val="16"/>
          <w:szCs w:val="16"/>
        </w:rPr>
        <w:footnoteRef/>
      </w:r>
      <w:r w:rsidRPr="009206BE">
        <w:rPr>
          <w:lang w:val="hy-AM"/>
        </w:rPr>
        <w:t xml:space="preserve"> «Այլընտրանքային» սցենարը կառուցվել է 2021-2023 ՄԺԾԾ գործընթացի ժամանակ, որը ենթադրում էր հիմնական սցենարի համեմատ արտաքին և ներքին ավելի ուժգին և երկարատև բացասական շոկերի դրսևորումներ</w:t>
      </w:r>
    </w:p>
  </w:footnote>
  <w:footnote w:id="15">
    <w:p w:rsidR="002026A8" w:rsidRPr="009206BE" w:rsidRDefault="002026A8" w:rsidP="00DE6C7D">
      <w:pPr>
        <w:pStyle w:val="FootnoteText"/>
        <w:rPr>
          <w:rFonts w:eastAsia="GHEA Grapalat"/>
          <w:lang w:val="hy-AM"/>
        </w:rPr>
      </w:pPr>
      <w:r w:rsidRPr="00DE6C7D">
        <w:rPr>
          <w:rStyle w:val="FootnoteReference"/>
          <w:rFonts w:ascii="GHEA Grapalat" w:hAnsi="GHEA Grapalat"/>
          <w:sz w:val="16"/>
          <w:szCs w:val="16"/>
        </w:rPr>
        <w:footnoteRef/>
      </w:r>
      <w:r w:rsidRPr="009206BE">
        <w:rPr>
          <w:lang w:val="hy-AM"/>
        </w:rPr>
        <w:t xml:space="preserve"> </w:t>
      </w:r>
      <w:r w:rsidRPr="009206BE">
        <w:rPr>
          <w:rFonts w:eastAsia="GHEA Grapalat"/>
          <w:lang w:val="hy-AM"/>
        </w:rPr>
        <w:t xml:space="preserve">Սկզբնական գնահատումներով  ներքին շոկերը  հանգեցնում էին  ՀՆԱ-ի 3-3.5% կորստի, սակայն վերջին զարգացումներով պայմանավորված ազդեցությունը գնհատվել է ավելի խորը՝ շուրջ 6.7%: </w:t>
      </w:r>
    </w:p>
  </w:footnote>
  <w:footnote w:id="16">
    <w:p w:rsidR="002026A8" w:rsidRPr="009206BE" w:rsidRDefault="002026A8" w:rsidP="00DE6C7D">
      <w:pPr>
        <w:pStyle w:val="FootnoteText"/>
        <w:rPr>
          <w:rFonts w:eastAsia="GHEA Grapalat"/>
          <w:lang w:val="hy-AM"/>
        </w:rPr>
      </w:pPr>
      <w:r w:rsidRPr="00DE6C7D">
        <w:rPr>
          <w:rStyle w:val="FootnoteReference"/>
          <w:rFonts w:ascii="GHEA Grapalat" w:hAnsi="GHEA Grapalat"/>
          <w:sz w:val="16"/>
          <w:szCs w:val="16"/>
        </w:rPr>
        <w:footnoteRef/>
      </w:r>
      <w:r w:rsidRPr="009206BE">
        <w:rPr>
          <w:lang w:val="hy-AM"/>
        </w:rPr>
        <w:t xml:space="preserve"> </w:t>
      </w:r>
      <w:r w:rsidRPr="009206BE">
        <w:rPr>
          <w:rFonts w:eastAsia="GHEA Grapalat"/>
          <w:lang w:val="hy-AM"/>
        </w:rPr>
        <w:t>ԱՄՀ կանխատեսւոմներով, արտաքին պահանջարկը սկզբնական կանխատեսումներում օգտագործված գնահատականի համեմատ 2%-ային կետով վերանայվել է  դրական ուղղությամբ՝  իր դրական նպաստումն ունենալով ՀՀ տնտեսական աճի գնահատականի վրա:</w:t>
      </w:r>
    </w:p>
  </w:footnote>
  <w:footnote w:id="17">
    <w:p w:rsidR="002026A8" w:rsidRPr="009206BE" w:rsidRDefault="002026A8" w:rsidP="00DE6C7D">
      <w:pPr>
        <w:pStyle w:val="FootnoteText"/>
        <w:rPr>
          <w:rFonts w:eastAsia="GHEA Grapalat"/>
          <w:lang w:val="hy-AM"/>
        </w:rPr>
      </w:pPr>
      <w:r w:rsidRPr="00DE6C7D">
        <w:rPr>
          <w:rStyle w:val="FootnoteReference"/>
          <w:rFonts w:ascii="GHEA Grapalat" w:hAnsi="GHEA Grapalat"/>
          <w:sz w:val="16"/>
          <w:szCs w:val="16"/>
        </w:rPr>
        <w:footnoteRef/>
      </w:r>
      <w:r w:rsidRPr="009206BE">
        <w:rPr>
          <w:lang w:val="hy-AM"/>
        </w:rPr>
        <w:t xml:space="preserve"> </w:t>
      </w:r>
      <w:r w:rsidRPr="009206BE">
        <w:rPr>
          <w:rFonts w:eastAsia="GHEA Grapalat"/>
          <w:lang w:val="hy-AM"/>
        </w:rPr>
        <w:t>Պատերազմական գործողություններով պայմանավորված Սեպտեմբերի 28-ից ՀՀ երկրի ռիսկի հավելավճարը սկսել է բարձրանալ (2019 թ. հունվար- 2020 թ. նոյեմբեր  ժամանակահատվածի հետագիծը՝ տե՛ս Գծապատկեր 1.6.-ում), արդյունքում ռիսկ պրեմիայի շոկի գնահատատականը սկզբնական կանխատեսումների համեմատ վերանայվել է 0.3%-ային կետով:</w:t>
      </w:r>
    </w:p>
  </w:footnote>
  <w:footnote w:id="18">
    <w:p w:rsidR="002026A8" w:rsidRPr="009206BE" w:rsidRDefault="002026A8" w:rsidP="00DE6C7D">
      <w:pPr>
        <w:pStyle w:val="FootnoteText"/>
        <w:rPr>
          <w:lang w:val="hy-AM"/>
        </w:rPr>
      </w:pPr>
      <w:r w:rsidRPr="00DE6C7D">
        <w:rPr>
          <w:rStyle w:val="FootnoteReference"/>
          <w:rFonts w:ascii="GHEA Grapalat" w:hAnsi="GHEA Grapalat"/>
          <w:sz w:val="16"/>
          <w:szCs w:val="16"/>
        </w:rPr>
        <w:footnoteRef/>
      </w:r>
      <w:r w:rsidRPr="009206BE">
        <w:rPr>
          <w:lang w:val="hy-AM"/>
        </w:rPr>
        <w:t xml:space="preserve"> 215.0 մլրդ դրամն ունի հետևյալ կառուցվածքը. 150 մլրդ դրամ՝ սոցիալ-տնտեսական միջոցառումների փաթեթների գծով ծախսեր, 65 մլրդ դրամ՝ շահութահարկի կանխավճարների համակարգի վերանայման և տրամադրված հարկային արձակուրդի արդյունքում չստացված հարկային եկամուտներ:</w:t>
      </w:r>
    </w:p>
  </w:footnote>
  <w:footnote w:id="19">
    <w:p w:rsidR="002026A8" w:rsidRPr="00DE6C7D" w:rsidRDefault="002026A8" w:rsidP="00CF2B2C">
      <w:pPr>
        <w:spacing w:line="240" w:lineRule="auto"/>
        <w:ind w:firstLine="0"/>
        <w:rPr>
          <w:i/>
          <w:sz w:val="16"/>
          <w:szCs w:val="16"/>
          <w:lang w:val="hy-AM"/>
        </w:rPr>
      </w:pPr>
      <w:r w:rsidRPr="00DE6C7D">
        <w:rPr>
          <w:sz w:val="16"/>
          <w:szCs w:val="16"/>
          <w:vertAlign w:val="superscript"/>
          <w:lang w:val="hy-AM"/>
        </w:rPr>
        <w:footnoteRef/>
      </w:r>
      <w:r w:rsidRPr="00DE6C7D">
        <w:rPr>
          <w:sz w:val="16"/>
          <w:szCs w:val="16"/>
          <w:vertAlign w:val="superscript"/>
          <w:lang w:val="hy-AM"/>
        </w:rPr>
        <w:t xml:space="preserve"> </w:t>
      </w:r>
      <w:r w:rsidRPr="00DE6C7D">
        <w:rPr>
          <w:b w:val="0"/>
          <w:i/>
          <w:sz w:val="16"/>
          <w:szCs w:val="16"/>
          <w:lang w:val="hy-AM"/>
        </w:rPr>
        <w:t>Աղյուսակի 1-ին սյունը իրենից ներկայացնում է տնտեսական աճի հնարավոր միջա</w:t>
      </w:r>
      <w:r w:rsidRPr="00DE6C7D">
        <w:rPr>
          <w:b w:val="0"/>
          <w:i/>
          <w:sz w:val="16"/>
          <w:szCs w:val="16"/>
          <w:lang w:val="hy-AM"/>
        </w:rPr>
        <w:softHyphen/>
        <w:t>կայքերը, իսկ 2-ից 5-րդ սյուները` համապատասխան միջակայքերում տնտեսական աճի գտնվելու հավանականությունները։ Աղյուսակում ներկայացվել են տնտեսական աճի ամենահավանական միջակայքերը, որոնք միասին ծածկում են բաշխման ընդհանուր հավանականության շուրջ 70%-ը, այսինքն` հավանականությունը, որ տնտեսական աճը կգտնվի -2%-ից 6%  միջակայքում, կազմում է մոտ 70%:</w:t>
      </w:r>
    </w:p>
  </w:footnote>
  <w:footnote w:id="20">
    <w:p w:rsidR="002026A8" w:rsidRPr="009206BE" w:rsidRDefault="002026A8" w:rsidP="00DE6C7D">
      <w:pPr>
        <w:pStyle w:val="FootnoteText"/>
        <w:rPr>
          <w:lang w:val="hy-AM"/>
        </w:rPr>
      </w:pPr>
      <w:r>
        <w:rPr>
          <w:rStyle w:val="FootnoteReference"/>
        </w:rPr>
        <w:footnoteRef/>
      </w:r>
      <w:r w:rsidRPr="009206BE">
        <w:rPr>
          <w:lang w:val="hy-AM"/>
        </w:rPr>
        <w:t xml:space="preserve"> Առավել մանրամասն ներկայացված է «2.5. Հարկաբյուջետային քաղաքականության համապատասխանությունը հարկաբյուջետային կանոններին» հատվածում</w:t>
      </w:r>
    </w:p>
  </w:footnote>
  <w:footnote w:id="21">
    <w:p w:rsidR="002026A8" w:rsidRPr="009206BE" w:rsidRDefault="002026A8" w:rsidP="00DE6C7D">
      <w:pPr>
        <w:pStyle w:val="FootnoteText"/>
        <w:rPr>
          <w:color w:val="000000"/>
          <w:lang w:val="hy-AM"/>
        </w:rPr>
      </w:pPr>
      <w:r w:rsidRPr="00426D58">
        <w:rPr>
          <w:rStyle w:val="FootnoteReference"/>
        </w:rPr>
        <w:footnoteRef/>
      </w:r>
      <w:r w:rsidRPr="009206BE">
        <w:rPr>
          <w:lang w:val="hy-AM"/>
        </w:rPr>
        <w:t xml:space="preserve"> Կառավարության պարտքի բեռի փոփոխության տրոհումը ըստ գործոնների հաշվարկվել է բաց տնտեսությունում «պարտքի շարժման» բանաձևի օգնությամբ, որտեղ պարտքի փոփոխությունը ֆունկցիա է տնտեսական աճից</w:t>
      </w:r>
      <w:r w:rsidRPr="009206BE">
        <w:rPr>
          <w:rFonts w:ascii="Cambria Math" w:hAnsi="Cambria Math" w:cs="Cambria Math"/>
          <w:lang w:val="hy-AM"/>
        </w:rPr>
        <w:t>,</w:t>
      </w:r>
      <w:r w:rsidRPr="009206BE">
        <w:rPr>
          <w:lang w:val="hy-AM"/>
        </w:rPr>
        <w:t xml:space="preserve"> </w:t>
      </w:r>
      <w:r w:rsidRPr="009206BE">
        <w:rPr>
          <w:rFonts w:cs="GHEA Grapalat"/>
          <w:lang w:val="hy-AM"/>
        </w:rPr>
        <w:t>բյուջեի</w:t>
      </w:r>
      <w:r w:rsidRPr="009206BE">
        <w:rPr>
          <w:lang w:val="hy-AM"/>
        </w:rPr>
        <w:t xml:space="preserve"> առաջնային հաշվեկշռից, փոխարժեքից, իրական տոկոսադրույքից և պարտք առաջացնող այլ հոսքերից (ՀՀ համար՝ զուտ վարկավորում պետական բյուջեից)։ Հաշվարկման ընթացքում այս </w:t>
      </w:r>
      <w:r w:rsidRPr="009206BE">
        <w:rPr>
          <w:color w:val="000000"/>
          <w:lang w:val="hy-AM"/>
        </w:rPr>
        <w:t xml:space="preserve">գործոններով չբացատրված պարտքի փոփոխության չափը արտացոլվում է որպես «մնացորդ», և, կարող է բնութագրել քրոս փոխարժեքների փոփոխությամբ պայմանավորված վերագնահատման, ինչպես նաև պետական բյուջեի պակասուրդի ֆինանսավորման մեջ ներառվող, սակայն զուտ փոխառությունների և զուտ վարկավորման հետ առնչություն չունեցող գործոնների արդյունք։  </w:t>
      </w:r>
    </w:p>
  </w:footnote>
  <w:footnote w:id="22">
    <w:p w:rsidR="002026A8" w:rsidRPr="009206BE" w:rsidRDefault="002026A8" w:rsidP="00DE6C7D">
      <w:pPr>
        <w:pStyle w:val="FootnoteText"/>
        <w:rPr>
          <w:lang w:val="hy-AM"/>
        </w:rPr>
      </w:pPr>
      <w:r>
        <w:rPr>
          <w:rStyle w:val="FootnoteReference"/>
        </w:rPr>
        <w:footnoteRef/>
      </w:r>
      <w:r w:rsidRPr="009206BE">
        <w:rPr>
          <w:lang w:val="hy-AM"/>
        </w:rPr>
        <w:t xml:space="preserve"> 237.9 մլրդ դրամն ունի հետևյալ կառուցվածքը. 150 մլրդ դրամ՝ սոցիալ-տնտեսական միջոցառումների փաթեթների գծով ծախսեր, 65 մլրդ դրամ՝ շահութահարկի կանխավճարների համակարգի վերանայման և տրամադրված հարկային արձակուրդի արդյունքում չստացված հարկային եկամուտներ, 22.9 մլրդ դրամ՝ առջողջապահական ծախսեր:</w:t>
      </w:r>
    </w:p>
  </w:footnote>
  <w:footnote w:id="23">
    <w:p w:rsidR="002026A8" w:rsidRPr="009206BE" w:rsidRDefault="002026A8" w:rsidP="00DE6C7D">
      <w:pPr>
        <w:pStyle w:val="FootnoteText"/>
        <w:rPr>
          <w:lang w:val="hy-AM"/>
        </w:rPr>
      </w:pPr>
      <w:r w:rsidRPr="007D3F17">
        <w:rPr>
          <w:rStyle w:val="FootnoteReference"/>
        </w:rPr>
        <w:footnoteRef/>
      </w:r>
      <w:r w:rsidRPr="009206BE">
        <w:rPr>
          <w:lang w:val="hy-AM"/>
        </w:rPr>
        <w:t xml:space="preserve"> Աղբյուրը՝ </w:t>
      </w:r>
      <w:hyperlink r:id="rId3" w:history="1">
        <w:r w:rsidRPr="007D3F17">
          <w:rPr>
            <w:rStyle w:val="Hyperlink"/>
            <w:lang w:val="hy-AM"/>
          </w:rPr>
          <w:t>https://blogs.imf.org/2020/07/10/fiscal-policies-for-a-transformed-world/</w:t>
        </w:r>
      </w:hyperlink>
      <w:r w:rsidRPr="009206BE">
        <w:rPr>
          <w:lang w:val="hy-AM"/>
        </w:rPr>
        <w:t xml:space="preserve">։ </w:t>
      </w:r>
    </w:p>
  </w:footnote>
  <w:footnote w:id="24">
    <w:p w:rsidR="002026A8" w:rsidRPr="009206BE" w:rsidRDefault="002026A8" w:rsidP="00DE6C7D">
      <w:pPr>
        <w:pStyle w:val="FootnoteText"/>
        <w:rPr>
          <w:rFonts w:ascii="Sylfaen" w:hAnsi="Sylfaen"/>
          <w:lang w:val="hy-AM"/>
        </w:rPr>
      </w:pPr>
      <w:r>
        <w:rPr>
          <w:rStyle w:val="FootnoteReference"/>
        </w:rPr>
        <w:footnoteRef/>
      </w:r>
      <w:r w:rsidRPr="009206BE">
        <w:rPr>
          <w:lang w:val="hy-AM"/>
        </w:rPr>
        <w:t xml:space="preserve"> Աղբյուրը՝ ԱՄՀ, </w:t>
      </w:r>
      <w:hyperlink r:id="rId4" w:history="1">
        <w:r w:rsidRPr="00EF5343">
          <w:rPr>
            <w:rStyle w:val="Hyperlink"/>
            <w:lang w:val="hy-AM"/>
          </w:rPr>
          <w:t>https://www.imf.org/en/Topics/imf-and-covid19/Fiscal-Policies-Database-in-Response-to-COVID-19</w:t>
        </w:r>
      </w:hyperlink>
      <w:r w:rsidRPr="009206BE">
        <w:rPr>
          <w:lang w:val="hy-AM"/>
        </w:rPr>
        <w:t>։ Տվյալները հունիսի 12-ի դրությամբ։</w:t>
      </w:r>
      <w:r w:rsidRPr="009206BE">
        <w:rPr>
          <w:rFonts w:ascii="Sylfaen" w:hAnsi="Sylfaen"/>
          <w:lang w:val="hy-AM"/>
        </w:rPr>
        <w:t xml:space="preserve"> </w:t>
      </w:r>
    </w:p>
  </w:footnote>
  <w:footnote w:id="25">
    <w:p w:rsidR="002026A8" w:rsidRPr="00A304DA" w:rsidRDefault="002026A8" w:rsidP="00DE6C7D">
      <w:pPr>
        <w:pStyle w:val="FootnoteText"/>
      </w:pPr>
      <w:r w:rsidRPr="00A304DA">
        <w:rPr>
          <w:rStyle w:val="FootnoteReference"/>
        </w:rPr>
        <w:footnoteRef/>
      </w:r>
      <w:r w:rsidRPr="009206BE">
        <w:rPr>
          <w:lang w:val="hy-AM"/>
        </w:rPr>
        <w:t xml:space="preserve"> Տնտեսության աջակցության ծրագրերն առավել մանրամասն ներկայացված են ՀՀ կառավարության պաշտոնական էջում, որը հասանելի է հետևյալ հղմամբ. </w:t>
      </w:r>
      <w:hyperlink r:id="rId5" w:history="1">
        <w:r w:rsidRPr="00E832D0">
          <w:rPr>
            <w:rStyle w:val="Hyperlink"/>
            <w:lang w:val="hy-AM"/>
          </w:rPr>
          <w:t>https://www.gov.am/am/covid19./</w:t>
        </w:r>
      </w:hyperlink>
      <w:r>
        <w:t xml:space="preserve"> </w:t>
      </w:r>
    </w:p>
  </w:footnote>
  <w:footnote w:id="26">
    <w:p w:rsidR="002026A8" w:rsidRPr="00A304DA" w:rsidRDefault="002026A8" w:rsidP="00DE6C7D">
      <w:pPr>
        <w:pStyle w:val="FootnoteText"/>
      </w:pPr>
      <w:r>
        <w:rPr>
          <w:rStyle w:val="FootnoteReference"/>
        </w:rPr>
        <w:footnoteRef/>
      </w:r>
      <w:r w:rsidRPr="00A304DA">
        <w:t xml:space="preserve"> Սոցիալական աջակցության ծրագրերն առավել մանրամասն ներկայացված են ՀՀ կառավարության պաշտոնական էջում, որը հասանելի է հետևյալ հղմամբ. </w:t>
      </w:r>
      <w:hyperlink r:id="rId6" w:history="1">
        <w:r w:rsidRPr="00E832D0">
          <w:rPr>
            <w:rStyle w:val="Hyperlink"/>
            <w:lang w:val="hy-AM"/>
          </w:rPr>
          <w:t>https://www.gov.am/am/covid-19-cragrer./</w:t>
        </w:r>
      </w:hyperlink>
      <w:r w:rsidRPr="00A304DA">
        <w:t xml:space="preserve"> </w:t>
      </w:r>
    </w:p>
  </w:footnote>
  <w:footnote w:id="27">
    <w:p w:rsidR="002026A8" w:rsidRPr="000878DD" w:rsidRDefault="002026A8" w:rsidP="00DE6C7D">
      <w:pPr>
        <w:pStyle w:val="FootnoteText"/>
      </w:pPr>
      <w:r>
        <w:rPr>
          <w:rStyle w:val="FootnoteReference"/>
        </w:rPr>
        <w:footnoteRef/>
      </w:r>
      <w:r w:rsidRPr="000878DD">
        <w:t xml:space="preserve"> Հարկաբյուջետային կանխատեսումների համար հիմք է հանդիսացել 2020թ.-</w:t>
      </w:r>
      <w:r>
        <w:t>ի հունիսի վերջի դրությամբ առկա տեղեկատվությունը՝ համավարակի</w:t>
      </w:r>
      <w:r w:rsidRPr="00B2302A">
        <w:t xml:space="preserve"> տարածման արագության, դրա </w:t>
      </w:r>
      <w:r>
        <w:t>տնտեսական ազդեցությունների, միջազգային կազմակերպությունների կանխատեսումների, ինչպես նաև հարկաբյուջետային քաղաքականության հակաճգնաժամային միջոցառումների վերաբերյալ:</w:t>
      </w:r>
    </w:p>
  </w:footnote>
  <w:footnote w:id="28">
    <w:p w:rsidR="002026A8" w:rsidRPr="00E2325B" w:rsidRDefault="002026A8" w:rsidP="00DE6C7D">
      <w:pPr>
        <w:pStyle w:val="FootnoteText"/>
      </w:pPr>
      <w:r w:rsidRPr="00E2325B">
        <w:rPr>
          <w:rStyle w:val="FootnoteReference"/>
        </w:rPr>
        <w:footnoteRef/>
      </w:r>
      <w:r w:rsidRPr="00E2325B">
        <w:t xml:space="preserve"> </w:t>
      </w:r>
      <w:r>
        <w:t>Ա</w:t>
      </w:r>
      <w:r w:rsidRPr="00E2325B">
        <w:t>յս հատվածում նկարագրված ռիսկերի առավել մանրամասն վերլուծությունը ներկայացված է այս փաստաթղթի ՄԱՍ IV-ի «</w:t>
      </w:r>
      <w:r>
        <w:t>Պ</w:t>
      </w:r>
      <w:r w:rsidRPr="00E2325B">
        <w:t>ետական բյուջեի վրա մակրոտնտեսական կանխատեսված ցուցանիշներից շեղման ռիսկերի ազդեցության քանակական գնահատում»</w:t>
      </w:r>
      <w:r>
        <w:t xml:space="preserve"> և</w:t>
      </w:r>
      <w:r w:rsidRPr="00E2325B">
        <w:t xml:space="preserve"> </w:t>
      </w:r>
      <w:r>
        <w:t>«ՀՀ</w:t>
      </w:r>
      <w:r w:rsidRPr="00E2325B">
        <w:t xml:space="preserve"> կառավարության պարտքի կայունության վերլուծություն</w:t>
      </w:r>
      <w:r>
        <w:t>» բաժիններում։</w:t>
      </w:r>
      <w:r w:rsidRPr="00E2325B">
        <w:t xml:space="preserve"> </w:t>
      </w:r>
    </w:p>
  </w:footnote>
  <w:footnote w:id="29">
    <w:p w:rsidR="002026A8" w:rsidRPr="009E34DB" w:rsidRDefault="002026A8" w:rsidP="00DE6C7D">
      <w:pPr>
        <w:pStyle w:val="FootnoteText"/>
      </w:pPr>
      <w:r>
        <w:rPr>
          <w:rStyle w:val="FootnoteReference"/>
          <w:rFonts w:eastAsia="SimSun"/>
        </w:rPr>
        <w:footnoteRef/>
      </w:r>
      <w:r w:rsidRPr="009E34DB">
        <w:t xml:space="preserve"> Հայաստանի Հանրապետության 2020 թվականի պետական բյուջեի մասին» օրենքում փոփոխություն և լրացումներ կատարելու մասին» Հայաստանի Հանրապետության օրենքի նախագծին հավանություն տալու մասին»</w:t>
      </w:r>
    </w:p>
  </w:footnote>
  <w:footnote w:id="30">
    <w:p w:rsidR="002026A8" w:rsidRDefault="002026A8" w:rsidP="00DE6C7D">
      <w:pPr>
        <w:pStyle w:val="FootnoteText"/>
      </w:pPr>
      <w:r>
        <w:rPr>
          <w:rStyle w:val="FootnoteReference"/>
          <w:rFonts w:cs="GHEA Grapalat"/>
        </w:rPr>
        <w:footnoteRef/>
      </w:r>
      <w:r>
        <w:t xml:space="preserve"> Այս բաժնում որպես ՀՀ 20</w:t>
      </w:r>
      <w:r w:rsidRPr="00A22793">
        <w:rPr>
          <w:lang w:val="ro-RO"/>
        </w:rPr>
        <w:t>20</w:t>
      </w:r>
      <w:r>
        <w:t xml:space="preserve"> թվականի պետական բյուջեի պետական տուրքի համար հաստատված ցու</w:t>
      </w:r>
      <w:r>
        <w:softHyphen/>
        <w:t>ցա</w:t>
      </w:r>
      <w:r>
        <w:softHyphen/>
        <w:t>նիշ</w:t>
      </w:r>
      <w:r>
        <w:softHyphen/>
        <w:t>ներ դիտարկվել են ՀՀ կառավարության 201</w:t>
      </w:r>
      <w:r w:rsidRPr="00A22793">
        <w:rPr>
          <w:lang w:val="ro-RO"/>
        </w:rPr>
        <w:t>9</w:t>
      </w:r>
      <w:r>
        <w:t xml:space="preserve"> թվականի դեկտեմբերի 2</w:t>
      </w:r>
      <w:r w:rsidRPr="00A22793">
        <w:rPr>
          <w:lang w:val="ro-RO"/>
        </w:rPr>
        <w:t>6</w:t>
      </w:r>
      <w:r>
        <w:t>-ի N 1</w:t>
      </w:r>
      <w:r w:rsidRPr="00A22793">
        <w:rPr>
          <w:lang w:val="ro-RO"/>
        </w:rPr>
        <w:t>919</w:t>
      </w:r>
      <w:r>
        <w:t>-Ն որոշման N 6 հավելվածով ՀՀ 20</w:t>
      </w:r>
      <w:r w:rsidRPr="00A22793">
        <w:rPr>
          <w:lang w:val="ro-RO"/>
        </w:rPr>
        <w:t>20</w:t>
      </w:r>
      <w:r>
        <w:t xml:space="preserve"> թվականի պետական բյուջեի պետական տուրքի գծով հաս</w:t>
      </w:r>
      <w:r>
        <w:softHyphen/>
        <w:t>տատ</w:t>
      </w:r>
      <w:r>
        <w:softHyphen/>
        <w:t>ված ցուցանիշները:</w:t>
      </w:r>
    </w:p>
  </w:footnote>
  <w:footnote w:id="31">
    <w:p w:rsidR="002026A8" w:rsidRDefault="002026A8" w:rsidP="00DE6C7D">
      <w:pPr>
        <w:pStyle w:val="FootnoteText"/>
      </w:pPr>
      <w:r>
        <w:rPr>
          <w:rStyle w:val="FootnoteReference"/>
          <w:rFonts w:cs="GHEA Grapalat"/>
        </w:rPr>
        <w:footnoteRef/>
      </w:r>
      <w:r>
        <w:rPr>
          <w:rStyle w:val="FootnoteReference"/>
          <w:lang w:val="hy-AM"/>
        </w:rPr>
        <w:t xml:space="preserve"> </w:t>
      </w:r>
      <w:r>
        <w:t>Առանց ՀՀ 201</w:t>
      </w:r>
      <w:r w:rsidRPr="00A22793">
        <w:t>9</w:t>
      </w:r>
      <w:r>
        <w:t xml:space="preserve"> թվականի պետական բյուջեից ծախս-եկամուտ գործառույթի եղանակով ստացված </w:t>
      </w:r>
      <w:r w:rsidRPr="00A22793">
        <w:t>207.5</w:t>
      </w:r>
      <w:r>
        <w:rPr>
          <w:color w:val="FF0000"/>
        </w:rPr>
        <w:t xml:space="preserve"> </w:t>
      </w:r>
      <w:r>
        <w:t>մլն դրամի չափով այն եկամուտների, որոնք հաշվառվում են պետական տուրքերի կազմում:</w:t>
      </w:r>
    </w:p>
    <w:p w:rsidR="002026A8" w:rsidRDefault="002026A8" w:rsidP="00DE6C7D">
      <w:pPr>
        <w:pStyle w:val="FootnoteText"/>
      </w:pPr>
      <w:r>
        <w:t xml:space="preserve">   </w:t>
      </w:r>
    </w:p>
  </w:footnote>
  <w:footnote w:id="32">
    <w:p w:rsidR="002026A8" w:rsidRPr="00DD7F34" w:rsidRDefault="002026A8" w:rsidP="00DE6C7D">
      <w:pPr>
        <w:pStyle w:val="FootnoteText"/>
      </w:pPr>
      <w:r w:rsidRPr="00D44C5F">
        <w:rPr>
          <w:rStyle w:val="FootnoteReference"/>
          <w:sz w:val="18"/>
          <w:szCs w:val="18"/>
        </w:rPr>
        <w:footnoteRef/>
      </w:r>
      <w:r w:rsidRPr="00DD7F34">
        <w:t xml:space="preserve"> Արտաքին վարկերի գծով պակասուրդի ֆինանսավորման և արտաքին վարկերից մասհանումների տարբերությունը պայմանավորված է համապատասխան վարկային ծրագրերի շրջանակներում բացված հատուկ հաշիվներում առկա դրամական միջոցների մնացորդներով:</w:t>
      </w:r>
    </w:p>
  </w:footnote>
  <w:footnote w:id="33">
    <w:p w:rsidR="002026A8" w:rsidRPr="006F6704" w:rsidRDefault="002026A8" w:rsidP="00DE6C7D">
      <w:pPr>
        <w:pStyle w:val="FootnoteText"/>
        <w:rPr>
          <w:rFonts w:ascii="Arial" w:hAnsi="Arial"/>
        </w:rPr>
      </w:pPr>
      <w:r w:rsidRPr="000C7710">
        <w:rPr>
          <w:rStyle w:val="FootnoteReference"/>
        </w:rPr>
        <w:footnoteRef/>
      </w:r>
      <w:r w:rsidRPr="006F6704">
        <w:t xml:space="preserve"> Ցուցանիշը ներառում է պետական գանձապետական պարտատոմսերի հետգնման համար նախատեսված 28 մլրդ դրամը: </w:t>
      </w:r>
      <w:r w:rsidRPr="006F6704">
        <w:rPr>
          <w:rFonts w:ascii="Arial" w:hAnsi="Arial"/>
        </w:rPr>
        <w:t xml:space="preserve"> </w:t>
      </w:r>
    </w:p>
  </w:footnote>
  <w:footnote w:id="34">
    <w:p w:rsidR="002026A8" w:rsidRPr="00117D85" w:rsidRDefault="002026A8" w:rsidP="00DE6C7D">
      <w:pPr>
        <w:pStyle w:val="FootnoteText"/>
        <w:rPr>
          <w:sz w:val="14"/>
          <w:lang w:val="sk-SK"/>
        </w:rPr>
      </w:pPr>
      <w:r w:rsidRPr="00E14DDE">
        <w:rPr>
          <w:rStyle w:val="FootnoteReference"/>
          <w:sz w:val="18"/>
        </w:rPr>
        <w:footnoteRef/>
      </w:r>
      <w:r w:rsidRPr="004C6A11">
        <w:t>Սա</w:t>
      </w:r>
      <w:r w:rsidRPr="004C6A11">
        <w:rPr>
          <w:lang w:val="sk-SK"/>
        </w:rPr>
        <w:t xml:space="preserve"> </w:t>
      </w:r>
      <w:r w:rsidRPr="004C6A11">
        <w:t>որոշակիորեն</w:t>
      </w:r>
      <w:r w:rsidRPr="004C6A11">
        <w:rPr>
          <w:lang w:val="sk-SK"/>
        </w:rPr>
        <w:t xml:space="preserve"> </w:t>
      </w:r>
      <w:r w:rsidRPr="004C6A11">
        <w:t>կապված</w:t>
      </w:r>
      <w:r w:rsidRPr="004C6A11">
        <w:rPr>
          <w:lang w:val="sk-SK"/>
        </w:rPr>
        <w:t xml:space="preserve"> </w:t>
      </w:r>
      <w:r w:rsidRPr="004C6A11">
        <w:t>է</w:t>
      </w:r>
      <w:r w:rsidRPr="004C6A11">
        <w:rPr>
          <w:lang w:val="sk-SK"/>
        </w:rPr>
        <w:t xml:space="preserve"> </w:t>
      </w:r>
      <w:r w:rsidRPr="004C6A11">
        <w:t>նաև</w:t>
      </w:r>
      <w:r w:rsidRPr="004C6A11">
        <w:rPr>
          <w:lang w:val="sk-SK"/>
        </w:rPr>
        <w:t xml:space="preserve"> </w:t>
      </w:r>
      <w:r w:rsidRPr="004C6A11">
        <w:t>մոդելների</w:t>
      </w:r>
      <w:r w:rsidRPr="004C6A11">
        <w:rPr>
          <w:lang w:val="sk-SK"/>
        </w:rPr>
        <w:t xml:space="preserve"> </w:t>
      </w:r>
      <w:r w:rsidRPr="004C6A11">
        <w:t>սպեցիֆիկացիաների</w:t>
      </w:r>
      <w:r w:rsidRPr="004C6A11">
        <w:rPr>
          <w:lang w:val="sk-SK"/>
        </w:rPr>
        <w:t xml:space="preserve"> </w:t>
      </w:r>
      <w:r w:rsidRPr="004C6A11">
        <w:t>հետ</w:t>
      </w:r>
      <w:r w:rsidRPr="004C6A11">
        <w:rPr>
          <w:lang w:val="sk-SK"/>
        </w:rPr>
        <w:t xml:space="preserve">, </w:t>
      </w:r>
      <w:r w:rsidRPr="004C6A11">
        <w:t>քանի</w:t>
      </w:r>
      <w:r w:rsidRPr="004C6A11">
        <w:rPr>
          <w:lang w:val="sk-SK"/>
        </w:rPr>
        <w:t xml:space="preserve"> </w:t>
      </w:r>
      <w:r w:rsidRPr="004C6A11">
        <w:t>որ</w:t>
      </w:r>
      <w:r w:rsidRPr="004C6A11">
        <w:rPr>
          <w:lang w:val="sk-SK"/>
        </w:rPr>
        <w:t xml:space="preserve"> </w:t>
      </w:r>
      <w:r w:rsidRPr="004C6A11">
        <w:t>ժամանակային</w:t>
      </w:r>
      <w:r w:rsidRPr="004C6A11">
        <w:rPr>
          <w:lang w:val="sk-SK"/>
        </w:rPr>
        <w:t xml:space="preserve"> </w:t>
      </w:r>
      <w:r w:rsidRPr="004C6A11">
        <w:t>շարքերի</w:t>
      </w:r>
      <w:r w:rsidRPr="004C6A11">
        <w:rPr>
          <w:lang w:val="sk-SK"/>
        </w:rPr>
        <w:t xml:space="preserve"> </w:t>
      </w:r>
      <w:r w:rsidRPr="004C6A11">
        <w:t>վրա</w:t>
      </w:r>
      <w:r w:rsidRPr="004C6A11">
        <w:rPr>
          <w:lang w:val="sk-SK"/>
        </w:rPr>
        <w:t xml:space="preserve"> </w:t>
      </w:r>
      <w:r w:rsidRPr="004C6A11">
        <w:t>հիմնված</w:t>
      </w:r>
      <w:r w:rsidRPr="004C6A11">
        <w:rPr>
          <w:lang w:val="sk-SK"/>
        </w:rPr>
        <w:t xml:space="preserve"> </w:t>
      </w:r>
      <w:r w:rsidRPr="004C6A11">
        <w:t>մոդելներն</w:t>
      </w:r>
      <w:r w:rsidRPr="004C6A11">
        <w:rPr>
          <w:lang w:val="sk-SK"/>
        </w:rPr>
        <w:t xml:space="preserve"> </w:t>
      </w:r>
      <w:r w:rsidRPr="004C6A11">
        <w:t>իրենց</w:t>
      </w:r>
      <w:r w:rsidRPr="004C6A11">
        <w:rPr>
          <w:lang w:val="sk-SK"/>
        </w:rPr>
        <w:t xml:space="preserve"> </w:t>
      </w:r>
      <w:r w:rsidRPr="004C6A11">
        <w:t>մեջ</w:t>
      </w:r>
      <w:r w:rsidRPr="004C6A11">
        <w:rPr>
          <w:lang w:val="sk-SK"/>
        </w:rPr>
        <w:t xml:space="preserve"> </w:t>
      </w:r>
      <w:r w:rsidRPr="004C6A11">
        <w:t>ներառում</w:t>
      </w:r>
      <w:r w:rsidRPr="004C6A11">
        <w:rPr>
          <w:lang w:val="sk-SK"/>
        </w:rPr>
        <w:t xml:space="preserve"> </w:t>
      </w:r>
      <w:r w:rsidRPr="004C6A11">
        <w:t>են</w:t>
      </w:r>
      <w:r w:rsidRPr="004C6A11">
        <w:rPr>
          <w:lang w:val="sk-SK"/>
        </w:rPr>
        <w:t xml:space="preserve"> </w:t>
      </w:r>
      <w:r w:rsidRPr="004C6A11">
        <w:t>տնտեսության</w:t>
      </w:r>
      <w:r w:rsidRPr="004C6A11">
        <w:rPr>
          <w:lang w:val="sk-SK"/>
        </w:rPr>
        <w:t xml:space="preserve"> </w:t>
      </w:r>
      <w:r w:rsidRPr="004C6A11">
        <w:t>նախորդ</w:t>
      </w:r>
      <w:r w:rsidRPr="004C6A11">
        <w:rPr>
          <w:lang w:val="sk-SK"/>
        </w:rPr>
        <w:t xml:space="preserve"> </w:t>
      </w:r>
      <w:r w:rsidRPr="004C6A11">
        <w:t>ժամանակահատվածի</w:t>
      </w:r>
      <w:r w:rsidRPr="004C6A11">
        <w:rPr>
          <w:lang w:val="sk-SK"/>
        </w:rPr>
        <w:t xml:space="preserve"> </w:t>
      </w:r>
      <w:r w:rsidRPr="004C6A11">
        <w:t>զարգացումների</w:t>
      </w:r>
      <w:r w:rsidRPr="004C6A11">
        <w:rPr>
          <w:lang w:val="sk-SK"/>
        </w:rPr>
        <w:t xml:space="preserve"> </w:t>
      </w:r>
      <w:r w:rsidRPr="004C6A11">
        <w:t>տեղեկատվությունը</w:t>
      </w:r>
      <w:r w:rsidRPr="004C6A11">
        <w:rPr>
          <w:lang w:val="sk-SK"/>
        </w:rPr>
        <w:t xml:space="preserve">, </w:t>
      </w:r>
      <w:r w:rsidRPr="004C6A11">
        <w:t>իսկ</w:t>
      </w:r>
      <w:r w:rsidRPr="004C6A11">
        <w:rPr>
          <w:lang w:val="sk-SK"/>
        </w:rPr>
        <w:t xml:space="preserve"> </w:t>
      </w:r>
      <w:r w:rsidRPr="004C6A11">
        <w:t>կանխատեսվող</w:t>
      </w:r>
      <w:r w:rsidRPr="004C6A11">
        <w:rPr>
          <w:lang w:val="sk-SK"/>
        </w:rPr>
        <w:t xml:space="preserve"> </w:t>
      </w:r>
      <w:r w:rsidRPr="004C6A11">
        <w:t>տարում</w:t>
      </w:r>
      <w:r w:rsidRPr="004C6A11">
        <w:rPr>
          <w:lang w:val="sk-SK"/>
        </w:rPr>
        <w:t xml:space="preserve"> </w:t>
      </w:r>
      <w:r w:rsidRPr="004C6A11">
        <w:t>ի</w:t>
      </w:r>
      <w:r w:rsidRPr="004C6A11">
        <w:rPr>
          <w:lang w:val="sk-SK"/>
        </w:rPr>
        <w:t xml:space="preserve"> </w:t>
      </w:r>
      <w:r w:rsidRPr="004C6A11">
        <w:t>հայտ</w:t>
      </w:r>
      <w:r w:rsidRPr="004C6A11">
        <w:rPr>
          <w:lang w:val="sk-SK"/>
        </w:rPr>
        <w:t xml:space="preserve"> </w:t>
      </w:r>
      <w:r w:rsidRPr="004C6A11">
        <w:t>եկող</w:t>
      </w:r>
      <w:r w:rsidRPr="004C6A11">
        <w:rPr>
          <w:lang w:val="sk-SK"/>
        </w:rPr>
        <w:t xml:space="preserve"> </w:t>
      </w:r>
      <w:r w:rsidRPr="004C6A11">
        <w:t>տնտեսության</w:t>
      </w:r>
      <w:r w:rsidRPr="004C6A11">
        <w:rPr>
          <w:lang w:val="sk-SK"/>
        </w:rPr>
        <w:t xml:space="preserve"> </w:t>
      </w:r>
      <w:r w:rsidRPr="004C6A11">
        <w:t>կառուցվածքային</w:t>
      </w:r>
      <w:r w:rsidRPr="004C6A11">
        <w:rPr>
          <w:lang w:val="sk-SK"/>
        </w:rPr>
        <w:t xml:space="preserve"> </w:t>
      </w:r>
      <w:r w:rsidRPr="004C6A11">
        <w:t>տեղաշարժը</w:t>
      </w:r>
      <w:r w:rsidRPr="004C6A11">
        <w:rPr>
          <w:lang w:val="sk-SK"/>
        </w:rPr>
        <w:t xml:space="preserve"> </w:t>
      </w:r>
      <w:r w:rsidRPr="004C6A11">
        <w:t>միայն</w:t>
      </w:r>
      <w:r w:rsidRPr="004C6A11">
        <w:rPr>
          <w:lang w:val="sk-SK"/>
        </w:rPr>
        <w:t xml:space="preserve"> </w:t>
      </w:r>
      <w:r w:rsidRPr="004C6A11">
        <w:t>կարող</w:t>
      </w:r>
      <w:r w:rsidRPr="004C6A11">
        <w:rPr>
          <w:lang w:val="sk-SK"/>
        </w:rPr>
        <w:t xml:space="preserve"> </w:t>
      </w:r>
      <w:r w:rsidRPr="004C6A11">
        <w:t>է</w:t>
      </w:r>
      <w:r w:rsidRPr="004C6A11">
        <w:rPr>
          <w:lang w:val="sk-SK"/>
        </w:rPr>
        <w:t xml:space="preserve"> </w:t>
      </w:r>
      <w:r w:rsidRPr="004C6A11">
        <w:t>ներառվել</w:t>
      </w:r>
      <w:r w:rsidRPr="004C6A11">
        <w:rPr>
          <w:lang w:val="sk-SK"/>
        </w:rPr>
        <w:t xml:space="preserve"> </w:t>
      </w:r>
      <w:r w:rsidRPr="004C6A11">
        <w:t>հաջորդ</w:t>
      </w:r>
      <w:r w:rsidRPr="004C6A11">
        <w:rPr>
          <w:lang w:val="sk-SK"/>
        </w:rPr>
        <w:t xml:space="preserve"> </w:t>
      </w:r>
      <w:r w:rsidRPr="004C6A11">
        <w:t>տարվա</w:t>
      </w:r>
      <w:r w:rsidRPr="004C6A11">
        <w:rPr>
          <w:lang w:val="sk-SK"/>
        </w:rPr>
        <w:t xml:space="preserve"> </w:t>
      </w:r>
      <w:r w:rsidRPr="004C6A11">
        <w:t>կանխատեսումների</w:t>
      </w:r>
      <w:r w:rsidRPr="004C6A11">
        <w:rPr>
          <w:lang w:val="sk-SK"/>
        </w:rPr>
        <w:t xml:space="preserve"> </w:t>
      </w:r>
      <w:r w:rsidRPr="004C6A11">
        <w:t>մոդելներում</w:t>
      </w:r>
      <w:r w:rsidRPr="004C6A11">
        <w:rPr>
          <w:lang w:val="sk-SK"/>
        </w:rPr>
        <w:t>:</w:t>
      </w:r>
      <w:r w:rsidRPr="00117D85">
        <w:rPr>
          <w:sz w:val="18"/>
          <w:lang w:val="sk-SK"/>
        </w:rPr>
        <w:t xml:space="preserve"> </w:t>
      </w:r>
    </w:p>
  </w:footnote>
  <w:footnote w:id="35">
    <w:p w:rsidR="002026A8" w:rsidRDefault="002026A8" w:rsidP="00DE6C7D">
      <w:pPr>
        <w:pStyle w:val="FootnoteText"/>
        <w:rPr>
          <w:lang w:val="ro-RO"/>
        </w:rPr>
      </w:pPr>
      <w:r w:rsidRPr="00E14DDE">
        <w:rPr>
          <w:rStyle w:val="FootnoteReference"/>
        </w:rPr>
        <w:footnoteRef/>
      </w:r>
      <w:r>
        <w:t>ՀՆԱ</w:t>
      </w:r>
      <w:r>
        <w:rPr>
          <w:lang w:val="ro-RO"/>
        </w:rPr>
        <w:t xml:space="preserve">, </w:t>
      </w:r>
      <w:r>
        <w:t>ներմուծման</w:t>
      </w:r>
      <w:r>
        <w:rPr>
          <w:lang w:val="ro-RO"/>
        </w:rPr>
        <w:t xml:space="preserve">, </w:t>
      </w:r>
      <w:r>
        <w:t>փոխարժեքի</w:t>
      </w:r>
      <w:r>
        <w:rPr>
          <w:lang w:val="sk-SK"/>
        </w:rPr>
        <w:t xml:space="preserve"> </w:t>
      </w:r>
      <w:r>
        <w:t>և</w:t>
      </w:r>
      <w:r>
        <w:rPr>
          <w:lang w:val="sk-SK"/>
        </w:rPr>
        <w:t xml:space="preserve"> </w:t>
      </w:r>
      <w:r>
        <w:t>գների</w:t>
      </w:r>
      <w:r>
        <w:rPr>
          <w:lang w:val="sk-SK"/>
        </w:rPr>
        <w:t xml:space="preserve"> </w:t>
      </w:r>
      <w:r>
        <w:t>գծով</w:t>
      </w:r>
      <w:r>
        <w:rPr>
          <w:lang w:val="sk-SK"/>
        </w:rPr>
        <w:t xml:space="preserve"> </w:t>
      </w:r>
      <w:r>
        <w:t>հավանական</w:t>
      </w:r>
      <w:r>
        <w:rPr>
          <w:lang w:val="sk-SK"/>
        </w:rPr>
        <w:t xml:space="preserve"> </w:t>
      </w:r>
      <w:r>
        <w:t>ռիսկերի</w:t>
      </w:r>
      <w:r>
        <w:rPr>
          <w:lang w:val="sk-SK"/>
        </w:rPr>
        <w:t xml:space="preserve"> </w:t>
      </w:r>
      <w:r>
        <w:t>քանակային</w:t>
      </w:r>
      <w:r>
        <w:rPr>
          <w:lang w:val="sk-SK"/>
        </w:rPr>
        <w:t xml:space="preserve"> </w:t>
      </w:r>
      <w:r>
        <w:t>գնահատականը</w:t>
      </w:r>
      <w:r>
        <w:rPr>
          <w:lang w:val="sk-SK"/>
        </w:rPr>
        <w:t xml:space="preserve"> </w:t>
      </w:r>
      <w:r>
        <w:t>ստացվել</w:t>
      </w:r>
      <w:r>
        <w:rPr>
          <w:lang w:val="sk-SK"/>
        </w:rPr>
        <w:t xml:space="preserve"> </w:t>
      </w:r>
      <w:r>
        <w:t>է</w:t>
      </w:r>
      <w:r>
        <w:rPr>
          <w:lang w:val="sk-SK"/>
        </w:rPr>
        <w:t xml:space="preserve">` </w:t>
      </w:r>
      <w:r>
        <w:t>հիմք</w:t>
      </w:r>
      <w:r>
        <w:rPr>
          <w:lang w:val="sk-SK"/>
        </w:rPr>
        <w:t xml:space="preserve"> ըն</w:t>
      </w:r>
      <w:r>
        <w:t>դունելով</w:t>
      </w:r>
      <w:r>
        <w:rPr>
          <w:lang w:val="sk-SK"/>
        </w:rPr>
        <w:t xml:space="preserve"> </w:t>
      </w:r>
      <w:r>
        <w:t>այս</w:t>
      </w:r>
      <w:r>
        <w:rPr>
          <w:lang w:val="sk-SK"/>
        </w:rPr>
        <w:t xml:space="preserve"> </w:t>
      </w:r>
      <w:r>
        <w:t>գործոնների</w:t>
      </w:r>
      <w:r>
        <w:rPr>
          <w:lang w:val="sk-SK"/>
        </w:rPr>
        <w:t xml:space="preserve"> </w:t>
      </w:r>
      <w:r>
        <w:t>պատմական</w:t>
      </w:r>
      <w:r>
        <w:rPr>
          <w:lang w:val="sk-SK"/>
        </w:rPr>
        <w:t xml:space="preserve"> </w:t>
      </w:r>
      <w:r>
        <w:t>շարժի</w:t>
      </w:r>
      <w:r>
        <w:rPr>
          <w:lang w:val="sk-SK"/>
        </w:rPr>
        <w:t xml:space="preserve"> </w:t>
      </w:r>
      <w:r>
        <w:t>բացարձակ</w:t>
      </w:r>
      <w:r>
        <w:rPr>
          <w:lang w:val="sk-SK"/>
        </w:rPr>
        <w:t xml:space="preserve"> </w:t>
      </w:r>
      <w:r>
        <w:t>միջին</w:t>
      </w:r>
      <w:r>
        <w:rPr>
          <w:lang w:val="sk-SK"/>
        </w:rPr>
        <w:t xml:space="preserve"> </w:t>
      </w:r>
      <w:r>
        <w:t>սխալը</w:t>
      </w:r>
      <w:r>
        <w:rPr>
          <w:lang w:val="ro-RO"/>
        </w:rPr>
        <w:t>:</w:t>
      </w:r>
    </w:p>
  </w:footnote>
  <w:footnote w:id="36">
    <w:p w:rsidR="002026A8" w:rsidRPr="00F94494" w:rsidRDefault="002026A8" w:rsidP="003B5F66">
      <w:pPr>
        <w:spacing w:line="240" w:lineRule="auto"/>
        <w:ind w:firstLine="187"/>
        <w:rPr>
          <w:rFonts w:cs="Sylfaen"/>
          <w:i/>
          <w:sz w:val="16"/>
          <w:szCs w:val="16"/>
          <w:lang w:val="hy-AM"/>
        </w:rPr>
      </w:pPr>
      <w:r w:rsidRPr="008821E3">
        <w:rPr>
          <w:rStyle w:val="FootnoteReference"/>
          <w:sz w:val="16"/>
          <w:szCs w:val="16"/>
        </w:rPr>
        <w:footnoteRef/>
      </w:r>
      <w:r w:rsidRPr="00F94494">
        <w:rPr>
          <w:rFonts w:cs="Sylfaen"/>
          <w:sz w:val="16"/>
          <w:szCs w:val="16"/>
          <w:lang w:val="hy-AM"/>
        </w:rPr>
        <w:t>Հարկային եկամուտների գծով ռիսկերի ազդեցության գնահատականը կառուցվել է ՀՀ ֆինանսների նախարարության ռիսկերի գնահատման համակարգի ներքո կառուցված մոդելի հիման վրա:</w:t>
      </w:r>
      <w:r w:rsidRPr="00F94494">
        <w:rPr>
          <w:rFonts w:cs="Sylfaen"/>
          <w:i/>
          <w:sz w:val="16"/>
          <w:szCs w:val="16"/>
          <w:lang w:val="hy-AM"/>
        </w:rPr>
        <w:t xml:space="preserve"> </w:t>
      </w:r>
    </w:p>
  </w:footnote>
  <w:footnote w:id="37">
    <w:p w:rsidR="002026A8" w:rsidRPr="00065479" w:rsidRDefault="002026A8" w:rsidP="00DE6C7D">
      <w:pPr>
        <w:pStyle w:val="FootnoteText"/>
        <w:rPr>
          <w:lang w:val="ro-RO"/>
        </w:rPr>
      </w:pPr>
      <w:r w:rsidRPr="00E14DDE">
        <w:rPr>
          <w:rStyle w:val="FootnoteReference"/>
        </w:rPr>
        <w:footnoteRef/>
      </w:r>
      <w:r w:rsidRPr="009206BE">
        <w:rPr>
          <w:lang w:val="hy-AM"/>
        </w:rPr>
        <w:t>Հավանականային</w:t>
      </w:r>
      <w:r w:rsidRPr="008821E3">
        <w:rPr>
          <w:lang w:val="ro-RO"/>
        </w:rPr>
        <w:t xml:space="preserve"> </w:t>
      </w:r>
      <w:r w:rsidRPr="009206BE">
        <w:rPr>
          <w:lang w:val="hy-AM"/>
        </w:rPr>
        <w:t>կանխատեսման</w:t>
      </w:r>
      <w:r w:rsidRPr="008821E3">
        <w:rPr>
          <w:lang w:val="ro-RO"/>
        </w:rPr>
        <w:t xml:space="preserve"> </w:t>
      </w:r>
      <w:r w:rsidRPr="009206BE">
        <w:rPr>
          <w:lang w:val="hy-AM"/>
        </w:rPr>
        <w:t>գրաֆիկի</w:t>
      </w:r>
      <w:r w:rsidRPr="008821E3">
        <w:rPr>
          <w:lang w:val="ro-RO"/>
        </w:rPr>
        <w:t xml:space="preserve"> </w:t>
      </w:r>
      <w:r w:rsidRPr="009206BE">
        <w:rPr>
          <w:lang w:val="hy-AM"/>
        </w:rPr>
        <w:t>կառուցման</w:t>
      </w:r>
      <w:r w:rsidRPr="008821E3">
        <w:rPr>
          <w:lang w:val="ro-RO"/>
        </w:rPr>
        <w:t xml:space="preserve"> </w:t>
      </w:r>
      <w:r w:rsidRPr="009206BE">
        <w:rPr>
          <w:lang w:val="hy-AM"/>
        </w:rPr>
        <w:t>ընդհանուր</w:t>
      </w:r>
      <w:r w:rsidRPr="008821E3">
        <w:rPr>
          <w:lang w:val="ro-RO"/>
        </w:rPr>
        <w:t xml:space="preserve"> </w:t>
      </w:r>
      <w:r w:rsidRPr="009206BE">
        <w:rPr>
          <w:lang w:val="hy-AM"/>
        </w:rPr>
        <w:t>մեթոդաբանությունը</w:t>
      </w:r>
      <w:r w:rsidRPr="008821E3">
        <w:rPr>
          <w:lang w:val="ro-RO"/>
        </w:rPr>
        <w:t xml:space="preserve"> </w:t>
      </w:r>
      <w:r w:rsidRPr="009206BE">
        <w:rPr>
          <w:lang w:val="hy-AM"/>
        </w:rPr>
        <w:t>ներկայացված</w:t>
      </w:r>
      <w:r w:rsidRPr="008821E3">
        <w:rPr>
          <w:lang w:val="ro-RO"/>
        </w:rPr>
        <w:t xml:space="preserve"> </w:t>
      </w:r>
      <w:r w:rsidRPr="009206BE">
        <w:rPr>
          <w:lang w:val="hy-AM"/>
        </w:rPr>
        <w:t>է</w:t>
      </w:r>
      <w:r w:rsidRPr="008821E3">
        <w:rPr>
          <w:lang w:val="ro-RO"/>
        </w:rPr>
        <w:t xml:space="preserve"> </w:t>
      </w:r>
      <w:r w:rsidRPr="009206BE">
        <w:rPr>
          <w:lang w:val="hy-AM"/>
        </w:rPr>
        <w:t>Ներդիրում</w:t>
      </w:r>
      <w:r w:rsidRPr="00065479">
        <w:rPr>
          <w:lang w:val="ro-RO"/>
        </w:rPr>
        <w:t>:</w:t>
      </w:r>
    </w:p>
  </w:footnote>
  <w:footnote w:id="38">
    <w:p w:rsidR="002026A8" w:rsidRPr="009206BE" w:rsidRDefault="002026A8" w:rsidP="00DE6C7D">
      <w:pPr>
        <w:pStyle w:val="FootnoteText"/>
        <w:rPr>
          <w:sz w:val="14"/>
          <w:lang w:val="ro-RO"/>
        </w:rPr>
      </w:pPr>
      <w:r w:rsidRPr="00CA4440">
        <w:rPr>
          <w:rStyle w:val="FootnoteReference"/>
          <w:sz w:val="18"/>
        </w:rPr>
        <w:footnoteRef/>
      </w:r>
      <w:r w:rsidRPr="00CA4440">
        <w:t>Ընդհանուր</w:t>
      </w:r>
      <w:r w:rsidRPr="009206BE">
        <w:rPr>
          <w:lang w:val="ro-RO"/>
        </w:rPr>
        <w:t xml:space="preserve"> </w:t>
      </w:r>
      <w:r w:rsidRPr="00CA4440">
        <w:t>ազդեցության</w:t>
      </w:r>
      <w:r w:rsidRPr="009206BE">
        <w:rPr>
          <w:lang w:val="ro-RO"/>
        </w:rPr>
        <w:t xml:space="preserve"> </w:t>
      </w:r>
      <w:r w:rsidRPr="00CA4440">
        <w:t>գնահատականը</w:t>
      </w:r>
      <w:r w:rsidRPr="009206BE">
        <w:rPr>
          <w:lang w:val="ro-RO"/>
        </w:rPr>
        <w:t xml:space="preserve"> </w:t>
      </w:r>
      <w:r w:rsidRPr="00CA4440">
        <w:t>հիմնված</w:t>
      </w:r>
      <w:r w:rsidRPr="009206BE">
        <w:rPr>
          <w:lang w:val="ro-RO"/>
        </w:rPr>
        <w:t xml:space="preserve"> </w:t>
      </w:r>
      <w:r w:rsidRPr="00CA4440">
        <w:t>է</w:t>
      </w:r>
      <w:r w:rsidRPr="009206BE">
        <w:rPr>
          <w:lang w:val="ro-RO"/>
        </w:rPr>
        <w:t xml:space="preserve"> </w:t>
      </w:r>
      <w:r w:rsidRPr="00CA4440">
        <w:t>մակրոտնտեսական</w:t>
      </w:r>
      <w:r w:rsidRPr="009206BE">
        <w:rPr>
          <w:lang w:val="ro-RO"/>
        </w:rPr>
        <w:t xml:space="preserve"> </w:t>
      </w:r>
      <w:r w:rsidRPr="00CA4440">
        <w:t>ռիսկերի</w:t>
      </w:r>
      <w:r w:rsidRPr="009206BE">
        <w:rPr>
          <w:lang w:val="ro-RO"/>
        </w:rPr>
        <w:t xml:space="preserve"> </w:t>
      </w:r>
      <w:r w:rsidRPr="00CA4440">
        <w:t>առանձին</w:t>
      </w:r>
      <w:r w:rsidRPr="009206BE">
        <w:rPr>
          <w:lang w:val="ro-RO"/>
        </w:rPr>
        <w:t xml:space="preserve"> </w:t>
      </w:r>
      <w:r w:rsidRPr="00CA4440">
        <w:t>հանդես</w:t>
      </w:r>
      <w:r w:rsidRPr="009206BE">
        <w:rPr>
          <w:lang w:val="ro-RO"/>
        </w:rPr>
        <w:t xml:space="preserve"> </w:t>
      </w:r>
      <w:r w:rsidRPr="00CA4440">
        <w:t>գալու</w:t>
      </w:r>
      <w:r w:rsidRPr="009206BE">
        <w:rPr>
          <w:lang w:val="ro-RO"/>
        </w:rPr>
        <w:t xml:space="preserve"> </w:t>
      </w:r>
      <w:r w:rsidRPr="00CA4440">
        <w:t>ենթադրության</w:t>
      </w:r>
      <w:r w:rsidRPr="009206BE">
        <w:rPr>
          <w:lang w:val="ro-RO"/>
        </w:rPr>
        <w:t xml:space="preserve"> </w:t>
      </w:r>
      <w:r w:rsidRPr="00CA4440">
        <w:t>վրա</w:t>
      </w:r>
      <w:r w:rsidRPr="009206BE">
        <w:rPr>
          <w:lang w:val="ro-RO"/>
        </w:rPr>
        <w:t>:</w:t>
      </w:r>
    </w:p>
  </w:footnote>
  <w:footnote w:id="39">
    <w:p w:rsidR="002026A8" w:rsidRPr="00D43D8F" w:rsidRDefault="002026A8" w:rsidP="002C0A36">
      <w:pPr>
        <w:spacing w:line="240" w:lineRule="auto"/>
        <w:ind w:firstLine="0"/>
        <w:rPr>
          <w:sz w:val="16"/>
          <w:szCs w:val="16"/>
          <w:lang w:val="hy-AM"/>
        </w:rPr>
      </w:pPr>
      <w:r w:rsidRPr="00F64113">
        <w:rPr>
          <w:sz w:val="16"/>
          <w:szCs w:val="16"/>
          <w:vertAlign w:val="superscript"/>
        </w:rPr>
        <w:footnoteRef/>
      </w:r>
      <w:r w:rsidRPr="00562068">
        <w:rPr>
          <w:sz w:val="16"/>
          <w:szCs w:val="16"/>
          <w:lang w:val="hy-AM"/>
        </w:rPr>
        <w:t xml:space="preserve"> </w:t>
      </w:r>
      <w:r w:rsidRPr="00D43D8F">
        <w:rPr>
          <w:rFonts w:cs="Sylfaen"/>
          <w:sz w:val="16"/>
          <w:szCs w:val="16"/>
          <w:lang w:val="hy-AM"/>
        </w:rPr>
        <w:t>Համաձայն</w:t>
      </w:r>
      <w:r w:rsidRPr="00D43D8F">
        <w:rPr>
          <w:rFonts w:cs="Arial"/>
          <w:sz w:val="16"/>
          <w:szCs w:val="16"/>
          <w:lang w:val="hy-AM"/>
        </w:rPr>
        <w:t xml:space="preserve"> </w:t>
      </w:r>
      <w:r w:rsidRPr="00D43D8F">
        <w:rPr>
          <w:rFonts w:cs="Sylfaen"/>
          <w:sz w:val="16"/>
          <w:szCs w:val="16"/>
          <w:lang w:val="hy-AM"/>
        </w:rPr>
        <w:t>ՀՀ</w:t>
      </w:r>
      <w:r w:rsidRPr="00D43D8F">
        <w:rPr>
          <w:rFonts w:cs="Arial"/>
          <w:sz w:val="16"/>
          <w:szCs w:val="16"/>
          <w:lang w:val="hy-AM"/>
        </w:rPr>
        <w:t xml:space="preserve"> </w:t>
      </w:r>
      <w:r w:rsidRPr="00D43D8F">
        <w:rPr>
          <w:rFonts w:cs="Sylfaen"/>
          <w:sz w:val="16"/>
          <w:szCs w:val="16"/>
          <w:lang w:val="hy-AM"/>
        </w:rPr>
        <w:t>կառավարության</w:t>
      </w:r>
      <w:r w:rsidRPr="00D43D8F">
        <w:rPr>
          <w:rFonts w:cs="Arial"/>
          <w:sz w:val="16"/>
          <w:szCs w:val="16"/>
          <w:lang w:val="hy-AM"/>
        </w:rPr>
        <w:t xml:space="preserve"> 2019 </w:t>
      </w:r>
      <w:r w:rsidRPr="00D43D8F">
        <w:rPr>
          <w:rFonts w:cs="Sylfaen"/>
          <w:sz w:val="16"/>
          <w:szCs w:val="16"/>
          <w:lang w:val="hy-AM"/>
        </w:rPr>
        <w:t>թվականի</w:t>
      </w:r>
      <w:r w:rsidRPr="00D43D8F">
        <w:rPr>
          <w:rFonts w:cs="Arial"/>
          <w:sz w:val="16"/>
          <w:szCs w:val="16"/>
          <w:lang w:val="hy-AM"/>
        </w:rPr>
        <w:t xml:space="preserve"> </w:t>
      </w:r>
      <w:r w:rsidRPr="00D43D8F">
        <w:rPr>
          <w:rFonts w:cs="Sylfaen"/>
          <w:sz w:val="16"/>
          <w:szCs w:val="16"/>
          <w:lang w:val="hy-AM"/>
        </w:rPr>
        <w:t>հունվարի</w:t>
      </w:r>
      <w:r w:rsidRPr="00D43D8F">
        <w:rPr>
          <w:rFonts w:cs="Arial"/>
          <w:sz w:val="16"/>
          <w:szCs w:val="16"/>
          <w:lang w:val="hy-AM"/>
        </w:rPr>
        <w:t xml:space="preserve"> 31-</w:t>
      </w:r>
      <w:r w:rsidRPr="00D43D8F">
        <w:rPr>
          <w:rFonts w:cs="Sylfaen"/>
          <w:sz w:val="16"/>
          <w:szCs w:val="16"/>
          <w:lang w:val="hy-AM"/>
        </w:rPr>
        <w:t>ի</w:t>
      </w:r>
      <w:r w:rsidRPr="00D43D8F">
        <w:rPr>
          <w:rFonts w:cs="Arial"/>
          <w:sz w:val="16"/>
          <w:szCs w:val="16"/>
          <w:lang w:val="hy-AM"/>
        </w:rPr>
        <w:t xml:space="preserve"> ««</w:t>
      </w:r>
      <w:r w:rsidRPr="00D43D8F">
        <w:rPr>
          <w:rFonts w:cs="Sylfaen"/>
          <w:sz w:val="16"/>
          <w:szCs w:val="16"/>
          <w:lang w:val="hy-AM"/>
        </w:rPr>
        <w:t>Էներգակարգաբերում</w:t>
      </w:r>
      <w:r w:rsidRPr="00D43D8F">
        <w:rPr>
          <w:rFonts w:cs="Arial"/>
          <w:sz w:val="16"/>
          <w:szCs w:val="16"/>
          <w:lang w:val="hy-AM"/>
        </w:rPr>
        <w:t xml:space="preserve">» </w:t>
      </w:r>
      <w:r w:rsidRPr="00D43D8F">
        <w:rPr>
          <w:rFonts w:cs="Sylfaen"/>
          <w:sz w:val="16"/>
          <w:szCs w:val="16"/>
          <w:lang w:val="hy-AM"/>
        </w:rPr>
        <w:t>փակ</w:t>
      </w:r>
      <w:r w:rsidRPr="00D43D8F">
        <w:rPr>
          <w:rFonts w:cs="Arial"/>
          <w:sz w:val="16"/>
          <w:szCs w:val="16"/>
          <w:lang w:val="hy-AM"/>
        </w:rPr>
        <w:t xml:space="preserve"> </w:t>
      </w:r>
      <w:r w:rsidRPr="00D43D8F">
        <w:rPr>
          <w:rFonts w:cs="Sylfaen"/>
          <w:sz w:val="16"/>
          <w:szCs w:val="16"/>
          <w:lang w:val="hy-AM"/>
        </w:rPr>
        <w:t>բաժնետիրական</w:t>
      </w:r>
      <w:r w:rsidRPr="00D43D8F">
        <w:rPr>
          <w:rFonts w:cs="Arial"/>
          <w:sz w:val="16"/>
          <w:szCs w:val="16"/>
          <w:lang w:val="hy-AM"/>
        </w:rPr>
        <w:t xml:space="preserve"> </w:t>
      </w:r>
      <w:r w:rsidRPr="00D43D8F">
        <w:rPr>
          <w:rFonts w:cs="Sylfaen"/>
          <w:sz w:val="16"/>
          <w:szCs w:val="16"/>
          <w:lang w:val="hy-AM"/>
        </w:rPr>
        <w:t>ընկերությունը</w:t>
      </w:r>
      <w:r w:rsidRPr="00D43D8F">
        <w:rPr>
          <w:rFonts w:cs="Arial"/>
          <w:sz w:val="16"/>
          <w:szCs w:val="16"/>
          <w:lang w:val="hy-AM"/>
        </w:rPr>
        <w:t xml:space="preserve"> «</w:t>
      </w:r>
      <w:r w:rsidRPr="00D43D8F">
        <w:rPr>
          <w:rFonts w:cs="Sylfaen"/>
          <w:sz w:val="16"/>
          <w:szCs w:val="16"/>
          <w:lang w:val="hy-AM"/>
        </w:rPr>
        <w:t>Էներգետիկայի</w:t>
      </w:r>
      <w:r w:rsidRPr="00D43D8F">
        <w:rPr>
          <w:rFonts w:cs="Arial"/>
          <w:sz w:val="16"/>
          <w:szCs w:val="16"/>
          <w:lang w:val="hy-AM"/>
        </w:rPr>
        <w:t xml:space="preserve"> </w:t>
      </w:r>
      <w:r w:rsidRPr="00D43D8F">
        <w:rPr>
          <w:rFonts w:cs="Sylfaen"/>
          <w:sz w:val="16"/>
          <w:szCs w:val="16"/>
          <w:lang w:val="hy-AM"/>
        </w:rPr>
        <w:t>գիտահետազոտական</w:t>
      </w:r>
      <w:r w:rsidRPr="00D43D8F">
        <w:rPr>
          <w:rFonts w:cs="Arial"/>
          <w:sz w:val="16"/>
          <w:szCs w:val="16"/>
          <w:lang w:val="hy-AM"/>
        </w:rPr>
        <w:t xml:space="preserve"> </w:t>
      </w:r>
      <w:r w:rsidRPr="00D43D8F">
        <w:rPr>
          <w:rFonts w:cs="Sylfaen"/>
          <w:sz w:val="16"/>
          <w:szCs w:val="16"/>
          <w:lang w:val="hy-AM"/>
        </w:rPr>
        <w:t>ինստիտուտ</w:t>
      </w:r>
      <w:r w:rsidRPr="00D43D8F">
        <w:rPr>
          <w:rFonts w:cs="Arial"/>
          <w:sz w:val="16"/>
          <w:szCs w:val="16"/>
          <w:lang w:val="hy-AM"/>
        </w:rPr>
        <w:t xml:space="preserve">» </w:t>
      </w:r>
      <w:r w:rsidRPr="00D43D8F">
        <w:rPr>
          <w:rFonts w:cs="Sylfaen"/>
          <w:sz w:val="16"/>
          <w:szCs w:val="16"/>
          <w:lang w:val="hy-AM"/>
        </w:rPr>
        <w:t>փակ</w:t>
      </w:r>
      <w:r w:rsidRPr="00D43D8F">
        <w:rPr>
          <w:rFonts w:cs="Arial"/>
          <w:sz w:val="16"/>
          <w:szCs w:val="16"/>
          <w:lang w:val="hy-AM"/>
        </w:rPr>
        <w:t xml:space="preserve"> </w:t>
      </w:r>
      <w:r w:rsidRPr="00D43D8F">
        <w:rPr>
          <w:rFonts w:cs="Sylfaen"/>
          <w:sz w:val="16"/>
          <w:szCs w:val="16"/>
          <w:lang w:val="hy-AM"/>
        </w:rPr>
        <w:t>բաժնետիրական</w:t>
      </w:r>
      <w:r w:rsidRPr="00D43D8F">
        <w:rPr>
          <w:rFonts w:cs="Arial"/>
          <w:sz w:val="16"/>
          <w:szCs w:val="16"/>
          <w:lang w:val="hy-AM"/>
        </w:rPr>
        <w:t xml:space="preserve"> </w:t>
      </w:r>
      <w:r w:rsidRPr="00D43D8F">
        <w:rPr>
          <w:rFonts w:cs="Sylfaen"/>
          <w:sz w:val="16"/>
          <w:szCs w:val="16"/>
          <w:lang w:val="hy-AM"/>
        </w:rPr>
        <w:t>ընկերությանը</w:t>
      </w:r>
      <w:r w:rsidRPr="00D43D8F">
        <w:rPr>
          <w:rFonts w:cs="Arial"/>
          <w:sz w:val="16"/>
          <w:szCs w:val="16"/>
          <w:lang w:val="hy-AM"/>
        </w:rPr>
        <w:t xml:space="preserve"> </w:t>
      </w:r>
      <w:r w:rsidRPr="00D43D8F">
        <w:rPr>
          <w:rFonts w:cs="Sylfaen"/>
          <w:sz w:val="16"/>
          <w:szCs w:val="16"/>
          <w:lang w:val="hy-AM"/>
        </w:rPr>
        <w:t>միացման</w:t>
      </w:r>
      <w:r w:rsidRPr="00D43D8F">
        <w:rPr>
          <w:rFonts w:cs="Arial"/>
          <w:sz w:val="16"/>
          <w:szCs w:val="16"/>
          <w:lang w:val="hy-AM"/>
        </w:rPr>
        <w:t xml:space="preserve"> </w:t>
      </w:r>
      <w:r w:rsidRPr="00D43D8F">
        <w:rPr>
          <w:rFonts w:cs="Sylfaen"/>
          <w:sz w:val="16"/>
          <w:szCs w:val="16"/>
          <w:lang w:val="hy-AM"/>
        </w:rPr>
        <w:t>ձևով</w:t>
      </w:r>
      <w:r w:rsidRPr="00D43D8F">
        <w:rPr>
          <w:rFonts w:cs="Arial"/>
          <w:sz w:val="16"/>
          <w:szCs w:val="16"/>
          <w:lang w:val="hy-AM"/>
        </w:rPr>
        <w:t xml:space="preserve"> </w:t>
      </w:r>
      <w:r w:rsidRPr="00D43D8F">
        <w:rPr>
          <w:rFonts w:cs="Sylfaen"/>
          <w:sz w:val="16"/>
          <w:szCs w:val="16"/>
          <w:lang w:val="hy-AM"/>
        </w:rPr>
        <w:t>վերակազմակերպելու</w:t>
      </w:r>
      <w:r w:rsidRPr="00D43D8F">
        <w:rPr>
          <w:rFonts w:cs="Arial"/>
          <w:sz w:val="16"/>
          <w:szCs w:val="16"/>
          <w:lang w:val="hy-AM"/>
        </w:rPr>
        <w:t xml:space="preserve"> </w:t>
      </w:r>
      <w:r w:rsidRPr="00D43D8F">
        <w:rPr>
          <w:rFonts w:cs="Sylfaen"/>
          <w:sz w:val="16"/>
          <w:szCs w:val="16"/>
          <w:lang w:val="hy-AM"/>
        </w:rPr>
        <w:t>մասին</w:t>
      </w:r>
      <w:r w:rsidRPr="00D43D8F">
        <w:rPr>
          <w:rFonts w:cs="Arial"/>
          <w:sz w:val="16"/>
          <w:szCs w:val="16"/>
          <w:lang w:val="hy-AM"/>
        </w:rPr>
        <w:t>» N54-</w:t>
      </w:r>
      <w:r w:rsidRPr="00D43D8F">
        <w:rPr>
          <w:rFonts w:cs="Sylfaen"/>
          <w:sz w:val="16"/>
          <w:szCs w:val="16"/>
          <w:lang w:val="hy-AM"/>
        </w:rPr>
        <w:t>Ա</w:t>
      </w:r>
      <w:r w:rsidRPr="00D43D8F">
        <w:rPr>
          <w:rFonts w:cs="Arial"/>
          <w:sz w:val="16"/>
          <w:szCs w:val="16"/>
          <w:lang w:val="hy-AM"/>
        </w:rPr>
        <w:t xml:space="preserve"> </w:t>
      </w:r>
      <w:r w:rsidRPr="00D43D8F">
        <w:rPr>
          <w:rFonts w:cs="Sylfaen"/>
          <w:sz w:val="16"/>
          <w:szCs w:val="16"/>
          <w:lang w:val="hy-AM"/>
        </w:rPr>
        <w:t>որոշման</w:t>
      </w:r>
      <w:r w:rsidRPr="00D43D8F">
        <w:rPr>
          <w:rFonts w:cs="Arial"/>
          <w:sz w:val="16"/>
          <w:szCs w:val="16"/>
          <w:lang w:val="hy-AM"/>
        </w:rPr>
        <w:t>, 2019</w:t>
      </w:r>
      <w:r w:rsidRPr="00D43D8F">
        <w:rPr>
          <w:rFonts w:cs="Sylfaen"/>
          <w:sz w:val="16"/>
          <w:szCs w:val="16"/>
          <w:lang w:val="hy-AM"/>
        </w:rPr>
        <w:t>թ</w:t>
      </w:r>
      <w:r w:rsidRPr="00D43D8F">
        <w:rPr>
          <w:rFonts w:cs="Arial"/>
          <w:sz w:val="16"/>
          <w:szCs w:val="16"/>
          <w:lang w:val="hy-AM"/>
        </w:rPr>
        <w:t xml:space="preserve">. </w:t>
      </w:r>
      <w:r w:rsidRPr="00D43D8F">
        <w:rPr>
          <w:rFonts w:cs="Sylfaen"/>
          <w:sz w:val="16"/>
          <w:szCs w:val="16"/>
          <w:lang w:val="hy-AM"/>
        </w:rPr>
        <w:t>վերլուծությունը</w:t>
      </w:r>
      <w:r w:rsidRPr="00D43D8F">
        <w:rPr>
          <w:rFonts w:cs="Arial"/>
          <w:sz w:val="16"/>
          <w:szCs w:val="16"/>
          <w:lang w:val="hy-AM"/>
        </w:rPr>
        <w:t xml:space="preserve"> </w:t>
      </w:r>
      <w:r w:rsidRPr="00D43D8F">
        <w:rPr>
          <w:rFonts w:cs="Sylfaen"/>
          <w:sz w:val="16"/>
          <w:szCs w:val="16"/>
          <w:lang w:val="hy-AM"/>
        </w:rPr>
        <w:t>իրականացվել</w:t>
      </w:r>
      <w:r w:rsidRPr="00D43D8F">
        <w:rPr>
          <w:rFonts w:cs="Arial"/>
          <w:sz w:val="16"/>
          <w:szCs w:val="16"/>
          <w:lang w:val="hy-AM"/>
        </w:rPr>
        <w:t xml:space="preserve"> </w:t>
      </w:r>
      <w:r w:rsidRPr="00D43D8F">
        <w:rPr>
          <w:rFonts w:cs="Sylfaen"/>
          <w:sz w:val="16"/>
          <w:szCs w:val="16"/>
          <w:lang w:val="hy-AM"/>
        </w:rPr>
        <w:t>է</w:t>
      </w:r>
      <w:r w:rsidRPr="00D43D8F">
        <w:rPr>
          <w:rFonts w:cs="Arial"/>
          <w:sz w:val="16"/>
          <w:szCs w:val="16"/>
          <w:lang w:val="hy-AM"/>
        </w:rPr>
        <w:t xml:space="preserve"> </w:t>
      </w:r>
      <w:r w:rsidRPr="00D43D8F">
        <w:rPr>
          <w:rFonts w:cs="Sylfaen"/>
          <w:sz w:val="16"/>
          <w:szCs w:val="16"/>
          <w:lang w:val="hy-AM"/>
        </w:rPr>
        <w:t>թվով</w:t>
      </w:r>
      <w:r w:rsidRPr="00D43D8F">
        <w:rPr>
          <w:rFonts w:cs="Arial"/>
          <w:sz w:val="16"/>
          <w:szCs w:val="16"/>
          <w:lang w:val="hy-AM"/>
        </w:rPr>
        <w:t xml:space="preserve"> 7 </w:t>
      </w:r>
      <w:r w:rsidRPr="00D43D8F">
        <w:rPr>
          <w:rFonts w:cs="Sylfaen"/>
          <w:sz w:val="16"/>
          <w:szCs w:val="16"/>
          <w:lang w:val="hy-AM"/>
        </w:rPr>
        <w:t>ընկերությունների</w:t>
      </w:r>
      <w:r w:rsidRPr="00D43D8F">
        <w:rPr>
          <w:rFonts w:cs="Arial"/>
          <w:sz w:val="16"/>
          <w:szCs w:val="16"/>
          <w:lang w:val="hy-AM"/>
        </w:rPr>
        <w:t xml:space="preserve"> </w:t>
      </w:r>
      <w:r w:rsidRPr="00D43D8F">
        <w:rPr>
          <w:rFonts w:cs="Sylfaen"/>
          <w:sz w:val="16"/>
          <w:szCs w:val="16"/>
          <w:lang w:val="hy-AM"/>
        </w:rPr>
        <w:t>ցուցանիշների</w:t>
      </w:r>
      <w:r w:rsidRPr="00D43D8F">
        <w:rPr>
          <w:rFonts w:cs="Arial"/>
          <w:sz w:val="16"/>
          <w:szCs w:val="16"/>
          <w:lang w:val="hy-AM"/>
        </w:rPr>
        <w:t xml:space="preserve"> </w:t>
      </w:r>
      <w:r w:rsidRPr="00D43D8F">
        <w:rPr>
          <w:rFonts w:cs="Sylfaen"/>
          <w:sz w:val="16"/>
          <w:szCs w:val="16"/>
          <w:lang w:val="hy-AM"/>
        </w:rPr>
        <w:t>հիման</w:t>
      </w:r>
      <w:r w:rsidRPr="00D43D8F">
        <w:rPr>
          <w:rFonts w:cs="Arial"/>
          <w:sz w:val="16"/>
          <w:szCs w:val="16"/>
          <w:lang w:val="hy-AM"/>
        </w:rPr>
        <w:t xml:space="preserve"> </w:t>
      </w:r>
      <w:r w:rsidRPr="00D43D8F">
        <w:rPr>
          <w:rFonts w:cs="Sylfaen"/>
          <w:sz w:val="16"/>
          <w:szCs w:val="16"/>
          <w:lang w:val="hy-AM"/>
        </w:rPr>
        <w:t>վրա</w:t>
      </w:r>
      <w:r w:rsidRPr="00D43D8F">
        <w:rPr>
          <w:rFonts w:cs="Arial"/>
          <w:sz w:val="16"/>
          <w:szCs w:val="16"/>
          <w:lang w:val="hy-AM"/>
        </w:rPr>
        <w:t>:</w:t>
      </w:r>
    </w:p>
    <w:p w:rsidR="002026A8" w:rsidRPr="00D25F01" w:rsidRDefault="002026A8" w:rsidP="002C0A36">
      <w:pPr>
        <w:ind w:firstLine="0"/>
        <w:rPr>
          <w:lang w:val="hy-AM"/>
        </w:rPr>
      </w:pPr>
    </w:p>
  </w:footnote>
  <w:footnote w:id="40">
    <w:p w:rsidR="002026A8" w:rsidRDefault="002026A8" w:rsidP="002C0A36">
      <w:pPr>
        <w:shd w:val="clear" w:color="auto" w:fill="FFFFFF"/>
        <w:ind w:right="150" w:firstLine="0"/>
        <w:rPr>
          <w:color w:val="000000"/>
          <w:lang w:val="hy-AM"/>
        </w:rPr>
      </w:pPr>
      <w:r>
        <w:rPr>
          <w:color w:val="000000"/>
          <w:sz w:val="16"/>
          <w:szCs w:val="16"/>
          <w:vertAlign w:val="superscript"/>
          <w:lang w:val="hy-AM"/>
        </w:rPr>
        <w:t xml:space="preserve">1 </w:t>
      </w:r>
      <w:r>
        <w:rPr>
          <w:sz w:val="16"/>
          <w:szCs w:val="16"/>
          <w:lang w:val="hy-AM"/>
        </w:rPr>
        <w:t>Կիրառվել է Ասիական Զարգացման Բանկի կողմից մշակված մեթոդաբա</w:t>
      </w:r>
      <w:r>
        <w:rPr>
          <w:sz w:val="16"/>
          <w:szCs w:val="16"/>
          <w:lang w:val="hy-AM"/>
        </w:rPr>
        <w:softHyphen/>
        <w:t>նությունը:</w:t>
      </w:r>
    </w:p>
    <w:p w:rsidR="002026A8" w:rsidRPr="00796263" w:rsidRDefault="002026A8" w:rsidP="002C0A36">
      <w:pPr>
        <w:shd w:val="clear" w:color="auto" w:fill="FFFFFF"/>
        <w:spacing w:line="240" w:lineRule="auto"/>
        <w:ind w:right="150" w:firstLine="0"/>
        <w:rPr>
          <w:color w:val="000000"/>
          <w:sz w:val="16"/>
          <w:szCs w:val="16"/>
          <w:lang w:val="hy-AM"/>
        </w:rPr>
      </w:pPr>
      <w:r>
        <w:rPr>
          <w:rFonts w:ascii="Sylfaen" w:hAnsi="Sylfaen"/>
          <w:color w:val="000000"/>
          <w:sz w:val="16"/>
          <w:szCs w:val="16"/>
          <w:lang w:val="hy-AM"/>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9AC5A72"/>
    <w:lvl w:ilvl="0">
      <w:start w:val="1"/>
      <w:numFmt w:val="decimal"/>
      <w:pStyle w:val="ListNumber"/>
      <w:lvlText w:val="%1."/>
      <w:lvlJc w:val="left"/>
      <w:pPr>
        <w:tabs>
          <w:tab w:val="num" w:pos="540"/>
        </w:tabs>
        <w:ind w:left="540" w:hanging="360"/>
      </w:pPr>
    </w:lvl>
  </w:abstractNum>
  <w:abstractNum w:abstractNumId="2" w15:restartNumberingAfterBreak="0">
    <w:nsid w:val="00A14C5E"/>
    <w:multiLevelType w:val="hybridMultilevel"/>
    <w:tmpl w:val="7968EC74"/>
    <w:lvl w:ilvl="0" w:tplc="5FAE02DE">
      <w:numFmt w:val="bullet"/>
      <w:lvlText w:val="-"/>
      <w:lvlJc w:val="left"/>
      <w:pPr>
        <w:ind w:left="927" w:hanging="360"/>
      </w:pPr>
      <w:rPr>
        <w:rFonts w:ascii="GHEA Grapalat" w:eastAsia="Times New Roman" w:hAnsi="GHEA Grapalat"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00B71C3D"/>
    <w:multiLevelType w:val="hybridMultilevel"/>
    <w:tmpl w:val="867E2ADA"/>
    <w:lvl w:ilvl="0" w:tplc="C56688CE">
      <w:start w:val="1"/>
      <w:numFmt w:val="bullet"/>
      <w:lvlText w:val="-"/>
      <w:lvlJc w:val="left"/>
      <w:pPr>
        <w:ind w:left="1170" w:hanging="360"/>
      </w:pPr>
      <w:rPr>
        <w:rFonts w:ascii="Calibri" w:eastAsia="Calibri" w:hAnsi="Calibri"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03494692"/>
    <w:multiLevelType w:val="hybridMultilevel"/>
    <w:tmpl w:val="A1E2F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BB4C40"/>
    <w:multiLevelType w:val="hybridMultilevel"/>
    <w:tmpl w:val="CA96681A"/>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B45AF4"/>
    <w:multiLevelType w:val="hybridMultilevel"/>
    <w:tmpl w:val="476C7736"/>
    <w:lvl w:ilvl="0" w:tplc="03589ECA">
      <w:start w:val="1"/>
      <w:numFmt w:val="decimal"/>
      <w:lvlText w:val="%1."/>
      <w:lvlJc w:val="left"/>
      <w:pPr>
        <w:ind w:left="927" w:hanging="360"/>
      </w:pPr>
      <w:rPr>
        <w:rFonts w:cs="Sylfae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084C7D3A"/>
    <w:multiLevelType w:val="multilevel"/>
    <w:tmpl w:val="1B94823C"/>
    <w:lvl w:ilvl="0">
      <w:start w:val="1"/>
      <w:numFmt w:val="decimal"/>
      <w:lvlText w:val="%1."/>
      <w:lvlJc w:val="left"/>
      <w:pPr>
        <w:ind w:left="720" w:hanging="360"/>
      </w:pPr>
      <w:rPr>
        <w:rFonts w:cs="Sylfaen"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854" w:hanging="108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3195" w:hanging="180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969" w:hanging="2160"/>
      </w:pPr>
      <w:rPr>
        <w:rFonts w:hint="default"/>
      </w:rPr>
    </w:lvl>
    <w:lvl w:ilvl="8">
      <w:start w:val="1"/>
      <w:numFmt w:val="decimal"/>
      <w:isLgl/>
      <w:lvlText w:val="%1.%2.%3.%4.%5.%6.%7.%8.%9."/>
      <w:lvlJc w:val="left"/>
      <w:pPr>
        <w:ind w:left="4536" w:hanging="2520"/>
      </w:pPr>
      <w:rPr>
        <w:rFonts w:hint="default"/>
      </w:rPr>
    </w:lvl>
  </w:abstractNum>
  <w:abstractNum w:abstractNumId="9" w15:restartNumberingAfterBreak="0">
    <w:nsid w:val="09A402E7"/>
    <w:multiLevelType w:val="hybridMultilevel"/>
    <w:tmpl w:val="FCC0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89690A"/>
    <w:multiLevelType w:val="hybridMultilevel"/>
    <w:tmpl w:val="53BE3A02"/>
    <w:lvl w:ilvl="0" w:tplc="04090011">
      <w:start w:val="1"/>
      <w:numFmt w:val="decimal"/>
      <w:lvlText w:val="%1)"/>
      <w:lvlJc w:val="left"/>
      <w:pPr>
        <w:ind w:left="1069" w:hanging="360"/>
      </w:pPr>
      <w:rPr>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0B237955"/>
    <w:multiLevelType w:val="hybridMultilevel"/>
    <w:tmpl w:val="2DF8032C"/>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ED22CD"/>
    <w:multiLevelType w:val="multilevel"/>
    <w:tmpl w:val="C77EBEC8"/>
    <w:lvl w:ilvl="0">
      <w:start w:val="1"/>
      <w:numFmt w:val="decimal"/>
      <w:lvlText w:val="´²ÄÆÜ %1."/>
      <w:lvlJc w:val="left"/>
      <w:pPr>
        <w:tabs>
          <w:tab w:val="num" w:pos="1531"/>
        </w:tabs>
        <w:ind w:left="1531" w:hanging="1531"/>
      </w:pPr>
      <w:rPr>
        <w:rFonts w:hint="default"/>
      </w:rPr>
    </w:lvl>
    <w:lvl w:ilvl="1">
      <w:start w:val="1"/>
      <w:numFmt w:val="decimal"/>
      <w:lvlRestart w:val="0"/>
      <w:lvlText w:val="¶ÈàôÊ %2."/>
      <w:lvlJc w:val="left"/>
      <w:pPr>
        <w:tabs>
          <w:tab w:val="num" w:pos="1440"/>
        </w:tabs>
        <w:ind w:left="737" w:hanging="737"/>
      </w:pPr>
      <w:rPr>
        <w:rFonts w:hint="default"/>
      </w:rPr>
    </w:lvl>
    <w:lvl w:ilvl="2">
      <w:start w:val="1"/>
      <w:numFmt w:val="decimal"/>
      <w:lvlText w:val="%2.%3."/>
      <w:lvlJc w:val="left"/>
      <w:pPr>
        <w:tabs>
          <w:tab w:val="num" w:pos="737"/>
        </w:tabs>
        <w:ind w:left="737" w:hanging="737"/>
      </w:pPr>
      <w:rPr>
        <w:rFonts w:hint="default"/>
      </w:rPr>
    </w:lvl>
    <w:lvl w:ilvl="3">
      <w:start w:val="1"/>
      <w:numFmt w:val="decimal"/>
      <w:lvlText w:val="%2.%3.%4."/>
      <w:lvlJc w:val="left"/>
      <w:pPr>
        <w:tabs>
          <w:tab w:val="num" w:pos="737"/>
        </w:tabs>
        <w:ind w:left="737" w:hanging="737"/>
      </w:pPr>
      <w:rPr>
        <w:rFonts w:hint="default"/>
      </w:rPr>
    </w:lvl>
    <w:lvl w:ilvl="4">
      <w:start w:val="1"/>
      <w:numFmt w:val="decimal"/>
      <w:lvlText w:val="%2.%3.%4.%5."/>
      <w:lvlJc w:val="left"/>
      <w:pPr>
        <w:tabs>
          <w:tab w:val="num" w:pos="907"/>
        </w:tabs>
        <w:ind w:left="907" w:hanging="907"/>
      </w:pPr>
      <w:rPr>
        <w:rFonts w:hint="default"/>
      </w:rPr>
    </w:lvl>
    <w:lvl w:ilvl="5">
      <w:start w:val="1"/>
      <w:numFmt w:val="decimal"/>
      <w:lvlText w:val="%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0EF45B06"/>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2B08AC"/>
    <w:multiLevelType w:val="hybridMultilevel"/>
    <w:tmpl w:val="9E582F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9E7A5A"/>
    <w:multiLevelType w:val="singleLevel"/>
    <w:tmpl w:val="4EDA947C"/>
    <w:lvl w:ilvl="0">
      <w:start w:val="1"/>
      <w:numFmt w:val="decimal"/>
      <w:pStyle w:val="a"/>
      <w:lvlText w:val="%1."/>
      <w:lvlJc w:val="left"/>
      <w:pPr>
        <w:tabs>
          <w:tab w:val="num" w:pos="360"/>
        </w:tabs>
        <w:ind w:left="360" w:hanging="360"/>
      </w:pPr>
      <w:rPr>
        <w:rFonts w:hint="default"/>
      </w:rPr>
    </w:lvl>
  </w:abstractNum>
  <w:abstractNum w:abstractNumId="16" w15:restartNumberingAfterBreak="0">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C871CA6"/>
    <w:multiLevelType w:val="hybridMultilevel"/>
    <w:tmpl w:val="884E997A"/>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6F572A"/>
    <w:multiLevelType w:val="hybridMultilevel"/>
    <w:tmpl w:val="6C4C41B2"/>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120D3E"/>
    <w:multiLevelType w:val="hybridMultilevel"/>
    <w:tmpl w:val="721E700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0" w15:restartNumberingAfterBreak="0">
    <w:nsid w:val="22F9677B"/>
    <w:multiLevelType w:val="hybridMultilevel"/>
    <w:tmpl w:val="5FC0DC7E"/>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3D7D34"/>
    <w:multiLevelType w:val="hybridMultilevel"/>
    <w:tmpl w:val="F16EC7E6"/>
    <w:lvl w:ilvl="0" w:tplc="B2E0EA00">
      <w:start w:val="1"/>
      <w:numFmt w:val="bullet"/>
      <w:lvlText w:val="-"/>
      <w:lvlJc w:val="left"/>
      <w:pPr>
        <w:ind w:left="360" w:hanging="360"/>
      </w:pPr>
      <w:rPr>
        <w:rFonts w:ascii="Calibri" w:eastAsia="Calibri" w:hAnsi="Calibri" w:cs="Times New Roman" w:hint="default"/>
        <w:lang w:val="hy-AM"/>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5C660CE"/>
    <w:multiLevelType w:val="hybridMultilevel"/>
    <w:tmpl w:val="1D92EB60"/>
    <w:lvl w:ilvl="0" w:tplc="C56688CE">
      <w:start w:val="1"/>
      <w:numFmt w:val="bullet"/>
      <w:lvlText w:val="-"/>
      <w:lvlJc w:val="left"/>
      <w:pPr>
        <w:ind w:left="1170" w:hanging="360"/>
      </w:pPr>
      <w:rPr>
        <w:rFonts w:ascii="Calibri" w:eastAsia="Calibri" w:hAnsi="Calibri" w:cs="Times New Roman"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3" w15:restartNumberingAfterBreak="0">
    <w:nsid w:val="26526458"/>
    <w:multiLevelType w:val="hybridMultilevel"/>
    <w:tmpl w:val="52029D9E"/>
    <w:lvl w:ilvl="0" w:tplc="0409000D">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start w:val="1"/>
      <w:numFmt w:val="bullet"/>
      <w:lvlText w:val=""/>
      <w:lvlJc w:val="left"/>
      <w:pPr>
        <w:ind w:left="3873" w:hanging="360"/>
      </w:pPr>
      <w:rPr>
        <w:rFonts w:ascii="Symbol" w:hAnsi="Symbol" w:hint="default"/>
      </w:rPr>
    </w:lvl>
    <w:lvl w:ilvl="4" w:tplc="04090003">
      <w:start w:val="1"/>
      <w:numFmt w:val="bullet"/>
      <w:lvlText w:val="o"/>
      <w:lvlJc w:val="left"/>
      <w:pPr>
        <w:ind w:left="4593" w:hanging="360"/>
      </w:pPr>
      <w:rPr>
        <w:rFonts w:ascii="Courier New" w:hAnsi="Courier New" w:cs="Courier New" w:hint="default"/>
      </w:rPr>
    </w:lvl>
    <w:lvl w:ilvl="5" w:tplc="04090005">
      <w:start w:val="1"/>
      <w:numFmt w:val="bullet"/>
      <w:lvlText w:val=""/>
      <w:lvlJc w:val="left"/>
      <w:pPr>
        <w:ind w:left="5313" w:hanging="360"/>
      </w:pPr>
      <w:rPr>
        <w:rFonts w:ascii="Wingdings" w:hAnsi="Wingdings" w:hint="default"/>
      </w:rPr>
    </w:lvl>
    <w:lvl w:ilvl="6" w:tplc="04090001">
      <w:start w:val="1"/>
      <w:numFmt w:val="bullet"/>
      <w:lvlText w:val=""/>
      <w:lvlJc w:val="left"/>
      <w:pPr>
        <w:ind w:left="6033" w:hanging="360"/>
      </w:pPr>
      <w:rPr>
        <w:rFonts w:ascii="Symbol" w:hAnsi="Symbol" w:hint="default"/>
      </w:rPr>
    </w:lvl>
    <w:lvl w:ilvl="7" w:tplc="04090003">
      <w:start w:val="1"/>
      <w:numFmt w:val="bullet"/>
      <w:lvlText w:val="o"/>
      <w:lvlJc w:val="left"/>
      <w:pPr>
        <w:ind w:left="6753" w:hanging="360"/>
      </w:pPr>
      <w:rPr>
        <w:rFonts w:ascii="Courier New" w:hAnsi="Courier New" w:cs="Courier New" w:hint="default"/>
      </w:rPr>
    </w:lvl>
    <w:lvl w:ilvl="8" w:tplc="04090005">
      <w:start w:val="1"/>
      <w:numFmt w:val="bullet"/>
      <w:lvlText w:val=""/>
      <w:lvlJc w:val="left"/>
      <w:pPr>
        <w:ind w:left="7473" w:hanging="360"/>
      </w:pPr>
      <w:rPr>
        <w:rFonts w:ascii="Wingdings" w:hAnsi="Wingdings" w:hint="default"/>
      </w:rPr>
    </w:lvl>
  </w:abstractNum>
  <w:abstractNum w:abstractNumId="24" w15:restartNumberingAfterBreak="0">
    <w:nsid w:val="2917017C"/>
    <w:multiLevelType w:val="hybridMultilevel"/>
    <w:tmpl w:val="6318ECA2"/>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6" w15:restartNumberingAfterBreak="0">
    <w:nsid w:val="2CCF2A16"/>
    <w:multiLevelType w:val="hybridMultilevel"/>
    <w:tmpl w:val="ADC03A86"/>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795E74"/>
    <w:multiLevelType w:val="hybridMultilevel"/>
    <w:tmpl w:val="BB52AED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6F153C"/>
    <w:multiLevelType w:val="hybridMultilevel"/>
    <w:tmpl w:val="C8E0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9C515E"/>
    <w:multiLevelType w:val="hybridMultilevel"/>
    <w:tmpl w:val="ACA02C26"/>
    <w:lvl w:ilvl="0" w:tplc="C56688CE">
      <w:start w:val="1"/>
      <w:numFmt w:val="bullet"/>
      <w:lvlText w:val="-"/>
      <w:lvlJc w:val="left"/>
      <w:pPr>
        <w:ind w:left="928"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42235AC"/>
    <w:multiLevelType w:val="hybridMultilevel"/>
    <w:tmpl w:val="4F4A4EE6"/>
    <w:lvl w:ilvl="0" w:tplc="04090001">
      <w:start w:val="1"/>
      <w:numFmt w:val="bullet"/>
      <w:lvlText w:val=""/>
      <w:lvlJc w:val="left"/>
      <w:pPr>
        <w:ind w:left="1440" w:hanging="360"/>
      </w:pPr>
      <w:rPr>
        <w:rFonts w:ascii="Symbol" w:hAnsi="Symbol" w:hint="default"/>
      </w:rPr>
    </w:lvl>
    <w:lvl w:ilvl="1" w:tplc="4FEEEB46">
      <w:start w:val="1"/>
      <w:numFmt w:val="bullet"/>
      <w:lvlText w:val="-"/>
      <w:lvlJc w:val="left"/>
      <w:pPr>
        <w:ind w:left="2160" w:hanging="360"/>
      </w:pPr>
      <w:rPr>
        <w:rFonts w:ascii="MS Reference Sans Serif" w:hAnsi="MS Reference Sans Serif"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5757B3E"/>
    <w:multiLevelType w:val="hybridMultilevel"/>
    <w:tmpl w:val="69764F6A"/>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E94A6B48" w:tentative="1">
      <w:start w:val="1"/>
      <w:numFmt w:val="bullet"/>
      <w:lvlText w:val="•"/>
      <w:lvlJc w:val="left"/>
      <w:pPr>
        <w:tabs>
          <w:tab w:val="num" w:pos="2160"/>
        </w:tabs>
        <w:ind w:left="2160" w:hanging="360"/>
      </w:pPr>
      <w:rPr>
        <w:rFonts w:ascii="Arial" w:hAnsi="Arial" w:hint="default"/>
      </w:rPr>
    </w:lvl>
    <w:lvl w:ilvl="3" w:tplc="288CD880" w:tentative="1">
      <w:start w:val="1"/>
      <w:numFmt w:val="bullet"/>
      <w:lvlText w:val="•"/>
      <w:lvlJc w:val="left"/>
      <w:pPr>
        <w:tabs>
          <w:tab w:val="num" w:pos="2880"/>
        </w:tabs>
        <w:ind w:left="2880" w:hanging="360"/>
      </w:pPr>
      <w:rPr>
        <w:rFonts w:ascii="Arial" w:hAnsi="Arial" w:hint="default"/>
      </w:rPr>
    </w:lvl>
    <w:lvl w:ilvl="4" w:tplc="305203F2" w:tentative="1">
      <w:start w:val="1"/>
      <w:numFmt w:val="bullet"/>
      <w:lvlText w:val="•"/>
      <w:lvlJc w:val="left"/>
      <w:pPr>
        <w:tabs>
          <w:tab w:val="num" w:pos="3600"/>
        </w:tabs>
        <w:ind w:left="3600" w:hanging="360"/>
      </w:pPr>
      <w:rPr>
        <w:rFonts w:ascii="Arial" w:hAnsi="Arial" w:hint="default"/>
      </w:rPr>
    </w:lvl>
    <w:lvl w:ilvl="5" w:tplc="D5C217C6" w:tentative="1">
      <w:start w:val="1"/>
      <w:numFmt w:val="bullet"/>
      <w:lvlText w:val="•"/>
      <w:lvlJc w:val="left"/>
      <w:pPr>
        <w:tabs>
          <w:tab w:val="num" w:pos="4320"/>
        </w:tabs>
        <w:ind w:left="4320" w:hanging="360"/>
      </w:pPr>
      <w:rPr>
        <w:rFonts w:ascii="Arial" w:hAnsi="Arial" w:hint="default"/>
      </w:rPr>
    </w:lvl>
    <w:lvl w:ilvl="6" w:tplc="74BCD5D8" w:tentative="1">
      <w:start w:val="1"/>
      <w:numFmt w:val="bullet"/>
      <w:lvlText w:val="•"/>
      <w:lvlJc w:val="left"/>
      <w:pPr>
        <w:tabs>
          <w:tab w:val="num" w:pos="5040"/>
        </w:tabs>
        <w:ind w:left="5040" w:hanging="360"/>
      </w:pPr>
      <w:rPr>
        <w:rFonts w:ascii="Arial" w:hAnsi="Arial" w:hint="default"/>
      </w:rPr>
    </w:lvl>
    <w:lvl w:ilvl="7" w:tplc="670823B8" w:tentative="1">
      <w:start w:val="1"/>
      <w:numFmt w:val="bullet"/>
      <w:lvlText w:val="•"/>
      <w:lvlJc w:val="left"/>
      <w:pPr>
        <w:tabs>
          <w:tab w:val="num" w:pos="5760"/>
        </w:tabs>
        <w:ind w:left="5760" w:hanging="360"/>
      </w:pPr>
      <w:rPr>
        <w:rFonts w:ascii="Arial" w:hAnsi="Arial" w:hint="default"/>
      </w:rPr>
    </w:lvl>
    <w:lvl w:ilvl="8" w:tplc="C80E3D0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61208CF"/>
    <w:multiLevelType w:val="hybridMultilevel"/>
    <w:tmpl w:val="49443026"/>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9D3C64"/>
    <w:multiLevelType w:val="hybridMultilevel"/>
    <w:tmpl w:val="08A85506"/>
    <w:lvl w:ilvl="0" w:tplc="B2E0EA00">
      <w:start w:val="1"/>
      <w:numFmt w:val="bullet"/>
      <w:lvlText w:val="-"/>
      <w:lvlJc w:val="left"/>
      <w:pPr>
        <w:ind w:left="720" w:hanging="360"/>
      </w:pPr>
      <w:rPr>
        <w:rFonts w:ascii="Calibri" w:eastAsia="Calibri" w:hAnsi="Calibri" w:cs="Times New Roman" w:hint="default"/>
        <w:lang w:val="hy-AM"/>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3C461B8D"/>
    <w:multiLevelType w:val="hybridMultilevel"/>
    <w:tmpl w:val="2F7C06BE"/>
    <w:lvl w:ilvl="0" w:tplc="04090011">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721D99"/>
    <w:multiLevelType w:val="multilevel"/>
    <w:tmpl w:val="19F8AC6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7" w15:restartNumberingAfterBreak="0">
    <w:nsid w:val="3E272D1A"/>
    <w:multiLevelType w:val="hybridMultilevel"/>
    <w:tmpl w:val="EA94F14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E76784F"/>
    <w:multiLevelType w:val="hybridMultilevel"/>
    <w:tmpl w:val="983CD254"/>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0" w15:restartNumberingAfterBreak="0">
    <w:nsid w:val="43C765F3"/>
    <w:multiLevelType w:val="hybridMultilevel"/>
    <w:tmpl w:val="ED1E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930964"/>
    <w:multiLevelType w:val="hybridMultilevel"/>
    <w:tmpl w:val="C2AE092E"/>
    <w:lvl w:ilvl="0" w:tplc="C56688CE">
      <w:start w:val="1"/>
      <w:numFmt w:val="bullet"/>
      <w:lvlText w:val="-"/>
      <w:lvlJc w:val="left"/>
      <w:pPr>
        <w:ind w:left="1287" w:hanging="360"/>
      </w:pPr>
      <w:rPr>
        <w:rFonts w:ascii="Calibri" w:eastAsia="Calibri" w:hAnsi="Calibri"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4C4A7A6F"/>
    <w:multiLevelType w:val="hybridMultilevel"/>
    <w:tmpl w:val="7B08516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992FB0"/>
    <w:multiLevelType w:val="hybridMultilevel"/>
    <w:tmpl w:val="6D2A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360596"/>
    <w:multiLevelType w:val="hybridMultilevel"/>
    <w:tmpl w:val="71F2C140"/>
    <w:lvl w:ilvl="0" w:tplc="2898D622">
      <w:start w:val="1"/>
      <w:numFmt w:val="decimal"/>
      <w:lvlText w:val="%1."/>
      <w:lvlJc w:val="left"/>
      <w:pPr>
        <w:ind w:left="931" w:hanging="360"/>
      </w:pPr>
      <w:rPr>
        <w:rFonts w:hint="default"/>
      </w:rPr>
    </w:lvl>
    <w:lvl w:ilvl="1" w:tplc="04090019" w:tentative="1">
      <w:start w:val="1"/>
      <w:numFmt w:val="lowerLetter"/>
      <w:lvlText w:val="%2."/>
      <w:lvlJc w:val="left"/>
      <w:pPr>
        <w:ind w:left="1651" w:hanging="360"/>
      </w:pPr>
    </w:lvl>
    <w:lvl w:ilvl="2" w:tplc="0409001B" w:tentative="1">
      <w:start w:val="1"/>
      <w:numFmt w:val="lowerRoman"/>
      <w:lvlText w:val="%3."/>
      <w:lvlJc w:val="right"/>
      <w:pPr>
        <w:ind w:left="2371" w:hanging="180"/>
      </w:pPr>
    </w:lvl>
    <w:lvl w:ilvl="3" w:tplc="0409000F" w:tentative="1">
      <w:start w:val="1"/>
      <w:numFmt w:val="decimal"/>
      <w:lvlText w:val="%4."/>
      <w:lvlJc w:val="left"/>
      <w:pPr>
        <w:ind w:left="3091" w:hanging="360"/>
      </w:pPr>
    </w:lvl>
    <w:lvl w:ilvl="4" w:tplc="04090019" w:tentative="1">
      <w:start w:val="1"/>
      <w:numFmt w:val="lowerLetter"/>
      <w:lvlText w:val="%5."/>
      <w:lvlJc w:val="left"/>
      <w:pPr>
        <w:ind w:left="3811" w:hanging="360"/>
      </w:pPr>
    </w:lvl>
    <w:lvl w:ilvl="5" w:tplc="0409001B" w:tentative="1">
      <w:start w:val="1"/>
      <w:numFmt w:val="lowerRoman"/>
      <w:lvlText w:val="%6."/>
      <w:lvlJc w:val="right"/>
      <w:pPr>
        <w:ind w:left="4531" w:hanging="180"/>
      </w:pPr>
    </w:lvl>
    <w:lvl w:ilvl="6" w:tplc="0409000F" w:tentative="1">
      <w:start w:val="1"/>
      <w:numFmt w:val="decimal"/>
      <w:lvlText w:val="%7."/>
      <w:lvlJc w:val="left"/>
      <w:pPr>
        <w:ind w:left="5251" w:hanging="360"/>
      </w:pPr>
    </w:lvl>
    <w:lvl w:ilvl="7" w:tplc="04090019" w:tentative="1">
      <w:start w:val="1"/>
      <w:numFmt w:val="lowerLetter"/>
      <w:lvlText w:val="%8."/>
      <w:lvlJc w:val="left"/>
      <w:pPr>
        <w:ind w:left="5971" w:hanging="360"/>
      </w:pPr>
    </w:lvl>
    <w:lvl w:ilvl="8" w:tplc="0409001B" w:tentative="1">
      <w:start w:val="1"/>
      <w:numFmt w:val="lowerRoman"/>
      <w:lvlText w:val="%9."/>
      <w:lvlJc w:val="right"/>
      <w:pPr>
        <w:ind w:left="6691" w:hanging="180"/>
      </w:pPr>
    </w:lvl>
  </w:abstractNum>
  <w:abstractNum w:abstractNumId="45" w15:restartNumberingAfterBreak="0">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51154DB5"/>
    <w:multiLevelType w:val="hybridMultilevel"/>
    <w:tmpl w:val="2FC854C2"/>
    <w:lvl w:ilvl="0" w:tplc="16E6CDD0">
      <w:start w:val="1"/>
      <w:numFmt w:val="decimal"/>
      <w:pStyle w:val="Charts"/>
      <w:lvlText w:val="Գծապատկեր %1."/>
      <w:lvlJc w:val="left"/>
      <w:pPr>
        <w:ind w:left="1170" w:hanging="360"/>
      </w:pPr>
      <w:rPr>
        <w:rFonts w:ascii="GHEA Grapalat" w:hAnsi="GHEA Grapalat"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7" w15:restartNumberingAfterBreak="0">
    <w:nsid w:val="512410D6"/>
    <w:multiLevelType w:val="hybridMultilevel"/>
    <w:tmpl w:val="3020B012"/>
    <w:lvl w:ilvl="0" w:tplc="B2E0EA00">
      <w:start w:val="1"/>
      <w:numFmt w:val="bullet"/>
      <w:lvlText w:val="-"/>
      <w:lvlJc w:val="left"/>
      <w:pPr>
        <w:ind w:left="720" w:hanging="360"/>
      </w:pPr>
      <w:rPr>
        <w:rFonts w:ascii="Calibri" w:eastAsia="Calibri" w:hAnsi="Calibri" w:cs="Times New Roman" w:hint="default"/>
        <w:lang w:val="hy-AM"/>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6FF29FC"/>
    <w:multiLevelType w:val="hybridMultilevel"/>
    <w:tmpl w:val="A98041B6"/>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7A7635A"/>
    <w:multiLevelType w:val="hybridMultilevel"/>
    <w:tmpl w:val="631C8B9E"/>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FC3A38"/>
    <w:multiLevelType w:val="hybridMultilevel"/>
    <w:tmpl w:val="5CFE0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2A0742"/>
    <w:multiLevelType w:val="hybridMultilevel"/>
    <w:tmpl w:val="5C24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904267E"/>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9957624"/>
    <w:multiLevelType w:val="hybridMultilevel"/>
    <w:tmpl w:val="28022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5A761E34"/>
    <w:multiLevelType w:val="hybridMultilevel"/>
    <w:tmpl w:val="03C02330"/>
    <w:lvl w:ilvl="0" w:tplc="49D6164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59" w15:restartNumberingAfterBreak="0">
    <w:nsid w:val="5E92419D"/>
    <w:multiLevelType w:val="hybridMultilevel"/>
    <w:tmpl w:val="D0D8956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F413B2"/>
    <w:multiLevelType w:val="hybridMultilevel"/>
    <w:tmpl w:val="6CFA2BAE"/>
    <w:lvl w:ilvl="0" w:tplc="0409000D">
      <w:start w:val="1"/>
      <w:numFmt w:val="bullet"/>
      <w:lvlText w:val=""/>
      <w:lvlJc w:val="left"/>
      <w:pPr>
        <w:tabs>
          <w:tab w:val="num" w:pos="1080"/>
        </w:tabs>
        <w:ind w:left="1080" w:hanging="360"/>
      </w:pPr>
      <w:rPr>
        <w:rFonts w:ascii="Wingdings" w:hAnsi="Wingdings" w:hint="default"/>
      </w:rPr>
    </w:lvl>
    <w:lvl w:ilvl="1" w:tplc="7DC8E6C6">
      <w:start w:val="1"/>
      <w:numFmt w:val="bullet"/>
      <w:lvlText w:val="•"/>
      <w:lvlJc w:val="left"/>
      <w:pPr>
        <w:tabs>
          <w:tab w:val="num" w:pos="1800"/>
        </w:tabs>
        <w:ind w:left="1800" w:hanging="360"/>
      </w:pPr>
      <w:rPr>
        <w:rFonts w:ascii="Arial" w:hAnsi="Arial" w:hint="default"/>
      </w:rPr>
    </w:lvl>
    <w:lvl w:ilvl="2" w:tplc="B8DEA9A4" w:tentative="1">
      <w:start w:val="1"/>
      <w:numFmt w:val="bullet"/>
      <w:lvlText w:val="•"/>
      <w:lvlJc w:val="left"/>
      <w:pPr>
        <w:tabs>
          <w:tab w:val="num" w:pos="2520"/>
        </w:tabs>
        <w:ind w:left="2520" w:hanging="360"/>
      </w:pPr>
      <w:rPr>
        <w:rFonts w:ascii="Arial" w:hAnsi="Arial" w:hint="default"/>
      </w:rPr>
    </w:lvl>
    <w:lvl w:ilvl="3" w:tplc="8B0CF5AE" w:tentative="1">
      <w:start w:val="1"/>
      <w:numFmt w:val="bullet"/>
      <w:lvlText w:val="•"/>
      <w:lvlJc w:val="left"/>
      <w:pPr>
        <w:tabs>
          <w:tab w:val="num" w:pos="3240"/>
        </w:tabs>
        <w:ind w:left="3240" w:hanging="360"/>
      </w:pPr>
      <w:rPr>
        <w:rFonts w:ascii="Arial" w:hAnsi="Arial" w:hint="default"/>
      </w:rPr>
    </w:lvl>
    <w:lvl w:ilvl="4" w:tplc="CB40DD5A" w:tentative="1">
      <w:start w:val="1"/>
      <w:numFmt w:val="bullet"/>
      <w:lvlText w:val="•"/>
      <w:lvlJc w:val="left"/>
      <w:pPr>
        <w:tabs>
          <w:tab w:val="num" w:pos="3960"/>
        </w:tabs>
        <w:ind w:left="3960" w:hanging="360"/>
      </w:pPr>
      <w:rPr>
        <w:rFonts w:ascii="Arial" w:hAnsi="Arial" w:hint="default"/>
      </w:rPr>
    </w:lvl>
    <w:lvl w:ilvl="5" w:tplc="88DE4802" w:tentative="1">
      <w:start w:val="1"/>
      <w:numFmt w:val="bullet"/>
      <w:lvlText w:val="•"/>
      <w:lvlJc w:val="left"/>
      <w:pPr>
        <w:tabs>
          <w:tab w:val="num" w:pos="4680"/>
        </w:tabs>
        <w:ind w:left="4680" w:hanging="360"/>
      </w:pPr>
      <w:rPr>
        <w:rFonts w:ascii="Arial" w:hAnsi="Arial" w:hint="default"/>
      </w:rPr>
    </w:lvl>
    <w:lvl w:ilvl="6" w:tplc="DDB292CE" w:tentative="1">
      <w:start w:val="1"/>
      <w:numFmt w:val="bullet"/>
      <w:lvlText w:val="•"/>
      <w:lvlJc w:val="left"/>
      <w:pPr>
        <w:tabs>
          <w:tab w:val="num" w:pos="5400"/>
        </w:tabs>
        <w:ind w:left="5400" w:hanging="360"/>
      </w:pPr>
      <w:rPr>
        <w:rFonts w:ascii="Arial" w:hAnsi="Arial" w:hint="default"/>
      </w:rPr>
    </w:lvl>
    <w:lvl w:ilvl="7" w:tplc="8F46015A" w:tentative="1">
      <w:start w:val="1"/>
      <w:numFmt w:val="bullet"/>
      <w:lvlText w:val="•"/>
      <w:lvlJc w:val="left"/>
      <w:pPr>
        <w:tabs>
          <w:tab w:val="num" w:pos="6120"/>
        </w:tabs>
        <w:ind w:left="6120" w:hanging="360"/>
      </w:pPr>
      <w:rPr>
        <w:rFonts w:ascii="Arial" w:hAnsi="Arial" w:hint="default"/>
      </w:rPr>
    </w:lvl>
    <w:lvl w:ilvl="8" w:tplc="21AE8A96" w:tentative="1">
      <w:start w:val="1"/>
      <w:numFmt w:val="bullet"/>
      <w:lvlText w:val="•"/>
      <w:lvlJc w:val="left"/>
      <w:pPr>
        <w:tabs>
          <w:tab w:val="num" w:pos="6840"/>
        </w:tabs>
        <w:ind w:left="6840" w:hanging="360"/>
      </w:pPr>
      <w:rPr>
        <w:rFonts w:ascii="Arial" w:hAnsi="Arial" w:hint="default"/>
      </w:rPr>
    </w:lvl>
  </w:abstractNum>
  <w:abstractNum w:abstractNumId="61" w15:restartNumberingAfterBreak="0">
    <w:nsid w:val="5F7C6FDB"/>
    <w:multiLevelType w:val="hybridMultilevel"/>
    <w:tmpl w:val="39C6AF84"/>
    <w:lvl w:ilvl="0" w:tplc="04090001">
      <w:start w:val="1"/>
      <w:numFmt w:val="decimal"/>
      <w:lvlText w:val="%1."/>
      <w:lvlJc w:val="left"/>
      <w:pPr>
        <w:tabs>
          <w:tab w:val="num" w:pos="0"/>
        </w:tabs>
        <w:ind w:left="0" w:firstLine="0"/>
      </w:pPr>
      <w:rPr>
        <w:rFonts w:hint="default"/>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2" w15:restartNumberingAfterBreak="0">
    <w:nsid w:val="626336ED"/>
    <w:multiLevelType w:val="hybridMultilevel"/>
    <w:tmpl w:val="BED46D1E"/>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3412DC"/>
    <w:multiLevelType w:val="hybridMultilevel"/>
    <w:tmpl w:val="7152C2E0"/>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9E436A"/>
    <w:multiLevelType w:val="hybridMultilevel"/>
    <w:tmpl w:val="51B28F1A"/>
    <w:lvl w:ilvl="0" w:tplc="78B647A6">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5" w15:restartNumberingAfterBreak="0">
    <w:nsid w:val="658D1367"/>
    <w:multiLevelType w:val="hybridMultilevel"/>
    <w:tmpl w:val="87FEA1AA"/>
    <w:lvl w:ilvl="0" w:tplc="A588E60C">
      <w:start w:val="1"/>
      <w:numFmt w:val="decimal"/>
      <w:pStyle w:val="Tables"/>
      <w:lvlText w:val="Աղյուսակ %1."/>
      <w:lvlJc w:val="left"/>
      <w:pPr>
        <w:ind w:left="1710" w:hanging="360"/>
      </w:pPr>
      <w:rPr>
        <w:rFonts w:ascii="GHEA Grapalat" w:hAnsi="GHEA Grapalat" w:hint="default"/>
        <w:b/>
        <w:i w:val="0"/>
        <w:sz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6" w15:restartNumberingAfterBreak="0">
    <w:nsid w:val="67E16A43"/>
    <w:multiLevelType w:val="hybridMultilevel"/>
    <w:tmpl w:val="A1BAD684"/>
    <w:lvl w:ilvl="0" w:tplc="F6EA2F80">
      <w:numFmt w:val="bullet"/>
      <w:lvlText w:val="-"/>
      <w:lvlJc w:val="left"/>
      <w:pPr>
        <w:ind w:left="927" w:hanging="360"/>
      </w:pPr>
      <w:rPr>
        <w:rFonts w:ascii="GHEA Grapalat" w:eastAsia="Times New Roman" w:hAnsi="GHEA Grapalat"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7" w15:restartNumberingAfterBreak="0">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9EC513E"/>
    <w:multiLevelType w:val="hybridMultilevel"/>
    <w:tmpl w:val="F3220BE2"/>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A8E1A17"/>
    <w:multiLevelType w:val="hybridMultilevel"/>
    <w:tmpl w:val="2CD6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D56531F"/>
    <w:multiLevelType w:val="hybridMultilevel"/>
    <w:tmpl w:val="23362A6A"/>
    <w:lvl w:ilvl="0" w:tplc="C56688CE">
      <w:start w:val="1"/>
      <w:numFmt w:val="bullet"/>
      <w:lvlText w:val="-"/>
      <w:lvlJc w:val="left"/>
      <w:pPr>
        <w:ind w:left="1170" w:hanging="360"/>
      </w:pPr>
      <w:rPr>
        <w:rFonts w:ascii="Calibri" w:eastAsia="Calibri" w:hAnsi="Calibri" w:cs="Times New Roman" w:hint="default"/>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72" w15:restartNumberingAfterBreak="0">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E75BA7"/>
    <w:multiLevelType w:val="hybridMultilevel"/>
    <w:tmpl w:val="BA2EFF2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A856C3"/>
    <w:multiLevelType w:val="hybridMultilevel"/>
    <w:tmpl w:val="763E87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8535035"/>
    <w:multiLevelType w:val="hybridMultilevel"/>
    <w:tmpl w:val="8C4CE21E"/>
    <w:lvl w:ilvl="0" w:tplc="B2E0EA00">
      <w:start w:val="1"/>
      <w:numFmt w:val="bullet"/>
      <w:lvlText w:val="-"/>
      <w:lvlJc w:val="left"/>
      <w:pPr>
        <w:ind w:left="1170" w:hanging="360"/>
      </w:pPr>
      <w:rPr>
        <w:rFonts w:ascii="Calibri" w:eastAsia="Calibri" w:hAnsi="Calibri" w:cs="Times New Roman" w:hint="default"/>
        <w:lang w:val="hy-AM"/>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6" w15:restartNumberingAfterBreak="0">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D40671C"/>
    <w:multiLevelType w:val="hybridMultilevel"/>
    <w:tmpl w:val="E80839B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A863FC"/>
    <w:multiLevelType w:val="hybridMultilevel"/>
    <w:tmpl w:val="EFBCA88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2"/>
  </w:num>
  <w:num w:numId="3">
    <w:abstractNumId w:val="76"/>
  </w:num>
  <w:num w:numId="4">
    <w:abstractNumId w:val="70"/>
  </w:num>
  <w:num w:numId="5">
    <w:abstractNumId w:val="57"/>
  </w:num>
  <w:num w:numId="6">
    <w:abstractNumId w:val="53"/>
  </w:num>
  <w:num w:numId="7">
    <w:abstractNumId w:val="48"/>
  </w:num>
  <w:num w:numId="8">
    <w:abstractNumId w:val="6"/>
  </w:num>
  <w:num w:numId="9">
    <w:abstractNumId w:val="1"/>
  </w:num>
  <w:num w:numId="10">
    <w:abstractNumId w:val="58"/>
  </w:num>
  <w:num w:numId="11">
    <w:abstractNumId w:val="39"/>
  </w:num>
  <w:num w:numId="12">
    <w:abstractNumId w:val="67"/>
  </w:num>
  <w:num w:numId="13">
    <w:abstractNumId w:val="45"/>
  </w:num>
  <w:num w:numId="14">
    <w:abstractNumId w:val="40"/>
  </w:num>
  <w:num w:numId="15">
    <w:abstractNumId w:val="16"/>
  </w:num>
  <w:num w:numId="16">
    <w:abstractNumId w:val="23"/>
  </w:num>
  <w:num w:numId="17">
    <w:abstractNumId w:val="65"/>
  </w:num>
  <w:num w:numId="18">
    <w:abstractNumId w:val="46"/>
  </w:num>
  <w:num w:numId="19">
    <w:abstractNumId w:val="44"/>
  </w:num>
  <w:num w:numId="20">
    <w:abstractNumId w:val="36"/>
  </w:num>
  <w:num w:numId="2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27"/>
  </w:num>
  <w:num w:numId="24">
    <w:abstractNumId w:val="4"/>
  </w:num>
  <w:num w:numId="25">
    <w:abstractNumId w:val="63"/>
  </w:num>
  <w:num w:numId="26">
    <w:abstractNumId w:val="37"/>
  </w:num>
  <w:num w:numId="27">
    <w:abstractNumId w:val="17"/>
  </w:num>
  <w:num w:numId="28">
    <w:abstractNumId w:val="11"/>
  </w:num>
  <w:num w:numId="29">
    <w:abstractNumId w:val="38"/>
  </w:num>
  <w:num w:numId="30">
    <w:abstractNumId w:val="68"/>
  </w:num>
  <w:num w:numId="31">
    <w:abstractNumId w:val="24"/>
  </w:num>
  <w:num w:numId="32">
    <w:abstractNumId w:val="75"/>
  </w:num>
  <w:num w:numId="33">
    <w:abstractNumId w:val="14"/>
  </w:num>
  <w:num w:numId="34">
    <w:abstractNumId w:val="32"/>
  </w:num>
  <w:num w:numId="35">
    <w:abstractNumId w:val="20"/>
  </w:num>
  <w:num w:numId="36">
    <w:abstractNumId w:val="59"/>
  </w:num>
  <w:num w:numId="37">
    <w:abstractNumId w:val="73"/>
  </w:num>
  <w:num w:numId="38">
    <w:abstractNumId w:val="18"/>
  </w:num>
  <w:num w:numId="39">
    <w:abstractNumId w:val="41"/>
  </w:num>
  <w:num w:numId="40">
    <w:abstractNumId w:val="42"/>
  </w:num>
  <w:num w:numId="41">
    <w:abstractNumId w:val="77"/>
  </w:num>
  <w:num w:numId="42">
    <w:abstractNumId w:val="5"/>
  </w:num>
  <w:num w:numId="43">
    <w:abstractNumId w:val="50"/>
  </w:num>
  <w:num w:numId="44">
    <w:abstractNumId w:val="62"/>
  </w:num>
  <w:num w:numId="45">
    <w:abstractNumId w:val="29"/>
  </w:num>
  <w:num w:numId="46">
    <w:abstractNumId w:val="3"/>
  </w:num>
  <w:num w:numId="47">
    <w:abstractNumId w:val="33"/>
  </w:num>
  <w:num w:numId="48">
    <w:abstractNumId w:val="47"/>
  </w:num>
  <w:num w:numId="49">
    <w:abstractNumId w:val="22"/>
  </w:num>
  <w:num w:numId="50">
    <w:abstractNumId w:val="78"/>
  </w:num>
  <w:num w:numId="51">
    <w:abstractNumId w:val="21"/>
  </w:num>
  <w:num w:numId="52">
    <w:abstractNumId w:val="66"/>
  </w:num>
  <w:num w:numId="53">
    <w:abstractNumId w:val="2"/>
  </w:num>
  <w:num w:numId="54">
    <w:abstractNumId w:val="64"/>
  </w:num>
  <w:num w:numId="55">
    <w:abstractNumId w:val="31"/>
  </w:num>
  <w:num w:numId="56">
    <w:abstractNumId w:val="60"/>
  </w:num>
  <w:num w:numId="57">
    <w:abstractNumId w:val="19"/>
  </w:num>
  <w:num w:numId="58">
    <w:abstractNumId w:val="43"/>
  </w:num>
  <w:num w:numId="59">
    <w:abstractNumId w:val="8"/>
  </w:num>
  <w:num w:numId="60">
    <w:abstractNumId w:val="7"/>
  </w:num>
  <w:num w:numId="61">
    <w:abstractNumId w:val="15"/>
  </w:num>
  <w:num w:numId="62">
    <w:abstractNumId w:val="10"/>
  </w:num>
  <w:num w:numId="63">
    <w:abstractNumId w:val="54"/>
  </w:num>
  <w:num w:numId="64">
    <w:abstractNumId w:val="35"/>
  </w:num>
  <w:num w:numId="65">
    <w:abstractNumId w:val="55"/>
  </w:num>
  <w:num w:numId="66">
    <w:abstractNumId w:val="56"/>
  </w:num>
  <w:num w:numId="67">
    <w:abstractNumId w:val="13"/>
  </w:num>
  <w:num w:numId="68">
    <w:abstractNumId w:val="74"/>
  </w:num>
  <w:num w:numId="69">
    <w:abstractNumId w:val="9"/>
  </w:num>
  <w:num w:numId="70">
    <w:abstractNumId w:val="51"/>
  </w:num>
  <w:num w:numId="71">
    <w:abstractNumId w:val="28"/>
  </w:num>
  <w:num w:numId="72">
    <w:abstractNumId w:val="30"/>
  </w:num>
  <w:num w:numId="73">
    <w:abstractNumId w:val="52"/>
  </w:num>
  <w:num w:numId="74">
    <w:abstractNumId w:val="49"/>
  </w:num>
  <w:num w:numId="75">
    <w:abstractNumId w:val="69"/>
  </w:num>
  <w:num w:numId="76">
    <w:abstractNumId w:val="12"/>
  </w:num>
  <w:num w:numId="77">
    <w:abstractNumId w:val="61"/>
  </w:num>
  <w:num w:numId="78">
    <w:abstractNumId w:val="25"/>
  </w:num>
  <w:num w:numId="79">
    <w:abstractNumId w:val="0"/>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712"/>
    <w:rsid w:val="00000C04"/>
    <w:rsid w:val="00000E2D"/>
    <w:rsid w:val="0000131E"/>
    <w:rsid w:val="00001792"/>
    <w:rsid w:val="00001EB0"/>
    <w:rsid w:val="00002163"/>
    <w:rsid w:val="00002289"/>
    <w:rsid w:val="00002BFC"/>
    <w:rsid w:val="000030DA"/>
    <w:rsid w:val="00003327"/>
    <w:rsid w:val="00003D9B"/>
    <w:rsid w:val="000045D9"/>
    <w:rsid w:val="00004807"/>
    <w:rsid w:val="000048AC"/>
    <w:rsid w:val="00004A4C"/>
    <w:rsid w:val="00004B36"/>
    <w:rsid w:val="00004B4A"/>
    <w:rsid w:val="000056C3"/>
    <w:rsid w:val="00005BEA"/>
    <w:rsid w:val="00006265"/>
    <w:rsid w:val="000068F4"/>
    <w:rsid w:val="00006BCE"/>
    <w:rsid w:val="00006FF5"/>
    <w:rsid w:val="0000757E"/>
    <w:rsid w:val="000076AD"/>
    <w:rsid w:val="00007A08"/>
    <w:rsid w:val="00007BB6"/>
    <w:rsid w:val="000102B4"/>
    <w:rsid w:val="00010660"/>
    <w:rsid w:val="000108DE"/>
    <w:rsid w:val="0001133C"/>
    <w:rsid w:val="00011747"/>
    <w:rsid w:val="00011E49"/>
    <w:rsid w:val="00012290"/>
    <w:rsid w:val="000123D5"/>
    <w:rsid w:val="0001311A"/>
    <w:rsid w:val="0001324E"/>
    <w:rsid w:val="00013809"/>
    <w:rsid w:val="000139F0"/>
    <w:rsid w:val="00013F46"/>
    <w:rsid w:val="000144D6"/>
    <w:rsid w:val="000147A7"/>
    <w:rsid w:val="000148FC"/>
    <w:rsid w:val="00014A35"/>
    <w:rsid w:val="00014FD2"/>
    <w:rsid w:val="00015B69"/>
    <w:rsid w:val="00015BFA"/>
    <w:rsid w:val="0001623D"/>
    <w:rsid w:val="000163F7"/>
    <w:rsid w:val="000169D1"/>
    <w:rsid w:val="00016AEC"/>
    <w:rsid w:val="000173AD"/>
    <w:rsid w:val="0002016C"/>
    <w:rsid w:val="00020693"/>
    <w:rsid w:val="00020CD6"/>
    <w:rsid w:val="00020E3C"/>
    <w:rsid w:val="0002109A"/>
    <w:rsid w:val="00021391"/>
    <w:rsid w:val="000213D2"/>
    <w:rsid w:val="0002170C"/>
    <w:rsid w:val="00023171"/>
    <w:rsid w:val="00023246"/>
    <w:rsid w:val="0002358C"/>
    <w:rsid w:val="0002364A"/>
    <w:rsid w:val="00023799"/>
    <w:rsid w:val="00023911"/>
    <w:rsid w:val="000243EB"/>
    <w:rsid w:val="00024F24"/>
    <w:rsid w:val="0002572A"/>
    <w:rsid w:val="000257D7"/>
    <w:rsid w:val="00025BE2"/>
    <w:rsid w:val="00025DF2"/>
    <w:rsid w:val="00025E82"/>
    <w:rsid w:val="000266F4"/>
    <w:rsid w:val="00026AFA"/>
    <w:rsid w:val="000271C2"/>
    <w:rsid w:val="00030424"/>
    <w:rsid w:val="00030DB1"/>
    <w:rsid w:val="0003153D"/>
    <w:rsid w:val="00031D3A"/>
    <w:rsid w:val="000321E8"/>
    <w:rsid w:val="000322A5"/>
    <w:rsid w:val="00032581"/>
    <w:rsid w:val="00032B9B"/>
    <w:rsid w:val="00033370"/>
    <w:rsid w:val="00033572"/>
    <w:rsid w:val="00033984"/>
    <w:rsid w:val="00033C8B"/>
    <w:rsid w:val="00033D44"/>
    <w:rsid w:val="0003413E"/>
    <w:rsid w:val="00034178"/>
    <w:rsid w:val="000346B3"/>
    <w:rsid w:val="000347CE"/>
    <w:rsid w:val="000347E3"/>
    <w:rsid w:val="00034A9D"/>
    <w:rsid w:val="0003558C"/>
    <w:rsid w:val="0003612A"/>
    <w:rsid w:val="00036E13"/>
    <w:rsid w:val="000371D5"/>
    <w:rsid w:val="000372BA"/>
    <w:rsid w:val="00037AB5"/>
    <w:rsid w:val="00037AFC"/>
    <w:rsid w:val="00037B1F"/>
    <w:rsid w:val="00037D17"/>
    <w:rsid w:val="00037F8A"/>
    <w:rsid w:val="00040371"/>
    <w:rsid w:val="000410F9"/>
    <w:rsid w:val="000414CA"/>
    <w:rsid w:val="000414CC"/>
    <w:rsid w:val="00042787"/>
    <w:rsid w:val="000427F7"/>
    <w:rsid w:val="00042B2E"/>
    <w:rsid w:val="00042CD9"/>
    <w:rsid w:val="00043388"/>
    <w:rsid w:val="00043421"/>
    <w:rsid w:val="000434B1"/>
    <w:rsid w:val="0004480B"/>
    <w:rsid w:val="00045E3A"/>
    <w:rsid w:val="0004603A"/>
    <w:rsid w:val="0004655D"/>
    <w:rsid w:val="000466B1"/>
    <w:rsid w:val="00046959"/>
    <w:rsid w:val="000473D4"/>
    <w:rsid w:val="00047B46"/>
    <w:rsid w:val="00047C7F"/>
    <w:rsid w:val="000500D2"/>
    <w:rsid w:val="000501A7"/>
    <w:rsid w:val="00050EFF"/>
    <w:rsid w:val="000515D9"/>
    <w:rsid w:val="000516CC"/>
    <w:rsid w:val="0005179C"/>
    <w:rsid w:val="00052380"/>
    <w:rsid w:val="00053116"/>
    <w:rsid w:val="00053709"/>
    <w:rsid w:val="0005404C"/>
    <w:rsid w:val="000540D6"/>
    <w:rsid w:val="0005461A"/>
    <w:rsid w:val="00055F53"/>
    <w:rsid w:val="00056009"/>
    <w:rsid w:val="00056182"/>
    <w:rsid w:val="00056866"/>
    <w:rsid w:val="000572A2"/>
    <w:rsid w:val="000573ED"/>
    <w:rsid w:val="00057632"/>
    <w:rsid w:val="000601EE"/>
    <w:rsid w:val="00060470"/>
    <w:rsid w:val="0006050F"/>
    <w:rsid w:val="00061422"/>
    <w:rsid w:val="000616C1"/>
    <w:rsid w:val="0006181E"/>
    <w:rsid w:val="0006190C"/>
    <w:rsid w:val="00061BFA"/>
    <w:rsid w:val="00061E00"/>
    <w:rsid w:val="00061EB6"/>
    <w:rsid w:val="000621D1"/>
    <w:rsid w:val="00063142"/>
    <w:rsid w:val="00063485"/>
    <w:rsid w:val="00063F7A"/>
    <w:rsid w:val="000648E7"/>
    <w:rsid w:val="000652C0"/>
    <w:rsid w:val="000656F0"/>
    <w:rsid w:val="00065E90"/>
    <w:rsid w:val="00066B40"/>
    <w:rsid w:val="0006727C"/>
    <w:rsid w:val="0006757C"/>
    <w:rsid w:val="000707D9"/>
    <w:rsid w:val="00070CAE"/>
    <w:rsid w:val="00070FC3"/>
    <w:rsid w:val="0007137A"/>
    <w:rsid w:val="0007188C"/>
    <w:rsid w:val="00071C2A"/>
    <w:rsid w:val="000725F0"/>
    <w:rsid w:val="00072BEF"/>
    <w:rsid w:val="00072C98"/>
    <w:rsid w:val="00073A85"/>
    <w:rsid w:val="00075040"/>
    <w:rsid w:val="000750BE"/>
    <w:rsid w:val="00075431"/>
    <w:rsid w:val="000761B0"/>
    <w:rsid w:val="0007665D"/>
    <w:rsid w:val="0007672E"/>
    <w:rsid w:val="00076CE9"/>
    <w:rsid w:val="00076FEA"/>
    <w:rsid w:val="000771B3"/>
    <w:rsid w:val="000776D9"/>
    <w:rsid w:val="000777B6"/>
    <w:rsid w:val="000777E1"/>
    <w:rsid w:val="00080951"/>
    <w:rsid w:val="000813B9"/>
    <w:rsid w:val="000822AA"/>
    <w:rsid w:val="00083F38"/>
    <w:rsid w:val="00083F9C"/>
    <w:rsid w:val="00084A46"/>
    <w:rsid w:val="00085490"/>
    <w:rsid w:val="00085A0D"/>
    <w:rsid w:val="00085C56"/>
    <w:rsid w:val="00085D43"/>
    <w:rsid w:val="000864E5"/>
    <w:rsid w:val="00086994"/>
    <w:rsid w:val="00086B99"/>
    <w:rsid w:val="00086E52"/>
    <w:rsid w:val="00086F85"/>
    <w:rsid w:val="000873BC"/>
    <w:rsid w:val="00087A4B"/>
    <w:rsid w:val="000901E7"/>
    <w:rsid w:val="000902F4"/>
    <w:rsid w:val="000904DB"/>
    <w:rsid w:val="00090937"/>
    <w:rsid w:val="00090E74"/>
    <w:rsid w:val="00091448"/>
    <w:rsid w:val="000915B0"/>
    <w:rsid w:val="00091F97"/>
    <w:rsid w:val="00092701"/>
    <w:rsid w:val="000930EC"/>
    <w:rsid w:val="00093193"/>
    <w:rsid w:val="0009342F"/>
    <w:rsid w:val="00093B3A"/>
    <w:rsid w:val="00095686"/>
    <w:rsid w:val="00095699"/>
    <w:rsid w:val="000956EC"/>
    <w:rsid w:val="00095F7E"/>
    <w:rsid w:val="00096AEA"/>
    <w:rsid w:val="000A0FD9"/>
    <w:rsid w:val="000A10A8"/>
    <w:rsid w:val="000A16DA"/>
    <w:rsid w:val="000A1ACB"/>
    <w:rsid w:val="000A24F1"/>
    <w:rsid w:val="000A2F61"/>
    <w:rsid w:val="000A311D"/>
    <w:rsid w:val="000A40F8"/>
    <w:rsid w:val="000A452F"/>
    <w:rsid w:val="000A4CA2"/>
    <w:rsid w:val="000A4ED8"/>
    <w:rsid w:val="000A590C"/>
    <w:rsid w:val="000A5D25"/>
    <w:rsid w:val="000A5F92"/>
    <w:rsid w:val="000A601C"/>
    <w:rsid w:val="000A61AD"/>
    <w:rsid w:val="000A6BA3"/>
    <w:rsid w:val="000A724B"/>
    <w:rsid w:val="000A7435"/>
    <w:rsid w:val="000A7B14"/>
    <w:rsid w:val="000B0278"/>
    <w:rsid w:val="000B0329"/>
    <w:rsid w:val="000B03B5"/>
    <w:rsid w:val="000B0C32"/>
    <w:rsid w:val="000B0FAC"/>
    <w:rsid w:val="000B158C"/>
    <w:rsid w:val="000B25DD"/>
    <w:rsid w:val="000B289D"/>
    <w:rsid w:val="000B3179"/>
    <w:rsid w:val="000B32C2"/>
    <w:rsid w:val="000B3300"/>
    <w:rsid w:val="000B4BCE"/>
    <w:rsid w:val="000B509C"/>
    <w:rsid w:val="000B52C3"/>
    <w:rsid w:val="000B58F0"/>
    <w:rsid w:val="000B5DB4"/>
    <w:rsid w:val="000B63EA"/>
    <w:rsid w:val="000B6441"/>
    <w:rsid w:val="000B65F1"/>
    <w:rsid w:val="000C0823"/>
    <w:rsid w:val="000C192F"/>
    <w:rsid w:val="000C2585"/>
    <w:rsid w:val="000C2B0B"/>
    <w:rsid w:val="000C2B15"/>
    <w:rsid w:val="000C2E00"/>
    <w:rsid w:val="000C2FAA"/>
    <w:rsid w:val="000C41A9"/>
    <w:rsid w:val="000C4318"/>
    <w:rsid w:val="000C45CA"/>
    <w:rsid w:val="000C4759"/>
    <w:rsid w:val="000C48F0"/>
    <w:rsid w:val="000C4DD5"/>
    <w:rsid w:val="000C52B6"/>
    <w:rsid w:val="000C59A3"/>
    <w:rsid w:val="000C5B3C"/>
    <w:rsid w:val="000C6882"/>
    <w:rsid w:val="000C6AA3"/>
    <w:rsid w:val="000C6B4C"/>
    <w:rsid w:val="000C6C6A"/>
    <w:rsid w:val="000C6F33"/>
    <w:rsid w:val="000C70BB"/>
    <w:rsid w:val="000C7250"/>
    <w:rsid w:val="000C75CA"/>
    <w:rsid w:val="000D0270"/>
    <w:rsid w:val="000D0B4B"/>
    <w:rsid w:val="000D0D59"/>
    <w:rsid w:val="000D1829"/>
    <w:rsid w:val="000D18CE"/>
    <w:rsid w:val="000D1CA7"/>
    <w:rsid w:val="000D2248"/>
    <w:rsid w:val="000D242E"/>
    <w:rsid w:val="000D289E"/>
    <w:rsid w:val="000D36C9"/>
    <w:rsid w:val="000D3DE3"/>
    <w:rsid w:val="000D427D"/>
    <w:rsid w:val="000D4925"/>
    <w:rsid w:val="000D4B3C"/>
    <w:rsid w:val="000D529E"/>
    <w:rsid w:val="000D57AF"/>
    <w:rsid w:val="000D57C2"/>
    <w:rsid w:val="000D6082"/>
    <w:rsid w:val="000D6631"/>
    <w:rsid w:val="000D6650"/>
    <w:rsid w:val="000D6A06"/>
    <w:rsid w:val="000E01FF"/>
    <w:rsid w:val="000E047D"/>
    <w:rsid w:val="000E11D7"/>
    <w:rsid w:val="000E124F"/>
    <w:rsid w:val="000E1796"/>
    <w:rsid w:val="000E1ACF"/>
    <w:rsid w:val="000E1B09"/>
    <w:rsid w:val="000E266A"/>
    <w:rsid w:val="000E2AFD"/>
    <w:rsid w:val="000E2C2E"/>
    <w:rsid w:val="000E2C52"/>
    <w:rsid w:val="000E2D3F"/>
    <w:rsid w:val="000E3398"/>
    <w:rsid w:val="000E364E"/>
    <w:rsid w:val="000E42B3"/>
    <w:rsid w:val="000E4FB1"/>
    <w:rsid w:val="000E5840"/>
    <w:rsid w:val="000E5B74"/>
    <w:rsid w:val="000E61BB"/>
    <w:rsid w:val="000E628B"/>
    <w:rsid w:val="000E65CF"/>
    <w:rsid w:val="000E6666"/>
    <w:rsid w:val="000E742F"/>
    <w:rsid w:val="000E74D0"/>
    <w:rsid w:val="000E7B84"/>
    <w:rsid w:val="000E7C99"/>
    <w:rsid w:val="000E7C9B"/>
    <w:rsid w:val="000F0E34"/>
    <w:rsid w:val="000F11D1"/>
    <w:rsid w:val="000F1571"/>
    <w:rsid w:val="000F16EF"/>
    <w:rsid w:val="000F170B"/>
    <w:rsid w:val="000F18AB"/>
    <w:rsid w:val="000F1B14"/>
    <w:rsid w:val="000F261B"/>
    <w:rsid w:val="000F279F"/>
    <w:rsid w:val="000F2EC9"/>
    <w:rsid w:val="000F2EF7"/>
    <w:rsid w:val="000F30ED"/>
    <w:rsid w:val="000F35D3"/>
    <w:rsid w:val="000F38D0"/>
    <w:rsid w:val="000F449D"/>
    <w:rsid w:val="000F4657"/>
    <w:rsid w:val="000F509C"/>
    <w:rsid w:val="000F5235"/>
    <w:rsid w:val="000F5883"/>
    <w:rsid w:val="000F5B01"/>
    <w:rsid w:val="000F61C2"/>
    <w:rsid w:val="000F64C4"/>
    <w:rsid w:val="000F6825"/>
    <w:rsid w:val="000F6D3E"/>
    <w:rsid w:val="000F6D9A"/>
    <w:rsid w:val="000F6FF9"/>
    <w:rsid w:val="000F70B6"/>
    <w:rsid w:val="000F719C"/>
    <w:rsid w:val="000F7200"/>
    <w:rsid w:val="000F7976"/>
    <w:rsid w:val="000F7DDA"/>
    <w:rsid w:val="001008FA"/>
    <w:rsid w:val="00100A6A"/>
    <w:rsid w:val="00100C82"/>
    <w:rsid w:val="001012CC"/>
    <w:rsid w:val="00101E4C"/>
    <w:rsid w:val="00101E68"/>
    <w:rsid w:val="00102199"/>
    <w:rsid w:val="0010284D"/>
    <w:rsid w:val="00102CDE"/>
    <w:rsid w:val="00103791"/>
    <w:rsid w:val="0010468C"/>
    <w:rsid w:val="001048A0"/>
    <w:rsid w:val="00105401"/>
    <w:rsid w:val="00105608"/>
    <w:rsid w:val="0010572B"/>
    <w:rsid w:val="00105BD3"/>
    <w:rsid w:val="00105D71"/>
    <w:rsid w:val="0010649A"/>
    <w:rsid w:val="00106992"/>
    <w:rsid w:val="00106B70"/>
    <w:rsid w:val="00106C90"/>
    <w:rsid w:val="00107185"/>
    <w:rsid w:val="001071BD"/>
    <w:rsid w:val="001075C3"/>
    <w:rsid w:val="00107D3A"/>
    <w:rsid w:val="001103B6"/>
    <w:rsid w:val="00110C45"/>
    <w:rsid w:val="00110CA3"/>
    <w:rsid w:val="00111284"/>
    <w:rsid w:val="001112F4"/>
    <w:rsid w:val="00111420"/>
    <w:rsid w:val="00111D6D"/>
    <w:rsid w:val="00111DD9"/>
    <w:rsid w:val="00112578"/>
    <w:rsid w:val="001127C9"/>
    <w:rsid w:val="00112D7E"/>
    <w:rsid w:val="00112FFA"/>
    <w:rsid w:val="00113925"/>
    <w:rsid w:val="00113982"/>
    <w:rsid w:val="00114D7E"/>
    <w:rsid w:val="0011549E"/>
    <w:rsid w:val="0011558E"/>
    <w:rsid w:val="00115637"/>
    <w:rsid w:val="00115664"/>
    <w:rsid w:val="00115728"/>
    <w:rsid w:val="001159DC"/>
    <w:rsid w:val="00115AFA"/>
    <w:rsid w:val="00115E01"/>
    <w:rsid w:val="00116136"/>
    <w:rsid w:val="00116524"/>
    <w:rsid w:val="0011656D"/>
    <w:rsid w:val="0011689D"/>
    <w:rsid w:val="00116E97"/>
    <w:rsid w:val="00117380"/>
    <w:rsid w:val="001203B6"/>
    <w:rsid w:val="00120BC8"/>
    <w:rsid w:val="00120F10"/>
    <w:rsid w:val="00121268"/>
    <w:rsid w:val="0012288D"/>
    <w:rsid w:val="001233BD"/>
    <w:rsid w:val="0012366A"/>
    <w:rsid w:val="00123F2C"/>
    <w:rsid w:val="00124431"/>
    <w:rsid w:val="00124894"/>
    <w:rsid w:val="00124D7E"/>
    <w:rsid w:val="00124FAE"/>
    <w:rsid w:val="0012581D"/>
    <w:rsid w:val="001259BD"/>
    <w:rsid w:val="0012607D"/>
    <w:rsid w:val="0012680E"/>
    <w:rsid w:val="0012683B"/>
    <w:rsid w:val="00126929"/>
    <w:rsid w:val="00127BFD"/>
    <w:rsid w:val="00130070"/>
    <w:rsid w:val="00130243"/>
    <w:rsid w:val="0013106F"/>
    <w:rsid w:val="001311F4"/>
    <w:rsid w:val="00131BF9"/>
    <w:rsid w:val="00131E98"/>
    <w:rsid w:val="00132111"/>
    <w:rsid w:val="0013281A"/>
    <w:rsid w:val="00132EB6"/>
    <w:rsid w:val="001336E7"/>
    <w:rsid w:val="00133B15"/>
    <w:rsid w:val="00133E5A"/>
    <w:rsid w:val="00134360"/>
    <w:rsid w:val="00134A7A"/>
    <w:rsid w:val="00134AC3"/>
    <w:rsid w:val="00135663"/>
    <w:rsid w:val="00135A72"/>
    <w:rsid w:val="00135FF8"/>
    <w:rsid w:val="001367AD"/>
    <w:rsid w:val="00136A0B"/>
    <w:rsid w:val="00136A8C"/>
    <w:rsid w:val="00136E24"/>
    <w:rsid w:val="0013717F"/>
    <w:rsid w:val="001378BB"/>
    <w:rsid w:val="00137B5C"/>
    <w:rsid w:val="00140251"/>
    <w:rsid w:val="00141785"/>
    <w:rsid w:val="001429A5"/>
    <w:rsid w:val="00142AC3"/>
    <w:rsid w:val="0014388D"/>
    <w:rsid w:val="00143F46"/>
    <w:rsid w:val="0014478B"/>
    <w:rsid w:val="00145A8A"/>
    <w:rsid w:val="00145BAD"/>
    <w:rsid w:val="00145D78"/>
    <w:rsid w:val="00146920"/>
    <w:rsid w:val="00147119"/>
    <w:rsid w:val="001473BB"/>
    <w:rsid w:val="00150088"/>
    <w:rsid w:val="00150740"/>
    <w:rsid w:val="0015105B"/>
    <w:rsid w:val="00151218"/>
    <w:rsid w:val="001514D2"/>
    <w:rsid w:val="00152838"/>
    <w:rsid w:val="00152974"/>
    <w:rsid w:val="00152A51"/>
    <w:rsid w:val="00152A78"/>
    <w:rsid w:val="0015327B"/>
    <w:rsid w:val="00153334"/>
    <w:rsid w:val="0015392B"/>
    <w:rsid w:val="00153EE6"/>
    <w:rsid w:val="00154F3D"/>
    <w:rsid w:val="00155004"/>
    <w:rsid w:val="00155302"/>
    <w:rsid w:val="001554FA"/>
    <w:rsid w:val="00155864"/>
    <w:rsid w:val="00155BC3"/>
    <w:rsid w:val="00155C9D"/>
    <w:rsid w:val="00156327"/>
    <w:rsid w:val="00156B66"/>
    <w:rsid w:val="00156C26"/>
    <w:rsid w:val="00161D5E"/>
    <w:rsid w:val="00162306"/>
    <w:rsid w:val="0016274B"/>
    <w:rsid w:val="00162A72"/>
    <w:rsid w:val="00162C29"/>
    <w:rsid w:val="00162C8B"/>
    <w:rsid w:val="00162D6A"/>
    <w:rsid w:val="00162F8D"/>
    <w:rsid w:val="00163034"/>
    <w:rsid w:val="0016318A"/>
    <w:rsid w:val="00163CE1"/>
    <w:rsid w:val="00163ECF"/>
    <w:rsid w:val="00163FF4"/>
    <w:rsid w:val="00165198"/>
    <w:rsid w:val="00166272"/>
    <w:rsid w:val="00166379"/>
    <w:rsid w:val="001664B1"/>
    <w:rsid w:val="00167130"/>
    <w:rsid w:val="001672A7"/>
    <w:rsid w:val="00167E80"/>
    <w:rsid w:val="00167FD2"/>
    <w:rsid w:val="00170230"/>
    <w:rsid w:val="00170619"/>
    <w:rsid w:val="001706DF"/>
    <w:rsid w:val="001713E8"/>
    <w:rsid w:val="00171BF7"/>
    <w:rsid w:val="001721D8"/>
    <w:rsid w:val="00172338"/>
    <w:rsid w:val="001725C5"/>
    <w:rsid w:val="00172871"/>
    <w:rsid w:val="00172E4B"/>
    <w:rsid w:val="001731BB"/>
    <w:rsid w:val="00173D07"/>
    <w:rsid w:val="00173DCF"/>
    <w:rsid w:val="001752DE"/>
    <w:rsid w:val="00175819"/>
    <w:rsid w:val="00175E2C"/>
    <w:rsid w:val="001764EE"/>
    <w:rsid w:val="00176541"/>
    <w:rsid w:val="00177AC5"/>
    <w:rsid w:val="00177B99"/>
    <w:rsid w:val="00177C2A"/>
    <w:rsid w:val="001800E1"/>
    <w:rsid w:val="001802CC"/>
    <w:rsid w:val="00180703"/>
    <w:rsid w:val="0018094E"/>
    <w:rsid w:val="001820D2"/>
    <w:rsid w:val="001825BF"/>
    <w:rsid w:val="00182F20"/>
    <w:rsid w:val="0018345B"/>
    <w:rsid w:val="00183CF8"/>
    <w:rsid w:val="00184B53"/>
    <w:rsid w:val="00184D37"/>
    <w:rsid w:val="00184D71"/>
    <w:rsid w:val="00184E2A"/>
    <w:rsid w:val="00184E41"/>
    <w:rsid w:val="0018604C"/>
    <w:rsid w:val="001865AB"/>
    <w:rsid w:val="0018689C"/>
    <w:rsid w:val="00186AD7"/>
    <w:rsid w:val="001878B0"/>
    <w:rsid w:val="00190476"/>
    <w:rsid w:val="00190624"/>
    <w:rsid w:val="00190889"/>
    <w:rsid w:val="001914CE"/>
    <w:rsid w:val="00191748"/>
    <w:rsid w:val="001923CD"/>
    <w:rsid w:val="001928AC"/>
    <w:rsid w:val="00193290"/>
    <w:rsid w:val="001939B2"/>
    <w:rsid w:val="00193EFF"/>
    <w:rsid w:val="001945B5"/>
    <w:rsid w:val="001945DE"/>
    <w:rsid w:val="00194EA6"/>
    <w:rsid w:val="00195BE3"/>
    <w:rsid w:val="00195EE4"/>
    <w:rsid w:val="001960C3"/>
    <w:rsid w:val="001964C0"/>
    <w:rsid w:val="00196F75"/>
    <w:rsid w:val="00197081"/>
    <w:rsid w:val="001971B9"/>
    <w:rsid w:val="0019732E"/>
    <w:rsid w:val="001A0083"/>
    <w:rsid w:val="001A0815"/>
    <w:rsid w:val="001A0BDA"/>
    <w:rsid w:val="001A0BE7"/>
    <w:rsid w:val="001A0C44"/>
    <w:rsid w:val="001A1138"/>
    <w:rsid w:val="001A1210"/>
    <w:rsid w:val="001A1527"/>
    <w:rsid w:val="001A21D2"/>
    <w:rsid w:val="001A22B8"/>
    <w:rsid w:val="001A34F3"/>
    <w:rsid w:val="001A3676"/>
    <w:rsid w:val="001A3784"/>
    <w:rsid w:val="001A3916"/>
    <w:rsid w:val="001A3C83"/>
    <w:rsid w:val="001A3CF8"/>
    <w:rsid w:val="001A48CC"/>
    <w:rsid w:val="001A4D8E"/>
    <w:rsid w:val="001A4DD3"/>
    <w:rsid w:val="001A5273"/>
    <w:rsid w:val="001A54EF"/>
    <w:rsid w:val="001A5CD0"/>
    <w:rsid w:val="001A6E7C"/>
    <w:rsid w:val="001B011D"/>
    <w:rsid w:val="001B0A03"/>
    <w:rsid w:val="001B0FCA"/>
    <w:rsid w:val="001B1137"/>
    <w:rsid w:val="001B130B"/>
    <w:rsid w:val="001B2074"/>
    <w:rsid w:val="001B22F8"/>
    <w:rsid w:val="001B35E5"/>
    <w:rsid w:val="001B3E1F"/>
    <w:rsid w:val="001B3E36"/>
    <w:rsid w:val="001B40CA"/>
    <w:rsid w:val="001B445D"/>
    <w:rsid w:val="001B485B"/>
    <w:rsid w:val="001B4A6D"/>
    <w:rsid w:val="001B514B"/>
    <w:rsid w:val="001B68C9"/>
    <w:rsid w:val="001B7564"/>
    <w:rsid w:val="001B7B6C"/>
    <w:rsid w:val="001B7BB2"/>
    <w:rsid w:val="001B7E49"/>
    <w:rsid w:val="001C02EC"/>
    <w:rsid w:val="001C0583"/>
    <w:rsid w:val="001C066F"/>
    <w:rsid w:val="001C0A3C"/>
    <w:rsid w:val="001C0C59"/>
    <w:rsid w:val="001C1854"/>
    <w:rsid w:val="001C1CD8"/>
    <w:rsid w:val="001C2610"/>
    <w:rsid w:val="001C30A7"/>
    <w:rsid w:val="001C46DF"/>
    <w:rsid w:val="001C56C9"/>
    <w:rsid w:val="001C643D"/>
    <w:rsid w:val="001C65EE"/>
    <w:rsid w:val="001C66FD"/>
    <w:rsid w:val="001C6822"/>
    <w:rsid w:val="001C6A30"/>
    <w:rsid w:val="001C6FFB"/>
    <w:rsid w:val="001C7A69"/>
    <w:rsid w:val="001C7BEE"/>
    <w:rsid w:val="001C7F64"/>
    <w:rsid w:val="001C7F6A"/>
    <w:rsid w:val="001D0B65"/>
    <w:rsid w:val="001D11EB"/>
    <w:rsid w:val="001D1B6B"/>
    <w:rsid w:val="001D1EC6"/>
    <w:rsid w:val="001D1F2F"/>
    <w:rsid w:val="001D2554"/>
    <w:rsid w:val="001D26FC"/>
    <w:rsid w:val="001D299A"/>
    <w:rsid w:val="001D2A28"/>
    <w:rsid w:val="001D2D6A"/>
    <w:rsid w:val="001D35B8"/>
    <w:rsid w:val="001D3BA8"/>
    <w:rsid w:val="001D3CEB"/>
    <w:rsid w:val="001D4B96"/>
    <w:rsid w:val="001D4CC8"/>
    <w:rsid w:val="001D5638"/>
    <w:rsid w:val="001D5698"/>
    <w:rsid w:val="001D6154"/>
    <w:rsid w:val="001D7BC1"/>
    <w:rsid w:val="001D7E5B"/>
    <w:rsid w:val="001E0582"/>
    <w:rsid w:val="001E0D08"/>
    <w:rsid w:val="001E17A2"/>
    <w:rsid w:val="001E1C18"/>
    <w:rsid w:val="001E249B"/>
    <w:rsid w:val="001E2D33"/>
    <w:rsid w:val="001E2DAC"/>
    <w:rsid w:val="001E2F32"/>
    <w:rsid w:val="001E3307"/>
    <w:rsid w:val="001E3572"/>
    <w:rsid w:val="001E3933"/>
    <w:rsid w:val="001E428B"/>
    <w:rsid w:val="001E4584"/>
    <w:rsid w:val="001E4745"/>
    <w:rsid w:val="001E4747"/>
    <w:rsid w:val="001E4BCE"/>
    <w:rsid w:val="001E4C35"/>
    <w:rsid w:val="001E54B9"/>
    <w:rsid w:val="001E5B24"/>
    <w:rsid w:val="001E6956"/>
    <w:rsid w:val="001E6978"/>
    <w:rsid w:val="001E7613"/>
    <w:rsid w:val="001E7D5A"/>
    <w:rsid w:val="001F02B2"/>
    <w:rsid w:val="001F0332"/>
    <w:rsid w:val="001F0A7F"/>
    <w:rsid w:val="001F12F7"/>
    <w:rsid w:val="001F1356"/>
    <w:rsid w:val="001F198C"/>
    <w:rsid w:val="001F1A6F"/>
    <w:rsid w:val="001F212F"/>
    <w:rsid w:val="001F2781"/>
    <w:rsid w:val="001F2D2D"/>
    <w:rsid w:val="001F32BC"/>
    <w:rsid w:val="001F386C"/>
    <w:rsid w:val="001F40A8"/>
    <w:rsid w:val="001F5277"/>
    <w:rsid w:val="001F5923"/>
    <w:rsid w:val="001F627F"/>
    <w:rsid w:val="001F6AE9"/>
    <w:rsid w:val="001F6B1D"/>
    <w:rsid w:val="001F6C95"/>
    <w:rsid w:val="001F7090"/>
    <w:rsid w:val="001F7173"/>
    <w:rsid w:val="001F771B"/>
    <w:rsid w:val="002007E2"/>
    <w:rsid w:val="0020092B"/>
    <w:rsid w:val="002009B4"/>
    <w:rsid w:val="00200DEF"/>
    <w:rsid w:val="00200E0C"/>
    <w:rsid w:val="00201B66"/>
    <w:rsid w:val="002020DC"/>
    <w:rsid w:val="002025BB"/>
    <w:rsid w:val="002026A8"/>
    <w:rsid w:val="00203537"/>
    <w:rsid w:val="002042F1"/>
    <w:rsid w:val="002045FB"/>
    <w:rsid w:val="002048F4"/>
    <w:rsid w:val="002049F3"/>
    <w:rsid w:val="00204C2B"/>
    <w:rsid w:val="00204CF7"/>
    <w:rsid w:val="0020537B"/>
    <w:rsid w:val="002055B2"/>
    <w:rsid w:val="002059ED"/>
    <w:rsid w:val="0020651E"/>
    <w:rsid w:val="00206921"/>
    <w:rsid w:val="0020706B"/>
    <w:rsid w:val="00207220"/>
    <w:rsid w:val="002074FA"/>
    <w:rsid w:val="00207CD2"/>
    <w:rsid w:val="0021089F"/>
    <w:rsid w:val="00210CBB"/>
    <w:rsid w:val="00210D02"/>
    <w:rsid w:val="00210EBE"/>
    <w:rsid w:val="0021126A"/>
    <w:rsid w:val="00211B71"/>
    <w:rsid w:val="0021231F"/>
    <w:rsid w:val="00212BDE"/>
    <w:rsid w:val="00212C86"/>
    <w:rsid w:val="002137ED"/>
    <w:rsid w:val="00213A81"/>
    <w:rsid w:val="002146B8"/>
    <w:rsid w:val="002156E6"/>
    <w:rsid w:val="00215B44"/>
    <w:rsid w:val="002163FE"/>
    <w:rsid w:val="002169B7"/>
    <w:rsid w:val="00216D23"/>
    <w:rsid w:val="0021758F"/>
    <w:rsid w:val="0021770F"/>
    <w:rsid w:val="00217A73"/>
    <w:rsid w:val="00217BEE"/>
    <w:rsid w:val="002202FE"/>
    <w:rsid w:val="0022080F"/>
    <w:rsid w:val="00221B73"/>
    <w:rsid w:val="0022284E"/>
    <w:rsid w:val="0022365C"/>
    <w:rsid w:val="00223B83"/>
    <w:rsid w:val="0022425C"/>
    <w:rsid w:val="00224384"/>
    <w:rsid w:val="002244D1"/>
    <w:rsid w:val="00224509"/>
    <w:rsid w:val="00226230"/>
    <w:rsid w:val="0022631D"/>
    <w:rsid w:val="00226F26"/>
    <w:rsid w:val="00227F1C"/>
    <w:rsid w:val="002304F9"/>
    <w:rsid w:val="00230713"/>
    <w:rsid w:val="002307B8"/>
    <w:rsid w:val="00231265"/>
    <w:rsid w:val="00231A27"/>
    <w:rsid w:val="00232D75"/>
    <w:rsid w:val="00232DA0"/>
    <w:rsid w:val="00232EAF"/>
    <w:rsid w:val="002338DE"/>
    <w:rsid w:val="0023395F"/>
    <w:rsid w:val="002339ED"/>
    <w:rsid w:val="00233CAE"/>
    <w:rsid w:val="002347BC"/>
    <w:rsid w:val="002349F5"/>
    <w:rsid w:val="00234C84"/>
    <w:rsid w:val="00234CE7"/>
    <w:rsid w:val="0023511B"/>
    <w:rsid w:val="0023516A"/>
    <w:rsid w:val="002355DE"/>
    <w:rsid w:val="00235A12"/>
    <w:rsid w:val="00236B20"/>
    <w:rsid w:val="00236CD8"/>
    <w:rsid w:val="002374F3"/>
    <w:rsid w:val="00237570"/>
    <w:rsid w:val="002379EF"/>
    <w:rsid w:val="0024006C"/>
    <w:rsid w:val="0024045A"/>
    <w:rsid w:val="00240582"/>
    <w:rsid w:val="00241306"/>
    <w:rsid w:val="00241D37"/>
    <w:rsid w:val="00241D6C"/>
    <w:rsid w:val="00241D78"/>
    <w:rsid w:val="00242117"/>
    <w:rsid w:val="002439DF"/>
    <w:rsid w:val="00243A0B"/>
    <w:rsid w:val="00243D2C"/>
    <w:rsid w:val="00244760"/>
    <w:rsid w:val="0024496F"/>
    <w:rsid w:val="00244B02"/>
    <w:rsid w:val="00244CD1"/>
    <w:rsid w:val="00244EBE"/>
    <w:rsid w:val="00244FB6"/>
    <w:rsid w:val="00245027"/>
    <w:rsid w:val="002464FE"/>
    <w:rsid w:val="00246EFE"/>
    <w:rsid w:val="00247119"/>
    <w:rsid w:val="002471CB"/>
    <w:rsid w:val="002476A0"/>
    <w:rsid w:val="00247907"/>
    <w:rsid w:val="00247BF5"/>
    <w:rsid w:val="00247CE1"/>
    <w:rsid w:val="00250404"/>
    <w:rsid w:val="002506B6"/>
    <w:rsid w:val="00251048"/>
    <w:rsid w:val="002510B9"/>
    <w:rsid w:val="002519E6"/>
    <w:rsid w:val="00252070"/>
    <w:rsid w:val="002525C6"/>
    <w:rsid w:val="00254A25"/>
    <w:rsid w:val="00254F7C"/>
    <w:rsid w:val="00255904"/>
    <w:rsid w:val="00257149"/>
    <w:rsid w:val="002576F3"/>
    <w:rsid w:val="0025796E"/>
    <w:rsid w:val="00257B95"/>
    <w:rsid w:val="002602E3"/>
    <w:rsid w:val="00260C8B"/>
    <w:rsid w:val="00260CB4"/>
    <w:rsid w:val="00260EB6"/>
    <w:rsid w:val="002620C0"/>
    <w:rsid w:val="0026235D"/>
    <w:rsid w:val="00262870"/>
    <w:rsid w:val="002629E3"/>
    <w:rsid w:val="00262CA8"/>
    <w:rsid w:val="002634E1"/>
    <w:rsid w:val="0026369B"/>
    <w:rsid w:val="00263AA1"/>
    <w:rsid w:val="00263EE6"/>
    <w:rsid w:val="002641BD"/>
    <w:rsid w:val="0026439D"/>
    <w:rsid w:val="00264B73"/>
    <w:rsid w:val="00264F54"/>
    <w:rsid w:val="0026503C"/>
    <w:rsid w:val="00265FDD"/>
    <w:rsid w:val="00266B3B"/>
    <w:rsid w:val="00266FDF"/>
    <w:rsid w:val="00267029"/>
    <w:rsid w:val="002672FE"/>
    <w:rsid w:val="002707C1"/>
    <w:rsid w:val="00270883"/>
    <w:rsid w:val="00271180"/>
    <w:rsid w:val="00271612"/>
    <w:rsid w:val="00271763"/>
    <w:rsid w:val="00271978"/>
    <w:rsid w:val="00271C83"/>
    <w:rsid w:val="002724FD"/>
    <w:rsid w:val="002727C9"/>
    <w:rsid w:val="00272F2F"/>
    <w:rsid w:val="0027509E"/>
    <w:rsid w:val="00275406"/>
    <w:rsid w:val="0027542D"/>
    <w:rsid w:val="00275669"/>
    <w:rsid w:val="00275722"/>
    <w:rsid w:val="00275883"/>
    <w:rsid w:val="00275A2B"/>
    <w:rsid w:val="00275AEB"/>
    <w:rsid w:val="0027623A"/>
    <w:rsid w:val="00276825"/>
    <w:rsid w:val="00276C1D"/>
    <w:rsid w:val="0027710C"/>
    <w:rsid w:val="0027712E"/>
    <w:rsid w:val="002771A4"/>
    <w:rsid w:val="00277648"/>
    <w:rsid w:val="00277C56"/>
    <w:rsid w:val="00280C7D"/>
    <w:rsid w:val="00280E50"/>
    <w:rsid w:val="00281618"/>
    <w:rsid w:val="00281A5D"/>
    <w:rsid w:val="00281C00"/>
    <w:rsid w:val="00281F1C"/>
    <w:rsid w:val="00281F68"/>
    <w:rsid w:val="0028254F"/>
    <w:rsid w:val="00282BB4"/>
    <w:rsid w:val="00282BED"/>
    <w:rsid w:val="002833BE"/>
    <w:rsid w:val="00283590"/>
    <w:rsid w:val="00284395"/>
    <w:rsid w:val="00284C38"/>
    <w:rsid w:val="0028559A"/>
    <w:rsid w:val="00285C87"/>
    <w:rsid w:val="00285DBC"/>
    <w:rsid w:val="00285EB5"/>
    <w:rsid w:val="0028679A"/>
    <w:rsid w:val="00290A99"/>
    <w:rsid w:val="00290C75"/>
    <w:rsid w:val="0029179A"/>
    <w:rsid w:val="002918E2"/>
    <w:rsid w:val="00291C2D"/>
    <w:rsid w:val="00291D7C"/>
    <w:rsid w:val="00291F83"/>
    <w:rsid w:val="002926EC"/>
    <w:rsid w:val="00292E7F"/>
    <w:rsid w:val="00292F5A"/>
    <w:rsid w:val="002933EF"/>
    <w:rsid w:val="0029352A"/>
    <w:rsid w:val="00293FAC"/>
    <w:rsid w:val="00294E1B"/>
    <w:rsid w:val="00294FB3"/>
    <w:rsid w:val="002953B5"/>
    <w:rsid w:val="002958DC"/>
    <w:rsid w:val="0029630E"/>
    <w:rsid w:val="00296448"/>
    <w:rsid w:val="00296883"/>
    <w:rsid w:val="00296C42"/>
    <w:rsid w:val="00296CDB"/>
    <w:rsid w:val="002970A8"/>
    <w:rsid w:val="002977B8"/>
    <w:rsid w:val="002979B9"/>
    <w:rsid w:val="00297F7D"/>
    <w:rsid w:val="002A0374"/>
    <w:rsid w:val="002A0608"/>
    <w:rsid w:val="002A0E28"/>
    <w:rsid w:val="002A0F20"/>
    <w:rsid w:val="002A1C7B"/>
    <w:rsid w:val="002A201B"/>
    <w:rsid w:val="002A2B64"/>
    <w:rsid w:val="002A303B"/>
    <w:rsid w:val="002A38A0"/>
    <w:rsid w:val="002A38EB"/>
    <w:rsid w:val="002A3A23"/>
    <w:rsid w:val="002A3E77"/>
    <w:rsid w:val="002A42C6"/>
    <w:rsid w:val="002A42FD"/>
    <w:rsid w:val="002A4390"/>
    <w:rsid w:val="002A47A5"/>
    <w:rsid w:val="002A4B5D"/>
    <w:rsid w:val="002A51A9"/>
    <w:rsid w:val="002A545D"/>
    <w:rsid w:val="002A54DA"/>
    <w:rsid w:val="002A5B7D"/>
    <w:rsid w:val="002A5C84"/>
    <w:rsid w:val="002A716C"/>
    <w:rsid w:val="002B0592"/>
    <w:rsid w:val="002B0EF3"/>
    <w:rsid w:val="002B10FF"/>
    <w:rsid w:val="002B1926"/>
    <w:rsid w:val="002B20F1"/>
    <w:rsid w:val="002B3A54"/>
    <w:rsid w:val="002B3AC2"/>
    <w:rsid w:val="002B457C"/>
    <w:rsid w:val="002B4810"/>
    <w:rsid w:val="002B4A2D"/>
    <w:rsid w:val="002B4D6F"/>
    <w:rsid w:val="002B507C"/>
    <w:rsid w:val="002B50E2"/>
    <w:rsid w:val="002B53D4"/>
    <w:rsid w:val="002B545C"/>
    <w:rsid w:val="002B577D"/>
    <w:rsid w:val="002B59F8"/>
    <w:rsid w:val="002B5B0C"/>
    <w:rsid w:val="002B5BC2"/>
    <w:rsid w:val="002B61C3"/>
    <w:rsid w:val="002B69CB"/>
    <w:rsid w:val="002B6EAC"/>
    <w:rsid w:val="002B76E7"/>
    <w:rsid w:val="002C0A36"/>
    <w:rsid w:val="002C0E1B"/>
    <w:rsid w:val="002C1464"/>
    <w:rsid w:val="002C18AA"/>
    <w:rsid w:val="002C22B2"/>
    <w:rsid w:val="002C3EE1"/>
    <w:rsid w:val="002C3FE0"/>
    <w:rsid w:val="002C4B85"/>
    <w:rsid w:val="002C6C9A"/>
    <w:rsid w:val="002C6E46"/>
    <w:rsid w:val="002C7ACC"/>
    <w:rsid w:val="002C7C54"/>
    <w:rsid w:val="002C7D52"/>
    <w:rsid w:val="002D0458"/>
    <w:rsid w:val="002D0583"/>
    <w:rsid w:val="002D06BB"/>
    <w:rsid w:val="002D0DA8"/>
    <w:rsid w:val="002D1349"/>
    <w:rsid w:val="002D1A70"/>
    <w:rsid w:val="002D1D77"/>
    <w:rsid w:val="002D2B7C"/>
    <w:rsid w:val="002D2E75"/>
    <w:rsid w:val="002D3584"/>
    <w:rsid w:val="002D3E49"/>
    <w:rsid w:val="002D4587"/>
    <w:rsid w:val="002D4E9C"/>
    <w:rsid w:val="002D52AD"/>
    <w:rsid w:val="002D5518"/>
    <w:rsid w:val="002D68A2"/>
    <w:rsid w:val="002D6F9A"/>
    <w:rsid w:val="002D70C9"/>
    <w:rsid w:val="002D7116"/>
    <w:rsid w:val="002D7273"/>
    <w:rsid w:val="002D7AC1"/>
    <w:rsid w:val="002D7FB2"/>
    <w:rsid w:val="002E039C"/>
    <w:rsid w:val="002E17DC"/>
    <w:rsid w:val="002E1E40"/>
    <w:rsid w:val="002E2273"/>
    <w:rsid w:val="002E280F"/>
    <w:rsid w:val="002E290B"/>
    <w:rsid w:val="002E31C8"/>
    <w:rsid w:val="002E341E"/>
    <w:rsid w:val="002E4191"/>
    <w:rsid w:val="002E45DF"/>
    <w:rsid w:val="002E4CFF"/>
    <w:rsid w:val="002E4F68"/>
    <w:rsid w:val="002E585F"/>
    <w:rsid w:val="002E5F08"/>
    <w:rsid w:val="002E6064"/>
    <w:rsid w:val="002E614C"/>
    <w:rsid w:val="002E63E2"/>
    <w:rsid w:val="002E6724"/>
    <w:rsid w:val="002E6DBA"/>
    <w:rsid w:val="002E6EC3"/>
    <w:rsid w:val="002E7089"/>
    <w:rsid w:val="002E780F"/>
    <w:rsid w:val="002E7CC8"/>
    <w:rsid w:val="002E7F7A"/>
    <w:rsid w:val="002F01B8"/>
    <w:rsid w:val="002F0339"/>
    <w:rsid w:val="002F08B0"/>
    <w:rsid w:val="002F11FE"/>
    <w:rsid w:val="002F17C7"/>
    <w:rsid w:val="002F193A"/>
    <w:rsid w:val="002F2965"/>
    <w:rsid w:val="002F2D4B"/>
    <w:rsid w:val="002F2ED2"/>
    <w:rsid w:val="002F3176"/>
    <w:rsid w:val="002F35FE"/>
    <w:rsid w:val="002F3EAE"/>
    <w:rsid w:val="002F3F31"/>
    <w:rsid w:val="002F45D3"/>
    <w:rsid w:val="002F4B29"/>
    <w:rsid w:val="002F4C1A"/>
    <w:rsid w:val="002F5141"/>
    <w:rsid w:val="002F5A0A"/>
    <w:rsid w:val="002F5E26"/>
    <w:rsid w:val="002F61CD"/>
    <w:rsid w:val="002F64B3"/>
    <w:rsid w:val="002F68EE"/>
    <w:rsid w:val="002F6F66"/>
    <w:rsid w:val="002F744B"/>
    <w:rsid w:val="002F74BB"/>
    <w:rsid w:val="002F78C0"/>
    <w:rsid w:val="003002B1"/>
    <w:rsid w:val="00300CD7"/>
    <w:rsid w:val="00300E0F"/>
    <w:rsid w:val="0030166F"/>
    <w:rsid w:val="0030213D"/>
    <w:rsid w:val="00302494"/>
    <w:rsid w:val="00303162"/>
    <w:rsid w:val="003038D3"/>
    <w:rsid w:val="00303C44"/>
    <w:rsid w:val="0030413B"/>
    <w:rsid w:val="003041A4"/>
    <w:rsid w:val="003043A1"/>
    <w:rsid w:val="0030457C"/>
    <w:rsid w:val="00304C08"/>
    <w:rsid w:val="00305006"/>
    <w:rsid w:val="00305248"/>
    <w:rsid w:val="00305787"/>
    <w:rsid w:val="0030587D"/>
    <w:rsid w:val="00305C19"/>
    <w:rsid w:val="003061D2"/>
    <w:rsid w:val="00307B4B"/>
    <w:rsid w:val="00307EBF"/>
    <w:rsid w:val="0031023D"/>
    <w:rsid w:val="003104AF"/>
    <w:rsid w:val="00310925"/>
    <w:rsid w:val="00310A7E"/>
    <w:rsid w:val="00311C8E"/>
    <w:rsid w:val="00311F2E"/>
    <w:rsid w:val="003129C7"/>
    <w:rsid w:val="0031319D"/>
    <w:rsid w:val="00313428"/>
    <w:rsid w:val="0031369C"/>
    <w:rsid w:val="00313921"/>
    <w:rsid w:val="00313D9B"/>
    <w:rsid w:val="00314D94"/>
    <w:rsid w:val="00314EF0"/>
    <w:rsid w:val="00314F13"/>
    <w:rsid w:val="0031578D"/>
    <w:rsid w:val="00315E9D"/>
    <w:rsid w:val="003160DE"/>
    <w:rsid w:val="00316C53"/>
    <w:rsid w:val="0031707E"/>
    <w:rsid w:val="003200A0"/>
    <w:rsid w:val="0032024F"/>
    <w:rsid w:val="0032034F"/>
    <w:rsid w:val="003205FD"/>
    <w:rsid w:val="003208FC"/>
    <w:rsid w:val="003209E0"/>
    <w:rsid w:val="00321190"/>
    <w:rsid w:val="00321830"/>
    <w:rsid w:val="00322803"/>
    <w:rsid w:val="003235BC"/>
    <w:rsid w:val="00323B0A"/>
    <w:rsid w:val="00324357"/>
    <w:rsid w:val="0032485F"/>
    <w:rsid w:val="003249B0"/>
    <w:rsid w:val="00325307"/>
    <w:rsid w:val="00325B4C"/>
    <w:rsid w:val="003278EA"/>
    <w:rsid w:val="00327B25"/>
    <w:rsid w:val="00330669"/>
    <w:rsid w:val="0033079D"/>
    <w:rsid w:val="003309FF"/>
    <w:rsid w:val="003318D4"/>
    <w:rsid w:val="00331F4F"/>
    <w:rsid w:val="00331FAD"/>
    <w:rsid w:val="0033204F"/>
    <w:rsid w:val="003327BC"/>
    <w:rsid w:val="003328FD"/>
    <w:rsid w:val="00332988"/>
    <w:rsid w:val="0033347E"/>
    <w:rsid w:val="00333A1E"/>
    <w:rsid w:val="00333A3B"/>
    <w:rsid w:val="00333A4A"/>
    <w:rsid w:val="00333B4B"/>
    <w:rsid w:val="003342DF"/>
    <w:rsid w:val="00334BDD"/>
    <w:rsid w:val="00334CC3"/>
    <w:rsid w:val="00335E0E"/>
    <w:rsid w:val="00335FB8"/>
    <w:rsid w:val="00335FBB"/>
    <w:rsid w:val="00335FEC"/>
    <w:rsid w:val="00336326"/>
    <w:rsid w:val="0033683F"/>
    <w:rsid w:val="00336BCB"/>
    <w:rsid w:val="00336DC9"/>
    <w:rsid w:val="00336FA9"/>
    <w:rsid w:val="00337CA7"/>
    <w:rsid w:val="00340B52"/>
    <w:rsid w:val="00341847"/>
    <w:rsid w:val="00341DA4"/>
    <w:rsid w:val="00342243"/>
    <w:rsid w:val="003428DE"/>
    <w:rsid w:val="0034298C"/>
    <w:rsid w:val="00342E7D"/>
    <w:rsid w:val="00343776"/>
    <w:rsid w:val="00343A16"/>
    <w:rsid w:val="00343ABB"/>
    <w:rsid w:val="003443E1"/>
    <w:rsid w:val="00344506"/>
    <w:rsid w:val="00344A66"/>
    <w:rsid w:val="00344AA3"/>
    <w:rsid w:val="00344F81"/>
    <w:rsid w:val="003454FB"/>
    <w:rsid w:val="00347E96"/>
    <w:rsid w:val="003507A7"/>
    <w:rsid w:val="00350A76"/>
    <w:rsid w:val="00351448"/>
    <w:rsid w:val="003519C7"/>
    <w:rsid w:val="00351A9F"/>
    <w:rsid w:val="00352D46"/>
    <w:rsid w:val="003538BD"/>
    <w:rsid w:val="00353E92"/>
    <w:rsid w:val="00353F48"/>
    <w:rsid w:val="003540E0"/>
    <w:rsid w:val="003544A2"/>
    <w:rsid w:val="00355AE7"/>
    <w:rsid w:val="00356099"/>
    <w:rsid w:val="00356541"/>
    <w:rsid w:val="0035664C"/>
    <w:rsid w:val="003574DA"/>
    <w:rsid w:val="00357704"/>
    <w:rsid w:val="00357788"/>
    <w:rsid w:val="00357AA7"/>
    <w:rsid w:val="00357AB9"/>
    <w:rsid w:val="003604D4"/>
    <w:rsid w:val="00360620"/>
    <w:rsid w:val="00360809"/>
    <w:rsid w:val="0036103F"/>
    <w:rsid w:val="00361264"/>
    <w:rsid w:val="00361F62"/>
    <w:rsid w:val="00362158"/>
    <w:rsid w:val="00362383"/>
    <w:rsid w:val="00363133"/>
    <w:rsid w:val="0036350D"/>
    <w:rsid w:val="0036381A"/>
    <w:rsid w:val="00363C5C"/>
    <w:rsid w:val="00364E15"/>
    <w:rsid w:val="003653C2"/>
    <w:rsid w:val="0036582A"/>
    <w:rsid w:val="003659A3"/>
    <w:rsid w:val="00366262"/>
    <w:rsid w:val="0036683A"/>
    <w:rsid w:val="00366B0D"/>
    <w:rsid w:val="0036732D"/>
    <w:rsid w:val="00367FEB"/>
    <w:rsid w:val="00370552"/>
    <w:rsid w:val="003717D9"/>
    <w:rsid w:val="0037191B"/>
    <w:rsid w:val="00371E8C"/>
    <w:rsid w:val="00371FDB"/>
    <w:rsid w:val="00372280"/>
    <w:rsid w:val="003724EE"/>
    <w:rsid w:val="00372DA0"/>
    <w:rsid w:val="00372F27"/>
    <w:rsid w:val="00372F5A"/>
    <w:rsid w:val="00373550"/>
    <w:rsid w:val="00373751"/>
    <w:rsid w:val="00373EA1"/>
    <w:rsid w:val="00374210"/>
    <w:rsid w:val="003749CF"/>
    <w:rsid w:val="00374E17"/>
    <w:rsid w:val="00374F50"/>
    <w:rsid w:val="003752EA"/>
    <w:rsid w:val="00375597"/>
    <w:rsid w:val="003756C3"/>
    <w:rsid w:val="003758BB"/>
    <w:rsid w:val="00375A5E"/>
    <w:rsid w:val="00375AF5"/>
    <w:rsid w:val="00376058"/>
    <w:rsid w:val="0037727D"/>
    <w:rsid w:val="0038034F"/>
    <w:rsid w:val="003804DB"/>
    <w:rsid w:val="00380B2E"/>
    <w:rsid w:val="00381A98"/>
    <w:rsid w:val="00381AB9"/>
    <w:rsid w:val="00381D19"/>
    <w:rsid w:val="00381DE4"/>
    <w:rsid w:val="00382355"/>
    <w:rsid w:val="003824B8"/>
    <w:rsid w:val="00382D52"/>
    <w:rsid w:val="00382FB8"/>
    <w:rsid w:val="0038337B"/>
    <w:rsid w:val="003840A2"/>
    <w:rsid w:val="00384CEB"/>
    <w:rsid w:val="00384E5E"/>
    <w:rsid w:val="00384EC5"/>
    <w:rsid w:val="00385583"/>
    <w:rsid w:val="00386697"/>
    <w:rsid w:val="00386C26"/>
    <w:rsid w:val="00386E0F"/>
    <w:rsid w:val="003871F7"/>
    <w:rsid w:val="00387B4C"/>
    <w:rsid w:val="00387E06"/>
    <w:rsid w:val="0039003E"/>
    <w:rsid w:val="0039021F"/>
    <w:rsid w:val="00390705"/>
    <w:rsid w:val="00390A1C"/>
    <w:rsid w:val="00390BDA"/>
    <w:rsid w:val="00390E26"/>
    <w:rsid w:val="00390EEC"/>
    <w:rsid w:val="0039140F"/>
    <w:rsid w:val="003918F4"/>
    <w:rsid w:val="00391ED2"/>
    <w:rsid w:val="00391FEB"/>
    <w:rsid w:val="003922B0"/>
    <w:rsid w:val="0039268F"/>
    <w:rsid w:val="0039361C"/>
    <w:rsid w:val="00393C67"/>
    <w:rsid w:val="0039408F"/>
    <w:rsid w:val="00394290"/>
    <w:rsid w:val="003947A5"/>
    <w:rsid w:val="00394D57"/>
    <w:rsid w:val="00395C24"/>
    <w:rsid w:val="00395CC5"/>
    <w:rsid w:val="00395EE2"/>
    <w:rsid w:val="00396D6B"/>
    <w:rsid w:val="00396DE3"/>
    <w:rsid w:val="003974ED"/>
    <w:rsid w:val="00397C50"/>
    <w:rsid w:val="00397C8A"/>
    <w:rsid w:val="00397D39"/>
    <w:rsid w:val="003A080A"/>
    <w:rsid w:val="003A199A"/>
    <w:rsid w:val="003A2F0B"/>
    <w:rsid w:val="003A35A4"/>
    <w:rsid w:val="003A35A6"/>
    <w:rsid w:val="003A375C"/>
    <w:rsid w:val="003A3C3D"/>
    <w:rsid w:val="003A49EB"/>
    <w:rsid w:val="003A4C67"/>
    <w:rsid w:val="003A5721"/>
    <w:rsid w:val="003A596B"/>
    <w:rsid w:val="003A5A6F"/>
    <w:rsid w:val="003A5B54"/>
    <w:rsid w:val="003A5D07"/>
    <w:rsid w:val="003A6909"/>
    <w:rsid w:val="003B14BD"/>
    <w:rsid w:val="003B16C9"/>
    <w:rsid w:val="003B2428"/>
    <w:rsid w:val="003B24C0"/>
    <w:rsid w:val="003B27F0"/>
    <w:rsid w:val="003B2B20"/>
    <w:rsid w:val="003B2DB7"/>
    <w:rsid w:val="003B302B"/>
    <w:rsid w:val="003B33DD"/>
    <w:rsid w:val="003B3630"/>
    <w:rsid w:val="003B3730"/>
    <w:rsid w:val="003B3775"/>
    <w:rsid w:val="003B3EC4"/>
    <w:rsid w:val="003B415F"/>
    <w:rsid w:val="003B4252"/>
    <w:rsid w:val="003B4395"/>
    <w:rsid w:val="003B47B1"/>
    <w:rsid w:val="003B4A44"/>
    <w:rsid w:val="003B4AED"/>
    <w:rsid w:val="003B4E58"/>
    <w:rsid w:val="003B5F66"/>
    <w:rsid w:val="003B6641"/>
    <w:rsid w:val="003B66C2"/>
    <w:rsid w:val="003B69B3"/>
    <w:rsid w:val="003B6CFA"/>
    <w:rsid w:val="003B72C4"/>
    <w:rsid w:val="003C0BC9"/>
    <w:rsid w:val="003C0C22"/>
    <w:rsid w:val="003C0C2C"/>
    <w:rsid w:val="003C0E20"/>
    <w:rsid w:val="003C1268"/>
    <w:rsid w:val="003C189A"/>
    <w:rsid w:val="003C1950"/>
    <w:rsid w:val="003C199E"/>
    <w:rsid w:val="003C1BBA"/>
    <w:rsid w:val="003C1DC3"/>
    <w:rsid w:val="003C1E75"/>
    <w:rsid w:val="003C278D"/>
    <w:rsid w:val="003C3333"/>
    <w:rsid w:val="003C38A3"/>
    <w:rsid w:val="003C3925"/>
    <w:rsid w:val="003C3DBF"/>
    <w:rsid w:val="003C46BB"/>
    <w:rsid w:val="003C4847"/>
    <w:rsid w:val="003C4AD3"/>
    <w:rsid w:val="003C4BB9"/>
    <w:rsid w:val="003C4C31"/>
    <w:rsid w:val="003C4DE1"/>
    <w:rsid w:val="003C60C0"/>
    <w:rsid w:val="003C631A"/>
    <w:rsid w:val="003C6949"/>
    <w:rsid w:val="003C6A92"/>
    <w:rsid w:val="003C6D47"/>
    <w:rsid w:val="003C6DD6"/>
    <w:rsid w:val="003C7317"/>
    <w:rsid w:val="003C7A10"/>
    <w:rsid w:val="003C7FCA"/>
    <w:rsid w:val="003D0018"/>
    <w:rsid w:val="003D00DF"/>
    <w:rsid w:val="003D0C28"/>
    <w:rsid w:val="003D21E2"/>
    <w:rsid w:val="003D2564"/>
    <w:rsid w:val="003D2A00"/>
    <w:rsid w:val="003D2CDF"/>
    <w:rsid w:val="003D30F9"/>
    <w:rsid w:val="003D3195"/>
    <w:rsid w:val="003D3317"/>
    <w:rsid w:val="003D3B96"/>
    <w:rsid w:val="003D3C19"/>
    <w:rsid w:val="003D3C8B"/>
    <w:rsid w:val="003D422A"/>
    <w:rsid w:val="003D4B03"/>
    <w:rsid w:val="003D53C4"/>
    <w:rsid w:val="003D54C3"/>
    <w:rsid w:val="003D5661"/>
    <w:rsid w:val="003D5936"/>
    <w:rsid w:val="003D5B03"/>
    <w:rsid w:val="003D6EC7"/>
    <w:rsid w:val="003D719D"/>
    <w:rsid w:val="003D771F"/>
    <w:rsid w:val="003D7EBA"/>
    <w:rsid w:val="003E00FA"/>
    <w:rsid w:val="003E0895"/>
    <w:rsid w:val="003E0C40"/>
    <w:rsid w:val="003E0F13"/>
    <w:rsid w:val="003E10B9"/>
    <w:rsid w:val="003E22A2"/>
    <w:rsid w:val="003E2AAB"/>
    <w:rsid w:val="003E2BC2"/>
    <w:rsid w:val="003E32B2"/>
    <w:rsid w:val="003E36D0"/>
    <w:rsid w:val="003E3953"/>
    <w:rsid w:val="003E44D0"/>
    <w:rsid w:val="003E47F8"/>
    <w:rsid w:val="003E5798"/>
    <w:rsid w:val="003E613E"/>
    <w:rsid w:val="003E64F3"/>
    <w:rsid w:val="003E6818"/>
    <w:rsid w:val="003E71C9"/>
    <w:rsid w:val="003E7504"/>
    <w:rsid w:val="003E7664"/>
    <w:rsid w:val="003E7979"/>
    <w:rsid w:val="003E7A03"/>
    <w:rsid w:val="003E7D1A"/>
    <w:rsid w:val="003E7D5A"/>
    <w:rsid w:val="003E7FA5"/>
    <w:rsid w:val="003F04B8"/>
    <w:rsid w:val="003F0BCE"/>
    <w:rsid w:val="003F0D60"/>
    <w:rsid w:val="003F1E13"/>
    <w:rsid w:val="003F1E88"/>
    <w:rsid w:val="003F23A3"/>
    <w:rsid w:val="003F31B5"/>
    <w:rsid w:val="003F379E"/>
    <w:rsid w:val="003F3E0E"/>
    <w:rsid w:val="003F3FBB"/>
    <w:rsid w:val="003F4F19"/>
    <w:rsid w:val="003F52FE"/>
    <w:rsid w:val="003F5960"/>
    <w:rsid w:val="003F626A"/>
    <w:rsid w:val="003F68A9"/>
    <w:rsid w:val="003F6933"/>
    <w:rsid w:val="003F6F3A"/>
    <w:rsid w:val="003F74AC"/>
    <w:rsid w:val="003F7A75"/>
    <w:rsid w:val="003F7B9B"/>
    <w:rsid w:val="0040039A"/>
    <w:rsid w:val="00401468"/>
    <w:rsid w:val="0040162F"/>
    <w:rsid w:val="0040195E"/>
    <w:rsid w:val="00401A79"/>
    <w:rsid w:val="00402144"/>
    <w:rsid w:val="00402570"/>
    <w:rsid w:val="00402B76"/>
    <w:rsid w:val="00402D19"/>
    <w:rsid w:val="004030A5"/>
    <w:rsid w:val="004032DF"/>
    <w:rsid w:val="00403BB0"/>
    <w:rsid w:val="00403CBB"/>
    <w:rsid w:val="00404097"/>
    <w:rsid w:val="00404363"/>
    <w:rsid w:val="00404444"/>
    <w:rsid w:val="00404810"/>
    <w:rsid w:val="004048E3"/>
    <w:rsid w:val="00404BE6"/>
    <w:rsid w:val="00404C34"/>
    <w:rsid w:val="004051EE"/>
    <w:rsid w:val="004052C6"/>
    <w:rsid w:val="0040599D"/>
    <w:rsid w:val="004059F9"/>
    <w:rsid w:val="00405AAE"/>
    <w:rsid w:val="004061ED"/>
    <w:rsid w:val="00406820"/>
    <w:rsid w:val="00407119"/>
    <w:rsid w:val="00407D31"/>
    <w:rsid w:val="00410240"/>
    <w:rsid w:val="0041048F"/>
    <w:rsid w:val="00411131"/>
    <w:rsid w:val="004114AA"/>
    <w:rsid w:val="004118EA"/>
    <w:rsid w:val="00411C8F"/>
    <w:rsid w:val="00411FA9"/>
    <w:rsid w:val="00412142"/>
    <w:rsid w:val="0041224E"/>
    <w:rsid w:val="0041269A"/>
    <w:rsid w:val="00412D40"/>
    <w:rsid w:val="00412DCC"/>
    <w:rsid w:val="004134C9"/>
    <w:rsid w:val="004136C8"/>
    <w:rsid w:val="004138DA"/>
    <w:rsid w:val="00413BA6"/>
    <w:rsid w:val="00413BC4"/>
    <w:rsid w:val="00414B25"/>
    <w:rsid w:val="00414E79"/>
    <w:rsid w:val="004157D2"/>
    <w:rsid w:val="004161F0"/>
    <w:rsid w:val="004163F2"/>
    <w:rsid w:val="004167BE"/>
    <w:rsid w:val="00417679"/>
    <w:rsid w:val="00417890"/>
    <w:rsid w:val="00417C2C"/>
    <w:rsid w:val="00417EA9"/>
    <w:rsid w:val="00420245"/>
    <w:rsid w:val="0042053E"/>
    <w:rsid w:val="00421163"/>
    <w:rsid w:val="004211E6"/>
    <w:rsid w:val="00421C4F"/>
    <w:rsid w:val="00421E69"/>
    <w:rsid w:val="00422097"/>
    <w:rsid w:val="00422191"/>
    <w:rsid w:val="00422E02"/>
    <w:rsid w:val="00423D07"/>
    <w:rsid w:val="00423DAC"/>
    <w:rsid w:val="00424A4B"/>
    <w:rsid w:val="004258E1"/>
    <w:rsid w:val="00425E64"/>
    <w:rsid w:val="00425ED8"/>
    <w:rsid w:val="00426B9F"/>
    <w:rsid w:val="00426ECB"/>
    <w:rsid w:val="004275DF"/>
    <w:rsid w:val="004306DE"/>
    <w:rsid w:val="00430B82"/>
    <w:rsid w:val="00430D4B"/>
    <w:rsid w:val="00430DF7"/>
    <w:rsid w:val="004314FC"/>
    <w:rsid w:val="00431A86"/>
    <w:rsid w:val="00431C18"/>
    <w:rsid w:val="00431E7A"/>
    <w:rsid w:val="00432192"/>
    <w:rsid w:val="0043233E"/>
    <w:rsid w:val="00432515"/>
    <w:rsid w:val="004326A1"/>
    <w:rsid w:val="00432865"/>
    <w:rsid w:val="00432AD3"/>
    <w:rsid w:val="00432B9D"/>
    <w:rsid w:val="004336E5"/>
    <w:rsid w:val="004340D4"/>
    <w:rsid w:val="00434536"/>
    <w:rsid w:val="00434F34"/>
    <w:rsid w:val="0043500B"/>
    <w:rsid w:val="004358D9"/>
    <w:rsid w:val="00435EEF"/>
    <w:rsid w:val="00435F53"/>
    <w:rsid w:val="00436047"/>
    <w:rsid w:val="004362B6"/>
    <w:rsid w:val="0043632A"/>
    <w:rsid w:val="004363A2"/>
    <w:rsid w:val="0043661E"/>
    <w:rsid w:val="00436CA8"/>
    <w:rsid w:val="00436F1F"/>
    <w:rsid w:val="004376A1"/>
    <w:rsid w:val="004376BE"/>
    <w:rsid w:val="0043793A"/>
    <w:rsid w:val="00437B66"/>
    <w:rsid w:val="00440511"/>
    <w:rsid w:val="0044060F"/>
    <w:rsid w:val="004408AD"/>
    <w:rsid w:val="00440944"/>
    <w:rsid w:val="0044097E"/>
    <w:rsid w:val="0044183D"/>
    <w:rsid w:val="004418F2"/>
    <w:rsid w:val="004418F7"/>
    <w:rsid w:val="00441D5C"/>
    <w:rsid w:val="00441E62"/>
    <w:rsid w:val="004420EA"/>
    <w:rsid w:val="004422A9"/>
    <w:rsid w:val="0044269C"/>
    <w:rsid w:val="004429E8"/>
    <w:rsid w:val="00442C1C"/>
    <w:rsid w:val="00443014"/>
    <w:rsid w:val="00443450"/>
    <w:rsid w:val="004436C9"/>
    <w:rsid w:val="0044376F"/>
    <w:rsid w:val="0044444B"/>
    <w:rsid w:val="004444B3"/>
    <w:rsid w:val="00444576"/>
    <w:rsid w:val="0044463F"/>
    <w:rsid w:val="004448D2"/>
    <w:rsid w:val="00445B94"/>
    <w:rsid w:val="00445C1F"/>
    <w:rsid w:val="00445CAD"/>
    <w:rsid w:val="00445E66"/>
    <w:rsid w:val="00445EFC"/>
    <w:rsid w:val="0044789A"/>
    <w:rsid w:val="00447FE3"/>
    <w:rsid w:val="0045069B"/>
    <w:rsid w:val="004507E8"/>
    <w:rsid w:val="00450A2B"/>
    <w:rsid w:val="00451422"/>
    <w:rsid w:val="00451EAC"/>
    <w:rsid w:val="00452B68"/>
    <w:rsid w:val="00452F95"/>
    <w:rsid w:val="0045330D"/>
    <w:rsid w:val="004534BE"/>
    <w:rsid w:val="0045383B"/>
    <w:rsid w:val="00453A6A"/>
    <w:rsid w:val="00453AB0"/>
    <w:rsid w:val="00453C96"/>
    <w:rsid w:val="00453EB9"/>
    <w:rsid w:val="00454241"/>
    <w:rsid w:val="004549D0"/>
    <w:rsid w:val="004550D6"/>
    <w:rsid w:val="00455842"/>
    <w:rsid w:val="00455A19"/>
    <w:rsid w:val="00456A5C"/>
    <w:rsid w:val="00457531"/>
    <w:rsid w:val="00457711"/>
    <w:rsid w:val="004579A5"/>
    <w:rsid w:val="004606BD"/>
    <w:rsid w:val="00460ADC"/>
    <w:rsid w:val="00460D7A"/>
    <w:rsid w:val="00460E4A"/>
    <w:rsid w:val="00461345"/>
    <w:rsid w:val="00461390"/>
    <w:rsid w:val="004614A8"/>
    <w:rsid w:val="00461A55"/>
    <w:rsid w:val="004621C9"/>
    <w:rsid w:val="00462B40"/>
    <w:rsid w:val="00462FA0"/>
    <w:rsid w:val="004630AC"/>
    <w:rsid w:val="004637DE"/>
    <w:rsid w:val="004638ED"/>
    <w:rsid w:val="00463BE2"/>
    <w:rsid w:val="00463C97"/>
    <w:rsid w:val="004640FF"/>
    <w:rsid w:val="004647A2"/>
    <w:rsid w:val="00464B7E"/>
    <w:rsid w:val="004653BD"/>
    <w:rsid w:val="00465430"/>
    <w:rsid w:val="00465A67"/>
    <w:rsid w:val="00465ED9"/>
    <w:rsid w:val="00466DB3"/>
    <w:rsid w:val="00467026"/>
    <w:rsid w:val="00467762"/>
    <w:rsid w:val="00467ECF"/>
    <w:rsid w:val="004700B1"/>
    <w:rsid w:val="004707F0"/>
    <w:rsid w:val="00470EE5"/>
    <w:rsid w:val="0047142C"/>
    <w:rsid w:val="0047188F"/>
    <w:rsid w:val="00471BB8"/>
    <w:rsid w:val="00471FD6"/>
    <w:rsid w:val="00472162"/>
    <w:rsid w:val="0047224A"/>
    <w:rsid w:val="004722D9"/>
    <w:rsid w:val="00472C29"/>
    <w:rsid w:val="00472C7F"/>
    <w:rsid w:val="00473302"/>
    <w:rsid w:val="00473393"/>
    <w:rsid w:val="004735F4"/>
    <w:rsid w:val="004739F9"/>
    <w:rsid w:val="004742FE"/>
    <w:rsid w:val="00474D12"/>
    <w:rsid w:val="00474E61"/>
    <w:rsid w:val="004755C9"/>
    <w:rsid w:val="004755D4"/>
    <w:rsid w:val="00475958"/>
    <w:rsid w:val="004764C5"/>
    <w:rsid w:val="00476E7B"/>
    <w:rsid w:val="0047727E"/>
    <w:rsid w:val="004774CD"/>
    <w:rsid w:val="00477888"/>
    <w:rsid w:val="004779EC"/>
    <w:rsid w:val="00477AFD"/>
    <w:rsid w:val="004801A7"/>
    <w:rsid w:val="00480290"/>
    <w:rsid w:val="00480417"/>
    <w:rsid w:val="00481211"/>
    <w:rsid w:val="00481A34"/>
    <w:rsid w:val="00482141"/>
    <w:rsid w:val="004825C0"/>
    <w:rsid w:val="0048299A"/>
    <w:rsid w:val="004832ED"/>
    <w:rsid w:val="0048330F"/>
    <w:rsid w:val="0048339B"/>
    <w:rsid w:val="00484748"/>
    <w:rsid w:val="00484846"/>
    <w:rsid w:val="00485C0B"/>
    <w:rsid w:val="00486393"/>
    <w:rsid w:val="0048676D"/>
    <w:rsid w:val="00486E49"/>
    <w:rsid w:val="0048751D"/>
    <w:rsid w:val="00487E7A"/>
    <w:rsid w:val="004900E7"/>
    <w:rsid w:val="00490754"/>
    <w:rsid w:val="0049081D"/>
    <w:rsid w:val="00490CE1"/>
    <w:rsid w:val="0049126B"/>
    <w:rsid w:val="004919AD"/>
    <w:rsid w:val="004919DD"/>
    <w:rsid w:val="00491D48"/>
    <w:rsid w:val="004920AC"/>
    <w:rsid w:val="004926B4"/>
    <w:rsid w:val="00492A92"/>
    <w:rsid w:val="00492F8A"/>
    <w:rsid w:val="004933C8"/>
    <w:rsid w:val="00493A6C"/>
    <w:rsid w:val="00493A7B"/>
    <w:rsid w:val="00493AC0"/>
    <w:rsid w:val="00493B7E"/>
    <w:rsid w:val="00493D53"/>
    <w:rsid w:val="004943BE"/>
    <w:rsid w:val="00494A58"/>
    <w:rsid w:val="00494AAB"/>
    <w:rsid w:val="004968C6"/>
    <w:rsid w:val="004970E3"/>
    <w:rsid w:val="00497681"/>
    <w:rsid w:val="0049797D"/>
    <w:rsid w:val="00497A64"/>
    <w:rsid w:val="00497FD4"/>
    <w:rsid w:val="004A00B9"/>
    <w:rsid w:val="004A0939"/>
    <w:rsid w:val="004A1484"/>
    <w:rsid w:val="004A2024"/>
    <w:rsid w:val="004A2026"/>
    <w:rsid w:val="004A214D"/>
    <w:rsid w:val="004A2450"/>
    <w:rsid w:val="004A2783"/>
    <w:rsid w:val="004A28DC"/>
    <w:rsid w:val="004A2DBF"/>
    <w:rsid w:val="004A33C7"/>
    <w:rsid w:val="004A3509"/>
    <w:rsid w:val="004A359D"/>
    <w:rsid w:val="004A3D19"/>
    <w:rsid w:val="004A4189"/>
    <w:rsid w:val="004A51C4"/>
    <w:rsid w:val="004A534C"/>
    <w:rsid w:val="004A53E8"/>
    <w:rsid w:val="004A566C"/>
    <w:rsid w:val="004A585E"/>
    <w:rsid w:val="004A62FC"/>
    <w:rsid w:val="004A6960"/>
    <w:rsid w:val="004A6F35"/>
    <w:rsid w:val="004A7264"/>
    <w:rsid w:val="004A727C"/>
    <w:rsid w:val="004A7529"/>
    <w:rsid w:val="004B072C"/>
    <w:rsid w:val="004B081A"/>
    <w:rsid w:val="004B0E71"/>
    <w:rsid w:val="004B16C6"/>
    <w:rsid w:val="004B1B68"/>
    <w:rsid w:val="004B237E"/>
    <w:rsid w:val="004B2417"/>
    <w:rsid w:val="004B2A3A"/>
    <w:rsid w:val="004B32D6"/>
    <w:rsid w:val="004B3A6E"/>
    <w:rsid w:val="004B432B"/>
    <w:rsid w:val="004B44E2"/>
    <w:rsid w:val="004B4F9E"/>
    <w:rsid w:val="004B5546"/>
    <w:rsid w:val="004B579A"/>
    <w:rsid w:val="004B5FEE"/>
    <w:rsid w:val="004B65F1"/>
    <w:rsid w:val="004B6791"/>
    <w:rsid w:val="004B6C25"/>
    <w:rsid w:val="004B6E1A"/>
    <w:rsid w:val="004B7738"/>
    <w:rsid w:val="004B7A45"/>
    <w:rsid w:val="004B7DE5"/>
    <w:rsid w:val="004C09EF"/>
    <w:rsid w:val="004C1034"/>
    <w:rsid w:val="004C1094"/>
    <w:rsid w:val="004C1114"/>
    <w:rsid w:val="004C12B2"/>
    <w:rsid w:val="004C1A06"/>
    <w:rsid w:val="004C23B0"/>
    <w:rsid w:val="004C2438"/>
    <w:rsid w:val="004C2863"/>
    <w:rsid w:val="004C30A5"/>
    <w:rsid w:val="004C3558"/>
    <w:rsid w:val="004C36E3"/>
    <w:rsid w:val="004C403A"/>
    <w:rsid w:val="004C4043"/>
    <w:rsid w:val="004C4095"/>
    <w:rsid w:val="004C5196"/>
    <w:rsid w:val="004C534C"/>
    <w:rsid w:val="004C5626"/>
    <w:rsid w:val="004C5659"/>
    <w:rsid w:val="004C58DB"/>
    <w:rsid w:val="004C5996"/>
    <w:rsid w:val="004C5B06"/>
    <w:rsid w:val="004C5E8C"/>
    <w:rsid w:val="004C6710"/>
    <w:rsid w:val="004C69BB"/>
    <w:rsid w:val="004C6A24"/>
    <w:rsid w:val="004C6CA4"/>
    <w:rsid w:val="004C7C45"/>
    <w:rsid w:val="004D0346"/>
    <w:rsid w:val="004D035B"/>
    <w:rsid w:val="004D052A"/>
    <w:rsid w:val="004D0D36"/>
    <w:rsid w:val="004D2181"/>
    <w:rsid w:val="004D2CB0"/>
    <w:rsid w:val="004D3861"/>
    <w:rsid w:val="004D3D48"/>
    <w:rsid w:val="004D3FAC"/>
    <w:rsid w:val="004D4019"/>
    <w:rsid w:val="004D4146"/>
    <w:rsid w:val="004D41E3"/>
    <w:rsid w:val="004D443B"/>
    <w:rsid w:val="004D44EA"/>
    <w:rsid w:val="004D4627"/>
    <w:rsid w:val="004D49AF"/>
    <w:rsid w:val="004D4C68"/>
    <w:rsid w:val="004D4E66"/>
    <w:rsid w:val="004D4EF8"/>
    <w:rsid w:val="004D50CA"/>
    <w:rsid w:val="004D52D1"/>
    <w:rsid w:val="004D58A0"/>
    <w:rsid w:val="004D58E3"/>
    <w:rsid w:val="004D640B"/>
    <w:rsid w:val="004D6BCD"/>
    <w:rsid w:val="004D6DBE"/>
    <w:rsid w:val="004D6E4C"/>
    <w:rsid w:val="004D72A9"/>
    <w:rsid w:val="004D739D"/>
    <w:rsid w:val="004D74E6"/>
    <w:rsid w:val="004D7F68"/>
    <w:rsid w:val="004E056E"/>
    <w:rsid w:val="004E0BC5"/>
    <w:rsid w:val="004E0CFA"/>
    <w:rsid w:val="004E1048"/>
    <w:rsid w:val="004E126C"/>
    <w:rsid w:val="004E12E8"/>
    <w:rsid w:val="004E12F9"/>
    <w:rsid w:val="004E19A1"/>
    <w:rsid w:val="004E19E0"/>
    <w:rsid w:val="004E24A6"/>
    <w:rsid w:val="004E25DA"/>
    <w:rsid w:val="004E3188"/>
    <w:rsid w:val="004E3204"/>
    <w:rsid w:val="004E4E65"/>
    <w:rsid w:val="004E6953"/>
    <w:rsid w:val="004E69F8"/>
    <w:rsid w:val="004E7012"/>
    <w:rsid w:val="004E7591"/>
    <w:rsid w:val="004E7662"/>
    <w:rsid w:val="004E77CB"/>
    <w:rsid w:val="004E7950"/>
    <w:rsid w:val="004E7C08"/>
    <w:rsid w:val="004E7CE1"/>
    <w:rsid w:val="004F016A"/>
    <w:rsid w:val="004F0188"/>
    <w:rsid w:val="004F0254"/>
    <w:rsid w:val="004F0434"/>
    <w:rsid w:val="004F0682"/>
    <w:rsid w:val="004F0CE9"/>
    <w:rsid w:val="004F0D32"/>
    <w:rsid w:val="004F0DBC"/>
    <w:rsid w:val="004F1565"/>
    <w:rsid w:val="004F2BC1"/>
    <w:rsid w:val="004F2C5D"/>
    <w:rsid w:val="004F3439"/>
    <w:rsid w:val="004F498C"/>
    <w:rsid w:val="004F4AF7"/>
    <w:rsid w:val="004F610E"/>
    <w:rsid w:val="004F6948"/>
    <w:rsid w:val="004F6CFF"/>
    <w:rsid w:val="004F7C4B"/>
    <w:rsid w:val="004F7D69"/>
    <w:rsid w:val="004F7EC2"/>
    <w:rsid w:val="00500235"/>
    <w:rsid w:val="00501610"/>
    <w:rsid w:val="005019E8"/>
    <w:rsid w:val="00501DD2"/>
    <w:rsid w:val="005021E9"/>
    <w:rsid w:val="0050235D"/>
    <w:rsid w:val="005023A7"/>
    <w:rsid w:val="00502473"/>
    <w:rsid w:val="0050291B"/>
    <w:rsid w:val="00502A79"/>
    <w:rsid w:val="00502F47"/>
    <w:rsid w:val="005037D0"/>
    <w:rsid w:val="00503918"/>
    <w:rsid w:val="00503A4A"/>
    <w:rsid w:val="00504637"/>
    <w:rsid w:val="0050471B"/>
    <w:rsid w:val="00504ACD"/>
    <w:rsid w:val="00504B62"/>
    <w:rsid w:val="005052A4"/>
    <w:rsid w:val="00505318"/>
    <w:rsid w:val="0050551C"/>
    <w:rsid w:val="0050552E"/>
    <w:rsid w:val="0050568C"/>
    <w:rsid w:val="00505E86"/>
    <w:rsid w:val="00506A15"/>
    <w:rsid w:val="00506A60"/>
    <w:rsid w:val="00506B6F"/>
    <w:rsid w:val="00506E52"/>
    <w:rsid w:val="00507259"/>
    <w:rsid w:val="0050770B"/>
    <w:rsid w:val="00507E44"/>
    <w:rsid w:val="00507EFE"/>
    <w:rsid w:val="0051077F"/>
    <w:rsid w:val="005109E1"/>
    <w:rsid w:val="00510F37"/>
    <w:rsid w:val="005110DE"/>
    <w:rsid w:val="00511180"/>
    <w:rsid w:val="00512631"/>
    <w:rsid w:val="00512AC7"/>
    <w:rsid w:val="00512ED2"/>
    <w:rsid w:val="00513314"/>
    <w:rsid w:val="00513DF0"/>
    <w:rsid w:val="00513F63"/>
    <w:rsid w:val="00514349"/>
    <w:rsid w:val="0051438E"/>
    <w:rsid w:val="00514786"/>
    <w:rsid w:val="005147F8"/>
    <w:rsid w:val="0051486C"/>
    <w:rsid w:val="00514E94"/>
    <w:rsid w:val="005150E5"/>
    <w:rsid w:val="0051518B"/>
    <w:rsid w:val="005157E1"/>
    <w:rsid w:val="00515D44"/>
    <w:rsid w:val="00515EFD"/>
    <w:rsid w:val="00516973"/>
    <w:rsid w:val="00517C75"/>
    <w:rsid w:val="00517DAC"/>
    <w:rsid w:val="00517E1B"/>
    <w:rsid w:val="005206A7"/>
    <w:rsid w:val="005208E3"/>
    <w:rsid w:val="005219A5"/>
    <w:rsid w:val="0052254A"/>
    <w:rsid w:val="0052294F"/>
    <w:rsid w:val="005232B8"/>
    <w:rsid w:val="00523612"/>
    <w:rsid w:val="005243F7"/>
    <w:rsid w:val="00525032"/>
    <w:rsid w:val="00525709"/>
    <w:rsid w:val="00525CE5"/>
    <w:rsid w:val="005262A8"/>
    <w:rsid w:val="00526375"/>
    <w:rsid w:val="00526612"/>
    <w:rsid w:val="0052698F"/>
    <w:rsid w:val="00526A4E"/>
    <w:rsid w:val="00526FB3"/>
    <w:rsid w:val="0052721C"/>
    <w:rsid w:val="005276F4"/>
    <w:rsid w:val="00527726"/>
    <w:rsid w:val="00530721"/>
    <w:rsid w:val="005309C4"/>
    <w:rsid w:val="00530C8D"/>
    <w:rsid w:val="0053124E"/>
    <w:rsid w:val="0053165C"/>
    <w:rsid w:val="00531762"/>
    <w:rsid w:val="00531D4A"/>
    <w:rsid w:val="00531F0B"/>
    <w:rsid w:val="00532FED"/>
    <w:rsid w:val="00533654"/>
    <w:rsid w:val="00533B40"/>
    <w:rsid w:val="00533EF2"/>
    <w:rsid w:val="0053431A"/>
    <w:rsid w:val="00534A50"/>
    <w:rsid w:val="00534DB3"/>
    <w:rsid w:val="00535686"/>
    <w:rsid w:val="00535EF3"/>
    <w:rsid w:val="0053628D"/>
    <w:rsid w:val="00536510"/>
    <w:rsid w:val="00537842"/>
    <w:rsid w:val="00537A1A"/>
    <w:rsid w:val="00537A9E"/>
    <w:rsid w:val="00540156"/>
    <w:rsid w:val="005402C0"/>
    <w:rsid w:val="00540D28"/>
    <w:rsid w:val="00540DAA"/>
    <w:rsid w:val="005423C6"/>
    <w:rsid w:val="00542A77"/>
    <w:rsid w:val="00542A9F"/>
    <w:rsid w:val="00543451"/>
    <w:rsid w:val="0054382C"/>
    <w:rsid w:val="005441B4"/>
    <w:rsid w:val="00545BB0"/>
    <w:rsid w:val="00546D02"/>
    <w:rsid w:val="00547180"/>
    <w:rsid w:val="00547295"/>
    <w:rsid w:val="005472AB"/>
    <w:rsid w:val="005474E7"/>
    <w:rsid w:val="00547542"/>
    <w:rsid w:val="005476C4"/>
    <w:rsid w:val="00547D41"/>
    <w:rsid w:val="0055078E"/>
    <w:rsid w:val="00550AE7"/>
    <w:rsid w:val="00550F48"/>
    <w:rsid w:val="005514DD"/>
    <w:rsid w:val="00551865"/>
    <w:rsid w:val="00551BF5"/>
    <w:rsid w:val="00552024"/>
    <w:rsid w:val="00552631"/>
    <w:rsid w:val="0055409D"/>
    <w:rsid w:val="00554212"/>
    <w:rsid w:val="0055441B"/>
    <w:rsid w:val="00554B46"/>
    <w:rsid w:val="00554FBE"/>
    <w:rsid w:val="00555EC9"/>
    <w:rsid w:val="0055617A"/>
    <w:rsid w:val="00556D8C"/>
    <w:rsid w:val="005572BF"/>
    <w:rsid w:val="00557891"/>
    <w:rsid w:val="005578F9"/>
    <w:rsid w:val="00557C19"/>
    <w:rsid w:val="00560279"/>
    <w:rsid w:val="00560A31"/>
    <w:rsid w:val="00560CEC"/>
    <w:rsid w:val="005612F5"/>
    <w:rsid w:val="00561DBE"/>
    <w:rsid w:val="00562EE7"/>
    <w:rsid w:val="00562F9D"/>
    <w:rsid w:val="0056361F"/>
    <w:rsid w:val="005639DF"/>
    <w:rsid w:val="00563B19"/>
    <w:rsid w:val="00563D38"/>
    <w:rsid w:val="00563D76"/>
    <w:rsid w:val="0056518E"/>
    <w:rsid w:val="00565264"/>
    <w:rsid w:val="00565647"/>
    <w:rsid w:val="00565DF7"/>
    <w:rsid w:val="005661AC"/>
    <w:rsid w:val="00566252"/>
    <w:rsid w:val="00566315"/>
    <w:rsid w:val="00566BBB"/>
    <w:rsid w:val="00566D75"/>
    <w:rsid w:val="00567617"/>
    <w:rsid w:val="00567A7B"/>
    <w:rsid w:val="00567B89"/>
    <w:rsid w:val="00570A47"/>
    <w:rsid w:val="00570FD1"/>
    <w:rsid w:val="005712C6"/>
    <w:rsid w:val="005715B3"/>
    <w:rsid w:val="00571CB5"/>
    <w:rsid w:val="00572622"/>
    <w:rsid w:val="005727DD"/>
    <w:rsid w:val="00572B79"/>
    <w:rsid w:val="005733B2"/>
    <w:rsid w:val="0057451B"/>
    <w:rsid w:val="00574924"/>
    <w:rsid w:val="00574DD5"/>
    <w:rsid w:val="00575273"/>
    <w:rsid w:val="00575405"/>
    <w:rsid w:val="00575E30"/>
    <w:rsid w:val="00575E9E"/>
    <w:rsid w:val="005769C1"/>
    <w:rsid w:val="00576F04"/>
    <w:rsid w:val="0057746C"/>
    <w:rsid w:val="00577484"/>
    <w:rsid w:val="00577AF6"/>
    <w:rsid w:val="00577C5A"/>
    <w:rsid w:val="00577CFA"/>
    <w:rsid w:val="00580974"/>
    <w:rsid w:val="00581BBE"/>
    <w:rsid w:val="00581F74"/>
    <w:rsid w:val="005822F4"/>
    <w:rsid w:val="00582ADE"/>
    <w:rsid w:val="00582DEF"/>
    <w:rsid w:val="0058318B"/>
    <w:rsid w:val="005837A4"/>
    <w:rsid w:val="00583904"/>
    <w:rsid w:val="00583948"/>
    <w:rsid w:val="00583C6E"/>
    <w:rsid w:val="005841BD"/>
    <w:rsid w:val="0058422F"/>
    <w:rsid w:val="0058479D"/>
    <w:rsid w:val="00584A0F"/>
    <w:rsid w:val="00585EAA"/>
    <w:rsid w:val="00590241"/>
    <w:rsid w:val="00590AC8"/>
    <w:rsid w:val="005911B8"/>
    <w:rsid w:val="00593E06"/>
    <w:rsid w:val="005957A4"/>
    <w:rsid w:val="00596E66"/>
    <w:rsid w:val="0059701B"/>
    <w:rsid w:val="005970A6"/>
    <w:rsid w:val="00597F50"/>
    <w:rsid w:val="005A07E3"/>
    <w:rsid w:val="005A09C3"/>
    <w:rsid w:val="005A0F58"/>
    <w:rsid w:val="005A15E2"/>
    <w:rsid w:val="005A16FC"/>
    <w:rsid w:val="005A1EBC"/>
    <w:rsid w:val="005A209E"/>
    <w:rsid w:val="005A2924"/>
    <w:rsid w:val="005A3A83"/>
    <w:rsid w:val="005A3F8B"/>
    <w:rsid w:val="005A528C"/>
    <w:rsid w:val="005A59D0"/>
    <w:rsid w:val="005A5B77"/>
    <w:rsid w:val="005A5C22"/>
    <w:rsid w:val="005A5FF0"/>
    <w:rsid w:val="005A63D5"/>
    <w:rsid w:val="005A696B"/>
    <w:rsid w:val="005A6CD4"/>
    <w:rsid w:val="005A6EB5"/>
    <w:rsid w:val="005A7525"/>
    <w:rsid w:val="005A7A0B"/>
    <w:rsid w:val="005A7A6B"/>
    <w:rsid w:val="005A7E7A"/>
    <w:rsid w:val="005B0795"/>
    <w:rsid w:val="005B28C4"/>
    <w:rsid w:val="005B2DF9"/>
    <w:rsid w:val="005B3419"/>
    <w:rsid w:val="005B3497"/>
    <w:rsid w:val="005B3526"/>
    <w:rsid w:val="005B3D57"/>
    <w:rsid w:val="005B41B3"/>
    <w:rsid w:val="005B4DA3"/>
    <w:rsid w:val="005B556E"/>
    <w:rsid w:val="005B5803"/>
    <w:rsid w:val="005B5891"/>
    <w:rsid w:val="005B58DF"/>
    <w:rsid w:val="005B6323"/>
    <w:rsid w:val="005B63D0"/>
    <w:rsid w:val="005B656E"/>
    <w:rsid w:val="005B7050"/>
    <w:rsid w:val="005B73F7"/>
    <w:rsid w:val="005B7858"/>
    <w:rsid w:val="005B7C71"/>
    <w:rsid w:val="005B7D8E"/>
    <w:rsid w:val="005C0624"/>
    <w:rsid w:val="005C06FA"/>
    <w:rsid w:val="005C0D9A"/>
    <w:rsid w:val="005C173E"/>
    <w:rsid w:val="005C1B9C"/>
    <w:rsid w:val="005C2181"/>
    <w:rsid w:val="005C29C5"/>
    <w:rsid w:val="005C35A0"/>
    <w:rsid w:val="005C35AB"/>
    <w:rsid w:val="005C3F9E"/>
    <w:rsid w:val="005C4A7F"/>
    <w:rsid w:val="005C4EBE"/>
    <w:rsid w:val="005C506A"/>
    <w:rsid w:val="005C5099"/>
    <w:rsid w:val="005C50BE"/>
    <w:rsid w:val="005C5161"/>
    <w:rsid w:val="005C54B9"/>
    <w:rsid w:val="005C5576"/>
    <w:rsid w:val="005C559F"/>
    <w:rsid w:val="005C5A01"/>
    <w:rsid w:val="005C5EB6"/>
    <w:rsid w:val="005C624A"/>
    <w:rsid w:val="005C6E1E"/>
    <w:rsid w:val="005C6E75"/>
    <w:rsid w:val="005C724A"/>
    <w:rsid w:val="005C783F"/>
    <w:rsid w:val="005D0528"/>
    <w:rsid w:val="005D09ED"/>
    <w:rsid w:val="005D0B42"/>
    <w:rsid w:val="005D14BE"/>
    <w:rsid w:val="005D1508"/>
    <w:rsid w:val="005D164E"/>
    <w:rsid w:val="005D17B1"/>
    <w:rsid w:val="005D1B61"/>
    <w:rsid w:val="005D1E5A"/>
    <w:rsid w:val="005D2424"/>
    <w:rsid w:val="005D2546"/>
    <w:rsid w:val="005D2C25"/>
    <w:rsid w:val="005D2C99"/>
    <w:rsid w:val="005D311D"/>
    <w:rsid w:val="005D36B1"/>
    <w:rsid w:val="005D3EF4"/>
    <w:rsid w:val="005D422E"/>
    <w:rsid w:val="005D4CA2"/>
    <w:rsid w:val="005D58AC"/>
    <w:rsid w:val="005D65E4"/>
    <w:rsid w:val="005D6B52"/>
    <w:rsid w:val="005D70C0"/>
    <w:rsid w:val="005D7740"/>
    <w:rsid w:val="005D7939"/>
    <w:rsid w:val="005E02D0"/>
    <w:rsid w:val="005E051D"/>
    <w:rsid w:val="005E0D97"/>
    <w:rsid w:val="005E0F9E"/>
    <w:rsid w:val="005E2632"/>
    <w:rsid w:val="005E2A8C"/>
    <w:rsid w:val="005E2CC5"/>
    <w:rsid w:val="005E3065"/>
    <w:rsid w:val="005E322A"/>
    <w:rsid w:val="005E37D6"/>
    <w:rsid w:val="005E4042"/>
    <w:rsid w:val="005E40B4"/>
    <w:rsid w:val="005E4527"/>
    <w:rsid w:val="005E4659"/>
    <w:rsid w:val="005E5AD4"/>
    <w:rsid w:val="005E5E48"/>
    <w:rsid w:val="005E735C"/>
    <w:rsid w:val="005E79EF"/>
    <w:rsid w:val="005F01C0"/>
    <w:rsid w:val="005F03EE"/>
    <w:rsid w:val="005F0686"/>
    <w:rsid w:val="005F093D"/>
    <w:rsid w:val="005F097F"/>
    <w:rsid w:val="005F0E55"/>
    <w:rsid w:val="005F13DB"/>
    <w:rsid w:val="005F26E8"/>
    <w:rsid w:val="005F279D"/>
    <w:rsid w:val="005F3915"/>
    <w:rsid w:val="005F3DAE"/>
    <w:rsid w:val="005F3F20"/>
    <w:rsid w:val="005F3FEB"/>
    <w:rsid w:val="005F464E"/>
    <w:rsid w:val="005F48F3"/>
    <w:rsid w:val="005F4AA6"/>
    <w:rsid w:val="005F4B76"/>
    <w:rsid w:val="005F514B"/>
    <w:rsid w:val="005F5C4A"/>
    <w:rsid w:val="005F6468"/>
    <w:rsid w:val="005F65A4"/>
    <w:rsid w:val="005F6C4D"/>
    <w:rsid w:val="005F77C2"/>
    <w:rsid w:val="00600646"/>
    <w:rsid w:val="00600728"/>
    <w:rsid w:val="0060079E"/>
    <w:rsid w:val="00600A34"/>
    <w:rsid w:val="00600AEB"/>
    <w:rsid w:val="00601307"/>
    <w:rsid w:val="0060175E"/>
    <w:rsid w:val="006019EF"/>
    <w:rsid w:val="00601F0F"/>
    <w:rsid w:val="00602D31"/>
    <w:rsid w:val="00602E9B"/>
    <w:rsid w:val="00603257"/>
    <w:rsid w:val="00604538"/>
    <w:rsid w:val="0060458C"/>
    <w:rsid w:val="0060525A"/>
    <w:rsid w:val="0060619A"/>
    <w:rsid w:val="00606720"/>
    <w:rsid w:val="00606DEB"/>
    <w:rsid w:val="006070D6"/>
    <w:rsid w:val="0060746B"/>
    <w:rsid w:val="006103C2"/>
    <w:rsid w:val="006109AA"/>
    <w:rsid w:val="00610A16"/>
    <w:rsid w:val="00610DAE"/>
    <w:rsid w:val="0061113D"/>
    <w:rsid w:val="006114B9"/>
    <w:rsid w:val="00613587"/>
    <w:rsid w:val="0061381D"/>
    <w:rsid w:val="00613BF7"/>
    <w:rsid w:val="00613FAB"/>
    <w:rsid w:val="0061419F"/>
    <w:rsid w:val="00614619"/>
    <w:rsid w:val="00614865"/>
    <w:rsid w:val="00614B17"/>
    <w:rsid w:val="00614CED"/>
    <w:rsid w:val="00615445"/>
    <w:rsid w:val="00615556"/>
    <w:rsid w:val="006155F1"/>
    <w:rsid w:val="00615A87"/>
    <w:rsid w:val="00615D37"/>
    <w:rsid w:val="006166A1"/>
    <w:rsid w:val="00616B4D"/>
    <w:rsid w:val="006179C4"/>
    <w:rsid w:val="00617EC9"/>
    <w:rsid w:val="006204E2"/>
    <w:rsid w:val="006206C9"/>
    <w:rsid w:val="0062077F"/>
    <w:rsid w:val="00620839"/>
    <w:rsid w:val="00620A79"/>
    <w:rsid w:val="00620B5C"/>
    <w:rsid w:val="00620CC5"/>
    <w:rsid w:val="00620D0D"/>
    <w:rsid w:val="00621031"/>
    <w:rsid w:val="00621BA8"/>
    <w:rsid w:val="00621CB4"/>
    <w:rsid w:val="00621E3F"/>
    <w:rsid w:val="006230E3"/>
    <w:rsid w:val="0062380E"/>
    <w:rsid w:val="006238DA"/>
    <w:rsid w:val="00623AA7"/>
    <w:rsid w:val="006243DC"/>
    <w:rsid w:val="00624FB7"/>
    <w:rsid w:val="0062522F"/>
    <w:rsid w:val="00626976"/>
    <w:rsid w:val="00626D9F"/>
    <w:rsid w:val="0062762A"/>
    <w:rsid w:val="0062793A"/>
    <w:rsid w:val="00627ADA"/>
    <w:rsid w:val="00627DFA"/>
    <w:rsid w:val="00627E79"/>
    <w:rsid w:val="00630DB3"/>
    <w:rsid w:val="00631A2B"/>
    <w:rsid w:val="00632A05"/>
    <w:rsid w:val="00632A9E"/>
    <w:rsid w:val="00632E76"/>
    <w:rsid w:val="00633169"/>
    <w:rsid w:val="0063330E"/>
    <w:rsid w:val="0063338D"/>
    <w:rsid w:val="00634110"/>
    <w:rsid w:val="0063412F"/>
    <w:rsid w:val="006344C3"/>
    <w:rsid w:val="0063455B"/>
    <w:rsid w:val="0063485D"/>
    <w:rsid w:val="00634F4B"/>
    <w:rsid w:val="006350AA"/>
    <w:rsid w:val="006350AC"/>
    <w:rsid w:val="006358FA"/>
    <w:rsid w:val="006359B2"/>
    <w:rsid w:val="00635DE8"/>
    <w:rsid w:val="00636166"/>
    <w:rsid w:val="00636AB7"/>
    <w:rsid w:val="006378E5"/>
    <w:rsid w:val="00637E0B"/>
    <w:rsid w:val="00640206"/>
    <w:rsid w:val="0064037A"/>
    <w:rsid w:val="00640470"/>
    <w:rsid w:val="006427FF"/>
    <w:rsid w:val="0064311C"/>
    <w:rsid w:val="00643149"/>
    <w:rsid w:val="006431AC"/>
    <w:rsid w:val="00643778"/>
    <w:rsid w:val="00643CD4"/>
    <w:rsid w:val="006440B1"/>
    <w:rsid w:val="0064418F"/>
    <w:rsid w:val="00644B7D"/>
    <w:rsid w:val="0064516E"/>
    <w:rsid w:val="00645243"/>
    <w:rsid w:val="006452D8"/>
    <w:rsid w:val="0064555C"/>
    <w:rsid w:val="00646472"/>
    <w:rsid w:val="0064687E"/>
    <w:rsid w:val="00646BCB"/>
    <w:rsid w:val="00646C65"/>
    <w:rsid w:val="006471C9"/>
    <w:rsid w:val="006475E9"/>
    <w:rsid w:val="00647B32"/>
    <w:rsid w:val="00647B60"/>
    <w:rsid w:val="00650B4A"/>
    <w:rsid w:val="0065176A"/>
    <w:rsid w:val="006521F0"/>
    <w:rsid w:val="00652479"/>
    <w:rsid w:val="00652AF4"/>
    <w:rsid w:val="006533BE"/>
    <w:rsid w:val="0065352B"/>
    <w:rsid w:val="00653872"/>
    <w:rsid w:val="00653FAC"/>
    <w:rsid w:val="0065459A"/>
    <w:rsid w:val="0065527C"/>
    <w:rsid w:val="00655948"/>
    <w:rsid w:val="00655DC5"/>
    <w:rsid w:val="00656094"/>
    <w:rsid w:val="006571C2"/>
    <w:rsid w:val="00657D18"/>
    <w:rsid w:val="00657DAE"/>
    <w:rsid w:val="00657E14"/>
    <w:rsid w:val="00657F47"/>
    <w:rsid w:val="00660B21"/>
    <w:rsid w:val="00660EEA"/>
    <w:rsid w:val="006616DF"/>
    <w:rsid w:val="00661ADA"/>
    <w:rsid w:val="00661FE1"/>
    <w:rsid w:val="006622A5"/>
    <w:rsid w:val="0066271B"/>
    <w:rsid w:val="00663041"/>
    <w:rsid w:val="006633B4"/>
    <w:rsid w:val="006637B8"/>
    <w:rsid w:val="006637BA"/>
    <w:rsid w:val="006637C2"/>
    <w:rsid w:val="006639F8"/>
    <w:rsid w:val="00663FA5"/>
    <w:rsid w:val="00664516"/>
    <w:rsid w:val="00664744"/>
    <w:rsid w:val="00665103"/>
    <w:rsid w:val="0066632F"/>
    <w:rsid w:val="006665E1"/>
    <w:rsid w:val="00666765"/>
    <w:rsid w:val="006667C0"/>
    <w:rsid w:val="00667224"/>
    <w:rsid w:val="0066725E"/>
    <w:rsid w:val="00667613"/>
    <w:rsid w:val="006679A6"/>
    <w:rsid w:val="00670662"/>
    <w:rsid w:val="00670812"/>
    <w:rsid w:val="00670D18"/>
    <w:rsid w:val="00671681"/>
    <w:rsid w:val="00671693"/>
    <w:rsid w:val="00671925"/>
    <w:rsid w:val="00671949"/>
    <w:rsid w:val="00671DB7"/>
    <w:rsid w:val="006722CE"/>
    <w:rsid w:val="00672326"/>
    <w:rsid w:val="00672606"/>
    <w:rsid w:val="00672C77"/>
    <w:rsid w:val="00672F2F"/>
    <w:rsid w:val="006732C8"/>
    <w:rsid w:val="006735B4"/>
    <w:rsid w:val="00673CBF"/>
    <w:rsid w:val="00673E75"/>
    <w:rsid w:val="00674003"/>
    <w:rsid w:val="0067501D"/>
    <w:rsid w:val="006756A5"/>
    <w:rsid w:val="00675BCC"/>
    <w:rsid w:val="00675E5A"/>
    <w:rsid w:val="00675F16"/>
    <w:rsid w:val="006767A0"/>
    <w:rsid w:val="006767AE"/>
    <w:rsid w:val="006769EE"/>
    <w:rsid w:val="00676B39"/>
    <w:rsid w:val="006778BE"/>
    <w:rsid w:val="00677C2F"/>
    <w:rsid w:val="00680C30"/>
    <w:rsid w:val="00680C86"/>
    <w:rsid w:val="0068125A"/>
    <w:rsid w:val="00681773"/>
    <w:rsid w:val="00681A26"/>
    <w:rsid w:val="00681B4C"/>
    <w:rsid w:val="00681D39"/>
    <w:rsid w:val="00681E45"/>
    <w:rsid w:val="00681E80"/>
    <w:rsid w:val="00682053"/>
    <w:rsid w:val="00682085"/>
    <w:rsid w:val="006825E7"/>
    <w:rsid w:val="00682849"/>
    <w:rsid w:val="00682BCC"/>
    <w:rsid w:val="006832A7"/>
    <w:rsid w:val="0068341F"/>
    <w:rsid w:val="00683BE0"/>
    <w:rsid w:val="00683FD6"/>
    <w:rsid w:val="00685627"/>
    <w:rsid w:val="00685EA8"/>
    <w:rsid w:val="0068712A"/>
    <w:rsid w:val="0068712E"/>
    <w:rsid w:val="006879AA"/>
    <w:rsid w:val="00687A30"/>
    <w:rsid w:val="00687A9B"/>
    <w:rsid w:val="00690E64"/>
    <w:rsid w:val="006915EE"/>
    <w:rsid w:val="00691AFE"/>
    <w:rsid w:val="00692D2D"/>
    <w:rsid w:val="0069396C"/>
    <w:rsid w:val="00693BFC"/>
    <w:rsid w:val="00693C8C"/>
    <w:rsid w:val="00694073"/>
    <w:rsid w:val="00694574"/>
    <w:rsid w:val="0069533F"/>
    <w:rsid w:val="00695720"/>
    <w:rsid w:val="006957C0"/>
    <w:rsid w:val="00695F48"/>
    <w:rsid w:val="00696158"/>
    <w:rsid w:val="00696AF0"/>
    <w:rsid w:val="006972F0"/>
    <w:rsid w:val="00697391"/>
    <w:rsid w:val="00697BF5"/>
    <w:rsid w:val="006A0096"/>
    <w:rsid w:val="006A066A"/>
    <w:rsid w:val="006A0680"/>
    <w:rsid w:val="006A07AF"/>
    <w:rsid w:val="006A0BDD"/>
    <w:rsid w:val="006A11E8"/>
    <w:rsid w:val="006A12EE"/>
    <w:rsid w:val="006A1A48"/>
    <w:rsid w:val="006A1D0E"/>
    <w:rsid w:val="006A2386"/>
    <w:rsid w:val="006A240F"/>
    <w:rsid w:val="006A25D8"/>
    <w:rsid w:val="006A296B"/>
    <w:rsid w:val="006A2A91"/>
    <w:rsid w:val="006A2C19"/>
    <w:rsid w:val="006A2F3A"/>
    <w:rsid w:val="006A3483"/>
    <w:rsid w:val="006A37D4"/>
    <w:rsid w:val="006A387E"/>
    <w:rsid w:val="006A3F6B"/>
    <w:rsid w:val="006A4078"/>
    <w:rsid w:val="006A5267"/>
    <w:rsid w:val="006A5790"/>
    <w:rsid w:val="006A5D34"/>
    <w:rsid w:val="006A5DB5"/>
    <w:rsid w:val="006A5E3E"/>
    <w:rsid w:val="006A635C"/>
    <w:rsid w:val="006A63D8"/>
    <w:rsid w:val="006A6553"/>
    <w:rsid w:val="006A6D57"/>
    <w:rsid w:val="006A6EEA"/>
    <w:rsid w:val="006A6F7F"/>
    <w:rsid w:val="006A7542"/>
    <w:rsid w:val="006A7AFC"/>
    <w:rsid w:val="006B010C"/>
    <w:rsid w:val="006B05A7"/>
    <w:rsid w:val="006B0ABA"/>
    <w:rsid w:val="006B0FA8"/>
    <w:rsid w:val="006B1281"/>
    <w:rsid w:val="006B1401"/>
    <w:rsid w:val="006B144A"/>
    <w:rsid w:val="006B167B"/>
    <w:rsid w:val="006B1A86"/>
    <w:rsid w:val="006B28BF"/>
    <w:rsid w:val="006B28FB"/>
    <w:rsid w:val="006B2B74"/>
    <w:rsid w:val="006B3118"/>
    <w:rsid w:val="006B3A3F"/>
    <w:rsid w:val="006B4D30"/>
    <w:rsid w:val="006B52F0"/>
    <w:rsid w:val="006B58E0"/>
    <w:rsid w:val="006B599B"/>
    <w:rsid w:val="006B5C04"/>
    <w:rsid w:val="006B63E2"/>
    <w:rsid w:val="006B753A"/>
    <w:rsid w:val="006C03C2"/>
    <w:rsid w:val="006C0999"/>
    <w:rsid w:val="006C1529"/>
    <w:rsid w:val="006C160C"/>
    <w:rsid w:val="006C1623"/>
    <w:rsid w:val="006C2DA2"/>
    <w:rsid w:val="006C2E87"/>
    <w:rsid w:val="006C3768"/>
    <w:rsid w:val="006C479D"/>
    <w:rsid w:val="006C57FE"/>
    <w:rsid w:val="006C58E9"/>
    <w:rsid w:val="006C599D"/>
    <w:rsid w:val="006C5FEF"/>
    <w:rsid w:val="006C6231"/>
    <w:rsid w:val="006C72C7"/>
    <w:rsid w:val="006C7760"/>
    <w:rsid w:val="006C7C18"/>
    <w:rsid w:val="006C7F21"/>
    <w:rsid w:val="006D0522"/>
    <w:rsid w:val="006D05C4"/>
    <w:rsid w:val="006D0AD8"/>
    <w:rsid w:val="006D0B83"/>
    <w:rsid w:val="006D1361"/>
    <w:rsid w:val="006D19B4"/>
    <w:rsid w:val="006D21E4"/>
    <w:rsid w:val="006D29A2"/>
    <w:rsid w:val="006D2B5B"/>
    <w:rsid w:val="006D2BCF"/>
    <w:rsid w:val="006D389E"/>
    <w:rsid w:val="006D3A10"/>
    <w:rsid w:val="006D3F3C"/>
    <w:rsid w:val="006D4037"/>
    <w:rsid w:val="006D48F8"/>
    <w:rsid w:val="006D4B9A"/>
    <w:rsid w:val="006D4E4D"/>
    <w:rsid w:val="006D52BA"/>
    <w:rsid w:val="006D5842"/>
    <w:rsid w:val="006D5D0F"/>
    <w:rsid w:val="006D67FA"/>
    <w:rsid w:val="006D6F04"/>
    <w:rsid w:val="006D7230"/>
    <w:rsid w:val="006D7583"/>
    <w:rsid w:val="006D76DC"/>
    <w:rsid w:val="006E01A4"/>
    <w:rsid w:val="006E038E"/>
    <w:rsid w:val="006E0B4E"/>
    <w:rsid w:val="006E12CF"/>
    <w:rsid w:val="006E18E1"/>
    <w:rsid w:val="006E205A"/>
    <w:rsid w:val="006E210A"/>
    <w:rsid w:val="006E2163"/>
    <w:rsid w:val="006E264D"/>
    <w:rsid w:val="006E28FE"/>
    <w:rsid w:val="006E2925"/>
    <w:rsid w:val="006E2AAA"/>
    <w:rsid w:val="006E2BDC"/>
    <w:rsid w:val="006E2C05"/>
    <w:rsid w:val="006E2F94"/>
    <w:rsid w:val="006E377B"/>
    <w:rsid w:val="006E3D20"/>
    <w:rsid w:val="006E3D34"/>
    <w:rsid w:val="006E4405"/>
    <w:rsid w:val="006E5492"/>
    <w:rsid w:val="006E5509"/>
    <w:rsid w:val="006E613A"/>
    <w:rsid w:val="006E6208"/>
    <w:rsid w:val="006E6C03"/>
    <w:rsid w:val="006E7CE6"/>
    <w:rsid w:val="006F06C4"/>
    <w:rsid w:val="006F08BF"/>
    <w:rsid w:val="006F0ABF"/>
    <w:rsid w:val="006F1495"/>
    <w:rsid w:val="006F16AF"/>
    <w:rsid w:val="006F28BB"/>
    <w:rsid w:val="006F3019"/>
    <w:rsid w:val="006F329C"/>
    <w:rsid w:val="006F3A8B"/>
    <w:rsid w:val="006F3E3D"/>
    <w:rsid w:val="006F406E"/>
    <w:rsid w:val="006F4095"/>
    <w:rsid w:val="006F4500"/>
    <w:rsid w:val="006F4644"/>
    <w:rsid w:val="006F4DC8"/>
    <w:rsid w:val="006F504A"/>
    <w:rsid w:val="006F5687"/>
    <w:rsid w:val="006F5F49"/>
    <w:rsid w:val="006F629C"/>
    <w:rsid w:val="006F6704"/>
    <w:rsid w:val="006F6AE3"/>
    <w:rsid w:val="006F7165"/>
    <w:rsid w:val="006F7634"/>
    <w:rsid w:val="006F7653"/>
    <w:rsid w:val="006F7CDD"/>
    <w:rsid w:val="007000F7"/>
    <w:rsid w:val="007003E4"/>
    <w:rsid w:val="00700614"/>
    <w:rsid w:val="00701411"/>
    <w:rsid w:val="007023E1"/>
    <w:rsid w:val="0070408C"/>
    <w:rsid w:val="007042D1"/>
    <w:rsid w:val="00704A5E"/>
    <w:rsid w:val="00704B94"/>
    <w:rsid w:val="007051E9"/>
    <w:rsid w:val="00705506"/>
    <w:rsid w:val="007076C6"/>
    <w:rsid w:val="007101A4"/>
    <w:rsid w:val="007104A2"/>
    <w:rsid w:val="0071069C"/>
    <w:rsid w:val="00711282"/>
    <w:rsid w:val="00711840"/>
    <w:rsid w:val="00711A5C"/>
    <w:rsid w:val="00711B3B"/>
    <w:rsid w:val="00711F60"/>
    <w:rsid w:val="00712B79"/>
    <w:rsid w:val="007134FA"/>
    <w:rsid w:val="0071360F"/>
    <w:rsid w:val="00714067"/>
    <w:rsid w:val="0071407D"/>
    <w:rsid w:val="00714AA9"/>
    <w:rsid w:val="00714E72"/>
    <w:rsid w:val="007159FC"/>
    <w:rsid w:val="00715A2F"/>
    <w:rsid w:val="00715B3E"/>
    <w:rsid w:val="00715E66"/>
    <w:rsid w:val="00717387"/>
    <w:rsid w:val="00717AB0"/>
    <w:rsid w:val="00717AB2"/>
    <w:rsid w:val="00717B43"/>
    <w:rsid w:val="00717D05"/>
    <w:rsid w:val="00717DE8"/>
    <w:rsid w:val="00717EA1"/>
    <w:rsid w:val="00717EAC"/>
    <w:rsid w:val="007204A7"/>
    <w:rsid w:val="00720A58"/>
    <w:rsid w:val="00720A86"/>
    <w:rsid w:val="00720C36"/>
    <w:rsid w:val="00720E2C"/>
    <w:rsid w:val="00721910"/>
    <w:rsid w:val="00722FC7"/>
    <w:rsid w:val="0072364C"/>
    <w:rsid w:val="007236E8"/>
    <w:rsid w:val="00724307"/>
    <w:rsid w:val="0072438B"/>
    <w:rsid w:val="00724408"/>
    <w:rsid w:val="007249E2"/>
    <w:rsid w:val="00724AD2"/>
    <w:rsid w:val="00724BBF"/>
    <w:rsid w:val="0072688D"/>
    <w:rsid w:val="00726895"/>
    <w:rsid w:val="0072775A"/>
    <w:rsid w:val="00727810"/>
    <w:rsid w:val="00727A31"/>
    <w:rsid w:val="0073080F"/>
    <w:rsid w:val="00730B04"/>
    <w:rsid w:val="00730C5A"/>
    <w:rsid w:val="00730CB7"/>
    <w:rsid w:val="00730CE1"/>
    <w:rsid w:val="007315A1"/>
    <w:rsid w:val="00731F45"/>
    <w:rsid w:val="00732003"/>
    <w:rsid w:val="0073204E"/>
    <w:rsid w:val="00734224"/>
    <w:rsid w:val="00734596"/>
    <w:rsid w:val="0073509B"/>
    <w:rsid w:val="0073597E"/>
    <w:rsid w:val="00735DDA"/>
    <w:rsid w:val="00736D0A"/>
    <w:rsid w:val="00737172"/>
    <w:rsid w:val="007373BD"/>
    <w:rsid w:val="0073783B"/>
    <w:rsid w:val="00737A9E"/>
    <w:rsid w:val="00740685"/>
    <w:rsid w:val="00740706"/>
    <w:rsid w:val="00740BCB"/>
    <w:rsid w:val="00740D0C"/>
    <w:rsid w:val="00740FEF"/>
    <w:rsid w:val="00741123"/>
    <w:rsid w:val="00741A86"/>
    <w:rsid w:val="00742042"/>
    <w:rsid w:val="00742100"/>
    <w:rsid w:val="007425B1"/>
    <w:rsid w:val="0074278E"/>
    <w:rsid w:val="00742B40"/>
    <w:rsid w:val="00742C07"/>
    <w:rsid w:val="00743527"/>
    <w:rsid w:val="007440BE"/>
    <w:rsid w:val="007449E1"/>
    <w:rsid w:val="00745222"/>
    <w:rsid w:val="007452F8"/>
    <w:rsid w:val="00746597"/>
    <w:rsid w:val="007468DB"/>
    <w:rsid w:val="00746E07"/>
    <w:rsid w:val="00746F98"/>
    <w:rsid w:val="00746F9F"/>
    <w:rsid w:val="007476C5"/>
    <w:rsid w:val="00747958"/>
    <w:rsid w:val="0075062E"/>
    <w:rsid w:val="0075101B"/>
    <w:rsid w:val="0075145A"/>
    <w:rsid w:val="00751A80"/>
    <w:rsid w:val="00751A8B"/>
    <w:rsid w:val="0075265B"/>
    <w:rsid w:val="00752669"/>
    <w:rsid w:val="00753144"/>
    <w:rsid w:val="00753A7F"/>
    <w:rsid w:val="00753AE0"/>
    <w:rsid w:val="007545A4"/>
    <w:rsid w:val="007546B8"/>
    <w:rsid w:val="00755057"/>
    <w:rsid w:val="00756D8F"/>
    <w:rsid w:val="00756E46"/>
    <w:rsid w:val="007570A8"/>
    <w:rsid w:val="007574F9"/>
    <w:rsid w:val="00757FBA"/>
    <w:rsid w:val="00760526"/>
    <w:rsid w:val="0076089F"/>
    <w:rsid w:val="007620DE"/>
    <w:rsid w:val="0076257B"/>
    <w:rsid w:val="0076264F"/>
    <w:rsid w:val="00762EFA"/>
    <w:rsid w:val="0076388B"/>
    <w:rsid w:val="00763AAA"/>
    <w:rsid w:val="00763B5F"/>
    <w:rsid w:val="00763F6C"/>
    <w:rsid w:val="00763FD0"/>
    <w:rsid w:val="00764DB5"/>
    <w:rsid w:val="007656C9"/>
    <w:rsid w:val="007656F6"/>
    <w:rsid w:val="0076574E"/>
    <w:rsid w:val="007657DA"/>
    <w:rsid w:val="00765E34"/>
    <w:rsid w:val="007660E4"/>
    <w:rsid w:val="007662FE"/>
    <w:rsid w:val="00766551"/>
    <w:rsid w:val="0076670F"/>
    <w:rsid w:val="00767C12"/>
    <w:rsid w:val="007701BF"/>
    <w:rsid w:val="0077040C"/>
    <w:rsid w:val="007705D1"/>
    <w:rsid w:val="00771734"/>
    <w:rsid w:val="0077275D"/>
    <w:rsid w:val="007728D3"/>
    <w:rsid w:val="00772DCD"/>
    <w:rsid w:val="00772E1D"/>
    <w:rsid w:val="007730AA"/>
    <w:rsid w:val="0077327B"/>
    <w:rsid w:val="0077345C"/>
    <w:rsid w:val="00773D5E"/>
    <w:rsid w:val="00773F1D"/>
    <w:rsid w:val="00774781"/>
    <w:rsid w:val="007749D1"/>
    <w:rsid w:val="00775330"/>
    <w:rsid w:val="007753E1"/>
    <w:rsid w:val="007762E3"/>
    <w:rsid w:val="007762E5"/>
    <w:rsid w:val="00776560"/>
    <w:rsid w:val="0077672E"/>
    <w:rsid w:val="0077683C"/>
    <w:rsid w:val="00776CD8"/>
    <w:rsid w:val="00776CF0"/>
    <w:rsid w:val="00776D17"/>
    <w:rsid w:val="00777AB7"/>
    <w:rsid w:val="00780369"/>
    <w:rsid w:val="007805F6"/>
    <w:rsid w:val="0078078C"/>
    <w:rsid w:val="0078139C"/>
    <w:rsid w:val="007814FE"/>
    <w:rsid w:val="007836B0"/>
    <w:rsid w:val="00783E29"/>
    <w:rsid w:val="00783F5A"/>
    <w:rsid w:val="00784802"/>
    <w:rsid w:val="0078530B"/>
    <w:rsid w:val="00785394"/>
    <w:rsid w:val="00785686"/>
    <w:rsid w:val="00785828"/>
    <w:rsid w:val="00785ABE"/>
    <w:rsid w:val="00785C42"/>
    <w:rsid w:val="00785E93"/>
    <w:rsid w:val="0078695B"/>
    <w:rsid w:val="0078718A"/>
    <w:rsid w:val="00787739"/>
    <w:rsid w:val="00787BD8"/>
    <w:rsid w:val="0079061F"/>
    <w:rsid w:val="00790F21"/>
    <w:rsid w:val="00790F49"/>
    <w:rsid w:val="00790FBA"/>
    <w:rsid w:val="00791D3F"/>
    <w:rsid w:val="00791E4C"/>
    <w:rsid w:val="00792095"/>
    <w:rsid w:val="007921A2"/>
    <w:rsid w:val="00792EB5"/>
    <w:rsid w:val="00793099"/>
    <w:rsid w:val="007938F6"/>
    <w:rsid w:val="00793F7A"/>
    <w:rsid w:val="0079404B"/>
    <w:rsid w:val="007943E3"/>
    <w:rsid w:val="00794C65"/>
    <w:rsid w:val="00795525"/>
    <w:rsid w:val="00795714"/>
    <w:rsid w:val="00795AC1"/>
    <w:rsid w:val="007973F8"/>
    <w:rsid w:val="007A0019"/>
    <w:rsid w:val="007A07A1"/>
    <w:rsid w:val="007A0DCD"/>
    <w:rsid w:val="007A1459"/>
    <w:rsid w:val="007A1E81"/>
    <w:rsid w:val="007A2206"/>
    <w:rsid w:val="007A3991"/>
    <w:rsid w:val="007A3B72"/>
    <w:rsid w:val="007A4136"/>
    <w:rsid w:val="007A41DF"/>
    <w:rsid w:val="007A4281"/>
    <w:rsid w:val="007A46BD"/>
    <w:rsid w:val="007A4EC3"/>
    <w:rsid w:val="007A5371"/>
    <w:rsid w:val="007A5392"/>
    <w:rsid w:val="007A5C0C"/>
    <w:rsid w:val="007A5F0F"/>
    <w:rsid w:val="007A6021"/>
    <w:rsid w:val="007A64FD"/>
    <w:rsid w:val="007A6688"/>
    <w:rsid w:val="007A68B6"/>
    <w:rsid w:val="007A6D55"/>
    <w:rsid w:val="007A7599"/>
    <w:rsid w:val="007A7E47"/>
    <w:rsid w:val="007B0182"/>
    <w:rsid w:val="007B0235"/>
    <w:rsid w:val="007B0B14"/>
    <w:rsid w:val="007B1577"/>
    <w:rsid w:val="007B19C8"/>
    <w:rsid w:val="007B222F"/>
    <w:rsid w:val="007B23F2"/>
    <w:rsid w:val="007B2A46"/>
    <w:rsid w:val="007B2ADC"/>
    <w:rsid w:val="007B2B5B"/>
    <w:rsid w:val="007B2CB4"/>
    <w:rsid w:val="007B41DF"/>
    <w:rsid w:val="007B45E0"/>
    <w:rsid w:val="007B45F3"/>
    <w:rsid w:val="007B4B38"/>
    <w:rsid w:val="007B4CC7"/>
    <w:rsid w:val="007B5022"/>
    <w:rsid w:val="007B51B1"/>
    <w:rsid w:val="007B539C"/>
    <w:rsid w:val="007B580D"/>
    <w:rsid w:val="007B581C"/>
    <w:rsid w:val="007B5A07"/>
    <w:rsid w:val="007B5BF4"/>
    <w:rsid w:val="007B61DC"/>
    <w:rsid w:val="007B636A"/>
    <w:rsid w:val="007B70A7"/>
    <w:rsid w:val="007B7C28"/>
    <w:rsid w:val="007B7C71"/>
    <w:rsid w:val="007C01B0"/>
    <w:rsid w:val="007C02ED"/>
    <w:rsid w:val="007C063B"/>
    <w:rsid w:val="007C08AC"/>
    <w:rsid w:val="007C097D"/>
    <w:rsid w:val="007C0C35"/>
    <w:rsid w:val="007C1037"/>
    <w:rsid w:val="007C14F4"/>
    <w:rsid w:val="007C1530"/>
    <w:rsid w:val="007C1B96"/>
    <w:rsid w:val="007C29D3"/>
    <w:rsid w:val="007C2D2A"/>
    <w:rsid w:val="007C3743"/>
    <w:rsid w:val="007C3751"/>
    <w:rsid w:val="007C48F6"/>
    <w:rsid w:val="007C4D41"/>
    <w:rsid w:val="007C4E2F"/>
    <w:rsid w:val="007C52D9"/>
    <w:rsid w:val="007C58A5"/>
    <w:rsid w:val="007C5BDD"/>
    <w:rsid w:val="007C5F65"/>
    <w:rsid w:val="007C60A9"/>
    <w:rsid w:val="007C6268"/>
    <w:rsid w:val="007C650D"/>
    <w:rsid w:val="007C6A2A"/>
    <w:rsid w:val="007C6CB5"/>
    <w:rsid w:val="007C6E53"/>
    <w:rsid w:val="007C70C7"/>
    <w:rsid w:val="007C7EB2"/>
    <w:rsid w:val="007C7FD0"/>
    <w:rsid w:val="007D11AF"/>
    <w:rsid w:val="007D163B"/>
    <w:rsid w:val="007D16E6"/>
    <w:rsid w:val="007D1801"/>
    <w:rsid w:val="007D1B9F"/>
    <w:rsid w:val="007D1ED6"/>
    <w:rsid w:val="007D2196"/>
    <w:rsid w:val="007D2ACE"/>
    <w:rsid w:val="007D2D79"/>
    <w:rsid w:val="007D3C0A"/>
    <w:rsid w:val="007D49B4"/>
    <w:rsid w:val="007D54AB"/>
    <w:rsid w:val="007D596C"/>
    <w:rsid w:val="007D5EAE"/>
    <w:rsid w:val="007D6BB5"/>
    <w:rsid w:val="007D7298"/>
    <w:rsid w:val="007D7966"/>
    <w:rsid w:val="007E0441"/>
    <w:rsid w:val="007E047B"/>
    <w:rsid w:val="007E0866"/>
    <w:rsid w:val="007E0A41"/>
    <w:rsid w:val="007E1361"/>
    <w:rsid w:val="007E1821"/>
    <w:rsid w:val="007E18DB"/>
    <w:rsid w:val="007E1AA5"/>
    <w:rsid w:val="007E258D"/>
    <w:rsid w:val="007E26CB"/>
    <w:rsid w:val="007E2B43"/>
    <w:rsid w:val="007E3549"/>
    <w:rsid w:val="007E3E4E"/>
    <w:rsid w:val="007E430F"/>
    <w:rsid w:val="007E4719"/>
    <w:rsid w:val="007E474B"/>
    <w:rsid w:val="007E4800"/>
    <w:rsid w:val="007E4A53"/>
    <w:rsid w:val="007E4C6D"/>
    <w:rsid w:val="007E4E83"/>
    <w:rsid w:val="007E51A4"/>
    <w:rsid w:val="007E6284"/>
    <w:rsid w:val="007E680E"/>
    <w:rsid w:val="007E6D3A"/>
    <w:rsid w:val="007E6DD0"/>
    <w:rsid w:val="007E742D"/>
    <w:rsid w:val="007E790B"/>
    <w:rsid w:val="007E7951"/>
    <w:rsid w:val="007F0683"/>
    <w:rsid w:val="007F13D5"/>
    <w:rsid w:val="007F1942"/>
    <w:rsid w:val="007F1A4A"/>
    <w:rsid w:val="007F1AEE"/>
    <w:rsid w:val="007F21D5"/>
    <w:rsid w:val="007F2ED2"/>
    <w:rsid w:val="007F31AF"/>
    <w:rsid w:val="007F48F3"/>
    <w:rsid w:val="007F4DBC"/>
    <w:rsid w:val="007F5120"/>
    <w:rsid w:val="007F51C7"/>
    <w:rsid w:val="007F564E"/>
    <w:rsid w:val="007F6A4C"/>
    <w:rsid w:val="007F6B6E"/>
    <w:rsid w:val="007F7CEB"/>
    <w:rsid w:val="0080082C"/>
    <w:rsid w:val="00800940"/>
    <w:rsid w:val="00800C86"/>
    <w:rsid w:val="0080106A"/>
    <w:rsid w:val="00801F9D"/>
    <w:rsid w:val="00802285"/>
    <w:rsid w:val="008024DE"/>
    <w:rsid w:val="00802B1C"/>
    <w:rsid w:val="00802FB1"/>
    <w:rsid w:val="008035AD"/>
    <w:rsid w:val="00804794"/>
    <w:rsid w:val="0080498D"/>
    <w:rsid w:val="00804B35"/>
    <w:rsid w:val="00804BEB"/>
    <w:rsid w:val="0080500E"/>
    <w:rsid w:val="00805E5C"/>
    <w:rsid w:val="00805FF2"/>
    <w:rsid w:val="0080619A"/>
    <w:rsid w:val="008071C6"/>
    <w:rsid w:val="00807C06"/>
    <w:rsid w:val="00807C5C"/>
    <w:rsid w:val="0081028B"/>
    <w:rsid w:val="008109F9"/>
    <w:rsid w:val="0081142F"/>
    <w:rsid w:val="008114DD"/>
    <w:rsid w:val="00811B8D"/>
    <w:rsid w:val="00812173"/>
    <w:rsid w:val="008121B5"/>
    <w:rsid w:val="0081237B"/>
    <w:rsid w:val="008127F0"/>
    <w:rsid w:val="0081296F"/>
    <w:rsid w:val="00813328"/>
    <w:rsid w:val="00813C80"/>
    <w:rsid w:val="00813F88"/>
    <w:rsid w:val="00813FE7"/>
    <w:rsid w:val="008146A8"/>
    <w:rsid w:val="00814C55"/>
    <w:rsid w:val="00814DC3"/>
    <w:rsid w:val="008153EA"/>
    <w:rsid w:val="008156B6"/>
    <w:rsid w:val="00815858"/>
    <w:rsid w:val="00816DAF"/>
    <w:rsid w:val="00817472"/>
    <w:rsid w:val="00817CE6"/>
    <w:rsid w:val="008203EE"/>
    <w:rsid w:val="00820FBE"/>
    <w:rsid w:val="00821455"/>
    <w:rsid w:val="00821BC6"/>
    <w:rsid w:val="00822075"/>
    <w:rsid w:val="0082274E"/>
    <w:rsid w:val="00823002"/>
    <w:rsid w:val="008239DE"/>
    <w:rsid w:val="00823AD6"/>
    <w:rsid w:val="00823D17"/>
    <w:rsid w:val="00823DD2"/>
    <w:rsid w:val="00824525"/>
    <w:rsid w:val="008248A6"/>
    <w:rsid w:val="00824A8D"/>
    <w:rsid w:val="00824F16"/>
    <w:rsid w:val="008256F5"/>
    <w:rsid w:val="008258C8"/>
    <w:rsid w:val="00826134"/>
    <w:rsid w:val="00826CF4"/>
    <w:rsid w:val="00827355"/>
    <w:rsid w:val="0082786F"/>
    <w:rsid w:val="00827BF2"/>
    <w:rsid w:val="008300B3"/>
    <w:rsid w:val="00830614"/>
    <w:rsid w:val="00830814"/>
    <w:rsid w:val="00830AF7"/>
    <w:rsid w:val="0083141D"/>
    <w:rsid w:val="008322BF"/>
    <w:rsid w:val="00832409"/>
    <w:rsid w:val="00832856"/>
    <w:rsid w:val="00832F28"/>
    <w:rsid w:val="0083330F"/>
    <w:rsid w:val="008335F7"/>
    <w:rsid w:val="00833919"/>
    <w:rsid w:val="00833A5A"/>
    <w:rsid w:val="00833B06"/>
    <w:rsid w:val="008341AC"/>
    <w:rsid w:val="00834823"/>
    <w:rsid w:val="00834C4A"/>
    <w:rsid w:val="00835200"/>
    <w:rsid w:val="00835569"/>
    <w:rsid w:val="00835653"/>
    <w:rsid w:val="00835F50"/>
    <w:rsid w:val="00836530"/>
    <w:rsid w:val="008368EB"/>
    <w:rsid w:val="00836A58"/>
    <w:rsid w:val="00836B0B"/>
    <w:rsid w:val="00836C0B"/>
    <w:rsid w:val="00837650"/>
    <w:rsid w:val="008378CA"/>
    <w:rsid w:val="0084046F"/>
    <w:rsid w:val="00840543"/>
    <w:rsid w:val="008408B0"/>
    <w:rsid w:val="00840BB3"/>
    <w:rsid w:val="008411F9"/>
    <w:rsid w:val="008414EE"/>
    <w:rsid w:val="008417C0"/>
    <w:rsid w:val="00841A02"/>
    <w:rsid w:val="00841CB0"/>
    <w:rsid w:val="008423A3"/>
    <w:rsid w:val="00842511"/>
    <w:rsid w:val="00842607"/>
    <w:rsid w:val="00842772"/>
    <w:rsid w:val="00842A26"/>
    <w:rsid w:val="00842D01"/>
    <w:rsid w:val="00842DD9"/>
    <w:rsid w:val="00843EB9"/>
    <w:rsid w:val="00844D80"/>
    <w:rsid w:val="00845960"/>
    <w:rsid w:val="00845A09"/>
    <w:rsid w:val="00845FD8"/>
    <w:rsid w:val="0084681D"/>
    <w:rsid w:val="00846A30"/>
    <w:rsid w:val="00847165"/>
    <w:rsid w:val="0084731A"/>
    <w:rsid w:val="0084738C"/>
    <w:rsid w:val="00847AC9"/>
    <w:rsid w:val="00847BA2"/>
    <w:rsid w:val="00847CDC"/>
    <w:rsid w:val="00847E66"/>
    <w:rsid w:val="00847EE3"/>
    <w:rsid w:val="008512B6"/>
    <w:rsid w:val="008527E7"/>
    <w:rsid w:val="008535A3"/>
    <w:rsid w:val="008537AB"/>
    <w:rsid w:val="00853C56"/>
    <w:rsid w:val="0085469B"/>
    <w:rsid w:val="00854DDE"/>
    <w:rsid w:val="00855195"/>
    <w:rsid w:val="0085621A"/>
    <w:rsid w:val="008563A7"/>
    <w:rsid w:val="008564FF"/>
    <w:rsid w:val="008565BD"/>
    <w:rsid w:val="00856CC6"/>
    <w:rsid w:val="00857ED6"/>
    <w:rsid w:val="008608D1"/>
    <w:rsid w:val="00860C3D"/>
    <w:rsid w:val="00860FEA"/>
    <w:rsid w:val="00861C57"/>
    <w:rsid w:val="00861CA3"/>
    <w:rsid w:val="00862FDF"/>
    <w:rsid w:val="008632BD"/>
    <w:rsid w:val="0086339F"/>
    <w:rsid w:val="008639D7"/>
    <w:rsid w:val="008643A3"/>
    <w:rsid w:val="0086441C"/>
    <w:rsid w:val="008645FC"/>
    <w:rsid w:val="00864681"/>
    <w:rsid w:val="008651ED"/>
    <w:rsid w:val="0086545B"/>
    <w:rsid w:val="00865714"/>
    <w:rsid w:val="00865BCD"/>
    <w:rsid w:val="00865D5C"/>
    <w:rsid w:val="008661B8"/>
    <w:rsid w:val="0086698B"/>
    <w:rsid w:val="00866D47"/>
    <w:rsid w:val="00866D50"/>
    <w:rsid w:val="008672B7"/>
    <w:rsid w:val="00870AA1"/>
    <w:rsid w:val="00871FE2"/>
    <w:rsid w:val="0087270A"/>
    <w:rsid w:val="0087273A"/>
    <w:rsid w:val="00873CC8"/>
    <w:rsid w:val="00875831"/>
    <w:rsid w:val="0087609C"/>
    <w:rsid w:val="008760D2"/>
    <w:rsid w:val="00876979"/>
    <w:rsid w:val="00880392"/>
    <w:rsid w:val="00880EC4"/>
    <w:rsid w:val="00881527"/>
    <w:rsid w:val="00881647"/>
    <w:rsid w:val="00881C5B"/>
    <w:rsid w:val="0088232E"/>
    <w:rsid w:val="00882881"/>
    <w:rsid w:val="00882A67"/>
    <w:rsid w:val="00883A33"/>
    <w:rsid w:val="00883CD9"/>
    <w:rsid w:val="00883E93"/>
    <w:rsid w:val="00884385"/>
    <w:rsid w:val="00884B98"/>
    <w:rsid w:val="00884D97"/>
    <w:rsid w:val="00885240"/>
    <w:rsid w:val="00885973"/>
    <w:rsid w:val="00885B84"/>
    <w:rsid w:val="00886106"/>
    <w:rsid w:val="00887C7A"/>
    <w:rsid w:val="00887FCA"/>
    <w:rsid w:val="00890221"/>
    <w:rsid w:val="00890388"/>
    <w:rsid w:val="00891392"/>
    <w:rsid w:val="008915C6"/>
    <w:rsid w:val="00891833"/>
    <w:rsid w:val="008922B1"/>
    <w:rsid w:val="0089267E"/>
    <w:rsid w:val="00892AE2"/>
    <w:rsid w:val="00892B40"/>
    <w:rsid w:val="0089348C"/>
    <w:rsid w:val="0089475A"/>
    <w:rsid w:val="00894AB7"/>
    <w:rsid w:val="00894B93"/>
    <w:rsid w:val="00894C62"/>
    <w:rsid w:val="00894D5F"/>
    <w:rsid w:val="008964EE"/>
    <w:rsid w:val="0089656A"/>
    <w:rsid w:val="00896B5B"/>
    <w:rsid w:val="0089754F"/>
    <w:rsid w:val="008A0341"/>
    <w:rsid w:val="008A06B1"/>
    <w:rsid w:val="008A07C4"/>
    <w:rsid w:val="008A0E09"/>
    <w:rsid w:val="008A1339"/>
    <w:rsid w:val="008A211B"/>
    <w:rsid w:val="008A23F0"/>
    <w:rsid w:val="008A2988"/>
    <w:rsid w:val="008A2AE7"/>
    <w:rsid w:val="008A2E2C"/>
    <w:rsid w:val="008A2FF2"/>
    <w:rsid w:val="008A37BD"/>
    <w:rsid w:val="008A3E66"/>
    <w:rsid w:val="008A4438"/>
    <w:rsid w:val="008A5267"/>
    <w:rsid w:val="008A5A95"/>
    <w:rsid w:val="008A5B38"/>
    <w:rsid w:val="008A6057"/>
    <w:rsid w:val="008A7228"/>
    <w:rsid w:val="008A7648"/>
    <w:rsid w:val="008A76EA"/>
    <w:rsid w:val="008A77D6"/>
    <w:rsid w:val="008A7B29"/>
    <w:rsid w:val="008A7CBB"/>
    <w:rsid w:val="008A7D45"/>
    <w:rsid w:val="008B0A2F"/>
    <w:rsid w:val="008B1219"/>
    <w:rsid w:val="008B127E"/>
    <w:rsid w:val="008B2130"/>
    <w:rsid w:val="008B2220"/>
    <w:rsid w:val="008B2C7A"/>
    <w:rsid w:val="008B3208"/>
    <w:rsid w:val="008B4293"/>
    <w:rsid w:val="008B4A69"/>
    <w:rsid w:val="008B4CA4"/>
    <w:rsid w:val="008B4CD5"/>
    <w:rsid w:val="008B5551"/>
    <w:rsid w:val="008B5706"/>
    <w:rsid w:val="008B5F4E"/>
    <w:rsid w:val="008B602D"/>
    <w:rsid w:val="008B6825"/>
    <w:rsid w:val="008B6852"/>
    <w:rsid w:val="008B6B3C"/>
    <w:rsid w:val="008B70C2"/>
    <w:rsid w:val="008B71CE"/>
    <w:rsid w:val="008B76F4"/>
    <w:rsid w:val="008B7909"/>
    <w:rsid w:val="008B7F6E"/>
    <w:rsid w:val="008C00B8"/>
    <w:rsid w:val="008C06A1"/>
    <w:rsid w:val="008C0AE3"/>
    <w:rsid w:val="008C148A"/>
    <w:rsid w:val="008C1789"/>
    <w:rsid w:val="008C1AFB"/>
    <w:rsid w:val="008C1D97"/>
    <w:rsid w:val="008C22B4"/>
    <w:rsid w:val="008C2B58"/>
    <w:rsid w:val="008C2BAD"/>
    <w:rsid w:val="008C313A"/>
    <w:rsid w:val="008C31B9"/>
    <w:rsid w:val="008C350B"/>
    <w:rsid w:val="008C485C"/>
    <w:rsid w:val="008C4BE7"/>
    <w:rsid w:val="008C62F3"/>
    <w:rsid w:val="008C66B0"/>
    <w:rsid w:val="008C6A4B"/>
    <w:rsid w:val="008C6BC8"/>
    <w:rsid w:val="008C6BF5"/>
    <w:rsid w:val="008C6CFD"/>
    <w:rsid w:val="008C79A3"/>
    <w:rsid w:val="008C7AFD"/>
    <w:rsid w:val="008C7C10"/>
    <w:rsid w:val="008C7D55"/>
    <w:rsid w:val="008C7F97"/>
    <w:rsid w:val="008D0165"/>
    <w:rsid w:val="008D0686"/>
    <w:rsid w:val="008D1671"/>
    <w:rsid w:val="008D1CCC"/>
    <w:rsid w:val="008D1DDF"/>
    <w:rsid w:val="008D246B"/>
    <w:rsid w:val="008D2DDA"/>
    <w:rsid w:val="008D3FA9"/>
    <w:rsid w:val="008D419D"/>
    <w:rsid w:val="008D4430"/>
    <w:rsid w:val="008D4850"/>
    <w:rsid w:val="008D56AD"/>
    <w:rsid w:val="008D5F16"/>
    <w:rsid w:val="008D6780"/>
    <w:rsid w:val="008D6AED"/>
    <w:rsid w:val="008D782E"/>
    <w:rsid w:val="008D79DD"/>
    <w:rsid w:val="008E01B6"/>
    <w:rsid w:val="008E0BCD"/>
    <w:rsid w:val="008E0C5F"/>
    <w:rsid w:val="008E1700"/>
    <w:rsid w:val="008E19C3"/>
    <w:rsid w:val="008E1DB9"/>
    <w:rsid w:val="008E2381"/>
    <w:rsid w:val="008E24C4"/>
    <w:rsid w:val="008E2D96"/>
    <w:rsid w:val="008E349A"/>
    <w:rsid w:val="008E3CEB"/>
    <w:rsid w:val="008E3DEF"/>
    <w:rsid w:val="008E459B"/>
    <w:rsid w:val="008E483E"/>
    <w:rsid w:val="008E4885"/>
    <w:rsid w:val="008E50BF"/>
    <w:rsid w:val="008E54BF"/>
    <w:rsid w:val="008F0EEF"/>
    <w:rsid w:val="008F0FCF"/>
    <w:rsid w:val="008F105D"/>
    <w:rsid w:val="008F17CE"/>
    <w:rsid w:val="008F1944"/>
    <w:rsid w:val="008F1B14"/>
    <w:rsid w:val="008F33A3"/>
    <w:rsid w:val="008F33D0"/>
    <w:rsid w:val="008F37A1"/>
    <w:rsid w:val="008F38A2"/>
    <w:rsid w:val="008F3987"/>
    <w:rsid w:val="008F3AE2"/>
    <w:rsid w:val="008F3BCA"/>
    <w:rsid w:val="008F4181"/>
    <w:rsid w:val="008F4A8F"/>
    <w:rsid w:val="008F4B75"/>
    <w:rsid w:val="008F4E0A"/>
    <w:rsid w:val="008F5072"/>
    <w:rsid w:val="008F52AF"/>
    <w:rsid w:val="008F5D62"/>
    <w:rsid w:val="008F6527"/>
    <w:rsid w:val="008F68E4"/>
    <w:rsid w:val="008F68FC"/>
    <w:rsid w:val="008F6C12"/>
    <w:rsid w:val="008F6D96"/>
    <w:rsid w:val="008F6E78"/>
    <w:rsid w:val="008F7233"/>
    <w:rsid w:val="008F72B5"/>
    <w:rsid w:val="008F7A9E"/>
    <w:rsid w:val="008F7B23"/>
    <w:rsid w:val="008F7BD5"/>
    <w:rsid w:val="008F7CD1"/>
    <w:rsid w:val="00900636"/>
    <w:rsid w:val="00900998"/>
    <w:rsid w:val="00900D17"/>
    <w:rsid w:val="00900D6B"/>
    <w:rsid w:val="009011D1"/>
    <w:rsid w:val="00902204"/>
    <w:rsid w:val="0090295F"/>
    <w:rsid w:val="00902FAF"/>
    <w:rsid w:val="009032E3"/>
    <w:rsid w:val="009034A9"/>
    <w:rsid w:val="00903723"/>
    <w:rsid w:val="00904689"/>
    <w:rsid w:val="009046D9"/>
    <w:rsid w:val="00905EF6"/>
    <w:rsid w:val="00906151"/>
    <w:rsid w:val="009061B5"/>
    <w:rsid w:val="00906743"/>
    <w:rsid w:val="00906EEE"/>
    <w:rsid w:val="00906FFE"/>
    <w:rsid w:val="009070BD"/>
    <w:rsid w:val="009075D3"/>
    <w:rsid w:val="00907E98"/>
    <w:rsid w:val="0091099D"/>
    <w:rsid w:val="00910FF6"/>
    <w:rsid w:val="0091173A"/>
    <w:rsid w:val="00911AE3"/>
    <w:rsid w:val="00912182"/>
    <w:rsid w:val="0091227A"/>
    <w:rsid w:val="009122D6"/>
    <w:rsid w:val="00913571"/>
    <w:rsid w:val="00913660"/>
    <w:rsid w:val="00914620"/>
    <w:rsid w:val="00915151"/>
    <w:rsid w:val="0091541C"/>
    <w:rsid w:val="009156EA"/>
    <w:rsid w:val="00915AF0"/>
    <w:rsid w:val="00915E88"/>
    <w:rsid w:val="00916037"/>
    <w:rsid w:val="009170A9"/>
    <w:rsid w:val="0091725B"/>
    <w:rsid w:val="0091765A"/>
    <w:rsid w:val="00917B21"/>
    <w:rsid w:val="00917E2B"/>
    <w:rsid w:val="009206BE"/>
    <w:rsid w:val="00920DE9"/>
    <w:rsid w:val="00921443"/>
    <w:rsid w:val="009214FB"/>
    <w:rsid w:val="009215EC"/>
    <w:rsid w:val="0092168E"/>
    <w:rsid w:val="00921CC1"/>
    <w:rsid w:val="00921F05"/>
    <w:rsid w:val="00922479"/>
    <w:rsid w:val="009224A8"/>
    <w:rsid w:val="00922CF5"/>
    <w:rsid w:val="00923016"/>
    <w:rsid w:val="00923073"/>
    <w:rsid w:val="00923096"/>
    <w:rsid w:val="0092339A"/>
    <w:rsid w:val="0092342F"/>
    <w:rsid w:val="00923481"/>
    <w:rsid w:val="00923D07"/>
    <w:rsid w:val="00923F9C"/>
    <w:rsid w:val="00924E27"/>
    <w:rsid w:val="0092509F"/>
    <w:rsid w:val="009251DF"/>
    <w:rsid w:val="009252F3"/>
    <w:rsid w:val="009255DF"/>
    <w:rsid w:val="00925642"/>
    <w:rsid w:val="00925FDB"/>
    <w:rsid w:val="0092655B"/>
    <w:rsid w:val="0092745C"/>
    <w:rsid w:val="009302D8"/>
    <w:rsid w:val="00930860"/>
    <w:rsid w:val="00930BB2"/>
    <w:rsid w:val="00930DDE"/>
    <w:rsid w:val="0093148B"/>
    <w:rsid w:val="00931D14"/>
    <w:rsid w:val="00932158"/>
    <w:rsid w:val="00932A00"/>
    <w:rsid w:val="00932F48"/>
    <w:rsid w:val="00933049"/>
    <w:rsid w:val="00933216"/>
    <w:rsid w:val="009332DE"/>
    <w:rsid w:val="0093331A"/>
    <w:rsid w:val="009333E9"/>
    <w:rsid w:val="00933E8C"/>
    <w:rsid w:val="00934125"/>
    <w:rsid w:val="00934442"/>
    <w:rsid w:val="00934695"/>
    <w:rsid w:val="009347BF"/>
    <w:rsid w:val="00934880"/>
    <w:rsid w:val="00934CDC"/>
    <w:rsid w:val="00934F82"/>
    <w:rsid w:val="0093559E"/>
    <w:rsid w:val="00935D35"/>
    <w:rsid w:val="0093631F"/>
    <w:rsid w:val="0093658F"/>
    <w:rsid w:val="0093728A"/>
    <w:rsid w:val="009375FB"/>
    <w:rsid w:val="00937C75"/>
    <w:rsid w:val="00940241"/>
    <w:rsid w:val="0094025C"/>
    <w:rsid w:val="00940CDE"/>
    <w:rsid w:val="00940EB3"/>
    <w:rsid w:val="00941455"/>
    <w:rsid w:val="0094176E"/>
    <w:rsid w:val="00941819"/>
    <w:rsid w:val="00942C7D"/>
    <w:rsid w:val="00943135"/>
    <w:rsid w:val="00943255"/>
    <w:rsid w:val="00943487"/>
    <w:rsid w:val="00943E08"/>
    <w:rsid w:val="00944499"/>
    <w:rsid w:val="009444FD"/>
    <w:rsid w:val="00944511"/>
    <w:rsid w:val="00944693"/>
    <w:rsid w:val="00944BAA"/>
    <w:rsid w:val="00944F55"/>
    <w:rsid w:val="00945AAA"/>
    <w:rsid w:val="0094620E"/>
    <w:rsid w:val="00946942"/>
    <w:rsid w:val="00946CF6"/>
    <w:rsid w:val="0094725D"/>
    <w:rsid w:val="00947406"/>
    <w:rsid w:val="009475C0"/>
    <w:rsid w:val="00947974"/>
    <w:rsid w:val="009501AD"/>
    <w:rsid w:val="009506DE"/>
    <w:rsid w:val="009509D2"/>
    <w:rsid w:val="00950E9A"/>
    <w:rsid w:val="009512F7"/>
    <w:rsid w:val="00951376"/>
    <w:rsid w:val="00951EB3"/>
    <w:rsid w:val="00952539"/>
    <w:rsid w:val="009526B6"/>
    <w:rsid w:val="00952A01"/>
    <w:rsid w:val="00952B32"/>
    <w:rsid w:val="00953496"/>
    <w:rsid w:val="00954656"/>
    <w:rsid w:val="009548A4"/>
    <w:rsid w:val="00954983"/>
    <w:rsid w:val="00954B84"/>
    <w:rsid w:val="00954DA7"/>
    <w:rsid w:val="0095510F"/>
    <w:rsid w:val="00955483"/>
    <w:rsid w:val="0095550E"/>
    <w:rsid w:val="00955562"/>
    <w:rsid w:val="009559BF"/>
    <w:rsid w:val="00955B7C"/>
    <w:rsid w:val="009560E4"/>
    <w:rsid w:val="00957BB3"/>
    <w:rsid w:val="00957FD7"/>
    <w:rsid w:val="00960451"/>
    <w:rsid w:val="00960B32"/>
    <w:rsid w:val="00961127"/>
    <w:rsid w:val="00961150"/>
    <w:rsid w:val="0096122A"/>
    <w:rsid w:val="0096133D"/>
    <w:rsid w:val="00961432"/>
    <w:rsid w:val="00961602"/>
    <w:rsid w:val="009617FB"/>
    <w:rsid w:val="00961B35"/>
    <w:rsid w:val="00961CAE"/>
    <w:rsid w:val="00962EEE"/>
    <w:rsid w:val="00963088"/>
    <w:rsid w:val="00963592"/>
    <w:rsid w:val="00963E9E"/>
    <w:rsid w:val="00963EB8"/>
    <w:rsid w:val="0096443A"/>
    <w:rsid w:val="00964659"/>
    <w:rsid w:val="00964C55"/>
    <w:rsid w:val="009652C7"/>
    <w:rsid w:val="009654D4"/>
    <w:rsid w:val="00965856"/>
    <w:rsid w:val="00966F0A"/>
    <w:rsid w:val="009672D0"/>
    <w:rsid w:val="00967355"/>
    <w:rsid w:val="00967C37"/>
    <w:rsid w:val="00967C99"/>
    <w:rsid w:val="00967D81"/>
    <w:rsid w:val="00967F2D"/>
    <w:rsid w:val="009700A0"/>
    <w:rsid w:val="009703E6"/>
    <w:rsid w:val="00970D80"/>
    <w:rsid w:val="00970DA1"/>
    <w:rsid w:val="009712D0"/>
    <w:rsid w:val="00971861"/>
    <w:rsid w:val="0097199E"/>
    <w:rsid w:val="00971A2C"/>
    <w:rsid w:val="00971EB0"/>
    <w:rsid w:val="00971EBA"/>
    <w:rsid w:val="00971F88"/>
    <w:rsid w:val="0097236C"/>
    <w:rsid w:val="009723D3"/>
    <w:rsid w:val="0097270C"/>
    <w:rsid w:val="00972B5E"/>
    <w:rsid w:val="009732A0"/>
    <w:rsid w:val="00973455"/>
    <w:rsid w:val="00974663"/>
    <w:rsid w:val="00975273"/>
    <w:rsid w:val="00975502"/>
    <w:rsid w:val="00975ABC"/>
    <w:rsid w:val="00975BC0"/>
    <w:rsid w:val="0097606C"/>
    <w:rsid w:val="0097666A"/>
    <w:rsid w:val="00976687"/>
    <w:rsid w:val="00976DEF"/>
    <w:rsid w:val="0097780A"/>
    <w:rsid w:val="00977AD2"/>
    <w:rsid w:val="009801F0"/>
    <w:rsid w:val="0098023C"/>
    <w:rsid w:val="00980A02"/>
    <w:rsid w:val="00980A17"/>
    <w:rsid w:val="00980AC8"/>
    <w:rsid w:val="00980E93"/>
    <w:rsid w:val="009810B1"/>
    <w:rsid w:val="00981662"/>
    <w:rsid w:val="0098295D"/>
    <w:rsid w:val="0098296D"/>
    <w:rsid w:val="009838A3"/>
    <w:rsid w:val="009841E9"/>
    <w:rsid w:val="00984426"/>
    <w:rsid w:val="009847B2"/>
    <w:rsid w:val="00985221"/>
    <w:rsid w:val="00985CDD"/>
    <w:rsid w:val="00985CEF"/>
    <w:rsid w:val="009861FD"/>
    <w:rsid w:val="00986C9A"/>
    <w:rsid w:val="00986CAA"/>
    <w:rsid w:val="00986ECB"/>
    <w:rsid w:val="00987A1B"/>
    <w:rsid w:val="00987AF5"/>
    <w:rsid w:val="00987E02"/>
    <w:rsid w:val="009904FB"/>
    <w:rsid w:val="0099111E"/>
    <w:rsid w:val="00992669"/>
    <w:rsid w:val="0099275E"/>
    <w:rsid w:val="009928D2"/>
    <w:rsid w:val="00992BDA"/>
    <w:rsid w:val="009934A5"/>
    <w:rsid w:val="00993526"/>
    <w:rsid w:val="00993753"/>
    <w:rsid w:val="009937EF"/>
    <w:rsid w:val="00993AED"/>
    <w:rsid w:val="00993CB9"/>
    <w:rsid w:val="00994399"/>
    <w:rsid w:val="009953B3"/>
    <w:rsid w:val="0099569A"/>
    <w:rsid w:val="009958F0"/>
    <w:rsid w:val="00995CDC"/>
    <w:rsid w:val="00995F9F"/>
    <w:rsid w:val="009962DD"/>
    <w:rsid w:val="009966B8"/>
    <w:rsid w:val="00997154"/>
    <w:rsid w:val="009971D9"/>
    <w:rsid w:val="009975BE"/>
    <w:rsid w:val="009A0832"/>
    <w:rsid w:val="009A0A80"/>
    <w:rsid w:val="009A1A32"/>
    <w:rsid w:val="009A27A2"/>
    <w:rsid w:val="009A2A0D"/>
    <w:rsid w:val="009A37DB"/>
    <w:rsid w:val="009A3A8C"/>
    <w:rsid w:val="009A3C6A"/>
    <w:rsid w:val="009A405F"/>
    <w:rsid w:val="009A4518"/>
    <w:rsid w:val="009A456B"/>
    <w:rsid w:val="009A4756"/>
    <w:rsid w:val="009A490B"/>
    <w:rsid w:val="009A4D05"/>
    <w:rsid w:val="009A5777"/>
    <w:rsid w:val="009A5E17"/>
    <w:rsid w:val="009A68FD"/>
    <w:rsid w:val="009A6929"/>
    <w:rsid w:val="009A6B43"/>
    <w:rsid w:val="009A6B45"/>
    <w:rsid w:val="009A72E4"/>
    <w:rsid w:val="009A7B1E"/>
    <w:rsid w:val="009B02D8"/>
    <w:rsid w:val="009B128F"/>
    <w:rsid w:val="009B13A8"/>
    <w:rsid w:val="009B1523"/>
    <w:rsid w:val="009B1EA8"/>
    <w:rsid w:val="009B23B6"/>
    <w:rsid w:val="009B2791"/>
    <w:rsid w:val="009B29EC"/>
    <w:rsid w:val="009B2A8A"/>
    <w:rsid w:val="009B2F15"/>
    <w:rsid w:val="009B35E6"/>
    <w:rsid w:val="009B363A"/>
    <w:rsid w:val="009B3F20"/>
    <w:rsid w:val="009B459D"/>
    <w:rsid w:val="009B4A8F"/>
    <w:rsid w:val="009B5A21"/>
    <w:rsid w:val="009B5E00"/>
    <w:rsid w:val="009B5EAD"/>
    <w:rsid w:val="009B63FF"/>
    <w:rsid w:val="009B67F2"/>
    <w:rsid w:val="009B6BFD"/>
    <w:rsid w:val="009B6D68"/>
    <w:rsid w:val="009B6F24"/>
    <w:rsid w:val="009B7194"/>
    <w:rsid w:val="009B72CB"/>
    <w:rsid w:val="009B733F"/>
    <w:rsid w:val="009B773C"/>
    <w:rsid w:val="009B7839"/>
    <w:rsid w:val="009B7868"/>
    <w:rsid w:val="009B7F1B"/>
    <w:rsid w:val="009C08BE"/>
    <w:rsid w:val="009C12ED"/>
    <w:rsid w:val="009C1495"/>
    <w:rsid w:val="009C1900"/>
    <w:rsid w:val="009C1B75"/>
    <w:rsid w:val="009C1BFA"/>
    <w:rsid w:val="009C1C1A"/>
    <w:rsid w:val="009C1D34"/>
    <w:rsid w:val="009C2097"/>
    <w:rsid w:val="009C218A"/>
    <w:rsid w:val="009C2FC3"/>
    <w:rsid w:val="009C3259"/>
    <w:rsid w:val="009C3EA0"/>
    <w:rsid w:val="009C3EC4"/>
    <w:rsid w:val="009C4480"/>
    <w:rsid w:val="009C45C0"/>
    <w:rsid w:val="009C46EE"/>
    <w:rsid w:val="009C497D"/>
    <w:rsid w:val="009C4CF3"/>
    <w:rsid w:val="009C4D45"/>
    <w:rsid w:val="009C520F"/>
    <w:rsid w:val="009C5D2A"/>
    <w:rsid w:val="009C5F26"/>
    <w:rsid w:val="009C60C8"/>
    <w:rsid w:val="009C6D3D"/>
    <w:rsid w:val="009C7050"/>
    <w:rsid w:val="009C72D3"/>
    <w:rsid w:val="009D0058"/>
    <w:rsid w:val="009D00D1"/>
    <w:rsid w:val="009D0AB0"/>
    <w:rsid w:val="009D0B24"/>
    <w:rsid w:val="009D0DA8"/>
    <w:rsid w:val="009D1463"/>
    <w:rsid w:val="009D14B7"/>
    <w:rsid w:val="009D263C"/>
    <w:rsid w:val="009D2753"/>
    <w:rsid w:val="009D2872"/>
    <w:rsid w:val="009D2BE9"/>
    <w:rsid w:val="009D2C0A"/>
    <w:rsid w:val="009D2D2E"/>
    <w:rsid w:val="009D400F"/>
    <w:rsid w:val="009D4092"/>
    <w:rsid w:val="009D4204"/>
    <w:rsid w:val="009D4487"/>
    <w:rsid w:val="009D4595"/>
    <w:rsid w:val="009D46AA"/>
    <w:rsid w:val="009D490E"/>
    <w:rsid w:val="009D4D88"/>
    <w:rsid w:val="009D50C6"/>
    <w:rsid w:val="009D573D"/>
    <w:rsid w:val="009D587C"/>
    <w:rsid w:val="009D5C88"/>
    <w:rsid w:val="009D60F8"/>
    <w:rsid w:val="009D61DE"/>
    <w:rsid w:val="009D62C0"/>
    <w:rsid w:val="009D6A9A"/>
    <w:rsid w:val="009D7203"/>
    <w:rsid w:val="009D72B4"/>
    <w:rsid w:val="009D74C7"/>
    <w:rsid w:val="009E0655"/>
    <w:rsid w:val="009E0DDC"/>
    <w:rsid w:val="009E1D8D"/>
    <w:rsid w:val="009E2C78"/>
    <w:rsid w:val="009E2D24"/>
    <w:rsid w:val="009E3156"/>
    <w:rsid w:val="009E3E27"/>
    <w:rsid w:val="009E3F29"/>
    <w:rsid w:val="009E433C"/>
    <w:rsid w:val="009E4C0F"/>
    <w:rsid w:val="009E59AA"/>
    <w:rsid w:val="009E6BBC"/>
    <w:rsid w:val="009E6DF4"/>
    <w:rsid w:val="009E6FC2"/>
    <w:rsid w:val="009E706B"/>
    <w:rsid w:val="009E760B"/>
    <w:rsid w:val="009E77EC"/>
    <w:rsid w:val="009E7EB9"/>
    <w:rsid w:val="009F028C"/>
    <w:rsid w:val="009F04C0"/>
    <w:rsid w:val="009F0A25"/>
    <w:rsid w:val="009F0B00"/>
    <w:rsid w:val="009F1047"/>
    <w:rsid w:val="009F264D"/>
    <w:rsid w:val="009F2792"/>
    <w:rsid w:val="009F2C44"/>
    <w:rsid w:val="009F3152"/>
    <w:rsid w:val="009F346F"/>
    <w:rsid w:val="009F3C47"/>
    <w:rsid w:val="009F3F57"/>
    <w:rsid w:val="009F402A"/>
    <w:rsid w:val="009F4121"/>
    <w:rsid w:val="009F4194"/>
    <w:rsid w:val="009F44CC"/>
    <w:rsid w:val="009F4A0C"/>
    <w:rsid w:val="009F5579"/>
    <w:rsid w:val="009F5BDC"/>
    <w:rsid w:val="009F6ED5"/>
    <w:rsid w:val="00A00023"/>
    <w:rsid w:val="00A00029"/>
    <w:rsid w:val="00A004F9"/>
    <w:rsid w:val="00A009B6"/>
    <w:rsid w:val="00A00B8B"/>
    <w:rsid w:val="00A00D66"/>
    <w:rsid w:val="00A01170"/>
    <w:rsid w:val="00A012AA"/>
    <w:rsid w:val="00A01559"/>
    <w:rsid w:val="00A02036"/>
    <w:rsid w:val="00A02F03"/>
    <w:rsid w:val="00A031CA"/>
    <w:rsid w:val="00A036E1"/>
    <w:rsid w:val="00A038BB"/>
    <w:rsid w:val="00A03DB5"/>
    <w:rsid w:val="00A03FB4"/>
    <w:rsid w:val="00A04517"/>
    <w:rsid w:val="00A049A1"/>
    <w:rsid w:val="00A04A43"/>
    <w:rsid w:val="00A0529B"/>
    <w:rsid w:val="00A055A8"/>
    <w:rsid w:val="00A066BB"/>
    <w:rsid w:val="00A069CC"/>
    <w:rsid w:val="00A069E1"/>
    <w:rsid w:val="00A06AA9"/>
    <w:rsid w:val="00A06DB4"/>
    <w:rsid w:val="00A06DD6"/>
    <w:rsid w:val="00A07444"/>
    <w:rsid w:val="00A07DE4"/>
    <w:rsid w:val="00A10BCD"/>
    <w:rsid w:val="00A1115D"/>
    <w:rsid w:val="00A1134E"/>
    <w:rsid w:val="00A1190C"/>
    <w:rsid w:val="00A11D7D"/>
    <w:rsid w:val="00A11E36"/>
    <w:rsid w:val="00A13018"/>
    <w:rsid w:val="00A13033"/>
    <w:rsid w:val="00A138C7"/>
    <w:rsid w:val="00A13BC6"/>
    <w:rsid w:val="00A13CE6"/>
    <w:rsid w:val="00A14621"/>
    <w:rsid w:val="00A14B5B"/>
    <w:rsid w:val="00A15448"/>
    <w:rsid w:val="00A162FE"/>
    <w:rsid w:val="00A16426"/>
    <w:rsid w:val="00A16623"/>
    <w:rsid w:val="00A175B5"/>
    <w:rsid w:val="00A17D19"/>
    <w:rsid w:val="00A204F1"/>
    <w:rsid w:val="00A2113F"/>
    <w:rsid w:val="00A21ED7"/>
    <w:rsid w:val="00A22793"/>
    <w:rsid w:val="00A23DD4"/>
    <w:rsid w:val="00A242F7"/>
    <w:rsid w:val="00A2436E"/>
    <w:rsid w:val="00A24573"/>
    <w:rsid w:val="00A245DC"/>
    <w:rsid w:val="00A2480A"/>
    <w:rsid w:val="00A2491B"/>
    <w:rsid w:val="00A2507B"/>
    <w:rsid w:val="00A25FD1"/>
    <w:rsid w:val="00A261F1"/>
    <w:rsid w:val="00A263C8"/>
    <w:rsid w:val="00A2658D"/>
    <w:rsid w:val="00A267C2"/>
    <w:rsid w:val="00A272A4"/>
    <w:rsid w:val="00A2746C"/>
    <w:rsid w:val="00A27C01"/>
    <w:rsid w:val="00A30679"/>
    <w:rsid w:val="00A30B27"/>
    <w:rsid w:val="00A30D6C"/>
    <w:rsid w:val="00A317DB"/>
    <w:rsid w:val="00A32610"/>
    <w:rsid w:val="00A32B20"/>
    <w:rsid w:val="00A33004"/>
    <w:rsid w:val="00A3309A"/>
    <w:rsid w:val="00A33969"/>
    <w:rsid w:val="00A33BAF"/>
    <w:rsid w:val="00A34375"/>
    <w:rsid w:val="00A344BF"/>
    <w:rsid w:val="00A35286"/>
    <w:rsid w:val="00A35740"/>
    <w:rsid w:val="00A3581B"/>
    <w:rsid w:val="00A35C30"/>
    <w:rsid w:val="00A36274"/>
    <w:rsid w:val="00A3690C"/>
    <w:rsid w:val="00A3708B"/>
    <w:rsid w:val="00A377A2"/>
    <w:rsid w:val="00A37D08"/>
    <w:rsid w:val="00A37F7C"/>
    <w:rsid w:val="00A40708"/>
    <w:rsid w:val="00A40AFF"/>
    <w:rsid w:val="00A41621"/>
    <w:rsid w:val="00A419BF"/>
    <w:rsid w:val="00A41A2D"/>
    <w:rsid w:val="00A41A44"/>
    <w:rsid w:val="00A41AB4"/>
    <w:rsid w:val="00A41C76"/>
    <w:rsid w:val="00A42330"/>
    <w:rsid w:val="00A42590"/>
    <w:rsid w:val="00A4292A"/>
    <w:rsid w:val="00A42D8A"/>
    <w:rsid w:val="00A444A6"/>
    <w:rsid w:val="00A44806"/>
    <w:rsid w:val="00A449F1"/>
    <w:rsid w:val="00A44D18"/>
    <w:rsid w:val="00A44DC8"/>
    <w:rsid w:val="00A45317"/>
    <w:rsid w:val="00A45BD7"/>
    <w:rsid w:val="00A45C1C"/>
    <w:rsid w:val="00A4600C"/>
    <w:rsid w:val="00A46817"/>
    <w:rsid w:val="00A46D13"/>
    <w:rsid w:val="00A472C9"/>
    <w:rsid w:val="00A503EB"/>
    <w:rsid w:val="00A50534"/>
    <w:rsid w:val="00A50CA2"/>
    <w:rsid w:val="00A50F0A"/>
    <w:rsid w:val="00A51152"/>
    <w:rsid w:val="00A51476"/>
    <w:rsid w:val="00A5199F"/>
    <w:rsid w:val="00A51A2F"/>
    <w:rsid w:val="00A525A6"/>
    <w:rsid w:val="00A5266F"/>
    <w:rsid w:val="00A528A6"/>
    <w:rsid w:val="00A52E20"/>
    <w:rsid w:val="00A52FCB"/>
    <w:rsid w:val="00A53A91"/>
    <w:rsid w:val="00A54189"/>
    <w:rsid w:val="00A54798"/>
    <w:rsid w:val="00A54DCE"/>
    <w:rsid w:val="00A5526B"/>
    <w:rsid w:val="00A5536B"/>
    <w:rsid w:val="00A5580E"/>
    <w:rsid w:val="00A56052"/>
    <w:rsid w:val="00A56250"/>
    <w:rsid w:val="00A5654A"/>
    <w:rsid w:val="00A5739F"/>
    <w:rsid w:val="00A57893"/>
    <w:rsid w:val="00A60B0A"/>
    <w:rsid w:val="00A6149F"/>
    <w:rsid w:val="00A63177"/>
    <w:rsid w:val="00A632EB"/>
    <w:rsid w:val="00A639E8"/>
    <w:rsid w:val="00A639F0"/>
    <w:rsid w:val="00A641F2"/>
    <w:rsid w:val="00A64F33"/>
    <w:rsid w:val="00A65186"/>
    <w:rsid w:val="00A655E1"/>
    <w:rsid w:val="00A656C7"/>
    <w:rsid w:val="00A656D1"/>
    <w:rsid w:val="00A6581D"/>
    <w:rsid w:val="00A65A36"/>
    <w:rsid w:val="00A65BC2"/>
    <w:rsid w:val="00A6600A"/>
    <w:rsid w:val="00A662AD"/>
    <w:rsid w:val="00A6641C"/>
    <w:rsid w:val="00A666B1"/>
    <w:rsid w:val="00A66DFC"/>
    <w:rsid w:val="00A67293"/>
    <w:rsid w:val="00A673AC"/>
    <w:rsid w:val="00A6761D"/>
    <w:rsid w:val="00A67B58"/>
    <w:rsid w:val="00A71C23"/>
    <w:rsid w:val="00A727C8"/>
    <w:rsid w:val="00A73EDC"/>
    <w:rsid w:val="00A74227"/>
    <w:rsid w:val="00A74AE1"/>
    <w:rsid w:val="00A74CAA"/>
    <w:rsid w:val="00A752A7"/>
    <w:rsid w:val="00A764E5"/>
    <w:rsid w:val="00A76A17"/>
    <w:rsid w:val="00A76D56"/>
    <w:rsid w:val="00A77529"/>
    <w:rsid w:val="00A81025"/>
    <w:rsid w:val="00A816D0"/>
    <w:rsid w:val="00A819EA"/>
    <w:rsid w:val="00A81D68"/>
    <w:rsid w:val="00A82659"/>
    <w:rsid w:val="00A826BC"/>
    <w:rsid w:val="00A82A6A"/>
    <w:rsid w:val="00A82AC5"/>
    <w:rsid w:val="00A82F7A"/>
    <w:rsid w:val="00A8339A"/>
    <w:rsid w:val="00A83410"/>
    <w:rsid w:val="00A836A5"/>
    <w:rsid w:val="00A836D7"/>
    <w:rsid w:val="00A83B03"/>
    <w:rsid w:val="00A83B3B"/>
    <w:rsid w:val="00A84783"/>
    <w:rsid w:val="00A84A8B"/>
    <w:rsid w:val="00A852DA"/>
    <w:rsid w:val="00A856B5"/>
    <w:rsid w:val="00A85BA2"/>
    <w:rsid w:val="00A85D35"/>
    <w:rsid w:val="00A862E8"/>
    <w:rsid w:val="00A867D3"/>
    <w:rsid w:val="00A87076"/>
    <w:rsid w:val="00A87251"/>
    <w:rsid w:val="00A87DEE"/>
    <w:rsid w:val="00A90844"/>
    <w:rsid w:val="00A908F8"/>
    <w:rsid w:val="00A908F9"/>
    <w:rsid w:val="00A9118C"/>
    <w:rsid w:val="00A913A2"/>
    <w:rsid w:val="00A913AB"/>
    <w:rsid w:val="00A9164D"/>
    <w:rsid w:val="00A91AAF"/>
    <w:rsid w:val="00A92244"/>
    <w:rsid w:val="00A922CA"/>
    <w:rsid w:val="00A922D3"/>
    <w:rsid w:val="00A92DF0"/>
    <w:rsid w:val="00A93483"/>
    <w:rsid w:val="00A93735"/>
    <w:rsid w:val="00A93A6C"/>
    <w:rsid w:val="00A94210"/>
    <w:rsid w:val="00A94AEF"/>
    <w:rsid w:val="00A94EB1"/>
    <w:rsid w:val="00A95C6F"/>
    <w:rsid w:val="00A95E22"/>
    <w:rsid w:val="00A96785"/>
    <w:rsid w:val="00A967A9"/>
    <w:rsid w:val="00A96A2C"/>
    <w:rsid w:val="00A97763"/>
    <w:rsid w:val="00A97E8D"/>
    <w:rsid w:val="00AA0599"/>
    <w:rsid w:val="00AA077D"/>
    <w:rsid w:val="00AA07E2"/>
    <w:rsid w:val="00AA090E"/>
    <w:rsid w:val="00AA0B44"/>
    <w:rsid w:val="00AA1753"/>
    <w:rsid w:val="00AA1993"/>
    <w:rsid w:val="00AA2052"/>
    <w:rsid w:val="00AA23AA"/>
    <w:rsid w:val="00AA2588"/>
    <w:rsid w:val="00AA26A7"/>
    <w:rsid w:val="00AA2B00"/>
    <w:rsid w:val="00AA2B34"/>
    <w:rsid w:val="00AA2BAF"/>
    <w:rsid w:val="00AA2E57"/>
    <w:rsid w:val="00AA38ED"/>
    <w:rsid w:val="00AA419A"/>
    <w:rsid w:val="00AA433A"/>
    <w:rsid w:val="00AA4872"/>
    <w:rsid w:val="00AA6019"/>
    <w:rsid w:val="00AA625A"/>
    <w:rsid w:val="00AA68C2"/>
    <w:rsid w:val="00AA6E3F"/>
    <w:rsid w:val="00AA77C8"/>
    <w:rsid w:val="00AA785B"/>
    <w:rsid w:val="00AB1172"/>
    <w:rsid w:val="00AB1891"/>
    <w:rsid w:val="00AB23B9"/>
    <w:rsid w:val="00AB2466"/>
    <w:rsid w:val="00AB361E"/>
    <w:rsid w:val="00AB372F"/>
    <w:rsid w:val="00AB3B01"/>
    <w:rsid w:val="00AB3EFB"/>
    <w:rsid w:val="00AB4436"/>
    <w:rsid w:val="00AB4CC1"/>
    <w:rsid w:val="00AB56B7"/>
    <w:rsid w:val="00AB5979"/>
    <w:rsid w:val="00AB5E25"/>
    <w:rsid w:val="00AB5FC2"/>
    <w:rsid w:val="00AB630D"/>
    <w:rsid w:val="00AB6C54"/>
    <w:rsid w:val="00AB6F54"/>
    <w:rsid w:val="00AB745D"/>
    <w:rsid w:val="00AB7ADF"/>
    <w:rsid w:val="00AC03F8"/>
    <w:rsid w:val="00AC0979"/>
    <w:rsid w:val="00AC1088"/>
    <w:rsid w:val="00AC1662"/>
    <w:rsid w:val="00AC17A6"/>
    <w:rsid w:val="00AC27DD"/>
    <w:rsid w:val="00AC3643"/>
    <w:rsid w:val="00AC39ED"/>
    <w:rsid w:val="00AC3BAD"/>
    <w:rsid w:val="00AC3DC2"/>
    <w:rsid w:val="00AC3DD1"/>
    <w:rsid w:val="00AC43F6"/>
    <w:rsid w:val="00AC4592"/>
    <w:rsid w:val="00AC52D5"/>
    <w:rsid w:val="00AC655E"/>
    <w:rsid w:val="00AC6B2F"/>
    <w:rsid w:val="00AC709D"/>
    <w:rsid w:val="00AC711F"/>
    <w:rsid w:val="00AC72B1"/>
    <w:rsid w:val="00AD03E5"/>
    <w:rsid w:val="00AD12D7"/>
    <w:rsid w:val="00AD172E"/>
    <w:rsid w:val="00AD174B"/>
    <w:rsid w:val="00AD1B1A"/>
    <w:rsid w:val="00AD22F7"/>
    <w:rsid w:val="00AD27CB"/>
    <w:rsid w:val="00AD3826"/>
    <w:rsid w:val="00AD3A99"/>
    <w:rsid w:val="00AD50B5"/>
    <w:rsid w:val="00AD54BA"/>
    <w:rsid w:val="00AD5C12"/>
    <w:rsid w:val="00AD5F3C"/>
    <w:rsid w:val="00AD653F"/>
    <w:rsid w:val="00AD6AD0"/>
    <w:rsid w:val="00AD6B28"/>
    <w:rsid w:val="00AD6B9C"/>
    <w:rsid w:val="00AD6C5F"/>
    <w:rsid w:val="00AD7078"/>
    <w:rsid w:val="00AD76C0"/>
    <w:rsid w:val="00AE066D"/>
    <w:rsid w:val="00AE088E"/>
    <w:rsid w:val="00AE0E3F"/>
    <w:rsid w:val="00AE0E75"/>
    <w:rsid w:val="00AE0F80"/>
    <w:rsid w:val="00AE0F94"/>
    <w:rsid w:val="00AE1193"/>
    <w:rsid w:val="00AE1295"/>
    <w:rsid w:val="00AE1F37"/>
    <w:rsid w:val="00AE2194"/>
    <w:rsid w:val="00AE232F"/>
    <w:rsid w:val="00AE267F"/>
    <w:rsid w:val="00AE2CFA"/>
    <w:rsid w:val="00AE328D"/>
    <w:rsid w:val="00AE32B2"/>
    <w:rsid w:val="00AE371A"/>
    <w:rsid w:val="00AE460D"/>
    <w:rsid w:val="00AE5CC7"/>
    <w:rsid w:val="00AE5E7A"/>
    <w:rsid w:val="00AE6718"/>
    <w:rsid w:val="00AE6930"/>
    <w:rsid w:val="00AE6A84"/>
    <w:rsid w:val="00AE6DE4"/>
    <w:rsid w:val="00AE7CFE"/>
    <w:rsid w:val="00AF017D"/>
    <w:rsid w:val="00AF0AB5"/>
    <w:rsid w:val="00AF11C9"/>
    <w:rsid w:val="00AF1ACE"/>
    <w:rsid w:val="00AF1F75"/>
    <w:rsid w:val="00AF2421"/>
    <w:rsid w:val="00AF2436"/>
    <w:rsid w:val="00AF2807"/>
    <w:rsid w:val="00AF2A37"/>
    <w:rsid w:val="00AF3659"/>
    <w:rsid w:val="00AF3DE8"/>
    <w:rsid w:val="00AF457A"/>
    <w:rsid w:val="00AF4847"/>
    <w:rsid w:val="00AF53E8"/>
    <w:rsid w:val="00AF5815"/>
    <w:rsid w:val="00AF5C5A"/>
    <w:rsid w:val="00AF6C04"/>
    <w:rsid w:val="00AF6C8F"/>
    <w:rsid w:val="00AF6E26"/>
    <w:rsid w:val="00AF6FF3"/>
    <w:rsid w:val="00AF7161"/>
    <w:rsid w:val="00AF74D3"/>
    <w:rsid w:val="00AF7855"/>
    <w:rsid w:val="00AF7BBF"/>
    <w:rsid w:val="00AF7D1F"/>
    <w:rsid w:val="00B0034E"/>
    <w:rsid w:val="00B00C58"/>
    <w:rsid w:val="00B00CFF"/>
    <w:rsid w:val="00B00D53"/>
    <w:rsid w:val="00B011F6"/>
    <w:rsid w:val="00B01999"/>
    <w:rsid w:val="00B01F87"/>
    <w:rsid w:val="00B02883"/>
    <w:rsid w:val="00B028FD"/>
    <w:rsid w:val="00B02F74"/>
    <w:rsid w:val="00B03419"/>
    <w:rsid w:val="00B0356C"/>
    <w:rsid w:val="00B03A6A"/>
    <w:rsid w:val="00B04425"/>
    <w:rsid w:val="00B04CD3"/>
    <w:rsid w:val="00B05181"/>
    <w:rsid w:val="00B051FD"/>
    <w:rsid w:val="00B058EA"/>
    <w:rsid w:val="00B05BC3"/>
    <w:rsid w:val="00B0631A"/>
    <w:rsid w:val="00B06BF8"/>
    <w:rsid w:val="00B06CE7"/>
    <w:rsid w:val="00B075C4"/>
    <w:rsid w:val="00B07A6F"/>
    <w:rsid w:val="00B10B41"/>
    <w:rsid w:val="00B10C7C"/>
    <w:rsid w:val="00B1109A"/>
    <w:rsid w:val="00B111A8"/>
    <w:rsid w:val="00B114A1"/>
    <w:rsid w:val="00B11621"/>
    <w:rsid w:val="00B11A4F"/>
    <w:rsid w:val="00B12D62"/>
    <w:rsid w:val="00B138C5"/>
    <w:rsid w:val="00B13F83"/>
    <w:rsid w:val="00B13FAA"/>
    <w:rsid w:val="00B14935"/>
    <w:rsid w:val="00B1531E"/>
    <w:rsid w:val="00B16699"/>
    <w:rsid w:val="00B166D8"/>
    <w:rsid w:val="00B16AD2"/>
    <w:rsid w:val="00B172BB"/>
    <w:rsid w:val="00B17571"/>
    <w:rsid w:val="00B175D8"/>
    <w:rsid w:val="00B177D1"/>
    <w:rsid w:val="00B17E7A"/>
    <w:rsid w:val="00B2026F"/>
    <w:rsid w:val="00B206AB"/>
    <w:rsid w:val="00B20840"/>
    <w:rsid w:val="00B215A4"/>
    <w:rsid w:val="00B21A6B"/>
    <w:rsid w:val="00B21D6A"/>
    <w:rsid w:val="00B22754"/>
    <w:rsid w:val="00B22816"/>
    <w:rsid w:val="00B229A6"/>
    <w:rsid w:val="00B22B64"/>
    <w:rsid w:val="00B22BAC"/>
    <w:rsid w:val="00B22BD3"/>
    <w:rsid w:val="00B22FB9"/>
    <w:rsid w:val="00B2368C"/>
    <w:rsid w:val="00B23DB6"/>
    <w:rsid w:val="00B240CB"/>
    <w:rsid w:val="00B246D1"/>
    <w:rsid w:val="00B24C87"/>
    <w:rsid w:val="00B25205"/>
    <w:rsid w:val="00B25604"/>
    <w:rsid w:val="00B25652"/>
    <w:rsid w:val="00B26764"/>
    <w:rsid w:val="00B26CC4"/>
    <w:rsid w:val="00B27712"/>
    <w:rsid w:val="00B3034A"/>
    <w:rsid w:val="00B30581"/>
    <w:rsid w:val="00B30C66"/>
    <w:rsid w:val="00B31101"/>
    <w:rsid w:val="00B31142"/>
    <w:rsid w:val="00B3251E"/>
    <w:rsid w:val="00B32789"/>
    <w:rsid w:val="00B330BE"/>
    <w:rsid w:val="00B33238"/>
    <w:rsid w:val="00B348F0"/>
    <w:rsid w:val="00B35127"/>
    <w:rsid w:val="00B35E53"/>
    <w:rsid w:val="00B35E57"/>
    <w:rsid w:val="00B35F62"/>
    <w:rsid w:val="00B36947"/>
    <w:rsid w:val="00B36A46"/>
    <w:rsid w:val="00B3738B"/>
    <w:rsid w:val="00B37C20"/>
    <w:rsid w:val="00B37FA5"/>
    <w:rsid w:val="00B37FAD"/>
    <w:rsid w:val="00B40225"/>
    <w:rsid w:val="00B405D2"/>
    <w:rsid w:val="00B4141B"/>
    <w:rsid w:val="00B41BB3"/>
    <w:rsid w:val="00B41E45"/>
    <w:rsid w:val="00B41E67"/>
    <w:rsid w:val="00B42DEE"/>
    <w:rsid w:val="00B43084"/>
    <w:rsid w:val="00B447CC"/>
    <w:rsid w:val="00B44ABE"/>
    <w:rsid w:val="00B44F76"/>
    <w:rsid w:val="00B45765"/>
    <w:rsid w:val="00B45C05"/>
    <w:rsid w:val="00B462C1"/>
    <w:rsid w:val="00B46AEC"/>
    <w:rsid w:val="00B46BF0"/>
    <w:rsid w:val="00B47495"/>
    <w:rsid w:val="00B479F3"/>
    <w:rsid w:val="00B501B6"/>
    <w:rsid w:val="00B50D92"/>
    <w:rsid w:val="00B50EC7"/>
    <w:rsid w:val="00B50F0D"/>
    <w:rsid w:val="00B52188"/>
    <w:rsid w:val="00B5229C"/>
    <w:rsid w:val="00B5255A"/>
    <w:rsid w:val="00B52802"/>
    <w:rsid w:val="00B53048"/>
    <w:rsid w:val="00B5372F"/>
    <w:rsid w:val="00B53B08"/>
    <w:rsid w:val="00B53F63"/>
    <w:rsid w:val="00B53F71"/>
    <w:rsid w:val="00B541B4"/>
    <w:rsid w:val="00B546A3"/>
    <w:rsid w:val="00B54E6D"/>
    <w:rsid w:val="00B54EE1"/>
    <w:rsid w:val="00B551F8"/>
    <w:rsid w:val="00B556EC"/>
    <w:rsid w:val="00B56E55"/>
    <w:rsid w:val="00B5740E"/>
    <w:rsid w:val="00B57FF3"/>
    <w:rsid w:val="00B6007E"/>
    <w:rsid w:val="00B60358"/>
    <w:rsid w:val="00B6056F"/>
    <w:rsid w:val="00B60669"/>
    <w:rsid w:val="00B60F35"/>
    <w:rsid w:val="00B614CE"/>
    <w:rsid w:val="00B61A4D"/>
    <w:rsid w:val="00B61D7D"/>
    <w:rsid w:val="00B61F40"/>
    <w:rsid w:val="00B61F90"/>
    <w:rsid w:val="00B62AB0"/>
    <w:rsid w:val="00B62E01"/>
    <w:rsid w:val="00B63629"/>
    <w:rsid w:val="00B63B9D"/>
    <w:rsid w:val="00B63F78"/>
    <w:rsid w:val="00B63FFD"/>
    <w:rsid w:val="00B6431A"/>
    <w:rsid w:val="00B646D6"/>
    <w:rsid w:val="00B64746"/>
    <w:rsid w:val="00B648C2"/>
    <w:rsid w:val="00B6634F"/>
    <w:rsid w:val="00B66381"/>
    <w:rsid w:val="00B669C7"/>
    <w:rsid w:val="00B67569"/>
    <w:rsid w:val="00B70184"/>
    <w:rsid w:val="00B70211"/>
    <w:rsid w:val="00B718AF"/>
    <w:rsid w:val="00B71C6F"/>
    <w:rsid w:val="00B71EAD"/>
    <w:rsid w:val="00B7271E"/>
    <w:rsid w:val="00B73769"/>
    <w:rsid w:val="00B74E8C"/>
    <w:rsid w:val="00B75018"/>
    <w:rsid w:val="00B752BE"/>
    <w:rsid w:val="00B7536A"/>
    <w:rsid w:val="00B75622"/>
    <w:rsid w:val="00B75A37"/>
    <w:rsid w:val="00B7601B"/>
    <w:rsid w:val="00B7698A"/>
    <w:rsid w:val="00B76F30"/>
    <w:rsid w:val="00B7715F"/>
    <w:rsid w:val="00B778E9"/>
    <w:rsid w:val="00B77F2D"/>
    <w:rsid w:val="00B80152"/>
    <w:rsid w:val="00B801F2"/>
    <w:rsid w:val="00B8062C"/>
    <w:rsid w:val="00B81AF6"/>
    <w:rsid w:val="00B81D11"/>
    <w:rsid w:val="00B81D44"/>
    <w:rsid w:val="00B81E6B"/>
    <w:rsid w:val="00B82023"/>
    <w:rsid w:val="00B82791"/>
    <w:rsid w:val="00B8279F"/>
    <w:rsid w:val="00B8295E"/>
    <w:rsid w:val="00B829DD"/>
    <w:rsid w:val="00B829EB"/>
    <w:rsid w:val="00B82B0C"/>
    <w:rsid w:val="00B82D71"/>
    <w:rsid w:val="00B82D7F"/>
    <w:rsid w:val="00B84182"/>
    <w:rsid w:val="00B842DB"/>
    <w:rsid w:val="00B84434"/>
    <w:rsid w:val="00B84A5C"/>
    <w:rsid w:val="00B84B4D"/>
    <w:rsid w:val="00B84BAA"/>
    <w:rsid w:val="00B84C50"/>
    <w:rsid w:val="00B85005"/>
    <w:rsid w:val="00B857F9"/>
    <w:rsid w:val="00B85980"/>
    <w:rsid w:val="00B85E0F"/>
    <w:rsid w:val="00B86237"/>
    <w:rsid w:val="00B86962"/>
    <w:rsid w:val="00B86D4C"/>
    <w:rsid w:val="00B86D85"/>
    <w:rsid w:val="00B86DEA"/>
    <w:rsid w:val="00B8792F"/>
    <w:rsid w:val="00B87C85"/>
    <w:rsid w:val="00B87E40"/>
    <w:rsid w:val="00B902B2"/>
    <w:rsid w:val="00B91157"/>
    <w:rsid w:val="00B91451"/>
    <w:rsid w:val="00B91846"/>
    <w:rsid w:val="00B929E8"/>
    <w:rsid w:val="00B92F8C"/>
    <w:rsid w:val="00B93384"/>
    <w:rsid w:val="00B93AC5"/>
    <w:rsid w:val="00B93BD3"/>
    <w:rsid w:val="00B93D88"/>
    <w:rsid w:val="00B94180"/>
    <w:rsid w:val="00B94FC5"/>
    <w:rsid w:val="00B95116"/>
    <w:rsid w:val="00B95315"/>
    <w:rsid w:val="00B9545F"/>
    <w:rsid w:val="00B95A4A"/>
    <w:rsid w:val="00B95B44"/>
    <w:rsid w:val="00B95EB3"/>
    <w:rsid w:val="00B961B2"/>
    <w:rsid w:val="00B96607"/>
    <w:rsid w:val="00B9661D"/>
    <w:rsid w:val="00B96812"/>
    <w:rsid w:val="00B96E49"/>
    <w:rsid w:val="00B971C5"/>
    <w:rsid w:val="00B972DD"/>
    <w:rsid w:val="00B9798D"/>
    <w:rsid w:val="00B979C4"/>
    <w:rsid w:val="00B97A1F"/>
    <w:rsid w:val="00B97DE5"/>
    <w:rsid w:val="00BA09C3"/>
    <w:rsid w:val="00BA0D4D"/>
    <w:rsid w:val="00BA0EF3"/>
    <w:rsid w:val="00BA1041"/>
    <w:rsid w:val="00BA14F7"/>
    <w:rsid w:val="00BA2072"/>
    <w:rsid w:val="00BA21E8"/>
    <w:rsid w:val="00BA2216"/>
    <w:rsid w:val="00BA2D53"/>
    <w:rsid w:val="00BA2E96"/>
    <w:rsid w:val="00BA3327"/>
    <w:rsid w:val="00BA3B05"/>
    <w:rsid w:val="00BA572A"/>
    <w:rsid w:val="00BA5913"/>
    <w:rsid w:val="00BA62FE"/>
    <w:rsid w:val="00BA638A"/>
    <w:rsid w:val="00BA6B08"/>
    <w:rsid w:val="00BA6EF9"/>
    <w:rsid w:val="00BB06C4"/>
    <w:rsid w:val="00BB0C8F"/>
    <w:rsid w:val="00BB132E"/>
    <w:rsid w:val="00BB1F69"/>
    <w:rsid w:val="00BB24BE"/>
    <w:rsid w:val="00BB2677"/>
    <w:rsid w:val="00BB3044"/>
    <w:rsid w:val="00BB3382"/>
    <w:rsid w:val="00BB3729"/>
    <w:rsid w:val="00BB416E"/>
    <w:rsid w:val="00BB4651"/>
    <w:rsid w:val="00BB46B9"/>
    <w:rsid w:val="00BB489E"/>
    <w:rsid w:val="00BB5156"/>
    <w:rsid w:val="00BB575F"/>
    <w:rsid w:val="00BB57CD"/>
    <w:rsid w:val="00BB6667"/>
    <w:rsid w:val="00BB6A69"/>
    <w:rsid w:val="00BB6CFB"/>
    <w:rsid w:val="00BB7550"/>
    <w:rsid w:val="00BC021E"/>
    <w:rsid w:val="00BC089B"/>
    <w:rsid w:val="00BC0A80"/>
    <w:rsid w:val="00BC167A"/>
    <w:rsid w:val="00BC1730"/>
    <w:rsid w:val="00BC1C38"/>
    <w:rsid w:val="00BC1D0C"/>
    <w:rsid w:val="00BC2447"/>
    <w:rsid w:val="00BC245A"/>
    <w:rsid w:val="00BC2EAF"/>
    <w:rsid w:val="00BC2EF8"/>
    <w:rsid w:val="00BC4AA7"/>
    <w:rsid w:val="00BC5583"/>
    <w:rsid w:val="00BC55D6"/>
    <w:rsid w:val="00BC565E"/>
    <w:rsid w:val="00BC574F"/>
    <w:rsid w:val="00BC5928"/>
    <w:rsid w:val="00BC5FA6"/>
    <w:rsid w:val="00BC6063"/>
    <w:rsid w:val="00BC6297"/>
    <w:rsid w:val="00BC63C0"/>
    <w:rsid w:val="00BC6520"/>
    <w:rsid w:val="00BC770C"/>
    <w:rsid w:val="00BC7F00"/>
    <w:rsid w:val="00BD00A9"/>
    <w:rsid w:val="00BD032A"/>
    <w:rsid w:val="00BD043A"/>
    <w:rsid w:val="00BD0C63"/>
    <w:rsid w:val="00BD11E2"/>
    <w:rsid w:val="00BD127E"/>
    <w:rsid w:val="00BD14F5"/>
    <w:rsid w:val="00BD1E44"/>
    <w:rsid w:val="00BD2453"/>
    <w:rsid w:val="00BD3813"/>
    <w:rsid w:val="00BD3D19"/>
    <w:rsid w:val="00BD3F6A"/>
    <w:rsid w:val="00BD41F9"/>
    <w:rsid w:val="00BD4619"/>
    <w:rsid w:val="00BD4E26"/>
    <w:rsid w:val="00BD68B1"/>
    <w:rsid w:val="00BD6999"/>
    <w:rsid w:val="00BD69B1"/>
    <w:rsid w:val="00BD6F7E"/>
    <w:rsid w:val="00BD781E"/>
    <w:rsid w:val="00BD7AA2"/>
    <w:rsid w:val="00BE0873"/>
    <w:rsid w:val="00BE0F97"/>
    <w:rsid w:val="00BE0FAD"/>
    <w:rsid w:val="00BE142B"/>
    <w:rsid w:val="00BE150C"/>
    <w:rsid w:val="00BE18E5"/>
    <w:rsid w:val="00BE1CF6"/>
    <w:rsid w:val="00BE2941"/>
    <w:rsid w:val="00BE2A84"/>
    <w:rsid w:val="00BE34C6"/>
    <w:rsid w:val="00BE35F8"/>
    <w:rsid w:val="00BE3819"/>
    <w:rsid w:val="00BE3AAF"/>
    <w:rsid w:val="00BE3F05"/>
    <w:rsid w:val="00BE41B4"/>
    <w:rsid w:val="00BE45D6"/>
    <w:rsid w:val="00BE54B7"/>
    <w:rsid w:val="00BE58AD"/>
    <w:rsid w:val="00BE6664"/>
    <w:rsid w:val="00BE6C44"/>
    <w:rsid w:val="00BE6EE2"/>
    <w:rsid w:val="00BE7F7D"/>
    <w:rsid w:val="00BF0429"/>
    <w:rsid w:val="00BF08B1"/>
    <w:rsid w:val="00BF1163"/>
    <w:rsid w:val="00BF139B"/>
    <w:rsid w:val="00BF18C1"/>
    <w:rsid w:val="00BF1E0A"/>
    <w:rsid w:val="00BF2292"/>
    <w:rsid w:val="00BF2605"/>
    <w:rsid w:val="00BF27E2"/>
    <w:rsid w:val="00BF28A5"/>
    <w:rsid w:val="00BF28E1"/>
    <w:rsid w:val="00BF2934"/>
    <w:rsid w:val="00BF2D25"/>
    <w:rsid w:val="00BF2E2B"/>
    <w:rsid w:val="00BF3049"/>
    <w:rsid w:val="00BF3209"/>
    <w:rsid w:val="00BF3AB7"/>
    <w:rsid w:val="00BF4115"/>
    <w:rsid w:val="00BF4744"/>
    <w:rsid w:val="00BF47A0"/>
    <w:rsid w:val="00BF4AC0"/>
    <w:rsid w:val="00BF4BA1"/>
    <w:rsid w:val="00BF4DB8"/>
    <w:rsid w:val="00BF59AC"/>
    <w:rsid w:val="00BF5CE6"/>
    <w:rsid w:val="00BF5D96"/>
    <w:rsid w:val="00BF5F2D"/>
    <w:rsid w:val="00BF65D2"/>
    <w:rsid w:val="00BF6715"/>
    <w:rsid w:val="00BF6802"/>
    <w:rsid w:val="00BF6994"/>
    <w:rsid w:val="00BF769B"/>
    <w:rsid w:val="00BF7827"/>
    <w:rsid w:val="00BF7BB5"/>
    <w:rsid w:val="00BF7C8D"/>
    <w:rsid w:val="00BF7CB6"/>
    <w:rsid w:val="00BF7D25"/>
    <w:rsid w:val="00C00653"/>
    <w:rsid w:val="00C01447"/>
    <w:rsid w:val="00C014EA"/>
    <w:rsid w:val="00C0169F"/>
    <w:rsid w:val="00C01E75"/>
    <w:rsid w:val="00C023A8"/>
    <w:rsid w:val="00C02919"/>
    <w:rsid w:val="00C02E28"/>
    <w:rsid w:val="00C02F60"/>
    <w:rsid w:val="00C0312F"/>
    <w:rsid w:val="00C03648"/>
    <w:rsid w:val="00C03734"/>
    <w:rsid w:val="00C04498"/>
    <w:rsid w:val="00C04708"/>
    <w:rsid w:val="00C04F42"/>
    <w:rsid w:val="00C05295"/>
    <w:rsid w:val="00C05929"/>
    <w:rsid w:val="00C0596F"/>
    <w:rsid w:val="00C05C20"/>
    <w:rsid w:val="00C05F96"/>
    <w:rsid w:val="00C06FFE"/>
    <w:rsid w:val="00C071F6"/>
    <w:rsid w:val="00C079F2"/>
    <w:rsid w:val="00C07AEA"/>
    <w:rsid w:val="00C10199"/>
    <w:rsid w:val="00C107FA"/>
    <w:rsid w:val="00C10939"/>
    <w:rsid w:val="00C10AA6"/>
    <w:rsid w:val="00C10BC6"/>
    <w:rsid w:val="00C11061"/>
    <w:rsid w:val="00C11424"/>
    <w:rsid w:val="00C11EC3"/>
    <w:rsid w:val="00C120C5"/>
    <w:rsid w:val="00C122D3"/>
    <w:rsid w:val="00C12CB6"/>
    <w:rsid w:val="00C12D58"/>
    <w:rsid w:val="00C134D4"/>
    <w:rsid w:val="00C13762"/>
    <w:rsid w:val="00C1389D"/>
    <w:rsid w:val="00C138A8"/>
    <w:rsid w:val="00C13B9A"/>
    <w:rsid w:val="00C1414E"/>
    <w:rsid w:val="00C1562E"/>
    <w:rsid w:val="00C157EE"/>
    <w:rsid w:val="00C163DB"/>
    <w:rsid w:val="00C1673D"/>
    <w:rsid w:val="00C1684C"/>
    <w:rsid w:val="00C17325"/>
    <w:rsid w:val="00C1734D"/>
    <w:rsid w:val="00C175A0"/>
    <w:rsid w:val="00C17D83"/>
    <w:rsid w:val="00C20D3F"/>
    <w:rsid w:val="00C20FA5"/>
    <w:rsid w:val="00C2158E"/>
    <w:rsid w:val="00C2182C"/>
    <w:rsid w:val="00C21ECF"/>
    <w:rsid w:val="00C22455"/>
    <w:rsid w:val="00C2298D"/>
    <w:rsid w:val="00C22A7D"/>
    <w:rsid w:val="00C22F49"/>
    <w:rsid w:val="00C23030"/>
    <w:rsid w:val="00C232FB"/>
    <w:rsid w:val="00C23561"/>
    <w:rsid w:val="00C23B19"/>
    <w:rsid w:val="00C23CB4"/>
    <w:rsid w:val="00C24549"/>
    <w:rsid w:val="00C24628"/>
    <w:rsid w:val="00C24BA2"/>
    <w:rsid w:val="00C253FE"/>
    <w:rsid w:val="00C25448"/>
    <w:rsid w:val="00C25807"/>
    <w:rsid w:val="00C25808"/>
    <w:rsid w:val="00C25C42"/>
    <w:rsid w:val="00C25FC9"/>
    <w:rsid w:val="00C2622D"/>
    <w:rsid w:val="00C2670C"/>
    <w:rsid w:val="00C26C03"/>
    <w:rsid w:val="00C2714B"/>
    <w:rsid w:val="00C27459"/>
    <w:rsid w:val="00C2752D"/>
    <w:rsid w:val="00C27FC1"/>
    <w:rsid w:val="00C300DF"/>
    <w:rsid w:val="00C301C8"/>
    <w:rsid w:val="00C30D1E"/>
    <w:rsid w:val="00C3178A"/>
    <w:rsid w:val="00C317A5"/>
    <w:rsid w:val="00C325CE"/>
    <w:rsid w:val="00C32759"/>
    <w:rsid w:val="00C328F0"/>
    <w:rsid w:val="00C32D2F"/>
    <w:rsid w:val="00C333D1"/>
    <w:rsid w:val="00C3343D"/>
    <w:rsid w:val="00C3358E"/>
    <w:rsid w:val="00C34503"/>
    <w:rsid w:val="00C346AA"/>
    <w:rsid w:val="00C3480F"/>
    <w:rsid w:val="00C34895"/>
    <w:rsid w:val="00C34A99"/>
    <w:rsid w:val="00C34EE6"/>
    <w:rsid w:val="00C36B49"/>
    <w:rsid w:val="00C36F1B"/>
    <w:rsid w:val="00C3777C"/>
    <w:rsid w:val="00C377C1"/>
    <w:rsid w:val="00C406F1"/>
    <w:rsid w:val="00C4096A"/>
    <w:rsid w:val="00C409D6"/>
    <w:rsid w:val="00C40E0F"/>
    <w:rsid w:val="00C40E19"/>
    <w:rsid w:val="00C40F0D"/>
    <w:rsid w:val="00C4102F"/>
    <w:rsid w:val="00C41D0C"/>
    <w:rsid w:val="00C41EFA"/>
    <w:rsid w:val="00C428BA"/>
    <w:rsid w:val="00C42D34"/>
    <w:rsid w:val="00C43537"/>
    <w:rsid w:val="00C4409E"/>
    <w:rsid w:val="00C4471B"/>
    <w:rsid w:val="00C44B16"/>
    <w:rsid w:val="00C4529E"/>
    <w:rsid w:val="00C4552E"/>
    <w:rsid w:val="00C45753"/>
    <w:rsid w:val="00C457B5"/>
    <w:rsid w:val="00C4641F"/>
    <w:rsid w:val="00C46AFA"/>
    <w:rsid w:val="00C476FB"/>
    <w:rsid w:val="00C503D3"/>
    <w:rsid w:val="00C5058D"/>
    <w:rsid w:val="00C50779"/>
    <w:rsid w:val="00C51185"/>
    <w:rsid w:val="00C51D87"/>
    <w:rsid w:val="00C51F43"/>
    <w:rsid w:val="00C51FCC"/>
    <w:rsid w:val="00C5237D"/>
    <w:rsid w:val="00C52445"/>
    <w:rsid w:val="00C5252C"/>
    <w:rsid w:val="00C526FE"/>
    <w:rsid w:val="00C52D6C"/>
    <w:rsid w:val="00C52E31"/>
    <w:rsid w:val="00C53A7A"/>
    <w:rsid w:val="00C53E84"/>
    <w:rsid w:val="00C53FEE"/>
    <w:rsid w:val="00C54ADF"/>
    <w:rsid w:val="00C54EB2"/>
    <w:rsid w:val="00C55640"/>
    <w:rsid w:val="00C55818"/>
    <w:rsid w:val="00C55EAC"/>
    <w:rsid w:val="00C56BA5"/>
    <w:rsid w:val="00C57359"/>
    <w:rsid w:val="00C57C1C"/>
    <w:rsid w:val="00C57CAF"/>
    <w:rsid w:val="00C57D7B"/>
    <w:rsid w:val="00C57EAE"/>
    <w:rsid w:val="00C6068A"/>
    <w:rsid w:val="00C60787"/>
    <w:rsid w:val="00C616B6"/>
    <w:rsid w:val="00C61CD8"/>
    <w:rsid w:val="00C625BA"/>
    <w:rsid w:val="00C62629"/>
    <w:rsid w:val="00C6276C"/>
    <w:rsid w:val="00C62EBB"/>
    <w:rsid w:val="00C63015"/>
    <w:rsid w:val="00C63155"/>
    <w:rsid w:val="00C634ED"/>
    <w:rsid w:val="00C635B3"/>
    <w:rsid w:val="00C639DE"/>
    <w:rsid w:val="00C63B4F"/>
    <w:rsid w:val="00C63DB1"/>
    <w:rsid w:val="00C6417C"/>
    <w:rsid w:val="00C64493"/>
    <w:rsid w:val="00C6546A"/>
    <w:rsid w:val="00C65795"/>
    <w:rsid w:val="00C65A09"/>
    <w:rsid w:val="00C65DC2"/>
    <w:rsid w:val="00C670C6"/>
    <w:rsid w:val="00C67C18"/>
    <w:rsid w:val="00C67F1C"/>
    <w:rsid w:val="00C70EE4"/>
    <w:rsid w:val="00C711DB"/>
    <w:rsid w:val="00C71352"/>
    <w:rsid w:val="00C71640"/>
    <w:rsid w:val="00C719CB"/>
    <w:rsid w:val="00C71AE2"/>
    <w:rsid w:val="00C71DB9"/>
    <w:rsid w:val="00C72F2F"/>
    <w:rsid w:val="00C7312D"/>
    <w:rsid w:val="00C735CA"/>
    <w:rsid w:val="00C73E2F"/>
    <w:rsid w:val="00C74B45"/>
    <w:rsid w:val="00C74D8B"/>
    <w:rsid w:val="00C75108"/>
    <w:rsid w:val="00C7531B"/>
    <w:rsid w:val="00C75370"/>
    <w:rsid w:val="00C7540A"/>
    <w:rsid w:val="00C76420"/>
    <w:rsid w:val="00C767CE"/>
    <w:rsid w:val="00C76814"/>
    <w:rsid w:val="00C769AF"/>
    <w:rsid w:val="00C76AEB"/>
    <w:rsid w:val="00C76BF0"/>
    <w:rsid w:val="00C76D91"/>
    <w:rsid w:val="00C7711A"/>
    <w:rsid w:val="00C77580"/>
    <w:rsid w:val="00C80233"/>
    <w:rsid w:val="00C8038C"/>
    <w:rsid w:val="00C816BA"/>
    <w:rsid w:val="00C81924"/>
    <w:rsid w:val="00C823FC"/>
    <w:rsid w:val="00C82E6E"/>
    <w:rsid w:val="00C831BC"/>
    <w:rsid w:val="00C833B8"/>
    <w:rsid w:val="00C83E44"/>
    <w:rsid w:val="00C83FAD"/>
    <w:rsid w:val="00C8407D"/>
    <w:rsid w:val="00C8488C"/>
    <w:rsid w:val="00C848A9"/>
    <w:rsid w:val="00C85125"/>
    <w:rsid w:val="00C85997"/>
    <w:rsid w:val="00C85B13"/>
    <w:rsid w:val="00C85B7F"/>
    <w:rsid w:val="00C85F10"/>
    <w:rsid w:val="00C8647F"/>
    <w:rsid w:val="00C86AD7"/>
    <w:rsid w:val="00C871DD"/>
    <w:rsid w:val="00C87BE8"/>
    <w:rsid w:val="00C87CB2"/>
    <w:rsid w:val="00C87DB9"/>
    <w:rsid w:val="00C906F6"/>
    <w:rsid w:val="00C90E2E"/>
    <w:rsid w:val="00C910F1"/>
    <w:rsid w:val="00C92220"/>
    <w:rsid w:val="00C92F7D"/>
    <w:rsid w:val="00C93040"/>
    <w:rsid w:val="00C932FB"/>
    <w:rsid w:val="00C93BE4"/>
    <w:rsid w:val="00C93E79"/>
    <w:rsid w:val="00C9440D"/>
    <w:rsid w:val="00C947B2"/>
    <w:rsid w:val="00C95245"/>
    <w:rsid w:val="00C954F8"/>
    <w:rsid w:val="00C95916"/>
    <w:rsid w:val="00C9600C"/>
    <w:rsid w:val="00C96057"/>
    <w:rsid w:val="00C9631A"/>
    <w:rsid w:val="00C9743C"/>
    <w:rsid w:val="00C976DC"/>
    <w:rsid w:val="00C97DA9"/>
    <w:rsid w:val="00CA0781"/>
    <w:rsid w:val="00CA07B7"/>
    <w:rsid w:val="00CA0C81"/>
    <w:rsid w:val="00CA0FE9"/>
    <w:rsid w:val="00CA1032"/>
    <w:rsid w:val="00CA1FB8"/>
    <w:rsid w:val="00CA207C"/>
    <w:rsid w:val="00CA2133"/>
    <w:rsid w:val="00CA215C"/>
    <w:rsid w:val="00CA21F0"/>
    <w:rsid w:val="00CA24DF"/>
    <w:rsid w:val="00CA2643"/>
    <w:rsid w:val="00CA368D"/>
    <w:rsid w:val="00CA3B63"/>
    <w:rsid w:val="00CA3CD0"/>
    <w:rsid w:val="00CA42A2"/>
    <w:rsid w:val="00CA4424"/>
    <w:rsid w:val="00CA4646"/>
    <w:rsid w:val="00CA4697"/>
    <w:rsid w:val="00CA4BC1"/>
    <w:rsid w:val="00CA5ADB"/>
    <w:rsid w:val="00CA5CAB"/>
    <w:rsid w:val="00CA606A"/>
    <w:rsid w:val="00CA663D"/>
    <w:rsid w:val="00CA7901"/>
    <w:rsid w:val="00CA7A6D"/>
    <w:rsid w:val="00CB03E0"/>
    <w:rsid w:val="00CB05DA"/>
    <w:rsid w:val="00CB0797"/>
    <w:rsid w:val="00CB09BF"/>
    <w:rsid w:val="00CB0D6C"/>
    <w:rsid w:val="00CB1C52"/>
    <w:rsid w:val="00CB203F"/>
    <w:rsid w:val="00CB221C"/>
    <w:rsid w:val="00CB261E"/>
    <w:rsid w:val="00CB2A62"/>
    <w:rsid w:val="00CB3DB9"/>
    <w:rsid w:val="00CB4288"/>
    <w:rsid w:val="00CB42AE"/>
    <w:rsid w:val="00CB432B"/>
    <w:rsid w:val="00CB47D8"/>
    <w:rsid w:val="00CB64F0"/>
    <w:rsid w:val="00CB6CBD"/>
    <w:rsid w:val="00CB76EC"/>
    <w:rsid w:val="00CB7EE3"/>
    <w:rsid w:val="00CB7F37"/>
    <w:rsid w:val="00CC061F"/>
    <w:rsid w:val="00CC0825"/>
    <w:rsid w:val="00CC12BE"/>
    <w:rsid w:val="00CC15D2"/>
    <w:rsid w:val="00CC1D7B"/>
    <w:rsid w:val="00CC1EF6"/>
    <w:rsid w:val="00CC22F7"/>
    <w:rsid w:val="00CC3F0E"/>
    <w:rsid w:val="00CC3F93"/>
    <w:rsid w:val="00CC4B4F"/>
    <w:rsid w:val="00CC5045"/>
    <w:rsid w:val="00CC526B"/>
    <w:rsid w:val="00CC5373"/>
    <w:rsid w:val="00CC67CE"/>
    <w:rsid w:val="00CC69DA"/>
    <w:rsid w:val="00CC6F9F"/>
    <w:rsid w:val="00CC749F"/>
    <w:rsid w:val="00CC7EDC"/>
    <w:rsid w:val="00CD073B"/>
    <w:rsid w:val="00CD08C0"/>
    <w:rsid w:val="00CD098E"/>
    <w:rsid w:val="00CD0A92"/>
    <w:rsid w:val="00CD0E1B"/>
    <w:rsid w:val="00CD0F32"/>
    <w:rsid w:val="00CD10C2"/>
    <w:rsid w:val="00CD1403"/>
    <w:rsid w:val="00CD1469"/>
    <w:rsid w:val="00CD1847"/>
    <w:rsid w:val="00CD1BA0"/>
    <w:rsid w:val="00CD2463"/>
    <w:rsid w:val="00CD2C79"/>
    <w:rsid w:val="00CD4256"/>
    <w:rsid w:val="00CD4A51"/>
    <w:rsid w:val="00CD4F7C"/>
    <w:rsid w:val="00CD51B8"/>
    <w:rsid w:val="00CD52D4"/>
    <w:rsid w:val="00CD5BFB"/>
    <w:rsid w:val="00CD6921"/>
    <w:rsid w:val="00CD7119"/>
    <w:rsid w:val="00CD7463"/>
    <w:rsid w:val="00CD76A7"/>
    <w:rsid w:val="00CD7817"/>
    <w:rsid w:val="00CD789D"/>
    <w:rsid w:val="00CD7D53"/>
    <w:rsid w:val="00CD7DE8"/>
    <w:rsid w:val="00CE07D2"/>
    <w:rsid w:val="00CE0B5D"/>
    <w:rsid w:val="00CE0B78"/>
    <w:rsid w:val="00CE0C54"/>
    <w:rsid w:val="00CE0E00"/>
    <w:rsid w:val="00CE1547"/>
    <w:rsid w:val="00CE1696"/>
    <w:rsid w:val="00CE1BF0"/>
    <w:rsid w:val="00CE213C"/>
    <w:rsid w:val="00CE30E9"/>
    <w:rsid w:val="00CE3275"/>
    <w:rsid w:val="00CE39AD"/>
    <w:rsid w:val="00CE3A84"/>
    <w:rsid w:val="00CE3CC7"/>
    <w:rsid w:val="00CE3D09"/>
    <w:rsid w:val="00CE400D"/>
    <w:rsid w:val="00CE4716"/>
    <w:rsid w:val="00CE471B"/>
    <w:rsid w:val="00CE51FF"/>
    <w:rsid w:val="00CE6285"/>
    <w:rsid w:val="00CE662E"/>
    <w:rsid w:val="00CE6B66"/>
    <w:rsid w:val="00CE6CA9"/>
    <w:rsid w:val="00CE75C8"/>
    <w:rsid w:val="00CF00A7"/>
    <w:rsid w:val="00CF00F7"/>
    <w:rsid w:val="00CF03C3"/>
    <w:rsid w:val="00CF0AE9"/>
    <w:rsid w:val="00CF0CF1"/>
    <w:rsid w:val="00CF0E00"/>
    <w:rsid w:val="00CF14E4"/>
    <w:rsid w:val="00CF16FA"/>
    <w:rsid w:val="00CF2524"/>
    <w:rsid w:val="00CF2B2C"/>
    <w:rsid w:val="00CF2FF1"/>
    <w:rsid w:val="00CF33DE"/>
    <w:rsid w:val="00CF3B3B"/>
    <w:rsid w:val="00CF3C7B"/>
    <w:rsid w:val="00CF3C99"/>
    <w:rsid w:val="00CF428A"/>
    <w:rsid w:val="00CF4F6C"/>
    <w:rsid w:val="00CF5C91"/>
    <w:rsid w:val="00CF5CF2"/>
    <w:rsid w:val="00CF6299"/>
    <w:rsid w:val="00CF70D8"/>
    <w:rsid w:val="00CF7470"/>
    <w:rsid w:val="00CF7820"/>
    <w:rsid w:val="00CF7AB4"/>
    <w:rsid w:val="00D0021B"/>
    <w:rsid w:val="00D004B1"/>
    <w:rsid w:val="00D008DD"/>
    <w:rsid w:val="00D011E8"/>
    <w:rsid w:val="00D01228"/>
    <w:rsid w:val="00D0142B"/>
    <w:rsid w:val="00D0243C"/>
    <w:rsid w:val="00D02A2D"/>
    <w:rsid w:val="00D02C3E"/>
    <w:rsid w:val="00D02D71"/>
    <w:rsid w:val="00D032F5"/>
    <w:rsid w:val="00D038BD"/>
    <w:rsid w:val="00D03B29"/>
    <w:rsid w:val="00D03C63"/>
    <w:rsid w:val="00D041AA"/>
    <w:rsid w:val="00D04636"/>
    <w:rsid w:val="00D04A24"/>
    <w:rsid w:val="00D04AFF"/>
    <w:rsid w:val="00D04F3F"/>
    <w:rsid w:val="00D05401"/>
    <w:rsid w:val="00D0543E"/>
    <w:rsid w:val="00D0654E"/>
    <w:rsid w:val="00D06AD5"/>
    <w:rsid w:val="00D07E61"/>
    <w:rsid w:val="00D1025D"/>
    <w:rsid w:val="00D1132E"/>
    <w:rsid w:val="00D119B9"/>
    <w:rsid w:val="00D11CCF"/>
    <w:rsid w:val="00D11E79"/>
    <w:rsid w:val="00D1298F"/>
    <w:rsid w:val="00D132CA"/>
    <w:rsid w:val="00D13F38"/>
    <w:rsid w:val="00D140A4"/>
    <w:rsid w:val="00D15094"/>
    <w:rsid w:val="00D158C9"/>
    <w:rsid w:val="00D15930"/>
    <w:rsid w:val="00D15E0D"/>
    <w:rsid w:val="00D16050"/>
    <w:rsid w:val="00D1643E"/>
    <w:rsid w:val="00D16564"/>
    <w:rsid w:val="00D16945"/>
    <w:rsid w:val="00D16DC2"/>
    <w:rsid w:val="00D172CB"/>
    <w:rsid w:val="00D17ACE"/>
    <w:rsid w:val="00D17B85"/>
    <w:rsid w:val="00D21544"/>
    <w:rsid w:val="00D21BE3"/>
    <w:rsid w:val="00D21FF1"/>
    <w:rsid w:val="00D2267B"/>
    <w:rsid w:val="00D226D1"/>
    <w:rsid w:val="00D227C6"/>
    <w:rsid w:val="00D22F1F"/>
    <w:rsid w:val="00D23031"/>
    <w:rsid w:val="00D233C3"/>
    <w:rsid w:val="00D237C1"/>
    <w:rsid w:val="00D2426A"/>
    <w:rsid w:val="00D250A6"/>
    <w:rsid w:val="00D2512D"/>
    <w:rsid w:val="00D252CA"/>
    <w:rsid w:val="00D25594"/>
    <w:rsid w:val="00D258B3"/>
    <w:rsid w:val="00D25BFD"/>
    <w:rsid w:val="00D25E73"/>
    <w:rsid w:val="00D25FE8"/>
    <w:rsid w:val="00D269EA"/>
    <w:rsid w:val="00D26B13"/>
    <w:rsid w:val="00D274C1"/>
    <w:rsid w:val="00D30B30"/>
    <w:rsid w:val="00D3136A"/>
    <w:rsid w:val="00D31C45"/>
    <w:rsid w:val="00D31ECB"/>
    <w:rsid w:val="00D3287D"/>
    <w:rsid w:val="00D32A03"/>
    <w:rsid w:val="00D337FF"/>
    <w:rsid w:val="00D3396E"/>
    <w:rsid w:val="00D33ACF"/>
    <w:rsid w:val="00D33B44"/>
    <w:rsid w:val="00D33BA6"/>
    <w:rsid w:val="00D33C70"/>
    <w:rsid w:val="00D33CD3"/>
    <w:rsid w:val="00D33F3B"/>
    <w:rsid w:val="00D34226"/>
    <w:rsid w:val="00D34892"/>
    <w:rsid w:val="00D34CA7"/>
    <w:rsid w:val="00D34CF7"/>
    <w:rsid w:val="00D356C9"/>
    <w:rsid w:val="00D35DB7"/>
    <w:rsid w:val="00D362DA"/>
    <w:rsid w:val="00D367E0"/>
    <w:rsid w:val="00D36F4D"/>
    <w:rsid w:val="00D3744B"/>
    <w:rsid w:val="00D379EC"/>
    <w:rsid w:val="00D37BA0"/>
    <w:rsid w:val="00D4076C"/>
    <w:rsid w:val="00D4089E"/>
    <w:rsid w:val="00D40B93"/>
    <w:rsid w:val="00D40DB0"/>
    <w:rsid w:val="00D4109F"/>
    <w:rsid w:val="00D41C5E"/>
    <w:rsid w:val="00D42444"/>
    <w:rsid w:val="00D426D3"/>
    <w:rsid w:val="00D428F7"/>
    <w:rsid w:val="00D42BD9"/>
    <w:rsid w:val="00D4327D"/>
    <w:rsid w:val="00D43712"/>
    <w:rsid w:val="00D43892"/>
    <w:rsid w:val="00D43F6D"/>
    <w:rsid w:val="00D45DAB"/>
    <w:rsid w:val="00D45F3E"/>
    <w:rsid w:val="00D4645A"/>
    <w:rsid w:val="00D46462"/>
    <w:rsid w:val="00D46A87"/>
    <w:rsid w:val="00D46B1D"/>
    <w:rsid w:val="00D46ECE"/>
    <w:rsid w:val="00D47749"/>
    <w:rsid w:val="00D47B8E"/>
    <w:rsid w:val="00D47BDF"/>
    <w:rsid w:val="00D50C31"/>
    <w:rsid w:val="00D50DF4"/>
    <w:rsid w:val="00D51409"/>
    <w:rsid w:val="00D51A8D"/>
    <w:rsid w:val="00D522D2"/>
    <w:rsid w:val="00D5321C"/>
    <w:rsid w:val="00D53723"/>
    <w:rsid w:val="00D5376C"/>
    <w:rsid w:val="00D5389B"/>
    <w:rsid w:val="00D53C4F"/>
    <w:rsid w:val="00D5487B"/>
    <w:rsid w:val="00D5531B"/>
    <w:rsid w:val="00D557F6"/>
    <w:rsid w:val="00D55B8F"/>
    <w:rsid w:val="00D55F0C"/>
    <w:rsid w:val="00D561CD"/>
    <w:rsid w:val="00D5663D"/>
    <w:rsid w:val="00D5708C"/>
    <w:rsid w:val="00D57592"/>
    <w:rsid w:val="00D57F7B"/>
    <w:rsid w:val="00D6013E"/>
    <w:rsid w:val="00D603EA"/>
    <w:rsid w:val="00D60418"/>
    <w:rsid w:val="00D60693"/>
    <w:rsid w:val="00D60A95"/>
    <w:rsid w:val="00D6236A"/>
    <w:rsid w:val="00D62473"/>
    <w:rsid w:val="00D62BBA"/>
    <w:rsid w:val="00D6329B"/>
    <w:rsid w:val="00D6388A"/>
    <w:rsid w:val="00D64F14"/>
    <w:rsid w:val="00D657F1"/>
    <w:rsid w:val="00D659E0"/>
    <w:rsid w:val="00D66158"/>
    <w:rsid w:val="00D661E6"/>
    <w:rsid w:val="00D666EA"/>
    <w:rsid w:val="00D66BFC"/>
    <w:rsid w:val="00D66F05"/>
    <w:rsid w:val="00D6722B"/>
    <w:rsid w:val="00D673B3"/>
    <w:rsid w:val="00D67E34"/>
    <w:rsid w:val="00D701CC"/>
    <w:rsid w:val="00D7022D"/>
    <w:rsid w:val="00D707EA"/>
    <w:rsid w:val="00D709DB"/>
    <w:rsid w:val="00D70B31"/>
    <w:rsid w:val="00D70D5B"/>
    <w:rsid w:val="00D70E46"/>
    <w:rsid w:val="00D71023"/>
    <w:rsid w:val="00D715EE"/>
    <w:rsid w:val="00D71D11"/>
    <w:rsid w:val="00D72022"/>
    <w:rsid w:val="00D7233A"/>
    <w:rsid w:val="00D72773"/>
    <w:rsid w:val="00D73ABB"/>
    <w:rsid w:val="00D73D18"/>
    <w:rsid w:val="00D73D77"/>
    <w:rsid w:val="00D73D7C"/>
    <w:rsid w:val="00D73DA9"/>
    <w:rsid w:val="00D73E43"/>
    <w:rsid w:val="00D73EDF"/>
    <w:rsid w:val="00D745F9"/>
    <w:rsid w:val="00D747F3"/>
    <w:rsid w:val="00D7483E"/>
    <w:rsid w:val="00D74DC6"/>
    <w:rsid w:val="00D7562B"/>
    <w:rsid w:val="00D75BB5"/>
    <w:rsid w:val="00D75E51"/>
    <w:rsid w:val="00D75F4D"/>
    <w:rsid w:val="00D760D7"/>
    <w:rsid w:val="00D761E5"/>
    <w:rsid w:val="00D7695B"/>
    <w:rsid w:val="00D76A63"/>
    <w:rsid w:val="00D76B30"/>
    <w:rsid w:val="00D76F61"/>
    <w:rsid w:val="00D771EC"/>
    <w:rsid w:val="00D772B6"/>
    <w:rsid w:val="00D7760C"/>
    <w:rsid w:val="00D77BD1"/>
    <w:rsid w:val="00D8100D"/>
    <w:rsid w:val="00D81589"/>
    <w:rsid w:val="00D815F5"/>
    <w:rsid w:val="00D8183F"/>
    <w:rsid w:val="00D81DDF"/>
    <w:rsid w:val="00D826A4"/>
    <w:rsid w:val="00D828A9"/>
    <w:rsid w:val="00D83985"/>
    <w:rsid w:val="00D84388"/>
    <w:rsid w:val="00D845CE"/>
    <w:rsid w:val="00D8461C"/>
    <w:rsid w:val="00D8483F"/>
    <w:rsid w:val="00D8565F"/>
    <w:rsid w:val="00D859F3"/>
    <w:rsid w:val="00D85BAA"/>
    <w:rsid w:val="00D85CA2"/>
    <w:rsid w:val="00D85CB6"/>
    <w:rsid w:val="00D86383"/>
    <w:rsid w:val="00D86F66"/>
    <w:rsid w:val="00D8708A"/>
    <w:rsid w:val="00D871C5"/>
    <w:rsid w:val="00D8769F"/>
    <w:rsid w:val="00D87DE9"/>
    <w:rsid w:val="00D907FB"/>
    <w:rsid w:val="00D90B11"/>
    <w:rsid w:val="00D90C9B"/>
    <w:rsid w:val="00D90CCA"/>
    <w:rsid w:val="00D9163C"/>
    <w:rsid w:val="00D91C62"/>
    <w:rsid w:val="00D92956"/>
    <w:rsid w:val="00D92F49"/>
    <w:rsid w:val="00D93400"/>
    <w:rsid w:val="00D93B54"/>
    <w:rsid w:val="00D94602"/>
    <w:rsid w:val="00D9486A"/>
    <w:rsid w:val="00D949CF"/>
    <w:rsid w:val="00D94D7A"/>
    <w:rsid w:val="00D95356"/>
    <w:rsid w:val="00D95366"/>
    <w:rsid w:val="00D956B2"/>
    <w:rsid w:val="00D95950"/>
    <w:rsid w:val="00D96CBB"/>
    <w:rsid w:val="00D96E41"/>
    <w:rsid w:val="00D97435"/>
    <w:rsid w:val="00D9795A"/>
    <w:rsid w:val="00D97ADC"/>
    <w:rsid w:val="00DA0A65"/>
    <w:rsid w:val="00DA1B75"/>
    <w:rsid w:val="00DA1BC6"/>
    <w:rsid w:val="00DA32AE"/>
    <w:rsid w:val="00DA34B4"/>
    <w:rsid w:val="00DA3913"/>
    <w:rsid w:val="00DA39DA"/>
    <w:rsid w:val="00DA3EA0"/>
    <w:rsid w:val="00DA52F2"/>
    <w:rsid w:val="00DA54A9"/>
    <w:rsid w:val="00DA587A"/>
    <w:rsid w:val="00DA58DE"/>
    <w:rsid w:val="00DA5DA5"/>
    <w:rsid w:val="00DA6EA2"/>
    <w:rsid w:val="00DA6FAF"/>
    <w:rsid w:val="00DA7209"/>
    <w:rsid w:val="00DA73ED"/>
    <w:rsid w:val="00DB0E6A"/>
    <w:rsid w:val="00DB0E70"/>
    <w:rsid w:val="00DB1083"/>
    <w:rsid w:val="00DB1411"/>
    <w:rsid w:val="00DB179A"/>
    <w:rsid w:val="00DB1BD4"/>
    <w:rsid w:val="00DB1D9B"/>
    <w:rsid w:val="00DB1FB2"/>
    <w:rsid w:val="00DB27B0"/>
    <w:rsid w:val="00DB2904"/>
    <w:rsid w:val="00DB2F94"/>
    <w:rsid w:val="00DB301C"/>
    <w:rsid w:val="00DB34BD"/>
    <w:rsid w:val="00DB4AEC"/>
    <w:rsid w:val="00DB4EA0"/>
    <w:rsid w:val="00DB53F0"/>
    <w:rsid w:val="00DB5B38"/>
    <w:rsid w:val="00DB5CDE"/>
    <w:rsid w:val="00DB6921"/>
    <w:rsid w:val="00DB69EB"/>
    <w:rsid w:val="00DB6A4E"/>
    <w:rsid w:val="00DB6BBD"/>
    <w:rsid w:val="00DB7543"/>
    <w:rsid w:val="00DB7621"/>
    <w:rsid w:val="00DB78B1"/>
    <w:rsid w:val="00DB7ADF"/>
    <w:rsid w:val="00DC05AA"/>
    <w:rsid w:val="00DC062F"/>
    <w:rsid w:val="00DC150F"/>
    <w:rsid w:val="00DC159C"/>
    <w:rsid w:val="00DC15AC"/>
    <w:rsid w:val="00DC2137"/>
    <w:rsid w:val="00DC2823"/>
    <w:rsid w:val="00DC2A8C"/>
    <w:rsid w:val="00DC2BE5"/>
    <w:rsid w:val="00DC2F62"/>
    <w:rsid w:val="00DC30C1"/>
    <w:rsid w:val="00DC312E"/>
    <w:rsid w:val="00DC3494"/>
    <w:rsid w:val="00DC3B87"/>
    <w:rsid w:val="00DC3F44"/>
    <w:rsid w:val="00DC5579"/>
    <w:rsid w:val="00DC772C"/>
    <w:rsid w:val="00DC7B2B"/>
    <w:rsid w:val="00DC7EED"/>
    <w:rsid w:val="00DD009A"/>
    <w:rsid w:val="00DD019C"/>
    <w:rsid w:val="00DD0A10"/>
    <w:rsid w:val="00DD0A60"/>
    <w:rsid w:val="00DD14EE"/>
    <w:rsid w:val="00DD1989"/>
    <w:rsid w:val="00DD19E6"/>
    <w:rsid w:val="00DD1B33"/>
    <w:rsid w:val="00DD256E"/>
    <w:rsid w:val="00DD2648"/>
    <w:rsid w:val="00DD2C81"/>
    <w:rsid w:val="00DD33B1"/>
    <w:rsid w:val="00DD3732"/>
    <w:rsid w:val="00DD421A"/>
    <w:rsid w:val="00DD427F"/>
    <w:rsid w:val="00DD43BD"/>
    <w:rsid w:val="00DD49E2"/>
    <w:rsid w:val="00DD49EF"/>
    <w:rsid w:val="00DD4D30"/>
    <w:rsid w:val="00DD51A8"/>
    <w:rsid w:val="00DD5781"/>
    <w:rsid w:val="00DD5CB1"/>
    <w:rsid w:val="00DD60A4"/>
    <w:rsid w:val="00DD63F2"/>
    <w:rsid w:val="00DD64A9"/>
    <w:rsid w:val="00DD6D02"/>
    <w:rsid w:val="00DD6D76"/>
    <w:rsid w:val="00DD7298"/>
    <w:rsid w:val="00DD7761"/>
    <w:rsid w:val="00DD780F"/>
    <w:rsid w:val="00DD7A0F"/>
    <w:rsid w:val="00DD7F34"/>
    <w:rsid w:val="00DE0633"/>
    <w:rsid w:val="00DE0A91"/>
    <w:rsid w:val="00DE0B5F"/>
    <w:rsid w:val="00DE0C5A"/>
    <w:rsid w:val="00DE1536"/>
    <w:rsid w:val="00DE1BBC"/>
    <w:rsid w:val="00DE1C3C"/>
    <w:rsid w:val="00DE1D01"/>
    <w:rsid w:val="00DE1D37"/>
    <w:rsid w:val="00DE2344"/>
    <w:rsid w:val="00DE2392"/>
    <w:rsid w:val="00DE2933"/>
    <w:rsid w:val="00DE2A11"/>
    <w:rsid w:val="00DE2FEC"/>
    <w:rsid w:val="00DE36EF"/>
    <w:rsid w:val="00DE3730"/>
    <w:rsid w:val="00DE3A5E"/>
    <w:rsid w:val="00DE4218"/>
    <w:rsid w:val="00DE4347"/>
    <w:rsid w:val="00DE44FB"/>
    <w:rsid w:val="00DE4521"/>
    <w:rsid w:val="00DE47A7"/>
    <w:rsid w:val="00DE47EC"/>
    <w:rsid w:val="00DE4889"/>
    <w:rsid w:val="00DE50DB"/>
    <w:rsid w:val="00DE5B9D"/>
    <w:rsid w:val="00DE6B15"/>
    <w:rsid w:val="00DE6C7D"/>
    <w:rsid w:val="00DE6F86"/>
    <w:rsid w:val="00DE76B2"/>
    <w:rsid w:val="00DE76C3"/>
    <w:rsid w:val="00DE79E8"/>
    <w:rsid w:val="00DF032F"/>
    <w:rsid w:val="00DF0A41"/>
    <w:rsid w:val="00DF106F"/>
    <w:rsid w:val="00DF2B94"/>
    <w:rsid w:val="00DF2C64"/>
    <w:rsid w:val="00DF3013"/>
    <w:rsid w:val="00DF3125"/>
    <w:rsid w:val="00DF3391"/>
    <w:rsid w:val="00DF3529"/>
    <w:rsid w:val="00DF3AE1"/>
    <w:rsid w:val="00DF3D3C"/>
    <w:rsid w:val="00DF4230"/>
    <w:rsid w:val="00DF450B"/>
    <w:rsid w:val="00DF4F1B"/>
    <w:rsid w:val="00DF5BE8"/>
    <w:rsid w:val="00DF5EBF"/>
    <w:rsid w:val="00DF6138"/>
    <w:rsid w:val="00DF6238"/>
    <w:rsid w:val="00DF631B"/>
    <w:rsid w:val="00DF63B4"/>
    <w:rsid w:val="00DF65A8"/>
    <w:rsid w:val="00DF66F7"/>
    <w:rsid w:val="00DF6BD9"/>
    <w:rsid w:val="00DF6C0C"/>
    <w:rsid w:val="00DF7348"/>
    <w:rsid w:val="00DF769F"/>
    <w:rsid w:val="00DF774F"/>
    <w:rsid w:val="00DF7A3A"/>
    <w:rsid w:val="00DF7EE9"/>
    <w:rsid w:val="00E0072F"/>
    <w:rsid w:val="00E00C35"/>
    <w:rsid w:val="00E00E21"/>
    <w:rsid w:val="00E01097"/>
    <w:rsid w:val="00E01353"/>
    <w:rsid w:val="00E01C6E"/>
    <w:rsid w:val="00E01E87"/>
    <w:rsid w:val="00E01F99"/>
    <w:rsid w:val="00E02121"/>
    <w:rsid w:val="00E02B52"/>
    <w:rsid w:val="00E03A4F"/>
    <w:rsid w:val="00E03DDF"/>
    <w:rsid w:val="00E042BA"/>
    <w:rsid w:val="00E05DD8"/>
    <w:rsid w:val="00E061C6"/>
    <w:rsid w:val="00E06AA5"/>
    <w:rsid w:val="00E06DF8"/>
    <w:rsid w:val="00E07312"/>
    <w:rsid w:val="00E1079A"/>
    <w:rsid w:val="00E10ADC"/>
    <w:rsid w:val="00E10C87"/>
    <w:rsid w:val="00E10F5E"/>
    <w:rsid w:val="00E1124E"/>
    <w:rsid w:val="00E11584"/>
    <w:rsid w:val="00E13682"/>
    <w:rsid w:val="00E14614"/>
    <w:rsid w:val="00E14C87"/>
    <w:rsid w:val="00E14D70"/>
    <w:rsid w:val="00E14DDE"/>
    <w:rsid w:val="00E14FEC"/>
    <w:rsid w:val="00E15797"/>
    <w:rsid w:val="00E160D6"/>
    <w:rsid w:val="00E16A4E"/>
    <w:rsid w:val="00E2034D"/>
    <w:rsid w:val="00E206A5"/>
    <w:rsid w:val="00E20F5B"/>
    <w:rsid w:val="00E2113A"/>
    <w:rsid w:val="00E21340"/>
    <w:rsid w:val="00E2180C"/>
    <w:rsid w:val="00E235F7"/>
    <w:rsid w:val="00E238AD"/>
    <w:rsid w:val="00E240C2"/>
    <w:rsid w:val="00E245E1"/>
    <w:rsid w:val="00E25101"/>
    <w:rsid w:val="00E25402"/>
    <w:rsid w:val="00E254BF"/>
    <w:rsid w:val="00E25591"/>
    <w:rsid w:val="00E25F6E"/>
    <w:rsid w:val="00E25F94"/>
    <w:rsid w:val="00E26C4F"/>
    <w:rsid w:val="00E26FF5"/>
    <w:rsid w:val="00E27341"/>
    <w:rsid w:val="00E273FA"/>
    <w:rsid w:val="00E27941"/>
    <w:rsid w:val="00E27F1D"/>
    <w:rsid w:val="00E30157"/>
    <w:rsid w:val="00E307F1"/>
    <w:rsid w:val="00E310AD"/>
    <w:rsid w:val="00E314D1"/>
    <w:rsid w:val="00E3192C"/>
    <w:rsid w:val="00E31E26"/>
    <w:rsid w:val="00E321ED"/>
    <w:rsid w:val="00E3291F"/>
    <w:rsid w:val="00E32950"/>
    <w:rsid w:val="00E3399D"/>
    <w:rsid w:val="00E34C7D"/>
    <w:rsid w:val="00E34E04"/>
    <w:rsid w:val="00E35474"/>
    <w:rsid w:val="00E36BD9"/>
    <w:rsid w:val="00E36C17"/>
    <w:rsid w:val="00E37014"/>
    <w:rsid w:val="00E37D33"/>
    <w:rsid w:val="00E4055F"/>
    <w:rsid w:val="00E40977"/>
    <w:rsid w:val="00E409E2"/>
    <w:rsid w:val="00E4110B"/>
    <w:rsid w:val="00E41629"/>
    <w:rsid w:val="00E42994"/>
    <w:rsid w:val="00E42A17"/>
    <w:rsid w:val="00E43196"/>
    <w:rsid w:val="00E437E5"/>
    <w:rsid w:val="00E44544"/>
    <w:rsid w:val="00E445D5"/>
    <w:rsid w:val="00E45A95"/>
    <w:rsid w:val="00E45B1F"/>
    <w:rsid w:val="00E46BF2"/>
    <w:rsid w:val="00E47000"/>
    <w:rsid w:val="00E471B5"/>
    <w:rsid w:val="00E472EB"/>
    <w:rsid w:val="00E47B23"/>
    <w:rsid w:val="00E47B31"/>
    <w:rsid w:val="00E47BAC"/>
    <w:rsid w:val="00E506DB"/>
    <w:rsid w:val="00E50C6D"/>
    <w:rsid w:val="00E513E7"/>
    <w:rsid w:val="00E525DE"/>
    <w:rsid w:val="00E52D4A"/>
    <w:rsid w:val="00E530DF"/>
    <w:rsid w:val="00E53F9E"/>
    <w:rsid w:val="00E543BC"/>
    <w:rsid w:val="00E54662"/>
    <w:rsid w:val="00E54EFC"/>
    <w:rsid w:val="00E552B2"/>
    <w:rsid w:val="00E5596C"/>
    <w:rsid w:val="00E564FD"/>
    <w:rsid w:val="00E56D57"/>
    <w:rsid w:val="00E56FFF"/>
    <w:rsid w:val="00E5792E"/>
    <w:rsid w:val="00E600B2"/>
    <w:rsid w:val="00E60486"/>
    <w:rsid w:val="00E6095D"/>
    <w:rsid w:val="00E60BDE"/>
    <w:rsid w:val="00E6116F"/>
    <w:rsid w:val="00E61789"/>
    <w:rsid w:val="00E61905"/>
    <w:rsid w:val="00E61D02"/>
    <w:rsid w:val="00E62150"/>
    <w:rsid w:val="00E624F5"/>
    <w:rsid w:val="00E626E8"/>
    <w:rsid w:val="00E631EE"/>
    <w:rsid w:val="00E63472"/>
    <w:rsid w:val="00E63988"/>
    <w:rsid w:val="00E63D97"/>
    <w:rsid w:val="00E63FF8"/>
    <w:rsid w:val="00E64051"/>
    <w:rsid w:val="00E64DF5"/>
    <w:rsid w:val="00E65AB8"/>
    <w:rsid w:val="00E65BE6"/>
    <w:rsid w:val="00E65CFF"/>
    <w:rsid w:val="00E6614B"/>
    <w:rsid w:val="00E66675"/>
    <w:rsid w:val="00E6684B"/>
    <w:rsid w:val="00E66928"/>
    <w:rsid w:val="00E66B09"/>
    <w:rsid w:val="00E67CF0"/>
    <w:rsid w:val="00E70622"/>
    <w:rsid w:val="00E70A1C"/>
    <w:rsid w:val="00E70DCC"/>
    <w:rsid w:val="00E70FE7"/>
    <w:rsid w:val="00E71684"/>
    <w:rsid w:val="00E7182F"/>
    <w:rsid w:val="00E71BB4"/>
    <w:rsid w:val="00E7255D"/>
    <w:rsid w:val="00E72F72"/>
    <w:rsid w:val="00E73B48"/>
    <w:rsid w:val="00E74295"/>
    <w:rsid w:val="00E743C8"/>
    <w:rsid w:val="00E74881"/>
    <w:rsid w:val="00E759BC"/>
    <w:rsid w:val="00E75A18"/>
    <w:rsid w:val="00E75DF3"/>
    <w:rsid w:val="00E76050"/>
    <w:rsid w:val="00E769C1"/>
    <w:rsid w:val="00E772CA"/>
    <w:rsid w:val="00E775F5"/>
    <w:rsid w:val="00E77B34"/>
    <w:rsid w:val="00E77BC0"/>
    <w:rsid w:val="00E77F99"/>
    <w:rsid w:val="00E80B31"/>
    <w:rsid w:val="00E8115B"/>
    <w:rsid w:val="00E8167C"/>
    <w:rsid w:val="00E81AEF"/>
    <w:rsid w:val="00E81B58"/>
    <w:rsid w:val="00E8282C"/>
    <w:rsid w:val="00E83359"/>
    <w:rsid w:val="00E839A5"/>
    <w:rsid w:val="00E83AA9"/>
    <w:rsid w:val="00E83FD8"/>
    <w:rsid w:val="00E845B3"/>
    <w:rsid w:val="00E84D99"/>
    <w:rsid w:val="00E84EFF"/>
    <w:rsid w:val="00E85441"/>
    <w:rsid w:val="00E85612"/>
    <w:rsid w:val="00E85963"/>
    <w:rsid w:val="00E85F5D"/>
    <w:rsid w:val="00E863AF"/>
    <w:rsid w:val="00E86707"/>
    <w:rsid w:val="00E87F7B"/>
    <w:rsid w:val="00E901B6"/>
    <w:rsid w:val="00E903B3"/>
    <w:rsid w:val="00E904D1"/>
    <w:rsid w:val="00E90956"/>
    <w:rsid w:val="00E90E02"/>
    <w:rsid w:val="00E91E42"/>
    <w:rsid w:val="00E91EC5"/>
    <w:rsid w:val="00E92054"/>
    <w:rsid w:val="00E92097"/>
    <w:rsid w:val="00E92111"/>
    <w:rsid w:val="00E92AB2"/>
    <w:rsid w:val="00E9387F"/>
    <w:rsid w:val="00E93F75"/>
    <w:rsid w:val="00E94049"/>
    <w:rsid w:val="00E9530A"/>
    <w:rsid w:val="00E961F1"/>
    <w:rsid w:val="00E972C7"/>
    <w:rsid w:val="00E97875"/>
    <w:rsid w:val="00E979BF"/>
    <w:rsid w:val="00EA058F"/>
    <w:rsid w:val="00EA066B"/>
    <w:rsid w:val="00EA08C6"/>
    <w:rsid w:val="00EA0A92"/>
    <w:rsid w:val="00EA0BFB"/>
    <w:rsid w:val="00EA0DE1"/>
    <w:rsid w:val="00EA1644"/>
    <w:rsid w:val="00EA17F9"/>
    <w:rsid w:val="00EA1A8B"/>
    <w:rsid w:val="00EA2106"/>
    <w:rsid w:val="00EA33A3"/>
    <w:rsid w:val="00EA3679"/>
    <w:rsid w:val="00EA4088"/>
    <w:rsid w:val="00EA447A"/>
    <w:rsid w:val="00EA468A"/>
    <w:rsid w:val="00EA4F83"/>
    <w:rsid w:val="00EA53A3"/>
    <w:rsid w:val="00EA62BB"/>
    <w:rsid w:val="00EA7842"/>
    <w:rsid w:val="00EA7A71"/>
    <w:rsid w:val="00EA7CC1"/>
    <w:rsid w:val="00EB0CC9"/>
    <w:rsid w:val="00EB1039"/>
    <w:rsid w:val="00EB1666"/>
    <w:rsid w:val="00EB1788"/>
    <w:rsid w:val="00EB1870"/>
    <w:rsid w:val="00EB1CA9"/>
    <w:rsid w:val="00EB3F91"/>
    <w:rsid w:val="00EB4352"/>
    <w:rsid w:val="00EB54E0"/>
    <w:rsid w:val="00EB5829"/>
    <w:rsid w:val="00EB6B08"/>
    <w:rsid w:val="00EB6D14"/>
    <w:rsid w:val="00EB6F6B"/>
    <w:rsid w:val="00EB73A3"/>
    <w:rsid w:val="00EB7423"/>
    <w:rsid w:val="00EB76F5"/>
    <w:rsid w:val="00EC0816"/>
    <w:rsid w:val="00EC094B"/>
    <w:rsid w:val="00EC0CD0"/>
    <w:rsid w:val="00EC1A4F"/>
    <w:rsid w:val="00EC2554"/>
    <w:rsid w:val="00EC2929"/>
    <w:rsid w:val="00EC2ACF"/>
    <w:rsid w:val="00EC2E68"/>
    <w:rsid w:val="00EC2FC2"/>
    <w:rsid w:val="00EC39B8"/>
    <w:rsid w:val="00EC4086"/>
    <w:rsid w:val="00EC56BC"/>
    <w:rsid w:val="00EC5D61"/>
    <w:rsid w:val="00EC5FB6"/>
    <w:rsid w:val="00EC626F"/>
    <w:rsid w:val="00EC64EA"/>
    <w:rsid w:val="00EC6AD0"/>
    <w:rsid w:val="00EC6C1C"/>
    <w:rsid w:val="00EC6DBF"/>
    <w:rsid w:val="00EC73EF"/>
    <w:rsid w:val="00EC74F9"/>
    <w:rsid w:val="00EC7900"/>
    <w:rsid w:val="00EC7F41"/>
    <w:rsid w:val="00ED0FEB"/>
    <w:rsid w:val="00ED1024"/>
    <w:rsid w:val="00ED2028"/>
    <w:rsid w:val="00ED2AFB"/>
    <w:rsid w:val="00ED2E47"/>
    <w:rsid w:val="00ED2E81"/>
    <w:rsid w:val="00ED2E9F"/>
    <w:rsid w:val="00ED3452"/>
    <w:rsid w:val="00ED395B"/>
    <w:rsid w:val="00ED3A60"/>
    <w:rsid w:val="00ED4175"/>
    <w:rsid w:val="00ED4252"/>
    <w:rsid w:val="00ED43E5"/>
    <w:rsid w:val="00ED454F"/>
    <w:rsid w:val="00ED4822"/>
    <w:rsid w:val="00ED4923"/>
    <w:rsid w:val="00ED537F"/>
    <w:rsid w:val="00ED56A7"/>
    <w:rsid w:val="00ED6AD3"/>
    <w:rsid w:val="00ED6C3A"/>
    <w:rsid w:val="00ED6E3D"/>
    <w:rsid w:val="00ED6F98"/>
    <w:rsid w:val="00ED785B"/>
    <w:rsid w:val="00ED7D7F"/>
    <w:rsid w:val="00EE081C"/>
    <w:rsid w:val="00EE0BEF"/>
    <w:rsid w:val="00EE1295"/>
    <w:rsid w:val="00EE26A0"/>
    <w:rsid w:val="00EE2921"/>
    <w:rsid w:val="00EE2F49"/>
    <w:rsid w:val="00EE2FA9"/>
    <w:rsid w:val="00EE303C"/>
    <w:rsid w:val="00EE30D1"/>
    <w:rsid w:val="00EE3383"/>
    <w:rsid w:val="00EE3876"/>
    <w:rsid w:val="00EE3B08"/>
    <w:rsid w:val="00EE408E"/>
    <w:rsid w:val="00EE4129"/>
    <w:rsid w:val="00EE442C"/>
    <w:rsid w:val="00EE46DD"/>
    <w:rsid w:val="00EE4903"/>
    <w:rsid w:val="00EE636E"/>
    <w:rsid w:val="00EE669F"/>
    <w:rsid w:val="00EE73C5"/>
    <w:rsid w:val="00EE7603"/>
    <w:rsid w:val="00EE766D"/>
    <w:rsid w:val="00EE7687"/>
    <w:rsid w:val="00EE78B4"/>
    <w:rsid w:val="00EF0B64"/>
    <w:rsid w:val="00EF1123"/>
    <w:rsid w:val="00EF192D"/>
    <w:rsid w:val="00EF2EC9"/>
    <w:rsid w:val="00EF3B8C"/>
    <w:rsid w:val="00EF40DC"/>
    <w:rsid w:val="00EF41E1"/>
    <w:rsid w:val="00EF4699"/>
    <w:rsid w:val="00EF5009"/>
    <w:rsid w:val="00EF58CF"/>
    <w:rsid w:val="00EF5C2F"/>
    <w:rsid w:val="00EF6421"/>
    <w:rsid w:val="00EF6605"/>
    <w:rsid w:val="00EF6C9F"/>
    <w:rsid w:val="00EF6F81"/>
    <w:rsid w:val="00EF7344"/>
    <w:rsid w:val="00EF7966"/>
    <w:rsid w:val="00EF7D24"/>
    <w:rsid w:val="00F001C2"/>
    <w:rsid w:val="00F002CC"/>
    <w:rsid w:val="00F00826"/>
    <w:rsid w:val="00F00EC4"/>
    <w:rsid w:val="00F018CD"/>
    <w:rsid w:val="00F0259A"/>
    <w:rsid w:val="00F02A08"/>
    <w:rsid w:val="00F02FC6"/>
    <w:rsid w:val="00F031E8"/>
    <w:rsid w:val="00F04010"/>
    <w:rsid w:val="00F04217"/>
    <w:rsid w:val="00F04289"/>
    <w:rsid w:val="00F051B6"/>
    <w:rsid w:val="00F05292"/>
    <w:rsid w:val="00F054E5"/>
    <w:rsid w:val="00F05CA0"/>
    <w:rsid w:val="00F0615A"/>
    <w:rsid w:val="00F06232"/>
    <w:rsid w:val="00F06371"/>
    <w:rsid w:val="00F06F73"/>
    <w:rsid w:val="00F0734C"/>
    <w:rsid w:val="00F076C1"/>
    <w:rsid w:val="00F07C7C"/>
    <w:rsid w:val="00F07FFE"/>
    <w:rsid w:val="00F10DD2"/>
    <w:rsid w:val="00F1114D"/>
    <w:rsid w:val="00F1150E"/>
    <w:rsid w:val="00F11607"/>
    <w:rsid w:val="00F11C0E"/>
    <w:rsid w:val="00F12538"/>
    <w:rsid w:val="00F12641"/>
    <w:rsid w:val="00F13D69"/>
    <w:rsid w:val="00F14033"/>
    <w:rsid w:val="00F1409B"/>
    <w:rsid w:val="00F147BF"/>
    <w:rsid w:val="00F14A8D"/>
    <w:rsid w:val="00F14F5A"/>
    <w:rsid w:val="00F151E5"/>
    <w:rsid w:val="00F15320"/>
    <w:rsid w:val="00F15439"/>
    <w:rsid w:val="00F1591D"/>
    <w:rsid w:val="00F15ECB"/>
    <w:rsid w:val="00F16145"/>
    <w:rsid w:val="00F1634E"/>
    <w:rsid w:val="00F16411"/>
    <w:rsid w:val="00F168AB"/>
    <w:rsid w:val="00F16A7E"/>
    <w:rsid w:val="00F16EC7"/>
    <w:rsid w:val="00F176D2"/>
    <w:rsid w:val="00F17FF8"/>
    <w:rsid w:val="00F2007B"/>
    <w:rsid w:val="00F205EF"/>
    <w:rsid w:val="00F207BD"/>
    <w:rsid w:val="00F215DD"/>
    <w:rsid w:val="00F21EC6"/>
    <w:rsid w:val="00F21F45"/>
    <w:rsid w:val="00F229D3"/>
    <w:rsid w:val="00F22FA5"/>
    <w:rsid w:val="00F2379C"/>
    <w:rsid w:val="00F23ED6"/>
    <w:rsid w:val="00F24A4D"/>
    <w:rsid w:val="00F24E32"/>
    <w:rsid w:val="00F25F35"/>
    <w:rsid w:val="00F263BD"/>
    <w:rsid w:val="00F271AF"/>
    <w:rsid w:val="00F2753A"/>
    <w:rsid w:val="00F304D5"/>
    <w:rsid w:val="00F31BCB"/>
    <w:rsid w:val="00F31E19"/>
    <w:rsid w:val="00F32067"/>
    <w:rsid w:val="00F321C5"/>
    <w:rsid w:val="00F32C46"/>
    <w:rsid w:val="00F33C36"/>
    <w:rsid w:val="00F342C1"/>
    <w:rsid w:val="00F34B05"/>
    <w:rsid w:val="00F34FEA"/>
    <w:rsid w:val="00F3543F"/>
    <w:rsid w:val="00F360B8"/>
    <w:rsid w:val="00F360D2"/>
    <w:rsid w:val="00F363B7"/>
    <w:rsid w:val="00F36708"/>
    <w:rsid w:val="00F3694E"/>
    <w:rsid w:val="00F37694"/>
    <w:rsid w:val="00F37A73"/>
    <w:rsid w:val="00F37D25"/>
    <w:rsid w:val="00F40041"/>
    <w:rsid w:val="00F40868"/>
    <w:rsid w:val="00F40CFE"/>
    <w:rsid w:val="00F40DCF"/>
    <w:rsid w:val="00F41887"/>
    <w:rsid w:val="00F41901"/>
    <w:rsid w:val="00F41A2F"/>
    <w:rsid w:val="00F42189"/>
    <w:rsid w:val="00F42305"/>
    <w:rsid w:val="00F425F9"/>
    <w:rsid w:val="00F429D6"/>
    <w:rsid w:val="00F432CC"/>
    <w:rsid w:val="00F43C84"/>
    <w:rsid w:val="00F4482A"/>
    <w:rsid w:val="00F451E7"/>
    <w:rsid w:val="00F454F7"/>
    <w:rsid w:val="00F45BC8"/>
    <w:rsid w:val="00F46255"/>
    <w:rsid w:val="00F46258"/>
    <w:rsid w:val="00F463D7"/>
    <w:rsid w:val="00F47346"/>
    <w:rsid w:val="00F473DA"/>
    <w:rsid w:val="00F478CB"/>
    <w:rsid w:val="00F50727"/>
    <w:rsid w:val="00F5074B"/>
    <w:rsid w:val="00F50FC2"/>
    <w:rsid w:val="00F523A4"/>
    <w:rsid w:val="00F52486"/>
    <w:rsid w:val="00F524A7"/>
    <w:rsid w:val="00F52733"/>
    <w:rsid w:val="00F52946"/>
    <w:rsid w:val="00F52A7C"/>
    <w:rsid w:val="00F52B25"/>
    <w:rsid w:val="00F544CA"/>
    <w:rsid w:val="00F54877"/>
    <w:rsid w:val="00F5497B"/>
    <w:rsid w:val="00F54B49"/>
    <w:rsid w:val="00F54D26"/>
    <w:rsid w:val="00F55323"/>
    <w:rsid w:val="00F55661"/>
    <w:rsid w:val="00F56787"/>
    <w:rsid w:val="00F56A92"/>
    <w:rsid w:val="00F56CD4"/>
    <w:rsid w:val="00F623E0"/>
    <w:rsid w:val="00F62592"/>
    <w:rsid w:val="00F62E1C"/>
    <w:rsid w:val="00F6368E"/>
    <w:rsid w:val="00F6389B"/>
    <w:rsid w:val="00F638C7"/>
    <w:rsid w:val="00F639F2"/>
    <w:rsid w:val="00F64EFE"/>
    <w:rsid w:val="00F656B2"/>
    <w:rsid w:val="00F65CE9"/>
    <w:rsid w:val="00F65F0C"/>
    <w:rsid w:val="00F65FA4"/>
    <w:rsid w:val="00F6645C"/>
    <w:rsid w:val="00F66461"/>
    <w:rsid w:val="00F66726"/>
    <w:rsid w:val="00F676B9"/>
    <w:rsid w:val="00F67D03"/>
    <w:rsid w:val="00F707F8"/>
    <w:rsid w:val="00F714FF"/>
    <w:rsid w:val="00F737AF"/>
    <w:rsid w:val="00F744E0"/>
    <w:rsid w:val="00F74596"/>
    <w:rsid w:val="00F745A9"/>
    <w:rsid w:val="00F74847"/>
    <w:rsid w:val="00F74CAE"/>
    <w:rsid w:val="00F758E0"/>
    <w:rsid w:val="00F768BF"/>
    <w:rsid w:val="00F76DF0"/>
    <w:rsid w:val="00F76E85"/>
    <w:rsid w:val="00F772D4"/>
    <w:rsid w:val="00F77CCE"/>
    <w:rsid w:val="00F80642"/>
    <w:rsid w:val="00F80C86"/>
    <w:rsid w:val="00F81082"/>
    <w:rsid w:val="00F8113B"/>
    <w:rsid w:val="00F816D9"/>
    <w:rsid w:val="00F817E3"/>
    <w:rsid w:val="00F81BB2"/>
    <w:rsid w:val="00F81F14"/>
    <w:rsid w:val="00F82562"/>
    <w:rsid w:val="00F82D0E"/>
    <w:rsid w:val="00F82D5B"/>
    <w:rsid w:val="00F834A1"/>
    <w:rsid w:val="00F838DA"/>
    <w:rsid w:val="00F8511F"/>
    <w:rsid w:val="00F85228"/>
    <w:rsid w:val="00F85A7D"/>
    <w:rsid w:val="00F85FF9"/>
    <w:rsid w:val="00F8646B"/>
    <w:rsid w:val="00F86670"/>
    <w:rsid w:val="00F869E4"/>
    <w:rsid w:val="00F870DB"/>
    <w:rsid w:val="00F874E9"/>
    <w:rsid w:val="00F87650"/>
    <w:rsid w:val="00F9035D"/>
    <w:rsid w:val="00F90B3C"/>
    <w:rsid w:val="00F90BF0"/>
    <w:rsid w:val="00F90F85"/>
    <w:rsid w:val="00F91617"/>
    <w:rsid w:val="00F916B7"/>
    <w:rsid w:val="00F919C4"/>
    <w:rsid w:val="00F91E5E"/>
    <w:rsid w:val="00F921FF"/>
    <w:rsid w:val="00F92715"/>
    <w:rsid w:val="00F92D91"/>
    <w:rsid w:val="00F930B4"/>
    <w:rsid w:val="00F936A8"/>
    <w:rsid w:val="00F939DE"/>
    <w:rsid w:val="00F9486A"/>
    <w:rsid w:val="00F949B9"/>
    <w:rsid w:val="00F94A9F"/>
    <w:rsid w:val="00F94B65"/>
    <w:rsid w:val="00F94DAE"/>
    <w:rsid w:val="00F94EE9"/>
    <w:rsid w:val="00F95010"/>
    <w:rsid w:val="00F95CAD"/>
    <w:rsid w:val="00F97581"/>
    <w:rsid w:val="00F9797A"/>
    <w:rsid w:val="00F97F39"/>
    <w:rsid w:val="00FA02DB"/>
    <w:rsid w:val="00FA099C"/>
    <w:rsid w:val="00FA0A6D"/>
    <w:rsid w:val="00FA0C2D"/>
    <w:rsid w:val="00FA0FC3"/>
    <w:rsid w:val="00FA10B9"/>
    <w:rsid w:val="00FA123B"/>
    <w:rsid w:val="00FA1720"/>
    <w:rsid w:val="00FA1ECA"/>
    <w:rsid w:val="00FA3134"/>
    <w:rsid w:val="00FA339D"/>
    <w:rsid w:val="00FA358A"/>
    <w:rsid w:val="00FA4271"/>
    <w:rsid w:val="00FA456F"/>
    <w:rsid w:val="00FA482C"/>
    <w:rsid w:val="00FA4983"/>
    <w:rsid w:val="00FA5E2C"/>
    <w:rsid w:val="00FA620D"/>
    <w:rsid w:val="00FA68AD"/>
    <w:rsid w:val="00FA69D0"/>
    <w:rsid w:val="00FA7BEF"/>
    <w:rsid w:val="00FB0142"/>
    <w:rsid w:val="00FB0289"/>
    <w:rsid w:val="00FB04F3"/>
    <w:rsid w:val="00FB0970"/>
    <w:rsid w:val="00FB0A7D"/>
    <w:rsid w:val="00FB1AF9"/>
    <w:rsid w:val="00FB2A7F"/>
    <w:rsid w:val="00FB2D62"/>
    <w:rsid w:val="00FB304E"/>
    <w:rsid w:val="00FB319A"/>
    <w:rsid w:val="00FB391A"/>
    <w:rsid w:val="00FB3CBB"/>
    <w:rsid w:val="00FB4119"/>
    <w:rsid w:val="00FB44C8"/>
    <w:rsid w:val="00FB4520"/>
    <w:rsid w:val="00FB4640"/>
    <w:rsid w:val="00FB4B92"/>
    <w:rsid w:val="00FB4F68"/>
    <w:rsid w:val="00FB509F"/>
    <w:rsid w:val="00FB5620"/>
    <w:rsid w:val="00FB569E"/>
    <w:rsid w:val="00FB6959"/>
    <w:rsid w:val="00FB6995"/>
    <w:rsid w:val="00FB709C"/>
    <w:rsid w:val="00FB7788"/>
    <w:rsid w:val="00FC00CC"/>
    <w:rsid w:val="00FC04D4"/>
    <w:rsid w:val="00FC0616"/>
    <w:rsid w:val="00FC0B20"/>
    <w:rsid w:val="00FC0EA0"/>
    <w:rsid w:val="00FC1634"/>
    <w:rsid w:val="00FC21E0"/>
    <w:rsid w:val="00FC2BAB"/>
    <w:rsid w:val="00FC312A"/>
    <w:rsid w:val="00FC3C19"/>
    <w:rsid w:val="00FC4161"/>
    <w:rsid w:val="00FC44D9"/>
    <w:rsid w:val="00FC4A1E"/>
    <w:rsid w:val="00FC4B76"/>
    <w:rsid w:val="00FC524D"/>
    <w:rsid w:val="00FC544C"/>
    <w:rsid w:val="00FC5A66"/>
    <w:rsid w:val="00FC5AB8"/>
    <w:rsid w:val="00FC5B0B"/>
    <w:rsid w:val="00FC5C0F"/>
    <w:rsid w:val="00FC5C2F"/>
    <w:rsid w:val="00FC6062"/>
    <w:rsid w:val="00FC6393"/>
    <w:rsid w:val="00FC6A35"/>
    <w:rsid w:val="00FC6B8A"/>
    <w:rsid w:val="00FC7625"/>
    <w:rsid w:val="00FC7784"/>
    <w:rsid w:val="00FC7CDF"/>
    <w:rsid w:val="00FD0BFD"/>
    <w:rsid w:val="00FD0D4E"/>
    <w:rsid w:val="00FD1676"/>
    <w:rsid w:val="00FD1924"/>
    <w:rsid w:val="00FD204E"/>
    <w:rsid w:val="00FD37C1"/>
    <w:rsid w:val="00FD3D3F"/>
    <w:rsid w:val="00FD45BD"/>
    <w:rsid w:val="00FD4B0D"/>
    <w:rsid w:val="00FD4C04"/>
    <w:rsid w:val="00FD4C22"/>
    <w:rsid w:val="00FD4DC3"/>
    <w:rsid w:val="00FD5274"/>
    <w:rsid w:val="00FD537E"/>
    <w:rsid w:val="00FD53A2"/>
    <w:rsid w:val="00FD642D"/>
    <w:rsid w:val="00FD675E"/>
    <w:rsid w:val="00FD6B10"/>
    <w:rsid w:val="00FD6FAB"/>
    <w:rsid w:val="00FD74CB"/>
    <w:rsid w:val="00FD7C98"/>
    <w:rsid w:val="00FD7CC7"/>
    <w:rsid w:val="00FD7D5C"/>
    <w:rsid w:val="00FE03F9"/>
    <w:rsid w:val="00FE0781"/>
    <w:rsid w:val="00FE1932"/>
    <w:rsid w:val="00FE1C1B"/>
    <w:rsid w:val="00FE221D"/>
    <w:rsid w:val="00FE22E0"/>
    <w:rsid w:val="00FE23A8"/>
    <w:rsid w:val="00FE2543"/>
    <w:rsid w:val="00FE2F2E"/>
    <w:rsid w:val="00FE3109"/>
    <w:rsid w:val="00FE3339"/>
    <w:rsid w:val="00FE3C31"/>
    <w:rsid w:val="00FE490C"/>
    <w:rsid w:val="00FE492D"/>
    <w:rsid w:val="00FE4981"/>
    <w:rsid w:val="00FE4ABA"/>
    <w:rsid w:val="00FE5341"/>
    <w:rsid w:val="00FE564D"/>
    <w:rsid w:val="00FE56ED"/>
    <w:rsid w:val="00FE5814"/>
    <w:rsid w:val="00FE5A2F"/>
    <w:rsid w:val="00FE5C86"/>
    <w:rsid w:val="00FE5D67"/>
    <w:rsid w:val="00FE601A"/>
    <w:rsid w:val="00FE6075"/>
    <w:rsid w:val="00FE6291"/>
    <w:rsid w:val="00FE6588"/>
    <w:rsid w:val="00FE7271"/>
    <w:rsid w:val="00FE7AE9"/>
    <w:rsid w:val="00FE7BC6"/>
    <w:rsid w:val="00FE7CD2"/>
    <w:rsid w:val="00FF0091"/>
    <w:rsid w:val="00FF0425"/>
    <w:rsid w:val="00FF05AE"/>
    <w:rsid w:val="00FF0CB6"/>
    <w:rsid w:val="00FF0DEF"/>
    <w:rsid w:val="00FF12A1"/>
    <w:rsid w:val="00FF1741"/>
    <w:rsid w:val="00FF2032"/>
    <w:rsid w:val="00FF291F"/>
    <w:rsid w:val="00FF2AB3"/>
    <w:rsid w:val="00FF2CB0"/>
    <w:rsid w:val="00FF3059"/>
    <w:rsid w:val="00FF3247"/>
    <w:rsid w:val="00FF327E"/>
    <w:rsid w:val="00FF362A"/>
    <w:rsid w:val="00FF37C1"/>
    <w:rsid w:val="00FF46E8"/>
    <w:rsid w:val="00FF48EA"/>
    <w:rsid w:val="00FF4CE5"/>
    <w:rsid w:val="00FF5630"/>
    <w:rsid w:val="00FF56EA"/>
    <w:rsid w:val="00FF5DC1"/>
    <w:rsid w:val="00FF6B3A"/>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FD52408-409E-462C-AA59-1C43C1A58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nhideWhenUsed="1"/>
    <w:lsdException w:name="Table Grid 5" w:semiHidden="1" w:uiPriority="99"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uiPriority w:val="9"/>
    <w:qFormat/>
    <w:rsid w:val="001203B6"/>
    <w:pPr>
      <w:keepNext/>
      <w:tabs>
        <w:tab w:val="left" w:pos="567"/>
      </w:tabs>
      <w:spacing w:before="0" w:after="480" w:line="276" w:lineRule="auto"/>
      <w:ind w:firstLine="426"/>
      <w:outlineLvl w:val="0"/>
    </w:pPr>
    <w:rPr>
      <w:sz w:val="28"/>
      <w:szCs w:val="20"/>
      <w:lang w:val="en-US"/>
    </w:rPr>
  </w:style>
  <w:style w:type="paragraph" w:styleId="Heading2">
    <w:name w:val="heading 2"/>
    <w:aliases w:val="(Chapter),Paranum,Body"/>
    <w:basedOn w:val="Normal"/>
    <w:next w:val="Normal"/>
    <w:link w:val="Heading2Char"/>
    <w:autoRedefine/>
    <w:uiPriority w:val="9"/>
    <w:qFormat/>
    <w:rsid w:val="00892AE2"/>
    <w:pPr>
      <w:keepNext/>
      <w:spacing w:before="240" w:after="360" w:line="276" w:lineRule="auto"/>
      <w:jc w:val="center"/>
      <w:outlineLvl w:val="1"/>
    </w:pPr>
    <w:rPr>
      <w:rFonts w:eastAsia="Calibri" w:cs="Times LatArm"/>
      <w:sz w:val="28"/>
      <w:szCs w:val="28"/>
      <w:lang w:val="hy-AM" w:eastAsia="en-US"/>
    </w:rPr>
  </w:style>
  <w:style w:type="paragraph" w:styleId="Heading3">
    <w:name w:val="heading 3"/>
    <w:aliases w:val="Centered,(text),(Sub-Chapter),Heading 3 Char Char Char Char Char Char"/>
    <w:basedOn w:val="Normal"/>
    <w:next w:val="Normal"/>
    <w:link w:val="Heading3Char"/>
    <w:autoRedefine/>
    <w:uiPriority w:val="9"/>
    <w:qFormat/>
    <w:rsid w:val="00EF6F81"/>
    <w:pPr>
      <w:keepNext/>
      <w:tabs>
        <w:tab w:val="left" w:pos="709"/>
      </w:tabs>
      <w:spacing w:before="240" w:line="276" w:lineRule="auto"/>
      <w:ind w:firstLine="0"/>
      <w:jc w:val="center"/>
      <w:outlineLvl w:val="2"/>
    </w:pPr>
    <w:rPr>
      <w:rFonts w:eastAsia="Calibri" w:cs="GHEA Grapalat"/>
      <w:bCs/>
      <w:sz w:val="24"/>
      <w:szCs w:val="26"/>
      <w:lang w:val="af-ZA" w:eastAsia="en-US"/>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uiPriority w:val="99"/>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ebb"/>
    <w:basedOn w:val="Normal"/>
    <w:link w:val="NormalWebChar"/>
    <w:uiPriority w:val="99"/>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rPr>
  </w:style>
  <w:style w:type="paragraph" w:styleId="Header">
    <w:name w:val="header"/>
    <w:aliases w:val="Header Char Char Char Char Char Char Char Char Char Char,Header Char Char Char Char Char Char Char Char Char Char Char Char,h"/>
    <w:basedOn w:val="Normal"/>
    <w:link w:val="HeaderChar"/>
    <w:uiPriority w:val="99"/>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5E2632"/>
    <w:pPr>
      <w:spacing w:before="0" w:line="276" w:lineRule="auto"/>
      <w:ind w:left="2" w:firstLine="718"/>
    </w:pPr>
    <w:rPr>
      <w:rFonts w:eastAsia="Calibri"/>
      <w:b w:val="0"/>
      <w:szCs w:val="22"/>
      <w:lang w:val="hy-AM" w:eastAsia="en-US"/>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0">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uiPriority w:val="99"/>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uiPriority w:val="99"/>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OBC Bullet"/>
    <w:basedOn w:val="Normal"/>
    <w:link w:val="ListParagraphChar"/>
    <w:qFormat/>
    <w:rsid w:val="00DA54A9"/>
    <w:pPr>
      <w:ind w:left="720"/>
    </w:p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link w:val="DefaultChar"/>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uiPriority w:val="99"/>
    <w:rsid w:val="00C719CB"/>
    <w:pPr>
      <w:jc w:val="center"/>
    </w:pPr>
    <w:rPr>
      <w:rFonts w:ascii="Arial Armenian" w:hAnsi="Arial Armenian"/>
      <w:szCs w:val="20"/>
      <w:lang w:val="en-US"/>
    </w:rPr>
  </w:style>
  <w:style w:type="character" w:customStyle="1" w:styleId="mechtexChar">
    <w:name w:val="mechtex Char"/>
    <w:link w:val="mechtex"/>
    <w:uiPriority w:val="99"/>
    <w:rsid w:val="00C719CB"/>
    <w:rPr>
      <w:rFonts w:ascii="Arial Armenian" w:hAnsi="Arial Armenian"/>
      <w:sz w:val="22"/>
      <w:lang w:val="en-US" w:eastAsia="ru-RU" w:bidi="ar-SA"/>
    </w:rPr>
  </w:style>
  <w:style w:type="character" w:styleId="Strong">
    <w:name w:val="Strong"/>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uiPriority w:val="99"/>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uiPriority w:val="99"/>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uiPriority w:val="99"/>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866D50"/>
    <w:pPr>
      <w:keepNext/>
      <w:numPr>
        <w:numId w:val="17"/>
      </w:numPr>
      <w:spacing w:before="0" w:line="276" w:lineRule="auto"/>
      <w:ind w:hanging="1350"/>
      <w:contextualSpacing w:val="0"/>
      <w:jc w:val="left"/>
    </w:pPr>
    <w:rPr>
      <w:rFonts w:cs="Sylfaen"/>
      <w:szCs w:val="22"/>
      <w:lang w:val="af-ZA"/>
    </w:rPr>
  </w:style>
  <w:style w:type="paragraph" w:customStyle="1" w:styleId="Charts">
    <w:name w:val="Charts"/>
    <w:basedOn w:val="Normal"/>
    <w:autoRedefine/>
    <w:qFormat/>
    <w:rsid w:val="00263EE6"/>
    <w:pPr>
      <w:keepNext/>
      <w:numPr>
        <w:numId w:val="18"/>
      </w:numPr>
      <w:tabs>
        <w:tab w:val="left" w:pos="795"/>
      </w:tabs>
      <w:spacing w:before="360" w:after="120" w:line="240" w:lineRule="auto"/>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uiPriority w:val="99"/>
    <w:qFormat/>
    <w:rsid w:val="00DE6C7D"/>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uiPriority w:val="99"/>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uiPriority w:val="99"/>
    <w:rsid w:val="00DE6C7D"/>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7730AA"/>
    <w:pPr>
      <w:widowControl w:val="0"/>
      <w:spacing w:before="240" w:line="276" w:lineRule="auto"/>
      <w:ind w:firstLine="720"/>
    </w:pPr>
    <w:rPr>
      <w:rFonts w:eastAsia="Calibri" w:cs="Sylfaen"/>
      <w:b w:val="0"/>
      <w:szCs w:val="22"/>
      <w:lang w:val="af-ZA"/>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uiPriority w:val="99"/>
    <w:rsid w:val="00FA0FC3"/>
    <w:rPr>
      <w:sz w:val="16"/>
      <w:szCs w:val="16"/>
    </w:rPr>
  </w:style>
  <w:style w:type="paragraph" w:styleId="CommentText">
    <w:name w:val="annotation text"/>
    <w:basedOn w:val="Normal"/>
    <w:link w:val="CommentTextChar"/>
    <w:uiPriority w:val="99"/>
    <w:rsid w:val="00FA0FC3"/>
    <w:pPr>
      <w:spacing w:line="240" w:lineRule="auto"/>
    </w:pPr>
    <w:rPr>
      <w:sz w:val="20"/>
      <w:szCs w:val="20"/>
    </w:rPr>
  </w:style>
  <w:style w:type="character" w:customStyle="1" w:styleId="CommentTextChar">
    <w:name w:val="Comment Text Char"/>
    <w:basedOn w:val="DefaultParagraphFont"/>
    <w:link w:val="CommentText"/>
    <w:uiPriority w:val="99"/>
    <w:rsid w:val="00FA0FC3"/>
    <w:rPr>
      <w:rFonts w:ascii="GHEA Grapalat" w:hAnsi="GHEA Grapalat"/>
      <w:lang w:val="ru-RU" w:eastAsia="ru-RU"/>
    </w:rPr>
  </w:style>
  <w:style w:type="paragraph" w:styleId="CommentSubject">
    <w:name w:val="annotation subject"/>
    <w:basedOn w:val="CommentText"/>
    <w:next w:val="CommentText"/>
    <w:link w:val="CommentSubjectChar"/>
    <w:uiPriority w:val="99"/>
    <w:rsid w:val="00FA0FC3"/>
    <w:rPr>
      <w:b w:val="0"/>
      <w:bCs/>
    </w:rPr>
  </w:style>
  <w:style w:type="character" w:customStyle="1" w:styleId="CommentSubjectChar">
    <w:name w:val="Comment Subject Char"/>
    <w:basedOn w:val="CommentTextChar"/>
    <w:link w:val="CommentSubject"/>
    <w:uiPriority w:val="99"/>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uiPriority w:val="39"/>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ebb Char"/>
    <w:link w:val="NormalWeb"/>
    <w:uiPriority w:val="99"/>
    <w:locked/>
    <w:rsid w:val="008E54BF"/>
    <w:rPr>
      <w:rFonts w:ascii="GHEA Grapalat" w:hAnsi="GHEA Grapalat"/>
      <w:sz w:val="22"/>
      <w:szCs w:val="24"/>
      <w:lang w:val="ru-RU" w:eastAsia="ru-RU"/>
    </w:rPr>
  </w:style>
  <w:style w:type="numbering" w:customStyle="1" w:styleId="NoList1">
    <w:name w:val="No List1"/>
    <w:next w:val="NoList"/>
    <w:uiPriority w:val="99"/>
    <w:semiHidden/>
    <w:unhideWhenUsed/>
    <w:rsid w:val="008E54BF"/>
  </w:style>
  <w:style w:type="character" w:customStyle="1" w:styleId="Heading1Char">
    <w:name w:val="Heading 1 Char"/>
    <w:aliases w:val="(Text) Char,(Section) Char,Section Heading Char,1 Char, 1 Char,Chapter Char,head3 Char"/>
    <w:link w:val="Heading1"/>
    <w:uiPriority w:val="9"/>
    <w:rsid w:val="001203B6"/>
    <w:rPr>
      <w:rFonts w:ascii="GHEA Grapalat" w:hAnsi="GHEA Grapalat"/>
      <w:b/>
      <w:sz w:val="28"/>
      <w:lang w:eastAsia="ru-RU"/>
    </w:rPr>
  </w:style>
  <w:style w:type="character" w:customStyle="1" w:styleId="Heading2Char">
    <w:name w:val="Heading 2 Char"/>
    <w:aliases w:val="(Chapter) Char,Paranum Char,Body Char"/>
    <w:link w:val="Heading2"/>
    <w:uiPriority w:val="9"/>
    <w:rsid w:val="00892AE2"/>
    <w:rPr>
      <w:rFonts w:ascii="GHEA Grapalat" w:eastAsia="Calibri" w:hAnsi="GHEA Grapalat" w:cs="Times LatArm"/>
      <w:b/>
      <w:sz w:val="28"/>
      <w:szCs w:val="28"/>
      <w:lang w:val="hy-AM"/>
    </w:rPr>
  </w:style>
  <w:style w:type="character" w:customStyle="1" w:styleId="Heading3Char">
    <w:name w:val="Heading 3 Char"/>
    <w:aliases w:val="Centered Char2,(text) Char2,(Sub-Chapter) Char2,Heading 3 Char Char Char Char Char Char Char2"/>
    <w:link w:val="Heading3"/>
    <w:uiPriority w:val="9"/>
    <w:rsid w:val="00EF6F81"/>
    <w:rPr>
      <w:rFonts w:ascii="GHEA Grapalat" w:eastAsia="Calibri" w:hAnsi="GHEA Grapalat" w:cs="GHEA Grapalat"/>
      <w:b/>
      <w:bCs/>
      <w:sz w:val="24"/>
      <w:szCs w:val="26"/>
      <w:lang w:val="af-ZA"/>
    </w:rPr>
  </w:style>
  <w:style w:type="character" w:customStyle="1" w:styleId="Heading4Char">
    <w:name w:val="Heading 4 Char"/>
    <w:aliases w:val="Centred Char"/>
    <w:link w:val="Heading4"/>
    <w:rsid w:val="004D4C68"/>
    <w:rPr>
      <w:rFonts w:ascii="GHEA Grapalat" w:hAnsi="GHEA Grapalat"/>
      <w:b/>
      <w:sz w:val="22"/>
      <w:lang w:val="en-GB"/>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5E2632"/>
    <w:rPr>
      <w:rFonts w:ascii="GHEA Grapalat" w:eastAsia="Calibri" w:hAnsi="GHEA Grapalat"/>
      <w:sz w:val="22"/>
      <w:szCs w:val="22"/>
      <w:lang w:val="hy-AM"/>
    </w:rPr>
  </w:style>
  <w:style w:type="character" w:customStyle="1" w:styleId="BodyText3Char">
    <w:name w:val="Body Text 3 Char"/>
    <w:link w:val="BodyText3"/>
    <w:uiPriority w:val="99"/>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uiPriority w:val="99"/>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uiPriority w:val="99"/>
    <w:rsid w:val="008E54BF"/>
    <w:rPr>
      <w:rFonts w:ascii="Tahoma" w:hAnsi="Tahoma" w:cs="Tahoma"/>
      <w:sz w:val="16"/>
      <w:szCs w:val="16"/>
      <w:lang w:val="ru-RU" w:eastAsia="ru-RU"/>
    </w:rPr>
  </w:style>
  <w:style w:type="table" w:customStyle="1" w:styleId="TableGrid1">
    <w:name w:val="Table Grid1"/>
    <w:basedOn w:val="TableNormal"/>
    <w:next w:val="TableGrid"/>
    <w:uiPriority w:val="39"/>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E513E7"/>
    <w:pPr>
      <w:tabs>
        <w:tab w:val="left" w:pos="1843"/>
        <w:tab w:val="right" w:leader="dot" w:pos="9923"/>
      </w:tabs>
      <w:spacing w:before="0" w:line="240" w:lineRule="auto"/>
      <w:ind w:firstLine="720"/>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rPr>
  </w:style>
  <w:style w:type="character" w:customStyle="1" w:styleId="Heading9Char">
    <w:name w:val="Heading 9 Char"/>
    <w:basedOn w:val="DefaultParagraphFont"/>
    <w:link w:val="Heading9"/>
    <w:rsid w:val="00060470"/>
    <w:rPr>
      <w:rFonts w:ascii="Garamond" w:hAnsi="Garamond"/>
      <w:b/>
      <w:i/>
      <w:kern w:val="28"/>
      <w:sz w:val="16"/>
      <w:lang w:val="en-GB"/>
    </w:rPr>
  </w:style>
  <w:style w:type="character" w:customStyle="1" w:styleId="FooterChar1">
    <w:name w:val="Footer Char1"/>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1">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2"/>
      </w:numPr>
      <w:tabs>
        <w:tab w:val="clear" w:pos="540"/>
      </w:tabs>
      <w:spacing w:before="0" w:line="240" w:lineRule="auto"/>
      <w:ind w:left="0" w:firstLine="0"/>
      <w:contextualSpacing w:val="0"/>
      <w:jc w:val="left"/>
    </w:pPr>
    <w:rPr>
      <w:rFonts w:ascii="Courier New" w:hAnsi="Courier New"/>
      <w:sz w:val="20"/>
      <w:szCs w:val="20"/>
    </w:rPr>
  </w:style>
  <w:style w:type="character" w:customStyle="1" w:styleId="PlainTextChar">
    <w:name w:val="Plain Text Char"/>
    <w:basedOn w:val="DefaultParagraphFont"/>
    <w:link w:val="PlainText"/>
    <w:rsid w:val="00060470"/>
    <w:rPr>
      <w:rFonts w:ascii="Courier New" w:hAnsi="Courier New"/>
      <w:b/>
      <w:lang w:val="ru-RU" w:eastAsia="ru-RU"/>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10">
    <w:name w:val="Абзац списка1"/>
    <w:basedOn w:val="Normal"/>
    <w:uiPriority w:val="99"/>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link w:val="Char2"/>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spacing w:before="0"/>
      <w:ind w:left="928" w:hanging="360"/>
      <w:contextualSpacing w:val="0"/>
    </w:pPr>
    <w:rPr>
      <w:rFonts w:ascii="Times Armenian" w:hAnsi="Times Armenian" w:cs="Times New Roman"/>
      <w:bCs w:val="0"/>
      <w:i/>
      <w:iCs/>
      <w:spacing w:val="-5"/>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Heading 3 Char2"/>
    <w:rsid w:val="00060470"/>
    <w:rPr>
      <w:rFonts w:ascii="Times Armenian" w:hAnsi="Times Armenian"/>
      <w:sz w:val="24"/>
      <w:lang w:val="fr-FR" w:eastAsia="en-US" w:bidi="ar-SA"/>
    </w:rPr>
  </w:style>
  <w:style w:type="character" w:customStyle="1" w:styleId="CharChar16">
    <w:name w:val="Char Char16"/>
    <w:uiPriority w:val="99"/>
    <w:rsid w:val="00060470"/>
    <w:rPr>
      <w:b/>
      <w:sz w:val="32"/>
      <w:lang w:val="en-GB" w:eastAsia="en-US" w:bidi="ar-SA"/>
    </w:rPr>
  </w:style>
  <w:style w:type="character" w:customStyle="1" w:styleId="CharChar14">
    <w:name w:val="Char Char14"/>
    <w:uiPriority w:val="99"/>
    <w:rsid w:val="00060470"/>
    <w:rPr>
      <w:sz w:val="22"/>
      <w:lang w:val="en-GB" w:eastAsia="en-US" w:bidi="ar-SA"/>
    </w:rPr>
  </w:style>
  <w:style w:type="character" w:customStyle="1" w:styleId="CharChar15">
    <w:name w:val="Char Char15"/>
    <w:uiPriority w:val="99"/>
    <w:rsid w:val="00060470"/>
    <w:rPr>
      <w:sz w:val="36"/>
      <w:lang w:val="en-GB" w:eastAsia="en-US" w:bidi="ar-SA"/>
    </w:rPr>
  </w:style>
  <w:style w:type="character" w:customStyle="1" w:styleId="CharChar13">
    <w:name w:val="Char Char13"/>
    <w:uiPriority w:val="99"/>
    <w:rsid w:val="00060470"/>
    <w:rPr>
      <w:sz w:val="22"/>
      <w:lang w:val="en-GB" w:eastAsia="en-US" w:bidi="ar-SA"/>
    </w:rPr>
  </w:style>
  <w:style w:type="character" w:customStyle="1" w:styleId="CharChar12">
    <w:name w:val="Char Char12"/>
    <w:uiPriority w:val="99"/>
    <w:rsid w:val="00060470"/>
    <w:rPr>
      <w:sz w:val="22"/>
      <w:lang w:val="en-GB" w:eastAsia="en-US" w:bidi="ar-SA"/>
    </w:rPr>
  </w:style>
  <w:style w:type="character" w:customStyle="1" w:styleId="CharChar11">
    <w:name w:val="Char Char11"/>
    <w:uiPriority w:val="99"/>
    <w:rsid w:val="00060470"/>
    <w:rPr>
      <w:rFonts w:ascii="Times Armenian" w:hAnsi="Times Armenian"/>
      <w:b/>
      <w:bCs/>
      <w:sz w:val="32"/>
      <w:szCs w:val="24"/>
      <w:lang w:val="fr-FR" w:eastAsia="en-US" w:bidi="ar-SA"/>
    </w:rPr>
  </w:style>
  <w:style w:type="character" w:customStyle="1" w:styleId="CharChar10">
    <w:name w:val="Char Char10"/>
    <w:uiPriority w:val="99"/>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uiPriority w:val="9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Body Text Char4,Body Text (Main text) Char4"/>
    <w:uiPriority w:val="99"/>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uiPriority w:val="99"/>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uiPriority w:val="99"/>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aliases w:val="1Text Char1"/>
    <w:link w:val="1Text1"/>
    <w:locked/>
    <w:rsid w:val="00060470"/>
    <w:rPr>
      <w:rFonts w:cs="Times New Roman"/>
    </w:rPr>
  </w:style>
  <w:style w:type="paragraph" w:customStyle="1" w:styleId="11">
    <w:name w:val="Рецензия1"/>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aliases w:val="1Text Char2"/>
    <w:uiPriority w:val="99"/>
    <w:rsid w:val="00060470"/>
    <w:rPr>
      <w:sz w:val="24"/>
      <w:szCs w:val="24"/>
    </w:rPr>
  </w:style>
  <w:style w:type="numbering" w:customStyle="1" w:styleId="NoList2">
    <w:name w:val="No List2"/>
    <w:next w:val="NoList"/>
    <w:semiHidden/>
    <w:rsid w:val="00060470"/>
  </w:style>
  <w:style w:type="paragraph" w:customStyle="1" w:styleId="12">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0">
    <w:name w:val="Char2"/>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rsid w:val="00060470"/>
    <w:rPr>
      <w:b/>
      <w:sz w:val="32"/>
      <w:lang w:val="en-GB" w:eastAsia="en-US"/>
    </w:rPr>
  </w:style>
  <w:style w:type="character" w:customStyle="1" w:styleId="CharChar141">
    <w:name w:val="Char Char141"/>
    <w:rsid w:val="00060470"/>
    <w:rPr>
      <w:sz w:val="22"/>
      <w:lang w:val="en-GB" w:eastAsia="en-US"/>
    </w:rPr>
  </w:style>
  <w:style w:type="character" w:customStyle="1" w:styleId="CharChar151">
    <w:name w:val="Char Char151"/>
    <w:rsid w:val="00060470"/>
    <w:rPr>
      <w:sz w:val="36"/>
      <w:lang w:val="en-GB" w:eastAsia="en-US"/>
    </w:rPr>
  </w:style>
  <w:style w:type="character" w:customStyle="1" w:styleId="CharChar131">
    <w:name w:val="Char Char131"/>
    <w:rsid w:val="00060470"/>
    <w:rPr>
      <w:sz w:val="22"/>
      <w:lang w:val="en-GB" w:eastAsia="en-US"/>
    </w:rPr>
  </w:style>
  <w:style w:type="character" w:customStyle="1" w:styleId="CharChar121">
    <w:name w:val="Char Char121"/>
    <w:rsid w:val="00060470"/>
    <w:rPr>
      <w:sz w:val="22"/>
      <w:lang w:val="en-GB" w:eastAsia="en-US"/>
    </w:rPr>
  </w:style>
  <w:style w:type="character" w:customStyle="1" w:styleId="CharChar111">
    <w:name w:val="Char Char111"/>
    <w:rsid w:val="00060470"/>
    <w:rPr>
      <w:rFonts w:ascii="Times Armenian" w:hAnsi="Times Armenian"/>
      <w:b/>
      <w:sz w:val="24"/>
      <w:lang w:val="fr-FR" w:eastAsia="en-US"/>
    </w:rPr>
  </w:style>
  <w:style w:type="character" w:customStyle="1" w:styleId="CharChar101">
    <w:name w:val="Char Char101"/>
    <w:rsid w:val="00060470"/>
    <w:rPr>
      <w:rFonts w:ascii="Times Armenian" w:hAnsi="Times Armenian"/>
      <w:color w:val="993300"/>
      <w:sz w:val="24"/>
      <w:lang w:val="hy-AM" w:eastAsia="en-US"/>
    </w:rPr>
  </w:style>
  <w:style w:type="character" w:customStyle="1" w:styleId="CharChar91">
    <w:name w:val="Char Char91"/>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rPr>
  </w:style>
  <w:style w:type="character" w:customStyle="1" w:styleId="Heading9Char1">
    <w:name w:val="Heading 9 Char1"/>
    <w:rsid w:val="00060470"/>
    <w:rPr>
      <w:rFonts w:ascii="Garamond" w:eastAsia="Times New Roman" w:hAnsi="Garamond" w:cs="Times New Roman"/>
      <w:b/>
      <w:i/>
      <w:kern w:val="28"/>
      <w:sz w:val="20"/>
      <w:szCs w:val="20"/>
      <w:lang w:val="en-GB"/>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link w:val="BodyTextIndent2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2">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1"/>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3">
    <w:name w:val="???????? ?????"/>
    <w:basedOn w:val="a1"/>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4">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0">
    <w:name w:val="????????? 11"/>
    <w:basedOn w:val="20"/>
    <w:next w:val="20"/>
    <w:rsid w:val="00060470"/>
    <w:pPr>
      <w:keepNext/>
      <w:spacing w:line="360" w:lineRule="auto"/>
      <w:outlineLvl w:val="0"/>
    </w:pPr>
    <w:rPr>
      <w:rFonts w:ascii="Times LatArm" w:hAnsi="Times LatArm"/>
    </w:rPr>
  </w:style>
  <w:style w:type="paragraph" w:customStyle="1" w:styleId="13">
    <w:name w:val="????????1"/>
    <w:basedOn w:val="a1"/>
    <w:rsid w:val="00060470"/>
    <w:pPr>
      <w:jc w:val="center"/>
    </w:pPr>
    <w:rPr>
      <w:rFonts w:ascii="Times Armenian" w:hAnsi="Times Armenian"/>
      <w:i/>
      <w:sz w:val="28"/>
      <w:lang w:val="en-US"/>
    </w:rPr>
  </w:style>
  <w:style w:type="paragraph" w:customStyle="1" w:styleId="22">
    <w:name w:val="???????? ????? ? ???????? 2"/>
    <w:basedOn w:val="a1"/>
    <w:rsid w:val="00060470"/>
    <w:pPr>
      <w:ind w:right="-141" w:firstLine="567"/>
      <w:jc w:val="both"/>
    </w:pPr>
    <w:rPr>
      <w:rFonts w:ascii="Times Armenian" w:hAnsi="Times Armenian"/>
      <w:sz w:val="24"/>
    </w:rPr>
  </w:style>
  <w:style w:type="paragraph" w:customStyle="1" w:styleId="23">
    <w:name w:val="???????? ????? 2"/>
    <w:basedOn w:val="a1"/>
    <w:rsid w:val="00060470"/>
    <w:pPr>
      <w:spacing w:line="360" w:lineRule="auto"/>
      <w:jc w:val="both"/>
    </w:pPr>
    <w:rPr>
      <w:rFonts w:ascii="Times LatArm" w:hAnsi="Times LatArm"/>
      <w:b/>
      <w:i/>
      <w:sz w:val="28"/>
      <w:lang w:val="en-US"/>
    </w:rPr>
  </w:style>
  <w:style w:type="paragraph" w:customStyle="1" w:styleId="15">
    <w:name w:val="???????1"/>
    <w:rsid w:val="00060470"/>
    <w:rPr>
      <w:lang w:val="ru-RU" w:eastAsia="ru-RU"/>
    </w:rPr>
  </w:style>
  <w:style w:type="paragraph" w:customStyle="1" w:styleId="30">
    <w:name w:val="???????? ????? ? ????????3"/>
    <w:basedOn w:val="a1"/>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rPr>
  </w:style>
  <w:style w:type="paragraph" w:customStyle="1" w:styleId="8">
    <w:name w:val="????????? 8"/>
    <w:basedOn w:val="a1"/>
    <w:next w:val="a1"/>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link w:val="BodyText3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uiPriority w:val="99"/>
    <w:rsid w:val="00060470"/>
    <w:rPr>
      <w:rFonts w:ascii="Times New Roman" w:eastAsia="Times New Roman" w:hAnsi="Times New Roman" w:cs="Times New Roman"/>
      <w:lang w:val="en-GB"/>
    </w:rPr>
  </w:style>
  <w:style w:type="paragraph" w:customStyle="1" w:styleId="CaptionTable">
    <w:name w:val="Caption_Table"/>
    <w:basedOn w:val="Caption"/>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uiPriority w:val="99"/>
    <w:rsid w:val="00060470"/>
    <w:rPr>
      <w:rFonts w:ascii="Times New Roman" w:eastAsia="Times New Roman" w:hAnsi="Times New Roman" w:cs="Times New Roman"/>
      <w:sz w:val="24"/>
      <w:szCs w:val="24"/>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after="0"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uiPriority w:val="99"/>
    <w:rsid w:val="000604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uiPriority w:val="99"/>
    <w:rsid w:val="000604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0604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after="0" w:line="240" w:lineRule="auto"/>
      <w:contextualSpacing w:val="0"/>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spacing w:after="0"/>
      <w:ind w:left="360" w:firstLine="540"/>
      <w:jc w:val="left"/>
    </w:pPr>
    <w:rPr>
      <w:color w:val="3366FF"/>
      <w:spacing w:val="24"/>
      <w:kern w:val="16"/>
      <w:sz w:val="32"/>
      <w:lang w:val="en-US"/>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5">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6">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7">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spacing w:after="0"/>
      <w:ind w:firstLine="540"/>
    </w:pPr>
    <w:rPr>
      <w:kern w:val="16"/>
      <w:lang w:val="af-ZA"/>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uiPriority w:val="99"/>
    <w:rsid w:val="000604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rsid w:val="000604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0"/>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6">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uiPriority w:val="99"/>
    <w:rsid w:val="00060470"/>
    <w:rPr>
      <w:rFonts w:ascii="Courier New" w:hAnsi="Courier New"/>
      <w:b/>
      <w:bCs/>
    </w:rPr>
  </w:style>
  <w:style w:type="table" w:styleId="TableGrid8">
    <w:name w:val="Table Grid 8"/>
    <w:basedOn w:val="TableNormal"/>
    <w:uiPriority w:val="99"/>
    <w:rsid w:val="000604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0604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7">
    <w:name w:val="Заголовок таблицы"/>
    <w:basedOn w:val="a8"/>
    <w:rsid w:val="00060470"/>
  </w:style>
  <w:style w:type="paragraph" w:customStyle="1" w:styleId="a8">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9">
    <w:name w:val="??????? ??????????"/>
    <w:basedOn w:val="a1"/>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spacing w:after="0"/>
      <w:contextualSpacing w:val="0"/>
    </w:pPr>
    <w:rPr>
      <w:bCs/>
      <w:kern w:val="32"/>
      <w:szCs w:val="28"/>
      <w:lang w:val="es-ES"/>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18">
    <w:name w:val="Обычный1"/>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Знак Char Char Знак Char Char Char,Знак Char Char Знак Char Char Char1"/>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rsid w:val="00060470"/>
    <w:rPr>
      <w:rFonts w:ascii="Times Armenian" w:hAnsi="Times Armenian"/>
      <w:sz w:val="24"/>
      <w:szCs w:val="24"/>
      <w:lang w:val="ru-RU" w:eastAsia="ru-RU" w:bidi="ar-SA"/>
    </w:rPr>
  </w:style>
  <w:style w:type="character" w:customStyle="1" w:styleId="CommentSubjectChar1">
    <w:name w:val="Comment Subject Char1"/>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ink w:val="DocumentMap1"/>
    <w:uiPriority w:val="99"/>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after="0"/>
      <w:contextualSpacing w:val="0"/>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9">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qFormat/>
    <w:rsid w:val="00060470"/>
    <w:rPr>
      <w:rFonts w:ascii="GHEA Grapalat" w:hAnsi="GHEA Grapalat"/>
      <w:sz w:val="22"/>
    </w:rPr>
  </w:style>
  <w:style w:type="paragraph" w:customStyle="1" w:styleId="1a">
    <w:name w:val="Без интервала1"/>
    <w:link w:val="aa"/>
    <w:uiPriority w:val="1"/>
    <w:qFormat/>
    <w:rsid w:val="00060470"/>
    <w:rPr>
      <w:rFonts w:ascii="Calibri" w:hAnsi="Calibri"/>
      <w:sz w:val="22"/>
      <w:szCs w:val="22"/>
    </w:rPr>
  </w:style>
  <w:style w:type="character" w:customStyle="1" w:styleId="aa">
    <w:name w:val="Без интервала Знак"/>
    <w:link w:val="1a"/>
    <w:rsid w:val="00060470"/>
    <w:rPr>
      <w:rFonts w:ascii="Calibri" w:hAnsi="Calibri"/>
      <w:sz w:val="22"/>
      <w:szCs w:val="22"/>
    </w:rPr>
  </w:style>
  <w:style w:type="paragraph" w:customStyle="1" w:styleId="1b">
    <w:name w:val="Обычный1"/>
    <w:rsid w:val="00060470"/>
    <w:pPr>
      <w:autoSpaceDE w:val="0"/>
      <w:autoSpaceDN w:val="0"/>
    </w:pPr>
    <w:rPr>
      <w:lang w:val="ru-RU" w:eastAsia="ru-RU"/>
    </w:rPr>
  </w:style>
  <w:style w:type="paragraph" w:customStyle="1" w:styleId="32">
    <w:name w:val="???????? ????? ? ???????? 3"/>
    <w:basedOn w:val="a1"/>
    <w:uiPriority w:val="99"/>
    <w:rsid w:val="00060470"/>
    <w:pPr>
      <w:ind w:firstLine="360"/>
      <w:jc w:val="both"/>
    </w:pPr>
    <w:rPr>
      <w:rFonts w:ascii="Times Armenian" w:hAnsi="Times Armenian"/>
      <w:sz w:val="24"/>
      <w:lang w:val="af-ZA"/>
    </w:rPr>
  </w:style>
  <w:style w:type="paragraph" w:customStyle="1" w:styleId="6">
    <w:name w:val="????????? 6"/>
    <w:basedOn w:val="a1"/>
    <w:next w:val="a1"/>
    <w:uiPriority w:val="99"/>
    <w:rsid w:val="00060470"/>
    <w:pPr>
      <w:keepNext/>
      <w:jc w:val="center"/>
      <w:outlineLvl w:val="5"/>
    </w:pPr>
    <w:rPr>
      <w:rFonts w:ascii="Times Armenian" w:hAnsi="Times Armenian"/>
      <w:i/>
      <w:lang w:val="en-US"/>
    </w:rPr>
  </w:style>
  <w:style w:type="paragraph" w:customStyle="1" w:styleId="310">
    <w:name w:val="???????? ????? 31"/>
    <w:basedOn w:val="a1"/>
    <w:uiPriority w:val="99"/>
    <w:rsid w:val="00060470"/>
    <w:pPr>
      <w:jc w:val="center"/>
    </w:pPr>
    <w:rPr>
      <w:rFonts w:ascii="Arial Armenian" w:hAnsi="Arial Armenian"/>
      <w:sz w:val="24"/>
      <w:lang w:val="en-AU"/>
    </w:rPr>
  </w:style>
  <w:style w:type="paragraph" w:customStyle="1" w:styleId="25">
    <w:name w:val="????????? 2"/>
    <w:basedOn w:val="a1"/>
    <w:next w:val="a1"/>
    <w:uiPriority w:val="99"/>
    <w:rsid w:val="00060470"/>
    <w:pPr>
      <w:keepNext/>
      <w:ind w:firstLine="720"/>
      <w:outlineLvl w:val="1"/>
    </w:pPr>
    <w:rPr>
      <w:rFonts w:ascii="Times LatArm" w:hAnsi="Times LatArm"/>
      <w:b/>
      <w:i/>
      <w:sz w:val="28"/>
      <w:lang w:val="en-US"/>
    </w:rPr>
  </w:style>
  <w:style w:type="paragraph" w:customStyle="1" w:styleId="40">
    <w:name w:val="????????? 4"/>
    <w:basedOn w:val="a1"/>
    <w:next w:val="a1"/>
    <w:uiPriority w:val="99"/>
    <w:rsid w:val="00060470"/>
    <w:pPr>
      <w:keepNext/>
      <w:spacing w:line="360" w:lineRule="auto"/>
      <w:ind w:firstLine="360"/>
      <w:jc w:val="both"/>
      <w:outlineLvl w:val="3"/>
    </w:pPr>
    <w:rPr>
      <w:rFonts w:ascii="Times LatArm" w:hAnsi="Times LatArm"/>
      <w:i/>
      <w:noProof/>
      <w:sz w:val="24"/>
    </w:rPr>
  </w:style>
  <w:style w:type="paragraph" w:customStyle="1" w:styleId="1c">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rPr>
  </w:style>
  <w:style w:type="character" w:customStyle="1" w:styleId="Char11">
    <w:name w:val="Знак Знак Char1"/>
    <w:link w:val="33"/>
    <w:locked/>
    <w:rsid w:val="00060470"/>
    <w:rPr>
      <w:rFonts w:ascii="Arial" w:eastAsia="Calibri" w:hAnsi="Arial"/>
      <w:lang w:val="en-GB"/>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1">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QuoteChar">
    <w:name w:val="Quote Char"/>
    <w:basedOn w:val="DefaultParagraphFont"/>
    <w:link w:val="Quote"/>
    <w:uiPriority w:val="29"/>
    <w:rsid w:val="00060470"/>
    <w:rPr>
      <w:i/>
      <w:iCs/>
      <w:color w:val="000000"/>
      <w:sz w:val="24"/>
      <w:szCs w:val="24"/>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uiPriority w:val="99"/>
    <w:rsid w:val="000604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uiPriority w:val="99"/>
    <w:rsid w:val="000604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uiPriority w:val="99"/>
    <w:rsid w:val="000604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uiPriority w:val="99"/>
    <w:rsid w:val="000604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uiPriority w:val="99"/>
    <w:rsid w:val="000604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uiPriority w:val="99"/>
    <w:rsid w:val="000604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d">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b">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e">
    <w:name w:val="Нет списка1"/>
    <w:next w:val="NoList"/>
    <w:semiHidden/>
    <w:unhideWhenUsed/>
    <w:rsid w:val="00060470"/>
  </w:style>
  <w:style w:type="paragraph" w:customStyle="1" w:styleId="NoSpacing1">
    <w:name w:val="No Spacing1"/>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qFormat/>
    <w:rsid w:val="00060470"/>
    <w:pPr>
      <w:keepLines/>
      <w:spacing w:before="480" w:after="0"/>
      <w:contextualSpacing w:val="0"/>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c">
    <w:name w:val="Основной текст_"/>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f">
    <w:name w:val="Заголовок №1_"/>
    <w:rsid w:val="00060470"/>
    <w:rPr>
      <w:rFonts w:ascii="Sylfaen" w:hAnsi="Sylfaen" w:cs="Sylfaen"/>
      <w:i/>
      <w:iCs/>
      <w:spacing w:val="-30"/>
      <w:sz w:val="31"/>
      <w:szCs w:val="31"/>
      <w:shd w:val="clear" w:color="auto" w:fill="FFFFFF"/>
    </w:rPr>
  </w:style>
  <w:style w:type="character" w:customStyle="1" w:styleId="1110">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d">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e">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f0">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f1">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2">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IntenseQuoteChar">
    <w:name w:val="Intense Quote Char"/>
    <w:basedOn w:val="DefaultParagraphFont"/>
    <w:link w:val="IntenseQuote"/>
    <w:rsid w:val="00060470"/>
    <w:rPr>
      <w:b/>
      <w:bCs/>
      <w:i/>
      <w:iCs/>
      <w:color w:val="4F81BD"/>
      <w:sz w:val="24"/>
      <w:szCs w:val="24"/>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rPr>
  </w:style>
  <w:style w:type="character" w:customStyle="1" w:styleId="CharChar34">
    <w:name w:val="Char Char34"/>
    <w:rsid w:val="00060470"/>
    <w:rPr>
      <w:rFonts w:ascii="Garamond" w:hAnsi="Garamond"/>
      <w:i/>
      <w:spacing w:val="-5"/>
      <w:sz w:val="28"/>
      <w:shd w:val="pct5" w:color="auto" w:fill="auto"/>
      <w:lang w:val="en-GB"/>
    </w:rPr>
  </w:style>
  <w:style w:type="character" w:customStyle="1" w:styleId="CharChar33">
    <w:name w:val="Char Char33"/>
    <w:rsid w:val="00060470"/>
    <w:rPr>
      <w:rFonts w:ascii="Arial Black" w:hAnsi="Arial Black"/>
      <w:caps/>
      <w:spacing w:val="60"/>
      <w:position w:val="4"/>
      <w:sz w:val="14"/>
      <w:lang w:val="en-GB"/>
    </w:rPr>
  </w:style>
  <w:style w:type="character" w:customStyle="1" w:styleId="CharChar32">
    <w:name w:val="Char Char32"/>
    <w:rsid w:val="00060470"/>
    <w:rPr>
      <w:rFonts w:ascii="Garamond" w:hAnsi="Garamond"/>
      <w:b/>
      <w:i/>
      <w:kern w:val="28"/>
      <w:lang w:val="en-GB"/>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uiPriority w:val="99"/>
    <w:rsid w:val="000604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rPr>
  </w:style>
  <w:style w:type="character" w:customStyle="1" w:styleId="z-TopofFormChar">
    <w:name w:val="z-Top of Form Char"/>
    <w:basedOn w:val="DefaultParagraphFont"/>
    <w:link w:val="z-TopofForm"/>
    <w:uiPriority w:val="99"/>
    <w:rsid w:val="00060470"/>
    <w:rPr>
      <w:rFonts w:ascii="Arial" w:hAnsi="Arial"/>
      <w:vanish/>
      <w:sz w:val="16"/>
      <w:szCs w:val="16"/>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060470"/>
    <w:rPr>
      <w:rFonts w:ascii="Arial" w:hAnsi="Arial"/>
      <w:vanish/>
      <w:sz w:val="16"/>
      <w:szCs w:val="16"/>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rPr>
  </w:style>
  <w:style w:type="character" w:customStyle="1" w:styleId="HTMLPreformattedChar">
    <w:name w:val="HTML Preformatted Char"/>
    <w:basedOn w:val="DefaultParagraphFont"/>
    <w:link w:val="HTMLPreformatted"/>
    <w:uiPriority w:val="99"/>
    <w:rsid w:val="00060470"/>
    <w:rPr>
      <w:rFonts w:ascii="Arial Unicode" w:hAnsi="Arial Unicod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rPr>
  </w:style>
  <w:style w:type="character" w:customStyle="1" w:styleId="StyleCaption11ptChar">
    <w:name w:val="Style Caption + 11 pt Char"/>
    <w:link w:val="StyleCaption11pt"/>
    <w:rsid w:val="00060470"/>
    <w:rPr>
      <w:rFonts w:ascii="GHEA Grapalat" w:hAnsi="GHEA Grapalat"/>
      <w:b/>
      <w:bCs/>
      <w:lang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37">
    <w:name w:val="Основной текст3"/>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8">
    <w:name w:val="Обычный3"/>
    <w:rsid w:val="00060470"/>
    <w:pPr>
      <w:autoSpaceDE w:val="0"/>
      <w:autoSpaceDN w:val="0"/>
    </w:pPr>
    <w:rPr>
      <w:lang w:val="ru-RU" w:eastAsia="ru-RU"/>
    </w:rPr>
  </w:style>
  <w:style w:type="paragraph" w:customStyle="1" w:styleId="1f3">
    <w:name w:val="Заголовок оглавления1"/>
    <w:basedOn w:val="Heading1"/>
    <w:next w:val="Normal"/>
    <w:uiPriority w:val="39"/>
    <w:unhideWhenUsed/>
    <w:qFormat/>
    <w:rsid w:val="00060470"/>
    <w:pPr>
      <w:keepLines/>
      <w:spacing w:before="480" w:after="0"/>
      <w:contextualSpacing w:val="0"/>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1f4">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5">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1f6">
    <w:name w:val="Слабое выделение1"/>
    <w:qFormat/>
    <w:rsid w:val="00060470"/>
    <w:rPr>
      <w:rFonts w:cs="Times New Roman"/>
      <w:i/>
      <w:iCs/>
      <w:color w:val="808080"/>
    </w:rPr>
  </w:style>
  <w:style w:type="character" w:customStyle="1" w:styleId="1f7">
    <w:name w:val="Слабая ссылка1"/>
    <w:qFormat/>
    <w:rsid w:val="00060470"/>
    <w:rPr>
      <w:rFonts w:cs="Times New Roman"/>
      <w:smallCaps/>
      <w:color w:val="C0504D"/>
      <w:u w:val="single"/>
    </w:rPr>
  </w:style>
  <w:style w:type="character" w:customStyle="1" w:styleId="1f8">
    <w:name w:val="Сильная ссылка1"/>
    <w:qFormat/>
    <w:rsid w:val="00060470"/>
    <w:rPr>
      <w:rFonts w:cs="Times New Roman"/>
      <w:b/>
      <w:bCs/>
      <w:smallCaps/>
      <w:color w:val="C0504D"/>
      <w:spacing w:val="5"/>
      <w:u w:val="single"/>
    </w:rPr>
  </w:style>
  <w:style w:type="character" w:customStyle="1" w:styleId="1f9">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uiPriority w:val="99"/>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uiPriority w:val="99"/>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a">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a"/>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rsid w:val="003E71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3E71C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uiPriority w:val="99"/>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uiPriority w:val="99"/>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uiPriority w:val="39"/>
    <w:rsid w:val="000E5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0E584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uiPriority w:val="99"/>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uiPriority w:val="39"/>
    <w:rsid w:val="00BD0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15"/>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8644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semiHidden/>
    <w:unhideWhenUsed/>
    <w:rsid w:val="0006050F"/>
  </w:style>
  <w:style w:type="table" w:customStyle="1" w:styleId="TableGrid60">
    <w:name w:val="Table Grid6"/>
    <w:basedOn w:val="TableNormal"/>
    <w:next w:val="TableGrid"/>
    <w:uiPriority w:val="39"/>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0572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1">
    <w:name w:val="Medium List 2 - Accent 51"/>
    <w:basedOn w:val="TableNormal"/>
    <w:next w:val="MediumList2-Accent5"/>
    <w:uiPriority w:val="66"/>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6">
    <w:name w:val="Light List - Accent 16"/>
    <w:basedOn w:val="TableNormal"/>
    <w:next w:val="LightList-Accent1"/>
    <w:uiPriority w:val="61"/>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1">
    <w:name w:val="Medium Grid 3 - Accent 51"/>
    <w:basedOn w:val="TableNormal"/>
    <w:next w:val="MediumGrid3-Accent5"/>
    <w:uiPriority w:val="69"/>
    <w:rsid w:val="0010572B"/>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
    <w:name w:val="Light Shading - Accent 51"/>
    <w:basedOn w:val="TableNormal"/>
    <w:next w:val="LightShading-Accent5"/>
    <w:uiPriority w:val="60"/>
    <w:rsid w:val="0010572B"/>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
    <w:name w:val="Medium Grid 2 - Accent 51"/>
    <w:basedOn w:val="TableNormal"/>
    <w:next w:val="MediumGrid2-Accent5"/>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next w:val="LightGrid-Accent1"/>
    <w:uiPriority w:val="62"/>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next w:val="LightShading-Accent1"/>
    <w:uiPriority w:val="60"/>
    <w:rsid w:val="0036062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2">
    <w:name w:val="Medium Grid 2 - Accent 12"/>
    <w:basedOn w:val="TableNormal"/>
    <w:next w:val="MediumGrid2-Accent1"/>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2">
    <w:name w:val="Medium List 2 - Accent 52"/>
    <w:basedOn w:val="TableNormal"/>
    <w:next w:val="MediumList2-Accent5"/>
    <w:uiPriority w:val="66"/>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7">
    <w:name w:val="Light List - Accent 17"/>
    <w:basedOn w:val="TableNormal"/>
    <w:next w:val="LightList-Accent1"/>
    <w:uiPriority w:val="61"/>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2">
    <w:name w:val="Medium Grid 3 - Accent 52"/>
    <w:basedOn w:val="TableNormal"/>
    <w:next w:val="MediumGrid3-Accent5"/>
    <w:uiPriority w:val="69"/>
    <w:rsid w:val="00360620"/>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2">
    <w:name w:val="Light Shading - Accent 52"/>
    <w:basedOn w:val="TableNormal"/>
    <w:next w:val="LightShading-Accent5"/>
    <w:uiPriority w:val="60"/>
    <w:rsid w:val="0036062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2">
    <w:name w:val="Medium Grid 2 - Accent 52"/>
    <w:basedOn w:val="TableNormal"/>
    <w:next w:val="MediumGrid2-Accent5"/>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2">
    <w:name w:val="Light Grid - Accent 12"/>
    <w:basedOn w:val="TableNormal"/>
    <w:next w:val="LightGrid-Accent1"/>
    <w:uiPriority w:val="62"/>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8">
    <w:name w:val="No List18"/>
    <w:next w:val="NoList"/>
    <w:semiHidden/>
    <w:unhideWhenUsed/>
    <w:rsid w:val="00006BCE"/>
  </w:style>
  <w:style w:type="table" w:customStyle="1" w:styleId="TableGrid70">
    <w:name w:val="Table Grid7"/>
    <w:basedOn w:val="TableNormal"/>
    <w:next w:val="TableGrid"/>
    <w:uiPriority w:val="39"/>
    <w:rsid w:val="0000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
    <w:name w:val="Table List 74"/>
    <w:basedOn w:val="TableNormal"/>
    <w:next w:val="TableList7"/>
    <w:rsid w:val="00006B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
    <w:name w:val="Table Web 34"/>
    <w:basedOn w:val="TableNormal"/>
    <w:next w:val="TableWeb3"/>
    <w:rsid w:val="00006B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006B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006B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006B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006B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006B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
    <w:name w:val="No List19"/>
    <w:next w:val="NoList"/>
    <w:semiHidden/>
    <w:unhideWhenUsed/>
    <w:rsid w:val="00006BCE"/>
  </w:style>
  <w:style w:type="numbering" w:customStyle="1" w:styleId="NoList25">
    <w:name w:val="No List25"/>
    <w:next w:val="NoList"/>
    <w:semiHidden/>
    <w:unhideWhenUsed/>
    <w:rsid w:val="00006BCE"/>
  </w:style>
  <w:style w:type="numbering" w:customStyle="1" w:styleId="NoList35">
    <w:name w:val="No List35"/>
    <w:next w:val="NoList"/>
    <w:semiHidden/>
    <w:unhideWhenUsed/>
    <w:rsid w:val="00006BCE"/>
  </w:style>
  <w:style w:type="table" w:customStyle="1" w:styleId="LightList-Accent18">
    <w:name w:val="Light List - Accent 18"/>
    <w:basedOn w:val="TableNormal"/>
    <w:next w:val="LightList-Accent1"/>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
    <w:name w:val="Table Grid 74"/>
    <w:basedOn w:val="TableNormal"/>
    <w:next w:val="TableGrid7"/>
    <w:rsid w:val="00006B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
    <w:name w:val="Colorful Grid - Accent 15"/>
    <w:basedOn w:val="TableNormal"/>
    <w:next w:val="ColorfulGrid-Accent1"/>
    <w:uiPriority w:val="73"/>
    <w:rsid w:val="00006B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
    <w:name w:val="Light List - Accent 55"/>
    <w:basedOn w:val="TableNormal"/>
    <w:next w:val="LightList-Accent5"/>
    <w:uiPriority w:val="61"/>
    <w:rsid w:val="00006BC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
    <w:name w:val="Table Simple 34"/>
    <w:basedOn w:val="TableNormal"/>
    <w:next w:val="TableSimple3"/>
    <w:rsid w:val="00006B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
    <w:name w:val="Table Grid 54"/>
    <w:basedOn w:val="TableNormal"/>
    <w:next w:val="TableGrid5"/>
    <w:rsid w:val="00006B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
    <w:name w:val="Table Grid 34"/>
    <w:basedOn w:val="TableNormal"/>
    <w:next w:val="TableGrid3"/>
    <w:rsid w:val="00006B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
    <w:name w:val="Table Grid 14"/>
    <w:basedOn w:val="TableNormal"/>
    <w:next w:val="TableGrid10"/>
    <w:rsid w:val="00006B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006B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
    <w:name w:val="Light List - Accent 114"/>
    <w:basedOn w:val="TableNormal"/>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NoList"/>
    <w:semiHidden/>
    <w:unhideWhenUsed/>
    <w:rsid w:val="00006BCE"/>
  </w:style>
  <w:style w:type="table" w:customStyle="1" w:styleId="ColorfulGrid-Accent114">
    <w:name w:val="Colorful Grid - Accent 114"/>
    <w:basedOn w:val="TableNormal"/>
    <w:rsid w:val="00006BCE"/>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
    <w:name w:val="Light List - Accent 514"/>
    <w:basedOn w:val="TableNormal"/>
    <w:rsid w:val="00006BCE"/>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
    <w:name w:val="No List44"/>
    <w:next w:val="NoList"/>
    <w:semiHidden/>
    <w:rsid w:val="00006BCE"/>
  </w:style>
  <w:style w:type="numbering" w:customStyle="1" w:styleId="NoList117">
    <w:name w:val="No List117"/>
    <w:next w:val="NoList"/>
    <w:semiHidden/>
    <w:unhideWhenUsed/>
    <w:rsid w:val="00006BCE"/>
  </w:style>
  <w:style w:type="table" w:customStyle="1" w:styleId="Table3Deffects34">
    <w:name w:val="Table 3D effects 34"/>
    <w:basedOn w:val="TableNormal"/>
    <w:next w:val="Table3Deffects3"/>
    <w:rsid w:val="00006B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
    <w:name w:val="Нет списка114"/>
    <w:next w:val="NoList"/>
    <w:semiHidden/>
    <w:unhideWhenUsed/>
    <w:rsid w:val="00006BCE"/>
  </w:style>
  <w:style w:type="table" w:customStyle="1" w:styleId="Style111">
    <w:name w:val="Style111"/>
    <w:basedOn w:val="TableElegant"/>
    <w:uiPriority w:val="99"/>
    <w:rsid w:val="00BC5928"/>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
    <w:name w:val="Style212"/>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
    <w:name w:val="Style2111"/>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
    <w:name w:val="Style112"/>
    <w:basedOn w:val="TableElegant"/>
    <w:uiPriority w:val="99"/>
    <w:rsid w:val="00D70E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
    <w:name w:val="Style213"/>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
    <w:name w:val="Style2112"/>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
    <w:name w:val="No List20"/>
    <w:next w:val="NoList"/>
    <w:uiPriority w:val="99"/>
    <w:semiHidden/>
    <w:unhideWhenUsed/>
    <w:rsid w:val="009526B6"/>
  </w:style>
  <w:style w:type="numbering" w:customStyle="1" w:styleId="NoList110">
    <w:name w:val="No List110"/>
    <w:next w:val="NoList"/>
    <w:uiPriority w:val="99"/>
    <w:semiHidden/>
    <w:unhideWhenUsed/>
    <w:rsid w:val="009526B6"/>
  </w:style>
  <w:style w:type="paragraph" w:customStyle="1" w:styleId="TableTitleCharCharCharCharCharCharCharCharCharChar1">
    <w:name w:val="(Table Title) Char Char Char Char Char Char Char Char Char Char1"/>
    <w:basedOn w:val="Normal"/>
    <w:next w:val="Normal"/>
    <w:unhideWhenUsed/>
    <w:qFormat/>
    <w:rsid w:val="009526B6"/>
    <w:pPr>
      <w:spacing w:after="200"/>
    </w:pPr>
    <w:rPr>
      <w:b w:val="0"/>
      <w:bCs/>
      <w:color w:val="4F81BD"/>
      <w:sz w:val="18"/>
      <w:szCs w:val="18"/>
    </w:rPr>
  </w:style>
  <w:style w:type="table" w:customStyle="1" w:styleId="TableGrid80">
    <w:name w:val="Table Grid8"/>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9526B6"/>
  </w:style>
  <w:style w:type="numbering" w:customStyle="1" w:styleId="NoList1114">
    <w:name w:val="No List1114"/>
    <w:next w:val="NoList"/>
    <w:semiHidden/>
    <w:rsid w:val="009526B6"/>
  </w:style>
  <w:style w:type="table" w:customStyle="1" w:styleId="TableGrid140">
    <w:name w:val="Table Grid14"/>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semiHidden/>
    <w:rsid w:val="009526B6"/>
  </w:style>
  <w:style w:type="numbering" w:customStyle="1" w:styleId="NoList26">
    <w:name w:val="No List26"/>
    <w:next w:val="NoList"/>
    <w:semiHidden/>
    <w:rsid w:val="009526B6"/>
  </w:style>
  <w:style w:type="numbering" w:customStyle="1" w:styleId="NoList36">
    <w:name w:val="No List36"/>
    <w:next w:val="NoList"/>
    <w:semiHidden/>
    <w:unhideWhenUsed/>
    <w:rsid w:val="009526B6"/>
  </w:style>
  <w:style w:type="table" w:customStyle="1" w:styleId="TableList75">
    <w:name w:val="Table List 75"/>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
    <w:name w:val="Table Web 35"/>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
    <w:name w:val="Table Elegant5"/>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
    <w:name w:val="Light List - Accent 19"/>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
    <w:name w:val="Table Grid 75"/>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
    <w:name w:val="Colorful Grid - Accent 16"/>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
    <w:name w:val="Light List - Accent 56"/>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
    <w:name w:val="Table Simple 35"/>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
    <w:name w:val="Table Grid 55"/>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
    <w:name w:val="Table Grid 35"/>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
    <w:name w:val="Table Grid 15"/>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
    <w:name w:val="Light List - Accent 115"/>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0">
    <w:name w:val="Нет списка16"/>
    <w:next w:val="NoList"/>
    <w:semiHidden/>
    <w:unhideWhenUsed/>
    <w:rsid w:val="009526B6"/>
  </w:style>
  <w:style w:type="table" w:customStyle="1" w:styleId="ColorfulGrid-Accent115">
    <w:name w:val="Colorful Grid - Accent 115"/>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
    <w:name w:val="Light List - Accent 515"/>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
    <w:name w:val="No List45"/>
    <w:next w:val="NoList"/>
    <w:semiHidden/>
    <w:rsid w:val="009526B6"/>
  </w:style>
  <w:style w:type="table" w:customStyle="1" w:styleId="Table3Deffects35">
    <w:name w:val="Table 3D effects 35"/>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
    <w:name w:val="Нет списка115"/>
    <w:next w:val="NoList"/>
    <w:semiHidden/>
    <w:unhideWhenUsed/>
    <w:rsid w:val="009526B6"/>
  </w:style>
  <w:style w:type="numbering" w:customStyle="1" w:styleId="NoList53">
    <w:name w:val="No List53"/>
    <w:next w:val="NoList"/>
    <w:uiPriority w:val="99"/>
    <w:semiHidden/>
    <w:unhideWhenUsed/>
    <w:rsid w:val="009526B6"/>
  </w:style>
  <w:style w:type="numbering" w:customStyle="1" w:styleId="NoList123">
    <w:name w:val="No List123"/>
    <w:next w:val="NoList"/>
    <w:semiHidden/>
    <w:rsid w:val="009526B6"/>
  </w:style>
  <w:style w:type="numbering" w:customStyle="1" w:styleId="NoList1123">
    <w:name w:val="No List1123"/>
    <w:next w:val="NoList"/>
    <w:semiHidden/>
    <w:rsid w:val="009526B6"/>
  </w:style>
  <w:style w:type="numbering" w:customStyle="1" w:styleId="NoList111111">
    <w:name w:val="No List111111"/>
    <w:next w:val="NoList"/>
    <w:semiHidden/>
    <w:rsid w:val="009526B6"/>
  </w:style>
  <w:style w:type="numbering" w:customStyle="1" w:styleId="NoList213">
    <w:name w:val="No List213"/>
    <w:next w:val="NoList"/>
    <w:semiHidden/>
    <w:rsid w:val="009526B6"/>
  </w:style>
  <w:style w:type="table" w:customStyle="1" w:styleId="TableGrid23">
    <w:name w:val="Table Grid23"/>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9526B6"/>
  </w:style>
  <w:style w:type="numbering" w:customStyle="1" w:styleId="NoList61">
    <w:name w:val="No List61"/>
    <w:next w:val="NoList"/>
    <w:uiPriority w:val="99"/>
    <w:semiHidden/>
    <w:unhideWhenUsed/>
    <w:rsid w:val="009526B6"/>
  </w:style>
  <w:style w:type="numbering" w:customStyle="1" w:styleId="NoList71">
    <w:name w:val="No List71"/>
    <w:next w:val="NoList"/>
    <w:uiPriority w:val="99"/>
    <w:semiHidden/>
    <w:unhideWhenUsed/>
    <w:rsid w:val="009526B6"/>
  </w:style>
  <w:style w:type="table" w:customStyle="1" w:styleId="TableGrid310">
    <w:name w:val="Table Grid3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unhideWhenUsed/>
    <w:rsid w:val="009526B6"/>
  </w:style>
  <w:style w:type="numbering" w:customStyle="1" w:styleId="NoList1131">
    <w:name w:val="No List1131"/>
    <w:next w:val="NoList"/>
    <w:semiHidden/>
    <w:rsid w:val="009526B6"/>
  </w:style>
  <w:style w:type="table" w:customStyle="1" w:styleId="TableGrid111">
    <w:name w:val="Table Grid11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rsid w:val="009526B6"/>
  </w:style>
  <w:style w:type="numbering" w:customStyle="1" w:styleId="NoList221">
    <w:name w:val="No List221"/>
    <w:next w:val="NoList"/>
    <w:semiHidden/>
    <w:rsid w:val="009526B6"/>
  </w:style>
  <w:style w:type="numbering" w:customStyle="1" w:styleId="NoList321">
    <w:name w:val="No List321"/>
    <w:next w:val="NoList"/>
    <w:semiHidden/>
    <w:unhideWhenUsed/>
    <w:rsid w:val="009526B6"/>
  </w:style>
  <w:style w:type="table" w:customStyle="1" w:styleId="TableList711">
    <w:name w:val="Table List 71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
    <w:name w:val="Light List - Accent 12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
    <w:name w:val="Table Grid 71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
    <w:name w:val="Colorful Grid - Accent 121"/>
    <w:basedOn w:val="TableNormal"/>
    <w:next w:val="ColorfulGrid-Accent1"/>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
    <w:name w:val="Table Simple 31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
    <w:name w:val="Нет списка121"/>
    <w:next w:val="NoList"/>
    <w:uiPriority w:val="99"/>
    <w:semiHidden/>
    <w:unhideWhenUsed/>
    <w:rsid w:val="009526B6"/>
  </w:style>
  <w:style w:type="table" w:customStyle="1" w:styleId="ColorfulGrid-Accent1111">
    <w:name w:val="Colorful Grid - Accent 111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
    <w:name w:val="No List411"/>
    <w:next w:val="NoList"/>
    <w:semiHidden/>
    <w:rsid w:val="009526B6"/>
  </w:style>
  <w:style w:type="table" w:customStyle="1" w:styleId="Table3Deffects311">
    <w:name w:val="Table 3D effects 31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NoList"/>
    <w:semiHidden/>
    <w:unhideWhenUsed/>
    <w:rsid w:val="009526B6"/>
  </w:style>
  <w:style w:type="numbering" w:customStyle="1" w:styleId="NoList511">
    <w:name w:val="No List511"/>
    <w:next w:val="NoList"/>
    <w:uiPriority w:val="99"/>
    <w:semiHidden/>
    <w:unhideWhenUsed/>
    <w:rsid w:val="009526B6"/>
  </w:style>
  <w:style w:type="numbering" w:customStyle="1" w:styleId="NoList1211">
    <w:name w:val="No List1211"/>
    <w:next w:val="NoList"/>
    <w:uiPriority w:val="99"/>
    <w:semiHidden/>
    <w:rsid w:val="009526B6"/>
  </w:style>
  <w:style w:type="numbering" w:customStyle="1" w:styleId="NoList11211">
    <w:name w:val="No List11211"/>
    <w:next w:val="NoList"/>
    <w:semiHidden/>
    <w:rsid w:val="009526B6"/>
  </w:style>
  <w:style w:type="numbering" w:customStyle="1" w:styleId="NoList1111111">
    <w:name w:val="No List1111111"/>
    <w:next w:val="NoList"/>
    <w:semiHidden/>
    <w:rsid w:val="009526B6"/>
  </w:style>
  <w:style w:type="numbering" w:customStyle="1" w:styleId="NoList2111">
    <w:name w:val="No List2111"/>
    <w:next w:val="NoList"/>
    <w:semiHidden/>
    <w:rsid w:val="009526B6"/>
  </w:style>
  <w:style w:type="table" w:customStyle="1" w:styleId="TableGrid211">
    <w:name w:val="Table Grid21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semiHidden/>
    <w:unhideWhenUsed/>
    <w:rsid w:val="009526B6"/>
  </w:style>
  <w:style w:type="numbering" w:customStyle="1" w:styleId="NoList81">
    <w:name w:val="No List81"/>
    <w:next w:val="NoList"/>
    <w:uiPriority w:val="99"/>
    <w:semiHidden/>
    <w:unhideWhenUsed/>
    <w:rsid w:val="009526B6"/>
  </w:style>
  <w:style w:type="numbering" w:customStyle="1" w:styleId="NoList91">
    <w:name w:val="No List91"/>
    <w:next w:val="NoList"/>
    <w:uiPriority w:val="99"/>
    <w:semiHidden/>
    <w:unhideWhenUsed/>
    <w:rsid w:val="009526B6"/>
  </w:style>
  <w:style w:type="table" w:customStyle="1" w:styleId="TableGrid41">
    <w:name w:val="Table Grid4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
    <w:name w:val="Table List 72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
    <w:name w:val="Table Web 32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9526B6"/>
  </w:style>
  <w:style w:type="numbering" w:customStyle="1" w:styleId="NoList231">
    <w:name w:val="No List231"/>
    <w:next w:val="NoList"/>
    <w:semiHidden/>
    <w:unhideWhenUsed/>
    <w:rsid w:val="009526B6"/>
  </w:style>
  <w:style w:type="numbering" w:customStyle="1" w:styleId="NoList331">
    <w:name w:val="No List331"/>
    <w:next w:val="NoList"/>
    <w:semiHidden/>
    <w:unhideWhenUsed/>
    <w:rsid w:val="009526B6"/>
  </w:style>
  <w:style w:type="table" w:customStyle="1" w:styleId="LightList-Accent131">
    <w:name w:val="Light List - Accent 13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
    <w:name w:val="Table Grid 72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
    <w:name w:val="Table Simple 32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
    <w:name w:val="Table Grid 52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
    <w:name w:val="Table Grid 32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
    <w:name w:val="Table Grid 12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
    <w:name w:val="Light List - Accent 112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1"/>
    <w:next w:val="NoList"/>
    <w:semiHidden/>
    <w:unhideWhenUsed/>
    <w:rsid w:val="009526B6"/>
  </w:style>
  <w:style w:type="table" w:customStyle="1" w:styleId="ColorfulGrid-Accent1121">
    <w:name w:val="Colorful Grid - Accent 112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
    <w:name w:val="Light List - Accent 512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9526B6"/>
  </w:style>
  <w:style w:type="numbering" w:customStyle="1" w:styleId="NoList1141">
    <w:name w:val="No List1141"/>
    <w:next w:val="NoList"/>
    <w:semiHidden/>
    <w:unhideWhenUsed/>
    <w:rsid w:val="009526B6"/>
  </w:style>
  <w:style w:type="table" w:customStyle="1" w:styleId="Table3Deffects321">
    <w:name w:val="Table 3D effects 32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9526B6"/>
  </w:style>
  <w:style w:type="numbering" w:customStyle="1" w:styleId="NoList101">
    <w:name w:val="No List101"/>
    <w:next w:val="NoList"/>
    <w:uiPriority w:val="99"/>
    <w:semiHidden/>
    <w:unhideWhenUsed/>
    <w:rsid w:val="009526B6"/>
  </w:style>
  <w:style w:type="table" w:customStyle="1" w:styleId="TableGrid510">
    <w:name w:val="Table Grid5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semiHidden/>
    <w:unhideWhenUsed/>
    <w:rsid w:val="009526B6"/>
  </w:style>
  <w:style w:type="numbering" w:customStyle="1" w:styleId="NoList1151">
    <w:name w:val="No List1151"/>
    <w:next w:val="NoList"/>
    <w:semiHidden/>
    <w:rsid w:val="009526B6"/>
  </w:style>
  <w:style w:type="table" w:customStyle="1" w:styleId="TableGrid1210">
    <w:name w:val="Table Grid12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semiHidden/>
    <w:rsid w:val="009526B6"/>
  </w:style>
  <w:style w:type="numbering" w:customStyle="1" w:styleId="NoList241">
    <w:name w:val="No List241"/>
    <w:next w:val="NoList"/>
    <w:semiHidden/>
    <w:rsid w:val="009526B6"/>
  </w:style>
  <w:style w:type="numbering" w:customStyle="1" w:styleId="NoList341">
    <w:name w:val="No List341"/>
    <w:next w:val="NoList"/>
    <w:semiHidden/>
    <w:unhideWhenUsed/>
    <w:rsid w:val="009526B6"/>
  </w:style>
  <w:style w:type="table" w:customStyle="1" w:styleId="TableList731">
    <w:name w:val="Table List 73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
    <w:name w:val="Table Web 33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
    <w:name w:val="Table Elegant3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
    <w:name w:val="Light List - Accent 14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
    <w:name w:val="Table Grid 73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
    <w:name w:val="Colorful Grid - Accent 14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
    <w:name w:val="Light List - Accent 54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
    <w:name w:val="Table Simple 33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
    <w:name w:val="Table Grid 53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
    <w:name w:val="Table Grid 33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
    <w:name w:val="Table Grid 13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
    <w:name w:val="Light List - Accent 113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
    <w:name w:val="Нет списка141"/>
    <w:next w:val="NoList"/>
    <w:semiHidden/>
    <w:unhideWhenUsed/>
    <w:rsid w:val="009526B6"/>
  </w:style>
  <w:style w:type="table" w:customStyle="1" w:styleId="ColorfulGrid-Accent1131">
    <w:name w:val="Colorful Grid - Accent 113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
    <w:name w:val="Light List - Accent 513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
    <w:name w:val="No List431"/>
    <w:next w:val="NoList"/>
    <w:semiHidden/>
    <w:rsid w:val="009526B6"/>
  </w:style>
  <w:style w:type="table" w:customStyle="1" w:styleId="Table3Deffects331">
    <w:name w:val="Table 3D effects 33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NoList"/>
    <w:semiHidden/>
    <w:unhideWhenUsed/>
    <w:rsid w:val="009526B6"/>
  </w:style>
  <w:style w:type="numbering" w:customStyle="1" w:styleId="NoList521">
    <w:name w:val="No List521"/>
    <w:next w:val="NoList"/>
    <w:uiPriority w:val="99"/>
    <w:semiHidden/>
    <w:unhideWhenUsed/>
    <w:rsid w:val="009526B6"/>
  </w:style>
  <w:style w:type="numbering" w:customStyle="1" w:styleId="NoList1221">
    <w:name w:val="No List1221"/>
    <w:next w:val="NoList"/>
    <w:semiHidden/>
    <w:rsid w:val="009526B6"/>
  </w:style>
  <w:style w:type="numbering" w:customStyle="1" w:styleId="NoList11221">
    <w:name w:val="No List11221"/>
    <w:next w:val="NoList"/>
    <w:semiHidden/>
    <w:rsid w:val="009526B6"/>
  </w:style>
  <w:style w:type="numbering" w:customStyle="1" w:styleId="NoList111121">
    <w:name w:val="No List111121"/>
    <w:next w:val="NoList"/>
    <w:semiHidden/>
    <w:rsid w:val="009526B6"/>
  </w:style>
  <w:style w:type="numbering" w:customStyle="1" w:styleId="NoList2121">
    <w:name w:val="No List2121"/>
    <w:next w:val="NoList"/>
    <w:semiHidden/>
    <w:rsid w:val="009526B6"/>
  </w:style>
  <w:style w:type="table" w:customStyle="1" w:styleId="TableGrid221">
    <w:name w:val="Table Grid22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9526B6"/>
  </w:style>
  <w:style w:type="table" w:customStyle="1" w:styleId="LightShading-Accent111">
    <w:name w:val="Light Shading - Accent 111"/>
    <w:basedOn w:val="TableNormal"/>
    <w:next w:val="LightShading-Accent1"/>
    <w:uiPriority w:val="60"/>
    <w:rsid w:val="009526B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
    <w:name w:val="Medium Grid 2 - Accent 111"/>
    <w:basedOn w:val="TableNormal"/>
    <w:next w:val="MediumGrid2-Accent1"/>
    <w:uiPriority w:val="68"/>
    <w:rsid w:val="009526B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
    <w:name w:val="Medium List 2 - Accent 511"/>
    <w:basedOn w:val="TableNormal"/>
    <w:next w:val="MediumList2-Accent5"/>
    <w:uiPriority w:val="66"/>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
    <w:name w:val="Light List - Accent 15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
    <w:name w:val="Medium Grid 3 - Accent 511"/>
    <w:basedOn w:val="TableNormal"/>
    <w:next w:val="MediumGrid3-Accent5"/>
    <w:uiPriority w:val="69"/>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
    <w:name w:val="Light Shading - Accent 511"/>
    <w:basedOn w:val="TableNormal"/>
    <w:next w:val="LightShading-Accent5"/>
    <w:uiPriority w:val="60"/>
    <w:rsid w:val="009526B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
    <w:name w:val="Medium Grid 2 - Accent 511"/>
    <w:basedOn w:val="TableNormal"/>
    <w:next w:val="MediumGrid2-Accent5"/>
    <w:uiPriority w:val="68"/>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
    <w:name w:val="Light Grid - Accent 111"/>
    <w:basedOn w:val="TableNormal"/>
    <w:next w:val="LightGrid-Accent1"/>
    <w:uiPriority w:val="62"/>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
    <w:name w:val="Table List 43"/>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
    <w:name w:val="Table List 412"/>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
    <w:name w:val="Table Theme1"/>
    <w:basedOn w:val="TableNormal"/>
    <w:next w:val="TableTheme"/>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
    <w:name w:val="Table Grid 61"/>
    <w:basedOn w:val="TableNormal"/>
    <w:next w:val="TableGrid6"/>
    <w:rsid w:val="009526B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
    <w:name w:val="Table List 42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
    <w:name w:val="Table List 411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
    <w:name w:val="Style113"/>
    <w:basedOn w:val="TableElegant"/>
    <w:uiPriority w:val="99"/>
    <w:rsid w:val="009526B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
    <w:name w:val="Style214"/>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
    <w:name w:val="Style2113"/>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
    <w:name w:val="No List161"/>
    <w:next w:val="NoList"/>
    <w:uiPriority w:val="99"/>
    <w:semiHidden/>
    <w:unhideWhenUsed/>
    <w:rsid w:val="009526B6"/>
  </w:style>
  <w:style w:type="table" w:customStyle="1" w:styleId="TableGrid610">
    <w:name w:val="Table Grid6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9526B6"/>
  </w:style>
  <w:style w:type="numbering" w:customStyle="1" w:styleId="NoList1161">
    <w:name w:val="No List1161"/>
    <w:next w:val="NoList"/>
    <w:semiHidden/>
    <w:rsid w:val="009526B6"/>
  </w:style>
  <w:style w:type="table" w:customStyle="1" w:styleId="TableGrid1310">
    <w:name w:val="Table Grid131"/>
    <w:basedOn w:val="TableNormal"/>
    <w:next w:val="TableGrid"/>
    <w:uiPriority w:val="5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
    <w:name w:val="Light List - Accent 16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next w:val="LightShading-Accent1"/>
    <w:uiPriority w:val="60"/>
    <w:semiHidden/>
    <w:unhideWhenUsed/>
    <w:rsid w:val="009526B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
    <w:name w:val="Medium Grid 2 - Accent 13"/>
    <w:basedOn w:val="TableNormal"/>
    <w:next w:val="MediumGrid2-Accent1"/>
    <w:uiPriority w:val="68"/>
    <w:semiHidden/>
    <w:unhideWhenUsed/>
    <w:rsid w:val="009526B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
    <w:name w:val="Medium List 2 - Accent 53"/>
    <w:basedOn w:val="TableNormal"/>
    <w:next w:val="MediumList2-Accent5"/>
    <w:uiPriority w:val="66"/>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
    <w:name w:val="Medium Grid 3 - Accent 53"/>
    <w:basedOn w:val="TableNormal"/>
    <w:next w:val="MediumGrid3-Accent5"/>
    <w:uiPriority w:val="69"/>
    <w:semiHidden/>
    <w:unhideWhenUsed/>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
    <w:name w:val="Light Shading - Accent 53"/>
    <w:basedOn w:val="TableNormal"/>
    <w:next w:val="LightShading-Accent5"/>
    <w:uiPriority w:val="60"/>
    <w:semiHidden/>
    <w:unhideWhenUsed/>
    <w:rsid w:val="009526B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
    <w:name w:val="Medium Grid 2 - Accent 53"/>
    <w:basedOn w:val="TableNormal"/>
    <w:next w:val="MediumGrid2-Accent5"/>
    <w:uiPriority w:val="68"/>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
    <w:name w:val="Light Grid - Accent 13"/>
    <w:basedOn w:val="TableNormal"/>
    <w:next w:val="LightGrid-Accent1"/>
    <w:uiPriority w:val="62"/>
    <w:semiHidden/>
    <w:unhideWhenUsed/>
    <w:rsid w:val="009526B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
    <w:name w:val="Light Shading - Accent 14"/>
    <w:basedOn w:val="TableNormal"/>
    <w:next w:val="LightShading-Accent1"/>
    <w:uiPriority w:val="60"/>
    <w:rsid w:val="002D7AC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4">
    <w:name w:val="Medium Grid 2 - Accent 14"/>
    <w:basedOn w:val="TableNormal"/>
    <w:next w:val="MediumGrid2-Accent1"/>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4">
    <w:name w:val="Medium List 2 - Accent 54"/>
    <w:basedOn w:val="TableNormal"/>
    <w:next w:val="MediumList2-Accent5"/>
    <w:uiPriority w:val="66"/>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0">
    <w:name w:val="Light List - Accent 110"/>
    <w:basedOn w:val="TableNormal"/>
    <w:next w:val="LightList-Accent1"/>
    <w:uiPriority w:val="61"/>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4">
    <w:name w:val="Medium Grid 3 - Accent 54"/>
    <w:basedOn w:val="TableNormal"/>
    <w:next w:val="MediumGrid3-Accent5"/>
    <w:uiPriority w:val="69"/>
    <w:rsid w:val="002D7AC1"/>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4">
    <w:name w:val="Light Shading - Accent 54"/>
    <w:basedOn w:val="TableNormal"/>
    <w:next w:val="LightShading-Accent5"/>
    <w:uiPriority w:val="60"/>
    <w:rsid w:val="002D7AC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4">
    <w:name w:val="Medium Grid 2 - Accent 54"/>
    <w:basedOn w:val="TableNormal"/>
    <w:next w:val="MediumGrid2-Accent5"/>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4">
    <w:name w:val="Light Grid - Accent 14"/>
    <w:basedOn w:val="TableNormal"/>
    <w:next w:val="LightGrid-Accent1"/>
    <w:uiPriority w:val="62"/>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5">
    <w:name w:val="Light Shading - Accent 15"/>
    <w:basedOn w:val="TableNormal"/>
    <w:next w:val="LightShading-Accent1"/>
    <w:uiPriority w:val="60"/>
    <w:rsid w:val="00EF5C2F"/>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5">
    <w:name w:val="Medium Grid 2 - Accent 15"/>
    <w:basedOn w:val="TableNormal"/>
    <w:next w:val="MediumGrid2-Accent1"/>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5">
    <w:name w:val="Medium List 2 - Accent 55"/>
    <w:basedOn w:val="TableNormal"/>
    <w:next w:val="MediumList2-Accent5"/>
    <w:uiPriority w:val="66"/>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6">
    <w:name w:val="Light List - Accent 116"/>
    <w:basedOn w:val="TableNormal"/>
    <w:next w:val="LightList-Accent1"/>
    <w:uiPriority w:val="61"/>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5">
    <w:name w:val="Medium Grid 3 - Accent 55"/>
    <w:basedOn w:val="TableNormal"/>
    <w:next w:val="MediumGrid3-Accent5"/>
    <w:uiPriority w:val="69"/>
    <w:rsid w:val="00EF5C2F"/>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5">
    <w:name w:val="Light Shading - Accent 55"/>
    <w:basedOn w:val="TableNormal"/>
    <w:next w:val="LightShading-Accent5"/>
    <w:uiPriority w:val="60"/>
    <w:rsid w:val="00EF5C2F"/>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5">
    <w:name w:val="Medium Grid 2 - Accent 55"/>
    <w:basedOn w:val="TableNormal"/>
    <w:next w:val="MediumGrid2-Accent5"/>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5">
    <w:name w:val="Light Grid - Accent 15"/>
    <w:basedOn w:val="TableNormal"/>
    <w:next w:val="LightGrid-Accent1"/>
    <w:uiPriority w:val="62"/>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27">
    <w:name w:val="No List27"/>
    <w:next w:val="NoList"/>
    <w:uiPriority w:val="99"/>
    <w:semiHidden/>
    <w:unhideWhenUsed/>
    <w:rsid w:val="00CD7119"/>
  </w:style>
  <w:style w:type="table" w:customStyle="1" w:styleId="TableGrid9">
    <w:name w:val="Table Grid9"/>
    <w:basedOn w:val="TableNormal"/>
    <w:next w:val="TableGrid"/>
    <w:uiPriority w:val="39"/>
    <w:rsid w:val="00CD7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
    <w:name w:val="Table List 76"/>
    <w:basedOn w:val="TableNormal"/>
    <w:next w:val="TableList7"/>
    <w:rsid w:val="00CD711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
    <w:name w:val="Table Web 36"/>
    <w:basedOn w:val="TableNormal"/>
    <w:next w:val="TableWeb3"/>
    <w:rsid w:val="00CD711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
    <w:name w:val="Table Elegant6"/>
    <w:basedOn w:val="TableNormal"/>
    <w:next w:val="TableElegant"/>
    <w:rsid w:val="00CD71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CD71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
    <w:name w:val="Table Web 16"/>
    <w:basedOn w:val="TableNormal"/>
    <w:next w:val="TableWeb1"/>
    <w:rsid w:val="00CD71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
    <w:rsid w:val="00CD711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rsid w:val="00CD711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
    <w:name w:val="No List119"/>
    <w:next w:val="NoList"/>
    <w:semiHidden/>
    <w:unhideWhenUsed/>
    <w:rsid w:val="00CD7119"/>
  </w:style>
  <w:style w:type="numbering" w:customStyle="1" w:styleId="NoList28">
    <w:name w:val="No List28"/>
    <w:next w:val="NoList"/>
    <w:semiHidden/>
    <w:unhideWhenUsed/>
    <w:rsid w:val="00CD7119"/>
  </w:style>
  <w:style w:type="numbering" w:customStyle="1" w:styleId="NoList37">
    <w:name w:val="No List37"/>
    <w:next w:val="NoList"/>
    <w:semiHidden/>
    <w:unhideWhenUsed/>
    <w:rsid w:val="00CD7119"/>
  </w:style>
  <w:style w:type="table" w:customStyle="1" w:styleId="LightList-Accent117">
    <w:name w:val="Light List - Accent 117"/>
    <w:basedOn w:val="TableNormal"/>
    <w:next w:val="LightList-Accent1"/>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
    <w:name w:val="Table Grid 76"/>
    <w:basedOn w:val="TableNormal"/>
    <w:next w:val="TableGrid7"/>
    <w:rsid w:val="00CD711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
    <w:name w:val="Colorful Grid - Accent 17"/>
    <w:basedOn w:val="TableNormal"/>
    <w:next w:val="ColorfulGrid-Accent1"/>
    <w:uiPriority w:val="73"/>
    <w:rsid w:val="00CD711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
    <w:name w:val="Light List - Accent 57"/>
    <w:basedOn w:val="TableNormal"/>
    <w:next w:val="LightList-Accent5"/>
    <w:uiPriority w:val="61"/>
    <w:rsid w:val="00CD711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
    <w:name w:val="Table Simple 36"/>
    <w:basedOn w:val="TableNormal"/>
    <w:next w:val="TableSimple3"/>
    <w:rsid w:val="00CD711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
    <w:name w:val="Table Grid 56"/>
    <w:basedOn w:val="TableNormal"/>
    <w:next w:val="TableGrid5"/>
    <w:rsid w:val="00CD711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
    <w:name w:val="Table Grid 36"/>
    <w:basedOn w:val="TableNormal"/>
    <w:next w:val="TableGrid3"/>
    <w:rsid w:val="00CD711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
    <w:name w:val="Table Grid 16"/>
    <w:basedOn w:val="TableNormal"/>
    <w:next w:val="TableGrid10"/>
    <w:rsid w:val="00CD71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rsid w:val="00CD711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
    <w:name w:val="Light List - Accent 118"/>
    <w:basedOn w:val="TableNormal"/>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0">
    <w:name w:val="Нет списка17"/>
    <w:next w:val="NoList"/>
    <w:semiHidden/>
    <w:unhideWhenUsed/>
    <w:rsid w:val="00CD7119"/>
  </w:style>
  <w:style w:type="table" w:customStyle="1" w:styleId="ColorfulGrid-Accent116">
    <w:name w:val="Colorful Grid - Accent 116"/>
    <w:basedOn w:val="TableNormal"/>
    <w:rsid w:val="00CD711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
    <w:name w:val="Light List - Accent 516"/>
    <w:basedOn w:val="TableNormal"/>
    <w:rsid w:val="00CD711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
    <w:name w:val="No List46"/>
    <w:next w:val="NoList"/>
    <w:semiHidden/>
    <w:rsid w:val="00CD7119"/>
  </w:style>
  <w:style w:type="numbering" w:customStyle="1" w:styleId="NoList1110">
    <w:name w:val="No List1110"/>
    <w:next w:val="NoList"/>
    <w:semiHidden/>
    <w:unhideWhenUsed/>
    <w:rsid w:val="00CD7119"/>
  </w:style>
  <w:style w:type="table" w:customStyle="1" w:styleId="Table3Deffects36">
    <w:name w:val="Table 3D effects 36"/>
    <w:basedOn w:val="TableNormal"/>
    <w:next w:val="Table3Deffects3"/>
    <w:rsid w:val="00CD71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
    <w:name w:val="Нет списка116"/>
    <w:next w:val="NoList"/>
    <w:semiHidden/>
    <w:unhideWhenUsed/>
    <w:rsid w:val="00CD7119"/>
  </w:style>
  <w:style w:type="character" w:customStyle="1" w:styleId="39">
    <w:name w:val="Основной текст3"/>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msonormal0">
    <w:name w:val="msonormal"/>
    <w:basedOn w:val="Normal"/>
    <w:rsid w:val="00291C2D"/>
    <w:pPr>
      <w:spacing w:before="100" w:beforeAutospacing="1" w:after="100" w:afterAutospacing="1" w:line="240" w:lineRule="auto"/>
      <w:ind w:firstLine="0"/>
      <w:contextualSpacing w:val="0"/>
      <w:jc w:val="left"/>
    </w:pPr>
    <w:rPr>
      <w:rFonts w:ascii="Times New Roman" w:hAnsi="Times New Roman"/>
      <w:b w:val="0"/>
      <w:sz w:val="24"/>
      <w:lang w:val="en-US" w:eastAsia="en-US"/>
    </w:rPr>
  </w:style>
  <w:style w:type="paragraph" w:customStyle="1" w:styleId="2b">
    <w:name w:val="Абзац списка2"/>
    <w:basedOn w:val="Normal"/>
    <w:uiPriority w:val="99"/>
    <w:qFormat/>
    <w:rsid w:val="00291C2D"/>
    <w:pPr>
      <w:spacing w:before="0" w:after="200" w:line="276" w:lineRule="auto"/>
      <w:ind w:left="720" w:firstLine="0"/>
      <w:jc w:val="left"/>
    </w:pPr>
    <w:rPr>
      <w:rFonts w:ascii="Calibri" w:eastAsia="Calibri" w:hAnsi="Calibri"/>
      <w:szCs w:val="22"/>
      <w:lang w:eastAsia="en-US"/>
    </w:rPr>
  </w:style>
  <w:style w:type="paragraph" w:customStyle="1" w:styleId="3a">
    <w:name w:val="Рецензия3"/>
    <w:hidden/>
    <w:uiPriority w:val="99"/>
    <w:semiHidden/>
    <w:rsid w:val="00291C2D"/>
    <w:rPr>
      <w:rFonts w:ascii="Arial Armenian" w:hAnsi="Arial Armenian"/>
      <w:sz w:val="22"/>
      <w:szCs w:val="22"/>
      <w:lang w:eastAsia="ru-RU"/>
    </w:rPr>
  </w:style>
  <w:style w:type="paragraph" w:customStyle="1" w:styleId="44">
    <w:name w:val="Обычный4"/>
    <w:rsid w:val="00291C2D"/>
    <w:pPr>
      <w:autoSpaceDE w:val="0"/>
      <w:autoSpaceDN w:val="0"/>
    </w:pPr>
    <w:rPr>
      <w:lang w:val="ru-RU" w:eastAsia="ru-RU"/>
    </w:rPr>
  </w:style>
  <w:style w:type="paragraph" w:customStyle="1" w:styleId="2c">
    <w:name w:val="Без интервала2"/>
    <w:uiPriority w:val="1"/>
    <w:qFormat/>
    <w:rsid w:val="00291C2D"/>
    <w:rPr>
      <w:rFonts w:ascii="Calibri" w:hAnsi="Calibri"/>
      <w:sz w:val="22"/>
      <w:szCs w:val="22"/>
    </w:rPr>
  </w:style>
  <w:style w:type="character" w:customStyle="1" w:styleId="45">
    <w:name w:val="Основной текст4"/>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table" w:customStyle="1" w:styleId="LightShading-Accent16">
    <w:name w:val="Light Shading - Accent 16"/>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
    <w:name w:val="Medium Grid 2 - Accent 16"/>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
    <w:name w:val="Medium List 2 - Accent 56"/>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
    <w:name w:val="Light List - Accent 15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
    <w:name w:val="Medium Grid 3 - Accent 56"/>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
    <w:name w:val="Light Shading - Accent 56"/>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
    <w:name w:val="Medium Grid 2 - Accent 56"/>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
    <w:name w:val="Light Grid - Accent 16"/>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
    <w:name w:val="Style114"/>
    <w:basedOn w:val="TableElegant"/>
    <w:uiPriority w:val="99"/>
    <w:rsid w:val="00291C2D"/>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
    <w:name w:val="Style215"/>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
    <w:name w:val="Style2114"/>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
    <w:name w:val="Light Shading - Accent 112"/>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
    <w:name w:val="Medium Grid 2 - Accent 112"/>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
    <w:name w:val="Medium List 2 - Accent 512"/>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
    <w:name w:val="Light List - Accent 16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
    <w:name w:val="Medium Grid 3 - Accent 512"/>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
    <w:name w:val="Light Shading - Accent 512"/>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
    <w:name w:val="Medium Grid 2 - Accent 512"/>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
    <w:name w:val="Light Grid - Accent 112"/>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
    <w:name w:val="No List29"/>
    <w:next w:val="NoList"/>
    <w:uiPriority w:val="99"/>
    <w:semiHidden/>
    <w:unhideWhenUsed/>
    <w:rsid w:val="00CC15D2"/>
  </w:style>
  <w:style w:type="table" w:customStyle="1" w:styleId="TableGrid100">
    <w:name w:val="Table Grid10"/>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C15D2"/>
  </w:style>
  <w:style w:type="numbering" w:customStyle="1" w:styleId="NoList1115">
    <w:name w:val="No List1115"/>
    <w:next w:val="NoList"/>
    <w:semiHidden/>
    <w:rsid w:val="00CC15D2"/>
  </w:style>
  <w:style w:type="table" w:customStyle="1" w:styleId="TableGrid150">
    <w:name w:val="Table Grid15"/>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941455"/>
  </w:style>
  <w:style w:type="table" w:customStyle="1" w:styleId="LightShading-Accent17">
    <w:name w:val="Light Shading - Accent 17"/>
    <w:basedOn w:val="TableNormal"/>
    <w:next w:val="LightShading-Accent1"/>
    <w:uiPriority w:val="60"/>
    <w:rsid w:val="00372F27"/>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7">
    <w:name w:val="Medium Grid 2 - Accent 17"/>
    <w:basedOn w:val="TableNormal"/>
    <w:next w:val="MediumGrid2-Accent1"/>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7">
    <w:name w:val="Medium List 2 - Accent 57"/>
    <w:basedOn w:val="TableNormal"/>
    <w:next w:val="MediumList2-Accent5"/>
    <w:uiPriority w:val="66"/>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9">
    <w:name w:val="Light List - Accent 119"/>
    <w:basedOn w:val="TableNormal"/>
    <w:next w:val="LightList-Accent1"/>
    <w:uiPriority w:val="61"/>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7">
    <w:name w:val="Medium Grid 3 - Accent 57"/>
    <w:basedOn w:val="TableNormal"/>
    <w:next w:val="MediumGrid3-Accent5"/>
    <w:uiPriority w:val="69"/>
    <w:rsid w:val="00372F27"/>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7">
    <w:name w:val="Light Shading - Accent 57"/>
    <w:basedOn w:val="TableNormal"/>
    <w:next w:val="LightShading-Accent5"/>
    <w:uiPriority w:val="60"/>
    <w:rsid w:val="00372F27"/>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7">
    <w:name w:val="Medium Grid 2 - Accent 57"/>
    <w:basedOn w:val="TableNormal"/>
    <w:next w:val="MediumGrid2-Accent5"/>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7">
    <w:name w:val="Light Grid - Accent 17"/>
    <w:basedOn w:val="TableNormal"/>
    <w:next w:val="LightGrid-Accent1"/>
    <w:uiPriority w:val="62"/>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38">
    <w:name w:val="No List38"/>
    <w:next w:val="NoList"/>
    <w:uiPriority w:val="99"/>
    <w:semiHidden/>
    <w:unhideWhenUsed/>
    <w:rsid w:val="00CD51B8"/>
  </w:style>
  <w:style w:type="table" w:customStyle="1" w:styleId="TableGrid160">
    <w:name w:val="Table Grid16"/>
    <w:basedOn w:val="TableNormal"/>
    <w:next w:val="TableGrid"/>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CD51B8"/>
  </w:style>
  <w:style w:type="numbering" w:customStyle="1" w:styleId="NoList1116">
    <w:name w:val="No List1116"/>
    <w:next w:val="NoList"/>
    <w:semiHidden/>
    <w:rsid w:val="00CD51B8"/>
  </w:style>
  <w:style w:type="table" w:customStyle="1" w:styleId="TableGrid17">
    <w:name w:val="Table Grid17"/>
    <w:basedOn w:val="TableNormal"/>
    <w:next w:val="TableGrid"/>
    <w:uiPriority w:val="59"/>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43453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8">
    <w:name w:val="Medium Grid 2 - Accent 18"/>
    <w:basedOn w:val="TableNormal"/>
    <w:next w:val="MediumGrid2-Accent1"/>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8">
    <w:name w:val="Medium List 2 - Accent 58"/>
    <w:basedOn w:val="TableNormal"/>
    <w:next w:val="MediumList2-Accent5"/>
    <w:uiPriority w:val="66"/>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0">
    <w:name w:val="Light List - Accent 120"/>
    <w:basedOn w:val="TableNormal"/>
    <w:next w:val="LightList-Accent1"/>
    <w:uiPriority w:val="61"/>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8">
    <w:name w:val="Medium Grid 3 - Accent 58"/>
    <w:basedOn w:val="TableNormal"/>
    <w:next w:val="MediumGrid3-Accent5"/>
    <w:uiPriority w:val="69"/>
    <w:rsid w:val="0043453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8">
    <w:name w:val="Light Shading - Accent 58"/>
    <w:basedOn w:val="TableNormal"/>
    <w:next w:val="LightShading-Accent5"/>
    <w:uiPriority w:val="60"/>
    <w:rsid w:val="00434536"/>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8">
    <w:name w:val="Medium Grid 2 - Accent 58"/>
    <w:basedOn w:val="TableNormal"/>
    <w:next w:val="MediumGrid2-Accent5"/>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8">
    <w:name w:val="Light Grid - Accent 18"/>
    <w:basedOn w:val="TableNormal"/>
    <w:next w:val="LightGrid-Accent1"/>
    <w:uiPriority w:val="62"/>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9">
    <w:name w:val="Light Shading - Accent 19"/>
    <w:basedOn w:val="TableNormal"/>
    <w:next w:val="LightShading-Accent1"/>
    <w:uiPriority w:val="60"/>
    <w:rsid w:val="00E81B58"/>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9">
    <w:name w:val="Medium Grid 2 - Accent 19"/>
    <w:basedOn w:val="TableNormal"/>
    <w:next w:val="MediumGrid2-Accent1"/>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9">
    <w:name w:val="Medium List 2 - Accent 59"/>
    <w:basedOn w:val="TableNormal"/>
    <w:next w:val="MediumList2-Accent5"/>
    <w:uiPriority w:val="66"/>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2">
    <w:name w:val="Light List - Accent 122"/>
    <w:basedOn w:val="TableNormal"/>
    <w:next w:val="LightList-Accent1"/>
    <w:uiPriority w:val="61"/>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9">
    <w:name w:val="Medium Grid 3 - Accent 59"/>
    <w:basedOn w:val="TableNormal"/>
    <w:next w:val="MediumGrid3-Accent5"/>
    <w:uiPriority w:val="69"/>
    <w:rsid w:val="00E81B58"/>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9">
    <w:name w:val="Light Shading - Accent 59"/>
    <w:basedOn w:val="TableNormal"/>
    <w:next w:val="LightShading-Accent5"/>
    <w:uiPriority w:val="60"/>
    <w:rsid w:val="00E81B58"/>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9">
    <w:name w:val="Medium Grid 2 - Accent 59"/>
    <w:basedOn w:val="TableNormal"/>
    <w:next w:val="MediumGrid2-Accent5"/>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9">
    <w:name w:val="Light Grid - Accent 19"/>
    <w:basedOn w:val="TableNormal"/>
    <w:next w:val="LightGrid-Accent1"/>
    <w:uiPriority w:val="62"/>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e115">
    <w:name w:val="Style115"/>
    <w:basedOn w:val="TableElegant"/>
    <w:uiPriority w:val="99"/>
    <w:rsid w:val="00CF7470"/>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
    <w:name w:val="Style2115"/>
    <w:basedOn w:val="TableGrid5"/>
    <w:uiPriority w:val="99"/>
    <w:rsid w:val="00CF7470"/>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
    <w:name w:val="No List39"/>
    <w:next w:val="NoList"/>
    <w:uiPriority w:val="99"/>
    <w:semiHidden/>
    <w:unhideWhenUsed/>
    <w:rsid w:val="008B1219"/>
  </w:style>
  <w:style w:type="table" w:customStyle="1" w:styleId="TableGrid18">
    <w:name w:val="Table Grid18"/>
    <w:basedOn w:val="TableNormal"/>
    <w:next w:val="TableGrid"/>
    <w:uiPriority w:val="3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8B1219"/>
  </w:style>
  <w:style w:type="numbering" w:customStyle="1" w:styleId="NoList1117">
    <w:name w:val="No List1117"/>
    <w:next w:val="NoList"/>
    <w:semiHidden/>
    <w:rsid w:val="008B1219"/>
  </w:style>
  <w:style w:type="table" w:customStyle="1" w:styleId="TableGrid19">
    <w:name w:val="Table Grid19"/>
    <w:basedOn w:val="TableNormal"/>
    <w:next w:val="TableGrid"/>
    <w:uiPriority w:val="5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
    <w:name w:val="Style1151"/>
    <w:basedOn w:val="TableElegant"/>
    <w:uiPriority w:val="99"/>
    <w:rsid w:val="008B121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
    <w:name w:val="Style216"/>
    <w:basedOn w:val="TableGrid5"/>
    <w:uiPriority w:val="99"/>
    <w:rsid w:val="008B121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
    <w:name w:val="No List40"/>
    <w:next w:val="NoList"/>
    <w:uiPriority w:val="99"/>
    <w:semiHidden/>
    <w:unhideWhenUsed/>
    <w:rsid w:val="008B1219"/>
  </w:style>
  <w:style w:type="table" w:customStyle="1" w:styleId="TableGrid20">
    <w:name w:val="Table Grid20"/>
    <w:basedOn w:val="TableNormal"/>
    <w:next w:val="TableGrid"/>
    <w:uiPriority w:val="59"/>
    <w:rsid w:val="008B1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
    <w:name w:val="Light Shading - Accent 110"/>
    <w:basedOn w:val="TableNormal"/>
    <w:next w:val="LightShading-Accent1"/>
    <w:uiPriority w:val="60"/>
    <w:rsid w:val="008B1219"/>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58">
    <w:name w:val="Light List - Accent 58"/>
    <w:basedOn w:val="TableNormal"/>
    <w:next w:val="LightList-Accent5"/>
    <w:uiPriority w:val="61"/>
    <w:rsid w:val="008B1219"/>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1">
    <w:name w:val="Medium List 2 Accent 1"/>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Accent110">
    <w:name w:val="Medium Grid 2 - Accent 110"/>
    <w:basedOn w:val="TableNormal"/>
    <w:next w:val="MediumGrid2-Accent1"/>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2-Accent510">
    <w:name w:val="Medium List 2 - Accent 510"/>
    <w:basedOn w:val="TableNormal"/>
    <w:next w:val="MediumList2-Accent5"/>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3">
    <w:name w:val="Light List - Accent 123"/>
    <w:basedOn w:val="TableNormal"/>
    <w:next w:val="LightList-Accent1"/>
    <w:uiPriority w:val="61"/>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5">
    <w:name w:val="Medium List 1 Accent 5"/>
    <w:basedOn w:val="TableNormal"/>
    <w:uiPriority w:val="65"/>
    <w:rsid w:val="008B1219"/>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Grid3-Accent510">
    <w:name w:val="Medium Grid 3 - Accent 510"/>
    <w:basedOn w:val="TableNormal"/>
    <w:next w:val="MediumGrid3-Accent5"/>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0">
    <w:name w:val="Light Shading - Accent 510"/>
    <w:basedOn w:val="TableNormal"/>
    <w:next w:val="LightShading-Accent5"/>
    <w:uiPriority w:val="60"/>
    <w:rsid w:val="008B1219"/>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0">
    <w:name w:val="Medium Grid 2 - Accent 510"/>
    <w:basedOn w:val="TableNormal"/>
    <w:next w:val="MediumGrid2-Accent5"/>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8B1219"/>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Accent110">
    <w:name w:val="Light Grid - Accent 110"/>
    <w:basedOn w:val="TableNormal"/>
    <w:next w:val="LightGrid-Accent1"/>
    <w:uiPriority w:val="62"/>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47">
    <w:name w:val="No List47"/>
    <w:next w:val="NoList"/>
    <w:uiPriority w:val="99"/>
    <w:semiHidden/>
    <w:unhideWhenUsed/>
    <w:rsid w:val="00961B35"/>
  </w:style>
  <w:style w:type="table" w:customStyle="1" w:styleId="TableGrid24">
    <w:name w:val="Table Grid24"/>
    <w:basedOn w:val="TableNormal"/>
    <w:next w:val="TableGrid"/>
    <w:uiPriority w:val="3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961B35"/>
  </w:style>
  <w:style w:type="numbering" w:customStyle="1" w:styleId="NoList1118">
    <w:name w:val="No List1118"/>
    <w:next w:val="NoList"/>
    <w:semiHidden/>
    <w:rsid w:val="00961B35"/>
  </w:style>
  <w:style w:type="table" w:customStyle="1" w:styleId="TableGrid1100">
    <w:name w:val="Table Grid110"/>
    <w:basedOn w:val="TableNormal"/>
    <w:next w:val="TableGrid"/>
    <w:uiPriority w:val="5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semiHidden/>
    <w:rsid w:val="001725C5"/>
  </w:style>
  <w:style w:type="paragraph" w:customStyle="1" w:styleId="CharChara">
    <w:name w:val="Char Char"/>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a">
    <w:name w:val="Char"/>
    <w:basedOn w:val="Normal"/>
    <w:next w:val="Normal"/>
    <w:rsid w:val="001725C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1CharCharCharCharCharCharCharCharCharCharCharChar0">
    <w:name w:val="Char1 Char Char Char Char Char Char Char Char Char Char Char Char"/>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4">
    <w:name w:val="Char Char Char"/>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5">
    <w:name w:val="Char Char Char 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5">
    <w:name w:val="Char Char Char Char Char 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af">
    <w:name w:val="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numbering" w:customStyle="1" w:styleId="NoList127">
    <w:name w:val="No List127"/>
    <w:next w:val="NoList"/>
    <w:semiHidden/>
    <w:rsid w:val="001725C5"/>
  </w:style>
  <w:style w:type="paragraph" w:customStyle="1" w:styleId="CharCharCharCharCharCharCharCharCharCharCharCharCharCharChar0">
    <w:name w:val="Char Char Char Char Знак Char Знак Char Char Char Char Char Char Char Char Char Char"/>
    <w:basedOn w:val="Normal"/>
    <w:rsid w:val="001725C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160">
    <w:name w:val="Char Char16"/>
    <w:rsid w:val="001725C5"/>
    <w:rPr>
      <w:b/>
      <w:sz w:val="32"/>
      <w:lang w:val="en-GB" w:eastAsia="en-US" w:bidi="ar-SA"/>
    </w:rPr>
  </w:style>
  <w:style w:type="character" w:customStyle="1" w:styleId="CharChar140">
    <w:name w:val="Char Char14"/>
    <w:rsid w:val="001725C5"/>
    <w:rPr>
      <w:sz w:val="22"/>
      <w:lang w:val="en-GB" w:eastAsia="en-US" w:bidi="ar-SA"/>
    </w:rPr>
  </w:style>
  <w:style w:type="character" w:customStyle="1" w:styleId="CharChar150">
    <w:name w:val="Char Char15"/>
    <w:rsid w:val="001725C5"/>
    <w:rPr>
      <w:sz w:val="36"/>
      <w:lang w:val="en-GB" w:eastAsia="en-US" w:bidi="ar-SA"/>
    </w:rPr>
  </w:style>
  <w:style w:type="character" w:customStyle="1" w:styleId="CharChar130">
    <w:name w:val="Char Char13"/>
    <w:rsid w:val="001725C5"/>
    <w:rPr>
      <w:sz w:val="22"/>
      <w:lang w:val="en-GB" w:eastAsia="en-US" w:bidi="ar-SA"/>
    </w:rPr>
  </w:style>
  <w:style w:type="character" w:customStyle="1" w:styleId="CharChar120">
    <w:name w:val="Char Char12"/>
    <w:uiPriority w:val="99"/>
    <w:rsid w:val="001725C5"/>
    <w:rPr>
      <w:sz w:val="22"/>
      <w:lang w:val="en-GB" w:eastAsia="en-US" w:bidi="ar-SA"/>
    </w:rPr>
  </w:style>
  <w:style w:type="character" w:customStyle="1" w:styleId="CharChar110">
    <w:name w:val="Char Char11"/>
    <w:uiPriority w:val="99"/>
    <w:rsid w:val="001725C5"/>
    <w:rPr>
      <w:rFonts w:ascii="Times Armenian" w:hAnsi="Times Armenian"/>
      <w:b/>
      <w:bCs/>
      <w:sz w:val="32"/>
      <w:szCs w:val="24"/>
      <w:lang w:val="fr-FR" w:eastAsia="en-US" w:bidi="ar-SA"/>
    </w:rPr>
  </w:style>
  <w:style w:type="character" w:customStyle="1" w:styleId="CharChar100">
    <w:name w:val="Char Char10"/>
    <w:rsid w:val="001725C5"/>
    <w:rPr>
      <w:rFonts w:ascii="Times Armenian" w:hAnsi="Times Armenian"/>
      <w:color w:val="993300"/>
      <w:sz w:val="22"/>
      <w:szCs w:val="24"/>
      <w:lang w:val="hy-AM" w:eastAsia="en-US" w:bidi="ar-SA"/>
    </w:rPr>
  </w:style>
  <w:style w:type="character" w:customStyle="1" w:styleId="CharChar90">
    <w:name w:val="Char Char9"/>
    <w:rsid w:val="001725C5"/>
    <w:rPr>
      <w:rFonts w:ascii="Times Armenian" w:hAnsi="Times Armenian"/>
      <w:b/>
      <w:i/>
      <w:sz w:val="24"/>
      <w:u w:val="single"/>
      <w:lang w:val="hy-AM" w:eastAsia="en-US" w:bidi="ar-SA"/>
    </w:rPr>
  </w:style>
  <w:style w:type="numbering" w:customStyle="1" w:styleId="NoList210">
    <w:name w:val="No List210"/>
    <w:next w:val="NoList"/>
    <w:semiHidden/>
    <w:rsid w:val="001725C5"/>
  </w:style>
  <w:style w:type="numbering" w:customStyle="1" w:styleId="NoList49">
    <w:name w:val="No List49"/>
    <w:next w:val="NoList"/>
    <w:uiPriority w:val="99"/>
    <w:semiHidden/>
    <w:unhideWhenUsed/>
    <w:rsid w:val="002C0A36"/>
  </w:style>
  <w:style w:type="table" w:customStyle="1" w:styleId="TableGrid25">
    <w:name w:val="Table Grid25"/>
    <w:basedOn w:val="TableNormal"/>
    <w:next w:val="TableGrid"/>
    <w:uiPriority w:val="39"/>
    <w:rsid w:val="002C0A36"/>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C0A36"/>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
    <w:name w:val="Table Grid26"/>
    <w:basedOn w:val="TableNormal"/>
    <w:next w:val="TableGrid"/>
    <w:uiPriority w:val="39"/>
    <w:rsid w:val="00BA6B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B36A46"/>
  </w:style>
  <w:style w:type="numbering" w:customStyle="1" w:styleId="NoList128">
    <w:name w:val="No List128"/>
    <w:next w:val="NoList"/>
    <w:uiPriority w:val="99"/>
    <w:semiHidden/>
    <w:unhideWhenUsed/>
    <w:rsid w:val="00B36A46"/>
  </w:style>
  <w:style w:type="table" w:customStyle="1" w:styleId="TableGrid27">
    <w:name w:val="Table Grid27"/>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semiHidden/>
    <w:unhideWhenUsed/>
    <w:rsid w:val="00B36A46"/>
  </w:style>
  <w:style w:type="numbering" w:customStyle="1" w:styleId="NoList11110">
    <w:name w:val="No List11110"/>
    <w:next w:val="NoList"/>
    <w:semiHidden/>
    <w:rsid w:val="00B36A46"/>
  </w:style>
  <w:style w:type="table" w:customStyle="1" w:styleId="TableGrid112">
    <w:name w:val="Table Grid11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semiHidden/>
    <w:rsid w:val="00B36A46"/>
  </w:style>
  <w:style w:type="numbering" w:customStyle="1" w:styleId="NoList214">
    <w:name w:val="No List214"/>
    <w:next w:val="NoList"/>
    <w:semiHidden/>
    <w:rsid w:val="00B36A46"/>
  </w:style>
  <w:style w:type="numbering" w:customStyle="1" w:styleId="NoList310">
    <w:name w:val="No List310"/>
    <w:next w:val="NoList"/>
    <w:semiHidden/>
    <w:unhideWhenUsed/>
    <w:rsid w:val="00B36A46"/>
  </w:style>
  <w:style w:type="table" w:customStyle="1" w:styleId="TableList77">
    <w:name w:val="Table List 77"/>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
    <w:name w:val="Table Web 37"/>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
    <w:name w:val="Table Elegant7"/>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
    <w:name w:val="Table Web 17"/>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
    <w:name w:val="Table Grid 87"/>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
    <w:name w:val="Table Contemporary7"/>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
    <w:name w:val="Light List - Accent 124"/>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
    <w:name w:val="Table Grid 77"/>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
    <w:name w:val="Colorful Grid - Accent 18"/>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
    <w:name w:val="Light List - Accent 59"/>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
    <w:name w:val="Table Simple 37"/>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
    <w:name w:val="Table Grid 57"/>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
    <w:name w:val="Table Grid 37"/>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0">
    <w:name w:val="Table Grid 17"/>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
    <w:name w:val="Table Columns 57"/>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
    <w:name w:val="Light List - Accent 1110"/>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0">
    <w:name w:val="Нет списка18"/>
    <w:next w:val="NoList"/>
    <w:semiHidden/>
    <w:unhideWhenUsed/>
    <w:rsid w:val="00B36A46"/>
  </w:style>
  <w:style w:type="table" w:customStyle="1" w:styleId="ColorfulGrid-Accent117">
    <w:name w:val="Colorful Grid - Accent 117"/>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
    <w:name w:val="Light List - Accent 517"/>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
    <w:name w:val="No List410"/>
    <w:next w:val="NoList"/>
    <w:semiHidden/>
    <w:rsid w:val="00B36A46"/>
  </w:style>
  <w:style w:type="table" w:customStyle="1" w:styleId="Table3Deffects37">
    <w:name w:val="Table 3D effects 37"/>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
    <w:name w:val="Нет списка117"/>
    <w:next w:val="NoList"/>
    <w:semiHidden/>
    <w:unhideWhenUsed/>
    <w:rsid w:val="00B36A46"/>
  </w:style>
  <w:style w:type="numbering" w:customStyle="1" w:styleId="NoList54">
    <w:name w:val="No List54"/>
    <w:next w:val="NoList"/>
    <w:uiPriority w:val="99"/>
    <w:semiHidden/>
    <w:unhideWhenUsed/>
    <w:rsid w:val="00B36A46"/>
  </w:style>
  <w:style w:type="numbering" w:customStyle="1" w:styleId="NoList129">
    <w:name w:val="No List129"/>
    <w:next w:val="NoList"/>
    <w:semiHidden/>
    <w:rsid w:val="00B36A46"/>
  </w:style>
  <w:style w:type="numbering" w:customStyle="1" w:styleId="NoList1124">
    <w:name w:val="No List1124"/>
    <w:next w:val="NoList"/>
    <w:semiHidden/>
    <w:rsid w:val="00B36A46"/>
  </w:style>
  <w:style w:type="numbering" w:customStyle="1" w:styleId="NoList111112">
    <w:name w:val="No List111112"/>
    <w:next w:val="NoList"/>
    <w:semiHidden/>
    <w:rsid w:val="00B36A46"/>
  </w:style>
  <w:style w:type="numbering" w:customStyle="1" w:styleId="NoList215">
    <w:name w:val="No List215"/>
    <w:next w:val="NoList"/>
    <w:semiHidden/>
    <w:rsid w:val="00B36A46"/>
  </w:style>
  <w:style w:type="table" w:customStyle="1" w:styleId="TableGrid28">
    <w:name w:val="Table Grid28"/>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B36A46"/>
  </w:style>
  <w:style w:type="numbering" w:customStyle="1" w:styleId="NoList62">
    <w:name w:val="No List62"/>
    <w:next w:val="NoList"/>
    <w:uiPriority w:val="99"/>
    <w:semiHidden/>
    <w:unhideWhenUsed/>
    <w:rsid w:val="00B36A46"/>
  </w:style>
  <w:style w:type="numbering" w:customStyle="1" w:styleId="NoList72">
    <w:name w:val="No List72"/>
    <w:next w:val="NoList"/>
    <w:uiPriority w:val="99"/>
    <w:semiHidden/>
    <w:unhideWhenUsed/>
    <w:rsid w:val="00B36A46"/>
  </w:style>
  <w:style w:type="table" w:customStyle="1" w:styleId="TableGrid320">
    <w:name w:val="Table Grid3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semiHidden/>
    <w:unhideWhenUsed/>
    <w:rsid w:val="00B36A46"/>
  </w:style>
  <w:style w:type="numbering" w:customStyle="1" w:styleId="NoList1132">
    <w:name w:val="No List1132"/>
    <w:next w:val="NoList"/>
    <w:semiHidden/>
    <w:rsid w:val="00B36A46"/>
  </w:style>
  <w:style w:type="table" w:customStyle="1" w:styleId="TableGrid113">
    <w:name w:val="Table Grid113"/>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semiHidden/>
    <w:rsid w:val="00B36A46"/>
  </w:style>
  <w:style w:type="numbering" w:customStyle="1" w:styleId="NoList222">
    <w:name w:val="No List222"/>
    <w:next w:val="NoList"/>
    <w:semiHidden/>
    <w:rsid w:val="00B36A46"/>
  </w:style>
  <w:style w:type="numbering" w:customStyle="1" w:styleId="NoList322">
    <w:name w:val="No List322"/>
    <w:next w:val="NoList"/>
    <w:semiHidden/>
    <w:unhideWhenUsed/>
    <w:rsid w:val="00B36A46"/>
  </w:style>
  <w:style w:type="table" w:customStyle="1" w:styleId="TableList712">
    <w:name w:val="Table List 71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
    <w:name w:val="Table Web 31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
    <w:name w:val="Light List - Accent 125"/>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
    <w:name w:val="Table Grid 71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
    <w:name w:val="Colorful Grid - Accent 122"/>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
    <w:name w:val="Light List - Accent 522"/>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
    <w:name w:val="Table Simple 31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
    <w:name w:val="Table Grid 51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
    <w:name w:val="Table Grid 31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0">
    <w:name w:val="Table Grid 11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
    <w:name w:val="Table Columns 51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
    <w:name w:val="Light List - Accent 111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
    <w:name w:val="Нет списка122"/>
    <w:next w:val="NoList"/>
    <w:uiPriority w:val="99"/>
    <w:semiHidden/>
    <w:unhideWhenUsed/>
    <w:rsid w:val="00B36A46"/>
  </w:style>
  <w:style w:type="table" w:customStyle="1" w:styleId="ColorfulGrid-Accent1112">
    <w:name w:val="Colorful Grid - Accent 111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
    <w:name w:val="Light List - Accent 511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
    <w:name w:val="No List412"/>
    <w:next w:val="NoList"/>
    <w:semiHidden/>
    <w:rsid w:val="00B36A46"/>
  </w:style>
  <w:style w:type="table" w:customStyle="1" w:styleId="Table3Deffects312">
    <w:name w:val="Table 3D effects 31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Нет списка1112"/>
    <w:next w:val="NoList"/>
    <w:semiHidden/>
    <w:unhideWhenUsed/>
    <w:rsid w:val="00B36A46"/>
  </w:style>
  <w:style w:type="numbering" w:customStyle="1" w:styleId="NoList512">
    <w:name w:val="No List512"/>
    <w:next w:val="NoList"/>
    <w:uiPriority w:val="99"/>
    <w:semiHidden/>
    <w:unhideWhenUsed/>
    <w:rsid w:val="00B36A46"/>
  </w:style>
  <w:style w:type="numbering" w:customStyle="1" w:styleId="NoList1212">
    <w:name w:val="No List1212"/>
    <w:next w:val="NoList"/>
    <w:semiHidden/>
    <w:rsid w:val="00B36A46"/>
  </w:style>
  <w:style w:type="numbering" w:customStyle="1" w:styleId="NoList11212">
    <w:name w:val="No List11212"/>
    <w:next w:val="NoList"/>
    <w:semiHidden/>
    <w:rsid w:val="00B36A46"/>
  </w:style>
  <w:style w:type="numbering" w:customStyle="1" w:styleId="NoList1111112">
    <w:name w:val="No List1111112"/>
    <w:next w:val="NoList"/>
    <w:semiHidden/>
    <w:rsid w:val="00B36A46"/>
  </w:style>
  <w:style w:type="numbering" w:customStyle="1" w:styleId="NoList2112">
    <w:name w:val="No List2112"/>
    <w:next w:val="NoList"/>
    <w:semiHidden/>
    <w:rsid w:val="00B36A46"/>
  </w:style>
  <w:style w:type="table" w:customStyle="1" w:styleId="TableGrid212">
    <w:name w:val="Table Grid21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B36A46"/>
  </w:style>
  <w:style w:type="numbering" w:customStyle="1" w:styleId="NoList82">
    <w:name w:val="No List82"/>
    <w:next w:val="NoList"/>
    <w:uiPriority w:val="99"/>
    <w:semiHidden/>
    <w:unhideWhenUsed/>
    <w:rsid w:val="00B36A46"/>
  </w:style>
  <w:style w:type="numbering" w:customStyle="1" w:styleId="NoList92">
    <w:name w:val="No List92"/>
    <w:next w:val="NoList"/>
    <w:uiPriority w:val="99"/>
    <w:semiHidden/>
    <w:unhideWhenUsed/>
    <w:rsid w:val="00B36A46"/>
  </w:style>
  <w:style w:type="table" w:customStyle="1" w:styleId="TableGrid42">
    <w:name w:val="Table Grid4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
    <w:name w:val="Table List 72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
    <w:name w:val="Table Web 32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
    <w:name w:val="Table Elegant2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
    <w:name w:val="Table Web 12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
    <w:name w:val="No List142"/>
    <w:next w:val="NoList"/>
    <w:semiHidden/>
    <w:unhideWhenUsed/>
    <w:rsid w:val="00B36A46"/>
  </w:style>
  <w:style w:type="numbering" w:customStyle="1" w:styleId="NoList232">
    <w:name w:val="No List232"/>
    <w:next w:val="NoList"/>
    <w:semiHidden/>
    <w:unhideWhenUsed/>
    <w:rsid w:val="00B36A46"/>
  </w:style>
  <w:style w:type="numbering" w:customStyle="1" w:styleId="NoList332">
    <w:name w:val="No List332"/>
    <w:next w:val="NoList"/>
    <w:semiHidden/>
    <w:unhideWhenUsed/>
    <w:rsid w:val="00B36A46"/>
  </w:style>
  <w:style w:type="table" w:customStyle="1" w:styleId="LightList-Accent132">
    <w:name w:val="Light List - Accent 13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
    <w:name w:val="Table Grid 72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
    <w:name w:val="Colorful Grid - Accent 13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
    <w:name w:val="Light List - Accent 53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
    <w:name w:val="Table Simple 32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
    <w:name w:val="Table Grid 52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
    <w:name w:val="Table Grid 32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
    <w:name w:val="Table Grid 12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
    <w:name w:val="Light List - Accent 112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
    <w:name w:val="Нет списка132"/>
    <w:next w:val="NoList"/>
    <w:semiHidden/>
    <w:unhideWhenUsed/>
    <w:rsid w:val="00B36A46"/>
  </w:style>
  <w:style w:type="table" w:customStyle="1" w:styleId="ColorfulGrid-Accent1122">
    <w:name w:val="Colorful Grid - Accent 112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
    <w:name w:val="Light List - Accent 512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
    <w:name w:val="No List422"/>
    <w:next w:val="NoList"/>
    <w:semiHidden/>
    <w:rsid w:val="00B36A46"/>
  </w:style>
  <w:style w:type="numbering" w:customStyle="1" w:styleId="NoList1142">
    <w:name w:val="No List1142"/>
    <w:next w:val="NoList"/>
    <w:semiHidden/>
    <w:unhideWhenUsed/>
    <w:rsid w:val="00B36A46"/>
  </w:style>
  <w:style w:type="table" w:customStyle="1" w:styleId="Table3Deffects322">
    <w:name w:val="Table 3D effects 32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
    <w:name w:val="Нет списка1122"/>
    <w:next w:val="NoList"/>
    <w:semiHidden/>
    <w:unhideWhenUsed/>
    <w:rsid w:val="00B36A46"/>
  </w:style>
  <w:style w:type="numbering" w:customStyle="1" w:styleId="NoList102">
    <w:name w:val="No List102"/>
    <w:next w:val="NoList"/>
    <w:uiPriority w:val="99"/>
    <w:semiHidden/>
    <w:unhideWhenUsed/>
    <w:rsid w:val="00B36A46"/>
  </w:style>
  <w:style w:type="table" w:customStyle="1" w:styleId="TableGrid520">
    <w:name w:val="Table Grid5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semiHidden/>
    <w:unhideWhenUsed/>
    <w:rsid w:val="00B36A46"/>
  </w:style>
  <w:style w:type="numbering" w:customStyle="1" w:styleId="NoList1152">
    <w:name w:val="No List1152"/>
    <w:next w:val="NoList"/>
    <w:semiHidden/>
    <w:rsid w:val="00B36A46"/>
  </w:style>
  <w:style w:type="table" w:customStyle="1" w:styleId="TableGrid1220">
    <w:name w:val="Table Grid12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semiHidden/>
    <w:rsid w:val="00B36A46"/>
  </w:style>
  <w:style w:type="numbering" w:customStyle="1" w:styleId="NoList242">
    <w:name w:val="No List242"/>
    <w:next w:val="NoList"/>
    <w:semiHidden/>
    <w:rsid w:val="00B36A46"/>
  </w:style>
  <w:style w:type="numbering" w:customStyle="1" w:styleId="NoList342">
    <w:name w:val="No List342"/>
    <w:next w:val="NoList"/>
    <w:semiHidden/>
    <w:unhideWhenUsed/>
    <w:rsid w:val="00B36A46"/>
  </w:style>
  <w:style w:type="table" w:customStyle="1" w:styleId="TableList732">
    <w:name w:val="Table List 73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
    <w:name w:val="Table Web 33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
    <w:name w:val="Table Elegant3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
    <w:name w:val="Table Web 13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
    <w:name w:val="Table Grid 83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
    <w:name w:val="Table Contemporary3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
    <w:name w:val="Light List - Accent 14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
    <w:name w:val="Table Grid 73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
    <w:name w:val="Colorful Grid - Accent 14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
    <w:name w:val="Light List - Accent 54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
    <w:name w:val="Table Simple 33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
    <w:name w:val="Table Grid 53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
    <w:name w:val="Table Grid 33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
    <w:name w:val="Table Grid 13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
    <w:name w:val="Table Columns 53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
    <w:name w:val="Light List - Accent 113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
    <w:name w:val="Нет списка142"/>
    <w:next w:val="NoList"/>
    <w:semiHidden/>
    <w:unhideWhenUsed/>
    <w:rsid w:val="00B36A46"/>
  </w:style>
  <w:style w:type="table" w:customStyle="1" w:styleId="ColorfulGrid-Accent1132">
    <w:name w:val="Colorful Grid - Accent 113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
    <w:name w:val="Light List - Accent 513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
    <w:name w:val="No List432"/>
    <w:next w:val="NoList"/>
    <w:semiHidden/>
    <w:rsid w:val="00B36A46"/>
  </w:style>
  <w:style w:type="table" w:customStyle="1" w:styleId="Table3Deffects332">
    <w:name w:val="Table 3D effects 33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
    <w:name w:val="Нет списка1132"/>
    <w:next w:val="NoList"/>
    <w:semiHidden/>
    <w:unhideWhenUsed/>
    <w:rsid w:val="00B36A46"/>
  </w:style>
  <w:style w:type="numbering" w:customStyle="1" w:styleId="NoList522">
    <w:name w:val="No List522"/>
    <w:next w:val="NoList"/>
    <w:uiPriority w:val="99"/>
    <w:semiHidden/>
    <w:unhideWhenUsed/>
    <w:rsid w:val="00B36A46"/>
  </w:style>
  <w:style w:type="numbering" w:customStyle="1" w:styleId="NoList1222">
    <w:name w:val="No List1222"/>
    <w:next w:val="NoList"/>
    <w:semiHidden/>
    <w:rsid w:val="00B36A46"/>
  </w:style>
  <w:style w:type="numbering" w:customStyle="1" w:styleId="NoList11222">
    <w:name w:val="No List11222"/>
    <w:next w:val="NoList"/>
    <w:semiHidden/>
    <w:rsid w:val="00B36A46"/>
  </w:style>
  <w:style w:type="numbering" w:customStyle="1" w:styleId="NoList111122">
    <w:name w:val="No List111122"/>
    <w:next w:val="NoList"/>
    <w:semiHidden/>
    <w:rsid w:val="00B36A46"/>
  </w:style>
  <w:style w:type="numbering" w:customStyle="1" w:styleId="NoList2122">
    <w:name w:val="No List2122"/>
    <w:next w:val="NoList"/>
    <w:semiHidden/>
    <w:rsid w:val="00B36A46"/>
  </w:style>
  <w:style w:type="table" w:customStyle="1" w:styleId="TableGrid222">
    <w:name w:val="Table Grid22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B36A46"/>
  </w:style>
  <w:style w:type="table" w:customStyle="1" w:styleId="LightShading-Accent113">
    <w:name w:val="Light Shading - Accent 113"/>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
    <w:name w:val="Medium Grid 2 - Accent 113"/>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
    <w:name w:val="Medium List 2 - Accent 513"/>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
    <w:name w:val="Light List - Accent 15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
    <w:name w:val="Medium Grid 3 - Accent 513"/>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
    <w:name w:val="Light Shading - Accent 513"/>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
    <w:name w:val="Medium Grid 2 - Accent 513"/>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
    <w:name w:val="Light Grid - Accent 113"/>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
    <w:name w:val="Table List 44"/>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
    <w:name w:val="Table List 413"/>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
    <w:name w:val="Table Theme2"/>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
    <w:name w:val="Table Professional2"/>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
    <w:name w:val="Table Grid 62"/>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
    <w:name w:val="Table List 42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
    <w:name w:val="Table List 411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
    <w:name w:val="Style116"/>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
    <w:name w:val="Style217"/>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
    <w:name w:val="Style2116"/>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
    <w:name w:val="No List162"/>
    <w:next w:val="NoList"/>
    <w:uiPriority w:val="99"/>
    <w:semiHidden/>
    <w:unhideWhenUsed/>
    <w:rsid w:val="00B36A46"/>
  </w:style>
  <w:style w:type="table" w:customStyle="1" w:styleId="TableGrid620">
    <w:name w:val="Table Grid6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B36A46"/>
  </w:style>
  <w:style w:type="numbering" w:customStyle="1" w:styleId="NoList1162">
    <w:name w:val="No List1162"/>
    <w:next w:val="NoList"/>
    <w:semiHidden/>
    <w:rsid w:val="00B36A46"/>
  </w:style>
  <w:style w:type="table" w:customStyle="1" w:styleId="TableGrid1320">
    <w:name w:val="Table Grid132"/>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
    <w:name w:val="Light List - Accent 16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
    <w:name w:val="Light Shading - Accent 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
    <w:name w:val="Medium Grid 2 - Accent 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
    <w:name w:val="Medium List 2 - Accent 5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
    <w:name w:val="Light List - Accent 17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
    <w:name w:val="Medium Grid 3 - Accent 5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
    <w:name w:val="Light Shading - Accent 5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
    <w:name w:val="Medium Grid 2 - Accent 5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
    <w:name w:val="Light Grid - Accent 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
    <w:name w:val="No List181"/>
    <w:next w:val="NoList"/>
    <w:uiPriority w:val="99"/>
    <w:semiHidden/>
    <w:unhideWhenUsed/>
    <w:rsid w:val="00B36A46"/>
  </w:style>
  <w:style w:type="table" w:customStyle="1" w:styleId="TableGrid710">
    <w:name w:val="Table Grid7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
    <w:name w:val="Table List 74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
    <w:name w:val="Table Web 34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
    <w:name w:val="Table Elegant4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
    <w:name w:val="Table Web 24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
    <w:name w:val="No List191"/>
    <w:next w:val="NoList"/>
    <w:semiHidden/>
    <w:unhideWhenUsed/>
    <w:rsid w:val="00B36A46"/>
  </w:style>
  <w:style w:type="numbering" w:customStyle="1" w:styleId="NoList251">
    <w:name w:val="No List251"/>
    <w:next w:val="NoList"/>
    <w:semiHidden/>
    <w:unhideWhenUsed/>
    <w:rsid w:val="00B36A46"/>
  </w:style>
  <w:style w:type="numbering" w:customStyle="1" w:styleId="NoList351">
    <w:name w:val="No List351"/>
    <w:next w:val="NoList"/>
    <w:semiHidden/>
    <w:unhideWhenUsed/>
    <w:rsid w:val="00B36A46"/>
  </w:style>
  <w:style w:type="table" w:customStyle="1" w:styleId="LightList-Accent181">
    <w:name w:val="Light List - Accent 18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
    <w:name w:val="Table Grid 74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
    <w:name w:val="Colorful Grid - Accent 15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
    <w:name w:val="Light List - Accent 55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
    <w:name w:val="Table Simple 34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
    <w:name w:val="Table Grid 54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
    <w:name w:val="Table Grid 34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
    <w:name w:val="Table Grid 14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
    <w:name w:val="Light List - Accent 114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
    <w:name w:val="Нет списка151"/>
    <w:next w:val="NoList"/>
    <w:semiHidden/>
    <w:unhideWhenUsed/>
    <w:rsid w:val="00B36A46"/>
  </w:style>
  <w:style w:type="table" w:customStyle="1" w:styleId="ColorfulGrid-Accent1141">
    <w:name w:val="Colorful Grid - Accent 114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
    <w:name w:val="Light List - Accent 514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
    <w:name w:val="No List441"/>
    <w:next w:val="NoList"/>
    <w:semiHidden/>
    <w:rsid w:val="00B36A46"/>
  </w:style>
  <w:style w:type="numbering" w:customStyle="1" w:styleId="NoList1171">
    <w:name w:val="No List1171"/>
    <w:next w:val="NoList"/>
    <w:semiHidden/>
    <w:unhideWhenUsed/>
    <w:rsid w:val="00B36A46"/>
  </w:style>
  <w:style w:type="table" w:customStyle="1" w:styleId="Table3Deffects341">
    <w:name w:val="Table 3D effects 34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
    <w:name w:val="Нет списка1141"/>
    <w:next w:val="NoList"/>
    <w:semiHidden/>
    <w:unhideWhenUsed/>
    <w:rsid w:val="00B36A46"/>
  </w:style>
  <w:style w:type="table" w:customStyle="1" w:styleId="Style1111">
    <w:name w:val="Style11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
    <w:name w:val="Style2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
    <w:name w:val="Style2111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
    <w:name w:val="Style112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
    <w:name w:val="Style2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
    <w:name w:val="Style21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
    <w:name w:val="No List201"/>
    <w:next w:val="NoList"/>
    <w:uiPriority w:val="99"/>
    <w:semiHidden/>
    <w:unhideWhenUsed/>
    <w:rsid w:val="00B36A46"/>
  </w:style>
  <w:style w:type="numbering" w:customStyle="1" w:styleId="NoList1101">
    <w:name w:val="No List1101"/>
    <w:next w:val="NoList"/>
    <w:uiPriority w:val="99"/>
    <w:semiHidden/>
    <w:unhideWhenUsed/>
    <w:rsid w:val="00B36A46"/>
  </w:style>
  <w:style w:type="table" w:customStyle="1" w:styleId="TableGrid810">
    <w:name w:val="Table Grid8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B36A46"/>
  </w:style>
  <w:style w:type="numbering" w:customStyle="1" w:styleId="NoList11141">
    <w:name w:val="No List11141"/>
    <w:next w:val="NoList"/>
    <w:semiHidden/>
    <w:rsid w:val="00B36A46"/>
  </w:style>
  <w:style w:type="table" w:customStyle="1" w:styleId="TableGrid1410">
    <w:name w:val="Table Grid14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semiHidden/>
    <w:rsid w:val="00B36A46"/>
  </w:style>
  <w:style w:type="numbering" w:customStyle="1" w:styleId="NoList261">
    <w:name w:val="No List261"/>
    <w:next w:val="NoList"/>
    <w:semiHidden/>
    <w:rsid w:val="00B36A46"/>
  </w:style>
  <w:style w:type="numbering" w:customStyle="1" w:styleId="NoList361">
    <w:name w:val="No List361"/>
    <w:next w:val="NoList"/>
    <w:semiHidden/>
    <w:unhideWhenUsed/>
    <w:rsid w:val="00B36A46"/>
  </w:style>
  <w:style w:type="table" w:customStyle="1" w:styleId="TableList751">
    <w:name w:val="Table List 75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
    <w:name w:val="Table Web 35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
    <w:name w:val="Table Elegant5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
    <w:name w:val="Table Web 25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
    <w:name w:val="Table Web 15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
    <w:name w:val="Table Grid 85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
    <w:name w:val="Table Contemporary5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
    <w:name w:val="Light List - Accent 19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
    <w:name w:val="Table Grid 75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
    <w:name w:val="Colorful Grid - Accent 16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
    <w:name w:val="Light List - Accent 56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
    <w:name w:val="Table Simple 35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
    <w:name w:val="Table Grid 55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
    <w:name w:val="Table Grid 35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
    <w:name w:val="Table Grid 15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
    <w:name w:val="Table Columns 55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
    <w:name w:val="Light List - Accent 115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
    <w:name w:val="Нет списка161"/>
    <w:next w:val="NoList"/>
    <w:semiHidden/>
    <w:unhideWhenUsed/>
    <w:rsid w:val="00B36A46"/>
  </w:style>
  <w:style w:type="table" w:customStyle="1" w:styleId="ColorfulGrid-Accent1151">
    <w:name w:val="Colorful Grid - Accent 115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
    <w:name w:val="Light List - Accent 515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
    <w:name w:val="No List451"/>
    <w:next w:val="NoList"/>
    <w:semiHidden/>
    <w:rsid w:val="00B36A46"/>
  </w:style>
  <w:style w:type="table" w:customStyle="1" w:styleId="Table3Deffects351">
    <w:name w:val="Table 3D effects 35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NoList"/>
    <w:semiHidden/>
    <w:unhideWhenUsed/>
    <w:rsid w:val="00B36A46"/>
  </w:style>
  <w:style w:type="numbering" w:customStyle="1" w:styleId="NoList531">
    <w:name w:val="No List531"/>
    <w:next w:val="NoList"/>
    <w:uiPriority w:val="99"/>
    <w:semiHidden/>
    <w:unhideWhenUsed/>
    <w:rsid w:val="00B36A46"/>
  </w:style>
  <w:style w:type="numbering" w:customStyle="1" w:styleId="NoList1231">
    <w:name w:val="No List1231"/>
    <w:next w:val="NoList"/>
    <w:semiHidden/>
    <w:rsid w:val="00B36A46"/>
  </w:style>
  <w:style w:type="numbering" w:customStyle="1" w:styleId="NoList11231">
    <w:name w:val="No List11231"/>
    <w:next w:val="NoList"/>
    <w:semiHidden/>
    <w:rsid w:val="00B36A46"/>
  </w:style>
  <w:style w:type="numbering" w:customStyle="1" w:styleId="NoList11111111">
    <w:name w:val="No List11111111"/>
    <w:next w:val="NoList"/>
    <w:semiHidden/>
    <w:rsid w:val="00B36A46"/>
  </w:style>
  <w:style w:type="numbering" w:customStyle="1" w:styleId="NoList2131">
    <w:name w:val="No List2131"/>
    <w:next w:val="NoList"/>
    <w:semiHidden/>
    <w:rsid w:val="00B36A46"/>
  </w:style>
  <w:style w:type="table" w:customStyle="1" w:styleId="TableGrid231">
    <w:name w:val="Table Grid23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
    <w:name w:val="No List3131"/>
    <w:next w:val="NoList"/>
    <w:uiPriority w:val="99"/>
    <w:semiHidden/>
    <w:unhideWhenUsed/>
    <w:rsid w:val="00B36A46"/>
  </w:style>
  <w:style w:type="numbering" w:customStyle="1" w:styleId="NoList611">
    <w:name w:val="No List611"/>
    <w:next w:val="NoList"/>
    <w:uiPriority w:val="99"/>
    <w:semiHidden/>
    <w:unhideWhenUsed/>
    <w:rsid w:val="00B36A46"/>
  </w:style>
  <w:style w:type="numbering" w:customStyle="1" w:styleId="NoList711">
    <w:name w:val="No List711"/>
    <w:next w:val="NoList"/>
    <w:uiPriority w:val="99"/>
    <w:semiHidden/>
    <w:unhideWhenUsed/>
    <w:rsid w:val="00B36A46"/>
  </w:style>
  <w:style w:type="table" w:customStyle="1" w:styleId="TableGrid3110">
    <w:name w:val="Table Grid3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semiHidden/>
    <w:unhideWhenUsed/>
    <w:rsid w:val="00B36A46"/>
  </w:style>
  <w:style w:type="numbering" w:customStyle="1" w:styleId="NoList11311">
    <w:name w:val="No List11311"/>
    <w:next w:val="NoList"/>
    <w:semiHidden/>
    <w:rsid w:val="00B36A46"/>
  </w:style>
  <w:style w:type="table" w:customStyle="1" w:styleId="TableGrid1111">
    <w:name w:val="Table Grid111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semiHidden/>
    <w:rsid w:val="00B36A46"/>
  </w:style>
  <w:style w:type="numbering" w:customStyle="1" w:styleId="NoList2211">
    <w:name w:val="No List2211"/>
    <w:next w:val="NoList"/>
    <w:semiHidden/>
    <w:rsid w:val="00B36A46"/>
  </w:style>
  <w:style w:type="numbering" w:customStyle="1" w:styleId="NoList3211">
    <w:name w:val="No List3211"/>
    <w:next w:val="NoList"/>
    <w:semiHidden/>
    <w:unhideWhenUsed/>
    <w:rsid w:val="00B36A46"/>
  </w:style>
  <w:style w:type="table" w:customStyle="1" w:styleId="TableList7111">
    <w:name w:val="Table List 71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
    <w:name w:val="Table Web 31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
    <w:name w:val="Table Elegant1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
    <w:name w:val="Light List - Accent 12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
    <w:name w:val="Table Grid 71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
    <w:name w:val="Colorful Grid - Accent 1211"/>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
    <w:name w:val="Light List - Accent 5211"/>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
    <w:name w:val="Table Simple 31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
    <w:name w:val="Table Grid 51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
    <w:name w:val="Table Grid 31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0">
    <w:name w:val="Table Grid 11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
    <w:name w:val="Table Columns 51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
    <w:name w:val="Light List - Accent 111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
    <w:name w:val="Нет списка1211"/>
    <w:next w:val="NoList"/>
    <w:uiPriority w:val="99"/>
    <w:semiHidden/>
    <w:unhideWhenUsed/>
    <w:rsid w:val="00B36A46"/>
  </w:style>
  <w:style w:type="table" w:customStyle="1" w:styleId="ColorfulGrid-Accent11111">
    <w:name w:val="Colorful Grid - Accent 111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
    <w:name w:val="Light List - Accent 511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
    <w:name w:val="No List4111"/>
    <w:next w:val="NoList"/>
    <w:semiHidden/>
    <w:rsid w:val="00B36A46"/>
  </w:style>
  <w:style w:type="table" w:customStyle="1" w:styleId="Table3Deffects3111">
    <w:name w:val="Table 3D effects 31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
    <w:name w:val="Нет списка11111"/>
    <w:next w:val="NoList"/>
    <w:semiHidden/>
    <w:unhideWhenUsed/>
    <w:rsid w:val="00B36A46"/>
  </w:style>
  <w:style w:type="numbering" w:customStyle="1" w:styleId="NoList5111">
    <w:name w:val="No List5111"/>
    <w:next w:val="NoList"/>
    <w:uiPriority w:val="99"/>
    <w:semiHidden/>
    <w:unhideWhenUsed/>
    <w:rsid w:val="00B36A46"/>
  </w:style>
  <w:style w:type="numbering" w:customStyle="1" w:styleId="NoList12111">
    <w:name w:val="No List12111"/>
    <w:next w:val="NoList"/>
    <w:semiHidden/>
    <w:rsid w:val="00B36A46"/>
  </w:style>
  <w:style w:type="numbering" w:customStyle="1" w:styleId="NoList112111">
    <w:name w:val="No List112111"/>
    <w:next w:val="NoList"/>
    <w:semiHidden/>
    <w:rsid w:val="00B36A46"/>
  </w:style>
  <w:style w:type="numbering" w:customStyle="1" w:styleId="NoList111111111">
    <w:name w:val="No List111111111"/>
    <w:next w:val="NoList"/>
    <w:semiHidden/>
    <w:rsid w:val="00B36A46"/>
  </w:style>
  <w:style w:type="numbering" w:customStyle="1" w:styleId="NoList21111">
    <w:name w:val="No List21111"/>
    <w:next w:val="NoList"/>
    <w:semiHidden/>
    <w:rsid w:val="00B36A46"/>
  </w:style>
  <w:style w:type="table" w:customStyle="1" w:styleId="TableGrid2111">
    <w:name w:val="Table Grid21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B36A46"/>
  </w:style>
  <w:style w:type="numbering" w:customStyle="1" w:styleId="NoList811">
    <w:name w:val="No List811"/>
    <w:next w:val="NoList"/>
    <w:uiPriority w:val="99"/>
    <w:semiHidden/>
    <w:unhideWhenUsed/>
    <w:rsid w:val="00B36A46"/>
  </w:style>
  <w:style w:type="numbering" w:customStyle="1" w:styleId="NoList911">
    <w:name w:val="No List911"/>
    <w:next w:val="NoList"/>
    <w:uiPriority w:val="99"/>
    <w:semiHidden/>
    <w:unhideWhenUsed/>
    <w:rsid w:val="00B36A46"/>
  </w:style>
  <w:style w:type="table" w:customStyle="1" w:styleId="TableGrid411">
    <w:name w:val="Table Grid4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
    <w:name w:val="Table List 72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
    <w:name w:val="Table Web 32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
    <w:name w:val="Table Elegant2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
    <w:name w:val="Table Web 12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
    <w:name w:val="No List1411"/>
    <w:next w:val="NoList"/>
    <w:semiHidden/>
    <w:unhideWhenUsed/>
    <w:rsid w:val="00B36A46"/>
  </w:style>
  <w:style w:type="numbering" w:customStyle="1" w:styleId="NoList2311">
    <w:name w:val="No List2311"/>
    <w:next w:val="NoList"/>
    <w:semiHidden/>
    <w:unhideWhenUsed/>
    <w:rsid w:val="00B36A46"/>
  </w:style>
  <w:style w:type="numbering" w:customStyle="1" w:styleId="NoList3311">
    <w:name w:val="No List3311"/>
    <w:next w:val="NoList"/>
    <w:semiHidden/>
    <w:unhideWhenUsed/>
    <w:rsid w:val="00B36A46"/>
  </w:style>
  <w:style w:type="table" w:customStyle="1" w:styleId="LightList-Accent1311">
    <w:name w:val="Light List - Accent 13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
    <w:name w:val="Table Grid 72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
    <w:name w:val="Colorful Grid - Accent 13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
    <w:name w:val="Light List - Accent 53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
    <w:name w:val="Table Simple 32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
    <w:name w:val="Table Grid 52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
    <w:name w:val="Table Grid 32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
    <w:name w:val="Table Grid 12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
    <w:name w:val="Light List - Accent 112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
    <w:name w:val="Нет списка1311"/>
    <w:next w:val="NoList"/>
    <w:semiHidden/>
    <w:unhideWhenUsed/>
    <w:rsid w:val="00B36A46"/>
  </w:style>
  <w:style w:type="table" w:customStyle="1" w:styleId="ColorfulGrid-Accent11211">
    <w:name w:val="Colorful Grid - Accent 112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
    <w:name w:val="Light List - Accent 512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
    <w:name w:val="No List4211"/>
    <w:next w:val="NoList"/>
    <w:semiHidden/>
    <w:rsid w:val="00B36A46"/>
  </w:style>
  <w:style w:type="numbering" w:customStyle="1" w:styleId="NoList11411">
    <w:name w:val="No List11411"/>
    <w:next w:val="NoList"/>
    <w:semiHidden/>
    <w:unhideWhenUsed/>
    <w:rsid w:val="00B36A46"/>
  </w:style>
  <w:style w:type="table" w:customStyle="1" w:styleId="Table3Deffects3211">
    <w:name w:val="Table 3D effects 32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
    <w:name w:val="Нет списка11211"/>
    <w:next w:val="NoList"/>
    <w:semiHidden/>
    <w:unhideWhenUsed/>
    <w:rsid w:val="00B36A46"/>
  </w:style>
  <w:style w:type="numbering" w:customStyle="1" w:styleId="NoList1011">
    <w:name w:val="No List1011"/>
    <w:next w:val="NoList"/>
    <w:uiPriority w:val="99"/>
    <w:semiHidden/>
    <w:unhideWhenUsed/>
    <w:rsid w:val="00B36A46"/>
  </w:style>
  <w:style w:type="table" w:customStyle="1" w:styleId="TableGrid5110">
    <w:name w:val="Table Grid5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semiHidden/>
    <w:unhideWhenUsed/>
    <w:rsid w:val="00B36A46"/>
  </w:style>
  <w:style w:type="numbering" w:customStyle="1" w:styleId="NoList11511">
    <w:name w:val="No List11511"/>
    <w:next w:val="NoList"/>
    <w:semiHidden/>
    <w:rsid w:val="00B36A46"/>
  </w:style>
  <w:style w:type="table" w:customStyle="1" w:styleId="TableGrid12110">
    <w:name w:val="Table Grid12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NoList"/>
    <w:semiHidden/>
    <w:rsid w:val="00B36A46"/>
  </w:style>
  <w:style w:type="numbering" w:customStyle="1" w:styleId="NoList2411">
    <w:name w:val="No List2411"/>
    <w:next w:val="NoList"/>
    <w:semiHidden/>
    <w:rsid w:val="00B36A46"/>
  </w:style>
  <w:style w:type="numbering" w:customStyle="1" w:styleId="NoList3411">
    <w:name w:val="No List3411"/>
    <w:next w:val="NoList"/>
    <w:semiHidden/>
    <w:unhideWhenUsed/>
    <w:rsid w:val="00B36A46"/>
  </w:style>
  <w:style w:type="table" w:customStyle="1" w:styleId="TableList7311">
    <w:name w:val="Table List 73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
    <w:name w:val="Table Web 33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
    <w:name w:val="Table Elegant3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
    <w:name w:val="Table Web 23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
    <w:name w:val="Table Web 13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
    <w:name w:val="Table Grid 83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
    <w:name w:val="Table Contemporary3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
    <w:name w:val="Light List - Accent 14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
    <w:name w:val="Table Grid 73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
    <w:name w:val="Colorful Grid - Accent 14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
    <w:name w:val="Light List - Accent 54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
    <w:name w:val="Table Simple 33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
    <w:name w:val="Table Grid 53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
    <w:name w:val="Table Grid 33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
    <w:name w:val="Table Grid 13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
    <w:name w:val="Table Columns 53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
    <w:name w:val="Light List - Accent 113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
    <w:name w:val="Нет списка1411"/>
    <w:next w:val="NoList"/>
    <w:semiHidden/>
    <w:unhideWhenUsed/>
    <w:rsid w:val="00B36A46"/>
  </w:style>
  <w:style w:type="table" w:customStyle="1" w:styleId="ColorfulGrid-Accent11311">
    <w:name w:val="Colorful Grid - Accent 113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
    <w:name w:val="Light List - Accent 513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
    <w:name w:val="No List4311"/>
    <w:next w:val="NoList"/>
    <w:semiHidden/>
    <w:rsid w:val="00B36A46"/>
  </w:style>
  <w:style w:type="table" w:customStyle="1" w:styleId="Table3Deffects3311">
    <w:name w:val="Table 3D effects 33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
    <w:name w:val="Нет списка11311"/>
    <w:next w:val="NoList"/>
    <w:semiHidden/>
    <w:unhideWhenUsed/>
    <w:rsid w:val="00B36A46"/>
  </w:style>
  <w:style w:type="numbering" w:customStyle="1" w:styleId="NoList5211">
    <w:name w:val="No List5211"/>
    <w:next w:val="NoList"/>
    <w:uiPriority w:val="99"/>
    <w:semiHidden/>
    <w:unhideWhenUsed/>
    <w:rsid w:val="00B36A46"/>
  </w:style>
  <w:style w:type="numbering" w:customStyle="1" w:styleId="NoList12211">
    <w:name w:val="No List12211"/>
    <w:next w:val="NoList"/>
    <w:semiHidden/>
    <w:rsid w:val="00B36A46"/>
  </w:style>
  <w:style w:type="numbering" w:customStyle="1" w:styleId="NoList112211">
    <w:name w:val="No List112211"/>
    <w:next w:val="NoList"/>
    <w:semiHidden/>
    <w:rsid w:val="00B36A46"/>
  </w:style>
  <w:style w:type="numbering" w:customStyle="1" w:styleId="NoList1111211">
    <w:name w:val="No List1111211"/>
    <w:next w:val="NoList"/>
    <w:semiHidden/>
    <w:rsid w:val="00B36A46"/>
  </w:style>
  <w:style w:type="numbering" w:customStyle="1" w:styleId="NoList21211">
    <w:name w:val="No List21211"/>
    <w:next w:val="NoList"/>
    <w:semiHidden/>
    <w:rsid w:val="00B36A46"/>
  </w:style>
  <w:style w:type="table" w:customStyle="1" w:styleId="TableGrid2211">
    <w:name w:val="Table Grid22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
    <w:name w:val="No List31211"/>
    <w:next w:val="NoList"/>
    <w:uiPriority w:val="99"/>
    <w:semiHidden/>
    <w:unhideWhenUsed/>
    <w:rsid w:val="00B36A46"/>
  </w:style>
  <w:style w:type="table" w:customStyle="1" w:styleId="LightShading-Accent1111">
    <w:name w:val="Light Shading - Accent 111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
    <w:name w:val="Medium Grid 2 - Accent 111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
    <w:name w:val="Medium List 2 - Accent 511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
    <w:name w:val="Light List - Accent 15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
    <w:name w:val="Medium Grid 3 - Accent 511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
    <w:name w:val="Light Shading - Accent 511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
    <w:name w:val="Medium Grid 2 - Accent 511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
    <w:name w:val="Light Grid - Accent 111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
    <w:name w:val="Table List 43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
    <w:name w:val="Table List 412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
    <w:name w:val="Table Theme11"/>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
    <w:name w:val="Table Professional11"/>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
    <w:name w:val="Table Grid 611"/>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
    <w:name w:val="Table List 42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
    <w:name w:val="Table List 411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
    <w:name w:val="Style113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
    <w:name w:val="Style2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
    <w:name w:val="Style21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
    <w:name w:val="No List1611"/>
    <w:next w:val="NoList"/>
    <w:uiPriority w:val="99"/>
    <w:semiHidden/>
    <w:unhideWhenUsed/>
    <w:rsid w:val="00B36A46"/>
  </w:style>
  <w:style w:type="table" w:customStyle="1" w:styleId="TableGrid6110">
    <w:name w:val="Table Grid6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B36A46"/>
  </w:style>
  <w:style w:type="numbering" w:customStyle="1" w:styleId="NoList11611">
    <w:name w:val="No List11611"/>
    <w:next w:val="NoList"/>
    <w:semiHidden/>
    <w:rsid w:val="00B36A46"/>
  </w:style>
  <w:style w:type="table" w:customStyle="1" w:styleId="TableGrid13110">
    <w:name w:val="Table Grid131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
    <w:name w:val="Light List - Accent 16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
    <w:name w:val="Light Shading - Accent 131"/>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
    <w:name w:val="Medium Grid 2 - Accent 131"/>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
    <w:name w:val="Medium List 2 - Accent 531"/>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
    <w:name w:val="Medium Grid 3 - Accent 531"/>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
    <w:name w:val="Light Shading - Accent 531"/>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
    <w:name w:val="Medium Grid 2 - Accent 531"/>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
    <w:name w:val="Light Grid - Accent 131"/>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
    <w:name w:val="Light Shading - Accent 14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
    <w:name w:val="Medium Grid 2 - Accent 14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
    <w:name w:val="Medium List 2 - Accent 54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
    <w:name w:val="Light List - Accent 11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
    <w:name w:val="Medium Grid 3 - Accent 54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
    <w:name w:val="Light Shading - Accent 54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
    <w:name w:val="Medium Grid 2 - Accent 54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
    <w:name w:val="Light Grid - Accent 14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
    <w:name w:val="Light Shading - Accent 15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
    <w:name w:val="Medium Grid 2 - Accent 15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
    <w:name w:val="Medium List 2 - Accent 55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
    <w:name w:val="Light List - Accent 116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
    <w:name w:val="Medium Grid 3 - Accent 55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
    <w:name w:val="Light Shading - Accent 55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
    <w:name w:val="Medium Grid 2 - Accent 55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
    <w:name w:val="Light Grid - Accent 15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
    <w:name w:val="No List271"/>
    <w:next w:val="NoList"/>
    <w:uiPriority w:val="99"/>
    <w:semiHidden/>
    <w:unhideWhenUsed/>
    <w:rsid w:val="00B36A46"/>
  </w:style>
  <w:style w:type="table" w:customStyle="1" w:styleId="TableGrid91">
    <w:name w:val="Table Grid9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
    <w:name w:val="Table List 76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
    <w:name w:val="Table Web 36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
    <w:name w:val="Table Elegant6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
    <w:name w:val="Table Web 26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
    <w:name w:val="Table Web 16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
    <w:name w:val="Table Grid 86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
    <w:name w:val="Table Contemporary6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
    <w:name w:val="No List1191"/>
    <w:next w:val="NoList"/>
    <w:semiHidden/>
    <w:unhideWhenUsed/>
    <w:rsid w:val="00B36A46"/>
  </w:style>
  <w:style w:type="numbering" w:customStyle="1" w:styleId="NoList281">
    <w:name w:val="No List281"/>
    <w:next w:val="NoList"/>
    <w:semiHidden/>
    <w:unhideWhenUsed/>
    <w:rsid w:val="00B36A46"/>
  </w:style>
  <w:style w:type="numbering" w:customStyle="1" w:styleId="NoList371">
    <w:name w:val="No List371"/>
    <w:next w:val="NoList"/>
    <w:semiHidden/>
    <w:unhideWhenUsed/>
    <w:rsid w:val="00B36A46"/>
  </w:style>
  <w:style w:type="table" w:customStyle="1" w:styleId="LightList-Accent1171">
    <w:name w:val="Light List - Accent 117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
    <w:name w:val="Table Grid 76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
    <w:name w:val="Colorful Grid - Accent 17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
    <w:name w:val="Light List - Accent 57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
    <w:name w:val="Table Simple 36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
    <w:name w:val="Table Grid 56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
    <w:name w:val="Table Grid 36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
    <w:name w:val="Table Grid 16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
    <w:name w:val="Table Columns 56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
    <w:name w:val="Light List - Accent 118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
    <w:name w:val="Нет списка171"/>
    <w:next w:val="NoList"/>
    <w:semiHidden/>
    <w:unhideWhenUsed/>
    <w:rsid w:val="00B36A46"/>
  </w:style>
  <w:style w:type="table" w:customStyle="1" w:styleId="ColorfulGrid-Accent1161">
    <w:name w:val="Colorful Grid - Accent 116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
    <w:name w:val="Light List - Accent 516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
    <w:name w:val="No List461"/>
    <w:next w:val="NoList"/>
    <w:semiHidden/>
    <w:rsid w:val="00B36A46"/>
  </w:style>
  <w:style w:type="numbering" w:customStyle="1" w:styleId="NoList11101">
    <w:name w:val="No List11101"/>
    <w:next w:val="NoList"/>
    <w:semiHidden/>
    <w:unhideWhenUsed/>
    <w:rsid w:val="00B36A46"/>
  </w:style>
  <w:style w:type="table" w:customStyle="1" w:styleId="Table3Deffects361">
    <w:name w:val="Table 3D effects 36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
    <w:name w:val="Нет списка1161"/>
    <w:next w:val="NoList"/>
    <w:semiHidden/>
    <w:unhideWhenUsed/>
    <w:rsid w:val="00B36A46"/>
  </w:style>
  <w:style w:type="table" w:customStyle="1" w:styleId="LightShading-Accent161">
    <w:name w:val="Light Shading - Accent 16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
    <w:name w:val="Medium Grid 2 - Accent 16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
    <w:name w:val="Medium List 2 - Accent 56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
    <w:name w:val="Light List - Accent 15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
    <w:name w:val="Medium Grid 3 - Accent 56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
    <w:name w:val="Light Shading - Accent 56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
    <w:name w:val="Medium Grid 2 - Accent 56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
    <w:name w:val="Light Grid - Accent 16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
    <w:name w:val="Style114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
    <w:name w:val="Style2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
    <w:name w:val="Style21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
    <w:name w:val="Light Shading - Accent 1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
    <w:name w:val="Medium Grid 2 - Accent 1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
    <w:name w:val="Medium List 2 - Accent 51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
    <w:name w:val="Light List - Accent 16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
    <w:name w:val="Medium Grid 3 - Accent 51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
    <w:name w:val="Light Shading - Accent 51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
    <w:name w:val="Medium Grid 2 - Accent 51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
    <w:name w:val="Light Grid - Accent 1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
    <w:name w:val="No List291"/>
    <w:next w:val="NoList"/>
    <w:uiPriority w:val="99"/>
    <w:semiHidden/>
    <w:unhideWhenUsed/>
    <w:rsid w:val="00B36A46"/>
  </w:style>
  <w:style w:type="table" w:customStyle="1" w:styleId="TableGrid101">
    <w:name w:val="Table Grid10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B36A46"/>
  </w:style>
  <w:style w:type="numbering" w:customStyle="1" w:styleId="NoList11151">
    <w:name w:val="No List11151"/>
    <w:next w:val="NoList"/>
    <w:semiHidden/>
    <w:rsid w:val="00B36A46"/>
  </w:style>
  <w:style w:type="table" w:customStyle="1" w:styleId="TableGrid1510">
    <w:name w:val="Table Grid15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B36A46"/>
  </w:style>
  <w:style w:type="table" w:customStyle="1" w:styleId="LightShading-Accent171">
    <w:name w:val="Light Shading - Accent 17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
    <w:name w:val="Medium Grid 2 - Accent 17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
    <w:name w:val="Medium List 2 - Accent 57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
    <w:name w:val="Light List - Accent 119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
    <w:name w:val="Medium Grid 3 - Accent 57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
    <w:name w:val="Light Shading - Accent 57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
    <w:name w:val="Medium Grid 2 - Accent 57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
    <w:name w:val="Light Grid - Accent 17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
    <w:name w:val="No List381"/>
    <w:next w:val="NoList"/>
    <w:uiPriority w:val="99"/>
    <w:semiHidden/>
    <w:unhideWhenUsed/>
    <w:rsid w:val="00B36A46"/>
  </w:style>
  <w:style w:type="table" w:customStyle="1" w:styleId="TableGrid1610">
    <w:name w:val="Table Grid16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B36A46"/>
  </w:style>
  <w:style w:type="numbering" w:customStyle="1" w:styleId="NoList11161">
    <w:name w:val="No List11161"/>
    <w:next w:val="NoList"/>
    <w:semiHidden/>
    <w:rsid w:val="00B36A46"/>
  </w:style>
  <w:style w:type="table" w:customStyle="1" w:styleId="TableGrid171">
    <w:name w:val="Table Grid17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
    <w:name w:val="Light Shading - Accent 18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
    <w:name w:val="Medium Grid 2 - Accent 18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
    <w:name w:val="Medium List 2 - Accent 58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
    <w:name w:val="Light List - Accent 12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
    <w:name w:val="Medium Grid 3 - Accent 58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
    <w:name w:val="Light Shading - Accent 58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
    <w:name w:val="Medium Grid 2 - Accent 58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
    <w:name w:val="Light Grid - Accent 18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
    <w:name w:val="Light Shading - Accent 19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
    <w:name w:val="Medium Grid 2 - Accent 19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
    <w:name w:val="Medium List 2 - Accent 59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
    <w:name w:val="Light List - Accent 12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
    <w:name w:val="Medium Grid 3 - Accent 59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
    <w:name w:val="Light Shading - Accent 59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
    <w:name w:val="Medium Grid 2 - Accent 59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
    <w:name w:val="Light Grid - Accent 19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
    <w:name w:val="Style1152"/>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
    <w:name w:val="Style21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
    <w:name w:val="No List391"/>
    <w:next w:val="NoList"/>
    <w:uiPriority w:val="99"/>
    <w:semiHidden/>
    <w:unhideWhenUsed/>
    <w:rsid w:val="00B36A46"/>
  </w:style>
  <w:style w:type="table" w:customStyle="1" w:styleId="TableGrid181">
    <w:name w:val="Table Grid18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B36A46"/>
  </w:style>
  <w:style w:type="numbering" w:customStyle="1" w:styleId="NoList11171">
    <w:name w:val="No List11171"/>
    <w:next w:val="NoList"/>
    <w:semiHidden/>
    <w:rsid w:val="00B36A46"/>
  </w:style>
  <w:style w:type="table" w:customStyle="1" w:styleId="TableGrid191">
    <w:name w:val="Table Grid19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
    <w:name w:val="Style115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
    <w:name w:val="Style216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
    <w:name w:val="No List401"/>
    <w:next w:val="NoList"/>
    <w:uiPriority w:val="99"/>
    <w:semiHidden/>
    <w:unhideWhenUsed/>
    <w:rsid w:val="00B36A46"/>
  </w:style>
  <w:style w:type="table" w:customStyle="1" w:styleId="TableGrid201">
    <w:name w:val="Table Grid201"/>
    <w:basedOn w:val="TableNormal"/>
    <w:next w:val="TableGrid"/>
    <w:uiPriority w:val="59"/>
    <w:rsid w:val="00B36A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
    <w:name w:val="Light Shading - Accent 110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
    <w:name w:val="Light List - Accent 581"/>
    <w:basedOn w:val="TableNormal"/>
    <w:next w:val="LightList-Accent5"/>
    <w:uiPriority w:val="61"/>
    <w:rsid w:val="00B36A46"/>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
    <w:name w:val="Medium List 2 - Accent 11"/>
    <w:basedOn w:val="TableNormal"/>
    <w:next w:val="MediumList2-Accent1"/>
    <w:uiPriority w:val="66"/>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
    <w:name w:val="Medium Grid 2 - Accent 110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
    <w:name w:val="Medium Grid 3 - Accent 61"/>
    <w:basedOn w:val="TableNormal"/>
    <w:next w:val="MediumGrid3-Accent6"/>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
    <w:name w:val="Medium List 2 - Accent 510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
    <w:name w:val="Medium List 1 - Accent 51"/>
    <w:basedOn w:val="TableNormal"/>
    <w:next w:val="MediumList1-Accent5"/>
    <w:uiPriority w:val="65"/>
    <w:rsid w:val="00B36A46"/>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
    <w:name w:val="Medium Grid 3 - Accent 510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
    <w:name w:val="Light Shading - Accent 510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
    <w:name w:val="Medium Grid 2 - Accent 510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
    <w:name w:val="Light List - Accent 31"/>
    <w:basedOn w:val="TableNormal"/>
    <w:next w:val="LightList-Accent3"/>
    <w:uiPriority w:val="61"/>
    <w:rsid w:val="00B36A46"/>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
    <w:name w:val="Medium List 2 - Accent 31"/>
    <w:basedOn w:val="TableNormal"/>
    <w:next w:val="MediumList2-Accent3"/>
    <w:uiPriority w:val="66"/>
    <w:rsid w:val="00B36A46"/>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B36A46"/>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
    <w:name w:val="Light Grid - Accent 110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
    <w:name w:val="No List471"/>
    <w:next w:val="NoList"/>
    <w:uiPriority w:val="99"/>
    <w:semiHidden/>
    <w:unhideWhenUsed/>
    <w:rsid w:val="00B36A46"/>
  </w:style>
  <w:style w:type="table" w:customStyle="1" w:styleId="TableGrid241">
    <w:name w:val="Table Grid24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B36A46"/>
  </w:style>
  <w:style w:type="numbering" w:customStyle="1" w:styleId="NoList11181">
    <w:name w:val="No List11181"/>
    <w:next w:val="NoList"/>
    <w:semiHidden/>
    <w:rsid w:val="00B36A46"/>
  </w:style>
  <w:style w:type="table" w:customStyle="1" w:styleId="TableGrid1101">
    <w:name w:val="Table Grid110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
    <w:name w:val="Medium Grid 2 - Accent 114"/>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
    <w:name w:val="Medium List 2 - Accent 514"/>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
    <w:name w:val="Medium Grid 3 - Accent 514"/>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
    <w:name w:val="Light Shading - Accent 514"/>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
    <w:name w:val="Medium Grid 2 - Accent 514"/>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
    <w:name w:val="Light Grid - Accent 114"/>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
    <w:name w:val="Medium List 2 - Accent 12"/>
    <w:basedOn w:val="TableNormal"/>
    <w:next w:val="MediumList2-Accent1"/>
    <w:uiPriority w:val="66"/>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
    <w:name w:val="Medium Grid 3 - Accent 62"/>
    <w:basedOn w:val="TableNormal"/>
    <w:next w:val="MediumGrid3-Accent6"/>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
    <w:name w:val="Medium List 1 - Accent 52"/>
    <w:basedOn w:val="TableNormal"/>
    <w:next w:val="MediumList1-Accent5"/>
    <w:uiPriority w:val="65"/>
    <w:semiHidden/>
    <w:unhideWhenUsed/>
    <w:rsid w:val="00B36A46"/>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
    <w:name w:val="Light List - Accent 32"/>
    <w:basedOn w:val="TableNormal"/>
    <w:next w:val="LightList-Accent3"/>
    <w:uiPriority w:val="61"/>
    <w:semiHidden/>
    <w:unhideWhenUsed/>
    <w:rsid w:val="00B36A46"/>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
    <w:name w:val="Medium List 2 - Accent 32"/>
    <w:basedOn w:val="TableNormal"/>
    <w:next w:val="MediumList2-Accent3"/>
    <w:uiPriority w:val="66"/>
    <w:semiHidden/>
    <w:unhideWhenUsed/>
    <w:rsid w:val="00B36A46"/>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B36A46"/>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
    <w:name w:val="No List55"/>
    <w:next w:val="NoList"/>
    <w:uiPriority w:val="99"/>
    <w:semiHidden/>
    <w:unhideWhenUsed/>
    <w:rsid w:val="005150E5"/>
  </w:style>
  <w:style w:type="table" w:customStyle="1" w:styleId="TableGrid29">
    <w:name w:val="Table Grid29"/>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5150E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Side1">
    <w:name w:val="Side1"/>
    <w:basedOn w:val="Normal"/>
    <w:next w:val="Normal"/>
    <w:unhideWhenUsed/>
    <w:qFormat/>
    <w:rsid w:val="005150E5"/>
    <w:pPr>
      <w:spacing w:before="200" w:line="312" w:lineRule="auto"/>
      <w:contextualSpacing w:val="0"/>
      <w:outlineLvl w:val="4"/>
    </w:pPr>
    <w:rPr>
      <w:rFonts w:ascii="Cambria" w:hAnsi="Cambria"/>
      <w:bCs/>
      <w:color w:val="7F7F7F"/>
      <w:szCs w:val="22"/>
      <w:lang w:val="en-US" w:eastAsia="en-US"/>
    </w:rPr>
  </w:style>
  <w:style w:type="paragraph" w:customStyle="1" w:styleId="Heading61">
    <w:name w:val="Heading 61"/>
    <w:basedOn w:val="Normal"/>
    <w:next w:val="Normal"/>
    <w:unhideWhenUsed/>
    <w:qFormat/>
    <w:rsid w:val="005150E5"/>
    <w:pPr>
      <w:spacing w:before="40" w:line="271" w:lineRule="auto"/>
      <w:contextualSpacing w:val="0"/>
      <w:outlineLvl w:val="5"/>
    </w:pPr>
    <w:rPr>
      <w:rFonts w:ascii="Cambria" w:hAnsi="Cambria"/>
      <w:bCs/>
      <w:i/>
      <w:iCs/>
      <w:color w:val="7F7F7F"/>
      <w:szCs w:val="22"/>
      <w:lang w:val="en-US" w:eastAsia="en-US"/>
    </w:rPr>
  </w:style>
  <w:style w:type="paragraph" w:customStyle="1" w:styleId="Heading71">
    <w:name w:val="Heading 71"/>
    <w:basedOn w:val="Normal"/>
    <w:next w:val="Normal"/>
    <w:unhideWhenUsed/>
    <w:qFormat/>
    <w:rsid w:val="005150E5"/>
    <w:pPr>
      <w:spacing w:before="40" w:line="312" w:lineRule="auto"/>
      <w:contextualSpacing w:val="0"/>
      <w:outlineLvl w:val="6"/>
    </w:pPr>
    <w:rPr>
      <w:rFonts w:ascii="Cambria" w:hAnsi="Cambria"/>
      <w:b w:val="0"/>
      <w:i/>
      <w:iCs/>
      <w:szCs w:val="22"/>
      <w:lang w:val="en-US" w:eastAsia="en-US"/>
    </w:rPr>
  </w:style>
  <w:style w:type="paragraph" w:customStyle="1" w:styleId="Heading81">
    <w:name w:val="Heading 81"/>
    <w:basedOn w:val="Normal"/>
    <w:next w:val="Normal"/>
    <w:unhideWhenUsed/>
    <w:qFormat/>
    <w:rsid w:val="005150E5"/>
    <w:pPr>
      <w:spacing w:before="40" w:line="312" w:lineRule="auto"/>
      <w:contextualSpacing w:val="0"/>
      <w:outlineLvl w:val="7"/>
    </w:pPr>
    <w:rPr>
      <w:rFonts w:ascii="Cambria" w:hAnsi="Cambria"/>
      <w:b w:val="0"/>
      <w:sz w:val="20"/>
      <w:szCs w:val="20"/>
      <w:lang w:val="en-US" w:eastAsia="en-US"/>
    </w:rPr>
  </w:style>
  <w:style w:type="paragraph" w:customStyle="1" w:styleId="Heading91">
    <w:name w:val="Heading 91"/>
    <w:basedOn w:val="Normal"/>
    <w:next w:val="Normal"/>
    <w:unhideWhenUsed/>
    <w:qFormat/>
    <w:rsid w:val="005150E5"/>
    <w:pPr>
      <w:spacing w:before="40" w:line="312" w:lineRule="auto"/>
      <w:contextualSpacing w:val="0"/>
      <w:outlineLvl w:val="8"/>
    </w:pPr>
    <w:rPr>
      <w:rFonts w:ascii="Cambria" w:hAnsi="Cambria"/>
      <w:b w:val="0"/>
      <w:i/>
      <w:iCs/>
      <w:spacing w:val="5"/>
      <w:sz w:val="20"/>
      <w:szCs w:val="20"/>
      <w:lang w:val="en-US" w:eastAsia="en-US"/>
    </w:rPr>
  </w:style>
  <w:style w:type="numbering" w:customStyle="1" w:styleId="NoList130">
    <w:name w:val="No List130"/>
    <w:next w:val="NoList"/>
    <w:uiPriority w:val="99"/>
    <w:semiHidden/>
    <w:unhideWhenUsed/>
    <w:rsid w:val="005150E5"/>
  </w:style>
  <w:style w:type="paragraph" w:customStyle="1" w:styleId="BodyTextMaintext1">
    <w:name w:val="Body Text (Main text)1"/>
    <w:basedOn w:val="Normal"/>
    <w:next w:val="BodyText"/>
    <w:rsid w:val="005150E5"/>
    <w:pPr>
      <w:spacing w:before="40" w:after="120" w:line="312" w:lineRule="auto"/>
      <w:contextualSpacing w:val="0"/>
    </w:pPr>
    <w:rPr>
      <w:rFonts w:eastAsia="Calibri"/>
      <w:b w:val="0"/>
      <w:szCs w:val="22"/>
      <w:lang w:val="en-US" w:eastAsia="en-US"/>
    </w:rPr>
  </w:style>
  <w:style w:type="paragraph" w:customStyle="1" w:styleId="BodyTextIndent31">
    <w:name w:val="Body Text Indent 31"/>
    <w:basedOn w:val="Normal"/>
    <w:next w:val="BodyTextIndent3"/>
    <w:rsid w:val="005150E5"/>
    <w:pPr>
      <w:spacing w:before="40" w:after="60" w:line="312" w:lineRule="auto"/>
      <w:contextualSpacing w:val="0"/>
    </w:pPr>
    <w:rPr>
      <w:rFonts w:ascii="Arial Armenian" w:eastAsia="Calibri" w:hAnsi="Arial Armenian"/>
      <w:b w:val="0"/>
      <w:noProof/>
      <w:sz w:val="20"/>
      <w:szCs w:val="20"/>
      <w:lang w:val="en-US" w:eastAsia="en-US"/>
    </w:rPr>
  </w:style>
  <w:style w:type="paragraph" w:customStyle="1" w:styleId="BodyTextIndent21">
    <w:name w:val="Body Text Indent 21"/>
    <w:basedOn w:val="Normal"/>
    <w:next w:val="BodyTextIndent2"/>
    <w:link w:val="BodyTextIndent2Char1"/>
    <w:rsid w:val="005150E5"/>
    <w:pPr>
      <w:widowControl w:val="0"/>
      <w:spacing w:before="40" w:after="120" w:line="312" w:lineRule="auto"/>
      <w:ind w:left="720" w:firstLine="720"/>
      <w:contextualSpacing w:val="0"/>
    </w:pPr>
    <w:rPr>
      <w:rFonts w:ascii="Arial Armenian" w:hAnsi="Arial Armenian"/>
      <w:b w:val="0"/>
      <w:sz w:val="20"/>
      <w:szCs w:val="20"/>
      <w:lang w:val="en-GB" w:eastAsia="en-US"/>
    </w:rPr>
  </w:style>
  <w:style w:type="paragraph" w:customStyle="1" w:styleId="1Text1">
    <w:name w:val="1Text1"/>
    <w:basedOn w:val="Normal"/>
    <w:next w:val="BodyText2"/>
    <w:link w:val="BodyText2Char1"/>
    <w:qFormat/>
    <w:rsid w:val="005150E5"/>
    <w:pPr>
      <w:spacing w:before="40" w:after="120" w:line="480" w:lineRule="auto"/>
      <w:contextualSpacing w:val="0"/>
    </w:pPr>
    <w:rPr>
      <w:rFonts w:ascii="Times New Roman" w:hAnsi="Times New Roman"/>
      <w:b w:val="0"/>
      <w:sz w:val="20"/>
      <w:szCs w:val="20"/>
      <w:lang w:val="en-US" w:eastAsia="en-US"/>
    </w:rPr>
  </w:style>
  <w:style w:type="paragraph" w:customStyle="1" w:styleId="BodyText31">
    <w:name w:val="Body Text 31"/>
    <w:basedOn w:val="Normal"/>
    <w:next w:val="BodyText3"/>
    <w:link w:val="BodyText3Char1"/>
    <w:rsid w:val="005150E5"/>
    <w:pPr>
      <w:spacing w:before="40" w:after="120" w:line="312" w:lineRule="auto"/>
      <w:contextualSpacing w:val="0"/>
    </w:pPr>
    <w:rPr>
      <w:rFonts w:ascii="Times New Roman" w:hAnsi="Times New Roman"/>
      <w:b w:val="0"/>
      <w:sz w:val="16"/>
      <w:szCs w:val="16"/>
    </w:rPr>
  </w:style>
  <w:style w:type="paragraph" w:customStyle="1" w:styleId="ListBullet1">
    <w:name w:val="List Bullet1"/>
    <w:basedOn w:val="Normal"/>
    <w:next w:val="ListBullet"/>
    <w:autoRedefine/>
    <w:qFormat/>
    <w:rsid w:val="005150E5"/>
    <w:pPr>
      <w:tabs>
        <w:tab w:val="num" w:pos="360"/>
      </w:tabs>
      <w:overflowPunct w:val="0"/>
      <w:autoSpaceDE w:val="0"/>
      <w:autoSpaceDN w:val="0"/>
      <w:adjustRightInd w:val="0"/>
      <w:spacing w:before="130" w:after="60" w:line="312" w:lineRule="auto"/>
      <w:ind w:left="360" w:hanging="360"/>
      <w:contextualSpacing w:val="0"/>
      <w:textAlignment w:val="baseline"/>
    </w:pPr>
    <w:rPr>
      <w:b w:val="0"/>
      <w:szCs w:val="22"/>
      <w:lang w:val="en-GB" w:eastAsia="en-US"/>
    </w:rPr>
  </w:style>
  <w:style w:type="paragraph" w:customStyle="1" w:styleId="EndnoteText1">
    <w:name w:val="Endnote Text1"/>
    <w:basedOn w:val="Normal"/>
    <w:next w:val="EndnoteText"/>
    <w:rsid w:val="005150E5"/>
    <w:pPr>
      <w:spacing w:before="40" w:after="60" w:line="312" w:lineRule="auto"/>
      <w:contextualSpacing w:val="0"/>
    </w:pPr>
    <w:rPr>
      <w:rFonts w:eastAsia="Calibri"/>
      <w:b w:val="0"/>
      <w:sz w:val="20"/>
      <w:szCs w:val="20"/>
      <w:lang w:val="en-GB" w:eastAsia="en-US"/>
    </w:rPr>
  </w:style>
  <w:style w:type="table" w:customStyle="1" w:styleId="TableGrid114">
    <w:name w:val="Table Grid114"/>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1">
    <w:name w:val="Block Text1"/>
    <w:basedOn w:val="Normal"/>
    <w:next w:val="BlockText"/>
    <w:rsid w:val="005150E5"/>
    <w:pPr>
      <w:spacing w:before="40" w:after="60"/>
      <w:ind w:left="-709" w:right="-483"/>
      <w:contextualSpacing w:val="0"/>
    </w:pPr>
    <w:rPr>
      <w:rFonts w:ascii="Times Armenian" w:hAnsi="Times Armenian"/>
      <w:b w:val="0"/>
      <w:szCs w:val="20"/>
      <w:lang w:val="en-US" w:eastAsia="en-US"/>
    </w:rPr>
  </w:style>
  <w:style w:type="paragraph" w:customStyle="1" w:styleId="TOC41">
    <w:name w:val="TOC 41"/>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1">
    <w:name w:val="TOC 51"/>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itle10">
    <w:name w:val="Title1"/>
    <w:basedOn w:val="Normal"/>
    <w:next w:val="Normal"/>
    <w:qFormat/>
    <w:rsid w:val="005150E5"/>
    <w:pPr>
      <w:pBdr>
        <w:bottom w:val="single" w:sz="4" w:space="1" w:color="auto"/>
      </w:pBdr>
      <w:spacing w:before="40" w:after="60" w:line="240" w:lineRule="auto"/>
    </w:pPr>
    <w:rPr>
      <w:rFonts w:ascii="Cambria" w:hAnsi="Cambria"/>
      <w:b w:val="0"/>
      <w:spacing w:val="5"/>
      <w:sz w:val="52"/>
      <w:szCs w:val="52"/>
      <w:lang w:val="en-US" w:eastAsia="en-US"/>
    </w:rPr>
  </w:style>
  <w:style w:type="paragraph" w:customStyle="1" w:styleId="PlainText1">
    <w:name w:val="Plain Text1"/>
    <w:basedOn w:val="Normal"/>
    <w:next w:val="PlainText"/>
    <w:rsid w:val="005150E5"/>
    <w:pPr>
      <w:spacing w:after="60" w:line="312" w:lineRule="auto"/>
      <w:contextualSpacing w:val="0"/>
    </w:pPr>
    <w:rPr>
      <w:rFonts w:ascii="Courier New" w:eastAsia="Calibri" w:hAnsi="Courier New"/>
      <w:b w:val="0"/>
      <w:sz w:val="20"/>
      <w:szCs w:val="20"/>
      <w:lang w:val="en-US" w:eastAsia="en-US"/>
    </w:rPr>
  </w:style>
  <w:style w:type="paragraph" w:customStyle="1" w:styleId="TOC61">
    <w:name w:val="TOC 61"/>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1">
    <w:name w:val="TOC 71"/>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1">
    <w:name w:val="TOC 81"/>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1">
    <w:name w:val="TOC 91"/>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13">
    <w:name w:val="Table List 71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
    <w:name w:val="Table Web 31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
    <w:name w:val="Table Elegant1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1">
    <w:name w:val="Table of Figures1"/>
    <w:basedOn w:val="Normal"/>
    <w:next w:val="Normal"/>
    <w:rsid w:val="005150E5"/>
    <w:pPr>
      <w:spacing w:before="40" w:after="60" w:line="312" w:lineRule="auto"/>
      <w:ind w:left="480" w:hanging="480"/>
      <w:contextualSpacing w:val="0"/>
    </w:pPr>
    <w:rPr>
      <w:b w:val="0"/>
      <w:sz w:val="20"/>
      <w:szCs w:val="22"/>
      <w:lang w:val="en-US" w:eastAsia="en-US"/>
    </w:rPr>
  </w:style>
  <w:style w:type="paragraph" w:customStyle="1" w:styleId="Subtitle1">
    <w:name w:val="Subtitle1"/>
    <w:basedOn w:val="Normal"/>
    <w:next w:val="Normal"/>
    <w:qFormat/>
    <w:rsid w:val="005150E5"/>
    <w:pPr>
      <w:spacing w:before="40" w:after="600" w:line="312" w:lineRule="auto"/>
      <w:contextualSpacing w:val="0"/>
    </w:pPr>
    <w:rPr>
      <w:rFonts w:ascii="Cambria" w:hAnsi="Cambria"/>
      <w:b w:val="0"/>
      <w:i/>
      <w:iCs/>
      <w:spacing w:val="13"/>
      <w:sz w:val="24"/>
      <w:lang w:val="en-US" w:eastAsia="en-US"/>
    </w:rPr>
  </w:style>
  <w:style w:type="paragraph" w:customStyle="1" w:styleId="Index11">
    <w:name w:val="Index 11"/>
    <w:basedOn w:val="Normal"/>
    <w:next w:val="Normal"/>
    <w:autoRedefine/>
    <w:rsid w:val="005150E5"/>
    <w:pPr>
      <w:spacing w:before="40" w:after="60" w:line="312" w:lineRule="auto"/>
      <w:ind w:left="240" w:hanging="240"/>
      <w:contextualSpacing w:val="0"/>
    </w:pPr>
    <w:rPr>
      <w:b w:val="0"/>
      <w:szCs w:val="22"/>
      <w:lang w:val="en-US" w:eastAsia="en-US"/>
    </w:rPr>
  </w:style>
  <w:style w:type="paragraph" w:customStyle="1" w:styleId="Index21">
    <w:name w:val="Index 21"/>
    <w:basedOn w:val="Normal"/>
    <w:next w:val="Normal"/>
    <w:autoRedefine/>
    <w:rsid w:val="005150E5"/>
    <w:pPr>
      <w:spacing w:before="40" w:after="60" w:line="312" w:lineRule="auto"/>
      <w:ind w:left="480" w:hanging="240"/>
      <w:contextualSpacing w:val="0"/>
    </w:pPr>
    <w:rPr>
      <w:b w:val="0"/>
      <w:szCs w:val="22"/>
      <w:lang w:val="en-US" w:eastAsia="en-US"/>
    </w:rPr>
  </w:style>
  <w:style w:type="paragraph" w:customStyle="1" w:styleId="Index31">
    <w:name w:val="Index 31"/>
    <w:basedOn w:val="Normal"/>
    <w:next w:val="Normal"/>
    <w:autoRedefine/>
    <w:rsid w:val="005150E5"/>
    <w:pPr>
      <w:spacing w:before="40" w:after="60" w:line="312" w:lineRule="auto"/>
      <w:ind w:left="720" w:hanging="240"/>
      <w:contextualSpacing w:val="0"/>
    </w:pPr>
    <w:rPr>
      <w:b w:val="0"/>
      <w:szCs w:val="22"/>
      <w:lang w:val="en-US" w:eastAsia="en-US"/>
    </w:rPr>
  </w:style>
  <w:style w:type="paragraph" w:customStyle="1" w:styleId="Index41">
    <w:name w:val="Index 41"/>
    <w:basedOn w:val="Normal"/>
    <w:next w:val="Normal"/>
    <w:autoRedefine/>
    <w:rsid w:val="005150E5"/>
    <w:pPr>
      <w:spacing w:before="40" w:after="60" w:line="312" w:lineRule="auto"/>
      <w:ind w:left="960" w:hanging="240"/>
      <w:contextualSpacing w:val="0"/>
    </w:pPr>
    <w:rPr>
      <w:b w:val="0"/>
      <w:szCs w:val="22"/>
      <w:lang w:val="en-US" w:eastAsia="en-US"/>
    </w:rPr>
  </w:style>
  <w:style w:type="paragraph" w:customStyle="1" w:styleId="Index51">
    <w:name w:val="Index 51"/>
    <w:basedOn w:val="Normal"/>
    <w:next w:val="Normal"/>
    <w:autoRedefine/>
    <w:rsid w:val="005150E5"/>
    <w:pPr>
      <w:spacing w:before="40" w:after="60" w:line="312" w:lineRule="auto"/>
      <w:ind w:left="1200" w:hanging="240"/>
      <w:contextualSpacing w:val="0"/>
    </w:pPr>
    <w:rPr>
      <w:b w:val="0"/>
      <w:szCs w:val="22"/>
      <w:lang w:val="en-US" w:eastAsia="en-US"/>
    </w:rPr>
  </w:style>
  <w:style w:type="paragraph" w:customStyle="1" w:styleId="Index61">
    <w:name w:val="Index 61"/>
    <w:basedOn w:val="Normal"/>
    <w:next w:val="Normal"/>
    <w:autoRedefine/>
    <w:rsid w:val="005150E5"/>
    <w:pPr>
      <w:spacing w:before="40" w:after="60" w:line="312" w:lineRule="auto"/>
      <w:ind w:left="1440" w:hanging="240"/>
      <w:contextualSpacing w:val="0"/>
    </w:pPr>
    <w:rPr>
      <w:b w:val="0"/>
      <w:szCs w:val="22"/>
      <w:lang w:val="en-US" w:eastAsia="en-US"/>
    </w:rPr>
  </w:style>
  <w:style w:type="paragraph" w:customStyle="1" w:styleId="Index71">
    <w:name w:val="Index 71"/>
    <w:basedOn w:val="Normal"/>
    <w:next w:val="Normal"/>
    <w:autoRedefine/>
    <w:rsid w:val="005150E5"/>
    <w:pPr>
      <w:spacing w:before="40" w:after="60" w:line="312" w:lineRule="auto"/>
      <w:ind w:left="1680" w:hanging="240"/>
      <w:contextualSpacing w:val="0"/>
    </w:pPr>
    <w:rPr>
      <w:b w:val="0"/>
      <w:szCs w:val="22"/>
      <w:lang w:val="en-US" w:eastAsia="en-US"/>
    </w:rPr>
  </w:style>
  <w:style w:type="paragraph" w:customStyle="1" w:styleId="Index81">
    <w:name w:val="Index 81"/>
    <w:basedOn w:val="Normal"/>
    <w:next w:val="Normal"/>
    <w:autoRedefine/>
    <w:rsid w:val="005150E5"/>
    <w:pPr>
      <w:spacing w:before="40" w:after="60" w:line="312" w:lineRule="auto"/>
      <w:ind w:left="1920" w:hanging="240"/>
      <w:contextualSpacing w:val="0"/>
    </w:pPr>
    <w:rPr>
      <w:b w:val="0"/>
      <w:szCs w:val="22"/>
      <w:lang w:val="en-US" w:eastAsia="en-US"/>
    </w:rPr>
  </w:style>
  <w:style w:type="paragraph" w:customStyle="1" w:styleId="Index91">
    <w:name w:val="Index 91"/>
    <w:basedOn w:val="Normal"/>
    <w:next w:val="Normal"/>
    <w:autoRedefine/>
    <w:rsid w:val="005150E5"/>
    <w:pPr>
      <w:spacing w:before="40" w:after="60" w:line="312" w:lineRule="auto"/>
      <w:ind w:left="2160" w:hanging="240"/>
      <w:contextualSpacing w:val="0"/>
    </w:pPr>
    <w:rPr>
      <w:b w:val="0"/>
      <w:szCs w:val="22"/>
      <w:lang w:val="en-US" w:eastAsia="en-US"/>
    </w:rPr>
  </w:style>
  <w:style w:type="paragraph" w:customStyle="1" w:styleId="IndexHeading1">
    <w:name w:val="Index Heading1"/>
    <w:basedOn w:val="Normal"/>
    <w:next w:val="Index1"/>
    <w:rsid w:val="005150E5"/>
    <w:pPr>
      <w:spacing w:before="40" w:after="60" w:line="312" w:lineRule="auto"/>
      <w:contextualSpacing w:val="0"/>
    </w:pPr>
    <w:rPr>
      <w:b w:val="0"/>
      <w:szCs w:val="22"/>
      <w:lang w:val="en-US" w:eastAsia="en-US"/>
    </w:rPr>
  </w:style>
  <w:style w:type="paragraph" w:customStyle="1" w:styleId="NormalIndent1">
    <w:name w:val="Normal Indent1"/>
    <w:basedOn w:val="Normal"/>
    <w:next w:val="NormalIndent"/>
    <w:rsid w:val="005150E5"/>
    <w:pPr>
      <w:tabs>
        <w:tab w:val="left" w:pos="1134"/>
        <w:tab w:val="left" w:pos="1701"/>
        <w:tab w:val="left" w:pos="2835"/>
        <w:tab w:val="left" w:pos="5103"/>
        <w:tab w:val="left" w:pos="7371"/>
        <w:tab w:val="right" w:pos="9639"/>
      </w:tabs>
      <w:spacing w:before="40" w:after="60" w:line="312" w:lineRule="auto"/>
      <w:ind w:left="1134"/>
      <w:contextualSpacing w:val="0"/>
    </w:pPr>
    <w:rPr>
      <w:b w:val="0"/>
      <w:szCs w:val="22"/>
      <w:lang w:val="en-GB" w:eastAsia="en-US"/>
    </w:rPr>
  </w:style>
  <w:style w:type="paragraph" w:customStyle="1" w:styleId="webb1">
    <w:name w:val="webb1"/>
    <w:basedOn w:val="Normal"/>
    <w:next w:val="NormalWeb"/>
    <w:uiPriority w:val="99"/>
    <w:qFormat/>
    <w:rsid w:val="005150E5"/>
    <w:pPr>
      <w:spacing w:before="100" w:after="100" w:line="312" w:lineRule="auto"/>
      <w:contextualSpacing w:val="0"/>
    </w:pPr>
    <w:rPr>
      <w:b w:val="0"/>
      <w:szCs w:val="20"/>
      <w:lang w:val="en-US" w:eastAsia="en-US"/>
    </w:rPr>
  </w:style>
  <w:style w:type="table" w:customStyle="1" w:styleId="TableWeb213">
    <w:name w:val="Table Web 21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
    <w:name w:val="Table Web 11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Bullet21">
    <w:name w:val="List Bullet 21"/>
    <w:basedOn w:val="Normal"/>
    <w:next w:val="ListBullet2"/>
    <w:autoRedefine/>
    <w:rsid w:val="005150E5"/>
    <w:pPr>
      <w:spacing w:before="40" w:after="60" w:line="312" w:lineRule="auto"/>
      <w:ind w:left="720" w:hanging="360"/>
      <w:contextualSpacing w:val="0"/>
    </w:pPr>
    <w:rPr>
      <w:b w:val="0"/>
      <w:szCs w:val="22"/>
      <w:lang w:val="en-US" w:eastAsia="en-US"/>
    </w:rPr>
  </w:style>
  <w:style w:type="paragraph" w:customStyle="1" w:styleId="BodyTextFirstIndent1">
    <w:name w:val="Body Text First Indent1"/>
    <w:basedOn w:val="BodyText"/>
    <w:next w:val="BodyTextFirstIndent"/>
    <w:rsid w:val="005150E5"/>
    <w:pPr>
      <w:spacing w:before="40" w:after="120" w:line="312" w:lineRule="auto"/>
      <w:ind w:firstLine="210"/>
      <w:contextualSpacing w:val="0"/>
      <w:jc w:val="both"/>
    </w:pPr>
    <w:rPr>
      <w:rFonts w:ascii="GHEA Grapalat" w:eastAsia="Calibri" w:hAnsi="GHEA Grapalat"/>
      <w:b w:val="0"/>
      <w:sz w:val="22"/>
      <w:szCs w:val="22"/>
    </w:rPr>
  </w:style>
  <w:style w:type="table" w:customStyle="1" w:styleId="TableGrid813">
    <w:name w:val="Table Grid 81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
    <w:name w:val="Table Contemporary1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60">
    <w:name w:val="Знак Знак6"/>
    <w:basedOn w:val="Normal"/>
    <w:link w:val="Char31"/>
    <w:rsid w:val="005150E5"/>
    <w:pPr>
      <w:spacing w:before="40" w:after="60" w:line="240" w:lineRule="exact"/>
      <w:contextualSpacing w:val="0"/>
    </w:pPr>
    <w:rPr>
      <w:rFonts w:ascii="Arial" w:hAnsi="Arial" w:cs="Arial"/>
      <w:b w:val="0"/>
      <w:sz w:val="20"/>
      <w:szCs w:val="20"/>
      <w:lang w:val="en-GB" w:eastAsia="en-US"/>
    </w:rPr>
  </w:style>
  <w:style w:type="character" w:customStyle="1" w:styleId="Char31">
    <w:name w:val="Знак Знак Char3"/>
    <w:link w:val="60"/>
    <w:rsid w:val="005150E5"/>
    <w:rPr>
      <w:rFonts w:ascii="Arial" w:hAnsi="Arial" w:cs="Arial"/>
      <w:lang w:val="en-GB"/>
    </w:rPr>
  </w:style>
  <w:style w:type="paragraph" w:customStyle="1" w:styleId="DocumentMap1">
    <w:name w:val="Document Map1"/>
    <w:basedOn w:val="Normal"/>
    <w:next w:val="DocumentMap"/>
    <w:link w:val="DocumentMapChar1"/>
    <w:uiPriority w:val="99"/>
    <w:rsid w:val="005150E5"/>
    <w:pPr>
      <w:shd w:val="clear" w:color="auto" w:fill="000080"/>
      <w:overflowPunct w:val="0"/>
      <w:autoSpaceDE w:val="0"/>
      <w:autoSpaceDN w:val="0"/>
      <w:adjustRightInd w:val="0"/>
      <w:spacing w:before="40" w:after="60" w:line="312" w:lineRule="auto"/>
      <w:contextualSpacing w:val="0"/>
      <w:textAlignment w:val="baseline"/>
    </w:pPr>
    <w:rPr>
      <w:rFonts w:ascii="Tahoma" w:hAnsi="Tahoma"/>
      <w:b w:val="0"/>
      <w:sz w:val="24"/>
      <w:szCs w:val="20"/>
      <w:lang w:val="en-GB"/>
    </w:rPr>
  </w:style>
  <w:style w:type="paragraph" w:customStyle="1" w:styleId="CharChar39">
    <w:name w:val="Char Char39"/>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0">
    <w:name w:val="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Znak3">
    <w:name w:val="Znak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CharCharCharCharCharChar3">
    <w:name w:val="Char Char Char 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32">
    <w:name w:val="Знак Знак Знак Знак Знак Знак Знак Знак Знак Знак Знак Знак Знак Знак Знак Знак Знак Знак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31">
    <w:name w:val="Char Char Char Знак3"/>
    <w:basedOn w:val="Normal"/>
    <w:next w:val="Normal"/>
    <w:rsid w:val="005150E5"/>
    <w:pPr>
      <w:spacing w:before="40" w:after="60" w:line="240" w:lineRule="exact"/>
      <w:contextualSpacing w:val="0"/>
    </w:pPr>
    <w:rPr>
      <w:rFonts w:ascii="Tahoma" w:hAnsi="Tahoma"/>
      <w:b w:val="0"/>
      <w:szCs w:val="20"/>
      <w:lang w:val="en-US" w:eastAsia="en-US"/>
    </w:rPr>
  </w:style>
  <w:style w:type="paragraph" w:customStyle="1" w:styleId="ListContinue21">
    <w:name w:val="List Continue 21"/>
    <w:basedOn w:val="Normal"/>
    <w:next w:val="ListContinue2"/>
    <w:rsid w:val="005150E5"/>
    <w:pPr>
      <w:spacing w:before="40" w:after="120" w:line="312" w:lineRule="auto"/>
      <w:ind w:left="720"/>
      <w:contextualSpacing w:val="0"/>
    </w:pPr>
    <w:rPr>
      <w:b w:val="0"/>
      <w:szCs w:val="22"/>
      <w:lang w:val="en-US" w:eastAsia="en-US"/>
    </w:rPr>
  </w:style>
  <w:style w:type="paragraph" w:customStyle="1" w:styleId="CharCharCharCharCharCharCharChar3">
    <w:name w:val="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CharCharCharCharChar6">
    <w:name w:val="Char Char Char Char Знак Char Знак Char Char Char Char Char Char Char Char Char Char6"/>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3">
    <w:name w:val="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2">
    <w:name w:val="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3">
    <w:name w:val="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CharChar3">
    <w:name w:val="Знак Знак1 Char Char Знак Знак3"/>
    <w:basedOn w:val="Normal"/>
    <w:rsid w:val="005150E5"/>
    <w:pPr>
      <w:tabs>
        <w:tab w:val="num" w:pos="840"/>
      </w:tabs>
      <w:spacing w:before="40" w:after="60" w:line="240" w:lineRule="exact"/>
      <w:ind w:left="840" w:hanging="360"/>
      <w:contextualSpacing w:val="0"/>
    </w:pPr>
    <w:rPr>
      <w:rFonts w:ascii="Verdana" w:hAnsi="Verdana"/>
      <w:b w:val="0"/>
      <w:sz w:val="20"/>
      <w:szCs w:val="20"/>
      <w:lang w:eastAsia="en-US"/>
    </w:rPr>
  </w:style>
  <w:style w:type="paragraph" w:customStyle="1" w:styleId="CharCharCharChar3">
    <w:name w:val="Знак Знак Char Char Знак Знак Char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1Char3">
    <w:name w:val="Char Char Char1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33">
    <w:name w:val="Знак Знак13"/>
    <w:basedOn w:val="Normal"/>
    <w:rsid w:val="005150E5"/>
    <w:pPr>
      <w:spacing w:before="40" w:after="60" w:line="240" w:lineRule="exact"/>
      <w:contextualSpacing w:val="0"/>
    </w:pPr>
    <w:rPr>
      <w:rFonts w:ascii="Arial" w:eastAsia="MS Mincho" w:hAnsi="Arial" w:cs="Arial"/>
      <w:b w:val="0"/>
      <w:sz w:val="20"/>
      <w:szCs w:val="20"/>
      <w:lang w:val="en-US" w:eastAsia="en-US"/>
    </w:rPr>
  </w:style>
  <w:style w:type="paragraph" w:customStyle="1" w:styleId="CharCharCharCharChar30">
    <w:name w:val="Char Char 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1CharCharChar1Char3">
    <w:name w:val="Char Char1 Char Char Char1 Char3"/>
    <w:basedOn w:val="Normal"/>
    <w:autoRedefine/>
    <w:rsid w:val="005150E5"/>
    <w:pPr>
      <w:spacing w:before="40" w:after="60" w:line="312" w:lineRule="auto"/>
      <w:contextualSpacing w:val="0"/>
    </w:pPr>
    <w:rPr>
      <w:rFonts w:eastAsia="SimSun"/>
      <w:b w:val="0"/>
      <w:sz w:val="20"/>
      <w:szCs w:val="20"/>
      <w:lang w:val="en-US"/>
    </w:rPr>
  </w:style>
  <w:style w:type="paragraph" w:customStyle="1" w:styleId="430">
    <w:name w:val="Знак Знак4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33">
    <w:name w:val="Знак Char Знак3"/>
    <w:basedOn w:val="Normal"/>
    <w:rsid w:val="005150E5"/>
    <w:pPr>
      <w:spacing w:before="40" w:after="60" w:line="240" w:lineRule="exact"/>
      <w:contextualSpacing w:val="0"/>
    </w:pPr>
    <w:rPr>
      <w:rFonts w:ascii="Arial" w:eastAsia="Batang" w:hAnsi="Arial" w:cs="Arial"/>
      <w:b w:val="0"/>
      <w:sz w:val="20"/>
      <w:szCs w:val="20"/>
      <w:lang w:val="en-US" w:eastAsia="en-US"/>
    </w:rPr>
  </w:style>
  <w:style w:type="paragraph" w:customStyle="1" w:styleId="CharCharCharCharCharChar3">
    <w:name w:val="Знак Знак Char Char Знак Знак Char Char Знак Знак Char Char3"/>
    <w:basedOn w:val="Normal"/>
    <w:autoRedefine/>
    <w:rsid w:val="005150E5"/>
    <w:pPr>
      <w:spacing w:before="40" w:after="60" w:line="240" w:lineRule="exact"/>
      <w:contextualSpacing w:val="0"/>
    </w:pPr>
    <w:rPr>
      <w:b w:val="0"/>
      <w:sz w:val="28"/>
      <w:szCs w:val="20"/>
      <w:lang w:val="en-US" w:eastAsia="en-US"/>
    </w:rPr>
  </w:style>
  <w:style w:type="paragraph" w:customStyle="1" w:styleId="230">
    <w:name w:val="Знак Знак2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31">
    <w:name w:val="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numbering" w:customStyle="1" w:styleId="NoList1120">
    <w:name w:val="No List1120"/>
    <w:next w:val="NoList"/>
    <w:semiHidden/>
    <w:unhideWhenUsed/>
    <w:rsid w:val="005150E5"/>
  </w:style>
  <w:style w:type="numbering" w:customStyle="1" w:styleId="NoList216">
    <w:name w:val="No List216"/>
    <w:next w:val="NoList"/>
    <w:semiHidden/>
    <w:unhideWhenUsed/>
    <w:rsid w:val="005150E5"/>
  </w:style>
  <w:style w:type="numbering" w:customStyle="1" w:styleId="NoList315">
    <w:name w:val="No List315"/>
    <w:next w:val="NoList"/>
    <w:semiHidden/>
    <w:unhideWhenUsed/>
    <w:rsid w:val="005150E5"/>
  </w:style>
  <w:style w:type="paragraph" w:customStyle="1" w:styleId="ListNumber1">
    <w:name w:val="List Number1"/>
    <w:basedOn w:val="Normal"/>
    <w:next w:val="ListNumber"/>
    <w:rsid w:val="005150E5"/>
    <w:pPr>
      <w:spacing w:before="40" w:after="60" w:line="312" w:lineRule="auto"/>
      <w:ind w:left="720" w:hanging="360"/>
      <w:contextualSpacing w:val="0"/>
    </w:pPr>
    <w:rPr>
      <w:b w:val="0"/>
      <w:szCs w:val="22"/>
      <w:lang w:val="en-US" w:eastAsia="en-US"/>
    </w:rPr>
  </w:style>
  <w:style w:type="paragraph" w:customStyle="1" w:styleId="CharChar113">
    <w:name w:val="Char Char113"/>
    <w:basedOn w:val="Normal"/>
    <w:rsid w:val="005150E5"/>
    <w:pPr>
      <w:spacing w:before="40" w:after="60" w:line="240" w:lineRule="exact"/>
      <w:contextualSpacing w:val="0"/>
    </w:pPr>
    <w:rPr>
      <w:rFonts w:ascii="Arial" w:hAnsi="Arial" w:cs="Arial"/>
      <w:b w:val="0"/>
      <w:sz w:val="20"/>
      <w:szCs w:val="20"/>
      <w:lang w:val="en-US" w:eastAsia="en-US"/>
    </w:rPr>
  </w:style>
  <w:style w:type="character" w:customStyle="1" w:styleId="CharChar163">
    <w:name w:val="Char Char163"/>
    <w:uiPriority w:val="99"/>
    <w:rsid w:val="005150E5"/>
    <w:rPr>
      <w:rFonts w:ascii="Times New Roman" w:hAnsi="Times New Roman"/>
      <w:b/>
      <w:sz w:val="20"/>
      <w:lang w:val="en-GB"/>
    </w:rPr>
  </w:style>
  <w:style w:type="character" w:customStyle="1" w:styleId="CharChar53">
    <w:name w:val="Char Char53"/>
    <w:uiPriority w:val="99"/>
    <w:rsid w:val="005150E5"/>
    <w:rPr>
      <w:rFonts w:ascii="Times New Roman" w:hAnsi="Times New Roman"/>
      <w:sz w:val="20"/>
      <w:lang w:val="en-GB"/>
    </w:rPr>
  </w:style>
  <w:style w:type="paragraph" w:customStyle="1" w:styleId="CharCharCharCharCharChar2">
    <w:name w:val="Char Char Char Char Char Char2"/>
    <w:basedOn w:val="Normal"/>
    <w:rsid w:val="005150E5"/>
    <w:pPr>
      <w:spacing w:before="40" w:after="60" w:line="240" w:lineRule="exact"/>
      <w:contextualSpacing w:val="0"/>
    </w:pPr>
    <w:rPr>
      <w:rFonts w:ascii="Arial" w:eastAsia="Calibri" w:hAnsi="Arial" w:cs="Arial"/>
      <w:b w:val="0"/>
      <w:sz w:val="20"/>
      <w:szCs w:val="20"/>
      <w:lang w:val="en-US" w:eastAsia="en-US"/>
    </w:rPr>
  </w:style>
  <w:style w:type="paragraph" w:customStyle="1" w:styleId="3b">
    <w:name w:val="Знак3"/>
    <w:basedOn w:val="Normal"/>
    <w:rsid w:val="005150E5"/>
    <w:pPr>
      <w:spacing w:before="40" w:after="60" w:line="240" w:lineRule="exact"/>
      <w:contextualSpacing w:val="0"/>
    </w:pPr>
    <w:rPr>
      <w:rFonts w:ascii="Arial" w:eastAsia="Calibri" w:hAnsi="Arial" w:cs="Arial"/>
      <w:b w:val="0"/>
      <w:sz w:val="20"/>
      <w:szCs w:val="20"/>
      <w:lang w:val="en-GB" w:eastAsia="en-US"/>
    </w:rPr>
  </w:style>
  <w:style w:type="paragraph" w:customStyle="1" w:styleId="BodyText11">
    <w:name w:val="Body Text11"/>
    <w:basedOn w:val="Normal"/>
    <w:rsid w:val="005150E5"/>
    <w:pPr>
      <w:tabs>
        <w:tab w:val="num" w:pos="0"/>
      </w:tabs>
      <w:spacing w:before="40" w:after="240" w:line="312" w:lineRule="auto"/>
      <w:contextualSpacing w:val="0"/>
    </w:pPr>
    <w:rPr>
      <w:rFonts w:ascii="Times Armenian" w:hAnsi="Times Armenian"/>
      <w:b w:val="0"/>
      <w:szCs w:val="22"/>
      <w:lang w:val="en-US"/>
    </w:rPr>
  </w:style>
  <w:style w:type="table" w:customStyle="1" w:styleId="LightList-Accent1113">
    <w:name w:val="Light List - Accent 111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
    <w:name w:val="Table Grid 71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
    <w:name w:val="Colorful Grid - Accent 118"/>
    <w:basedOn w:val="TableNormal"/>
    <w:next w:val="ColorfulGrid-Accent1"/>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
    <w:name w:val="Light List - Accent 518"/>
    <w:basedOn w:val="TableNormal"/>
    <w:next w:val="LightList-Accent5"/>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
    <w:name w:val="Table Simple 31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
    <w:name w:val="Table Grid 51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
    <w:name w:val="Table Grid 31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0">
    <w:name w:val="Table Grid 11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
    <w:name w:val="Table Columns 51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0">
    <w:name w:val="Нет списка19"/>
    <w:next w:val="NoList"/>
    <w:semiHidden/>
    <w:unhideWhenUsed/>
    <w:rsid w:val="005150E5"/>
  </w:style>
  <w:style w:type="paragraph" w:customStyle="1" w:styleId="List1">
    <w:name w:val="List1"/>
    <w:basedOn w:val="BodyText"/>
    <w:next w:val="List"/>
    <w:rsid w:val="005150E5"/>
    <w:pPr>
      <w:suppressAutoHyphens/>
      <w:spacing w:before="40" w:after="120" w:line="288" w:lineRule="auto"/>
      <w:contextualSpacing w:val="0"/>
      <w:jc w:val="both"/>
    </w:pPr>
    <w:rPr>
      <w:rFonts w:ascii="GHEA Grapalat" w:hAnsi="GHEA Grapalat" w:cs="GHEA Grapalat"/>
      <w:b w:val="0"/>
      <w:kern w:val="1"/>
      <w:sz w:val="22"/>
      <w:szCs w:val="22"/>
      <w:lang w:val="en-US" w:eastAsia="en-US"/>
    </w:rPr>
  </w:style>
  <w:style w:type="character" w:customStyle="1" w:styleId="CharChar123">
    <w:name w:val="Char Char123"/>
    <w:rsid w:val="005150E5"/>
    <w:rPr>
      <w:sz w:val="22"/>
      <w:lang w:val="en-GB" w:eastAsia="en-US" w:bidi="ar-SA"/>
    </w:rPr>
  </w:style>
  <w:style w:type="paragraph" w:customStyle="1" w:styleId="IntenseQuote1">
    <w:name w:val="Intense Quote1"/>
    <w:basedOn w:val="Normal"/>
    <w:next w:val="Normal"/>
    <w:qFormat/>
    <w:rsid w:val="005150E5"/>
    <w:pPr>
      <w:pBdr>
        <w:bottom w:val="single" w:sz="4" w:space="1" w:color="auto"/>
      </w:pBdr>
      <w:spacing w:before="200" w:after="280" w:line="312" w:lineRule="auto"/>
      <w:ind w:left="1008" w:right="1152"/>
      <w:contextualSpacing w:val="0"/>
    </w:pPr>
    <w:rPr>
      <w:bCs/>
      <w:i/>
      <w:iCs/>
      <w:szCs w:val="22"/>
      <w:lang w:val="en-US" w:eastAsia="en-US"/>
    </w:rPr>
  </w:style>
  <w:style w:type="character" w:customStyle="1" w:styleId="CharChar213">
    <w:name w:val="Char Char213"/>
    <w:locked/>
    <w:rsid w:val="005150E5"/>
    <w:rPr>
      <w:sz w:val="22"/>
      <w:lang w:val="en-GB" w:eastAsia="en-US"/>
    </w:rPr>
  </w:style>
  <w:style w:type="character" w:customStyle="1" w:styleId="CharChar222">
    <w:name w:val="Char Char222"/>
    <w:rsid w:val="005150E5"/>
    <w:rPr>
      <w:rFonts w:cs="Times New Roman"/>
      <w:lang w:val="ru-RU" w:eastAsia="ru-RU" w:bidi="ar-SA"/>
    </w:rPr>
  </w:style>
  <w:style w:type="numbering" w:customStyle="1" w:styleId="NoList413">
    <w:name w:val="No List413"/>
    <w:next w:val="NoList"/>
    <w:semiHidden/>
    <w:rsid w:val="005150E5"/>
  </w:style>
  <w:style w:type="character" w:customStyle="1" w:styleId="CharChar182">
    <w:name w:val="Char Char182"/>
    <w:rsid w:val="005150E5"/>
    <w:rPr>
      <w:rFonts w:ascii="Arial Armenian" w:eastAsia="Times New Roman" w:hAnsi="Arial Armenian"/>
      <w:i/>
      <w:sz w:val="22"/>
      <w:u w:val="single"/>
      <w:lang w:val="en-GB"/>
    </w:rPr>
  </w:style>
  <w:style w:type="character" w:customStyle="1" w:styleId="CharChar192">
    <w:name w:val="Char Char192"/>
    <w:rsid w:val="005150E5"/>
    <w:rPr>
      <w:b/>
      <w:sz w:val="32"/>
      <w:lang w:val="en-GB" w:eastAsia="en-US" w:bidi="ar-SA"/>
    </w:rPr>
  </w:style>
  <w:style w:type="character" w:customStyle="1" w:styleId="CharChar202">
    <w:name w:val="Char Char202"/>
    <w:rsid w:val="005150E5"/>
    <w:rPr>
      <w:rFonts w:ascii="Garamond" w:hAnsi="Garamond"/>
      <w:i/>
      <w:spacing w:val="-5"/>
      <w:sz w:val="28"/>
      <w:lang w:val="en-GB" w:eastAsia="en-US" w:bidi="ar-SA"/>
    </w:rPr>
  </w:style>
  <w:style w:type="numbering" w:customStyle="1" w:styleId="NoList11115">
    <w:name w:val="No List11115"/>
    <w:next w:val="NoList"/>
    <w:semiHidden/>
    <w:unhideWhenUsed/>
    <w:rsid w:val="005150E5"/>
  </w:style>
  <w:style w:type="character" w:customStyle="1" w:styleId="CharChar172">
    <w:name w:val="Char Char172"/>
    <w:rsid w:val="005150E5"/>
    <w:rPr>
      <w:rFonts w:ascii="Arial Armenian" w:hAnsi="Arial Armenian"/>
      <w:i/>
      <w:sz w:val="22"/>
      <w:u w:val="single"/>
      <w:lang w:val="en-GB" w:eastAsia="en-US" w:bidi="ar-SA"/>
    </w:rPr>
  </w:style>
  <w:style w:type="character" w:customStyle="1" w:styleId="CharChar282">
    <w:name w:val="Char Char282"/>
    <w:rsid w:val="005150E5"/>
    <w:rPr>
      <w:rFonts w:ascii="Arial Armenian" w:hAnsi="Arial Armenian"/>
      <w:i/>
      <w:sz w:val="22"/>
      <w:u w:val="single"/>
      <w:lang w:val="en-GB"/>
    </w:rPr>
  </w:style>
  <w:style w:type="character" w:customStyle="1" w:styleId="CharChar272">
    <w:name w:val="Char Char272"/>
    <w:rsid w:val="005150E5"/>
    <w:rPr>
      <w:rFonts w:ascii="Garamond" w:hAnsi="Garamond"/>
      <w:i/>
      <w:spacing w:val="-5"/>
      <w:sz w:val="28"/>
      <w:shd w:val="pct5" w:color="auto" w:fill="auto"/>
      <w:lang w:val="en-GB"/>
    </w:rPr>
  </w:style>
  <w:style w:type="character" w:customStyle="1" w:styleId="CharChar262">
    <w:name w:val="Char Char262"/>
    <w:rsid w:val="005150E5"/>
    <w:rPr>
      <w:rFonts w:ascii="Arial Black" w:hAnsi="Arial Black"/>
      <w:caps/>
      <w:spacing w:val="60"/>
      <w:position w:val="4"/>
      <w:sz w:val="14"/>
      <w:lang w:val="en-GB"/>
    </w:rPr>
  </w:style>
  <w:style w:type="character" w:customStyle="1" w:styleId="CharChar252">
    <w:name w:val="Char Char252"/>
    <w:rsid w:val="005150E5"/>
    <w:rPr>
      <w:rFonts w:ascii="Garamond" w:hAnsi="Garamond"/>
      <w:b/>
      <w:i/>
      <w:kern w:val="28"/>
      <w:lang w:val="en-GB"/>
    </w:rPr>
  </w:style>
  <w:style w:type="character" w:customStyle="1" w:styleId="CharChar242">
    <w:name w:val="Char Char242"/>
    <w:rsid w:val="005150E5"/>
    <w:rPr>
      <w:rFonts w:ascii="Arial Armenian" w:hAnsi="Arial Armenian"/>
      <w:noProof/>
      <w:lang w:val="en-US" w:eastAsia="en-US" w:bidi="ar-SA"/>
    </w:rPr>
  </w:style>
  <w:style w:type="character" w:customStyle="1" w:styleId="CharChar232">
    <w:name w:val="Char Char232"/>
    <w:rsid w:val="005150E5"/>
    <w:rPr>
      <w:rFonts w:ascii="Arial Armenian" w:hAnsi="Arial Armenian"/>
      <w:lang w:val="en-GB" w:eastAsia="en-US" w:bidi="ar-SA"/>
    </w:rPr>
  </w:style>
  <w:style w:type="character" w:customStyle="1" w:styleId="CharChar312">
    <w:name w:val="Char Char312"/>
    <w:rsid w:val="005150E5"/>
    <w:rPr>
      <w:rFonts w:ascii="Arial Armenian" w:hAnsi="Arial Armenian"/>
      <w:noProof/>
      <w:lang w:val="en-US" w:eastAsia="en-US" w:bidi="ar-SA"/>
    </w:rPr>
  </w:style>
  <w:style w:type="table" w:customStyle="1" w:styleId="Table3Deffects313">
    <w:name w:val="Table 3D effects 31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TopofForm1">
    <w:name w:val="z-Top of Form1"/>
    <w:basedOn w:val="Normal"/>
    <w:next w:val="Normal"/>
    <w:hidden/>
    <w:uiPriority w:val="99"/>
    <w:unhideWhenUsed/>
    <w:rsid w:val="005150E5"/>
    <w:pPr>
      <w:pBdr>
        <w:bottom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z-BottomofForm1">
    <w:name w:val="z-Bottom of Form1"/>
    <w:basedOn w:val="Normal"/>
    <w:next w:val="Normal"/>
    <w:hidden/>
    <w:uiPriority w:val="99"/>
    <w:unhideWhenUsed/>
    <w:rsid w:val="005150E5"/>
    <w:pPr>
      <w:pBdr>
        <w:top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HTMLPreformatted1">
    <w:name w:val="HTML Preformatted1"/>
    <w:basedOn w:val="Normal"/>
    <w:next w:val="HTMLPreformatted"/>
    <w:uiPriority w:val="99"/>
    <w:unhideWhenUsed/>
    <w:rsid w:val="00515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60" w:line="312" w:lineRule="auto"/>
      <w:contextualSpacing w:val="0"/>
    </w:pPr>
    <w:rPr>
      <w:rFonts w:ascii="Arial Unicode" w:eastAsia="Calibri" w:hAnsi="Arial Unicode"/>
      <w:b w:val="0"/>
      <w:sz w:val="20"/>
      <w:szCs w:val="20"/>
      <w:lang w:val="en-US" w:eastAsia="en-US"/>
    </w:rPr>
  </w:style>
  <w:style w:type="numbering" w:customStyle="1" w:styleId="118">
    <w:name w:val="Нет списка118"/>
    <w:next w:val="NoList"/>
    <w:semiHidden/>
    <w:unhideWhenUsed/>
    <w:rsid w:val="005150E5"/>
  </w:style>
  <w:style w:type="character" w:customStyle="1" w:styleId="CharChar352">
    <w:name w:val="Char Char352"/>
    <w:rsid w:val="005150E5"/>
    <w:rPr>
      <w:rFonts w:ascii="Arial Armenian" w:hAnsi="Arial Armenian"/>
      <w:i/>
      <w:sz w:val="22"/>
      <w:u w:val="single"/>
      <w:lang w:val="en-GB"/>
    </w:rPr>
  </w:style>
  <w:style w:type="character" w:customStyle="1" w:styleId="CharChar342">
    <w:name w:val="Char Char342"/>
    <w:rsid w:val="005150E5"/>
    <w:rPr>
      <w:rFonts w:ascii="Garamond" w:hAnsi="Garamond"/>
      <w:i/>
      <w:spacing w:val="-5"/>
      <w:sz w:val="28"/>
      <w:shd w:val="pct5" w:color="auto" w:fill="auto"/>
      <w:lang w:val="en-GB"/>
    </w:rPr>
  </w:style>
  <w:style w:type="character" w:customStyle="1" w:styleId="CharChar332">
    <w:name w:val="Char Char332"/>
    <w:rsid w:val="005150E5"/>
    <w:rPr>
      <w:rFonts w:ascii="Arial Black" w:hAnsi="Arial Black"/>
      <w:caps/>
      <w:spacing w:val="60"/>
      <w:position w:val="4"/>
      <w:sz w:val="14"/>
      <w:lang w:val="en-GB"/>
    </w:rPr>
  </w:style>
  <w:style w:type="character" w:customStyle="1" w:styleId="CharChar322">
    <w:name w:val="Char Char322"/>
    <w:rsid w:val="005150E5"/>
    <w:rPr>
      <w:rFonts w:ascii="Garamond" w:hAnsi="Garamond"/>
      <w:b/>
      <w:i/>
      <w:kern w:val="28"/>
      <w:lang w:val="en-GB"/>
    </w:rPr>
  </w:style>
  <w:style w:type="character" w:customStyle="1" w:styleId="CharChar302">
    <w:name w:val="Char Char302"/>
    <w:rsid w:val="005150E5"/>
    <w:rPr>
      <w:rFonts w:ascii="Arial Armenian" w:hAnsi="Arial Armenian"/>
      <w:lang w:val="en-GB" w:eastAsia="en-US" w:bidi="ar-SA"/>
    </w:rPr>
  </w:style>
  <w:style w:type="character" w:customStyle="1" w:styleId="CharChar292">
    <w:name w:val="Char Char292"/>
    <w:rsid w:val="005150E5"/>
    <w:rPr>
      <w:rFonts w:ascii="Arial Armenian" w:hAnsi="Arial Armenian"/>
      <w:lang w:val="ru-RU" w:eastAsia="ru-RU" w:bidi="ar-SA"/>
    </w:rPr>
  </w:style>
  <w:style w:type="paragraph" w:customStyle="1" w:styleId="textbox">
    <w:name w:val="textbox"/>
    <w:basedOn w:val="Normal"/>
    <w:rsid w:val="005150E5"/>
    <w:pPr>
      <w:spacing w:before="40" w:after="60" w:line="160" w:lineRule="exact"/>
      <w:contextualSpacing w:val="0"/>
    </w:pPr>
    <w:rPr>
      <w:b w:val="0"/>
      <w:smallCaps/>
      <w:sz w:val="16"/>
      <w:szCs w:val="20"/>
      <w:lang w:val="hy-AM" w:eastAsia="en-US"/>
    </w:rPr>
  </w:style>
  <w:style w:type="character" w:customStyle="1" w:styleId="t121">
    <w:name w:val="t121"/>
    <w:rsid w:val="005150E5"/>
    <w:rPr>
      <w:b/>
      <w:bCs/>
      <w:color w:val="191970"/>
    </w:rPr>
  </w:style>
  <w:style w:type="character" w:customStyle="1" w:styleId="t61">
    <w:name w:val="t61"/>
    <w:rsid w:val="005150E5"/>
    <w:rPr>
      <w:b/>
      <w:bCs/>
      <w:color w:val="191970"/>
    </w:rPr>
  </w:style>
  <w:style w:type="table" w:customStyle="1" w:styleId="TableGrid115">
    <w:name w:val="Table Grid115"/>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4">
    <w:name w:val="Char Char Char Char Знак Char Знак Char Char Char Char Char Char Char Char Char Char4"/>
    <w:basedOn w:val="Normal"/>
    <w:rsid w:val="005150E5"/>
    <w:pPr>
      <w:tabs>
        <w:tab w:val="left" w:pos="709"/>
      </w:tabs>
      <w:spacing w:before="40" w:after="60" w:line="312" w:lineRule="auto"/>
      <w:contextualSpacing w:val="0"/>
    </w:pPr>
    <w:rPr>
      <w:rFonts w:ascii="Tahoma" w:hAnsi="Tahoma" w:cs="Tahoma"/>
      <w:b w:val="0"/>
      <w:szCs w:val="22"/>
      <w:lang w:val="pl-PL" w:eastAsia="pl-PL"/>
    </w:rPr>
  </w:style>
  <w:style w:type="character" w:customStyle="1" w:styleId="CharChar62">
    <w:name w:val="Char Char62"/>
    <w:locked/>
    <w:rsid w:val="005150E5"/>
    <w:rPr>
      <w:rFonts w:ascii="Times LatArm" w:eastAsia="Calibri" w:hAnsi="Times LatArm" w:cs="Times LatArm"/>
      <w:sz w:val="22"/>
      <w:szCs w:val="22"/>
      <w:lang w:val="en-GB" w:eastAsia="en-US" w:bidi="ar-SA"/>
    </w:rPr>
  </w:style>
  <w:style w:type="character" w:customStyle="1" w:styleId="CentredCharChar">
    <w:name w:val="Centred Char Char"/>
    <w:locked/>
    <w:rsid w:val="005150E5"/>
    <w:rPr>
      <w:rFonts w:eastAsia="Calibri"/>
      <w:b/>
      <w:bCs/>
      <w:i/>
      <w:iCs/>
      <w:sz w:val="24"/>
      <w:szCs w:val="24"/>
      <w:lang w:val="en-GB" w:eastAsia="en-US" w:bidi="ar-SA"/>
    </w:rPr>
  </w:style>
  <w:style w:type="character" w:customStyle="1" w:styleId="SideCharChar">
    <w:name w:val="Side Char Char"/>
    <w:locked/>
    <w:rsid w:val="005150E5"/>
    <w:rPr>
      <w:rFonts w:eastAsia="Calibri"/>
      <w:sz w:val="22"/>
      <w:szCs w:val="22"/>
      <w:lang w:val="en-GB" w:eastAsia="en-US" w:bidi="ar-SA"/>
    </w:rPr>
  </w:style>
  <w:style w:type="character" w:customStyle="1" w:styleId="CharChar80">
    <w:name w:val="Char Char8"/>
    <w:locked/>
    <w:rsid w:val="005150E5"/>
    <w:rPr>
      <w:rFonts w:ascii="Times Armenian" w:eastAsia="Calibri" w:hAnsi="Times Armenian" w:cs="Times Armenian"/>
      <w:color w:val="993300"/>
      <w:sz w:val="22"/>
      <w:szCs w:val="22"/>
      <w:lang w:val="hy-AM" w:eastAsia="en-US" w:bidi="ar-SA"/>
    </w:rPr>
  </w:style>
  <w:style w:type="character" w:customStyle="1" w:styleId="CharChar42">
    <w:name w:val="Char Char42"/>
    <w:locked/>
    <w:rsid w:val="005150E5"/>
    <w:rPr>
      <w:rFonts w:eastAsia="Calibri"/>
      <w:sz w:val="22"/>
      <w:szCs w:val="22"/>
      <w:lang w:val="en-GB" w:eastAsia="en-US" w:bidi="ar-SA"/>
    </w:rPr>
  </w:style>
  <w:style w:type="character" w:customStyle="1" w:styleId="CharChar38">
    <w:name w:val="Char Char38"/>
    <w:uiPriority w:val="99"/>
    <w:locked/>
    <w:rsid w:val="005150E5"/>
    <w:rPr>
      <w:rFonts w:eastAsia="Calibri"/>
      <w:sz w:val="22"/>
      <w:szCs w:val="22"/>
      <w:lang w:val="en-GB" w:eastAsia="en-US" w:bidi="ar-SA"/>
    </w:rPr>
  </w:style>
  <w:style w:type="character" w:customStyle="1" w:styleId="CharChar212">
    <w:name w:val="Char Char212"/>
    <w:locked/>
    <w:rsid w:val="005150E5"/>
    <w:rPr>
      <w:rFonts w:ascii="Times Armenian" w:eastAsia="Calibri" w:hAnsi="Times Armenian" w:cs="Times Armenian"/>
      <w:b/>
      <w:bCs/>
      <w:sz w:val="22"/>
      <w:szCs w:val="22"/>
      <w:lang w:val="en-US" w:eastAsia="en-US" w:bidi="ar-SA"/>
    </w:rPr>
  </w:style>
  <w:style w:type="numbering" w:customStyle="1" w:styleId="NoList56">
    <w:name w:val="No List56"/>
    <w:next w:val="NoList"/>
    <w:uiPriority w:val="99"/>
    <w:semiHidden/>
    <w:rsid w:val="005150E5"/>
  </w:style>
  <w:style w:type="numbering" w:customStyle="1" w:styleId="NoList63">
    <w:name w:val="No List63"/>
    <w:next w:val="NoList"/>
    <w:uiPriority w:val="99"/>
    <w:semiHidden/>
    <w:unhideWhenUsed/>
    <w:rsid w:val="005150E5"/>
  </w:style>
  <w:style w:type="table" w:customStyle="1" w:styleId="TableGrid210">
    <w:name w:val="Table Grid210"/>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5150E5"/>
    <w:rPr>
      <w:rFonts w:ascii="GHEA Grapalat" w:hAnsi="GHEA Grapalat"/>
      <w:spacing w:val="-4"/>
      <w:sz w:val="24"/>
      <w:szCs w:val="24"/>
    </w:rPr>
  </w:style>
  <w:style w:type="paragraph" w:customStyle="1" w:styleId="namak0">
    <w:name w:val="namak"/>
    <w:basedOn w:val="Normal"/>
    <w:link w:val="namak"/>
    <w:rsid w:val="005150E5"/>
    <w:pPr>
      <w:spacing w:before="40" w:after="60" w:line="400" w:lineRule="exact"/>
      <w:ind w:firstLine="397"/>
      <w:contextualSpacing w:val="0"/>
    </w:pPr>
    <w:rPr>
      <w:b w:val="0"/>
      <w:spacing w:val="-4"/>
      <w:sz w:val="24"/>
      <w:lang w:val="en-US" w:eastAsia="en-US"/>
    </w:rPr>
  </w:style>
  <w:style w:type="numbering" w:customStyle="1" w:styleId="NoList73">
    <w:name w:val="No List73"/>
    <w:next w:val="NoList"/>
    <w:uiPriority w:val="99"/>
    <w:semiHidden/>
    <w:unhideWhenUsed/>
    <w:rsid w:val="005150E5"/>
  </w:style>
  <w:style w:type="numbering" w:customStyle="1" w:styleId="NoList1210">
    <w:name w:val="No List1210"/>
    <w:next w:val="NoList"/>
    <w:uiPriority w:val="99"/>
    <w:semiHidden/>
    <w:unhideWhenUsed/>
    <w:rsid w:val="005150E5"/>
  </w:style>
  <w:style w:type="table" w:customStyle="1" w:styleId="TableGrid330">
    <w:name w:val="Table Grid33"/>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
    <w:name w:val="Colorful Grid - Accent 12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
    <w:name w:val="Light List - Accent 52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Char5CharCharCharCharCharChar2">
    <w:name w:val="Char Char5 Char Char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CharChar2">
    <w:name w:val="Char Char5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2">
    <w:name w:val="Char Char5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numbering" w:customStyle="1" w:styleId="NoList83">
    <w:name w:val="No List83"/>
    <w:next w:val="NoList"/>
    <w:uiPriority w:val="99"/>
    <w:semiHidden/>
    <w:unhideWhenUsed/>
    <w:rsid w:val="005150E5"/>
  </w:style>
  <w:style w:type="numbering" w:customStyle="1" w:styleId="123">
    <w:name w:val="Нет списка123"/>
    <w:next w:val="NoList"/>
    <w:semiHidden/>
    <w:unhideWhenUsed/>
    <w:rsid w:val="005150E5"/>
  </w:style>
  <w:style w:type="numbering" w:customStyle="1" w:styleId="NoList133">
    <w:name w:val="No List133"/>
    <w:next w:val="NoList"/>
    <w:semiHidden/>
    <w:unhideWhenUsed/>
    <w:rsid w:val="005150E5"/>
  </w:style>
  <w:style w:type="numbering" w:customStyle="1" w:styleId="NoList217">
    <w:name w:val="No List217"/>
    <w:next w:val="NoList"/>
    <w:semiHidden/>
    <w:unhideWhenUsed/>
    <w:rsid w:val="005150E5"/>
  </w:style>
  <w:style w:type="numbering" w:customStyle="1" w:styleId="NoList316">
    <w:name w:val="No List316"/>
    <w:next w:val="NoList"/>
    <w:semiHidden/>
    <w:unhideWhenUsed/>
    <w:rsid w:val="005150E5"/>
  </w:style>
  <w:style w:type="numbering" w:customStyle="1" w:styleId="1113">
    <w:name w:val="Нет списка1113"/>
    <w:next w:val="NoList"/>
    <w:semiHidden/>
    <w:unhideWhenUsed/>
    <w:rsid w:val="005150E5"/>
  </w:style>
  <w:style w:type="numbering" w:customStyle="1" w:styleId="NoList414">
    <w:name w:val="No List414"/>
    <w:next w:val="NoList"/>
    <w:semiHidden/>
    <w:rsid w:val="005150E5"/>
  </w:style>
  <w:style w:type="numbering" w:customStyle="1" w:styleId="NoList11116">
    <w:name w:val="No List11116"/>
    <w:next w:val="NoList"/>
    <w:semiHidden/>
    <w:unhideWhenUsed/>
    <w:rsid w:val="005150E5"/>
  </w:style>
  <w:style w:type="numbering" w:customStyle="1" w:styleId="11112">
    <w:name w:val="Нет списка11112"/>
    <w:next w:val="NoList"/>
    <w:semiHidden/>
    <w:unhideWhenUsed/>
    <w:rsid w:val="005150E5"/>
  </w:style>
  <w:style w:type="numbering" w:customStyle="1" w:styleId="NoList93">
    <w:name w:val="No List93"/>
    <w:next w:val="NoList"/>
    <w:uiPriority w:val="99"/>
    <w:semiHidden/>
    <w:unhideWhenUsed/>
    <w:rsid w:val="005150E5"/>
  </w:style>
  <w:style w:type="character" w:customStyle="1" w:styleId="newstext">
    <w:name w:val="news_text"/>
    <w:rsid w:val="005150E5"/>
  </w:style>
  <w:style w:type="table" w:customStyle="1" w:styleId="TableGrid43">
    <w:name w:val="Table Grid43"/>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5150E5"/>
    <w:rPr>
      <w:rFonts w:ascii="Sylfaen" w:hAnsi="Sylfaen" w:cs="Sylfaen"/>
      <w:color w:val="000000"/>
      <w:sz w:val="24"/>
      <w:szCs w:val="24"/>
    </w:rPr>
  </w:style>
  <w:style w:type="table" w:customStyle="1" w:styleId="GridTable1Light-Accent51">
    <w:name w:val="Grid Table 1 Light - Accent 51"/>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
    <w:name w:val="Grid Table 4 - Accent 111"/>
    <w:basedOn w:val="TableNormal"/>
    <w:uiPriority w:val="49"/>
    <w:rsid w:val="005150E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5150E5"/>
  </w:style>
  <w:style w:type="numbering" w:customStyle="1" w:styleId="NoList103">
    <w:name w:val="No List103"/>
    <w:next w:val="NoList"/>
    <w:uiPriority w:val="99"/>
    <w:semiHidden/>
    <w:unhideWhenUsed/>
    <w:rsid w:val="005150E5"/>
  </w:style>
  <w:style w:type="table" w:customStyle="1" w:styleId="TableGrid530">
    <w:name w:val="Table Grid53"/>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
    <w:name w:val="Table List 7112"/>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
    <w:name w:val="Table Web 3112"/>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
    <w:name w:val="Table Elegant112"/>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
    <w:name w:val="Table Web 123"/>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
    <w:name w:val="No List143"/>
    <w:next w:val="NoList"/>
    <w:semiHidden/>
    <w:unhideWhenUsed/>
    <w:rsid w:val="005150E5"/>
  </w:style>
  <w:style w:type="numbering" w:customStyle="1" w:styleId="NoList223">
    <w:name w:val="No List223"/>
    <w:next w:val="NoList"/>
    <w:semiHidden/>
    <w:unhideWhenUsed/>
    <w:rsid w:val="005150E5"/>
  </w:style>
  <w:style w:type="numbering" w:customStyle="1" w:styleId="NoList323">
    <w:name w:val="No List323"/>
    <w:next w:val="NoList"/>
    <w:semiHidden/>
    <w:unhideWhenUsed/>
    <w:rsid w:val="005150E5"/>
  </w:style>
  <w:style w:type="table" w:customStyle="1" w:styleId="LightList-Accent126">
    <w:name w:val="Light List - Accent 126"/>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
    <w:name w:val="Table Grid 7112"/>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
    <w:name w:val="Colorful Grid - Accent 133"/>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
    <w:name w:val="Light List - Accent 533"/>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
    <w:name w:val="Table Simple 3112"/>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
    <w:name w:val="Table Grid 5112"/>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
    <w:name w:val="Table Grid 3112"/>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
    <w:name w:val="Table Grid 1112"/>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
    <w:name w:val="Table Columns 5112"/>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
    <w:name w:val="Light List - Accent 1114"/>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0">
    <w:name w:val="Нет списка133"/>
    <w:next w:val="NoList"/>
    <w:semiHidden/>
    <w:unhideWhenUsed/>
    <w:rsid w:val="005150E5"/>
  </w:style>
  <w:style w:type="table" w:customStyle="1" w:styleId="ColorfulGrid-Accent1113">
    <w:name w:val="Colorful Grid - Accent 1113"/>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
    <w:name w:val="Light List - Accent 5113"/>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
    <w:name w:val="No List423"/>
    <w:next w:val="NoList"/>
    <w:semiHidden/>
    <w:rsid w:val="005150E5"/>
  </w:style>
  <w:style w:type="numbering" w:customStyle="1" w:styleId="NoList1125">
    <w:name w:val="No List1125"/>
    <w:next w:val="NoList"/>
    <w:semiHidden/>
    <w:unhideWhenUsed/>
    <w:rsid w:val="005150E5"/>
  </w:style>
  <w:style w:type="table" w:customStyle="1" w:styleId="Table3Deffects3112">
    <w:name w:val="Table 3D effects 3112"/>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
    <w:name w:val="Нет списка1123"/>
    <w:next w:val="NoList"/>
    <w:semiHidden/>
    <w:unhideWhenUsed/>
    <w:rsid w:val="005150E5"/>
  </w:style>
  <w:style w:type="table" w:customStyle="1" w:styleId="TableGrid11120">
    <w:name w:val="Table Grid1112"/>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
    <w:name w:val="No List513"/>
    <w:next w:val="NoList"/>
    <w:uiPriority w:val="99"/>
    <w:semiHidden/>
    <w:rsid w:val="005150E5"/>
  </w:style>
  <w:style w:type="numbering" w:customStyle="1" w:styleId="NoList612">
    <w:name w:val="No List612"/>
    <w:next w:val="NoList"/>
    <w:uiPriority w:val="99"/>
    <w:semiHidden/>
    <w:unhideWhenUsed/>
    <w:rsid w:val="005150E5"/>
  </w:style>
  <w:style w:type="table" w:customStyle="1" w:styleId="TableGrid213">
    <w:name w:val="Table Grid213"/>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
    <w:name w:val="No List712"/>
    <w:next w:val="NoList"/>
    <w:uiPriority w:val="99"/>
    <w:semiHidden/>
    <w:unhideWhenUsed/>
    <w:rsid w:val="005150E5"/>
  </w:style>
  <w:style w:type="numbering" w:customStyle="1" w:styleId="NoList1213">
    <w:name w:val="No List1213"/>
    <w:next w:val="NoList"/>
    <w:uiPriority w:val="99"/>
    <w:semiHidden/>
    <w:unhideWhenUsed/>
    <w:rsid w:val="005150E5"/>
  </w:style>
  <w:style w:type="table" w:customStyle="1" w:styleId="TableGrid3120">
    <w:name w:val="Table Grid312"/>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
    <w:name w:val="Table Web 21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
    <w:name w:val="Table Web 11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
    <w:name w:val="Table Grid 81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
    <w:name w:val="Table Contemporary1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
    <w:name w:val="Colorful Grid - Accent 12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
    <w:name w:val="Light List - Accent 52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
    <w:name w:val="No List812"/>
    <w:next w:val="NoList"/>
    <w:uiPriority w:val="99"/>
    <w:semiHidden/>
    <w:unhideWhenUsed/>
    <w:rsid w:val="005150E5"/>
  </w:style>
  <w:style w:type="numbering" w:customStyle="1" w:styleId="1212">
    <w:name w:val="Нет списка1212"/>
    <w:next w:val="NoList"/>
    <w:semiHidden/>
    <w:unhideWhenUsed/>
    <w:rsid w:val="005150E5"/>
  </w:style>
  <w:style w:type="numbering" w:customStyle="1" w:styleId="NoList1312">
    <w:name w:val="No List1312"/>
    <w:next w:val="NoList"/>
    <w:semiHidden/>
    <w:unhideWhenUsed/>
    <w:rsid w:val="005150E5"/>
  </w:style>
  <w:style w:type="numbering" w:customStyle="1" w:styleId="NoList2113">
    <w:name w:val="No List2113"/>
    <w:next w:val="NoList"/>
    <w:semiHidden/>
    <w:unhideWhenUsed/>
    <w:rsid w:val="005150E5"/>
  </w:style>
  <w:style w:type="numbering" w:customStyle="1" w:styleId="NoList3113">
    <w:name w:val="No List3113"/>
    <w:next w:val="NoList"/>
    <w:semiHidden/>
    <w:unhideWhenUsed/>
    <w:rsid w:val="005150E5"/>
  </w:style>
  <w:style w:type="numbering" w:customStyle="1" w:styleId="11121">
    <w:name w:val="Нет списка11121"/>
    <w:next w:val="NoList"/>
    <w:semiHidden/>
    <w:unhideWhenUsed/>
    <w:rsid w:val="005150E5"/>
  </w:style>
  <w:style w:type="numbering" w:customStyle="1" w:styleId="NoList4112">
    <w:name w:val="No List4112"/>
    <w:next w:val="NoList"/>
    <w:semiHidden/>
    <w:rsid w:val="005150E5"/>
  </w:style>
  <w:style w:type="numbering" w:customStyle="1" w:styleId="NoList111113">
    <w:name w:val="No List111113"/>
    <w:next w:val="NoList"/>
    <w:semiHidden/>
    <w:unhideWhenUsed/>
    <w:rsid w:val="005150E5"/>
  </w:style>
  <w:style w:type="numbering" w:customStyle="1" w:styleId="111111">
    <w:name w:val="Нет списка111111"/>
    <w:next w:val="NoList"/>
    <w:semiHidden/>
    <w:unhideWhenUsed/>
    <w:rsid w:val="005150E5"/>
  </w:style>
  <w:style w:type="paragraph" w:customStyle="1" w:styleId="CharChar37">
    <w:name w:val="Char Char37"/>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BodyText23">
    <w:name w:val="Body Text2"/>
    <w:basedOn w:val="Normal"/>
    <w:rsid w:val="005150E5"/>
    <w:pPr>
      <w:tabs>
        <w:tab w:val="num" w:pos="0"/>
      </w:tabs>
      <w:spacing w:before="0" w:after="240" w:line="240" w:lineRule="auto"/>
      <w:ind w:firstLine="0"/>
      <w:contextualSpacing w:val="0"/>
    </w:pPr>
    <w:rPr>
      <w:rFonts w:ascii="Times Armenian" w:hAnsi="Times Armenian"/>
      <w:b w:val="0"/>
      <w:sz w:val="24"/>
      <w:lang w:val="en-US"/>
    </w:rPr>
  </w:style>
  <w:style w:type="paragraph" w:customStyle="1" w:styleId="Znak2">
    <w:name w:val="Znak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Char2">
    <w:name w:val="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CharChar5">
    <w:name w:val="Char Char Char Char Знак Char Знак Char Char Char Char Char Char Char Char Char Char5"/>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2">
    <w:name w:val="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2">
    <w:name w:val="Знак Знак Char2"/>
    <w:link w:val="5"/>
    <w:rsid w:val="005150E5"/>
    <w:rPr>
      <w:rFonts w:ascii="Arial" w:hAnsi="Arial" w:cs="Arial"/>
      <w:b/>
    </w:rPr>
  </w:style>
  <w:style w:type="paragraph" w:customStyle="1" w:styleId="CharCharCharCharCharCharCharCharCharChar2">
    <w:name w:val="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2">
    <w:name w:val="Char Char Char 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CharChar2">
    <w:name w:val="Знак Знак1 Char Char Знак Знак2"/>
    <w:basedOn w:val="Normal"/>
    <w:rsid w:val="005150E5"/>
    <w:pPr>
      <w:tabs>
        <w:tab w:val="num" w:pos="840"/>
      </w:tabs>
      <w:spacing w:before="0" w:after="160" w:line="240" w:lineRule="exact"/>
      <w:ind w:left="840" w:hanging="360"/>
      <w:contextualSpacing w:val="0"/>
    </w:pPr>
    <w:rPr>
      <w:rFonts w:ascii="Verdana" w:hAnsi="Verdana"/>
      <w:b w:val="0"/>
      <w:sz w:val="20"/>
      <w:szCs w:val="20"/>
      <w:lang w:eastAsia="en-US"/>
    </w:rPr>
  </w:style>
  <w:style w:type="paragraph" w:customStyle="1" w:styleId="CharCharCharChar2">
    <w:name w:val="Знак Знак Char Char Знак Знак Char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21">
    <w:name w:val="Знак Знак Знак Знак Знак Знак Знак Знак Знак Знак Знак Знак Знак Знак Знак Знак Знак Знак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CharChar21">
    <w:name w:val="Char Char Char Знак2"/>
    <w:basedOn w:val="Normal"/>
    <w:next w:val="Normal"/>
    <w:rsid w:val="005150E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CharChar1Char2">
    <w:name w:val="Char Char Char1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24">
    <w:name w:val="Знак Знак12"/>
    <w:basedOn w:val="Normal"/>
    <w:rsid w:val="005150E5"/>
    <w:pPr>
      <w:spacing w:before="0" w:after="160" w:line="240" w:lineRule="exact"/>
      <w:ind w:firstLine="0"/>
      <w:contextualSpacing w:val="0"/>
      <w:jc w:val="left"/>
    </w:pPr>
    <w:rPr>
      <w:rFonts w:ascii="Arial" w:eastAsia="MS Mincho" w:hAnsi="Arial" w:cs="Arial"/>
      <w:b w:val="0"/>
      <w:sz w:val="20"/>
      <w:szCs w:val="20"/>
      <w:lang w:val="en-US" w:eastAsia="en-US"/>
    </w:rPr>
  </w:style>
  <w:style w:type="paragraph" w:customStyle="1" w:styleId="CharChar1CharCharChar1Char2">
    <w:name w:val="Char Char1 Char Char Char1 Char2"/>
    <w:basedOn w:val="Normal"/>
    <w:autoRedefine/>
    <w:rsid w:val="005150E5"/>
    <w:pPr>
      <w:spacing w:before="0" w:line="240" w:lineRule="auto"/>
      <w:ind w:firstLine="0"/>
      <w:contextualSpacing w:val="0"/>
      <w:jc w:val="left"/>
    </w:pPr>
    <w:rPr>
      <w:rFonts w:ascii="Times New Roman" w:eastAsia="SimSun" w:hAnsi="Times New Roman"/>
      <w:b w:val="0"/>
      <w:sz w:val="20"/>
      <w:szCs w:val="20"/>
      <w:lang w:val="en-US"/>
    </w:rPr>
  </w:style>
  <w:style w:type="paragraph" w:customStyle="1" w:styleId="420">
    <w:name w:val="Знак Знак4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22">
    <w:name w:val="Знак Char Знак2"/>
    <w:basedOn w:val="Normal"/>
    <w:rsid w:val="005150E5"/>
    <w:pPr>
      <w:spacing w:before="0" w:after="160" w:line="240" w:lineRule="exact"/>
      <w:ind w:firstLine="0"/>
      <w:contextualSpacing w:val="0"/>
      <w:jc w:val="left"/>
    </w:pPr>
    <w:rPr>
      <w:rFonts w:ascii="Arial" w:eastAsia="Batang" w:hAnsi="Arial" w:cs="Arial"/>
      <w:b w:val="0"/>
      <w:sz w:val="20"/>
      <w:szCs w:val="20"/>
      <w:lang w:val="en-US" w:eastAsia="en-US"/>
    </w:rPr>
  </w:style>
  <w:style w:type="paragraph" w:customStyle="1" w:styleId="CharCharCharCharCharChar20">
    <w:name w:val="Знак Знак Char Char Знак Знак Char Char Знак Знак Char Char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220">
    <w:name w:val="Знак Знак2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20">
    <w:name w:val="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Char52">
    <w:name w:val="Char Char52"/>
    <w:rsid w:val="005150E5"/>
    <w:rPr>
      <w:rFonts w:ascii="Arial Armenian" w:hAnsi="Arial Armenian" w:cs="Sylfaen"/>
      <w:sz w:val="24"/>
      <w:szCs w:val="24"/>
      <w:lang w:val="ru-RU" w:eastAsia="ru-RU"/>
    </w:rPr>
  </w:style>
  <w:style w:type="paragraph" w:customStyle="1" w:styleId="CharCharCharCharCharChar10">
    <w:name w:val="Char Char Char Char Char Char1"/>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1100">
    <w:name w:val="Char Char110"/>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2d">
    <w:name w:val="Знак2"/>
    <w:basedOn w:val="Normal"/>
    <w:rsid w:val="005150E5"/>
    <w:pPr>
      <w:spacing w:before="0" w:after="160" w:line="240" w:lineRule="exact"/>
      <w:ind w:firstLine="0"/>
      <w:contextualSpacing w:val="0"/>
      <w:jc w:val="left"/>
    </w:pPr>
    <w:rPr>
      <w:rFonts w:ascii="Arial" w:hAnsi="Arial" w:cs="Arial"/>
      <w:b w:val="0"/>
      <w:sz w:val="20"/>
      <w:szCs w:val="20"/>
      <w:lang w:val="en-GB" w:eastAsia="en-US"/>
    </w:rPr>
  </w:style>
  <w:style w:type="character" w:customStyle="1" w:styleId="CharChar281">
    <w:name w:val="Char Char281"/>
    <w:rsid w:val="005150E5"/>
    <w:rPr>
      <w:rFonts w:ascii="Arial Armenian" w:hAnsi="Arial Armenian"/>
      <w:i/>
      <w:sz w:val="22"/>
      <w:u w:val="single"/>
      <w:lang w:val="en-GB"/>
    </w:rPr>
  </w:style>
  <w:style w:type="character" w:customStyle="1" w:styleId="CharChar271">
    <w:name w:val="Char Char271"/>
    <w:rsid w:val="005150E5"/>
    <w:rPr>
      <w:rFonts w:ascii="Garamond" w:hAnsi="Garamond"/>
      <w:i/>
      <w:spacing w:val="-5"/>
      <w:sz w:val="28"/>
      <w:shd w:val="pct5" w:color="auto" w:fill="auto"/>
      <w:lang w:val="en-GB"/>
    </w:rPr>
  </w:style>
  <w:style w:type="character" w:customStyle="1" w:styleId="CharChar261">
    <w:name w:val="Char Char261"/>
    <w:rsid w:val="005150E5"/>
    <w:rPr>
      <w:rFonts w:ascii="Arial Black" w:hAnsi="Arial Black"/>
      <w:caps/>
      <w:spacing w:val="60"/>
      <w:position w:val="4"/>
      <w:sz w:val="14"/>
      <w:lang w:val="en-GB"/>
    </w:rPr>
  </w:style>
  <w:style w:type="character" w:customStyle="1" w:styleId="CharChar251">
    <w:name w:val="Char Char251"/>
    <w:rsid w:val="005150E5"/>
    <w:rPr>
      <w:rFonts w:ascii="Garamond" w:hAnsi="Garamond"/>
      <w:b/>
      <w:i/>
      <w:kern w:val="28"/>
      <w:lang w:val="en-GB"/>
    </w:rPr>
  </w:style>
  <w:style w:type="character" w:customStyle="1" w:styleId="CharChar351">
    <w:name w:val="Char Char351"/>
    <w:rsid w:val="005150E5"/>
    <w:rPr>
      <w:rFonts w:ascii="Arial Armenian" w:hAnsi="Arial Armenian"/>
      <w:i/>
      <w:sz w:val="22"/>
      <w:u w:val="single"/>
      <w:lang w:val="en-GB"/>
    </w:rPr>
  </w:style>
  <w:style w:type="character" w:customStyle="1" w:styleId="CharChar341">
    <w:name w:val="Char Char341"/>
    <w:rsid w:val="005150E5"/>
    <w:rPr>
      <w:rFonts w:ascii="Garamond" w:hAnsi="Garamond"/>
      <w:i/>
      <w:spacing w:val="-5"/>
      <w:sz w:val="28"/>
      <w:shd w:val="pct5" w:color="auto" w:fill="auto"/>
      <w:lang w:val="en-GB"/>
    </w:rPr>
  </w:style>
  <w:style w:type="character" w:customStyle="1" w:styleId="CharChar331">
    <w:name w:val="Char Char331"/>
    <w:rsid w:val="005150E5"/>
    <w:rPr>
      <w:rFonts w:ascii="Arial Black" w:hAnsi="Arial Black"/>
      <w:caps/>
      <w:spacing w:val="60"/>
      <w:position w:val="4"/>
      <w:sz w:val="14"/>
      <w:lang w:val="en-GB"/>
    </w:rPr>
  </w:style>
  <w:style w:type="character" w:customStyle="1" w:styleId="CharChar321">
    <w:name w:val="Char Char321"/>
    <w:rsid w:val="005150E5"/>
    <w:rPr>
      <w:rFonts w:ascii="Garamond" w:hAnsi="Garamond"/>
      <w:b/>
      <w:i/>
      <w:kern w:val="28"/>
      <w:lang w:val="en-GB"/>
    </w:rPr>
  </w:style>
  <w:style w:type="character" w:customStyle="1" w:styleId="CharChar311">
    <w:name w:val="Char Char311"/>
    <w:rsid w:val="005150E5"/>
    <w:rPr>
      <w:rFonts w:ascii="Arial Armenian" w:hAnsi="Arial Armenian"/>
      <w:noProof/>
      <w:lang w:val="en-US" w:eastAsia="en-US" w:bidi="ar-SA"/>
    </w:rPr>
  </w:style>
  <w:style w:type="character" w:customStyle="1" w:styleId="CharChar301">
    <w:name w:val="Char Char301"/>
    <w:rsid w:val="005150E5"/>
    <w:rPr>
      <w:rFonts w:ascii="Arial Armenian" w:hAnsi="Arial Armenian"/>
      <w:lang w:val="en-GB" w:eastAsia="en-US" w:bidi="ar-SA"/>
    </w:rPr>
  </w:style>
  <w:style w:type="character" w:customStyle="1" w:styleId="CharChar291">
    <w:name w:val="Char Char291"/>
    <w:rsid w:val="005150E5"/>
    <w:rPr>
      <w:rFonts w:ascii="Arial Armenian" w:hAnsi="Arial Armenian"/>
      <w:lang w:val="ru-RU" w:eastAsia="ru-RU" w:bidi="ar-SA"/>
    </w:rPr>
  </w:style>
  <w:style w:type="paragraph" w:customStyle="1" w:styleId="CharChar5CharCharCharCharCharChar1">
    <w:name w:val="Char Char5 Char Char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CharChar1">
    <w:name w:val="Char Char5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1">
    <w:name w:val="Char Char5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61">
    <w:name w:val="Char Char61"/>
    <w:locked/>
    <w:rsid w:val="005150E5"/>
    <w:rPr>
      <w:rFonts w:ascii="Times LatArm" w:eastAsia="Calibri" w:hAnsi="Times LatArm" w:cs="Times LatArm"/>
      <w:sz w:val="22"/>
      <w:szCs w:val="22"/>
      <w:lang w:val="en-GB" w:eastAsia="en-US" w:bidi="ar-SA"/>
    </w:rPr>
  </w:style>
  <w:style w:type="character" w:customStyle="1" w:styleId="CharChar81">
    <w:name w:val="Char Char81"/>
    <w:locked/>
    <w:rsid w:val="005150E5"/>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5150E5"/>
    <w:rPr>
      <w:rFonts w:ascii="Courier New" w:eastAsia="Calibri" w:hAnsi="Courier New" w:cs="Courier New"/>
      <w:lang w:val="en-US" w:eastAsia="en-US" w:bidi="ar-SA"/>
    </w:rPr>
  </w:style>
  <w:style w:type="character" w:customStyle="1" w:styleId="CharChar41">
    <w:name w:val="Char Char41"/>
    <w:locked/>
    <w:rsid w:val="005150E5"/>
    <w:rPr>
      <w:rFonts w:eastAsia="Calibri"/>
      <w:sz w:val="22"/>
      <w:szCs w:val="22"/>
      <w:lang w:val="en-GB" w:eastAsia="en-US" w:bidi="ar-SA"/>
    </w:rPr>
  </w:style>
  <w:style w:type="character" w:customStyle="1" w:styleId="CharChar36">
    <w:name w:val="Char Char36"/>
    <w:locked/>
    <w:rsid w:val="005150E5"/>
    <w:rPr>
      <w:rFonts w:eastAsia="Calibri"/>
      <w:sz w:val="22"/>
      <w:szCs w:val="22"/>
      <w:lang w:val="en-GB" w:eastAsia="en-US" w:bidi="ar-SA"/>
    </w:rPr>
  </w:style>
  <w:style w:type="character" w:customStyle="1" w:styleId="CharChar210">
    <w:name w:val="Char Char210"/>
    <w:locked/>
    <w:rsid w:val="005150E5"/>
    <w:rPr>
      <w:rFonts w:ascii="Times Armenian" w:eastAsia="Calibri" w:hAnsi="Times Armenian" w:cs="Times Armenian"/>
      <w:b/>
      <w:bCs/>
      <w:sz w:val="22"/>
      <w:szCs w:val="22"/>
      <w:lang w:val="en-US" w:eastAsia="en-US" w:bidi="ar-SA"/>
    </w:rPr>
  </w:style>
  <w:style w:type="table" w:customStyle="1" w:styleId="TableGrid63">
    <w:name w:val="Table Grid63"/>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
    <w:name w:val="Table Grid22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0E5"/>
    <w:rPr>
      <w:color w:val="605E5C"/>
      <w:shd w:val="clear" w:color="auto" w:fill="E1DFDD"/>
    </w:rPr>
  </w:style>
  <w:style w:type="table" w:customStyle="1" w:styleId="GridTable1Light-Accent11">
    <w:name w:val="Grid Table 1 Light - Accent 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eading5Char2">
    <w:name w:val="Heading 5 Char2"/>
    <w:basedOn w:val="DefaultParagraphFont"/>
    <w:uiPriority w:val="9"/>
    <w:semiHidden/>
    <w:rsid w:val="005150E5"/>
    <w:rPr>
      <w:rFonts w:ascii="Calibri Light" w:eastAsia="Times New Roman" w:hAnsi="Calibri Light" w:cs="Times New Roman"/>
      <w:color w:val="2E74B5"/>
      <w:sz w:val="24"/>
      <w:szCs w:val="24"/>
    </w:rPr>
  </w:style>
  <w:style w:type="character" w:customStyle="1" w:styleId="Heading6Char2">
    <w:name w:val="Heading 6 Char2"/>
    <w:basedOn w:val="DefaultParagraphFont"/>
    <w:uiPriority w:val="9"/>
    <w:semiHidden/>
    <w:rsid w:val="005150E5"/>
    <w:rPr>
      <w:rFonts w:ascii="Calibri Light" w:eastAsia="Times New Roman" w:hAnsi="Calibri Light" w:cs="Times New Roman"/>
      <w:color w:val="1F4D78"/>
      <w:sz w:val="24"/>
      <w:szCs w:val="24"/>
    </w:rPr>
  </w:style>
  <w:style w:type="character" w:customStyle="1" w:styleId="Heading7Char2">
    <w:name w:val="Heading 7 Char2"/>
    <w:basedOn w:val="DefaultParagraphFont"/>
    <w:uiPriority w:val="9"/>
    <w:semiHidden/>
    <w:rsid w:val="005150E5"/>
    <w:rPr>
      <w:rFonts w:ascii="Calibri Light" w:eastAsia="Times New Roman" w:hAnsi="Calibri Light" w:cs="Times New Roman"/>
      <w:i/>
      <w:iCs/>
      <w:color w:val="1F4D78"/>
      <w:sz w:val="24"/>
      <w:szCs w:val="24"/>
    </w:rPr>
  </w:style>
  <w:style w:type="character" w:customStyle="1" w:styleId="Heading8Char2">
    <w:name w:val="Heading 8 Char2"/>
    <w:basedOn w:val="DefaultParagraphFont"/>
    <w:uiPriority w:val="9"/>
    <w:semiHidden/>
    <w:rsid w:val="005150E5"/>
    <w:rPr>
      <w:rFonts w:ascii="Calibri Light" w:eastAsia="Times New Roman" w:hAnsi="Calibri Light" w:cs="Times New Roman"/>
      <w:color w:val="272727"/>
      <w:sz w:val="21"/>
      <w:szCs w:val="21"/>
    </w:rPr>
  </w:style>
  <w:style w:type="character" w:customStyle="1" w:styleId="Heading9Char2">
    <w:name w:val="Heading 9 Char2"/>
    <w:basedOn w:val="DefaultParagraphFont"/>
    <w:uiPriority w:val="9"/>
    <w:semiHidden/>
    <w:rsid w:val="005150E5"/>
    <w:rPr>
      <w:rFonts w:ascii="Calibri Light" w:eastAsia="Times New Roman" w:hAnsi="Calibri Light" w:cs="Times New Roman"/>
      <w:i/>
      <w:iCs/>
      <w:color w:val="272727"/>
      <w:sz w:val="21"/>
      <w:szCs w:val="21"/>
    </w:rPr>
  </w:style>
  <w:style w:type="character" w:customStyle="1" w:styleId="BodyTextIndent3Char2">
    <w:name w:val="Body Text Indent 3 Char2"/>
    <w:basedOn w:val="DefaultParagraphFont"/>
    <w:uiPriority w:val="99"/>
    <w:rsid w:val="005150E5"/>
    <w:rPr>
      <w:rFonts w:ascii="Times New Roman" w:eastAsia="Times New Roman" w:hAnsi="Times New Roman" w:cs="Times New Roman"/>
      <w:sz w:val="16"/>
      <w:szCs w:val="16"/>
    </w:rPr>
  </w:style>
  <w:style w:type="character" w:customStyle="1" w:styleId="BodyTextIndent2Char2">
    <w:name w:val="Body Text Indent 2 Char2"/>
    <w:basedOn w:val="DefaultParagraphFont"/>
    <w:uiPriority w:val="99"/>
    <w:rsid w:val="005150E5"/>
    <w:rPr>
      <w:rFonts w:ascii="Times New Roman" w:eastAsia="Times New Roman" w:hAnsi="Times New Roman" w:cs="Times New Roman"/>
      <w:sz w:val="24"/>
      <w:szCs w:val="24"/>
    </w:rPr>
  </w:style>
  <w:style w:type="character" w:customStyle="1" w:styleId="BodyText3Char2">
    <w:name w:val="Body Text 3 Char2"/>
    <w:basedOn w:val="DefaultParagraphFont"/>
    <w:uiPriority w:val="99"/>
    <w:rsid w:val="005150E5"/>
    <w:rPr>
      <w:rFonts w:ascii="Times New Roman" w:eastAsia="Times New Roman" w:hAnsi="Times New Roman" w:cs="Times New Roman"/>
      <w:sz w:val="16"/>
      <w:szCs w:val="16"/>
    </w:rPr>
  </w:style>
  <w:style w:type="character" w:customStyle="1" w:styleId="EndnoteTextChar2">
    <w:name w:val="Endnote Text Char2"/>
    <w:basedOn w:val="DefaultParagraphFont"/>
    <w:uiPriority w:val="99"/>
    <w:rsid w:val="005150E5"/>
    <w:rPr>
      <w:rFonts w:ascii="Times New Roman" w:eastAsia="Times New Roman" w:hAnsi="Times New Roman" w:cs="Times New Roman"/>
      <w:sz w:val="20"/>
      <w:szCs w:val="20"/>
    </w:rPr>
  </w:style>
  <w:style w:type="character" w:customStyle="1" w:styleId="TitleChar2">
    <w:name w:val="Title Char2"/>
    <w:basedOn w:val="DefaultParagraphFont"/>
    <w:uiPriority w:val="10"/>
    <w:rsid w:val="005150E5"/>
    <w:rPr>
      <w:rFonts w:ascii="Calibri Light" w:eastAsia="Times New Roman" w:hAnsi="Calibri Light" w:cs="Times New Roman"/>
      <w:spacing w:val="-10"/>
      <w:kern w:val="28"/>
      <w:sz w:val="56"/>
      <w:szCs w:val="56"/>
    </w:rPr>
  </w:style>
  <w:style w:type="character" w:customStyle="1" w:styleId="PlainTextChar2">
    <w:name w:val="Plain Text Char2"/>
    <w:basedOn w:val="DefaultParagraphFont"/>
    <w:uiPriority w:val="99"/>
    <w:rsid w:val="005150E5"/>
    <w:rPr>
      <w:rFonts w:ascii="Consolas" w:eastAsia="Times New Roman" w:hAnsi="Consolas" w:cs="Times New Roman"/>
      <w:sz w:val="21"/>
      <w:szCs w:val="21"/>
    </w:rPr>
  </w:style>
  <w:style w:type="table" w:customStyle="1" w:styleId="TableList78">
    <w:name w:val="Table List 78"/>
    <w:basedOn w:val="TableNormal"/>
    <w:next w:val="TableList7"/>
    <w:uiPriority w:val="99"/>
    <w:semiHidden/>
    <w:unhideWhenUsed/>
    <w:rsid w:val="005150E5"/>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
    <w:name w:val="Table Web 38"/>
    <w:basedOn w:val="TableNormal"/>
    <w:next w:val="TableWeb3"/>
    <w:uiPriority w:val="99"/>
    <w:semiHidden/>
    <w:unhideWhenUsed/>
    <w:rsid w:val="005150E5"/>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
    <w:name w:val="Table Elegant8"/>
    <w:basedOn w:val="TableNormal"/>
    <w:next w:val="TableElegant"/>
    <w:uiPriority w:val="99"/>
    <w:semiHidden/>
    <w:unhideWhenUsed/>
    <w:rsid w:val="005150E5"/>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ubtitleChar3">
    <w:name w:val="Subtitle Char3"/>
    <w:basedOn w:val="DefaultParagraphFont"/>
    <w:uiPriority w:val="11"/>
    <w:rsid w:val="005150E5"/>
    <w:rPr>
      <w:rFonts w:eastAsia="Times New Roman"/>
      <w:color w:val="5A5A5A"/>
      <w:spacing w:val="15"/>
    </w:rPr>
  </w:style>
  <w:style w:type="table" w:customStyle="1" w:styleId="TableWeb28">
    <w:name w:val="Table Web 28"/>
    <w:basedOn w:val="TableNormal"/>
    <w:next w:val="TableWeb2"/>
    <w:uiPriority w:val="99"/>
    <w:semiHidden/>
    <w:unhideWhenUsed/>
    <w:rsid w:val="005150E5"/>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
    <w:name w:val="Table Web 18"/>
    <w:basedOn w:val="TableNormal"/>
    <w:next w:val="TableWeb1"/>
    <w:uiPriority w:val="99"/>
    <w:semiHidden/>
    <w:unhideWhenUsed/>
    <w:rsid w:val="005150E5"/>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dyTextFirstIndentChar3">
    <w:name w:val="Body Text First Indent Char3"/>
    <w:basedOn w:val="BodyTextChar1"/>
    <w:uiPriority w:val="99"/>
    <w:rsid w:val="005150E5"/>
    <w:rPr>
      <w:rFonts w:ascii="Times New Roman" w:eastAsia="Times New Roman" w:hAnsi="Times New Roman" w:cs="Times New Roman"/>
      <w:sz w:val="24"/>
      <w:szCs w:val="24"/>
    </w:rPr>
  </w:style>
  <w:style w:type="table" w:customStyle="1" w:styleId="TableGrid88">
    <w:name w:val="Table Grid 88"/>
    <w:basedOn w:val="TableNormal"/>
    <w:next w:val="TableGrid8"/>
    <w:uiPriority w:val="99"/>
    <w:semiHidden/>
    <w:unhideWhenUsed/>
    <w:rsid w:val="005150E5"/>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
    <w:name w:val="Table Contemporary8"/>
    <w:basedOn w:val="TableNormal"/>
    <w:next w:val="TableContemporary"/>
    <w:uiPriority w:val="99"/>
    <w:semiHidden/>
    <w:unhideWhenUsed/>
    <w:rsid w:val="005150E5"/>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DocumentMapChar2">
    <w:name w:val="Document Map Char2"/>
    <w:basedOn w:val="DefaultParagraphFont"/>
    <w:uiPriority w:val="99"/>
    <w:rsid w:val="005150E5"/>
    <w:rPr>
      <w:rFonts w:ascii="Segoe UI" w:eastAsia="Times New Roman" w:hAnsi="Segoe UI" w:cs="Segoe UI"/>
      <w:sz w:val="16"/>
      <w:szCs w:val="16"/>
    </w:rPr>
  </w:style>
  <w:style w:type="character" w:customStyle="1" w:styleId="QuoteChar1">
    <w:name w:val="Quote Char1"/>
    <w:basedOn w:val="DefaultParagraphFont"/>
    <w:uiPriority w:val="29"/>
    <w:rsid w:val="005150E5"/>
    <w:rPr>
      <w:rFonts w:ascii="Times New Roman" w:eastAsia="Times New Roman" w:hAnsi="Times New Roman" w:cs="Times New Roman"/>
      <w:i/>
      <w:iCs/>
      <w:color w:val="404040"/>
      <w:sz w:val="24"/>
      <w:szCs w:val="24"/>
    </w:rPr>
  </w:style>
  <w:style w:type="table" w:customStyle="1" w:styleId="LightList-Accent127">
    <w:name w:val="Light List - Accent 127"/>
    <w:basedOn w:val="TableNormal"/>
    <w:next w:val="LightList-Accent1"/>
    <w:uiPriority w:val="61"/>
    <w:semiHidden/>
    <w:unhideWhenUsed/>
    <w:rsid w:val="005150E5"/>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
    <w:name w:val="Table Grid 78"/>
    <w:basedOn w:val="TableNormal"/>
    <w:next w:val="TableGrid7"/>
    <w:uiPriority w:val="99"/>
    <w:semiHidden/>
    <w:unhideWhenUsed/>
    <w:rsid w:val="005150E5"/>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
    <w:name w:val="Colorful Grid - Accent 19"/>
    <w:basedOn w:val="TableNormal"/>
    <w:next w:val="ColorfulGrid-Accent1"/>
    <w:uiPriority w:val="73"/>
    <w:semiHidden/>
    <w:unhideWhenUsed/>
    <w:rsid w:val="005150E5"/>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
    <w:name w:val="Light List - Accent 510"/>
    <w:basedOn w:val="TableNormal"/>
    <w:next w:val="LightList-Accent5"/>
    <w:uiPriority w:val="61"/>
    <w:semiHidden/>
    <w:unhideWhenUsed/>
    <w:rsid w:val="005150E5"/>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
    <w:name w:val="Table Simple 38"/>
    <w:basedOn w:val="TableNormal"/>
    <w:next w:val="TableSimple3"/>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
    <w:name w:val="Table Grid 58"/>
    <w:basedOn w:val="TableNormal"/>
    <w:next w:val="TableGrid5"/>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
    <w:name w:val="Table Grid 38"/>
    <w:basedOn w:val="TableNormal"/>
    <w:next w:val="TableGrid3"/>
    <w:uiPriority w:val="99"/>
    <w:semiHidden/>
    <w:unhideWhenUsed/>
    <w:rsid w:val="005150E5"/>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0">
    <w:name w:val="Table Grid 18"/>
    <w:basedOn w:val="TableNormal"/>
    <w:next w:val="TableGrid10"/>
    <w:uiPriority w:val="99"/>
    <w:semiHidden/>
    <w:unhideWhenUsed/>
    <w:rsid w:val="005150E5"/>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
    <w:name w:val="Table Columns 58"/>
    <w:basedOn w:val="TableNormal"/>
    <w:next w:val="TableColumns5"/>
    <w:uiPriority w:val="99"/>
    <w:semiHidden/>
    <w:unhideWhenUsed/>
    <w:rsid w:val="005150E5"/>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IntenseQuoteChar1">
    <w:name w:val="Intense Quote Char1"/>
    <w:basedOn w:val="DefaultParagraphFont"/>
    <w:uiPriority w:val="30"/>
    <w:rsid w:val="005150E5"/>
    <w:rPr>
      <w:rFonts w:ascii="Times New Roman" w:eastAsia="Times New Roman" w:hAnsi="Times New Roman" w:cs="Times New Roman"/>
      <w:i/>
      <w:iCs/>
      <w:color w:val="5B9BD5"/>
      <w:sz w:val="24"/>
      <w:szCs w:val="24"/>
    </w:rPr>
  </w:style>
  <w:style w:type="table" w:customStyle="1" w:styleId="Table3Deffects38">
    <w:name w:val="Table 3D effects 38"/>
    <w:basedOn w:val="TableNormal"/>
    <w:next w:val="Table3Deffects3"/>
    <w:uiPriority w:val="99"/>
    <w:semiHidden/>
    <w:unhideWhenUsed/>
    <w:rsid w:val="005150E5"/>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z-TopofFormChar1">
    <w:name w:val="z-Top of Form Char1"/>
    <w:basedOn w:val="DefaultParagraphFont"/>
    <w:uiPriority w:val="99"/>
    <w:semiHidden/>
    <w:rsid w:val="005150E5"/>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5150E5"/>
    <w:rPr>
      <w:rFonts w:ascii="Arial" w:eastAsia="Times New Roman" w:hAnsi="Arial" w:cs="Arial"/>
      <w:vanish/>
      <w:sz w:val="16"/>
      <w:szCs w:val="16"/>
    </w:rPr>
  </w:style>
  <w:style w:type="character" w:customStyle="1" w:styleId="HTMLPreformattedChar1">
    <w:name w:val="HTML Preformatted Char1"/>
    <w:basedOn w:val="DefaultParagraphFont"/>
    <w:uiPriority w:val="99"/>
    <w:rsid w:val="005150E5"/>
    <w:rPr>
      <w:rFonts w:ascii="Consolas" w:eastAsia="Times New Roman" w:hAnsi="Consolas" w:cs="Times New Roman"/>
      <w:sz w:val="20"/>
      <w:szCs w:val="20"/>
    </w:rPr>
  </w:style>
  <w:style w:type="numbering" w:customStyle="1" w:styleId="NoList153">
    <w:name w:val="No List153"/>
    <w:next w:val="NoList"/>
    <w:uiPriority w:val="99"/>
    <w:semiHidden/>
    <w:unhideWhenUsed/>
    <w:rsid w:val="005150E5"/>
  </w:style>
  <w:style w:type="table" w:customStyle="1" w:styleId="TableGrid123">
    <w:name w:val="Table Grid123"/>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2">
    <w:name w:val="TOC 42"/>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2">
    <w:name w:val="TOC 52"/>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OC62">
    <w:name w:val="TOC 62"/>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2">
    <w:name w:val="TOC 72"/>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2">
    <w:name w:val="TOC 82"/>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2">
    <w:name w:val="TOC 92"/>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23">
    <w:name w:val="Table List 72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3">
    <w:name w:val="Table Web 32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3">
    <w:name w:val="Table Elegant2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3">
    <w:name w:val="Table Web 23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3">
    <w:name w:val="Table Web 13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3">
    <w:name w:val="Table Grid 83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3">
    <w:name w:val="Table Contemporary3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3">
    <w:name w:val="No List163"/>
    <w:next w:val="NoList"/>
    <w:semiHidden/>
    <w:unhideWhenUsed/>
    <w:rsid w:val="005150E5"/>
  </w:style>
  <w:style w:type="numbering" w:customStyle="1" w:styleId="NoList233">
    <w:name w:val="No List233"/>
    <w:next w:val="NoList"/>
    <w:semiHidden/>
    <w:unhideWhenUsed/>
    <w:rsid w:val="005150E5"/>
  </w:style>
  <w:style w:type="numbering" w:customStyle="1" w:styleId="NoList333">
    <w:name w:val="No List333"/>
    <w:next w:val="NoList"/>
    <w:semiHidden/>
    <w:unhideWhenUsed/>
    <w:rsid w:val="005150E5"/>
  </w:style>
  <w:style w:type="table" w:customStyle="1" w:styleId="LightList-Accent133">
    <w:name w:val="Light List - Accent 13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3">
    <w:name w:val="Table Grid 72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3">
    <w:name w:val="Colorful Grid - Accent 14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3">
    <w:name w:val="Light List - Accent 54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3">
    <w:name w:val="Table Simple 32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3">
    <w:name w:val="Table Grid 52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3">
    <w:name w:val="Table Grid 32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30">
    <w:name w:val="Table Grid 12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3">
    <w:name w:val="Light List - Accent 1123"/>
    <w:basedOn w:val="TableNormal"/>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3">
    <w:name w:val="Нет списка143"/>
    <w:next w:val="NoList"/>
    <w:semiHidden/>
    <w:unhideWhenUsed/>
    <w:rsid w:val="005150E5"/>
  </w:style>
  <w:style w:type="table" w:customStyle="1" w:styleId="ColorfulGrid-Accent1123">
    <w:name w:val="Colorful Grid - Accent 1123"/>
    <w:basedOn w:val="TableNormal"/>
    <w:rsid w:val="005150E5"/>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3">
    <w:name w:val="Light List - Accent 5123"/>
    <w:basedOn w:val="TableNormal"/>
    <w:rsid w:val="005150E5"/>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3">
    <w:name w:val="No List433"/>
    <w:next w:val="NoList"/>
    <w:semiHidden/>
    <w:rsid w:val="005150E5"/>
  </w:style>
  <w:style w:type="numbering" w:customStyle="1" w:styleId="NoList1133">
    <w:name w:val="No List1133"/>
    <w:next w:val="NoList"/>
    <w:semiHidden/>
    <w:unhideWhenUsed/>
    <w:rsid w:val="005150E5"/>
  </w:style>
  <w:style w:type="table" w:customStyle="1" w:styleId="Table3Deffects323">
    <w:name w:val="Table 3D effects 32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NoList"/>
    <w:semiHidden/>
    <w:unhideWhenUsed/>
    <w:rsid w:val="005150E5"/>
  </w:style>
  <w:style w:type="table" w:customStyle="1" w:styleId="TableGrid133">
    <w:name w:val="Table Grid133"/>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
    <w:name w:val="No List523"/>
    <w:next w:val="NoList"/>
    <w:uiPriority w:val="99"/>
    <w:semiHidden/>
    <w:rsid w:val="005150E5"/>
  </w:style>
  <w:style w:type="numbering" w:customStyle="1" w:styleId="NoList621">
    <w:name w:val="No List621"/>
    <w:next w:val="NoList"/>
    <w:uiPriority w:val="99"/>
    <w:semiHidden/>
    <w:unhideWhenUsed/>
    <w:rsid w:val="005150E5"/>
  </w:style>
  <w:style w:type="table" w:customStyle="1" w:styleId="TableGrid232">
    <w:name w:val="Table Grid232"/>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1">
    <w:name w:val="No List721"/>
    <w:next w:val="NoList"/>
    <w:uiPriority w:val="99"/>
    <w:semiHidden/>
    <w:unhideWhenUsed/>
    <w:rsid w:val="005150E5"/>
  </w:style>
  <w:style w:type="numbering" w:customStyle="1" w:styleId="NoList1223">
    <w:name w:val="No List1223"/>
    <w:next w:val="NoList"/>
    <w:uiPriority w:val="99"/>
    <w:semiHidden/>
    <w:unhideWhenUsed/>
    <w:rsid w:val="005150E5"/>
  </w:style>
  <w:style w:type="table" w:customStyle="1" w:styleId="TableGrid3210">
    <w:name w:val="Table Grid32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
    <w:name w:val="Table Web 2121"/>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
    <w:name w:val="Table Web 1121"/>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
    <w:name w:val="Table Contemporary121"/>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
    <w:name w:val="Colorful Grid - Accent 1221"/>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
    <w:name w:val="Light List - Accent 5221"/>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
    <w:name w:val="No List821"/>
    <w:next w:val="NoList"/>
    <w:uiPriority w:val="99"/>
    <w:semiHidden/>
    <w:unhideWhenUsed/>
    <w:rsid w:val="005150E5"/>
  </w:style>
  <w:style w:type="numbering" w:customStyle="1" w:styleId="1221">
    <w:name w:val="Нет списка1221"/>
    <w:next w:val="NoList"/>
    <w:semiHidden/>
    <w:unhideWhenUsed/>
    <w:rsid w:val="005150E5"/>
  </w:style>
  <w:style w:type="numbering" w:customStyle="1" w:styleId="NoList1321">
    <w:name w:val="No List1321"/>
    <w:next w:val="NoList"/>
    <w:semiHidden/>
    <w:unhideWhenUsed/>
    <w:rsid w:val="005150E5"/>
  </w:style>
  <w:style w:type="numbering" w:customStyle="1" w:styleId="NoList2123">
    <w:name w:val="No List2123"/>
    <w:next w:val="NoList"/>
    <w:semiHidden/>
    <w:unhideWhenUsed/>
    <w:rsid w:val="005150E5"/>
  </w:style>
  <w:style w:type="numbering" w:customStyle="1" w:styleId="NoList3123">
    <w:name w:val="No List3123"/>
    <w:next w:val="NoList"/>
    <w:semiHidden/>
    <w:unhideWhenUsed/>
    <w:rsid w:val="005150E5"/>
  </w:style>
  <w:style w:type="numbering" w:customStyle="1" w:styleId="11131">
    <w:name w:val="Нет списка11131"/>
    <w:next w:val="NoList"/>
    <w:semiHidden/>
    <w:unhideWhenUsed/>
    <w:rsid w:val="005150E5"/>
  </w:style>
  <w:style w:type="numbering" w:customStyle="1" w:styleId="NoList4121">
    <w:name w:val="No List4121"/>
    <w:next w:val="NoList"/>
    <w:semiHidden/>
    <w:rsid w:val="005150E5"/>
  </w:style>
  <w:style w:type="numbering" w:customStyle="1" w:styleId="NoList11123">
    <w:name w:val="No List11123"/>
    <w:next w:val="NoList"/>
    <w:semiHidden/>
    <w:unhideWhenUsed/>
    <w:rsid w:val="005150E5"/>
  </w:style>
  <w:style w:type="numbering" w:customStyle="1" w:styleId="111121">
    <w:name w:val="Нет списка111121"/>
    <w:next w:val="NoList"/>
    <w:semiHidden/>
    <w:unhideWhenUsed/>
    <w:rsid w:val="005150E5"/>
  </w:style>
  <w:style w:type="numbering" w:customStyle="1" w:styleId="NoList912">
    <w:name w:val="No List912"/>
    <w:next w:val="NoList"/>
    <w:uiPriority w:val="99"/>
    <w:semiHidden/>
    <w:unhideWhenUsed/>
    <w:rsid w:val="005150E5"/>
  </w:style>
  <w:style w:type="table" w:customStyle="1" w:styleId="TableGrid421">
    <w:name w:val="Table Grid421"/>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012">
    <w:name w:val="No List1012"/>
    <w:next w:val="NoList"/>
    <w:uiPriority w:val="99"/>
    <w:semiHidden/>
    <w:unhideWhenUsed/>
    <w:rsid w:val="005150E5"/>
  </w:style>
  <w:style w:type="table" w:customStyle="1" w:styleId="TableGrid5120">
    <w:name w:val="Table Grid512"/>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
    <w:name w:val="Table List 7121"/>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
    <w:name w:val="Table Web 3121"/>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
    <w:name w:val="Table Elegant121"/>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2">
    <w:name w:val="Table Web 12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2">
    <w:name w:val="Table Grid 82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2">
    <w:name w:val="Table Contemporary2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2">
    <w:name w:val="No List1412"/>
    <w:next w:val="NoList"/>
    <w:semiHidden/>
    <w:unhideWhenUsed/>
    <w:rsid w:val="005150E5"/>
  </w:style>
  <w:style w:type="numbering" w:customStyle="1" w:styleId="NoList2212">
    <w:name w:val="No List2212"/>
    <w:next w:val="NoList"/>
    <w:semiHidden/>
    <w:unhideWhenUsed/>
    <w:rsid w:val="005150E5"/>
  </w:style>
  <w:style w:type="numbering" w:customStyle="1" w:styleId="NoList3212">
    <w:name w:val="No List3212"/>
    <w:next w:val="NoList"/>
    <w:semiHidden/>
    <w:unhideWhenUsed/>
    <w:rsid w:val="005150E5"/>
  </w:style>
  <w:style w:type="table" w:customStyle="1" w:styleId="LightList-Accent1212">
    <w:name w:val="Light List - Accent 12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1">
    <w:name w:val="Table Grid 7121"/>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2">
    <w:name w:val="Colorful Grid - Accent 13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2">
    <w:name w:val="Light List - Accent 53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1">
    <w:name w:val="Table Simple 3121"/>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
    <w:name w:val="Table Grid 5121"/>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
    <w:name w:val="Table Grid 3121"/>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
    <w:name w:val="Table Grid 1121"/>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
    <w:name w:val="Table Columns 5121"/>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2">
    <w:name w:val="Light List - Accent 111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2">
    <w:name w:val="Нет списка1312"/>
    <w:next w:val="NoList"/>
    <w:semiHidden/>
    <w:unhideWhenUsed/>
    <w:rsid w:val="005150E5"/>
  </w:style>
  <w:style w:type="table" w:customStyle="1" w:styleId="ColorfulGrid-Accent11112">
    <w:name w:val="Colorful Grid - Accent 11112"/>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2">
    <w:name w:val="Light List - Accent 51112"/>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2">
    <w:name w:val="No List4212"/>
    <w:next w:val="NoList"/>
    <w:semiHidden/>
    <w:rsid w:val="005150E5"/>
  </w:style>
  <w:style w:type="numbering" w:customStyle="1" w:styleId="NoList11213">
    <w:name w:val="No List11213"/>
    <w:next w:val="NoList"/>
    <w:semiHidden/>
    <w:unhideWhenUsed/>
    <w:rsid w:val="005150E5"/>
  </w:style>
  <w:style w:type="table" w:customStyle="1" w:styleId="Table3Deffects3121">
    <w:name w:val="Table 3D effects 3121"/>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2">
    <w:name w:val="Нет списка11212"/>
    <w:next w:val="NoList"/>
    <w:semiHidden/>
    <w:unhideWhenUsed/>
    <w:rsid w:val="005150E5"/>
  </w:style>
  <w:style w:type="table" w:customStyle="1" w:styleId="TableGrid11210">
    <w:name w:val="Table Grid1121"/>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2">
    <w:name w:val="No List5112"/>
    <w:next w:val="NoList"/>
    <w:uiPriority w:val="99"/>
    <w:semiHidden/>
    <w:rsid w:val="005150E5"/>
  </w:style>
  <w:style w:type="numbering" w:customStyle="1" w:styleId="NoList6111">
    <w:name w:val="No List6111"/>
    <w:next w:val="NoList"/>
    <w:uiPriority w:val="99"/>
    <w:semiHidden/>
    <w:unhideWhenUsed/>
    <w:rsid w:val="005150E5"/>
  </w:style>
  <w:style w:type="table" w:customStyle="1" w:styleId="TableGrid2112">
    <w:name w:val="Table Grid2112"/>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1">
    <w:name w:val="No List7111"/>
    <w:next w:val="NoList"/>
    <w:uiPriority w:val="99"/>
    <w:semiHidden/>
    <w:unhideWhenUsed/>
    <w:rsid w:val="005150E5"/>
  </w:style>
  <w:style w:type="numbering" w:customStyle="1" w:styleId="NoList12112">
    <w:name w:val="No List12112"/>
    <w:next w:val="NoList"/>
    <w:uiPriority w:val="99"/>
    <w:semiHidden/>
    <w:unhideWhenUsed/>
    <w:rsid w:val="005150E5"/>
  </w:style>
  <w:style w:type="table" w:customStyle="1" w:styleId="TableGrid31110">
    <w:name w:val="Table Grid3111"/>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
    <w:name w:val="Table Web 21111"/>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
    <w:name w:val="Table Web 11111"/>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
    <w:name w:val="Table Grid 81111"/>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
    <w:name w:val="Table Contemporary1111"/>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
    <w:name w:val="Colorful Grid - Accent 12111"/>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
    <w:name w:val="Light List - Accent 52111"/>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
    <w:name w:val="No List8111"/>
    <w:next w:val="NoList"/>
    <w:uiPriority w:val="99"/>
    <w:semiHidden/>
    <w:unhideWhenUsed/>
    <w:rsid w:val="005150E5"/>
  </w:style>
  <w:style w:type="numbering" w:customStyle="1" w:styleId="12111">
    <w:name w:val="Нет списка12111"/>
    <w:next w:val="NoList"/>
    <w:semiHidden/>
    <w:unhideWhenUsed/>
    <w:rsid w:val="005150E5"/>
  </w:style>
  <w:style w:type="numbering" w:customStyle="1" w:styleId="NoList13111">
    <w:name w:val="No List13111"/>
    <w:next w:val="NoList"/>
    <w:semiHidden/>
    <w:unhideWhenUsed/>
    <w:rsid w:val="005150E5"/>
  </w:style>
  <w:style w:type="numbering" w:customStyle="1" w:styleId="NoList21112">
    <w:name w:val="No List21112"/>
    <w:next w:val="NoList"/>
    <w:semiHidden/>
    <w:unhideWhenUsed/>
    <w:rsid w:val="005150E5"/>
  </w:style>
  <w:style w:type="numbering" w:customStyle="1" w:styleId="NoList31112">
    <w:name w:val="No List31112"/>
    <w:next w:val="NoList"/>
    <w:semiHidden/>
    <w:unhideWhenUsed/>
    <w:rsid w:val="005150E5"/>
  </w:style>
  <w:style w:type="numbering" w:customStyle="1" w:styleId="111211">
    <w:name w:val="Нет списка111211"/>
    <w:next w:val="NoList"/>
    <w:semiHidden/>
    <w:unhideWhenUsed/>
    <w:rsid w:val="005150E5"/>
  </w:style>
  <w:style w:type="numbering" w:customStyle="1" w:styleId="NoList41111">
    <w:name w:val="No List41111"/>
    <w:next w:val="NoList"/>
    <w:semiHidden/>
    <w:rsid w:val="005150E5"/>
  </w:style>
  <w:style w:type="numbering" w:customStyle="1" w:styleId="NoList111123">
    <w:name w:val="No List111123"/>
    <w:next w:val="NoList"/>
    <w:semiHidden/>
    <w:unhideWhenUsed/>
    <w:rsid w:val="005150E5"/>
  </w:style>
  <w:style w:type="numbering" w:customStyle="1" w:styleId="1111111">
    <w:name w:val="Нет списка1111111"/>
    <w:next w:val="NoList"/>
    <w:semiHidden/>
    <w:unhideWhenUsed/>
    <w:rsid w:val="005150E5"/>
  </w:style>
  <w:style w:type="table" w:customStyle="1" w:styleId="TableGrid612">
    <w:name w:val="Table Grid612"/>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2">
    <w:name w:val="Table Grid221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8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2">
    <w:name w:val="Table Grid14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 Grid7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1">
    <w:name w:val="Medium Grid 3 Accent 1"/>
    <w:basedOn w:val="TableNormal"/>
    <w:uiPriority w:val="69"/>
    <w:unhideWhenUsed/>
    <w:rsid w:val="005150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stTable7Colorful-Accent11">
    <w:name w:val="List Table 7 Colorful - Accent 11"/>
    <w:basedOn w:val="TableNormal"/>
    <w:uiPriority w:val="52"/>
    <w:rsid w:val="001E3933"/>
    <w:rPr>
      <w:rFonts w:asciiTheme="minorHAnsi" w:eastAsiaTheme="minorHAnsi" w:hAnsiTheme="minorHAnsi" w:cstheme="minorBidi"/>
      <w:color w:val="365F91"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57">
    <w:name w:val="No List57"/>
    <w:next w:val="NoList"/>
    <w:semiHidden/>
    <w:rsid w:val="00A00B8B"/>
  </w:style>
  <w:style w:type="paragraph" w:customStyle="1" w:styleId="DefaultParagraphFontParaChar">
    <w:name w:val="Default Paragraph Font Para Char"/>
    <w:basedOn w:val="Normal"/>
    <w:locked/>
    <w:rsid w:val="00A00B8B"/>
    <w:pPr>
      <w:spacing w:before="0" w:after="160" w:line="240" w:lineRule="auto"/>
      <w:ind w:firstLine="0"/>
      <w:contextualSpacing w:val="0"/>
      <w:jc w:val="left"/>
    </w:pPr>
    <w:rPr>
      <w:rFonts w:ascii="Verdana" w:eastAsia="Batang" w:hAnsi="Verdana" w:cs="Verdana"/>
      <w:b w:val="0"/>
      <w:sz w:val="24"/>
      <w:lang w:val="en-GB" w:eastAsia="en-US"/>
    </w:rPr>
  </w:style>
  <w:style w:type="table" w:customStyle="1" w:styleId="TableGrid300">
    <w:name w:val="Table Grid30"/>
    <w:basedOn w:val="TableNormal"/>
    <w:next w:val="TableGrid"/>
    <w:rsid w:val="00A00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Ամփոփոթերթ"/>
    <w:basedOn w:val="Normal"/>
    <w:rsid w:val="00A00B8B"/>
    <w:pPr>
      <w:framePr w:wrap="around" w:vAnchor="text" w:hAnchor="text" w:y="1"/>
      <w:numPr>
        <w:numId w:val="61"/>
      </w:numPr>
      <w:spacing w:before="0" w:line="240" w:lineRule="auto"/>
      <w:contextualSpacing w:val="0"/>
      <w:jc w:val="left"/>
    </w:pPr>
    <w:rPr>
      <w:rFonts w:ascii="Sylfaen" w:hAnsi="Sylfaen" w:cs="Sylfaen"/>
      <w:b w:val="0"/>
      <w:szCs w:val="22"/>
      <w:lang w:val="en-US" w:eastAsia="en-US"/>
    </w:rPr>
  </w:style>
  <w:style w:type="paragraph" w:customStyle="1" w:styleId="GHM">
    <w:name w:val="GHM"/>
    <w:rsid w:val="00A00B8B"/>
    <w:rPr>
      <w:rFonts w:ascii="GHEA Mariam" w:hAnsi="GHEA Mariam"/>
      <w:sz w:val="24"/>
      <w:szCs w:val="24"/>
      <w:lang w:val="hy-AM"/>
    </w:rPr>
  </w:style>
  <w:style w:type="paragraph" w:customStyle="1" w:styleId="Charb">
    <w:name w:val="Char"/>
    <w:basedOn w:val="Normal"/>
    <w:locked/>
    <w:rsid w:val="00A00B8B"/>
    <w:pPr>
      <w:spacing w:before="0" w:after="160" w:line="240" w:lineRule="auto"/>
      <w:ind w:firstLine="0"/>
      <w:contextualSpacing w:val="0"/>
      <w:jc w:val="left"/>
    </w:pPr>
    <w:rPr>
      <w:rFonts w:ascii="Verdana" w:eastAsia="Batang" w:hAnsi="Verdana" w:cs="Verdana"/>
      <w:b w:val="0"/>
      <w:sz w:val="24"/>
      <w:lang w:val="en-GB"/>
    </w:rPr>
  </w:style>
  <w:style w:type="table" w:customStyle="1" w:styleId="TableGrid340">
    <w:name w:val="Table Grid34"/>
    <w:basedOn w:val="TableNormal"/>
    <w:next w:val="TableGrid"/>
    <w:uiPriority w:val="39"/>
    <w:rsid w:val="00836C0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4E12E8"/>
  </w:style>
  <w:style w:type="table" w:customStyle="1" w:styleId="TableGrid350">
    <w:name w:val="Table Grid35"/>
    <w:basedOn w:val="TableNormal"/>
    <w:next w:val="TableGrid"/>
    <w:uiPriority w:val="39"/>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9">
    <w:name w:val="Table List 79"/>
    <w:basedOn w:val="TableNormal"/>
    <w:next w:val="TableList7"/>
    <w:rsid w:val="004E12E8"/>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9">
    <w:name w:val="Table Web 39"/>
    <w:basedOn w:val="TableNormal"/>
    <w:next w:val="TableWeb3"/>
    <w:rsid w:val="004E12E8"/>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9">
    <w:name w:val="Table Elegant9"/>
    <w:basedOn w:val="TableNormal"/>
    <w:next w:val="TableElegant"/>
    <w:rsid w:val="004E12E8"/>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9">
    <w:name w:val="Table Web 29"/>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9">
    <w:name w:val="Table Web 19"/>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9">
    <w:name w:val="Table Grid 89"/>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9">
    <w:name w:val="Table Contemporary9"/>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34">
    <w:name w:val="No List134"/>
    <w:next w:val="NoList"/>
    <w:semiHidden/>
    <w:unhideWhenUsed/>
    <w:rsid w:val="004E12E8"/>
  </w:style>
  <w:style w:type="numbering" w:customStyle="1" w:styleId="NoList218">
    <w:name w:val="No List218"/>
    <w:next w:val="NoList"/>
    <w:semiHidden/>
    <w:unhideWhenUsed/>
    <w:rsid w:val="004E12E8"/>
  </w:style>
  <w:style w:type="numbering" w:customStyle="1" w:styleId="NoList317">
    <w:name w:val="No List317"/>
    <w:next w:val="NoList"/>
    <w:semiHidden/>
    <w:unhideWhenUsed/>
    <w:rsid w:val="004E12E8"/>
  </w:style>
  <w:style w:type="table" w:customStyle="1" w:styleId="LightList-Accent128">
    <w:name w:val="Light List - Accent 128"/>
    <w:basedOn w:val="TableNormal"/>
    <w:next w:val="LightList-Accent1"/>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9">
    <w:name w:val="Table Grid 79"/>
    <w:basedOn w:val="TableNormal"/>
    <w:next w:val="TableGrid7"/>
    <w:rsid w:val="004E12E8"/>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0">
    <w:name w:val="Colorful Grid - Accent 110"/>
    <w:basedOn w:val="TableNormal"/>
    <w:next w:val="ColorfulGrid-Accent1"/>
    <w:uiPriority w:val="73"/>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9">
    <w:name w:val="Light List - Accent 519"/>
    <w:basedOn w:val="TableNormal"/>
    <w:next w:val="LightList-Accent5"/>
    <w:uiPriority w:val="61"/>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9">
    <w:name w:val="Table Simple 39"/>
    <w:basedOn w:val="TableNormal"/>
    <w:next w:val="TableSimple3"/>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9">
    <w:name w:val="Table Grid 59"/>
    <w:basedOn w:val="TableNormal"/>
    <w:next w:val="TableGrid5"/>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9">
    <w:name w:val="Table Grid 39"/>
    <w:basedOn w:val="TableNormal"/>
    <w:next w:val="TableGrid3"/>
    <w:rsid w:val="004E12E8"/>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90">
    <w:name w:val="Table Grid 19"/>
    <w:basedOn w:val="TableNormal"/>
    <w:next w:val="TableGrid10"/>
    <w:rsid w:val="004E12E8"/>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9">
    <w:name w:val="Table Columns 59"/>
    <w:basedOn w:val="TableNormal"/>
    <w:next w:val="TableColumns5"/>
    <w:rsid w:val="004E12E8"/>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5">
    <w:name w:val="Light List - Accent 1115"/>
    <w:basedOn w:val="TableNormal"/>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00">
    <w:name w:val="Нет списка110"/>
    <w:next w:val="NoList"/>
    <w:semiHidden/>
    <w:unhideWhenUsed/>
    <w:rsid w:val="004E12E8"/>
  </w:style>
  <w:style w:type="table" w:customStyle="1" w:styleId="ColorfulGrid-Accent119">
    <w:name w:val="Colorful Grid - Accent 119"/>
    <w:basedOn w:val="TableNormal"/>
    <w:rsid w:val="004E12E8"/>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0">
    <w:name w:val="Light List - Accent 5110"/>
    <w:basedOn w:val="TableNormal"/>
    <w:rsid w:val="004E12E8"/>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5">
    <w:name w:val="No List415"/>
    <w:next w:val="NoList"/>
    <w:semiHidden/>
    <w:rsid w:val="004E12E8"/>
  </w:style>
  <w:style w:type="numbering" w:customStyle="1" w:styleId="NoList1126">
    <w:name w:val="No List1126"/>
    <w:next w:val="NoList"/>
    <w:semiHidden/>
    <w:unhideWhenUsed/>
    <w:rsid w:val="004E12E8"/>
  </w:style>
  <w:style w:type="table" w:customStyle="1" w:styleId="Table3Deffects39">
    <w:name w:val="Table 3D effects 39"/>
    <w:basedOn w:val="TableNormal"/>
    <w:next w:val="Table3Deffects3"/>
    <w:rsid w:val="004E12E8"/>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
    <w:name w:val="Нет списка119"/>
    <w:next w:val="NoList"/>
    <w:semiHidden/>
    <w:unhideWhenUsed/>
    <w:rsid w:val="004E12E8"/>
  </w:style>
  <w:style w:type="table" w:customStyle="1" w:styleId="TableGrid116">
    <w:name w:val="Table Grid116"/>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9">
    <w:name w:val="No List59"/>
    <w:next w:val="NoList"/>
    <w:uiPriority w:val="99"/>
    <w:semiHidden/>
    <w:rsid w:val="004E12E8"/>
  </w:style>
  <w:style w:type="numbering" w:customStyle="1" w:styleId="NoList64">
    <w:name w:val="No List64"/>
    <w:next w:val="NoList"/>
    <w:uiPriority w:val="99"/>
    <w:semiHidden/>
    <w:unhideWhenUsed/>
    <w:rsid w:val="004E12E8"/>
  </w:style>
  <w:style w:type="table" w:customStyle="1" w:styleId="TableGrid214">
    <w:name w:val="Table Grid214"/>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4">
    <w:name w:val="No List74"/>
    <w:next w:val="NoList"/>
    <w:uiPriority w:val="99"/>
    <w:semiHidden/>
    <w:unhideWhenUsed/>
    <w:rsid w:val="004E12E8"/>
  </w:style>
  <w:style w:type="numbering" w:customStyle="1" w:styleId="NoList1214">
    <w:name w:val="No List1214"/>
    <w:next w:val="NoList"/>
    <w:uiPriority w:val="99"/>
    <w:semiHidden/>
    <w:unhideWhenUsed/>
    <w:rsid w:val="004E12E8"/>
  </w:style>
  <w:style w:type="table" w:customStyle="1" w:styleId="TableGrid360">
    <w:name w:val="Table Grid36"/>
    <w:basedOn w:val="TableNormal"/>
    <w:next w:val="TableGrid"/>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4">
    <w:name w:val="Table Web 214"/>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4">
    <w:name w:val="Table Web 114"/>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4">
    <w:name w:val="Table Contemporary14"/>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4">
    <w:name w:val="Colorful Grid - Accent 124"/>
    <w:basedOn w:val="TableNormal"/>
    <w:next w:val="ColorfulGrid-Accent1"/>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4">
    <w:name w:val="Light List - Accent 524"/>
    <w:basedOn w:val="TableNormal"/>
    <w:next w:val="LightList-Accent5"/>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4">
    <w:name w:val="No List84"/>
    <w:next w:val="NoList"/>
    <w:uiPriority w:val="99"/>
    <w:semiHidden/>
    <w:unhideWhenUsed/>
    <w:rsid w:val="004E12E8"/>
  </w:style>
  <w:style w:type="numbering" w:customStyle="1" w:styleId="1240">
    <w:name w:val="Нет списка124"/>
    <w:next w:val="NoList"/>
    <w:uiPriority w:val="99"/>
    <w:semiHidden/>
    <w:unhideWhenUsed/>
    <w:rsid w:val="004E12E8"/>
  </w:style>
  <w:style w:type="numbering" w:customStyle="1" w:styleId="NoList135">
    <w:name w:val="No List135"/>
    <w:next w:val="NoList"/>
    <w:semiHidden/>
    <w:unhideWhenUsed/>
    <w:rsid w:val="004E12E8"/>
  </w:style>
  <w:style w:type="numbering" w:customStyle="1" w:styleId="NoList219">
    <w:name w:val="No List219"/>
    <w:next w:val="NoList"/>
    <w:semiHidden/>
    <w:unhideWhenUsed/>
    <w:rsid w:val="004E12E8"/>
  </w:style>
  <w:style w:type="numbering" w:customStyle="1" w:styleId="NoList318">
    <w:name w:val="No List318"/>
    <w:next w:val="NoList"/>
    <w:semiHidden/>
    <w:unhideWhenUsed/>
    <w:rsid w:val="004E12E8"/>
  </w:style>
  <w:style w:type="numbering" w:customStyle="1" w:styleId="1114">
    <w:name w:val="Нет списка1114"/>
    <w:next w:val="NoList"/>
    <w:semiHidden/>
    <w:unhideWhenUsed/>
    <w:rsid w:val="004E12E8"/>
  </w:style>
  <w:style w:type="numbering" w:customStyle="1" w:styleId="NoList416">
    <w:name w:val="No List416"/>
    <w:next w:val="NoList"/>
    <w:semiHidden/>
    <w:rsid w:val="004E12E8"/>
  </w:style>
  <w:style w:type="numbering" w:customStyle="1" w:styleId="NoList11117">
    <w:name w:val="No List11117"/>
    <w:next w:val="NoList"/>
    <w:semiHidden/>
    <w:unhideWhenUsed/>
    <w:rsid w:val="004E12E8"/>
  </w:style>
  <w:style w:type="numbering" w:customStyle="1" w:styleId="11113">
    <w:name w:val="Нет списка11113"/>
    <w:next w:val="NoList"/>
    <w:semiHidden/>
    <w:unhideWhenUsed/>
    <w:rsid w:val="004E12E8"/>
  </w:style>
  <w:style w:type="numbering" w:customStyle="1" w:styleId="NoList94">
    <w:name w:val="No List94"/>
    <w:next w:val="NoList"/>
    <w:uiPriority w:val="99"/>
    <w:semiHidden/>
    <w:unhideWhenUsed/>
    <w:rsid w:val="004E12E8"/>
  </w:style>
  <w:style w:type="table" w:customStyle="1" w:styleId="TableGrid44">
    <w:name w:val="Table Grid44"/>
    <w:basedOn w:val="TableNormal"/>
    <w:next w:val="TableGrid"/>
    <w:uiPriority w:val="39"/>
    <w:rsid w:val="004E12E8"/>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3">
    <w:name w:val="Grid Table 1 Light - Accent 513"/>
    <w:basedOn w:val="TableNormal"/>
    <w:uiPriority w:val="46"/>
    <w:rsid w:val="004E12E8"/>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2">
    <w:name w:val="Plain Table 312"/>
    <w:basedOn w:val="TableNormal"/>
    <w:uiPriority w:val="43"/>
    <w:rsid w:val="004E12E8"/>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2">
    <w:name w:val="Grid Table 4 - Accent 112"/>
    <w:basedOn w:val="TableNormal"/>
    <w:uiPriority w:val="49"/>
    <w:rsid w:val="004E12E8"/>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4">
    <w:name w:val="No List104"/>
    <w:next w:val="NoList"/>
    <w:uiPriority w:val="99"/>
    <w:semiHidden/>
    <w:unhideWhenUsed/>
    <w:rsid w:val="004E12E8"/>
  </w:style>
  <w:style w:type="table" w:customStyle="1" w:styleId="TableGrid540">
    <w:name w:val="Table Grid54"/>
    <w:basedOn w:val="TableNormal"/>
    <w:next w:val="TableGrid"/>
    <w:uiPriority w:val="39"/>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4">
    <w:name w:val="Table List 714"/>
    <w:basedOn w:val="TableNormal"/>
    <w:next w:val="TableList7"/>
    <w:rsid w:val="004E12E8"/>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4">
    <w:name w:val="Table Web 314"/>
    <w:basedOn w:val="TableNormal"/>
    <w:next w:val="TableWeb3"/>
    <w:rsid w:val="004E12E8"/>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4">
    <w:name w:val="Table Elegant14"/>
    <w:basedOn w:val="TableNormal"/>
    <w:next w:val="TableElegant"/>
    <w:rsid w:val="004E12E8"/>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4">
    <w:name w:val="Table Web 224"/>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4">
    <w:name w:val="Table Web 124"/>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4">
    <w:name w:val="Table Grid 824"/>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4">
    <w:name w:val="Table Contemporary24"/>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4">
    <w:name w:val="No List144"/>
    <w:next w:val="NoList"/>
    <w:semiHidden/>
    <w:unhideWhenUsed/>
    <w:rsid w:val="004E12E8"/>
  </w:style>
  <w:style w:type="numbering" w:customStyle="1" w:styleId="NoList224">
    <w:name w:val="No List224"/>
    <w:next w:val="NoList"/>
    <w:semiHidden/>
    <w:unhideWhenUsed/>
    <w:rsid w:val="004E12E8"/>
  </w:style>
  <w:style w:type="numbering" w:customStyle="1" w:styleId="NoList324">
    <w:name w:val="No List324"/>
    <w:next w:val="NoList"/>
    <w:semiHidden/>
    <w:unhideWhenUsed/>
    <w:rsid w:val="004E12E8"/>
  </w:style>
  <w:style w:type="table" w:customStyle="1" w:styleId="LightList-Accent129">
    <w:name w:val="Light List - Accent 129"/>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4">
    <w:name w:val="Table Grid 714"/>
    <w:basedOn w:val="TableNormal"/>
    <w:next w:val="TableGrid7"/>
    <w:rsid w:val="004E12E8"/>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4">
    <w:name w:val="Colorful Grid - Accent 134"/>
    <w:basedOn w:val="TableNormal"/>
    <w:next w:val="ColorfulGrid-Accent1"/>
    <w:uiPriority w:val="73"/>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4">
    <w:name w:val="Light List - Accent 534"/>
    <w:basedOn w:val="TableNormal"/>
    <w:next w:val="LightList-Accent5"/>
    <w:uiPriority w:val="61"/>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4">
    <w:name w:val="Table Simple 314"/>
    <w:basedOn w:val="TableNormal"/>
    <w:next w:val="TableSimple3"/>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4">
    <w:name w:val="Table Grid 514"/>
    <w:basedOn w:val="TableNormal"/>
    <w:next w:val="TableGrid5"/>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4">
    <w:name w:val="Table Grid 314"/>
    <w:basedOn w:val="TableNormal"/>
    <w:next w:val="TableGrid3"/>
    <w:rsid w:val="004E12E8"/>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40">
    <w:name w:val="Table Grid 114"/>
    <w:basedOn w:val="TableNormal"/>
    <w:next w:val="TableGrid10"/>
    <w:rsid w:val="004E12E8"/>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4">
    <w:name w:val="Table Columns 514"/>
    <w:basedOn w:val="TableNormal"/>
    <w:next w:val="TableColumns5"/>
    <w:rsid w:val="004E12E8"/>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6">
    <w:name w:val="Light List - Accent 1116"/>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4">
    <w:name w:val="Нет списка134"/>
    <w:next w:val="NoList"/>
    <w:semiHidden/>
    <w:unhideWhenUsed/>
    <w:rsid w:val="004E12E8"/>
  </w:style>
  <w:style w:type="table" w:customStyle="1" w:styleId="ColorfulGrid-Accent1114">
    <w:name w:val="Colorful Grid - Accent 1114"/>
    <w:basedOn w:val="TableNormal"/>
    <w:rsid w:val="004E12E8"/>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4">
    <w:name w:val="Light List - Accent 5114"/>
    <w:basedOn w:val="TableNormal"/>
    <w:rsid w:val="004E12E8"/>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4">
    <w:name w:val="No List424"/>
    <w:next w:val="NoList"/>
    <w:semiHidden/>
    <w:rsid w:val="004E12E8"/>
  </w:style>
  <w:style w:type="numbering" w:customStyle="1" w:styleId="NoList1127">
    <w:name w:val="No List1127"/>
    <w:next w:val="NoList"/>
    <w:semiHidden/>
    <w:unhideWhenUsed/>
    <w:rsid w:val="004E12E8"/>
  </w:style>
  <w:style w:type="table" w:customStyle="1" w:styleId="Table3Deffects314">
    <w:name w:val="Table 3D effects 314"/>
    <w:basedOn w:val="TableNormal"/>
    <w:next w:val="Table3Deffects3"/>
    <w:rsid w:val="004E12E8"/>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NoList"/>
    <w:semiHidden/>
    <w:unhideWhenUsed/>
    <w:rsid w:val="004E12E8"/>
  </w:style>
  <w:style w:type="table" w:customStyle="1" w:styleId="TableGrid117">
    <w:name w:val="Table Grid117"/>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4">
    <w:name w:val="No List514"/>
    <w:next w:val="NoList"/>
    <w:uiPriority w:val="99"/>
    <w:semiHidden/>
    <w:rsid w:val="004E12E8"/>
  </w:style>
  <w:style w:type="numbering" w:customStyle="1" w:styleId="NoList613">
    <w:name w:val="No List613"/>
    <w:next w:val="NoList"/>
    <w:uiPriority w:val="99"/>
    <w:semiHidden/>
    <w:unhideWhenUsed/>
    <w:rsid w:val="004E12E8"/>
  </w:style>
  <w:style w:type="table" w:customStyle="1" w:styleId="TableGrid215">
    <w:name w:val="Table Grid215"/>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3">
    <w:name w:val="No List713"/>
    <w:next w:val="NoList"/>
    <w:uiPriority w:val="99"/>
    <w:semiHidden/>
    <w:unhideWhenUsed/>
    <w:rsid w:val="004E12E8"/>
  </w:style>
  <w:style w:type="numbering" w:customStyle="1" w:styleId="NoList1215">
    <w:name w:val="No List1215"/>
    <w:next w:val="NoList"/>
    <w:uiPriority w:val="99"/>
    <w:semiHidden/>
    <w:unhideWhenUsed/>
    <w:rsid w:val="004E12E8"/>
  </w:style>
  <w:style w:type="table" w:customStyle="1" w:styleId="TableGrid3130">
    <w:name w:val="Table Grid313"/>
    <w:basedOn w:val="TableNormal"/>
    <w:next w:val="TableGrid"/>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3">
    <w:name w:val="Table Web 2113"/>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3">
    <w:name w:val="Table Web 1113"/>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3">
    <w:name w:val="Table Grid 8113"/>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3">
    <w:name w:val="Table Contemporary113"/>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3">
    <w:name w:val="Colorful Grid - Accent 1213"/>
    <w:basedOn w:val="TableNormal"/>
    <w:next w:val="ColorfulGrid-Accent1"/>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3">
    <w:name w:val="Light List - Accent 5213"/>
    <w:basedOn w:val="TableNormal"/>
    <w:next w:val="LightList-Accent5"/>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3">
    <w:name w:val="No List813"/>
    <w:next w:val="NoList"/>
    <w:uiPriority w:val="99"/>
    <w:semiHidden/>
    <w:unhideWhenUsed/>
    <w:rsid w:val="004E12E8"/>
  </w:style>
  <w:style w:type="numbering" w:customStyle="1" w:styleId="1213">
    <w:name w:val="Нет списка1213"/>
    <w:next w:val="NoList"/>
    <w:uiPriority w:val="99"/>
    <w:semiHidden/>
    <w:unhideWhenUsed/>
    <w:rsid w:val="004E12E8"/>
  </w:style>
  <w:style w:type="numbering" w:customStyle="1" w:styleId="NoList1313">
    <w:name w:val="No List1313"/>
    <w:next w:val="NoList"/>
    <w:semiHidden/>
    <w:unhideWhenUsed/>
    <w:rsid w:val="004E12E8"/>
  </w:style>
  <w:style w:type="numbering" w:customStyle="1" w:styleId="NoList2114">
    <w:name w:val="No List2114"/>
    <w:next w:val="NoList"/>
    <w:semiHidden/>
    <w:unhideWhenUsed/>
    <w:rsid w:val="004E12E8"/>
  </w:style>
  <w:style w:type="numbering" w:customStyle="1" w:styleId="NoList3114">
    <w:name w:val="No List3114"/>
    <w:next w:val="NoList"/>
    <w:semiHidden/>
    <w:unhideWhenUsed/>
    <w:rsid w:val="004E12E8"/>
  </w:style>
  <w:style w:type="numbering" w:customStyle="1" w:styleId="11122">
    <w:name w:val="Нет списка11122"/>
    <w:next w:val="NoList"/>
    <w:semiHidden/>
    <w:unhideWhenUsed/>
    <w:rsid w:val="004E12E8"/>
  </w:style>
  <w:style w:type="numbering" w:customStyle="1" w:styleId="NoList4113">
    <w:name w:val="No List4113"/>
    <w:next w:val="NoList"/>
    <w:semiHidden/>
    <w:rsid w:val="004E12E8"/>
  </w:style>
  <w:style w:type="numbering" w:customStyle="1" w:styleId="NoList11118">
    <w:name w:val="No List11118"/>
    <w:next w:val="NoList"/>
    <w:semiHidden/>
    <w:unhideWhenUsed/>
    <w:rsid w:val="004E12E8"/>
  </w:style>
  <w:style w:type="numbering" w:customStyle="1" w:styleId="111112">
    <w:name w:val="Нет списка111112"/>
    <w:next w:val="NoList"/>
    <w:semiHidden/>
    <w:unhideWhenUsed/>
    <w:rsid w:val="004E12E8"/>
  </w:style>
  <w:style w:type="table" w:customStyle="1" w:styleId="TableGrid64">
    <w:name w:val="Table Grid64"/>
    <w:basedOn w:val="TableNormal"/>
    <w:next w:val="TableGrid"/>
    <w:uiPriority w:val="39"/>
    <w:rsid w:val="004E12E8"/>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2">
    <w:name w:val="Grid Table 1 Light - Accent 5112"/>
    <w:basedOn w:val="TableNormal"/>
    <w:uiPriority w:val="46"/>
    <w:rsid w:val="004E12E8"/>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4">
    <w:name w:val="Table Grid224"/>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0">
    <w:name w:val="Table Grid7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 Grid8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4E12E8"/>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111">
    <w:name w:val="Grid Table 1 Light - Accent 51111"/>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3">
    <w:name w:val="Table Grid22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9032E3"/>
  </w:style>
  <w:style w:type="table" w:customStyle="1" w:styleId="TableGrid370">
    <w:name w:val="Table Grid37"/>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
    <w:name w:val="Medium Grid 3 - Accent 12"/>
    <w:basedOn w:val="TableNormal"/>
    <w:next w:val="MediumGrid3-Accent1"/>
    <w:uiPriority w:val="69"/>
    <w:rsid w:val="009032E3"/>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6">
    <w:name w:val="No List136"/>
    <w:next w:val="NoList"/>
    <w:uiPriority w:val="99"/>
    <w:semiHidden/>
    <w:unhideWhenUsed/>
    <w:rsid w:val="009032E3"/>
  </w:style>
  <w:style w:type="table" w:customStyle="1" w:styleId="TableGrid118">
    <w:name w:val="Table Grid118"/>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5">
    <w:name w:val="Table List 715"/>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5">
    <w:name w:val="Table Web 315"/>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5">
    <w:name w:val="Table Elegant15"/>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5">
    <w:name w:val="Table Web 115"/>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5">
    <w:name w:val="Table Grid 815"/>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5">
    <w:name w:val="Table Contemporary15"/>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8">
    <w:name w:val="No List1128"/>
    <w:next w:val="NoList"/>
    <w:semiHidden/>
    <w:unhideWhenUsed/>
    <w:rsid w:val="009032E3"/>
  </w:style>
  <w:style w:type="numbering" w:customStyle="1" w:styleId="NoList220">
    <w:name w:val="No List220"/>
    <w:next w:val="NoList"/>
    <w:semiHidden/>
    <w:unhideWhenUsed/>
    <w:rsid w:val="009032E3"/>
  </w:style>
  <w:style w:type="numbering" w:customStyle="1" w:styleId="NoList319">
    <w:name w:val="No List319"/>
    <w:next w:val="NoList"/>
    <w:semiHidden/>
    <w:unhideWhenUsed/>
    <w:rsid w:val="009032E3"/>
  </w:style>
  <w:style w:type="table" w:customStyle="1" w:styleId="LightList-Accent1117">
    <w:name w:val="Light List - Accent 1117"/>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5">
    <w:name w:val="Table Grid 715"/>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10">
    <w:name w:val="Colorful Grid - Accent 1110"/>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5">
    <w:name w:val="Light List - Accent 511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5">
    <w:name w:val="Table Simple 315"/>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5">
    <w:name w:val="Table Grid 515"/>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5">
    <w:name w:val="Table Grid 315"/>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50">
    <w:name w:val="Table Grid 115"/>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5">
    <w:name w:val="Table Columns 515"/>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200">
    <w:name w:val="Нет списка120"/>
    <w:next w:val="NoList"/>
    <w:semiHidden/>
    <w:unhideWhenUsed/>
    <w:rsid w:val="009032E3"/>
  </w:style>
  <w:style w:type="numbering" w:customStyle="1" w:styleId="NoList417">
    <w:name w:val="No List417"/>
    <w:next w:val="NoList"/>
    <w:semiHidden/>
    <w:rsid w:val="009032E3"/>
  </w:style>
  <w:style w:type="numbering" w:customStyle="1" w:styleId="NoList11119">
    <w:name w:val="No List11119"/>
    <w:next w:val="NoList"/>
    <w:semiHidden/>
    <w:unhideWhenUsed/>
    <w:rsid w:val="009032E3"/>
  </w:style>
  <w:style w:type="table" w:customStyle="1" w:styleId="Table3Deffects315">
    <w:name w:val="Table 3D effects 315"/>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NoList"/>
    <w:semiHidden/>
    <w:unhideWhenUsed/>
    <w:rsid w:val="009032E3"/>
  </w:style>
  <w:style w:type="table" w:customStyle="1" w:styleId="TableGrid119">
    <w:name w:val="Table Grid119"/>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0">
    <w:name w:val="No List510"/>
    <w:next w:val="NoList"/>
    <w:uiPriority w:val="99"/>
    <w:semiHidden/>
    <w:rsid w:val="009032E3"/>
  </w:style>
  <w:style w:type="numbering" w:customStyle="1" w:styleId="NoList65">
    <w:name w:val="No List65"/>
    <w:next w:val="NoList"/>
    <w:uiPriority w:val="99"/>
    <w:semiHidden/>
    <w:unhideWhenUsed/>
    <w:rsid w:val="009032E3"/>
  </w:style>
  <w:style w:type="table" w:customStyle="1" w:styleId="TableGrid216">
    <w:name w:val="Table Grid216"/>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5">
    <w:name w:val="No List75"/>
    <w:next w:val="NoList"/>
    <w:uiPriority w:val="99"/>
    <w:semiHidden/>
    <w:unhideWhenUsed/>
    <w:rsid w:val="009032E3"/>
  </w:style>
  <w:style w:type="numbering" w:customStyle="1" w:styleId="NoList1216">
    <w:name w:val="No List1216"/>
    <w:next w:val="NoList"/>
    <w:uiPriority w:val="99"/>
    <w:semiHidden/>
    <w:unhideWhenUsed/>
    <w:rsid w:val="009032E3"/>
  </w:style>
  <w:style w:type="table" w:customStyle="1" w:styleId="TableGrid380">
    <w:name w:val="Table Grid38"/>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5">
    <w:name w:val="Colorful Grid - Accent 125"/>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5">
    <w:name w:val="Light List - Accent 52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5">
    <w:name w:val="No List85"/>
    <w:next w:val="NoList"/>
    <w:uiPriority w:val="99"/>
    <w:semiHidden/>
    <w:unhideWhenUsed/>
    <w:rsid w:val="009032E3"/>
  </w:style>
  <w:style w:type="numbering" w:customStyle="1" w:styleId="125">
    <w:name w:val="Нет списка125"/>
    <w:next w:val="NoList"/>
    <w:uiPriority w:val="99"/>
    <w:semiHidden/>
    <w:unhideWhenUsed/>
    <w:rsid w:val="009032E3"/>
  </w:style>
  <w:style w:type="numbering" w:customStyle="1" w:styleId="NoList137">
    <w:name w:val="No List137"/>
    <w:next w:val="NoList"/>
    <w:semiHidden/>
    <w:unhideWhenUsed/>
    <w:rsid w:val="009032E3"/>
  </w:style>
  <w:style w:type="numbering" w:customStyle="1" w:styleId="NoList2110">
    <w:name w:val="No List2110"/>
    <w:next w:val="NoList"/>
    <w:semiHidden/>
    <w:unhideWhenUsed/>
    <w:rsid w:val="009032E3"/>
  </w:style>
  <w:style w:type="numbering" w:customStyle="1" w:styleId="NoList3110">
    <w:name w:val="No List3110"/>
    <w:next w:val="NoList"/>
    <w:semiHidden/>
    <w:unhideWhenUsed/>
    <w:rsid w:val="009032E3"/>
  </w:style>
  <w:style w:type="numbering" w:customStyle="1" w:styleId="1115">
    <w:name w:val="Нет списка1115"/>
    <w:next w:val="NoList"/>
    <w:semiHidden/>
    <w:unhideWhenUsed/>
    <w:rsid w:val="009032E3"/>
  </w:style>
  <w:style w:type="numbering" w:customStyle="1" w:styleId="NoList418">
    <w:name w:val="No List418"/>
    <w:next w:val="NoList"/>
    <w:semiHidden/>
    <w:rsid w:val="009032E3"/>
  </w:style>
  <w:style w:type="numbering" w:customStyle="1" w:styleId="NoList111110">
    <w:name w:val="No List111110"/>
    <w:next w:val="NoList"/>
    <w:semiHidden/>
    <w:unhideWhenUsed/>
    <w:rsid w:val="009032E3"/>
  </w:style>
  <w:style w:type="numbering" w:customStyle="1" w:styleId="11114">
    <w:name w:val="Нет списка11114"/>
    <w:next w:val="NoList"/>
    <w:semiHidden/>
    <w:unhideWhenUsed/>
    <w:rsid w:val="009032E3"/>
  </w:style>
  <w:style w:type="numbering" w:customStyle="1" w:styleId="NoList95">
    <w:name w:val="No List95"/>
    <w:next w:val="NoList"/>
    <w:uiPriority w:val="99"/>
    <w:semiHidden/>
    <w:unhideWhenUsed/>
    <w:rsid w:val="009032E3"/>
  </w:style>
  <w:style w:type="table" w:customStyle="1" w:styleId="TableGrid45">
    <w:name w:val="Table Grid45"/>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4">
    <w:name w:val="Grid Table 1 Light - Accent 514"/>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3">
    <w:name w:val="Plain Table 313"/>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3">
    <w:name w:val="Grid Table 4 - Accent 113"/>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5">
    <w:name w:val="No List105"/>
    <w:next w:val="NoList"/>
    <w:uiPriority w:val="99"/>
    <w:semiHidden/>
    <w:unhideWhenUsed/>
    <w:rsid w:val="009032E3"/>
  </w:style>
  <w:style w:type="table" w:customStyle="1" w:styleId="TableGrid550">
    <w:name w:val="Table Grid55"/>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3">
    <w:name w:val="Table List 7113"/>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3">
    <w:name w:val="Table Web 3113"/>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3">
    <w:name w:val="Table Elegant113"/>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5">
    <w:name w:val="Table Web 225"/>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5">
    <w:name w:val="Table Web 125"/>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5">
    <w:name w:val="Table Grid 825"/>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5">
    <w:name w:val="Table Contemporary25"/>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5">
    <w:name w:val="No List145"/>
    <w:next w:val="NoList"/>
    <w:semiHidden/>
    <w:unhideWhenUsed/>
    <w:rsid w:val="009032E3"/>
  </w:style>
  <w:style w:type="numbering" w:customStyle="1" w:styleId="NoList225">
    <w:name w:val="No List225"/>
    <w:next w:val="NoList"/>
    <w:semiHidden/>
    <w:unhideWhenUsed/>
    <w:rsid w:val="009032E3"/>
  </w:style>
  <w:style w:type="numbering" w:customStyle="1" w:styleId="NoList325">
    <w:name w:val="No List325"/>
    <w:next w:val="NoList"/>
    <w:semiHidden/>
    <w:unhideWhenUsed/>
    <w:rsid w:val="009032E3"/>
  </w:style>
  <w:style w:type="table" w:customStyle="1" w:styleId="LightList-Accent1210">
    <w:name w:val="Light List - Accent 1210"/>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3">
    <w:name w:val="Table Grid 7113"/>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5">
    <w:name w:val="Colorful Grid - Accent 135"/>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5">
    <w:name w:val="Light List - Accent 535"/>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3">
    <w:name w:val="Table Simple 3113"/>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3">
    <w:name w:val="Table Grid 5113"/>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3">
    <w:name w:val="Table Grid 3113"/>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30">
    <w:name w:val="Table Grid 1113"/>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3">
    <w:name w:val="Table Columns 5113"/>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8">
    <w:name w:val="Light List - Accent 1118"/>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5">
    <w:name w:val="Нет списка135"/>
    <w:next w:val="NoList"/>
    <w:semiHidden/>
    <w:unhideWhenUsed/>
    <w:rsid w:val="009032E3"/>
  </w:style>
  <w:style w:type="table" w:customStyle="1" w:styleId="ColorfulGrid-Accent1115">
    <w:name w:val="Colorful Grid - Accent 1115"/>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6">
    <w:name w:val="Light List - Accent 5116"/>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5">
    <w:name w:val="No List425"/>
    <w:next w:val="NoList"/>
    <w:semiHidden/>
    <w:rsid w:val="009032E3"/>
  </w:style>
  <w:style w:type="numbering" w:customStyle="1" w:styleId="NoList1129">
    <w:name w:val="No List1129"/>
    <w:next w:val="NoList"/>
    <w:semiHidden/>
    <w:unhideWhenUsed/>
    <w:rsid w:val="009032E3"/>
  </w:style>
  <w:style w:type="table" w:customStyle="1" w:styleId="Table3Deffects3113">
    <w:name w:val="Table 3D effects 3113"/>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5">
    <w:name w:val="Нет списка1125"/>
    <w:next w:val="NoList"/>
    <w:semiHidden/>
    <w:unhideWhenUsed/>
    <w:rsid w:val="009032E3"/>
  </w:style>
  <w:style w:type="table" w:customStyle="1" w:styleId="TableGrid1115">
    <w:name w:val="Table Grid1115"/>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5">
    <w:name w:val="No List515"/>
    <w:next w:val="NoList"/>
    <w:uiPriority w:val="99"/>
    <w:semiHidden/>
    <w:rsid w:val="009032E3"/>
  </w:style>
  <w:style w:type="numbering" w:customStyle="1" w:styleId="NoList614">
    <w:name w:val="No List614"/>
    <w:next w:val="NoList"/>
    <w:uiPriority w:val="99"/>
    <w:semiHidden/>
    <w:unhideWhenUsed/>
    <w:rsid w:val="009032E3"/>
  </w:style>
  <w:style w:type="table" w:customStyle="1" w:styleId="TableGrid217">
    <w:name w:val="Table Grid217"/>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4">
    <w:name w:val="No List714"/>
    <w:next w:val="NoList"/>
    <w:uiPriority w:val="99"/>
    <w:semiHidden/>
    <w:unhideWhenUsed/>
    <w:rsid w:val="009032E3"/>
  </w:style>
  <w:style w:type="numbering" w:customStyle="1" w:styleId="NoList1217">
    <w:name w:val="No List1217"/>
    <w:next w:val="NoList"/>
    <w:uiPriority w:val="99"/>
    <w:semiHidden/>
    <w:unhideWhenUsed/>
    <w:rsid w:val="009032E3"/>
  </w:style>
  <w:style w:type="table" w:customStyle="1" w:styleId="TableGrid3140">
    <w:name w:val="Table Grid314"/>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4">
    <w:name w:val="Table Web 2114"/>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4">
    <w:name w:val="Table Web 1114"/>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4">
    <w:name w:val="Table Grid 8114"/>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4">
    <w:name w:val="Table Contemporary114"/>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4">
    <w:name w:val="Colorful Grid - Accent 1214"/>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4">
    <w:name w:val="Light List - Accent 5214"/>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4">
    <w:name w:val="No List814"/>
    <w:next w:val="NoList"/>
    <w:uiPriority w:val="99"/>
    <w:semiHidden/>
    <w:unhideWhenUsed/>
    <w:rsid w:val="009032E3"/>
  </w:style>
  <w:style w:type="numbering" w:customStyle="1" w:styleId="1214">
    <w:name w:val="Нет списка1214"/>
    <w:next w:val="NoList"/>
    <w:uiPriority w:val="99"/>
    <w:semiHidden/>
    <w:unhideWhenUsed/>
    <w:rsid w:val="009032E3"/>
  </w:style>
  <w:style w:type="numbering" w:customStyle="1" w:styleId="NoList1314">
    <w:name w:val="No List1314"/>
    <w:next w:val="NoList"/>
    <w:semiHidden/>
    <w:unhideWhenUsed/>
    <w:rsid w:val="009032E3"/>
  </w:style>
  <w:style w:type="numbering" w:customStyle="1" w:styleId="NoList2115">
    <w:name w:val="No List2115"/>
    <w:next w:val="NoList"/>
    <w:semiHidden/>
    <w:unhideWhenUsed/>
    <w:rsid w:val="009032E3"/>
  </w:style>
  <w:style w:type="numbering" w:customStyle="1" w:styleId="NoList3115">
    <w:name w:val="No List3115"/>
    <w:next w:val="NoList"/>
    <w:semiHidden/>
    <w:unhideWhenUsed/>
    <w:rsid w:val="009032E3"/>
  </w:style>
  <w:style w:type="numbering" w:customStyle="1" w:styleId="11123">
    <w:name w:val="Нет списка11123"/>
    <w:next w:val="NoList"/>
    <w:semiHidden/>
    <w:unhideWhenUsed/>
    <w:rsid w:val="009032E3"/>
  </w:style>
  <w:style w:type="numbering" w:customStyle="1" w:styleId="NoList4114">
    <w:name w:val="No List4114"/>
    <w:next w:val="NoList"/>
    <w:semiHidden/>
    <w:rsid w:val="009032E3"/>
  </w:style>
  <w:style w:type="numbering" w:customStyle="1" w:styleId="NoList111114">
    <w:name w:val="No List111114"/>
    <w:next w:val="NoList"/>
    <w:semiHidden/>
    <w:unhideWhenUsed/>
    <w:rsid w:val="009032E3"/>
  </w:style>
  <w:style w:type="numbering" w:customStyle="1" w:styleId="111113">
    <w:name w:val="Нет списка111113"/>
    <w:next w:val="NoList"/>
    <w:semiHidden/>
    <w:unhideWhenUsed/>
    <w:rsid w:val="009032E3"/>
  </w:style>
  <w:style w:type="table" w:customStyle="1" w:styleId="TableGrid65">
    <w:name w:val="Table Grid65"/>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3">
    <w:name w:val="Grid Table 1 Light - Accent 5113"/>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5">
    <w:name w:val="Table Grid22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 Grid7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 Grid8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3">
    <w:name w:val="Grid Table 1 Light - Accent 113"/>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10">
    <w:name w:val="Table List 710"/>
    <w:basedOn w:val="TableNormal"/>
    <w:next w:val="TableList7"/>
    <w:uiPriority w:val="99"/>
    <w:semiHidden/>
    <w:unhideWhenUsed/>
    <w:rsid w:val="009032E3"/>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0">
    <w:name w:val="Table Web 310"/>
    <w:basedOn w:val="TableNormal"/>
    <w:next w:val="TableWeb3"/>
    <w:uiPriority w:val="99"/>
    <w:semiHidden/>
    <w:unhideWhenUsed/>
    <w:rsid w:val="009032E3"/>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0">
    <w:name w:val="Table Elegant10"/>
    <w:basedOn w:val="TableNormal"/>
    <w:next w:val="TableElegant"/>
    <w:uiPriority w:val="99"/>
    <w:semiHidden/>
    <w:unhideWhenUsed/>
    <w:rsid w:val="009032E3"/>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0">
    <w:name w:val="Table Web 210"/>
    <w:basedOn w:val="TableNormal"/>
    <w:next w:val="TableWeb2"/>
    <w:uiPriority w:val="99"/>
    <w:semiHidden/>
    <w:unhideWhenUsed/>
    <w:rsid w:val="009032E3"/>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0">
    <w:name w:val="Table Web 110"/>
    <w:basedOn w:val="TableNormal"/>
    <w:next w:val="TableWeb1"/>
    <w:uiPriority w:val="99"/>
    <w:semiHidden/>
    <w:unhideWhenUsed/>
    <w:rsid w:val="009032E3"/>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00">
    <w:name w:val="Table Grid 810"/>
    <w:basedOn w:val="TableNormal"/>
    <w:next w:val="TableGrid8"/>
    <w:uiPriority w:val="99"/>
    <w:semiHidden/>
    <w:unhideWhenUsed/>
    <w:rsid w:val="009032E3"/>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0">
    <w:name w:val="Table Contemporary10"/>
    <w:basedOn w:val="TableNormal"/>
    <w:next w:val="TableContemporary"/>
    <w:uiPriority w:val="99"/>
    <w:semiHidden/>
    <w:unhideWhenUsed/>
    <w:rsid w:val="009032E3"/>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0">
    <w:name w:val="Light List - Accent 130"/>
    <w:basedOn w:val="TableNormal"/>
    <w:next w:val="LightList-Accent1"/>
    <w:uiPriority w:val="61"/>
    <w:semiHidden/>
    <w:unhideWhenUsed/>
    <w:rsid w:val="009032E3"/>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100">
    <w:name w:val="Table Grid 710"/>
    <w:basedOn w:val="TableNormal"/>
    <w:next w:val="TableGrid7"/>
    <w:uiPriority w:val="99"/>
    <w:semiHidden/>
    <w:unhideWhenUsed/>
    <w:rsid w:val="009032E3"/>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0">
    <w:name w:val="Colorful Grid - Accent 120"/>
    <w:basedOn w:val="TableNormal"/>
    <w:next w:val="ColorfulGrid-Accent1"/>
    <w:uiPriority w:val="73"/>
    <w:semiHidden/>
    <w:unhideWhenUsed/>
    <w:rsid w:val="009032E3"/>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20">
    <w:name w:val="Light List - Accent 520"/>
    <w:basedOn w:val="TableNormal"/>
    <w:next w:val="LightList-Accent5"/>
    <w:uiPriority w:val="61"/>
    <w:semiHidden/>
    <w:unhideWhenUsed/>
    <w:rsid w:val="009032E3"/>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10">
    <w:name w:val="Table Simple 310"/>
    <w:basedOn w:val="TableNormal"/>
    <w:next w:val="TableSimple3"/>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00">
    <w:name w:val="Table Grid 510"/>
    <w:basedOn w:val="TableNormal"/>
    <w:next w:val="TableGrid5"/>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00">
    <w:name w:val="Table Grid 310"/>
    <w:basedOn w:val="TableNormal"/>
    <w:next w:val="TableGrid3"/>
    <w:uiPriority w:val="99"/>
    <w:semiHidden/>
    <w:unhideWhenUsed/>
    <w:rsid w:val="009032E3"/>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2">
    <w:name w:val="Table Grid 110"/>
    <w:basedOn w:val="TableNormal"/>
    <w:next w:val="TableGrid10"/>
    <w:uiPriority w:val="99"/>
    <w:semiHidden/>
    <w:unhideWhenUsed/>
    <w:rsid w:val="009032E3"/>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0">
    <w:name w:val="Table Columns 510"/>
    <w:basedOn w:val="TableNormal"/>
    <w:next w:val="TableColumns5"/>
    <w:uiPriority w:val="99"/>
    <w:semiHidden/>
    <w:unhideWhenUsed/>
    <w:rsid w:val="009032E3"/>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0">
    <w:name w:val="Table 3D effects 310"/>
    <w:basedOn w:val="TableNormal"/>
    <w:next w:val="Table3Deffects3"/>
    <w:uiPriority w:val="99"/>
    <w:semiHidden/>
    <w:unhideWhenUsed/>
    <w:rsid w:val="009032E3"/>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4">
    <w:name w:val="No List154"/>
    <w:next w:val="NoList"/>
    <w:uiPriority w:val="99"/>
    <w:semiHidden/>
    <w:unhideWhenUsed/>
    <w:rsid w:val="009032E3"/>
  </w:style>
  <w:style w:type="table" w:customStyle="1" w:styleId="TableGrid124">
    <w:name w:val="Table Grid124"/>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4">
    <w:name w:val="Table List 724"/>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4">
    <w:name w:val="Table Web 324"/>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4">
    <w:name w:val="Table Elegant24"/>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4">
    <w:name w:val="Table Web 234"/>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4">
    <w:name w:val="Table Web 134"/>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4">
    <w:name w:val="Table Grid 834"/>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4">
    <w:name w:val="Table Contemporary34"/>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4">
    <w:name w:val="No List164"/>
    <w:next w:val="NoList"/>
    <w:semiHidden/>
    <w:unhideWhenUsed/>
    <w:rsid w:val="009032E3"/>
  </w:style>
  <w:style w:type="numbering" w:customStyle="1" w:styleId="NoList234">
    <w:name w:val="No List234"/>
    <w:next w:val="NoList"/>
    <w:semiHidden/>
    <w:unhideWhenUsed/>
    <w:rsid w:val="009032E3"/>
  </w:style>
  <w:style w:type="numbering" w:customStyle="1" w:styleId="NoList334">
    <w:name w:val="No List334"/>
    <w:next w:val="NoList"/>
    <w:semiHidden/>
    <w:unhideWhenUsed/>
    <w:rsid w:val="009032E3"/>
  </w:style>
  <w:style w:type="table" w:customStyle="1" w:styleId="LightList-Accent134">
    <w:name w:val="Light List - Accent 134"/>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4">
    <w:name w:val="Table Grid 724"/>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4">
    <w:name w:val="Colorful Grid - Accent 144"/>
    <w:basedOn w:val="TableNormal"/>
    <w:next w:val="ColorfulGrid-Accent1"/>
    <w:uiPriority w:val="73"/>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4">
    <w:name w:val="Light List - Accent 544"/>
    <w:basedOn w:val="TableNormal"/>
    <w:next w:val="LightList-Accent5"/>
    <w:uiPriority w:val="61"/>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4">
    <w:name w:val="Table Simple 324"/>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4">
    <w:name w:val="Table Grid 524"/>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4">
    <w:name w:val="Table Grid 324"/>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40">
    <w:name w:val="Table Grid 124"/>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4">
    <w:name w:val="Table Columns 524"/>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4">
    <w:name w:val="Light List - Accent 1124"/>
    <w:basedOn w:val="TableNormal"/>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4">
    <w:name w:val="Нет списка144"/>
    <w:next w:val="NoList"/>
    <w:semiHidden/>
    <w:unhideWhenUsed/>
    <w:rsid w:val="009032E3"/>
  </w:style>
  <w:style w:type="table" w:customStyle="1" w:styleId="ColorfulGrid-Accent1124">
    <w:name w:val="Colorful Grid - Accent 1124"/>
    <w:basedOn w:val="TableNormal"/>
    <w:rsid w:val="009032E3"/>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4">
    <w:name w:val="Light List - Accent 5124"/>
    <w:basedOn w:val="TableNormal"/>
    <w:rsid w:val="009032E3"/>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4">
    <w:name w:val="No List434"/>
    <w:next w:val="NoList"/>
    <w:semiHidden/>
    <w:rsid w:val="009032E3"/>
  </w:style>
  <w:style w:type="numbering" w:customStyle="1" w:styleId="NoList1134">
    <w:name w:val="No List1134"/>
    <w:next w:val="NoList"/>
    <w:semiHidden/>
    <w:unhideWhenUsed/>
    <w:rsid w:val="009032E3"/>
  </w:style>
  <w:style w:type="table" w:customStyle="1" w:styleId="Table3Deffects324">
    <w:name w:val="Table 3D effects 324"/>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NoList"/>
    <w:semiHidden/>
    <w:unhideWhenUsed/>
    <w:rsid w:val="009032E3"/>
  </w:style>
  <w:style w:type="table" w:customStyle="1" w:styleId="TableGrid134">
    <w:name w:val="Table Grid134"/>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4">
    <w:name w:val="No List524"/>
    <w:next w:val="NoList"/>
    <w:uiPriority w:val="99"/>
    <w:semiHidden/>
    <w:rsid w:val="009032E3"/>
  </w:style>
  <w:style w:type="numbering" w:customStyle="1" w:styleId="NoList622">
    <w:name w:val="No List622"/>
    <w:next w:val="NoList"/>
    <w:uiPriority w:val="99"/>
    <w:semiHidden/>
    <w:unhideWhenUsed/>
    <w:rsid w:val="009032E3"/>
  </w:style>
  <w:style w:type="table" w:customStyle="1" w:styleId="TableGrid233">
    <w:name w:val="Table Grid233"/>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2">
    <w:name w:val="No List722"/>
    <w:next w:val="NoList"/>
    <w:uiPriority w:val="99"/>
    <w:semiHidden/>
    <w:unhideWhenUsed/>
    <w:rsid w:val="009032E3"/>
  </w:style>
  <w:style w:type="numbering" w:customStyle="1" w:styleId="NoList1224">
    <w:name w:val="No List1224"/>
    <w:next w:val="NoList"/>
    <w:uiPriority w:val="99"/>
    <w:semiHidden/>
    <w:unhideWhenUsed/>
    <w:rsid w:val="009032E3"/>
  </w:style>
  <w:style w:type="table" w:customStyle="1" w:styleId="TableGrid3220">
    <w:name w:val="Table Grid322"/>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2">
    <w:name w:val="Table Web 2122"/>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2">
    <w:name w:val="Table Web 1122"/>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2">
    <w:name w:val="Table Grid 8122"/>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2">
    <w:name w:val="Table Contemporary122"/>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2">
    <w:name w:val="Colorful Grid - Accent 1222"/>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2">
    <w:name w:val="Light List - Accent 5222"/>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2">
    <w:name w:val="No List822"/>
    <w:next w:val="NoList"/>
    <w:uiPriority w:val="99"/>
    <w:semiHidden/>
    <w:unhideWhenUsed/>
    <w:rsid w:val="009032E3"/>
  </w:style>
  <w:style w:type="numbering" w:customStyle="1" w:styleId="1222">
    <w:name w:val="Нет списка1222"/>
    <w:next w:val="NoList"/>
    <w:uiPriority w:val="99"/>
    <w:semiHidden/>
    <w:unhideWhenUsed/>
    <w:rsid w:val="009032E3"/>
  </w:style>
  <w:style w:type="numbering" w:customStyle="1" w:styleId="NoList1322">
    <w:name w:val="No List1322"/>
    <w:next w:val="NoList"/>
    <w:semiHidden/>
    <w:unhideWhenUsed/>
    <w:rsid w:val="009032E3"/>
  </w:style>
  <w:style w:type="numbering" w:customStyle="1" w:styleId="NoList2124">
    <w:name w:val="No List2124"/>
    <w:next w:val="NoList"/>
    <w:semiHidden/>
    <w:unhideWhenUsed/>
    <w:rsid w:val="009032E3"/>
  </w:style>
  <w:style w:type="numbering" w:customStyle="1" w:styleId="NoList3124">
    <w:name w:val="No List3124"/>
    <w:next w:val="NoList"/>
    <w:semiHidden/>
    <w:unhideWhenUsed/>
    <w:rsid w:val="009032E3"/>
  </w:style>
  <w:style w:type="numbering" w:customStyle="1" w:styleId="11132">
    <w:name w:val="Нет списка11132"/>
    <w:next w:val="NoList"/>
    <w:semiHidden/>
    <w:unhideWhenUsed/>
    <w:rsid w:val="009032E3"/>
  </w:style>
  <w:style w:type="numbering" w:customStyle="1" w:styleId="NoList4122">
    <w:name w:val="No List4122"/>
    <w:next w:val="NoList"/>
    <w:semiHidden/>
    <w:rsid w:val="009032E3"/>
  </w:style>
  <w:style w:type="numbering" w:customStyle="1" w:styleId="NoList11124">
    <w:name w:val="No List11124"/>
    <w:next w:val="NoList"/>
    <w:semiHidden/>
    <w:unhideWhenUsed/>
    <w:rsid w:val="009032E3"/>
  </w:style>
  <w:style w:type="numbering" w:customStyle="1" w:styleId="111122">
    <w:name w:val="Нет списка111122"/>
    <w:next w:val="NoList"/>
    <w:semiHidden/>
    <w:unhideWhenUsed/>
    <w:rsid w:val="009032E3"/>
  </w:style>
  <w:style w:type="numbering" w:customStyle="1" w:styleId="NoList913">
    <w:name w:val="No List913"/>
    <w:next w:val="NoList"/>
    <w:uiPriority w:val="99"/>
    <w:semiHidden/>
    <w:unhideWhenUsed/>
    <w:rsid w:val="009032E3"/>
  </w:style>
  <w:style w:type="table" w:customStyle="1" w:styleId="TableGrid422">
    <w:name w:val="Table Grid422"/>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
    <w:name w:val="Grid Table 1 Light - Accent 5121"/>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1">
    <w:name w:val="Plain Table 3111"/>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1">
    <w:name w:val="Grid Table 4 - Accent 1111"/>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13">
    <w:name w:val="No List1013"/>
    <w:next w:val="NoList"/>
    <w:uiPriority w:val="99"/>
    <w:semiHidden/>
    <w:unhideWhenUsed/>
    <w:rsid w:val="009032E3"/>
  </w:style>
  <w:style w:type="table" w:customStyle="1" w:styleId="TableGrid5130">
    <w:name w:val="Table Grid513"/>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2">
    <w:name w:val="Table List 7122"/>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2">
    <w:name w:val="Table Web 3122"/>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2">
    <w:name w:val="Table Elegant122"/>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3">
    <w:name w:val="Table Web 2213"/>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3">
    <w:name w:val="Table Web 1213"/>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3">
    <w:name w:val="Table Grid 8213"/>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3">
    <w:name w:val="Table Contemporary213"/>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3">
    <w:name w:val="No List1413"/>
    <w:next w:val="NoList"/>
    <w:semiHidden/>
    <w:unhideWhenUsed/>
    <w:rsid w:val="009032E3"/>
  </w:style>
  <w:style w:type="numbering" w:customStyle="1" w:styleId="NoList2213">
    <w:name w:val="No List2213"/>
    <w:next w:val="NoList"/>
    <w:semiHidden/>
    <w:unhideWhenUsed/>
    <w:rsid w:val="009032E3"/>
  </w:style>
  <w:style w:type="numbering" w:customStyle="1" w:styleId="NoList3213">
    <w:name w:val="No List3213"/>
    <w:next w:val="NoList"/>
    <w:semiHidden/>
    <w:unhideWhenUsed/>
    <w:rsid w:val="009032E3"/>
  </w:style>
  <w:style w:type="table" w:customStyle="1" w:styleId="LightList-Accent1213">
    <w:name w:val="Light List - Accent 12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2">
    <w:name w:val="Table Grid 7122"/>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3">
    <w:name w:val="Colorful Grid - Accent 1313"/>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3">
    <w:name w:val="Light List - Accent 5313"/>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2">
    <w:name w:val="Table Simple 3122"/>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2">
    <w:name w:val="Table Grid 5122"/>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2">
    <w:name w:val="Table Grid 3122"/>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2">
    <w:name w:val="Table Grid 1122"/>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2">
    <w:name w:val="Table Columns 5122"/>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3">
    <w:name w:val="Light List - Accent 111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3">
    <w:name w:val="Нет списка1313"/>
    <w:next w:val="NoList"/>
    <w:semiHidden/>
    <w:unhideWhenUsed/>
    <w:rsid w:val="009032E3"/>
  </w:style>
  <w:style w:type="table" w:customStyle="1" w:styleId="ColorfulGrid-Accent11113">
    <w:name w:val="Colorful Grid - Accent 11113"/>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3">
    <w:name w:val="Light List - Accent 51113"/>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3">
    <w:name w:val="No List4213"/>
    <w:next w:val="NoList"/>
    <w:semiHidden/>
    <w:rsid w:val="009032E3"/>
  </w:style>
  <w:style w:type="numbering" w:customStyle="1" w:styleId="NoList11214">
    <w:name w:val="No List11214"/>
    <w:next w:val="NoList"/>
    <w:semiHidden/>
    <w:unhideWhenUsed/>
    <w:rsid w:val="009032E3"/>
  </w:style>
  <w:style w:type="table" w:customStyle="1" w:styleId="Table3Deffects3122">
    <w:name w:val="Table 3D effects 3122"/>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3">
    <w:name w:val="Нет списка11213"/>
    <w:next w:val="NoList"/>
    <w:semiHidden/>
    <w:unhideWhenUsed/>
    <w:rsid w:val="009032E3"/>
  </w:style>
  <w:style w:type="table" w:customStyle="1" w:styleId="TableGrid11220">
    <w:name w:val="Table Grid1122"/>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3">
    <w:name w:val="No List5113"/>
    <w:next w:val="NoList"/>
    <w:uiPriority w:val="99"/>
    <w:semiHidden/>
    <w:rsid w:val="009032E3"/>
  </w:style>
  <w:style w:type="numbering" w:customStyle="1" w:styleId="NoList6112">
    <w:name w:val="No List6112"/>
    <w:next w:val="NoList"/>
    <w:uiPriority w:val="99"/>
    <w:semiHidden/>
    <w:unhideWhenUsed/>
    <w:rsid w:val="009032E3"/>
  </w:style>
  <w:style w:type="table" w:customStyle="1" w:styleId="TableGrid2113">
    <w:name w:val="Table Grid2113"/>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2">
    <w:name w:val="No List7112"/>
    <w:next w:val="NoList"/>
    <w:uiPriority w:val="99"/>
    <w:semiHidden/>
    <w:unhideWhenUsed/>
    <w:rsid w:val="009032E3"/>
  </w:style>
  <w:style w:type="numbering" w:customStyle="1" w:styleId="NoList12113">
    <w:name w:val="No List12113"/>
    <w:next w:val="NoList"/>
    <w:uiPriority w:val="99"/>
    <w:semiHidden/>
    <w:unhideWhenUsed/>
    <w:rsid w:val="009032E3"/>
  </w:style>
  <w:style w:type="table" w:customStyle="1" w:styleId="TableGrid31120">
    <w:name w:val="Table Grid3112"/>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2">
    <w:name w:val="Table Web 21112"/>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2">
    <w:name w:val="Table Web 11112"/>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2">
    <w:name w:val="Table Grid 81112"/>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2">
    <w:name w:val="Table Contemporary1112"/>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2">
    <w:name w:val="Colorful Grid - Accent 12112"/>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2">
    <w:name w:val="Light List - Accent 52112"/>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2">
    <w:name w:val="No List8112"/>
    <w:next w:val="NoList"/>
    <w:uiPriority w:val="99"/>
    <w:semiHidden/>
    <w:unhideWhenUsed/>
    <w:rsid w:val="009032E3"/>
  </w:style>
  <w:style w:type="numbering" w:customStyle="1" w:styleId="12112">
    <w:name w:val="Нет списка12112"/>
    <w:next w:val="NoList"/>
    <w:uiPriority w:val="99"/>
    <w:semiHidden/>
    <w:unhideWhenUsed/>
    <w:rsid w:val="009032E3"/>
  </w:style>
  <w:style w:type="numbering" w:customStyle="1" w:styleId="NoList13112">
    <w:name w:val="No List13112"/>
    <w:next w:val="NoList"/>
    <w:semiHidden/>
    <w:unhideWhenUsed/>
    <w:rsid w:val="009032E3"/>
  </w:style>
  <w:style w:type="numbering" w:customStyle="1" w:styleId="NoList21113">
    <w:name w:val="No List21113"/>
    <w:next w:val="NoList"/>
    <w:semiHidden/>
    <w:unhideWhenUsed/>
    <w:rsid w:val="009032E3"/>
  </w:style>
  <w:style w:type="numbering" w:customStyle="1" w:styleId="NoList31113">
    <w:name w:val="No List31113"/>
    <w:next w:val="NoList"/>
    <w:semiHidden/>
    <w:unhideWhenUsed/>
    <w:rsid w:val="009032E3"/>
  </w:style>
  <w:style w:type="numbering" w:customStyle="1" w:styleId="111212">
    <w:name w:val="Нет списка111212"/>
    <w:next w:val="NoList"/>
    <w:semiHidden/>
    <w:unhideWhenUsed/>
    <w:rsid w:val="009032E3"/>
  </w:style>
  <w:style w:type="numbering" w:customStyle="1" w:styleId="NoList41112">
    <w:name w:val="No List41112"/>
    <w:next w:val="NoList"/>
    <w:semiHidden/>
    <w:rsid w:val="009032E3"/>
  </w:style>
  <w:style w:type="numbering" w:customStyle="1" w:styleId="NoList111124">
    <w:name w:val="No List111124"/>
    <w:next w:val="NoList"/>
    <w:semiHidden/>
    <w:unhideWhenUsed/>
    <w:rsid w:val="009032E3"/>
  </w:style>
  <w:style w:type="numbering" w:customStyle="1" w:styleId="1111112">
    <w:name w:val="Нет списка1111112"/>
    <w:next w:val="NoList"/>
    <w:semiHidden/>
    <w:unhideWhenUsed/>
    <w:rsid w:val="009032E3"/>
  </w:style>
  <w:style w:type="table" w:customStyle="1" w:styleId="TableGrid613">
    <w:name w:val="Table Grid613"/>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2">
    <w:name w:val="Grid Table 1 Light - Accent 51112"/>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4">
    <w:name w:val="Table Grid22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7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 Grid8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1">
    <w:name w:val="Grid Table 1 Light - Accent 1111"/>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3">
    <w:name w:val="Table Grid143"/>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72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0">
    <w:name w:val="Table Grid73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
    <w:name w:val="Table Grid111311"/>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6">
    <w:name w:val="No List66"/>
    <w:next w:val="NoList"/>
    <w:uiPriority w:val="99"/>
    <w:semiHidden/>
    <w:unhideWhenUsed/>
    <w:rsid w:val="00E27F1D"/>
  </w:style>
  <w:style w:type="numbering" w:customStyle="1" w:styleId="NoList2221">
    <w:name w:val="No List2221"/>
    <w:next w:val="NoList"/>
    <w:semiHidden/>
    <w:rsid w:val="009F0A25"/>
  </w:style>
  <w:style w:type="numbering" w:customStyle="1" w:styleId="NoList3221">
    <w:name w:val="No List3221"/>
    <w:next w:val="NoList"/>
    <w:semiHidden/>
    <w:unhideWhenUsed/>
    <w:rsid w:val="009F0A25"/>
  </w:style>
  <w:style w:type="numbering" w:customStyle="1" w:styleId="NoList5121">
    <w:name w:val="No List5121"/>
    <w:next w:val="NoList"/>
    <w:uiPriority w:val="99"/>
    <w:semiHidden/>
    <w:unhideWhenUsed/>
    <w:rsid w:val="009F0A25"/>
  </w:style>
  <w:style w:type="numbering" w:customStyle="1" w:styleId="NoList12121">
    <w:name w:val="No List12121"/>
    <w:next w:val="NoList"/>
    <w:semiHidden/>
    <w:rsid w:val="009F0A25"/>
  </w:style>
  <w:style w:type="numbering" w:customStyle="1" w:styleId="NoList21121">
    <w:name w:val="No List21121"/>
    <w:next w:val="NoList"/>
    <w:semiHidden/>
    <w:rsid w:val="009F0A25"/>
  </w:style>
  <w:style w:type="numbering" w:customStyle="1" w:styleId="NoList31121">
    <w:name w:val="No List31121"/>
    <w:next w:val="NoList"/>
    <w:uiPriority w:val="99"/>
    <w:semiHidden/>
    <w:unhideWhenUsed/>
    <w:rsid w:val="009F0A25"/>
  </w:style>
  <w:style w:type="numbering" w:customStyle="1" w:styleId="NoList921">
    <w:name w:val="No List921"/>
    <w:next w:val="NoList"/>
    <w:uiPriority w:val="99"/>
    <w:semiHidden/>
    <w:unhideWhenUsed/>
    <w:rsid w:val="009F0A25"/>
  </w:style>
  <w:style w:type="numbering" w:customStyle="1" w:styleId="NoList1421">
    <w:name w:val="No List1421"/>
    <w:next w:val="NoList"/>
    <w:semiHidden/>
    <w:unhideWhenUsed/>
    <w:rsid w:val="009F0A25"/>
  </w:style>
  <w:style w:type="numbering" w:customStyle="1" w:styleId="1321">
    <w:name w:val="Нет списка1321"/>
    <w:next w:val="NoList"/>
    <w:semiHidden/>
    <w:unhideWhenUsed/>
    <w:rsid w:val="009F0A25"/>
  </w:style>
  <w:style w:type="numbering" w:customStyle="1" w:styleId="NoList4221">
    <w:name w:val="No List4221"/>
    <w:next w:val="NoList"/>
    <w:semiHidden/>
    <w:rsid w:val="009F0A25"/>
  </w:style>
  <w:style w:type="numbering" w:customStyle="1" w:styleId="11221">
    <w:name w:val="Нет списка11221"/>
    <w:next w:val="NoList"/>
    <w:semiHidden/>
    <w:unhideWhenUsed/>
    <w:rsid w:val="009F0A25"/>
  </w:style>
  <w:style w:type="numbering" w:customStyle="1" w:styleId="NoList1021">
    <w:name w:val="No List1021"/>
    <w:next w:val="NoList"/>
    <w:uiPriority w:val="99"/>
    <w:semiHidden/>
    <w:unhideWhenUsed/>
    <w:rsid w:val="009F0A25"/>
  </w:style>
  <w:style w:type="numbering" w:customStyle="1" w:styleId="NoList1811">
    <w:name w:val="No List1811"/>
    <w:next w:val="NoList"/>
    <w:uiPriority w:val="99"/>
    <w:semiHidden/>
    <w:unhideWhenUsed/>
    <w:rsid w:val="009F0A25"/>
  </w:style>
  <w:style w:type="numbering" w:customStyle="1" w:styleId="1511">
    <w:name w:val="Нет списка1511"/>
    <w:next w:val="NoList"/>
    <w:semiHidden/>
    <w:unhideWhenUsed/>
    <w:rsid w:val="009F0A25"/>
  </w:style>
  <w:style w:type="numbering" w:customStyle="1" w:styleId="NoList4411">
    <w:name w:val="No List4411"/>
    <w:next w:val="NoList"/>
    <w:semiHidden/>
    <w:rsid w:val="009F0A25"/>
  </w:style>
  <w:style w:type="numbering" w:customStyle="1" w:styleId="11411">
    <w:name w:val="Нет списка11411"/>
    <w:next w:val="NoList"/>
    <w:semiHidden/>
    <w:unhideWhenUsed/>
    <w:rsid w:val="009F0A25"/>
  </w:style>
  <w:style w:type="numbering" w:customStyle="1" w:styleId="NoList1111311">
    <w:name w:val="No List1111311"/>
    <w:next w:val="NoList"/>
    <w:semiHidden/>
    <w:rsid w:val="009F0A25"/>
  </w:style>
  <w:style w:type="numbering" w:customStyle="1" w:styleId="NoList5311">
    <w:name w:val="No List5311"/>
    <w:next w:val="NoList"/>
    <w:uiPriority w:val="99"/>
    <w:semiHidden/>
    <w:unhideWhenUsed/>
    <w:rsid w:val="009F0A25"/>
  </w:style>
  <w:style w:type="numbering" w:customStyle="1" w:styleId="NoList12311">
    <w:name w:val="No List12311"/>
    <w:next w:val="NoList"/>
    <w:semiHidden/>
    <w:rsid w:val="009F0A25"/>
  </w:style>
  <w:style w:type="numbering" w:customStyle="1" w:styleId="NoList21311">
    <w:name w:val="No List21311"/>
    <w:next w:val="NoList"/>
    <w:semiHidden/>
    <w:rsid w:val="009F0A25"/>
  </w:style>
  <w:style w:type="numbering" w:customStyle="1" w:styleId="NoList31311">
    <w:name w:val="No List31311"/>
    <w:next w:val="NoList"/>
    <w:uiPriority w:val="99"/>
    <w:semiHidden/>
    <w:unhideWhenUsed/>
    <w:rsid w:val="009F0A25"/>
  </w:style>
  <w:style w:type="numbering" w:customStyle="1" w:styleId="NoList113111">
    <w:name w:val="No List113111"/>
    <w:next w:val="NoList"/>
    <w:semiHidden/>
    <w:rsid w:val="009F0A25"/>
  </w:style>
  <w:style w:type="numbering" w:customStyle="1" w:styleId="NoList1112111">
    <w:name w:val="No List1112111"/>
    <w:next w:val="NoList"/>
    <w:semiHidden/>
    <w:rsid w:val="009F0A25"/>
  </w:style>
  <w:style w:type="numbering" w:customStyle="1" w:styleId="NoList22111">
    <w:name w:val="No List22111"/>
    <w:next w:val="NoList"/>
    <w:semiHidden/>
    <w:rsid w:val="009F0A25"/>
  </w:style>
  <w:style w:type="numbering" w:customStyle="1" w:styleId="NoList32111">
    <w:name w:val="No List32111"/>
    <w:next w:val="NoList"/>
    <w:semiHidden/>
    <w:unhideWhenUsed/>
    <w:rsid w:val="009F0A25"/>
  </w:style>
  <w:style w:type="numbering" w:customStyle="1" w:styleId="NoList51111">
    <w:name w:val="No List51111"/>
    <w:next w:val="NoList"/>
    <w:uiPriority w:val="99"/>
    <w:semiHidden/>
    <w:unhideWhenUsed/>
    <w:rsid w:val="009F0A25"/>
  </w:style>
  <w:style w:type="numbering" w:customStyle="1" w:styleId="NoList121111">
    <w:name w:val="No List121111"/>
    <w:next w:val="NoList"/>
    <w:semiHidden/>
    <w:rsid w:val="009F0A25"/>
  </w:style>
  <w:style w:type="numbering" w:customStyle="1" w:styleId="NoList1121111">
    <w:name w:val="No List1121111"/>
    <w:next w:val="NoList"/>
    <w:semiHidden/>
    <w:rsid w:val="009F0A25"/>
  </w:style>
  <w:style w:type="numbering" w:customStyle="1" w:styleId="NoList1111111111">
    <w:name w:val="No List1111111111"/>
    <w:next w:val="NoList"/>
    <w:semiHidden/>
    <w:rsid w:val="009F0A25"/>
  </w:style>
  <w:style w:type="numbering" w:customStyle="1" w:styleId="NoList211111">
    <w:name w:val="No List211111"/>
    <w:next w:val="NoList"/>
    <w:semiHidden/>
    <w:rsid w:val="009F0A25"/>
  </w:style>
  <w:style w:type="numbering" w:customStyle="1" w:styleId="NoList311111">
    <w:name w:val="No List311111"/>
    <w:next w:val="NoList"/>
    <w:uiPriority w:val="99"/>
    <w:semiHidden/>
    <w:unhideWhenUsed/>
    <w:rsid w:val="009F0A25"/>
  </w:style>
  <w:style w:type="numbering" w:customStyle="1" w:styleId="NoList9111">
    <w:name w:val="No List9111"/>
    <w:next w:val="NoList"/>
    <w:uiPriority w:val="99"/>
    <w:semiHidden/>
    <w:unhideWhenUsed/>
    <w:rsid w:val="009F0A25"/>
  </w:style>
  <w:style w:type="numbering" w:customStyle="1" w:styleId="NoList14111">
    <w:name w:val="No List14111"/>
    <w:next w:val="NoList"/>
    <w:semiHidden/>
    <w:unhideWhenUsed/>
    <w:rsid w:val="009F0A25"/>
  </w:style>
  <w:style w:type="numbering" w:customStyle="1" w:styleId="NoList23111">
    <w:name w:val="No List23111"/>
    <w:next w:val="NoList"/>
    <w:semiHidden/>
    <w:unhideWhenUsed/>
    <w:rsid w:val="009F0A25"/>
  </w:style>
  <w:style w:type="numbering" w:customStyle="1" w:styleId="NoList33111">
    <w:name w:val="No List33111"/>
    <w:next w:val="NoList"/>
    <w:semiHidden/>
    <w:unhideWhenUsed/>
    <w:rsid w:val="009F0A25"/>
  </w:style>
  <w:style w:type="numbering" w:customStyle="1" w:styleId="13111">
    <w:name w:val="Нет списка13111"/>
    <w:next w:val="NoList"/>
    <w:semiHidden/>
    <w:unhideWhenUsed/>
    <w:rsid w:val="009F0A25"/>
  </w:style>
  <w:style w:type="numbering" w:customStyle="1" w:styleId="NoList42111">
    <w:name w:val="No List42111"/>
    <w:next w:val="NoList"/>
    <w:semiHidden/>
    <w:rsid w:val="009F0A25"/>
  </w:style>
  <w:style w:type="numbering" w:customStyle="1" w:styleId="NoList114111">
    <w:name w:val="No List114111"/>
    <w:next w:val="NoList"/>
    <w:semiHidden/>
    <w:unhideWhenUsed/>
    <w:rsid w:val="009F0A25"/>
  </w:style>
  <w:style w:type="numbering" w:customStyle="1" w:styleId="112111">
    <w:name w:val="Нет списка112111"/>
    <w:next w:val="NoList"/>
    <w:semiHidden/>
    <w:unhideWhenUsed/>
    <w:rsid w:val="009F0A25"/>
  </w:style>
  <w:style w:type="numbering" w:customStyle="1" w:styleId="NoList10111">
    <w:name w:val="No List10111"/>
    <w:next w:val="NoList"/>
    <w:uiPriority w:val="99"/>
    <w:semiHidden/>
    <w:unhideWhenUsed/>
    <w:rsid w:val="009F0A25"/>
  </w:style>
  <w:style w:type="numbering" w:customStyle="1" w:styleId="NoList15111">
    <w:name w:val="No List15111"/>
    <w:next w:val="NoList"/>
    <w:semiHidden/>
    <w:unhideWhenUsed/>
    <w:rsid w:val="009F0A25"/>
  </w:style>
  <w:style w:type="numbering" w:customStyle="1" w:styleId="NoList1113111">
    <w:name w:val="No List1113111"/>
    <w:next w:val="NoList"/>
    <w:semiHidden/>
    <w:rsid w:val="009F0A25"/>
  </w:style>
  <w:style w:type="numbering" w:customStyle="1" w:styleId="NoList24111">
    <w:name w:val="No List24111"/>
    <w:next w:val="NoList"/>
    <w:semiHidden/>
    <w:rsid w:val="009F0A25"/>
  </w:style>
  <w:style w:type="numbering" w:customStyle="1" w:styleId="NoList34111">
    <w:name w:val="No List34111"/>
    <w:next w:val="NoList"/>
    <w:semiHidden/>
    <w:unhideWhenUsed/>
    <w:rsid w:val="009F0A25"/>
  </w:style>
  <w:style w:type="numbering" w:customStyle="1" w:styleId="14111">
    <w:name w:val="Нет списка14111"/>
    <w:next w:val="NoList"/>
    <w:semiHidden/>
    <w:unhideWhenUsed/>
    <w:rsid w:val="009F0A25"/>
  </w:style>
  <w:style w:type="numbering" w:customStyle="1" w:styleId="NoList43111">
    <w:name w:val="No List43111"/>
    <w:next w:val="NoList"/>
    <w:semiHidden/>
    <w:rsid w:val="009F0A25"/>
  </w:style>
  <w:style w:type="numbering" w:customStyle="1" w:styleId="113111">
    <w:name w:val="Нет списка113111"/>
    <w:next w:val="NoList"/>
    <w:semiHidden/>
    <w:unhideWhenUsed/>
    <w:rsid w:val="009F0A25"/>
  </w:style>
  <w:style w:type="numbering" w:customStyle="1" w:styleId="NoList52111">
    <w:name w:val="No List52111"/>
    <w:next w:val="NoList"/>
    <w:uiPriority w:val="99"/>
    <w:semiHidden/>
    <w:unhideWhenUsed/>
    <w:rsid w:val="009F0A25"/>
  </w:style>
  <w:style w:type="numbering" w:customStyle="1" w:styleId="NoList122111">
    <w:name w:val="No List122111"/>
    <w:next w:val="NoList"/>
    <w:semiHidden/>
    <w:rsid w:val="009F0A25"/>
  </w:style>
  <w:style w:type="numbering" w:customStyle="1" w:styleId="NoList1122111">
    <w:name w:val="No List1122111"/>
    <w:next w:val="NoList"/>
    <w:semiHidden/>
    <w:rsid w:val="009F0A25"/>
  </w:style>
  <w:style w:type="numbering" w:customStyle="1" w:styleId="NoList11112111">
    <w:name w:val="No List11112111"/>
    <w:next w:val="NoList"/>
    <w:semiHidden/>
    <w:rsid w:val="009F0A25"/>
  </w:style>
  <w:style w:type="numbering" w:customStyle="1" w:styleId="NoList212111">
    <w:name w:val="No List212111"/>
    <w:next w:val="NoList"/>
    <w:semiHidden/>
    <w:rsid w:val="009F0A25"/>
  </w:style>
  <w:style w:type="numbering" w:customStyle="1" w:styleId="NoList312111">
    <w:name w:val="No List312111"/>
    <w:next w:val="NoList"/>
    <w:uiPriority w:val="99"/>
    <w:semiHidden/>
    <w:unhideWhenUsed/>
    <w:rsid w:val="009F0A25"/>
  </w:style>
  <w:style w:type="numbering" w:customStyle="1" w:styleId="NoList16111">
    <w:name w:val="No List16111"/>
    <w:next w:val="NoList"/>
    <w:uiPriority w:val="99"/>
    <w:semiHidden/>
    <w:unhideWhenUsed/>
    <w:rsid w:val="009F0A25"/>
  </w:style>
  <w:style w:type="numbering" w:customStyle="1" w:styleId="NoList17111">
    <w:name w:val="No List17111"/>
    <w:next w:val="NoList"/>
    <w:uiPriority w:val="99"/>
    <w:semiHidden/>
    <w:unhideWhenUsed/>
    <w:rsid w:val="009F0A25"/>
  </w:style>
  <w:style w:type="table" w:customStyle="1" w:styleId="LightList-Accent12211">
    <w:name w:val="Light List - Accent 12211"/>
    <w:basedOn w:val="TableNormal"/>
    <w:next w:val="LightList-Accent1"/>
    <w:uiPriority w:val="61"/>
    <w:rsid w:val="009F0A25"/>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1">
    <w:name w:val="Medium List 2 - Accent 111"/>
    <w:basedOn w:val="TableNormal"/>
    <w:next w:val="MediumList2-Accent1"/>
    <w:uiPriority w:val="66"/>
    <w:rsid w:val="009F0A25"/>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3-Accent611">
    <w:name w:val="Medium Grid 3 - Accent 611"/>
    <w:basedOn w:val="TableNormal"/>
    <w:next w:val="MediumGrid3-Accent6"/>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Accent511">
    <w:name w:val="Medium List 1 - Accent 511"/>
    <w:basedOn w:val="TableNormal"/>
    <w:next w:val="MediumList1-Accent5"/>
    <w:uiPriority w:val="65"/>
    <w:rsid w:val="009F0A25"/>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Accent311">
    <w:name w:val="Light List - Accent 311"/>
    <w:basedOn w:val="TableNormal"/>
    <w:next w:val="LightList-Accent3"/>
    <w:uiPriority w:val="61"/>
    <w:rsid w:val="009F0A25"/>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
    <w:name w:val="Medium List 2 - Accent 311"/>
    <w:basedOn w:val="TableNormal"/>
    <w:next w:val="MediumList2-Accent3"/>
    <w:uiPriority w:val="66"/>
    <w:rsid w:val="009F0A25"/>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rsid w:val="009F0A25"/>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TableList7131">
    <w:name w:val="Table List 7131"/>
    <w:basedOn w:val="TableNormal"/>
    <w:next w:val="TableList7"/>
    <w:rsid w:val="009F0A2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1">
    <w:name w:val="Table Web 3131"/>
    <w:basedOn w:val="TableNormal"/>
    <w:next w:val="TableWeb3"/>
    <w:rsid w:val="009F0A2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1">
    <w:name w:val="Table Elegant131"/>
    <w:basedOn w:val="TableNormal"/>
    <w:next w:val="TableElegant"/>
    <w:rsid w:val="009F0A2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1">
    <w:name w:val="Table Web 213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1">
    <w:name w:val="Table Web 113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1">
    <w:name w:val="Table Grid 813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1">
    <w:name w:val="Table Contemporary13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7131">
    <w:name w:val="Table Grid 7131"/>
    <w:basedOn w:val="TableNormal"/>
    <w:next w:val="TableGrid7"/>
    <w:rsid w:val="009F0A2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31">
    <w:name w:val="Table Simple 3131"/>
    <w:basedOn w:val="TableNormal"/>
    <w:next w:val="TableSimple3"/>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1">
    <w:name w:val="Table Grid 5131"/>
    <w:basedOn w:val="TableNormal"/>
    <w:next w:val="TableGrid5"/>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1">
    <w:name w:val="Table Grid 3131"/>
    <w:basedOn w:val="TableNormal"/>
    <w:next w:val="TableGrid3"/>
    <w:rsid w:val="009F0A2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1">
    <w:name w:val="Table Grid 1131"/>
    <w:basedOn w:val="TableNormal"/>
    <w:next w:val="TableGrid10"/>
    <w:rsid w:val="009F0A2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1">
    <w:name w:val="Table Columns 5131"/>
    <w:basedOn w:val="TableNormal"/>
    <w:next w:val="TableColumns5"/>
    <w:rsid w:val="009F0A2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NoList4131">
    <w:name w:val="No List4131"/>
    <w:next w:val="NoList"/>
    <w:semiHidden/>
    <w:rsid w:val="009F0A25"/>
  </w:style>
  <w:style w:type="table" w:customStyle="1" w:styleId="Table3Deffects3131">
    <w:name w:val="Table 3D effects 3131"/>
    <w:basedOn w:val="TableNormal"/>
    <w:next w:val="Table3Deffects3"/>
    <w:rsid w:val="009F0A2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631">
    <w:name w:val="No List631"/>
    <w:next w:val="NoList"/>
    <w:uiPriority w:val="99"/>
    <w:semiHidden/>
    <w:unhideWhenUsed/>
    <w:rsid w:val="009F0A25"/>
  </w:style>
  <w:style w:type="numbering" w:customStyle="1" w:styleId="NoList731">
    <w:name w:val="No List731"/>
    <w:next w:val="NoList"/>
    <w:uiPriority w:val="99"/>
    <w:semiHidden/>
    <w:unhideWhenUsed/>
    <w:rsid w:val="009F0A25"/>
  </w:style>
  <w:style w:type="table" w:customStyle="1" w:styleId="TableGrid3310">
    <w:name w:val="Table Grid33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1">
    <w:name w:val="Colorful Grid - Accent 123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1">
    <w:name w:val="Light List - Accent 523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1">
    <w:name w:val="No List831"/>
    <w:next w:val="NoList"/>
    <w:uiPriority w:val="99"/>
    <w:semiHidden/>
    <w:unhideWhenUsed/>
    <w:rsid w:val="009F0A25"/>
  </w:style>
  <w:style w:type="numbering" w:customStyle="1" w:styleId="1231">
    <w:name w:val="Нет списка1231"/>
    <w:next w:val="NoList"/>
    <w:uiPriority w:val="99"/>
    <w:semiHidden/>
    <w:unhideWhenUsed/>
    <w:rsid w:val="009F0A25"/>
  </w:style>
  <w:style w:type="numbering" w:customStyle="1" w:styleId="NoList1331">
    <w:name w:val="No List1331"/>
    <w:next w:val="NoList"/>
    <w:semiHidden/>
    <w:unhideWhenUsed/>
    <w:rsid w:val="009F0A25"/>
  </w:style>
  <w:style w:type="table" w:customStyle="1" w:styleId="TableGrid431">
    <w:name w:val="Table Grid43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9F0A25"/>
  </w:style>
  <w:style w:type="numbering" w:customStyle="1" w:styleId="NoList7121">
    <w:name w:val="No List7121"/>
    <w:next w:val="NoList"/>
    <w:uiPriority w:val="99"/>
    <w:semiHidden/>
    <w:unhideWhenUsed/>
    <w:rsid w:val="009F0A25"/>
  </w:style>
  <w:style w:type="table" w:customStyle="1" w:styleId="TableGrid31210">
    <w:name w:val="Table Grid312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1">
    <w:name w:val="Table Web 2112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1">
    <w:name w:val="Table Web 1112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1">
    <w:name w:val="Table Grid 8112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1">
    <w:name w:val="Table Contemporary112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1">
    <w:name w:val="Colorful Grid - Accent 1212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1">
    <w:name w:val="Light List - Accent 5212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1">
    <w:name w:val="No List8121"/>
    <w:next w:val="NoList"/>
    <w:uiPriority w:val="99"/>
    <w:semiHidden/>
    <w:unhideWhenUsed/>
    <w:rsid w:val="009F0A25"/>
  </w:style>
  <w:style w:type="numbering" w:customStyle="1" w:styleId="12121">
    <w:name w:val="Нет списка12121"/>
    <w:next w:val="NoList"/>
    <w:uiPriority w:val="99"/>
    <w:semiHidden/>
    <w:unhideWhenUsed/>
    <w:rsid w:val="009F0A25"/>
  </w:style>
  <w:style w:type="numbering" w:customStyle="1" w:styleId="NoList13121">
    <w:name w:val="No List13121"/>
    <w:next w:val="NoList"/>
    <w:semiHidden/>
    <w:unhideWhenUsed/>
    <w:rsid w:val="009F0A25"/>
  </w:style>
  <w:style w:type="numbering" w:customStyle="1" w:styleId="NoList41121">
    <w:name w:val="No List41121"/>
    <w:next w:val="NoList"/>
    <w:semiHidden/>
    <w:rsid w:val="009F0A25"/>
  </w:style>
  <w:style w:type="table" w:customStyle="1" w:styleId="TableGrid4121">
    <w:name w:val="Table Grid41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 Grid8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9F0A25"/>
  </w:style>
  <w:style w:type="numbering" w:customStyle="1" w:styleId="NoList7211">
    <w:name w:val="No List7211"/>
    <w:next w:val="NoList"/>
    <w:uiPriority w:val="99"/>
    <w:semiHidden/>
    <w:unhideWhenUsed/>
    <w:rsid w:val="009F0A25"/>
  </w:style>
  <w:style w:type="table" w:customStyle="1" w:styleId="TableGrid32110">
    <w:name w:val="Table Grid321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1">
    <w:name w:val="Table Web 2121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1">
    <w:name w:val="Table Web 1121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1">
    <w:name w:val="Table Grid 8121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1">
    <w:name w:val="Table Contemporary121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1">
    <w:name w:val="Colorful Grid - Accent 1221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1">
    <w:name w:val="Light List - Accent 5221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1">
    <w:name w:val="No List8211"/>
    <w:next w:val="NoList"/>
    <w:uiPriority w:val="99"/>
    <w:semiHidden/>
    <w:unhideWhenUsed/>
    <w:rsid w:val="009F0A25"/>
  </w:style>
  <w:style w:type="numbering" w:customStyle="1" w:styleId="12211">
    <w:name w:val="Нет списка12211"/>
    <w:next w:val="NoList"/>
    <w:uiPriority w:val="99"/>
    <w:semiHidden/>
    <w:unhideWhenUsed/>
    <w:rsid w:val="009F0A25"/>
  </w:style>
  <w:style w:type="numbering" w:customStyle="1" w:styleId="NoList13211">
    <w:name w:val="No List13211"/>
    <w:next w:val="NoList"/>
    <w:semiHidden/>
    <w:unhideWhenUsed/>
    <w:rsid w:val="009F0A25"/>
  </w:style>
  <w:style w:type="numbering" w:customStyle="1" w:styleId="111311">
    <w:name w:val="Нет списка111311"/>
    <w:next w:val="NoList"/>
    <w:semiHidden/>
    <w:unhideWhenUsed/>
    <w:rsid w:val="009F0A25"/>
  </w:style>
  <w:style w:type="numbering" w:customStyle="1" w:styleId="NoList41211">
    <w:name w:val="No List41211"/>
    <w:next w:val="NoList"/>
    <w:semiHidden/>
    <w:rsid w:val="009F0A25"/>
  </w:style>
  <w:style w:type="numbering" w:customStyle="1" w:styleId="1111211">
    <w:name w:val="Нет списка1111211"/>
    <w:next w:val="NoList"/>
    <w:semiHidden/>
    <w:unhideWhenUsed/>
    <w:rsid w:val="009F0A25"/>
  </w:style>
  <w:style w:type="table" w:customStyle="1" w:styleId="TableGrid4211">
    <w:name w:val="Table Grid421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1">
    <w:name w:val="Table List 71211"/>
    <w:basedOn w:val="TableNormal"/>
    <w:next w:val="TableList7"/>
    <w:rsid w:val="009F0A2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1">
    <w:name w:val="Table Web 31211"/>
    <w:basedOn w:val="TableNormal"/>
    <w:next w:val="TableWeb3"/>
    <w:rsid w:val="009F0A2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1">
    <w:name w:val="Table Elegant1211"/>
    <w:basedOn w:val="TableNormal"/>
    <w:next w:val="TableElegant"/>
    <w:rsid w:val="009F0A2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71211">
    <w:name w:val="Table Grid 71211"/>
    <w:basedOn w:val="TableNormal"/>
    <w:next w:val="TableGrid7"/>
    <w:rsid w:val="009F0A2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211">
    <w:name w:val="Table Simple 31211"/>
    <w:basedOn w:val="TableNormal"/>
    <w:next w:val="TableSimple3"/>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1">
    <w:name w:val="Table Grid 51211"/>
    <w:basedOn w:val="TableNormal"/>
    <w:next w:val="TableGrid5"/>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1">
    <w:name w:val="Table Grid 31211"/>
    <w:basedOn w:val="TableNormal"/>
    <w:next w:val="TableGrid3"/>
    <w:rsid w:val="009F0A2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1">
    <w:name w:val="Table Grid 11211"/>
    <w:basedOn w:val="TableNormal"/>
    <w:next w:val="TableGrid10"/>
    <w:rsid w:val="009F0A2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1">
    <w:name w:val="Table Columns 51211"/>
    <w:basedOn w:val="TableNormal"/>
    <w:next w:val="TableColumns5"/>
    <w:rsid w:val="009F0A2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211">
    <w:name w:val="Table 3D effects 31211"/>
    <w:basedOn w:val="TableNormal"/>
    <w:next w:val="Table3Deffects3"/>
    <w:rsid w:val="009F0A2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110">
    <w:name w:val="Table Grid11211"/>
    <w:basedOn w:val="TableNormal"/>
    <w:next w:val="TableGrid"/>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11">
    <w:name w:val="No List61111"/>
    <w:next w:val="NoList"/>
    <w:uiPriority w:val="99"/>
    <w:semiHidden/>
    <w:unhideWhenUsed/>
    <w:rsid w:val="009F0A25"/>
  </w:style>
  <w:style w:type="numbering" w:customStyle="1" w:styleId="NoList71111">
    <w:name w:val="No List71111"/>
    <w:next w:val="NoList"/>
    <w:uiPriority w:val="99"/>
    <w:semiHidden/>
    <w:unhideWhenUsed/>
    <w:rsid w:val="009F0A25"/>
  </w:style>
  <w:style w:type="table" w:customStyle="1" w:styleId="TableGrid31111">
    <w:name w:val="Table Grid3111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1">
    <w:name w:val="Table Web 21111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1">
    <w:name w:val="Table Web 11111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1">
    <w:name w:val="Table Grid 81111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1">
    <w:name w:val="Table Contemporary1111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1">
    <w:name w:val="Colorful Grid - Accent 12111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1">
    <w:name w:val="Light List - Accent 52111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1">
    <w:name w:val="No List81111"/>
    <w:next w:val="NoList"/>
    <w:uiPriority w:val="99"/>
    <w:semiHidden/>
    <w:unhideWhenUsed/>
    <w:rsid w:val="009F0A25"/>
  </w:style>
  <w:style w:type="numbering" w:customStyle="1" w:styleId="121111">
    <w:name w:val="Нет списка121111"/>
    <w:next w:val="NoList"/>
    <w:uiPriority w:val="99"/>
    <w:semiHidden/>
    <w:unhideWhenUsed/>
    <w:rsid w:val="009F0A25"/>
  </w:style>
  <w:style w:type="numbering" w:customStyle="1" w:styleId="NoList131111">
    <w:name w:val="No List131111"/>
    <w:next w:val="NoList"/>
    <w:semiHidden/>
    <w:unhideWhenUsed/>
    <w:rsid w:val="009F0A25"/>
  </w:style>
  <w:style w:type="numbering" w:customStyle="1" w:styleId="1112111">
    <w:name w:val="Нет списка1112111"/>
    <w:next w:val="NoList"/>
    <w:semiHidden/>
    <w:unhideWhenUsed/>
    <w:rsid w:val="009F0A25"/>
  </w:style>
  <w:style w:type="numbering" w:customStyle="1" w:styleId="NoList411111">
    <w:name w:val="No List411111"/>
    <w:next w:val="NoList"/>
    <w:semiHidden/>
    <w:rsid w:val="009F0A25"/>
  </w:style>
  <w:style w:type="numbering" w:customStyle="1" w:styleId="11111111">
    <w:name w:val="Нет списка11111111"/>
    <w:next w:val="NoList"/>
    <w:semiHidden/>
    <w:unhideWhenUsed/>
    <w:rsid w:val="009F0A25"/>
  </w:style>
  <w:style w:type="table" w:customStyle="1" w:styleId="TableGrid41111">
    <w:name w:val="Table Grid4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7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0">
    <w:name w:val="Table Grid8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NoList"/>
    <w:semiHidden/>
    <w:unhideWhenUsed/>
    <w:rsid w:val="009F0A25"/>
  </w:style>
  <w:style w:type="numbering" w:customStyle="1" w:styleId="111131">
    <w:name w:val="Нет списка111131"/>
    <w:next w:val="NoList"/>
    <w:semiHidden/>
    <w:unhideWhenUsed/>
    <w:rsid w:val="009F0A25"/>
  </w:style>
  <w:style w:type="table" w:customStyle="1" w:styleId="GridTable4-Accent1121">
    <w:name w:val="Grid Table 4 - Accent 1121"/>
    <w:basedOn w:val="TableNormal"/>
    <w:uiPriority w:val="49"/>
    <w:rsid w:val="009F0A2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11221">
    <w:name w:val="Нет списка111221"/>
    <w:next w:val="NoList"/>
    <w:semiHidden/>
    <w:unhideWhenUsed/>
    <w:rsid w:val="009F0A25"/>
  </w:style>
  <w:style w:type="numbering" w:customStyle="1" w:styleId="1111121">
    <w:name w:val="Нет списка1111121"/>
    <w:next w:val="NoList"/>
    <w:semiHidden/>
    <w:unhideWhenUsed/>
    <w:rsid w:val="009F0A25"/>
  </w:style>
  <w:style w:type="table" w:customStyle="1" w:styleId="TableGrid11141">
    <w:name w:val="Table Grid111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0">
    <w:name w:val="Table Grid7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1">
    <w:name w:val="Grid Table 1 Light - Accent 1121"/>
    <w:basedOn w:val="TableNormal"/>
    <w:uiPriority w:val="46"/>
    <w:rsid w:val="009F0A25"/>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MediumGrid3-Accent121">
    <w:name w:val="Medium Grid 3 - Accent 121"/>
    <w:basedOn w:val="TableNormal"/>
    <w:next w:val="MediumGrid3-Accent1"/>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eGrid1431">
    <w:name w:val="Table Grid14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0">
    <w:name w:val="Table Grid73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1">
    <w:name w:val="Table Grid1113111"/>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1">
    <w:name w:val="Table Grid121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1">
    <w:name w:val="Grid Table 1 Light - Accent 51211"/>
    <w:basedOn w:val="TableNormal"/>
    <w:uiPriority w:val="46"/>
    <w:rsid w:val="009F0A2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241">
    <w:name w:val="Table Grid124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21">
    <w:name w:val="Table Grid11131121"/>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1">
    <w:name w:val="Table Grid9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1">
    <w:name w:val="Table Grid73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1">
    <w:name w:val="Table Grid142121"/>
    <w:basedOn w:val="TableNormal"/>
    <w:next w:val="TableGrid"/>
    <w:uiPriority w:val="39"/>
    <w:rsid w:val="00005BEA"/>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2">
    <w:name w:val="Table Grid11131122"/>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145555845">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13533215">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545262789">
      <w:bodyDiv w:val="1"/>
      <w:marLeft w:val="0"/>
      <w:marRight w:val="0"/>
      <w:marTop w:val="0"/>
      <w:marBottom w:val="0"/>
      <w:divBdr>
        <w:top w:val="none" w:sz="0" w:space="0" w:color="auto"/>
        <w:left w:val="none" w:sz="0" w:space="0" w:color="auto"/>
        <w:bottom w:val="none" w:sz="0" w:space="0" w:color="auto"/>
        <w:right w:val="none" w:sz="0" w:space="0" w:color="auto"/>
      </w:divBdr>
    </w:div>
    <w:div w:id="607200544">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16927086">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37840740">
      <w:bodyDiv w:val="1"/>
      <w:marLeft w:val="0"/>
      <w:marRight w:val="0"/>
      <w:marTop w:val="0"/>
      <w:marBottom w:val="0"/>
      <w:divBdr>
        <w:top w:val="none" w:sz="0" w:space="0" w:color="auto"/>
        <w:left w:val="none" w:sz="0" w:space="0" w:color="auto"/>
        <w:bottom w:val="none" w:sz="0" w:space="0" w:color="auto"/>
        <w:right w:val="none" w:sz="0" w:space="0" w:color="auto"/>
      </w:divBdr>
    </w:div>
    <w:div w:id="860893093">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0793711">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084644819">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3545497">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09239260">
      <w:bodyDiv w:val="1"/>
      <w:marLeft w:val="0"/>
      <w:marRight w:val="0"/>
      <w:marTop w:val="0"/>
      <w:marBottom w:val="0"/>
      <w:divBdr>
        <w:top w:val="none" w:sz="0" w:space="0" w:color="auto"/>
        <w:left w:val="none" w:sz="0" w:space="0" w:color="auto"/>
        <w:bottom w:val="none" w:sz="0" w:space="0" w:color="auto"/>
        <w:right w:val="none" w:sz="0" w:space="0" w:color="auto"/>
      </w:divBdr>
    </w:div>
    <w:div w:id="1338272255">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402023537">
      <w:bodyDiv w:val="1"/>
      <w:marLeft w:val="0"/>
      <w:marRight w:val="0"/>
      <w:marTop w:val="0"/>
      <w:marBottom w:val="0"/>
      <w:divBdr>
        <w:top w:val="none" w:sz="0" w:space="0" w:color="auto"/>
        <w:left w:val="none" w:sz="0" w:space="0" w:color="auto"/>
        <w:bottom w:val="none" w:sz="0" w:space="0" w:color="auto"/>
        <w:right w:val="none" w:sz="0" w:space="0" w:color="auto"/>
      </w:divBdr>
    </w:div>
    <w:div w:id="1468086967">
      <w:bodyDiv w:val="1"/>
      <w:marLeft w:val="0"/>
      <w:marRight w:val="0"/>
      <w:marTop w:val="0"/>
      <w:marBottom w:val="0"/>
      <w:divBdr>
        <w:top w:val="none" w:sz="0" w:space="0" w:color="auto"/>
        <w:left w:val="none" w:sz="0" w:space="0" w:color="auto"/>
        <w:bottom w:val="none" w:sz="0" w:space="0" w:color="auto"/>
        <w:right w:val="none" w:sz="0" w:space="0" w:color="auto"/>
      </w:divBdr>
    </w:div>
    <w:div w:id="1482695752">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4371473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582518203">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29835609">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1990860506">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127769506">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3.xml"/><Relationship Id="rId68" Type="http://schemas.openxmlformats.org/officeDocument/2006/relationships/chart" Target="charts/chart58.xml"/><Relationship Id="rId84" Type="http://schemas.openxmlformats.org/officeDocument/2006/relationships/chart" Target="charts/chart70.xml"/><Relationship Id="rId89" Type="http://schemas.openxmlformats.org/officeDocument/2006/relationships/image" Target="media/image11.png"/><Relationship Id="rId16" Type="http://schemas.openxmlformats.org/officeDocument/2006/relationships/chart" Target="charts/chart9.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3.xml"/><Relationship Id="rId58" Type="http://schemas.openxmlformats.org/officeDocument/2006/relationships/chart" Target="charts/chart48.xml"/><Relationship Id="rId74" Type="http://schemas.openxmlformats.org/officeDocument/2006/relationships/chart" Target="charts/chart64.xml"/><Relationship Id="rId79" Type="http://schemas.openxmlformats.org/officeDocument/2006/relationships/chart" Target="charts/chart65.xml"/><Relationship Id="rId5" Type="http://schemas.openxmlformats.org/officeDocument/2006/relationships/webSettings" Target="webSettings.xml"/><Relationship Id="rId90" Type="http://schemas.openxmlformats.org/officeDocument/2006/relationships/footer" Target="footer1.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image" Target="media/image2.emf"/><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image" Target="media/image7.png"/><Relationship Id="rId8" Type="http://schemas.openxmlformats.org/officeDocument/2006/relationships/chart" Target="charts/chart1.xml"/><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chart" Target="charts/chart66.xml"/><Relationship Id="rId85" Type="http://schemas.openxmlformats.org/officeDocument/2006/relationships/image" Target="media/image9.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image" Target="media/image5.png"/><Relationship Id="rId83" Type="http://schemas.openxmlformats.org/officeDocument/2006/relationships/chart" Target="charts/chart69.xml"/><Relationship Id="rId88" Type="http://schemas.openxmlformats.org/officeDocument/2006/relationships/chart" Target="charts/chart7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image" Target="media/image3.emf"/><Relationship Id="rId57" Type="http://schemas.openxmlformats.org/officeDocument/2006/relationships/chart" Target="charts/chart47.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image" Target="media/image8.png"/><Relationship Id="rId81" Type="http://schemas.openxmlformats.org/officeDocument/2006/relationships/chart" Target="charts/chart67.xml"/><Relationship Id="rId86"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34" Type="http://schemas.openxmlformats.org/officeDocument/2006/relationships/chart" Target="charts/chart27.xml"/><Relationship Id="rId50" Type="http://schemas.openxmlformats.org/officeDocument/2006/relationships/image" Target="media/image4.emf"/><Relationship Id="rId55" Type="http://schemas.openxmlformats.org/officeDocument/2006/relationships/chart" Target="charts/chart45.xml"/><Relationship Id="rId76"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chart" Target="charts/chart61.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6.xml"/><Relationship Id="rId87" Type="http://schemas.openxmlformats.org/officeDocument/2006/relationships/chart" Target="charts/chart71.xml"/><Relationship Id="rId61" Type="http://schemas.openxmlformats.org/officeDocument/2006/relationships/chart" Target="charts/chart51.xml"/><Relationship Id="rId82" Type="http://schemas.openxmlformats.org/officeDocument/2006/relationships/chart" Target="charts/chart68.xml"/><Relationship Id="rId19" Type="http://schemas.openxmlformats.org/officeDocument/2006/relationships/chart" Target="charts/chart12.xml"/></Relationships>
</file>

<file path=word/_rels/footnotes.xml.rels><?xml version="1.0" encoding="UTF-8" standalone="yes"?>
<Relationships xmlns="http://schemas.openxmlformats.org/package/2006/relationships"><Relationship Id="rId3" Type="http://schemas.openxmlformats.org/officeDocument/2006/relationships/hyperlink" Target="https://blogs.imf.org/2020/07/10/fiscal-policies-for-a-transformed-world/" TargetMode="External"/><Relationship Id="rId2" Type="http://schemas.openxmlformats.org/officeDocument/2006/relationships/hyperlink" Target="https://www.cba.am/AM/pperiodicals/Stability%20report_I_20.pdf" TargetMode="External"/><Relationship Id="rId1" Type="http://schemas.openxmlformats.org/officeDocument/2006/relationships/hyperlink" Target="https://www.imf.org/en/Publications/FM/Issues/2020/09/30/october-2020-fiscal-monitor" TargetMode="External"/><Relationship Id="rId6" Type="http://schemas.openxmlformats.org/officeDocument/2006/relationships/hyperlink" Target="https://www.gov.am/am/covid-19-cragrer./" TargetMode="External"/><Relationship Id="rId5" Type="http://schemas.openxmlformats.org/officeDocument/2006/relationships/hyperlink" Target="https://www.gov.am/am/covid19./" TargetMode="External"/><Relationship Id="rId4" Type="http://schemas.openxmlformats.org/officeDocument/2006/relationships/hyperlink" Target="https://www.imf.org/en/Topics/imf-and-covid19/Fiscal-Policies-Database-in-Response-to-COVID-19"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openxmlformats.org/officeDocument/2006/relationships/image" Target="../media/image1.png"/><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28.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29.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31.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36.xlsx"/><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oleObject" Target="file:///C:\Users\HP\Downloads\FanChart_Budget_2021_04.11.2020_4%20(1).xlsx" TargetMode="External"/><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40.xlsx"/><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41.xlsx"/><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42.xlsx"/><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43.xlsx"/><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44.xlsx"/><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45.xlsx"/><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46.xlsx"/><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Worksheet47.xlsx"/><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Worksheet48.xlsx"/><Relationship Id="rId1" Type="http://schemas.openxmlformats.org/officeDocument/2006/relationships/themeOverride" Target="../theme/themeOverride50.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Microsoft_Excel_Worksheet49.xlsx"/><Relationship Id="rId1" Type="http://schemas.openxmlformats.org/officeDocument/2006/relationships/themeOverride" Target="../theme/themeOverride51.xm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2.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Microsoft_Excel_Worksheet52.xlsx"/><Relationship Id="rId1" Type="http://schemas.openxmlformats.org/officeDocument/2006/relationships/themeOverride" Target="../theme/themeOverride53.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Microsoft_Excel_Worksheet53.xlsx"/><Relationship Id="rId1" Type="http://schemas.openxmlformats.org/officeDocument/2006/relationships/themeOverride" Target="../theme/themeOverride54.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5.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6.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7.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8.xml"/></Relationships>
</file>

<file path=word/charts/_rels/chart61.xml.rels><?xml version="1.0" encoding="UTF-8" standalone="yes"?>
<Relationships xmlns="http://schemas.openxmlformats.org/package/2006/relationships"><Relationship Id="rId1" Type="http://schemas.openxmlformats.org/officeDocument/2006/relationships/oleObject" Target="file:///C:\Users\George\Desktop\Working%20Files\Budget_2021\November\Last_Update\Budget%20External%20Debt.xls"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George\Desktop\Working%20Files\Budget_2021\November\Last_Update\Budget%20External%20Debt.xls"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George\Desktop\Working%20Files\Budget_2021\November\Last_Update\Budget%20External%20Debt.xls"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George\Desktop\Working%20Files\Budget_2021\November\Last_Update\Budget%20External%20Debt.xls"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George\Desktop\Working%20Files\Budget_2021\November\Last_Update\Budget%20External%20Debt.xls"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George\Desktop\Working%20Files\Budget_2021\November\Last_Update\Budget%20External%20Debt.xls"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George\Desktop\Working%20Files\Budget_2021\November\Budget%20External%20Debt.xls"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George\Desktop\Working%20Files\Budget_2021\November\Budget%20External%20Debt.xls"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George\Desktop\Working%20Files\Budget_2021\November\Budget%20External%20Debt.xls"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0.xml.rels><?xml version="1.0" encoding="UTF-8" standalone="yes"?>
<Relationships xmlns="http://schemas.openxmlformats.org/package/2006/relationships"><Relationship Id="rId1" Type="http://schemas.openxmlformats.org/officeDocument/2006/relationships/oleObject" Target="file:///C:\Users\George\Desktop\Working%20Files\Budget_2021\November\Budget%20External%20Debt.xls"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George\Desktop\Working%20Files\Budget_2021\November\Last_Update\Budget%20External%20Debt.xls" TargetMode="External"/></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4258002232482"/>
          <c:y val="7.1301466104615782E-2"/>
          <c:w val="0.83276495610462564"/>
          <c:h val="0.67818924149632864"/>
        </c:manualLayout>
      </c:layout>
      <c:barChart>
        <c:barDir val="col"/>
        <c:grouping val="clustered"/>
        <c:varyColors val="0"/>
        <c:ser>
          <c:idx val="1"/>
          <c:order val="1"/>
          <c:tx>
            <c:strRef>
              <c:f>Sheet1!$C$1</c:f>
              <c:strCache>
                <c:ptCount val="1"/>
                <c:pt idx="0">
                  <c:v>ՌԴ</c:v>
                </c:pt>
              </c:strCache>
            </c:strRef>
          </c:tx>
          <c:spPr>
            <a:solidFill>
              <a:schemeClr val="accent2"/>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Sheet1!$C$2:$C$6</c:f>
              <c:numCache>
                <c:formatCode>#,##0.0;"–"#,##0.0</c:formatCode>
                <c:ptCount val="5"/>
                <c:pt idx="0">
                  <c:v>1.794</c:v>
                </c:pt>
                <c:pt idx="1">
                  <c:v>2.5</c:v>
                </c:pt>
                <c:pt idx="2">
                  <c:v>1.3</c:v>
                </c:pt>
                <c:pt idx="3">
                  <c:v>-4.1059999999999981</c:v>
                </c:pt>
                <c:pt idx="4">
                  <c:v>2.8009999999999997</c:v>
                </c:pt>
              </c:numCache>
            </c:numRef>
          </c:val>
          <c:extLst>
            <c:ext xmlns:c16="http://schemas.microsoft.com/office/drawing/2014/chart" uri="{C3380CC4-5D6E-409C-BE32-E72D297353CC}">
              <c16:uniqueId val="{00000000-C156-45AA-9C61-567E21214EC9}"/>
            </c:ext>
          </c:extLst>
        </c:ser>
        <c:ser>
          <c:idx val="2"/>
          <c:order val="2"/>
          <c:tx>
            <c:strRef>
              <c:f>Sheet1!$D$1</c:f>
              <c:strCache>
                <c:ptCount val="1"/>
                <c:pt idx="0">
                  <c:v>Եվրոգոտի</c:v>
                </c:pt>
              </c:strCache>
            </c:strRef>
          </c:tx>
          <c:spPr>
            <a:solidFill>
              <a:schemeClr val="accent3"/>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Sheet1!$D$2:$D$6</c:f>
              <c:numCache>
                <c:formatCode>#,##0.0;"–"#,##0.0</c:formatCode>
                <c:ptCount val="5"/>
                <c:pt idx="0">
                  <c:v>2.5419999999999998</c:v>
                </c:pt>
                <c:pt idx="1">
                  <c:v>1.9245307253744466</c:v>
                </c:pt>
                <c:pt idx="2">
                  <c:v>1.278344812280984</c:v>
                </c:pt>
                <c:pt idx="3">
                  <c:v>-8.3023857282613438</c:v>
                </c:pt>
                <c:pt idx="4">
                  <c:v>5.2026437578171114</c:v>
                </c:pt>
              </c:numCache>
            </c:numRef>
          </c:val>
          <c:extLst>
            <c:ext xmlns:c16="http://schemas.microsoft.com/office/drawing/2014/chart" uri="{C3380CC4-5D6E-409C-BE32-E72D297353CC}">
              <c16:uniqueId val="{00000001-C156-45AA-9C61-567E21214EC9}"/>
            </c:ext>
          </c:extLst>
        </c:ser>
        <c:ser>
          <c:idx val="3"/>
          <c:order val="3"/>
          <c:tx>
            <c:strRef>
              <c:f>Sheet1!$E$1</c:f>
              <c:strCache>
                <c:ptCount val="1"/>
                <c:pt idx="0">
                  <c:v>Չինաստան</c:v>
                </c:pt>
              </c:strCache>
            </c:strRef>
          </c:tx>
          <c:spPr>
            <a:solidFill>
              <a:schemeClr val="accent4"/>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Sheet1!$E$2:$E$6</c:f>
              <c:numCache>
                <c:formatCode>#,##0.0;"–"#,##0.0</c:formatCode>
                <c:ptCount val="5"/>
                <c:pt idx="0">
                  <c:v>6.7569999999999997</c:v>
                </c:pt>
                <c:pt idx="1">
                  <c:v>6.7</c:v>
                </c:pt>
                <c:pt idx="2">
                  <c:v>6.1</c:v>
                </c:pt>
                <c:pt idx="3">
                  <c:v>1.9000000000000001</c:v>
                </c:pt>
                <c:pt idx="4">
                  <c:v>8.2000000000000011</c:v>
                </c:pt>
              </c:numCache>
            </c:numRef>
          </c:val>
          <c:extLst>
            <c:ext xmlns:c16="http://schemas.microsoft.com/office/drawing/2014/chart" uri="{C3380CC4-5D6E-409C-BE32-E72D297353CC}">
              <c16:uniqueId val="{00000002-C156-45AA-9C61-567E21214EC9}"/>
            </c:ext>
          </c:extLst>
        </c:ser>
        <c:ser>
          <c:idx val="4"/>
          <c:order val="4"/>
          <c:tx>
            <c:strRef>
              <c:f>Sheet1!$F$1</c:f>
              <c:strCache>
                <c:ptCount val="1"/>
                <c:pt idx="0">
                  <c:v>ԱՄՆ</c:v>
                </c:pt>
              </c:strCache>
            </c:strRef>
          </c:tx>
          <c:spPr>
            <a:solidFill>
              <a:schemeClr val="accent5"/>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Sheet1!$F$2:$F$6</c:f>
              <c:numCache>
                <c:formatCode>#,##0.0;"–"#,##0.0</c:formatCode>
                <c:ptCount val="5"/>
                <c:pt idx="0">
                  <c:v>2.3699999999999997</c:v>
                </c:pt>
                <c:pt idx="1">
                  <c:v>2.9</c:v>
                </c:pt>
                <c:pt idx="2">
                  <c:v>2.2000000000000002</c:v>
                </c:pt>
                <c:pt idx="3">
                  <c:v>-4.3</c:v>
                </c:pt>
                <c:pt idx="4">
                  <c:v>3.1</c:v>
                </c:pt>
              </c:numCache>
            </c:numRef>
          </c:val>
          <c:extLst>
            <c:ext xmlns:c16="http://schemas.microsoft.com/office/drawing/2014/chart" uri="{C3380CC4-5D6E-409C-BE32-E72D297353CC}">
              <c16:uniqueId val="{00000003-C156-45AA-9C61-567E21214EC9}"/>
            </c:ext>
          </c:extLst>
        </c:ser>
        <c:dLbls>
          <c:showLegendKey val="0"/>
          <c:showVal val="0"/>
          <c:showCatName val="0"/>
          <c:showSerName val="0"/>
          <c:showPercent val="0"/>
          <c:showBubbleSize val="0"/>
        </c:dLbls>
        <c:gapWidth val="150"/>
        <c:axId val="79411456"/>
        <c:axId val="84879232"/>
      </c:barChart>
      <c:lineChart>
        <c:grouping val="standard"/>
        <c:varyColors val="0"/>
        <c:ser>
          <c:idx val="0"/>
          <c:order val="0"/>
          <c:tx>
            <c:strRef>
              <c:f>Sheet1!$B$1</c:f>
              <c:strCache>
                <c:ptCount val="1"/>
                <c:pt idx="0">
                  <c:v>Աշխարը</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#,##0.0;"–"#,##0.0</c:formatCode>
                <c:ptCount val="5"/>
                <c:pt idx="0">
                  <c:v>3.8699999999999997</c:v>
                </c:pt>
                <c:pt idx="1">
                  <c:v>3.5852566282283198</c:v>
                </c:pt>
                <c:pt idx="2">
                  <c:v>2.8161521911175988</c:v>
                </c:pt>
                <c:pt idx="3">
                  <c:v>-4.4044539607643403</c:v>
                </c:pt>
                <c:pt idx="4">
                  <c:v>5.2044730375873201</c:v>
                </c:pt>
              </c:numCache>
            </c:numRef>
          </c:val>
          <c:smooth val="0"/>
          <c:extLst>
            <c:ext xmlns:c16="http://schemas.microsoft.com/office/drawing/2014/chart" uri="{C3380CC4-5D6E-409C-BE32-E72D297353CC}">
              <c16:uniqueId val="{00000004-C156-45AA-9C61-567E21214EC9}"/>
            </c:ext>
          </c:extLst>
        </c:ser>
        <c:dLbls>
          <c:showLegendKey val="0"/>
          <c:showVal val="0"/>
          <c:showCatName val="0"/>
          <c:showSerName val="0"/>
          <c:showPercent val="0"/>
          <c:showBubbleSize val="0"/>
        </c:dLbls>
        <c:marker val="1"/>
        <c:smooth val="0"/>
        <c:axId val="79411456"/>
        <c:axId val="84879232"/>
      </c:lineChart>
      <c:catAx>
        <c:axId val="794114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879232"/>
        <c:crosses val="autoZero"/>
        <c:auto val="1"/>
        <c:lblAlgn val="ctr"/>
        <c:lblOffset val="100"/>
        <c:noMultiLvlLbl val="0"/>
      </c:catAx>
      <c:valAx>
        <c:axId val="84879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411456"/>
        <c:crosses val="autoZero"/>
        <c:crossBetween val="between"/>
      </c:valAx>
      <c:spPr>
        <a:noFill/>
        <a:ln>
          <a:noFill/>
        </a:ln>
        <a:effectLst/>
      </c:spPr>
    </c:plotArea>
    <c:legend>
      <c:legendPos val="b"/>
      <c:layout>
        <c:manualLayout>
          <c:xMode val="edge"/>
          <c:yMode val="edge"/>
          <c:x val="9.0876097384378726E-2"/>
          <c:y val="0.83979280367731957"/>
          <c:w val="0.8424169184290029"/>
          <c:h val="0.1417672790901139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cap="none" spc="20" baseline="0">
                <a:solidFill>
                  <a:schemeClr val="dk1">
                    <a:lumMod val="50000"/>
                    <a:lumOff val="50000"/>
                  </a:schemeClr>
                </a:solidFill>
                <a:latin typeface="+mn-lt"/>
                <a:ea typeface="+mn-ea"/>
                <a:cs typeface="+mn-cs"/>
              </a:defRPr>
            </a:pPr>
            <a:r>
              <a:rPr lang="en-US" sz="900" i="1"/>
              <a:t>....</a:t>
            </a:r>
            <a:r>
              <a:rPr lang="hy-AM" sz="800" i="1"/>
              <a:t>կորոնավիրուսի տարածումն</a:t>
            </a:r>
            <a:r>
              <a:rPr lang="hy-AM" sz="800" i="1" baseline="0"/>
              <a:t> արագացել </a:t>
            </a:r>
            <a:r>
              <a:rPr lang="hy-AM" sz="800" i="1"/>
              <a:t>է</a:t>
            </a:r>
          </a:p>
        </c:rich>
      </c:tx>
      <c:overlay val="0"/>
      <c:spPr>
        <a:noFill/>
        <a:ln>
          <a:noFill/>
        </a:ln>
        <a:effectLst/>
      </c:spPr>
    </c:title>
    <c:autoTitleDeleted val="0"/>
    <c:plotArea>
      <c:layout/>
      <c:lineChart>
        <c:grouping val="standard"/>
        <c:varyColors val="0"/>
        <c:ser>
          <c:idx val="0"/>
          <c:order val="0"/>
          <c:tx>
            <c:strRef>
              <c:f>Sheet1!$B$1</c:f>
              <c:strCache>
                <c:ptCount val="1"/>
                <c:pt idx="0">
                  <c:v>Կորոնավիրուսի հաստատված դեպքերը</c:v>
                </c:pt>
              </c:strCache>
            </c:strRef>
          </c:tx>
          <c:spPr>
            <a:ln w="22225" cap="rnd" cmpd="sng" algn="ctr">
              <a:solidFill>
                <a:schemeClr val="accent1"/>
              </a:solidFill>
              <a:round/>
            </a:ln>
            <a:effectLst/>
          </c:spPr>
          <c:marker>
            <c:symbol val="none"/>
          </c:marker>
          <c:cat>
            <c:strRef>
              <c:f>Sheet1!$A$2:$A$270</c:f>
              <c:strCache>
                <c:ptCount val="269"/>
                <c:pt idx="0">
                  <c:v>01.03.2020</c:v>
                </c:pt>
                <c:pt idx="1">
                  <c:v>02.03.2020</c:v>
                </c:pt>
                <c:pt idx="2">
                  <c:v>03.03.2020</c:v>
                </c:pt>
                <c:pt idx="3">
                  <c:v>04.03.2020</c:v>
                </c:pt>
                <c:pt idx="4">
                  <c:v>05.03.2020</c:v>
                </c:pt>
                <c:pt idx="5">
                  <c:v>06.03.2020</c:v>
                </c:pt>
                <c:pt idx="6">
                  <c:v>07.03.2020</c:v>
                </c:pt>
                <c:pt idx="7">
                  <c:v>08.03.2020</c:v>
                </c:pt>
                <c:pt idx="8">
                  <c:v>09.03.2020</c:v>
                </c:pt>
                <c:pt idx="9">
                  <c:v>10.03.2020</c:v>
                </c:pt>
                <c:pt idx="10">
                  <c:v>11.03.2020</c:v>
                </c:pt>
                <c:pt idx="11">
                  <c:v>12.03.2020</c:v>
                </c:pt>
                <c:pt idx="12">
                  <c:v>13.03.2020</c:v>
                </c:pt>
                <c:pt idx="13">
                  <c:v>14.03.2020</c:v>
                </c:pt>
                <c:pt idx="14">
                  <c:v>15.03.2020</c:v>
                </c:pt>
                <c:pt idx="15">
                  <c:v>16.03.2020</c:v>
                </c:pt>
                <c:pt idx="16">
                  <c:v>17.03.2020</c:v>
                </c:pt>
                <c:pt idx="17">
                  <c:v>18.03.2020</c:v>
                </c:pt>
                <c:pt idx="18">
                  <c:v>19.03.2020</c:v>
                </c:pt>
                <c:pt idx="19">
                  <c:v>20.03.2020</c:v>
                </c:pt>
                <c:pt idx="20">
                  <c:v>21.03.2020</c:v>
                </c:pt>
                <c:pt idx="21">
                  <c:v>22.03.2020</c:v>
                </c:pt>
                <c:pt idx="22">
                  <c:v>23.03.2020</c:v>
                </c:pt>
                <c:pt idx="23">
                  <c:v>24.03.2020</c:v>
                </c:pt>
                <c:pt idx="24">
                  <c:v>25.03.2020</c:v>
                </c:pt>
                <c:pt idx="25">
                  <c:v>26.03.2020</c:v>
                </c:pt>
                <c:pt idx="26">
                  <c:v>27.03.2020</c:v>
                </c:pt>
                <c:pt idx="27">
                  <c:v>28.03.2020</c:v>
                </c:pt>
                <c:pt idx="28">
                  <c:v>29.03.2020</c:v>
                </c:pt>
                <c:pt idx="29">
                  <c:v>30.03.2020</c:v>
                </c:pt>
                <c:pt idx="30">
                  <c:v>31.03.2020</c:v>
                </c:pt>
                <c:pt idx="31">
                  <c:v>01.04.2020</c:v>
                </c:pt>
                <c:pt idx="32">
                  <c:v>02.04.2020</c:v>
                </c:pt>
                <c:pt idx="33">
                  <c:v>03.04.2020</c:v>
                </c:pt>
                <c:pt idx="34">
                  <c:v>04.04.2020</c:v>
                </c:pt>
                <c:pt idx="35">
                  <c:v>05.04.2020</c:v>
                </c:pt>
                <c:pt idx="36">
                  <c:v>06.04.2020</c:v>
                </c:pt>
                <c:pt idx="37">
                  <c:v>07.04.2020</c:v>
                </c:pt>
                <c:pt idx="38">
                  <c:v>08.04.2020</c:v>
                </c:pt>
                <c:pt idx="39">
                  <c:v>09.04.2020</c:v>
                </c:pt>
                <c:pt idx="40">
                  <c:v>10.04.2020</c:v>
                </c:pt>
                <c:pt idx="41">
                  <c:v>11.04.2020</c:v>
                </c:pt>
                <c:pt idx="42">
                  <c:v>12.04.2020</c:v>
                </c:pt>
                <c:pt idx="43">
                  <c:v>13.04.2020</c:v>
                </c:pt>
                <c:pt idx="44">
                  <c:v>14.04.2020</c:v>
                </c:pt>
                <c:pt idx="45">
                  <c:v>15.04.2020</c:v>
                </c:pt>
                <c:pt idx="46">
                  <c:v>16.04.2020</c:v>
                </c:pt>
                <c:pt idx="47">
                  <c:v>17.04.2020</c:v>
                </c:pt>
                <c:pt idx="48">
                  <c:v>18.04.2020</c:v>
                </c:pt>
                <c:pt idx="49">
                  <c:v>19.04.2020</c:v>
                </c:pt>
                <c:pt idx="50">
                  <c:v>20.04.2020</c:v>
                </c:pt>
                <c:pt idx="51">
                  <c:v>21.04.2020</c:v>
                </c:pt>
                <c:pt idx="52">
                  <c:v>22.04.2020</c:v>
                </c:pt>
                <c:pt idx="53">
                  <c:v>23.04.2020</c:v>
                </c:pt>
                <c:pt idx="54">
                  <c:v>24.04.2020</c:v>
                </c:pt>
                <c:pt idx="55">
                  <c:v>25.04.2020</c:v>
                </c:pt>
                <c:pt idx="56">
                  <c:v>26.04.2020</c:v>
                </c:pt>
                <c:pt idx="57">
                  <c:v>27.04.2020</c:v>
                </c:pt>
                <c:pt idx="58">
                  <c:v>28.04.2020</c:v>
                </c:pt>
                <c:pt idx="59">
                  <c:v>29.04.2020</c:v>
                </c:pt>
                <c:pt idx="60">
                  <c:v>30.04.2020</c:v>
                </c:pt>
                <c:pt idx="61">
                  <c:v>01.05.2020</c:v>
                </c:pt>
                <c:pt idx="62">
                  <c:v>02.05.2020</c:v>
                </c:pt>
                <c:pt idx="63">
                  <c:v>03.05.2020</c:v>
                </c:pt>
                <c:pt idx="64">
                  <c:v>04.05.2020</c:v>
                </c:pt>
                <c:pt idx="65">
                  <c:v>05.05.2020</c:v>
                </c:pt>
                <c:pt idx="66">
                  <c:v>06.05.2020</c:v>
                </c:pt>
                <c:pt idx="67">
                  <c:v>07.05.2020</c:v>
                </c:pt>
                <c:pt idx="68">
                  <c:v>08.05.2020</c:v>
                </c:pt>
                <c:pt idx="69">
                  <c:v>09.05.2020</c:v>
                </c:pt>
                <c:pt idx="70">
                  <c:v>10.05.2020</c:v>
                </c:pt>
                <c:pt idx="71">
                  <c:v>11.05.2020</c:v>
                </c:pt>
                <c:pt idx="72">
                  <c:v>12.05.2020</c:v>
                </c:pt>
                <c:pt idx="73">
                  <c:v>13.05.2020</c:v>
                </c:pt>
                <c:pt idx="74">
                  <c:v>14.05.2020</c:v>
                </c:pt>
                <c:pt idx="75">
                  <c:v>15.05.2020</c:v>
                </c:pt>
                <c:pt idx="76">
                  <c:v>16.05.2020</c:v>
                </c:pt>
                <c:pt idx="77">
                  <c:v>17.05.2020</c:v>
                </c:pt>
                <c:pt idx="78">
                  <c:v>18.05.2020</c:v>
                </c:pt>
                <c:pt idx="79">
                  <c:v>19.05.2020</c:v>
                </c:pt>
                <c:pt idx="80">
                  <c:v>20.05.2020</c:v>
                </c:pt>
                <c:pt idx="81">
                  <c:v>21.05.2020</c:v>
                </c:pt>
                <c:pt idx="82">
                  <c:v>22.05.2020</c:v>
                </c:pt>
                <c:pt idx="83">
                  <c:v>23.05.2020</c:v>
                </c:pt>
                <c:pt idx="84">
                  <c:v>24.05.2020</c:v>
                </c:pt>
                <c:pt idx="85">
                  <c:v>25.05.2020</c:v>
                </c:pt>
                <c:pt idx="86">
                  <c:v>26.05.2020</c:v>
                </c:pt>
                <c:pt idx="87">
                  <c:v>27.05.2020</c:v>
                </c:pt>
                <c:pt idx="88">
                  <c:v>28.05.2020</c:v>
                </c:pt>
                <c:pt idx="89">
                  <c:v>29.05.2020</c:v>
                </c:pt>
                <c:pt idx="90">
                  <c:v>30.05.2020</c:v>
                </c:pt>
                <c:pt idx="91">
                  <c:v>31.05.2020</c:v>
                </c:pt>
                <c:pt idx="92">
                  <c:v>01.06.2020</c:v>
                </c:pt>
                <c:pt idx="93">
                  <c:v>02.06.2020</c:v>
                </c:pt>
                <c:pt idx="94">
                  <c:v>03.06.2020</c:v>
                </c:pt>
                <c:pt idx="95">
                  <c:v>04.06.2020</c:v>
                </c:pt>
                <c:pt idx="96">
                  <c:v>05.06.2020</c:v>
                </c:pt>
                <c:pt idx="97">
                  <c:v>06.06.2020</c:v>
                </c:pt>
                <c:pt idx="98">
                  <c:v>07.06.2020</c:v>
                </c:pt>
                <c:pt idx="99">
                  <c:v>08.06.2020</c:v>
                </c:pt>
                <c:pt idx="100">
                  <c:v>09.06.2020</c:v>
                </c:pt>
                <c:pt idx="101">
                  <c:v>10.06.2020</c:v>
                </c:pt>
                <c:pt idx="102">
                  <c:v>11.06.2020</c:v>
                </c:pt>
                <c:pt idx="103">
                  <c:v>12.06.2020</c:v>
                </c:pt>
                <c:pt idx="104">
                  <c:v>13.06.2020</c:v>
                </c:pt>
                <c:pt idx="105">
                  <c:v>14.06.2020</c:v>
                </c:pt>
                <c:pt idx="106">
                  <c:v>15.06.2020</c:v>
                </c:pt>
                <c:pt idx="107">
                  <c:v>16.06.2020</c:v>
                </c:pt>
                <c:pt idx="108">
                  <c:v>17.06.2020</c:v>
                </c:pt>
                <c:pt idx="109">
                  <c:v>18.06.2020</c:v>
                </c:pt>
                <c:pt idx="110">
                  <c:v>19.06.2020</c:v>
                </c:pt>
                <c:pt idx="111">
                  <c:v>20.06.2020</c:v>
                </c:pt>
                <c:pt idx="112">
                  <c:v>21.06.2020</c:v>
                </c:pt>
                <c:pt idx="113">
                  <c:v>22.06.2020</c:v>
                </c:pt>
                <c:pt idx="114">
                  <c:v>23.06.2020</c:v>
                </c:pt>
                <c:pt idx="115">
                  <c:v>24.06.2020</c:v>
                </c:pt>
                <c:pt idx="116">
                  <c:v>25.06.2020</c:v>
                </c:pt>
                <c:pt idx="117">
                  <c:v>26.06.2020</c:v>
                </c:pt>
                <c:pt idx="118">
                  <c:v>27.06.2020</c:v>
                </c:pt>
                <c:pt idx="119">
                  <c:v>28.06.2020</c:v>
                </c:pt>
                <c:pt idx="120">
                  <c:v>29.06.2020</c:v>
                </c:pt>
                <c:pt idx="121">
                  <c:v>30.06.2020</c:v>
                </c:pt>
                <c:pt idx="122">
                  <c:v>01.07.2020</c:v>
                </c:pt>
                <c:pt idx="123">
                  <c:v>02.07.2020</c:v>
                </c:pt>
                <c:pt idx="124">
                  <c:v>03.07.2020</c:v>
                </c:pt>
                <c:pt idx="125">
                  <c:v>04.07.2020</c:v>
                </c:pt>
                <c:pt idx="126">
                  <c:v>05.07.2020</c:v>
                </c:pt>
                <c:pt idx="127">
                  <c:v>06.07.2020</c:v>
                </c:pt>
                <c:pt idx="128">
                  <c:v>07.07.2020</c:v>
                </c:pt>
                <c:pt idx="129">
                  <c:v>08.07.2020</c:v>
                </c:pt>
                <c:pt idx="130">
                  <c:v>09.07.2020</c:v>
                </c:pt>
                <c:pt idx="131">
                  <c:v>10.07.2020</c:v>
                </c:pt>
                <c:pt idx="132">
                  <c:v>11.07.2020</c:v>
                </c:pt>
                <c:pt idx="133">
                  <c:v>12.07.2020</c:v>
                </c:pt>
                <c:pt idx="134">
                  <c:v>13.07.2020</c:v>
                </c:pt>
                <c:pt idx="135">
                  <c:v>14.07.2020</c:v>
                </c:pt>
                <c:pt idx="136">
                  <c:v>15.07.2020</c:v>
                </c:pt>
                <c:pt idx="137">
                  <c:v>16.07.2020</c:v>
                </c:pt>
                <c:pt idx="138">
                  <c:v>17.07.2020</c:v>
                </c:pt>
                <c:pt idx="139">
                  <c:v>18.07.2020</c:v>
                </c:pt>
                <c:pt idx="140">
                  <c:v>19.07.2020</c:v>
                </c:pt>
                <c:pt idx="141">
                  <c:v>20.07.2020</c:v>
                </c:pt>
                <c:pt idx="142">
                  <c:v>21.07.2020</c:v>
                </c:pt>
                <c:pt idx="143">
                  <c:v>22.07.2020</c:v>
                </c:pt>
                <c:pt idx="144">
                  <c:v>23.07.2020</c:v>
                </c:pt>
                <c:pt idx="145">
                  <c:v>24.07.2020</c:v>
                </c:pt>
                <c:pt idx="146">
                  <c:v>25.07.2020</c:v>
                </c:pt>
                <c:pt idx="147">
                  <c:v>26.07.2020</c:v>
                </c:pt>
                <c:pt idx="148">
                  <c:v>27.07.2020</c:v>
                </c:pt>
                <c:pt idx="149">
                  <c:v>28.07.2020</c:v>
                </c:pt>
                <c:pt idx="150">
                  <c:v>29.07.2020</c:v>
                </c:pt>
                <c:pt idx="151">
                  <c:v>30.07.2020</c:v>
                </c:pt>
                <c:pt idx="152">
                  <c:v>31.07.2020</c:v>
                </c:pt>
                <c:pt idx="153">
                  <c:v>01.08.2020</c:v>
                </c:pt>
                <c:pt idx="154">
                  <c:v>02.08.2020</c:v>
                </c:pt>
                <c:pt idx="155">
                  <c:v>03.08.2020</c:v>
                </c:pt>
                <c:pt idx="156">
                  <c:v>04.08.2020</c:v>
                </c:pt>
                <c:pt idx="157">
                  <c:v>05.08.2020</c:v>
                </c:pt>
                <c:pt idx="158">
                  <c:v>06.08.2020</c:v>
                </c:pt>
                <c:pt idx="159">
                  <c:v>07.08.2020</c:v>
                </c:pt>
                <c:pt idx="160">
                  <c:v>08.08.2025</c:v>
                </c:pt>
                <c:pt idx="161">
                  <c:v>09.08.2020</c:v>
                </c:pt>
                <c:pt idx="162">
                  <c:v>10.08.2020</c:v>
                </c:pt>
                <c:pt idx="163">
                  <c:v>11.08.2020</c:v>
                </c:pt>
                <c:pt idx="164">
                  <c:v>12.08.2020</c:v>
                </c:pt>
                <c:pt idx="165">
                  <c:v>13.08.2020</c:v>
                </c:pt>
                <c:pt idx="166">
                  <c:v>14.08.2020</c:v>
                </c:pt>
                <c:pt idx="167">
                  <c:v>15.08.2020</c:v>
                </c:pt>
                <c:pt idx="168">
                  <c:v>16.08.2020</c:v>
                </c:pt>
                <c:pt idx="169">
                  <c:v>17.08.2020</c:v>
                </c:pt>
                <c:pt idx="170">
                  <c:v>18.08.2020</c:v>
                </c:pt>
                <c:pt idx="171">
                  <c:v>19.08.2020</c:v>
                </c:pt>
                <c:pt idx="172">
                  <c:v>20.08.2020</c:v>
                </c:pt>
                <c:pt idx="173">
                  <c:v>21.08.2020</c:v>
                </c:pt>
                <c:pt idx="174">
                  <c:v>22.08.2020</c:v>
                </c:pt>
                <c:pt idx="175">
                  <c:v>23.08.2020</c:v>
                </c:pt>
                <c:pt idx="176">
                  <c:v>24.08.2020</c:v>
                </c:pt>
                <c:pt idx="177">
                  <c:v>25.08.2020</c:v>
                </c:pt>
                <c:pt idx="178">
                  <c:v>26.08.2020</c:v>
                </c:pt>
                <c:pt idx="179">
                  <c:v>27.08.2020</c:v>
                </c:pt>
                <c:pt idx="180">
                  <c:v>28.08.2020</c:v>
                </c:pt>
                <c:pt idx="181">
                  <c:v>29.08.2020</c:v>
                </c:pt>
                <c:pt idx="182">
                  <c:v>30.08.2020</c:v>
                </c:pt>
                <c:pt idx="183">
                  <c:v>31.08.2020</c:v>
                </c:pt>
                <c:pt idx="184">
                  <c:v>01.09.2020</c:v>
                </c:pt>
                <c:pt idx="185">
                  <c:v>02.09.2020</c:v>
                </c:pt>
                <c:pt idx="186">
                  <c:v>03.09.2020</c:v>
                </c:pt>
                <c:pt idx="187">
                  <c:v>04.09.2020</c:v>
                </c:pt>
                <c:pt idx="188">
                  <c:v>05.09.2020</c:v>
                </c:pt>
                <c:pt idx="189">
                  <c:v>06.09.2020</c:v>
                </c:pt>
                <c:pt idx="190">
                  <c:v>07.09.2020</c:v>
                </c:pt>
                <c:pt idx="191">
                  <c:v>08.09.2020</c:v>
                </c:pt>
                <c:pt idx="192">
                  <c:v>09.09.2020</c:v>
                </c:pt>
                <c:pt idx="193">
                  <c:v>10.09.2020</c:v>
                </c:pt>
                <c:pt idx="194">
                  <c:v>11.09.2020</c:v>
                </c:pt>
                <c:pt idx="195">
                  <c:v>12.09.2020</c:v>
                </c:pt>
                <c:pt idx="196">
                  <c:v>13.09.2020</c:v>
                </c:pt>
                <c:pt idx="197">
                  <c:v>14.09.2020</c:v>
                </c:pt>
                <c:pt idx="198">
                  <c:v>15.09.2020</c:v>
                </c:pt>
                <c:pt idx="199">
                  <c:v>16.09.2020</c:v>
                </c:pt>
                <c:pt idx="200">
                  <c:v>17.09.2020</c:v>
                </c:pt>
                <c:pt idx="201">
                  <c:v>18.09.2020</c:v>
                </c:pt>
                <c:pt idx="202">
                  <c:v>19.09.2020</c:v>
                </c:pt>
                <c:pt idx="203">
                  <c:v>20.09.2020</c:v>
                </c:pt>
                <c:pt idx="204">
                  <c:v>21.09.2020</c:v>
                </c:pt>
                <c:pt idx="205">
                  <c:v>22.09.2020</c:v>
                </c:pt>
                <c:pt idx="206">
                  <c:v>23.09.2020</c:v>
                </c:pt>
                <c:pt idx="207">
                  <c:v>24.09.2020</c:v>
                </c:pt>
                <c:pt idx="208">
                  <c:v>25.09.2020</c:v>
                </c:pt>
                <c:pt idx="209">
                  <c:v>26.09.2020</c:v>
                </c:pt>
                <c:pt idx="210">
                  <c:v>27.09.2020</c:v>
                </c:pt>
                <c:pt idx="211">
                  <c:v>28.09.2020</c:v>
                </c:pt>
                <c:pt idx="212">
                  <c:v>29.09.2020</c:v>
                </c:pt>
                <c:pt idx="213">
                  <c:v>30.09.2020</c:v>
                </c:pt>
                <c:pt idx="214">
                  <c:v>01.10.2020</c:v>
                </c:pt>
                <c:pt idx="215">
                  <c:v>02.10.2020</c:v>
                </c:pt>
                <c:pt idx="216">
                  <c:v>03.10.2020</c:v>
                </c:pt>
                <c:pt idx="217">
                  <c:v>04.10.2020</c:v>
                </c:pt>
                <c:pt idx="218">
                  <c:v>05.10.2020</c:v>
                </c:pt>
                <c:pt idx="219">
                  <c:v>06.10.2020</c:v>
                </c:pt>
                <c:pt idx="220">
                  <c:v>07.10.2020</c:v>
                </c:pt>
                <c:pt idx="221">
                  <c:v>08.10.2020</c:v>
                </c:pt>
                <c:pt idx="222">
                  <c:v>09.10.2020</c:v>
                </c:pt>
                <c:pt idx="223">
                  <c:v>10.10.2020</c:v>
                </c:pt>
                <c:pt idx="224">
                  <c:v>11.10.2020</c:v>
                </c:pt>
                <c:pt idx="225">
                  <c:v>12.10.2020</c:v>
                </c:pt>
                <c:pt idx="226">
                  <c:v>13.10.2020</c:v>
                </c:pt>
                <c:pt idx="227">
                  <c:v>14.10.2020</c:v>
                </c:pt>
                <c:pt idx="228">
                  <c:v>15.10.2020</c:v>
                </c:pt>
                <c:pt idx="229">
                  <c:v>16.10.2020</c:v>
                </c:pt>
                <c:pt idx="230">
                  <c:v>17.10.2020</c:v>
                </c:pt>
                <c:pt idx="231">
                  <c:v>18.10.2020</c:v>
                </c:pt>
                <c:pt idx="232">
                  <c:v>19.10.2020</c:v>
                </c:pt>
                <c:pt idx="233">
                  <c:v>20.10.2020</c:v>
                </c:pt>
                <c:pt idx="234">
                  <c:v>21.10.2020</c:v>
                </c:pt>
                <c:pt idx="235">
                  <c:v>22.10.2020</c:v>
                </c:pt>
                <c:pt idx="236">
                  <c:v>23.10.2020</c:v>
                </c:pt>
                <c:pt idx="237">
                  <c:v>24.10.2020</c:v>
                </c:pt>
                <c:pt idx="238">
                  <c:v>25.10.2020</c:v>
                </c:pt>
                <c:pt idx="239">
                  <c:v>26.10.2020</c:v>
                </c:pt>
                <c:pt idx="240">
                  <c:v>27.10.2020</c:v>
                </c:pt>
                <c:pt idx="241">
                  <c:v>28.10.2020</c:v>
                </c:pt>
                <c:pt idx="242">
                  <c:v>29.10.2020</c:v>
                </c:pt>
                <c:pt idx="243">
                  <c:v>30.10.2020</c:v>
                </c:pt>
                <c:pt idx="244">
                  <c:v>31.10.2020</c:v>
                </c:pt>
                <c:pt idx="245">
                  <c:v>01.11.2020</c:v>
                </c:pt>
                <c:pt idx="246">
                  <c:v>02.11.2020</c:v>
                </c:pt>
                <c:pt idx="247">
                  <c:v>03.11.2020</c:v>
                </c:pt>
                <c:pt idx="248">
                  <c:v>04.11.2020</c:v>
                </c:pt>
                <c:pt idx="249">
                  <c:v>05.11.2020</c:v>
                </c:pt>
                <c:pt idx="250">
                  <c:v>06.11.2020</c:v>
                </c:pt>
                <c:pt idx="251">
                  <c:v>07.11.2020</c:v>
                </c:pt>
                <c:pt idx="252">
                  <c:v>08.11.2020</c:v>
                </c:pt>
                <c:pt idx="253">
                  <c:v>09.11.2020</c:v>
                </c:pt>
                <c:pt idx="254">
                  <c:v>10.11.2020</c:v>
                </c:pt>
                <c:pt idx="255">
                  <c:v>11.11.2020</c:v>
                </c:pt>
                <c:pt idx="256">
                  <c:v>12.11.2020</c:v>
                </c:pt>
                <c:pt idx="257">
                  <c:v>13.11.2020</c:v>
                </c:pt>
                <c:pt idx="258">
                  <c:v>14.11.2020</c:v>
                </c:pt>
                <c:pt idx="259">
                  <c:v>15.11.2020</c:v>
                </c:pt>
                <c:pt idx="260">
                  <c:v>16.11.2020</c:v>
                </c:pt>
                <c:pt idx="261">
                  <c:v>17.11.2020</c:v>
                </c:pt>
                <c:pt idx="262">
                  <c:v>18.11.2020</c:v>
                </c:pt>
                <c:pt idx="263">
                  <c:v>19.11.2020</c:v>
                </c:pt>
                <c:pt idx="264">
                  <c:v>20.11.2020</c:v>
                </c:pt>
                <c:pt idx="265">
                  <c:v>21.11.2020</c:v>
                </c:pt>
                <c:pt idx="266">
                  <c:v>22.11.2020</c:v>
                </c:pt>
                <c:pt idx="267">
                  <c:v>23.11.2020</c:v>
                </c:pt>
                <c:pt idx="268">
                  <c:v>24.11.2020</c:v>
                </c:pt>
              </c:strCache>
            </c:strRef>
          </c:cat>
          <c:val>
            <c:numRef>
              <c:f>Sheet1!$B$2:$B$270</c:f>
              <c:numCache>
                <c:formatCode>General</c:formatCode>
                <c:ptCount val="269"/>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numCache>
            </c:numRef>
          </c:val>
          <c:smooth val="0"/>
          <c:extLst>
            <c:ext xmlns:c16="http://schemas.microsoft.com/office/drawing/2014/chart" uri="{C3380CC4-5D6E-409C-BE32-E72D297353CC}">
              <c16:uniqueId val="{00000000-6725-4D96-BF5B-87B644E98B6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4168064"/>
        <c:axId val="144169600"/>
      </c:lineChart>
      <c:catAx>
        <c:axId val="1441680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400" b="0" i="0" u="none" strike="noStrike" kern="1200" spc="20" baseline="0">
                <a:solidFill>
                  <a:schemeClr val="dk1">
                    <a:lumMod val="65000"/>
                    <a:lumOff val="35000"/>
                  </a:schemeClr>
                </a:solidFill>
                <a:latin typeface="+mn-lt"/>
                <a:ea typeface="+mn-ea"/>
                <a:cs typeface="+mn-cs"/>
              </a:defRPr>
            </a:pPr>
            <a:endParaRPr lang="en-US"/>
          </a:p>
        </c:txPr>
        <c:crossAx val="144169600"/>
        <c:crosses val="autoZero"/>
        <c:auto val="1"/>
        <c:lblAlgn val="ctr"/>
        <c:lblOffset val="100"/>
        <c:noMultiLvlLbl val="0"/>
      </c:catAx>
      <c:valAx>
        <c:axId val="144169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spc="20" baseline="0">
                <a:solidFill>
                  <a:schemeClr val="dk1">
                    <a:lumMod val="65000"/>
                    <a:lumOff val="35000"/>
                  </a:schemeClr>
                </a:solidFill>
                <a:latin typeface="+mn-lt"/>
                <a:ea typeface="+mn-ea"/>
                <a:cs typeface="+mn-cs"/>
              </a:defRPr>
            </a:pPr>
            <a:endParaRPr lang="en-US"/>
          </a:p>
        </c:txPr>
        <c:crossAx val="144168064"/>
        <c:crosses val="autoZero"/>
        <c:crossBetween val="between"/>
      </c:valAx>
      <c:spPr>
        <a:solidFill>
          <a:schemeClr val="bg1">
            <a:lumMod val="85000"/>
          </a:schemeClr>
        </a:solidFill>
        <a:ln>
          <a:solidFill>
            <a:schemeClr val="bg1">
              <a:lumMod val="75000"/>
            </a:schemeClr>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lumMod val="85000"/>
      </a:schemeClr>
    </a:solidFill>
    <a:ln w="9525" cap="flat" cmpd="sng" algn="ctr">
      <a:solidFill>
        <a:schemeClr val="bg1">
          <a:lumMod val="7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0033979737642"/>
          <c:y val="6.6493995043935883E-2"/>
          <c:w val="0.86270095598017105"/>
          <c:h val="0.66744367265543669"/>
        </c:manualLayout>
      </c:layout>
      <c:barChart>
        <c:barDir val="col"/>
        <c:grouping val="stacked"/>
        <c:varyColors val="0"/>
        <c:ser>
          <c:idx val="1"/>
          <c:order val="1"/>
          <c:tx>
            <c:strRef>
              <c:f>Sheet1!$C$1</c:f>
              <c:strCache>
                <c:ptCount val="1"/>
                <c:pt idx="0">
                  <c:v>Զուտ հարկեր</c:v>
                </c:pt>
              </c:strCache>
            </c:strRef>
          </c:tx>
          <c:spPr>
            <a:solidFill>
              <a:schemeClr val="accent2"/>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Sheet1!$C$2:$C$8</c:f>
              <c:numCache>
                <c:formatCode>0.0</c:formatCode>
                <c:ptCount val="7"/>
                <c:pt idx="0">
                  <c:v>0.90354848829068368</c:v>
                </c:pt>
                <c:pt idx="1">
                  <c:v>0.78883867414080844</c:v>
                </c:pt>
                <c:pt idx="2">
                  <c:v>0.82667606677544314</c:v>
                </c:pt>
                <c:pt idx="3">
                  <c:v>0.75531822091114287</c:v>
                </c:pt>
                <c:pt idx="4">
                  <c:v>0.11247140633873548</c:v>
                </c:pt>
                <c:pt idx="5">
                  <c:v>-1.3338987759635077</c:v>
                </c:pt>
                <c:pt idx="6">
                  <c:v>-1.2309212973237214</c:v>
                </c:pt>
              </c:numCache>
            </c:numRef>
          </c:val>
          <c:extLst>
            <c:ext xmlns:c16="http://schemas.microsoft.com/office/drawing/2014/chart" uri="{C3380CC4-5D6E-409C-BE32-E72D297353CC}">
              <c16:uniqueId val="{00000000-7AD0-44AF-BA91-C9DC312AE3DA}"/>
            </c:ext>
          </c:extLst>
        </c:ser>
        <c:ser>
          <c:idx val="2"/>
          <c:order val="2"/>
          <c:tx>
            <c:strRef>
              <c:f>Sheet1!$D$1</c:f>
              <c:strCache>
                <c:ptCount val="1"/>
                <c:pt idx="0">
                  <c:v>Արդյունաբերություն</c:v>
                </c:pt>
              </c:strCache>
            </c:strRef>
          </c:tx>
          <c:spPr>
            <a:solidFill>
              <a:schemeClr val="accent3"/>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Sheet1!$D$2:$D$8</c:f>
              <c:numCache>
                <c:formatCode>0.0</c:formatCode>
                <c:ptCount val="7"/>
                <c:pt idx="0">
                  <c:v>-0.1757197749716142</c:v>
                </c:pt>
                <c:pt idx="1">
                  <c:v>0.72269052830039882</c:v>
                </c:pt>
                <c:pt idx="2">
                  <c:v>1.151136912424128</c:v>
                </c:pt>
                <c:pt idx="3">
                  <c:v>1.5088196973098369</c:v>
                </c:pt>
                <c:pt idx="4">
                  <c:v>0.51563219302827901</c:v>
                </c:pt>
                <c:pt idx="5">
                  <c:v>-0.35396596654635265</c:v>
                </c:pt>
                <c:pt idx="6">
                  <c:v>-0.36903902014413026</c:v>
                </c:pt>
              </c:numCache>
            </c:numRef>
          </c:val>
          <c:extLst>
            <c:ext xmlns:c16="http://schemas.microsoft.com/office/drawing/2014/chart" uri="{C3380CC4-5D6E-409C-BE32-E72D297353CC}">
              <c16:uniqueId val="{00000001-7AD0-44AF-BA91-C9DC312AE3DA}"/>
            </c:ext>
          </c:extLst>
        </c:ser>
        <c:ser>
          <c:idx val="3"/>
          <c:order val="3"/>
          <c:tx>
            <c:strRef>
              <c:f>Sheet1!$E$1</c:f>
              <c:strCache>
                <c:ptCount val="1"/>
                <c:pt idx="0">
                  <c:v>Գյուղատնտեսություն</c:v>
                </c:pt>
              </c:strCache>
            </c:strRef>
          </c:tx>
          <c:spPr>
            <a:solidFill>
              <a:schemeClr val="accent4"/>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Sheet1!$E$2:$E$8</c:f>
              <c:numCache>
                <c:formatCode>0.0</c:formatCode>
                <c:ptCount val="7"/>
                <c:pt idx="0">
                  <c:v>9.727110082436613E-2</c:v>
                </c:pt>
                <c:pt idx="1">
                  <c:v>-0.5390466140831679</c:v>
                </c:pt>
                <c:pt idx="2">
                  <c:v>-0.34034638141247647</c:v>
                </c:pt>
                <c:pt idx="3">
                  <c:v>-0.36300172042362855</c:v>
                </c:pt>
                <c:pt idx="4">
                  <c:v>0.29135275871086302</c:v>
                </c:pt>
                <c:pt idx="5">
                  <c:v>0.13785926915882829</c:v>
                </c:pt>
                <c:pt idx="6">
                  <c:v>-0.18755909181732558</c:v>
                </c:pt>
              </c:numCache>
            </c:numRef>
          </c:val>
          <c:extLst>
            <c:ext xmlns:c16="http://schemas.microsoft.com/office/drawing/2014/chart" uri="{C3380CC4-5D6E-409C-BE32-E72D297353CC}">
              <c16:uniqueId val="{00000002-7AD0-44AF-BA91-C9DC312AE3DA}"/>
            </c:ext>
          </c:extLst>
        </c:ser>
        <c:ser>
          <c:idx val="4"/>
          <c:order val="4"/>
          <c:tx>
            <c:strRef>
              <c:f>Sheet1!$F$1</c:f>
              <c:strCache>
                <c:ptCount val="1"/>
                <c:pt idx="0">
                  <c:v>Շինարարություն</c:v>
                </c:pt>
              </c:strCache>
            </c:strRef>
          </c:tx>
          <c:spPr>
            <a:solidFill>
              <a:schemeClr val="accent5"/>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Sheet1!$F$2:$F$8</c:f>
              <c:numCache>
                <c:formatCode>0.0</c:formatCode>
                <c:ptCount val="7"/>
                <c:pt idx="0">
                  <c:v>0.31976938283836076</c:v>
                </c:pt>
                <c:pt idx="1">
                  <c:v>0.16823813010797264</c:v>
                </c:pt>
                <c:pt idx="2">
                  <c:v>0.2304489541600982</c:v>
                </c:pt>
                <c:pt idx="3">
                  <c:v>0.24467996129227595</c:v>
                </c:pt>
                <c:pt idx="4">
                  <c:v>-0.51536720701163929</c:v>
                </c:pt>
                <c:pt idx="5">
                  <c:v>-1.416711396257367</c:v>
                </c:pt>
                <c:pt idx="6">
                  <c:v>-1.062744887674955</c:v>
                </c:pt>
              </c:numCache>
            </c:numRef>
          </c:val>
          <c:extLst>
            <c:ext xmlns:c16="http://schemas.microsoft.com/office/drawing/2014/chart" uri="{C3380CC4-5D6E-409C-BE32-E72D297353CC}">
              <c16:uniqueId val="{00000003-7AD0-44AF-BA91-C9DC312AE3DA}"/>
            </c:ext>
          </c:extLst>
        </c:ser>
        <c:ser>
          <c:idx val="5"/>
          <c:order val="5"/>
          <c:tx>
            <c:strRef>
              <c:f>Sheet1!$G$1</c:f>
              <c:strCache>
                <c:ptCount val="1"/>
                <c:pt idx="0">
                  <c:v>Ծառայություններ</c:v>
                </c:pt>
              </c:strCache>
            </c:strRef>
          </c:tx>
          <c:spPr>
            <a:solidFill>
              <a:schemeClr val="accent6"/>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Sheet1!$G$2:$G$8</c:f>
              <c:numCache>
                <c:formatCode>0.0</c:formatCode>
                <c:ptCount val="7"/>
                <c:pt idx="0">
                  <c:v>6.2168912761641373</c:v>
                </c:pt>
                <c:pt idx="1">
                  <c:v>5.9046404308115994</c:v>
                </c:pt>
                <c:pt idx="2">
                  <c:v>5.7522360594714685</c:v>
                </c:pt>
                <c:pt idx="3">
                  <c:v>5.4541838409103667</c:v>
                </c:pt>
                <c:pt idx="4">
                  <c:v>3.5169186050621226</c:v>
                </c:pt>
                <c:pt idx="5">
                  <c:v>-2.748715529724838</c:v>
                </c:pt>
                <c:pt idx="6">
                  <c:v>-4.2716401459679254</c:v>
                </c:pt>
              </c:numCache>
            </c:numRef>
          </c:val>
          <c:extLst>
            <c:ext xmlns:c16="http://schemas.microsoft.com/office/drawing/2014/chart" uri="{C3380CC4-5D6E-409C-BE32-E72D297353CC}">
              <c16:uniqueId val="{00000004-7AD0-44AF-BA91-C9DC312AE3DA}"/>
            </c:ext>
          </c:extLst>
        </c:ser>
        <c:dLbls>
          <c:showLegendKey val="0"/>
          <c:showVal val="0"/>
          <c:showCatName val="0"/>
          <c:showSerName val="0"/>
          <c:showPercent val="0"/>
          <c:showBubbleSize val="0"/>
        </c:dLbls>
        <c:gapWidth val="219"/>
        <c:overlap val="100"/>
        <c:axId val="146224256"/>
        <c:axId val="146225792"/>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8459617595364039E-2"/>
                  <c:y val="-3.39602974708135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D0-44AF-BA91-C9DC312AE3DA}"/>
                </c:ext>
              </c:extLst>
            </c:dLbl>
            <c:dLbl>
              <c:idx val="1"/>
              <c:layout>
                <c:manualLayout>
                  <c:x val="-1.6601443597295665E-2"/>
                  <c:y val="-3.3960297470813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D0-44AF-BA91-C9DC312AE3DA}"/>
                </c:ext>
              </c:extLst>
            </c:dLbl>
            <c:dLbl>
              <c:idx val="2"/>
              <c:layout>
                <c:manualLayout>
                  <c:x val="-2.6087982795750374E-2"/>
                  <c:y val="-3.7356327217894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D0-44AF-BA91-C9DC312AE3DA}"/>
                </c:ext>
              </c:extLst>
            </c:dLbl>
            <c:dLbl>
              <c:idx val="3"/>
              <c:layout>
                <c:manualLayout>
                  <c:x val="-2.6087982795750374E-2"/>
                  <c:y val="-3.7356327217894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D0-44AF-BA91-C9DC312AE3DA}"/>
                </c:ext>
              </c:extLst>
            </c:dLbl>
            <c:dLbl>
              <c:idx val="4"/>
              <c:layout>
                <c:manualLayout>
                  <c:x val="-3.8532091163893674E-2"/>
                  <c:y val="-4.2205012509881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D0-44AF-BA91-C9DC312AE3DA}"/>
                </c:ext>
              </c:extLst>
            </c:dLbl>
            <c:dLbl>
              <c:idx val="5"/>
              <c:layout>
                <c:manualLayout>
                  <c:x val="-6.9005510436850021E-2"/>
                  <c:y val="4.16532489090286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D0-44AF-BA91-C9DC312AE3DA}"/>
                </c:ext>
              </c:extLst>
            </c:dLbl>
            <c:dLbl>
              <c:idx val="6"/>
              <c:layout>
                <c:manualLayout>
                  <c:x val="-3.9267015706806296E-2"/>
                  <c:y val="4.0264595916019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D0-44AF-BA91-C9DC312AE3DA}"/>
                </c:ext>
              </c:extLst>
            </c:dLbl>
            <c:spPr>
              <a:noFill/>
              <a:ln>
                <a:noFill/>
              </a:ln>
              <a:effectLst/>
            </c:spPr>
            <c:txPr>
              <a:bodyPr rot="0" vert="horz"/>
              <a:lstStyle/>
              <a:p>
                <a:pPr>
                  <a:defRPr sz="6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Q1 - 2019</c:v>
                </c:pt>
                <c:pt idx="1">
                  <c:v>H1 - 2019</c:v>
                </c:pt>
                <c:pt idx="2">
                  <c:v>Q1-Q3 - 2019</c:v>
                </c:pt>
                <c:pt idx="3">
                  <c:v>2019</c:v>
                </c:pt>
                <c:pt idx="4">
                  <c:v>Q1 - 2020</c:v>
                </c:pt>
                <c:pt idx="5">
                  <c:v>H1 - 2020</c:v>
                </c:pt>
                <c:pt idx="6">
                  <c:v>Q1-Q3 - 2020</c:v>
                </c:pt>
              </c:strCache>
            </c:strRef>
          </c:cat>
          <c:val>
            <c:numRef>
              <c:f>Sheet1!$B$2:$B$8</c:f>
              <c:numCache>
                <c:formatCode>0.0</c:formatCode>
                <c:ptCount val="7"/>
                <c:pt idx="0">
                  <c:v>7.3617604731459343</c:v>
                </c:pt>
                <c:pt idx="1">
                  <c:v>7.0453611492776114</c:v>
                </c:pt>
                <c:pt idx="2">
                  <c:v>7.6201516114186614</c:v>
                </c:pt>
                <c:pt idx="3">
                  <c:v>7.5999999999999943</c:v>
                </c:pt>
                <c:pt idx="4">
                  <c:v>3.9210077561283612</c:v>
                </c:pt>
                <c:pt idx="5">
                  <c:v>-5.7154323993332374</c:v>
                </c:pt>
                <c:pt idx="6">
                  <c:v>-7.1219044429280531</c:v>
                </c:pt>
              </c:numCache>
            </c:numRef>
          </c:val>
          <c:smooth val="0"/>
          <c:extLst>
            <c:ext xmlns:c16="http://schemas.microsoft.com/office/drawing/2014/chart" uri="{C3380CC4-5D6E-409C-BE32-E72D297353CC}">
              <c16:uniqueId val="{0000000C-7AD0-44AF-BA91-C9DC312AE3DA}"/>
            </c:ext>
          </c:extLst>
        </c:ser>
        <c:dLbls>
          <c:showLegendKey val="0"/>
          <c:showVal val="0"/>
          <c:showCatName val="0"/>
          <c:showSerName val="0"/>
          <c:showPercent val="0"/>
          <c:showBubbleSize val="0"/>
        </c:dLbls>
        <c:marker val="1"/>
        <c:smooth val="0"/>
        <c:axId val="146224256"/>
        <c:axId val="146225792"/>
      </c:lineChart>
      <c:catAx>
        <c:axId val="14622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146225792"/>
        <c:crosses val="autoZero"/>
        <c:auto val="1"/>
        <c:lblAlgn val="ctr"/>
        <c:lblOffset val="100"/>
        <c:noMultiLvlLbl val="0"/>
      </c:catAx>
      <c:valAx>
        <c:axId val="146225792"/>
        <c:scaling>
          <c:orientation val="minMax"/>
          <c:max val="9"/>
          <c:min val="-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146224256"/>
        <c:crosses val="autoZero"/>
        <c:crossBetween val="between"/>
        <c:majorUnit val="2"/>
        <c:minorUnit val="2"/>
      </c:valAx>
      <c:spPr>
        <a:noFill/>
        <a:ln>
          <a:noFill/>
        </a:ln>
        <a:effectLst/>
      </c:spPr>
    </c:plotArea>
    <c:legend>
      <c:legendPos val="b"/>
      <c:layout>
        <c:manualLayout>
          <c:xMode val="edge"/>
          <c:yMode val="edge"/>
          <c:x val="4.8648018769902046E-2"/>
          <c:y val="0.83925459317585294"/>
          <c:w val="0.95135189902732742"/>
          <c:h val="0.15626745406824169"/>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chemeClr val="accent1"/>
      </a:solidFill>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7611554748301"/>
          <c:y val="0.13939028871391076"/>
          <c:w val="0.87260540551091115"/>
          <c:h val="0.59047952755905508"/>
        </c:manualLayout>
      </c:layout>
      <c:barChart>
        <c:barDir val="col"/>
        <c:grouping val="stacked"/>
        <c:varyColors val="0"/>
        <c:ser>
          <c:idx val="1"/>
          <c:order val="1"/>
          <c:tx>
            <c:strRef>
              <c:f>Sheet1!$C$1</c:f>
              <c:strCache>
                <c:ptCount val="1"/>
                <c:pt idx="0">
                  <c:v>Սպառում</c:v>
                </c:pt>
              </c:strCache>
            </c:strRef>
          </c:tx>
          <c:spPr>
            <a:solidFill>
              <a:schemeClr val="accent2"/>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Sheet1!$C$2:$C$8</c:f>
              <c:numCache>
                <c:formatCode>0.0</c:formatCode>
                <c:ptCount val="7"/>
                <c:pt idx="0">
                  <c:v>13.919540713893683</c:v>
                </c:pt>
                <c:pt idx="1">
                  <c:v>11.200701606652819</c:v>
                </c:pt>
                <c:pt idx="2">
                  <c:v>9.7712547255287987</c:v>
                </c:pt>
                <c:pt idx="3">
                  <c:v>10.749673262798208</c:v>
                </c:pt>
                <c:pt idx="4">
                  <c:v>3.2007462166717802</c:v>
                </c:pt>
                <c:pt idx="5">
                  <c:v>-6.0369305484254721</c:v>
                </c:pt>
                <c:pt idx="6">
                  <c:v>-5.930730172427058</c:v>
                </c:pt>
              </c:numCache>
            </c:numRef>
          </c:val>
          <c:extLst>
            <c:ext xmlns:c16="http://schemas.microsoft.com/office/drawing/2014/chart" uri="{C3380CC4-5D6E-409C-BE32-E72D297353CC}">
              <c16:uniqueId val="{00000000-B83D-4656-B7C6-99F33801ED9E}"/>
            </c:ext>
          </c:extLst>
        </c:ser>
        <c:ser>
          <c:idx val="2"/>
          <c:order val="2"/>
          <c:tx>
            <c:strRef>
              <c:f>Sheet1!$D$1</c:f>
              <c:strCache>
                <c:ptCount val="1"/>
                <c:pt idx="0">
                  <c:v>Հիմնական միջոցների համախառն կուտակում</c:v>
                </c:pt>
              </c:strCache>
            </c:strRef>
          </c:tx>
          <c:spPr>
            <a:solidFill>
              <a:schemeClr val="accent3"/>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Sheet1!$D$2:$D$8</c:f>
              <c:numCache>
                <c:formatCode>0.0</c:formatCode>
                <c:ptCount val="7"/>
                <c:pt idx="0">
                  <c:v>1.3068776746500641</c:v>
                </c:pt>
                <c:pt idx="1">
                  <c:v>0.57872799936289065</c:v>
                </c:pt>
                <c:pt idx="2">
                  <c:v>0.64713674332082138</c:v>
                </c:pt>
                <c:pt idx="3">
                  <c:v>0.72946931096893697</c:v>
                </c:pt>
                <c:pt idx="4">
                  <c:v>-0.81360505528540061</c:v>
                </c:pt>
                <c:pt idx="5">
                  <c:v>-2.4161020327167537</c:v>
                </c:pt>
                <c:pt idx="6">
                  <c:v>-1.8980550923594235</c:v>
                </c:pt>
              </c:numCache>
            </c:numRef>
          </c:val>
          <c:extLst>
            <c:ext xmlns:c16="http://schemas.microsoft.com/office/drawing/2014/chart" uri="{C3380CC4-5D6E-409C-BE32-E72D297353CC}">
              <c16:uniqueId val="{00000001-B83D-4656-B7C6-99F33801ED9E}"/>
            </c:ext>
          </c:extLst>
        </c:ser>
        <c:ser>
          <c:idx val="3"/>
          <c:order val="3"/>
          <c:tx>
            <c:strRef>
              <c:f>Sheet1!$E$1</c:f>
              <c:strCache>
                <c:ptCount val="1"/>
                <c:pt idx="0">
                  <c:v>Զուտ արտահանում</c:v>
                </c:pt>
              </c:strCache>
            </c:strRef>
          </c:tx>
          <c:spPr>
            <a:solidFill>
              <a:schemeClr val="accent4"/>
            </a:solidFill>
            <a:ln>
              <a:noFill/>
            </a:ln>
            <a:effectLst/>
          </c:spPr>
          <c:invertIfNegative val="0"/>
          <c:cat>
            <c:strRef>
              <c:f>Sheet1!$A$2:$A$8</c:f>
              <c:strCache>
                <c:ptCount val="7"/>
                <c:pt idx="0">
                  <c:v>Q1 - 2019</c:v>
                </c:pt>
                <c:pt idx="1">
                  <c:v>H1 - 2019</c:v>
                </c:pt>
                <c:pt idx="2">
                  <c:v>Q1-Q3 - 2019</c:v>
                </c:pt>
                <c:pt idx="3">
                  <c:v>2019</c:v>
                </c:pt>
                <c:pt idx="4">
                  <c:v>Q1 - 2020</c:v>
                </c:pt>
                <c:pt idx="5">
                  <c:v>H1 - 2020</c:v>
                </c:pt>
                <c:pt idx="6">
                  <c:v>Q1-Q3 - 2020</c:v>
                </c:pt>
              </c:strCache>
            </c:strRef>
          </c:cat>
          <c:val>
            <c:numRef>
              <c:f>Sheet1!$E$2:$E$8</c:f>
              <c:numCache>
                <c:formatCode>0.0</c:formatCode>
                <c:ptCount val="7"/>
                <c:pt idx="0">
                  <c:v>-2.1991456506057139</c:v>
                </c:pt>
                <c:pt idx="1">
                  <c:v>0.72054540954827473</c:v>
                </c:pt>
                <c:pt idx="2">
                  <c:v>1.3877048037832411</c:v>
                </c:pt>
                <c:pt idx="3">
                  <c:v>-9.8425907781534192E-2</c:v>
                </c:pt>
                <c:pt idx="4">
                  <c:v>2.8537237507107882</c:v>
                </c:pt>
                <c:pt idx="5">
                  <c:v>3.2548419880587378</c:v>
                </c:pt>
                <c:pt idx="6">
                  <c:v>1.4932907663727839</c:v>
                </c:pt>
              </c:numCache>
            </c:numRef>
          </c:val>
          <c:extLst>
            <c:ext xmlns:c16="http://schemas.microsoft.com/office/drawing/2014/chart" uri="{C3380CC4-5D6E-409C-BE32-E72D297353CC}">
              <c16:uniqueId val="{00000002-B83D-4656-B7C6-99F33801ED9E}"/>
            </c:ext>
          </c:extLst>
        </c:ser>
        <c:dLbls>
          <c:showLegendKey val="0"/>
          <c:showVal val="0"/>
          <c:showCatName val="0"/>
          <c:showSerName val="0"/>
          <c:showPercent val="0"/>
          <c:showBubbleSize val="0"/>
        </c:dLbls>
        <c:gapWidth val="219"/>
        <c:overlap val="100"/>
        <c:axId val="146295040"/>
        <c:axId val="146309120"/>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8135969369609841E-2"/>
                  <c:y val="-1.6980148735406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3D-4656-B7C6-99F33801ED9E}"/>
                </c:ext>
              </c:extLst>
            </c:dLbl>
            <c:dLbl>
              <c:idx val="1"/>
              <c:layout>
                <c:manualLayout>
                  <c:x val="-2.8601977027207442E-2"/>
                  <c:y val="-2.3772208229569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3D-4656-B7C6-99F33801ED9E}"/>
                </c:ext>
              </c:extLst>
            </c:dLbl>
            <c:dLbl>
              <c:idx val="2"/>
              <c:layout>
                <c:manualLayout>
                  <c:x val="-2.3834980856006147E-2"/>
                  <c:y val="-4.41483867120575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3D-4656-B7C6-99F33801ED9E}"/>
                </c:ext>
              </c:extLst>
            </c:dLbl>
            <c:dLbl>
              <c:idx val="3"/>
              <c:layout>
                <c:manualLayout>
                  <c:x val="-4.7669961712012302E-3"/>
                  <c:y val="-4.4148386712057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3D-4656-B7C6-99F33801ED9E}"/>
                </c:ext>
              </c:extLst>
            </c:dLbl>
            <c:dLbl>
              <c:idx val="4"/>
              <c:layout>
                <c:manualLayout>
                  <c:x val="-3.8532091163893674E-2"/>
                  <c:y val="-4.2205012509881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3D-4656-B7C6-99F33801ED9E}"/>
                </c:ext>
              </c:extLst>
            </c:dLbl>
            <c:dLbl>
              <c:idx val="5"/>
              <c:layout>
                <c:manualLayout>
                  <c:x val="-6.0817156852822893E-2"/>
                  <c:y val="4.1224993934581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3D-4656-B7C6-99F33801ED9E}"/>
                </c:ext>
              </c:extLst>
            </c:dLbl>
            <c:dLbl>
              <c:idx val="6"/>
              <c:layout>
                <c:manualLayout>
                  <c:x val="-3.427592116538148E-2"/>
                  <c:y val="5.0420168067226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3D-4656-B7C6-99F33801ED9E}"/>
                </c:ext>
              </c:extLst>
            </c:dLbl>
            <c:spPr>
              <a:noFill/>
              <a:ln>
                <a:noFill/>
              </a:ln>
              <a:effectLst/>
            </c:spPr>
            <c:txPr>
              <a:bodyPr rot="0" vert="horz"/>
              <a:lstStyle/>
              <a:p>
                <a:pPr>
                  <a:defRPr sz="6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Q1 - 2019</c:v>
                </c:pt>
                <c:pt idx="1">
                  <c:v>H1 - 2019</c:v>
                </c:pt>
                <c:pt idx="2">
                  <c:v>Q1-Q3 - 2019</c:v>
                </c:pt>
                <c:pt idx="3">
                  <c:v>2019</c:v>
                </c:pt>
                <c:pt idx="4">
                  <c:v>Q1 - 2020</c:v>
                </c:pt>
                <c:pt idx="5">
                  <c:v>H1 - 2020</c:v>
                </c:pt>
                <c:pt idx="6">
                  <c:v>Q1-Q3 - 2020</c:v>
                </c:pt>
              </c:strCache>
            </c:strRef>
          </c:cat>
          <c:val>
            <c:numRef>
              <c:f>Sheet1!$B$2:$B$8</c:f>
              <c:numCache>
                <c:formatCode>0.0</c:formatCode>
                <c:ptCount val="7"/>
                <c:pt idx="0">
                  <c:v>7.3529411764705781</c:v>
                </c:pt>
                <c:pt idx="1">
                  <c:v>7.0444104134762551</c:v>
                </c:pt>
                <c:pt idx="2">
                  <c:v>7.6372315035799261</c:v>
                </c:pt>
                <c:pt idx="3">
                  <c:v>7.5891936481748576</c:v>
                </c:pt>
                <c:pt idx="4">
                  <c:v>3.8999999999999906</c:v>
                </c:pt>
                <c:pt idx="5">
                  <c:v>-5.6747734859322803</c:v>
                </c:pt>
                <c:pt idx="6">
                  <c:v>-7.12305986696229</c:v>
                </c:pt>
              </c:numCache>
            </c:numRef>
          </c:val>
          <c:smooth val="0"/>
          <c:extLst>
            <c:ext xmlns:c16="http://schemas.microsoft.com/office/drawing/2014/chart" uri="{C3380CC4-5D6E-409C-BE32-E72D297353CC}">
              <c16:uniqueId val="{0000000A-B83D-4656-B7C6-99F33801ED9E}"/>
            </c:ext>
          </c:extLst>
        </c:ser>
        <c:dLbls>
          <c:showLegendKey val="0"/>
          <c:showVal val="0"/>
          <c:showCatName val="0"/>
          <c:showSerName val="0"/>
          <c:showPercent val="0"/>
          <c:showBubbleSize val="0"/>
        </c:dLbls>
        <c:marker val="1"/>
        <c:smooth val="0"/>
        <c:axId val="146295040"/>
        <c:axId val="146309120"/>
      </c:lineChart>
      <c:catAx>
        <c:axId val="14629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146309120"/>
        <c:crosses val="autoZero"/>
        <c:auto val="1"/>
        <c:lblAlgn val="ctr"/>
        <c:lblOffset val="100"/>
        <c:noMultiLvlLbl val="0"/>
      </c:catAx>
      <c:valAx>
        <c:axId val="146309120"/>
        <c:scaling>
          <c:orientation val="minMax"/>
          <c:max val="18"/>
          <c:min val="-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146295040"/>
        <c:crosses val="autoZero"/>
        <c:crossBetween val="between"/>
      </c:valAx>
      <c:spPr>
        <a:noFill/>
        <a:ln w="25400">
          <a:noFill/>
        </a:ln>
        <a:effectLst/>
      </c:spPr>
    </c:plotArea>
    <c:legend>
      <c:legendPos val="b"/>
      <c:layout>
        <c:manualLayout>
          <c:xMode val="edge"/>
          <c:yMode val="edge"/>
          <c:x val="0"/>
          <c:y val="0.79585905511811095"/>
          <c:w val="0.99831881148062951"/>
          <c:h val="0.20002887139107611"/>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chemeClr val="accent1"/>
      </a:solidFill>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0.13604805675441245"/>
          <c:w val="0.87658476118247253"/>
          <c:h val="0.52148264912506492"/>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Sheet1!$B$3:$K$3</c:f>
              <c:numCache>
                <c:formatCode>0.0</c:formatCode>
                <c:ptCount val="10"/>
                <c:pt idx="0">
                  <c:v>13.999999999999991</c:v>
                </c:pt>
                <c:pt idx="1">
                  <c:v>15.306852714410169</c:v>
                </c:pt>
                <c:pt idx="2">
                  <c:v>8.7604443976361228</c:v>
                </c:pt>
                <c:pt idx="3">
                  <c:v>4.4240991274461274</c:v>
                </c:pt>
                <c:pt idx="4">
                  <c:v>2.765747502631926</c:v>
                </c:pt>
                <c:pt idx="5">
                  <c:v>1.9542257625261925</c:v>
                </c:pt>
                <c:pt idx="6">
                  <c:v>1.2999999999999965</c:v>
                </c:pt>
                <c:pt idx="7">
                  <c:v>0.90000000000000568</c:v>
                </c:pt>
                <c:pt idx="8">
                  <c:v>1</c:v>
                </c:pt>
                <c:pt idx="9">
                  <c:v>0.5</c:v>
                </c:pt>
              </c:numCache>
            </c:numRef>
          </c:val>
          <c:extLst>
            <c:ext xmlns:c16="http://schemas.microsoft.com/office/drawing/2014/chart" uri="{C3380CC4-5D6E-409C-BE32-E72D297353CC}">
              <c16:uniqueId val="{00000000-A159-444D-B7E4-A886141DCC80}"/>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Sheet1!$B$4:$K$4</c:f>
              <c:numCache>
                <c:formatCode>0.0</c:formatCode>
                <c:ptCount val="10"/>
                <c:pt idx="0">
                  <c:v>0</c:v>
                </c:pt>
                <c:pt idx="1">
                  <c:v>0</c:v>
                </c:pt>
                <c:pt idx="2">
                  <c:v>4.5</c:v>
                </c:pt>
                <c:pt idx="3">
                  <c:v>0</c:v>
                </c:pt>
                <c:pt idx="4">
                  <c:v>0</c:v>
                </c:pt>
                <c:pt idx="5">
                  <c:v>1.7000000000000028</c:v>
                </c:pt>
                <c:pt idx="6">
                  <c:v>0</c:v>
                </c:pt>
                <c:pt idx="7">
                  <c:v>0</c:v>
                </c:pt>
                <c:pt idx="8">
                  <c:v>0.5</c:v>
                </c:pt>
                <c:pt idx="9">
                  <c:v>0</c:v>
                </c:pt>
              </c:numCache>
            </c:numRef>
          </c:val>
          <c:extLst>
            <c:ext xmlns:c16="http://schemas.microsoft.com/office/drawing/2014/chart" uri="{C3380CC4-5D6E-409C-BE32-E72D297353CC}">
              <c16:uniqueId val="{00000001-A159-444D-B7E4-A886141DCC80}"/>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Sheet1!$B$5:$K$5</c:f>
              <c:numCache>
                <c:formatCode>0.0</c:formatCode>
                <c:ptCount val="10"/>
                <c:pt idx="0">
                  <c:v>7.7000000000000028</c:v>
                </c:pt>
                <c:pt idx="1">
                  <c:v>5.7999999999999972</c:v>
                </c:pt>
                <c:pt idx="2">
                  <c:v>-9.4000000000000057</c:v>
                </c:pt>
                <c:pt idx="3">
                  <c:v>-21.900000000000006</c:v>
                </c:pt>
                <c:pt idx="4">
                  <c:v>-23.400000000000006</c:v>
                </c:pt>
                <c:pt idx="5">
                  <c:v>-23.400000000000006</c:v>
                </c:pt>
                <c:pt idx="6">
                  <c:v>-22.599999999999987</c:v>
                </c:pt>
                <c:pt idx="7">
                  <c:v>-19.099999999999987</c:v>
                </c:pt>
                <c:pt idx="8">
                  <c:v>-15.700000000000003</c:v>
                </c:pt>
                <c:pt idx="9">
                  <c:v>-13.3</c:v>
                </c:pt>
              </c:numCache>
            </c:numRef>
          </c:val>
          <c:extLst>
            <c:ext xmlns:c16="http://schemas.microsoft.com/office/drawing/2014/chart" uri="{C3380CC4-5D6E-409C-BE32-E72D297353CC}">
              <c16:uniqueId val="{00000002-A159-444D-B7E4-A886141DCC80}"/>
            </c:ext>
          </c:extLst>
        </c:ser>
        <c:ser>
          <c:idx val="4"/>
          <c:order val="4"/>
          <c:tx>
            <c:strRef>
              <c:f>Sheet1!$A$6</c:f>
              <c:strCache>
                <c:ptCount val="1"/>
                <c:pt idx="0">
                  <c:v>ծառայություններ</c:v>
                </c:pt>
              </c:strCache>
            </c:strRef>
          </c:tx>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Sheet1!$B$6:$K$6</c:f>
              <c:numCache>
                <c:formatCode>0.0</c:formatCode>
                <c:ptCount val="10"/>
                <c:pt idx="0">
                  <c:v>11.999999999999991</c:v>
                </c:pt>
                <c:pt idx="1">
                  <c:v>11.1275265799894</c:v>
                </c:pt>
                <c:pt idx="2">
                  <c:v>5.6174284461690407</c:v>
                </c:pt>
                <c:pt idx="3">
                  <c:v>-0.39555817571542229</c:v>
                </c:pt>
                <c:pt idx="4">
                  <c:v>-4.7269480913607964</c:v>
                </c:pt>
                <c:pt idx="5">
                  <c:v>-6.8578757881784309</c:v>
                </c:pt>
                <c:pt idx="6">
                  <c:v>-9.3000000000000025</c:v>
                </c:pt>
                <c:pt idx="7">
                  <c:v>-10.8</c:v>
                </c:pt>
                <c:pt idx="8">
                  <c:v>-11.700000000000003</c:v>
                </c:pt>
                <c:pt idx="9">
                  <c:v>-12.8</c:v>
                </c:pt>
              </c:numCache>
            </c:numRef>
          </c:val>
          <c:extLst>
            <c:ext xmlns:c16="http://schemas.microsoft.com/office/drawing/2014/chart" uri="{C3380CC4-5D6E-409C-BE32-E72D297353CC}">
              <c16:uniqueId val="{00000003-A159-444D-B7E4-A886141DCC80}"/>
            </c:ext>
          </c:extLst>
        </c:ser>
        <c:ser>
          <c:idx val="5"/>
          <c:order val="5"/>
          <c:tx>
            <c:strRef>
              <c:f>Sheet1!$A$7</c:f>
              <c:strCache>
                <c:ptCount val="1"/>
                <c:pt idx="0">
                  <c:v>առևտուր</c:v>
                </c:pt>
              </c:strCache>
            </c:strRef>
          </c:tx>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Sheet1!$B$7:$K$7</c:f>
              <c:numCache>
                <c:formatCode>0.0</c:formatCode>
                <c:ptCount val="10"/>
                <c:pt idx="0">
                  <c:v>10.3</c:v>
                </c:pt>
                <c:pt idx="1">
                  <c:v>6.2999999999999972</c:v>
                </c:pt>
                <c:pt idx="2">
                  <c:v>0.20000000000000284</c:v>
                </c:pt>
                <c:pt idx="3">
                  <c:v>-8.5999999999999979</c:v>
                </c:pt>
                <c:pt idx="4">
                  <c:v>-10.8</c:v>
                </c:pt>
                <c:pt idx="5">
                  <c:v>-11.099999999999998</c:v>
                </c:pt>
                <c:pt idx="6">
                  <c:v>-11</c:v>
                </c:pt>
                <c:pt idx="7">
                  <c:v>-11.5</c:v>
                </c:pt>
                <c:pt idx="8">
                  <c:v>-11.400000000000006</c:v>
                </c:pt>
                <c:pt idx="9">
                  <c:v>-12.5</c:v>
                </c:pt>
              </c:numCache>
            </c:numRef>
          </c:val>
          <c:extLst>
            <c:ext xmlns:c16="http://schemas.microsoft.com/office/drawing/2014/chart" uri="{C3380CC4-5D6E-409C-BE32-E72D297353CC}">
              <c16:uniqueId val="{00000004-A159-444D-B7E4-A886141DCC80}"/>
            </c:ext>
          </c:extLst>
        </c:ser>
        <c:dLbls>
          <c:showLegendKey val="0"/>
          <c:showVal val="0"/>
          <c:showCatName val="0"/>
          <c:showSerName val="0"/>
          <c:showPercent val="0"/>
          <c:showBubbleSize val="0"/>
        </c:dLbls>
        <c:gapWidth val="150"/>
        <c:axId val="147849216"/>
        <c:axId val="147850752"/>
      </c:barChart>
      <c:lineChart>
        <c:grouping val="standard"/>
        <c:varyColors val="0"/>
        <c:ser>
          <c:idx val="0"/>
          <c:order val="0"/>
          <c:tx>
            <c:strRef>
              <c:f>Sheet1!$A$2</c:f>
              <c:strCache>
                <c:ptCount val="1"/>
                <c:pt idx="0">
                  <c:v>ՏԱՑ</c:v>
                </c:pt>
              </c:strCache>
            </c:strRef>
          </c:tx>
          <c:spPr>
            <a:effectLst/>
          </c:spPr>
          <c:dLbls>
            <c:dLbl>
              <c:idx val="0"/>
              <c:layout>
                <c:manualLayout>
                  <c:x val="-5.3619302949061684E-2"/>
                  <c:y val="-5.208333333333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59-444D-B7E4-A886141DCC80}"/>
                </c:ext>
              </c:extLst>
            </c:dLbl>
            <c:dLbl>
              <c:idx val="1"/>
              <c:layout>
                <c:manualLayout>
                  <c:x val="-5.7743864714374107E-2"/>
                  <c:y val="-5.2083333333333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59-444D-B7E4-A886141DCC80}"/>
                </c:ext>
              </c:extLst>
            </c:dLbl>
            <c:dLbl>
              <c:idx val="2"/>
              <c:layout>
                <c:manualLayout>
                  <c:x val="-6.5992988244999023E-2"/>
                  <c:y val="5.208333333333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59-444D-B7E4-A886141DCC80}"/>
                </c:ext>
              </c:extLst>
            </c:dLbl>
            <c:dLbl>
              <c:idx val="3"/>
              <c:layout>
                <c:manualLayout>
                  <c:x val="-6.186842647968676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159-444D-B7E4-A886141DCC80}"/>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59-444D-B7E4-A886141DCC80}"/>
                </c:ext>
              </c:extLst>
            </c:dLbl>
            <c:dLbl>
              <c:idx val="5"/>
              <c:layout>
                <c:manualLayout>
                  <c:x val="-4.9730625777041244E-2"/>
                  <c:y val="3.7546933667083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159-444D-B7E4-A886141DCC80}"/>
                </c:ext>
              </c:extLst>
            </c:dLbl>
            <c:dLbl>
              <c:idx val="6"/>
              <c:layout>
                <c:manualLayout>
                  <c:x val="-7.459593866556162E-2"/>
                  <c:y val="5.006257822277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159-444D-B7E4-A886141DCC80}"/>
                </c:ext>
              </c:extLst>
            </c:dLbl>
            <c:dLbl>
              <c:idx val="7"/>
              <c:layout>
                <c:manualLayout>
                  <c:x val="-7.4595938665561537E-2"/>
                  <c:y val="5.6320400500625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159-444D-B7E4-A886141DCC80}"/>
                </c:ext>
              </c:extLst>
            </c:dLbl>
            <c:dLbl>
              <c:idx val="8"/>
              <c:layout>
                <c:manualLayout>
                  <c:x val="-6.2163282221301498E-2"/>
                  <c:y val="5.0062578222778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159-444D-B7E4-A886141DCC80}"/>
                </c:ext>
              </c:extLst>
            </c:dLbl>
            <c:dLbl>
              <c:idx val="9"/>
              <c:layout>
                <c:manualLayout>
                  <c:x val="-7.0451719850808156E-2"/>
                  <c:y val="5.0614605929139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159-444D-B7E4-A886141DCC8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Sheet1!$B$2:$K$2</c:f>
              <c:numCache>
                <c:formatCode>0.0</c:formatCode>
                <c:ptCount val="10"/>
                <c:pt idx="0">
                  <c:v>9.2243288478674472</c:v>
                </c:pt>
                <c:pt idx="1">
                  <c:v>9.1642954494013651</c:v>
                </c:pt>
                <c:pt idx="2">
                  <c:v>4.1955517273020586</c:v>
                </c:pt>
                <c:pt idx="3">
                  <c:v>-1.3997874782763238</c:v>
                </c:pt>
                <c:pt idx="4">
                  <c:v>-4.0084567968808233</c:v>
                </c:pt>
                <c:pt idx="5">
                  <c:v>-4.7178954104333002</c:v>
                </c:pt>
                <c:pt idx="6">
                  <c:v>-5.7102619112400408</c:v>
                </c:pt>
                <c:pt idx="7">
                  <c:v>-6.3796837620746807</c:v>
                </c:pt>
                <c:pt idx="8">
                  <c:v>-6.5540805188571873</c:v>
                </c:pt>
                <c:pt idx="9">
                  <c:v>-6.7000000000000028</c:v>
                </c:pt>
              </c:numCache>
            </c:numRef>
          </c:val>
          <c:smooth val="0"/>
          <c:extLst>
            <c:ext xmlns:c16="http://schemas.microsoft.com/office/drawing/2014/chart" uri="{C3380CC4-5D6E-409C-BE32-E72D297353CC}">
              <c16:uniqueId val="{0000000F-A159-444D-B7E4-A886141DCC80}"/>
            </c:ext>
          </c:extLst>
        </c:ser>
        <c:dLbls>
          <c:showLegendKey val="0"/>
          <c:showVal val="0"/>
          <c:showCatName val="0"/>
          <c:showSerName val="0"/>
          <c:showPercent val="0"/>
          <c:showBubbleSize val="0"/>
        </c:dLbls>
        <c:marker val="1"/>
        <c:smooth val="0"/>
        <c:axId val="147858176"/>
        <c:axId val="147852288"/>
      </c:lineChart>
      <c:catAx>
        <c:axId val="1478492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7850752"/>
        <c:crosses val="autoZero"/>
        <c:auto val="1"/>
        <c:lblAlgn val="ctr"/>
        <c:lblOffset val="100"/>
        <c:noMultiLvlLbl val="0"/>
      </c:catAx>
      <c:valAx>
        <c:axId val="147850752"/>
        <c:scaling>
          <c:orientation val="minMax"/>
          <c:max val="30"/>
          <c:min val="-5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47849216"/>
        <c:crosses val="autoZero"/>
        <c:crossBetween val="between"/>
      </c:valAx>
      <c:valAx>
        <c:axId val="147852288"/>
        <c:scaling>
          <c:orientation val="minMax"/>
        </c:scaling>
        <c:delete val="0"/>
        <c:axPos val="r"/>
        <c:numFmt formatCode="0.0" sourceLinked="1"/>
        <c:majorTickMark val="out"/>
        <c:minorTickMark val="none"/>
        <c:tickLblPos val="nextTo"/>
        <c:crossAx val="147858176"/>
        <c:crosses val="max"/>
        <c:crossBetween val="between"/>
      </c:valAx>
      <c:catAx>
        <c:axId val="147858176"/>
        <c:scaling>
          <c:orientation val="minMax"/>
        </c:scaling>
        <c:delete val="1"/>
        <c:axPos val="b"/>
        <c:numFmt formatCode="General" sourceLinked="1"/>
        <c:majorTickMark val="out"/>
        <c:minorTickMark val="none"/>
        <c:tickLblPos val="none"/>
        <c:crossAx val="147852288"/>
        <c:crosses val="autoZero"/>
        <c:auto val="1"/>
        <c:lblAlgn val="ctr"/>
        <c:lblOffset val="100"/>
        <c:noMultiLvlLbl val="0"/>
      </c:catAx>
      <c:spPr>
        <a:no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Sheet1!$B$3:$K$3</c:f>
              <c:numCache>
                <c:formatCode>General</c:formatCode>
                <c:ptCount val="10"/>
                <c:pt idx="0">
                  <c:v>14</c:v>
                </c:pt>
                <c:pt idx="1">
                  <c:v>16.5</c:v>
                </c:pt>
                <c:pt idx="2">
                  <c:v>-1.9000000000000061</c:v>
                </c:pt>
                <c:pt idx="3">
                  <c:v>-7.7000000000000028</c:v>
                </c:pt>
                <c:pt idx="4">
                  <c:v>-3.2000000000000037</c:v>
                </c:pt>
                <c:pt idx="5">
                  <c:v>-1.5999999999999936</c:v>
                </c:pt>
                <c:pt idx="6">
                  <c:v>-2.2999999999999972</c:v>
                </c:pt>
                <c:pt idx="7">
                  <c:v>-1.2000000000000028</c:v>
                </c:pt>
                <c:pt idx="8">
                  <c:v>1.7999999999999965</c:v>
                </c:pt>
                <c:pt idx="9" formatCode="0.0">
                  <c:v>-3</c:v>
                </c:pt>
              </c:numCache>
            </c:numRef>
          </c:val>
          <c:extLst>
            <c:ext xmlns:c16="http://schemas.microsoft.com/office/drawing/2014/chart" uri="{C3380CC4-5D6E-409C-BE32-E72D297353CC}">
              <c16:uniqueId val="{00000000-969C-4A83-B1C7-7E2B753377B1}"/>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Sheet1!$B$4:$K$4</c:f>
              <c:numCache>
                <c:formatCode>General</c:formatCode>
                <c:ptCount val="10"/>
                <c:pt idx="0">
                  <c:v>7.7000000000000028</c:v>
                </c:pt>
                <c:pt idx="1">
                  <c:v>4.2999999999999972</c:v>
                </c:pt>
                <c:pt idx="2">
                  <c:v>-26.200000000000003</c:v>
                </c:pt>
                <c:pt idx="3">
                  <c:v>-51</c:v>
                </c:pt>
                <c:pt idx="4">
                  <c:v>-27</c:v>
                </c:pt>
                <c:pt idx="5">
                  <c:v>-23.29999999999999</c:v>
                </c:pt>
                <c:pt idx="6">
                  <c:v>-19.5</c:v>
                </c:pt>
                <c:pt idx="7">
                  <c:v>-5.2999999999999972</c:v>
                </c:pt>
                <c:pt idx="8">
                  <c:v>0.59999999999999432</c:v>
                </c:pt>
                <c:pt idx="9" formatCode="0.0">
                  <c:v>0.29999999999999738</c:v>
                </c:pt>
              </c:numCache>
            </c:numRef>
          </c:val>
          <c:extLst>
            <c:ext xmlns:c16="http://schemas.microsoft.com/office/drawing/2014/chart" uri="{C3380CC4-5D6E-409C-BE32-E72D297353CC}">
              <c16:uniqueId val="{00000001-969C-4A83-B1C7-7E2B753377B1}"/>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Sheet1!$B$5:$K$5</c:f>
              <c:numCache>
                <c:formatCode>General</c:formatCode>
                <c:ptCount val="10"/>
                <c:pt idx="0">
                  <c:v>12</c:v>
                </c:pt>
                <c:pt idx="1">
                  <c:v>10.3</c:v>
                </c:pt>
                <c:pt idx="2">
                  <c:v>-4.2000000000000028</c:v>
                </c:pt>
                <c:pt idx="3">
                  <c:v>-16.79999999999999</c:v>
                </c:pt>
                <c:pt idx="4">
                  <c:v>-20.099999999999987</c:v>
                </c:pt>
                <c:pt idx="5">
                  <c:v>-16.200000000000003</c:v>
                </c:pt>
                <c:pt idx="6">
                  <c:v>-21.599999999999987</c:v>
                </c:pt>
                <c:pt idx="7">
                  <c:v>-19.29999999999999</c:v>
                </c:pt>
                <c:pt idx="8">
                  <c:v>-18.29999999999999</c:v>
                </c:pt>
                <c:pt idx="9" formatCode="0.0">
                  <c:v>-21</c:v>
                </c:pt>
              </c:numCache>
            </c:numRef>
          </c:val>
          <c:extLst>
            <c:ext xmlns:c16="http://schemas.microsoft.com/office/drawing/2014/chart" uri="{C3380CC4-5D6E-409C-BE32-E72D297353CC}">
              <c16:uniqueId val="{00000002-969C-4A83-B1C7-7E2B753377B1}"/>
            </c:ext>
          </c:extLst>
        </c:ser>
        <c:ser>
          <c:idx val="4"/>
          <c:order val="4"/>
          <c:tx>
            <c:strRef>
              <c:f>Sheet1!$A$6</c:f>
              <c:strCache>
                <c:ptCount val="1"/>
                <c:pt idx="0">
                  <c:v>Առևտուր</c:v>
                </c:pt>
              </c:strCache>
            </c:strRef>
          </c:tx>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Sheet1!$B$6:$K$6</c:f>
              <c:numCache>
                <c:formatCode>General</c:formatCode>
                <c:ptCount val="10"/>
                <c:pt idx="0">
                  <c:v>10.3</c:v>
                </c:pt>
                <c:pt idx="1">
                  <c:v>2.7999999999999972</c:v>
                </c:pt>
                <c:pt idx="2">
                  <c:v>-9.9000000000000057</c:v>
                </c:pt>
                <c:pt idx="3">
                  <c:v>-33.100000000000009</c:v>
                </c:pt>
                <c:pt idx="4">
                  <c:v>-18.400000000000006</c:v>
                </c:pt>
                <c:pt idx="5">
                  <c:v>-12.400000000000006</c:v>
                </c:pt>
                <c:pt idx="6">
                  <c:v>-10.400000000000006</c:v>
                </c:pt>
                <c:pt idx="7">
                  <c:v>-14.8</c:v>
                </c:pt>
                <c:pt idx="8">
                  <c:v>-10.8</c:v>
                </c:pt>
                <c:pt idx="9" formatCode="0.0">
                  <c:v>-20.900000000000006</c:v>
                </c:pt>
              </c:numCache>
            </c:numRef>
          </c:val>
          <c:extLst>
            <c:ext xmlns:c16="http://schemas.microsoft.com/office/drawing/2014/chart" uri="{C3380CC4-5D6E-409C-BE32-E72D297353CC}">
              <c16:uniqueId val="{00000003-969C-4A83-B1C7-7E2B753377B1}"/>
            </c:ext>
          </c:extLst>
        </c:ser>
        <c:dLbls>
          <c:showLegendKey val="0"/>
          <c:showVal val="0"/>
          <c:showCatName val="0"/>
          <c:showSerName val="0"/>
          <c:showPercent val="0"/>
          <c:showBubbleSize val="0"/>
        </c:dLbls>
        <c:gapWidth val="219"/>
        <c:overlap val="-27"/>
        <c:axId val="156619136"/>
        <c:axId val="156620672"/>
      </c:barChart>
      <c:lineChart>
        <c:grouping val="standard"/>
        <c:varyColors val="0"/>
        <c:ser>
          <c:idx val="0"/>
          <c:order val="0"/>
          <c:tx>
            <c:strRef>
              <c:f>Sheet1!$A$2</c:f>
              <c:strCache>
                <c:ptCount val="1"/>
                <c:pt idx="0">
                  <c:v>ՏԱՑ</c:v>
                </c:pt>
              </c:strCache>
            </c:strRef>
          </c:tx>
          <c:spPr>
            <a:effectLst/>
          </c:spPr>
          <c:dLbls>
            <c:dLbl>
              <c:idx val="0"/>
              <c:layout>
                <c:manualLayout>
                  <c:x val="-5.3619302949061684E-2"/>
                  <c:y val="-5.208333333333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9C-4A83-B1C7-7E2B753377B1}"/>
                </c:ext>
              </c:extLst>
            </c:dLbl>
            <c:dLbl>
              <c:idx val="1"/>
              <c:layout>
                <c:manualLayout>
                  <c:x val="-5.7743864714374107E-2"/>
                  <c:y val="-5.2083333333333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9C-4A83-B1C7-7E2B753377B1}"/>
                </c:ext>
              </c:extLst>
            </c:dLbl>
            <c:dLbl>
              <c:idx val="2"/>
              <c:layout>
                <c:manualLayout>
                  <c:x val="-6.5992988244999023E-2"/>
                  <c:y val="5.208333333333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9C-4A83-B1C7-7E2B753377B1}"/>
                </c:ext>
              </c:extLst>
            </c:dLbl>
            <c:dLbl>
              <c:idx val="3"/>
              <c:layout>
                <c:manualLayout>
                  <c:x val="-6.186842647968676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9C-4A83-B1C7-7E2B753377B1}"/>
                </c:ext>
              </c:extLst>
            </c:dLbl>
            <c:dLbl>
              <c:idx val="4"/>
              <c:layout>
                <c:manualLayout>
                  <c:x val="-6.5992988244999023E-2"/>
                  <c:y val="5.3476032082019426E-2"/>
                </c:manualLayout>
              </c:layout>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969C-4A83-B1C7-7E2B753377B1}"/>
                </c:ext>
              </c:extLst>
            </c:dLbl>
            <c:dLbl>
              <c:idx val="5"/>
              <c:layout>
                <c:manualLayout>
                  <c:x val="-6.2893081761006345E-2"/>
                  <c:y val="6.0477774417901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9C-4A83-B1C7-7E2B753377B1}"/>
                </c:ext>
              </c:extLst>
            </c:dLbl>
            <c:dLbl>
              <c:idx val="6"/>
              <c:layout>
                <c:manualLayout>
                  <c:x val="-7.9664570230608092E-2"/>
                  <c:y val="4.8382219534321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9C-4A83-B1C7-7E2B753377B1}"/>
                </c:ext>
              </c:extLst>
            </c:dLbl>
            <c:dLbl>
              <c:idx val="7"/>
              <c:layout>
                <c:manualLayout>
                  <c:x val="-6.7085953878406893E-2"/>
                  <c:y val="5.4429996976111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9C-4A83-B1C7-7E2B753377B1}"/>
                </c:ext>
              </c:extLst>
            </c:dLbl>
            <c:dLbl>
              <c:idx val="8"/>
              <c:layout>
                <c:manualLayout>
                  <c:x val="-5.8700209643605894E-2"/>
                  <c:y val="4.23344420925310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9C-4A83-B1C7-7E2B753377B1}"/>
                </c:ext>
              </c:extLst>
            </c:dLbl>
            <c:dLbl>
              <c:idx val="9"/>
              <c:layout>
                <c:manualLayout>
                  <c:x val="-6.726928736598696E-2"/>
                  <c:y val="4.1855598186257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9C-4A83-B1C7-7E2B753377B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Sheet1!$B$2:$K$2</c:f>
              <c:numCache>
                <c:formatCode>General</c:formatCode>
                <c:ptCount val="10"/>
                <c:pt idx="0">
                  <c:v>9.2000000000000011</c:v>
                </c:pt>
                <c:pt idx="1">
                  <c:v>9.0999999999999979</c:v>
                </c:pt>
                <c:pt idx="2">
                  <c:v>-4.0999999999999943</c:v>
                </c:pt>
                <c:pt idx="3">
                  <c:v>-16.400000000000006</c:v>
                </c:pt>
                <c:pt idx="4">
                  <c:v>-12.8</c:v>
                </c:pt>
                <c:pt idx="5">
                  <c:v>-7.5999999999999943</c:v>
                </c:pt>
                <c:pt idx="6">
                  <c:v>-10.200000000000003</c:v>
                </c:pt>
                <c:pt idx="7">
                  <c:v>-9.8000000000000025</c:v>
                </c:pt>
                <c:pt idx="8">
                  <c:v>-7.5</c:v>
                </c:pt>
                <c:pt idx="9">
                  <c:v>-8.0999999999999979</c:v>
                </c:pt>
              </c:numCache>
            </c:numRef>
          </c:val>
          <c:smooth val="0"/>
          <c:extLst>
            <c:ext xmlns:c16="http://schemas.microsoft.com/office/drawing/2014/chart" uri="{C3380CC4-5D6E-409C-BE32-E72D297353CC}">
              <c16:uniqueId val="{0000000E-969C-4A83-B1C7-7E2B753377B1}"/>
            </c:ext>
          </c:extLst>
        </c:ser>
        <c:dLbls>
          <c:showLegendKey val="0"/>
          <c:showVal val="0"/>
          <c:showCatName val="0"/>
          <c:showSerName val="0"/>
          <c:showPercent val="0"/>
          <c:showBubbleSize val="0"/>
        </c:dLbls>
        <c:marker val="1"/>
        <c:smooth val="0"/>
        <c:axId val="156624000"/>
        <c:axId val="156622208"/>
      </c:lineChart>
      <c:catAx>
        <c:axId val="1566191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6620672"/>
        <c:crosses val="autoZero"/>
        <c:auto val="1"/>
        <c:lblAlgn val="ctr"/>
        <c:lblOffset val="100"/>
        <c:noMultiLvlLbl val="0"/>
      </c:catAx>
      <c:valAx>
        <c:axId val="156620672"/>
        <c:scaling>
          <c:orientation val="minMax"/>
          <c:max val="30"/>
          <c:min val="-5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6619136"/>
        <c:crosses val="autoZero"/>
        <c:crossBetween val="between"/>
      </c:valAx>
      <c:valAx>
        <c:axId val="156622208"/>
        <c:scaling>
          <c:orientation val="minMax"/>
          <c:min val="-22"/>
        </c:scaling>
        <c:delete val="0"/>
        <c:axPos val="r"/>
        <c:numFmt formatCode="General" sourceLinked="1"/>
        <c:majorTickMark val="out"/>
        <c:minorTickMark val="none"/>
        <c:tickLblPos val="nextTo"/>
        <c:crossAx val="156624000"/>
        <c:crosses val="max"/>
        <c:crossBetween val="between"/>
      </c:valAx>
      <c:catAx>
        <c:axId val="156624000"/>
        <c:scaling>
          <c:orientation val="minMax"/>
        </c:scaling>
        <c:delete val="1"/>
        <c:axPos val="b"/>
        <c:numFmt formatCode="General" sourceLinked="1"/>
        <c:majorTickMark val="out"/>
        <c:minorTickMark val="none"/>
        <c:tickLblPos val="none"/>
        <c:crossAx val="156622208"/>
        <c:crosses val="autoZero"/>
        <c:auto val="1"/>
        <c:lblAlgn val="ctr"/>
        <c:lblOffset val="100"/>
        <c:noMultiLvlLbl val="0"/>
      </c:catAx>
      <c:spPr>
        <a:noFill/>
        <a:ln>
          <a:noFill/>
        </a:ln>
        <a:effectLst/>
      </c:spPr>
    </c:plotArea>
    <c:legend>
      <c:legendPos val="b"/>
      <c:layout>
        <c:manualLayout>
          <c:xMode val="edge"/>
          <c:yMode val="edge"/>
          <c:x val="3.9212598425196851E-2"/>
          <c:y val="0.79446551510904051"/>
          <c:w val="0.92687606666201161"/>
          <c:h val="0.1511044336875490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22"/>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Sheet1!$B$3:$K$3</c:f>
              <c:numCache>
                <c:formatCode>0.0</c:formatCode>
                <c:ptCount val="10"/>
                <c:pt idx="0">
                  <c:v>2.8042477978390434</c:v>
                </c:pt>
                <c:pt idx="1">
                  <c:v>3.06601485830224</c:v>
                </c:pt>
                <c:pt idx="2">
                  <c:v>1.7547469221544643</c:v>
                </c:pt>
                <c:pt idx="3">
                  <c:v>0.88616215968303169</c:v>
                </c:pt>
                <c:pt idx="4">
                  <c:v>0.55398866740245833</c:v>
                </c:pt>
                <c:pt idx="5">
                  <c:v>0.3914380922174579</c:v>
                </c:pt>
                <c:pt idx="6">
                  <c:v>0.26039443837076814</c:v>
                </c:pt>
                <c:pt idx="7">
                  <c:v>0.18027307271822562</c:v>
                </c:pt>
                <c:pt idx="8">
                  <c:v>0.20030341413136052</c:v>
                </c:pt>
                <c:pt idx="9">
                  <c:v>0.10015170706568027</c:v>
                </c:pt>
              </c:numCache>
            </c:numRef>
          </c:val>
          <c:extLst>
            <c:ext xmlns:c16="http://schemas.microsoft.com/office/drawing/2014/chart" uri="{C3380CC4-5D6E-409C-BE32-E72D297353CC}">
              <c16:uniqueId val="{00000000-D8EA-4423-A6D8-01A21F7B22BF}"/>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Sheet1!$B$4:$K$4</c:f>
              <c:numCache>
                <c:formatCode>0.0</c:formatCode>
                <c:ptCount val="10"/>
                <c:pt idx="0">
                  <c:v>0</c:v>
                </c:pt>
                <c:pt idx="1">
                  <c:v>0</c:v>
                </c:pt>
                <c:pt idx="2">
                  <c:v>0.5960429144690137</c:v>
                </c:pt>
                <c:pt idx="3">
                  <c:v>0</c:v>
                </c:pt>
                <c:pt idx="4">
                  <c:v>0</c:v>
                </c:pt>
                <c:pt idx="5">
                  <c:v>0.22517176768829433</c:v>
                </c:pt>
                <c:pt idx="6">
                  <c:v>0</c:v>
                </c:pt>
                <c:pt idx="7">
                  <c:v>0</c:v>
                </c:pt>
                <c:pt idx="8">
                  <c:v>6.6226990496557059E-2</c:v>
                </c:pt>
                <c:pt idx="9">
                  <c:v>0</c:v>
                </c:pt>
              </c:numCache>
            </c:numRef>
          </c:val>
          <c:extLst>
            <c:ext xmlns:c16="http://schemas.microsoft.com/office/drawing/2014/chart" uri="{C3380CC4-5D6E-409C-BE32-E72D297353CC}">
              <c16:uniqueId val="{00000001-D8EA-4423-A6D8-01A21F7B22BF}"/>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Sheet1!$B$5:$K$5</c:f>
              <c:numCache>
                <c:formatCode>0.0</c:formatCode>
                <c:ptCount val="10"/>
                <c:pt idx="0">
                  <c:v>0.52388645653121413</c:v>
                </c:pt>
                <c:pt idx="1">
                  <c:v>0.39461577245208318</c:v>
                </c:pt>
                <c:pt idx="2">
                  <c:v>-0.63954970018096291</c:v>
                </c:pt>
                <c:pt idx="3">
                  <c:v>-1.4900147270173492</c:v>
                </c:pt>
                <c:pt idx="4">
                  <c:v>-1.5920705302377163</c:v>
                </c:pt>
                <c:pt idx="5">
                  <c:v>-1.5920705302377163</c:v>
                </c:pt>
                <c:pt idx="6">
                  <c:v>-1.5376407685201858</c:v>
                </c:pt>
                <c:pt idx="7">
                  <c:v>-1.299510561005998</c:v>
                </c:pt>
                <c:pt idx="8">
                  <c:v>-1.0681840737065023</c:v>
                </c:pt>
                <c:pt idx="9">
                  <c:v>-0.90489478855391481</c:v>
                </c:pt>
              </c:numCache>
            </c:numRef>
          </c:val>
          <c:extLst>
            <c:ext xmlns:c16="http://schemas.microsoft.com/office/drawing/2014/chart" uri="{C3380CC4-5D6E-409C-BE32-E72D297353CC}">
              <c16:uniqueId val="{00000002-D8EA-4423-A6D8-01A21F7B22BF}"/>
            </c:ext>
          </c:extLst>
        </c:ser>
        <c:ser>
          <c:idx val="4"/>
          <c:order val="4"/>
          <c:tx>
            <c:strRef>
              <c:f>Sheet1!$A$6</c:f>
              <c:strCache>
                <c:ptCount val="1"/>
                <c:pt idx="0">
                  <c:v>ծառայություններ</c:v>
                </c:pt>
              </c:strCache>
            </c:strRef>
          </c:tx>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Sheet1!$B$6:$K$6</c:f>
              <c:numCache>
                <c:formatCode>0.0</c:formatCode>
                <c:ptCount val="10"/>
                <c:pt idx="0">
                  <c:v>5.6652669600498502</c:v>
                </c:pt>
                <c:pt idx="1">
                  <c:v>5.2533673900575444</c:v>
                </c:pt>
                <c:pt idx="2">
                  <c:v>2.6520193147104747</c:v>
                </c:pt>
                <c:pt idx="3">
                  <c:v>-0.1867452219715148</c:v>
                </c:pt>
                <c:pt idx="4">
                  <c:v>-2.2316185703214217</c:v>
                </c:pt>
                <c:pt idx="5">
                  <c:v>-3.2376414265744287</c:v>
                </c:pt>
                <c:pt idx="6">
                  <c:v>-4.3905818940386387</c:v>
                </c:pt>
                <c:pt idx="7">
                  <c:v>-5.0987402640448733</c:v>
                </c:pt>
                <c:pt idx="8">
                  <c:v>-5.5236352860486111</c:v>
                </c:pt>
                <c:pt idx="9">
                  <c:v>-6.0429514240531814</c:v>
                </c:pt>
              </c:numCache>
            </c:numRef>
          </c:val>
          <c:extLst>
            <c:ext xmlns:c16="http://schemas.microsoft.com/office/drawing/2014/chart" uri="{C3380CC4-5D6E-409C-BE32-E72D297353CC}">
              <c16:uniqueId val="{00000003-D8EA-4423-A6D8-01A21F7B22BF}"/>
            </c:ext>
          </c:extLst>
        </c:ser>
        <c:ser>
          <c:idx val="5"/>
          <c:order val="5"/>
          <c:tx>
            <c:strRef>
              <c:f>Sheet1!$A$7</c:f>
              <c:strCache>
                <c:ptCount val="1"/>
                <c:pt idx="0">
                  <c:v>առևտուր</c:v>
                </c:pt>
              </c:strCache>
            </c:strRef>
          </c:tx>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Sheet1!$B$7:$K$7</c:f>
              <c:numCache>
                <c:formatCode>0.0</c:formatCode>
                <c:ptCount val="10"/>
                <c:pt idx="0">
                  <c:v>1.309128174061938</c:v>
                </c:pt>
                <c:pt idx="1">
                  <c:v>0.8007288831640984</c:v>
                </c:pt>
                <c:pt idx="2">
                  <c:v>2.5419964544892378E-2</c:v>
                </c:pt>
                <c:pt idx="3">
                  <c:v>-1.0930584754303561</c:v>
                </c:pt>
                <c:pt idx="4">
                  <c:v>-1.3726780854241678</c:v>
                </c:pt>
                <c:pt idx="5">
                  <c:v>-1.4108080322415057</c:v>
                </c:pt>
                <c:pt idx="6">
                  <c:v>-1.3980980499690605</c:v>
                </c:pt>
                <c:pt idx="7">
                  <c:v>-1.4616479613312909</c:v>
                </c:pt>
                <c:pt idx="8">
                  <c:v>-1.4489379790588457</c:v>
                </c:pt>
                <c:pt idx="9">
                  <c:v>-1.5887477840557511</c:v>
                </c:pt>
              </c:numCache>
            </c:numRef>
          </c:val>
          <c:extLst>
            <c:ext xmlns:c16="http://schemas.microsoft.com/office/drawing/2014/chart" uri="{C3380CC4-5D6E-409C-BE32-E72D297353CC}">
              <c16:uniqueId val="{00000004-D8EA-4423-A6D8-01A21F7B22BF}"/>
            </c:ext>
          </c:extLst>
        </c:ser>
        <c:ser>
          <c:idx val="6"/>
          <c:order val="6"/>
          <c:tx>
            <c:strRef>
              <c:f>Sheet1!$A$8</c:f>
              <c:strCache>
                <c:ptCount val="1"/>
                <c:pt idx="0">
                  <c:v>այլ </c:v>
                </c:pt>
              </c:strCache>
            </c:strRef>
          </c:tx>
          <c:invertIfNegative val="0"/>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Sheet1!$B$8:$K$8</c:f>
              <c:numCache>
                <c:formatCode>0.0</c:formatCode>
                <c:ptCount val="10"/>
                <c:pt idx="0">
                  <c:v>-1.078200540614594</c:v>
                </c:pt>
                <c:pt idx="1">
                  <c:v>-0.3504314545745969</c:v>
                </c:pt>
                <c:pt idx="2">
                  <c:v>-0.19312768839582173</c:v>
                </c:pt>
                <c:pt idx="3">
                  <c:v>0.48386878645986453</c:v>
                </c:pt>
                <c:pt idx="4">
                  <c:v>0.63392172170002503</c:v>
                </c:pt>
                <c:pt idx="5">
                  <c:v>0.90601471871459882</c:v>
                </c:pt>
                <c:pt idx="6">
                  <c:v>1.3556643629170781</c:v>
                </c:pt>
                <c:pt idx="7">
                  <c:v>1.2999419515892563</c:v>
                </c:pt>
                <c:pt idx="8">
                  <c:v>1.220146415328851</c:v>
                </c:pt>
                <c:pt idx="9">
                  <c:v>1.7364422895971638</c:v>
                </c:pt>
              </c:numCache>
            </c:numRef>
          </c:val>
          <c:extLst>
            <c:ext xmlns:c16="http://schemas.microsoft.com/office/drawing/2014/chart" uri="{C3380CC4-5D6E-409C-BE32-E72D297353CC}">
              <c16:uniqueId val="{00000005-D8EA-4423-A6D8-01A21F7B22BF}"/>
            </c:ext>
          </c:extLst>
        </c:ser>
        <c:dLbls>
          <c:showLegendKey val="0"/>
          <c:showVal val="0"/>
          <c:showCatName val="0"/>
          <c:showSerName val="0"/>
          <c:showPercent val="0"/>
          <c:showBubbleSize val="0"/>
        </c:dLbls>
        <c:gapWidth val="150"/>
        <c:overlap val="100"/>
        <c:axId val="160450432"/>
        <c:axId val="160451968"/>
      </c:barChart>
      <c:lineChart>
        <c:grouping val="standard"/>
        <c:varyColors val="0"/>
        <c:ser>
          <c:idx val="0"/>
          <c:order val="0"/>
          <c:tx>
            <c:strRef>
              <c:f>Sheet1!$A$2</c:f>
              <c:strCache>
                <c:ptCount val="1"/>
                <c:pt idx="0">
                  <c:v>ՏԱՑ</c:v>
                </c:pt>
              </c:strCache>
            </c:strRef>
          </c:tx>
          <c:spPr>
            <a:effectLst/>
          </c:spPr>
          <c:dLbls>
            <c:dLbl>
              <c:idx val="0"/>
              <c:layout>
                <c:manualLayout>
                  <c:x val="-4.5370179418436803E-2"/>
                  <c:y val="-5.208333333333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EA-4423-A6D8-01A21F7B22BF}"/>
                </c:ext>
              </c:extLst>
            </c:dLbl>
            <c:dLbl>
              <c:idx val="1"/>
              <c:layout>
                <c:manualLayout>
                  <c:x val="-5.7743864714374107E-2"/>
                  <c:y val="-5.2083333333333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EA-4423-A6D8-01A21F7B22BF}"/>
                </c:ext>
              </c:extLst>
            </c:dLbl>
            <c:dLbl>
              <c:idx val="2"/>
              <c:layout>
                <c:manualLayout>
                  <c:x val="0"/>
                  <c:y val="-3.7202380952380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EA-4423-A6D8-01A21F7B22BF}"/>
                </c:ext>
              </c:extLst>
            </c:dLbl>
            <c:dLbl>
              <c:idx val="3"/>
              <c:layout>
                <c:manualLayout>
                  <c:x val="-4.949474118374933E-2"/>
                  <c:y val="-6.6964285714285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8EA-4423-A6D8-01A21F7B22BF}"/>
                </c:ext>
              </c:extLst>
            </c:dLbl>
            <c:dLbl>
              <c:idx val="4"/>
              <c:layout>
                <c:manualLayout>
                  <c:x val="-2.8739915202907411E-2"/>
                  <c:y val="-2.8792771871258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EA-4423-A6D8-01A21F7B22BF}"/>
                </c:ext>
              </c:extLst>
            </c:dLbl>
            <c:dLbl>
              <c:idx val="5"/>
              <c:layout>
                <c:manualLayout>
                  <c:x val="-3.2820512820512772E-2"/>
                  <c:y val="-3.9499670836076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8EA-4423-A6D8-01A21F7B22BF}"/>
                </c:ext>
              </c:extLst>
            </c:dLbl>
            <c:dLbl>
              <c:idx val="6"/>
              <c:layout>
                <c:manualLayout>
                  <c:x val="-4.1025641025641033E-2"/>
                  <c:y val="-5.9249506254114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8EA-4423-A6D8-01A21F7B22BF}"/>
                </c:ext>
              </c:extLst>
            </c:dLbl>
            <c:dLbl>
              <c:idx val="7"/>
              <c:layout>
                <c:manualLayout>
                  <c:x val="-4.1025641025641033E-2"/>
                  <c:y val="-5.2666227781435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8EA-4423-A6D8-01A21F7B22BF}"/>
                </c:ext>
              </c:extLst>
            </c:dLbl>
            <c:dLbl>
              <c:idx val="8"/>
              <c:layout>
                <c:manualLayout>
                  <c:x val="-3.6923076923076961E-2"/>
                  <c:y val="-4.6082949308755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8EA-4423-A6D8-01A21F7B22BF}"/>
                </c:ext>
              </c:extLst>
            </c:dLbl>
            <c:dLbl>
              <c:idx val="9"/>
              <c:layout>
                <c:manualLayout>
                  <c:x val="-2.8717948717948871E-2"/>
                  <c:y val="-3.291639236339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8EA-4423-A6D8-01A21F7B22B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Sheet1!$B$1:$K$1</c:f>
              <c:strCache>
                <c:ptCount val="10"/>
                <c:pt idx="0">
                  <c:v>I</c:v>
                </c:pt>
                <c:pt idx="1">
                  <c:v>I-II</c:v>
                </c:pt>
                <c:pt idx="2">
                  <c:v>I-III</c:v>
                </c:pt>
                <c:pt idx="3">
                  <c:v>I-IV</c:v>
                </c:pt>
                <c:pt idx="4">
                  <c:v>I-V</c:v>
                </c:pt>
                <c:pt idx="5">
                  <c:v>I-VI</c:v>
                </c:pt>
                <c:pt idx="6">
                  <c:v>I-VII</c:v>
                </c:pt>
                <c:pt idx="7">
                  <c:v>I-VIII</c:v>
                </c:pt>
                <c:pt idx="8">
                  <c:v>I-IX</c:v>
                </c:pt>
                <c:pt idx="9">
                  <c:v>I-X</c:v>
                </c:pt>
              </c:strCache>
            </c:strRef>
          </c:cat>
          <c:val>
            <c:numRef>
              <c:f>Sheet1!$B$2:$K$2</c:f>
              <c:numCache>
                <c:formatCode>0.0</c:formatCode>
                <c:ptCount val="10"/>
                <c:pt idx="0">
                  <c:v>9.2243288478674472</c:v>
                </c:pt>
                <c:pt idx="1">
                  <c:v>9.1642954494013651</c:v>
                </c:pt>
                <c:pt idx="2">
                  <c:v>4.1955517273020586</c:v>
                </c:pt>
                <c:pt idx="3">
                  <c:v>-1.3997874782763238</c:v>
                </c:pt>
                <c:pt idx="4">
                  <c:v>-4.0084567968808233</c:v>
                </c:pt>
                <c:pt idx="5">
                  <c:v>-4.7178954104333002</c:v>
                </c:pt>
                <c:pt idx="6">
                  <c:v>-5.7102619112400408</c:v>
                </c:pt>
                <c:pt idx="7">
                  <c:v>-6.3796837620746807</c:v>
                </c:pt>
                <c:pt idx="8">
                  <c:v>-6.5540805188571873</c:v>
                </c:pt>
                <c:pt idx="9">
                  <c:v>-6.7000000000000028</c:v>
                </c:pt>
              </c:numCache>
            </c:numRef>
          </c:val>
          <c:smooth val="0"/>
          <c:extLst>
            <c:ext xmlns:c16="http://schemas.microsoft.com/office/drawing/2014/chart" uri="{C3380CC4-5D6E-409C-BE32-E72D297353CC}">
              <c16:uniqueId val="{00000010-D8EA-4423-A6D8-01A21F7B22BF}"/>
            </c:ext>
          </c:extLst>
        </c:ser>
        <c:dLbls>
          <c:showLegendKey val="0"/>
          <c:showVal val="0"/>
          <c:showCatName val="0"/>
          <c:showSerName val="0"/>
          <c:showPercent val="0"/>
          <c:showBubbleSize val="0"/>
        </c:dLbls>
        <c:marker val="1"/>
        <c:smooth val="0"/>
        <c:axId val="160450432"/>
        <c:axId val="160451968"/>
      </c:lineChart>
      <c:catAx>
        <c:axId val="160450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0451968"/>
        <c:crosses val="autoZero"/>
        <c:auto val="1"/>
        <c:lblAlgn val="ctr"/>
        <c:lblOffset val="100"/>
        <c:noMultiLvlLbl val="0"/>
      </c:catAx>
      <c:valAx>
        <c:axId val="160451968"/>
        <c:scaling>
          <c:orientation val="minMax"/>
          <c:max val="11"/>
          <c:min val="-7"/>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0450432"/>
        <c:crosses val="autoZero"/>
        <c:crossBetween val="between"/>
      </c:valAx>
      <c:spPr>
        <a:noFill/>
        <a:ln>
          <a:noFill/>
        </a:ln>
        <a:effectLst/>
      </c:spPr>
    </c:plotArea>
    <c:legend>
      <c:legendPos val="b"/>
      <c:layout>
        <c:manualLayout>
          <c:xMode val="edge"/>
          <c:yMode val="edge"/>
          <c:x val="3.9212662156607202E-2"/>
          <c:y val="0.77063982271677456"/>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Sheet1!$B$3:$K$3</c:f>
              <c:numCache>
                <c:formatCode>0.0</c:formatCode>
                <c:ptCount val="10"/>
                <c:pt idx="0">
                  <c:v>2.8042477978390465</c:v>
                </c:pt>
                <c:pt idx="1">
                  <c:v>3.3050063331674466</c:v>
                </c:pt>
                <c:pt idx="2">
                  <c:v>-0.38057648684958623</c:v>
                </c:pt>
                <c:pt idx="3">
                  <c:v>-1.5423362888114758</c:v>
                </c:pt>
                <c:pt idx="4">
                  <c:v>-0.64097092522035404</c:v>
                </c:pt>
                <c:pt idx="5">
                  <c:v>-0.32048546261017574</c:v>
                </c:pt>
                <c:pt idx="6">
                  <c:v>-0.46069785250212825</c:v>
                </c:pt>
                <c:pt idx="7">
                  <c:v>-0.24036409695763322</c:v>
                </c:pt>
                <c:pt idx="8">
                  <c:v>0.36054614543644831</c:v>
                </c:pt>
                <c:pt idx="9">
                  <c:v>-0.60091024239408175</c:v>
                </c:pt>
              </c:numCache>
            </c:numRef>
          </c:val>
          <c:extLst>
            <c:ext xmlns:c16="http://schemas.microsoft.com/office/drawing/2014/chart" uri="{C3380CC4-5D6E-409C-BE32-E72D297353CC}">
              <c16:uniqueId val="{00000000-7A0E-4543-8AFE-044797080866}"/>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Sheet1!$B$4:$K$4</c:f>
              <c:numCache>
                <c:formatCode>0.0</c:formatCode>
                <c:ptCount val="10"/>
                <c:pt idx="0">
                  <c:v>0.52388645653121413</c:v>
                </c:pt>
                <c:pt idx="1">
                  <c:v>0.29255996923171684</c:v>
                </c:pt>
                <c:pt idx="2">
                  <c:v>-1.7825746962490654</c:v>
                </c:pt>
                <c:pt idx="3">
                  <c:v>-3.469897309492457</c:v>
                </c:pt>
                <c:pt idx="4">
                  <c:v>-1.8370044579665941</c:v>
                </c:pt>
                <c:pt idx="5">
                  <c:v>-1.5852668100230238</c:v>
                </c:pt>
                <c:pt idx="6">
                  <c:v>-1.3267254418647627</c:v>
                </c:pt>
                <c:pt idx="7">
                  <c:v>-0.36059717137862773</c:v>
                </c:pt>
                <c:pt idx="8">
                  <c:v>4.0822321288146182E-2</c:v>
                </c:pt>
                <c:pt idx="9">
                  <c:v>2.0411160644073098E-2</c:v>
                </c:pt>
              </c:numCache>
            </c:numRef>
          </c:val>
          <c:extLst>
            <c:ext xmlns:c16="http://schemas.microsoft.com/office/drawing/2014/chart" uri="{C3380CC4-5D6E-409C-BE32-E72D297353CC}">
              <c16:uniqueId val="{00000001-7A0E-4543-8AFE-044797080866}"/>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Sheet1!$B$5:$K$5</c:f>
              <c:numCache>
                <c:formatCode>0.0</c:formatCode>
                <c:ptCount val="10"/>
                <c:pt idx="0">
                  <c:v>5.6652669600498564</c:v>
                </c:pt>
                <c:pt idx="1">
                  <c:v>4.8626874740427919</c:v>
                </c:pt>
                <c:pt idx="2">
                  <c:v>-1.9828434360174521</c:v>
                </c:pt>
                <c:pt idx="3">
                  <c:v>-7.9313737440698038</c:v>
                </c:pt>
                <c:pt idx="4">
                  <c:v>-9.4893221580835103</c:v>
                </c:pt>
                <c:pt idx="5">
                  <c:v>-7.6481103960673087</c:v>
                </c:pt>
                <c:pt idx="6">
                  <c:v>-10.19748052808975</c:v>
                </c:pt>
                <c:pt idx="7">
                  <c:v>-9.1116376940801871</c:v>
                </c:pt>
                <c:pt idx="8">
                  <c:v>-8.6395321140760348</c:v>
                </c:pt>
                <c:pt idx="9">
                  <c:v>-9.9142171800872489</c:v>
                </c:pt>
              </c:numCache>
            </c:numRef>
          </c:val>
          <c:extLst>
            <c:ext xmlns:c16="http://schemas.microsoft.com/office/drawing/2014/chart" uri="{C3380CC4-5D6E-409C-BE32-E72D297353CC}">
              <c16:uniqueId val="{00000002-7A0E-4543-8AFE-044797080866}"/>
            </c:ext>
          </c:extLst>
        </c:ser>
        <c:ser>
          <c:idx val="4"/>
          <c:order val="4"/>
          <c:tx>
            <c:strRef>
              <c:f>Sheet1!$A$6</c:f>
              <c:strCache>
                <c:ptCount val="1"/>
                <c:pt idx="0">
                  <c:v>առևտուր</c:v>
                </c:pt>
              </c:strCache>
            </c:strRef>
          </c:tx>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Sheet1!$B$6:$K$6</c:f>
              <c:numCache>
                <c:formatCode>0.0</c:formatCode>
                <c:ptCount val="10"/>
                <c:pt idx="0">
                  <c:v>1.309128174061938</c:v>
                </c:pt>
                <c:pt idx="1">
                  <c:v>0.35587950362848791</c:v>
                </c:pt>
                <c:pt idx="2">
                  <c:v>-1.2582882449721553</c:v>
                </c:pt>
                <c:pt idx="3">
                  <c:v>-4.2070041321796285</c:v>
                </c:pt>
                <c:pt idx="4">
                  <c:v>-2.3386367381300657</c:v>
                </c:pt>
                <c:pt idx="5">
                  <c:v>-1.5760378017833063</c:v>
                </c:pt>
                <c:pt idx="6">
                  <c:v>-1.3218381563343848</c:v>
                </c:pt>
                <c:pt idx="7">
                  <c:v>-1.8810773763220083</c:v>
                </c:pt>
                <c:pt idx="8">
                  <c:v>-1.3726780854241678</c:v>
                </c:pt>
                <c:pt idx="9">
                  <c:v>-2.6563862949412158</c:v>
                </c:pt>
              </c:numCache>
            </c:numRef>
          </c:val>
          <c:extLst>
            <c:ext xmlns:c16="http://schemas.microsoft.com/office/drawing/2014/chart" uri="{C3380CC4-5D6E-409C-BE32-E72D297353CC}">
              <c16:uniqueId val="{00000003-7A0E-4543-8AFE-044797080866}"/>
            </c:ext>
          </c:extLst>
        </c:ser>
        <c:ser>
          <c:idx val="5"/>
          <c:order val="5"/>
          <c:tx>
            <c:strRef>
              <c:f>Sheet1!$A$7</c:f>
              <c:strCache>
                <c:ptCount val="1"/>
                <c:pt idx="0">
                  <c:v>այլ </c:v>
                </c:pt>
              </c:strCache>
            </c:strRef>
          </c:tx>
          <c:invertIfNegative val="0"/>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Sheet1!$B$7:$K$7</c:f>
              <c:numCache>
                <c:formatCode>0.0</c:formatCode>
                <c:ptCount val="10"/>
                <c:pt idx="0">
                  <c:v>-1.1025293884820537</c:v>
                </c:pt>
                <c:pt idx="1">
                  <c:v>0.28386671992954893</c:v>
                </c:pt>
                <c:pt idx="2">
                  <c:v>1.3042828640882655</c:v>
                </c:pt>
                <c:pt idx="3">
                  <c:v>0.75061147455335275</c:v>
                </c:pt>
                <c:pt idx="4">
                  <c:v>1.505934279400527</c:v>
                </c:pt>
                <c:pt idx="5">
                  <c:v>3.5299004704838213</c:v>
                </c:pt>
                <c:pt idx="6">
                  <c:v>3.1067419787910167</c:v>
                </c:pt>
                <c:pt idx="7">
                  <c:v>1.7936763387384587</c:v>
                </c:pt>
                <c:pt idx="8">
                  <c:v>2.1108417327756062</c:v>
                </c:pt>
                <c:pt idx="9">
                  <c:v>5.0511025567784795</c:v>
                </c:pt>
              </c:numCache>
            </c:numRef>
          </c:val>
          <c:extLst>
            <c:ext xmlns:c16="http://schemas.microsoft.com/office/drawing/2014/chart" uri="{C3380CC4-5D6E-409C-BE32-E72D297353CC}">
              <c16:uniqueId val="{00000004-7A0E-4543-8AFE-044797080866}"/>
            </c:ext>
          </c:extLst>
        </c:ser>
        <c:dLbls>
          <c:showLegendKey val="0"/>
          <c:showVal val="0"/>
          <c:showCatName val="0"/>
          <c:showSerName val="0"/>
          <c:showPercent val="0"/>
          <c:showBubbleSize val="0"/>
        </c:dLbls>
        <c:gapWidth val="219"/>
        <c:overlap val="100"/>
        <c:axId val="161229824"/>
        <c:axId val="161252096"/>
      </c:barChart>
      <c:lineChart>
        <c:grouping val="standard"/>
        <c:varyColors val="0"/>
        <c:ser>
          <c:idx val="0"/>
          <c:order val="0"/>
          <c:tx>
            <c:strRef>
              <c:f>Sheet1!$A$2</c:f>
              <c:strCache>
                <c:ptCount val="1"/>
                <c:pt idx="0">
                  <c:v>ՏԱՑ</c:v>
                </c:pt>
              </c:strCache>
            </c:strRef>
          </c:tx>
          <c:spPr>
            <a:effectLst/>
          </c:spPr>
          <c:dLbls>
            <c:dLbl>
              <c:idx val="0"/>
              <c:layout>
                <c:manualLayout>
                  <c:x val="-5.3619302949061684E-2"/>
                  <c:y val="-5.20833333333335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0E-4543-8AFE-044797080866}"/>
                </c:ext>
              </c:extLst>
            </c:dLbl>
            <c:dLbl>
              <c:idx val="1"/>
              <c:layout>
                <c:manualLayout>
                  <c:x val="-5.7743864714374107E-2"/>
                  <c:y val="-5.2083333333333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0E-4543-8AFE-044797080866}"/>
                </c:ext>
              </c:extLst>
            </c:dLbl>
            <c:dLbl>
              <c:idx val="2"/>
              <c:layout>
                <c:manualLayout>
                  <c:x val="-7.44052261606101E-2"/>
                  <c:y val="5.2083359920366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0E-4543-8AFE-044797080866}"/>
                </c:ext>
              </c:extLst>
            </c:dLbl>
            <c:dLbl>
              <c:idx val="3"/>
              <c:layout>
                <c:manualLayout>
                  <c:x val="-0.12495988474626796"/>
                  <c:y val="-1.8271800303730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0E-4543-8AFE-044797080866}"/>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0E-4543-8AFE-044797080866}"/>
                </c:ext>
              </c:extLst>
            </c:dLbl>
            <c:dLbl>
              <c:idx val="5"/>
              <c:layout>
                <c:manualLayout>
                  <c:x val="-6.3091482649842323E-2"/>
                  <c:y val="-6.48298217179903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0E-4543-8AFE-044797080866}"/>
                </c:ext>
              </c:extLst>
            </c:dLbl>
            <c:dLbl>
              <c:idx val="6"/>
              <c:layout>
                <c:manualLayout>
                  <c:x val="-7.5709779179810754E-2"/>
                  <c:y val="5.1863857374392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0E-4543-8AFE-044797080866}"/>
                </c:ext>
              </c:extLst>
            </c:dLbl>
            <c:dLbl>
              <c:idx val="7"/>
              <c:layout>
                <c:manualLayout>
                  <c:x val="-6.3091482649842323E-2"/>
                  <c:y val="5.1863857374392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A0E-4543-8AFE-044797080866}"/>
                </c:ext>
              </c:extLst>
            </c:dLbl>
            <c:dLbl>
              <c:idx val="8"/>
              <c:layout>
                <c:manualLayout>
                  <c:x val="-3.3648790746582544E-2"/>
                  <c:y val="6.4829821717990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A0E-4543-8AFE-044797080866}"/>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A0E-4543-8AFE-04479708086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Sheet1!$B$1:$K$1</c:f>
              <c:strCache>
                <c:ptCount val="10"/>
                <c:pt idx="0">
                  <c:v>I</c:v>
                </c:pt>
                <c:pt idx="1">
                  <c:v>II</c:v>
                </c:pt>
                <c:pt idx="2">
                  <c:v>III</c:v>
                </c:pt>
                <c:pt idx="3">
                  <c:v>IV</c:v>
                </c:pt>
                <c:pt idx="4">
                  <c:v>V</c:v>
                </c:pt>
                <c:pt idx="5">
                  <c:v>VI</c:v>
                </c:pt>
                <c:pt idx="6">
                  <c:v>VII</c:v>
                </c:pt>
                <c:pt idx="7">
                  <c:v>VIII</c:v>
                </c:pt>
                <c:pt idx="8">
                  <c:v>IX</c:v>
                </c:pt>
                <c:pt idx="9">
                  <c:v>X</c:v>
                </c:pt>
              </c:strCache>
            </c:strRef>
          </c:cat>
          <c:val>
            <c:numRef>
              <c:f>Sheet1!$B$2:$K$2</c:f>
              <c:numCache>
                <c:formatCode>0.0</c:formatCode>
                <c:ptCount val="10"/>
                <c:pt idx="0">
                  <c:v>9.2000000000000011</c:v>
                </c:pt>
                <c:pt idx="1">
                  <c:v>9.0999999999999979</c:v>
                </c:pt>
                <c:pt idx="2">
                  <c:v>-4.0999999999999943</c:v>
                </c:pt>
                <c:pt idx="3">
                  <c:v>-16.400000000000006</c:v>
                </c:pt>
                <c:pt idx="4">
                  <c:v>-12.8</c:v>
                </c:pt>
                <c:pt idx="5">
                  <c:v>-7.5999999999999943</c:v>
                </c:pt>
                <c:pt idx="6">
                  <c:v>-10.200000000000003</c:v>
                </c:pt>
                <c:pt idx="7">
                  <c:v>-9.8000000000000025</c:v>
                </c:pt>
                <c:pt idx="8">
                  <c:v>-7.5</c:v>
                </c:pt>
                <c:pt idx="9">
                  <c:v>-8.0999999999999979</c:v>
                </c:pt>
              </c:numCache>
            </c:numRef>
          </c:val>
          <c:smooth val="0"/>
          <c:extLst>
            <c:ext xmlns:c16="http://schemas.microsoft.com/office/drawing/2014/chart" uri="{C3380CC4-5D6E-409C-BE32-E72D297353CC}">
              <c16:uniqueId val="{0000000F-7A0E-4543-8AFE-044797080866}"/>
            </c:ext>
          </c:extLst>
        </c:ser>
        <c:dLbls>
          <c:showLegendKey val="0"/>
          <c:showVal val="0"/>
          <c:showCatName val="0"/>
          <c:showSerName val="0"/>
          <c:showPercent val="0"/>
          <c:showBubbleSize val="0"/>
        </c:dLbls>
        <c:marker val="1"/>
        <c:smooth val="0"/>
        <c:axId val="161229824"/>
        <c:axId val="161252096"/>
      </c:lineChart>
      <c:catAx>
        <c:axId val="16122982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1252096"/>
        <c:crosses val="autoZero"/>
        <c:auto val="1"/>
        <c:lblAlgn val="ctr"/>
        <c:lblOffset val="100"/>
        <c:noMultiLvlLbl val="0"/>
      </c:catAx>
      <c:valAx>
        <c:axId val="161252096"/>
        <c:scaling>
          <c:orientation val="minMax"/>
          <c:max val="15"/>
          <c:min val="-18"/>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1229824"/>
        <c:crosses val="autoZero"/>
        <c:crossBetween val="between"/>
      </c:valAx>
      <c:spPr>
        <a:noFill/>
        <a:ln>
          <a:noFill/>
        </a:ln>
        <a:effectLst/>
      </c:spPr>
    </c:plotArea>
    <c:legend>
      <c:legendPos val="b"/>
      <c:layout>
        <c:manualLayout>
          <c:xMode val="edge"/>
          <c:yMode val="edge"/>
          <c:x val="3.9212432830754193E-2"/>
          <c:y val="0.77158400988919762"/>
          <c:w val="0.96078743405166744"/>
          <c:h val="0.2223301266542368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Անվանական ՀՆԱ, մլրդ դրամ</c:v>
                </c:pt>
              </c:strCache>
            </c:strRef>
          </c:tx>
          <c:spPr>
            <a:solidFill>
              <a:schemeClr val="accent2"/>
            </a:solidFill>
            <a:ln>
              <a:noFill/>
            </a:ln>
            <a:effectLst/>
          </c:spPr>
          <c:invertIfNegative val="0"/>
          <c:cat>
            <c:numRef>
              <c:f>Sheet1!$B$1:$W$1</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Sheet1!$B$3:$W$3</c:f>
              <c:numCache>
                <c:formatCode>_(* #,##0_);_(* \(#,##0\);_(* "-"??_);_(@_)</c:formatCode>
                <c:ptCount val="22"/>
                <c:pt idx="0">
                  <c:v>1031.3382999999999</c:v>
                </c:pt>
                <c:pt idx="1">
                  <c:v>1175.8768043886819</c:v>
                </c:pt>
                <c:pt idx="2">
                  <c:v>1362.4717000000001</c:v>
                </c:pt>
                <c:pt idx="3">
                  <c:v>1624.6426999999999</c:v>
                </c:pt>
                <c:pt idx="4">
                  <c:v>1907.9454000000001</c:v>
                </c:pt>
                <c:pt idx="5">
                  <c:v>2242.8809000000001</c:v>
                </c:pt>
                <c:pt idx="6">
                  <c:v>2656.1897999999997</c:v>
                </c:pt>
                <c:pt idx="7">
                  <c:v>3149.2834000000007</c:v>
                </c:pt>
                <c:pt idx="8">
                  <c:v>3568.2275999999997</c:v>
                </c:pt>
                <c:pt idx="9">
                  <c:v>3141.6510000000012</c:v>
                </c:pt>
                <c:pt idx="10">
                  <c:v>3460.2027000000007</c:v>
                </c:pt>
                <c:pt idx="11">
                  <c:v>3777.9456</c:v>
                </c:pt>
                <c:pt idx="12">
                  <c:v>4266.4605000000001</c:v>
                </c:pt>
                <c:pt idx="13">
                  <c:v>4555.6382000000003</c:v>
                </c:pt>
                <c:pt idx="14">
                  <c:v>4828.6263000000044</c:v>
                </c:pt>
                <c:pt idx="15">
                  <c:v>5043.6332000000002</c:v>
                </c:pt>
                <c:pt idx="16">
                  <c:v>5067.2935000000007</c:v>
                </c:pt>
                <c:pt idx="17">
                  <c:v>5564.4933000000001</c:v>
                </c:pt>
                <c:pt idx="18">
                  <c:v>6017.0352000000003</c:v>
                </c:pt>
                <c:pt idx="19">
                  <c:v>6569.0307999999995</c:v>
                </c:pt>
                <c:pt idx="20">
                  <c:v>6075.9351510517599</c:v>
                </c:pt>
                <c:pt idx="21">
                  <c:v>6395.3103017437752</c:v>
                </c:pt>
              </c:numCache>
            </c:numRef>
          </c:val>
          <c:extLst>
            <c:ext xmlns:c16="http://schemas.microsoft.com/office/drawing/2014/chart" uri="{C3380CC4-5D6E-409C-BE32-E72D297353CC}">
              <c16:uniqueId val="{00000000-4DEE-46CA-8D84-3A66DB245219}"/>
            </c:ext>
          </c:extLst>
        </c:ser>
        <c:dLbls>
          <c:showLegendKey val="0"/>
          <c:showVal val="0"/>
          <c:showCatName val="0"/>
          <c:showSerName val="0"/>
          <c:showPercent val="0"/>
          <c:showBubbleSize val="0"/>
        </c:dLbls>
        <c:gapWidth val="219"/>
        <c:axId val="168719872"/>
        <c:axId val="168721408"/>
      </c:barChart>
      <c:lineChart>
        <c:grouping val="standard"/>
        <c:varyColors val="0"/>
        <c:ser>
          <c:idx val="0"/>
          <c:order val="0"/>
          <c:tx>
            <c:strRef>
              <c:f>Sheet1!$A$2</c:f>
              <c:strCache>
                <c:ptCount val="1"/>
                <c:pt idx="0">
                  <c:v>Տնտեսական աճ, %</c:v>
                </c:pt>
              </c:strCache>
            </c:strRef>
          </c:tx>
          <c:spPr>
            <a:ln w="28575" cap="rnd">
              <a:solidFill>
                <a:schemeClr val="accent1"/>
              </a:solidFill>
              <a:round/>
            </a:ln>
            <a:effectLst/>
          </c:spPr>
          <c:marker>
            <c:symbol val="none"/>
          </c:marker>
          <c:cat>
            <c:numRef>
              <c:f>Sheet1!$B$1:$Y$1</c:f>
              <c:numCache>
                <c:formatCode>General</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Sheet1!$B$2:$W$2</c:f>
              <c:numCache>
                <c:formatCode>0.0</c:formatCode>
                <c:ptCount val="22"/>
                <c:pt idx="0">
                  <c:v>5.8956981547403773</c:v>
                </c:pt>
                <c:pt idx="1">
                  <c:v>9.556641113783952</c:v>
                </c:pt>
                <c:pt idx="2">
                  <c:v>13.196463821262512</c:v>
                </c:pt>
                <c:pt idx="3">
                  <c:v>14.040798058411053</c:v>
                </c:pt>
                <c:pt idx="4">
                  <c:v>10.46784009801047</c:v>
                </c:pt>
                <c:pt idx="5">
                  <c:v>13.865711251485504</c:v>
                </c:pt>
                <c:pt idx="6">
                  <c:v>13.198003514141135</c:v>
                </c:pt>
                <c:pt idx="7">
                  <c:v>13.749201958384148</c:v>
                </c:pt>
                <c:pt idx="8">
                  <c:v>6.9476535519159768</c:v>
                </c:pt>
                <c:pt idx="9">
                  <c:v>-14.149988638617103</c:v>
                </c:pt>
                <c:pt idx="10">
                  <c:v>2.2151091894039183</c:v>
                </c:pt>
                <c:pt idx="11">
                  <c:v>4.6507622226871224</c:v>
                </c:pt>
                <c:pt idx="12">
                  <c:v>7.1590508979271865</c:v>
                </c:pt>
                <c:pt idx="13">
                  <c:v>3.2517472785696682</c:v>
                </c:pt>
                <c:pt idx="14">
                  <c:v>3.6442053914641397</c:v>
                </c:pt>
                <c:pt idx="15">
                  <c:v>3.2356846565243718</c:v>
                </c:pt>
                <c:pt idx="16">
                  <c:v>0.15570806832249695</c:v>
                </c:pt>
                <c:pt idx="17">
                  <c:v>7.5388635432307076</c:v>
                </c:pt>
                <c:pt idx="18">
                  <c:v>5.1947356482574971</c:v>
                </c:pt>
                <c:pt idx="19">
                  <c:v>7.5894978676541598</c:v>
                </c:pt>
                <c:pt idx="20">
                  <c:v>-7.9</c:v>
                </c:pt>
                <c:pt idx="21">
                  <c:v>3.2</c:v>
                </c:pt>
              </c:numCache>
            </c:numRef>
          </c:val>
          <c:smooth val="0"/>
          <c:extLst>
            <c:ext xmlns:c16="http://schemas.microsoft.com/office/drawing/2014/chart" uri="{C3380CC4-5D6E-409C-BE32-E72D297353CC}">
              <c16:uniqueId val="{00000001-4DEE-46CA-8D84-3A66DB245219}"/>
            </c:ext>
          </c:extLst>
        </c:ser>
        <c:dLbls>
          <c:showLegendKey val="0"/>
          <c:showVal val="0"/>
          <c:showCatName val="0"/>
          <c:showSerName val="0"/>
          <c:showPercent val="0"/>
          <c:showBubbleSize val="0"/>
        </c:dLbls>
        <c:marker val="1"/>
        <c:smooth val="0"/>
        <c:axId val="168732928"/>
        <c:axId val="168731392"/>
      </c:lineChart>
      <c:catAx>
        <c:axId val="16871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8721408"/>
        <c:crosses val="autoZero"/>
        <c:auto val="1"/>
        <c:lblAlgn val="ctr"/>
        <c:lblOffset val="100"/>
        <c:noMultiLvlLbl val="0"/>
      </c:catAx>
      <c:valAx>
        <c:axId val="168721408"/>
        <c:scaling>
          <c:orientation val="minMax"/>
          <c:max val="9500"/>
          <c:min val="5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8719872"/>
        <c:crosses val="autoZero"/>
        <c:crossBetween val="between"/>
      </c:valAx>
      <c:valAx>
        <c:axId val="16873139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8732928"/>
        <c:crosses val="max"/>
        <c:crossBetween val="between"/>
      </c:valAx>
      <c:catAx>
        <c:axId val="168732928"/>
        <c:scaling>
          <c:orientation val="minMax"/>
        </c:scaling>
        <c:delete val="1"/>
        <c:axPos val="b"/>
        <c:numFmt formatCode="General" sourceLinked="1"/>
        <c:majorTickMark val="out"/>
        <c:minorTickMark val="none"/>
        <c:tickLblPos val="none"/>
        <c:crossAx val="1687313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in Microsoft Word]Sheet1'!$B$9</c:f>
              <c:strCache>
                <c:ptCount val="1"/>
                <c:pt idx="0">
                  <c:v>Տնտեսական աճ/անկում</c:v>
                </c:pt>
              </c:strCache>
            </c:strRef>
          </c:tx>
          <c:spPr>
            <a:solidFill>
              <a:schemeClr val="accent1"/>
            </a:solidFill>
            <a:ln>
              <a:noFill/>
            </a:ln>
            <a:effectLst/>
          </c:spPr>
          <c:invertIfNegative val="0"/>
          <c:dLbls>
            <c:dLbl>
              <c:idx val="0"/>
              <c:layout>
                <c:manualLayout>
                  <c:x val="0.11647972389991364"/>
                  <c:y val="7.7601410934744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49-48F3-988B-135019DC9B35}"/>
                </c:ext>
              </c:extLst>
            </c:dLbl>
            <c:dLbl>
              <c:idx val="1"/>
              <c:layout>
                <c:manualLayout>
                  <c:x val="3.333333333333334E-2"/>
                  <c:y val="0.17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49-48F3-988B-135019DC9B3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'[Chart in Microsoft Word]Sheet1'!$A$10:$A$12</c:f>
              <c:numCache>
                <c:formatCode>General</c:formatCode>
                <c:ptCount val="3"/>
                <c:pt idx="0">
                  <c:v>2009</c:v>
                </c:pt>
                <c:pt idx="1">
                  <c:v>2016</c:v>
                </c:pt>
                <c:pt idx="2">
                  <c:v>2020</c:v>
                </c:pt>
              </c:numCache>
            </c:numRef>
          </c:cat>
          <c:val>
            <c:numRef>
              <c:f>'[Chart in Microsoft Word]Sheet1'!$B$10:$B$12</c:f>
              <c:numCache>
                <c:formatCode>General</c:formatCode>
                <c:ptCount val="3"/>
                <c:pt idx="0">
                  <c:v>-14.1</c:v>
                </c:pt>
                <c:pt idx="1">
                  <c:v>0.2</c:v>
                </c:pt>
                <c:pt idx="2" formatCode="0.0">
                  <c:v>-7.9</c:v>
                </c:pt>
              </c:numCache>
            </c:numRef>
          </c:val>
          <c:extLst>
            <c:ext xmlns:c16="http://schemas.microsoft.com/office/drawing/2014/chart" uri="{C3380CC4-5D6E-409C-BE32-E72D297353CC}">
              <c16:uniqueId val="{00000002-7149-48F3-988B-135019DC9B35}"/>
            </c:ext>
          </c:extLst>
        </c:ser>
        <c:dLbls>
          <c:showLegendKey val="0"/>
          <c:showVal val="0"/>
          <c:showCatName val="0"/>
          <c:showSerName val="0"/>
          <c:showPercent val="0"/>
          <c:showBubbleSize val="0"/>
        </c:dLbls>
        <c:gapWidth val="219"/>
        <c:overlap val="-27"/>
        <c:axId val="169093376"/>
        <c:axId val="169099264"/>
      </c:barChart>
      <c:catAx>
        <c:axId val="169093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9099264"/>
        <c:crosses val="autoZero"/>
        <c:auto val="1"/>
        <c:lblAlgn val="ctr"/>
        <c:lblOffset val="100"/>
        <c:noMultiLvlLbl val="0"/>
      </c:catAx>
      <c:valAx>
        <c:axId val="169099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909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7794177073183E-2"/>
          <c:y val="4.1115590668506716E-2"/>
          <c:w val="0.91791893726288765"/>
          <c:h val="0.57079207993394554"/>
        </c:manualLayout>
      </c:layout>
      <c:barChart>
        <c:barDir val="col"/>
        <c:grouping val="stacked"/>
        <c:varyColors val="0"/>
        <c:ser>
          <c:idx val="1"/>
          <c:order val="1"/>
          <c:tx>
            <c:strRef>
              <c:f>Sheet1!$D$4</c:f>
              <c:strCache>
                <c:ptCount val="1"/>
                <c:pt idx="0">
                  <c:v>արդյունաբերություն</c:v>
                </c:pt>
              </c:strCache>
            </c:strRef>
          </c:tx>
          <c:spPr>
            <a:solidFill>
              <a:schemeClr val="accent2"/>
            </a:solidFill>
            <a:ln>
              <a:noFill/>
            </a:ln>
            <a:effectLst/>
          </c:spPr>
          <c:invertIfNegative val="0"/>
          <c:val>
            <c:numRef>
              <c:f>Sheet1!$E$4:$I$4</c:f>
              <c:numCache>
                <c:formatCode>0.0</c:formatCode>
                <c:ptCount val="5"/>
                <c:pt idx="0">
                  <c:v>2.0948895026506751</c:v>
                </c:pt>
                <c:pt idx="1">
                  <c:v>0.90972491062214278</c:v>
                </c:pt>
                <c:pt idx="2">
                  <c:v>1.5067347204483721</c:v>
                </c:pt>
                <c:pt idx="3">
                  <c:v>-0.10116194413337327</c:v>
                </c:pt>
                <c:pt idx="4">
                  <c:v>0.68679475721427685</c:v>
                </c:pt>
              </c:numCache>
            </c:numRef>
          </c:val>
          <c:extLst>
            <c:ext xmlns:c16="http://schemas.microsoft.com/office/drawing/2014/chart" uri="{C3380CC4-5D6E-409C-BE32-E72D297353CC}">
              <c16:uniqueId val="{00000000-DDA9-423A-897C-937762CAC68C}"/>
            </c:ext>
          </c:extLst>
        </c:ser>
        <c:ser>
          <c:idx val="2"/>
          <c:order val="2"/>
          <c:tx>
            <c:strRef>
              <c:f>Sheet1!$D$5</c:f>
              <c:strCache>
                <c:ptCount val="1"/>
                <c:pt idx="0">
                  <c:v>գյուղատնտեսություն </c:v>
                </c:pt>
              </c:strCache>
            </c:strRef>
          </c:tx>
          <c:spPr>
            <a:solidFill>
              <a:schemeClr val="accent3"/>
            </a:solidFill>
            <a:ln>
              <a:noFill/>
            </a:ln>
            <a:effectLst/>
          </c:spPr>
          <c:invertIfNegative val="0"/>
          <c:val>
            <c:numRef>
              <c:f>Sheet1!$E$5:$I$5</c:f>
              <c:numCache>
                <c:formatCode>0.0</c:formatCode>
                <c:ptCount val="5"/>
                <c:pt idx="0">
                  <c:v>-0.83591415022634752</c:v>
                </c:pt>
                <c:pt idx="1">
                  <c:v>-1.034603948575157</c:v>
                </c:pt>
                <c:pt idx="2">
                  <c:v>-0.36250010304077918</c:v>
                </c:pt>
                <c:pt idx="3">
                  <c:v>8.8713834619255569E-2</c:v>
                </c:pt>
                <c:pt idx="4">
                  <c:v>0.29534007505569382</c:v>
                </c:pt>
              </c:numCache>
            </c:numRef>
          </c:val>
          <c:extLst>
            <c:ext xmlns:c16="http://schemas.microsoft.com/office/drawing/2014/chart" uri="{C3380CC4-5D6E-409C-BE32-E72D297353CC}">
              <c16:uniqueId val="{00000001-DDA9-423A-897C-937762CAC68C}"/>
            </c:ext>
          </c:extLst>
        </c:ser>
        <c:ser>
          <c:idx val="3"/>
          <c:order val="3"/>
          <c:tx>
            <c:strRef>
              <c:f>Sheet1!$D$6</c:f>
              <c:strCache>
                <c:ptCount val="1"/>
                <c:pt idx="0">
                  <c:v>շինարարություն</c:v>
                </c:pt>
              </c:strCache>
            </c:strRef>
          </c:tx>
          <c:spPr>
            <a:solidFill>
              <a:schemeClr val="accent4"/>
            </a:solidFill>
            <a:ln>
              <a:noFill/>
            </a:ln>
            <a:effectLst/>
          </c:spPr>
          <c:invertIfNegative val="0"/>
          <c:val>
            <c:numRef>
              <c:f>Sheet1!$E$6:$I$6</c:f>
              <c:numCache>
                <c:formatCode>0.0</c:formatCode>
                <c:ptCount val="5"/>
                <c:pt idx="0">
                  <c:v>0.21725481659982773</c:v>
                </c:pt>
                <c:pt idx="1">
                  <c:v>4.3605339591297108E-2</c:v>
                </c:pt>
                <c:pt idx="2">
                  <c:v>0.24434184795860939</c:v>
                </c:pt>
                <c:pt idx="3">
                  <c:v>-1.0813482305487141</c:v>
                </c:pt>
                <c:pt idx="4">
                  <c:v>0.19004089492871282</c:v>
                </c:pt>
              </c:numCache>
            </c:numRef>
          </c:val>
          <c:extLst>
            <c:ext xmlns:c16="http://schemas.microsoft.com/office/drawing/2014/chart" uri="{C3380CC4-5D6E-409C-BE32-E72D297353CC}">
              <c16:uniqueId val="{00000002-DDA9-423A-897C-937762CAC68C}"/>
            </c:ext>
          </c:extLst>
        </c:ser>
        <c:ser>
          <c:idx val="4"/>
          <c:order val="4"/>
          <c:tx>
            <c:strRef>
              <c:f>Sheet1!$D$7</c:f>
              <c:strCache>
                <c:ptCount val="1"/>
                <c:pt idx="0">
                  <c:v>ծառայություններ</c:v>
                </c:pt>
              </c:strCache>
            </c:strRef>
          </c:tx>
          <c:spPr>
            <a:solidFill>
              <a:schemeClr val="accent5"/>
            </a:solidFill>
            <a:ln>
              <a:noFill/>
            </a:ln>
            <a:effectLst/>
          </c:spPr>
          <c:invertIfNegative val="0"/>
          <c:val>
            <c:numRef>
              <c:f>Sheet1!$E$7:$I$7</c:f>
              <c:numCache>
                <c:formatCode>0.0</c:formatCode>
                <c:ptCount val="5"/>
                <c:pt idx="0">
                  <c:v>5.0886627683989669</c:v>
                </c:pt>
                <c:pt idx="1">
                  <c:v>4.4535445230925115</c:v>
                </c:pt>
                <c:pt idx="2">
                  <c:v>5.4466469250503842</c:v>
                </c:pt>
                <c:pt idx="3">
                  <c:v>-5.4999355917162074</c:v>
                </c:pt>
                <c:pt idx="4">
                  <c:v>1.5182195009343575</c:v>
                </c:pt>
              </c:numCache>
            </c:numRef>
          </c:val>
          <c:extLst>
            <c:ext xmlns:c16="http://schemas.microsoft.com/office/drawing/2014/chart" uri="{C3380CC4-5D6E-409C-BE32-E72D297353CC}">
              <c16:uniqueId val="{00000003-DDA9-423A-897C-937762CAC68C}"/>
            </c:ext>
          </c:extLst>
        </c:ser>
        <c:ser>
          <c:idx val="5"/>
          <c:order val="5"/>
          <c:tx>
            <c:strRef>
              <c:f>Sheet1!$D$8</c:f>
              <c:strCache>
                <c:ptCount val="1"/>
                <c:pt idx="0">
                  <c:v>զուտ հարկեր</c:v>
                </c:pt>
              </c:strCache>
            </c:strRef>
          </c:tx>
          <c:spPr>
            <a:solidFill>
              <a:schemeClr val="accent6"/>
            </a:solidFill>
            <a:ln>
              <a:noFill/>
            </a:ln>
            <a:effectLst/>
          </c:spPr>
          <c:invertIfNegative val="0"/>
          <c:val>
            <c:numRef>
              <c:f>Sheet1!$E$8:$I$8</c:f>
              <c:numCache>
                <c:formatCode>0.0</c:formatCode>
                <c:ptCount val="5"/>
                <c:pt idx="0">
                  <c:v>0.97397060580761696</c:v>
                </c:pt>
                <c:pt idx="1">
                  <c:v>0.82246482352669914</c:v>
                </c:pt>
                <c:pt idx="2">
                  <c:v>0.75427447723755991</c:v>
                </c:pt>
                <c:pt idx="3">
                  <c:v>-1.2610192682938393</c:v>
                </c:pt>
                <c:pt idx="4">
                  <c:v>0.50214887674897168</c:v>
                </c:pt>
              </c:numCache>
            </c:numRef>
          </c:val>
          <c:extLst>
            <c:ext xmlns:c16="http://schemas.microsoft.com/office/drawing/2014/chart" uri="{C3380CC4-5D6E-409C-BE32-E72D297353CC}">
              <c16:uniqueId val="{00000004-DDA9-423A-897C-937762CAC68C}"/>
            </c:ext>
          </c:extLst>
        </c:ser>
        <c:dLbls>
          <c:showLegendKey val="0"/>
          <c:showVal val="0"/>
          <c:showCatName val="0"/>
          <c:showSerName val="0"/>
          <c:showPercent val="0"/>
          <c:showBubbleSize val="0"/>
        </c:dLbls>
        <c:gapWidth val="150"/>
        <c:overlap val="100"/>
        <c:axId val="169142912"/>
        <c:axId val="173932928"/>
      </c:barChart>
      <c:lineChart>
        <c:grouping val="standard"/>
        <c:varyColors val="0"/>
        <c:ser>
          <c:idx val="0"/>
          <c:order val="0"/>
          <c:tx>
            <c:strRef>
              <c:f>Sheet1!$D$3</c:f>
              <c:strCache>
                <c:ptCount val="1"/>
                <c:pt idx="0">
                  <c:v>ՀՆԱ</c:v>
                </c:pt>
              </c:strCache>
            </c:strRef>
          </c:tx>
          <c:spPr>
            <a:ln w="28575" cap="rnd">
              <a:solidFill>
                <a:schemeClr val="accent1"/>
              </a:solidFill>
              <a:round/>
            </a:ln>
            <a:effectLst/>
          </c:spPr>
          <c:marker>
            <c:symbol val="none"/>
          </c:marker>
          <c:dLbls>
            <c:dLbl>
              <c:idx val="3"/>
              <c:layout>
                <c:manualLayout>
                  <c:x val="-4.4621057881783471E-2"/>
                  <c:y val="3.338617874851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A9-423A-897C-937762CAC68C}"/>
                </c:ext>
              </c:extLst>
            </c:dLbl>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Sheet1!$E$2:$K$2</c:f>
              <c:numCache>
                <c:formatCode>General</c:formatCode>
                <c:ptCount val="7"/>
                <c:pt idx="0">
                  <c:v>2017</c:v>
                </c:pt>
                <c:pt idx="1">
                  <c:v>2018</c:v>
                </c:pt>
                <c:pt idx="2">
                  <c:v>2019</c:v>
                </c:pt>
                <c:pt idx="3">
                  <c:v>2020</c:v>
                </c:pt>
                <c:pt idx="4">
                  <c:v>2021</c:v>
                </c:pt>
              </c:numCache>
            </c:numRef>
          </c:cat>
          <c:val>
            <c:numRef>
              <c:f>Sheet1!$E$3:$I$3</c:f>
              <c:numCache>
                <c:formatCode>0.0</c:formatCode>
                <c:ptCount val="5"/>
                <c:pt idx="0">
                  <c:v>7.5388635432307387</c:v>
                </c:pt>
                <c:pt idx="1">
                  <c:v>5.19473564825749</c:v>
                </c:pt>
                <c:pt idx="2">
                  <c:v>7.5894978676541438</c:v>
                </c:pt>
                <c:pt idx="3">
                  <c:v>-7.8547512000728785</c:v>
                </c:pt>
                <c:pt idx="4">
                  <c:v>3.1925441048820118</c:v>
                </c:pt>
              </c:numCache>
            </c:numRef>
          </c:val>
          <c:smooth val="0"/>
          <c:extLst>
            <c:ext xmlns:c16="http://schemas.microsoft.com/office/drawing/2014/chart" uri="{C3380CC4-5D6E-409C-BE32-E72D297353CC}">
              <c16:uniqueId val="{00000006-DDA9-423A-897C-937762CAC68C}"/>
            </c:ext>
          </c:extLst>
        </c:ser>
        <c:dLbls>
          <c:showLegendKey val="0"/>
          <c:showVal val="0"/>
          <c:showCatName val="0"/>
          <c:showSerName val="0"/>
          <c:showPercent val="0"/>
          <c:showBubbleSize val="0"/>
        </c:dLbls>
        <c:marker val="1"/>
        <c:smooth val="0"/>
        <c:axId val="169142912"/>
        <c:axId val="173932928"/>
      </c:lineChart>
      <c:catAx>
        <c:axId val="169142912"/>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3932928"/>
        <c:crosses val="autoZero"/>
        <c:auto val="1"/>
        <c:lblAlgn val="ctr"/>
        <c:lblOffset val="100"/>
        <c:noMultiLvlLbl val="0"/>
      </c:catAx>
      <c:valAx>
        <c:axId val="173932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9142912"/>
        <c:crosses val="autoZero"/>
        <c:crossBetween val="between"/>
      </c:valAx>
      <c:spPr>
        <a:noFill/>
        <a:ln>
          <a:noFill/>
        </a:ln>
        <a:effectLst/>
      </c:spPr>
    </c:plotArea>
    <c:legend>
      <c:legendPos val="b"/>
      <c:layout>
        <c:manualLayout>
          <c:xMode val="edge"/>
          <c:yMode val="edge"/>
          <c:x val="0"/>
          <c:y val="0.77835400008346045"/>
          <c:w val="1"/>
          <c:h val="0.158129380886213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05234719560402"/>
          <c:y val="7.0512820512820512E-2"/>
          <c:w val="0.71293878587757176"/>
          <c:h val="0.63414496264890208"/>
        </c:manualLayout>
      </c:layout>
      <c:lineChart>
        <c:grouping val="standard"/>
        <c:varyColors val="0"/>
        <c:ser>
          <c:idx val="1"/>
          <c:order val="1"/>
          <c:tx>
            <c:strRef>
              <c:f>Sheet1!$C$1</c:f>
              <c:strCache>
                <c:ptCount val="1"/>
                <c:pt idx="0">
                  <c:v>Պղինձ</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Sheet1!$A$2:$A$6</c:f>
              <c:numCache>
                <c:formatCode>General</c:formatCode>
                <c:ptCount val="5"/>
                <c:pt idx="0">
                  <c:v>2017</c:v>
                </c:pt>
                <c:pt idx="1">
                  <c:v>2018</c:v>
                </c:pt>
                <c:pt idx="2">
                  <c:v>2019</c:v>
                </c:pt>
                <c:pt idx="3">
                  <c:v>2020</c:v>
                </c:pt>
                <c:pt idx="4">
                  <c:v>2021</c:v>
                </c:pt>
              </c:numCache>
            </c:numRef>
          </c:cat>
          <c:val>
            <c:numRef>
              <c:f>Sheet1!$C$2:$C$6</c:f>
              <c:numCache>
                <c:formatCode>0</c:formatCode>
                <c:ptCount val="5"/>
                <c:pt idx="0">
                  <c:v>6169.94</c:v>
                </c:pt>
                <c:pt idx="1">
                  <c:v>6529.7983333333295</c:v>
                </c:pt>
                <c:pt idx="2">
                  <c:v>6010.1450000000004</c:v>
                </c:pt>
                <c:pt idx="3">
                  <c:v>6199.8058000000001</c:v>
                </c:pt>
                <c:pt idx="4">
                  <c:v>7112.4690000000001</c:v>
                </c:pt>
              </c:numCache>
            </c:numRef>
          </c:val>
          <c:smooth val="0"/>
          <c:extLst>
            <c:ext xmlns:c16="http://schemas.microsoft.com/office/drawing/2014/chart" uri="{C3380CC4-5D6E-409C-BE32-E72D297353CC}">
              <c16:uniqueId val="{00000000-43B1-48A1-9077-3CF6585F994C}"/>
            </c:ext>
          </c:extLst>
        </c:ser>
        <c:dLbls>
          <c:showLegendKey val="0"/>
          <c:showVal val="0"/>
          <c:showCatName val="0"/>
          <c:showSerName val="0"/>
          <c:showPercent val="0"/>
          <c:showBubbleSize val="0"/>
        </c:dLbls>
        <c:marker val="1"/>
        <c:smooth val="0"/>
        <c:axId val="119928320"/>
        <c:axId val="122591872"/>
      </c:lineChart>
      <c:lineChart>
        <c:grouping val="standard"/>
        <c:varyColors val="0"/>
        <c:ser>
          <c:idx val="0"/>
          <c:order val="0"/>
          <c:tx>
            <c:strRef>
              <c:f>Sheet1!$B$1</c:f>
              <c:strCache>
                <c:ptCount val="1"/>
                <c:pt idx="0">
                  <c:v>Նավթ(աջ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2017</c:v>
                </c:pt>
                <c:pt idx="1">
                  <c:v>2018</c:v>
                </c:pt>
                <c:pt idx="2">
                  <c:v>2019</c:v>
                </c:pt>
                <c:pt idx="3">
                  <c:v>2020</c:v>
                </c:pt>
                <c:pt idx="4">
                  <c:v>2021</c:v>
                </c:pt>
              </c:numCache>
            </c:numRef>
          </c:cat>
          <c:val>
            <c:numRef>
              <c:f>Sheet1!$B$2:$B$6</c:f>
              <c:numCache>
                <c:formatCode>0</c:formatCode>
                <c:ptCount val="5"/>
                <c:pt idx="0">
                  <c:v>54.392500000000013</c:v>
                </c:pt>
                <c:pt idx="1">
                  <c:v>71.071666666666701</c:v>
                </c:pt>
                <c:pt idx="2">
                  <c:v>64.031666666666695</c:v>
                </c:pt>
                <c:pt idx="3">
                  <c:v>40.501200000000004</c:v>
                </c:pt>
                <c:pt idx="4">
                  <c:v>44.989600000000003</c:v>
                </c:pt>
              </c:numCache>
            </c:numRef>
          </c:val>
          <c:smooth val="0"/>
          <c:extLst>
            <c:ext xmlns:c16="http://schemas.microsoft.com/office/drawing/2014/chart" uri="{C3380CC4-5D6E-409C-BE32-E72D297353CC}">
              <c16:uniqueId val="{00000001-43B1-48A1-9077-3CF6585F994C}"/>
            </c:ext>
          </c:extLst>
        </c:ser>
        <c:dLbls>
          <c:showLegendKey val="0"/>
          <c:showVal val="0"/>
          <c:showCatName val="0"/>
          <c:showSerName val="0"/>
          <c:showPercent val="0"/>
          <c:showBubbleSize val="0"/>
        </c:dLbls>
        <c:marker val="1"/>
        <c:smooth val="0"/>
        <c:axId val="124174720"/>
        <c:axId val="123597568"/>
      </c:lineChart>
      <c:catAx>
        <c:axId val="11992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591872"/>
        <c:crosses val="autoZero"/>
        <c:auto val="1"/>
        <c:lblAlgn val="ctr"/>
        <c:lblOffset val="100"/>
        <c:noMultiLvlLbl val="0"/>
      </c:catAx>
      <c:valAx>
        <c:axId val="122591872"/>
        <c:scaling>
          <c:orientation val="minMax"/>
          <c:min val="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effectLst/>
                  </a:rPr>
                  <a:t>($/mt) </a:t>
                </a:r>
                <a:endParaRPr lang="en-US" sz="900">
                  <a:effectLst/>
                </a:endParaRPr>
              </a:p>
            </c:rich>
          </c:tx>
          <c:layout>
            <c:manualLayout>
              <c:xMode val="edge"/>
              <c:yMode val="edge"/>
              <c:x val="1.9550342130987301E-3"/>
              <c:y val="0.28080027732382656"/>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928320"/>
        <c:crosses val="autoZero"/>
        <c:crossBetween val="between"/>
      </c:valAx>
      <c:valAx>
        <c:axId val="123597568"/>
        <c:scaling>
          <c:orientation val="minMax"/>
          <c:min val="3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($/bbl) </a:t>
                </a:r>
                <a:endParaRPr lang="en-US" sz="900">
                  <a:effectLst/>
                </a:endParaRPr>
              </a:p>
            </c:rich>
          </c:tx>
          <c:layout>
            <c:manualLayout>
              <c:xMode val="edge"/>
              <c:yMode val="edge"/>
              <c:x val="0.93560910626353244"/>
              <c:y val="0.28816222491419341"/>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174720"/>
        <c:crosses val="max"/>
        <c:crossBetween val="between"/>
      </c:valAx>
      <c:catAx>
        <c:axId val="124174720"/>
        <c:scaling>
          <c:orientation val="minMax"/>
        </c:scaling>
        <c:delete val="1"/>
        <c:axPos val="b"/>
        <c:numFmt formatCode="General" sourceLinked="1"/>
        <c:majorTickMark val="out"/>
        <c:minorTickMark val="none"/>
        <c:tickLblPos val="none"/>
        <c:crossAx val="1235975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0597210264042"/>
          <c:y val="7.201309328968912E-2"/>
          <c:w val="0.81369779122581465"/>
          <c:h val="0.58559531940667808"/>
        </c:manualLayout>
      </c:layout>
      <c:barChart>
        <c:barDir val="col"/>
        <c:grouping val="stacked"/>
        <c:varyColors val="0"/>
        <c:ser>
          <c:idx val="1"/>
          <c:order val="1"/>
          <c:tx>
            <c:strRef>
              <c:f>Sheet1!$A$3</c:f>
              <c:strCache>
                <c:ptCount val="1"/>
                <c:pt idx="0">
                  <c:v>Սպառում</c:v>
                </c:pt>
              </c:strCache>
            </c:strRef>
          </c:tx>
          <c:spPr>
            <a:solidFill>
              <a:schemeClr val="accent2"/>
            </a:solidFill>
            <a:ln>
              <a:noFill/>
            </a:ln>
            <a:effectLst/>
          </c:spPr>
          <c:invertIfNegative val="0"/>
          <c:cat>
            <c:strRef>
              <c:f>Sheet1!$B$1:$F$1</c:f>
              <c:strCache>
                <c:ptCount val="5"/>
                <c:pt idx="0">
                  <c:v>2017</c:v>
                </c:pt>
                <c:pt idx="1">
                  <c:v>2018</c:v>
                </c:pt>
                <c:pt idx="2">
                  <c:v>2019</c:v>
                </c:pt>
                <c:pt idx="3">
                  <c:v>2020</c:v>
                </c:pt>
                <c:pt idx="4">
                  <c:v>2021</c:v>
                </c:pt>
              </c:strCache>
            </c:strRef>
          </c:cat>
          <c:val>
            <c:numRef>
              <c:f>Sheet1!$B$3:$F$3</c:f>
              <c:numCache>
                <c:formatCode>0.0</c:formatCode>
                <c:ptCount val="5"/>
                <c:pt idx="0">
                  <c:v>10.411906711146688</c:v>
                </c:pt>
                <c:pt idx="1">
                  <c:v>3.5092447105651088</c:v>
                </c:pt>
                <c:pt idx="2">
                  <c:v>10.771934397192821</c:v>
                </c:pt>
                <c:pt idx="3">
                  <c:v>-9.829631884216953</c:v>
                </c:pt>
                <c:pt idx="4">
                  <c:v>3.0533753326011355</c:v>
                </c:pt>
              </c:numCache>
            </c:numRef>
          </c:val>
          <c:extLst>
            <c:ext xmlns:c16="http://schemas.microsoft.com/office/drawing/2014/chart" uri="{C3380CC4-5D6E-409C-BE32-E72D297353CC}">
              <c16:uniqueId val="{00000000-DE79-414E-86A2-B312EE3182C1}"/>
            </c:ext>
          </c:extLst>
        </c:ser>
        <c:ser>
          <c:idx val="2"/>
          <c:order val="2"/>
          <c:tx>
            <c:strRef>
              <c:f>Sheet1!$A$4</c:f>
              <c:strCache>
                <c:ptCount val="1"/>
                <c:pt idx="0">
                  <c:v>Հիմնական միջոցներում կապիտալ ներդրումներ</c:v>
                </c:pt>
              </c:strCache>
            </c:strRef>
          </c:tx>
          <c:spPr>
            <a:solidFill>
              <a:schemeClr val="accent3"/>
            </a:solidFill>
            <a:ln>
              <a:noFill/>
            </a:ln>
            <a:effectLst/>
          </c:spPr>
          <c:invertIfNegative val="0"/>
          <c:cat>
            <c:strRef>
              <c:f>Sheet1!$B$1:$F$1</c:f>
              <c:strCache>
                <c:ptCount val="5"/>
                <c:pt idx="0">
                  <c:v>2017</c:v>
                </c:pt>
                <c:pt idx="1">
                  <c:v>2018</c:v>
                </c:pt>
                <c:pt idx="2">
                  <c:v>2019</c:v>
                </c:pt>
                <c:pt idx="3">
                  <c:v>2020</c:v>
                </c:pt>
                <c:pt idx="4">
                  <c:v>2021</c:v>
                </c:pt>
              </c:strCache>
            </c:strRef>
          </c:cat>
          <c:val>
            <c:numRef>
              <c:f>Sheet1!$B$4:$F$4</c:f>
              <c:numCache>
                <c:formatCode>0.0</c:formatCode>
                <c:ptCount val="5"/>
                <c:pt idx="0">
                  <c:v>1.7475043413214568</c:v>
                </c:pt>
                <c:pt idx="1">
                  <c:v>0.84712204793201851</c:v>
                </c:pt>
                <c:pt idx="2">
                  <c:v>0.73660007839076735</c:v>
                </c:pt>
                <c:pt idx="3">
                  <c:v>-1.9876585166835146</c:v>
                </c:pt>
                <c:pt idx="4">
                  <c:v>0.35537310445611781</c:v>
                </c:pt>
              </c:numCache>
            </c:numRef>
          </c:val>
          <c:extLst>
            <c:ext xmlns:c16="http://schemas.microsoft.com/office/drawing/2014/chart" uri="{C3380CC4-5D6E-409C-BE32-E72D297353CC}">
              <c16:uniqueId val="{00000001-DE79-414E-86A2-B312EE3182C1}"/>
            </c:ext>
          </c:extLst>
        </c:ser>
        <c:ser>
          <c:idx val="3"/>
          <c:order val="3"/>
          <c:tx>
            <c:strRef>
              <c:f>Sheet1!$A$5</c:f>
              <c:strCache>
                <c:ptCount val="1"/>
                <c:pt idx="0">
                  <c:v>Զուտ արտահանում</c:v>
                </c:pt>
              </c:strCache>
            </c:strRef>
          </c:tx>
          <c:spPr>
            <a:solidFill>
              <a:schemeClr val="accent4"/>
            </a:solidFill>
            <a:ln>
              <a:noFill/>
            </a:ln>
            <a:effectLst/>
          </c:spPr>
          <c:invertIfNegative val="0"/>
          <c:cat>
            <c:strRef>
              <c:f>Sheet1!$B$1:$F$1</c:f>
              <c:strCache>
                <c:ptCount val="5"/>
                <c:pt idx="0">
                  <c:v>2017</c:v>
                </c:pt>
                <c:pt idx="1">
                  <c:v>2018</c:v>
                </c:pt>
                <c:pt idx="2">
                  <c:v>2019</c:v>
                </c:pt>
                <c:pt idx="3">
                  <c:v>2020</c:v>
                </c:pt>
                <c:pt idx="4">
                  <c:v>2021</c:v>
                </c:pt>
              </c:strCache>
            </c:strRef>
          </c:cat>
          <c:val>
            <c:numRef>
              <c:f>Sheet1!$B$5:$F$5</c:f>
              <c:numCache>
                <c:formatCode>0.0</c:formatCode>
                <c:ptCount val="5"/>
                <c:pt idx="0">
                  <c:v>-3.9014411361804857</c:v>
                </c:pt>
                <c:pt idx="1">
                  <c:v>-4.6043797249248204</c:v>
                </c:pt>
                <c:pt idx="2">
                  <c:v>-6.6762514535398082E-2</c:v>
                </c:pt>
                <c:pt idx="3">
                  <c:v>3.9625392008275826</c:v>
                </c:pt>
                <c:pt idx="4">
                  <c:v>-0.21620433217523585</c:v>
                </c:pt>
              </c:numCache>
            </c:numRef>
          </c:val>
          <c:extLst>
            <c:ext xmlns:c16="http://schemas.microsoft.com/office/drawing/2014/chart" uri="{C3380CC4-5D6E-409C-BE32-E72D297353CC}">
              <c16:uniqueId val="{00000002-DE79-414E-86A2-B312EE3182C1}"/>
            </c:ext>
          </c:extLst>
        </c:ser>
        <c:dLbls>
          <c:showLegendKey val="0"/>
          <c:showVal val="0"/>
          <c:showCatName val="0"/>
          <c:showSerName val="0"/>
          <c:showPercent val="0"/>
          <c:showBubbleSize val="0"/>
        </c:dLbls>
        <c:gapWidth val="150"/>
        <c:overlap val="100"/>
        <c:axId val="180286208"/>
        <c:axId val="180287744"/>
      </c:barChart>
      <c:lineChart>
        <c:grouping val="standard"/>
        <c:varyColors val="0"/>
        <c:ser>
          <c:idx val="0"/>
          <c:order val="0"/>
          <c:tx>
            <c:strRef>
              <c:f>Sheet1!$A$2</c:f>
              <c:strCache>
                <c:ptCount val="1"/>
                <c:pt idx="0">
                  <c:v>ՀՆԱ</c:v>
                </c:pt>
              </c:strCache>
            </c:strRef>
          </c:tx>
          <c:spPr>
            <a:ln w="28575" cap="rnd">
              <a:solidFill>
                <a:schemeClr val="accent1"/>
              </a:solidFill>
              <a:round/>
            </a:ln>
            <a:effectLst/>
          </c:spPr>
          <c:marker>
            <c:symbol val="none"/>
          </c:marker>
          <c:dLbls>
            <c:dLbl>
              <c:idx val="0"/>
              <c:layout>
                <c:manualLayout>
                  <c:x val="-8.1317340922952286E-3"/>
                  <c:y val="-3.0383592859855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79-414E-86A2-B312EE3182C1}"/>
                </c:ext>
              </c:extLst>
            </c:dLbl>
            <c:dLbl>
              <c:idx val="1"/>
              <c:layout>
                <c:manualLayout>
                  <c:x val="-8.1317340922952563E-3"/>
                  <c:y val="-6.0767185719711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79-414E-86A2-B312EE3182C1}"/>
                </c:ext>
              </c:extLst>
            </c:dLbl>
            <c:dLbl>
              <c:idx val="4"/>
              <c:layout>
                <c:manualLayout>
                  <c:x val="-3.4722222222222314E-2"/>
                  <c:y val="-3.8204393505253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79-414E-86A2-B312EE3182C1}"/>
                </c:ext>
              </c:extLst>
            </c:dLbl>
            <c:dLbl>
              <c:idx val="5"/>
              <c:layout>
                <c:manualLayout>
                  <c:x val="-1.3888888888888944E-2"/>
                  <c:y val="-2.38777459407832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79-414E-86A2-B312EE3182C1}"/>
                </c:ext>
              </c:extLst>
            </c:dLbl>
            <c:dLbl>
              <c:idx val="6"/>
              <c:layout>
                <c:manualLayout>
                  <c:x val="-3.2407407407407697E-2"/>
                  <c:y val="-4.77554918815666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79-414E-86A2-B312EE3182C1}"/>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c:v>
                </c:pt>
                <c:pt idx="1">
                  <c:v>2018</c:v>
                </c:pt>
                <c:pt idx="2">
                  <c:v>2019</c:v>
                </c:pt>
                <c:pt idx="3">
                  <c:v>2020</c:v>
                </c:pt>
                <c:pt idx="4">
                  <c:v>2021</c:v>
                </c:pt>
              </c:strCache>
            </c:strRef>
          </c:cat>
          <c:val>
            <c:numRef>
              <c:f>Sheet1!$B$2:$F$2</c:f>
              <c:numCache>
                <c:formatCode>0.0</c:formatCode>
                <c:ptCount val="5"/>
                <c:pt idx="0">
                  <c:v>7.5388635432307058</c:v>
                </c:pt>
                <c:pt idx="1">
                  <c:v>5.1947356482575024</c:v>
                </c:pt>
                <c:pt idx="2">
                  <c:v>7.5894978676541598</c:v>
                </c:pt>
                <c:pt idx="3">
                  <c:v>-7.8547512000728812</c:v>
                </c:pt>
                <c:pt idx="4">
                  <c:v>3.1925441048820176</c:v>
                </c:pt>
              </c:numCache>
            </c:numRef>
          </c:val>
          <c:smooth val="0"/>
          <c:extLst>
            <c:ext xmlns:c16="http://schemas.microsoft.com/office/drawing/2014/chart" uri="{C3380CC4-5D6E-409C-BE32-E72D297353CC}">
              <c16:uniqueId val="{00000008-DE79-414E-86A2-B312EE3182C1}"/>
            </c:ext>
          </c:extLst>
        </c:ser>
        <c:dLbls>
          <c:showLegendKey val="0"/>
          <c:showVal val="0"/>
          <c:showCatName val="0"/>
          <c:showSerName val="0"/>
          <c:showPercent val="0"/>
          <c:showBubbleSize val="0"/>
        </c:dLbls>
        <c:marker val="1"/>
        <c:smooth val="0"/>
        <c:axId val="180286208"/>
        <c:axId val="180287744"/>
      </c:lineChart>
      <c:catAx>
        <c:axId val="180286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0287744"/>
        <c:crosses val="autoZero"/>
        <c:auto val="1"/>
        <c:lblAlgn val="ctr"/>
        <c:lblOffset val="100"/>
        <c:noMultiLvlLbl val="0"/>
      </c:catAx>
      <c:valAx>
        <c:axId val="180287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0286208"/>
        <c:crosses val="autoZero"/>
        <c:crossBetween val="between"/>
      </c:valAx>
      <c:spPr>
        <a:noFill/>
        <a:ln>
          <a:noFill/>
        </a:ln>
        <a:effectLst/>
      </c:spPr>
    </c:plotArea>
    <c:legend>
      <c:legendPos val="b"/>
      <c:layout>
        <c:manualLayout>
          <c:xMode val="edge"/>
          <c:yMode val="edge"/>
          <c:x val="2.091774131948677E-2"/>
          <c:y val="0.76103826800655461"/>
          <c:w val="0.97908241294216225"/>
          <c:h val="0.2389618731869047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505E-2"/>
          <c:y val="5.0925925925925923E-2"/>
          <c:w val="0.87232174103237092"/>
          <c:h val="0.58299139690871971"/>
        </c:manualLayout>
      </c:layout>
      <c:barChart>
        <c:barDir val="col"/>
        <c:grouping val="percentStacked"/>
        <c:varyColors val="0"/>
        <c:ser>
          <c:idx val="0"/>
          <c:order val="0"/>
          <c:tx>
            <c:strRef>
              <c:f>Sheet1!$A$8</c:f>
              <c:strCache>
                <c:ptCount val="1"/>
                <c:pt idx="0">
                  <c:v>Արդյունաբերություն</c:v>
                </c:pt>
              </c:strCache>
            </c:strRef>
          </c:tx>
          <c:spPr>
            <a:blipFill>
              <a:blip xmlns:r="http://schemas.openxmlformats.org/officeDocument/2006/relationships" r:embed="rId2"/>
              <a:stretch>
                <a:fillRect/>
              </a:stretch>
            </a:blip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2017 </c:v>
                </c:pt>
                <c:pt idx="1">
                  <c:v>2018 </c:v>
                </c:pt>
                <c:pt idx="2">
                  <c:v>2019</c:v>
                </c:pt>
                <c:pt idx="3">
                  <c:v>2020</c:v>
                </c:pt>
                <c:pt idx="4">
                  <c:v>2021</c:v>
                </c:pt>
              </c:strCache>
            </c:strRef>
          </c:cat>
          <c:val>
            <c:numRef>
              <c:f>Sheet1!$B$8:$F$8</c:f>
              <c:numCache>
                <c:formatCode>0.0</c:formatCode>
                <c:ptCount val="5"/>
                <c:pt idx="0">
                  <c:v>18.541975780615999</c:v>
                </c:pt>
                <c:pt idx="1">
                  <c:v>18.152724119014632</c:v>
                </c:pt>
                <c:pt idx="2">
                  <c:v>18.129380669063085</c:v>
                </c:pt>
                <c:pt idx="3">
                  <c:v>19.313638000980312</c:v>
                </c:pt>
                <c:pt idx="4">
                  <c:v>19.381664568582313</c:v>
                </c:pt>
              </c:numCache>
            </c:numRef>
          </c:val>
          <c:extLst>
            <c:ext xmlns:c16="http://schemas.microsoft.com/office/drawing/2014/chart" uri="{C3380CC4-5D6E-409C-BE32-E72D297353CC}">
              <c16:uniqueId val="{00000000-9C23-4533-93FA-4F0E6AF81EA8}"/>
            </c:ext>
          </c:extLst>
        </c:ser>
        <c:ser>
          <c:idx val="1"/>
          <c:order val="1"/>
          <c:tx>
            <c:strRef>
              <c:f>Sheet1!$A$9</c:f>
              <c:strCache>
                <c:ptCount val="1"/>
                <c:pt idx="0">
                  <c:v>Գյուղատնտեսություն և անտառային տնտեսություն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2017 </c:v>
                </c:pt>
                <c:pt idx="1">
                  <c:v>2018 </c:v>
                </c:pt>
                <c:pt idx="2">
                  <c:v>2019</c:v>
                </c:pt>
                <c:pt idx="3">
                  <c:v>2020</c:v>
                </c:pt>
                <c:pt idx="4">
                  <c:v>2021</c:v>
                </c:pt>
              </c:strCache>
            </c:strRef>
          </c:cat>
          <c:val>
            <c:numRef>
              <c:f>Sheet1!$B$9:$F$9</c:f>
              <c:numCache>
                <c:formatCode>0.0</c:formatCode>
                <c:ptCount val="5"/>
                <c:pt idx="0">
                  <c:v>14.994260124277622</c:v>
                </c:pt>
                <c:pt idx="1">
                  <c:v>13.94231165541461</c:v>
                </c:pt>
                <c:pt idx="2">
                  <c:v>11.988356029629218</c:v>
                </c:pt>
                <c:pt idx="3">
                  <c:v>12.917544875891101</c:v>
                </c:pt>
                <c:pt idx="4">
                  <c:v>12.804108150989657</c:v>
                </c:pt>
              </c:numCache>
            </c:numRef>
          </c:val>
          <c:extLst>
            <c:ext xmlns:c16="http://schemas.microsoft.com/office/drawing/2014/chart" uri="{C3380CC4-5D6E-409C-BE32-E72D297353CC}">
              <c16:uniqueId val="{00000001-9C23-4533-93FA-4F0E6AF81EA8}"/>
            </c:ext>
          </c:extLst>
        </c:ser>
        <c:ser>
          <c:idx val="2"/>
          <c:order val="2"/>
          <c:tx>
            <c:strRef>
              <c:f>Sheet1!$A$10</c:f>
              <c:strCache>
                <c:ptCount val="1"/>
                <c:pt idx="0">
                  <c:v>Շինարարություն</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2017 </c:v>
                </c:pt>
                <c:pt idx="1">
                  <c:v>2018 </c:v>
                </c:pt>
                <c:pt idx="2">
                  <c:v>2019</c:v>
                </c:pt>
                <c:pt idx="3">
                  <c:v>2020</c:v>
                </c:pt>
                <c:pt idx="4">
                  <c:v>2021</c:v>
                </c:pt>
              </c:strCache>
            </c:strRef>
          </c:cat>
          <c:val>
            <c:numRef>
              <c:f>Sheet1!$B$10:$F$10</c:f>
              <c:numCache>
                <c:formatCode>0.0</c:formatCode>
                <c:ptCount val="5"/>
                <c:pt idx="0">
                  <c:v>7.2675565985495885</c:v>
                </c:pt>
                <c:pt idx="1">
                  <c:v>6.6038337286110611</c:v>
                </c:pt>
                <c:pt idx="2">
                  <c:v>6.1580195361544048</c:v>
                </c:pt>
                <c:pt idx="3">
                  <c:v>5.8282283961426558</c:v>
                </c:pt>
                <c:pt idx="4">
                  <c:v>5.8320776401777303</c:v>
                </c:pt>
              </c:numCache>
            </c:numRef>
          </c:val>
          <c:extLst>
            <c:ext xmlns:c16="http://schemas.microsoft.com/office/drawing/2014/chart" uri="{C3380CC4-5D6E-409C-BE32-E72D297353CC}">
              <c16:uniqueId val="{00000002-9C23-4533-93FA-4F0E6AF81EA8}"/>
            </c:ext>
          </c:extLst>
        </c:ser>
        <c:ser>
          <c:idx val="3"/>
          <c:order val="3"/>
          <c:tx>
            <c:strRef>
              <c:f>Sheet1!$A$11</c:f>
              <c:strCache>
                <c:ptCount val="1"/>
                <c:pt idx="0">
                  <c:v>Ծառայություններ</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2017 </c:v>
                </c:pt>
                <c:pt idx="1">
                  <c:v>2018 </c:v>
                </c:pt>
                <c:pt idx="2">
                  <c:v>2019</c:v>
                </c:pt>
                <c:pt idx="3">
                  <c:v>2020</c:v>
                </c:pt>
                <c:pt idx="4">
                  <c:v>2021</c:v>
                </c:pt>
              </c:strCache>
            </c:strRef>
          </c:cat>
          <c:val>
            <c:numRef>
              <c:f>Sheet1!$B$11:$F$11</c:f>
              <c:numCache>
                <c:formatCode>0.0</c:formatCode>
                <c:ptCount val="5"/>
                <c:pt idx="0">
                  <c:v>48.915397202473052</c:v>
                </c:pt>
                <c:pt idx="1">
                  <c:v>50.677546310515211</c:v>
                </c:pt>
                <c:pt idx="2">
                  <c:v>52.380338968725816</c:v>
                </c:pt>
                <c:pt idx="3">
                  <c:v>50.991020243906405</c:v>
                </c:pt>
                <c:pt idx="4">
                  <c:v>50.884722535255875</c:v>
                </c:pt>
              </c:numCache>
            </c:numRef>
          </c:val>
          <c:extLst>
            <c:ext xmlns:c16="http://schemas.microsoft.com/office/drawing/2014/chart" uri="{C3380CC4-5D6E-409C-BE32-E72D297353CC}">
              <c16:uniqueId val="{00000003-9C23-4533-93FA-4F0E6AF81EA8}"/>
            </c:ext>
          </c:extLst>
        </c:ser>
        <c:ser>
          <c:idx val="4"/>
          <c:order val="4"/>
          <c:tx>
            <c:strRef>
              <c:f>Sheet1!$A$12</c:f>
              <c:strCache>
                <c:ptCount val="1"/>
                <c:pt idx="0">
                  <c:v>Զուտ հարկեր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Sheet1!$B$7:$F$7</c:f>
              <c:strCache>
                <c:ptCount val="5"/>
                <c:pt idx="0">
                  <c:v>2017 </c:v>
                </c:pt>
                <c:pt idx="1">
                  <c:v>2018 </c:v>
                </c:pt>
                <c:pt idx="2">
                  <c:v>2019</c:v>
                </c:pt>
                <c:pt idx="3">
                  <c:v>2020</c:v>
                </c:pt>
                <c:pt idx="4">
                  <c:v>2021</c:v>
                </c:pt>
              </c:strCache>
            </c:strRef>
          </c:cat>
          <c:val>
            <c:numRef>
              <c:f>Sheet1!$B$12:$F$12</c:f>
              <c:numCache>
                <c:formatCode>0.0</c:formatCode>
                <c:ptCount val="5"/>
                <c:pt idx="0">
                  <c:v>10.280810294083739</c:v>
                </c:pt>
                <c:pt idx="1">
                  <c:v>10.623584186444512</c:v>
                </c:pt>
                <c:pt idx="2">
                  <c:v>11.343904796427502</c:v>
                </c:pt>
                <c:pt idx="3">
                  <c:v>10.949568483079522</c:v>
                </c:pt>
                <c:pt idx="4">
                  <c:v>11.097427104994422</c:v>
                </c:pt>
              </c:numCache>
            </c:numRef>
          </c:val>
          <c:extLst>
            <c:ext xmlns:c16="http://schemas.microsoft.com/office/drawing/2014/chart" uri="{C3380CC4-5D6E-409C-BE32-E72D297353CC}">
              <c16:uniqueId val="{00000004-9C23-4533-93FA-4F0E6AF81EA8}"/>
            </c:ext>
          </c:extLst>
        </c:ser>
        <c:dLbls>
          <c:showLegendKey val="0"/>
          <c:showVal val="0"/>
          <c:showCatName val="0"/>
          <c:showSerName val="0"/>
          <c:showPercent val="0"/>
          <c:showBubbleSize val="0"/>
        </c:dLbls>
        <c:gapWidth val="150"/>
        <c:overlap val="100"/>
        <c:axId val="182462720"/>
        <c:axId val="182493184"/>
      </c:barChart>
      <c:catAx>
        <c:axId val="18246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2493184"/>
        <c:crosses val="autoZero"/>
        <c:auto val="1"/>
        <c:lblAlgn val="ctr"/>
        <c:lblOffset val="100"/>
        <c:noMultiLvlLbl val="0"/>
      </c:catAx>
      <c:valAx>
        <c:axId val="18249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2462720"/>
        <c:crosses val="autoZero"/>
        <c:crossBetween val="between"/>
      </c:valAx>
      <c:spPr>
        <a:noFill/>
        <a:ln>
          <a:noFill/>
        </a:ln>
        <a:effectLst/>
      </c:spPr>
    </c:plotArea>
    <c:legend>
      <c:legendPos val="b"/>
      <c:layout>
        <c:manualLayout>
          <c:xMode val="edge"/>
          <c:yMode val="edge"/>
          <c:x val="0"/>
          <c:y val="0.69488362884303068"/>
          <c:w val="0.97725437445319574"/>
          <c:h val="0.2773387271545186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046999039115"/>
          <c:y val="8.6819258089976328E-2"/>
          <c:w val="0.84559448496456369"/>
          <c:h val="0.6190958864948547"/>
        </c:manualLayout>
      </c:layout>
      <c:barChart>
        <c:barDir val="col"/>
        <c:grouping val="percentStacked"/>
        <c:varyColors val="0"/>
        <c:ser>
          <c:idx val="0"/>
          <c:order val="0"/>
          <c:tx>
            <c:strRef>
              <c:f>Sheet1!$A$2</c:f>
              <c:strCache>
                <c:ptCount val="1"/>
                <c:pt idx="0">
                  <c:v>Սպառում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 </c:v>
                </c:pt>
                <c:pt idx="1">
                  <c:v>2018 </c:v>
                </c:pt>
                <c:pt idx="2">
                  <c:v>2019</c:v>
                </c:pt>
                <c:pt idx="3">
                  <c:v>2020</c:v>
                </c:pt>
                <c:pt idx="4">
                  <c:v>2021</c:v>
                </c:pt>
              </c:strCache>
            </c:strRef>
          </c:cat>
          <c:val>
            <c:numRef>
              <c:f>Sheet1!$B$2:$F$2</c:f>
              <c:numCache>
                <c:formatCode>0.0</c:formatCode>
                <c:ptCount val="5"/>
                <c:pt idx="0">
                  <c:v>92.348545014871348</c:v>
                </c:pt>
                <c:pt idx="1">
                  <c:v>91.287579637227324</c:v>
                </c:pt>
                <c:pt idx="2">
                  <c:v>95.911658687914851</c:v>
                </c:pt>
                <c:pt idx="3">
                  <c:v>96.142149035394382</c:v>
                </c:pt>
                <c:pt idx="4">
                  <c:v>97.142834251027509</c:v>
                </c:pt>
              </c:numCache>
            </c:numRef>
          </c:val>
          <c:extLst>
            <c:ext xmlns:c16="http://schemas.microsoft.com/office/drawing/2014/chart" uri="{C3380CC4-5D6E-409C-BE32-E72D297353CC}">
              <c16:uniqueId val="{00000000-6154-4871-9EB3-68C33273FFF7}"/>
            </c:ext>
          </c:extLst>
        </c:ser>
        <c:ser>
          <c:idx val="1"/>
          <c:order val="1"/>
          <c:tx>
            <c:strRef>
              <c:f>Sheet1!$A$3</c:f>
              <c:strCache>
                <c:ptCount val="1"/>
                <c:pt idx="0">
                  <c:v>Հիմնական միջոցներում կապիտալ ներդրումներ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 </c:v>
                </c:pt>
                <c:pt idx="1">
                  <c:v>2018 </c:v>
                </c:pt>
                <c:pt idx="2">
                  <c:v>2019</c:v>
                </c:pt>
                <c:pt idx="3">
                  <c:v>2020</c:v>
                </c:pt>
                <c:pt idx="4">
                  <c:v>2021</c:v>
                </c:pt>
              </c:strCache>
            </c:strRef>
          </c:cat>
          <c:val>
            <c:numRef>
              <c:f>Sheet1!$B$3:$F$3</c:f>
              <c:numCache>
                <c:formatCode>0.0</c:formatCode>
                <c:ptCount val="5"/>
                <c:pt idx="0">
                  <c:v>17.648375998583727</c:v>
                </c:pt>
                <c:pt idx="1">
                  <c:v>16.740910872517407</c:v>
                </c:pt>
                <c:pt idx="2">
                  <c:v>15.753701444054727</c:v>
                </c:pt>
                <c:pt idx="3">
                  <c:v>16.194813775672497</c:v>
                </c:pt>
                <c:pt idx="4">
                  <c:v>16.162673184821543</c:v>
                </c:pt>
              </c:numCache>
            </c:numRef>
          </c:val>
          <c:extLst>
            <c:ext xmlns:c16="http://schemas.microsoft.com/office/drawing/2014/chart" uri="{C3380CC4-5D6E-409C-BE32-E72D297353CC}">
              <c16:uniqueId val="{00000001-6154-4871-9EB3-68C33273FFF7}"/>
            </c:ext>
          </c:extLst>
        </c:ser>
        <c:ser>
          <c:idx val="2"/>
          <c:order val="2"/>
          <c:tx>
            <c:strRef>
              <c:f>Sheet1!$A$4</c:f>
              <c:strCache>
                <c:ptCount val="1"/>
                <c:pt idx="0">
                  <c:v>Ապրանք. և ծառ. արտահանում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 </c:v>
                </c:pt>
                <c:pt idx="1">
                  <c:v>2018 </c:v>
                </c:pt>
                <c:pt idx="2">
                  <c:v>2019</c:v>
                </c:pt>
                <c:pt idx="3">
                  <c:v>2020</c:v>
                </c:pt>
                <c:pt idx="4">
                  <c:v>2021</c:v>
                </c:pt>
              </c:strCache>
            </c:strRef>
          </c:cat>
          <c:val>
            <c:numRef>
              <c:f>Sheet1!$B$4:$F$4</c:f>
              <c:numCache>
                <c:formatCode>0.0</c:formatCode>
                <c:ptCount val="5"/>
                <c:pt idx="0">
                  <c:v>38.2160456550464</c:v>
                </c:pt>
                <c:pt idx="1">
                  <c:v>39.392894028607294</c:v>
                </c:pt>
                <c:pt idx="2">
                  <c:v>41.188968089478287</c:v>
                </c:pt>
                <c:pt idx="3">
                  <c:v>30.98552198697876</c:v>
                </c:pt>
                <c:pt idx="4">
                  <c:v>33.629812595607575</c:v>
                </c:pt>
              </c:numCache>
            </c:numRef>
          </c:val>
          <c:extLst>
            <c:ext xmlns:c16="http://schemas.microsoft.com/office/drawing/2014/chart" uri="{C3380CC4-5D6E-409C-BE32-E72D297353CC}">
              <c16:uniqueId val="{00000002-6154-4871-9EB3-68C33273FFF7}"/>
            </c:ext>
          </c:extLst>
        </c:ser>
        <c:ser>
          <c:idx val="3"/>
          <c:order val="3"/>
          <c:tx>
            <c:strRef>
              <c:f>Sheet1!$A$5</c:f>
              <c:strCache>
                <c:ptCount val="1"/>
                <c:pt idx="0">
                  <c:v>Ապրանք. և ծառ. ներմուծում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 </c:v>
                </c:pt>
                <c:pt idx="1">
                  <c:v>2018 </c:v>
                </c:pt>
                <c:pt idx="2">
                  <c:v>2019</c:v>
                </c:pt>
                <c:pt idx="3">
                  <c:v>2020</c:v>
                </c:pt>
                <c:pt idx="4">
                  <c:v>2021</c:v>
                </c:pt>
              </c:strCache>
            </c:strRef>
          </c:cat>
          <c:val>
            <c:numRef>
              <c:f>Sheet1!$B$5:$F$5</c:f>
              <c:numCache>
                <c:formatCode>0.0</c:formatCode>
                <c:ptCount val="5"/>
                <c:pt idx="0">
                  <c:v>48.986330884790526</c:v>
                </c:pt>
                <c:pt idx="1">
                  <c:v>53.080212992604743</c:v>
                </c:pt>
                <c:pt idx="2">
                  <c:v>54.548212804847878</c:v>
                </c:pt>
                <c:pt idx="3">
                  <c:v>43.32248479804565</c:v>
                </c:pt>
                <c:pt idx="4">
                  <c:v>46.935320031456648</c:v>
                </c:pt>
              </c:numCache>
            </c:numRef>
          </c:val>
          <c:extLst>
            <c:ext xmlns:c16="http://schemas.microsoft.com/office/drawing/2014/chart" uri="{C3380CC4-5D6E-409C-BE32-E72D297353CC}">
              <c16:uniqueId val="{00000003-6154-4871-9EB3-68C33273FFF7}"/>
            </c:ext>
          </c:extLst>
        </c:ser>
        <c:dLbls>
          <c:showLegendKey val="0"/>
          <c:showVal val="0"/>
          <c:showCatName val="0"/>
          <c:showSerName val="0"/>
          <c:showPercent val="0"/>
          <c:showBubbleSize val="0"/>
        </c:dLbls>
        <c:gapWidth val="150"/>
        <c:overlap val="100"/>
        <c:axId val="183535488"/>
        <c:axId val="183537024"/>
      </c:barChart>
      <c:catAx>
        <c:axId val="18353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3537024"/>
        <c:crosses val="autoZero"/>
        <c:auto val="1"/>
        <c:lblAlgn val="ctr"/>
        <c:lblOffset val="100"/>
        <c:noMultiLvlLbl val="0"/>
      </c:catAx>
      <c:valAx>
        <c:axId val="1835370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3535488"/>
        <c:crosses val="autoZero"/>
        <c:crossBetween val="between"/>
      </c:valAx>
      <c:spPr>
        <a:noFill/>
        <a:ln>
          <a:noFill/>
        </a:ln>
        <a:effectLst/>
      </c:spPr>
    </c:plotArea>
    <c:legend>
      <c:legendPos val="b"/>
      <c:layout>
        <c:manualLayout>
          <c:xMode val="edge"/>
          <c:yMode val="edge"/>
          <c:x val="5.2434256574987008E-3"/>
          <c:y val="0.82079933378493464"/>
          <c:w val="0.99475646011079077"/>
          <c:h val="0.14561025175720499"/>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3434608552719"/>
          <c:y val="0.15695898950131323"/>
          <c:w val="0.79438558816511551"/>
          <c:h val="0.50461383816384664"/>
        </c:manualLayout>
      </c:layout>
      <c:barChart>
        <c:barDir val="col"/>
        <c:grouping val="clustered"/>
        <c:varyColors val="0"/>
        <c:ser>
          <c:idx val="0"/>
          <c:order val="0"/>
          <c:tx>
            <c:strRef>
              <c:f>Лист1!$B$1</c:f>
              <c:strCache>
                <c:ptCount val="1"/>
                <c:pt idx="0">
                  <c:v>Գործազուրկներ, հազ. մարդ</c:v>
                </c:pt>
              </c:strCache>
            </c:strRef>
          </c:tx>
          <c:spPr>
            <a:solidFill>
              <a:schemeClr val="accent1"/>
            </a:solidFill>
            <a:ln>
              <a:noFill/>
            </a:ln>
            <a:effectLst/>
          </c:spPr>
          <c:invertIfNegative val="0"/>
          <c:cat>
            <c:strRef>
              <c:f>Лист1!$A$2:$A$7</c:f>
              <c:strCache>
                <c:ptCount val="6"/>
                <c:pt idx="0">
                  <c:v>2019-I</c:v>
                </c:pt>
                <c:pt idx="1">
                  <c:v>2019-II</c:v>
                </c:pt>
                <c:pt idx="2">
                  <c:v>2019-III</c:v>
                </c:pt>
                <c:pt idx="3">
                  <c:v>2019-IV</c:v>
                </c:pt>
                <c:pt idx="4">
                  <c:v>2020-I</c:v>
                </c:pt>
                <c:pt idx="5">
                  <c:v>2020-II</c:v>
                </c:pt>
              </c:strCache>
            </c:strRef>
          </c:cat>
          <c:val>
            <c:numRef>
              <c:f>Лист1!$B$2:$B$7</c:f>
              <c:numCache>
                <c:formatCode>General</c:formatCode>
                <c:ptCount val="6"/>
                <c:pt idx="0">
                  <c:v>253</c:v>
                </c:pt>
                <c:pt idx="1">
                  <c:v>207.4</c:v>
                </c:pt>
                <c:pt idx="2">
                  <c:v>218.7</c:v>
                </c:pt>
                <c:pt idx="3">
                  <c:v>202.3</c:v>
                </c:pt>
                <c:pt idx="4">
                  <c:v>233.5</c:v>
                </c:pt>
                <c:pt idx="5">
                  <c:v>218.1</c:v>
                </c:pt>
              </c:numCache>
            </c:numRef>
          </c:val>
          <c:extLst>
            <c:ext xmlns:c16="http://schemas.microsoft.com/office/drawing/2014/chart" uri="{C3380CC4-5D6E-409C-BE32-E72D297353CC}">
              <c16:uniqueId val="{00000000-A72D-43CF-98E8-DFA5E7E1762E}"/>
            </c:ext>
          </c:extLst>
        </c:ser>
        <c:ser>
          <c:idx val="1"/>
          <c:order val="1"/>
          <c:tx>
            <c:strRef>
              <c:f>Лист1!$C$1</c:f>
              <c:strCache>
                <c:ptCount val="1"/>
                <c:pt idx="0">
                  <c:v>Զբաղվածներ, հազ. մարդ</c:v>
                </c:pt>
              </c:strCache>
            </c:strRef>
          </c:tx>
          <c:spPr>
            <a:solidFill>
              <a:schemeClr val="accent2"/>
            </a:solidFill>
            <a:ln>
              <a:noFill/>
            </a:ln>
            <a:effectLst/>
          </c:spPr>
          <c:invertIfNegative val="0"/>
          <c:cat>
            <c:strRef>
              <c:f>Лист1!$A$2:$A$7</c:f>
              <c:strCache>
                <c:ptCount val="6"/>
                <c:pt idx="0">
                  <c:v>2019-I</c:v>
                </c:pt>
                <c:pt idx="1">
                  <c:v>2019-II</c:v>
                </c:pt>
                <c:pt idx="2">
                  <c:v>2019-III</c:v>
                </c:pt>
                <c:pt idx="3">
                  <c:v>2019-IV</c:v>
                </c:pt>
                <c:pt idx="4">
                  <c:v>2020-I</c:v>
                </c:pt>
                <c:pt idx="5">
                  <c:v>2020-II</c:v>
                </c:pt>
              </c:strCache>
            </c:strRef>
          </c:cat>
          <c:val>
            <c:numRef>
              <c:f>Лист1!$C$2:$C$7</c:f>
              <c:numCache>
                <c:formatCode>#,##0.00</c:formatCode>
                <c:ptCount val="6"/>
                <c:pt idx="0" formatCode="General">
                  <c:v>945</c:v>
                </c:pt>
                <c:pt idx="1">
                  <c:v>1052.8</c:v>
                </c:pt>
                <c:pt idx="2">
                  <c:v>1063.8</c:v>
                </c:pt>
                <c:pt idx="3" formatCode="General">
                  <c:v>980.1</c:v>
                </c:pt>
                <c:pt idx="4" formatCode="General">
                  <c:v>946.5</c:v>
                </c:pt>
                <c:pt idx="5" formatCode="General">
                  <c:v>1027.0999999999999</c:v>
                </c:pt>
              </c:numCache>
            </c:numRef>
          </c:val>
          <c:extLst>
            <c:ext xmlns:c16="http://schemas.microsoft.com/office/drawing/2014/chart" uri="{C3380CC4-5D6E-409C-BE32-E72D297353CC}">
              <c16:uniqueId val="{00000001-A72D-43CF-98E8-DFA5E7E1762E}"/>
            </c:ext>
          </c:extLst>
        </c:ser>
        <c:dLbls>
          <c:showLegendKey val="0"/>
          <c:showVal val="0"/>
          <c:showCatName val="0"/>
          <c:showSerName val="0"/>
          <c:showPercent val="0"/>
          <c:showBubbleSize val="0"/>
        </c:dLbls>
        <c:gapWidth val="219"/>
        <c:overlap val="-27"/>
        <c:axId val="183598464"/>
        <c:axId val="183604352"/>
      </c:barChart>
      <c:lineChart>
        <c:grouping val="standard"/>
        <c:varyColors val="0"/>
        <c:ser>
          <c:idx val="2"/>
          <c:order val="2"/>
          <c:tx>
            <c:strRef>
              <c:f>Лист1!$D$1</c:f>
              <c:strCache>
                <c:ptCount val="1"/>
                <c:pt idx="0">
                  <c:v>Գործազրկության մակարդակ, %, աջ առանցք</c:v>
                </c:pt>
              </c:strCache>
            </c:strRef>
          </c:tx>
          <c:spPr>
            <a:ln w="28575" cap="rnd">
              <a:solidFill>
                <a:srgbClr val="C00000"/>
              </a:solidFill>
              <a:round/>
            </a:ln>
            <a:effectLst/>
          </c:spPr>
          <c:marker>
            <c:symbol val="none"/>
          </c:marker>
          <c:cat>
            <c:strRef>
              <c:f>Лист1!$A$2:$A$7</c:f>
              <c:strCache>
                <c:ptCount val="6"/>
                <c:pt idx="0">
                  <c:v>2019-I</c:v>
                </c:pt>
                <c:pt idx="1">
                  <c:v>2019-II</c:v>
                </c:pt>
                <c:pt idx="2">
                  <c:v>2019-III</c:v>
                </c:pt>
                <c:pt idx="3">
                  <c:v>2019-IV</c:v>
                </c:pt>
                <c:pt idx="4">
                  <c:v>2020-I</c:v>
                </c:pt>
                <c:pt idx="5">
                  <c:v>2020-II</c:v>
                </c:pt>
              </c:strCache>
            </c:strRef>
          </c:cat>
          <c:val>
            <c:numRef>
              <c:f>Лист1!$D$2:$D$7</c:f>
              <c:numCache>
                <c:formatCode>General</c:formatCode>
                <c:ptCount val="6"/>
                <c:pt idx="0">
                  <c:v>21.1</c:v>
                </c:pt>
                <c:pt idx="1">
                  <c:v>16.5</c:v>
                </c:pt>
                <c:pt idx="2">
                  <c:v>17.100000000000001</c:v>
                </c:pt>
                <c:pt idx="3">
                  <c:v>17.100000000000001</c:v>
                </c:pt>
                <c:pt idx="4">
                  <c:v>19.8</c:v>
                </c:pt>
                <c:pt idx="5">
                  <c:v>17.5</c:v>
                </c:pt>
              </c:numCache>
            </c:numRef>
          </c:val>
          <c:smooth val="0"/>
          <c:extLst>
            <c:ext xmlns:c16="http://schemas.microsoft.com/office/drawing/2014/chart" uri="{C3380CC4-5D6E-409C-BE32-E72D297353CC}">
              <c16:uniqueId val="{00000002-A72D-43CF-98E8-DFA5E7E1762E}"/>
            </c:ext>
          </c:extLst>
        </c:ser>
        <c:dLbls>
          <c:showLegendKey val="0"/>
          <c:showVal val="0"/>
          <c:showCatName val="0"/>
          <c:showSerName val="0"/>
          <c:showPercent val="0"/>
          <c:showBubbleSize val="0"/>
        </c:dLbls>
        <c:marker val="1"/>
        <c:smooth val="0"/>
        <c:axId val="215880064"/>
        <c:axId val="183605888"/>
      </c:lineChart>
      <c:catAx>
        <c:axId val="18359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3604352"/>
        <c:crosses val="autoZero"/>
        <c:auto val="1"/>
        <c:lblAlgn val="ctr"/>
        <c:lblOffset val="100"/>
        <c:noMultiLvlLbl val="0"/>
      </c:catAx>
      <c:valAx>
        <c:axId val="183604352"/>
        <c:scaling>
          <c:orientation val="minMax"/>
          <c:max val="1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83598464"/>
        <c:crosses val="autoZero"/>
        <c:crossBetween val="between"/>
        <c:majorUnit val="200"/>
      </c:valAx>
      <c:valAx>
        <c:axId val="18360588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5880064"/>
        <c:crosses val="max"/>
        <c:crossBetween val="between"/>
      </c:valAx>
      <c:catAx>
        <c:axId val="215880064"/>
        <c:scaling>
          <c:orientation val="minMax"/>
        </c:scaling>
        <c:delete val="1"/>
        <c:axPos val="b"/>
        <c:numFmt formatCode="General" sourceLinked="1"/>
        <c:majorTickMark val="none"/>
        <c:minorTickMark val="none"/>
        <c:tickLblPos val="none"/>
        <c:crossAx val="183605888"/>
        <c:crosses val="autoZero"/>
        <c:auto val="1"/>
        <c:lblAlgn val="ctr"/>
        <c:lblOffset val="100"/>
        <c:noMultiLvlLbl val="0"/>
      </c:catAx>
      <c:spPr>
        <a:noFill/>
        <a:ln>
          <a:noFill/>
        </a:ln>
        <a:effectLst/>
      </c:spPr>
    </c:plotArea>
    <c:legend>
      <c:legendPos val="b"/>
      <c:layout>
        <c:manualLayout>
          <c:xMode val="edge"/>
          <c:yMode val="edge"/>
          <c:x val="1.1575282854656208E-2"/>
          <c:y val="0.79644947529258803"/>
          <c:w val="0.81583986074847892"/>
          <c:h val="0.162042396032215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9.3106574844288706E-2"/>
          <c:y val="0"/>
        </c:manualLayout>
      </c:layout>
      <c:overlay val="0"/>
      <c:spPr>
        <a:noFill/>
        <a:ln>
          <a:noFill/>
        </a:ln>
        <a:effectLst/>
      </c:spPr>
    </c:title>
    <c:autoTitleDeleted val="0"/>
    <c:plotArea>
      <c:layout>
        <c:manualLayout>
          <c:layoutTarget val="inner"/>
          <c:xMode val="edge"/>
          <c:yMode val="edge"/>
          <c:x val="0.11873917014291722"/>
          <c:y val="7.0087221630047547E-2"/>
          <c:w val="0.80804307316570501"/>
          <c:h val="0.61867847769029227"/>
        </c:manualLayout>
      </c:layout>
      <c:lineChart>
        <c:grouping val="standard"/>
        <c:varyColors val="0"/>
        <c:ser>
          <c:idx val="0"/>
          <c:order val="0"/>
          <c:tx>
            <c:strRef>
              <c:f>Лист1!$B$1</c:f>
              <c:strCache>
                <c:ptCount val="1"/>
                <c:pt idx="0">
                  <c:v>Ընդամենը</c:v>
                </c:pt>
              </c:strCache>
            </c:strRef>
          </c:tx>
          <c:spPr>
            <a:effectLst/>
          </c:spPr>
          <c:marker>
            <c:symbol val="none"/>
          </c:marker>
          <c:cat>
            <c:strRef>
              <c:f>Лист1!$A$2:$A$11</c:f>
              <c:strCache>
                <c:ptCount val="10"/>
                <c:pt idx="0">
                  <c:v>I</c:v>
                </c:pt>
                <c:pt idx="1">
                  <c:v>I-II</c:v>
                </c:pt>
                <c:pt idx="2">
                  <c:v>I-III</c:v>
                </c:pt>
                <c:pt idx="3">
                  <c:v>I-IV</c:v>
                </c:pt>
                <c:pt idx="4">
                  <c:v>I-V</c:v>
                </c:pt>
                <c:pt idx="5">
                  <c:v>I-VI</c:v>
                </c:pt>
                <c:pt idx="6">
                  <c:v>I-VII</c:v>
                </c:pt>
                <c:pt idx="7">
                  <c:v>I-VIII</c:v>
                </c:pt>
                <c:pt idx="8">
                  <c:v>I-IX</c:v>
                </c:pt>
                <c:pt idx="9">
                  <c:v>I-X</c:v>
                </c:pt>
              </c:strCache>
            </c:strRef>
          </c:cat>
          <c:val>
            <c:numRef>
              <c:f>Лист1!$B$2:$B$11</c:f>
              <c:numCache>
                <c:formatCode>General</c:formatCode>
                <c:ptCount val="10"/>
                <c:pt idx="0">
                  <c:v>10.5</c:v>
                </c:pt>
                <c:pt idx="1">
                  <c:v>9.6</c:v>
                </c:pt>
                <c:pt idx="2">
                  <c:v>9.2000000000000011</c:v>
                </c:pt>
                <c:pt idx="3">
                  <c:v>7.5</c:v>
                </c:pt>
                <c:pt idx="4">
                  <c:v>6.3</c:v>
                </c:pt>
                <c:pt idx="5">
                  <c:v>5.4</c:v>
                </c:pt>
                <c:pt idx="6">
                  <c:v>5</c:v>
                </c:pt>
                <c:pt idx="7">
                  <c:v>4.8</c:v>
                </c:pt>
                <c:pt idx="8">
                  <c:v>4.7</c:v>
                </c:pt>
                <c:pt idx="9">
                  <c:v>4.2999999999999972</c:v>
                </c:pt>
              </c:numCache>
            </c:numRef>
          </c:val>
          <c:smooth val="0"/>
          <c:extLst>
            <c:ext xmlns:c16="http://schemas.microsoft.com/office/drawing/2014/chart" uri="{C3380CC4-5D6E-409C-BE32-E72D297353CC}">
              <c16:uniqueId val="{00000000-C502-470B-B28D-659EDF051367}"/>
            </c:ext>
          </c:extLst>
        </c:ser>
        <c:ser>
          <c:idx val="1"/>
          <c:order val="1"/>
          <c:tx>
            <c:strRef>
              <c:f>Лист1!$C$1</c:f>
              <c:strCache>
                <c:ptCount val="1"/>
                <c:pt idx="0">
                  <c:v>Պետական</c:v>
                </c:pt>
              </c:strCache>
            </c:strRef>
          </c:tx>
          <c:marker>
            <c:symbol val="none"/>
          </c:marker>
          <c:cat>
            <c:strRef>
              <c:f>Лист1!$A$2:$A$11</c:f>
              <c:strCache>
                <c:ptCount val="10"/>
                <c:pt idx="0">
                  <c:v>I</c:v>
                </c:pt>
                <c:pt idx="1">
                  <c:v>I-II</c:v>
                </c:pt>
                <c:pt idx="2">
                  <c:v>I-III</c:v>
                </c:pt>
                <c:pt idx="3">
                  <c:v>I-IV</c:v>
                </c:pt>
                <c:pt idx="4">
                  <c:v>I-V</c:v>
                </c:pt>
                <c:pt idx="5">
                  <c:v>I-VI</c:v>
                </c:pt>
                <c:pt idx="6">
                  <c:v>I-VII</c:v>
                </c:pt>
                <c:pt idx="7">
                  <c:v>I-VIII</c:v>
                </c:pt>
                <c:pt idx="8">
                  <c:v>I-IX</c:v>
                </c:pt>
                <c:pt idx="9">
                  <c:v>I-X</c:v>
                </c:pt>
              </c:strCache>
            </c:strRef>
          </c:cat>
          <c:val>
            <c:numRef>
              <c:f>Лист1!$C$2:$C$11</c:f>
              <c:numCache>
                <c:formatCode>General</c:formatCode>
                <c:ptCount val="10"/>
                <c:pt idx="0">
                  <c:v>12.1</c:v>
                </c:pt>
                <c:pt idx="1">
                  <c:v>11.1</c:v>
                </c:pt>
                <c:pt idx="2">
                  <c:v>10.5</c:v>
                </c:pt>
                <c:pt idx="3">
                  <c:v>9</c:v>
                </c:pt>
                <c:pt idx="4">
                  <c:v>8.4</c:v>
                </c:pt>
                <c:pt idx="5">
                  <c:v>8.3000000000000007</c:v>
                </c:pt>
                <c:pt idx="6">
                  <c:v>7.6</c:v>
                </c:pt>
                <c:pt idx="7">
                  <c:v>7.5</c:v>
                </c:pt>
                <c:pt idx="8">
                  <c:v>7.4</c:v>
                </c:pt>
                <c:pt idx="9">
                  <c:v>6.2999999999999972</c:v>
                </c:pt>
              </c:numCache>
            </c:numRef>
          </c:val>
          <c:smooth val="0"/>
          <c:extLst>
            <c:ext xmlns:c16="http://schemas.microsoft.com/office/drawing/2014/chart" uri="{C3380CC4-5D6E-409C-BE32-E72D297353CC}">
              <c16:uniqueId val="{00000001-C502-470B-B28D-659EDF051367}"/>
            </c:ext>
          </c:extLst>
        </c:ser>
        <c:ser>
          <c:idx val="2"/>
          <c:order val="2"/>
          <c:tx>
            <c:strRef>
              <c:f>Лист1!$D$1</c:f>
              <c:strCache>
                <c:ptCount val="1"/>
                <c:pt idx="0">
                  <c:v>Մասնավոր</c:v>
                </c:pt>
              </c:strCache>
            </c:strRef>
          </c:tx>
          <c:marker>
            <c:symbol val="none"/>
          </c:marker>
          <c:cat>
            <c:strRef>
              <c:f>Лист1!$A$2:$A$11</c:f>
              <c:strCache>
                <c:ptCount val="10"/>
                <c:pt idx="0">
                  <c:v>I</c:v>
                </c:pt>
                <c:pt idx="1">
                  <c:v>I-II</c:v>
                </c:pt>
                <c:pt idx="2">
                  <c:v>I-III</c:v>
                </c:pt>
                <c:pt idx="3">
                  <c:v>I-IV</c:v>
                </c:pt>
                <c:pt idx="4">
                  <c:v>I-V</c:v>
                </c:pt>
                <c:pt idx="5">
                  <c:v>I-VI</c:v>
                </c:pt>
                <c:pt idx="6">
                  <c:v>I-VII</c:v>
                </c:pt>
                <c:pt idx="7">
                  <c:v>I-VIII</c:v>
                </c:pt>
                <c:pt idx="8">
                  <c:v>I-IX</c:v>
                </c:pt>
                <c:pt idx="9">
                  <c:v>I-X</c:v>
                </c:pt>
              </c:strCache>
            </c:strRef>
          </c:cat>
          <c:val>
            <c:numRef>
              <c:f>Лист1!$D$2:$D$11</c:f>
              <c:numCache>
                <c:formatCode>General</c:formatCode>
                <c:ptCount val="10"/>
                <c:pt idx="0">
                  <c:v>8.8000000000000007</c:v>
                </c:pt>
                <c:pt idx="1">
                  <c:v>8</c:v>
                </c:pt>
                <c:pt idx="2">
                  <c:v>7.7</c:v>
                </c:pt>
                <c:pt idx="3">
                  <c:v>6.1</c:v>
                </c:pt>
                <c:pt idx="4">
                  <c:v>4.8</c:v>
                </c:pt>
                <c:pt idx="5">
                  <c:v>3.8</c:v>
                </c:pt>
                <c:pt idx="6">
                  <c:v>3.5</c:v>
                </c:pt>
                <c:pt idx="7">
                  <c:v>3.3</c:v>
                </c:pt>
                <c:pt idx="8">
                  <c:v>3.2</c:v>
                </c:pt>
                <c:pt idx="9">
                  <c:v>3.0999999999999943</c:v>
                </c:pt>
              </c:numCache>
            </c:numRef>
          </c:val>
          <c:smooth val="0"/>
          <c:extLst>
            <c:ext xmlns:c16="http://schemas.microsoft.com/office/drawing/2014/chart" uri="{C3380CC4-5D6E-409C-BE32-E72D297353CC}">
              <c16:uniqueId val="{00000002-C502-470B-B28D-659EDF051367}"/>
            </c:ext>
          </c:extLst>
        </c:ser>
        <c:dLbls>
          <c:showLegendKey val="0"/>
          <c:showVal val="0"/>
          <c:showCatName val="0"/>
          <c:showSerName val="0"/>
          <c:showPercent val="0"/>
          <c:showBubbleSize val="0"/>
        </c:dLbls>
        <c:smooth val="0"/>
        <c:axId val="216337024"/>
        <c:axId val="216347008"/>
      </c:lineChart>
      <c:catAx>
        <c:axId val="216337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6347008"/>
        <c:crosses val="autoZero"/>
        <c:auto val="1"/>
        <c:lblAlgn val="ctr"/>
        <c:lblOffset val="100"/>
        <c:noMultiLvlLbl val="0"/>
      </c:catAx>
      <c:valAx>
        <c:axId val="216347008"/>
        <c:scaling>
          <c:orientation val="minMax"/>
          <c:max val="13"/>
          <c:min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16337024"/>
        <c:crosses val="autoZero"/>
        <c:crossBetween val="between"/>
        <c:majorUnit val="1"/>
      </c:valAx>
      <c:spPr>
        <a:noFill/>
        <a:ln>
          <a:noFill/>
        </a:ln>
        <a:effectLst/>
      </c:spPr>
    </c:plotArea>
    <c:legend>
      <c:legendPos val="b"/>
      <c:layout>
        <c:manualLayout>
          <c:xMode val="edge"/>
          <c:yMode val="edge"/>
          <c:x val="5.8843537414965986E-2"/>
          <c:y val="0.80372399534053762"/>
          <c:w val="0.83130122127591199"/>
          <c:h val="9.2976776106579506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3619698175608326"/>
          <c:h val="0.66128895652749531"/>
        </c:manualLayout>
      </c:layout>
      <c:barChart>
        <c:barDir val="col"/>
        <c:grouping val="clustered"/>
        <c:varyColors val="0"/>
        <c:ser>
          <c:idx val="1"/>
          <c:order val="1"/>
          <c:tx>
            <c:strRef>
              <c:f>Sheet1!$A$3</c:f>
              <c:strCache>
                <c:ptCount val="1"/>
                <c:pt idx="0">
                  <c:v>Ապրանքների  հաշվեկշիռ</c:v>
                </c:pt>
              </c:strCache>
            </c:strRef>
          </c:tx>
          <c:spPr>
            <a:solidFill>
              <a:srgbClr val="C00000"/>
            </a:solidFill>
            <a:ln>
              <a:solidFill>
                <a:srgbClr val="C00000"/>
              </a:solidFill>
              <a:headEnd type="none"/>
              <a:tailEnd type="none"/>
            </a:ln>
            <a:effectLst/>
          </c:spPr>
          <c:invertIfNegative val="0"/>
          <c:cat>
            <c:strRef>
              <c:f>Sheet1!$B$1:$F$1</c:f>
              <c:strCache>
                <c:ptCount val="5"/>
                <c:pt idx="0">
                  <c:v>2017</c:v>
                </c:pt>
                <c:pt idx="1">
                  <c:v>2018</c:v>
                </c:pt>
                <c:pt idx="2">
                  <c:v>2019</c:v>
                </c:pt>
                <c:pt idx="3">
                  <c:v>2020*</c:v>
                </c:pt>
                <c:pt idx="4">
                  <c:v>2021*</c:v>
                </c:pt>
              </c:strCache>
            </c:strRef>
          </c:cat>
          <c:val>
            <c:numRef>
              <c:f>Sheet1!$B$3:$F$3</c:f>
              <c:numCache>
                <c:formatCode>0.0</c:formatCode>
                <c:ptCount val="5"/>
                <c:pt idx="0">
                  <c:v>-12.152420745985998</c:v>
                </c:pt>
                <c:pt idx="1">
                  <c:v>-14.119236548260039</c:v>
                </c:pt>
                <c:pt idx="2">
                  <c:v>-13.20469708218365</c:v>
                </c:pt>
                <c:pt idx="3">
                  <c:v>-11.874458452638637</c:v>
                </c:pt>
                <c:pt idx="4">
                  <c:v>-12.549689518658072</c:v>
                </c:pt>
              </c:numCache>
            </c:numRef>
          </c:val>
          <c:extLst>
            <c:ext xmlns:c16="http://schemas.microsoft.com/office/drawing/2014/chart" uri="{C3380CC4-5D6E-409C-BE32-E72D297353CC}">
              <c16:uniqueId val="{00000000-5E0F-4E43-86CD-A395A716BE10}"/>
            </c:ext>
          </c:extLst>
        </c:ser>
        <c:ser>
          <c:idx val="2"/>
          <c:order val="2"/>
          <c:tx>
            <c:strRef>
              <c:f>Sheet1!$A$4</c:f>
              <c:strCache>
                <c:ptCount val="1"/>
                <c:pt idx="0">
                  <c:v>Դրամական փոխանցումներ</c:v>
                </c:pt>
              </c:strCache>
            </c:strRef>
          </c:tx>
          <c:spPr>
            <a:solidFill>
              <a:srgbClr val="0070C0"/>
            </a:solidFill>
            <a:ln>
              <a:solidFill>
                <a:srgbClr val="0070C0"/>
              </a:solidFill>
            </a:ln>
            <a:effectLst/>
          </c:spPr>
          <c:invertIfNegative val="0"/>
          <c:cat>
            <c:strRef>
              <c:f>Sheet1!$B$1:$F$1</c:f>
              <c:strCache>
                <c:ptCount val="5"/>
                <c:pt idx="0">
                  <c:v>2017</c:v>
                </c:pt>
                <c:pt idx="1">
                  <c:v>2018</c:v>
                </c:pt>
                <c:pt idx="2">
                  <c:v>2019</c:v>
                </c:pt>
                <c:pt idx="3">
                  <c:v>2020*</c:v>
                </c:pt>
                <c:pt idx="4">
                  <c:v>2021*</c:v>
                </c:pt>
              </c:strCache>
            </c:strRef>
          </c:cat>
          <c:val>
            <c:numRef>
              <c:f>Sheet1!$B$4:$F$4</c:f>
              <c:numCache>
                <c:formatCode>0.0</c:formatCode>
                <c:ptCount val="5"/>
                <c:pt idx="0">
                  <c:v>10.2304735028249</c:v>
                </c:pt>
                <c:pt idx="1">
                  <c:v>9.1200610226706065</c:v>
                </c:pt>
                <c:pt idx="2">
                  <c:v>8.3754137109130724</c:v>
                </c:pt>
                <c:pt idx="3">
                  <c:v>8.9860943796211963</c:v>
                </c:pt>
                <c:pt idx="4">
                  <c:v>9.4580637941839871</c:v>
                </c:pt>
              </c:numCache>
            </c:numRef>
          </c:val>
          <c:extLst>
            <c:ext xmlns:c16="http://schemas.microsoft.com/office/drawing/2014/chart" uri="{C3380CC4-5D6E-409C-BE32-E72D297353CC}">
              <c16:uniqueId val="{00000001-5E0F-4E43-86CD-A395A716BE10}"/>
            </c:ext>
          </c:extLst>
        </c:ser>
        <c:ser>
          <c:idx val="3"/>
          <c:order val="3"/>
          <c:tx>
            <c:strRef>
              <c:f>Sheet1!$A$5</c:f>
              <c:strCache>
                <c:ptCount val="1"/>
                <c:pt idx="0">
                  <c:v>Ծառայությունների հաշվեկշիռ</c:v>
                </c:pt>
              </c:strCache>
            </c:strRef>
          </c:tx>
          <c:spPr>
            <a:solidFill>
              <a:srgbClr val="ED7D31"/>
            </a:solidFill>
            <a:ln w="28575" cap="rnd">
              <a:solidFill>
                <a:srgbClr val="ED7D31"/>
              </a:solidFill>
              <a:round/>
            </a:ln>
            <a:effectLst/>
          </c:spPr>
          <c:invertIfNegative val="0"/>
          <c:cat>
            <c:strRef>
              <c:f>Sheet1!$B$1:$F$1</c:f>
              <c:strCache>
                <c:ptCount val="5"/>
                <c:pt idx="0">
                  <c:v>2017</c:v>
                </c:pt>
                <c:pt idx="1">
                  <c:v>2018</c:v>
                </c:pt>
                <c:pt idx="2">
                  <c:v>2019</c:v>
                </c:pt>
                <c:pt idx="3">
                  <c:v>2020*</c:v>
                </c:pt>
                <c:pt idx="4">
                  <c:v>2021*</c:v>
                </c:pt>
              </c:strCache>
            </c:strRef>
          </c:cat>
          <c:val>
            <c:numRef>
              <c:f>Sheet1!$B$5:$F$5</c:f>
              <c:numCache>
                <c:formatCode>0.0</c:formatCode>
                <c:ptCount val="5"/>
                <c:pt idx="0">
                  <c:v>1.3828815313978948</c:v>
                </c:pt>
                <c:pt idx="1">
                  <c:v>0.4550013857759862</c:v>
                </c:pt>
                <c:pt idx="2">
                  <c:v>-0.18719851851663274</c:v>
                </c:pt>
                <c:pt idx="3">
                  <c:v>-0.47830662325954004</c:v>
                </c:pt>
                <c:pt idx="4">
                  <c:v>-0.77284195518592846</c:v>
                </c:pt>
              </c:numCache>
            </c:numRef>
          </c:val>
          <c:extLst>
            <c:ext xmlns:c16="http://schemas.microsoft.com/office/drawing/2014/chart" uri="{C3380CC4-5D6E-409C-BE32-E72D297353CC}">
              <c16:uniqueId val="{00000002-5E0F-4E43-86CD-A395A716BE10}"/>
            </c:ext>
          </c:extLst>
        </c:ser>
        <c:dLbls>
          <c:showLegendKey val="0"/>
          <c:showVal val="0"/>
          <c:showCatName val="0"/>
          <c:showSerName val="0"/>
          <c:showPercent val="0"/>
          <c:showBubbleSize val="0"/>
        </c:dLbls>
        <c:gapWidth val="150"/>
        <c:axId val="237924736"/>
        <c:axId val="237922944"/>
      </c:barChart>
      <c:lineChart>
        <c:grouping val="stacked"/>
        <c:varyColors val="0"/>
        <c:ser>
          <c:idx val="0"/>
          <c:order val="0"/>
          <c:tx>
            <c:strRef>
              <c:f>Sheet1!$A$2</c:f>
              <c:strCache>
                <c:ptCount val="1"/>
                <c:pt idx="0">
                  <c:v>Ընթացիկ հաշիվ</c:v>
                </c:pt>
              </c:strCache>
            </c:strRef>
          </c:tx>
          <c:spPr>
            <a:ln w="28575" cap="rnd">
              <a:solidFill>
                <a:srgbClr val="FFC000">
                  <a:lumMod val="60000"/>
                  <a:lumOff val="40000"/>
                </a:srgbClr>
              </a:solidFill>
              <a:round/>
            </a:ln>
            <a:effectLst/>
          </c:spPr>
          <c:marker>
            <c:symbol val="circle"/>
            <c:size val="5"/>
            <c:spPr>
              <a:solidFill>
                <a:srgbClr val="FFC000">
                  <a:lumMod val="60000"/>
                  <a:lumOff val="40000"/>
                </a:srgbClr>
              </a:solidFill>
              <a:ln w="9525">
                <a:solidFill>
                  <a:srgbClr val="FFC000">
                    <a:lumMod val="60000"/>
                    <a:lumOff val="4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c:v>
                </c:pt>
                <c:pt idx="1">
                  <c:v>2018</c:v>
                </c:pt>
                <c:pt idx="2">
                  <c:v>2019</c:v>
                </c:pt>
                <c:pt idx="3">
                  <c:v>2020*</c:v>
                </c:pt>
                <c:pt idx="4">
                  <c:v>2021*</c:v>
                </c:pt>
              </c:strCache>
            </c:strRef>
          </c:cat>
          <c:val>
            <c:numRef>
              <c:f>Sheet1!$B$2:$F$2</c:f>
              <c:numCache>
                <c:formatCode>0.0</c:formatCode>
                <c:ptCount val="5"/>
                <c:pt idx="0">
                  <c:v>-1.5082447274155455</c:v>
                </c:pt>
                <c:pt idx="1">
                  <c:v>-6.9033442781658483</c:v>
                </c:pt>
                <c:pt idx="2">
                  <c:v>-7.2312880118406833</c:v>
                </c:pt>
                <c:pt idx="3">
                  <c:v>-5.8716253199741244</c:v>
                </c:pt>
                <c:pt idx="4">
                  <c:v>-6.1</c:v>
                </c:pt>
              </c:numCache>
            </c:numRef>
          </c:val>
          <c:smooth val="0"/>
          <c:extLst>
            <c:ext xmlns:c16="http://schemas.microsoft.com/office/drawing/2014/chart" uri="{C3380CC4-5D6E-409C-BE32-E72D297353CC}">
              <c16:uniqueId val="{00000003-5E0F-4E43-86CD-A395A716BE10}"/>
            </c:ext>
          </c:extLst>
        </c:ser>
        <c:dLbls>
          <c:showLegendKey val="0"/>
          <c:showVal val="0"/>
          <c:showCatName val="0"/>
          <c:showSerName val="0"/>
          <c:showPercent val="0"/>
          <c:showBubbleSize val="0"/>
        </c:dLbls>
        <c:marker val="1"/>
        <c:smooth val="0"/>
        <c:axId val="237927808"/>
        <c:axId val="237926272"/>
      </c:lineChart>
      <c:valAx>
        <c:axId val="237922944"/>
        <c:scaling>
          <c:orientation val="minMax"/>
          <c:max val="11"/>
          <c:min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37924736"/>
        <c:crosses val="autoZero"/>
        <c:crossBetween val="between"/>
      </c:valAx>
      <c:catAx>
        <c:axId val="2379247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37922944"/>
        <c:crosses val="autoZero"/>
        <c:auto val="1"/>
        <c:lblAlgn val="ctr"/>
        <c:lblOffset val="100"/>
        <c:noMultiLvlLbl val="0"/>
      </c:catAx>
      <c:valAx>
        <c:axId val="237926272"/>
        <c:scaling>
          <c:orientation val="minMax"/>
        </c:scaling>
        <c:delete val="1"/>
        <c:axPos val="r"/>
        <c:numFmt formatCode="0.0" sourceLinked="1"/>
        <c:majorTickMark val="out"/>
        <c:minorTickMark val="none"/>
        <c:tickLblPos val="none"/>
        <c:crossAx val="237927808"/>
        <c:crosses val="max"/>
        <c:crossBetween val="between"/>
      </c:valAx>
      <c:catAx>
        <c:axId val="237927808"/>
        <c:scaling>
          <c:orientation val="minMax"/>
        </c:scaling>
        <c:delete val="1"/>
        <c:axPos val="b"/>
        <c:numFmt formatCode="General" sourceLinked="1"/>
        <c:majorTickMark val="out"/>
        <c:minorTickMark val="none"/>
        <c:tickLblPos val="none"/>
        <c:crossAx val="237926272"/>
        <c:crosses val="autoZero"/>
        <c:auto val="1"/>
        <c:lblAlgn val="ctr"/>
        <c:lblOffset val="100"/>
        <c:noMultiLvlLbl val="0"/>
      </c:catAx>
      <c:spPr>
        <a:solidFill>
          <a:schemeClr val="bg1"/>
        </a:solidFill>
        <a:ln>
          <a:noFill/>
        </a:ln>
        <a:effectLst/>
      </c:spPr>
    </c:plotArea>
    <c:legend>
      <c:legendPos val="b"/>
      <c:layout>
        <c:manualLayout>
          <c:xMode val="edge"/>
          <c:yMode val="edge"/>
          <c:x val="5.3783209225543877E-3"/>
          <c:y val="0.8238687853548996"/>
          <c:w val="0.97570090670484499"/>
          <c:h val="0.1761313659321999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zero"/>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6378599935282063"/>
          <c:h val="0.73564911528916299"/>
        </c:manualLayout>
      </c:layout>
      <c:barChart>
        <c:barDir val="col"/>
        <c:grouping val="clustered"/>
        <c:varyColors val="0"/>
        <c:ser>
          <c:idx val="0"/>
          <c:order val="0"/>
          <c:tx>
            <c:strRef>
              <c:f>Sheet1!$A$2</c:f>
              <c:strCache>
                <c:ptCount val="1"/>
                <c:pt idx="0">
                  <c:v>Ապրանքների և ծառայությունների արտահանում</c:v>
                </c:pt>
              </c:strCache>
            </c:strRef>
          </c:tx>
          <c:spPr>
            <a:ln w="28575" cap="rnd">
              <a:solidFill>
                <a:srgbClr val="4472C4"/>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2017</c:v>
                </c:pt>
                <c:pt idx="1">
                  <c:v>2018</c:v>
                </c:pt>
                <c:pt idx="2">
                  <c:v>2019</c:v>
                </c:pt>
                <c:pt idx="3">
                  <c:v>2020*</c:v>
                </c:pt>
                <c:pt idx="4">
                  <c:v>2021*</c:v>
                </c:pt>
              </c:strCache>
            </c:strRef>
          </c:cat>
          <c:val>
            <c:numRef>
              <c:f>Sheet1!$B$2:$F$2</c:f>
              <c:numCache>
                <c:formatCode>0.0</c:formatCode>
                <c:ptCount val="5"/>
                <c:pt idx="0">
                  <c:v>38.248994637009204</c:v>
                </c:pt>
                <c:pt idx="1">
                  <c:v>39.390453622631902</c:v>
                </c:pt>
                <c:pt idx="2">
                  <c:v>41.304609571170197</c:v>
                </c:pt>
                <c:pt idx="3">
                  <c:v>31.034886251689805</c:v>
                </c:pt>
                <c:pt idx="4">
                  <c:v>33.68338958462359</c:v>
                </c:pt>
              </c:numCache>
            </c:numRef>
          </c:val>
          <c:extLst>
            <c:ext xmlns:c16="http://schemas.microsoft.com/office/drawing/2014/chart" uri="{C3380CC4-5D6E-409C-BE32-E72D297353CC}">
              <c16:uniqueId val="{00000000-4C2C-4C04-9D3B-A425BFC815B1}"/>
            </c:ext>
          </c:extLst>
        </c:ser>
        <c:ser>
          <c:idx val="1"/>
          <c:order val="1"/>
          <c:tx>
            <c:strRef>
              <c:f>Sheet1!$A$3</c:f>
              <c:strCache>
                <c:ptCount val="1"/>
                <c:pt idx="0">
                  <c:v>Ապրանքների և ծառայությունների ներմուծում</c:v>
                </c:pt>
              </c:strCache>
            </c:strRef>
          </c:tx>
          <c:spPr>
            <a:solidFill>
              <a:srgbClr val="C00000"/>
            </a:solidFill>
            <a:ln>
              <a:solidFill>
                <a:srgbClr val="C00000"/>
              </a:solidFill>
              <a:headEnd type="none"/>
              <a:tailEnd type="none"/>
            </a:ln>
            <a:effectLst/>
          </c:spPr>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2017</c:v>
                </c:pt>
                <c:pt idx="1">
                  <c:v>2018</c:v>
                </c:pt>
                <c:pt idx="2">
                  <c:v>2019</c:v>
                </c:pt>
                <c:pt idx="3">
                  <c:v>2020*</c:v>
                </c:pt>
                <c:pt idx="4">
                  <c:v>2021*</c:v>
                </c:pt>
              </c:strCache>
            </c:strRef>
          </c:cat>
          <c:val>
            <c:numRef>
              <c:f>Sheet1!$B$3:$F$3</c:f>
              <c:numCache>
                <c:formatCode>0.0</c:formatCode>
                <c:ptCount val="5"/>
                <c:pt idx="0">
                  <c:v>49.018624636710904</c:v>
                </c:pt>
                <c:pt idx="1">
                  <c:v>53.054760649888529</c:v>
                </c:pt>
                <c:pt idx="2">
                  <c:v>54.696505171870513</c:v>
                </c:pt>
                <c:pt idx="3">
                  <c:v>43.387651327587974</c:v>
                </c:pt>
                <c:pt idx="4">
                  <c:v>47.005921058467592</c:v>
                </c:pt>
              </c:numCache>
            </c:numRef>
          </c:val>
          <c:extLst>
            <c:ext xmlns:c16="http://schemas.microsoft.com/office/drawing/2014/chart" uri="{C3380CC4-5D6E-409C-BE32-E72D297353CC}">
              <c16:uniqueId val="{00000001-4C2C-4C04-9D3B-A425BFC815B1}"/>
            </c:ext>
          </c:extLst>
        </c:ser>
        <c:dLbls>
          <c:showLegendKey val="0"/>
          <c:showVal val="0"/>
          <c:showCatName val="0"/>
          <c:showSerName val="0"/>
          <c:showPercent val="0"/>
          <c:showBubbleSize val="0"/>
        </c:dLbls>
        <c:gapWidth val="150"/>
        <c:axId val="243925376"/>
        <c:axId val="240036480"/>
      </c:barChart>
      <c:valAx>
        <c:axId val="240036480"/>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n-US"/>
          </a:p>
        </c:txPr>
        <c:crossAx val="243925376"/>
        <c:crosses val="autoZero"/>
        <c:crossBetween val="between"/>
        <c:majorUnit val="10"/>
      </c:valAx>
      <c:catAx>
        <c:axId val="243925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0036480"/>
        <c:crosses val="autoZero"/>
        <c:auto val="1"/>
        <c:lblAlgn val="ctr"/>
        <c:lblOffset val="100"/>
        <c:noMultiLvlLbl val="0"/>
      </c:catAx>
      <c:spPr>
        <a:solidFill>
          <a:schemeClr val="bg1"/>
        </a:solidFill>
        <a:ln>
          <a:noFill/>
        </a:ln>
        <a:effectLst/>
      </c:spPr>
    </c:plotArea>
    <c:legend>
      <c:legendPos val="b"/>
      <c:layout>
        <c:manualLayout>
          <c:xMode val="edge"/>
          <c:yMode val="edge"/>
          <c:x val="2.3948413133595012E-2"/>
          <c:y val="0.85107968646776433"/>
          <c:w val="0.92111602488045008"/>
          <c:h val="0.1400820565299374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6"/>
          <c:y val="7.7192982456140605E-2"/>
          <c:w val="0.85358700104683449"/>
          <c:h val="0.53218566100289999"/>
        </c:manualLayout>
      </c:layout>
      <c:lineChart>
        <c:grouping val="standard"/>
        <c:varyColors val="0"/>
        <c:ser>
          <c:idx val="0"/>
          <c:order val="0"/>
          <c:tx>
            <c:strRef>
              <c:f>Sheet1!$A$2</c:f>
              <c:strCache>
                <c:ptCount val="1"/>
                <c:pt idx="0">
                  <c:v>12 ամսյա փոփոխություն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0-F400-419E-811F-0BEBA2CBB25E}"/>
                </c:ext>
              </c:extLst>
            </c:dLbl>
            <c:dLbl>
              <c:idx val="2"/>
              <c:delete val="1"/>
              <c:extLst>
                <c:ext xmlns:c15="http://schemas.microsoft.com/office/drawing/2012/chart" uri="{CE6537A1-D6FC-4f65-9D91-7224C49458BB}"/>
                <c:ext xmlns:c16="http://schemas.microsoft.com/office/drawing/2014/chart" uri="{C3380CC4-5D6E-409C-BE32-E72D297353CC}">
                  <c16:uniqueId val="{00000001-F400-419E-811F-0BEBA2CBB25E}"/>
                </c:ext>
              </c:extLst>
            </c:dLbl>
            <c:dLbl>
              <c:idx val="3"/>
              <c:delete val="1"/>
              <c:extLst>
                <c:ext xmlns:c15="http://schemas.microsoft.com/office/drawing/2012/chart" uri="{CE6537A1-D6FC-4f65-9D91-7224C49458BB}"/>
                <c:ext xmlns:c16="http://schemas.microsoft.com/office/drawing/2014/chart" uri="{C3380CC4-5D6E-409C-BE32-E72D297353CC}">
                  <c16:uniqueId val="{00000002-F400-419E-811F-0BEBA2CBB25E}"/>
                </c:ext>
              </c:extLst>
            </c:dLbl>
            <c:dLbl>
              <c:idx val="4"/>
              <c:delete val="1"/>
              <c:extLst>
                <c:ext xmlns:c15="http://schemas.microsoft.com/office/drawing/2012/chart" uri="{CE6537A1-D6FC-4f65-9D91-7224C49458BB}"/>
                <c:ext xmlns:c16="http://schemas.microsoft.com/office/drawing/2014/chart" uri="{C3380CC4-5D6E-409C-BE32-E72D297353CC}">
                  <c16:uniqueId val="{00000003-F400-419E-811F-0BEBA2CBB25E}"/>
                </c:ext>
              </c:extLst>
            </c:dLbl>
            <c:dLbl>
              <c:idx val="5"/>
              <c:layout>
                <c:manualLayout>
                  <c:x val="-6.1657032755298671E-2"/>
                  <c:y val="-5.6140350877192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400-419E-811F-0BEBA2CBB25E}"/>
                </c:ext>
              </c:extLst>
            </c:dLbl>
            <c:dLbl>
              <c:idx val="6"/>
              <c:layout>
                <c:manualLayout>
                  <c:x val="-4.6242774566473972E-2"/>
                  <c:y val="-8.4210526315789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400-419E-811F-0BEBA2CBB25E}"/>
                </c:ext>
              </c:extLst>
            </c:dLbl>
            <c:dLbl>
              <c:idx val="7"/>
              <c:layout>
                <c:manualLayout>
                  <c:x val="-4.238921001926782E-2"/>
                  <c:y val="-5.6140350877192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400-419E-811F-0BEBA2CBB25E}"/>
                </c:ext>
              </c:extLst>
            </c:dLbl>
            <c:dLbl>
              <c:idx val="8"/>
              <c:layout>
                <c:manualLayout>
                  <c:x val="-3.4682080924855488E-2"/>
                  <c:y val="-5.61403508771929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400-419E-811F-0BEBA2CBB25E}"/>
                </c:ext>
              </c:extLst>
            </c:dLbl>
            <c:dLbl>
              <c:idx val="9"/>
              <c:layout>
                <c:manualLayout>
                  <c:x val="0"/>
                  <c:y val="-6.3157894736842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400-419E-811F-0BEBA2CBB25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հունվար</c:v>
                </c:pt>
                <c:pt idx="1">
                  <c:v>փետրվար</c:v>
                </c:pt>
                <c:pt idx="2">
                  <c:v>մարտ</c:v>
                </c:pt>
                <c:pt idx="3">
                  <c:v>ապրիլ</c:v>
                </c:pt>
                <c:pt idx="4">
                  <c:v>մայիս</c:v>
                </c:pt>
                <c:pt idx="5">
                  <c:v>հունիս</c:v>
                </c:pt>
                <c:pt idx="6">
                  <c:v>հուլիս</c:v>
                </c:pt>
                <c:pt idx="7">
                  <c:v>օգոստոս</c:v>
                </c:pt>
                <c:pt idx="8">
                  <c:v>սեպտեմբեր</c:v>
                </c:pt>
                <c:pt idx="9">
                  <c:v>Հոկտեմբեր</c:v>
                </c:pt>
              </c:strCache>
            </c:strRef>
          </c:cat>
          <c:val>
            <c:numRef>
              <c:f>Sheet1!$B$2:$K$2</c:f>
              <c:numCache>
                <c:formatCode>0.0</c:formatCode>
                <c:ptCount val="10"/>
                <c:pt idx="0">
                  <c:v>22.5</c:v>
                </c:pt>
                <c:pt idx="1">
                  <c:v>3.0999999999999943</c:v>
                </c:pt>
                <c:pt idx="2">
                  <c:v>-16.400000000000006</c:v>
                </c:pt>
                <c:pt idx="3">
                  <c:v>-29.5</c:v>
                </c:pt>
                <c:pt idx="4">
                  <c:v>-8.3000000000000025</c:v>
                </c:pt>
                <c:pt idx="5">
                  <c:v>-0.20000000000000284</c:v>
                </c:pt>
                <c:pt idx="6">
                  <c:v>-5.2999999999999972</c:v>
                </c:pt>
                <c:pt idx="7">
                  <c:v>-3.0999999999999943</c:v>
                </c:pt>
                <c:pt idx="8">
                  <c:v>5.2999999999999972</c:v>
                </c:pt>
                <c:pt idx="9">
                  <c:v>-5.4000000000000075</c:v>
                </c:pt>
              </c:numCache>
            </c:numRef>
          </c:val>
          <c:smooth val="0"/>
          <c:extLst>
            <c:ext xmlns:c16="http://schemas.microsoft.com/office/drawing/2014/chart" uri="{C3380CC4-5D6E-409C-BE32-E72D297353CC}">
              <c16:uniqueId val="{00000009-F400-419E-811F-0BEBA2CBB25E}"/>
            </c:ext>
          </c:extLst>
        </c:ser>
        <c:ser>
          <c:idx val="1"/>
          <c:order val="1"/>
          <c:tx>
            <c:strRef>
              <c:f>Sheet1!$A$3</c:f>
              <c:strCache>
                <c:ptCount val="1"/>
                <c:pt idx="0">
                  <c:v>Կուտակային փոփոխություն</c:v>
                </c:pt>
              </c:strCache>
            </c:strRef>
          </c:tx>
          <c:spPr>
            <a:ln>
              <a:solidFill>
                <a:srgbClr val="C00000"/>
              </a:solidFill>
            </a:ln>
          </c:spPr>
          <c:marker>
            <c:spPr>
              <a:solidFill>
                <a:srgbClr val="C00000"/>
              </a:solidFill>
              <a:ln>
                <a:solidFill>
                  <a:srgbClr val="C00000"/>
                </a:solidFill>
              </a:ln>
            </c:spPr>
          </c:marker>
          <c:dLbls>
            <c:dLbl>
              <c:idx val="2"/>
              <c:delete val="1"/>
              <c:extLst>
                <c:ext xmlns:c15="http://schemas.microsoft.com/office/drawing/2012/chart" uri="{CE6537A1-D6FC-4f65-9D91-7224C49458BB}"/>
                <c:ext xmlns:c16="http://schemas.microsoft.com/office/drawing/2014/chart" uri="{C3380CC4-5D6E-409C-BE32-E72D297353CC}">
                  <c16:uniqueId val="{0000000A-F400-419E-811F-0BEBA2CBB25E}"/>
                </c:ext>
              </c:extLst>
            </c:dLbl>
            <c:dLbl>
              <c:idx val="3"/>
              <c:layout>
                <c:manualLayout>
                  <c:x val="-2.3121387283236993E-2"/>
                  <c:y val="-4.21052631578947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00-419E-811F-0BEBA2CBB25E}"/>
                </c:ext>
              </c:extLst>
            </c:dLbl>
            <c:dLbl>
              <c:idx val="4"/>
              <c:layout>
                <c:manualLayout>
                  <c:x val="-1.5414258188824592E-2"/>
                  <c:y val="4.9122807017543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00-419E-811F-0BEBA2CBB25E}"/>
                </c:ext>
              </c:extLst>
            </c:dLbl>
            <c:dLbl>
              <c:idx val="5"/>
              <c:layout>
                <c:manualLayout>
                  <c:x val="-2.6974951830443159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00-419E-811F-0BEBA2CBB25E}"/>
                </c:ext>
              </c:extLst>
            </c:dLbl>
            <c:dLbl>
              <c:idx val="6"/>
              <c:layout>
                <c:manualLayout>
                  <c:x val="-3.0828516377649336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400-419E-811F-0BEBA2CBB25E}"/>
                </c:ext>
              </c:extLst>
            </c:dLbl>
            <c:dLbl>
              <c:idx val="7"/>
              <c:layout>
                <c:manualLayout>
                  <c:x val="-3.4682080924855488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00-419E-811F-0BEBA2CBB25E}"/>
                </c:ext>
              </c:extLst>
            </c:dLbl>
            <c:dLbl>
              <c:idx val="8"/>
              <c:layout>
                <c:manualLayout>
                  <c:x val="-4.238921001926782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00-419E-811F-0BEBA2CBB25E}"/>
                </c:ext>
              </c:extLst>
            </c:dLbl>
            <c:dLbl>
              <c:idx val="9"/>
              <c:layout>
                <c:manualLayout>
                  <c:x val="-2.3121387283236993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00-419E-811F-0BEBA2CBB25E}"/>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Sheet1!$B$1:$K$1</c:f>
              <c:strCache>
                <c:ptCount val="10"/>
                <c:pt idx="0">
                  <c:v>հունվար</c:v>
                </c:pt>
                <c:pt idx="1">
                  <c:v>փետրվար</c:v>
                </c:pt>
                <c:pt idx="2">
                  <c:v>մարտ</c:v>
                </c:pt>
                <c:pt idx="3">
                  <c:v>ապրիլ</c:v>
                </c:pt>
                <c:pt idx="4">
                  <c:v>մայիս</c:v>
                </c:pt>
                <c:pt idx="5">
                  <c:v>հունիս</c:v>
                </c:pt>
                <c:pt idx="6">
                  <c:v>հուլիս</c:v>
                </c:pt>
                <c:pt idx="7">
                  <c:v>օգոստոս</c:v>
                </c:pt>
                <c:pt idx="8">
                  <c:v>սեպտեմբեր</c:v>
                </c:pt>
                <c:pt idx="9">
                  <c:v>Հոկտեմբեր</c:v>
                </c:pt>
              </c:strCache>
            </c:strRef>
          </c:cat>
          <c:val>
            <c:numRef>
              <c:f>Sheet1!$B$3:$K$3</c:f>
              <c:numCache>
                <c:formatCode>0.0</c:formatCode>
                <c:ptCount val="10"/>
                <c:pt idx="0">
                  <c:v>22.499999999999986</c:v>
                </c:pt>
                <c:pt idx="1">
                  <c:v>11.416410395303036</c:v>
                </c:pt>
                <c:pt idx="2">
                  <c:v>0.81622800785825689</c:v>
                </c:pt>
                <c:pt idx="3">
                  <c:v>-7.6166501323238709</c:v>
                </c:pt>
                <c:pt idx="4">
                  <c:v>-7.7659620141109542</c:v>
                </c:pt>
                <c:pt idx="5">
                  <c:v>-6.3481629478368546</c:v>
                </c:pt>
                <c:pt idx="6">
                  <c:v>-6.1723857062036114</c:v>
                </c:pt>
                <c:pt idx="7">
                  <c:v>-5.7250487398667786</c:v>
                </c:pt>
                <c:pt idx="8">
                  <c:v>-4.3147350810041871</c:v>
                </c:pt>
                <c:pt idx="9">
                  <c:v>-4.4344456679931739</c:v>
                </c:pt>
              </c:numCache>
            </c:numRef>
          </c:val>
          <c:smooth val="0"/>
          <c:extLst>
            <c:ext xmlns:c16="http://schemas.microsoft.com/office/drawing/2014/chart" uri="{C3380CC4-5D6E-409C-BE32-E72D297353CC}">
              <c16:uniqueId val="{00000012-F400-419E-811F-0BEBA2CBB25E}"/>
            </c:ext>
          </c:extLst>
        </c:ser>
        <c:dLbls>
          <c:showLegendKey val="0"/>
          <c:showVal val="0"/>
          <c:showCatName val="0"/>
          <c:showSerName val="0"/>
          <c:showPercent val="0"/>
          <c:showBubbleSize val="0"/>
        </c:dLbls>
        <c:marker val="1"/>
        <c:smooth val="0"/>
        <c:axId val="244206208"/>
        <c:axId val="244228480"/>
      </c:lineChart>
      <c:catAx>
        <c:axId val="244206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4228480"/>
        <c:crosses val="autoZero"/>
        <c:auto val="1"/>
        <c:lblAlgn val="ctr"/>
        <c:lblOffset val="100"/>
        <c:noMultiLvlLbl val="0"/>
      </c:catAx>
      <c:valAx>
        <c:axId val="244228480"/>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4206208"/>
        <c:crosses val="autoZero"/>
        <c:crossBetween val="between"/>
        <c:majorUnit val="10"/>
      </c:valAx>
      <c:spPr>
        <a:noFill/>
        <a:ln>
          <a:noFill/>
        </a:ln>
        <a:effectLst/>
      </c:spPr>
    </c:plotArea>
    <c:legend>
      <c:legendPos val="b"/>
      <c:layout>
        <c:manualLayout>
          <c:xMode val="edge"/>
          <c:yMode val="edge"/>
          <c:x val="1.7440690881381768E-2"/>
          <c:y val="0.80522613620665839"/>
          <c:w val="0.97802150537634414"/>
          <c:h val="0.15266860063544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52192175627783854"/>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3.5292492463209917E-3"/>
                  <c:y val="-3.15184820647419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DD-4D61-8FDA-A3A496963F9C}"/>
                </c:ext>
              </c:extLst>
            </c:dLbl>
            <c:dLbl>
              <c:idx val="1"/>
              <c:layout>
                <c:manualLayout>
                  <c:x val="-2.1651349308890587E-2"/>
                  <c:y val="-4.4218613298337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DD-4D61-8FDA-A3A496963F9C}"/>
                </c:ext>
              </c:extLst>
            </c:dLbl>
            <c:dLbl>
              <c:idx val="2"/>
              <c:layout>
                <c:manualLayout>
                  <c:x val="-3.4272527079625893E-2"/>
                  <c:y val="-6.5051946631671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DD-4D61-8FDA-A3A496963F9C}"/>
                </c:ext>
              </c:extLst>
            </c:dLbl>
            <c:dLbl>
              <c:idx val="3"/>
              <c:layout>
                <c:manualLayout>
                  <c:x val="-6.9360246377871512E-2"/>
                  <c:y val="5.9948053368329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DD-4D61-8FDA-A3A496963F9C}"/>
                </c:ext>
              </c:extLst>
            </c:dLbl>
            <c:dLbl>
              <c:idx val="4"/>
              <c:layout>
                <c:manualLayout>
                  <c:x val="-6.4375807513224928E-2"/>
                  <c:y val="6.6892497812773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DD-4D61-8FDA-A3A496963F9C}"/>
                </c:ext>
              </c:extLst>
            </c:dLbl>
            <c:dLbl>
              <c:idx val="5"/>
              <c:layout>
                <c:manualLayout>
                  <c:x val="-6.9256884685079997E-2"/>
                  <c:y val="6.0307852143482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DD-4D61-8FDA-A3A496963F9C}"/>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DD-4D61-8FDA-A3A496963F9C}"/>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DD-4D61-8FDA-A3A496963F9C}"/>
                </c:ext>
              </c:extLst>
            </c:dLbl>
            <c:dLbl>
              <c:idx val="8"/>
              <c:layout>
                <c:manualLayout>
                  <c:x val="-4.0763511372223997E-2"/>
                  <c:y val="6.7466097987751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DD-4D61-8FDA-A3A496963F9C}"/>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Sheet1!$B$2:$J$2</c:f>
              <c:numCache>
                <c:formatCode>0.0</c:formatCode>
                <c:ptCount val="9"/>
                <c:pt idx="0">
                  <c:v>19.885675086609361</c:v>
                </c:pt>
                <c:pt idx="1">
                  <c:v>9.1877986710330486</c:v>
                </c:pt>
                <c:pt idx="2">
                  <c:v>2.0200304783728602</c:v>
                </c:pt>
                <c:pt idx="3">
                  <c:v>-6.2641499615951073</c:v>
                </c:pt>
                <c:pt idx="4">
                  <c:v>-6.6656202664939856</c:v>
                </c:pt>
                <c:pt idx="5">
                  <c:v>-5.936281601582893</c:v>
                </c:pt>
                <c:pt idx="6">
                  <c:v>-6.7918452391082393</c:v>
                </c:pt>
                <c:pt idx="7">
                  <c:v>-6.7788252542252678</c:v>
                </c:pt>
                <c:pt idx="8">
                  <c:v>-5.5965820097326864</c:v>
                </c:pt>
              </c:numCache>
            </c:numRef>
          </c:val>
          <c:smooth val="0"/>
          <c:extLst>
            <c:ext xmlns:c16="http://schemas.microsoft.com/office/drawing/2014/chart" uri="{C3380CC4-5D6E-409C-BE32-E72D297353CC}">
              <c16:uniqueId val="{00000009-E3DD-4D61-8FDA-A3A496963F9C}"/>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Sheet1!$B$3:$J$3</c:f>
              <c:numCache>
                <c:formatCode>0.0</c:formatCode>
                <c:ptCount val="9"/>
                <c:pt idx="0">
                  <c:v>2.0928184897064437</c:v>
                </c:pt>
                <c:pt idx="1">
                  <c:v>1.9910393258365677</c:v>
                </c:pt>
                <c:pt idx="2">
                  <c:v>-1.2026907524868444</c:v>
                </c:pt>
                <c:pt idx="3">
                  <c:v>-1.4538056384508873</c:v>
                </c:pt>
                <c:pt idx="4">
                  <c:v>-1.1854779876294259</c:v>
                </c:pt>
                <c:pt idx="5">
                  <c:v>-0.44498202291839561</c:v>
                </c:pt>
                <c:pt idx="6">
                  <c:v>0.66753162987143355</c:v>
                </c:pt>
                <c:pt idx="7">
                  <c:v>1.1380707827005101</c:v>
                </c:pt>
                <c:pt idx="8">
                  <c:v>1.2697391240430562</c:v>
                </c:pt>
              </c:numCache>
            </c:numRef>
          </c:val>
          <c:smooth val="0"/>
          <c:extLst>
            <c:ext xmlns:c16="http://schemas.microsoft.com/office/drawing/2014/chart" uri="{C3380CC4-5D6E-409C-BE32-E72D297353CC}">
              <c16:uniqueId val="{0000000A-E3DD-4D61-8FDA-A3A496963F9C}"/>
            </c:ext>
          </c:extLst>
        </c:ser>
        <c:dLbls>
          <c:showLegendKey val="0"/>
          <c:showVal val="0"/>
          <c:showCatName val="0"/>
          <c:showSerName val="0"/>
          <c:showPercent val="0"/>
          <c:showBubbleSize val="0"/>
        </c:dLbls>
        <c:marker val="1"/>
        <c:smooth val="0"/>
        <c:axId val="246470912"/>
        <c:axId val="248058240"/>
      </c:lineChart>
      <c:catAx>
        <c:axId val="2464709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8058240"/>
        <c:crosses val="autoZero"/>
        <c:auto val="1"/>
        <c:lblAlgn val="ctr"/>
        <c:lblOffset val="100"/>
        <c:noMultiLvlLbl val="0"/>
      </c:catAx>
      <c:valAx>
        <c:axId val="248058240"/>
        <c:scaling>
          <c:orientation val="minMax"/>
          <c:max val="25"/>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6470912"/>
        <c:crosses val="autoZero"/>
        <c:crossBetween val="between"/>
        <c:majorUnit val="10"/>
      </c:valAx>
      <c:spPr>
        <a:noFill/>
        <a:ln>
          <a:noFill/>
        </a:ln>
        <a:effectLst/>
      </c:spPr>
    </c:plotArea>
    <c:legend>
      <c:legendPos val="b"/>
      <c:layout>
        <c:manualLayout>
          <c:xMode val="edge"/>
          <c:yMode val="edge"/>
          <c:x val="1.290348140444713E-2"/>
          <c:y val="0.77859664093712422"/>
          <c:w val="0.95869985292086213"/>
          <c:h val="0.187681884592012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Sheet1!$B$2:$J$2</c:f>
              <c:numCache>
                <c:formatCode>0.0</c:formatCode>
                <c:ptCount val="9"/>
                <c:pt idx="0">
                  <c:v>5.2970640985983835</c:v>
                </c:pt>
                <c:pt idx="1">
                  <c:v>-0.61882603703583094</c:v>
                </c:pt>
                <c:pt idx="2">
                  <c:v>-4.1014559796523695</c:v>
                </c:pt>
                <c:pt idx="3">
                  <c:v>-9.6670349540168168</c:v>
                </c:pt>
                <c:pt idx="4">
                  <c:v>-12.196178446093562</c:v>
                </c:pt>
                <c:pt idx="5">
                  <c:v>-12.324011164131273</c:v>
                </c:pt>
                <c:pt idx="6">
                  <c:v>-13.102750913428171</c:v>
                </c:pt>
                <c:pt idx="7">
                  <c:v>-11.607733022678914</c:v>
                </c:pt>
                <c:pt idx="8">
                  <c:v>-12.622750203753014</c:v>
                </c:pt>
              </c:numCache>
            </c:numRef>
          </c:val>
          <c:smooth val="0"/>
          <c:extLst>
            <c:ext xmlns:c16="http://schemas.microsoft.com/office/drawing/2014/chart" uri="{C3380CC4-5D6E-409C-BE32-E72D297353CC}">
              <c16:uniqueId val="{00000000-B6F5-48D8-AD0A-0C2F33D49EE1}"/>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Sheet1!$B$3:$J$3</c:f>
              <c:numCache>
                <c:formatCode>0.0</c:formatCode>
                <c:ptCount val="9"/>
                <c:pt idx="0">
                  <c:v>-1.6833167164980698</c:v>
                </c:pt>
                <c:pt idx="1">
                  <c:v>0.97922863509825242</c:v>
                </c:pt>
                <c:pt idx="2">
                  <c:v>-6.4397257877445269E-2</c:v>
                </c:pt>
                <c:pt idx="3">
                  <c:v>-0.75304595333331337</c:v>
                </c:pt>
                <c:pt idx="4">
                  <c:v>-0.27085183167069726</c:v>
                </c:pt>
                <c:pt idx="5">
                  <c:v>-0.44978913508936108</c:v>
                </c:pt>
                <c:pt idx="6">
                  <c:v>-0.5204661143815057</c:v>
                </c:pt>
                <c:pt idx="7">
                  <c:v>-1.1387041453480293</c:v>
                </c:pt>
                <c:pt idx="8">
                  <c:v>-1.2295554302907736</c:v>
                </c:pt>
              </c:numCache>
            </c:numRef>
          </c:val>
          <c:smooth val="0"/>
          <c:extLst>
            <c:ext xmlns:c16="http://schemas.microsoft.com/office/drawing/2014/chart" uri="{C3380CC4-5D6E-409C-BE32-E72D297353CC}">
              <c16:uniqueId val="{00000001-B6F5-48D8-AD0A-0C2F33D49EE1}"/>
            </c:ext>
          </c:extLst>
        </c:ser>
        <c:dLbls>
          <c:showLegendKey val="0"/>
          <c:showVal val="0"/>
          <c:showCatName val="0"/>
          <c:showSerName val="0"/>
          <c:showPercent val="0"/>
          <c:showBubbleSize val="0"/>
        </c:dLbls>
        <c:marker val="1"/>
        <c:smooth val="0"/>
        <c:axId val="248088832"/>
        <c:axId val="248091008"/>
      </c:lineChart>
      <c:catAx>
        <c:axId val="2480888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8091008"/>
        <c:crosses val="autoZero"/>
        <c:auto val="1"/>
        <c:lblAlgn val="ctr"/>
        <c:lblOffset val="100"/>
        <c:noMultiLvlLbl val="0"/>
      </c:catAx>
      <c:valAx>
        <c:axId val="248091008"/>
        <c:scaling>
          <c:orientation val="minMax"/>
          <c:max val="10"/>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8088832"/>
        <c:crosses val="autoZero"/>
        <c:crossBetween val="between"/>
        <c:majorUnit val="5"/>
      </c:valAx>
      <c:spPr>
        <a:noFill/>
        <a:ln>
          <a:noFill/>
        </a:ln>
        <a:effectLst/>
      </c:spPr>
    </c:plotArea>
    <c:legend>
      <c:legendPos val="b"/>
      <c:layout>
        <c:manualLayout>
          <c:xMode val="edge"/>
          <c:yMode val="edge"/>
          <c:x val="3.9658303581617586E-2"/>
          <c:y val="0.84919510061242365"/>
          <c:w val="0.83083600954714498"/>
          <c:h val="0.15080489938757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6147099259686"/>
          <c:y val="0.12727272727272718"/>
          <c:w val="0.82715542910077555"/>
          <c:h val="0.45733767572247197"/>
        </c:manualLayout>
      </c:layout>
      <c:barChart>
        <c:barDir val="col"/>
        <c:grouping val="clustered"/>
        <c:varyColors val="0"/>
        <c:ser>
          <c:idx val="1"/>
          <c:order val="1"/>
          <c:tx>
            <c:strRef>
              <c:f>Sheet1!$C$1</c:f>
              <c:strCache>
                <c:ptCount val="1"/>
                <c:pt idx="0">
                  <c:v>Արտահանում</c:v>
                </c:pt>
              </c:strCache>
            </c:strRef>
          </c:tx>
          <c:spPr>
            <a:solidFill>
              <a:schemeClr val="accent2"/>
            </a:solidFill>
            <a:ln>
              <a:no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Sheet1!$C$2:$C$6</c:f>
              <c:numCache>
                <c:formatCode>#,##0.0;"–"#,##0.0</c:formatCode>
                <c:ptCount val="5"/>
                <c:pt idx="0">
                  <c:v>5.4489999999999998</c:v>
                </c:pt>
                <c:pt idx="1">
                  <c:v>3.7</c:v>
                </c:pt>
                <c:pt idx="2">
                  <c:v>1.1379999999999995</c:v>
                </c:pt>
                <c:pt idx="3">
                  <c:v>-10.148999999999999</c:v>
                </c:pt>
                <c:pt idx="4">
                  <c:v>7.9130000000000003</c:v>
                </c:pt>
              </c:numCache>
            </c:numRef>
          </c:val>
          <c:extLst>
            <c:ext xmlns:c16="http://schemas.microsoft.com/office/drawing/2014/chart" uri="{C3380CC4-5D6E-409C-BE32-E72D297353CC}">
              <c16:uniqueId val="{00000000-ABCA-4B8D-A5BB-946B4A4080A6}"/>
            </c:ext>
          </c:extLst>
        </c:ser>
        <c:ser>
          <c:idx val="2"/>
          <c:order val="2"/>
          <c:tx>
            <c:strRef>
              <c:f>Sheet1!$D$1</c:f>
              <c:strCache>
                <c:ptCount val="1"/>
                <c:pt idx="0">
                  <c:v>Ներմուծում</c:v>
                </c:pt>
              </c:strCache>
            </c:strRef>
          </c:tx>
          <c:spPr>
            <a:solidFill>
              <a:srgbClr val="0070C0"/>
            </a:solidFill>
            <a:ln>
              <a:solidFill>
                <a:schemeClr val="accent1"/>
              </a:solidFill>
            </a:ln>
            <a:effectLst/>
          </c:spPr>
          <c:invertIfNegative val="0"/>
          <c:cat>
            <c:numRef>
              <c:f>Sheet1!$A$2:$A$6</c:f>
              <c:numCache>
                <c:formatCode>General</c:formatCode>
                <c:ptCount val="5"/>
                <c:pt idx="0">
                  <c:v>2017</c:v>
                </c:pt>
                <c:pt idx="1">
                  <c:v>2018</c:v>
                </c:pt>
                <c:pt idx="2">
                  <c:v>2019</c:v>
                </c:pt>
                <c:pt idx="3">
                  <c:v>2020</c:v>
                </c:pt>
                <c:pt idx="4">
                  <c:v>2021</c:v>
                </c:pt>
              </c:numCache>
            </c:numRef>
          </c:cat>
          <c:val>
            <c:numRef>
              <c:f>Sheet1!$D$2:$D$6</c:f>
              <c:numCache>
                <c:formatCode>#,##0.0;"–"#,##0.0</c:formatCode>
                <c:ptCount val="5"/>
                <c:pt idx="0">
                  <c:v>5.7610000000000001</c:v>
                </c:pt>
                <c:pt idx="1">
                  <c:v>4.0730000000000004</c:v>
                </c:pt>
                <c:pt idx="2">
                  <c:v>0.8520000000000002</c:v>
                </c:pt>
                <c:pt idx="3">
                  <c:v>-10.699</c:v>
                </c:pt>
                <c:pt idx="4">
                  <c:v>8.6550000000000029</c:v>
                </c:pt>
              </c:numCache>
            </c:numRef>
          </c:val>
          <c:extLst>
            <c:ext xmlns:c16="http://schemas.microsoft.com/office/drawing/2014/chart" uri="{C3380CC4-5D6E-409C-BE32-E72D297353CC}">
              <c16:uniqueId val="{00000001-ABCA-4B8D-A5BB-946B4A4080A6}"/>
            </c:ext>
          </c:extLst>
        </c:ser>
        <c:dLbls>
          <c:showLegendKey val="0"/>
          <c:showVal val="0"/>
          <c:showCatName val="0"/>
          <c:showSerName val="0"/>
          <c:showPercent val="0"/>
          <c:showBubbleSize val="0"/>
        </c:dLbls>
        <c:gapWidth val="150"/>
        <c:axId val="138999680"/>
        <c:axId val="144130432"/>
      </c:barChart>
      <c:lineChart>
        <c:grouping val="standard"/>
        <c:varyColors val="0"/>
        <c:ser>
          <c:idx val="0"/>
          <c:order val="0"/>
          <c:tx>
            <c:strRef>
              <c:f>Sheet1!$B$1</c:f>
              <c:strCache>
                <c:ptCount val="1"/>
                <c:pt idx="0">
                  <c:v>Առևտրաշրջանառություն</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2017</c:v>
                </c:pt>
                <c:pt idx="1">
                  <c:v>2018</c:v>
                </c:pt>
                <c:pt idx="2">
                  <c:v>2019</c:v>
                </c:pt>
                <c:pt idx="3">
                  <c:v>2020</c:v>
                </c:pt>
                <c:pt idx="4">
                  <c:v>2021</c:v>
                </c:pt>
              </c:numCache>
            </c:numRef>
          </c:cat>
          <c:val>
            <c:numRef>
              <c:f>Sheet1!$B$2:$B$6</c:f>
              <c:numCache>
                <c:formatCode>#,##0.0;"–"#,##0.0</c:formatCode>
                <c:ptCount val="5"/>
                <c:pt idx="0">
                  <c:v>5.6039999999999983</c:v>
                </c:pt>
                <c:pt idx="1">
                  <c:v>3.8859999999999997</c:v>
                </c:pt>
                <c:pt idx="2">
                  <c:v>0.995</c:v>
                </c:pt>
                <c:pt idx="3">
                  <c:v>-10.423</c:v>
                </c:pt>
                <c:pt idx="4">
                  <c:v>8.2810000000000006</c:v>
                </c:pt>
              </c:numCache>
            </c:numRef>
          </c:val>
          <c:smooth val="0"/>
          <c:extLst>
            <c:ext xmlns:c16="http://schemas.microsoft.com/office/drawing/2014/chart" uri="{C3380CC4-5D6E-409C-BE32-E72D297353CC}">
              <c16:uniqueId val="{00000002-ABCA-4B8D-A5BB-946B4A4080A6}"/>
            </c:ext>
          </c:extLst>
        </c:ser>
        <c:dLbls>
          <c:showLegendKey val="0"/>
          <c:showVal val="0"/>
          <c:showCatName val="0"/>
          <c:showSerName val="0"/>
          <c:showPercent val="0"/>
          <c:showBubbleSize val="0"/>
        </c:dLbls>
        <c:marker val="1"/>
        <c:smooth val="0"/>
        <c:axId val="138999680"/>
        <c:axId val="144130432"/>
      </c:lineChart>
      <c:catAx>
        <c:axId val="1389996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130432"/>
        <c:crosses val="autoZero"/>
        <c:auto val="1"/>
        <c:lblAlgn val="ctr"/>
        <c:lblOffset val="100"/>
        <c:noMultiLvlLbl val="0"/>
      </c:catAx>
      <c:valAx>
        <c:axId val="144130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99680"/>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4.6399353926912981E-2"/>
          <c:y val="0.80366684530925769"/>
          <c:w val="0.9400150504156628"/>
          <c:h val="0.1938294100671971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400231947783"/>
          <c:y val="6.636500754147813E-2"/>
          <c:w val="0.8241503387657938"/>
          <c:h val="0.59055021348137959"/>
        </c:manualLayout>
      </c:layout>
      <c:lineChart>
        <c:grouping val="standard"/>
        <c:varyColors val="0"/>
        <c:ser>
          <c:idx val="0"/>
          <c:order val="0"/>
          <c:tx>
            <c:strRef>
              <c:f>Sheet1!$A$2</c:f>
              <c:strCache>
                <c:ptCount val="1"/>
                <c:pt idx="0">
                  <c:v>12 ամսյա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Sheet1!$B$1:$K$1</c:f>
              <c:strCache>
                <c:ptCount val="10"/>
                <c:pt idx="0">
                  <c:v>հունվար</c:v>
                </c:pt>
                <c:pt idx="1">
                  <c:v>փետրվար</c:v>
                </c:pt>
                <c:pt idx="2">
                  <c:v>մարտ</c:v>
                </c:pt>
                <c:pt idx="3">
                  <c:v>ապրիլ</c:v>
                </c:pt>
                <c:pt idx="4">
                  <c:v>մայիս</c:v>
                </c:pt>
                <c:pt idx="5">
                  <c:v>հունիս</c:v>
                </c:pt>
                <c:pt idx="6">
                  <c:v>հուլիս </c:v>
                </c:pt>
                <c:pt idx="7">
                  <c:v>օգոստոս</c:v>
                </c:pt>
                <c:pt idx="8">
                  <c:v>սեպտեմբեր</c:v>
                </c:pt>
                <c:pt idx="9">
                  <c:v>Հոկտեմբեր</c:v>
                </c:pt>
              </c:strCache>
            </c:strRef>
          </c:cat>
          <c:val>
            <c:numRef>
              <c:f>Sheet1!$B$2:$K$2</c:f>
              <c:numCache>
                <c:formatCode>0.0</c:formatCode>
                <c:ptCount val="10"/>
                <c:pt idx="0">
                  <c:v>3.4000000000000057</c:v>
                </c:pt>
                <c:pt idx="1">
                  <c:v>-2.0999999999999943</c:v>
                </c:pt>
                <c:pt idx="2">
                  <c:v>-11.599999999999998</c:v>
                </c:pt>
                <c:pt idx="3">
                  <c:v>-26.79999999999999</c:v>
                </c:pt>
                <c:pt idx="4">
                  <c:v>-20.29999999999999</c:v>
                </c:pt>
                <c:pt idx="5">
                  <c:v>-14.099999999999998</c:v>
                </c:pt>
                <c:pt idx="6">
                  <c:v>-17.900000000000006</c:v>
                </c:pt>
                <c:pt idx="7">
                  <c:v>-3.2999999999999972</c:v>
                </c:pt>
                <c:pt idx="8">
                  <c:v>-21.599999999999987</c:v>
                </c:pt>
                <c:pt idx="9">
                  <c:v>-24.29999999999999</c:v>
                </c:pt>
              </c:numCache>
            </c:numRef>
          </c:val>
          <c:smooth val="0"/>
          <c:extLst>
            <c:ext xmlns:c16="http://schemas.microsoft.com/office/drawing/2014/chart" uri="{C3380CC4-5D6E-409C-BE32-E72D297353CC}">
              <c16:uniqueId val="{00000000-DAAB-49F1-8383-8491281070C1}"/>
            </c:ext>
          </c:extLst>
        </c:ser>
        <c:ser>
          <c:idx val="1"/>
          <c:order val="1"/>
          <c:tx>
            <c:strRef>
              <c:f>Sheet1!$A$3</c:f>
              <c:strCache>
                <c:ptCount val="1"/>
                <c:pt idx="0">
                  <c:v>Կուտակային փոփոխություն</c:v>
                </c:pt>
              </c:strCache>
            </c:strRef>
          </c:tx>
          <c:spPr>
            <a:ln>
              <a:solidFill>
                <a:srgbClr val="C00000"/>
              </a:solidFill>
            </a:ln>
          </c:spPr>
          <c:marker>
            <c:spPr>
              <a:solidFill>
                <a:srgbClr val="C00000"/>
              </a:solidFill>
              <a:ln>
                <a:solidFill>
                  <a:srgbClr val="C0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Sheet1!$B$1:$K$1</c:f>
              <c:strCache>
                <c:ptCount val="10"/>
                <c:pt idx="0">
                  <c:v>հունվար</c:v>
                </c:pt>
                <c:pt idx="1">
                  <c:v>փետրվար</c:v>
                </c:pt>
                <c:pt idx="2">
                  <c:v>մարտ</c:v>
                </c:pt>
                <c:pt idx="3">
                  <c:v>ապրիլ</c:v>
                </c:pt>
                <c:pt idx="4">
                  <c:v>մայիս</c:v>
                </c:pt>
                <c:pt idx="5">
                  <c:v>հունիս</c:v>
                </c:pt>
                <c:pt idx="6">
                  <c:v>հուլիս </c:v>
                </c:pt>
                <c:pt idx="7">
                  <c:v>օգոստոս</c:v>
                </c:pt>
                <c:pt idx="8">
                  <c:v>սեպտեմբեր</c:v>
                </c:pt>
                <c:pt idx="9">
                  <c:v>Հոկտեմբեր</c:v>
                </c:pt>
              </c:strCache>
            </c:strRef>
          </c:cat>
          <c:val>
            <c:numRef>
              <c:f>Sheet1!$B$3:$K$3</c:f>
              <c:numCache>
                <c:formatCode>0.0</c:formatCode>
                <c:ptCount val="10"/>
                <c:pt idx="0">
                  <c:v>3.4334736160569861</c:v>
                </c:pt>
                <c:pt idx="1">
                  <c:v>0.34478208954264766</c:v>
                </c:pt>
                <c:pt idx="2">
                  <c:v>-4.1722577258128863</c:v>
                </c:pt>
                <c:pt idx="3">
                  <c:v>-10.354242462408369</c:v>
                </c:pt>
                <c:pt idx="4">
                  <c:v>-12.4508225605924</c:v>
                </c:pt>
                <c:pt idx="5">
                  <c:v>-12.754745541486686</c:v>
                </c:pt>
                <c:pt idx="6">
                  <c:v>-13.611155403517085</c:v>
                </c:pt>
                <c:pt idx="7">
                  <c:v>-12.24145726273785</c:v>
                </c:pt>
                <c:pt idx="8">
                  <c:v>-13.534737676171073</c:v>
                </c:pt>
                <c:pt idx="9">
                  <c:v>-14.896554420692539</c:v>
                </c:pt>
              </c:numCache>
            </c:numRef>
          </c:val>
          <c:smooth val="0"/>
          <c:extLst>
            <c:ext xmlns:c16="http://schemas.microsoft.com/office/drawing/2014/chart" uri="{C3380CC4-5D6E-409C-BE32-E72D297353CC}">
              <c16:uniqueId val="{00000001-DAAB-49F1-8383-8491281070C1}"/>
            </c:ext>
          </c:extLst>
        </c:ser>
        <c:dLbls>
          <c:showLegendKey val="0"/>
          <c:showVal val="0"/>
          <c:showCatName val="0"/>
          <c:showSerName val="0"/>
          <c:showPercent val="0"/>
          <c:showBubbleSize val="0"/>
        </c:dLbls>
        <c:marker val="1"/>
        <c:smooth val="0"/>
        <c:axId val="248155520"/>
        <c:axId val="248173696"/>
      </c:lineChart>
      <c:catAx>
        <c:axId val="2481555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8173696"/>
        <c:crosses val="autoZero"/>
        <c:auto val="1"/>
        <c:lblAlgn val="ctr"/>
        <c:lblOffset val="100"/>
        <c:noMultiLvlLbl val="0"/>
      </c:catAx>
      <c:valAx>
        <c:axId val="248173696"/>
        <c:scaling>
          <c:orientation val="minMax"/>
          <c:max val="1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48155520"/>
        <c:crosses val="autoZero"/>
        <c:crossBetween val="between"/>
        <c:majorUnit val="10"/>
      </c:valAx>
      <c:spPr>
        <a:noFill/>
        <a:ln>
          <a:noFill/>
        </a:ln>
        <a:effectLst/>
      </c:spPr>
    </c:plotArea>
    <c:legend>
      <c:legendPos val="b"/>
      <c:layout>
        <c:manualLayout>
          <c:xMode val="edge"/>
          <c:yMode val="edge"/>
          <c:x val="0"/>
          <c:y val="0.82552036199094836"/>
          <c:w val="1"/>
          <c:h val="0.146048823543074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7462150075816"/>
          <c:y val="9.8556430446194623E-2"/>
          <c:w val="0.85282510140778012"/>
          <c:h val="0.74838039641596521"/>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Sheet1!$B$1:$I$1</c:f>
              <c:strCache>
                <c:ptCount val="8"/>
                <c:pt idx="0">
                  <c:v>2008</c:v>
                </c:pt>
                <c:pt idx="1">
                  <c:v>2009</c:v>
                </c:pt>
                <c:pt idx="2">
                  <c:v>2010</c:v>
                </c:pt>
                <c:pt idx="3">
                  <c:v>2017</c:v>
                </c:pt>
                <c:pt idx="4">
                  <c:v>2018</c:v>
                </c:pt>
                <c:pt idx="5">
                  <c:v>2019</c:v>
                </c:pt>
                <c:pt idx="6">
                  <c:v>2020</c:v>
                </c:pt>
                <c:pt idx="7">
                  <c:v>2021</c:v>
                </c:pt>
              </c:strCache>
            </c:strRef>
          </c:cat>
          <c:val>
            <c:numRef>
              <c:f>Sheet1!$B$2:$I$2</c:f>
              <c:numCache>
                <c:formatCode>#,##0.0</c:formatCode>
                <c:ptCount val="8"/>
                <c:pt idx="0">
                  <c:v>43.484016626524422</c:v>
                </c:pt>
                <c:pt idx="1">
                  <c:v>45.392875331824257</c:v>
                </c:pt>
                <c:pt idx="3" formatCode="0.0">
                  <c:v>49.018624636710904</c:v>
                </c:pt>
                <c:pt idx="4" formatCode="0.0">
                  <c:v>53.054760649888529</c:v>
                </c:pt>
                <c:pt idx="5" formatCode="0.0">
                  <c:v>54.696505171870513</c:v>
                </c:pt>
                <c:pt idx="6" formatCode="0.0">
                  <c:v>43.387651327587974</c:v>
                </c:pt>
                <c:pt idx="7" formatCode="0.0">
                  <c:v>47.005921058467592</c:v>
                </c:pt>
              </c:numCache>
            </c:numRef>
          </c:val>
          <c:extLst>
            <c:ext xmlns:c16="http://schemas.microsoft.com/office/drawing/2014/chart" uri="{C3380CC4-5D6E-409C-BE32-E72D297353CC}">
              <c16:uniqueId val="{00000000-944D-432B-B93F-74733D858423}"/>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Sheet1!$B$1:$I$1</c:f>
              <c:strCache>
                <c:ptCount val="8"/>
                <c:pt idx="0">
                  <c:v>2008</c:v>
                </c:pt>
                <c:pt idx="1">
                  <c:v>2009</c:v>
                </c:pt>
                <c:pt idx="2">
                  <c:v>2010</c:v>
                </c:pt>
                <c:pt idx="3">
                  <c:v>2017</c:v>
                </c:pt>
                <c:pt idx="4">
                  <c:v>2018</c:v>
                </c:pt>
                <c:pt idx="5">
                  <c:v>2019</c:v>
                </c:pt>
                <c:pt idx="6">
                  <c:v>2020</c:v>
                </c:pt>
                <c:pt idx="7">
                  <c:v>2021</c:v>
                </c:pt>
              </c:strCache>
            </c:strRef>
          </c:cat>
          <c:val>
            <c:numRef>
              <c:f>Sheet1!$B$3:$I$3</c:f>
              <c:numCache>
                <c:formatCode>#,##0.0</c:formatCode>
                <c:ptCount val="8"/>
                <c:pt idx="0">
                  <c:v>30.857488421341344</c:v>
                </c:pt>
                <c:pt idx="1">
                  <c:v>-22.589336831770666</c:v>
                </c:pt>
                <c:pt idx="3" formatCode="0.0">
                  <c:v>26.412123233885989</c:v>
                </c:pt>
                <c:pt idx="4" formatCode="0.0">
                  <c:v>16.97076225064837</c:v>
                </c:pt>
                <c:pt idx="5" formatCode="0.0">
                  <c:v>13.011374467138772</c:v>
                </c:pt>
                <c:pt idx="6" formatCode="0.0">
                  <c:v>-27.619005123551688</c:v>
                </c:pt>
                <c:pt idx="7" formatCode="0.0">
                  <c:v>9.2120466708132973</c:v>
                </c:pt>
              </c:numCache>
            </c:numRef>
          </c:val>
          <c:extLst>
            <c:ext xmlns:c16="http://schemas.microsoft.com/office/drawing/2014/chart" uri="{C3380CC4-5D6E-409C-BE32-E72D297353CC}">
              <c16:uniqueId val="{00000001-944D-432B-B93F-74733D858423}"/>
            </c:ext>
          </c:extLst>
        </c:ser>
        <c:dLbls>
          <c:showLegendKey val="0"/>
          <c:showVal val="0"/>
          <c:showCatName val="0"/>
          <c:showSerName val="0"/>
          <c:showPercent val="0"/>
          <c:showBubbleSize val="0"/>
        </c:dLbls>
        <c:gapWidth val="150"/>
        <c:axId val="254709120"/>
        <c:axId val="254715008"/>
      </c:barChart>
      <c:catAx>
        <c:axId val="2547091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4715008"/>
        <c:crosses val="autoZero"/>
        <c:auto val="1"/>
        <c:lblAlgn val="ctr"/>
        <c:lblOffset val="100"/>
        <c:noMultiLvlLbl val="0"/>
      </c:catAx>
      <c:valAx>
        <c:axId val="254715008"/>
        <c:scaling>
          <c:orientation val="minMax"/>
          <c:max val="6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4709120"/>
        <c:crosses val="autoZero"/>
        <c:crossBetween val="between"/>
        <c:majorUnit val="20"/>
      </c:valAx>
      <c:spPr>
        <a:noFill/>
        <a:ln>
          <a:noFill/>
        </a:ln>
        <a:effectLst/>
      </c:spPr>
    </c:plotArea>
    <c:legend>
      <c:legendPos val="b"/>
      <c:layout>
        <c:manualLayout>
          <c:xMode val="edge"/>
          <c:yMode val="edge"/>
          <c:x val="4.9999900955776971E-2"/>
          <c:y val="0.9160701503221188"/>
          <c:w val="0.92515703461595589"/>
          <c:h val="8.392984967788157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26771653564"/>
          <c:y val="9.1389048471945289E-2"/>
          <c:w val="0.89352514220179968"/>
          <c:h val="0.74930440561882716"/>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Sheet1!$B$1:$I$1</c:f>
              <c:strCache>
                <c:ptCount val="8"/>
                <c:pt idx="0">
                  <c:v>2008</c:v>
                </c:pt>
                <c:pt idx="1">
                  <c:v>2009</c:v>
                </c:pt>
                <c:pt idx="2">
                  <c:v>2010</c:v>
                </c:pt>
                <c:pt idx="3">
                  <c:v>2017</c:v>
                </c:pt>
                <c:pt idx="4">
                  <c:v>2018</c:v>
                </c:pt>
                <c:pt idx="5">
                  <c:v>2019</c:v>
                </c:pt>
                <c:pt idx="6">
                  <c:v>2020</c:v>
                </c:pt>
                <c:pt idx="7">
                  <c:v>2021</c:v>
                </c:pt>
              </c:strCache>
            </c:strRef>
          </c:cat>
          <c:val>
            <c:numRef>
              <c:f>Sheet1!$B$2:$I$2</c:f>
              <c:numCache>
                <c:formatCode>#,##0.0</c:formatCode>
                <c:ptCount val="8"/>
                <c:pt idx="0">
                  <c:v>16.666308597664628</c:v>
                </c:pt>
                <c:pt idx="1">
                  <c:v>18.030732932534878</c:v>
                </c:pt>
                <c:pt idx="3" formatCode="0.0">
                  <c:v>38.248994637009204</c:v>
                </c:pt>
                <c:pt idx="4" formatCode="0.0">
                  <c:v>39.390453622631902</c:v>
                </c:pt>
                <c:pt idx="5" formatCode="0.0">
                  <c:v>41.304609571170197</c:v>
                </c:pt>
                <c:pt idx="6" formatCode="0.0">
                  <c:v>31.034886251689805</c:v>
                </c:pt>
                <c:pt idx="7" formatCode="0.0">
                  <c:v>33.68338958462359</c:v>
                </c:pt>
              </c:numCache>
            </c:numRef>
          </c:val>
          <c:extLst>
            <c:ext xmlns:c16="http://schemas.microsoft.com/office/drawing/2014/chart" uri="{C3380CC4-5D6E-409C-BE32-E72D297353CC}">
              <c16:uniqueId val="{00000000-CB10-4B5E-8693-962263549237}"/>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Sheet1!$B$1:$I$1</c:f>
              <c:strCache>
                <c:ptCount val="8"/>
                <c:pt idx="0">
                  <c:v>2008</c:v>
                </c:pt>
                <c:pt idx="1">
                  <c:v>2009</c:v>
                </c:pt>
                <c:pt idx="2">
                  <c:v>2010</c:v>
                </c:pt>
                <c:pt idx="3">
                  <c:v>2017</c:v>
                </c:pt>
                <c:pt idx="4">
                  <c:v>2018</c:v>
                </c:pt>
                <c:pt idx="5">
                  <c:v>2019</c:v>
                </c:pt>
                <c:pt idx="6">
                  <c:v>2020</c:v>
                </c:pt>
                <c:pt idx="7">
                  <c:v>2021</c:v>
                </c:pt>
              </c:strCache>
            </c:strRef>
          </c:cat>
          <c:val>
            <c:numRef>
              <c:f>Sheet1!$B$3:$I$3</c:f>
              <c:numCache>
                <c:formatCode>#,##0.0</c:formatCode>
                <c:ptCount val="8"/>
                <c:pt idx="0">
                  <c:v>-1.2609806646880775</c:v>
                </c:pt>
                <c:pt idx="1">
                  <c:v>-19.773709903356099</c:v>
                </c:pt>
                <c:pt idx="3" formatCode="0.0">
                  <c:v>23.729876355965253</c:v>
                </c:pt>
                <c:pt idx="4" formatCode="0.0">
                  <c:v>11.297405374927369</c:v>
                </c:pt>
                <c:pt idx="5" formatCode="0.0">
                  <c:v>14.946162729738472</c:v>
                </c:pt>
                <c:pt idx="6" formatCode="0.0">
                  <c:v>-31.440187472557021</c:v>
                </c:pt>
                <c:pt idx="7" formatCode="0.0">
                  <c:v>9.4081692553277527</c:v>
                </c:pt>
              </c:numCache>
            </c:numRef>
          </c:val>
          <c:extLst>
            <c:ext xmlns:c16="http://schemas.microsoft.com/office/drawing/2014/chart" uri="{C3380CC4-5D6E-409C-BE32-E72D297353CC}">
              <c16:uniqueId val="{00000001-CB10-4B5E-8693-962263549237}"/>
            </c:ext>
          </c:extLst>
        </c:ser>
        <c:dLbls>
          <c:showLegendKey val="0"/>
          <c:showVal val="0"/>
          <c:showCatName val="0"/>
          <c:showSerName val="0"/>
          <c:showPercent val="0"/>
          <c:showBubbleSize val="0"/>
        </c:dLbls>
        <c:gapWidth val="150"/>
        <c:axId val="246792192"/>
        <c:axId val="246793728"/>
      </c:barChart>
      <c:catAx>
        <c:axId val="2467921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6793728"/>
        <c:crosses val="autoZero"/>
        <c:auto val="1"/>
        <c:lblAlgn val="ctr"/>
        <c:lblOffset val="100"/>
        <c:noMultiLvlLbl val="0"/>
      </c:catAx>
      <c:valAx>
        <c:axId val="246793728"/>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6792192"/>
        <c:crosses val="autoZero"/>
        <c:crossBetween val="between"/>
        <c:majorUnit val="20"/>
      </c:valAx>
      <c:spPr>
        <a:noFill/>
        <a:ln>
          <a:noFill/>
        </a:ln>
        <a:effectLst/>
      </c:spPr>
    </c:plotArea>
    <c:legend>
      <c:legendPos val="b"/>
      <c:layout>
        <c:manualLayout>
          <c:xMode val="edge"/>
          <c:yMode val="edge"/>
          <c:x val="0.05"/>
          <c:y val="0.91940387279916191"/>
          <c:w val="0.92515703461595589"/>
          <c:h val="7.75356979460139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USD/AMD</c:v>
                </c:pt>
              </c:strCache>
            </c:strRef>
          </c:tx>
          <c:spPr>
            <a:ln w="28575" cap="rnd">
              <a:solidFill>
                <a:srgbClr val="0070C0"/>
              </a:solidFill>
              <a:round/>
            </a:ln>
            <a:effectLst/>
          </c:spPr>
          <c:marker>
            <c:symbol val="none"/>
          </c:marker>
          <c:cat>
            <c:strRef>
              <c:f>Sheet1!$A$2:$A$966</c:f>
              <c:strCache>
                <c:ptCount val="468"/>
                <c:pt idx="0">
                  <c:v>8/1/2019</c:v>
                </c:pt>
                <c:pt idx="1">
                  <c:v>9/1/2019</c:v>
                </c:pt>
                <c:pt idx="2">
                  <c:v>10/1/2019</c:v>
                </c:pt>
                <c:pt idx="3">
                  <c:v>11/1/2019</c:v>
                </c:pt>
                <c:pt idx="4">
                  <c:v>14/01/2019</c:v>
                </c:pt>
                <c:pt idx="5">
                  <c:v>15/01/2019</c:v>
                </c:pt>
                <c:pt idx="6">
                  <c:v>16/01/2019</c:v>
                </c:pt>
                <c:pt idx="7">
                  <c:v>17/01/2019</c:v>
                </c:pt>
                <c:pt idx="8">
                  <c:v>18/01/2019</c:v>
                </c:pt>
                <c:pt idx="9">
                  <c:v>21/01/2019</c:v>
                </c:pt>
                <c:pt idx="10">
                  <c:v>22/01/2019</c:v>
                </c:pt>
                <c:pt idx="11">
                  <c:v>23/01/2019</c:v>
                </c:pt>
                <c:pt idx="12">
                  <c:v>24/01/2019</c:v>
                </c:pt>
                <c:pt idx="13">
                  <c:v>25/01/2019</c:v>
                </c:pt>
                <c:pt idx="14">
                  <c:v>29/01/2019</c:v>
                </c:pt>
                <c:pt idx="15">
                  <c:v>30/01/2019</c:v>
                </c:pt>
                <c:pt idx="16">
                  <c:v>31/01/2019</c:v>
                </c:pt>
                <c:pt idx="17">
                  <c:v>1/2/2019</c:v>
                </c:pt>
                <c:pt idx="18">
                  <c:v>4/2/2019</c:v>
                </c:pt>
                <c:pt idx="19">
                  <c:v>5/2/2019</c:v>
                </c:pt>
                <c:pt idx="20">
                  <c:v>6/2/2019</c:v>
                </c:pt>
                <c:pt idx="21">
                  <c:v>7/2/2019</c:v>
                </c:pt>
                <c:pt idx="22">
                  <c:v>8/2/2019</c:v>
                </c:pt>
                <c:pt idx="23">
                  <c:v>11/2/2019</c:v>
                </c:pt>
                <c:pt idx="24">
                  <c:v>12/2/2019</c:v>
                </c:pt>
                <c:pt idx="25">
                  <c:v>13/02/2019</c:v>
                </c:pt>
                <c:pt idx="26">
                  <c:v>14/02/2019</c:v>
                </c:pt>
                <c:pt idx="27">
                  <c:v>15/02/2019</c:v>
                </c:pt>
                <c:pt idx="28">
                  <c:v>18/02/2019</c:v>
                </c:pt>
                <c:pt idx="29">
                  <c:v>19/02/2019</c:v>
                </c:pt>
                <c:pt idx="30">
                  <c:v>20/02/2019</c:v>
                </c:pt>
                <c:pt idx="31">
                  <c:v>21/02/2019</c:v>
                </c:pt>
                <c:pt idx="32">
                  <c:v>22/02/2019</c:v>
                </c:pt>
                <c:pt idx="33">
                  <c:v>25/02/2019</c:v>
                </c:pt>
                <c:pt idx="34">
                  <c:v>26/02/2019</c:v>
                </c:pt>
                <c:pt idx="35">
                  <c:v>27/02/2019</c:v>
                </c:pt>
                <c:pt idx="36">
                  <c:v>28/02/2019</c:v>
                </c:pt>
                <c:pt idx="37">
                  <c:v>1/3/2019</c:v>
                </c:pt>
                <c:pt idx="38">
                  <c:v>4/3/2019</c:v>
                </c:pt>
                <c:pt idx="39">
                  <c:v>5/3/2019</c:v>
                </c:pt>
                <c:pt idx="40">
                  <c:v>6/3/2019</c:v>
                </c:pt>
                <c:pt idx="41">
                  <c:v>7/3/2019</c:v>
                </c:pt>
                <c:pt idx="42">
                  <c:v>11/3/2019</c:v>
                </c:pt>
                <c:pt idx="43">
                  <c:v>12/3/2019</c:v>
                </c:pt>
                <c:pt idx="44">
                  <c:v>13/03/2019</c:v>
                </c:pt>
                <c:pt idx="45">
                  <c:v>14/03/2019</c:v>
                </c:pt>
                <c:pt idx="46">
                  <c:v>15/03/2019</c:v>
                </c:pt>
                <c:pt idx="47">
                  <c:v>18/03/2019</c:v>
                </c:pt>
                <c:pt idx="48">
                  <c:v>19/03/2019</c:v>
                </c:pt>
                <c:pt idx="49">
                  <c:v>20/03/2019</c:v>
                </c:pt>
                <c:pt idx="50">
                  <c:v>21/03/2019</c:v>
                </c:pt>
                <c:pt idx="51">
                  <c:v>22/03/2019</c:v>
                </c:pt>
                <c:pt idx="52">
                  <c:v>25/03/2019</c:v>
                </c:pt>
                <c:pt idx="53">
                  <c:v>26/03/2019</c:v>
                </c:pt>
                <c:pt idx="54">
                  <c:v>27/03/2019</c:v>
                </c:pt>
                <c:pt idx="55">
                  <c:v>28/03/2019</c:v>
                </c:pt>
                <c:pt idx="56">
                  <c:v>29/03/2019</c:v>
                </c:pt>
                <c:pt idx="57">
                  <c:v>1/4/2019</c:v>
                </c:pt>
                <c:pt idx="58">
                  <c:v>2/4/2019</c:v>
                </c:pt>
                <c:pt idx="59">
                  <c:v>3/4/2019</c:v>
                </c:pt>
                <c:pt idx="60">
                  <c:v>4/4/2019</c:v>
                </c:pt>
                <c:pt idx="61">
                  <c:v>5/4/2019</c:v>
                </c:pt>
                <c:pt idx="62">
                  <c:v>8/4/2019</c:v>
                </c:pt>
                <c:pt idx="63">
                  <c:v>9/4/2019</c:v>
                </c:pt>
                <c:pt idx="64">
                  <c:v>10/4/2019</c:v>
                </c:pt>
                <c:pt idx="65">
                  <c:v>11/4/2019</c:v>
                </c:pt>
                <c:pt idx="66">
                  <c:v>12/4/2019</c:v>
                </c:pt>
                <c:pt idx="67">
                  <c:v>15/04/2019</c:v>
                </c:pt>
                <c:pt idx="68">
                  <c:v>16/04/2019</c:v>
                </c:pt>
                <c:pt idx="69">
                  <c:v>17/04/2019</c:v>
                </c:pt>
                <c:pt idx="70">
                  <c:v>18/04/2019</c:v>
                </c:pt>
                <c:pt idx="71">
                  <c:v>19/04/2019</c:v>
                </c:pt>
                <c:pt idx="72">
                  <c:v>22/04/2019</c:v>
                </c:pt>
                <c:pt idx="73">
                  <c:v>23/04/2019</c:v>
                </c:pt>
                <c:pt idx="74">
                  <c:v>25/04/2019</c:v>
                </c:pt>
                <c:pt idx="75">
                  <c:v>26/04/2019</c:v>
                </c:pt>
                <c:pt idx="76">
                  <c:v>29/04/2019</c:v>
                </c:pt>
                <c:pt idx="77">
                  <c:v>30/04/2019</c:v>
                </c:pt>
                <c:pt idx="78">
                  <c:v>2/5/2019</c:v>
                </c:pt>
                <c:pt idx="79">
                  <c:v>3/5/2019</c:v>
                </c:pt>
                <c:pt idx="80">
                  <c:v>6/5/2019</c:v>
                </c:pt>
                <c:pt idx="81">
                  <c:v>7/5/2019</c:v>
                </c:pt>
                <c:pt idx="82">
                  <c:v>8/5/2019</c:v>
                </c:pt>
                <c:pt idx="83">
                  <c:v>10/5/2019</c:v>
                </c:pt>
                <c:pt idx="84">
                  <c:v>13/05/2019</c:v>
                </c:pt>
                <c:pt idx="85">
                  <c:v>14/05/2019</c:v>
                </c:pt>
                <c:pt idx="86">
                  <c:v>15/05/2019</c:v>
                </c:pt>
                <c:pt idx="87">
                  <c:v>16/05/2019</c:v>
                </c:pt>
                <c:pt idx="88">
                  <c:v>17/05/2019</c:v>
                </c:pt>
                <c:pt idx="89">
                  <c:v>20/05/2019</c:v>
                </c:pt>
                <c:pt idx="90">
                  <c:v>21/05/2019</c:v>
                </c:pt>
                <c:pt idx="91">
                  <c:v>22/05/2019</c:v>
                </c:pt>
                <c:pt idx="92">
                  <c:v>23/05/2019</c:v>
                </c:pt>
                <c:pt idx="93">
                  <c:v>24/05/2019</c:v>
                </c:pt>
                <c:pt idx="94">
                  <c:v>27/05/2019</c:v>
                </c:pt>
                <c:pt idx="95">
                  <c:v>29/05/2019</c:v>
                </c:pt>
                <c:pt idx="96">
                  <c:v>30/05/2019</c:v>
                </c:pt>
                <c:pt idx="97">
                  <c:v>31/05/2019</c:v>
                </c:pt>
                <c:pt idx="98">
                  <c:v>3/6/2019</c:v>
                </c:pt>
                <c:pt idx="99">
                  <c:v>4/6/2019</c:v>
                </c:pt>
                <c:pt idx="100">
                  <c:v>5/6/2019</c:v>
                </c:pt>
                <c:pt idx="101">
                  <c:v>6/6/2019</c:v>
                </c:pt>
                <c:pt idx="102">
                  <c:v>7/6/2019</c:v>
                </c:pt>
                <c:pt idx="103">
                  <c:v>10/6/2019</c:v>
                </c:pt>
                <c:pt idx="104">
                  <c:v>11/6/2019</c:v>
                </c:pt>
                <c:pt idx="105">
                  <c:v>12/6/2019</c:v>
                </c:pt>
                <c:pt idx="106">
                  <c:v>13/06/2019</c:v>
                </c:pt>
                <c:pt idx="107">
                  <c:v>14/06/2019</c:v>
                </c:pt>
                <c:pt idx="108">
                  <c:v>17/06/2019</c:v>
                </c:pt>
                <c:pt idx="109">
                  <c:v>18/06/2019</c:v>
                </c:pt>
                <c:pt idx="110">
                  <c:v>19/06/2019</c:v>
                </c:pt>
                <c:pt idx="111">
                  <c:v>20/06/2019</c:v>
                </c:pt>
                <c:pt idx="112">
                  <c:v>21/06/2019</c:v>
                </c:pt>
                <c:pt idx="113">
                  <c:v>24/06/2019</c:v>
                </c:pt>
                <c:pt idx="114">
                  <c:v>25/06/2019</c:v>
                </c:pt>
                <c:pt idx="115">
                  <c:v>26/06/2019</c:v>
                </c:pt>
                <c:pt idx="116">
                  <c:v>27/06/2019</c:v>
                </c:pt>
                <c:pt idx="117">
                  <c:v>28/06/2019</c:v>
                </c:pt>
                <c:pt idx="118">
                  <c:v>1/7/2019</c:v>
                </c:pt>
                <c:pt idx="119">
                  <c:v>2/7/2019</c:v>
                </c:pt>
                <c:pt idx="120">
                  <c:v>3/7/2019</c:v>
                </c:pt>
                <c:pt idx="121">
                  <c:v>4/7/2019</c:v>
                </c:pt>
                <c:pt idx="122">
                  <c:v>8/7/2019</c:v>
                </c:pt>
                <c:pt idx="123">
                  <c:v>9/7/2019</c:v>
                </c:pt>
                <c:pt idx="124">
                  <c:v>10/7/2019</c:v>
                </c:pt>
                <c:pt idx="125">
                  <c:v>11/7/2019</c:v>
                </c:pt>
                <c:pt idx="126">
                  <c:v>12/7/2019</c:v>
                </c:pt>
                <c:pt idx="127">
                  <c:v>15/07/2019</c:v>
                </c:pt>
                <c:pt idx="128">
                  <c:v>16/07/2019</c:v>
                </c:pt>
                <c:pt idx="129">
                  <c:v>17/07/2019</c:v>
                </c:pt>
                <c:pt idx="130">
                  <c:v>18/07/2019</c:v>
                </c:pt>
                <c:pt idx="131">
                  <c:v>19/07/2019</c:v>
                </c:pt>
                <c:pt idx="132">
                  <c:v>22/07/2019</c:v>
                </c:pt>
                <c:pt idx="133">
                  <c:v>23/07/2019</c:v>
                </c:pt>
                <c:pt idx="134">
                  <c:v>24/07/2019</c:v>
                </c:pt>
                <c:pt idx="135">
                  <c:v>25/07/2019</c:v>
                </c:pt>
                <c:pt idx="136">
                  <c:v>26/07/2019</c:v>
                </c:pt>
                <c:pt idx="137">
                  <c:v>29/07/2019</c:v>
                </c:pt>
                <c:pt idx="138">
                  <c:v>30/07/2019</c:v>
                </c:pt>
                <c:pt idx="139">
                  <c:v>31/07/2019</c:v>
                </c:pt>
                <c:pt idx="140">
                  <c:v>1/8/2019</c:v>
                </c:pt>
                <c:pt idx="141">
                  <c:v>2/8/2019</c:v>
                </c:pt>
                <c:pt idx="142">
                  <c:v>5/8/2019</c:v>
                </c:pt>
                <c:pt idx="143">
                  <c:v>6/8/2019</c:v>
                </c:pt>
                <c:pt idx="144">
                  <c:v>7/8/2019</c:v>
                </c:pt>
                <c:pt idx="145">
                  <c:v>8/8/2019</c:v>
                </c:pt>
                <c:pt idx="146">
                  <c:v>9/8/2019</c:v>
                </c:pt>
                <c:pt idx="147">
                  <c:v>12/8/2019</c:v>
                </c:pt>
                <c:pt idx="148">
                  <c:v>13/08/2019</c:v>
                </c:pt>
                <c:pt idx="149">
                  <c:v>14/08/2019</c:v>
                </c:pt>
                <c:pt idx="150">
                  <c:v>15/08/2019</c:v>
                </c:pt>
                <c:pt idx="151">
                  <c:v>16/08/2019</c:v>
                </c:pt>
                <c:pt idx="152">
                  <c:v>19/08/2019</c:v>
                </c:pt>
                <c:pt idx="153">
                  <c:v>20/08/2019</c:v>
                </c:pt>
                <c:pt idx="154">
                  <c:v>21/08/2019</c:v>
                </c:pt>
                <c:pt idx="155">
                  <c:v>22/08/2019</c:v>
                </c:pt>
                <c:pt idx="156">
                  <c:v>23/08/2019</c:v>
                </c:pt>
                <c:pt idx="157">
                  <c:v>26/08/2019</c:v>
                </c:pt>
                <c:pt idx="158">
                  <c:v>27/08/2019</c:v>
                </c:pt>
                <c:pt idx="159">
                  <c:v>28/08/2019</c:v>
                </c:pt>
                <c:pt idx="160">
                  <c:v>29/08/2019</c:v>
                </c:pt>
                <c:pt idx="161">
                  <c:v>30/08/2019</c:v>
                </c:pt>
                <c:pt idx="162">
                  <c:v>2/9/2019</c:v>
                </c:pt>
                <c:pt idx="163">
                  <c:v>3/9/2019</c:v>
                </c:pt>
                <c:pt idx="164">
                  <c:v>4/9/2019</c:v>
                </c:pt>
                <c:pt idx="165">
                  <c:v>5/9/2019</c:v>
                </c:pt>
                <c:pt idx="166">
                  <c:v>6/9/2019</c:v>
                </c:pt>
                <c:pt idx="167">
                  <c:v>9/9/2019</c:v>
                </c:pt>
                <c:pt idx="168">
                  <c:v>10/9/2019</c:v>
                </c:pt>
                <c:pt idx="169">
                  <c:v>11/9/2019</c:v>
                </c:pt>
                <c:pt idx="170">
                  <c:v>12/9/2019</c:v>
                </c:pt>
                <c:pt idx="171">
                  <c:v>13/09/2019</c:v>
                </c:pt>
                <c:pt idx="172">
                  <c:v>16/09/2019</c:v>
                </c:pt>
                <c:pt idx="173">
                  <c:v>17/09/2019</c:v>
                </c:pt>
                <c:pt idx="174">
                  <c:v>18/09/2019</c:v>
                </c:pt>
                <c:pt idx="175">
                  <c:v>19/09/2019</c:v>
                </c:pt>
                <c:pt idx="176">
                  <c:v>20/09/2019</c:v>
                </c:pt>
                <c:pt idx="177">
                  <c:v>23/09/2019</c:v>
                </c:pt>
                <c:pt idx="178">
                  <c:v>24/09/2019</c:v>
                </c:pt>
                <c:pt idx="179">
                  <c:v>25/09/2019</c:v>
                </c:pt>
                <c:pt idx="180">
                  <c:v>26/09/2019</c:v>
                </c:pt>
                <c:pt idx="181">
                  <c:v>27/09/2019</c:v>
                </c:pt>
                <c:pt idx="182">
                  <c:v>30/09/2019</c:v>
                </c:pt>
                <c:pt idx="183">
                  <c:v>1/10/2019</c:v>
                </c:pt>
                <c:pt idx="184">
                  <c:v>2/10/2019</c:v>
                </c:pt>
                <c:pt idx="185">
                  <c:v>3/10/2019</c:v>
                </c:pt>
                <c:pt idx="186">
                  <c:v>4/10/2019</c:v>
                </c:pt>
                <c:pt idx="187">
                  <c:v>7/10/2019</c:v>
                </c:pt>
                <c:pt idx="188">
                  <c:v>8/10/2019</c:v>
                </c:pt>
                <c:pt idx="189">
                  <c:v>9/10/2019</c:v>
                </c:pt>
                <c:pt idx="190">
                  <c:v>10/10/2019</c:v>
                </c:pt>
                <c:pt idx="191">
                  <c:v>11/10/2019</c:v>
                </c:pt>
                <c:pt idx="192">
                  <c:v>14/10/2019</c:v>
                </c:pt>
                <c:pt idx="193">
                  <c:v>15/10/2019</c:v>
                </c:pt>
                <c:pt idx="194">
                  <c:v>16/10/2019</c:v>
                </c:pt>
                <c:pt idx="195">
                  <c:v>17/10/2019</c:v>
                </c:pt>
                <c:pt idx="196">
                  <c:v>18/10/2019</c:v>
                </c:pt>
                <c:pt idx="197">
                  <c:v>21/10/2019</c:v>
                </c:pt>
                <c:pt idx="198">
                  <c:v>22/10/2019</c:v>
                </c:pt>
                <c:pt idx="199">
                  <c:v>23/10/2019</c:v>
                </c:pt>
                <c:pt idx="200">
                  <c:v>24/10/2019</c:v>
                </c:pt>
                <c:pt idx="201">
                  <c:v>25/10/2019</c:v>
                </c:pt>
                <c:pt idx="202">
                  <c:v>28/10/2019</c:v>
                </c:pt>
                <c:pt idx="203">
                  <c:v>29/10/2019</c:v>
                </c:pt>
                <c:pt idx="204">
                  <c:v>30/10/2019</c:v>
                </c:pt>
                <c:pt idx="205">
                  <c:v>31/10/2019</c:v>
                </c:pt>
                <c:pt idx="206">
                  <c:v>1/11/2019</c:v>
                </c:pt>
                <c:pt idx="207">
                  <c:v>4/11/2019</c:v>
                </c:pt>
                <c:pt idx="208">
                  <c:v>5/11/2019</c:v>
                </c:pt>
                <c:pt idx="209">
                  <c:v>6/11/2019</c:v>
                </c:pt>
                <c:pt idx="210">
                  <c:v>7/11/2019</c:v>
                </c:pt>
                <c:pt idx="211">
                  <c:v>8/11/2019</c:v>
                </c:pt>
                <c:pt idx="212">
                  <c:v>11/11/2019</c:v>
                </c:pt>
                <c:pt idx="213">
                  <c:v>12/11/2019</c:v>
                </c:pt>
                <c:pt idx="214">
                  <c:v>13/11/2019</c:v>
                </c:pt>
                <c:pt idx="215">
                  <c:v>14/11/2019</c:v>
                </c:pt>
                <c:pt idx="216">
                  <c:v>15/11/2019</c:v>
                </c:pt>
                <c:pt idx="217">
                  <c:v>18/11/2019</c:v>
                </c:pt>
                <c:pt idx="218">
                  <c:v>19/11/2019</c:v>
                </c:pt>
                <c:pt idx="219">
                  <c:v>20/11/2019</c:v>
                </c:pt>
                <c:pt idx="220">
                  <c:v>21/11/2019</c:v>
                </c:pt>
                <c:pt idx="221">
                  <c:v>22/11/2019</c:v>
                </c:pt>
                <c:pt idx="222">
                  <c:v>25/11/2019</c:v>
                </c:pt>
                <c:pt idx="223">
                  <c:v>26/11/2019</c:v>
                </c:pt>
                <c:pt idx="224">
                  <c:v>27/11/2019</c:v>
                </c:pt>
                <c:pt idx="225">
                  <c:v>28/11/2019</c:v>
                </c:pt>
                <c:pt idx="226">
                  <c:v>29/11/2019</c:v>
                </c:pt>
                <c:pt idx="227">
                  <c:v>2/12/2019</c:v>
                </c:pt>
                <c:pt idx="228">
                  <c:v>3/12/2019</c:v>
                </c:pt>
                <c:pt idx="229">
                  <c:v>4/12/2019</c:v>
                </c:pt>
                <c:pt idx="230">
                  <c:v>5/12/2019</c:v>
                </c:pt>
                <c:pt idx="231">
                  <c:v>6/12/2019</c:v>
                </c:pt>
                <c:pt idx="232">
                  <c:v>9/12/2019</c:v>
                </c:pt>
                <c:pt idx="233">
                  <c:v>10/12/2019</c:v>
                </c:pt>
                <c:pt idx="234">
                  <c:v>11/12/2019</c:v>
                </c:pt>
                <c:pt idx="235">
                  <c:v>12/12/2019</c:v>
                </c:pt>
                <c:pt idx="236">
                  <c:v>13/12/2019</c:v>
                </c:pt>
                <c:pt idx="237">
                  <c:v>16/12/2019</c:v>
                </c:pt>
                <c:pt idx="238">
                  <c:v>17/12/2019</c:v>
                </c:pt>
                <c:pt idx="239">
                  <c:v>18/12/2019</c:v>
                </c:pt>
                <c:pt idx="240">
                  <c:v>19/12/2019</c:v>
                </c:pt>
                <c:pt idx="241">
                  <c:v>20/12/2019</c:v>
                </c:pt>
                <c:pt idx="242">
                  <c:v>23/12/2019</c:v>
                </c:pt>
                <c:pt idx="243">
                  <c:v>24/12/2019</c:v>
                </c:pt>
                <c:pt idx="244">
                  <c:v>25/12/2019</c:v>
                </c:pt>
                <c:pt idx="245">
                  <c:v>26/12/2019</c:v>
                </c:pt>
                <c:pt idx="246">
                  <c:v>27/12/2019</c:v>
                </c:pt>
                <c:pt idx="247">
                  <c:v>30/12/2019</c:v>
                </c:pt>
                <c:pt idx="248">
                  <c:v>8/1/2020</c:v>
                </c:pt>
                <c:pt idx="249">
                  <c:v>9/1/2020</c:v>
                </c:pt>
                <c:pt idx="250">
                  <c:v>10/1/2020</c:v>
                </c:pt>
                <c:pt idx="251">
                  <c:v>13/01/2020</c:v>
                </c:pt>
                <c:pt idx="252">
                  <c:v>14/01/2020</c:v>
                </c:pt>
                <c:pt idx="253">
                  <c:v>15/01/2020</c:v>
                </c:pt>
                <c:pt idx="254">
                  <c:v>16/01/2020</c:v>
                </c:pt>
                <c:pt idx="255">
                  <c:v>17/01/2020</c:v>
                </c:pt>
                <c:pt idx="256">
                  <c:v>20/01/2020</c:v>
                </c:pt>
                <c:pt idx="257">
                  <c:v>21/01/2020</c:v>
                </c:pt>
                <c:pt idx="258">
                  <c:v>22/01/2020</c:v>
                </c:pt>
                <c:pt idx="259">
                  <c:v>23/01/2020</c:v>
                </c:pt>
                <c:pt idx="260">
                  <c:v>24/01/2020</c:v>
                </c:pt>
                <c:pt idx="261">
                  <c:v>29/01/2020</c:v>
                </c:pt>
                <c:pt idx="262">
                  <c:v>30/01/2020</c:v>
                </c:pt>
                <c:pt idx="263">
                  <c:v>31/01/2020</c:v>
                </c:pt>
                <c:pt idx="264">
                  <c:v>1/2/2020</c:v>
                </c:pt>
                <c:pt idx="265">
                  <c:v>3/2/2020</c:v>
                </c:pt>
                <c:pt idx="266">
                  <c:v>4/2/2020</c:v>
                </c:pt>
                <c:pt idx="267">
                  <c:v>5/2/2020</c:v>
                </c:pt>
                <c:pt idx="268">
                  <c:v>6/2/2020</c:v>
                </c:pt>
                <c:pt idx="269">
                  <c:v>7/2/2020</c:v>
                </c:pt>
                <c:pt idx="270">
                  <c:v>10/2/2020</c:v>
                </c:pt>
                <c:pt idx="271">
                  <c:v>11/2/2020</c:v>
                </c:pt>
                <c:pt idx="272">
                  <c:v>12/2/2020</c:v>
                </c:pt>
                <c:pt idx="273">
                  <c:v>13/02/2020</c:v>
                </c:pt>
                <c:pt idx="274">
                  <c:v>14/02/2020</c:v>
                </c:pt>
                <c:pt idx="275">
                  <c:v>17/02/2020</c:v>
                </c:pt>
                <c:pt idx="276">
                  <c:v>18/02/2020</c:v>
                </c:pt>
                <c:pt idx="277">
                  <c:v>19/02/2020</c:v>
                </c:pt>
                <c:pt idx="278">
                  <c:v>20/02/2020</c:v>
                </c:pt>
                <c:pt idx="279">
                  <c:v>21/02/2020</c:v>
                </c:pt>
                <c:pt idx="280">
                  <c:v>24/02/2020</c:v>
                </c:pt>
                <c:pt idx="281">
                  <c:v>25/02/2020</c:v>
                </c:pt>
                <c:pt idx="282">
                  <c:v>26/02/2020</c:v>
                </c:pt>
                <c:pt idx="283">
                  <c:v>27/02/2020</c:v>
                </c:pt>
                <c:pt idx="284">
                  <c:v>28/02/2020</c:v>
                </c:pt>
                <c:pt idx="285">
                  <c:v>2/3/2020</c:v>
                </c:pt>
                <c:pt idx="286">
                  <c:v>3/3/2020</c:v>
                </c:pt>
                <c:pt idx="287">
                  <c:v>4/3/2020</c:v>
                </c:pt>
                <c:pt idx="288">
                  <c:v>5/3/2020</c:v>
                </c:pt>
                <c:pt idx="289">
                  <c:v>6/3/2020</c:v>
                </c:pt>
                <c:pt idx="290">
                  <c:v>9/3/2020</c:v>
                </c:pt>
                <c:pt idx="291">
                  <c:v>10/3/2020</c:v>
                </c:pt>
                <c:pt idx="292">
                  <c:v>11/3/2020</c:v>
                </c:pt>
                <c:pt idx="293">
                  <c:v>12/3/2020</c:v>
                </c:pt>
                <c:pt idx="294">
                  <c:v>13/03/2020</c:v>
                </c:pt>
                <c:pt idx="295">
                  <c:v>16/03/2020</c:v>
                </c:pt>
                <c:pt idx="296">
                  <c:v>17/03/2020</c:v>
                </c:pt>
                <c:pt idx="297">
                  <c:v>18/03/2020</c:v>
                </c:pt>
                <c:pt idx="298">
                  <c:v>19/03/2020</c:v>
                </c:pt>
                <c:pt idx="299">
                  <c:v>20/03/2020</c:v>
                </c:pt>
                <c:pt idx="300">
                  <c:v>23/03/2020</c:v>
                </c:pt>
                <c:pt idx="301">
                  <c:v>24/03/2020</c:v>
                </c:pt>
                <c:pt idx="302">
                  <c:v>25/03/2020</c:v>
                </c:pt>
                <c:pt idx="303">
                  <c:v>26/03/2020</c:v>
                </c:pt>
                <c:pt idx="304">
                  <c:v>27/03/2020</c:v>
                </c:pt>
                <c:pt idx="305">
                  <c:v>30/03/2020</c:v>
                </c:pt>
                <c:pt idx="306">
                  <c:v>31/03/2020</c:v>
                </c:pt>
                <c:pt idx="307">
                  <c:v>1/4/2020</c:v>
                </c:pt>
                <c:pt idx="308">
                  <c:v>2/4/2020</c:v>
                </c:pt>
                <c:pt idx="309">
                  <c:v>3/4/2020</c:v>
                </c:pt>
                <c:pt idx="310">
                  <c:v>6/4/2020</c:v>
                </c:pt>
                <c:pt idx="311">
                  <c:v>7/4/2020</c:v>
                </c:pt>
                <c:pt idx="312">
                  <c:v>8/4/2020</c:v>
                </c:pt>
                <c:pt idx="313">
                  <c:v>9/4/2020</c:v>
                </c:pt>
                <c:pt idx="314">
                  <c:v>10/4/2020</c:v>
                </c:pt>
                <c:pt idx="315">
                  <c:v>13/04/2020</c:v>
                </c:pt>
                <c:pt idx="316">
                  <c:v>14/04/2020</c:v>
                </c:pt>
                <c:pt idx="317">
                  <c:v>15/04/2020</c:v>
                </c:pt>
                <c:pt idx="318">
                  <c:v>16/04/2020</c:v>
                </c:pt>
                <c:pt idx="319">
                  <c:v>17/04/2020</c:v>
                </c:pt>
                <c:pt idx="320">
                  <c:v>20/04/2020</c:v>
                </c:pt>
                <c:pt idx="321">
                  <c:v>21/04/2020</c:v>
                </c:pt>
                <c:pt idx="322">
                  <c:v>22/04/2020</c:v>
                </c:pt>
                <c:pt idx="323">
                  <c:v>23/04/2020</c:v>
                </c:pt>
                <c:pt idx="324">
                  <c:v>27/04/2020</c:v>
                </c:pt>
                <c:pt idx="325">
                  <c:v>28/04/2020</c:v>
                </c:pt>
                <c:pt idx="326">
                  <c:v>29/04/2020</c:v>
                </c:pt>
                <c:pt idx="327">
                  <c:v>30/04/2020</c:v>
                </c:pt>
                <c:pt idx="328">
                  <c:v>4/5/2020</c:v>
                </c:pt>
                <c:pt idx="329">
                  <c:v>5/5/2020</c:v>
                </c:pt>
                <c:pt idx="330">
                  <c:v>6/5/2020</c:v>
                </c:pt>
                <c:pt idx="331">
                  <c:v>7/5/2020</c:v>
                </c:pt>
                <c:pt idx="332">
                  <c:v>8/5/2020</c:v>
                </c:pt>
                <c:pt idx="333">
                  <c:v>11/5/2020</c:v>
                </c:pt>
                <c:pt idx="334">
                  <c:v>12/5/2020</c:v>
                </c:pt>
                <c:pt idx="335">
                  <c:v>13/05/2020</c:v>
                </c:pt>
                <c:pt idx="336">
                  <c:v>14/05/2020</c:v>
                </c:pt>
                <c:pt idx="337">
                  <c:v>15/05/2020</c:v>
                </c:pt>
                <c:pt idx="338">
                  <c:v>18/05/2020</c:v>
                </c:pt>
                <c:pt idx="339">
                  <c:v>19/05/2020</c:v>
                </c:pt>
                <c:pt idx="340">
                  <c:v>20/05/2020</c:v>
                </c:pt>
                <c:pt idx="341">
                  <c:v>21/05/2020</c:v>
                </c:pt>
                <c:pt idx="342">
                  <c:v>22/05/2020</c:v>
                </c:pt>
                <c:pt idx="343">
                  <c:v>23/05/2020</c:v>
                </c:pt>
                <c:pt idx="344">
                  <c:v>25/05/2020</c:v>
                </c:pt>
                <c:pt idx="345">
                  <c:v>26/05/2020</c:v>
                </c:pt>
                <c:pt idx="346">
                  <c:v>27/05/2020</c:v>
                </c:pt>
                <c:pt idx="347">
                  <c:v>1/6/2020</c:v>
                </c:pt>
                <c:pt idx="348">
                  <c:v>2/6/2020</c:v>
                </c:pt>
                <c:pt idx="349">
                  <c:v>3/6/2020</c:v>
                </c:pt>
                <c:pt idx="350">
                  <c:v>4/6/2020</c:v>
                </c:pt>
                <c:pt idx="351">
                  <c:v>5/6/2020</c:v>
                </c:pt>
                <c:pt idx="352">
                  <c:v>8/6/2020</c:v>
                </c:pt>
                <c:pt idx="353">
                  <c:v>9/6/2020</c:v>
                </c:pt>
                <c:pt idx="354">
                  <c:v>10/6/2020</c:v>
                </c:pt>
                <c:pt idx="355">
                  <c:v>11/6/2020</c:v>
                </c:pt>
                <c:pt idx="356">
                  <c:v>12/6/2020</c:v>
                </c:pt>
                <c:pt idx="357">
                  <c:v>15/06/2020</c:v>
                </c:pt>
                <c:pt idx="358">
                  <c:v>16/06/2020</c:v>
                </c:pt>
                <c:pt idx="359">
                  <c:v>17/06/2020</c:v>
                </c:pt>
                <c:pt idx="360">
                  <c:v>18/06/2020</c:v>
                </c:pt>
                <c:pt idx="361">
                  <c:v>19/06/2020</c:v>
                </c:pt>
                <c:pt idx="362">
                  <c:v>22/06/2020</c:v>
                </c:pt>
                <c:pt idx="363">
                  <c:v>23/06/2020</c:v>
                </c:pt>
                <c:pt idx="364">
                  <c:v>24/06/2020</c:v>
                </c:pt>
                <c:pt idx="365">
                  <c:v>25/06/2020</c:v>
                </c:pt>
                <c:pt idx="366">
                  <c:v>26/06/2020</c:v>
                </c:pt>
                <c:pt idx="367">
                  <c:v>29/06/2020</c:v>
                </c:pt>
                <c:pt idx="368">
                  <c:v>30/06/2020</c:v>
                </c:pt>
                <c:pt idx="369">
                  <c:v>1/7/2020</c:v>
                </c:pt>
                <c:pt idx="370">
                  <c:v>2/7/2020</c:v>
                </c:pt>
                <c:pt idx="371">
                  <c:v>3/7/2020</c:v>
                </c:pt>
                <c:pt idx="372">
                  <c:v>6/7/2020</c:v>
                </c:pt>
                <c:pt idx="373">
                  <c:v>7/7/2020</c:v>
                </c:pt>
                <c:pt idx="374">
                  <c:v>8/7/2020</c:v>
                </c:pt>
                <c:pt idx="375">
                  <c:v>9/7/2020</c:v>
                </c:pt>
                <c:pt idx="376">
                  <c:v>10/7/2020</c:v>
                </c:pt>
                <c:pt idx="377">
                  <c:v>13/07/2020</c:v>
                </c:pt>
                <c:pt idx="378">
                  <c:v>14/07/2020</c:v>
                </c:pt>
                <c:pt idx="379">
                  <c:v>15/07/2020</c:v>
                </c:pt>
                <c:pt idx="380">
                  <c:v>16/07/2020</c:v>
                </c:pt>
                <c:pt idx="381">
                  <c:v>17/07/2020</c:v>
                </c:pt>
                <c:pt idx="382">
                  <c:v>20/07/2020</c:v>
                </c:pt>
                <c:pt idx="383">
                  <c:v>21/07/2020</c:v>
                </c:pt>
                <c:pt idx="384">
                  <c:v>22/07/2020</c:v>
                </c:pt>
                <c:pt idx="385">
                  <c:v>23/07/2020</c:v>
                </c:pt>
                <c:pt idx="386">
                  <c:v>24/07/2020</c:v>
                </c:pt>
                <c:pt idx="387">
                  <c:v>27/07/2020</c:v>
                </c:pt>
                <c:pt idx="388">
                  <c:v>28/07/2020</c:v>
                </c:pt>
                <c:pt idx="389">
                  <c:v>29/07/2020</c:v>
                </c:pt>
                <c:pt idx="390">
                  <c:v>30/07/2020</c:v>
                </c:pt>
                <c:pt idx="391">
                  <c:v>31/07/2020</c:v>
                </c:pt>
                <c:pt idx="392">
                  <c:v>3/8/2020</c:v>
                </c:pt>
                <c:pt idx="393">
                  <c:v>4/8/2020</c:v>
                </c:pt>
                <c:pt idx="394">
                  <c:v>5/8/2020</c:v>
                </c:pt>
                <c:pt idx="395">
                  <c:v>6/8/2020</c:v>
                </c:pt>
                <c:pt idx="396">
                  <c:v>7/8/2020</c:v>
                </c:pt>
                <c:pt idx="397">
                  <c:v>10/8/2020</c:v>
                </c:pt>
                <c:pt idx="398">
                  <c:v>11/8/2020</c:v>
                </c:pt>
                <c:pt idx="399">
                  <c:v>12/8/2020</c:v>
                </c:pt>
                <c:pt idx="400">
                  <c:v>13/08/2020</c:v>
                </c:pt>
                <c:pt idx="401">
                  <c:v>14/08/2020</c:v>
                </c:pt>
                <c:pt idx="402">
                  <c:v>17/08/2020</c:v>
                </c:pt>
                <c:pt idx="403">
                  <c:v>18/08/2020</c:v>
                </c:pt>
                <c:pt idx="404">
                  <c:v>19/08/2020</c:v>
                </c:pt>
                <c:pt idx="405">
                  <c:v>20/08/2020</c:v>
                </c:pt>
                <c:pt idx="406">
                  <c:v>21/08/2020</c:v>
                </c:pt>
                <c:pt idx="407">
                  <c:v>24/08/2020</c:v>
                </c:pt>
                <c:pt idx="408">
                  <c:v>25/08/2020</c:v>
                </c:pt>
                <c:pt idx="409">
                  <c:v>26/08/2020</c:v>
                </c:pt>
                <c:pt idx="410">
                  <c:v>27/08/2020</c:v>
                </c:pt>
                <c:pt idx="411">
                  <c:v>28/08/2020</c:v>
                </c:pt>
                <c:pt idx="412">
                  <c:v>31/08/2020</c:v>
                </c:pt>
                <c:pt idx="413">
                  <c:v>1/9/2020</c:v>
                </c:pt>
                <c:pt idx="414">
                  <c:v>2/9/2020</c:v>
                </c:pt>
                <c:pt idx="415">
                  <c:v>3/9/2020</c:v>
                </c:pt>
                <c:pt idx="416">
                  <c:v>4/9/2020</c:v>
                </c:pt>
                <c:pt idx="417">
                  <c:v>7/9/2020</c:v>
                </c:pt>
                <c:pt idx="418">
                  <c:v>8/9/2020</c:v>
                </c:pt>
                <c:pt idx="419">
                  <c:v>9/9/2020</c:v>
                </c:pt>
                <c:pt idx="420">
                  <c:v>10/9/2020</c:v>
                </c:pt>
                <c:pt idx="421">
                  <c:v>11/9/2020</c:v>
                </c:pt>
                <c:pt idx="422">
                  <c:v>14/09/2020</c:v>
                </c:pt>
                <c:pt idx="423">
                  <c:v>15/09/2020</c:v>
                </c:pt>
                <c:pt idx="424">
                  <c:v>16/09/2020</c:v>
                </c:pt>
                <c:pt idx="425">
                  <c:v>17/09/2020</c:v>
                </c:pt>
                <c:pt idx="426">
                  <c:v>18/09/2020</c:v>
                </c:pt>
                <c:pt idx="427">
                  <c:v>22/09/2020</c:v>
                </c:pt>
                <c:pt idx="428">
                  <c:v>23/09/2020</c:v>
                </c:pt>
                <c:pt idx="429">
                  <c:v>24/09/2020</c:v>
                </c:pt>
                <c:pt idx="430">
                  <c:v>25/09/2020</c:v>
                </c:pt>
                <c:pt idx="431">
                  <c:v>28/09/2020</c:v>
                </c:pt>
                <c:pt idx="432">
                  <c:v>29/09/2020</c:v>
                </c:pt>
                <c:pt idx="433">
                  <c:v>30/09/2020</c:v>
                </c:pt>
                <c:pt idx="434">
                  <c:v>1/10/2020</c:v>
                </c:pt>
                <c:pt idx="435">
                  <c:v>2/10/2020</c:v>
                </c:pt>
                <c:pt idx="436">
                  <c:v>5/10/2020</c:v>
                </c:pt>
                <c:pt idx="437">
                  <c:v>6/10/2020</c:v>
                </c:pt>
                <c:pt idx="438">
                  <c:v>7/10/2020</c:v>
                </c:pt>
                <c:pt idx="439">
                  <c:v>8/10/2020</c:v>
                </c:pt>
                <c:pt idx="440">
                  <c:v>9/10/2020</c:v>
                </c:pt>
                <c:pt idx="441">
                  <c:v>12/10/2020</c:v>
                </c:pt>
                <c:pt idx="442">
                  <c:v>13/10/2020</c:v>
                </c:pt>
                <c:pt idx="443">
                  <c:v>14/10/2020</c:v>
                </c:pt>
                <c:pt idx="444">
                  <c:v>15/10/2020</c:v>
                </c:pt>
                <c:pt idx="445">
                  <c:v>16/10/2020</c:v>
                </c:pt>
                <c:pt idx="446">
                  <c:v>19/10/2020</c:v>
                </c:pt>
                <c:pt idx="447">
                  <c:v>20/10/2020</c:v>
                </c:pt>
                <c:pt idx="448">
                  <c:v>21/10/2020</c:v>
                </c:pt>
                <c:pt idx="449">
                  <c:v>22/10/2020</c:v>
                </c:pt>
                <c:pt idx="450">
                  <c:v>23/10/2020</c:v>
                </c:pt>
                <c:pt idx="451">
                  <c:v>26/10/2020</c:v>
                </c:pt>
                <c:pt idx="452">
                  <c:v>27/10/2020</c:v>
                </c:pt>
                <c:pt idx="453">
                  <c:v>28/10/2020</c:v>
                </c:pt>
                <c:pt idx="454">
                  <c:v>29/10/2020</c:v>
                </c:pt>
                <c:pt idx="455">
                  <c:v>30/10/2020</c:v>
                </c:pt>
                <c:pt idx="456">
                  <c:v>2/11/2020</c:v>
                </c:pt>
                <c:pt idx="457">
                  <c:v>3/11/2020</c:v>
                </c:pt>
                <c:pt idx="458">
                  <c:v>4/11/2020</c:v>
                </c:pt>
                <c:pt idx="459">
                  <c:v>5/11/2020</c:v>
                </c:pt>
                <c:pt idx="460">
                  <c:v>6/11/2020</c:v>
                </c:pt>
                <c:pt idx="461">
                  <c:v>9/11/2020</c:v>
                </c:pt>
                <c:pt idx="462">
                  <c:v>10/11/2020</c:v>
                </c:pt>
                <c:pt idx="463">
                  <c:v>11/11/2020</c:v>
                </c:pt>
                <c:pt idx="464">
                  <c:v>12/11/2020</c:v>
                </c:pt>
                <c:pt idx="465">
                  <c:v>13/11/2020</c:v>
                </c:pt>
                <c:pt idx="466">
                  <c:v>16/11/2020</c:v>
                </c:pt>
                <c:pt idx="467">
                  <c:v>17/11/2020</c:v>
                </c:pt>
              </c:strCache>
            </c:strRef>
          </c:cat>
          <c:val>
            <c:numRef>
              <c:f>Sheet1!$B$2:$B$966</c:f>
              <c:numCache>
                <c:formatCode>0</c:formatCode>
                <c:ptCount val="468"/>
                <c:pt idx="0">
                  <c:v>100</c:v>
                </c:pt>
                <c:pt idx="1">
                  <c:v>100.08671057249617</c:v>
                </c:pt>
                <c:pt idx="2">
                  <c:v>100.23742180564444</c:v>
                </c:pt>
                <c:pt idx="3">
                  <c:v>100.33239052790221</c:v>
                </c:pt>
                <c:pt idx="4">
                  <c:v>100.42116563783888</c:v>
                </c:pt>
                <c:pt idx="5">
                  <c:v>100.46658546152739</c:v>
                </c:pt>
                <c:pt idx="6">
                  <c:v>100.45626277432542</c:v>
                </c:pt>
                <c:pt idx="7">
                  <c:v>100.29729339141571</c:v>
                </c:pt>
                <c:pt idx="8">
                  <c:v>100.21677643124059</c:v>
                </c:pt>
                <c:pt idx="9">
                  <c:v>100.15277577058852</c:v>
                </c:pt>
                <c:pt idx="10">
                  <c:v>100.16516299523093</c:v>
                </c:pt>
                <c:pt idx="11">
                  <c:v>100.16722753267129</c:v>
                </c:pt>
                <c:pt idx="12">
                  <c:v>100.29109977909449</c:v>
                </c:pt>
                <c:pt idx="13">
                  <c:v>100.28490616677334</c:v>
                </c:pt>
                <c:pt idx="14">
                  <c:v>100.44800462456389</c:v>
                </c:pt>
                <c:pt idx="15">
                  <c:v>100.42942378760043</c:v>
                </c:pt>
                <c:pt idx="16">
                  <c:v>100.53884427194087</c:v>
                </c:pt>
                <c:pt idx="17">
                  <c:v>100.55742510890434</c:v>
                </c:pt>
                <c:pt idx="18">
                  <c:v>100.63381299419864</c:v>
                </c:pt>
                <c:pt idx="19">
                  <c:v>100.67716828044674</c:v>
                </c:pt>
                <c:pt idx="20">
                  <c:v>100.80310506431036</c:v>
                </c:pt>
                <c:pt idx="21">
                  <c:v>100.89188017424695</c:v>
                </c:pt>
                <c:pt idx="22">
                  <c:v>100.99510704626628</c:v>
                </c:pt>
                <c:pt idx="23">
                  <c:v>101.13136651733176</c:v>
                </c:pt>
                <c:pt idx="24">
                  <c:v>101.08388215620283</c:v>
                </c:pt>
                <c:pt idx="25">
                  <c:v>100.92491277329313</c:v>
                </c:pt>
                <c:pt idx="26">
                  <c:v>100.74736255341988</c:v>
                </c:pt>
                <c:pt idx="27">
                  <c:v>100.64826475628134</c:v>
                </c:pt>
                <c:pt idx="28">
                  <c:v>100.6317484567582</c:v>
                </c:pt>
                <c:pt idx="29">
                  <c:v>100.64620021884096</c:v>
                </c:pt>
                <c:pt idx="30">
                  <c:v>100.66478105580438</c:v>
                </c:pt>
                <c:pt idx="31">
                  <c:v>100.76387885294294</c:v>
                </c:pt>
                <c:pt idx="32">
                  <c:v>100.89600924912772</c:v>
                </c:pt>
                <c:pt idx="33">
                  <c:v>100.92078369841232</c:v>
                </c:pt>
                <c:pt idx="34">
                  <c:v>100.94142907281623</c:v>
                </c:pt>
                <c:pt idx="35">
                  <c:v>101.03433325763358</c:v>
                </c:pt>
                <c:pt idx="36">
                  <c:v>101.10452753060669</c:v>
                </c:pt>
                <c:pt idx="37">
                  <c:v>101.19949625286444</c:v>
                </c:pt>
                <c:pt idx="38">
                  <c:v>101.30272312488378</c:v>
                </c:pt>
                <c:pt idx="39">
                  <c:v>101.28620682536072</c:v>
                </c:pt>
                <c:pt idx="40">
                  <c:v>101.11278568036826</c:v>
                </c:pt>
                <c:pt idx="41">
                  <c:v>100.9723971344219</c:v>
                </c:pt>
                <c:pt idx="42">
                  <c:v>100.8671057249623</c:v>
                </c:pt>
                <c:pt idx="43">
                  <c:v>100.76800792782369</c:v>
                </c:pt>
                <c:pt idx="44">
                  <c:v>100.6152321572351</c:v>
                </c:pt>
                <c:pt idx="45">
                  <c:v>100.49135991081192</c:v>
                </c:pt>
                <c:pt idx="46">
                  <c:v>100.46658546152732</c:v>
                </c:pt>
                <c:pt idx="47">
                  <c:v>100.44387554968303</c:v>
                </c:pt>
                <c:pt idx="48">
                  <c:v>100.39226211367334</c:v>
                </c:pt>
                <c:pt idx="49">
                  <c:v>100.31793876581946</c:v>
                </c:pt>
                <c:pt idx="50">
                  <c:v>100.35716497718681</c:v>
                </c:pt>
                <c:pt idx="51">
                  <c:v>100.30761607861756</c:v>
                </c:pt>
                <c:pt idx="52">
                  <c:v>100.33239052790215</c:v>
                </c:pt>
                <c:pt idx="53">
                  <c:v>100.36748766438872</c:v>
                </c:pt>
                <c:pt idx="54">
                  <c:v>100.40052026343491</c:v>
                </c:pt>
                <c:pt idx="55">
                  <c:v>100.40052026343491</c:v>
                </c:pt>
                <c:pt idx="56">
                  <c:v>100.42735925015991</c:v>
                </c:pt>
                <c:pt idx="57">
                  <c:v>100.42323017527916</c:v>
                </c:pt>
                <c:pt idx="58">
                  <c:v>100.43355286248104</c:v>
                </c:pt>
                <c:pt idx="59">
                  <c:v>100.51200528521581</c:v>
                </c:pt>
                <c:pt idx="60">
                  <c:v>100.60284493259273</c:v>
                </c:pt>
                <c:pt idx="61">
                  <c:v>100.62968391931781</c:v>
                </c:pt>
                <c:pt idx="62">
                  <c:v>100.60903854491389</c:v>
                </c:pt>
                <c:pt idx="63">
                  <c:v>100.44800462456379</c:v>
                </c:pt>
                <c:pt idx="64">
                  <c:v>100.30142246629633</c:v>
                </c:pt>
                <c:pt idx="65">
                  <c:v>100.13213039618458</c:v>
                </c:pt>
                <c:pt idx="66">
                  <c:v>100.13419493362504</c:v>
                </c:pt>
                <c:pt idx="67">
                  <c:v>100.07845242273454</c:v>
                </c:pt>
                <c:pt idx="68">
                  <c:v>99.991741850238355</c:v>
                </c:pt>
                <c:pt idx="69">
                  <c:v>99.799739868282416</c:v>
                </c:pt>
                <c:pt idx="70">
                  <c:v>99.686190309061132</c:v>
                </c:pt>
                <c:pt idx="71">
                  <c:v>99.574705287280281</c:v>
                </c:pt>
                <c:pt idx="72">
                  <c:v>99.506575551747545</c:v>
                </c:pt>
                <c:pt idx="73">
                  <c:v>99.419864979251344</c:v>
                </c:pt>
                <c:pt idx="74">
                  <c:v>99.421929516691662</c:v>
                </c:pt>
                <c:pt idx="75">
                  <c:v>99.372380618122364</c:v>
                </c:pt>
                <c:pt idx="76">
                  <c:v>99.357928856039663</c:v>
                </c:pt>
                <c:pt idx="77">
                  <c:v>99.196894935689556</c:v>
                </c:pt>
                <c:pt idx="78">
                  <c:v>99.192765860808777</c:v>
                </c:pt>
                <c:pt idx="79">
                  <c:v>99.252637446579968</c:v>
                </c:pt>
                <c:pt idx="80">
                  <c:v>99.364122468360947</c:v>
                </c:pt>
                <c:pt idx="81">
                  <c:v>99.436381278774419</c:v>
                </c:pt>
                <c:pt idx="82">
                  <c:v>99.502446476866766</c:v>
                </c:pt>
                <c:pt idx="83">
                  <c:v>99.545801763114909</c:v>
                </c:pt>
                <c:pt idx="84">
                  <c:v>99.372380618122435</c:v>
                </c:pt>
                <c:pt idx="85">
                  <c:v>99.273282820983894</c:v>
                </c:pt>
                <c:pt idx="86">
                  <c:v>99.205153085451173</c:v>
                </c:pt>
                <c:pt idx="87">
                  <c:v>99.126700662716459</c:v>
                </c:pt>
                <c:pt idx="88">
                  <c:v>99.039990090220257</c:v>
                </c:pt>
                <c:pt idx="89">
                  <c:v>99.103990750872242</c:v>
                </c:pt>
                <c:pt idx="90">
                  <c:v>99.015215640935679</c:v>
                </c:pt>
                <c:pt idx="91">
                  <c:v>99.023473790697182</c:v>
                </c:pt>
                <c:pt idx="92">
                  <c:v>99.093668063670322</c:v>
                </c:pt>
                <c:pt idx="93">
                  <c:v>99.103990750872242</c:v>
                </c:pt>
                <c:pt idx="94">
                  <c:v>99.134958812478004</c:v>
                </c:pt>
                <c:pt idx="95">
                  <c:v>99.165926874083809</c:v>
                </c:pt>
                <c:pt idx="96">
                  <c:v>99.153539649441541</c:v>
                </c:pt>
                <c:pt idx="97">
                  <c:v>99.1184425129549</c:v>
                </c:pt>
                <c:pt idx="98">
                  <c:v>99.139087887358798</c:v>
                </c:pt>
                <c:pt idx="99">
                  <c:v>99.101926213431838</c:v>
                </c:pt>
                <c:pt idx="100">
                  <c:v>99.054441852302972</c:v>
                </c:pt>
                <c:pt idx="101">
                  <c:v>99.009022028614481</c:v>
                </c:pt>
                <c:pt idx="102">
                  <c:v>99.017280178376083</c:v>
                </c:pt>
                <c:pt idx="103">
                  <c:v>98.998699341412618</c:v>
                </c:pt>
                <c:pt idx="104">
                  <c:v>98.965666742366423</c:v>
                </c:pt>
                <c:pt idx="105">
                  <c:v>98.895472469393269</c:v>
                </c:pt>
                <c:pt idx="106">
                  <c:v>98.796374672254686</c:v>
                </c:pt>
                <c:pt idx="107">
                  <c:v>98.767471148089271</c:v>
                </c:pt>
                <c:pt idx="108">
                  <c:v>98.649792513987208</c:v>
                </c:pt>
                <c:pt idx="109">
                  <c:v>98.639469826785302</c:v>
                </c:pt>
                <c:pt idx="110">
                  <c:v>98.69314780023538</c:v>
                </c:pt>
                <c:pt idx="111">
                  <c:v>98.58785639077567</c:v>
                </c:pt>
                <c:pt idx="112">
                  <c:v>98.58785639077567</c:v>
                </c:pt>
                <c:pt idx="113">
                  <c:v>98.645663439106528</c:v>
                </c:pt>
                <c:pt idx="114">
                  <c:v>98.492887668517895</c:v>
                </c:pt>
                <c:pt idx="115">
                  <c:v>98.546565641968002</c:v>
                </c:pt>
                <c:pt idx="116">
                  <c:v>98.544501104527541</c:v>
                </c:pt>
                <c:pt idx="117">
                  <c:v>98.50114581827944</c:v>
                </c:pt>
                <c:pt idx="118">
                  <c:v>98.474306831554358</c:v>
                </c:pt>
                <c:pt idx="119">
                  <c:v>98.499081280839064</c:v>
                </c:pt>
                <c:pt idx="120">
                  <c:v>98.482564981316003</c:v>
                </c:pt>
                <c:pt idx="121">
                  <c:v>98.480500443875599</c:v>
                </c:pt>
                <c:pt idx="122">
                  <c:v>98.457790532031268</c:v>
                </c:pt>
                <c:pt idx="123">
                  <c:v>98.478435906435124</c:v>
                </c:pt>
                <c:pt idx="124">
                  <c:v>98.393789871379312</c:v>
                </c:pt>
                <c:pt idx="125">
                  <c:v>98.46604868179287</c:v>
                </c:pt>
                <c:pt idx="126">
                  <c:v>98.412370708342792</c:v>
                </c:pt>
                <c:pt idx="127">
                  <c:v>98.412370708342792</c:v>
                </c:pt>
                <c:pt idx="128">
                  <c:v>98.424757932985088</c:v>
                </c:pt>
                <c:pt idx="129">
                  <c:v>98.364886347213883</c:v>
                </c:pt>
                <c:pt idx="130">
                  <c:v>98.356628197452324</c:v>
                </c:pt>
                <c:pt idx="131">
                  <c:v>98.371079959535052</c:v>
                </c:pt>
                <c:pt idx="132">
                  <c:v>98.309143836323443</c:v>
                </c:pt>
                <c:pt idx="133">
                  <c:v>98.298821149121508</c:v>
                </c:pt>
                <c:pt idx="134">
                  <c:v>98.267853087515775</c:v>
                </c:pt>
                <c:pt idx="135">
                  <c:v>98.259594937754173</c:v>
                </c:pt>
                <c:pt idx="136">
                  <c:v>98.265788550075342</c:v>
                </c:pt>
                <c:pt idx="137">
                  <c:v>98.296756611681133</c:v>
                </c:pt>
                <c:pt idx="138">
                  <c:v>98.234820488469566</c:v>
                </c:pt>
                <c:pt idx="139">
                  <c:v>98.232755951029148</c:v>
                </c:pt>
                <c:pt idx="140">
                  <c:v>98.253401325433018</c:v>
                </c:pt>
                <c:pt idx="141">
                  <c:v>98.251336787992656</c:v>
                </c:pt>
                <c:pt idx="142">
                  <c:v>98.302950224002331</c:v>
                </c:pt>
                <c:pt idx="143">
                  <c:v>98.311208373763847</c:v>
                </c:pt>
                <c:pt idx="144">
                  <c:v>98.369015422094662</c:v>
                </c:pt>
                <c:pt idx="145">
                  <c:v>98.315337448644598</c:v>
                </c:pt>
                <c:pt idx="146">
                  <c:v>98.298821149121551</c:v>
                </c:pt>
                <c:pt idx="147">
                  <c:v>98.25133678799267</c:v>
                </c:pt>
                <c:pt idx="148">
                  <c:v>98.259594937754187</c:v>
                </c:pt>
                <c:pt idx="149">
                  <c:v>98.21830418894649</c:v>
                </c:pt>
                <c:pt idx="150">
                  <c:v>98.245143175671501</c:v>
                </c:pt>
                <c:pt idx="151">
                  <c:v>98.255465862873407</c:v>
                </c:pt>
                <c:pt idx="152">
                  <c:v>98.253401325433032</c:v>
                </c:pt>
                <c:pt idx="153">
                  <c:v>98.25133678799267</c:v>
                </c:pt>
                <c:pt idx="154">
                  <c:v>98.259594937754187</c:v>
                </c:pt>
                <c:pt idx="155">
                  <c:v>98.253401325433032</c:v>
                </c:pt>
                <c:pt idx="156">
                  <c:v>98.269917624956165</c:v>
                </c:pt>
                <c:pt idx="157">
                  <c:v>98.315337448644627</c:v>
                </c:pt>
                <c:pt idx="158">
                  <c:v>98.257530400313868</c:v>
                </c:pt>
                <c:pt idx="159">
                  <c:v>98.243078638231111</c:v>
                </c:pt>
                <c:pt idx="160">
                  <c:v>98.263724012634938</c:v>
                </c:pt>
                <c:pt idx="161">
                  <c:v>98.29262753680041</c:v>
                </c:pt>
                <c:pt idx="162">
                  <c:v>98.307079298883139</c:v>
                </c:pt>
                <c:pt idx="163">
                  <c:v>98.340111897929319</c:v>
                </c:pt>
                <c:pt idx="164">
                  <c:v>98.375209034415889</c:v>
                </c:pt>
                <c:pt idx="165">
                  <c:v>98.34217643536968</c:v>
                </c:pt>
                <c:pt idx="166">
                  <c:v>98.385531721617809</c:v>
                </c:pt>
                <c:pt idx="167">
                  <c:v>98.406177096021636</c:v>
                </c:pt>
                <c:pt idx="168">
                  <c:v>98.344240972810127</c:v>
                </c:pt>
                <c:pt idx="169">
                  <c:v>98.342176435369709</c:v>
                </c:pt>
                <c:pt idx="170">
                  <c:v>98.317401986085102</c:v>
                </c:pt>
                <c:pt idx="171">
                  <c:v>98.309143836323514</c:v>
                </c:pt>
                <c:pt idx="172">
                  <c:v>98.305014761442777</c:v>
                </c:pt>
                <c:pt idx="173">
                  <c:v>98.292627536800453</c:v>
                </c:pt>
                <c:pt idx="174">
                  <c:v>98.317401986085073</c:v>
                </c:pt>
                <c:pt idx="175">
                  <c:v>98.325660135846576</c:v>
                </c:pt>
                <c:pt idx="176">
                  <c:v>98.298821149121579</c:v>
                </c:pt>
                <c:pt idx="177">
                  <c:v>98.325660135846576</c:v>
                </c:pt>
                <c:pt idx="178">
                  <c:v>98.292627536800438</c:v>
                </c:pt>
                <c:pt idx="179">
                  <c:v>98.286433924479269</c:v>
                </c:pt>
                <c:pt idx="180">
                  <c:v>98.276111237277334</c:v>
                </c:pt>
                <c:pt idx="181">
                  <c:v>98.27198216239654</c:v>
                </c:pt>
                <c:pt idx="182">
                  <c:v>98.265788550075385</c:v>
                </c:pt>
                <c:pt idx="183">
                  <c:v>98.274046699836944</c:v>
                </c:pt>
                <c:pt idx="184">
                  <c:v>98.305014761442763</c:v>
                </c:pt>
                <c:pt idx="185">
                  <c:v>98.321531060965853</c:v>
                </c:pt>
                <c:pt idx="186">
                  <c:v>98.340111897929319</c:v>
                </c:pt>
                <c:pt idx="187">
                  <c:v>98.379338109296611</c:v>
                </c:pt>
                <c:pt idx="188">
                  <c:v>98.395854408819773</c:v>
                </c:pt>
                <c:pt idx="189">
                  <c:v>98.412370708342863</c:v>
                </c:pt>
                <c:pt idx="190">
                  <c:v>98.416499783223671</c:v>
                </c:pt>
                <c:pt idx="191">
                  <c:v>98.422693395544798</c:v>
                </c:pt>
                <c:pt idx="192">
                  <c:v>98.362821809773578</c:v>
                </c:pt>
                <c:pt idx="193">
                  <c:v>98.389660796498589</c:v>
                </c:pt>
                <c:pt idx="194">
                  <c:v>98.428887007865924</c:v>
                </c:pt>
                <c:pt idx="195">
                  <c:v>98.360757272333188</c:v>
                </c:pt>
                <c:pt idx="196">
                  <c:v>98.342176435369709</c:v>
                </c:pt>
                <c:pt idx="197">
                  <c:v>98.3380473604889</c:v>
                </c:pt>
                <c:pt idx="198">
                  <c:v>98.263724012635038</c:v>
                </c:pt>
                <c:pt idx="199">
                  <c:v>98.269917624956193</c:v>
                </c:pt>
                <c:pt idx="200">
                  <c:v>98.243078638231168</c:v>
                </c:pt>
                <c:pt idx="201">
                  <c:v>98.245143175671544</c:v>
                </c:pt>
                <c:pt idx="202">
                  <c:v>98.27817577471771</c:v>
                </c:pt>
                <c:pt idx="203">
                  <c:v>98.302950224002373</c:v>
                </c:pt>
                <c:pt idx="204">
                  <c:v>98.313272911204308</c:v>
                </c:pt>
                <c:pt idx="205">
                  <c:v>98.292627536800453</c:v>
                </c:pt>
                <c:pt idx="206">
                  <c:v>98.366950884654358</c:v>
                </c:pt>
                <c:pt idx="207">
                  <c:v>98.393789871379383</c:v>
                </c:pt>
                <c:pt idx="208">
                  <c:v>98.389660796498589</c:v>
                </c:pt>
                <c:pt idx="209">
                  <c:v>98.445403307389043</c:v>
                </c:pt>
                <c:pt idx="210">
                  <c:v>98.548630179408349</c:v>
                </c:pt>
                <c:pt idx="211">
                  <c:v>98.513533042921779</c:v>
                </c:pt>
                <c:pt idx="212">
                  <c:v>98.523855730123728</c:v>
                </c:pt>
                <c:pt idx="213">
                  <c:v>98.561017404050702</c:v>
                </c:pt>
                <c:pt idx="214">
                  <c:v>98.573404628693012</c:v>
                </c:pt>
                <c:pt idx="215">
                  <c:v>98.583727315894905</c:v>
                </c:pt>
                <c:pt idx="216">
                  <c:v>98.596114540537314</c:v>
                </c:pt>
                <c:pt idx="217">
                  <c:v>98.542436567087208</c:v>
                </c:pt>
                <c:pt idx="218">
                  <c:v>98.474306831554443</c:v>
                </c:pt>
                <c:pt idx="219">
                  <c:v>98.474306831554443</c:v>
                </c:pt>
                <c:pt idx="220">
                  <c:v>98.414435245783295</c:v>
                </c:pt>
                <c:pt idx="221">
                  <c:v>98.468113219233359</c:v>
                </c:pt>
                <c:pt idx="222">
                  <c:v>98.395854408819815</c:v>
                </c:pt>
                <c:pt idx="223">
                  <c:v>98.441274232508306</c:v>
                </c:pt>
                <c:pt idx="224">
                  <c:v>98.486694056196811</c:v>
                </c:pt>
                <c:pt idx="225">
                  <c:v>98.530049342444869</c:v>
                </c:pt>
                <c:pt idx="226">
                  <c:v>98.660115201189257</c:v>
                </c:pt>
                <c:pt idx="227">
                  <c:v>98.695212337675784</c:v>
                </c:pt>
                <c:pt idx="228">
                  <c:v>98.689018725354629</c:v>
                </c:pt>
                <c:pt idx="229">
                  <c:v>98.649792513987265</c:v>
                </c:pt>
                <c:pt idx="230">
                  <c:v>98.672502425831524</c:v>
                </c:pt>
                <c:pt idx="231">
                  <c:v>98.691083262795033</c:v>
                </c:pt>
                <c:pt idx="232">
                  <c:v>98.678696038152665</c:v>
                </c:pt>
                <c:pt idx="233">
                  <c:v>98.689018725354615</c:v>
                </c:pt>
                <c:pt idx="234">
                  <c:v>98.689018725354615</c:v>
                </c:pt>
                <c:pt idx="235">
                  <c:v>98.625018064702658</c:v>
                </c:pt>
                <c:pt idx="236">
                  <c:v>98.583727315894876</c:v>
                </c:pt>
                <c:pt idx="237">
                  <c:v>98.567211016371843</c:v>
                </c:pt>
                <c:pt idx="238">
                  <c:v>98.569275553812233</c:v>
                </c:pt>
                <c:pt idx="239">
                  <c:v>98.589920928216131</c:v>
                </c:pt>
                <c:pt idx="240">
                  <c:v>98.662179738629575</c:v>
                </c:pt>
                <c:pt idx="241">
                  <c:v>98.757148460887407</c:v>
                </c:pt>
                <c:pt idx="242">
                  <c:v>98.750954848566252</c:v>
                </c:pt>
                <c:pt idx="243">
                  <c:v>98.922311456118308</c:v>
                </c:pt>
                <c:pt idx="244">
                  <c:v>98.963602204926062</c:v>
                </c:pt>
                <c:pt idx="245">
                  <c:v>98.947085905402986</c:v>
                </c:pt>
                <c:pt idx="246">
                  <c:v>98.994570266531838</c:v>
                </c:pt>
                <c:pt idx="247">
                  <c:v>99.035861015339549</c:v>
                </c:pt>
                <c:pt idx="248">
                  <c:v>99.048248239981888</c:v>
                </c:pt>
                <c:pt idx="249">
                  <c:v>99.019344715816501</c:v>
                </c:pt>
                <c:pt idx="250">
                  <c:v>98.945021367962596</c:v>
                </c:pt>
                <c:pt idx="251">
                  <c:v>98.965666742366466</c:v>
                </c:pt>
                <c:pt idx="252">
                  <c:v>98.971860354687578</c:v>
                </c:pt>
                <c:pt idx="253">
                  <c:v>99.021409253256849</c:v>
                </c:pt>
                <c:pt idx="254">
                  <c:v>99.048248239981888</c:v>
                </c:pt>
                <c:pt idx="255">
                  <c:v>99.017280178376097</c:v>
                </c:pt>
                <c:pt idx="256">
                  <c:v>98.961537667485672</c:v>
                </c:pt>
                <c:pt idx="257">
                  <c:v>98.959473130045282</c:v>
                </c:pt>
                <c:pt idx="258">
                  <c:v>98.870698020108648</c:v>
                </c:pt>
                <c:pt idx="259">
                  <c:v>98.835600883622078</c:v>
                </c:pt>
                <c:pt idx="260">
                  <c:v>98.864504407787507</c:v>
                </c:pt>
                <c:pt idx="261">
                  <c:v>98.804632822016288</c:v>
                </c:pt>
                <c:pt idx="262">
                  <c:v>98.827342733860505</c:v>
                </c:pt>
                <c:pt idx="263">
                  <c:v>98.808761896897039</c:v>
                </c:pt>
                <c:pt idx="264">
                  <c:v>98.84179449594329</c:v>
                </c:pt>
                <c:pt idx="265">
                  <c:v>98.860375332906685</c:v>
                </c:pt>
                <c:pt idx="266">
                  <c:v>98.850052645704778</c:v>
                </c:pt>
                <c:pt idx="267">
                  <c:v>98.833536346181674</c:v>
                </c:pt>
                <c:pt idx="268">
                  <c:v>98.860375332906685</c:v>
                </c:pt>
                <c:pt idx="269">
                  <c:v>98.781922910172085</c:v>
                </c:pt>
                <c:pt idx="270">
                  <c:v>98.887214319631752</c:v>
                </c:pt>
                <c:pt idx="271">
                  <c:v>98.901666081714538</c:v>
                </c:pt>
                <c:pt idx="272">
                  <c:v>98.951214980283808</c:v>
                </c:pt>
                <c:pt idx="273">
                  <c:v>98.914053306356791</c:v>
                </c:pt>
                <c:pt idx="274">
                  <c:v>98.901666081714509</c:v>
                </c:pt>
                <c:pt idx="275">
                  <c:v>98.901666081714509</c:v>
                </c:pt>
                <c:pt idx="276">
                  <c:v>98.881020707310597</c:v>
                </c:pt>
                <c:pt idx="277">
                  <c:v>98.814955509218251</c:v>
                </c:pt>
                <c:pt idx="278">
                  <c:v>98.761277535768173</c:v>
                </c:pt>
                <c:pt idx="279">
                  <c:v>98.757148460887407</c:v>
                </c:pt>
                <c:pt idx="280">
                  <c:v>98.771600222970122</c:v>
                </c:pt>
                <c:pt idx="281">
                  <c:v>98.753019386006613</c:v>
                </c:pt>
                <c:pt idx="282">
                  <c:v>98.76540661064891</c:v>
                </c:pt>
                <c:pt idx="283">
                  <c:v>98.786051985052794</c:v>
                </c:pt>
                <c:pt idx="284">
                  <c:v>98.808761896896996</c:v>
                </c:pt>
                <c:pt idx="285">
                  <c:v>98.85005264570475</c:v>
                </c:pt>
                <c:pt idx="286">
                  <c:v>98.864504407787464</c:v>
                </c:pt>
                <c:pt idx="287">
                  <c:v>98.916117843797124</c:v>
                </c:pt>
                <c:pt idx="288">
                  <c:v>99.015215640935736</c:v>
                </c:pt>
                <c:pt idx="289">
                  <c:v>99.060635464624198</c:v>
                </c:pt>
                <c:pt idx="290">
                  <c:v>99.19689493568967</c:v>
                </c:pt>
                <c:pt idx="291">
                  <c:v>99.529285463591918</c:v>
                </c:pt>
                <c:pt idx="292">
                  <c:v>99.723351982988248</c:v>
                </c:pt>
                <c:pt idx="293">
                  <c:v>99.991741850238498</c:v>
                </c:pt>
                <c:pt idx="294">
                  <c:v>100.71845902925456</c:v>
                </c:pt>
                <c:pt idx="295">
                  <c:v>101.12104383012986</c:v>
                </c:pt>
                <c:pt idx="296">
                  <c:v>101.31923942440703</c:v>
                </c:pt>
                <c:pt idx="297">
                  <c:v>101.27175506327812</c:v>
                </c:pt>
                <c:pt idx="298">
                  <c:v>101.6206618907034</c:v>
                </c:pt>
                <c:pt idx="299">
                  <c:v>101.90143898259598</c:v>
                </c:pt>
                <c:pt idx="300">
                  <c:v>102.19666783657122</c:v>
                </c:pt>
                <c:pt idx="301">
                  <c:v>102.2833784090675</c:v>
                </c:pt>
                <c:pt idx="302">
                  <c:v>102.38660528108682</c:v>
                </c:pt>
                <c:pt idx="303">
                  <c:v>102.6570596857775</c:v>
                </c:pt>
                <c:pt idx="304">
                  <c:v>102.90273964118343</c:v>
                </c:pt>
                <c:pt idx="305">
                  <c:v>103.39203501455495</c:v>
                </c:pt>
                <c:pt idx="306">
                  <c:v>104.14972025517686</c:v>
                </c:pt>
                <c:pt idx="307">
                  <c:v>104.25088258975578</c:v>
                </c:pt>
                <c:pt idx="308">
                  <c:v>104.15591386749799</c:v>
                </c:pt>
                <c:pt idx="309">
                  <c:v>103.84003963911893</c:v>
                </c:pt>
                <c:pt idx="310">
                  <c:v>103.54687532258396</c:v>
                </c:pt>
                <c:pt idx="311">
                  <c:v>103.09680616057975</c:v>
                </c:pt>
                <c:pt idx="312">
                  <c:v>102.5208002147119</c:v>
                </c:pt>
                <c:pt idx="313">
                  <c:v>101.80234118545739</c:v>
                </c:pt>
                <c:pt idx="314">
                  <c:v>101.40594999690322</c:v>
                </c:pt>
                <c:pt idx="315">
                  <c:v>100.4459400871235</c:v>
                </c:pt>
                <c:pt idx="316">
                  <c:v>100.23742180564447</c:v>
                </c:pt>
                <c:pt idx="317">
                  <c:v>100.36129405206766</c:v>
                </c:pt>
                <c:pt idx="318">
                  <c:v>100.04129074880781</c:v>
                </c:pt>
                <c:pt idx="319">
                  <c:v>99.915353964944217</c:v>
                </c:pt>
                <c:pt idx="320">
                  <c:v>99.618060573528467</c:v>
                </c:pt>
                <c:pt idx="321">
                  <c:v>99.277411895864759</c:v>
                </c:pt>
                <c:pt idx="322">
                  <c:v>99.058570927183737</c:v>
                </c:pt>
                <c:pt idx="323">
                  <c:v>99.029667403018394</c:v>
                </c:pt>
                <c:pt idx="324">
                  <c:v>99.011086566054885</c:v>
                </c:pt>
                <c:pt idx="325">
                  <c:v>99.021409253256849</c:v>
                </c:pt>
                <c:pt idx="326">
                  <c:v>98.998699341412646</c:v>
                </c:pt>
                <c:pt idx="327">
                  <c:v>98.949150442843347</c:v>
                </c:pt>
                <c:pt idx="328">
                  <c:v>99.097797138551073</c:v>
                </c:pt>
                <c:pt idx="329">
                  <c:v>99.23612114705702</c:v>
                </c:pt>
                <c:pt idx="330">
                  <c:v>99.504511014307283</c:v>
                </c:pt>
                <c:pt idx="331">
                  <c:v>99.746061894832465</c:v>
                </c:pt>
                <c:pt idx="332">
                  <c:v>99.946322026549907</c:v>
                </c:pt>
                <c:pt idx="333">
                  <c:v>100.34064867766375</c:v>
                </c:pt>
                <c:pt idx="334">
                  <c:v>100.57394140842739</c:v>
                </c:pt>
                <c:pt idx="335">
                  <c:v>100.67923281788708</c:v>
                </c:pt>
                <c:pt idx="336">
                  <c:v>100.93523546049506</c:v>
                </c:pt>
                <c:pt idx="337">
                  <c:v>100.72671717901601</c:v>
                </c:pt>
                <c:pt idx="338">
                  <c:v>100.31174515349829</c:v>
                </c:pt>
                <c:pt idx="339">
                  <c:v>100.05780704833079</c:v>
                </c:pt>
                <c:pt idx="340">
                  <c:v>99.84722422941141</c:v>
                </c:pt>
                <c:pt idx="341">
                  <c:v>99.444639428536036</c:v>
                </c:pt>
                <c:pt idx="342">
                  <c:v>99.508640089187992</c:v>
                </c:pt>
                <c:pt idx="343">
                  <c:v>99.560253525197709</c:v>
                </c:pt>
                <c:pt idx="344">
                  <c:v>99.717158370667036</c:v>
                </c:pt>
                <c:pt idx="345">
                  <c:v>99.886450440778731</c:v>
                </c:pt>
                <c:pt idx="346">
                  <c:v>99.905031277742211</c:v>
                </c:pt>
                <c:pt idx="347">
                  <c:v>99.72128744554783</c:v>
                </c:pt>
                <c:pt idx="348">
                  <c:v>99.611866961207369</c:v>
                </c:pt>
                <c:pt idx="349">
                  <c:v>99.589157049363095</c:v>
                </c:pt>
                <c:pt idx="350">
                  <c:v>99.533414538472655</c:v>
                </c:pt>
                <c:pt idx="351">
                  <c:v>99.457026653178374</c:v>
                </c:pt>
                <c:pt idx="352">
                  <c:v>99.390961455085986</c:v>
                </c:pt>
                <c:pt idx="353">
                  <c:v>99.35173524371865</c:v>
                </c:pt>
                <c:pt idx="354">
                  <c:v>99.310444494910925</c:v>
                </c:pt>
                <c:pt idx="355">
                  <c:v>99.430187666453307</c:v>
                </c:pt>
                <c:pt idx="356">
                  <c:v>99.467349340380323</c:v>
                </c:pt>
                <c:pt idx="357">
                  <c:v>99.388896917645567</c:v>
                </c:pt>
                <c:pt idx="358">
                  <c:v>99.359993393480138</c:v>
                </c:pt>
                <c:pt idx="359">
                  <c:v>99.165926874083809</c:v>
                </c:pt>
                <c:pt idx="360">
                  <c:v>99.083345376468358</c:v>
                </c:pt>
                <c:pt idx="361">
                  <c:v>99.029667403018394</c:v>
                </c:pt>
                <c:pt idx="362">
                  <c:v>98.889278857072071</c:v>
                </c:pt>
                <c:pt idx="363">
                  <c:v>98.980118504449109</c:v>
                </c:pt>
                <c:pt idx="364">
                  <c:v>99.114313438074234</c:v>
                </c:pt>
                <c:pt idx="365">
                  <c:v>99.366187005801379</c:v>
                </c:pt>
                <c:pt idx="366">
                  <c:v>99.498317401986114</c:v>
                </c:pt>
                <c:pt idx="367">
                  <c:v>99.601544274005434</c:v>
                </c:pt>
                <c:pt idx="368">
                  <c:v>99.585027974482315</c:v>
                </c:pt>
                <c:pt idx="369">
                  <c:v>99.618060573528496</c:v>
                </c:pt>
                <c:pt idx="370">
                  <c:v>99.791481718520984</c:v>
                </c:pt>
                <c:pt idx="371">
                  <c:v>99.890579515659525</c:v>
                </c:pt>
                <c:pt idx="372">
                  <c:v>99.995870925119291</c:v>
                </c:pt>
                <c:pt idx="373">
                  <c:v>100.15484030802899</c:v>
                </c:pt>
                <c:pt idx="374">
                  <c:v>100.28284162933302</c:v>
                </c:pt>
                <c:pt idx="375">
                  <c:v>100.46039184920626</c:v>
                </c:pt>
                <c:pt idx="376">
                  <c:v>100.48723083593127</c:v>
                </c:pt>
                <c:pt idx="377">
                  <c:v>100.44800462456392</c:v>
                </c:pt>
                <c:pt idx="378">
                  <c:v>100.25806718004836</c:v>
                </c:pt>
                <c:pt idx="379">
                  <c:v>100.02683898672504</c:v>
                </c:pt>
                <c:pt idx="380">
                  <c:v>99.849288766851799</c:v>
                </c:pt>
                <c:pt idx="381">
                  <c:v>99.638705947932408</c:v>
                </c:pt>
                <c:pt idx="382">
                  <c:v>99.677932159299715</c:v>
                </c:pt>
                <c:pt idx="383">
                  <c:v>99.861675991494138</c:v>
                </c:pt>
                <c:pt idx="384">
                  <c:v>99.956644713751885</c:v>
                </c:pt>
                <c:pt idx="385">
                  <c:v>100.16929207011171</c:v>
                </c:pt>
                <c:pt idx="386">
                  <c:v>100.18993744451558</c:v>
                </c:pt>
                <c:pt idx="387">
                  <c:v>100.12387224642315</c:v>
                </c:pt>
                <c:pt idx="388">
                  <c:v>100.0557425108904</c:v>
                </c:pt>
                <c:pt idx="389">
                  <c:v>100.01032268720196</c:v>
                </c:pt>
                <c:pt idx="390">
                  <c:v>100.16309845779053</c:v>
                </c:pt>
                <c:pt idx="391">
                  <c:v>100.19819559427712</c:v>
                </c:pt>
                <c:pt idx="392">
                  <c:v>100.30142246629644</c:v>
                </c:pt>
                <c:pt idx="393">
                  <c:v>100.26632532980989</c:v>
                </c:pt>
                <c:pt idx="394">
                  <c:v>100.23742180564447</c:v>
                </c:pt>
                <c:pt idx="395">
                  <c:v>100.1672275326713</c:v>
                </c:pt>
                <c:pt idx="396">
                  <c:v>100.13006585874435</c:v>
                </c:pt>
                <c:pt idx="397">
                  <c:v>100.17755021987327</c:v>
                </c:pt>
                <c:pt idx="398">
                  <c:v>100.19613105683669</c:v>
                </c:pt>
                <c:pt idx="399">
                  <c:v>100.13006585874435</c:v>
                </c:pt>
                <c:pt idx="400">
                  <c:v>100.16516299523094</c:v>
                </c:pt>
                <c:pt idx="401">
                  <c:v>100.0949687222578</c:v>
                </c:pt>
                <c:pt idx="402">
                  <c:v>100.05780704833084</c:v>
                </c:pt>
                <c:pt idx="403">
                  <c:v>99.966967400953862</c:v>
                </c:pt>
                <c:pt idx="404">
                  <c:v>99.985548237917342</c:v>
                </c:pt>
                <c:pt idx="405">
                  <c:v>100.07225881041353</c:v>
                </c:pt>
                <c:pt idx="406">
                  <c:v>100.14038854594635</c:v>
                </c:pt>
                <c:pt idx="407">
                  <c:v>100.18167929475408</c:v>
                </c:pt>
                <c:pt idx="408">
                  <c:v>100.27664801701182</c:v>
                </c:pt>
                <c:pt idx="409">
                  <c:v>100.5780704833083</c:v>
                </c:pt>
                <c:pt idx="410">
                  <c:v>100.54916695914291</c:v>
                </c:pt>
                <c:pt idx="411">
                  <c:v>100.59252224539101</c:v>
                </c:pt>
                <c:pt idx="412">
                  <c:v>100.58426409562946</c:v>
                </c:pt>
                <c:pt idx="413">
                  <c:v>100.5140698226563</c:v>
                </c:pt>
                <c:pt idx="414">
                  <c:v>100.60284493259287</c:v>
                </c:pt>
                <c:pt idx="415">
                  <c:v>100.64207114396025</c:v>
                </c:pt>
                <c:pt idx="416">
                  <c:v>100.74942709086039</c:v>
                </c:pt>
                <c:pt idx="417">
                  <c:v>100.77420154014504</c:v>
                </c:pt>
                <c:pt idx="418">
                  <c:v>100.86710572496244</c:v>
                </c:pt>
                <c:pt idx="419">
                  <c:v>100.91665462353173</c:v>
                </c:pt>
                <c:pt idx="420">
                  <c:v>100.81755682639314</c:v>
                </c:pt>
                <c:pt idx="421">
                  <c:v>100.68129735532764</c:v>
                </c:pt>
                <c:pt idx="422">
                  <c:v>100.41290748807747</c:v>
                </c:pt>
                <c:pt idx="423">
                  <c:v>100.19406651939644</c:v>
                </c:pt>
                <c:pt idx="424">
                  <c:v>100.11561409666173</c:v>
                </c:pt>
                <c:pt idx="425">
                  <c:v>100.00619361232127</c:v>
                </c:pt>
                <c:pt idx="426">
                  <c:v>100.18374383219445</c:v>
                </c:pt>
                <c:pt idx="427">
                  <c:v>100.18993744451568</c:v>
                </c:pt>
                <c:pt idx="428">
                  <c:v>100.2167764312407</c:v>
                </c:pt>
                <c:pt idx="429">
                  <c:v>100.19613105683678</c:v>
                </c:pt>
                <c:pt idx="430">
                  <c:v>100.18580836963484</c:v>
                </c:pt>
                <c:pt idx="431">
                  <c:v>100.26632532980999</c:v>
                </c:pt>
                <c:pt idx="432">
                  <c:v>100.67097466812574</c:v>
                </c:pt>
                <c:pt idx="433">
                  <c:v>100.83407312591629</c:v>
                </c:pt>
                <c:pt idx="434">
                  <c:v>100.8691702624028</c:v>
                </c:pt>
                <c:pt idx="435">
                  <c:v>100.87329933728358</c:v>
                </c:pt>
                <c:pt idx="436">
                  <c:v>100.87123479984322</c:v>
                </c:pt>
                <c:pt idx="437">
                  <c:v>101.19123810310309</c:v>
                </c:pt>
                <c:pt idx="438">
                  <c:v>101.19743171542423</c:v>
                </c:pt>
                <c:pt idx="439">
                  <c:v>101.39975638458215</c:v>
                </c:pt>
                <c:pt idx="440">
                  <c:v>101.35846563577444</c:v>
                </c:pt>
                <c:pt idx="441">
                  <c:v>101.09007576852416</c:v>
                </c:pt>
                <c:pt idx="442">
                  <c:v>101.36672378553601</c:v>
                </c:pt>
                <c:pt idx="443">
                  <c:v>101.43898259594951</c:v>
                </c:pt>
                <c:pt idx="444">
                  <c:v>101.50917686892267</c:v>
                </c:pt>
                <c:pt idx="445">
                  <c:v>101.60621012862079</c:v>
                </c:pt>
                <c:pt idx="446">
                  <c:v>101.65782356463049</c:v>
                </c:pt>
                <c:pt idx="447">
                  <c:v>101.8498255465864</c:v>
                </c:pt>
                <c:pt idx="448">
                  <c:v>102.06453744038663</c:v>
                </c:pt>
                <c:pt idx="449">
                  <c:v>102.05215021574431</c:v>
                </c:pt>
                <c:pt idx="450">
                  <c:v>101.99021409253272</c:v>
                </c:pt>
                <c:pt idx="451">
                  <c:v>101.83124470962296</c:v>
                </c:pt>
                <c:pt idx="452">
                  <c:v>101.81885748498063</c:v>
                </c:pt>
                <c:pt idx="453">
                  <c:v>101.7218242252825</c:v>
                </c:pt>
                <c:pt idx="454">
                  <c:v>101.81266387265941</c:v>
                </c:pt>
                <c:pt idx="455">
                  <c:v>101.90556805747681</c:v>
                </c:pt>
                <c:pt idx="456">
                  <c:v>101.93860065652301</c:v>
                </c:pt>
                <c:pt idx="457">
                  <c:v>101.91795528211921</c:v>
                </c:pt>
                <c:pt idx="458">
                  <c:v>101.884922683073</c:v>
                </c:pt>
                <c:pt idx="459">
                  <c:v>101.96131056836732</c:v>
                </c:pt>
                <c:pt idx="460">
                  <c:v>101.93447158164227</c:v>
                </c:pt>
                <c:pt idx="461">
                  <c:v>101.9365361190826</c:v>
                </c:pt>
                <c:pt idx="462">
                  <c:v>102.01498854181737</c:v>
                </c:pt>
                <c:pt idx="463">
                  <c:v>102.14505440056168</c:v>
                </c:pt>
                <c:pt idx="464">
                  <c:v>102.31434647067337</c:v>
                </c:pt>
                <c:pt idx="465">
                  <c:v>102.38866981852728</c:v>
                </c:pt>
                <c:pt idx="466">
                  <c:v>102.63641431137367</c:v>
                </c:pt>
                <c:pt idx="467">
                  <c:v>102.68596320994298</c:v>
                </c:pt>
              </c:numCache>
            </c:numRef>
          </c:val>
          <c:smooth val="0"/>
          <c:extLst>
            <c:ext xmlns:c16="http://schemas.microsoft.com/office/drawing/2014/chart" uri="{C3380CC4-5D6E-409C-BE32-E72D297353CC}">
              <c16:uniqueId val="{00000000-FCCC-4543-8000-6EEE235E3B8B}"/>
            </c:ext>
          </c:extLst>
        </c:ser>
        <c:ser>
          <c:idx val="1"/>
          <c:order val="1"/>
          <c:tx>
            <c:strRef>
              <c:f>Sheet1!$C$1</c:f>
              <c:strCache>
                <c:ptCount val="1"/>
                <c:pt idx="0">
                  <c:v>RUB/AMD</c:v>
                </c:pt>
              </c:strCache>
            </c:strRef>
          </c:tx>
          <c:spPr>
            <a:ln w="28575" cap="rnd">
              <a:solidFill>
                <a:srgbClr val="FFC000"/>
              </a:solidFill>
              <a:round/>
            </a:ln>
            <a:effectLst/>
          </c:spPr>
          <c:marker>
            <c:symbol val="none"/>
          </c:marker>
          <c:cat>
            <c:strRef>
              <c:f>Sheet1!$A$2:$A$966</c:f>
              <c:strCache>
                <c:ptCount val="468"/>
                <c:pt idx="0">
                  <c:v>8/1/2019</c:v>
                </c:pt>
                <c:pt idx="1">
                  <c:v>9/1/2019</c:v>
                </c:pt>
                <c:pt idx="2">
                  <c:v>10/1/2019</c:v>
                </c:pt>
                <c:pt idx="3">
                  <c:v>11/1/2019</c:v>
                </c:pt>
                <c:pt idx="4">
                  <c:v>14/01/2019</c:v>
                </c:pt>
                <c:pt idx="5">
                  <c:v>15/01/2019</c:v>
                </c:pt>
                <c:pt idx="6">
                  <c:v>16/01/2019</c:v>
                </c:pt>
                <c:pt idx="7">
                  <c:v>17/01/2019</c:v>
                </c:pt>
                <c:pt idx="8">
                  <c:v>18/01/2019</c:v>
                </c:pt>
                <c:pt idx="9">
                  <c:v>21/01/2019</c:v>
                </c:pt>
                <c:pt idx="10">
                  <c:v>22/01/2019</c:v>
                </c:pt>
                <c:pt idx="11">
                  <c:v>23/01/2019</c:v>
                </c:pt>
                <c:pt idx="12">
                  <c:v>24/01/2019</c:v>
                </c:pt>
                <c:pt idx="13">
                  <c:v>25/01/2019</c:v>
                </c:pt>
                <c:pt idx="14">
                  <c:v>29/01/2019</c:v>
                </c:pt>
                <c:pt idx="15">
                  <c:v>30/01/2019</c:v>
                </c:pt>
                <c:pt idx="16">
                  <c:v>31/01/2019</c:v>
                </c:pt>
                <c:pt idx="17">
                  <c:v>1/2/2019</c:v>
                </c:pt>
                <c:pt idx="18">
                  <c:v>4/2/2019</c:v>
                </c:pt>
                <c:pt idx="19">
                  <c:v>5/2/2019</c:v>
                </c:pt>
                <c:pt idx="20">
                  <c:v>6/2/2019</c:v>
                </c:pt>
                <c:pt idx="21">
                  <c:v>7/2/2019</c:v>
                </c:pt>
                <c:pt idx="22">
                  <c:v>8/2/2019</c:v>
                </c:pt>
                <c:pt idx="23">
                  <c:v>11/2/2019</c:v>
                </c:pt>
                <c:pt idx="24">
                  <c:v>12/2/2019</c:v>
                </c:pt>
                <c:pt idx="25">
                  <c:v>13/02/2019</c:v>
                </c:pt>
                <c:pt idx="26">
                  <c:v>14/02/2019</c:v>
                </c:pt>
                <c:pt idx="27">
                  <c:v>15/02/2019</c:v>
                </c:pt>
                <c:pt idx="28">
                  <c:v>18/02/2019</c:v>
                </c:pt>
                <c:pt idx="29">
                  <c:v>19/02/2019</c:v>
                </c:pt>
                <c:pt idx="30">
                  <c:v>20/02/2019</c:v>
                </c:pt>
                <c:pt idx="31">
                  <c:v>21/02/2019</c:v>
                </c:pt>
                <c:pt idx="32">
                  <c:v>22/02/2019</c:v>
                </c:pt>
                <c:pt idx="33">
                  <c:v>25/02/2019</c:v>
                </c:pt>
                <c:pt idx="34">
                  <c:v>26/02/2019</c:v>
                </c:pt>
                <c:pt idx="35">
                  <c:v>27/02/2019</c:v>
                </c:pt>
                <c:pt idx="36">
                  <c:v>28/02/2019</c:v>
                </c:pt>
                <c:pt idx="37">
                  <c:v>1/3/2019</c:v>
                </c:pt>
                <c:pt idx="38">
                  <c:v>4/3/2019</c:v>
                </c:pt>
                <c:pt idx="39">
                  <c:v>5/3/2019</c:v>
                </c:pt>
                <c:pt idx="40">
                  <c:v>6/3/2019</c:v>
                </c:pt>
                <c:pt idx="41">
                  <c:v>7/3/2019</c:v>
                </c:pt>
                <c:pt idx="42">
                  <c:v>11/3/2019</c:v>
                </c:pt>
                <c:pt idx="43">
                  <c:v>12/3/2019</c:v>
                </c:pt>
                <c:pt idx="44">
                  <c:v>13/03/2019</c:v>
                </c:pt>
                <c:pt idx="45">
                  <c:v>14/03/2019</c:v>
                </c:pt>
                <c:pt idx="46">
                  <c:v>15/03/2019</c:v>
                </c:pt>
                <c:pt idx="47">
                  <c:v>18/03/2019</c:v>
                </c:pt>
                <c:pt idx="48">
                  <c:v>19/03/2019</c:v>
                </c:pt>
                <c:pt idx="49">
                  <c:v>20/03/2019</c:v>
                </c:pt>
                <c:pt idx="50">
                  <c:v>21/03/2019</c:v>
                </c:pt>
                <c:pt idx="51">
                  <c:v>22/03/2019</c:v>
                </c:pt>
                <c:pt idx="52">
                  <c:v>25/03/2019</c:v>
                </c:pt>
                <c:pt idx="53">
                  <c:v>26/03/2019</c:v>
                </c:pt>
                <c:pt idx="54">
                  <c:v>27/03/2019</c:v>
                </c:pt>
                <c:pt idx="55">
                  <c:v>28/03/2019</c:v>
                </c:pt>
                <c:pt idx="56">
                  <c:v>29/03/2019</c:v>
                </c:pt>
                <c:pt idx="57">
                  <c:v>1/4/2019</c:v>
                </c:pt>
                <c:pt idx="58">
                  <c:v>2/4/2019</c:v>
                </c:pt>
                <c:pt idx="59">
                  <c:v>3/4/2019</c:v>
                </c:pt>
                <c:pt idx="60">
                  <c:v>4/4/2019</c:v>
                </c:pt>
                <c:pt idx="61">
                  <c:v>5/4/2019</c:v>
                </c:pt>
                <c:pt idx="62">
                  <c:v>8/4/2019</c:v>
                </c:pt>
                <c:pt idx="63">
                  <c:v>9/4/2019</c:v>
                </c:pt>
                <c:pt idx="64">
                  <c:v>10/4/2019</c:v>
                </c:pt>
                <c:pt idx="65">
                  <c:v>11/4/2019</c:v>
                </c:pt>
                <c:pt idx="66">
                  <c:v>12/4/2019</c:v>
                </c:pt>
                <c:pt idx="67">
                  <c:v>15/04/2019</c:v>
                </c:pt>
                <c:pt idx="68">
                  <c:v>16/04/2019</c:v>
                </c:pt>
                <c:pt idx="69">
                  <c:v>17/04/2019</c:v>
                </c:pt>
                <c:pt idx="70">
                  <c:v>18/04/2019</c:v>
                </c:pt>
                <c:pt idx="71">
                  <c:v>19/04/2019</c:v>
                </c:pt>
                <c:pt idx="72">
                  <c:v>22/04/2019</c:v>
                </c:pt>
                <c:pt idx="73">
                  <c:v>23/04/2019</c:v>
                </c:pt>
                <c:pt idx="74">
                  <c:v>25/04/2019</c:v>
                </c:pt>
                <c:pt idx="75">
                  <c:v>26/04/2019</c:v>
                </c:pt>
                <c:pt idx="76">
                  <c:v>29/04/2019</c:v>
                </c:pt>
                <c:pt idx="77">
                  <c:v>30/04/2019</c:v>
                </c:pt>
                <c:pt idx="78">
                  <c:v>2/5/2019</c:v>
                </c:pt>
                <c:pt idx="79">
                  <c:v>3/5/2019</c:v>
                </c:pt>
                <c:pt idx="80">
                  <c:v>6/5/2019</c:v>
                </c:pt>
                <c:pt idx="81">
                  <c:v>7/5/2019</c:v>
                </c:pt>
                <c:pt idx="82">
                  <c:v>8/5/2019</c:v>
                </c:pt>
                <c:pt idx="83">
                  <c:v>10/5/2019</c:v>
                </c:pt>
                <c:pt idx="84">
                  <c:v>13/05/2019</c:v>
                </c:pt>
                <c:pt idx="85">
                  <c:v>14/05/2019</c:v>
                </c:pt>
                <c:pt idx="86">
                  <c:v>15/05/2019</c:v>
                </c:pt>
                <c:pt idx="87">
                  <c:v>16/05/2019</c:v>
                </c:pt>
                <c:pt idx="88">
                  <c:v>17/05/2019</c:v>
                </c:pt>
                <c:pt idx="89">
                  <c:v>20/05/2019</c:v>
                </c:pt>
                <c:pt idx="90">
                  <c:v>21/05/2019</c:v>
                </c:pt>
                <c:pt idx="91">
                  <c:v>22/05/2019</c:v>
                </c:pt>
                <c:pt idx="92">
                  <c:v>23/05/2019</c:v>
                </c:pt>
                <c:pt idx="93">
                  <c:v>24/05/2019</c:v>
                </c:pt>
                <c:pt idx="94">
                  <c:v>27/05/2019</c:v>
                </c:pt>
                <c:pt idx="95">
                  <c:v>29/05/2019</c:v>
                </c:pt>
                <c:pt idx="96">
                  <c:v>30/05/2019</c:v>
                </c:pt>
                <c:pt idx="97">
                  <c:v>31/05/2019</c:v>
                </c:pt>
                <c:pt idx="98">
                  <c:v>3/6/2019</c:v>
                </c:pt>
                <c:pt idx="99">
                  <c:v>4/6/2019</c:v>
                </c:pt>
                <c:pt idx="100">
                  <c:v>5/6/2019</c:v>
                </c:pt>
                <c:pt idx="101">
                  <c:v>6/6/2019</c:v>
                </c:pt>
                <c:pt idx="102">
                  <c:v>7/6/2019</c:v>
                </c:pt>
                <c:pt idx="103">
                  <c:v>10/6/2019</c:v>
                </c:pt>
                <c:pt idx="104">
                  <c:v>11/6/2019</c:v>
                </c:pt>
                <c:pt idx="105">
                  <c:v>12/6/2019</c:v>
                </c:pt>
                <c:pt idx="106">
                  <c:v>13/06/2019</c:v>
                </c:pt>
                <c:pt idx="107">
                  <c:v>14/06/2019</c:v>
                </c:pt>
                <c:pt idx="108">
                  <c:v>17/06/2019</c:v>
                </c:pt>
                <c:pt idx="109">
                  <c:v>18/06/2019</c:v>
                </c:pt>
                <c:pt idx="110">
                  <c:v>19/06/2019</c:v>
                </c:pt>
                <c:pt idx="111">
                  <c:v>20/06/2019</c:v>
                </c:pt>
                <c:pt idx="112">
                  <c:v>21/06/2019</c:v>
                </c:pt>
                <c:pt idx="113">
                  <c:v>24/06/2019</c:v>
                </c:pt>
                <c:pt idx="114">
                  <c:v>25/06/2019</c:v>
                </c:pt>
                <c:pt idx="115">
                  <c:v>26/06/2019</c:v>
                </c:pt>
                <c:pt idx="116">
                  <c:v>27/06/2019</c:v>
                </c:pt>
                <c:pt idx="117">
                  <c:v>28/06/2019</c:v>
                </c:pt>
                <c:pt idx="118">
                  <c:v>1/7/2019</c:v>
                </c:pt>
                <c:pt idx="119">
                  <c:v>2/7/2019</c:v>
                </c:pt>
                <c:pt idx="120">
                  <c:v>3/7/2019</c:v>
                </c:pt>
                <c:pt idx="121">
                  <c:v>4/7/2019</c:v>
                </c:pt>
                <c:pt idx="122">
                  <c:v>8/7/2019</c:v>
                </c:pt>
                <c:pt idx="123">
                  <c:v>9/7/2019</c:v>
                </c:pt>
                <c:pt idx="124">
                  <c:v>10/7/2019</c:v>
                </c:pt>
                <c:pt idx="125">
                  <c:v>11/7/2019</c:v>
                </c:pt>
                <c:pt idx="126">
                  <c:v>12/7/2019</c:v>
                </c:pt>
                <c:pt idx="127">
                  <c:v>15/07/2019</c:v>
                </c:pt>
                <c:pt idx="128">
                  <c:v>16/07/2019</c:v>
                </c:pt>
                <c:pt idx="129">
                  <c:v>17/07/2019</c:v>
                </c:pt>
                <c:pt idx="130">
                  <c:v>18/07/2019</c:v>
                </c:pt>
                <c:pt idx="131">
                  <c:v>19/07/2019</c:v>
                </c:pt>
                <c:pt idx="132">
                  <c:v>22/07/2019</c:v>
                </c:pt>
                <c:pt idx="133">
                  <c:v>23/07/2019</c:v>
                </c:pt>
                <c:pt idx="134">
                  <c:v>24/07/2019</c:v>
                </c:pt>
                <c:pt idx="135">
                  <c:v>25/07/2019</c:v>
                </c:pt>
                <c:pt idx="136">
                  <c:v>26/07/2019</c:v>
                </c:pt>
                <c:pt idx="137">
                  <c:v>29/07/2019</c:v>
                </c:pt>
                <c:pt idx="138">
                  <c:v>30/07/2019</c:v>
                </c:pt>
                <c:pt idx="139">
                  <c:v>31/07/2019</c:v>
                </c:pt>
                <c:pt idx="140">
                  <c:v>1/8/2019</c:v>
                </c:pt>
                <c:pt idx="141">
                  <c:v>2/8/2019</c:v>
                </c:pt>
                <c:pt idx="142">
                  <c:v>5/8/2019</c:v>
                </c:pt>
                <c:pt idx="143">
                  <c:v>6/8/2019</c:v>
                </c:pt>
                <c:pt idx="144">
                  <c:v>7/8/2019</c:v>
                </c:pt>
                <c:pt idx="145">
                  <c:v>8/8/2019</c:v>
                </c:pt>
                <c:pt idx="146">
                  <c:v>9/8/2019</c:v>
                </c:pt>
                <c:pt idx="147">
                  <c:v>12/8/2019</c:v>
                </c:pt>
                <c:pt idx="148">
                  <c:v>13/08/2019</c:v>
                </c:pt>
                <c:pt idx="149">
                  <c:v>14/08/2019</c:v>
                </c:pt>
                <c:pt idx="150">
                  <c:v>15/08/2019</c:v>
                </c:pt>
                <c:pt idx="151">
                  <c:v>16/08/2019</c:v>
                </c:pt>
                <c:pt idx="152">
                  <c:v>19/08/2019</c:v>
                </c:pt>
                <c:pt idx="153">
                  <c:v>20/08/2019</c:v>
                </c:pt>
                <c:pt idx="154">
                  <c:v>21/08/2019</c:v>
                </c:pt>
                <c:pt idx="155">
                  <c:v>22/08/2019</c:v>
                </c:pt>
                <c:pt idx="156">
                  <c:v>23/08/2019</c:v>
                </c:pt>
                <c:pt idx="157">
                  <c:v>26/08/2019</c:v>
                </c:pt>
                <c:pt idx="158">
                  <c:v>27/08/2019</c:v>
                </c:pt>
                <c:pt idx="159">
                  <c:v>28/08/2019</c:v>
                </c:pt>
                <c:pt idx="160">
                  <c:v>29/08/2019</c:v>
                </c:pt>
                <c:pt idx="161">
                  <c:v>30/08/2019</c:v>
                </c:pt>
                <c:pt idx="162">
                  <c:v>2/9/2019</c:v>
                </c:pt>
                <c:pt idx="163">
                  <c:v>3/9/2019</c:v>
                </c:pt>
                <c:pt idx="164">
                  <c:v>4/9/2019</c:v>
                </c:pt>
                <c:pt idx="165">
                  <c:v>5/9/2019</c:v>
                </c:pt>
                <c:pt idx="166">
                  <c:v>6/9/2019</c:v>
                </c:pt>
                <c:pt idx="167">
                  <c:v>9/9/2019</c:v>
                </c:pt>
                <c:pt idx="168">
                  <c:v>10/9/2019</c:v>
                </c:pt>
                <c:pt idx="169">
                  <c:v>11/9/2019</c:v>
                </c:pt>
                <c:pt idx="170">
                  <c:v>12/9/2019</c:v>
                </c:pt>
                <c:pt idx="171">
                  <c:v>13/09/2019</c:v>
                </c:pt>
                <c:pt idx="172">
                  <c:v>16/09/2019</c:v>
                </c:pt>
                <c:pt idx="173">
                  <c:v>17/09/2019</c:v>
                </c:pt>
                <c:pt idx="174">
                  <c:v>18/09/2019</c:v>
                </c:pt>
                <c:pt idx="175">
                  <c:v>19/09/2019</c:v>
                </c:pt>
                <c:pt idx="176">
                  <c:v>20/09/2019</c:v>
                </c:pt>
                <c:pt idx="177">
                  <c:v>23/09/2019</c:v>
                </c:pt>
                <c:pt idx="178">
                  <c:v>24/09/2019</c:v>
                </c:pt>
                <c:pt idx="179">
                  <c:v>25/09/2019</c:v>
                </c:pt>
                <c:pt idx="180">
                  <c:v>26/09/2019</c:v>
                </c:pt>
                <c:pt idx="181">
                  <c:v>27/09/2019</c:v>
                </c:pt>
                <c:pt idx="182">
                  <c:v>30/09/2019</c:v>
                </c:pt>
                <c:pt idx="183">
                  <c:v>1/10/2019</c:v>
                </c:pt>
                <c:pt idx="184">
                  <c:v>2/10/2019</c:v>
                </c:pt>
                <c:pt idx="185">
                  <c:v>3/10/2019</c:v>
                </c:pt>
                <c:pt idx="186">
                  <c:v>4/10/2019</c:v>
                </c:pt>
                <c:pt idx="187">
                  <c:v>7/10/2019</c:v>
                </c:pt>
                <c:pt idx="188">
                  <c:v>8/10/2019</c:v>
                </c:pt>
                <c:pt idx="189">
                  <c:v>9/10/2019</c:v>
                </c:pt>
                <c:pt idx="190">
                  <c:v>10/10/2019</c:v>
                </c:pt>
                <c:pt idx="191">
                  <c:v>11/10/2019</c:v>
                </c:pt>
                <c:pt idx="192">
                  <c:v>14/10/2019</c:v>
                </c:pt>
                <c:pt idx="193">
                  <c:v>15/10/2019</c:v>
                </c:pt>
                <c:pt idx="194">
                  <c:v>16/10/2019</c:v>
                </c:pt>
                <c:pt idx="195">
                  <c:v>17/10/2019</c:v>
                </c:pt>
                <c:pt idx="196">
                  <c:v>18/10/2019</c:v>
                </c:pt>
                <c:pt idx="197">
                  <c:v>21/10/2019</c:v>
                </c:pt>
                <c:pt idx="198">
                  <c:v>22/10/2019</c:v>
                </c:pt>
                <c:pt idx="199">
                  <c:v>23/10/2019</c:v>
                </c:pt>
                <c:pt idx="200">
                  <c:v>24/10/2019</c:v>
                </c:pt>
                <c:pt idx="201">
                  <c:v>25/10/2019</c:v>
                </c:pt>
                <c:pt idx="202">
                  <c:v>28/10/2019</c:v>
                </c:pt>
                <c:pt idx="203">
                  <c:v>29/10/2019</c:v>
                </c:pt>
                <c:pt idx="204">
                  <c:v>30/10/2019</c:v>
                </c:pt>
                <c:pt idx="205">
                  <c:v>31/10/2019</c:v>
                </c:pt>
                <c:pt idx="206">
                  <c:v>1/11/2019</c:v>
                </c:pt>
                <c:pt idx="207">
                  <c:v>4/11/2019</c:v>
                </c:pt>
                <c:pt idx="208">
                  <c:v>5/11/2019</c:v>
                </c:pt>
                <c:pt idx="209">
                  <c:v>6/11/2019</c:v>
                </c:pt>
                <c:pt idx="210">
                  <c:v>7/11/2019</c:v>
                </c:pt>
                <c:pt idx="211">
                  <c:v>8/11/2019</c:v>
                </c:pt>
                <c:pt idx="212">
                  <c:v>11/11/2019</c:v>
                </c:pt>
                <c:pt idx="213">
                  <c:v>12/11/2019</c:v>
                </c:pt>
                <c:pt idx="214">
                  <c:v>13/11/2019</c:v>
                </c:pt>
                <c:pt idx="215">
                  <c:v>14/11/2019</c:v>
                </c:pt>
                <c:pt idx="216">
                  <c:v>15/11/2019</c:v>
                </c:pt>
                <c:pt idx="217">
                  <c:v>18/11/2019</c:v>
                </c:pt>
                <c:pt idx="218">
                  <c:v>19/11/2019</c:v>
                </c:pt>
                <c:pt idx="219">
                  <c:v>20/11/2019</c:v>
                </c:pt>
                <c:pt idx="220">
                  <c:v>21/11/2019</c:v>
                </c:pt>
                <c:pt idx="221">
                  <c:v>22/11/2019</c:v>
                </c:pt>
                <c:pt idx="222">
                  <c:v>25/11/2019</c:v>
                </c:pt>
                <c:pt idx="223">
                  <c:v>26/11/2019</c:v>
                </c:pt>
                <c:pt idx="224">
                  <c:v>27/11/2019</c:v>
                </c:pt>
                <c:pt idx="225">
                  <c:v>28/11/2019</c:v>
                </c:pt>
                <c:pt idx="226">
                  <c:v>29/11/2019</c:v>
                </c:pt>
                <c:pt idx="227">
                  <c:v>2/12/2019</c:v>
                </c:pt>
                <c:pt idx="228">
                  <c:v>3/12/2019</c:v>
                </c:pt>
                <c:pt idx="229">
                  <c:v>4/12/2019</c:v>
                </c:pt>
                <c:pt idx="230">
                  <c:v>5/12/2019</c:v>
                </c:pt>
                <c:pt idx="231">
                  <c:v>6/12/2019</c:v>
                </c:pt>
                <c:pt idx="232">
                  <c:v>9/12/2019</c:v>
                </c:pt>
                <c:pt idx="233">
                  <c:v>10/12/2019</c:v>
                </c:pt>
                <c:pt idx="234">
                  <c:v>11/12/2019</c:v>
                </c:pt>
                <c:pt idx="235">
                  <c:v>12/12/2019</c:v>
                </c:pt>
                <c:pt idx="236">
                  <c:v>13/12/2019</c:v>
                </c:pt>
                <c:pt idx="237">
                  <c:v>16/12/2019</c:v>
                </c:pt>
                <c:pt idx="238">
                  <c:v>17/12/2019</c:v>
                </c:pt>
                <c:pt idx="239">
                  <c:v>18/12/2019</c:v>
                </c:pt>
                <c:pt idx="240">
                  <c:v>19/12/2019</c:v>
                </c:pt>
                <c:pt idx="241">
                  <c:v>20/12/2019</c:v>
                </c:pt>
                <c:pt idx="242">
                  <c:v>23/12/2019</c:v>
                </c:pt>
                <c:pt idx="243">
                  <c:v>24/12/2019</c:v>
                </c:pt>
                <c:pt idx="244">
                  <c:v>25/12/2019</c:v>
                </c:pt>
                <c:pt idx="245">
                  <c:v>26/12/2019</c:v>
                </c:pt>
                <c:pt idx="246">
                  <c:v>27/12/2019</c:v>
                </c:pt>
                <c:pt idx="247">
                  <c:v>30/12/2019</c:v>
                </c:pt>
                <c:pt idx="248">
                  <c:v>8/1/2020</c:v>
                </c:pt>
                <c:pt idx="249">
                  <c:v>9/1/2020</c:v>
                </c:pt>
                <c:pt idx="250">
                  <c:v>10/1/2020</c:v>
                </c:pt>
                <c:pt idx="251">
                  <c:v>13/01/2020</c:v>
                </c:pt>
                <c:pt idx="252">
                  <c:v>14/01/2020</c:v>
                </c:pt>
                <c:pt idx="253">
                  <c:v>15/01/2020</c:v>
                </c:pt>
                <c:pt idx="254">
                  <c:v>16/01/2020</c:v>
                </c:pt>
                <c:pt idx="255">
                  <c:v>17/01/2020</c:v>
                </c:pt>
                <c:pt idx="256">
                  <c:v>20/01/2020</c:v>
                </c:pt>
                <c:pt idx="257">
                  <c:v>21/01/2020</c:v>
                </c:pt>
                <c:pt idx="258">
                  <c:v>22/01/2020</c:v>
                </c:pt>
                <c:pt idx="259">
                  <c:v>23/01/2020</c:v>
                </c:pt>
                <c:pt idx="260">
                  <c:v>24/01/2020</c:v>
                </c:pt>
                <c:pt idx="261">
                  <c:v>29/01/2020</c:v>
                </c:pt>
                <c:pt idx="262">
                  <c:v>30/01/2020</c:v>
                </c:pt>
                <c:pt idx="263">
                  <c:v>31/01/2020</c:v>
                </c:pt>
                <c:pt idx="264">
                  <c:v>1/2/2020</c:v>
                </c:pt>
                <c:pt idx="265">
                  <c:v>3/2/2020</c:v>
                </c:pt>
                <c:pt idx="266">
                  <c:v>4/2/2020</c:v>
                </c:pt>
                <c:pt idx="267">
                  <c:v>5/2/2020</c:v>
                </c:pt>
                <c:pt idx="268">
                  <c:v>6/2/2020</c:v>
                </c:pt>
                <c:pt idx="269">
                  <c:v>7/2/2020</c:v>
                </c:pt>
                <c:pt idx="270">
                  <c:v>10/2/2020</c:v>
                </c:pt>
                <c:pt idx="271">
                  <c:v>11/2/2020</c:v>
                </c:pt>
                <c:pt idx="272">
                  <c:v>12/2/2020</c:v>
                </c:pt>
                <c:pt idx="273">
                  <c:v>13/02/2020</c:v>
                </c:pt>
                <c:pt idx="274">
                  <c:v>14/02/2020</c:v>
                </c:pt>
                <c:pt idx="275">
                  <c:v>17/02/2020</c:v>
                </c:pt>
                <c:pt idx="276">
                  <c:v>18/02/2020</c:v>
                </c:pt>
                <c:pt idx="277">
                  <c:v>19/02/2020</c:v>
                </c:pt>
                <c:pt idx="278">
                  <c:v>20/02/2020</c:v>
                </c:pt>
                <c:pt idx="279">
                  <c:v>21/02/2020</c:v>
                </c:pt>
                <c:pt idx="280">
                  <c:v>24/02/2020</c:v>
                </c:pt>
                <c:pt idx="281">
                  <c:v>25/02/2020</c:v>
                </c:pt>
                <c:pt idx="282">
                  <c:v>26/02/2020</c:v>
                </c:pt>
                <c:pt idx="283">
                  <c:v>27/02/2020</c:v>
                </c:pt>
                <c:pt idx="284">
                  <c:v>28/02/2020</c:v>
                </c:pt>
                <c:pt idx="285">
                  <c:v>2/3/2020</c:v>
                </c:pt>
                <c:pt idx="286">
                  <c:v>3/3/2020</c:v>
                </c:pt>
                <c:pt idx="287">
                  <c:v>4/3/2020</c:v>
                </c:pt>
                <c:pt idx="288">
                  <c:v>5/3/2020</c:v>
                </c:pt>
                <c:pt idx="289">
                  <c:v>6/3/2020</c:v>
                </c:pt>
                <c:pt idx="290">
                  <c:v>9/3/2020</c:v>
                </c:pt>
                <c:pt idx="291">
                  <c:v>10/3/2020</c:v>
                </c:pt>
                <c:pt idx="292">
                  <c:v>11/3/2020</c:v>
                </c:pt>
                <c:pt idx="293">
                  <c:v>12/3/2020</c:v>
                </c:pt>
                <c:pt idx="294">
                  <c:v>13/03/2020</c:v>
                </c:pt>
                <c:pt idx="295">
                  <c:v>16/03/2020</c:v>
                </c:pt>
                <c:pt idx="296">
                  <c:v>17/03/2020</c:v>
                </c:pt>
                <c:pt idx="297">
                  <c:v>18/03/2020</c:v>
                </c:pt>
                <c:pt idx="298">
                  <c:v>19/03/2020</c:v>
                </c:pt>
                <c:pt idx="299">
                  <c:v>20/03/2020</c:v>
                </c:pt>
                <c:pt idx="300">
                  <c:v>23/03/2020</c:v>
                </c:pt>
                <c:pt idx="301">
                  <c:v>24/03/2020</c:v>
                </c:pt>
                <c:pt idx="302">
                  <c:v>25/03/2020</c:v>
                </c:pt>
                <c:pt idx="303">
                  <c:v>26/03/2020</c:v>
                </c:pt>
                <c:pt idx="304">
                  <c:v>27/03/2020</c:v>
                </c:pt>
                <c:pt idx="305">
                  <c:v>30/03/2020</c:v>
                </c:pt>
                <c:pt idx="306">
                  <c:v>31/03/2020</c:v>
                </c:pt>
                <c:pt idx="307">
                  <c:v>1/4/2020</c:v>
                </c:pt>
                <c:pt idx="308">
                  <c:v>2/4/2020</c:v>
                </c:pt>
                <c:pt idx="309">
                  <c:v>3/4/2020</c:v>
                </c:pt>
                <c:pt idx="310">
                  <c:v>6/4/2020</c:v>
                </c:pt>
                <c:pt idx="311">
                  <c:v>7/4/2020</c:v>
                </c:pt>
                <c:pt idx="312">
                  <c:v>8/4/2020</c:v>
                </c:pt>
                <c:pt idx="313">
                  <c:v>9/4/2020</c:v>
                </c:pt>
                <c:pt idx="314">
                  <c:v>10/4/2020</c:v>
                </c:pt>
                <c:pt idx="315">
                  <c:v>13/04/2020</c:v>
                </c:pt>
                <c:pt idx="316">
                  <c:v>14/04/2020</c:v>
                </c:pt>
                <c:pt idx="317">
                  <c:v>15/04/2020</c:v>
                </c:pt>
                <c:pt idx="318">
                  <c:v>16/04/2020</c:v>
                </c:pt>
                <c:pt idx="319">
                  <c:v>17/04/2020</c:v>
                </c:pt>
                <c:pt idx="320">
                  <c:v>20/04/2020</c:v>
                </c:pt>
                <c:pt idx="321">
                  <c:v>21/04/2020</c:v>
                </c:pt>
                <c:pt idx="322">
                  <c:v>22/04/2020</c:v>
                </c:pt>
                <c:pt idx="323">
                  <c:v>23/04/2020</c:v>
                </c:pt>
                <c:pt idx="324">
                  <c:v>27/04/2020</c:v>
                </c:pt>
                <c:pt idx="325">
                  <c:v>28/04/2020</c:v>
                </c:pt>
                <c:pt idx="326">
                  <c:v>29/04/2020</c:v>
                </c:pt>
                <c:pt idx="327">
                  <c:v>30/04/2020</c:v>
                </c:pt>
                <c:pt idx="328">
                  <c:v>4/5/2020</c:v>
                </c:pt>
                <c:pt idx="329">
                  <c:v>5/5/2020</c:v>
                </c:pt>
                <c:pt idx="330">
                  <c:v>6/5/2020</c:v>
                </c:pt>
                <c:pt idx="331">
                  <c:v>7/5/2020</c:v>
                </c:pt>
                <c:pt idx="332">
                  <c:v>8/5/2020</c:v>
                </c:pt>
                <c:pt idx="333">
                  <c:v>11/5/2020</c:v>
                </c:pt>
                <c:pt idx="334">
                  <c:v>12/5/2020</c:v>
                </c:pt>
                <c:pt idx="335">
                  <c:v>13/05/2020</c:v>
                </c:pt>
                <c:pt idx="336">
                  <c:v>14/05/2020</c:v>
                </c:pt>
                <c:pt idx="337">
                  <c:v>15/05/2020</c:v>
                </c:pt>
                <c:pt idx="338">
                  <c:v>18/05/2020</c:v>
                </c:pt>
                <c:pt idx="339">
                  <c:v>19/05/2020</c:v>
                </c:pt>
                <c:pt idx="340">
                  <c:v>20/05/2020</c:v>
                </c:pt>
                <c:pt idx="341">
                  <c:v>21/05/2020</c:v>
                </c:pt>
                <c:pt idx="342">
                  <c:v>22/05/2020</c:v>
                </c:pt>
                <c:pt idx="343">
                  <c:v>23/05/2020</c:v>
                </c:pt>
                <c:pt idx="344">
                  <c:v>25/05/2020</c:v>
                </c:pt>
                <c:pt idx="345">
                  <c:v>26/05/2020</c:v>
                </c:pt>
                <c:pt idx="346">
                  <c:v>27/05/2020</c:v>
                </c:pt>
                <c:pt idx="347">
                  <c:v>1/6/2020</c:v>
                </c:pt>
                <c:pt idx="348">
                  <c:v>2/6/2020</c:v>
                </c:pt>
                <c:pt idx="349">
                  <c:v>3/6/2020</c:v>
                </c:pt>
                <c:pt idx="350">
                  <c:v>4/6/2020</c:v>
                </c:pt>
                <c:pt idx="351">
                  <c:v>5/6/2020</c:v>
                </c:pt>
                <c:pt idx="352">
                  <c:v>8/6/2020</c:v>
                </c:pt>
                <c:pt idx="353">
                  <c:v>9/6/2020</c:v>
                </c:pt>
                <c:pt idx="354">
                  <c:v>10/6/2020</c:v>
                </c:pt>
                <c:pt idx="355">
                  <c:v>11/6/2020</c:v>
                </c:pt>
                <c:pt idx="356">
                  <c:v>12/6/2020</c:v>
                </c:pt>
                <c:pt idx="357">
                  <c:v>15/06/2020</c:v>
                </c:pt>
                <c:pt idx="358">
                  <c:v>16/06/2020</c:v>
                </c:pt>
                <c:pt idx="359">
                  <c:v>17/06/2020</c:v>
                </c:pt>
                <c:pt idx="360">
                  <c:v>18/06/2020</c:v>
                </c:pt>
                <c:pt idx="361">
                  <c:v>19/06/2020</c:v>
                </c:pt>
                <c:pt idx="362">
                  <c:v>22/06/2020</c:v>
                </c:pt>
                <c:pt idx="363">
                  <c:v>23/06/2020</c:v>
                </c:pt>
                <c:pt idx="364">
                  <c:v>24/06/2020</c:v>
                </c:pt>
                <c:pt idx="365">
                  <c:v>25/06/2020</c:v>
                </c:pt>
                <c:pt idx="366">
                  <c:v>26/06/2020</c:v>
                </c:pt>
                <c:pt idx="367">
                  <c:v>29/06/2020</c:v>
                </c:pt>
                <c:pt idx="368">
                  <c:v>30/06/2020</c:v>
                </c:pt>
                <c:pt idx="369">
                  <c:v>1/7/2020</c:v>
                </c:pt>
                <c:pt idx="370">
                  <c:v>2/7/2020</c:v>
                </c:pt>
                <c:pt idx="371">
                  <c:v>3/7/2020</c:v>
                </c:pt>
                <c:pt idx="372">
                  <c:v>6/7/2020</c:v>
                </c:pt>
                <c:pt idx="373">
                  <c:v>7/7/2020</c:v>
                </c:pt>
                <c:pt idx="374">
                  <c:v>8/7/2020</c:v>
                </c:pt>
                <c:pt idx="375">
                  <c:v>9/7/2020</c:v>
                </c:pt>
                <c:pt idx="376">
                  <c:v>10/7/2020</c:v>
                </c:pt>
                <c:pt idx="377">
                  <c:v>13/07/2020</c:v>
                </c:pt>
                <c:pt idx="378">
                  <c:v>14/07/2020</c:v>
                </c:pt>
                <c:pt idx="379">
                  <c:v>15/07/2020</c:v>
                </c:pt>
                <c:pt idx="380">
                  <c:v>16/07/2020</c:v>
                </c:pt>
                <c:pt idx="381">
                  <c:v>17/07/2020</c:v>
                </c:pt>
                <c:pt idx="382">
                  <c:v>20/07/2020</c:v>
                </c:pt>
                <c:pt idx="383">
                  <c:v>21/07/2020</c:v>
                </c:pt>
                <c:pt idx="384">
                  <c:v>22/07/2020</c:v>
                </c:pt>
                <c:pt idx="385">
                  <c:v>23/07/2020</c:v>
                </c:pt>
                <c:pt idx="386">
                  <c:v>24/07/2020</c:v>
                </c:pt>
                <c:pt idx="387">
                  <c:v>27/07/2020</c:v>
                </c:pt>
                <c:pt idx="388">
                  <c:v>28/07/2020</c:v>
                </c:pt>
                <c:pt idx="389">
                  <c:v>29/07/2020</c:v>
                </c:pt>
                <c:pt idx="390">
                  <c:v>30/07/2020</c:v>
                </c:pt>
                <c:pt idx="391">
                  <c:v>31/07/2020</c:v>
                </c:pt>
                <c:pt idx="392">
                  <c:v>3/8/2020</c:v>
                </c:pt>
                <c:pt idx="393">
                  <c:v>4/8/2020</c:v>
                </c:pt>
                <c:pt idx="394">
                  <c:v>5/8/2020</c:v>
                </c:pt>
                <c:pt idx="395">
                  <c:v>6/8/2020</c:v>
                </c:pt>
                <c:pt idx="396">
                  <c:v>7/8/2020</c:v>
                </c:pt>
                <c:pt idx="397">
                  <c:v>10/8/2020</c:v>
                </c:pt>
                <c:pt idx="398">
                  <c:v>11/8/2020</c:v>
                </c:pt>
                <c:pt idx="399">
                  <c:v>12/8/2020</c:v>
                </c:pt>
                <c:pt idx="400">
                  <c:v>13/08/2020</c:v>
                </c:pt>
                <c:pt idx="401">
                  <c:v>14/08/2020</c:v>
                </c:pt>
                <c:pt idx="402">
                  <c:v>17/08/2020</c:v>
                </c:pt>
                <c:pt idx="403">
                  <c:v>18/08/2020</c:v>
                </c:pt>
                <c:pt idx="404">
                  <c:v>19/08/2020</c:v>
                </c:pt>
                <c:pt idx="405">
                  <c:v>20/08/2020</c:v>
                </c:pt>
                <c:pt idx="406">
                  <c:v>21/08/2020</c:v>
                </c:pt>
                <c:pt idx="407">
                  <c:v>24/08/2020</c:v>
                </c:pt>
                <c:pt idx="408">
                  <c:v>25/08/2020</c:v>
                </c:pt>
                <c:pt idx="409">
                  <c:v>26/08/2020</c:v>
                </c:pt>
                <c:pt idx="410">
                  <c:v>27/08/2020</c:v>
                </c:pt>
                <c:pt idx="411">
                  <c:v>28/08/2020</c:v>
                </c:pt>
                <c:pt idx="412">
                  <c:v>31/08/2020</c:v>
                </c:pt>
                <c:pt idx="413">
                  <c:v>1/9/2020</c:v>
                </c:pt>
                <c:pt idx="414">
                  <c:v>2/9/2020</c:v>
                </c:pt>
                <c:pt idx="415">
                  <c:v>3/9/2020</c:v>
                </c:pt>
                <c:pt idx="416">
                  <c:v>4/9/2020</c:v>
                </c:pt>
                <c:pt idx="417">
                  <c:v>7/9/2020</c:v>
                </c:pt>
                <c:pt idx="418">
                  <c:v>8/9/2020</c:v>
                </c:pt>
                <c:pt idx="419">
                  <c:v>9/9/2020</c:v>
                </c:pt>
                <c:pt idx="420">
                  <c:v>10/9/2020</c:v>
                </c:pt>
                <c:pt idx="421">
                  <c:v>11/9/2020</c:v>
                </c:pt>
                <c:pt idx="422">
                  <c:v>14/09/2020</c:v>
                </c:pt>
                <c:pt idx="423">
                  <c:v>15/09/2020</c:v>
                </c:pt>
                <c:pt idx="424">
                  <c:v>16/09/2020</c:v>
                </c:pt>
                <c:pt idx="425">
                  <c:v>17/09/2020</c:v>
                </c:pt>
                <c:pt idx="426">
                  <c:v>18/09/2020</c:v>
                </c:pt>
                <c:pt idx="427">
                  <c:v>22/09/2020</c:v>
                </c:pt>
                <c:pt idx="428">
                  <c:v>23/09/2020</c:v>
                </c:pt>
                <c:pt idx="429">
                  <c:v>24/09/2020</c:v>
                </c:pt>
                <c:pt idx="430">
                  <c:v>25/09/2020</c:v>
                </c:pt>
                <c:pt idx="431">
                  <c:v>28/09/2020</c:v>
                </c:pt>
                <c:pt idx="432">
                  <c:v>29/09/2020</c:v>
                </c:pt>
                <c:pt idx="433">
                  <c:v>30/09/2020</c:v>
                </c:pt>
                <c:pt idx="434">
                  <c:v>1/10/2020</c:v>
                </c:pt>
                <c:pt idx="435">
                  <c:v>2/10/2020</c:v>
                </c:pt>
                <c:pt idx="436">
                  <c:v>5/10/2020</c:v>
                </c:pt>
                <c:pt idx="437">
                  <c:v>6/10/2020</c:v>
                </c:pt>
                <c:pt idx="438">
                  <c:v>7/10/2020</c:v>
                </c:pt>
                <c:pt idx="439">
                  <c:v>8/10/2020</c:v>
                </c:pt>
                <c:pt idx="440">
                  <c:v>9/10/2020</c:v>
                </c:pt>
                <c:pt idx="441">
                  <c:v>12/10/2020</c:v>
                </c:pt>
                <c:pt idx="442">
                  <c:v>13/10/2020</c:v>
                </c:pt>
                <c:pt idx="443">
                  <c:v>14/10/2020</c:v>
                </c:pt>
                <c:pt idx="444">
                  <c:v>15/10/2020</c:v>
                </c:pt>
                <c:pt idx="445">
                  <c:v>16/10/2020</c:v>
                </c:pt>
                <c:pt idx="446">
                  <c:v>19/10/2020</c:v>
                </c:pt>
                <c:pt idx="447">
                  <c:v>20/10/2020</c:v>
                </c:pt>
                <c:pt idx="448">
                  <c:v>21/10/2020</c:v>
                </c:pt>
                <c:pt idx="449">
                  <c:v>22/10/2020</c:v>
                </c:pt>
                <c:pt idx="450">
                  <c:v>23/10/2020</c:v>
                </c:pt>
                <c:pt idx="451">
                  <c:v>26/10/2020</c:v>
                </c:pt>
                <c:pt idx="452">
                  <c:v>27/10/2020</c:v>
                </c:pt>
                <c:pt idx="453">
                  <c:v>28/10/2020</c:v>
                </c:pt>
                <c:pt idx="454">
                  <c:v>29/10/2020</c:v>
                </c:pt>
                <c:pt idx="455">
                  <c:v>30/10/2020</c:v>
                </c:pt>
                <c:pt idx="456">
                  <c:v>2/11/2020</c:v>
                </c:pt>
                <c:pt idx="457">
                  <c:v>3/11/2020</c:v>
                </c:pt>
                <c:pt idx="458">
                  <c:v>4/11/2020</c:v>
                </c:pt>
                <c:pt idx="459">
                  <c:v>5/11/2020</c:v>
                </c:pt>
                <c:pt idx="460">
                  <c:v>6/11/2020</c:v>
                </c:pt>
                <c:pt idx="461">
                  <c:v>9/11/2020</c:v>
                </c:pt>
                <c:pt idx="462">
                  <c:v>10/11/2020</c:v>
                </c:pt>
                <c:pt idx="463">
                  <c:v>11/11/2020</c:v>
                </c:pt>
                <c:pt idx="464">
                  <c:v>12/11/2020</c:v>
                </c:pt>
                <c:pt idx="465">
                  <c:v>13/11/2020</c:v>
                </c:pt>
                <c:pt idx="466">
                  <c:v>16/11/2020</c:v>
                </c:pt>
                <c:pt idx="467">
                  <c:v>17/11/2020</c:v>
                </c:pt>
              </c:strCache>
            </c:strRef>
          </c:cat>
          <c:val>
            <c:numRef>
              <c:f>Sheet1!$C$2:$C$966</c:f>
              <c:numCache>
                <c:formatCode>0</c:formatCode>
                <c:ptCount val="468"/>
                <c:pt idx="0">
                  <c:v>100</c:v>
                </c:pt>
                <c:pt idx="1">
                  <c:v>100.27700831024927</c:v>
                </c:pt>
                <c:pt idx="2">
                  <c:v>100.27700831024927</c:v>
                </c:pt>
                <c:pt idx="3">
                  <c:v>100.5540166204986</c:v>
                </c:pt>
                <c:pt idx="4">
                  <c:v>100.13850415512462</c:v>
                </c:pt>
                <c:pt idx="5">
                  <c:v>100.41551246537401</c:v>
                </c:pt>
                <c:pt idx="6">
                  <c:v>100.96952908587265</c:v>
                </c:pt>
                <c:pt idx="7">
                  <c:v>101.10803324099722</c:v>
                </c:pt>
                <c:pt idx="8">
                  <c:v>101.24653739612185</c:v>
                </c:pt>
                <c:pt idx="9">
                  <c:v>101.24653739612185</c:v>
                </c:pt>
                <c:pt idx="10">
                  <c:v>100.96952908587265</c:v>
                </c:pt>
                <c:pt idx="11">
                  <c:v>101.52354570637118</c:v>
                </c:pt>
                <c:pt idx="12">
                  <c:v>101.93905817174517</c:v>
                </c:pt>
                <c:pt idx="13">
                  <c:v>101.66204986149583</c:v>
                </c:pt>
                <c:pt idx="14">
                  <c:v>101.66204986149583</c:v>
                </c:pt>
                <c:pt idx="15">
                  <c:v>102.07756232686978</c:v>
                </c:pt>
                <c:pt idx="16">
                  <c:v>103.46260387811638</c:v>
                </c:pt>
                <c:pt idx="17">
                  <c:v>102.90858725761774</c:v>
                </c:pt>
                <c:pt idx="18">
                  <c:v>102.90858725761774</c:v>
                </c:pt>
                <c:pt idx="19">
                  <c:v>103.18559556786705</c:v>
                </c:pt>
                <c:pt idx="20">
                  <c:v>102.90858725761774</c:v>
                </c:pt>
                <c:pt idx="21">
                  <c:v>102.49307479224379</c:v>
                </c:pt>
                <c:pt idx="22">
                  <c:v>102.63157894736841</c:v>
                </c:pt>
                <c:pt idx="23">
                  <c:v>103.18559556786704</c:v>
                </c:pt>
                <c:pt idx="24">
                  <c:v>103.32409972299168</c:v>
                </c:pt>
                <c:pt idx="25">
                  <c:v>103.04709141274239</c:v>
                </c:pt>
                <c:pt idx="26">
                  <c:v>101.24653739612185</c:v>
                </c:pt>
                <c:pt idx="27">
                  <c:v>101.38504155124652</c:v>
                </c:pt>
                <c:pt idx="28">
                  <c:v>101.93905817174516</c:v>
                </c:pt>
                <c:pt idx="29">
                  <c:v>101.93905817174516</c:v>
                </c:pt>
                <c:pt idx="30">
                  <c:v>102.63157894736844</c:v>
                </c:pt>
                <c:pt idx="31">
                  <c:v>103.18559556786705</c:v>
                </c:pt>
                <c:pt idx="32">
                  <c:v>103.32409972299168</c:v>
                </c:pt>
                <c:pt idx="33">
                  <c:v>103.73961218836571</c:v>
                </c:pt>
                <c:pt idx="34">
                  <c:v>103.18559556786707</c:v>
                </c:pt>
                <c:pt idx="35">
                  <c:v>103.04709141274242</c:v>
                </c:pt>
                <c:pt idx="36">
                  <c:v>103.04709141274242</c:v>
                </c:pt>
                <c:pt idx="37">
                  <c:v>103.04709141274242</c:v>
                </c:pt>
                <c:pt idx="38">
                  <c:v>103.32409972299169</c:v>
                </c:pt>
                <c:pt idx="39">
                  <c:v>103.32409972299169</c:v>
                </c:pt>
                <c:pt idx="40">
                  <c:v>102.90858725761775</c:v>
                </c:pt>
                <c:pt idx="41">
                  <c:v>102.77008310249305</c:v>
                </c:pt>
                <c:pt idx="42">
                  <c:v>102.4930747922438</c:v>
                </c:pt>
                <c:pt idx="43">
                  <c:v>102.77008310249305</c:v>
                </c:pt>
                <c:pt idx="44">
                  <c:v>103.04709141274243</c:v>
                </c:pt>
                <c:pt idx="45">
                  <c:v>103.04709141274243</c:v>
                </c:pt>
                <c:pt idx="46">
                  <c:v>103.18559556786707</c:v>
                </c:pt>
                <c:pt idx="47">
                  <c:v>104.2936288088643</c:v>
                </c:pt>
                <c:pt idx="48">
                  <c:v>104.84764542936297</c:v>
                </c:pt>
                <c:pt idx="49">
                  <c:v>104.57063711911357</c:v>
                </c:pt>
                <c:pt idx="50">
                  <c:v>105.81717451523549</c:v>
                </c:pt>
                <c:pt idx="51">
                  <c:v>104.98614958448756</c:v>
                </c:pt>
                <c:pt idx="52">
                  <c:v>104.70914127423826</c:v>
                </c:pt>
                <c:pt idx="53">
                  <c:v>104.70914127423826</c:v>
                </c:pt>
                <c:pt idx="54">
                  <c:v>104.01662049861503</c:v>
                </c:pt>
                <c:pt idx="55">
                  <c:v>103.87811634349028</c:v>
                </c:pt>
                <c:pt idx="56">
                  <c:v>104.15512465373961</c:v>
                </c:pt>
                <c:pt idx="57">
                  <c:v>103.04709141274242</c:v>
                </c:pt>
                <c:pt idx="58">
                  <c:v>102.90858725761775</c:v>
                </c:pt>
                <c:pt idx="59">
                  <c:v>103.46260387811641</c:v>
                </c:pt>
                <c:pt idx="60">
                  <c:v>103.18559556786708</c:v>
                </c:pt>
                <c:pt idx="61">
                  <c:v>103.18559556786708</c:v>
                </c:pt>
                <c:pt idx="62">
                  <c:v>103.18559556786708</c:v>
                </c:pt>
                <c:pt idx="63">
                  <c:v>104.15512465373965</c:v>
                </c:pt>
                <c:pt idx="64">
                  <c:v>104.01662049861505</c:v>
                </c:pt>
                <c:pt idx="65">
                  <c:v>104.43213296398895</c:v>
                </c:pt>
                <c:pt idx="66">
                  <c:v>104.43213296398895</c:v>
                </c:pt>
                <c:pt idx="67">
                  <c:v>104.5706371191136</c:v>
                </c:pt>
                <c:pt idx="68">
                  <c:v>104.43213296398898</c:v>
                </c:pt>
                <c:pt idx="69">
                  <c:v>104.70914127423829</c:v>
                </c:pt>
                <c:pt idx="70">
                  <c:v>104.43213296398898</c:v>
                </c:pt>
                <c:pt idx="71">
                  <c:v>104.43213296398898</c:v>
                </c:pt>
                <c:pt idx="72">
                  <c:v>104.70914127423829</c:v>
                </c:pt>
                <c:pt idx="73">
                  <c:v>104.70914127423829</c:v>
                </c:pt>
                <c:pt idx="74">
                  <c:v>102.77008310249307</c:v>
                </c:pt>
                <c:pt idx="75">
                  <c:v>102.9085872576178</c:v>
                </c:pt>
                <c:pt idx="76">
                  <c:v>103.04709141274246</c:v>
                </c:pt>
                <c:pt idx="77">
                  <c:v>103.32409972299175</c:v>
                </c:pt>
                <c:pt idx="78">
                  <c:v>101.93905817174523</c:v>
                </c:pt>
                <c:pt idx="79">
                  <c:v>101.80055401662054</c:v>
                </c:pt>
                <c:pt idx="80">
                  <c:v>102.35457063711917</c:v>
                </c:pt>
                <c:pt idx="81">
                  <c:v>102.21606648199455</c:v>
                </c:pt>
                <c:pt idx="82">
                  <c:v>102.35457063711917</c:v>
                </c:pt>
                <c:pt idx="83">
                  <c:v>102.49307479224383</c:v>
                </c:pt>
                <c:pt idx="84">
                  <c:v>102.07756232686984</c:v>
                </c:pt>
                <c:pt idx="85">
                  <c:v>101.93905817174522</c:v>
                </c:pt>
                <c:pt idx="86">
                  <c:v>102.6315789473685</c:v>
                </c:pt>
                <c:pt idx="87">
                  <c:v>103.04709141274246</c:v>
                </c:pt>
                <c:pt idx="88">
                  <c:v>102.90858725761778</c:v>
                </c:pt>
                <c:pt idx="89">
                  <c:v>103.04709141274246</c:v>
                </c:pt>
                <c:pt idx="90">
                  <c:v>103.04709141274246</c:v>
                </c:pt>
                <c:pt idx="91">
                  <c:v>103.46260387811643</c:v>
                </c:pt>
                <c:pt idx="92">
                  <c:v>102.77008310249307</c:v>
                </c:pt>
                <c:pt idx="93">
                  <c:v>103.04709141274246</c:v>
                </c:pt>
                <c:pt idx="94">
                  <c:v>103.1855955678671</c:v>
                </c:pt>
                <c:pt idx="95">
                  <c:v>102.21606648199455</c:v>
                </c:pt>
                <c:pt idx="96">
                  <c:v>102.49307479224383</c:v>
                </c:pt>
                <c:pt idx="97">
                  <c:v>101.52354570637125</c:v>
                </c:pt>
                <c:pt idx="98">
                  <c:v>101.8005540166205</c:v>
                </c:pt>
                <c:pt idx="99">
                  <c:v>101.9390581717452</c:v>
                </c:pt>
                <c:pt idx="100">
                  <c:v>102.21606648199452</c:v>
                </c:pt>
                <c:pt idx="101">
                  <c:v>101.93905817174519</c:v>
                </c:pt>
                <c:pt idx="102">
                  <c:v>102.0775623268698</c:v>
                </c:pt>
                <c:pt idx="103">
                  <c:v>102.63157894736845</c:v>
                </c:pt>
                <c:pt idx="104">
                  <c:v>102.90858725761777</c:v>
                </c:pt>
                <c:pt idx="105">
                  <c:v>102.49307479224382</c:v>
                </c:pt>
                <c:pt idx="106">
                  <c:v>102.49307479224382</c:v>
                </c:pt>
                <c:pt idx="107">
                  <c:v>102.90858725761777</c:v>
                </c:pt>
                <c:pt idx="108">
                  <c:v>102.90858725761777</c:v>
                </c:pt>
                <c:pt idx="109">
                  <c:v>102.90858725761777</c:v>
                </c:pt>
                <c:pt idx="110">
                  <c:v>103.46260387811643</c:v>
                </c:pt>
                <c:pt idx="111">
                  <c:v>104.57063711911358</c:v>
                </c:pt>
                <c:pt idx="112">
                  <c:v>104.84764542936298</c:v>
                </c:pt>
                <c:pt idx="113">
                  <c:v>105.26315789473685</c:v>
                </c:pt>
                <c:pt idx="114">
                  <c:v>105.40166204986157</c:v>
                </c:pt>
                <c:pt idx="115">
                  <c:v>104.70914127423826</c:v>
                </c:pt>
                <c:pt idx="116">
                  <c:v>104.84764542936298</c:v>
                </c:pt>
                <c:pt idx="117">
                  <c:v>104.84764542936298</c:v>
                </c:pt>
                <c:pt idx="118">
                  <c:v>104.57063711911358</c:v>
                </c:pt>
                <c:pt idx="119">
                  <c:v>104.43213296398895</c:v>
                </c:pt>
                <c:pt idx="120">
                  <c:v>104.01662049861505</c:v>
                </c:pt>
                <c:pt idx="121">
                  <c:v>104.15512465373961</c:v>
                </c:pt>
                <c:pt idx="122">
                  <c:v>103.4626038781164</c:v>
                </c:pt>
                <c:pt idx="123">
                  <c:v>103.4626038781164</c:v>
                </c:pt>
                <c:pt idx="124">
                  <c:v>103.60110803324099</c:v>
                </c:pt>
                <c:pt idx="125">
                  <c:v>104.84764542936296</c:v>
                </c:pt>
                <c:pt idx="126">
                  <c:v>104.70914127423823</c:v>
                </c:pt>
                <c:pt idx="127">
                  <c:v>105.40166204986154</c:v>
                </c:pt>
                <c:pt idx="128">
                  <c:v>105.26315789473685</c:v>
                </c:pt>
                <c:pt idx="129">
                  <c:v>104.98614958448756</c:v>
                </c:pt>
                <c:pt idx="130">
                  <c:v>104.84764542936296</c:v>
                </c:pt>
                <c:pt idx="131">
                  <c:v>104.70914127423823</c:v>
                </c:pt>
                <c:pt idx="132">
                  <c:v>104.70914127423823</c:v>
                </c:pt>
                <c:pt idx="133">
                  <c:v>104.43213296398891</c:v>
                </c:pt>
                <c:pt idx="134">
                  <c:v>104.57063711911357</c:v>
                </c:pt>
                <c:pt idx="135">
                  <c:v>104.43213296398895</c:v>
                </c:pt>
                <c:pt idx="136">
                  <c:v>104.43213296398895</c:v>
                </c:pt>
                <c:pt idx="137">
                  <c:v>103.87811634349028</c:v>
                </c:pt>
                <c:pt idx="138">
                  <c:v>104.01662049861505</c:v>
                </c:pt>
                <c:pt idx="139">
                  <c:v>103.8781163434903</c:v>
                </c:pt>
                <c:pt idx="140">
                  <c:v>103.3240997229917</c:v>
                </c:pt>
                <c:pt idx="141">
                  <c:v>101.52354570637124</c:v>
                </c:pt>
                <c:pt idx="142">
                  <c:v>101.52354570637124</c:v>
                </c:pt>
                <c:pt idx="143">
                  <c:v>101.10803324099727</c:v>
                </c:pt>
                <c:pt idx="144">
                  <c:v>101.52354570637121</c:v>
                </c:pt>
                <c:pt idx="145">
                  <c:v>101.10803324099726</c:v>
                </c:pt>
                <c:pt idx="146">
                  <c:v>100.69252077562328</c:v>
                </c:pt>
                <c:pt idx="147">
                  <c:v>100.69252077562328</c:v>
                </c:pt>
                <c:pt idx="148">
                  <c:v>100.41551246537404</c:v>
                </c:pt>
                <c:pt idx="149">
                  <c:v>100.96952908587269</c:v>
                </c:pt>
                <c:pt idx="150">
                  <c:v>99.584487534626035</c:v>
                </c:pt>
                <c:pt idx="151">
                  <c:v>100.00000000000004</c:v>
                </c:pt>
                <c:pt idx="152">
                  <c:v>98.614958448753512</c:v>
                </c:pt>
                <c:pt idx="153">
                  <c:v>98.753462603878162</c:v>
                </c:pt>
                <c:pt idx="154">
                  <c:v>99.722991689750742</c:v>
                </c:pt>
                <c:pt idx="155">
                  <c:v>100.41551246537406</c:v>
                </c:pt>
                <c:pt idx="156">
                  <c:v>100.41551246537406</c:v>
                </c:pt>
                <c:pt idx="157">
                  <c:v>99.861495844875392</c:v>
                </c:pt>
                <c:pt idx="158">
                  <c:v>99.307479224376777</c:v>
                </c:pt>
                <c:pt idx="159">
                  <c:v>98.753462603878162</c:v>
                </c:pt>
                <c:pt idx="160">
                  <c:v>98.891966759002827</c:v>
                </c:pt>
                <c:pt idx="161">
                  <c:v>99.307479224376777</c:v>
                </c:pt>
                <c:pt idx="162">
                  <c:v>98.891966759002827</c:v>
                </c:pt>
                <c:pt idx="163">
                  <c:v>98.614958448753512</c:v>
                </c:pt>
                <c:pt idx="164">
                  <c:v>99.445983379501428</c:v>
                </c:pt>
                <c:pt idx="165">
                  <c:v>100.00000000000003</c:v>
                </c:pt>
                <c:pt idx="166">
                  <c:v>100.00000000000003</c:v>
                </c:pt>
                <c:pt idx="167">
                  <c:v>100.831024930748</c:v>
                </c:pt>
                <c:pt idx="168">
                  <c:v>100.831024930748</c:v>
                </c:pt>
                <c:pt idx="169">
                  <c:v>100.831024930748</c:v>
                </c:pt>
                <c:pt idx="170">
                  <c:v>101.38504155124656</c:v>
                </c:pt>
                <c:pt idx="171">
                  <c:v>102.63157894736848</c:v>
                </c:pt>
                <c:pt idx="172">
                  <c:v>102.9085872576178</c:v>
                </c:pt>
                <c:pt idx="173">
                  <c:v>102.7700831024931</c:v>
                </c:pt>
                <c:pt idx="174">
                  <c:v>102.35457063711918</c:v>
                </c:pt>
                <c:pt idx="175">
                  <c:v>102.7700831024931</c:v>
                </c:pt>
                <c:pt idx="176">
                  <c:v>103.46260387811644</c:v>
                </c:pt>
                <c:pt idx="177">
                  <c:v>103.04709141274246</c:v>
                </c:pt>
                <c:pt idx="178">
                  <c:v>103.60110803324108</c:v>
                </c:pt>
                <c:pt idx="179">
                  <c:v>102.49307479224386</c:v>
                </c:pt>
                <c:pt idx="180">
                  <c:v>102.49307479224386</c:v>
                </c:pt>
                <c:pt idx="181">
                  <c:v>102.49307479224386</c:v>
                </c:pt>
                <c:pt idx="182">
                  <c:v>101.66204986149589</c:v>
                </c:pt>
                <c:pt idx="183">
                  <c:v>101.38504155124659</c:v>
                </c:pt>
                <c:pt idx="184">
                  <c:v>100.83102493074803</c:v>
                </c:pt>
                <c:pt idx="185">
                  <c:v>101.38504155124659</c:v>
                </c:pt>
                <c:pt idx="186">
                  <c:v>101.80055401662054</c:v>
                </c:pt>
                <c:pt idx="187">
                  <c:v>101.66204986149589</c:v>
                </c:pt>
                <c:pt idx="188">
                  <c:v>101.52354570637127</c:v>
                </c:pt>
                <c:pt idx="189">
                  <c:v>101.80055401662052</c:v>
                </c:pt>
                <c:pt idx="190">
                  <c:v>101.93905817174522</c:v>
                </c:pt>
                <c:pt idx="191">
                  <c:v>102.77008310249307</c:v>
                </c:pt>
                <c:pt idx="192">
                  <c:v>102.77008310249307</c:v>
                </c:pt>
                <c:pt idx="193">
                  <c:v>102.49307479224383</c:v>
                </c:pt>
                <c:pt idx="194">
                  <c:v>102.77008310249307</c:v>
                </c:pt>
                <c:pt idx="195">
                  <c:v>103.1855955678671</c:v>
                </c:pt>
                <c:pt idx="196">
                  <c:v>103.1855955678671</c:v>
                </c:pt>
                <c:pt idx="197">
                  <c:v>103.60110803324105</c:v>
                </c:pt>
                <c:pt idx="198">
                  <c:v>103.60110803324105</c:v>
                </c:pt>
                <c:pt idx="199">
                  <c:v>103.18559556786708</c:v>
                </c:pt>
                <c:pt idx="200">
                  <c:v>103.04709141274243</c:v>
                </c:pt>
                <c:pt idx="201">
                  <c:v>103.04709141274243</c:v>
                </c:pt>
                <c:pt idx="202">
                  <c:v>103.60110803324105</c:v>
                </c:pt>
                <c:pt idx="203">
                  <c:v>103.04709141274243</c:v>
                </c:pt>
                <c:pt idx="204">
                  <c:v>103.3240997229917</c:v>
                </c:pt>
                <c:pt idx="205">
                  <c:v>103.04709141274243</c:v>
                </c:pt>
                <c:pt idx="206">
                  <c:v>103.18559556786707</c:v>
                </c:pt>
                <c:pt idx="207">
                  <c:v>103.18559556786707</c:v>
                </c:pt>
                <c:pt idx="208">
                  <c:v>104.2936288088643</c:v>
                </c:pt>
                <c:pt idx="209">
                  <c:v>103.601108033241</c:v>
                </c:pt>
                <c:pt idx="210">
                  <c:v>103.8781163434903</c:v>
                </c:pt>
                <c:pt idx="211">
                  <c:v>103.46260387811641</c:v>
                </c:pt>
                <c:pt idx="212">
                  <c:v>103.46260387811641</c:v>
                </c:pt>
                <c:pt idx="213">
                  <c:v>103.3240997229917</c:v>
                </c:pt>
                <c:pt idx="214">
                  <c:v>102.77008310249306</c:v>
                </c:pt>
                <c:pt idx="215">
                  <c:v>103.18559556786708</c:v>
                </c:pt>
                <c:pt idx="216">
                  <c:v>103.601108033241</c:v>
                </c:pt>
                <c:pt idx="217">
                  <c:v>103.601108033241</c:v>
                </c:pt>
                <c:pt idx="218">
                  <c:v>103.7396121883657</c:v>
                </c:pt>
                <c:pt idx="219">
                  <c:v>103.32409972299168</c:v>
                </c:pt>
                <c:pt idx="220">
                  <c:v>103.46260387811637</c:v>
                </c:pt>
                <c:pt idx="221">
                  <c:v>103.73961218836568</c:v>
                </c:pt>
                <c:pt idx="222">
                  <c:v>103.46260387811637</c:v>
                </c:pt>
                <c:pt idx="223">
                  <c:v>103.18559556786704</c:v>
                </c:pt>
                <c:pt idx="224">
                  <c:v>103.32409972299168</c:v>
                </c:pt>
                <c:pt idx="225">
                  <c:v>103.18559556786704</c:v>
                </c:pt>
                <c:pt idx="226">
                  <c:v>103.32409972299168</c:v>
                </c:pt>
                <c:pt idx="227">
                  <c:v>102.90858725761773</c:v>
                </c:pt>
                <c:pt idx="228">
                  <c:v>103.32409972299168</c:v>
                </c:pt>
                <c:pt idx="229">
                  <c:v>103.46260387811634</c:v>
                </c:pt>
                <c:pt idx="230">
                  <c:v>103.73961218836565</c:v>
                </c:pt>
                <c:pt idx="231">
                  <c:v>103.87811634349023</c:v>
                </c:pt>
                <c:pt idx="232">
                  <c:v>103.73961218836565</c:v>
                </c:pt>
                <c:pt idx="233">
                  <c:v>104.15512465373955</c:v>
                </c:pt>
                <c:pt idx="234">
                  <c:v>104.29362880886421</c:v>
                </c:pt>
                <c:pt idx="235">
                  <c:v>104.70914127423819</c:v>
                </c:pt>
                <c:pt idx="236">
                  <c:v>106.09418282548467</c:v>
                </c:pt>
                <c:pt idx="237">
                  <c:v>105.40166204986149</c:v>
                </c:pt>
                <c:pt idx="238">
                  <c:v>105.54016620498612</c:v>
                </c:pt>
                <c:pt idx="239">
                  <c:v>105.67867036011073</c:v>
                </c:pt>
                <c:pt idx="240">
                  <c:v>105.95567867036007</c:v>
                </c:pt>
                <c:pt idx="241">
                  <c:v>106.50969529085869</c:v>
                </c:pt>
                <c:pt idx="242">
                  <c:v>106.37119113573397</c:v>
                </c:pt>
                <c:pt idx="243">
                  <c:v>106.92520775623261</c:v>
                </c:pt>
                <c:pt idx="244">
                  <c:v>107.61772853185586</c:v>
                </c:pt>
                <c:pt idx="245">
                  <c:v>107.47922437673124</c:v>
                </c:pt>
                <c:pt idx="246">
                  <c:v>107.2022160664819</c:v>
                </c:pt>
                <c:pt idx="247">
                  <c:v>107.61772853185587</c:v>
                </c:pt>
                <c:pt idx="248">
                  <c:v>107.3407202216066</c:v>
                </c:pt>
                <c:pt idx="249">
                  <c:v>108.58725761772847</c:v>
                </c:pt>
                <c:pt idx="250">
                  <c:v>108.17174515235442</c:v>
                </c:pt>
                <c:pt idx="251">
                  <c:v>108.86426592797783</c:v>
                </c:pt>
                <c:pt idx="252">
                  <c:v>108.17174515235442</c:v>
                </c:pt>
                <c:pt idx="253">
                  <c:v>107.89473684210516</c:v>
                </c:pt>
                <c:pt idx="254">
                  <c:v>107.89473684210516</c:v>
                </c:pt>
                <c:pt idx="255">
                  <c:v>108.17174515235442</c:v>
                </c:pt>
                <c:pt idx="256">
                  <c:v>107.75623268698054</c:v>
                </c:pt>
                <c:pt idx="257">
                  <c:v>107.34072022160657</c:v>
                </c:pt>
                <c:pt idx="258">
                  <c:v>107.06371191135727</c:v>
                </c:pt>
                <c:pt idx="259">
                  <c:v>107.06371191135727</c:v>
                </c:pt>
                <c:pt idx="260">
                  <c:v>107.34072022160659</c:v>
                </c:pt>
                <c:pt idx="261">
                  <c:v>105.95567867036006</c:v>
                </c:pt>
                <c:pt idx="262">
                  <c:v>105.40166204986147</c:v>
                </c:pt>
                <c:pt idx="263">
                  <c:v>104.70914127423816</c:v>
                </c:pt>
                <c:pt idx="264">
                  <c:v>104.70914127423816</c:v>
                </c:pt>
                <c:pt idx="265">
                  <c:v>103.73961218836563</c:v>
                </c:pt>
                <c:pt idx="266">
                  <c:v>104.84764542936287</c:v>
                </c:pt>
                <c:pt idx="267">
                  <c:v>105.81717451523539</c:v>
                </c:pt>
                <c:pt idx="268">
                  <c:v>104.98614958448749</c:v>
                </c:pt>
                <c:pt idx="269">
                  <c:v>103.87811634349021</c:v>
                </c:pt>
                <c:pt idx="270">
                  <c:v>103.73961218836563</c:v>
                </c:pt>
                <c:pt idx="271">
                  <c:v>103.87811634349021</c:v>
                </c:pt>
                <c:pt idx="272">
                  <c:v>105.12465373961216</c:v>
                </c:pt>
                <c:pt idx="273">
                  <c:v>104.15512465373955</c:v>
                </c:pt>
                <c:pt idx="274">
                  <c:v>104.43213296398885</c:v>
                </c:pt>
                <c:pt idx="275">
                  <c:v>104.84764542936287</c:v>
                </c:pt>
                <c:pt idx="276">
                  <c:v>104.01662049861491</c:v>
                </c:pt>
                <c:pt idx="277">
                  <c:v>104.29362880886418</c:v>
                </c:pt>
                <c:pt idx="278">
                  <c:v>103.87811634349016</c:v>
                </c:pt>
                <c:pt idx="279">
                  <c:v>102.90858725761764</c:v>
                </c:pt>
                <c:pt idx="280">
                  <c:v>102.90858725761764</c:v>
                </c:pt>
                <c:pt idx="281">
                  <c:v>101.24653739612175</c:v>
                </c:pt>
                <c:pt idx="282">
                  <c:v>100.83102493074787</c:v>
                </c:pt>
                <c:pt idx="283">
                  <c:v>100.83102493074787</c:v>
                </c:pt>
                <c:pt idx="284">
                  <c:v>98.19944598337942</c:v>
                </c:pt>
                <c:pt idx="285">
                  <c:v>99.584487534625907</c:v>
                </c:pt>
                <c:pt idx="286">
                  <c:v>99.861495844875265</c:v>
                </c:pt>
                <c:pt idx="287">
                  <c:v>100.96952908587255</c:v>
                </c:pt>
                <c:pt idx="288">
                  <c:v>100.13850415512452</c:v>
                </c:pt>
                <c:pt idx="289">
                  <c:v>97.50692520775614</c:v>
                </c:pt>
                <c:pt idx="290">
                  <c:v>90.166204986149495</c:v>
                </c:pt>
                <c:pt idx="291">
                  <c:v>92.79778393351792</c:v>
                </c:pt>
                <c:pt idx="292">
                  <c:v>93.490304709141213</c:v>
                </c:pt>
                <c:pt idx="293">
                  <c:v>90.027700831024788</c:v>
                </c:pt>
                <c:pt idx="294">
                  <c:v>92.936288088642598</c:v>
                </c:pt>
                <c:pt idx="295">
                  <c:v>90.720221606648124</c:v>
                </c:pt>
                <c:pt idx="296">
                  <c:v>90.858725761772774</c:v>
                </c:pt>
                <c:pt idx="297">
                  <c:v>87.257617728531784</c:v>
                </c:pt>
                <c:pt idx="298">
                  <c:v>85.180055401661988</c:v>
                </c:pt>
                <c:pt idx="299">
                  <c:v>87.811634349030427</c:v>
                </c:pt>
                <c:pt idx="300">
                  <c:v>84.903047091412674</c:v>
                </c:pt>
                <c:pt idx="301">
                  <c:v>87.119113573407134</c:v>
                </c:pt>
                <c:pt idx="302">
                  <c:v>88.642659279778371</c:v>
                </c:pt>
                <c:pt idx="303">
                  <c:v>87.950138504155049</c:v>
                </c:pt>
                <c:pt idx="304">
                  <c:v>88.642659279778385</c:v>
                </c:pt>
                <c:pt idx="305">
                  <c:v>87.257617728531812</c:v>
                </c:pt>
                <c:pt idx="306">
                  <c:v>89.473684210526258</c:v>
                </c:pt>
                <c:pt idx="307">
                  <c:v>88.6426592797784</c:v>
                </c:pt>
                <c:pt idx="308">
                  <c:v>89.058171745152308</c:v>
                </c:pt>
                <c:pt idx="309">
                  <c:v>90.858725761772803</c:v>
                </c:pt>
                <c:pt idx="310">
                  <c:v>91.135734072022075</c:v>
                </c:pt>
                <c:pt idx="311">
                  <c:v>91.689750692520676</c:v>
                </c:pt>
                <c:pt idx="312">
                  <c:v>90.858725761772803</c:v>
                </c:pt>
                <c:pt idx="313">
                  <c:v>92.243767313019319</c:v>
                </c:pt>
                <c:pt idx="314">
                  <c:v>92.382271468143998</c:v>
                </c:pt>
                <c:pt idx="315">
                  <c:v>91.412742382271418</c:v>
                </c:pt>
                <c:pt idx="316">
                  <c:v>91.551246537396082</c:v>
                </c:pt>
                <c:pt idx="317">
                  <c:v>90.99722991689751</c:v>
                </c:pt>
                <c:pt idx="318">
                  <c:v>90.581717451523488</c:v>
                </c:pt>
                <c:pt idx="319">
                  <c:v>90.304709141274202</c:v>
                </c:pt>
                <c:pt idx="320">
                  <c:v>89.889196675900237</c:v>
                </c:pt>
                <c:pt idx="321">
                  <c:v>86.980609418282526</c:v>
                </c:pt>
                <c:pt idx="322">
                  <c:v>86.703601108033183</c:v>
                </c:pt>
                <c:pt idx="323">
                  <c:v>88.365650969529042</c:v>
                </c:pt>
                <c:pt idx="324">
                  <c:v>89.335180055401565</c:v>
                </c:pt>
                <c:pt idx="325">
                  <c:v>89.889196675900237</c:v>
                </c:pt>
                <c:pt idx="326">
                  <c:v>90.166204986149566</c:v>
                </c:pt>
                <c:pt idx="327">
                  <c:v>90.858725761772803</c:v>
                </c:pt>
                <c:pt idx="328">
                  <c:v>88.088642659279742</c:v>
                </c:pt>
                <c:pt idx="329">
                  <c:v>89.889196675900237</c:v>
                </c:pt>
                <c:pt idx="330">
                  <c:v>89.750692520775587</c:v>
                </c:pt>
                <c:pt idx="331">
                  <c:v>90.720221606648167</c:v>
                </c:pt>
                <c:pt idx="332">
                  <c:v>91.135734072022075</c:v>
                </c:pt>
                <c:pt idx="333">
                  <c:v>91.274238227146782</c:v>
                </c:pt>
                <c:pt idx="334">
                  <c:v>91.828254847645383</c:v>
                </c:pt>
                <c:pt idx="335">
                  <c:v>92.105263157894655</c:v>
                </c:pt>
                <c:pt idx="336">
                  <c:v>91.828254847645383</c:v>
                </c:pt>
                <c:pt idx="337">
                  <c:v>92.105263157894655</c:v>
                </c:pt>
                <c:pt idx="338">
                  <c:v>92.382271468143983</c:v>
                </c:pt>
                <c:pt idx="339">
                  <c:v>92.797783933517934</c:v>
                </c:pt>
                <c:pt idx="340">
                  <c:v>93.213296398891899</c:v>
                </c:pt>
                <c:pt idx="341">
                  <c:v>94.044321329639814</c:v>
                </c:pt>
                <c:pt idx="342">
                  <c:v>92.936288088642613</c:v>
                </c:pt>
                <c:pt idx="343">
                  <c:v>92.936288088642613</c:v>
                </c:pt>
                <c:pt idx="344">
                  <c:v>93.628808864265807</c:v>
                </c:pt>
                <c:pt idx="345">
                  <c:v>94.3213296398891</c:v>
                </c:pt>
                <c:pt idx="346">
                  <c:v>94.598337950138387</c:v>
                </c:pt>
                <c:pt idx="347">
                  <c:v>95.844875346260281</c:v>
                </c:pt>
                <c:pt idx="348">
                  <c:v>97.229916897506797</c:v>
                </c:pt>
                <c:pt idx="349">
                  <c:v>97.645429362880776</c:v>
                </c:pt>
                <c:pt idx="350">
                  <c:v>96.537396121883546</c:v>
                </c:pt>
                <c:pt idx="351">
                  <c:v>97.091412742382204</c:v>
                </c:pt>
                <c:pt idx="352">
                  <c:v>97.783933518005469</c:v>
                </c:pt>
                <c:pt idx="353">
                  <c:v>96.814404432132903</c:v>
                </c:pt>
                <c:pt idx="354">
                  <c:v>96.814404432132903</c:v>
                </c:pt>
                <c:pt idx="355">
                  <c:v>96.814404432132903</c:v>
                </c:pt>
                <c:pt idx="356">
                  <c:v>95.983379501384945</c:v>
                </c:pt>
                <c:pt idx="357">
                  <c:v>94.736842105263079</c:v>
                </c:pt>
                <c:pt idx="358">
                  <c:v>95.567867036011009</c:v>
                </c:pt>
                <c:pt idx="359">
                  <c:v>95.290858725761709</c:v>
                </c:pt>
                <c:pt idx="360">
                  <c:v>95.983379501384945</c:v>
                </c:pt>
                <c:pt idx="361">
                  <c:v>95.706371191135659</c:v>
                </c:pt>
                <c:pt idx="362">
                  <c:v>95.567867036011009</c:v>
                </c:pt>
                <c:pt idx="363">
                  <c:v>96.537396121883589</c:v>
                </c:pt>
                <c:pt idx="364">
                  <c:v>96.260387811634246</c:v>
                </c:pt>
                <c:pt idx="365">
                  <c:v>96.121883656509596</c:v>
                </c:pt>
                <c:pt idx="366">
                  <c:v>96.260387811634246</c:v>
                </c:pt>
                <c:pt idx="367">
                  <c:v>95.429362880886359</c:v>
                </c:pt>
                <c:pt idx="368">
                  <c:v>94.321329639889129</c:v>
                </c:pt>
                <c:pt idx="369">
                  <c:v>94.044321329639828</c:v>
                </c:pt>
                <c:pt idx="370">
                  <c:v>95.290858725761709</c:v>
                </c:pt>
                <c:pt idx="371">
                  <c:v>94.321329639889129</c:v>
                </c:pt>
                <c:pt idx="372">
                  <c:v>93.351800554016549</c:v>
                </c:pt>
                <c:pt idx="373">
                  <c:v>93.074792243767249</c:v>
                </c:pt>
                <c:pt idx="374">
                  <c:v>94.459833795013807</c:v>
                </c:pt>
                <c:pt idx="375">
                  <c:v>95.152354570637058</c:v>
                </c:pt>
                <c:pt idx="376">
                  <c:v>94.736842105263108</c:v>
                </c:pt>
                <c:pt idx="377">
                  <c:v>95.013850415512422</c:v>
                </c:pt>
                <c:pt idx="378">
                  <c:v>94.459833795013807</c:v>
                </c:pt>
                <c:pt idx="379">
                  <c:v>94.598337950138458</c:v>
                </c:pt>
                <c:pt idx="380">
                  <c:v>94.044321329639843</c:v>
                </c:pt>
                <c:pt idx="381">
                  <c:v>93.074792243767249</c:v>
                </c:pt>
                <c:pt idx="382">
                  <c:v>93.213296398891913</c:v>
                </c:pt>
                <c:pt idx="383">
                  <c:v>94.598337950138458</c:v>
                </c:pt>
                <c:pt idx="384">
                  <c:v>94.598337950138458</c:v>
                </c:pt>
                <c:pt idx="385">
                  <c:v>94.459833795013807</c:v>
                </c:pt>
                <c:pt idx="386">
                  <c:v>94.182825484764479</c:v>
                </c:pt>
                <c:pt idx="387">
                  <c:v>93.905817174515178</c:v>
                </c:pt>
                <c:pt idx="388">
                  <c:v>92.936288088642627</c:v>
                </c:pt>
                <c:pt idx="389">
                  <c:v>92.659279778393312</c:v>
                </c:pt>
                <c:pt idx="390">
                  <c:v>91.412742382271418</c:v>
                </c:pt>
                <c:pt idx="391">
                  <c:v>90.99722991689751</c:v>
                </c:pt>
                <c:pt idx="392">
                  <c:v>90.99722991689751</c:v>
                </c:pt>
                <c:pt idx="393">
                  <c:v>91.274238227146768</c:v>
                </c:pt>
                <c:pt idx="394">
                  <c:v>92.243767313019319</c:v>
                </c:pt>
                <c:pt idx="395">
                  <c:v>91.689750692520676</c:v>
                </c:pt>
                <c:pt idx="396">
                  <c:v>91.135734072022075</c:v>
                </c:pt>
                <c:pt idx="397">
                  <c:v>91.274238227146782</c:v>
                </c:pt>
                <c:pt idx="398">
                  <c:v>92.243767313019333</c:v>
                </c:pt>
                <c:pt idx="399">
                  <c:v>91.966759002770047</c:v>
                </c:pt>
                <c:pt idx="400">
                  <c:v>91.412742382271418</c:v>
                </c:pt>
                <c:pt idx="401">
                  <c:v>91.551246537396082</c:v>
                </c:pt>
                <c:pt idx="402">
                  <c:v>91.412742382271418</c:v>
                </c:pt>
                <c:pt idx="403">
                  <c:v>91.689750692520704</c:v>
                </c:pt>
                <c:pt idx="404">
                  <c:v>91.412742382271418</c:v>
                </c:pt>
                <c:pt idx="405">
                  <c:v>90.858725761772817</c:v>
                </c:pt>
                <c:pt idx="406">
                  <c:v>90.443213296398909</c:v>
                </c:pt>
                <c:pt idx="407">
                  <c:v>90.581717451523488</c:v>
                </c:pt>
                <c:pt idx="408">
                  <c:v>90.027700831024845</c:v>
                </c:pt>
                <c:pt idx="409">
                  <c:v>89.058171745152308</c:v>
                </c:pt>
                <c:pt idx="410">
                  <c:v>89.889196675900266</c:v>
                </c:pt>
                <c:pt idx="411">
                  <c:v>90.581717451523488</c:v>
                </c:pt>
                <c:pt idx="412">
                  <c:v>91.551246537396082</c:v>
                </c:pt>
                <c:pt idx="413">
                  <c:v>91.412742382271418</c:v>
                </c:pt>
                <c:pt idx="414">
                  <c:v>91.274238227146782</c:v>
                </c:pt>
                <c:pt idx="415">
                  <c:v>89.612188365650894</c:v>
                </c:pt>
                <c:pt idx="416">
                  <c:v>90.166204986149566</c:v>
                </c:pt>
                <c:pt idx="417">
                  <c:v>88.919667590027714</c:v>
                </c:pt>
                <c:pt idx="418">
                  <c:v>88.504155124653693</c:v>
                </c:pt>
                <c:pt idx="419">
                  <c:v>89.196675900277029</c:v>
                </c:pt>
                <c:pt idx="420">
                  <c:v>89.750692520775601</c:v>
                </c:pt>
                <c:pt idx="421">
                  <c:v>90.166204986149566</c:v>
                </c:pt>
                <c:pt idx="422">
                  <c:v>89.473684210526258</c:v>
                </c:pt>
                <c:pt idx="423">
                  <c:v>89.473684210526258</c:v>
                </c:pt>
                <c:pt idx="424">
                  <c:v>89.889196675900266</c:v>
                </c:pt>
                <c:pt idx="425">
                  <c:v>89.473684210526258</c:v>
                </c:pt>
                <c:pt idx="426">
                  <c:v>89.473684210526258</c:v>
                </c:pt>
                <c:pt idx="427">
                  <c:v>88.504155124653678</c:v>
                </c:pt>
                <c:pt idx="428">
                  <c:v>88.088642659279756</c:v>
                </c:pt>
                <c:pt idx="429">
                  <c:v>86.980609418282526</c:v>
                </c:pt>
                <c:pt idx="430">
                  <c:v>86.980609418282526</c:v>
                </c:pt>
                <c:pt idx="431">
                  <c:v>85.318559556786639</c:v>
                </c:pt>
                <c:pt idx="432">
                  <c:v>85.041551246537367</c:v>
                </c:pt>
                <c:pt idx="433">
                  <c:v>86.426592797783869</c:v>
                </c:pt>
                <c:pt idx="434">
                  <c:v>87.534626038781141</c:v>
                </c:pt>
                <c:pt idx="435">
                  <c:v>86.149584487534582</c:v>
                </c:pt>
                <c:pt idx="436">
                  <c:v>86.426592797783854</c:v>
                </c:pt>
                <c:pt idx="437">
                  <c:v>86.565096952908519</c:v>
                </c:pt>
                <c:pt idx="438">
                  <c:v>86.703601108033212</c:v>
                </c:pt>
                <c:pt idx="439">
                  <c:v>87.257617728531812</c:v>
                </c:pt>
                <c:pt idx="440">
                  <c:v>88.08864265927977</c:v>
                </c:pt>
                <c:pt idx="441">
                  <c:v>87.950138504155078</c:v>
                </c:pt>
                <c:pt idx="442">
                  <c:v>88.227146814404364</c:v>
                </c:pt>
                <c:pt idx="443">
                  <c:v>88.08864265927977</c:v>
                </c:pt>
                <c:pt idx="444">
                  <c:v>87.257617728531841</c:v>
                </c:pt>
                <c:pt idx="445">
                  <c:v>87.119113573407191</c:v>
                </c:pt>
                <c:pt idx="446">
                  <c:v>87.811634349030484</c:v>
                </c:pt>
                <c:pt idx="447">
                  <c:v>87.673130193905749</c:v>
                </c:pt>
                <c:pt idx="448">
                  <c:v>88.781163434903078</c:v>
                </c:pt>
                <c:pt idx="449">
                  <c:v>88.919667590027714</c:v>
                </c:pt>
                <c:pt idx="450">
                  <c:v>89.612188365650908</c:v>
                </c:pt>
                <c:pt idx="451">
                  <c:v>89.335180055401608</c:v>
                </c:pt>
                <c:pt idx="452">
                  <c:v>89.196675900277029</c:v>
                </c:pt>
                <c:pt idx="453">
                  <c:v>87.396121883656463</c:v>
                </c:pt>
                <c:pt idx="454">
                  <c:v>86.011080332409904</c:v>
                </c:pt>
                <c:pt idx="455">
                  <c:v>86.426592797783869</c:v>
                </c:pt>
                <c:pt idx="456">
                  <c:v>85.180055401662045</c:v>
                </c:pt>
                <c:pt idx="457">
                  <c:v>85.872576177285254</c:v>
                </c:pt>
                <c:pt idx="458">
                  <c:v>86.288088642659218</c:v>
                </c:pt>
                <c:pt idx="459">
                  <c:v>87.950138504155078</c:v>
                </c:pt>
                <c:pt idx="460">
                  <c:v>88.08864265927977</c:v>
                </c:pt>
                <c:pt idx="461">
                  <c:v>88.642659279778414</c:v>
                </c:pt>
                <c:pt idx="462">
                  <c:v>89.750692520775615</c:v>
                </c:pt>
                <c:pt idx="463">
                  <c:v>90.027700831024873</c:v>
                </c:pt>
                <c:pt idx="464">
                  <c:v>89.335180055401608</c:v>
                </c:pt>
                <c:pt idx="465">
                  <c:v>88.919667590027728</c:v>
                </c:pt>
                <c:pt idx="466">
                  <c:v>89.612188365650908</c:v>
                </c:pt>
                <c:pt idx="467">
                  <c:v>89.889196675900294</c:v>
                </c:pt>
              </c:numCache>
            </c:numRef>
          </c:val>
          <c:smooth val="0"/>
          <c:extLst>
            <c:ext xmlns:c16="http://schemas.microsoft.com/office/drawing/2014/chart" uri="{C3380CC4-5D6E-409C-BE32-E72D297353CC}">
              <c16:uniqueId val="{00000001-FCCC-4543-8000-6EEE235E3B8B}"/>
            </c:ext>
          </c:extLst>
        </c:ser>
        <c:ser>
          <c:idx val="2"/>
          <c:order val="2"/>
          <c:tx>
            <c:strRef>
              <c:f>Sheet1!$D$1</c:f>
              <c:strCache>
                <c:ptCount val="1"/>
                <c:pt idx="0">
                  <c:v>EUR/AMD</c:v>
                </c:pt>
              </c:strCache>
            </c:strRef>
          </c:tx>
          <c:spPr>
            <a:ln w="28575" cap="rnd">
              <a:solidFill>
                <a:srgbClr val="C00000"/>
              </a:solidFill>
              <a:round/>
            </a:ln>
            <a:effectLst/>
          </c:spPr>
          <c:marker>
            <c:symbol val="none"/>
          </c:marker>
          <c:cat>
            <c:strRef>
              <c:f>Sheet1!$A$2:$A$966</c:f>
              <c:strCache>
                <c:ptCount val="468"/>
                <c:pt idx="0">
                  <c:v>8/1/2019</c:v>
                </c:pt>
                <c:pt idx="1">
                  <c:v>9/1/2019</c:v>
                </c:pt>
                <c:pt idx="2">
                  <c:v>10/1/2019</c:v>
                </c:pt>
                <c:pt idx="3">
                  <c:v>11/1/2019</c:v>
                </c:pt>
                <c:pt idx="4">
                  <c:v>14/01/2019</c:v>
                </c:pt>
                <c:pt idx="5">
                  <c:v>15/01/2019</c:v>
                </c:pt>
                <c:pt idx="6">
                  <c:v>16/01/2019</c:v>
                </c:pt>
                <c:pt idx="7">
                  <c:v>17/01/2019</c:v>
                </c:pt>
                <c:pt idx="8">
                  <c:v>18/01/2019</c:v>
                </c:pt>
                <c:pt idx="9">
                  <c:v>21/01/2019</c:v>
                </c:pt>
                <c:pt idx="10">
                  <c:v>22/01/2019</c:v>
                </c:pt>
                <c:pt idx="11">
                  <c:v>23/01/2019</c:v>
                </c:pt>
                <c:pt idx="12">
                  <c:v>24/01/2019</c:v>
                </c:pt>
                <c:pt idx="13">
                  <c:v>25/01/2019</c:v>
                </c:pt>
                <c:pt idx="14">
                  <c:v>29/01/2019</c:v>
                </c:pt>
                <c:pt idx="15">
                  <c:v>30/01/2019</c:v>
                </c:pt>
                <c:pt idx="16">
                  <c:v>31/01/2019</c:v>
                </c:pt>
                <c:pt idx="17">
                  <c:v>1/2/2019</c:v>
                </c:pt>
                <c:pt idx="18">
                  <c:v>4/2/2019</c:v>
                </c:pt>
                <c:pt idx="19">
                  <c:v>5/2/2019</c:v>
                </c:pt>
                <c:pt idx="20">
                  <c:v>6/2/2019</c:v>
                </c:pt>
                <c:pt idx="21">
                  <c:v>7/2/2019</c:v>
                </c:pt>
                <c:pt idx="22">
                  <c:v>8/2/2019</c:v>
                </c:pt>
                <c:pt idx="23">
                  <c:v>11/2/2019</c:v>
                </c:pt>
                <c:pt idx="24">
                  <c:v>12/2/2019</c:v>
                </c:pt>
                <c:pt idx="25">
                  <c:v>13/02/2019</c:v>
                </c:pt>
                <c:pt idx="26">
                  <c:v>14/02/2019</c:v>
                </c:pt>
                <c:pt idx="27">
                  <c:v>15/02/2019</c:v>
                </c:pt>
                <c:pt idx="28">
                  <c:v>18/02/2019</c:v>
                </c:pt>
                <c:pt idx="29">
                  <c:v>19/02/2019</c:v>
                </c:pt>
                <c:pt idx="30">
                  <c:v>20/02/2019</c:v>
                </c:pt>
                <c:pt idx="31">
                  <c:v>21/02/2019</c:v>
                </c:pt>
                <c:pt idx="32">
                  <c:v>22/02/2019</c:v>
                </c:pt>
                <c:pt idx="33">
                  <c:v>25/02/2019</c:v>
                </c:pt>
                <c:pt idx="34">
                  <c:v>26/02/2019</c:v>
                </c:pt>
                <c:pt idx="35">
                  <c:v>27/02/2019</c:v>
                </c:pt>
                <c:pt idx="36">
                  <c:v>28/02/2019</c:v>
                </c:pt>
                <c:pt idx="37">
                  <c:v>1/3/2019</c:v>
                </c:pt>
                <c:pt idx="38">
                  <c:v>4/3/2019</c:v>
                </c:pt>
                <c:pt idx="39">
                  <c:v>5/3/2019</c:v>
                </c:pt>
                <c:pt idx="40">
                  <c:v>6/3/2019</c:v>
                </c:pt>
                <c:pt idx="41">
                  <c:v>7/3/2019</c:v>
                </c:pt>
                <c:pt idx="42">
                  <c:v>11/3/2019</c:v>
                </c:pt>
                <c:pt idx="43">
                  <c:v>12/3/2019</c:v>
                </c:pt>
                <c:pt idx="44">
                  <c:v>13/03/2019</c:v>
                </c:pt>
                <c:pt idx="45">
                  <c:v>14/03/2019</c:v>
                </c:pt>
                <c:pt idx="46">
                  <c:v>15/03/2019</c:v>
                </c:pt>
                <c:pt idx="47">
                  <c:v>18/03/2019</c:v>
                </c:pt>
                <c:pt idx="48">
                  <c:v>19/03/2019</c:v>
                </c:pt>
                <c:pt idx="49">
                  <c:v>20/03/2019</c:v>
                </c:pt>
                <c:pt idx="50">
                  <c:v>21/03/2019</c:v>
                </c:pt>
                <c:pt idx="51">
                  <c:v>22/03/2019</c:v>
                </c:pt>
                <c:pt idx="52">
                  <c:v>25/03/2019</c:v>
                </c:pt>
                <c:pt idx="53">
                  <c:v>26/03/2019</c:v>
                </c:pt>
                <c:pt idx="54">
                  <c:v>27/03/2019</c:v>
                </c:pt>
                <c:pt idx="55">
                  <c:v>28/03/2019</c:v>
                </c:pt>
                <c:pt idx="56">
                  <c:v>29/03/2019</c:v>
                </c:pt>
                <c:pt idx="57">
                  <c:v>1/4/2019</c:v>
                </c:pt>
                <c:pt idx="58">
                  <c:v>2/4/2019</c:v>
                </c:pt>
                <c:pt idx="59">
                  <c:v>3/4/2019</c:v>
                </c:pt>
                <c:pt idx="60">
                  <c:v>4/4/2019</c:v>
                </c:pt>
                <c:pt idx="61">
                  <c:v>5/4/2019</c:v>
                </c:pt>
                <c:pt idx="62">
                  <c:v>8/4/2019</c:v>
                </c:pt>
                <c:pt idx="63">
                  <c:v>9/4/2019</c:v>
                </c:pt>
                <c:pt idx="64">
                  <c:v>10/4/2019</c:v>
                </c:pt>
                <c:pt idx="65">
                  <c:v>11/4/2019</c:v>
                </c:pt>
                <c:pt idx="66">
                  <c:v>12/4/2019</c:v>
                </c:pt>
                <c:pt idx="67">
                  <c:v>15/04/2019</c:v>
                </c:pt>
                <c:pt idx="68">
                  <c:v>16/04/2019</c:v>
                </c:pt>
                <c:pt idx="69">
                  <c:v>17/04/2019</c:v>
                </c:pt>
                <c:pt idx="70">
                  <c:v>18/04/2019</c:v>
                </c:pt>
                <c:pt idx="71">
                  <c:v>19/04/2019</c:v>
                </c:pt>
                <c:pt idx="72">
                  <c:v>22/04/2019</c:v>
                </c:pt>
                <c:pt idx="73">
                  <c:v>23/04/2019</c:v>
                </c:pt>
                <c:pt idx="74">
                  <c:v>25/04/2019</c:v>
                </c:pt>
                <c:pt idx="75">
                  <c:v>26/04/2019</c:v>
                </c:pt>
                <c:pt idx="76">
                  <c:v>29/04/2019</c:v>
                </c:pt>
                <c:pt idx="77">
                  <c:v>30/04/2019</c:v>
                </c:pt>
                <c:pt idx="78">
                  <c:v>2/5/2019</c:v>
                </c:pt>
                <c:pt idx="79">
                  <c:v>3/5/2019</c:v>
                </c:pt>
                <c:pt idx="80">
                  <c:v>6/5/2019</c:v>
                </c:pt>
                <c:pt idx="81">
                  <c:v>7/5/2019</c:v>
                </c:pt>
                <c:pt idx="82">
                  <c:v>8/5/2019</c:v>
                </c:pt>
                <c:pt idx="83">
                  <c:v>10/5/2019</c:v>
                </c:pt>
                <c:pt idx="84">
                  <c:v>13/05/2019</c:v>
                </c:pt>
                <c:pt idx="85">
                  <c:v>14/05/2019</c:v>
                </c:pt>
                <c:pt idx="86">
                  <c:v>15/05/2019</c:v>
                </c:pt>
                <c:pt idx="87">
                  <c:v>16/05/2019</c:v>
                </c:pt>
                <c:pt idx="88">
                  <c:v>17/05/2019</c:v>
                </c:pt>
                <c:pt idx="89">
                  <c:v>20/05/2019</c:v>
                </c:pt>
                <c:pt idx="90">
                  <c:v>21/05/2019</c:v>
                </c:pt>
                <c:pt idx="91">
                  <c:v>22/05/2019</c:v>
                </c:pt>
                <c:pt idx="92">
                  <c:v>23/05/2019</c:v>
                </c:pt>
                <c:pt idx="93">
                  <c:v>24/05/2019</c:v>
                </c:pt>
                <c:pt idx="94">
                  <c:v>27/05/2019</c:v>
                </c:pt>
                <c:pt idx="95">
                  <c:v>29/05/2019</c:v>
                </c:pt>
                <c:pt idx="96">
                  <c:v>30/05/2019</c:v>
                </c:pt>
                <c:pt idx="97">
                  <c:v>31/05/2019</c:v>
                </c:pt>
                <c:pt idx="98">
                  <c:v>3/6/2019</c:v>
                </c:pt>
                <c:pt idx="99">
                  <c:v>4/6/2019</c:v>
                </c:pt>
                <c:pt idx="100">
                  <c:v>5/6/2019</c:v>
                </c:pt>
                <c:pt idx="101">
                  <c:v>6/6/2019</c:v>
                </c:pt>
                <c:pt idx="102">
                  <c:v>7/6/2019</c:v>
                </c:pt>
                <c:pt idx="103">
                  <c:v>10/6/2019</c:v>
                </c:pt>
                <c:pt idx="104">
                  <c:v>11/6/2019</c:v>
                </c:pt>
                <c:pt idx="105">
                  <c:v>12/6/2019</c:v>
                </c:pt>
                <c:pt idx="106">
                  <c:v>13/06/2019</c:v>
                </c:pt>
                <c:pt idx="107">
                  <c:v>14/06/2019</c:v>
                </c:pt>
                <c:pt idx="108">
                  <c:v>17/06/2019</c:v>
                </c:pt>
                <c:pt idx="109">
                  <c:v>18/06/2019</c:v>
                </c:pt>
                <c:pt idx="110">
                  <c:v>19/06/2019</c:v>
                </c:pt>
                <c:pt idx="111">
                  <c:v>20/06/2019</c:v>
                </c:pt>
                <c:pt idx="112">
                  <c:v>21/06/2019</c:v>
                </c:pt>
                <c:pt idx="113">
                  <c:v>24/06/2019</c:v>
                </c:pt>
                <c:pt idx="114">
                  <c:v>25/06/2019</c:v>
                </c:pt>
                <c:pt idx="115">
                  <c:v>26/06/2019</c:v>
                </c:pt>
                <c:pt idx="116">
                  <c:v>27/06/2019</c:v>
                </c:pt>
                <c:pt idx="117">
                  <c:v>28/06/2019</c:v>
                </c:pt>
                <c:pt idx="118">
                  <c:v>1/7/2019</c:v>
                </c:pt>
                <c:pt idx="119">
                  <c:v>2/7/2019</c:v>
                </c:pt>
                <c:pt idx="120">
                  <c:v>3/7/2019</c:v>
                </c:pt>
                <c:pt idx="121">
                  <c:v>4/7/2019</c:v>
                </c:pt>
                <c:pt idx="122">
                  <c:v>8/7/2019</c:v>
                </c:pt>
                <c:pt idx="123">
                  <c:v>9/7/2019</c:v>
                </c:pt>
                <c:pt idx="124">
                  <c:v>10/7/2019</c:v>
                </c:pt>
                <c:pt idx="125">
                  <c:v>11/7/2019</c:v>
                </c:pt>
                <c:pt idx="126">
                  <c:v>12/7/2019</c:v>
                </c:pt>
                <c:pt idx="127">
                  <c:v>15/07/2019</c:v>
                </c:pt>
                <c:pt idx="128">
                  <c:v>16/07/2019</c:v>
                </c:pt>
                <c:pt idx="129">
                  <c:v>17/07/2019</c:v>
                </c:pt>
                <c:pt idx="130">
                  <c:v>18/07/2019</c:v>
                </c:pt>
                <c:pt idx="131">
                  <c:v>19/07/2019</c:v>
                </c:pt>
                <c:pt idx="132">
                  <c:v>22/07/2019</c:v>
                </c:pt>
                <c:pt idx="133">
                  <c:v>23/07/2019</c:v>
                </c:pt>
                <c:pt idx="134">
                  <c:v>24/07/2019</c:v>
                </c:pt>
                <c:pt idx="135">
                  <c:v>25/07/2019</c:v>
                </c:pt>
                <c:pt idx="136">
                  <c:v>26/07/2019</c:v>
                </c:pt>
                <c:pt idx="137">
                  <c:v>29/07/2019</c:v>
                </c:pt>
                <c:pt idx="138">
                  <c:v>30/07/2019</c:v>
                </c:pt>
                <c:pt idx="139">
                  <c:v>31/07/2019</c:v>
                </c:pt>
                <c:pt idx="140">
                  <c:v>1/8/2019</c:v>
                </c:pt>
                <c:pt idx="141">
                  <c:v>2/8/2019</c:v>
                </c:pt>
                <c:pt idx="142">
                  <c:v>5/8/2019</c:v>
                </c:pt>
                <c:pt idx="143">
                  <c:v>6/8/2019</c:v>
                </c:pt>
                <c:pt idx="144">
                  <c:v>7/8/2019</c:v>
                </c:pt>
                <c:pt idx="145">
                  <c:v>8/8/2019</c:v>
                </c:pt>
                <c:pt idx="146">
                  <c:v>9/8/2019</c:v>
                </c:pt>
                <c:pt idx="147">
                  <c:v>12/8/2019</c:v>
                </c:pt>
                <c:pt idx="148">
                  <c:v>13/08/2019</c:v>
                </c:pt>
                <c:pt idx="149">
                  <c:v>14/08/2019</c:v>
                </c:pt>
                <c:pt idx="150">
                  <c:v>15/08/2019</c:v>
                </c:pt>
                <c:pt idx="151">
                  <c:v>16/08/2019</c:v>
                </c:pt>
                <c:pt idx="152">
                  <c:v>19/08/2019</c:v>
                </c:pt>
                <c:pt idx="153">
                  <c:v>20/08/2019</c:v>
                </c:pt>
                <c:pt idx="154">
                  <c:v>21/08/2019</c:v>
                </c:pt>
                <c:pt idx="155">
                  <c:v>22/08/2019</c:v>
                </c:pt>
                <c:pt idx="156">
                  <c:v>23/08/2019</c:v>
                </c:pt>
                <c:pt idx="157">
                  <c:v>26/08/2019</c:v>
                </c:pt>
                <c:pt idx="158">
                  <c:v>27/08/2019</c:v>
                </c:pt>
                <c:pt idx="159">
                  <c:v>28/08/2019</c:v>
                </c:pt>
                <c:pt idx="160">
                  <c:v>29/08/2019</c:v>
                </c:pt>
                <c:pt idx="161">
                  <c:v>30/08/2019</c:v>
                </c:pt>
                <c:pt idx="162">
                  <c:v>2/9/2019</c:v>
                </c:pt>
                <c:pt idx="163">
                  <c:v>3/9/2019</c:v>
                </c:pt>
                <c:pt idx="164">
                  <c:v>4/9/2019</c:v>
                </c:pt>
                <c:pt idx="165">
                  <c:v>5/9/2019</c:v>
                </c:pt>
                <c:pt idx="166">
                  <c:v>6/9/2019</c:v>
                </c:pt>
                <c:pt idx="167">
                  <c:v>9/9/2019</c:v>
                </c:pt>
                <c:pt idx="168">
                  <c:v>10/9/2019</c:v>
                </c:pt>
                <c:pt idx="169">
                  <c:v>11/9/2019</c:v>
                </c:pt>
                <c:pt idx="170">
                  <c:v>12/9/2019</c:v>
                </c:pt>
                <c:pt idx="171">
                  <c:v>13/09/2019</c:v>
                </c:pt>
                <c:pt idx="172">
                  <c:v>16/09/2019</c:v>
                </c:pt>
                <c:pt idx="173">
                  <c:v>17/09/2019</c:v>
                </c:pt>
                <c:pt idx="174">
                  <c:v>18/09/2019</c:v>
                </c:pt>
                <c:pt idx="175">
                  <c:v>19/09/2019</c:v>
                </c:pt>
                <c:pt idx="176">
                  <c:v>20/09/2019</c:v>
                </c:pt>
                <c:pt idx="177">
                  <c:v>23/09/2019</c:v>
                </c:pt>
                <c:pt idx="178">
                  <c:v>24/09/2019</c:v>
                </c:pt>
                <c:pt idx="179">
                  <c:v>25/09/2019</c:v>
                </c:pt>
                <c:pt idx="180">
                  <c:v>26/09/2019</c:v>
                </c:pt>
                <c:pt idx="181">
                  <c:v>27/09/2019</c:v>
                </c:pt>
                <c:pt idx="182">
                  <c:v>30/09/2019</c:v>
                </c:pt>
                <c:pt idx="183">
                  <c:v>1/10/2019</c:v>
                </c:pt>
                <c:pt idx="184">
                  <c:v>2/10/2019</c:v>
                </c:pt>
                <c:pt idx="185">
                  <c:v>3/10/2019</c:v>
                </c:pt>
                <c:pt idx="186">
                  <c:v>4/10/2019</c:v>
                </c:pt>
                <c:pt idx="187">
                  <c:v>7/10/2019</c:v>
                </c:pt>
                <c:pt idx="188">
                  <c:v>8/10/2019</c:v>
                </c:pt>
                <c:pt idx="189">
                  <c:v>9/10/2019</c:v>
                </c:pt>
                <c:pt idx="190">
                  <c:v>10/10/2019</c:v>
                </c:pt>
                <c:pt idx="191">
                  <c:v>11/10/2019</c:v>
                </c:pt>
                <c:pt idx="192">
                  <c:v>14/10/2019</c:v>
                </c:pt>
                <c:pt idx="193">
                  <c:v>15/10/2019</c:v>
                </c:pt>
                <c:pt idx="194">
                  <c:v>16/10/2019</c:v>
                </c:pt>
                <c:pt idx="195">
                  <c:v>17/10/2019</c:v>
                </c:pt>
                <c:pt idx="196">
                  <c:v>18/10/2019</c:v>
                </c:pt>
                <c:pt idx="197">
                  <c:v>21/10/2019</c:v>
                </c:pt>
                <c:pt idx="198">
                  <c:v>22/10/2019</c:v>
                </c:pt>
                <c:pt idx="199">
                  <c:v>23/10/2019</c:v>
                </c:pt>
                <c:pt idx="200">
                  <c:v>24/10/2019</c:v>
                </c:pt>
                <c:pt idx="201">
                  <c:v>25/10/2019</c:v>
                </c:pt>
                <c:pt idx="202">
                  <c:v>28/10/2019</c:v>
                </c:pt>
                <c:pt idx="203">
                  <c:v>29/10/2019</c:v>
                </c:pt>
                <c:pt idx="204">
                  <c:v>30/10/2019</c:v>
                </c:pt>
                <c:pt idx="205">
                  <c:v>31/10/2019</c:v>
                </c:pt>
                <c:pt idx="206">
                  <c:v>1/11/2019</c:v>
                </c:pt>
                <c:pt idx="207">
                  <c:v>4/11/2019</c:v>
                </c:pt>
                <c:pt idx="208">
                  <c:v>5/11/2019</c:v>
                </c:pt>
                <c:pt idx="209">
                  <c:v>6/11/2019</c:v>
                </c:pt>
                <c:pt idx="210">
                  <c:v>7/11/2019</c:v>
                </c:pt>
                <c:pt idx="211">
                  <c:v>8/11/2019</c:v>
                </c:pt>
                <c:pt idx="212">
                  <c:v>11/11/2019</c:v>
                </c:pt>
                <c:pt idx="213">
                  <c:v>12/11/2019</c:v>
                </c:pt>
                <c:pt idx="214">
                  <c:v>13/11/2019</c:v>
                </c:pt>
                <c:pt idx="215">
                  <c:v>14/11/2019</c:v>
                </c:pt>
                <c:pt idx="216">
                  <c:v>15/11/2019</c:v>
                </c:pt>
                <c:pt idx="217">
                  <c:v>18/11/2019</c:v>
                </c:pt>
                <c:pt idx="218">
                  <c:v>19/11/2019</c:v>
                </c:pt>
                <c:pt idx="219">
                  <c:v>20/11/2019</c:v>
                </c:pt>
                <c:pt idx="220">
                  <c:v>21/11/2019</c:v>
                </c:pt>
                <c:pt idx="221">
                  <c:v>22/11/2019</c:v>
                </c:pt>
                <c:pt idx="222">
                  <c:v>25/11/2019</c:v>
                </c:pt>
                <c:pt idx="223">
                  <c:v>26/11/2019</c:v>
                </c:pt>
                <c:pt idx="224">
                  <c:v>27/11/2019</c:v>
                </c:pt>
                <c:pt idx="225">
                  <c:v>28/11/2019</c:v>
                </c:pt>
                <c:pt idx="226">
                  <c:v>29/11/2019</c:v>
                </c:pt>
                <c:pt idx="227">
                  <c:v>2/12/2019</c:v>
                </c:pt>
                <c:pt idx="228">
                  <c:v>3/12/2019</c:v>
                </c:pt>
                <c:pt idx="229">
                  <c:v>4/12/2019</c:v>
                </c:pt>
                <c:pt idx="230">
                  <c:v>5/12/2019</c:v>
                </c:pt>
                <c:pt idx="231">
                  <c:v>6/12/2019</c:v>
                </c:pt>
                <c:pt idx="232">
                  <c:v>9/12/2019</c:v>
                </c:pt>
                <c:pt idx="233">
                  <c:v>10/12/2019</c:v>
                </c:pt>
                <c:pt idx="234">
                  <c:v>11/12/2019</c:v>
                </c:pt>
                <c:pt idx="235">
                  <c:v>12/12/2019</c:v>
                </c:pt>
                <c:pt idx="236">
                  <c:v>13/12/2019</c:v>
                </c:pt>
                <c:pt idx="237">
                  <c:v>16/12/2019</c:v>
                </c:pt>
                <c:pt idx="238">
                  <c:v>17/12/2019</c:v>
                </c:pt>
                <c:pt idx="239">
                  <c:v>18/12/2019</c:v>
                </c:pt>
                <c:pt idx="240">
                  <c:v>19/12/2019</c:v>
                </c:pt>
                <c:pt idx="241">
                  <c:v>20/12/2019</c:v>
                </c:pt>
                <c:pt idx="242">
                  <c:v>23/12/2019</c:v>
                </c:pt>
                <c:pt idx="243">
                  <c:v>24/12/2019</c:v>
                </c:pt>
                <c:pt idx="244">
                  <c:v>25/12/2019</c:v>
                </c:pt>
                <c:pt idx="245">
                  <c:v>26/12/2019</c:v>
                </c:pt>
                <c:pt idx="246">
                  <c:v>27/12/2019</c:v>
                </c:pt>
                <c:pt idx="247">
                  <c:v>30/12/2019</c:v>
                </c:pt>
                <c:pt idx="248">
                  <c:v>8/1/2020</c:v>
                </c:pt>
                <c:pt idx="249">
                  <c:v>9/1/2020</c:v>
                </c:pt>
                <c:pt idx="250">
                  <c:v>10/1/2020</c:v>
                </c:pt>
                <c:pt idx="251">
                  <c:v>13/01/2020</c:v>
                </c:pt>
                <c:pt idx="252">
                  <c:v>14/01/2020</c:v>
                </c:pt>
                <c:pt idx="253">
                  <c:v>15/01/2020</c:v>
                </c:pt>
                <c:pt idx="254">
                  <c:v>16/01/2020</c:v>
                </c:pt>
                <c:pt idx="255">
                  <c:v>17/01/2020</c:v>
                </c:pt>
                <c:pt idx="256">
                  <c:v>20/01/2020</c:v>
                </c:pt>
                <c:pt idx="257">
                  <c:v>21/01/2020</c:v>
                </c:pt>
                <c:pt idx="258">
                  <c:v>22/01/2020</c:v>
                </c:pt>
                <c:pt idx="259">
                  <c:v>23/01/2020</c:v>
                </c:pt>
                <c:pt idx="260">
                  <c:v>24/01/2020</c:v>
                </c:pt>
                <c:pt idx="261">
                  <c:v>29/01/2020</c:v>
                </c:pt>
                <c:pt idx="262">
                  <c:v>30/01/2020</c:v>
                </c:pt>
                <c:pt idx="263">
                  <c:v>31/01/2020</c:v>
                </c:pt>
                <c:pt idx="264">
                  <c:v>1/2/2020</c:v>
                </c:pt>
                <c:pt idx="265">
                  <c:v>3/2/2020</c:v>
                </c:pt>
                <c:pt idx="266">
                  <c:v>4/2/2020</c:v>
                </c:pt>
                <c:pt idx="267">
                  <c:v>5/2/2020</c:v>
                </c:pt>
                <c:pt idx="268">
                  <c:v>6/2/2020</c:v>
                </c:pt>
                <c:pt idx="269">
                  <c:v>7/2/2020</c:v>
                </c:pt>
                <c:pt idx="270">
                  <c:v>10/2/2020</c:v>
                </c:pt>
                <c:pt idx="271">
                  <c:v>11/2/2020</c:v>
                </c:pt>
                <c:pt idx="272">
                  <c:v>12/2/2020</c:v>
                </c:pt>
                <c:pt idx="273">
                  <c:v>13/02/2020</c:v>
                </c:pt>
                <c:pt idx="274">
                  <c:v>14/02/2020</c:v>
                </c:pt>
                <c:pt idx="275">
                  <c:v>17/02/2020</c:v>
                </c:pt>
                <c:pt idx="276">
                  <c:v>18/02/2020</c:v>
                </c:pt>
                <c:pt idx="277">
                  <c:v>19/02/2020</c:v>
                </c:pt>
                <c:pt idx="278">
                  <c:v>20/02/2020</c:v>
                </c:pt>
                <c:pt idx="279">
                  <c:v>21/02/2020</c:v>
                </c:pt>
                <c:pt idx="280">
                  <c:v>24/02/2020</c:v>
                </c:pt>
                <c:pt idx="281">
                  <c:v>25/02/2020</c:v>
                </c:pt>
                <c:pt idx="282">
                  <c:v>26/02/2020</c:v>
                </c:pt>
                <c:pt idx="283">
                  <c:v>27/02/2020</c:v>
                </c:pt>
                <c:pt idx="284">
                  <c:v>28/02/2020</c:v>
                </c:pt>
                <c:pt idx="285">
                  <c:v>2/3/2020</c:v>
                </c:pt>
                <c:pt idx="286">
                  <c:v>3/3/2020</c:v>
                </c:pt>
                <c:pt idx="287">
                  <c:v>4/3/2020</c:v>
                </c:pt>
                <c:pt idx="288">
                  <c:v>5/3/2020</c:v>
                </c:pt>
                <c:pt idx="289">
                  <c:v>6/3/2020</c:v>
                </c:pt>
                <c:pt idx="290">
                  <c:v>9/3/2020</c:v>
                </c:pt>
                <c:pt idx="291">
                  <c:v>10/3/2020</c:v>
                </c:pt>
                <c:pt idx="292">
                  <c:v>11/3/2020</c:v>
                </c:pt>
                <c:pt idx="293">
                  <c:v>12/3/2020</c:v>
                </c:pt>
                <c:pt idx="294">
                  <c:v>13/03/2020</c:v>
                </c:pt>
                <c:pt idx="295">
                  <c:v>16/03/2020</c:v>
                </c:pt>
                <c:pt idx="296">
                  <c:v>17/03/2020</c:v>
                </c:pt>
                <c:pt idx="297">
                  <c:v>18/03/2020</c:v>
                </c:pt>
                <c:pt idx="298">
                  <c:v>19/03/2020</c:v>
                </c:pt>
                <c:pt idx="299">
                  <c:v>20/03/2020</c:v>
                </c:pt>
                <c:pt idx="300">
                  <c:v>23/03/2020</c:v>
                </c:pt>
                <c:pt idx="301">
                  <c:v>24/03/2020</c:v>
                </c:pt>
                <c:pt idx="302">
                  <c:v>25/03/2020</c:v>
                </c:pt>
                <c:pt idx="303">
                  <c:v>26/03/2020</c:v>
                </c:pt>
                <c:pt idx="304">
                  <c:v>27/03/2020</c:v>
                </c:pt>
                <c:pt idx="305">
                  <c:v>30/03/2020</c:v>
                </c:pt>
                <c:pt idx="306">
                  <c:v>31/03/2020</c:v>
                </c:pt>
                <c:pt idx="307">
                  <c:v>1/4/2020</c:v>
                </c:pt>
                <c:pt idx="308">
                  <c:v>2/4/2020</c:v>
                </c:pt>
                <c:pt idx="309">
                  <c:v>3/4/2020</c:v>
                </c:pt>
                <c:pt idx="310">
                  <c:v>6/4/2020</c:v>
                </c:pt>
                <c:pt idx="311">
                  <c:v>7/4/2020</c:v>
                </c:pt>
                <c:pt idx="312">
                  <c:v>8/4/2020</c:v>
                </c:pt>
                <c:pt idx="313">
                  <c:v>9/4/2020</c:v>
                </c:pt>
                <c:pt idx="314">
                  <c:v>10/4/2020</c:v>
                </c:pt>
                <c:pt idx="315">
                  <c:v>13/04/2020</c:v>
                </c:pt>
                <c:pt idx="316">
                  <c:v>14/04/2020</c:v>
                </c:pt>
                <c:pt idx="317">
                  <c:v>15/04/2020</c:v>
                </c:pt>
                <c:pt idx="318">
                  <c:v>16/04/2020</c:v>
                </c:pt>
                <c:pt idx="319">
                  <c:v>17/04/2020</c:v>
                </c:pt>
                <c:pt idx="320">
                  <c:v>20/04/2020</c:v>
                </c:pt>
                <c:pt idx="321">
                  <c:v>21/04/2020</c:v>
                </c:pt>
                <c:pt idx="322">
                  <c:v>22/04/2020</c:v>
                </c:pt>
                <c:pt idx="323">
                  <c:v>23/04/2020</c:v>
                </c:pt>
                <c:pt idx="324">
                  <c:v>27/04/2020</c:v>
                </c:pt>
                <c:pt idx="325">
                  <c:v>28/04/2020</c:v>
                </c:pt>
                <c:pt idx="326">
                  <c:v>29/04/2020</c:v>
                </c:pt>
                <c:pt idx="327">
                  <c:v>30/04/2020</c:v>
                </c:pt>
                <c:pt idx="328">
                  <c:v>4/5/2020</c:v>
                </c:pt>
                <c:pt idx="329">
                  <c:v>5/5/2020</c:v>
                </c:pt>
                <c:pt idx="330">
                  <c:v>6/5/2020</c:v>
                </c:pt>
                <c:pt idx="331">
                  <c:v>7/5/2020</c:v>
                </c:pt>
                <c:pt idx="332">
                  <c:v>8/5/2020</c:v>
                </c:pt>
                <c:pt idx="333">
                  <c:v>11/5/2020</c:v>
                </c:pt>
                <c:pt idx="334">
                  <c:v>12/5/2020</c:v>
                </c:pt>
                <c:pt idx="335">
                  <c:v>13/05/2020</c:v>
                </c:pt>
                <c:pt idx="336">
                  <c:v>14/05/2020</c:v>
                </c:pt>
                <c:pt idx="337">
                  <c:v>15/05/2020</c:v>
                </c:pt>
                <c:pt idx="338">
                  <c:v>18/05/2020</c:v>
                </c:pt>
                <c:pt idx="339">
                  <c:v>19/05/2020</c:v>
                </c:pt>
                <c:pt idx="340">
                  <c:v>20/05/2020</c:v>
                </c:pt>
                <c:pt idx="341">
                  <c:v>21/05/2020</c:v>
                </c:pt>
                <c:pt idx="342">
                  <c:v>22/05/2020</c:v>
                </c:pt>
                <c:pt idx="343">
                  <c:v>23/05/2020</c:v>
                </c:pt>
                <c:pt idx="344">
                  <c:v>25/05/2020</c:v>
                </c:pt>
                <c:pt idx="345">
                  <c:v>26/05/2020</c:v>
                </c:pt>
                <c:pt idx="346">
                  <c:v>27/05/2020</c:v>
                </c:pt>
                <c:pt idx="347">
                  <c:v>1/6/2020</c:v>
                </c:pt>
                <c:pt idx="348">
                  <c:v>2/6/2020</c:v>
                </c:pt>
                <c:pt idx="349">
                  <c:v>3/6/2020</c:v>
                </c:pt>
                <c:pt idx="350">
                  <c:v>4/6/2020</c:v>
                </c:pt>
                <c:pt idx="351">
                  <c:v>5/6/2020</c:v>
                </c:pt>
                <c:pt idx="352">
                  <c:v>8/6/2020</c:v>
                </c:pt>
                <c:pt idx="353">
                  <c:v>9/6/2020</c:v>
                </c:pt>
                <c:pt idx="354">
                  <c:v>10/6/2020</c:v>
                </c:pt>
                <c:pt idx="355">
                  <c:v>11/6/2020</c:v>
                </c:pt>
                <c:pt idx="356">
                  <c:v>12/6/2020</c:v>
                </c:pt>
                <c:pt idx="357">
                  <c:v>15/06/2020</c:v>
                </c:pt>
                <c:pt idx="358">
                  <c:v>16/06/2020</c:v>
                </c:pt>
                <c:pt idx="359">
                  <c:v>17/06/2020</c:v>
                </c:pt>
                <c:pt idx="360">
                  <c:v>18/06/2020</c:v>
                </c:pt>
                <c:pt idx="361">
                  <c:v>19/06/2020</c:v>
                </c:pt>
                <c:pt idx="362">
                  <c:v>22/06/2020</c:v>
                </c:pt>
                <c:pt idx="363">
                  <c:v>23/06/2020</c:v>
                </c:pt>
                <c:pt idx="364">
                  <c:v>24/06/2020</c:v>
                </c:pt>
                <c:pt idx="365">
                  <c:v>25/06/2020</c:v>
                </c:pt>
                <c:pt idx="366">
                  <c:v>26/06/2020</c:v>
                </c:pt>
                <c:pt idx="367">
                  <c:v>29/06/2020</c:v>
                </c:pt>
                <c:pt idx="368">
                  <c:v>30/06/2020</c:v>
                </c:pt>
                <c:pt idx="369">
                  <c:v>1/7/2020</c:v>
                </c:pt>
                <c:pt idx="370">
                  <c:v>2/7/2020</c:v>
                </c:pt>
                <c:pt idx="371">
                  <c:v>3/7/2020</c:v>
                </c:pt>
                <c:pt idx="372">
                  <c:v>6/7/2020</c:v>
                </c:pt>
                <c:pt idx="373">
                  <c:v>7/7/2020</c:v>
                </c:pt>
                <c:pt idx="374">
                  <c:v>8/7/2020</c:v>
                </c:pt>
                <c:pt idx="375">
                  <c:v>9/7/2020</c:v>
                </c:pt>
                <c:pt idx="376">
                  <c:v>10/7/2020</c:v>
                </c:pt>
                <c:pt idx="377">
                  <c:v>13/07/2020</c:v>
                </c:pt>
                <c:pt idx="378">
                  <c:v>14/07/2020</c:v>
                </c:pt>
                <c:pt idx="379">
                  <c:v>15/07/2020</c:v>
                </c:pt>
                <c:pt idx="380">
                  <c:v>16/07/2020</c:v>
                </c:pt>
                <c:pt idx="381">
                  <c:v>17/07/2020</c:v>
                </c:pt>
                <c:pt idx="382">
                  <c:v>20/07/2020</c:v>
                </c:pt>
                <c:pt idx="383">
                  <c:v>21/07/2020</c:v>
                </c:pt>
                <c:pt idx="384">
                  <c:v>22/07/2020</c:v>
                </c:pt>
                <c:pt idx="385">
                  <c:v>23/07/2020</c:v>
                </c:pt>
                <c:pt idx="386">
                  <c:v>24/07/2020</c:v>
                </c:pt>
                <c:pt idx="387">
                  <c:v>27/07/2020</c:v>
                </c:pt>
                <c:pt idx="388">
                  <c:v>28/07/2020</c:v>
                </c:pt>
                <c:pt idx="389">
                  <c:v>29/07/2020</c:v>
                </c:pt>
                <c:pt idx="390">
                  <c:v>30/07/2020</c:v>
                </c:pt>
                <c:pt idx="391">
                  <c:v>31/07/2020</c:v>
                </c:pt>
                <c:pt idx="392">
                  <c:v>3/8/2020</c:v>
                </c:pt>
                <c:pt idx="393">
                  <c:v>4/8/2020</c:v>
                </c:pt>
                <c:pt idx="394">
                  <c:v>5/8/2020</c:v>
                </c:pt>
                <c:pt idx="395">
                  <c:v>6/8/2020</c:v>
                </c:pt>
                <c:pt idx="396">
                  <c:v>7/8/2020</c:v>
                </c:pt>
                <c:pt idx="397">
                  <c:v>10/8/2020</c:v>
                </c:pt>
                <c:pt idx="398">
                  <c:v>11/8/2020</c:v>
                </c:pt>
                <c:pt idx="399">
                  <c:v>12/8/2020</c:v>
                </c:pt>
                <c:pt idx="400">
                  <c:v>13/08/2020</c:v>
                </c:pt>
                <c:pt idx="401">
                  <c:v>14/08/2020</c:v>
                </c:pt>
                <c:pt idx="402">
                  <c:v>17/08/2020</c:v>
                </c:pt>
                <c:pt idx="403">
                  <c:v>18/08/2020</c:v>
                </c:pt>
                <c:pt idx="404">
                  <c:v>19/08/2020</c:v>
                </c:pt>
                <c:pt idx="405">
                  <c:v>20/08/2020</c:v>
                </c:pt>
                <c:pt idx="406">
                  <c:v>21/08/2020</c:v>
                </c:pt>
                <c:pt idx="407">
                  <c:v>24/08/2020</c:v>
                </c:pt>
                <c:pt idx="408">
                  <c:v>25/08/2020</c:v>
                </c:pt>
                <c:pt idx="409">
                  <c:v>26/08/2020</c:v>
                </c:pt>
                <c:pt idx="410">
                  <c:v>27/08/2020</c:v>
                </c:pt>
                <c:pt idx="411">
                  <c:v>28/08/2020</c:v>
                </c:pt>
                <c:pt idx="412">
                  <c:v>31/08/2020</c:v>
                </c:pt>
                <c:pt idx="413">
                  <c:v>1/9/2020</c:v>
                </c:pt>
                <c:pt idx="414">
                  <c:v>2/9/2020</c:v>
                </c:pt>
                <c:pt idx="415">
                  <c:v>3/9/2020</c:v>
                </c:pt>
                <c:pt idx="416">
                  <c:v>4/9/2020</c:v>
                </c:pt>
                <c:pt idx="417">
                  <c:v>7/9/2020</c:v>
                </c:pt>
                <c:pt idx="418">
                  <c:v>8/9/2020</c:v>
                </c:pt>
                <c:pt idx="419">
                  <c:v>9/9/2020</c:v>
                </c:pt>
                <c:pt idx="420">
                  <c:v>10/9/2020</c:v>
                </c:pt>
                <c:pt idx="421">
                  <c:v>11/9/2020</c:v>
                </c:pt>
                <c:pt idx="422">
                  <c:v>14/09/2020</c:v>
                </c:pt>
                <c:pt idx="423">
                  <c:v>15/09/2020</c:v>
                </c:pt>
                <c:pt idx="424">
                  <c:v>16/09/2020</c:v>
                </c:pt>
                <c:pt idx="425">
                  <c:v>17/09/2020</c:v>
                </c:pt>
                <c:pt idx="426">
                  <c:v>18/09/2020</c:v>
                </c:pt>
                <c:pt idx="427">
                  <c:v>22/09/2020</c:v>
                </c:pt>
                <c:pt idx="428">
                  <c:v>23/09/2020</c:v>
                </c:pt>
                <c:pt idx="429">
                  <c:v>24/09/2020</c:v>
                </c:pt>
                <c:pt idx="430">
                  <c:v>25/09/2020</c:v>
                </c:pt>
                <c:pt idx="431">
                  <c:v>28/09/2020</c:v>
                </c:pt>
                <c:pt idx="432">
                  <c:v>29/09/2020</c:v>
                </c:pt>
                <c:pt idx="433">
                  <c:v>30/09/2020</c:v>
                </c:pt>
                <c:pt idx="434">
                  <c:v>1/10/2020</c:v>
                </c:pt>
                <c:pt idx="435">
                  <c:v>2/10/2020</c:v>
                </c:pt>
                <c:pt idx="436">
                  <c:v>5/10/2020</c:v>
                </c:pt>
                <c:pt idx="437">
                  <c:v>6/10/2020</c:v>
                </c:pt>
                <c:pt idx="438">
                  <c:v>7/10/2020</c:v>
                </c:pt>
                <c:pt idx="439">
                  <c:v>8/10/2020</c:v>
                </c:pt>
                <c:pt idx="440">
                  <c:v>9/10/2020</c:v>
                </c:pt>
                <c:pt idx="441">
                  <c:v>12/10/2020</c:v>
                </c:pt>
                <c:pt idx="442">
                  <c:v>13/10/2020</c:v>
                </c:pt>
                <c:pt idx="443">
                  <c:v>14/10/2020</c:v>
                </c:pt>
                <c:pt idx="444">
                  <c:v>15/10/2020</c:v>
                </c:pt>
                <c:pt idx="445">
                  <c:v>16/10/2020</c:v>
                </c:pt>
                <c:pt idx="446">
                  <c:v>19/10/2020</c:v>
                </c:pt>
                <c:pt idx="447">
                  <c:v>20/10/2020</c:v>
                </c:pt>
                <c:pt idx="448">
                  <c:v>21/10/2020</c:v>
                </c:pt>
                <c:pt idx="449">
                  <c:v>22/10/2020</c:v>
                </c:pt>
                <c:pt idx="450">
                  <c:v>23/10/2020</c:v>
                </c:pt>
                <c:pt idx="451">
                  <c:v>26/10/2020</c:v>
                </c:pt>
                <c:pt idx="452">
                  <c:v>27/10/2020</c:v>
                </c:pt>
                <c:pt idx="453">
                  <c:v>28/10/2020</c:v>
                </c:pt>
                <c:pt idx="454">
                  <c:v>29/10/2020</c:v>
                </c:pt>
                <c:pt idx="455">
                  <c:v>30/10/2020</c:v>
                </c:pt>
                <c:pt idx="456">
                  <c:v>2/11/2020</c:v>
                </c:pt>
                <c:pt idx="457">
                  <c:v>3/11/2020</c:v>
                </c:pt>
                <c:pt idx="458">
                  <c:v>4/11/2020</c:v>
                </c:pt>
                <c:pt idx="459">
                  <c:v>5/11/2020</c:v>
                </c:pt>
                <c:pt idx="460">
                  <c:v>6/11/2020</c:v>
                </c:pt>
                <c:pt idx="461">
                  <c:v>9/11/2020</c:v>
                </c:pt>
                <c:pt idx="462">
                  <c:v>10/11/2020</c:v>
                </c:pt>
                <c:pt idx="463">
                  <c:v>11/11/2020</c:v>
                </c:pt>
                <c:pt idx="464">
                  <c:v>12/11/2020</c:v>
                </c:pt>
                <c:pt idx="465">
                  <c:v>13/11/2020</c:v>
                </c:pt>
                <c:pt idx="466">
                  <c:v>16/11/2020</c:v>
                </c:pt>
                <c:pt idx="467">
                  <c:v>17/11/2020</c:v>
                </c:pt>
              </c:strCache>
            </c:strRef>
          </c:cat>
          <c:val>
            <c:numRef>
              <c:f>Sheet1!$D$2:$D$966</c:f>
              <c:numCache>
                <c:formatCode>0</c:formatCode>
                <c:ptCount val="468"/>
                <c:pt idx="0">
                  <c:v>100</c:v>
                </c:pt>
                <c:pt idx="1">
                  <c:v>100.20015868436244</c:v>
                </c:pt>
                <c:pt idx="2">
                  <c:v>100.85833814195034</c:v>
                </c:pt>
                <c:pt idx="3">
                  <c:v>100.93587709174844</c:v>
                </c:pt>
                <c:pt idx="4">
                  <c:v>100.53375649163303</c:v>
                </c:pt>
                <c:pt idx="5">
                  <c:v>100.33359780727065</c:v>
                </c:pt>
                <c:pt idx="6">
                  <c:v>100.10458742065785</c:v>
                </c:pt>
                <c:pt idx="7">
                  <c:v>99.796234852856315</c:v>
                </c:pt>
                <c:pt idx="8">
                  <c:v>99.787218695903121</c:v>
                </c:pt>
                <c:pt idx="9">
                  <c:v>99.478866128101558</c:v>
                </c:pt>
                <c:pt idx="10">
                  <c:v>99.385098095787654</c:v>
                </c:pt>
                <c:pt idx="11">
                  <c:v>99.343623773802705</c:v>
                </c:pt>
                <c:pt idx="12">
                  <c:v>99.388704558568904</c:v>
                </c:pt>
                <c:pt idx="13">
                  <c:v>99.22461050201963</c:v>
                </c:pt>
                <c:pt idx="14">
                  <c:v>100.37687536064625</c:v>
                </c:pt>
                <c:pt idx="15">
                  <c:v>100.27950086555104</c:v>
                </c:pt>
                <c:pt idx="16">
                  <c:v>100.82768320830932</c:v>
                </c:pt>
                <c:pt idx="17">
                  <c:v>100.74112810155799</c:v>
                </c:pt>
                <c:pt idx="18">
                  <c:v>100.58064050778994</c:v>
                </c:pt>
                <c:pt idx="19">
                  <c:v>100.42195614541259</c:v>
                </c:pt>
                <c:pt idx="20">
                  <c:v>100.2650750144258</c:v>
                </c:pt>
                <c:pt idx="21">
                  <c:v>99.938690132717852</c:v>
                </c:pt>
                <c:pt idx="22">
                  <c:v>99.909838430467389</c:v>
                </c:pt>
                <c:pt idx="23">
                  <c:v>99.841315637622642</c:v>
                </c:pt>
                <c:pt idx="24">
                  <c:v>99.538372763993067</c:v>
                </c:pt>
                <c:pt idx="25">
                  <c:v>99.769186381996562</c:v>
                </c:pt>
                <c:pt idx="26">
                  <c:v>99.188545874206554</c:v>
                </c:pt>
                <c:pt idx="27">
                  <c:v>99.197562031159848</c:v>
                </c:pt>
                <c:pt idx="28">
                  <c:v>99.453620888632472</c:v>
                </c:pt>
                <c:pt idx="29">
                  <c:v>99.370672244662458</c:v>
                </c:pt>
                <c:pt idx="30">
                  <c:v>99.758366993652615</c:v>
                </c:pt>
                <c:pt idx="31">
                  <c:v>99.671811886901295</c:v>
                </c:pt>
                <c:pt idx="32">
                  <c:v>99.926067512983224</c:v>
                </c:pt>
                <c:pt idx="33">
                  <c:v>100.0378678592037</c:v>
                </c:pt>
                <c:pt idx="34">
                  <c:v>100.20015868436244</c:v>
                </c:pt>
                <c:pt idx="35">
                  <c:v>100.56621465666476</c:v>
                </c:pt>
                <c:pt idx="36">
                  <c:v>100.59145989613387</c:v>
                </c:pt>
                <c:pt idx="37">
                  <c:v>100.39490767455278</c:v>
                </c:pt>
                <c:pt idx="38">
                  <c:v>100.36425274091172</c:v>
                </c:pt>
                <c:pt idx="39">
                  <c:v>100.19655222158103</c:v>
                </c:pt>
                <c:pt idx="40">
                  <c:v>99.796234852856273</c:v>
                </c:pt>
                <c:pt idx="41">
                  <c:v>99.727712060011513</c:v>
                </c:pt>
                <c:pt idx="42">
                  <c:v>99.130842469705712</c:v>
                </c:pt>
                <c:pt idx="43">
                  <c:v>99.217397576456989</c:v>
                </c:pt>
                <c:pt idx="44">
                  <c:v>99.278707443739137</c:v>
                </c:pt>
                <c:pt idx="45">
                  <c:v>99.278707443739137</c:v>
                </c:pt>
                <c:pt idx="46">
                  <c:v>99.350836699365274</c:v>
                </c:pt>
                <c:pt idx="47">
                  <c:v>99.565421234852849</c:v>
                </c:pt>
                <c:pt idx="48">
                  <c:v>99.549192152336957</c:v>
                </c:pt>
                <c:pt idx="49">
                  <c:v>99.440998268897914</c:v>
                </c:pt>
                <c:pt idx="50">
                  <c:v>99.980164454702901</c:v>
                </c:pt>
                <c:pt idx="51">
                  <c:v>99.037074437391809</c:v>
                </c:pt>
                <c:pt idx="52">
                  <c:v>99.192152336987846</c:v>
                </c:pt>
                <c:pt idx="53">
                  <c:v>99.201168493941196</c:v>
                </c:pt>
                <c:pt idx="54">
                  <c:v>98.918061165608776</c:v>
                </c:pt>
                <c:pt idx="55">
                  <c:v>98.698066935949242</c:v>
                </c:pt>
                <c:pt idx="56">
                  <c:v>98.330207732256184</c:v>
                </c:pt>
                <c:pt idx="57">
                  <c:v>98.553808424697081</c:v>
                </c:pt>
                <c:pt idx="58">
                  <c:v>98.27430755914601</c:v>
                </c:pt>
                <c:pt idx="59">
                  <c:v>98.728721869590316</c:v>
                </c:pt>
                <c:pt idx="60">
                  <c:v>98.651182919792319</c:v>
                </c:pt>
                <c:pt idx="61">
                  <c:v>98.687247547605352</c:v>
                </c:pt>
                <c:pt idx="62">
                  <c:v>98.762983266012782</c:v>
                </c:pt>
                <c:pt idx="63">
                  <c:v>98.91265147143686</c:v>
                </c:pt>
                <c:pt idx="64">
                  <c:v>98.793638199653785</c:v>
                </c:pt>
                <c:pt idx="65">
                  <c:v>98.634953837276456</c:v>
                </c:pt>
                <c:pt idx="66">
                  <c:v>98.952322562031185</c:v>
                </c:pt>
                <c:pt idx="67">
                  <c:v>98.889209463358412</c:v>
                </c:pt>
                <c:pt idx="68">
                  <c:v>98.611511829197966</c:v>
                </c:pt>
                <c:pt idx="69">
                  <c:v>98.561021350259708</c:v>
                </c:pt>
                <c:pt idx="70">
                  <c:v>97.960545297172601</c:v>
                </c:pt>
                <c:pt idx="71">
                  <c:v>97.800057703404505</c:v>
                </c:pt>
                <c:pt idx="72">
                  <c:v>97.767599538372835</c:v>
                </c:pt>
                <c:pt idx="73">
                  <c:v>97.735141373341079</c:v>
                </c:pt>
                <c:pt idx="74">
                  <c:v>96.694676860934848</c:v>
                </c:pt>
                <c:pt idx="75">
                  <c:v>96.664021927293746</c:v>
                </c:pt>
                <c:pt idx="76">
                  <c:v>96.865983843046749</c:v>
                </c:pt>
                <c:pt idx="77">
                  <c:v>97.134665320253944</c:v>
                </c:pt>
                <c:pt idx="78">
                  <c:v>97.017455279861565</c:v>
                </c:pt>
                <c:pt idx="79">
                  <c:v>96.703693017888114</c:v>
                </c:pt>
                <c:pt idx="80">
                  <c:v>97.158107328332406</c:v>
                </c:pt>
                <c:pt idx="81">
                  <c:v>97.289743219850038</c:v>
                </c:pt>
                <c:pt idx="82">
                  <c:v>97.34564339296027</c:v>
                </c:pt>
                <c:pt idx="83">
                  <c:v>97.666618580496319</c:v>
                </c:pt>
                <c:pt idx="84">
                  <c:v>97.549408540103954</c:v>
                </c:pt>
                <c:pt idx="85">
                  <c:v>97.424985574148963</c:v>
                </c:pt>
                <c:pt idx="86">
                  <c:v>97.05532313906528</c:v>
                </c:pt>
                <c:pt idx="87">
                  <c:v>97.064339296018545</c:v>
                </c:pt>
                <c:pt idx="88">
                  <c:v>96.573860357761134</c:v>
                </c:pt>
                <c:pt idx="89">
                  <c:v>96.584679746105124</c:v>
                </c:pt>
                <c:pt idx="90">
                  <c:v>96.436814772071642</c:v>
                </c:pt>
                <c:pt idx="91">
                  <c:v>96.591892671667722</c:v>
                </c:pt>
                <c:pt idx="92">
                  <c:v>96.375504904789437</c:v>
                </c:pt>
                <c:pt idx="93">
                  <c:v>96.860574148874889</c:v>
                </c:pt>
                <c:pt idx="94">
                  <c:v>96.918277553375773</c:v>
                </c:pt>
                <c:pt idx="95">
                  <c:v>96.635170225043382</c:v>
                </c:pt>
                <c:pt idx="96">
                  <c:v>96.501731102135096</c:v>
                </c:pt>
                <c:pt idx="97">
                  <c:v>96.546811886901452</c:v>
                </c:pt>
                <c:pt idx="98">
                  <c:v>96.757789959607763</c:v>
                </c:pt>
                <c:pt idx="99">
                  <c:v>97.361872475476147</c:v>
                </c:pt>
                <c:pt idx="100">
                  <c:v>97.608915175995477</c:v>
                </c:pt>
                <c:pt idx="101">
                  <c:v>97.158107328332463</c:v>
                </c:pt>
                <c:pt idx="102">
                  <c:v>97.329414310444378</c:v>
                </c:pt>
                <c:pt idx="103">
                  <c:v>97.769402769763545</c:v>
                </c:pt>
                <c:pt idx="104">
                  <c:v>97.841532025389611</c:v>
                </c:pt>
                <c:pt idx="105">
                  <c:v>97.857761107905446</c:v>
                </c:pt>
                <c:pt idx="106">
                  <c:v>97.423182342758295</c:v>
                </c:pt>
                <c:pt idx="107">
                  <c:v>97.204991344489414</c:v>
                </c:pt>
                <c:pt idx="108">
                  <c:v>96.599105597230377</c:v>
                </c:pt>
                <c:pt idx="109">
                  <c:v>96.355669359492339</c:v>
                </c:pt>
                <c:pt idx="110">
                  <c:v>96.572057126370538</c:v>
                </c:pt>
                <c:pt idx="111">
                  <c:v>97.3384304673977</c:v>
                </c:pt>
                <c:pt idx="112">
                  <c:v>97.278923831506162</c:v>
                </c:pt>
                <c:pt idx="113">
                  <c:v>98.153491055972452</c:v>
                </c:pt>
                <c:pt idx="114">
                  <c:v>97.899235429890496</c:v>
                </c:pt>
                <c:pt idx="115">
                  <c:v>97.771206001154212</c:v>
                </c:pt>
                <c:pt idx="116">
                  <c:v>97.906448355453065</c:v>
                </c:pt>
                <c:pt idx="117">
                  <c:v>97.949725908828782</c:v>
                </c:pt>
                <c:pt idx="118">
                  <c:v>97.406953260242531</c:v>
                </c:pt>
                <c:pt idx="119">
                  <c:v>97.268104443162301</c:v>
                </c:pt>
                <c:pt idx="120">
                  <c:v>97.087781304097049</c:v>
                </c:pt>
                <c:pt idx="121">
                  <c:v>97.069748990190519</c:v>
                </c:pt>
                <c:pt idx="122">
                  <c:v>96.564844200807997</c:v>
                </c:pt>
                <c:pt idx="123">
                  <c:v>96.353866128101672</c:v>
                </c:pt>
                <c:pt idx="124">
                  <c:v>96.451240623196924</c:v>
                </c:pt>
                <c:pt idx="125">
                  <c:v>96.88221292556274</c:v>
                </c:pt>
                <c:pt idx="126">
                  <c:v>96.761396422389069</c:v>
                </c:pt>
                <c:pt idx="127">
                  <c:v>96.9507357184075</c:v>
                </c:pt>
                <c:pt idx="128">
                  <c:v>96.557631275245413</c:v>
                </c:pt>
                <c:pt idx="129">
                  <c:v>96.370095210617549</c:v>
                </c:pt>
                <c:pt idx="130">
                  <c:v>96.490911713791249</c:v>
                </c:pt>
                <c:pt idx="131">
                  <c:v>96.566647432198593</c:v>
                </c:pt>
                <c:pt idx="132">
                  <c:v>96.325014425851208</c:v>
                </c:pt>
                <c:pt idx="133">
                  <c:v>95.962564916330194</c:v>
                </c:pt>
                <c:pt idx="134">
                  <c:v>95.605525100981055</c:v>
                </c:pt>
                <c:pt idx="135">
                  <c:v>95.520773225620417</c:v>
                </c:pt>
                <c:pt idx="136">
                  <c:v>95.630770340450155</c:v>
                </c:pt>
                <c:pt idx="137">
                  <c:v>95.506347374495164</c:v>
                </c:pt>
                <c:pt idx="138">
                  <c:v>95.634376803231476</c:v>
                </c:pt>
                <c:pt idx="139">
                  <c:v>95.621754183496904</c:v>
                </c:pt>
                <c:pt idx="140">
                  <c:v>94.736367570686738</c:v>
                </c:pt>
                <c:pt idx="141">
                  <c:v>95.223240046162857</c:v>
                </c:pt>
                <c:pt idx="142">
                  <c:v>95.728144835545393</c:v>
                </c:pt>
                <c:pt idx="143">
                  <c:v>96.180755914599018</c:v>
                </c:pt>
                <c:pt idx="144">
                  <c:v>96.106823427582341</c:v>
                </c:pt>
                <c:pt idx="145">
                  <c:v>96.265507789959713</c:v>
                </c:pt>
                <c:pt idx="146">
                  <c:v>96.187968840161659</c:v>
                </c:pt>
                <c:pt idx="147">
                  <c:v>95.971581073283417</c:v>
                </c:pt>
                <c:pt idx="148">
                  <c:v>96.151904212348654</c:v>
                </c:pt>
                <c:pt idx="149">
                  <c:v>95.894042123485349</c:v>
                </c:pt>
                <c:pt idx="150">
                  <c:v>95.683064050779109</c:v>
                </c:pt>
                <c:pt idx="151">
                  <c:v>95.113242931333076</c:v>
                </c:pt>
                <c:pt idx="152">
                  <c:v>95.239469128678692</c:v>
                </c:pt>
                <c:pt idx="153">
                  <c:v>95.100620311598462</c:v>
                </c:pt>
                <c:pt idx="154">
                  <c:v>95.228649740334802</c:v>
                </c:pt>
                <c:pt idx="155">
                  <c:v>95.102423542989115</c:v>
                </c:pt>
                <c:pt idx="156">
                  <c:v>94.922100403923906</c:v>
                </c:pt>
                <c:pt idx="157">
                  <c:v>95.455856895556906</c:v>
                </c:pt>
                <c:pt idx="158">
                  <c:v>95.288156376226269</c:v>
                </c:pt>
                <c:pt idx="159">
                  <c:v>95.14389786497415</c:v>
                </c:pt>
                <c:pt idx="160">
                  <c:v>95.069965377957416</c:v>
                </c:pt>
                <c:pt idx="161">
                  <c:v>94.797677437968957</c:v>
                </c:pt>
                <c:pt idx="162">
                  <c:v>94.134088286208979</c:v>
                </c:pt>
                <c:pt idx="163">
                  <c:v>93.984420080784886</c:v>
                </c:pt>
                <c:pt idx="164">
                  <c:v>94.671451240623284</c:v>
                </c:pt>
                <c:pt idx="165">
                  <c:v>94.862593768032426</c:v>
                </c:pt>
                <c:pt idx="166">
                  <c:v>94.792267743796984</c:v>
                </c:pt>
                <c:pt idx="167">
                  <c:v>94.873413156376316</c:v>
                </c:pt>
                <c:pt idx="168">
                  <c:v>94.882429313329538</c:v>
                </c:pt>
                <c:pt idx="169">
                  <c:v>94.638993075591557</c:v>
                </c:pt>
                <c:pt idx="170">
                  <c:v>94.702106174264372</c:v>
                </c:pt>
                <c:pt idx="171">
                  <c:v>95.320614541258095</c:v>
                </c:pt>
                <c:pt idx="172">
                  <c:v>94.94734564339312</c:v>
                </c:pt>
                <c:pt idx="173">
                  <c:v>94.574076745528103</c:v>
                </c:pt>
                <c:pt idx="174">
                  <c:v>94.889642238892208</c:v>
                </c:pt>
                <c:pt idx="175">
                  <c:v>94.983410271206125</c:v>
                </c:pt>
                <c:pt idx="176">
                  <c:v>94.84636468551659</c:v>
                </c:pt>
                <c:pt idx="177">
                  <c:v>94.30539526832095</c:v>
                </c:pt>
                <c:pt idx="178">
                  <c:v>94.428015002885246</c:v>
                </c:pt>
                <c:pt idx="179">
                  <c:v>94.422605308713329</c:v>
                </c:pt>
                <c:pt idx="180">
                  <c:v>93.863603577611187</c:v>
                </c:pt>
                <c:pt idx="181">
                  <c:v>93.773442008078561</c:v>
                </c:pt>
                <c:pt idx="182">
                  <c:v>93.733770917484151</c:v>
                </c:pt>
                <c:pt idx="183">
                  <c:v>93.501154068090145</c:v>
                </c:pt>
                <c:pt idx="184">
                  <c:v>93.753606462781363</c:v>
                </c:pt>
                <c:pt idx="185">
                  <c:v>94.000649163300736</c:v>
                </c:pt>
                <c:pt idx="186">
                  <c:v>94.301788805539587</c:v>
                </c:pt>
                <c:pt idx="187">
                  <c:v>94.30539526832095</c:v>
                </c:pt>
                <c:pt idx="188">
                  <c:v>94.433424697057291</c:v>
                </c:pt>
                <c:pt idx="189">
                  <c:v>94.415392383150703</c:v>
                </c:pt>
                <c:pt idx="190">
                  <c:v>94.813906520484764</c:v>
                </c:pt>
                <c:pt idx="191">
                  <c:v>94.73456433929617</c:v>
                </c:pt>
                <c:pt idx="192">
                  <c:v>94.822922677438072</c:v>
                </c:pt>
                <c:pt idx="193">
                  <c:v>94.64981246393549</c:v>
                </c:pt>
                <c:pt idx="194">
                  <c:v>94.886035776110887</c:v>
                </c:pt>
                <c:pt idx="195">
                  <c:v>95.515363531448472</c:v>
                </c:pt>
                <c:pt idx="196">
                  <c:v>95.601918638199749</c:v>
                </c:pt>
                <c:pt idx="197">
                  <c:v>95.922893825735812</c:v>
                </c:pt>
                <c:pt idx="198">
                  <c:v>95.636180034622114</c:v>
                </c:pt>
                <c:pt idx="199">
                  <c:v>95.376514714368241</c:v>
                </c:pt>
                <c:pt idx="200">
                  <c:v>95.495527986151302</c:v>
                </c:pt>
                <c:pt idx="201">
                  <c:v>95.378317945758837</c:v>
                </c:pt>
                <c:pt idx="202">
                  <c:v>95.212420657818896</c:v>
                </c:pt>
                <c:pt idx="203">
                  <c:v>95.098817080207823</c:v>
                </c:pt>
                <c:pt idx="204">
                  <c:v>95.427005193306513</c:v>
                </c:pt>
                <c:pt idx="205">
                  <c:v>95.879616272360181</c:v>
                </c:pt>
                <c:pt idx="206">
                  <c:v>95.780438545874276</c:v>
                </c:pt>
                <c:pt idx="207">
                  <c:v>95.951745527986233</c:v>
                </c:pt>
                <c:pt idx="208">
                  <c:v>95.646999422966047</c:v>
                </c:pt>
                <c:pt idx="209">
                  <c:v>95.365695326024294</c:v>
                </c:pt>
                <c:pt idx="210">
                  <c:v>95.354875937680376</c:v>
                </c:pt>
                <c:pt idx="211">
                  <c:v>94.98521350259675</c:v>
                </c:pt>
                <c:pt idx="212">
                  <c:v>94.909477784189363</c:v>
                </c:pt>
                <c:pt idx="213">
                  <c:v>94.996032890940668</c:v>
                </c:pt>
                <c:pt idx="214">
                  <c:v>94.853577611079132</c:v>
                </c:pt>
                <c:pt idx="215">
                  <c:v>94.734564339296156</c:v>
                </c:pt>
                <c:pt idx="216">
                  <c:v>94.900461627236126</c:v>
                </c:pt>
                <c:pt idx="217">
                  <c:v>95.210617426428257</c:v>
                </c:pt>
                <c:pt idx="218">
                  <c:v>95.196191575303033</c:v>
                </c:pt>
                <c:pt idx="219">
                  <c:v>95.152914021927373</c:v>
                </c:pt>
                <c:pt idx="220">
                  <c:v>95.293566070398285</c:v>
                </c:pt>
                <c:pt idx="221">
                  <c:v>95.138488170802134</c:v>
                </c:pt>
                <c:pt idx="222">
                  <c:v>94.638993075591529</c:v>
                </c:pt>
                <c:pt idx="223">
                  <c:v>94.709319099826985</c:v>
                </c:pt>
                <c:pt idx="224">
                  <c:v>94.700302942873719</c:v>
                </c:pt>
                <c:pt idx="225">
                  <c:v>94.785054818234343</c:v>
                </c:pt>
                <c:pt idx="226">
                  <c:v>94.833742065781905</c:v>
                </c:pt>
                <c:pt idx="227">
                  <c:v>94.952755337564952</c:v>
                </c:pt>
                <c:pt idx="228">
                  <c:v>95.542412002308239</c:v>
                </c:pt>
                <c:pt idx="229">
                  <c:v>95.417989036353262</c:v>
                </c:pt>
                <c:pt idx="230">
                  <c:v>95.59470571263715</c:v>
                </c:pt>
                <c:pt idx="231">
                  <c:v>95.656015579919313</c:v>
                </c:pt>
                <c:pt idx="232">
                  <c:v>95.367498557414933</c:v>
                </c:pt>
                <c:pt idx="233">
                  <c:v>95.481102135026049</c:v>
                </c:pt>
                <c:pt idx="234">
                  <c:v>95.533395845354946</c:v>
                </c:pt>
                <c:pt idx="235">
                  <c:v>95.850764570109718</c:v>
                </c:pt>
                <c:pt idx="236">
                  <c:v>96.274523946913007</c:v>
                </c:pt>
                <c:pt idx="237">
                  <c:v>95.863387189844289</c:v>
                </c:pt>
                <c:pt idx="238">
                  <c:v>95.976990767455362</c:v>
                </c:pt>
                <c:pt idx="239">
                  <c:v>95.876009809578889</c:v>
                </c:pt>
                <c:pt idx="240">
                  <c:v>95.973384304674056</c:v>
                </c:pt>
                <c:pt idx="241">
                  <c:v>95.892238892094653</c:v>
                </c:pt>
                <c:pt idx="242">
                  <c:v>95.601918638199749</c:v>
                </c:pt>
                <c:pt idx="243">
                  <c:v>95.690276976341679</c:v>
                </c:pt>
                <c:pt idx="244">
                  <c:v>95.868796884016248</c:v>
                </c:pt>
                <c:pt idx="245">
                  <c:v>95.86158395845365</c:v>
                </c:pt>
                <c:pt idx="246">
                  <c:v>96.305178880553981</c:v>
                </c:pt>
                <c:pt idx="247">
                  <c:v>96.880409694172101</c:v>
                </c:pt>
                <c:pt idx="248">
                  <c:v>96.321407963069888</c:v>
                </c:pt>
                <c:pt idx="249">
                  <c:v>95.991416618580601</c:v>
                </c:pt>
                <c:pt idx="250">
                  <c:v>95.894042123485335</c:v>
                </c:pt>
                <c:pt idx="251">
                  <c:v>96.059939411425361</c:v>
                </c:pt>
                <c:pt idx="252">
                  <c:v>96.222230236584025</c:v>
                </c:pt>
                <c:pt idx="253">
                  <c:v>96.234852856318639</c:v>
                </c:pt>
                <c:pt idx="254">
                  <c:v>96.494518176572541</c:v>
                </c:pt>
                <c:pt idx="255">
                  <c:v>96.240262550490598</c:v>
                </c:pt>
                <c:pt idx="256">
                  <c:v>95.857977495672372</c:v>
                </c:pt>
                <c:pt idx="257">
                  <c:v>95.899451817657308</c:v>
                </c:pt>
                <c:pt idx="258">
                  <c:v>95.794864396999543</c:v>
                </c:pt>
                <c:pt idx="259">
                  <c:v>95.683064050779109</c:v>
                </c:pt>
                <c:pt idx="260">
                  <c:v>95.288156376226254</c:v>
                </c:pt>
                <c:pt idx="261">
                  <c:v>94.945542412002411</c:v>
                </c:pt>
                <c:pt idx="262">
                  <c:v>95.115046162723658</c:v>
                </c:pt>
                <c:pt idx="263">
                  <c:v>95.17455279861521</c:v>
                </c:pt>
                <c:pt idx="264">
                  <c:v>95.207010963646965</c:v>
                </c:pt>
                <c:pt idx="265">
                  <c:v>95.612738026543624</c:v>
                </c:pt>
                <c:pt idx="266">
                  <c:v>95.446840738603683</c:v>
                </c:pt>
                <c:pt idx="267">
                  <c:v>95.172749567224528</c:v>
                </c:pt>
                <c:pt idx="268">
                  <c:v>94.990623196768723</c:v>
                </c:pt>
                <c:pt idx="269">
                  <c:v>94.518176572417858</c:v>
                </c:pt>
                <c:pt idx="270">
                  <c:v>94.575879976918728</c:v>
                </c:pt>
                <c:pt idx="271">
                  <c:v>94.26211771494529</c:v>
                </c:pt>
                <c:pt idx="272">
                  <c:v>94.370311598384347</c:v>
                </c:pt>
                <c:pt idx="273">
                  <c:v>94.015075014425904</c:v>
                </c:pt>
                <c:pt idx="274">
                  <c:v>93.68328043854595</c:v>
                </c:pt>
                <c:pt idx="275">
                  <c:v>93.665248124639405</c:v>
                </c:pt>
                <c:pt idx="276">
                  <c:v>93.474105597230334</c:v>
                </c:pt>
                <c:pt idx="277">
                  <c:v>93.237882285054908</c:v>
                </c:pt>
                <c:pt idx="278">
                  <c:v>93.171162723600773</c:v>
                </c:pt>
                <c:pt idx="279">
                  <c:v>93.236079053664227</c:v>
                </c:pt>
                <c:pt idx="280">
                  <c:v>93.326240623196853</c:v>
                </c:pt>
                <c:pt idx="281">
                  <c:v>93.310011540680989</c:v>
                </c:pt>
                <c:pt idx="282">
                  <c:v>93.933929601846657</c:v>
                </c:pt>
                <c:pt idx="283">
                  <c:v>94.332443739180675</c:v>
                </c:pt>
                <c:pt idx="284">
                  <c:v>95.313401615695412</c:v>
                </c:pt>
                <c:pt idx="285">
                  <c:v>95.64519619157538</c:v>
                </c:pt>
                <c:pt idx="286">
                  <c:v>96.092397576457046</c:v>
                </c:pt>
                <c:pt idx="287">
                  <c:v>96.384521061742745</c:v>
                </c:pt>
                <c:pt idx="288">
                  <c:v>96.636973456433935</c:v>
                </c:pt>
                <c:pt idx="289">
                  <c:v>97.727928447778496</c:v>
                </c:pt>
                <c:pt idx="290">
                  <c:v>98.762983266012796</c:v>
                </c:pt>
                <c:pt idx="291">
                  <c:v>98.658395845354889</c:v>
                </c:pt>
                <c:pt idx="292">
                  <c:v>98.476269474899112</c:v>
                </c:pt>
                <c:pt idx="293">
                  <c:v>98.182342758222745</c:v>
                </c:pt>
                <c:pt idx="294">
                  <c:v>98.202178303519943</c:v>
                </c:pt>
                <c:pt idx="295">
                  <c:v>98.858554529717324</c:v>
                </c:pt>
                <c:pt idx="296">
                  <c:v>98.149884593191032</c:v>
                </c:pt>
                <c:pt idx="297">
                  <c:v>97.361872475476076</c:v>
                </c:pt>
                <c:pt idx="298">
                  <c:v>96.002236006924406</c:v>
                </c:pt>
                <c:pt idx="299">
                  <c:v>95.412579342181218</c:v>
                </c:pt>
                <c:pt idx="300">
                  <c:v>95.349466243508417</c:v>
                </c:pt>
                <c:pt idx="301">
                  <c:v>96.921884016157009</c:v>
                </c:pt>
                <c:pt idx="302">
                  <c:v>96.966964800923307</c:v>
                </c:pt>
                <c:pt idx="303">
                  <c:v>98.155294287363006</c:v>
                </c:pt>
                <c:pt idx="304">
                  <c:v>98.856751298326614</c:v>
                </c:pt>
                <c:pt idx="305">
                  <c:v>99.960328909405703</c:v>
                </c:pt>
                <c:pt idx="306">
                  <c:v>99.79984131563765</c:v>
                </c:pt>
                <c:pt idx="307">
                  <c:v>99.550995383727681</c:v>
                </c:pt>
                <c:pt idx="308">
                  <c:v>99.469849971148378</c:v>
                </c:pt>
                <c:pt idx="309">
                  <c:v>98.070542412002325</c:v>
                </c:pt>
                <c:pt idx="310">
                  <c:v>97.80366416618584</c:v>
                </c:pt>
                <c:pt idx="311">
                  <c:v>97.926283900750164</c:v>
                </c:pt>
                <c:pt idx="312">
                  <c:v>97.271710905943465</c:v>
                </c:pt>
                <c:pt idx="313">
                  <c:v>96.759593190998302</c:v>
                </c:pt>
                <c:pt idx="314">
                  <c:v>96.941719561454164</c:v>
                </c:pt>
                <c:pt idx="315">
                  <c:v>95.935516445470327</c:v>
                </c:pt>
                <c:pt idx="316">
                  <c:v>95.80568378534339</c:v>
                </c:pt>
                <c:pt idx="317">
                  <c:v>95.845354875937701</c:v>
                </c:pt>
                <c:pt idx="318">
                  <c:v>94.990623196768667</c:v>
                </c:pt>
                <c:pt idx="319">
                  <c:v>94.390147143681475</c:v>
                </c:pt>
                <c:pt idx="320">
                  <c:v>94.649812463935405</c:v>
                </c:pt>
                <c:pt idx="321">
                  <c:v>93.935732833237154</c:v>
                </c:pt>
                <c:pt idx="322">
                  <c:v>93.935732833237154</c:v>
                </c:pt>
                <c:pt idx="323">
                  <c:v>93.19821119446047</c:v>
                </c:pt>
                <c:pt idx="324">
                  <c:v>93.804096941719592</c:v>
                </c:pt>
                <c:pt idx="325">
                  <c:v>94.081794575879982</c:v>
                </c:pt>
                <c:pt idx="326">
                  <c:v>93.870816503173685</c:v>
                </c:pt>
                <c:pt idx="327">
                  <c:v>93.901471436814788</c:v>
                </c:pt>
                <c:pt idx="328">
                  <c:v>94.657025389497974</c:v>
                </c:pt>
                <c:pt idx="329">
                  <c:v>94.0168782458165</c:v>
                </c:pt>
                <c:pt idx="330">
                  <c:v>93.731967686093498</c:v>
                </c:pt>
                <c:pt idx="331">
                  <c:v>94.081794575879982</c:v>
                </c:pt>
                <c:pt idx="332">
                  <c:v>94.620960761684927</c:v>
                </c:pt>
                <c:pt idx="333">
                  <c:v>94.887839007501427</c:v>
                </c:pt>
                <c:pt idx="334">
                  <c:v>95.039310444316243</c:v>
                </c:pt>
                <c:pt idx="335">
                  <c:v>95.331433929601843</c:v>
                </c:pt>
                <c:pt idx="336">
                  <c:v>95.282746682054196</c:v>
                </c:pt>
                <c:pt idx="337">
                  <c:v>95.104226774379697</c:v>
                </c:pt>
                <c:pt idx="338">
                  <c:v>94.676860934795158</c:v>
                </c:pt>
                <c:pt idx="339">
                  <c:v>95.661425274091187</c:v>
                </c:pt>
                <c:pt idx="340">
                  <c:v>95.493724754760564</c:v>
                </c:pt>
                <c:pt idx="341">
                  <c:v>95.223240046162744</c:v>
                </c:pt>
                <c:pt idx="342">
                  <c:v>94.658828620888599</c:v>
                </c:pt>
                <c:pt idx="343">
                  <c:v>94.707515868436246</c:v>
                </c:pt>
                <c:pt idx="344">
                  <c:v>94.952755337564881</c:v>
                </c:pt>
                <c:pt idx="345">
                  <c:v>95.64519619157528</c:v>
                </c:pt>
                <c:pt idx="346">
                  <c:v>96.231246393537205</c:v>
                </c:pt>
                <c:pt idx="347">
                  <c:v>96.793854587420654</c:v>
                </c:pt>
                <c:pt idx="348">
                  <c:v>97.244662435083697</c:v>
                </c:pt>
                <c:pt idx="349">
                  <c:v>97.534982688978701</c:v>
                </c:pt>
                <c:pt idx="350">
                  <c:v>97.351053087132186</c:v>
                </c:pt>
                <c:pt idx="351">
                  <c:v>98.456433929601843</c:v>
                </c:pt>
                <c:pt idx="352">
                  <c:v>98.036281015579888</c:v>
                </c:pt>
                <c:pt idx="353">
                  <c:v>97.762189844200805</c:v>
                </c:pt>
                <c:pt idx="354">
                  <c:v>98.528563185227924</c:v>
                </c:pt>
                <c:pt idx="355">
                  <c:v>98.847735141373334</c:v>
                </c:pt>
                <c:pt idx="356">
                  <c:v>98.371682054241177</c:v>
                </c:pt>
                <c:pt idx="357">
                  <c:v>97.661208886324289</c:v>
                </c:pt>
                <c:pt idx="358">
                  <c:v>98.326601269474878</c:v>
                </c:pt>
                <c:pt idx="359">
                  <c:v>97.286136757068633</c:v>
                </c:pt>
                <c:pt idx="360">
                  <c:v>97.351053087132186</c:v>
                </c:pt>
                <c:pt idx="361">
                  <c:v>96.979587420657808</c:v>
                </c:pt>
                <c:pt idx="362">
                  <c:v>96.849754760530885</c:v>
                </c:pt>
                <c:pt idx="363">
                  <c:v>97.578260242354318</c:v>
                </c:pt>
                <c:pt idx="364">
                  <c:v>97.866777264858626</c:v>
                </c:pt>
                <c:pt idx="365">
                  <c:v>97.439411425274145</c:v>
                </c:pt>
                <c:pt idx="366">
                  <c:v>97.498918061165668</c:v>
                </c:pt>
                <c:pt idx="367">
                  <c:v>98.068739180611658</c:v>
                </c:pt>
                <c:pt idx="368">
                  <c:v>97.453837276399284</c:v>
                </c:pt>
                <c:pt idx="369">
                  <c:v>97.511540680900239</c:v>
                </c:pt>
                <c:pt idx="370">
                  <c:v>98.360862665897329</c:v>
                </c:pt>
                <c:pt idx="371">
                  <c:v>97.969561454125795</c:v>
                </c:pt>
                <c:pt idx="372">
                  <c:v>98.649379688401609</c:v>
                </c:pt>
                <c:pt idx="373">
                  <c:v>98.622331217541728</c:v>
                </c:pt>
                <c:pt idx="374">
                  <c:v>98.739541257934192</c:v>
                </c:pt>
                <c:pt idx="375">
                  <c:v>99.397720715522212</c:v>
                </c:pt>
                <c:pt idx="376">
                  <c:v>99.109203693017918</c:v>
                </c:pt>
                <c:pt idx="377">
                  <c:v>99.305755914598905</c:v>
                </c:pt>
                <c:pt idx="378">
                  <c:v>99.477062896710848</c:v>
                </c:pt>
                <c:pt idx="379">
                  <c:v>99.834102712059945</c:v>
                </c:pt>
                <c:pt idx="380">
                  <c:v>99.237233121754173</c:v>
                </c:pt>
                <c:pt idx="381">
                  <c:v>99.316575302942852</c:v>
                </c:pt>
                <c:pt idx="382">
                  <c:v>99.729515291402166</c:v>
                </c:pt>
                <c:pt idx="383">
                  <c:v>99.825086555106708</c:v>
                </c:pt>
                <c:pt idx="384">
                  <c:v>100.79342181188689</c:v>
                </c:pt>
                <c:pt idx="385">
                  <c:v>101.41914310444319</c:v>
                </c:pt>
                <c:pt idx="386">
                  <c:v>101.48405943450666</c:v>
                </c:pt>
                <c:pt idx="387">
                  <c:v>102.3712492787075</c:v>
                </c:pt>
                <c:pt idx="388">
                  <c:v>102.47583669936527</c:v>
                </c:pt>
                <c:pt idx="389">
                  <c:v>102.64714368147729</c:v>
                </c:pt>
                <c:pt idx="390">
                  <c:v>102.83107328332372</c:v>
                </c:pt>
                <c:pt idx="391">
                  <c:v>103.76875360646278</c:v>
                </c:pt>
                <c:pt idx="392">
                  <c:v>102.88517022504328</c:v>
                </c:pt>
                <c:pt idx="393">
                  <c:v>103.28729082515872</c:v>
                </c:pt>
                <c:pt idx="394">
                  <c:v>103.7994085401039</c:v>
                </c:pt>
                <c:pt idx="395">
                  <c:v>103.75252452394696</c:v>
                </c:pt>
                <c:pt idx="396">
                  <c:v>103.35581361800348</c:v>
                </c:pt>
                <c:pt idx="397">
                  <c:v>102.90680900173112</c:v>
                </c:pt>
                <c:pt idx="398">
                  <c:v>103.17008078476631</c:v>
                </c:pt>
                <c:pt idx="399">
                  <c:v>102.89238315060589</c:v>
                </c:pt>
                <c:pt idx="400">
                  <c:v>103.5325302942874</c:v>
                </c:pt>
                <c:pt idx="401">
                  <c:v>103.12860646278129</c:v>
                </c:pt>
                <c:pt idx="402">
                  <c:v>103.59564339296021</c:v>
                </c:pt>
                <c:pt idx="403">
                  <c:v>103.91301211771493</c:v>
                </c:pt>
                <c:pt idx="404">
                  <c:v>104.26464223889212</c:v>
                </c:pt>
                <c:pt idx="405">
                  <c:v>103.45318811309863</c:v>
                </c:pt>
                <c:pt idx="406">
                  <c:v>103.31433929601849</c:v>
                </c:pt>
                <c:pt idx="407">
                  <c:v>103.54154645124071</c:v>
                </c:pt>
                <c:pt idx="408">
                  <c:v>103.59564339296021</c:v>
                </c:pt>
                <c:pt idx="409">
                  <c:v>103.81022792844786</c:v>
                </c:pt>
                <c:pt idx="410">
                  <c:v>103.8498990190422</c:v>
                </c:pt>
                <c:pt idx="411">
                  <c:v>104.44857184073867</c:v>
                </c:pt>
                <c:pt idx="412">
                  <c:v>104.68659838430469</c:v>
                </c:pt>
                <c:pt idx="413">
                  <c:v>105.1301933064051</c:v>
                </c:pt>
                <c:pt idx="414">
                  <c:v>104.31873918061169</c:v>
                </c:pt>
                <c:pt idx="415">
                  <c:v>103.92924120023089</c:v>
                </c:pt>
                <c:pt idx="416">
                  <c:v>104.30431332948648</c:v>
                </c:pt>
                <c:pt idx="417">
                  <c:v>104.09153202538955</c:v>
                </c:pt>
                <c:pt idx="418">
                  <c:v>103.84448932487022</c:v>
                </c:pt>
                <c:pt idx="419">
                  <c:v>103.70023081361805</c:v>
                </c:pt>
                <c:pt idx="420">
                  <c:v>104.24300346220436</c:v>
                </c:pt>
                <c:pt idx="421">
                  <c:v>104.4089007501443</c:v>
                </c:pt>
                <c:pt idx="422">
                  <c:v>103.98153491055973</c:v>
                </c:pt>
                <c:pt idx="423">
                  <c:v>103.9743219849972</c:v>
                </c:pt>
                <c:pt idx="424">
                  <c:v>103.85711194460478</c:v>
                </c:pt>
                <c:pt idx="425">
                  <c:v>103.07090305828048</c:v>
                </c:pt>
                <c:pt idx="426">
                  <c:v>103.68219849971149</c:v>
                </c:pt>
                <c:pt idx="427">
                  <c:v>102.70845354875941</c:v>
                </c:pt>
                <c:pt idx="428">
                  <c:v>102.5353433352568</c:v>
                </c:pt>
                <c:pt idx="429">
                  <c:v>101.89339296018466</c:v>
                </c:pt>
                <c:pt idx="430">
                  <c:v>101.89158972879403</c:v>
                </c:pt>
                <c:pt idx="431">
                  <c:v>101.98175129832663</c:v>
                </c:pt>
                <c:pt idx="432">
                  <c:v>102.78959896133878</c:v>
                </c:pt>
                <c:pt idx="433">
                  <c:v>103.10516445470286</c:v>
                </c:pt>
                <c:pt idx="434">
                  <c:v>103.49285920369304</c:v>
                </c:pt>
                <c:pt idx="435">
                  <c:v>103.24221004039246</c:v>
                </c:pt>
                <c:pt idx="436">
                  <c:v>103.575807847663</c:v>
                </c:pt>
                <c:pt idx="437">
                  <c:v>104.09874495095215</c:v>
                </c:pt>
                <c:pt idx="438">
                  <c:v>103.92743796884022</c:v>
                </c:pt>
                <c:pt idx="439">
                  <c:v>104.12759665320259</c:v>
                </c:pt>
                <c:pt idx="440">
                  <c:v>104.41250721292558</c:v>
                </c:pt>
                <c:pt idx="441">
                  <c:v>104.21415175995389</c:v>
                </c:pt>
                <c:pt idx="442">
                  <c:v>104.35841027120605</c:v>
                </c:pt>
                <c:pt idx="443">
                  <c:v>103.94547028274674</c:v>
                </c:pt>
                <c:pt idx="444">
                  <c:v>103.83186670513568</c:v>
                </c:pt>
                <c:pt idx="445">
                  <c:v>103.913012117715</c:v>
                </c:pt>
                <c:pt idx="446">
                  <c:v>104.3908684362378</c:v>
                </c:pt>
                <c:pt idx="447">
                  <c:v>105.02560588574732</c:v>
                </c:pt>
                <c:pt idx="448">
                  <c:v>105.57559145989617</c:v>
                </c:pt>
                <c:pt idx="449">
                  <c:v>105.4475620311599</c:v>
                </c:pt>
                <c:pt idx="450">
                  <c:v>105.53411713791121</c:v>
                </c:pt>
                <c:pt idx="451">
                  <c:v>105.02380265435664</c:v>
                </c:pt>
                <c:pt idx="452">
                  <c:v>104.99314772071563</c:v>
                </c:pt>
                <c:pt idx="453">
                  <c:v>104.35119734564348</c:v>
                </c:pt>
                <c:pt idx="454">
                  <c:v>104.28447778418935</c:v>
                </c:pt>
                <c:pt idx="455">
                  <c:v>103.88055395268326</c:v>
                </c:pt>
                <c:pt idx="456">
                  <c:v>103.64793710328912</c:v>
                </c:pt>
                <c:pt idx="457">
                  <c:v>104.1077611079054</c:v>
                </c:pt>
                <c:pt idx="458">
                  <c:v>103.88596364685523</c:v>
                </c:pt>
                <c:pt idx="459">
                  <c:v>105.00577034045011</c:v>
                </c:pt>
                <c:pt idx="460">
                  <c:v>105.52149451817664</c:v>
                </c:pt>
                <c:pt idx="461">
                  <c:v>105.71083381419511</c:v>
                </c:pt>
                <c:pt idx="462">
                  <c:v>105.1951096364686</c:v>
                </c:pt>
                <c:pt idx="463">
                  <c:v>105.21314195037519</c:v>
                </c:pt>
                <c:pt idx="464">
                  <c:v>105.53952683208314</c:v>
                </c:pt>
                <c:pt idx="465">
                  <c:v>105.77755337564926</c:v>
                </c:pt>
                <c:pt idx="466">
                  <c:v>106.18508366993662</c:v>
                </c:pt>
                <c:pt idx="467">
                  <c:v>106.43392960184666</c:v>
                </c:pt>
              </c:numCache>
            </c:numRef>
          </c:val>
          <c:smooth val="0"/>
          <c:extLst>
            <c:ext xmlns:c16="http://schemas.microsoft.com/office/drawing/2014/chart" uri="{C3380CC4-5D6E-409C-BE32-E72D297353CC}">
              <c16:uniqueId val="{00000002-FCCC-4543-8000-6EEE235E3B8B}"/>
            </c:ext>
          </c:extLst>
        </c:ser>
        <c:dLbls>
          <c:showLegendKey val="0"/>
          <c:showVal val="0"/>
          <c:showCatName val="0"/>
          <c:showSerName val="0"/>
          <c:showPercent val="0"/>
          <c:showBubbleSize val="0"/>
        </c:dLbls>
        <c:smooth val="0"/>
        <c:axId val="249395072"/>
        <c:axId val="249396608"/>
      </c:lineChart>
      <c:catAx>
        <c:axId val="24939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49396608"/>
        <c:crosses val="autoZero"/>
        <c:auto val="1"/>
        <c:lblAlgn val="ctr"/>
        <c:lblOffset val="100"/>
        <c:noMultiLvlLbl val="0"/>
      </c:catAx>
      <c:valAx>
        <c:axId val="249396608"/>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201</a:t>
                </a:r>
                <a:r>
                  <a:rPr lang="en-US" sz="900"/>
                  <a:t>9</a:t>
                </a:r>
                <a:r>
                  <a:rPr lang="hy-AM" sz="900"/>
                  <a:t> թ. </a:t>
                </a:r>
                <a:r>
                  <a:rPr lang="en-US" sz="900"/>
                  <a:t>հունվար 8=100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395072"/>
        <c:crosses val="autoZero"/>
        <c:crossBetween val="between"/>
      </c:valAx>
      <c:spPr>
        <a:no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56289234116005749"/>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Sheet1!$A$2:$A$46</c:f>
              <c:strCache>
                <c:ptCount val="21"/>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strCache>
            </c:strRef>
          </c:cat>
          <c:val>
            <c:numRef>
              <c:f>Sheet1!$B$2:$B$46</c:f>
              <c:numCache>
                <c:formatCode>0.0</c:formatCode>
                <c:ptCount val="21"/>
                <c:pt idx="0">
                  <c:v>8.8099258497907709</c:v>
                </c:pt>
                <c:pt idx="1">
                  <c:v>9.3685223571217371</c:v>
                </c:pt>
                <c:pt idx="2">
                  <c:v>9.5781551715601214</c:v>
                </c:pt>
                <c:pt idx="3">
                  <c:v>9.408407907657562</c:v>
                </c:pt>
                <c:pt idx="4">
                  <c:v>9.2151681993298773</c:v>
                </c:pt>
                <c:pt idx="5">
                  <c:v>8.6043401989768817</c:v>
                </c:pt>
                <c:pt idx="6">
                  <c:v>7.6990018453279685</c:v>
                </c:pt>
                <c:pt idx="7">
                  <c:v>6.5052274962660732</c:v>
                </c:pt>
                <c:pt idx="8">
                  <c:v>5.3823907455012829</c:v>
                </c:pt>
                <c:pt idx="9">
                  <c:v>4.5993552843656307</c:v>
                </c:pt>
                <c:pt idx="10">
                  <c:v>3.9949444277952177</c:v>
                </c:pt>
                <c:pt idx="11">
                  <c:v>3.5068203044597928</c:v>
                </c:pt>
                <c:pt idx="12">
                  <c:v>-2.6246542068686409</c:v>
                </c:pt>
                <c:pt idx="13">
                  <c:v>-1.4553084915558538</c:v>
                </c:pt>
                <c:pt idx="14">
                  <c:v>-0.3976232971104568</c:v>
                </c:pt>
                <c:pt idx="15">
                  <c:v>0.76205314050565676</c:v>
                </c:pt>
                <c:pt idx="16">
                  <c:v>1.2758480875794183</c:v>
                </c:pt>
                <c:pt idx="17">
                  <c:v>1.5440919000124604</c:v>
                </c:pt>
                <c:pt idx="18">
                  <c:v>1.7990829349974153</c:v>
                </c:pt>
                <c:pt idx="19">
                  <c:v>1.8760635159516714</c:v>
                </c:pt>
                <c:pt idx="20">
                  <c:v>2.034608934288753</c:v>
                </c:pt>
              </c:numCache>
            </c:numRef>
          </c:val>
          <c:smooth val="0"/>
          <c:extLst>
            <c:ext xmlns:c16="http://schemas.microsoft.com/office/drawing/2014/chart" uri="{C3380CC4-5D6E-409C-BE32-E72D297353CC}">
              <c16:uniqueId val="{00000000-3BBA-432A-B99E-AB67A09B0906}"/>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Sheet1!$A$2:$A$46</c:f>
              <c:strCache>
                <c:ptCount val="21"/>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strCache>
            </c:strRef>
          </c:cat>
          <c:val>
            <c:numRef>
              <c:f>Sheet1!$C$2:$C$46</c:f>
              <c:numCache>
                <c:formatCode>0.0</c:formatCode>
                <c:ptCount val="21"/>
                <c:pt idx="0">
                  <c:v>13.911940986629801</c:v>
                </c:pt>
                <c:pt idx="1">
                  <c:v>13.91882772582666</c:v>
                </c:pt>
                <c:pt idx="2">
                  <c:v>14.057335408280069</c:v>
                </c:pt>
                <c:pt idx="3">
                  <c:v>13.851763012712894</c:v>
                </c:pt>
                <c:pt idx="4">
                  <c:v>13.471660226961575</c:v>
                </c:pt>
                <c:pt idx="5">
                  <c:v>12.668478840878119</c:v>
                </c:pt>
                <c:pt idx="6">
                  <c:v>11.711452488663681</c:v>
                </c:pt>
                <c:pt idx="7">
                  <c:v>10.532033900645899</c:v>
                </c:pt>
                <c:pt idx="8">
                  <c:v>9.3252693710836958</c:v>
                </c:pt>
                <c:pt idx="9">
                  <c:v>8.4146451275956053</c:v>
                </c:pt>
                <c:pt idx="10">
                  <c:v>7.7115163890451726</c:v>
                </c:pt>
                <c:pt idx="11">
                  <c:v>7.1842207482216907</c:v>
                </c:pt>
                <c:pt idx="12">
                  <c:v>1.342372424027787</c:v>
                </c:pt>
                <c:pt idx="13">
                  <c:v>2.8146367883014003</c:v>
                </c:pt>
                <c:pt idx="14">
                  <c:v>3.7042048645174379</c:v>
                </c:pt>
                <c:pt idx="15">
                  <c:v>4.4462422679543643</c:v>
                </c:pt>
                <c:pt idx="16">
                  <c:v>4.5995656487116889</c:v>
                </c:pt>
                <c:pt idx="17">
                  <c:v>4.5979060917240986</c:v>
                </c:pt>
                <c:pt idx="18">
                  <c:v>4.7121392797519643</c:v>
                </c:pt>
                <c:pt idx="19">
                  <c:v>4.6430460514533394</c:v>
                </c:pt>
                <c:pt idx="20">
                  <c:v>4.7427412112947724</c:v>
                </c:pt>
              </c:numCache>
            </c:numRef>
          </c:val>
          <c:smooth val="0"/>
          <c:extLst>
            <c:ext xmlns:c16="http://schemas.microsoft.com/office/drawing/2014/chart" uri="{C3380CC4-5D6E-409C-BE32-E72D297353CC}">
              <c16:uniqueId val="{00000001-3BBA-432A-B99E-AB67A09B0906}"/>
            </c:ext>
          </c:extLst>
        </c:ser>
        <c:dLbls>
          <c:showLegendKey val="0"/>
          <c:showVal val="0"/>
          <c:showCatName val="0"/>
          <c:showSerName val="0"/>
          <c:showPercent val="0"/>
          <c:showBubbleSize val="0"/>
        </c:dLbls>
        <c:smooth val="0"/>
        <c:axId val="254692352"/>
        <c:axId val="249107200"/>
      </c:lineChart>
      <c:catAx>
        <c:axId val="254692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9107200"/>
        <c:crosses val="autoZero"/>
        <c:auto val="1"/>
        <c:lblAlgn val="ctr"/>
        <c:lblOffset val="100"/>
        <c:noMultiLvlLbl val="0"/>
      </c:catAx>
      <c:valAx>
        <c:axId val="24910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69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12</a:t>
            </a:r>
            <a:r>
              <a:rPr lang="hy-AM" sz="900" i="1"/>
              <a:t> ամսյա գնաճը</a:t>
            </a:r>
            <a:r>
              <a:rPr lang="en-US" sz="900" i="1"/>
              <a:t>,</a:t>
            </a:r>
            <a:r>
              <a:rPr lang="en-US" sz="900" i="1" baseline="0"/>
              <a:t> %</a:t>
            </a:r>
            <a:endParaRPr lang="en-US" sz="900" i="1"/>
          </a:p>
        </c:rich>
      </c:tx>
      <c:layout>
        <c:manualLayout>
          <c:xMode val="edge"/>
          <c:yMode val="edge"/>
          <c:x val="0.28161808163810031"/>
          <c:y val="0"/>
        </c:manualLayout>
      </c:layout>
      <c:overlay val="0"/>
      <c:spPr>
        <a:noFill/>
        <a:ln>
          <a:noFill/>
        </a:ln>
        <a:effectLst/>
      </c:spPr>
    </c:title>
    <c:autoTitleDeleted val="0"/>
    <c:plotArea>
      <c:layout>
        <c:manualLayout>
          <c:layoutTarget val="inner"/>
          <c:xMode val="edge"/>
          <c:yMode val="edge"/>
          <c:x val="0.11270836908098351"/>
          <c:y val="0.11961308574745932"/>
          <c:w val="0.84290099330804158"/>
          <c:h val="0.68117431582734356"/>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Sheet1!$C$2:$C$47</c:f>
              <c:numCache>
                <c:formatCode>0.0</c:formatCode>
                <c:ptCount val="16"/>
                <c:pt idx="0">
                  <c:v>1.3982565421665476</c:v>
                </c:pt>
                <c:pt idx="1">
                  <c:v>2.0768222170414887</c:v>
                </c:pt>
                <c:pt idx="2">
                  <c:v>1.1926305800832318</c:v>
                </c:pt>
                <c:pt idx="3">
                  <c:v>2.2618855829164746</c:v>
                </c:pt>
                <c:pt idx="4">
                  <c:v>1.8984840000000003</c:v>
                </c:pt>
                <c:pt idx="5">
                  <c:v>-0.89628000000000019</c:v>
                </c:pt>
                <c:pt idx="6">
                  <c:v>2.159219999999999</c:v>
                </c:pt>
                <c:pt idx="7">
                  <c:v>0.65184000000000053</c:v>
                </c:pt>
                <c:pt idx="8">
                  <c:v>1.4224399999999995</c:v>
                </c:pt>
                <c:pt idx="9">
                  <c:v>1.9020999999999999</c:v>
                </c:pt>
                <c:pt idx="10">
                  <c:v>-0.57890000000000019</c:v>
                </c:pt>
                <c:pt idx="11">
                  <c:v>-0.13645500000000008</c:v>
                </c:pt>
                <c:pt idx="12">
                  <c:v>-1.1761594000000004</c:v>
                </c:pt>
                <c:pt idx="13">
                  <c:v>0.78459999999999996</c:v>
                </c:pt>
                <c:pt idx="14">
                  <c:v>0.34734000000000015</c:v>
                </c:pt>
                <c:pt idx="15">
                  <c:v>0.24810000000000001</c:v>
                </c:pt>
              </c:numCache>
            </c:numRef>
          </c:val>
          <c:extLst>
            <c:ext xmlns:c16="http://schemas.microsoft.com/office/drawing/2014/chart" uri="{C3380CC4-5D6E-409C-BE32-E72D297353CC}">
              <c16:uniqueId val="{00000000-4CA5-41EF-BDDA-0D39240D156A}"/>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Sheet1!$D$2:$D$47</c:f>
              <c:numCache>
                <c:formatCode>0.0</c:formatCode>
                <c:ptCount val="16"/>
                <c:pt idx="0">
                  <c:v>9.6798629569375252E-2</c:v>
                </c:pt>
                <c:pt idx="1">
                  <c:v>0.16059772633100888</c:v>
                </c:pt>
                <c:pt idx="2">
                  <c:v>0.16719763289255724</c:v>
                </c:pt>
                <c:pt idx="3">
                  <c:v>0.17599750830795499</c:v>
                </c:pt>
                <c:pt idx="4">
                  <c:v>0.15984000000000007</c:v>
                </c:pt>
                <c:pt idx="5">
                  <c:v>0.19872000000000001</c:v>
                </c:pt>
                <c:pt idx="6">
                  <c:v>0.21600000000000008</c:v>
                </c:pt>
                <c:pt idx="7">
                  <c:v>0.16847999999999999</c:v>
                </c:pt>
                <c:pt idx="8">
                  <c:v>0.19976000000000008</c:v>
                </c:pt>
                <c:pt idx="9">
                  <c:v>0.18160000000000001</c:v>
                </c:pt>
                <c:pt idx="10">
                  <c:v>0.21338000000000001</c:v>
                </c:pt>
                <c:pt idx="11">
                  <c:v>0.20702399999999999</c:v>
                </c:pt>
                <c:pt idx="12">
                  <c:v>0.45172999999999996</c:v>
                </c:pt>
                <c:pt idx="13">
                  <c:v>0.46287000000000011</c:v>
                </c:pt>
                <c:pt idx="14">
                  <c:v>0.44492000000000015</c:v>
                </c:pt>
                <c:pt idx="15">
                  <c:v>0.44038000000000016</c:v>
                </c:pt>
              </c:numCache>
            </c:numRef>
          </c:val>
          <c:extLst>
            <c:ext xmlns:c16="http://schemas.microsoft.com/office/drawing/2014/chart" uri="{C3380CC4-5D6E-409C-BE32-E72D297353CC}">
              <c16:uniqueId val="{00000001-4CA5-41EF-BDDA-0D39240D156A}"/>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Sheet1!$E$2:$E$47</c:f>
              <c:numCache>
                <c:formatCode>0.0</c:formatCode>
                <c:ptCount val="16"/>
                <c:pt idx="0">
                  <c:v>-0.74167100978775335</c:v>
                </c:pt>
                <c:pt idx="1">
                  <c:v>-0.62300364822171272</c:v>
                </c:pt>
                <c:pt idx="2">
                  <c:v>-0.1483342019575507</c:v>
                </c:pt>
                <c:pt idx="3">
                  <c:v>0.36024020475405172</c:v>
                </c:pt>
                <c:pt idx="4">
                  <c:v>1.0925</c:v>
                </c:pt>
                <c:pt idx="5">
                  <c:v>1.1580500000000005</c:v>
                </c:pt>
                <c:pt idx="6">
                  <c:v>0.8521500000000003</c:v>
                </c:pt>
                <c:pt idx="7">
                  <c:v>0.69920000000000004</c:v>
                </c:pt>
                <c:pt idx="8">
                  <c:v>0.20015999999999998</c:v>
                </c:pt>
                <c:pt idx="9">
                  <c:v>0.4225600000000001</c:v>
                </c:pt>
                <c:pt idx="10">
                  <c:v>0.53376000000000001</c:v>
                </c:pt>
                <c:pt idx="11">
                  <c:v>0.31136000000000014</c:v>
                </c:pt>
                <c:pt idx="12">
                  <c:v>0.27800000000000002</c:v>
                </c:pt>
                <c:pt idx="13">
                  <c:v>-4.2020000000000023E-2</c:v>
                </c:pt>
                <c:pt idx="14">
                  <c:v>0.11119999999999998</c:v>
                </c:pt>
                <c:pt idx="15">
                  <c:v>0.13344000000000006</c:v>
                </c:pt>
              </c:numCache>
            </c:numRef>
          </c:val>
          <c:extLst>
            <c:ext xmlns:c16="http://schemas.microsoft.com/office/drawing/2014/chart" uri="{C3380CC4-5D6E-409C-BE32-E72D297353CC}">
              <c16:uniqueId val="{00000002-4CA5-41EF-BDDA-0D39240D156A}"/>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Sheet1!$F$2:$F$47</c:f>
              <c:numCache>
                <c:formatCode>0.0</c:formatCode>
                <c:ptCount val="16"/>
                <c:pt idx="0">
                  <c:v>-0.86539100949568815</c:v>
                </c:pt>
                <c:pt idx="1">
                  <c:v>-0.46597977434383198</c:v>
                </c:pt>
                <c:pt idx="2">
                  <c:v>-0.16642134797993996</c:v>
                </c:pt>
                <c:pt idx="3">
                  <c:v>-0.16642134797993996</c:v>
                </c:pt>
                <c:pt idx="4">
                  <c:v>0.59543999999999975</c:v>
                </c:pt>
                <c:pt idx="5">
                  <c:v>0.46312000000000009</c:v>
                </c:pt>
                <c:pt idx="6">
                  <c:v>0.23155999999999999</c:v>
                </c:pt>
                <c:pt idx="7">
                  <c:v>0.26464000000000004</c:v>
                </c:pt>
                <c:pt idx="8">
                  <c:v>3.1870000000000016E-2</c:v>
                </c:pt>
                <c:pt idx="9">
                  <c:v>3.1870000000000016E-2</c:v>
                </c:pt>
                <c:pt idx="10">
                  <c:v>0.35057000000000016</c:v>
                </c:pt>
                <c:pt idx="11">
                  <c:v>0.33782200000000023</c:v>
                </c:pt>
                <c:pt idx="12">
                  <c:v>0.39837500000000026</c:v>
                </c:pt>
                <c:pt idx="13">
                  <c:v>0.46241000000000015</c:v>
                </c:pt>
                <c:pt idx="14">
                  <c:v>0.44618000000000002</c:v>
                </c:pt>
                <c:pt idx="15">
                  <c:v>0.44618000000000002</c:v>
                </c:pt>
              </c:numCache>
            </c:numRef>
          </c:val>
          <c:extLst>
            <c:ext xmlns:c16="http://schemas.microsoft.com/office/drawing/2014/chart" uri="{C3380CC4-5D6E-409C-BE32-E72D297353CC}">
              <c16:uniqueId val="{00000003-4CA5-41EF-BDDA-0D39240D156A}"/>
            </c:ext>
          </c:extLst>
        </c:ser>
        <c:dLbls>
          <c:showLegendKey val="0"/>
          <c:showVal val="0"/>
          <c:showCatName val="0"/>
          <c:showSerName val="0"/>
          <c:showPercent val="0"/>
          <c:showBubbleSize val="0"/>
        </c:dLbls>
        <c:gapWidth val="100"/>
        <c:overlap val="100"/>
        <c:axId val="249069568"/>
        <c:axId val="249071104"/>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4CA5-41EF-BDDA-0D39240D156A}"/>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4CA5-41EF-BDDA-0D39240D156A}"/>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4CA5-41EF-BDDA-0D39240D156A}"/>
              </c:ext>
            </c:extLst>
          </c:dPt>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A5-41EF-BDDA-0D39240D156A}"/>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A5-41EF-BDDA-0D39240D156A}"/>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A5-41EF-BDDA-0D39240D156A}"/>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A5-41EF-BDDA-0D39240D156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Sheet1!$B$2:$B$47</c:f>
              <c:numCache>
                <c:formatCode>0.0</c:formatCode>
                <c:ptCount val="16"/>
                <c:pt idx="0">
                  <c:v>-0.11200684754751915</c:v>
                </c:pt>
                <c:pt idx="1">
                  <c:v>1.1484365208069534</c:v>
                </c:pt>
                <c:pt idx="2">
                  <c:v>1.045072663038298</c:v>
                </c:pt>
                <c:pt idx="3">
                  <c:v>2.6317019479985402</c:v>
                </c:pt>
                <c:pt idx="4">
                  <c:v>3.746264</c:v>
                </c:pt>
                <c:pt idx="5">
                  <c:v>0.92360999999999982</c:v>
                </c:pt>
                <c:pt idx="6">
                  <c:v>3.4589300000000001</c:v>
                </c:pt>
                <c:pt idx="7">
                  <c:v>1.78416</c:v>
                </c:pt>
                <c:pt idx="8">
                  <c:v>1.8542299999999998</c:v>
                </c:pt>
                <c:pt idx="9">
                  <c:v>2.5381299999999998</c:v>
                </c:pt>
                <c:pt idx="10">
                  <c:v>0.5188100000000001</c:v>
                </c:pt>
                <c:pt idx="11">
                  <c:v>0.71975100000000025</c:v>
                </c:pt>
                <c:pt idx="12">
                  <c:v>-5.8054400000000075E-2</c:v>
                </c:pt>
                <c:pt idx="13">
                  <c:v>1.6678599999999999</c:v>
                </c:pt>
                <c:pt idx="14">
                  <c:v>1.3506399999999998</c:v>
                </c:pt>
                <c:pt idx="15">
                  <c:v>1.2690999999999995</c:v>
                </c:pt>
              </c:numCache>
            </c:numRef>
          </c:val>
          <c:smooth val="0"/>
          <c:extLst>
            <c:ext xmlns:c16="http://schemas.microsoft.com/office/drawing/2014/chart" uri="{C3380CC4-5D6E-409C-BE32-E72D297353CC}">
              <c16:uniqueId val="{00000008-4CA5-41EF-BDDA-0D39240D156A}"/>
            </c:ext>
          </c:extLst>
        </c:ser>
        <c:dLbls>
          <c:showLegendKey val="0"/>
          <c:showVal val="0"/>
          <c:showCatName val="0"/>
          <c:showSerName val="0"/>
          <c:showPercent val="0"/>
          <c:showBubbleSize val="0"/>
        </c:dLbls>
        <c:marker val="1"/>
        <c:smooth val="0"/>
        <c:axId val="249069568"/>
        <c:axId val="249071104"/>
      </c:lineChart>
      <c:catAx>
        <c:axId val="2490695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49071104"/>
        <c:crosses val="autoZero"/>
        <c:auto val="1"/>
        <c:lblAlgn val="ctr"/>
        <c:lblOffset val="100"/>
        <c:noMultiLvlLbl val="0"/>
      </c:catAx>
      <c:valAx>
        <c:axId val="249071104"/>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4906956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Մ</a:t>
            </a:r>
            <a:r>
              <a:rPr lang="hy-AM" sz="900" i="1"/>
              <a:t>իջին գնաճը</a:t>
            </a:r>
            <a:r>
              <a:rPr lang="en-US" sz="900" i="1"/>
              <a:t>,</a:t>
            </a:r>
            <a:r>
              <a:rPr lang="en-US" sz="900" i="1" baseline="0"/>
              <a:t> %</a:t>
            </a:r>
            <a:endParaRPr lang="en-US" sz="900" i="1"/>
          </a:p>
        </c:rich>
      </c:tx>
      <c:layout>
        <c:manualLayout>
          <c:xMode val="edge"/>
          <c:yMode val="edge"/>
          <c:x val="0.31103696783664908"/>
          <c:y val="0"/>
        </c:manualLayout>
      </c:layout>
      <c:overlay val="0"/>
      <c:spPr>
        <a:noFill/>
        <a:ln>
          <a:noFill/>
        </a:ln>
        <a:effectLst/>
      </c:spPr>
    </c:title>
    <c:autoTitleDeleted val="0"/>
    <c:plotArea>
      <c:layout>
        <c:manualLayout>
          <c:layoutTarget val="inner"/>
          <c:xMode val="edge"/>
          <c:yMode val="edge"/>
          <c:x val="0.11270836908098351"/>
          <c:y val="0.12480519374330552"/>
          <c:w val="0.84290099330804158"/>
          <c:h val="0.67598220783149765"/>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Sheet1!$C$2:$C$47</c:f>
              <c:numCache>
                <c:formatCode>0.0</c:formatCode>
                <c:ptCount val="16"/>
                <c:pt idx="0">
                  <c:v>1.1515053876665682</c:v>
                </c:pt>
                <c:pt idx="1">
                  <c:v>1.7437081584665173</c:v>
                </c:pt>
                <c:pt idx="2">
                  <c:v>1.5421947156248674</c:v>
                </c:pt>
                <c:pt idx="3">
                  <c:v>1.6861328890831893</c:v>
                </c:pt>
                <c:pt idx="4">
                  <c:v>1.7110799999999995</c:v>
                </c:pt>
                <c:pt idx="5">
                  <c:v>0.75369000000000064</c:v>
                </c:pt>
                <c:pt idx="6">
                  <c:v>0.97776000000000018</c:v>
                </c:pt>
                <c:pt idx="7">
                  <c:v>0.93701999999999996</c:v>
                </c:pt>
                <c:pt idx="8">
                  <c:v>0.99239999999999973</c:v>
                </c:pt>
                <c:pt idx="9">
                  <c:v>1.4472499999999995</c:v>
                </c:pt>
                <c:pt idx="10">
                  <c:v>1.0130749999999995</c:v>
                </c:pt>
                <c:pt idx="11">
                  <c:v>0.76497500000000052</c:v>
                </c:pt>
                <c:pt idx="12">
                  <c:v>-1.2156899999999995</c:v>
                </c:pt>
                <c:pt idx="13">
                  <c:v>-0.43004000000000014</c:v>
                </c:pt>
                <c:pt idx="14">
                  <c:v>-0.12404999999999998</c:v>
                </c:pt>
                <c:pt idx="15">
                  <c:v>-8.2700000000000023E-2</c:v>
                </c:pt>
              </c:numCache>
            </c:numRef>
          </c:val>
          <c:extLst>
            <c:ext xmlns:c16="http://schemas.microsoft.com/office/drawing/2014/chart" uri="{C3380CC4-5D6E-409C-BE32-E72D297353CC}">
              <c16:uniqueId val="{00000000-B11A-4F87-9A25-41C51FB80C2E}"/>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Sheet1!$D$2:$D$47</c:f>
              <c:numCache>
                <c:formatCode>0.0</c:formatCode>
                <c:ptCount val="16"/>
                <c:pt idx="0">
                  <c:v>7.4798941030880917E-2</c:v>
                </c:pt>
                <c:pt idx="1">
                  <c:v>0.11175841777555143</c:v>
                </c:pt>
                <c:pt idx="2">
                  <c:v>0.12539822466941788</c:v>
                </c:pt>
                <c:pt idx="3">
                  <c:v>0.14079800664636413</c:v>
                </c:pt>
                <c:pt idx="4">
                  <c:v>0.16416</c:v>
                </c:pt>
                <c:pt idx="5">
                  <c:v>0.16632000000000002</c:v>
                </c:pt>
                <c:pt idx="6">
                  <c:v>0.18576000000000006</c:v>
                </c:pt>
                <c:pt idx="7">
                  <c:v>0.18144000000000013</c:v>
                </c:pt>
                <c:pt idx="8">
                  <c:v>0.18614000000000003</c:v>
                </c:pt>
                <c:pt idx="9">
                  <c:v>0.19068000000000002</c:v>
                </c:pt>
                <c:pt idx="10">
                  <c:v>0.19295000000000001</c:v>
                </c:pt>
                <c:pt idx="11">
                  <c:v>0.19295000000000001</c:v>
                </c:pt>
                <c:pt idx="12">
                  <c:v>0.36093000000000008</c:v>
                </c:pt>
                <c:pt idx="13">
                  <c:v>0.40240500000000007</c:v>
                </c:pt>
                <c:pt idx="14">
                  <c:v>0.41283000000000014</c:v>
                </c:pt>
                <c:pt idx="15">
                  <c:v>0.40866000000000002</c:v>
                </c:pt>
              </c:numCache>
            </c:numRef>
          </c:val>
          <c:extLst>
            <c:ext xmlns:c16="http://schemas.microsoft.com/office/drawing/2014/chart" uri="{C3380CC4-5D6E-409C-BE32-E72D297353CC}">
              <c16:uniqueId val="{00000001-B11A-4F87-9A25-41C51FB80C2E}"/>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Sheet1!$E$2:$E$47</c:f>
              <c:numCache>
                <c:formatCode>0.0</c:formatCode>
                <c:ptCount val="16"/>
                <c:pt idx="0">
                  <c:v>-0.74167100978775335</c:v>
                </c:pt>
                <c:pt idx="1">
                  <c:v>-0.65690860866915346</c:v>
                </c:pt>
                <c:pt idx="2">
                  <c:v>-0.55095560727090265</c:v>
                </c:pt>
                <c:pt idx="3">
                  <c:v>-0.38143080503370186</c:v>
                </c:pt>
                <c:pt idx="4">
                  <c:v>0.96140000000000014</c:v>
                </c:pt>
                <c:pt idx="5">
                  <c:v>1.0378749999999997</c:v>
                </c:pt>
                <c:pt idx="6">
                  <c:v>1.0488000000000002</c:v>
                </c:pt>
                <c:pt idx="7">
                  <c:v>0.98325000000000007</c:v>
                </c:pt>
                <c:pt idx="8">
                  <c:v>0.17792000000000005</c:v>
                </c:pt>
                <c:pt idx="9">
                  <c:v>0.26688000000000012</c:v>
                </c:pt>
                <c:pt idx="10">
                  <c:v>0.34472000000000008</c:v>
                </c:pt>
                <c:pt idx="11">
                  <c:v>0.32248000000000027</c:v>
                </c:pt>
                <c:pt idx="12">
                  <c:v>0.36696000000000012</c:v>
                </c:pt>
                <c:pt idx="13">
                  <c:v>0.19959500000000008</c:v>
                </c:pt>
                <c:pt idx="14">
                  <c:v>0.16808000000000003</c:v>
                </c:pt>
                <c:pt idx="15">
                  <c:v>0.16808000000000003</c:v>
                </c:pt>
              </c:numCache>
            </c:numRef>
          </c:val>
          <c:extLst>
            <c:ext xmlns:c16="http://schemas.microsoft.com/office/drawing/2014/chart" uri="{C3380CC4-5D6E-409C-BE32-E72D297353CC}">
              <c16:uniqueId val="{00000002-B11A-4F87-9A25-41C51FB80C2E}"/>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Sheet1!$F$2:$F$47</c:f>
              <c:numCache>
                <c:formatCode>0.0</c:formatCode>
                <c:ptCount val="16"/>
                <c:pt idx="0">
                  <c:v>-0.83210673989969963</c:v>
                </c:pt>
                <c:pt idx="1">
                  <c:v>-0.73225393111173587</c:v>
                </c:pt>
                <c:pt idx="2">
                  <c:v>-0.47929348218222706</c:v>
                </c:pt>
                <c:pt idx="3">
                  <c:v>-0.43269550474784407</c:v>
                </c:pt>
                <c:pt idx="4">
                  <c:v>0.46312000000000009</c:v>
                </c:pt>
                <c:pt idx="5">
                  <c:v>0.47966000000000003</c:v>
                </c:pt>
                <c:pt idx="6">
                  <c:v>0.43004000000000009</c:v>
                </c:pt>
                <c:pt idx="7">
                  <c:v>0.3969600000000002</c:v>
                </c:pt>
                <c:pt idx="8">
                  <c:v>0.12748000000000001</c:v>
                </c:pt>
                <c:pt idx="9">
                  <c:v>6.3740000000000019E-2</c:v>
                </c:pt>
                <c:pt idx="10">
                  <c:v>9.5610000000000028E-2</c:v>
                </c:pt>
                <c:pt idx="11">
                  <c:v>0.14660200000000001</c:v>
                </c:pt>
                <c:pt idx="12">
                  <c:v>0.43024500000000004</c:v>
                </c:pt>
                <c:pt idx="13">
                  <c:v>0.39837500000000026</c:v>
                </c:pt>
                <c:pt idx="14">
                  <c:v>0.41431000000000018</c:v>
                </c:pt>
                <c:pt idx="15">
                  <c:v>0.41431000000000018</c:v>
                </c:pt>
              </c:numCache>
            </c:numRef>
          </c:val>
          <c:extLst>
            <c:ext xmlns:c16="http://schemas.microsoft.com/office/drawing/2014/chart" uri="{C3380CC4-5D6E-409C-BE32-E72D297353CC}">
              <c16:uniqueId val="{00000003-B11A-4F87-9A25-41C51FB80C2E}"/>
            </c:ext>
          </c:extLst>
        </c:ser>
        <c:dLbls>
          <c:showLegendKey val="0"/>
          <c:showVal val="0"/>
          <c:showCatName val="0"/>
          <c:showSerName val="0"/>
          <c:showPercent val="0"/>
          <c:showBubbleSize val="0"/>
        </c:dLbls>
        <c:gapWidth val="100"/>
        <c:overlap val="100"/>
        <c:axId val="249287424"/>
        <c:axId val="249288960"/>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B11A-4F87-9A25-41C51FB80C2E}"/>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B11A-4F87-9A25-41C51FB80C2E}"/>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B11A-4F87-9A25-41C51FB80C2E}"/>
              </c:ext>
            </c:extLst>
          </c:dPt>
          <c:dLbls>
            <c:dLbl>
              <c:idx val="3"/>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1A-4F87-9A25-41C51FB80C2E}"/>
                </c:ext>
              </c:extLst>
            </c:dLbl>
            <c:dLbl>
              <c:idx val="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1A-4F87-9A25-41C51FB80C2E}"/>
                </c:ext>
              </c:extLst>
            </c:dLbl>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1A-4F87-9A25-41C51FB80C2E}"/>
                </c:ext>
              </c:extLst>
            </c:dLbl>
            <c:dLbl>
              <c:idx val="1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1A-4F87-9A25-41C51FB80C2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Sheet1!$A$2:$A$47</c:f>
              <c:numCache>
                <c:formatCode>General</c:formatCode>
                <c:ptCount val="16"/>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formatCode="0.00">
                  <c:v>2020.1</c:v>
                </c:pt>
              </c:numCache>
            </c:numRef>
          </c:cat>
          <c:val>
            <c:numRef>
              <c:f>Sheet1!$B$2:$B$47</c:f>
              <c:numCache>
                <c:formatCode>0.0</c:formatCode>
                <c:ptCount val="16"/>
                <c:pt idx="0">
                  <c:v>-0.34747342099000422</c:v>
                </c:pt>
                <c:pt idx="1">
                  <c:v>0.46630403646117979</c:v>
                </c:pt>
                <c:pt idx="2">
                  <c:v>0.63734385084115663</c:v>
                </c:pt>
                <c:pt idx="3">
                  <c:v>1.0128045859480073</c:v>
                </c:pt>
                <c:pt idx="4">
                  <c:v>3.29976</c:v>
                </c:pt>
                <c:pt idx="5">
                  <c:v>2.4375449999999992</c:v>
                </c:pt>
                <c:pt idx="6">
                  <c:v>2.64236</c:v>
                </c:pt>
                <c:pt idx="7">
                  <c:v>2.4986699999999993</c:v>
                </c:pt>
                <c:pt idx="8">
                  <c:v>1.4839399999999994</c:v>
                </c:pt>
                <c:pt idx="9">
                  <c:v>1.9685500000000002</c:v>
                </c:pt>
                <c:pt idx="10">
                  <c:v>1.6463550000000005</c:v>
                </c:pt>
                <c:pt idx="11">
                  <c:v>1.4270069999999997</c:v>
                </c:pt>
                <c:pt idx="12">
                  <c:v>-5.7554999999999974E-2</c:v>
                </c:pt>
                <c:pt idx="13">
                  <c:v>0.53033499999999967</c:v>
                </c:pt>
                <c:pt idx="14">
                  <c:v>0.87117000000000033</c:v>
                </c:pt>
                <c:pt idx="15">
                  <c:v>0.9083500000000001</c:v>
                </c:pt>
              </c:numCache>
            </c:numRef>
          </c:val>
          <c:smooth val="0"/>
          <c:extLst>
            <c:ext xmlns:c16="http://schemas.microsoft.com/office/drawing/2014/chart" uri="{C3380CC4-5D6E-409C-BE32-E72D297353CC}">
              <c16:uniqueId val="{00000008-B11A-4F87-9A25-41C51FB80C2E}"/>
            </c:ext>
          </c:extLst>
        </c:ser>
        <c:dLbls>
          <c:showLegendKey val="0"/>
          <c:showVal val="0"/>
          <c:showCatName val="0"/>
          <c:showSerName val="0"/>
          <c:showPercent val="0"/>
          <c:showBubbleSize val="0"/>
        </c:dLbls>
        <c:marker val="1"/>
        <c:smooth val="0"/>
        <c:axId val="249287424"/>
        <c:axId val="249288960"/>
      </c:lineChart>
      <c:catAx>
        <c:axId val="2492874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49288960"/>
        <c:crosses val="autoZero"/>
        <c:auto val="1"/>
        <c:lblAlgn val="ctr"/>
        <c:lblOffset val="100"/>
        <c:noMultiLvlLbl val="0"/>
      </c:catAx>
      <c:valAx>
        <c:axId val="24928896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492874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98E-2"/>
          <c:w val="0.84290099330804158"/>
          <c:h val="1.90308418654875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B7C7-4B8B-9172-42F2C1642880}"/>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B7C7-4B8B-9172-42F2C1642880}"/>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B7C7-4B8B-9172-42F2C1642880}"/>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B7C7-4B8B-9172-42F2C1642880}"/>
            </c:ext>
          </c:extLst>
        </c:ser>
        <c:dLbls>
          <c:showLegendKey val="0"/>
          <c:showVal val="0"/>
          <c:showCatName val="0"/>
          <c:showSerName val="0"/>
          <c:showPercent val="0"/>
          <c:showBubbleSize val="0"/>
        </c:dLbls>
        <c:gapWidth val="100"/>
        <c:overlap val="100"/>
        <c:axId val="250544896"/>
        <c:axId val="250546432"/>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B7C7-4B8B-9172-42F2C1642880}"/>
            </c:ext>
          </c:extLst>
        </c:ser>
        <c:dLbls>
          <c:showLegendKey val="0"/>
          <c:showVal val="0"/>
          <c:showCatName val="0"/>
          <c:showSerName val="0"/>
          <c:showPercent val="0"/>
          <c:showBubbleSize val="0"/>
        </c:dLbls>
        <c:marker val="1"/>
        <c:smooth val="0"/>
        <c:axId val="250544896"/>
        <c:axId val="250546432"/>
      </c:lineChart>
      <c:catAx>
        <c:axId val="250544896"/>
        <c:scaling>
          <c:orientation val="minMax"/>
        </c:scaling>
        <c:delete val="1"/>
        <c:axPos val="b"/>
        <c:numFmt formatCode="General" sourceLinked="1"/>
        <c:majorTickMark val="out"/>
        <c:minorTickMark val="none"/>
        <c:tickLblPos val="none"/>
        <c:crossAx val="250546432"/>
        <c:crosses val="autoZero"/>
        <c:auto val="1"/>
        <c:lblAlgn val="ctr"/>
        <c:lblOffset val="100"/>
        <c:noMultiLvlLbl val="0"/>
      </c:catAx>
      <c:valAx>
        <c:axId val="250546432"/>
        <c:scaling>
          <c:orientation val="minMax"/>
        </c:scaling>
        <c:delete val="1"/>
        <c:axPos val="l"/>
        <c:numFmt formatCode="General" sourceLinked="1"/>
        <c:majorTickMark val="none"/>
        <c:minorTickMark val="none"/>
        <c:tickLblPos val="none"/>
        <c:crossAx val="250544896"/>
        <c:crosses val="autoZero"/>
        <c:crossBetween val="between"/>
      </c:valAx>
      <c:spPr>
        <a:noFill/>
        <a:ln>
          <a:noFill/>
        </a:ln>
        <a:effectLst/>
      </c:spPr>
    </c:plotArea>
    <c:legend>
      <c:legendPos val="b"/>
      <c:layout>
        <c:manualLayout>
          <c:xMode val="edge"/>
          <c:yMode val="edge"/>
          <c:x val="2.4091860941327401E-2"/>
          <c:y val="0.10991302557768538"/>
          <c:w val="0.95949541633383117"/>
          <c:h val="0.876928860454944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hy-AM" sz="1100"/>
              <a:t>Գնաճի կանխատեսումները և նպատակային միջակայքը</a:t>
            </a:r>
            <a:r>
              <a:rPr lang="en-US" sz="1100"/>
              <a:t>, %</a:t>
            </a:r>
          </a:p>
        </c:rich>
      </c:tx>
      <c:layout>
        <c:manualLayout>
          <c:xMode val="edge"/>
          <c:yMode val="edge"/>
          <c:x val="0.21738990489660437"/>
          <c:y val="1.2091606196284284E-2"/>
        </c:manualLayout>
      </c:layout>
      <c:overlay val="0"/>
      <c:spPr>
        <a:noFill/>
        <a:ln>
          <a:noFill/>
        </a:ln>
        <a:effectLst/>
      </c:spPr>
    </c:title>
    <c:autoTitleDeleted val="0"/>
    <c:plotArea>
      <c:layout>
        <c:manualLayout>
          <c:layoutTarget val="inner"/>
          <c:xMode val="edge"/>
          <c:yMode val="edge"/>
          <c:x val="4.286978223573859E-2"/>
          <c:y val="0.15820767267105321"/>
          <c:w val="0.93497959351939874"/>
          <c:h val="0.6595433789954338"/>
        </c:manualLayout>
      </c:layout>
      <c:lineChart>
        <c:grouping val="standard"/>
        <c:varyColors val="0"/>
        <c:ser>
          <c:idx val="0"/>
          <c:order val="0"/>
          <c:tx>
            <c:strRef>
              <c:f>Sheet1!$B$1</c:f>
              <c:strCache>
                <c:ptCount val="1"/>
                <c:pt idx="0">
                  <c:v>12 ամսյա գնաճ</c:v>
                </c:pt>
              </c:strCache>
            </c:strRef>
          </c:tx>
          <c:spPr>
            <a:ln w="31750" cap="rnd">
              <a:solidFill>
                <a:schemeClr val="accent1"/>
              </a:solidFill>
              <a:round/>
            </a:ln>
            <a:effectLst/>
          </c:spPr>
          <c:marker>
            <c:symbol val="circle"/>
            <c:size val="7"/>
            <c:spPr>
              <a:solidFill>
                <a:schemeClr val="accent1"/>
              </a:solidFill>
              <a:ln w="15875">
                <a:solidFill>
                  <a:schemeClr val="accent1"/>
                </a:solidFill>
                <a:round/>
              </a:ln>
              <a:effectLst/>
            </c:spPr>
          </c:marker>
          <c:dLbls>
            <c:dLbl>
              <c:idx val="1"/>
              <c:layout>
                <c:manualLayout>
                  <c:x val="-3.435360451067259E-2"/>
                  <c:y val="5.9032679738562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F5-47E2-BBA5-AA113BA8F774}"/>
                </c:ext>
              </c:extLst>
            </c:dLbl>
            <c:dLbl>
              <c:idx val="2"/>
              <c:layout>
                <c:manualLayout>
                  <c:x val="-3.3729359645589999E-2"/>
                  <c:y val="4.33464052287580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F5-47E2-BBA5-AA113BA8F77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General</c:formatCode>
                <c:ptCount val="5"/>
                <c:pt idx="0">
                  <c:v>2017</c:v>
                </c:pt>
                <c:pt idx="1">
                  <c:v>2018</c:v>
                </c:pt>
                <c:pt idx="2">
                  <c:v>2019</c:v>
                </c:pt>
                <c:pt idx="3">
                  <c:v>2020</c:v>
                </c:pt>
                <c:pt idx="4">
                  <c:v>2021</c:v>
                </c:pt>
              </c:numCache>
            </c:numRef>
          </c:cat>
          <c:val>
            <c:numRef>
              <c:f>Sheet1!$B$2:$B$8</c:f>
              <c:numCache>
                <c:formatCode>0.0</c:formatCode>
                <c:ptCount val="5"/>
                <c:pt idx="0">
                  <c:v>2.6391820853362873</c:v>
                </c:pt>
                <c:pt idx="1">
                  <c:v>1.7710353790077846</c:v>
                </c:pt>
                <c:pt idx="2">
                  <c:v>0.74073867036182184</c:v>
                </c:pt>
                <c:pt idx="3">
                  <c:v>2.5</c:v>
                </c:pt>
                <c:pt idx="4">
                  <c:v>1.7</c:v>
                </c:pt>
              </c:numCache>
            </c:numRef>
          </c:val>
          <c:smooth val="0"/>
          <c:extLst>
            <c:ext xmlns:c16="http://schemas.microsoft.com/office/drawing/2014/chart" uri="{C3380CC4-5D6E-409C-BE32-E72D297353CC}">
              <c16:uniqueId val="{00000002-AFF5-47E2-BBA5-AA113BA8F774}"/>
            </c:ext>
          </c:extLst>
        </c:ser>
        <c:ser>
          <c:idx val="1"/>
          <c:order val="1"/>
          <c:tx>
            <c:strRef>
              <c:f>Sheet1!$C$1</c:f>
              <c:strCache>
                <c:ptCount val="1"/>
                <c:pt idx="0">
                  <c:v>Միջին գնաճ</c:v>
                </c:pt>
              </c:strCache>
            </c:strRef>
          </c:tx>
          <c:spPr>
            <a:ln w="28575" cap="rnd">
              <a:solidFill>
                <a:srgbClr val="FF0000"/>
              </a:solidFill>
              <a:round/>
            </a:ln>
            <a:effectLst/>
          </c:spPr>
          <c:marker>
            <c:symbol val="square"/>
            <c:size val="7"/>
            <c:spPr>
              <a:solidFill>
                <a:srgbClr val="FF0000"/>
              </a:solidFill>
              <a:ln w="15875">
                <a:solidFill>
                  <a:srgbClr val="FF0000"/>
                </a:solidFill>
                <a:round/>
              </a:ln>
              <a:effectLst/>
            </c:spPr>
          </c:marker>
          <c:dLbls>
            <c:dLbl>
              <c:idx val="1"/>
              <c:layout>
                <c:manualLayout>
                  <c:x val="-3.3296494905514985E-2"/>
                  <c:y val="-5.90326797385622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F5-47E2-BBA5-AA113BA8F774}"/>
                </c:ext>
              </c:extLst>
            </c:dLbl>
            <c:dLbl>
              <c:idx val="2"/>
              <c:layout>
                <c:manualLayout>
                  <c:x val="-3.1735803463552259E-2"/>
                  <c:y val="-6.42614379084970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F5-47E2-BBA5-AA113BA8F774}"/>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Sheet1!$A$2:$A$8</c:f>
              <c:numCache>
                <c:formatCode>General</c:formatCode>
                <c:ptCount val="5"/>
                <c:pt idx="0">
                  <c:v>2017</c:v>
                </c:pt>
                <c:pt idx="1">
                  <c:v>2018</c:v>
                </c:pt>
                <c:pt idx="2">
                  <c:v>2019</c:v>
                </c:pt>
                <c:pt idx="3">
                  <c:v>2020</c:v>
                </c:pt>
                <c:pt idx="4">
                  <c:v>2021</c:v>
                </c:pt>
              </c:numCache>
            </c:numRef>
          </c:cat>
          <c:val>
            <c:numRef>
              <c:f>Sheet1!$C$2:$C$8</c:f>
              <c:numCache>
                <c:formatCode>0.0</c:formatCode>
                <c:ptCount val="5"/>
                <c:pt idx="0">
                  <c:v>0.9650508397638764</c:v>
                </c:pt>
                <c:pt idx="1">
                  <c:v>2.54906807309463</c:v>
                </c:pt>
                <c:pt idx="2">
                  <c:v>1.4309835696169277</c:v>
                </c:pt>
                <c:pt idx="3">
                  <c:v>1.5</c:v>
                </c:pt>
                <c:pt idx="4">
                  <c:v>1.9000000000000001</c:v>
                </c:pt>
              </c:numCache>
            </c:numRef>
          </c:val>
          <c:smooth val="0"/>
          <c:extLst>
            <c:ext xmlns:c16="http://schemas.microsoft.com/office/drawing/2014/chart" uri="{C3380CC4-5D6E-409C-BE32-E72D297353CC}">
              <c16:uniqueId val="{00000005-AFF5-47E2-BBA5-AA113BA8F774}"/>
            </c:ext>
          </c:extLst>
        </c:ser>
        <c:ser>
          <c:idx val="2"/>
          <c:order val="2"/>
          <c:tx>
            <c:strRef>
              <c:f>Sheet1!$D$1</c:f>
              <c:strCache>
                <c:ptCount val="1"/>
                <c:pt idx="0">
                  <c:v>Column2</c:v>
                </c:pt>
              </c:strCache>
            </c:strRef>
          </c:tx>
          <c:spPr>
            <a:ln w="19050" cap="rnd">
              <a:solidFill>
                <a:srgbClr val="C00000"/>
              </a:solidFill>
              <a:prstDash val="dash"/>
              <a:round/>
            </a:ln>
            <a:effectLst/>
          </c:spPr>
          <c:marker>
            <c:symbol val="none"/>
          </c:marker>
          <c:cat>
            <c:numRef>
              <c:f>Sheet1!$A$2:$A$8</c:f>
              <c:numCache>
                <c:formatCode>General</c:formatCode>
                <c:ptCount val="5"/>
                <c:pt idx="0">
                  <c:v>2017</c:v>
                </c:pt>
                <c:pt idx="1">
                  <c:v>2018</c:v>
                </c:pt>
                <c:pt idx="2">
                  <c:v>2019</c:v>
                </c:pt>
                <c:pt idx="3">
                  <c:v>2020</c:v>
                </c:pt>
                <c:pt idx="4">
                  <c:v>2021</c:v>
                </c:pt>
              </c:numCache>
            </c:numRef>
          </c:cat>
          <c:val>
            <c:numRef>
              <c:f>Sheet1!$D$2:$D$8</c:f>
              <c:numCache>
                <c:formatCode>General</c:formatCode>
                <c:ptCount val="5"/>
                <c:pt idx="0">
                  <c:v>4</c:v>
                </c:pt>
                <c:pt idx="1">
                  <c:v>4</c:v>
                </c:pt>
                <c:pt idx="2">
                  <c:v>4</c:v>
                </c:pt>
                <c:pt idx="3">
                  <c:v>4</c:v>
                </c:pt>
                <c:pt idx="4">
                  <c:v>4</c:v>
                </c:pt>
              </c:numCache>
            </c:numRef>
          </c:val>
          <c:smooth val="0"/>
          <c:extLst>
            <c:ext xmlns:c16="http://schemas.microsoft.com/office/drawing/2014/chart" uri="{C3380CC4-5D6E-409C-BE32-E72D297353CC}">
              <c16:uniqueId val="{00000006-AFF5-47E2-BBA5-AA113BA8F774}"/>
            </c:ext>
          </c:extLst>
        </c:ser>
        <c:ser>
          <c:idx val="3"/>
          <c:order val="3"/>
          <c:tx>
            <c:strRef>
              <c:f>Sheet1!$E$1</c:f>
              <c:strCache>
                <c:ptCount val="1"/>
                <c:pt idx="0">
                  <c:v>Column3</c:v>
                </c:pt>
              </c:strCache>
            </c:strRef>
          </c:tx>
          <c:spPr>
            <a:ln w="12700" cap="rnd">
              <a:solidFill>
                <a:schemeClr val="accent2"/>
              </a:solidFill>
              <a:prstDash val="sysDash"/>
              <a:round/>
            </a:ln>
            <a:effectLst/>
          </c:spPr>
          <c:marker>
            <c:symbol val="none"/>
          </c:marker>
          <c:cat>
            <c:numRef>
              <c:f>Sheet1!$A$2:$A$8</c:f>
              <c:numCache>
                <c:formatCode>General</c:formatCode>
                <c:ptCount val="5"/>
                <c:pt idx="0">
                  <c:v>2017</c:v>
                </c:pt>
                <c:pt idx="1">
                  <c:v>2018</c:v>
                </c:pt>
                <c:pt idx="2">
                  <c:v>2019</c:v>
                </c:pt>
                <c:pt idx="3">
                  <c:v>2020</c:v>
                </c:pt>
                <c:pt idx="4">
                  <c:v>2021</c:v>
                </c:pt>
              </c:numCache>
            </c:numRef>
          </c:cat>
          <c:val>
            <c:numRef>
              <c:f>Sheet1!$E$2:$E$8</c:f>
              <c:numCache>
                <c:formatCode>General</c:formatCode>
                <c:ptCount val="5"/>
                <c:pt idx="0">
                  <c:v>5.5</c:v>
                </c:pt>
                <c:pt idx="1">
                  <c:v>5.5</c:v>
                </c:pt>
                <c:pt idx="2">
                  <c:v>5.5</c:v>
                </c:pt>
                <c:pt idx="3">
                  <c:v>5.5</c:v>
                </c:pt>
                <c:pt idx="4">
                  <c:v>5.5</c:v>
                </c:pt>
              </c:numCache>
            </c:numRef>
          </c:val>
          <c:smooth val="0"/>
          <c:extLst>
            <c:ext xmlns:c16="http://schemas.microsoft.com/office/drawing/2014/chart" uri="{C3380CC4-5D6E-409C-BE32-E72D297353CC}">
              <c16:uniqueId val="{00000007-AFF5-47E2-BBA5-AA113BA8F774}"/>
            </c:ext>
          </c:extLst>
        </c:ser>
        <c:ser>
          <c:idx val="4"/>
          <c:order val="4"/>
          <c:tx>
            <c:strRef>
              <c:f>Sheet1!$F$1</c:f>
              <c:strCache>
                <c:ptCount val="1"/>
                <c:pt idx="0">
                  <c:v>Column4</c:v>
                </c:pt>
              </c:strCache>
            </c:strRef>
          </c:tx>
          <c:spPr>
            <a:ln w="15875" cap="rnd">
              <a:solidFill>
                <a:schemeClr val="accent2"/>
              </a:solidFill>
              <a:prstDash val="sysDash"/>
              <a:round/>
            </a:ln>
            <a:effectLst/>
          </c:spPr>
          <c:marker>
            <c:symbol val="none"/>
          </c:marker>
          <c:cat>
            <c:numRef>
              <c:f>Sheet1!$A$2:$A$8</c:f>
              <c:numCache>
                <c:formatCode>General</c:formatCode>
                <c:ptCount val="5"/>
                <c:pt idx="0">
                  <c:v>2017</c:v>
                </c:pt>
                <c:pt idx="1">
                  <c:v>2018</c:v>
                </c:pt>
                <c:pt idx="2">
                  <c:v>2019</c:v>
                </c:pt>
                <c:pt idx="3">
                  <c:v>2020</c:v>
                </c:pt>
                <c:pt idx="4">
                  <c:v>2021</c:v>
                </c:pt>
              </c:numCache>
            </c:numRef>
          </c:cat>
          <c:val>
            <c:numRef>
              <c:f>Sheet1!$F$2:$F$8</c:f>
              <c:numCache>
                <c:formatCode>General</c:formatCode>
                <c:ptCount val="5"/>
                <c:pt idx="0">
                  <c:v>2.5</c:v>
                </c:pt>
                <c:pt idx="1">
                  <c:v>2.5</c:v>
                </c:pt>
                <c:pt idx="2">
                  <c:v>2.5</c:v>
                </c:pt>
                <c:pt idx="3">
                  <c:v>2.5</c:v>
                </c:pt>
                <c:pt idx="4">
                  <c:v>2.5</c:v>
                </c:pt>
              </c:numCache>
            </c:numRef>
          </c:val>
          <c:smooth val="0"/>
          <c:extLst>
            <c:ext xmlns:c16="http://schemas.microsoft.com/office/drawing/2014/chart" uri="{C3380CC4-5D6E-409C-BE32-E72D297353CC}">
              <c16:uniqueId val="{00000008-AFF5-47E2-BBA5-AA113BA8F774}"/>
            </c:ext>
          </c:extLst>
        </c:ser>
        <c:dLbls>
          <c:showLegendKey val="0"/>
          <c:showVal val="0"/>
          <c:showCatName val="0"/>
          <c:showSerName val="0"/>
          <c:showPercent val="0"/>
          <c:showBubbleSize val="0"/>
        </c:dLbls>
        <c:marker val="1"/>
        <c:smooth val="0"/>
        <c:axId val="250792576"/>
        <c:axId val="250802560"/>
      </c:lineChart>
      <c:catAx>
        <c:axId val="25079257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50802560"/>
        <c:crosses val="autoZero"/>
        <c:auto val="1"/>
        <c:lblAlgn val="ctr"/>
        <c:lblOffset val="100"/>
        <c:noMultiLvlLbl val="0"/>
      </c:catAx>
      <c:valAx>
        <c:axId val="25080256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50792576"/>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legendEntry>
        <c:idx val="3"/>
        <c:delete val="1"/>
      </c:legendEntry>
      <c:legendEntry>
        <c:idx val="4"/>
        <c:delete val="1"/>
      </c:legendEntry>
      <c:layout>
        <c:manualLayout>
          <c:xMode val="edge"/>
          <c:yMode val="edge"/>
          <c:x val="0.30210629128467448"/>
          <c:y val="0.9088850537518427"/>
          <c:w val="0.39578741743065565"/>
          <c:h val="8.198252615683322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none" spc="0" normalizeH="0" baseline="0">
                <a:solidFill>
                  <a:schemeClr val="tx1"/>
                </a:solidFill>
                <a:latin typeface="GHEA Grapalat" panose="02000506050000020003" pitchFamily="50" charset="0"/>
                <a:ea typeface="+mj-ea"/>
                <a:cs typeface="+mj-cs"/>
              </a:defRPr>
            </a:pPr>
            <a:r>
              <a:rPr lang="hy-AM" sz="900" i="1"/>
              <a:t>Կարճաժամկետ տոկոսադրույքներ, </a:t>
            </a:r>
            <a:r>
              <a:rPr lang="en-US" sz="900" i="1"/>
              <a:t>%</a:t>
            </a:r>
          </a:p>
        </c:rich>
      </c:tx>
      <c:overlay val="0"/>
      <c:spPr>
        <a:noFill/>
        <a:ln>
          <a:noFill/>
        </a:ln>
        <a:effectLst/>
      </c:spPr>
    </c:title>
    <c:autoTitleDeleted val="0"/>
    <c:plotArea>
      <c:layout>
        <c:manualLayout>
          <c:layoutTarget val="inner"/>
          <c:xMode val="edge"/>
          <c:yMode val="edge"/>
          <c:x val="0.11873660719946239"/>
          <c:y val="0.19546619172603483"/>
          <c:w val="0.83697997895190634"/>
          <c:h val="0.34204632060829027"/>
        </c:manualLayout>
      </c:layout>
      <c:lineChart>
        <c:grouping val="standard"/>
        <c:varyColors val="0"/>
        <c:ser>
          <c:idx val="0"/>
          <c:order val="0"/>
          <c:tx>
            <c:strRef>
              <c:f>Sheet1!$B$1</c:f>
              <c:strCache>
                <c:ptCount val="1"/>
                <c:pt idx="0">
                  <c:v>ԿԲ վերաֆինանսավորման տոկոսադրույք</c:v>
                </c:pt>
              </c:strCache>
            </c:strRef>
          </c:tx>
          <c:spPr>
            <a:ln w="22225" cap="rnd">
              <a:solidFill>
                <a:schemeClr val="accent1"/>
              </a:solidFill>
              <a:round/>
            </a:ln>
            <a:effectLst/>
          </c:spPr>
          <c:marker>
            <c:symbol val="none"/>
          </c:marke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Sheet1!$B$2:$B$46</c:f>
              <c:numCache>
                <c:formatCode>0.0</c:formatCode>
                <c:ptCount val="45"/>
                <c:pt idx="0">
                  <c:v>6.25</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5.75</c:v>
                </c:pt>
                <c:pt idx="25">
                  <c:v>5.75</c:v>
                </c:pt>
                <c:pt idx="26">
                  <c:v>5.75</c:v>
                </c:pt>
                <c:pt idx="27">
                  <c:v>5.75</c:v>
                </c:pt>
                <c:pt idx="28">
                  <c:v>5.75</c:v>
                </c:pt>
                <c:pt idx="29">
                  <c:v>5.75</c:v>
                </c:pt>
                <c:pt idx="30">
                  <c:v>5.75</c:v>
                </c:pt>
                <c:pt idx="31">
                  <c:v>5.75</c:v>
                </c:pt>
                <c:pt idx="32">
                  <c:v>5.5</c:v>
                </c:pt>
                <c:pt idx="33">
                  <c:v>5.5</c:v>
                </c:pt>
                <c:pt idx="34">
                  <c:v>5.5</c:v>
                </c:pt>
                <c:pt idx="35">
                  <c:v>5.5</c:v>
                </c:pt>
                <c:pt idx="36">
                  <c:v>5.5</c:v>
                </c:pt>
                <c:pt idx="37">
                  <c:v>5.5</c:v>
                </c:pt>
                <c:pt idx="38">
                  <c:v>5.25</c:v>
                </c:pt>
                <c:pt idx="39">
                  <c:v>5</c:v>
                </c:pt>
                <c:pt idx="40">
                  <c:v>5</c:v>
                </c:pt>
                <c:pt idx="41">
                  <c:v>4.5</c:v>
                </c:pt>
                <c:pt idx="42">
                  <c:v>4.5</c:v>
                </c:pt>
                <c:pt idx="43">
                  <c:v>4.5</c:v>
                </c:pt>
                <c:pt idx="44">
                  <c:v>4.25</c:v>
                </c:pt>
              </c:numCache>
            </c:numRef>
          </c:val>
          <c:smooth val="0"/>
          <c:extLst>
            <c:ext xmlns:c16="http://schemas.microsoft.com/office/drawing/2014/chart" uri="{C3380CC4-5D6E-409C-BE32-E72D297353CC}">
              <c16:uniqueId val="{00000000-ED34-42D4-9197-2B2234532EE4}"/>
            </c:ext>
          </c:extLst>
        </c:ser>
        <c:ser>
          <c:idx val="1"/>
          <c:order val="1"/>
          <c:tx>
            <c:strRef>
              <c:f>Sheet1!$C$1</c:f>
              <c:strCache>
                <c:ptCount val="1"/>
                <c:pt idx="0">
                  <c:v>Միջբանկային ռեպո տոկոսադրույք </c:v>
                </c:pt>
              </c:strCache>
            </c:strRef>
          </c:tx>
          <c:spPr>
            <a:ln w="22225" cap="rnd">
              <a:solidFill>
                <a:schemeClr val="accent2"/>
              </a:solidFill>
              <a:round/>
            </a:ln>
            <a:effectLst/>
          </c:spPr>
          <c:marker>
            <c:symbol val="none"/>
          </c:marke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Sheet1!$C$2:$C$46</c:f>
              <c:numCache>
                <c:formatCode>0.0</c:formatCode>
                <c:ptCount val="45"/>
                <c:pt idx="0">
                  <c:v>6.02</c:v>
                </c:pt>
                <c:pt idx="1">
                  <c:v>6.1199999999999983</c:v>
                </c:pt>
                <c:pt idx="2">
                  <c:v>6.03</c:v>
                </c:pt>
                <c:pt idx="3">
                  <c:v>6.04</c:v>
                </c:pt>
                <c:pt idx="4">
                  <c:v>5.89</c:v>
                </c:pt>
                <c:pt idx="5">
                  <c:v>5.64</c:v>
                </c:pt>
                <c:pt idx="6">
                  <c:v>5.6</c:v>
                </c:pt>
                <c:pt idx="7">
                  <c:v>5.24</c:v>
                </c:pt>
                <c:pt idx="8">
                  <c:v>5.1899999999999995</c:v>
                </c:pt>
                <c:pt idx="9">
                  <c:v>5.7</c:v>
                </c:pt>
                <c:pt idx="10">
                  <c:v>5.8599999999999985</c:v>
                </c:pt>
                <c:pt idx="11">
                  <c:v>6.1199999999999983</c:v>
                </c:pt>
                <c:pt idx="12">
                  <c:v>6.03</c:v>
                </c:pt>
                <c:pt idx="13">
                  <c:v>5.85</c:v>
                </c:pt>
                <c:pt idx="14">
                  <c:v>5.99</c:v>
                </c:pt>
                <c:pt idx="15">
                  <c:v>5.9300000000000015</c:v>
                </c:pt>
                <c:pt idx="16">
                  <c:v>6.23</c:v>
                </c:pt>
                <c:pt idx="17">
                  <c:v>6.45</c:v>
                </c:pt>
                <c:pt idx="18">
                  <c:v>6.22</c:v>
                </c:pt>
                <c:pt idx="19">
                  <c:v>6.17</c:v>
                </c:pt>
                <c:pt idx="20">
                  <c:v>6.14</c:v>
                </c:pt>
                <c:pt idx="21">
                  <c:v>6.1</c:v>
                </c:pt>
                <c:pt idx="22">
                  <c:v>6.1599999999999984</c:v>
                </c:pt>
                <c:pt idx="23">
                  <c:v>6.22</c:v>
                </c:pt>
                <c:pt idx="24">
                  <c:v>6.1499999999999995</c:v>
                </c:pt>
                <c:pt idx="25">
                  <c:v>5.8</c:v>
                </c:pt>
                <c:pt idx="26">
                  <c:v>5.84</c:v>
                </c:pt>
                <c:pt idx="27">
                  <c:v>5.95</c:v>
                </c:pt>
                <c:pt idx="28">
                  <c:v>5.83</c:v>
                </c:pt>
                <c:pt idx="29">
                  <c:v>5.84</c:v>
                </c:pt>
                <c:pt idx="30">
                  <c:v>5.81</c:v>
                </c:pt>
                <c:pt idx="31">
                  <c:v>5.83</c:v>
                </c:pt>
                <c:pt idx="32">
                  <c:v>5.68</c:v>
                </c:pt>
                <c:pt idx="33">
                  <c:v>5.59</c:v>
                </c:pt>
                <c:pt idx="34">
                  <c:v>5.5</c:v>
                </c:pt>
                <c:pt idx="35">
                  <c:v>5.56</c:v>
                </c:pt>
                <c:pt idx="36">
                  <c:v>5.55</c:v>
                </c:pt>
                <c:pt idx="37">
                  <c:v>5.54</c:v>
                </c:pt>
                <c:pt idx="38">
                  <c:v>5.33</c:v>
                </c:pt>
                <c:pt idx="39">
                  <c:v>5.2700000000000014</c:v>
                </c:pt>
                <c:pt idx="40">
                  <c:v>5.1499999999999995</c:v>
                </c:pt>
                <c:pt idx="41">
                  <c:v>4.9000000000000004</c:v>
                </c:pt>
                <c:pt idx="42">
                  <c:v>4.5999999999999996</c:v>
                </c:pt>
                <c:pt idx="43">
                  <c:v>4.5999999999999996</c:v>
                </c:pt>
                <c:pt idx="44">
                  <c:v>4.3899999999999997</c:v>
                </c:pt>
              </c:numCache>
            </c:numRef>
          </c:val>
          <c:smooth val="0"/>
          <c:extLst>
            <c:ext xmlns:c16="http://schemas.microsoft.com/office/drawing/2014/chart" uri="{C3380CC4-5D6E-409C-BE32-E72D297353CC}">
              <c16:uniqueId val="{00000001-ED34-42D4-9197-2B2234532EE4}"/>
            </c:ext>
          </c:extLst>
        </c:ser>
        <c:ser>
          <c:idx val="2"/>
          <c:order val="2"/>
          <c:tx>
            <c:strRef>
              <c:f>Sheet1!$D$1</c:f>
              <c:strCache>
                <c:ptCount val="1"/>
                <c:pt idx="0">
                  <c:v>1 տարի ժ․կ․ ՊՊ եկամտ․</c:v>
                </c:pt>
              </c:strCache>
            </c:strRef>
          </c:tx>
          <c:spPr>
            <a:ln w="22225" cap="rnd">
              <a:solidFill>
                <a:schemeClr val="accent3"/>
              </a:solidFill>
              <a:round/>
            </a:ln>
            <a:effectLst/>
          </c:spPr>
          <c:marker>
            <c:symbol val="none"/>
          </c:marke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Sheet1!$D$2:$D$46</c:f>
              <c:numCache>
                <c:formatCode>0.0</c:formatCode>
                <c:ptCount val="45"/>
                <c:pt idx="0">
                  <c:v>7.8422000000000001</c:v>
                </c:pt>
                <c:pt idx="1">
                  <c:v>7.8104999999999984</c:v>
                </c:pt>
                <c:pt idx="2">
                  <c:v>7.1676999999999982</c:v>
                </c:pt>
                <c:pt idx="3">
                  <c:v>6.7956000000000003</c:v>
                </c:pt>
                <c:pt idx="4">
                  <c:v>6.7788000000000004</c:v>
                </c:pt>
                <c:pt idx="5">
                  <c:v>6.7080000000000002</c:v>
                </c:pt>
                <c:pt idx="6">
                  <c:v>6.6270999999999978</c:v>
                </c:pt>
                <c:pt idx="7">
                  <c:v>6.6393000000000004</c:v>
                </c:pt>
                <c:pt idx="8">
                  <c:v>6.5145999999999979</c:v>
                </c:pt>
                <c:pt idx="9">
                  <c:v>6.397599999999998</c:v>
                </c:pt>
                <c:pt idx="10">
                  <c:v>6.2988</c:v>
                </c:pt>
                <c:pt idx="11">
                  <c:v>6.2483000000000004</c:v>
                </c:pt>
                <c:pt idx="12">
                  <c:v>6.2997000000000014</c:v>
                </c:pt>
                <c:pt idx="13">
                  <c:v>6.2244999999999981</c:v>
                </c:pt>
                <c:pt idx="14">
                  <c:v>6.3673999999999982</c:v>
                </c:pt>
                <c:pt idx="15">
                  <c:v>6.478200000000002</c:v>
                </c:pt>
                <c:pt idx="16">
                  <c:v>6.5214999999999996</c:v>
                </c:pt>
                <c:pt idx="17">
                  <c:v>6.5461999999999998</c:v>
                </c:pt>
                <c:pt idx="18">
                  <c:v>6.5838999999999999</c:v>
                </c:pt>
                <c:pt idx="19">
                  <c:v>6.5258999999999983</c:v>
                </c:pt>
                <c:pt idx="20">
                  <c:v>6.6818</c:v>
                </c:pt>
                <c:pt idx="21">
                  <c:v>6.6275999999999975</c:v>
                </c:pt>
                <c:pt idx="22">
                  <c:v>6.6434999999999995</c:v>
                </c:pt>
                <c:pt idx="23">
                  <c:v>6.626599999999998</c:v>
                </c:pt>
                <c:pt idx="24">
                  <c:v>6.6568999999999985</c:v>
                </c:pt>
                <c:pt idx="25">
                  <c:v>6.5744999999999996</c:v>
                </c:pt>
                <c:pt idx="26">
                  <c:v>6.5628999999999982</c:v>
                </c:pt>
                <c:pt idx="27">
                  <c:v>6.4889000000000001</c:v>
                </c:pt>
                <c:pt idx="28">
                  <c:v>6.2850999999999999</c:v>
                </c:pt>
                <c:pt idx="29">
                  <c:v>6.2453000000000003</c:v>
                </c:pt>
                <c:pt idx="30">
                  <c:v>6.2606000000000002</c:v>
                </c:pt>
                <c:pt idx="31">
                  <c:v>6.2698999999999998</c:v>
                </c:pt>
                <c:pt idx="32">
                  <c:v>6.1853999999999996</c:v>
                </c:pt>
                <c:pt idx="33">
                  <c:v>6.0438999999999998</c:v>
                </c:pt>
                <c:pt idx="34">
                  <c:v>6.0017000000000014</c:v>
                </c:pt>
                <c:pt idx="35">
                  <c:v>5.9264000000000001</c:v>
                </c:pt>
                <c:pt idx="36">
                  <c:v>5.8770999999999995</c:v>
                </c:pt>
                <c:pt idx="37">
                  <c:v>5.7817000000000016</c:v>
                </c:pt>
                <c:pt idx="38">
                  <c:v>5.7742000000000004</c:v>
                </c:pt>
                <c:pt idx="39">
                  <c:v>5.8629999999999987</c:v>
                </c:pt>
                <c:pt idx="40">
                  <c:v>5.8614999999999995</c:v>
                </c:pt>
                <c:pt idx="41" formatCode="#,##0.0">
                  <c:v>5.471700000000002</c:v>
                </c:pt>
                <c:pt idx="42" formatCode="#,##0.0">
                  <c:v>5.6485196666666653</c:v>
                </c:pt>
                <c:pt idx="43">
                  <c:v>5.6142999999999983</c:v>
                </c:pt>
                <c:pt idx="44">
                  <c:v>5.5646999999999984</c:v>
                </c:pt>
              </c:numCache>
            </c:numRef>
          </c:val>
          <c:smooth val="0"/>
          <c:extLst>
            <c:ext xmlns:c16="http://schemas.microsoft.com/office/drawing/2014/chart" uri="{C3380CC4-5D6E-409C-BE32-E72D297353CC}">
              <c16:uniqueId val="{00000002-ED34-42D4-9197-2B2234532EE4}"/>
            </c:ext>
          </c:extLst>
        </c:ser>
        <c:dLbls>
          <c:showLegendKey val="0"/>
          <c:showVal val="0"/>
          <c:showCatName val="0"/>
          <c:showSerName val="0"/>
          <c:showPercent val="0"/>
          <c:showBubbleSize val="0"/>
        </c:dLbls>
        <c:smooth val="0"/>
        <c:axId val="250813440"/>
        <c:axId val="250827520"/>
      </c:lineChart>
      <c:catAx>
        <c:axId val="25081344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250827520"/>
        <c:crosses val="autoZero"/>
        <c:auto val="1"/>
        <c:lblAlgn val="ctr"/>
        <c:lblOffset val="100"/>
        <c:noMultiLvlLbl val="0"/>
      </c:catAx>
      <c:valAx>
        <c:axId val="250827520"/>
        <c:scaling>
          <c:orientation val="minMax"/>
          <c:min val="4"/>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25081344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5422546819328741E-2"/>
          <c:y val="0.77057094314875862"/>
          <c:w val="0.95318035426731051"/>
          <c:h val="0.2058509331557099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22187468485524"/>
          <c:y val="8.4670157857062181E-2"/>
          <c:w val="0.74419421398306151"/>
          <c:h val="0.53498227413516442"/>
        </c:manualLayout>
      </c:layout>
      <c:lineChart>
        <c:grouping val="standard"/>
        <c:varyColors val="0"/>
        <c:ser>
          <c:idx val="0"/>
          <c:order val="0"/>
          <c:tx>
            <c:strRef>
              <c:f>Sheet1!$B$1</c:f>
              <c:strCache>
                <c:ptCount val="1"/>
                <c:pt idx="0">
                  <c:v>Զարգացող երկրների արժույթ</c:v>
                </c:pt>
              </c:strCache>
            </c:strRef>
          </c:tx>
          <c:spPr>
            <a:ln w="28575" cap="rnd">
              <a:solidFill>
                <a:schemeClr val="accent1"/>
              </a:solidFill>
              <a:round/>
            </a:ln>
            <a:effectLst/>
          </c:spPr>
          <c:marker>
            <c:symbol val="none"/>
          </c:marker>
          <c:cat>
            <c:strRef>
              <c:f>Sheet1!$A$2:$A$469</c:f>
              <c:strCache>
                <c:ptCount val="458"/>
                <c:pt idx="0">
                  <c:v>1/8/2019</c:v>
                </c:pt>
                <c:pt idx="1">
                  <c:v>1/9/2019</c:v>
                </c:pt>
                <c:pt idx="2">
                  <c:v>1/10/2019</c:v>
                </c:pt>
                <c:pt idx="3">
                  <c:v>1/11/2019</c:v>
                </c:pt>
                <c:pt idx="4">
                  <c:v>1/14/2019</c:v>
                </c:pt>
                <c:pt idx="5">
                  <c:v>1/15/2019</c:v>
                </c:pt>
                <c:pt idx="6">
                  <c:v>1/16/2019</c:v>
                </c:pt>
                <c:pt idx="7">
                  <c:v>1/17/2019</c:v>
                </c:pt>
                <c:pt idx="8">
                  <c:v>1/18/2019</c:v>
                </c:pt>
                <c:pt idx="9">
                  <c:v>1/21/2019</c:v>
                </c:pt>
                <c:pt idx="10">
                  <c:v>1/22/2019</c:v>
                </c:pt>
                <c:pt idx="11">
                  <c:v>1/23/2019</c:v>
                </c:pt>
                <c:pt idx="12">
                  <c:v>1/24/2019</c:v>
                </c:pt>
                <c:pt idx="13">
                  <c:v>1/25/2019</c:v>
                </c:pt>
                <c:pt idx="14">
                  <c:v>1/29/2019</c:v>
                </c:pt>
                <c:pt idx="15">
                  <c:v>1/30/2019</c:v>
                </c:pt>
                <c:pt idx="16">
                  <c:v>1/31/2019</c:v>
                </c:pt>
                <c:pt idx="17">
                  <c:v>2/1/2019</c:v>
                </c:pt>
                <c:pt idx="18">
                  <c:v>2/4/2019</c:v>
                </c:pt>
                <c:pt idx="19">
                  <c:v>2/5/2019</c:v>
                </c:pt>
                <c:pt idx="20">
                  <c:v>2/6/2019</c:v>
                </c:pt>
                <c:pt idx="21">
                  <c:v>2/7/2019</c:v>
                </c:pt>
                <c:pt idx="22">
                  <c:v>2/8/2019</c:v>
                </c:pt>
                <c:pt idx="23">
                  <c:v>2/11/2019</c:v>
                </c:pt>
                <c:pt idx="24">
                  <c:v>2/12/2019</c:v>
                </c:pt>
                <c:pt idx="25">
                  <c:v>2/13/2019</c:v>
                </c:pt>
                <c:pt idx="26">
                  <c:v>2/14/2019</c:v>
                </c:pt>
                <c:pt idx="27">
                  <c:v>2/15/2019</c:v>
                </c:pt>
                <c:pt idx="28">
                  <c:v>2/18/2019</c:v>
                </c:pt>
                <c:pt idx="29">
                  <c:v>2/19/2019</c:v>
                </c:pt>
                <c:pt idx="30">
                  <c:v>2/20/2019</c:v>
                </c:pt>
                <c:pt idx="31">
                  <c:v>2/21/2019</c:v>
                </c:pt>
                <c:pt idx="32">
                  <c:v>2/22/2019</c:v>
                </c:pt>
                <c:pt idx="33">
                  <c:v>2/25/2019</c:v>
                </c:pt>
                <c:pt idx="34">
                  <c:v>2/26/2019</c:v>
                </c:pt>
                <c:pt idx="35">
                  <c:v>2/27/2019</c:v>
                </c:pt>
                <c:pt idx="36">
                  <c:v>2/28/2019</c:v>
                </c:pt>
                <c:pt idx="37">
                  <c:v>3/1/2019</c:v>
                </c:pt>
                <c:pt idx="38">
                  <c:v>3/4/2019</c:v>
                </c:pt>
                <c:pt idx="39">
                  <c:v>3/5/2019</c:v>
                </c:pt>
                <c:pt idx="40">
                  <c:v>3/6/2019</c:v>
                </c:pt>
                <c:pt idx="41">
                  <c:v>3/7/2019</c:v>
                </c:pt>
                <c:pt idx="42">
                  <c:v>3/11/2019</c:v>
                </c:pt>
                <c:pt idx="43">
                  <c:v>3/12/2019</c:v>
                </c:pt>
                <c:pt idx="44">
                  <c:v>3/13/2019</c:v>
                </c:pt>
                <c:pt idx="45">
                  <c:v>3/14/2019</c:v>
                </c:pt>
                <c:pt idx="46">
                  <c:v>3/15/2019</c:v>
                </c:pt>
                <c:pt idx="47">
                  <c:v>3/18/2019</c:v>
                </c:pt>
                <c:pt idx="48">
                  <c:v>3/19/2019</c:v>
                </c:pt>
                <c:pt idx="49">
                  <c:v>3/20/2019</c:v>
                </c:pt>
                <c:pt idx="50">
                  <c:v>3/21/2019</c:v>
                </c:pt>
                <c:pt idx="51">
                  <c:v>3/22/2019</c:v>
                </c:pt>
                <c:pt idx="52">
                  <c:v>3/25/2019</c:v>
                </c:pt>
                <c:pt idx="53">
                  <c:v>3/26/2019</c:v>
                </c:pt>
                <c:pt idx="54">
                  <c:v>3/27/2019</c:v>
                </c:pt>
                <c:pt idx="55">
                  <c:v>3/28/2019</c:v>
                </c:pt>
                <c:pt idx="56">
                  <c:v>3/29/2019</c:v>
                </c:pt>
                <c:pt idx="57">
                  <c:v>4/1/2019</c:v>
                </c:pt>
                <c:pt idx="58">
                  <c:v>4/2/2019</c:v>
                </c:pt>
                <c:pt idx="59">
                  <c:v>4/3/2019</c:v>
                </c:pt>
                <c:pt idx="60">
                  <c:v>4/4/2019</c:v>
                </c:pt>
                <c:pt idx="61">
                  <c:v>4/5/2019</c:v>
                </c:pt>
                <c:pt idx="62">
                  <c:v>4/8/2019</c:v>
                </c:pt>
                <c:pt idx="63">
                  <c:v>4/9/2019</c:v>
                </c:pt>
                <c:pt idx="64">
                  <c:v>4/10/2019</c:v>
                </c:pt>
                <c:pt idx="65">
                  <c:v>4/11/2019</c:v>
                </c:pt>
                <c:pt idx="66">
                  <c:v>4/12/2019</c:v>
                </c:pt>
                <c:pt idx="67">
                  <c:v>4/15/2019</c:v>
                </c:pt>
                <c:pt idx="68">
                  <c:v>4/16/2019</c:v>
                </c:pt>
                <c:pt idx="69">
                  <c:v>4/17/2019</c:v>
                </c:pt>
                <c:pt idx="70">
                  <c:v>4/18/2019</c:v>
                </c:pt>
                <c:pt idx="71">
                  <c:v>4/19/2019</c:v>
                </c:pt>
                <c:pt idx="72">
                  <c:v>4/22/2019</c:v>
                </c:pt>
                <c:pt idx="73">
                  <c:v>4/23/2019</c:v>
                </c:pt>
                <c:pt idx="74">
                  <c:v>4/25/2019</c:v>
                </c:pt>
                <c:pt idx="75">
                  <c:v>4/26/2019</c:v>
                </c:pt>
                <c:pt idx="76">
                  <c:v>4/29/2019</c:v>
                </c:pt>
                <c:pt idx="77">
                  <c:v>4/30/2019</c:v>
                </c:pt>
                <c:pt idx="78">
                  <c:v>5/2/2019</c:v>
                </c:pt>
                <c:pt idx="79">
                  <c:v>5/3/2019</c:v>
                </c:pt>
                <c:pt idx="80">
                  <c:v>5/6/2019</c:v>
                </c:pt>
                <c:pt idx="81">
                  <c:v>5/7/2019</c:v>
                </c:pt>
                <c:pt idx="82">
                  <c:v>5/8/2019</c:v>
                </c:pt>
                <c:pt idx="83">
                  <c:v>5/10/2019</c:v>
                </c:pt>
                <c:pt idx="84">
                  <c:v>5/13/2019</c:v>
                </c:pt>
                <c:pt idx="85">
                  <c:v>5/14/2019</c:v>
                </c:pt>
                <c:pt idx="86">
                  <c:v>5/15/2019</c:v>
                </c:pt>
                <c:pt idx="87">
                  <c:v>5/16/2019</c:v>
                </c:pt>
                <c:pt idx="88">
                  <c:v>5/17/2019</c:v>
                </c:pt>
                <c:pt idx="89">
                  <c:v>5/20/2019</c:v>
                </c:pt>
                <c:pt idx="90">
                  <c:v>5/21/2019</c:v>
                </c:pt>
                <c:pt idx="91">
                  <c:v>5/22/2019</c:v>
                </c:pt>
                <c:pt idx="92">
                  <c:v>5/23/2019</c:v>
                </c:pt>
                <c:pt idx="93">
                  <c:v>5/24/2019</c:v>
                </c:pt>
                <c:pt idx="94">
                  <c:v>5/27/2019</c:v>
                </c:pt>
                <c:pt idx="95">
                  <c:v>5/29/2019</c:v>
                </c:pt>
                <c:pt idx="96">
                  <c:v>5/30/2019</c:v>
                </c:pt>
                <c:pt idx="97">
                  <c:v>5/31/2019</c:v>
                </c:pt>
                <c:pt idx="98">
                  <c:v>6/3/2019</c:v>
                </c:pt>
                <c:pt idx="99">
                  <c:v>6/4/2019</c:v>
                </c:pt>
                <c:pt idx="100">
                  <c:v>6/5/2019</c:v>
                </c:pt>
                <c:pt idx="101">
                  <c:v>6/6/2019</c:v>
                </c:pt>
                <c:pt idx="102">
                  <c:v>6/7/2019</c:v>
                </c:pt>
                <c:pt idx="103">
                  <c:v>6/10/2019</c:v>
                </c:pt>
                <c:pt idx="104">
                  <c:v>6/11/2019</c:v>
                </c:pt>
                <c:pt idx="105">
                  <c:v>6/12/2019</c:v>
                </c:pt>
                <c:pt idx="106">
                  <c:v>6/13/2019</c:v>
                </c:pt>
                <c:pt idx="107">
                  <c:v>6/14/2019</c:v>
                </c:pt>
                <c:pt idx="108">
                  <c:v>6/17/2019</c:v>
                </c:pt>
                <c:pt idx="109">
                  <c:v>6/18/2019</c:v>
                </c:pt>
                <c:pt idx="110">
                  <c:v>6/19/2019</c:v>
                </c:pt>
                <c:pt idx="111">
                  <c:v>6/20/2019</c:v>
                </c:pt>
                <c:pt idx="112">
                  <c:v>6/21/2019</c:v>
                </c:pt>
                <c:pt idx="113">
                  <c:v>6/24/2019</c:v>
                </c:pt>
                <c:pt idx="114">
                  <c:v>6/25/2019</c:v>
                </c:pt>
                <c:pt idx="115">
                  <c:v>6/26/2019</c:v>
                </c:pt>
                <c:pt idx="116">
                  <c:v>6/27/2019</c:v>
                </c:pt>
                <c:pt idx="117">
                  <c:v>6/28/2019</c:v>
                </c:pt>
                <c:pt idx="118">
                  <c:v>7/1/2019</c:v>
                </c:pt>
                <c:pt idx="119">
                  <c:v>7/2/2019</c:v>
                </c:pt>
                <c:pt idx="120">
                  <c:v>7/3/2019</c:v>
                </c:pt>
                <c:pt idx="121">
                  <c:v>7/4/2019</c:v>
                </c:pt>
                <c:pt idx="122">
                  <c:v>7/8/2019</c:v>
                </c:pt>
                <c:pt idx="123">
                  <c:v>7/9/2019</c:v>
                </c:pt>
                <c:pt idx="124">
                  <c:v>7/10/2019</c:v>
                </c:pt>
                <c:pt idx="125">
                  <c:v>7/11/2019</c:v>
                </c:pt>
                <c:pt idx="126">
                  <c:v>7/12/2019</c:v>
                </c:pt>
                <c:pt idx="127">
                  <c:v>7/15/2019</c:v>
                </c:pt>
                <c:pt idx="128">
                  <c:v>7/16/2019</c:v>
                </c:pt>
                <c:pt idx="129">
                  <c:v>7/17/2019</c:v>
                </c:pt>
                <c:pt idx="130">
                  <c:v>7/18/2019</c:v>
                </c:pt>
                <c:pt idx="131">
                  <c:v>7/19/2019</c:v>
                </c:pt>
                <c:pt idx="132">
                  <c:v>7/22/2019</c:v>
                </c:pt>
                <c:pt idx="133">
                  <c:v>7/23/2019</c:v>
                </c:pt>
                <c:pt idx="134">
                  <c:v>7/24/2019</c:v>
                </c:pt>
                <c:pt idx="135">
                  <c:v>7/25/2019</c:v>
                </c:pt>
                <c:pt idx="136">
                  <c:v>7/26/2019</c:v>
                </c:pt>
                <c:pt idx="137">
                  <c:v>7/29/2019</c:v>
                </c:pt>
                <c:pt idx="138">
                  <c:v>7/30/2019</c:v>
                </c:pt>
                <c:pt idx="139">
                  <c:v>7/31/2019</c:v>
                </c:pt>
                <c:pt idx="140">
                  <c:v>8/1/2019</c:v>
                </c:pt>
                <c:pt idx="141">
                  <c:v>8/2/2019</c:v>
                </c:pt>
                <c:pt idx="142">
                  <c:v>8/5/2019</c:v>
                </c:pt>
                <c:pt idx="143">
                  <c:v>8/6/2019</c:v>
                </c:pt>
                <c:pt idx="144">
                  <c:v>8/7/2019</c:v>
                </c:pt>
                <c:pt idx="145">
                  <c:v>8/8/2019</c:v>
                </c:pt>
                <c:pt idx="146">
                  <c:v>8/9/2019</c:v>
                </c:pt>
                <c:pt idx="147">
                  <c:v>8/12/2019</c:v>
                </c:pt>
                <c:pt idx="148">
                  <c:v>8/13/2019</c:v>
                </c:pt>
                <c:pt idx="149">
                  <c:v>8/14/2019</c:v>
                </c:pt>
                <c:pt idx="150">
                  <c:v>8/15/2019</c:v>
                </c:pt>
                <c:pt idx="151">
                  <c:v>8/16/2019</c:v>
                </c:pt>
                <c:pt idx="152">
                  <c:v>8/19/2019</c:v>
                </c:pt>
                <c:pt idx="153">
                  <c:v>8/20/2019</c:v>
                </c:pt>
                <c:pt idx="154">
                  <c:v>8/21/2019</c:v>
                </c:pt>
                <c:pt idx="155">
                  <c:v>8/22/2019</c:v>
                </c:pt>
                <c:pt idx="156">
                  <c:v>8/23/2019</c:v>
                </c:pt>
                <c:pt idx="157">
                  <c:v>8/26/2019</c:v>
                </c:pt>
                <c:pt idx="158">
                  <c:v>8/27/2019</c:v>
                </c:pt>
                <c:pt idx="159">
                  <c:v>8/28/2019</c:v>
                </c:pt>
                <c:pt idx="160">
                  <c:v>8/29/2019</c:v>
                </c:pt>
                <c:pt idx="161">
                  <c:v>8/30/2019</c:v>
                </c:pt>
                <c:pt idx="162">
                  <c:v>9/2/2019</c:v>
                </c:pt>
                <c:pt idx="163">
                  <c:v>9/3/2019</c:v>
                </c:pt>
                <c:pt idx="164">
                  <c:v>9/4/2019</c:v>
                </c:pt>
                <c:pt idx="165">
                  <c:v>9/5/2019</c:v>
                </c:pt>
                <c:pt idx="166">
                  <c:v>9/6/2019</c:v>
                </c:pt>
                <c:pt idx="167">
                  <c:v>9/9/2019</c:v>
                </c:pt>
                <c:pt idx="168">
                  <c:v>9/10/2019</c:v>
                </c:pt>
                <c:pt idx="169">
                  <c:v>9/11/2019</c:v>
                </c:pt>
                <c:pt idx="170">
                  <c:v>9/12/2019</c:v>
                </c:pt>
                <c:pt idx="171">
                  <c:v>9/13/2019</c:v>
                </c:pt>
                <c:pt idx="172">
                  <c:v>9/16/2019</c:v>
                </c:pt>
                <c:pt idx="173">
                  <c:v>9/17/2019</c:v>
                </c:pt>
                <c:pt idx="174">
                  <c:v>9/18/2019</c:v>
                </c:pt>
                <c:pt idx="175">
                  <c:v>9/19/2019</c:v>
                </c:pt>
                <c:pt idx="176">
                  <c:v>9/20/2019</c:v>
                </c:pt>
                <c:pt idx="177">
                  <c:v>9/23/2019</c:v>
                </c:pt>
                <c:pt idx="178">
                  <c:v>9/24/2019</c:v>
                </c:pt>
                <c:pt idx="179">
                  <c:v>9/25/2019</c:v>
                </c:pt>
                <c:pt idx="180">
                  <c:v>9/26/2019</c:v>
                </c:pt>
                <c:pt idx="181">
                  <c:v>9/27/2019</c:v>
                </c:pt>
                <c:pt idx="182">
                  <c:v>9/30/2019</c:v>
                </c:pt>
                <c:pt idx="183">
                  <c:v>10/1/2019</c:v>
                </c:pt>
                <c:pt idx="184">
                  <c:v>10/2/2019</c:v>
                </c:pt>
                <c:pt idx="185">
                  <c:v>10/3/2019</c:v>
                </c:pt>
                <c:pt idx="186">
                  <c:v>10/4/2019</c:v>
                </c:pt>
                <c:pt idx="187">
                  <c:v>10/7/2019</c:v>
                </c:pt>
                <c:pt idx="188">
                  <c:v>10/8/2019</c:v>
                </c:pt>
                <c:pt idx="189">
                  <c:v>10/9/2019</c:v>
                </c:pt>
                <c:pt idx="190">
                  <c:v>10/10/2019</c:v>
                </c:pt>
                <c:pt idx="191">
                  <c:v>10/11/2019</c:v>
                </c:pt>
                <c:pt idx="192">
                  <c:v>10/14/2019</c:v>
                </c:pt>
                <c:pt idx="193">
                  <c:v>10/15/2019</c:v>
                </c:pt>
                <c:pt idx="194">
                  <c:v>10/16/2019</c:v>
                </c:pt>
                <c:pt idx="195">
                  <c:v>10/17/2019</c:v>
                </c:pt>
                <c:pt idx="196">
                  <c:v>10/18/2019</c:v>
                </c:pt>
                <c:pt idx="197">
                  <c:v>10/21/2019</c:v>
                </c:pt>
                <c:pt idx="198">
                  <c:v>10/22/2019</c:v>
                </c:pt>
                <c:pt idx="199">
                  <c:v>10/23/2019</c:v>
                </c:pt>
                <c:pt idx="200">
                  <c:v>10/24/2019</c:v>
                </c:pt>
                <c:pt idx="201">
                  <c:v>10/25/2019</c:v>
                </c:pt>
                <c:pt idx="202">
                  <c:v>10/28/2019</c:v>
                </c:pt>
                <c:pt idx="203">
                  <c:v>10/29/2019</c:v>
                </c:pt>
                <c:pt idx="204">
                  <c:v>10/30/2019</c:v>
                </c:pt>
                <c:pt idx="205">
                  <c:v>10/31/2019</c:v>
                </c:pt>
                <c:pt idx="206">
                  <c:v>11/1/2019</c:v>
                </c:pt>
                <c:pt idx="207">
                  <c:v>11/4/2019</c:v>
                </c:pt>
                <c:pt idx="208">
                  <c:v>11/5/2019</c:v>
                </c:pt>
                <c:pt idx="209">
                  <c:v>11/6/2019</c:v>
                </c:pt>
                <c:pt idx="210">
                  <c:v>11/7/2019</c:v>
                </c:pt>
                <c:pt idx="211">
                  <c:v>11/8/2019</c:v>
                </c:pt>
                <c:pt idx="212">
                  <c:v>11/11/2019</c:v>
                </c:pt>
                <c:pt idx="213">
                  <c:v>11/12/2019</c:v>
                </c:pt>
                <c:pt idx="214">
                  <c:v>11/13/2019</c:v>
                </c:pt>
                <c:pt idx="215">
                  <c:v>11/14/2019</c:v>
                </c:pt>
                <c:pt idx="216">
                  <c:v>11/15/2019</c:v>
                </c:pt>
                <c:pt idx="217">
                  <c:v>11/18/2019</c:v>
                </c:pt>
                <c:pt idx="218">
                  <c:v>11/19/2019</c:v>
                </c:pt>
                <c:pt idx="219">
                  <c:v>11/20/2019</c:v>
                </c:pt>
                <c:pt idx="220">
                  <c:v>11/21/2019</c:v>
                </c:pt>
                <c:pt idx="221">
                  <c:v>11/22/2019</c:v>
                </c:pt>
                <c:pt idx="222">
                  <c:v>11/25/2019</c:v>
                </c:pt>
                <c:pt idx="223">
                  <c:v>11/26/2019</c:v>
                </c:pt>
                <c:pt idx="224">
                  <c:v>11/27/2019</c:v>
                </c:pt>
                <c:pt idx="225">
                  <c:v>11/28/2019</c:v>
                </c:pt>
                <c:pt idx="226">
                  <c:v>11/29/2019</c:v>
                </c:pt>
                <c:pt idx="227">
                  <c:v>12/2/2019</c:v>
                </c:pt>
                <c:pt idx="228">
                  <c:v>12/3/2019</c:v>
                </c:pt>
                <c:pt idx="229">
                  <c:v>12/4/2019</c:v>
                </c:pt>
                <c:pt idx="230">
                  <c:v>12/5/2019</c:v>
                </c:pt>
                <c:pt idx="231">
                  <c:v>12/6/2019</c:v>
                </c:pt>
                <c:pt idx="232">
                  <c:v>12/9/2019</c:v>
                </c:pt>
                <c:pt idx="233">
                  <c:v>12/10/2019</c:v>
                </c:pt>
                <c:pt idx="234">
                  <c:v>12/11/2019</c:v>
                </c:pt>
                <c:pt idx="235">
                  <c:v>12/12/2019</c:v>
                </c:pt>
                <c:pt idx="236">
                  <c:v>12/13/2019</c:v>
                </c:pt>
                <c:pt idx="237">
                  <c:v>12/16/2019</c:v>
                </c:pt>
                <c:pt idx="238">
                  <c:v>12/17/2019</c:v>
                </c:pt>
                <c:pt idx="239">
                  <c:v>12/18/2019</c:v>
                </c:pt>
                <c:pt idx="240">
                  <c:v>12/19/2019</c:v>
                </c:pt>
                <c:pt idx="241">
                  <c:v>12/20/2019</c:v>
                </c:pt>
                <c:pt idx="242">
                  <c:v>12/23/2019</c:v>
                </c:pt>
                <c:pt idx="243">
                  <c:v>12/24/2019</c:v>
                </c:pt>
                <c:pt idx="244">
                  <c:v>12/25/2019</c:v>
                </c:pt>
                <c:pt idx="245">
                  <c:v>12/26/2019</c:v>
                </c:pt>
                <c:pt idx="246">
                  <c:v>12/27/2019</c:v>
                </c:pt>
                <c:pt idx="247">
                  <c:v>12/30/2019</c:v>
                </c:pt>
                <c:pt idx="248">
                  <c:v>8/1/2020</c:v>
                </c:pt>
                <c:pt idx="249">
                  <c:v>9/1/2020</c:v>
                </c:pt>
                <c:pt idx="250">
                  <c:v>10/1/2020</c:v>
                </c:pt>
                <c:pt idx="251">
                  <c:v>13/01/2020</c:v>
                </c:pt>
                <c:pt idx="252">
                  <c:v>14/01/2020</c:v>
                </c:pt>
                <c:pt idx="253">
                  <c:v>15/01/2020</c:v>
                </c:pt>
                <c:pt idx="254">
                  <c:v>16/01/2020</c:v>
                </c:pt>
                <c:pt idx="255">
                  <c:v>17/01/2020</c:v>
                </c:pt>
                <c:pt idx="256">
                  <c:v>20/01/2020</c:v>
                </c:pt>
                <c:pt idx="257">
                  <c:v>21/01/2020</c:v>
                </c:pt>
                <c:pt idx="258">
                  <c:v>22/01/2020</c:v>
                </c:pt>
                <c:pt idx="259">
                  <c:v>23/01/2020</c:v>
                </c:pt>
                <c:pt idx="260">
                  <c:v>24/01/2020</c:v>
                </c:pt>
                <c:pt idx="261">
                  <c:v>29/01/2020</c:v>
                </c:pt>
                <c:pt idx="262">
                  <c:v>30/01/2020</c:v>
                </c:pt>
                <c:pt idx="263">
                  <c:v>31/01/2020</c:v>
                </c:pt>
                <c:pt idx="264">
                  <c:v>1/2/2020</c:v>
                </c:pt>
                <c:pt idx="265">
                  <c:v>3/2/2020</c:v>
                </c:pt>
                <c:pt idx="266">
                  <c:v>4/2/2020</c:v>
                </c:pt>
                <c:pt idx="267">
                  <c:v>5/2/2020</c:v>
                </c:pt>
                <c:pt idx="268">
                  <c:v>6/2/2020</c:v>
                </c:pt>
                <c:pt idx="269">
                  <c:v>7/2/2020</c:v>
                </c:pt>
                <c:pt idx="270">
                  <c:v>10/2/2020</c:v>
                </c:pt>
                <c:pt idx="271">
                  <c:v>11/2/2020</c:v>
                </c:pt>
                <c:pt idx="272">
                  <c:v>12/2/2020</c:v>
                </c:pt>
                <c:pt idx="273">
                  <c:v>13/02/2020</c:v>
                </c:pt>
                <c:pt idx="274">
                  <c:v>14/02/2020</c:v>
                </c:pt>
                <c:pt idx="275">
                  <c:v>17/02/2020</c:v>
                </c:pt>
                <c:pt idx="276">
                  <c:v>18/02/2020</c:v>
                </c:pt>
                <c:pt idx="277">
                  <c:v>19/02/2020</c:v>
                </c:pt>
                <c:pt idx="278">
                  <c:v>20/02/2020</c:v>
                </c:pt>
                <c:pt idx="279">
                  <c:v>21/02/2020</c:v>
                </c:pt>
                <c:pt idx="280">
                  <c:v>24/02/2020</c:v>
                </c:pt>
                <c:pt idx="281">
                  <c:v>25/02/2020</c:v>
                </c:pt>
                <c:pt idx="282">
                  <c:v>26/02/2020</c:v>
                </c:pt>
                <c:pt idx="283">
                  <c:v>27/02/2020</c:v>
                </c:pt>
                <c:pt idx="284">
                  <c:v>28/02/2020</c:v>
                </c:pt>
                <c:pt idx="285">
                  <c:v>2/3/2020</c:v>
                </c:pt>
                <c:pt idx="286">
                  <c:v>3/3/2020</c:v>
                </c:pt>
                <c:pt idx="287">
                  <c:v>4/3/2020</c:v>
                </c:pt>
                <c:pt idx="288">
                  <c:v>5/3/2020</c:v>
                </c:pt>
                <c:pt idx="289">
                  <c:v>6/3/2020</c:v>
                </c:pt>
                <c:pt idx="290">
                  <c:v>9/3/2020</c:v>
                </c:pt>
                <c:pt idx="291">
                  <c:v>10/3/2020</c:v>
                </c:pt>
                <c:pt idx="292">
                  <c:v>11/3/2020</c:v>
                </c:pt>
                <c:pt idx="293">
                  <c:v>12/3/2020</c:v>
                </c:pt>
                <c:pt idx="294">
                  <c:v>13/03/2020</c:v>
                </c:pt>
                <c:pt idx="295">
                  <c:v>16/03/2020</c:v>
                </c:pt>
                <c:pt idx="296">
                  <c:v>17/03/2020</c:v>
                </c:pt>
                <c:pt idx="297">
                  <c:v>18/03/2020</c:v>
                </c:pt>
                <c:pt idx="298">
                  <c:v>19/03/2020</c:v>
                </c:pt>
                <c:pt idx="299">
                  <c:v>20/03/2020</c:v>
                </c:pt>
                <c:pt idx="300">
                  <c:v>23/03/2020</c:v>
                </c:pt>
                <c:pt idx="301">
                  <c:v>24/03/2020</c:v>
                </c:pt>
                <c:pt idx="302">
                  <c:v>25/03/2020</c:v>
                </c:pt>
                <c:pt idx="303">
                  <c:v>26/03/2020</c:v>
                </c:pt>
                <c:pt idx="304">
                  <c:v>27/03/2020</c:v>
                </c:pt>
                <c:pt idx="305">
                  <c:v>30/03/2020</c:v>
                </c:pt>
                <c:pt idx="306">
                  <c:v>31/03/2020</c:v>
                </c:pt>
                <c:pt idx="307">
                  <c:v>1/4/2020</c:v>
                </c:pt>
                <c:pt idx="308">
                  <c:v>2/4/2020</c:v>
                </c:pt>
                <c:pt idx="309">
                  <c:v>3/4/2020</c:v>
                </c:pt>
                <c:pt idx="310">
                  <c:v>6/4/2020</c:v>
                </c:pt>
                <c:pt idx="311">
                  <c:v>7/4/2020</c:v>
                </c:pt>
                <c:pt idx="312">
                  <c:v>8/4/2020</c:v>
                </c:pt>
                <c:pt idx="313">
                  <c:v>9/4/2020</c:v>
                </c:pt>
                <c:pt idx="314">
                  <c:v>10/4/2020</c:v>
                </c:pt>
                <c:pt idx="315">
                  <c:v>13/04/2020</c:v>
                </c:pt>
                <c:pt idx="316">
                  <c:v>14/04/2020</c:v>
                </c:pt>
                <c:pt idx="317">
                  <c:v>15/04/2020</c:v>
                </c:pt>
                <c:pt idx="318">
                  <c:v>16/04/2020</c:v>
                </c:pt>
                <c:pt idx="319">
                  <c:v>17/04/2020</c:v>
                </c:pt>
                <c:pt idx="320">
                  <c:v>20/04/2020</c:v>
                </c:pt>
                <c:pt idx="321">
                  <c:v>21/04/2020</c:v>
                </c:pt>
                <c:pt idx="322">
                  <c:v>22/04/2020</c:v>
                </c:pt>
                <c:pt idx="323">
                  <c:v>23/04/2020</c:v>
                </c:pt>
                <c:pt idx="324">
                  <c:v>27/04/2020</c:v>
                </c:pt>
                <c:pt idx="325">
                  <c:v>28/04/2020</c:v>
                </c:pt>
                <c:pt idx="326">
                  <c:v>29/04/2020</c:v>
                </c:pt>
                <c:pt idx="327">
                  <c:v>30/04/2020</c:v>
                </c:pt>
                <c:pt idx="328">
                  <c:v>4/5/2020</c:v>
                </c:pt>
                <c:pt idx="329">
                  <c:v>5/5/2020</c:v>
                </c:pt>
                <c:pt idx="330">
                  <c:v>6/5/2020</c:v>
                </c:pt>
                <c:pt idx="331">
                  <c:v>7/5/2020</c:v>
                </c:pt>
                <c:pt idx="332">
                  <c:v>8/5/2020</c:v>
                </c:pt>
                <c:pt idx="333">
                  <c:v>11/5/2020</c:v>
                </c:pt>
                <c:pt idx="334">
                  <c:v>12/5/2020</c:v>
                </c:pt>
                <c:pt idx="335">
                  <c:v>13/05/2020</c:v>
                </c:pt>
                <c:pt idx="336">
                  <c:v>14/05/2020</c:v>
                </c:pt>
                <c:pt idx="337">
                  <c:v>15/05/2020</c:v>
                </c:pt>
                <c:pt idx="338">
                  <c:v>18/05/2020</c:v>
                </c:pt>
                <c:pt idx="339">
                  <c:v>19/05/2020</c:v>
                </c:pt>
                <c:pt idx="340">
                  <c:v>20/05/2020</c:v>
                </c:pt>
                <c:pt idx="341">
                  <c:v>21/05/2020</c:v>
                </c:pt>
                <c:pt idx="342">
                  <c:v>22/05/2020</c:v>
                </c:pt>
                <c:pt idx="343">
                  <c:v>23/05/2020</c:v>
                </c:pt>
                <c:pt idx="344">
                  <c:v>25/05/2020</c:v>
                </c:pt>
                <c:pt idx="345">
                  <c:v>26/05/2020</c:v>
                </c:pt>
                <c:pt idx="346">
                  <c:v>27/05/2020</c:v>
                </c:pt>
                <c:pt idx="347">
                  <c:v>1/6/2020</c:v>
                </c:pt>
                <c:pt idx="348">
                  <c:v>2/6/2020</c:v>
                </c:pt>
                <c:pt idx="349">
                  <c:v>3/6/2020</c:v>
                </c:pt>
                <c:pt idx="350">
                  <c:v>4/6/2020</c:v>
                </c:pt>
                <c:pt idx="351">
                  <c:v>5/6/2020</c:v>
                </c:pt>
                <c:pt idx="352">
                  <c:v>8/6/2020</c:v>
                </c:pt>
                <c:pt idx="353">
                  <c:v>9/6/2020</c:v>
                </c:pt>
                <c:pt idx="354">
                  <c:v>10/6/2020</c:v>
                </c:pt>
                <c:pt idx="355">
                  <c:v>11/6/2020</c:v>
                </c:pt>
                <c:pt idx="356">
                  <c:v>12/6/2020</c:v>
                </c:pt>
                <c:pt idx="357">
                  <c:v>15/06/2020</c:v>
                </c:pt>
                <c:pt idx="358">
                  <c:v>16/06/2020</c:v>
                </c:pt>
                <c:pt idx="359">
                  <c:v>17/06/2020</c:v>
                </c:pt>
                <c:pt idx="360">
                  <c:v>18/06/2020</c:v>
                </c:pt>
                <c:pt idx="361">
                  <c:v>19/06/2020</c:v>
                </c:pt>
                <c:pt idx="362">
                  <c:v>22/06/2020</c:v>
                </c:pt>
                <c:pt idx="363">
                  <c:v>23/06/2020</c:v>
                </c:pt>
                <c:pt idx="364">
                  <c:v>24/06/2020</c:v>
                </c:pt>
                <c:pt idx="365">
                  <c:v>25/06/2020</c:v>
                </c:pt>
                <c:pt idx="366">
                  <c:v>26/06/2020</c:v>
                </c:pt>
                <c:pt idx="367">
                  <c:v>29/06/2020</c:v>
                </c:pt>
                <c:pt idx="368">
                  <c:v>30/06/2020</c:v>
                </c:pt>
                <c:pt idx="369">
                  <c:v>1/7/2020</c:v>
                </c:pt>
                <c:pt idx="370">
                  <c:v>2/7/2020</c:v>
                </c:pt>
                <c:pt idx="371">
                  <c:v>3/7/2020</c:v>
                </c:pt>
                <c:pt idx="372">
                  <c:v>6/7/2020</c:v>
                </c:pt>
                <c:pt idx="373">
                  <c:v>7/7/2020</c:v>
                </c:pt>
                <c:pt idx="374">
                  <c:v>8/7/2020</c:v>
                </c:pt>
                <c:pt idx="375">
                  <c:v>9/7/2020</c:v>
                </c:pt>
                <c:pt idx="376">
                  <c:v>10/7/2020</c:v>
                </c:pt>
                <c:pt idx="377">
                  <c:v>13/07/2020</c:v>
                </c:pt>
                <c:pt idx="378">
                  <c:v>14/07/2020</c:v>
                </c:pt>
                <c:pt idx="379">
                  <c:v>15/07/2020</c:v>
                </c:pt>
                <c:pt idx="380">
                  <c:v>16/07/2020</c:v>
                </c:pt>
                <c:pt idx="381">
                  <c:v>17/07/2020</c:v>
                </c:pt>
                <c:pt idx="382">
                  <c:v>20/07/2020</c:v>
                </c:pt>
                <c:pt idx="383">
                  <c:v>21/07/2020</c:v>
                </c:pt>
                <c:pt idx="384">
                  <c:v>22/07/2020</c:v>
                </c:pt>
                <c:pt idx="385">
                  <c:v>23/07/2020</c:v>
                </c:pt>
                <c:pt idx="386">
                  <c:v>24/07/2020</c:v>
                </c:pt>
                <c:pt idx="387">
                  <c:v>27/07/2020</c:v>
                </c:pt>
                <c:pt idx="388">
                  <c:v>28/07/2020</c:v>
                </c:pt>
                <c:pt idx="389">
                  <c:v>29/07/2020</c:v>
                </c:pt>
                <c:pt idx="390">
                  <c:v>30/07/2020</c:v>
                </c:pt>
                <c:pt idx="391">
                  <c:v>31/07/2020</c:v>
                </c:pt>
                <c:pt idx="392">
                  <c:v>3/8/2020</c:v>
                </c:pt>
                <c:pt idx="393">
                  <c:v>4/8/2020</c:v>
                </c:pt>
                <c:pt idx="394">
                  <c:v>5/8/2020</c:v>
                </c:pt>
                <c:pt idx="395">
                  <c:v>6/8/2020</c:v>
                </c:pt>
                <c:pt idx="396">
                  <c:v>7/8/2020</c:v>
                </c:pt>
                <c:pt idx="397">
                  <c:v>10/8/2020</c:v>
                </c:pt>
                <c:pt idx="398">
                  <c:v>11/8/2020</c:v>
                </c:pt>
                <c:pt idx="399">
                  <c:v>12/8/2020</c:v>
                </c:pt>
                <c:pt idx="400">
                  <c:v>13/08/2020</c:v>
                </c:pt>
                <c:pt idx="401">
                  <c:v>14/08/2020</c:v>
                </c:pt>
                <c:pt idx="402">
                  <c:v>17/08/2020</c:v>
                </c:pt>
                <c:pt idx="403">
                  <c:v>18/08/2020</c:v>
                </c:pt>
                <c:pt idx="404">
                  <c:v>19/08/2020</c:v>
                </c:pt>
                <c:pt idx="405">
                  <c:v>20/08/2020</c:v>
                </c:pt>
                <c:pt idx="406">
                  <c:v>21/08/2020</c:v>
                </c:pt>
                <c:pt idx="407">
                  <c:v>24/08/2020</c:v>
                </c:pt>
                <c:pt idx="408">
                  <c:v>25/08/2020</c:v>
                </c:pt>
                <c:pt idx="409">
                  <c:v>26/08/2020</c:v>
                </c:pt>
                <c:pt idx="410">
                  <c:v>27/08/2020</c:v>
                </c:pt>
                <c:pt idx="411">
                  <c:v>28/08/2020</c:v>
                </c:pt>
                <c:pt idx="412">
                  <c:v>31/08/2020</c:v>
                </c:pt>
                <c:pt idx="413">
                  <c:v>1/9/2020</c:v>
                </c:pt>
                <c:pt idx="414">
                  <c:v>2/9/2020</c:v>
                </c:pt>
                <c:pt idx="415">
                  <c:v>3/9/2020</c:v>
                </c:pt>
                <c:pt idx="416">
                  <c:v>4/9/2020</c:v>
                </c:pt>
                <c:pt idx="417">
                  <c:v>7/9/2020</c:v>
                </c:pt>
                <c:pt idx="418">
                  <c:v>8/9/2020</c:v>
                </c:pt>
                <c:pt idx="419">
                  <c:v>9/9/2020</c:v>
                </c:pt>
                <c:pt idx="420">
                  <c:v>10/9/2020</c:v>
                </c:pt>
                <c:pt idx="421">
                  <c:v>11/9/2020</c:v>
                </c:pt>
                <c:pt idx="422">
                  <c:v>14/09/2020</c:v>
                </c:pt>
                <c:pt idx="423">
                  <c:v>15/09/2020</c:v>
                </c:pt>
                <c:pt idx="424">
                  <c:v>16/09/2020</c:v>
                </c:pt>
                <c:pt idx="425">
                  <c:v>17/09/2020</c:v>
                </c:pt>
                <c:pt idx="426">
                  <c:v>18/09/2020</c:v>
                </c:pt>
                <c:pt idx="427">
                  <c:v>22/09/2020</c:v>
                </c:pt>
                <c:pt idx="428">
                  <c:v>23/09/2020</c:v>
                </c:pt>
                <c:pt idx="429">
                  <c:v>24/09/2020</c:v>
                </c:pt>
                <c:pt idx="430">
                  <c:v>25/09/2020</c:v>
                </c:pt>
                <c:pt idx="431">
                  <c:v>28/09/2020</c:v>
                </c:pt>
                <c:pt idx="432">
                  <c:v>29/09/2020</c:v>
                </c:pt>
                <c:pt idx="433">
                  <c:v>30/09/2020</c:v>
                </c:pt>
                <c:pt idx="434">
                  <c:v>1/10/2020</c:v>
                </c:pt>
                <c:pt idx="435">
                  <c:v>2/10/2020</c:v>
                </c:pt>
                <c:pt idx="436">
                  <c:v>5/10/2020</c:v>
                </c:pt>
                <c:pt idx="437">
                  <c:v>6/10/2020</c:v>
                </c:pt>
                <c:pt idx="438">
                  <c:v>7/10/2020</c:v>
                </c:pt>
                <c:pt idx="439">
                  <c:v>8/10/2020</c:v>
                </c:pt>
                <c:pt idx="440">
                  <c:v>9/10/2020</c:v>
                </c:pt>
                <c:pt idx="441">
                  <c:v>12/10/2020</c:v>
                </c:pt>
                <c:pt idx="442">
                  <c:v>13/10/2020</c:v>
                </c:pt>
                <c:pt idx="443">
                  <c:v>14/10/2020</c:v>
                </c:pt>
                <c:pt idx="444">
                  <c:v>15/10/2020</c:v>
                </c:pt>
                <c:pt idx="445">
                  <c:v>16/10/2020</c:v>
                </c:pt>
                <c:pt idx="446">
                  <c:v>19/10/2020</c:v>
                </c:pt>
                <c:pt idx="447">
                  <c:v>20/10/2020</c:v>
                </c:pt>
                <c:pt idx="448">
                  <c:v>21/10/2020</c:v>
                </c:pt>
                <c:pt idx="449">
                  <c:v>22/10/2020</c:v>
                </c:pt>
                <c:pt idx="450">
                  <c:v>23/10/2020</c:v>
                </c:pt>
                <c:pt idx="451">
                  <c:v>26/10/2020</c:v>
                </c:pt>
                <c:pt idx="452">
                  <c:v>27/10/2020</c:v>
                </c:pt>
                <c:pt idx="453">
                  <c:v>28/10/2020</c:v>
                </c:pt>
                <c:pt idx="454">
                  <c:v>29/10/2020</c:v>
                </c:pt>
                <c:pt idx="455">
                  <c:v>30/10/2020</c:v>
                </c:pt>
                <c:pt idx="456">
                  <c:v>2/11/2020</c:v>
                </c:pt>
                <c:pt idx="457">
                  <c:v>3/11/2020</c:v>
                </c:pt>
              </c:strCache>
            </c:strRef>
          </c:cat>
          <c:val>
            <c:numRef>
              <c:f>Sheet1!$B$2:$B$469</c:f>
              <c:numCache>
                <c:formatCode>0</c:formatCode>
                <c:ptCount val="458"/>
                <c:pt idx="0">
                  <c:v>100</c:v>
                </c:pt>
                <c:pt idx="1">
                  <c:v>99.507342491710091</c:v>
                </c:pt>
                <c:pt idx="2">
                  <c:v>99.366130558183514</c:v>
                </c:pt>
                <c:pt idx="3">
                  <c:v>99.496344948450357</c:v>
                </c:pt>
                <c:pt idx="4">
                  <c:v>99.373965150201059</c:v>
                </c:pt>
                <c:pt idx="5">
                  <c:v>99.664716115767817</c:v>
                </c:pt>
                <c:pt idx="6">
                  <c:v>99.300368724591038</c:v>
                </c:pt>
                <c:pt idx="7">
                  <c:v>99.339502183268451</c:v>
                </c:pt>
                <c:pt idx="8">
                  <c:v>99.479068005304043</c:v>
                </c:pt>
                <c:pt idx="9">
                  <c:v>99.712025316455637</c:v>
                </c:pt>
                <c:pt idx="10">
                  <c:v>99.832076547747278</c:v>
                </c:pt>
                <c:pt idx="11">
                  <c:v>99.488491048593332</c:v>
                </c:pt>
                <c:pt idx="12">
                  <c:v>99.23781928128254</c:v>
                </c:pt>
                <c:pt idx="13">
                  <c:v>99.02107132194655</c:v>
                </c:pt>
                <c:pt idx="14">
                  <c:v>98.927803331187903</c:v>
                </c:pt>
                <c:pt idx="15">
                  <c:v>98.293611180434254</c:v>
                </c:pt>
                <c:pt idx="16">
                  <c:v>98.01994058266321</c:v>
                </c:pt>
                <c:pt idx="17">
                  <c:v>98.18334787485972</c:v>
                </c:pt>
                <c:pt idx="18">
                  <c:v>98.275216767512973</c:v>
                </c:pt>
                <c:pt idx="19">
                  <c:v>98.258361269197792</c:v>
                </c:pt>
                <c:pt idx="20">
                  <c:v>98.706221414698334</c:v>
                </c:pt>
                <c:pt idx="21">
                  <c:v>98.938675542437281</c:v>
                </c:pt>
                <c:pt idx="22">
                  <c:v>98.844012234334556</c:v>
                </c:pt>
                <c:pt idx="23">
                  <c:v>99.403747870528065</c:v>
                </c:pt>
                <c:pt idx="24">
                  <c:v>98.811465127947827</c:v>
                </c:pt>
                <c:pt idx="25">
                  <c:v>99.623751106614321</c:v>
                </c:pt>
                <c:pt idx="26">
                  <c:v>99.697827840972025</c:v>
                </c:pt>
                <c:pt idx="27">
                  <c:v>99.362997067263706</c:v>
                </c:pt>
                <c:pt idx="28">
                  <c:v>99.579672587067819</c:v>
                </c:pt>
                <c:pt idx="29">
                  <c:v>98.961981186890483</c:v>
                </c:pt>
                <c:pt idx="30">
                  <c:v>98.941782327450824</c:v>
                </c:pt>
                <c:pt idx="31">
                  <c:v>99.23469387755101</c:v>
                </c:pt>
                <c:pt idx="32">
                  <c:v>98.932462557694066</c:v>
                </c:pt>
                <c:pt idx="33">
                  <c:v>98.792876403085202</c:v>
                </c:pt>
                <c:pt idx="34">
                  <c:v>98.741793453565464</c:v>
                </c:pt>
                <c:pt idx="35">
                  <c:v>98.741793453565464</c:v>
                </c:pt>
                <c:pt idx="36">
                  <c:v>99.08490566037743</c:v>
                </c:pt>
                <c:pt idx="37">
                  <c:v>99.480638388558248</c:v>
                </c:pt>
                <c:pt idx="38">
                  <c:v>99.469646746851012</c:v>
                </c:pt>
                <c:pt idx="39">
                  <c:v>99.460227272727295</c:v>
                </c:pt>
                <c:pt idx="40">
                  <c:v>99.704137330907372</c:v>
                </c:pt>
                <c:pt idx="41">
                  <c:v>100.58417927600077</c:v>
                </c:pt>
                <c:pt idx="42">
                  <c:v>99.893794087342499</c:v>
                </c:pt>
                <c:pt idx="43">
                  <c:v>99.790973871733968</c:v>
                </c:pt>
                <c:pt idx="44">
                  <c:v>99.710447619499689</c:v>
                </c:pt>
                <c:pt idx="45">
                  <c:v>99.863717038539505</c:v>
                </c:pt>
                <c:pt idx="46">
                  <c:v>99.44139367544031</c:v>
                </c:pt>
                <c:pt idx="47">
                  <c:v>99.100487498034255</c:v>
                </c:pt>
                <c:pt idx="48">
                  <c:v>99.217507675352337</c:v>
                </c:pt>
                <c:pt idx="49">
                  <c:v>98.374935606238012</c:v>
                </c:pt>
                <c:pt idx="50">
                  <c:v>98.844012234334556</c:v>
                </c:pt>
                <c:pt idx="51">
                  <c:v>100.42709163346611</c:v>
                </c:pt>
                <c:pt idx="52">
                  <c:v>99.674174364165509</c:v>
                </c:pt>
                <c:pt idx="53">
                  <c:v>99.754642014784736</c:v>
                </c:pt>
                <c:pt idx="54">
                  <c:v>100.41588986089202</c:v>
                </c:pt>
                <c:pt idx="55">
                  <c:v>100.66290752839321</c:v>
                </c:pt>
                <c:pt idx="56">
                  <c:v>100.78042539581004</c:v>
                </c:pt>
                <c:pt idx="57">
                  <c:v>100.02698369867146</c:v>
                </c:pt>
                <c:pt idx="58">
                  <c:v>100.04127508255017</c:v>
                </c:pt>
                <c:pt idx="59">
                  <c:v>99.922304850397182</c:v>
                </c:pt>
                <c:pt idx="60">
                  <c:v>99.876378851274183</c:v>
                </c:pt>
                <c:pt idx="61">
                  <c:v>99.922304850397182</c:v>
                </c:pt>
                <c:pt idx="62">
                  <c:v>99.838403041825103</c:v>
                </c:pt>
                <c:pt idx="63">
                  <c:v>99.800456100342075</c:v>
                </c:pt>
                <c:pt idx="64">
                  <c:v>99.391205602170231</c:v>
                </c:pt>
                <c:pt idx="65">
                  <c:v>99.735696763472347</c:v>
                </c:pt>
                <c:pt idx="66">
                  <c:v>99.735696763472347</c:v>
                </c:pt>
                <c:pt idx="67">
                  <c:v>99.783073390863748</c:v>
                </c:pt>
                <c:pt idx="68">
                  <c:v>99.784653386958865</c:v>
                </c:pt>
                <c:pt idx="69">
                  <c:v>99.773594464938824</c:v>
                </c:pt>
                <c:pt idx="70">
                  <c:v>99.909631391200946</c:v>
                </c:pt>
                <c:pt idx="71">
                  <c:v>99.901712111604269</c:v>
                </c:pt>
                <c:pt idx="72">
                  <c:v>100.10961254348756</c:v>
                </c:pt>
                <c:pt idx="73">
                  <c:v>100.43029259896733</c:v>
                </c:pt>
                <c:pt idx="74">
                  <c:v>101.16872692245941</c:v>
                </c:pt>
                <c:pt idx="75">
                  <c:v>101.01790551913182</c:v>
                </c:pt>
                <c:pt idx="76">
                  <c:v>101.08920579412569</c:v>
                </c:pt>
                <c:pt idx="77">
                  <c:v>100.90791180285341</c:v>
                </c:pt>
                <c:pt idx="78">
                  <c:v>101.4831634378473</c:v>
                </c:pt>
                <c:pt idx="79">
                  <c:v>100.95964369823297</c:v>
                </c:pt>
                <c:pt idx="80">
                  <c:v>101.48806647985313</c:v>
                </c:pt>
                <c:pt idx="81">
                  <c:v>101.82752435891224</c:v>
                </c:pt>
                <c:pt idx="82">
                  <c:v>101.82423370873661</c:v>
                </c:pt>
                <c:pt idx="83">
                  <c:v>101.53385106177296</c:v>
                </c:pt>
                <c:pt idx="84">
                  <c:v>102.20240025948749</c:v>
                </c:pt>
                <c:pt idx="85">
                  <c:v>102.05509400961958</c:v>
                </c:pt>
                <c:pt idx="86">
                  <c:v>101.98077483250796</c:v>
                </c:pt>
                <c:pt idx="87">
                  <c:v>102.39503444689976</c:v>
                </c:pt>
                <c:pt idx="88">
                  <c:v>102.83616187989556</c:v>
                </c:pt>
                <c:pt idx="89">
                  <c:v>102.51663385986889</c:v>
                </c:pt>
                <c:pt idx="90">
                  <c:v>102.38338938441291</c:v>
                </c:pt>
                <c:pt idx="91">
                  <c:v>102.45329951714383</c:v>
                </c:pt>
                <c:pt idx="92">
                  <c:v>102.62347940788507</c:v>
                </c:pt>
                <c:pt idx="93">
                  <c:v>102.18748479787251</c:v>
                </c:pt>
                <c:pt idx="94">
                  <c:v>102.41833252072156</c:v>
                </c:pt>
                <c:pt idx="95">
                  <c:v>102.57002880906265</c:v>
                </c:pt>
                <c:pt idx="96">
                  <c:v>102.85798227430753</c:v>
                </c:pt>
                <c:pt idx="97">
                  <c:v>102.45329951714383</c:v>
                </c:pt>
                <c:pt idx="98">
                  <c:v>101.9890271731214</c:v>
                </c:pt>
                <c:pt idx="99">
                  <c:v>101.61079669133653</c:v>
                </c:pt>
                <c:pt idx="100">
                  <c:v>101.89667717681297</c:v>
                </c:pt>
                <c:pt idx="101">
                  <c:v>101.92304581992268</c:v>
                </c:pt>
                <c:pt idx="102">
                  <c:v>101.8143630341708</c:v>
                </c:pt>
                <c:pt idx="103">
                  <c:v>101.53385106177296</c:v>
                </c:pt>
                <c:pt idx="104">
                  <c:v>101.18497109826588</c:v>
                </c:pt>
                <c:pt idx="105">
                  <c:v>101.58458934472475</c:v>
                </c:pt>
                <c:pt idx="106">
                  <c:v>101.70427035925246</c:v>
                </c:pt>
                <c:pt idx="107">
                  <c:v>101.94118217994762</c:v>
                </c:pt>
                <c:pt idx="108">
                  <c:v>101.89997251103598</c:v>
                </c:pt>
                <c:pt idx="109">
                  <c:v>101.37378547069039</c:v>
                </c:pt>
                <c:pt idx="110">
                  <c:v>100.78687266097303</c:v>
                </c:pt>
                <c:pt idx="111">
                  <c:v>100.47512755102041</c:v>
                </c:pt>
                <c:pt idx="112">
                  <c:v>100.52160597214912</c:v>
                </c:pt>
                <c:pt idx="113">
                  <c:v>100.39029519060742</c:v>
                </c:pt>
                <c:pt idx="114">
                  <c:v>100.61951141625416</c:v>
                </c:pt>
                <c:pt idx="115">
                  <c:v>100.36950912623833</c:v>
                </c:pt>
                <c:pt idx="116">
                  <c:v>100.27687607408816</c:v>
                </c:pt>
                <c:pt idx="117">
                  <c:v>100.24656793344256</c:v>
                </c:pt>
                <c:pt idx="118">
                  <c:v>100.13824665109405</c:v>
                </c:pt>
                <c:pt idx="119">
                  <c:v>100.11915542633812</c:v>
                </c:pt>
                <c:pt idx="120">
                  <c:v>99.889043875221887</c:v>
                </c:pt>
                <c:pt idx="121">
                  <c:v>99.794134414391593</c:v>
                </c:pt>
                <c:pt idx="122">
                  <c:v>100.41428981165751</c:v>
                </c:pt>
                <c:pt idx="123">
                  <c:v>100.5761527044065</c:v>
                </c:pt>
                <c:pt idx="124">
                  <c:v>99.838403041825103</c:v>
                </c:pt>
                <c:pt idx="125">
                  <c:v>99.768855677284506</c:v>
                </c:pt>
                <c:pt idx="126">
                  <c:v>99.754642014784736</c:v>
                </c:pt>
                <c:pt idx="127">
                  <c:v>99.680480860487137</c:v>
                </c:pt>
                <c:pt idx="128">
                  <c:v>100.04921650499313</c:v>
                </c:pt>
                <c:pt idx="129">
                  <c:v>99.963515807173124</c:v>
                </c:pt>
                <c:pt idx="130">
                  <c:v>99.56865905104992</c:v>
                </c:pt>
                <c:pt idx="131">
                  <c:v>99.949246629659044</c:v>
                </c:pt>
                <c:pt idx="132">
                  <c:v>100.03492285224458</c:v>
                </c:pt>
                <c:pt idx="133">
                  <c:v>100.4334937685271</c:v>
                </c:pt>
                <c:pt idx="134">
                  <c:v>100.27687607408816</c:v>
                </c:pt>
                <c:pt idx="135">
                  <c:v>100.53603905427396</c:v>
                </c:pt>
                <c:pt idx="136">
                  <c:v>100.61951141625416</c:v>
                </c:pt>
                <c:pt idx="137">
                  <c:v>100.51358938369276</c:v>
                </c:pt>
                <c:pt idx="138">
                  <c:v>100.52481296559206</c:v>
                </c:pt>
                <c:pt idx="139">
                  <c:v>101.01952486294127</c:v>
                </c:pt>
                <c:pt idx="140">
                  <c:v>101.64193548387099</c:v>
                </c:pt>
                <c:pt idx="141">
                  <c:v>102.0980833724867</c:v>
                </c:pt>
                <c:pt idx="142">
                  <c:v>102.98573319605821</c:v>
                </c:pt>
                <c:pt idx="143">
                  <c:v>102.87645291889771</c:v>
                </c:pt>
                <c:pt idx="144">
                  <c:v>102.8193832599119</c:v>
                </c:pt>
                <c:pt idx="145">
                  <c:v>102.42332634453165</c:v>
                </c:pt>
                <c:pt idx="146">
                  <c:v>102.78248956158662</c:v>
                </c:pt>
                <c:pt idx="147">
                  <c:v>103.22696894247147</c:v>
                </c:pt>
                <c:pt idx="148">
                  <c:v>102.63183609654403</c:v>
                </c:pt>
                <c:pt idx="149">
                  <c:v>103.60201884031763</c:v>
                </c:pt>
                <c:pt idx="150">
                  <c:v>103.37089710152054</c:v>
                </c:pt>
                <c:pt idx="151">
                  <c:v>103.44555885684268</c:v>
                </c:pt>
                <c:pt idx="152">
                  <c:v>104.22917252443725</c:v>
                </c:pt>
                <c:pt idx="153">
                  <c:v>103.98838302998301</c:v>
                </c:pt>
                <c:pt idx="154">
                  <c:v>103.88895299955483</c:v>
                </c:pt>
                <c:pt idx="155">
                  <c:v>104.28091542420285</c:v>
                </c:pt>
                <c:pt idx="156">
                  <c:v>104.64282156022716</c:v>
                </c:pt>
                <c:pt idx="157">
                  <c:v>104.97051670719925</c:v>
                </c:pt>
                <c:pt idx="158">
                  <c:v>105.08254127063529</c:v>
                </c:pt>
                <c:pt idx="159">
                  <c:v>105.4130005687331</c:v>
                </c:pt>
                <c:pt idx="160">
                  <c:v>105.30027069478328</c:v>
                </c:pt>
                <c:pt idx="161">
                  <c:v>105.18075908802615</c:v>
                </c:pt>
                <c:pt idx="162">
                  <c:v>105.60732001608793</c:v>
                </c:pt>
                <c:pt idx="163">
                  <c:v>105.17549276499153</c:v>
                </c:pt>
                <c:pt idx="164">
                  <c:v>104.1740366653993</c:v>
                </c:pt>
                <c:pt idx="165">
                  <c:v>104.14132734003174</c:v>
                </c:pt>
                <c:pt idx="166">
                  <c:v>103.74016396141316</c:v>
                </c:pt>
                <c:pt idx="167">
                  <c:v>103.95922003365337</c:v>
                </c:pt>
                <c:pt idx="168">
                  <c:v>103.81365006671831</c:v>
                </c:pt>
                <c:pt idx="169">
                  <c:v>103.6446169533897</c:v>
                </c:pt>
                <c:pt idx="170">
                  <c:v>103.03961804476856</c:v>
                </c:pt>
                <c:pt idx="171">
                  <c:v>103.03793328973188</c:v>
                </c:pt>
                <c:pt idx="172">
                  <c:v>103.48972788333634</c:v>
                </c:pt>
                <c:pt idx="173">
                  <c:v>103.45744680851064</c:v>
                </c:pt>
                <c:pt idx="174">
                  <c:v>103.56796555294427</c:v>
                </c:pt>
                <c:pt idx="175">
                  <c:v>103.61735012660725</c:v>
                </c:pt>
                <c:pt idx="176">
                  <c:v>103.92150395778364</c:v>
                </c:pt>
                <c:pt idx="177">
                  <c:v>104.00382888830212</c:v>
                </c:pt>
                <c:pt idx="178">
                  <c:v>103.95750507266698</c:v>
                </c:pt>
                <c:pt idx="179">
                  <c:v>104.16714878423727</c:v>
                </c:pt>
                <c:pt idx="180">
                  <c:v>104.35171385991059</c:v>
                </c:pt>
                <c:pt idx="181">
                  <c:v>104.40876783140313</c:v>
                </c:pt>
                <c:pt idx="182">
                  <c:v>104.53173207709912</c:v>
                </c:pt>
                <c:pt idx="183">
                  <c:v>104.90236878464536</c:v>
                </c:pt>
                <c:pt idx="184">
                  <c:v>104.68106312292358</c:v>
                </c:pt>
                <c:pt idx="185">
                  <c:v>103.94721649484542</c:v>
                </c:pt>
                <c:pt idx="186">
                  <c:v>103.68725011106173</c:v>
                </c:pt>
                <c:pt idx="187">
                  <c:v>104.27228804024091</c:v>
                </c:pt>
                <c:pt idx="188">
                  <c:v>104.60113534508515</c:v>
                </c:pt>
                <c:pt idx="189">
                  <c:v>104.37936860237851</c:v>
                </c:pt>
                <c:pt idx="190">
                  <c:v>103.99353113964158</c:v>
                </c:pt>
                <c:pt idx="191">
                  <c:v>103.59350341925305</c:v>
                </c:pt>
                <c:pt idx="192">
                  <c:v>103.76578683044897</c:v>
                </c:pt>
                <c:pt idx="193">
                  <c:v>104.07768914432938</c:v>
                </c:pt>
                <c:pt idx="194">
                  <c:v>103.87354124085182</c:v>
                </c:pt>
                <c:pt idx="195">
                  <c:v>103.47273533323475</c:v>
                </c:pt>
                <c:pt idx="196">
                  <c:v>103.0817548336441</c:v>
                </c:pt>
                <c:pt idx="197">
                  <c:v>103.42858080716897</c:v>
                </c:pt>
                <c:pt idx="198">
                  <c:v>103.13911620294598</c:v>
                </c:pt>
                <c:pt idx="199">
                  <c:v>102.85966114974049</c:v>
                </c:pt>
                <c:pt idx="200">
                  <c:v>103.01772052573077</c:v>
                </c:pt>
                <c:pt idx="201">
                  <c:v>102.82777188545316</c:v>
                </c:pt>
                <c:pt idx="202">
                  <c:v>102.60175838489089</c:v>
                </c:pt>
                <c:pt idx="203">
                  <c:v>102.88149151878272</c:v>
                </c:pt>
                <c:pt idx="204">
                  <c:v>103.01098469988233</c:v>
                </c:pt>
                <c:pt idx="205">
                  <c:v>103.26756685894077</c:v>
                </c:pt>
                <c:pt idx="206">
                  <c:v>102.92686113742523</c:v>
                </c:pt>
                <c:pt idx="207">
                  <c:v>102.97563606059117</c:v>
                </c:pt>
                <c:pt idx="208">
                  <c:v>103.11886372561857</c:v>
                </c:pt>
                <c:pt idx="209">
                  <c:v>103.44555885684268</c:v>
                </c:pt>
                <c:pt idx="210">
                  <c:v>103.38446394881473</c:v>
                </c:pt>
                <c:pt idx="211">
                  <c:v>103.85984573801831</c:v>
                </c:pt>
                <c:pt idx="212">
                  <c:v>104.09660048234171</c:v>
                </c:pt>
                <c:pt idx="213">
                  <c:v>104.77504738469725</c:v>
                </c:pt>
                <c:pt idx="214">
                  <c:v>105.14741461298451</c:v>
                </c:pt>
                <c:pt idx="215">
                  <c:v>104.96701978812719</c:v>
                </c:pt>
                <c:pt idx="216">
                  <c:v>104.33789198317828</c:v>
                </c:pt>
                <c:pt idx="217">
                  <c:v>104.65324830609802</c:v>
                </c:pt>
                <c:pt idx="218">
                  <c:v>104.6688923214908</c:v>
                </c:pt>
                <c:pt idx="219">
                  <c:v>104.83256533528521</c:v>
                </c:pt>
                <c:pt idx="220">
                  <c:v>104.80815606965257</c:v>
                </c:pt>
                <c:pt idx="221">
                  <c:v>104.95653042869991</c:v>
                </c:pt>
                <c:pt idx="222">
                  <c:v>105.00724842950694</c:v>
                </c:pt>
                <c:pt idx="223">
                  <c:v>105.30730924768558</c:v>
                </c:pt>
                <c:pt idx="224">
                  <c:v>105.61793986524989</c:v>
                </c:pt>
                <c:pt idx="225">
                  <c:v>105.65512616313184</c:v>
                </c:pt>
                <c:pt idx="226">
                  <c:v>105.35132153066851</c:v>
                </c:pt>
                <c:pt idx="227">
                  <c:v>105.0124979170138</c:v>
                </c:pt>
                <c:pt idx="228">
                  <c:v>105.11233799809848</c:v>
                </c:pt>
                <c:pt idx="229">
                  <c:v>104.63239689181108</c:v>
                </c:pt>
                <c:pt idx="230">
                  <c:v>104.38109751047652</c:v>
                </c:pt>
                <c:pt idx="231">
                  <c:v>104.16887066913516</c:v>
                </c:pt>
                <c:pt idx="232">
                  <c:v>104.07768914432938</c:v>
                </c:pt>
                <c:pt idx="233">
                  <c:v>104.24469000198511</c:v>
                </c:pt>
                <c:pt idx="234">
                  <c:v>103.71967477533825</c:v>
                </c:pt>
                <c:pt idx="235">
                  <c:v>103.10536649214657</c:v>
                </c:pt>
                <c:pt idx="236">
                  <c:v>103.31327770218208</c:v>
                </c:pt>
                <c:pt idx="237">
                  <c:v>103.01266857376378</c:v>
                </c:pt>
                <c:pt idx="238">
                  <c:v>103.12223858615606</c:v>
                </c:pt>
                <c:pt idx="239">
                  <c:v>103.07838262235011</c:v>
                </c:pt>
                <c:pt idx="240">
                  <c:v>103.04804264643356</c:v>
                </c:pt>
                <c:pt idx="241">
                  <c:v>103.23880670369094</c:v>
                </c:pt>
                <c:pt idx="242">
                  <c:v>103.18133442488744</c:v>
                </c:pt>
                <c:pt idx="243">
                  <c:v>103.0345639449332</c:v>
                </c:pt>
                <c:pt idx="244">
                  <c:v>103.00593340852254</c:v>
                </c:pt>
                <c:pt idx="245">
                  <c:v>102.84287486128338</c:v>
                </c:pt>
                <c:pt idx="246">
                  <c:v>102.67865871541689</c:v>
                </c:pt>
                <c:pt idx="247">
                  <c:v>102.66527646541331</c:v>
                </c:pt>
                <c:pt idx="248">
                  <c:v>102.6736399628525</c:v>
                </c:pt>
                <c:pt idx="249">
                  <c:v>102.90837238924178</c:v>
                </c:pt>
                <c:pt idx="250">
                  <c:v>103.01940461983619</c:v>
                </c:pt>
                <c:pt idx="251">
                  <c:v>103.0699530593219</c:v>
                </c:pt>
                <c:pt idx="252">
                  <c:v>103.0665816201364</c:v>
                </c:pt>
                <c:pt idx="253">
                  <c:v>103.1695098392325</c:v>
                </c:pt>
                <c:pt idx="254">
                  <c:v>103.33360662457982</c:v>
                </c:pt>
                <c:pt idx="255">
                  <c:v>103.28957073314648</c:v>
                </c:pt>
                <c:pt idx="256">
                  <c:v>103.46424115058777</c:v>
                </c:pt>
                <c:pt idx="257">
                  <c:v>103.62075769534333</c:v>
                </c:pt>
                <c:pt idx="258">
                  <c:v>103.49822625147816</c:v>
                </c:pt>
                <c:pt idx="259">
                  <c:v>103.65143590249673</c:v>
                </c:pt>
                <c:pt idx="260">
                  <c:v>103.80168011859656</c:v>
                </c:pt>
                <c:pt idx="261">
                  <c:v>104.62023740350293</c:v>
                </c:pt>
                <c:pt idx="262">
                  <c:v>104.94254787676934</c:v>
                </c:pt>
                <c:pt idx="263">
                  <c:v>105.3795087038678</c:v>
                </c:pt>
                <c:pt idx="264">
                  <c:v>104.90935424262098</c:v>
                </c:pt>
                <c:pt idx="265">
                  <c:v>104.78724288731109</c:v>
                </c:pt>
                <c:pt idx="266">
                  <c:v>104.56121720951073</c:v>
                </c:pt>
                <c:pt idx="267">
                  <c:v>105.04225492974183</c:v>
                </c:pt>
                <c:pt idx="268">
                  <c:v>105.78282107666222</c:v>
                </c:pt>
                <c:pt idx="269">
                  <c:v>105.57016735630641</c:v>
                </c:pt>
                <c:pt idx="270">
                  <c:v>105.35660547697864</c:v>
                </c:pt>
                <c:pt idx="271">
                  <c:v>105.63210298702602</c:v>
                </c:pt>
                <c:pt idx="272">
                  <c:v>105.63918597244104</c:v>
                </c:pt>
                <c:pt idx="273">
                  <c:v>105.48357939138296</c:v>
                </c:pt>
                <c:pt idx="274">
                  <c:v>105.6781593775154</c:v>
                </c:pt>
                <c:pt idx="275">
                  <c:v>105.91082502815082</c:v>
                </c:pt>
                <c:pt idx="276">
                  <c:v>106.16418740207888</c:v>
                </c:pt>
                <c:pt idx="277">
                  <c:v>106.7595039642204</c:v>
                </c:pt>
                <c:pt idx="278">
                  <c:v>106.51949764202769</c:v>
                </c:pt>
                <c:pt idx="279">
                  <c:v>106.88625801417956</c:v>
                </c:pt>
                <c:pt idx="280">
                  <c:v>107.13884969142622</c:v>
                </c:pt>
                <c:pt idx="281">
                  <c:v>107.53924914675768</c:v>
                </c:pt>
                <c:pt idx="282">
                  <c:v>108.14641931664119</c:v>
                </c:pt>
                <c:pt idx="283">
                  <c:v>108.1779791945617</c:v>
                </c:pt>
                <c:pt idx="284">
                  <c:v>107.59800573692115</c:v>
                </c:pt>
                <c:pt idx="285">
                  <c:v>107.49339019189766</c:v>
                </c:pt>
                <c:pt idx="286">
                  <c:v>107.83552079946611</c:v>
                </c:pt>
                <c:pt idx="287">
                  <c:v>108.85441857251429</c:v>
                </c:pt>
                <c:pt idx="288">
                  <c:v>108.8149465577677</c:v>
                </c:pt>
                <c:pt idx="289">
                  <c:v>110.5055500026303</c:v>
                </c:pt>
                <c:pt idx="290">
                  <c:v>110.06934134455834</c:v>
                </c:pt>
                <c:pt idx="291">
                  <c:v>111.94443457562086</c:v>
                </c:pt>
                <c:pt idx="292">
                  <c:v>113.14230313476244</c:v>
                </c:pt>
                <c:pt idx="293">
                  <c:v>112.55224147169135</c:v>
                </c:pt>
                <c:pt idx="294">
                  <c:v>114.2127011744236</c:v>
                </c:pt>
                <c:pt idx="295">
                  <c:v>114.65322756713485</c:v>
                </c:pt>
                <c:pt idx="296">
                  <c:v>118.72268274302937</c:v>
                </c:pt>
                <c:pt idx="297">
                  <c:v>117.73123844041326</c:v>
                </c:pt>
                <c:pt idx="298">
                  <c:v>118.35699797160244</c:v>
                </c:pt>
                <c:pt idx="299">
                  <c:v>118.83238106013462</c:v>
                </c:pt>
                <c:pt idx="300">
                  <c:v>117.94938983304635</c:v>
                </c:pt>
                <c:pt idx="301">
                  <c:v>117.06637439393654</c:v>
                </c:pt>
                <c:pt idx="302">
                  <c:v>115.58694057226705</c:v>
                </c:pt>
                <c:pt idx="303">
                  <c:v>116.57694655641264</c:v>
                </c:pt>
                <c:pt idx="304">
                  <c:v>118.11298121977734</c:v>
                </c:pt>
                <c:pt idx="305">
                  <c:v>118.06429856115109</c:v>
                </c:pt>
                <c:pt idx="306">
                  <c:v>119.34775197909171</c:v>
                </c:pt>
                <c:pt idx="307">
                  <c:v>119.33871151005563</c:v>
                </c:pt>
                <c:pt idx="308">
                  <c:v>120.4173274989013</c:v>
                </c:pt>
                <c:pt idx="309">
                  <c:v>119.3726203330113</c:v>
                </c:pt>
                <c:pt idx="310">
                  <c:v>118.64445072013558</c:v>
                </c:pt>
                <c:pt idx="311">
                  <c:v>117.936145525321</c:v>
                </c:pt>
                <c:pt idx="312">
                  <c:v>116.91217394530821</c:v>
                </c:pt>
                <c:pt idx="313">
                  <c:v>116.68703477391401</c:v>
                </c:pt>
                <c:pt idx="314">
                  <c:v>117.12512080886175</c:v>
                </c:pt>
                <c:pt idx="315">
                  <c:v>117.22534320473231</c:v>
                </c:pt>
                <c:pt idx="316">
                  <c:v>119.04339120086141</c:v>
                </c:pt>
                <c:pt idx="317">
                  <c:v>118.47047543849753</c:v>
                </c:pt>
                <c:pt idx="318">
                  <c:v>118.42817409606855</c:v>
                </c:pt>
                <c:pt idx="319">
                  <c:v>119.25515205419828</c:v>
                </c:pt>
                <c:pt idx="320">
                  <c:v>119.95203289173133</c:v>
                </c:pt>
                <c:pt idx="321">
                  <c:v>120.05944102573874</c:v>
                </c:pt>
                <c:pt idx="322">
                  <c:v>120.29090631442313</c:v>
                </c:pt>
                <c:pt idx="323">
                  <c:v>120.47718278624276</c:v>
                </c:pt>
                <c:pt idx="324">
                  <c:v>119.19875917379127</c:v>
                </c:pt>
                <c:pt idx="325">
                  <c:v>117.81928319030796</c:v>
                </c:pt>
                <c:pt idx="326">
                  <c:v>118.96698193351078</c:v>
                </c:pt>
                <c:pt idx="327">
                  <c:v>119.33645160679453</c:v>
                </c:pt>
                <c:pt idx="328">
                  <c:v>119.09063421271451</c:v>
                </c:pt>
                <c:pt idx="329">
                  <c:v>119.03439678132263</c:v>
                </c:pt>
                <c:pt idx="330">
                  <c:v>120.01371193509684</c:v>
                </c:pt>
                <c:pt idx="331">
                  <c:v>119.53338391502277</c:v>
                </c:pt>
                <c:pt idx="332">
                  <c:v>118.77190998529913</c:v>
                </c:pt>
                <c:pt idx="333">
                  <c:v>119.42238814455449</c:v>
                </c:pt>
                <c:pt idx="334">
                  <c:v>119.36131525115539</c:v>
                </c:pt>
                <c:pt idx="335">
                  <c:v>119.64458620493252</c:v>
                </c:pt>
                <c:pt idx="336">
                  <c:v>119.4246513038205</c:v>
                </c:pt>
                <c:pt idx="337">
                  <c:v>119.56740347215634</c:v>
                </c:pt>
                <c:pt idx="338">
                  <c:v>118.49052346570404</c:v>
                </c:pt>
                <c:pt idx="339">
                  <c:v>118.05766312594847</c:v>
                </c:pt>
                <c:pt idx="340">
                  <c:v>117.21226099248568</c:v>
                </c:pt>
                <c:pt idx="341">
                  <c:v>116.63088540124372</c:v>
                </c:pt>
                <c:pt idx="342">
                  <c:v>116.72377706569856</c:v>
                </c:pt>
                <c:pt idx="343">
                  <c:v>116.2286283406186</c:v>
                </c:pt>
                <c:pt idx="344">
                  <c:v>115.44506933885357</c:v>
                </c:pt>
                <c:pt idx="345">
                  <c:v>115.66755992804967</c:v>
                </c:pt>
                <c:pt idx="346">
                  <c:v>114.68243858052769</c:v>
                </c:pt>
                <c:pt idx="347">
                  <c:v>113.17887931034477</c:v>
                </c:pt>
                <c:pt idx="348">
                  <c:v>113.15449256625728</c:v>
                </c:pt>
                <c:pt idx="349">
                  <c:v>112.83033732006014</c:v>
                </c:pt>
                <c:pt idx="350">
                  <c:v>112.14963250342576</c:v>
                </c:pt>
                <c:pt idx="351">
                  <c:v>111.76178484020856</c:v>
                </c:pt>
                <c:pt idx="352">
                  <c:v>111.93449261976237</c:v>
                </c:pt>
                <c:pt idx="353">
                  <c:v>112.32153996969969</c:v>
                </c:pt>
                <c:pt idx="354">
                  <c:v>113.84748794103302</c:v>
                </c:pt>
                <c:pt idx="355">
                  <c:v>113.62374238217151</c:v>
                </c:pt>
                <c:pt idx="356">
                  <c:v>113.3702730903465</c:v>
                </c:pt>
                <c:pt idx="357">
                  <c:v>114.17545385367968</c:v>
                </c:pt>
                <c:pt idx="358">
                  <c:v>114.4117647058824</c:v>
                </c:pt>
                <c:pt idx="359">
                  <c:v>115.4577600263828</c:v>
                </c:pt>
                <c:pt idx="360">
                  <c:v>115.21921965846347</c:v>
                </c:pt>
                <c:pt idx="361">
                  <c:v>114.81616441351164</c:v>
                </c:pt>
                <c:pt idx="362">
                  <c:v>114.27068978022777</c:v>
                </c:pt>
                <c:pt idx="363">
                  <c:v>115.43238144084405</c:v>
                </c:pt>
                <c:pt idx="364">
                  <c:v>115.06774276010664</c:v>
                </c:pt>
                <c:pt idx="365">
                  <c:v>116.04456311573523</c:v>
                </c:pt>
                <c:pt idx="366">
                  <c:v>115.97195384530451</c:v>
                </c:pt>
                <c:pt idx="367">
                  <c:v>116.07662552956346</c:v>
                </c:pt>
                <c:pt idx="368">
                  <c:v>115.07614769365615</c:v>
                </c:pt>
                <c:pt idx="369">
                  <c:v>114.68035158595841</c:v>
                </c:pt>
                <c:pt idx="370">
                  <c:v>114.79106706983863</c:v>
                </c:pt>
                <c:pt idx="371">
                  <c:v>114.61777705025366</c:v>
                </c:pt>
                <c:pt idx="372">
                  <c:v>114.95649318666885</c:v>
                </c:pt>
                <c:pt idx="373">
                  <c:v>114.51155691234192</c:v>
                </c:pt>
                <c:pt idx="374">
                  <c:v>114.64905577993669</c:v>
                </c:pt>
                <c:pt idx="375">
                  <c:v>114.38476757482799</c:v>
                </c:pt>
                <c:pt idx="376">
                  <c:v>114.69287469287467</c:v>
                </c:pt>
                <c:pt idx="377">
                  <c:v>114.26447389893202</c:v>
                </c:pt>
                <c:pt idx="378">
                  <c:v>114.12789539453424</c:v>
                </c:pt>
                <c:pt idx="379">
                  <c:v>114.2603303537432</c:v>
                </c:pt>
                <c:pt idx="380">
                  <c:v>114.3909965510982</c:v>
                </c:pt>
                <c:pt idx="381">
                  <c:v>114.01845485796993</c:v>
                </c:pt>
                <c:pt idx="382">
                  <c:v>112.76774689977273</c:v>
                </c:pt>
                <c:pt idx="383">
                  <c:v>112.7011946491166</c:v>
                </c:pt>
                <c:pt idx="384">
                  <c:v>113.19107662463628</c:v>
                </c:pt>
                <c:pt idx="385">
                  <c:v>113.1483975222192</c:v>
                </c:pt>
                <c:pt idx="386">
                  <c:v>112.56028292787484</c:v>
                </c:pt>
                <c:pt idx="387">
                  <c:v>112.67701330281791</c:v>
                </c:pt>
                <c:pt idx="388">
                  <c:v>112.55224147169135</c:v>
                </c:pt>
                <c:pt idx="389">
                  <c:v>112.61459282689108</c:v>
                </c:pt>
                <c:pt idx="390">
                  <c:v>113.3458038058923</c:v>
                </c:pt>
                <c:pt idx="391">
                  <c:v>113.7878733162399</c:v>
                </c:pt>
                <c:pt idx="392">
                  <c:v>113.82486814536523</c:v>
                </c:pt>
                <c:pt idx="393">
                  <c:v>113.73858426885175</c:v>
                </c:pt>
                <c:pt idx="394">
                  <c:v>114.60943893789212</c:v>
                </c:pt>
                <c:pt idx="395">
                  <c:v>115.07194507340586</c:v>
                </c:pt>
                <c:pt idx="396">
                  <c:v>115.38799575200495</c:v>
                </c:pt>
                <c:pt idx="397">
                  <c:v>115.54455445544561</c:v>
                </c:pt>
                <c:pt idx="398">
                  <c:v>115.94018253035618</c:v>
                </c:pt>
                <c:pt idx="399">
                  <c:v>115.95710779559299</c:v>
                </c:pt>
                <c:pt idx="400">
                  <c:v>116.24695296277349</c:v>
                </c:pt>
                <c:pt idx="401">
                  <c:v>115.59109893484683</c:v>
                </c:pt>
                <c:pt idx="402">
                  <c:v>116.15597966212559</c:v>
                </c:pt>
                <c:pt idx="403">
                  <c:v>116.16232663658937</c:v>
                </c:pt>
                <c:pt idx="404">
                  <c:v>116.10731952456975</c:v>
                </c:pt>
                <c:pt idx="405">
                  <c:v>115.60590854192901</c:v>
                </c:pt>
                <c:pt idx="406">
                  <c:v>116.0692376777869</c:v>
                </c:pt>
                <c:pt idx="407">
                  <c:v>116.17925190182625</c:v>
                </c:pt>
                <c:pt idx="408">
                  <c:v>115.93806687220155</c:v>
                </c:pt>
                <c:pt idx="409">
                  <c:v>116.12847610611573</c:v>
                </c:pt>
                <c:pt idx="410">
                  <c:v>117.51846351368941</c:v>
                </c:pt>
                <c:pt idx="411">
                  <c:v>117.31112901453842</c:v>
                </c:pt>
                <c:pt idx="412">
                  <c:v>117.59251154910052</c:v>
                </c:pt>
                <c:pt idx="413">
                  <c:v>117.15033899478858</c:v>
                </c:pt>
                <c:pt idx="414">
                  <c:v>117.22438703019967</c:v>
                </c:pt>
                <c:pt idx="415">
                  <c:v>117.40210231518628</c:v>
                </c:pt>
                <c:pt idx="416">
                  <c:v>116.99378029134813</c:v>
                </c:pt>
                <c:pt idx="417">
                  <c:v>116.47544404347055</c:v>
                </c:pt>
                <c:pt idx="418">
                  <c:v>117.50576956476181</c:v>
                </c:pt>
                <c:pt idx="419">
                  <c:v>117.29208809114698</c:v>
                </c:pt>
                <c:pt idx="420">
                  <c:v>117.48461298321585</c:v>
                </c:pt>
                <c:pt idx="421">
                  <c:v>118.06007200126759</c:v>
                </c:pt>
                <c:pt idx="422">
                  <c:v>118.10026950620507</c:v>
                </c:pt>
                <c:pt idx="423">
                  <c:v>118.10873213882336</c:v>
                </c:pt>
                <c:pt idx="424">
                  <c:v>118.45993139248736</c:v>
                </c:pt>
                <c:pt idx="425">
                  <c:v>117.62001510511033</c:v>
                </c:pt>
                <c:pt idx="426">
                  <c:v>116.01634622392181</c:v>
                </c:pt>
                <c:pt idx="427">
                  <c:v>114.77022357086112</c:v>
                </c:pt>
                <c:pt idx="428">
                  <c:v>115.3245260073669</c:v>
                </c:pt>
                <c:pt idx="429">
                  <c:v>114.68348158652238</c:v>
                </c:pt>
                <c:pt idx="430">
                  <c:v>114.27092824637502</c:v>
                </c:pt>
                <c:pt idx="431">
                  <c:v>114.39575207749648</c:v>
                </c:pt>
                <c:pt idx="432">
                  <c:v>115.33510429813991</c:v>
                </c:pt>
                <c:pt idx="433">
                  <c:v>115.47685339449828</c:v>
                </c:pt>
                <c:pt idx="434">
                  <c:v>115.50647260866268</c:v>
                </c:pt>
                <c:pt idx="435">
                  <c:v>115.91267897434633</c:v>
                </c:pt>
                <c:pt idx="436">
                  <c:v>115.34568258891296</c:v>
                </c:pt>
                <c:pt idx="437">
                  <c:v>115.58898327669218</c:v>
                </c:pt>
                <c:pt idx="438">
                  <c:v>115.92325726511937</c:v>
                </c:pt>
                <c:pt idx="439">
                  <c:v>116.62565577244725</c:v>
                </c:pt>
                <c:pt idx="440">
                  <c:v>116.01423056576728</c:v>
                </c:pt>
                <c:pt idx="441">
                  <c:v>115.77516119429718</c:v>
                </c:pt>
                <c:pt idx="442">
                  <c:v>115.55724840437318</c:v>
                </c:pt>
                <c:pt idx="443">
                  <c:v>115.26951889534732</c:v>
                </c:pt>
                <c:pt idx="444">
                  <c:v>115.6228338071658</c:v>
                </c:pt>
                <c:pt idx="445">
                  <c:v>115.99942095868506</c:v>
                </c:pt>
                <c:pt idx="446">
                  <c:v>116.43524653853308</c:v>
                </c:pt>
                <c:pt idx="447">
                  <c:v>116.3421575797306</c:v>
                </c:pt>
                <c:pt idx="448">
                  <c:v>116.46698141085211</c:v>
                </c:pt>
                <c:pt idx="449">
                  <c:v>116.62565577244726</c:v>
                </c:pt>
                <c:pt idx="450">
                  <c:v>116.30407573294774</c:v>
                </c:pt>
                <c:pt idx="451">
                  <c:v>115.84920922970831</c:v>
                </c:pt>
                <c:pt idx="452">
                  <c:v>115.01352425864042</c:v>
                </c:pt>
                <c:pt idx="453">
                  <c:v>114.89081608567346</c:v>
                </c:pt>
                <c:pt idx="454">
                  <c:v>114.8548498970452</c:v>
                </c:pt>
                <c:pt idx="455">
                  <c:v>114.6665563212856</c:v>
                </c:pt>
                <c:pt idx="456">
                  <c:v>114.89504740198265</c:v>
                </c:pt>
                <c:pt idx="457">
                  <c:v>114.71310080068685</c:v>
                </c:pt>
              </c:numCache>
            </c:numRef>
          </c:val>
          <c:smooth val="0"/>
          <c:extLst>
            <c:ext xmlns:c16="http://schemas.microsoft.com/office/drawing/2014/chart" uri="{C3380CC4-5D6E-409C-BE32-E72D297353CC}">
              <c16:uniqueId val="{00000000-DFF1-49D2-BB82-AF01953A7184}"/>
            </c:ext>
          </c:extLst>
        </c:ser>
        <c:ser>
          <c:idx val="1"/>
          <c:order val="1"/>
          <c:tx>
            <c:strRef>
              <c:f>Sheet1!$C$1</c:f>
              <c:strCache>
                <c:ptCount val="1"/>
                <c:pt idx="0">
                  <c:v>ՀՀ դրամ</c:v>
                </c:pt>
              </c:strCache>
            </c:strRef>
          </c:tx>
          <c:spPr>
            <a:ln w="28575" cap="rnd">
              <a:solidFill>
                <a:schemeClr val="accent2"/>
              </a:solidFill>
              <a:round/>
            </a:ln>
            <a:effectLst/>
          </c:spPr>
          <c:marker>
            <c:symbol val="none"/>
          </c:marker>
          <c:cat>
            <c:strRef>
              <c:f>Sheet1!$A$2:$A$469</c:f>
              <c:strCache>
                <c:ptCount val="458"/>
                <c:pt idx="0">
                  <c:v>1/8/2019</c:v>
                </c:pt>
                <c:pt idx="1">
                  <c:v>1/9/2019</c:v>
                </c:pt>
                <c:pt idx="2">
                  <c:v>1/10/2019</c:v>
                </c:pt>
                <c:pt idx="3">
                  <c:v>1/11/2019</c:v>
                </c:pt>
                <c:pt idx="4">
                  <c:v>1/14/2019</c:v>
                </c:pt>
                <c:pt idx="5">
                  <c:v>1/15/2019</c:v>
                </c:pt>
                <c:pt idx="6">
                  <c:v>1/16/2019</c:v>
                </c:pt>
                <c:pt idx="7">
                  <c:v>1/17/2019</c:v>
                </c:pt>
                <c:pt idx="8">
                  <c:v>1/18/2019</c:v>
                </c:pt>
                <c:pt idx="9">
                  <c:v>1/21/2019</c:v>
                </c:pt>
                <c:pt idx="10">
                  <c:v>1/22/2019</c:v>
                </c:pt>
                <c:pt idx="11">
                  <c:v>1/23/2019</c:v>
                </c:pt>
                <c:pt idx="12">
                  <c:v>1/24/2019</c:v>
                </c:pt>
                <c:pt idx="13">
                  <c:v>1/25/2019</c:v>
                </c:pt>
                <c:pt idx="14">
                  <c:v>1/29/2019</c:v>
                </c:pt>
                <c:pt idx="15">
                  <c:v>1/30/2019</c:v>
                </c:pt>
                <c:pt idx="16">
                  <c:v>1/31/2019</c:v>
                </c:pt>
                <c:pt idx="17">
                  <c:v>2/1/2019</c:v>
                </c:pt>
                <c:pt idx="18">
                  <c:v>2/4/2019</c:v>
                </c:pt>
                <c:pt idx="19">
                  <c:v>2/5/2019</c:v>
                </c:pt>
                <c:pt idx="20">
                  <c:v>2/6/2019</c:v>
                </c:pt>
                <c:pt idx="21">
                  <c:v>2/7/2019</c:v>
                </c:pt>
                <c:pt idx="22">
                  <c:v>2/8/2019</c:v>
                </c:pt>
                <c:pt idx="23">
                  <c:v>2/11/2019</c:v>
                </c:pt>
                <c:pt idx="24">
                  <c:v>2/12/2019</c:v>
                </c:pt>
                <c:pt idx="25">
                  <c:v>2/13/2019</c:v>
                </c:pt>
                <c:pt idx="26">
                  <c:v>2/14/2019</c:v>
                </c:pt>
                <c:pt idx="27">
                  <c:v>2/15/2019</c:v>
                </c:pt>
                <c:pt idx="28">
                  <c:v>2/18/2019</c:v>
                </c:pt>
                <c:pt idx="29">
                  <c:v>2/19/2019</c:v>
                </c:pt>
                <c:pt idx="30">
                  <c:v>2/20/2019</c:v>
                </c:pt>
                <c:pt idx="31">
                  <c:v>2/21/2019</c:v>
                </c:pt>
                <c:pt idx="32">
                  <c:v>2/22/2019</c:v>
                </c:pt>
                <c:pt idx="33">
                  <c:v>2/25/2019</c:v>
                </c:pt>
                <c:pt idx="34">
                  <c:v>2/26/2019</c:v>
                </c:pt>
                <c:pt idx="35">
                  <c:v>2/27/2019</c:v>
                </c:pt>
                <c:pt idx="36">
                  <c:v>2/28/2019</c:v>
                </c:pt>
                <c:pt idx="37">
                  <c:v>3/1/2019</c:v>
                </c:pt>
                <c:pt idx="38">
                  <c:v>3/4/2019</c:v>
                </c:pt>
                <c:pt idx="39">
                  <c:v>3/5/2019</c:v>
                </c:pt>
                <c:pt idx="40">
                  <c:v>3/6/2019</c:v>
                </c:pt>
                <c:pt idx="41">
                  <c:v>3/7/2019</c:v>
                </c:pt>
                <c:pt idx="42">
                  <c:v>3/11/2019</c:v>
                </c:pt>
                <c:pt idx="43">
                  <c:v>3/12/2019</c:v>
                </c:pt>
                <c:pt idx="44">
                  <c:v>3/13/2019</c:v>
                </c:pt>
                <c:pt idx="45">
                  <c:v>3/14/2019</c:v>
                </c:pt>
                <c:pt idx="46">
                  <c:v>3/15/2019</c:v>
                </c:pt>
                <c:pt idx="47">
                  <c:v>3/18/2019</c:v>
                </c:pt>
                <c:pt idx="48">
                  <c:v>3/19/2019</c:v>
                </c:pt>
                <c:pt idx="49">
                  <c:v>3/20/2019</c:v>
                </c:pt>
                <c:pt idx="50">
                  <c:v>3/21/2019</c:v>
                </c:pt>
                <c:pt idx="51">
                  <c:v>3/22/2019</c:v>
                </c:pt>
                <c:pt idx="52">
                  <c:v>3/25/2019</c:v>
                </c:pt>
                <c:pt idx="53">
                  <c:v>3/26/2019</c:v>
                </c:pt>
                <c:pt idx="54">
                  <c:v>3/27/2019</c:v>
                </c:pt>
                <c:pt idx="55">
                  <c:v>3/28/2019</c:v>
                </c:pt>
                <c:pt idx="56">
                  <c:v>3/29/2019</c:v>
                </c:pt>
                <c:pt idx="57">
                  <c:v>4/1/2019</c:v>
                </c:pt>
                <c:pt idx="58">
                  <c:v>4/2/2019</c:v>
                </c:pt>
                <c:pt idx="59">
                  <c:v>4/3/2019</c:v>
                </c:pt>
                <c:pt idx="60">
                  <c:v>4/4/2019</c:v>
                </c:pt>
                <c:pt idx="61">
                  <c:v>4/5/2019</c:v>
                </c:pt>
                <c:pt idx="62">
                  <c:v>4/8/2019</c:v>
                </c:pt>
                <c:pt idx="63">
                  <c:v>4/9/2019</c:v>
                </c:pt>
                <c:pt idx="64">
                  <c:v>4/10/2019</c:v>
                </c:pt>
                <c:pt idx="65">
                  <c:v>4/11/2019</c:v>
                </c:pt>
                <c:pt idx="66">
                  <c:v>4/12/2019</c:v>
                </c:pt>
                <c:pt idx="67">
                  <c:v>4/15/2019</c:v>
                </c:pt>
                <c:pt idx="68">
                  <c:v>4/16/2019</c:v>
                </c:pt>
                <c:pt idx="69">
                  <c:v>4/17/2019</c:v>
                </c:pt>
                <c:pt idx="70">
                  <c:v>4/18/2019</c:v>
                </c:pt>
                <c:pt idx="71">
                  <c:v>4/19/2019</c:v>
                </c:pt>
                <c:pt idx="72">
                  <c:v>4/22/2019</c:v>
                </c:pt>
                <c:pt idx="73">
                  <c:v>4/23/2019</c:v>
                </c:pt>
                <c:pt idx="74">
                  <c:v>4/25/2019</c:v>
                </c:pt>
                <c:pt idx="75">
                  <c:v>4/26/2019</c:v>
                </c:pt>
                <c:pt idx="76">
                  <c:v>4/29/2019</c:v>
                </c:pt>
                <c:pt idx="77">
                  <c:v>4/30/2019</c:v>
                </c:pt>
                <c:pt idx="78">
                  <c:v>5/2/2019</c:v>
                </c:pt>
                <c:pt idx="79">
                  <c:v>5/3/2019</c:v>
                </c:pt>
                <c:pt idx="80">
                  <c:v>5/6/2019</c:v>
                </c:pt>
                <c:pt idx="81">
                  <c:v>5/7/2019</c:v>
                </c:pt>
                <c:pt idx="82">
                  <c:v>5/8/2019</c:v>
                </c:pt>
                <c:pt idx="83">
                  <c:v>5/10/2019</c:v>
                </c:pt>
                <c:pt idx="84">
                  <c:v>5/13/2019</c:v>
                </c:pt>
                <c:pt idx="85">
                  <c:v>5/14/2019</c:v>
                </c:pt>
                <c:pt idx="86">
                  <c:v>5/15/2019</c:v>
                </c:pt>
                <c:pt idx="87">
                  <c:v>5/16/2019</c:v>
                </c:pt>
                <c:pt idx="88">
                  <c:v>5/17/2019</c:v>
                </c:pt>
                <c:pt idx="89">
                  <c:v>5/20/2019</c:v>
                </c:pt>
                <c:pt idx="90">
                  <c:v>5/21/2019</c:v>
                </c:pt>
                <c:pt idx="91">
                  <c:v>5/22/2019</c:v>
                </c:pt>
                <c:pt idx="92">
                  <c:v>5/23/2019</c:v>
                </c:pt>
                <c:pt idx="93">
                  <c:v>5/24/2019</c:v>
                </c:pt>
                <c:pt idx="94">
                  <c:v>5/27/2019</c:v>
                </c:pt>
                <c:pt idx="95">
                  <c:v>5/29/2019</c:v>
                </c:pt>
                <c:pt idx="96">
                  <c:v>5/30/2019</c:v>
                </c:pt>
                <c:pt idx="97">
                  <c:v>5/31/2019</c:v>
                </c:pt>
                <c:pt idx="98">
                  <c:v>6/3/2019</c:v>
                </c:pt>
                <c:pt idx="99">
                  <c:v>6/4/2019</c:v>
                </c:pt>
                <c:pt idx="100">
                  <c:v>6/5/2019</c:v>
                </c:pt>
                <c:pt idx="101">
                  <c:v>6/6/2019</c:v>
                </c:pt>
                <c:pt idx="102">
                  <c:v>6/7/2019</c:v>
                </c:pt>
                <c:pt idx="103">
                  <c:v>6/10/2019</c:v>
                </c:pt>
                <c:pt idx="104">
                  <c:v>6/11/2019</c:v>
                </c:pt>
                <c:pt idx="105">
                  <c:v>6/12/2019</c:v>
                </c:pt>
                <c:pt idx="106">
                  <c:v>6/13/2019</c:v>
                </c:pt>
                <c:pt idx="107">
                  <c:v>6/14/2019</c:v>
                </c:pt>
                <c:pt idx="108">
                  <c:v>6/17/2019</c:v>
                </c:pt>
                <c:pt idx="109">
                  <c:v>6/18/2019</c:v>
                </c:pt>
                <c:pt idx="110">
                  <c:v>6/19/2019</c:v>
                </c:pt>
                <c:pt idx="111">
                  <c:v>6/20/2019</c:v>
                </c:pt>
                <c:pt idx="112">
                  <c:v>6/21/2019</c:v>
                </c:pt>
                <c:pt idx="113">
                  <c:v>6/24/2019</c:v>
                </c:pt>
                <c:pt idx="114">
                  <c:v>6/25/2019</c:v>
                </c:pt>
                <c:pt idx="115">
                  <c:v>6/26/2019</c:v>
                </c:pt>
                <c:pt idx="116">
                  <c:v>6/27/2019</c:v>
                </c:pt>
                <c:pt idx="117">
                  <c:v>6/28/2019</c:v>
                </c:pt>
                <c:pt idx="118">
                  <c:v>7/1/2019</c:v>
                </c:pt>
                <c:pt idx="119">
                  <c:v>7/2/2019</c:v>
                </c:pt>
                <c:pt idx="120">
                  <c:v>7/3/2019</c:v>
                </c:pt>
                <c:pt idx="121">
                  <c:v>7/4/2019</c:v>
                </c:pt>
                <c:pt idx="122">
                  <c:v>7/8/2019</c:v>
                </c:pt>
                <c:pt idx="123">
                  <c:v>7/9/2019</c:v>
                </c:pt>
                <c:pt idx="124">
                  <c:v>7/10/2019</c:v>
                </c:pt>
                <c:pt idx="125">
                  <c:v>7/11/2019</c:v>
                </c:pt>
                <c:pt idx="126">
                  <c:v>7/12/2019</c:v>
                </c:pt>
                <c:pt idx="127">
                  <c:v>7/15/2019</c:v>
                </c:pt>
                <c:pt idx="128">
                  <c:v>7/16/2019</c:v>
                </c:pt>
                <c:pt idx="129">
                  <c:v>7/17/2019</c:v>
                </c:pt>
                <c:pt idx="130">
                  <c:v>7/18/2019</c:v>
                </c:pt>
                <c:pt idx="131">
                  <c:v>7/19/2019</c:v>
                </c:pt>
                <c:pt idx="132">
                  <c:v>7/22/2019</c:v>
                </c:pt>
                <c:pt idx="133">
                  <c:v>7/23/2019</c:v>
                </c:pt>
                <c:pt idx="134">
                  <c:v>7/24/2019</c:v>
                </c:pt>
                <c:pt idx="135">
                  <c:v>7/25/2019</c:v>
                </c:pt>
                <c:pt idx="136">
                  <c:v>7/26/2019</c:v>
                </c:pt>
                <c:pt idx="137">
                  <c:v>7/29/2019</c:v>
                </c:pt>
                <c:pt idx="138">
                  <c:v>7/30/2019</c:v>
                </c:pt>
                <c:pt idx="139">
                  <c:v>7/31/2019</c:v>
                </c:pt>
                <c:pt idx="140">
                  <c:v>8/1/2019</c:v>
                </c:pt>
                <c:pt idx="141">
                  <c:v>8/2/2019</c:v>
                </c:pt>
                <c:pt idx="142">
                  <c:v>8/5/2019</c:v>
                </c:pt>
                <c:pt idx="143">
                  <c:v>8/6/2019</c:v>
                </c:pt>
                <c:pt idx="144">
                  <c:v>8/7/2019</c:v>
                </c:pt>
                <c:pt idx="145">
                  <c:v>8/8/2019</c:v>
                </c:pt>
                <c:pt idx="146">
                  <c:v>8/9/2019</c:v>
                </c:pt>
                <c:pt idx="147">
                  <c:v>8/12/2019</c:v>
                </c:pt>
                <c:pt idx="148">
                  <c:v>8/13/2019</c:v>
                </c:pt>
                <c:pt idx="149">
                  <c:v>8/14/2019</c:v>
                </c:pt>
                <c:pt idx="150">
                  <c:v>8/15/2019</c:v>
                </c:pt>
                <c:pt idx="151">
                  <c:v>8/16/2019</c:v>
                </c:pt>
                <c:pt idx="152">
                  <c:v>8/19/2019</c:v>
                </c:pt>
                <c:pt idx="153">
                  <c:v>8/20/2019</c:v>
                </c:pt>
                <c:pt idx="154">
                  <c:v>8/21/2019</c:v>
                </c:pt>
                <c:pt idx="155">
                  <c:v>8/22/2019</c:v>
                </c:pt>
                <c:pt idx="156">
                  <c:v>8/23/2019</c:v>
                </c:pt>
                <c:pt idx="157">
                  <c:v>8/26/2019</c:v>
                </c:pt>
                <c:pt idx="158">
                  <c:v>8/27/2019</c:v>
                </c:pt>
                <c:pt idx="159">
                  <c:v>8/28/2019</c:v>
                </c:pt>
                <c:pt idx="160">
                  <c:v>8/29/2019</c:v>
                </c:pt>
                <c:pt idx="161">
                  <c:v>8/30/2019</c:v>
                </c:pt>
                <c:pt idx="162">
                  <c:v>9/2/2019</c:v>
                </c:pt>
                <c:pt idx="163">
                  <c:v>9/3/2019</c:v>
                </c:pt>
                <c:pt idx="164">
                  <c:v>9/4/2019</c:v>
                </c:pt>
                <c:pt idx="165">
                  <c:v>9/5/2019</c:v>
                </c:pt>
                <c:pt idx="166">
                  <c:v>9/6/2019</c:v>
                </c:pt>
                <c:pt idx="167">
                  <c:v>9/9/2019</c:v>
                </c:pt>
                <c:pt idx="168">
                  <c:v>9/10/2019</c:v>
                </c:pt>
                <c:pt idx="169">
                  <c:v>9/11/2019</c:v>
                </c:pt>
                <c:pt idx="170">
                  <c:v>9/12/2019</c:v>
                </c:pt>
                <c:pt idx="171">
                  <c:v>9/13/2019</c:v>
                </c:pt>
                <c:pt idx="172">
                  <c:v>9/16/2019</c:v>
                </c:pt>
                <c:pt idx="173">
                  <c:v>9/17/2019</c:v>
                </c:pt>
                <c:pt idx="174">
                  <c:v>9/18/2019</c:v>
                </c:pt>
                <c:pt idx="175">
                  <c:v>9/19/2019</c:v>
                </c:pt>
                <c:pt idx="176">
                  <c:v>9/20/2019</c:v>
                </c:pt>
                <c:pt idx="177">
                  <c:v>9/23/2019</c:v>
                </c:pt>
                <c:pt idx="178">
                  <c:v>9/24/2019</c:v>
                </c:pt>
                <c:pt idx="179">
                  <c:v>9/25/2019</c:v>
                </c:pt>
                <c:pt idx="180">
                  <c:v>9/26/2019</c:v>
                </c:pt>
                <c:pt idx="181">
                  <c:v>9/27/2019</c:v>
                </c:pt>
                <c:pt idx="182">
                  <c:v>9/30/2019</c:v>
                </c:pt>
                <c:pt idx="183">
                  <c:v>10/1/2019</c:v>
                </c:pt>
                <c:pt idx="184">
                  <c:v>10/2/2019</c:v>
                </c:pt>
                <c:pt idx="185">
                  <c:v>10/3/2019</c:v>
                </c:pt>
                <c:pt idx="186">
                  <c:v>10/4/2019</c:v>
                </c:pt>
                <c:pt idx="187">
                  <c:v>10/7/2019</c:v>
                </c:pt>
                <c:pt idx="188">
                  <c:v>10/8/2019</c:v>
                </c:pt>
                <c:pt idx="189">
                  <c:v>10/9/2019</c:v>
                </c:pt>
                <c:pt idx="190">
                  <c:v>10/10/2019</c:v>
                </c:pt>
                <c:pt idx="191">
                  <c:v>10/11/2019</c:v>
                </c:pt>
                <c:pt idx="192">
                  <c:v>10/14/2019</c:v>
                </c:pt>
                <c:pt idx="193">
                  <c:v>10/15/2019</c:v>
                </c:pt>
                <c:pt idx="194">
                  <c:v>10/16/2019</c:v>
                </c:pt>
                <c:pt idx="195">
                  <c:v>10/17/2019</c:v>
                </c:pt>
                <c:pt idx="196">
                  <c:v>10/18/2019</c:v>
                </c:pt>
                <c:pt idx="197">
                  <c:v>10/21/2019</c:v>
                </c:pt>
                <c:pt idx="198">
                  <c:v>10/22/2019</c:v>
                </c:pt>
                <c:pt idx="199">
                  <c:v>10/23/2019</c:v>
                </c:pt>
                <c:pt idx="200">
                  <c:v>10/24/2019</c:v>
                </c:pt>
                <c:pt idx="201">
                  <c:v>10/25/2019</c:v>
                </c:pt>
                <c:pt idx="202">
                  <c:v>10/28/2019</c:v>
                </c:pt>
                <c:pt idx="203">
                  <c:v>10/29/2019</c:v>
                </c:pt>
                <c:pt idx="204">
                  <c:v>10/30/2019</c:v>
                </c:pt>
                <c:pt idx="205">
                  <c:v>10/31/2019</c:v>
                </c:pt>
                <c:pt idx="206">
                  <c:v>11/1/2019</c:v>
                </c:pt>
                <c:pt idx="207">
                  <c:v>11/4/2019</c:v>
                </c:pt>
                <c:pt idx="208">
                  <c:v>11/5/2019</c:v>
                </c:pt>
                <c:pt idx="209">
                  <c:v>11/6/2019</c:v>
                </c:pt>
                <c:pt idx="210">
                  <c:v>11/7/2019</c:v>
                </c:pt>
                <c:pt idx="211">
                  <c:v>11/8/2019</c:v>
                </c:pt>
                <c:pt idx="212">
                  <c:v>11/11/2019</c:v>
                </c:pt>
                <c:pt idx="213">
                  <c:v>11/12/2019</c:v>
                </c:pt>
                <c:pt idx="214">
                  <c:v>11/13/2019</c:v>
                </c:pt>
                <c:pt idx="215">
                  <c:v>11/14/2019</c:v>
                </c:pt>
                <c:pt idx="216">
                  <c:v>11/15/2019</c:v>
                </c:pt>
                <c:pt idx="217">
                  <c:v>11/18/2019</c:v>
                </c:pt>
                <c:pt idx="218">
                  <c:v>11/19/2019</c:v>
                </c:pt>
                <c:pt idx="219">
                  <c:v>11/20/2019</c:v>
                </c:pt>
                <c:pt idx="220">
                  <c:v>11/21/2019</c:v>
                </c:pt>
                <c:pt idx="221">
                  <c:v>11/22/2019</c:v>
                </c:pt>
                <c:pt idx="222">
                  <c:v>11/25/2019</c:v>
                </c:pt>
                <c:pt idx="223">
                  <c:v>11/26/2019</c:v>
                </c:pt>
                <c:pt idx="224">
                  <c:v>11/27/2019</c:v>
                </c:pt>
                <c:pt idx="225">
                  <c:v>11/28/2019</c:v>
                </c:pt>
                <c:pt idx="226">
                  <c:v>11/29/2019</c:v>
                </c:pt>
                <c:pt idx="227">
                  <c:v>12/2/2019</c:v>
                </c:pt>
                <c:pt idx="228">
                  <c:v>12/3/2019</c:v>
                </c:pt>
                <c:pt idx="229">
                  <c:v>12/4/2019</c:v>
                </c:pt>
                <c:pt idx="230">
                  <c:v>12/5/2019</c:v>
                </c:pt>
                <c:pt idx="231">
                  <c:v>12/6/2019</c:v>
                </c:pt>
                <c:pt idx="232">
                  <c:v>12/9/2019</c:v>
                </c:pt>
                <c:pt idx="233">
                  <c:v>12/10/2019</c:v>
                </c:pt>
                <c:pt idx="234">
                  <c:v>12/11/2019</c:v>
                </c:pt>
                <c:pt idx="235">
                  <c:v>12/12/2019</c:v>
                </c:pt>
                <c:pt idx="236">
                  <c:v>12/13/2019</c:v>
                </c:pt>
                <c:pt idx="237">
                  <c:v>12/16/2019</c:v>
                </c:pt>
                <c:pt idx="238">
                  <c:v>12/17/2019</c:v>
                </c:pt>
                <c:pt idx="239">
                  <c:v>12/18/2019</c:v>
                </c:pt>
                <c:pt idx="240">
                  <c:v>12/19/2019</c:v>
                </c:pt>
                <c:pt idx="241">
                  <c:v>12/20/2019</c:v>
                </c:pt>
                <c:pt idx="242">
                  <c:v>12/23/2019</c:v>
                </c:pt>
                <c:pt idx="243">
                  <c:v>12/24/2019</c:v>
                </c:pt>
                <c:pt idx="244">
                  <c:v>12/25/2019</c:v>
                </c:pt>
                <c:pt idx="245">
                  <c:v>12/26/2019</c:v>
                </c:pt>
                <c:pt idx="246">
                  <c:v>12/27/2019</c:v>
                </c:pt>
                <c:pt idx="247">
                  <c:v>12/30/2019</c:v>
                </c:pt>
                <c:pt idx="248">
                  <c:v>8/1/2020</c:v>
                </c:pt>
                <c:pt idx="249">
                  <c:v>9/1/2020</c:v>
                </c:pt>
                <c:pt idx="250">
                  <c:v>10/1/2020</c:v>
                </c:pt>
                <c:pt idx="251">
                  <c:v>13/01/2020</c:v>
                </c:pt>
                <c:pt idx="252">
                  <c:v>14/01/2020</c:v>
                </c:pt>
                <c:pt idx="253">
                  <c:v>15/01/2020</c:v>
                </c:pt>
                <c:pt idx="254">
                  <c:v>16/01/2020</c:v>
                </c:pt>
                <c:pt idx="255">
                  <c:v>17/01/2020</c:v>
                </c:pt>
                <c:pt idx="256">
                  <c:v>20/01/2020</c:v>
                </c:pt>
                <c:pt idx="257">
                  <c:v>21/01/2020</c:v>
                </c:pt>
                <c:pt idx="258">
                  <c:v>22/01/2020</c:v>
                </c:pt>
                <c:pt idx="259">
                  <c:v>23/01/2020</c:v>
                </c:pt>
                <c:pt idx="260">
                  <c:v>24/01/2020</c:v>
                </c:pt>
                <c:pt idx="261">
                  <c:v>29/01/2020</c:v>
                </c:pt>
                <c:pt idx="262">
                  <c:v>30/01/2020</c:v>
                </c:pt>
                <c:pt idx="263">
                  <c:v>31/01/2020</c:v>
                </c:pt>
                <c:pt idx="264">
                  <c:v>1/2/2020</c:v>
                </c:pt>
                <c:pt idx="265">
                  <c:v>3/2/2020</c:v>
                </c:pt>
                <c:pt idx="266">
                  <c:v>4/2/2020</c:v>
                </c:pt>
                <c:pt idx="267">
                  <c:v>5/2/2020</c:v>
                </c:pt>
                <c:pt idx="268">
                  <c:v>6/2/2020</c:v>
                </c:pt>
                <c:pt idx="269">
                  <c:v>7/2/2020</c:v>
                </c:pt>
                <c:pt idx="270">
                  <c:v>10/2/2020</c:v>
                </c:pt>
                <c:pt idx="271">
                  <c:v>11/2/2020</c:v>
                </c:pt>
                <c:pt idx="272">
                  <c:v>12/2/2020</c:v>
                </c:pt>
                <c:pt idx="273">
                  <c:v>13/02/2020</c:v>
                </c:pt>
                <c:pt idx="274">
                  <c:v>14/02/2020</c:v>
                </c:pt>
                <c:pt idx="275">
                  <c:v>17/02/2020</c:v>
                </c:pt>
                <c:pt idx="276">
                  <c:v>18/02/2020</c:v>
                </c:pt>
                <c:pt idx="277">
                  <c:v>19/02/2020</c:v>
                </c:pt>
                <c:pt idx="278">
                  <c:v>20/02/2020</c:v>
                </c:pt>
                <c:pt idx="279">
                  <c:v>21/02/2020</c:v>
                </c:pt>
                <c:pt idx="280">
                  <c:v>24/02/2020</c:v>
                </c:pt>
                <c:pt idx="281">
                  <c:v>25/02/2020</c:v>
                </c:pt>
                <c:pt idx="282">
                  <c:v>26/02/2020</c:v>
                </c:pt>
                <c:pt idx="283">
                  <c:v>27/02/2020</c:v>
                </c:pt>
                <c:pt idx="284">
                  <c:v>28/02/2020</c:v>
                </c:pt>
                <c:pt idx="285">
                  <c:v>2/3/2020</c:v>
                </c:pt>
                <c:pt idx="286">
                  <c:v>3/3/2020</c:v>
                </c:pt>
                <c:pt idx="287">
                  <c:v>4/3/2020</c:v>
                </c:pt>
                <c:pt idx="288">
                  <c:v>5/3/2020</c:v>
                </c:pt>
                <c:pt idx="289">
                  <c:v>6/3/2020</c:v>
                </c:pt>
                <c:pt idx="290">
                  <c:v>9/3/2020</c:v>
                </c:pt>
                <c:pt idx="291">
                  <c:v>10/3/2020</c:v>
                </c:pt>
                <c:pt idx="292">
                  <c:v>11/3/2020</c:v>
                </c:pt>
                <c:pt idx="293">
                  <c:v>12/3/2020</c:v>
                </c:pt>
                <c:pt idx="294">
                  <c:v>13/03/2020</c:v>
                </c:pt>
                <c:pt idx="295">
                  <c:v>16/03/2020</c:v>
                </c:pt>
                <c:pt idx="296">
                  <c:v>17/03/2020</c:v>
                </c:pt>
                <c:pt idx="297">
                  <c:v>18/03/2020</c:v>
                </c:pt>
                <c:pt idx="298">
                  <c:v>19/03/2020</c:v>
                </c:pt>
                <c:pt idx="299">
                  <c:v>20/03/2020</c:v>
                </c:pt>
                <c:pt idx="300">
                  <c:v>23/03/2020</c:v>
                </c:pt>
                <c:pt idx="301">
                  <c:v>24/03/2020</c:v>
                </c:pt>
                <c:pt idx="302">
                  <c:v>25/03/2020</c:v>
                </c:pt>
                <c:pt idx="303">
                  <c:v>26/03/2020</c:v>
                </c:pt>
                <c:pt idx="304">
                  <c:v>27/03/2020</c:v>
                </c:pt>
                <c:pt idx="305">
                  <c:v>30/03/2020</c:v>
                </c:pt>
                <c:pt idx="306">
                  <c:v>31/03/2020</c:v>
                </c:pt>
                <c:pt idx="307">
                  <c:v>1/4/2020</c:v>
                </c:pt>
                <c:pt idx="308">
                  <c:v>2/4/2020</c:v>
                </c:pt>
                <c:pt idx="309">
                  <c:v>3/4/2020</c:v>
                </c:pt>
                <c:pt idx="310">
                  <c:v>6/4/2020</c:v>
                </c:pt>
                <c:pt idx="311">
                  <c:v>7/4/2020</c:v>
                </c:pt>
                <c:pt idx="312">
                  <c:v>8/4/2020</c:v>
                </c:pt>
                <c:pt idx="313">
                  <c:v>9/4/2020</c:v>
                </c:pt>
                <c:pt idx="314">
                  <c:v>10/4/2020</c:v>
                </c:pt>
                <c:pt idx="315">
                  <c:v>13/04/2020</c:v>
                </c:pt>
                <c:pt idx="316">
                  <c:v>14/04/2020</c:v>
                </c:pt>
                <c:pt idx="317">
                  <c:v>15/04/2020</c:v>
                </c:pt>
                <c:pt idx="318">
                  <c:v>16/04/2020</c:v>
                </c:pt>
                <c:pt idx="319">
                  <c:v>17/04/2020</c:v>
                </c:pt>
                <c:pt idx="320">
                  <c:v>20/04/2020</c:v>
                </c:pt>
                <c:pt idx="321">
                  <c:v>21/04/2020</c:v>
                </c:pt>
                <c:pt idx="322">
                  <c:v>22/04/2020</c:v>
                </c:pt>
                <c:pt idx="323">
                  <c:v>23/04/2020</c:v>
                </c:pt>
                <c:pt idx="324">
                  <c:v>27/04/2020</c:v>
                </c:pt>
                <c:pt idx="325">
                  <c:v>28/04/2020</c:v>
                </c:pt>
                <c:pt idx="326">
                  <c:v>29/04/2020</c:v>
                </c:pt>
                <c:pt idx="327">
                  <c:v>30/04/2020</c:v>
                </c:pt>
                <c:pt idx="328">
                  <c:v>4/5/2020</c:v>
                </c:pt>
                <c:pt idx="329">
                  <c:v>5/5/2020</c:v>
                </c:pt>
                <c:pt idx="330">
                  <c:v>6/5/2020</c:v>
                </c:pt>
                <c:pt idx="331">
                  <c:v>7/5/2020</c:v>
                </c:pt>
                <c:pt idx="332">
                  <c:v>8/5/2020</c:v>
                </c:pt>
                <c:pt idx="333">
                  <c:v>11/5/2020</c:v>
                </c:pt>
                <c:pt idx="334">
                  <c:v>12/5/2020</c:v>
                </c:pt>
                <c:pt idx="335">
                  <c:v>13/05/2020</c:v>
                </c:pt>
                <c:pt idx="336">
                  <c:v>14/05/2020</c:v>
                </c:pt>
                <c:pt idx="337">
                  <c:v>15/05/2020</c:v>
                </c:pt>
                <c:pt idx="338">
                  <c:v>18/05/2020</c:v>
                </c:pt>
                <c:pt idx="339">
                  <c:v>19/05/2020</c:v>
                </c:pt>
                <c:pt idx="340">
                  <c:v>20/05/2020</c:v>
                </c:pt>
                <c:pt idx="341">
                  <c:v>21/05/2020</c:v>
                </c:pt>
                <c:pt idx="342">
                  <c:v>22/05/2020</c:v>
                </c:pt>
                <c:pt idx="343">
                  <c:v>23/05/2020</c:v>
                </c:pt>
                <c:pt idx="344">
                  <c:v>25/05/2020</c:v>
                </c:pt>
                <c:pt idx="345">
                  <c:v>26/05/2020</c:v>
                </c:pt>
                <c:pt idx="346">
                  <c:v>27/05/2020</c:v>
                </c:pt>
                <c:pt idx="347">
                  <c:v>1/6/2020</c:v>
                </c:pt>
                <c:pt idx="348">
                  <c:v>2/6/2020</c:v>
                </c:pt>
                <c:pt idx="349">
                  <c:v>3/6/2020</c:v>
                </c:pt>
                <c:pt idx="350">
                  <c:v>4/6/2020</c:v>
                </c:pt>
                <c:pt idx="351">
                  <c:v>5/6/2020</c:v>
                </c:pt>
                <c:pt idx="352">
                  <c:v>8/6/2020</c:v>
                </c:pt>
                <c:pt idx="353">
                  <c:v>9/6/2020</c:v>
                </c:pt>
                <c:pt idx="354">
                  <c:v>10/6/2020</c:v>
                </c:pt>
                <c:pt idx="355">
                  <c:v>11/6/2020</c:v>
                </c:pt>
                <c:pt idx="356">
                  <c:v>12/6/2020</c:v>
                </c:pt>
                <c:pt idx="357">
                  <c:v>15/06/2020</c:v>
                </c:pt>
                <c:pt idx="358">
                  <c:v>16/06/2020</c:v>
                </c:pt>
                <c:pt idx="359">
                  <c:v>17/06/2020</c:v>
                </c:pt>
                <c:pt idx="360">
                  <c:v>18/06/2020</c:v>
                </c:pt>
                <c:pt idx="361">
                  <c:v>19/06/2020</c:v>
                </c:pt>
                <c:pt idx="362">
                  <c:v>22/06/2020</c:v>
                </c:pt>
                <c:pt idx="363">
                  <c:v>23/06/2020</c:v>
                </c:pt>
                <c:pt idx="364">
                  <c:v>24/06/2020</c:v>
                </c:pt>
                <c:pt idx="365">
                  <c:v>25/06/2020</c:v>
                </c:pt>
                <c:pt idx="366">
                  <c:v>26/06/2020</c:v>
                </c:pt>
                <c:pt idx="367">
                  <c:v>29/06/2020</c:v>
                </c:pt>
                <c:pt idx="368">
                  <c:v>30/06/2020</c:v>
                </c:pt>
                <c:pt idx="369">
                  <c:v>1/7/2020</c:v>
                </c:pt>
                <c:pt idx="370">
                  <c:v>2/7/2020</c:v>
                </c:pt>
                <c:pt idx="371">
                  <c:v>3/7/2020</c:v>
                </c:pt>
                <c:pt idx="372">
                  <c:v>6/7/2020</c:v>
                </c:pt>
                <c:pt idx="373">
                  <c:v>7/7/2020</c:v>
                </c:pt>
                <c:pt idx="374">
                  <c:v>8/7/2020</c:v>
                </c:pt>
                <c:pt idx="375">
                  <c:v>9/7/2020</c:v>
                </c:pt>
                <c:pt idx="376">
                  <c:v>10/7/2020</c:v>
                </c:pt>
                <c:pt idx="377">
                  <c:v>13/07/2020</c:v>
                </c:pt>
                <c:pt idx="378">
                  <c:v>14/07/2020</c:v>
                </c:pt>
                <c:pt idx="379">
                  <c:v>15/07/2020</c:v>
                </c:pt>
                <c:pt idx="380">
                  <c:v>16/07/2020</c:v>
                </c:pt>
                <c:pt idx="381">
                  <c:v>17/07/2020</c:v>
                </c:pt>
                <c:pt idx="382">
                  <c:v>20/07/2020</c:v>
                </c:pt>
                <c:pt idx="383">
                  <c:v>21/07/2020</c:v>
                </c:pt>
                <c:pt idx="384">
                  <c:v>22/07/2020</c:v>
                </c:pt>
                <c:pt idx="385">
                  <c:v>23/07/2020</c:v>
                </c:pt>
                <c:pt idx="386">
                  <c:v>24/07/2020</c:v>
                </c:pt>
                <c:pt idx="387">
                  <c:v>27/07/2020</c:v>
                </c:pt>
                <c:pt idx="388">
                  <c:v>28/07/2020</c:v>
                </c:pt>
                <c:pt idx="389">
                  <c:v>29/07/2020</c:v>
                </c:pt>
                <c:pt idx="390">
                  <c:v>30/07/2020</c:v>
                </c:pt>
                <c:pt idx="391">
                  <c:v>31/07/2020</c:v>
                </c:pt>
                <c:pt idx="392">
                  <c:v>3/8/2020</c:v>
                </c:pt>
                <c:pt idx="393">
                  <c:v>4/8/2020</c:v>
                </c:pt>
                <c:pt idx="394">
                  <c:v>5/8/2020</c:v>
                </c:pt>
                <c:pt idx="395">
                  <c:v>6/8/2020</c:v>
                </c:pt>
                <c:pt idx="396">
                  <c:v>7/8/2020</c:v>
                </c:pt>
                <c:pt idx="397">
                  <c:v>10/8/2020</c:v>
                </c:pt>
                <c:pt idx="398">
                  <c:v>11/8/2020</c:v>
                </c:pt>
                <c:pt idx="399">
                  <c:v>12/8/2020</c:v>
                </c:pt>
                <c:pt idx="400">
                  <c:v>13/08/2020</c:v>
                </c:pt>
                <c:pt idx="401">
                  <c:v>14/08/2020</c:v>
                </c:pt>
                <c:pt idx="402">
                  <c:v>17/08/2020</c:v>
                </c:pt>
                <c:pt idx="403">
                  <c:v>18/08/2020</c:v>
                </c:pt>
                <c:pt idx="404">
                  <c:v>19/08/2020</c:v>
                </c:pt>
                <c:pt idx="405">
                  <c:v>20/08/2020</c:v>
                </c:pt>
                <c:pt idx="406">
                  <c:v>21/08/2020</c:v>
                </c:pt>
                <c:pt idx="407">
                  <c:v>24/08/2020</c:v>
                </c:pt>
                <c:pt idx="408">
                  <c:v>25/08/2020</c:v>
                </c:pt>
                <c:pt idx="409">
                  <c:v>26/08/2020</c:v>
                </c:pt>
                <c:pt idx="410">
                  <c:v>27/08/2020</c:v>
                </c:pt>
                <c:pt idx="411">
                  <c:v>28/08/2020</c:v>
                </c:pt>
                <c:pt idx="412">
                  <c:v>31/08/2020</c:v>
                </c:pt>
                <c:pt idx="413">
                  <c:v>1/9/2020</c:v>
                </c:pt>
                <c:pt idx="414">
                  <c:v>2/9/2020</c:v>
                </c:pt>
                <c:pt idx="415">
                  <c:v>3/9/2020</c:v>
                </c:pt>
                <c:pt idx="416">
                  <c:v>4/9/2020</c:v>
                </c:pt>
                <c:pt idx="417">
                  <c:v>7/9/2020</c:v>
                </c:pt>
                <c:pt idx="418">
                  <c:v>8/9/2020</c:v>
                </c:pt>
                <c:pt idx="419">
                  <c:v>9/9/2020</c:v>
                </c:pt>
                <c:pt idx="420">
                  <c:v>10/9/2020</c:v>
                </c:pt>
                <c:pt idx="421">
                  <c:v>11/9/2020</c:v>
                </c:pt>
                <c:pt idx="422">
                  <c:v>14/09/2020</c:v>
                </c:pt>
                <c:pt idx="423">
                  <c:v>15/09/2020</c:v>
                </c:pt>
                <c:pt idx="424">
                  <c:v>16/09/2020</c:v>
                </c:pt>
                <c:pt idx="425">
                  <c:v>17/09/2020</c:v>
                </c:pt>
                <c:pt idx="426">
                  <c:v>18/09/2020</c:v>
                </c:pt>
                <c:pt idx="427">
                  <c:v>22/09/2020</c:v>
                </c:pt>
                <c:pt idx="428">
                  <c:v>23/09/2020</c:v>
                </c:pt>
                <c:pt idx="429">
                  <c:v>24/09/2020</c:v>
                </c:pt>
                <c:pt idx="430">
                  <c:v>25/09/2020</c:v>
                </c:pt>
                <c:pt idx="431">
                  <c:v>28/09/2020</c:v>
                </c:pt>
                <c:pt idx="432">
                  <c:v>29/09/2020</c:v>
                </c:pt>
                <c:pt idx="433">
                  <c:v>30/09/2020</c:v>
                </c:pt>
                <c:pt idx="434">
                  <c:v>1/10/2020</c:v>
                </c:pt>
                <c:pt idx="435">
                  <c:v>2/10/2020</c:v>
                </c:pt>
                <c:pt idx="436">
                  <c:v>5/10/2020</c:v>
                </c:pt>
                <c:pt idx="437">
                  <c:v>6/10/2020</c:v>
                </c:pt>
                <c:pt idx="438">
                  <c:v>7/10/2020</c:v>
                </c:pt>
                <c:pt idx="439">
                  <c:v>8/10/2020</c:v>
                </c:pt>
                <c:pt idx="440">
                  <c:v>9/10/2020</c:v>
                </c:pt>
                <c:pt idx="441">
                  <c:v>12/10/2020</c:v>
                </c:pt>
                <c:pt idx="442">
                  <c:v>13/10/2020</c:v>
                </c:pt>
                <c:pt idx="443">
                  <c:v>14/10/2020</c:v>
                </c:pt>
                <c:pt idx="444">
                  <c:v>15/10/2020</c:v>
                </c:pt>
                <c:pt idx="445">
                  <c:v>16/10/2020</c:v>
                </c:pt>
                <c:pt idx="446">
                  <c:v>19/10/2020</c:v>
                </c:pt>
                <c:pt idx="447">
                  <c:v>20/10/2020</c:v>
                </c:pt>
                <c:pt idx="448">
                  <c:v>21/10/2020</c:v>
                </c:pt>
                <c:pt idx="449">
                  <c:v>22/10/2020</c:v>
                </c:pt>
                <c:pt idx="450">
                  <c:v>23/10/2020</c:v>
                </c:pt>
                <c:pt idx="451">
                  <c:v>26/10/2020</c:v>
                </c:pt>
                <c:pt idx="452">
                  <c:v>27/10/2020</c:v>
                </c:pt>
                <c:pt idx="453">
                  <c:v>28/10/2020</c:v>
                </c:pt>
                <c:pt idx="454">
                  <c:v>29/10/2020</c:v>
                </c:pt>
                <c:pt idx="455">
                  <c:v>30/10/2020</c:v>
                </c:pt>
                <c:pt idx="456">
                  <c:v>2/11/2020</c:v>
                </c:pt>
                <c:pt idx="457">
                  <c:v>3/11/2020</c:v>
                </c:pt>
              </c:strCache>
            </c:strRef>
          </c:cat>
          <c:val>
            <c:numRef>
              <c:f>Sheet1!$C$2:$C$469</c:f>
              <c:numCache>
                <c:formatCode>0</c:formatCode>
                <c:ptCount val="458"/>
                <c:pt idx="0">
                  <c:v>100</c:v>
                </c:pt>
                <c:pt idx="1">
                  <c:v>100.08671057249617</c:v>
                </c:pt>
                <c:pt idx="2">
                  <c:v>100.23742180564443</c:v>
                </c:pt>
                <c:pt idx="3">
                  <c:v>100.33239052790221</c:v>
                </c:pt>
                <c:pt idx="4">
                  <c:v>100.42116563783887</c:v>
                </c:pt>
                <c:pt idx="5">
                  <c:v>100.46658546152736</c:v>
                </c:pt>
                <c:pt idx="6">
                  <c:v>100.45626277432542</c:v>
                </c:pt>
                <c:pt idx="7">
                  <c:v>100.29729339141568</c:v>
                </c:pt>
                <c:pt idx="8">
                  <c:v>100.21677643124056</c:v>
                </c:pt>
                <c:pt idx="9">
                  <c:v>100.15277577058852</c:v>
                </c:pt>
                <c:pt idx="10">
                  <c:v>100.16516299523092</c:v>
                </c:pt>
                <c:pt idx="11">
                  <c:v>100.16722753267128</c:v>
                </c:pt>
                <c:pt idx="12">
                  <c:v>100.29109977909449</c:v>
                </c:pt>
                <c:pt idx="13">
                  <c:v>100.28490616677333</c:v>
                </c:pt>
                <c:pt idx="14">
                  <c:v>100.44800462456386</c:v>
                </c:pt>
                <c:pt idx="15">
                  <c:v>100.42942378760041</c:v>
                </c:pt>
                <c:pt idx="16">
                  <c:v>100.53884427194086</c:v>
                </c:pt>
                <c:pt idx="17">
                  <c:v>100.55742510890434</c:v>
                </c:pt>
                <c:pt idx="18">
                  <c:v>100.63381299419864</c:v>
                </c:pt>
                <c:pt idx="19">
                  <c:v>100.67716828044675</c:v>
                </c:pt>
                <c:pt idx="20">
                  <c:v>100.80310506431036</c:v>
                </c:pt>
                <c:pt idx="21">
                  <c:v>100.89188017424695</c:v>
                </c:pt>
                <c:pt idx="22">
                  <c:v>100.99510704626627</c:v>
                </c:pt>
                <c:pt idx="23">
                  <c:v>101.13136651733176</c:v>
                </c:pt>
                <c:pt idx="24">
                  <c:v>101.08388215620283</c:v>
                </c:pt>
                <c:pt idx="25">
                  <c:v>100.92491277329313</c:v>
                </c:pt>
                <c:pt idx="26">
                  <c:v>100.74736255341988</c:v>
                </c:pt>
                <c:pt idx="27">
                  <c:v>100.64826475628134</c:v>
                </c:pt>
                <c:pt idx="28">
                  <c:v>100.6317484567582</c:v>
                </c:pt>
                <c:pt idx="29">
                  <c:v>100.64620021884096</c:v>
                </c:pt>
                <c:pt idx="30">
                  <c:v>100.6647810558044</c:v>
                </c:pt>
                <c:pt idx="31">
                  <c:v>100.76387885294295</c:v>
                </c:pt>
                <c:pt idx="32">
                  <c:v>100.89600924912774</c:v>
                </c:pt>
                <c:pt idx="33">
                  <c:v>100.92078369841236</c:v>
                </c:pt>
                <c:pt idx="34">
                  <c:v>100.94142907281628</c:v>
                </c:pt>
                <c:pt idx="35">
                  <c:v>101.03433325763361</c:v>
                </c:pt>
                <c:pt idx="36">
                  <c:v>101.10452753060675</c:v>
                </c:pt>
                <c:pt idx="37">
                  <c:v>101.19949625286451</c:v>
                </c:pt>
                <c:pt idx="38">
                  <c:v>101.30272312488384</c:v>
                </c:pt>
                <c:pt idx="39">
                  <c:v>101.28620682536079</c:v>
                </c:pt>
                <c:pt idx="40">
                  <c:v>101.1127856803683</c:v>
                </c:pt>
                <c:pt idx="41">
                  <c:v>100.97239713442194</c:v>
                </c:pt>
                <c:pt idx="42">
                  <c:v>100.86710572496233</c:v>
                </c:pt>
                <c:pt idx="43">
                  <c:v>100.76800792782375</c:v>
                </c:pt>
                <c:pt idx="44">
                  <c:v>100.61523215723513</c:v>
                </c:pt>
                <c:pt idx="45">
                  <c:v>100.49135991081199</c:v>
                </c:pt>
                <c:pt idx="46">
                  <c:v>100.46658546152736</c:v>
                </c:pt>
                <c:pt idx="47">
                  <c:v>100.44387554968309</c:v>
                </c:pt>
                <c:pt idx="48">
                  <c:v>100.3922621136734</c:v>
                </c:pt>
                <c:pt idx="49">
                  <c:v>100.31793876581952</c:v>
                </c:pt>
                <c:pt idx="50">
                  <c:v>100.35716497718687</c:v>
                </c:pt>
                <c:pt idx="51">
                  <c:v>100.30761607861761</c:v>
                </c:pt>
                <c:pt idx="52">
                  <c:v>100.33239052790221</c:v>
                </c:pt>
                <c:pt idx="53">
                  <c:v>100.36748766438879</c:v>
                </c:pt>
                <c:pt idx="54">
                  <c:v>100.40052026343497</c:v>
                </c:pt>
                <c:pt idx="55">
                  <c:v>100.40052026343497</c:v>
                </c:pt>
                <c:pt idx="56">
                  <c:v>100.42735925015998</c:v>
                </c:pt>
                <c:pt idx="57">
                  <c:v>100.42323017527923</c:v>
                </c:pt>
                <c:pt idx="58">
                  <c:v>100.43355286248112</c:v>
                </c:pt>
                <c:pt idx="59">
                  <c:v>100.51200528521591</c:v>
                </c:pt>
                <c:pt idx="60">
                  <c:v>100.60284493259279</c:v>
                </c:pt>
                <c:pt idx="61">
                  <c:v>100.6296839193179</c:v>
                </c:pt>
                <c:pt idx="62">
                  <c:v>100.60903854491397</c:v>
                </c:pt>
                <c:pt idx="63">
                  <c:v>100.44800462456386</c:v>
                </c:pt>
                <c:pt idx="64">
                  <c:v>100.30142246629642</c:v>
                </c:pt>
                <c:pt idx="65">
                  <c:v>100.13213039618465</c:v>
                </c:pt>
                <c:pt idx="66">
                  <c:v>100.13419493362511</c:v>
                </c:pt>
                <c:pt idx="67">
                  <c:v>100.07845242273463</c:v>
                </c:pt>
                <c:pt idx="68">
                  <c:v>99.991741850238455</c:v>
                </c:pt>
                <c:pt idx="69">
                  <c:v>99.799739868282515</c:v>
                </c:pt>
                <c:pt idx="70">
                  <c:v>99.686190309061232</c:v>
                </c:pt>
                <c:pt idx="71">
                  <c:v>99.574705287280381</c:v>
                </c:pt>
                <c:pt idx="72">
                  <c:v>99.50657555174763</c:v>
                </c:pt>
                <c:pt idx="73">
                  <c:v>99.419864979251429</c:v>
                </c:pt>
                <c:pt idx="74">
                  <c:v>99.421929516691762</c:v>
                </c:pt>
                <c:pt idx="75">
                  <c:v>99.372380618122449</c:v>
                </c:pt>
                <c:pt idx="76">
                  <c:v>99.357928856039749</c:v>
                </c:pt>
                <c:pt idx="77">
                  <c:v>99.196894935689627</c:v>
                </c:pt>
                <c:pt idx="78">
                  <c:v>99.192765860808848</c:v>
                </c:pt>
                <c:pt idx="79">
                  <c:v>99.252637446580039</c:v>
                </c:pt>
                <c:pt idx="80">
                  <c:v>99.364122468360989</c:v>
                </c:pt>
                <c:pt idx="81">
                  <c:v>99.436381278774448</c:v>
                </c:pt>
                <c:pt idx="82">
                  <c:v>99.502446476866808</c:v>
                </c:pt>
                <c:pt idx="83">
                  <c:v>99.545801763114952</c:v>
                </c:pt>
                <c:pt idx="84">
                  <c:v>99.372380618122435</c:v>
                </c:pt>
                <c:pt idx="85">
                  <c:v>99.273282820983908</c:v>
                </c:pt>
                <c:pt idx="86">
                  <c:v>99.205153085451187</c:v>
                </c:pt>
                <c:pt idx="87">
                  <c:v>99.126700662716473</c:v>
                </c:pt>
                <c:pt idx="88">
                  <c:v>99.039990090220272</c:v>
                </c:pt>
                <c:pt idx="89">
                  <c:v>99.103990750872242</c:v>
                </c:pt>
                <c:pt idx="90">
                  <c:v>99.015215640935679</c:v>
                </c:pt>
                <c:pt idx="91">
                  <c:v>99.023473790697182</c:v>
                </c:pt>
                <c:pt idx="92">
                  <c:v>99.093668063670322</c:v>
                </c:pt>
                <c:pt idx="93">
                  <c:v>99.103990750872256</c:v>
                </c:pt>
                <c:pt idx="94">
                  <c:v>99.134958812478004</c:v>
                </c:pt>
                <c:pt idx="95">
                  <c:v>99.165926874083809</c:v>
                </c:pt>
                <c:pt idx="96">
                  <c:v>99.153539649441541</c:v>
                </c:pt>
                <c:pt idx="97">
                  <c:v>99.118442512954886</c:v>
                </c:pt>
                <c:pt idx="98">
                  <c:v>99.139087887358784</c:v>
                </c:pt>
                <c:pt idx="99">
                  <c:v>99.101926213431838</c:v>
                </c:pt>
                <c:pt idx="100">
                  <c:v>99.054441852302972</c:v>
                </c:pt>
                <c:pt idx="101">
                  <c:v>99.009022028614481</c:v>
                </c:pt>
                <c:pt idx="102">
                  <c:v>99.017280178376083</c:v>
                </c:pt>
                <c:pt idx="103">
                  <c:v>98.998699341412618</c:v>
                </c:pt>
                <c:pt idx="104">
                  <c:v>98.965666742366395</c:v>
                </c:pt>
                <c:pt idx="105">
                  <c:v>98.895472469393241</c:v>
                </c:pt>
                <c:pt idx="106">
                  <c:v>98.796374672254672</c:v>
                </c:pt>
                <c:pt idx="107">
                  <c:v>98.767471148089257</c:v>
                </c:pt>
                <c:pt idx="108">
                  <c:v>98.649792513987208</c:v>
                </c:pt>
                <c:pt idx="109">
                  <c:v>98.639469826785287</c:v>
                </c:pt>
                <c:pt idx="110">
                  <c:v>98.693147800235351</c:v>
                </c:pt>
                <c:pt idx="111">
                  <c:v>98.587856390775642</c:v>
                </c:pt>
                <c:pt idx="112">
                  <c:v>98.587856390775642</c:v>
                </c:pt>
                <c:pt idx="113">
                  <c:v>98.645663439106499</c:v>
                </c:pt>
                <c:pt idx="114">
                  <c:v>98.492887668517866</c:v>
                </c:pt>
                <c:pt idx="115">
                  <c:v>98.546565641967959</c:v>
                </c:pt>
                <c:pt idx="116">
                  <c:v>98.544501104527512</c:v>
                </c:pt>
                <c:pt idx="117">
                  <c:v>98.501145818279412</c:v>
                </c:pt>
                <c:pt idx="118">
                  <c:v>98.474306831554344</c:v>
                </c:pt>
                <c:pt idx="119">
                  <c:v>98.499081280839036</c:v>
                </c:pt>
                <c:pt idx="120">
                  <c:v>98.482564981315988</c:v>
                </c:pt>
                <c:pt idx="121">
                  <c:v>98.48050044387557</c:v>
                </c:pt>
                <c:pt idx="122">
                  <c:v>98.457790532031254</c:v>
                </c:pt>
                <c:pt idx="123">
                  <c:v>98.478435906435124</c:v>
                </c:pt>
                <c:pt idx="124">
                  <c:v>98.393789871379312</c:v>
                </c:pt>
                <c:pt idx="125">
                  <c:v>98.46604868179287</c:v>
                </c:pt>
                <c:pt idx="126">
                  <c:v>98.412370708342792</c:v>
                </c:pt>
                <c:pt idx="127">
                  <c:v>98.412370708342792</c:v>
                </c:pt>
                <c:pt idx="128">
                  <c:v>98.424757932985088</c:v>
                </c:pt>
                <c:pt idx="129">
                  <c:v>98.364886347213883</c:v>
                </c:pt>
                <c:pt idx="130">
                  <c:v>98.356628197452324</c:v>
                </c:pt>
                <c:pt idx="131">
                  <c:v>98.371079959535052</c:v>
                </c:pt>
                <c:pt idx="132">
                  <c:v>98.309143836323415</c:v>
                </c:pt>
                <c:pt idx="133">
                  <c:v>98.298821149121508</c:v>
                </c:pt>
                <c:pt idx="134">
                  <c:v>98.267853087515761</c:v>
                </c:pt>
                <c:pt idx="135">
                  <c:v>98.259594937754159</c:v>
                </c:pt>
                <c:pt idx="136">
                  <c:v>98.2657885500753</c:v>
                </c:pt>
                <c:pt idx="137">
                  <c:v>98.296756611681118</c:v>
                </c:pt>
                <c:pt idx="138">
                  <c:v>98.234820488469524</c:v>
                </c:pt>
                <c:pt idx="139">
                  <c:v>98.232755951029105</c:v>
                </c:pt>
                <c:pt idx="140">
                  <c:v>98.253401325432989</c:v>
                </c:pt>
                <c:pt idx="141">
                  <c:v>98.251336787992585</c:v>
                </c:pt>
                <c:pt idx="142">
                  <c:v>98.302950224002245</c:v>
                </c:pt>
                <c:pt idx="143">
                  <c:v>98.311208373763762</c:v>
                </c:pt>
                <c:pt idx="144">
                  <c:v>98.369015422094591</c:v>
                </c:pt>
                <c:pt idx="145">
                  <c:v>98.315337448644541</c:v>
                </c:pt>
                <c:pt idx="146">
                  <c:v>98.29882114912148</c:v>
                </c:pt>
                <c:pt idx="147">
                  <c:v>98.251336787992585</c:v>
                </c:pt>
                <c:pt idx="148">
                  <c:v>98.259594937754102</c:v>
                </c:pt>
                <c:pt idx="149">
                  <c:v>98.218304188946405</c:v>
                </c:pt>
                <c:pt idx="150">
                  <c:v>98.24514317567143</c:v>
                </c:pt>
                <c:pt idx="151">
                  <c:v>98.255465862873379</c:v>
                </c:pt>
                <c:pt idx="152">
                  <c:v>98.253401325432989</c:v>
                </c:pt>
                <c:pt idx="153">
                  <c:v>98.251336787992614</c:v>
                </c:pt>
                <c:pt idx="154">
                  <c:v>98.259594937754159</c:v>
                </c:pt>
                <c:pt idx="155">
                  <c:v>98.253401325432989</c:v>
                </c:pt>
                <c:pt idx="156">
                  <c:v>98.269917624956094</c:v>
                </c:pt>
                <c:pt idx="157">
                  <c:v>98.31533744864457</c:v>
                </c:pt>
                <c:pt idx="158">
                  <c:v>98.257530400313797</c:v>
                </c:pt>
                <c:pt idx="159">
                  <c:v>98.243078638231083</c:v>
                </c:pt>
                <c:pt idx="160">
                  <c:v>98.263724012634896</c:v>
                </c:pt>
                <c:pt idx="161">
                  <c:v>98.292627536800353</c:v>
                </c:pt>
                <c:pt idx="162">
                  <c:v>98.307079298883082</c:v>
                </c:pt>
                <c:pt idx="163">
                  <c:v>98.340111897929248</c:v>
                </c:pt>
                <c:pt idx="164">
                  <c:v>98.375209034415818</c:v>
                </c:pt>
                <c:pt idx="165">
                  <c:v>98.342176435369652</c:v>
                </c:pt>
                <c:pt idx="166">
                  <c:v>98.385531721617781</c:v>
                </c:pt>
                <c:pt idx="167">
                  <c:v>98.406177096021608</c:v>
                </c:pt>
                <c:pt idx="168">
                  <c:v>98.344240972810098</c:v>
                </c:pt>
                <c:pt idx="169">
                  <c:v>98.34217643536968</c:v>
                </c:pt>
                <c:pt idx="170">
                  <c:v>98.317401986085073</c:v>
                </c:pt>
                <c:pt idx="171">
                  <c:v>98.309143836323486</c:v>
                </c:pt>
                <c:pt idx="172">
                  <c:v>98.305014761442763</c:v>
                </c:pt>
                <c:pt idx="173">
                  <c:v>98.29262753680041</c:v>
                </c:pt>
                <c:pt idx="174">
                  <c:v>98.317401986085073</c:v>
                </c:pt>
                <c:pt idx="175">
                  <c:v>98.325660135846562</c:v>
                </c:pt>
                <c:pt idx="176">
                  <c:v>98.298821149121551</c:v>
                </c:pt>
                <c:pt idx="177">
                  <c:v>98.325660135846562</c:v>
                </c:pt>
                <c:pt idx="178">
                  <c:v>98.29262753680041</c:v>
                </c:pt>
                <c:pt idx="179">
                  <c:v>98.28643392447924</c:v>
                </c:pt>
                <c:pt idx="180">
                  <c:v>98.276111237277306</c:v>
                </c:pt>
                <c:pt idx="181">
                  <c:v>98.271982162396498</c:v>
                </c:pt>
                <c:pt idx="182">
                  <c:v>98.265788550075357</c:v>
                </c:pt>
                <c:pt idx="183">
                  <c:v>98.27404669983693</c:v>
                </c:pt>
                <c:pt idx="184">
                  <c:v>98.305014761442735</c:v>
                </c:pt>
                <c:pt idx="185">
                  <c:v>98.32153106096581</c:v>
                </c:pt>
                <c:pt idx="186">
                  <c:v>98.340111897929276</c:v>
                </c:pt>
                <c:pt idx="187">
                  <c:v>98.379338109296583</c:v>
                </c:pt>
                <c:pt idx="188">
                  <c:v>98.395854408819773</c:v>
                </c:pt>
                <c:pt idx="189">
                  <c:v>98.412370708342863</c:v>
                </c:pt>
                <c:pt idx="190">
                  <c:v>98.416499783223657</c:v>
                </c:pt>
                <c:pt idx="191">
                  <c:v>98.422693395544798</c:v>
                </c:pt>
                <c:pt idx="192">
                  <c:v>98.362821809773578</c:v>
                </c:pt>
                <c:pt idx="193">
                  <c:v>98.389660796498589</c:v>
                </c:pt>
                <c:pt idx="194">
                  <c:v>98.428887007865924</c:v>
                </c:pt>
                <c:pt idx="195">
                  <c:v>98.360757272333188</c:v>
                </c:pt>
                <c:pt idx="196">
                  <c:v>98.342176435369709</c:v>
                </c:pt>
                <c:pt idx="197">
                  <c:v>98.338047360488886</c:v>
                </c:pt>
                <c:pt idx="198">
                  <c:v>98.263724012635009</c:v>
                </c:pt>
                <c:pt idx="199">
                  <c:v>98.269917624956193</c:v>
                </c:pt>
                <c:pt idx="200">
                  <c:v>98.243078638231168</c:v>
                </c:pt>
                <c:pt idx="201">
                  <c:v>98.245143175671544</c:v>
                </c:pt>
                <c:pt idx="202">
                  <c:v>98.27817577471771</c:v>
                </c:pt>
                <c:pt idx="203">
                  <c:v>98.302950224002373</c:v>
                </c:pt>
                <c:pt idx="204">
                  <c:v>98.313272911204308</c:v>
                </c:pt>
                <c:pt idx="205">
                  <c:v>98.292627536800453</c:v>
                </c:pt>
                <c:pt idx="206">
                  <c:v>98.366950884654358</c:v>
                </c:pt>
                <c:pt idx="207">
                  <c:v>98.393789871379383</c:v>
                </c:pt>
                <c:pt idx="208">
                  <c:v>98.389660796498589</c:v>
                </c:pt>
                <c:pt idx="209">
                  <c:v>98.445403307389043</c:v>
                </c:pt>
                <c:pt idx="210">
                  <c:v>98.548630179408349</c:v>
                </c:pt>
                <c:pt idx="211">
                  <c:v>98.513533042921779</c:v>
                </c:pt>
                <c:pt idx="212">
                  <c:v>98.523855730123699</c:v>
                </c:pt>
                <c:pt idx="213">
                  <c:v>98.561017404050673</c:v>
                </c:pt>
                <c:pt idx="214">
                  <c:v>98.573404628692984</c:v>
                </c:pt>
                <c:pt idx="215">
                  <c:v>98.583727315894876</c:v>
                </c:pt>
                <c:pt idx="216">
                  <c:v>98.596114540537286</c:v>
                </c:pt>
                <c:pt idx="217">
                  <c:v>98.542436567087179</c:v>
                </c:pt>
                <c:pt idx="218">
                  <c:v>98.474306831554387</c:v>
                </c:pt>
                <c:pt idx="219">
                  <c:v>98.474306831554387</c:v>
                </c:pt>
                <c:pt idx="220">
                  <c:v>98.414435245783267</c:v>
                </c:pt>
                <c:pt idx="221">
                  <c:v>98.468113219233317</c:v>
                </c:pt>
                <c:pt idx="222">
                  <c:v>98.395854408819773</c:v>
                </c:pt>
                <c:pt idx="223">
                  <c:v>98.441274232508263</c:v>
                </c:pt>
                <c:pt idx="224">
                  <c:v>98.486694056196768</c:v>
                </c:pt>
                <c:pt idx="225">
                  <c:v>98.530049342444855</c:v>
                </c:pt>
                <c:pt idx="226">
                  <c:v>98.660115201189242</c:v>
                </c:pt>
                <c:pt idx="227">
                  <c:v>98.695212337675784</c:v>
                </c:pt>
                <c:pt idx="228">
                  <c:v>98.689018725354615</c:v>
                </c:pt>
                <c:pt idx="229">
                  <c:v>98.649792513987236</c:v>
                </c:pt>
                <c:pt idx="230">
                  <c:v>98.672502425831524</c:v>
                </c:pt>
                <c:pt idx="231">
                  <c:v>98.691083262795033</c:v>
                </c:pt>
                <c:pt idx="232">
                  <c:v>98.678696038152665</c:v>
                </c:pt>
                <c:pt idx="233">
                  <c:v>98.689018725354615</c:v>
                </c:pt>
                <c:pt idx="234">
                  <c:v>98.689018725354615</c:v>
                </c:pt>
                <c:pt idx="235">
                  <c:v>98.625018064702658</c:v>
                </c:pt>
                <c:pt idx="236">
                  <c:v>98.583727315894876</c:v>
                </c:pt>
                <c:pt idx="237">
                  <c:v>98.567211016371843</c:v>
                </c:pt>
                <c:pt idx="238">
                  <c:v>98.569275553812233</c:v>
                </c:pt>
                <c:pt idx="239">
                  <c:v>98.589920928216131</c:v>
                </c:pt>
                <c:pt idx="240">
                  <c:v>98.662179738629575</c:v>
                </c:pt>
                <c:pt idx="241">
                  <c:v>98.757148460887421</c:v>
                </c:pt>
                <c:pt idx="242">
                  <c:v>98.750954848566252</c:v>
                </c:pt>
                <c:pt idx="243">
                  <c:v>98.922311456118308</c:v>
                </c:pt>
                <c:pt idx="244">
                  <c:v>98.963602204926076</c:v>
                </c:pt>
                <c:pt idx="245">
                  <c:v>98.947085905403014</c:v>
                </c:pt>
                <c:pt idx="246">
                  <c:v>98.994570266531881</c:v>
                </c:pt>
                <c:pt idx="247">
                  <c:v>99.035861015339577</c:v>
                </c:pt>
                <c:pt idx="248">
                  <c:v>99.048248239981888</c:v>
                </c:pt>
                <c:pt idx="249">
                  <c:v>99.019344715816487</c:v>
                </c:pt>
                <c:pt idx="250">
                  <c:v>98.945021367962596</c:v>
                </c:pt>
                <c:pt idx="251">
                  <c:v>98.965666742366437</c:v>
                </c:pt>
                <c:pt idx="252">
                  <c:v>98.971860354687578</c:v>
                </c:pt>
                <c:pt idx="253">
                  <c:v>99.021409253256849</c:v>
                </c:pt>
                <c:pt idx="254">
                  <c:v>99.048248239981888</c:v>
                </c:pt>
                <c:pt idx="255">
                  <c:v>99.017280178376097</c:v>
                </c:pt>
                <c:pt idx="256">
                  <c:v>98.961537667485672</c:v>
                </c:pt>
                <c:pt idx="257">
                  <c:v>98.959473130045268</c:v>
                </c:pt>
                <c:pt idx="258">
                  <c:v>98.870698020108648</c:v>
                </c:pt>
                <c:pt idx="259">
                  <c:v>98.835600883622078</c:v>
                </c:pt>
                <c:pt idx="260">
                  <c:v>98.864504407787493</c:v>
                </c:pt>
                <c:pt idx="261">
                  <c:v>98.804632822016259</c:v>
                </c:pt>
                <c:pt idx="262">
                  <c:v>98.827342733860476</c:v>
                </c:pt>
                <c:pt idx="263">
                  <c:v>98.808761896896996</c:v>
                </c:pt>
                <c:pt idx="264">
                  <c:v>98.841794495943276</c:v>
                </c:pt>
                <c:pt idx="265">
                  <c:v>98.860375332906642</c:v>
                </c:pt>
                <c:pt idx="266">
                  <c:v>98.85005264570475</c:v>
                </c:pt>
                <c:pt idx="267">
                  <c:v>98.833536346181617</c:v>
                </c:pt>
                <c:pt idx="268">
                  <c:v>98.860375332906642</c:v>
                </c:pt>
                <c:pt idx="269">
                  <c:v>98.781922910172042</c:v>
                </c:pt>
                <c:pt idx="270">
                  <c:v>98.88721431963171</c:v>
                </c:pt>
                <c:pt idx="271">
                  <c:v>98.901666081714467</c:v>
                </c:pt>
                <c:pt idx="272">
                  <c:v>98.951214980283751</c:v>
                </c:pt>
                <c:pt idx="273">
                  <c:v>98.914053306356763</c:v>
                </c:pt>
                <c:pt idx="274">
                  <c:v>98.901666081714481</c:v>
                </c:pt>
                <c:pt idx="275">
                  <c:v>98.901666081714509</c:v>
                </c:pt>
                <c:pt idx="276">
                  <c:v>98.881020707310597</c:v>
                </c:pt>
                <c:pt idx="277">
                  <c:v>98.814955509218251</c:v>
                </c:pt>
                <c:pt idx="278">
                  <c:v>98.761277535768173</c:v>
                </c:pt>
                <c:pt idx="279">
                  <c:v>98.757148460887407</c:v>
                </c:pt>
                <c:pt idx="280">
                  <c:v>98.771600222970122</c:v>
                </c:pt>
                <c:pt idx="281">
                  <c:v>98.753019386006613</c:v>
                </c:pt>
                <c:pt idx="282">
                  <c:v>98.765406610648938</c:v>
                </c:pt>
                <c:pt idx="283">
                  <c:v>98.786051985052822</c:v>
                </c:pt>
                <c:pt idx="284">
                  <c:v>98.808761896897025</c:v>
                </c:pt>
                <c:pt idx="285">
                  <c:v>98.850052645704778</c:v>
                </c:pt>
                <c:pt idx="286">
                  <c:v>98.864504407787493</c:v>
                </c:pt>
                <c:pt idx="287">
                  <c:v>98.916117843797167</c:v>
                </c:pt>
                <c:pt idx="288">
                  <c:v>99.01521564093575</c:v>
                </c:pt>
                <c:pt idx="289">
                  <c:v>99.060635464624198</c:v>
                </c:pt>
                <c:pt idx="290">
                  <c:v>99.196894935689684</c:v>
                </c:pt>
                <c:pt idx="291">
                  <c:v>99.529285463591918</c:v>
                </c:pt>
                <c:pt idx="292">
                  <c:v>99.723351982988248</c:v>
                </c:pt>
                <c:pt idx="293">
                  <c:v>99.991741850238512</c:v>
                </c:pt>
                <c:pt idx="294">
                  <c:v>100.71845902925456</c:v>
                </c:pt>
                <c:pt idx="295">
                  <c:v>101.12104383012986</c:v>
                </c:pt>
                <c:pt idx="296">
                  <c:v>101.31923942440704</c:v>
                </c:pt>
                <c:pt idx="297">
                  <c:v>101.27175506327812</c:v>
                </c:pt>
                <c:pt idx="298">
                  <c:v>101.62066189070345</c:v>
                </c:pt>
                <c:pt idx="299">
                  <c:v>101.90143898259601</c:v>
                </c:pt>
                <c:pt idx="300">
                  <c:v>102.19666783657125</c:v>
                </c:pt>
                <c:pt idx="301">
                  <c:v>102.28337840906751</c:v>
                </c:pt>
                <c:pt idx="302">
                  <c:v>102.38660528108684</c:v>
                </c:pt>
                <c:pt idx="303">
                  <c:v>102.65705968577753</c:v>
                </c:pt>
                <c:pt idx="304">
                  <c:v>102.90273964118346</c:v>
                </c:pt>
                <c:pt idx="305">
                  <c:v>103.39203501455501</c:v>
                </c:pt>
                <c:pt idx="306">
                  <c:v>104.1497202551769</c:v>
                </c:pt>
                <c:pt idx="307">
                  <c:v>104.2508825897558</c:v>
                </c:pt>
                <c:pt idx="308">
                  <c:v>104.15591386749803</c:v>
                </c:pt>
                <c:pt idx="309">
                  <c:v>103.84003963911896</c:v>
                </c:pt>
                <c:pt idx="310">
                  <c:v>103.54687532258399</c:v>
                </c:pt>
                <c:pt idx="311">
                  <c:v>103.09680616057976</c:v>
                </c:pt>
                <c:pt idx="312">
                  <c:v>102.52080021471193</c:v>
                </c:pt>
                <c:pt idx="313">
                  <c:v>101.80234118545742</c:v>
                </c:pt>
                <c:pt idx="314">
                  <c:v>101.40594999690326</c:v>
                </c:pt>
                <c:pt idx="315">
                  <c:v>100.44594008712352</c:v>
                </c:pt>
                <c:pt idx="316">
                  <c:v>100.23742180564449</c:v>
                </c:pt>
                <c:pt idx="317">
                  <c:v>100.36129405206769</c:v>
                </c:pt>
                <c:pt idx="318">
                  <c:v>100.04129074880782</c:v>
                </c:pt>
                <c:pt idx="319">
                  <c:v>99.915353964944231</c:v>
                </c:pt>
                <c:pt idx="320">
                  <c:v>99.618060573528524</c:v>
                </c:pt>
                <c:pt idx="321">
                  <c:v>99.277411895864788</c:v>
                </c:pt>
                <c:pt idx="322">
                  <c:v>99.058570927183766</c:v>
                </c:pt>
                <c:pt idx="323">
                  <c:v>99.029667403018422</c:v>
                </c:pt>
                <c:pt idx="324">
                  <c:v>99.0110865660549</c:v>
                </c:pt>
                <c:pt idx="325">
                  <c:v>99.021409253256849</c:v>
                </c:pt>
                <c:pt idx="326">
                  <c:v>98.99869934141266</c:v>
                </c:pt>
                <c:pt idx="327">
                  <c:v>98.949150442843361</c:v>
                </c:pt>
                <c:pt idx="328">
                  <c:v>99.097797138551115</c:v>
                </c:pt>
                <c:pt idx="329">
                  <c:v>99.236121147057062</c:v>
                </c:pt>
                <c:pt idx="330">
                  <c:v>99.504511014307312</c:v>
                </c:pt>
                <c:pt idx="331">
                  <c:v>99.746061894832494</c:v>
                </c:pt>
                <c:pt idx="332">
                  <c:v>99.946322026549979</c:v>
                </c:pt>
                <c:pt idx="333">
                  <c:v>100.34064867766381</c:v>
                </c:pt>
                <c:pt idx="334">
                  <c:v>100.57394140842744</c:v>
                </c:pt>
                <c:pt idx="335">
                  <c:v>100.67923281788714</c:v>
                </c:pt>
                <c:pt idx="336">
                  <c:v>100.93523546049512</c:v>
                </c:pt>
                <c:pt idx="337">
                  <c:v>100.72671717901608</c:v>
                </c:pt>
                <c:pt idx="338">
                  <c:v>100.31174515349834</c:v>
                </c:pt>
                <c:pt idx="339">
                  <c:v>100.05780704833086</c:v>
                </c:pt>
                <c:pt idx="340">
                  <c:v>99.847224229411481</c:v>
                </c:pt>
                <c:pt idx="341">
                  <c:v>99.444639428536107</c:v>
                </c:pt>
                <c:pt idx="342">
                  <c:v>99.508640089188063</c:v>
                </c:pt>
                <c:pt idx="343">
                  <c:v>99.560253525197751</c:v>
                </c:pt>
                <c:pt idx="344">
                  <c:v>99.717158370667093</c:v>
                </c:pt>
                <c:pt idx="345">
                  <c:v>99.886450440778773</c:v>
                </c:pt>
                <c:pt idx="346">
                  <c:v>99.905031277742239</c:v>
                </c:pt>
                <c:pt idx="347">
                  <c:v>99.721287445547858</c:v>
                </c:pt>
                <c:pt idx="348">
                  <c:v>99.611866961207411</c:v>
                </c:pt>
                <c:pt idx="349">
                  <c:v>99.589157049363095</c:v>
                </c:pt>
                <c:pt idx="350">
                  <c:v>99.533414538472655</c:v>
                </c:pt>
                <c:pt idx="351">
                  <c:v>99.457026653178389</c:v>
                </c:pt>
                <c:pt idx="352">
                  <c:v>99.390961455086</c:v>
                </c:pt>
                <c:pt idx="353">
                  <c:v>99.35173524371865</c:v>
                </c:pt>
                <c:pt idx="354">
                  <c:v>99.310444494910925</c:v>
                </c:pt>
                <c:pt idx="355">
                  <c:v>99.430187666453349</c:v>
                </c:pt>
                <c:pt idx="356">
                  <c:v>99.467349340380323</c:v>
                </c:pt>
                <c:pt idx="357">
                  <c:v>99.388896917645567</c:v>
                </c:pt>
                <c:pt idx="358">
                  <c:v>99.359993393480138</c:v>
                </c:pt>
                <c:pt idx="359">
                  <c:v>99.165926874083809</c:v>
                </c:pt>
                <c:pt idx="360">
                  <c:v>99.083345376468344</c:v>
                </c:pt>
                <c:pt idx="361">
                  <c:v>99.029667403018365</c:v>
                </c:pt>
                <c:pt idx="362">
                  <c:v>98.889278857072043</c:v>
                </c:pt>
                <c:pt idx="363">
                  <c:v>98.980118504449052</c:v>
                </c:pt>
                <c:pt idx="364">
                  <c:v>99.114313438074177</c:v>
                </c:pt>
                <c:pt idx="365">
                  <c:v>99.366187005801308</c:v>
                </c:pt>
                <c:pt idx="366">
                  <c:v>99.498317401986071</c:v>
                </c:pt>
                <c:pt idx="367">
                  <c:v>99.601544274005391</c:v>
                </c:pt>
                <c:pt idx="368">
                  <c:v>99.585027974482273</c:v>
                </c:pt>
                <c:pt idx="369">
                  <c:v>99.618060573528439</c:v>
                </c:pt>
                <c:pt idx="370">
                  <c:v>99.791481718520899</c:v>
                </c:pt>
                <c:pt idx="371">
                  <c:v>99.890579515659454</c:v>
                </c:pt>
                <c:pt idx="372">
                  <c:v>99.995870925119206</c:v>
                </c:pt>
                <c:pt idx="373">
                  <c:v>100.15484030802894</c:v>
                </c:pt>
                <c:pt idx="374">
                  <c:v>100.28284162933292</c:v>
                </c:pt>
                <c:pt idx="375">
                  <c:v>100.46039184920616</c:v>
                </c:pt>
                <c:pt idx="376">
                  <c:v>100.48723083593119</c:v>
                </c:pt>
                <c:pt idx="377">
                  <c:v>100.44800462456386</c:v>
                </c:pt>
                <c:pt idx="378">
                  <c:v>100.25806718004827</c:v>
                </c:pt>
                <c:pt idx="379">
                  <c:v>100.02683898672493</c:v>
                </c:pt>
                <c:pt idx="380">
                  <c:v>99.849288766851714</c:v>
                </c:pt>
                <c:pt idx="381">
                  <c:v>99.638705947932309</c:v>
                </c:pt>
                <c:pt idx="382">
                  <c:v>99.677932159299615</c:v>
                </c:pt>
                <c:pt idx="383">
                  <c:v>99.861675991494053</c:v>
                </c:pt>
                <c:pt idx="384">
                  <c:v>99.956644713751814</c:v>
                </c:pt>
                <c:pt idx="385">
                  <c:v>100.16929207011164</c:v>
                </c:pt>
                <c:pt idx="386">
                  <c:v>100.18993744451551</c:v>
                </c:pt>
                <c:pt idx="387">
                  <c:v>100.12387224642308</c:v>
                </c:pt>
                <c:pt idx="388">
                  <c:v>100.05574251089033</c:v>
                </c:pt>
                <c:pt idx="389">
                  <c:v>100.01032268720189</c:v>
                </c:pt>
                <c:pt idx="390">
                  <c:v>100.16309845779047</c:v>
                </c:pt>
                <c:pt idx="391">
                  <c:v>100.19819559427708</c:v>
                </c:pt>
                <c:pt idx="392">
                  <c:v>100.30142246629637</c:v>
                </c:pt>
                <c:pt idx="393">
                  <c:v>100.26632532980982</c:v>
                </c:pt>
                <c:pt idx="394">
                  <c:v>100.2374218056444</c:v>
                </c:pt>
                <c:pt idx="395">
                  <c:v>100.16722753267128</c:v>
                </c:pt>
                <c:pt idx="396">
                  <c:v>100.13006585874429</c:v>
                </c:pt>
                <c:pt idx="397">
                  <c:v>100.17755021987321</c:v>
                </c:pt>
                <c:pt idx="398">
                  <c:v>100.19613105683663</c:v>
                </c:pt>
                <c:pt idx="399">
                  <c:v>100.13006585874429</c:v>
                </c:pt>
                <c:pt idx="400">
                  <c:v>100.1651629952309</c:v>
                </c:pt>
                <c:pt idx="401">
                  <c:v>100.09496872225776</c:v>
                </c:pt>
                <c:pt idx="402">
                  <c:v>100.0578070483308</c:v>
                </c:pt>
                <c:pt idx="403">
                  <c:v>99.966967400953791</c:v>
                </c:pt>
                <c:pt idx="404">
                  <c:v>99.985548237917286</c:v>
                </c:pt>
                <c:pt idx="405">
                  <c:v>100.07225881041346</c:v>
                </c:pt>
                <c:pt idx="406">
                  <c:v>100.14038854594627</c:v>
                </c:pt>
                <c:pt idx="407">
                  <c:v>100.18167929475398</c:v>
                </c:pt>
                <c:pt idx="408">
                  <c:v>100.27664801701174</c:v>
                </c:pt>
                <c:pt idx="409">
                  <c:v>100.57807048330821</c:v>
                </c:pt>
                <c:pt idx="410">
                  <c:v>100.54916695914284</c:v>
                </c:pt>
                <c:pt idx="411">
                  <c:v>100.59252224539092</c:v>
                </c:pt>
                <c:pt idx="412">
                  <c:v>100.58426409562939</c:v>
                </c:pt>
                <c:pt idx="413">
                  <c:v>100.51406982265624</c:v>
                </c:pt>
                <c:pt idx="414">
                  <c:v>100.6028449325928</c:v>
                </c:pt>
                <c:pt idx="415">
                  <c:v>100.64207114396017</c:v>
                </c:pt>
                <c:pt idx="416">
                  <c:v>100.74942709086032</c:v>
                </c:pt>
                <c:pt idx="417">
                  <c:v>100.77420154014494</c:v>
                </c:pt>
                <c:pt idx="418">
                  <c:v>100.86710572496236</c:v>
                </c:pt>
                <c:pt idx="419">
                  <c:v>100.91665462353164</c:v>
                </c:pt>
                <c:pt idx="420">
                  <c:v>100.81755682639304</c:v>
                </c:pt>
                <c:pt idx="421">
                  <c:v>100.68129735532754</c:v>
                </c:pt>
                <c:pt idx="422">
                  <c:v>100.41290748807734</c:v>
                </c:pt>
                <c:pt idx="423">
                  <c:v>100.19406651939632</c:v>
                </c:pt>
                <c:pt idx="424">
                  <c:v>100.1156140966616</c:v>
                </c:pt>
                <c:pt idx="425">
                  <c:v>100.00619361232114</c:v>
                </c:pt>
                <c:pt idx="426">
                  <c:v>100.18374383219432</c:v>
                </c:pt>
                <c:pt idx="427">
                  <c:v>100.18993744451555</c:v>
                </c:pt>
                <c:pt idx="428">
                  <c:v>100.21677643124059</c:v>
                </c:pt>
                <c:pt idx="429">
                  <c:v>100.19613105683666</c:v>
                </c:pt>
                <c:pt idx="430">
                  <c:v>100.18580836963471</c:v>
                </c:pt>
                <c:pt idx="431">
                  <c:v>100.26632532980986</c:v>
                </c:pt>
                <c:pt idx="432">
                  <c:v>100.6709746681256</c:v>
                </c:pt>
                <c:pt idx="433">
                  <c:v>100.83407312591613</c:v>
                </c:pt>
                <c:pt idx="434">
                  <c:v>100.86917026240268</c:v>
                </c:pt>
                <c:pt idx="435">
                  <c:v>100.87329933728344</c:v>
                </c:pt>
                <c:pt idx="436">
                  <c:v>100.87123479984309</c:v>
                </c:pt>
                <c:pt idx="437">
                  <c:v>101.19123810310295</c:v>
                </c:pt>
                <c:pt idx="438">
                  <c:v>101.19743171542407</c:v>
                </c:pt>
                <c:pt idx="439">
                  <c:v>101.39975638458193</c:v>
                </c:pt>
                <c:pt idx="440">
                  <c:v>101.35846563577427</c:v>
                </c:pt>
                <c:pt idx="441">
                  <c:v>101.09007576852399</c:v>
                </c:pt>
                <c:pt idx="442">
                  <c:v>101.36672378553584</c:v>
                </c:pt>
                <c:pt idx="443">
                  <c:v>101.43898259594933</c:v>
                </c:pt>
                <c:pt idx="444">
                  <c:v>101.50917686892248</c:v>
                </c:pt>
                <c:pt idx="445">
                  <c:v>101.60621012862065</c:v>
                </c:pt>
                <c:pt idx="446">
                  <c:v>101.65782356463032</c:v>
                </c:pt>
                <c:pt idx="447">
                  <c:v>101.84982554658625</c:v>
                </c:pt>
                <c:pt idx="448">
                  <c:v>102.06453744038646</c:v>
                </c:pt>
                <c:pt idx="449">
                  <c:v>102.05215021574415</c:v>
                </c:pt>
                <c:pt idx="450">
                  <c:v>101.99021409253258</c:v>
                </c:pt>
                <c:pt idx="451">
                  <c:v>101.83124470962279</c:v>
                </c:pt>
                <c:pt idx="452">
                  <c:v>101.81885748498047</c:v>
                </c:pt>
                <c:pt idx="453">
                  <c:v>101.72182422528233</c:v>
                </c:pt>
                <c:pt idx="454">
                  <c:v>101.81266387265927</c:v>
                </c:pt>
                <c:pt idx="455">
                  <c:v>101.90556805747667</c:v>
                </c:pt>
                <c:pt idx="456">
                  <c:v>101.93860065652288</c:v>
                </c:pt>
                <c:pt idx="457">
                  <c:v>101.91795528211907</c:v>
                </c:pt>
              </c:numCache>
            </c:numRef>
          </c:val>
          <c:smooth val="0"/>
          <c:extLst>
            <c:ext xmlns:c16="http://schemas.microsoft.com/office/drawing/2014/chart" uri="{C3380CC4-5D6E-409C-BE32-E72D297353CC}">
              <c16:uniqueId val="{00000001-DFF1-49D2-BB82-AF01953A7184}"/>
            </c:ext>
          </c:extLst>
        </c:ser>
        <c:ser>
          <c:idx val="3"/>
          <c:order val="2"/>
          <c:tx>
            <c:strRef>
              <c:f>Sheet1!$D$1</c:f>
              <c:strCache>
                <c:ptCount val="1"/>
                <c:pt idx="0">
                  <c:v>Ռուսական ռուբլի</c:v>
                </c:pt>
              </c:strCache>
            </c:strRef>
          </c:tx>
          <c:spPr>
            <a:ln w="28575" cap="rnd">
              <a:solidFill>
                <a:srgbClr val="C00000"/>
              </a:solidFill>
              <a:round/>
            </a:ln>
            <a:effectLst/>
          </c:spPr>
          <c:marker>
            <c:symbol val="none"/>
          </c:marker>
          <c:cat>
            <c:strRef>
              <c:f>Sheet1!$A$2:$A$469</c:f>
              <c:strCache>
                <c:ptCount val="458"/>
                <c:pt idx="0">
                  <c:v>1/8/2019</c:v>
                </c:pt>
                <c:pt idx="1">
                  <c:v>1/9/2019</c:v>
                </c:pt>
                <c:pt idx="2">
                  <c:v>1/10/2019</c:v>
                </c:pt>
                <c:pt idx="3">
                  <c:v>1/11/2019</c:v>
                </c:pt>
                <c:pt idx="4">
                  <c:v>1/14/2019</c:v>
                </c:pt>
                <c:pt idx="5">
                  <c:v>1/15/2019</c:v>
                </c:pt>
                <c:pt idx="6">
                  <c:v>1/16/2019</c:v>
                </c:pt>
                <c:pt idx="7">
                  <c:v>1/17/2019</c:v>
                </c:pt>
                <c:pt idx="8">
                  <c:v>1/18/2019</c:v>
                </c:pt>
                <c:pt idx="9">
                  <c:v>1/21/2019</c:v>
                </c:pt>
                <c:pt idx="10">
                  <c:v>1/22/2019</c:v>
                </c:pt>
                <c:pt idx="11">
                  <c:v>1/23/2019</c:v>
                </c:pt>
                <c:pt idx="12">
                  <c:v>1/24/2019</c:v>
                </c:pt>
                <c:pt idx="13">
                  <c:v>1/25/2019</c:v>
                </c:pt>
                <c:pt idx="14">
                  <c:v>1/29/2019</c:v>
                </c:pt>
                <c:pt idx="15">
                  <c:v>1/30/2019</c:v>
                </c:pt>
                <c:pt idx="16">
                  <c:v>1/31/2019</c:v>
                </c:pt>
                <c:pt idx="17">
                  <c:v>2/1/2019</c:v>
                </c:pt>
                <c:pt idx="18">
                  <c:v>2/4/2019</c:v>
                </c:pt>
                <c:pt idx="19">
                  <c:v>2/5/2019</c:v>
                </c:pt>
                <c:pt idx="20">
                  <c:v>2/6/2019</c:v>
                </c:pt>
                <c:pt idx="21">
                  <c:v>2/7/2019</c:v>
                </c:pt>
                <c:pt idx="22">
                  <c:v>2/8/2019</c:v>
                </c:pt>
                <c:pt idx="23">
                  <c:v>2/11/2019</c:v>
                </c:pt>
                <c:pt idx="24">
                  <c:v>2/12/2019</c:v>
                </c:pt>
                <c:pt idx="25">
                  <c:v>2/13/2019</c:v>
                </c:pt>
                <c:pt idx="26">
                  <c:v>2/14/2019</c:v>
                </c:pt>
                <c:pt idx="27">
                  <c:v>2/15/2019</c:v>
                </c:pt>
                <c:pt idx="28">
                  <c:v>2/18/2019</c:v>
                </c:pt>
                <c:pt idx="29">
                  <c:v>2/19/2019</c:v>
                </c:pt>
                <c:pt idx="30">
                  <c:v>2/20/2019</c:v>
                </c:pt>
                <c:pt idx="31">
                  <c:v>2/21/2019</c:v>
                </c:pt>
                <c:pt idx="32">
                  <c:v>2/22/2019</c:v>
                </c:pt>
                <c:pt idx="33">
                  <c:v>2/25/2019</c:v>
                </c:pt>
                <c:pt idx="34">
                  <c:v>2/26/2019</c:v>
                </c:pt>
                <c:pt idx="35">
                  <c:v>2/27/2019</c:v>
                </c:pt>
                <c:pt idx="36">
                  <c:v>2/28/2019</c:v>
                </c:pt>
                <c:pt idx="37">
                  <c:v>3/1/2019</c:v>
                </c:pt>
                <c:pt idx="38">
                  <c:v>3/4/2019</c:v>
                </c:pt>
                <c:pt idx="39">
                  <c:v>3/5/2019</c:v>
                </c:pt>
                <c:pt idx="40">
                  <c:v>3/6/2019</c:v>
                </c:pt>
                <c:pt idx="41">
                  <c:v>3/7/2019</c:v>
                </c:pt>
                <c:pt idx="42">
                  <c:v>3/11/2019</c:v>
                </c:pt>
                <c:pt idx="43">
                  <c:v>3/12/2019</c:v>
                </c:pt>
                <c:pt idx="44">
                  <c:v>3/13/2019</c:v>
                </c:pt>
                <c:pt idx="45">
                  <c:v>3/14/2019</c:v>
                </c:pt>
                <c:pt idx="46">
                  <c:v>3/15/2019</c:v>
                </c:pt>
                <c:pt idx="47">
                  <c:v>3/18/2019</c:v>
                </c:pt>
                <c:pt idx="48">
                  <c:v>3/19/2019</c:v>
                </c:pt>
                <c:pt idx="49">
                  <c:v>3/20/2019</c:v>
                </c:pt>
                <c:pt idx="50">
                  <c:v>3/21/2019</c:v>
                </c:pt>
                <c:pt idx="51">
                  <c:v>3/22/2019</c:v>
                </c:pt>
                <c:pt idx="52">
                  <c:v>3/25/2019</c:v>
                </c:pt>
                <c:pt idx="53">
                  <c:v>3/26/2019</c:v>
                </c:pt>
                <c:pt idx="54">
                  <c:v>3/27/2019</c:v>
                </c:pt>
                <c:pt idx="55">
                  <c:v>3/28/2019</c:v>
                </c:pt>
                <c:pt idx="56">
                  <c:v>3/29/2019</c:v>
                </c:pt>
                <c:pt idx="57">
                  <c:v>4/1/2019</c:v>
                </c:pt>
                <c:pt idx="58">
                  <c:v>4/2/2019</c:v>
                </c:pt>
                <c:pt idx="59">
                  <c:v>4/3/2019</c:v>
                </c:pt>
                <c:pt idx="60">
                  <c:v>4/4/2019</c:v>
                </c:pt>
                <c:pt idx="61">
                  <c:v>4/5/2019</c:v>
                </c:pt>
                <c:pt idx="62">
                  <c:v>4/8/2019</c:v>
                </c:pt>
                <c:pt idx="63">
                  <c:v>4/9/2019</c:v>
                </c:pt>
                <c:pt idx="64">
                  <c:v>4/10/2019</c:v>
                </c:pt>
                <c:pt idx="65">
                  <c:v>4/11/2019</c:v>
                </c:pt>
                <c:pt idx="66">
                  <c:v>4/12/2019</c:v>
                </c:pt>
                <c:pt idx="67">
                  <c:v>4/15/2019</c:v>
                </c:pt>
                <c:pt idx="68">
                  <c:v>4/16/2019</c:v>
                </c:pt>
                <c:pt idx="69">
                  <c:v>4/17/2019</c:v>
                </c:pt>
                <c:pt idx="70">
                  <c:v>4/18/2019</c:v>
                </c:pt>
                <c:pt idx="71">
                  <c:v>4/19/2019</c:v>
                </c:pt>
                <c:pt idx="72">
                  <c:v>4/22/2019</c:v>
                </c:pt>
                <c:pt idx="73">
                  <c:v>4/23/2019</c:v>
                </c:pt>
                <c:pt idx="74">
                  <c:v>4/25/2019</c:v>
                </c:pt>
                <c:pt idx="75">
                  <c:v>4/26/2019</c:v>
                </c:pt>
                <c:pt idx="76">
                  <c:v>4/29/2019</c:v>
                </c:pt>
                <c:pt idx="77">
                  <c:v>4/30/2019</c:v>
                </c:pt>
                <c:pt idx="78">
                  <c:v>5/2/2019</c:v>
                </c:pt>
                <c:pt idx="79">
                  <c:v>5/3/2019</c:v>
                </c:pt>
                <c:pt idx="80">
                  <c:v>5/6/2019</c:v>
                </c:pt>
                <c:pt idx="81">
                  <c:v>5/7/2019</c:v>
                </c:pt>
                <c:pt idx="82">
                  <c:v>5/8/2019</c:v>
                </c:pt>
                <c:pt idx="83">
                  <c:v>5/10/2019</c:v>
                </c:pt>
                <c:pt idx="84">
                  <c:v>5/13/2019</c:v>
                </c:pt>
                <c:pt idx="85">
                  <c:v>5/14/2019</c:v>
                </c:pt>
                <c:pt idx="86">
                  <c:v>5/15/2019</c:v>
                </c:pt>
                <c:pt idx="87">
                  <c:v>5/16/2019</c:v>
                </c:pt>
                <c:pt idx="88">
                  <c:v>5/17/2019</c:v>
                </c:pt>
                <c:pt idx="89">
                  <c:v>5/20/2019</c:v>
                </c:pt>
                <c:pt idx="90">
                  <c:v>5/21/2019</c:v>
                </c:pt>
                <c:pt idx="91">
                  <c:v>5/22/2019</c:v>
                </c:pt>
                <c:pt idx="92">
                  <c:v>5/23/2019</c:v>
                </c:pt>
                <c:pt idx="93">
                  <c:v>5/24/2019</c:v>
                </c:pt>
                <c:pt idx="94">
                  <c:v>5/27/2019</c:v>
                </c:pt>
                <c:pt idx="95">
                  <c:v>5/29/2019</c:v>
                </c:pt>
                <c:pt idx="96">
                  <c:v>5/30/2019</c:v>
                </c:pt>
                <c:pt idx="97">
                  <c:v>5/31/2019</c:v>
                </c:pt>
                <c:pt idx="98">
                  <c:v>6/3/2019</c:v>
                </c:pt>
                <c:pt idx="99">
                  <c:v>6/4/2019</c:v>
                </c:pt>
                <c:pt idx="100">
                  <c:v>6/5/2019</c:v>
                </c:pt>
                <c:pt idx="101">
                  <c:v>6/6/2019</c:v>
                </c:pt>
                <c:pt idx="102">
                  <c:v>6/7/2019</c:v>
                </c:pt>
                <c:pt idx="103">
                  <c:v>6/10/2019</c:v>
                </c:pt>
                <c:pt idx="104">
                  <c:v>6/11/2019</c:v>
                </c:pt>
                <c:pt idx="105">
                  <c:v>6/12/2019</c:v>
                </c:pt>
                <c:pt idx="106">
                  <c:v>6/13/2019</c:v>
                </c:pt>
                <c:pt idx="107">
                  <c:v>6/14/2019</c:v>
                </c:pt>
                <c:pt idx="108">
                  <c:v>6/17/2019</c:v>
                </c:pt>
                <c:pt idx="109">
                  <c:v>6/18/2019</c:v>
                </c:pt>
                <c:pt idx="110">
                  <c:v>6/19/2019</c:v>
                </c:pt>
                <c:pt idx="111">
                  <c:v>6/20/2019</c:v>
                </c:pt>
                <c:pt idx="112">
                  <c:v>6/21/2019</c:v>
                </c:pt>
                <c:pt idx="113">
                  <c:v>6/24/2019</c:v>
                </c:pt>
                <c:pt idx="114">
                  <c:v>6/25/2019</c:v>
                </c:pt>
                <c:pt idx="115">
                  <c:v>6/26/2019</c:v>
                </c:pt>
                <c:pt idx="116">
                  <c:v>6/27/2019</c:v>
                </c:pt>
                <c:pt idx="117">
                  <c:v>6/28/2019</c:v>
                </c:pt>
                <c:pt idx="118">
                  <c:v>7/1/2019</c:v>
                </c:pt>
                <c:pt idx="119">
                  <c:v>7/2/2019</c:v>
                </c:pt>
                <c:pt idx="120">
                  <c:v>7/3/2019</c:v>
                </c:pt>
                <c:pt idx="121">
                  <c:v>7/4/2019</c:v>
                </c:pt>
                <c:pt idx="122">
                  <c:v>7/8/2019</c:v>
                </c:pt>
                <c:pt idx="123">
                  <c:v>7/9/2019</c:v>
                </c:pt>
                <c:pt idx="124">
                  <c:v>7/10/2019</c:v>
                </c:pt>
                <c:pt idx="125">
                  <c:v>7/11/2019</c:v>
                </c:pt>
                <c:pt idx="126">
                  <c:v>7/12/2019</c:v>
                </c:pt>
                <c:pt idx="127">
                  <c:v>7/15/2019</c:v>
                </c:pt>
                <c:pt idx="128">
                  <c:v>7/16/2019</c:v>
                </c:pt>
                <c:pt idx="129">
                  <c:v>7/17/2019</c:v>
                </c:pt>
                <c:pt idx="130">
                  <c:v>7/18/2019</c:v>
                </c:pt>
                <c:pt idx="131">
                  <c:v>7/19/2019</c:v>
                </c:pt>
                <c:pt idx="132">
                  <c:v>7/22/2019</c:v>
                </c:pt>
                <c:pt idx="133">
                  <c:v>7/23/2019</c:v>
                </c:pt>
                <c:pt idx="134">
                  <c:v>7/24/2019</c:v>
                </c:pt>
                <c:pt idx="135">
                  <c:v>7/25/2019</c:v>
                </c:pt>
                <c:pt idx="136">
                  <c:v>7/26/2019</c:v>
                </c:pt>
                <c:pt idx="137">
                  <c:v>7/29/2019</c:v>
                </c:pt>
                <c:pt idx="138">
                  <c:v>7/30/2019</c:v>
                </c:pt>
                <c:pt idx="139">
                  <c:v>7/31/2019</c:v>
                </c:pt>
                <c:pt idx="140">
                  <c:v>8/1/2019</c:v>
                </c:pt>
                <c:pt idx="141">
                  <c:v>8/2/2019</c:v>
                </c:pt>
                <c:pt idx="142">
                  <c:v>8/5/2019</c:v>
                </c:pt>
                <c:pt idx="143">
                  <c:v>8/6/2019</c:v>
                </c:pt>
                <c:pt idx="144">
                  <c:v>8/7/2019</c:v>
                </c:pt>
                <c:pt idx="145">
                  <c:v>8/8/2019</c:v>
                </c:pt>
                <c:pt idx="146">
                  <c:v>8/9/2019</c:v>
                </c:pt>
                <c:pt idx="147">
                  <c:v>8/12/2019</c:v>
                </c:pt>
                <c:pt idx="148">
                  <c:v>8/13/2019</c:v>
                </c:pt>
                <c:pt idx="149">
                  <c:v>8/14/2019</c:v>
                </c:pt>
                <c:pt idx="150">
                  <c:v>8/15/2019</c:v>
                </c:pt>
                <c:pt idx="151">
                  <c:v>8/16/2019</c:v>
                </c:pt>
                <c:pt idx="152">
                  <c:v>8/19/2019</c:v>
                </c:pt>
                <c:pt idx="153">
                  <c:v>8/20/2019</c:v>
                </c:pt>
                <c:pt idx="154">
                  <c:v>8/21/2019</c:v>
                </c:pt>
                <c:pt idx="155">
                  <c:v>8/22/2019</c:v>
                </c:pt>
                <c:pt idx="156">
                  <c:v>8/23/2019</c:v>
                </c:pt>
                <c:pt idx="157">
                  <c:v>8/26/2019</c:v>
                </c:pt>
                <c:pt idx="158">
                  <c:v>8/27/2019</c:v>
                </c:pt>
                <c:pt idx="159">
                  <c:v>8/28/2019</c:v>
                </c:pt>
                <c:pt idx="160">
                  <c:v>8/29/2019</c:v>
                </c:pt>
                <c:pt idx="161">
                  <c:v>8/30/2019</c:v>
                </c:pt>
                <c:pt idx="162">
                  <c:v>9/2/2019</c:v>
                </c:pt>
                <c:pt idx="163">
                  <c:v>9/3/2019</c:v>
                </c:pt>
                <c:pt idx="164">
                  <c:v>9/4/2019</c:v>
                </c:pt>
                <c:pt idx="165">
                  <c:v>9/5/2019</c:v>
                </c:pt>
                <c:pt idx="166">
                  <c:v>9/6/2019</c:v>
                </c:pt>
                <c:pt idx="167">
                  <c:v>9/9/2019</c:v>
                </c:pt>
                <c:pt idx="168">
                  <c:v>9/10/2019</c:v>
                </c:pt>
                <c:pt idx="169">
                  <c:v>9/11/2019</c:v>
                </c:pt>
                <c:pt idx="170">
                  <c:v>9/12/2019</c:v>
                </c:pt>
                <c:pt idx="171">
                  <c:v>9/13/2019</c:v>
                </c:pt>
                <c:pt idx="172">
                  <c:v>9/16/2019</c:v>
                </c:pt>
                <c:pt idx="173">
                  <c:v>9/17/2019</c:v>
                </c:pt>
                <c:pt idx="174">
                  <c:v>9/18/2019</c:v>
                </c:pt>
                <c:pt idx="175">
                  <c:v>9/19/2019</c:v>
                </c:pt>
                <c:pt idx="176">
                  <c:v>9/20/2019</c:v>
                </c:pt>
                <c:pt idx="177">
                  <c:v>9/23/2019</c:v>
                </c:pt>
                <c:pt idx="178">
                  <c:v>9/24/2019</c:v>
                </c:pt>
                <c:pt idx="179">
                  <c:v>9/25/2019</c:v>
                </c:pt>
                <c:pt idx="180">
                  <c:v>9/26/2019</c:v>
                </c:pt>
                <c:pt idx="181">
                  <c:v>9/27/2019</c:v>
                </c:pt>
                <c:pt idx="182">
                  <c:v>9/30/2019</c:v>
                </c:pt>
                <c:pt idx="183">
                  <c:v>10/1/2019</c:v>
                </c:pt>
                <c:pt idx="184">
                  <c:v>10/2/2019</c:v>
                </c:pt>
                <c:pt idx="185">
                  <c:v>10/3/2019</c:v>
                </c:pt>
                <c:pt idx="186">
                  <c:v>10/4/2019</c:v>
                </c:pt>
                <c:pt idx="187">
                  <c:v>10/7/2019</c:v>
                </c:pt>
                <c:pt idx="188">
                  <c:v>10/8/2019</c:v>
                </c:pt>
                <c:pt idx="189">
                  <c:v>10/9/2019</c:v>
                </c:pt>
                <c:pt idx="190">
                  <c:v>10/10/2019</c:v>
                </c:pt>
                <c:pt idx="191">
                  <c:v>10/11/2019</c:v>
                </c:pt>
                <c:pt idx="192">
                  <c:v>10/14/2019</c:v>
                </c:pt>
                <c:pt idx="193">
                  <c:v>10/15/2019</c:v>
                </c:pt>
                <c:pt idx="194">
                  <c:v>10/16/2019</c:v>
                </c:pt>
                <c:pt idx="195">
                  <c:v>10/17/2019</c:v>
                </c:pt>
                <c:pt idx="196">
                  <c:v>10/18/2019</c:v>
                </c:pt>
                <c:pt idx="197">
                  <c:v>10/21/2019</c:v>
                </c:pt>
                <c:pt idx="198">
                  <c:v>10/22/2019</c:v>
                </c:pt>
                <c:pt idx="199">
                  <c:v>10/23/2019</c:v>
                </c:pt>
                <c:pt idx="200">
                  <c:v>10/24/2019</c:v>
                </c:pt>
                <c:pt idx="201">
                  <c:v>10/25/2019</c:v>
                </c:pt>
                <c:pt idx="202">
                  <c:v>10/28/2019</c:v>
                </c:pt>
                <c:pt idx="203">
                  <c:v>10/29/2019</c:v>
                </c:pt>
                <c:pt idx="204">
                  <c:v>10/30/2019</c:v>
                </c:pt>
                <c:pt idx="205">
                  <c:v>10/31/2019</c:v>
                </c:pt>
                <c:pt idx="206">
                  <c:v>11/1/2019</c:v>
                </c:pt>
                <c:pt idx="207">
                  <c:v>11/4/2019</c:v>
                </c:pt>
                <c:pt idx="208">
                  <c:v>11/5/2019</c:v>
                </c:pt>
                <c:pt idx="209">
                  <c:v>11/6/2019</c:v>
                </c:pt>
                <c:pt idx="210">
                  <c:v>11/7/2019</c:v>
                </c:pt>
                <c:pt idx="211">
                  <c:v>11/8/2019</c:v>
                </c:pt>
                <c:pt idx="212">
                  <c:v>11/11/2019</c:v>
                </c:pt>
                <c:pt idx="213">
                  <c:v>11/12/2019</c:v>
                </c:pt>
                <c:pt idx="214">
                  <c:v>11/13/2019</c:v>
                </c:pt>
                <c:pt idx="215">
                  <c:v>11/14/2019</c:v>
                </c:pt>
                <c:pt idx="216">
                  <c:v>11/15/2019</c:v>
                </c:pt>
                <c:pt idx="217">
                  <c:v>11/18/2019</c:v>
                </c:pt>
                <c:pt idx="218">
                  <c:v>11/19/2019</c:v>
                </c:pt>
                <c:pt idx="219">
                  <c:v>11/20/2019</c:v>
                </c:pt>
                <c:pt idx="220">
                  <c:v>11/21/2019</c:v>
                </c:pt>
                <c:pt idx="221">
                  <c:v>11/22/2019</c:v>
                </c:pt>
                <c:pt idx="222">
                  <c:v>11/25/2019</c:v>
                </c:pt>
                <c:pt idx="223">
                  <c:v>11/26/2019</c:v>
                </c:pt>
                <c:pt idx="224">
                  <c:v>11/27/2019</c:v>
                </c:pt>
                <c:pt idx="225">
                  <c:v>11/28/2019</c:v>
                </c:pt>
                <c:pt idx="226">
                  <c:v>11/29/2019</c:v>
                </c:pt>
                <c:pt idx="227">
                  <c:v>12/2/2019</c:v>
                </c:pt>
                <c:pt idx="228">
                  <c:v>12/3/2019</c:v>
                </c:pt>
                <c:pt idx="229">
                  <c:v>12/4/2019</c:v>
                </c:pt>
                <c:pt idx="230">
                  <c:v>12/5/2019</c:v>
                </c:pt>
                <c:pt idx="231">
                  <c:v>12/6/2019</c:v>
                </c:pt>
                <c:pt idx="232">
                  <c:v>12/9/2019</c:v>
                </c:pt>
                <c:pt idx="233">
                  <c:v>12/10/2019</c:v>
                </c:pt>
                <c:pt idx="234">
                  <c:v>12/11/2019</c:v>
                </c:pt>
                <c:pt idx="235">
                  <c:v>12/12/2019</c:v>
                </c:pt>
                <c:pt idx="236">
                  <c:v>12/13/2019</c:v>
                </c:pt>
                <c:pt idx="237">
                  <c:v>12/16/2019</c:v>
                </c:pt>
                <c:pt idx="238">
                  <c:v>12/17/2019</c:v>
                </c:pt>
                <c:pt idx="239">
                  <c:v>12/18/2019</c:v>
                </c:pt>
                <c:pt idx="240">
                  <c:v>12/19/2019</c:v>
                </c:pt>
                <c:pt idx="241">
                  <c:v>12/20/2019</c:v>
                </c:pt>
                <c:pt idx="242">
                  <c:v>12/23/2019</c:v>
                </c:pt>
                <c:pt idx="243">
                  <c:v>12/24/2019</c:v>
                </c:pt>
                <c:pt idx="244">
                  <c:v>12/25/2019</c:v>
                </c:pt>
                <c:pt idx="245">
                  <c:v>12/26/2019</c:v>
                </c:pt>
                <c:pt idx="246">
                  <c:v>12/27/2019</c:v>
                </c:pt>
                <c:pt idx="247">
                  <c:v>12/30/2019</c:v>
                </c:pt>
                <c:pt idx="248">
                  <c:v>8/1/2020</c:v>
                </c:pt>
                <c:pt idx="249">
                  <c:v>9/1/2020</c:v>
                </c:pt>
                <c:pt idx="250">
                  <c:v>10/1/2020</c:v>
                </c:pt>
                <c:pt idx="251">
                  <c:v>13/01/2020</c:v>
                </c:pt>
                <c:pt idx="252">
                  <c:v>14/01/2020</c:v>
                </c:pt>
                <c:pt idx="253">
                  <c:v>15/01/2020</c:v>
                </c:pt>
                <c:pt idx="254">
                  <c:v>16/01/2020</c:v>
                </c:pt>
                <c:pt idx="255">
                  <c:v>17/01/2020</c:v>
                </c:pt>
                <c:pt idx="256">
                  <c:v>20/01/2020</c:v>
                </c:pt>
                <c:pt idx="257">
                  <c:v>21/01/2020</c:v>
                </c:pt>
                <c:pt idx="258">
                  <c:v>22/01/2020</c:v>
                </c:pt>
                <c:pt idx="259">
                  <c:v>23/01/2020</c:v>
                </c:pt>
                <c:pt idx="260">
                  <c:v>24/01/2020</c:v>
                </c:pt>
                <c:pt idx="261">
                  <c:v>29/01/2020</c:v>
                </c:pt>
                <c:pt idx="262">
                  <c:v>30/01/2020</c:v>
                </c:pt>
                <c:pt idx="263">
                  <c:v>31/01/2020</c:v>
                </c:pt>
                <c:pt idx="264">
                  <c:v>1/2/2020</c:v>
                </c:pt>
                <c:pt idx="265">
                  <c:v>3/2/2020</c:v>
                </c:pt>
                <c:pt idx="266">
                  <c:v>4/2/2020</c:v>
                </c:pt>
                <c:pt idx="267">
                  <c:v>5/2/2020</c:v>
                </c:pt>
                <c:pt idx="268">
                  <c:v>6/2/2020</c:v>
                </c:pt>
                <c:pt idx="269">
                  <c:v>7/2/2020</c:v>
                </c:pt>
                <c:pt idx="270">
                  <c:v>10/2/2020</c:v>
                </c:pt>
                <c:pt idx="271">
                  <c:v>11/2/2020</c:v>
                </c:pt>
                <c:pt idx="272">
                  <c:v>12/2/2020</c:v>
                </c:pt>
                <c:pt idx="273">
                  <c:v>13/02/2020</c:v>
                </c:pt>
                <c:pt idx="274">
                  <c:v>14/02/2020</c:v>
                </c:pt>
                <c:pt idx="275">
                  <c:v>17/02/2020</c:v>
                </c:pt>
                <c:pt idx="276">
                  <c:v>18/02/2020</c:v>
                </c:pt>
                <c:pt idx="277">
                  <c:v>19/02/2020</c:v>
                </c:pt>
                <c:pt idx="278">
                  <c:v>20/02/2020</c:v>
                </c:pt>
                <c:pt idx="279">
                  <c:v>21/02/2020</c:v>
                </c:pt>
                <c:pt idx="280">
                  <c:v>24/02/2020</c:v>
                </c:pt>
                <c:pt idx="281">
                  <c:v>25/02/2020</c:v>
                </c:pt>
                <c:pt idx="282">
                  <c:v>26/02/2020</c:v>
                </c:pt>
                <c:pt idx="283">
                  <c:v>27/02/2020</c:v>
                </c:pt>
                <c:pt idx="284">
                  <c:v>28/02/2020</c:v>
                </c:pt>
                <c:pt idx="285">
                  <c:v>2/3/2020</c:v>
                </c:pt>
                <c:pt idx="286">
                  <c:v>3/3/2020</c:v>
                </c:pt>
                <c:pt idx="287">
                  <c:v>4/3/2020</c:v>
                </c:pt>
                <c:pt idx="288">
                  <c:v>5/3/2020</c:v>
                </c:pt>
                <c:pt idx="289">
                  <c:v>6/3/2020</c:v>
                </c:pt>
                <c:pt idx="290">
                  <c:v>9/3/2020</c:v>
                </c:pt>
                <c:pt idx="291">
                  <c:v>10/3/2020</c:v>
                </c:pt>
                <c:pt idx="292">
                  <c:v>11/3/2020</c:v>
                </c:pt>
                <c:pt idx="293">
                  <c:v>12/3/2020</c:v>
                </c:pt>
                <c:pt idx="294">
                  <c:v>13/03/2020</c:v>
                </c:pt>
                <c:pt idx="295">
                  <c:v>16/03/2020</c:v>
                </c:pt>
                <c:pt idx="296">
                  <c:v>17/03/2020</c:v>
                </c:pt>
                <c:pt idx="297">
                  <c:v>18/03/2020</c:v>
                </c:pt>
                <c:pt idx="298">
                  <c:v>19/03/2020</c:v>
                </c:pt>
                <c:pt idx="299">
                  <c:v>20/03/2020</c:v>
                </c:pt>
                <c:pt idx="300">
                  <c:v>23/03/2020</c:v>
                </c:pt>
                <c:pt idx="301">
                  <c:v>24/03/2020</c:v>
                </c:pt>
                <c:pt idx="302">
                  <c:v>25/03/2020</c:v>
                </c:pt>
                <c:pt idx="303">
                  <c:v>26/03/2020</c:v>
                </c:pt>
                <c:pt idx="304">
                  <c:v>27/03/2020</c:v>
                </c:pt>
                <c:pt idx="305">
                  <c:v>30/03/2020</c:v>
                </c:pt>
                <c:pt idx="306">
                  <c:v>31/03/2020</c:v>
                </c:pt>
                <c:pt idx="307">
                  <c:v>1/4/2020</c:v>
                </c:pt>
                <c:pt idx="308">
                  <c:v>2/4/2020</c:v>
                </c:pt>
                <c:pt idx="309">
                  <c:v>3/4/2020</c:v>
                </c:pt>
                <c:pt idx="310">
                  <c:v>6/4/2020</c:v>
                </c:pt>
                <c:pt idx="311">
                  <c:v>7/4/2020</c:v>
                </c:pt>
                <c:pt idx="312">
                  <c:v>8/4/2020</c:v>
                </c:pt>
                <c:pt idx="313">
                  <c:v>9/4/2020</c:v>
                </c:pt>
                <c:pt idx="314">
                  <c:v>10/4/2020</c:v>
                </c:pt>
                <c:pt idx="315">
                  <c:v>13/04/2020</c:v>
                </c:pt>
                <c:pt idx="316">
                  <c:v>14/04/2020</c:v>
                </c:pt>
                <c:pt idx="317">
                  <c:v>15/04/2020</c:v>
                </c:pt>
                <c:pt idx="318">
                  <c:v>16/04/2020</c:v>
                </c:pt>
                <c:pt idx="319">
                  <c:v>17/04/2020</c:v>
                </c:pt>
                <c:pt idx="320">
                  <c:v>20/04/2020</c:v>
                </c:pt>
                <c:pt idx="321">
                  <c:v>21/04/2020</c:v>
                </c:pt>
                <c:pt idx="322">
                  <c:v>22/04/2020</c:v>
                </c:pt>
                <c:pt idx="323">
                  <c:v>23/04/2020</c:v>
                </c:pt>
                <c:pt idx="324">
                  <c:v>27/04/2020</c:v>
                </c:pt>
                <c:pt idx="325">
                  <c:v>28/04/2020</c:v>
                </c:pt>
                <c:pt idx="326">
                  <c:v>29/04/2020</c:v>
                </c:pt>
                <c:pt idx="327">
                  <c:v>30/04/2020</c:v>
                </c:pt>
                <c:pt idx="328">
                  <c:v>4/5/2020</c:v>
                </c:pt>
                <c:pt idx="329">
                  <c:v>5/5/2020</c:v>
                </c:pt>
                <c:pt idx="330">
                  <c:v>6/5/2020</c:v>
                </c:pt>
                <c:pt idx="331">
                  <c:v>7/5/2020</c:v>
                </c:pt>
                <c:pt idx="332">
                  <c:v>8/5/2020</c:v>
                </c:pt>
                <c:pt idx="333">
                  <c:v>11/5/2020</c:v>
                </c:pt>
                <c:pt idx="334">
                  <c:v>12/5/2020</c:v>
                </c:pt>
                <c:pt idx="335">
                  <c:v>13/05/2020</c:v>
                </c:pt>
                <c:pt idx="336">
                  <c:v>14/05/2020</c:v>
                </c:pt>
                <c:pt idx="337">
                  <c:v>15/05/2020</c:v>
                </c:pt>
                <c:pt idx="338">
                  <c:v>18/05/2020</c:v>
                </c:pt>
                <c:pt idx="339">
                  <c:v>19/05/2020</c:v>
                </c:pt>
                <c:pt idx="340">
                  <c:v>20/05/2020</c:v>
                </c:pt>
                <c:pt idx="341">
                  <c:v>21/05/2020</c:v>
                </c:pt>
                <c:pt idx="342">
                  <c:v>22/05/2020</c:v>
                </c:pt>
                <c:pt idx="343">
                  <c:v>23/05/2020</c:v>
                </c:pt>
                <c:pt idx="344">
                  <c:v>25/05/2020</c:v>
                </c:pt>
                <c:pt idx="345">
                  <c:v>26/05/2020</c:v>
                </c:pt>
                <c:pt idx="346">
                  <c:v>27/05/2020</c:v>
                </c:pt>
                <c:pt idx="347">
                  <c:v>1/6/2020</c:v>
                </c:pt>
                <c:pt idx="348">
                  <c:v>2/6/2020</c:v>
                </c:pt>
                <c:pt idx="349">
                  <c:v>3/6/2020</c:v>
                </c:pt>
                <c:pt idx="350">
                  <c:v>4/6/2020</c:v>
                </c:pt>
                <c:pt idx="351">
                  <c:v>5/6/2020</c:v>
                </c:pt>
                <c:pt idx="352">
                  <c:v>8/6/2020</c:v>
                </c:pt>
                <c:pt idx="353">
                  <c:v>9/6/2020</c:v>
                </c:pt>
                <c:pt idx="354">
                  <c:v>10/6/2020</c:v>
                </c:pt>
                <c:pt idx="355">
                  <c:v>11/6/2020</c:v>
                </c:pt>
                <c:pt idx="356">
                  <c:v>12/6/2020</c:v>
                </c:pt>
                <c:pt idx="357">
                  <c:v>15/06/2020</c:v>
                </c:pt>
                <c:pt idx="358">
                  <c:v>16/06/2020</c:v>
                </c:pt>
                <c:pt idx="359">
                  <c:v>17/06/2020</c:v>
                </c:pt>
                <c:pt idx="360">
                  <c:v>18/06/2020</c:v>
                </c:pt>
                <c:pt idx="361">
                  <c:v>19/06/2020</c:v>
                </c:pt>
                <c:pt idx="362">
                  <c:v>22/06/2020</c:v>
                </c:pt>
                <c:pt idx="363">
                  <c:v>23/06/2020</c:v>
                </c:pt>
                <c:pt idx="364">
                  <c:v>24/06/2020</c:v>
                </c:pt>
                <c:pt idx="365">
                  <c:v>25/06/2020</c:v>
                </c:pt>
                <c:pt idx="366">
                  <c:v>26/06/2020</c:v>
                </c:pt>
                <c:pt idx="367">
                  <c:v>29/06/2020</c:v>
                </c:pt>
                <c:pt idx="368">
                  <c:v>30/06/2020</c:v>
                </c:pt>
                <c:pt idx="369">
                  <c:v>1/7/2020</c:v>
                </c:pt>
                <c:pt idx="370">
                  <c:v>2/7/2020</c:v>
                </c:pt>
                <c:pt idx="371">
                  <c:v>3/7/2020</c:v>
                </c:pt>
                <c:pt idx="372">
                  <c:v>6/7/2020</c:v>
                </c:pt>
                <c:pt idx="373">
                  <c:v>7/7/2020</c:v>
                </c:pt>
                <c:pt idx="374">
                  <c:v>8/7/2020</c:v>
                </c:pt>
                <c:pt idx="375">
                  <c:v>9/7/2020</c:v>
                </c:pt>
                <c:pt idx="376">
                  <c:v>10/7/2020</c:v>
                </c:pt>
                <c:pt idx="377">
                  <c:v>13/07/2020</c:v>
                </c:pt>
                <c:pt idx="378">
                  <c:v>14/07/2020</c:v>
                </c:pt>
                <c:pt idx="379">
                  <c:v>15/07/2020</c:v>
                </c:pt>
                <c:pt idx="380">
                  <c:v>16/07/2020</c:v>
                </c:pt>
                <c:pt idx="381">
                  <c:v>17/07/2020</c:v>
                </c:pt>
                <c:pt idx="382">
                  <c:v>20/07/2020</c:v>
                </c:pt>
                <c:pt idx="383">
                  <c:v>21/07/2020</c:v>
                </c:pt>
                <c:pt idx="384">
                  <c:v>22/07/2020</c:v>
                </c:pt>
                <c:pt idx="385">
                  <c:v>23/07/2020</c:v>
                </c:pt>
                <c:pt idx="386">
                  <c:v>24/07/2020</c:v>
                </c:pt>
                <c:pt idx="387">
                  <c:v>27/07/2020</c:v>
                </c:pt>
                <c:pt idx="388">
                  <c:v>28/07/2020</c:v>
                </c:pt>
                <c:pt idx="389">
                  <c:v>29/07/2020</c:v>
                </c:pt>
                <c:pt idx="390">
                  <c:v>30/07/2020</c:v>
                </c:pt>
                <c:pt idx="391">
                  <c:v>31/07/2020</c:v>
                </c:pt>
                <c:pt idx="392">
                  <c:v>3/8/2020</c:v>
                </c:pt>
                <c:pt idx="393">
                  <c:v>4/8/2020</c:v>
                </c:pt>
                <c:pt idx="394">
                  <c:v>5/8/2020</c:v>
                </c:pt>
                <c:pt idx="395">
                  <c:v>6/8/2020</c:v>
                </c:pt>
                <c:pt idx="396">
                  <c:v>7/8/2020</c:v>
                </c:pt>
                <c:pt idx="397">
                  <c:v>10/8/2020</c:v>
                </c:pt>
                <c:pt idx="398">
                  <c:v>11/8/2020</c:v>
                </c:pt>
                <c:pt idx="399">
                  <c:v>12/8/2020</c:v>
                </c:pt>
                <c:pt idx="400">
                  <c:v>13/08/2020</c:v>
                </c:pt>
                <c:pt idx="401">
                  <c:v>14/08/2020</c:v>
                </c:pt>
                <c:pt idx="402">
                  <c:v>17/08/2020</c:v>
                </c:pt>
                <c:pt idx="403">
                  <c:v>18/08/2020</c:v>
                </c:pt>
                <c:pt idx="404">
                  <c:v>19/08/2020</c:v>
                </c:pt>
                <c:pt idx="405">
                  <c:v>20/08/2020</c:v>
                </c:pt>
                <c:pt idx="406">
                  <c:v>21/08/2020</c:v>
                </c:pt>
                <c:pt idx="407">
                  <c:v>24/08/2020</c:v>
                </c:pt>
                <c:pt idx="408">
                  <c:v>25/08/2020</c:v>
                </c:pt>
                <c:pt idx="409">
                  <c:v>26/08/2020</c:v>
                </c:pt>
                <c:pt idx="410">
                  <c:v>27/08/2020</c:v>
                </c:pt>
                <c:pt idx="411">
                  <c:v>28/08/2020</c:v>
                </c:pt>
                <c:pt idx="412">
                  <c:v>31/08/2020</c:v>
                </c:pt>
                <c:pt idx="413">
                  <c:v>1/9/2020</c:v>
                </c:pt>
                <c:pt idx="414">
                  <c:v>2/9/2020</c:v>
                </c:pt>
                <c:pt idx="415">
                  <c:v>3/9/2020</c:v>
                </c:pt>
                <c:pt idx="416">
                  <c:v>4/9/2020</c:v>
                </c:pt>
                <c:pt idx="417">
                  <c:v>7/9/2020</c:v>
                </c:pt>
                <c:pt idx="418">
                  <c:v>8/9/2020</c:v>
                </c:pt>
                <c:pt idx="419">
                  <c:v>9/9/2020</c:v>
                </c:pt>
                <c:pt idx="420">
                  <c:v>10/9/2020</c:v>
                </c:pt>
                <c:pt idx="421">
                  <c:v>11/9/2020</c:v>
                </c:pt>
                <c:pt idx="422">
                  <c:v>14/09/2020</c:v>
                </c:pt>
                <c:pt idx="423">
                  <c:v>15/09/2020</c:v>
                </c:pt>
                <c:pt idx="424">
                  <c:v>16/09/2020</c:v>
                </c:pt>
                <c:pt idx="425">
                  <c:v>17/09/2020</c:v>
                </c:pt>
                <c:pt idx="426">
                  <c:v>18/09/2020</c:v>
                </c:pt>
                <c:pt idx="427">
                  <c:v>22/09/2020</c:v>
                </c:pt>
                <c:pt idx="428">
                  <c:v>23/09/2020</c:v>
                </c:pt>
                <c:pt idx="429">
                  <c:v>24/09/2020</c:v>
                </c:pt>
                <c:pt idx="430">
                  <c:v>25/09/2020</c:v>
                </c:pt>
                <c:pt idx="431">
                  <c:v>28/09/2020</c:v>
                </c:pt>
                <c:pt idx="432">
                  <c:v>29/09/2020</c:v>
                </c:pt>
                <c:pt idx="433">
                  <c:v>30/09/2020</c:v>
                </c:pt>
                <c:pt idx="434">
                  <c:v>1/10/2020</c:v>
                </c:pt>
                <c:pt idx="435">
                  <c:v>2/10/2020</c:v>
                </c:pt>
                <c:pt idx="436">
                  <c:v>5/10/2020</c:v>
                </c:pt>
                <c:pt idx="437">
                  <c:v>6/10/2020</c:v>
                </c:pt>
                <c:pt idx="438">
                  <c:v>7/10/2020</c:v>
                </c:pt>
                <c:pt idx="439">
                  <c:v>8/10/2020</c:v>
                </c:pt>
                <c:pt idx="440">
                  <c:v>9/10/2020</c:v>
                </c:pt>
                <c:pt idx="441">
                  <c:v>12/10/2020</c:v>
                </c:pt>
                <c:pt idx="442">
                  <c:v>13/10/2020</c:v>
                </c:pt>
                <c:pt idx="443">
                  <c:v>14/10/2020</c:v>
                </c:pt>
                <c:pt idx="444">
                  <c:v>15/10/2020</c:v>
                </c:pt>
                <c:pt idx="445">
                  <c:v>16/10/2020</c:v>
                </c:pt>
                <c:pt idx="446">
                  <c:v>19/10/2020</c:v>
                </c:pt>
                <c:pt idx="447">
                  <c:v>20/10/2020</c:v>
                </c:pt>
                <c:pt idx="448">
                  <c:v>21/10/2020</c:v>
                </c:pt>
                <c:pt idx="449">
                  <c:v>22/10/2020</c:v>
                </c:pt>
                <c:pt idx="450">
                  <c:v>23/10/2020</c:v>
                </c:pt>
                <c:pt idx="451">
                  <c:v>26/10/2020</c:v>
                </c:pt>
                <c:pt idx="452">
                  <c:v>27/10/2020</c:v>
                </c:pt>
                <c:pt idx="453">
                  <c:v>28/10/2020</c:v>
                </c:pt>
                <c:pt idx="454">
                  <c:v>29/10/2020</c:v>
                </c:pt>
                <c:pt idx="455">
                  <c:v>30/10/2020</c:v>
                </c:pt>
                <c:pt idx="456">
                  <c:v>2/11/2020</c:v>
                </c:pt>
                <c:pt idx="457">
                  <c:v>3/11/2020</c:v>
                </c:pt>
              </c:strCache>
            </c:strRef>
          </c:cat>
          <c:val>
            <c:numRef>
              <c:f>Sheet1!$D$2:$D$469</c:f>
              <c:numCache>
                <c:formatCode>0</c:formatCode>
                <c:ptCount val="458"/>
                <c:pt idx="0">
                  <c:v>100</c:v>
                </c:pt>
                <c:pt idx="1">
                  <c:v>99.810227946605366</c:v>
                </c:pt>
                <c:pt idx="2">
                  <c:v>99.960522850380215</c:v>
                </c:pt>
                <c:pt idx="3">
                  <c:v>99.779594987803577</c:v>
                </c:pt>
                <c:pt idx="4">
                  <c:v>100.28227052630655</c:v>
                </c:pt>
                <c:pt idx="5">
                  <c:v>100.0508616596176</c:v>
                </c:pt>
                <c:pt idx="6">
                  <c:v>99.491662171554111</c:v>
                </c:pt>
                <c:pt idx="7">
                  <c:v>99.198144970687807</c:v>
                </c:pt>
                <c:pt idx="8">
                  <c:v>98.982917350691736</c:v>
                </c:pt>
                <c:pt idx="9">
                  <c:v>98.91970465987005</c:v>
                </c:pt>
                <c:pt idx="10">
                  <c:v>99.203357589241065</c:v>
                </c:pt>
                <c:pt idx="11">
                  <c:v>98.664035850734848</c:v>
                </c:pt>
                <c:pt idx="12">
                  <c:v>98.383388641992155</c:v>
                </c:pt>
                <c:pt idx="13">
                  <c:v>98.645370916090329</c:v>
                </c:pt>
                <c:pt idx="14">
                  <c:v>98.805802914080488</c:v>
                </c:pt>
                <c:pt idx="15">
                  <c:v>98.385405664379192</c:v>
                </c:pt>
                <c:pt idx="16">
                  <c:v>97.174090447578706</c:v>
                </c:pt>
                <c:pt idx="17">
                  <c:v>97.715290617266405</c:v>
                </c:pt>
                <c:pt idx="18">
                  <c:v>97.789519490997918</c:v>
                </c:pt>
                <c:pt idx="19">
                  <c:v>97.569014091922895</c:v>
                </c:pt>
                <c:pt idx="20">
                  <c:v>97.954026724673071</c:v>
                </c:pt>
                <c:pt idx="21">
                  <c:v>98.437753359197742</c:v>
                </c:pt>
                <c:pt idx="22">
                  <c:v>98.405488916874816</c:v>
                </c:pt>
                <c:pt idx="23">
                  <c:v>98.009190101360502</c:v>
                </c:pt>
                <c:pt idx="24">
                  <c:v>97.831853775842561</c:v>
                </c:pt>
                <c:pt idx="25">
                  <c:v>97.940573954728066</c:v>
                </c:pt>
                <c:pt idx="26">
                  <c:v>99.506970948795072</c:v>
                </c:pt>
                <c:pt idx="27">
                  <c:v>99.273288461796653</c:v>
                </c:pt>
                <c:pt idx="28">
                  <c:v>98.717557589374337</c:v>
                </c:pt>
                <c:pt idx="29">
                  <c:v>98.73173445380867</c:v>
                </c:pt>
                <c:pt idx="30">
                  <c:v>98.083632823604304</c:v>
                </c:pt>
                <c:pt idx="31">
                  <c:v>97.653047693724616</c:v>
                </c:pt>
                <c:pt idx="32">
                  <c:v>97.650025037359541</c:v>
                </c:pt>
                <c:pt idx="33">
                  <c:v>97.282784820098428</c:v>
                </c:pt>
                <c:pt idx="34">
                  <c:v>97.825116497413859</c:v>
                </c:pt>
                <c:pt idx="35">
                  <c:v>98.046758887112205</c:v>
                </c:pt>
                <c:pt idx="36">
                  <c:v>98.114877522981274</c:v>
                </c:pt>
                <c:pt idx="37">
                  <c:v>98.207038030333578</c:v>
                </c:pt>
                <c:pt idx="38">
                  <c:v>98.043654284405079</c:v>
                </c:pt>
                <c:pt idx="39">
                  <c:v>98.027669340362621</c:v>
                </c:pt>
                <c:pt idx="40">
                  <c:v>98.254954591151986</c:v>
                </c:pt>
                <c:pt idx="41">
                  <c:v>98.250769179316322</c:v>
                </c:pt>
                <c:pt idx="42">
                  <c:v>98.413581531652412</c:v>
                </c:pt>
                <c:pt idx="43">
                  <c:v>98.051889115753013</c:v>
                </c:pt>
                <c:pt idx="44">
                  <c:v>97.640050561187877</c:v>
                </c:pt>
                <c:pt idx="45">
                  <c:v>97.519841203771819</c:v>
                </c:pt>
                <c:pt idx="46">
                  <c:v>97.364932487547293</c:v>
                </c:pt>
                <c:pt idx="47">
                  <c:v>96.308735918819565</c:v>
                </c:pt>
                <c:pt idx="48">
                  <c:v>95.750611949897248</c:v>
                </c:pt>
                <c:pt idx="49">
                  <c:v>95.933181177379709</c:v>
                </c:pt>
                <c:pt idx="50">
                  <c:v>94.840148054357215</c:v>
                </c:pt>
                <c:pt idx="51">
                  <c:v>95.543665974619927</c:v>
                </c:pt>
                <c:pt idx="52">
                  <c:v>95.820087250192302</c:v>
                </c:pt>
                <c:pt idx="53">
                  <c:v>95.853605944032694</c:v>
                </c:pt>
                <c:pt idx="54">
                  <c:v>96.523536125432784</c:v>
                </c:pt>
                <c:pt idx="55">
                  <c:v>96.652234173600007</c:v>
                </c:pt>
                <c:pt idx="56">
                  <c:v>96.420948641775965</c:v>
                </c:pt>
                <c:pt idx="57">
                  <c:v>97.453726057193009</c:v>
                </c:pt>
                <c:pt idx="58">
                  <c:v>97.594919470674867</c:v>
                </c:pt>
                <c:pt idx="59">
                  <c:v>97.148149686647727</c:v>
                </c:pt>
                <c:pt idx="60">
                  <c:v>97.496985290378618</c:v>
                </c:pt>
                <c:pt idx="61">
                  <c:v>97.522995690936256</c:v>
                </c:pt>
                <c:pt idx="62">
                  <c:v>97.502987690507268</c:v>
                </c:pt>
                <c:pt idx="63">
                  <c:v>96.440770397520055</c:v>
                </c:pt>
                <c:pt idx="64">
                  <c:v>96.42826500754461</c:v>
                </c:pt>
                <c:pt idx="65">
                  <c:v>95.882490909874491</c:v>
                </c:pt>
                <c:pt idx="66">
                  <c:v>95.884467827688738</c:v>
                </c:pt>
                <c:pt idx="67">
                  <c:v>95.704162449290706</c:v>
                </c:pt>
                <c:pt idx="68">
                  <c:v>95.748060498504202</c:v>
                </c:pt>
                <c:pt idx="69">
                  <c:v>95.311391778968215</c:v>
                </c:pt>
                <c:pt idx="70">
                  <c:v>95.455476661992364</c:v>
                </c:pt>
                <c:pt idx="71">
                  <c:v>95.348723100021772</c:v>
                </c:pt>
                <c:pt idx="72">
                  <c:v>95.031412101007675</c:v>
                </c:pt>
                <c:pt idx="73">
                  <c:v>94.948601210343313</c:v>
                </c:pt>
                <c:pt idx="74">
                  <c:v>96.742093141578806</c:v>
                </c:pt>
                <c:pt idx="75">
                  <c:v>96.563739981540323</c:v>
                </c:pt>
                <c:pt idx="76">
                  <c:v>96.419925583414994</c:v>
                </c:pt>
                <c:pt idx="77">
                  <c:v>96.005573918991843</c:v>
                </c:pt>
                <c:pt idx="78">
                  <c:v>97.30594694497826</c:v>
                </c:pt>
                <c:pt idx="79">
                  <c:v>97.497148620994324</c:v>
                </c:pt>
                <c:pt idx="80">
                  <c:v>97.078344278966938</c:v>
                </c:pt>
                <c:pt idx="81">
                  <c:v>97.280578974627588</c:v>
                </c:pt>
                <c:pt idx="82">
                  <c:v>97.213486273745417</c:v>
                </c:pt>
                <c:pt idx="83">
                  <c:v>97.124417395904032</c:v>
                </c:pt>
                <c:pt idx="84">
                  <c:v>97.349876263615272</c:v>
                </c:pt>
                <c:pt idx="85">
                  <c:v>97.384932332541254</c:v>
                </c:pt>
                <c:pt idx="86">
                  <c:v>96.661431211465242</c:v>
                </c:pt>
                <c:pt idx="87">
                  <c:v>96.195534782905</c:v>
                </c:pt>
                <c:pt idx="88">
                  <c:v>96.240744071519586</c:v>
                </c:pt>
                <c:pt idx="89">
                  <c:v>96.173496400712054</c:v>
                </c:pt>
                <c:pt idx="90">
                  <c:v>96.087346361230573</c:v>
                </c:pt>
                <c:pt idx="91">
                  <c:v>95.709435176550642</c:v>
                </c:pt>
                <c:pt idx="92">
                  <c:v>96.422679706158988</c:v>
                </c:pt>
                <c:pt idx="93">
                  <c:v>96.173496400712054</c:v>
                </c:pt>
                <c:pt idx="94">
                  <c:v>96.074416459878066</c:v>
                </c:pt>
                <c:pt idx="95">
                  <c:v>97.015988080065753</c:v>
                </c:pt>
                <c:pt idx="96">
                  <c:v>96.741696793103799</c:v>
                </c:pt>
                <c:pt idx="97">
                  <c:v>97.630989760373126</c:v>
                </c:pt>
                <c:pt idx="98">
                  <c:v>97.385607421323911</c:v>
                </c:pt>
                <c:pt idx="99">
                  <c:v>97.216835225676391</c:v>
                </c:pt>
                <c:pt idx="100">
                  <c:v>96.906920077727335</c:v>
                </c:pt>
                <c:pt idx="101">
                  <c:v>97.125698240026665</c:v>
                </c:pt>
                <c:pt idx="102">
                  <c:v>97.002003105546109</c:v>
                </c:pt>
                <c:pt idx="103">
                  <c:v>96.460271153171178</c:v>
                </c:pt>
                <c:pt idx="104">
                  <c:v>96.168521383564624</c:v>
                </c:pt>
                <c:pt idx="105">
                  <c:v>96.489906922840433</c:v>
                </c:pt>
                <c:pt idx="106">
                  <c:v>96.393219612659308</c:v>
                </c:pt>
                <c:pt idx="107">
                  <c:v>95.975927549018166</c:v>
                </c:pt>
                <c:pt idx="108">
                  <c:v>95.86157495975614</c:v>
                </c:pt>
                <c:pt idx="109">
                  <c:v>95.851544030873512</c:v>
                </c:pt>
                <c:pt idx="110">
                  <c:v>95.390164272784389</c:v>
                </c:pt>
                <c:pt idx="111">
                  <c:v>94.278718296874146</c:v>
                </c:pt>
                <c:pt idx="112">
                  <c:v>94.029633175878487</c:v>
                </c:pt>
                <c:pt idx="113">
                  <c:v>93.713380267151152</c:v>
                </c:pt>
                <c:pt idx="114">
                  <c:v>93.445288957516283</c:v>
                </c:pt>
                <c:pt idx="115">
                  <c:v>94.114577240080479</c:v>
                </c:pt>
                <c:pt idx="116">
                  <c:v>93.988282427303673</c:v>
                </c:pt>
                <c:pt idx="117">
                  <c:v>93.946931678728845</c:v>
                </c:pt>
                <c:pt idx="118">
                  <c:v>94.170131830969851</c:v>
                </c:pt>
                <c:pt idx="119">
                  <c:v>94.318748918787463</c:v>
                </c:pt>
                <c:pt idx="120">
                  <c:v>94.679643031305076</c:v>
                </c:pt>
                <c:pt idx="121">
                  <c:v>94.551757075103907</c:v>
                </c:pt>
                <c:pt idx="122">
                  <c:v>95.162683753850857</c:v>
                </c:pt>
                <c:pt idx="123">
                  <c:v>95.182638185336288</c:v>
                </c:pt>
                <c:pt idx="124">
                  <c:v>94.973684875850111</c:v>
                </c:pt>
                <c:pt idx="125">
                  <c:v>93.91345726321596</c:v>
                </c:pt>
                <c:pt idx="126">
                  <c:v>93.986417528337995</c:v>
                </c:pt>
                <c:pt idx="127">
                  <c:v>93.368898359294988</c:v>
                </c:pt>
                <c:pt idx="128">
                  <c:v>93.503520036335871</c:v>
                </c:pt>
                <c:pt idx="129">
                  <c:v>93.693203090618027</c:v>
                </c:pt>
                <c:pt idx="130">
                  <c:v>93.809095850146093</c:v>
                </c:pt>
                <c:pt idx="131">
                  <c:v>93.946983770878788</c:v>
                </c:pt>
                <c:pt idx="132">
                  <c:v>93.887833134689828</c:v>
                </c:pt>
                <c:pt idx="133">
                  <c:v>94.126987890803335</c:v>
                </c:pt>
                <c:pt idx="134">
                  <c:v>93.972701892962036</c:v>
                </c:pt>
                <c:pt idx="135">
                  <c:v>94.089426452332262</c:v>
                </c:pt>
                <c:pt idx="136">
                  <c:v>94.095357205775073</c:v>
                </c:pt>
                <c:pt idx="137">
                  <c:v>94.627011031511671</c:v>
                </c:pt>
                <c:pt idx="138">
                  <c:v>94.441465236584548</c:v>
                </c:pt>
                <c:pt idx="139">
                  <c:v>94.5653997288574</c:v>
                </c:pt>
                <c:pt idx="140">
                  <c:v>95.092433990566548</c:v>
                </c:pt>
                <c:pt idx="141">
                  <c:v>96.776896536058175</c:v>
                </c:pt>
                <c:pt idx="142">
                  <c:v>96.827735418457877</c:v>
                </c:pt>
                <c:pt idx="143">
                  <c:v>97.233825268297991</c:v>
                </c:pt>
                <c:pt idx="144">
                  <c:v>96.892809187929558</c:v>
                </c:pt>
                <c:pt idx="145">
                  <c:v>97.237909093043086</c:v>
                </c:pt>
                <c:pt idx="146">
                  <c:v>97.622763232002384</c:v>
                </c:pt>
                <c:pt idx="147">
                  <c:v>97.575605448322833</c:v>
                </c:pt>
                <c:pt idx="148">
                  <c:v>97.853003510425523</c:v>
                </c:pt>
                <c:pt idx="149">
                  <c:v>97.275192900438057</c:v>
                </c:pt>
                <c:pt idx="150">
                  <c:v>98.655067277934336</c:v>
                </c:pt>
                <c:pt idx="151">
                  <c:v>98.255465862873407</c:v>
                </c:pt>
                <c:pt idx="152">
                  <c:v>99.633364827194725</c:v>
                </c:pt>
                <c:pt idx="153">
                  <c:v>99.491535990085126</c:v>
                </c:pt>
                <c:pt idx="154">
                  <c:v>98.532538257025678</c:v>
                </c:pt>
                <c:pt idx="155">
                  <c:v>97.846835526845041</c:v>
                </c:pt>
                <c:pt idx="156">
                  <c:v>97.86328348305976</c:v>
                </c:pt>
                <c:pt idx="157">
                  <c:v>98.451697139974215</c:v>
                </c:pt>
                <c:pt idx="158">
                  <c:v>98.942729357080282</c:v>
                </c:pt>
                <c:pt idx="159">
                  <c:v>99.483173600003994</c:v>
                </c:pt>
                <c:pt idx="160">
                  <c:v>99.364718119219063</c:v>
                </c:pt>
                <c:pt idx="161">
                  <c:v>98.978071243472584</c:v>
                </c:pt>
                <c:pt idx="162">
                  <c:v>99.408559178982571</c:v>
                </c:pt>
                <c:pt idx="163">
                  <c:v>99.721293244810312</c:v>
                </c:pt>
                <c:pt idx="164">
                  <c:v>98.923260338228701</c:v>
                </c:pt>
                <c:pt idx="165">
                  <c:v>98.342176435369609</c:v>
                </c:pt>
                <c:pt idx="166">
                  <c:v>98.385531721617738</c:v>
                </c:pt>
                <c:pt idx="167">
                  <c:v>97.595137174900501</c:v>
                </c:pt>
                <c:pt idx="168">
                  <c:v>97.533711514242881</c:v>
                </c:pt>
                <c:pt idx="169">
                  <c:v>97.531663992220984</c:v>
                </c:pt>
                <c:pt idx="170">
                  <c:v>96.974268079171267</c:v>
                </c:pt>
                <c:pt idx="171">
                  <c:v>95.788396558468946</c:v>
                </c:pt>
                <c:pt idx="172">
                  <c:v>95.526541935076182</c:v>
                </c:pt>
                <c:pt idx="173">
                  <c:v>95.643230568153413</c:v>
                </c:pt>
                <c:pt idx="174">
                  <c:v>96.055702616986878</c:v>
                </c:pt>
                <c:pt idx="175">
                  <c:v>95.675372800648418</c:v>
                </c:pt>
                <c:pt idx="176">
                  <c:v>95.009034631413286</c:v>
                </c:pt>
                <c:pt idx="177">
                  <c:v>95.418180938281168</c:v>
                </c:pt>
                <c:pt idx="178">
                  <c:v>94.876038879104016</c:v>
                </c:pt>
                <c:pt idx="179">
                  <c:v>95.895682829018881</c:v>
                </c:pt>
                <c:pt idx="180">
                  <c:v>95.885611234208312</c:v>
                </c:pt>
                <c:pt idx="181">
                  <c:v>95.881582596284076</c:v>
                </c:pt>
                <c:pt idx="182">
                  <c:v>96.659263396668081</c:v>
                </c:pt>
                <c:pt idx="183">
                  <c:v>96.931505078254403</c:v>
                </c:pt>
                <c:pt idx="184">
                  <c:v>97.49480859582637</c:v>
                </c:pt>
                <c:pt idx="185">
                  <c:v>96.978340745925209</c:v>
                </c:pt>
                <c:pt idx="186">
                  <c:v>96.60076298000665</c:v>
                </c:pt>
                <c:pt idx="187">
                  <c:v>96.770956559825748</c:v>
                </c:pt>
                <c:pt idx="188">
                  <c:v>96.919245406777407</c:v>
                </c:pt>
                <c:pt idx="189">
                  <c:v>96.671743743433254</c:v>
                </c:pt>
                <c:pt idx="190">
                  <c:v>96.544446798216583</c:v>
                </c:pt>
                <c:pt idx="191">
                  <c:v>95.769790608602776</c:v>
                </c:pt>
                <c:pt idx="192">
                  <c:v>95.711532812205448</c:v>
                </c:pt>
                <c:pt idx="193">
                  <c:v>95.996398777124185</c:v>
                </c:pt>
                <c:pt idx="194">
                  <c:v>95.775817277195571</c:v>
                </c:pt>
                <c:pt idx="195">
                  <c:v>95.324116443791269</c:v>
                </c:pt>
                <c:pt idx="196">
                  <c:v>95.306109243405174</c:v>
                </c:pt>
                <c:pt idx="197">
                  <c:v>94.919879938867567</c:v>
                </c:pt>
                <c:pt idx="198">
                  <c:v>94.848140022890902</c:v>
                </c:pt>
                <c:pt idx="199">
                  <c:v>95.236081241903747</c:v>
                </c:pt>
                <c:pt idx="200">
                  <c:v>95.338041366670424</c:v>
                </c:pt>
                <c:pt idx="201">
                  <c:v>95.340044855960741</c:v>
                </c:pt>
                <c:pt idx="202">
                  <c:v>94.862089450997502</c:v>
                </c:pt>
                <c:pt idx="203">
                  <c:v>95.396142556088165</c:v>
                </c:pt>
                <c:pt idx="204">
                  <c:v>95.150379412720355</c:v>
                </c:pt>
                <c:pt idx="205">
                  <c:v>95.386125109636879</c:v>
                </c:pt>
                <c:pt idx="206">
                  <c:v>95.330118843919948</c:v>
                </c:pt>
                <c:pt idx="207">
                  <c:v>95.356129244477657</c:v>
                </c:pt>
                <c:pt idx="208">
                  <c:v>94.339090431702402</c:v>
                </c:pt>
                <c:pt idx="209">
                  <c:v>95.023504261944936</c:v>
                </c:pt>
                <c:pt idx="210">
                  <c:v>94.86948131937703</c:v>
                </c:pt>
                <c:pt idx="211">
                  <c:v>95.216560718861402</c:v>
                </c:pt>
                <c:pt idx="212">
                  <c:v>95.226537934604067</c:v>
                </c:pt>
                <c:pt idx="213">
                  <c:v>95.390153573357267</c:v>
                </c:pt>
                <c:pt idx="214">
                  <c:v>95.916439544361566</c:v>
                </c:pt>
                <c:pt idx="215">
                  <c:v>95.540202848424215</c:v>
                </c:pt>
                <c:pt idx="216">
                  <c:v>95.168976869342032</c:v>
                </c:pt>
                <c:pt idx="217">
                  <c:v>95.117164707803326</c:v>
                </c:pt>
                <c:pt idx="218">
                  <c:v>94.924498708120481</c:v>
                </c:pt>
                <c:pt idx="219">
                  <c:v>95.306232617134341</c:v>
                </c:pt>
                <c:pt idx="220">
                  <c:v>95.120779447731437</c:v>
                </c:pt>
                <c:pt idx="221">
                  <c:v>94.918528363533184</c:v>
                </c:pt>
                <c:pt idx="222">
                  <c:v>95.10282045939465</c:v>
                </c:pt>
                <c:pt idx="223">
                  <c:v>95.402147645464282</c:v>
                </c:pt>
                <c:pt idx="224">
                  <c:v>95.31822132516622</c:v>
                </c:pt>
                <c:pt idx="225">
                  <c:v>95.488182047308911</c:v>
                </c:pt>
                <c:pt idx="226">
                  <c:v>95.486063237612044</c:v>
                </c:pt>
                <c:pt idx="227">
                  <c:v>95.905711046839627</c:v>
                </c:pt>
                <c:pt idx="228">
                  <c:v>95.514036889686281</c:v>
                </c:pt>
                <c:pt idx="229">
                  <c:v>95.348259966665026</c:v>
                </c:pt>
                <c:pt idx="230">
                  <c:v>95.115549734913628</c:v>
                </c:pt>
                <c:pt idx="231">
                  <c:v>95.006616154317285</c:v>
                </c:pt>
                <c:pt idx="232">
                  <c:v>95.121520079500911</c:v>
                </c:pt>
                <c:pt idx="233">
                  <c:v>94.751956808119672</c:v>
                </c:pt>
                <c:pt idx="234">
                  <c:v>94.626124196156624</c:v>
                </c:pt>
                <c:pt idx="235">
                  <c:v>94.189501379252931</c:v>
                </c:pt>
                <c:pt idx="236">
                  <c:v>92.920954467462224</c:v>
                </c:pt>
                <c:pt idx="237">
                  <c:v>93.515803355874354</c:v>
                </c:pt>
                <c:pt idx="238">
                  <c:v>93.395035367260263</c:v>
                </c:pt>
                <c:pt idx="239">
                  <c:v>93.292166330500578</c:v>
                </c:pt>
                <c:pt idx="240">
                  <c:v>93.116462446131351</c:v>
                </c:pt>
                <c:pt idx="241">
                  <c:v>92.721275928167287</c:v>
                </c:pt>
                <c:pt idx="242">
                  <c:v>92.836184115448859</c:v>
                </c:pt>
                <c:pt idx="243">
                  <c:v>92.515425999115735</c:v>
                </c:pt>
                <c:pt idx="244">
                  <c:v>91.958456617704627</c:v>
                </c:pt>
                <c:pt idx="245">
                  <c:v>92.061592814047472</c:v>
                </c:pt>
                <c:pt idx="246">
                  <c:v>92.343772264129058</c:v>
                </c:pt>
                <c:pt idx="247">
                  <c:v>92.025600583108215</c:v>
                </c:pt>
                <c:pt idx="248">
                  <c:v>92.274626102279782</c:v>
                </c:pt>
                <c:pt idx="249">
                  <c:v>91.188733271453273</c:v>
                </c:pt>
                <c:pt idx="250">
                  <c:v>91.470301443878213</c:v>
                </c:pt>
                <c:pt idx="251">
                  <c:v>90.907393623394995</c:v>
                </c:pt>
                <c:pt idx="252">
                  <c:v>91.495112901516435</c:v>
                </c:pt>
                <c:pt idx="253">
                  <c:v>91.775940283506202</c:v>
                </c:pt>
                <c:pt idx="254">
                  <c:v>91.80081544193429</c:v>
                </c:pt>
                <c:pt idx="255">
                  <c:v>91.537101522134989</c:v>
                </c:pt>
                <c:pt idx="256">
                  <c:v>91.838342154144556</c:v>
                </c:pt>
                <c:pt idx="257">
                  <c:v>92.19192206437755</c:v>
                </c:pt>
                <c:pt idx="258">
                  <c:v>92.347534243878826</c:v>
                </c:pt>
                <c:pt idx="259">
                  <c:v>92.31475270113198</c:v>
                </c:pt>
                <c:pt idx="260">
                  <c:v>92.103447977319277</c:v>
                </c:pt>
                <c:pt idx="261">
                  <c:v>93.250908362739366</c:v>
                </c:pt>
                <c:pt idx="262">
                  <c:v>93.762603750127724</c:v>
                </c:pt>
                <c:pt idx="263">
                  <c:v>94.364981599946532</c:v>
                </c:pt>
                <c:pt idx="264">
                  <c:v>94.396528605913929</c:v>
                </c:pt>
                <c:pt idx="265">
                  <c:v>95.296650187394576</c:v>
                </c:pt>
                <c:pt idx="266">
                  <c:v>94.279706750592737</c:v>
                </c:pt>
                <c:pt idx="267">
                  <c:v>93.400279112490878</c:v>
                </c:pt>
                <c:pt idx="268">
                  <c:v>94.165159617887255</c:v>
                </c:pt>
                <c:pt idx="269">
                  <c:v>95.094064454858824</c:v>
                </c:pt>
                <c:pt idx="270">
                  <c:v>95.322521680606172</c:v>
                </c:pt>
                <c:pt idx="271">
                  <c:v>95.209337214663606</c:v>
                </c:pt>
                <c:pt idx="272">
                  <c:v>94.127506213128754</c:v>
                </c:pt>
                <c:pt idx="273">
                  <c:v>94.968013945730746</c:v>
                </c:pt>
                <c:pt idx="274">
                  <c:v>94.704247892569896</c:v>
                </c:pt>
                <c:pt idx="275">
                  <c:v>94.328933832229424</c:v>
                </c:pt>
                <c:pt idx="276">
                  <c:v>95.062712317813705</c:v>
                </c:pt>
                <c:pt idx="277">
                  <c:v>94.746876331547739</c:v>
                </c:pt>
                <c:pt idx="278">
                  <c:v>95.07418984109934</c:v>
                </c:pt>
                <c:pt idx="279">
                  <c:v>95.965896620135396</c:v>
                </c:pt>
                <c:pt idx="280">
                  <c:v>95.979939920571056</c:v>
                </c:pt>
                <c:pt idx="281">
                  <c:v>97.53718193802554</c:v>
                </c:pt>
                <c:pt idx="282">
                  <c:v>97.951406006714848</c:v>
                </c:pt>
                <c:pt idx="283">
                  <c:v>97.971881226934059</c:v>
                </c:pt>
                <c:pt idx="284">
                  <c:v>100.62048813760157</c:v>
                </c:pt>
                <c:pt idx="285">
                  <c:v>99.262500709594889</c:v>
                </c:pt>
                <c:pt idx="286">
                  <c:v>99.001625773124076</c:v>
                </c:pt>
                <c:pt idx="287">
                  <c:v>97.966306012649397</c:v>
                </c:pt>
                <c:pt idx="288">
                  <c:v>98.878265135208139</c:v>
                </c:pt>
                <c:pt idx="289">
                  <c:v>101.59343580320821</c:v>
                </c:pt>
                <c:pt idx="290">
                  <c:v>110.01560390717036</c:v>
                </c:pt>
                <c:pt idx="291">
                  <c:v>107.25394642494523</c:v>
                </c:pt>
                <c:pt idx="292">
                  <c:v>106.66705204698877</c:v>
                </c:pt>
                <c:pt idx="293">
                  <c:v>111.06775017826475</c:v>
                </c:pt>
                <c:pt idx="294">
                  <c:v>108.37366232357925</c:v>
                </c:pt>
                <c:pt idx="295">
                  <c:v>111.46472312267744</c:v>
                </c:pt>
                <c:pt idx="296">
                  <c:v>111.51294339088685</c:v>
                </c:pt>
                <c:pt idx="297">
                  <c:v>116.06064627886779</c:v>
                </c:pt>
                <c:pt idx="298">
                  <c:v>119.30100469119968</c:v>
                </c:pt>
                <c:pt idx="299">
                  <c:v>116.04548729563757</c:v>
                </c:pt>
                <c:pt idx="300">
                  <c:v>120.36866913214415</c:v>
                </c:pt>
                <c:pt idx="301">
                  <c:v>117.406358046656</c:v>
                </c:pt>
                <c:pt idx="302">
                  <c:v>115.50488908272594</c:v>
                </c:pt>
                <c:pt idx="303">
                  <c:v>116.72188518603339</c:v>
                </c:pt>
                <c:pt idx="304">
                  <c:v>116.08715315770991</c:v>
                </c:pt>
                <c:pt idx="305">
                  <c:v>118.49055441350579</c:v>
                </c:pt>
                <c:pt idx="306">
                  <c:v>116.40262852049165</c:v>
                </c:pt>
                <c:pt idx="307">
                  <c:v>117.6080269215681</c:v>
                </c:pt>
                <c:pt idx="308">
                  <c:v>116.95267466925894</c:v>
                </c:pt>
                <c:pt idx="309">
                  <c:v>114.28736070037159</c:v>
                </c:pt>
                <c:pt idx="310">
                  <c:v>113.61830392538839</c:v>
                </c:pt>
                <c:pt idx="311">
                  <c:v>112.44092756486179</c:v>
                </c:pt>
                <c:pt idx="312">
                  <c:v>112.8353929192407</c:v>
                </c:pt>
                <c:pt idx="313">
                  <c:v>110.36229780165186</c:v>
                </c:pt>
                <c:pt idx="314">
                  <c:v>109.76775996666272</c:v>
                </c:pt>
                <c:pt idx="315">
                  <c:v>109.88177082258038</c:v>
                </c:pt>
                <c:pt idx="316">
                  <c:v>109.48777389360851</c:v>
                </c:pt>
                <c:pt idx="317">
                  <c:v>110.29049361581855</c:v>
                </c:pt>
                <c:pt idx="318">
                  <c:v>110.44313749333197</c:v>
                </c:pt>
                <c:pt idx="319">
                  <c:v>110.64246251946257</c:v>
                </c:pt>
                <c:pt idx="320">
                  <c:v>110.82317370429507</c:v>
                </c:pt>
                <c:pt idx="321">
                  <c:v>114.13740667008641</c:v>
                </c:pt>
                <c:pt idx="322">
                  <c:v>114.24966167640032</c:v>
                </c:pt>
                <c:pt idx="323">
                  <c:v>112.06805621470087</c:v>
                </c:pt>
                <c:pt idx="324">
                  <c:v>110.83101472975433</c:v>
                </c:pt>
                <c:pt idx="325">
                  <c:v>110.15941060223625</c:v>
                </c:pt>
                <c:pt idx="326">
                  <c:v>109.79579251075232</c:v>
                </c:pt>
                <c:pt idx="327">
                  <c:v>108.90440033495848</c:v>
                </c:pt>
                <c:pt idx="328">
                  <c:v>112.49781373275756</c:v>
                </c:pt>
                <c:pt idx="329">
                  <c:v>110.39827344865188</c:v>
                </c:pt>
                <c:pt idx="330">
                  <c:v>110.86768048199038</c:v>
                </c:pt>
                <c:pt idx="331">
                  <c:v>109.94909418025796</c:v>
                </c:pt>
                <c:pt idx="332">
                  <c:v>109.66754483764281</c:v>
                </c:pt>
                <c:pt idx="333">
                  <c:v>109.93315378645394</c:v>
                </c:pt>
                <c:pt idx="334">
                  <c:v>109.52396032712598</c:v>
                </c:pt>
                <c:pt idx="335">
                  <c:v>109.30888134513445</c:v>
                </c:pt>
                <c:pt idx="336">
                  <c:v>109.91740573525996</c:v>
                </c:pt>
                <c:pt idx="337">
                  <c:v>109.36043579436013</c:v>
                </c:pt>
                <c:pt idx="338">
                  <c:v>108.58332833707003</c:v>
                </c:pt>
                <c:pt idx="339">
                  <c:v>107.82348759536534</c:v>
                </c:pt>
                <c:pt idx="340">
                  <c:v>107.11693297716928</c:v>
                </c:pt>
                <c:pt idx="341">
                  <c:v>105.74231173402492</c:v>
                </c:pt>
                <c:pt idx="342">
                  <c:v>107.07188993203228</c:v>
                </c:pt>
                <c:pt idx="343">
                  <c:v>107.12742629685935</c:v>
                </c:pt>
                <c:pt idx="344">
                  <c:v>106.50264547873009</c:v>
                </c:pt>
                <c:pt idx="345">
                  <c:v>105.90017212664047</c:v>
                </c:pt>
                <c:pt idx="346">
                  <c:v>105.60971095538773</c:v>
                </c:pt>
                <c:pt idx="347">
                  <c:v>104.04446464694433</c:v>
                </c:pt>
                <c:pt idx="348">
                  <c:v>102.44981188887699</c:v>
                </c:pt>
                <c:pt idx="349">
                  <c:v>101.99059771580151</c:v>
                </c:pt>
                <c:pt idx="350">
                  <c:v>103.10347962234889</c:v>
                </c:pt>
                <c:pt idx="351">
                  <c:v>102.43648108929342</c:v>
                </c:pt>
                <c:pt idx="352">
                  <c:v>101.64344783367135</c:v>
                </c:pt>
                <c:pt idx="353">
                  <c:v>102.62081952212414</c:v>
                </c:pt>
                <c:pt idx="354">
                  <c:v>102.57817013637418</c:v>
                </c:pt>
                <c:pt idx="355">
                  <c:v>102.701853355049</c:v>
                </c:pt>
                <c:pt idx="356">
                  <c:v>103.6297636706414</c:v>
                </c:pt>
                <c:pt idx="357">
                  <c:v>104.91050230195913</c:v>
                </c:pt>
                <c:pt idx="358">
                  <c:v>103.9679930870908</c:v>
                </c:pt>
                <c:pt idx="359">
                  <c:v>104.06656860914025</c:v>
                </c:pt>
                <c:pt idx="360">
                  <c:v>103.22969027678225</c:v>
                </c:pt>
                <c:pt idx="361">
                  <c:v>103.4723876483056</c:v>
                </c:pt>
                <c:pt idx="362">
                  <c:v>103.47544831131295</c:v>
                </c:pt>
                <c:pt idx="363">
                  <c:v>102.53033796300161</c:v>
                </c:pt>
                <c:pt idx="364">
                  <c:v>102.96479755725105</c:v>
                </c:pt>
                <c:pt idx="365">
                  <c:v>103.37519743254821</c:v>
                </c:pt>
                <c:pt idx="366">
                  <c:v>103.36371966076815</c:v>
                </c:pt>
                <c:pt idx="367">
                  <c:v>104.37201011006061</c:v>
                </c:pt>
                <c:pt idx="368">
                  <c:v>105.58060234592678</c:v>
                </c:pt>
                <c:pt idx="369">
                  <c:v>105.92671536684458</c:v>
                </c:pt>
                <c:pt idx="370">
                  <c:v>104.72303750112215</c:v>
                </c:pt>
                <c:pt idx="371">
                  <c:v>105.90454979486942</c:v>
                </c:pt>
                <c:pt idx="372">
                  <c:v>107.1172385874421</c:v>
                </c:pt>
                <c:pt idx="373">
                  <c:v>107.60683735475713</c:v>
                </c:pt>
                <c:pt idx="374">
                  <c:v>106.16453322049601</c:v>
                </c:pt>
                <c:pt idx="375">
                  <c:v>105.57846130295013</c:v>
                </c:pt>
                <c:pt idx="376">
                  <c:v>106.06985477126059</c:v>
                </c:pt>
                <c:pt idx="377">
                  <c:v>105.71932848241256</c:v>
                </c:pt>
                <c:pt idx="378">
                  <c:v>106.13830572433253</c:v>
                </c:pt>
                <c:pt idx="379">
                  <c:v>105.73847400939293</c:v>
                </c:pt>
                <c:pt idx="380">
                  <c:v>106.17258687727077</c:v>
                </c:pt>
                <c:pt idx="381">
                  <c:v>107.05230014048665</c:v>
                </c:pt>
                <c:pt idx="382">
                  <c:v>106.93531503568244</c:v>
                </c:pt>
                <c:pt idx="383">
                  <c:v>105.56388003786036</c:v>
                </c:pt>
                <c:pt idx="384">
                  <c:v>105.66427157149158</c:v>
                </c:pt>
                <c:pt idx="385">
                  <c:v>106.04432386308</c:v>
                </c:pt>
                <c:pt idx="386">
                  <c:v>106.37813946314726</c:v>
                </c:pt>
                <c:pt idx="387">
                  <c:v>106.62158666949475</c:v>
                </c:pt>
                <c:pt idx="388">
                  <c:v>107.66057539919937</c:v>
                </c:pt>
                <c:pt idx="389">
                  <c:v>107.93341252639716</c:v>
                </c:pt>
                <c:pt idx="390">
                  <c:v>109.57235922200708</c:v>
                </c:pt>
                <c:pt idx="391">
                  <c:v>110.11125908533943</c:v>
                </c:pt>
                <c:pt idx="392">
                  <c:v>110.22469866159196</c:v>
                </c:pt>
                <c:pt idx="393">
                  <c:v>109.85172517165798</c:v>
                </c:pt>
                <c:pt idx="394">
                  <c:v>108.66579360912188</c:v>
                </c:pt>
                <c:pt idx="395">
                  <c:v>109.24582821539059</c:v>
                </c:pt>
                <c:pt idx="396">
                  <c:v>109.8691604103546</c:v>
                </c:pt>
                <c:pt idx="397">
                  <c:v>109.75446321509619</c:v>
                </c:pt>
                <c:pt idx="398">
                  <c:v>108.62103096551954</c:v>
                </c:pt>
                <c:pt idx="399">
                  <c:v>108.8763667921887</c:v>
                </c:pt>
                <c:pt idx="400">
                  <c:v>109.57461770084339</c:v>
                </c:pt>
                <c:pt idx="401">
                  <c:v>109.33217461039338</c:v>
                </c:pt>
                <c:pt idx="402">
                  <c:v>109.45717680135571</c:v>
                </c:pt>
                <c:pt idx="403">
                  <c:v>109.02741761856278</c:v>
                </c:pt>
                <c:pt idx="404">
                  <c:v>109.37813004208513</c:v>
                </c:pt>
                <c:pt idx="405">
                  <c:v>110.14050436146113</c:v>
                </c:pt>
                <c:pt idx="406">
                  <c:v>110.7218384841855</c:v>
                </c:pt>
                <c:pt idx="407">
                  <c:v>110.59812301347448</c:v>
                </c:pt>
                <c:pt idx="408">
                  <c:v>111.38421518197298</c:v>
                </c:pt>
                <c:pt idx="409">
                  <c:v>112.93525177130398</c:v>
                </c:pt>
                <c:pt idx="410">
                  <c:v>111.85901162480894</c:v>
                </c:pt>
                <c:pt idx="411">
                  <c:v>111.05168357977396</c:v>
                </c:pt>
                <c:pt idx="412">
                  <c:v>109.86662432230609</c:v>
                </c:pt>
                <c:pt idx="413">
                  <c:v>109.95630062417838</c:v>
                </c:pt>
                <c:pt idx="414">
                  <c:v>110.2204158442063</c:v>
                </c:pt>
                <c:pt idx="415">
                  <c:v>112.30846269851492</c:v>
                </c:pt>
                <c:pt idx="416">
                  <c:v>111.73745984577737</c:v>
                </c:pt>
                <c:pt idx="417">
                  <c:v>113.33173444234352</c:v>
                </c:pt>
                <c:pt idx="418">
                  <c:v>113.96877986451128</c:v>
                </c:pt>
                <c:pt idx="419">
                  <c:v>113.13947925184739</c:v>
                </c:pt>
                <c:pt idx="420">
                  <c:v>112.33067288372789</c:v>
                </c:pt>
                <c:pt idx="421">
                  <c:v>111.66189967825872</c:v>
                </c:pt>
                <c:pt idx="422">
                  <c:v>112.22619072196862</c:v>
                </c:pt>
                <c:pt idx="423">
                  <c:v>111.98160375697231</c:v>
                </c:pt>
                <c:pt idx="424">
                  <c:v>111.37669241570048</c:v>
                </c:pt>
                <c:pt idx="425">
                  <c:v>111.77162815494708</c:v>
                </c:pt>
                <c:pt idx="426">
                  <c:v>111.97006663598184</c:v>
                </c:pt>
                <c:pt idx="427">
                  <c:v>113.20365388879527</c:v>
                </c:pt>
                <c:pt idx="428">
                  <c:v>113.76810154615659</c:v>
                </c:pt>
                <c:pt idx="429">
                  <c:v>115.19364111948404</c:v>
                </c:pt>
                <c:pt idx="430">
                  <c:v>115.1817733166818</c:v>
                </c:pt>
                <c:pt idx="431">
                  <c:v>117.51994624695232</c:v>
                </c:pt>
                <c:pt idx="432">
                  <c:v>118.37857281821915</c:v>
                </c:pt>
                <c:pt idx="433">
                  <c:v>116.67019358479384</c:v>
                </c:pt>
                <c:pt idx="434">
                  <c:v>115.23345083774467</c:v>
                </c:pt>
                <c:pt idx="435">
                  <c:v>117.09087157800411</c:v>
                </c:pt>
                <c:pt idx="436">
                  <c:v>116.71319154725417</c:v>
                </c:pt>
                <c:pt idx="437">
                  <c:v>116.89611825670438</c:v>
                </c:pt>
                <c:pt idx="438">
                  <c:v>116.71652667497793</c:v>
                </c:pt>
                <c:pt idx="439">
                  <c:v>116.20733985661603</c:v>
                </c:pt>
                <c:pt idx="440">
                  <c:v>115.06417010853608</c:v>
                </c:pt>
                <c:pt idx="441">
                  <c:v>114.94021213366028</c:v>
                </c:pt>
                <c:pt idx="442">
                  <c:v>114.89289571924141</c:v>
                </c:pt>
                <c:pt idx="443">
                  <c:v>115.15557458219389</c:v>
                </c:pt>
                <c:pt idx="444">
                  <c:v>116.33273920533645</c:v>
                </c:pt>
                <c:pt idx="445">
                  <c:v>116.62906790598413</c:v>
                </c:pt>
                <c:pt idx="446">
                  <c:v>115.76805775025713</c:v>
                </c:pt>
                <c:pt idx="447">
                  <c:v>116.16994319847581</c:v>
                </c:pt>
                <c:pt idx="448">
                  <c:v>114.96192828698746</c:v>
                </c:pt>
                <c:pt idx="449">
                  <c:v>114.76892905882742</c:v>
                </c:pt>
                <c:pt idx="450">
                  <c:v>113.81288187760184</c:v>
                </c:pt>
                <c:pt idx="451">
                  <c:v>113.98784291526756</c:v>
                </c:pt>
                <c:pt idx="452">
                  <c:v>114.15095513067669</c:v>
                </c:pt>
                <c:pt idx="453">
                  <c:v>116.39169111038628</c:v>
                </c:pt>
                <c:pt idx="454">
                  <c:v>118.37156733665041</c:v>
                </c:pt>
                <c:pt idx="455">
                  <c:v>117.90996816906748</c:v>
                </c:pt>
                <c:pt idx="456">
                  <c:v>119.67425963253567</c:v>
                </c:pt>
                <c:pt idx="457">
                  <c:v>118.68510276401588</c:v>
                </c:pt>
              </c:numCache>
            </c:numRef>
          </c:val>
          <c:smooth val="0"/>
          <c:extLst>
            <c:ext xmlns:c16="http://schemas.microsoft.com/office/drawing/2014/chart" uri="{C3380CC4-5D6E-409C-BE32-E72D297353CC}">
              <c16:uniqueId val="{00000002-DFF1-49D2-BB82-AF01953A7184}"/>
            </c:ext>
          </c:extLst>
        </c:ser>
        <c:dLbls>
          <c:showLegendKey val="0"/>
          <c:showVal val="0"/>
          <c:showCatName val="0"/>
          <c:showSerName val="0"/>
          <c:showPercent val="0"/>
          <c:showBubbleSize val="0"/>
        </c:dLbls>
        <c:smooth val="0"/>
        <c:axId val="121865728"/>
        <c:axId val="121867264"/>
      </c:lineChart>
      <c:catAx>
        <c:axId val="12186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21867264"/>
        <c:crosses val="autoZero"/>
        <c:auto val="1"/>
        <c:lblAlgn val="ctr"/>
        <c:lblOffset val="100"/>
        <c:noMultiLvlLbl val="1"/>
      </c:catAx>
      <c:valAx>
        <c:axId val="121867264"/>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baseline="0">
                    <a:effectLst/>
                  </a:rPr>
                  <a:t>Ինդեքս՝ 2019 թ. հունվարի 8</a:t>
                </a:r>
                <a:endParaRPr lang="en-US" sz="800" b="0" i="0" u="none" strike="noStrike" baseline="0">
                  <a:effectLst/>
                </a:endParaRPr>
              </a:p>
              <a:p>
                <a:pPr>
                  <a:defRPr sz="800" b="0" i="0" u="none" strike="noStrike" kern="1200" baseline="0">
                    <a:solidFill>
                      <a:schemeClr val="tx1">
                        <a:lumMod val="65000"/>
                        <a:lumOff val="35000"/>
                      </a:schemeClr>
                    </a:solidFill>
                    <a:latin typeface="+mn-lt"/>
                    <a:ea typeface="+mn-ea"/>
                    <a:cs typeface="+mn-cs"/>
                  </a:defRPr>
                </a:pPr>
                <a:r>
                  <a:rPr lang="hy-AM" sz="800" b="0" i="0" u="none" strike="noStrike" baseline="0">
                    <a:effectLst/>
                  </a:rPr>
                  <a:t>=100</a:t>
                </a:r>
                <a:endParaRPr lang="en-US" sz="800"/>
              </a:p>
            </c:rich>
          </c:tx>
          <c:layout>
            <c:manualLayout>
              <c:xMode val="edge"/>
              <c:yMode val="edge"/>
              <c:x val="7.7519379844961473E-3"/>
              <c:y val="8.4670206921809224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865728"/>
        <c:crosses val="autoZero"/>
        <c:crossBetween val="between"/>
      </c:valAx>
      <c:spPr>
        <a:noFill/>
        <a:ln>
          <a:noFill/>
        </a:ln>
        <a:effectLst/>
      </c:spPr>
    </c:plotArea>
    <c:legend>
      <c:legendPos val="b"/>
      <c:layout>
        <c:manualLayout>
          <c:xMode val="edge"/>
          <c:yMode val="edge"/>
          <c:x val="0"/>
          <c:y val="0.8103585377186705"/>
          <c:w val="1"/>
          <c:h val="0.1888944982355674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chemeClr val="tx1"/>
                </a:solidFill>
                <a:latin typeface="GHEA Grapalat" panose="02000506050000020003" pitchFamily="50" charset="0"/>
                <a:ea typeface="+mj-ea"/>
                <a:cs typeface="+mj-cs"/>
              </a:defRPr>
            </a:pPr>
            <a:r>
              <a:rPr lang="hy-AM" sz="900" b="1" i="1"/>
              <a:t>ԿԲ գործառնություններ, մլն դրամ</a:t>
            </a:r>
            <a:endParaRPr lang="en-US" sz="900" b="1" i="1"/>
          </a:p>
        </c:rich>
      </c:tx>
      <c:overlay val="0"/>
      <c:spPr>
        <a:noFill/>
        <a:ln>
          <a:noFill/>
        </a:ln>
        <a:effectLst/>
      </c:spPr>
    </c:title>
    <c:autoTitleDeleted val="0"/>
    <c:plotArea>
      <c:layout>
        <c:manualLayout>
          <c:layoutTarget val="inner"/>
          <c:xMode val="edge"/>
          <c:yMode val="edge"/>
          <c:x val="0.19427659505524772"/>
          <c:y val="0.14718253968253969"/>
          <c:w val="0.76045591523281864"/>
          <c:h val="0.49661948506436815"/>
        </c:manualLayout>
      </c:layout>
      <c:areaChart>
        <c:grouping val="standard"/>
        <c:varyColors val="0"/>
        <c:ser>
          <c:idx val="0"/>
          <c:order val="0"/>
          <c:tx>
            <c:strRef>
              <c:f>Sheet1!$B$1</c:f>
              <c:strCache>
                <c:ptCount val="1"/>
                <c:pt idx="0">
                  <c:v>Ռեպո համաձայնագրեր</c:v>
                </c:pt>
              </c:strCache>
            </c:strRef>
          </c:tx>
          <c:spPr>
            <a:solidFill>
              <a:schemeClr val="accent1"/>
            </a:solidFill>
            <a:ln>
              <a:noFill/>
            </a:ln>
            <a:effectLst/>
          </c:spP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Sheet1!$B$2:$B$46</c:f>
              <c:numCache>
                <c:formatCode>#,##0</c:formatCode>
                <c:ptCount val="45"/>
                <c:pt idx="0">
                  <c:v>10010.340092</c:v>
                </c:pt>
                <c:pt idx="1">
                  <c:v>10010.026423000001</c:v>
                </c:pt>
                <c:pt idx="2">
                  <c:v>30010.117533999994</c:v>
                </c:pt>
                <c:pt idx="3">
                  <c:v>4963.1806970000025</c:v>
                </c:pt>
                <c:pt idx="4">
                  <c:v>0</c:v>
                </c:pt>
                <c:pt idx="5">
                  <c:v>28708.224384000008</c:v>
                </c:pt>
                <c:pt idx="6">
                  <c:v>0</c:v>
                </c:pt>
                <c:pt idx="7">
                  <c:v>0</c:v>
                </c:pt>
                <c:pt idx="8">
                  <c:v>8003.9846569999991</c:v>
                </c:pt>
                <c:pt idx="9">
                  <c:v>10009.918903999993</c:v>
                </c:pt>
                <c:pt idx="10">
                  <c:v>15002.515935999994</c:v>
                </c:pt>
                <c:pt idx="11">
                  <c:v>36918.863014000002</c:v>
                </c:pt>
                <c:pt idx="12">
                  <c:v>3100</c:v>
                </c:pt>
                <c:pt idx="13">
                  <c:v>0</c:v>
                </c:pt>
                <c:pt idx="14">
                  <c:v>23007.619177999986</c:v>
                </c:pt>
                <c:pt idx="15">
                  <c:v>31752.306124999999</c:v>
                </c:pt>
                <c:pt idx="16">
                  <c:v>9601.6037530000049</c:v>
                </c:pt>
                <c:pt idx="17">
                  <c:v>55427.193008999995</c:v>
                </c:pt>
                <c:pt idx="18">
                  <c:v>67770.798931999961</c:v>
                </c:pt>
                <c:pt idx="19">
                  <c:v>66187.783616999994</c:v>
                </c:pt>
                <c:pt idx="20">
                  <c:v>120590.769421</c:v>
                </c:pt>
                <c:pt idx="21">
                  <c:v>90000</c:v>
                </c:pt>
                <c:pt idx="22">
                  <c:v>120040.73906399999</c:v>
                </c:pt>
                <c:pt idx="23">
                  <c:v>163433.11258099999</c:v>
                </c:pt>
                <c:pt idx="24">
                  <c:v>180879.100263</c:v>
                </c:pt>
                <c:pt idx="25">
                  <c:v>180073.80962699995</c:v>
                </c:pt>
                <c:pt idx="26">
                  <c:v>220323.28971799993</c:v>
                </c:pt>
                <c:pt idx="27">
                  <c:v>260627.031609</c:v>
                </c:pt>
                <c:pt idx="28">
                  <c:v>190557.54955299993</c:v>
                </c:pt>
                <c:pt idx="29">
                  <c:v>190642.64951199995</c:v>
                </c:pt>
                <c:pt idx="30">
                  <c:v>170338.63131</c:v>
                </c:pt>
                <c:pt idx="31">
                  <c:v>150411.26994500007</c:v>
                </c:pt>
                <c:pt idx="32">
                  <c:v>150458.40972699993</c:v>
                </c:pt>
                <c:pt idx="33">
                  <c:v>108677.60079200003</c:v>
                </c:pt>
                <c:pt idx="34">
                  <c:v>65252.792568999997</c:v>
                </c:pt>
                <c:pt idx="35">
                  <c:v>126669.77420100001</c:v>
                </c:pt>
                <c:pt idx="36">
                  <c:v>130040.291826</c:v>
                </c:pt>
                <c:pt idx="37">
                  <c:v>70032.156334999992</c:v>
                </c:pt>
                <c:pt idx="38">
                  <c:v>150133.33468199996</c:v>
                </c:pt>
                <c:pt idx="39">
                  <c:v>195027.59827900009</c:v>
                </c:pt>
                <c:pt idx="40">
                  <c:v>196812.30303499993</c:v>
                </c:pt>
                <c:pt idx="41">
                  <c:v>211932.343544</c:v>
                </c:pt>
                <c:pt idx="42">
                  <c:v>188727.39448999992</c:v>
                </c:pt>
                <c:pt idx="43" formatCode="_(* #,##0_);_(* \(#,##0\);_(* &quot;-&quot;??_);_(@_)">
                  <c:v>180135.43287500006</c:v>
                </c:pt>
                <c:pt idx="44">
                  <c:v>227400</c:v>
                </c:pt>
              </c:numCache>
            </c:numRef>
          </c:val>
          <c:extLst>
            <c:ext xmlns:c16="http://schemas.microsoft.com/office/drawing/2014/chart" uri="{C3380CC4-5D6E-409C-BE32-E72D297353CC}">
              <c16:uniqueId val="{00000000-A16E-463C-950C-08AB05502259}"/>
            </c:ext>
          </c:extLst>
        </c:ser>
        <c:ser>
          <c:idx val="1"/>
          <c:order val="1"/>
          <c:tx>
            <c:strRef>
              <c:f>Sheet1!$C$1</c:f>
              <c:strCache>
                <c:ptCount val="1"/>
                <c:pt idx="0">
                  <c:v>Արտարժույթի ներգրավման սվոփ</c:v>
                </c:pt>
              </c:strCache>
            </c:strRef>
          </c:tx>
          <c:spPr>
            <a:solidFill>
              <a:schemeClr val="accent2"/>
            </a:solidFill>
            <a:ln>
              <a:noFill/>
            </a:ln>
            <a:effectLst/>
          </c:spP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Sheet1!$C$2:$C$46</c:f>
              <c:numCache>
                <c:formatCode>#,##0</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10007.649315000002</c:v>
                </c:pt>
                <c:pt idx="15">
                  <c:v>25025.623835999999</c:v>
                </c:pt>
                <c:pt idx="16">
                  <c:v>9601.6037530000049</c:v>
                </c:pt>
                <c:pt idx="17">
                  <c:v>0</c:v>
                </c:pt>
                <c:pt idx="18">
                  <c:v>0</c:v>
                </c:pt>
                <c:pt idx="19">
                  <c:v>0</c:v>
                </c:pt>
                <c:pt idx="20">
                  <c:v>0</c:v>
                </c:pt>
                <c:pt idx="21">
                  <c:v>0</c:v>
                </c:pt>
                <c:pt idx="22">
                  <c:v>0</c:v>
                </c:pt>
                <c:pt idx="23">
                  <c:v>5351.1608177000007</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extLst>
            <c:ext xmlns:c16="http://schemas.microsoft.com/office/drawing/2014/chart" uri="{C3380CC4-5D6E-409C-BE32-E72D297353CC}">
              <c16:uniqueId val="{00000001-A16E-463C-950C-08AB05502259}"/>
            </c:ext>
          </c:extLst>
        </c:ser>
        <c:ser>
          <c:idx val="2"/>
          <c:order val="2"/>
          <c:tx>
            <c:strRef>
              <c:f>Sheet1!$D$1</c:f>
              <c:strCache>
                <c:ptCount val="1"/>
                <c:pt idx="0">
                  <c:v>Ավանդներ </c:v>
                </c:pt>
              </c:strCache>
            </c:strRef>
          </c:tx>
          <c:spPr>
            <a:solidFill>
              <a:schemeClr val="accent3"/>
            </a:solidFill>
            <a:ln>
              <a:noFill/>
            </a:ln>
            <a:effectLst/>
          </c:spP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Sheet1!$D$2:$D$46</c:f>
              <c:numCache>
                <c:formatCode>#,##0</c:formatCode>
                <c:ptCount val="45"/>
                <c:pt idx="0">
                  <c:v>0</c:v>
                </c:pt>
                <c:pt idx="1">
                  <c:v>0</c:v>
                </c:pt>
                <c:pt idx="2">
                  <c:v>-5300.6534247000018</c:v>
                </c:pt>
                <c:pt idx="3">
                  <c:v>-1500.5547944999998</c:v>
                </c:pt>
                <c:pt idx="4">
                  <c:v>-14001.7260274</c:v>
                </c:pt>
                <c:pt idx="5">
                  <c:v>-1200.1479451999999</c:v>
                </c:pt>
                <c:pt idx="6">
                  <c:v>-38004.6849315</c:v>
                </c:pt>
                <c:pt idx="7">
                  <c:v>-36504.500000100001</c:v>
                </c:pt>
                <c:pt idx="8">
                  <c:v>-3000.7397259999998</c:v>
                </c:pt>
                <c:pt idx="9">
                  <c:v>0</c:v>
                </c:pt>
                <c:pt idx="10">
                  <c:v>0</c:v>
                </c:pt>
                <c:pt idx="11">
                  <c:v>-66024.410958799999</c:v>
                </c:pt>
                <c:pt idx="12">
                  <c:v>0</c:v>
                </c:pt>
                <c:pt idx="13">
                  <c:v>-4000.493150700001</c:v>
                </c:pt>
                <c:pt idx="14">
                  <c:v>0</c:v>
                </c:pt>
                <c:pt idx="15">
                  <c:v>0</c:v>
                </c:pt>
                <c:pt idx="16">
                  <c:v>0</c:v>
                </c:pt>
                <c:pt idx="17">
                  <c:v>0</c:v>
                </c:pt>
                <c:pt idx="18">
                  <c:v>0</c:v>
                </c:pt>
                <c:pt idx="19">
                  <c:v>0</c:v>
                </c:pt>
                <c:pt idx="20">
                  <c:v>0</c:v>
                </c:pt>
                <c:pt idx="21">
                  <c:v>0</c:v>
                </c:pt>
                <c:pt idx="22">
                  <c:v>0</c:v>
                </c:pt>
                <c:pt idx="23">
                  <c:v>-12306.065753399997</c:v>
                </c:pt>
                <c:pt idx="24">
                  <c:v>0</c:v>
                </c:pt>
                <c:pt idx="25">
                  <c:v>0</c:v>
                </c:pt>
                <c:pt idx="26">
                  <c:v>0</c:v>
                </c:pt>
                <c:pt idx="27">
                  <c:v>0</c:v>
                </c:pt>
                <c:pt idx="28">
                  <c:v>-6000.6986301000024</c:v>
                </c:pt>
                <c:pt idx="29">
                  <c:v>-5001.7465753000006</c:v>
                </c:pt>
                <c:pt idx="30">
                  <c:v>-4400.5123288000004</c:v>
                </c:pt>
                <c:pt idx="31">
                  <c:v>0</c:v>
                </c:pt>
                <c:pt idx="32">
                  <c:v>-4000.4383562000012</c:v>
                </c:pt>
                <c:pt idx="33">
                  <c:v>-4000.4383562000012</c:v>
                </c:pt>
                <c:pt idx="34">
                  <c:v>-5501.2054795000004</c:v>
                </c:pt>
                <c:pt idx="35">
                  <c:v>-38508.438356100014</c:v>
                </c:pt>
                <c:pt idx="36">
                  <c:v>0</c:v>
                </c:pt>
                <c:pt idx="37">
                  <c:v>-2200.4808742999999</c:v>
                </c:pt>
                <c:pt idx="38">
                  <c:v>0</c:v>
                </c:pt>
                <c:pt idx="39">
                  <c:v>0</c:v>
                </c:pt>
                <c:pt idx="40">
                  <c:v>0</c:v>
                </c:pt>
                <c:pt idx="41">
                  <c:v>-3000.2459015999998</c:v>
                </c:pt>
                <c:pt idx="42">
                  <c:v>-1000.0819672</c:v>
                </c:pt>
                <c:pt idx="43">
                  <c:v>0</c:v>
                </c:pt>
                <c:pt idx="44">
                  <c:v>0</c:v>
                </c:pt>
              </c:numCache>
            </c:numRef>
          </c:val>
          <c:extLst>
            <c:ext xmlns:c16="http://schemas.microsoft.com/office/drawing/2014/chart" uri="{C3380CC4-5D6E-409C-BE32-E72D297353CC}">
              <c16:uniqueId val="{00000002-A16E-463C-950C-08AB05502259}"/>
            </c:ext>
          </c:extLst>
        </c:ser>
        <c:ser>
          <c:idx val="3"/>
          <c:order val="3"/>
          <c:tx>
            <c:strRef>
              <c:f>Sheet1!$E$1</c:f>
              <c:strCache>
                <c:ptCount val="1"/>
                <c:pt idx="0">
                  <c:v>Հակադարձ ռեպո</c:v>
                </c:pt>
              </c:strCache>
            </c:strRef>
          </c:tx>
          <c:spPr>
            <a:solidFill>
              <a:schemeClr val="accent4"/>
            </a:solidFill>
            <a:ln>
              <a:noFill/>
            </a:ln>
            <a:effectLst/>
          </c:spP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Sheet1!$E$2:$E$46</c:f>
              <c:numCache>
                <c:formatCode>#,##0</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extLst>
            <c:ext xmlns:c16="http://schemas.microsoft.com/office/drawing/2014/chart" uri="{C3380CC4-5D6E-409C-BE32-E72D297353CC}">
              <c16:uniqueId val="{00000003-A16E-463C-950C-08AB05502259}"/>
            </c:ext>
          </c:extLst>
        </c:ser>
        <c:ser>
          <c:idx val="4"/>
          <c:order val="4"/>
          <c:tx>
            <c:strRef>
              <c:f>Sheet1!$F$1</c:f>
              <c:strCache>
                <c:ptCount val="1"/>
                <c:pt idx="0">
                  <c:v>Արտարժույթի տրամադրման սվոփ</c:v>
                </c:pt>
              </c:strCache>
            </c:strRef>
          </c:tx>
          <c:spPr>
            <a:solidFill>
              <a:schemeClr val="accent5"/>
            </a:solidFill>
            <a:ln>
              <a:noFill/>
            </a:ln>
            <a:effectLst/>
          </c:spP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Sheet1!$F$2:$F$46</c:f>
              <c:numCache>
                <c:formatCode>#,##0</c:formatCode>
                <c:ptCount val="4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-17699.178399999997</c:v>
                </c:pt>
                <c:pt idx="17">
                  <c:v>-12087.536472600004</c:v>
                </c:pt>
                <c:pt idx="18">
                  <c:v>-8697.4428230000012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-25957.6985981</c:v>
                </c:pt>
                <c:pt idx="39">
                  <c:v>-15287.9520557</c:v>
                </c:pt>
                <c:pt idx="40">
                  <c:v>-3415.8190572000017</c:v>
                </c:pt>
                <c:pt idx="41">
                  <c:v>0</c:v>
                </c:pt>
                <c:pt idx="42">
                  <c:v>0</c:v>
                </c:pt>
                <c:pt idx="43">
                  <c:v>0</c:v>
                </c:pt>
                <c:pt idx="44">
                  <c:v>0</c:v>
                </c:pt>
              </c:numCache>
            </c:numRef>
          </c:val>
          <c:extLst>
            <c:ext xmlns:c16="http://schemas.microsoft.com/office/drawing/2014/chart" uri="{C3380CC4-5D6E-409C-BE32-E72D297353CC}">
              <c16:uniqueId val="{00000004-A16E-463C-950C-08AB05502259}"/>
            </c:ext>
          </c:extLst>
        </c:ser>
        <c:dLbls>
          <c:showLegendKey val="0"/>
          <c:showVal val="0"/>
          <c:showCatName val="0"/>
          <c:showSerName val="0"/>
          <c:showPercent val="0"/>
          <c:showBubbleSize val="0"/>
        </c:dLbls>
        <c:axId val="250891648"/>
        <c:axId val="250893440"/>
      </c:areaChart>
      <c:lineChart>
        <c:grouping val="standard"/>
        <c:varyColors val="0"/>
        <c:ser>
          <c:idx val="5"/>
          <c:order val="5"/>
          <c:tx>
            <c:strRef>
              <c:f>Sheet1!$G$1</c:f>
              <c:strCache>
                <c:ptCount val="1"/>
                <c:pt idx="0">
                  <c:v>Զուտ իրացվելիության տրամադրում</c:v>
                </c:pt>
              </c:strCache>
            </c:strRef>
          </c:tx>
          <c:spPr>
            <a:ln w="28575" cap="rnd">
              <a:solidFill>
                <a:srgbClr val="C00000"/>
              </a:solidFill>
              <a:round/>
            </a:ln>
            <a:effectLst/>
          </c:spPr>
          <c:marker>
            <c:symbol val="none"/>
          </c:marker>
          <c:cat>
            <c:strRef>
              <c:f>Sheet1!$A$2:$A$46</c:f>
              <c:strCache>
                <c:ptCount val="45"/>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strCache>
            </c:strRef>
          </c:cat>
          <c:val>
            <c:numRef>
              <c:f>Sheet1!$G$2:$G$46</c:f>
              <c:numCache>
                <c:formatCode>#,##0</c:formatCode>
                <c:ptCount val="45"/>
                <c:pt idx="0">
                  <c:v>10010.340092</c:v>
                </c:pt>
                <c:pt idx="1">
                  <c:v>10010.026423000001</c:v>
                </c:pt>
                <c:pt idx="2">
                  <c:v>24709.46410930001</c:v>
                </c:pt>
                <c:pt idx="3">
                  <c:v>3462.6259024999999</c:v>
                </c:pt>
                <c:pt idx="4">
                  <c:v>-14001.7260274</c:v>
                </c:pt>
                <c:pt idx="5">
                  <c:v>27508.076438800003</c:v>
                </c:pt>
                <c:pt idx="6">
                  <c:v>-38004.6849315</c:v>
                </c:pt>
                <c:pt idx="7">
                  <c:v>-36504.500000100001</c:v>
                </c:pt>
                <c:pt idx="8">
                  <c:v>5003.2449310000002</c:v>
                </c:pt>
                <c:pt idx="9">
                  <c:v>10009.918903999993</c:v>
                </c:pt>
                <c:pt idx="10">
                  <c:v>15002.515935999994</c:v>
                </c:pt>
                <c:pt idx="11">
                  <c:v>-29105.547944800004</c:v>
                </c:pt>
                <c:pt idx="12">
                  <c:v>3100</c:v>
                </c:pt>
                <c:pt idx="13">
                  <c:v>-4000.493150700001</c:v>
                </c:pt>
                <c:pt idx="14">
                  <c:v>33015.268492999996</c:v>
                </c:pt>
                <c:pt idx="15">
                  <c:v>56777.929960999994</c:v>
                </c:pt>
                <c:pt idx="16">
                  <c:v>1504.0291060000054</c:v>
                </c:pt>
                <c:pt idx="17">
                  <c:v>43339.65653640002</c:v>
                </c:pt>
                <c:pt idx="18">
                  <c:v>59073.356109000008</c:v>
                </c:pt>
                <c:pt idx="19">
                  <c:v>66187.783616999994</c:v>
                </c:pt>
                <c:pt idx="20">
                  <c:v>120590.769421</c:v>
                </c:pt>
                <c:pt idx="21">
                  <c:v>90000</c:v>
                </c:pt>
                <c:pt idx="22">
                  <c:v>120040.73906399999</c:v>
                </c:pt>
                <c:pt idx="23">
                  <c:v>156478.20764530008</c:v>
                </c:pt>
                <c:pt idx="24">
                  <c:v>180879.100263</c:v>
                </c:pt>
                <c:pt idx="25">
                  <c:v>180073.80962699995</c:v>
                </c:pt>
                <c:pt idx="26">
                  <c:v>220323.28971799993</c:v>
                </c:pt>
                <c:pt idx="27">
                  <c:v>260627.031609</c:v>
                </c:pt>
                <c:pt idx="28">
                  <c:v>184556.85092289993</c:v>
                </c:pt>
                <c:pt idx="29">
                  <c:v>185640.9029367</c:v>
                </c:pt>
                <c:pt idx="30">
                  <c:v>165938.11898120007</c:v>
                </c:pt>
                <c:pt idx="31">
                  <c:v>150411.26994500007</c:v>
                </c:pt>
                <c:pt idx="32">
                  <c:v>146457.97137079999</c:v>
                </c:pt>
                <c:pt idx="33">
                  <c:v>104677.1624358</c:v>
                </c:pt>
                <c:pt idx="34">
                  <c:v>59751.587089500004</c:v>
                </c:pt>
                <c:pt idx="35">
                  <c:v>88161.335844899993</c:v>
                </c:pt>
                <c:pt idx="36">
                  <c:v>130040.291826</c:v>
                </c:pt>
                <c:pt idx="37">
                  <c:v>67831.675460700062</c:v>
                </c:pt>
                <c:pt idx="38">
                  <c:v>124175.63608390001</c:v>
                </c:pt>
                <c:pt idx="39">
                  <c:v>179739.64622330008</c:v>
                </c:pt>
                <c:pt idx="40">
                  <c:v>193396.4839778</c:v>
                </c:pt>
                <c:pt idx="41">
                  <c:v>208932.09764240001</c:v>
                </c:pt>
                <c:pt idx="42">
                  <c:v>187727.3125228</c:v>
                </c:pt>
                <c:pt idx="43">
                  <c:v>180135.43287500006</c:v>
                </c:pt>
                <c:pt idx="44">
                  <c:v>227400</c:v>
                </c:pt>
              </c:numCache>
            </c:numRef>
          </c:val>
          <c:smooth val="0"/>
          <c:extLst>
            <c:ext xmlns:c16="http://schemas.microsoft.com/office/drawing/2014/chart" uri="{C3380CC4-5D6E-409C-BE32-E72D297353CC}">
              <c16:uniqueId val="{00000005-A16E-463C-950C-08AB05502259}"/>
            </c:ext>
          </c:extLst>
        </c:ser>
        <c:dLbls>
          <c:showLegendKey val="0"/>
          <c:showVal val="0"/>
          <c:showCatName val="0"/>
          <c:showSerName val="0"/>
          <c:showPercent val="0"/>
          <c:showBubbleSize val="0"/>
        </c:dLbls>
        <c:marker val="1"/>
        <c:smooth val="0"/>
        <c:axId val="250891648"/>
        <c:axId val="250893440"/>
      </c:lineChart>
      <c:catAx>
        <c:axId val="2508916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250893440"/>
        <c:crosses val="autoZero"/>
        <c:auto val="1"/>
        <c:lblAlgn val="ctr"/>
        <c:lblOffset val="100"/>
        <c:noMultiLvlLbl val="0"/>
      </c:catAx>
      <c:valAx>
        <c:axId val="25089344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anose="02000506050000020003" pitchFamily="50" charset="0"/>
                <a:ea typeface="+mn-ea"/>
                <a:cs typeface="+mn-cs"/>
              </a:defRPr>
            </a:pPr>
            <a:endParaRPr lang="en-US"/>
          </a:p>
        </c:txPr>
        <c:crossAx val="2508916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3405268785846284E-2"/>
          <c:y val="0.69940194975627956"/>
          <c:w val="0.95318946242830915"/>
          <c:h val="0.2767885264341957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Sheet2!$B$3</c:f>
              <c:strCache>
                <c:ptCount val="1"/>
              </c:strCache>
            </c:strRef>
          </c:tx>
          <c:spPr>
            <a:no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Sheet2!$B$68:$B$91</c:f>
              <c:numCache>
                <c:formatCode>General</c:formatCode>
                <c:ptCount val="12"/>
                <c:pt idx="0">
                  <c:v>0.13736183430854965</c:v>
                </c:pt>
                <c:pt idx="1">
                  <c:v>7.5594540907032703</c:v>
                </c:pt>
                <c:pt idx="2">
                  <c:v>5.1738939407217828</c:v>
                </c:pt>
                <c:pt idx="3">
                  <c:v>7.5825930160295059</c:v>
                </c:pt>
                <c:pt idx="4">
                  <c:v>3.9467111733943772</c:v>
                </c:pt>
                <c:pt idx="5">
                  <c:v>-5.674773485932282</c:v>
                </c:pt>
                <c:pt idx="6">
                  <c:v>-7.0254711751663015</c:v>
                </c:pt>
                <c:pt idx="7">
                  <c:v>-12.059840710247631</c:v>
                </c:pt>
                <c:pt idx="8">
                  <c:v>-9.6713640217254522</c:v>
                </c:pt>
                <c:pt idx="9">
                  <c:v>-6.5141573123752119</c:v>
                </c:pt>
                <c:pt idx="10">
                  <c:v>-6.2055697814152779</c:v>
                </c:pt>
                <c:pt idx="11">
                  <c:v>-6.18177460420155</c:v>
                </c:pt>
              </c:numCache>
            </c:numRef>
          </c:val>
          <c:extLst>
            <c:ext xmlns:c16="http://schemas.microsoft.com/office/drawing/2014/chart" uri="{C3380CC4-5D6E-409C-BE32-E72D297353CC}">
              <c16:uniqueId val="{00000000-D81B-4BEB-8D7C-F2E2B9E8B4A6}"/>
            </c:ext>
          </c:extLst>
        </c:ser>
        <c:ser>
          <c:idx val="1"/>
          <c:order val="1"/>
          <c:tx>
            <c:strRef>
              <c:f>Sheet2!$C$3</c:f>
              <c:strCache>
                <c:ptCount val="1"/>
              </c:strCache>
            </c:strRef>
          </c:tx>
          <c:spPr>
            <a:solidFill>
              <a:srgbClr val="FF0000">
                <a:alpha val="2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Sheet2!$C$68:$C$91</c:f>
              <c:numCache>
                <c:formatCode>General</c:formatCode>
                <c:ptCount val="12"/>
                <c:pt idx="7">
                  <c:v>0.90932566732581011</c:v>
                </c:pt>
                <c:pt idx="8">
                  <c:v>1.9152612564930618</c:v>
                </c:pt>
                <c:pt idx="9">
                  <c:v>1.9925379860906005</c:v>
                </c:pt>
                <c:pt idx="10">
                  <c:v>2.0415628371166479</c:v>
                </c:pt>
                <c:pt idx="11">
                  <c:v>2.0737601115289142</c:v>
                </c:pt>
              </c:numCache>
            </c:numRef>
          </c:val>
          <c:extLst>
            <c:ext xmlns:c16="http://schemas.microsoft.com/office/drawing/2014/chart" uri="{C3380CC4-5D6E-409C-BE32-E72D297353CC}">
              <c16:uniqueId val="{00000001-D81B-4BEB-8D7C-F2E2B9E8B4A6}"/>
            </c:ext>
          </c:extLst>
        </c:ser>
        <c:ser>
          <c:idx val="2"/>
          <c:order val="2"/>
          <c:tx>
            <c:strRef>
              <c:f>Sheet2!$D$3</c:f>
              <c:strCache>
                <c:ptCount val="1"/>
              </c:strCache>
            </c:strRef>
          </c:tx>
          <c:spPr>
            <a:solidFill>
              <a:srgbClr val="FF0000">
                <a:alpha val="3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Sheet2!$D$68:$D$91</c:f>
              <c:numCache>
                <c:formatCode>General</c:formatCode>
                <c:ptCount val="12"/>
                <c:pt idx="7">
                  <c:v>0.61351771071143446</c:v>
                </c:pt>
                <c:pt idx="8">
                  <c:v>1.2922176770326592</c:v>
                </c:pt>
                <c:pt idx="9">
                  <c:v>1.3443559196200217</c:v>
                </c:pt>
                <c:pt idx="10">
                  <c:v>1.377432753861294</c:v>
                </c:pt>
                <c:pt idx="11">
                  <c:v>1.399156102050348</c:v>
                </c:pt>
              </c:numCache>
            </c:numRef>
          </c:val>
          <c:extLst>
            <c:ext xmlns:c16="http://schemas.microsoft.com/office/drawing/2014/chart" uri="{C3380CC4-5D6E-409C-BE32-E72D297353CC}">
              <c16:uniqueId val="{00000002-D81B-4BEB-8D7C-F2E2B9E8B4A6}"/>
            </c:ext>
          </c:extLst>
        </c:ser>
        <c:ser>
          <c:idx val="3"/>
          <c:order val="3"/>
          <c:tx>
            <c:strRef>
              <c:f>Sheet2!$E$3</c:f>
              <c:strCache>
                <c:ptCount val="1"/>
              </c:strCache>
            </c:strRef>
          </c:tx>
          <c:spPr>
            <a:solidFill>
              <a:srgbClr val="FF0000">
                <a:alpha val="4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Sheet2!$E$68:$E$91</c:f>
              <c:numCache>
                <c:formatCode>General</c:formatCode>
                <c:ptCount val="12"/>
                <c:pt idx="7">
                  <c:v>0.48760442756623235</c:v>
                </c:pt>
                <c:pt idx="8">
                  <c:v>1.0270136455715697</c:v>
                </c:pt>
                <c:pt idx="9">
                  <c:v>1.0684514679640804</c:v>
                </c:pt>
                <c:pt idx="10">
                  <c:v>1.0947398872620591</c:v>
                </c:pt>
                <c:pt idx="11">
                  <c:v>1.1120049157585683</c:v>
                </c:pt>
              </c:numCache>
            </c:numRef>
          </c:val>
          <c:extLst>
            <c:ext xmlns:c16="http://schemas.microsoft.com/office/drawing/2014/chart" uri="{C3380CC4-5D6E-409C-BE32-E72D297353CC}">
              <c16:uniqueId val="{00000003-D81B-4BEB-8D7C-F2E2B9E8B4A6}"/>
            </c:ext>
          </c:extLst>
        </c:ser>
        <c:ser>
          <c:idx val="4"/>
          <c:order val="4"/>
          <c:tx>
            <c:strRef>
              <c:f>Sheet2!$F$3</c:f>
              <c:strCache>
                <c:ptCount val="1"/>
              </c:strCache>
            </c:strRef>
          </c:tx>
          <c:spPr>
            <a:solidFill>
              <a:srgbClr val="FF0000">
                <a:alpha val="5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Sheet2!$F$68:$F$91</c:f>
              <c:numCache>
                <c:formatCode>General</c:formatCode>
                <c:ptCount val="12"/>
                <c:pt idx="7">
                  <c:v>0.41832118173033828</c:v>
                </c:pt>
                <c:pt idx="8">
                  <c:v>0.88108626087142417</c:v>
                </c:pt>
                <c:pt idx="9">
                  <c:v>0.91663622279052914</c:v>
                </c:pt>
                <c:pt idx="10">
                  <c:v>0.9391893457829571</c:v>
                </c:pt>
                <c:pt idx="11">
                  <c:v>0.95400120292567503</c:v>
                </c:pt>
              </c:numCache>
            </c:numRef>
          </c:val>
          <c:extLst>
            <c:ext xmlns:c16="http://schemas.microsoft.com/office/drawing/2014/chart" uri="{C3380CC4-5D6E-409C-BE32-E72D297353CC}">
              <c16:uniqueId val="{00000004-D81B-4BEB-8D7C-F2E2B9E8B4A6}"/>
            </c:ext>
          </c:extLst>
        </c:ser>
        <c:ser>
          <c:idx val="5"/>
          <c:order val="5"/>
          <c:tx>
            <c:strRef>
              <c:f>Sheet2!$G$3</c:f>
              <c:strCache>
                <c:ptCount val="1"/>
              </c:strCache>
            </c:strRef>
          </c:tx>
          <c:spPr>
            <a:solidFill>
              <a:srgbClr val="FF0000">
                <a:alpha val="6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Sheet2!$G$68:$G$91</c:f>
              <c:numCache>
                <c:formatCode>General</c:formatCode>
                <c:ptCount val="12"/>
                <c:pt idx="7">
                  <c:v>0.375665349953483</c:v>
                </c:pt>
                <c:pt idx="8">
                  <c:v>0.79124269337821485</c:v>
                </c:pt>
                <c:pt idx="9">
                  <c:v>0.82316765789933388</c:v>
                </c:pt>
                <c:pt idx="10">
                  <c:v>0.84342105938010392</c:v>
                </c:pt>
                <c:pt idx="11">
                  <c:v>0.85672256487395249</c:v>
                </c:pt>
              </c:numCache>
            </c:numRef>
          </c:val>
          <c:extLst>
            <c:ext xmlns:c16="http://schemas.microsoft.com/office/drawing/2014/chart" uri="{C3380CC4-5D6E-409C-BE32-E72D297353CC}">
              <c16:uniqueId val="{00000005-D81B-4BEB-8D7C-F2E2B9E8B4A6}"/>
            </c:ext>
          </c:extLst>
        </c:ser>
        <c:ser>
          <c:idx val="6"/>
          <c:order val="6"/>
          <c:tx>
            <c:strRef>
              <c:f>Sheet2!$H$3</c:f>
              <c:strCache>
                <c:ptCount val="1"/>
              </c:strCache>
            </c:strRef>
          </c:tx>
          <c:spPr>
            <a:solidFill>
              <a:srgbClr val="FF0000">
                <a:alpha val="7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Sheet2!$H$68:$H$91</c:f>
              <c:numCache>
                <c:formatCode>General</c:formatCode>
                <c:ptCount val="12"/>
                <c:pt idx="7">
                  <c:v>0.34810993206076546</c:v>
                </c:pt>
                <c:pt idx="8">
                  <c:v>0.73320427414871481</c:v>
                </c:pt>
                <c:pt idx="9">
                  <c:v>0.76278751154834445</c:v>
                </c:pt>
                <c:pt idx="10">
                  <c:v>0.78155530638048232</c:v>
                </c:pt>
                <c:pt idx="11">
                  <c:v>0.79388113354112688</c:v>
                </c:pt>
              </c:numCache>
            </c:numRef>
          </c:val>
          <c:extLst>
            <c:ext xmlns:c16="http://schemas.microsoft.com/office/drawing/2014/chart" uri="{C3380CC4-5D6E-409C-BE32-E72D297353CC}">
              <c16:uniqueId val="{00000006-D81B-4BEB-8D7C-F2E2B9E8B4A6}"/>
            </c:ext>
          </c:extLst>
        </c:ser>
        <c:ser>
          <c:idx val="7"/>
          <c:order val="7"/>
          <c:tx>
            <c:strRef>
              <c:f>Sheet2!$I$3</c:f>
              <c:strCache>
                <c:ptCount val="1"/>
              </c:strCache>
            </c:strRef>
          </c:tx>
          <c:spPr>
            <a:solidFill>
              <a:srgbClr val="FF0000">
                <a:alpha val="8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Sheet2!$I$68:$I$91</c:f>
              <c:numCache>
                <c:formatCode>General</c:formatCode>
                <c:ptCount val="12"/>
                <c:pt idx="7">
                  <c:v>0.33032228378118988</c:v>
                </c:pt>
                <c:pt idx="8">
                  <c:v>0.6957391559648356</c:v>
                </c:pt>
                <c:pt idx="9">
                  <c:v>0.72381075530599204</c:v>
                </c:pt>
                <c:pt idx="10">
                  <c:v>0.74161955729503282</c:v>
                </c:pt>
                <c:pt idx="11">
                  <c:v>0.75331556192521787</c:v>
                </c:pt>
              </c:numCache>
            </c:numRef>
          </c:val>
          <c:extLst>
            <c:ext xmlns:c16="http://schemas.microsoft.com/office/drawing/2014/chart" uri="{C3380CC4-5D6E-409C-BE32-E72D297353CC}">
              <c16:uniqueId val="{00000007-D81B-4BEB-8D7C-F2E2B9E8B4A6}"/>
            </c:ext>
          </c:extLst>
        </c:ser>
        <c:ser>
          <c:idx val="8"/>
          <c:order val="8"/>
          <c:tx>
            <c:strRef>
              <c:f>Sheet2!$J$3</c:f>
              <c:strCache>
                <c:ptCount val="1"/>
              </c:strCache>
            </c:strRef>
          </c:tx>
          <c:spPr>
            <a:solidFill>
              <a:srgbClr val="FF0000">
                <a:alpha val="9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Sheet2!$J$68:$J$91</c:f>
              <c:numCache>
                <c:formatCode>General</c:formatCode>
                <c:ptCount val="12"/>
                <c:pt idx="7">
                  <c:v>0.31959063234694646</c:v>
                </c:pt>
                <c:pt idx="8">
                  <c:v>0.67313568511963151</c:v>
                </c:pt>
                <c:pt idx="9">
                  <c:v>0.70029528235217287</c:v>
                </c:pt>
                <c:pt idx="10">
                  <c:v>0.7175255043761547</c:v>
                </c:pt>
                <c:pt idx="11">
                  <c:v>0.72884152421261861</c:v>
                </c:pt>
              </c:numCache>
            </c:numRef>
          </c:val>
          <c:extLst>
            <c:ext xmlns:c16="http://schemas.microsoft.com/office/drawing/2014/chart" uri="{C3380CC4-5D6E-409C-BE32-E72D297353CC}">
              <c16:uniqueId val="{00000008-D81B-4BEB-8D7C-F2E2B9E8B4A6}"/>
            </c:ext>
          </c:extLst>
        </c:ser>
        <c:ser>
          <c:idx val="9"/>
          <c:order val="9"/>
          <c:tx>
            <c:strRef>
              <c:f>Sheet2!$K$3</c:f>
              <c:strCache>
                <c:ptCount val="1"/>
              </c:strCache>
            </c:strRef>
          </c:tx>
          <c:spPr>
            <a:solidFill>
              <a:srgbClr val="FF0000"/>
            </a:solidFill>
            <a:ln>
              <a:solidFill>
                <a:srgbClr val="FF0000"/>
              </a:solidFill>
              <a:prstDash val="solid"/>
            </a:ln>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Sheet2!$K$68:$K$91</c:f>
              <c:numCache>
                <c:formatCode>General</c:formatCode>
                <c:ptCount val="12"/>
                <c:pt idx="7">
                  <c:v>0.47155414469979018</c:v>
                </c:pt>
                <c:pt idx="8">
                  <c:v>0.8524473187080106</c:v>
                </c:pt>
                <c:pt idx="9">
                  <c:v>0.90590530286685367</c:v>
                </c:pt>
                <c:pt idx="10">
                  <c:v>0.93981938959373013</c:v>
                </c:pt>
                <c:pt idx="11">
                  <c:v>0.96209260682811704</c:v>
                </c:pt>
              </c:numCache>
            </c:numRef>
          </c:val>
          <c:extLst>
            <c:ext xmlns:c16="http://schemas.microsoft.com/office/drawing/2014/chart" uri="{C3380CC4-5D6E-409C-BE32-E72D297353CC}">
              <c16:uniqueId val="{00000009-D81B-4BEB-8D7C-F2E2B9E8B4A6}"/>
            </c:ext>
          </c:extLst>
        </c:ser>
        <c:ser>
          <c:idx val="10"/>
          <c:order val="10"/>
          <c:tx>
            <c:strRef>
              <c:f>Sheet2!$L$3</c:f>
              <c:strCache>
                <c:ptCount val="1"/>
              </c:strCache>
            </c:strRef>
          </c:tx>
          <c:spPr>
            <a:solidFill>
              <a:srgbClr val="FF0000">
                <a:alpha val="9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Sheet2!$L$68:$L$91</c:f>
              <c:numCache>
                <c:formatCode>General</c:formatCode>
                <c:ptCount val="12"/>
                <c:pt idx="7">
                  <c:v>0.15956026886649197</c:v>
                </c:pt>
                <c:pt idx="8">
                  <c:v>0.19304459467826821</c:v>
                </c:pt>
                <c:pt idx="9">
                  <c:v>0.22020419191080931</c:v>
                </c:pt>
                <c:pt idx="10">
                  <c:v>0.23743441393479228</c:v>
                </c:pt>
                <c:pt idx="11">
                  <c:v>0.24875043377125583</c:v>
                </c:pt>
              </c:numCache>
            </c:numRef>
          </c:val>
          <c:extLst>
            <c:ext xmlns:c16="http://schemas.microsoft.com/office/drawing/2014/chart" uri="{C3380CC4-5D6E-409C-BE32-E72D297353CC}">
              <c16:uniqueId val="{0000000A-D81B-4BEB-8D7C-F2E2B9E8B4A6}"/>
            </c:ext>
          </c:extLst>
        </c:ser>
        <c:ser>
          <c:idx val="11"/>
          <c:order val="11"/>
          <c:tx>
            <c:strRef>
              <c:f>Sheet2!$M$3</c:f>
              <c:strCache>
                <c:ptCount val="1"/>
              </c:strCache>
            </c:strRef>
          </c:tx>
          <c:spPr>
            <a:solidFill>
              <a:srgbClr val="FF0000">
                <a:alpha val="8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Sheet2!$M$68:$M$91</c:f>
              <c:numCache>
                <c:formatCode>General</c:formatCode>
                <c:ptCount val="12"/>
                <c:pt idx="7">
                  <c:v>0.16491820184360784</c:v>
                </c:pt>
                <c:pt idx="8">
                  <c:v>0.19952691015209101</c:v>
                </c:pt>
                <c:pt idx="9">
                  <c:v>0.22759850949324711</c:v>
                </c:pt>
                <c:pt idx="10">
                  <c:v>0.24540731148228745</c:v>
                </c:pt>
                <c:pt idx="11">
                  <c:v>0.25710331611247295</c:v>
                </c:pt>
              </c:numCache>
            </c:numRef>
          </c:val>
          <c:extLst>
            <c:ext xmlns:c16="http://schemas.microsoft.com/office/drawing/2014/chart" uri="{C3380CC4-5D6E-409C-BE32-E72D297353CC}">
              <c16:uniqueId val="{0000000B-D81B-4BEB-8D7C-F2E2B9E8B4A6}"/>
            </c:ext>
          </c:extLst>
        </c:ser>
        <c:ser>
          <c:idx val="12"/>
          <c:order val="12"/>
          <c:tx>
            <c:strRef>
              <c:f>Sheet2!$N$3</c:f>
              <c:strCache>
                <c:ptCount val="1"/>
              </c:strCache>
            </c:strRef>
          </c:tx>
          <c:spPr>
            <a:solidFill>
              <a:srgbClr val="FF0000">
                <a:alpha val="7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Sheet2!$N$68:$N$91</c:f>
              <c:numCache>
                <c:formatCode>General</c:formatCode>
                <c:ptCount val="12"/>
                <c:pt idx="7">
                  <c:v>0.17379894381388894</c:v>
                </c:pt>
                <c:pt idx="8">
                  <c:v>0.21027130940808347</c:v>
                </c:pt>
                <c:pt idx="9">
                  <c:v>0.23985454680771356</c:v>
                </c:pt>
                <c:pt idx="10">
                  <c:v>0.25862234163985187</c:v>
                </c:pt>
                <c:pt idx="11">
                  <c:v>0.27094816880049621</c:v>
                </c:pt>
              </c:numCache>
            </c:numRef>
          </c:val>
          <c:extLst>
            <c:ext xmlns:c16="http://schemas.microsoft.com/office/drawing/2014/chart" uri="{C3380CC4-5D6E-409C-BE32-E72D297353CC}">
              <c16:uniqueId val="{0000000C-D81B-4BEB-8D7C-F2E2B9E8B4A6}"/>
            </c:ext>
          </c:extLst>
        </c:ser>
        <c:ser>
          <c:idx val="13"/>
          <c:order val="13"/>
          <c:tx>
            <c:strRef>
              <c:f>Sheet2!$O$3</c:f>
              <c:strCache>
                <c:ptCount val="1"/>
              </c:strCache>
            </c:strRef>
          </c:tx>
          <c:spPr>
            <a:solidFill>
              <a:srgbClr val="FF0000">
                <a:alpha val="6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Sheet2!$O$68:$O$91</c:f>
              <c:numCache>
                <c:formatCode>General</c:formatCode>
                <c:ptCount val="12"/>
                <c:pt idx="7">
                  <c:v>0.18755638675081801</c:v>
                </c:pt>
                <c:pt idx="8">
                  <c:v>0.22691580377021844</c:v>
                </c:pt>
                <c:pt idx="9">
                  <c:v>0.2588407682913374</c:v>
                </c:pt>
                <c:pt idx="10">
                  <c:v>0.27909416977210738</c:v>
                </c:pt>
                <c:pt idx="11">
                  <c:v>0.29239567526595645</c:v>
                </c:pt>
              </c:numCache>
            </c:numRef>
          </c:val>
          <c:extLst>
            <c:ext xmlns:c16="http://schemas.microsoft.com/office/drawing/2014/chart" uri="{C3380CC4-5D6E-409C-BE32-E72D297353CC}">
              <c16:uniqueId val="{0000000D-D81B-4BEB-8D7C-F2E2B9E8B4A6}"/>
            </c:ext>
          </c:extLst>
        </c:ser>
        <c:ser>
          <c:idx val="14"/>
          <c:order val="14"/>
          <c:tx>
            <c:strRef>
              <c:f>Sheet2!$P$3</c:f>
              <c:strCache>
                <c:ptCount val="1"/>
              </c:strCache>
            </c:strRef>
          </c:tx>
          <c:spPr>
            <a:solidFill>
              <a:srgbClr val="FF0000">
                <a:alpha val="5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Sheet2!$P$68:$P$91</c:f>
              <c:numCache>
                <c:formatCode>General</c:formatCode>
                <c:ptCount val="12"/>
                <c:pt idx="7">
                  <c:v>0.2088529308236442</c:v>
                </c:pt>
                <c:pt idx="8">
                  <c:v>0.25268150815134133</c:v>
                </c:pt>
                <c:pt idx="9">
                  <c:v>0.28823147007044631</c:v>
                </c:pt>
                <c:pt idx="10">
                  <c:v>0.31078459306287493</c:v>
                </c:pt>
                <c:pt idx="11">
                  <c:v>0.32559645020559108</c:v>
                </c:pt>
              </c:numCache>
            </c:numRef>
          </c:val>
          <c:extLst>
            <c:ext xmlns:c16="http://schemas.microsoft.com/office/drawing/2014/chart" uri="{C3380CC4-5D6E-409C-BE32-E72D297353CC}">
              <c16:uniqueId val="{0000000E-D81B-4BEB-8D7C-F2E2B9E8B4A6}"/>
            </c:ext>
          </c:extLst>
        </c:ser>
        <c:ser>
          <c:idx val="15"/>
          <c:order val="15"/>
          <c:tx>
            <c:strRef>
              <c:f>Sheet2!$Q$3</c:f>
              <c:strCache>
                <c:ptCount val="1"/>
              </c:strCache>
            </c:strRef>
          </c:tx>
          <c:spPr>
            <a:solidFill>
              <a:srgbClr val="FF0000">
                <a:alpha val="4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Sheet2!$Q$68:$Q$91</c:f>
              <c:numCache>
                <c:formatCode>General</c:formatCode>
                <c:ptCount val="12"/>
                <c:pt idx="7">
                  <c:v>0.24344359842968721</c:v>
                </c:pt>
                <c:pt idx="8">
                  <c:v>0.29453115816193604</c:v>
                </c:pt>
                <c:pt idx="9">
                  <c:v>0.33596898055444663</c:v>
                </c:pt>
                <c:pt idx="10">
                  <c:v>0.36225739985242655</c:v>
                </c:pt>
                <c:pt idx="11">
                  <c:v>0.37952242834893313</c:v>
                </c:pt>
              </c:numCache>
            </c:numRef>
          </c:val>
          <c:extLst>
            <c:ext xmlns:c16="http://schemas.microsoft.com/office/drawing/2014/chart" uri="{C3380CC4-5D6E-409C-BE32-E72D297353CC}">
              <c16:uniqueId val="{0000000F-D81B-4BEB-8D7C-F2E2B9E8B4A6}"/>
            </c:ext>
          </c:extLst>
        </c:ser>
        <c:ser>
          <c:idx val="16"/>
          <c:order val="16"/>
          <c:tx>
            <c:strRef>
              <c:f>Sheet2!$R$3</c:f>
              <c:strCache>
                <c:ptCount val="1"/>
              </c:strCache>
            </c:strRef>
          </c:tx>
          <c:spPr>
            <a:solidFill>
              <a:srgbClr val="FF0000">
                <a:alpha val="3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Sheet2!$R$68:$R$91</c:f>
              <c:numCache>
                <c:formatCode>General</c:formatCode>
                <c:ptCount val="12"/>
                <c:pt idx="7">
                  <c:v>0.30630763535396394</c:v>
                </c:pt>
                <c:pt idx="8">
                  <c:v>0.37058745096024498</c:v>
                </c:pt>
                <c:pt idx="9">
                  <c:v>0.42272569354760603</c:v>
                </c:pt>
                <c:pt idx="10">
                  <c:v>0.45580252778887898</c:v>
                </c:pt>
                <c:pt idx="11">
                  <c:v>0.47752587597793239</c:v>
                </c:pt>
              </c:numCache>
            </c:numRef>
          </c:val>
          <c:extLst>
            <c:ext xmlns:c16="http://schemas.microsoft.com/office/drawing/2014/chart" uri="{C3380CC4-5D6E-409C-BE32-E72D297353CC}">
              <c16:uniqueId val="{00000010-D81B-4BEB-8D7C-F2E2B9E8B4A6}"/>
            </c:ext>
          </c:extLst>
        </c:ser>
        <c:ser>
          <c:idx val="17"/>
          <c:order val="17"/>
          <c:tx>
            <c:strRef>
              <c:f>Sheet2!$S$3</c:f>
              <c:strCache>
                <c:ptCount val="1"/>
              </c:strCache>
            </c:strRef>
          </c:tx>
          <c:spPr>
            <a:solidFill>
              <a:srgbClr val="FF0000">
                <a:alpha val="20000"/>
              </a:srgbClr>
            </a:solidFill>
          </c:spPr>
          <c:cat>
            <c:strRef>
              <c:f>Sheet2!$A$68:$A$91</c:f>
              <c:strCache>
                <c:ptCount val="12"/>
                <c:pt idx="0">
                  <c:v>2016/4</c:v>
                </c:pt>
                <c:pt idx="1">
                  <c:v>2017/4</c:v>
                </c:pt>
                <c:pt idx="2">
                  <c:v>2018/4</c:v>
                </c:pt>
                <c:pt idx="3">
                  <c:v>2019/4</c:v>
                </c:pt>
                <c:pt idx="4">
                  <c:v>2020/1</c:v>
                </c:pt>
                <c:pt idx="5">
                  <c:v>2020/2</c:v>
                </c:pt>
                <c:pt idx="6">
                  <c:v>2020/3*</c:v>
                </c:pt>
                <c:pt idx="7">
                  <c:v>2020/4*</c:v>
                </c:pt>
                <c:pt idx="8">
                  <c:v>2021/1*</c:v>
                </c:pt>
                <c:pt idx="9">
                  <c:v>2021/2*</c:v>
                </c:pt>
                <c:pt idx="10">
                  <c:v>2021/3*</c:v>
                </c:pt>
                <c:pt idx="11">
                  <c:v>2021/4*</c:v>
                </c:pt>
              </c:strCache>
            </c:strRef>
          </c:cat>
          <c:val>
            <c:numRef>
              <c:f>Sheet2!$S$68:$S$91</c:f>
              <c:numCache>
                <c:formatCode>General</c:formatCode>
                <c:ptCount val="12"/>
                <c:pt idx="7">
                  <c:v>0.45399405764871315</c:v>
                </c:pt>
                <c:pt idx="8">
                  <c:v>0.54926642746177312</c:v>
                </c:pt>
                <c:pt idx="9">
                  <c:v>0.62654315705930963</c:v>
                </c:pt>
                <c:pt idx="10">
                  <c:v>0.67556800808536011</c:v>
                </c:pt>
                <c:pt idx="11">
                  <c:v>0.7077652824976256</c:v>
                </c:pt>
              </c:numCache>
            </c:numRef>
          </c:val>
          <c:extLst>
            <c:ext xmlns:c16="http://schemas.microsoft.com/office/drawing/2014/chart" uri="{C3380CC4-5D6E-409C-BE32-E72D297353CC}">
              <c16:uniqueId val="{00000011-D81B-4BEB-8D7C-F2E2B9E8B4A6}"/>
            </c:ext>
          </c:extLst>
        </c:ser>
        <c:dLbls>
          <c:showLegendKey val="0"/>
          <c:showVal val="0"/>
          <c:showCatName val="0"/>
          <c:showSerName val="0"/>
          <c:showPercent val="0"/>
          <c:showBubbleSize val="0"/>
        </c:dLbls>
        <c:axId val="251062144"/>
        <c:axId val="251063680"/>
      </c:areaChart>
      <c:catAx>
        <c:axId val="251062144"/>
        <c:scaling>
          <c:orientation val="minMax"/>
        </c:scaling>
        <c:delete val="0"/>
        <c:axPos val="b"/>
        <c:numFmt formatCode="General" sourceLinked="1"/>
        <c:majorTickMark val="out"/>
        <c:minorTickMark val="none"/>
        <c:tickLblPos val="low"/>
        <c:crossAx val="251063680"/>
        <c:crosses val="autoZero"/>
        <c:auto val="1"/>
        <c:lblAlgn val="ctr"/>
        <c:lblOffset val="100"/>
        <c:noMultiLvlLbl val="0"/>
      </c:catAx>
      <c:valAx>
        <c:axId val="251063680"/>
        <c:scaling>
          <c:orientation val="minMax"/>
        </c:scaling>
        <c:delete val="0"/>
        <c:axPos val="l"/>
        <c:majorGridlines/>
        <c:numFmt formatCode="General" sourceLinked="1"/>
        <c:majorTickMark val="out"/>
        <c:minorTickMark val="none"/>
        <c:tickLblPos val="nextTo"/>
        <c:crossAx val="251062144"/>
        <c:crosses val="autoZero"/>
        <c:crossBetween val="between"/>
      </c:valAx>
    </c:plotArea>
    <c:legend>
      <c:legendPos val="r"/>
      <c:overlay val="0"/>
    </c:legend>
    <c:plotVisOnly val="1"/>
    <c:dispBlanksAs val="zero"/>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Sheet1!$A$4</c:f>
              <c:strCache>
                <c:ptCount val="1"/>
                <c:pt idx="0">
                  <c:v>2020  12 ամսյա աճը, %</c:v>
                </c:pt>
              </c:strCache>
            </c:strRef>
          </c:tx>
          <c:spPr>
            <a:solidFill>
              <a:schemeClr val="accent4"/>
            </a:solidFill>
            <a:ln>
              <a:solidFill>
                <a:schemeClr val="accent4"/>
              </a:solidFill>
            </a:ln>
            <a:effectLst/>
          </c:spPr>
          <c:invertIfNegative val="0"/>
          <c:dLbls>
            <c:dLbl>
              <c:idx val="2"/>
              <c:layout>
                <c:manualLayout>
                  <c:x val="0"/>
                  <c:y val="7.16845878136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1B-42D7-933F-E30A92F5504C}"/>
                </c:ext>
              </c:extLst>
            </c:dLbl>
            <c:dLbl>
              <c:idx val="5"/>
              <c:layout>
                <c:manualLayout>
                  <c:x val="-7.7322317788059123E-17"/>
                  <c:y val="1.5228426395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1B-42D7-933F-E30A92F5504C}"/>
                </c:ext>
              </c:extLst>
            </c:dLbl>
            <c:dLbl>
              <c:idx val="9"/>
              <c:layout>
                <c:manualLayout>
                  <c:x val="6.3264445381695485E-3"/>
                  <c:y val="1.52284263959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1B-42D7-933F-E30A92F5504C}"/>
                </c:ext>
              </c:extLst>
            </c:dLbl>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44.018994368612184</c:v>
                </c:pt>
                <c:pt idx="1">
                  <c:v>-1.4802798734894931</c:v>
                </c:pt>
                <c:pt idx="2">
                  <c:v>5.2382658431352525</c:v>
                </c:pt>
                <c:pt idx="3">
                  <c:v>-9.0692104282614707</c:v>
                </c:pt>
                <c:pt idx="4">
                  <c:v>-20.783357724161966</c:v>
                </c:pt>
                <c:pt idx="5">
                  <c:v>-32.053003568569224</c:v>
                </c:pt>
                <c:pt idx="6">
                  <c:v>-7.6825296241360075</c:v>
                </c:pt>
                <c:pt idx="7">
                  <c:v>-7.2811572363455621</c:v>
                </c:pt>
                <c:pt idx="8">
                  <c:v>-8.8208404508819047</c:v>
                </c:pt>
                <c:pt idx="9">
                  <c:v>0.39256394338154638</c:v>
                </c:pt>
              </c:numCache>
            </c:numRef>
          </c:val>
          <c:extLst>
            <c:ext xmlns:c16="http://schemas.microsoft.com/office/drawing/2014/chart" uri="{C3380CC4-5D6E-409C-BE32-E72D297353CC}">
              <c16:uniqueId val="{00000003-3E1B-42D7-933F-E30A92F5504C}"/>
            </c:ext>
          </c:extLst>
        </c:ser>
        <c:dLbls>
          <c:showLegendKey val="0"/>
          <c:showVal val="0"/>
          <c:showCatName val="0"/>
          <c:showSerName val="0"/>
          <c:showPercent val="0"/>
          <c:showBubbleSize val="0"/>
        </c:dLbls>
        <c:gapWidth val="219"/>
        <c:axId val="252147968"/>
        <c:axId val="252162048"/>
      </c:barChart>
      <c:lineChart>
        <c:grouping val="standard"/>
        <c:varyColors val="0"/>
        <c:ser>
          <c:idx val="0"/>
          <c:order val="0"/>
          <c:tx>
            <c:strRef>
              <c:f>Sheet1!$A$2</c:f>
              <c:strCache>
                <c:ptCount val="1"/>
                <c:pt idx="0">
                  <c:v>2019 աճի տեմպը, %</c:v>
                </c:pt>
              </c:strCache>
            </c:strRef>
          </c:tx>
          <c:spPr>
            <a:ln w="28575" cap="rnd">
              <a:solidFill>
                <a:schemeClr val="accent5"/>
              </a:solidFill>
              <a:prstDash val="dash"/>
              <a:round/>
            </a:ln>
            <a:effectLst/>
          </c:spPr>
          <c:marker>
            <c:symbol val="circle"/>
            <c:size val="5"/>
            <c:spPr>
              <a:solidFill>
                <a:schemeClr val="accent5"/>
              </a:solidFill>
              <a:ln w="9525">
                <a:solidFill>
                  <a:schemeClr val="accent5"/>
                </a:solidFill>
                <a:prstDash val="dash"/>
              </a:ln>
              <a:effectLst/>
            </c:spPr>
          </c:marker>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87.106617099999909</c:v>
                </c:pt>
                <c:pt idx="1">
                  <c:v>30.498674773848592</c:v>
                </c:pt>
                <c:pt idx="2">
                  <c:v>24.930306464140294</c:v>
                </c:pt>
                <c:pt idx="3">
                  <c:v>27.337686512192505</c:v>
                </c:pt>
                <c:pt idx="4">
                  <c:v>26.537594262359292</c:v>
                </c:pt>
                <c:pt idx="5">
                  <c:v>24.520443767608633</c:v>
                </c:pt>
                <c:pt idx="6">
                  <c:v>23.216322786502097</c:v>
                </c:pt>
                <c:pt idx="7">
                  <c:v>21.321148621414771</c:v>
                </c:pt>
                <c:pt idx="8">
                  <c:v>21.567574704772724</c:v>
                </c:pt>
                <c:pt idx="9">
                  <c:v>19.50962188526217</c:v>
                </c:pt>
                <c:pt idx="10">
                  <c:v>19.02201170898266</c:v>
                </c:pt>
                <c:pt idx="11">
                  <c:v>16.389092686906686</c:v>
                </c:pt>
              </c:numCache>
            </c:numRef>
          </c:val>
          <c:smooth val="0"/>
          <c:extLst>
            <c:ext xmlns:c16="http://schemas.microsoft.com/office/drawing/2014/chart" uri="{C3380CC4-5D6E-409C-BE32-E72D297353CC}">
              <c16:uniqueId val="{00000004-3E1B-42D7-933F-E30A92F5504C}"/>
            </c:ext>
          </c:extLst>
        </c:ser>
        <c:ser>
          <c:idx val="1"/>
          <c:order val="1"/>
          <c:tx>
            <c:strRef>
              <c:f>Sheet1!$A$3</c:f>
              <c:strCache>
                <c:ptCount val="1"/>
                <c:pt idx="0">
                  <c:v>2020  աճի տեմպը, %</c:v>
                </c:pt>
              </c:strCache>
            </c:strRef>
          </c:tx>
          <c:spPr>
            <a:ln w="28575" cap="rnd">
              <a:solidFill>
                <a:srgbClr val="FF0000"/>
              </a:solidFill>
              <a:round/>
            </a:ln>
            <a:effectLst/>
          </c:spPr>
          <c:marker>
            <c:symbol val="diamond"/>
            <c:size val="5"/>
            <c:spPr>
              <a:solidFill>
                <a:srgbClr val="FF0000"/>
              </a:solidFill>
              <a:ln w="9525">
                <a:solidFill>
                  <a:srgbClr val="FF0000"/>
                </a:solidFill>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5-3E1B-42D7-933F-E30A92F5504C}"/>
                </c:ext>
              </c:extLst>
            </c:dLbl>
            <c:dLbl>
              <c:idx val="2"/>
              <c:layout>
                <c:manualLayout>
                  <c:x val="-3.9895924467775019E-2"/>
                  <c:y val="-4.7670062747532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1B-42D7-933F-E30A92F5504C}"/>
                </c:ext>
              </c:extLst>
            </c:dLbl>
            <c:dLbl>
              <c:idx val="3"/>
              <c:layout>
                <c:manualLayout>
                  <c:x val="-3.4739720034995626E-2"/>
                  <c:y val="-4.28910902266249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1B-42D7-933F-E30A92F5504C}"/>
                </c:ext>
              </c:extLst>
            </c:dLbl>
            <c:dLbl>
              <c:idx val="4"/>
              <c:layout>
                <c:manualLayout>
                  <c:x val="-3.4230460775736382E-2"/>
                  <c:y val="-4.2891090226625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1B-42D7-933F-E30A92F5504C}"/>
                </c:ext>
              </c:extLst>
            </c:dLbl>
            <c:dLbl>
              <c:idx val="9"/>
              <c:layout>
                <c:manualLayout>
                  <c:x val="-3.0619991564740622E-2"/>
                  <c:y val="3.56600983252727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1B-42D7-933F-E30A92F550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44.018994368612184</c:v>
                </c:pt>
                <c:pt idx="1">
                  <c:v>23.113386458409913</c:v>
                </c:pt>
                <c:pt idx="2">
                  <c:v>16.479613321146196</c:v>
                </c:pt>
                <c:pt idx="3">
                  <c:v>7.3435490961043701</c:v>
                </c:pt>
                <c:pt idx="4">
                  <c:v>2.1873602310688085</c:v>
                </c:pt>
                <c:pt idx="5">
                  <c:v>-4.6391685364529973</c:v>
                </c:pt>
                <c:pt idx="6">
                  <c:v>-5.0729069932891395</c:v>
                </c:pt>
                <c:pt idx="7">
                  <c:v>-5.3212909971596503</c:v>
                </c:pt>
                <c:pt idx="8">
                  <c:v>-5.7809854082594949</c:v>
                </c:pt>
                <c:pt idx="9">
                  <c:v>-5.2</c:v>
                </c:pt>
              </c:numCache>
            </c:numRef>
          </c:val>
          <c:smooth val="0"/>
          <c:extLst>
            <c:ext xmlns:c16="http://schemas.microsoft.com/office/drawing/2014/chart" uri="{C3380CC4-5D6E-409C-BE32-E72D297353CC}">
              <c16:uniqueId val="{0000000A-3E1B-42D7-933F-E30A92F5504C}"/>
            </c:ext>
          </c:extLst>
        </c:ser>
        <c:dLbls>
          <c:showLegendKey val="0"/>
          <c:showVal val="0"/>
          <c:showCatName val="0"/>
          <c:showSerName val="0"/>
          <c:showPercent val="0"/>
          <c:showBubbleSize val="0"/>
        </c:dLbls>
        <c:marker val="1"/>
        <c:smooth val="0"/>
        <c:axId val="252147968"/>
        <c:axId val="252162048"/>
      </c:lineChart>
      <c:catAx>
        <c:axId val="252147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2162048"/>
        <c:crosses val="autoZero"/>
        <c:auto val="1"/>
        <c:lblAlgn val="ctr"/>
        <c:lblOffset val="100"/>
        <c:noMultiLvlLbl val="0"/>
      </c:catAx>
      <c:valAx>
        <c:axId val="252162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214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7139780604335"/>
          <c:y val="4.1079906678331876E-2"/>
          <c:w val="0.784643986809341"/>
          <c:h val="0.76182298046077712"/>
        </c:manualLayout>
      </c:layout>
      <c:barChart>
        <c:barDir val="col"/>
        <c:grouping val="clustered"/>
        <c:varyColors val="0"/>
        <c:ser>
          <c:idx val="0"/>
          <c:order val="0"/>
          <c:tx>
            <c:strRef>
              <c:f>Sheet1!$B$1</c:f>
              <c:strCache>
                <c:ptCount val="1"/>
                <c:pt idx="0">
                  <c:v>Եկամուտներ</c:v>
                </c:pt>
              </c:strCache>
            </c:strRef>
          </c:tx>
          <c:spPr>
            <a:solidFill>
              <a:srgbClr val="FF0000"/>
            </a:solidFill>
            <a:ln>
              <a:no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2017</c:v>
                </c:pt>
                <c:pt idx="1">
                  <c:v>2018</c:v>
                </c:pt>
                <c:pt idx="2">
                  <c:v>2019</c:v>
                </c:pt>
                <c:pt idx="3">
                  <c:v>2020*</c:v>
                </c:pt>
                <c:pt idx="4">
                  <c:v>2021*</c:v>
                </c:pt>
              </c:strCache>
            </c:strRef>
          </c:cat>
          <c:val>
            <c:numRef>
              <c:f>Sheet1!$B$2:$B$8</c:f>
              <c:numCache>
                <c:formatCode>0.0</c:formatCode>
                <c:ptCount val="5"/>
                <c:pt idx="0">
                  <c:v>1237.7807658800002</c:v>
                </c:pt>
                <c:pt idx="1">
                  <c:v>1341.690590901</c:v>
                </c:pt>
                <c:pt idx="2">
                  <c:v>1565.4731594000004</c:v>
                </c:pt>
                <c:pt idx="3">
                  <c:v>1477.7292876533897</c:v>
                </c:pt>
                <c:pt idx="4">
                  <c:v>1509.4629359229768</c:v>
                </c:pt>
              </c:numCache>
            </c:numRef>
          </c:val>
          <c:extLst>
            <c:ext xmlns:c16="http://schemas.microsoft.com/office/drawing/2014/chart" uri="{C3380CC4-5D6E-409C-BE32-E72D297353CC}">
              <c16:uniqueId val="{00000000-6D4B-4D74-AEE6-EB49584F954D}"/>
            </c:ext>
          </c:extLst>
        </c:ser>
        <c:ser>
          <c:idx val="1"/>
          <c:order val="1"/>
          <c:tx>
            <c:strRef>
              <c:f>Sheet1!$C$1</c:f>
              <c:strCache>
                <c:ptCount val="1"/>
                <c:pt idx="0">
                  <c:v>Ծախսեր</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2017</c:v>
                </c:pt>
                <c:pt idx="1">
                  <c:v>2018</c:v>
                </c:pt>
                <c:pt idx="2">
                  <c:v>2019</c:v>
                </c:pt>
                <c:pt idx="3">
                  <c:v>2020*</c:v>
                </c:pt>
                <c:pt idx="4">
                  <c:v>2021*</c:v>
                </c:pt>
              </c:strCache>
            </c:strRef>
          </c:cat>
          <c:val>
            <c:numRef>
              <c:f>Sheet1!$C$2:$C$8</c:f>
              <c:numCache>
                <c:formatCode>0.0</c:formatCode>
                <c:ptCount val="5"/>
                <c:pt idx="0">
                  <c:v>1504.8022297</c:v>
                </c:pt>
                <c:pt idx="1">
                  <c:v>1447.0830114800001</c:v>
                </c:pt>
                <c:pt idx="2">
                  <c:v>1629.4368624500005</c:v>
                </c:pt>
                <c:pt idx="3">
                  <c:v>1907.4248</c:v>
                </c:pt>
                <c:pt idx="4">
                  <c:v>1850.8775411900001</c:v>
                </c:pt>
              </c:numCache>
            </c:numRef>
          </c:val>
          <c:extLst>
            <c:ext xmlns:c16="http://schemas.microsoft.com/office/drawing/2014/chart" uri="{C3380CC4-5D6E-409C-BE32-E72D297353CC}">
              <c16:uniqueId val="{00000001-6D4B-4D74-AEE6-EB49584F954D}"/>
            </c:ext>
          </c:extLst>
        </c:ser>
        <c:ser>
          <c:idx val="2"/>
          <c:order val="2"/>
          <c:tx>
            <c:strRef>
              <c:f>Sheet1!$D$1</c:f>
              <c:strCache>
                <c:ptCount val="1"/>
                <c:pt idx="0">
                  <c:v>Պակասուրդ</c:v>
                </c:pt>
              </c:strCache>
            </c:strRef>
          </c:tx>
          <c:spPr>
            <a:solidFill>
              <a:srgbClr val="ED7D31"/>
            </a:solidFill>
            <a:ln w="31765" cap="rnd">
              <a:solidFill>
                <a:srgbClr val="ED7D31"/>
              </a:solidFill>
              <a:round/>
            </a:ln>
            <a:effectLst>
              <a:outerShdw blurRad="40000" dist="23000" dir="5400000" rotWithShape="0">
                <a:srgbClr val="000000">
                  <a:alpha val="35000"/>
                </a:srgbClr>
              </a:outerShdw>
            </a:effectLst>
          </c:spPr>
          <c:invertIfNegative val="0"/>
          <c:dLbls>
            <c:dLbl>
              <c:idx val="0"/>
              <c:layout>
                <c:manualLayout>
                  <c:x val="1.9586668320030991E-17"/>
                  <c:y val="3.24865945154915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4B-4D74-AEE6-EB49584F954D}"/>
                </c:ext>
              </c:extLst>
            </c:dLbl>
            <c:dLbl>
              <c:idx val="1"/>
              <c:layout>
                <c:manualLayout>
                  <c:x val="-3.9173336640061982E-17"/>
                  <c:y val="2.37709363999402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4B-4D74-AEE6-EB49584F954D}"/>
                </c:ext>
              </c:extLst>
            </c:dLbl>
            <c:dLbl>
              <c:idx val="3"/>
              <c:layout>
                <c:manualLayout>
                  <c:x val="0"/>
                  <c:y val="5.38035900852201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4B-4D74-AEE6-EB49584F954D}"/>
                </c:ext>
              </c:extLst>
            </c:dLbl>
            <c:dLbl>
              <c:idx val="4"/>
              <c:layout>
                <c:manualLayout>
                  <c:x val="0"/>
                  <c:y val="2.58208015260228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D4B-4D74-AEE6-EB49584F954D}"/>
                </c:ext>
              </c:extLst>
            </c:dLbl>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2017</c:v>
                </c:pt>
                <c:pt idx="1">
                  <c:v>2018</c:v>
                </c:pt>
                <c:pt idx="2">
                  <c:v>2019</c:v>
                </c:pt>
                <c:pt idx="3">
                  <c:v>2020*</c:v>
                </c:pt>
                <c:pt idx="4">
                  <c:v>2021*</c:v>
                </c:pt>
              </c:strCache>
            </c:strRef>
          </c:cat>
          <c:val>
            <c:numRef>
              <c:f>Sheet1!$D$2:$D$8</c:f>
              <c:numCache>
                <c:formatCode>0.0</c:formatCode>
                <c:ptCount val="5"/>
                <c:pt idx="0">
                  <c:v>-267.02146382000035</c:v>
                </c:pt>
                <c:pt idx="1">
                  <c:v>-105.39242057900016</c:v>
                </c:pt>
                <c:pt idx="2">
                  <c:v>-63.963703050000049</c:v>
                </c:pt>
                <c:pt idx="3">
                  <c:v>-429.69551234660986</c:v>
                </c:pt>
                <c:pt idx="4">
                  <c:v>-341.41460526702326</c:v>
                </c:pt>
              </c:numCache>
            </c:numRef>
          </c:val>
          <c:extLst>
            <c:ext xmlns:c16="http://schemas.microsoft.com/office/drawing/2014/chart" uri="{C3380CC4-5D6E-409C-BE32-E72D297353CC}">
              <c16:uniqueId val="{00000006-6D4B-4D74-AEE6-EB49584F954D}"/>
            </c:ext>
          </c:extLst>
        </c:ser>
        <c:dLbls>
          <c:showLegendKey val="0"/>
          <c:showVal val="0"/>
          <c:showCatName val="0"/>
          <c:showSerName val="0"/>
          <c:showPercent val="0"/>
          <c:showBubbleSize val="0"/>
        </c:dLbls>
        <c:gapWidth val="150"/>
        <c:axId val="246707328"/>
        <c:axId val="246708864"/>
      </c:barChart>
      <c:catAx>
        <c:axId val="246707328"/>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246708864"/>
        <c:crosses val="autoZero"/>
        <c:auto val="1"/>
        <c:lblAlgn val="ctr"/>
        <c:lblOffset val="100"/>
        <c:noMultiLvlLbl val="0"/>
      </c:catAx>
      <c:valAx>
        <c:axId val="246708864"/>
        <c:scaling>
          <c:orientation val="minMax"/>
          <c:max val="2500"/>
          <c:min val="-500"/>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246707328"/>
        <c:crosses val="autoZero"/>
        <c:crossBetween val="between"/>
      </c:valAx>
      <c:spPr>
        <a:noFill/>
        <a:ln w="25412">
          <a:noFill/>
        </a:ln>
      </c:spPr>
    </c:plotArea>
    <c:legend>
      <c:legendPos val="b"/>
      <c:overlay val="0"/>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46295207245282"/>
          <c:y val="5.203364604466193E-2"/>
          <c:w val="0.82012848918713577"/>
          <c:h val="0.72564276710820164"/>
        </c:manualLayout>
      </c:layout>
      <c:lineChart>
        <c:grouping val="standard"/>
        <c:varyColors val="0"/>
        <c:ser>
          <c:idx val="0"/>
          <c:order val="0"/>
          <c:tx>
            <c:strRef>
              <c:f>Sheet1!$B$1</c:f>
              <c:strCache>
                <c:ptCount val="1"/>
                <c:pt idx="0">
                  <c:v>Պակասուրդ, % ՀՆԱ-ում</c:v>
                </c:pt>
              </c:strCache>
            </c:strRef>
          </c:tx>
          <c:spPr>
            <a:ln>
              <a:solidFill>
                <a:srgbClr val="4472C4"/>
              </a:solidFill>
            </a:ln>
          </c:spPr>
          <c:marker>
            <c:spPr>
              <a:solidFill>
                <a:srgbClr val="4472C4"/>
              </a:solidFill>
              <a:ln>
                <a:solidFill>
                  <a:srgbClr val="4472C4"/>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2017</c:v>
                </c:pt>
                <c:pt idx="1">
                  <c:v>2018</c:v>
                </c:pt>
                <c:pt idx="2">
                  <c:v>2019</c:v>
                </c:pt>
                <c:pt idx="3">
                  <c:v>2020*</c:v>
                </c:pt>
                <c:pt idx="4">
                  <c:v>2021*</c:v>
                </c:pt>
              </c:strCache>
            </c:strRef>
          </c:cat>
          <c:val>
            <c:numRef>
              <c:f>Sheet1!$B$2:$B$8</c:f>
              <c:numCache>
                <c:formatCode>0.0</c:formatCode>
                <c:ptCount val="5"/>
                <c:pt idx="0">
                  <c:v>-4.7986662832355309</c:v>
                </c:pt>
                <c:pt idx="1">
                  <c:v>-1.7515672931246948</c:v>
                </c:pt>
                <c:pt idx="2">
                  <c:v>-0.97347611233608689</c:v>
                </c:pt>
                <c:pt idx="3">
                  <c:v>-7.0720885207642263</c:v>
                </c:pt>
                <c:pt idx="4">
                  <c:v>-5.3385150861863764</c:v>
                </c:pt>
              </c:numCache>
            </c:numRef>
          </c:val>
          <c:smooth val="0"/>
          <c:extLst>
            <c:ext xmlns:c16="http://schemas.microsoft.com/office/drawing/2014/chart" uri="{C3380CC4-5D6E-409C-BE32-E72D297353CC}">
              <c16:uniqueId val="{00000000-BB54-43E5-A193-9C683E5D1DE2}"/>
            </c:ext>
          </c:extLst>
        </c:ser>
        <c:ser>
          <c:idx val="1"/>
          <c:order val="1"/>
          <c:tx>
            <c:strRef>
              <c:f>Sheet1!$C$1</c:f>
              <c:strCache>
                <c:ptCount val="1"/>
                <c:pt idx="0">
                  <c:v>Առաջնային պակասուրդ, % ՀՆԱ-ում</c:v>
                </c:pt>
              </c:strCache>
            </c:strRef>
          </c:tx>
          <c:spPr>
            <a:ln w="12700" cap="rnd">
              <a:solidFill>
                <a:srgbClr val="FF0000"/>
              </a:solidFill>
              <a:prstDash val="dash"/>
              <a:round/>
            </a:ln>
            <a:effectLst>
              <a:outerShdw blurRad="40000" dist="23000" dir="5400000" rotWithShape="0">
                <a:srgbClr val="000000">
                  <a:alpha val="35000"/>
                </a:srgbClr>
              </a:outerShdw>
            </a:effectLst>
          </c:spPr>
          <c:marker>
            <c:symbol val="circle"/>
            <c:size val="5"/>
            <c:spPr>
              <a:solidFill>
                <a:srgbClr val="FF0000"/>
              </a:solidFill>
              <a:ln w="12700">
                <a:solidFill>
                  <a:srgbClr val="FF0000"/>
                </a:solidFill>
                <a:prstDash val="dash"/>
              </a:ln>
            </c:spPr>
          </c:marker>
          <c:dLbls>
            <c:spPr>
              <a:noFill/>
              <a:ln w="2541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5"/>
                <c:pt idx="0">
                  <c:v>2017</c:v>
                </c:pt>
                <c:pt idx="1">
                  <c:v>2018</c:v>
                </c:pt>
                <c:pt idx="2">
                  <c:v>2019</c:v>
                </c:pt>
                <c:pt idx="3">
                  <c:v>2020*</c:v>
                </c:pt>
                <c:pt idx="4">
                  <c:v>2021*</c:v>
                </c:pt>
              </c:strCache>
            </c:strRef>
          </c:cat>
          <c:val>
            <c:numRef>
              <c:f>Sheet1!$C$2:$C$8</c:f>
              <c:numCache>
                <c:formatCode>0.0</c:formatCode>
                <c:ptCount val="5"/>
                <c:pt idx="0">
                  <c:v>-2.6042112858685642</c:v>
                </c:pt>
                <c:pt idx="1">
                  <c:v>0.55878812975865277</c:v>
                </c:pt>
                <c:pt idx="2">
                  <c:v>1.424706977469933</c:v>
                </c:pt>
                <c:pt idx="3">
                  <c:v>-4.3271460535488044</c:v>
                </c:pt>
                <c:pt idx="4">
                  <c:v>-2.2999999999999998</c:v>
                </c:pt>
              </c:numCache>
            </c:numRef>
          </c:val>
          <c:smooth val="0"/>
          <c:extLst>
            <c:ext xmlns:c16="http://schemas.microsoft.com/office/drawing/2014/chart" uri="{C3380CC4-5D6E-409C-BE32-E72D297353CC}">
              <c16:uniqueId val="{00000001-BB54-43E5-A193-9C683E5D1DE2}"/>
            </c:ext>
          </c:extLst>
        </c:ser>
        <c:dLbls>
          <c:showLegendKey val="0"/>
          <c:showVal val="0"/>
          <c:showCatName val="0"/>
          <c:showSerName val="0"/>
          <c:showPercent val="0"/>
          <c:showBubbleSize val="0"/>
        </c:dLbls>
        <c:marker val="1"/>
        <c:smooth val="0"/>
        <c:axId val="252458112"/>
        <c:axId val="252459648"/>
      </c:lineChart>
      <c:catAx>
        <c:axId val="252458112"/>
        <c:scaling>
          <c:orientation val="minMax"/>
        </c:scaling>
        <c:delete val="0"/>
        <c:axPos val="b"/>
        <c:numFmt formatCode="General" sourceLinked="1"/>
        <c:majorTickMark val="none"/>
        <c:minorTickMark val="none"/>
        <c:tickLblPos val="low"/>
        <c:spPr>
          <a:noFill/>
          <a:ln w="19050" cap="flat" cmpd="sng" algn="ctr">
            <a:solidFill>
              <a:srgbClr val="44546A">
                <a:lumMod val="15000"/>
                <a:lumOff val="85000"/>
              </a:srgbClr>
            </a:solidFill>
            <a:round/>
          </a:ln>
          <a:effectLst/>
        </c:spPr>
        <c:txPr>
          <a:bodyPr rot="-60000000" vert="horz"/>
          <a:lstStyle/>
          <a:p>
            <a:pPr>
              <a:defRPr/>
            </a:pPr>
            <a:endParaRPr lang="en-US"/>
          </a:p>
        </c:txPr>
        <c:crossAx val="252459648"/>
        <c:crosses val="autoZero"/>
        <c:auto val="1"/>
        <c:lblAlgn val="ctr"/>
        <c:lblOffset val="100"/>
        <c:noMultiLvlLbl val="0"/>
      </c:catAx>
      <c:valAx>
        <c:axId val="252459648"/>
        <c:scaling>
          <c:orientation val="minMax"/>
          <c:max val="2"/>
          <c:min val="-7.5"/>
        </c:scaling>
        <c:delete val="0"/>
        <c:axPos val="l"/>
        <c:majorGridlines>
          <c:spPr>
            <a:ln w="12700" cap="flat" cmpd="sng" algn="ctr">
              <a:solidFill>
                <a:srgbClr val="44546A">
                  <a:lumMod val="15000"/>
                  <a:lumOff val="85000"/>
                </a:srgb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252458112"/>
        <c:crosses val="autoZero"/>
        <c:crossBetween val="between"/>
      </c:valAx>
      <c:spPr>
        <a:noFill/>
        <a:ln w="25400">
          <a:noFill/>
        </a:ln>
      </c:spPr>
    </c:plotArea>
    <c:legend>
      <c:legendPos val="b"/>
      <c:layout>
        <c:manualLayout>
          <c:xMode val="edge"/>
          <c:yMode val="edge"/>
          <c:x val="7.6856052056876012E-2"/>
          <c:y val="0.87435501653803793"/>
          <c:w val="0.82882226260179048"/>
          <c:h val="9.4774327409735307E-2"/>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683182894821054E-2"/>
          <c:y val="7.5217344407291553E-2"/>
          <c:w val="0.86190832853210464"/>
          <c:h val="0.59002948261604293"/>
        </c:manualLayout>
      </c:layout>
      <c:barChart>
        <c:barDir val="col"/>
        <c:grouping val="clustered"/>
        <c:varyColors val="0"/>
        <c:ser>
          <c:idx val="0"/>
          <c:order val="0"/>
          <c:tx>
            <c:strRef>
              <c:f>Sheet1!$B$1</c:f>
              <c:strCache>
                <c:ptCount val="1"/>
                <c:pt idx="0">
                  <c:v>Եկամուտների ազդակ</c:v>
                </c:pt>
              </c:strCache>
            </c:strRef>
          </c:tx>
          <c:spPr>
            <a:solidFill>
              <a:srgbClr val="ED7D31"/>
            </a:solidFill>
            <a:ln>
              <a:noFill/>
            </a:ln>
            <a:effectLst>
              <a:outerShdw blurRad="40000" dist="23000" dir="5400000" rotWithShape="0">
                <a:srgbClr val="000000">
                  <a:alpha val="35000"/>
                </a:srgbClr>
              </a:outerShdw>
            </a:effectLst>
          </c:spPr>
          <c:invertIfNegative val="0"/>
          <c:cat>
            <c:strRef>
              <c:f>Sheet1!$A$2:$A$11</c:f>
              <c:strCache>
                <c:ptCount val="5"/>
                <c:pt idx="0">
                  <c:v>2017</c:v>
                </c:pt>
                <c:pt idx="1">
                  <c:v>2018</c:v>
                </c:pt>
                <c:pt idx="2">
                  <c:v>2019</c:v>
                </c:pt>
                <c:pt idx="3">
                  <c:v>2020*</c:v>
                </c:pt>
                <c:pt idx="4">
                  <c:v>2021*</c:v>
                </c:pt>
              </c:strCache>
            </c:strRef>
          </c:cat>
          <c:val>
            <c:numRef>
              <c:f>Sheet1!$B$2:$B$11</c:f>
              <c:numCache>
                <c:formatCode>0.0</c:formatCode>
                <c:ptCount val="5"/>
                <c:pt idx="0">
                  <c:v>-0.13735992329174537</c:v>
                </c:pt>
                <c:pt idx="1">
                  <c:v>-1.2459382765043234</c:v>
                </c:pt>
                <c:pt idx="2">
                  <c:v>-1.0573254617919454</c:v>
                </c:pt>
                <c:pt idx="3">
                  <c:v>-0.17335172134410748</c:v>
                </c:pt>
                <c:pt idx="4">
                  <c:v>0.9182385451752566</c:v>
                </c:pt>
              </c:numCache>
            </c:numRef>
          </c:val>
          <c:extLst>
            <c:ext xmlns:c16="http://schemas.microsoft.com/office/drawing/2014/chart" uri="{C3380CC4-5D6E-409C-BE32-E72D297353CC}">
              <c16:uniqueId val="{00000000-1F22-4953-AD3B-75851C3B9F77}"/>
            </c:ext>
          </c:extLst>
        </c:ser>
        <c:ser>
          <c:idx val="1"/>
          <c:order val="1"/>
          <c:tx>
            <c:strRef>
              <c:f>Sheet1!$C$1</c:f>
              <c:strCache>
                <c:ptCount val="1"/>
                <c:pt idx="0">
                  <c:v>Ծախսերի ազդակ</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cat>
            <c:strRef>
              <c:f>Sheet1!$A$2:$A$11</c:f>
              <c:strCache>
                <c:ptCount val="5"/>
                <c:pt idx="0">
                  <c:v>2017</c:v>
                </c:pt>
                <c:pt idx="1">
                  <c:v>2018</c:v>
                </c:pt>
                <c:pt idx="2">
                  <c:v>2019</c:v>
                </c:pt>
                <c:pt idx="3">
                  <c:v>2020*</c:v>
                </c:pt>
                <c:pt idx="4">
                  <c:v>2021*</c:v>
                </c:pt>
              </c:strCache>
            </c:strRef>
          </c:cat>
          <c:val>
            <c:numRef>
              <c:f>Sheet1!$C$2:$C$11</c:f>
              <c:numCache>
                <c:formatCode>0.0</c:formatCode>
                <c:ptCount val="5"/>
                <c:pt idx="0">
                  <c:v>-1.2415863203455046</c:v>
                </c:pt>
                <c:pt idx="1">
                  <c:v>-0.82883718092162506</c:v>
                </c:pt>
                <c:pt idx="2">
                  <c:v>-6.2286811407449551E-2</c:v>
                </c:pt>
                <c:pt idx="3">
                  <c:v>6.982889460899484</c:v>
                </c:pt>
                <c:pt idx="4">
                  <c:v>-2.0469571543864595</c:v>
                </c:pt>
              </c:numCache>
            </c:numRef>
          </c:val>
          <c:extLst>
            <c:ext xmlns:c16="http://schemas.microsoft.com/office/drawing/2014/chart" uri="{C3380CC4-5D6E-409C-BE32-E72D297353CC}">
              <c16:uniqueId val="{00000001-1F22-4953-AD3B-75851C3B9F77}"/>
            </c:ext>
          </c:extLst>
        </c:ser>
        <c:dLbls>
          <c:showLegendKey val="0"/>
          <c:showVal val="0"/>
          <c:showCatName val="0"/>
          <c:showSerName val="0"/>
          <c:showPercent val="0"/>
          <c:showBubbleSize val="0"/>
        </c:dLbls>
        <c:gapWidth val="219"/>
        <c:overlap val="-27"/>
        <c:axId val="252690432"/>
        <c:axId val="252691968"/>
      </c:barChart>
      <c:lineChart>
        <c:grouping val="standard"/>
        <c:varyColors val="0"/>
        <c:ser>
          <c:idx val="2"/>
          <c:order val="2"/>
          <c:tx>
            <c:strRef>
              <c:f>Sheet1!$D$1</c:f>
              <c:strCache>
                <c:ptCount val="1"/>
                <c:pt idx="0">
                  <c:v>Հարկաբյուջետային ազդակ, ներառյալ զուտ վարկավորում</c:v>
                </c:pt>
              </c:strCache>
            </c:strRef>
          </c:tx>
          <c:marker>
            <c:spPr>
              <a:solidFill>
                <a:sysClr val="window" lastClr="FFFFFF">
                  <a:lumMod val="50000"/>
                </a:sysClr>
              </a:solidFill>
              <a:ln>
                <a:solidFill>
                  <a:sysClr val="window" lastClr="FFFFFF">
                    <a:lumMod val="50000"/>
                  </a:sysClr>
                </a:solidFill>
              </a:ln>
            </c:spPr>
          </c:marker>
          <c:dLbls>
            <c:dLbl>
              <c:idx val="0"/>
              <c:layout>
                <c:manualLayout>
                  <c:x val="-3.3732296030321171E-2"/>
                  <c:y val="5.9068100358422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2-4953-AD3B-75851C3B9F77}"/>
                </c:ext>
              </c:extLst>
            </c:dLbl>
            <c:dLbl>
              <c:idx val="1"/>
              <c:layout>
                <c:manualLayout>
                  <c:x val="-3.3732296030321199E-2"/>
                  <c:y val="-4.1290322580645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22-4953-AD3B-75851C3B9F77}"/>
                </c:ext>
              </c:extLst>
            </c:dLbl>
            <c:dLbl>
              <c:idx val="2"/>
              <c:layout>
                <c:manualLayout>
                  <c:x val="-1.486763911399252E-2"/>
                  <c:y val="4.27397260273974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22-4953-AD3B-75851C3B9F77}"/>
                </c:ext>
              </c:extLst>
            </c:dLbl>
            <c:dLbl>
              <c:idx val="4"/>
              <c:layout>
                <c:manualLayout>
                  <c:x val="-7.3860246822827755E-2"/>
                  <c:y val="1.18401866433363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22-4953-AD3B-75851C3B9F77}"/>
                </c:ext>
              </c:extLst>
            </c:dLbl>
            <c:spPr>
              <a:noFill/>
              <a:ln>
                <a:noFill/>
              </a:ln>
              <a:effectLst/>
            </c:spPr>
            <c:txPr>
              <a:bodyPr wrap="square" lIns="38100" tIns="19050" rIns="38100" bIns="19050" anchor="ctr">
                <a:spAutoFit/>
              </a:bodyPr>
              <a:lstStyle/>
              <a:p>
                <a:pPr>
                  <a:defRPr b="1">
                    <a:solidFill>
                      <a:schemeClr val="bg1">
                        <a:lumMod val="50000"/>
                      </a:schemeClr>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2017</c:v>
                </c:pt>
                <c:pt idx="1">
                  <c:v>2018</c:v>
                </c:pt>
                <c:pt idx="2">
                  <c:v>2019</c:v>
                </c:pt>
                <c:pt idx="3">
                  <c:v>2020*</c:v>
                </c:pt>
                <c:pt idx="4">
                  <c:v>2021*</c:v>
                </c:pt>
              </c:strCache>
            </c:strRef>
          </c:cat>
          <c:val>
            <c:numRef>
              <c:f>Sheet1!$D$2:$D$11</c:f>
              <c:numCache>
                <c:formatCode>0.0</c:formatCode>
                <c:ptCount val="5"/>
                <c:pt idx="0">
                  <c:v>-1.3789462436372499</c:v>
                </c:pt>
                <c:pt idx="1">
                  <c:v>-2.0747754574259494</c:v>
                </c:pt>
                <c:pt idx="2">
                  <c:v>-1.1196122731993905</c:v>
                </c:pt>
                <c:pt idx="3">
                  <c:v>8.0834157200766406</c:v>
                </c:pt>
                <c:pt idx="4">
                  <c:v>-2.386433515762445</c:v>
                </c:pt>
              </c:numCache>
            </c:numRef>
          </c:val>
          <c:smooth val="0"/>
          <c:extLst>
            <c:ext xmlns:c16="http://schemas.microsoft.com/office/drawing/2014/chart" uri="{C3380CC4-5D6E-409C-BE32-E72D297353CC}">
              <c16:uniqueId val="{00000006-1F22-4953-AD3B-75851C3B9F77}"/>
            </c:ext>
          </c:extLst>
        </c:ser>
        <c:ser>
          <c:idx val="3"/>
          <c:order val="3"/>
          <c:tx>
            <c:strRef>
              <c:f>Sheet1!$E$1</c:f>
              <c:strCache>
                <c:ptCount val="1"/>
                <c:pt idx="0">
                  <c:v>Հարկաբյուջետային ազդակ</c:v>
                </c:pt>
              </c:strCache>
            </c:strRef>
          </c:tx>
          <c:spPr>
            <a:ln w="31765" cap="rnd">
              <a:solidFill>
                <a:srgbClr val="FF0000"/>
              </a:solidFill>
              <a:round/>
            </a:ln>
            <a:effectLst>
              <a:outerShdw blurRad="40000" dist="23000" dir="5400000" rotWithShape="0">
                <a:srgbClr val="000000">
                  <a:alpha val="35000"/>
                </a:srgbClr>
              </a:outerShdw>
            </a:effectLst>
          </c:spPr>
          <c:marker>
            <c:spPr>
              <a:solidFill>
                <a:srgbClr val="FF0000"/>
              </a:solidFill>
              <a:ln>
                <a:solidFill>
                  <a:srgbClr val="FF0000"/>
                </a:solidFill>
              </a:ln>
            </c:spPr>
          </c:marker>
          <c:dLbls>
            <c:dLbl>
              <c:idx val="0"/>
              <c:layout>
                <c:manualLayout>
                  <c:x val="-8.1966164278087728E-2"/>
                  <c:y val="-1.38172796893547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22-4953-AD3B-75851C3B9F77}"/>
                </c:ext>
              </c:extLst>
            </c:dLbl>
            <c:dLbl>
              <c:idx val="1"/>
              <c:layout>
                <c:manualLayout>
                  <c:x val="-2.439024390243907E-2"/>
                  <c:y val="4.88466757123474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22-4953-AD3B-75851C3B9F77}"/>
                </c:ext>
              </c:extLst>
            </c:dLbl>
            <c:dLbl>
              <c:idx val="2"/>
              <c:layout>
                <c:manualLayout>
                  <c:x val="-6.5063787610017382E-2"/>
                  <c:y val="-4.9887462697299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22-4953-AD3B-75851C3B9F77}"/>
                </c:ext>
              </c:extLst>
            </c:dLbl>
            <c:dLbl>
              <c:idx val="3"/>
              <c:layout>
                <c:manualLayout>
                  <c:x val="-5.4001710077974462E-2"/>
                  <c:y val="7.9007298745191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22-4953-AD3B-75851C3B9F77}"/>
                </c:ext>
              </c:extLst>
            </c:dLbl>
            <c:dLbl>
              <c:idx val="4"/>
              <c:layout>
                <c:manualLayout>
                  <c:x val="-3.6585289075494416E-2"/>
                  <c:y val="-5.7037356631790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22-4953-AD3B-75851C3B9F77}"/>
                </c:ext>
              </c:extLst>
            </c:dLbl>
            <c:spPr>
              <a:noFill/>
              <a:ln w="25412">
                <a:noFill/>
              </a:ln>
            </c:spPr>
            <c:txPr>
              <a:bodyPr rot="0" vert="horz"/>
              <a:lstStyle/>
              <a:p>
                <a:pPr>
                  <a:defRPr b="1">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5"/>
                <c:pt idx="0">
                  <c:v>2017</c:v>
                </c:pt>
                <c:pt idx="1">
                  <c:v>2018</c:v>
                </c:pt>
                <c:pt idx="2">
                  <c:v>2019</c:v>
                </c:pt>
                <c:pt idx="3">
                  <c:v>2020*</c:v>
                </c:pt>
                <c:pt idx="4">
                  <c:v>2021*</c:v>
                </c:pt>
              </c:strCache>
            </c:strRef>
          </c:cat>
          <c:val>
            <c:numRef>
              <c:f>Sheet1!$E$2:$E$11</c:f>
              <c:numCache>
                <c:formatCode>0.0</c:formatCode>
                <c:ptCount val="5"/>
                <c:pt idx="0">
                  <c:v>-1.3789462436372499</c:v>
                </c:pt>
                <c:pt idx="1">
                  <c:v>-2.0747754574259494</c:v>
                </c:pt>
                <c:pt idx="2">
                  <c:v>-1.119612273199394</c:v>
                </c:pt>
                <c:pt idx="3">
                  <c:v>6.8095377395553767</c:v>
                </c:pt>
                <c:pt idx="4">
                  <c:v>-1.0761209384766961</c:v>
                </c:pt>
              </c:numCache>
            </c:numRef>
          </c:val>
          <c:smooth val="0"/>
          <c:extLst>
            <c:ext xmlns:c16="http://schemas.microsoft.com/office/drawing/2014/chart" uri="{C3380CC4-5D6E-409C-BE32-E72D297353CC}">
              <c16:uniqueId val="{0000000C-1F22-4953-AD3B-75851C3B9F77}"/>
            </c:ext>
          </c:extLst>
        </c:ser>
        <c:dLbls>
          <c:showLegendKey val="0"/>
          <c:showVal val="0"/>
          <c:showCatName val="0"/>
          <c:showSerName val="0"/>
          <c:showPercent val="0"/>
          <c:showBubbleSize val="0"/>
        </c:dLbls>
        <c:marker val="1"/>
        <c:smooth val="0"/>
        <c:axId val="252690432"/>
        <c:axId val="252691968"/>
      </c:lineChart>
      <c:catAx>
        <c:axId val="252690432"/>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252691968"/>
        <c:crosses val="autoZero"/>
        <c:auto val="1"/>
        <c:lblAlgn val="ctr"/>
        <c:lblOffset val="100"/>
        <c:noMultiLvlLbl val="0"/>
      </c:catAx>
      <c:valAx>
        <c:axId val="252691968"/>
        <c:scaling>
          <c:orientation val="minMax"/>
          <c:max val="8.5"/>
          <c:min val="-4"/>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252690432"/>
        <c:crosses val="autoZero"/>
        <c:crossBetween val="between"/>
      </c:valAx>
      <c:spPr>
        <a:noFill/>
        <a:ln w="25412">
          <a:noFill/>
        </a:ln>
      </c:spPr>
    </c:plotArea>
    <c:legend>
      <c:legendPos val="b"/>
      <c:layout>
        <c:manualLayout>
          <c:xMode val="edge"/>
          <c:yMode val="edge"/>
          <c:x val="0"/>
          <c:y val="0.79903857908172438"/>
          <c:w val="0.99654897267105524"/>
          <c:h val="0.20096143895991531"/>
        </c:manualLayout>
      </c:layout>
      <c:overlay val="0"/>
      <c:txPr>
        <a:bodyPr/>
        <a:lstStyle/>
        <a:p>
          <a:pPr>
            <a:defRPr sz="8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2362300089968"/>
          <c:y val="6.0752269779507137E-2"/>
          <c:w val="0.80235521125059406"/>
          <c:h val="0.65690492968534575"/>
        </c:manualLayout>
      </c:layout>
      <c:barChart>
        <c:barDir val="col"/>
        <c:grouping val="clustered"/>
        <c:varyColors val="0"/>
        <c:ser>
          <c:idx val="0"/>
          <c:order val="0"/>
          <c:tx>
            <c:strRef>
              <c:f>Sheet1!$B$1</c:f>
              <c:strCache>
                <c:ptCount val="1"/>
                <c:pt idx="0">
                  <c:v>Ընթացիկ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2017</c:v>
                </c:pt>
                <c:pt idx="1">
                  <c:v>2018</c:v>
                </c:pt>
                <c:pt idx="2">
                  <c:v>2019</c:v>
                </c:pt>
                <c:pt idx="3">
                  <c:v>2020*</c:v>
                </c:pt>
                <c:pt idx="4">
                  <c:v>2021*</c:v>
                </c:pt>
              </c:strCache>
            </c:strRef>
          </c:cat>
          <c:val>
            <c:numRef>
              <c:f>Sheet1!$B$2:$B$6</c:f>
              <c:numCache>
                <c:formatCode>0.0</c:formatCode>
                <c:ptCount val="5"/>
                <c:pt idx="0">
                  <c:v>22.777216374759576</c:v>
                </c:pt>
                <c:pt idx="1">
                  <c:v>21.588337472248789</c:v>
                </c:pt>
                <c:pt idx="2">
                  <c:v>21.87765105571625</c:v>
                </c:pt>
                <c:pt idx="3">
                  <c:v>26.706937445161934</c:v>
                </c:pt>
                <c:pt idx="4">
                  <c:v>25.558707028559859</c:v>
                </c:pt>
              </c:numCache>
            </c:numRef>
          </c:val>
          <c:extLst>
            <c:ext xmlns:c16="http://schemas.microsoft.com/office/drawing/2014/chart" uri="{C3380CC4-5D6E-409C-BE32-E72D297353CC}">
              <c16:uniqueId val="{00000000-12D7-423E-A835-3D7769632028}"/>
            </c:ext>
          </c:extLst>
        </c:ser>
        <c:dLbls>
          <c:showLegendKey val="0"/>
          <c:showVal val="0"/>
          <c:showCatName val="0"/>
          <c:showSerName val="0"/>
          <c:showPercent val="0"/>
          <c:showBubbleSize val="0"/>
        </c:dLbls>
        <c:gapWidth val="219"/>
        <c:overlap val="-27"/>
        <c:axId val="252805888"/>
        <c:axId val="252807424"/>
      </c:barChart>
      <c:lineChart>
        <c:grouping val="standard"/>
        <c:varyColors val="0"/>
        <c:ser>
          <c:idx val="1"/>
          <c:order val="1"/>
          <c:tx>
            <c:strRef>
              <c:f>Sheet1!$C$1</c:f>
              <c:strCache>
                <c:ptCount val="1"/>
                <c:pt idx="0">
                  <c:v>Հարկային եկամուտներ/ՀՆԱ%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2017</c:v>
                </c:pt>
                <c:pt idx="1">
                  <c:v>2018</c:v>
                </c:pt>
                <c:pt idx="2">
                  <c:v>2019</c:v>
                </c:pt>
                <c:pt idx="3">
                  <c:v>2020*</c:v>
                </c:pt>
                <c:pt idx="4">
                  <c:v>2021*</c:v>
                </c:pt>
              </c:strCache>
            </c:strRef>
          </c:cat>
          <c:val>
            <c:numRef>
              <c:f>Sheet1!$C$2:$C$6</c:f>
              <c:numCache>
                <c:formatCode>0.0</c:formatCode>
                <c:ptCount val="5"/>
                <c:pt idx="0">
                  <c:v>20.810311842409792</c:v>
                </c:pt>
                <c:pt idx="1">
                  <c:v>20.909320563240176</c:v>
                </c:pt>
                <c:pt idx="2">
                  <c:v>22.291064088902427</c:v>
                </c:pt>
                <c:pt idx="3">
                  <c:v>22.216293526762406</c:v>
                </c:pt>
                <c:pt idx="4">
                  <c:v>22.516293526762407</c:v>
                </c:pt>
              </c:numCache>
            </c:numRef>
          </c:val>
          <c:smooth val="0"/>
          <c:extLst>
            <c:ext xmlns:c16="http://schemas.microsoft.com/office/drawing/2014/chart" uri="{C3380CC4-5D6E-409C-BE32-E72D297353CC}">
              <c16:uniqueId val="{00000001-12D7-423E-A835-3D7769632028}"/>
            </c:ext>
          </c:extLst>
        </c:ser>
        <c:dLbls>
          <c:showLegendKey val="0"/>
          <c:showVal val="0"/>
          <c:showCatName val="0"/>
          <c:showSerName val="0"/>
          <c:showPercent val="0"/>
          <c:showBubbleSize val="0"/>
        </c:dLbls>
        <c:marker val="1"/>
        <c:smooth val="0"/>
        <c:axId val="252805888"/>
        <c:axId val="252807424"/>
      </c:lineChart>
      <c:catAx>
        <c:axId val="252805888"/>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252807424"/>
        <c:crosses val="autoZero"/>
        <c:auto val="1"/>
        <c:lblAlgn val="ctr"/>
        <c:lblOffset val="100"/>
        <c:noMultiLvlLbl val="0"/>
      </c:catAx>
      <c:valAx>
        <c:axId val="252807424"/>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252805888"/>
        <c:crosses val="autoZero"/>
        <c:crossBetween val="between"/>
      </c:valAx>
      <c:spPr>
        <a:noFill/>
        <a:ln w="25412">
          <a:noFill/>
        </a:ln>
      </c:spPr>
    </c:plotArea>
    <c:legend>
      <c:legendPos val="b"/>
      <c:layout>
        <c:manualLayout>
          <c:xMode val="edge"/>
          <c:yMode val="edge"/>
          <c:x val="4.0371417036737994E-2"/>
          <c:y val="0.87673156240085393"/>
          <c:w val="0.92533322313313981"/>
          <c:h val="0.12326843759914623"/>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2080812768812"/>
          <c:y val="6.3554952510176385E-2"/>
          <c:w val="0.8257706331319018"/>
          <c:h val="0.63564952617015436"/>
        </c:manualLayout>
      </c:layout>
      <c:barChart>
        <c:barDir val="col"/>
        <c:grouping val="clustered"/>
        <c:varyColors val="0"/>
        <c:ser>
          <c:idx val="1"/>
          <c:order val="1"/>
          <c:tx>
            <c:strRef>
              <c:f>Sheet1!$C$1</c:f>
              <c:strCache>
                <c:ptCount val="1"/>
                <c:pt idx="0">
                  <c:v>Ոչ ֆին. ակիվ.գծով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2017</c:v>
                </c:pt>
                <c:pt idx="1">
                  <c:v>2018</c:v>
                </c:pt>
                <c:pt idx="2">
                  <c:v>2019</c:v>
                </c:pt>
                <c:pt idx="3">
                  <c:v>2020*</c:v>
                </c:pt>
                <c:pt idx="4">
                  <c:v>2021*</c:v>
                </c:pt>
              </c:strCache>
            </c:strRef>
          </c:cat>
          <c:val>
            <c:numRef>
              <c:f>Sheet1!$C$2:$C$6</c:f>
              <c:numCache>
                <c:formatCode>0.0</c:formatCode>
                <c:ptCount val="5"/>
                <c:pt idx="0">
                  <c:v>4.2657172504817265</c:v>
                </c:pt>
                <c:pt idx="1">
                  <c:v>2.4614306175240586</c:v>
                </c:pt>
                <c:pt idx="2">
                  <c:v>2.9272943309483952</c:v>
                </c:pt>
                <c:pt idx="3">
                  <c:v>4.686169156551367</c:v>
                </c:pt>
                <c:pt idx="4">
                  <c:v>3.3684826917821522</c:v>
                </c:pt>
              </c:numCache>
            </c:numRef>
          </c:val>
          <c:extLst>
            <c:ext xmlns:c16="http://schemas.microsoft.com/office/drawing/2014/chart" uri="{C3380CC4-5D6E-409C-BE32-E72D297353CC}">
              <c16:uniqueId val="{00000000-BB4F-47E3-88FB-92EA429DAA65}"/>
            </c:ext>
          </c:extLst>
        </c:ser>
        <c:dLbls>
          <c:showLegendKey val="0"/>
          <c:showVal val="0"/>
          <c:showCatName val="0"/>
          <c:showSerName val="0"/>
          <c:showPercent val="0"/>
          <c:showBubbleSize val="0"/>
        </c:dLbls>
        <c:gapWidth val="219"/>
        <c:axId val="252876288"/>
        <c:axId val="252877824"/>
      </c:barChart>
      <c:lineChart>
        <c:grouping val="standard"/>
        <c:varyColors val="0"/>
        <c:ser>
          <c:idx val="0"/>
          <c:order val="0"/>
          <c:tx>
            <c:strRef>
              <c:f>Sheet1!$B$1</c:f>
              <c:strCache>
                <c:ptCount val="1"/>
                <c:pt idx="0">
                  <c:v>Պակասուրդ/ՀՆԱ%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dLbl>
              <c:idx val="3"/>
              <c:layout>
                <c:manualLayout>
                  <c:x val="-6.4230924505450135E-2"/>
                  <c:y val="-5.02110971537120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4F-47E3-88FB-92EA429DAA65}"/>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2017</c:v>
                </c:pt>
                <c:pt idx="1">
                  <c:v>2018</c:v>
                </c:pt>
                <c:pt idx="2">
                  <c:v>2019</c:v>
                </c:pt>
                <c:pt idx="3">
                  <c:v>2020*</c:v>
                </c:pt>
                <c:pt idx="4">
                  <c:v>2021*</c:v>
                </c:pt>
              </c:strCache>
            </c:strRef>
          </c:cat>
          <c:val>
            <c:numRef>
              <c:f>Sheet1!$B$2:$B$6</c:f>
              <c:numCache>
                <c:formatCode>0.0</c:formatCode>
                <c:ptCount val="5"/>
                <c:pt idx="0">
                  <c:v>4.7986662832355309</c:v>
                </c:pt>
                <c:pt idx="1">
                  <c:v>1.7515672931246948</c:v>
                </c:pt>
                <c:pt idx="2">
                  <c:v>0.97372055183437423</c:v>
                </c:pt>
                <c:pt idx="3">
                  <c:v>7.1</c:v>
                </c:pt>
                <c:pt idx="4">
                  <c:v>5.3385150861863782</c:v>
                </c:pt>
              </c:numCache>
            </c:numRef>
          </c:val>
          <c:smooth val="0"/>
          <c:extLst>
            <c:ext xmlns:c16="http://schemas.microsoft.com/office/drawing/2014/chart" uri="{C3380CC4-5D6E-409C-BE32-E72D297353CC}">
              <c16:uniqueId val="{00000002-BB4F-47E3-88FB-92EA429DAA65}"/>
            </c:ext>
          </c:extLst>
        </c:ser>
        <c:dLbls>
          <c:showLegendKey val="0"/>
          <c:showVal val="0"/>
          <c:showCatName val="0"/>
          <c:showSerName val="0"/>
          <c:showPercent val="0"/>
          <c:showBubbleSize val="0"/>
        </c:dLbls>
        <c:marker val="1"/>
        <c:smooth val="0"/>
        <c:axId val="252876288"/>
        <c:axId val="252877824"/>
      </c:lineChart>
      <c:catAx>
        <c:axId val="252876288"/>
        <c:scaling>
          <c:orientation val="minMax"/>
        </c:scaling>
        <c:delete val="0"/>
        <c:axPos val="b"/>
        <c:numFmt formatCode="General"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252877824"/>
        <c:crosses val="autoZero"/>
        <c:auto val="1"/>
        <c:lblAlgn val="ctr"/>
        <c:lblOffset val="100"/>
        <c:noMultiLvlLbl val="0"/>
      </c:catAx>
      <c:valAx>
        <c:axId val="252877824"/>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252876288"/>
        <c:crosses val="autoZero"/>
        <c:crossBetween val="between"/>
      </c:valAx>
      <c:spPr>
        <a:noFill/>
        <a:ln w="25412">
          <a:noFill/>
        </a:ln>
      </c:spPr>
    </c:plotArea>
    <c:legend>
      <c:legendPos val="b"/>
      <c:layout>
        <c:manualLayout>
          <c:xMode val="edge"/>
          <c:yMode val="edge"/>
          <c:x val="0"/>
          <c:y val="0.8767285925196856"/>
          <c:w val="0.99584174404521597"/>
          <c:h val="0.123271407480315"/>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000" b="1">
                <a:solidFill>
                  <a:sysClr val="windowText" lastClr="000000"/>
                </a:solidFill>
                <a:latin typeface="GHEA Grapalat" panose="02000506050000020003" pitchFamily="50" charset="0"/>
              </a:rPr>
              <a:t>Կառավարության պարտքի</a:t>
            </a:r>
            <a:r>
              <a:rPr lang="hy-AM" sz="1000" b="1" baseline="0">
                <a:solidFill>
                  <a:sysClr val="windowText" lastClr="000000"/>
                </a:solidFill>
                <a:latin typeface="GHEA Grapalat" panose="02000506050000020003" pitchFamily="50" charset="0"/>
              </a:rPr>
              <a:t> դինամիկան</a:t>
            </a:r>
            <a:endParaRPr lang="en-US" sz="1000" b="1">
              <a:solidFill>
                <a:sysClr val="windowText" lastClr="000000"/>
              </a:solidFill>
              <a:latin typeface="GHEA Grapalat" panose="02000506050000020003" pitchFamily="50" charset="0"/>
            </a:endParaRPr>
          </a:p>
        </c:rich>
      </c:tx>
      <c:overlay val="0"/>
      <c:spPr>
        <a:noFill/>
        <a:ln>
          <a:noFill/>
        </a:ln>
        <a:effectLst/>
      </c:spPr>
    </c:title>
    <c:autoTitleDeleted val="0"/>
    <c:plotArea>
      <c:layout/>
      <c:barChart>
        <c:barDir val="col"/>
        <c:grouping val="clustered"/>
        <c:varyColors val="0"/>
        <c:ser>
          <c:idx val="1"/>
          <c:order val="1"/>
          <c:tx>
            <c:strRef>
              <c:f>Sheet1!$C$1</c:f>
              <c:strCache>
                <c:ptCount val="1"/>
                <c:pt idx="0">
                  <c:v>ՀՀ կառավարության պարտք, մլրդ դրամ</c:v>
                </c:pt>
              </c:strCache>
            </c:strRef>
          </c:tx>
          <c:spPr>
            <a:solidFill>
              <a:schemeClr val="accent2"/>
            </a:solidFill>
            <a:ln>
              <a:noFill/>
            </a:ln>
            <a:effectLst/>
          </c:spPr>
          <c:invertIfNegative val="0"/>
          <c:cat>
            <c:numRef>
              <c:f>Sheet1!$A$2:$A$8</c:f>
              <c:numCache>
                <c:formatCode>General</c:formatCode>
                <c:ptCount val="5"/>
                <c:pt idx="0">
                  <c:v>2017</c:v>
                </c:pt>
                <c:pt idx="1">
                  <c:v>2018</c:v>
                </c:pt>
                <c:pt idx="2">
                  <c:v>2019</c:v>
                </c:pt>
                <c:pt idx="3">
                  <c:v>2020</c:v>
                </c:pt>
                <c:pt idx="4">
                  <c:v>2021</c:v>
                </c:pt>
              </c:numCache>
            </c:numRef>
          </c:cat>
          <c:val>
            <c:numRef>
              <c:f>Sheet1!$C$2:$C$8</c:f>
              <c:numCache>
                <c:formatCode>0.0</c:formatCode>
                <c:ptCount val="5"/>
                <c:pt idx="0">
                  <c:v>2988.3796278717341</c:v>
                </c:pt>
                <c:pt idx="1">
                  <c:v>3082.8664640448092</c:v>
                </c:pt>
                <c:pt idx="2">
                  <c:v>3277.2813769668846</c:v>
                </c:pt>
                <c:pt idx="3">
                  <c:v>3738.9265331654415</c:v>
                </c:pt>
                <c:pt idx="4">
                  <c:v>4221.9279649054424</c:v>
                </c:pt>
              </c:numCache>
            </c:numRef>
          </c:val>
          <c:extLst>
            <c:ext xmlns:c16="http://schemas.microsoft.com/office/drawing/2014/chart" uri="{C3380CC4-5D6E-409C-BE32-E72D297353CC}">
              <c16:uniqueId val="{00000000-B734-42FA-B70D-6C0702E147EC}"/>
            </c:ext>
          </c:extLst>
        </c:ser>
        <c:dLbls>
          <c:showLegendKey val="0"/>
          <c:showVal val="0"/>
          <c:showCatName val="0"/>
          <c:showSerName val="0"/>
          <c:showPercent val="0"/>
          <c:showBubbleSize val="0"/>
        </c:dLbls>
        <c:gapWidth val="219"/>
        <c:axId val="252930688"/>
        <c:axId val="252944768"/>
      </c:barChart>
      <c:lineChart>
        <c:grouping val="standard"/>
        <c:varyColors val="0"/>
        <c:ser>
          <c:idx val="0"/>
          <c:order val="0"/>
          <c:tx>
            <c:strRef>
              <c:f>Sheet1!$B$1</c:f>
              <c:strCache>
                <c:ptCount val="1"/>
                <c:pt idx="0">
                  <c:v>Կառավարության պարտք/ՀՆԱ, %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5"/>
                <c:pt idx="0">
                  <c:v>2017</c:v>
                </c:pt>
                <c:pt idx="1">
                  <c:v>2018</c:v>
                </c:pt>
                <c:pt idx="2">
                  <c:v>2019</c:v>
                </c:pt>
                <c:pt idx="3">
                  <c:v>2020</c:v>
                </c:pt>
                <c:pt idx="4">
                  <c:v>2021</c:v>
                </c:pt>
              </c:numCache>
            </c:numRef>
          </c:cat>
          <c:val>
            <c:numRef>
              <c:f>Sheet1!$B$2:$B$8</c:f>
              <c:numCache>
                <c:formatCode>0.0</c:formatCode>
                <c:ptCount val="5"/>
                <c:pt idx="0">
                  <c:v>53.704433930610207</c:v>
                </c:pt>
                <c:pt idx="1">
                  <c:v>51.235639506393596</c:v>
                </c:pt>
                <c:pt idx="2">
                  <c:v>49.890110777392053</c:v>
                </c:pt>
                <c:pt idx="3">
                  <c:v>61.536643170364044</c:v>
                </c:pt>
                <c:pt idx="4">
                  <c:v>66.01599868819919</c:v>
                </c:pt>
              </c:numCache>
            </c:numRef>
          </c:val>
          <c:smooth val="0"/>
          <c:extLst>
            <c:ext xmlns:c16="http://schemas.microsoft.com/office/drawing/2014/chart" uri="{C3380CC4-5D6E-409C-BE32-E72D297353CC}">
              <c16:uniqueId val="{00000001-B734-42FA-B70D-6C0702E147EC}"/>
            </c:ext>
          </c:extLst>
        </c:ser>
        <c:dLbls>
          <c:showLegendKey val="0"/>
          <c:showVal val="0"/>
          <c:showCatName val="0"/>
          <c:showSerName val="0"/>
          <c:showPercent val="0"/>
          <c:showBubbleSize val="0"/>
        </c:dLbls>
        <c:marker val="1"/>
        <c:smooth val="0"/>
        <c:axId val="252947840"/>
        <c:axId val="252946304"/>
      </c:lineChart>
      <c:catAx>
        <c:axId val="25293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944768"/>
        <c:crosses val="autoZero"/>
        <c:auto val="1"/>
        <c:lblAlgn val="ctr"/>
        <c:lblOffset val="100"/>
        <c:noMultiLvlLbl val="0"/>
      </c:catAx>
      <c:valAx>
        <c:axId val="252944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930688"/>
        <c:crosses val="autoZero"/>
        <c:crossBetween val="between"/>
      </c:valAx>
      <c:valAx>
        <c:axId val="25294630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2947840"/>
        <c:crosses val="max"/>
        <c:crossBetween val="between"/>
      </c:valAx>
      <c:catAx>
        <c:axId val="252947840"/>
        <c:scaling>
          <c:orientation val="minMax"/>
        </c:scaling>
        <c:delete val="1"/>
        <c:axPos val="b"/>
        <c:numFmt formatCode="General" sourceLinked="1"/>
        <c:majorTickMark val="out"/>
        <c:minorTickMark val="none"/>
        <c:tickLblPos val="none"/>
        <c:crossAx val="252946304"/>
        <c:crosses val="autoZero"/>
        <c:auto val="1"/>
        <c:lblAlgn val="ctr"/>
        <c:lblOffset val="100"/>
        <c:noMultiLvlLbl val="0"/>
      </c:catAx>
      <c:spPr>
        <a:noFill/>
        <a:ln>
          <a:noFill/>
        </a:ln>
        <a:effectLst/>
      </c:spPr>
    </c:plotArea>
    <c:legend>
      <c:legendPos val="b"/>
      <c:layout>
        <c:manualLayout>
          <c:xMode val="edge"/>
          <c:yMode val="edge"/>
          <c:x val="0"/>
          <c:y val="0.78088601993439488"/>
          <c:w val="0.99724612736660856"/>
          <c:h val="0.219113980065605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899" b="1" baseline="0">
                <a:solidFill>
                  <a:sysClr val="windowText" lastClr="000000"/>
                </a:solidFill>
              </a:rPr>
              <a:t>Կառավարության պարտքի բեռի փոփոխությանը նպաստող գործոնները, </a:t>
            </a:r>
            <a:r>
              <a:rPr lang="en-US" sz="899" b="1" baseline="0">
                <a:solidFill>
                  <a:sysClr val="windowText" lastClr="000000"/>
                </a:solidFill>
              </a:rPr>
              <a:t>%-</a:t>
            </a:r>
            <a:r>
              <a:rPr lang="hy-AM" sz="899" b="1" baseline="0">
                <a:solidFill>
                  <a:sysClr val="windowText" lastClr="000000"/>
                </a:solidFill>
              </a:rPr>
              <a:t>ային կետ</a:t>
            </a:r>
            <a:endParaRPr lang="en-US" sz="900" b="1">
              <a:solidFill>
                <a:sysClr val="windowText" lastClr="000000"/>
              </a:solidFill>
            </a:endParaRPr>
          </a:p>
        </c:rich>
      </c:tx>
      <c:layout>
        <c:manualLayout>
          <c:xMode val="edge"/>
          <c:yMode val="edge"/>
          <c:x val="8.4826303261163818E-2"/>
          <c:y val="3.4761154855643046E-3"/>
        </c:manualLayout>
      </c:layout>
      <c:overlay val="0"/>
      <c:spPr>
        <a:noFill/>
        <a:ln w="25384">
          <a:noFill/>
        </a:ln>
      </c:spPr>
    </c:title>
    <c:autoTitleDeleted val="0"/>
    <c:plotArea>
      <c:layout>
        <c:manualLayout>
          <c:layoutTarget val="inner"/>
          <c:xMode val="edge"/>
          <c:yMode val="edge"/>
          <c:x val="0.11882213353467802"/>
          <c:y val="0.18580364954380699"/>
          <c:w val="0.49000876204041888"/>
          <c:h val="0.77039682539682564"/>
        </c:manualLayout>
      </c:layout>
      <c:barChart>
        <c:barDir val="col"/>
        <c:grouping val="stacked"/>
        <c:varyColors val="0"/>
        <c:ser>
          <c:idx val="0"/>
          <c:order val="0"/>
          <c:tx>
            <c:strRef>
              <c:f>Sheet1!$B$1</c:f>
              <c:strCache>
                <c:ptCount val="1"/>
                <c:pt idx="0">
                  <c:v>Առաջնային պակասուրդ</c:v>
                </c:pt>
              </c:strCache>
            </c:strRef>
          </c:tx>
          <c:spPr>
            <a:solidFill>
              <a:srgbClr val="4F81BD"/>
            </a:solidFill>
            <a:ln w="25384">
              <a:noFill/>
            </a:ln>
          </c:spPr>
          <c:invertIfNegative val="0"/>
          <c:cat>
            <c:numRef>
              <c:f>Sheet1!$A$2:$A$6</c:f>
              <c:numCache>
                <c:formatCode>General</c:formatCode>
                <c:ptCount val="5"/>
                <c:pt idx="0">
                  <c:v>2017</c:v>
                </c:pt>
                <c:pt idx="1">
                  <c:v>2018</c:v>
                </c:pt>
                <c:pt idx="2" formatCode="0">
                  <c:v>2019</c:v>
                </c:pt>
                <c:pt idx="3" formatCode="0">
                  <c:v>2020</c:v>
                </c:pt>
                <c:pt idx="4" formatCode="0">
                  <c:v>2021</c:v>
                </c:pt>
              </c:numCache>
            </c:numRef>
          </c:cat>
          <c:val>
            <c:numRef>
              <c:f>Sheet1!$B$2:$B$6</c:f>
              <c:numCache>
                <c:formatCode>0.0</c:formatCode>
                <c:ptCount val="5"/>
                <c:pt idx="0">
                  <c:v>2.6021498588186631</c:v>
                </c:pt>
                <c:pt idx="1">
                  <c:v>-0.57258085880967613</c:v>
                </c:pt>
                <c:pt idx="2">
                  <c:v>-1.4284363292094464</c:v>
                </c:pt>
                <c:pt idx="3">
                  <c:v>4.3271461058757783</c:v>
                </c:pt>
                <c:pt idx="4">
                  <c:v>2.2879784134497103</c:v>
                </c:pt>
              </c:numCache>
            </c:numRef>
          </c:val>
          <c:extLst>
            <c:ext xmlns:c16="http://schemas.microsoft.com/office/drawing/2014/chart" uri="{C3380CC4-5D6E-409C-BE32-E72D297353CC}">
              <c16:uniqueId val="{00000000-61A8-4CEA-A5F9-0760676F942B}"/>
            </c:ext>
          </c:extLst>
        </c:ser>
        <c:ser>
          <c:idx val="1"/>
          <c:order val="1"/>
          <c:tx>
            <c:strRef>
              <c:f>Sheet1!$C$1</c:f>
              <c:strCache>
                <c:ptCount val="1"/>
                <c:pt idx="0">
                  <c:v>Իրական տոկոսադրույք</c:v>
                </c:pt>
              </c:strCache>
            </c:strRef>
          </c:tx>
          <c:spPr>
            <a:solidFill>
              <a:srgbClr val="C0504D"/>
            </a:solidFill>
            <a:ln w="25384">
              <a:noFill/>
            </a:ln>
          </c:spPr>
          <c:invertIfNegative val="0"/>
          <c:cat>
            <c:numRef>
              <c:f>Sheet1!$A$2:$A$6</c:f>
              <c:numCache>
                <c:formatCode>General</c:formatCode>
                <c:ptCount val="5"/>
                <c:pt idx="0">
                  <c:v>2017</c:v>
                </c:pt>
                <c:pt idx="1">
                  <c:v>2018</c:v>
                </c:pt>
                <c:pt idx="2" formatCode="0">
                  <c:v>2019</c:v>
                </c:pt>
                <c:pt idx="3" formatCode="0">
                  <c:v>2020</c:v>
                </c:pt>
                <c:pt idx="4" formatCode="0">
                  <c:v>2021</c:v>
                </c:pt>
              </c:numCache>
            </c:numRef>
          </c:cat>
          <c:val>
            <c:numRef>
              <c:f>Sheet1!$C$2:$C$6</c:f>
              <c:numCache>
                <c:formatCode>0.0</c:formatCode>
                <c:ptCount val="5"/>
                <c:pt idx="0">
                  <c:v>1.0500310954191134</c:v>
                </c:pt>
                <c:pt idx="1">
                  <c:v>0.98012789078743578</c:v>
                </c:pt>
                <c:pt idx="2">
                  <c:v>1.6930478859443172</c:v>
                </c:pt>
                <c:pt idx="3">
                  <c:v>2.7325568478209106</c:v>
                </c:pt>
                <c:pt idx="4">
                  <c:v>1.9319547808874598</c:v>
                </c:pt>
              </c:numCache>
            </c:numRef>
          </c:val>
          <c:extLst>
            <c:ext xmlns:c16="http://schemas.microsoft.com/office/drawing/2014/chart" uri="{C3380CC4-5D6E-409C-BE32-E72D297353CC}">
              <c16:uniqueId val="{00000001-61A8-4CEA-A5F9-0760676F942B}"/>
            </c:ext>
          </c:extLst>
        </c:ser>
        <c:ser>
          <c:idx val="2"/>
          <c:order val="2"/>
          <c:tx>
            <c:strRef>
              <c:f>Sheet1!$D$1</c:f>
              <c:strCache>
                <c:ptCount val="1"/>
                <c:pt idx="0">
                  <c:v>Իրական ՀՆԱ աճ</c:v>
                </c:pt>
              </c:strCache>
            </c:strRef>
          </c:tx>
          <c:spPr>
            <a:solidFill>
              <a:srgbClr val="9BBB59"/>
            </a:solidFill>
            <a:ln w="25384">
              <a:noFill/>
            </a:ln>
          </c:spPr>
          <c:invertIfNegative val="0"/>
          <c:cat>
            <c:numRef>
              <c:f>Sheet1!$A$2:$A$6</c:f>
              <c:numCache>
                <c:formatCode>General</c:formatCode>
                <c:ptCount val="5"/>
                <c:pt idx="0">
                  <c:v>2017</c:v>
                </c:pt>
                <c:pt idx="1">
                  <c:v>2018</c:v>
                </c:pt>
                <c:pt idx="2" formatCode="0">
                  <c:v>2019</c:v>
                </c:pt>
                <c:pt idx="3" formatCode="0">
                  <c:v>2020</c:v>
                </c:pt>
                <c:pt idx="4" formatCode="0">
                  <c:v>2021</c:v>
                </c:pt>
              </c:numCache>
            </c:numRef>
          </c:cat>
          <c:val>
            <c:numRef>
              <c:f>Sheet1!$D$2:$D$6</c:f>
              <c:numCache>
                <c:formatCode>0.0</c:formatCode>
                <c:ptCount val="5"/>
                <c:pt idx="0">
                  <c:v>-3.5603773930307181</c:v>
                </c:pt>
                <c:pt idx="1">
                  <c:v>-2.6039370723394324</c:v>
                </c:pt>
                <c:pt idx="2">
                  <c:v>-3.5727954124852039</c:v>
                </c:pt>
                <c:pt idx="3">
                  <c:v>4.2473701350766726</c:v>
                </c:pt>
                <c:pt idx="4">
                  <c:v>-1.9898144424031898</c:v>
                </c:pt>
              </c:numCache>
            </c:numRef>
          </c:val>
          <c:extLst>
            <c:ext xmlns:c16="http://schemas.microsoft.com/office/drawing/2014/chart" uri="{C3380CC4-5D6E-409C-BE32-E72D297353CC}">
              <c16:uniqueId val="{00000002-61A8-4CEA-A5F9-0760676F942B}"/>
            </c:ext>
          </c:extLst>
        </c:ser>
        <c:ser>
          <c:idx val="3"/>
          <c:order val="3"/>
          <c:tx>
            <c:strRef>
              <c:f>Sheet1!$E$1</c:f>
              <c:strCache>
                <c:ptCount val="1"/>
                <c:pt idx="0">
                  <c:v>Փոխարժեքի արժեզրկում</c:v>
                </c:pt>
              </c:strCache>
            </c:strRef>
          </c:tx>
          <c:spPr>
            <a:solidFill>
              <a:srgbClr val="8064A2"/>
            </a:solidFill>
            <a:ln w="25384">
              <a:noFill/>
            </a:ln>
          </c:spPr>
          <c:invertIfNegative val="0"/>
          <c:cat>
            <c:numRef>
              <c:f>Sheet1!$A$2:$A$6</c:f>
              <c:numCache>
                <c:formatCode>General</c:formatCode>
                <c:ptCount val="5"/>
                <c:pt idx="0">
                  <c:v>2017</c:v>
                </c:pt>
                <c:pt idx="1">
                  <c:v>2018</c:v>
                </c:pt>
                <c:pt idx="2" formatCode="0">
                  <c:v>2019</c:v>
                </c:pt>
                <c:pt idx="3" formatCode="0">
                  <c:v>2020</c:v>
                </c:pt>
                <c:pt idx="4" formatCode="0">
                  <c:v>2021</c:v>
                </c:pt>
              </c:numCache>
            </c:numRef>
          </c:cat>
          <c:val>
            <c:numRef>
              <c:f>Sheet1!$E$2:$E$6</c:f>
              <c:numCache>
                <c:formatCode>0.0</c:formatCode>
                <c:ptCount val="5"/>
                <c:pt idx="0">
                  <c:v>1.3024595224923406E-2</c:v>
                </c:pt>
                <c:pt idx="1">
                  <c:v>-3.0355942288865134E-2</c:v>
                </c:pt>
                <c:pt idx="2">
                  <c:v>-0.33045922768254038</c:v>
                </c:pt>
              </c:numCache>
            </c:numRef>
          </c:val>
          <c:extLst>
            <c:ext xmlns:c16="http://schemas.microsoft.com/office/drawing/2014/chart" uri="{C3380CC4-5D6E-409C-BE32-E72D297353CC}">
              <c16:uniqueId val="{00000003-61A8-4CEA-A5F9-0760676F942B}"/>
            </c:ext>
          </c:extLst>
        </c:ser>
        <c:ser>
          <c:idx val="4"/>
          <c:order val="4"/>
          <c:tx>
            <c:strRef>
              <c:f>Sheet1!$F$1</c:f>
              <c:strCache>
                <c:ptCount val="1"/>
                <c:pt idx="0">
                  <c:v>Այլ հոսքեր (այդ թվում՝ զուտ վարկավորում)</c:v>
                </c:pt>
              </c:strCache>
            </c:strRef>
          </c:tx>
          <c:spPr>
            <a:solidFill>
              <a:srgbClr val="4BACC6"/>
            </a:solidFill>
            <a:ln w="25384">
              <a:noFill/>
            </a:ln>
          </c:spPr>
          <c:invertIfNegative val="0"/>
          <c:cat>
            <c:numRef>
              <c:f>Sheet1!$A$2:$A$6</c:f>
              <c:numCache>
                <c:formatCode>General</c:formatCode>
                <c:ptCount val="5"/>
                <c:pt idx="0">
                  <c:v>2017</c:v>
                </c:pt>
                <c:pt idx="1">
                  <c:v>2018</c:v>
                </c:pt>
                <c:pt idx="2" formatCode="0">
                  <c:v>2019</c:v>
                </c:pt>
                <c:pt idx="3" formatCode="0">
                  <c:v>2020</c:v>
                </c:pt>
                <c:pt idx="4" formatCode="0">
                  <c:v>2021</c:v>
                </c:pt>
              </c:numCache>
            </c:numRef>
          </c:cat>
          <c:val>
            <c:numRef>
              <c:f>Sheet1!$F$2:$F$6</c:f>
              <c:numCache>
                <c:formatCode>0.0</c:formatCode>
                <c:ptCount val="5"/>
                <c:pt idx="0">
                  <c:v>0.81069110128810884</c:v>
                </c:pt>
                <c:pt idx="1">
                  <c:v>0.81037920761112558</c:v>
                </c:pt>
                <c:pt idx="2">
                  <c:v>1.0104016885491121</c:v>
                </c:pt>
                <c:pt idx="3">
                  <c:v>2.2549260022349609</c:v>
                </c:pt>
                <c:pt idx="4">
                  <c:v>1.75798801986555</c:v>
                </c:pt>
              </c:numCache>
            </c:numRef>
          </c:val>
          <c:extLst>
            <c:ext xmlns:c16="http://schemas.microsoft.com/office/drawing/2014/chart" uri="{C3380CC4-5D6E-409C-BE32-E72D297353CC}">
              <c16:uniqueId val="{00000004-61A8-4CEA-A5F9-0760676F942B}"/>
            </c:ext>
          </c:extLst>
        </c:ser>
        <c:ser>
          <c:idx val="5"/>
          <c:order val="5"/>
          <c:tx>
            <c:strRef>
              <c:f>Sheet1!$G$1</c:f>
              <c:strCache>
                <c:ptCount val="1"/>
                <c:pt idx="0">
                  <c:v>Մնացորդ</c:v>
                </c:pt>
              </c:strCache>
            </c:strRef>
          </c:tx>
          <c:spPr>
            <a:solidFill>
              <a:srgbClr val="F79646"/>
            </a:solidFill>
            <a:ln w="25384">
              <a:noFill/>
            </a:ln>
          </c:spPr>
          <c:invertIfNegative val="0"/>
          <c:cat>
            <c:numRef>
              <c:f>Sheet1!$A$2:$A$6</c:f>
              <c:numCache>
                <c:formatCode>General</c:formatCode>
                <c:ptCount val="5"/>
                <c:pt idx="0">
                  <c:v>2017</c:v>
                </c:pt>
                <c:pt idx="1">
                  <c:v>2018</c:v>
                </c:pt>
                <c:pt idx="2" formatCode="0">
                  <c:v>2019</c:v>
                </c:pt>
                <c:pt idx="3" formatCode="0">
                  <c:v>2020</c:v>
                </c:pt>
                <c:pt idx="4" formatCode="0">
                  <c:v>2021</c:v>
                </c:pt>
              </c:numCache>
            </c:numRef>
          </c:cat>
          <c:val>
            <c:numRef>
              <c:f>Sheet1!$G$2:$G$6</c:f>
              <c:numCache>
                <c:formatCode>0.0</c:formatCode>
                <c:ptCount val="5"/>
                <c:pt idx="0">
                  <c:v>0.8175001964664772</c:v>
                </c:pt>
                <c:pt idx="1">
                  <c:v>-0.90772701057372673</c:v>
                </c:pt>
                <c:pt idx="2">
                  <c:v>1.3324296052555087</c:v>
                </c:pt>
                <c:pt idx="3">
                  <c:v>-1.9154666980363433</c:v>
                </c:pt>
                <c:pt idx="4">
                  <c:v>0.4912487460356153</c:v>
                </c:pt>
              </c:numCache>
            </c:numRef>
          </c:val>
          <c:extLst>
            <c:ext xmlns:c16="http://schemas.microsoft.com/office/drawing/2014/chart" uri="{C3380CC4-5D6E-409C-BE32-E72D297353CC}">
              <c16:uniqueId val="{00000005-61A8-4CEA-A5F9-0760676F942B}"/>
            </c:ext>
          </c:extLst>
        </c:ser>
        <c:dLbls>
          <c:showLegendKey val="0"/>
          <c:showVal val="0"/>
          <c:showCatName val="0"/>
          <c:showSerName val="0"/>
          <c:showPercent val="0"/>
          <c:showBubbleSize val="0"/>
        </c:dLbls>
        <c:gapWidth val="81"/>
        <c:overlap val="100"/>
        <c:axId val="253043072"/>
        <c:axId val="253044992"/>
      </c:barChart>
      <c:lineChart>
        <c:grouping val="standard"/>
        <c:varyColors val="0"/>
        <c:ser>
          <c:idx val="6"/>
          <c:order val="6"/>
          <c:tx>
            <c:strRef>
              <c:f>Sheet1!$H$1</c:f>
              <c:strCache>
                <c:ptCount val="1"/>
                <c:pt idx="0">
                  <c:v>Պարտք/ՀՆԱ փոփոխություն, %-ային կետ </c:v>
                </c:pt>
              </c:strCache>
            </c:strRef>
          </c:tx>
          <c:spPr>
            <a:ln w="28557" cap="rnd">
              <a:solidFill>
                <a:schemeClr val="accent1">
                  <a:lumMod val="60000"/>
                </a:schemeClr>
              </a:solidFill>
              <a:round/>
            </a:ln>
            <a:effectLst/>
          </c:spPr>
          <c:marker>
            <c:symbol val="circle"/>
            <c:size val="4"/>
            <c:spPr>
              <a:solidFill>
                <a:schemeClr val="accent1">
                  <a:lumMod val="60000"/>
                </a:schemeClr>
              </a:solidFill>
              <a:ln w="9519">
                <a:solidFill>
                  <a:schemeClr val="accent1">
                    <a:lumMod val="60000"/>
                  </a:schemeClr>
                </a:solidFill>
              </a:ln>
              <a:effectLst/>
            </c:spPr>
          </c:marker>
          <c:cat>
            <c:numRef>
              <c:f>Sheet1!$A$2:$A$6</c:f>
              <c:numCache>
                <c:formatCode>General</c:formatCode>
                <c:ptCount val="5"/>
                <c:pt idx="0">
                  <c:v>2017</c:v>
                </c:pt>
                <c:pt idx="1">
                  <c:v>2018</c:v>
                </c:pt>
                <c:pt idx="2" formatCode="0">
                  <c:v>2019</c:v>
                </c:pt>
                <c:pt idx="3" formatCode="0">
                  <c:v>2020</c:v>
                </c:pt>
                <c:pt idx="4" formatCode="0">
                  <c:v>2021</c:v>
                </c:pt>
              </c:numCache>
            </c:numRef>
          </c:cat>
          <c:val>
            <c:numRef>
              <c:f>Sheet1!$H$2:$H$6</c:f>
              <c:numCache>
                <c:formatCode>0.0</c:formatCode>
                <c:ptCount val="5"/>
                <c:pt idx="0">
                  <c:v>1.733019454186568</c:v>
                </c:pt>
                <c:pt idx="1">
                  <c:v>-2.3240937856131372</c:v>
                </c:pt>
                <c:pt idx="2">
                  <c:v>-1.2958117896282531</c:v>
                </c:pt>
                <c:pt idx="3" formatCode="#,##0.0">
                  <c:v>11.646532392971977</c:v>
                </c:pt>
                <c:pt idx="4" formatCode="#,##0.0">
                  <c:v>4.4793555178351454</c:v>
                </c:pt>
              </c:numCache>
            </c:numRef>
          </c:val>
          <c:smooth val="0"/>
          <c:extLst>
            <c:ext xmlns:c16="http://schemas.microsoft.com/office/drawing/2014/chart" uri="{C3380CC4-5D6E-409C-BE32-E72D297353CC}">
              <c16:uniqueId val="{00000006-61A8-4CEA-A5F9-0760676F942B}"/>
            </c:ext>
          </c:extLst>
        </c:ser>
        <c:dLbls>
          <c:showLegendKey val="0"/>
          <c:showVal val="0"/>
          <c:showCatName val="0"/>
          <c:showSerName val="0"/>
          <c:showPercent val="0"/>
          <c:showBubbleSize val="0"/>
        </c:dLbls>
        <c:marker val="1"/>
        <c:smooth val="0"/>
        <c:axId val="253043072"/>
        <c:axId val="253044992"/>
      </c:lineChart>
      <c:catAx>
        <c:axId val="253043072"/>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3044992"/>
        <c:crosses val="autoZero"/>
        <c:auto val="1"/>
        <c:lblAlgn val="ctr"/>
        <c:lblOffset val="100"/>
        <c:noMultiLvlLbl val="0"/>
      </c:catAx>
      <c:valAx>
        <c:axId val="253044992"/>
        <c:scaling>
          <c:orientation val="minMax"/>
        </c:scaling>
        <c:delete val="0"/>
        <c:axPos val="l"/>
        <c:majorGridlines>
          <c:spPr>
            <a:ln w="9519" cap="flat" cmpd="sng" algn="ctr">
              <a:solidFill>
                <a:schemeClr val="tx1">
                  <a:lumMod val="15000"/>
                  <a:lumOff val="85000"/>
                </a:schemeClr>
              </a:solidFill>
              <a:round/>
            </a:ln>
            <a:effectLst/>
          </c:spPr>
        </c:majorGridlines>
        <c:numFmt formatCode="0.0" sourceLinked="1"/>
        <c:majorTickMark val="none"/>
        <c:minorTickMark val="none"/>
        <c:tickLblPos val="nextTo"/>
        <c:spPr>
          <a:ln w="9519">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3043072"/>
        <c:crosses val="autoZero"/>
        <c:crossBetween val="between"/>
      </c:valAx>
      <c:spPr>
        <a:noFill/>
        <a:ln w="25384">
          <a:noFill/>
        </a:ln>
      </c:spPr>
    </c:plotArea>
    <c:legend>
      <c:legendPos val="r"/>
      <c:legendEntry>
        <c:idx val="1"/>
        <c:txPr>
          <a:bodyPr rot="0" spcFirstLastPara="1" vertOverflow="ellipsis" vert="horz" wrap="square" anchor="ctr" anchorCtr="1"/>
          <a:lstStyle/>
          <a:p>
            <a:pPr>
              <a:defRPr sz="78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62351979881291197"/>
          <c:y val="0.13620647419072657"/>
          <c:w val="0.36942919665535406"/>
          <c:h val="0.86191216097987755"/>
        </c:manualLayout>
      </c:layout>
      <c:overlay val="0"/>
      <c:spPr>
        <a:noFill/>
        <a:ln w="25384">
          <a:noFill/>
        </a:ln>
      </c:spPr>
      <c:txPr>
        <a:bodyPr rot="0" spcFirstLastPara="1" vertOverflow="ellipsis" vert="horz" wrap="square" anchor="ctr" anchorCtr="1"/>
        <a:lstStyle/>
        <a:p>
          <a:pPr>
            <a:defRPr sz="78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0479423532748"/>
          <c:y val="7.2968490878938932E-2"/>
          <c:w val="0.78348499218615153"/>
          <c:h val="0.60569828630873046"/>
        </c:manualLayout>
      </c:layout>
      <c:lineChart>
        <c:grouping val="standard"/>
        <c:varyColors val="0"/>
        <c:ser>
          <c:idx val="0"/>
          <c:order val="0"/>
          <c:tx>
            <c:strRef>
              <c:f>Sheet1!$B$1</c:f>
              <c:strCache>
                <c:ptCount val="1"/>
                <c:pt idx="0">
                  <c:v>S&amp;P 500 (ԱՄՆ)</c:v>
                </c:pt>
              </c:strCache>
            </c:strRef>
          </c:tx>
          <c:spPr>
            <a:ln w="28575" cap="rnd">
              <a:solidFill>
                <a:schemeClr val="accent1"/>
              </a:solidFill>
              <a:round/>
            </a:ln>
            <a:effectLst/>
          </c:spPr>
          <c:marker>
            <c:symbol val="none"/>
          </c:marker>
          <c:cat>
            <c:numRef>
              <c:f>Sheet1!$A$2:$A$99</c:f>
              <c:numCache>
                <c:formatCode>d\-mmm\-yy</c:formatCode>
                <c:ptCount val="98"/>
                <c:pt idx="0">
                  <c:v>43471</c:v>
                </c:pt>
                <c:pt idx="1">
                  <c:v>43478</c:v>
                </c:pt>
                <c:pt idx="2">
                  <c:v>43485</c:v>
                </c:pt>
                <c:pt idx="3">
                  <c:v>43492</c:v>
                </c:pt>
                <c:pt idx="4">
                  <c:v>43499</c:v>
                </c:pt>
                <c:pt idx="5">
                  <c:v>43506</c:v>
                </c:pt>
                <c:pt idx="6">
                  <c:v>43513</c:v>
                </c:pt>
                <c:pt idx="7">
                  <c:v>43520</c:v>
                </c:pt>
                <c:pt idx="8">
                  <c:v>43527</c:v>
                </c:pt>
                <c:pt idx="9">
                  <c:v>43534</c:v>
                </c:pt>
                <c:pt idx="10">
                  <c:v>43541</c:v>
                </c:pt>
                <c:pt idx="11">
                  <c:v>43548</c:v>
                </c:pt>
                <c:pt idx="12">
                  <c:v>43555</c:v>
                </c:pt>
                <c:pt idx="13">
                  <c:v>43562</c:v>
                </c:pt>
                <c:pt idx="14">
                  <c:v>43569</c:v>
                </c:pt>
                <c:pt idx="15">
                  <c:v>43576</c:v>
                </c:pt>
                <c:pt idx="16">
                  <c:v>43583</c:v>
                </c:pt>
                <c:pt idx="17">
                  <c:v>43590</c:v>
                </c:pt>
                <c:pt idx="18">
                  <c:v>43597</c:v>
                </c:pt>
                <c:pt idx="19">
                  <c:v>43604</c:v>
                </c:pt>
                <c:pt idx="20">
                  <c:v>43611</c:v>
                </c:pt>
                <c:pt idx="21">
                  <c:v>43618</c:v>
                </c:pt>
                <c:pt idx="22">
                  <c:v>43625</c:v>
                </c:pt>
                <c:pt idx="23">
                  <c:v>43632</c:v>
                </c:pt>
                <c:pt idx="24">
                  <c:v>43639</c:v>
                </c:pt>
                <c:pt idx="25">
                  <c:v>43646</c:v>
                </c:pt>
                <c:pt idx="26">
                  <c:v>43653</c:v>
                </c:pt>
                <c:pt idx="27">
                  <c:v>43660</c:v>
                </c:pt>
                <c:pt idx="28">
                  <c:v>43667</c:v>
                </c:pt>
                <c:pt idx="29">
                  <c:v>43674</c:v>
                </c:pt>
                <c:pt idx="30">
                  <c:v>43681</c:v>
                </c:pt>
                <c:pt idx="31">
                  <c:v>43688</c:v>
                </c:pt>
                <c:pt idx="32">
                  <c:v>43695</c:v>
                </c:pt>
                <c:pt idx="33">
                  <c:v>43702</c:v>
                </c:pt>
                <c:pt idx="34">
                  <c:v>43709</c:v>
                </c:pt>
                <c:pt idx="35">
                  <c:v>43716</c:v>
                </c:pt>
                <c:pt idx="36">
                  <c:v>43723</c:v>
                </c:pt>
                <c:pt idx="37">
                  <c:v>43730</c:v>
                </c:pt>
                <c:pt idx="38">
                  <c:v>43737</c:v>
                </c:pt>
                <c:pt idx="39">
                  <c:v>43744</c:v>
                </c:pt>
                <c:pt idx="40">
                  <c:v>43751</c:v>
                </c:pt>
                <c:pt idx="41">
                  <c:v>43758</c:v>
                </c:pt>
                <c:pt idx="42">
                  <c:v>43765</c:v>
                </c:pt>
                <c:pt idx="43">
                  <c:v>43772</c:v>
                </c:pt>
                <c:pt idx="44">
                  <c:v>43779</c:v>
                </c:pt>
                <c:pt idx="45">
                  <c:v>43786</c:v>
                </c:pt>
                <c:pt idx="46">
                  <c:v>43793</c:v>
                </c:pt>
                <c:pt idx="47">
                  <c:v>43800</c:v>
                </c:pt>
                <c:pt idx="48">
                  <c:v>43807</c:v>
                </c:pt>
                <c:pt idx="49">
                  <c:v>43814</c:v>
                </c:pt>
                <c:pt idx="50">
                  <c:v>43821</c:v>
                </c:pt>
                <c:pt idx="51">
                  <c:v>43828</c:v>
                </c:pt>
                <c:pt idx="52">
                  <c:v>43835</c:v>
                </c:pt>
                <c:pt idx="53">
                  <c:v>43842</c:v>
                </c:pt>
                <c:pt idx="54">
                  <c:v>43849</c:v>
                </c:pt>
                <c:pt idx="55">
                  <c:v>43856</c:v>
                </c:pt>
                <c:pt idx="56">
                  <c:v>43863</c:v>
                </c:pt>
                <c:pt idx="57">
                  <c:v>43870</c:v>
                </c:pt>
                <c:pt idx="58">
                  <c:v>43877</c:v>
                </c:pt>
                <c:pt idx="59">
                  <c:v>43884</c:v>
                </c:pt>
                <c:pt idx="60">
                  <c:v>43891</c:v>
                </c:pt>
                <c:pt idx="61">
                  <c:v>43898</c:v>
                </c:pt>
                <c:pt idx="62">
                  <c:v>43905</c:v>
                </c:pt>
                <c:pt idx="63">
                  <c:v>43912</c:v>
                </c:pt>
                <c:pt idx="64">
                  <c:v>43919</c:v>
                </c:pt>
                <c:pt idx="65">
                  <c:v>43926</c:v>
                </c:pt>
                <c:pt idx="66">
                  <c:v>43933</c:v>
                </c:pt>
                <c:pt idx="67">
                  <c:v>43940</c:v>
                </c:pt>
                <c:pt idx="68">
                  <c:v>43947</c:v>
                </c:pt>
                <c:pt idx="69">
                  <c:v>43954</c:v>
                </c:pt>
                <c:pt idx="70">
                  <c:v>43961</c:v>
                </c:pt>
                <c:pt idx="71">
                  <c:v>43968</c:v>
                </c:pt>
                <c:pt idx="72">
                  <c:v>43975</c:v>
                </c:pt>
                <c:pt idx="73">
                  <c:v>43982</c:v>
                </c:pt>
                <c:pt idx="74">
                  <c:v>43989</c:v>
                </c:pt>
                <c:pt idx="75">
                  <c:v>43996</c:v>
                </c:pt>
                <c:pt idx="76">
                  <c:v>44003</c:v>
                </c:pt>
                <c:pt idx="77">
                  <c:v>44010</c:v>
                </c:pt>
                <c:pt idx="78">
                  <c:v>44017</c:v>
                </c:pt>
                <c:pt idx="79">
                  <c:v>44024</c:v>
                </c:pt>
                <c:pt idx="80">
                  <c:v>44031</c:v>
                </c:pt>
                <c:pt idx="81">
                  <c:v>44038</c:v>
                </c:pt>
                <c:pt idx="82">
                  <c:v>44045</c:v>
                </c:pt>
                <c:pt idx="83">
                  <c:v>44052</c:v>
                </c:pt>
                <c:pt idx="84">
                  <c:v>44059</c:v>
                </c:pt>
                <c:pt idx="85">
                  <c:v>44066</c:v>
                </c:pt>
                <c:pt idx="86">
                  <c:v>44073</c:v>
                </c:pt>
                <c:pt idx="87">
                  <c:v>44080</c:v>
                </c:pt>
                <c:pt idx="88">
                  <c:v>44087</c:v>
                </c:pt>
                <c:pt idx="89">
                  <c:v>44094</c:v>
                </c:pt>
                <c:pt idx="90">
                  <c:v>44101</c:v>
                </c:pt>
                <c:pt idx="91">
                  <c:v>44108</c:v>
                </c:pt>
                <c:pt idx="92">
                  <c:v>44115</c:v>
                </c:pt>
                <c:pt idx="93">
                  <c:v>44122</c:v>
                </c:pt>
                <c:pt idx="94">
                  <c:v>44129</c:v>
                </c:pt>
                <c:pt idx="95">
                  <c:v>44136</c:v>
                </c:pt>
                <c:pt idx="96">
                  <c:v>44143</c:v>
                </c:pt>
                <c:pt idx="97">
                  <c:v>44150</c:v>
                </c:pt>
              </c:numCache>
            </c:numRef>
          </c:cat>
          <c:val>
            <c:numRef>
              <c:f>Sheet1!$B$2:$B$99</c:f>
              <c:numCache>
                <c:formatCode>0</c:formatCode>
                <c:ptCount val="98"/>
                <c:pt idx="0">
                  <c:v>100</c:v>
                </c:pt>
                <c:pt idx="1">
                  <c:v>102.86758645127992</c:v>
                </c:pt>
                <c:pt idx="2">
                  <c:v>102.63841063683913</c:v>
                </c:pt>
                <c:pt idx="3">
                  <c:v>104.24726337115703</c:v>
                </c:pt>
                <c:pt idx="4">
                  <c:v>104.29926124502173</c:v>
                </c:pt>
                <c:pt idx="5">
                  <c:v>106.90762866585017</c:v>
                </c:pt>
                <c:pt idx="6">
                  <c:v>107.56511289316168</c:v>
                </c:pt>
                <c:pt idx="7">
                  <c:v>107.98956961167224</c:v>
                </c:pt>
                <c:pt idx="8">
                  <c:v>105.65467249042852</c:v>
                </c:pt>
                <c:pt idx="9">
                  <c:v>108.71330298198178</c:v>
                </c:pt>
                <c:pt idx="10">
                  <c:v>107.87478911973373</c:v>
                </c:pt>
                <c:pt idx="11">
                  <c:v>109.17242494973539</c:v>
                </c:pt>
                <c:pt idx="12">
                  <c:v>111.41950343956307</c:v>
                </c:pt>
                <c:pt idx="13">
                  <c:v>111.98454700222625</c:v>
                </c:pt>
                <c:pt idx="14">
                  <c:v>111.89287667644992</c:v>
                </c:pt>
                <c:pt idx="15">
                  <c:v>113.23519216103161</c:v>
                </c:pt>
                <c:pt idx="16">
                  <c:v>113.45704975618774</c:v>
                </c:pt>
                <c:pt idx="17">
                  <c:v>110.98272129909948</c:v>
                </c:pt>
                <c:pt idx="18">
                  <c:v>110.1403557424911</c:v>
                </c:pt>
                <c:pt idx="19">
                  <c:v>108.8511936400823</c:v>
                </c:pt>
                <c:pt idx="20">
                  <c:v>106.00093981342387</c:v>
                </c:pt>
                <c:pt idx="21">
                  <c:v>110.67227473365529</c:v>
                </c:pt>
                <c:pt idx="22">
                  <c:v>111.19764584440695</c:v>
                </c:pt>
                <c:pt idx="23">
                  <c:v>113.64270142435656</c:v>
                </c:pt>
                <c:pt idx="24">
                  <c:v>113.30760401500622</c:v>
                </c:pt>
                <c:pt idx="25">
                  <c:v>115.18145332131607</c:v>
                </c:pt>
                <c:pt idx="26">
                  <c:v>116.08120912389361</c:v>
                </c:pt>
                <c:pt idx="27">
                  <c:v>114.64991949958791</c:v>
                </c:pt>
                <c:pt idx="28">
                  <c:v>116.54687897205977</c:v>
                </c:pt>
                <c:pt idx="29">
                  <c:v>112.93360449261634</c:v>
                </c:pt>
                <c:pt idx="30">
                  <c:v>112.41747744832952</c:v>
                </c:pt>
                <c:pt idx="31">
                  <c:v>111.26312464853294</c:v>
                </c:pt>
                <c:pt idx="32">
                  <c:v>109.66197530293573</c:v>
                </c:pt>
                <c:pt idx="33">
                  <c:v>112.7182947778728</c:v>
                </c:pt>
                <c:pt idx="34">
                  <c:v>114.73080508115521</c:v>
                </c:pt>
                <c:pt idx="35">
                  <c:v>115.83547102370326</c:v>
                </c:pt>
                <c:pt idx="36">
                  <c:v>115.24539144769783</c:v>
                </c:pt>
                <c:pt idx="37">
                  <c:v>114.07909839538405</c:v>
                </c:pt>
                <c:pt idx="38">
                  <c:v>113.70240268694197</c:v>
                </c:pt>
                <c:pt idx="39">
                  <c:v>114.40572207714168</c:v>
                </c:pt>
                <c:pt idx="40">
                  <c:v>115.01929698874537</c:v>
                </c:pt>
                <c:pt idx="41">
                  <c:v>116.41938788873223</c:v>
                </c:pt>
                <c:pt idx="42">
                  <c:v>118.12799950698306</c:v>
                </c:pt>
                <c:pt idx="43">
                  <c:v>119.13598792108642</c:v>
                </c:pt>
                <c:pt idx="44">
                  <c:v>120.19058183695</c:v>
                </c:pt>
                <c:pt idx="45">
                  <c:v>119.79886452050253</c:v>
                </c:pt>
                <c:pt idx="46">
                  <c:v>120.98094951969368</c:v>
                </c:pt>
                <c:pt idx="47">
                  <c:v>121.17083805165882</c:v>
                </c:pt>
                <c:pt idx="48">
                  <c:v>122.05249089074277</c:v>
                </c:pt>
                <c:pt idx="49">
                  <c:v>124.07154907443778</c:v>
                </c:pt>
                <c:pt idx="50">
                  <c:v>124.79566761418343</c:v>
                </c:pt>
                <c:pt idx="51">
                  <c:v>124.59653501575336</c:v>
                </c:pt>
                <c:pt idx="52">
                  <c:v>125.77130179565985</c:v>
                </c:pt>
                <c:pt idx="53">
                  <c:v>128.24678576105609</c:v>
                </c:pt>
                <c:pt idx="54">
                  <c:v>126.931432136997</c:v>
                </c:pt>
                <c:pt idx="55">
                  <c:v>124.23717193193282</c:v>
                </c:pt>
                <c:pt idx="56">
                  <c:v>128.1732183987736</c:v>
                </c:pt>
                <c:pt idx="57">
                  <c:v>130.1934320907767</c:v>
                </c:pt>
                <c:pt idx="58">
                  <c:v>128.55992851255263</c:v>
                </c:pt>
                <c:pt idx="59">
                  <c:v>113.78752513230566</c:v>
                </c:pt>
                <c:pt idx="60">
                  <c:v>114.48660765870902</c:v>
                </c:pt>
                <c:pt idx="61">
                  <c:v>104.42020444793663</c:v>
                </c:pt>
                <c:pt idx="62">
                  <c:v>88.778473650558794</c:v>
                </c:pt>
                <c:pt idx="63">
                  <c:v>97.889656659964672</c:v>
                </c:pt>
                <c:pt idx="64">
                  <c:v>95.855191698828278</c:v>
                </c:pt>
                <c:pt idx="65">
                  <c:v>107.4553396038917</c:v>
                </c:pt>
                <c:pt idx="66">
                  <c:v>110.7192654048516</c:v>
                </c:pt>
                <c:pt idx="67">
                  <c:v>109.26255459776753</c:v>
                </c:pt>
                <c:pt idx="68">
                  <c:v>109.03029742783849</c:v>
                </c:pt>
                <c:pt idx="69">
                  <c:v>112.84694136950843</c:v>
                </c:pt>
                <c:pt idx="70">
                  <c:v>110.30097139731764</c:v>
                </c:pt>
                <c:pt idx="71">
                  <c:v>113.83490097293794</c:v>
                </c:pt>
                <c:pt idx="72">
                  <c:v>117.25751658154419</c:v>
                </c:pt>
                <c:pt idx="73">
                  <c:v>123.02042168349851</c:v>
                </c:pt>
                <c:pt idx="74">
                  <c:v>117.14196575073369</c:v>
                </c:pt>
                <c:pt idx="75">
                  <c:v>119.31547687827866</c:v>
                </c:pt>
                <c:pt idx="76">
                  <c:v>115.89940915008505</c:v>
                </c:pt>
                <c:pt idx="77">
                  <c:v>120.55841864836334</c:v>
                </c:pt>
                <c:pt idx="78">
                  <c:v>122.6780060548634</c:v>
                </c:pt>
                <c:pt idx="79">
                  <c:v>124.20674354648598</c:v>
                </c:pt>
                <c:pt idx="80">
                  <c:v>123.85623935969423</c:v>
                </c:pt>
                <c:pt idx="81">
                  <c:v>125.99354456025196</c:v>
                </c:pt>
                <c:pt idx="82">
                  <c:v>129.08106275950777</c:v>
                </c:pt>
                <c:pt idx="83">
                  <c:v>129.91187323303512</c:v>
                </c:pt>
                <c:pt idx="84">
                  <c:v>130.84822013203606</c:v>
                </c:pt>
                <c:pt idx="85">
                  <c:v>135.11782333048299</c:v>
                </c:pt>
                <c:pt idx="86">
                  <c:v>131.99602505142008</c:v>
                </c:pt>
                <c:pt idx="87">
                  <c:v>128.68395307095577</c:v>
                </c:pt>
                <c:pt idx="88">
                  <c:v>127.85583878348068</c:v>
                </c:pt>
                <c:pt idx="89">
                  <c:v>127.04659779837142</c:v>
                </c:pt>
                <c:pt idx="90">
                  <c:v>128.97167463967384</c:v>
                </c:pt>
                <c:pt idx="91">
                  <c:v>133.92842011200727</c:v>
                </c:pt>
                <c:pt idx="92">
                  <c:v>134.18571329527842</c:v>
                </c:pt>
                <c:pt idx="93">
                  <c:v>133.47623119410213</c:v>
                </c:pt>
                <c:pt idx="94">
                  <c:v>125.94886490567195</c:v>
                </c:pt>
                <c:pt idx="95">
                  <c:v>135.17290255983599</c:v>
                </c:pt>
                <c:pt idx="96">
                  <c:v>138.08902036005631</c:v>
                </c:pt>
                <c:pt idx="97">
                  <c:v>139.02806344510944</c:v>
                </c:pt>
              </c:numCache>
            </c:numRef>
          </c:val>
          <c:smooth val="0"/>
          <c:extLst>
            <c:ext xmlns:c16="http://schemas.microsoft.com/office/drawing/2014/chart" uri="{C3380CC4-5D6E-409C-BE32-E72D297353CC}">
              <c16:uniqueId val="{00000000-FB14-428C-B9B3-221A021196FF}"/>
            </c:ext>
          </c:extLst>
        </c:ser>
        <c:ser>
          <c:idx val="2"/>
          <c:order val="1"/>
          <c:tx>
            <c:strRef>
              <c:f>Sheet1!$D$1</c:f>
              <c:strCache>
                <c:ptCount val="1"/>
                <c:pt idx="0">
                  <c:v>DAX (Գերմանիա)</c:v>
                </c:pt>
              </c:strCache>
            </c:strRef>
          </c:tx>
          <c:spPr>
            <a:ln w="28575" cap="rnd">
              <a:solidFill>
                <a:srgbClr val="C00000"/>
              </a:solidFill>
              <a:round/>
            </a:ln>
            <a:effectLst/>
          </c:spPr>
          <c:marker>
            <c:symbol val="none"/>
          </c:marker>
          <c:cat>
            <c:numRef>
              <c:f>Sheet1!$A$2:$A$99</c:f>
              <c:numCache>
                <c:formatCode>d\-mmm\-yy</c:formatCode>
                <c:ptCount val="98"/>
                <c:pt idx="0">
                  <c:v>43471</c:v>
                </c:pt>
                <c:pt idx="1">
                  <c:v>43478</c:v>
                </c:pt>
                <c:pt idx="2">
                  <c:v>43485</c:v>
                </c:pt>
                <c:pt idx="3">
                  <c:v>43492</c:v>
                </c:pt>
                <c:pt idx="4">
                  <c:v>43499</c:v>
                </c:pt>
                <c:pt idx="5">
                  <c:v>43506</c:v>
                </c:pt>
                <c:pt idx="6">
                  <c:v>43513</c:v>
                </c:pt>
                <c:pt idx="7">
                  <c:v>43520</c:v>
                </c:pt>
                <c:pt idx="8">
                  <c:v>43527</c:v>
                </c:pt>
                <c:pt idx="9">
                  <c:v>43534</c:v>
                </c:pt>
                <c:pt idx="10">
                  <c:v>43541</c:v>
                </c:pt>
                <c:pt idx="11">
                  <c:v>43548</c:v>
                </c:pt>
                <c:pt idx="12">
                  <c:v>43555</c:v>
                </c:pt>
                <c:pt idx="13">
                  <c:v>43562</c:v>
                </c:pt>
                <c:pt idx="14">
                  <c:v>43569</c:v>
                </c:pt>
                <c:pt idx="15">
                  <c:v>43576</c:v>
                </c:pt>
                <c:pt idx="16">
                  <c:v>43583</c:v>
                </c:pt>
                <c:pt idx="17">
                  <c:v>43590</c:v>
                </c:pt>
                <c:pt idx="18">
                  <c:v>43597</c:v>
                </c:pt>
                <c:pt idx="19">
                  <c:v>43604</c:v>
                </c:pt>
                <c:pt idx="20">
                  <c:v>43611</c:v>
                </c:pt>
                <c:pt idx="21">
                  <c:v>43618</c:v>
                </c:pt>
                <c:pt idx="22">
                  <c:v>43625</c:v>
                </c:pt>
                <c:pt idx="23">
                  <c:v>43632</c:v>
                </c:pt>
                <c:pt idx="24">
                  <c:v>43639</c:v>
                </c:pt>
                <c:pt idx="25">
                  <c:v>43646</c:v>
                </c:pt>
                <c:pt idx="26">
                  <c:v>43653</c:v>
                </c:pt>
                <c:pt idx="27">
                  <c:v>43660</c:v>
                </c:pt>
                <c:pt idx="28">
                  <c:v>43667</c:v>
                </c:pt>
                <c:pt idx="29">
                  <c:v>43674</c:v>
                </c:pt>
                <c:pt idx="30">
                  <c:v>43681</c:v>
                </c:pt>
                <c:pt idx="31">
                  <c:v>43688</c:v>
                </c:pt>
                <c:pt idx="32">
                  <c:v>43695</c:v>
                </c:pt>
                <c:pt idx="33">
                  <c:v>43702</c:v>
                </c:pt>
                <c:pt idx="34">
                  <c:v>43709</c:v>
                </c:pt>
                <c:pt idx="35">
                  <c:v>43716</c:v>
                </c:pt>
                <c:pt idx="36">
                  <c:v>43723</c:v>
                </c:pt>
                <c:pt idx="37">
                  <c:v>43730</c:v>
                </c:pt>
                <c:pt idx="38">
                  <c:v>43737</c:v>
                </c:pt>
                <c:pt idx="39">
                  <c:v>43744</c:v>
                </c:pt>
                <c:pt idx="40">
                  <c:v>43751</c:v>
                </c:pt>
                <c:pt idx="41">
                  <c:v>43758</c:v>
                </c:pt>
                <c:pt idx="42">
                  <c:v>43765</c:v>
                </c:pt>
                <c:pt idx="43">
                  <c:v>43772</c:v>
                </c:pt>
                <c:pt idx="44">
                  <c:v>43779</c:v>
                </c:pt>
                <c:pt idx="45">
                  <c:v>43786</c:v>
                </c:pt>
                <c:pt idx="46">
                  <c:v>43793</c:v>
                </c:pt>
                <c:pt idx="47">
                  <c:v>43800</c:v>
                </c:pt>
                <c:pt idx="48">
                  <c:v>43807</c:v>
                </c:pt>
                <c:pt idx="49">
                  <c:v>43814</c:v>
                </c:pt>
                <c:pt idx="50">
                  <c:v>43821</c:v>
                </c:pt>
                <c:pt idx="51">
                  <c:v>43828</c:v>
                </c:pt>
                <c:pt idx="52">
                  <c:v>43835</c:v>
                </c:pt>
                <c:pt idx="53">
                  <c:v>43842</c:v>
                </c:pt>
                <c:pt idx="54">
                  <c:v>43849</c:v>
                </c:pt>
                <c:pt idx="55">
                  <c:v>43856</c:v>
                </c:pt>
                <c:pt idx="56">
                  <c:v>43863</c:v>
                </c:pt>
                <c:pt idx="57">
                  <c:v>43870</c:v>
                </c:pt>
                <c:pt idx="58">
                  <c:v>43877</c:v>
                </c:pt>
                <c:pt idx="59">
                  <c:v>43884</c:v>
                </c:pt>
                <c:pt idx="60">
                  <c:v>43891</c:v>
                </c:pt>
                <c:pt idx="61">
                  <c:v>43898</c:v>
                </c:pt>
                <c:pt idx="62">
                  <c:v>43905</c:v>
                </c:pt>
                <c:pt idx="63">
                  <c:v>43912</c:v>
                </c:pt>
                <c:pt idx="64">
                  <c:v>43919</c:v>
                </c:pt>
                <c:pt idx="65">
                  <c:v>43926</c:v>
                </c:pt>
                <c:pt idx="66">
                  <c:v>43933</c:v>
                </c:pt>
                <c:pt idx="67">
                  <c:v>43940</c:v>
                </c:pt>
                <c:pt idx="68">
                  <c:v>43947</c:v>
                </c:pt>
                <c:pt idx="69">
                  <c:v>43954</c:v>
                </c:pt>
                <c:pt idx="70">
                  <c:v>43961</c:v>
                </c:pt>
                <c:pt idx="71">
                  <c:v>43968</c:v>
                </c:pt>
                <c:pt idx="72">
                  <c:v>43975</c:v>
                </c:pt>
                <c:pt idx="73">
                  <c:v>43982</c:v>
                </c:pt>
                <c:pt idx="74">
                  <c:v>43989</c:v>
                </c:pt>
                <c:pt idx="75">
                  <c:v>43996</c:v>
                </c:pt>
                <c:pt idx="76">
                  <c:v>44003</c:v>
                </c:pt>
                <c:pt idx="77">
                  <c:v>44010</c:v>
                </c:pt>
                <c:pt idx="78">
                  <c:v>44017</c:v>
                </c:pt>
                <c:pt idx="79">
                  <c:v>44024</c:v>
                </c:pt>
                <c:pt idx="80">
                  <c:v>44031</c:v>
                </c:pt>
                <c:pt idx="81">
                  <c:v>44038</c:v>
                </c:pt>
                <c:pt idx="82">
                  <c:v>44045</c:v>
                </c:pt>
                <c:pt idx="83">
                  <c:v>44052</c:v>
                </c:pt>
                <c:pt idx="84">
                  <c:v>44059</c:v>
                </c:pt>
                <c:pt idx="85">
                  <c:v>44066</c:v>
                </c:pt>
                <c:pt idx="86">
                  <c:v>44073</c:v>
                </c:pt>
                <c:pt idx="87">
                  <c:v>44080</c:v>
                </c:pt>
                <c:pt idx="88">
                  <c:v>44087</c:v>
                </c:pt>
                <c:pt idx="89">
                  <c:v>44094</c:v>
                </c:pt>
                <c:pt idx="90">
                  <c:v>44101</c:v>
                </c:pt>
                <c:pt idx="91">
                  <c:v>44108</c:v>
                </c:pt>
                <c:pt idx="92">
                  <c:v>44115</c:v>
                </c:pt>
                <c:pt idx="93">
                  <c:v>44122</c:v>
                </c:pt>
                <c:pt idx="94">
                  <c:v>44129</c:v>
                </c:pt>
                <c:pt idx="95">
                  <c:v>44136</c:v>
                </c:pt>
                <c:pt idx="96">
                  <c:v>44143</c:v>
                </c:pt>
                <c:pt idx="97">
                  <c:v>44150</c:v>
                </c:pt>
              </c:numCache>
            </c:numRef>
          </c:cat>
          <c:val>
            <c:numRef>
              <c:f>Sheet1!$D$2:$D$99</c:f>
              <c:numCache>
                <c:formatCode>0</c:formatCode>
                <c:ptCount val="98"/>
                <c:pt idx="0">
                  <c:v>100</c:v>
                </c:pt>
                <c:pt idx="1">
                  <c:v>102.92152623293222</c:v>
                </c:pt>
                <c:pt idx="2">
                  <c:v>103.62187323765134</c:v>
                </c:pt>
                <c:pt idx="3">
                  <c:v>102.69300644962185</c:v>
                </c:pt>
                <c:pt idx="4">
                  <c:v>100.17745185745798</c:v>
                </c:pt>
                <c:pt idx="5">
                  <c:v>103.78729290394639</c:v>
                </c:pt>
                <c:pt idx="6">
                  <c:v>105.23758525863705</c:v>
                </c:pt>
                <c:pt idx="7">
                  <c:v>106.56002410112187</c:v>
                </c:pt>
                <c:pt idx="8">
                  <c:v>105.23887114166205</c:v>
                </c:pt>
                <c:pt idx="9">
                  <c:v>107.3316457649443</c:v>
                </c:pt>
                <c:pt idx="10">
                  <c:v>104.37852354911067</c:v>
                </c:pt>
                <c:pt idx="11">
                  <c:v>105.86527987244038</c:v>
                </c:pt>
                <c:pt idx="12">
                  <c:v>110.3080975728039</c:v>
                </c:pt>
                <c:pt idx="13">
                  <c:v>110.21790206347488</c:v>
                </c:pt>
                <c:pt idx="14">
                  <c:v>112.26117019029233</c:v>
                </c:pt>
                <c:pt idx="15">
                  <c:v>113.11343508954342</c:v>
                </c:pt>
                <c:pt idx="16">
                  <c:v>114.00960370922149</c:v>
                </c:pt>
                <c:pt idx="17">
                  <c:v>110.76807630062473</c:v>
                </c:pt>
                <c:pt idx="18">
                  <c:v>112.41317993361173</c:v>
                </c:pt>
                <c:pt idx="19">
                  <c:v>110.31994606639202</c:v>
                </c:pt>
                <c:pt idx="20">
                  <c:v>107.70960352552389</c:v>
                </c:pt>
                <c:pt idx="21">
                  <c:v>110.63535480268122</c:v>
                </c:pt>
                <c:pt idx="22">
                  <c:v>111.10396731652743</c:v>
                </c:pt>
                <c:pt idx="23">
                  <c:v>113.34066898982873</c:v>
                </c:pt>
                <c:pt idx="24">
                  <c:v>113.88147465065315</c:v>
                </c:pt>
                <c:pt idx="25">
                  <c:v>115.44042412096125</c:v>
                </c:pt>
                <c:pt idx="26">
                  <c:v>113.18820000257176</c:v>
                </c:pt>
                <c:pt idx="27">
                  <c:v>112.60725642160806</c:v>
                </c:pt>
                <c:pt idx="28">
                  <c:v>114.0752755922869</c:v>
                </c:pt>
                <c:pt idx="29">
                  <c:v>109.0469218715844</c:v>
                </c:pt>
                <c:pt idx="30">
                  <c:v>107.40613513161017</c:v>
                </c:pt>
                <c:pt idx="31">
                  <c:v>106.20236492258067</c:v>
                </c:pt>
                <c:pt idx="32">
                  <c:v>106.65031145923847</c:v>
                </c:pt>
                <c:pt idx="33">
                  <c:v>109.6608391672622</c:v>
                </c:pt>
                <c:pt idx="34">
                  <c:v>111.97956180780457</c:v>
                </c:pt>
                <c:pt idx="35">
                  <c:v>114.52193624591966</c:v>
                </c:pt>
                <c:pt idx="36">
                  <c:v>114.51716010896942</c:v>
                </c:pt>
                <c:pt idx="37">
                  <c:v>113.71743271617071</c:v>
                </c:pt>
                <c:pt idx="38">
                  <c:v>110.33620330178022</c:v>
                </c:pt>
                <c:pt idx="39">
                  <c:v>114.91798821763754</c:v>
                </c:pt>
                <c:pt idx="40">
                  <c:v>116.03808418125074</c:v>
                </c:pt>
                <c:pt idx="41">
                  <c:v>118.43451089602168</c:v>
                </c:pt>
                <c:pt idx="42">
                  <c:v>119.04567272807431</c:v>
                </c:pt>
                <c:pt idx="43">
                  <c:v>121.50271964259801</c:v>
                </c:pt>
                <c:pt idx="44">
                  <c:v>121.62386819331597</c:v>
                </c:pt>
                <c:pt idx="45">
                  <c:v>120.90864168502112</c:v>
                </c:pt>
                <c:pt idx="46">
                  <c:v>121.57454539442624</c:v>
                </c:pt>
                <c:pt idx="47">
                  <c:v>120.93344085764726</c:v>
                </c:pt>
                <c:pt idx="48">
                  <c:v>122.00017267572051</c:v>
                </c:pt>
                <c:pt idx="49">
                  <c:v>122.33248158891055</c:v>
                </c:pt>
                <c:pt idx="50">
                  <c:v>122.4997382309556</c:v>
                </c:pt>
                <c:pt idx="51">
                  <c:v>121.41619808476909</c:v>
                </c:pt>
                <c:pt idx="52">
                  <c:v>123.84256750426638</c:v>
                </c:pt>
                <c:pt idx="53">
                  <c:v>124.23586401235916</c:v>
                </c:pt>
                <c:pt idx="54">
                  <c:v>124.70015963319274</c:v>
                </c:pt>
                <c:pt idx="55">
                  <c:v>119.23782039153303</c:v>
                </c:pt>
                <c:pt idx="56">
                  <c:v>124.122706306154</c:v>
                </c:pt>
                <c:pt idx="57">
                  <c:v>126.2389023702498</c:v>
                </c:pt>
                <c:pt idx="58">
                  <c:v>124.7244995618813</c:v>
                </c:pt>
                <c:pt idx="59">
                  <c:v>109.21142305000436</c:v>
                </c:pt>
                <c:pt idx="60">
                  <c:v>106.01067650305947</c:v>
                </c:pt>
                <c:pt idx="61">
                  <c:v>84.795535414137007</c:v>
                </c:pt>
                <c:pt idx="62">
                  <c:v>82.011323118523492</c:v>
                </c:pt>
                <c:pt idx="63">
                  <c:v>88.473528260953429</c:v>
                </c:pt>
                <c:pt idx="64">
                  <c:v>87.493042454346565</c:v>
                </c:pt>
                <c:pt idx="65">
                  <c:v>97.035855929665871</c:v>
                </c:pt>
                <c:pt idx="66">
                  <c:v>97.596500928591254</c:v>
                </c:pt>
                <c:pt idx="67">
                  <c:v>94.935733403383352</c:v>
                </c:pt>
                <c:pt idx="68">
                  <c:v>99.762846430664254</c:v>
                </c:pt>
                <c:pt idx="69">
                  <c:v>100.1563266363321</c:v>
                </c:pt>
                <c:pt idx="70">
                  <c:v>96.121317552486943</c:v>
                </c:pt>
                <c:pt idx="71">
                  <c:v>101.71215324786505</c:v>
                </c:pt>
                <c:pt idx="72">
                  <c:v>106.42381234925321</c:v>
                </c:pt>
                <c:pt idx="73">
                  <c:v>118.00438302413974</c:v>
                </c:pt>
                <c:pt idx="74">
                  <c:v>109.75268795476633</c:v>
                </c:pt>
                <c:pt idx="75">
                  <c:v>113.25653550047487</c:v>
                </c:pt>
                <c:pt idx="76">
                  <c:v>111.03958131648702</c:v>
                </c:pt>
                <c:pt idx="77">
                  <c:v>115.06981426338194</c:v>
                </c:pt>
                <c:pt idx="78">
                  <c:v>116.03909451791328</c:v>
                </c:pt>
                <c:pt idx="79">
                  <c:v>118.66505135265706</c:v>
                </c:pt>
                <c:pt idx="80">
                  <c:v>117.91602449056074</c:v>
                </c:pt>
                <c:pt idx="81">
                  <c:v>113.09671861021766</c:v>
                </c:pt>
                <c:pt idx="82">
                  <c:v>116.41723597606793</c:v>
                </c:pt>
                <c:pt idx="83">
                  <c:v>118.49724361788709</c:v>
                </c:pt>
                <c:pt idx="84">
                  <c:v>117.24314027330531</c:v>
                </c:pt>
                <c:pt idx="85">
                  <c:v>119.70836172991686</c:v>
                </c:pt>
                <c:pt idx="86">
                  <c:v>117.95827493281266</c:v>
                </c:pt>
                <c:pt idx="87">
                  <c:v>121.26648456113739</c:v>
                </c:pt>
                <c:pt idx="88">
                  <c:v>120.47116591013886</c:v>
                </c:pt>
                <c:pt idx="89">
                  <c:v>114.52809011468239</c:v>
                </c:pt>
                <c:pt idx="90">
                  <c:v>116.54729385917385</c:v>
                </c:pt>
                <c:pt idx="91">
                  <c:v>119.87396509378677</c:v>
                </c:pt>
                <c:pt idx="92">
                  <c:v>118.56750794032773</c:v>
                </c:pt>
                <c:pt idx="93">
                  <c:v>116.1496804580683</c:v>
                </c:pt>
                <c:pt idx="94">
                  <c:v>106.14486758160309</c:v>
                </c:pt>
                <c:pt idx="95">
                  <c:v>114.62747050276188</c:v>
                </c:pt>
                <c:pt idx="96">
                  <c:v>120.10808765313487</c:v>
                </c:pt>
                <c:pt idx="97">
                  <c:v>120.83534635259278</c:v>
                </c:pt>
              </c:numCache>
            </c:numRef>
          </c:val>
          <c:smooth val="0"/>
          <c:extLst>
            <c:ext xmlns:c16="http://schemas.microsoft.com/office/drawing/2014/chart" uri="{C3380CC4-5D6E-409C-BE32-E72D297353CC}">
              <c16:uniqueId val="{00000001-FB14-428C-B9B3-221A021196FF}"/>
            </c:ext>
          </c:extLst>
        </c:ser>
        <c:ser>
          <c:idx val="4"/>
          <c:order val="2"/>
          <c:tx>
            <c:strRef>
              <c:f>Sheet1!$F$1</c:f>
              <c:strCache>
                <c:ptCount val="1"/>
                <c:pt idx="0">
                  <c:v>MOEX (ՌԴ)</c:v>
                </c:pt>
              </c:strCache>
            </c:strRef>
          </c:tx>
          <c:spPr>
            <a:ln w="28575" cap="rnd">
              <a:solidFill>
                <a:schemeClr val="accent2">
                  <a:lumMod val="75000"/>
                </a:schemeClr>
              </a:solidFill>
              <a:round/>
            </a:ln>
            <a:effectLst/>
          </c:spPr>
          <c:marker>
            <c:symbol val="none"/>
          </c:marker>
          <c:cat>
            <c:numRef>
              <c:f>Sheet1!$A$2:$A$99</c:f>
              <c:numCache>
                <c:formatCode>d\-mmm\-yy</c:formatCode>
                <c:ptCount val="98"/>
                <c:pt idx="0">
                  <c:v>43471</c:v>
                </c:pt>
                <c:pt idx="1">
                  <c:v>43478</c:v>
                </c:pt>
                <c:pt idx="2">
                  <c:v>43485</c:v>
                </c:pt>
                <c:pt idx="3">
                  <c:v>43492</c:v>
                </c:pt>
                <c:pt idx="4">
                  <c:v>43499</c:v>
                </c:pt>
                <c:pt idx="5">
                  <c:v>43506</c:v>
                </c:pt>
                <c:pt idx="6">
                  <c:v>43513</c:v>
                </c:pt>
                <c:pt idx="7">
                  <c:v>43520</c:v>
                </c:pt>
                <c:pt idx="8">
                  <c:v>43527</c:v>
                </c:pt>
                <c:pt idx="9">
                  <c:v>43534</c:v>
                </c:pt>
                <c:pt idx="10">
                  <c:v>43541</c:v>
                </c:pt>
                <c:pt idx="11">
                  <c:v>43548</c:v>
                </c:pt>
                <c:pt idx="12">
                  <c:v>43555</c:v>
                </c:pt>
                <c:pt idx="13">
                  <c:v>43562</c:v>
                </c:pt>
                <c:pt idx="14">
                  <c:v>43569</c:v>
                </c:pt>
                <c:pt idx="15">
                  <c:v>43576</c:v>
                </c:pt>
                <c:pt idx="16">
                  <c:v>43583</c:v>
                </c:pt>
                <c:pt idx="17">
                  <c:v>43590</c:v>
                </c:pt>
                <c:pt idx="18">
                  <c:v>43597</c:v>
                </c:pt>
                <c:pt idx="19">
                  <c:v>43604</c:v>
                </c:pt>
                <c:pt idx="20">
                  <c:v>43611</c:v>
                </c:pt>
                <c:pt idx="21">
                  <c:v>43618</c:v>
                </c:pt>
                <c:pt idx="22">
                  <c:v>43625</c:v>
                </c:pt>
                <c:pt idx="23">
                  <c:v>43632</c:v>
                </c:pt>
                <c:pt idx="24">
                  <c:v>43639</c:v>
                </c:pt>
                <c:pt idx="25">
                  <c:v>43646</c:v>
                </c:pt>
                <c:pt idx="26">
                  <c:v>43653</c:v>
                </c:pt>
                <c:pt idx="27">
                  <c:v>43660</c:v>
                </c:pt>
                <c:pt idx="28">
                  <c:v>43667</c:v>
                </c:pt>
                <c:pt idx="29">
                  <c:v>43674</c:v>
                </c:pt>
                <c:pt idx="30">
                  <c:v>43681</c:v>
                </c:pt>
                <c:pt idx="31">
                  <c:v>43688</c:v>
                </c:pt>
                <c:pt idx="32">
                  <c:v>43695</c:v>
                </c:pt>
                <c:pt idx="33">
                  <c:v>43702</c:v>
                </c:pt>
                <c:pt idx="34">
                  <c:v>43709</c:v>
                </c:pt>
                <c:pt idx="35">
                  <c:v>43716</c:v>
                </c:pt>
                <c:pt idx="36">
                  <c:v>43723</c:v>
                </c:pt>
                <c:pt idx="37">
                  <c:v>43730</c:v>
                </c:pt>
                <c:pt idx="38">
                  <c:v>43737</c:v>
                </c:pt>
                <c:pt idx="39">
                  <c:v>43744</c:v>
                </c:pt>
                <c:pt idx="40">
                  <c:v>43751</c:v>
                </c:pt>
                <c:pt idx="41">
                  <c:v>43758</c:v>
                </c:pt>
                <c:pt idx="42">
                  <c:v>43765</c:v>
                </c:pt>
                <c:pt idx="43">
                  <c:v>43772</c:v>
                </c:pt>
                <c:pt idx="44">
                  <c:v>43779</c:v>
                </c:pt>
                <c:pt idx="45">
                  <c:v>43786</c:v>
                </c:pt>
                <c:pt idx="46">
                  <c:v>43793</c:v>
                </c:pt>
                <c:pt idx="47">
                  <c:v>43800</c:v>
                </c:pt>
                <c:pt idx="48">
                  <c:v>43807</c:v>
                </c:pt>
                <c:pt idx="49">
                  <c:v>43814</c:v>
                </c:pt>
                <c:pt idx="50">
                  <c:v>43821</c:v>
                </c:pt>
                <c:pt idx="51">
                  <c:v>43828</c:v>
                </c:pt>
                <c:pt idx="52">
                  <c:v>43835</c:v>
                </c:pt>
                <c:pt idx="53">
                  <c:v>43842</c:v>
                </c:pt>
                <c:pt idx="54">
                  <c:v>43849</c:v>
                </c:pt>
                <c:pt idx="55">
                  <c:v>43856</c:v>
                </c:pt>
                <c:pt idx="56">
                  <c:v>43863</c:v>
                </c:pt>
                <c:pt idx="57">
                  <c:v>43870</c:v>
                </c:pt>
                <c:pt idx="58">
                  <c:v>43877</c:v>
                </c:pt>
                <c:pt idx="59">
                  <c:v>43884</c:v>
                </c:pt>
                <c:pt idx="60">
                  <c:v>43891</c:v>
                </c:pt>
                <c:pt idx="61">
                  <c:v>43898</c:v>
                </c:pt>
                <c:pt idx="62">
                  <c:v>43905</c:v>
                </c:pt>
                <c:pt idx="63">
                  <c:v>43912</c:v>
                </c:pt>
                <c:pt idx="64">
                  <c:v>43919</c:v>
                </c:pt>
                <c:pt idx="65">
                  <c:v>43926</c:v>
                </c:pt>
                <c:pt idx="66">
                  <c:v>43933</c:v>
                </c:pt>
                <c:pt idx="67">
                  <c:v>43940</c:v>
                </c:pt>
                <c:pt idx="68">
                  <c:v>43947</c:v>
                </c:pt>
                <c:pt idx="69">
                  <c:v>43954</c:v>
                </c:pt>
                <c:pt idx="70">
                  <c:v>43961</c:v>
                </c:pt>
                <c:pt idx="71">
                  <c:v>43968</c:v>
                </c:pt>
                <c:pt idx="72">
                  <c:v>43975</c:v>
                </c:pt>
                <c:pt idx="73">
                  <c:v>43982</c:v>
                </c:pt>
                <c:pt idx="74">
                  <c:v>43989</c:v>
                </c:pt>
                <c:pt idx="75">
                  <c:v>43996</c:v>
                </c:pt>
                <c:pt idx="76">
                  <c:v>44003</c:v>
                </c:pt>
                <c:pt idx="77">
                  <c:v>44010</c:v>
                </c:pt>
                <c:pt idx="78">
                  <c:v>44017</c:v>
                </c:pt>
                <c:pt idx="79">
                  <c:v>44024</c:v>
                </c:pt>
                <c:pt idx="80">
                  <c:v>44031</c:v>
                </c:pt>
                <c:pt idx="81">
                  <c:v>44038</c:v>
                </c:pt>
                <c:pt idx="82">
                  <c:v>44045</c:v>
                </c:pt>
                <c:pt idx="83">
                  <c:v>44052</c:v>
                </c:pt>
                <c:pt idx="84">
                  <c:v>44059</c:v>
                </c:pt>
                <c:pt idx="85">
                  <c:v>44066</c:v>
                </c:pt>
                <c:pt idx="86">
                  <c:v>44073</c:v>
                </c:pt>
                <c:pt idx="87">
                  <c:v>44080</c:v>
                </c:pt>
                <c:pt idx="88">
                  <c:v>44087</c:v>
                </c:pt>
                <c:pt idx="89">
                  <c:v>44094</c:v>
                </c:pt>
                <c:pt idx="90">
                  <c:v>44101</c:v>
                </c:pt>
                <c:pt idx="91">
                  <c:v>44108</c:v>
                </c:pt>
                <c:pt idx="92">
                  <c:v>44115</c:v>
                </c:pt>
                <c:pt idx="93">
                  <c:v>44122</c:v>
                </c:pt>
                <c:pt idx="94">
                  <c:v>44129</c:v>
                </c:pt>
                <c:pt idx="95">
                  <c:v>44136</c:v>
                </c:pt>
                <c:pt idx="96">
                  <c:v>44143</c:v>
                </c:pt>
                <c:pt idx="97">
                  <c:v>44150</c:v>
                </c:pt>
              </c:numCache>
            </c:numRef>
          </c:cat>
          <c:val>
            <c:numRef>
              <c:f>Sheet1!$F$2:$F$99</c:f>
              <c:numCache>
                <c:formatCode>0</c:formatCode>
                <c:ptCount val="98"/>
                <c:pt idx="0">
                  <c:v>100</c:v>
                </c:pt>
                <c:pt idx="1">
                  <c:v>101.19290637975821</c:v>
                </c:pt>
                <c:pt idx="2">
                  <c:v>102.20008590889566</c:v>
                </c:pt>
                <c:pt idx="3">
                  <c:v>103.16022009040887</c:v>
                </c:pt>
                <c:pt idx="4">
                  <c:v>102.38785820941317</c:v>
                </c:pt>
                <c:pt idx="5">
                  <c:v>101.86995029556752</c:v>
                </c:pt>
                <c:pt idx="6">
                  <c:v>101.80735952872836</c:v>
                </c:pt>
                <c:pt idx="7">
                  <c:v>101.37290597066824</c:v>
                </c:pt>
                <c:pt idx="8">
                  <c:v>101.31686064349854</c:v>
                </c:pt>
                <c:pt idx="9">
                  <c:v>101.32054245331263</c:v>
                </c:pt>
                <c:pt idx="10">
                  <c:v>101.97385915032011</c:v>
                </c:pt>
                <c:pt idx="11">
                  <c:v>102.15385874123014</c:v>
                </c:pt>
                <c:pt idx="12">
                  <c:v>103.94935466055762</c:v>
                </c:pt>
                <c:pt idx="13">
                  <c:v>104.71558019186321</c:v>
                </c:pt>
                <c:pt idx="14">
                  <c:v>104.88657980322775</c:v>
                </c:pt>
                <c:pt idx="15">
                  <c:v>104.87921618359957</c:v>
                </c:pt>
                <c:pt idx="16">
                  <c:v>105.58407821800402</c:v>
                </c:pt>
                <c:pt idx="17">
                  <c:v>102.88081163451901</c:v>
                </c:pt>
                <c:pt idx="18">
                  <c:v>105.44212399517282</c:v>
                </c:pt>
                <c:pt idx="19">
                  <c:v>107.15048374890058</c:v>
                </c:pt>
                <c:pt idx="20">
                  <c:v>109.03597946368305</c:v>
                </c:pt>
                <c:pt idx="21">
                  <c:v>111.66560985088668</c:v>
                </c:pt>
                <c:pt idx="22">
                  <c:v>112.06119986090947</c:v>
                </c:pt>
                <c:pt idx="23">
                  <c:v>112.95915236556283</c:v>
                </c:pt>
                <c:pt idx="24">
                  <c:v>113.14815193601835</c:v>
                </c:pt>
                <c:pt idx="25">
                  <c:v>115.991327292438</c:v>
                </c:pt>
                <c:pt idx="26">
                  <c:v>113.6280144817853</c:v>
                </c:pt>
                <c:pt idx="27">
                  <c:v>110.47761255088058</c:v>
                </c:pt>
                <c:pt idx="28">
                  <c:v>111.09574750966473</c:v>
                </c:pt>
                <c:pt idx="29">
                  <c:v>109.42747857391237</c:v>
                </c:pt>
                <c:pt idx="30">
                  <c:v>109.62425085397535</c:v>
                </c:pt>
                <c:pt idx="31">
                  <c:v>106.98521139724684</c:v>
                </c:pt>
                <c:pt idx="32">
                  <c:v>108.84820716316555</c:v>
                </c:pt>
                <c:pt idx="33">
                  <c:v>112.09229069933937</c:v>
                </c:pt>
                <c:pt idx="34">
                  <c:v>114.44496717052918</c:v>
                </c:pt>
                <c:pt idx="35">
                  <c:v>114.20728589253208</c:v>
                </c:pt>
                <c:pt idx="36">
                  <c:v>114.39833091288422</c:v>
                </c:pt>
                <c:pt idx="37">
                  <c:v>112.82619812227701</c:v>
                </c:pt>
                <c:pt idx="38">
                  <c:v>110.14952238744911</c:v>
                </c:pt>
                <c:pt idx="39">
                  <c:v>110.78443003538628</c:v>
                </c:pt>
                <c:pt idx="40">
                  <c:v>112.61878950275106</c:v>
                </c:pt>
                <c:pt idx="41">
                  <c:v>117.54832375380963</c:v>
                </c:pt>
                <c:pt idx="42">
                  <c:v>119.8797275460737</c:v>
                </c:pt>
                <c:pt idx="43">
                  <c:v>121.63022356767371</c:v>
                </c:pt>
                <c:pt idx="44">
                  <c:v>120.06054531694244</c:v>
                </c:pt>
                <c:pt idx="45">
                  <c:v>120.58663503037491</c:v>
                </c:pt>
                <c:pt idx="46">
                  <c:v>120.08304526580619</c:v>
                </c:pt>
                <c:pt idx="47">
                  <c:v>119.81263678946181</c:v>
                </c:pt>
                <c:pt idx="48">
                  <c:v>122.58913047924889</c:v>
                </c:pt>
                <c:pt idx="49">
                  <c:v>123.3786741393769</c:v>
                </c:pt>
                <c:pt idx="50">
                  <c:v>124.79167092802059</c:v>
                </c:pt>
                <c:pt idx="51">
                  <c:v>125.8512139745137</c:v>
                </c:pt>
                <c:pt idx="52">
                  <c:v>127.78580048681708</c:v>
                </c:pt>
                <c:pt idx="53">
                  <c:v>130.78115731555161</c:v>
                </c:pt>
                <c:pt idx="54">
                  <c:v>128.70788930025157</c:v>
                </c:pt>
                <c:pt idx="55">
                  <c:v>125.86266849393523</c:v>
                </c:pt>
                <c:pt idx="56">
                  <c:v>126.3118492912516</c:v>
                </c:pt>
                <c:pt idx="57">
                  <c:v>126.69025752214198</c:v>
                </c:pt>
                <c:pt idx="58">
                  <c:v>127.06457485323897</c:v>
                </c:pt>
                <c:pt idx="59">
                  <c:v>113.93483196629096</c:v>
                </c:pt>
                <c:pt idx="60">
                  <c:v>111.25242897175231</c:v>
                </c:pt>
                <c:pt idx="61">
                  <c:v>94.760784634580332</c:v>
                </c:pt>
                <c:pt idx="62">
                  <c:v>95.383828673116639</c:v>
                </c:pt>
                <c:pt idx="63">
                  <c:v>98.227004029536275</c:v>
                </c:pt>
                <c:pt idx="64">
                  <c:v>105.22735175601871</c:v>
                </c:pt>
                <c:pt idx="65">
                  <c:v>109.54856920779726</c:v>
                </c:pt>
                <c:pt idx="66">
                  <c:v>103.70308249299427</c:v>
                </c:pt>
                <c:pt idx="67">
                  <c:v>104.81007997709095</c:v>
                </c:pt>
                <c:pt idx="68">
                  <c:v>108.43175356419644</c:v>
                </c:pt>
                <c:pt idx="69">
                  <c:v>108.06316349281028</c:v>
                </c:pt>
                <c:pt idx="70">
                  <c:v>106.11425883122988</c:v>
                </c:pt>
                <c:pt idx="71">
                  <c:v>110.83802082267987</c:v>
                </c:pt>
                <c:pt idx="72">
                  <c:v>111.87915482010264</c:v>
                </c:pt>
                <c:pt idx="73">
                  <c:v>114.24819489046611</c:v>
                </c:pt>
                <c:pt idx="74">
                  <c:v>112.24610853157148</c:v>
                </c:pt>
                <c:pt idx="75">
                  <c:v>112.85442533085147</c:v>
                </c:pt>
                <c:pt idx="76">
                  <c:v>112.98001595450917</c:v>
                </c:pt>
                <c:pt idx="77">
                  <c:v>114.61310315203828</c:v>
                </c:pt>
                <c:pt idx="78">
                  <c:v>114.58364867352572</c:v>
                </c:pt>
                <c:pt idx="79">
                  <c:v>113.51387837754908</c:v>
                </c:pt>
                <c:pt idx="80">
                  <c:v>117.12737016506776</c:v>
                </c:pt>
                <c:pt idx="81">
                  <c:v>119.10941111497469</c:v>
                </c:pt>
                <c:pt idx="82">
                  <c:v>121.59586000940907</c:v>
                </c:pt>
                <c:pt idx="83">
                  <c:v>125.26294258422138</c:v>
                </c:pt>
                <c:pt idx="84">
                  <c:v>122.54740330135617</c:v>
                </c:pt>
                <c:pt idx="85">
                  <c:v>121.91576837325368</c:v>
                </c:pt>
                <c:pt idx="86">
                  <c:v>119.51768291435707</c:v>
                </c:pt>
                <c:pt idx="87">
                  <c:v>119.06604757716458</c:v>
                </c:pt>
                <c:pt idx="88">
                  <c:v>120.75477101188403</c:v>
                </c:pt>
                <c:pt idx="89">
                  <c:v>118.50641248542618</c:v>
                </c:pt>
                <c:pt idx="90">
                  <c:v>116.68964388717299</c:v>
                </c:pt>
                <c:pt idx="91">
                  <c:v>115.93978195504101</c:v>
                </c:pt>
                <c:pt idx="92">
                  <c:v>114.52637607641796</c:v>
                </c:pt>
                <c:pt idx="93">
                  <c:v>115.22837448096709</c:v>
                </c:pt>
                <c:pt idx="94">
                  <c:v>110.06934075149826</c:v>
                </c:pt>
                <c:pt idx="95">
                  <c:v>118.45691259792588</c:v>
                </c:pt>
                <c:pt idx="96">
                  <c:v>123.75871873018463</c:v>
                </c:pt>
                <c:pt idx="97">
                  <c:v>125.31326065168032</c:v>
                </c:pt>
              </c:numCache>
            </c:numRef>
          </c:val>
          <c:smooth val="0"/>
          <c:extLst>
            <c:ext xmlns:c16="http://schemas.microsoft.com/office/drawing/2014/chart" uri="{C3380CC4-5D6E-409C-BE32-E72D297353CC}">
              <c16:uniqueId val="{00000002-FB14-428C-B9B3-221A021196FF}"/>
            </c:ext>
          </c:extLst>
        </c:ser>
        <c:dLbls>
          <c:showLegendKey val="0"/>
          <c:showVal val="0"/>
          <c:showCatName val="0"/>
          <c:showSerName val="0"/>
          <c:showPercent val="0"/>
          <c:showBubbleSize val="0"/>
        </c:dLbls>
        <c:smooth val="0"/>
        <c:axId val="122182272"/>
        <c:axId val="122200448"/>
      </c:lineChart>
      <c:dateAx>
        <c:axId val="122182272"/>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22200448"/>
        <c:crosses val="autoZero"/>
        <c:auto val="1"/>
        <c:lblOffset val="100"/>
        <c:baseTimeUnit val="days"/>
      </c:dateAx>
      <c:valAx>
        <c:axId val="122200448"/>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r>
                  <a:rPr lang="hy-AM" sz="500" b="0" i="0" u="none" strike="noStrike" baseline="0">
                    <a:effectLst/>
                  </a:rPr>
                  <a:t>Ինդեքս՝ 201</a:t>
                </a:r>
                <a:r>
                  <a:rPr lang="en-GB" sz="500" b="0" i="0" u="none" strike="noStrike" baseline="0">
                    <a:effectLst/>
                  </a:rPr>
                  <a:t>9 </a:t>
                </a:r>
                <a:r>
                  <a:rPr lang="hy-AM" sz="500" b="0" i="0" u="none" strike="noStrike" baseline="0">
                    <a:effectLst/>
                  </a:rPr>
                  <a:t>թ. հունվար</a:t>
                </a:r>
                <a:r>
                  <a:rPr lang="en-GB" sz="500" b="0" i="0" u="none" strike="noStrike" baseline="0">
                    <a:effectLst/>
                  </a:rPr>
                  <a:t>  </a:t>
                </a:r>
                <a:r>
                  <a:rPr lang="hy-AM" sz="500" b="0" i="0" u="none" strike="noStrike" baseline="0">
                    <a:effectLst/>
                  </a:rPr>
                  <a:t> =100</a:t>
                </a:r>
                <a:endParaRPr lang="en-US" sz="500"/>
              </a:p>
            </c:rich>
          </c:tx>
          <c:layout>
            <c:manualLayout>
              <c:xMode val="edge"/>
              <c:yMode val="edge"/>
              <c:x val="1.0471204188481676E-2"/>
              <c:y val="5.673758865248230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182272"/>
        <c:crosses val="autoZero"/>
        <c:crossBetween val="between"/>
      </c:valAx>
      <c:spPr>
        <a:noFill/>
        <a:ln>
          <a:noFill/>
        </a:ln>
        <a:effectLst/>
      </c:spPr>
    </c:plotArea>
    <c:legend>
      <c:legendPos val="b"/>
      <c:layout>
        <c:manualLayout>
          <c:xMode val="edge"/>
          <c:yMode val="edge"/>
          <c:x val="1.5918499878236868E-2"/>
          <c:y val="0.87685714443811202"/>
          <c:w val="0.93723489460724629"/>
          <c:h val="0.106682123272890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Պետական բյուջեի պակասուրդ/ՀՆԱ,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2009</c:v>
                </c:pt>
                <c:pt idx="1">
                  <c:v>2016</c:v>
                </c:pt>
                <c:pt idx="2">
                  <c:v>2020</c:v>
                </c:pt>
              </c:numCache>
            </c:numRef>
          </c:cat>
          <c:val>
            <c:numRef>
              <c:f>Sheet1!$B$2:$B$4</c:f>
              <c:numCache>
                <c:formatCode>General</c:formatCode>
                <c:ptCount val="3"/>
                <c:pt idx="0">
                  <c:v>7.1</c:v>
                </c:pt>
                <c:pt idx="1">
                  <c:v>5.5</c:v>
                </c:pt>
                <c:pt idx="2">
                  <c:v>7.1</c:v>
                </c:pt>
              </c:numCache>
            </c:numRef>
          </c:val>
          <c:extLst>
            <c:ext xmlns:c16="http://schemas.microsoft.com/office/drawing/2014/chart" uri="{C3380CC4-5D6E-409C-BE32-E72D297353CC}">
              <c16:uniqueId val="{00000000-8415-4553-B2FC-A78302DD08E6}"/>
            </c:ext>
          </c:extLst>
        </c:ser>
        <c:dLbls>
          <c:showLegendKey val="0"/>
          <c:showVal val="0"/>
          <c:showCatName val="0"/>
          <c:showSerName val="0"/>
          <c:showPercent val="0"/>
          <c:showBubbleSize val="0"/>
        </c:dLbls>
        <c:gapWidth val="219"/>
        <c:overlap val="-27"/>
        <c:axId val="253280640"/>
        <c:axId val="253282176"/>
      </c:barChart>
      <c:catAx>
        <c:axId val="25328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282176"/>
        <c:crosses val="autoZero"/>
        <c:auto val="1"/>
        <c:lblAlgn val="ctr"/>
        <c:lblOffset val="100"/>
        <c:noMultiLvlLbl val="0"/>
      </c:catAx>
      <c:valAx>
        <c:axId val="25328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28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Կառավարության պարտք/ՀՆԱ աճ, %-ային կետ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2009</c:v>
                </c:pt>
                <c:pt idx="1">
                  <c:v>2016</c:v>
                </c:pt>
                <c:pt idx="2">
                  <c:v>2020</c:v>
                </c:pt>
              </c:numCache>
            </c:numRef>
          </c:cat>
          <c:val>
            <c:numRef>
              <c:f>Sheet1!$B$2:$B$4</c:f>
              <c:numCache>
                <c:formatCode>General</c:formatCode>
                <c:ptCount val="3"/>
                <c:pt idx="0">
                  <c:v>19.7</c:v>
                </c:pt>
                <c:pt idx="1">
                  <c:v>7.8</c:v>
                </c:pt>
                <c:pt idx="2" formatCode="0.0">
                  <c:v>11.6</c:v>
                </c:pt>
              </c:numCache>
            </c:numRef>
          </c:val>
          <c:extLst>
            <c:ext xmlns:c16="http://schemas.microsoft.com/office/drawing/2014/chart" uri="{C3380CC4-5D6E-409C-BE32-E72D297353CC}">
              <c16:uniqueId val="{00000000-BAFB-4407-B103-FAF1CDAE2F6D}"/>
            </c:ext>
          </c:extLst>
        </c:ser>
        <c:dLbls>
          <c:showLegendKey val="0"/>
          <c:showVal val="0"/>
          <c:showCatName val="0"/>
          <c:showSerName val="0"/>
          <c:showPercent val="0"/>
          <c:showBubbleSize val="0"/>
        </c:dLbls>
        <c:gapWidth val="219"/>
        <c:overlap val="-27"/>
        <c:axId val="253176832"/>
        <c:axId val="253186816"/>
      </c:barChart>
      <c:catAx>
        <c:axId val="25317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186816"/>
        <c:crosses val="autoZero"/>
        <c:auto val="1"/>
        <c:lblAlgn val="ctr"/>
        <c:lblOffset val="100"/>
        <c:noMultiLvlLbl val="0"/>
      </c:catAx>
      <c:valAx>
        <c:axId val="25318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176832"/>
        <c:crosses val="autoZero"/>
        <c:crossBetween val="between"/>
      </c:valAx>
      <c:spPr>
        <a:noFill/>
        <a:ln>
          <a:noFill/>
        </a:ln>
        <a:effectLst/>
      </c:spPr>
    </c:plotArea>
    <c:legend>
      <c:legendPos val="b"/>
      <c:layout>
        <c:manualLayout>
          <c:xMode val="edge"/>
          <c:yMode val="edge"/>
          <c:x val="2.3958333333333328E-2"/>
          <c:y val="0.86607049118860302"/>
          <c:w val="0.92604166666666665"/>
          <c:h val="0.11011998500187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Հարկեր և ծախսեր</c:v>
                </c:pt>
              </c:strCache>
            </c:strRef>
          </c:tx>
          <c:spPr>
            <a:solidFill>
              <a:schemeClr val="accent1"/>
            </a:solidFill>
            <a:ln>
              <a:noFill/>
            </a:ln>
            <a:effectLst/>
          </c:spPr>
          <c:invertIfNegative val="0"/>
          <c:cat>
            <c:strRef>
              <c:f>Sheet1!$A$2:$A$30</c:f>
              <c:strCache>
                <c:ptCount val="29"/>
                <c:pt idx="0">
                  <c:v>Գերմանիա</c:v>
                </c:pt>
                <c:pt idx="1">
                  <c:v>Իտալիա</c:v>
                </c:pt>
                <c:pt idx="2">
                  <c:v>Ճապոնիա</c:v>
                </c:pt>
                <c:pt idx="3">
                  <c:v>Մեծ Բրիտանիա</c:v>
                </c:pt>
                <c:pt idx="4">
                  <c:v>Ֆրանսիա</c:v>
                </c:pt>
                <c:pt idx="5">
                  <c:v>ԱՄՆ</c:v>
                </c:pt>
                <c:pt idx="6">
                  <c:v>Իսպանիա</c:v>
                </c:pt>
                <c:pt idx="7">
                  <c:v>Կորեա</c:v>
                </c:pt>
                <c:pt idx="8">
                  <c:v>Բրազիլիա</c:v>
                </c:pt>
                <c:pt idx="9">
                  <c:v>Ավստրալիա</c:v>
                </c:pt>
                <c:pt idx="10">
                  <c:v>Հարավաֆրիկյան Հանրապետություն</c:v>
                </c:pt>
                <c:pt idx="11">
                  <c:v>Թուրքիա</c:v>
                </c:pt>
                <c:pt idx="12">
                  <c:v>Կանադա</c:v>
                </c:pt>
                <c:pt idx="13">
                  <c:v>Հնդկաստան</c:v>
                </c:pt>
                <c:pt idx="14">
                  <c:v>Արգենտինա</c:v>
                </c:pt>
                <c:pt idx="15">
                  <c:v>Չինաստան</c:v>
                </c:pt>
                <c:pt idx="16">
                  <c:v>Հայաստան</c:v>
                </c:pt>
                <c:pt idx="17">
                  <c:v>Ինդոնեզիա</c:v>
                </c:pt>
                <c:pt idx="18">
                  <c:v>Սաուդյան Արաբիա</c:v>
                </c:pt>
                <c:pt idx="19">
                  <c:v>Ռուսաստան</c:v>
                </c:pt>
                <c:pt idx="20">
                  <c:v>Մեքսիկա</c:v>
                </c:pt>
                <c:pt idx="22">
                  <c:v>Ցածր եկամտային</c:v>
                </c:pt>
                <c:pt idx="24">
                  <c:v>Զարգացող</c:v>
                </c:pt>
                <c:pt idx="26">
                  <c:v>Մեծ Քսանյակի</c:v>
                </c:pt>
                <c:pt idx="28">
                  <c:v>Զարգացած երկրներ</c:v>
                </c:pt>
              </c:strCache>
            </c:strRef>
          </c:cat>
          <c:val>
            <c:numRef>
              <c:f>Sheet1!$B$2:$B$30</c:f>
              <c:numCache>
                <c:formatCode>0.0</c:formatCode>
                <c:ptCount val="29"/>
                <c:pt idx="0">
                  <c:v>9.392389979906465</c:v>
                </c:pt>
                <c:pt idx="1">
                  <c:v>3.5054154811260809</c:v>
                </c:pt>
                <c:pt idx="2">
                  <c:v>11.330991365634002</c:v>
                </c:pt>
                <c:pt idx="3">
                  <c:v>6.1639950739120568</c:v>
                </c:pt>
                <c:pt idx="4">
                  <c:v>2.6637277798530095</c:v>
                </c:pt>
                <c:pt idx="5">
                  <c:v>12.284407153405569</c:v>
                </c:pt>
                <c:pt idx="6">
                  <c:v>3.3641995153395459</c:v>
                </c:pt>
                <c:pt idx="7">
                  <c:v>3.1136761983892827</c:v>
                </c:pt>
                <c:pt idx="8">
                  <c:v>6.5281010484208366</c:v>
                </c:pt>
                <c:pt idx="9">
                  <c:v>8.8396643581259422</c:v>
                </c:pt>
                <c:pt idx="10">
                  <c:v>5.3296846845360042</c:v>
                </c:pt>
                <c:pt idx="11">
                  <c:v>0.23907437703979553</c:v>
                </c:pt>
                <c:pt idx="12">
                  <c:v>5.6445518946679796</c:v>
                </c:pt>
                <c:pt idx="13">
                  <c:v>1.211061494402389</c:v>
                </c:pt>
                <c:pt idx="14">
                  <c:v>2.8456549968053988</c:v>
                </c:pt>
                <c:pt idx="15">
                  <c:v>4.0954525155603303</c:v>
                </c:pt>
                <c:pt idx="16">
                  <c:v>2.4341931953371514</c:v>
                </c:pt>
                <c:pt idx="17">
                  <c:v>2.4449937405385609</c:v>
                </c:pt>
                <c:pt idx="18">
                  <c:v>2.3465350680880586</c:v>
                </c:pt>
                <c:pt idx="19">
                  <c:v>1.8579949907451914</c:v>
                </c:pt>
                <c:pt idx="20">
                  <c:v>0.6547101396822943</c:v>
                </c:pt>
              </c:numCache>
            </c:numRef>
          </c:val>
          <c:extLst>
            <c:ext xmlns:c16="http://schemas.microsoft.com/office/drawing/2014/chart" uri="{C3380CC4-5D6E-409C-BE32-E72D297353CC}">
              <c16:uniqueId val="{00000000-C895-42C5-914A-B4483FC65A22}"/>
            </c:ext>
          </c:extLst>
        </c:ser>
        <c:ser>
          <c:idx val="1"/>
          <c:order val="1"/>
          <c:tx>
            <c:strRef>
              <c:f>Sheet1!$C$1</c:f>
              <c:strCache>
                <c:ptCount val="1"/>
                <c:pt idx="0">
                  <c:v>Պակասուրդի գործառնություններ և պայմ․ պարտավորություններ</c:v>
                </c:pt>
              </c:strCache>
            </c:strRef>
          </c:tx>
          <c:spPr>
            <a:solidFill>
              <a:schemeClr val="accent2"/>
            </a:solidFill>
            <a:ln>
              <a:noFill/>
            </a:ln>
            <a:effectLst/>
          </c:spPr>
          <c:invertIfNegative val="0"/>
          <c:dLbls>
            <c:dLbl>
              <c:idx val="16"/>
              <c:layout>
                <c:manualLayout>
                  <c:x val="-7.8346673280123175E-17"/>
                  <c:y val="-5.3508952459353852E-2"/>
                </c:manualLayout>
              </c:layout>
              <c:tx>
                <c:rich>
                  <a:bodyPr rot="0" spcFirstLastPara="1" vertOverflow="ellipsis" vert="horz" wrap="square" lIns="38100" tIns="19050" rIns="38100" bIns="19050" anchor="ctr" anchorCtr="1">
                    <a:spAutoFit/>
                  </a:bodyPr>
                  <a:lstStyle/>
                  <a:p>
                    <a:pPr>
                      <a:defRPr sz="900" b="1" i="1" u="none" strike="noStrike" kern="1200" baseline="0">
                        <a:solidFill>
                          <a:srgbClr val="FF0000"/>
                        </a:solidFill>
                        <a:latin typeface="GHEA Grapalat" panose="02000506050000020003" pitchFamily="50" charset="0"/>
                        <a:ea typeface="+mn-ea"/>
                        <a:cs typeface="+mn-cs"/>
                      </a:defRPr>
                    </a:pPr>
                    <a:r>
                      <a:rPr lang="en-US" b="1" i="1">
                        <a:solidFill>
                          <a:srgbClr val="FF0000"/>
                        </a:solidFill>
                        <a:latin typeface="GHEA Grapalat" panose="02000506050000020003" pitchFamily="50" charset="0"/>
                      </a:rPr>
                      <a:t>3.9</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95-42C5-914A-B4483FC65A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Sheet1!$A$2:$A$30</c:f>
              <c:strCache>
                <c:ptCount val="29"/>
                <c:pt idx="0">
                  <c:v>Գերմանիա</c:v>
                </c:pt>
                <c:pt idx="1">
                  <c:v>Իտալիա</c:v>
                </c:pt>
                <c:pt idx="2">
                  <c:v>Ճապոնիա</c:v>
                </c:pt>
                <c:pt idx="3">
                  <c:v>Մեծ Բրիտանիա</c:v>
                </c:pt>
                <c:pt idx="4">
                  <c:v>Ֆրանսիա</c:v>
                </c:pt>
                <c:pt idx="5">
                  <c:v>ԱՄՆ</c:v>
                </c:pt>
                <c:pt idx="6">
                  <c:v>Իսպանիա</c:v>
                </c:pt>
                <c:pt idx="7">
                  <c:v>Կորեա</c:v>
                </c:pt>
                <c:pt idx="8">
                  <c:v>Բրազիլիա</c:v>
                </c:pt>
                <c:pt idx="9">
                  <c:v>Ավստրալիա</c:v>
                </c:pt>
                <c:pt idx="10">
                  <c:v>Հարավաֆրիկյան Հանրապետություն</c:v>
                </c:pt>
                <c:pt idx="11">
                  <c:v>Թուրքիա</c:v>
                </c:pt>
                <c:pt idx="12">
                  <c:v>Կանադա</c:v>
                </c:pt>
                <c:pt idx="13">
                  <c:v>Հնդկաստան</c:v>
                </c:pt>
                <c:pt idx="14">
                  <c:v>Արգենտինա</c:v>
                </c:pt>
                <c:pt idx="15">
                  <c:v>Չինաստան</c:v>
                </c:pt>
                <c:pt idx="16">
                  <c:v>Հայաստան</c:v>
                </c:pt>
                <c:pt idx="17">
                  <c:v>Ինդոնեզիա</c:v>
                </c:pt>
                <c:pt idx="18">
                  <c:v>Սաուդյան Արաբիա</c:v>
                </c:pt>
                <c:pt idx="19">
                  <c:v>Ռուսաստան</c:v>
                </c:pt>
                <c:pt idx="20">
                  <c:v>Մեքսիկա</c:v>
                </c:pt>
                <c:pt idx="22">
                  <c:v>Ցածր եկամտային</c:v>
                </c:pt>
                <c:pt idx="24">
                  <c:v>Զարգացող</c:v>
                </c:pt>
                <c:pt idx="26">
                  <c:v>Մեծ Քսանյակի</c:v>
                </c:pt>
                <c:pt idx="28">
                  <c:v>Զարգացած երկրներ</c:v>
                </c:pt>
              </c:strCache>
            </c:strRef>
          </c:cat>
          <c:val>
            <c:numRef>
              <c:f>Sheet1!$C$2:$C$30</c:f>
              <c:numCache>
                <c:formatCode>0.0</c:formatCode>
                <c:ptCount val="29"/>
                <c:pt idx="0">
                  <c:v>31.513940064159833</c:v>
                </c:pt>
                <c:pt idx="1">
                  <c:v>33.989783201537065</c:v>
                </c:pt>
                <c:pt idx="2">
                  <c:v>23.98529717111839</c:v>
                </c:pt>
                <c:pt idx="3">
                  <c:v>16.88291020244186</c:v>
                </c:pt>
                <c:pt idx="4">
                  <c:v>16.177613741515657</c:v>
                </c:pt>
                <c:pt idx="5">
                  <c:v>2.5644894180257225</c:v>
                </c:pt>
                <c:pt idx="6">
                  <c:v>10.630870468472962</c:v>
                </c:pt>
                <c:pt idx="7">
                  <c:v>9.7054519712271787</c:v>
                </c:pt>
                <c:pt idx="8">
                  <c:v>5.40069344662475</c:v>
                </c:pt>
                <c:pt idx="9">
                  <c:v>1.8339552610219787</c:v>
                </c:pt>
                <c:pt idx="10">
                  <c:v>4.209828758602371</c:v>
                </c:pt>
                <c:pt idx="11">
                  <c:v>9.1478550269136267</c:v>
                </c:pt>
                <c:pt idx="12">
                  <c:v>3.292655271889656</c:v>
                </c:pt>
                <c:pt idx="13">
                  <c:v>4.9240743913654548</c:v>
                </c:pt>
                <c:pt idx="14">
                  <c:v>1.9696701252933551</c:v>
                </c:pt>
                <c:pt idx="15">
                  <c:v>0.52577281225541128</c:v>
                </c:pt>
                <c:pt idx="16">
                  <c:v>1.4812534657224039</c:v>
                </c:pt>
                <c:pt idx="17">
                  <c:v>1.1475236714337085</c:v>
                </c:pt>
                <c:pt idx="18">
                  <c:v>0.90727190681787862</c:v>
                </c:pt>
                <c:pt idx="19">
                  <c:v>1.0563520935692645</c:v>
                </c:pt>
                <c:pt idx="20">
                  <c:v>0.45780817642414334</c:v>
                </c:pt>
              </c:numCache>
            </c:numRef>
          </c:val>
          <c:extLst>
            <c:ext xmlns:c16="http://schemas.microsoft.com/office/drawing/2014/chart" uri="{C3380CC4-5D6E-409C-BE32-E72D297353CC}">
              <c16:uniqueId val="{00000002-C895-42C5-914A-B4483FC65A22}"/>
            </c:ext>
          </c:extLst>
        </c:ser>
        <c:ser>
          <c:idx val="2"/>
          <c:order val="2"/>
          <c:tx>
            <c:strRef>
              <c:f>Sheet1!$D$1</c:f>
              <c:strCache>
                <c:ptCount val="1"/>
                <c:pt idx="0">
                  <c:v>Column2</c:v>
                </c:pt>
              </c:strCache>
            </c:strRef>
          </c:tx>
          <c:spPr>
            <a:solidFill>
              <a:schemeClr val="accent3"/>
            </a:solidFill>
            <a:ln>
              <a:noFill/>
            </a:ln>
            <a:effectLst/>
          </c:spPr>
          <c:invertIfNegative val="0"/>
          <c:dPt>
            <c:idx val="22"/>
            <c:invertIfNegative val="0"/>
            <c:bubble3D val="0"/>
            <c:spPr>
              <a:solidFill>
                <a:schemeClr val="accent1"/>
              </a:solidFill>
              <a:ln>
                <a:noFill/>
              </a:ln>
              <a:effectLst/>
            </c:spPr>
            <c:extLst>
              <c:ext xmlns:c16="http://schemas.microsoft.com/office/drawing/2014/chart" uri="{C3380CC4-5D6E-409C-BE32-E72D297353CC}">
                <c16:uniqueId val="{00000004-C895-42C5-914A-B4483FC65A22}"/>
              </c:ext>
            </c:extLst>
          </c:dPt>
          <c:dPt>
            <c:idx val="24"/>
            <c:invertIfNegative val="0"/>
            <c:bubble3D val="0"/>
            <c:spPr>
              <a:solidFill>
                <a:schemeClr val="accent1"/>
              </a:solidFill>
              <a:ln>
                <a:noFill/>
              </a:ln>
              <a:effectLst/>
            </c:spPr>
            <c:extLst>
              <c:ext xmlns:c16="http://schemas.microsoft.com/office/drawing/2014/chart" uri="{C3380CC4-5D6E-409C-BE32-E72D297353CC}">
                <c16:uniqueId val="{00000006-C895-42C5-914A-B4483FC65A22}"/>
              </c:ext>
            </c:extLst>
          </c:dPt>
          <c:dPt>
            <c:idx val="26"/>
            <c:invertIfNegative val="0"/>
            <c:bubble3D val="0"/>
            <c:spPr>
              <a:solidFill>
                <a:schemeClr val="accent1"/>
              </a:solidFill>
              <a:ln>
                <a:noFill/>
              </a:ln>
              <a:effectLst/>
            </c:spPr>
            <c:extLst>
              <c:ext xmlns:c16="http://schemas.microsoft.com/office/drawing/2014/chart" uri="{C3380CC4-5D6E-409C-BE32-E72D297353CC}">
                <c16:uniqueId val="{00000008-C895-42C5-914A-B4483FC65A22}"/>
              </c:ext>
            </c:extLst>
          </c:dPt>
          <c:dPt>
            <c:idx val="28"/>
            <c:invertIfNegative val="0"/>
            <c:bubble3D val="0"/>
            <c:spPr>
              <a:solidFill>
                <a:schemeClr val="accent1"/>
              </a:solidFill>
              <a:ln>
                <a:noFill/>
              </a:ln>
              <a:effectLst/>
            </c:spPr>
            <c:extLst>
              <c:ext xmlns:c16="http://schemas.microsoft.com/office/drawing/2014/chart" uri="{C3380CC4-5D6E-409C-BE32-E72D297353CC}">
                <c16:uniqueId val="{0000000A-C895-42C5-914A-B4483FC65A22}"/>
              </c:ext>
            </c:extLst>
          </c:dPt>
          <c:cat>
            <c:strRef>
              <c:f>Sheet1!$A$2:$A$30</c:f>
              <c:strCache>
                <c:ptCount val="29"/>
                <c:pt idx="0">
                  <c:v>Գերմանիա</c:v>
                </c:pt>
                <c:pt idx="1">
                  <c:v>Իտալիա</c:v>
                </c:pt>
                <c:pt idx="2">
                  <c:v>Ճապոնիա</c:v>
                </c:pt>
                <c:pt idx="3">
                  <c:v>Մեծ Բրիտանիա</c:v>
                </c:pt>
                <c:pt idx="4">
                  <c:v>Ֆրանսիա</c:v>
                </c:pt>
                <c:pt idx="5">
                  <c:v>ԱՄՆ</c:v>
                </c:pt>
                <c:pt idx="6">
                  <c:v>Իսպանիա</c:v>
                </c:pt>
                <c:pt idx="7">
                  <c:v>Կորեա</c:v>
                </c:pt>
                <c:pt idx="8">
                  <c:v>Բրազիլիա</c:v>
                </c:pt>
                <c:pt idx="9">
                  <c:v>Ավստրալիա</c:v>
                </c:pt>
                <c:pt idx="10">
                  <c:v>Հարավաֆրիկյան Հանրապետություն</c:v>
                </c:pt>
                <c:pt idx="11">
                  <c:v>Թուրքիա</c:v>
                </c:pt>
                <c:pt idx="12">
                  <c:v>Կանադա</c:v>
                </c:pt>
                <c:pt idx="13">
                  <c:v>Հնդկաստան</c:v>
                </c:pt>
                <c:pt idx="14">
                  <c:v>Արգենտինա</c:v>
                </c:pt>
                <c:pt idx="15">
                  <c:v>Չինաստան</c:v>
                </c:pt>
                <c:pt idx="16">
                  <c:v>Հայաստան</c:v>
                </c:pt>
                <c:pt idx="17">
                  <c:v>Ինդոնեզիա</c:v>
                </c:pt>
                <c:pt idx="18">
                  <c:v>Սաուդյան Արաբիա</c:v>
                </c:pt>
                <c:pt idx="19">
                  <c:v>Ռուսաստան</c:v>
                </c:pt>
                <c:pt idx="20">
                  <c:v>Մեքսիկա</c:v>
                </c:pt>
                <c:pt idx="22">
                  <c:v>Ցածր եկամտային</c:v>
                </c:pt>
                <c:pt idx="24">
                  <c:v>Զարգացող</c:v>
                </c:pt>
                <c:pt idx="26">
                  <c:v>Մեծ Քսանյակի</c:v>
                </c:pt>
                <c:pt idx="28">
                  <c:v>Զարգացած երկրներ</c:v>
                </c:pt>
              </c:strCache>
            </c:strRef>
          </c:cat>
          <c:val>
            <c:numRef>
              <c:f>Sheet1!$D$2:$D$30</c:f>
              <c:numCache>
                <c:formatCode>General</c:formatCode>
                <c:ptCount val="29"/>
                <c:pt idx="22" formatCode="0.0">
                  <c:v>1.0338728080108597</c:v>
                </c:pt>
                <c:pt idx="24" formatCode="0.0">
                  <c:v>3.0963976929401151</c:v>
                </c:pt>
                <c:pt idx="26" formatCode="0.0">
                  <c:v>5.7839501353604392</c:v>
                </c:pt>
                <c:pt idx="28" formatCode="0.0">
                  <c:v>8.8516199715504165</c:v>
                </c:pt>
              </c:numCache>
            </c:numRef>
          </c:val>
          <c:extLst>
            <c:ext xmlns:c16="http://schemas.microsoft.com/office/drawing/2014/chart" uri="{C3380CC4-5D6E-409C-BE32-E72D297353CC}">
              <c16:uniqueId val="{0000000B-C895-42C5-914A-B4483FC65A22}"/>
            </c:ext>
          </c:extLst>
        </c:ser>
        <c:ser>
          <c:idx val="3"/>
          <c:order val="3"/>
          <c:tx>
            <c:strRef>
              <c:f>Sheet1!$E$1</c:f>
              <c:strCache>
                <c:ptCount val="1"/>
                <c:pt idx="0">
                  <c:v>Column3</c:v>
                </c:pt>
              </c:strCache>
            </c:strRef>
          </c:tx>
          <c:spPr>
            <a:solidFill>
              <a:schemeClr val="accent4"/>
            </a:solidFill>
            <a:ln>
              <a:noFill/>
            </a:ln>
            <a:effectLst/>
          </c:spPr>
          <c:invertIfNegative val="0"/>
          <c:dPt>
            <c:idx val="22"/>
            <c:invertIfNegative val="0"/>
            <c:bubble3D val="0"/>
            <c:spPr>
              <a:solidFill>
                <a:schemeClr val="accent2"/>
              </a:solidFill>
              <a:ln>
                <a:noFill/>
              </a:ln>
              <a:effectLst/>
            </c:spPr>
            <c:extLst>
              <c:ext xmlns:c16="http://schemas.microsoft.com/office/drawing/2014/chart" uri="{C3380CC4-5D6E-409C-BE32-E72D297353CC}">
                <c16:uniqueId val="{0000000D-C895-42C5-914A-B4483FC65A22}"/>
              </c:ext>
            </c:extLst>
          </c:dPt>
          <c:dPt>
            <c:idx val="24"/>
            <c:invertIfNegative val="0"/>
            <c:bubble3D val="0"/>
            <c:spPr>
              <a:solidFill>
                <a:schemeClr val="accent2"/>
              </a:solidFill>
              <a:ln>
                <a:noFill/>
              </a:ln>
              <a:effectLst/>
            </c:spPr>
            <c:extLst>
              <c:ext xmlns:c16="http://schemas.microsoft.com/office/drawing/2014/chart" uri="{C3380CC4-5D6E-409C-BE32-E72D297353CC}">
                <c16:uniqueId val="{0000000F-C895-42C5-914A-B4483FC65A22}"/>
              </c:ext>
            </c:extLst>
          </c:dPt>
          <c:dPt>
            <c:idx val="26"/>
            <c:invertIfNegative val="0"/>
            <c:bubble3D val="0"/>
            <c:spPr>
              <a:solidFill>
                <a:schemeClr val="accent2"/>
              </a:solidFill>
              <a:ln>
                <a:noFill/>
              </a:ln>
              <a:effectLst/>
            </c:spPr>
            <c:extLst>
              <c:ext xmlns:c16="http://schemas.microsoft.com/office/drawing/2014/chart" uri="{C3380CC4-5D6E-409C-BE32-E72D297353CC}">
                <c16:uniqueId val="{00000011-C895-42C5-914A-B4483FC65A22}"/>
              </c:ext>
            </c:extLst>
          </c:dPt>
          <c:dPt>
            <c:idx val="28"/>
            <c:invertIfNegative val="0"/>
            <c:bubble3D val="0"/>
            <c:spPr>
              <a:solidFill>
                <a:schemeClr val="accent2"/>
              </a:solidFill>
              <a:ln>
                <a:noFill/>
              </a:ln>
              <a:effectLst/>
            </c:spPr>
            <c:extLst>
              <c:ext xmlns:c16="http://schemas.microsoft.com/office/drawing/2014/chart" uri="{C3380CC4-5D6E-409C-BE32-E72D297353CC}">
                <c16:uniqueId val="{00000013-C895-42C5-914A-B4483FC65A22}"/>
              </c:ext>
            </c:extLst>
          </c:dPt>
          <c:cat>
            <c:strRef>
              <c:f>Sheet1!$A$2:$A$30</c:f>
              <c:strCache>
                <c:ptCount val="29"/>
                <c:pt idx="0">
                  <c:v>Գերմանիա</c:v>
                </c:pt>
                <c:pt idx="1">
                  <c:v>Իտալիա</c:v>
                </c:pt>
                <c:pt idx="2">
                  <c:v>Ճապոնիա</c:v>
                </c:pt>
                <c:pt idx="3">
                  <c:v>Մեծ Բրիտանիա</c:v>
                </c:pt>
                <c:pt idx="4">
                  <c:v>Ֆրանսիա</c:v>
                </c:pt>
                <c:pt idx="5">
                  <c:v>ԱՄՆ</c:v>
                </c:pt>
                <c:pt idx="6">
                  <c:v>Իսպանիա</c:v>
                </c:pt>
                <c:pt idx="7">
                  <c:v>Կորեա</c:v>
                </c:pt>
                <c:pt idx="8">
                  <c:v>Բրազիլիա</c:v>
                </c:pt>
                <c:pt idx="9">
                  <c:v>Ավստրալիա</c:v>
                </c:pt>
                <c:pt idx="10">
                  <c:v>Հարավաֆրիկյան Հանրապետություն</c:v>
                </c:pt>
                <c:pt idx="11">
                  <c:v>Թուրքիա</c:v>
                </c:pt>
                <c:pt idx="12">
                  <c:v>Կանադա</c:v>
                </c:pt>
                <c:pt idx="13">
                  <c:v>Հնդկաստան</c:v>
                </c:pt>
                <c:pt idx="14">
                  <c:v>Արգենտինա</c:v>
                </c:pt>
                <c:pt idx="15">
                  <c:v>Չինաստան</c:v>
                </c:pt>
                <c:pt idx="16">
                  <c:v>Հայաստան</c:v>
                </c:pt>
                <c:pt idx="17">
                  <c:v>Ինդոնեզիա</c:v>
                </c:pt>
                <c:pt idx="18">
                  <c:v>Սաուդյան Արաբիա</c:v>
                </c:pt>
                <c:pt idx="19">
                  <c:v>Ռուսաստան</c:v>
                </c:pt>
                <c:pt idx="20">
                  <c:v>Մեքսիկա</c:v>
                </c:pt>
                <c:pt idx="22">
                  <c:v>Ցածր եկամտային</c:v>
                </c:pt>
                <c:pt idx="24">
                  <c:v>Զարգացող</c:v>
                </c:pt>
                <c:pt idx="26">
                  <c:v>Մեծ Քսանյակի</c:v>
                </c:pt>
                <c:pt idx="28">
                  <c:v>Զարգացած երկրներ</c:v>
                </c:pt>
              </c:strCache>
            </c:strRef>
          </c:cat>
          <c:val>
            <c:numRef>
              <c:f>Sheet1!$E$2:$E$30</c:f>
              <c:numCache>
                <c:formatCode>General</c:formatCode>
                <c:ptCount val="29"/>
                <c:pt idx="22" formatCode="0.0">
                  <c:v>0.12407954046821698</c:v>
                </c:pt>
                <c:pt idx="24" formatCode="0.0">
                  <c:v>1.9976077492124205</c:v>
                </c:pt>
                <c:pt idx="26" formatCode="0.0">
                  <c:v>6.3539835368996149</c:v>
                </c:pt>
                <c:pt idx="28" formatCode="0.0">
                  <c:v>10.906739496605102</c:v>
                </c:pt>
              </c:numCache>
            </c:numRef>
          </c:val>
          <c:extLst>
            <c:ext xmlns:c16="http://schemas.microsoft.com/office/drawing/2014/chart" uri="{C3380CC4-5D6E-409C-BE32-E72D297353CC}">
              <c16:uniqueId val="{00000014-C895-42C5-914A-B4483FC65A22}"/>
            </c:ext>
          </c:extLst>
        </c:ser>
        <c:dLbls>
          <c:showLegendKey val="0"/>
          <c:showVal val="0"/>
          <c:showCatName val="0"/>
          <c:showSerName val="0"/>
          <c:showPercent val="0"/>
          <c:showBubbleSize val="0"/>
        </c:dLbls>
        <c:gapWidth val="51"/>
        <c:overlap val="100"/>
        <c:axId val="253360768"/>
        <c:axId val="253370752"/>
      </c:barChart>
      <c:catAx>
        <c:axId val="25336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53370752"/>
        <c:crosses val="autoZero"/>
        <c:auto val="1"/>
        <c:lblAlgn val="ctr"/>
        <c:lblOffset val="100"/>
        <c:noMultiLvlLbl val="0"/>
      </c:catAx>
      <c:valAx>
        <c:axId val="25337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3360768"/>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20977596741344E-2"/>
          <c:y val="7.3260335323429362E-2"/>
          <c:w val="0.49490835030549907"/>
          <c:h val="0.89011307417966656"/>
        </c:manualLayout>
      </c:layout>
      <c:pieChart>
        <c:varyColors val="1"/>
        <c:ser>
          <c:idx val="0"/>
          <c:order val="0"/>
          <c:spPr>
            <a:solidFill>
              <a:srgbClr val="4F81BD"/>
            </a:solidFill>
            <a:ln w="25400">
              <a:noFill/>
            </a:ln>
          </c:spPr>
          <c:explosion val="25"/>
          <c:dPt>
            <c:idx val="1"/>
            <c:bubble3D val="0"/>
            <c:explosion val="24"/>
            <c:spPr>
              <a:solidFill>
                <a:srgbClr val="C0504D"/>
              </a:solidFill>
              <a:ln w="25400">
                <a:noFill/>
              </a:ln>
            </c:spPr>
            <c:extLst>
              <c:ext xmlns:c16="http://schemas.microsoft.com/office/drawing/2014/chart" uri="{C3380CC4-5D6E-409C-BE32-E72D297353CC}">
                <c16:uniqueId val="{00000002-3F67-4A92-A08C-CFBF1B2B35FD}"/>
              </c:ext>
            </c:extLst>
          </c:dPt>
          <c:dPt>
            <c:idx val="2"/>
            <c:bubble3D val="0"/>
            <c:spPr>
              <a:solidFill>
                <a:srgbClr val="9BBB59"/>
              </a:solidFill>
              <a:ln w="25400">
                <a:noFill/>
              </a:ln>
            </c:spPr>
            <c:extLst>
              <c:ext xmlns:c16="http://schemas.microsoft.com/office/drawing/2014/chart" uri="{C3380CC4-5D6E-409C-BE32-E72D297353CC}">
                <c16:uniqueId val="{00000004-3F67-4A92-A08C-CFBF1B2B35FD}"/>
              </c:ext>
            </c:extLst>
          </c:dPt>
          <c:dLbls>
            <c:dLbl>
              <c:idx val="0"/>
              <c:layout>
                <c:manualLayout>
                  <c:x val="-1.9673813685712757E-3"/>
                  <c:y val="4.49609295803899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67-4A92-A08C-CFBF1B2B35FD}"/>
                </c:ext>
              </c:extLst>
            </c:dLbl>
            <c:dLbl>
              <c:idx val="1"/>
              <c:layout>
                <c:manualLayout>
                  <c:x val="-1.4478655983178658E-2"/>
                  <c:y val="7.103926496820407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67-4A92-A08C-CFBF1B2B35FD}"/>
                </c:ext>
              </c:extLst>
            </c:dLbl>
            <c:dLbl>
              <c:idx val="2"/>
              <c:layout>
                <c:manualLayout>
                  <c:x val="3.7574444817237818E-2"/>
                  <c:y val="1.44789763470378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67-4A92-A08C-CFBF1B2B35FD}"/>
                </c:ext>
              </c:extLst>
            </c:dLbl>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table!$N$4:$N$6</c:f>
              <c:strCache>
                <c:ptCount val="3"/>
                <c:pt idx="0">
                  <c:v>Հարկային եկամուտներ և պետական տուրքեր</c:v>
                </c:pt>
                <c:pt idx="1">
                  <c:v>Պաշտոնական դրամաշնորհներ</c:v>
                </c:pt>
                <c:pt idx="2">
                  <c:v>Այլ եկամուտներ</c:v>
                </c:pt>
              </c:strCache>
            </c:strRef>
          </c:cat>
          <c:val>
            <c:numRef>
              <c:f>table!$O$4:$O$6</c:f>
              <c:numCache>
                <c:formatCode>0.0%</c:formatCode>
                <c:ptCount val="3"/>
                <c:pt idx="0">
                  <c:v>0.95400000000000018</c:v>
                </c:pt>
                <c:pt idx="1">
                  <c:v>1.6000000000000007E-2</c:v>
                </c:pt>
                <c:pt idx="2">
                  <c:v>3.0000000000000002E-2</c:v>
                </c:pt>
              </c:numCache>
            </c:numRef>
          </c:val>
          <c:extLst>
            <c:ext xmlns:c16="http://schemas.microsoft.com/office/drawing/2014/chart" uri="{C3380CC4-5D6E-409C-BE32-E72D297353CC}">
              <c16:uniqueId val="{00000005-3F67-4A92-A08C-CFBF1B2B35FD}"/>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843177189409364"/>
          <c:y val="0.19047695961081787"/>
          <c:w val="0.29327902240325865"/>
          <c:h val="0.6190499264515017"/>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62904752121119"/>
          <c:y val="4.3931262569693146E-2"/>
          <c:w val="0.75180333178147074"/>
          <c:h val="0.71448108460126669"/>
        </c:manualLayout>
      </c:layout>
      <c:barChart>
        <c:barDir val="col"/>
        <c:grouping val="clustered"/>
        <c:varyColors val="0"/>
        <c:ser>
          <c:idx val="0"/>
          <c:order val="0"/>
          <c:tx>
            <c:strRef>
              <c:f>Sheet1!$A$2</c:f>
              <c:strCache>
                <c:ptCount val="1"/>
                <c:pt idx="0">
                  <c:v> Հարկային եկամուտներ և պետական տուրքեր, մլրդ դրամ</c:v>
                </c:pt>
              </c:strCache>
            </c:strRef>
          </c:tx>
          <c:spPr>
            <a:ln w="25294" cap="rnd" cmpd="dbl">
              <a:miter lim="800000"/>
            </a:ln>
          </c:spPr>
          <c:invertIfNegative val="0"/>
          <c:dLbls>
            <c:spPr>
              <a:noFill/>
              <a:ln w="25403">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2017 փաստ</c:v>
                </c:pt>
                <c:pt idx="1">
                  <c:v>2018 փաստ</c:v>
                </c:pt>
                <c:pt idx="2">
                  <c:v>2019 փաստ</c:v>
                </c:pt>
                <c:pt idx="3">
                  <c:v>2020  բյուջե</c:v>
                </c:pt>
                <c:pt idx="4">
                  <c:v>2021 կանխատեսում</c:v>
                </c:pt>
              </c:strCache>
            </c:strRef>
          </c:cat>
          <c:val>
            <c:numRef>
              <c:f>Sheet1!$B$2:$F$2</c:f>
              <c:numCache>
                <c:formatCode>#,##0.0</c:formatCode>
                <c:ptCount val="5"/>
                <c:pt idx="0">
                  <c:v>1157.9884096740004</c:v>
                </c:pt>
                <c:pt idx="1">
                  <c:v>1258.1211783709998</c:v>
                </c:pt>
                <c:pt idx="2">
                  <c:v>1464.3157574490006</c:v>
                </c:pt>
                <c:pt idx="3">
                  <c:v>1602.2527127999999</c:v>
                </c:pt>
                <c:pt idx="4">
                  <c:v>1440.1</c:v>
                </c:pt>
              </c:numCache>
            </c:numRef>
          </c:val>
          <c:extLst>
            <c:ext xmlns:c16="http://schemas.microsoft.com/office/drawing/2014/chart" uri="{C3380CC4-5D6E-409C-BE32-E72D297353CC}">
              <c16:uniqueId val="{00000000-6625-4E71-B391-B316769BF240}"/>
            </c:ext>
          </c:extLst>
        </c:ser>
        <c:dLbls>
          <c:showLegendKey val="0"/>
          <c:showVal val="0"/>
          <c:showCatName val="0"/>
          <c:showSerName val="0"/>
          <c:showPercent val="0"/>
          <c:showBubbleSize val="0"/>
        </c:dLbls>
        <c:gapWidth val="308"/>
        <c:overlap val="17"/>
        <c:axId val="258286336"/>
        <c:axId val="258287872"/>
      </c:barChart>
      <c:lineChart>
        <c:grouping val="standard"/>
        <c:varyColors val="0"/>
        <c:ser>
          <c:idx val="1"/>
          <c:order val="1"/>
          <c:tx>
            <c:strRef>
              <c:f>Sheet1!$A$3</c:f>
              <c:strCache>
                <c:ptCount val="1"/>
                <c:pt idx="0">
                  <c:v> հարաբերությունը ՀՆԱ-ի նկատմամբ (%-ով) աջ առանցք</c:v>
                </c:pt>
              </c:strCache>
            </c:strRef>
          </c:tx>
          <c:marker>
            <c:symbol val="none"/>
          </c:marker>
          <c:cat>
            <c:strRef>
              <c:f>Sheet1!$B$1:$F$1</c:f>
              <c:strCache>
                <c:ptCount val="5"/>
                <c:pt idx="0">
                  <c:v>2017 փաստ</c:v>
                </c:pt>
                <c:pt idx="1">
                  <c:v>2018 փաստ</c:v>
                </c:pt>
                <c:pt idx="2">
                  <c:v>2019 փաստ</c:v>
                </c:pt>
                <c:pt idx="3">
                  <c:v>2020  բյուջե</c:v>
                </c:pt>
                <c:pt idx="4">
                  <c:v>2021 կանխատեսում</c:v>
                </c:pt>
              </c:strCache>
            </c:strRef>
          </c:cat>
          <c:val>
            <c:numRef>
              <c:f>Sheet1!$B$3:$F$3</c:f>
              <c:numCache>
                <c:formatCode>0.0%</c:formatCode>
                <c:ptCount val="5"/>
                <c:pt idx="0">
                  <c:v>0.20810311869258616</c:v>
                </c:pt>
                <c:pt idx="1">
                  <c:v>0.20909320563240186</c:v>
                </c:pt>
                <c:pt idx="2">
                  <c:v>0.22291199448311314</c:v>
                </c:pt>
                <c:pt idx="3">
                  <c:v>0.22582654431863367</c:v>
                </c:pt>
                <c:pt idx="4">
                  <c:v>0.2251863899544059</c:v>
                </c:pt>
              </c:numCache>
            </c:numRef>
          </c:val>
          <c:smooth val="0"/>
          <c:extLst>
            <c:ext xmlns:c16="http://schemas.microsoft.com/office/drawing/2014/chart" uri="{C3380CC4-5D6E-409C-BE32-E72D297353CC}">
              <c16:uniqueId val="{00000001-6625-4E71-B391-B316769BF240}"/>
            </c:ext>
          </c:extLst>
        </c:ser>
        <c:dLbls>
          <c:showLegendKey val="0"/>
          <c:showVal val="0"/>
          <c:showCatName val="0"/>
          <c:showSerName val="0"/>
          <c:showPercent val="0"/>
          <c:showBubbleSize val="0"/>
        </c:dLbls>
        <c:marker val="1"/>
        <c:smooth val="0"/>
        <c:axId val="258293760"/>
        <c:axId val="258295296"/>
      </c:lineChart>
      <c:catAx>
        <c:axId val="258286336"/>
        <c:scaling>
          <c:orientation val="minMax"/>
        </c:scaling>
        <c:delete val="0"/>
        <c:axPos val="b"/>
        <c:numFmt formatCode="General" sourceLinked="1"/>
        <c:majorTickMark val="out"/>
        <c:minorTickMark val="none"/>
        <c:tickLblPos val="nextTo"/>
        <c:crossAx val="258287872"/>
        <c:crosses val="autoZero"/>
        <c:auto val="1"/>
        <c:lblAlgn val="ctr"/>
        <c:lblOffset val="100"/>
        <c:noMultiLvlLbl val="0"/>
      </c:catAx>
      <c:valAx>
        <c:axId val="258287872"/>
        <c:scaling>
          <c:orientation val="minMax"/>
        </c:scaling>
        <c:delete val="0"/>
        <c:axPos val="l"/>
        <c:majorGridlines/>
        <c:numFmt formatCode="#,##0.0" sourceLinked="1"/>
        <c:majorTickMark val="out"/>
        <c:minorTickMark val="none"/>
        <c:tickLblPos val="nextTo"/>
        <c:crossAx val="258286336"/>
        <c:crosses val="autoZero"/>
        <c:crossBetween val="between"/>
        <c:majorUnit val="500"/>
      </c:valAx>
      <c:catAx>
        <c:axId val="258293760"/>
        <c:scaling>
          <c:orientation val="minMax"/>
        </c:scaling>
        <c:delete val="1"/>
        <c:axPos val="b"/>
        <c:numFmt formatCode="General" sourceLinked="1"/>
        <c:majorTickMark val="out"/>
        <c:minorTickMark val="none"/>
        <c:tickLblPos val="none"/>
        <c:crossAx val="258295296"/>
        <c:crosses val="autoZero"/>
        <c:auto val="1"/>
        <c:lblAlgn val="ctr"/>
        <c:lblOffset val="100"/>
        <c:noMultiLvlLbl val="0"/>
      </c:catAx>
      <c:valAx>
        <c:axId val="258295296"/>
        <c:scaling>
          <c:orientation val="minMax"/>
          <c:max val="0.25"/>
          <c:min val="0.2"/>
        </c:scaling>
        <c:delete val="0"/>
        <c:axPos val="r"/>
        <c:numFmt formatCode="0.0%" sourceLinked="1"/>
        <c:majorTickMark val="out"/>
        <c:minorTickMark val="none"/>
        <c:tickLblPos val="nextTo"/>
        <c:crossAx val="258293760"/>
        <c:crosses val="max"/>
        <c:crossBetween val="between"/>
        <c:majorUnit val="1.0000000000000005E-2"/>
      </c:valAx>
    </c:plotArea>
    <c:legend>
      <c:legendPos val="r"/>
      <c:layout>
        <c:manualLayout>
          <c:xMode val="edge"/>
          <c:yMode val="edge"/>
          <c:x val="0.13291130687871941"/>
          <c:y val="0.88008722212961243"/>
          <c:w val="0.73575963895602192"/>
          <c:h val="9.0283484178425383E-2"/>
        </c:manualLayout>
      </c:layout>
      <c:overlay val="0"/>
    </c:legend>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53293849295147"/>
          <c:y val="3.2707203266258401E-2"/>
          <c:w val="0.84521276129266509"/>
          <c:h val="0.75897428379963161"/>
        </c:manualLayout>
      </c:layout>
      <c:barChart>
        <c:barDir val="col"/>
        <c:grouping val="stacked"/>
        <c:varyColors val="0"/>
        <c:ser>
          <c:idx val="0"/>
          <c:order val="0"/>
          <c:tx>
            <c:strRef>
              <c:f>Sheet1!$B$5</c:f>
              <c:strCache>
                <c:ptCount val="1"/>
                <c:pt idx="0">
                  <c:v>Ընդամենը ծախսեր</c:v>
                </c:pt>
              </c:strCache>
            </c:strRef>
          </c:tx>
          <c:spPr>
            <a:solidFill>
              <a:schemeClr val="accent1">
                <a:lumMod val="75000"/>
                <a:alpha val="12000"/>
              </a:schemeClr>
            </a:solidFill>
            <a:ln>
              <a:solidFill>
                <a:schemeClr val="bg1"/>
              </a:solidFill>
            </a:ln>
            <a:effectLst/>
            <a:scene3d>
              <a:camera prst="orthographicFront"/>
              <a:lightRig rig="threePt" dir="t"/>
            </a:scene3d>
            <a:sp3d prstMaterial="metal">
              <a:bevelT/>
            </a:sp3d>
          </c:spPr>
          <c:invertIfNegative val="0"/>
          <c:dLbls>
            <c:dLbl>
              <c:idx val="0"/>
              <c:layout>
                <c:manualLayout>
                  <c:x val="-6.3363734209482839E-2"/>
                  <c:y val="-0.1286095071449401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D2-4936-9EF2-7B9F271E018B}"/>
                </c:ext>
              </c:extLst>
            </c:dLbl>
            <c:dLbl>
              <c:idx val="1"/>
              <c:layout>
                <c:manualLayout>
                  <c:x val="-9.3638777167242726E-2"/>
                  <c:y val="1.352843394575678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D2-4936-9EF2-7B9F271E018B}"/>
                </c:ext>
              </c:extLst>
            </c:dLbl>
            <c:dLbl>
              <c:idx val="2"/>
              <c:layout>
                <c:manualLayout>
                  <c:x val="-8.9792560527441015E-2"/>
                  <c:y val="-2.364271395209457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D2-4936-9EF2-7B9F271E018B}"/>
                </c:ext>
              </c:extLst>
            </c:dLbl>
            <c:dLbl>
              <c:idx val="3"/>
              <c:layout>
                <c:manualLayout>
                  <c:x val="-9.1698408202571829E-2"/>
                  <c:y val="-4.7273257509484773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D2-4936-9EF2-7B9F271E018B}"/>
                </c:ext>
              </c:extLst>
            </c:dLbl>
            <c:dLbl>
              <c:idx val="4"/>
              <c:layout>
                <c:manualLayout>
                  <c:x val="-8.6330935251798552E-2"/>
                  <c:y val="-6.7900450176106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D2-4936-9EF2-7B9F271E018B}"/>
                </c:ext>
              </c:extLst>
            </c:dLbl>
            <c:spPr>
              <a:noFill/>
              <a:ln w="25382">
                <a:noFill/>
              </a:ln>
            </c:spPr>
            <c:txPr>
              <a:bodyPr rot="-5400000" spcFirstLastPara="1" vertOverflow="ellipsis" wrap="square" lIns="38100" tIns="19050" rIns="38100" bIns="19050" anchor="ctr" anchorCtr="1">
                <a:spAutoFit/>
              </a:bodyPr>
              <a:lstStyle/>
              <a:p>
                <a:pPr>
                  <a:defRPr sz="1196"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2017 թ</c:v>
                </c:pt>
                <c:pt idx="1">
                  <c:v>2018 թ</c:v>
                </c:pt>
                <c:pt idx="2">
                  <c:v>2019 թ</c:v>
                </c:pt>
                <c:pt idx="3">
                  <c:v>2020 թ</c:v>
                </c:pt>
                <c:pt idx="4">
                  <c:v>2021 թ</c:v>
                </c:pt>
              </c:strCache>
            </c:strRef>
          </c:cat>
          <c:val>
            <c:numRef>
              <c:f>Sheet1!$C$5:$G$5</c:f>
              <c:numCache>
                <c:formatCode>_(* #,##0.0_);_(* \(#,##0.0\);_(* "-"??_);_(@_)</c:formatCode>
                <c:ptCount val="5"/>
                <c:pt idx="0">
                  <c:v>1504.8</c:v>
                </c:pt>
                <c:pt idx="1">
                  <c:v>1447.1</c:v>
                </c:pt>
                <c:pt idx="2">
                  <c:v>1629.4</c:v>
                </c:pt>
                <c:pt idx="3">
                  <c:v>1855.9</c:v>
                </c:pt>
                <c:pt idx="4">
                  <c:v>1850.8999999999999</c:v>
                </c:pt>
              </c:numCache>
            </c:numRef>
          </c:val>
          <c:extLst>
            <c:ext xmlns:c16="http://schemas.microsoft.com/office/drawing/2014/chart" uri="{C3380CC4-5D6E-409C-BE32-E72D297353CC}">
              <c16:uniqueId val="{00000005-D4D2-4936-9EF2-7B9F271E018B}"/>
            </c:ext>
          </c:extLst>
        </c:ser>
        <c:dLbls>
          <c:showLegendKey val="0"/>
          <c:showVal val="0"/>
          <c:showCatName val="0"/>
          <c:showSerName val="0"/>
          <c:showPercent val="0"/>
          <c:showBubbleSize val="0"/>
        </c:dLbls>
        <c:gapWidth val="34"/>
        <c:overlap val="100"/>
        <c:axId val="254834176"/>
        <c:axId val="254835712"/>
      </c:barChart>
      <c:barChart>
        <c:barDir val="col"/>
        <c:grouping val="stacked"/>
        <c:varyColors val="0"/>
        <c:ser>
          <c:idx val="1"/>
          <c:order val="1"/>
          <c:tx>
            <c:strRef>
              <c:f>Sheet1!$B$6</c:f>
              <c:strCache>
                <c:ptCount val="1"/>
                <c:pt idx="0">
                  <c:v>Ընթացիկ ծախսեր</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dLbl>
              <c:idx val="0"/>
              <c:layout>
                <c:manualLayout>
                  <c:x val="-1.5290519877675841E-3"/>
                  <c:y val="-2.39361702127659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D2-4936-9EF2-7B9F271E018B}"/>
                </c:ext>
              </c:extLst>
            </c:dLbl>
            <c:dLbl>
              <c:idx val="4"/>
              <c:layout>
                <c:manualLayout>
                  <c:x val="-3.8369304556354934E-3"/>
                  <c:y val="-4.0740740740740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D2-4936-9EF2-7B9F271E018B}"/>
                </c:ext>
              </c:extLst>
            </c:dLbl>
            <c:spPr>
              <a:noFill/>
              <a:ln w="25382">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2017 թ</c:v>
                </c:pt>
                <c:pt idx="1">
                  <c:v>2018 թ</c:v>
                </c:pt>
                <c:pt idx="2">
                  <c:v>2019 թ</c:v>
                </c:pt>
                <c:pt idx="3">
                  <c:v>2020 թ</c:v>
                </c:pt>
                <c:pt idx="4">
                  <c:v>2021 թ</c:v>
                </c:pt>
              </c:strCache>
            </c:strRef>
          </c:cat>
          <c:val>
            <c:numRef>
              <c:f>Sheet1!$C$6:$G$6</c:f>
              <c:numCache>
                <c:formatCode>_(* #,##0.0_);_(* \(#,##0.0\);_(* "-"??_);_(@_)</c:formatCode>
                <c:ptCount val="5"/>
                <c:pt idx="0">
                  <c:v>1267.4000000000001</c:v>
                </c:pt>
                <c:pt idx="1">
                  <c:v>1299</c:v>
                </c:pt>
                <c:pt idx="2">
                  <c:v>1437.1</c:v>
                </c:pt>
                <c:pt idx="3">
                  <c:v>1568.2</c:v>
                </c:pt>
                <c:pt idx="4">
                  <c:v>1634.6</c:v>
                </c:pt>
              </c:numCache>
            </c:numRef>
          </c:val>
          <c:extLst>
            <c:ext xmlns:c16="http://schemas.microsoft.com/office/drawing/2014/chart" uri="{C3380CC4-5D6E-409C-BE32-E72D297353CC}">
              <c16:uniqueId val="{00000008-D4D2-4936-9EF2-7B9F271E018B}"/>
            </c:ext>
          </c:extLst>
        </c:ser>
        <c:ser>
          <c:idx val="2"/>
          <c:order val="2"/>
          <c:tx>
            <c:strRef>
              <c:f>Sheet1!$B$7</c:f>
              <c:strCache>
                <c:ptCount val="1"/>
                <c:pt idx="0">
                  <c:v>Ոչ ֆինանսական ակտիվների գծով ծախս</c:v>
                </c:pt>
              </c:strCache>
            </c:strRef>
          </c:tx>
          <c:spPr>
            <a:solidFill>
              <a:schemeClr val="accent3">
                <a:lumMod val="75000"/>
              </a:schemeClr>
            </a:solidFill>
            <a:ln>
              <a:noFill/>
            </a:ln>
            <a:effectLst/>
            <a:scene3d>
              <a:camera prst="orthographicFront"/>
              <a:lightRig rig="threePt" dir="t"/>
            </a:scene3d>
            <a:sp3d prstMaterial="metal">
              <a:bevelT/>
            </a:sp3d>
          </c:spPr>
          <c:invertIfNegative val="0"/>
          <c:dLbls>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2017 թ</c:v>
                </c:pt>
                <c:pt idx="1">
                  <c:v>2018 թ</c:v>
                </c:pt>
                <c:pt idx="2">
                  <c:v>2019 թ</c:v>
                </c:pt>
                <c:pt idx="3">
                  <c:v>2020 թ</c:v>
                </c:pt>
                <c:pt idx="4">
                  <c:v>2021 թ</c:v>
                </c:pt>
              </c:strCache>
            </c:strRef>
          </c:cat>
          <c:val>
            <c:numRef>
              <c:f>Sheet1!$C$7:$G$7</c:f>
              <c:numCache>
                <c:formatCode>_(* #,##0.0_);_(* \(#,##0.0\);_(* "-"??_);_(@_)</c:formatCode>
                <c:ptCount val="5"/>
                <c:pt idx="0">
                  <c:v>237.4</c:v>
                </c:pt>
                <c:pt idx="1">
                  <c:v>148.1</c:v>
                </c:pt>
                <c:pt idx="2">
                  <c:v>192.3</c:v>
                </c:pt>
                <c:pt idx="3">
                  <c:v>287.7</c:v>
                </c:pt>
                <c:pt idx="4">
                  <c:v>216.3</c:v>
                </c:pt>
              </c:numCache>
            </c:numRef>
          </c:val>
          <c:extLst>
            <c:ext xmlns:c16="http://schemas.microsoft.com/office/drawing/2014/chart" uri="{C3380CC4-5D6E-409C-BE32-E72D297353CC}">
              <c16:uniqueId val="{00000009-D4D2-4936-9EF2-7B9F271E018B}"/>
            </c:ext>
          </c:extLst>
        </c:ser>
        <c:dLbls>
          <c:showLegendKey val="0"/>
          <c:showVal val="0"/>
          <c:showCatName val="0"/>
          <c:showSerName val="0"/>
          <c:showPercent val="0"/>
          <c:showBubbleSize val="0"/>
        </c:dLbls>
        <c:gapWidth val="232"/>
        <c:overlap val="100"/>
        <c:axId val="254854272"/>
        <c:axId val="254855808"/>
      </c:barChart>
      <c:catAx>
        <c:axId val="254834176"/>
        <c:scaling>
          <c:orientation val="minMax"/>
        </c:scaling>
        <c:delete val="0"/>
        <c:axPos val="b"/>
        <c:numFmt formatCode="General" sourceLinked="1"/>
        <c:majorTickMark val="none"/>
        <c:minorTickMark val="none"/>
        <c:tickLblPos val="nextTo"/>
        <c:spPr>
          <a:noFill/>
          <a:ln w="25382" cap="flat" cmpd="sng" algn="ctr">
            <a:solidFill>
              <a:schemeClr val="tx2">
                <a:lumMod val="50000"/>
              </a:schemeClr>
            </a:solidFill>
            <a:round/>
          </a:ln>
          <a:effectLst/>
        </c:spPr>
        <c:txPr>
          <a:bodyPr rot="-60000000" spcFirstLastPara="1" vertOverflow="ellipsis" vert="horz" wrap="square" anchor="ctr" anchorCtr="1"/>
          <a:lstStyle/>
          <a:p>
            <a:pPr>
              <a:defRPr sz="1196" b="1" i="0" u="none" strike="noStrike" kern="1200" baseline="0">
                <a:solidFill>
                  <a:schemeClr val="tx1">
                    <a:lumMod val="65000"/>
                    <a:lumOff val="35000"/>
                  </a:schemeClr>
                </a:solidFill>
                <a:latin typeface="+mn-lt"/>
                <a:ea typeface="+mn-ea"/>
                <a:cs typeface="+mn-cs"/>
              </a:defRPr>
            </a:pPr>
            <a:endParaRPr lang="en-US"/>
          </a:p>
        </c:txPr>
        <c:crossAx val="254835712"/>
        <c:crosses val="autoZero"/>
        <c:auto val="1"/>
        <c:lblAlgn val="ctr"/>
        <c:lblOffset val="100"/>
        <c:noMultiLvlLbl val="0"/>
      </c:catAx>
      <c:valAx>
        <c:axId val="254835712"/>
        <c:scaling>
          <c:orientation val="minMax"/>
          <c:min val="0"/>
        </c:scaling>
        <c:delete val="0"/>
        <c:axPos val="l"/>
        <c:majorGridlines>
          <c:spPr>
            <a:ln w="9518" cap="flat" cmpd="sng" algn="ctr">
              <a:solidFill>
                <a:schemeClr val="tx1">
                  <a:lumMod val="15000"/>
                  <a:lumOff val="85000"/>
                </a:schemeClr>
              </a:solidFill>
              <a:round/>
            </a:ln>
            <a:effectLst/>
          </c:spPr>
        </c:majorGridlines>
        <c:title>
          <c:tx>
            <c:rich>
              <a:bodyPr/>
              <a:lstStyle/>
              <a:p>
                <a:pPr>
                  <a:defRPr sz="1200" b="0" i="0" u="none" strike="noStrike" baseline="0">
                    <a:solidFill>
                      <a:srgbClr val="333333"/>
                    </a:solidFill>
                    <a:latin typeface="GHEA Grapalat"/>
                    <a:ea typeface="GHEA Grapalat"/>
                    <a:cs typeface="GHEA Grapalat"/>
                  </a:defRPr>
                </a:pPr>
                <a:r>
                  <a:rPr lang="hy-AM" sz="1200" b="0"/>
                  <a:t>մլրդ դրամ</a:t>
                </a:r>
              </a:p>
            </c:rich>
          </c:tx>
          <c:overlay val="0"/>
          <c:spPr>
            <a:noFill/>
            <a:ln w="25382">
              <a:noFill/>
            </a:ln>
          </c:spPr>
        </c:title>
        <c:numFmt formatCode="_(* #,##0.0_);_(* \(#,##0.0\);_(* &quot;-&quot;??_);_(@_)" sourceLinked="1"/>
        <c:majorTickMark val="none"/>
        <c:minorTickMark val="none"/>
        <c:tickLblPos val="nextTo"/>
        <c:spPr>
          <a:noFill/>
          <a:ln w="28555">
            <a:solidFill>
              <a:schemeClr val="tx2">
                <a:lumMod val="50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54834176"/>
        <c:crosses val="autoZero"/>
        <c:crossBetween val="between"/>
      </c:valAx>
      <c:catAx>
        <c:axId val="254854272"/>
        <c:scaling>
          <c:orientation val="minMax"/>
        </c:scaling>
        <c:delete val="1"/>
        <c:axPos val="b"/>
        <c:numFmt formatCode="General" sourceLinked="1"/>
        <c:majorTickMark val="out"/>
        <c:minorTickMark val="none"/>
        <c:tickLblPos val="none"/>
        <c:crossAx val="254855808"/>
        <c:crosses val="autoZero"/>
        <c:auto val="1"/>
        <c:lblAlgn val="ctr"/>
        <c:lblOffset val="100"/>
        <c:noMultiLvlLbl val="0"/>
      </c:catAx>
      <c:valAx>
        <c:axId val="254855808"/>
        <c:scaling>
          <c:orientation val="minMax"/>
          <c:max val="1800"/>
          <c:min val="0"/>
        </c:scaling>
        <c:delete val="1"/>
        <c:axPos val="r"/>
        <c:numFmt formatCode="_(* #,##0.0_);_(* \(#,##0.0\);_(* &quot;-&quot;??_);_(@_)" sourceLinked="1"/>
        <c:majorTickMark val="out"/>
        <c:minorTickMark val="none"/>
        <c:tickLblPos val="none"/>
        <c:crossAx val="254854272"/>
        <c:crosses val="max"/>
        <c:crossBetween val="between"/>
        <c:majorUnit val="200"/>
      </c:valAx>
      <c:spPr>
        <a:noFill/>
        <a:ln w="25382">
          <a:noFill/>
        </a:ln>
      </c:spPr>
    </c:plotArea>
    <c:legend>
      <c:legendPos val="b"/>
      <c:legendEntry>
        <c:idx val="0"/>
        <c:delete val="1"/>
      </c:legendEntry>
      <c:layout>
        <c:manualLayout>
          <c:xMode val="edge"/>
          <c:yMode val="edge"/>
          <c:x val="5.8816782230579442E-2"/>
          <c:y val="0.92351471814054742"/>
          <c:w val="0.934860657343206"/>
          <c:h val="5.9144260510743334E-2"/>
        </c:manualLayout>
      </c:layout>
      <c:overlay val="0"/>
      <c:spPr>
        <a:noFill/>
        <a:ln w="25382">
          <a:noFill/>
        </a:ln>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88137748213571"/>
          <c:y val="2.1045606922897041E-2"/>
          <c:w val="0.86293549726037466"/>
          <c:h val="0.651164782619995"/>
        </c:manualLayout>
      </c:layout>
      <c:barChart>
        <c:barDir val="col"/>
        <c:grouping val="stacked"/>
        <c:varyColors val="0"/>
        <c:ser>
          <c:idx val="0"/>
          <c:order val="0"/>
          <c:tx>
            <c:strRef>
              <c:f>Sheet1!$B$5</c:f>
              <c:strCache>
                <c:ptCount val="1"/>
                <c:pt idx="0">
                  <c:v>Ընդամենը ծախսեր</c:v>
                </c:pt>
              </c:strCache>
            </c:strRef>
          </c:tx>
          <c:spPr>
            <a:solidFill>
              <a:schemeClr val="accent1">
                <a:lumMod val="75000"/>
                <a:alpha val="12000"/>
              </a:schemeClr>
            </a:solidFill>
            <a:ln>
              <a:noFill/>
            </a:ln>
            <a:effectLst/>
            <a:scene3d>
              <a:camera prst="orthographicFront"/>
              <a:lightRig rig="threePt" dir="t"/>
            </a:scene3d>
            <a:sp3d prstMaterial="metal">
              <a:bevelT/>
            </a:sp3d>
          </c:spPr>
          <c:invertIfNegative val="0"/>
          <c:dLbls>
            <c:dLbl>
              <c:idx val="0"/>
              <c:layout>
                <c:manualLayout>
                  <c:x val="-7.288317256162917E-2"/>
                  <c:y val="-8.26446280991735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65D-4D62-A1E2-713447B2112B}"/>
                </c:ext>
              </c:extLst>
            </c:dLbl>
            <c:dLbl>
              <c:idx val="1"/>
              <c:layout>
                <c:manualLayout>
                  <c:x val="-9.5240386121185946E-2"/>
                  <c:y val="-1.0597180085288378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5D-4D62-A1E2-713447B2112B}"/>
                </c:ext>
              </c:extLst>
            </c:dLbl>
            <c:dLbl>
              <c:idx val="2"/>
              <c:layout>
                <c:manualLayout>
                  <c:x val="-0.10593479673561718"/>
                  <c:y val="3.025530899546649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5D-4D62-A1E2-713447B2112B}"/>
                </c:ext>
              </c:extLst>
            </c:dLbl>
            <c:dLbl>
              <c:idx val="3"/>
              <c:layout>
                <c:manualLayout>
                  <c:x val="-0.10234397549180961"/>
                  <c:y val="-3.192338560985663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5D-4D62-A1E2-713447B2112B}"/>
                </c:ext>
              </c:extLst>
            </c:dLbl>
            <c:dLbl>
              <c:idx val="4"/>
              <c:layout>
                <c:manualLayout>
                  <c:x val="-9.2600619456330149E-2"/>
                  <c:y val="5.414199258150582E-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65D-4D62-A1E2-713447B2112B}"/>
                </c:ext>
              </c:extLst>
            </c:dLbl>
            <c:spPr>
              <a:noFill/>
              <a:ln w="25384">
                <a:noFill/>
              </a:ln>
            </c:spPr>
            <c:txPr>
              <a:bodyPr rot="-5400000" spcFirstLastPara="1" vertOverflow="ellipsis" wrap="square" lIns="38100" tIns="19050" rIns="38100" bIns="19050" anchor="ctr" anchorCtr="1">
                <a:spAutoFit/>
              </a:bodyPr>
              <a:lstStyle/>
              <a:p>
                <a:pPr>
                  <a:defRPr sz="1195"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2017 թ</c:v>
                </c:pt>
                <c:pt idx="1">
                  <c:v>2018 թ</c:v>
                </c:pt>
                <c:pt idx="2">
                  <c:v>2019 թ</c:v>
                </c:pt>
                <c:pt idx="3">
                  <c:v>2020 թ</c:v>
                </c:pt>
                <c:pt idx="4">
                  <c:v>2021 թ</c:v>
                </c:pt>
              </c:strCache>
            </c:strRef>
          </c:cat>
          <c:val>
            <c:numRef>
              <c:f>Sheet1!$C$5:$G$5</c:f>
              <c:numCache>
                <c:formatCode>_ * #,##0.0_)\ _ _ ;_ * \(#,##0.0\)\ _ _ ;_ * "-"??_)\ _ _ ;_ @_ </c:formatCode>
                <c:ptCount val="5"/>
                <c:pt idx="0">
                  <c:v>22.777216375658142</c:v>
                </c:pt>
                <c:pt idx="1">
                  <c:v>21.588337472248789</c:v>
                </c:pt>
                <c:pt idx="2">
                  <c:v>21.877548479449963</c:v>
                </c:pt>
                <c:pt idx="3">
                  <c:v>25.80939072940151</c:v>
                </c:pt>
                <c:pt idx="4">
                  <c:v>25.558707028734823</c:v>
                </c:pt>
              </c:numCache>
            </c:numRef>
          </c:val>
          <c:extLst>
            <c:ext xmlns:c16="http://schemas.microsoft.com/office/drawing/2014/chart" uri="{C3380CC4-5D6E-409C-BE32-E72D297353CC}">
              <c16:uniqueId val="{00000005-C65D-4D62-A1E2-713447B2112B}"/>
            </c:ext>
          </c:extLst>
        </c:ser>
        <c:dLbls>
          <c:showLegendKey val="0"/>
          <c:showVal val="0"/>
          <c:showCatName val="0"/>
          <c:showSerName val="0"/>
          <c:showPercent val="0"/>
          <c:showBubbleSize val="0"/>
        </c:dLbls>
        <c:gapWidth val="34"/>
        <c:overlap val="100"/>
        <c:axId val="258453504"/>
        <c:axId val="258455040"/>
      </c:barChart>
      <c:barChart>
        <c:barDir val="col"/>
        <c:grouping val="stacked"/>
        <c:varyColors val="0"/>
        <c:ser>
          <c:idx val="1"/>
          <c:order val="1"/>
          <c:tx>
            <c:strRef>
              <c:f>Sheet1!$B$6</c:f>
              <c:strCache>
                <c:ptCount val="1"/>
                <c:pt idx="0">
                  <c:v>Աշխատանքի վարձատրություն</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spPr>
              <a:noFill/>
              <a:ln w="25384">
                <a:noFill/>
              </a:ln>
            </c:spPr>
            <c:txPr>
              <a:bodyPr rot="0" spcFirstLastPara="1" vertOverflow="ellipsis" vert="horz" wrap="square" lIns="38100" tIns="19050" rIns="38100" bIns="19050" anchor="ctr" anchorCtr="1">
                <a:spAutoFit/>
              </a:bodyPr>
              <a:lstStyle/>
              <a:p>
                <a:pPr>
                  <a:defRPr sz="1195" b="0"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2017 թ</c:v>
                </c:pt>
                <c:pt idx="1">
                  <c:v>2018 թ</c:v>
                </c:pt>
                <c:pt idx="2">
                  <c:v>2019 թ</c:v>
                </c:pt>
                <c:pt idx="3">
                  <c:v>2020 թ</c:v>
                </c:pt>
                <c:pt idx="4">
                  <c:v>2021 թ</c:v>
                </c:pt>
              </c:strCache>
            </c:strRef>
          </c:cat>
          <c:val>
            <c:numRef>
              <c:f>Sheet1!$C$6:$G$6</c:f>
              <c:numCache>
                <c:formatCode>_ * #,##0.0_)\ _ _ ;_ * \(#,##0.0\)\ _ _ ;_ * "-"??_)\ _ _ ;_ @_ </c:formatCode>
                <c:ptCount val="5"/>
                <c:pt idx="0">
                  <c:v>2.6106375299256808</c:v>
                </c:pt>
                <c:pt idx="1">
                  <c:v>2.5387103238152893</c:v>
                </c:pt>
                <c:pt idx="2">
                  <c:v>2.6271549054085734</c:v>
                </c:pt>
                <c:pt idx="3">
                  <c:v>2.9423888924991757</c:v>
                </c:pt>
                <c:pt idx="4">
                  <c:v>2.831375569874484</c:v>
                </c:pt>
              </c:numCache>
            </c:numRef>
          </c:val>
          <c:extLst>
            <c:ext xmlns:c16="http://schemas.microsoft.com/office/drawing/2014/chart" uri="{C3380CC4-5D6E-409C-BE32-E72D297353CC}">
              <c16:uniqueId val="{00000006-C65D-4D62-A1E2-713447B2112B}"/>
            </c:ext>
          </c:extLst>
        </c:ser>
        <c:ser>
          <c:idx val="2"/>
          <c:order val="2"/>
          <c:tx>
            <c:strRef>
              <c:f>Sheet1!$B$7</c:f>
              <c:strCache>
                <c:ptCount val="1"/>
                <c:pt idx="0">
                  <c:v>Ծառայությունների և ապրանքների ձեռքբերում</c:v>
                </c:pt>
              </c:strCache>
            </c:strRef>
          </c:tx>
          <c:invertIfNegative val="0"/>
          <c:dLbls>
            <c:spPr>
              <a:noFill/>
              <a:ln w="25384">
                <a:noFill/>
              </a:ln>
            </c:spPr>
            <c:txPr>
              <a:bodyPr rot="0" spcFirstLastPara="1" vertOverflow="ellipsis" vert="horz" wrap="square" lIns="38100" tIns="19050" rIns="38100" bIns="19050" anchor="ctr" anchorCtr="1">
                <a:spAutoFit/>
              </a:bodyPr>
              <a:lstStyle/>
              <a:p>
                <a:pPr>
                  <a:defRPr sz="1195" b="0" i="0" u="none" strike="noStrike" kern="1200" baseline="0">
                    <a:solidFill>
                      <a:schemeClr val="tx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2017 թ</c:v>
                </c:pt>
                <c:pt idx="1">
                  <c:v>2018 թ</c:v>
                </c:pt>
                <c:pt idx="2">
                  <c:v>2019 թ</c:v>
                </c:pt>
                <c:pt idx="3">
                  <c:v>2020 թ</c:v>
                </c:pt>
                <c:pt idx="4">
                  <c:v>2021 թ</c:v>
                </c:pt>
              </c:strCache>
            </c:strRef>
          </c:cat>
          <c:val>
            <c:numRef>
              <c:f>Sheet1!$C$7:$G$7</c:f>
              <c:numCache>
                <c:formatCode>_ * #,##0.0_)\ _ _ ;_ * \(#,##0.0\)\ _ _ ;_ * "-"??_)\ _ _ ;_ @_ </c:formatCode>
                <c:ptCount val="5"/>
                <c:pt idx="0">
                  <c:v>2.7725197203490204</c:v>
                </c:pt>
                <c:pt idx="1">
                  <c:v>2.5867730966573044</c:v>
                </c:pt>
                <c:pt idx="2">
                  <c:v>2.9246516350631193</c:v>
                </c:pt>
                <c:pt idx="3">
                  <c:v>3.3107907786866106</c:v>
                </c:pt>
                <c:pt idx="4">
                  <c:v>2.6446796139827722</c:v>
                </c:pt>
              </c:numCache>
            </c:numRef>
          </c:val>
          <c:extLst>
            <c:ext xmlns:c16="http://schemas.microsoft.com/office/drawing/2014/chart" uri="{C3380CC4-5D6E-409C-BE32-E72D297353CC}">
              <c16:uniqueId val="{00000007-C65D-4D62-A1E2-713447B2112B}"/>
            </c:ext>
          </c:extLst>
        </c:ser>
        <c:ser>
          <c:idx val="3"/>
          <c:order val="3"/>
          <c:tx>
            <c:strRef>
              <c:f>Sheet1!$B$8</c:f>
              <c:strCache>
                <c:ptCount val="1"/>
                <c:pt idx="0">
                  <c:v>Տոկոսավճարներ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2017 թ</c:v>
                </c:pt>
                <c:pt idx="1">
                  <c:v>2018 թ</c:v>
                </c:pt>
                <c:pt idx="2">
                  <c:v>2019 թ</c:v>
                </c:pt>
                <c:pt idx="3">
                  <c:v>2020 թ</c:v>
                </c:pt>
                <c:pt idx="4">
                  <c:v>2021 թ</c:v>
                </c:pt>
              </c:strCache>
            </c:strRef>
          </c:cat>
          <c:val>
            <c:numRef>
              <c:f>Sheet1!$C$8:$G$8</c:f>
              <c:numCache>
                <c:formatCode>_ * #,##0.0_)\ _ _ ;_ * \(#,##0.0\)\ _ _ ;_ * "-"??_)\ _ _ ;_ @_ </c:formatCode>
                <c:ptCount val="5"/>
                <c:pt idx="0">
                  <c:v>2.1944549975466772</c:v>
                </c:pt>
                <c:pt idx="1">
                  <c:v>2.3103554228833483</c:v>
                </c:pt>
                <c:pt idx="2">
                  <c:v>2.3984162838755445</c:v>
                </c:pt>
                <c:pt idx="3">
                  <c:v>2.7669243881067205</c:v>
                </c:pt>
                <c:pt idx="4">
                  <c:v>3.0444195905278417</c:v>
                </c:pt>
              </c:numCache>
            </c:numRef>
          </c:val>
          <c:extLst>
            <c:ext xmlns:c16="http://schemas.microsoft.com/office/drawing/2014/chart" uri="{C3380CC4-5D6E-409C-BE32-E72D297353CC}">
              <c16:uniqueId val="{00000008-C65D-4D62-A1E2-713447B2112B}"/>
            </c:ext>
          </c:extLst>
        </c:ser>
        <c:ser>
          <c:idx val="4"/>
          <c:order val="4"/>
          <c:tx>
            <c:strRef>
              <c:f>Sheet1!$B$9</c:f>
              <c:strCache>
                <c:ptCount val="1"/>
                <c:pt idx="0">
                  <c:v>Սուբսիդիաներ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2017 թ</c:v>
                </c:pt>
                <c:pt idx="1">
                  <c:v>2018 թ</c:v>
                </c:pt>
                <c:pt idx="2">
                  <c:v>2019 թ</c:v>
                </c:pt>
                <c:pt idx="3">
                  <c:v>2020 թ</c:v>
                </c:pt>
                <c:pt idx="4">
                  <c:v>2021 թ</c:v>
                </c:pt>
              </c:strCache>
            </c:strRef>
          </c:cat>
          <c:val>
            <c:numRef>
              <c:f>Sheet1!$C$9:$G$9</c:f>
              <c:numCache>
                <c:formatCode>_ * #,##0.0_)\ _ _ ;_ * \(#,##0.0\)\ _ _ ;_ * "-"??_)\ _ _ ;_ @_ </c:formatCode>
                <c:ptCount val="5"/>
                <c:pt idx="0">
                  <c:v>2.0275618973249561</c:v>
                </c:pt>
                <c:pt idx="1">
                  <c:v>1.8485136909287156</c:v>
                </c:pt>
                <c:pt idx="2">
                  <c:v>1.7259088433563137</c:v>
                </c:pt>
                <c:pt idx="3">
                  <c:v>1.914967913702291</c:v>
                </c:pt>
                <c:pt idx="4">
                  <c:v>1.9134355508515613</c:v>
                </c:pt>
              </c:numCache>
            </c:numRef>
          </c:val>
          <c:extLst>
            <c:ext xmlns:c16="http://schemas.microsoft.com/office/drawing/2014/chart" uri="{C3380CC4-5D6E-409C-BE32-E72D297353CC}">
              <c16:uniqueId val="{00000009-C65D-4D62-A1E2-713447B2112B}"/>
            </c:ext>
          </c:extLst>
        </c:ser>
        <c:ser>
          <c:idx val="5"/>
          <c:order val="5"/>
          <c:tx>
            <c:strRef>
              <c:f>Sheet1!$B$10</c:f>
              <c:strCache>
                <c:ptCount val="1"/>
                <c:pt idx="0">
                  <c:v>Դրամաշնորհներ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2017 թ</c:v>
                </c:pt>
                <c:pt idx="1">
                  <c:v>2018 թ</c:v>
                </c:pt>
                <c:pt idx="2">
                  <c:v>2019 թ</c:v>
                </c:pt>
                <c:pt idx="3">
                  <c:v>2020 թ</c:v>
                </c:pt>
                <c:pt idx="4">
                  <c:v>2021 թ</c:v>
                </c:pt>
              </c:strCache>
            </c:strRef>
          </c:cat>
          <c:val>
            <c:numRef>
              <c:f>Sheet1!$C$10:$G$10</c:f>
              <c:numCache>
                <c:formatCode>_ * #,##0.0_)\ _ _ ;_ * \(#,##0.0\)\ _ _ ;_ * "-"??_)\ _ _ ;_ @_ </c:formatCode>
                <c:ptCount val="5"/>
                <c:pt idx="0">
                  <c:v>2.3907801554905279</c:v>
                </c:pt>
                <c:pt idx="1">
                  <c:v>2.0993402807415853</c:v>
                </c:pt>
                <c:pt idx="2">
                  <c:v>2.2834379677440406</c:v>
                </c:pt>
                <c:pt idx="3">
                  <c:v>2.7214801111130447</c:v>
                </c:pt>
                <c:pt idx="4">
                  <c:v>2.5473898610782721</c:v>
                </c:pt>
              </c:numCache>
            </c:numRef>
          </c:val>
          <c:extLst>
            <c:ext xmlns:c16="http://schemas.microsoft.com/office/drawing/2014/chart" uri="{C3380CC4-5D6E-409C-BE32-E72D297353CC}">
              <c16:uniqueId val="{0000000A-C65D-4D62-A1E2-713447B2112B}"/>
            </c:ext>
          </c:extLst>
        </c:ser>
        <c:ser>
          <c:idx val="6"/>
          <c:order val="6"/>
          <c:tx>
            <c:strRef>
              <c:f>Sheet1!$B$11</c:f>
              <c:strCache>
                <c:ptCount val="1"/>
                <c:pt idx="0">
                  <c:v>Սոցիալական նպաստներ և կենսաթոշակներ</c:v>
                </c:pt>
              </c:strCache>
            </c:strRef>
          </c:tx>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2017 թ</c:v>
                </c:pt>
                <c:pt idx="1">
                  <c:v>2018 թ</c:v>
                </c:pt>
                <c:pt idx="2">
                  <c:v>2019 թ</c:v>
                </c:pt>
                <c:pt idx="3">
                  <c:v>2020 թ</c:v>
                </c:pt>
                <c:pt idx="4">
                  <c:v>2021 թ</c:v>
                </c:pt>
              </c:strCache>
            </c:strRef>
          </c:cat>
          <c:val>
            <c:numRef>
              <c:f>Sheet1!$C$11:$G$11</c:f>
              <c:numCache>
                <c:formatCode>_ * #,##0.0_)\ _ _ ;_ * \(#,##0.0\)\ _ _ ;_ * "-"??_)\ _ _ ;_ @_ </c:formatCode>
                <c:ptCount val="5"/>
                <c:pt idx="0">
                  <c:v>7.3876930231904492</c:v>
                </c:pt>
                <c:pt idx="1">
                  <c:v>7.0712352478842071</c:v>
                </c:pt>
                <c:pt idx="2">
                  <c:v>6.8993227341847785</c:v>
                </c:pt>
                <c:pt idx="3">
                  <c:v>8.4603034170142202</c:v>
                </c:pt>
                <c:pt idx="4">
                  <c:v>8.254060816090206</c:v>
                </c:pt>
              </c:numCache>
            </c:numRef>
          </c:val>
          <c:extLst>
            <c:ext xmlns:c16="http://schemas.microsoft.com/office/drawing/2014/chart" uri="{C3380CC4-5D6E-409C-BE32-E72D297353CC}">
              <c16:uniqueId val="{0000000B-C65D-4D62-A1E2-713447B2112B}"/>
            </c:ext>
          </c:extLst>
        </c:ser>
        <c:ser>
          <c:idx val="7"/>
          <c:order val="7"/>
          <c:tx>
            <c:strRef>
              <c:f>Sheet1!$B$12</c:f>
              <c:strCache>
                <c:ptCount val="1"/>
                <c:pt idx="0">
                  <c:v>Այլ ծախսեր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Sheet1!$C$4:$G$4</c:f>
              <c:strCache>
                <c:ptCount val="5"/>
                <c:pt idx="0">
                  <c:v>2017 թ</c:v>
                </c:pt>
                <c:pt idx="1">
                  <c:v>2018 թ</c:v>
                </c:pt>
                <c:pt idx="2">
                  <c:v>2019 թ</c:v>
                </c:pt>
                <c:pt idx="3">
                  <c:v>2020 թ</c:v>
                </c:pt>
                <c:pt idx="4">
                  <c:v>2021 թ</c:v>
                </c:pt>
              </c:strCache>
            </c:strRef>
          </c:cat>
          <c:val>
            <c:numRef>
              <c:f>Sheet1!$C$12:$G$12</c:f>
              <c:numCache>
                <c:formatCode>_ * #,##0.0_)\ _ _ ;_ * \(#,##0.0\)\ _ _ ;_ * "-"??_)\ _ _ ;_ @_ </c:formatCode>
                <c:ptCount val="5"/>
                <c:pt idx="0">
                  <c:v>3.3935690518308288</c:v>
                </c:pt>
                <c:pt idx="1">
                  <c:v>3.1334094093383391</c:v>
                </c:pt>
                <c:pt idx="2">
                  <c:v>3.0186561098175995</c:v>
                </c:pt>
                <c:pt idx="3">
                  <c:v>3.6925352282794432</c:v>
                </c:pt>
                <c:pt idx="4">
                  <c:v>4.3233460263296859</c:v>
                </c:pt>
              </c:numCache>
            </c:numRef>
          </c:val>
          <c:extLst>
            <c:ext xmlns:c16="http://schemas.microsoft.com/office/drawing/2014/chart" uri="{C3380CC4-5D6E-409C-BE32-E72D297353CC}">
              <c16:uniqueId val="{0000000C-C65D-4D62-A1E2-713447B2112B}"/>
            </c:ext>
          </c:extLst>
        </c:ser>
        <c:dLbls>
          <c:showLegendKey val="0"/>
          <c:showVal val="0"/>
          <c:showCatName val="0"/>
          <c:showSerName val="0"/>
          <c:showPercent val="0"/>
          <c:showBubbleSize val="0"/>
        </c:dLbls>
        <c:gapWidth val="174"/>
        <c:overlap val="100"/>
        <c:axId val="258456960"/>
        <c:axId val="258471040"/>
      </c:barChart>
      <c:catAx>
        <c:axId val="258453504"/>
        <c:scaling>
          <c:orientation val="minMax"/>
        </c:scaling>
        <c:delete val="0"/>
        <c:axPos val="b"/>
        <c:numFmt formatCode="General" sourceLinked="1"/>
        <c:majorTickMark val="none"/>
        <c:minorTickMark val="none"/>
        <c:tickLblPos val="nextTo"/>
        <c:spPr>
          <a:noFill/>
          <a:ln w="25365" cap="flat" cmpd="sng" algn="ctr">
            <a:solidFill>
              <a:schemeClr val="tx2">
                <a:lumMod val="50000"/>
              </a:schemeClr>
            </a:solidFill>
            <a:round/>
          </a:ln>
          <a:effectLst/>
        </c:spPr>
        <c:txPr>
          <a:bodyPr rot="-60000000" spcFirstLastPara="1" vertOverflow="ellipsis" vert="horz" wrap="square" anchor="ctr" anchorCtr="1"/>
          <a:lstStyle/>
          <a:p>
            <a:pPr>
              <a:defRPr sz="1195" b="1" i="0" u="none" strike="noStrike" kern="1200" baseline="0">
                <a:solidFill>
                  <a:schemeClr val="tx1">
                    <a:lumMod val="65000"/>
                    <a:lumOff val="35000"/>
                  </a:schemeClr>
                </a:solidFill>
                <a:latin typeface="+mn-lt"/>
                <a:ea typeface="+mn-ea"/>
                <a:cs typeface="+mn-cs"/>
              </a:defRPr>
            </a:pPr>
            <a:endParaRPr lang="en-US"/>
          </a:p>
        </c:txPr>
        <c:crossAx val="258455040"/>
        <c:crosses val="autoZero"/>
        <c:auto val="1"/>
        <c:lblAlgn val="ctr"/>
        <c:lblOffset val="100"/>
        <c:noMultiLvlLbl val="0"/>
      </c:catAx>
      <c:valAx>
        <c:axId val="258455040"/>
        <c:scaling>
          <c:orientation val="minMax"/>
          <c:max val="27"/>
          <c:min val="0"/>
        </c:scaling>
        <c:delete val="0"/>
        <c:axPos val="l"/>
        <c:majorGridlines>
          <c:spPr>
            <a:ln w="9512" cap="flat" cmpd="sng" algn="ctr">
              <a:solidFill>
                <a:schemeClr val="tx1">
                  <a:lumMod val="15000"/>
                  <a:lumOff val="85000"/>
                </a:schemeClr>
              </a:solidFill>
              <a:round/>
            </a:ln>
            <a:effectLst/>
          </c:spPr>
        </c:majorGridlines>
        <c:title>
          <c:tx>
            <c:rich>
              <a:bodyPr/>
              <a:lstStyle/>
              <a:p>
                <a:pPr>
                  <a:defRPr sz="1099" b="0" i="0" u="none" strike="noStrike" baseline="0">
                    <a:solidFill>
                      <a:srgbClr val="000000"/>
                    </a:solidFill>
                    <a:latin typeface="Times Armenian"/>
                    <a:ea typeface="Times Armenian"/>
                    <a:cs typeface="Times Armenian"/>
                  </a:defRPr>
                </a:pPr>
                <a:r>
                  <a:rPr lang="en-US" sz="1324" b="1" i="0" u="none" strike="noStrike" baseline="0">
                    <a:solidFill>
                      <a:srgbClr val="003366"/>
                    </a:solidFill>
                    <a:latin typeface="GHEA Grapalat"/>
                  </a:rPr>
                  <a:t>%-ով</a:t>
                </a:r>
              </a:p>
            </c:rich>
          </c:tx>
          <c:layout>
            <c:manualLayout>
              <c:xMode val="edge"/>
              <c:yMode val="edge"/>
              <c:x val="6.3495455351039329E-2"/>
              <c:y val="0.34186785536105524"/>
            </c:manualLayout>
          </c:layout>
          <c:overlay val="0"/>
          <c:spPr>
            <a:noFill/>
            <a:ln w="25384">
              <a:noFill/>
            </a:ln>
          </c:spPr>
        </c:title>
        <c:numFmt formatCode="_ * #,##0.0_)\ _ _ ;_ * \(#,##0.0\)\ _ _ ;_ * &quot;-&quot;??_)\ _ _ ;_ @_ " sourceLinked="1"/>
        <c:majorTickMark val="none"/>
        <c:minorTickMark val="none"/>
        <c:tickLblPos val="nextTo"/>
        <c:spPr>
          <a:noFill/>
          <a:ln w="28535">
            <a:solidFill>
              <a:schemeClr val="tx2">
                <a:lumMod val="50000"/>
              </a:schemeClr>
            </a:solidFill>
          </a:ln>
          <a:effectLst/>
        </c:spPr>
        <c:txPr>
          <a:bodyPr rot="-60000000" spcFirstLastPara="1" vertOverflow="ellipsis" vert="horz" wrap="square" anchor="ctr" anchorCtr="1"/>
          <a:lstStyle/>
          <a:p>
            <a:pPr>
              <a:defRPr sz="1195" b="1" i="0" u="none" strike="noStrike" kern="1200" baseline="0">
                <a:solidFill>
                  <a:schemeClr val="tx1">
                    <a:lumMod val="65000"/>
                    <a:lumOff val="35000"/>
                  </a:schemeClr>
                </a:solidFill>
                <a:latin typeface="+mn-lt"/>
                <a:ea typeface="+mn-ea"/>
                <a:cs typeface="+mn-cs"/>
              </a:defRPr>
            </a:pPr>
            <a:endParaRPr lang="en-US"/>
          </a:p>
        </c:txPr>
        <c:crossAx val="258453504"/>
        <c:crosses val="autoZero"/>
        <c:crossBetween val="between"/>
        <c:majorUnit val="9"/>
      </c:valAx>
      <c:catAx>
        <c:axId val="258456960"/>
        <c:scaling>
          <c:orientation val="minMax"/>
        </c:scaling>
        <c:delete val="1"/>
        <c:axPos val="b"/>
        <c:numFmt formatCode="General" sourceLinked="1"/>
        <c:majorTickMark val="out"/>
        <c:minorTickMark val="none"/>
        <c:tickLblPos val="none"/>
        <c:crossAx val="258471040"/>
        <c:crosses val="autoZero"/>
        <c:auto val="1"/>
        <c:lblAlgn val="ctr"/>
        <c:lblOffset val="100"/>
        <c:noMultiLvlLbl val="0"/>
      </c:catAx>
      <c:valAx>
        <c:axId val="258471040"/>
        <c:scaling>
          <c:orientation val="minMax"/>
          <c:max val="1800"/>
          <c:min val="0"/>
        </c:scaling>
        <c:delete val="1"/>
        <c:axPos val="r"/>
        <c:numFmt formatCode="_ * #,##0.0_)\ _ _ ;_ * \(#,##0.0\)\ _ _ ;_ * &quot;-&quot;??_)\ _ _ ;_ @_ " sourceLinked="1"/>
        <c:majorTickMark val="out"/>
        <c:minorTickMark val="none"/>
        <c:tickLblPos val="none"/>
        <c:crossAx val="258456960"/>
        <c:crosses val="max"/>
        <c:crossBetween val="between"/>
        <c:majorUnit val="200"/>
      </c:valAx>
      <c:spPr>
        <a:noFill/>
        <a:ln w="25384">
          <a:noFill/>
        </a:ln>
      </c:spPr>
    </c:plotArea>
    <c:legend>
      <c:legendPos val="b"/>
      <c:legendEntry>
        <c:idx val="0"/>
        <c:delete val="1"/>
      </c:legendEntry>
      <c:layout>
        <c:manualLayout>
          <c:xMode val="edge"/>
          <c:yMode val="edge"/>
          <c:x val="2.4081482352019432E-2"/>
          <c:y val="0.73774320634163226"/>
          <c:w val="0.93770531095188703"/>
          <c:h val="0.26225678401770031"/>
        </c:manualLayout>
      </c:layout>
      <c:overlay val="0"/>
      <c:spPr>
        <a:noFill/>
        <a:ln w="2538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54904248080105"/>
          <c:y val="3.4598351262430223E-2"/>
          <c:w val="0.89231829274929153"/>
          <c:h val="0.71384989534536081"/>
        </c:manualLayout>
      </c:layout>
      <c:barChart>
        <c:barDir val="col"/>
        <c:grouping val="stacked"/>
        <c:varyColors val="0"/>
        <c:ser>
          <c:idx val="0"/>
          <c:order val="0"/>
          <c:tx>
            <c:strRef>
              <c:f>Sheet1!$B$7</c:f>
              <c:strCache>
                <c:ptCount val="1"/>
                <c:pt idx="0">
                  <c:v>Կապիտալ ծախսեր</c:v>
                </c:pt>
              </c:strCache>
            </c:strRef>
          </c:tx>
          <c:spPr>
            <a:solidFill>
              <a:schemeClr val="accent1">
                <a:lumMod val="75000"/>
                <a:alpha val="12000"/>
              </a:schemeClr>
            </a:solidFill>
            <a:ln>
              <a:solidFill>
                <a:schemeClr val="bg1"/>
              </a:solidFill>
            </a:ln>
            <a:effectLst/>
            <a:scene3d>
              <a:camera prst="orthographicFront"/>
              <a:lightRig rig="threePt" dir="t"/>
            </a:scene3d>
            <a:sp3d prstMaterial="metal">
              <a:bevelT/>
            </a:sp3d>
          </c:spPr>
          <c:invertIfNegative val="0"/>
          <c:dLbls>
            <c:dLbl>
              <c:idx val="0"/>
              <c:layout>
                <c:manualLayout>
                  <c:x val="-6.7083697871099482E-2"/>
                  <c:y val="-5.95440710756225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83-4D7C-8F22-98D8A557181E}"/>
                </c:ext>
              </c:extLst>
            </c:dLbl>
            <c:dLbl>
              <c:idx val="1"/>
              <c:layout>
                <c:manualLayout>
                  <c:x val="-8.9120108060452494E-2"/>
                  <c:y val="6.29273763687028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83-4D7C-8F22-98D8A557181E}"/>
                </c:ext>
              </c:extLst>
            </c:dLbl>
            <c:dLbl>
              <c:idx val="2"/>
              <c:layout>
                <c:manualLayout>
                  <c:x val="-9.4399864115598905E-2"/>
                  <c:y val="4.075988298819422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83-4D7C-8F22-98D8A557181E}"/>
                </c:ext>
              </c:extLst>
            </c:dLbl>
            <c:dLbl>
              <c:idx val="3"/>
              <c:layout>
                <c:manualLayout>
                  <c:x val="-8.6370810206101323E-2"/>
                  <c:y val="1.4684306593655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83-4D7C-8F22-98D8A557181E}"/>
                </c:ext>
              </c:extLst>
            </c:dLbl>
            <c:dLbl>
              <c:idx val="4"/>
              <c:layout>
                <c:manualLayout>
                  <c:x val="-0.10257185444412042"/>
                  <c:y val="-2.21034342538168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83-4D7C-8F22-98D8A557181E}"/>
                </c:ext>
              </c:extLst>
            </c:dLbl>
            <c:spPr>
              <a:noFill/>
              <a:ln w="25383">
                <a:noFill/>
              </a:ln>
            </c:spPr>
            <c:txPr>
              <a:bodyPr rot="-5400000" spcFirstLastPara="1" vertOverflow="ellipsis" wrap="square" lIns="38100" tIns="19050" rIns="38100" bIns="19050" anchor="ctr" anchorCtr="1">
                <a:spAutoFit/>
              </a:bodyPr>
              <a:lstStyle/>
              <a:p>
                <a:pPr>
                  <a:defRPr sz="1196"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2017թ</c:v>
                </c:pt>
                <c:pt idx="1">
                  <c:v>2018 թ</c:v>
                </c:pt>
                <c:pt idx="2">
                  <c:v>2019 թ</c:v>
                </c:pt>
                <c:pt idx="3">
                  <c:v>2020թ</c:v>
                </c:pt>
                <c:pt idx="4">
                  <c:v>2021 թ</c:v>
                </c:pt>
              </c:strCache>
            </c:strRef>
          </c:cat>
          <c:val>
            <c:numRef>
              <c:f>Sheet1!$C$7:$G$7</c:f>
              <c:numCache>
                <c:formatCode>_(* #,##0.0_);_(* \(#,##0.0\);_(* "-"??_);_(@_)</c:formatCode>
                <c:ptCount val="5"/>
                <c:pt idx="0">
                  <c:v>237.4</c:v>
                </c:pt>
                <c:pt idx="1">
                  <c:v>148.1</c:v>
                </c:pt>
                <c:pt idx="2">
                  <c:v>192.3</c:v>
                </c:pt>
                <c:pt idx="3">
                  <c:v>287.7</c:v>
                </c:pt>
                <c:pt idx="4">
                  <c:v>216.3</c:v>
                </c:pt>
              </c:numCache>
            </c:numRef>
          </c:val>
          <c:extLst>
            <c:ext xmlns:c16="http://schemas.microsoft.com/office/drawing/2014/chart" uri="{C3380CC4-5D6E-409C-BE32-E72D297353CC}">
              <c16:uniqueId val="{00000005-BF83-4D7C-8F22-98D8A557181E}"/>
            </c:ext>
          </c:extLst>
        </c:ser>
        <c:dLbls>
          <c:showLegendKey val="0"/>
          <c:showVal val="0"/>
          <c:showCatName val="0"/>
          <c:showSerName val="0"/>
          <c:showPercent val="0"/>
          <c:showBubbleSize val="0"/>
        </c:dLbls>
        <c:gapWidth val="34"/>
        <c:overlap val="100"/>
        <c:axId val="258369408"/>
        <c:axId val="258370944"/>
      </c:barChart>
      <c:barChart>
        <c:barDir val="col"/>
        <c:grouping val="stacked"/>
        <c:varyColors val="0"/>
        <c:ser>
          <c:idx val="1"/>
          <c:order val="1"/>
          <c:tx>
            <c:strRef>
              <c:f>Sheet1!$B$8</c:f>
              <c:strCache>
                <c:ptCount val="1"/>
                <c:pt idx="0">
                  <c:v>արտաքին ռեսուրսների հաշվին իրականացվող ծրագրեր (ներառյալ ՀՀ կառավարության համաֆինանսավորումը)</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spPr>
              <a:noFill/>
              <a:ln w="25383">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2017թ</c:v>
                </c:pt>
                <c:pt idx="1">
                  <c:v>2018 թ</c:v>
                </c:pt>
                <c:pt idx="2">
                  <c:v>2019 թ</c:v>
                </c:pt>
                <c:pt idx="3">
                  <c:v>2020թ</c:v>
                </c:pt>
                <c:pt idx="4">
                  <c:v>2021 թ</c:v>
                </c:pt>
              </c:strCache>
            </c:strRef>
          </c:cat>
          <c:val>
            <c:numRef>
              <c:f>Sheet1!$C$8:$G$8</c:f>
              <c:numCache>
                <c:formatCode>_(* #,##0.0_);_(* \(#,##0.0\);_(* "-"??_);_(@_)</c:formatCode>
                <c:ptCount val="5"/>
                <c:pt idx="0">
                  <c:v>175.2</c:v>
                </c:pt>
                <c:pt idx="1">
                  <c:v>63.8</c:v>
                </c:pt>
                <c:pt idx="2">
                  <c:v>70.900000000000006</c:v>
                </c:pt>
                <c:pt idx="3">
                  <c:v>172.4</c:v>
                </c:pt>
                <c:pt idx="4">
                  <c:v>83.3</c:v>
                </c:pt>
              </c:numCache>
            </c:numRef>
          </c:val>
          <c:extLst>
            <c:ext xmlns:c16="http://schemas.microsoft.com/office/drawing/2014/chart" uri="{C3380CC4-5D6E-409C-BE32-E72D297353CC}">
              <c16:uniqueId val="{00000006-BF83-4D7C-8F22-98D8A557181E}"/>
            </c:ext>
          </c:extLst>
        </c:ser>
        <c:ser>
          <c:idx val="2"/>
          <c:order val="2"/>
          <c:tx>
            <c:strRef>
              <c:f>Sheet1!$B$9</c:f>
              <c:strCache>
                <c:ptCount val="1"/>
                <c:pt idx="0">
                  <c:v>ներքին ռեսուրսների հաշվին իրականացվող ծրագրեր</c:v>
                </c:pt>
              </c:strCache>
            </c:strRef>
          </c:tx>
          <c:spPr>
            <a:solidFill>
              <a:schemeClr val="accent3">
                <a:lumMod val="75000"/>
              </a:schemeClr>
            </a:solidFill>
            <a:ln>
              <a:noFill/>
            </a:ln>
            <a:effectLst/>
            <a:scene3d>
              <a:camera prst="orthographicFront"/>
              <a:lightRig rig="threePt" dir="t"/>
            </a:scene3d>
            <a:sp3d prstMaterial="metal">
              <a:bevelT/>
            </a:sp3d>
          </c:spPr>
          <c:invertIfNegative val="0"/>
          <c:dLbls>
            <c:spPr>
              <a:noFill/>
              <a:ln w="25383">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2017թ</c:v>
                </c:pt>
                <c:pt idx="1">
                  <c:v>2018 թ</c:v>
                </c:pt>
                <c:pt idx="2">
                  <c:v>2019 թ</c:v>
                </c:pt>
                <c:pt idx="3">
                  <c:v>2020թ</c:v>
                </c:pt>
                <c:pt idx="4">
                  <c:v>2021 թ</c:v>
                </c:pt>
              </c:strCache>
            </c:strRef>
          </c:cat>
          <c:val>
            <c:numRef>
              <c:f>Sheet1!$C$9:$G$9</c:f>
              <c:numCache>
                <c:formatCode>_(* #,##0.0_);_(* \(#,##0.0\);_(* "-"??_);_(@_)</c:formatCode>
                <c:ptCount val="5"/>
                <c:pt idx="0">
                  <c:v>62.2</c:v>
                </c:pt>
                <c:pt idx="1">
                  <c:v>84.3</c:v>
                </c:pt>
                <c:pt idx="2">
                  <c:v>121.4</c:v>
                </c:pt>
                <c:pt idx="3">
                  <c:v>115.3</c:v>
                </c:pt>
                <c:pt idx="4">
                  <c:v>133</c:v>
                </c:pt>
              </c:numCache>
            </c:numRef>
          </c:val>
          <c:extLst>
            <c:ext xmlns:c16="http://schemas.microsoft.com/office/drawing/2014/chart" uri="{C3380CC4-5D6E-409C-BE32-E72D297353CC}">
              <c16:uniqueId val="{00000007-BF83-4D7C-8F22-98D8A557181E}"/>
            </c:ext>
          </c:extLst>
        </c:ser>
        <c:dLbls>
          <c:showLegendKey val="0"/>
          <c:showVal val="0"/>
          <c:showCatName val="0"/>
          <c:showSerName val="0"/>
          <c:showPercent val="0"/>
          <c:showBubbleSize val="0"/>
        </c:dLbls>
        <c:gapWidth val="232"/>
        <c:overlap val="100"/>
        <c:axId val="258376832"/>
        <c:axId val="258378368"/>
      </c:barChart>
      <c:catAx>
        <c:axId val="258369408"/>
        <c:scaling>
          <c:orientation val="minMax"/>
        </c:scaling>
        <c:delete val="0"/>
        <c:axPos val="b"/>
        <c:numFmt formatCode="General" sourceLinked="1"/>
        <c:majorTickMark val="none"/>
        <c:minorTickMark val="none"/>
        <c:tickLblPos val="nextTo"/>
        <c:spPr>
          <a:noFill/>
          <a:ln w="25383" cap="flat" cmpd="sng" algn="ctr">
            <a:solidFill>
              <a:schemeClr val="tx2">
                <a:lumMod val="50000"/>
              </a:schemeClr>
            </a:solidFill>
            <a:round/>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crossAx val="258370944"/>
        <c:crosses val="autoZero"/>
        <c:auto val="1"/>
        <c:lblAlgn val="ctr"/>
        <c:lblOffset val="100"/>
        <c:noMultiLvlLbl val="0"/>
      </c:catAx>
      <c:valAx>
        <c:axId val="258370944"/>
        <c:scaling>
          <c:orientation val="minMax"/>
          <c:max val="300"/>
        </c:scaling>
        <c:delete val="0"/>
        <c:axPos val="l"/>
        <c:majorGridlines>
          <c:spPr>
            <a:ln w="9518"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w="28555">
            <a:solidFill>
              <a:schemeClr val="tx2">
                <a:lumMod val="50000"/>
              </a:schemeClr>
            </a:solid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crossAx val="258369408"/>
        <c:crosses val="autoZero"/>
        <c:crossBetween val="between"/>
      </c:valAx>
      <c:catAx>
        <c:axId val="258376832"/>
        <c:scaling>
          <c:orientation val="minMax"/>
        </c:scaling>
        <c:delete val="1"/>
        <c:axPos val="b"/>
        <c:numFmt formatCode="General" sourceLinked="1"/>
        <c:majorTickMark val="out"/>
        <c:minorTickMark val="none"/>
        <c:tickLblPos val="none"/>
        <c:crossAx val="258378368"/>
        <c:crosses val="autoZero"/>
        <c:auto val="1"/>
        <c:lblAlgn val="ctr"/>
        <c:lblOffset val="100"/>
        <c:noMultiLvlLbl val="0"/>
      </c:catAx>
      <c:valAx>
        <c:axId val="258378368"/>
        <c:scaling>
          <c:orientation val="minMax"/>
          <c:max val="1800"/>
          <c:min val="0"/>
        </c:scaling>
        <c:delete val="1"/>
        <c:axPos val="r"/>
        <c:numFmt formatCode="_(* #,##0.0_);_(* \(#,##0.0\);_(* &quot;-&quot;??_);_(@_)" sourceLinked="1"/>
        <c:majorTickMark val="out"/>
        <c:minorTickMark val="none"/>
        <c:tickLblPos val="none"/>
        <c:crossAx val="258376832"/>
        <c:crosses val="max"/>
        <c:crossBetween val="between"/>
        <c:majorUnit val="200"/>
      </c:valAx>
      <c:spPr>
        <a:noFill/>
        <a:ln w="25383">
          <a:noFill/>
        </a:ln>
      </c:spPr>
    </c:plotArea>
    <c:legend>
      <c:legendPos val="b"/>
      <c:legendEntry>
        <c:idx val="0"/>
        <c:delete val="1"/>
      </c:legendEntry>
      <c:layout>
        <c:manualLayout>
          <c:xMode val="edge"/>
          <c:yMode val="edge"/>
          <c:x val="8.8978571708387216E-2"/>
          <c:y val="0.82125816362506932"/>
          <c:w val="0.89454930074039252"/>
          <c:h val="0.16204041658971741"/>
        </c:manualLayout>
      </c:layout>
      <c:overlay val="0"/>
      <c:spPr>
        <a:noFill/>
        <a:ln w="25383">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c:f>
              <c:strCache>
                <c:ptCount val="1"/>
                <c:pt idx="0">
                  <c:v> 2018-2021թ․ ընդամենը ծախսեր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2017թ․ փաստացի</c:v>
                </c:pt>
                <c:pt idx="1">
                  <c:v>2018թ․ փաստացի</c:v>
                </c:pt>
                <c:pt idx="2">
                  <c:v>2019թ․ փաստացի</c:v>
                </c:pt>
                <c:pt idx="3">
                  <c:v>2020թ․</c:v>
                </c:pt>
                <c:pt idx="4">
                  <c:v>2021թ․ նախագիծ</c:v>
                </c:pt>
              </c:strCache>
            </c:strRef>
          </c:cat>
          <c:val>
            <c:numRef>
              <c:f>Sheet1!$B$2:$F$2</c:f>
              <c:numCache>
                <c:formatCode>_(* #,##0_);_(* \(#,##0\);_(* "-"??_);_(@_)</c:formatCode>
                <c:ptCount val="5"/>
                <c:pt idx="0" formatCode="#,##0.0">
                  <c:v>1504.8</c:v>
                </c:pt>
                <c:pt idx="1">
                  <c:v>1447</c:v>
                </c:pt>
                <c:pt idx="2" formatCode="_(* #,##0.0_);_(* \(#,##0.0\);_(* &quot;-&quot;??_);_(@_)">
                  <c:v>1629</c:v>
                </c:pt>
                <c:pt idx="3" formatCode="_(* #,##0.0_);_(* \(#,##0.0\);_(* &quot;-&quot;??_);_(@_)">
                  <c:v>1855.8</c:v>
                </c:pt>
                <c:pt idx="4" formatCode="_(* #,##0.0_);_(* \(#,##0.0\);_(* &quot;-&quot;??_);_(@_)">
                  <c:v>1850.8</c:v>
                </c:pt>
              </c:numCache>
            </c:numRef>
          </c:val>
          <c:extLst>
            <c:ext xmlns:c16="http://schemas.microsoft.com/office/drawing/2014/chart" uri="{C3380CC4-5D6E-409C-BE32-E72D297353CC}">
              <c16:uniqueId val="{00000000-55E6-4FC4-8281-853B4CCD4297}"/>
            </c:ext>
          </c:extLst>
        </c:ser>
        <c:ser>
          <c:idx val="1"/>
          <c:order val="1"/>
          <c:tx>
            <c:strRef>
              <c:f>Sheet1!$A$3</c:f>
              <c:strCache>
                <c:ptCount val="1"/>
                <c:pt idx="0">
                  <c:v>տարբերությունը նախորդ տարվա համեմատությամբ</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2017թ․ փաստացի</c:v>
                </c:pt>
                <c:pt idx="1">
                  <c:v>2018թ․ փաստացի</c:v>
                </c:pt>
                <c:pt idx="2">
                  <c:v>2019թ․ փաստացի</c:v>
                </c:pt>
                <c:pt idx="3">
                  <c:v>2020թ․</c:v>
                </c:pt>
                <c:pt idx="4">
                  <c:v>2021թ․ նախագիծ</c:v>
                </c:pt>
              </c:strCache>
            </c:strRef>
          </c:cat>
          <c:val>
            <c:numRef>
              <c:f>Sheet1!$B$3:$F$3</c:f>
              <c:numCache>
                <c:formatCode>0.0</c:formatCode>
                <c:ptCount val="5"/>
                <c:pt idx="1">
                  <c:v>-57.799999999999976</c:v>
                </c:pt>
                <c:pt idx="2">
                  <c:v>182</c:v>
                </c:pt>
                <c:pt idx="3" formatCode="_(* #,##0.00_);_(* \(#,##0.00\);_(* &quot;-&quot;??_);_(@_)">
                  <c:v>226.79999999999995</c:v>
                </c:pt>
                <c:pt idx="4" formatCode="_(* #,##0.0_);_(* \(#,##0.0\);_(* &quot;-&quot;??_);_(@_)">
                  <c:v>-5</c:v>
                </c:pt>
              </c:numCache>
            </c:numRef>
          </c:val>
          <c:extLst>
            <c:ext xmlns:c16="http://schemas.microsoft.com/office/drawing/2014/chart" uri="{C3380CC4-5D6E-409C-BE32-E72D297353CC}">
              <c16:uniqueId val="{00000001-55E6-4FC4-8281-853B4CCD4297}"/>
            </c:ext>
          </c:extLst>
        </c:ser>
        <c:dLbls>
          <c:showLegendKey val="0"/>
          <c:showVal val="0"/>
          <c:showCatName val="0"/>
          <c:showSerName val="0"/>
          <c:showPercent val="0"/>
          <c:showBubbleSize val="0"/>
        </c:dLbls>
        <c:gapWidth val="100"/>
        <c:overlap val="-24"/>
        <c:axId val="259785856"/>
        <c:axId val="259787392"/>
      </c:barChart>
      <c:catAx>
        <c:axId val="259785856"/>
        <c:scaling>
          <c:orientation val="minMax"/>
        </c:scaling>
        <c:delete val="0"/>
        <c:axPos val="b"/>
        <c:numFmt formatCode="General" sourceLinked="0"/>
        <c:majorTickMark val="none"/>
        <c:minorTickMark val="none"/>
        <c:tickLblPos val="nextTo"/>
        <c:spPr>
          <a:noFill/>
          <a:ln w="9268" cap="flat" cmpd="sng" algn="ctr">
            <a:solidFill>
              <a:schemeClr val="tx2">
                <a:lumMod val="15000"/>
                <a:lumOff val="85000"/>
              </a:schemeClr>
            </a:solidFill>
            <a:round/>
          </a:ln>
          <a:effectLst/>
        </c:spPr>
        <c:txPr>
          <a:bodyPr rot="-60000000" spcFirstLastPara="1" vertOverflow="ellipsis" vert="horz" wrap="square" anchor="ctr" anchorCtr="1"/>
          <a:lstStyle/>
          <a:p>
            <a:pPr>
              <a:defRPr sz="1165" b="0" i="0" u="none" strike="noStrike" kern="1200" baseline="0">
                <a:solidFill>
                  <a:schemeClr val="tx2"/>
                </a:solidFill>
                <a:latin typeface="+mn-lt"/>
                <a:ea typeface="+mn-ea"/>
                <a:cs typeface="+mn-cs"/>
              </a:defRPr>
            </a:pPr>
            <a:endParaRPr lang="en-US"/>
          </a:p>
        </c:txPr>
        <c:crossAx val="259787392"/>
        <c:crosses val="autoZero"/>
        <c:auto val="1"/>
        <c:lblAlgn val="ctr"/>
        <c:lblOffset val="100"/>
        <c:noMultiLvlLbl val="0"/>
      </c:catAx>
      <c:valAx>
        <c:axId val="259787392"/>
        <c:scaling>
          <c:orientation val="minMax"/>
        </c:scaling>
        <c:delete val="0"/>
        <c:axPos val="l"/>
        <c:majorGridlines>
          <c:spPr>
            <a:ln w="9268" cap="flat" cmpd="sng" algn="ctr">
              <a:solidFill>
                <a:schemeClr val="tx2">
                  <a:lumMod val="15000"/>
                  <a:lumOff val="85000"/>
                </a:schemeClr>
              </a:solidFill>
              <a:round/>
            </a:ln>
            <a:effectLst/>
          </c:spPr>
        </c:majorGridlines>
        <c:numFmt formatCode="#,##0.0" sourceLinked="1"/>
        <c:majorTickMark val="none"/>
        <c:minorTickMark val="none"/>
        <c:tickLblPos val="nextTo"/>
        <c:spPr>
          <a:ln w="9268">
            <a:noFill/>
          </a:ln>
        </c:spPr>
        <c:txPr>
          <a:bodyPr rot="-60000000" spcFirstLastPara="1" vertOverflow="ellipsis" vert="horz" wrap="square" anchor="ctr" anchorCtr="1"/>
          <a:lstStyle/>
          <a:p>
            <a:pPr>
              <a:defRPr sz="1165" b="0" i="0" u="none" strike="noStrike" kern="1200" baseline="0">
                <a:solidFill>
                  <a:schemeClr val="tx2"/>
                </a:solidFill>
                <a:latin typeface="+mn-lt"/>
                <a:ea typeface="+mn-ea"/>
                <a:cs typeface="+mn-cs"/>
              </a:defRPr>
            </a:pPr>
            <a:endParaRPr lang="en-US"/>
          </a:p>
        </c:txPr>
        <c:crossAx val="259785856"/>
        <c:crosses val="autoZero"/>
        <c:crossBetween val="between"/>
      </c:valAx>
      <c:dTable>
        <c:showHorzBorder val="1"/>
        <c:showVertBorder val="1"/>
        <c:showOutline val="1"/>
        <c:showKeys val="0"/>
        <c:spPr>
          <a:noFill/>
          <a:ln w="9268">
            <a:solidFill>
              <a:schemeClr val="tx2">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tx2"/>
                </a:solidFill>
                <a:latin typeface="+mn-lt"/>
                <a:ea typeface="+mn-ea"/>
                <a:cs typeface="+mn-cs"/>
              </a:defRPr>
            </a:pPr>
            <a:endParaRPr lang="en-US"/>
          </a:p>
        </c:txPr>
      </c:dTable>
      <c:spPr>
        <a:noFill/>
        <a:ln w="25357">
          <a:noFill/>
        </a:ln>
      </c:spPr>
    </c:plotArea>
    <c:legend>
      <c:legendPos val="b"/>
      <c:layout>
        <c:manualLayout>
          <c:xMode val="edge"/>
          <c:yMode val="edge"/>
          <c:x val="4.6738665148153384E-2"/>
          <c:y val="0.91527637598916056"/>
          <c:w val="0.9"/>
          <c:h val="7.7194934411213584E-2"/>
        </c:manualLayout>
      </c:layout>
      <c:overlay val="0"/>
      <c:spPr>
        <a:noFill/>
        <a:ln w="24717">
          <a:noFill/>
        </a:ln>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2017</c:v>
                </c:pt>
              </c:strCache>
            </c:strRef>
          </c:tx>
          <c:spPr>
            <a:solidFill>
              <a:schemeClr val="accent1"/>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Sheet1!$B$2:$B$5</c:f>
              <c:numCache>
                <c:formatCode>0%</c:formatCode>
                <c:ptCount val="4"/>
                <c:pt idx="0">
                  <c:v>0.19800000000000001</c:v>
                </c:pt>
                <c:pt idx="1">
                  <c:v>0.27700000000000002</c:v>
                </c:pt>
                <c:pt idx="2">
                  <c:v>9.8000000000000032E-2</c:v>
                </c:pt>
                <c:pt idx="3">
                  <c:v>0.42700000000000016</c:v>
                </c:pt>
              </c:numCache>
            </c:numRef>
          </c:val>
          <c:extLst>
            <c:ext xmlns:c16="http://schemas.microsoft.com/office/drawing/2014/chart" uri="{C3380CC4-5D6E-409C-BE32-E72D297353CC}">
              <c16:uniqueId val="{00000000-9ADE-47CF-8877-C3FA0F6EBFE4}"/>
            </c:ext>
          </c:extLst>
        </c:ser>
        <c:ser>
          <c:idx val="1"/>
          <c:order val="1"/>
          <c:tx>
            <c:strRef>
              <c:f>Sheet1!$C$1</c:f>
              <c:strCache>
                <c:ptCount val="1"/>
                <c:pt idx="0">
                  <c:v>2018</c:v>
                </c:pt>
              </c:strCache>
            </c:strRef>
          </c:tx>
          <c:spPr>
            <a:solidFill>
              <a:schemeClr val="accent2"/>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Sheet1!$C$2:$C$5</c:f>
              <c:numCache>
                <c:formatCode>0%</c:formatCode>
                <c:ptCount val="4"/>
                <c:pt idx="0">
                  <c:v>0.21600000000000005</c:v>
                </c:pt>
                <c:pt idx="1">
                  <c:v>0.25</c:v>
                </c:pt>
                <c:pt idx="2">
                  <c:v>9.0000000000000024E-2</c:v>
                </c:pt>
                <c:pt idx="3">
                  <c:v>0.44400000000000001</c:v>
                </c:pt>
              </c:numCache>
            </c:numRef>
          </c:val>
          <c:extLst>
            <c:ext xmlns:c16="http://schemas.microsoft.com/office/drawing/2014/chart" uri="{C3380CC4-5D6E-409C-BE32-E72D297353CC}">
              <c16:uniqueId val="{00000001-9ADE-47CF-8877-C3FA0F6EBFE4}"/>
            </c:ext>
          </c:extLst>
        </c:ser>
        <c:ser>
          <c:idx val="2"/>
          <c:order val="2"/>
          <c:tx>
            <c:strRef>
              <c:f>Sheet1!$D$1</c:f>
              <c:strCache>
                <c:ptCount val="1"/>
                <c:pt idx="0">
                  <c:v>2019</c:v>
                </c:pt>
              </c:strCache>
            </c:strRef>
          </c:tx>
          <c:spPr>
            <a:solidFill>
              <a:schemeClr val="accent3"/>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Sheet1!$D$2:$D$5</c:f>
              <c:numCache>
                <c:formatCode>0%</c:formatCode>
                <c:ptCount val="4"/>
                <c:pt idx="0">
                  <c:v>0.19600000000000001</c:v>
                </c:pt>
                <c:pt idx="1">
                  <c:v>0.28200000000000008</c:v>
                </c:pt>
                <c:pt idx="2">
                  <c:v>8.2000000000000003E-2</c:v>
                </c:pt>
                <c:pt idx="3">
                  <c:v>0.43900000000000011</c:v>
                </c:pt>
              </c:numCache>
            </c:numRef>
          </c:val>
          <c:extLst>
            <c:ext xmlns:c16="http://schemas.microsoft.com/office/drawing/2014/chart" uri="{C3380CC4-5D6E-409C-BE32-E72D297353CC}">
              <c16:uniqueId val="{00000002-9ADE-47CF-8877-C3FA0F6EBFE4}"/>
            </c:ext>
          </c:extLst>
        </c:ser>
        <c:ser>
          <c:idx val="3"/>
          <c:order val="3"/>
          <c:tx>
            <c:strRef>
              <c:f>Sheet1!$E$1</c:f>
              <c:strCache>
                <c:ptCount val="1"/>
                <c:pt idx="0">
                  <c:v>2020</c:v>
                </c:pt>
              </c:strCache>
            </c:strRef>
          </c:tx>
          <c:spPr>
            <a:solidFill>
              <a:schemeClr val="accent4"/>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Sheet1!$E$2:$E$5</c:f>
              <c:numCache>
                <c:formatCode>0%</c:formatCode>
                <c:ptCount val="4"/>
                <c:pt idx="0">
                  <c:v>0.19800000000000001</c:v>
                </c:pt>
                <c:pt idx="1">
                  <c:v>0.24800000000000005</c:v>
                </c:pt>
                <c:pt idx="2">
                  <c:v>0.12400000000000003</c:v>
                </c:pt>
                <c:pt idx="3">
                  <c:v>0.4300000000000001</c:v>
                </c:pt>
              </c:numCache>
            </c:numRef>
          </c:val>
          <c:extLst>
            <c:ext xmlns:c16="http://schemas.microsoft.com/office/drawing/2014/chart" uri="{C3380CC4-5D6E-409C-BE32-E72D297353CC}">
              <c16:uniqueId val="{00000003-9ADE-47CF-8877-C3FA0F6EBFE4}"/>
            </c:ext>
          </c:extLst>
        </c:ser>
        <c:ser>
          <c:idx val="4"/>
          <c:order val="4"/>
          <c:tx>
            <c:strRef>
              <c:f>Sheet1!$F$1</c:f>
              <c:strCache>
                <c:ptCount val="1"/>
                <c:pt idx="0">
                  <c:v>2021</c:v>
                </c:pt>
              </c:strCache>
            </c:strRef>
          </c:tx>
          <c:spPr>
            <a:solidFill>
              <a:schemeClr val="accent5"/>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Sheet1!$F$2:$F$5</c:f>
              <c:numCache>
                <c:formatCode>0%</c:formatCode>
                <c:ptCount val="4"/>
                <c:pt idx="0">
                  <c:v>0.21700000000000005</c:v>
                </c:pt>
                <c:pt idx="1">
                  <c:v>0.253</c:v>
                </c:pt>
                <c:pt idx="2">
                  <c:v>9.4000000000000028E-2</c:v>
                </c:pt>
                <c:pt idx="3">
                  <c:v>0.43600000000000011</c:v>
                </c:pt>
              </c:numCache>
            </c:numRef>
          </c:val>
          <c:extLst>
            <c:ext xmlns:c16="http://schemas.microsoft.com/office/drawing/2014/chart" uri="{C3380CC4-5D6E-409C-BE32-E72D297353CC}">
              <c16:uniqueId val="{00000004-9ADE-47CF-8877-C3FA0F6EBFE4}"/>
            </c:ext>
          </c:extLst>
        </c:ser>
        <c:dLbls>
          <c:showLegendKey val="0"/>
          <c:showVal val="0"/>
          <c:showCatName val="0"/>
          <c:showSerName val="0"/>
          <c:showPercent val="0"/>
          <c:showBubbleSize val="0"/>
        </c:dLbls>
        <c:gapWidth val="269"/>
        <c:overlap val="-20"/>
        <c:axId val="259877888"/>
        <c:axId val="259876352"/>
      </c:barChart>
      <c:valAx>
        <c:axId val="259876352"/>
        <c:scaling>
          <c:orientation val="minMax"/>
          <c:max val="0.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77888"/>
        <c:crosses val="autoZero"/>
        <c:crossBetween val="between"/>
      </c:valAx>
      <c:catAx>
        <c:axId val="259877888"/>
        <c:scaling>
          <c:orientation val="minMax"/>
        </c:scaling>
        <c:delete val="0"/>
        <c:axPos val="l"/>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59876352"/>
        <c:crossesAt val="0"/>
        <c:auto val="1"/>
        <c:lblAlgn val="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5196995403199"/>
          <c:y val="7.7165906699403722E-2"/>
          <c:w val="0.8143446617975697"/>
          <c:h val="0.55352314562924432"/>
        </c:manualLayout>
      </c:layout>
      <c:lineChart>
        <c:grouping val="standard"/>
        <c:varyColors val="0"/>
        <c:ser>
          <c:idx val="0"/>
          <c:order val="0"/>
          <c:tx>
            <c:strRef>
              <c:f>Sheet1!$B$1</c:f>
              <c:strCache>
                <c:ptCount val="1"/>
                <c:pt idx="0">
                  <c:v>Հայաստան (2025թ.)</c:v>
                </c:pt>
              </c:strCache>
            </c:strRef>
          </c:tx>
          <c:spPr>
            <a:ln w="28575" cap="rnd">
              <a:solidFill>
                <a:schemeClr val="accent1"/>
              </a:solidFill>
              <a:round/>
            </a:ln>
            <a:effectLst/>
          </c:spPr>
          <c:marker>
            <c:symbol val="none"/>
          </c:marker>
          <c:cat>
            <c:numRef>
              <c:f>Sheet1!$A$2:$A$483</c:f>
              <c:numCache>
                <c:formatCode>m\/d\/yyyy</c:formatCode>
                <c:ptCount val="482"/>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numCache>
            </c:numRef>
          </c:cat>
          <c:val>
            <c:numRef>
              <c:f>Sheet1!$B$2:$B$483</c:f>
              <c:numCache>
                <c:formatCode>0</c:formatCode>
                <c:ptCount val="482"/>
                <c:pt idx="0">
                  <c:v>348.70499999999993</c:v>
                </c:pt>
                <c:pt idx="1">
                  <c:v>352.69600000000003</c:v>
                </c:pt>
                <c:pt idx="2">
                  <c:v>361.13400000000001</c:v>
                </c:pt>
                <c:pt idx="3">
                  <c:v>347.70299999999986</c:v>
                </c:pt>
                <c:pt idx="4">
                  <c:v>340.77499999999986</c:v>
                </c:pt>
                <c:pt idx="5">
                  <c:v>333.61</c:v>
                </c:pt>
                <c:pt idx="6">
                  <c:v>331.3</c:v>
                </c:pt>
                <c:pt idx="7">
                  <c:v>331.27199999999988</c:v>
                </c:pt>
                <c:pt idx="8">
                  <c:v>333.39400000000001</c:v>
                </c:pt>
                <c:pt idx="9">
                  <c:v>334.38499999999999</c:v>
                </c:pt>
                <c:pt idx="10">
                  <c:v>329.75299999999999</c:v>
                </c:pt>
                <c:pt idx="11">
                  <c:v>327.49499999999989</c:v>
                </c:pt>
                <c:pt idx="12">
                  <c:v>320.31799999999993</c:v>
                </c:pt>
                <c:pt idx="13">
                  <c:v>286.29700000000003</c:v>
                </c:pt>
                <c:pt idx="14">
                  <c:v>285.86399999999986</c:v>
                </c:pt>
                <c:pt idx="15">
                  <c:v>293.00900000000001</c:v>
                </c:pt>
                <c:pt idx="16">
                  <c:v>290.04700000000008</c:v>
                </c:pt>
                <c:pt idx="17">
                  <c:v>287.94299999999993</c:v>
                </c:pt>
                <c:pt idx="18">
                  <c:v>288.18599999999986</c:v>
                </c:pt>
                <c:pt idx="19">
                  <c:v>295.01099999999991</c:v>
                </c:pt>
                <c:pt idx="20">
                  <c:v>298.45400000000001</c:v>
                </c:pt>
                <c:pt idx="21">
                  <c:v>298.88599999999991</c:v>
                </c:pt>
                <c:pt idx="22">
                  <c:v>294.01299999999986</c:v>
                </c:pt>
                <c:pt idx="23">
                  <c:v>286.50700000000001</c:v>
                </c:pt>
                <c:pt idx="24">
                  <c:v>284.57</c:v>
                </c:pt>
                <c:pt idx="25">
                  <c:v>278.03500000000003</c:v>
                </c:pt>
                <c:pt idx="26">
                  <c:v>279.78399999999988</c:v>
                </c:pt>
                <c:pt idx="27">
                  <c:v>277.21899999999988</c:v>
                </c:pt>
                <c:pt idx="28">
                  <c:v>279.70099999999991</c:v>
                </c:pt>
                <c:pt idx="29">
                  <c:v>278.54599999999999</c:v>
                </c:pt>
                <c:pt idx="30">
                  <c:v>275.03199999999975</c:v>
                </c:pt>
                <c:pt idx="31">
                  <c:v>269.74700000000001</c:v>
                </c:pt>
                <c:pt idx="32">
                  <c:v>271.74599999999987</c:v>
                </c:pt>
                <c:pt idx="33">
                  <c:v>270.59399999999988</c:v>
                </c:pt>
                <c:pt idx="34">
                  <c:v>270.75</c:v>
                </c:pt>
                <c:pt idx="35">
                  <c:v>271.14400000000012</c:v>
                </c:pt>
                <c:pt idx="36">
                  <c:v>269.73699999999985</c:v>
                </c:pt>
                <c:pt idx="37">
                  <c:v>265.14999999999998</c:v>
                </c:pt>
                <c:pt idx="38">
                  <c:v>270.358</c:v>
                </c:pt>
                <c:pt idx="39">
                  <c:v>267.68400000000008</c:v>
                </c:pt>
                <c:pt idx="40">
                  <c:v>271.07</c:v>
                </c:pt>
                <c:pt idx="41">
                  <c:v>258.7949999999999</c:v>
                </c:pt>
                <c:pt idx="42">
                  <c:v>253.67099999999999</c:v>
                </c:pt>
                <c:pt idx="43">
                  <c:v>254.13499999999999</c:v>
                </c:pt>
                <c:pt idx="44">
                  <c:v>255.22200000000001</c:v>
                </c:pt>
                <c:pt idx="45">
                  <c:v>253.96600000000001</c:v>
                </c:pt>
                <c:pt idx="46">
                  <c:v>256.01400000000001</c:v>
                </c:pt>
                <c:pt idx="47">
                  <c:v>260.77499999999986</c:v>
                </c:pt>
                <c:pt idx="48">
                  <c:v>260.31799999999993</c:v>
                </c:pt>
                <c:pt idx="49">
                  <c:v>257.75599999999986</c:v>
                </c:pt>
                <c:pt idx="50">
                  <c:v>258.79199999999975</c:v>
                </c:pt>
                <c:pt idx="51">
                  <c:v>260.94799999999987</c:v>
                </c:pt>
                <c:pt idx="52">
                  <c:v>257.26900000000001</c:v>
                </c:pt>
                <c:pt idx="53">
                  <c:v>259.75099999999986</c:v>
                </c:pt>
                <c:pt idx="54">
                  <c:v>256.78599999999989</c:v>
                </c:pt>
                <c:pt idx="55">
                  <c:v>257.197</c:v>
                </c:pt>
                <c:pt idx="56">
                  <c:v>263.24099999999999</c:v>
                </c:pt>
                <c:pt idx="57">
                  <c:v>258.25299999999999</c:v>
                </c:pt>
                <c:pt idx="58">
                  <c:v>268.36900000000014</c:v>
                </c:pt>
                <c:pt idx="59">
                  <c:v>274.68099999999993</c:v>
                </c:pt>
                <c:pt idx="60">
                  <c:v>267.04700000000008</c:v>
                </c:pt>
                <c:pt idx="61">
                  <c:v>271.31799999999993</c:v>
                </c:pt>
                <c:pt idx="62">
                  <c:v>270.05099999999999</c:v>
                </c:pt>
                <c:pt idx="63">
                  <c:v>261.30700000000002</c:v>
                </c:pt>
                <c:pt idx="64">
                  <c:v>256.553</c:v>
                </c:pt>
                <c:pt idx="65">
                  <c:v>259.012</c:v>
                </c:pt>
                <c:pt idx="66">
                  <c:v>256.27699999999987</c:v>
                </c:pt>
                <c:pt idx="67">
                  <c:v>256.28399999999988</c:v>
                </c:pt>
                <c:pt idx="68">
                  <c:v>256.4609999999999</c:v>
                </c:pt>
                <c:pt idx="69">
                  <c:v>255.374</c:v>
                </c:pt>
                <c:pt idx="70">
                  <c:v>255.87300000000002</c:v>
                </c:pt>
                <c:pt idx="71">
                  <c:v>260.4249999999999</c:v>
                </c:pt>
                <c:pt idx="72">
                  <c:v>259.26400000000001</c:v>
                </c:pt>
                <c:pt idx="73">
                  <c:v>252.77699999999999</c:v>
                </c:pt>
                <c:pt idx="74">
                  <c:v>249.44</c:v>
                </c:pt>
                <c:pt idx="75">
                  <c:v>244.70299999999997</c:v>
                </c:pt>
                <c:pt idx="76">
                  <c:v>247.69499999999999</c:v>
                </c:pt>
                <c:pt idx="77">
                  <c:v>248.88900000000001</c:v>
                </c:pt>
                <c:pt idx="78">
                  <c:v>248.88900000000001</c:v>
                </c:pt>
                <c:pt idx="79">
                  <c:v>248.88900000000001</c:v>
                </c:pt>
                <c:pt idx="80">
                  <c:v>249.863</c:v>
                </c:pt>
                <c:pt idx="81">
                  <c:v>251.77899999999997</c:v>
                </c:pt>
                <c:pt idx="82">
                  <c:v>252.75200000000001</c:v>
                </c:pt>
                <c:pt idx="83">
                  <c:v>254.34399999999999</c:v>
                </c:pt>
                <c:pt idx="84">
                  <c:v>252.71799999999999</c:v>
                </c:pt>
                <c:pt idx="85">
                  <c:v>254.85400000000001</c:v>
                </c:pt>
                <c:pt idx="86">
                  <c:v>256.959</c:v>
                </c:pt>
                <c:pt idx="87">
                  <c:v>242.625</c:v>
                </c:pt>
                <c:pt idx="88">
                  <c:v>241.10999999999999</c:v>
                </c:pt>
                <c:pt idx="89">
                  <c:v>241.10999999999999</c:v>
                </c:pt>
                <c:pt idx="90">
                  <c:v>249.089</c:v>
                </c:pt>
                <c:pt idx="91">
                  <c:v>243.14599999999999</c:v>
                </c:pt>
                <c:pt idx="92">
                  <c:v>249.03900000000002</c:v>
                </c:pt>
                <c:pt idx="93">
                  <c:v>243.36100000000005</c:v>
                </c:pt>
                <c:pt idx="94">
                  <c:v>253.88300000000001</c:v>
                </c:pt>
                <c:pt idx="95">
                  <c:v>247.28200000000001</c:v>
                </c:pt>
                <c:pt idx="96">
                  <c:v>249.74599999999998</c:v>
                </c:pt>
                <c:pt idx="97">
                  <c:v>243.67499999999998</c:v>
                </c:pt>
                <c:pt idx="98">
                  <c:v>244.47900000000001</c:v>
                </c:pt>
                <c:pt idx="99">
                  <c:v>241.43800000000005</c:v>
                </c:pt>
                <c:pt idx="100">
                  <c:v>235.60999999999999</c:v>
                </c:pt>
                <c:pt idx="101">
                  <c:v>239.41399999999999</c:v>
                </c:pt>
                <c:pt idx="102">
                  <c:v>250.99700000000001</c:v>
                </c:pt>
                <c:pt idx="103">
                  <c:v>245.846</c:v>
                </c:pt>
                <c:pt idx="104">
                  <c:v>245.846</c:v>
                </c:pt>
                <c:pt idx="105">
                  <c:v>248.48600000000005</c:v>
                </c:pt>
                <c:pt idx="106">
                  <c:v>251.09900000000002</c:v>
                </c:pt>
                <c:pt idx="107">
                  <c:v>247.684</c:v>
                </c:pt>
                <c:pt idx="108">
                  <c:v>260.87700000000001</c:v>
                </c:pt>
                <c:pt idx="109">
                  <c:v>268.78699999999975</c:v>
                </c:pt>
                <c:pt idx="110">
                  <c:v>262.53099999999989</c:v>
                </c:pt>
                <c:pt idx="111">
                  <c:v>261.74799999999999</c:v>
                </c:pt>
                <c:pt idx="112">
                  <c:v>260.834</c:v>
                </c:pt>
                <c:pt idx="113">
                  <c:v>260.048</c:v>
                </c:pt>
                <c:pt idx="114">
                  <c:v>254.25800000000001</c:v>
                </c:pt>
                <c:pt idx="115">
                  <c:v>251.202</c:v>
                </c:pt>
                <c:pt idx="116">
                  <c:v>257.41599999999988</c:v>
                </c:pt>
                <c:pt idx="117">
                  <c:v>262.82900000000001</c:v>
                </c:pt>
                <c:pt idx="118">
                  <c:v>260.11500000000001</c:v>
                </c:pt>
                <c:pt idx="119">
                  <c:v>254.125</c:v>
                </c:pt>
                <c:pt idx="120">
                  <c:v>249.91200000000001</c:v>
                </c:pt>
                <c:pt idx="121">
                  <c:v>244.01499999999999</c:v>
                </c:pt>
                <c:pt idx="122">
                  <c:v>242.76900000000001</c:v>
                </c:pt>
                <c:pt idx="123">
                  <c:v>243.727</c:v>
                </c:pt>
                <c:pt idx="124">
                  <c:v>243.16900000000001</c:v>
                </c:pt>
                <c:pt idx="125">
                  <c:v>242.41800000000001</c:v>
                </c:pt>
                <c:pt idx="126">
                  <c:v>237.61299999999997</c:v>
                </c:pt>
                <c:pt idx="127">
                  <c:v>238.44200000000001</c:v>
                </c:pt>
                <c:pt idx="128">
                  <c:v>233.708</c:v>
                </c:pt>
                <c:pt idx="129">
                  <c:v>222.92400000000001</c:v>
                </c:pt>
                <c:pt idx="130">
                  <c:v>228.923</c:v>
                </c:pt>
                <c:pt idx="131">
                  <c:v>228.00299999999999</c:v>
                </c:pt>
                <c:pt idx="132">
                  <c:v>227.636</c:v>
                </c:pt>
                <c:pt idx="133">
                  <c:v>222.36500000000001</c:v>
                </c:pt>
                <c:pt idx="134">
                  <c:v>223.95600000000005</c:v>
                </c:pt>
                <c:pt idx="135">
                  <c:v>221.91</c:v>
                </c:pt>
                <c:pt idx="136">
                  <c:v>223.37700000000001</c:v>
                </c:pt>
                <c:pt idx="137">
                  <c:v>214.012</c:v>
                </c:pt>
                <c:pt idx="138">
                  <c:v>216.98400000000001</c:v>
                </c:pt>
                <c:pt idx="139">
                  <c:v>221.012</c:v>
                </c:pt>
                <c:pt idx="140">
                  <c:v>216.78900000000002</c:v>
                </c:pt>
                <c:pt idx="141">
                  <c:v>222.13900000000001</c:v>
                </c:pt>
                <c:pt idx="142">
                  <c:v>223.01</c:v>
                </c:pt>
                <c:pt idx="143">
                  <c:v>217.83800000000005</c:v>
                </c:pt>
                <c:pt idx="144">
                  <c:v>221.26499999999999</c:v>
                </c:pt>
                <c:pt idx="145">
                  <c:v>217.566</c:v>
                </c:pt>
                <c:pt idx="146">
                  <c:v>217.94499999999999</c:v>
                </c:pt>
                <c:pt idx="147">
                  <c:v>216.49700000000001</c:v>
                </c:pt>
                <c:pt idx="148">
                  <c:v>212.833</c:v>
                </c:pt>
                <c:pt idx="149">
                  <c:v>215.227</c:v>
                </c:pt>
                <c:pt idx="150">
                  <c:v>215.35500000000005</c:v>
                </c:pt>
                <c:pt idx="151">
                  <c:v>217.934</c:v>
                </c:pt>
                <c:pt idx="152">
                  <c:v>227.86700000000005</c:v>
                </c:pt>
                <c:pt idx="153">
                  <c:v>237.309</c:v>
                </c:pt>
                <c:pt idx="154">
                  <c:v>258.02699999999987</c:v>
                </c:pt>
                <c:pt idx="155">
                  <c:v>254.761</c:v>
                </c:pt>
                <c:pt idx="156">
                  <c:v>259.05900000000008</c:v>
                </c:pt>
                <c:pt idx="157">
                  <c:v>249.93100000000001</c:v>
                </c:pt>
                <c:pt idx="158">
                  <c:v>250.697</c:v>
                </c:pt>
                <c:pt idx="159">
                  <c:v>258.99699999999984</c:v>
                </c:pt>
                <c:pt idx="160">
                  <c:v>251.86700000000005</c:v>
                </c:pt>
                <c:pt idx="161">
                  <c:v>261.565</c:v>
                </c:pt>
                <c:pt idx="162">
                  <c:v>271.08499999999987</c:v>
                </c:pt>
                <c:pt idx="163">
                  <c:v>267.51900000000001</c:v>
                </c:pt>
                <c:pt idx="164">
                  <c:v>263.87</c:v>
                </c:pt>
                <c:pt idx="165">
                  <c:v>268.68099999999993</c:v>
                </c:pt>
                <c:pt idx="166">
                  <c:v>264.40899999999988</c:v>
                </c:pt>
                <c:pt idx="167">
                  <c:v>261.04199999999986</c:v>
                </c:pt>
                <c:pt idx="168">
                  <c:v>270.13499999999999</c:v>
                </c:pt>
                <c:pt idx="169">
                  <c:v>270.13499999999999</c:v>
                </c:pt>
                <c:pt idx="170">
                  <c:v>269.95299999999986</c:v>
                </c:pt>
                <c:pt idx="171">
                  <c:v>271.57599999999991</c:v>
                </c:pt>
                <c:pt idx="172">
                  <c:v>269.27199999999988</c:v>
                </c:pt>
                <c:pt idx="173">
                  <c:v>265.15600000000001</c:v>
                </c:pt>
                <c:pt idx="174">
                  <c:v>269.4899999999999</c:v>
                </c:pt>
                <c:pt idx="175">
                  <c:v>274.92699999999985</c:v>
                </c:pt>
                <c:pt idx="176">
                  <c:v>274.65600000000001</c:v>
                </c:pt>
                <c:pt idx="177">
                  <c:v>260.089</c:v>
                </c:pt>
                <c:pt idx="178">
                  <c:v>261.67099999999999</c:v>
                </c:pt>
                <c:pt idx="179">
                  <c:v>256.053</c:v>
                </c:pt>
                <c:pt idx="180">
                  <c:v>247.108</c:v>
                </c:pt>
                <c:pt idx="181">
                  <c:v>245.76999999999998</c:v>
                </c:pt>
                <c:pt idx="182">
                  <c:v>239.947</c:v>
                </c:pt>
                <c:pt idx="183">
                  <c:v>234.815</c:v>
                </c:pt>
                <c:pt idx="184">
                  <c:v>234.959</c:v>
                </c:pt>
                <c:pt idx="185">
                  <c:v>235.00399999999999</c:v>
                </c:pt>
                <c:pt idx="186">
                  <c:v>237.99100000000001</c:v>
                </c:pt>
                <c:pt idx="187">
                  <c:v>224.423</c:v>
                </c:pt>
                <c:pt idx="188">
                  <c:v>217.96300000000002</c:v>
                </c:pt>
                <c:pt idx="189">
                  <c:v>216.83200000000005</c:v>
                </c:pt>
                <c:pt idx="190">
                  <c:v>223.154</c:v>
                </c:pt>
                <c:pt idx="191">
                  <c:v>221.76</c:v>
                </c:pt>
                <c:pt idx="192">
                  <c:v>223.24699999999999</c:v>
                </c:pt>
                <c:pt idx="193">
                  <c:v>221.84300000000002</c:v>
                </c:pt>
                <c:pt idx="194">
                  <c:v>222.82200000000006</c:v>
                </c:pt>
                <c:pt idx="195">
                  <c:v>231.58100000000005</c:v>
                </c:pt>
                <c:pt idx="196">
                  <c:v>238.494</c:v>
                </c:pt>
                <c:pt idx="197">
                  <c:v>248.16399999999999</c:v>
                </c:pt>
                <c:pt idx="198">
                  <c:v>243.983</c:v>
                </c:pt>
                <c:pt idx="199">
                  <c:v>241.39200000000005</c:v>
                </c:pt>
                <c:pt idx="200">
                  <c:v>243.41499999999999</c:v>
                </c:pt>
                <c:pt idx="201">
                  <c:v>241.411</c:v>
                </c:pt>
                <c:pt idx="202">
                  <c:v>232.81399999999999</c:v>
                </c:pt>
                <c:pt idx="203">
                  <c:v>220.941</c:v>
                </c:pt>
                <c:pt idx="204">
                  <c:v>223.37200000000001</c:v>
                </c:pt>
                <c:pt idx="205">
                  <c:v>215.63399999999999</c:v>
                </c:pt>
                <c:pt idx="206">
                  <c:v>216.798</c:v>
                </c:pt>
                <c:pt idx="207">
                  <c:v>215.12700000000001</c:v>
                </c:pt>
                <c:pt idx="208">
                  <c:v>217.846</c:v>
                </c:pt>
                <c:pt idx="209">
                  <c:v>213.85800000000006</c:v>
                </c:pt>
                <c:pt idx="210">
                  <c:v>215.06399999999999</c:v>
                </c:pt>
                <c:pt idx="211">
                  <c:v>215.82400000000001</c:v>
                </c:pt>
                <c:pt idx="212">
                  <c:v>215.45600000000005</c:v>
                </c:pt>
                <c:pt idx="213">
                  <c:v>211.74699999999999</c:v>
                </c:pt>
                <c:pt idx="214">
                  <c:v>208.85000000000005</c:v>
                </c:pt>
                <c:pt idx="215">
                  <c:v>207.584</c:v>
                </c:pt>
                <c:pt idx="216">
                  <c:v>213.22300000000001</c:v>
                </c:pt>
                <c:pt idx="217">
                  <c:v>220.95500000000001</c:v>
                </c:pt>
                <c:pt idx="218">
                  <c:v>216.27699999999999</c:v>
                </c:pt>
                <c:pt idx="219">
                  <c:v>210.10399999999998</c:v>
                </c:pt>
                <c:pt idx="220">
                  <c:v>205.95400000000001</c:v>
                </c:pt>
                <c:pt idx="221">
                  <c:v>210.26399999999998</c:v>
                </c:pt>
                <c:pt idx="222">
                  <c:v>197.71399999999994</c:v>
                </c:pt>
                <c:pt idx="223">
                  <c:v>199.11299999999997</c:v>
                </c:pt>
                <c:pt idx="224">
                  <c:v>205.21899999999999</c:v>
                </c:pt>
                <c:pt idx="225">
                  <c:v>207.655</c:v>
                </c:pt>
                <c:pt idx="226">
                  <c:v>211.36700000000005</c:v>
                </c:pt>
                <c:pt idx="227">
                  <c:v>209.61199999999999</c:v>
                </c:pt>
                <c:pt idx="228">
                  <c:v>205.34</c:v>
                </c:pt>
                <c:pt idx="229">
                  <c:v>206.83500000000001</c:v>
                </c:pt>
                <c:pt idx="230">
                  <c:v>208.43800000000005</c:v>
                </c:pt>
                <c:pt idx="231">
                  <c:v>213.02600000000001</c:v>
                </c:pt>
                <c:pt idx="232">
                  <c:v>210.495</c:v>
                </c:pt>
                <c:pt idx="233">
                  <c:v>207.21699999999998</c:v>
                </c:pt>
                <c:pt idx="234">
                  <c:v>207.25800000000001</c:v>
                </c:pt>
                <c:pt idx="235">
                  <c:v>207.73399999999998</c:v>
                </c:pt>
                <c:pt idx="236">
                  <c:v>203.00299999999999</c:v>
                </c:pt>
                <c:pt idx="237">
                  <c:v>201.58100000000005</c:v>
                </c:pt>
                <c:pt idx="238">
                  <c:v>199.94</c:v>
                </c:pt>
                <c:pt idx="239">
                  <c:v>203.124</c:v>
                </c:pt>
                <c:pt idx="240">
                  <c:v>213.02100000000004</c:v>
                </c:pt>
                <c:pt idx="241">
                  <c:v>205.88100000000006</c:v>
                </c:pt>
                <c:pt idx="242">
                  <c:v>201.45400000000001</c:v>
                </c:pt>
                <c:pt idx="243">
                  <c:v>195.904</c:v>
                </c:pt>
                <c:pt idx="244">
                  <c:v>196.51499999999999</c:v>
                </c:pt>
                <c:pt idx="245">
                  <c:v>195.11199999999999</c:v>
                </c:pt>
                <c:pt idx="246">
                  <c:v>198.64499999999998</c:v>
                </c:pt>
                <c:pt idx="247">
                  <c:v>189.029</c:v>
                </c:pt>
                <c:pt idx="248">
                  <c:v>194.94900000000001</c:v>
                </c:pt>
                <c:pt idx="249">
                  <c:v>187.12200000000001</c:v>
                </c:pt>
                <c:pt idx="250">
                  <c:v>185.07300000000001</c:v>
                </c:pt>
                <c:pt idx="251">
                  <c:v>182.1</c:v>
                </c:pt>
                <c:pt idx="252">
                  <c:v>177.82800000000006</c:v>
                </c:pt>
                <c:pt idx="253">
                  <c:v>176.93700000000001</c:v>
                </c:pt>
                <c:pt idx="254">
                  <c:v>173.03399999999999</c:v>
                </c:pt>
                <c:pt idx="255">
                  <c:v>168.935</c:v>
                </c:pt>
                <c:pt idx="256">
                  <c:v>168.935</c:v>
                </c:pt>
                <c:pt idx="257">
                  <c:v>168.935</c:v>
                </c:pt>
                <c:pt idx="258">
                  <c:v>173.934</c:v>
                </c:pt>
                <c:pt idx="259">
                  <c:v>172.476</c:v>
                </c:pt>
                <c:pt idx="260">
                  <c:v>168.59</c:v>
                </c:pt>
                <c:pt idx="261">
                  <c:v>168.59</c:v>
                </c:pt>
                <c:pt idx="262">
                  <c:v>174.77699999999999</c:v>
                </c:pt>
                <c:pt idx="263">
                  <c:v>182.55100000000004</c:v>
                </c:pt>
                <c:pt idx="264">
                  <c:v>184.61899999999997</c:v>
                </c:pt>
                <c:pt idx="265">
                  <c:v>185.30100000000004</c:v>
                </c:pt>
                <c:pt idx="266">
                  <c:v>176.298</c:v>
                </c:pt>
                <c:pt idx="267">
                  <c:v>171.441</c:v>
                </c:pt>
                <c:pt idx="268">
                  <c:v>169.59700000000001</c:v>
                </c:pt>
                <c:pt idx="269">
                  <c:v>168.232</c:v>
                </c:pt>
                <c:pt idx="270">
                  <c:v>164.4</c:v>
                </c:pt>
                <c:pt idx="271">
                  <c:v>165.82800000000006</c:v>
                </c:pt>
                <c:pt idx="272">
                  <c:v>160.566</c:v>
                </c:pt>
                <c:pt idx="273">
                  <c:v>161.85700000000006</c:v>
                </c:pt>
                <c:pt idx="274">
                  <c:v>160.589</c:v>
                </c:pt>
                <c:pt idx="275">
                  <c:v>165.39600000000004</c:v>
                </c:pt>
                <c:pt idx="276">
                  <c:v>166.464</c:v>
                </c:pt>
                <c:pt idx="277">
                  <c:v>171.768</c:v>
                </c:pt>
                <c:pt idx="278">
                  <c:v>174.583</c:v>
                </c:pt>
                <c:pt idx="279">
                  <c:v>183.017</c:v>
                </c:pt>
                <c:pt idx="280">
                  <c:v>178.46900000000002</c:v>
                </c:pt>
                <c:pt idx="281">
                  <c:v>183.524</c:v>
                </c:pt>
                <c:pt idx="282">
                  <c:v>185.91800000000001</c:v>
                </c:pt>
                <c:pt idx="283">
                  <c:v>185.22900000000001</c:v>
                </c:pt>
                <c:pt idx="284">
                  <c:v>182.233</c:v>
                </c:pt>
                <c:pt idx="285">
                  <c:v>180.11299999999997</c:v>
                </c:pt>
                <c:pt idx="286">
                  <c:v>175.846</c:v>
                </c:pt>
                <c:pt idx="287">
                  <c:v>171.053</c:v>
                </c:pt>
                <c:pt idx="288">
                  <c:v>178.58500000000001</c:v>
                </c:pt>
                <c:pt idx="289">
                  <c:v>181.50200000000001</c:v>
                </c:pt>
                <c:pt idx="290">
                  <c:v>179.459</c:v>
                </c:pt>
                <c:pt idx="291">
                  <c:v>176.40600000000001</c:v>
                </c:pt>
                <c:pt idx="292">
                  <c:v>175.101</c:v>
                </c:pt>
                <c:pt idx="293">
                  <c:v>177.66</c:v>
                </c:pt>
                <c:pt idx="294">
                  <c:v>174.23499999999999</c:v>
                </c:pt>
                <c:pt idx="295">
                  <c:v>177.84700000000001</c:v>
                </c:pt>
                <c:pt idx="296">
                  <c:v>175.63900000000001</c:v>
                </c:pt>
                <c:pt idx="297">
                  <c:v>175.631</c:v>
                </c:pt>
                <c:pt idx="298">
                  <c:v>181.22900000000001</c:v>
                </c:pt>
                <c:pt idx="299">
                  <c:v>189.16300000000001</c:v>
                </c:pt>
                <c:pt idx="300">
                  <c:v>195.92600000000004</c:v>
                </c:pt>
                <c:pt idx="301">
                  <c:v>195.54900000000001</c:v>
                </c:pt>
                <c:pt idx="302">
                  <c:v>209.55500000000001</c:v>
                </c:pt>
                <c:pt idx="303">
                  <c:v>230.81</c:v>
                </c:pt>
                <c:pt idx="304">
                  <c:v>223.82900000000001</c:v>
                </c:pt>
                <c:pt idx="305">
                  <c:v>219.364</c:v>
                </c:pt>
                <c:pt idx="306">
                  <c:v>233.79399999999998</c:v>
                </c:pt>
                <c:pt idx="307">
                  <c:v>238.19800000000001</c:v>
                </c:pt>
                <c:pt idx="308">
                  <c:v>245.66800000000001</c:v>
                </c:pt>
                <c:pt idx="309">
                  <c:v>328.6400000000001</c:v>
                </c:pt>
                <c:pt idx="310">
                  <c:v>324.30399999999986</c:v>
                </c:pt>
                <c:pt idx="311">
                  <c:v>335.64900000000011</c:v>
                </c:pt>
                <c:pt idx="312">
                  <c:v>405.19499999999999</c:v>
                </c:pt>
                <c:pt idx="313">
                  <c:v>402.24200000000002</c:v>
                </c:pt>
                <c:pt idx="314">
                  <c:v>417.32900000000001</c:v>
                </c:pt>
                <c:pt idx="315">
                  <c:v>438.57100000000003</c:v>
                </c:pt>
                <c:pt idx="316">
                  <c:v>501.28699999999975</c:v>
                </c:pt>
                <c:pt idx="317">
                  <c:v>572.38900000000001</c:v>
                </c:pt>
                <c:pt idx="318">
                  <c:v>614.08500000000004</c:v>
                </c:pt>
                <c:pt idx="319">
                  <c:v>670.245</c:v>
                </c:pt>
                <c:pt idx="320">
                  <c:v>660.89800000000002</c:v>
                </c:pt>
                <c:pt idx="321">
                  <c:v>627.34599999999978</c:v>
                </c:pt>
                <c:pt idx="322">
                  <c:v>613.50099999999998</c:v>
                </c:pt>
                <c:pt idx="323">
                  <c:v>608.726</c:v>
                </c:pt>
                <c:pt idx="324">
                  <c:v>609.45799999999974</c:v>
                </c:pt>
                <c:pt idx="325">
                  <c:v>608.77900000000022</c:v>
                </c:pt>
                <c:pt idx="326">
                  <c:v>608.72</c:v>
                </c:pt>
                <c:pt idx="327">
                  <c:v>603.64800000000002</c:v>
                </c:pt>
                <c:pt idx="328">
                  <c:v>584.86399999999981</c:v>
                </c:pt>
                <c:pt idx="329">
                  <c:v>571.95699999999977</c:v>
                </c:pt>
                <c:pt idx="330">
                  <c:v>569.73299999999972</c:v>
                </c:pt>
                <c:pt idx="331">
                  <c:v>572.35199999999975</c:v>
                </c:pt>
                <c:pt idx="332">
                  <c:v>538.98599999999999</c:v>
                </c:pt>
                <c:pt idx="333">
                  <c:v>538.98599999999999</c:v>
                </c:pt>
                <c:pt idx="334">
                  <c:v>538.98599999999999</c:v>
                </c:pt>
                <c:pt idx="335">
                  <c:v>518.10400000000004</c:v>
                </c:pt>
                <c:pt idx="336">
                  <c:v>525.89400000000001</c:v>
                </c:pt>
                <c:pt idx="337">
                  <c:v>526.98599999999999</c:v>
                </c:pt>
                <c:pt idx="338">
                  <c:v>517.93199999999979</c:v>
                </c:pt>
                <c:pt idx="339">
                  <c:v>521.69100000000003</c:v>
                </c:pt>
                <c:pt idx="340">
                  <c:v>531.01300000000003</c:v>
                </c:pt>
                <c:pt idx="341">
                  <c:v>532.77599999999995</c:v>
                </c:pt>
                <c:pt idx="342">
                  <c:v>530.96400000000006</c:v>
                </c:pt>
                <c:pt idx="343">
                  <c:v>529.77800000000025</c:v>
                </c:pt>
                <c:pt idx="344">
                  <c:v>531.67600000000004</c:v>
                </c:pt>
                <c:pt idx="345">
                  <c:v>536.31899999999996</c:v>
                </c:pt>
                <c:pt idx="346">
                  <c:v>537.202</c:v>
                </c:pt>
                <c:pt idx="347">
                  <c:v>523.56699999999978</c:v>
                </c:pt>
                <c:pt idx="348">
                  <c:v>526.60199999999998</c:v>
                </c:pt>
                <c:pt idx="349">
                  <c:v>518.95499999999981</c:v>
                </c:pt>
                <c:pt idx="350">
                  <c:v>485.94900000000001</c:v>
                </c:pt>
                <c:pt idx="351">
                  <c:v>481.60300000000001</c:v>
                </c:pt>
                <c:pt idx="352">
                  <c:v>476.40599999999989</c:v>
                </c:pt>
                <c:pt idx="353">
                  <c:v>476.40599999999989</c:v>
                </c:pt>
                <c:pt idx="354">
                  <c:v>434.02199999999988</c:v>
                </c:pt>
                <c:pt idx="355">
                  <c:v>434.9559999999999</c:v>
                </c:pt>
                <c:pt idx="356">
                  <c:v>390.28199999999975</c:v>
                </c:pt>
                <c:pt idx="357">
                  <c:v>373.27799999999991</c:v>
                </c:pt>
                <c:pt idx="358">
                  <c:v>363.06299999999999</c:v>
                </c:pt>
                <c:pt idx="359">
                  <c:v>349.85599999999999</c:v>
                </c:pt>
                <c:pt idx="360">
                  <c:v>347.88</c:v>
                </c:pt>
                <c:pt idx="361">
                  <c:v>344.04</c:v>
                </c:pt>
                <c:pt idx="362">
                  <c:v>342.065</c:v>
                </c:pt>
                <c:pt idx="363">
                  <c:v>340.005</c:v>
                </c:pt>
                <c:pt idx="364">
                  <c:v>340.005</c:v>
                </c:pt>
                <c:pt idx="365">
                  <c:v>342.01400000000001</c:v>
                </c:pt>
                <c:pt idx="366">
                  <c:v>339.54300000000001</c:v>
                </c:pt>
                <c:pt idx="367">
                  <c:v>338.661</c:v>
                </c:pt>
                <c:pt idx="368">
                  <c:v>340.58699999999988</c:v>
                </c:pt>
                <c:pt idx="369">
                  <c:v>338.12</c:v>
                </c:pt>
                <c:pt idx="370">
                  <c:v>335.76299999999986</c:v>
                </c:pt>
                <c:pt idx="371">
                  <c:v>334.41699999999975</c:v>
                </c:pt>
                <c:pt idx="372">
                  <c:v>332.16399999999999</c:v>
                </c:pt>
                <c:pt idx="373">
                  <c:v>319.54399999999993</c:v>
                </c:pt>
                <c:pt idx="374">
                  <c:v>326.96199999999988</c:v>
                </c:pt>
                <c:pt idx="375">
                  <c:v>340.10599999999999</c:v>
                </c:pt>
                <c:pt idx="376">
                  <c:v>330.69</c:v>
                </c:pt>
                <c:pt idx="377">
                  <c:v>351.70699999999988</c:v>
                </c:pt>
                <c:pt idx="378">
                  <c:v>360.90899999999988</c:v>
                </c:pt>
                <c:pt idx="379">
                  <c:v>392.74099999999999</c:v>
                </c:pt>
                <c:pt idx="380">
                  <c:v>390.06900000000002</c:v>
                </c:pt>
                <c:pt idx="381">
                  <c:v>391.55399999999986</c:v>
                </c:pt>
                <c:pt idx="382">
                  <c:v>391.13900000000001</c:v>
                </c:pt>
                <c:pt idx="383">
                  <c:v>381.339</c:v>
                </c:pt>
                <c:pt idx="384">
                  <c:v>387.86099999999999</c:v>
                </c:pt>
                <c:pt idx="385">
                  <c:v>387.392</c:v>
                </c:pt>
                <c:pt idx="386">
                  <c:v>386.113</c:v>
                </c:pt>
                <c:pt idx="387">
                  <c:v>395.40499999999986</c:v>
                </c:pt>
                <c:pt idx="388">
                  <c:v>392.541</c:v>
                </c:pt>
                <c:pt idx="389">
                  <c:v>397.42099999999988</c:v>
                </c:pt>
                <c:pt idx="390">
                  <c:v>394.125</c:v>
                </c:pt>
                <c:pt idx="391">
                  <c:v>384.25700000000001</c:v>
                </c:pt>
                <c:pt idx="392">
                  <c:v>359.97399999999988</c:v>
                </c:pt>
                <c:pt idx="393">
                  <c:v>350.82499999999999</c:v>
                </c:pt>
                <c:pt idx="394">
                  <c:v>354.07400000000001</c:v>
                </c:pt>
                <c:pt idx="395">
                  <c:v>354.25</c:v>
                </c:pt>
                <c:pt idx="396">
                  <c:v>356.69</c:v>
                </c:pt>
                <c:pt idx="397">
                  <c:v>358.0329999999999</c:v>
                </c:pt>
                <c:pt idx="398">
                  <c:v>357.92399999999975</c:v>
                </c:pt>
                <c:pt idx="399">
                  <c:v>358.53</c:v>
                </c:pt>
                <c:pt idx="400">
                  <c:v>356.25200000000001</c:v>
                </c:pt>
                <c:pt idx="401">
                  <c:v>356.91499999999991</c:v>
                </c:pt>
                <c:pt idx="402">
                  <c:v>356.93299999999988</c:v>
                </c:pt>
                <c:pt idx="403">
                  <c:v>360.79799999999989</c:v>
                </c:pt>
                <c:pt idx="404">
                  <c:v>364.673</c:v>
                </c:pt>
                <c:pt idx="405">
                  <c:v>365.97599999999989</c:v>
                </c:pt>
                <c:pt idx="406">
                  <c:v>362.55500000000001</c:v>
                </c:pt>
                <c:pt idx="407">
                  <c:v>357.279</c:v>
                </c:pt>
                <c:pt idx="408">
                  <c:v>361.33300000000003</c:v>
                </c:pt>
                <c:pt idx="409">
                  <c:v>353.24099999999999</c:v>
                </c:pt>
                <c:pt idx="410">
                  <c:v>358.43299999999988</c:v>
                </c:pt>
                <c:pt idx="411">
                  <c:v>359.57599999999991</c:v>
                </c:pt>
                <c:pt idx="412">
                  <c:v>361.27799999999991</c:v>
                </c:pt>
                <c:pt idx="413">
                  <c:v>359.72899999999976</c:v>
                </c:pt>
                <c:pt idx="414">
                  <c:v>357.65199999999999</c:v>
                </c:pt>
                <c:pt idx="415">
                  <c:v>352.90999999999991</c:v>
                </c:pt>
                <c:pt idx="416">
                  <c:v>348.11500000000001</c:v>
                </c:pt>
                <c:pt idx="417">
                  <c:v>342.01900000000001</c:v>
                </c:pt>
                <c:pt idx="418">
                  <c:v>340.97399999999988</c:v>
                </c:pt>
                <c:pt idx="419">
                  <c:v>341.37099999999987</c:v>
                </c:pt>
                <c:pt idx="420">
                  <c:v>330.65699999999993</c:v>
                </c:pt>
                <c:pt idx="421">
                  <c:v>324.16500000000002</c:v>
                </c:pt>
                <c:pt idx="422">
                  <c:v>315.46499999999986</c:v>
                </c:pt>
                <c:pt idx="423">
                  <c:v>318.22000000000003</c:v>
                </c:pt>
                <c:pt idx="424">
                  <c:v>328.36700000000002</c:v>
                </c:pt>
                <c:pt idx="425">
                  <c:v>326.99299999999988</c:v>
                </c:pt>
                <c:pt idx="426">
                  <c:v>327.81099999999986</c:v>
                </c:pt>
                <c:pt idx="427">
                  <c:v>327.92399999999975</c:v>
                </c:pt>
                <c:pt idx="428">
                  <c:v>322.91899999999976</c:v>
                </c:pt>
                <c:pt idx="429">
                  <c:v>327.58300000000003</c:v>
                </c:pt>
                <c:pt idx="430">
                  <c:v>319.57400000000001</c:v>
                </c:pt>
                <c:pt idx="431">
                  <c:v>323.69</c:v>
                </c:pt>
                <c:pt idx="432">
                  <c:v>313.73299999999989</c:v>
                </c:pt>
                <c:pt idx="433">
                  <c:v>325.35700000000008</c:v>
                </c:pt>
                <c:pt idx="434">
                  <c:v>325.35700000000008</c:v>
                </c:pt>
                <c:pt idx="435">
                  <c:v>318.89699999999988</c:v>
                </c:pt>
                <c:pt idx="436">
                  <c:v>317.29700000000003</c:v>
                </c:pt>
                <c:pt idx="437">
                  <c:v>318.01400000000001</c:v>
                </c:pt>
                <c:pt idx="438">
                  <c:v>313.79599999999988</c:v>
                </c:pt>
                <c:pt idx="439">
                  <c:v>310.14499999999998</c:v>
                </c:pt>
                <c:pt idx="440">
                  <c:v>324.63</c:v>
                </c:pt>
                <c:pt idx="441">
                  <c:v>318.24400000000014</c:v>
                </c:pt>
                <c:pt idx="442">
                  <c:v>319.61900000000014</c:v>
                </c:pt>
                <c:pt idx="443">
                  <c:v>319.34699999999987</c:v>
                </c:pt>
                <c:pt idx="444">
                  <c:v>318.577</c:v>
                </c:pt>
                <c:pt idx="445">
                  <c:v>317.94499999999999</c:v>
                </c:pt>
                <c:pt idx="446">
                  <c:v>314.75900000000001</c:v>
                </c:pt>
                <c:pt idx="447">
                  <c:v>316.89999999999986</c:v>
                </c:pt>
                <c:pt idx="448">
                  <c:v>312.54199999999986</c:v>
                </c:pt>
                <c:pt idx="449">
                  <c:v>321.4559999999999</c:v>
                </c:pt>
                <c:pt idx="450">
                  <c:v>318.762</c:v>
                </c:pt>
                <c:pt idx="451">
                  <c:v>332.54</c:v>
                </c:pt>
                <c:pt idx="452">
                  <c:v>336.339</c:v>
                </c:pt>
                <c:pt idx="453">
                  <c:v>334.43400000000003</c:v>
                </c:pt>
                <c:pt idx="454">
                  <c:v>426.12799999999999</c:v>
                </c:pt>
                <c:pt idx="455">
                  <c:v>457.601</c:v>
                </c:pt>
                <c:pt idx="456">
                  <c:v>455.87700000000001</c:v>
                </c:pt>
                <c:pt idx="457">
                  <c:v>426.44600000000003</c:v>
                </c:pt>
                <c:pt idx="458">
                  <c:v>408.15600000000001</c:v>
                </c:pt>
                <c:pt idx="459">
                  <c:v>412.83699999999988</c:v>
                </c:pt>
                <c:pt idx="460">
                  <c:v>410.28899999999987</c:v>
                </c:pt>
                <c:pt idx="461">
                  <c:v>410.12700000000001</c:v>
                </c:pt>
                <c:pt idx="462">
                  <c:v>408.22099999999989</c:v>
                </c:pt>
                <c:pt idx="463">
                  <c:v>402.18799999999999</c:v>
                </c:pt>
                <c:pt idx="464">
                  <c:v>403.81</c:v>
                </c:pt>
                <c:pt idx="465">
                  <c:v>406.38200000000001</c:v>
                </c:pt>
                <c:pt idx="466">
                  <c:v>417.06799999999993</c:v>
                </c:pt>
                <c:pt idx="467">
                  <c:v>419.44799999999987</c:v>
                </c:pt>
                <c:pt idx="468">
                  <c:v>416.904</c:v>
                </c:pt>
                <c:pt idx="469">
                  <c:v>411.35700000000008</c:v>
                </c:pt>
                <c:pt idx="470">
                  <c:v>417.35500000000002</c:v>
                </c:pt>
                <c:pt idx="471">
                  <c:v>424.577</c:v>
                </c:pt>
                <c:pt idx="472">
                  <c:v>430.36799999999999</c:v>
                </c:pt>
                <c:pt idx="473">
                  <c:v>430.67</c:v>
                </c:pt>
                <c:pt idx="474">
                  <c:v>444.77299999999991</c:v>
                </c:pt>
                <c:pt idx="475">
                  <c:v>449.68900000000002</c:v>
                </c:pt>
                <c:pt idx="476">
                  <c:v>454.46299999999991</c:v>
                </c:pt>
                <c:pt idx="477">
                  <c:v>462.14100000000002</c:v>
                </c:pt>
                <c:pt idx="478">
                  <c:v>474.05900000000008</c:v>
                </c:pt>
                <c:pt idx="479">
                  <c:v>481.66899999999993</c:v>
                </c:pt>
                <c:pt idx="480">
                  <c:v>455.28999999999991</c:v>
                </c:pt>
                <c:pt idx="481">
                  <c:v>455.28999999999991</c:v>
                </c:pt>
              </c:numCache>
            </c:numRef>
          </c:val>
          <c:smooth val="0"/>
          <c:extLst>
            <c:ext xmlns:c16="http://schemas.microsoft.com/office/drawing/2014/chart" uri="{C3380CC4-5D6E-409C-BE32-E72D297353CC}">
              <c16:uniqueId val="{00000000-BFD6-4FA7-9FC9-9398EA1E3504}"/>
            </c:ext>
          </c:extLst>
        </c:ser>
        <c:ser>
          <c:idx val="2"/>
          <c:order val="1"/>
          <c:tx>
            <c:strRef>
              <c:f>Sheet1!$C$1</c:f>
              <c:strCache>
                <c:ptCount val="1"/>
                <c:pt idx="0">
                  <c:v>Ռուսաստան (2026թ.)</c:v>
                </c:pt>
              </c:strCache>
            </c:strRef>
          </c:tx>
          <c:spPr>
            <a:ln w="28575" cap="rnd">
              <a:solidFill>
                <a:srgbClr val="00B050"/>
              </a:solidFill>
              <a:round/>
            </a:ln>
            <a:effectLst/>
          </c:spPr>
          <c:marker>
            <c:symbol val="none"/>
          </c:marker>
          <c:cat>
            <c:numRef>
              <c:f>Sheet1!$A$2:$A$483</c:f>
              <c:numCache>
                <c:formatCode>m\/d\/yyyy</c:formatCode>
                <c:ptCount val="482"/>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numCache>
            </c:numRef>
          </c:cat>
          <c:val>
            <c:numRef>
              <c:f>Sheet1!$C$2:$C$483</c:f>
              <c:numCache>
                <c:formatCode>0</c:formatCode>
                <c:ptCount val="482"/>
                <c:pt idx="0">
                  <c:v>220.47</c:v>
                </c:pt>
                <c:pt idx="1">
                  <c:v>222.61599999999999</c:v>
                </c:pt>
                <c:pt idx="2">
                  <c:v>228.64</c:v>
                </c:pt>
                <c:pt idx="3">
                  <c:v>203.69300000000001</c:v>
                </c:pt>
                <c:pt idx="4">
                  <c:v>194.91399999999999</c:v>
                </c:pt>
                <c:pt idx="5">
                  <c:v>190.78800000000001</c:v>
                </c:pt>
                <c:pt idx="6">
                  <c:v>188.86800000000005</c:v>
                </c:pt>
                <c:pt idx="7">
                  <c:v>190.86100000000005</c:v>
                </c:pt>
                <c:pt idx="8">
                  <c:v>190.32200000000006</c:v>
                </c:pt>
                <c:pt idx="9">
                  <c:v>190.33800000000005</c:v>
                </c:pt>
                <c:pt idx="10">
                  <c:v>187.42600000000004</c:v>
                </c:pt>
                <c:pt idx="11">
                  <c:v>184.25200000000001</c:v>
                </c:pt>
                <c:pt idx="12">
                  <c:v>182.411</c:v>
                </c:pt>
                <c:pt idx="13">
                  <c:v>174.941</c:v>
                </c:pt>
                <c:pt idx="14">
                  <c:v>174.941</c:v>
                </c:pt>
                <c:pt idx="15">
                  <c:v>181.71899999999999</c:v>
                </c:pt>
                <c:pt idx="16">
                  <c:v>180.08800000000005</c:v>
                </c:pt>
                <c:pt idx="17">
                  <c:v>179.535</c:v>
                </c:pt>
                <c:pt idx="18">
                  <c:v>180.68900000000002</c:v>
                </c:pt>
                <c:pt idx="19">
                  <c:v>183.042</c:v>
                </c:pt>
                <c:pt idx="20">
                  <c:v>186.56100000000001</c:v>
                </c:pt>
                <c:pt idx="21">
                  <c:v>185.767</c:v>
                </c:pt>
                <c:pt idx="22">
                  <c:v>184.21299999999999</c:v>
                </c:pt>
                <c:pt idx="23">
                  <c:v>187.19800000000001</c:v>
                </c:pt>
                <c:pt idx="24">
                  <c:v>183.68900000000002</c:v>
                </c:pt>
                <c:pt idx="25">
                  <c:v>184.85800000000006</c:v>
                </c:pt>
                <c:pt idx="26">
                  <c:v>184.22399999999999</c:v>
                </c:pt>
                <c:pt idx="27">
                  <c:v>188.13</c:v>
                </c:pt>
                <c:pt idx="28">
                  <c:v>195.702</c:v>
                </c:pt>
                <c:pt idx="29">
                  <c:v>192.81</c:v>
                </c:pt>
                <c:pt idx="30">
                  <c:v>190.14099999999999</c:v>
                </c:pt>
                <c:pt idx="31">
                  <c:v>189.18300000000002</c:v>
                </c:pt>
                <c:pt idx="32">
                  <c:v>202.32200000000006</c:v>
                </c:pt>
                <c:pt idx="33">
                  <c:v>201.553</c:v>
                </c:pt>
                <c:pt idx="34">
                  <c:v>197.084</c:v>
                </c:pt>
                <c:pt idx="35">
                  <c:v>200.726</c:v>
                </c:pt>
                <c:pt idx="36">
                  <c:v>197.63399999999999</c:v>
                </c:pt>
                <c:pt idx="37">
                  <c:v>195.68</c:v>
                </c:pt>
                <c:pt idx="38">
                  <c:v>197.51300000000001</c:v>
                </c:pt>
                <c:pt idx="39">
                  <c:v>191.53700000000001</c:v>
                </c:pt>
                <c:pt idx="40">
                  <c:v>193.12</c:v>
                </c:pt>
                <c:pt idx="41">
                  <c:v>187.99200000000005</c:v>
                </c:pt>
                <c:pt idx="42">
                  <c:v>181.21299999999999</c:v>
                </c:pt>
                <c:pt idx="43">
                  <c:v>183.69399999999999</c:v>
                </c:pt>
                <c:pt idx="44">
                  <c:v>180.36200000000005</c:v>
                </c:pt>
                <c:pt idx="45">
                  <c:v>181.018</c:v>
                </c:pt>
                <c:pt idx="46">
                  <c:v>182.005</c:v>
                </c:pt>
                <c:pt idx="47">
                  <c:v>185.40300000000002</c:v>
                </c:pt>
                <c:pt idx="48">
                  <c:v>188.21499999999995</c:v>
                </c:pt>
                <c:pt idx="49">
                  <c:v>180.041</c:v>
                </c:pt>
                <c:pt idx="50">
                  <c:v>178.89400000000001</c:v>
                </c:pt>
                <c:pt idx="51">
                  <c:v>178.21699999999998</c:v>
                </c:pt>
                <c:pt idx="52">
                  <c:v>177.172</c:v>
                </c:pt>
                <c:pt idx="53">
                  <c:v>182.084</c:v>
                </c:pt>
                <c:pt idx="54">
                  <c:v>178.44300000000001</c:v>
                </c:pt>
                <c:pt idx="55">
                  <c:v>176.13499999999999</c:v>
                </c:pt>
                <c:pt idx="56">
                  <c:v>184.18900000000002</c:v>
                </c:pt>
                <c:pt idx="57">
                  <c:v>181.82800000000006</c:v>
                </c:pt>
                <c:pt idx="58">
                  <c:v>190.333</c:v>
                </c:pt>
                <c:pt idx="59">
                  <c:v>194.73</c:v>
                </c:pt>
                <c:pt idx="60">
                  <c:v>187.976</c:v>
                </c:pt>
                <c:pt idx="61">
                  <c:v>195.23499999999999</c:v>
                </c:pt>
                <c:pt idx="62">
                  <c:v>190.71199999999999</c:v>
                </c:pt>
                <c:pt idx="63">
                  <c:v>189.29399999999998</c:v>
                </c:pt>
                <c:pt idx="64">
                  <c:v>180.93300000000002</c:v>
                </c:pt>
                <c:pt idx="65">
                  <c:v>182.21699999999998</c:v>
                </c:pt>
                <c:pt idx="66">
                  <c:v>182.06700000000001</c:v>
                </c:pt>
                <c:pt idx="67">
                  <c:v>182.21499999999995</c:v>
                </c:pt>
                <c:pt idx="68">
                  <c:v>179.923</c:v>
                </c:pt>
                <c:pt idx="69">
                  <c:v>178.18300000000002</c:v>
                </c:pt>
                <c:pt idx="70">
                  <c:v>178.82300000000001</c:v>
                </c:pt>
                <c:pt idx="71">
                  <c:v>182.16900000000001</c:v>
                </c:pt>
                <c:pt idx="72">
                  <c:v>178.756</c:v>
                </c:pt>
                <c:pt idx="73">
                  <c:v>177.315</c:v>
                </c:pt>
                <c:pt idx="74">
                  <c:v>175.22</c:v>
                </c:pt>
                <c:pt idx="75">
                  <c:v>171.541</c:v>
                </c:pt>
                <c:pt idx="76">
                  <c:v>168.61499999999998</c:v>
                </c:pt>
                <c:pt idx="77">
                  <c:v>173.81900000000002</c:v>
                </c:pt>
                <c:pt idx="78">
                  <c:v>173.81900000000002</c:v>
                </c:pt>
                <c:pt idx="79">
                  <c:v>173.81900000000002</c:v>
                </c:pt>
                <c:pt idx="80">
                  <c:v>170.02600000000001</c:v>
                </c:pt>
                <c:pt idx="81">
                  <c:v>173.369</c:v>
                </c:pt>
                <c:pt idx="82">
                  <c:v>173.547</c:v>
                </c:pt>
                <c:pt idx="83">
                  <c:v>174.36600000000001</c:v>
                </c:pt>
                <c:pt idx="84">
                  <c:v>169.33100000000005</c:v>
                </c:pt>
                <c:pt idx="85">
                  <c:v>169.196</c:v>
                </c:pt>
                <c:pt idx="86">
                  <c:v>167.797</c:v>
                </c:pt>
                <c:pt idx="87">
                  <c:v>170.71199999999999</c:v>
                </c:pt>
                <c:pt idx="88">
                  <c:v>172.20399999999998</c:v>
                </c:pt>
                <c:pt idx="89">
                  <c:v>172.20399999999998</c:v>
                </c:pt>
                <c:pt idx="90">
                  <c:v>182.655</c:v>
                </c:pt>
                <c:pt idx="91">
                  <c:v>184.08600000000001</c:v>
                </c:pt>
                <c:pt idx="92">
                  <c:v>184.38000000000005</c:v>
                </c:pt>
                <c:pt idx="93">
                  <c:v>184.80100000000004</c:v>
                </c:pt>
                <c:pt idx="94">
                  <c:v>191.227</c:v>
                </c:pt>
                <c:pt idx="95">
                  <c:v>189.58500000000001</c:v>
                </c:pt>
                <c:pt idx="96">
                  <c:v>192.88000000000005</c:v>
                </c:pt>
                <c:pt idx="97">
                  <c:v>183.01900000000001</c:v>
                </c:pt>
                <c:pt idx="98">
                  <c:v>179.34900000000002</c:v>
                </c:pt>
                <c:pt idx="99">
                  <c:v>175.02600000000001</c:v>
                </c:pt>
                <c:pt idx="100">
                  <c:v>170.11899999999997</c:v>
                </c:pt>
                <c:pt idx="101">
                  <c:v>174.001</c:v>
                </c:pt>
                <c:pt idx="102">
                  <c:v>183.63300000000001</c:v>
                </c:pt>
                <c:pt idx="103">
                  <c:v>180.81</c:v>
                </c:pt>
                <c:pt idx="104">
                  <c:v>180.81</c:v>
                </c:pt>
                <c:pt idx="105">
                  <c:v>182.161</c:v>
                </c:pt>
                <c:pt idx="106">
                  <c:v>184.13399999999999</c:v>
                </c:pt>
                <c:pt idx="107">
                  <c:v>186.82800000000006</c:v>
                </c:pt>
                <c:pt idx="108">
                  <c:v>192.01900000000001</c:v>
                </c:pt>
                <c:pt idx="109">
                  <c:v>202.62300000000002</c:v>
                </c:pt>
                <c:pt idx="110">
                  <c:v>193.38400000000001</c:v>
                </c:pt>
                <c:pt idx="111">
                  <c:v>185.79900000000001</c:v>
                </c:pt>
                <c:pt idx="112">
                  <c:v>184.20399999999998</c:v>
                </c:pt>
                <c:pt idx="113">
                  <c:v>185.92200000000005</c:v>
                </c:pt>
                <c:pt idx="114">
                  <c:v>175.82200000000006</c:v>
                </c:pt>
                <c:pt idx="115">
                  <c:v>177.95500000000001</c:v>
                </c:pt>
                <c:pt idx="116">
                  <c:v>182.14399999999998</c:v>
                </c:pt>
                <c:pt idx="117">
                  <c:v>187.02100000000004</c:v>
                </c:pt>
                <c:pt idx="118">
                  <c:v>188.13</c:v>
                </c:pt>
                <c:pt idx="119">
                  <c:v>186.99</c:v>
                </c:pt>
                <c:pt idx="120">
                  <c:v>181.41900000000001</c:v>
                </c:pt>
                <c:pt idx="121">
                  <c:v>182.62900000000002</c:v>
                </c:pt>
                <c:pt idx="122">
                  <c:v>168.601</c:v>
                </c:pt>
                <c:pt idx="123">
                  <c:v>181.87</c:v>
                </c:pt>
                <c:pt idx="124">
                  <c:v>187.42500000000001</c:v>
                </c:pt>
                <c:pt idx="125">
                  <c:v>189.51499999999999</c:v>
                </c:pt>
                <c:pt idx="126">
                  <c:v>190.28399999999999</c:v>
                </c:pt>
                <c:pt idx="127">
                  <c:v>187.233</c:v>
                </c:pt>
                <c:pt idx="128">
                  <c:v>182.88600000000005</c:v>
                </c:pt>
                <c:pt idx="129">
                  <c:v>174.417</c:v>
                </c:pt>
                <c:pt idx="130">
                  <c:v>178.92200000000005</c:v>
                </c:pt>
                <c:pt idx="131">
                  <c:v>178.666</c:v>
                </c:pt>
                <c:pt idx="132">
                  <c:v>178.80800000000005</c:v>
                </c:pt>
                <c:pt idx="133">
                  <c:v>176.39400000000001</c:v>
                </c:pt>
                <c:pt idx="134">
                  <c:v>171.553</c:v>
                </c:pt>
                <c:pt idx="135">
                  <c:v>174.74699999999999</c:v>
                </c:pt>
                <c:pt idx="136">
                  <c:v>180.14299999999997</c:v>
                </c:pt>
                <c:pt idx="137">
                  <c:v>175.655</c:v>
                </c:pt>
                <c:pt idx="138">
                  <c:v>178.364</c:v>
                </c:pt>
                <c:pt idx="139">
                  <c:v>174.33800000000005</c:v>
                </c:pt>
                <c:pt idx="140">
                  <c:v>169.30500000000001</c:v>
                </c:pt>
                <c:pt idx="141">
                  <c:v>171.316</c:v>
                </c:pt>
                <c:pt idx="142">
                  <c:v>173.75200000000001</c:v>
                </c:pt>
                <c:pt idx="143">
                  <c:v>170.12100000000001</c:v>
                </c:pt>
                <c:pt idx="144">
                  <c:v>170.476</c:v>
                </c:pt>
                <c:pt idx="145">
                  <c:v>165.11199999999999</c:v>
                </c:pt>
                <c:pt idx="146">
                  <c:v>167.52200000000005</c:v>
                </c:pt>
                <c:pt idx="147">
                  <c:v>163.04599999999999</c:v>
                </c:pt>
                <c:pt idx="148">
                  <c:v>162.96900000000002</c:v>
                </c:pt>
                <c:pt idx="149">
                  <c:v>162.19399999999999</c:v>
                </c:pt>
                <c:pt idx="150">
                  <c:v>163</c:v>
                </c:pt>
                <c:pt idx="151">
                  <c:v>167.01499999999999</c:v>
                </c:pt>
                <c:pt idx="152">
                  <c:v>183.78900000000002</c:v>
                </c:pt>
                <c:pt idx="153">
                  <c:v>187.166</c:v>
                </c:pt>
                <c:pt idx="154">
                  <c:v>197.92200000000005</c:v>
                </c:pt>
                <c:pt idx="155">
                  <c:v>197.68</c:v>
                </c:pt>
                <c:pt idx="156">
                  <c:v>198.76399999999998</c:v>
                </c:pt>
                <c:pt idx="157">
                  <c:v>187.483</c:v>
                </c:pt>
                <c:pt idx="158">
                  <c:v>189.81399999999999</c:v>
                </c:pt>
                <c:pt idx="159">
                  <c:v>195.34100000000001</c:v>
                </c:pt>
                <c:pt idx="160">
                  <c:v>189.38800000000006</c:v>
                </c:pt>
                <c:pt idx="161">
                  <c:v>194.435</c:v>
                </c:pt>
                <c:pt idx="162">
                  <c:v>198.15900000000002</c:v>
                </c:pt>
                <c:pt idx="163">
                  <c:v>197.78300000000002</c:v>
                </c:pt>
                <c:pt idx="164">
                  <c:v>192.083</c:v>
                </c:pt>
                <c:pt idx="165">
                  <c:v>191.72300000000001</c:v>
                </c:pt>
                <c:pt idx="166">
                  <c:v>187.441</c:v>
                </c:pt>
                <c:pt idx="167">
                  <c:v>184.49800000000005</c:v>
                </c:pt>
                <c:pt idx="168">
                  <c:v>193.935</c:v>
                </c:pt>
                <c:pt idx="169">
                  <c:v>193.935</c:v>
                </c:pt>
                <c:pt idx="170">
                  <c:v>188.88000000000005</c:v>
                </c:pt>
                <c:pt idx="171">
                  <c:v>188.77199999999999</c:v>
                </c:pt>
                <c:pt idx="172">
                  <c:v>182.72800000000001</c:v>
                </c:pt>
                <c:pt idx="173">
                  <c:v>182.38800000000006</c:v>
                </c:pt>
                <c:pt idx="174">
                  <c:v>182.17299999999997</c:v>
                </c:pt>
                <c:pt idx="175">
                  <c:v>181.59900000000002</c:v>
                </c:pt>
                <c:pt idx="176">
                  <c:v>174.374</c:v>
                </c:pt>
                <c:pt idx="177">
                  <c:v>167.85900000000001</c:v>
                </c:pt>
                <c:pt idx="178">
                  <c:v>169.79499999999999</c:v>
                </c:pt>
                <c:pt idx="179">
                  <c:v>165.93200000000004</c:v>
                </c:pt>
                <c:pt idx="180">
                  <c:v>163.298</c:v>
                </c:pt>
                <c:pt idx="181">
                  <c:v>162.18100000000001</c:v>
                </c:pt>
                <c:pt idx="182">
                  <c:v>158.28</c:v>
                </c:pt>
                <c:pt idx="183">
                  <c:v>151.82000000000005</c:v>
                </c:pt>
                <c:pt idx="184">
                  <c:v>155.33100000000005</c:v>
                </c:pt>
                <c:pt idx="185">
                  <c:v>156.499</c:v>
                </c:pt>
                <c:pt idx="186">
                  <c:v>153.09200000000001</c:v>
                </c:pt>
                <c:pt idx="187">
                  <c:v>153.56399999999999</c:v>
                </c:pt>
                <c:pt idx="188">
                  <c:v>154.24699999999999</c:v>
                </c:pt>
                <c:pt idx="189">
                  <c:v>149.71599999999998</c:v>
                </c:pt>
                <c:pt idx="190">
                  <c:v>160.53200000000001</c:v>
                </c:pt>
                <c:pt idx="191">
                  <c:v>155.22800000000001</c:v>
                </c:pt>
                <c:pt idx="192">
                  <c:v>161.185</c:v>
                </c:pt>
                <c:pt idx="193">
                  <c:v>163.53800000000001</c:v>
                </c:pt>
                <c:pt idx="194">
                  <c:v>166.42100000000005</c:v>
                </c:pt>
                <c:pt idx="195">
                  <c:v>172.67599999999999</c:v>
                </c:pt>
                <c:pt idx="196">
                  <c:v>179.76999999999998</c:v>
                </c:pt>
                <c:pt idx="197">
                  <c:v>182.221</c:v>
                </c:pt>
                <c:pt idx="198">
                  <c:v>180.22900000000001</c:v>
                </c:pt>
                <c:pt idx="199">
                  <c:v>175.11199999999999</c:v>
                </c:pt>
                <c:pt idx="200">
                  <c:v>181.26300000000001</c:v>
                </c:pt>
                <c:pt idx="201">
                  <c:v>176.654</c:v>
                </c:pt>
                <c:pt idx="202">
                  <c:v>172.941</c:v>
                </c:pt>
                <c:pt idx="203">
                  <c:v>160.67899999999997</c:v>
                </c:pt>
                <c:pt idx="204">
                  <c:v>164.048</c:v>
                </c:pt>
                <c:pt idx="205">
                  <c:v>156.50299999999999</c:v>
                </c:pt>
                <c:pt idx="206">
                  <c:v>156.89800000000005</c:v>
                </c:pt>
                <c:pt idx="207">
                  <c:v>155.65800000000004</c:v>
                </c:pt>
                <c:pt idx="208">
                  <c:v>156.78800000000001</c:v>
                </c:pt>
                <c:pt idx="209">
                  <c:v>150.32600000000005</c:v>
                </c:pt>
                <c:pt idx="210">
                  <c:v>152.09</c:v>
                </c:pt>
                <c:pt idx="211">
                  <c:v>149.35700000000006</c:v>
                </c:pt>
                <c:pt idx="212">
                  <c:v>149.01599999999999</c:v>
                </c:pt>
                <c:pt idx="213">
                  <c:v>145.33100000000005</c:v>
                </c:pt>
                <c:pt idx="214">
                  <c:v>143.309</c:v>
                </c:pt>
                <c:pt idx="215">
                  <c:v>143.45100000000005</c:v>
                </c:pt>
                <c:pt idx="216">
                  <c:v>147.46700000000001</c:v>
                </c:pt>
                <c:pt idx="217">
                  <c:v>150.02000000000001</c:v>
                </c:pt>
                <c:pt idx="218">
                  <c:v>143.78800000000001</c:v>
                </c:pt>
                <c:pt idx="219">
                  <c:v>137.36500000000001</c:v>
                </c:pt>
                <c:pt idx="220">
                  <c:v>135.18600000000001</c:v>
                </c:pt>
                <c:pt idx="221">
                  <c:v>136.941</c:v>
                </c:pt>
                <c:pt idx="222">
                  <c:v>131.54300000000001</c:v>
                </c:pt>
                <c:pt idx="223">
                  <c:v>128.46700000000001</c:v>
                </c:pt>
                <c:pt idx="224">
                  <c:v>127.599</c:v>
                </c:pt>
                <c:pt idx="225">
                  <c:v>128.15</c:v>
                </c:pt>
                <c:pt idx="226">
                  <c:v>132.90900000000002</c:v>
                </c:pt>
                <c:pt idx="227">
                  <c:v>134.148</c:v>
                </c:pt>
                <c:pt idx="228">
                  <c:v>133.12300000000002</c:v>
                </c:pt>
                <c:pt idx="229">
                  <c:v>134.541</c:v>
                </c:pt>
                <c:pt idx="230">
                  <c:v>137.90700000000001</c:v>
                </c:pt>
                <c:pt idx="231">
                  <c:v>136.19900000000001</c:v>
                </c:pt>
                <c:pt idx="232">
                  <c:v>131.785</c:v>
                </c:pt>
                <c:pt idx="233">
                  <c:v>131.012</c:v>
                </c:pt>
                <c:pt idx="234">
                  <c:v>131.17899999999997</c:v>
                </c:pt>
                <c:pt idx="235">
                  <c:v>132.12800000000001</c:v>
                </c:pt>
                <c:pt idx="236">
                  <c:v>127.896</c:v>
                </c:pt>
                <c:pt idx="237">
                  <c:v>125.32499999999999</c:v>
                </c:pt>
                <c:pt idx="238">
                  <c:v>126.52</c:v>
                </c:pt>
                <c:pt idx="239">
                  <c:v>126.01700000000002</c:v>
                </c:pt>
                <c:pt idx="240">
                  <c:v>134.637</c:v>
                </c:pt>
                <c:pt idx="241">
                  <c:v>128.36500000000001</c:v>
                </c:pt>
                <c:pt idx="242">
                  <c:v>122.666</c:v>
                </c:pt>
                <c:pt idx="243">
                  <c:v>120.76</c:v>
                </c:pt>
                <c:pt idx="244">
                  <c:v>119.771</c:v>
                </c:pt>
                <c:pt idx="245">
                  <c:v>116.18300000000001</c:v>
                </c:pt>
                <c:pt idx="246">
                  <c:v>113.79</c:v>
                </c:pt>
                <c:pt idx="247">
                  <c:v>103.974</c:v>
                </c:pt>
                <c:pt idx="248">
                  <c:v>110.374</c:v>
                </c:pt>
                <c:pt idx="249">
                  <c:v>99.992000000000004</c:v>
                </c:pt>
                <c:pt idx="250">
                  <c:v>98.933000000000007</c:v>
                </c:pt>
                <c:pt idx="251">
                  <c:v>96.568000000000012</c:v>
                </c:pt>
                <c:pt idx="252">
                  <c:v>101.67100000000001</c:v>
                </c:pt>
                <c:pt idx="253">
                  <c:v>99.706000000000003</c:v>
                </c:pt>
                <c:pt idx="254">
                  <c:v>96.239000000000004</c:v>
                </c:pt>
                <c:pt idx="255">
                  <c:v>100.36799999999999</c:v>
                </c:pt>
                <c:pt idx="256">
                  <c:v>100.36799999999999</c:v>
                </c:pt>
                <c:pt idx="257">
                  <c:v>100.36799999999999</c:v>
                </c:pt>
                <c:pt idx="258">
                  <c:v>101.43</c:v>
                </c:pt>
                <c:pt idx="259">
                  <c:v>98.611999999999995</c:v>
                </c:pt>
                <c:pt idx="260">
                  <c:v>94.194000000000003</c:v>
                </c:pt>
                <c:pt idx="261">
                  <c:v>94.194000000000003</c:v>
                </c:pt>
                <c:pt idx="262">
                  <c:v>100.93600000000002</c:v>
                </c:pt>
                <c:pt idx="263">
                  <c:v>111.648</c:v>
                </c:pt>
                <c:pt idx="264">
                  <c:v>114.49400000000003</c:v>
                </c:pt>
                <c:pt idx="265">
                  <c:v>114.39</c:v>
                </c:pt>
                <c:pt idx="266">
                  <c:v>106.19199999999999</c:v>
                </c:pt>
                <c:pt idx="267">
                  <c:v>107.033</c:v>
                </c:pt>
                <c:pt idx="268">
                  <c:v>110.68799999999999</c:v>
                </c:pt>
                <c:pt idx="269">
                  <c:v>102.11199999999999</c:v>
                </c:pt>
                <c:pt idx="270">
                  <c:v>103.60599999999998</c:v>
                </c:pt>
                <c:pt idx="271">
                  <c:v>103.29100000000003</c:v>
                </c:pt>
                <c:pt idx="272">
                  <c:v>100.49600000000002</c:v>
                </c:pt>
                <c:pt idx="273">
                  <c:v>100.22199999999999</c:v>
                </c:pt>
                <c:pt idx="274">
                  <c:v>99.262</c:v>
                </c:pt>
                <c:pt idx="275">
                  <c:v>103.64100000000002</c:v>
                </c:pt>
                <c:pt idx="276">
                  <c:v>102.696</c:v>
                </c:pt>
                <c:pt idx="277">
                  <c:v>105.20099999999999</c:v>
                </c:pt>
                <c:pt idx="278">
                  <c:v>109.562</c:v>
                </c:pt>
                <c:pt idx="279">
                  <c:v>116.07899999999998</c:v>
                </c:pt>
                <c:pt idx="280">
                  <c:v>109.01900000000002</c:v>
                </c:pt>
                <c:pt idx="281">
                  <c:v>114.27</c:v>
                </c:pt>
                <c:pt idx="282">
                  <c:v>107.89</c:v>
                </c:pt>
                <c:pt idx="283">
                  <c:v>111.60299999999998</c:v>
                </c:pt>
                <c:pt idx="284">
                  <c:v>112.84399999999999</c:v>
                </c:pt>
                <c:pt idx="285">
                  <c:v>112.34099999999999</c:v>
                </c:pt>
                <c:pt idx="286">
                  <c:v>106.116</c:v>
                </c:pt>
                <c:pt idx="287">
                  <c:v>107.691</c:v>
                </c:pt>
                <c:pt idx="288">
                  <c:v>113.49100000000003</c:v>
                </c:pt>
                <c:pt idx="289">
                  <c:v>115.01900000000002</c:v>
                </c:pt>
                <c:pt idx="290">
                  <c:v>101.31100000000002</c:v>
                </c:pt>
                <c:pt idx="291">
                  <c:v>99.956999999999994</c:v>
                </c:pt>
                <c:pt idx="292">
                  <c:v>100.726</c:v>
                </c:pt>
                <c:pt idx="293">
                  <c:v>101.929</c:v>
                </c:pt>
                <c:pt idx="294">
                  <c:v>98.477000000000004</c:v>
                </c:pt>
                <c:pt idx="295">
                  <c:v>104.703</c:v>
                </c:pt>
                <c:pt idx="296">
                  <c:v>101.74400000000003</c:v>
                </c:pt>
                <c:pt idx="297">
                  <c:v>105.26</c:v>
                </c:pt>
                <c:pt idx="298">
                  <c:v>107.235</c:v>
                </c:pt>
                <c:pt idx="299">
                  <c:v>111.428</c:v>
                </c:pt>
                <c:pt idx="300">
                  <c:v>115.85899999999998</c:v>
                </c:pt>
                <c:pt idx="301">
                  <c:v>117.76</c:v>
                </c:pt>
                <c:pt idx="302">
                  <c:v>128.88600000000005</c:v>
                </c:pt>
                <c:pt idx="303">
                  <c:v>150.929</c:v>
                </c:pt>
                <c:pt idx="304">
                  <c:v>147.44300000000001</c:v>
                </c:pt>
                <c:pt idx="305">
                  <c:v>145.12</c:v>
                </c:pt>
                <c:pt idx="306">
                  <c:v>151.506</c:v>
                </c:pt>
                <c:pt idx="307">
                  <c:v>151.506</c:v>
                </c:pt>
                <c:pt idx="308">
                  <c:v>159.226</c:v>
                </c:pt>
                <c:pt idx="309">
                  <c:v>204.905</c:v>
                </c:pt>
                <c:pt idx="310">
                  <c:v>187.87100000000001</c:v>
                </c:pt>
                <c:pt idx="311">
                  <c:v>192.14</c:v>
                </c:pt>
                <c:pt idx="312">
                  <c:v>255.07399999999998</c:v>
                </c:pt>
                <c:pt idx="313">
                  <c:v>235.77499999999998</c:v>
                </c:pt>
                <c:pt idx="314">
                  <c:v>276.42699999999985</c:v>
                </c:pt>
                <c:pt idx="315">
                  <c:v>268.709</c:v>
                </c:pt>
                <c:pt idx="316">
                  <c:v>350.7179999999999</c:v>
                </c:pt>
                <c:pt idx="317">
                  <c:v>369.35700000000008</c:v>
                </c:pt>
                <c:pt idx="318">
                  <c:v>373.59599999999989</c:v>
                </c:pt>
                <c:pt idx="319">
                  <c:v>391.041</c:v>
                </c:pt>
                <c:pt idx="320">
                  <c:v>391.041</c:v>
                </c:pt>
                <c:pt idx="321">
                  <c:v>300.49799999999988</c:v>
                </c:pt>
                <c:pt idx="322">
                  <c:v>307.61399999999986</c:v>
                </c:pt>
                <c:pt idx="323">
                  <c:v>289.13</c:v>
                </c:pt>
                <c:pt idx="324">
                  <c:v>316.29299999999989</c:v>
                </c:pt>
                <c:pt idx="325">
                  <c:v>302.99499999999989</c:v>
                </c:pt>
                <c:pt idx="326">
                  <c:v>304.36200000000002</c:v>
                </c:pt>
                <c:pt idx="327">
                  <c:v>297.51</c:v>
                </c:pt>
                <c:pt idx="328">
                  <c:v>297.51</c:v>
                </c:pt>
                <c:pt idx="329">
                  <c:v>257.024</c:v>
                </c:pt>
                <c:pt idx="330">
                  <c:v>226.33100000000005</c:v>
                </c:pt>
                <c:pt idx="331">
                  <c:v>233.64099999999999</c:v>
                </c:pt>
                <c:pt idx="332">
                  <c:v>226.18900000000002</c:v>
                </c:pt>
                <c:pt idx="333">
                  <c:v>226.18900000000002</c:v>
                </c:pt>
                <c:pt idx="334">
                  <c:v>226.18900000000002</c:v>
                </c:pt>
                <c:pt idx="335">
                  <c:v>223.184</c:v>
                </c:pt>
                <c:pt idx="336">
                  <c:v>240.17099999999999</c:v>
                </c:pt>
                <c:pt idx="337">
                  <c:v>236.28700000000001</c:v>
                </c:pt>
                <c:pt idx="338">
                  <c:v>233.61699999999999</c:v>
                </c:pt>
                <c:pt idx="339">
                  <c:v>241.256</c:v>
                </c:pt>
                <c:pt idx="340">
                  <c:v>253.69</c:v>
                </c:pt>
                <c:pt idx="341">
                  <c:v>249.61199999999999</c:v>
                </c:pt>
                <c:pt idx="342">
                  <c:v>238.85400000000001</c:v>
                </c:pt>
                <c:pt idx="343">
                  <c:v>242.83600000000001</c:v>
                </c:pt>
                <c:pt idx="344">
                  <c:v>238.036</c:v>
                </c:pt>
                <c:pt idx="345">
                  <c:v>243.584</c:v>
                </c:pt>
                <c:pt idx="346">
                  <c:v>240.95100000000005</c:v>
                </c:pt>
                <c:pt idx="347">
                  <c:v>228.006</c:v>
                </c:pt>
                <c:pt idx="348">
                  <c:v>230.893</c:v>
                </c:pt>
                <c:pt idx="349">
                  <c:v>232.702</c:v>
                </c:pt>
                <c:pt idx="350">
                  <c:v>225.27599999999998</c:v>
                </c:pt>
                <c:pt idx="351">
                  <c:v>225.036</c:v>
                </c:pt>
                <c:pt idx="352">
                  <c:v>231.078</c:v>
                </c:pt>
                <c:pt idx="353">
                  <c:v>231.078</c:v>
                </c:pt>
                <c:pt idx="354">
                  <c:v>220.053</c:v>
                </c:pt>
                <c:pt idx="355">
                  <c:v>216.86700000000005</c:v>
                </c:pt>
                <c:pt idx="356">
                  <c:v>219.04399999999998</c:v>
                </c:pt>
                <c:pt idx="357">
                  <c:v>221.32400000000001</c:v>
                </c:pt>
                <c:pt idx="358">
                  <c:v>209.64899999999997</c:v>
                </c:pt>
                <c:pt idx="359">
                  <c:v>192.946</c:v>
                </c:pt>
                <c:pt idx="360">
                  <c:v>189.46900000000002</c:v>
                </c:pt>
                <c:pt idx="361">
                  <c:v>175.03200000000001</c:v>
                </c:pt>
                <c:pt idx="362">
                  <c:v>170.89000000000001</c:v>
                </c:pt>
                <c:pt idx="363">
                  <c:v>175.52100000000004</c:v>
                </c:pt>
                <c:pt idx="364">
                  <c:v>175.52100000000004</c:v>
                </c:pt>
                <c:pt idx="365">
                  <c:v>169.767</c:v>
                </c:pt>
                <c:pt idx="366">
                  <c:v>171.91300000000001</c:v>
                </c:pt>
                <c:pt idx="367">
                  <c:v>168.52</c:v>
                </c:pt>
                <c:pt idx="368">
                  <c:v>171.929</c:v>
                </c:pt>
                <c:pt idx="369">
                  <c:v>168.64</c:v>
                </c:pt>
                <c:pt idx="370">
                  <c:v>166.846</c:v>
                </c:pt>
                <c:pt idx="371">
                  <c:v>162.49700000000001</c:v>
                </c:pt>
                <c:pt idx="372">
                  <c:v>160.99100000000001</c:v>
                </c:pt>
                <c:pt idx="373">
                  <c:v>162.14099999999999</c:v>
                </c:pt>
                <c:pt idx="374">
                  <c:v>165.70099999999999</c:v>
                </c:pt>
                <c:pt idx="375">
                  <c:v>168.18700000000001</c:v>
                </c:pt>
                <c:pt idx="376">
                  <c:v>174.41300000000001</c:v>
                </c:pt>
                <c:pt idx="377">
                  <c:v>182.74099999999999</c:v>
                </c:pt>
                <c:pt idx="378">
                  <c:v>177.62900000000002</c:v>
                </c:pt>
                <c:pt idx="379">
                  <c:v>176.71499999999995</c:v>
                </c:pt>
                <c:pt idx="380">
                  <c:v>161.70699999999999</c:v>
                </c:pt>
                <c:pt idx="381">
                  <c:v>165.25800000000001</c:v>
                </c:pt>
                <c:pt idx="382">
                  <c:v>166.69399999999999</c:v>
                </c:pt>
                <c:pt idx="383">
                  <c:v>165.608</c:v>
                </c:pt>
                <c:pt idx="384">
                  <c:v>163.506</c:v>
                </c:pt>
                <c:pt idx="385">
                  <c:v>165.03200000000001</c:v>
                </c:pt>
                <c:pt idx="386">
                  <c:v>168.82900000000001</c:v>
                </c:pt>
                <c:pt idx="387">
                  <c:v>172.83200000000005</c:v>
                </c:pt>
                <c:pt idx="388">
                  <c:v>172.86</c:v>
                </c:pt>
                <c:pt idx="389">
                  <c:v>178.542</c:v>
                </c:pt>
                <c:pt idx="390">
                  <c:v>179.38400000000001</c:v>
                </c:pt>
                <c:pt idx="391">
                  <c:v>168.65</c:v>
                </c:pt>
                <c:pt idx="392">
                  <c:v>169.61299999999997</c:v>
                </c:pt>
                <c:pt idx="393">
                  <c:v>169.94900000000001</c:v>
                </c:pt>
                <c:pt idx="394">
                  <c:v>173.94399999999999</c:v>
                </c:pt>
                <c:pt idx="395">
                  <c:v>176.82500000000005</c:v>
                </c:pt>
                <c:pt idx="396">
                  <c:v>173.47300000000001</c:v>
                </c:pt>
                <c:pt idx="397">
                  <c:v>172.804</c:v>
                </c:pt>
                <c:pt idx="398">
                  <c:v>170.607</c:v>
                </c:pt>
                <c:pt idx="399">
                  <c:v>169.083</c:v>
                </c:pt>
                <c:pt idx="400">
                  <c:v>167.18</c:v>
                </c:pt>
                <c:pt idx="401">
                  <c:v>163.11599999999999</c:v>
                </c:pt>
                <c:pt idx="402">
                  <c:v>162.096</c:v>
                </c:pt>
                <c:pt idx="403">
                  <c:v>162.28800000000001</c:v>
                </c:pt>
                <c:pt idx="404">
                  <c:v>159.21899999999999</c:v>
                </c:pt>
                <c:pt idx="405">
                  <c:v>158.88400000000001</c:v>
                </c:pt>
                <c:pt idx="406">
                  <c:v>158.51300000000001</c:v>
                </c:pt>
                <c:pt idx="407">
                  <c:v>158.09800000000001</c:v>
                </c:pt>
                <c:pt idx="408">
                  <c:v>155.03700000000001</c:v>
                </c:pt>
                <c:pt idx="409">
                  <c:v>152.24399999999994</c:v>
                </c:pt>
                <c:pt idx="410">
                  <c:v>155.66800000000001</c:v>
                </c:pt>
                <c:pt idx="411">
                  <c:v>154.691</c:v>
                </c:pt>
                <c:pt idx="412">
                  <c:v>158.30000000000001</c:v>
                </c:pt>
                <c:pt idx="413">
                  <c:v>159.84800000000001</c:v>
                </c:pt>
                <c:pt idx="414">
                  <c:v>155.268</c:v>
                </c:pt>
                <c:pt idx="415">
                  <c:v>152.24499999999998</c:v>
                </c:pt>
                <c:pt idx="416">
                  <c:v>142.267</c:v>
                </c:pt>
                <c:pt idx="417">
                  <c:v>137.17399999999998</c:v>
                </c:pt>
                <c:pt idx="418">
                  <c:v>137.17399999999998</c:v>
                </c:pt>
                <c:pt idx="419">
                  <c:v>127.146</c:v>
                </c:pt>
                <c:pt idx="420">
                  <c:v>130.64599999999999</c:v>
                </c:pt>
                <c:pt idx="421">
                  <c:v>129.95600000000005</c:v>
                </c:pt>
                <c:pt idx="422">
                  <c:v>131.44</c:v>
                </c:pt>
                <c:pt idx="423">
                  <c:v>136.256</c:v>
                </c:pt>
                <c:pt idx="424">
                  <c:v>149.66</c:v>
                </c:pt>
                <c:pt idx="425">
                  <c:v>143.90200000000004</c:v>
                </c:pt>
                <c:pt idx="426">
                  <c:v>146.75899999999999</c:v>
                </c:pt>
                <c:pt idx="427">
                  <c:v>152.072</c:v>
                </c:pt>
                <c:pt idx="428">
                  <c:v>150.10300000000001</c:v>
                </c:pt>
                <c:pt idx="429">
                  <c:v>150.47200000000001</c:v>
                </c:pt>
                <c:pt idx="430">
                  <c:v>150.21899999999999</c:v>
                </c:pt>
                <c:pt idx="431">
                  <c:v>153.64499999999998</c:v>
                </c:pt>
                <c:pt idx="432">
                  <c:v>151.291</c:v>
                </c:pt>
                <c:pt idx="433">
                  <c:v>151.63999999999999</c:v>
                </c:pt>
                <c:pt idx="434">
                  <c:v>151.63999999999999</c:v>
                </c:pt>
                <c:pt idx="435">
                  <c:v>148.99300000000002</c:v>
                </c:pt>
                <c:pt idx="436">
                  <c:v>152.291</c:v>
                </c:pt>
                <c:pt idx="437">
                  <c:v>155.12800000000001</c:v>
                </c:pt>
                <c:pt idx="438">
                  <c:v>152.89000000000001</c:v>
                </c:pt>
                <c:pt idx="439">
                  <c:v>158.11799999999999</c:v>
                </c:pt>
                <c:pt idx="440">
                  <c:v>160.483</c:v>
                </c:pt>
                <c:pt idx="441">
                  <c:v>157.26599999999999</c:v>
                </c:pt>
                <c:pt idx="442">
                  <c:v>157.34700000000001</c:v>
                </c:pt>
                <c:pt idx="443">
                  <c:v>159.75700000000001</c:v>
                </c:pt>
                <c:pt idx="444">
                  <c:v>157.69</c:v>
                </c:pt>
                <c:pt idx="445">
                  <c:v>154.07599999999999</c:v>
                </c:pt>
                <c:pt idx="446">
                  <c:v>150.21399999999994</c:v>
                </c:pt>
                <c:pt idx="447">
                  <c:v>151.02700000000004</c:v>
                </c:pt>
                <c:pt idx="448">
                  <c:v>150.65900000000002</c:v>
                </c:pt>
                <c:pt idx="449">
                  <c:v>156.999</c:v>
                </c:pt>
                <c:pt idx="450">
                  <c:v>156.04300000000001</c:v>
                </c:pt>
                <c:pt idx="451">
                  <c:v>153.71099999999998</c:v>
                </c:pt>
                <c:pt idx="452">
                  <c:v>158.91999999999999</c:v>
                </c:pt>
                <c:pt idx="453">
                  <c:v>158.51900000000001</c:v>
                </c:pt>
                <c:pt idx="454">
                  <c:v>159.83500000000001</c:v>
                </c:pt>
                <c:pt idx="455">
                  <c:v>160.22499999999999</c:v>
                </c:pt>
                <c:pt idx="456">
                  <c:v>154.82200000000006</c:v>
                </c:pt>
                <c:pt idx="457">
                  <c:v>151.76900000000001</c:v>
                </c:pt>
                <c:pt idx="458">
                  <c:v>154.34300000000002</c:v>
                </c:pt>
                <c:pt idx="459">
                  <c:v>152.1</c:v>
                </c:pt>
                <c:pt idx="460">
                  <c:v>153.77799999999999</c:v>
                </c:pt>
                <c:pt idx="461">
                  <c:v>151.489</c:v>
                </c:pt>
                <c:pt idx="462">
                  <c:v>151.374</c:v>
                </c:pt>
                <c:pt idx="463">
                  <c:v>144.625</c:v>
                </c:pt>
                <c:pt idx="464">
                  <c:v>146.09200000000001</c:v>
                </c:pt>
                <c:pt idx="465">
                  <c:v>147.791</c:v>
                </c:pt>
                <c:pt idx="466">
                  <c:v>148.404</c:v>
                </c:pt>
                <c:pt idx="467">
                  <c:v>146.77599999999998</c:v>
                </c:pt>
                <c:pt idx="468">
                  <c:v>143.16499999999999</c:v>
                </c:pt>
                <c:pt idx="469">
                  <c:v>141.09</c:v>
                </c:pt>
                <c:pt idx="470">
                  <c:v>142.01399999999998</c:v>
                </c:pt>
                <c:pt idx="471">
                  <c:v>141.45800000000006</c:v>
                </c:pt>
                <c:pt idx="472">
                  <c:v>139.571</c:v>
                </c:pt>
                <c:pt idx="473">
                  <c:v>140.77799999999999</c:v>
                </c:pt>
                <c:pt idx="474">
                  <c:v>144.42800000000005</c:v>
                </c:pt>
                <c:pt idx="475">
                  <c:v>145.63499999999999</c:v>
                </c:pt>
                <c:pt idx="476">
                  <c:v>151.10900000000001</c:v>
                </c:pt>
                <c:pt idx="477">
                  <c:v>148.04</c:v>
                </c:pt>
                <c:pt idx="478">
                  <c:v>148.27799999999999</c:v>
                </c:pt>
                <c:pt idx="479">
                  <c:v>153.107</c:v>
                </c:pt>
                <c:pt idx="480">
                  <c:v>147.03300000000002</c:v>
                </c:pt>
                <c:pt idx="481">
                  <c:v>147.03300000000002</c:v>
                </c:pt>
              </c:numCache>
            </c:numRef>
          </c:val>
          <c:smooth val="0"/>
          <c:extLst>
            <c:ext xmlns:c16="http://schemas.microsoft.com/office/drawing/2014/chart" uri="{C3380CC4-5D6E-409C-BE32-E72D297353CC}">
              <c16:uniqueId val="{00000001-BFD6-4FA7-9FC9-9398EA1E3504}"/>
            </c:ext>
          </c:extLst>
        </c:ser>
        <c:ser>
          <c:idx val="3"/>
          <c:order val="2"/>
          <c:tx>
            <c:strRef>
              <c:f>Sheet1!$D$1</c:f>
              <c:strCache>
                <c:ptCount val="1"/>
                <c:pt idx="0">
                  <c:v>Վրաստան (2021թ.)</c:v>
                </c:pt>
              </c:strCache>
            </c:strRef>
          </c:tx>
          <c:spPr>
            <a:ln w="28575" cap="rnd">
              <a:solidFill>
                <a:srgbClr val="C00000"/>
              </a:solidFill>
              <a:round/>
            </a:ln>
            <a:effectLst/>
          </c:spPr>
          <c:marker>
            <c:symbol val="none"/>
          </c:marker>
          <c:cat>
            <c:numRef>
              <c:f>Sheet1!$A$2:$A$483</c:f>
              <c:numCache>
                <c:formatCode>m\/d\/yyyy</c:formatCode>
                <c:ptCount val="482"/>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numCache>
            </c:numRef>
          </c:cat>
          <c:val>
            <c:numRef>
              <c:f>Sheet1!$D$2:$D$483</c:f>
              <c:numCache>
                <c:formatCode>0</c:formatCode>
                <c:ptCount val="482"/>
                <c:pt idx="0">
                  <c:v>177.14599999999999</c:v>
                </c:pt>
                <c:pt idx="1">
                  <c:v>177.49800000000005</c:v>
                </c:pt>
                <c:pt idx="2">
                  <c:v>183.01499999999999</c:v>
                </c:pt>
                <c:pt idx="3">
                  <c:v>168.48000000000005</c:v>
                </c:pt>
                <c:pt idx="4">
                  <c:v>166.012</c:v>
                </c:pt>
                <c:pt idx="5">
                  <c:v>160.762</c:v>
                </c:pt>
                <c:pt idx="6">
                  <c:v>166.06100000000001</c:v>
                </c:pt>
                <c:pt idx="7">
                  <c:v>159.315</c:v>
                </c:pt>
                <c:pt idx="8">
                  <c:v>161.54499999999999</c:v>
                </c:pt>
                <c:pt idx="9">
                  <c:v>164.14399999999998</c:v>
                </c:pt>
                <c:pt idx="10">
                  <c:v>161.53200000000001</c:v>
                </c:pt>
                <c:pt idx="11">
                  <c:v>155.84700000000001</c:v>
                </c:pt>
                <c:pt idx="12">
                  <c:v>154.89800000000005</c:v>
                </c:pt>
                <c:pt idx="13">
                  <c:v>125.895</c:v>
                </c:pt>
                <c:pt idx="14">
                  <c:v>139.37800000000001</c:v>
                </c:pt>
                <c:pt idx="15">
                  <c:v>150.917</c:v>
                </c:pt>
                <c:pt idx="16">
                  <c:v>139.76399999999998</c:v>
                </c:pt>
                <c:pt idx="17">
                  <c:v>138.05000000000001</c:v>
                </c:pt>
                <c:pt idx="18">
                  <c:v>136.58500000000001</c:v>
                </c:pt>
                <c:pt idx="19">
                  <c:v>141.678</c:v>
                </c:pt>
                <c:pt idx="20">
                  <c:v>138.95700000000005</c:v>
                </c:pt>
                <c:pt idx="21">
                  <c:v>137.99</c:v>
                </c:pt>
                <c:pt idx="22">
                  <c:v>128.62200000000001</c:v>
                </c:pt>
                <c:pt idx="23">
                  <c:v>124.286</c:v>
                </c:pt>
                <c:pt idx="24">
                  <c:v>121.30200000000001</c:v>
                </c:pt>
                <c:pt idx="25">
                  <c:v>121.76600000000002</c:v>
                </c:pt>
                <c:pt idx="26">
                  <c:v>123.038</c:v>
                </c:pt>
                <c:pt idx="27">
                  <c:v>129.267</c:v>
                </c:pt>
                <c:pt idx="28">
                  <c:v>127.301</c:v>
                </c:pt>
                <c:pt idx="29">
                  <c:v>130.30700000000004</c:v>
                </c:pt>
                <c:pt idx="30">
                  <c:v>127.729</c:v>
                </c:pt>
                <c:pt idx="31">
                  <c:v>124.254</c:v>
                </c:pt>
                <c:pt idx="32">
                  <c:v>127.98</c:v>
                </c:pt>
                <c:pt idx="33">
                  <c:v>128.30100000000004</c:v>
                </c:pt>
                <c:pt idx="34">
                  <c:v>128.81700000000001</c:v>
                </c:pt>
                <c:pt idx="35">
                  <c:v>133.08800000000005</c:v>
                </c:pt>
                <c:pt idx="36">
                  <c:v>142.50200000000001</c:v>
                </c:pt>
                <c:pt idx="37">
                  <c:v>140.91900000000001</c:v>
                </c:pt>
                <c:pt idx="38">
                  <c:v>141.09200000000001</c:v>
                </c:pt>
                <c:pt idx="39">
                  <c:v>132.58000000000001</c:v>
                </c:pt>
                <c:pt idx="40">
                  <c:v>135.43900000000002</c:v>
                </c:pt>
                <c:pt idx="41">
                  <c:v>134.60999999999999</c:v>
                </c:pt>
                <c:pt idx="42">
                  <c:v>131.14399999999998</c:v>
                </c:pt>
                <c:pt idx="43">
                  <c:v>133.94999999999999</c:v>
                </c:pt>
                <c:pt idx="44">
                  <c:v>144.40100000000001</c:v>
                </c:pt>
                <c:pt idx="45">
                  <c:v>144.15600000000001</c:v>
                </c:pt>
                <c:pt idx="46">
                  <c:v>139.82300000000001</c:v>
                </c:pt>
                <c:pt idx="47">
                  <c:v>142.51</c:v>
                </c:pt>
                <c:pt idx="48">
                  <c:v>141.607</c:v>
                </c:pt>
                <c:pt idx="49">
                  <c:v>138.959</c:v>
                </c:pt>
                <c:pt idx="50">
                  <c:v>136.126</c:v>
                </c:pt>
                <c:pt idx="51">
                  <c:v>136.56200000000001</c:v>
                </c:pt>
                <c:pt idx="52">
                  <c:v>140.90600000000001</c:v>
                </c:pt>
                <c:pt idx="53">
                  <c:v>142.29</c:v>
                </c:pt>
                <c:pt idx="54">
                  <c:v>139.702</c:v>
                </c:pt>
                <c:pt idx="55">
                  <c:v>141.35600000000005</c:v>
                </c:pt>
                <c:pt idx="56">
                  <c:v>147.042</c:v>
                </c:pt>
                <c:pt idx="57">
                  <c:v>136.197</c:v>
                </c:pt>
                <c:pt idx="58">
                  <c:v>145.18</c:v>
                </c:pt>
                <c:pt idx="59">
                  <c:v>154.61299999999997</c:v>
                </c:pt>
                <c:pt idx="60">
                  <c:v>153.53200000000001</c:v>
                </c:pt>
                <c:pt idx="61">
                  <c:v>156.15800000000004</c:v>
                </c:pt>
                <c:pt idx="62">
                  <c:v>153.84300000000002</c:v>
                </c:pt>
                <c:pt idx="63">
                  <c:v>151.285</c:v>
                </c:pt>
                <c:pt idx="64">
                  <c:v>140.67299999999997</c:v>
                </c:pt>
                <c:pt idx="65">
                  <c:v>141.42400000000001</c:v>
                </c:pt>
                <c:pt idx="66">
                  <c:v>139.74199999999999</c:v>
                </c:pt>
                <c:pt idx="67">
                  <c:v>137.02200000000005</c:v>
                </c:pt>
                <c:pt idx="68">
                  <c:v>134.08700000000005</c:v>
                </c:pt>
                <c:pt idx="69">
                  <c:v>133.035</c:v>
                </c:pt>
                <c:pt idx="70">
                  <c:v>130.44499999999999</c:v>
                </c:pt>
                <c:pt idx="71">
                  <c:v>128.66200000000001</c:v>
                </c:pt>
                <c:pt idx="72">
                  <c:v>132.227</c:v>
                </c:pt>
                <c:pt idx="73">
                  <c:v>132.82900000000001</c:v>
                </c:pt>
                <c:pt idx="74">
                  <c:v>125.84099999999999</c:v>
                </c:pt>
                <c:pt idx="75">
                  <c:v>121.983</c:v>
                </c:pt>
                <c:pt idx="76">
                  <c:v>120.782</c:v>
                </c:pt>
                <c:pt idx="77">
                  <c:v>124.14400000000002</c:v>
                </c:pt>
                <c:pt idx="78">
                  <c:v>124.14400000000002</c:v>
                </c:pt>
                <c:pt idx="79">
                  <c:v>124.14400000000002</c:v>
                </c:pt>
                <c:pt idx="80">
                  <c:v>125.84399999999999</c:v>
                </c:pt>
                <c:pt idx="81">
                  <c:v>127.009</c:v>
                </c:pt>
                <c:pt idx="82">
                  <c:v>126.527</c:v>
                </c:pt>
                <c:pt idx="83">
                  <c:v>126.8</c:v>
                </c:pt>
                <c:pt idx="84">
                  <c:v>125.768</c:v>
                </c:pt>
                <c:pt idx="85">
                  <c:v>124.748</c:v>
                </c:pt>
                <c:pt idx="86">
                  <c:v>126.35799999999999</c:v>
                </c:pt>
                <c:pt idx="87">
                  <c:v>115.063</c:v>
                </c:pt>
                <c:pt idx="88">
                  <c:v>114.636</c:v>
                </c:pt>
                <c:pt idx="89">
                  <c:v>114.636</c:v>
                </c:pt>
                <c:pt idx="90">
                  <c:v>124.065</c:v>
                </c:pt>
                <c:pt idx="91">
                  <c:v>126.221</c:v>
                </c:pt>
                <c:pt idx="92">
                  <c:v>123.65600000000001</c:v>
                </c:pt>
                <c:pt idx="93">
                  <c:v>119.212</c:v>
                </c:pt>
                <c:pt idx="94">
                  <c:v>136.70599999999999</c:v>
                </c:pt>
                <c:pt idx="95">
                  <c:v>140.29599999999999</c:v>
                </c:pt>
                <c:pt idx="96">
                  <c:v>139.09800000000001</c:v>
                </c:pt>
                <c:pt idx="97">
                  <c:v>131.04499999999999</c:v>
                </c:pt>
                <c:pt idx="98">
                  <c:v>130.678</c:v>
                </c:pt>
                <c:pt idx="99">
                  <c:v>123.83799999999999</c:v>
                </c:pt>
                <c:pt idx="100">
                  <c:v>119.276</c:v>
                </c:pt>
                <c:pt idx="101">
                  <c:v>123.61999999999999</c:v>
                </c:pt>
                <c:pt idx="102">
                  <c:v>132.64399999999998</c:v>
                </c:pt>
                <c:pt idx="103">
                  <c:v>134.85800000000006</c:v>
                </c:pt>
                <c:pt idx="104">
                  <c:v>134.85800000000006</c:v>
                </c:pt>
                <c:pt idx="105">
                  <c:v>144.14399999999998</c:v>
                </c:pt>
                <c:pt idx="106">
                  <c:v>148.99800000000005</c:v>
                </c:pt>
                <c:pt idx="107">
                  <c:v>149.10999999999999</c:v>
                </c:pt>
                <c:pt idx="108">
                  <c:v>165.416</c:v>
                </c:pt>
                <c:pt idx="109">
                  <c:v>176.35200000000006</c:v>
                </c:pt>
                <c:pt idx="110">
                  <c:v>173.148</c:v>
                </c:pt>
                <c:pt idx="111">
                  <c:v>164.536</c:v>
                </c:pt>
                <c:pt idx="112">
                  <c:v>156.14399999999998</c:v>
                </c:pt>
                <c:pt idx="113">
                  <c:v>151.964</c:v>
                </c:pt>
                <c:pt idx="114">
                  <c:v>147.74799999999999</c:v>
                </c:pt>
                <c:pt idx="115">
                  <c:v>147.31300000000002</c:v>
                </c:pt>
                <c:pt idx="116">
                  <c:v>154.06399999999999</c:v>
                </c:pt>
                <c:pt idx="117">
                  <c:v>156.79499999999999</c:v>
                </c:pt>
                <c:pt idx="118">
                  <c:v>153.95800000000006</c:v>
                </c:pt>
                <c:pt idx="119">
                  <c:v>149.76300000000001</c:v>
                </c:pt>
                <c:pt idx="120">
                  <c:v>141.102</c:v>
                </c:pt>
                <c:pt idx="121">
                  <c:v>139.005</c:v>
                </c:pt>
                <c:pt idx="122">
                  <c:v>143.52700000000004</c:v>
                </c:pt>
                <c:pt idx="123">
                  <c:v>145.036</c:v>
                </c:pt>
                <c:pt idx="124">
                  <c:v>154.35600000000005</c:v>
                </c:pt>
                <c:pt idx="125">
                  <c:v>173.48600000000005</c:v>
                </c:pt>
                <c:pt idx="126">
                  <c:v>172.32500000000005</c:v>
                </c:pt>
                <c:pt idx="127">
                  <c:v>162.46100000000001</c:v>
                </c:pt>
                <c:pt idx="128">
                  <c:v>158.39400000000001</c:v>
                </c:pt>
                <c:pt idx="129">
                  <c:v>145.523</c:v>
                </c:pt>
                <c:pt idx="130">
                  <c:v>143.446</c:v>
                </c:pt>
                <c:pt idx="131">
                  <c:v>139.82100000000005</c:v>
                </c:pt>
                <c:pt idx="132">
                  <c:v>144.77199999999999</c:v>
                </c:pt>
                <c:pt idx="133">
                  <c:v>140.541</c:v>
                </c:pt>
                <c:pt idx="134">
                  <c:v>138.476</c:v>
                </c:pt>
                <c:pt idx="135">
                  <c:v>140.166</c:v>
                </c:pt>
                <c:pt idx="136">
                  <c:v>144.10300000000001</c:v>
                </c:pt>
                <c:pt idx="137">
                  <c:v>135.589</c:v>
                </c:pt>
                <c:pt idx="138">
                  <c:v>137.09200000000001</c:v>
                </c:pt>
                <c:pt idx="139">
                  <c:v>139.85300000000001</c:v>
                </c:pt>
                <c:pt idx="140">
                  <c:v>136.80500000000001</c:v>
                </c:pt>
                <c:pt idx="141">
                  <c:v>141.29</c:v>
                </c:pt>
                <c:pt idx="142">
                  <c:v>141.80100000000004</c:v>
                </c:pt>
                <c:pt idx="143">
                  <c:v>134.11499999999998</c:v>
                </c:pt>
                <c:pt idx="144">
                  <c:v>131.48400000000001</c:v>
                </c:pt>
                <c:pt idx="145">
                  <c:v>129.93300000000002</c:v>
                </c:pt>
                <c:pt idx="146">
                  <c:v>137.56300000000002</c:v>
                </c:pt>
                <c:pt idx="147">
                  <c:v>135.40800000000004</c:v>
                </c:pt>
                <c:pt idx="148">
                  <c:v>131.46700000000001</c:v>
                </c:pt>
                <c:pt idx="149">
                  <c:v>129.345</c:v>
                </c:pt>
                <c:pt idx="150">
                  <c:v>134.23099999999999</c:v>
                </c:pt>
                <c:pt idx="151">
                  <c:v>124.637</c:v>
                </c:pt>
                <c:pt idx="152">
                  <c:v>138.929</c:v>
                </c:pt>
                <c:pt idx="153">
                  <c:v>137.40300000000002</c:v>
                </c:pt>
                <c:pt idx="154">
                  <c:v>160.923</c:v>
                </c:pt>
                <c:pt idx="155">
                  <c:v>152.72399999999999</c:v>
                </c:pt>
                <c:pt idx="156">
                  <c:v>158.41399999999999</c:v>
                </c:pt>
                <c:pt idx="157">
                  <c:v>148.63499999999999</c:v>
                </c:pt>
                <c:pt idx="158">
                  <c:v>146.15800000000004</c:v>
                </c:pt>
                <c:pt idx="159">
                  <c:v>150.87200000000001</c:v>
                </c:pt>
                <c:pt idx="160">
                  <c:v>144.505</c:v>
                </c:pt>
                <c:pt idx="161">
                  <c:v>145.45500000000001</c:v>
                </c:pt>
                <c:pt idx="162">
                  <c:v>159.02700000000004</c:v>
                </c:pt>
                <c:pt idx="163">
                  <c:v>151.66300000000001</c:v>
                </c:pt>
                <c:pt idx="164">
                  <c:v>152.01</c:v>
                </c:pt>
                <c:pt idx="165">
                  <c:v>154.17299999999997</c:v>
                </c:pt>
                <c:pt idx="166">
                  <c:v>153.67599999999999</c:v>
                </c:pt>
                <c:pt idx="167">
                  <c:v>147.98100000000005</c:v>
                </c:pt>
                <c:pt idx="168">
                  <c:v>140.285</c:v>
                </c:pt>
                <c:pt idx="169">
                  <c:v>140.285</c:v>
                </c:pt>
                <c:pt idx="170">
                  <c:v>145.90200000000004</c:v>
                </c:pt>
                <c:pt idx="171">
                  <c:v>138.971</c:v>
                </c:pt>
                <c:pt idx="172">
                  <c:v>133.17899999999997</c:v>
                </c:pt>
                <c:pt idx="173">
                  <c:v>128.32400000000001</c:v>
                </c:pt>
                <c:pt idx="174">
                  <c:v>134.24699999999999</c:v>
                </c:pt>
                <c:pt idx="175">
                  <c:v>133.899</c:v>
                </c:pt>
                <c:pt idx="176">
                  <c:v>133.34300000000002</c:v>
                </c:pt>
                <c:pt idx="177">
                  <c:v>129.55500000000001</c:v>
                </c:pt>
                <c:pt idx="178">
                  <c:v>133.30600000000001</c:v>
                </c:pt>
                <c:pt idx="179">
                  <c:v>136.16200000000001</c:v>
                </c:pt>
                <c:pt idx="180">
                  <c:v>132.23099999999999</c:v>
                </c:pt>
                <c:pt idx="181">
                  <c:v>125.324</c:v>
                </c:pt>
                <c:pt idx="182">
                  <c:v>121.01100000000002</c:v>
                </c:pt>
                <c:pt idx="183">
                  <c:v>119.43700000000003</c:v>
                </c:pt>
                <c:pt idx="184">
                  <c:v>111.85599999999998</c:v>
                </c:pt>
                <c:pt idx="185">
                  <c:v>112.91200000000002</c:v>
                </c:pt>
                <c:pt idx="186">
                  <c:v>110.848</c:v>
                </c:pt>
                <c:pt idx="187">
                  <c:v>109.235</c:v>
                </c:pt>
                <c:pt idx="188">
                  <c:v>107.068</c:v>
                </c:pt>
                <c:pt idx="189">
                  <c:v>103.4</c:v>
                </c:pt>
                <c:pt idx="190">
                  <c:v>104.051</c:v>
                </c:pt>
                <c:pt idx="191">
                  <c:v>104.15799999999999</c:v>
                </c:pt>
                <c:pt idx="192">
                  <c:v>103.32</c:v>
                </c:pt>
                <c:pt idx="193">
                  <c:v>100.057</c:v>
                </c:pt>
                <c:pt idx="194">
                  <c:v>97.162999999999982</c:v>
                </c:pt>
                <c:pt idx="195">
                  <c:v>100.10299999999998</c:v>
                </c:pt>
                <c:pt idx="196">
                  <c:v>105.191</c:v>
                </c:pt>
                <c:pt idx="197">
                  <c:v>107.70699999999999</c:v>
                </c:pt>
                <c:pt idx="198">
                  <c:v>104.31399999999999</c:v>
                </c:pt>
                <c:pt idx="199">
                  <c:v>102.02500000000001</c:v>
                </c:pt>
                <c:pt idx="200">
                  <c:v>105.73099999999999</c:v>
                </c:pt>
                <c:pt idx="201">
                  <c:v>105.18899999999998</c:v>
                </c:pt>
                <c:pt idx="202">
                  <c:v>102.46299999999999</c:v>
                </c:pt>
                <c:pt idx="203">
                  <c:v>92.206999999999994</c:v>
                </c:pt>
                <c:pt idx="204">
                  <c:v>92.206999999999994</c:v>
                </c:pt>
                <c:pt idx="205">
                  <c:v>85.617999999999995</c:v>
                </c:pt>
                <c:pt idx="206">
                  <c:v>82.387</c:v>
                </c:pt>
                <c:pt idx="207">
                  <c:v>80.215999999999994</c:v>
                </c:pt>
                <c:pt idx="208">
                  <c:v>80.132999999999981</c:v>
                </c:pt>
                <c:pt idx="209">
                  <c:v>80.138999999999982</c:v>
                </c:pt>
                <c:pt idx="210">
                  <c:v>76.691000000000003</c:v>
                </c:pt>
                <c:pt idx="211">
                  <c:v>80.521000000000001</c:v>
                </c:pt>
                <c:pt idx="212">
                  <c:v>71.894999999999996</c:v>
                </c:pt>
                <c:pt idx="213">
                  <c:v>70.915999999999997</c:v>
                </c:pt>
                <c:pt idx="214">
                  <c:v>72.787999999999997</c:v>
                </c:pt>
                <c:pt idx="215">
                  <c:v>73.442000000000007</c:v>
                </c:pt>
                <c:pt idx="216">
                  <c:v>73.915000000000006</c:v>
                </c:pt>
                <c:pt idx="217">
                  <c:v>70.849000000000004</c:v>
                </c:pt>
                <c:pt idx="218">
                  <c:v>66.60799999999999</c:v>
                </c:pt>
                <c:pt idx="219">
                  <c:v>68.570999999999998</c:v>
                </c:pt>
                <c:pt idx="220">
                  <c:v>66.933000000000007</c:v>
                </c:pt>
                <c:pt idx="221">
                  <c:v>72.027999999999992</c:v>
                </c:pt>
                <c:pt idx="222">
                  <c:v>73.909000000000006</c:v>
                </c:pt>
                <c:pt idx="223">
                  <c:v>72.568000000000012</c:v>
                </c:pt>
                <c:pt idx="224">
                  <c:v>86.192999999999998</c:v>
                </c:pt>
                <c:pt idx="225">
                  <c:v>74.745000000000005</c:v>
                </c:pt>
                <c:pt idx="226">
                  <c:v>83.040999999999997</c:v>
                </c:pt>
                <c:pt idx="227">
                  <c:v>79.055999999999983</c:v>
                </c:pt>
                <c:pt idx="228">
                  <c:v>77.019000000000005</c:v>
                </c:pt>
                <c:pt idx="229">
                  <c:v>76.977000000000004</c:v>
                </c:pt>
                <c:pt idx="230">
                  <c:v>79.254000000000005</c:v>
                </c:pt>
                <c:pt idx="231">
                  <c:v>83.149999999999991</c:v>
                </c:pt>
                <c:pt idx="232">
                  <c:v>77.667999999999992</c:v>
                </c:pt>
                <c:pt idx="233">
                  <c:v>76.531999999999996</c:v>
                </c:pt>
                <c:pt idx="234">
                  <c:v>74.188999999999979</c:v>
                </c:pt>
                <c:pt idx="235">
                  <c:v>77.910000000000025</c:v>
                </c:pt>
                <c:pt idx="236">
                  <c:v>79.069999999999993</c:v>
                </c:pt>
                <c:pt idx="237">
                  <c:v>77.3</c:v>
                </c:pt>
                <c:pt idx="238">
                  <c:v>82.848000000000013</c:v>
                </c:pt>
                <c:pt idx="239">
                  <c:v>84.843000000000004</c:v>
                </c:pt>
                <c:pt idx="240">
                  <c:v>94.531000000000006</c:v>
                </c:pt>
                <c:pt idx="241">
                  <c:v>90.027000000000001</c:v>
                </c:pt>
                <c:pt idx="242">
                  <c:v>90.783000000000001</c:v>
                </c:pt>
                <c:pt idx="243">
                  <c:v>91.124999999999986</c:v>
                </c:pt>
                <c:pt idx="244">
                  <c:v>84.831999999999994</c:v>
                </c:pt>
                <c:pt idx="245">
                  <c:v>83.946000000000026</c:v>
                </c:pt>
                <c:pt idx="246">
                  <c:v>82.631999999999991</c:v>
                </c:pt>
                <c:pt idx="247">
                  <c:v>81.149999999999991</c:v>
                </c:pt>
                <c:pt idx="248">
                  <c:v>80.546000000000006</c:v>
                </c:pt>
                <c:pt idx="249">
                  <c:v>82.683999999999983</c:v>
                </c:pt>
                <c:pt idx="250">
                  <c:v>70.161999999999992</c:v>
                </c:pt>
                <c:pt idx="251">
                  <c:v>73.915000000000006</c:v>
                </c:pt>
                <c:pt idx="252">
                  <c:v>57.809000000000005</c:v>
                </c:pt>
                <c:pt idx="253">
                  <c:v>56.862000000000002</c:v>
                </c:pt>
                <c:pt idx="254">
                  <c:v>55.073</c:v>
                </c:pt>
                <c:pt idx="255">
                  <c:v>50.810999999999993</c:v>
                </c:pt>
                <c:pt idx="256">
                  <c:v>50.810999999999993</c:v>
                </c:pt>
                <c:pt idx="257">
                  <c:v>50.810999999999993</c:v>
                </c:pt>
                <c:pt idx="258">
                  <c:v>49.171000000000006</c:v>
                </c:pt>
                <c:pt idx="259">
                  <c:v>53.699000000000012</c:v>
                </c:pt>
                <c:pt idx="260">
                  <c:v>53.282000000000011</c:v>
                </c:pt>
                <c:pt idx="261">
                  <c:v>53.282000000000011</c:v>
                </c:pt>
                <c:pt idx="262">
                  <c:v>51.744</c:v>
                </c:pt>
                <c:pt idx="263">
                  <c:v>53.403000000000006</c:v>
                </c:pt>
                <c:pt idx="264">
                  <c:v>51.496000000000002</c:v>
                </c:pt>
                <c:pt idx="265">
                  <c:v>49.896000000000001</c:v>
                </c:pt>
                <c:pt idx="266">
                  <c:v>49.475000000000001</c:v>
                </c:pt>
                <c:pt idx="267">
                  <c:v>43.596000000000011</c:v>
                </c:pt>
                <c:pt idx="268">
                  <c:v>42.935000000000002</c:v>
                </c:pt>
                <c:pt idx="269">
                  <c:v>42.366</c:v>
                </c:pt>
                <c:pt idx="270">
                  <c:v>41.587000000000003</c:v>
                </c:pt>
                <c:pt idx="271">
                  <c:v>38.509</c:v>
                </c:pt>
                <c:pt idx="272">
                  <c:v>40.691000000000003</c:v>
                </c:pt>
                <c:pt idx="273">
                  <c:v>40.457999999999998</c:v>
                </c:pt>
                <c:pt idx="274">
                  <c:v>34.849000000000004</c:v>
                </c:pt>
                <c:pt idx="275">
                  <c:v>35.332000000000001</c:v>
                </c:pt>
                <c:pt idx="276">
                  <c:v>34.809000000000005</c:v>
                </c:pt>
                <c:pt idx="277">
                  <c:v>35.046000000000006</c:v>
                </c:pt>
                <c:pt idx="278">
                  <c:v>31.616000000000007</c:v>
                </c:pt>
                <c:pt idx="279">
                  <c:v>41.591000000000001</c:v>
                </c:pt>
                <c:pt idx="280">
                  <c:v>37.095000000000013</c:v>
                </c:pt>
                <c:pt idx="281">
                  <c:v>40.026000000000003</c:v>
                </c:pt>
                <c:pt idx="282">
                  <c:v>42.235000000000014</c:v>
                </c:pt>
                <c:pt idx="283">
                  <c:v>42.021000000000001</c:v>
                </c:pt>
                <c:pt idx="284">
                  <c:v>44.057000000000002</c:v>
                </c:pt>
                <c:pt idx="285">
                  <c:v>40.840000000000003</c:v>
                </c:pt>
                <c:pt idx="286">
                  <c:v>41.448</c:v>
                </c:pt>
                <c:pt idx="287">
                  <c:v>33.199000000000012</c:v>
                </c:pt>
                <c:pt idx="288">
                  <c:v>36.143000000000001</c:v>
                </c:pt>
                <c:pt idx="289">
                  <c:v>30.335999999999999</c:v>
                </c:pt>
                <c:pt idx="290">
                  <c:v>32.662000000000013</c:v>
                </c:pt>
                <c:pt idx="291">
                  <c:v>28.18</c:v>
                </c:pt>
                <c:pt idx="292">
                  <c:v>28.616000000000007</c:v>
                </c:pt>
                <c:pt idx="293">
                  <c:v>25.288999999999991</c:v>
                </c:pt>
                <c:pt idx="294">
                  <c:v>25.454000000000001</c:v>
                </c:pt>
                <c:pt idx="295">
                  <c:v>26.05</c:v>
                </c:pt>
                <c:pt idx="296">
                  <c:v>22.332999999999991</c:v>
                </c:pt>
                <c:pt idx="297">
                  <c:v>20.193000000000001</c:v>
                </c:pt>
                <c:pt idx="298">
                  <c:v>25.152000000000001</c:v>
                </c:pt>
                <c:pt idx="299">
                  <c:v>31.300999999999991</c:v>
                </c:pt>
                <c:pt idx="300">
                  <c:v>32.998000000000012</c:v>
                </c:pt>
                <c:pt idx="301">
                  <c:v>44.661000000000001</c:v>
                </c:pt>
                <c:pt idx="302">
                  <c:v>61.535000000000011</c:v>
                </c:pt>
                <c:pt idx="303">
                  <c:v>120.691</c:v>
                </c:pt>
                <c:pt idx="304">
                  <c:v>140.131</c:v>
                </c:pt>
                <c:pt idx="305">
                  <c:v>103.59399999999999</c:v>
                </c:pt>
                <c:pt idx="306">
                  <c:v>119.79700000000003</c:v>
                </c:pt>
                <c:pt idx="307">
                  <c:v>123.30800000000001</c:v>
                </c:pt>
                <c:pt idx="308">
                  <c:v>144.84399999999999</c:v>
                </c:pt>
                <c:pt idx="309">
                  <c:v>245.285</c:v>
                </c:pt>
                <c:pt idx="310">
                  <c:v>238.52500000000001</c:v>
                </c:pt>
                <c:pt idx="311">
                  <c:v>245.89100000000005</c:v>
                </c:pt>
                <c:pt idx="312">
                  <c:v>245.89100000000005</c:v>
                </c:pt>
                <c:pt idx="313">
                  <c:v>245.89100000000005</c:v>
                </c:pt>
                <c:pt idx="314">
                  <c:v>403.34000000000009</c:v>
                </c:pt>
                <c:pt idx="315">
                  <c:v>407.5</c:v>
                </c:pt>
                <c:pt idx="316">
                  <c:v>422.02499999999986</c:v>
                </c:pt>
                <c:pt idx="317">
                  <c:v>422.02499999999986</c:v>
                </c:pt>
                <c:pt idx="318">
                  <c:v>520.12599999999998</c:v>
                </c:pt>
                <c:pt idx="319">
                  <c:v>586.8209999999998</c:v>
                </c:pt>
                <c:pt idx="320">
                  <c:v>584.024</c:v>
                </c:pt>
                <c:pt idx="321">
                  <c:v>587.702</c:v>
                </c:pt>
                <c:pt idx="322">
                  <c:v>533.80999999999972</c:v>
                </c:pt>
                <c:pt idx="323">
                  <c:v>541.00900000000001</c:v>
                </c:pt>
                <c:pt idx="324">
                  <c:v>527.72299999999996</c:v>
                </c:pt>
                <c:pt idx="325">
                  <c:v>536.18299999999999</c:v>
                </c:pt>
                <c:pt idx="326">
                  <c:v>527.53499999999997</c:v>
                </c:pt>
                <c:pt idx="327">
                  <c:v>521.08900000000028</c:v>
                </c:pt>
                <c:pt idx="328">
                  <c:v>541.4409999999998</c:v>
                </c:pt>
                <c:pt idx="329">
                  <c:v>457.13200000000001</c:v>
                </c:pt>
                <c:pt idx="330">
                  <c:v>460.09199999999976</c:v>
                </c:pt>
                <c:pt idx="331">
                  <c:v>489.89499999999987</c:v>
                </c:pt>
                <c:pt idx="332">
                  <c:v>448.625</c:v>
                </c:pt>
                <c:pt idx="333">
                  <c:v>448.625</c:v>
                </c:pt>
                <c:pt idx="334">
                  <c:v>448.625</c:v>
                </c:pt>
                <c:pt idx="335">
                  <c:v>382.53599999999989</c:v>
                </c:pt>
                <c:pt idx="336">
                  <c:v>449.87</c:v>
                </c:pt>
                <c:pt idx="337">
                  <c:v>458.7179999999999</c:v>
                </c:pt>
                <c:pt idx="338">
                  <c:v>458.09</c:v>
                </c:pt>
                <c:pt idx="339">
                  <c:v>465.11099999999999</c:v>
                </c:pt>
                <c:pt idx="340">
                  <c:v>459.5</c:v>
                </c:pt>
                <c:pt idx="341">
                  <c:v>496.4609999999999</c:v>
                </c:pt>
                <c:pt idx="342">
                  <c:v>490.34899999999999</c:v>
                </c:pt>
                <c:pt idx="343">
                  <c:v>504.255</c:v>
                </c:pt>
                <c:pt idx="344">
                  <c:v>505.14400000000012</c:v>
                </c:pt>
                <c:pt idx="345">
                  <c:v>507.15100000000001</c:v>
                </c:pt>
                <c:pt idx="346">
                  <c:v>524.59299999999996</c:v>
                </c:pt>
                <c:pt idx="347">
                  <c:v>499.7349999999999</c:v>
                </c:pt>
                <c:pt idx="348">
                  <c:v>502.57100000000003</c:v>
                </c:pt>
                <c:pt idx="349">
                  <c:v>547.02499999999998</c:v>
                </c:pt>
                <c:pt idx="350">
                  <c:v>517.928</c:v>
                </c:pt>
                <c:pt idx="351">
                  <c:v>514.73400000000004</c:v>
                </c:pt>
                <c:pt idx="352">
                  <c:v>535.74199999999996</c:v>
                </c:pt>
                <c:pt idx="353">
                  <c:v>535.74199999999996</c:v>
                </c:pt>
                <c:pt idx="354">
                  <c:v>521.41099999999972</c:v>
                </c:pt>
                <c:pt idx="355">
                  <c:v>501</c:v>
                </c:pt>
                <c:pt idx="356">
                  <c:v>501.62099999999987</c:v>
                </c:pt>
                <c:pt idx="357">
                  <c:v>470.23099999999988</c:v>
                </c:pt>
                <c:pt idx="358">
                  <c:v>392.375</c:v>
                </c:pt>
                <c:pt idx="359">
                  <c:v>361.3309999999999</c:v>
                </c:pt>
                <c:pt idx="360">
                  <c:v>357.46199999999988</c:v>
                </c:pt>
                <c:pt idx="361">
                  <c:v>329.78999999999991</c:v>
                </c:pt>
                <c:pt idx="362">
                  <c:v>320.32</c:v>
                </c:pt>
                <c:pt idx="363">
                  <c:v>298.93400000000003</c:v>
                </c:pt>
                <c:pt idx="364">
                  <c:v>298.93400000000003</c:v>
                </c:pt>
                <c:pt idx="365">
                  <c:v>316.19900000000001</c:v>
                </c:pt>
                <c:pt idx="366">
                  <c:v>302.63299999999987</c:v>
                </c:pt>
                <c:pt idx="367">
                  <c:v>315.43299999999988</c:v>
                </c:pt>
                <c:pt idx="368">
                  <c:v>303.38499999999999</c:v>
                </c:pt>
                <c:pt idx="369">
                  <c:v>298.25</c:v>
                </c:pt>
                <c:pt idx="370">
                  <c:v>300.863</c:v>
                </c:pt>
                <c:pt idx="371">
                  <c:v>302.4079999999999</c:v>
                </c:pt>
                <c:pt idx="372">
                  <c:v>299.30799999999999</c:v>
                </c:pt>
                <c:pt idx="373">
                  <c:v>297.14200000000011</c:v>
                </c:pt>
                <c:pt idx="374">
                  <c:v>302.69200000000001</c:v>
                </c:pt>
                <c:pt idx="375">
                  <c:v>296.60399999999993</c:v>
                </c:pt>
                <c:pt idx="376">
                  <c:v>299.27799999999991</c:v>
                </c:pt>
                <c:pt idx="377">
                  <c:v>321.63799999999986</c:v>
                </c:pt>
                <c:pt idx="378">
                  <c:v>322.31200000000001</c:v>
                </c:pt>
                <c:pt idx="379">
                  <c:v>330.702</c:v>
                </c:pt>
                <c:pt idx="380">
                  <c:v>325.04899999999986</c:v>
                </c:pt>
                <c:pt idx="381">
                  <c:v>324.57</c:v>
                </c:pt>
                <c:pt idx="382">
                  <c:v>321.78399999999988</c:v>
                </c:pt>
                <c:pt idx="383">
                  <c:v>321.303</c:v>
                </c:pt>
                <c:pt idx="384">
                  <c:v>338.3</c:v>
                </c:pt>
                <c:pt idx="385">
                  <c:v>326.822</c:v>
                </c:pt>
                <c:pt idx="386">
                  <c:v>336.702</c:v>
                </c:pt>
                <c:pt idx="387">
                  <c:v>323.125</c:v>
                </c:pt>
                <c:pt idx="388">
                  <c:v>343.76499999999999</c:v>
                </c:pt>
                <c:pt idx="389">
                  <c:v>343.63799999999986</c:v>
                </c:pt>
                <c:pt idx="390">
                  <c:v>343.41699999999975</c:v>
                </c:pt>
                <c:pt idx="391">
                  <c:v>340.95499999999993</c:v>
                </c:pt>
                <c:pt idx="392">
                  <c:v>340.79700000000003</c:v>
                </c:pt>
                <c:pt idx="393">
                  <c:v>342.22499999999991</c:v>
                </c:pt>
                <c:pt idx="394">
                  <c:v>335.62900000000002</c:v>
                </c:pt>
                <c:pt idx="395">
                  <c:v>322.54700000000008</c:v>
                </c:pt>
                <c:pt idx="396">
                  <c:v>325.05</c:v>
                </c:pt>
                <c:pt idx="397">
                  <c:v>323.16899999999993</c:v>
                </c:pt>
                <c:pt idx="398">
                  <c:v>322.80500000000001</c:v>
                </c:pt>
                <c:pt idx="399">
                  <c:v>322.83</c:v>
                </c:pt>
                <c:pt idx="400">
                  <c:v>310.41199999999975</c:v>
                </c:pt>
                <c:pt idx="401">
                  <c:v>315.678</c:v>
                </c:pt>
                <c:pt idx="402">
                  <c:v>313.62700000000001</c:v>
                </c:pt>
                <c:pt idx="403">
                  <c:v>313.66699999999986</c:v>
                </c:pt>
                <c:pt idx="404">
                  <c:v>312.43199999999985</c:v>
                </c:pt>
                <c:pt idx="405">
                  <c:v>311.93299999999988</c:v>
                </c:pt>
                <c:pt idx="406">
                  <c:v>306.33699999999988</c:v>
                </c:pt>
                <c:pt idx="407">
                  <c:v>280.28199999999975</c:v>
                </c:pt>
                <c:pt idx="408">
                  <c:v>279.86599999999999</c:v>
                </c:pt>
                <c:pt idx="409">
                  <c:v>277.98599999999988</c:v>
                </c:pt>
                <c:pt idx="410">
                  <c:v>282.86</c:v>
                </c:pt>
                <c:pt idx="411">
                  <c:v>274.38299999999987</c:v>
                </c:pt>
                <c:pt idx="412">
                  <c:v>264.32400000000001</c:v>
                </c:pt>
                <c:pt idx="413">
                  <c:v>264.16199999999986</c:v>
                </c:pt>
                <c:pt idx="414">
                  <c:v>253.578</c:v>
                </c:pt>
                <c:pt idx="415">
                  <c:v>243.655</c:v>
                </c:pt>
                <c:pt idx="416">
                  <c:v>242.22200000000001</c:v>
                </c:pt>
                <c:pt idx="417">
                  <c:v>230.13900000000001</c:v>
                </c:pt>
                <c:pt idx="418">
                  <c:v>214.89200000000005</c:v>
                </c:pt>
                <c:pt idx="419">
                  <c:v>226.17</c:v>
                </c:pt>
                <c:pt idx="420">
                  <c:v>229.83500000000001</c:v>
                </c:pt>
                <c:pt idx="421">
                  <c:v>219.06200000000001</c:v>
                </c:pt>
                <c:pt idx="422">
                  <c:v>232.07300000000001</c:v>
                </c:pt>
                <c:pt idx="423">
                  <c:v>227.517</c:v>
                </c:pt>
                <c:pt idx="424">
                  <c:v>250.94800000000001</c:v>
                </c:pt>
                <c:pt idx="425">
                  <c:v>231.517</c:v>
                </c:pt>
                <c:pt idx="426">
                  <c:v>219.4</c:v>
                </c:pt>
                <c:pt idx="427">
                  <c:v>211.91399999999999</c:v>
                </c:pt>
                <c:pt idx="428">
                  <c:v>203.23399999999998</c:v>
                </c:pt>
                <c:pt idx="429">
                  <c:v>202.84</c:v>
                </c:pt>
                <c:pt idx="430">
                  <c:v>200.11199999999999</c:v>
                </c:pt>
                <c:pt idx="431">
                  <c:v>216.87200000000001</c:v>
                </c:pt>
                <c:pt idx="432">
                  <c:v>209.47900000000001</c:v>
                </c:pt>
                <c:pt idx="433">
                  <c:v>198.76599999999999</c:v>
                </c:pt>
                <c:pt idx="434">
                  <c:v>198.76599999999999</c:v>
                </c:pt>
                <c:pt idx="435">
                  <c:v>203.57900000000001</c:v>
                </c:pt>
                <c:pt idx="436">
                  <c:v>193.51300000000001</c:v>
                </c:pt>
                <c:pt idx="437">
                  <c:v>189.86500000000001</c:v>
                </c:pt>
                <c:pt idx="438">
                  <c:v>198.78</c:v>
                </c:pt>
                <c:pt idx="439">
                  <c:v>213.00200000000001</c:v>
                </c:pt>
                <c:pt idx="440">
                  <c:v>197.131</c:v>
                </c:pt>
                <c:pt idx="441">
                  <c:v>203.98400000000001</c:v>
                </c:pt>
                <c:pt idx="442">
                  <c:v>193.26</c:v>
                </c:pt>
                <c:pt idx="443">
                  <c:v>181.88200000000006</c:v>
                </c:pt>
                <c:pt idx="444">
                  <c:v>191.20399999999998</c:v>
                </c:pt>
                <c:pt idx="445">
                  <c:v>197.75700000000001</c:v>
                </c:pt>
                <c:pt idx="446">
                  <c:v>196.32800000000006</c:v>
                </c:pt>
                <c:pt idx="447">
                  <c:v>191.29599999999999</c:v>
                </c:pt>
                <c:pt idx="448">
                  <c:v>189.64499999999998</c:v>
                </c:pt>
                <c:pt idx="449">
                  <c:v>208.15600000000001</c:v>
                </c:pt>
                <c:pt idx="450">
                  <c:v>194.21099999999998</c:v>
                </c:pt>
                <c:pt idx="451">
                  <c:v>221.751</c:v>
                </c:pt>
                <c:pt idx="452">
                  <c:v>272.78199999999975</c:v>
                </c:pt>
                <c:pt idx="453">
                  <c:v>275.22099999999989</c:v>
                </c:pt>
                <c:pt idx="454">
                  <c:v>255.535</c:v>
                </c:pt>
                <c:pt idx="455">
                  <c:v>257.7759999999999</c:v>
                </c:pt>
                <c:pt idx="456">
                  <c:v>260.13299999999987</c:v>
                </c:pt>
                <c:pt idx="457">
                  <c:v>245.995</c:v>
                </c:pt>
                <c:pt idx="458">
                  <c:v>228.29900000000001</c:v>
                </c:pt>
                <c:pt idx="459">
                  <c:v>216.35600000000005</c:v>
                </c:pt>
                <c:pt idx="460">
                  <c:v>203.102</c:v>
                </c:pt>
                <c:pt idx="461">
                  <c:v>241.809</c:v>
                </c:pt>
                <c:pt idx="462">
                  <c:v>210.066</c:v>
                </c:pt>
                <c:pt idx="463">
                  <c:v>228.60499999999999</c:v>
                </c:pt>
                <c:pt idx="464">
                  <c:v>212.483</c:v>
                </c:pt>
                <c:pt idx="465">
                  <c:v>200.499</c:v>
                </c:pt>
                <c:pt idx="466">
                  <c:v>240.167</c:v>
                </c:pt>
                <c:pt idx="467">
                  <c:v>218.29300000000001</c:v>
                </c:pt>
                <c:pt idx="468">
                  <c:v>217.364</c:v>
                </c:pt>
                <c:pt idx="469">
                  <c:v>207.572</c:v>
                </c:pt>
                <c:pt idx="470">
                  <c:v>189.82700000000006</c:v>
                </c:pt>
                <c:pt idx="471">
                  <c:v>204.39600000000004</c:v>
                </c:pt>
                <c:pt idx="472">
                  <c:v>228.96700000000001</c:v>
                </c:pt>
                <c:pt idx="473">
                  <c:v>231.87300000000002</c:v>
                </c:pt>
                <c:pt idx="474">
                  <c:v>220.595</c:v>
                </c:pt>
                <c:pt idx="475">
                  <c:v>218.47200000000001</c:v>
                </c:pt>
                <c:pt idx="476">
                  <c:v>224.16</c:v>
                </c:pt>
                <c:pt idx="477">
                  <c:v>219.785</c:v>
                </c:pt>
                <c:pt idx="478">
                  <c:v>213.672</c:v>
                </c:pt>
                <c:pt idx="479">
                  <c:v>229.267</c:v>
                </c:pt>
                <c:pt idx="480">
                  <c:v>231.542</c:v>
                </c:pt>
                <c:pt idx="481">
                  <c:v>231.542</c:v>
                </c:pt>
              </c:numCache>
            </c:numRef>
          </c:val>
          <c:smooth val="0"/>
          <c:extLst>
            <c:ext xmlns:c16="http://schemas.microsoft.com/office/drawing/2014/chart" uri="{C3380CC4-5D6E-409C-BE32-E72D297353CC}">
              <c16:uniqueId val="{00000002-BFD6-4FA7-9FC9-9398EA1E3504}"/>
            </c:ext>
          </c:extLst>
        </c:ser>
        <c:ser>
          <c:idx val="4"/>
          <c:order val="3"/>
          <c:tx>
            <c:strRef>
              <c:f>Sheet1!$E$1</c:f>
              <c:strCache>
                <c:ptCount val="1"/>
                <c:pt idx="0">
                  <c:v>Հայաստան (2029թ.)</c:v>
                </c:pt>
              </c:strCache>
            </c:strRef>
          </c:tx>
          <c:spPr>
            <a:ln w="28575" cap="rnd">
              <a:solidFill>
                <a:schemeClr val="accent2"/>
              </a:solidFill>
              <a:round/>
            </a:ln>
            <a:effectLst/>
          </c:spPr>
          <c:marker>
            <c:symbol val="none"/>
          </c:marker>
          <c:cat>
            <c:numRef>
              <c:f>Sheet1!$A$2:$A$483</c:f>
              <c:numCache>
                <c:formatCode>m\/d\/yyyy</c:formatCode>
                <c:ptCount val="482"/>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numCache>
            </c:numRef>
          </c:cat>
          <c:val>
            <c:numRef>
              <c:f>Sheet1!$E$2:$E$483</c:f>
              <c:numCache>
                <c:formatCode>General</c:formatCode>
                <c:ptCount val="482"/>
                <c:pt idx="190" formatCode="0">
                  <c:v>258.63799999999986</c:v>
                </c:pt>
                <c:pt idx="191" formatCode="0">
                  <c:v>254.71399999999994</c:v>
                </c:pt>
                <c:pt idx="192" formatCode="0">
                  <c:v>258.86200000000002</c:v>
                </c:pt>
                <c:pt idx="193" formatCode="0">
                  <c:v>257.44799999999987</c:v>
                </c:pt>
                <c:pt idx="194" formatCode="0">
                  <c:v>259.69200000000001</c:v>
                </c:pt>
                <c:pt idx="195" formatCode="0">
                  <c:v>265.20299999999986</c:v>
                </c:pt>
                <c:pt idx="196" formatCode="0">
                  <c:v>272.97199999999975</c:v>
                </c:pt>
                <c:pt idx="197" formatCode="0">
                  <c:v>283.39400000000001</c:v>
                </c:pt>
                <c:pt idx="198" formatCode="0">
                  <c:v>273.75099999999986</c:v>
                </c:pt>
                <c:pt idx="199" formatCode="0">
                  <c:v>274.37099999999987</c:v>
                </c:pt>
                <c:pt idx="200" formatCode="0">
                  <c:v>272.62200000000001</c:v>
                </c:pt>
                <c:pt idx="201" formatCode="0">
                  <c:v>272.55700000000002</c:v>
                </c:pt>
                <c:pt idx="202" formatCode="0">
                  <c:v>266.63900000000001</c:v>
                </c:pt>
                <c:pt idx="203" formatCode="0">
                  <c:v>257.51400000000001</c:v>
                </c:pt>
                <c:pt idx="204" formatCode="0">
                  <c:v>258.59199999999976</c:v>
                </c:pt>
                <c:pt idx="205" formatCode="0">
                  <c:v>251.38000000000005</c:v>
                </c:pt>
                <c:pt idx="206" formatCode="0">
                  <c:v>252.364</c:v>
                </c:pt>
                <c:pt idx="207" formatCode="0">
                  <c:v>252.261</c:v>
                </c:pt>
                <c:pt idx="208" formatCode="0">
                  <c:v>256.25099999999986</c:v>
                </c:pt>
                <c:pt idx="209" formatCode="0">
                  <c:v>252.547</c:v>
                </c:pt>
                <c:pt idx="210" formatCode="0">
                  <c:v>252.45700000000005</c:v>
                </c:pt>
                <c:pt idx="211" formatCode="0">
                  <c:v>257.9609999999999</c:v>
                </c:pt>
                <c:pt idx="212" formatCode="0">
                  <c:v>256.48399999999975</c:v>
                </c:pt>
                <c:pt idx="213" formatCode="0">
                  <c:v>253.304</c:v>
                </c:pt>
                <c:pt idx="214" formatCode="0">
                  <c:v>249.50399999999999</c:v>
                </c:pt>
                <c:pt idx="215" formatCode="0">
                  <c:v>251.13300000000001</c:v>
                </c:pt>
                <c:pt idx="216" formatCode="0">
                  <c:v>257.46599999999989</c:v>
                </c:pt>
                <c:pt idx="217" formatCode="0">
                  <c:v>265.54199999999986</c:v>
                </c:pt>
                <c:pt idx="218" formatCode="0">
                  <c:v>262.52299999999991</c:v>
                </c:pt>
                <c:pt idx="219" formatCode="0">
                  <c:v>254.47200000000001</c:v>
                </c:pt>
                <c:pt idx="220" formatCode="0">
                  <c:v>249.96</c:v>
                </c:pt>
                <c:pt idx="221" formatCode="0">
                  <c:v>254.012</c:v>
                </c:pt>
                <c:pt idx="222" formatCode="0">
                  <c:v>245.96600000000001</c:v>
                </c:pt>
                <c:pt idx="223" formatCode="0">
                  <c:v>247.05500000000001</c:v>
                </c:pt>
                <c:pt idx="224" formatCode="0">
                  <c:v>246.26300000000001</c:v>
                </c:pt>
                <c:pt idx="225" formatCode="0">
                  <c:v>249.02500000000001</c:v>
                </c:pt>
                <c:pt idx="226" formatCode="0">
                  <c:v>253.238</c:v>
                </c:pt>
                <c:pt idx="227" formatCode="0">
                  <c:v>256.74799999999999</c:v>
                </c:pt>
                <c:pt idx="228" formatCode="0">
                  <c:v>253.14599999999999</c:v>
                </c:pt>
                <c:pt idx="229" formatCode="0">
                  <c:v>255.58500000000001</c:v>
                </c:pt>
                <c:pt idx="230" formatCode="0">
                  <c:v>256.57499999999999</c:v>
                </c:pt>
                <c:pt idx="231" formatCode="0">
                  <c:v>256.99599999999975</c:v>
                </c:pt>
                <c:pt idx="232" formatCode="0">
                  <c:v>253.459</c:v>
                </c:pt>
                <c:pt idx="233" formatCode="0">
                  <c:v>247.631</c:v>
                </c:pt>
                <c:pt idx="234" formatCode="0">
                  <c:v>245.17399999999998</c:v>
                </c:pt>
                <c:pt idx="235" formatCode="0">
                  <c:v>246.44800000000001</c:v>
                </c:pt>
                <c:pt idx="236" formatCode="0">
                  <c:v>243.79399999999998</c:v>
                </c:pt>
                <c:pt idx="237" formatCode="0">
                  <c:v>241.36800000000005</c:v>
                </c:pt>
                <c:pt idx="238" formatCode="0">
                  <c:v>235.44800000000001</c:v>
                </c:pt>
                <c:pt idx="239" formatCode="0">
                  <c:v>231.95400000000001</c:v>
                </c:pt>
                <c:pt idx="240" formatCode="0">
                  <c:v>244.84900000000002</c:v>
                </c:pt>
                <c:pt idx="241" formatCode="0">
                  <c:v>239.31800000000001</c:v>
                </c:pt>
                <c:pt idx="242" formatCode="0">
                  <c:v>233.52600000000001</c:v>
                </c:pt>
                <c:pt idx="243" formatCode="0">
                  <c:v>227.80200000000005</c:v>
                </c:pt>
                <c:pt idx="244" formatCode="0">
                  <c:v>230.03800000000001</c:v>
                </c:pt>
                <c:pt idx="245" formatCode="0">
                  <c:v>228.84700000000001</c:v>
                </c:pt>
                <c:pt idx="246" formatCode="0">
                  <c:v>234.35800000000006</c:v>
                </c:pt>
                <c:pt idx="247" formatCode="0">
                  <c:v>223.42500000000001</c:v>
                </c:pt>
                <c:pt idx="248" formatCode="0">
                  <c:v>230.65</c:v>
                </c:pt>
                <c:pt idx="249" formatCode="0">
                  <c:v>224.94499999999999</c:v>
                </c:pt>
                <c:pt idx="250" formatCode="0">
                  <c:v>223.93700000000001</c:v>
                </c:pt>
                <c:pt idx="251" formatCode="0">
                  <c:v>221.161</c:v>
                </c:pt>
                <c:pt idx="252" formatCode="0">
                  <c:v>220.22499999999999</c:v>
                </c:pt>
                <c:pt idx="253" formatCode="0">
                  <c:v>217.87900000000002</c:v>
                </c:pt>
                <c:pt idx="254" formatCode="0">
                  <c:v>217.45700000000005</c:v>
                </c:pt>
                <c:pt idx="255" formatCode="0">
                  <c:v>216.90900000000002</c:v>
                </c:pt>
                <c:pt idx="256" formatCode="0">
                  <c:v>216.90900000000002</c:v>
                </c:pt>
                <c:pt idx="257" formatCode="0">
                  <c:v>216.90900000000002</c:v>
                </c:pt>
                <c:pt idx="258" formatCode="0">
                  <c:v>221.11599999999999</c:v>
                </c:pt>
                <c:pt idx="259" formatCode="0">
                  <c:v>217.39800000000005</c:v>
                </c:pt>
                <c:pt idx="260" formatCode="0">
                  <c:v>214.87900000000002</c:v>
                </c:pt>
                <c:pt idx="261" formatCode="0">
                  <c:v>214.87900000000002</c:v>
                </c:pt>
                <c:pt idx="262" formatCode="0">
                  <c:v>217.46200000000005</c:v>
                </c:pt>
                <c:pt idx="263" formatCode="0">
                  <c:v>227.965</c:v>
                </c:pt>
                <c:pt idx="264" formatCode="0">
                  <c:v>231.256</c:v>
                </c:pt>
                <c:pt idx="265" formatCode="0">
                  <c:v>228.47800000000001</c:v>
                </c:pt>
                <c:pt idx="266" formatCode="0">
                  <c:v>220.798</c:v>
                </c:pt>
                <c:pt idx="267" formatCode="0">
                  <c:v>217.01399999999998</c:v>
                </c:pt>
                <c:pt idx="268" formatCode="0">
                  <c:v>214.23</c:v>
                </c:pt>
                <c:pt idx="269" formatCode="0">
                  <c:v>214.38100000000006</c:v>
                </c:pt>
                <c:pt idx="270" formatCode="0">
                  <c:v>211.435</c:v>
                </c:pt>
                <c:pt idx="271" formatCode="0">
                  <c:v>213.18300000000002</c:v>
                </c:pt>
                <c:pt idx="272" formatCode="0">
                  <c:v>202.42000000000004</c:v>
                </c:pt>
                <c:pt idx="273" formatCode="0">
                  <c:v>205.36100000000005</c:v>
                </c:pt>
                <c:pt idx="274" formatCode="0">
                  <c:v>205.33100000000005</c:v>
                </c:pt>
                <c:pt idx="275" formatCode="0">
                  <c:v>208.73</c:v>
                </c:pt>
                <c:pt idx="276" formatCode="0">
                  <c:v>210.506</c:v>
                </c:pt>
                <c:pt idx="277" formatCode="0">
                  <c:v>213.875</c:v>
                </c:pt>
                <c:pt idx="278" formatCode="0">
                  <c:v>218.84900000000002</c:v>
                </c:pt>
                <c:pt idx="279" formatCode="0">
                  <c:v>228.523</c:v>
                </c:pt>
                <c:pt idx="280" formatCode="0">
                  <c:v>223.03399999999999</c:v>
                </c:pt>
                <c:pt idx="281" formatCode="0">
                  <c:v>227.44499999999999</c:v>
                </c:pt>
                <c:pt idx="282" formatCode="0">
                  <c:v>230.92700000000005</c:v>
                </c:pt>
                <c:pt idx="283" formatCode="0">
                  <c:v>232.18100000000001</c:v>
                </c:pt>
                <c:pt idx="284" formatCode="0">
                  <c:v>234.16</c:v>
                </c:pt>
                <c:pt idx="285" formatCode="0">
                  <c:v>228.35300000000001</c:v>
                </c:pt>
                <c:pt idx="286" formatCode="0">
                  <c:v>222.41200000000001</c:v>
                </c:pt>
                <c:pt idx="287" formatCode="0">
                  <c:v>219.839</c:v>
                </c:pt>
                <c:pt idx="288" formatCode="0">
                  <c:v>225.81300000000002</c:v>
                </c:pt>
                <c:pt idx="289" formatCode="0">
                  <c:v>228.37200000000001</c:v>
                </c:pt>
                <c:pt idx="290" formatCode="0">
                  <c:v>225.43200000000004</c:v>
                </c:pt>
                <c:pt idx="291" formatCode="0">
                  <c:v>221.65800000000004</c:v>
                </c:pt>
                <c:pt idx="292" formatCode="0">
                  <c:v>222.369</c:v>
                </c:pt>
                <c:pt idx="293" formatCode="0">
                  <c:v>221.56</c:v>
                </c:pt>
                <c:pt idx="294" formatCode="0">
                  <c:v>220.41900000000001</c:v>
                </c:pt>
                <c:pt idx="295" formatCode="0">
                  <c:v>222.66300000000001</c:v>
                </c:pt>
                <c:pt idx="296" formatCode="0">
                  <c:v>220.74099999999999</c:v>
                </c:pt>
                <c:pt idx="297" formatCode="0">
                  <c:v>225.19200000000001</c:v>
                </c:pt>
                <c:pt idx="298" formatCode="0">
                  <c:v>230.18600000000001</c:v>
                </c:pt>
                <c:pt idx="299" formatCode="0">
                  <c:v>238.82700000000006</c:v>
                </c:pt>
                <c:pt idx="300" formatCode="0">
                  <c:v>242.24399999999994</c:v>
                </c:pt>
                <c:pt idx="301" formatCode="0">
                  <c:v>238.86800000000005</c:v>
                </c:pt>
                <c:pt idx="302" formatCode="0">
                  <c:v>254.21499999999995</c:v>
                </c:pt>
                <c:pt idx="303" formatCode="0">
                  <c:v>286.19099999999986</c:v>
                </c:pt>
                <c:pt idx="304" formatCode="0">
                  <c:v>279.762</c:v>
                </c:pt>
                <c:pt idx="305" formatCode="0">
                  <c:v>268.07400000000001</c:v>
                </c:pt>
                <c:pt idx="306" formatCode="0">
                  <c:v>271.387</c:v>
                </c:pt>
                <c:pt idx="307" formatCode="0">
                  <c:v>275.77499999999986</c:v>
                </c:pt>
                <c:pt idx="308" formatCode="0">
                  <c:v>291.065</c:v>
                </c:pt>
                <c:pt idx="309" formatCode="0">
                  <c:v>368.565</c:v>
                </c:pt>
                <c:pt idx="310" formatCode="0">
                  <c:v>353.03399999999988</c:v>
                </c:pt>
                <c:pt idx="311" formatCode="0">
                  <c:v>350.12799999999999</c:v>
                </c:pt>
                <c:pt idx="312" formatCode="0">
                  <c:v>393.26499999999999</c:v>
                </c:pt>
                <c:pt idx="313" formatCode="0">
                  <c:v>375.44900000000001</c:v>
                </c:pt>
                <c:pt idx="314" formatCode="0">
                  <c:v>406.47699999999975</c:v>
                </c:pt>
                <c:pt idx="315" formatCode="0">
                  <c:v>416.02799999999991</c:v>
                </c:pt>
                <c:pt idx="316" formatCode="0">
                  <c:v>479.49099999999987</c:v>
                </c:pt>
                <c:pt idx="317" formatCode="0">
                  <c:v>499.57599999999991</c:v>
                </c:pt>
                <c:pt idx="318" formatCode="0">
                  <c:v>513.25300000000004</c:v>
                </c:pt>
                <c:pt idx="319" formatCode="0">
                  <c:v>542.36499999999978</c:v>
                </c:pt>
                <c:pt idx="320" formatCode="0">
                  <c:v>541.01699999999983</c:v>
                </c:pt>
                <c:pt idx="321" formatCode="0">
                  <c:v>519.73400000000004</c:v>
                </c:pt>
                <c:pt idx="322" formatCode="0">
                  <c:v>480.66699999999986</c:v>
                </c:pt>
                <c:pt idx="323" formatCode="0">
                  <c:v>485.38499999999999</c:v>
                </c:pt>
                <c:pt idx="324" formatCode="0">
                  <c:v>496.88299999999987</c:v>
                </c:pt>
                <c:pt idx="325" formatCode="0">
                  <c:v>483.30799999999999</c:v>
                </c:pt>
                <c:pt idx="326" formatCode="0">
                  <c:v>475.62299999999999</c:v>
                </c:pt>
                <c:pt idx="327" formatCode="0">
                  <c:v>478.88900000000001</c:v>
                </c:pt>
                <c:pt idx="328" formatCode="0">
                  <c:v>462.57599999999991</c:v>
                </c:pt>
                <c:pt idx="329" formatCode="0">
                  <c:v>447.05</c:v>
                </c:pt>
                <c:pt idx="330" formatCode="0">
                  <c:v>440.51099999999991</c:v>
                </c:pt>
                <c:pt idx="331" formatCode="0">
                  <c:v>438.358</c:v>
                </c:pt>
                <c:pt idx="332" formatCode="0">
                  <c:v>424.61900000000014</c:v>
                </c:pt>
                <c:pt idx="333" formatCode="0">
                  <c:v>424.61900000000014</c:v>
                </c:pt>
                <c:pt idx="334" formatCode="0">
                  <c:v>424.61900000000014</c:v>
                </c:pt>
                <c:pt idx="335" formatCode="0">
                  <c:v>412.92399999999975</c:v>
                </c:pt>
                <c:pt idx="336" formatCode="0">
                  <c:v>424.54500000000002</c:v>
                </c:pt>
                <c:pt idx="337" formatCode="0">
                  <c:v>427.90499999999986</c:v>
                </c:pt>
                <c:pt idx="338" formatCode="0">
                  <c:v>419.9199999999999</c:v>
                </c:pt>
                <c:pt idx="339" formatCode="0">
                  <c:v>418.08499999999987</c:v>
                </c:pt>
                <c:pt idx="340" formatCode="0">
                  <c:v>423.44400000000002</c:v>
                </c:pt>
                <c:pt idx="341" formatCode="0">
                  <c:v>427.9079999999999</c:v>
                </c:pt>
                <c:pt idx="342" formatCode="0">
                  <c:v>429.31700000000001</c:v>
                </c:pt>
                <c:pt idx="343" formatCode="0">
                  <c:v>430.17500000000001</c:v>
                </c:pt>
                <c:pt idx="344" formatCode="0">
                  <c:v>426.74200000000002</c:v>
                </c:pt>
                <c:pt idx="345" formatCode="0">
                  <c:v>430.52</c:v>
                </c:pt>
                <c:pt idx="346" formatCode="0">
                  <c:v>430.18</c:v>
                </c:pt>
                <c:pt idx="347" formatCode="0">
                  <c:v>419.24400000000014</c:v>
                </c:pt>
                <c:pt idx="348" formatCode="0">
                  <c:v>423.5329999999999</c:v>
                </c:pt>
                <c:pt idx="349" formatCode="0">
                  <c:v>424.40699999999975</c:v>
                </c:pt>
                <c:pt idx="350" formatCode="0">
                  <c:v>398.04599999999999</c:v>
                </c:pt>
                <c:pt idx="351" formatCode="0">
                  <c:v>391.4129999999999</c:v>
                </c:pt>
                <c:pt idx="352" formatCode="0">
                  <c:v>405.00099999999986</c:v>
                </c:pt>
                <c:pt idx="353" formatCode="0">
                  <c:v>405.00099999999986</c:v>
                </c:pt>
                <c:pt idx="354" formatCode="0">
                  <c:v>377.51599999999991</c:v>
                </c:pt>
                <c:pt idx="355" formatCode="0">
                  <c:v>379.76299999999986</c:v>
                </c:pt>
                <c:pt idx="356" formatCode="0">
                  <c:v>378.95299999999986</c:v>
                </c:pt>
                <c:pt idx="357" formatCode="0">
                  <c:v>377.05200000000002</c:v>
                </c:pt>
                <c:pt idx="358" formatCode="0">
                  <c:v>377.084</c:v>
                </c:pt>
                <c:pt idx="359" formatCode="0">
                  <c:v>352.89499999999987</c:v>
                </c:pt>
                <c:pt idx="360" formatCode="0">
                  <c:v>349.16699999999986</c:v>
                </c:pt>
                <c:pt idx="361" formatCode="0">
                  <c:v>338.62099999999987</c:v>
                </c:pt>
                <c:pt idx="362" formatCode="0">
                  <c:v>338.28399999999988</c:v>
                </c:pt>
                <c:pt idx="363" formatCode="0">
                  <c:v>336.11500000000001</c:v>
                </c:pt>
                <c:pt idx="364" formatCode="0">
                  <c:v>336.11500000000001</c:v>
                </c:pt>
                <c:pt idx="365" formatCode="0">
                  <c:v>332.05599999999993</c:v>
                </c:pt>
                <c:pt idx="366" formatCode="0">
                  <c:v>331.05900000000008</c:v>
                </c:pt>
                <c:pt idx="367" formatCode="0">
                  <c:v>330.16199999999986</c:v>
                </c:pt>
                <c:pt idx="368" formatCode="0">
                  <c:v>332.60199999999986</c:v>
                </c:pt>
                <c:pt idx="369" formatCode="0">
                  <c:v>331.85399999999993</c:v>
                </c:pt>
                <c:pt idx="370" formatCode="0">
                  <c:v>331.19799999999987</c:v>
                </c:pt>
                <c:pt idx="371" formatCode="0">
                  <c:v>324.964</c:v>
                </c:pt>
                <c:pt idx="372" formatCode="0">
                  <c:v>321.80099999999999</c:v>
                </c:pt>
                <c:pt idx="373" formatCode="0">
                  <c:v>308.62299999999999</c:v>
                </c:pt>
                <c:pt idx="374" formatCode="0">
                  <c:v>316.23699999999985</c:v>
                </c:pt>
                <c:pt idx="375" formatCode="0">
                  <c:v>320.72399999999988</c:v>
                </c:pt>
                <c:pt idx="376" formatCode="0">
                  <c:v>323.55099999999999</c:v>
                </c:pt>
                <c:pt idx="377" formatCode="0">
                  <c:v>346.80799999999999</c:v>
                </c:pt>
                <c:pt idx="378" formatCode="0">
                  <c:v>348.71699999999976</c:v>
                </c:pt>
                <c:pt idx="379" formatCode="0">
                  <c:v>377.17399999999986</c:v>
                </c:pt>
                <c:pt idx="380" formatCode="0">
                  <c:v>364.60899999999987</c:v>
                </c:pt>
                <c:pt idx="381" formatCode="0">
                  <c:v>369.88099999999986</c:v>
                </c:pt>
                <c:pt idx="382" formatCode="0">
                  <c:v>374.9679999999999</c:v>
                </c:pt>
                <c:pt idx="383" formatCode="0">
                  <c:v>373.15800000000002</c:v>
                </c:pt>
                <c:pt idx="384" formatCode="0">
                  <c:v>374.84100000000001</c:v>
                </c:pt>
                <c:pt idx="385" formatCode="0">
                  <c:v>372.2829999999999</c:v>
                </c:pt>
                <c:pt idx="386" formatCode="0">
                  <c:v>372.90599999999989</c:v>
                </c:pt>
                <c:pt idx="387" formatCode="0">
                  <c:v>382.31200000000001</c:v>
                </c:pt>
                <c:pt idx="388" formatCode="0">
                  <c:v>383.63499999999999</c:v>
                </c:pt>
                <c:pt idx="389" formatCode="0">
                  <c:v>386.13099999999986</c:v>
                </c:pt>
                <c:pt idx="390" formatCode="0">
                  <c:v>385.93299999999988</c:v>
                </c:pt>
                <c:pt idx="391" formatCode="0">
                  <c:v>382.137</c:v>
                </c:pt>
                <c:pt idx="392" formatCode="0">
                  <c:v>362.45400000000001</c:v>
                </c:pt>
                <c:pt idx="393" formatCode="0">
                  <c:v>351.13</c:v>
                </c:pt>
                <c:pt idx="394" formatCode="0">
                  <c:v>356.12</c:v>
                </c:pt>
                <c:pt idx="395" formatCode="0">
                  <c:v>362.3</c:v>
                </c:pt>
                <c:pt idx="396" formatCode="0">
                  <c:v>363.661</c:v>
                </c:pt>
                <c:pt idx="397" formatCode="0">
                  <c:v>361.07400000000001</c:v>
                </c:pt>
                <c:pt idx="398" formatCode="0">
                  <c:v>362.84899999999999</c:v>
                </c:pt>
                <c:pt idx="399" formatCode="0">
                  <c:v>363.26</c:v>
                </c:pt>
                <c:pt idx="400" formatCode="0">
                  <c:v>362.08199999999988</c:v>
                </c:pt>
                <c:pt idx="401" formatCode="0">
                  <c:v>362.21199999999988</c:v>
                </c:pt>
                <c:pt idx="402" formatCode="0">
                  <c:v>363.25799999999987</c:v>
                </c:pt>
                <c:pt idx="403" formatCode="0">
                  <c:v>366.34300000000002</c:v>
                </c:pt>
                <c:pt idx="404" formatCode="0">
                  <c:v>366.17200000000008</c:v>
                </c:pt>
                <c:pt idx="405" formatCode="0">
                  <c:v>362.34199999999993</c:v>
                </c:pt>
                <c:pt idx="406" formatCode="0">
                  <c:v>357.71299999999991</c:v>
                </c:pt>
                <c:pt idx="407" formatCode="0">
                  <c:v>356.80599999999993</c:v>
                </c:pt>
                <c:pt idx="408" formatCode="0">
                  <c:v>356.00900000000001</c:v>
                </c:pt>
                <c:pt idx="409" formatCode="0">
                  <c:v>354.03599999999989</c:v>
                </c:pt>
                <c:pt idx="410" formatCode="0">
                  <c:v>351.91699999999975</c:v>
                </c:pt>
                <c:pt idx="411" formatCode="0">
                  <c:v>351.9559999999999</c:v>
                </c:pt>
                <c:pt idx="412" formatCode="0">
                  <c:v>353.80399999999986</c:v>
                </c:pt>
                <c:pt idx="413" formatCode="0">
                  <c:v>353.137</c:v>
                </c:pt>
                <c:pt idx="414" formatCode="0">
                  <c:v>353.16199999999986</c:v>
                </c:pt>
                <c:pt idx="415" formatCode="0">
                  <c:v>344.72799999999989</c:v>
                </c:pt>
                <c:pt idx="416" formatCode="0">
                  <c:v>334.96599999999989</c:v>
                </c:pt>
                <c:pt idx="417" formatCode="0">
                  <c:v>333.02199999999988</c:v>
                </c:pt>
                <c:pt idx="418" formatCode="0">
                  <c:v>329.834</c:v>
                </c:pt>
                <c:pt idx="419" formatCode="0">
                  <c:v>324.96199999999988</c:v>
                </c:pt>
                <c:pt idx="420" formatCode="0">
                  <c:v>318.9799999999999</c:v>
                </c:pt>
                <c:pt idx="421" formatCode="0">
                  <c:v>316.98399999999975</c:v>
                </c:pt>
                <c:pt idx="422" formatCode="0">
                  <c:v>311.61500000000001</c:v>
                </c:pt>
                <c:pt idx="423" formatCode="0">
                  <c:v>307.16899999999993</c:v>
                </c:pt>
                <c:pt idx="424" formatCode="0">
                  <c:v>314.62299999999999</c:v>
                </c:pt>
                <c:pt idx="425" formatCode="0">
                  <c:v>313.9079999999999</c:v>
                </c:pt>
                <c:pt idx="426" formatCode="0">
                  <c:v>313.76499999999999</c:v>
                </c:pt>
                <c:pt idx="427" formatCode="0">
                  <c:v>315.91699999999975</c:v>
                </c:pt>
                <c:pt idx="428" formatCode="0">
                  <c:v>315.964</c:v>
                </c:pt>
                <c:pt idx="429" formatCode="0">
                  <c:v>316.0379999999999</c:v>
                </c:pt>
                <c:pt idx="430" formatCode="0">
                  <c:v>309.80799999999999</c:v>
                </c:pt>
                <c:pt idx="431" formatCode="0">
                  <c:v>309.42999999999989</c:v>
                </c:pt>
                <c:pt idx="432" formatCode="0">
                  <c:v>298.58699999999988</c:v>
                </c:pt>
                <c:pt idx="433" formatCode="0">
                  <c:v>299.22799999999989</c:v>
                </c:pt>
                <c:pt idx="434" formatCode="0">
                  <c:v>299.22799999999989</c:v>
                </c:pt>
                <c:pt idx="435" formatCode="0">
                  <c:v>304.19400000000002</c:v>
                </c:pt>
                <c:pt idx="436" formatCode="0">
                  <c:v>307.47499999999991</c:v>
                </c:pt>
                <c:pt idx="437" formatCode="0">
                  <c:v>308.03399999999988</c:v>
                </c:pt>
                <c:pt idx="438" formatCode="0">
                  <c:v>301.34300000000002</c:v>
                </c:pt>
                <c:pt idx="439" formatCode="0">
                  <c:v>297.01900000000001</c:v>
                </c:pt>
                <c:pt idx="440" formatCode="0">
                  <c:v>305.64299999999997</c:v>
                </c:pt>
                <c:pt idx="441" formatCode="0">
                  <c:v>302.62900000000002</c:v>
                </c:pt>
                <c:pt idx="442" formatCode="0">
                  <c:v>304.43099999999976</c:v>
                </c:pt>
                <c:pt idx="443" formatCode="0">
                  <c:v>306.678</c:v>
                </c:pt>
                <c:pt idx="444" formatCode="0">
                  <c:v>307.52199999999988</c:v>
                </c:pt>
                <c:pt idx="445" formatCode="0">
                  <c:v>305.52799999999991</c:v>
                </c:pt>
                <c:pt idx="446" formatCode="0">
                  <c:v>305.35599999999999</c:v>
                </c:pt>
                <c:pt idx="447" formatCode="0">
                  <c:v>305.38799999999986</c:v>
                </c:pt>
                <c:pt idx="448" formatCode="0">
                  <c:v>302.834</c:v>
                </c:pt>
                <c:pt idx="449" formatCode="0">
                  <c:v>311.54199999999986</c:v>
                </c:pt>
                <c:pt idx="450" formatCode="0">
                  <c:v>312.42799999999988</c:v>
                </c:pt>
                <c:pt idx="451" formatCode="0">
                  <c:v>313.84899999999999</c:v>
                </c:pt>
                <c:pt idx="452" formatCode="0">
                  <c:v>320.41899999999976</c:v>
                </c:pt>
                <c:pt idx="453" formatCode="0">
                  <c:v>318.96199999999988</c:v>
                </c:pt>
                <c:pt idx="454" formatCode="0">
                  <c:v>371.26299999999986</c:v>
                </c:pt>
                <c:pt idx="455" formatCode="0">
                  <c:v>392.13099999999986</c:v>
                </c:pt>
                <c:pt idx="456" formatCode="0">
                  <c:v>364.51799999999986</c:v>
                </c:pt>
                <c:pt idx="457" formatCode="0">
                  <c:v>347.1400000000001</c:v>
                </c:pt>
                <c:pt idx="458" formatCode="0">
                  <c:v>339.28399999999988</c:v>
                </c:pt>
                <c:pt idx="459" formatCode="0">
                  <c:v>334.56400000000002</c:v>
                </c:pt>
                <c:pt idx="460" formatCode="0">
                  <c:v>333.66</c:v>
                </c:pt>
                <c:pt idx="461" formatCode="0">
                  <c:v>335.75099999999986</c:v>
                </c:pt>
                <c:pt idx="462" formatCode="0">
                  <c:v>335.363</c:v>
                </c:pt>
                <c:pt idx="463" formatCode="0">
                  <c:v>329.2759999999999</c:v>
                </c:pt>
                <c:pt idx="464" formatCode="0">
                  <c:v>329.36200000000002</c:v>
                </c:pt>
                <c:pt idx="465" formatCode="0">
                  <c:v>332.67599999999999</c:v>
                </c:pt>
                <c:pt idx="466" formatCode="0">
                  <c:v>344.58799999999991</c:v>
                </c:pt>
                <c:pt idx="467" formatCode="0">
                  <c:v>358.88599999999991</c:v>
                </c:pt>
                <c:pt idx="468" formatCode="0">
                  <c:v>356.73699999999985</c:v>
                </c:pt>
                <c:pt idx="469" formatCode="0">
                  <c:v>348.96899999999988</c:v>
                </c:pt>
                <c:pt idx="470" formatCode="0">
                  <c:v>349.86099999999999</c:v>
                </c:pt>
                <c:pt idx="471" formatCode="0">
                  <c:v>351.01499999999999</c:v>
                </c:pt>
                <c:pt idx="472" formatCode="0">
                  <c:v>354.85700000000008</c:v>
                </c:pt>
                <c:pt idx="473" formatCode="0">
                  <c:v>355.36099999999999</c:v>
                </c:pt>
                <c:pt idx="474" formatCode="0">
                  <c:v>368.54899999999986</c:v>
                </c:pt>
                <c:pt idx="475" formatCode="0">
                  <c:v>375.22699999999975</c:v>
                </c:pt>
                <c:pt idx="476" formatCode="0">
                  <c:v>382.178</c:v>
                </c:pt>
                <c:pt idx="477" formatCode="0">
                  <c:v>388.81599999999986</c:v>
                </c:pt>
                <c:pt idx="478" formatCode="0">
                  <c:v>387.4079999999999</c:v>
                </c:pt>
                <c:pt idx="479" formatCode="0">
                  <c:v>402.36500000000001</c:v>
                </c:pt>
                <c:pt idx="480" formatCode="0">
                  <c:v>391.61099999999999</c:v>
                </c:pt>
                <c:pt idx="481" formatCode="0">
                  <c:v>391.61099999999999</c:v>
                </c:pt>
              </c:numCache>
            </c:numRef>
          </c:val>
          <c:smooth val="0"/>
          <c:extLst>
            <c:ext xmlns:c16="http://schemas.microsoft.com/office/drawing/2014/chart" uri="{C3380CC4-5D6E-409C-BE32-E72D297353CC}">
              <c16:uniqueId val="{00000003-BFD6-4FA7-9FC9-9398EA1E3504}"/>
            </c:ext>
          </c:extLst>
        </c:ser>
        <c:dLbls>
          <c:showLegendKey val="0"/>
          <c:showVal val="0"/>
          <c:showCatName val="0"/>
          <c:showSerName val="0"/>
          <c:showPercent val="0"/>
          <c:showBubbleSize val="0"/>
        </c:dLbls>
        <c:smooth val="0"/>
        <c:axId val="124171008"/>
        <c:axId val="124172544"/>
      </c:lineChart>
      <c:dateAx>
        <c:axId val="124171008"/>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24172544"/>
        <c:crosses val="autoZero"/>
        <c:auto val="1"/>
        <c:lblOffset val="100"/>
        <c:baseTimeUnit val="days"/>
      </c:dateAx>
      <c:valAx>
        <c:axId val="124172544"/>
        <c:scaling>
          <c:orientation val="minMax"/>
          <c:max val="680"/>
          <c:min val="1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4171008"/>
        <c:crosses val="autoZero"/>
        <c:crossBetween val="between"/>
      </c:valAx>
      <c:spPr>
        <a:noFill/>
        <a:ln>
          <a:noFill/>
        </a:ln>
        <a:effectLst/>
      </c:spPr>
    </c:plotArea>
    <c:legend>
      <c:legendPos val="b"/>
      <c:layout>
        <c:manualLayout>
          <c:xMode val="edge"/>
          <c:yMode val="edge"/>
          <c:x val="6.3208351258118523E-2"/>
          <c:y val="0.81672848592978864"/>
          <c:w val="0.93679164874188181"/>
          <c:h val="0.183271611596495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'25.11.2020'!$C$3</c:f>
              <c:strCache>
                <c:ptCount val="1"/>
                <c:pt idx="0">
                  <c:v>վարկ</c:v>
                </c:pt>
              </c:strCache>
            </c:strRef>
          </c:tx>
          <c:spPr>
            <a:solidFill>
              <a:schemeClr val="accent1">
                <a:lumMod val="75000"/>
              </a:schemeClr>
            </a:solidFill>
            <a:ln>
              <a:noFill/>
            </a:ln>
            <a:effectLst/>
          </c:spPr>
          <c:invertIfNegative val="0"/>
          <c:cat>
            <c:numRef>
              <c:f>'25.11.2020'!$B$4:$B$8</c:f>
              <c:numCache>
                <c:formatCode>General</c:formatCode>
                <c:ptCount val="5"/>
                <c:pt idx="0">
                  <c:v>2017</c:v>
                </c:pt>
                <c:pt idx="1">
                  <c:v>2018</c:v>
                </c:pt>
                <c:pt idx="2">
                  <c:v>2019</c:v>
                </c:pt>
                <c:pt idx="3">
                  <c:v>2020</c:v>
                </c:pt>
                <c:pt idx="4">
                  <c:v>2021</c:v>
                </c:pt>
              </c:numCache>
            </c:numRef>
          </c:cat>
          <c:val>
            <c:numRef>
              <c:f>'25.11.2020'!$C$4:$C$8</c:f>
              <c:numCache>
                <c:formatCode>_(* #,##0.0_);_(* \(#,##0.0\);_(* "-"??_);_(@_)</c:formatCode>
                <c:ptCount val="5"/>
                <c:pt idx="0">
                  <c:v>163536.95199999993</c:v>
                </c:pt>
                <c:pt idx="1">
                  <c:v>57805.19</c:v>
                </c:pt>
                <c:pt idx="2">
                  <c:v>68255.816999999966</c:v>
                </c:pt>
                <c:pt idx="3">
                  <c:v>133727.51329999999</c:v>
                </c:pt>
                <c:pt idx="4">
                  <c:v>64130.133500000004</c:v>
                </c:pt>
              </c:numCache>
            </c:numRef>
          </c:val>
          <c:extLst>
            <c:ext xmlns:c16="http://schemas.microsoft.com/office/drawing/2014/chart" uri="{C3380CC4-5D6E-409C-BE32-E72D297353CC}">
              <c16:uniqueId val="{00000000-2926-4F9E-A9B9-2B1FB809680F}"/>
            </c:ext>
          </c:extLst>
        </c:ser>
        <c:ser>
          <c:idx val="1"/>
          <c:order val="1"/>
          <c:tx>
            <c:strRef>
              <c:f>'25.11.2020'!$D$3</c:f>
              <c:strCache>
                <c:ptCount val="1"/>
                <c:pt idx="0">
                  <c:v>դրամաշնորհ </c:v>
                </c:pt>
              </c:strCache>
            </c:strRef>
          </c:tx>
          <c:spPr>
            <a:solidFill>
              <a:srgbClr val="C00000"/>
            </a:solidFill>
            <a:ln>
              <a:noFill/>
            </a:ln>
            <a:effectLst/>
          </c:spPr>
          <c:invertIfNegative val="0"/>
          <c:cat>
            <c:numRef>
              <c:f>'25.11.2020'!$B$4:$B$8</c:f>
              <c:numCache>
                <c:formatCode>General</c:formatCode>
                <c:ptCount val="5"/>
                <c:pt idx="0">
                  <c:v>2017</c:v>
                </c:pt>
                <c:pt idx="1">
                  <c:v>2018</c:v>
                </c:pt>
                <c:pt idx="2">
                  <c:v>2019</c:v>
                </c:pt>
                <c:pt idx="3">
                  <c:v>2020</c:v>
                </c:pt>
                <c:pt idx="4">
                  <c:v>2021</c:v>
                </c:pt>
              </c:numCache>
            </c:numRef>
          </c:cat>
          <c:val>
            <c:numRef>
              <c:f>'25.11.2020'!$D$4:$D$8</c:f>
              <c:numCache>
                <c:formatCode>_(* #,##0.0_);_(* \(#,##0.0\);_(* "-"??_);_(@_)</c:formatCode>
                <c:ptCount val="5"/>
                <c:pt idx="0">
                  <c:v>12973.64968</c:v>
                </c:pt>
                <c:pt idx="1">
                  <c:v>11558.935149999996</c:v>
                </c:pt>
                <c:pt idx="2">
                  <c:v>8045.7014000000008</c:v>
                </c:pt>
                <c:pt idx="3">
                  <c:v>27808.2183</c:v>
                </c:pt>
                <c:pt idx="4">
                  <c:v>22577.124599999996</c:v>
                </c:pt>
              </c:numCache>
            </c:numRef>
          </c:val>
          <c:extLst>
            <c:ext xmlns:c16="http://schemas.microsoft.com/office/drawing/2014/chart" uri="{C3380CC4-5D6E-409C-BE32-E72D297353CC}">
              <c16:uniqueId val="{00000001-2926-4F9E-A9B9-2B1FB809680F}"/>
            </c:ext>
          </c:extLst>
        </c:ser>
        <c:dLbls>
          <c:showLegendKey val="0"/>
          <c:showVal val="0"/>
          <c:showCatName val="0"/>
          <c:showSerName val="0"/>
          <c:showPercent val="0"/>
          <c:showBubbleSize val="0"/>
        </c:dLbls>
        <c:gapWidth val="150"/>
        <c:axId val="259965696"/>
        <c:axId val="259967232"/>
      </c:barChart>
      <c:lineChart>
        <c:grouping val="standard"/>
        <c:varyColors val="0"/>
        <c:ser>
          <c:idx val="2"/>
          <c:order val="2"/>
          <c:tx>
            <c:strRef>
              <c:f>'25.11.2020'!$E$3</c:f>
              <c:strCache>
                <c:ptCount val="1"/>
                <c:pt idx="0">
                  <c:v>տես կշիռը ընդամենը ծախսերում</c:v>
                </c:pt>
              </c:strCache>
            </c:strRef>
          </c:tx>
          <c:spPr>
            <a:ln w="28575" cap="rnd">
              <a:solidFill>
                <a:schemeClr val="accent6">
                  <a:lumMod val="60000"/>
                  <a:lumOff val="40000"/>
                </a:schemeClr>
              </a:solidFill>
              <a:round/>
            </a:ln>
            <a:effectLst/>
          </c:spPr>
          <c:marker>
            <c:symbol val="none"/>
          </c:marker>
          <c:dPt>
            <c:idx val="0"/>
            <c:bubble3D val="0"/>
            <c:spPr>
              <a:ln w="28575" cap="rnd">
                <a:solidFill>
                  <a:schemeClr val="accent6">
                    <a:lumMod val="60000"/>
                    <a:lumOff val="40000"/>
                  </a:schemeClr>
                </a:solidFill>
                <a:round/>
              </a:ln>
              <a:effectLst/>
            </c:spPr>
            <c:extLst>
              <c:ext xmlns:c16="http://schemas.microsoft.com/office/drawing/2014/chart" uri="{C3380CC4-5D6E-409C-BE32-E72D297353CC}">
                <c16:uniqueId val="{00000003-2926-4F9E-A9B9-2B1FB809680F}"/>
              </c:ext>
            </c:extLst>
          </c:dPt>
          <c:cat>
            <c:numRef>
              <c:f>'25.11.2020'!$B$4:$B$8</c:f>
              <c:numCache>
                <c:formatCode>General</c:formatCode>
                <c:ptCount val="5"/>
                <c:pt idx="0">
                  <c:v>2017</c:v>
                </c:pt>
                <c:pt idx="1">
                  <c:v>2018</c:v>
                </c:pt>
                <c:pt idx="2">
                  <c:v>2019</c:v>
                </c:pt>
                <c:pt idx="3">
                  <c:v>2020</c:v>
                </c:pt>
                <c:pt idx="4">
                  <c:v>2021</c:v>
                </c:pt>
              </c:numCache>
            </c:numRef>
          </c:cat>
          <c:val>
            <c:numRef>
              <c:f>'25.11.2020'!$E$4:$E$8</c:f>
              <c:numCache>
                <c:formatCode>0%</c:formatCode>
                <c:ptCount val="5"/>
                <c:pt idx="0">
                  <c:v>0.11729837963849016</c:v>
                </c:pt>
                <c:pt idx="1">
                  <c:v>4.7933194077810819E-2</c:v>
                </c:pt>
                <c:pt idx="2">
                  <c:v>4.6827984779673495E-2</c:v>
                </c:pt>
                <c:pt idx="3">
                  <c:v>8.8702285212234361E-2</c:v>
                </c:pt>
                <c:pt idx="4">
                  <c:v>4.6688291359000246E-2</c:v>
                </c:pt>
              </c:numCache>
            </c:numRef>
          </c:val>
          <c:smooth val="0"/>
          <c:extLst>
            <c:ext xmlns:c16="http://schemas.microsoft.com/office/drawing/2014/chart" uri="{C3380CC4-5D6E-409C-BE32-E72D297353CC}">
              <c16:uniqueId val="{00000008-2926-4F9E-A9B9-2B1FB809680F}"/>
            </c:ext>
          </c:extLst>
        </c:ser>
        <c:ser>
          <c:idx val="3"/>
          <c:order val="3"/>
          <c:tx>
            <c:strRef>
              <c:f>'25.11.2020'!$F$3</c:f>
              <c:strCache>
                <c:ptCount val="1"/>
                <c:pt idx="0">
                  <c:v>տես կշիռ ՀՆԱ-ում</c:v>
                </c:pt>
              </c:strCache>
            </c:strRef>
          </c:tx>
          <c:spPr>
            <a:ln w="28575" cap="rnd">
              <a:solidFill>
                <a:srgbClr val="7030A0"/>
              </a:solidFill>
              <a:round/>
            </a:ln>
            <a:effectLst/>
          </c:spPr>
          <c:marker>
            <c:symbol val="none"/>
          </c:marker>
          <c:cat>
            <c:numRef>
              <c:f>'25.11.2020'!$B$4:$B$8</c:f>
              <c:numCache>
                <c:formatCode>General</c:formatCode>
                <c:ptCount val="5"/>
                <c:pt idx="0">
                  <c:v>2017</c:v>
                </c:pt>
                <c:pt idx="1">
                  <c:v>2018</c:v>
                </c:pt>
                <c:pt idx="2">
                  <c:v>2019</c:v>
                </c:pt>
                <c:pt idx="3">
                  <c:v>2020</c:v>
                </c:pt>
                <c:pt idx="4">
                  <c:v>2021</c:v>
                </c:pt>
              </c:numCache>
            </c:numRef>
          </c:cat>
          <c:val>
            <c:numRef>
              <c:f>'25.11.2020'!$F$4:$F$8</c:f>
              <c:numCache>
                <c:formatCode>0%</c:formatCode>
                <c:ptCount val="5"/>
                <c:pt idx="0">
                  <c:v>3.169520590411206E-2</c:v>
                </c:pt>
                <c:pt idx="1">
                  <c:v>1.1528024788100387E-2</c:v>
                </c:pt>
                <c:pt idx="2">
                  <c:v>1.1615393271426397E-2</c:v>
                </c:pt>
                <c:pt idx="3">
                  <c:v>2.5854404135789624E-2</c:v>
                </c:pt>
                <c:pt idx="4">
                  <c:v>1.3557943873341059E-2</c:v>
                </c:pt>
              </c:numCache>
            </c:numRef>
          </c:val>
          <c:smooth val="1"/>
          <c:extLst>
            <c:ext xmlns:c16="http://schemas.microsoft.com/office/drawing/2014/chart" uri="{C3380CC4-5D6E-409C-BE32-E72D297353CC}">
              <c16:uniqueId val="{0000000D-2926-4F9E-A9B9-2B1FB809680F}"/>
            </c:ext>
          </c:extLst>
        </c:ser>
        <c:dLbls>
          <c:showLegendKey val="0"/>
          <c:showVal val="0"/>
          <c:showCatName val="0"/>
          <c:showSerName val="0"/>
          <c:showPercent val="0"/>
          <c:showBubbleSize val="0"/>
        </c:dLbls>
        <c:marker val="1"/>
        <c:smooth val="0"/>
        <c:axId val="259970560"/>
        <c:axId val="259969024"/>
      </c:lineChart>
      <c:catAx>
        <c:axId val="25996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967232"/>
        <c:crosses val="autoZero"/>
        <c:auto val="1"/>
        <c:lblAlgn val="ctr"/>
        <c:lblOffset val="100"/>
        <c:noMultiLvlLbl val="0"/>
      </c:catAx>
      <c:valAx>
        <c:axId val="259967232"/>
        <c:scaling>
          <c:orientation val="minMax"/>
          <c:max val="2000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965696"/>
        <c:crosses val="autoZero"/>
        <c:crossBetween val="between"/>
        <c:majorUnit val="50000"/>
        <c:minorUnit val="1000"/>
      </c:valAx>
      <c:valAx>
        <c:axId val="259969024"/>
        <c:scaling>
          <c:orientation val="minMax"/>
          <c:max val="0.15000000000000008"/>
          <c:min val="0"/>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970560"/>
        <c:crosses val="max"/>
        <c:crossBetween val="between"/>
        <c:majorUnit val="5.0000000000000024E-2"/>
      </c:valAx>
      <c:catAx>
        <c:axId val="259970560"/>
        <c:scaling>
          <c:orientation val="minMax"/>
        </c:scaling>
        <c:delete val="1"/>
        <c:axPos val="b"/>
        <c:numFmt formatCode="General" sourceLinked="1"/>
        <c:majorTickMark val="out"/>
        <c:minorTickMark val="none"/>
        <c:tickLblPos val="none"/>
        <c:crossAx val="2599690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UXERZ!$F$61</c:f>
              <c:strCache>
                <c:ptCount val="1"/>
                <c:pt idx="0">
                  <c:v>ներքին պարտք</c:v>
                </c:pt>
              </c:strCache>
            </c:strRef>
          </c:tx>
          <c:spPr>
            <a:scene3d>
              <a:camera prst="orthographicFront"/>
              <a:lightRig rig="threePt" dir="t"/>
            </a:scene3d>
            <a:sp3d>
              <a:bevelT/>
              <a:bevelB/>
            </a:sp3d>
          </c:spPr>
          <c:invertIfNegative val="0"/>
          <c:dLbls>
            <c:spPr>
              <a:noFill/>
              <a:ln w="25400">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31.12.2019</c:v>
                </c:pt>
                <c:pt idx="1">
                  <c:v>31.12.2020</c:v>
                </c:pt>
                <c:pt idx="2">
                  <c:v>31.12.2021</c:v>
                </c:pt>
              </c:strCache>
            </c:strRef>
          </c:cat>
          <c:val>
            <c:numRef>
              <c:f>UXERZ!$G$61:$I$61</c:f>
              <c:numCache>
                <c:formatCode>_(* #\ ##0.0_);_(* \(#\ ##0.0\);_(* "-"??_);_(@_)</c:formatCode>
                <c:ptCount val="3"/>
                <c:pt idx="0">
                  <c:v>22.493445058353373</c:v>
                </c:pt>
                <c:pt idx="1">
                  <c:v>27.041778292149825</c:v>
                </c:pt>
                <c:pt idx="2">
                  <c:v>29.45318193739211</c:v>
                </c:pt>
              </c:numCache>
            </c:numRef>
          </c:val>
          <c:extLst>
            <c:ext xmlns:c16="http://schemas.microsoft.com/office/drawing/2014/chart" uri="{C3380CC4-5D6E-409C-BE32-E72D297353CC}">
              <c16:uniqueId val="{00000000-4EA1-4921-8166-109E996328E7}"/>
            </c:ext>
          </c:extLst>
        </c:ser>
        <c:ser>
          <c:idx val="1"/>
          <c:order val="1"/>
          <c:tx>
            <c:strRef>
              <c:f>UXERZ!$F$62</c:f>
              <c:strCache>
                <c:ptCount val="1"/>
                <c:pt idx="0">
                  <c:v>արտաքին պարտք</c:v>
                </c:pt>
              </c:strCache>
            </c:strRef>
          </c:tx>
          <c:spPr>
            <a:scene3d>
              <a:camera prst="orthographicFront"/>
              <a:lightRig rig="threePt" dir="t"/>
            </a:scene3d>
            <a:sp3d>
              <a:bevelT prst="relaxedInset"/>
              <a:bevelB prst="relaxedInset"/>
            </a:sp3d>
          </c:spPr>
          <c:invertIfNegative val="0"/>
          <c:dLbls>
            <c:spPr>
              <a:noFill/>
              <a:ln w="25400">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31.12.2019</c:v>
                </c:pt>
                <c:pt idx="1">
                  <c:v>31.12.2020</c:v>
                </c:pt>
                <c:pt idx="2">
                  <c:v>31.12.2021</c:v>
                </c:pt>
              </c:strCache>
            </c:strRef>
          </c:cat>
          <c:val>
            <c:numRef>
              <c:f>UXERZ!$G$62:$I$62</c:f>
              <c:numCache>
                <c:formatCode>_(* #\ ##0.0_);_(* \(#\ ##0.0\);_(* "-"??_);_(@_)</c:formatCode>
                <c:ptCount val="3"/>
                <c:pt idx="0">
                  <c:v>77.506554941646641</c:v>
                </c:pt>
                <c:pt idx="1">
                  <c:v>72.958221707850171</c:v>
                </c:pt>
                <c:pt idx="2">
                  <c:v>70.546818062607898</c:v>
                </c:pt>
              </c:numCache>
            </c:numRef>
          </c:val>
          <c:extLst>
            <c:ext xmlns:c16="http://schemas.microsoft.com/office/drawing/2014/chart" uri="{C3380CC4-5D6E-409C-BE32-E72D297353CC}">
              <c16:uniqueId val="{00000001-4EA1-4921-8166-109E996328E7}"/>
            </c:ext>
          </c:extLst>
        </c:ser>
        <c:dLbls>
          <c:showLegendKey val="0"/>
          <c:showVal val="0"/>
          <c:showCatName val="0"/>
          <c:showSerName val="0"/>
          <c:showPercent val="0"/>
          <c:showBubbleSize val="0"/>
        </c:dLbls>
        <c:gapWidth val="121"/>
        <c:shape val="box"/>
        <c:axId val="235523456"/>
        <c:axId val="235529344"/>
        <c:axId val="0"/>
      </c:bar3DChart>
      <c:catAx>
        <c:axId val="235523456"/>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235529344"/>
        <c:crosses val="autoZero"/>
        <c:auto val="1"/>
        <c:lblAlgn val="ctr"/>
        <c:lblOffset val="100"/>
        <c:noMultiLvlLbl val="0"/>
      </c:catAx>
      <c:valAx>
        <c:axId val="235529344"/>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235523456"/>
        <c:crosses val="autoZero"/>
        <c:crossBetween val="between"/>
      </c:valAx>
      <c:spPr>
        <a:noFill/>
        <a:ln w="25400">
          <a:noFill/>
        </a:ln>
      </c:spPr>
    </c:plotArea>
    <c:legend>
      <c:legendPos val="b"/>
      <c:layout>
        <c:manualLayout>
          <c:xMode val="edge"/>
          <c:yMode val="edge"/>
          <c:x val="0.13892086765016443"/>
          <c:y val="0.89959397932401308"/>
          <c:w val="0.66590158988747095"/>
          <c:h val="6.3525095077401006E-2"/>
        </c:manualLayout>
      </c:layout>
      <c:overlay val="0"/>
      <c:txPr>
        <a:bodyPr/>
        <a:lstStyle/>
        <a:p>
          <a:pPr>
            <a:defRPr sz="640"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UXERZ!$F$70</c:f>
              <c:strCache>
                <c:ptCount val="1"/>
                <c:pt idx="0">
                  <c:v>ՀՀ դրամով ներգրավված պարտք</c:v>
                </c:pt>
              </c:strCache>
            </c:strRef>
          </c:tx>
          <c:spPr>
            <a:scene3d>
              <a:camera prst="orthographicFront"/>
              <a:lightRig rig="threePt" dir="t"/>
            </a:scene3d>
            <a:sp3d>
              <a:bevelT prst="relaxedInset"/>
              <a:bevelB prst="relaxedInset"/>
            </a:sp3d>
          </c:spPr>
          <c:invertIfNegative val="0"/>
          <c:dLbls>
            <c:spPr>
              <a:noFill/>
              <a:ln w="25400">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31.12.2019</c:v>
                </c:pt>
                <c:pt idx="1">
                  <c:v>31.12.2020</c:v>
                </c:pt>
                <c:pt idx="2">
                  <c:v>31.12.2021</c:v>
                </c:pt>
              </c:strCache>
            </c:strRef>
          </c:cat>
          <c:val>
            <c:numRef>
              <c:f>UXERZ!$G$70:$I$70</c:f>
              <c:numCache>
                <c:formatCode>_(* #\ ##0.0_);_(* \(#\ ##0.0\);_(* "-"??_);_(@_)</c:formatCode>
                <c:ptCount val="3"/>
                <c:pt idx="0">
                  <c:v>20.780942820061107</c:v>
                </c:pt>
                <c:pt idx="1">
                  <c:v>25.893438836316435</c:v>
                </c:pt>
                <c:pt idx="2">
                  <c:v>27.905181348265543</c:v>
                </c:pt>
              </c:numCache>
            </c:numRef>
          </c:val>
          <c:extLst>
            <c:ext xmlns:c16="http://schemas.microsoft.com/office/drawing/2014/chart" uri="{C3380CC4-5D6E-409C-BE32-E72D297353CC}">
              <c16:uniqueId val="{00000000-690A-4C8B-9137-A003D865AC82}"/>
            </c:ext>
          </c:extLst>
        </c:ser>
        <c:ser>
          <c:idx val="1"/>
          <c:order val="1"/>
          <c:tx>
            <c:strRef>
              <c:f>UXERZ!$F$71</c:f>
              <c:strCache>
                <c:ptCount val="1"/>
                <c:pt idx="0">
                  <c:v>արտարժույթով ներգրավված պարտք</c:v>
                </c:pt>
              </c:strCache>
            </c:strRef>
          </c:tx>
          <c:spPr>
            <a:scene3d>
              <a:camera prst="orthographicFront"/>
              <a:lightRig rig="threePt" dir="t"/>
            </a:scene3d>
            <a:sp3d>
              <a:bevelT/>
              <a:bevelB/>
            </a:sp3d>
          </c:spPr>
          <c:invertIfNegative val="0"/>
          <c:dLbls>
            <c:spPr>
              <a:noFill/>
              <a:ln w="25400">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31.12.2019</c:v>
                </c:pt>
                <c:pt idx="1">
                  <c:v>31.12.2020</c:v>
                </c:pt>
                <c:pt idx="2">
                  <c:v>31.12.2021</c:v>
                </c:pt>
              </c:strCache>
            </c:strRef>
          </c:cat>
          <c:val>
            <c:numRef>
              <c:f>UXERZ!$G$71:$I$71</c:f>
              <c:numCache>
                <c:formatCode>_(* #\ ##0.0_);_(* \(#\ ##0.0\);_(* "-"??_);_(@_)</c:formatCode>
                <c:ptCount val="3"/>
                <c:pt idx="0">
                  <c:v>79.219057179938901</c:v>
                </c:pt>
                <c:pt idx="1">
                  <c:v>74.106561163683565</c:v>
                </c:pt>
                <c:pt idx="2">
                  <c:v>72.094818651734457</c:v>
                </c:pt>
              </c:numCache>
            </c:numRef>
          </c:val>
          <c:extLst>
            <c:ext xmlns:c16="http://schemas.microsoft.com/office/drawing/2014/chart" uri="{C3380CC4-5D6E-409C-BE32-E72D297353CC}">
              <c16:uniqueId val="{00000001-690A-4C8B-9137-A003D865AC82}"/>
            </c:ext>
          </c:extLst>
        </c:ser>
        <c:dLbls>
          <c:showLegendKey val="0"/>
          <c:showVal val="0"/>
          <c:showCatName val="0"/>
          <c:showSerName val="0"/>
          <c:showPercent val="0"/>
          <c:showBubbleSize val="0"/>
        </c:dLbls>
        <c:gapWidth val="106"/>
        <c:shape val="box"/>
        <c:axId val="239264896"/>
        <c:axId val="239266432"/>
        <c:axId val="0"/>
      </c:bar3DChart>
      <c:catAx>
        <c:axId val="239264896"/>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239266432"/>
        <c:crosses val="autoZero"/>
        <c:auto val="1"/>
        <c:lblAlgn val="ctr"/>
        <c:lblOffset val="100"/>
        <c:noMultiLvlLbl val="0"/>
      </c:catAx>
      <c:valAx>
        <c:axId val="239266432"/>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239264896"/>
        <c:crosses val="autoZero"/>
        <c:crossBetween val="between"/>
      </c:valAx>
      <c:spPr>
        <a:noFill/>
        <a:ln w="25400">
          <a:noFill/>
        </a:ln>
      </c:spPr>
    </c:plotArea>
    <c:legend>
      <c:legendPos val="b"/>
      <c:layout>
        <c:manualLayout>
          <c:xMode val="edge"/>
          <c:yMode val="edge"/>
          <c:x val="1.4925332609285908E-2"/>
          <c:y val="0.88934834065987156"/>
          <c:w val="0.97244607355115098"/>
          <c:h val="6.3525111508300758E-2"/>
        </c:manualLayout>
      </c:layout>
      <c:overlay val="0"/>
      <c:txPr>
        <a:bodyPr/>
        <a:lstStyle/>
        <a:p>
          <a:pPr>
            <a:defRPr sz="640"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9.7122703412073491E-2"/>
          <c:y val="5.0925925925925923E-2"/>
          <c:w val="0.87232174103237092"/>
          <c:h val="0.66568679072328651"/>
        </c:manualLayout>
      </c:layout>
      <c:bar3DChart>
        <c:barDir val="col"/>
        <c:grouping val="percentStacked"/>
        <c:varyColors val="0"/>
        <c:ser>
          <c:idx val="0"/>
          <c:order val="0"/>
          <c:tx>
            <c:strRef>
              <c:f>UXERZ!$F$64</c:f>
              <c:strCache>
                <c:ptCount val="1"/>
                <c:pt idx="0">
                  <c:v>արտաքին վարկեր և փոխառություններ</c:v>
                </c:pt>
              </c:strCache>
            </c:strRef>
          </c:tx>
          <c:invertIfNegative val="0"/>
          <c:dPt>
            <c:idx val="0"/>
            <c:invertIfNegative val="0"/>
            <c:bubble3D val="0"/>
            <c:spPr>
              <a:scene3d>
                <a:camera prst="orthographicFront"/>
                <a:lightRig rig="threePt" dir="t"/>
              </a:scene3d>
              <a:sp3d>
                <a:bevelT prst="angle"/>
                <a:bevelB prst="angle"/>
              </a:sp3d>
            </c:spPr>
            <c:extLst>
              <c:ext xmlns:c16="http://schemas.microsoft.com/office/drawing/2014/chart" uri="{C3380CC4-5D6E-409C-BE32-E72D297353CC}">
                <c16:uniqueId val="{00000001-1E30-44F8-9E8D-53B5EEC4A19D}"/>
              </c:ext>
            </c:extLst>
          </c:dPt>
          <c:dLbls>
            <c:spPr>
              <a:noFill/>
              <a:ln w="25400">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31.12.2019</c:v>
                </c:pt>
                <c:pt idx="1">
                  <c:v>31.12.2020</c:v>
                </c:pt>
                <c:pt idx="2">
                  <c:v>31.12.2021</c:v>
                </c:pt>
              </c:strCache>
            </c:strRef>
          </c:cat>
          <c:val>
            <c:numRef>
              <c:f>UXERZ!$G$64:$I$64</c:f>
              <c:numCache>
                <c:formatCode>_(* #\ ##0.0_);_(* \(#\ ##0.0\);_(* "-"??_);_(@_)</c:formatCode>
                <c:ptCount val="3"/>
                <c:pt idx="0">
                  <c:v>63.037752558768133</c:v>
                </c:pt>
                <c:pt idx="1">
                  <c:v>60.793019814717276</c:v>
                </c:pt>
                <c:pt idx="2">
                  <c:v>54.456821599429695</c:v>
                </c:pt>
              </c:numCache>
            </c:numRef>
          </c:val>
          <c:extLst>
            <c:ext xmlns:c16="http://schemas.microsoft.com/office/drawing/2014/chart" uri="{C3380CC4-5D6E-409C-BE32-E72D297353CC}">
              <c16:uniqueId val="{00000002-1E30-44F8-9E8D-53B5EEC4A19D}"/>
            </c:ext>
          </c:extLst>
        </c:ser>
        <c:ser>
          <c:idx val="1"/>
          <c:order val="1"/>
          <c:tx>
            <c:strRef>
              <c:f>UXERZ!$F$65</c:f>
              <c:strCache>
                <c:ptCount val="1"/>
                <c:pt idx="0">
                  <c:v>պետական գանձապետական պարտատոմսեր</c:v>
                </c:pt>
              </c:strCache>
            </c:strRef>
          </c:tx>
          <c:spPr>
            <a:scene3d>
              <a:camera prst="orthographicFront"/>
              <a:lightRig rig="threePt" dir="t"/>
            </a:scene3d>
            <a:sp3d>
              <a:bevelT prst="angle"/>
              <a:bevelB prst="angle"/>
            </a:sp3d>
          </c:spPr>
          <c:invertIfNegative val="0"/>
          <c:dLbls>
            <c:spPr>
              <a:noFill/>
              <a:ln w="25400">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31.12.2019</c:v>
                </c:pt>
                <c:pt idx="1">
                  <c:v>31.12.2020</c:v>
                </c:pt>
                <c:pt idx="2">
                  <c:v>31.12.2021</c:v>
                </c:pt>
              </c:strCache>
            </c:strRef>
          </c:cat>
          <c:val>
            <c:numRef>
              <c:f>UXERZ!$G$65:$I$65</c:f>
              <c:numCache>
                <c:formatCode>_(* #\ ##0.0_);_(* \(#\ ##0.0\);_(* "-"??_);_(@_)</c:formatCode>
                <c:ptCount val="3"/>
                <c:pt idx="0">
                  <c:v>20.780942820061107</c:v>
                </c:pt>
                <c:pt idx="1">
                  <c:v>25.893438836316435</c:v>
                </c:pt>
                <c:pt idx="2">
                  <c:v>27.905181348265543</c:v>
                </c:pt>
              </c:numCache>
            </c:numRef>
          </c:val>
          <c:extLst>
            <c:ext xmlns:c16="http://schemas.microsoft.com/office/drawing/2014/chart" uri="{C3380CC4-5D6E-409C-BE32-E72D297353CC}">
              <c16:uniqueId val="{00000003-1E30-44F8-9E8D-53B5EEC4A19D}"/>
            </c:ext>
          </c:extLst>
        </c:ser>
        <c:ser>
          <c:idx val="2"/>
          <c:order val="2"/>
          <c:tx>
            <c:strRef>
              <c:f>UXERZ!$F$66</c:f>
              <c:strCache>
                <c:ptCount val="1"/>
                <c:pt idx="0">
                  <c:v>արտարժութային պետական պարտատոմսեր</c:v>
                </c:pt>
              </c:strCache>
            </c:strRef>
          </c:tx>
          <c:spPr>
            <a:scene3d>
              <a:camera prst="orthographicFront"/>
              <a:lightRig rig="threePt" dir="t"/>
            </a:scene3d>
            <a:sp3d>
              <a:bevelT prst="angle"/>
              <a:bevelB prst="angle"/>
            </a:sp3d>
          </c:spPr>
          <c:invertIfNegative val="0"/>
          <c:dLbls>
            <c:spPr>
              <a:noFill/>
              <a:ln w="25400">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31.12.2019</c:v>
                </c:pt>
                <c:pt idx="1">
                  <c:v>31.12.2020</c:v>
                </c:pt>
                <c:pt idx="2">
                  <c:v>31.12.2021</c:v>
                </c:pt>
              </c:strCache>
            </c:strRef>
          </c:cat>
          <c:val>
            <c:numRef>
              <c:f>UXERZ!$G$66:$I$66</c:f>
              <c:numCache>
                <c:formatCode>_(* #\ ##0.0_);_(* \(#\ ##0.0\);_(* "-"??_);_(@_)</c:formatCode>
                <c:ptCount val="3"/>
                <c:pt idx="0">
                  <c:v>16.066550360937178</c:v>
                </c:pt>
                <c:pt idx="1">
                  <c:v>13.205929445796681</c:v>
                </c:pt>
                <c:pt idx="2">
                  <c:v>17.542696278963827</c:v>
                </c:pt>
              </c:numCache>
            </c:numRef>
          </c:val>
          <c:extLst>
            <c:ext xmlns:c16="http://schemas.microsoft.com/office/drawing/2014/chart" uri="{C3380CC4-5D6E-409C-BE32-E72D297353CC}">
              <c16:uniqueId val="{00000004-1E30-44F8-9E8D-53B5EEC4A19D}"/>
            </c:ext>
          </c:extLst>
        </c:ser>
        <c:ser>
          <c:idx val="3"/>
          <c:order val="3"/>
          <c:tx>
            <c:strRef>
              <c:f>UXERZ!$F$67</c:f>
              <c:strCache>
                <c:ptCount val="1"/>
                <c:pt idx="0">
                  <c:v>երաշխիքներ</c:v>
                </c:pt>
              </c:strCache>
            </c:strRef>
          </c:tx>
          <c:spPr>
            <a:solidFill>
              <a:schemeClr val="accent6">
                <a:lumMod val="40000"/>
                <a:lumOff val="60000"/>
              </a:schemeClr>
            </a:solidFill>
            <a:scene3d>
              <a:camera prst="orthographicFront"/>
              <a:lightRig rig="threePt" dir="t"/>
            </a:scene3d>
            <a:sp3d>
              <a:bevelT w="101600" prst="riblet"/>
              <a:bevelB w="101600" prst="riblet"/>
            </a:sp3d>
          </c:spPr>
          <c:invertIfNegative val="0"/>
          <c:dLbls>
            <c:dLbl>
              <c:idx val="0"/>
              <c:layout>
                <c:manualLayout>
                  <c:x val="8.3333333333333332E-3"/>
                  <c:y val="-3.2407407407407419E-2"/>
                </c:manualLayout>
              </c:layou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30-44F8-9E8D-53B5EEC4A19D}"/>
                </c:ext>
              </c:extLst>
            </c:dLbl>
            <c:dLbl>
              <c:idx val="1"/>
              <c:layout>
                <c:manualLayout>
                  <c:x val="1.1111111111111112E-2"/>
                  <c:y val="-3.2407407407407406E-2"/>
                </c:manualLayout>
              </c:layou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30-44F8-9E8D-53B5EEC4A19D}"/>
                </c:ext>
              </c:extLst>
            </c:dLbl>
            <c:dLbl>
              <c:idx val="2"/>
              <c:layout>
                <c:manualLayout>
                  <c:x val="1.1111111111111112E-2"/>
                  <c:y val="-3.2407407407407419E-2"/>
                </c:manualLayout>
              </c:layout>
              <c:spPr/>
              <c:txPr>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30-44F8-9E8D-53B5EEC4A19D}"/>
                </c:ext>
              </c:extLst>
            </c:dLbl>
            <c:spPr>
              <a:noFill/>
              <a:ln w="25400">
                <a:noFill/>
              </a:ln>
            </c:spPr>
            <c:txPr>
              <a:bodyPr wrap="square" lIns="38100" tIns="19050" rIns="38100" bIns="19050" anchor="ctr">
                <a:spAutoFit/>
              </a:bodyPr>
              <a:lstStyle/>
              <a:p>
                <a:pPr>
                  <a:defRPr sz="8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31.12.2019</c:v>
                </c:pt>
                <c:pt idx="1">
                  <c:v>31.12.2020</c:v>
                </c:pt>
                <c:pt idx="2">
                  <c:v>31.12.2021</c:v>
                </c:pt>
              </c:strCache>
            </c:strRef>
          </c:cat>
          <c:val>
            <c:numRef>
              <c:f>UXERZ!$G$67:$I$67</c:f>
              <c:numCache>
                <c:formatCode>_(* #\ ##0.0_);_(* \(#\ ##0.0\);_(* "-"??_);_(@_)</c:formatCode>
                <c:ptCount val="3"/>
                <c:pt idx="0">
                  <c:v>0.11475426023357292</c:v>
                </c:pt>
                <c:pt idx="1">
                  <c:v>0.10761190316961811</c:v>
                </c:pt>
                <c:pt idx="2">
                  <c:v>9.5300773340960349E-2</c:v>
                </c:pt>
              </c:numCache>
            </c:numRef>
          </c:val>
          <c:extLst>
            <c:ext xmlns:c16="http://schemas.microsoft.com/office/drawing/2014/chart" uri="{C3380CC4-5D6E-409C-BE32-E72D297353CC}">
              <c16:uniqueId val="{00000008-1E30-44F8-9E8D-53B5EEC4A19D}"/>
            </c:ext>
          </c:extLst>
        </c:ser>
        <c:dLbls>
          <c:showLegendKey val="0"/>
          <c:showVal val="0"/>
          <c:showCatName val="0"/>
          <c:showSerName val="0"/>
          <c:showPercent val="0"/>
          <c:showBubbleSize val="0"/>
        </c:dLbls>
        <c:gapWidth val="94"/>
        <c:shape val="box"/>
        <c:axId val="240911104"/>
        <c:axId val="240912640"/>
        <c:axId val="0"/>
      </c:bar3DChart>
      <c:catAx>
        <c:axId val="240911104"/>
        <c:scaling>
          <c:orientation val="minMax"/>
        </c:scaling>
        <c:delete val="0"/>
        <c:axPos val="b"/>
        <c:numFmt formatCode="General"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240912640"/>
        <c:crosses val="autoZero"/>
        <c:auto val="1"/>
        <c:lblAlgn val="ctr"/>
        <c:lblOffset val="100"/>
        <c:noMultiLvlLbl val="0"/>
      </c:catAx>
      <c:valAx>
        <c:axId val="240912640"/>
        <c:scaling>
          <c:orientation val="minMax"/>
        </c:scaling>
        <c:delete val="0"/>
        <c:axPos val="l"/>
        <c:majorGridlines/>
        <c:numFmt formatCode="0%" sourceLinked="1"/>
        <c:majorTickMark val="out"/>
        <c:minorTickMark val="none"/>
        <c:tickLblPos val="nextTo"/>
        <c:txPr>
          <a:bodyPr rot="0" vert="horz"/>
          <a:lstStyle/>
          <a:p>
            <a:pPr>
              <a:defRPr sz="800" b="0" i="0" u="none" strike="noStrike" baseline="0">
                <a:solidFill>
                  <a:srgbClr val="000000"/>
                </a:solidFill>
                <a:latin typeface="Calibri"/>
                <a:ea typeface="Calibri"/>
                <a:cs typeface="Calibri"/>
              </a:defRPr>
            </a:pPr>
            <a:endParaRPr lang="en-US"/>
          </a:p>
        </c:txPr>
        <c:crossAx val="240911104"/>
        <c:crosses val="autoZero"/>
        <c:crossBetween val="between"/>
      </c:valAx>
      <c:spPr>
        <a:noFill/>
        <a:ln w="25400">
          <a:noFill/>
        </a:ln>
      </c:spPr>
    </c:plotArea>
    <c:legend>
      <c:legendPos val="b"/>
      <c:layout>
        <c:manualLayout>
          <c:xMode val="edge"/>
          <c:yMode val="edge"/>
          <c:x val="1.6073478760045924E-2"/>
          <c:y val="0.83811827093041935"/>
          <c:w val="0.94948395514854544"/>
          <c:h val="0.13934490331565696"/>
        </c:manualLayout>
      </c:layout>
      <c:overlay val="0"/>
      <c:txPr>
        <a:bodyPr/>
        <a:lstStyle/>
        <a:p>
          <a:pPr>
            <a:defRPr sz="550"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UXERZ!$F$73</c:f>
              <c:strCache>
                <c:ptCount val="1"/>
                <c:pt idx="0">
                  <c:v>լողացող տոկոսադրույքով</c:v>
                </c:pt>
              </c:strCache>
            </c:strRef>
          </c:tx>
          <c:spPr>
            <a:scene3d>
              <a:camera prst="orthographicFront"/>
              <a:lightRig rig="threePt" dir="t"/>
            </a:scene3d>
            <a:sp3d>
              <a:bevelT w="101600" prst="riblet"/>
              <a:bevelB w="101600" prst="riblet"/>
            </a:sp3d>
          </c:spPr>
          <c:invertIfNegative val="0"/>
          <c:dLbls>
            <c:spPr>
              <a:scene3d>
                <a:camera prst="orthographicFront"/>
                <a:lightRig rig="threePt" dir="t"/>
              </a:scene3d>
              <a:sp3d>
                <a:bevelB w="114300" prst="hardEdge"/>
              </a:sp3d>
            </c:spPr>
            <c:txPr>
              <a:bodyPr wrap="square" lIns="38100" tIns="19050" rIns="38100" bIns="19050" anchor="ctr">
                <a:spAutoFit/>
              </a:bodyPr>
              <a:lstStyle/>
              <a:p>
                <a:pPr>
                  <a:defRPr sz="7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31.12.2019</c:v>
                </c:pt>
                <c:pt idx="1">
                  <c:v>31.12.2020</c:v>
                </c:pt>
                <c:pt idx="2">
                  <c:v>31.12.2021</c:v>
                </c:pt>
              </c:strCache>
            </c:strRef>
          </c:cat>
          <c:val>
            <c:numRef>
              <c:f>UXERZ!$G$73:$I$73</c:f>
              <c:numCache>
                <c:formatCode>_(* #\ ##0.0_);_(* \(#\ ##0.0\);_(* "-"??_);_(@_)</c:formatCode>
                <c:ptCount val="3"/>
                <c:pt idx="0">
                  <c:v>16.169003014426384</c:v>
                </c:pt>
                <c:pt idx="1">
                  <c:v>19.449415914570395</c:v>
                </c:pt>
                <c:pt idx="2">
                  <c:v>19.291936340877918</c:v>
                </c:pt>
              </c:numCache>
            </c:numRef>
          </c:val>
          <c:extLst>
            <c:ext xmlns:c16="http://schemas.microsoft.com/office/drawing/2014/chart" uri="{C3380CC4-5D6E-409C-BE32-E72D297353CC}">
              <c16:uniqueId val="{00000000-3C19-46D2-9014-C567E5E48479}"/>
            </c:ext>
          </c:extLst>
        </c:ser>
        <c:ser>
          <c:idx val="1"/>
          <c:order val="1"/>
          <c:tx>
            <c:strRef>
              <c:f>UXERZ!$F$74</c:f>
              <c:strCache>
                <c:ptCount val="1"/>
                <c:pt idx="0">
                  <c:v>ֆիքսված տոկոսադրույքով</c:v>
                </c:pt>
              </c:strCache>
            </c:strRef>
          </c:tx>
          <c:spPr>
            <a:effectLst>
              <a:outerShdw blurRad="63500" sx="102000" sy="102000" algn="ctr" rotWithShape="0">
                <a:prstClr val="black">
                  <a:alpha val="40000"/>
                </a:prstClr>
              </a:outerShdw>
            </a:effectLst>
            <a:scene3d>
              <a:camera prst="orthographicFront"/>
              <a:lightRig rig="threePt" dir="t"/>
            </a:scene3d>
            <a:sp3d>
              <a:bevelT prst="slope"/>
              <a:bevelB prst="slope"/>
            </a:sp3d>
          </c:spPr>
          <c:invertIfNegative val="0"/>
          <c:dLbls>
            <c:spPr>
              <a:noFill/>
              <a:ln w="25400">
                <a:noFill/>
              </a:ln>
            </c:spPr>
            <c:txPr>
              <a:bodyPr wrap="square" lIns="38100" tIns="19050" rIns="38100" bIns="19050" anchor="ctr">
                <a:spAutoFit/>
              </a:bodyPr>
              <a:lstStyle/>
              <a:p>
                <a:pPr>
                  <a:defRPr sz="700"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31.12.2019</c:v>
                </c:pt>
                <c:pt idx="1">
                  <c:v>31.12.2020</c:v>
                </c:pt>
                <c:pt idx="2">
                  <c:v>31.12.2021</c:v>
                </c:pt>
              </c:strCache>
            </c:strRef>
          </c:cat>
          <c:val>
            <c:numRef>
              <c:f>UXERZ!$G$74:$I$74</c:f>
              <c:numCache>
                <c:formatCode>_(* #\ ##0.0_);_(* \(#\ ##0.0\);_(* "-"??_);_(@_)</c:formatCode>
                <c:ptCount val="3"/>
                <c:pt idx="0">
                  <c:v>83.830996985573634</c:v>
                </c:pt>
                <c:pt idx="1">
                  <c:v>80.550584085429605</c:v>
                </c:pt>
                <c:pt idx="2">
                  <c:v>80.708063659122075</c:v>
                </c:pt>
              </c:numCache>
            </c:numRef>
          </c:val>
          <c:extLst>
            <c:ext xmlns:c16="http://schemas.microsoft.com/office/drawing/2014/chart" uri="{C3380CC4-5D6E-409C-BE32-E72D297353CC}">
              <c16:uniqueId val="{00000001-3C19-46D2-9014-C567E5E48479}"/>
            </c:ext>
          </c:extLst>
        </c:ser>
        <c:dLbls>
          <c:showLegendKey val="0"/>
          <c:showVal val="0"/>
          <c:showCatName val="0"/>
          <c:showSerName val="0"/>
          <c:showPercent val="0"/>
          <c:showBubbleSize val="0"/>
        </c:dLbls>
        <c:gapWidth val="121"/>
        <c:shape val="box"/>
        <c:axId val="240940544"/>
        <c:axId val="240942080"/>
        <c:axId val="0"/>
      </c:bar3DChart>
      <c:catAx>
        <c:axId val="240940544"/>
        <c:scaling>
          <c:orientation val="minMax"/>
        </c:scaling>
        <c:delete val="0"/>
        <c:axPos val="b"/>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240942080"/>
        <c:crosses val="autoZero"/>
        <c:auto val="1"/>
        <c:lblAlgn val="ctr"/>
        <c:lblOffset val="100"/>
        <c:noMultiLvlLbl val="0"/>
      </c:catAx>
      <c:valAx>
        <c:axId val="240942080"/>
        <c:scaling>
          <c:orientation val="minMax"/>
        </c:scaling>
        <c:delete val="0"/>
        <c:axPos val="l"/>
        <c:majorGridlines/>
        <c:numFmt formatCode="0%"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240940544"/>
        <c:crosses val="autoZero"/>
        <c:crossBetween val="between"/>
      </c:valAx>
      <c:spPr>
        <a:noFill/>
        <a:ln w="25400">
          <a:noFill/>
        </a:ln>
      </c:spPr>
    </c:plotArea>
    <c:legend>
      <c:legendPos val="b"/>
      <c:layout>
        <c:manualLayout>
          <c:xMode val="edge"/>
          <c:yMode val="edge"/>
          <c:x val="4.1331802525832378E-2"/>
          <c:y val="0.89959397932401308"/>
          <c:w val="0.87256087822546857"/>
          <c:h val="6.3525095077401006E-2"/>
        </c:manualLayout>
      </c:layout>
      <c:overlay val="0"/>
      <c:txPr>
        <a:bodyPr/>
        <a:lstStyle/>
        <a:p>
          <a:pPr>
            <a:defRPr sz="640" b="0" i="0" u="none" strike="noStrike" baseline="0">
              <a:solidFill>
                <a:srgbClr val="000000"/>
              </a:solidFill>
              <a:latin typeface="Calibri"/>
              <a:ea typeface="Calibri"/>
              <a:cs typeface="Calibri"/>
            </a:defRPr>
          </a:pPr>
          <a:endParaRPr lang="en-US"/>
        </a:p>
      </c:txPr>
    </c:legend>
    <c:plotVisOnly val="1"/>
    <c:dispBlanksAs val="gap"/>
    <c:showDLblsOverMax val="0"/>
  </c:chart>
  <c:spPr>
    <a:effectLst>
      <a:outerShdw blurRad="63500" sx="102000" sy="102000" algn="ctr" rotWithShape="0">
        <a:prstClr val="black">
          <a:alpha val="40000"/>
        </a:prstClr>
      </a:outerShdw>
    </a:effectLst>
  </c:spPr>
  <c:txPr>
    <a:bodyPr/>
    <a:lstStyle/>
    <a:p>
      <a:pPr>
        <a:defRPr sz="7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3">
                <a:lumMod val="75000"/>
              </a:schemeClr>
            </a:solidFill>
            <a:effectLst>
              <a:outerShdw blurRad="50800" dist="38100" dir="2700000" algn="tl" rotWithShape="0">
                <a:prstClr val="black">
                  <a:alpha val="40000"/>
                </a:prstClr>
              </a:outerShdw>
            </a:effectLst>
            <a:scene3d>
              <a:camera prst="orthographicFront"/>
              <a:lightRig rig="threePt" dir="t"/>
            </a:scene3d>
            <a:sp3d>
              <a:bevelT w="101600" prst="riblet"/>
            </a:sp3d>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'Stock for Budget'!$B$248:$B$268</c:f>
              <c:strCache>
                <c:ptCount val="21"/>
                <c:pt idx="0">
                  <c:v>Բյուջետային աջակցության նոր վարկեր</c:v>
                </c:pt>
                <c:pt idx="1">
                  <c:v>ԿԲՍ Բանկ (Բելգիա)</c:v>
                </c:pt>
                <c:pt idx="2">
                  <c:v>Ռայֆայզն Բանկ (Ավստրիա)</c:v>
                </c:pt>
                <c:pt idx="3">
                  <c:v>Էռստե Բանկ (Ավստրիա)</c:v>
                </c:pt>
                <c:pt idx="4">
                  <c:v>Աբու-Դաբիի Զարգացման Հիմնադրամ</c:v>
                </c:pt>
                <c:pt idx="5">
                  <c:v>ԱՄՆ</c:v>
                </c:pt>
                <c:pt idx="6">
                  <c:v>Չինաստանի Արտահանման-Ներմուծման Բանկ</c:v>
                </c:pt>
                <c:pt idx="7">
                  <c:v>Ֆրանսիա</c:v>
                </c:pt>
                <c:pt idx="8">
                  <c:v>Ճապոնիա</c:v>
                </c:pt>
                <c:pt idx="9">
                  <c:v>Ռուսաստանի Դաշնություն</c:v>
                </c:pt>
                <c:pt idx="10">
                  <c:v>Գերմանիա (ՎՎԲ)</c:v>
                </c:pt>
                <c:pt idx="11">
                  <c:v>ՕՊԵԿ-ի Միջազգային Զարգացման Հիմնադրամ </c:v>
                </c:pt>
                <c:pt idx="12">
                  <c:v>Վերակառուցման և Զարգացման Եվրոպական Բանկ</c:v>
                </c:pt>
                <c:pt idx="13">
                  <c:v>Գյուղատնտեսության Զարգացման Միջազգային Հիմնադրամ</c:v>
                </c:pt>
                <c:pt idx="14">
                  <c:v>Եվրամիություն</c:v>
                </c:pt>
                <c:pt idx="15">
                  <c:v>Եվրոպական Ներդրումային Բանկ</c:v>
                </c:pt>
                <c:pt idx="16">
                  <c:v>Եվրասիական Զարգացման Բանկ </c:v>
                </c:pt>
                <c:pt idx="17">
                  <c:v>Արժույթի Միջազգային Հիմնադրամ</c:v>
                </c:pt>
                <c:pt idx="18">
                  <c:v>Ասիական Զարգացման Բանկ</c:v>
                </c:pt>
                <c:pt idx="19">
                  <c:v>Վերակառուցման և Զարգացման Միջազգային Բանկ</c:v>
                </c:pt>
                <c:pt idx="20">
                  <c:v>Զարգացման Միջազգային Ընկերակցություն</c:v>
                </c:pt>
              </c:strCache>
            </c:strRef>
          </c:cat>
          <c:val>
            <c:numRef>
              <c:f>'Stock for Budget'!$D$248:$D$268</c:f>
              <c:numCache>
                <c:formatCode>0.00%</c:formatCode>
                <c:ptCount val="21"/>
                <c:pt idx="0" formatCode="0.0%">
                  <c:v>2.1475970336037809E-2</c:v>
                </c:pt>
                <c:pt idx="1">
                  <c:v>4.8861515262315009E-4</c:v>
                </c:pt>
                <c:pt idx="2" formatCode="0.0%">
                  <c:v>1.3006232837706713E-3</c:v>
                </c:pt>
                <c:pt idx="3" formatCode="0.0%">
                  <c:v>1.8470846425545321E-3</c:v>
                </c:pt>
                <c:pt idx="4" formatCode="0.0%">
                  <c:v>7.2777431184705527E-4</c:v>
                </c:pt>
                <c:pt idx="5" formatCode="0.0%">
                  <c:v>2.8186411687481775E-3</c:v>
                </c:pt>
                <c:pt idx="6" formatCode="0.0%">
                  <c:v>4.4808028089080515E-3</c:v>
                </c:pt>
                <c:pt idx="7" formatCode="0.0%">
                  <c:v>3.1408782379369553E-2</c:v>
                </c:pt>
                <c:pt idx="8" formatCode="0.0%">
                  <c:v>4.1778418464744796E-2</c:v>
                </c:pt>
                <c:pt idx="9" formatCode="0.0%">
                  <c:v>7.0683966298644291E-2</c:v>
                </c:pt>
                <c:pt idx="10" formatCode="0.0%">
                  <c:v>6.5885039228405939E-2</c:v>
                </c:pt>
                <c:pt idx="11" formatCode="0.0%">
                  <c:v>9.7408233127813833E-3</c:v>
                </c:pt>
                <c:pt idx="12" formatCode="0.0%">
                  <c:v>6.471727134363045E-3</c:v>
                </c:pt>
                <c:pt idx="13" formatCode="0.0%">
                  <c:v>1.3385479667932828E-2</c:v>
                </c:pt>
                <c:pt idx="14" formatCode="0.0%">
                  <c:v>1.6250227729339671E-2</c:v>
                </c:pt>
                <c:pt idx="15" formatCode="0.0%">
                  <c:v>2.9559388753934872E-2</c:v>
                </c:pt>
                <c:pt idx="16" formatCode="0.0%">
                  <c:v>7.0398033088967304E-2</c:v>
                </c:pt>
                <c:pt idx="17" formatCode="0.0%">
                  <c:v>7.128455099833382E-2</c:v>
                </c:pt>
                <c:pt idx="18" formatCode="0.0%">
                  <c:v>0.16310884050114258</c:v>
                </c:pt>
                <c:pt idx="19" formatCode="0.0%">
                  <c:v>0.18152279525495918</c:v>
                </c:pt>
                <c:pt idx="20" formatCode="0.0%">
                  <c:v>0.19538241548259144</c:v>
                </c:pt>
              </c:numCache>
            </c:numRef>
          </c:val>
          <c:extLst>
            <c:ext xmlns:c16="http://schemas.microsoft.com/office/drawing/2014/chart" uri="{C3380CC4-5D6E-409C-BE32-E72D297353CC}">
              <c16:uniqueId val="{00000000-2ED6-45AE-9843-2A98212E301B}"/>
            </c:ext>
          </c:extLst>
        </c:ser>
        <c:dLbls>
          <c:showLegendKey val="0"/>
          <c:showVal val="0"/>
          <c:showCatName val="0"/>
          <c:showSerName val="0"/>
          <c:showPercent val="0"/>
          <c:showBubbleSize val="0"/>
        </c:dLbls>
        <c:gapWidth val="21"/>
        <c:axId val="259627648"/>
        <c:axId val="259998080"/>
      </c:barChart>
      <c:catAx>
        <c:axId val="259627648"/>
        <c:scaling>
          <c:orientation val="minMax"/>
        </c:scaling>
        <c:delete val="0"/>
        <c:axPos val="l"/>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259998080"/>
        <c:crosses val="autoZero"/>
        <c:auto val="1"/>
        <c:lblAlgn val="ctr"/>
        <c:lblOffset val="100"/>
        <c:noMultiLvlLbl val="0"/>
      </c:catAx>
      <c:valAx>
        <c:axId val="259998080"/>
        <c:scaling>
          <c:orientation val="minMax"/>
        </c:scaling>
        <c:delete val="0"/>
        <c:axPos val="b"/>
        <c:majorGridlines/>
        <c:numFmt formatCode="0.0%"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259627648"/>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40" b="1" i="0" u="none" strike="noStrike" baseline="0">
                <a:solidFill>
                  <a:srgbClr val="000000"/>
                </a:solidFill>
                <a:latin typeface="Calibri"/>
                <a:ea typeface="Calibri"/>
                <a:cs typeface="Calibri"/>
              </a:defRPr>
            </a:pPr>
            <a:r>
              <a:rPr lang="hy-AM"/>
              <a:t>Կառավարության պարտքի մարման ժամանակացույցը 31.12.2021թ. դրությամբ (մլրդ դրամ)</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5.7302847737253193E-2"/>
          <c:y val="0.13060960050591822"/>
          <c:w val="0.92050183345725867"/>
          <c:h val="0.63833966836706491"/>
        </c:manualLayout>
      </c:layout>
      <c:bar3DChart>
        <c:barDir val="col"/>
        <c:grouping val="stacked"/>
        <c:varyColors val="0"/>
        <c:ser>
          <c:idx val="0"/>
          <c:order val="0"/>
          <c:tx>
            <c:strRef>
              <c:f>UXERZ!$I$14</c:f>
              <c:strCache>
                <c:ptCount val="1"/>
                <c:pt idx="0">
                  <c:v>Արտաքին վարկեր</c:v>
                </c:pt>
              </c:strCache>
            </c:strRef>
          </c:tx>
          <c:invertIfNegative val="0"/>
          <c:cat>
            <c:numRef>
              <c:f>UXERZ!$J$13:$AP$13</c:f>
              <c:numCache>
                <c:formatCode>General</c:formatCode>
                <c:ptCount val="33"/>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numCache>
            </c:numRef>
          </c:cat>
          <c:val>
            <c:numRef>
              <c:f>UXERZ!$J$14:$AP$14</c:f>
              <c:numCache>
                <c:formatCode>_(* #\ ##0_);_(* \(#\ ##0\);_(* "-"??_);_(@_)</c:formatCode>
                <c:ptCount val="33"/>
                <c:pt idx="0">
                  <c:v>114.38214123036643</c:v>
                </c:pt>
                <c:pt idx="1">
                  <c:v>165.56924269534633</c:v>
                </c:pt>
                <c:pt idx="2">
                  <c:v>218.36844491468372</c:v>
                </c:pt>
                <c:pt idx="3">
                  <c:v>196.22797452839936</c:v>
                </c:pt>
                <c:pt idx="4">
                  <c:v>198.20908891612396</c:v>
                </c:pt>
                <c:pt idx="5">
                  <c:v>156.17233033655316</c:v>
                </c:pt>
                <c:pt idx="6">
                  <c:v>145.16692780110625</c:v>
                </c:pt>
                <c:pt idx="7">
                  <c:v>121.10154779308327</c:v>
                </c:pt>
                <c:pt idx="8">
                  <c:v>128.17847327525237</c:v>
                </c:pt>
                <c:pt idx="9">
                  <c:v>121.47989678762848</c:v>
                </c:pt>
                <c:pt idx="10">
                  <c:v>119.16407634023321</c:v>
                </c:pt>
                <c:pt idx="11">
                  <c:v>110.56523792513757</c:v>
                </c:pt>
                <c:pt idx="12">
                  <c:v>105.89050355081136</c:v>
                </c:pt>
                <c:pt idx="13">
                  <c:v>86.040410610029383</c:v>
                </c:pt>
                <c:pt idx="14">
                  <c:v>69.48224976775191</c:v>
                </c:pt>
                <c:pt idx="15">
                  <c:v>62.14488837596479</c:v>
                </c:pt>
                <c:pt idx="16">
                  <c:v>49.336596354820351</c:v>
                </c:pt>
                <c:pt idx="17">
                  <c:v>42.064890604586459</c:v>
                </c:pt>
                <c:pt idx="18">
                  <c:v>29.283584554532293</c:v>
                </c:pt>
                <c:pt idx="19">
                  <c:v>20.23227405268992</c:v>
                </c:pt>
                <c:pt idx="20">
                  <c:v>14.592446673961488</c:v>
                </c:pt>
                <c:pt idx="21">
                  <c:v>13.59155792606175</c:v>
                </c:pt>
                <c:pt idx="22">
                  <c:v>11.977261426102313</c:v>
                </c:pt>
                <c:pt idx="23">
                  <c:v>4.5821853624860358</c:v>
                </c:pt>
                <c:pt idx="24">
                  <c:v>0.91064181200709693</c:v>
                </c:pt>
                <c:pt idx="25">
                  <c:v>0.82981201507756253</c:v>
                </c:pt>
                <c:pt idx="26">
                  <c:v>0.64993256931832988</c:v>
                </c:pt>
                <c:pt idx="27">
                  <c:v>0.58095776892793327</c:v>
                </c:pt>
                <c:pt idx="28">
                  <c:v>0.24100889031186548</c:v>
                </c:pt>
                <c:pt idx="29">
                  <c:v>2.0603954694799344E-2</c:v>
                </c:pt>
                <c:pt idx="30">
                  <c:v>2.0603954694799344E-2</c:v>
                </c:pt>
                <c:pt idx="31">
                  <c:v>2.0603954694799344E-2</c:v>
                </c:pt>
                <c:pt idx="32">
                  <c:v>1.3869882641155993</c:v>
                </c:pt>
              </c:numCache>
            </c:numRef>
          </c:val>
          <c:extLst>
            <c:ext xmlns:c16="http://schemas.microsoft.com/office/drawing/2014/chart" uri="{C3380CC4-5D6E-409C-BE32-E72D297353CC}">
              <c16:uniqueId val="{00000000-A65A-4C86-A720-E95D040F5434}"/>
            </c:ext>
          </c:extLst>
        </c:ser>
        <c:ser>
          <c:idx val="1"/>
          <c:order val="1"/>
          <c:tx>
            <c:strRef>
              <c:f>UXERZ!$I$15</c:f>
              <c:strCache>
                <c:ptCount val="1"/>
                <c:pt idx="0">
                  <c:v>Արտարժութային պարտատոմսեր</c:v>
                </c:pt>
              </c:strCache>
            </c:strRef>
          </c:tx>
          <c:invertIfNegative val="0"/>
          <c:cat>
            <c:numRef>
              <c:f>UXERZ!$J$13:$AP$13</c:f>
              <c:numCache>
                <c:formatCode>General</c:formatCode>
                <c:ptCount val="33"/>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numCache>
            </c:numRef>
          </c:cat>
          <c:val>
            <c:numRef>
              <c:f>UXERZ!$J$15:$AP$15</c:f>
              <c:numCache>
                <c:formatCode>General</c:formatCode>
                <c:ptCount val="33"/>
                <c:pt idx="3" formatCode="_(* #\ ##0_);_(* \(#\ ##0\);_(* &quot;-&quot;??_);_(@_)">
                  <c:v>246.88000000000005</c:v>
                </c:pt>
                <c:pt idx="7" formatCode="_(* #\ ##0_);_(* \(#\ ##0\);_(* &quot;-&quot;??_);_(@_)">
                  <c:v>246.88000000000005</c:v>
                </c:pt>
                <c:pt idx="9" formatCode="_(* #\ ##0_);_(* \(#\ ##0\);_(* &quot;-&quot;??_);_(@_)">
                  <c:v>246.88000000000005</c:v>
                </c:pt>
                <c:pt idx="10" formatCode="_(* #\ ##0_);_(* \(#\ ##0\);_(* &quot;-&quot;??_);_(@_)">
                  <c:v>0</c:v>
                </c:pt>
              </c:numCache>
            </c:numRef>
          </c:val>
          <c:extLst>
            <c:ext xmlns:c16="http://schemas.microsoft.com/office/drawing/2014/chart" uri="{C3380CC4-5D6E-409C-BE32-E72D297353CC}">
              <c16:uniqueId val="{00000001-A65A-4C86-A720-E95D040F5434}"/>
            </c:ext>
          </c:extLst>
        </c:ser>
        <c:ser>
          <c:idx val="2"/>
          <c:order val="2"/>
          <c:tx>
            <c:strRef>
              <c:f>UXERZ!$I$16</c:f>
              <c:strCache>
                <c:ptCount val="1"/>
                <c:pt idx="0">
                  <c:v>Երաշխիքներ</c:v>
                </c:pt>
              </c:strCache>
            </c:strRef>
          </c:tx>
          <c:invertIfNegative val="0"/>
          <c:cat>
            <c:numRef>
              <c:f>UXERZ!$J$13:$AP$13</c:f>
              <c:numCache>
                <c:formatCode>General</c:formatCode>
                <c:ptCount val="33"/>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numCache>
            </c:numRef>
          </c:cat>
          <c:val>
            <c:numRef>
              <c:f>UXERZ!$J$16:$AP$16</c:f>
              <c:numCache>
                <c:formatCode>_(* #\ ##0_);_(* \(#\ ##0\);_(* "-"??_);_(@_)</c:formatCode>
                <c:ptCount val="33"/>
                <c:pt idx="1">
                  <c:v>0.15475115428830005</c:v>
                </c:pt>
                <c:pt idx="2">
                  <c:v>0.30950230857659999</c:v>
                </c:pt>
                <c:pt idx="3">
                  <c:v>0.30950230857659999</c:v>
                </c:pt>
                <c:pt idx="4">
                  <c:v>0.30950230857659999</c:v>
                </c:pt>
                <c:pt idx="5">
                  <c:v>0.30950230857659999</c:v>
                </c:pt>
                <c:pt idx="6">
                  <c:v>0.30950230857659999</c:v>
                </c:pt>
                <c:pt idx="7">
                  <c:v>0.30950230857659999</c:v>
                </c:pt>
                <c:pt idx="8">
                  <c:v>0.30950230857659999</c:v>
                </c:pt>
                <c:pt idx="9">
                  <c:v>0.30950230857659999</c:v>
                </c:pt>
                <c:pt idx="10">
                  <c:v>0.30950230857659999</c:v>
                </c:pt>
                <c:pt idx="11">
                  <c:v>0.30950230857659999</c:v>
                </c:pt>
                <c:pt idx="12">
                  <c:v>0.30950230857659999</c:v>
                </c:pt>
                <c:pt idx="13">
                  <c:v>0.30950230857659999</c:v>
                </c:pt>
                <c:pt idx="14">
                  <c:v>0.15475114324565453</c:v>
                </c:pt>
              </c:numCache>
            </c:numRef>
          </c:val>
          <c:extLst>
            <c:ext xmlns:c16="http://schemas.microsoft.com/office/drawing/2014/chart" uri="{C3380CC4-5D6E-409C-BE32-E72D297353CC}">
              <c16:uniqueId val="{00000002-A65A-4C86-A720-E95D040F5434}"/>
            </c:ext>
          </c:extLst>
        </c:ser>
        <c:ser>
          <c:idx val="3"/>
          <c:order val="3"/>
          <c:tx>
            <c:strRef>
              <c:f>UXERZ!$I$17</c:f>
              <c:strCache>
                <c:ptCount val="1"/>
                <c:pt idx="0">
                  <c:v>Դրամային պարտատոմսեր</c:v>
                </c:pt>
              </c:strCache>
            </c:strRef>
          </c:tx>
          <c:spPr>
            <a:solidFill>
              <a:srgbClr val="FFC000"/>
            </a:solidFill>
          </c:spPr>
          <c:invertIfNegative val="0"/>
          <c:cat>
            <c:numRef>
              <c:f>UXERZ!$J$13:$AP$13</c:f>
              <c:numCache>
                <c:formatCode>General</c:formatCode>
                <c:ptCount val="33"/>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numCache>
            </c:numRef>
          </c:cat>
          <c:val>
            <c:numRef>
              <c:f>UXERZ!$J$17:$AP$17</c:f>
              <c:numCache>
                <c:formatCode>_(* #\ ##0.0_);_(* \(#\ ##0.0\);_(* "-"??_);_(@_)</c:formatCode>
                <c:ptCount val="33"/>
                <c:pt idx="0">
                  <c:v>121.530467</c:v>
                </c:pt>
                <c:pt idx="1">
                  <c:v>89.888666999999998</c:v>
                </c:pt>
                <c:pt idx="2">
                  <c:v>86.774999999999991</c:v>
                </c:pt>
                <c:pt idx="3">
                  <c:v>117.11620000000002</c:v>
                </c:pt>
                <c:pt idx="4">
                  <c:v>56</c:v>
                </c:pt>
                <c:pt idx="5">
                  <c:v>43.42</c:v>
                </c:pt>
                <c:pt idx="6">
                  <c:v>14.69009</c:v>
                </c:pt>
                <c:pt idx="7">
                  <c:v>186.761459</c:v>
                </c:pt>
                <c:pt idx="9">
                  <c:v>80</c:v>
                </c:pt>
                <c:pt idx="10">
                  <c:v>33.5</c:v>
                </c:pt>
                <c:pt idx="14">
                  <c:v>73.5</c:v>
                </c:pt>
                <c:pt idx="15">
                  <c:v>30.045000000000002</c:v>
                </c:pt>
                <c:pt idx="25">
                  <c:v>125.700405</c:v>
                </c:pt>
                <c:pt idx="28">
                  <c:v>119.20926200000002</c:v>
                </c:pt>
              </c:numCache>
            </c:numRef>
          </c:val>
          <c:extLst>
            <c:ext xmlns:c16="http://schemas.microsoft.com/office/drawing/2014/chart" uri="{C3380CC4-5D6E-409C-BE32-E72D297353CC}">
              <c16:uniqueId val="{00000003-A65A-4C86-A720-E95D040F5434}"/>
            </c:ext>
          </c:extLst>
        </c:ser>
        <c:dLbls>
          <c:showLegendKey val="0"/>
          <c:showVal val="0"/>
          <c:showCatName val="0"/>
          <c:showSerName val="0"/>
          <c:showPercent val="0"/>
          <c:showBubbleSize val="0"/>
        </c:dLbls>
        <c:gapWidth val="75"/>
        <c:shape val="box"/>
        <c:axId val="260033920"/>
        <c:axId val="260043904"/>
        <c:axId val="0"/>
      </c:bar3DChart>
      <c:catAx>
        <c:axId val="260033920"/>
        <c:scaling>
          <c:orientation val="minMax"/>
        </c:scaling>
        <c:delete val="0"/>
        <c:axPos val="b"/>
        <c:numFmt formatCode="General" sourceLinked="1"/>
        <c:majorTickMark val="none"/>
        <c:minorTickMark val="none"/>
        <c:tickLblPos val="nextTo"/>
        <c:txPr>
          <a:bodyPr rot="-3120000" vert="horz"/>
          <a:lstStyle/>
          <a:p>
            <a:pPr>
              <a:defRPr sz="600" b="0" i="0" u="none" strike="noStrike" baseline="0">
                <a:solidFill>
                  <a:srgbClr val="000000"/>
                </a:solidFill>
                <a:latin typeface="Calibri"/>
                <a:ea typeface="Calibri"/>
                <a:cs typeface="Calibri"/>
              </a:defRPr>
            </a:pPr>
            <a:endParaRPr lang="en-US"/>
          </a:p>
        </c:txPr>
        <c:crossAx val="260043904"/>
        <c:crosses val="autoZero"/>
        <c:auto val="1"/>
        <c:lblAlgn val="ctr"/>
        <c:lblOffset val="100"/>
        <c:noMultiLvlLbl val="0"/>
      </c:catAx>
      <c:valAx>
        <c:axId val="260043904"/>
        <c:scaling>
          <c:orientation val="minMax"/>
        </c:scaling>
        <c:delete val="0"/>
        <c:axPos val="l"/>
        <c:majorGridlines/>
        <c:numFmt formatCode="_(* #\ ##0_);_(* \(#\ ##0\);_(* &quot;-&quot;??_);_(@_)" sourceLinked="1"/>
        <c:majorTickMark val="none"/>
        <c:minorTickMark val="none"/>
        <c:tickLblPos val="nextTo"/>
        <c:spPr>
          <a:ln w="9525">
            <a:noFill/>
          </a:ln>
        </c:spPr>
        <c:txPr>
          <a:bodyPr rot="0" vert="horz"/>
          <a:lstStyle/>
          <a:p>
            <a:pPr>
              <a:defRPr sz="700" b="0" i="0" u="none" strike="noStrike" baseline="0">
                <a:solidFill>
                  <a:srgbClr val="000000"/>
                </a:solidFill>
                <a:latin typeface="Calibri"/>
                <a:ea typeface="Calibri"/>
                <a:cs typeface="Calibri"/>
              </a:defRPr>
            </a:pPr>
            <a:endParaRPr lang="en-US"/>
          </a:p>
        </c:txPr>
        <c:crossAx val="260033920"/>
        <c:crosses val="autoZero"/>
        <c:crossBetween val="between"/>
      </c:valAx>
      <c:spPr>
        <a:noFill/>
        <a:ln w="25400">
          <a:noFill/>
        </a:ln>
      </c:spPr>
    </c:plotArea>
    <c:legend>
      <c:legendPos val="b"/>
      <c:layout>
        <c:manualLayout>
          <c:xMode val="edge"/>
          <c:yMode val="edge"/>
          <c:x val="3.6577805331680098E-2"/>
          <c:y val="0.89247645644968354"/>
          <c:w val="0.89088768584646039"/>
          <c:h val="8.3473853889578009E-2"/>
        </c:manualLayout>
      </c:layout>
      <c:overlay val="0"/>
      <c:txPr>
        <a:bodyPr/>
        <a:lstStyle/>
        <a:p>
          <a:pPr>
            <a:defRPr sz="64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a:effectLst>
      <a:outerShdw blurRad="63500" sx="102000" sy="102000" algn="ctr" rotWithShape="0">
        <a:prstClr val="black">
          <a:alpha val="40000"/>
        </a:prstClr>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վարկատուների (%)</a:t>
            </a:r>
          </a:p>
        </c:rich>
      </c:tx>
      <c:layout>
        <c:manualLayout>
          <c:xMode val="edge"/>
          <c:yMode val="edge"/>
          <c:x val="0.23733047861770901"/>
          <c:y val="2.3097839916824802E-2"/>
        </c:manualLayout>
      </c:layout>
      <c:overlay val="0"/>
    </c:title>
    <c:autoTitleDeleted val="0"/>
    <c:view3D>
      <c:rotX val="30"/>
      <c:rotY val="30"/>
      <c:rAngAx val="0"/>
      <c:perspective val="0"/>
    </c:view3D>
    <c:floor>
      <c:thickness val="0"/>
    </c:floor>
    <c:sideWall>
      <c:thickness val="0"/>
    </c:sideWall>
    <c:backWall>
      <c:thickness val="0"/>
    </c:backWall>
    <c:plotArea>
      <c:layout>
        <c:manualLayout>
          <c:layoutTarget val="inner"/>
          <c:xMode val="edge"/>
          <c:yMode val="edge"/>
          <c:x val="9.303765367011059E-2"/>
          <c:y val="0.17381720595992151"/>
          <c:w val="0.81388888888888911"/>
          <c:h val="0.6921908719743366"/>
        </c:manualLayout>
      </c:layout>
      <c:pie3DChart>
        <c:varyColors val="1"/>
        <c:ser>
          <c:idx val="0"/>
          <c:order val="0"/>
          <c:explosion val="20"/>
          <c:dLbls>
            <c:dLbl>
              <c:idx val="0"/>
              <c:layout>
                <c:manualLayout>
                  <c:x val="-1.0440597561302313E-3"/>
                  <c:y val="-6.1724246309715292E-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B06-4B38-BE8B-C7714A2F6110}"/>
                </c:ext>
              </c:extLst>
            </c:dLbl>
            <c:dLbl>
              <c:idx val="1"/>
              <c:layout>
                <c:manualLayout>
                  <c:x val="0.17670041639304143"/>
                  <c:y val="-2.2376797471984327E-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B06-4B38-BE8B-C7714A2F6110}"/>
                </c:ext>
              </c:extLst>
            </c:dLbl>
            <c:dLbl>
              <c:idx val="2"/>
              <c:layout>
                <c:manualLayout>
                  <c:x val="1.4779563652529384E-2"/>
                  <c:y val="8.0344328694263195E-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B06-4B38-BE8B-C7714A2F6110}"/>
                </c:ext>
              </c:extLst>
            </c:dLbl>
            <c:dLbl>
              <c:idx val="3"/>
              <c:layout>
                <c:manualLayout>
                  <c:x val="-5.9309219076608084E-2"/>
                  <c:y val="0.1222500269165392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B06-4B38-BE8B-C7714A2F6110}"/>
                </c:ext>
              </c:extLst>
            </c:dLbl>
            <c:dLbl>
              <c:idx val="4"/>
              <c:layout>
                <c:manualLayout>
                  <c:x val="-0.1253505238761696"/>
                  <c:y val="0.12150035145568637"/>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B06-4B38-BE8B-C7714A2F6110}"/>
                </c:ext>
              </c:extLst>
            </c:dLbl>
            <c:dLbl>
              <c:idx val="5"/>
              <c:layout>
                <c:manualLayout>
                  <c:x val="-0.10342029125067793"/>
                  <c:y val="1.6630614817255737E-2"/>
                </c:manualLayout>
              </c:layout>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B06-4B38-BE8B-C7714A2F6110}"/>
                </c:ext>
              </c:extLst>
            </c:dLbl>
            <c:dLbl>
              <c:idx val="6"/>
              <c:layout>
                <c:manualLayout>
                  <c:x val="-7.7110184506066368E-2"/>
                  <c:y val="-0.12428480852280949"/>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B06-4B38-BE8B-C7714A2F6110}"/>
                </c:ext>
              </c:extLst>
            </c:dLbl>
            <c:dLbl>
              <c:idx val="7"/>
              <c:layout>
                <c:manualLayout>
                  <c:x val="-8.5731098862032853E-2"/>
                  <c:y val="-9.5727901158843234E-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B06-4B38-BE8B-C7714A2F6110}"/>
                </c:ext>
              </c:extLst>
            </c:dLbl>
            <c:dLbl>
              <c:idx val="8"/>
              <c:layout>
                <c:manualLayout>
                  <c:x val="-4.6164890485951168E-2"/>
                  <c:y val="-8.1605509027100342E-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B06-4B38-BE8B-C7714A2F6110}"/>
                </c:ext>
              </c:extLst>
            </c:dLbl>
            <c:dLbl>
              <c:idx val="9"/>
              <c:layout>
                <c:manualLayout>
                  <c:x val="6.456155644547612E-2"/>
                  <c:y val="-7.0907045680538919E-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B06-4B38-BE8B-C7714A2F6110}"/>
                </c:ext>
              </c:extLst>
            </c:dLbl>
            <c:dLbl>
              <c:idx val="11"/>
              <c:layout>
                <c:manualLayout>
                  <c:x val="4.5123093341983167E-2"/>
                  <c:y val="6.1001759272249281E-2"/>
                </c:manualLayout>
              </c:layout>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B06-4B38-BE8B-C7714A2F6110}"/>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Budget'!$C$119:$C$130</c:f>
              <c:strCache>
                <c:ptCount val="12"/>
                <c:pt idx="0">
                  <c:v>Բյուջ. աջակց. նոր վարկեր</c:v>
                </c:pt>
                <c:pt idx="1">
                  <c:v>ՎԶՄԲ</c:v>
                </c:pt>
                <c:pt idx="2">
                  <c:v>ԶՄԸ</c:v>
                </c:pt>
                <c:pt idx="3">
                  <c:v>ՎԶԵԲ</c:v>
                </c:pt>
                <c:pt idx="4">
                  <c:v>ԵՆԲ</c:v>
                </c:pt>
                <c:pt idx="5">
                  <c:v>ԳԶՄՀ</c:v>
                </c:pt>
                <c:pt idx="6">
                  <c:v>ՕՄԶՀ</c:v>
                </c:pt>
                <c:pt idx="7">
                  <c:v>ԱԶԲ</c:v>
                </c:pt>
                <c:pt idx="8">
                  <c:v>ԵԶԲ (ԿԶԵՀ).</c:v>
                </c:pt>
                <c:pt idx="9">
                  <c:v>Ֆրանսիա</c:v>
                </c:pt>
                <c:pt idx="10">
                  <c:v>Գերմանիա (ՎՎԲ)</c:v>
                </c:pt>
                <c:pt idx="11">
                  <c:v>Ռուսաստանի Դաշնություն</c:v>
                </c:pt>
              </c:strCache>
            </c:strRef>
          </c:cat>
          <c:val>
            <c:numRef>
              <c:f>'Disbursement for Budget'!$D$119:$D$130</c:f>
              <c:numCache>
                <c:formatCode>_(* #\ ##0.0_);_(* \(#\ ##0.0\);_(* "-"??_);_(@_)</c:formatCode>
                <c:ptCount val="12"/>
                <c:pt idx="0">
                  <c:v>100</c:v>
                </c:pt>
                <c:pt idx="1">
                  <c:v>63.55636154310497</c:v>
                </c:pt>
                <c:pt idx="2">
                  <c:v>6.3079271398939163</c:v>
                </c:pt>
                <c:pt idx="3">
                  <c:v>12.281701433895018</c:v>
                </c:pt>
                <c:pt idx="4">
                  <c:v>11.894436568373306</c:v>
                </c:pt>
                <c:pt idx="5">
                  <c:v>0.12763552437470377</c:v>
                </c:pt>
                <c:pt idx="6">
                  <c:v>0</c:v>
                </c:pt>
                <c:pt idx="7">
                  <c:v>35.831205241412825</c:v>
                </c:pt>
                <c:pt idx="8">
                  <c:v>9.3565033619572304</c:v>
                </c:pt>
                <c:pt idx="9">
                  <c:v>5.6412986066104995</c:v>
                </c:pt>
                <c:pt idx="10">
                  <c:v>63.242024674674354</c:v>
                </c:pt>
                <c:pt idx="11">
                  <c:v>0</c:v>
                </c:pt>
              </c:numCache>
            </c:numRef>
          </c:val>
          <c:extLst>
            <c:ext xmlns:c16="http://schemas.microsoft.com/office/drawing/2014/chart" uri="{C3380CC4-5D6E-409C-BE32-E72D297353CC}">
              <c16:uniqueId val="{0000000C-1B06-4B38-BE8B-C7714A2F6110}"/>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ոլորտների (մլն ԱՄՆ դոլար)</a:t>
            </a:r>
          </a:p>
        </c:rich>
      </c:tx>
      <c:overlay val="0"/>
    </c:title>
    <c:autoTitleDeleted val="0"/>
    <c:plotArea>
      <c:layout/>
      <c:barChart>
        <c:barDir val="bar"/>
        <c:grouping val="clustered"/>
        <c:varyColors val="0"/>
        <c:ser>
          <c:idx val="0"/>
          <c:order val="0"/>
          <c:spPr>
            <a:scene3d>
              <a:camera prst="orthographicFront"/>
              <a:lightRig rig="threePt" dir="t"/>
            </a:scene3d>
            <a:sp3d>
              <a:bevelT w="101600" prst="riblet"/>
              <a:bevelB/>
            </a:sp3d>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'Disbursement for Budget'!$C$135:$C$142</c:f>
              <c:strCache>
                <c:ptCount val="8"/>
                <c:pt idx="0">
                  <c:v>Բյուջետային աջակցություն</c:v>
                </c:pt>
                <c:pt idx="1">
                  <c:v>Կոշտ թափոնների կառավարում</c:v>
                </c:pt>
                <c:pt idx="2">
                  <c:v>Ջրամատակարարում և ջրահեռացում</c:v>
                </c:pt>
                <c:pt idx="3">
                  <c:v>Կրթություն և սոց. ոլորտ</c:v>
                </c:pt>
                <c:pt idx="4">
                  <c:v>Գյուղատնտեսություն և ոռոգում</c:v>
                </c:pt>
                <c:pt idx="5">
                  <c:v>Պետական հատվածի բարեփոխումներ և այլն</c:v>
                </c:pt>
                <c:pt idx="6">
                  <c:v>Ճանապարհաշինություն</c:v>
                </c:pt>
                <c:pt idx="7">
                  <c:v>Էներգետիկա</c:v>
                </c:pt>
              </c:strCache>
            </c:strRef>
          </c:cat>
          <c:val>
            <c:numRef>
              <c:f>'Disbursement for Budget'!$D$135:$D$142</c:f>
              <c:numCache>
                <c:formatCode>_(* #\ ##0.0_);_(* \(#\ ##0.0\);_(* "-"??_);_(@_)</c:formatCode>
                <c:ptCount val="8"/>
                <c:pt idx="0">
                  <c:v>100</c:v>
                </c:pt>
                <c:pt idx="1">
                  <c:v>5.3060920285158852</c:v>
                </c:pt>
                <c:pt idx="2">
                  <c:v>9.8025417206740126</c:v>
                </c:pt>
                <c:pt idx="3">
                  <c:v>20.369256070944772</c:v>
                </c:pt>
                <c:pt idx="4">
                  <c:v>22.724370577841967</c:v>
                </c:pt>
                <c:pt idx="5">
                  <c:v>37.262917206740141</c:v>
                </c:pt>
                <c:pt idx="6">
                  <c:v>43.011908011989625</c:v>
                </c:pt>
                <c:pt idx="7">
                  <c:v>69.762008477590385</c:v>
                </c:pt>
              </c:numCache>
            </c:numRef>
          </c:val>
          <c:extLst>
            <c:ext xmlns:c16="http://schemas.microsoft.com/office/drawing/2014/chart" uri="{C3380CC4-5D6E-409C-BE32-E72D297353CC}">
              <c16:uniqueId val="{00000000-747D-4211-B7F4-9160AB815358}"/>
            </c:ext>
          </c:extLst>
        </c:ser>
        <c:dLbls>
          <c:showLegendKey val="0"/>
          <c:showVal val="0"/>
          <c:showCatName val="0"/>
          <c:showSerName val="0"/>
          <c:showPercent val="0"/>
          <c:showBubbleSize val="0"/>
        </c:dLbls>
        <c:gapWidth val="29"/>
        <c:overlap val="-25"/>
        <c:axId val="261821952"/>
        <c:axId val="261823488"/>
      </c:barChart>
      <c:catAx>
        <c:axId val="261821952"/>
        <c:scaling>
          <c:orientation val="minMax"/>
        </c:scaling>
        <c:delete val="0"/>
        <c:axPos val="l"/>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61823488"/>
        <c:crosses val="autoZero"/>
        <c:auto val="1"/>
        <c:lblAlgn val="ctr"/>
        <c:lblOffset val="100"/>
        <c:noMultiLvlLbl val="0"/>
      </c:catAx>
      <c:valAx>
        <c:axId val="261823488"/>
        <c:scaling>
          <c:orientation val="minMax"/>
        </c:scaling>
        <c:delete val="1"/>
        <c:axPos val="b"/>
        <c:numFmt formatCode="_(* #\ ##0.0_);_(* \(#\ ##0.0\);_(* &quot;-&quot;??_);_(@_)" sourceLinked="1"/>
        <c:majorTickMark val="out"/>
        <c:minorTickMark val="none"/>
        <c:tickLblPos val="none"/>
        <c:crossAx val="261821952"/>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տոկոսադրույքի տեսակի (%)</a:t>
            </a:r>
          </a:p>
        </c:rich>
      </c:tx>
      <c:layout>
        <c:manualLayout>
          <c:xMode val="edge"/>
          <c:yMode val="edge"/>
          <c:x val="0.19575142392915171"/>
          <c:y val="2.675539451373888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277158093604547E-2"/>
          <c:y val="0.22653631900971688"/>
          <c:w val="0.86638771298542872"/>
          <c:h val="0.73628704415910262"/>
        </c:manualLayout>
      </c:layout>
      <c:pie3DChart>
        <c:varyColors val="1"/>
        <c:ser>
          <c:idx val="0"/>
          <c:order val="0"/>
          <c:explosion val="2"/>
          <c:dPt>
            <c:idx val="0"/>
            <c:bubble3D val="0"/>
            <c:spPr>
              <a:solidFill>
                <a:schemeClr val="accent1">
                  <a:lumMod val="60000"/>
                  <a:lumOff val="40000"/>
                </a:schemeClr>
              </a:solidFill>
            </c:spPr>
            <c:extLst>
              <c:ext xmlns:c16="http://schemas.microsoft.com/office/drawing/2014/chart" uri="{C3380CC4-5D6E-409C-BE32-E72D297353CC}">
                <c16:uniqueId val="{00000001-FA7F-4D57-9B18-A61B7416BE3B}"/>
              </c:ext>
            </c:extLst>
          </c:dPt>
          <c:dPt>
            <c:idx val="1"/>
            <c:bubble3D val="0"/>
            <c:spPr>
              <a:solidFill>
                <a:schemeClr val="accent3">
                  <a:lumMod val="60000"/>
                  <a:lumOff val="40000"/>
                </a:schemeClr>
              </a:solidFill>
            </c:spPr>
            <c:extLst>
              <c:ext xmlns:c16="http://schemas.microsoft.com/office/drawing/2014/chart" uri="{C3380CC4-5D6E-409C-BE32-E72D297353CC}">
                <c16:uniqueId val="{00000003-FA7F-4D57-9B18-A61B7416BE3B}"/>
              </c:ext>
            </c:extLst>
          </c:dPt>
          <c:dLbls>
            <c:dLbl>
              <c:idx val="0"/>
              <c:layout>
                <c:manualLayout>
                  <c:x val="-0.23326956667377385"/>
                  <c:y val="-0.25319475188945684"/>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A7F-4D57-9B18-A61B7416BE3B}"/>
                </c:ext>
              </c:extLst>
            </c:dLbl>
            <c:dLbl>
              <c:idx val="1"/>
              <c:layout>
                <c:manualLayout>
                  <c:x val="-5.0367544215477102E-2"/>
                  <c:y val="7.6909102938974405E-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A7F-4D57-9B18-A61B7416BE3B}"/>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Budget'!$C$150:$C$151</c:f>
              <c:strCache>
                <c:ptCount val="2"/>
                <c:pt idx="0">
                  <c:v>լողացող տոկոսադրույքով</c:v>
                </c:pt>
                <c:pt idx="1">
                  <c:v>ֆիքսված տոկոսադրույքով</c:v>
                </c:pt>
              </c:strCache>
            </c:strRef>
          </c:cat>
          <c:val>
            <c:numRef>
              <c:f>'Disbursement for Budget'!$D$150:$D$151</c:f>
              <c:numCache>
                <c:formatCode>_(* #\ ##0.0_);_(* \(#\ ##0.0\);_(* "-"??_);_(@_)</c:formatCode>
                <c:ptCount val="2"/>
                <c:pt idx="0">
                  <c:v>212.75891156740829</c:v>
                </c:pt>
                <c:pt idx="1">
                  <c:v>95.480182526888541</c:v>
                </c:pt>
              </c:numCache>
            </c:numRef>
          </c:val>
          <c:extLst>
            <c:ext xmlns:c16="http://schemas.microsoft.com/office/drawing/2014/chart" uri="{C3380CC4-5D6E-409C-BE32-E72D297353CC}">
              <c16:uniqueId val="{00000004-FA7F-4D57-9B18-A61B7416BE3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43969387004258"/>
          <c:y val="0.14718253968253969"/>
          <c:w val="0.76378148993058292"/>
          <c:h val="0.66998656417947888"/>
        </c:manualLayout>
      </c:layout>
      <c:barChart>
        <c:barDir val="col"/>
        <c:grouping val="clustered"/>
        <c:varyColors val="0"/>
        <c:ser>
          <c:idx val="0"/>
          <c:order val="0"/>
          <c:tx>
            <c:strRef>
              <c:f>Sheet1!$B$1</c:f>
              <c:strCache>
                <c:ptCount val="1"/>
                <c:pt idx="0">
                  <c:v>Տնտեսական աճի փոփոխություն</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2009 GFC</c:v>
                </c:pt>
                <c:pt idx="1">
                  <c:v>2020 COVID-19</c:v>
                </c:pt>
              </c:strCache>
            </c:strRef>
          </c:cat>
          <c:val>
            <c:numRef>
              <c:f>Sheet1!$B$2:$B$3</c:f>
              <c:numCache>
                <c:formatCode>General</c:formatCode>
                <c:ptCount val="2"/>
                <c:pt idx="0">
                  <c:v>-3.1</c:v>
                </c:pt>
                <c:pt idx="1">
                  <c:v>-7.2</c:v>
                </c:pt>
              </c:numCache>
            </c:numRef>
          </c:val>
          <c:extLst>
            <c:ext xmlns:c16="http://schemas.microsoft.com/office/drawing/2014/chart" uri="{C3380CC4-5D6E-409C-BE32-E72D297353CC}">
              <c16:uniqueId val="{00000000-BC49-4B4F-9D8A-6C6F6EB10749}"/>
            </c:ext>
          </c:extLst>
        </c:ser>
        <c:dLbls>
          <c:showLegendKey val="0"/>
          <c:showVal val="1"/>
          <c:showCatName val="0"/>
          <c:showSerName val="0"/>
          <c:showPercent val="0"/>
          <c:showBubbleSize val="0"/>
        </c:dLbls>
        <c:gapWidth val="219"/>
        <c:overlap val="-27"/>
        <c:axId val="138975488"/>
        <c:axId val="138986624"/>
      </c:barChart>
      <c:catAx>
        <c:axId val="1389754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86624"/>
        <c:crosses val="autoZero"/>
        <c:auto val="1"/>
        <c:lblAlgn val="ctr"/>
        <c:lblOffset val="100"/>
        <c:noMultiLvlLbl val="0"/>
      </c:catAx>
      <c:valAx>
        <c:axId val="138986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տոկոսային</a:t>
                </a:r>
                <a:r>
                  <a:rPr lang="hy-AM" sz="900" baseline="0">
                    <a:latin typeface="GHEA Grapalat" panose="02000506050000020003" pitchFamily="50" charset="0"/>
                  </a:rPr>
                  <a:t> կետ</a:t>
                </a:r>
                <a:endParaRPr lang="hy-AM" sz="900">
                  <a:latin typeface="GHEA Grapalat" panose="02000506050000020003" pitchFamily="50"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975488"/>
        <c:crosses val="autoZero"/>
        <c:crossBetween val="between"/>
      </c:valAx>
      <c:spPr>
        <a:noFill/>
        <a:ln>
          <a:noFill/>
        </a:ln>
        <a:effectLst/>
      </c:spPr>
    </c:plotArea>
    <c:legend>
      <c:legendPos val="r"/>
      <c:layout>
        <c:manualLayout>
          <c:xMode val="edge"/>
          <c:yMode val="edge"/>
          <c:x val="0"/>
          <c:y val="0.89074015748031565"/>
          <c:w val="0.98333333333333328"/>
          <c:h val="0.107408573928259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hy-AM"/>
              <a:t>Մասհանումների կառուցվածքն ըստ վարկի արժույթի (%)</a:t>
            </a:r>
          </a:p>
        </c:rich>
      </c:tx>
      <c:layout>
        <c:manualLayout>
          <c:xMode val="edge"/>
          <c:yMode val="edge"/>
          <c:x val="0.16117445160983837"/>
          <c:y val="2.8654899290582025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6.0863424720201613E-2"/>
          <c:y val="0.21057924016275278"/>
          <c:w val="0.88453756269741102"/>
          <c:h val="0.75297997215127566"/>
        </c:manualLayout>
      </c:layout>
      <c:pie3DChart>
        <c:varyColors val="1"/>
        <c:ser>
          <c:idx val="0"/>
          <c:order val="0"/>
          <c:dPt>
            <c:idx val="0"/>
            <c:bubble3D val="0"/>
            <c:spPr>
              <a:solidFill>
                <a:schemeClr val="bg2">
                  <a:lumMod val="75000"/>
                </a:schemeClr>
              </a:solidFill>
            </c:spPr>
            <c:extLst>
              <c:ext xmlns:c16="http://schemas.microsoft.com/office/drawing/2014/chart" uri="{C3380CC4-5D6E-409C-BE32-E72D297353CC}">
                <c16:uniqueId val="{00000001-B13D-4E4C-914C-52706800C125}"/>
              </c:ext>
            </c:extLst>
          </c:dPt>
          <c:dPt>
            <c:idx val="1"/>
            <c:bubble3D val="0"/>
            <c:spPr>
              <a:solidFill>
                <a:schemeClr val="accent4">
                  <a:lumMod val="40000"/>
                  <a:lumOff val="60000"/>
                </a:schemeClr>
              </a:solidFill>
            </c:spPr>
            <c:extLst>
              <c:ext xmlns:c16="http://schemas.microsoft.com/office/drawing/2014/chart" uri="{C3380CC4-5D6E-409C-BE32-E72D297353CC}">
                <c16:uniqueId val="{00000003-B13D-4E4C-914C-52706800C125}"/>
              </c:ext>
            </c:extLst>
          </c:dPt>
          <c:dPt>
            <c:idx val="2"/>
            <c:bubble3D val="0"/>
            <c:spPr>
              <a:solidFill>
                <a:schemeClr val="accent6">
                  <a:lumMod val="40000"/>
                  <a:lumOff val="60000"/>
                </a:schemeClr>
              </a:solidFill>
            </c:spPr>
            <c:extLst>
              <c:ext xmlns:c16="http://schemas.microsoft.com/office/drawing/2014/chart" uri="{C3380CC4-5D6E-409C-BE32-E72D297353CC}">
                <c16:uniqueId val="{00000005-B13D-4E4C-914C-52706800C125}"/>
              </c:ext>
            </c:extLst>
          </c:dPt>
          <c:dLbls>
            <c:dLbl>
              <c:idx val="0"/>
              <c:layout>
                <c:manualLayout>
                  <c:x val="-0.22588647567583922"/>
                  <c:y val="-0.26454584866336078"/>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13D-4E4C-914C-52706800C125}"/>
                </c:ext>
              </c:extLst>
            </c:dLbl>
            <c:dLbl>
              <c:idx val="1"/>
              <c:layout>
                <c:manualLayout>
                  <c:x val="-6.6672244816696952E-2"/>
                  <c:y val="-0.20328236712241815"/>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13D-4E4C-914C-52706800C125}"/>
                </c:ext>
              </c:extLst>
            </c:dLbl>
            <c:dLbl>
              <c:idx val="2"/>
              <c:layout>
                <c:manualLayout>
                  <c:x val="0.21615817656417718"/>
                  <c:y val="6.6348010747827105E-2"/>
                </c:manualLayout>
              </c:layout>
              <c:numFmt formatCode="0.0%" sourceLinked="0"/>
              <c:spPr/>
              <c:txPr>
                <a:bodyPr/>
                <a:lstStyle/>
                <a:p>
                  <a:pPr>
                    <a:defRPr sz="10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13D-4E4C-914C-52706800C125}"/>
                </c:ext>
              </c:extLst>
            </c:dLbl>
            <c:numFmt formatCode="0.0%" sourceLinked="0"/>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Budget'!$C$157:$C$159</c:f>
              <c:strCache>
                <c:ptCount val="3"/>
                <c:pt idx="0">
                  <c:v>USD</c:v>
                </c:pt>
                <c:pt idx="1">
                  <c:v>SDR</c:v>
                </c:pt>
                <c:pt idx="2">
                  <c:v>EUR</c:v>
                </c:pt>
              </c:strCache>
            </c:strRef>
          </c:cat>
          <c:val>
            <c:numRef>
              <c:f>'Disbursement for Budget'!$D$157:$D$159</c:f>
              <c:numCache>
                <c:formatCode>_(* #\ ##0.0_);_(* \(#\ ##0.0\);_(* "-"??_);_(@_)</c:formatCode>
                <c:ptCount val="3"/>
                <c:pt idx="0">
                  <c:v>192.41705601005248</c:v>
                </c:pt>
                <c:pt idx="1">
                  <c:v>17.634452205746264</c:v>
                </c:pt>
                <c:pt idx="2">
                  <c:v>98.187585878498084</c:v>
                </c:pt>
              </c:numCache>
            </c:numRef>
          </c:val>
          <c:extLst>
            <c:ext xmlns:c16="http://schemas.microsoft.com/office/drawing/2014/chart" uri="{C3380CC4-5D6E-409C-BE32-E72D297353CC}">
              <c16:uniqueId val="{00000006-B13D-4E4C-914C-52706800C125}"/>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hy-AM"/>
              <a:t>Սպասարկման ծախսերի կառուցվածքը (%)</a:t>
            </a:r>
          </a:p>
        </c:rich>
      </c:tx>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6105170982270454E-2"/>
          <c:y val="0.20961392743416318"/>
          <c:w val="0.85489933817620711"/>
          <c:h val="0.68211979638797871"/>
        </c:manualLayout>
      </c:layout>
      <c:pie3DChart>
        <c:varyColors val="1"/>
        <c:ser>
          <c:idx val="0"/>
          <c:order val="0"/>
          <c:spPr>
            <a:scene3d>
              <a:camera prst="orthographicFront"/>
              <a:lightRig rig="threePt" dir="t"/>
            </a:scene3d>
            <a:sp3d>
              <a:bevelT/>
              <a:bevelB/>
            </a:sp3d>
          </c:spPr>
          <c:explosion val="19"/>
          <c:dPt>
            <c:idx val="0"/>
            <c:bubble3D val="0"/>
            <c:explosion val="0"/>
            <c:extLst>
              <c:ext xmlns:c16="http://schemas.microsoft.com/office/drawing/2014/chart" uri="{C3380CC4-5D6E-409C-BE32-E72D297353CC}">
                <c16:uniqueId val="{00000001-2437-4AC8-8248-9CB6C050B65D}"/>
              </c:ext>
            </c:extLst>
          </c:dPt>
          <c:dLbls>
            <c:dLbl>
              <c:idx val="0"/>
              <c:layout>
                <c:manualLayout>
                  <c:x val="-4.3458516542925242E-2"/>
                  <c:y val="0.14475234177068075"/>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37-4AC8-8248-9CB6C050B65D}"/>
                </c:ext>
              </c:extLst>
            </c:dLbl>
            <c:dLbl>
              <c:idx val="1"/>
              <c:layout>
                <c:manualLayout>
                  <c:x val="1.3430297593780611E-2"/>
                  <c:y val="0.10833740092508659"/>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437-4AC8-8248-9CB6C050B65D}"/>
                </c:ext>
              </c:extLst>
            </c:dLbl>
            <c:dLbl>
              <c:idx val="2"/>
              <c:layout>
                <c:manualLayout>
                  <c:x val="-5.3039877619997282E-2"/>
                  <c:y val="3.4079910745415255E-2"/>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37-4AC8-8248-9CB6C050B65D}"/>
                </c:ext>
              </c:extLst>
            </c:dLbl>
            <c:numFmt formatCode="0.0%" sourceLinked="0"/>
            <c:spPr>
              <a:noFill/>
              <a:ln w="25400">
                <a:noFill/>
              </a:ln>
            </c:spPr>
            <c:txPr>
              <a:bodyPr wrap="square" lIns="38100" tIns="19050" rIns="38100" bIns="19050" anchor="ctr">
                <a:spAutoFit/>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UXERZ!$G$89:$G$91</c:f>
              <c:strCache>
                <c:ptCount val="3"/>
                <c:pt idx="0">
                  <c:v>Պետ. գանձ. պարտ.</c:v>
                </c:pt>
                <c:pt idx="1">
                  <c:v>Արտարժ. պետ. պարտ.</c:v>
                </c:pt>
                <c:pt idx="2">
                  <c:v>Արտաքին վարկեր</c:v>
                </c:pt>
              </c:strCache>
            </c:strRef>
          </c:cat>
          <c:val>
            <c:numRef>
              <c:f>UXERZ!$H$89:$H$91</c:f>
              <c:numCache>
                <c:formatCode>_(* #\ ##0.0_);_(* \(#\ ##0.0\);_(* "-"??_);_(@_)</c:formatCode>
                <c:ptCount val="3"/>
                <c:pt idx="0">
                  <c:v>112.26837950901519</c:v>
                </c:pt>
                <c:pt idx="1">
                  <c:v>36.261734400000002</c:v>
                </c:pt>
                <c:pt idx="2">
                  <c:v>46.165572480000009</c:v>
                </c:pt>
              </c:numCache>
            </c:numRef>
          </c:val>
          <c:extLst>
            <c:ext xmlns:c16="http://schemas.microsoft.com/office/drawing/2014/chart" uri="{C3380CC4-5D6E-409C-BE32-E72D297353CC}">
              <c16:uniqueId val="{00000004-2437-4AC8-8248-9CB6C050B65D}"/>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chemeClr val="bg1"/>
    </a:solidFill>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Sheet1!$B$3</c:f>
              <c:strCache>
                <c:ptCount val="1"/>
              </c:strCache>
            </c:strRef>
          </c:tx>
          <c:spPr>
            <a:no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Sheet1!$B$4:$B$83</c:f>
              <c:numCache>
                <c:formatCode>General</c:formatCode>
                <c:ptCount val="9"/>
                <c:pt idx="0">
                  <c:v>16.389092714898773</c:v>
                </c:pt>
                <c:pt idx="1">
                  <c:v>16.479613322514481</c:v>
                </c:pt>
                <c:pt idx="2">
                  <c:v>-4.6391685358782837</c:v>
                </c:pt>
                <c:pt idx="3">
                  <c:v>-5.7809854078795393</c:v>
                </c:pt>
                <c:pt idx="4">
                  <c:v>-12.397791566076107</c:v>
                </c:pt>
                <c:pt idx="5">
                  <c:v>-4.0550090784738497</c:v>
                </c:pt>
                <c:pt idx="6">
                  <c:v>-1.1637069122930219</c:v>
                </c:pt>
                <c:pt idx="7">
                  <c:v>-0.21553354376456824</c:v>
                </c:pt>
                <c:pt idx="8">
                  <c:v>0.88532445925345815</c:v>
                </c:pt>
              </c:numCache>
            </c:numRef>
          </c:val>
          <c:extLst>
            <c:ext xmlns:c16="http://schemas.microsoft.com/office/drawing/2014/chart" uri="{C3380CC4-5D6E-409C-BE32-E72D297353CC}">
              <c16:uniqueId val="{00000000-A523-46F5-A89E-40D45B305DDC}"/>
            </c:ext>
          </c:extLst>
        </c:ser>
        <c:ser>
          <c:idx val="1"/>
          <c:order val="1"/>
          <c:tx>
            <c:strRef>
              <c:f>Sheet1!$C$3</c:f>
              <c:strCache>
                <c:ptCount val="1"/>
              </c:strCache>
            </c:strRef>
          </c:tx>
          <c:spPr>
            <a:solidFill>
              <a:srgbClr val="FF0000">
                <a:alpha val="2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Sheet1!$C$4:$C$83</c:f>
              <c:numCache>
                <c:formatCode>General</c:formatCode>
                <c:ptCount val="9"/>
                <c:pt idx="4">
                  <c:v>1.0117344188957436</c:v>
                </c:pt>
                <c:pt idx="5">
                  <c:v>1.1385970119734816</c:v>
                </c:pt>
                <c:pt idx="6">
                  <c:v>1.2256130554846376</c:v>
                </c:pt>
                <c:pt idx="7">
                  <c:v>1.2601091665767559</c:v>
                </c:pt>
                <c:pt idx="8">
                  <c:v>1.2793740460340381</c:v>
                </c:pt>
              </c:numCache>
            </c:numRef>
          </c:val>
          <c:extLst>
            <c:ext xmlns:c16="http://schemas.microsoft.com/office/drawing/2014/chart" uri="{C3380CC4-5D6E-409C-BE32-E72D297353CC}">
              <c16:uniqueId val="{00000001-A523-46F5-A89E-40D45B305DDC}"/>
            </c:ext>
          </c:extLst>
        </c:ser>
        <c:ser>
          <c:idx val="2"/>
          <c:order val="2"/>
          <c:tx>
            <c:strRef>
              <c:f>Sheet1!$D$3</c:f>
              <c:strCache>
                <c:ptCount val="1"/>
              </c:strCache>
            </c:strRef>
          </c:tx>
          <c:spPr>
            <a:solidFill>
              <a:srgbClr val="FF0000">
                <a:alpha val="3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Sheet1!$D$4:$D$83</c:f>
              <c:numCache>
                <c:formatCode>General</c:formatCode>
                <c:ptCount val="9"/>
                <c:pt idx="4">
                  <c:v>0.68261240920903177</c:v>
                </c:pt>
                <c:pt idx="5">
                  <c:v>0.76820599847706861</c:v>
                </c:pt>
                <c:pt idx="6">
                  <c:v>0.8269153099244545</c:v>
                </c:pt>
                <c:pt idx="7">
                  <c:v>0.85018967230765008</c:v>
                </c:pt>
                <c:pt idx="8">
                  <c:v>0.8631875950172585</c:v>
                </c:pt>
              </c:numCache>
            </c:numRef>
          </c:val>
          <c:extLst>
            <c:ext xmlns:c16="http://schemas.microsoft.com/office/drawing/2014/chart" uri="{C3380CC4-5D6E-409C-BE32-E72D297353CC}">
              <c16:uniqueId val="{00000002-A523-46F5-A89E-40D45B305DDC}"/>
            </c:ext>
          </c:extLst>
        </c:ser>
        <c:ser>
          <c:idx val="3"/>
          <c:order val="3"/>
          <c:tx>
            <c:strRef>
              <c:f>Sheet1!$E$3</c:f>
              <c:strCache>
                <c:ptCount val="1"/>
              </c:strCache>
            </c:strRef>
          </c:tx>
          <c:spPr>
            <a:solidFill>
              <a:srgbClr val="FF0000">
                <a:alpha val="4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Sheet1!$E$4:$E$83</c:f>
              <c:numCache>
                <c:formatCode>General</c:formatCode>
                <c:ptCount val="9"/>
                <c:pt idx="4">
                  <c:v>0.54251870358560517</c:v>
                </c:pt>
                <c:pt idx="5">
                  <c:v>0.61054577496384321</c:v>
                </c:pt>
                <c:pt idx="6">
                  <c:v>0.6572060745791789</c:v>
                </c:pt>
                <c:pt idx="7">
                  <c:v>0.67570379998904051</c:v>
                </c:pt>
                <c:pt idx="8">
                  <c:v>0.68603413691610249</c:v>
                </c:pt>
              </c:numCache>
            </c:numRef>
          </c:val>
          <c:extLst>
            <c:ext xmlns:c16="http://schemas.microsoft.com/office/drawing/2014/chart" uri="{C3380CC4-5D6E-409C-BE32-E72D297353CC}">
              <c16:uniqueId val="{00000003-A523-46F5-A89E-40D45B305DDC}"/>
            </c:ext>
          </c:extLst>
        </c:ser>
        <c:ser>
          <c:idx val="4"/>
          <c:order val="4"/>
          <c:tx>
            <c:strRef>
              <c:f>Sheet1!$F$3</c:f>
              <c:strCache>
                <c:ptCount val="1"/>
              </c:strCache>
            </c:strRef>
          </c:tx>
          <c:spPr>
            <a:solidFill>
              <a:srgbClr val="FF0000">
                <a:alpha val="5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Sheet1!$F$4:$F$83</c:f>
              <c:numCache>
                <c:formatCode>General</c:formatCode>
                <c:ptCount val="9"/>
                <c:pt idx="4">
                  <c:v>0.46543274089510867</c:v>
                </c:pt>
                <c:pt idx="5">
                  <c:v>0.52379391089234661</c:v>
                </c:pt>
                <c:pt idx="6">
                  <c:v>0.56382429325044625</c:v>
                </c:pt>
                <c:pt idx="7">
                  <c:v>0.57969369458340669</c:v>
                </c:pt>
                <c:pt idx="8">
                  <c:v>0.58855620383618379</c:v>
                </c:pt>
              </c:numCache>
            </c:numRef>
          </c:val>
          <c:extLst>
            <c:ext xmlns:c16="http://schemas.microsoft.com/office/drawing/2014/chart" uri="{C3380CC4-5D6E-409C-BE32-E72D297353CC}">
              <c16:uniqueId val="{00000004-A523-46F5-A89E-40D45B305DDC}"/>
            </c:ext>
          </c:extLst>
        </c:ser>
        <c:ser>
          <c:idx val="5"/>
          <c:order val="5"/>
          <c:tx>
            <c:strRef>
              <c:f>Sheet1!$G$3</c:f>
              <c:strCache>
                <c:ptCount val="1"/>
              </c:strCache>
            </c:strRef>
          </c:tx>
          <c:spPr>
            <a:solidFill>
              <a:srgbClr val="FF0000">
                <a:alpha val="6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Sheet1!$G$4:$G$83</c:f>
              <c:numCache>
                <c:formatCode>General</c:formatCode>
                <c:ptCount val="9"/>
                <c:pt idx="4">
                  <c:v>0.41797298612739575</c:v>
                </c:pt>
                <c:pt idx="5">
                  <c:v>0.47038312051270126</c:v>
                </c:pt>
                <c:pt idx="6">
                  <c:v>0.50633164106125217</c:v>
                </c:pt>
                <c:pt idx="7">
                  <c:v>0.5205828539227173</c:v>
                </c:pt>
                <c:pt idx="8">
                  <c:v>0.52854166113907564</c:v>
                </c:pt>
              </c:numCache>
            </c:numRef>
          </c:val>
          <c:extLst>
            <c:ext xmlns:c16="http://schemas.microsoft.com/office/drawing/2014/chart" uri="{C3380CC4-5D6E-409C-BE32-E72D297353CC}">
              <c16:uniqueId val="{00000005-A523-46F5-A89E-40D45B305DDC}"/>
            </c:ext>
          </c:extLst>
        </c:ser>
        <c:ser>
          <c:idx val="6"/>
          <c:order val="6"/>
          <c:tx>
            <c:strRef>
              <c:f>Sheet1!$H$3</c:f>
              <c:strCache>
                <c:ptCount val="1"/>
              </c:strCache>
            </c:strRef>
          </c:tx>
          <c:spPr>
            <a:solidFill>
              <a:srgbClr val="FF0000">
                <a:alpha val="7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Sheet1!$H$4:$H$83</c:f>
              <c:numCache>
                <c:formatCode>General</c:formatCode>
                <c:ptCount val="9"/>
                <c:pt idx="4">
                  <c:v>0.38731426207409952</c:v>
                </c:pt>
                <c:pt idx="5">
                  <c:v>0.43588006225349929</c:v>
                </c:pt>
                <c:pt idx="6">
                  <c:v>0.46919172394226216</c:v>
                </c:pt>
                <c:pt idx="7">
                  <c:v>0.48239759651369418</c:v>
                </c:pt>
                <c:pt idx="8">
                  <c:v>0.489772617499031</c:v>
                </c:pt>
              </c:numCache>
            </c:numRef>
          </c:val>
          <c:extLst>
            <c:ext xmlns:c16="http://schemas.microsoft.com/office/drawing/2014/chart" uri="{C3380CC4-5D6E-409C-BE32-E72D297353CC}">
              <c16:uniqueId val="{00000006-A523-46F5-A89E-40D45B305DDC}"/>
            </c:ext>
          </c:extLst>
        </c:ser>
        <c:ser>
          <c:idx val="7"/>
          <c:order val="7"/>
          <c:tx>
            <c:strRef>
              <c:f>Sheet1!$I$3</c:f>
              <c:strCache>
                <c:ptCount val="1"/>
              </c:strCache>
            </c:strRef>
          </c:tx>
          <c:spPr>
            <a:solidFill>
              <a:srgbClr val="FF0000">
                <a:alpha val="8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Sheet1!$I$4:$I$83</c:f>
              <c:numCache>
                <c:formatCode>General</c:formatCode>
                <c:ptCount val="9"/>
                <c:pt idx="4">
                  <c:v>0.36752335916405537</c:v>
                </c:pt>
                <c:pt idx="5">
                  <c:v>0.4136075542743497</c:v>
                </c:pt>
                <c:pt idx="6">
                  <c:v>0.44521706366248637</c:v>
                </c:pt>
                <c:pt idx="7">
                  <c:v>0.45774814532768116</c:v>
                </c:pt>
                <c:pt idx="8">
                  <c:v>0.46474631903789287</c:v>
                </c:pt>
              </c:numCache>
            </c:numRef>
          </c:val>
          <c:extLst>
            <c:ext xmlns:c16="http://schemas.microsoft.com/office/drawing/2014/chart" uri="{C3380CC4-5D6E-409C-BE32-E72D297353CC}">
              <c16:uniqueId val="{00000007-A523-46F5-A89E-40D45B305DDC}"/>
            </c:ext>
          </c:extLst>
        </c:ser>
        <c:ser>
          <c:idx val="8"/>
          <c:order val="8"/>
          <c:tx>
            <c:strRef>
              <c:f>Sheet1!$J$3</c:f>
              <c:strCache>
                <c:ptCount val="1"/>
              </c:strCache>
            </c:strRef>
          </c:tx>
          <c:spPr>
            <a:solidFill>
              <a:srgbClr val="FF0000">
                <a:alpha val="9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Sheet1!$J$4:$J$83</c:f>
              <c:numCache>
                <c:formatCode>General</c:formatCode>
                <c:ptCount val="9"/>
                <c:pt idx="4">
                  <c:v>0.3555831033044064</c:v>
                </c:pt>
                <c:pt idx="5">
                  <c:v>0.40017009540166082</c:v>
                </c:pt>
                <c:pt idx="6">
                  <c:v>0.43075266154855563</c:v>
                </c:pt>
                <c:pt idx="7">
                  <c:v>0.44287662808065792</c:v>
                </c:pt>
                <c:pt idx="8">
                  <c:v>0.44964744213449043</c:v>
                </c:pt>
              </c:numCache>
            </c:numRef>
          </c:val>
          <c:extLst>
            <c:ext xmlns:c16="http://schemas.microsoft.com/office/drawing/2014/chart" uri="{C3380CC4-5D6E-409C-BE32-E72D297353CC}">
              <c16:uniqueId val="{00000008-A523-46F5-A89E-40D45B305DDC}"/>
            </c:ext>
          </c:extLst>
        </c:ser>
        <c:ser>
          <c:idx val="9"/>
          <c:order val="9"/>
          <c:tx>
            <c:strRef>
              <c:f>Sheet1!$K$3</c:f>
              <c:strCache>
                <c:ptCount val="1"/>
              </c:strCache>
            </c:strRef>
          </c:tx>
          <c:spPr>
            <a:solidFill>
              <a:srgbClr val="FF0000"/>
            </a:solidFill>
            <a:ln>
              <a:solidFill>
                <a:srgbClr val="FF0000"/>
              </a:solidFill>
              <a:prstDash val="solid"/>
            </a:ln>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Sheet1!$K$4:$K$83</c:f>
              <c:numCache>
                <c:formatCode>General</c:formatCode>
                <c:ptCount val="9"/>
                <c:pt idx="4">
                  <c:v>0.50334444897629793</c:v>
                </c:pt>
                <c:pt idx="5">
                  <c:v>0.59110461334168574</c:v>
                </c:pt>
                <c:pt idx="6">
                  <c:v>0.64221972834150964</c:v>
                </c:pt>
                <c:pt idx="7">
                  <c:v>0.6660832195879457</c:v>
                </c:pt>
                <c:pt idx="8">
                  <c:v>0.67941015029804519</c:v>
                </c:pt>
              </c:numCache>
            </c:numRef>
          </c:val>
          <c:extLst>
            <c:ext xmlns:c16="http://schemas.microsoft.com/office/drawing/2014/chart" uri="{C3380CC4-5D6E-409C-BE32-E72D297353CC}">
              <c16:uniqueId val="{00000009-A523-46F5-A89E-40D45B305DDC}"/>
            </c:ext>
          </c:extLst>
        </c:ser>
        <c:ser>
          <c:idx val="10"/>
          <c:order val="10"/>
          <c:tx>
            <c:strRef>
              <c:f>Sheet1!$L$3</c:f>
              <c:strCache>
                <c:ptCount val="1"/>
              </c:strCache>
            </c:strRef>
          </c:tx>
          <c:spPr>
            <a:solidFill>
              <a:srgbClr val="FF0000">
                <a:alpha val="9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Sheet1!$L$4:$L$83</c:f>
              <c:numCache>
                <c:formatCode>General</c:formatCode>
                <c:ptCount val="9"/>
                <c:pt idx="4">
                  <c:v>0.1558702452846914</c:v>
                </c:pt>
                <c:pt idx="5">
                  <c:v>0.20045723738194696</c:v>
                </c:pt>
                <c:pt idx="6">
                  <c:v>0.22181325282335873</c:v>
                </c:pt>
                <c:pt idx="7">
                  <c:v>0.23393721935546108</c:v>
                </c:pt>
                <c:pt idx="8">
                  <c:v>0.2407080334092947</c:v>
                </c:pt>
              </c:numCache>
            </c:numRef>
          </c:val>
          <c:extLst>
            <c:ext xmlns:c16="http://schemas.microsoft.com/office/drawing/2014/chart" uri="{C3380CC4-5D6E-409C-BE32-E72D297353CC}">
              <c16:uniqueId val="{0000000A-A523-46F5-A89E-40D45B305DDC}"/>
            </c:ext>
          </c:extLst>
        </c:ser>
        <c:ser>
          <c:idx val="11"/>
          <c:order val="11"/>
          <c:tx>
            <c:strRef>
              <c:f>Sheet1!$M$3</c:f>
              <c:strCache>
                <c:ptCount val="1"/>
              </c:strCache>
            </c:strRef>
          </c:tx>
          <c:spPr>
            <a:solidFill>
              <a:srgbClr val="FF0000">
                <a:alpha val="8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Sheet1!$M$4:$M$83</c:f>
              <c:numCache>
                <c:formatCode>General</c:formatCode>
                <c:ptCount val="9"/>
                <c:pt idx="4">
                  <c:v>0.16110426960224089</c:v>
                </c:pt>
                <c:pt idx="5">
                  <c:v>0.20718846471253571</c:v>
                </c:pt>
                <c:pt idx="6">
                  <c:v>0.22926160165421988</c:v>
                </c:pt>
                <c:pt idx="7">
                  <c:v>0.24179268331941467</c:v>
                </c:pt>
                <c:pt idx="8">
                  <c:v>0.24879085702962475</c:v>
                </c:pt>
              </c:numCache>
            </c:numRef>
          </c:val>
          <c:extLst>
            <c:ext xmlns:c16="http://schemas.microsoft.com/office/drawing/2014/chart" uri="{C3380CC4-5D6E-409C-BE32-E72D297353CC}">
              <c16:uniqueId val="{0000000B-A523-46F5-A89E-40D45B305DDC}"/>
            </c:ext>
          </c:extLst>
        </c:ser>
        <c:ser>
          <c:idx val="12"/>
          <c:order val="12"/>
          <c:tx>
            <c:strRef>
              <c:f>Sheet1!$N$3</c:f>
              <c:strCache>
                <c:ptCount val="1"/>
              </c:strCache>
            </c:strRef>
          </c:tx>
          <c:spPr>
            <a:solidFill>
              <a:srgbClr val="FF0000">
                <a:alpha val="7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Sheet1!$N$4:$N$83</c:f>
              <c:numCache>
                <c:formatCode>General</c:formatCode>
                <c:ptCount val="9"/>
                <c:pt idx="4">
                  <c:v>0.16977963370792545</c:v>
                </c:pt>
                <c:pt idx="5">
                  <c:v>0.21834543388732386</c:v>
                </c:pt>
                <c:pt idx="6">
                  <c:v>0.24160719544086018</c:v>
                </c:pt>
                <c:pt idx="7">
                  <c:v>0.25481306801229231</c:v>
                </c:pt>
                <c:pt idx="8">
                  <c:v>0.26218808899762902</c:v>
                </c:pt>
              </c:numCache>
            </c:numRef>
          </c:val>
          <c:extLst>
            <c:ext xmlns:c16="http://schemas.microsoft.com/office/drawing/2014/chart" uri="{C3380CC4-5D6E-409C-BE32-E72D297353CC}">
              <c16:uniqueId val="{0000000C-A523-46F5-A89E-40D45B305DDC}"/>
            </c:ext>
          </c:extLst>
        </c:ser>
        <c:ser>
          <c:idx val="13"/>
          <c:order val="13"/>
          <c:tx>
            <c:strRef>
              <c:f>Sheet1!$O$3</c:f>
              <c:strCache>
                <c:ptCount val="1"/>
              </c:strCache>
            </c:strRef>
          </c:tx>
          <c:spPr>
            <a:solidFill>
              <a:srgbClr val="FF0000">
                <a:alpha val="6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Sheet1!$O$4:$O$83</c:f>
              <c:numCache>
                <c:formatCode>General</c:formatCode>
                <c:ptCount val="9"/>
                <c:pt idx="4">
                  <c:v>0.18321891919110389</c:v>
                </c:pt>
                <c:pt idx="5">
                  <c:v>0.23562905357640992</c:v>
                </c:pt>
                <c:pt idx="6">
                  <c:v>0.26073215173512115</c:v>
                </c:pt>
                <c:pt idx="7">
                  <c:v>0.27498336459658645</c:v>
                </c:pt>
                <c:pt idx="8">
                  <c:v>0.28294217181294395</c:v>
                </c:pt>
              </c:numCache>
            </c:numRef>
          </c:val>
          <c:extLst>
            <c:ext xmlns:c16="http://schemas.microsoft.com/office/drawing/2014/chart" uri="{C3380CC4-5D6E-409C-BE32-E72D297353CC}">
              <c16:uniqueId val="{0000000D-A523-46F5-A89E-40D45B305DDC}"/>
            </c:ext>
          </c:extLst>
        </c:ser>
        <c:ser>
          <c:idx val="14"/>
          <c:order val="14"/>
          <c:tx>
            <c:strRef>
              <c:f>Sheet1!$P$3</c:f>
              <c:strCache>
                <c:ptCount val="1"/>
              </c:strCache>
            </c:strRef>
          </c:tx>
          <c:spPr>
            <a:solidFill>
              <a:srgbClr val="FF0000">
                <a:alpha val="5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Sheet1!$P$4:$P$83</c:f>
              <c:numCache>
                <c:formatCode>General</c:formatCode>
                <c:ptCount val="9"/>
                <c:pt idx="4">
                  <c:v>0.20402295500734446</c:v>
                </c:pt>
                <c:pt idx="5">
                  <c:v>0.26238412500458325</c:v>
                </c:pt>
                <c:pt idx="6">
                  <c:v>0.29033761522705182</c:v>
                </c:pt>
                <c:pt idx="7">
                  <c:v>0.30620701656001076</c:v>
                </c:pt>
                <c:pt idx="8">
                  <c:v>0.31506952581278935</c:v>
                </c:pt>
              </c:numCache>
            </c:numRef>
          </c:val>
          <c:extLst>
            <c:ext xmlns:c16="http://schemas.microsoft.com/office/drawing/2014/chart" uri="{C3380CC4-5D6E-409C-BE32-E72D297353CC}">
              <c16:uniqueId val="{0000000E-A523-46F5-A89E-40D45B305DDC}"/>
            </c:ext>
          </c:extLst>
        </c:ser>
        <c:ser>
          <c:idx val="15"/>
          <c:order val="15"/>
          <c:tx>
            <c:strRef>
              <c:f>Sheet1!$Q$3</c:f>
              <c:strCache>
                <c:ptCount val="1"/>
              </c:strCache>
            </c:strRef>
          </c:tx>
          <c:spPr>
            <a:solidFill>
              <a:srgbClr val="FF0000">
                <a:alpha val="4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Sheet1!$Q$4:$Q$83</c:f>
              <c:numCache>
                <c:formatCode>General</c:formatCode>
                <c:ptCount val="9"/>
                <c:pt idx="4">
                  <c:v>0.23781367172283474</c:v>
                </c:pt>
                <c:pt idx="5">
                  <c:v>0.30584074310107356</c:v>
                </c:pt>
                <c:pt idx="6">
                  <c:v>0.33842394996147029</c:v>
                </c:pt>
                <c:pt idx="7">
                  <c:v>0.35692167537133213</c:v>
                </c:pt>
                <c:pt idx="8">
                  <c:v>0.36725201229839222</c:v>
                </c:pt>
              </c:numCache>
            </c:numRef>
          </c:val>
          <c:extLst>
            <c:ext xmlns:c16="http://schemas.microsoft.com/office/drawing/2014/chart" uri="{C3380CC4-5D6E-409C-BE32-E72D297353CC}">
              <c16:uniqueId val="{0000000F-A523-46F5-A89E-40D45B305DDC}"/>
            </c:ext>
          </c:extLst>
        </c:ser>
        <c:ser>
          <c:idx val="16"/>
          <c:order val="16"/>
          <c:tx>
            <c:strRef>
              <c:f>Sheet1!$R$3</c:f>
              <c:strCache>
                <c:ptCount val="1"/>
              </c:strCache>
            </c:strRef>
          </c:tx>
          <c:spPr>
            <a:solidFill>
              <a:srgbClr val="FF0000">
                <a:alpha val="3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Sheet1!$R$4:$R$83</c:f>
              <c:numCache>
                <c:formatCode>General</c:formatCode>
                <c:ptCount val="9"/>
                <c:pt idx="4">
                  <c:v>0.29922390200498417</c:v>
                </c:pt>
                <c:pt idx="5">
                  <c:v>0.38481749127302156</c:v>
                </c:pt>
                <c:pt idx="6">
                  <c:v>0.42581460563558887</c:v>
                </c:pt>
                <c:pt idx="7">
                  <c:v>0.44908896801878495</c:v>
                </c:pt>
                <c:pt idx="8">
                  <c:v>0.46208689072839348</c:v>
                </c:pt>
              </c:numCache>
            </c:numRef>
          </c:val>
          <c:extLst>
            <c:ext xmlns:c16="http://schemas.microsoft.com/office/drawing/2014/chart" uri="{C3380CC4-5D6E-409C-BE32-E72D297353CC}">
              <c16:uniqueId val="{00000010-A523-46F5-A89E-40D45B305DDC}"/>
            </c:ext>
          </c:extLst>
        </c:ser>
        <c:ser>
          <c:idx val="17"/>
          <c:order val="17"/>
          <c:tx>
            <c:strRef>
              <c:f>Sheet1!$S$3</c:f>
              <c:strCache>
                <c:ptCount val="1"/>
              </c:strCache>
            </c:strRef>
          </c:tx>
          <c:spPr>
            <a:solidFill>
              <a:srgbClr val="FF0000">
                <a:alpha val="20000"/>
              </a:srgbClr>
            </a:solidFill>
          </c:spPr>
          <c:cat>
            <c:strRef>
              <c:f>Sheet1!$A$4:$A$83</c:f>
              <c:strCache>
                <c:ptCount val="9"/>
                <c:pt idx="0">
                  <c:v>2019/4</c:v>
                </c:pt>
                <c:pt idx="1">
                  <c:v>2020/1</c:v>
                </c:pt>
                <c:pt idx="2">
                  <c:v>2020/2</c:v>
                </c:pt>
                <c:pt idx="3">
                  <c:v>2020/3</c:v>
                </c:pt>
                <c:pt idx="4">
                  <c:v>2020/4*</c:v>
                </c:pt>
                <c:pt idx="5">
                  <c:v>2021/1*</c:v>
                </c:pt>
                <c:pt idx="6">
                  <c:v>2021/2*</c:v>
                </c:pt>
                <c:pt idx="7">
                  <c:v>2021/3*</c:v>
                </c:pt>
                <c:pt idx="8">
                  <c:v>2021/4*</c:v>
                </c:pt>
              </c:strCache>
            </c:strRef>
          </c:cat>
          <c:val>
            <c:numRef>
              <c:f>Sheet1!$S$4:$S$83</c:f>
              <c:numCache>
                <c:formatCode>General</c:formatCode>
                <c:ptCount val="9"/>
                <c:pt idx="4">
                  <c:v>0.44349489773489487</c:v>
                </c:pt>
                <c:pt idx="5">
                  <c:v>0.57035749081263165</c:v>
                </c:pt>
                <c:pt idx="6">
                  <c:v>0.63112139008612744</c:v>
                </c:pt>
                <c:pt idx="7">
                  <c:v>0.66561750117824303</c:v>
                </c:pt>
                <c:pt idx="8">
                  <c:v>0.68488238063552487</c:v>
                </c:pt>
              </c:numCache>
            </c:numRef>
          </c:val>
          <c:extLst>
            <c:ext xmlns:c16="http://schemas.microsoft.com/office/drawing/2014/chart" uri="{C3380CC4-5D6E-409C-BE32-E72D297353CC}">
              <c16:uniqueId val="{00000011-A523-46F5-A89E-40D45B305DDC}"/>
            </c:ext>
          </c:extLst>
        </c:ser>
        <c:dLbls>
          <c:showLegendKey val="0"/>
          <c:showVal val="0"/>
          <c:showCatName val="0"/>
          <c:showSerName val="0"/>
          <c:showPercent val="0"/>
          <c:showBubbleSize val="0"/>
        </c:dLbls>
        <c:axId val="261366912"/>
        <c:axId val="261368448"/>
      </c:areaChart>
      <c:catAx>
        <c:axId val="261366912"/>
        <c:scaling>
          <c:orientation val="minMax"/>
        </c:scaling>
        <c:delete val="0"/>
        <c:axPos val="b"/>
        <c:numFmt formatCode="General" sourceLinked="1"/>
        <c:majorTickMark val="out"/>
        <c:minorTickMark val="none"/>
        <c:tickLblPos val="nextTo"/>
        <c:crossAx val="261368448"/>
        <c:crosses val="autoZero"/>
        <c:auto val="1"/>
        <c:lblAlgn val="ctr"/>
        <c:lblOffset val="100"/>
        <c:noMultiLvlLbl val="0"/>
      </c:catAx>
      <c:valAx>
        <c:axId val="261368448"/>
        <c:scaling>
          <c:orientation val="minMax"/>
        </c:scaling>
        <c:delete val="0"/>
        <c:axPos val="l"/>
        <c:majorGridlines/>
        <c:numFmt formatCode="General" sourceLinked="1"/>
        <c:majorTickMark val="out"/>
        <c:minorTickMark val="none"/>
        <c:tickLblPos val="nextTo"/>
        <c:crossAx val="261366912"/>
        <c:crosses val="autoZero"/>
        <c:crossBetween val="between"/>
      </c:valAx>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08945961194124"/>
          <c:y val="5.4931335830212411E-2"/>
          <c:w val="0.73724875512056365"/>
          <c:h val="0.77590445489615956"/>
        </c:manualLayout>
      </c:layout>
      <c:barChart>
        <c:barDir val="col"/>
        <c:grouping val="clustered"/>
        <c:varyColors val="0"/>
        <c:ser>
          <c:idx val="0"/>
          <c:order val="0"/>
          <c:tx>
            <c:strRef>
              <c:f>Sheet1!$B$1</c:f>
              <c:strCache>
                <c:ptCount val="1"/>
                <c:pt idx="0">
                  <c:v>Պետական պարտքի փոփոխություն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2009 GFC</c:v>
                </c:pt>
                <c:pt idx="1">
                  <c:v>2020 COVID-19</c:v>
                </c:pt>
              </c:strCache>
            </c:strRef>
          </c:cat>
          <c:val>
            <c:numRef>
              <c:f>Sheet1!$B$2:$B$3</c:f>
              <c:numCache>
                <c:formatCode>General</c:formatCode>
                <c:ptCount val="2"/>
                <c:pt idx="0">
                  <c:v>10.5</c:v>
                </c:pt>
                <c:pt idx="1">
                  <c:v>15.700000000000003</c:v>
                </c:pt>
              </c:numCache>
            </c:numRef>
          </c:val>
          <c:extLst>
            <c:ext xmlns:c16="http://schemas.microsoft.com/office/drawing/2014/chart" uri="{C3380CC4-5D6E-409C-BE32-E72D297353CC}">
              <c16:uniqueId val="{00000000-29F4-48A0-9C08-9CCCCCCDAA32}"/>
            </c:ext>
          </c:extLst>
        </c:ser>
        <c:dLbls>
          <c:showLegendKey val="0"/>
          <c:showVal val="1"/>
          <c:showCatName val="0"/>
          <c:showSerName val="0"/>
          <c:showPercent val="0"/>
          <c:showBubbleSize val="0"/>
        </c:dLbls>
        <c:gapWidth val="219"/>
        <c:overlap val="-27"/>
        <c:axId val="142181888"/>
        <c:axId val="142184832"/>
      </c:barChart>
      <c:catAx>
        <c:axId val="1421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84832"/>
        <c:crosses val="autoZero"/>
        <c:auto val="1"/>
        <c:lblAlgn val="ctr"/>
        <c:lblOffset val="100"/>
        <c:noMultiLvlLbl val="0"/>
      </c:catAx>
      <c:valAx>
        <c:axId val="142184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տոկոսային</a:t>
                </a:r>
                <a:r>
                  <a:rPr lang="hy-AM" sz="900">
                    <a:latin typeface="GHEA Grapalat" panose="02000506050000020003" pitchFamily="50" charset="0"/>
                  </a:rPr>
                  <a:t> կետ</a:t>
                </a:r>
                <a:endParaRPr lang="en-US" sz="900">
                  <a:latin typeface="GHEA Grapalat" panose="02000506050000020003" pitchFamily="50"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181888"/>
        <c:crosses val="autoZero"/>
        <c:crossBetween val="between"/>
      </c:valAx>
      <c:spPr>
        <a:noFill/>
        <a:ln>
          <a:noFill/>
        </a:ln>
        <a:effectLst/>
      </c:spPr>
    </c:plotArea>
    <c:legend>
      <c:legendPos val="b"/>
      <c:layout>
        <c:manualLayout>
          <c:xMode val="edge"/>
          <c:yMode val="edge"/>
          <c:x val="4.658768121274582E-2"/>
          <c:y val="0.90074847385650003"/>
          <c:w val="0.91095984497264948"/>
          <c:h val="8.928633920759909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28996429094432"/>
          <c:y val="4.9717514124294052E-2"/>
          <c:w val="0.74415328985164242"/>
          <c:h val="0.74204119400329371"/>
        </c:manualLayout>
      </c:layout>
      <c:barChart>
        <c:barDir val="col"/>
        <c:grouping val="clustered"/>
        <c:varyColors val="0"/>
        <c:ser>
          <c:idx val="0"/>
          <c:order val="0"/>
          <c:tx>
            <c:strRef>
              <c:f>Sheet1!$B$1</c:f>
              <c:strCache>
                <c:ptCount val="1"/>
                <c:pt idx="0">
                  <c:v>Բյուջեի հաշվեկշռի փոփոխություն</c:v>
                </c:pt>
              </c:strCache>
            </c:strRef>
          </c:tx>
          <c:spPr>
            <a:solidFill>
              <a:schemeClr val="accent2">
                <a:lumMod val="60000"/>
                <a:lumOff val="40000"/>
              </a:schemeClr>
            </a:solidFill>
            <a:ln>
              <a:solidFill>
                <a:schemeClr val="accent2">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2009 GFC</c:v>
                </c:pt>
                <c:pt idx="1">
                  <c:v>2020 COVID-19</c:v>
                </c:pt>
              </c:strCache>
            </c:strRef>
          </c:cat>
          <c:val>
            <c:numRef>
              <c:f>Sheet1!$B$2:$B$3</c:f>
              <c:numCache>
                <c:formatCode>General</c:formatCode>
                <c:ptCount val="2"/>
                <c:pt idx="0">
                  <c:v>-4.9000000000000004</c:v>
                </c:pt>
                <c:pt idx="1">
                  <c:v>-8.8000000000000025</c:v>
                </c:pt>
              </c:numCache>
            </c:numRef>
          </c:val>
          <c:extLst>
            <c:ext xmlns:c16="http://schemas.microsoft.com/office/drawing/2014/chart" uri="{C3380CC4-5D6E-409C-BE32-E72D297353CC}">
              <c16:uniqueId val="{00000000-2AC1-4139-A8E9-3A7455E81C0D}"/>
            </c:ext>
          </c:extLst>
        </c:ser>
        <c:dLbls>
          <c:showLegendKey val="0"/>
          <c:showVal val="0"/>
          <c:showCatName val="0"/>
          <c:showSerName val="0"/>
          <c:showPercent val="0"/>
          <c:showBubbleSize val="0"/>
        </c:dLbls>
        <c:gapWidth val="219"/>
        <c:overlap val="-27"/>
        <c:axId val="142321920"/>
        <c:axId val="142336000"/>
      </c:barChart>
      <c:catAx>
        <c:axId val="1423219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36000"/>
        <c:crosses val="autoZero"/>
        <c:auto val="1"/>
        <c:lblAlgn val="ctr"/>
        <c:lblOffset val="100"/>
        <c:noMultiLvlLbl val="0"/>
      </c:catAx>
      <c:valAx>
        <c:axId val="14233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r>
                  <a:rPr lang="en-US" sz="900" b="0" i="0" u="none" strike="noStrike" kern="1200" baseline="0">
                    <a:solidFill>
                      <a:sysClr val="windowText" lastClr="000000">
                        <a:lumMod val="65000"/>
                        <a:lumOff val="35000"/>
                      </a:sysClr>
                    </a:solidFill>
                    <a:latin typeface="GHEA Grapalat" panose="02000506050000020003" pitchFamily="50" charset="0"/>
                    <a:ea typeface="+mn-ea"/>
                    <a:cs typeface="+mn-cs"/>
                  </a:rPr>
                  <a:t>տոկոսայ</a:t>
                </a:r>
                <a:r>
                  <a:rPr lang="hy-AM" sz="900" b="0" i="0" u="none" strike="noStrike" kern="1200" baseline="0">
                    <a:solidFill>
                      <a:sysClr val="windowText" lastClr="000000">
                        <a:lumMod val="65000"/>
                        <a:lumOff val="35000"/>
                      </a:sysClr>
                    </a:solidFill>
                    <a:latin typeface="GHEA Grapalat" panose="02000506050000020003" pitchFamily="50" charset="0"/>
                    <a:ea typeface="+mn-ea"/>
                    <a:cs typeface="+mn-cs"/>
                  </a:rPr>
                  <a:t>ին</a:t>
                </a:r>
                <a:r>
                  <a:rPr lang="hy-AM" sz="900">
                    <a:latin typeface="GHEA Grapalat" panose="02000506050000020003" pitchFamily="50" charset="0"/>
                  </a:rPr>
                  <a:t> կետ</a:t>
                </a:r>
                <a:endParaRPr lang="en-US" sz="900">
                  <a:latin typeface="GHEA Grapalat" panose="02000506050000020003" pitchFamily="50"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21920"/>
        <c:crosses val="autoZero"/>
        <c:crossBetween val="between"/>
      </c:valAx>
      <c:spPr>
        <a:noFill/>
        <a:ln>
          <a:noFill/>
        </a:ln>
        <a:effectLst/>
      </c:spPr>
    </c:plotArea>
    <c:legend>
      <c:legendPos val="b"/>
      <c:layout>
        <c:manualLayout>
          <c:xMode val="edge"/>
          <c:yMode val="edge"/>
          <c:x val="3.5228518179935657E-2"/>
          <c:y val="0.88945465150189562"/>
          <c:w val="0.9602641605283212"/>
          <c:h val="0.1105453484981044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0.64655</cdr:x>
      <cdr:y>0.00474</cdr:y>
    </cdr:from>
    <cdr:to>
      <cdr:x>1</cdr:x>
      <cdr:y>0.85714</cdr:y>
    </cdr:to>
    <cdr:sp macro="" textlink="">
      <cdr:nvSpPr>
        <cdr:cNvPr id="2" name="Rectangle 1"/>
        <cdr:cNvSpPr/>
      </cdr:nvSpPr>
      <cdr:spPr>
        <a:xfrm xmlns:a="http://schemas.openxmlformats.org/drawingml/2006/main">
          <a:off x="2026110" y="8533"/>
          <a:ext cx="1107615" cy="1534517"/>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0.32349</cdr:x>
      <cdr:y>0.00972</cdr:y>
    </cdr:from>
    <cdr:to>
      <cdr:x>0.98738</cdr:x>
      <cdr:y>0.65111</cdr:y>
    </cdr:to>
    <cdr:sp macro="" textlink="">
      <cdr:nvSpPr>
        <cdr:cNvPr id="2" name="Rectangle 1"/>
        <cdr:cNvSpPr/>
      </cdr:nvSpPr>
      <cdr:spPr>
        <a:xfrm xmlns:a="http://schemas.openxmlformats.org/drawingml/2006/main">
          <a:off x="976746" y="19041"/>
          <a:ext cx="2004574" cy="1256467"/>
        </a:xfrm>
        <a:prstGeom xmlns:a="http://schemas.openxmlformats.org/drawingml/2006/main" prst="rect">
          <a:avLst/>
        </a:prstGeom>
        <a:noFill xmlns:a="http://schemas.openxmlformats.org/drawingml/2006/main"/>
        <a:ln xmlns:a="http://schemas.openxmlformats.org/drawingml/2006/main" w="952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0.83131</cdr:x>
      <cdr:y>0</cdr:y>
    </cdr:from>
    <cdr:to>
      <cdr:x>0.90586</cdr:x>
      <cdr:y>0.83194</cdr:y>
    </cdr:to>
    <cdr:sp macro="" textlink="">
      <cdr:nvSpPr>
        <cdr:cNvPr id="2" name="Rectangle 1"/>
        <cdr:cNvSpPr/>
      </cdr:nvSpPr>
      <cdr:spPr>
        <a:xfrm xmlns:a="http://schemas.openxmlformats.org/drawingml/2006/main">
          <a:off x="2596661" y="0"/>
          <a:ext cx="232852" cy="141263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2.xml><?xml version="1.0" encoding="utf-8"?>
<c:userShapes xmlns:c="http://schemas.openxmlformats.org/drawingml/2006/chart">
  <cdr:relSizeAnchor xmlns:cdr="http://schemas.openxmlformats.org/drawingml/2006/chartDrawing">
    <cdr:from>
      <cdr:x>0.64919</cdr:x>
      <cdr:y>1.17304E-6</cdr:y>
    </cdr:from>
    <cdr:to>
      <cdr:x>0.96631</cdr:x>
      <cdr:y>0.7087</cdr:y>
    </cdr:to>
    <cdr:sp macro="" textlink="">
      <cdr:nvSpPr>
        <cdr:cNvPr id="2" name="Rectangle 1"/>
        <cdr:cNvSpPr/>
      </cdr:nvSpPr>
      <cdr:spPr>
        <a:xfrm xmlns:a="http://schemas.openxmlformats.org/drawingml/2006/main">
          <a:off x="2008414" y="2"/>
          <a:ext cx="981079" cy="1208314"/>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0.65867</cdr:x>
      <cdr:y>0</cdr:y>
    </cdr:from>
    <cdr:to>
      <cdr:x>0.9364</cdr:x>
      <cdr:y>0.77128</cdr:y>
    </cdr:to>
    <cdr:sp macro="" textlink="">
      <cdr:nvSpPr>
        <cdr:cNvPr id="2" name="Rectangle 1"/>
        <cdr:cNvSpPr/>
      </cdr:nvSpPr>
      <cdr:spPr>
        <a:xfrm xmlns:a="http://schemas.openxmlformats.org/drawingml/2006/main">
          <a:off x="2057400" y="0"/>
          <a:ext cx="867508" cy="1289538"/>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0.66419</cdr:x>
      <cdr:y>0.05824</cdr:y>
    </cdr:from>
    <cdr:to>
      <cdr:x>0.91798</cdr:x>
      <cdr:y>0.79945</cdr:y>
    </cdr:to>
    <cdr:sp macro="" textlink="">
      <cdr:nvSpPr>
        <cdr:cNvPr id="2" name="Rectangle 1"/>
        <cdr:cNvSpPr/>
      </cdr:nvSpPr>
      <cdr:spPr>
        <a:xfrm xmlns:a="http://schemas.openxmlformats.org/drawingml/2006/main">
          <a:off x="2060716" y="108244"/>
          <a:ext cx="787412" cy="1377655"/>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5.xml><?xml version="1.0" encoding="utf-8"?>
<c:userShapes xmlns:c="http://schemas.openxmlformats.org/drawingml/2006/chart">
  <cdr:relSizeAnchor xmlns:cdr="http://schemas.openxmlformats.org/drawingml/2006/chartDrawing">
    <cdr:from>
      <cdr:x>0.61847</cdr:x>
      <cdr:y>0.02286</cdr:y>
    </cdr:from>
    <cdr:to>
      <cdr:x>0.92016</cdr:x>
      <cdr:y>0.84874</cdr:y>
    </cdr:to>
    <cdr:sp macro="" textlink="">
      <cdr:nvSpPr>
        <cdr:cNvPr id="3" name="Rectangle 2"/>
        <cdr:cNvSpPr/>
      </cdr:nvSpPr>
      <cdr:spPr>
        <a:xfrm xmlns:a="http://schemas.openxmlformats.org/drawingml/2006/main">
          <a:off x="1990725" y="51822"/>
          <a:ext cx="971100" cy="187222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6.xml><?xml version="1.0" encoding="utf-8"?>
<c:userShapes xmlns:c="http://schemas.openxmlformats.org/drawingml/2006/chart">
  <cdr:relSizeAnchor xmlns:cdr="http://schemas.openxmlformats.org/drawingml/2006/chartDrawing">
    <cdr:from>
      <cdr:x>0.67788</cdr:x>
      <cdr:y>0.25092</cdr:y>
    </cdr:from>
    <cdr:to>
      <cdr:x>0.90808</cdr:x>
      <cdr:y>0.34034</cdr:y>
    </cdr:to>
    <cdr:cxnSp macro="">
      <cdr:nvCxnSpPr>
        <cdr:cNvPr id="4" name="Straight Arrow Connector 3"/>
        <cdr:cNvCxnSpPr/>
      </cdr:nvCxnSpPr>
      <cdr:spPr>
        <a:xfrm xmlns:a="http://schemas.openxmlformats.org/drawingml/2006/main" flipV="1">
          <a:off x="2085975" y="568823"/>
          <a:ext cx="708378" cy="20270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0.64693</cdr:x>
      <cdr:y>0.04305</cdr:y>
    </cdr:from>
    <cdr:to>
      <cdr:x>0.94986</cdr:x>
      <cdr:y>0.86975</cdr:y>
    </cdr:to>
    <cdr:sp macro="" textlink="">
      <cdr:nvSpPr>
        <cdr:cNvPr id="5" name="Rectangle 4"/>
        <cdr:cNvSpPr/>
      </cdr:nvSpPr>
      <cdr:spPr>
        <a:xfrm xmlns:a="http://schemas.openxmlformats.org/drawingml/2006/main">
          <a:off x="1990739" y="97592"/>
          <a:ext cx="932180" cy="18740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7.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0.38097</cdr:x>
      <cdr:y>0.07497</cdr:y>
    </cdr:from>
    <cdr:to>
      <cdr:x>0.80543</cdr:x>
      <cdr:y>0.21226</cdr:y>
    </cdr:to>
    <cdr:sp macro="" textlink="">
      <cdr:nvSpPr>
        <cdr:cNvPr id="2" name="Text Box 1"/>
        <cdr:cNvSpPr txBox="1"/>
      </cdr:nvSpPr>
      <cdr:spPr>
        <a:xfrm xmlns:a="http://schemas.openxmlformats.org/drawingml/2006/main">
          <a:off x="1128538" y="152092"/>
          <a:ext cx="1257361" cy="2785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0.19497</cdr:x>
      <cdr:y>0</cdr:y>
    </cdr:from>
    <cdr:to>
      <cdr:x>0.64951</cdr:x>
      <cdr:y>0.10455</cdr:y>
    </cdr:to>
    <cdr:sp macro="" textlink="">
      <cdr:nvSpPr>
        <cdr:cNvPr id="3" name="Text Box 2"/>
        <cdr:cNvSpPr txBox="1"/>
      </cdr:nvSpPr>
      <cdr:spPr>
        <a:xfrm xmlns:a="http://schemas.openxmlformats.org/drawingml/2006/main">
          <a:off x="633260" y="0"/>
          <a:ext cx="1476357" cy="231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Ներմուծում</a:t>
          </a:r>
          <a:endParaRPr lang="en-US" sz="1000" b="1">
            <a:latin typeface="GHEA Grapalat" panose="02000506050000020003" pitchFamily="50" charset="0"/>
          </a:endParaRPr>
        </a:p>
      </cdr:txBody>
    </cdr:sp>
  </cdr:relSizeAnchor>
  <cdr:relSizeAnchor xmlns:cdr="http://schemas.openxmlformats.org/drawingml/2006/chartDrawing">
    <cdr:from>
      <cdr:x>0.75015</cdr:x>
      <cdr:y>0.02879</cdr:y>
    </cdr:from>
    <cdr:to>
      <cdr:x>1</cdr:x>
      <cdr:y>0.86752</cdr:y>
    </cdr:to>
    <cdr:sp macro="" textlink="">
      <cdr:nvSpPr>
        <cdr:cNvPr id="4" name="Rectangle 3"/>
        <cdr:cNvSpPr/>
      </cdr:nvSpPr>
      <cdr:spPr>
        <a:xfrm xmlns:a="http://schemas.openxmlformats.org/drawingml/2006/main">
          <a:off x="2428875" y="64169"/>
          <a:ext cx="808990" cy="1869406"/>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0.62463</cdr:x>
      <cdr:y>0</cdr:y>
    </cdr:from>
    <cdr:to>
      <cdr:x>1</cdr:x>
      <cdr:y>0.83491</cdr:y>
    </cdr:to>
    <cdr:sp macro="" textlink="">
      <cdr:nvSpPr>
        <cdr:cNvPr id="2" name="Rectangle 1"/>
        <cdr:cNvSpPr/>
      </cdr:nvSpPr>
      <cdr:spPr>
        <a:xfrm xmlns:a="http://schemas.openxmlformats.org/drawingml/2006/main">
          <a:off x="2028826" y="0"/>
          <a:ext cx="1219199" cy="1685934"/>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0.2209</cdr:x>
      <cdr:y>0</cdr:y>
    </cdr:from>
    <cdr:to>
      <cdr:x>0.5992</cdr:x>
      <cdr:y>0.1122</cdr:y>
    </cdr:to>
    <cdr:sp macro="" textlink="">
      <cdr:nvSpPr>
        <cdr:cNvPr id="3" name="Text Box 2"/>
        <cdr:cNvSpPr txBox="1"/>
      </cdr:nvSpPr>
      <cdr:spPr>
        <a:xfrm xmlns:a="http://schemas.openxmlformats.org/drawingml/2006/main">
          <a:off x="673303" y="0"/>
          <a:ext cx="1153059"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Արտահանում</a:t>
          </a:r>
          <a:endParaRPr lang="en-US" sz="1000" b="1">
            <a:latin typeface="GHEA Grapalat" panose="02000506050000020003" pitchFamily="50" charset="0"/>
          </a:endParaRPr>
        </a:p>
      </cdr:txBody>
    </cdr:sp>
  </cdr:relSizeAnchor>
  <cdr:relSizeAnchor xmlns:cdr="http://schemas.openxmlformats.org/drawingml/2006/chartDrawing">
    <cdr:from>
      <cdr:x>0.79063</cdr:x>
      <cdr:y>0.16752</cdr:y>
    </cdr:from>
    <cdr:to>
      <cdr:x>0.95683</cdr:x>
      <cdr:y>0.24893</cdr:y>
    </cdr:to>
    <cdr:cxnSp macro="">
      <cdr:nvCxnSpPr>
        <cdr:cNvPr id="5" name="Straight Arrow Connector 4"/>
        <cdr:cNvCxnSpPr/>
      </cdr:nvCxnSpPr>
      <cdr:spPr>
        <a:xfrm xmlns:a="http://schemas.openxmlformats.org/drawingml/2006/main" flipV="1">
          <a:off x="2409825" y="371788"/>
          <a:ext cx="506593" cy="18066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0.79063</cdr:x>
      <cdr:y>0.02175</cdr:y>
    </cdr:from>
    <cdr:to>
      <cdr:x>1</cdr:x>
      <cdr:y>0.86266</cdr:y>
    </cdr:to>
    <cdr:sp macro="" textlink="">
      <cdr:nvSpPr>
        <cdr:cNvPr id="4" name="Rectangle 3"/>
        <cdr:cNvSpPr/>
      </cdr:nvSpPr>
      <cdr:spPr>
        <a:xfrm xmlns:a="http://schemas.openxmlformats.org/drawingml/2006/main">
          <a:off x="2507740" y="48279"/>
          <a:ext cx="664085" cy="1866252"/>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0.90841</cdr:x>
      <cdr:y>0</cdr:y>
    </cdr:from>
    <cdr:to>
      <cdr:x>0.91449</cdr:x>
      <cdr:y>0.95495</cdr:y>
    </cdr:to>
    <cdr:cxnSp macro="">
      <cdr:nvCxnSpPr>
        <cdr:cNvPr id="2" name="Straight Connector 1"/>
        <cdr:cNvCxnSpPr>
          <a:cxnSpLocks xmlns:a="http://schemas.openxmlformats.org/drawingml/2006/main"/>
        </cdr:cNvCxnSpPr>
      </cdr:nvCxnSpPr>
      <cdr:spPr>
        <a:xfrm xmlns:a="http://schemas.openxmlformats.org/drawingml/2006/main" flipH="1">
          <a:off x="2846705" y="-4953000"/>
          <a:ext cx="19050" cy="2019300"/>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relSizeAnchor>
</c:userShapes>
</file>

<file path=word/drawings/drawing22.xml><?xml version="1.0" encoding="utf-8"?>
<c:userShapes xmlns:c="http://schemas.openxmlformats.org/drawingml/2006/chart">
  <cdr:relSizeAnchor xmlns:cdr="http://schemas.openxmlformats.org/drawingml/2006/chartDrawing">
    <cdr:from>
      <cdr:x>0.6078</cdr:x>
      <cdr:y>0.16295</cdr:y>
    </cdr:from>
    <cdr:to>
      <cdr:x>0.97487</cdr:x>
      <cdr:y>0.82037</cdr:y>
    </cdr:to>
    <cdr:sp macro="" textlink="">
      <cdr:nvSpPr>
        <cdr:cNvPr id="2" name="Rectangle 1"/>
        <cdr:cNvSpPr/>
      </cdr:nvSpPr>
      <cdr:spPr>
        <a:xfrm xmlns:a="http://schemas.openxmlformats.org/drawingml/2006/main">
          <a:off x="3829050" y="353879"/>
          <a:ext cx="2312470" cy="1427719"/>
        </a:xfrm>
        <a:prstGeom xmlns:a="http://schemas.openxmlformats.org/drawingml/2006/main" prst="rect">
          <a:avLst/>
        </a:prstGeom>
        <a:solidFill xmlns:a="http://schemas.openxmlformats.org/drawingml/2006/main">
          <a:schemeClr val="accent1">
            <a:alpha val="20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23.xml><?xml version="1.0" encoding="utf-8"?>
<c:userShapes xmlns:c="http://schemas.openxmlformats.org/drawingml/2006/chart">
  <cdr:relSizeAnchor xmlns:cdr="http://schemas.openxmlformats.org/drawingml/2006/chartDrawing">
    <cdr:from>
      <cdr:x>0.66779</cdr:x>
      <cdr:y>0.00474</cdr:y>
    </cdr:from>
    <cdr:to>
      <cdr:x>1</cdr:x>
      <cdr:y>0.8033</cdr:y>
    </cdr:to>
    <cdr:sp macro="" textlink="">
      <cdr:nvSpPr>
        <cdr:cNvPr id="2" name="Rounded Rectangle 1"/>
        <cdr:cNvSpPr/>
      </cdr:nvSpPr>
      <cdr:spPr>
        <a:xfrm xmlns:a="http://schemas.openxmlformats.org/drawingml/2006/main">
          <a:off x="2019300" y="13650"/>
          <a:ext cx="1004570" cy="2299633"/>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4.xml><?xml version="1.0" encoding="utf-8"?>
<c:userShapes xmlns:c="http://schemas.openxmlformats.org/drawingml/2006/chart">
  <cdr:relSizeAnchor xmlns:cdr="http://schemas.openxmlformats.org/drawingml/2006/chartDrawing">
    <cdr:from>
      <cdr:x>0.63623</cdr:x>
      <cdr:y>0</cdr:y>
    </cdr:from>
    <cdr:to>
      <cdr:x>1</cdr:x>
      <cdr:y>0.77724</cdr:y>
    </cdr:to>
    <cdr:sp macro="" textlink="">
      <cdr:nvSpPr>
        <cdr:cNvPr id="2" name="Rounded Rectangle 1"/>
        <cdr:cNvSpPr/>
      </cdr:nvSpPr>
      <cdr:spPr>
        <a:xfrm xmlns:a="http://schemas.openxmlformats.org/drawingml/2006/main">
          <a:off x="1992573" y="0"/>
          <a:ext cx="1139247" cy="2238234"/>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5.xml><?xml version="1.0" encoding="utf-8"?>
<c:userShapes xmlns:c="http://schemas.openxmlformats.org/drawingml/2006/chart">
  <cdr:relSizeAnchor xmlns:cdr="http://schemas.openxmlformats.org/drawingml/2006/chartDrawing">
    <cdr:from>
      <cdr:x>0.62622</cdr:x>
      <cdr:y>0</cdr:y>
    </cdr:from>
    <cdr:to>
      <cdr:x>0.96501</cdr:x>
      <cdr:y>0.66906</cdr:y>
    </cdr:to>
    <cdr:sp macro="" textlink="">
      <cdr:nvSpPr>
        <cdr:cNvPr id="2" name="Rounded Rectangle 1"/>
        <cdr:cNvSpPr/>
      </cdr:nvSpPr>
      <cdr:spPr>
        <a:xfrm xmlns:a="http://schemas.openxmlformats.org/drawingml/2006/main">
          <a:off x="3998794" y="0"/>
          <a:ext cx="2163355" cy="1767385"/>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6.xml><?xml version="1.0" encoding="utf-8"?>
<c:userShapes xmlns:c="http://schemas.openxmlformats.org/drawingml/2006/chart">
  <cdr:relSizeAnchor xmlns:cdr="http://schemas.openxmlformats.org/drawingml/2006/chartDrawing">
    <cdr:from>
      <cdr:x>0.62319</cdr:x>
      <cdr:y>0.06406</cdr:y>
    </cdr:from>
    <cdr:to>
      <cdr:x>0.97058</cdr:x>
      <cdr:y>0.82022</cdr:y>
    </cdr:to>
    <cdr:sp macro="" textlink="">
      <cdr:nvSpPr>
        <cdr:cNvPr id="2" name="Rounded Rectangle 1"/>
        <cdr:cNvSpPr/>
      </cdr:nvSpPr>
      <cdr:spPr>
        <a:xfrm xmlns:a="http://schemas.openxmlformats.org/drawingml/2006/main">
          <a:off x="1884459" y="184475"/>
          <a:ext cx="1050449" cy="2177533"/>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7.xml><?xml version="1.0" encoding="utf-8"?>
<c:userShapes xmlns:c="http://schemas.openxmlformats.org/drawingml/2006/chart">
  <cdr:relSizeAnchor xmlns:cdr="http://schemas.openxmlformats.org/drawingml/2006/chartDrawing">
    <cdr:from>
      <cdr:x>0.6281</cdr:x>
      <cdr:y>0</cdr:y>
    </cdr:from>
    <cdr:to>
      <cdr:x>1</cdr:x>
      <cdr:y>0.80196</cdr:y>
    </cdr:to>
    <cdr:sp macro="" textlink="">
      <cdr:nvSpPr>
        <cdr:cNvPr id="2" name="Rounded Rectangle 1"/>
        <cdr:cNvSpPr/>
      </cdr:nvSpPr>
      <cdr:spPr>
        <a:xfrm xmlns:a="http://schemas.openxmlformats.org/drawingml/2006/main">
          <a:off x="1899293" y="-5219700"/>
          <a:ext cx="1124577" cy="2309424"/>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8.xml><?xml version="1.0" encoding="utf-8"?>
<c:userShapes xmlns:c="http://schemas.openxmlformats.org/drawingml/2006/chart">
  <cdr:relSizeAnchor xmlns:cdr="http://schemas.openxmlformats.org/drawingml/2006/chartDrawing">
    <cdr:from>
      <cdr:x>0.13909</cdr:x>
      <cdr:y>0.26693</cdr:y>
    </cdr:from>
    <cdr:to>
      <cdr:x>0.85372</cdr:x>
      <cdr:y>0.27169</cdr:y>
    </cdr:to>
    <cdr:cxnSp macro="">
      <cdr:nvCxnSpPr>
        <cdr:cNvPr id="3" name="Straight Connector 2"/>
        <cdr:cNvCxnSpPr/>
      </cdr:nvCxnSpPr>
      <cdr:spPr>
        <a:xfrm xmlns:a="http://schemas.openxmlformats.org/drawingml/2006/main" flipH="1">
          <a:off x="400541" y="768673"/>
          <a:ext cx="2057938" cy="13708"/>
        </a:xfrm>
        <a:prstGeom xmlns:a="http://schemas.openxmlformats.org/drawingml/2006/main" prst="line">
          <a:avLst/>
        </a:prstGeom>
        <a:ln xmlns:a="http://schemas.openxmlformats.org/drawingml/2006/main" w="2857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0.12891</cdr:x>
      <cdr:y>0.3423</cdr:y>
    </cdr:from>
    <cdr:to>
      <cdr:x>0.84354</cdr:x>
      <cdr:y>0.34706</cdr:y>
    </cdr:to>
    <cdr:cxnSp macro="">
      <cdr:nvCxnSpPr>
        <cdr:cNvPr id="4" name="Straight Connector 3"/>
        <cdr:cNvCxnSpPr/>
      </cdr:nvCxnSpPr>
      <cdr:spPr>
        <a:xfrm xmlns:a="http://schemas.openxmlformats.org/drawingml/2006/main" flipH="1">
          <a:off x="371234" y="985729"/>
          <a:ext cx="2057938" cy="13707"/>
        </a:xfrm>
        <a:prstGeom xmlns:a="http://schemas.openxmlformats.org/drawingml/2006/main" prst="line">
          <a:avLst/>
        </a:prstGeom>
        <a:ln xmlns:a="http://schemas.openxmlformats.org/drawingml/2006/main" w="28575">
          <a:solidFill>
            <a:schemeClr val="accent4"/>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0.56199</cdr:x>
      <cdr:y>0.20639</cdr:y>
    </cdr:from>
    <cdr:to>
      <cdr:x>0.87483</cdr:x>
      <cdr:y>0.79636</cdr:y>
    </cdr:to>
    <cdr:sp macro="" textlink="">
      <cdr:nvSpPr>
        <cdr:cNvPr id="2" name="Rectangle 1"/>
        <cdr:cNvSpPr/>
      </cdr:nvSpPr>
      <cdr:spPr>
        <a:xfrm xmlns:a="http://schemas.openxmlformats.org/drawingml/2006/main">
          <a:off x="1701515" y="594360"/>
          <a:ext cx="947180" cy="1698947"/>
        </a:xfrm>
        <a:prstGeom xmlns:a="http://schemas.openxmlformats.org/drawingml/2006/main" prst="rect">
          <a:avLst/>
        </a:prstGeom>
        <a:solidFill xmlns:a="http://schemas.openxmlformats.org/drawingml/2006/main">
          <a:schemeClr val="bg1">
            <a:lumMod val="85000"/>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29.xml><?xml version="1.0" encoding="utf-8"?>
<c:userShapes xmlns:c="http://schemas.openxmlformats.org/drawingml/2006/chart">
  <cdr:relSizeAnchor xmlns:cdr="http://schemas.openxmlformats.org/drawingml/2006/chartDrawing">
    <cdr:from>
      <cdr:x>0.41763</cdr:x>
      <cdr:y>0.18095</cdr:y>
    </cdr:from>
    <cdr:to>
      <cdr:x>0.64945</cdr:x>
      <cdr:y>0.95624</cdr:y>
    </cdr:to>
    <cdr:sp macro="" textlink="">
      <cdr:nvSpPr>
        <cdr:cNvPr id="2" name="Rectangle 1"/>
        <cdr:cNvSpPr/>
      </cdr:nvSpPr>
      <cdr:spPr>
        <a:xfrm xmlns:a="http://schemas.openxmlformats.org/drawingml/2006/main">
          <a:off x="1402080" y="521086"/>
          <a:ext cx="778283" cy="2232622"/>
        </a:xfrm>
        <a:prstGeom xmlns:a="http://schemas.openxmlformats.org/drawingml/2006/main" prst="rect">
          <a:avLst/>
        </a:prstGeom>
        <a:solidFill xmlns:a="http://schemas.openxmlformats.org/drawingml/2006/main">
          <a:schemeClr val="bg1">
            <a:lumMod val="85000"/>
            <a:alpha val="2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0.64833</cdr:x>
      <cdr:y>0</cdr:y>
    </cdr:from>
    <cdr:to>
      <cdr:x>0.97237</cdr:x>
      <cdr:y>0.83248</cdr:y>
    </cdr:to>
    <cdr:sp macro="" textlink="">
      <cdr:nvSpPr>
        <cdr:cNvPr id="2" name="Rectangle 1"/>
        <cdr:cNvSpPr/>
      </cdr:nvSpPr>
      <cdr:spPr>
        <a:xfrm xmlns:a="http://schemas.openxmlformats.org/drawingml/2006/main">
          <a:off x="2007404" y="0"/>
          <a:ext cx="1003312" cy="144050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30.xml><?xml version="1.0" encoding="utf-8"?>
<c:userShapes xmlns:c="http://schemas.openxmlformats.org/drawingml/2006/chart">
  <cdr:relSizeAnchor xmlns:cdr="http://schemas.openxmlformats.org/drawingml/2006/chartDrawing">
    <cdr:from>
      <cdr:x>0.67005</cdr:x>
      <cdr:y>0.06064</cdr:y>
    </cdr:from>
    <cdr:to>
      <cdr:x>0.94599</cdr:x>
      <cdr:y>0.87668</cdr:y>
    </cdr:to>
    <cdr:sp macro="" textlink="">
      <cdr:nvSpPr>
        <cdr:cNvPr id="2" name="Rectangle 1"/>
        <cdr:cNvSpPr/>
      </cdr:nvSpPr>
      <cdr:spPr>
        <a:xfrm xmlns:a="http://schemas.openxmlformats.org/drawingml/2006/main">
          <a:off x="2016775" y="152798"/>
          <a:ext cx="830567" cy="2056146"/>
        </a:xfrm>
        <a:prstGeom xmlns:a="http://schemas.openxmlformats.org/drawingml/2006/main" prst="rect">
          <a:avLst/>
        </a:prstGeom>
        <a:solidFill xmlns:a="http://schemas.openxmlformats.org/drawingml/2006/main">
          <a:schemeClr val="bg1">
            <a:lumMod val="8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31.xml><?xml version="1.0" encoding="utf-8"?>
<c:userShapes xmlns:c="http://schemas.openxmlformats.org/drawingml/2006/chart">
  <cdr:relSizeAnchor xmlns:cdr="http://schemas.openxmlformats.org/drawingml/2006/chartDrawing">
    <cdr:from>
      <cdr:x>0.67188</cdr:x>
      <cdr:y>0.04048</cdr:y>
    </cdr:from>
    <cdr:to>
      <cdr:x>0.95573</cdr:x>
      <cdr:y>0.9</cdr:y>
    </cdr:to>
    <cdr:sp macro="" textlink="">
      <cdr:nvSpPr>
        <cdr:cNvPr id="2" name="Rectangle 1"/>
        <cdr:cNvSpPr/>
      </cdr:nvSpPr>
      <cdr:spPr>
        <a:xfrm xmlns:a="http://schemas.openxmlformats.org/drawingml/2006/main">
          <a:off x="1965960" y="129540"/>
          <a:ext cx="830580" cy="2750820"/>
        </a:xfrm>
        <a:prstGeom xmlns:a="http://schemas.openxmlformats.org/drawingml/2006/main" prst="rect">
          <a:avLst/>
        </a:prstGeom>
        <a:solidFill xmlns:a="http://schemas.openxmlformats.org/drawingml/2006/main">
          <a:schemeClr val="bg1">
            <a:lumMod val="8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32.xml><?xml version="1.0" encoding="utf-8"?>
<c:userShapes xmlns:c="http://schemas.openxmlformats.org/drawingml/2006/chart">
  <cdr:relSizeAnchor xmlns:cdr="http://schemas.openxmlformats.org/drawingml/2006/chartDrawing">
    <cdr:from>
      <cdr:x>0.73785</cdr:x>
      <cdr:y>0.04212</cdr:y>
    </cdr:from>
    <cdr:to>
      <cdr:x>0.74071</cdr:x>
      <cdr:y>0.61722</cdr:y>
    </cdr:to>
    <cdr:cxnSp macro="">
      <cdr:nvCxnSpPr>
        <cdr:cNvPr id="3" name="Straight Connector 2"/>
        <cdr:cNvCxnSpPr/>
      </cdr:nvCxnSpPr>
      <cdr:spPr>
        <a:xfrm xmlns:a="http://schemas.openxmlformats.org/drawingml/2006/main" flipH="1" flipV="1">
          <a:off x="4548554" y="134815"/>
          <a:ext cx="17584" cy="1840524"/>
        </a:xfrm>
        <a:prstGeom xmlns:a="http://schemas.openxmlformats.org/drawingml/2006/main" prst="line">
          <a:avLst/>
        </a:prstGeom>
        <a:ln xmlns:a="http://schemas.openxmlformats.org/drawingml/2006/main" w="2222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0.36132</cdr:x>
      <cdr:y>0.03297</cdr:y>
    </cdr:from>
    <cdr:to>
      <cdr:x>0.50965</cdr:x>
      <cdr:y>0.15385</cdr:y>
    </cdr:to>
    <cdr:sp macro="" textlink="">
      <cdr:nvSpPr>
        <cdr:cNvPr id="4" name="Text Box 3"/>
        <cdr:cNvSpPr txBox="1"/>
      </cdr:nvSpPr>
      <cdr:spPr>
        <a:xfrm xmlns:a="http://schemas.openxmlformats.org/drawingml/2006/main">
          <a:off x="2227386" y="105508"/>
          <a:ext cx="914400" cy="386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y-AM" sz="1100" b="1" i="1">
              <a:latin typeface="GHEA Grapalat" panose="02000506050000020003" pitchFamily="50" charset="0"/>
            </a:rPr>
            <a:t>Երկրներ</a:t>
          </a:r>
          <a:endParaRPr lang="en-US" sz="1100" b="1" i="1">
            <a:latin typeface="GHEA Grapalat" panose="02000506050000020003" pitchFamily="50" charset="0"/>
          </a:endParaRPr>
        </a:p>
      </cdr:txBody>
    </cdr:sp>
  </cdr:relSizeAnchor>
  <cdr:relSizeAnchor xmlns:cdr="http://schemas.openxmlformats.org/drawingml/2006/chartDrawing">
    <cdr:from>
      <cdr:x>0.75465</cdr:x>
      <cdr:y>0.02503</cdr:y>
    </cdr:from>
    <cdr:to>
      <cdr:x>0.8995</cdr:x>
      <cdr:y>0.20513</cdr:y>
    </cdr:to>
    <cdr:sp macro="" textlink="">
      <cdr:nvSpPr>
        <cdr:cNvPr id="5" name="Text Box 1"/>
        <cdr:cNvSpPr txBox="1"/>
      </cdr:nvSpPr>
      <cdr:spPr>
        <a:xfrm xmlns:a="http://schemas.openxmlformats.org/drawingml/2006/main">
          <a:off x="4652109" y="80108"/>
          <a:ext cx="892906" cy="5763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hy-AM" sz="1100" b="1" i="1">
              <a:latin typeface="GHEA Grapalat" panose="02000506050000020003" pitchFamily="50" charset="0"/>
            </a:rPr>
            <a:t>Երկրների խմբեր</a:t>
          </a:r>
          <a:endParaRPr lang="en-US" sz="1100" b="1" i="1">
            <a:latin typeface="GHEA Grapalat" panose="02000506050000020003" pitchFamily="50" charset="0"/>
          </a:endParaRPr>
        </a:p>
      </cdr:txBody>
    </cdr:sp>
  </cdr:relSizeAnchor>
</c:userShapes>
</file>

<file path=word/drawings/drawing33.xml><?xml version="1.0" encoding="utf-8"?>
<c:userShapes xmlns:c="http://schemas.openxmlformats.org/drawingml/2006/chart">
  <cdr:relSizeAnchor xmlns:cdr="http://schemas.openxmlformats.org/drawingml/2006/chartDrawing">
    <cdr:from>
      <cdr:x>0.84657</cdr:x>
      <cdr:y>0.09722</cdr:y>
    </cdr:from>
    <cdr:to>
      <cdr:x>0.86043</cdr:x>
      <cdr:y>0.77778</cdr:y>
    </cdr:to>
    <cdr:sp macro="" textlink="">
      <cdr:nvSpPr>
        <cdr:cNvPr id="2" name="Left Brace 1"/>
        <cdr:cNvSpPr/>
      </cdr:nvSpPr>
      <cdr:spPr>
        <a:xfrm xmlns:a="http://schemas.openxmlformats.org/drawingml/2006/main">
          <a:off x="5604173" y="333374"/>
          <a:ext cx="91778" cy="2333625"/>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0.17801</cdr:x>
      <cdr:y>0.23333</cdr:y>
    </cdr:from>
    <cdr:to>
      <cdr:x>0.18705</cdr:x>
      <cdr:y>0.78591</cdr:y>
    </cdr:to>
    <cdr:sp macro="" textlink="">
      <cdr:nvSpPr>
        <cdr:cNvPr id="4" name="Left Brace 3"/>
        <cdr:cNvSpPr/>
      </cdr:nvSpPr>
      <cdr:spPr>
        <a:xfrm xmlns:a="http://schemas.openxmlformats.org/drawingml/2006/main">
          <a:off x="1178405" y="800089"/>
          <a:ext cx="59846" cy="1894796"/>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0.67968</cdr:x>
      <cdr:y>0.09444</cdr:y>
    </cdr:from>
    <cdr:to>
      <cdr:x>0.7036</cdr:x>
      <cdr:y>0.77158</cdr:y>
    </cdr:to>
    <cdr:sp macro="" textlink="">
      <cdr:nvSpPr>
        <cdr:cNvPr id="7" name="Left Brace 6"/>
        <cdr:cNvSpPr/>
      </cdr:nvSpPr>
      <cdr:spPr>
        <a:xfrm xmlns:a="http://schemas.openxmlformats.org/drawingml/2006/main">
          <a:off x="4499413" y="323850"/>
          <a:ext cx="158312" cy="2321883"/>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0.3401</cdr:x>
      <cdr:y>0.25</cdr:y>
    </cdr:from>
    <cdr:to>
      <cdr:x>0.36259</cdr:x>
      <cdr:y>0.77991</cdr:y>
    </cdr:to>
    <cdr:sp macro="" textlink="">
      <cdr:nvSpPr>
        <cdr:cNvPr id="8" name="Left Brace 7"/>
        <cdr:cNvSpPr/>
      </cdr:nvSpPr>
      <cdr:spPr>
        <a:xfrm xmlns:a="http://schemas.openxmlformats.org/drawingml/2006/main">
          <a:off x="2251414" y="857250"/>
          <a:ext cx="148886" cy="1817058"/>
        </a:xfrm>
        <a:prstGeom xmlns:a="http://schemas.openxmlformats.org/drawingml/2006/main" prst="leftBrace">
          <a:avLst>
            <a:gd name="adj1" fmla="val 89859"/>
            <a:gd name="adj2" fmla="val 50411"/>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0.50696</cdr:x>
      <cdr:y>0.18841</cdr:y>
    </cdr:from>
    <cdr:to>
      <cdr:x>0.52609</cdr:x>
      <cdr:y>0.78002</cdr:y>
    </cdr:to>
    <cdr:sp macro="" textlink="">
      <cdr:nvSpPr>
        <cdr:cNvPr id="6" name="Left Brace 5"/>
        <cdr:cNvSpPr/>
      </cdr:nvSpPr>
      <cdr:spPr>
        <a:xfrm xmlns:a="http://schemas.openxmlformats.org/drawingml/2006/main">
          <a:off x="3047271" y="638174"/>
          <a:ext cx="115030" cy="2003811"/>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4.xml><?xml version="1.0" encoding="utf-8"?>
<c:userShapes xmlns:c="http://schemas.openxmlformats.org/drawingml/2006/chart">
  <cdr:relSizeAnchor xmlns:cdr="http://schemas.openxmlformats.org/drawingml/2006/chartDrawing">
    <cdr:from>
      <cdr:x>0.30468</cdr:x>
      <cdr:y>0.15496</cdr:y>
    </cdr:from>
    <cdr:to>
      <cdr:x>0.33762</cdr:x>
      <cdr:y>0.66781</cdr:y>
    </cdr:to>
    <cdr:sp macro="" textlink="">
      <cdr:nvSpPr>
        <cdr:cNvPr id="2" name="Left Brace 1"/>
        <cdr:cNvSpPr/>
      </cdr:nvSpPr>
      <cdr:spPr>
        <a:xfrm xmlns:a="http://schemas.openxmlformats.org/drawingml/2006/main">
          <a:off x="1805092" y="714375"/>
          <a:ext cx="195158" cy="2364296"/>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0.15435</cdr:x>
      <cdr:y>0.13017</cdr:y>
    </cdr:from>
    <cdr:to>
      <cdr:x>0.16881</cdr:x>
      <cdr:y>0.67293</cdr:y>
    </cdr:to>
    <cdr:sp macro="" textlink="">
      <cdr:nvSpPr>
        <cdr:cNvPr id="4" name="Left Brace 3"/>
        <cdr:cNvSpPr/>
      </cdr:nvSpPr>
      <cdr:spPr>
        <a:xfrm xmlns:a="http://schemas.openxmlformats.org/drawingml/2006/main">
          <a:off x="914453" y="600075"/>
          <a:ext cx="85671" cy="2502200"/>
        </a:xfrm>
        <a:prstGeom xmlns:a="http://schemas.openxmlformats.org/drawingml/2006/main" prst="leftBrace">
          <a:avLst>
            <a:gd name="adj1" fmla="val 89859"/>
            <a:gd name="adj2" fmla="val 48978"/>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0.64576</cdr:x>
      <cdr:y>0.07025</cdr:y>
    </cdr:from>
    <cdr:to>
      <cdr:x>0.69133</cdr:x>
      <cdr:y>0.65691</cdr:y>
    </cdr:to>
    <cdr:sp macro="" textlink="">
      <cdr:nvSpPr>
        <cdr:cNvPr id="5" name="Left Brace 4"/>
        <cdr:cNvSpPr/>
      </cdr:nvSpPr>
      <cdr:spPr>
        <a:xfrm xmlns:a="http://schemas.openxmlformats.org/drawingml/2006/main">
          <a:off x="3825837" y="323850"/>
          <a:ext cx="269982" cy="2704571"/>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0.82476</cdr:x>
      <cdr:y>0.05165</cdr:y>
    </cdr:from>
    <cdr:to>
      <cdr:x>0.86334</cdr:x>
      <cdr:y>0.67103</cdr:y>
    </cdr:to>
    <cdr:sp macro="" textlink="">
      <cdr:nvSpPr>
        <cdr:cNvPr id="6" name="Left Brace 5"/>
        <cdr:cNvSpPr/>
      </cdr:nvSpPr>
      <cdr:spPr>
        <a:xfrm xmlns:a="http://schemas.openxmlformats.org/drawingml/2006/main">
          <a:off x="4886325" y="238125"/>
          <a:ext cx="228600" cy="2855390"/>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0.58314</cdr:x>
      <cdr:y>0</cdr:y>
    </cdr:from>
    <cdr:to>
      <cdr:x>1</cdr:x>
      <cdr:y>0.82273</cdr:y>
    </cdr:to>
    <cdr:sp macro="" textlink="">
      <cdr:nvSpPr>
        <cdr:cNvPr id="2" name="Rectangle 1"/>
        <cdr:cNvSpPr/>
      </cdr:nvSpPr>
      <cdr:spPr>
        <a:xfrm xmlns:a="http://schemas.openxmlformats.org/drawingml/2006/main">
          <a:off x="1133475" y="0"/>
          <a:ext cx="810260" cy="1724025"/>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0.57944</cdr:x>
      <cdr:y>0</cdr:y>
    </cdr:from>
    <cdr:to>
      <cdr:x>0.96851</cdr:x>
      <cdr:y>0.83486</cdr:y>
    </cdr:to>
    <cdr:sp macro="" textlink="">
      <cdr:nvSpPr>
        <cdr:cNvPr id="3" name="Rectangle 2"/>
        <cdr:cNvSpPr/>
      </cdr:nvSpPr>
      <cdr:spPr>
        <a:xfrm xmlns:a="http://schemas.openxmlformats.org/drawingml/2006/main">
          <a:off x="1181100" y="0"/>
          <a:ext cx="793062" cy="1733550"/>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0.57729</cdr:x>
      <cdr:y>0</cdr:y>
    </cdr:from>
    <cdr:to>
      <cdr:x>0.98556</cdr:x>
      <cdr:y>0.80093</cdr:y>
    </cdr:to>
    <cdr:sp macro="" textlink="">
      <cdr:nvSpPr>
        <cdr:cNvPr id="2" name="Rectangle 1"/>
        <cdr:cNvSpPr/>
      </cdr:nvSpPr>
      <cdr:spPr>
        <a:xfrm xmlns:a="http://schemas.openxmlformats.org/drawingml/2006/main">
          <a:off x="1143000" y="0"/>
          <a:ext cx="808340" cy="1647825"/>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0.37072</cdr:x>
      <cdr:y>4.92742E-7</cdr:y>
    </cdr:from>
    <cdr:to>
      <cdr:x>0.89044</cdr:x>
      <cdr:y>0.66646</cdr:y>
    </cdr:to>
    <cdr:sp macro="" textlink="">
      <cdr:nvSpPr>
        <cdr:cNvPr id="2" name="Rectangle 1"/>
        <cdr:cNvSpPr/>
      </cdr:nvSpPr>
      <cdr:spPr>
        <a:xfrm xmlns:a="http://schemas.openxmlformats.org/drawingml/2006/main">
          <a:off x="1136073" y="1"/>
          <a:ext cx="1592690" cy="1352553"/>
        </a:xfrm>
        <a:prstGeom xmlns:a="http://schemas.openxmlformats.org/drawingml/2006/main" prst="rect">
          <a:avLst/>
        </a:prstGeom>
        <a:noFill xmlns:a="http://schemas.openxmlformats.org/drawingml/2006/main"/>
        <a:ln xmlns:a="http://schemas.openxmlformats.org/drawingml/2006/main" w="952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0.26987</cdr:x>
      <cdr:y>0</cdr:y>
    </cdr:from>
    <cdr:to>
      <cdr:x>0.92964</cdr:x>
      <cdr:y>0.70064</cdr:y>
    </cdr:to>
    <cdr:sp macro="" textlink="">
      <cdr:nvSpPr>
        <cdr:cNvPr id="2" name="Rectangle 1"/>
        <cdr:cNvSpPr/>
      </cdr:nvSpPr>
      <cdr:spPr>
        <a:xfrm xmlns:a="http://schemas.openxmlformats.org/drawingml/2006/main">
          <a:off x="817418" y="0"/>
          <a:ext cx="1998415" cy="1471305"/>
        </a:xfrm>
        <a:prstGeom xmlns:a="http://schemas.openxmlformats.org/drawingml/2006/main" prst="rect">
          <a:avLst/>
        </a:prstGeom>
        <a:noFill xmlns:a="http://schemas.openxmlformats.org/drawingml/2006/main"/>
        <a:ln xmlns:a="http://schemas.openxmlformats.org/drawingml/2006/main" w="952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0.38713</cdr:x>
      <cdr:y>0</cdr:y>
    </cdr:from>
    <cdr:to>
      <cdr:x>1</cdr:x>
      <cdr:y>0.65131</cdr:y>
    </cdr:to>
    <cdr:sp macro="" textlink="">
      <cdr:nvSpPr>
        <cdr:cNvPr id="2" name="Rectangle 1"/>
        <cdr:cNvSpPr/>
      </cdr:nvSpPr>
      <cdr:spPr>
        <a:xfrm xmlns:a="http://schemas.openxmlformats.org/drawingml/2006/main">
          <a:off x="1198419" y="0"/>
          <a:ext cx="1897206" cy="1256462"/>
        </a:xfrm>
        <a:prstGeom xmlns:a="http://schemas.openxmlformats.org/drawingml/2006/main" prst="rect">
          <a:avLst/>
        </a:prstGeom>
        <a:noFill xmlns:a="http://schemas.openxmlformats.org/drawingml/2006/main"/>
        <a:ln xmlns:a="http://schemas.openxmlformats.org/drawingml/2006/main" w="952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Աղյուսակ</b:Tag>
    <b:RefOrder>1</b:RefOrder>
  </b:Source>
</b:Sources>
</file>

<file path=customXml/itemProps1.xml><?xml version="1.0" encoding="utf-8"?>
<ds:datastoreItem xmlns:ds="http://schemas.openxmlformats.org/officeDocument/2006/customXml" ds:itemID="{A7C281CC-6029-4B21-9C07-F1513FCE9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100300</Words>
  <Characters>571716</Characters>
  <Application>Microsoft Office Word</Application>
  <DocSecurity>0</DocSecurity>
  <Lines>4764</Lines>
  <Paragraphs>1341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Մ Ա Ս   I</vt:lpstr>
      <vt:lpstr>Մ Ա Ս   I</vt:lpstr>
    </vt:vector>
  </TitlesOfParts>
  <Company>Compass</Company>
  <LinksUpToDate>false</LinksUpToDate>
  <CharactersWithSpaces>670675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creator>User</dc:creator>
  <cp:lastModifiedBy>Admin</cp:lastModifiedBy>
  <cp:revision>3</cp:revision>
  <cp:lastPrinted>2020-11-30T08:20:00Z</cp:lastPrinted>
  <dcterms:created xsi:type="dcterms:W3CDTF">2020-12-09T09:27:00Z</dcterms:created>
  <dcterms:modified xsi:type="dcterms:W3CDTF">2020-12-09T09:27:00Z</dcterms:modified>
</cp:coreProperties>
</file>